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10.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drawings/drawing9.xml" ContentType="application/vnd.openxmlformats-officedocument.drawingml.chartshapes+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drawings/drawing10.xml" ContentType="application/vnd.openxmlformats-officedocument.drawingml.chartshapes+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228EC" w14:textId="74158790" w:rsidR="001A19D5" w:rsidRDefault="008F5C3A" w:rsidP="001A19D5">
      <w:pPr>
        <w:spacing w:after="160" w:line="360" w:lineRule="auto"/>
        <w:jc w:val="center"/>
        <w:rPr>
          <w:rFonts w:eastAsia="MS PGothic" w:cs="Times New Roman"/>
          <w:b/>
          <w:w w:val="110"/>
          <w:sz w:val="44"/>
          <w:szCs w:val="44"/>
          <w:lang w:val="sr-Cyrl-RS" w:eastAsia="ja-JP"/>
        </w:rPr>
      </w:pPr>
      <w:bookmarkStart w:id="0" w:name="_Toc337117118"/>
      <w:bookmarkStart w:id="1" w:name="_Toc444605532"/>
      <w:r>
        <w:rPr>
          <w:noProof/>
        </w:rPr>
        <w:drawing>
          <wp:inline distT="0" distB="0" distL="0" distR="0" wp14:anchorId="0FC58FE8" wp14:editId="22BFEDCC">
            <wp:extent cx="819150" cy="1604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78125" t="1" b="-4349"/>
                    <a:stretch/>
                  </pic:blipFill>
                  <pic:spPr bwMode="auto">
                    <a:xfrm>
                      <a:off x="0" y="0"/>
                      <a:ext cx="821293" cy="1609063"/>
                    </a:xfrm>
                    <a:prstGeom prst="rect">
                      <a:avLst/>
                    </a:prstGeom>
                    <a:noFill/>
                    <a:ln>
                      <a:noFill/>
                    </a:ln>
                    <a:extLst>
                      <a:ext uri="{53640926-AAD7-44D8-BBD7-CCE9431645EC}">
                        <a14:shadowObscured xmlns:a14="http://schemas.microsoft.com/office/drawing/2010/main"/>
                      </a:ext>
                    </a:extLst>
                  </pic:spPr>
                </pic:pic>
              </a:graphicData>
            </a:graphic>
          </wp:inline>
        </w:drawing>
      </w:r>
    </w:p>
    <w:p w14:paraId="13F4E3E9" w14:textId="60D9E30D" w:rsidR="001A19D5" w:rsidRPr="008F5C3A" w:rsidRDefault="008F5C3A" w:rsidP="001A19D5">
      <w:pPr>
        <w:spacing w:after="160" w:line="360" w:lineRule="auto"/>
        <w:jc w:val="center"/>
        <w:rPr>
          <w:rFonts w:eastAsia="MS PGothic" w:cs="Times New Roman"/>
          <w:b/>
          <w:w w:val="110"/>
          <w:szCs w:val="44"/>
          <w:lang w:val="sr-Cyrl-RS" w:eastAsia="ja-JP"/>
        </w:rPr>
      </w:pPr>
      <w:r w:rsidRPr="008F5C3A">
        <w:rPr>
          <w:rFonts w:eastAsia="MS PGothic" w:cs="Times New Roman"/>
          <w:b/>
          <w:w w:val="110"/>
          <w:szCs w:val="44"/>
          <w:lang w:val="sr-Cyrl-RS" w:eastAsia="ja-JP"/>
        </w:rPr>
        <w:t>Влада Републике Србије</w:t>
      </w:r>
    </w:p>
    <w:p w14:paraId="611C5304" w14:textId="77777777" w:rsidR="001A19D5" w:rsidRDefault="001A19D5" w:rsidP="001A19D5">
      <w:pPr>
        <w:spacing w:after="160" w:line="360" w:lineRule="auto"/>
        <w:jc w:val="center"/>
        <w:rPr>
          <w:rFonts w:eastAsia="MS PGothic" w:cs="Times New Roman"/>
          <w:b/>
          <w:w w:val="110"/>
          <w:sz w:val="44"/>
          <w:szCs w:val="44"/>
          <w:lang w:val="sr-Cyrl-RS" w:eastAsia="ja-JP"/>
        </w:rPr>
      </w:pPr>
    </w:p>
    <w:p w14:paraId="08C6C4EA" w14:textId="77777777" w:rsidR="001A19D5" w:rsidRDefault="001A19D5" w:rsidP="001A19D5">
      <w:pPr>
        <w:spacing w:after="160" w:line="360" w:lineRule="auto"/>
        <w:jc w:val="center"/>
        <w:rPr>
          <w:rFonts w:eastAsia="MS PGothic" w:cs="Times New Roman"/>
          <w:b/>
          <w:w w:val="110"/>
          <w:sz w:val="44"/>
          <w:szCs w:val="44"/>
          <w:lang w:val="sr-Cyrl-RS" w:eastAsia="ja-JP"/>
        </w:rPr>
      </w:pPr>
    </w:p>
    <w:p w14:paraId="722A3525" w14:textId="77777777" w:rsidR="001A19D5" w:rsidRDefault="001A19D5" w:rsidP="001A19D5">
      <w:pPr>
        <w:spacing w:after="160" w:line="360" w:lineRule="auto"/>
        <w:jc w:val="center"/>
        <w:rPr>
          <w:rFonts w:eastAsia="MS PGothic" w:cs="Times New Roman"/>
          <w:b/>
          <w:w w:val="110"/>
          <w:sz w:val="44"/>
          <w:szCs w:val="44"/>
          <w:lang w:val="sr-Cyrl-RS" w:eastAsia="ja-JP"/>
        </w:rPr>
      </w:pPr>
    </w:p>
    <w:p w14:paraId="40C9044E" w14:textId="0407A743" w:rsidR="001A19D5" w:rsidRPr="00A6164C" w:rsidRDefault="001A19D5" w:rsidP="001A19D5">
      <w:pPr>
        <w:spacing w:after="160" w:line="360" w:lineRule="auto"/>
        <w:jc w:val="center"/>
        <w:rPr>
          <w:rFonts w:eastAsia="MS PGothic" w:cs="Times New Roman"/>
          <w:b/>
          <w:w w:val="110"/>
          <w:sz w:val="44"/>
          <w:szCs w:val="44"/>
          <w:lang w:val="sr-Cyrl-RS" w:eastAsia="ja-JP"/>
        </w:rPr>
      </w:pPr>
      <w:r w:rsidRPr="00A6164C">
        <w:rPr>
          <w:rFonts w:eastAsia="MS PGothic" w:cs="Times New Roman"/>
          <w:b/>
          <w:w w:val="110"/>
          <w:sz w:val="44"/>
          <w:szCs w:val="44"/>
          <w:lang w:val="sr-Cyrl-RS" w:eastAsia="ja-JP"/>
        </w:rPr>
        <w:t>ПРОГРАМ ЕКОНОМСКИХ РЕФОРМИ ЗА ПЕРИОД ОД 202</w:t>
      </w:r>
      <w:r>
        <w:rPr>
          <w:rFonts w:eastAsia="MS PGothic" w:cs="Times New Roman"/>
          <w:b/>
          <w:w w:val="110"/>
          <w:sz w:val="44"/>
          <w:szCs w:val="44"/>
          <w:lang w:eastAsia="ja-JP"/>
        </w:rPr>
        <w:t>3</w:t>
      </w:r>
      <w:r w:rsidRPr="00A6164C">
        <w:rPr>
          <w:rFonts w:eastAsia="MS PGothic" w:cs="Times New Roman"/>
          <w:b/>
          <w:w w:val="110"/>
          <w:sz w:val="44"/>
          <w:szCs w:val="44"/>
          <w:lang w:val="sr-Cyrl-RS" w:eastAsia="ja-JP"/>
        </w:rPr>
        <w:t>. ДО 202</w:t>
      </w:r>
      <w:r>
        <w:rPr>
          <w:rFonts w:eastAsia="MS PGothic" w:cs="Times New Roman"/>
          <w:b/>
          <w:w w:val="110"/>
          <w:sz w:val="44"/>
          <w:szCs w:val="44"/>
          <w:lang w:eastAsia="ja-JP"/>
        </w:rPr>
        <w:t>5</w:t>
      </w:r>
      <w:r w:rsidRPr="00A6164C">
        <w:rPr>
          <w:rFonts w:eastAsia="MS PGothic" w:cs="Times New Roman"/>
          <w:b/>
          <w:w w:val="110"/>
          <w:sz w:val="44"/>
          <w:szCs w:val="44"/>
          <w:lang w:val="sr-Cyrl-RS" w:eastAsia="ja-JP"/>
        </w:rPr>
        <w:t>. ГОДИНЕ</w:t>
      </w:r>
    </w:p>
    <w:p w14:paraId="7AB70DE8" w14:textId="77777777" w:rsidR="001A19D5" w:rsidRPr="00A6164C" w:rsidRDefault="001A19D5" w:rsidP="001A19D5">
      <w:pPr>
        <w:spacing w:after="160" w:line="259" w:lineRule="auto"/>
        <w:rPr>
          <w:rFonts w:eastAsia="MS PGothic" w:cs="Times New Roman"/>
          <w:b/>
          <w:w w:val="110"/>
          <w:sz w:val="26"/>
          <w:szCs w:val="26"/>
          <w:lang w:val="sr-Cyrl-RS" w:eastAsia="ja-JP"/>
        </w:rPr>
      </w:pPr>
    </w:p>
    <w:p w14:paraId="5B9D7ADC" w14:textId="77777777" w:rsidR="001A19D5" w:rsidRDefault="001A19D5" w:rsidP="001A19D5">
      <w:pPr>
        <w:spacing w:after="160" w:line="259" w:lineRule="auto"/>
        <w:rPr>
          <w:rFonts w:eastAsia="MS PGothic" w:cs="Times New Roman"/>
          <w:b/>
          <w:w w:val="110"/>
          <w:sz w:val="26"/>
          <w:szCs w:val="26"/>
          <w:lang w:val="sr-Cyrl-RS" w:eastAsia="ja-JP"/>
        </w:rPr>
      </w:pPr>
    </w:p>
    <w:p w14:paraId="437F343F" w14:textId="77777777" w:rsidR="001A19D5" w:rsidRDefault="001A19D5" w:rsidP="001A19D5">
      <w:pPr>
        <w:spacing w:after="160" w:line="259" w:lineRule="auto"/>
        <w:rPr>
          <w:rFonts w:eastAsia="MS PGothic" w:cs="Times New Roman"/>
          <w:b/>
          <w:w w:val="110"/>
          <w:sz w:val="26"/>
          <w:szCs w:val="26"/>
          <w:lang w:val="sr-Cyrl-RS" w:eastAsia="ja-JP"/>
        </w:rPr>
      </w:pPr>
    </w:p>
    <w:p w14:paraId="02042510" w14:textId="77777777" w:rsidR="001A19D5" w:rsidRDefault="001A19D5" w:rsidP="001A19D5">
      <w:pPr>
        <w:spacing w:after="160" w:line="259" w:lineRule="auto"/>
        <w:rPr>
          <w:rFonts w:eastAsia="MS PGothic" w:cs="Times New Roman"/>
          <w:b/>
          <w:w w:val="110"/>
          <w:sz w:val="26"/>
          <w:szCs w:val="26"/>
          <w:lang w:val="sr-Cyrl-RS" w:eastAsia="ja-JP"/>
        </w:rPr>
      </w:pPr>
    </w:p>
    <w:p w14:paraId="740E97EC" w14:textId="77777777" w:rsidR="001A19D5" w:rsidRDefault="001A19D5" w:rsidP="001A19D5">
      <w:pPr>
        <w:spacing w:after="160" w:line="259" w:lineRule="auto"/>
        <w:rPr>
          <w:rFonts w:eastAsia="MS PGothic" w:cs="Times New Roman"/>
          <w:b/>
          <w:w w:val="110"/>
          <w:sz w:val="26"/>
          <w:szCs w:val="26"/>
          <w:lang w:val="sr-Cyrl-RS" w:eastAsia="ja-JP"/>
        </w:rPr>
      </w:pPr>
    </w:p>
    <w:p w14:paraId="45341C31" w14:textId="77777777" w:rsidR="001A19D5" w:rsidRDefault="001A19D5" w:rsidP="001A19D5">
      <w:pPr>
        <w:spacing w:after="160" w:line="259" w:lineRule="auto"/>
        <w:rPr>
          <w:rFonts w:eastAsia="MS PGothic" w:cs="Times New Roman"/>
          <w:b/>
          <w:w w:val="110"/>
          <w:sz w:val="26"/>
          <w:szCs w:val="26"/>
          <w:lang w:val="sr-Cyrl-RS" w:eastAsia="ja-JP"/>
        </w:rPr>
      </w:pPr>
    </w:p>
    <w:p w14:paraId="2376CCD4" w14:textId="77777777" w:rsidR="001A19D5" w:rsidRDefault="001A19D5" w:rsidP="001A19D5">
      <w:pPr>
        <w:spacing w:after="160" w:line="259" w:lineRule="auto"/>
        <w:rPr>
          <w:rFonts w:eastAsia="MS PGothic" w:cs="Times New Roman"/>
          <w:b/>
          <w:w w:val="110"/>
          <w:sz w:val="26"/>
          <w:szCs w:val="26"/>
          <w:lang w:val="sr-Cyrl-RS" w:eastAsia="ja-JP"/>
        </w:rPr>
      </w:pPr>
    </w:p>
    <w:p w14:paraId="1F9CB384" w14:textId="77777777" w:rsidR="001A19D5" w:rsidRDefault="001A19D5" w:rsidP="001A19D5">
      <w:pPr>
        <w:spacing w:after="160" w:line="259" w:lineRule="auto"/>
        <w:rPr>
          <w:rFonts w:eastAsia="MS PGothic" w:cs="Times New Roman"/>
          <w:b/>
          <w:w w:val="110"/>
          <w:sz w:val="26"/>
          <w:szCs w:val="26"/>
          <w:lang w:val="sr-Cyrl-RS" w:eastAsia="ja-JP"/>
        </w:rPr>
      </w:pPr>
    </w:p>
    <w:p w14:paraId="599F81E7" w14:textId="0902251B" w:rsidR="001A19D5" w:rsidRPr="00575A40" w:rsidRDefault="001A19D5" w:rsidP="001A19D5">
      <w:pPr>
        <w:spacing w:after="160" w:line="259" w:lineRule="auto"/>
        <w:jc w:val="center"/>
        <w:rPr>
          <w:rFonts w:eastAsia="MS PGothic" w:cs="Times New Roman"/>
          <w:b/>
          <w:w w:val="110"/>
          <w:szCs w:val="24"/>
          <w:lang w:val="sr-Cyrl-RS" w:eastAsia="ja-JP"/>
        </w:rPr>
      </w:pPr>
      <w:r>
        <w:rPr>
          <w:rFonts w:eastAsia="MS PGothic" w:cs="Times New Roman"/>
          <w:b/>
          <w:w w:val="110"/>
          <w:szCs w:val="24"/>
          <w:lang w:val="sr-Cyrl-RS" w:eastAsia="ja-JP"/>
        </w:rPr>
        <w:t>Београд, јануара 202</w:t>
      </w:r>
      <w:r>
        <w:rPr>
          <w:rFonts w:eastAsia="MS PGothic" w:cs="Times New Roman"/>
          <w:b/>
          <w:w w:val="110"/>
          <w:szCs w:val="24"/>
          <w:lang w:eastAsia="ja-JP"/>
        </w:rPr>
        <w:t>3</w:t>
      </w:r>
      <w:r>
        <w:rPr>
          <w:rFonts w:eastAsia="MS PGothic" w:cs="Times New Roman"/>
          <w:b/>
          <w:w w:val="110"/>
          <w:szCs w:val="24"/>
          <w:lang w:val="sr-Cyrl-RS" w:eastAsia="ja-JP"/>
        </w:rPr>
        <w:t>. године</w:t>
      </w:r>
    </w:p>
    <w:p w14:paraId="4AE0D588" w14:textId="77777777" w:rsidR="001A19D5" w:rsidRDefault="001A19D5" w:rsidP="001A19D5">
      <w:pPr>
        <w:spacing w:after="160" w:line="259" w:lineRule="auto"/>
        <w:rPr>
          <w:lang w:val="sr-Cyrl-CS" w:eastAsia="ja-JP"/>
        </w:rPr>
      </w:pPr>
    </w:p>
    <w:p w14:paraId="16B8D9D0" w14:textId="22A94354" w:rsidR="001A19D5" w:rsidRDefault="001A19D5">
      <w:pPr>
        <w:spacing w:after="160" w:line="259" w:lineRule="auto"/>
        <w:jc w:val="left"/>
        <w:rPr>
          <w:lang w:val="sr-Cyrl-CS" w:eastAsia="ja-JP"/>
        </w:rPr>
      </w:pPr>
      <w:r>
        <w:rPr>
          <w:lang w:val="sr-Cyrl-CS" w:eastAsia="ja-JP"/>
        </w:rPr>
        <w:br w:type="page"/>
      </w:r>
    </w:p>
    <w:sdt>
      <w:sdtPr>
        <w:rPr>
          <w:rFonts w:ascii="Times New Roman" w:eastAsiaTheme="minorHAnsi" w:hAnsi="Times New Roman" w:cs="Times New Roman"/>
          <w:color w:val="auto"/>
          <w:sz w:val="22"/>
          <w:szCs w:val="22"/>
          <w:lang w:eastAsia="en-US"/>
        </w:rPr>
        <w:id w:val="605005205"/>
        <w:docPartObj>
          <w:docPartGallery w:val="Table of Contents"/>
          <w:docPartUnique/>
        </w:docPartObj>
      </w:sdtPr>
      <w:sdtEndPr>
        <w:rPr>
          <w:bCs/>
          <w:noProof/>
          <w:sz w:val="24"/>
        </w:rPr>
      </w:sdtEndPr>
      <w:sdtContent>
        <w:p w14:paraId="6110455D" w14:textId="77777777" w:rsidR="001A19D5" w:rsidRPr="000312CB" w:rsidRDefault="001A19D5" w:rsidP="001A19D5">
          <w:pPr>
            <w:pStyle w:val="TOCHeading"/>
            <w:rPr>
              <w:rFonts w:ascii="Times New Roman" w:eastAsia="MS PGothic" w:hAnsi="Times New Roman" w:cs="Times New Roman"/>
              <w:w w:val="110"/>
              <w:sz w:val="26"/>
              <w:szCs w:val="26"/>
              <w:lang w:val="sr-Cyrl-RS"/>
            </w:rPr>
          </w:pPr>
          <w:r w:rsidRPr="000312CB">
            <w:rPr>
              <w:rFonts w:ascii="Times New Roman" w:eastAsia="MS PGothic" w:hAnsi="Times New Roman" w:cs="Times New Roman"/>
              <w:w w:val="110"/>
              <w:sz w:val="26"/>
              <w:szCs w:val="26"/>
              <w:lang w:val="sr-Cyrl-RS"/>
            </w:rPr>
            <w:t>САДРЖАЈ</w:t>
          </w:r>
        </w:p>
        <w:p w14:paraId="4841E424" w14:textId="77777777" w:rsidR="001A19D5" w:rsidRPr="000312CB" w:rsidRDefault="001A19D5" w:rsidP="001A19D5">
          <w:pPr>
            <w:rPr>
              <w:rFonts w:cs="Times New Roman"/>
              <w:lang w:val="sr-Cyrl-RS" w:eastAsia="ja-JP"/>
            </w:rPr>
          </w:pPr>
        </w:p>
        <w:p w14:paraId="3AE279EF" w14:textId="4067982E" w:rsidR="008F5C3A" w:rsidRDefault="001A19D5">
          <w:pPr>
            <w:pStyle w:val="TOC1"/>
            <w:rPr>
              <w:rFonts w:asciiTheme="minorHAnsi" w:eastAsiaTheme="minorEastAsia" w:hAnsiTheme="minorHAnsi"/>
              <w:kern w:val="0"/>
              <w:sz w:val="22"/>
              <w:szCs w:val="22"/>
              <w:lang w:val="sr-Cyrl-RS" w:eastAsia="sr-Cyrl-RS"/>
            </w:rPr>
          </w:pPr>
          <w:r w:rsidRPr="000312CB">
            <w:rPr>
              <w:rFonts w:cs="Times New Roman"/>
            </w:rPr>
            <w:fldChar w:fldCharType="begin"/>
          </w:r>
          <w:r w:rsidRPr="000312CB">
            <w:rPr>
              <w:rFonts w:cs="Times New Roman"/>
            </w:rPr>
            <w:instrText xml:space="preserve"> TOC \o "1-3" \h \z \u </w:instrText>
          </w:r>
          <w:r w:rsidRPr="000312CB">
            <w:rPr>
              <w:rFonts w:cs="Times New Roman"/>
            </w:rPr>
            <w:fldChar w:fldCharType="separate"/>
          </w:r>
          <w:hyperlink w:anchor="_Toc126218605" w:history="1">
            <w:r w:rsidR="008F5C3A" w:rsidRPr="001B3A38">
              <w:rPr>
                <w:rStyle w:val="Hyperlink"/>
                <w:rFonts w:cs="Times New Roman"/>
                <w:b/>
                <w:lang w:val="sr-Cyrl-CS"/>
              </w:rPr>
              <w:t xml:space="preserve">1. </w:t>
            </w:r>
            <w:r w:rsidR="008F5C3A" w:rsidRPr="001B3A38">
              <w:rPr>
                <w:rStyle w:val="Hyperlink"/>
                <w:rFonts w:cs="Times New Roman"/>
                <w:b/>
                <w:caps/>
                <w:lang w:val="sr-Cyrl-CS"/>
              </w:rPr>
              <w:t>Општи оквир и циљеви јавне политике</w:t>
            </w:r>
            <w:r w:rsidR="008F5C3A">
              <w:rPr>
                <w:webHidden/>
              </w:rPr>
              <w:tab/>
            </w:r>
            <w:r w:rsidR="008F5C3A">
              <w:rPr>
                <w:webHidden/>
              </w:rPr>
              <w:fldChar w:fldCharType="begin"/>
            </w:r>
            <w:r w:rsidR="008F5C3A">
              <w:rPr>
                <w:webHidden/>
              </w:rPr>
              <w:instrText xml:space="preserve"> PAGEREF _Toc126218605 \h </w:instrText>
            </w:r>
            <w:r w:rsidR="008F5C3A">
              <w:rPr>
                <w:webHidden/>
              </w:rPr>
            </w:r>
            <w:r w:rsidR="008F5C3A">
              <w:rPr>
                <w:webHidden/>
              </w:rPr>
              <w:fldChar w:fldCharType="separate"/>
            </w:r>
            <w:r w:rsidR="006F0710">
              <w:rPr>
                <w:webHidden/>
              </w:rPr>
              <w:t>4</w:t>
            </w:r>
            <w:r w:rsidR="008F5C3A">
              <w:rPr>
                <w:webHidden/>
              </w:rPr>
              <w:fldChar w:fldCharType="end"/>
            </w:r>
          </w:hyperlink>
        </w:p>
        <w:p w14:paraId="1D6C9A59" w14:textId="5521649C" w:rsidR="008F5C3A" w:rsidRDefault="00000000">
          <w:pPr>
            <w:pStyle w:val="TOC1"/>
            <w:rPr>
              <w:rFonts w:asciiTheme="minorHAnsi" w:eastAsiaTheme="minorEastAsia" w:hAnsiTheme="minorHAnsi"/>
              <w:kern w:val="0"/>
              <w:sz w:val="22"/>
              <w:szCs w:val="22"/>
              <w:lang w:val="sr-Cyrl-RS" w:eastAsia="sr-Cyrl-RS"/>
            </w:rPr>
          </w:pPr>
          <w:hyperlink w:anchor="_Toc126218606" w:history="1">
            <w:r w:rsidR="008F5C3A" w:rsidRPr="001B3A38">
              <w:rPr>
                <w:rStyle w:val="Hyperlink"/>
                <w:rFonts w:cs="Times New Roman"/>
                <w:b/>
                <w:w w:val="110"/>
                <w:lang w:val="sr-Cyrl-CS"/>
              </w:rPr>
              <w:t>2. СПРОВОЂЕЊЕ ПРЕПОРУКА</w:t>
            </w:r>
            <w:r w:rsidR="008F5C3A">
              <w:rPr>
                <w:webHidden/>
              </w:rPr>
              <w:tab/>
            </w:r>
            <w:r w:rsidR="008F5C3A">
              <w:rPr>
                <w:webHidden/>
              </w:rPr>
              <w:fldChar w:fldCharType="begin"/>
            </w:r>
            <w:r w:rsidR="008F5C3A">
              <w:rPr>
                <w:webHidden/>
              </w:rPr>
              <w:instrText xml:space="preserve"> PAGEREF _Toc126218606 \h </w:instrText>
            </w:r>
            <w:r w:rsidR="008F5C3A">
              <w:rPr>
                <w:webHidden/>
              </w:rPr>
            </w:r>
            <w:r w:rsidR="008F5C3A">
              <w:rPr>
                <w:webHidden/>
              </w:rPr>
              <w:fldChar w:fldCharType="separate"/>
            </w:r>
            <w:r w:rsidR="006F0710">
              <w:rPr>
                <w:webHidden/>
              </w:rPr>
              <w:t>5</w:t>
            </w:r>
            <w:r w:rsidR="008F5C3A">
              <w:rPr>
                <w:webHidden/>
              </w:rPr>
              <w:fldChar w:fldCharType="end"/>
            </w:r>
          </w:hyperlink>
        </w:p>
        <w:p w14:paraId="6A69F79C" w14:textId="70B1F79D" w:rsidR="008F5C3A" w:rsidRDefault="00000000">
          <w:pPr>
            <w:pStyle w:val="TOC1"/>
            <w:rPr>
              <w:rFonts w:asciiTheme="minorHAnsi" w:eastAsiaTheme="minorEastAsia" w:hAnsiTheme="minorHAnsi"/>
              <w:kern w:val="0"/>
              <w:sz w:val="22"/>
              <w:szCs w:val="22"/>
              <w:lang w:val="sr-Cyrl-RS" w:eastAsia="sr-Cyrl-RS"/>
            </w:rPr>
          </w:pPr>
          <w:hyperlink w:anchor="_Toc126218607" w:history="1">
            <w:r w:rsidR="008F5C3A" w:rsidRPr="001B3A38">
              <w:rPr>
                <w:rStyle w:val="Hyperlink"/>
                <w:rFonts w:cs="Times New Roman"/>
                <w:b/>
                <w:lang w:val="sr-Cyrl-CS"/>
              </w:rPr>
              <w:t>3. МАКРОЕКОНОМСКИ ОКВИР</w:t>
            </w:r>
            <w:r w:rsidR="008F5C3A">
              <w:rPr>
                <w:webHidden/>
              </w:rPr>
              <w:tab/>
            </w:r>
            <w:r w:rsidR="008F5C3A">
              <w:rPr>
                <w:webHidden/>
              </w:rPr>
              <w:fldChar w:fldCharType="begin"/>
            </w:r>
            <w:r w:rsidR="008F5C3A">
              <w:rPr>
                <w:webHidden/>
              </w:rPr>
              <w:instrText xml:space="preserve"> PAGEREF _Toc126218607 \h </w:instrText>
            </w:r>
            <w:r w:rsidR="008F5C3A">
              <w:rPr>
                <w:webHidden/>
              </w:rPr>
            </w:r>
            <w:r w:rsidR="008F5C3A">
              <w:rPr>
                <w:webHidden/>
              </w:rPr>
              <w:fldChar w:fldCharType="separate"/>
            </w:r>
            <w:r w:rsidR="006F0710">
              <w:rPr>
                <w:webHidden/>
              </w:rPr>
              <w:t>16</w:t>
            </w:r>
            <w:r w:rsidR="008F5C3A">
              <w:rPr>
                <w:webHidden/>
              </w:rPr>
              <w:fldChar w:fldCharType="end"/>
            </w:r>
          </w:hyperlink>
        </w:p>
        <w:p w14:paraId="7E4D0D1C" w14:textId="0AFC759A" w:rsidR="008F5C3A" w:rsidRDefault="00000000">
          <w:pPr>
            <w:pStyle w:val="TOC2"/>
            <w:rPr>
              <w:rFonts w:asciiTheme="minorHAnsi" w:eastAsiaTheme="minorEastAsia" w:hAnsiTheme="minorHAnsi"/>
              <w:sz w:val="22"/>
              <w:szCs w:val="22"/>
              <w:lang w:eastAsia="sr-Cyrl-RS"/>
            </w:rPr>
          </w:pPr>
          <w:hyperlink w:anchor="_Toc126218608" w:history="1">
            <w:r w:rsidR="008F5C3A" w:rsidRPr="001B3A38">
              <w:rPr>
                <w:rStyle w:val="Hyperlink"/>
                <w:rFonts w:eastAsia="Calibri" w:cs="Times New Roman"/>
                <w:b/>
                <w:lang w:val="sr-Cyrl-CS"/>
              </w:rPr>
              <w:t>3.1. ПРОЦЕНЕ МЕЂУНАРОДНОГ ЕКОНОМСКОГ ОКРУЖЕЊА</w:t>
            </w:r>
            <w:r w:rsidR="008F5C3A">
              <w:rPr>
                <w:webHidden/>
              </w:rPr>
              <w:tab/>
            </w:r>
            <w:r w:rsidR="008F5C3A">
              <w:rPr>
                <w:webHidden/>
              </w:rPr>
              <w:fldChar w:fldCharType="begin"/>
            </w:r>
            <w:r w:rsidR="008F5C3A">
              <w:rPr>
                <w:webHidden/>
              </w:rPr>
              <w:instrText xml:space="preserve"> PAGEREF _Toc126218608 \h </w:instrText>
            </w:r>
            <w:r w:rsidR="008F5C3A">
              <w:rPr>
                <w:webHidden/>
              </w:rPr>
            </w:r>
            <w:r w:rsidR="008F5C3A">
              <w:rPr>
                <w:webHidden/>
              </w:rPr>
              <w:fldChar w:fldCharType="separate"/>
            </w:r>
            <w:r w:rsidR="006F0710">
              <w:rPr>
                <w:webHidden/>
              </w:rPr>
              <w:t>16</w:t>
            </w:r>
            <w:r w:rsidR="008F5C3A">
              <w:rPr>
                <w:webHidden/>
              </w:rPr>
              <w:fldChar w:fldCharType="end"/>
            </w:r>
          </w:hyperlink>
        </w:p>
        <w:p w14:paraId="6CFCEB86" w14:textId="13A9AFA2" w:rsidR="008F5C3A" w:rsidRDefault="00000000">
          <w:pPr>
            <w:pStyle w:val="TOC2"/>
            <w:rPr>
              <w:rFonts w:asciiTheme="minorHAnsi" w:eastAsiaTheme="minorEastAsia" w:hAnsiTheme="minorHAnsi"/>
              <w:sz w:val="22"/>
              <w:szCs w:val="22"/>
              <w:lang w:eastAsia="sr-Cyrl-RS"/>
            </w:rPr>
          </w:pPr>
          <w:hyperlink w:anchor="_Toc126218609" w:history="1">
            <w:r w:rsidR="008F5C3A" w:rsidRPr="001B3A38">
              <w:rPr>
                <w:rStyle w:val="Hyperlink"/>
                <w:rFonts w:eastAsia="Calibri" w:cs="Times New Roman"/>
                <w:b/>
                <w:lang w:val="sr-Cyrl-CS"/>
              </w:rPr>
              <w:t>3.2. НОВИЈА ЕКОНОМСКА КРЕТАЊА</w:t>
            </w:r>
            <w:r w:rsidR="008F5C3A">
              <w:rPr>
                <w:webHidden/>
              </w:rPr>
              <w:tab/>
            </w:r>
            <w:r w:rsidR="008F5C3A">
              <w:rPr>
                <w:webHidden/>
              </w:rPr>
              <w:fldChar w:fldCharType="begin"/>
            </w:r>
            <w:r w:rsidR="008F5C3A">
              <w:rPr>
                <w:webHidden/>
              </w:rPr>
              <w:instrText xml:space="preserve"> PAGEREF _Toc126218609 \h </w:instrText>
            </w:r>
            <w:r w:rsidR="008F5C3A">
              <w:rPr>
                <w:webHidden/>
              </w:rPr>
            </w:r>
            <w:r w:rsidR="008F5C3A">
              <w:rPr>
                <w:webHidden/>
              </w:rPr>
              <w:fldChar w:fldCharType="separate"/>
            </w:r>
            <w:r w:rsidR="006F0710">
              <w:rPr>
                <w:webHidden/>
              </w:rPr>
              <w:t>20</w:t>
            </w:r>
            <w:r w:rsidR="008F5C3A">
              <w:rPr>
                <w:webHidden/>
              </w:rPr>
              <w:fldChar w:fldCharType="end"/>
            </w:r>
          </w:hyperlink>
        </w:p>
        <w:p w14:paraId="3DE4535D" w14:textId="3F5EBB2B" w:rsidR="008F5C3A" w:rsidRDefault="00000000">
          <w:pPr>
            <w:pStyle w:val="TOC2"/>
            <w:rPr>
              <w:rFonts w:asciiTheme="minorHAnsi" w:eastAsiaTheme="minorEastAsia" w:hAnsiTheme="minorHAnsi"/>
              <w:sz w:val="22"/>
              <w:szCs w:val="22"/>
              <w:lang w:eastAsia="sr-Cyrl-RS"/>
            </w:rPr>
          </w:pPr>
          <w:hyperlink w:anchor="_Toc126218610" w:history="1">
            <w:r w:rsidR="008F5C3A" w:rsidRPr="001B3A38">
              <w:rPr>
                <w:rStyle w:val="Hyperlink"/>
                <w:rFonts w:eastAsia="Calibri" w:cs="Times New Roman"/>
                <w:b/>
                <w:lang w:val="sr-Cyrl-CS"/>
              </w:rPr>
              <w:t>3.3. СРЕДЊОРОЧНИ МАКРОЕКОНОМСКИ СЦЕНАРИО</w:t>
            </w:r>
            <w:r w:rsidR="008F5C3A">
              <w:rPr>
                <w:webHidden/>
              </w:rPr>
              <w:tab/>
            </w:r>
            <w:r w:rsidR="008F5C3A">
              <w:rPr>
                <w:webHidden/>
              </w:rPr>
              <w:fldChar w:fldCharType="begin"/>
            </w:r>
            <w:r w:rsidR="008F5C3A">
              <w:rPr>
                <w:webHidden/>
              </w:rPr>
              <w:instrText xml:space="preserve"> PAGEREF _Toc126218610 \h </w:instrText>
            </w:r>
            <w:r w:rsidR="008F5C3A">
              <w:rPr>
                <w:webHidden/>
              </w:rPr>
            </w:r>
            <w:r w:rsidR="008F5C3A">
              <w:rPr>
                <w:webHidden/>
              </w:rPr>
              <w:fldChar w:fldCharType="separate"/>
            </w:r>
            <w:r w:rsidR="006F0710">
              <w:rPr>
                <w:webHidden/>
              </w:rPr>
              <w:t>29</w:t>
            </w:r>
            <w:r w:rsidR="008F5C3A">
              <w:rPr>
                <w:webHidden/>
              </w:rPr>
              <w:fldChar w:fldCharType="end"/>
            </w:r>
          </w:hyperlink>
        </w:p>
        <w:p w14:paraId="7B5EEEF9" w14:textId="0148B9DC" w:rsidR="008F5C3A" w:rsidRDefault="00000000">
          <w:pPr>
            <w:pStyle w:val="TOC2"/>
            <w:rPr>
              <w:rFonts w:asciiTheme="minorHAnsi" w:eastAsiaTheme="minorEastAsia" w:hAnsiTheme="minorHAnsi"/>
              <w:sz w:val="22"/>
              <w:szCs w:val="22"/>
              <w:lang w:eastAsia="sr-Cyrl-RS"/>
            </w:rPr>
          </w:pPr>
          <w:hyperlink w:anchor="_Toc126218611" w:history="1">
            <w:r w:rsidR="008F5C3A" w:rsidRPr="001B3A38">
              <w:rPr>
                <w:rStyle w:val="Hyperlink"/>
                <w:rFonts w:eastAsia="Calibri" w:cs="Times New Roman"/>
                <w:b/>
                <w:lang w:val="sr-Cyrl-CS"/>
              </w:rPr>
              <w:t>3.4. АЛТЕРНАТИВНИ СЦЕНАРИО И РИЗИЦИ</w:t>
            </w:r>
            <w:r w:rsidR="008F5C3A">
              <w:rPr>
                <w:webHidden/>
              </w:rPr>
              <w:tab/>
            </w:r>
            <w:r w:rsidR="008F5C3A">
              <w:rPr>
                <w:webHidden/>
              </w:rPr>
              <w:fldChar w:fldCharType="begin"/>
            </w:r>
            <w:r w:rsidR="008F5C3A">
              <w:rPr>
                <w:webHidden/>
              </w:rPr>
              <w:instrText xml:space="preserve"> PAGEREF _Toc126218611 \h </w:instrText>
            </w:r>
            <w:r w:rsidR="008F5C3A">
              <w:rPr>
                <w:webHidden/>
              </w:rPr>
            </w:r>
            <w:r w:rsidR="008F5C3A">
              <w:rPr>
                <w:webHidden/>
              </w:rPr>
              <w:fldChar w:fldCharType="separate"/>
            </w:r>
            <w:r w:rsidR="006F0710">
              <w:rPr>
                <w:webHidden/>
              </w:rPr>
              <w:t>36</w:t>
            </w:r>
            <w:r w:rsidR="008F5C3A">
              <w:rPr>
                <w:webHidden/>
              </w:rPr>
              <w:fldChar w:fldCharType="end"/>
            </w:r>
          </w:hyperlink>
        </w:p>
        <w:p w14:paraId="0402BEA5" w14:textId="79B85243" w:rsidR="008F5C3A" w:rsidRDefault="00000000">
          <w:pPr>
            <w:pStyle w:val="TOC1"/>
            <w:rPr>
              <w:rFonts w:asciiTheme="minorHAnsi" w:eastAsiaTheme="minorEastAsia" w:hAnsiTheme="minorHAnsi"/>
              <w:kern w:val="0"/>
              <w:sz w:val="22"/>
              <w:szCs w:val="22"/>
              <w:lang w:val="sr-Cyrl-RS" w:eastAsia="sr-Cyrl-RS"/>
            </w:rPr>
          </w:pPr>
          <w:hyperlink w:anchor="_Toc126218612" w:history="1">
            <w:r w:rsidR="008F5C3A" w:rsidRPr="001B3A38">
              <w:rPr>
                <w:rStyle w:val="Hyperlink"/>
                <w:rFonts w:eastAsiaTheme="majorEastAsia" w:cs="Times New Roman"/>
                <w:b/>
                <w:lang w:val="sr-Cyrl-CS"/>
              </w:rPr>
              <w:t>4. ФИСКАЛНИ ОКВИР</w:t>
            </w:r>
            <w:r w:rsidR="008F5C3A">
              <w:rPr>
                <w:webHidden/>
              </w:rPr>
              <w:tab/>
            </w:r>
            <w:r w:rsidR="008F5C3A">
              <w:rPr>
                <w:webHidden/>
              </w:rPr>
              <w:fldChar w:fldCharType="begin"/>
            </w:r>
            <w:r w:rsidR="008F5C3A">
              <w:rPr>
                <w:webHidden/>
              </w:rPr>
              <w:instrText xml:space="preserve"> PAGEREF _Toc126218612 \h </w:instrText>
            </w:r>
            <w:r w:rsidR="008F5C3A">
              <w:rPr>
                <w:webHidden/>
              </w:rPr>
            </w:r>
            <w:r w:rsidR="008F5C3A">
              <w:rPr>
                <w:webHidden/>
              </w:rPr>
              <w:fldChar w:fldCharType="separate"/>
            </w:r>
            <w:r w:rsidR="006F0710">
              <w:rPr>
                <w:webHidden/>
              </w:rPr>
              <w:t>37</w:t>
            </w:r>
            <w:r w:rsidR="008F5C3A">
              <w:rPr>
                <w:webHidden/>
              </w:rPr>
              <w:fldChar w:fldCharType="end"/>
            </w:r>
          </w:hyperlink>
        </w:p>
        <w:p w14:paraId="785880E7" w14:textId="315014E7" w:rsidR="008F5C3A" w:rsidRDefault="00000000">
          <w:pPr>
            <w:pStyle w:val="TOC2"/>
            <w:rPr>
              <w:rFonts w:asciiTheme="minorHAnsi" w:eastAsiaTheme="minorEastAsia" w:hAnsiTheme="minorHAnsi"/>
              <w:sz w:val="22"/>
              <w:szCs w:val="22"/>
              <w:lang w:eastAsia="sr-Cyrl-RS"/>
            </w:rPr>
          </w:pPr>
          <w:hyperlink w:anchor="_Toc126218613" w:history="1">
            <w:r w:rsidR="008F5C3A" w:rsidRPr="001B3A38">
              <w:rPr>
                <w:rStyle w:val="Hyperlink"/>
                <w:rFonts w:eastAsiaTheme="majorEastAsia" w:cs="Times New Roman"/>
                <w:b/>
                <w:lang w:val="sr-Cyrl-CS"/>
              </w:rPr>
              <w:t>4.1. СТРАТЕГИЈА ЈАВНЕ ПОЛИТИКЕ И СРЕДЊОРОЧНИ ЦИЉЕВИ</w:t>
            </w:r>
            <w:r w:rsidR="008F5C3A">
              <w:rPr>
                <w:webHidden/>
              </w:rPr>
              <w:tab/>
            </w:r>
            <w:r w:rsidR="008F5C3A">
              <w:rPr>
                <w:webHidden/>
              </w:rPr>
              <w:fldChar w:fldCharType="begin"/>
            </w:r>
            <w:r w:rsidR="008F5C3A">
              <w:rPr>
                <w:webHidden/>
              </w:rPr>
              <w:instrText xml:space="preserve"> PAGEREF _Toc126218613 \h </w:instrText>
            </w:r>
            <w:r w:rsidR="008F5C3A">
              <w:rPr>
                <w:webHidden/>
              </w:rPr>
            </w:r>
            <w:r w:rsidR="008F5C3A">
              <w:rPr>
                <w:webHidden/>
              </w:rPr>
              <w:fldChar w:fldCharType="separate"/>
            </w:r>
            <w:r w:rsidR="006F0710">
              <w:rPr>
                <w:webHidden/>
              </w:rPr>
              <w:t>37</w:t>
            </w:r>
            <w:r w:rsidR="008F5C3A">
              <w:rPr>
                <w:webHidden/>
              </w:rPr>
              <w:fldChar w:fldCharType="end"/>
            </w:r>
          </w:hyperlink>
        </w:p>
        <w:p w14:paraId="76560A43" w14:textId="4928F97C" w:rsidR="008F5C3A" w:rsidRDefault="00000000">
          <w:pPr>
            <w:pStyle w:val="TOC2"/>
            <w:rPr>
              <w:rFonts w:asciiTheme="minorHAnsi" w:eastAsiaTheme="minorEastAsia" w:hAnsiTheme="minorHAnsi"/>
              <w:sz w:val="22"/>
              <w:szCs w:val="22"/>
              <w:lang w:eastAsia="sr-Cyrl-RS"/>
            </w:rPr>
          </w:pPr>
          <w:hyperlink w:anchor="_Toc126218614" w:history="1">
            <w:r w:rsidR="008F5C3A" w:rsidRPr="001B3A38">
              <w:rPr>
                <w:rStyle w:val="Hyperlink"/>
                <w:rFonts w:eastAsia="Calibri" w:cs="Times New Roman"/>
                <w:b/>
                <w:lang w:val="sr-Cyrl-CS"/>
              </w:rPr>
              <w:t>4.2. ИЗВРШЕЊЕ БУЏЕТА У 2021. ГОДИНИ</w:t>
            </w:r>
            <w:r w:rsidR="008F5C3A">
              <w:rPr>
                <w:webHidden/>
              </w:rPr>
              <w:tab/>
            </w:r>
            <w:r w:rsidR="008F5C3A">
              <w:rPr>
                <w:webHidden/>
              </w:rPr>
              <w:fldChar w:fldCharType="begin"/>
            </w:r>
            <w:r w:rsidR="008F5C3A">
              <w:rPr>
                <w:webHidden/>
              </w:rPr>
              <w:instrText xml:space="preserve"> PAGEREF _Toc126218614 \h </w:instrText>
            </w:r>
            <w:r w:rsidR="008F5C3A">
              <w:rPr>
                <w:webHidden/>
              </w:rPr>
            </w:r>
            <w:r w:rsidR="008F5C3A">
              <w:rPr>
                <w:webHidden/>
              </w:rPr>
              <w:fldChar w:fldCharType="separate"/>
            </w:r>
            <w:r w:rsidR="006F0710">
              <w:rPr>
                <w:webHidden/>
              </w:rPr>
              <w:t>38</w:t>
            </w:r>
            <w:r w:rsidR="008F5C3A">
              <w:rPr>
                <w:webHidden/>
              </w:rPr>
              <w:fldChar w:fldCharType="end"/>
            </w:r>
          </w:hyperlink>
        </w:p>
        <w:p w14:paraId="5DD49F5A" w14:textId="19611C75" w:rsidR="008F5C3A" w:rsidRDefault="00000000">
          <w:pPr>
            <w:pStyle w:val="TOC2"/>
            <w:rPr>
              <w:rFonts w:asciiTheme="minorHAnsi" w:eastAsiaTheme="minorEastAsia" w:hAnsiTheme="minorHAnsi"/>
              <w:sz w:val="22"/>
              <w:szCs w:val="22"/>
              <w:lang w:eastAsia="sr-Cyrl-RS"/>
            </w:rPr>
          </w:pPr>
          <w:hyperlink w:anchor="_Toc126218615" w:history="1">
            <w:r w:rsidR="008F5C3A" w:rsidRPr="001B3A38">
              <w:rPr>
                <w:rStyle w:val="Hyperlink"/>
                <w:rFonts w:eastAsiaTheme="majorEastAsia" w:cs="Times New Roman"/>
                <w:b/>
                <w:lang w:val="sr-Cyrl-CS"/>
              </w:rPr>
              <w:t>4.3. ФИСКАЛНЕ ПРОЈЕКЦИЈЕ У ПЕРИОДУ 2023–2025. ГОДИНЕ</w:t>
            </w:r>
            <w:r w:rsidR="008F5C3A">
              <w:rPr>
                <w:webHidden/>
              </w:rPr>
              <w:tab/>
            </w:r>
            <w:r w:rsidR="008F5C3A">
              <w:rPr>
                <w:webHidden/>
              </w:rPr>
              <w:fldChar w:fldCharType="begin"/>
            </w:r>
            <w:r w:rsidR="008F5C3A">
              <w:rPr>
                <w:webHidden/>
              </w:rPr>
              <w:instrText xml:space="preserve"> PAGEREF _Toc126218615 \h </w:instrText>
            </w:r>
            <w:r w:rsidR="008F5C3A">
              <w:rPr>
                <w:webHidden/>
              </w:rPr>
            </w:r>
            <w:r w:rsidR="008F5C3A">
              <w:rPr>
                <w:webHidden/>
              </w:rPr>
              <w:fldChar w:fldCharType="separate"/>
            </w:r>
            <w:r w:rsidR="006F0710">
              <w:rPr>
                <w:webHidden/>
              </w:rPr>
              <w:t>47</w:t>
            </w:r>
            <w:r w:rsidR="008F5C3A">
              <w:rPr>
                <w:webHidden/>
              </w:rPr>
              <w:fldChar w:fldCharType="end"/>
            </w:r>
          </w:hyperlink>
        </w:p>
        <w:p w14:paraId="40F23901" w14:textId="759B7130" w:rsidR="008F5C3A" w:rsidRDefault="00000000">
          <w:pPr>
            <w:pStyle w:val="TOC2"/>
            <w:rPr>
              <w:rFonts w:asciiTheme="minorHAnsi" w:eastAsiaTheme="minorEastAsia" w:hAnsiTheme="minorHAnsi"/>
              <w:sz w:val="22"/>
              <w:szCs w:val="22"/>
              <w:lang w:eastAsia="sr-Cyrl-RS"/>
            </w:rPr>
          </w:pPr>
          <w:hyperlink w:anchor="_Toc126218616" w:history="1">
            <w:r w:rsidR="008F5C3A" w:rsidRPr="001B3A38">
              <w:rPr>
                <w:rStyle w:val="Hyperlink"/>
                <w:rFonts w:ascii="Times New Roman" w:eastAsia="Calibri" w:hAnsi="Times New Roman" w:cs="Times New Roman"/>
                <w:b/>
                <w:lang w:val="sr-Cyrl-CS"/>
              </w:rPr>
              <w:t>4.4. ЦИКЛИЧНО ПРИЛАГОЂЕНИ ФИСКАЛНИ БИЛАНС</w:t>
            </w:r>
            <w:r w:rsidR="008F5C3A">
              <w:rPr>
                <w:webHidden/>
              </w:rPr>
              <w:tab/>
            </w:r>
            <w:r w:rsidR="008F5C3A">
              <w:rPr>
                <w:webHidden/>
              </w:rPr>
              <w:fldChar w:fldCharType="begin"/>
            </w:r>
            <w:r w:rsidR="008F5C3A">
              <w:rPr>
                <w:webHidden/>
              </w:rPr>
              <w:instrText xml:space="preserve"> PAGEREF _Toc126218616 \h </w:instrText>
            </w:r>
            <w:r w:rsidR="008F5C3A">
              <w:rPr>
                <w:webHidden/>
              </w:rPr>
            </w:r>
            <w:r w:rsidR="008F5C3A">
              <w:rPr>
                <w:webHidden/>
              </w:rPr>
              <w:fldChar w:fldCharType="separate"/>
            </w:r>
            <w:r w:rsidR="006F0710">
              <w:rPr>
                <w:webHidden/>
              </w:rPr>
              <w:t>54</w:t>
            </w:r>
            <w:r w:rsidR="008F5C3A">
              <w:rPr>
                <w:webHidden/>
              </w:rPr>
              <w:fldChar w:fldCharType="end"/>
            </w:r>
          </w:hyperlink>
        </w:p>
        <w:p w14:paraId="2781B820" w14:textId="58065916" w:rsidR="008F5C3A" w:rsidRDefault="00000000">
          <w:pPr>
            <w:pStyle w:val="TOC2"/>
            <w:rPr>
              <w:rFonts w:asciiTheme="minorHAnsi" w:eastAsiaTheme="minorEastAsia" w:hAnsiTheme="minorHAnsi"/>
              <w:sz w:val="22"/>
              <w:szCs w:val="22"/>
              <w:lang w:eastAsia="sr-Cyrl-RS"/>
            </w:rPr>
          </w:pPr>
          <w:hyperlink w:anchor="_Toc126218617" w:history="1">
            <w:r w:rsidR="008F5C3A" w:rsidRPr="001B3A38">
              <w:rPr>
                <w:rStyle w:val="Hyperlink"/>
                <w:rFonts w:ascii="Times New Roman" w:eastAsia="Calibri" w:hAnsi="Times New Roman" w:cs="Times New Roman"/>
                <w:b/>
                <w:lang w:val="sr-Cyrl-CS"/>
              </w:rPr>
              <w:t>4.5. УПРАВЉАЊЕ ЈАВНИМ ДУГОМ</w:t>
            </w:r>
            <w:r w:rsidR="008F5C3A">
              <w:rPr>
                <w:webHidden/>
              </w:rPr>
              <w:tab/>
            </w:r>
            <w:r w:rsidR="008F5C3A">
              <w:rPr>
                <w:webHidden/>
              </w:rPr>
              <w:fldChar w:fldCharType="begin"/>
            </w:r>
            <w:r w:rsidR="008F5C3A">
              <w:rPr>
                <w:webHidden/>
              </w:rPr>
              <w:instrText xml:space="preserve"> PAGEREF _Toc126218617 \h </w:instrText>
            </w:r>
            <w:r w:rsidR="008F5C3A">
              <w:rPr>
                <w:webHidden/>
              </w:rPr>
            </w:r>
            <w:r w:rsidR="008F5C3A">
              <w:rPr>
                <w:webHidden/>
              </w:rPr>
              <w:fldChar w:fldCharType="separate"/>
            </w:r>
            <w:r w:rsidR="006F0710">
              <w:rPr>
                <w:webHidden/>
              </w:rPr>
              <w:t>57</w:t>
            </w:r>
            <w:r w:rsidR="008F5C3A">
              <w:rPr>
                <w:webHidden/>
              </w:rPr>
              <w:fldChar w:fldCharType="end"/>
            </w:r>
          </w:hyperlink>
        </w:p>
        <w:p w14:paraId="36817885" w14:textId="0BFF0F1C" w:rsidR="008F5C3A" w:rsidRDefault="00000000">
          <w:pPr>
            <w:pStyle w:val="TOC2"/>
            <w:rPr>
              <w:rFonts w:asciiTheme="minorHAnsi" w:eastAsiaTheme="minorEastAsia" w:hAnsiTheme="minorHAnsi"/>
              <w:sz w:val="22"/>
              <w:szCs w:val="22"/>
              <w:lang w:eastAsia="sr-Cyrl-RS"/>
            </w:rPr>
          </w:pPr>
          <w:hyperlink w:anchor="_Toc126218618" w:history="1">
            <w:r w:rsidR="008F5C3A" w:rsidRPr="001B3A38">
              <w:rPr>
                <w:rStyle w:val="Hyperlink"/>
                <w:rFonts w:ascii="Times New Roman" w:eastAsia="Calibri" w:hAnsi="Times New Roman" w:cs="Times New Roman"/>
                <w:b/>
                <w:lang w:val="sr-Cyrl-CS"/>
              </w:rPr>
              <w:t>4.6. АНАЛИЗА ОСЕТЉИВОСТИ И ПОРЕЂЕЊЕ СА ПРЕТХОДНИМ ПРОГРАМОМ</w:t>
            </w:r>
            <w:r w:rsidR="008F5C3A">
              <w:rPr>
                <w:webHidden/>
              </w:rPr>
              <w:tab/>
            </w:r>
            <w:r w:rsidR="008F5C3A">
              <w:rPr>
                <w:webHidden/>
              </w:rPr>
              <w:fldChar w:fldCharType="begin"/>
            </w:r>
            <w:r w:rsidR="008F5C3A">
              <w:rPr>
                <w:webHidden/>
              </w:rPr>
              <w:instrText xml:space="preserve"> PAGEREF _Toc126218618 \h </w:instrText>
            </w:r>
            <w:r w:rsidR="008F5C3A">
              <w:rPr>
                <w:webHidden/>
              </w:rPr>
            </w:r>
            <w:r w:rsidR="008F5C3A">
              <w:rPr>
                <w:webHidden/>
              </w:rPr>
              <w:fldChar w:fldCharType="separate"/>
            </w:r>
            <w:r w:rsidR="006F0710">
              <w:rPr>
                <w:webHidden/>
              </w:rPr>
              <w:t>59</w:t>
            </w:r>
            <w:r w:rsidR="008F5C3A">
              <w:rPr>
                <w:webHidden/>
              </w:rPr>
              <w:fldChar w:fldCharType="end"/>
            </w:r>
          </w:hyperlink>
        </w:p>
        <w:p w14:paraId="1FF95871" w14:textId="5F3A6BD8" w:rsidR="008F5C3A" w:rsidRDefault="00000000">
          <w:pPr>
            <w:pStyle w:val="TOC2"/>
            <w:rPr>
              <w:rFonts w:asciiTheme="minorHAnsi" w:eastAsiaTheme="minorEastAsia" w:hAnsiTheme="minorHAnsi"/>
              <w:sz w:val="22"/>
              <w:szCs w:val="22"/>
              <w:lang w:eastAsia="sr-Cyrl-RS"/>
            </w:rPr>
          </w:pPr>
          <w:hyperlink w:anchor="_Toc126218619" w:history="1">
            <w:r w:rsidR="008F5C3A" w:rsidRPr="001B3A38">
              <w:rPr>
                <w:rStyle w:val="Hyperlink"/>
                <w:rFonts w:eastAsia="Calibri" w:cs="Times New Roman"/>
                <w:b/>
                <w:lang w:val="sr-Cyrl-CS"/>
              </w:rPr>
              <w:t>4.7. КВАЛИТЕТ ЈАВНИХ ФИНАНСИЈА</w:t>
            </w:r>
            <w:r w:rsidR="008F5C3A">
              <w:rPr>
                <w:webHidden/>
              </w:rPr>
              <w:tab/>
            </w:r>
            <w:r w:rsidR="008F5C3A">
              <w:rPr>
                <w:webHidden/>
              </w:rPr>
              <w:fldChar w:fldCharType="begin"/>
            </w:r>
            <w:r w:rsidR="008F5C3A">
              <w:rPr>
                <w:webHidden/>
              </w:rPr>
              <w:instrText xml:space="preserve"> PAGEREF _Toc126218619 \h </w:instrText>
            </w:r>
            <w:r w:rsidR="008F5C3A">
              <w:rPr>
                <w:webHidden/>
              </w:rPr>
            </w:r>
            <w:r w:rsidR="008F5C3A">
              <w:rPr>
                <w:webHidden/>
              </w:rPr>
              <w:fldChar w:fldCharType="separate"/>
            </w:r>
            <w:r w:rsidR="006F0710">
              <w:rPr>
                <w:webHidden/>
              </w:rPr>
              <w:t>68</w:t>
            </w:r>
            <w:r w:rsidR="008F5C3A">
              <w:rPr>
                <w:webHidden/>
              </w:rPr>
              <w:fldChar w:fldCharType="end"/>
            </w:r>
          </w:hyperlink>
        </w:p>
        <w:p w14:paraId="3BC29D86" w14:textId="6B76A616" w:rsidR="008F5C3A" w:rsidRDefault="00000000">
          <w:pPr>
            <w:pStyle w:val="TOC2"/>
            <w:rPr>
              <w:rFonts w:asciiTheme="minorHAnsi" w:eastAsiaTheme="minorEastAsia" w:hAnsiTheme="minorHAnsi"/>
              <w:sz w:val="22"/>
              <w:szCs w:val="22"/>
              <w:lang w:eastAsia="sr-Cyrl-RS"/>
            </w:rPr>
          </w:pPr>
          <w:hyperlink w:anchor="_Toc126218620" w:history="1">
            <w:r w:rsidR="008F5C3A" w:rsidRPr="001B3A38">
              <w:rPr>
                <w:rStyle w:val="Hyperlink"/>
                <w:rFonts w:eastAsia="Calibri" w:cs="Times New Roman"/>
                <w:b/>
                <w:lang w:val="sr-Cyrl-CS"/>
              </w:rPr>
              <w:t>4.8. ФИСКАЛНО УПРАВЉАЊЕ И БУЏЕТСКИ ОКВИРИ</w:t>
            </w:r>
            <w:r w:rsidR="008F5C3A">
              <w:rPr>
                <w:webHidden/>
              </w:rPr>
              <w:tab/>
            </w:r>
            <w:r w:rsidR="008F5C3A">
              <w:rPr>
                <w:webHidden/>
              </w:rPr>
              <w:fldChar w:fldCharType="begin"/>
            </w:r>
            <w:r w:rsidR="008F5C3A">
              <w:rPr>
                <w:webHidden/>
              </w:rPr>
              <w:instrText xml:space="preserve"> PAGEREF _Toc126218620 \h </w:instrText>
            </w:r>
            <w:r w:rsidR="008F5C3A">
              <w:rPr>
                <w:webHidden/>
              </w:rPr>
            </w:r>
            <w:r w:rsidR="008F5C3A">
              <w:rPr>
                <w:webHidden/>
              </w:rPr>
              <w:fldChar w:fldCharType="separate"/>
            </w:r>
            <w:r w:rsidR="006F0710">
              <w:rPr>
                <w:webHidden/>
              </w:rPr>
              <w:t>70</w:t>
            </w:r>
            <w:r w:rsidR="008F5C3A">
              <w:rPr>
                <w:webHidden/>
              </w:rPr>
              <w:fldChar w:fldCharType="end"/>
            </w:r>
          </w:hyperlink>
        </w:p>
        <w:p w14:paraId="3421F98B" w14:textId="29A5D3E3" w:rsidR="008F5C3A" w:rsidRDefault="00000000">
          <w:pPr>
            <w:pStyle w:val="TOC1"/>
            <w:rPr>
              <w:rFonts w:asciiTheme="minorHAnsi" w:eastAsiaTheme="minorEastAsia" w:hAnsiTheme="minorHAnsi"/>
              <w:kern w:val="0"/>
              <w:sz w:val="22"/>
              <w:szCs w:val="22"/>
              <w:lang w:val="sr-Cyrl-RS" w:eastAsia="sr-Cyrl-RS"/>
            </w:rPr>
          </w:pPr>
          <w:hyperlink w:anchor="_Toc126218621" w:history="1">
            <w:r w:rsidR="008F5C3A" w:rsidRPr="001B3A38">
              <w:rPr>
                <w:rStyle w:val="Hyperlink"/>
                <w:rFonts w:eastAsia="Calibri" w:cs="Times New Roman"/>
                <w:b/>
                <w:lang w:val="sr-Cyrl-CS"/>
              </w:rPr>
              <w:t>5. СТРУКТУРНЕ РЕФОРМЕ У ПЕРИОДУ 2023-2025.</w:t>
            </w:r>
            <w:r w:rsidR="008F5C3A">
              <w:rPr>
                <w:webHidden/>
              </w:rPr>
              <w:tab/>
            </w:r>
            <w:r w:rsidR="008F5C3A">
              <w:rPr>
                <w:webHidden/>
              </w:rPr>
              <w:fldChar w:fldCharType="begin"/>
            </w:r>
            <w:r w:rsidR="008F5C3A">
              <w:rPr>
                <w:webHidden/>
              </w:rPr>
              <w:instrText xml:space="preserve"> PAGEREF _Toc126218621 \h </w:instrText>
            </w:r>
            <w:r w:rsidR="008F5C3A">
              <w:rPr>
                <w:webHidden/>
              </w:rPr>
            </w:r>
            <w:r w:rsidR="008F5C3A">
              <w:rPr>
                <w:webHidden/>
              </w:rPr>
              <w:fldChar w:fldCharType="separate"/>
            </w:r>
            <w:r w:rsidR="006F0710">
              <w:rPr>
                <w:webHidden/>
              </w:rPr>
              <w:t>72</w:t>
            </w:r>
            <w:r w:rsidR="008F5C3A">
              <w:rPr>
                <w:webHidden/>
              </w:rPr>
              <w:fldChar w:fldCharType="end"/>
            </w:r>
          </w:hyperlink>
        </w:p>
        <w:p w14:paraId="166F1780" w14:textId="7A86101A" w:rsidR="008F5C3A" w:rsidRDefault="00000000">
          <w:pPr>
            <w:pStyle w:val="TOC2"/>
            <w:rPr>
              <w:rFonts w:asciiTheme="minorHAnsi" w:eastAsiaTheme="minorEastAsia" w:hAnsiTheme="minorHAnsi"/>
              <w:sz w:val="22"/>
              <w:szCs w:val="22"/>
              <w:lang w:eastAsia="sr-Cyrl-RS"/>
            </w:rPr>
          </w:pPr>
          <w:hyperlink w:anchor="_Toc126218622" w:history="1">
            <w:r w:rsidR="008F5C3A" w:rsidRPr="001B3A38">
              <w:rPr>
                <w:rStyle w:val="Hyperlink"/>
                <w:rFonts w:eastAsia="Times New Roman" w:cs="Times New Roman"/>
                <w:b/>
                <w:bCs/>
                <w:lang w:val="sr-Cyrl-CS"/>
              </w:rPr>
              <w:t>5.1. ИДЕНТИФИКАЦИЈА ТРИ КЉУЧНА ИЗАЗОВА ЗА КОНКУРЕНТНОСТ И ИНКЛУЗИВНИ РАСТ И ПОВЕЗАНЕ СТРУКТУРНЕ РЕФОРМЕ</w:t>
            </w:r>
            <w:r w:rsidR="008F5C3A">
              <w:rPr>
                <w:webHidden/>
              </w:rPr>
              <w:tab/>
            </w:r>
            <w:r w:rsidR="008F5C3A">
              <w:rPr>
                <w:webHidden/>
              </w:rPr>
              <w:fldChar w:fldCharType="begin"/>
            </w:r>
            <w:r w:rsidR="008F5C3A">
              <w:rPr>
                <w:webHidden/>
              </w:rPr>
              <w:instrText xml:space="preserve"> PAGEREF _Toc126218622 \h </w:instrText>
            </w:r>
            <w:r w:rsidR="008F5C3A">
              <w:rPr>
                <w:webHidden/>
              </w:rPr>
            </w:r>
            <w:r w:rsidR="008F5C3A">
              <w:rPr>
                <w:webHidden/>
              </w:rPr>
              <w:fldChar w:fldCharType="separate"/>
            </w:r>
            <w:r w:rsidR="006F0710">
              <w:rPr>
                <w:webHidden/>
              </w:rPr>
              <w:t>72</w:t>
            </w:r>
            <w:r w:rsidR="008F5C3A">
              <w:rPr>
                <w:webHidden/>
              </w:rPr>
              <w:fldChar w:fldCharType="end"/>
            </w:r>
          </w:hyperlink>
        </w:p>
        <w:p w14:paraId="3EE54059" w14:textId="10424881"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23" w:history="1">
            <w:r w:rsidR="008F5C3A" w:rsidRPr="001B3A38">
              <w:rPr>
                <w:rStyle w:val="Hyperlink"/>
                <w:rFonts w:cs="Times New Roman"/>
                <w:b/>
                <w:i/>
                <w:noProof/>
                <w:lang w:val="sr-Cyrl-CS"/>
              </w:rPr>
              <w:t>Кључни изазов број 1: Повећање запослености, посебно младих, жена и осетљивих група, и социјална заштита од сиромаштва</w:t>
            </w:r>
            <w:r w:rsidR="008F5C3A">
              <w:rPr>
                <w:noProof/>
                <w:webHidden/>
              </w:rPr>
              <w:tab/>
            </w:r>
            <w:r w:rsidR="008F5C3A">
              <w:rPr>
                <w:noProof/>
                <w:webHidden/>
              </w:rPr>
              <w:fldChar w:fldCharType="begin"/>
            </w:r>
            <w:r w:rsidR="008F5C3A">
              <w:rPr>
                <w:noProof/>
                <w:webHidden/>
              </w:rPr>
              <w:instrText xml:space="preserve"> PAGEREF _Toc126218623 \h </w:instrText>
            </w:r>
            <w:r w:rsidR="008F5C3A">
              <w:rPr>
                <w:noProof/>
                <w:webHidden/>
              </w:rPr>
            </w:r>
            <w:r w:rsidR="008F5C3A">
              <w:rPr>
                <w:noProof/>
                <w:webHidden/>
              </w:rPr>
              <w:fldChar w:fldCharType="separate"/>
            </w:r>
            <w:r w:rsidR="006F0710">
              <w:rPr>
                <w:noProof/>
                <w:webHidden/>
              </w:rPr>
              <w:t>72</w:t>
            </w:r>
            <w:r w:rsidR="008F5C3A">
              <w:rPr>
                <w:noProof/>
                <w:webHidden/>
              </w:rPr>
              <w:fldChar w:fldCharType="end"/>
            </w:r>
          </w:hyperlink>
        </w:p>
        <w:p w14:paraId="7BE26EAB" w14:textId="23C5D845"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24" w:history="1">
            <w:r w:rsidR="008F5C3A" w:rsidRPr="001B3A38">
              <w:rPr>
                <w:rStyle w:val="Hyperlink"/>
                <w:rFonts w:eastAsia="Calibri" w:cs="Times New Roman"/>
                <w:b/>
                <w:i/>
                <w:noProof/>
                <w:lang w:val="sr-Cyrl-CS"/>
              </w:rPr>
              <w:t>Кључни изазов број 2: Унапређење пословног амбијента повољнијег за инвестиције</w:t>
            </w:r>
            <w:r w:rsidR="008F5C3A">
              <w:rPr>
                <w:noProof/>
                <w:webHidden/>
              </w:rPr>
              <w:tab/>
            </w:r>
            <w:r w:rsidR="008F5C3A">
              <w:rPr>
                <w:noProof/>
                <w:webHidden/>
              </w:rPr>
              <w:fldChar w:fldCharType="begin"/>
            </w:r>
            <w:r w:rsidR="008F5C3A">
              <w:rPr>
                <w:noProof/>
                <w:webHidden/>
              </w:rPr>
              <w:instrText xml:space="preserve"> PAGEREF _Toc126218624 \h </w:instrText>
            </w:r>
            <w:r w:rsidR="008F5C3A">
              <w:rPr>
                <w:noProof/>
                <w:webHidden/>
              </w:rPr>
            </w:r>
            <w:r w:rsidR="008F5C3A">
              <w:rPr>
                <w:noProof/>
                <w:webHidden/>
              </w:rPr>
              <w:fldChar w:fldCharType="separate"/>
            </w:r>
            <w:r w:rsidR="006F0710">
              <w:rPr>
                <w:noProof/>
                <w:webHidden/>
              </w:rPr>
              <w:t>90</w:t>
            </w:r>
            <w:r w:rsidR="008F5C3A">
              <w:rPr>
                <w:noProof/>
                <w:webHidden/>
              </w:rPr>
              <w:fldChar w:fldCharType="end"/>
            </w:r>
          </w:hyperlink>
        </w:p>
        <w:p w14:paraId="38BC9C3E" w14:textId="2DED331C"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25" w:history="1">
            <w:r w:rsidR="008F5C3A" w:rsidRPr="001B3A38">
              <w:rPr>
                <w:rStyle w:val="Hyperlink"/>
                <w:rFonts w:eastAsiaTheme="majorEastAsia" w:cstheme="majorBidi"/>
                <w:b/>
                <w:i/>
                <w:noProof/>
                <w:lang w:val="sr-Cyrl-CS"/>
              </w:rPr>
              <w:t>Кључни</w:t>
            </w:r>
            <w:r w:rsidR="008F5C3A" w:rsidRPr="001B3A38">
              <w:rPr>
                <w:rStyle w:val="Hyperlink"/>
                <w:rFonts w:eastAsia="Calibri" w:cs="Times New Roman"/>
                <w:b/>
                <w:i/>
                <w:noProof/>
                <w:lang w:val="sr-Cyrl-CS"/>
              </w:rPr>
              <w:t xml:space="preserve"> изазов број 3: Озелењавање енергетског сектора и потпуно отварање енергетског тржишта</w:t>
            </w:r>
            <w:r w:rsidR="008F5C3A">
              <w:rPr>
                <w:noProof/>
                <w:webHidden/>
              </w:rPr>
              <w:tab/>
            </w:r>
            <w:r w:rsidR="008F5C3A">
              <w:rPr>
                <w:noProof/>
                <w:webHidden/>
              </w:rPr>
              <w:fldChar w:fldCharType="begin"/>
            </w:r>
            <w:r w:rsidR="008F5C3A">
              <w:rPr>
                <w:noProof/>
                <w:webHidden/>
              </w:rPr>
              <w:instrText xml:space="preserve"> PAGEREF _Toc126218625 \h </w:instrText>
            </w:r>
            <w:r w:rsidR="008F5C3A">
              <w:rPr>
                <w:noProof/>
                <w:webHidden/>
              </w:rPr>
            </w:r>
            <w:r w:rsidR="008F5C3A">
              <w:rPr>
                <w:noProof/>
                <w:webHidden/>
              </w:rPr>
              <w:fldChar w:fldCharType="separate"/>
            </w:r>
            <w:r w:rsidR="006F0710">
              <w:rPr>
                <w:noProof/>
                <w:webHidden/>
              </w:rPr>
              <w:t>101</w:t>
            </w:r>
            <w:r w:rsidR="008F5C3A">
              <w:rPr>
                <w:noProof/>
                <w:webHidden/>
              </w:rPr>
              <w:fldChar w:fldCharType="end"/>
            </w:r>
          </w:hyperlink>
        </w:p>
        <w:p w14:paraId="36C2D5C2" w14:textId="2DF9E4AB" w:rsidR="008F5C3A" w:rsidRDefault="00000000">
          <w:pPr>
            <w:pStyle w:val="TOC2"/>
            <w:rPr>
              <w:rFonts w:asciiTheme="minorHAnsi" w:eastAsiaTheme="minorEastAsia" w:hAnsiTheme="minorHAnsi"/>
              <w:sz w:val="22"/>
              <w:szCs w:val="22"/>
              <w:lang w:eastAsia="sr-Cyrl-RS"/>
            </w:rPr>
          </w:pPr>
          <w:hyperlink w:anchor="_Toc126218626" w:history="1">
            <w:r w:rsidR="008F5C3A" w:rsidRPr="001B3A38">
              <w:rPr>
                <w:rStyle w:val="Hyperlink"/>
                <w:rFonts w:eastAsia="Times New Roman" w:cs="Times New Roman"/>
                <w:b/>
                <w:bCs/>
                <w:lang w:val="sr-Cyrl-CS"/>
              </w:rPr>
              <w:t>5.2. АНАЛИЗА ПРЕПРЕКА У ДРУГИМ ОБЛАСТИМА (КОЈЕ НИСУ ПОКРИВЕНЕ У ОДЕЉКУ 5.1) И ОДГОВАРАЈУЋЕ СТРУКТУРНЕ РЕФОРМЕ</w:t>
            </w:r>
            <w:r w:rsidR="008F5C3A">
              <w:rPr>
                <w:webHidden/>
              </w:rPr>
              <w:tab/>
            </w:r>
            <w:r w:rsidR="008F5C3A">
              <w:rPr>
                <w:webHidden/>
              </w:rPr>
              <w:fldChar w:fldCharType="begin"/>
            </w:r>
            <w:r w:rsidR="008F5C3A">
              <w:rPr>
                <w:webHidden/>
              </w:rPr>
              <w:instrText xml:space="preserve"> PAGEREF _Toc126218626 \h </w:instrText>
            </w:r>
            <w:r w:rsidR="008F5C3A">
              <w:rPr>
                <w:webHidden/>
              </w:rPr>
            </w:r>
            <w:r w:rsidR="008F5C3A">
              <w:rPr>
                <w:webHidden/>
              </w:rPr>
              <w:fldChar w:fldCharType="separate"/>
            </w:r>
            <w:r w:rsidR="006F0710">
              <w:rPr>
                <w:webHidden/>
              </w:rPr>
              <w:t>115</w:t>
            </w:r>
            <w:r w:rsidR="008F5C3A">
              <w:rPr>
                <w:webHidden/>
              </w:rPr>
              <w:fldChar w:fldCharType="end"/>
            </w:r>
          </w:hyperlink>
        </w:p>
        <w:p w14:paraId="6B8F4825" w14:textId="5C65592E"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27" w:history="1">
            <w:r w:rsidR="008F5C3A" w:rsidRPr="001B3A38">
              <w:rPr>
                <w:rStyle w:val="Hyperlink"/>
                <w:rFonts w:eastAsiaTheme="majorEastAsia" w:cstheme="majorBidi"/>
                <w:b/>
                <w:noProof/>
                <w:lang w:val="sr-Cyrl-CS"/>
              </w:rPr>
              <w:t>5.2.1. Област УПРАВЉАЊЕ ЈАВНИМ ФИНАНСИЈАМА</w:t>
            </w:r>
            <w:r w:rsidR="008F5C3A">
              <w:rPr>
                <w:noProof/>
                <w:webHidden/>
              </w:rPr>
              <w:tab/>
            </w:r>
            <w:r w:rsidR="008F5C3A">
              <w:rPr>
                <w:noProof/>
                <w:webHidden/>
              </w:rPr>
              <w:fldChar w:fldCharType="begin"/>
            </w:r>
            <w:r w:rsidR="008F5C3A">
              <w:rPr>
                <w:noProof/>
                <w:webHidden/>
              </w:rPr>
              <w:instrText xml:space="preserve"> PAGEREF _Toc126218627 \h </w:instrText>
            </w:r>
            <w:r w:rsidR="008F5C3A">
              <w:rPr>
                <w:noProof/>
                <w:webHidden/>
              </w:rPr>
            </w:r>
            <w:r w:rsidR="008F5C3A">
              <w:rPr>
                <w:noProof/>
                <w:webHidden/>
              </w:rPr>
              <w:fldChar w:fldCharType="separate"/>
            </w:r>
            <w:r w:rsidR="006F0710">
              <w:rPr>
                <w:noProof/>
                <w:webHidden/>
              </w:rPr>
              <w:t>115</w:t>
            </w:r>
            <w:r w:rsidR="008F5C3A">
              <w:rPr>
                <w:noProof/>
                <w:webHidden/>
              </w:rPr>
              <w:fldChar w:fldCharType="end"/>
            </w:r>
          </w:hyperlink>
        </w:p>
        <w:p w14:paraId="72CF9705" w14:textId="296FE45B"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28" w:history="1">
            <w:r w:rsidR="008F5C3A" w:rsidRPr="001B3A38">
              <w:rPr>
                <w:rStyle w:val="Hyperlink"/>
                <w:rFonts w:eastAsiaTheme="majorEastAsia" w:cstheme="majorBidi"/>
                <w:b/>
                <w:noProof/>
                <w:lang w:val="sr-Cyrl-CS"/>
              </w:rPr>
              <w:t>5.2.2. Област ЗЕЛЕНА ТРАНЗИЦИЈА</w:t>
            </w:r>
            <w:r w:rsidR="008F5C3A">
              <w:rPr>
                <w:noProof/>
                <w:webHidden/>
              </w:rPr>
              <w:tab/>
            </w:r>
            <w:r w:rsidR="008F5C3A">
              <w:rPr>
                <w:noProof/>
                <w:webHidden/>
              </w:rPr>
              <w:fldChar w:fldCharType="begin"/>
            </w:r>
            <w:r w:rsidR="008F5C3A">
              <w:rPr>
                <w:noProof/>
                <w:webHidden/>
              </w:rPr>
              <w:instrText xml:space="preserve"> PAGEREF _Toc126218628 \h </w:instrText>
            </w:r>
            <w:r w:rsidR="008F5C3A">
              <w:rPr>
                <w:noProof/>
                <w:webHidden/>
              </w:rPr>
            </w:r>
            <w:r w:rsidR="008F5C3A">
              <w:rPr>
                <w:noProof/>
                <w:webHidden/>
              </w:rPr>
              <w:fldChar w:fldCharType="separate"/>
            </w:r>
            <w:r w:rsidR="006F0710">
              <w:rPr>
                <w:noProof/>
                <w:webHidden/>
              </w:rPr>
              <w:t>119</w:t>
            </w:r>
            <w:r w:rsidR="008F5C3A">
              <w:rPr>
                <w:noProof/>
                <w:webHidden/>
              </w:rPr>
              <w:fldChar w:fldCharType="end"/>
            </w:r>
          </w:hyperlink>
        </w:p>
        <w:p w14:paraId="20E18418" w14:textId="1F9B794D"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29" w:history="1">
            <w:r w:rsidR="008F5C3A" w:rsidRPr="001B3A38">
              <w:rPr>
                <w:rStyle w:val="Hyperlink"/>
                <w:rFonts w:eastAsiaTheme="majorEastAsia" w:cstheme="majorBidi"/>
                <w:b/>
                <w:noProof/>
                <w:lang w:val="sr-Cyrl-CS"/>
              </w:rPr>
              <w:t>5.2.3. Област ДИГИТАЛНА ТРАНСФОРМАЦИЈА</w:t>
            </w:r>
            <w:r w:rsidR="008F5C3A">
              <w:rPr>
                <w:noProof/>
                <w:webHidden/>
              </w:rPr>
              <w:tab/>
            </w:r>
            <w:r w:rsidR="008F5C3A">
              <w:rPr>
                <w:noProof/>
                <w:webHidden/>
              </w:rPr>
              <w:fldChar w:fldCharType="begin"/>
            </w:r>
            <w:r w:rsidR="008F5C3A">
              <w:rPr>
                <w:noProof/>
                <w:webHidden/>
              </w:rPr>
              <w:instrText xml:space="preserve"> PAGEREF _Toc126218629 \h </w:instrText>
            </w:r>
            <w:r w:rsidR="008F5C3A">
              <w:rPr>
                <w:noProof/>
                <w:webHidden/>
              </w:rPr>
            </w:r>
            <w:r w:rsidR="008F5C3A">
              <w:rPr>
                <w:noProof/>
                <w:webHidden/>
              </w:rPr>
              <w:fldChar w:fldCharType="separate"/>
            </w:r>
            <w:r w:rsidR="006F0710">
              <w:rPr>
                <w:noProof/>
                <w:webHidden/>
              </w:rPr>
              <w:t>125</w:t>
            </w:r>
            <w:r w:rsidR="008F5C3A">
              <w:rPr>
                <w:noProof/>
                <w:webHidden/>
              </w:rPr>
              <w:fldChar w:fldCharType="end"/>
            </w:r>
          </w:hyperlink>
        </w:p>
        <w:p w14:paraId="06954824" w14:textId="6FFECDCE"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30" w:history="1">
            <w:r w:rsidR="008F5C3A" w:rsidRPr="001B3A38">
              <w:rPr>
                <w:rStyle w:val="Hyperlink"/>
                <w:rFonts w:eastAsiaTheme="majorEastAsia" w:cstheme="majorBidi"/>
                <w:b/>
                <w:noProof/>
                <w:lang w:val="sr-Cyrl-CS"/>
              </w:rPr>
              <w:t>5.2.4. Област ПОСЛОВНО ОКРУЖЕЊЕ И СМАЊЕЊЕ СИВЕ ЕКОНОМИЈЕ</w:t>
            </w:r>
            <w:r w:rsidR="008F5C3A">
              <w:rPr>
                <w:noProof/>
                <w:webHidden/>
              </w:rPr>
              <w:tab/>
            </w:r>
            <w:r w:rsidR="008F5C3A">
              <w:rPr>
                <w:noProof/>
                <w:webHidden/>
              </w:rPr>
              <w:fldChar w:fldCharType="begin"/>
            </w:r>
            <w:r w:rsidR="008F5C3A">
              <w:rPr>
                <w:noProof/>
                <w:webHidden/>
              </w:rPr>
              <w:instrText xml:space="preserve"> PAGEREF _Toc126218630 \h </w:instrText>
            </w:r>
            <w:r w:rsidR="008F5C3A">
              <w:rPr>
                <w:noProof/>
                <w:webHidden/>
              </w:rPr>
            </w:r>
            <w:r w:rsidR="008F5C3A">
              <w:rPr>
                <w:noProof/>
                <w:webHidden/>
              </w:rPr>
              <w:fldChar w:fldCharType="separate"/>
            </w:r>
            <w:r w:rsidR="006F0710">
              <w:rPr>
                <w:noProof/>
                <w:webHidden/>
              </w:rPr>
              <w:t>133</w:t>
            </w:r>
            <w:r w:rsidR="008F5C3A">
              <w:rPr>
                <w:noProof/>
                <w:webHidden/>
              </w:rPr>
              <w:fldChar w:fldCharType="end"/>
            </w:r>
          </w:hyperlink>
        </w:p>
        <w:p w14:paraId="27FD4221" w14:textId="790AF135"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31" w:history="1">
            <w:r w:rsidR="008F5C3A" w:rsidRPr="001B3A38">
              <w:rPr>
                <w:rStyle w:val="Hyperlink"/>
                <w:rFonts w:eastAsiaTheme="majorEastAsia" w:cstheme="majorBidi"/>
                <w:b/>
                <w:noProof/>
                <w:lang w:val="sr-Cyrl-CS"/>
              </w:rPr>
              <w:t>5.2.5. Област ИСТРАЖИВАЊЕ, РАЗВОЈ И ИНОВАЦИЈЕ</w:t>
            </w:r>
            <w:r w:rsidR="008F5C3A">
              <w:rPr>
                <w:noProof/>
                <w:webHidden/>
              </w:rPr>
              <w:tab/>
            </w:r>
            <w:r w:rsidR="008F5C3A">
              <w:rPr>
                <w:noProof/>
                <w:webHidden/>
              </w:rPr>
              <w:fldChar w:fldCharType="begin"/>
            </w:r>
            <w:r w:rsidR="008F5C3A">
              <w:rPr>
                <w:noProof/>
                <w:webHidden/>
              </w:rPr>
              <w:instrText xml:space="preserve"> PAGEREF _Toc126218631 \h </w:instrText>
            </w:r>
            <w:r w:rsidR="008F5C3A">
              <w:rPr>
                <w:noProof/>
                <w:webHidden/>
              </w:rPr>
            </w:r>
            <w:r w:rsidR="008F5C3A">
              <w:rPr>
                <w:noProof/>
                <w:webHidden/>
              </w:rPr>
              <w:fldChar w:fldCharType="separate"/>
            </w:r>
            <w:r w:rsidR="006F0710">
              <w:rPr>
                <w:noProof/>
                <w:webHidden/>
              </w:rPr>
              <w:t>134</w:t>
            </w:r>
            <w:r w:rsidR="008F5C3A">
              <w:rPr>
                <w:noProof/>
                <w:webHidden/>
              </w:rPr>
              <w:fldChar w:fldCharType="end"/>
            </w:r>
          </w:hyperlink>
        </w:p>
        <w:p w14:paraId="39DEB68B" w14:textId="7B7CAF61"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32" w:history="1">
            <w:r w:rsidR="008F5C3A" w:rsidRPr="001B3A38">
              <w:rPr>
                <w:rStyle w:val="Hyperlink"/>
                <w:rFonts w:eastAsiaTheme="majorEastAsia" w:cstheme="majorBidi"/>
                <w:b/>
                <w:noProof/>
                <w:lang w:val="sr-Cyrl-CS"/>
              </w:rPr>
              <w:t>5.2.6. Област РЕФОРМЕ У ОБЛАСТИ ЕКОНОМСКИХ ИНТЕГРАЦИЈА</w:t>
            </w:r>
            <w:r w:rsidR="008F5C3A">
              <w:rPr>
                <w:noProof/>
                <w:webHidden/>
              </w:rPr>
              <w:tab/>
            </w:r>
            <w:r w:rsidR="008F5C3A">
              <w:rPr>
                <w:noProof/>
                <w:webHidden/>
              </w:rPr>
              <w:fldChar w:fldCharType="begin"/>
            </w:r>
            <w:r w:rsidR="008F5C3A">
              <w:rPr>
                <w:noProof/>
                <w:webHidden/>
              </w:rPr>
              <w:instrText xml:space="preserve"> PAGEREF _Toc126218632 \h </w:instrText>
            </w:r>
            <w:r w:rsidR="008F5C3A">
              <w:rPr>
                <w:noProof/>
                <w:webHidden/>
              </w:rPr>
            </w:r>
            <w:r w:rsidR="008F5C3A">
              <w:rPr>
                <w:noProof/>
                <w:webHidden/>
              </w:rPr>
              <w:fldChar w:fldCharType="separate"/>
            </w:r>
            <w:r w:rsidR="006F0710">
              <w:rPr>
                <w:noProof/>
                <w:webHidden/>
              </w:rPr>
              <w:t>141</w:t>
            </w:r>
            <w:r w:rsidR="008F5C3A">
              <w:rPr>
                <w:noProof/>
                <w:webHidden/>
              </w:rPr>
              <w:fldChar w:fldCharType="end"/>
            </w:r>
          </w:hyperlink>
        </w:p>
        <w:p w14:paraId="300DC212" w14:textId="1F27FA62"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33" w:history="1">
            <w:r w:rsidR="008F5C3A" w:rsidRPr="001B3A38">
              <w:rPr>
                <w:rStyle w:val="Hyperlink"/>
                <w:rFonts w:eastAsiaTheme="majorEastAsia" w:cstheme="majorBidi"/>
                <w:b/>
                <w:noProof/>
                <w:lang w:val="sr-Cyrl-CS"/>
              </w:rPr>
              <w:t>5.2.7. Област РЕФОРМА ТРЖИШТА ЕНЕРГЕТИКЕ</w:t>
            </w:r>
            <w:r w:rsidR="008F5C3A">
              <w:rPr>
                <w:noProof/>
                <w:webHidden/>
              </w:rPr>
              <w:tab/>
            </w:r>
            <w:r w:rsidR="008F5C3A">
              <w:rPr>
                <w:noProof/>
                <w:webHidden/>
              </w:rPr>
              <w:fldChar w:fldCharType="begin"/>
            </w:r>
            <w:r w:rsidR="008F5C3A">
              <w:rPr>
                <w:noProof/>
                <w:webHidden/>
              </w:rPr>
              <w:instrText xml:space="preserve"> PAGEREF _Toc126218633 \h </w:instrText>
            </w:r>
            <w:r w:rsidR="008F5C3A">
              <w:rPr>
                <w:noProof/>
                <w:webHidden/>
              </w:rPr>
            </w:r>
            <w:r w:rsidR="008F5C3A">
              <w:rPr>
                <w:noProof/>
                <w:webHidden/>
              </w:rPr>
              <w:fldChar w:fldCharType="separate"/>
            </w:r>
            <w:r w:rsidR="006F0710">
              <w:rPr>
                <w:noProof/>
                <w:webHidden/>
              </w:rPr>
              <w:t>146</w:t>
            </w:r>
            <w:r w:rsidR="008F5C3A">
              <w:rPr>
                <w:noProof/>
                <w:webHidden/>
              </w:rPr>
              <w:fldChar w:fldCharType="end"/>
            </w:r>
          </w:hyperlink>
        </w:p>
        <w:p w14:paraId="1ADB02A2" w14:textId="049E9275"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34" w:history="1">
            <w:r w:rsidR="008F5C3A" w:rsidRPr="001B3A38">
              <w:rPr>
                <w:rStyle w:val="Hyperlink"/>
                <w:rFonts w:eastAsiaTheme="majorEastAsia" w:cstheme="majorBidi"/>
                <w:b/>
                <w:noProof/>
                <w:lang w:val="sr-Cyrl-CS"/>
              </w:rPr>
              <w:t>5.2.8. Област РЕФОРМА ТРЖИШТА ТРАНСПОРТА</w:t>
            </w:r>
            <w:r w:rsidR="008F5C3A">
              <w:rPr>
                <w:noProof/>
                <w:webHidden/>
              </w:rPr>
              <w:tab/>
            </w:r>
            <w:r w:rsidR="008F5C3A">
              <w:rPr>
                <w:noProof/>
                <w:webHidden/>
              </w:rPr>
              <w:fldChar w:fldCharType="begin"/>
            </w:r>
            <w:r w:rsidR="008F5C3A">
              <w:rPr>
                <w:noProof/>
                <w:webHidden/>
              </w:rPr>
              <w:instrText xml:space="preserve"> PAGEREF _Toc126218634 \h </w:instrText>
            </w:r>
            <w:r w:rsidR="008F5C3A">
              <w:rPr>
                <w:noProof/>
                <w:webHidden/>
              </w:rPr>
            </w:r>
            <w:r w:rsidR="008F5C3A">
              <w:rPr>
                <w:noProof/>
                <w:webHidden/>
              </w:rPr>
              <w:fldChar w:fldCharType="separate"/>
            </w:r>
            <w:r w:rsidR="006F0710">
              <w:rPr>
                <w:noProof/>
                <w:webHidden/>
              </w:rPr>
              <w:t>146</w:t>
            </w:r>
            <w:r w:rsidR="008F5C3A">
              <w:rPr>
                <w:noProof/>
                <w:webHidden/>
              </w:rPr>
              <w:fldChar w:fldCharType="end"/>
            </w:r>
          </w:hyperlink>
        </w:p>
        <w:p w14:paraId="5F00CF60" w14:textId="14A1A42F"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35" w:history="1">
            <w:r w:rsidR="008F5C3A" w:rsidRPr="001B3A38">
              <w:rPr>
                <w:rStyle w:val="Hyperlink"/>
                <w:rFonts w:eastAsia="Times New Roman" w:cs="Times New Roman"/>
                <w:b/>
                <w:noProof/>
                <w:lang w:val="sr-Cyrl-CS"/>
              </w:rPr>
              <w:t>5.2.9. Област ПОЉОПРИВРЕДА, ИНДУСТРИЈА И УСЛУГЕ</w:t>
            </w:r>
            <w:r w:rsidR="008F5C3A">
              <w:rPr>
                <w:noProof/>
                <w:webHidden/>
              </w:rPr>
              <w:tab/>
            </w:r>
            <w:r w:rsidR="008F5C3A">
              <w:rPr>
                <w:noProof/>
                <w:webHidden/>
              </w:rPr>
              <w:fldChar w:fldCharType="begin"/>
            </w:r>
            <w:r w:rsidR="008F5C3A">
              <w:rPr>
                <w:noProof/>
                <w:webHidden/>
              </w:rPr>
              <w:instrText xml:space="preserve"> PAGEREF _Toc126218635 \h </w:instrText>
            </w:r>
            <w:r w:rsidR="008F5C3A">
              <w:rPr>
                <w:noProof/>
                <w:webHidden/>
              </w:rPr>
            </w:r>
            <w:r w:rsidR="008F5C3A">
              <w:rPr>
                <w:noProof/>
                <w:webHidden/>
              </w:rPr>
              <w:fldChar w:fldCharType="separate"/>
            </w:r>
            <w:r w:rsidR="006F0710">
              <w:rPr>
                <w:noProof/>
                <w:webHidden/>
              </w:rPr>
              <w:t>153</w:t>
            </w:r>
            <w:r w:rsidR="008F5C3A">
              <w:rPr>
                <w:noProof/>
                <w:webHidden/>
              </w:rPr>
              <w:fldChar w:fldCharType="end"/>
            </w:r>
          </w:hyperlink>
        </w:p>
        <w:p w14:paraId="3D207D80" w14:textId="447FBCE5"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36" w:history="1">
            <w:r w:rsidR="008F5C3A" w:rsidRPr="001B3A38">
              <w:rPr>
                <w:rStyle w:val="Hyperlink"/>
                <w:rFonts w:eastAsia="Times New Roman" w:cs="Times New Roman"/>
                <w:b/>
                <w:noProof/>
                <w:lang w:val="sr-Cyrl-CS"/>
              </w:rPr>
              <w:t>5.2.10. Област ОБРАЗОВАЊЕ И ВЕШТИНЕ</w:t>
            </w:r>
            <w:r w:rsidR="008F5C3A">
              <w:rPr>
                <w:noProof/>
                <w:webHidden/>
              </w:rPr>
              <w:tab/>
            </w:r>
            <w:r w:rsidR="008F5C3A">
              <w:rPr>
                <w:noProof/>
                <w:webHidden/>
              </w:rPr>
              <w:fldChar w:fldCharType="begin"/>
            </w:r>
            <w:r w:rsidR="008F5C3A">
              <w:rPr>
                <w:noProof/>
                <w:webHidden/>
              </w:rPr>
              <w:instrText xml:space="preserve"> PAGEREF _Toc126218636 \h </w:instrText>
            </w:r>
            <w:r w:rsidR="008F5C3A">
              <w:rPr>
                <w:noProof/>
                <w:webHidden/>
              </w:rPr>
            </w:r>
            <w:r w:rsidR="008F5C3A">
              <w:rPr>
                <w:noProof/>
                <w:webHidden/>
              </w:rPr>
              <w:fldChar w:fldCharType="separate"/>
            </w:r>
            <w:r w:rsidR="006F0710">
              <w:rPr>
                <w:noProof/>
                <w:webHidden/>
              </w:rPr>
              <w:t>165</w:t>
            </w:r>
            <w:r w:rsidR="008F5C3A">
              <w:rPr>
                <w:noProof/>
                <w:webHidden/>
              </w:rPr>
              <w:fldChar w:fldCharType="end"/>
            </w:r>
          </w:hyperlink>
        </w:p>
        <w:p w14:paraId="227B795C" w14:textId="5598005A"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37" w:history="1">
            <w:r w:rsidR="008F5C3A" w:rsidRPr="001B3A38">
              <w:rPr>
                <w:rStyle w:val="Hyperlink"/>
                <w:rFonts w:eastAsiaTheme="majorEastAsia" w:cstheme="majorBidi"/>
                <w:b/>
                <w:noProof/>
                <w:lang w:val="sr-Cyrl-CS"/>
              </w:rPr>
              <w:t>5.2.11. Област ЗАПОШЉАВАЊЕ И ТРЖИШТЕ РАДА</w:t>
            </w:r>
            <w:r w:rsidR="008F5C3A">
              <w:rPr>
                <w:noProof/>
                <w:webHidden/>
              </w:rPr>
              <w:tab/>
            </w:r>
            <w:r w:rsidR="008F5C3A">
              <w:rPr>
                <w:noProof/>
                <w:webHidden/>
              </w:rPr>
              <w:fldChar w:fldCharType="begin"/>
            </w:r>
            <w:r w:rsidR="008F5C3A">
              <w:rPr>
                <w:noProof/>
                <w:webHidden/>
              </w:rPr>
              <w:instrText xml:space="preserve"> PAGEREF _Toc126218637 \h </w:instrText>
            </w:r>
            <w:r w:rsidR="008F5C3A">
              <w:rPr>
                <w:noProof/>
                <w:webHidden/>
              </w:rPr>
            </w:r>
            <w:r w:rsidR="008F5C3A">
              <w:rPr>
                <w:noProof/>
                <w:webHidden/>
              </w:rPr>
              <w:fldChar w:fldCharType="separate"/>
            </w:r>
            <w:r w:rsidR="006F0710">
              <w:rPr>
                <w:noProof/>
                <w:webHidden/>
              </w:rPr>
              <w:t>167</w:t>
            </w:r>
            <w:r w:rsidR="008F5C3A">
              <w:rPr>
                <w:noProof/>
                <w:webHidden/>
              </w:rPr>
              <w:fldChar w:fldCharType="end"/>
            </w:r>
          </w:hyperlink>
        </w:p>
        <w:p w14:paraId="75EB7A70" w14:textId="4C71ED8A"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38" w:history="1">
            <w:r w:rsidR="008F5C3A" w:rsidRPr="001B3A38">
              <w:rPr>
                <w:rStyle w:val="Hyperlink"/>
                <w:rFonts w:eastAsiaTheme="majorEastAsia" w:cstheme="majorBidi"/>
                <w:b/>
                <w:noProof/>
                <w:lang w:val="sr-Cyrl-CS"/>
              </w:rPr>
              <w:t>5.2.12. Област СОЦИЈАЛНА ЗАШТИТА И ИНКЛУЗИЈА</w:t>
            </w:r>
            <w:r w:rsidR="008F5C3A">
              <w:rPr>
                <w:noProof/>
                <w:webHidden/>
              </w:rPr>
              <w:tab/>
            </w:r>
            <w:r w:rsidR="008F5C3A">
              <w:rPr>
                <w:noProof/>
                <w:webHidden/>
              </w:rPr>
              <w:fldChar w:fldCharType="begin"/>
            </w:r>
            <w:r w:rsidR="008F5C3A">
              <w:rPr>
                <w:noProof/>
                <w:webHidden/>
              </w:rPr>
              <w:instrText xml:space="preserve"> PAGEREF _Toc126218638 \h </w:instrText>
            </w:r>
            <w:r w:rsidR="008F5C3A">
              <w:rPr>
                <w:noProof/>
                <w:webHidden/>
              </w:rPr>
            </w:r>
            <w:r w:rsidR="008F5C3A">
              <w:rPr>
                <w:noProof/>
                <w:webHidden/>
              </w:rPr>
              <w:fldChar w:fldCharType="separate"/>
            </w:r>
            <w:r w:rsidR="006F0710">
              <w:rPr>
                <w:noProof/>
                <w:webHidden/>
              </w:rPr>
              <w:t>167</w:t>
            </w:r>
            <w:r w:rsidR="008F5C3A">
              <w:rPr>
                <w:noProof/>
                <w:webHidden/>
              </w:rPr>
              <w:fldChar w:fldCharType="end"/>
            </w:r>
          </w:hyperlink>
        </w:p>
        <w:p w14:paraId="65C5077B" w14:textId="65E475F8"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39" w:history="1">
            <w:r w:rsidR="008F5C3A" w:rsidRPr="001B3A38">
              <w:rPr>
                <w:rStyle w:val="Hyperlink"/>
                <w:rFonts w:eastAsiaTheme="majorEastAsia" w:cstheme="majorBidi"/>
                <w:b/>
                <w:noProof/>
                <w:lang w:val="sr-Cyrl-CS"/>
              </w:rPr>
              <w:t>5.2.13. Област СИСТЕМ ЗДРАВСТВЕНЕ ЗАШТИТЕ</w:t>
            </w:r>
            <w:r w:rsidR="008F5C3A">
              <w:rPr>
                <w:noProof/>
                <w:webHidden/>
              </w:rPr>
              <w:tab/>
            </w:r>
            <w:r w:rsidR="008F5C3A">
              <w:rPr>
                <w:noProof/>
                <w:webHidden/>
              </w:rPr>
              <w:fldChar w:fldCharType="begin"/>
            </w:r>
            <w:r w:rsidR="008F5C3A">
              <w:rPr>
                <w:noProof/>
                <w:webHidden/>
              </w:rPr>
              <w:instrText xml:space="preserve"> PAGEREF _Toc126218639 \h </w:instrText>
            </w:r>
            <w:r w:rsidR="008F5C3A">
              <w:rPr>
                <w:noProof/>
                <w:webHidden/>
              </w:rPr>
            </w:r>
            <w:r w:rsidR="008F5C3A">
              <w:rPr>
                <w:noProof/>
                <w:webHidden/>
              </w:rPr>
              <w:fldChar w:fldCharType="separate"/>
            </w:r>
            <w:r w:rsidR="006F0710">
              <w:rPr>
                <w:noProof/>
                <w:webHidden/>
              </w:rPr>
              <w:t>167</w:t>
            </w:r>
            <w:r w:rsidR="008F5C3A">
              <w:rPr>
                <w:noProof/>
                <w:webHidden/>
              </w:rPr>
              <w:fldChar w:fldCharType="end"/>
            </w:r>
          </w:hyperlink>
        </w:p>
        <w:p w14:paraId="52BCEFFF" w14:textId="63AD5B86" w:rsidR="008F5C3A" w:rsidRDefault="00000000">
          <w:pPr>
            <w:pStyle w:val="TOC1"/>
            <w:rPr>
              <w:rFonts w:asciiTheme="minorHAnsi" w:eastAsiaTheme="minorEastAsia" w:hAnsiTheme="minorHAnsi"/>
              <w:kern w:val="0"/>
              <w:sz w:val="22"/>
              <w:szCs w:val="22"/>
              <w:lang w:val="sr-Cyrl-RS" w:eastAsia="sr-Cyrl-RS"/>
            </w:rPr>
          </w:pPr>
          <w:hyperlink w:anchor="_Toc126218640" w:history="1">
            <w:r w:rsidR="008F5C3A" w:rsidRPr="001B3A38">
              <w:rPr>
                <w:rStyle w:val="Hyperlink"/>
                <w:rFonts w:eastAsia="Times New Roman" w:cs="Times New Roman"/>
                <w:b/>
                <w:bCs/>
                <w:lang w:val="sr-Cyrl-CS"/>
              </w:rPr>
              <w:t>5.3. РЕЗИМЕ СТРУКТУРНИХ РЕФОРМИ</w:t>
            </w:r>
            <w:r w:rsidR="008F5C3A">
              <w:rPr>
                <w:webHidden/>
              </w:rPr>
              <w:tab/>
            </w:r>
            <w:r w:rsidR="008F5C3A">
              <w:rPr>
                <w:webHidden/>
              </w:rPr>
              <w:fldChar w:fldCharType="begin"/>
            </w:r>
            <w:r w:rsidR="008F5C3A">
              <w:rPr>
                <w:webHidden/>
              </w:rPr>
              <w:instrText xml:space="preserve"> PAGEREF _Toc126218640 \h </w:instrText>
            </w:r>
            <w:r w:rsidR="008F5C3A">
              <w:rPr>
                <w:webHidden/>
              </w:rPr>
            </w:r>
            <w:r w:rsidR="008F5C3A">
              <w:rPr>
                <w:webHidden/>
              </w:rPr>
              <w:fldChar w:fldCharType="separate"/>
            </w:r>
            <w:r w:rsidR="006F0710">
              <w:rPr>
                <w:webHidden/>
              </w:rPr>
              <w:t>173</w:t>
            </w:r>
            <w:r w:rsidR="008F5C3A">
              <w:rPr>
                <w:webHidden/>
              </w:rPr>
              <w:fldChar w:fldCharType="end"/>
            </w:r>
          </w:hyperlink>
        </w:p>
        <w:p w14:paraId="354FDC35" w14:textId="7DBC68BA" w:rsidR="008F5C3A" w:rsidRDefault="00000000">
          <w:pPr>
            <w:pStyle w:val="TOC1"/>
            <w:rPr>
              <w:rFonts w:asciiTheme="minorHAnsi" w:eastAsiaTheme="minorEastAsia" w:hAnsiTheme="minorHAnsi"/>
              <w:kern w:val="0"/>
              <w:sz w:val="22"/>
              <w:szCs w:val="22"/>
              <w:lang w:val="sr-Cyrl-RS" w:eastAsia="sr-Cyrl-RS"/>
            </w:rPr>
          </w:pPr>
          <w:hyperlink w:anchor="_Toc126218641" w:history="1">
            <w:r w:rsidR="008F5C3A" w:rsidRPr="001B3A38">
              <w:rPr>
                <w:rStyle w:val="Hyperlink"/>
                <w:rFonts w:eastAsia="Times New Roman"/>
                <w:b/>
                <w:w w:val="110"/>
                <w:lang w:val="sr-Cyrl-CS"/>
              </w:rPr>
              <w:t>6. ТРОШКОВИ И ФИНАНСИРАЊЕ СТРУКТУРНИХ РЕФОРМИ</w:t>
            </w:r>
            <w:r w:rsidR="008F5C3A">
              <w:rPr>
                <w:webHidden/>
              </w:rPr>
              <w:tab/>
            </w:r>
            <w:r w:rsidR="008F5C3A">
              <w:rPr>
                <w:webHidden/>
              </w:rPr>
              <w:fldChar w:fldCharType="begin"/>
            </w:r>
            <w:r w:rsidR="008F5C3A">
              <w:rPr>
                <w:webHidden/>
              </w:rPr>
              <w:instrText xml:space="preserve"> PAGEREF _Toc126218641 \h </w:instrText>
            </w:r>
            <w:r w:rsidR="008F5C3A">
              <w:rPr>
                <w:webHidden/>
              </w:rPr>
            </w:r>
            <w:r w:rsidR="008F5C3A">
              <w:rPr>
                <w:webHidden/>
              </w:rPr>
              <w:fldChar w:fldCharType="separate"/>
            </w:r>
            <w:r w:rsidR="006F0710">
              <w:rPr>
                <w:webHidden/>
              </w:rPr>
              <w:t>180</w:t>
            </w:r>
            <w:r w:rsidR="008F5C3A">
              <w:rPr>
                <w:webHidden/>
              </w:rPr>
              <w:fldChar w:fldCharType="end"/>
            </w:r>
          </w:hyperlink>
        </w:p>
        <w:p w14:paraId="53BFBD89" w14:textId="7285B7AD" w:rsidR="008F5C3A" w:rsidRDefault="00000000">
          <w:pPr>
            <w:pStyle w:val="TOC1"/>
            <w:rPr>
              <w:rFonts w:asciiTheme="minorHAnsi" w:eastAsiaTheme="minorEastAsia" w:hAnsiTheme="minorHAnsi"/>
              <w:kern w:val="0"/>
              <w:sz w:val="22"/>
              <w:szCs w:val="22"/>
              <w:lang w:val="sr-Cyrl-RS" w:eastAsia="sr-Cyrl-RS"/>
            </w:rPr>
          </w:pPr>
          <w:hyperlink w:anchor="_Toc126218642" w:history="1">
            <w:r w:rsidR="008F5C3A" w:rsidRPr="001B3A38">
              <w:rPr>
                <w:rStyle w:val="Hyperlink"/>
                <w:rFonts w:eastAsia="Times New Roman"/>
                <w:b/>
                <w:w w:val="110"/>
                <w:lang w:val="sr-Cyrl-CS"/>
              </w:rPr>
              <w:t>7. ИНСТИТУЦИОНАЛНА ПИТАЊА И УКЉУЧИВАЊЕ ЗАИНТЕРЕСОВАНИХ СТРАНА</w:t>
            </w:r>
            <w:r w:rsidR="008F5C3A">
              <w:rPr>
                <w:webHidden/>
              </w:rPr>
              <w:tab/>
            </w:r>
            <w:r w:rsidR="008F5C3A">
              <w:rPr>
                <w:webHidden/>
              </w:rPr>
              <w:fldChar w:fldCharType="begin"/>
            </w:r>
            <w:r w:rsidR="008F5C3A">
              <w:rPr>
                <w:webHidden/>
              </w:rPr>
              <w:instrText xml:space="preserve"> PAGEREF _Toc126218642 \h </w:instrText>
            </w:r>
            <w:r w:rsidR="008F5C3A">
              <w:rPr>
                <w:webHidden/>
              </w:rPr>
            </w:r>
            <w:r w:rsidR="008F5C3A">
              <w:rPr>
                <w:webHidden/>
              </w:rPr>
              <w:fldChar w:fldCharType="separate"/>
            </w:r>
            <w:r w:rsidR="006F0710">
              <w:rPr>
                <w:webHidden/>
              </w:rPr>
              <w:t>181</w:t>
            </w:r>
            <w:r w:rsidR="008F5C3A">
              <w:rPr>
                <w:webHidden/>
              </w:rPr>
              <w:fldChar w:fldCharType="end"/>
            </w:r>
          </w:hyperlink>
        </w:p>
        <w:p w14:paraId="7DD71A44" w14:textId="695944FC" w:rsidR="008F5C3A" w:rsidRDefault="00000000">
          <w:pPr>
            <w:pStyle w:val="TOC1"/>
            <w:rPr>
              <w:rFonts w:asciiTheme="minorHAnsi" w:eastAsiaTheme="minorEastAsia" w:hAnsiTheme="minorHAnsi"/>
              <w:kern w:val="0"/>
              <w:sz w:val="22"/>
              <w:szCs w:val="22"/>
              <w:lang w:val="sr-Cyrl-RS" w:eastAsia="sr-Cyrl-RS"/>
            </w:rPr>
          </w:pPr>
          <w:hyperlink w:anchor="_Toc126218643" w:history="1">
            <w:r w:rsidR="008F5C3A" w:rsidRPr="001B3A38">
              <w:rPr>
                <w:rStyle w:val="Hyperlink"/>
                <w:rFonts w:eastAsia="Calibri" w:cs="Times New Roman"/>
                <w:b/>
                <w:lang w:val="sr-Cyrl-CS"/>
              </w:rPr>
              <w:t>8. ПРИЛОЗИ</w:t>
            </w:r>
            <w:r w:rsidR="008F5C3A">
              <w:rPr>
                <w:webHidden/>
              </w:rPr>
              <w:tab/>
            </w:r>
            <w:r w:rsidR="008F5C3A">
              <w:rPr>
                <w:webHidden/>
              </w:rPr>
              <w:fldChar w:fldCharType="begin"/>
            </w:r>
            <w:r w:rsidR="008F5C3A">
              <w:rPr>
                <w:webHidden/>
              </w:rPr>
              <w:instrText xml:space="preserve"> PAGEREF _Toc126218643 \h </w:instrText>
            </w:r>
            <w:r w:rsidR="008F5C3A">
              <w:rPr>
                <w:webHidden/>
              </w:rPr>
            </w:r>
            <w:r w:rsidR="008F5C3A">
              <w:rPr>
                <w:webHidden/>
              </w:rPr>
              <w:fldChar w:fldCharType="separate"/>
            </w:r>
            <w:r w:rsidR="006F0710">
              <w:rPr>
                <w:webHidden/>
              </w:rPr>
              <w:t>183</w:t>
            </w:r>
            <w:r w:rsidR="008F5C3A">
              <w:rPr>
                <w:webHidden/>
              </w:rPr>
              <w:fldChar w:fldCharType="end"/>
            </w:r>
          </w:hyperlink>
        </w:p>
        <w:p w14:paraId="40179951" w14:textId="5DDA0950" w:rsidR="008F5C3A" w:rsidRDefault="00000000">
          <w:pPr>
            <w:pStyle w:val="TOC1"/>
            <w:rPr>
              <w:rFonts w:asciiTheme="minorHAnsi" w:eastAsiaTheme="minorEastAsia" w:hAnsiTheme="minorHAnsi"/>
              <w:kern w:val="0"/>
              <w:sz w:val="22"/>
              <w:szCs w:val="22"/>
              <w:lang w:val="sr-Cyrl-RS" w:eastAsia="sr-Cyrl-RS"/>
            </w:rPr>
          </w:pPr>
          <w:hyperlink w:anchor="_Toc126218644" w:history="1">
            <w:r w:rsidR="008F5C3A" w:rsidRPr="001B3A38">
              <w:rPr>
                <w:rStyle w:val="Hyperlink"/>
                <w:rFonts w:eastAsia="Times New Roman"/>
                <w:b/>
                <w:w w:val="110"/>
                <w:lang w:val="sr-Cyrl-CS"/>
              </w:rPr>
              <w:t>Анекс 1 – Табеле 1-11</w:t>
            </w:r>
            <w:r w:rsidR="008F5C3A">
              <w:rPr>
                <w:webHidden/>
              </w:rPr>
              <w:tab/>
            </w:r>
            <w:r w:rsidR="008F5C3A">
              <w:rPr>
                <w:webHidden/>
              </w:rPr>
              <w:fldChar w:fldCharType="begin"/>
            </w:r>
            <w:r w:rsidR="008F5C3A">
              <w:rPr>
                <w:webHidden/>
              </w:rPr>
              <w:instrText xml:space="preserve"> PAGEREF _Toc126218644 \h </w:instrText>
            </w:r>
            <w:r w:rsidR="008F5C3A">
              <w:rPr>
                <w:webHidden/>
              </w:rPr>
            </w:r>
            <w:r w:rsidR="008F5C3A">
              <w:rPr>
                <w:webHidden/>
              </w:rPr>
              <w:fldChar w:fldCharType="separate"/>
            </w:r>
            <w:r w:rsidR="006F0710">
              <w:rPr>
                <w:webHidden/>
              </w:rPr>
              <w:t>185</w:t>
            </w:r>
            <w:r w:rsidR="008F5C3A">
              <w:rPr>
                <w:webHidden/>
              </w:rPr>
              <w:fldChar w:fldCharType="end"/>
            </w:r>
          </w:hyperlink>
        </w:p>
        <w:p w14:paraId="64618094" w14:textId="02D21E77"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45" w:history="1">
            <w:r w:rsidR="008F5C3A" w:rsidRPr="001B3A38">
              <w:rPr>
                <w:rStyle w:val="Hyperlink"/>
                <w:rFonts w:cs="Times New Roman"/>
                <w:b/>
                <w:noProof/>
                <w:lang w:val="sr-Cyrl-CS"/>
              </w:rPr>
              <w:t>Табела 1: Макроекономски оквир</w:t>
            </w:r>
            <w:r w:rsidR="008F5C3A">
              <w:rPr>
                <w:noProof/>
                <w:webHidden/>
              </w:rPr>
              <w:tab/>
            </w:r>
            <w:r w:rsidR="008F5C3A">
              <w:rPr>
                <w:noProof/>
                <w:webHidden/>
              </w:rPr>
              <w:fldChar w:fldCharType="begin"/>
            </w:r>
            <w:r w:rsidR="008F5C3A">
              <w:rPr>
                <w:noProof/>
                <w:webHidden/>
              </w:rPr>
              <w:instrText xml:space="preserve"> PAGEREF _Toc126218645 \h </w:instrText>
            </w:r>
            <w:r w:rsidR="008F5C3A">
              <w:rPr>
                <w:noProof/>
                <w:webHidden/>
              </w:rPr>
            </w:r>
            <w:r w:rsidR="008F5C3A">
              <w:rPr>
                <w:noProof/>
                <w:webHidden/>
              </w:rPr>
              <w:fldChar w:fldCharType="separate"/>
            </w:r>
            <w:r w:rsidR="006F0710">
              <w:rPr>
                <w:noProof/>
                <w:webHidden/>
              </w:rPr>
              <w:t>185</w:t>
            </w:r>
            <w:r w:rsidR="008F5C3A">
              <w:rPr>
                <w:noProof/>
                <w:webHidden/>
              </w:rPr>
              <w:fldChar w:fldCharType="end"/>
            </w:r>
          </w:hyperlink>
        </w:p>
        <w:p w14:paraId="0B8EAAE6" w14:textId="35DF8F51"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46" w:history="1">
            <w:r w:rsidR="008F5C3A" w:rsidRPr="001B3A38">
              <w:rPr>
                <w:rStyle w:val="Hyperlink"/>
                <w:rFonts w:cs="Times New Roman"/>
                <w:b/>
                <w:bCs/>
                <w:noProof/>
                <w:lang w:val="sr-Cyrl-CS"/>
              </w:rPr>
              <w:t>Табела 2a + 2b:  Буџетски изгледи општег нивоа државе</w:t>
            </w:r>
            <w:r w:rsidR="008F5C3A">
              <w:rPr>
                <w:noProof/>
                <w:webHidden/>
              </w:rPr>
              <w:tab/>
            </w:r>
            <w:r w:rsidR="008F5C3A">
              <w:rPr>
                <w:noProof/>
                <w:webHidden/>
              </w:rPr>
              <w:fldChar w:fldCharType="begin"/>
            </w:r>
            <w:r w:rsidR="008F5C3A">
              <w:rPr>
                <w:noProof/>
                <w:webHidden/>
              </w:rPr>
              <w:instrText xml:space="preserve"> PAGEREF _Toc126218646 \h </w:instrText>
            </w:r>
            <w:r w:rsidR="008F5C3A">
              <w:rPr>
                <w:noProof/>
                <w:webHidden/>
              </w:rPr>
            </w:r>
            <w:r w:rsidR="008F5C3A">
              <w:rPr>
                <w:noProof/>
                <w:webHidden/>
              </w:rPr>
              <w:fldChar w:fldCharType="separate"/>
            </w:r>
            <w:r w:rsidR="006F0710">
              <w:rPr>
                <w:noProof/>
                <w:webHidden/>
              </w:rPr>
              <w:t>194</w:t>
            </w:r>
            <w:r w:rsidR="008F5C3A">
              <w:rPr>
                <w:noProof/>
                <w:webHidden/>
              </w:rPr>
              <w:fldChar w:fldCharType="end"/>
            </w:r>
          </w:hyperlink>
        </w:p>
        <w:p w14:paraId="7B3EFA11" w14:textId="33A22911"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47" w:history="1">
            <w:r w:rsidR="008F5C3A" w:rsidRPr="001B3A38">
              <w:rPr>
                <w:rStyle w:val="Hyperlink"/>
                <w:rFonts w:cs="Times New Roman"/>
                <w:b/>
                <w:noProof/>
                <w:lang w:val="sr-Cyrl-CS"/>
              </w:rPr>
              <w:t>Tабела 2c: Дискреционе мере усвојене/најављене у складу са Програмом</w:t>
            </w:r>
            <w:r w:rsidR="008F5C3A">
              <w:rPr>
                <w:noProof/>
                <w:webHidden/>
              </w:rPr>
              <w:tab/>
            </w:r>
            <w:r w:rsidR="008F5C3A">
              <w:rPr>
                <w:noProof/>
                <w:webHidden/>
              </w:rPr>
              <w:fldChar w:fldCharType="begin"/>
            </w:r>
            <w:r w:rsidR="008F5C3A">
              <w:rPr>
                <w:noProof/>
                <w:webHidden/>
              </w:rPr>
              <w:instrText xml:space="preserve"> PAGEREF _Toc126218647 \h </w:instrText>
            </w:r>
            <w:r w:rsidR="008F5C3A">
              <w:rPr>
                <w:noProof/>
                <w:webHidden/>
              </w:rPr>
            </w:r>
            <w:r w:rsidR="008F5C3A">
              <w:rPr>
                <w:noProof/>
                <w:webHidden/>
              </w:rPr>
              <w:fldChar w:fldCharType="separate"/>
            </w:r>
            <w:r w:rsidR="006F0710">
              <w:rPr>
                <w:noProof/>
                <w:webHidden/>
              </w:rPr>
              <w:t>198</w:t>
            </w:r>
            <w:r w:rsidR="008F5C3A">
              <w:rPr>
                <w:noProof/>
                <w:webHidden/>
              </w:rPr>
              <w:fldChar w:fldCharType="end"/>
            </w:r>
          </w:hyperlink>
        </w:p>
        <w:p w14:paraId="3A0C4713" w14:textId="0E169B88"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48" w:history="1">
            <w:r w:rsidR="008F5C3A" w:rsidRPr="001B3A38">
              <w:rPr>
                <w:rStyle w:val="Hyperlink"/>
                <w:rFonts w:cs="Times New Roman"/>
                <w:b/>
                <w:noProof/>
                <w:lang w:val="sr-Cyrl-CS"/>
              </w:rPr>
              <w:t>Tабела 3: Расходи општег нивоа државе по функцијама (у млрд РСД)</w:t>
            </w:r>
            <w:r w:rsidR="008F5C3A">
              <w:rPr>
                <w:noProof/>
                <w:webHidden/>
              </w:rPr>
              <w:tab/>
            </w:r>
            <w:r w:rsidR="008F5C3A">
              <w:rPr>
                <w:noProof/>
                <w:webHidden/>
              </w:rPr>
              <w:fldChar w:fldCharType="begin"/>
            </w:r>
            <w:r w:rsidR="008F5C3A">
              <w:rPr>
                <w:noProof/>
                <w:webHidden/>
              </w:rPr>
              <w:instrText xml:space="preserve"> PAGEREF _Toc126218648 \h </w:instrText>
            </w:r>
            <w:r w:rsidR="008F5C3A">
              <w:rPr>
                <w:noProof/>
                <w:webHidden/>
              </w:rPr>
            </w:r>
            <w:r w:rsidR="008F5C3A">
              <w:rPr>
                <w:noProof/>
                <w:webHidden/>
              </w:rPr>
              <w:fldChar w:fldCharType="separate"/>
            </w:r>
            <w:r w:rsidR="006F0710">
              <w:rPr>
                <w:noProof/>
                <w:webHidden/>
              </w:rPr>
              <w:t>200</w:t>
            </w:r>
            <w:r w:rsidR="008F5C3A">
              <w:rPr>
                <w:noProof/>
                <w:webHidden/>
              </w:rPr>
              <w:fldChar w:fldCharType="end"/>
            </w:r>
          </w:hyperlink>
        </w:p>
        <w:p w14:paraId="040F8922" w14:textId="447C2539"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49" w:history="1">
            <w:r w:rsidR="008F5C3A" w:rsidRPr="001B3A38">
              <w:rPr>
                <w:rStyle w:val="Hyperlink"/>
                <w:rFonts w:cs="Times New Roman"/>
                <w:b/>
                <w:noProof/>
                <w:lang w:val="sr-Cyrl-CS"/>
              </w:rPr>
              <w:t>Табела 4: Кретање дуга општег нивоа државе</w:t>
            </w:r>
            <w:r w:rsidR="008F5C3A">
              <w:rPr>
                <w:noProof/>
                <w:webHidden/>
              </w:rPr>
              <w:tab/>
            </w:r>
            <w:r w:rsidR="008F5C3A">
              <w:rPr>
                <w:noProof/>
                <w:webHidden/>
              </w:rPr>
              <w:fldChar w:fldCharType="begin"/>
            </w:r>
            <w:r w:rsidR="008F5C3A">
              <w:rPr>
                <w:noProof/>
                <w:webHidden/>
              </w:rPr>
              <w:instrText xml:space="preserve"> PAGEREF _Toc126218649 \h </w:instrText>
            </w:r>
            <w:r w:rsidR="008F5C3A">
              <w:rPr>
                <w:noProof/>
                <w:webHidden/>
              </w:rPr>
            </w:r>
            <w:r w:rsidR="008F5C3A">
              <w:rPr>
                <w:noProof/>
                <w:webHidden/>
              </w:rPr>
              <w:fldChar w:fldCharType="separate"/>
            </w:r>
            <w:r w:rsidR="006F0710">
              <w:rPr>
                <w:noProof/>
                <w:webHidden/>
              </w:rPr>
              <w:t>201</w:t>
            </w:r>
            <w:r w:rsidR="008F5C3A">
              <w:rPr>
                <w:noProof/>
                <w:webHidden/>
              </w:rPr>
              <w:fldChar w:fldCharType="end"/>
            </w:r>
          </w:hyperlink>
        </w:p>
        <w:p w14:paraId="630CA009" w14:textId="24CE8173"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50" w:history="1">
            <w:r w:rsidR="008F5C3A" w:rsidRPr="001B3A38">
              <w:rPr>
                <w:rStyle w:val="Hyperlink"/>
                <w:rFonts w:cs="Times New Roman"/>
                <w:b/>
                <w:noProof/>
                <w:lang w:val="sr-Cyrl-CS"/>
              </w:rPr>
              <w:t>Табела 5: Циклична кретања</w:t>
            </w:r>
            <w:r w:rsidR="008F5C3A">
              <w:rPr>
                <w:noProof/>
                <w:webHidden/>
              </w:rPr>
              <w:tab/>
            </w:r>
            <w:r w:rsidR="008F5C3A">
              <w:rPr>
                <w:noProof/>
                <w:webHidden/>
              </w:rPr>
              <w:fldChar w:fldCharType="begin"/>
            </w:r>
            <w:r w:rsidR="008F5C3A">
              <w:rPr>
                <w:noProof/>
                <w:webHidden/>
              </w:rPr>
              <w:instrText xml:space="preserve"> PAGEREF _Toc126218650 \h </w:instrText>
            </w:r>
            <w:r w:rsidR="008F5C3A">
              <w:rPr>
                <w:noProof/>
                <w:webHidden/>
              </w:rPr>
            </w:r>
            <w:r w:rsidR="008F5C3A">
              <w:rPr>
                <w:noProof/>
                <w:webHidden/>
              </w:rPr>
              <w:fldChar w:fldCharType="separate"/>
            </w:r>
            <w:r w:rsidR="006F0710">
              <w:rPr>
                <w:noProof/>
                <w:webHidden/>
              </w:rPr>
              <w:t>202</w:t>
            </w:r>
            <w:r w:rsidR="008F5C3A">
              <w:rPr>
                <w:noProof/>
                <w:webHidden/>
              </w:rPr>
              <w:fldChar w:fldCharType="end"/>
            </w:r>
          </w:hyperlink>
        </w:p>
        <w:p w14:paraId="76646C6E" w14:textId="03DE881D"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51" w:history="1">
            <w:r w:rsidR="008F5C3A" w:rsidRPr="001B3A38">
              <w:rPr>
                <w:rStyle w:val="Hyperlink"/>
                <w:rFonts w:cs="Times New Roman"/>
                <w:b/>
                <w:noProof/>
                <w:lang w:val="sr-Cyrl-CS"/>
              </w:rPr>
              <w:t>Табела 6: Одступање од претходног Програма</w:t>
            </w:r>
            <w:r w:rsidR="008F5C3A">
              <w:rPr>
                <w:noProof/>
                <w:webHidden/>
              </w:rPr>
              <w:tab/>
            </w:r>
            <w:r w:rsidR="008F5C3A">
              <w:rPr>
                <w:noProof/>
                <w:webHidden/>
              </w:rPr>
              <w:fldChar w:fldCharType="begin"/>
            </w:r>
            <w:r w:rsidR="008F5C3A">
              <w:rPr>
                <w:noProof/>
                <w:webHidden/>
              </w:rPr>
              <w:instrText xml:space="preserve"> PAGEREF _Toc126218651 \h </w:instrText>
            </w:r>
            <w:r w:rsidR="008F5C3A">
              <w:rPr>
                <w:noProof/>
                <w:webHidden/>
              </w:rPr>
            </w:r>
            <w:r w:rsidR="008F5C3A">
              <w:rPr>
                <w:noProof/>
                <w:webHidden/>
              </w:rPr>
              <w:fldChar w:fldCharType="separate"/>
            </w:r>
            <w:r w:rsidR="006F0710">
              <w:rPr>
                <w:noProof/>
                <w:webHidden/>
              </w:rPr>
              <w:t>203</w:t>
            </w:r>
            <w:r w:rsidR="008F5C3A">
              <w:rPr>
                <w:noProof/>
                <w:webHidden/>
              </w:rPr>
              <w:fldChar w:fldCharType="end"/>
            </w:r>
          </w:hyperlink>
        </w:p>
        <w:p w14:paraId="05A0BF23" w14:textId="42D43806"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52" w:history="1">
            <w:r w:rsidR="008F5C3A" w:rsidRPr="001B3A38">
              <w:rPr>
                <w:rStyle w:val="Hyperlink"/>
                <w:rFonts w:cs="Times New Roman"/>
                <w:b/>
                <w:noProof/>
                <w:lang w:val="sr-Cyrl-CS"/>
              </w:rPr>
              <w:t>Табела 7: Дугорочна одрживост јавних финансија (% БДП)</w:t>
            </w:r>
            <w:r w:rsidR="008F5C3A">
              <w:rPr>
                <w:noProof/>
                <w:webHidden/>
              </w:rPr>
              <w:tab/>
            </w:r>
            <w:r w:rsidR="008F5C3A">
              <w:rPr>
                <w:noProof/>
                <w:webHidden/>
              </w:rPr>
              <w:fldChar w:fldCharType="begin"/>
            </w:r>
            <w:r w:rsidR="008F5C3A">
              <w:rPr>
                <w:noProof/>
                <w:webHidden/>
              </w:rPr>
              <w:instrText xml:space="preserve"> PAGEREF _Toc126218652 \h </w:instrText>
            </w:r>
            <w:r w:rsidR="008F5C3A">
              <w:rPr>
                <w:noProof/>
                <w:webHidden/>
              </w:rPr>
            </w:r>
            <w:r w:rsidR="008F5C3A">
              <w:rPr>
                <w:noProof/>
                <w:webHidden/>
              </w:rPr>
              <w:fldChar w:fldCharType="separate"/>
            </w:r>
            <w:r w:rsidR="006F0710">
              <w:rPr>
                <w:noProof/>
                <w:webHidden/>
              </w:rPr>
              <w:t>204</w:t>
            </w:r>
            <w:r w:rsidR="008F5C3A">
              <w:rPr>
                <w:noProof/>
                <w:webHidden/>
              </w:rPr>
              <w:fldChar w:fldCharType="end"/>
            </w:r>
          </w:hyperlink>
        </w:p>
        <w:p w14:paraId="02D148E8" w14:textId="6595DFBB"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53" w:history="1">
            <w:r w:rsidR="008F5C3A" w:rsidRPr="001B3A38">
              <w:rPr>
                <w:rStyle w:val="Hyperlink"/>
                <w:rFonts w:cs="Times New Roman"/>
                <w:b/>
                <w:noProof/>
                <w:lang w:val="sr-Cyrl-CS"/>
              </w:rPr>
              <w:t xml:space="preserve">Табела </w:t>
            </w:r>
            <w:r w:rsidR="008F5C3A" w:rsidRPr="001B3A38">
              <w:rPr>
                <w:rStyle w:val="Hyperlink"/>
                <w:rFonts w:eastAsia="Times New Roman" w:cs="Times New Roman"/>
                <w:b/>
                <w:bCs/>
                <w:noProof/>
                <w:lang w:val="sr-Cyrl-CS"/>
              </w:rPr>
              <w:t>7a: Издавање гаранција усвојено/најављено у складу са Програмом</w:t>
            </w:r>
            <w:r w:rsidR="008F5C3A">
              <w:rPr>
                <w:noProof/>
                <w:webHidden/>
              </w:rPr>
              <w:tab/>
            </w:r>
            <w:r w:rsidR="008F5C3A">
              <w:rPr>
                <w:noProof/>
                <w:webHidden/>
              </w:rPr>
              <w:fldChar w:fldCharType="begin"/>
            </w:r>
            <w:r w:rsidR="008F5C3A">
              <w:rPr>
                <w:noProof/>
                <w:webHidden/>
              </w:rPr>
              <w:instrText xml:space="preserve"> PAGEREF _Toc126218653 \h </w:instrText>
            </w:r>
            <w:r w:rsidR="008F5C3A">
              <w:rPr>
                <w:noProof/>
                <w:webHidden/>
              </w:rPr>
            </w:r>
            <w:r w:rsidR="008F5C3A">
              <w:rPr>
                <w:noProof/>
                <w:webHidden/>
              </w:rPr>
              <w:fldChar w:fldCharType="separate"/>
            </w:r>
            <w:r w:rsidR="006F0710">
              <w:rPr>
                <w:noProof/>
                <w:webHidden/>
              </w:rPr>
              <w:t>206</w:t>
            </w:r>
            <w:r w:rsidR="008F5C3A">
              <w:rPr>
                <w:noProof/>
                <w:webHidden/>
              </w:rPr>
              <w:fldChar w:fldCharType="end"/>
            </w:r>
          </w:hyperlink>
        </w:p>
        <w:p w14:paraId="31E69FAF" w14:textId="5618B8D2"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54" w:history="1">
            <w:r w:rsidR="008F5C3A" w:rsidRPr="001B3A38">
              <w:rPr>
                <w:rStyle w:val="Hyperlink"/>
                <w:rFonts w:cs="Times New Roman"/>
                <w:b/>
                <w:noProof/>
                <w:lang w:val="sr-Cyrl-CS"/>
              </w:rPr>
              <w:t>Табела 8: Основне претпоставке о екстерном економском окружењу на ком се заснива програмски оквир [1]</w:t>
            </w:r>
            <w:r w:rsidR="008F5C3A">
              <w:rPr>
                <w:noProof/>
                <w:webHidden/>
              </w:rPr>
              <w:tab/>
            </w:r>
            <w:r w:rsidR="008F5C3A">
              <w:rPr>
                <w:noProof/>
                <w:webHidden/>
              </w:rPr>
              <w:fldChar w:fldCharType="begin"/>
            </w:r>
            <w:r w:rsidR="008F5C3A">
              <w:rPr>
                <w:noProof/>
                <w:webHidden/>
              </w:rPr>
              <w:instrText xml:space="preserve"> PAGEREF _Toc126218654 \h </w:instrText>
            </w:r>
            <w:r w:rsidR="008F5C3A">
              <w:rPr>
                <w:noProof/>
                <w:webHidden/>
              </w:rPr>
            </w:r>
            <w:r w:rsidR="008F5C3A">
              <w:rPr>
                <w:noProof/>
                <w:webHidden/>
              </w:rPr>
              <w:fldChar w:fldCharType="separate"/>
            </w:r>
            <w:r w:rsidR="006F0710">
              <w:rPr>
                <w:noProof/>
                <w:webHidden/>
              </w:rPr>
              <w:t>207</w:t>
            </w:r>
            <w:r w:rsidR="008F5C3A">
              <w:rPr>
                <w:noProof/>
                <w:webHidden/>
              </w:rPr>
              <w:fldChar w:fldCharType="end"/>
            </w:r>
          </w:hyperlink>
        </w:p>
        <w:p w14:paraId="7788C747" w14:textId="3204E9BA"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55" w:history="1">
            <w:r w:rsidR="008F5C3A" w:rsidRPr="001B3A38">
              <w:rPr>
                <w:rStyle w:val="Hyperlink"/>
                <w:rFonts w:cs="Times New Roman"/>
                <w:b/>
                <w:noProof/>
                <w:lang w:val="sr-Cyrl-CS"/>
              </w:rPr>
              <w:t>Табела 9 а: Социјални индикатори</w:t>
            </w:r>
            <w:r w:rsidR="008F5C3A">
              <w:rPr>
                <w:noProof/>
                <w:webHidden/>
              </w:rPr>
              <w:tab/>
            </w:r>
            <w:r w:rsidR="008F5C3A">
              <w:rPr>
                <w:noProof/>
                <w:webHidden/>
              </w:rPr>
              <w:fldChar w:fldCharType="begin"/>
            </w:r>
            <w:r w:rsidR="008F5C3A">
              <w:rPr>
                <w:noProof/>
                <w:webHidden/>
              </w:rPr>
              <w:instrText xml:space="preserve"> PAGEREF _Toc126218655 \h </w:instrText>
            </w:r>
            <w:r w:rsidR="008F5C3A">
              <w:rPr>
                <w:noProof/>
                <w:webHidden/>
              </w:rPr>
            </w:r>
            <w:r w:rsidR="008F5C3A">
              <w:rPr>
                <w:noProof/>
                <w:webHidden/>
              </w:rPr>
              <w:fldChar w:fldCharType="separate"/>
            </w:r>
            <w:r w:rsidR="006F0710">
              <w:rPr>
                <w:noProof/>
                <w:webHidden/>
              </w:rPr>
              <w:t>208</w:t>
            </w:r>
            <w:r w:rsidR="008F5C3A">
              <w:rPr>
                <w:noProof/>
                <w:webHidden/>
              </w:rPr>
              <w:fldChar w:fldCharType="end"/>
            </w:r>
          </w:hyperlink>
        </w:p>
        <w:p w14:paraId="5551E34E" w14:textId="4001820B"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56" w:history="1">
            <w:r w:rsidR="008F5C3A" w:rsidRPr="001B3A38">
              <w:rPr>
                <w:rStyle w:val="Hyperlink"/>
                <w:rFonts w:cs="Times New Roman"/>
                <w:b/>
                <w:noProof/>
                <w:lang w:val="sr-Cyrl-CS"/>
              </w:rPr>
              <w:t>Табела 9 б: Остали изабрани показатељи</w:t>
            </w:r>
            <w:r w:rsidR="008F5C3A">
              <w:rPr>
                <w:noProof/>
                <w:webHidden/>
              </w:rPr>
              <w:tab/>
            </w:r>
            <w:r w:rsidR="008F5C3A">
              <w:rPr>
                <w:noProof/>
                <w:webHidden/>
              </w:rPr>
              <w:fldChar w:fldCharType="begin"/>
            </w:r>
            <w:r w:rsidR="008F5C3A">
              <w:rPr>
                <w:noProof/>
                <w:webHidden/>
              </w:rPr>
              <w:instrText xml:space="preserve"> PAGEREF _Toc126218656 \h </w:instrText>
            </w:r>
            <w:r w:rsidR="008F5C3A">
              <w:rPr>
                <w:noProof/>
                <w:webHidden/>
              </w:rPr>
            </w:r>
            <w:r w:rsidR="008F5C3A">
              <w:rPr>
                <w:noProof/>
                <w:webHidden/>
              </w:rPr>
              <w:fldChar w:fldCharType="separate"/>
            </w:r>
            <w:r w:rsidR="006F0710">
              <w:rPr>
                <w:noProof/>
                <w:webHidden/>
              </w:rPr>
              <w:t>208</w:t>
            </w:r>
            <w:r w:rsidR="008F5C3A">
              <w:rPr>
                <w:noProof/>
                <w:webHidden/>
              </w:rPr>
              <w:fldChar w:fldCharType="end"/>
            </w:r>
          </w:hyperlink>
        </w:p>
        <w:p w14:paraId="418A128F" w14:textId="7154B0CF"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57" w:history="1">
            <w:r w:rsidR="008F5C3A" w:rsidRPr="001B3A38">
              <w:rPr>
                <w:rStyle w:val="Hyperlink"/>
                <w:rFonts w:cs="Times New Roman"/>
                <w:b/>
                <w:noProof/>
                <w:lang w:val="sr-Cyrl-CS"/>
              </w:rPr>
              <w:t>Табела 10: Ефекти структурних реформи на буџет</w:t>
            </w:r>
            <w:r w:rsidR="008F5C3A">
              <w:rPr>
                <w:noProof/>
                <w:webHidden/>
              </w:rPr>
              <w:tab/>
            </w:r>
            <w:r w:rsidR="008F5C3A">
              <w:rPr>
                <w:noProof/>
                <w:webHidden/>
              </w:rPr>
              <w:fldChar w:fldCharType="begin"/>
            </w:r>
            <w:r w:rsidR="008F5C3A">
              <w:rPr>
                <w:noProof/>
                <w:webHidden/>
              </w:rPr>
              <w:instrText xml:space="preserve"> PAGEREF _Toc126218657 \h </w:instrText>
            </w:r>
            <w:r w:rsidR="008F5C3A">
              <w:rPr>
                <w:noProof/>
                <w:webHidden/>
              </w:rPr>
            </w:r>
            <w:r w:rsidR="008F5C3A">
              <w:rPr>
                <w:noProof/>
                <w:webHidden/>
              </w:rPr>
              <w:fldChar w:fldCharType="separate"/>
            </w:r>
            <w:r w:rsidR="006F0710">
              <w:rPr>
                <w:noProof/>
                <w:webHidden/>
              </w:rPr>
              <w:t>210</w:t>
            </w:r>
            <w:r w:rsidR="008F5C3A">
              <w:rPr>
                <w:noProof/>
                <w:webHidden/>
              </w:rPr>
              <w:fldChar w:fldCharType="end"/>
            </w:r>
          </w:hyperlink>
        </w:p>
        <w:p w14:paraId="68F6CF04" w14:textId="518601EC" w:rsidR="008F5C3A" w:rsidRDefault="00000000">
          <w:pPr>
            <w:pStyle w:val="TOC3"/>
            <w:tabs>
              <w:tab w:val="right" w:leader="underscore" w:pos="9016"/>
            </w:tabs>
            <w:rPr>
              <w:rFonts w:asciiTheme="minorHAnsi" w:eastAsiaTheme="minorEastAsia" w:hAnsiTheme="minorHAnsi"/>
              <w:noProof/>
              <w:sz w:val="22"/>
              <w:szCs w:val="22"/>
              <w:lang w:val="sr-Cyrl-RS" w:eastAsia="sr-Cyrl-RS"/>
            </w:rPr>
          </w:pPr>
          <w:hyperlink w:anchor="_Toc126218658" w:history="1">
            <w:r w:rsidR="008F5C3A" w:rsidRPr="001B3A38">
              <w:rPr>
                <w:rStyle w:val="Hyperlink"/>
                <w:rFonts w:cs="Times New Roman"/>
                <w:b/>
                <w:noProof/>
                <w:lang w:val="sr-Cyrl-CS"/>
              </w:rPr>
              <w:t>Табела 11: Извештај о спровођењу структурних реформи из ЕРП 2022-2024</w:t>
            </w:r>
            <w:r w:rsidR="008F5C3A">
              <w:rPr>
                <w:noProof/>
                <w:webHidden/>
              </w:rPr>
              <w:tab/>
            </w:r>
            <w:r w:rsidR="008F5C3A">
              <w:rPr>
                <w:noProof/>
                <w:webHidden/>
              </w:rPr>
              <w:fldChar w:fldCharType="begin"/>
            </w:r>
            <w:r w:rsidR="008F5C3A">
              <w:rPr>
                <w:noProof/>
                <w:webHidden/>
              </w:rPr>
              <w:instrText xml:space="preserve"> PAGEREF _Toc126218658 \h </w:instrText>
            </w:r>
            <w:r w:rsidR="008F5C3A">
              <w:rPr>
                <w:noProof/>
                <w:webHidden/>
              </w:rPr>
            </w:r>
            <w:r w:rsidR="008F5C3A">
              <w:rPr>
                <w:noProof/>
                <w:webHidden/>
              </w:rPr>
              <w:fldChar w:fldCharType="separate"/>
            </w:r>
            <w:r w:rsidR="006F0710">
              <w:rPr>
                <w:noProof/>
                <w:webHidden/>
              </w:rPr>
              <w:t>220</w:t>
            </w:r>
            <w:r w:rsidR="008F5C3A">
              <w:rPr>
                <w:noProof/>
                <w:webHidden/>
              </w:rPr>
              <w:fldChar w:fldCharType="end"/>
            </w:r>
          </w:hyperlink>
        </w:p>
        <w:p w14:paraId="5F70A8D7" w14:textId="579E90B7" w:rsidR="008F5C3A" w:rsidRDefault="00000000">
          <w:pPr>
            <w:pStyle w:val="TOC1"/>
            <w:rPr>
              <w:rFonts w:asciiTheme="minorHAnsi" w:eastAsiaTheme="minorEastAsia" w:hAnsiTheme="minorHAnsi"/>
              <w:kern w:val="0"/>
              <w:sz w:val="22"/>
              <w:szCs w:val="22"/>
              <w:lang w:val="sr-Cyrl-RS" w:eastAsia="sr-Cyrl-RS"/>
            </w:rPr>
          </w:pPr>
          <w:hyperlink w:anchor="_Toc126218659" w:history="1">
            <w:r w:rsidR="008F5C3A" w:rsidRPr="001B3A38">
              <w:rPr>
                <w:rStyle w:val="Hyperlink"/>
                <w:b/>
                <w:w w:val="110"/>
                <w:lang w:val="sr-Cyrl-CS"/>
              </w:rPr>
              <w:t>Анекс 2 - Везе између реформских области и релевантних докумената јавних политика</w:t>
            </w:r>
            <w:r w:rsidR="008F5C3A">
              <w:rPr>
                <w:webHidden/>
              </w:rPr>
              <w:tab/>
            </w:r>
            <w:r w:rsidR="008F5C3A">
              <w:rPr>
                <w:webHidden/>
              </w:rPr>
              <w:fldChar w:fldCharType="begin"/>
            </w:r>
            <w:r w:rsidR="008F5C3A">
              <w:rPr>
                <w:webHidden/>
              </w:rPr>
              <w:instrText xml:space="preserve"> PAGEREF _Toc126218659 \h </w:instrText>
            </w:r>
            <w:r w:rsidR="008F5C3A">
              <w:rPr>
                <w:webHidden/>
              </w:rPr>
            </w:r>
            <w:r w:rsidR="008F5C3A">
              <w:rPr>
                <w:webHidden/>
              </w:rPr>
              <w:fldChar w:fldCharType="separate"/>
            </w:r>
            <w:r w:rsidR="006F0710">
              <w:rPr>
                <w:webHidden/>
              </w:rPr>
              <w:t>246</w:t>
            </w:r>
            <w:r w:rsidR="008F5C3A">
              <w:rPr>
                <w:webHidden/>
              </w:rPr>
              <w:fldChar w:fldCharType="end"/>
            </w:r>
          </w:hyperlink>
        </w:p>
        <w:p w14:paraId="000A1886" w14:textId="3FBF7005" w:rsidR="008F5C3A" w:rsidRDefault="00000000">
          <w:pPr>
            <w:pStyle w:val="TOC1"/>
            <w:rPr>
              <w:rFonts w:asciiTheme="minorHAnsi" w:eastAsiaTheme="minorEastAsia" w:hAnsiTheme="minorHAnsi"/>
              <w:kern w:val="0"/>
              <w:sz w:val="22"/>
              <w:szCs w:val="22"/>
              <w:lang w:val="sr-Cyrl-RS" w:eastAsia="sr-Cyrl-RS"/>
            </w:rPr>
          </w:pPr>
          <w:hyperlink w:anchor="_Toc126218660" w:history="1">
            <w:r w:rsidR="008F5C3A" w:rsidRPr="001B3A38">
              <w:rPr>
                <w:rStyle w:val="Hyperlink"/>
                <w:b/>
                <w:w w:val="110"/>
                <w:lang w:val="sr-Cyrl-CS"/>
              </w:rPr>
              <w:t>Анекс 3 - Екстерна контрибуција за ЕРП 2023-2025</w:t>
            </w:r>
            <w:r w:rsidR="008F5C3A">
              <w:rPr>
                <w:webHidden/>
              </w:rPr>
              <w:tab/>
            </w:r>
            <w:r w:rsidR="008F5C3A">
              <w:rPr>
                <w:webHidden/>
              </w:rPr>
              <w:fldChar w:fldCharType="begin"/>
            </w:r>
            <w:r w:rsidR="008F5C3A">
              <w:rPr>
                <w:webHidden/>
              </w:rPr>
              <w:instrText xml:space="preserve"> PAGEREF _Toc126218660 \h </w:instrText>
            </w:r>
            <w:r w:rsidR="008F5C3A">
              <w:rPr>
                <w:webHidden/>
              </w:rPr>
            </w:r>
            <w:r w:rsidR="008F5C3A">
              <w:rPr>
                <w:webHidden/>
              </w:rPr>
              <w:fldChar w:fldCharType="separate"/>
            </w:r>
            <w:r w:rsidR="006F0710">
              <w:rPr>
                <w:webHidden/>
              </w:rPr>
              <w:t>270</w:t>
            </w:r>
            <w:r w:rsidR="008F5C3A">
              <w:rPr>
                <w:webHidden/>
              </w:rPr>
              <w:fldChar w:fldCharType="end"/>
            </w:r>
          </w:hyperlink>
        </w:p>
        <w:p w14:paraId="1643CC18" w14:textId="17F8B272" w:rsidR="001A19D5" w:rsidRDefault="001A19D5" w:rsidP="001A19D5">
          <w:pPr>
            <w:rPr>
              <w:rFonts w:cs="Times New Roman"/>
              <w:bCs/>
              <w:noProof/>
            </w:rPr>
          </w:pPr>
          <w:r w:rsidRPr="000312CB">
            <w:rPr>
              <w:rFonts w:cs="Times New Roman"/>
              <w:bCs/>
              <w:noProof/>
            </w:rPr>
            <w:fldChar w:fldCharType="end"/>
          </w:r>
        </w:p>
      </w:sdtContent>
    </w:sdt>
    <w:p w14:paraId="5288B18D" w14:textId="41F9820C" w:rsidR="001A19D5" w:rsidRDefault="001A19D5">
      <w:pPr>
        <w:spacing w:after="160" w:line="259" w:lineRule="auto"/>
        <w:jc w:val="left"/>
        <w:rPr>
          <w:lang w:val="sr-Cyrl-CS" w:eastAsia="ja-JP"/>
        </w:rPr>
      </w:pPr>
      <w:r>
        <w:rPr>
          <w:lang w:val="sr-Cyrl-CS" w:eastAsia="ja-JP"/>
        </w:rPr>
        <w:br w:type="page"/>
      </w:r>
    </w:p>
    <w:p w14:paraId="1B4424B0" w14:textId="2E6C95BA" w:rsidR="00B40B77" w:rsidRPr="00092ED7" w:rsidRDefault="00B40B77" w:rsidP="00DC50CA">
      <w:pPr>
        <w:spacing w:after="160" w:line="259" w:lineRule="auto"/>
        <w:ind w:firstLine="720"/>
        <w:rPr>
          <w:rFonts w:eastAsia="MS PGothic" w:cs="Times New Roman"/>
          <w:b/>
          <w:w w:val="110"/>
          <w:sz w:val="26"/>
          <w:szCs w:val="26"/>
          <w:lang w:val="sr-Cyrl-CS" w:eastAsia="ja-JP"/>
        </w:rPr>
      </w:pPr>
      <w:r w:rsidRPr="00092ED7">
        <w:rPr>
          <w:lang w:val="sr-Cyrl-CS" w:eastAsia="ja-JP"/>
        </w:rPr>
        <w:lastRenderedPageBreak/>
        <w:t>На основу члана 38. став 1. Закона о планском систему Републике Србије („Службени гласник РС”, број 30/18),</w:t>
      </w:r>
    </w:p>
    <w:p w14:paraId="20402C23" w14:textId="77777777" w:rsidR="00B40B77" w:rsidRPr="00092ED7" w:rsidRDefault="00B40B77" w:rsidP="00B40B77">
      <w:pPr>
        <w:spacing w:after="60"/>
        <w:rPr>
          <w:lang w:val="sr-Cyrl-CS" w:eastAsia="ja-JP"/>
        </w:rPr>
      </w:pPr>
    </w:p>
    <w:p w14:paraId="58E9F708" w14:textId="77777777" w:rsidR="00B40B77" w:rsidRPr="00092ED7" w:rsidRDefault="00B40B77" w:rsidP="00B40B77">
      <w:pPr>
        <w:spacing w:after="60"/>
        <w:ind w:firstLine="720"/>
        <w:rPr>
          <w:lang w:val="sr-Cyrl-CS" w:eastAsia="ja-JP"/>
        </w:rPr>
      </w:pPr>
      <w:r w:rsidRPr="00092ED7">
        <w:rPr>
          <w:lang w:val="sr-Cyrl-CS" w:eastAsia="ja-JP"/>
        </w:rPr>
        <w:t xml:space="preserve">Влада усваја </w:t>
      </w:r>
    </w:p>
    <w:p w14:paraId="22B6D037" w14:textId="77777777" w:rsidR="00B40B77" w:rsidRPr="00092ED7" w:rsidRDefault="00B40B77" w:rsidP="00B40B77">
      <w:pPr>
        <w:spacing w:after="60"/>
        <w:rPr>
          <w:lang w:val="sr-Cyrl-CS" w:eastAsia="ja-JP"/>
        </w:rPr>
      </w:pPr>
    </w:p>
    <w:p w14:paraId="5A5E8D72" w14:textId="77777777" w:rsidR="00B40B77" w:rsidRPr="00092ED7" w:rsidRDefault="00B40B77" w:rsidP="00B40B77">
      <w:pPr>
        <w:spacing w:after="60"/>
        <w:jc w:val="center"/>
        <w:rPr>
          <w:szCs w:val="24"/>
          <w:lang w:val="sr-Cyrl-CS" w:eastAsia="ja-JP"/>
        </w:rPr>
      </w:pPr>
      <w:r w:rsidRPr="00092ED7">
        <w:rPr>
          <w:szCs w:val="24"/>
          <w:lang w:val="sr-Cyrl-CS" w:eastAsia="ja-JP"/>
        </w:rPr>
        <w:t>ПРОГРАМ ЕКОНОМСКИХ РЕФОРМИ ЗА ПЕРИОД ОД 2023. ДО 2025. ГОДИНЕ</w:t>
      </w:r>
    </w:p>
    <w:p w14:paraId="7865227B" w14:textId="77777777" w:rsidR="00B40B77" w:rsidRPr="00092ED7" w:rsidRDefault="00B40B77" w:rsidP="00B40B77">
      <w:pPr>
        <w:spacing w:after="60"/>
        <w:rPr>
          <w:lang w:val="sr-Cyrl-CS" w:eastAsia="ja-JP"/>
        </w:rPr>
      </w:pPr>
    </w:p>
    <w:p w14:paraId="5AE8C13E" w14:textId="77777777" w:rsidR="003A1248" w:rsidRPr="00092ED7" w:rsidRDefault="009807AD" w:rsidP="00EA064B">
      <w:pPr>
        <w:keepNext/>
        <w:keepLines/>
        <w:spacing w:before="240" w:after="240"/>
        <w:outlineLvl w:val="0"/>
        <w:rPr>
          <w:rFonts w:eastAsia="MS PGothic" w:cs="Times New Roman"/>
          <w:b/>
          <w:szCs w:val="24"/>
          <w:lang w:val="sr-Cyrl-CS" w:eastAsia="ja-JP"/>
        </w:rPr>
      </w:pPr>
      <w:bookmarkStart w:id="2" w:name="_Toc124174786"/>
      <w:bookmarkStart w:id="3" w:name="_Toc126218605"/>
      <w:r w:rsidRPr="00092ED7">
        <w:rPr>
          <w:rFonts w:eastAsia="MS PGothic" w:cs="Times New Roman"/>
          <w:b/>
          <w:szCs w:val="24"/>
          <w:lang w:val="sr-Cyrl-CS" w:eastAsia="ja-JP"/>
        </w:rPr>
        <w:t>1</w:t>
      </w:r>
      <w:r w:rsidR="00AA1BAE" w:rsidRPr="00092ED7">
        <w:rPr>
          <w:rFonts w:eastAsia="MS PGothic" w:cs="Times New Roman"/>
          <w:b/>
          <w:szCs w:val="24"/>
          <w:lang w:val="sr-Cyrl-CS" w:eastAsia="ja-JP"/>
        </w:rPr>
        <w:t xml:space="preserve">. </w:t>
      </w:r>
      <w:r w:rsidR="003A1248" w:rsidRPr="00092ED7">
        <w:rPr>
          <w:rFonts w:eastAsia="MS PGothic" w:cs="Times New Roman"/>
          <w:b/>
          <w:caps/>
          <w:szCs w:val="24"/>
          <w:lang w:val="sr-Cyrl-CS" w:eastAsia="ja-JP"/>
        </w:rPr>
        <w:t xml:space="preserve">Општи оквир и </w:t>
      </w:r>
      <w:r w:rsidR="009333E2" w:rsidRPr="00092ED7">
        <w:rPr>
          <w:rFonts w:eastAsia="MS PGothic" w:cs="Times New Roman"/>
          <w:b/>
          <w:caps/>
          <w:szCs w:val="24"/>
          <w:lang w:val="sr-Cyrl-CS" w:eastAsia="ja-JP"/>
        </w:rPr>
        <w:t xml:space="preserve">циљеви </w:t>
      </w:r>
      <w:r w:rsidR="001A3EE1" w:rsidRPr="00092ED7">
        <w:rPr>
          <w:rFonts w:eastAsia="MS PGothic" w:cs="Times New Roman"/>
          <w:b/>
          <w:caps/>
          <w:szCs w:val="24"/>
          <w:lang w:val="sr-Cyrl-CS" w:eastAsia="ja-JP"/>
        </w:rPr>
        <w:t xml:space="preserve">јавне </w:t>
      </w:r>
      <w:r w:rsidR="003A1248" w:rsidRPr="00092ED7">
        <w:rPr>
          <w:rFonts w:eastAsia="MS PGothic" w:cs="Times New Roman"/>
          <w:b/>
          <w:caps/>
          <w:szCs w:val="24"/>
          <w:lang w:val="sr-Cyrl-CS" w:eastAsia="ja-JP"/>
        </w:rPr>
        <w:t>политике</w:t>
      </w:r>
      <w:bookmarkEnd w:id="2"/>
      <w:bookmarkEnd w:id="3"/>
    </w:p>
    <w:p w14:paraId="2E4A4B67" w14:textId="79827105" w:rsidR="009F0D95" w:rsidRPr="00092ED7" w:rsidRDefault="009F0D95" w:rsidP="009F0D95">
      <w:pPr>
        <w:spacing w:after="60"/>
        <w:rPr>
          <w:lang w:val="sr-Cyrl-CS" w:eastAsia="ja-JP"/>
        </w:rPr>
      </w:pPr>
      <w:r w:rsidRPr="00092ED7">
        <w:rPr>
          <w:lang w:val="sr-Cyrl-CS" w:eastAsia="ja-JP"/>
        </w:rPr>
        <w:t>Економска политика у наредном периоду обликована је изласком из једне, и уласком у нову кризу. Изласком из двогодишње кризе, изазване пандемијом, очекивао се један мирнији период који би омогућио економској, пре свега фискалној политици, предах и довољно времена да се врати на одрживу путању. Међутим</w:t>
      </w:r>
      <w:r w:rsidR="00C47140" w:rsidRPr="00092ED7">
        <w:rPr>
          <w:lang w:val="sr-Cyrl-CS" w:eastAsia="ja-JP"/>
        </w:rPr>
        <w:t>, с</w:t>
      </w:r>
      <w:r w:rsidRPr="00092ED7">
        <w:rPr>
          <w:lang w:val="sr-Cyrl-CS" w:eastAsia="ja-JP"/>
        </w:rPr>
        <w:t>укоб у Украјини интензивирао је постојеће и донео нове ризике који у потпуности мењају и међународно окружење и економску политику у земљи. Глобална, растућа инфлација, интензивирана енергетска криза пред креаторе економске политике постављају велике изазове. Геополитичка криза је краткорочне инфлаторне притиске учинила постојаним, уз велику вероватноћу њиховог дугорочног присуства у глобалној економији. Истовремено, очекује се да ће повећана неизвесност на глобалном нивоу утицати негативно на токове капитала према земљама у успону, посебно ако се има у виду циклус пооштравања монетарних политика водећих централних банака. Осим привремених фактора, економске трендове карактеришу и структурне промене геополитичког и економског окружења вођене процесима деглобализације, неповољним демографским кретањима и убрзане зелене транзиције.</w:t>
      </w:r>
    </w:p>
    <w:p w14:paraId="733B8D20" w14:textId="0BF3CBF0" w:rsidR="00E939B0" w:rsidRPr="00092ED7" w:rsidRDefault="009F0D95" w:rsidP="00EA064B">
      <w:pPr>
        <w:spacing w:after="60"/>
        <w:rPr>
          <w:rFonts w:eastAsia="MS PGothic" w:cs="Times New Roman"/>
          <w:szCs w:val="24"/>
          <w:lang w:val="sr-Cyrl-CS" w:eastAsia="ja-JP"/>
        </w:rPr>
      </w:pPr>
      <w:r w:rsidRPr="00092ED7">
        <w:rPr>
          <w:lang w:val="sr-Cyrl-CS" w:eastAsia="ja-JP"/>
        </w:rPr>
        <w:t xml:space="preserve">Фискална политика има посебну улогу у условима растуће неизвесности. Улога фискалне политике била је кључна у протекле две пандемијске године. Избијањем сукоба у Украјини и повећањем глобалне неизвесности, околности у којима фискална политика може да делује су се у потпуности промениле. Државе се сада суочавају са условима високе и растуће инфлације, успоравањем раста и пооштравањем услова за финансирање дефицита. Пред фискалну политику стављају се нови изазови. Поремећаји у енергетском сектору уз растуће трошкове привреде и одржавање стандарда становништва захтевају нови сет мера. Трошкови за енергетику (набавка енергената, субвенционисање цене гаса и сл.) узимају добар део фискалног простора, примања становништва (плате у јавном сектору и пензије) усклађују се у циљу очувања животног стандарда. Неопходно је и даље очувати ниво капиталних инвестиција, преко потребних као подршка привредном расту. На крају, од изузетне важности је очување фискалне дисциплине у условима високе неизвесности. Република Србија поднела је захтев за нови </w:t>
      </w:r>
      <w:r w:rsidR="00074E1B" w:rsidRPr="00092ED7">
        <w:rPr>
          <w:lang w:val="sr-Cyrl-CS" w:eastAsia="ja-JP"/>
        </w:rPr>
        <w:t>а</w:t>
      </w:r>
      <w:r w:rsidRPr="00092ED7">
        <w:rPr>
          <w:lang w:val="sr-Cyrl-CS" w:eastAsia="ja-JP"/>
        </w:rPr>
        <w:t xml:space="preserve">ранжман из предострожности са </w:t>
      </w:r>
      <w:r w:rsidR="00D2030C" w:rsidRPr="00092ED7">
        <w:rPr>
          <w:rFonts w:eastAsia="MS PGothic" w:cs="Times New Roman"/>
          <w:bCs/>
          <w:iCs/>
          <w:szCs w:val="24"/>
          <w:lang w:val="sr-Cyrl-CS" w:eastAsia="ja-JP"/>
        </w:rPr>
        <w:t>Међународним монетарним фондом (у даљем тексту</w:t>
      </w:r>
      <w:r w:rsidR="002130B4" w:rsidRPr="00092ED7">
        <w:rPr>
          <w:rFonts w:eastAsia="MS PGothic" w:cs="Times New Roman"/>
          <w:bCs/>
          <w:iCs/>
          <w:szCs w:val="24"/>
          <w:lang w:val="sr-Cyrl-CS" w:eastAsia="ja-JP"/>
        </w:rPr>
        <w:t>:</w:t>
      </w:r>
      <w:r w:rsidR="00D2030C" w:rsidRPr="00092ED7">
        <w:rPr>
          <w:rFonts w:eastAsia="MS PGothic" w:cs="Times New Roman"/>
          <w:bCs/>
          <w:iCs/>
          <w:szCs w:val="24"/>
          <w:lang w:val="sr-Cyrl-CS" w:eastAsia="ja-JP"/>
        </w:rPr>
        <w:t xml:space="preserve"> </w:t>
      </w:r>
      <w:r w:rsidRPr="00092ED7">
        <w:rPr>
          <w:lang w:val="sr-Cyrl-CS" w:eastAsia="ja-JP"/>
        </w:rPr>
        <w:t>ММФ</w:t>
      </w:r>
      <w:r w:rsidR="00D2030C" w:rsidRPr="00092ED7">
        <w:rPr>
          <w:rFonts w:eastAsia="MS PGothic" w:cs="Times New Roman"/>
          <w:bCs/>
          <w:iCs/>
          <w:szCs w:val="24"/>
          <w:lang w:val="sr-Cyrl-CS" w:eastAsia="ja-JP"/>
        </w:rPr>
        <w:t>)</w:t>
      </w:r>
      <w:r w:rsidRPr="00092ED7">
        <w:rPr>
          <w:lang w:val="sr-Cyrl-CS" w:eastAsia="ja-JP"/>
        </w:rPr>
        <w:t xml:space="preserve"> који ће подржати напоре за очување макроекономске и фискалне стабилности. Правци фискалне политике дефинисани су ка смањењу дефицита и дуга у средњем року. Након изузетних околности, које су повећале трошкове буџетске подршке сектору енергетике у 2022. и делом у 2023. години, очекује се, након спроведених структурних реформи и промена у међународном окружењу да ови трошкови изостану, односно не захтевају буџетску интервенцију у средњем року. У правцу очувања фискалне стабилности редефинисана су и фискална правила која преузимају улогу чувара одрживе фискалне позиције у средњем року.</w:t>
      </w:r>
    </w:p>
    <w:p w14:paraId="4EA1F53E" w14:textId="77777777" w:rsidR="00E939B0" w:rsidRPr="00092ED7" w:rsidRDefault="00E939B0" w:rsidP="00E939B0">
      <w:pPr>
        <w:keepNext/>
        <w:keepLines/>
        <w:spacing w:after="240"/>
        <w:outlineLvl w:val="0"/>
        <w:rPr>
          <w:rFonts w:eastAsia="MS PGothic" w:cs="Times New Roman"/>
          <w:b/>
          <w:w w:val="110"/>
          <w:szCs w:val="24"/>
          <w:lang w:val="sr-Cyrl-CS" w:eastAsia="ja-JP"/>
        </w:rPr>
      </w:pPr>
      <w:bookmarkStart w:id="4" w:name="_Toc62458626"/>
      <w:bookmarkStart w:id="5" w:name="_Toc124174787"/>
      <w:bookmarkStart w:id="6" w:name="_Toc126218606"/>
      <w:r w:rsidRPr="00092ED7">
        <w:rPr>
          <w:rFonts w:eastAsia="MS PGothic" w:cs="Times New Roman"/>
          <w:b/>
          <w:w w:val="110"/>
          <w:szCs w:val="24"/>
          <w:lang w:val="sr-Cyrl-CS" w:eastAsia="ja-JP"/>
        </w:rPr>
        <w:t>2. СПРОВОЂЕЊЕ ПРЕПОРУКА</w:t>
      </w:r>
      <w:bookmarkEnd w:id="4"/>
      <w:bookmarkEnd w:id="5"/>
      <w:bookmarkEnd w:id="6"/>
    </w:p>
    <w:p w14:paraId="364A25AA" w14:textId="1C36BC89" w:rsidR="00F13B06" w:rsidRPr="00092ED7" w:rsidRDefault="00F13B06" w:rsidP="00F13B06">
      <w:pPr>
        <w:spacing w:after="60"/>
        <w:rPr>
          <w:rFonts w:cs="Times New Roman"/>
          <w:szCs w:val="24"/>
          <w:lang w:val="sr-Cyrl-CS"/>
        </w:rPr>
      </w:pPr>
      <w:r w:rsidRPr="00092ED7">
        <w:rPr>
          <w:rFonts w:cs="Times New Roman"/>
          <w:szCs w:val="24"/>
          <w:lang w:val="sr-Cyrl-CS"/>
        </w:rPr>
        <w:t>Испуњење Препоруке (</w:t>
      </w:r>
      <w:r w:rsidRPr="00092ED7">
        <w:rPr>
          <w:rFonts w:cs="Times New Roman"/>
          <w:i/>
          <w:szCs w:val="24"/>
          <w:lang w:val="sr-Cyrl-CS"/>
        </w:rPr>
        <w:t>Policy Guidance</w:t>
      </w:r>
      <w:r w:rsidRPr="00092ED7">
        <w:rPr>
          <w:rFonts w:cs="Times New Roman"/>
          <w:szCs w:val="24"/>
          <w:lang w:val="sr-Cyrl-CS"/>
        </w:rPr>
        <w:t xml:space="preserve"> – PG) за појединачне политике као део Заједничких закључака, у вези са Програмом економских реформи (</w:t>
      </w:r>
      <w:r w:rsidR="00D2030C" w:rsidRPr="00092ED7">
        <w:rPr>
          <w:rFonts w:cs="Times New Roman"/>
          <w:szCs w:val="24"/>
          <w:lang w:val="sr-Cyrl-CS"/>
        </w:rPr>
        <w:t>у даљем тексту</w:t>
      </w:r>
      <w:r w:rsidR="002130B4" w:rsidRPr="00092ED7">
        <w:rPr>
          <w:rFonts w:cs="Times New Roman"/>
          <w:szCs w:val="24"/>
          <w:lang w:val="sr-Cyrl-CS"/>
        </w:rPr>
        <w:t>:</w:t>
      </w:r>
      <w:r w:rsidR="00D2030C" w:rsidRPr="00092ED7">
        <w:rPr>
          <w:rFonts w:cs="Times New Roman"/>
          <w:szCs w:val="24"/>
          <w:lang w:val="sr-Cyrl-CS"/>
        </w:rPr>
        <w:t xml:space="preserve"> </w:t>
      </w:r>
      <w:r w:rsidRPr="00092ED7">
        <w:rPr>
          <w:rFonts w:cs="Times New Roman"/>
          <w:szCs w:val="24"/>
          <w:lang w:val="sr-Cyrl-CS"/>
        </w:rPr>
        <w:t xml:space="preserve">ЕРП) 2022-2024, који су усвојени на састанку </w:t>
      </w:r>
      <w:r w:rsidR="00D2030C" w:rsidRPr="00092ED7">
        <w:rPr>
          <w:rStyle w:val="Emphasis"/>
          <w:i w:val="0"/>
          <w:lang w:val="sr-Cyrl-CS"/>
        </w:rPr>
        <w:t>Савета Европске уније за економска и финансијска питања</w:t>
      </w:r>
      <w:r w:rsidR="00D2030C" w:rsidRPr="00092ED7">
        <w:rPr>
          <w:rStyle w:val="Emphasis"/>
          <w:lang w:val="sr-Cyrl-CS"/>
        </w:rPr>
        <w:t xml:space="preserve"> </w:t>
      </w:r>
      <w:r w:rsidR="00D2030C" w:rsidRPr="00092ED7">
        <w:rPr>
          <w:i/>
          <w:lang w:val="sr-Cyrl-CS"/>
        </w:rPr>
        <w:t xml:space="preserve"> </w:t>
      </w:r>
      <w:r w:rsidR="00D2030C" w:rsidRPr="00092ED7">
        <w:rPr>
          <w:lang w:val="sr-Cyrl-CS"/>
        </w:rPr>
        <w:t>(у даљем тексту</w:t>
      </w:r>
      <w:r w:rsidR="002130B4" w:rsidRPr="00092ED7">
        <w:rPr>
          <w:lang w:val="sr-Cyrl-CS"/>
        </w:rPr>
        <w:t>:</w:t>
      </w:r>
      <w:r w:rsidR="00D2030C" w:rsidRPr="00092ED7">
        <w:rPr>
          <w:rFonts w:cs="Times New Roman"/>
          <w:szCs w:val="24"/>
          <w:lang w:val="sr-Cyrl-CS"/>
        </w:rPr>
        <w:t xml:space="preserve"> </w:t>
      </w:r>
      <w:r w:rsidRPr="00092ED7">
        <w:rPr>
          <w:rFonts w:cs="Times New Roman"/>
          <w:szCs w:val="24"/>
          <w:lang w:val="sr-Cyrl-CS"/>
        </w:rPr>
        <w:t>ECOFIN Савет</w:t>
      </w:r>
      <w:r w:rsidR="00D2030C" w:rsidRPr="00092ED7">
        <w:rPr>
          <w:rFonts w:cs="Times New Roman"/>
          <w:szCs w:val="24"/>
          <w:lang w:val="sr-Cyrl-CS"/>
        </w:rPr>
        <w:t>)</w:t>
      </w:r>
      <w:r w:rsidRPr="00092ED7">
        <w:rPr>
          <w:rFonts w:cs="Times New Roman"/>
          <w:szCs w:val="24"/>
          <w:lang w:val="sr-Cyrl-CS"/>
        </w:rPr>
        <w:t xml:space="preserve">, одржаном </w:t>
      </w:r>
      <w:r w:rsidR="00604FBD" w:rsidRPr="00092ED7">
        <w:rPr>
          <w:rFonts w:cs="Times New Roman"/>
          <w:szCs w:val="24"/>
          <w:lang w:val="sr-Cyrl-CS"/>
        </w:rPr>
        <w:t>24</w:t>
      </w:r>
      <w:r w:rsidRPr="00092ED7">
        <w:rPr>
          <w:rFonts w:cs="Times New Roman"/>
          <w:szCs w:val="24"/>
          <w:lang w:val="sr-Cyrl-CS"/>
        </w:rPr>
        <w:t xml:space="preserve">. маја 2022. године у Бриселу, у оквиру </w:t>
      </w:r>
      <w:r w:rsidR="0052060E" w:rsidRPr="00092ED7">
        <w:rPr>
          <w:rFonts w:cs="Times New Roman"/>
          <w:szCs w:val="24"/>
          <w:lang w:val="sr-Cyrl-CS"/>
        </w:rPr>
        <w:t>„</w:t>
      </w:r>
      <w:r w:rsidRPr="00092ED7">
        <w:rPr>
          <w:rFonts w:cs="Times New Roman"/>
          <w:szCs w:val="24"/>
          <w:lang w:val="sr-Cyrl-CS"/>
        </w:rPr>
        <w:t xml:space="preserve">Економског и финансијског дијалога између </w:t>
      </w:r>
      <w:r w:rsidR="00D2030C" w:rsidRPr="00092ED7">
        <w:rPr>
          <w:rFonts w:cs="Times New Roman"/>
          <w:szCs w:val="24"/>
          <w:lang w:val="sr-Cyrl-CS"/>
        </w:rPr>
        <w:t xml:space="preserve">Европске уније </w:t>
      </w:r>
      <w:r w:rsidR="005B057C" w:rsidRPr="00092ED7">
        <w:rPr>
          <w:rFonts w:cs="Times New Roman"/>
          <w:szCs w:val="24"/>
          <w:lang w:val="sr-Cyrl-CS"/>
        </w:rPr>
        <w:t xml:space="preserve">и Западног Балкана и </w:t>
      </w:r>
      <w:r w:rsidRPr="00092ED7">
        <w:rPr>
          <w:rFonts w:cs="Times New Roman"/>
          <w:szCs w:val="24"/>
          <w:lang w:val="sr-Cyrl-CS"/>
        </w:rPr>
        <w:t>Турске</w:t>
      </w:r>
      <w:r w:rsidR="0052060E" w:rsidRPr="00092ED7">
        <w:rPr>
          <w:rFonts w:cs="Times New Roman"/>
          <w:szCs w:val="24"/>
          <w:lang w:val="sr-Cyrl-CS"/>
        </w:rPr>
        <w:t>”</w:t>
      </w:r>
      <w:r w:rsidRPr="00092ED7">
        <w:rPr>
          <w:rFonts w:cs="Times New Roman"/>
          <w:szCs w:val="24"/>
          <w:lang w:val="sr-Cyrl-CS"/>
        </w:rPr>
        <w:t>, рефлектују се у бројним реформским мерама и активностима Владе</w:t>
      </w:r>
      <w:r w:rsidR="00D2030C" w:rsidRPr="00092ED7">
        <w:rPr>
          <w:rFonts w:cs="Times New Roman"/>
          <w:szCs w:val="24"/>
          <w:lang w:val="sr-Cyrl-CS"/>
        </w:rPr>
        <w:t>.</w:t>
      </w:r>
    </w:p>
    <w:p w14:paraId="5593B1F0" w14:textId="1AFB1784" w:rsidR="00F13B06" w:rsidRPr="00092ED7" w:rsidRDefault="00F13B06" w:rsidP="00F13B06">
      <w:pPr>
        <w:spacing w:before="120"/>
        <w:rPr>
          <w:rFonts w:cs="Times New Roman"/>
          <w:b/>
          <w:szCs w:val="24"/>
          <w:lang w:val="sr-Cyrl-CS"/>
        </w:rPr>
      </w:pPr>
      <w:r w:rsidRPr="00092ED7">
        <w:rPr>
          <w:rFonts w:cs="Times New Roman"/>
          <w:b/>
          <w:szCs w:val="24"/>
          <w:lang w:val="sr-Cyrl-CS"/>
        </w:rPr>
        <w:t xml:space="preserve">2.1. Испуњење Препорука </w:t>
      </w:r>
      <w:r w:rsidR="00D2030C" w:rsidRPr="00092ED7">
        <w:rPr>
          <w:rFonts w:cs="Times New Roman"/>
          <w:szCs w:val="24"/>
          <w:lang w:val="sr-Cyrl-CS"/>
        </w:rPr>
        <w:t>ECOFIN</w:t>
      </w:r>
      <w:r w:rsidR="00D2030C" w:rsidRPr="00092ED7" w:rsidDel="00973342">
        <w:rPr>
          <w:rFonts w:cs="Times New Roman"/>
          <w:b/>
          <w:szCs w:val="24"/>
          <w:lang w:val="sr-Cyrl-CS"/>
        </w:rPr>
        <w:t xml:space="preserve"> </w:t>
      </w:r>
      <w:r w:rsidRPr="00092ED7">
        <w:rPr>
          <w:rFonts w:cs="Times New Roman"/>
          <w:b/>
          <w:szCs w:val="24"/>
          <w:lang w:val="sr-Cyrl-CS"/>
        </w:rPr>
        <w:t>Савета из маја 2022. за Републику Србију</w:t>
      </w:r>
    </w:p>
    <w:p w14:paraId="1E1E3375"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cs="Times New Roman"/>
          <w:bCs/>
          <w:i/>
          <w:iCs/>
          <w:szCs w:val="24"/>
          <w:lang w:val="sr-Cyrl-CS"/>
        </w:rPr>
        <w:t>1. Ако је потребно, искористити расположиви фискални простор у буџету за 2022. годину за ублажавање потенцијалних утицаја негативних шокова кроз циљану фискалну подршку усмерену ка угроженим домаћинствима и предузећима; под условом да je привредни опоравак стабилан, планирати постепени повратак на дефицит близу баланса у буџету за 2023. годину и средњорочни фискални оквир.</w:t>
      </w:r>
    </w:p>
    <w:p w14:paraId="07A8DF3B" w14:textId="77777777"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Средњорочни фискални оквир предвиђа даље смањење дефицита и дуга и поред значајног раста расхода везаних за енергенте и ублажавање ефеката раста њихових цена. Велики део ових средстава обезбеђен је из фискалног простора креираног бољом наплатом прихода од очекиване и контролом расходне стране у претходном периоду.</w:t>
      </w:r>
    </w:p>
    <w:p w14:paraId="74889819" w14:textId="5804489C" w:rsidR="00F13B06" w:rsidRPr="00092ED7" w:rsidRDefault="00F13B06" w:rsidP="00F13B06">
      <w:pPr>
        <w:shd w:val="clear" w:color="auto" w:fill="D9D9D9" w:themeFill="background1" w:themeFillShade="D9"/>
        <w:spacing w:before="120"/>
        <w:rPr>
          <w:rFonts w:eastAsia="MS PGothic" w:cs="Times New Roman"/>
          <w:bCs/>
          <w:i/>
          <w:iCs/>
          <w:szCs w:val="24"/>
          <w:lang w:val="sr-Cyrl-CS" w:eastAsia="ja-JP"/>
        </w:rPr>
      </w:pPr>
      <w:r w:rsidRPr="00092ED7">
        <w:rPr>
          <w:rFonts w:eastAsia="MS PGothic" w:cs="Times New Roman"/>
          <w:bCs/>
          <w:i/>
          <w:iCs/>
          <w:szCs w:val="24"/>
          <w:lang w:val="sr-Cyrl-CS" w:eastAsia="ja-JP"/>
        </w:rPr>
        <w:t xml:space="preserve">Ограничити укупну потрошњу на зараде као проценат </w:t>
      </w:r>
      <w:r w:rsidR="00D2030C" w:rsidRPr="00092ED7">
        <w:rPr>
          <w:rFonts w:eastAsia="MS PGothic" w:cs="Times New Roman"/>
          <w:bCs/>
          <w:i/>
          <w:iCs/>
          <w:szCs w:val="24"/>
          <w:lang w:val="sr-Cyrl-CS" w:eastAsia="ja-JP"/>
        </w:rPr>
        <w:t>бруто друштвеног производа (у даљем тексту</w:t>
      </w:r>
      <w:r w:rsidR="00BD43F7" w:rsidRPr="00092ED7">
        <w:rPr>
          <w:rFonts w:eastAsia="MS PGothic" w:cs="Times New Roman"/>
          <w:bCs/>
          <w:i/>
          <w:iCs/>
          <w:szCs w:val="24"/>
          <w:lang w:val="sr-Cyrl-CS" w:eastAsia="ja-JP"/>
        </w:rPr>
        <w:t>:</w:t>
      </w:r>
      <w:r w:rsidR="00D2030C" w:rsidRPr="00092ED7">
        <w:rPr>
          <w:rFonts w:eastAsia="MS PGothic" w:cs="Times New Roman"/>
          <w:bCs/>
          <w:i/>
          <w:iCs/>
          <w:szCs w:val="24"/>
          <w:lang w:val="sr-Cyrl-CS" w:eastAsia="ja-JP"/>
        </w:rPr>
        <w:t xml:space="preserve"> </w:t>
      </w:r>
      <w:r w:rsidRPr="00092ED7">
        <w:rPr>
          <w:rFonts w:eastAsia="MS PGothic" w:cs="Times New Roman"/>
          <w:bCs/>
          <w:i/>
          <w:iCs/>
          <w:szCs w:val="24"/>
          <w:lang w:val="sr-Cyrl-CS" w:eastAsia="ja-JP"/>
        </w:rPr>
        <w:t>БДП</w:t>
      </w:r>
      <w:r w:rsidR="00D2030C" w:rsidRPr="00092ED7">
        <w:rPr>
          <w:rFonts w:eastAsia="MS PGothic" w:cs="Times New Roman"/>
          <w:bCs/>
          <w:i/>
          <w:iCs/>
          <w:szCs w:val="24"/>
          <w:lang w:val="sr-Cyrl-CS" w:eastAsia="ja-JP"/>
        </w:rPr>
        <w:t>)</w:t>
      </w:r>
      <w:r w:rsidRPr="00092ED7">
        <w:rPr>
          <w:rFonts w:eastAsia="MS PGothic" w:cs="Times New Roman"/>
          <w:bCs/>
          <w:i/>
          <w:iCs/>
          <w:szCs w:val="24"/>
          <w:lang w:val="sr-Cyrl-CS" w:eastAsia="ja-JP"/>
        </w:rPr>
        <w:t xml:space="preserve"> усвајањем одговарајућег механизма индексације зарада и предузимањем корака ка добро осмишљеној реформи система исплате зарада у јавном сектору. Усвојити веродостојан и обавезујући систем фискалних правила који би треба</w:t>
      </w:r>
      <w:r w:rsidR="003B5ED5" w:rsidRPr="00092ED7">
        <w:rPr>
          <w:rFonts w:eastAsia="MS PGothic" w:cs="Times New Roman"/>
          <w:bCs/>
          <w:i/>
          <w:iCs/>
          <w:szCs w:val="24"/>
          <w:lang w:val="sr-Cyrl-CS" w:eastAsia="ja-JP"/>
        </w:rPr>
        <w:t>л</w:t>
      </w:r>
      <w:r w:rsidRPr="00092ED7">
        <w:rPr>
          <w:rFonts w:eastAsia="MS PGothic" w:cs="Times New Roman"/>
          <w:bCs/>
          <w:i/>
          <w:iCs/>
          <w:szCs w:val="24"/>
          <w:lang w:val="sr-Cyrl-CS" w:eastAsia="ja-JP"/>
        </w:rPr>
        <w:t>о да ступи на снагу од 2023. године како је предвиђено у ЕРП.</w:t>
      </w:r>
    </w:p>
    <w:p w14:paraId="373FE3BB" w14:textId="60C2D222" w:rsidR="00F13B06" w:rsidRPr="00092ED7" w:rsidRDefault="00F13B06" w:rsidP="00F13B06">
      <w:pPr>
        <w:spacing w:after="60"/>
        <w:rPr>
          <w:rFonts w:eastAsia="MS PGothic" w:cs="Times New Roman"/>
          <w:bCs/>
          <w:iCs/>
          <w:szCs w:val="24"/>
          <w:lang w:val="sr-Cyrl-CS" w:eastAsia="ja-JP"/>
        </w:rPr>
      </w:pPr>
      <w:r w:rsidRPr="00092ED7">
        <w:rPr>
          <w:lang w:val="sr-Cyrl-CS"/>
        </w:rPr>
        <w:t xml:space="preserve">Закон о изменaма и допунама закона о буџетском систему </w:t>
      </w:r>
      <w:r w:rsidR="00D2030C" w:rsidRPr="00092ED7">
        <w:rPr>
          <w:lang w:val="sr-Cyrl-CS"/>
        </w:rPr>
        <w:t>(„Службени гласник РС</w:t>
      </w:r>
      <w:r w:rsidR="00D2030C" w:rsidRPr="00092ED7">
        <w:rPr>
          <w:rFonts w:cs="Times New Roman"/>
          <w:szCs w:val="24"/>
          <w:lang w:val="sr-Cyrl-CS"/>
        </w:rPr>
        <w:t>”, број 138/22</w:t>
      </w:r>
      <w:r w:rsidR="00D2030C" w:rsidRPr="00092ED7">
        <w:rPr>
          <w:lang w:val="sr-Cyrl-CS"/>
        </w:rPr>
        <w:t xml:space="preserve">) </w:t>
      </w:r>
      <w:r w:rsidRPr="00092ED7">
        <w:rPr>
          <w:lang w:val="sr-Cyrl-CS"/>
        </w:rPr>
        <w:t>који предвиђа измену и јачање фискалних правила усвојен је 9. децембра 2022. године</w:t>
      </w:r>
      <w:r w:rsidRPr="00092ED7">
        <w:rPr>
          <w:rFonts w:eastAsia="MS PGothic" w:cs="Times New Roman"/>
          <w:bCs/>
          <w:iCs/>
          <w:szCs w:val="24"/>
          <w:lang w:val="sr-Cyrl-CS" w:eastAsia="ja-JP"/>
        </w:rPr>
        <w:t xml:space="preserve">, а део постављених фискалних правила је и механизам индексације плата који обезбеђује ограничење индексације зарада растом </w:t>
      </w:r>
      <w:r w:rsidR="00251C36" w:rsidRPr="00092ED7">
        <w:rPr>
          <w:rFonts w:eastAsia="MS PGothic" w:cs="Times New Roman"/>
          <w:bCs/>
          <w:iCs/>
          <w:szCs w:val="24"/>
          <w:lang w:val="sr-Cyrl-CS" w:eastAsia="ja-JP"/>
        </w:rPr>
        <w:t>БДП</w:t>
      </w:r>
      <w:r w:rsidR="005B057C" w:rsidRPr="00092ED7">
        <w:rPr>
          <w:rFonts w:eastAsia="MS PGothic" w:cs="Times New Roman"/>
          <w:bCs/>
          <w:iCs/>
          <w:szCs w:val="24"/>
          <w:lang w:val="sr-Cyrl-CS" w:eastAsia="ja-JP"/>
        </w:rPr>
        <w:t>.</w:t>
      </w:r>
      <w:r w:rsidRPr="00092ED7">
        <w:rPr>
          <w:rStyle w:val="FootnoteReference"/>
          <w:rFonts w:eastAsia="MS PGothic" w:cs="Times New Roman"/>
          <w:bCs/>
          <w:iCs/>
          <w:szCs w:val="24"/>
          <w:lang w:val="sr-Cyrl-CS" w:eastAsia="ja-JP"/>
        </w:rPr>
        <w:footnoteReference w:id="1"/>
      </w:r>
      <w:r w:rsidR="005B057C"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Реформа система зарада предвиђена је за 2025. годину, у договору са ММФ.</w:t>
      </w:r>
    </w:p>
    <w:p w14:paraId="29103F19" w14:textId="56E5C4C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 xml:space="preserve">2. Смањити сиву економију, ојачати наплату </w:t>
      </w:r>
      <w:r w:rsidR="000D2F28" w:rsidRPr="00092ED7">
        <w:rPr>
          <w:rFonts w:eastAsia="MS PGothic" w:cs="Times New Roman"/>
          <w:bCs/>
          <w:i/>
          <w:iCs/>
          <w:szCs w:val="24"/>
          <w:lang w:val="sr-Cyrl-CS" w:eastAsia="ja-JP"/>
        </w:rPr>
        <w:t>пореза на додату вредност (у даљем тексту</w:t>
      </w:r>
      <w:r w:rsidR="00251C36" w:rsidRPr="00092ED7">
        <w:rPr>
          <w:rFonts w:eastAsia="MS PGothic" w:cs="Times New Roman"/>
          <w:bCs/>
          <w:i/>
          <w:iCs/>
          <w:szCs w:val="24"/>
          <w:lang w:val="sr-Cyrl-CS" w:eastAsia="ja-JP"/>
        </w:rPr>
        <w:t>:</w:t>
      </w:r>
      <w:r w:rsidR="000D2F28" w:rsidRPr="00092ED7">
        <w:rPr>
          <w:rFonts w:eastAsia="MS PGothic" w:cs="Times New Roman"/>
          <w:bCs/>
          <w:i/>
          <w:iCs/>
          <w:szCs w:val="24"/>
          <w:lang w:val="sr-Cyrl-CS" w:eastAsia="ja-JP"/>
        </w:rPr>
        <w:t xml:space="preserve"> </w:t>
      </w:r>
      <w:r w:rsidRPr="00092ED7">
        <w:rPr>
          <w:rFonts w:eastAsia="MS PGothic" w:cs="Times New Roman"/>
          <w:bCs/>
          <w:i/>
          <w:iCs/>
          <w:szCs w:val="24"/>
          <w:lang w:val="sr-Cyrl-CS" w:eastAsia="ja-JP"/>
        </w:rPr>
        <w:t>ПДВ</w:t>
      </w:r>
      <w:r w:rsidR="000D2F28" w:rsidRPr="00092ED7">
        <w:rPr>
          <w:rFonts w:eastAsia="MS PGothic" w:cs="Times New Roman"/>
          <w:bCs/>
          <w:i/>
          <w:iCs/>
          <w:szCs w:val="24"/>
          <w:lang w:val="sr-Cyrl-CS" w:eastAsia="ja-JP"/>
        </w:rPr>
        <w:t>)</w:t>
      </w:r>
      <w:r w:rsidRPr="00092ED7">
        <w:rPr>
          <w:rFonts w:eastAsia="MS PGothic" w:cs="Times New Roman"/>
          <w:bCs/>
          <w:i/>
          <w:iCs/>
          <w:szCs w:val="24"/>
          <w:lang w:val="sr-Cyrl-CS" w:eastAsia="ja-JP"/>
        </w:rPr>
        <w:t xml:space="preserve"> и унапредити процес пореске контроле, финализирати увођење новог модела електронске фискализације и прелазак на електронско фактурисање и спровести реформу Пореске управе према временском оквиру за ЕРП 2022.</w:t>
      </w:r>
    </w:p>
    <w:p w14:paraId="6F516477" w14:textId="155449AD" w:rsidR="00F13B06" w:rsidRPr="00092ED7" w:rsidRDefault="00F13B06" w:rsidP="00F13B06">
      <w:pPr>
        <w:spacing w:after="60"/>
        <w:rPr>
          <w:rFonts w:cs="Times New Roman"/>
          <w:bCs/>
          <w:iCs/>
          <w:szCs w:val="24"/>
          <w:lang w:val="sr-Cyrl-CS"/>
        </w:rPr>
      </w:pPr>
      <w:r w:rsidRPr="00092ED7">
        <w:rPr>
          <w:rFonts w:cs="Times New Roman"/>
          <w:bCs/>
          <w:iCs/>
          <w:szCs w:val="24"/>
          <w:lang w:val="sr-Cyrl-CS"/>
        </w:rPr>
        <w:t xml:space="preserve">Нацрт програма за сузбијање сиве економије </w:t>
      </w:r>
      <w:r w:rsidR="000D2F28" w:rsidRPr="00092ED7">
        <w:rPr>
          <w:rFonts w:cs="Times New Roman"/>
          <w:bCs/>
          <w:iCs/>
          <w:szCs w:val="24"/>
          <w:lang w:val="sr-Cyrl-CS"/>
        </w:rPr>
        <w:t>за период 2022-2025</w:t>
      </w:r>
      <w:r w:rsidRPr="00092ED7">
        <w:rPr>
          <w:rFonts w:cs="Times New Roman"/>
          <w:bCs/>
          <w:iCs/>
          <w:szCs w:val="24"/>
          <w:lang w:val="sr-Cyrl-CS"/>
        </w:rPr>
        <w:t xml:space="preserve">, са акционим планом, је припремљен и очекује се његово усвајање од стране Владе </w:t>
      </w:r>
      <w:r w:rsidR="000D2F28" w:rsidRPr="00092ED7">
        <w:rPr>
          <w:rFonts w:cs="Times New Roman"/>
          <w:bCs/>
          <w:iCs/>
          <w:szCs w:val="24"/>
          <w:lang w:val="sr-Cyrl-CS"/>
        </w:rPr>
        <w:t xml:space="preserve"> </w:t>
      </w:r>
      <w:r w:rsidRPr="00092ED7">
        <w:rPr>
          <w:rFonts w:cs="Times New Roman"/>
          <w:bCs/>
          <w:iCs/>
          <w:szCs w:val="24"/>
          <w:lang w:val="sr-Cyrl-CS"/>
        </w:rPr>
        <w:t>у првом кварталу 2023. Координационо тело Владе за сузбијање сиве економије формирано је у јануару 2021. са задатком да координира и усмерава рад на припреми и реализацији Програма</w:t>
      </w:r>
      <w:r w:rsidR="000D2F28" w:rsidRPr="00092ED7">
        <w:rPr>
          <w:rFonts w:cs="Times New Roman"/>
          <w:bCs/>
          <w:iCs/>
          <w:szCs w:val="24"/>
          <w:lang w:val="sr-Cyrl-CS"/>
        </w:rPr>
        <w:t xml:space="preserve"> за сузбијање сиве економије за период 2022-2025</w:t>
      </w:r>
      <w:r w:rsidRPr="00092ED7">
        <w:rPr>
          <w:rFonts w:cs="Times New Roman"/>
          <w:bCs/>
          <w:iCs/>
          <w:szCs w:val="24"/>
          <w:lang w:val="sr-Cyrl-CS"/>
        </w:rPr>
        <w:t xml:space="preserve">. Циљеви </w:t>
      </w:r>
      <w:r w:rsidR="000D2F28" w:rsidRPr="00092ED7">
        <w:rPr>
          <w:rFonts w:cs="Times New Roman"/>
          <w:bCs/>
          <w:iCs/>
          <w:szCs w:val="24"/>
          <w:lang w:val="sr-Cyrl-CS"/>
        </w:rPr>
        <w:t xml:space="preserve">документа </w:t>
      </w:r>
      <w:r w:rsidRPr="00092ED7">
        <w:rPr>
          <w:rFonts w:cs="Times New Roman"/>
          <w:bCs/>
          <w:iCs/>
          <w:szCs w:val="24"/>
          <w:lang w:val="sr-Cyrl-CS"/>
        </w:rPr>
        <w:t xml:space="preserve">су смањење удела сиве економије у укупној привредној активности у </w:t>
      </w:r>
      <w:r w:rsidR="000D2F28" w:rsidRPr="00092ED7">
        <w:rPr>
          <w:rFonts w:cs="Times New Roman"/>
          <w:bCs/>
          <w:iCs/>
          <w:szCs w:val="24"/>
          <w:lang w:val="sr-Cyrl-CS"/>
        </w:rPr>
        <w:t>Републици Србији</w:t>
      </w:r>
      <w:r w:rsidRPr="00092ED7">
        <w:rPr>
          <w:rFonts w:cs="Times New Roman"/>
          <w:bCs/>
          <w:iCs/>
          <w:szCs w:val="24"/>
          <w:lang w:val="sr-Cyrl-CS"/>
        </w:rPr>
        <w:t xml:space="preserve"> кроз јачање капацитета инспекција и прекршајних судова, унапређење поступака пореског надзора и фискално и административно растерећење легалног пословања.</w:t>
      </w:r>
    </w:p>
    <w:p w14:paraId="208826E3" w14:textId="5D9B26BF" w:rsidR="00F13B06" w:rsidRPr="00092ED7" w:rsidRDefault="00F13B06" w:rsidP="00F13B06">
      <w:pPr>
        <w:spacing w:after="60"/>
        <w:rPr>
          <w:rFonts w:cs="Times New Roman"/>
          <w:bCs/>
          <w:iCs/>
          <w:szCs w:val="24"/>
          <w:lang w:val="sr-Cyrl-CS"/>
        </w:rPr>
      </w:pPr>
      <w:r w:rsidRPr="00092ED7">
        <w:rPr>
          <w:rFonts w:eastAsia="MS PGothic" w:cstheme="minorHAnsi"/>
          <w:szCs w:val="20"/>
          <w:lang w:val="sr-Cyrl-CS" w:eastAsia="ja-JP"/>
        </w:rPr>
        <w:t xml:space="preserve">Резултати ефикасније наплате и контроле пореских обвезника били </w:t>
      </w:r>
      <w:r w:rsidR="007C7AFE" w:rsidRPr="00092ED7">
        <w:rPr>
          <w:rFonts w:eastAsia="MS PGothic" w:cstheme="minorHAnsi"/>
          <w:szCs w:val="20"/>
          <w:lang w:val="sr-Cyrl-CS" w:eastAsia="ja-JP"/>
        </w:rPr>
        <w:t xml:space="preserve">су </w:t>
      </w:r>
      <w:r w:rsidRPr="00092ED7">
        <w:rPr>
          <w:rFonts w:eastAsia="MS PGothic" w:cstheme="minorHAnsi"/>
          <w:szCs w:val="20"/>
          <w:lang w:val="sr-Cyrl-CS" w:eastAsia="ja-JP"/>
        </w:rPr>
        <w:t>евидентни у претходном периоду и очекује се да ће тај тренд бити настављен и даље. Повећање степена ПДВ наплате</w:t>
      </w:r>
      <w:r w:rsidR="007C7AFE" w:rsidRPr="00092ED7">
        <w:rPr>
          <w:rFonts w:eastAsia="MS PGothic" w:cstheme="minorHAnsi"/>
          <w:szCs w:val="20"/>
          <w:lang w:val="sr-Cyrl-CS" w:eastAsia="ja-JP"/>
        </w:rPr>
        <w:t>,</w:t>
      </w:r>
      <w:r w:rsidRPr="00092ED7">
        <w:rPr>
          <w:rFonts w:eastAsia="MS PGothic" w:cstheme="minorHAnsi"/>
          <w:szCs w:val="20"/>
          <w:lang w:val="sr-Cyrl-CS" w:eastAsia="ja-JP"/>
        </w:rPr>
        <w:t xml:space="preserve"> у смислу спровођења независних антиевазионих мера у области ПДВ</w:t>
      </w:r>
      <w:r w:rsidR="007C7AFE" w:rsidRPr="00092ED7">
        <w:rPr>
          <w:rFonts w:eastAsia="MS PGothic" w:cstheme="minorHAnsi"/>
          <w:szCs w:val="20"/>
          <w:lang w:val="sr-Cyrl-CS" w:eastAsia="ja-JP"/>
        </w:rPr>
        <w:t>,</w:t>
      </w:r>
      <w:r w:rsidRPr="00092ED7">
        <w:rPr>
          <w:rFonts w:eastAsia="MS PGothic" w:cstheme="minorHAnsi"/>
          <w:szCs w:val="20"/>
          <w:lang w:val="sr-Cyrl-CS" w:eastAsia="ja-JP"/>
        </w:rPr>
        <w:t xml:space="preserve"> дало је резултате у протеклом периоду. У овом сегменту, простор за даља побољшања створиће се јачањем и модернизацијом пореске администрације.</w:t>
      </w:r>
    </w:p>
    <w:p w14:paraId="22489D78" w14:textId="77777777" w:rsidR="00F13B06" w:rsidRPr="00092ED7" w:rsidRDefault="00F13B06" w:rsidP="00F13B06">
      <w:pPr>
        <w:spacing w:after="60"/>
        <w:rPr>
          <w:rFonts w:cs="Times New Roman"/>
          <w:bCs/>
          <w:iCs/>
          <w:szCs w:val="24"/>
          <w:lang w:val="sr-Cyrl-CS"/>
        </w:rPr>
      </w:pPr>
      <w:r w:rsidRPr="00092ED7">
        <w:rPr>
          <w:rFonts w:cs="Times New Roman"/>
          <w:bCs/>
          <w:iCs/>
          <w:szCs w:val="24"/>
          <w:lang w:val="sr-Cyrl-CS"/>
        </w:rPr>
        <w:t>У области напретка у спровођењу препоруке за унапређење процеса пореске контроле:</w:t>
      </w:r>
    </w:p>
    <w:p w14:paraId="56CDD79D" w14:textId="4570C213" w:rsidR="00F13B06" w:rsidRPr="00092ED7" w:rsidRDefault="00F13B06" w:rsidP="00F13B06">
      <w:pPr>
        <w:pStyle w:val="ListParagraph"/>
        <w:numPr>
          <w:ilvl w:val="0"/>
          <w:numId w:val="43"/>
        </w:numPr>
        <w:spacing w:after="60" w:line="240" w:lineRule="auto"/>
        <w:ind w:left="357" w:hanging="357"/>
        <w:rPr>
          <w:rFonts w:cs="Times New Roman"/>
          <w:bCs/>
          <w:iCs/>
          <w:sz w:val="24"/>
          <w:szCs w:val="24"/>
          <w:lang w:val="sr-Cyrl-CS"/>
        </w:rPr>
      </w:pPr>
      <w:r w:rsidRPr="00092ED7">
        <w:rPr>
          <w:rFonts w:cs="Times New Roman"/>
          <w:bCs/>
          <w:iCs/>
          <w:sz w:val="24"/>
          <w:szCs w:val="24"/>
          <w:lang w:val="sr-Cyrl-CS"/>
        </w:rPr>
        <w:t>У току је пројекат „Подршка Министарству финансија у оквиру Секторског реформског уговора за сектор реформе јавне управе</w:t>
      </w:r>
      <w:r w:rsidR="0052060E" w:rsidRPr="00092ED7">
        <w:rPr>
          <w:rFonts w:cs="Times New Roman"/>
          <w:sz w:val="24"/>
          <w:szCs w:val="24"/>
          <w:lang w:val="sr-Cyrl-CS"/>
        </w:rPr>
        <w:t>”</w:t>
      </w:r>
      <w:r w:rsidRPr="00092ED7">
        <w:rPr>
          <w:rFonts w:cs="Times New Roman"/>
          <w:bCs/>
          <w:iCs/>
          <w:sz w:val="24"/>
          <w:szCs w:val="24"/>
          <w:lang w:val="sr-Cyrl-CS"/>
        </w:rPr>
        <w:t xml:space="preserve"> који има за циљ активну примену индиректних метода у поступку контроле (Технички извештај „Листа функционалних захтева за </w:t>
      </w:r>
      <w:r w:rsidR="00612D53" w:rsidRPr="00092ED7">
        <w:rPr>
          <w:rFonts w:cs="Times New Roman"/>
          <w:bCs/>
          <w:iCs/>
          <w:sz w:val="24"/>
          <w:szCs w:val="24"/>
          <w:lang w:val="sr-Cyrl-CS"/>
        </w:rPr>
        <w:t>информационо технолошку</w:t>
      </w:r>
      <w:r w:rsidR="00D02CFA" w:rsidRPr="00092ED7">
        <w:rPr>
          <w:rFonts w:cs="Times New Roman"/>
          <w:bCs/>
          <w:iCs/>
          <w:sz w:val="24"/>
          <w:szCs w:val="24"/>
          <w:lang w:val="sr-Cyrl-CS"/>
        </w:rPr>
        <w:t xml:space="preserve"> </w:t>
      </w:r>
      <w:r w:rsidRPr="00092ED7">
        <w:rPr>
          <w:rFonts w:cs="Times New Roman"/>
          <w:bCs/>
          <w:iCs/>
          <w:sz w:val="24"/>
          <w:szCs w:val="24"/>
          <w:lang w:val="sr-Cyrl-CS"/>
        </w:rPr>
        <w:t>подршку у примени предложене методологије</w:t>
      </w:r>
      <w:r w:rsidR="0052060E" w:rsidRPr="00092ED7">
        <w:rPr>
          <w:rFonts w:cs="Times New Roman"/>
          <w:sz w:val="24"/>
          <w:szCs w:val="24"/>
          <w:lang w:val="sr-Cyrl-CS"/>
        </w:rPr>
        <w:t>”</w:t>
      </w:r>
      <w:r w:rsidRPr="00092ED7">
        <w:rPr>
          <w:rFonts w:cs="Times New Roman"/>
          <w:bCs/>
          <w:iCs/>
          <w:sz w:val="24"/>
          <w:szCs w:val="24"/>
          <w:lang w:val="sr-Cyrl-CS"/>
        </w:rPr>
        <w:t xml:space="preserve"> је у припреми). Сачињено је Корисничко упутство за примену методологије за индиректну процену пореске основице.</w:t>
      </w:r>
    </w:p>
    <w:p w14:paraId="31D585C4" w14:textId="11D22879" w:rsidR="00F13B06" w:rsidRPr="00092ED7" w:rsidRDefault="00F13B06" w:rsidP="00F13B06">
      <w:pPr>
        <w:pStyle w:val="ListParagraph"/>
        <w:numPr>
          <w:ilvl w:val="0"/>
          <w:numId w:val="43"/>
        </w:numPr>
        <w:spacing w:after="60" w:line="240" w:lineRule="auto"/>
        <w:ind w:left="357" w:hanging="357"/>
        <w:rPr>
          <w:rFonts w:cs="Times New Roman"/>
          <w:bCs/>
          <w:iCs/>
          <w:sz w:val="24"/>
          <w:szCs w:val="24"/>
          <w:lang w:val="sr-Cyrl-CS"/>
        </w:rPr>
      </w:pPr>
      <w:r w:rsidRPr="00092ED7">
        <w:rPr>
          <w:rFonts w:cs="Times New Roman"/>
          <w:bCs/>
          <w:iCs/>
          <w:sz w:val="24"/>
          <w:szCs w:val="24"/>
          <w:lang w:val="sr-Cyrl-CS"/>
        </w:rPr>
        <w:t xml:space="preserve">У сарадњи са пројектом </w:t>
      </w:r>
      <w:r w:rsidR="00612D53" w:rsidRPr="00092ED7">
        <w:rPr>
          <w:rFonts w:cs="Times New Roman"/>
          <w:bCs/>
          <w:iCs/>
          <w:sz w:val="24"/>
          <w:szCs w:val="24"/>
          <w:lang w:val="sr-Cyrl-CS"/>
        </w:rPr>
        <w:t xml:space="preserve">Реформа јавних финансија </w:t>
      </w:r>
      <w:r w:rsidRPr="00092ED7">
        <w:rPr>
          <w:rFonts w:cs="Times New Roman"/>
          <w:bCs/>
          <w:iCs/>
          <w:sz w:val="24"/>
          <w:szCs w:val="24"/>
          <w:lang w:val="sr-Cyrl-CS"/>
        </w:rPr>
        <w:t xml:space="preserve">и Агенда 2030 који спроводи </w:t>
      </w:r>
      <w:r w:rsidR="00612D53" w:rsidRPr="00092ED7">
        <w:rPr>
          <w:rFonts w:cs="Times New Roman"/>
          <w:bCs/>
          <w:iCs/>
          <w:sz w:val="24"/>
          <w:szCs w:val="24"/>
          <w:lang w:val="sr-Cyrl-CS"/>
        </w:rPr>
        <w:t>Немачка организација за међународну сарадњу (у даљем тексту</w:t>
      </w:r>
      <w:r w:rsidR="00401E93" w:rsidRPr="00092ED7">
        <w:rPr>
          <w:rFonts w:cs="Times New Roman"/>
          <w:bCs/>
          <w:iCs/>
          <w:sz w:val="24"/>
          <w:szCs w:val="24"/>
          <w:lang w:val="sr-Cyrl-CS"/>
        </w:rPr>
        <w:t>:</w:t>
      </w:r>
      <w:r w:rsidR="00612D53" w:rsidRPr="00092ED7">
        <w:rPr>
          <w:rFonts w:cs="Times New Roman"/>
          <w:bCs/>
          <w:iCs/>
          <w:sz w:val="24"/>
          <w:szCs w:val="24"/>
          <w:lang w:val="sr-Cyrl-CS"/>
        </w:rPr>
        <w:t xml:space="preserve"> </w:t>
      </w:r>
      <w:r w:rsidRPr="00092ED7">
        <w:rPr>
          <w:rFonts w:cs="Times New Roman"/>
          <w:bCs/>
          <w:iCs/>
          <w:sz w:val="24"/>
          <w:szCs w:val="24"/>
          <w:lang w:val="sr-Cyrl-CS"/>
        </w:rPr>
        <w:t>ГИЗ</w:t>
      </w:r>
      <w:r w:rsidR="00612D53" w:rsidRPr="00092ED7">
        <w:rPr>
          <w:rFonts w:cs="Times New Roman"/>
          <w:bCs/>
          <w:iCs/>
          <w:sz w:val="24"/>
          <w:szCs w:val="24"/>
          <w:lang w:val="sr-Cyrl-CS"/>
        </w:rPr>
        <w:t>)</w:t>
      </w:r>
      <w:r w:rsidRPr="00092ED7">
        <w:rPr>
          <w:rFonts w:cs="Times New Roman"/>
          <w:bCs/>
          <w:iCs/>
          <w:sz w:val="24"/>
          <w:szCs w:val="24"/>
          <w:lang w:val="sr-Cyrl-CS"/>
        </w:rPr>
        <w:t>, у току је активност која се односи на анализу могућности комуникације са пореским обвезницима на даљину и сходно томе спровођење поступка контроле.</w:t>
      </w:r>
    </w:p>
    <w:p w14:paraId="677980F9" w14:textId="77777777" w:rsidR="00F13B06" w:rsidRPr="00092ED7" w:rsidRDefault="00F13B06" w:rsidP="00F13B06">
      <w:pPr>
        <w:pStyle w:val="ListParagraph"/>
        <w:numPr>
          <w:ilvl w:val="0"/>
          <w:numId w:val="43"/>
        </w:numPr>
        <w:spacing w:after="60" w:line="240" w:lineRule="auto"/>
        <w:ind w:left="357" w:hanging="357"/>
        <w:rPr>
          <w:rFonts w:cs="Times New Roman"/>
          <w:bCs/>
          <w:iCs/>
          <w:sz w:val="24"/>
          <w:szCs w:val="24"/>
          <w:lang w:val="sr-Cyrl-CS"/>
        </w:rPr>
      </w:pPr>
      <w:r w:rsidRPr="00092ED7">
        <w:rPr>
          <w:rFonts w:cs="Times New Roman"/>
          <w:bCs/>
          <w:iCs/>
          <w:sz w:val="24"/>
          <w:szCs w:val="24"/>
          <w:lang w:val="sr-Cyrl-CS"/>
        </w:rPr>
        <w:t>Током прве половине 2022. године, у циљу унапређења функције контроле, у вези са ревизијом трансферних цена, омогућен је приступ софтверском решењу – ORBIS.</w:t>
      </w:r>
    </w:p>
    <w:p w14:paraId="3B55C951" w14:textId="77777777" w:rsidR="00F13B06" w:rsidRPr="00092ED7" w:rsidRDefault="00F13B06" w:rsidP="00F13B06">
      <w:pPr>
        <w:pStyle w:val="ListParagraph"/>
        <w:numPr>
          <w:ilvl w:val="0"/>
          <w:numId w:val="43"/>
        </w:numPr>
        <w:spacing w:after="60" w:line="240" w:lineRule="auto"/>
        <w:ind w:left="357" w:hanging="357"/>
        <w:rPr>
          <w:rFonts w:cs="Times New Roman"/>
          <w:bCs/>
          <w:iCs/>
          <w:sz w:val="24"/>
          <w:szCs w:val="24"/>
          <w:lang w:val="sr-Cyrl-CS"/>
        </w:rPr>
      </w:pPr>
      <w:r w:rsidRPr="00092ED7">
        <w:rPr>
          <w:rFonts w:cs="Times New Roman"/>
          <w:bCs/>
          <w:iCs/>
          <w:sz w:val="24"/>
          <w:szCs w:val="24"/>
          <w:lang w:val="sr-Cyrl-CS"/>
        </w:rPr>
        <w:t>Централизована платформа за електронску фискализацију пуштена је у рад 1. новембра 2021. године. У наредних шест месеци порески обвезници су прешли на нови систем фискализације. Од 1. маја 2022. године престао је да важи стари систем фискалних каса, тј. евидентирање промета врши се искључиво по новом систему е-фискализације. Што се тиче електронског фактурисања, планирано је фазно увођење (три фазе: 1. мај 2022-B2G, 1. јул 2022-G2B и 1. јануар 2023. – B2B). Прве две фазе су завршене, а трећа фаза је и даље у плану за 1. јануар 2023.</w:t>
      </w:r>
    </w:p>
    <w:p w14:paraId="651901BD" w14:textId="61EA14F8" w:rsidR="00F13B06" w:rsidRPr="00092ED7" w:rsidRDefault="00F13B06" w:rsidP="00F13B06">
      <w:pPr>
        <w:pStyle w:val="ListParagraph"/>
        <w:numPr>
          <w:ilvl w:val="0"/>
          <w:numId w:val="43"/>
        </w:numPr>
        <w:spacing w:after="60" w:line="240" w:lineRule="auto"/>
        <w:ind w:left="357" w:hanging="357"/>
        <w:rPr>
          <w:rFonts w:cs="Times New Roman"/>
          <w:bCs/>
          <w:iCs/>
          <w:sz w:val="24"/>
          <w:szCs w:val="24"/>
          <w:lang w:val="sr-Cyrl-CS"/>
        </w:rPr>
      </w:pPr>
      <w:r w:rsidRPr="00092ED7">
        <w:rPr>
          <w:rFonts w:cs="Times New Roman"/>
          <w:bCs/>
          <w:iCs/>
          <w:sz w:val="24"/>
          <w:szCs w:val="24"/>
          <w:lang w:val="sr-Cyrl-CS"/>
        </w:rPr>
        <w:t>Обука за кориснике новог модела фискализације и електронског фактурисања почела је у јулу 2021. године и одвија</w:t>
      </w:r>
      <w:r w:rsidR="00973039" w:rsidRPr="00092ED7">
        <w:rPr>
          <w:rFonts w:cs="Times New Roman"/>
          <w:bCs/>
          <w:iCs/>
          <w:sz w:val="24"/>
          <w:szCs w:val="24"/>
          <w:lang w:val="sr-Cyrl-CS"/>
        </w:rPr>
        <w:t>ла</w:t>
      </w:r>
      <w:r w:rsidRPr="00092ED7">
        <w:rPr>
          <w:rFonts w:cs="Times New Roman"/>
          <w:bCs/>
          <w:iCs/>
          <w:sz w:val="24"/>
          <w:szCs w:val="24"/>
          <w:lang w:val="sr-Cyrl-CS"/>
        </w:rPr>
        <w:t xml:space="preserve"> се по планираној динамици до краја 2022. У овом процесу, Министарство финансија има подршку </w:t>
      </w:r>
      <w:r w:rsidR="00612D53" w:rsidRPr="00092ED7">
        <w:rPr>
          <w:rFonts w:cs="Times New Roman"/>
          <w:bCs/>
          <w:iCs/>
          <w:sz w:val="24"/>
          <w:szCs w:val="24"/>
          <w:lang w:val="sr-Cyrl-CS"/>
        </w:rPr>
        <w:t>Националне алијансе за локални економски развој (у даљем тексту</w:t>
      </w:r>
      <w:r w:rsidR="00401E93" w:rsidRPr="00092ED7">
        <w:rPr>
          <w:rFonts w:cs="Times New Roman"/>
          <w:bCs/>
          <w:iCs/>
          <w:sz w:val="24"/>
          <w:szCs w:val="24"/>
          <w:lang w:val="sr-Cyrl-CS"/>
        </w:rPr>
        <w:t>:</w:t>
      </w:r>
      <w:r w:rsidR="005B057C" w:rsidRPr="00092ED7">
        <w:rPr>
          <w:rFonts w:cs="Times New Roman"/>
          <w:bCs/>
          <w:iCs/>
          <w:sz w:val="24"/>
          <w:szCs w:val="24"/>
          <w:lang w:val="sr-Cyrl-CS"/>
        </w:rPr>
        <w:t xml:space="preserve"> </w:t>
      </w:r>
      <w:r w:rsidR="00572A59" w:rsidRPr="00092ED7">
        <w:rPr>
          <w:rFonts w:cs="Times New Roman"/>
          <w:bCs/>
          <w:iCs/>
          <w:sz w:val="24"/>
          <w:szCs w:val="24"/>
          <w:lang w:val="sr-Cyrl-CS"/>
        </w:rPr>
        <w:t xml:space="preserve">НАЛЕД </w:t>
      </w:r>
      <w:r w:rsidR="00612D53" w:rsidRPr="00092ED7">
        <w:rPr>
          <w:rFonts w:cs="Times New Roman"/>
          <w:bCs/>
          <w:iCs/>
          <w:sz w:val="24"/>
          <w:szCs w:val="24"/>
          <w:lang w:val="sr-Cyrl-CS"/>
        </w:rPr>
        <w:t>)</w:t>
      </w:r>
      <w:r w:rsidRPr="00092ED7">
        <w:rPr>
          <w:rFonts w:cs="Times New Roman"/>
          <w:bCs/>
          <w:iCs/>
          <w:sz w:val="24"/>
          <w:szCs w:val="24"/>
          <w:lang w:val="sr-Cyrl-CS"/>
        </w:rPr>
        <w:t xml:space="preserve"> и Привредне коморе Србије, као одабраним партнерима за обуку и комуникациону кампању за ове две реформе.</w:t>
      </w:r>
    </w:p>
    <w:p w14:paraId="0B649D49" w14:textId="474ABF7F" w:rsidR="00F13B06" w:rsidRPr="00092ED7" w:rsidRDefault="00F13B06" w:rsidP="00F13B06">
      <w:pPr>
        <w:spacing w:after="60"/>
        <w:rPr>
          <w:rFonts w:cs="Times New Roman"/>
          <w:bCs/>
          <w:iCs/>
          <w:szCs w:val="24"/>
          <w:lang w:val="sr-Cyrl-CS"/>
        </w:rPr>
      </w:pPr>
      <w:r w:rsidRPr="00092ED7">
        <w:rPr>
          <w:rFonts w:cs="Times New Roman"/>
          <w:bCs/>
          <w:iCs/>
          <w:szCs w:val="24"/>
          <w:lang w:val="sr-Cyrl-CS"/>
        </w:rPr>
        <w:t xml:space="preserve">У вези са препоруком да се реформа Пореске управе </w:t>
      </w:r>
      <w:r w:rsidR="00612D53" w:rsidRPr="00092ED7">
        <w:rPr>
          <w:rFonts w:cs="Times New Roman"/>
          <w:bCs/>
          <w:iCs/>
          <w:szCs w:val="24"/>
          <w:lang w:val="sr-Cyrl-CS"/>
        </w:rPr>
        <w:t>спров</w:t>
      </w:r>
      <w:r w:rsidR="00973039" w:rsidRPr="00092ED7">
        <w:rPr>
          <w:rFonts w:cs="Times New Roman"/>
          <w:bCs/>
          <w:iCs/>
          <w:szCs w:val="24"/>
          <w:lang w:val="sr-Cyrl-CS"/>
        </w:rPr>
        <w:t>о</w:t>
      </w:r>
      <w:r w:rsidR="00612D53" w:rsidRPr="00092ED7">
        <w:rPr>
          <w:rFonts w:cs="Times New Roman"/>
          <w:bCs/>
          <w:iCs/>
          <w:szCs w:val="24"/>
          <w:lang w:val="sr-Cyrl-CS"/>
        </w:rPr>
        <w:t xml:space="preserve">ди </w:t>
      </w:r>
      <w:r w:rsidRPr="00092ED7">
        <w:rPr>
          <w:rFonts w:cs="Times New Roman"/>
          <w:bCs/>
          <w:iCs/>
          <w:szCs w:val="24"/>
          <w:lang w:val="sr-Cyrl-CS"/>
        </w:rPr>
        <w:t>у складу са ЕРП роковима, у 2022. години реализовано је:</w:t>
      </w:r>
    </w:p>
    <w:p w14:paraId="2DF2A308" w14:textId="064D04F7" w:rsidR="00F13B06" w:rsidRPr="00092ED7" w:rsidRDefault="00F13B06" w:rsidP="00F13B06">
      <w:pPr>
        <w:pStyle w:val="ListParagraph"/>
        <w:numPr>
          <w:ilvl w:val="0"/>
          <w:numId w:val="44"/>
        </w:numPr>
        <w:spacing w:after="60"/>
        <w:rPr>
          <w:rFonts w:cs="Times New Roman"/>
          <w:bCs/>
          <w:iCs/>
          <w:sz w:val="24"/>
          <w:szCs w:val="24"/>
          <w:lang w:val="sr-Cyrl-CS"/>
        </w:rPr>
      </w:pPr>
      <w:r w:rsidRPr="00092ED7">
        <w:rPr>
          <w:rFonts w:cs="Times New Roman"/>
          <w:bCs/>
          <w:iCs/>
          <w:sz w:val="24"/>
          <w:szCs w:val="24"/>
          <w:lang w:val="sr-Cyrl-CS"/>
        </w:rPr>
        <w:t xml:space="preserve">Реинжењеринг пословних процеса, укључујући обуку тренера за увођење нових функција у организационе јединице </w:t>
      </w:r>
      <w:r w:rsidR="00612D53" w:rsidRPr="00092ED7">
        <w:rPr>
          <w:rFonts w:cs="Times New Roman"/>
          <w:bCs/>
          <w:iCs/>
          <w:sz w:val="24"/>
          <w:szCs w:val="24"/>
          <w:lang w:val="sr-Cyrl-CS"/>
        </w:rPr>
        <w:t>Пореске управе</w:t>
      </w:r>
      <w:r w:rsidRPr="00092ED7">
        <w:rPr>
          <w:rFonts w:cs="Times New Roman"/>
          <w:bCs/>
          <w:iCs/>
          <w:sz w:val="24"/>
          <w:szCs w:val="24"/>
          <w:lang w:val="sr-Cyrl-CS"/>
        </w:rPr>
        <w:t>. Пореска управа је уз помоћ консултанта 7. јуна 2022. године израдила нацрт документа „Дизајн пословних процеса са прилозима и презентацијама</w:t>
      </w:r>
      <w:r w:rsidR="0052060E" w:rsidRPr="00092ED7">
        <w:rPr>
          <w:rFonts w:cs="Times New Roman"/>
          <w:sz w:val="24"/>
          <w:szCs w:val="24"/>
          <w:lang w:val="sr-Cyrl-CS"/>
        </w:rPr>
        <w:t>”</w:t>
      </w:r>
      <w:r w:rsidRPr="00092ED7">
        <w:rPr>
          <w:rFonts w:cs="Times New Roman"/>
          <w:bCs/>
          <w:iCs/>
          <w:sz w:val="24"/>
          <w:szCs w:val="24"/>
          <w:lang w:val="sr-Cyrl-CS"/>
        </w:rPr>
        <w:t xml:space="preserve"> након чега су одржане интензивне консултације између Пореске управе, Управе за трезор</w:t>
      </w:r>
      <w:r w:rsidR="00612D53" w:rsidRPr="00092ED7">
        <w:rPr>
          <w:rFonts w:cs="Times New Roman"/>
          <w:bCs/>
          <w:iCs/>
          <w:sz w:val="24"/>
          <w:szCs w:val="24"/>
          <w:lang w:val="sr-Cyrl-CS"/>
        </w:rPr>
        <w:t xml:space="preserve"> и других организационих јединица</w:t>
      </w:r>
      <w:r w:rsidRPr="00092ED7">
        <w:rPr>
          <w:rFonts w:cs="Times New Roman"/>
          <w:bCs/>
          <w:iCs/>
          <w:sz w:val="24"/>
          <w:szCs w:val="24"/>
          <w:lang w:val="sr-Cyrl-CS"/>
        </w:rPr>
        <w:t xml:space="preserve"> Министарства финансија и консултанта у циљу усаглашавања ставова, примедби и сугестија на достављени документ, а нарочито на делове који се односе на редослед намирења пореских обавеза као и идентификаторе и распоред уплата депозита за лицитацију и купопродајне цене. Донете су одлуке од стране Пореске управе које се тичу начина обрачуна камате, а за које је консултант предложио више варијанти у Општем пословном моделу, као и одлуке у вези </w:t>
      </w:r>
      <w:r w:rsidR="00612D53" w:rsidRPr="00092ED7">
        <w:rPr>
          <w:rFonts w:cs="Times New Roman"/>
          <w:bCs/>
          <w:iCs/>
          <w:sz w:val="24"/>
          <w:szCs w:val="24"/>
          <w:lang w:val="sr-Cyrl-CS"/>
        </w:rPr>
        <w:t xml:space="preserve">са увођењем </w:t>
      </w:r>
      <w:r w:rsidRPr="00092ED7">
        <w:rPr>
          <w:rFonts w:cs="Times New Roman"/>
          <w:bCs/>
          <w:iCs/>
          <w:sz w:val="24"/>
          <w:szCs w:val="24"/>
          <w:lang w:val="sr-Cyrl-CS"/>
        </w:rPr>
        <w:t xml:space="preserve">једног рачуна за уплату јавних прихода  и распореда средстава која ће се водити на конту преплате, како би се наставио даљи рад на развоју Редизајнираног пословног модела у детаљима, након чега је Редизајнирани пословни модел у детаљима презентован у Министарству финансија. </w:t>
      </w:r>
    </w:p>
    <w:p w14:paraId="50653582" w14:textId="492BBC2D" w:rsidR="00F13B06" w:rsidRPr="00092ED7" w:rsidRDefault="00F13B06" w:rsidP="00F13B06">
      <w:pPr>
        <w:pStyle w:val="ListParagraph"/>
        <w:spacing w:after="60"/>
        <w:ind w:left="360"/>
        <w:rPr>
          <w:rFonts w:cs="Times New Roman"/>
          <w:bCs/>
          <w:iCs/>
          <w:sz w:val="24"/>
          <w:szCs w:val="24"/>
          <w:lang w:val="sr-Cyrl-CS"/>
        </w:rPr>
      </w:pPr>
      <w:r w:rsidRPr="00092ED7">
        <w:rPr>
          <w:rFonts w:cs="Times New Roman"/>
          <w:bCs/>
          <w:iCs/>
          <w:sz w:val="24"/>
          <w:szCs w:val="24"/>
          <w:lang w:val="sr-Cyrl-CS"/>
        </w:rPr>
        <w:t xml:space="preserve">Консултант је 4. октобра 2022. доставио кориговану верзију </w:t>
      </w:r>
      <w:r w:rsidR="00612D53" w:rsidRPr="00092ED7">
        <w:rPr>
          <w:rFonts w:cs="Times New Roman"/>
          <w:bCs/>
          <w:iCs/>
          <w:sz w:val="24"/>
          <w:szCs w:val="24"/>
          <w:lang w:val="sr-Cyrl-CS"/>
        </w:rPr>
        <w:t xml:space="preserve">нацрта </w:t>
      </w:r>
      <w:r w:rsidRPr="00092ED7">
        <w:rPr>
          <w:rFonts w:cs="Times New Roman"/>
          <w:bCs/>
          <w:iCs/>
          <w:sz w:val="24"/>
          <w:szCs w:val="24"/>
          <w:lang w:val="sr-Cyrl-CS"/>
        </w:rPr>
        <w:t>документа „Дизајн пословних процеса са прилозима и презентацијама</w:t>
      </w:r>
      <w:r w:rsidR="0052060E" w:rsidRPr="00092ED7">
        <w:rPr>
          <w:rFonts w:cs="Times New Roman"/>
          <w:sz w:val="24"/>
          <w:szCs w:val="24"/>
          <w:lang w:val="sr-Cyrl-CS"/>
        </w:rPr>
        <w:t>”</w:t>
      </w:r>
      <w:r w:rsidRPr="00092ED7">
        <w:rPr>
          <w:rFonts w:cs="Times New Roman"/>
          <w:bCs/>
          <w:iCs/>
          <w:sz w:val="24"/>
          <w:szCs w:val="24"/>
          <w:lang w:val="sr-Cyrl-CS"/>
        </w:rPr>
        <w:t xml:space="preserve">. Коначна верзија документа усвојена је 14. новембра 2022. године, на другој седници Одбора за спровођење </w:t>
      </w:r>
      <w:r w:rsidR="00612D53" w:rsidRPr="00092ED7">
        <w:rPr>
          <w:rFonts w:cs="Times New Roman"/>
          <w:bCs/>
          <w:iCs/>
          <w:sz w:val="24"/>
          <w:szCs w:val="24"/>
          <w:lang w:val="sr-Cyrl-CS"/>
        </w:rPr>
        <w:t>Програм трансформације Пореске управе.</w:t>
      </w:r>
      <w:r w:rsidRPr="00092ED7">
        <w:rPr>
          <w:rFonts w:cs="Times New Roman"/>
          <w:bCs/>
          <w:iCs/>
          <w:sz w:val="24"/>
          <w:szCs w:val="24"/>
          <w:lang w:val="sr-Cyrl-CS"/>
        </w:rPr>
        <w:t xml:space="preserve">  </w:t>
      </w:r>
    </w:p>
    <w:p w14:paraId="55C2A0A1" w14:textId="5D79F95D" w:rsidR="00F13B06" w:rsidRPr="00092ED7" w:rsidRDefault="00F13B06" w:rsidP="00F13B06">
      <w:pPr>
        <w:pStyle w:val="ListParagraph"/>
        <w:numPr>
          <w:ilvl w:val="0"/>
          <w:numId w:val="44"/>
        </w:numPr>
        <w:spacing w:after="60" w:line="240" w:lineRule="auto"/>
        <w:ind w:left="357" w:hanging="357"/>
        <w:rPr>
          <w:rFonts w:cs="Times New Roman"/>
          <w:bCs/>
          <w:iCs/>
          <w:sz w:val="24"/>
          <w:szCs w:val="24"/>
          <w:lang w:val="sr-Cyrl-CS"/>
        </w:rPr>
      </w:pPr>
      <w:r w:rsidRPr="00092ED7">
        <w:rPr>
          <w:rFonts w:cs="Times New Roman"/>
          <w:bCs/>
          <w:iCs/>
          <w:sz w:val="24"/>
          <w:szCs w:val="24"/>
          <w:lang w:val="sr-Cyrl-CS"/>
        </w:rPr>
        <w:t>Анализа и увођење савременог система управљања документима кроз свеобухватни модел управљања информацијама - Након спроведене анализе законског оквира, први нацрт документа „Анализа правног оквира у области архивирања Пореске управе Републике Србије са препорукама за унапређење</w:t>
      </w:r>
      <w:r w:rsidR="00AD20C6" w:rsidRPr="00092ED7">
        <w:rPr>
          <w:rFonts w:cs="Times New Roman"/>
          <w:sz w:val="24"/>
          <w:szCs w:val="24"/>
          <w:lang w:val="sr-Cyrl-CS"/>
        </w:rPr>
        <w:t>”</w:t>
      </w:r>
      <w:r w:rsidRPr="00092ED7">
        <w:rPr>
          <w:rFonts w:cs="Times New Roman"/>
          <w:bCs/>
          <w:iCs/>
          <w:sz w:val="24"/>
          <w:szCs w:val="24"/>
          <w:lang w:val="sr-Cyrl-CS"/>
        </w:rPr>
        <w:t xml:space="preserve"> је достављен 3. августа 2022. године. Нацрт документа је прослеђен Светској банци.</w:t>
      </w:r>
    </w:p>
    <w:p w14:paraId="2699299D" w14:textId="09EE5124" w:rsidR="00F13B06" w:rsidRPr="00092ED7" w:rsidRDefault="00F13B06" w:rsidP="00F13B06">
      <w:pPr>
        <w:pStyle w:val="ListParagraph"/>
        <w:numPr>
          <w:ilvl w:val="0"/>
          <w:numId w:val="44"/>
        </w:numPr>
        <w:spacing w:after="60" w:line="240" w:lineRule="auto"/>
        <w:ind w:left="357" w:hanging="357"/>
        <w:rPr>
          <w:rFonts w:cs="Times New Roman"/>
          <w:bCs/>
          <w:iCs/>
          <w:sz w:val="24"/>
          <w:szCs w:val="24"/>
          <w:lang w:val="sr-Cyrl-CS"/>
        </w:rPr>
      </w:pPr>
      <w:r w:rsidRPr="00092ED7">
        <w:rPr>
          <w:rFonts w:cs="Times New Roman"/>
          <w:bCs/>
          <w:iCs/>
          <w:sz w:val="24"/>
          <w:szCs w:val="24"/>
          <w:lang w:val="sr-Cyrl-CS"/>
        </w:rPr>
        <w:t>Набавка система за нову платформу</w:t>
      </w:r>
      <w:r w:rsidR="006E4DE0" w:rsidRPr="00092ED7">
        <w:rPr>
          <w:rFonts w:eastAsia="Calibri" w:cs="Times New Roman"/>
          <w:bCs/>
          <w:sz w:val="24"/>
          <w:szCs w:val="24"/>
          <w:lang w:val="sr-Cyrl-CS"/>
        </w:rPr>
        <w:t xml:space="preserve"> за информационо-комуникационе технологије</w:t>
      </w:r>
      <w:r w:rsidRPr="00092ED7">
        <w:rPr>
          <w:rFonts w:cs="Times New Roman"/>
          <w:bCs/>
          <w:iCs/>
          <w:sz w:val="24"/>
          <w:szCs w:val="24"/>
          <w:lang w:val="sr-Cyrl-CS"/>
        </w:rPr>
        <w:t>– У вези са консултантским услугама за анализу тржишта и израду спецификација за готово комерцијално решење (</w:t>
      </w:r>
      <w:r w:rsidR="00C30860" w:rsidRPr="00092ED7">
        <w:rPr>
          <w:rFonts w:cs="Times New Roman"/>
          <w:bCs/>
          <w:iCs/>
          <w:sz w:val="24"/>
          <w:szCs w:val="24"/>
          <w:lang w:val="sr-Cyrl-CS"/>
        </w:rPr>
        <w:t>у даљем тексту</w:t>
      </w:r>
      <w:r w:rsidR="00020BEA" w:rsidRPr="00092ED7">
        <w:rPr>
          <w:rFonts w:cs="Times New Roman"/>
          <w:bCs/>
          <w:iCs/>
          <w:sz w:val="24"/>
          <w:szCs w:val="24"/>
          <w:lang w:val="sr-Cyrl-CS"/>
        </w:rPr>
        <w:t>:</w:t>
      </w:r>
      <w:r w:rsidR="00C30860" w:rsidRPr="00092ED7">
        <w:rPr>
          <w:rFonts w:cs="Times New Roman"/>
          <w:bCs/>
          <w:iCs/>
          <w:sz w:val="24"/>
          <w:szCs w:val="24"/>
          <w:lang w:val="sr-Cyrl-CS"/>
        </w:rPr>
        <w:t xml:space="preserve"> </w:t>
      </w:r>
      <w:r w:rsidRPr="00092ED7">
        <w:rPr>
          <w:rFonts w:cs="Times New Roman"/>
          <w:bCs/>
          <w:iCs/>
          <w:sz w:val="24"/>
          <w:szCs w:val="24"/>
          <w:lang w:val="sr-Cyrl-CS"/>
        </w:rPr>
        <w:t>COTS)</w:t>
      </w:r>
      <w:r w:rsidR="00973039" w:rsidRPr="00092ED7">
        <w:rPr>
          <w:rFonts w:cs="Times New Roman"/>
          <w:bCs/>
          <w:iCs/>
          <w:sz w:val="24"/>
          <w:szCs w:val="24"/>
          <w:lang w:val="sr-Cyrl-CS"/>
        </w:rPr>
        <w:t>,</w:t>
      </w:r>
      <w:r w:rsidRPr="00092ED7">
        <w:rPr>
          <w:rFonts w:cs="Times New Roman"/>
          <w:bCs/>
          <w:iCs/>
          <w:sz w:val="24"/>
          <w:szCs w:val="24"/>
          <w:lang w:val="sr-Cyrl-CS"/>
        </w:rPr>
        <w:t xml:space="preserve"> Пореска управа је уз помоћ консултанта направила нацрт документа „Техничка спецификација за готово комерцијално решење</w:t>
      </w:r>
      <w:r w:rsidR="0052060E" w:rsidRPr="00092ED7">
        <w:rPr>
          <w:rFonts w:cs="Times New Roman"/>
          <w:sz w:val="24"/>
          <w:szCs w:val="24"/>
          <w:lang w:val="sr-Cyrl-CS"/>
        </w:rPr>
        <w:t>”</w:t>
      </w:r>
      <w:r w:rsidRPr="00092ED7">
        <w:rPr>
          <w:rFonts w:cs="Times New Roman"/>
          <w:bCs/>
          <w:iCs/>
          <w:sz w:val="24"/>
          <w:szCs w:val="24"/>
          <w:lang w:val="sr-Cyrl-CS"/>
        </w:rPr>
        <w:t xml:space="preserve"> са функционалним и нефункционалним захтевима, а који треба да буде саставни део захтева за достављање понуда (</w:t>
      </w:r>
      <w:r w:rsidR="00C30860" w:rsidRPr="00092ED7">
        <w:rPr>
          <w:rFonts w:cs="Times New Roman"/>
          <w:bCs/>
          <w:iCs/>
          <w:sz w:val="24"/>
          <w:szCs w:val="24"/>
          <w:lang w:val="sr-Cyrl-CS"/>
        </w:rPr>
        <w:t>у даљем тексту</w:t>
      </w:r>
      <w:r w:rsidR="00B24C0F" w:rsidRPr="00092ED7">
        <w:rPr>
          <w:rFonts w:cs="Times New Roman"/>
          <w:bCs/>
          <w:iCs/>
          <w:sz w:val="24"/>
          <w:szCs w:val="24"/>
          <w:lang w:val="sr-Cyrl-CS"/>
        </w:rPr>
        <w:t>:</w:t>
      </w:r>
      <w:r w:rsidR="00C30860" w:rsidRPr="00092ED7">
        <w:rPr>
          <w:rFonts w:cs="Times New Roman"/>
          <w:bCs/>
          <w:iCs/>
          <w:sz w:val="24"/>
          <w:szCs w:val="24"/>
          <w:lang w:val="sr-Cyrl-CS"/>
        </w:rPr>
        <w:t xml:space="preserve"> </w:t>
      </w:r>
      <w:r w:rsidRPr="00092ED7">
        <w:rPr>
          <w:rFonts w:cs="Times New Roman"/>
          <w:bCs/>
          <w:iCs/>
          <w:sz w:val="24"/>
          <w:szCs w:val="24"/>
          <w:lang w:val="sr-Cyrl-CS"/>
        </w:rPr>
        <w:t>RFB). Након  анализе наведеног документа и усаглашавања примедби, сугестија и предлога од стране Пореске управе и консултанта „Техничка спецификација за готово комерцијално решење</w:t>
      </w:r>
      <w:r w:rsidR="0052060E" w:rsidRPr="00092ED7">
        <w:rPr>
          <w:rFonts w:cs="Times New Roman"/>
          <w:sz w:val="24"/>
          <w:szCs w:val="24"/>
          <w:lang w:val="sr-Cyrl-CS"/>
        </w:rPr>
        <w:t>”</w:t>
      </w:r>
      <w:r w:rsidRPr="00092ED7">
        <w:rPr>
          <w:rFonts w:cs="Times New Roman"/>
          <w:bCs/>
          <w:iCs/>
          <w:sz w:val="24"/>
          <w:szCs w:val="24"/>
          <w:lang w:val="sr-Cyrl-CS"/>
        </w:rPr>
        <w:t xml:space="preserve"> је усвојена на Одбору за спровођење </w:t>
      </w:r>
      <w:r w:rsidR="00C30860" w:rsidRPr="00092ED7">
        <w:rPr>
          <w:rFonts w:cs="Times New Roman"/>
          <w:bCs/>
          <w:iCs/>
          <w:sz w:val="24"/>
          <w:szCs w:val="24"/>
          <w:lang w:val="sr-Cyrl-CS"/>
        </w:rPr>
        <w:t xml:space="preserve">Програма </w:t>
      </w:r>
      <w:r w:rsidRPr="00092ED7">
        <w:rPr>
          <w:rFonts w:cs="Times New Roman"/>
          <w:bCs/>
          <w:iCs/>
          <w:sz w:val="24"/>
          <w:szCs w:val="24"/>
          <w:lang w:val="sr-Cyrl-CS"/>
        </w:rPr>
        <w:t>трансформације Пореске управе 30. септембра 2022. године.</w:t>
      </w:r>
    </w:p>
    <w:p w14:paraId="5CDE3FCE" w14:textId="5FE73C1C" w:rsidR="00F13B06" w:rsidRPr="00092ED7" w:rsidRDefault="00F13B06" w:rsidP="00F13B06">
      <w:pPr>
        <w:spacing w:after="60"/>
        <w:rPr>
          <w:rFonts w:cs="Times New Roman"/>
          <w:bCs/>
          <w:iCs/>
          <w:szCs w:val="24"/>
          <w:lang w:val="sr-Cyrl-CS"/>
        </w:rPr>
      </w:pPr>
      <w:r w:rsidRPr="00092ED7">
        <w:rPr>
          <w:rFonts w:cs="Times New Roman"/>
          <w:bCs/>
          <w:iCs/>
          <w:szCs w:val="24"/>
          <w:lang w:val="sr-Cyrl-CS"/>
        </w:rPr>
        <w:t xml:space="preserve">Документ представља основу за припрему захтева за достављање понуда (RFB). Позив за Иницијалну селекцију </w:t>
      </w:r>
      <w:r w:rsidR="00B24C0F" w:rsidRPr="00092ED7">
        <w:rPr>
          <w:rFonts w:cs="Times New Roman"/>
          <w:bCs/>
          <w:iCs/>
          <w:szCs w:val="24"/>
          <w:lang w:val="sr-Cyrl-CS"/>
        </w:rPr>
        <w:t>˗</w:t>
      </w:r>
      <w:r w:rsidRPr="00092ED7">
        <w:rPr>
          <w:rFonts w:cs="Times New Roman"/>
          <w:bCs/>
          <w:iCs/>
          <w:szCs w:val="24"/>
          <w:lang w:val="sr-Cyrl-CS"/>
        </w:rPr>
        <w:t xml:space="preserve"> достављање понуда за набавку и инсталацију (COTS) са интеграцијом и миграцијом података,  објављен је 13. октобра 2022. године. Одлуком директора Пореске управе формирана је комисија за оцену приспелих понуда у поступку набавке готовог комерцијалног решења (COTS).</w:t>
      </w:r>
    </w:p>
    <w:p w14:paraId="55429E85" w14:textId="1E70EB59" w:rsidR="00F13B06" w:rsidRPr="00092ED7" w:rsidRDefault="00F13B06" w:rsidP="00F13B06">
      <w:pPr>
        <w:spacing w:after="60"/>
        <w:rPr>
          <w:rFonts w:cs="Times New Roman"/>
          <w:bCs/>
          <w:iCs/>
          <w:szCs w:val="24"/>
          <w:lang w:val="sr-Cyrl-CS"/>
        </w:rPr>
      </w:pPr>
      <w:r w:rsidRPr="00092ED7">
        <w:rPr>
          <w:rFonts w:cs="Times New Roman"/>
          <w:bCs/>
          <w:iCs/>
          <w:szCs w:val="24"/>
          <w:lang w:val="sr-Cyrl-CS"/>
        </w:rPr>
        <w:t xml:space="preserve">Реализација осталих активности одвија се у складу са Планом набавки </w:t>
      </w:r>
      <w:r w:rsidR="00C30860" w:rsidRPr="00092ED7">
        <w:rPr>
          <w:rFonts w:cs="Times New Roman"/>
          <w:bCs/>
          <w:iCs/>
          <w:szCs w:val="24"/>
          <w:lang w:val="sr-Cyrl-CS"/>
        </w:rPr>
        <w:t>Пројекта за модернизацију Пореске управе (у даљем тексту</w:t>
      </w:r>
      <w:r w:rsidR="00B24C0F" w:rsidRPr="00092ED7">
        <w:rPr>
          <w:rFonts w:cs="Times New Roman"/>
          <w:bCs/>
          <w:iCs/>
          <w:szCs w:val="24"/>
          <w:lang w:val="sr-Cyrl-CS"/>
        </w:rPr>
        <w:t>:</w:t>
      </w:r>
      <w:r w:rsidR="00C30860" w:rsidRPr="00092ED7">
        <w:rPr>
          <w:rFonts w:cs="Times New Roman"/>
          <w:bCs/>
          <w:iCs/>
          <w:szCs w:val="24"/>
          <w:lang w:val="sr-Cyrl-CS"/>
        </w:rPr>
        <w:t xml:space="preserve"> ТАMP)</w:t>
      </w:r>
      <w:r w:rsidRPr="00092ED7">
        <w:rPr>
          <w:rFonts w:cs="Times New Roman"/>
          <w:bCs/>
          <w:iCs/>
          <w:szCs w:val="24"/>
          <w:lang w:val="sr-Cyrl-CS"/>
        </w:rPr>
        <w:t>.</w:t>
      </w:r>
    </w:p>
    <w:p w14:paraId="77C8489A"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Ојачати капацитете за анализу фискалних ризика, посебно за државна предузећа, и објављивати извештаје о финансијским резултатима у ажурираним верзијама фискалне стратегије у пролеће и јесен.</w:t>
      </w:r>
    </w:p>
    <w:p w14:paraId="5996388D" w14:textId="7C8EC4C9" w:rsidR="00F13B06" w:rsidRPr="00092ED7" w:rsidRDefault="00D659B3" w:rsidP="00F13B06">
      <w:pPr>
        <w:spacing w:after="60"/>
        <w:rPr>
          <w:rFonts w:cs="Times New Roman"/>
          <w:szCs w:val="24"/>
          <w:lang w:val="sr-Cyrl-CS"/>
        </w:rPr>
      </w:pPr>
      <w:r w:rsidRPr="00092ED7">
        <w:rPr>
          <w:rFonts w:cs="Times New Roman"/>
          <w:szCs w:val="24"/>
          <w:lang w:val="sr-Cyrl-CS"/>
        </w:rPr>
        <w:t>На основу</w:t>
      </w:r>
      <w:r w:rsidR="00F13B06" w:rsidRPr="00092ED7">
        <w:rPr>
          <w:rFonts w:cs="Times New Roman"/>
          <w:szCs w:val="24"/>
          <w:lang w:val="sr-Cyrl-CS"/>
        </w:rPr>
        <w:t xml:space="preserve"> сарадњ</w:t>
      </w:r>
      <w:r w:rsidRPr="00092ED7">
        <w:rPr>
          <w:rFonts w:cs="Times New Roman"/>
          <w:szCs w:val="24"/>
          <w:lang w:val="sr-Cyrl-CS"/>
        </w:rPr>
        <w:t>е</w:t>
      </w:r>
      <w:r w:rsidR="00F13B06" w:rsidRPr="00092ED7">
        <w:rPr>
          <w:rFonts w:cs="Times New Roman"/>
          <w:szCs w:val="24"/>
          <w:lang w:val="sr-Cyrl-CS"/>
        </w:rPr>
        <w:t xml:space="preserve"> Сектора за праћење фискалних ризика </w:t>
      </w:r>
      <w:r w:rsidR="00C30860" w:rsidRPr="00092ED7">
        <w:rPr>
          <w:rFonts w:cs="Times New Roman"/>
          <w:szCs w:val="24"/>
          <w:lang w:val="sr-Cyrl-CS"/>
        </w:rPr>
        <w:t xml:space="preserve">Министарства финансија </w:t>
      </w:r>
      <w:r w:rsidR="00F13B06" w:rsidRPr="00092ED7">
        <w:rPr>
          <w:rFonts w:cs="Times New Roman"/>
          <w:szCs w:val="24"/>
          <w:lang w:val="sr-Cyrl-CS"/>
        </w:rPr>
        <w:t xml:space="preserve">и Светске банке, крајем 2021. </w:t>
      </w:r>
      <w:r w:rsidR="00C30860" w:rsidRPr="00092ED7">
        <w:rPr>
          <w:rFonts w:cs="Times New Roman"/>
          <w:szCs w:val="24"/>
          <w:lang w:val="sr-Cyrl-CS"/>
        </w:rPr>
        <w:t xml:space="preserve">Влада је усвојила Закључак </w:t>
      </w:r>
      <w:r w:rsidR="00F00550" w:rsidRPr="00092ED7">
        <w:rPr>
          <w:rFonts w:cs="Times New Roman"/>
          <w:szCs w:val="24"/>
          <w:lang w:val="sr-Cyrl-CS"/>
        </w:rPr>
        <w:t>о усвајању</w:t>
      </w:r>
      <w:r w:rsidR="00DA7C88" w:rsidRPr="00092ED7">
        <w:rPr>
          <w:rFonts w:cs="Times New Roman"/>
          <w:szCs w:val="24"/>
          <w:lang w:val="sr-Cyrl-CS"/>
        </w:rPr>
        <w:t xml:space="preserve"> </w:t>
      </w:r>
      <w:r w:rsidR="00F13B06" w:rsidRPr="00092ED7">
        <w:rPr>
          <w:rFonts w:cs="Times New Roman"/>
          <w:szCs w:val="24"/>
          <w:lang w:val="sr-Cyrl-CS"/>
        </w:rPr>
        <w:t>Јединствен</w:t>
      </w:r>
      <w:r w:rsidR="00F00550" w:rsidRPr="00092ED7">
        <w:rPr>
          <w:rFonts w:cs="Times New Roman"/>
          <w:szCs w:val="24"/>
          <w:lang w:val="sr-Cyrl-CS"/>
        </w:rPr>
        <w:t>е</w:t>
      </w:r>
      <w:r w:rsidR="00F13B06" w:rsidRPr="00092ED7">
        <w:rPr>
          <w:rFonts w:cs="Times New Roman"/>
          <w:szCs w:val="24"/>
          <w:lang w:val="sr-Cyrl-CS"/>
        </w:rPr>
        <w:t xml:space="preserve"> методологиј</w:t>
      </w:r>
      <w:r w:rsidR="00F00550" w:rsidRPr="00092ED7">
        <w:rPr>
          <w:rFonts w:cs="Times New Roman"/>
          <w:szCs w:val="24"/>
          <w:lang w:val="sr-Cyrl-CS"/>
        </w:rPr>
        <w:t>е</w:t>
      </w:r>
      <w:r w:rsidR="00F13B06" w:rsidRPr="00092ED7">
        <w:rPr>
          <w:rFonts w:cs="Times New Roman"/>
          <w:szCs w:val="24"/>
          <w:lang w:val="sr-Cyrl-CS"/>
        </w:rPr>
        <w:t xml:space="preserve"> за праћење фискалних ризика у Републици Србији („Сл</w:t>
      </w:r>
      <w:r w:rsidR="00E67B17" w:rsidRPr="00092ED7">
        <w:rPr>
          <w:rFonts w:cs="Times New Roman"/>
          <w:szCs w:val="24"/>
          <w:lang w:val="sr-Cyrl-CS"/>
        </w:rPr>
        <w:t>ужбени</w:t>
      </w:r>
      <w:r w:rsidR="00F13B06" w:rsidRPr="00092ED7">
        <w:rPr>
          <w:rFonts w:cs="Times New Roman"/>
          <w:szCs w:val="24"/>
          <w:lang w:val="sr-Cyrl-CS"/>
        </w:rPr>
        <w:t xml:space="preserve"> гласник РС</w:t>
      </w:r>
      <w:r w:rsidR="00E67B17" w:rsidRPr="00092ED7">
        <w:rPr>
          <w:rFonts w:cs="Times New Roman"/>
          <w:szCs w:val="24"/>
          <w:lang w:val="sr-Cyrl-CS"/>
        </w:rPr>
        <w:t>”</w:t>
      </w:r>
      <w:r w:rsidR="00F13B06" w:rsidRPr="00092ED7">
        <w:rPr>
          <w:rFonts w:cs="Times New Roman"/>
          <w:szCs w:val="24"/>
          <w:lang w:val="sr-Cyrl-CS"/>
        </w:rPr>
        <w:t>, бр</w:t>
      </w:r>
      <w:r w:rsidR="009D647C" w:rsidRPr="00092ED7">
        <w:rPr>
          <w:rFonts w:cs="Times New Roman"/>
          <w:szCs w:val="24"/>
          <w:lang w:val="sr-Cyrl-CS"/>
        </w:rPr>
        <w:t>ој</w:t>
      </w:r>
      <w:r w:rsidR="00F13B06" w:rsidRPr="00092ED7">
        <w:rPr>
          <w:rFonts w:cs="Times New Roman"/>
          <w:szCs w:val="24"/>
          <w:lang w:val="sr-Cyrl-CS"/>
        </w:rPr>
        <w:t xml:space="preserve"> 99/21), која обухвата четири основне методологије и то:</w:t>
      </w:r>
    </w:p>
    <w:p w14:paraId="730455C2" w14:textId="77777777" w:rsidR="00F13B06" w:rsidRPr="00092ED7" w:rsidRDefault="00F13B06" w:rsidP="00F13B06">
      <w:pPr>
        <w:spacing w:after="60"/>
        <w:rPr>
          <w:rFonts w:cs="Times New Roman"/>
          <w:szCs w:val="24"/>
          <w:lang w:val="sr-Cyrl-CS"/>
        </w:rPr>
      </w:pPr>
      <w:r w:rsidRPr="00092ED7">
        <w:rPr>
          <w:rFonts w:cs="Times New Roman"/>
          <w:szCs w:val="24"/>
          <w:lang w:val="sr-Cyrl-CS"/>
        </w:rPr>
        <w:t>1) Методологију за праћење фискалних ризика који произлазе из пословања јавних предузећа;</w:t>
      </w:r>
    </w:p>
    <w:p w14:paraId="085AD9D5" w14:textId="78719C73" w:rsidR="00F13B06" w:rsidRPr="00092ED7" w:rsidRDefault="00F13B06" w:rsidP="00F13B06">
      <w:pPr>
        <w:spacing w:after="60"/>
        <w:rPr>
          <w:rFonts w:cs="Times New Roman"/>
          <w:szCs w:val="24"/>
          <w:lang w:val="sr-Cyrl-CS"/>
        </w:rPr>
      </w:pPr>
      <w:r w:rsidRPr="00092ED7">
        <w:rPr>
          <w:rFonts w:cs="Times New Roman"/>
          <w:szCs w:val="24"/>
          <w:lang w:val="sr-Cyrl-CS"/>
        </w:rPr>
        <w:t>2) Методологију за праћење фискалних ризика по буџет Републике Србије који произлазе из вршења надлежности јединица локалне самоуправе</w:t>
      </w:r>
      <w:r w:rsidR="008F53D9" w:rsidRPr="00092ED7">
        <w:rPr>
          <w:rFonts w:cs="Times New Roman"/>
          <w:szCs w:val="24"/>
          <w:lang w:val="sr-Cyrl-CS"/>
        </w:rPr>
        <w:t xml:space="preserve"> (у даљем тексту: ЈЛС)</w:t>
      </w:r>
      <w:r w:rsidRPr="00092ED7">
        <w:rPr>
          <w:rFonts w:cs="Times New Roman"/>
          <w:szCs w:val="24"/>
          <w:lang w:val="sr-Cyrl-CS"/>
        </w:rPr>
        <w:t>;</w:t>
      </w:r>
    </w:p>
    <w:p w14:paraId="206378A7" w14:textId="77777777" w:rsidR="00F13B06" w:rsidRPr="00092ED7" w:rsidRDefault="00F13B06" w:rsidP="00F13B06">
      <w:pPr>
        <w:spacing w:after="60"/>
        <w:rPr>
          <w:rFonts w:cs="Times New Roman"/>
          <w:szCs w:val="24"/>
          <w:lang w:val="sr-Cyrl-CS"/>
        </w:rPr>
      </w:pPr>
      <w:r w:rsidRPr="00092ED7">
        <w:rPr>
          <w:rFonts w:cs="Times New Roman"/>
          <w:szCs w:val="24"/>
          <w:lang w:val="sr-Cyrl-CS"/>
        </w:rPr>
        <w:t>3) Методологију за праћење фискалних ризика по основу судских поступака;</w:t>
      </w:r>
    </w:p>
    <w:p w14:paraId="231861F5" w14:textId="77777777" w:rsidR="00F13B06" w:rsidRPr="00092ED7" w:rsidRDefault="00F13B06" w:rsidP="00F13B06">
      <w:pPr>
        <w:spacing w:after="60"/>
        <w:rPr>
          <w:rFonts w:cs="Times New Roman"/>
          <w:szCs w:val="24"/>
          <w:lang w:val="sr-Cyrl-CS"/>
        </w:rPr>
      </w:pPr>
      <w:r w:rsidRPr="00092ED7">
        <w:rPr>
          <w:rFonts w:cs="Times New Roman"/>
          <w:szCs w:val="24"/>
          <w:lang w:val="sr-Cyrl-CS"/>
        </w:rPr>
        <w:t xml:space="preserve">4) Методологију за праћење фискалних ризика који се јављају као последица елементарних непогода.  </w:t>
      </w:r>
    </w:p>
    <w:p w14:paraId="7972ABD3" w14:textId="2B09BA4E" w:rsidR="00F13B06" w:rsidRPr="00092ED7" w:rsidRDefault="00F13B06" w:rsidP="00F13B06">
      <w:pPr>
        <w:spacing w:after="60"/>
        <w:rPr>
          <w:rFonts w:cs="Times New Roman"/>
          <w:szCs w:val="24"/>
          <w:lang w:val="sr-Cyrl-CS"/>
        </w:rPr>
      </w:pPr>
      <w:r w:rsidRPr="00092ED7">
        <w:rPr>
          <w:rFonts w:cs="Times New Roman"/>
          <w:szCs w:val="24"/>
          <w:lang w:val="sr-Cyrl-CS"/>
        </w:rPr>
        <w:t xml:space="preserve">Након усвајања </w:t>
      </w:r>
      <w:r w:rsidR="00C30860" w:rsidRPr="00092ED7">
        <w:rPr>
          <w:rFonts w:cs="Times New Roman"/>
          <w:szCs w:val="24"/>
          <w:lang w:val="sr-Cyrl-CS"/>
        </w:rPr>
        <w:t>Јединствене методологије за праћење фискалних ризика у Републици Србији</w:t>
      </w:r>
      <w:r w:rsidRPr="00092ED7">
        <w:rPr>
          <w:rFonts w:cs="Times New Roman"/>
          <w:szCs w:val="24"/>
          <w:lang w:val="sr-Cyrl-CS"/>
        </w:rPr>
        <w:t xml:space="preserve">, ради се на изради и подешавању модела у циљу њене пуне имплементације. </w:t>
      </w:r>
    </w:p>
    <w:p w14:paraId="3F36A3DB" w14:textId="737E33A1" w:rsidR="00F13B06" w:rsidRPr="00092ED7" w:rsidRDefault="00F13B06" w:rsidP="00F13B06">
      <w:pPr>
        <w:spacing w:after="60"/>
        <w:rPr>
          <w:rFonts w:cs="Times New Roman"/>
          <w:szCs w:val="24"/>
          <w:lang w:val="sr-Cyrl-CS"/>
        </w:rPr>
      </w:pPr>
      <w:r w:rsidRPr="00092ED7">
        <w:rPr>
          <w:rFonts w:cs="Times New Roman"/>
          <w:szCs w:val="24"/>
          <w:lang w:val="sr-Cyrl-CS"/>
        </w:rPr>
        <w:t xml:space="preserve">Сектор за праћење фискалних ризика </w:t>
      </w:r>
      <w:r w:rsidR="00C30860" w:rsidRPr="00092ED7">
        <w:rPr>
          <w:rFonts w:cs="Times New Roman"/>
          <w:szCs w:val="24"/>
          <w:lang w:val="sr-Cyrl-CS"/>
        </w:rPr>
        <w:t>Министарства финансија</w:t>
      </w:r>
      <w:r w:rsidRPr="00092ED7">
        <w:rPr>
          <w:rFonts w:cs="Times New Roman"/>
          <w:szCs w:val="24"/>
          <w:lang w:val="sr-Cyrl-CS"/>
        </w:rPr>
        <w:t xml:space="preserve">, захваљујући интензивном раду на успостављању система за процену фискалних ризика, надограђује </w:t>
      </w:r>
      <w:r w:rsidR="00C30860" w:rsidRPr="00092ED7">
        <w:rPr>
          <w:rFonts w:cs="Times New Roman"/>
          <w:szCs w:val="24"/>
          <w:lang w:val="sr-Cyrl-CS"/>
        </w:rPr>
        <w:t xml:space="preserve">фискалне стратегије </w:t>
      </w:r>
      <w:r w:rsidRPr="00092ED7">
        <w:rPr>
          <w:rFonts w:cs="Times New Roman"/>
          <w:szCs w:val="24"/>
          <w:lang w:val="sr-Cyrl-CS"/>
        </w:rPr>
        <w:t>новим подацима и детаљнијим извештавањем. Додатно, константно се ради на унапређењу капацитета унутар Сектора</w:t>
      </w:r>
      <w:r w:rsidR="00C30860" w:rsidRPr="00092ED7">
        <w:rPr>
          <w:rFonts w:cs="Times New Roman"/>
          <w:szCs w:val="24"/>
          <w:lang w:val="sr-Cyrl-CS"/>
        </w:rPr>
        <w:t xml:space="preserve"> за праћење фискалних ризика</w:t>
      </w:r>
      <w:r w:rsidRPr="00092ED7">
        <w:rPr>
          <w:rFonts w:cs="Times New Roman"/>
          <w:szCs w:val="24"/>
          <w:lang w:val="sr-Cyrl-CS"/>
        </w:rPr>
        <w:t xml:space="preserve">, тако да су запослени током 2022. похађали више значајних обука: анализа финансијских извештаја, унапређење вештина за рад у екселу и слично. </w:t>
      </w:r>
    </w:p>
    <w:p w14:paraId="2E38D91C" w14:textId="77777777" w:rsidR="00F13B06" w:rsidRPr="00092ED7" w:rsidRDefault="00F13B06" w:rsidP="00F13B06">
      <w:pPr>
        <w:spacing w:after="60"/>
        <w:rPr>
          <w:rFonts w:cs="Times New Roman"/>
          <w:szCs w:val="24"/>
          <w:lang w:val="sr-Cyrl-CS"/>
        </w:rPr>
      </w:pPr>
      <w:r w:rsidRPr="00092ED7">
        <w:rPr>
          <w:rFonts w:cs="Times New Roman"/>
          <w:szCs w:val="24"/>
          <w:lang w:val="sr-Cyrl-CS"/>
        </w:rPr>
        <w:t>Глобална енергетска криза, у 2022. je још више нагласила потребу за адекватним праћењем пословања јавних предузећа</w:t>
      </w:r>
      <w:r w:rsidRPr="00092ED7">
        <w:rPr>
          <w:rStyle w:val="FootnoteReference"/>
          <w:rFonts w:eastAsia="MS PGothic" w:cs="Times New Roman"/>
          <w:bCs/>
          <w:i/>
          <w:iCs/>
          <w:szCs w:val="24"/>
          <w:lang w:val="sr-Cyrl-CS" w:eastAsia="ja-JP"/>
        </w:rPr>
        <w:footnoteReference w:id="2"/>
      </w:r>
      <w:r w:rsidRPr="00092ED7">
        <w:rPr>
          <w:rFonts w:cs="Times New Roman"/>
          <w:szCs w:val="24"/>
          <w:lang w:val="sr-Cyrl-CS"/>
        </w:rPr>
        <w:t xml:space="preserve"> у области енергетике, у циљу смањења повезаних фискалних ризика.</w:t>
      </w:r>
    </w:p>
    <w:p w14:paraId="1DA25285"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Спровести временски ограничен акциони план за примену нове стратегије у погледу власништва и управљања предузећем у државном власништву према временском оквиру за ЕРП 2022 ради бољег управљања државним предузећима и смањења повезаних фискалних ризика.</w:t>
      </w:r>
    </w:p>
    <w:p w14:paraId="77447E72" w14:textId="5DD1091F" w:rsidR="00F13B06" w:rsidRPr="00092ED7" w:rsidRDefault="00F13B06" w:rsidP="00F13B06">
      <w:pPr>
        <w:spacing w:after="60"/>
        <w:rPr>
          <w:rFonts w:cs="Times New Roman"/>
          <w:bCs/>
          <w:iCs/>
          <w:szCs w:val="24"/>
          <w:lang w:val="sr-Cyrl-CS"/>
        </w:rPr>
      </w:pPr>
      <w:r w:rsidRPr="00092ED7">
        <w:rPr>
          <w:rFonts w:cs="Times New Roman"/>
          <w:bCs/>
          <w:iCs/>
          <w:szCs w:val="24"/>
          <w:lang w:val="sr-Cyrl-CS"/>
        </w:rPr>
        <w:t xml:space="preserve">Након успостављања базе података предузећа у власништву Републике Србије и доношења интерног акта о основама за утврђивање механизама и критеријума за преиспитивање и одобравање кључних одлука друштвених предузећа, Министарство привреде је покренуло иницијативу за формирање радне групе за анализу постојећег правног оквира, коју чине представници министарстава релевантних за предузећа у државном власништву. </w:t>
      </w:r>
      <w:r w:rsidR="00C30860" w:rsidRPr="00092ED7">
        <w:rPr>
          <w:rFonts w:cs="Times New Roman"/>
          <w:bCs/>
          <w:iCs/>
          <w:szCs w:val="24"/>
          <w:lang w:val="sr-Cyrl-CS"/>
        </w:rPr>
        <w:t>Нацрт закона</w:t>
      </w:r>
      <w:r w:rsidRPr="00092ED7">
        <w:rPr>
          <w:rFonts w:cs="Times New Roman"/>
          <w:bCs/>
          <w:iCs/>
          <w:szCs w:val="24"/>
          <w:lang w:val="sr-Cyrl-CS"/>
        </w:rPr>
        <w:t xml:space="preserve"> о управљању привредним друштвима која су у власништву Републике Србије је припремљен. Јавна расправа је завршена у другој половини децембра 2022. године.</w:t>
      </w:r>
    </w:p>
    <w:p w14:paraId="19B3DC38"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3. Пажљиво проценити и анализирати кретање цена, додатно пооштрити монетарну политику, ако је потребно, како би се очувала стабилност цена у средњем року. Одржати транспарентно и поуздано извештавање о квалитету активе и одговарајућих резервисања.</w:t>
      </w:r>
    </w:p>
    <w:p w14:paraId="24140D1D" w14:textId="3757DE1A"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У условима јачања инфлаторних притисака на глобалном нивоу и у циљу ограничавања секундарних ефеката раста цена на инфлациона очекивања, </w:t>
      </w:r>
      <w:r w:rsidR="00C30860" w:rsidRPr="00092ED7">
        <w:rPr>
          <w:rFonts w:eastAsia="MS PGothic" w:cs="Times New Roman"/>
          <w:bCs/>
          <w:iCs/>
          <w:szCs w:val="24"/>
          <w:lang w:val="sr-Cyrl-CS" w:eastAsia="ja-JP"/>
        </w:rPr>
        <w:t xml:space="preserve">Народна банка Србије </w:t>
      </w:r>
      <w:r w:rsidRPr="00092ED7">
        <w:rPr>
          <w:rFonts w:eastAsia="MS PGothic" w:cs="Times New Roman"/>
          <w:bCs/>
          <w:iCs/>
          <w:szCs w:val="24"/>
          <w:lang w:val="sr-Cyrl-CS" w:eastAsia="ja-JP"/>
        </w:rPr>
        <w:t xml:space="preserve">је наставила да додатно пооштрава монетарну политику повећањем референтне стопе од априла до децембра 2022. године за укупно 400 </w:t>
      </w:r>
      <w:r w:rsidR="00C30860" w:rsidRPr="00092ED7">
        <w:rPr>
          <w:rFonts w:eastAsia="MS PGothic" w:cs="Times New Roman"/>
          <w:bCs/>
          <w:iCs/>
          <w:szCs w:val="24"/>
          <w:lang w:val="sr-Cyrl-CS" w:eastAsia="ja-JP"/>
        </w:rPr>
        <w:t>базних поена (у даљем тексту</w:t>
      </w:r>
      <w:r w:rsidR="00D67271" w:rsidRPr="00092ED7">
        <w:rPr>
          <w:rFonts w:eastAsia="MS PGothic" w:cs="Times New Roman"/>
          <w:bCs/>
          <w:iCs/>
          <w:szCs w:val="24"/>
          <w:lang w:val="sr-Cyrl-CS" w:eastAsia="ja-JP"/>
        </w:rPr>
        <w:t>:</w:t>
      </w:r>
      <w:r w:rsidR="00C30860"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б.п.</w:t>
      </w:r>
      <w:r w:rsidR="00C30860" w:rsidRPr="00092ED7">
        <w:rPr>
          <w:rFonts w:eastAsia="MS PGothic" w:cs="Times New Roman"/>
          <w:bCs/>
          <w:iCs/>
          <w:szCs w:val="24"/>
          <w:lang w:val="sr-Cyrl-CS" w:eastAsia="ja-JP"/>
        </w:rPr>
        <w:t>)</w:t>
      </w:r>
      <w:r w:rsidRPr="00092ED7">
        <w:rPr>
          <w:rFonts w:eastAsia="MS PGothic" w:cs="Times New Roman"/>
          <w:bCs/>
          <w:iCs/>
          <w:szCs w:val="24"/>
          <w:lang w:val="sr-Cyrl-CS" w:eastAsia="ja-JP"/>
        </w:rPr>
        <w:t>, на 5,0%. Повећане су и каматне стопе на депозитне и кредитне олакшице, које су тренутно на нивоу од 4,0% и 6,0%, респективно.</w:t>
      </w:r>
    </w:p>
    <w:p w14:paraId="3047D0ED" w14:textId="0C20552C"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Регулаторне и супервизорске активности, подржане посвећеношћу банкарског сектора да благовремено решава сва питања квалитета активе, резултирале су очувањем и јачањем стабилности финансијског система и даљим смањењем учешћа проблематичних кредита на 3,03% (у новембру 2022. године), што је историјски најнижи ниво овог индикатора.</w:t>
      </w:r>
    </w:p>
    <w:p w14:paraId="4E26E133" w14:textId="4F70401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Даље унапредити решавање питања ненаплативних кредита, укључујући и олакшавање вансудског поравнања, и наставити са обезбеђивањем додатних података посебно за сектор не</w:t>
      </w:r>
      <w:r w:rsidR="00A901AA" w:rsidRPr="00092ED7">
        <w:rPr>
          <w:rFonts w:eastAsia="MS PGothic" w:cs="Times New Roman"/>
          <w:bCs/>
          <w:i/>
          <w:iCs/>
          <w:szCs w:val="24"/>
          <w:lang w:val="sr-Cyrl-CS" w:eastAsia="ja-JP"/>
        </w:rPr>
        <w:t>покретности</w:t>
      </w:r>
      <w:r w:rsidRPr="00092ED7">
        <w:rPr>
          <w:rFonts w:eastAsia="MS PGothic" w:cs="Times New Roman"/>
          <w:bCs/>
          <w:i/>
          <w:iCs/>
          <w:szCs w:val="24"/>
          <w:lang w:val="sr-Cyrl-CS" w:eastAsia="ja-JP"/>
        </w:rPr>
        <w:t>.</w:t>
      </w:r>
    </w:p>
    <w:p w14:paraId="449A37D8" w14:textId="605C3F59"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Имајући у виду успостављени оквир и конкретне резултате, </w:t>
      </w:r>
      <w:r w:rsidR="00C30860" w:rsidRPr="00092ED7">
        <w:rPr>
          <w:rFonts w:eastAsia="MS PGothic" w:cs="Times New Roman"/>
          <w:bCs/>
          <w:iCs/>
          <w:szCs w:val="24"/>
          <w:lang w:val="sr-Cyrl-CS" w:eastAsia="ja-JP"/>
        </w:rPr>
        <w:t xml:space="preserve">Народна банка Србије </w:t>
      </w:r>
      <w:r w:rsidRPr="00092ED7">
        <w:rPr>
          <w:rFonts w:eastAsia="MS PGothic" w:cs="Times New Roman"/>
          <w:bCs/>
          <w:iCs/>
          <w:szCs w:val="24"/>
          <w:lang w:val="sr-Cyrl-CS" w:eastAsia="ja-JP"/>
        </w:rPr>
        <w:t>наставља своје активности кроз процесе супервизије и континуирано праћење стања у банкарском сектору.</w:t>
      </w:r>
    </w:p>
    <w:p w14:paraId="6B5D3CE5" w14:textId="20579AA8"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Настоји се ојачати база података о не</w:t>
      </w:r>
      <w:r w:rsidR="00A901AA" w:rsidRPr="00092ED7">
        <w:rPr>
          <w:rFonts w:eastAsia="MS PGothic" w:cs="Times New Roman"/>
          <w:bCs/>
          <w:iCs/>
          <w:szCs w:val="24"/>
          <w:lang w:val="sr-Cyrl-CS" w:eastAsia="ja-JP"/>
        </w:rPr>
        <w:t>покретностима</w:t>
      </w:r>
      <w:r w:rsidRPr="00092ED7">
        <w:rPr>
          <w:rFonts w:eastAsia="MS PGothic" w:cs="Times New Roman"/>
          <w:bCs/>
          <w:iCs/>
          <w:szCs w:val="24"/>
          <w:lang w:val="sr-Cyrl-CS" w:eastAsia="ja-JP"/>
        </w:rPr>
        <w:t xml:space="preserve"> </w:t>
      </w:r>
      <w:r w:rsidR="00C30860" w:rsidRPr="00092ED7">
        <w:rPr>
          <w:rFonts w:eastAsia="MS PGothic" w:cs="Times New Roman"/>
          <w:bCs/>
          <w:iCs/>
          <w:szCs w:val="24"/>
          <w:lang w:val="sr-Cyrl-CS" w:eastAsia="ja-JP"/>
        </w:rPr>
        <w:t xml:space="preserve">Народне банке Србије </w:t>
      </w:r>
      <w:r w:rsidRPr="00092ED7">
        <w:rPr>
          <w:rFonts w:eastAsia="MS PGothic" w:cs="Times New Roman"/>
          <w:bCs/>
          <w:iCs/>
          <w:szCs w:val="24"/>
          <w:lang w:val="sr-Cyrl-CS" w:eastAsia="ja-JP"/>
        </w:rPr>
        <w:t>о проценама непокретности под хипотеком у циљу омогућавања свеобухватног прикупљања и анализе података.</w:t>
      </w:r>
    </w:p>
    <w:p w14:paraId="72F61ED1" w14:textId="6EE6ADDA"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Законом о </w:t>
      </w:r>
      <w:r w:rsidR="00D67271" w:rsidRPr="00092ED7">
        <w:rPr>
          <w:rFonts w:eastAsia="MS PGothic" w:cs="Times New Roman"/>
          <w:bCs/>
          <w:iCs/>
          <w:szCs w:val="24"/>
          <w:lang w:val="sr-Cyrl-CS" w:eastAsia="ja-JP"/>
        </w:rPr>
        <w:t>c</w:t>
      </w:r>
      <w:r w:rsidRPr="00092ED7">
        <w:rPr>
          <w:rFonts w:eastAsia="MS PGothic" w:cs="Times New Roman"/>
          <w:bCs/>
          <w:iCs/>
          <w:szCs w:val="24"/>
          <w:lang w:val="sr-Cyrl-CS" w:eastAsia="ja-JP"/>
        </w:rPr>
        <w:t>поразумном финансијском реструктурирању („Сл</w:t>
      </w:r>
      <w:r w:rsidR="00A62E58" w:rsidRPr="00092ED7">
        <w:rPr>
          <w:rFonts w:eastAsia="MS PGothic" w:cs="Times New Roman"/>
          <w:bCs/>
          <w:iCs/>
          <w:szCs w:val="24"/>
          <w:lang w:val="sr-Cyrl-CS" w:eastAsia="ja-JP"/>
        </w:rPr>
        <w:t>ужбени</w:t>
      </w:r>
      <w:r w:rsidRPr="00092ED7">
        <w:rPr>
          <w:rFonts w:eastAsia="MS PGothic" w:cs="Times New Roman"/>
          <w:bCs/>
          <w:iCs/>
          <w:szCs w:val="24"/>
          <w:lang w:val="sr-Cyrl-CS" w:eastAsia="ja-JP"/>
        </w:rPr>
        <w:t xml:space="preserve"> гласник РС</w:t>
      </w:r>
      <w:r w:rsidR="00E67B17" w:rsidRPr="00092ED7">
        <w:rPr>
          <w:rFonts w:cs="Times New Roman"/>
          <w:szCs w:val="24"/>
          <w:lang w:val="sr-Cyrl-CS"/>
        </w:rPr>
        <w:t>”</w:t>
      </w:r>
      <w:r w:rsidRPr="00092ED7">
        <w:rPr>
          <w:rFonts w:eastAsia="MS PGothic" w:cs="Times New Roman"/>
          <w:bCs/>
          <w:iCs/>
          <w:szCs w:val="24"/>
          <w:lang w:val="sr-Cyrl-CS" w:eastAsia="ja-JP"/>
        </w:rPr>
        <w:t>, бр</w:t>
      </w:r>
      <w:r w:rsidR="009D647C" w:rsidRPr="00092ED7">
        <w:rPr>
          <w:rFonts w:eastAsia="MS PGothic" w:cs="Times New Roman"/>
          <w:bCs/>
          <w:iCs/>
          <w:szCs w:val="24"/>
          <w:lang w:val="sr-Cyrl-CS" w:eastAsia="ja-JP"/>
        </w:rPr>
        <w:t>ој</w:t>
      </w:r>
      <w:r w:rsidRPr="00092ED7">
        <w:rPr>
          <w:rFonts w:eastAsia="MS PGothic" w:cs="Times New Roman"/>
          <w:bCs/>
          <w:iCs/>
          <w:szCs w:val="24"/>
          <w:lang w:val="sr-Cyrl-CS" w:eastAsia="ja-JP"/>
        </w:rPr>
        <w:t xml:space="preserve"> 89/15) Привредна комора Србије је дефинисана као институционални посредник и једина институција надлежна за спровођење овог закона. С обзиром на то да су изграђени капацитети и обезбеђена једноставна процедура, наставиће се континуирана промоција и настојање да се вансудско поравнање прихвати у привреди као начин решавања спорних односа, како би се постигли жељени резултати. Иако је Законом о </w:t>
      </w:r>
      <w:r w:rsidR="0053221B" w:rsidRPr="00092ED7">
        <w:rPr>
          <w:rFonts w:eastAsia="MS PGothic" w:cs="Times New Roman"/>
          <w:bCs/>
          <w:iCs/>
          <w:szCs w:val="24"/>
          <w:lang w:val="sr-Cyrl-CS" w:eastAsia="ja-JP"/>
        </w:rPr>
        <w:t>c</w:t>
      </w:r>
      <w:r w:rsidRPr="00092ED7">
        <w:rPr>
          <w:rFonts w:eastAsia="MS PGothic" w:cs="Times New Roman"/>
          <w:bCs/>
          <w:iCs/>
          <w:szCs w:val="24"/>
          <w:lang w:val="sr-Cyrl-CS" w:eastAsia="ja-JP"/>
        </w:rPr>
        <w:t>поразумном финансијском реструктурирању омогућено да овај поступак користе и предузетници, за сада ниједан предузетник није изразио интересовање, при чему је у међувремену дошло до смањења учешћа проблематичних кредита сектора привреде на 2,05%. За унапређење примене овог поступка у привреди, као и медијације у привредним споровима, неопходни су додатни подстицаји, јака медијска кампања и посвећеност.</w:t>
      </w:r>
    </w:p>
    <w:p w14:paraId="67091B0E" w14:textId="77777777"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Тренутно је у току решавање питања преосталих проблематичних пласмана банака у стечају и пласмана у име и за рачун Републике Србије, којима управља Агенција за осигурање депозита.</w:t>
      </w:r>
    </w:p>
    <w:p w14:paraId="635FCDE9"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Наставити напоре на промоцији употребе националне валуте, укључујући унапређење дугорочног финансирања у националној валути, даље подстицање девизног хеџинга и подизање свести о ризицима везаним за девизно кредитирање.</w:t>
      </w:r>
    </w:p>
    <w:p w14:paraId="6D6B5E13" w14:textId="0FB83FBD"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Према Одлуци о адекватности капитала бан</w:t>
      </w:r>
      <w:r w:rsidR="00EA54D9" w:rsidRPr="00092ED7">
        <w:rPr>
          <w:rFonts w:eastAsia="MS PGothic" w:cs="Times New Roman"/>
          <w:bCs/>
          <w:iCs/>
          <w:szCs w:val="24"/>
          <w:lang w:val="sr-Cyrl-CS" w:eastAsia="ja-JP"/>
        </w:rPr>
        <w:t>ке</w:t>
      </w:r>
      <w:r w:rsidR="00C30860" w:rsidRPr="00092ED7">
        <w:rPr>
          <w:rFonts w:eastAsia="MS PGothic" w:cs="Times New Roman"/>
          <w:bCs/>
          <w:iCs/>
          <w:szCs w:val="24"/>
          <w:lang w:val="sr-Cyrl-CS" w:eastAsia="ja-JP"/>
        </w:rPr>
        <w:t xml:space="preserve"> (</w:t>
      </w:r>
      <w:r w:rsidR="00C30860" w:rsidRPr="00092ED7">
        <w:rPr>
          <w:lang w:val="sr-Cyrl-CS"/>
        </w:rPr>
        <w:t>„Службени гласник РС</w:t>
      </w:r>
      <w:r w:rsidR="00C30860" w:rsidRPr="00092ED7">
        <w:rPr>
          <w:rFonts w:cs="Times New Roman"/>
          <w:szCs w:val="24"/>
          <w:lang w:val="sr-Cyrl-CS"/>
        </w:rPr>
        <w:t>”</w:t>
      </w:r>
      <w:r w:rsidR="00C30860" w:rsidRPr="00092ED7">
        <w:rPr>
          <w:lang w:val="sr-Cyrl-CS"/>
        </w:rPr>
        <w:t>, бр. 103/16, 103/18, 88/19</w:t>
      </w:r>
      <w:r w:rsidR="00EA54D9" w:rsidRPr="00092ED7">
        <w:rPr>
          <w:lang w:val="sr-Cyrl-CS"/>
        </w:rPr>
        <w:t>,</w:t>
      </w:r>
      <w:r w:rsidR="00C30860" w:rsidRPr="00092ED7">
        <w:rPr>
          <w:lang w:val="sr-Cyrl-CS"/>
        </w:rPr>
        <w:t xml:space="preserve"> 67/20</w:t>
      </w:r>
      <w:r w:rsidR="00EA54D9" w:rsidRPr="00092ED7">
        <w:rPr>
          <w:lang w:val="sr-Cyrl-CS"/>
        </w:rPr>
        <w:t>, 98/20, 137/20, 59/21, 67/22 и 137/22</w:t>
      </w:r>
      <w:r w:rsidR="00C30860" w:rsidRPr="00092ED7">
        <w:rPr>
          <w:lang w:val="sr-Cyrl-CS"/>
        </w:rPr>
        <w:t>)</w:t>
      </w:r>
      <w:r w:rsidRPr="00092ED7">
        <w:rPr>
          <w:rFonts w:eastAsia="MS PGothic" w:cs="Times New Roman"/>
          <w:bCs/>
          <w:iCs/>
          <w:szCs w:val="24"/>
          <w:lang w:val="sr-Cyrl-CS" w:eastAsia="ja-JP"/>
        </w:rPr>
        <w:t>, заштитни слој капитала за структурни системски ризик је у последњем испитивању у марту 2022. године задржан на нивоу од 3% укупних девизних и девизно индексираних пласмана банке одобрених привреди и становништву у Републици Србији. Све банке чије учешће девизних и девизно индексираних пласмана одобрених привреди и становништву у Републици Србији прелази 10%</w:t>
      </w:r>
      <w:r w:rsidR="002208A0" w:rsidRPr="00092ED7">
        <w:rPr>
          <w:rFonts w:eastAsia="MS PGothic" w:cs="Times New Roman"/>
          <w:bCs/>
          <w:iCs/>
          <w:szCs w:val="24"/>
          <w:lang w:val="sr-Cyrl-CS" w:eastAsia="ja-JP"/>
        </w:rPr>
        <w:t>,</w:t>
      </w:r>
      <w:r w:rsidRPr="00092ED7">
        <w:rPr>
          <w:rFonts w:eastAsia="MS PGothic" w:cs="Times New Roman"/>
          <w:bCs/>
          <w:iCs/>
          <w:szCs w:val="24"/>
          <w:lang w:val="sr-Cyrl-CS" w:eastAsia="ja-JP"/>
        </w:rPr>
        <w:t xml:space="preserve"> дужне су да одржавају овај заштитни слој капитала за структурни системски ризик.</w:t>
      </w:r>
    </w:p>
    <w:p w14:paraId="4B04F776" w14:textId="796B45FB" w:rsidR="00F13B06" w:rsidRPr="00092ED7" w:rsidRDefault="00F13B06" w:rsidP="00F13B06">
      <w:pPr>
        <w:spacing w:after="60"/>
        <w:rPr>
          <w:rFonts w:cs="Times New Roman"/>
          <w:bCs/>
          <w:iCs/>
          <w:szCs w:val="24"/>
          <w:lang w:val="sr-Cyrl-CS"/>
        </w:rPr>
      </w:pPr>
      <w:r w:rsidRPr="00092ED7">
        <w:rPr>
          <w:rFonts w:eastAsia="MS PGothic" w:cs="Times New Roman"/>
          <w:bCs/>
          <w:iCs/>
          <w:szCs w:val="24"/>
          <w:lang w:val="sr-Cyrl-CS" w:eastAsia="ja-JP"/>
        </w:rPr>
        <w:t xml:space="preserve">С обзиром да су се додатне операције које је </w:t>
      </w:r>
      <w:r w:rsidR="00C30860" w:rsidRPr="00092ED7">
        <w:rPr>
          <w:rFonts w:eastAsia="MS PGothic" w:cs="Times New Roman"/>
          <w:bCs/>
          <w:iCs/>
          <w:szCs w:val="24"/>
          <w:lang w:val="sr-Cyrl-CS" w:eastAsia="ja-JP"/>
        </w:rPr>
        <w:t xml:space="preserve">Народна банка Србије </w:t>
      </w:r>
      <w:r w:rsidRPr="00092ED7">
        <w:rPr>
          <w:rFonts w:eastAsia="MS PGothic" w:cs="Times New Roman"/>
          <w:bCs/>
          <w:iCs/>
          <w:szCs w:val="24"/>
          <w:lang w:val="sr-Cyrl-CS" w:eastAsia="ja-JP"/>
        </w:rPr>
        <w:t xml:space="preserve">увела почетком 2022. године – билатералне девизне своп трансакције, показале као ефикаснији инструмент за пружање помоћи банкама у управљању динарском и девизном ликвидношћу, пре свега услед веће флексибилности у погледу рочности трансакција у поређењу са своп аукцијама, </w:t>
      </w:r>
      <w:r w:rsidR="00C30860" w:rsidRPr="00092ED7">
        <w:rPr>
          <w:rFonts w:eastAsia="MS PGothic" w:cs="Times New Roman"/>
          <w:bCs/>
          <w:iCs/>
          <w:szCs w:val="24"/>
          <w:lang w:val="sr-Cyrl-CS" w:eastAsia="ja-JP"/>
        </w:rPr>
        <w:t xml:space="preserve">Народна банка Србије </w:t>
      </w:r>
      <w:r w:rsidRPr="00092ED7">
        <w:rPr>
          <w:rFonts w:eastAsia="MS PGothic" w:cs="Times New Roman"/>
          <w:bCs/>
          <w:iCs/>
          <w:szCs w:val="24"/>
          <w:lang w:val="sr-Cyrl-CS" w:eastAsia="ja-JP"/>
        </w:rPr>
        <w:t xml:space="preserve">је од 1. aвгуста 2022. године престала са организовањем редовних двонедељних и тромесечних девизних своп аукција (не искључујући могућност поновног увођења у случају да се за тим укаже потреба). Такође, билатералне своп трансакције у којима </w:t>
      </w:r>
      <w:r w:rsidR="002208A0" w:rsidRPr="00092ED7">
        <w:rPr>
          <w:rFonts w:eastAsia="MS PGothic" w:cs="Times New Roman"/>
          <w:bCs/>
          <w:iCs/>
          <w:szCs w:val="24"/>
          <w:lang w:val="sr-Cyrl-CS" w:eastAsia="ja-JP"/>
        </w:rPr>
        <w:t xml:space="preserve">Народна банка Србије </w:t>
      </w:r>
      <w:r w:rsidRPr="00092ED7">
        <w:rPr>
          <w:rFonts w:eastAsia="MS PGothic" w:cs="Times New Roman"/>
          <w:bCs/>
          <w:iCs/>
          <w:szCs w:val="24"/>
          <w:lang w:val="sr-Cyrl-CS" w:eastAsia="ja-JP"/>
        </w:rPr>
        <w:t>посредује између банака</w:t>
      </w:r>
      <w:r w:rsidR="002208A0" w:rsidRPr="00092ED7">
        <w:rPr>
          <w:rFonts w:eastAsia="MS PGothic" w:cs="Times New Roman"/>
          <w:bCs/>
          <w:iCs/>
          <w:szCs w:val="24"/>
          <w:lang w:val="sr-Cyrl-CS" w:eastAsia="ja-JP"/>
        </w:rPr>
        <w:t>,</w:t>
      </w:r>
      <w:r w:rsidRPr="00092ED7">
        <w:rPr>
          <w:rFonts w:eastAsia="MS PGothic" w:cs="Times New Roman"/>
          <w:bCs/>
          <w:iCs/>
          <w:szCs w:val="24"/>
          <w:lang w:val="sr-Cyrl-CS" w:eastAsia="ja-JP"/>
        </w:rPr>
        <w:t xml:space="preserve"> ефикасније </w:t>
      </w:r>
      <w:r w:rsidR="002208A0" w:rsidRPr="00092ED7">
        <w:rPr>
          <w:rFonts w:eastAsia="MS PGothic" w:cs="Times New Roman"/>
          <w:bCs/>
          <w:iCs/>
          <w:szCs w:val="24"/>
          <w:lang w:val="sr-Cyrl-CS" w:eastAsia="ja-JP"/>
        </w:rPr>
        <w:t xml:space="preserve">су </w:t>
      </w:r>
      <w:r w:rsidRPr="00092ED7">
        <w:rPr>
          <w:rFonts w:eastAsia="MS PGothic" w:cs="Times New Roman"/>
          <w:bCs/>
          <w:iCs/>
          <w:szCs w:val="24"/>
          <w:lang w:val="sr-Cyrl-CS" w:eastAsia="ja-JP"/>
        </w:rPr>
        <w:t>у односу на своп аукције у превазилажењу проблема недовољних или непостојећих међубанкарских лимита за трговање. Већа флексибилност билатералних своп трансакција постала је нарочито наглашена у условима појачаних геополитичких тензија, узрокованих кризом у вези са Украјином.</w:t>
      </w:r>
    </w:p>
    <w:p w14:paraId="18964DC0"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4. Даље побољшати транспарентност у усвајању и спровођењу закона, нарочито обезбеђивањем правовремених консултација предузећа и социјалних партнера о новом законодавству које утиче на њихово пословање.</w:t>
      </w:r>
    </w:p>
    <w:p w14:paraId="59317718" w14:textId="2A71E83D" w:rsidR="00F13B06" w:rsidRPr="00092ED7" w:rsidRDefault="00F13B06" w:rsidP="00F13B06">
      <w:pPr>
        <w:spacing w:after="60"/>
        <w:rPr>
          <w:rFonts w:cs="Times New Roman"/>
          <w:szCs w:val="24"/>
          <w:lang w:val="sr-Cyrl-CS"/>
        </w:rPr>
      </w:pPr>
      <w:r w:rsidRPr="00092ED7">
        <w:rPr>
          <w:rFonts w:cs="Times New Roman"/>
          <w:szCs w:val="24"/>
          <w:lang w:val="sr-Cyrl-CS"/>
        </w:rPr>
        <w:t>Иако усвојени прописи пружају чврст оквир за укључивање јавности у процес израде закона, током 2021. године за 44,4% (40/90) усвојених закона спроведен је процес консултација</w:t>
      </w:r>
      <w:r w:rsidR="001C075D" w:rsidRPr="00092ED7">
        <w:rPr>
          <w:rFonts w:cs="Times New Roman"/>
          <w:szCs w:val="24"/>
          <w:lang w:val="sr-Cyrl-CS"/>
        </w:rPr>
        <w:t xml:space="preserve"> на начин предвиђен регулaторним оквиром</w:t>
      </w:r>
      <w:r w:rsidRPr="00092ED7">
        <w:rPr>
          <w:rFonts w:cs="Times New Roman"/>
          <w:szCs w:val="24"/>
          <w:lang w:val="sr-Cyrl-CS"/>
        </w:rPr>
        <w:t xml:space="preserve">, што је за 8,4 процентних поена више него у 2020. години (према </w:t>
      </w:r>
      <w:r w:rsidR="00C30860" w:rsidRPr="00092ED7">
        <w:rPr>
          <w:rFonts w:cs="Times New Roman"/>
          <w:szCs w:val="24"/>
          <w:lang w:val="sr-Cyrl-CS"/>
        </w:rPr>
        <w:t>евиденцији Републичког секретаријата за јавне политике</w:t>
      </w:r>
      <w:r w:rsidR="00D02CFA" w:rsidRPr="00092ED7">
        <w:rPr>
          <w:rFonts w:cs="Times New Roman"/>
          <w:szCs w:val="24"/>
          <w:lang w:val="sr-Cyrl-CS"/>
        </w:rPr>
        <w:t xml:space="preserve"> </w:t>
      </w:r>
      <w:r w:rsidR="002208A0" w:rsidRPr="00092ED7">
        <w:rPr>
          <w:rFonts w:cs="Times New Roman"/>
          <w:szCs w:val="24"/>
          <w:lang w:val="sr-Cyrl-CS"/>
        </w:rPr>
        <w:t>(</w:t>
      </w:r>
      <w:r w:rsidR="00C30860" w:rsidRPr="00092ED7">
        <w:rPr>
          <w:rFonts w:cs="Times New Roman"/>
          <w:szCs w:val="24"/>
          <w:lang w:val="sr-Cyrl-CS"/>
        </w:rPr>
        <w:t>у даљем тексту</w:t>
      </w:r>
      <w:r w:rsidR="002208A0" w:rsidRPr="00092ED7">
        <w:rPr>
          <w:rFonts w:cs="Times New Roman"/>
          <w:szCs w:val="24"/>
          <w:lang w:val="sr-Cyrl-CS"/>
        </w:rPr>
        <w:t>:</w:t>
      </w:r>
      <w:r w:rsidR="00C30860" w:rsidRPr="00092ED7">
        <w:rPr>
          <w:rFonts w:cs="Times New Roman"/>
          <w:szCs w:val="24"/>
          <w:lang w:val="sr-Cyrl-CS"/>
        </w:rPr>
        <w:t xml:space="preserve"> РСЈП</w:t>
      </w:r>
      <w:r w:rsidRPr="00092ED7">
        <w:rPr>
          <w:rFonts w:cs="Times New Roman"/>
          <w:szCs w:val="24"/>
          <w:lang w:val="sr-Cyrl-CS"/>
        </w:rPr>
        <w:t>)</w:t>
      </w:r>
      <w:r w:rsidR="002208A0" w:rsidRPr="00092ED7">
        <w:rPr>
          <w:rFonts w:cs="Times New Roman"/>
          <w:szCs w:val="24"/>
          <w:lang w:val="sr-Cyrl-CS"/>
        </w:rPr>
        <w:t>)</w:t>
      </w:r>
      <w:r w:rsidRPr="00092ED7">
        <w:rPr>
          <w:rFonts w:cs="Times New Roman"/>
          <w:szCs w:val="24"/>
          <w:lang w:val="sr-Cyrl-CS"/>
        </w:rPr>
        <w:t>. У истом посматраном периоду, током 2021. године за 21,4% (50/234) усвојених подзаконских аката спроведен је процес консултација, што је за 9,9 процентних поена више у односу на 2020. годину (према евиденцији РСЈП).</w:t>
      </w:r>
    </w:p>
    <w:p w14:paraId="59B2C456" w14:textId="56A393B7" w:rsidR="00F13B06" w:rsidRPr="00092ED7" w:rsidRDefault="00F13B06" w:rsidP="00F13B06">
      <w:pPr>
        <w:spacing w:after="60"/>
        <w:rPr>
          <w:rFonts w:cs="Times New Roman"/>
          <w:szCs w:val="24"/>
          <w:lang w:val="sr-Cyrl-CS"/>
        </w:rPr>
      </w:pPr>
      <w:r w:rsidRPr="00092ED7">
        <w:rPr>
          <w:rFonts w:cs="Times New Roman"/>
          <w:szCs w:val="24"/>
          <w:lang w:val="sr-Cyrl-CS"/>
        </w:rPr>
        <w:t>У циљу даљег унапређења транспарентности, Влада је донела Одлуку о успостављању Портала „еКонсултације</w:t>
      </w:r>
      <w:r w:rsidR="00AD20C6" w:rsidRPr="00092ED7">
        <w:rPr>
          <w:rFonts w:cs="Times New Roman"/>
          <w:szCs w:val="24"/>
          <w:lang w:val="sr-Cyrl-CS"/>
        </w:rPr>
        <w:t>”</w:t>
      </w:r>
      <w:r w:rsidR="00356AF6" w:rsidRPr="00092ED7">
        <w:rPr>
          <w:rFonts w:cs="Times New Roman"/>
          <w:szCs w:val="24"/>
          <w:lang w:val="sr-Cyrl-CS"/>
        </w:rPr>
        <w:t xml:space="preserve"> </w:t>
      </w:r>
      <w:r w:rsidR="00C30860" w:rsidRPr="00092ED7">
        <w:rPr>
          <w:rFonts w:cs="Times New Roman"/>
          <w:szCs w:val="24"/>
          <w:lang w:val="sr-Cyrl-CS"/>
        </w:rPr>
        <w:t>(„Службени гласник РС”, број 62/21)</w:t>
      </w:r>
      <w:r w:rsidRPr="00092ED7">
        <w:rPr>
          <w:rFonts w:cs="Times New Roman"/>
          <w:szCs w:val="24"/>
          <w:lang w:val="sr-Cyrl-CS"/>
        </w:rPr>
        <w:t>, који је саставни део Портала еУправа, у циљу омогућавања јавности, да на јединствен и равноправан начин, електронским путем, учествује у припреми и доношењу докумената и прописа јавних политика. Портал „еКонсултације</w:t>
      </w:r>
      <w:r w:rsidR="00686736" w:rsidRPr="00092ED7">
        <w:rPr>
          <w:rFonts w:cs="Times New Roman"/>
          <w:szCs w:val="24"/>
          <w:lang w:val="sr-Cyrl-CS"/>
        </w:rPr>
        <w:t>”</w:t>
      </w:r>
      <w:r w:rsidRPr="00092ED7">
        <w:rPr>
          <w:rFonts w:cs="Times New Roman"/>
          <w:szCs w:val="24"/>
          <w:lang w:val="sr-Cyrl-CS"/>
        </w:rPr>
        <w:t xml:space="preserve"> оперативан је од 16. децембра 2021.</w:t>
      </w:r>
      <w:r w:rsidR="00CD0D7A" w:rsidRPr="00092ED7">
        <w:rPr>
          <w:rFonts w:cs="Times New Roman"/>
          <w:szCs w:val="24"/>
          <w:lang w:val="sr-Cyrl-CS"/>
        </w:rPr>
        <w:t xml:space="preserve"> године.</w:t>
      </w:r>
    </w:p>
    <w:p w14:paraId="3A22F14F" w14:textId="3A8CF7AB" w:rsidR="00F13B06" w:rsidRPr="00092ED7" w:rsidRDefault="00F13B06" w:rsidP="00F13B06">
      <w:pPr>
        <w:spacing w:after="60"/>
        <w:rPr>
          <w:rFonts w:cs="Times New Roman"/>
          <w:szCs w:val="24"/>
          <w:lang w:val="sr-Cyrl-CS"/>
        </w:rPr>
      </w:pPr>
      <w:r w:rsidRPr="00092ED7">
        <w:rPr>
          <w:rFonts w:cs="Times New Roman"/>
          <w:szCs w:val="24"/>
          <w:lang w:val="sr-Cyrl-CS"/>
        </w:rPr>
        <w:t>Од пуштања у рад до краја октобра 2022. године на Порталу „еКонсултације</w:t>
      </w:r>
      <w:r w:rsidR="0052060E" w:rsidRPr="00092ED7">
        <w:rPr>
          <w:rFonts w:cs="Times New Roman"/>
          <w:szCs w:val="24"/>
          <w:lang w:val="sr-Cyrl-CS"/>
        </w:rPr>
        <w:t>”</w:t>
      </w:r>
      <w:r w:rsidRPr="00092ED7">
        <w:rPr>
          <w:rFonts w:cs="Times New Roman"/>
          <w:szCs w:val="24"/>
          <w:lang w:val="sr-Cyrl-CS"/>
        </w:rPr>
        <w:t xml:space="preserve"> спроведене су или се спроводе консултације и јавне расправе о 41 пропису и документу јавних политика, од којих је 14 процедура успешно окончано.</w:t>
      </w:r>
    </w:p>
    <w:p w14:paraId="699023E9" w14:textId="4D063B54" w:rsidR="00F13B06" w:rsidRPr="00092ED7" w:rsidRDefault="00F13B06" w:rsidP="00F13B06">
      <w:pPr>
        <w:spacing w:after="60"/>
        <w:rPr>
          <w:rFonts w:cs="Times New Roman"/>
          <w:szCs w:val="24"/>
          <w:lang w:val="sr-Cyrl-CS"/>
        </w:rPr>
      </w:pPr>
      <w:r w:rsidRPr="00092ED7">
        <w:rPr>
          <w:rFonts w:cs="Times New Roman"/>
          <w:szCs w:val="24"/>
          <w:lang w:val="sr-Cyrl-CS"/>
        </w:rPr>
        <w:t xml:space="preserve">Порталом „еКонсултације” управља </w:t>
      </w:r>
      <w:r w:rsidR="00CD0D7A" w:rsidRPr="00092ED7">
        <w:rPr>
          <w:rFonts w:cs="Times New Roman"/>
          <w:szCs w:val="24"/>
          <w:lang w:val="sr-Cyrl-CS"/>
        </w:rPr>
        <w:t>РСЈП.</w:t>
      </w:r>
      <w:r w:rsidRPr="00092ED7">
        <w:rPr>
          <w:rFonts w:cs="Times New Roman"/>
          <w:szCs w:val="24"/>
          <w:lang w:val="sr-Cyrl-CS"/>
        </w:rPr>
        <w:t xml:space="preserve"> За рад на Порталу именовани су службеници са корисничким улогама администратора, модератора и евалуатора. Број именованих модератора за 14 министарстава, </w:t>
      </w:r>
      <w:r w:rsidR="00846CA3" w:rsidRPr="00092ED7">
        <w:rPr>
          <w:rFonts w:cs="Times New Roman"/>
          <w:szCs w:val="24"/>
          <w:lang w:val="sr-Cyrl-CS"/>
        </w:rPr>
        <w:t>г</w:t>
      </w:r>
      <w:r w:rsidRPr="00092ED7">
        <w:rPr>
          <w:rFonts w:cs="Times New Roman"/>
          <w:szCs w:val="24"/>
          <w:lang w:val="sr-Cyrl-CS"/>
        </w:rPr>
        <w:t xml:space="preserve">рад Београд и Развојну агенцију Војводине је 197, док је број именованих евалуатора 24 из </w:t>
      </w:r>
      <w:r w:rsidR="00CD0D7A" w:rsidRPr="00092ED7">
        <w:rPr>
          <w:rFonts w:cs="Times New Roman"/>
          <w:szCs w:val="24"/>
          <w:lang w:val="sr-Cyrl-CS"/>
        </w:rPr>
        <w:t>РСЈП</w:t>
      </w:r>
      <w:r w:rsidRPr="00092ED7">
        <w:rPr>
          <w:rFonts w:cs="Times New Roman"/>
          <w:szCs w:val="24"/>
          <w:lang w:val="sr-Cyrl-CS"/>
        </w:rPr>
        <w:t xml:space="preserve"> и Генералног секретаријата Владе. Поред тога, именована су и два администратора из Министарства државне управе и локалне самоуправе за део Портала који се односи на „Партнерство за отворену управу”.</w:t>
      </w:r>
    </w:p>
    <w:p w14:paraId="59BE9508" w14:textId="5EDC1EE6" w:rsidR="00F13B06" w:rsidRPr="00092ED7" w:rsidRDefault="001E72AE" w:rsidP="00F13B06">
      <w:pPr>
        <w:spacing w:after="60"/>
        <w:rPr>
          <w:rFonts w:cs="Times New Roman"/>
          <w:szCs w:val="24"/>
          <w:lang w:val="sr-Cyrl-CS"/>
        </w:rPr>
      </w:pPr>
      <w:r w:rsidRPr="00092ED7">
        <w:rPr>
          <w:rFonts w:cs="Times New Roman"/>
          <w:szCs w:val="24"/>
          <w:lang w:val="sr-Cyrl-CS"/>
        </w:rPr>
        <w:t>На порталу е-Консултације је покренуто укупно 63 процеса консултација и јавних расправа. Од тога, 34 процеса је креирано за документе јавних политика, а 29 процеса за прописе. До истог датума, у процесу консултација и јавних расправа учес</w:t>
      </w:r>
      <w:r w:rsidR="00AC1B8D" w:rsidRPr="00092ED7">
        <w:rPr>
          <w:rFonts w:cs="Times New Roman"/>
          <w:szCs w:val="24"/>
          <w:lang w:val="sr-Cyrl-CS"/>
        </w:rPr>
        <w:t>твовало је укупно 183 грађана</w:t>
      </w:r>
      <w:r w:rsidR="00CD0D7A" w:rsidRPr="00092ED7">
        <w:rPr>
          <w:rFonts w:cs="Times New Roman"/>
          <w:szCs w:val="24"/>
          <w:lang w:val="sr-Cyrl-CS"/>
        </w:rPr>
        <w:t>.</w:t>
      </w:r>
    </w:p>
    <w:p w14:paraId="7F68499D" w14:textId="3D9A542B" w:rsidR="00F13B06" w:rsidRPr="00092ED7" w:rsidRDefault="00F13B06" w:rsidP="00F13B06">
      <w:pPr>
        <w:spacing w:after="60"/>
        <w:rPr>
          <w:rFonts w:eastAsia="MS PGothic" w:cs="Times New Roman"/>
          <w:bCs/>
          <w:iCs/>
          <w:szCs w:val="24"/>
          <w:lang w:val="sr-Cyrl-CS" w:eastAsia="ja-JP"/>
        </w:rPr>
      </w:pPr>
      <w:r w:rsidRPr="00092ED7">
        <w:rPr>
          <w:rFonts w:cs="Times New Roman"/>
          <w:szCs w:val="24"/>
          <w:lang w:val="sr-Cyrl-CS"/>
        </w:rPr>
        <w:t>У наредном периоду, радиће се на даљем унапређењу Портала „еКонсултације</w:t>
      </w:r>
      <w:r w:rsidR="0052060E" w:rsidRPr="00092ED7">
        <w:rPr>
          <w:rFonts w:cs="Times New Roman"/>
          <w:szCs w:val="24"/>
          <w:lang w:val="sr-Cyrl-CS"/>
        </w:rPr>
        <w:t>”</w:t>
      </w:r>
      <w:r w:rsidRPr="00092ED7">
        <w:rPr>
          <w:rFonts w:cs="Times New Roman"/>
          <w:szCs w:val="24"/>
          <w:lang w:val="sr-Cyrl-CS"/>
        </w:rPr>
        <w:t>, посебно у области евалуације и контроле квалитета консултација и јавних расправа.</w:t>
      </w:r>
    </w:p>
    <w:p w14:paraId="5EDD19F3"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Наставити са процесом како би се осигурао усклађени приступ за давање приоритета и праћење свих инвестиција и заснивање инвестиционих одлука на студијама изводљивости, анализи трошкова и користи и проценама утицаја на животну средину.</w:t>
      </w:r>
    </w:p>
    <w:p w14:paraId="63395A50" w14:textId="6EE736F0" w:rsidR="00F13B06" w:rsidRPr="00092ED7" w:rsidRDefault="00F13B06" w:rsidP="00F13B06">
      <w:pPr>
        <w:spacing w:after="60"/>
        <w:rPr>
          <w:szCs w:val="24"/>
          <w:lang w:val="sr-Cyrl-CS"/>
        </w:rPr>
      </w:pPr>
      <w:r w:rsidRPr="00092ED7">
        <w:rPr>
          <w:szCs w:val="24"/>
          <w:lang w:val="sr-Cyrl-CS"/>
        </w:rPr>
        <w:t>Влада континуирано ради у циљу примене методологије за управљање пројектима у пуном обиму. У досадашњем раду јавили су се различити изазови, нарочито у контексту спровођења предимплементационе фазе како је то прописано Уредбом о управљању капиталним пројектима („Сл</w:t>
      </w:r>
      <w:r w:rsidR="00A16173" w:rsidRPr="00092ED7">
        <w:rPr>
          <w:szCs w:val="24"/>
          <w:lang w:val="sr-Cyrl-CS"/>
        </w:rPr>
        <w:t>ужбени</w:t>
      </w:r>
      <w:r w:rsidRPr="00092ED7">
        <w:rPr>
          <w:szCs w:val="24"/>
          <w:lang w:val="sr-Cyrl-CS"/>
        </w:rPr>
        <w:t xml:space="preserve"> гласник РС</w:t>
      </w:r>
      <w:r w:rsidR="00A16173" w:rsidRPr="00092ED7">
        <w:rPr>
          <w:rFonts w:cs="Times New Roman"/>
          <w:szCs w:val="24"/>
          <w:lang w:val="sr-Cyrl-CS"/>
        </w:rPr>
        <w:t>”</w:t>
      </w:r>
      <w:r w:rsidRPr="00092ED7">
        <w:rPr>
          <w:szCs w:val="24"/>
          <w:lang w:val="sr-Cyrl-CS"/>
        </w:rPr>
        <w:t>, бр</w:t>
      </w:r>
      <w:r w:rsidR="00684876" w:rsidRPr="00092ED7">
        <w:rPr>
          <w:szCs w:val="24"/>
          <w:lang w:val="sr-Cyrl-CS"/>
        </w:rPr>
        <w:t>.</w:t>
      </w:r>
      <w:r w:rsidRPr="00092ED7">
        <w:rPr>
          <w:szCs w:val="24"/>
          <w:lang w:val="sr-Cyrl-CS"/>
        </w:rPr>
        <w:t xml:space="preserve"> 51/19</w:t>
      </w:r>
      <w:r w:rsidR="00684876" w:rsidRPr="00092ED7">
        <w:rPr>
          <w:szCs w:val="24"/>
          <w:lang w:val="sr-Cyrl-CS"/>
        </w:rPr>
        <w:t xml:space="preserve"> и 139/22</w:t>
      </w:r>
      <w:r w:rsidRPr="00092ED7">
        <w:rPr>
          <w:szCs w:val="24"/>
          <w:lang w:val="sr-Cyrl-CS"/>
        </w:rPr>
        <w:t xml:space="preserve">). Извршена је и детаљна анализа правног оквира који се односи на капиталне пројекте финансиране из ЕУ фондова и међународне развојне помоћи. </w:t>
      </w:r>
    </w:p>
    <w:p w14:paraId="2A4AA381" w14:textId="1FE18B04" w:rsidR="00F13B06" w:rsidRPr="00092ED7" w:rsidRDefault="00A8581B" w:rsidP="00B86E8D">
      <w:pPr>
        <w:shd w:val="clear" w:color="auto" w:fill="FFFFFF"/>
        <w:spacing w:after="150"/>
        <w:rPr>
          <w:rFonts w:eastAsia="Times New Roman" w:cs="Times New Roman"/>
          <w:b/>
          <w:bCs/>
          <w:color w:val="006633"/>
          <w:szCs w:val="24"/>
          <w:lang w:val="sr-Cyrl-CS"/>
        </w:rPr>
      </w:pPr>
      <w:r w:rsidRPr="00092ED7">
        <w:rPr>
          <w:bCs/>
          <w:szCs w:val="24"/>
          <w:lang w:val="sr-Cyrl-CS"/>
        </w:rPr>
        <w:t xml:space="preserve">Уредба о изменама и допунама </w:t>
      </w:r>
      <w:r w:rsidRPr="00092ED7">
        <w:rPr>
          <w:bCs/>
          <w:iCs/>
          <w:szCs w:val="24"/>
          <w:lang w:val="sr-Cyrl-CS"/>
        </w:rPr>
        <w:t>Уредбе о управљању капиталним пројектима</w:t>
      </w:r>
      <w:r w:rsidRPr="00092ED7" w:rsidDel="007A521E">
        <w:rPr>
          <w:bCs/>
          <w:szCs w:val="24"/>
          <w:lang w:val="sr-Cyrl-CS"/>
        </w:rPr>
        <w:t xml:space="preserve"> </w:t>
      </w:r>
      <w:r w:rsidR="00CD0D7A" w:rsidRPr="00092ED7">
        <w:rPr>
          <w:szCs w:val="24"/>
          <w:lang w:val="sr-Cyrl-CS"/>
        </w:rPr>
        <w:t>(</w:t>
      </w:r>
      <w:r w:rsidRPr="00092ED7">
        <w:rPr>
          <w:szCs w:val="24"/>
          <w:lang w:val="sr-Cyrl-CS"/>
        </w:rPr>
        <w:t>„Службени гласник РС</w:t>
      </w:r>
      <w:r w:rsidR="00CD0D7A" w:rsidRPr="00092ED7">
        <w:rPr>
          <w:rFonts w:cs="Times New Roman"/>
          <w:szCs w:val="24"/>
          <w:lang w:val="sr-Cyrl-CS"/>
        </w:rPr>
        <w:t>”</w:t>
      </w:r>
      <w:r w:rsidRPr="00092ED7">
        <w:rPr>
          <w:szCs w:val="24"/>
          <w:lang w:val="sr-Cyrl-CS"/>
        </w:rPr>
        <w:t>, број 139/22</w:t>
      </w:r>
      <w:r w:rsidR="00CD0D7A" w:rsidRPr="00092ED7">
        <w:rPr>
          <w:szCs w:val="24"/>
          <w:lang w:val="sr-Cyrl-CS"/>
        </w:rPr>
        <w:t>)</w:t>
      </w:r>
      <w:r w:rsidRPr="00092ED7">
        <w:rPr>
          <w:szCs w:val="24"/>
          <w:lang w:val="sr-Cyrl-CS"/>
        </w:rPr>
        <w:t xml:space="preserve">, </w:t>
      </w:r>
      <w:r w:rsidR="00F13B06" w:rsidRPr="00092ED7">
        <w:rPr>
          <w:szCs w:val="24"/>
          <w:lang w:val="sr-Cyrl-CS"/>
        </w:rPr>
        <w:t xml:space="preserve">ступила је на снагу 24. децембра 2022. године, а </w:t>
      </w:r>
      <w:r w:rsidR="00F13B06" w:rsidRPr="00092ED7">
        <w:rPr>
          <w:bCs/>
          <w:szCs w:val="24"/>
          <w:lang w:val="sr-Cyrl-CS"/>
        </w:rPr>
        <w:t>примењује</w:t>
      </w:r>
      <w:r w:rsidR="00F13B06" w:rsidRPr="00092ED7">
        <w:rPr>
          <w:szCs w:val="24"/>
          <w:lang w:val="sr-Cyrl-CS"/>
        </w:rPr>
        <w:t xml:space="preserve"> се од 1. априла 2023. године. </w:t>
      </w:r>
      <w:r w:rsidR="00F13B06" w:rsidRPr="00092ED7">
        <w:rPr>
          <w:bCs/>
          <w:szCs w:val="24"/>
          <w:lang w:val="sr-Cyrl-CS"/>
        </w:rPr>
        <w:t>Циљ доношења измена</w:t>
      </w:r>
      <w:r w:rsidR="00F13B06" w:rsidRPr="00092ED7">
        <w:rPr>
          <w:szCs w:val="24"/>
          <w:lang w:val="sr-Cyrl-CS"/>
        </w:rPr>
        <w:t xml:space="preserve"> je укључивање параметара о утицају пројекта на животну средину у критеријуме за идентификацију, процену спремности и утврђивање степена приоритета код капиталних пројеката. У Републици Србији већ постоји правни оквир који уређује област процене утицаја на животну средину, али је </w:t>
      </w:r>
      <w:r w:rsidR="00F13B06" w:rsidRPr="00092ED7">
        <w:rPr>
          <w:bCs/>
          <w:szCs w:val="24"/>
          <w:lang w:val="sr-Cyrl-CS"/>
        </w:rPr>
        <w:t>функционисао паралелно</w:t>
      </w:r>
      <w:r w:rsidR="00F13B06" w:rsidRPr="00092ED7">
        <w:rPr>
          <w:szCs w:val="24"/>
          <w:lang w:val="sr-Cyrl-CS"/>
        </w:rPr>
        <w:t xml:space="preserve"> са процесом управљања</w:t>
      </w:r>
      <w:r w:rsidR="00D02CFA" w:rsidRPr="00092ED7">
        <w:rPr>
          <w:szCs w:val="24"/>
          <w:lang w:val="sr-Cyrl-CS"/>
        </w:rPr>
        <w:t xml:space="preserve"> капиталним пројектима уређеним </w:t>
      </w:r>
      <w:r w:rsidRPr="00092ED7">
        <w:rPr>
          <w:lang w:val="sr-Cyrl-CS"/>
        </w:rPr>
        <w:t>Уредб</w:t>
      </w:r>
      <w:r w:rsidR="00B86E8D" w:rsidRPr="00092ED7">
        <w:rPr>
          <w:lang w:val="sr-Cyrl-CS"/>
        </w:rPr>
        <w:t>ом</w:t>
      </w:r>
      <w:r w:rsidRPr="00092ED7">
        <w:rPr>
          <w:lang w:val="sr-Cyrl-CS"/>
        </w:rPr>
        <w:t xml:space="preserve"> о управљању капиталним пројектима</w:t>
      </w:r>
      <w:r w:rsidR="00F13B06" w:rsidRPr="00092ED7">
        <w:rPr>
          <w:szCs w:val="24"/>
          <w:lang w:val="sr-Cyrl-CS"/>
        </w:rPr>
        <w:t xml:space="preserve">. Министарство надлежно за послове заштите животне средине </w:t>
      </w:r>
      <w:r w:rsidR="00F13B06" w:rsidRPr="00092ED7">
        <w:rPr>
          <w:bCs/>
          <w:szCs w:val="24"/>
          <w:lang w:val="sr-Cyrl-CS"/>
        </w:rPr>
        <w:t xml:space="preserve">укључује се у процес оцене и праћења капиталних пројеката </w:t>
      </w:r>
      <w:r w:rsidR="00F13B06" w:rsidRPr="00092ED7">
        <w:rPr>
          <w:szCs w:val="24"/>
          <w:lang w:val="sr-Cyrl-CS"/>
        </w:rPr>
        <w:t xml:space="preserve">у мери и на начин сразмеран правном оквиру којим је регулисана област процене утицаја на животну средину. На тај начин врши се повезивање са </w:t>
      </w:r>
      <w:r w:rsidR="00F13B06" w:rsidRPr="00092ED7">
        <w:rPr>
          <w:bCs/>
          <w:szCs w:val="24"/>
          <w:lang w:val="sr-Cyrl-CS"/>
        </w:rPr>
        <w:t xml:space="preserve">постојећим поступком </w:t>
      </w:r>
      <w:r w:rsidR="00F13B06" w:rsidRPr="00092ED7">
        <w:rPr>
          <w:szCs w:val="24"/>
          <w:lang w:val="sr-Cyrl-CS"/>
        </w:rPr>
        <w:t xml:space="preserve">који се води на основу </w:t>
      </w:r>
      <w:r w:rsidR="00F13B06" w:rsidRPr="00092ED7">
        <w:rPr>
          <w:bCs/>
          <w:szCs w:val="24"/>
          <w:lang w:val="sr-Cyrl-CS"/>
        </w:rPr>
        <w:t>закона</w:t>
      </w:r>
      <w:r w:rsidR="00F13B06" w:rsidRPr="00092ED7">
        <w:rPr>
          <w:szCs w:val="24"/>
          <w:lang w:val="sr-Cyrl-CS"/>
        </w:rPr>
        <w:t xml:space="preserve"> који</w:t>
      </w:r>
      <w:r w:rsidR="00975D87" w:rsidRPr="00092ED7">
        <w:rPr>
          <w:szCs w:val="24"/>
          <w:lang w:val="sr-Cyrl-CS"/>
        </w:rPr>
        <w:t>м се</w:t>
      </w:r>
      <w:r w:rsidR="00F13B06" w:rsidRPr="00092ED7">
        <w:rPr>
          <w:szCs w:val="24"/>
          <w:lang w:val="sr-Cyrl-CS"/>
        </w:rPr>
        <w:t xml:space="preserve"> уређује процен</w:t>
      </w:r>
      <w:r w:rsidR="00975D87" w:rsidRPr="00092ED7">
        <w:rPr>
          <w:szCs w:val="24"/>
          <w:lang w:val="sr-Cyrl-CS"/>
        </w:rPr>
        <w:t>а</w:t>
      </w:r>
      <w:r w:rsidR="00F13B06" w:rsidRPr="00092ED7">
        <w:rPr>
          <w:szCs w:val="24"/>
          <w:lang w:val="sr-Cyrl-CS"/>
        </w:rPr>
        <w:t xml:space="preserve"> животн</w:t>
      </w:r>
      <w:r w:rsidR="007B790A" w:rsidRPr="00092ED7">
        <w:rPr>
          <w:szCs w:val="24"/>
          <w:lang w:val="sr-Cyrl-CS"/>
        </w:rPr>
        <w:t>е</w:t>
      </w:r>
      <w:r w:rsidR="00F13B06" w:rsidRPr="00092ED7">
        <w:rPr>
          <w:szCs w:val="24"/>
          <w:lang w:val="sr-Cyrl-CS"/>
        </w:rPr>
        <w:t xml:space="preserve"> средин</w:t>
      </w:r>
      <w:r w:rsidR="007B790A" w:rsidRPr="00092ED7">
        <w:rPr>
          <w:szCs w:val="24"/>
          <w:lang w:val="sr-Cyrl-CS"/>
        </w:rPr>
        <w:t>е</w:t>
      </w:r>
      <w:r w:rsidR="00F13B06" w:rsidRPr="00092ED7">
        <w:rPr>
          <w:szCs w:val="24"/>
          <w:lang w:val="sr-Cyrl-CS"/>
        </w:rPr>
        <w:t>.</w:t>
      </w:r>
    </w:p>
    <w:p w14:paraId="0C6F49AF" w14:textId="77777777" w:rsidR="00F13B06" w:rsidRPr="00092ED7" w:rsidRDefault="00F13B06" w:rsidP="00F13B06">
      <w:pPr>
        <w:spacing w:after="60"/>
        <w:rPr>
          <w:szCs w:val="24"/>
          <w:lang w:val="sr-Cyrl-CS"/>
        </w:rPr>
      </w:pPr>
      <w:r w:rsidRPr="00092ED7">
        <w:rPr>
          <w:szCs w:val="24"/>
          <w:lang w:val="sr-Cyrl-CS"/>
        </w:rPr>
        <w:t>У погледу оперативног дела, резултат је следећи:</w:t>
      </w:r>
    </w:p>
    <w:p w14:paraId="246A6C6F" w14:textId="236553C0" w:rsidR="00F13B06" w:rsidRPr="00092ED7" w:rsidRDefault="00F13B06" w:rsidP="00055DC9">
      <w:pPr>
        <w:pStyle w:val="ListParagraph"/>
        <w:numPr>
          <w:ilvl w:val="0"/>
          <w:numId w:val="101"/>
        </w:numPr>
        <w:spacing w:after="60" w:line="240" w:lineRule="auto"/>
        <w:ind w:left="714" w:hanging="357"/>
        <w:rPr>
          <w:sz w:val="24"/>
          <w:szCs w:val="24"/>
          <w:lang w:val="sr-Cyrl-CS"/>
        </w:rPr>
      </w:pPr>
      <w:r w:rsidRPr="00092ED7">
        <w:rPr>
          <w:sz w:val="24"/>
          <w:szCs w:val="24"/>
          <w:lang w:val="sr-Cyrl-CS"/>
        </w:rPr>
        <w:t xml:space="preserve">Група за оцену и праћење капиталних пројеката </w:t>
      </w:r>
      <w:r w:rsidR="00A8581B" w:rsidRPr="00092ED7">
        <w:rPr>
          <w:sz w:val="24"/>
          <w:szCs w:val="24"/>
          <w:lang w:val="sr-Cyrl-CS"/>
        </w:rPr>
        <w:t xml:space="preserve">Министарства финансија </w:t>
      </w:r>
      <w:r w:rsidRPr="00092ED7">
        <w:rPr>
          <w:sz w:val="24"/>
          <w:szCs w:val="24"/>
          <w:lang w:val="sr-Cyrl-CS"/>
        </w:rPr>
        <w:t xml:space="preserve">прати 159 капиталних пројеката, који се реализују на националном нивоу, и чија је вредност преко </w:t>
      </w:r>
      <w:r w:rsidR="007B790A" w:rsidRPr="00092ED7">
        <w:rPr>
          <w:sz w:val="24"/>
          <w:szCs w:val="24"/>
          <w:lang w:val="sr-Cyrl-CS"/>
        </w:rPr>
        <w:t xml:space="preserve">пет </w:t>
      </w:r>
      <w:r w:rsidRPr="00092ED7">
        <w:rPr>
          <w:sz w:val="24"/>
          <w:szCs w:val="24"/>
          <w:lang w:val="sr-Cyrl-CS"/>
        </w:rPr>
        <w:t>милиона евра (од чега је у извештајном периоду Q2 2022 било 65 пројеката у предимплементационој фази, а 93 у фази имплементације и од једног пројекта се тренутно одустало). Међу пројектима чија се имплементација прати налазе се и пројекти од посебног значаја за Републику Србију;</w:t>
      </w:r>
    </w:p>
    <w:p w14:paraId="21CE9819" w14:textId="014AA088" w:rsidR="00F13B06" w:rsidRPr="00092ED7" w:rsidRDefault="00F13B06" w:rsidP="00055DC9">
      <w:pPr>
        <w:pStyle w:val="ListParagraph"/>
        <w:numPr>
          <w:ilvl w:val="0"/>
          <w:numId w:val="101"/>
        </w:numPr>
        <w:spacing w:after="60" w:line="240" w:lineRule="auto"/>
        <w:ind w:left="714" w:hanging="357"/>
        <w:rPr>
          <w:sz w:val="24"/>
          <w:szCs w:val="24"/>
          <w:lang w:val="sr-Cyrl-CS"/>
        </w:rPr>
      </w:pPr>
      <w:r w:rsidRPr="00092ED7">
        <w:rPr>
          <w:sz w:val="24"/>
          <w:szCs w:val="24"/>
          <w:lang w:val="sr-Cyrl-CS"/>
        </w:rPr>
        <w:t>Податке о пројектима у предимплментационој фази Група за оцену и праћење капиталних пројеката за сада прикупља путем „помоћног обрасца</w:t>
      </w:r>
      <w:r w:rsidR="0052060E" w:rsidRPr="00092ED7">
        <w:rPr>
          <w:rFonts w:cs="Times New Roman"/>
          <w:sz w:val="24"/>
          <w:szCs w:val="24"/>
          <w:lang w:val="sr-Cyrl-CS"/>
        </w:rPr>
        <w:t>”</w:t>
      </w:r>
      <w:r w:rsidRPr="00092ED7">
        <w:rPr>
          <w:sz w:val="24"/>
          <w:szCs w:val="24"/>
          <w:lang w:val="sr-Cyrl-CS"/>
        </w:rPr>
        <w:t>. До децембра 2022. године, одржано је седам редовних седница Републичке комисије за капиталне инвестиције.</w:t>
      </w:r>
    </w:p>
    <w:p w14:paraId="0DADAC49" w14:textId="77777777" w:rsidR="00F13B06" w:rsidRPr="00092ED7" w:rsidRDefault="00F13B06" w:rsidP="00F13B06">
      <w:pPr>
        <w:spacing w:after="60"/>
        <w:rPr>
          <w:szCs w:val="24"/>
          <w:lang w:val="sr-Cyrl-CS"/>
        </w:rPr>
      </w:pPr>
      <w:r w:rsidRPr="00092ED7">
        <w:rPr>
          <w:szCs w:val="24"/>
          <w:lang w:val="sr-Cyrl-CS"/>
        </w:rPr>
        <w:t xml:space="preserve">Реформски циљ Републике Србије јесте успостављање јединственог филтера пројеката за које ће се даље радити процена сходно важећим законима, али који ће за потребе Републике Србије допринети бољој контроли јавних расхода. </w:t>
      </w:r>
    </w:p>
    <w:p w14:paraId="5AB71EA5" w14:textId="594CB9FF" w:rsidR="00F13B06" w:rsidRPr="00092ED7" w:rsidRDefault="00F13B06" w:rsidP="00F13B06">
      <w:pPr>
        <w:spacing w:after="60"/>
        <w:rPr>
          <w:szCs w:val="24"/>
          <w:lang w:val="sr-Cyrl-CS"/>
        </w:rPr>
      </w:pPr>
      <w:r w:rsidRPr="00092ED7">
        <w:rPr>
          <w:szCs w:val="24"/>
          <w:lang w:val="sr-Cyrl-CS"/>
        </w:rPr>
        <w:t xml:space="preserve">Вештине запослених у оквиру Групе за оцену и праћeње капиталних пројеката константно се унапређују, па су тако запослени у 2022. години прошли обуку о пројектном менаџменту и обуке о изради студије изводљивости и процени фискалних ризика и трошкова код екстерно финансираних пројекта, укључујући и </w:t>
      </w:r>
      <w:r w:rsidR="00A8581B" w:rsidRPr="00092ED7">
        <w:rPr>
          <w:szCs w:val="24"/>
          <w:lang w:val="sr-Cyrl-CS"/>
        </w:rPr>
        <w:t>јавно-приватна партнерства (у даљем тексту</w:t>
      </w:r>
      <w:r w:rsidR="005136C5" w:rsidRPr="00092ED7">
        <w:rPr>
          <w:szCs w:val="24"/>
          <w:lang w:val="sr-Cyrl-CS"/>
        </w:rPr>
        <w:t>:</w:t>
      </w:r>
      <w:r w:rsidR="00A8581B" w:rsidRPr="00092ED7">
        <w:rPr>
          <w:szCs w:val="24"/>
          <w:lang w:val="sr-Cyrl-CS"/>
        </w:rPr>
        <w:t xml:space="preserve"> </w:t>
      </w:r>
      <w:r w:rsidRPr="00092ED7">
        <w:rPr>
          <w:szCs w:val="24"/>
          <w:lang w:val="sr-Cyrl-CS"/>
        </w:rPr>
        <w:t>ЈПП</w:t>
      </w:r>
      <w:r w:rsidR="00A8581B" w:rsidRPr="00092ED7">
        <w:rPr>
          <w:szCs w:val="24"/>
          <w:lang w:val="sr-Cyrl-CS"/>
        </w:rPr>
        <w:t>)</w:t>
      </w:r>
      <w:r w:rsidRPr="00092ED7">
        <w:rPr>
          <w:szCs w:val="24"/>
          <w:lang w:val="sr-Cyrl-CS"/>
        </w:rPr>
        <w:t>.</w:t>
      </w:r>
    </w:p>
    <w:p w14:paraId="3E1F8DA3" w14:textId="11EE6624" w:rsidR="00F13B06" w:rsidRPr="00092ED7" w:rsidRDefault="00F13B06" w:rsidP="00F13B06">
      <w:pPr>
        <w:spacing w:after="60"/>
        <w:rPr>
          <w:szCs w:val="24"/>
          <w:lang w:val="sr-Cyrl-CS"/>
        </w:rPr>
      </w:pPr>
      <w:r w:rsidRPr="00092ED7">
        <w:rPr>
          <w:szCs w:val="24"/>
          <w:lang w:val="sr-Cyrl-CS"/>
        </w:rPr>
        <w:t xml:space="preserve">У погледу успостављања </w:t>
      </w:r>
      <w:r w:rsidR="00926895" w:rsidRPr="00092ED7">
        <w:rPr>
          <w:szCs w:val="24"/>
          <w:lang w:val="sr-Cyrl-CS"/>
        </w:rPr>
        <w:t>информационог система за управљање капиталним пројектима (у даљем тексту</w:t>
      </w:r>
      <w:r w:rsidR="008F53D9" w:rsidRPr="00092ED7">
        <w:rPr>
          <w:szCs w:val="24"/>
          <w:lang w:val="sr-Cyrl-CS"/>
        </w:rPr>
        <w:t>:</w:t>
      </w:r>
      <w:r w:rsidR="005937B4" w:rsidRPr="00092ED7">
        <w:rPr>
          <w:szCs w:val="24"/>
          <w:lang w:val="sr-Cyrl-CS"/>
        </w:rPr>
        <w:t xml:space="preserve"> </w:t>
      </w:r>
      <w:r w:rsidRPr="00092ED7">
        <w:rPr>
          <w:szCs w:val="24"/>
          <w:lang w:val="sr-Cyrl-CS"/>
        </w:rPr>
        <w:t>PIMIS</w:t>
      </w:r>
      <w:r w:rsidR="00926895" w:rsidRPr="00092ED7">
        <w:rPr>
          <w:szCs w:val="24"/>
          <w:lang w:val="sr-Cyrl-CS"/>
        </w:rPr>
        <w:t>)</w:t>
      </w:r>
      <w:r w:rsidRPr="00092ED7">
        <w:rPr>
          <w:szCs w:val="24"/>
          <w:lang w:val="sr-Cyrl-CS"/>
        </w:rPr>
        <w:t>, Министарство финансија тренутно тестира пред-продукционо окружење за пројекте у имплементацији. Очекује се да систем буде пуштен у рад почетком 2023. године.</w:t>
      </w:r>
    </w:p>
    <w:p w14:paraId="5B897D0E" w14:textId="5816D3FA"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 xml:space="preserve">Применити начела конкуренције, једнаког третмана, недискриминације и транспарентности у поступцима јавних набавки и државне помоћи у складу са правном тековином </w:t>
      </w:r>
      <w:r w:rsidR="00A8581B" w:rsidRPr="00092ED7">
        <w:rPr>
          <w:rFonts w:eastAsia="MS PGothic" w:cs="Times New Roman"/>
          <w:bCs/>
          <w:i/>
          <w:iCs/>
          <w:szCs w:val="24"/>
          <w:lang w:val="sr-Cyrl-CS" w:eastAsia="ja-JP"/>
        </w:rPr>
        <w:t xml:space="preserve">Европске уније </w:t>
      </w:r>
      <w:r w:rsidRPr="00092ED7">
        <w:rPr>
          <w:rFonts w:eastAsia="MS PGothic" w:cs="Times New Roman"/>
          <w:bCs/>
          <w:i/>
          <w:iCs/>
          <w:szCs w:val="24"/>
          <w:lang w:val="sr-Cyrl-CS" w:eastAsia="ja-JP"/>
        </w:rPr>
        <w:t>за све пројекте јавних инвестиција, без обзира на извор финансирања, те обезбедити доследну и транспарентну евиденцију која показује оперативну независност Комисије за контролу државне помоћи.</w:t>
      </w:r>
    </w:p>
    <w:p w14:paraId="448F6FEE" w14:textId="54835B00"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Након усвајања Закона о јавним набавкама </w:t>
      </w:r>
      <w:r w:rsidR="00A8581B" w:rsidRPr="00092ED7">
        <w:rPr>
          <w:szCs w:val="24"/>
          <w:lang w:val="sr-Cyrl-CS"/>
        </w:rPr>
        <w:t>(„Службени гласник РС</w:t>
      </w:r>
      <w:r w:rsidR="00A8581B" w:rsidRPr="00092ED7">
        <w:rPr>
          <w:rFonts w:cs="Times New Roman"/>
          <w:szCs w:val="24"/>
          <w:lang w:val="sr-Cyrl-CS"/>
        </w:rPr>
        <w:t>”</w:t>
      </w:r>
      <w:r w:rsidR="00A8581B" w:rsidRPr="00092ED7">
        <w:rPr>
          <w:szCs w:val="24"/>
          <w:lang w:val="sr-Cyrl-CS"/>
        </w:rPr>
        <w:t xml:space="preserve">, број 91/19) </w:t>
      </w:r>
      <w:r w:rsidRPr="00092ED7">
        <w:rPr>
          <w:rFonts w:eastAsia="MS PGothic" w:cs="Times New Roman"/>
          <w:bCs/>
          <w:iCs/>
          <w:szCs w:val="24"/>
          <w:lang w:val="sr-Cyrl-CS" w:eastAsia="ja-JP"/>
        </w:rPr>
        <w:t xml:space="preserve">и успостављања Портала јавних набавки, Канцеларија за јавне набавке је наставила са унапређењем Портала јавних набавки и организовањем обука за наручиоце и понуђаче у 2022. години. Од маја до децембра 2022. године, развијене су и објављене три нове верзије Портала јавних набавки и свака од њих доноси нове могућности наручиоцима и понуђачима. Ова техничка побољшања Портала се односе на листе свих уговора додељених одређеном понуђачу, оптимизацију претраге, овлашћења за административне кориснике, заштиту права, тромесечне извештаје, претходна обавештења, итд. У погледу обука које су организоване за потребе наручилаца и понуђача, односе </w:t>
      </w:r>
      <w:r w:rsidR="00C47140" w:rsidRPr="00092ED7">
        <w:rPr>
          <w:rFonts w:eastAsia="MS PGothic" w:cs="Times New Roman"/>
          <w:bCs/>
          <w:iCs/>
          <w:szCs w:val="24"/>
          <w:lang w:val="sr-Cyrl-CS" w:eastAsia="ja-JP"/>
        </w:rPr>
        <w:t xml:space="preserve">се </w:t>
      </w:r>
      <w:r w:rsidRPr="00092ED7">
        <w:rPr>
          <w:rFonts w:eastAsia="MS PGothic" w:cs="Times New Roman"/>
          <w:bCs/>
          <w:iCs/>
          <w:szCs w:val="24"/>
          <w:lang w:val="sr-Cyrl-CS" w:eastAsia="ja-JP"/>
        </w:rPr>
        <w:t xml:space="preserve">пре свега на јачање капацитета тужиоца, полиције и судија у погледу најчешћих неправилности, злоупотреба у поступцима јавних набавки и употребу Портала јавних набавки, али и на јачање капацитета наручилаца и понуђача у вези са коришћењем Портала јавних набавки, затим примене одредаба Закона о јавним набавкама које се односе на еколошке и социјалне јавне набавке, партнерство за иновације. Такође, организоване су обуке за наручиоце и понуђаче и лица која раде на пословима јавних набавки ради припреме за полагање теста за службеника за јавне набавке. Такође, </w:t>
      </w:r>
      <w:r w:rsidR="00A8581B" w:rsidRPr="00092ED7">
        <w:rPr>
          <w:rFonts w:eastAsia="MS PGothic" w:cs="Times New Roman"/>
          <w:bCs/>
          <w:iCs/>
          <w:szCs w:val="24"/>
          <w:lang w:val="sr-Cyrl-CS" w:eastAsia="ja-JP"/>
        </w:rPr>
        <w:t xml:space="preserve">Канцеларија за јавне набавке </w:t>
      </w:r>
      <w:r w:rsidRPr="00092ED7">
        <w:rPr>
          <w:rFonts w:eastAsia="MS PGothic" w:cs="Times New Roman"/>
          <w:bCs/>
          <w:iCs/>
          <w:szCs w:val="24"/>
          <w:lang w:val="sr-Cyrl-CS" w:eastAsia="ja-JP"/>
        </w:rPr>
        <w:t xml:space="preserve">је израдила </w:t>
      </w:r>
      <w:r w:rsidR="005136C5" w:rsidRPr="00092ED7">
        <w:rPr>
          <w:rFonts w:eastAsia="MS PGothic" w:cs="Times New Roman"/>
          <w:bCs/>
          <w:iCs/>
          <w:szCs w:val="24"/>
          <w:lang w:val="sr-Cyrl-CS" w:eastAsia="ja-JP"/>
        </w:rPr>
        <w:t>м</w:t>
      </w:r>
      <w:r w:rsidRPr="00092ED7">
        <w:rPr>
          <w:rFonts w:eastAsia="MS PGothic" w:cs="Times New Roman"/>
          <w:bCs/>
          <w:iCs/>
          <w:szCs w:val="24"/>
          <w:lang w:val="sr-Cyrl-CS" w:eastAsia="ja-JP"/>
        </w:rPr>
        <w:t xml:space="preserve">одел </w:t>
      </w:r>
      <w:r w:rsidRPr="00092ED7">
        <w:rPr>
          <w:rFonts w:cs="Times New Roman"/>
          <w:szCs w:val="24"/>
          <w:shd w:val="clear" w:color="auto" w:fill="FFFFFF"/>
          <w:lang w:val="sr-Cyrl-CS"/>
        </w:rPr>
        <w:t>посебног акта који ближе уређује начин планирања, спровођења поступка јавне набавке и праћења извршења уговора о јавној набавци (начин комуникације, правила, обавезе и одговорност лица и организационих јединица), начин планирања и спровођења набавки на које се закон не примењује, као и набавки друштвених и других посебних услуга</w:t>
      </w:r>
      <w:r w:rsidRPr="00092ED7">
        <w:rPr>
          <w:rFonts w:eastAsia="MS PGothic" w:cs="Times New Roman"/>
          <w:bCs/>
          <w:iCs/>
          <w:szCs w:val="24"/>
          <w:lang w:val="sr-Cyrl-CS" w:eastAsia="ja-JP"/>
        </w:rPr>
        <w:t xml:space="preserve">, који је прописан чланом 49. став 2. Закона о јавним набавкама. Такође, </w:t>
      </w:r>
      <w:r w:rsidR="00A8581B" w:rsidRPr="00092ED7">
        <w:rPr>
          <w:rFonts w:eastAsia="MS PGothic" w:cs="Times New Roman"/>
          <w:bCs/>
          <w:iCs/>
          <w:szCs w:val="24"/>
          <w:lang w:val="sr-Cyrl-CS" w:eastAsia="ja-JP"/>
        </w:rPr>
        <w:t xml:space="preserve">Канцеларија за јавне набавке </w:t>
      </w:r>
      <w:r w:rsidRPr="00092ED7">
        <w:rPr>
          <w:rFonts w:eastAsia="MS PGothic" w:cs="Times New Roman"/>
          <w:bCs/>
          <w:iCs/>
          <w:szCs w:val="24"/>
          <w:lang w:val="sr-Cyrl-CS" w:eastAsia="ja-JP"/>
        </w:rPr>
        <w:t xml:space="preserve">је израдила </w:t>
      </w:r>
      <w:r w:rsidR="00D80300" w:rsidRPr="00092ED7">
        <w:rPr>
          <w:rFonts w:eastAsia="MS PGothic" w:cs="Times New Roman"/>
          <w:bCs/>
          <w:iCs/>
          <w:szCs w:val="24"/>
          <w:lang w:val="sr-Cyrl-CS" w:eastAsia="ja-JP"/>
        </w:rPr>
        <w:t>м</w:t>
      </w:r>
      <w:r w:rsidR="00E808BF" w:rsidRPr="00092ED7">
        <w:rPr>
          <w:rFonts w:eastAsia="MS PGothic" w:cs="Times New Roman"/>
          <w:bCs/>
          <w:iCs/>
          <w:szCs w:val="24"/>
          <w:lang w:val="sr-Cyrl-CS" w:eastAsia="ja-JP"/>
        </w:rPr>
        <w:t>одел</w:t>
      </w:r>
      <w:r w:rsidRPr="00092ED7">
        <w:rPr>
          <w:rFonts w:eastAsia="MS PGothic" w:cs="Times New Roman"/>
          <w:bCs/>
          <w:iCs/>
          <w:szCs w:val="24"/>
          <w:lang w:val="sr-Cyrl-CS" w:eastAsia="ja-JP"/>
        </w:rPr>
        <w:t xml:space="preserve"> тендерске документације за јавну набавку папирне галантерије за одржавање личне хигијене за коришћење система динамичне набавке</w:t>
      </w:r>
      <w:r w:rsidR="00E808BF" w:rsidRPr="00092ED7">
        <w:rPr>
          <w:rFonts w:eastAsia="MS PGothic" w:cs="Times New Roman"/>
          <w:bCs/>
          <w:iCs/>
          <w:szCs w:val="24"/>
          <w:lang w:val="sr-Cyrl-CS" w:eastAsia="ja-JP"/>
        </w:rPr>
        <w:t xml:space="preserve">, </w:t>
      </w:r>
      <w:r w:rsidR="005136C5" w:rsidRPr="00092ED7">
        <w:rPr>
          <w:rFonts w:eastAsia="MS PGothic" w:cs="Times New Roman"/>
          <w:bCs/>
          <w:iCs/>
          <w:szCs w:val="24"/>
          <w:lang w:val="sr-Cyrl-CS" w:eastAsia="ja-JP"/>
        </w:rPr>
        <w:t>м</w:t>
      </w:r>
      <w:r w:rsidR="00E808BF" w:rsidRPr="00092ED7">
        <w:rPr>
          <w:rFonts w:eastAsia="MS PGothic" w:cs="Times New Roman"/>
          <w:bCs/>
          <w:iCs/>
          <w:szCs w:val="24"/>
          <w:lang w:val="sr-Cyrl-CS" w:eastAsia="ja-JP"/>
        </w:rPr>
        <w:t xml:space="preserve">одел конкурсне документације за зелену јавну набавку – канцеларијски материјал и </w:t>
      </w:r>
      <w:r w:rsidR="005136C5" w:rsidRPr="00092ED7">
        <w:rPr>
          <w:rFonts w:eastAsia="MS PGothic" w:cs="Times New Roman"/>
          <w:bCs/>
          <w:iCs/>
          <w:szCs w:val="24"/>
          <w:lang w:val="sr-Cyrl-CS" w:eastAsia="ja-JP"/>
        </w:rPr>
        <w:t>м</w:t>
      </w:r>
      <w:r w:rsidR="00E808BF" w:rsidRPr="00092ED7">
        <w:rPr>
          <w:rFonts w:eastAsia="MS PGothic" w:cs="Times New Roman"/>
          <w:bCs/>
          <w:iCs/>
          <w:szCs w:val="24"/>
          <w:lang w:val="sr-Cyrl-CS" w:eastAsia="ja-JP"/>
        </w:rPr>
        <w:t>одел конкурсне документације за зелену јавну набавку – комунално електрично возило</w:t>
      </w:r>
      <w:r w:rsidRPr="00092ED7">
        <w:rPr>
          <w:rFonts w:eastAsia="MS PGothic" w:cs="Times New Roman"/>
          <w:bCs/>
          <w:iCs/>
          <w:szCs w:val="24"/>
          <w:lang w:val="sr-Cyrl-CS" w:eastAsia="ja-JP"/>
        </w:rPr>
        <w:t>.</w:t>
      </w:r>
    </w:p>
    <w:p w14:paraId="4DC5E23D" w14:textId="7B2468C3"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Институционални оквир за контролу државне помоћи је успостављен. Комисија за контролу државне помоћи у складу са Законом о контроли државне помоћи („Сл</w:t>
      </w:r>
      <w:r w:rsidR="00F86B2E" w:rsidRPr="00092ED7">
        <w:rPr>
          <w:rFonts w:eastAsia="MS PGothic" w:cs="Times New Roman"/>
          <w:bCs/>
          <w:iCs/>
          <w:szCs w:val="24"/>
          <w:lang w:val="sr-Cyrl-CS" w:eastAsia="ja-JP"/>
        </w:rPr>
        <w:t>ужбени</w:t>
      </w:r>
      <w:r w:rsidRPr="00092ED7">
        <w:rPr>
          <w:rFonts w:eastAsia="MS PGothic" w:cs="Times New Roman"/>
          <w:bCs/>
          <w:iCs/>
          <w:szCs w:val="24"/>
          <w:lang w:val="sr-Cyrl-CS" w:eastAsia="ja-JP"/>
        </w:rPr>
        <w:t xml:space="preserve"> гласник РС</w:t>
      </w:r>
      <w:r w:rsidR="00F86B2E" w:rsidRPr="00092ED7">
        <w:rPr>
          <w:rFonts w:cs="Times New Roman"/>
          <w:szCs w:val="24"/>
          <w:lang w:val="sr-Cyrl-CS"/>
        </w:rPr>
        <w:t>”</w:t>
      </w:r>
      <w:r w:rsidRPr="00092ED7">
        <w:rPr>
          <w:rFonts w:eastAsia="MS PGothic" w:cs="Times New Roman"/>
          <w:bCs/>
          <w:iCs/>
          <w:szCs w:val="24"/>
          <w:lang w:val="sr-Cyrl-CS" w:eastAsia="ja-JP"/>
        </w:rPr>
        <w:t>, бр</w:t>
      </w:r>
      <w:r w:rsidR="001C58E9" w:rsidRPr="00092ED7">
        <w:rPr>
          <w:rFonts w:eastAsia="MS PGothic" w:cs="Times New Roman"/>
          <w:bCs/>
          <w:iCs/>
          <w:szCs w:val="24"/>
          <w:lang w:val="sr-Cyrl-CS" w:eastAsia="ja-JP"/>
        </w:rPr>
        <w:t>ој</w:t>
      </w:r>
      <w:r w:rsidRPr="00092ED7">
        <w:rPr>
          <w:rFonts w:eastAsia="MS PGothic" w:cs="Times New Roman"/>
          <w:bCs/>
          <w:iCs/>
          <w:szCs w:val="24"/>
          <w:lang w:val="sr-Cyrl-CS" w:eastAsia="ja-JP"/>
        </w:rPr>
        <w:t xml:space="preserve"> 73/19) је самостално и оперативно независно тело које ради транспарентно. </w:t>
      </w:r>
      <w:r w:rsidR="00A8581B" w:rsidRPr="00092ED7">
        <w:rPr>
          <w:rFonts w:eastAsia="MS PGothic" w:cs="Times New Roman"/>
          <w:bCs/>
          <w:iCs/>
          <w:szCs w:val="24"/>
          <w:lang w:val="sr-Cyrl-CS" w:eastAsia="ja-JP"/>
        </w:rPr>
        <w:t xml:space="preserve">Комисија за контролу државне помоћи </w:t>
      </w:r>
      <w:r w:rsidRPr="00092ED7">
        <w:rPr>
          <w:rFonts w:eastAsia="MS PGothic" w:cs="Times New Roman"/>
          <w:bCs/>
          <w:iCs/>
          <w:szCs w:val="24"/>
          <w:lang w:val="sr-Cyrl-CS" w:eastAsia="ja-JP"/>
        </w:rPr>
        <w:t xml:space="preserve">спроводи интензивне активности на усклађивању прописа у области контроле државне помоћи са </w:t>
      </w:r>
      <w:r w:rsidR="00A8581B" w:rsidRPr="00092ED7">
        <w:rPr>
          <w:rFonts w:eastAsia="MS PGothic" w:cs="Times New Roman"/>
          <w:bCs/>
          <w:i/>
          <w:iCs/>
          <w:szCs w:val="24"/>
          <w:lang w:val="sr-Cyrl-CS" w:eastAsia="ja-JP"/>
        </w:rPr>
        <w:t xml:space="preserve">аcquis </w:t>
      </w:r>
      <w:r w:rsidR="00A8581B" w:rsidRPr="00092ED7">
        <w:rPr>
          <w:rFonts w:eastAsia="MS PGothic" w:cs="Times New Roman"/>
          <w:bCs/>
          <w:iCs/>
          <w:szCs w:val="24"/>
          <w:lang w:val="sr-Cyrl-CS" w:eastAsia="ja-JP"/>
        </w:rPr>
        <w:t>Европске уније</w:t>
      </w:r>
      <w:r w:rsidRPr="00092ED7">
        <w:rPr>
          <w:rFonts w:eastAsia="MS PGothic" w:cs="Times New Roman"/>
          <w:bCs/>
          <w:iCs/>
          <w:szCs w:val="24"/>
          <w:lang w:val="sr-Cyrl-CS" w:eastAsia="ja-JP"/>
        </w:rPr>
        <w:t xml:space="preserve">, као и активности на предметима контроле државне помоћи, у складу са својом надлежношћу. Поред тога, </w:t>
      </w:r>
      <w:r w:rsidR="00A8581B" w:rsidRPr="00092ED7">
        <w:rPr>
          <w:rFonts w:eastAsia="MS PGothic" w:cs="Times New Roman"/>
          <w:bCs/>
          <w:iCs/>
          <w:szCs w:val="24"/>
          <w:lang w:val="sr-Cyrl-CS" w:eastAsia="ja-JP"/>
        </w:rPr>
        <w:t xml:space="preserve">Комисија за контролу државне помоћи </w:t>
      </w:r>
      <w:r w:rsidRPr="00092ED7">
        <w:rPr>
          <w:rFonts w:eastAsia="MS PGothic" w:cs="Times New Roman"/>
          <w:bCs/>
          <w:iCs/>
          <w:szCs w:val="24"/>
          <w:lang w:val="sr-Cyrl-CS" w:eastAsia="ja-JP"/>
        </w:rPr>
        <w:t xml:space="preserve">припрема </w:t>
      </w:r>
      <w:r w:rsidR="00A8581B" w:rsidRPr="00092ED7">
        <w:rPr>
          <w:rFonts w:eastAsia="MS PGothic" w:cs="Times New Roman"/>
          <w:bCs/>
          <w:iCs/>
          <w:szCs w:val="24"/>
          <w:lang w:val="sr-Cyrl-CS" w:eastAsia="ja-JP"/>
        </w:rPr>
        <w:t xml:space="preserve">годишње извештаје </w:t>
      </w:r>
      <w:r w:rsidRPr="00092ED7">
        <w:rPr>
          <w:rFonts w:eastAsia="MS PGothic" w:cs="Times New Roman"/>
          <w:bCs/>
          <w:iCs/>
          <w:szCs w:val="24"/>
          <w:lang w:val="sr-Cyrl-CS" w:eastAsia="ja-JP"/>
        </w:rPr>
        <w:t xml:space="preserve">о додељеној државној помоћи и објављује </w:t>
      </w:r>
      <w:r w:rsidR="005136C5" w:rsidRPr="00092ED7">
        <w:rPr>
          <w:rFonts w:eastAsia="MS PGothic" w:cs="Times New Roman"/>
          <w:bCs/>
          <w:iCs/>
          <w:szCs w:val="24"/>
          <w:lang w:val="sr-Cyrl-CS" w:eastAsia="ja-JP"/>
        </w:rPr>
        <w:t xml:space="preserve">их </w:t>
      </w:r>
      <w:r w:rsidRPr="00092ED7">
        <w:rPr>
          <w:rFonts w:eastAsia="MS PGothic" w:cs="Times New Roman"/>
          <w:bCs/>
          <w:iCs/>
          <w:szCs w:val="24"/>
          <w:lang w:val="sr-Cyrl-CS" w:eastAsia="ja-JP"/>
        </w:rPr>
        <w:t xml:space="preserve">након усвајања од стране Владе, припрема </w:t>
      </w:r>
      <w:r w:rsidR="00A8581B" w:rsidRPr="00092ED7">
        <w:rPr>
          <w:rFonts w:eastAsia="MS PGothic" w:cs="Times New Roman"/>
          <w:bCs/>
          <w:iCs/>
          <w:szCs w:val="24"/>
          <w:lang w:val="sr-Cyrl-CS" w:eastAsia="ja-JP"/>
        </w:rPr>
        <w:t xml:space="preserve">годишње извештаје </w:t>
      </w:r>
      <w:r w:rsidRPr="00092ED7">
        <w:rPr>
          <w:rFonts w:eastAsia="MS PGothic" w:cs="Times New Roman"/>
          <w:bCs/>
          <w:iCs/>
          <w:szCs w:val="24"/>
          <w:lang w:val="sr-Cyrl-CS" w:eastAsia="ja-JP"/>
        </w:rPr>
        <w:t xml:space="preserve">о раду </w:t>
      </w:r>
      <w:r w:rsidR="00A8581B" w:rsidRPr="00092ED7">
        <w:rPr>
          <w:rFonts w:eastAsia="MS PGothic" w:cs="Times New Roman"/>
          <w:bCs/>
          <w:iCs/>
          <w:szCs w:val="24"/>
          <w:lang w:val="sr-Cyrl-CS" w:eastAsia="ja-JP"/>
        </w:rPr>
        <w:t>Комисије за контролу државне помоћи</w:t>
      </w:r>
      <w:r w:rsidR="008F53D9"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 xml:space="preserve">и објављује </w:t>
      </w:r>
      <w:r w:rsidR="00A8581B" w:rsidRPr="00092ED7">
        <w:rPr>
          <w:rFonts w:eastAsia="MS PGothic" w:cs="Times New Roman"/>
          <w:bCs/>
          <w:iCs/>
          <w:szCs w:val="24"/>
          <w:lang w:val="sr-Cyrl-CS" w:eastAsia="ja-JP"/>
        </w:rPr>
        <w:t xml:space="preserve">их </w:t>
      </w:r>
      <w:r w:rsidRPr="00092ED7">
        <w:rPr>
          <w:rFonts w:eastAsia="MS PGothic" w:cs="Times New Roman"/>
          <w:bCs/>
          <w:iCs/>
          <w:szCs w:val="24"/>
          <w:lang w:val="sr-Cyrl-CS" w:eastAsia="ja-JP"/>
        </w:rPr>
        <w:t xml:space="preserve">након усвајања Народне скупштине и редовно објављује све одлуке у вези са контролом државне помоћи на интернет страници </w:t>
      </w:r>
      <w:hyperlink r:id="rId9" w:history="1">
        <w:r w:rsidRPr="00092ED7">
          <w:rPr>
            <w:rStyle w:val="Hyperlink"/>
            <w:rFonts w:eastAsia="MS PGothic" w:cs="Times New Roman"/>
            <w:bCs/>
            <w:iCs/>
            <w:szCs w:val="24"/>
            <w:lang w:val="sr-Cyrl-CS" w:eastAsia="ja-JP"/>
          </w:rPr>
          <w:t>www.kkdp.gov.rs</w:t>
        </w:r>
      </w:hyperlink>
      <w:r w:rsidRPr="00092ED7">
        <w:rPr>
          <w:rFonts w:eastAsia="MS PGothic" w:cs="Times New Roman"/>
          <w:bCs/>
          <w:iCs/>
          <w:szCs w:val="24"/>
          <w:lang w:val="sr-Cyrl-CS" w:eastAsia="ja-JP"/>
        </w:rPr>
        <w:t>.</w:t>
      </w:r>
    </w:p>
    <w:p w14:paraId="3B8523C3"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5. Наставити са развојем и усвајањем дугорочне енергетске и климатске стратегије у складу са Зеленом агендом за Западни Балкан и међународним обавезама и даље појачати улагања у модернизацију енергетске инфраструктуре и смањење емисије угљеника у циљу убрзања зелене транзиције.</w:t>
      </w:r>
    </w:p>
    <w:p w14:paraId="7DB9D55D" w14:textId="49BFADDC"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Спровести ванредне финансијске и институционалне мере у сврху веће употребе обновљивих извора енергије и енергетске ефикасности, укључујући увођење система аукција за обновљиве изворе енергије (</w:t>
      </w:r>
      <w:r w:rsidR="002960C2" w:rsidRPr="00092ED7">
        <w:rPr>
          <w:rFonts w:eastAsia="MS PGothic" w:cs="Times New Roman"/>
          <w:bCs/>
          <w:i/>
          <w:iCs/>
          <w:szCs w:val="24"/>
          <w:lang w:val="sr-Cyrl-CS" w:eastAsia="ja-JP"/>
        </w:rPr>
        <w:t>у даљем тексту</w:t>
      </w:r>
      <w:r w:rsidR="005136C5" w:rsidRPr="00092ED7">
        <w:rPr>
          <w:rFonts w:eastAsia="MS PGothic" w:cs="Times New Roman"/>
          <w:bCs/>
          <w:i/>
          <w:iCs/>
          <w:szCs w:val="24"/>
          <w:lang w:val="sr-Cyrl-CS" w:eastAsia="ja-JP"/>
        </w:rPr>
        <w:t>:</w:t>
      </w:r>
      <w:r w:rsidR="002960C2" w:rsidRPr="00092ED7">
        <w:rPr>
          <w:rFonts w:eastAsia="MS PGothic" w:cs="Times New Roman"/>
          <w:bCs/>
          <w:i/>
          <w:iCs/>
          <w:szCs w:val="24"/>
          <w:lang w:val="sr-Cyrl-CS" w:eastAsia="ja-JP"/>
        </w:rPr>
        <w:t xml:space="preserve"> </w:t>
      </w:r>
      <w:r w:rsidRPr="00092ED7">
        <w:rPr>
          <w:rFonts w:eastAsia="MS PGothic" w:cs="Times New Roman"/>
          <w:bCs/>
          <w:i/>
          <w:iCs/>
          <w:szCs w:val="24"/>
          <w:lang w:val="sr-Cyrl-CS" w:eastAsia="ja-JP"/>
        </w:rPr>
        <w:t>ОИЕ) и даље развијати новоосновану управу за енергетску ефикасност и даље унапредити одрживост механизма финансирања.</w:t>
      </w:r>
    </w:p>
    <w:p w14:paraId="5D3B55B5" w14:textId="4E46F4D4"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 xml:space="preserve">У циљу даље либерализације енергетског тржишта, потребно је размотрити неопходне реформе, укључујући реформу цена и тарифа, те убрзати раздвајање свих енергетских предузећа у складу са правном тековином </w:t>
      </w:r>
      <w:r w:rsidR="002960C2" w:rsidRPr="00092ED7">
        <w:rPr>
          <w:rFonts w:eastAsia="MS PGothic" w:cs="Times New Roman"/>
          <w:bCs/>
          <w:i/>
          <w:iCs/>
          <w:szCs w:val="24"/>
          <w:lang w:val="sr-Cyrl-CS" w:eastAsia="ja-JP"/>
        </w:rPr>
        <w:t>Европске уније</w:t>
      </w:r>
      <w:r w:rsidRPr="00092ED7">
        <w:rPr>
          <w:rFonts w:eastAsia="MS PGothic" w:cs="Times New Roman"/>
          <w:bCs/>
          <w:i/>
          <w:iCs/>
          <w:szCs w:val="24"/>
          <w:lang w:val="sr-Cyrl-CS" w:eastAsia="ja-JP"/>
        </w:rPr>
        <w:t xml:space="preserve">, а у погледу сектора гаса у складу са Акционим планом </w:t>
      </w:r>
      <w:r w:rsidR="004370E9" w:rsidRPr="00092ED7">
        <w:rPr>
          <w:rFonts w:eastAsia="MS PGothic" w:cs="Times New Roman"/>
          <w:bCs/>
          <w:i/>
          <w:iCs/>
          <w:szCs w:val="24"/>
          <w:lang w:val="sr-Cyrl-CS" w:eastAsia="ja-JP"/>
        </w:rPr>
        <w:t>Републике Србије</w:t>
      </w:r>
      <w:r w:rsidRPr="00092ED7">
        <w:rPr>
          <w:rFonts w:eastAsia="MS PGothic" w:cs="Times New Roman"/>
          <w:bCs/>
          <w:i/>
          <w:iCs/>
          <w:szCs w:val="24"/>
          <w:lang w:val="sr-Cyrl-CS" w:eastAsia="ja-JP"/>
        </w:rPr>
        <w:t xml:space="preserve">; када је у питању </w:t>
      </w:r>
      <w:r w:rsidR="001C6CFD" w:rsidRPr="00092ED7">
        <w:rPr>
          <w:rFonts w:eastAsia="MS PGothic" w:cs="Times New Roman"/>
          <w:bCs/>
          <w:i/>
          <w:iCs/>
          <w:szCs w:val="24"/>
          <w:lang w:val="sr-Cyrl-CS" w:eastAsia="ja-JP"/>
        </w:rPr>
        <w:t>„Гастрансˮ д.о.о. Нови Сад</w:t>
      </w:r>
      <w:r w:rsidRPr="00092ED7">
        <w:rPr>
          <w:rFonts w:eastAsia="MS PGothic" w:cs="Times New Roman"/>
          <w:bCs/>
          <w:i/>
          <w:iCs/>
          <w:szCs w:val="24"/>
          <w:lang w:val="sr-Cyrl-CS" w:eastAsia="ja-JP"/>
        </w:rPr>
        <w:t xml:space="preserve">, потребно је обезбедити регулаторни режим у потпуности усклађен са законодавством </w:t>
      </w:r>
      <w:r w:rsidR="002960C2" w:rsidRPr="00092ED7">
        <w:rPr>
          <w:rFonts w:eastAsia="MS PGothic" w:cs="Times New Roman"/>
          <w:bCs/>
          <w:i/>
          <w:iCs/>
          <w:szCs w:val="24"/>
          <w:lang w:val="sr-Cyrl-CS" w:eastAsia="ja-JP"/>
        </w:rPr>
        <w:t>Европске уније</w:t>
      </w:r>
      <w:r w:rsidRPr="00092ED7">
        <w:rPr>
          <w:rFonts w:eastAsia="MS PGothic" w:cs="Times New Roman"/>
          <w:bCs/>
          <w:i/>
          <w:iCs/>
          <w:szCs w:val="24"/>
          <w:lang w:val="sr-Cyrl-CS" w:eastAsia="ja-JP"/>
        </w:rPr>
        <w:t xml:space="preserve">, а све у складу са Акционим планом развијеним након недавно отвореног Кластера 4 – </w:t>
      </w:r>
      <w:r w:rsidR="002960C2" w:rsidRPr="00092ED7">
        <w:rPr>
          <w:rFonts w:eastAsia="MS PGothic" w:cs="Times New Roman"/>
          <w:bCs/>
          <w:i/>
          <w:iCs/>
          <w:szCs w:val="24"/>
          <w:lang w:val="sr-Cyrl-CS" w:eastAsia="ja-JP"/>
        </w:rPr>
        <w:t xml:space="preserve">Зелена агенда и одржива повезаност </w:t>
      </w:r>
      <w:r w:rsidRPr="00092ED7">
        <w:rPr>
          <w:rFonts w:eastAsia="MS PGothic" w:cs="Times New Roman"/>
          <w:bCs/>
          <w:i/>
          <w:iCs/>
          <w:szCs w:val="24"/>
          <w:lang w:val="sr-Cyrl-CS" w:eastAsia="ja-JP"/>
        </w:rPr>
        <w:t xml:space="preserve"> у процесу приступања </w:t>
      </w:r>
      <w:r w:rsidR="002960C2" w:rsidRPr="00092ED7">
        <w:rPr>
          <w:rFonts w:eastAsia="MS PGothic" w:cs="Times New Roman"/>
          <w:bCs/>
          <w:i/>
          <w:iCs/>
          <w:szCs w:val="24"/>
          <w:lang w:val="sr-Cyrl-CS" w:eastAsia="ja-JP"/>
        </w:rPr>
        <w:t>Европској унији</w:t>
      </w:r>
      <w:r w:rsidRPr="00092ED7">
        <w:rPr>
          <w:rFonts w:eastAsia="MS PGothic" w:cs="Times New Roman"/>
          <w:bCs/>
          <w:i/>
          <w:iCs/>
          <w:szCs w:val="24"/>
          <w:lang w:val="sr-Cyrl-CS" w:eastAsia="ja-JP"/>
        </w:rPr>
        <w:t>.</w:t>
      </w:r>
    </w:p>
    <w:p w14:paraId="4853E396" w14:textId="13BCF8AA"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Нацрт </w:t>
      </w:r>
      <w:r w:rsidR="004370E9" w:rsidRPr="00092ED7">
        <w:rPr>
          <w:rFonts w:eastAsia="MS PGothic" w:cs="Times New Roman"/>
          <w:bCs/>
          <w:iCs/>
          <w:szCs w:val="24"/>
          <w:lang w:val="sr-Cyrl-CS" w:eastAsia="ja-JP"/>
        </w:rPr>
        <w:t>и</w:t>
      </w:r>
      <w:r w:rsidR="002960C2" w:rsidRPr="00092ED7">
        <w:rPr>
          <w:rFonts w:eastAsia="MS PGothic" w:cs="Times New Roman"/>
          <w:bCs/>
          <w:iCs/>
          <w:szCs w:val="24"/>
          <w:lang w:val="sr-Cyrl-CS" w:eastAsia="ja-JP"/>
        </w:rPr>
        <w:t>нтегрисаног националног енергетског и климатског плана за период од 2021. до 2030. године са визијом до 2050. године (у даљем тексту</w:t>
      </w:r>
      <w:r w:rsidR="004370E9" w:rsidRPr="00092ED7">
        <w:rPr>
          <w:rFonts w:eastAsia="MS PGothic" w:cs="Times New Roman"/>
          <w:bCs/>
          <w:iCs/>
          <w:szCs w:val="24"/>
          <w:lang w:val="sr-Cyrl-CS" w:eastAsia="ja-JP"/>
        </w:rPr>
        <w:t>:</w:t>
      </w:r>
      <w:r w:rsidR="002960C2" w:rsidRPr="00092ED7">
        <w:rPr>
          <w:rFonts w:eastAsia="MS PGothic" w:cs="Times New Roman"/>
          <w:bCs/>
          <w:iCs/>
          <w:szCs w:val="24"/>
          <w:lang w:val="sr-Cyrl-CS" w:eastAsia="ja-JP"/>
        </w:rPr>
        <w:t xml:space="preserve"> ИНЕКП)</w:t>
      </w:r>
      <w:r w:rsidRPr="00092ED7">
        <w:rPr>
          <w:rFonts w:eastAsia="MS PGothic" w:cs="Times New Roman"/>
          <w:bCs/>
          <w:iCs/>
          <w:szCs w:val="24"/>
          <w:lang w:val="sr-Cyrl-CS" w:eastAsia="ja-JP"/>
        </w:rPr>
        <w:t xml:space="preserve">, припремљен је и представљен мултисекторској Радној групи  на састанку 7. октобра 2022. </w:t>
      </w:r>
      <w:r w:rsidR="004370E9" w:rsidRPr="00092ED7">
        <w:rPr>
          <w:rFonts w:eastAsia="MS PGothic" w:cs="Times New Roman"/>
          <w:bCs/>
          <w:iCs/>
          <w:szCs w:val="24"/>
          <w:lang w:val="sr-Cyrl-CS" w:eastAsia="ja-JP"/>
        </w:rPr>
        <w:t xml:space="preserve">године. </w:t>
      </w:r>
      <w:r w:rsidRPr="00092ED7">
        <w:rPr>
          <w:rFonts w:eastAsia="MS PGothic" w:cs="Times New Roman"/>
          <w:bCs/>
          <w:iCs/>
          <w:szCs w:val="24"/>
          <w:lang w:val="sr-Cyrl-CS" w:eastAsia="ja-JP"/>
        </w:rPr>
        <w:t xml:space="preserve">У завршној фази је ревизија </w:t>
      </w:r>
      <w:r w:rsidR="004370E9" w:rsidRPr="00092ED7">
        <w:rPr>
          <w:rFonts w:eastAsia="MS PGothic" w:cs="Times New Roman"/>
          <w:bCs/>
          <w:iCs/>
          <w:szCs w:val="24"/>
          <w:lang w:val="sr-Cyrl-CS" w:eastAsia="ja-JP"/>
        </w:rPr>
        <w:t>Н</w:t>
      </w:r>
      <w:r w:rsidRPr="00092ED7">
        <w:rPr>
          <w:rFonts w:eastAsia="MS PGothic" w:cs="Times New Roman"/>
          <w:bCs/>
          <w:iCs/>
          <w:szCs w:val="24"/>
          <w:lang w:val="sr-Cyrl-CS" w:eastAsia="ja-JP"/>
        </w:rPr>
        <w:t>ацрта ИНЕКП у складу са достављеним коментарима чланова Радне групе. Након тога планирано је спровођење јавних консултација, прекограничних консултација и консултација са Секретаријатом Енергетске заједнице.</w:t>
      </w:r>
    </w:p>
    <w:p w14:paraId="554EBB5F" w14:textId="4199AD3F"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Управа за финансирање и подстицање енергетске ефикасности основана је као правно лице у саставу Министарства рударства и енергетике. У августу 2021.</w:t>
      </w:r>
      <w:r w:rsidR="004370E9" w:rsidRPr="00092ED7">
        <w:rPr>
          <w:rFonts w:eastAsia="MS PGothic" w:cs="Times New Roman"/>
          <w:bCs/>
          <w:iCs/>
          <w:szCs w:val="24"/>
          <w:lang w:val="sr-Cyrl-CS" w:eastAsia="ja-JP"/>
        </w:rPr>
        <w:t xml:space="preserve"> године</w:t>
      </w:r>
      <w:r w:rsidRPr="00092ED7">
        <w:rPr>
          <w:rFonts w:eastAsia="MS PGothic" w:cs="Times New Roman"/>
          <w:bCs/>
          <w:iCs/>
          <w:szCs w:val="24"/>
          <w:lang w:val="sr-Cyrl-CS" w:eastAsia="ja-JP"/>
        </w:rPr>
        <w:t xml:space="preserve"> именован </w:t>
      </w:r>
      <w:r w:rsidR="004370E9" w:rsidRPr="00092ED7">
        <w:rPr>
          <w:rFonts w:eastAsia="MS PGothic" w:cs="Times New Roman"/>
          <w:bCs/>
          <w:iCs/>
          <w:szCs w:val="24"/>
          <w:lang w:val="sr-Cyrl-CS" w:eastAsia="ja-JP"/>
        </w:rPr>
        <w:t xml:space="preserve">је </w:t>
      </w:r>
      <w:r w:rsidRPr="00092ED7">
        <w:rPr>
          <w:rFonts w:eastAsia="MS PGothic" w:cs="Times New Roman"/>
          <w:bCs/>
          <w:iCs/>
          <w:szCs w:val="24"/>
          <w:lang w:val="sr-Cyrl-CS" w:eastAsia="ja-JP"/>
        </w:rPr>
        <w:t xml:space="preserve">директор Управе, </w:t>
      </w:r>
      <w:r w:rsidR="00926895" w:rsidRPr="00092ED7">
        <w:rPr>
          <w:rFonts w:eastAsia="MS PGothic" w:cs="Times New Roman"/>
          <w:bCs/>
          <w:iCs/>
          <w:szCs w:val="24"/>
          <w:lang w:val="sr-Cyrl-CS" w:eastAsia="ja-JP"/>
        </w:rPr>
        <w:t xml:space="preserve">а </w:t>
      </w:r>
      <w:r w:rsidR="002960C2" w:rsidRPr="00092ED7">
        <w:rPr>
          <w:rFonts w:eastAsia="MS PGothic" w:cs="Times New Roman"/>
          <w:bCs/>
          <w:iCs/>
          <w:szCs w:val="24"/>
          <w:lang w:val="sr-Cyrl-CS" w:eastAsia="ja-JP"/>
        </w:rPr>
        <w:t>Правилник о систематизацији радних места је ступио</w:t>
      </w:r>
      <w:r w:rsidRPr="00092ED7">
        <w:rPr>
          <w:rFonts w:eastAsia="MS PGothic" w:cs="Times New Roman"/>
          <w:bCs/>
          <w:iCs/>
          <w:szCs w:val="24"/>
          <w:lang w:val="sr-Cyrl-CS" w:eastAsia="ja-JP"/>
        </w:rPr>
        <w:t xml:space="preserve"> на снагу 25. новембра 2021. године. Управа </w:t>
      </w:r>
      <w:r w:rsidR="002960C2" w:rsidRPr="00092ED7">
        <w:rPr>
          <w:rFonts w:eastAsia="MS PGothic" w:cs="Times New Roman"/>
          <w:bCs/>
          <w:iCs/>
          <w:szCs w:val="24"/>
          <w:lang w:val="sr-Cyrl-CS" w:eastAsia="ja-JP"/>
        </w:rPr>
        <w:t xml:space="preserve">за финансирање и подстицање енергетске ефикасности </w:t>
      </w:r>
      <w:r w:rsidRPr="00092ED7">
        <w:rPr>
          <w:rFonts w:eastAsia="MS PGothic" w:cs="Times New Roman"/>
          <w:bCs/>
          <w:iCs/>
          <w:szCs w:val="24"/>
          <w:lang w:val="sr-Cyrl-CS" w:eastAsia="ja-JP"/>
        </w:rPr>
        <w:t xml:space="preserve">је почела са радом почетком 2022. године и имаће 12 запослених  (до сада су </w:t>
      </w:r>
      <w:r w:rsidR="004370E9" w:rsidRPr="00092ED7">
        <w:rPr>
          <w:rFonts w:eastAsia="MS PGothic" w:cs="Times New Roman"/>
          <w:bCs/>
          <w:iCs/>
          <w:szCs w:val="24"/>
          <w:lang w:val="sr-Cyrl-CS" w:eastAsia="ja-JP"/>
        </w:rPr>
        <w:t xml:space="preserve">девет </w:t>
      </w:r>
      <w:r w:rsidRPr="00092ED7">
        <w:rPr>
          <w:rFonts w:eastAsia="MS PGothic" w:cs="Times New Roman"/>
          <w:bCs/>
          <w:iCs/>
          <w:szCs w:val="24"/>
          <w:lang w:val="sr-Cyrl-CS" w:eastAsia="ja-JP"/>
        </w:rPr>
        <w:t xml:space="preserve"> стално запослена лица и </w:t>
      </w:r>
      <w:r w:rsidR="004370E9" w:rsidRPr="00092ED7">
        <w:rPr>
          <w:rFonts w:eastAsia="MS PGothic" w:cs="Times New Roman"/>
          <w:bCs/>
          <w:iCs/>
          <w:szCs w:val="24"/>
          <w:lang w:val="sr-Cyrl-CS" w:eastAsia="ja-JP"/>
        </w:rPr>
        <w:t xml:space="preserve">пет </w:t>
      </w:r>
      <w:r w:rsidRPr="00092ED7">
        <w:rPr>
          <w:rFonts w:eastAsia="MS PGothic" w:cs="Times New Roman"/>
          <w:bCs/>
          <w:iCs/>
          <w:szCs w:val="24"/>
          <w:lang w:val="sr-Cyrl-CS" w:eastAsia="ja-JP"/>
        </w:rPr>
        <w:t xml:space="preserve">је ангажовано по уговору). За рад Управе </w:t>
      </w:r>
      <w:r w:rsidR="002960C2" w:rsidRPr="00092ED7">
        <w:rPr>
          <w:rFonts w:eastAsia="MS PGothic" w:cs="Times New Roman"/>
          <w:bCs/>
          <w:iCs/>
          <w:szCs w:val="24"/>
          <w:lang w:val="sr-Cyrl-CS" w:eastAsia="ja-JP"/>
        </w:rPr>
        <w:t xml:space="preserve">за финансирање и подстицање енергетске ефикасности </w:t>
      </w:r>
      <w:r w:rsidRPr="00092ED7">
        <w:rPr>
          <w:rFonts w:eastAsia="MS PGothic" w:cs="Times New Roman"/>
          <w:bCs/>
          <w:iCs/>
          <w:szCs w:val="24"/>
          <w:lang w:val="sr-Cyrl-CS" w:eastAsia="ja-JP"/>
        </w:rPr>
        <w:t xml:space="preserve">у 2022. години обезбеђен је буџет од око </w:t>
      </w:r>
      <w:r w:rsidR="004370E9" w:rsidRPr="00092ED7">
        <w:rPr>
          <w:rFonts w:eastAsia="MS PGothic" w:cs="Times New Roman"/>
          <w:bCs/>
          <w:iCs/>
          <w:szCs w:val="24"/>
          <w:lang w:val="sr-Cyrl-CS" w:eastAsia="ja-JP"/>
        </w:rPr>
        <w:t xml:space="preserve">две </w:t>
      </w:r>
      <w:r w:rsidRPr="00092ED7">
        <w:rPr>
          <w:rFonts w:eastAsia="MS PGothic" w:cs="Times New Roman"/>
          <w:bCs/>
          <w:iCs/>
          <w:szCs w:val="24"/>
          <w:lang w:val="sr-Cyrl-CS" w:eastAsia="ja-JP"/>
        </w:rPr>
        <w:t xml:space="preserve">милијарде динара. Расположива средства из буџета за 2023. годину биће додатно увећана средствима зајма Светске банке и </w:t>
      </w:r>
      <w:r w:rsidR="004370E9" w:rsidRPr="00092ED7">
        <w:rPr>
          <w:rFonts w:eastAsia="MS PGothic" w:cs="Times New Roman"/>
          <w:bCs/>
          <w:iCs/>
          <w:szCs w:val="24"/>
          <w:lang w:val="sr-Cyrl-CS" w:eastAsia="ja-JP"/>
        </w:rPr>
        <w:t xml:space="preserve">Европске банке за обнову и развој (у даљем тексту: </w:t>
      </w:r>
      <w:r w:rsidRPr="00092ED7">
        <w:rPr>
          <w:rFonts w:eastAsia="MS PGothic" w:cs="Times New Roman"/>
          <w:bCs/>
          <w:iCs/>
          <w:szCs w:val="24"/>
          <w:lang w:val="sr-Cyrl-CS" w:eastAsia="ja-JP"/>
        </w:rPr>
        <w:t>EBRD</w:t>
      </w:r>
      <w:r w:rsidR="004370E9" w:rsidRPr="00092ED7">
        <w:rPr>
          <w:rFonts w:eastAsia="MS PGothic" w:cs="Times New Roman"/>
          <w:bCs/>
          <w:iCs/>
          <w:szCs w:val="24"/>
          <w:lang w:val="sr-Cyrl-CS" w:eastAsia="ja-JP"/>
        </w:rPr>
        <w:t>)</w:t>
      </w:r>
      <w:r w:rsidRPr="00092ED7">
        <w:rPr>
          <w:rFonts w:eastAsia="MS PGothic" w:cs="Times New Roman"/>
          <w:bCs/>
          <w:iCs/>
          <w:szCs w:val="24"/>
          <w:lang w:val="sr-Cyrl-CS" w:eastAsia="ja-JP"/>
        </w:rPr>
        <w:t>.</w:t>
      </w:r>
    </w:p>
    <w:p w14:paraId="48770919" w14:textId="6D93B5FB"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Управа</w:t>
      </w:r>
      <w:r w:rsidR="004370E9" w:rsidRPr="00092ED7">
        <w:rPr>
          <w:rFonts w:eastAsia="MS PGothic" w:cs="Times New Roman"/>
          <w:bCs/>
          <w:iCs/>
          <w:szCs w:val="24"/>
          <w:lang w:val="sr-Cyrl-CS" w:eastAsia="ja-JP"/>
        </w:rPr>
        <w:t xml:space="preserve"> за финансирање и подстицање енергетске ефикасности</w:t>
      </w:r>
      <w:r w:rsidRPr="00092ED7">
        <w:rPr>
          <w:rFonts w:eastAsia="MS PGothic" w:cs="Times New Roman"/>
          <w:bCs/>
          <w:iCs/>
          <w:szCs w:val="24"/>
          <w:lang w:val="sr-Cyrl-CS" w:eastAsia="ja-JP"/>
        </w:rPr>
        <w:t xml:space="preserve"> је у 2022. години расписала један јавни позив за давање субвенција грађанима за </w:t>
      </w:r>
      <w:r w:rsidRPr="00092ED7">
        <w:rPr>
          <w:rFonts w:cs="Times New Roman"/>
          <w:iCs/>
          <w:szCs w:val="24"/>
          <w:lang w:val="sr-Cyrl-CS"/>
        </w:rPr>
        <w:t>енергетску санацију стамбених зграда, породичних кућа и станова</w:t>
      </w:r>
      <w:r w:rsidRPr="00092ED7">
        <w:rPr>
          <w:rFonts w:cs="Times New Roman"/>
          <w:szCs w:val="24"/>
          <w:lang w:val="sr-Cyrl-CS"/>
        </w:rPr>
        <w:t xml:space="preserve"> који спроводе </w:t>
      </w:r>
      <w:r w:rsidR="008F53D9" w:rsidRPr="00092ED7">
        <w:rPr>
          <w:rFonts w:cs="Times New Roman"/>
          <w:szCs w:val="24"/>
          <w:lang w:val="sr-Cyrl-CS"/>
        </w:rPr>
        <w:t>ЈЛС</w:t>
      </w:r>
      <w:r w:rsidR="00926895" w:rsidRPr="00092ED7">
        <w:rPr>
          <w:rFonts w:cs="Times New Roman"/>
          <w:szCs w:val="24"/>
          <w:lang w:val="sr-Cyrl-CS"/>
        </w:rPr>
        <w:t>,</w:t>
      </w:r>
      <w:r w:rsidRPr="00092ED7">
        <w:rPr>
          <w:rFonts w:cs="Times New Roman"/>
          <w:szCs w:val="24"/>
          <w:lang w:val="sr-Cyrl-CS"/>
        </w:rPr>
        <w:t xml:space="preserve"> као и градске општине</w:t>
      </w:r>
      <w:r w:rsidRPr="00092ED7">
        <w:rPr>
          <w:rFonts w:eastAsia="MS PGothic" w:cs="Times New Roman"/>
          <w:bCs/>
          <w:iCs/>
          <w:szCs w:val="24"/>
          <w:lang w:val="sr-Cyrl-CS" w:eastAsia="ja-JP"/>
        </w:rPr>
        <w:t xml:space="preserve"> (потписани су уговори са 151 </w:t>
      </w:r>
      <w:r w:rsidR="008F53D9" w:rsidRPr="00092ED7">
        <w:rPr>
          <w:rFonts w:eastAsia="MS PGothic" w:cs="Times New Roman"/>
          <w:bCs/>
          <w:iCs/>
          <w:szCs w:val="24"/>
          <w:lang w:val="sr-Cyrl-CS" w:eastAsia="ja-JP"/>
        </w:rPr>
        <w:t>ЈЛС</w:t>
      </w:r>
      <w:r w:rsidRPr="00092ED7">
        <w:rPr>
          <w:rFonts w:eastAsia="MS PGothic" w:cs="Times New Roman"/>
          <w:bCs/>
          <w:iCs/>
          <w:szCs w:val="24"/>
          <w:lang w:val="sr-Cyrl-CS" w:eastAsia="ja-JP"/>
        </w:rPr>
        <w:t xml:space="preserve">) и један јавни позив за </w:t>
      </w:r>
      <w:r w:rsidRPr="00092ED7">
        <w:rPr>
          <w:rFonts w:cs="Times New Roman"/>
          <w:szCs w:val="24"/>
          <w:lang w:val="sr-Cyrl-CS"/>
        </w:rPr>
        <w:t xml:space="preserve">финансирања пројеката унапређења енергетске ефикасности у објектима од јавног значаја у </w:t>
      </w:r>
      <w:r w:rsidR="008F53D9" w:rsidRPr="00092ED7">
        <w:rPr>
          <w:rFonts w:cs="Times New Roman"/>
          <w:szCs w:val="24"/>
          <w:lang w:val="sr-Cyrl-CS"/>
        </w:rPr>
        <w:t>ЈЛС</w:t>
      </w:r>
      <w:r w:rsidRPr="00092ED7">
        <w:rPr>
          <w:rFonts w:cs="Times New Roman"/>
          <w:szCs w:val="24"/>
          <w:lang w:val="sr-Cyrl-CS"/>
        </w:rPr>
        <w:t xml:space="preserve">, као и градским општинама </w:t>
      </w:r>
      <w:r w:rsidRPr="00092ED7">
        <w:rPr>
          <w:rFonts w:eastAsia="MS PGothic" w:cs="Times New Roman"/>
          <w:bCs/>
          <w:iCs/>
          <w:szCs w:val="24"/>
          <w:lang w:val="sr-Cyrl-CS" w:eastAsia="ja-JP"/>
        </w:rPr>
        <w:t xml:space="preserve">(потписани уговори са 38 </w:t>
      </w:r>
      <w:r w:rsidR="008F53D9" w:rsidRPr="00092ED7">
        <w:rPr>
          <w:rFonts w:eastAsia="MS PGothic" w:cs="Times New Roman"/>
          <w:bCs/>
          <w:iCs/>
          <w:szCs w:val="24"/>
          <w:lang w:val="sr-Cyrl-CS" w:eastAsia="ja-JP"/>
        </w:rPr>
        <w:t>ЈЛС</w:t>
      </w:r>
      <w:r w:rsidRPr="00092ED7">
        <w:rPr>
          <w:rFonts w:eastAsia="MS PGothic" w:cs="Times New Roman"/>
          <w:bCs/>
          <w:iCs/>
          <w:szCs w:val="24"/>
          <w:lang w:val="sr-Cyrl-CS" w:eastAsia="ja-JP"/>
        </w:rPr>
        <w:t xml:space="preserve">). </w:t>
      </w:r>
    </w:p>
    <w:p w14:paraId="19A4D8E7" w14:textId="019305C1" w:rsidR="00F13B06" w:rsidRPr="00092ED7" w:rsidRDefault="00F07A2B" w:rsidP="001A19D5">
      <w:pPr>
        <w:pStyle w:val="NormalWeb"/>
        <w:spacing w:before="0" w:beforeAutospacing="0" w:after="0" w:afterAutospacing="0"/>
        <w:rPr>
          <w:rFonts w:eastAsia="Times New Roman"/>
          <w:kern w:val="36"/>
          <w:lang w:val="sr-Cyrl-CS"/>
        </w:rPr>
      </w:pPr>
      <w:r w:rsidRPr="00092ED7">
        <w:rPr>
          <w:bCs/>
          <w:iCs/>
          <w:lang w:val="sr-Cyrl-CS" w:eastAsia="ja-JP"/>
        </w:rPr>
        <w:t>Законом о буџету Републике Србије за 2022. годину („Служ</w:t>
      </w:r>
      <w:r w:rsidR="00B7287C" w:rsidRPr="00092ED7">
        <w:rPr>
          <w:bCs/>
          <w:iCs/>
          <w:lang w:val="sr-Cyrl-CS" w:eastAsia="ja-JP"/>
        </w:rPr>
        <w:t>б</w:t>
      </w:r>
      <w:r w:rsidRPr="00092ED7">
        <w:rPr>
          <w:bCs/>
          <w:iCs/>
          <w:lang w:val="sr-Cyrl-CS" w:eastAsia="ja-JP"/>
        </w:rPr>
        <w:t>ени гласник РС</w:t>
      </w:r>
      <w:r w:rsidRPr="00092ED7">
        <w:rPr>
          <w:lang w:val="sr-Cyrl-CS"/>
        </w:rPr>
        <w:t xml:space="preserve">”, бр. 110/21 и 125/22) </w:t>
      </w:r>
      <w:r w:rsidR="00F13B06" w:rsidRPr="00092ED7">
        <w:rPr>
          <w:bCs/>
          <w:iCs/>
          <w:lang w:val="sr-Cyrl-CS" w:eastAsia="ja-JP"/>
        </w:rPr>
        <w:t>предвиђен је кредит Светске банке у износу од 50 милиона долара. Зајам Светске банке за имплементацију пројекта „Чиста енергија и енергетска ефикасност за грађане</w:t>
      </w:r>
      <w:r w:rsidR="00D30903" w:rsidRPr="00092ED7">
        <w:rPr>
          <w:lang w:val="sr-Cyrl-CS"/>
        </w:rPr>
        <w:t>”</w:t>
      </w:r>
      <w:r w:rsidR="00F13B06" w:rsidRPr="00092ED7">
        <w:rPr>
          <w:bCs/>
          <w:iCs/>
          <w:lang w:val="sr-Cyrl-CS" w:eastAsia="ja-JP"/>
        </w:rPr>
        <w:t xml:space="preserve"> (</w:t>
      </w:r>
      <w:r w:rsidR="008D24BA" w:rsidRPr="00092ED7">
        <w:rPr>
          <w:bCs/>
          <w:iCs/>
          <w:lang w:val="sr-Cyrl-CS" w:eastAsia="ja-JP"/>
        </w:rPr>
        <w:t xml:space="preserve">у даљем тексту: </w:t>
      </w:r>
      <w:r w:rsidR="00F13B06" w:rsidRPr="00092ED7">
        <w:rPr>
          <w:bCs/>
          <w:iCs/>
          <w:lang w:val="sr-Cyrl-CS" w:eastAsia="ja-JP"/>
        </w:rPr>
        <w:t>SURCE)</w:t>
      </w:r>
      <w:r w:rsidR="008D24BA" w:rsidRPr="00092ED7">
        <w:rPr>
          <w:bCs/>
          <w:iCs/>
          <w:lang w:val="sr-Cyrl-CS" w:eastAsia="ja-JP"/>
        </w:rPr>
        <w:t xml:space="preserve"> </w:t>
      </w:r>
      <w:r w:rsidR="00F13B06" w:rsidRPr="00092ED7">
        <w:rPr>
          <w:bCs/>
          <w:iCs/>
          <w:lang w:val="sr-Cyrl-CS" w:eastAsia="ja-JP"/>
        </w:rPr>
        <w:t xml:space="preserve"> је преговаран у фебруару 2022. године, </w:t>
      </w:r>
      <w:r w:rsidR="00DD710A" w:rsidRPr="00092ED7">
        <w:rPr>
          <w:bCs/>
          <w:iCs/>
          <w:lang w:val="sr-Cyrl-CS" w:eastAsia="ja-JP"/>
        </w:rPr>
        <w:t xml:space="preserve">потврђен </w:t>
      </w:r>
      <w:r w:rsidR="00891786" w:rsidRPr="00092ED7">
        <w:rPr>
          <w:rFonts w:eastAsia="Times New Roman"/>
          <w:kern w:val="36"/>
          <w:lang w:val="sr-Cyrl-CS"/>
        </w:rPr>
        <w:t>Закон</w:t>
      </w:r>
      <w:r w:rsidR="00DD710A" w:rsidRPr="00092ED7">
        <w:rPr>
          <w:rFonts w:eastAsia="Times New Roman"/>
          <w:kern w:val="36"/>
          <w:lang w:val="sr-Cyrl-CS"/>
        </w:rPr>
        <w:t>ом</w:t>
      </w:r>
      <w:r w:rsidR="00891786" w:rsidRPr="00092ED7">
        <w:rPr>
          <w:rFonts w:eastAsia="Times New Roman"/>
          <w:kern w:val="36"/>
          <w:lang w:val="sr-Cyrl-CS"/>
        </w:rPr>
        <w:t xml:space="preserve"> о потврђивању споразума о зајму (Пројекат чисте енергије и енергетске ефикасности за грађане) између Републике Србије и Међународне банке за обнову и развој </w:t>
      </w:r>
      <w:r w:rsidR="00891786" w:rsidRPr="00092ED7">
        <w:rPr>
          <w:rFonts w:eastAsia="Times New Roman"/>
          <w:lang w:val="sr-Cyrl-CS"/>
        </w:rPr>
        <w:t xml:space="preserve">(„Службени гласник РС - </w:t>
      </w:r>
      <w:r w:rsidR="00833B80" w:rsidRPr="00092ED7">
        <w:rPr>
          <w:rFonts w:eastAsia="Times New Roman"/>
          <w:lang w:val="sr-Cyrl-CS"/>
        </w:rPr>
        <w:t>М</w:t>
      </w:r>
      <w:r w:rsidR="00891786" w:rsidRPr="00092ED7">
        <w:rPr>
          <w:rFonts w:eastAsia="Times New Roman"/>
          <w:lang w:val="sr-Cyrl-CS"/>
        </w:rPr>
        <w:t>еђународни уговори</w:t>
      </w:r>
      <w:r w:rsidR="00DD710A" w:rsidRPr="00092ED7">
        <w:rPr>
          <w:lang w:val="sr-Cyrl-CS"/>
        </w:rPr>
        <w:t>”</w:t>
      </w:r>
      <w:r w:rsidR="00891786" w:rsidRPr="00092ED7">
        <w:rPr>
          <w:rFonts w:eastAsia="Times New Roman"/>
          <w:lang w:val="sr-Cyrl-CS"/>
        </w:rPr>
        <w:t>, брoj 6/22)</w:t>
      </w:r>
      <w:r w:rsidR="00DD710A" w:rsidRPr="00092ED7">
        <w:rPr>
          <w:rFonts w:eastAsia="Times New Roman"/>
          <w:lang w:val="sr-Cyrl-CS"/>
        </w:rPr>
        <w:t xml:space="preserve"> који је ступио на снагу 20. децембра 2022. године.</w:t>
      </w:r>
      <w:r w:rsidR="00DD710A" w:rsidRPr="00092ED7">
        <w:rPr>
          <w:bCs/>
          <w:iCs/>
          <w:lang w:val="sr-Cyrl-CS" w:eastAsia="ja-JP"/>
        </w:rPr>
        <w:t xml:space="preserve"> Законом о буџету Републике Србије за 2022. годину</w:t>
      </w:r>
      <w:r w:rsidR="00F13B06" w:rsidRPr="00092ED7">
        <w:rPr>
          <w:bCs/>
          <w:iCs/>
          <w:lang w:val="sr-Cyrl-CS" w:eastAsia="ja-JP"/>
        </w:rPr>
        <w:t xml:space="preserve"> такође </w:t>
      </w:r>
      <w:r w:rsidR="00DD710A" w:rsidRPr="00092ED7">
        <w:rPr>
          <w:bCs/>
          <w:iCs/>
          <w:lang w:val="sr-Cyrl-CS" w:eastAsia="ja-JP"/>
        </w:rPr>
        <w:t xml:space="preserve">је </w:t>
      </w:r>
      <w:r w:rsidR="00F13B06" w:rsidRPr="00092ED7">
        <w:rPr>
          <w:bCs/>
          <w:iCs/>
          <w:lang w:val="sr-Cyrl-CS" w:eastAsia="ja-JP"/>
        </w:rPr>
        <w:t xml:space="preserve">предвиђен зајам од 50 милиона евра од EBRD за пројекат „Енергетска ефикасна санација стамбених и јавних зграда”. До сада је 20 општина изразило интересовање за учешће у овом програму који би се фокусирао на стамбене зграде које су повезане на системе даљинског грејања. EBRD ће обезбедити грант од </w:t>
      </w:r>
      <w:r w:rsidR="00DD710A" w:rsidRPr="00092ED7">
        <w:rPr>
          <w:bCs/>
          <w:iCs/>
          <w:lang w:val="sr-Cyrl-CS" w:eastAsia="ja-JP"/>
        </w:rPr>
        <w:t xml:space="preserve">пет </w:t>
      </w:r>
      <w:r w:rsidR="00F13B06" w:rsidRPr="00092ED7">
        <w:rPr>
          <w:bCs/>
          <w:iCs/>
          <w:lang w:val="sr-Cyrl-CS" w:eastAsia="ja-JP"/>
        </w:rPr>
        <w:t>милиона евра за подршку пројекту.</w:t>
      </w:r>
    </w:p>
    <w:p w14:paraId="6421E112" w14:textId="2ECF9546" w:rsidR="00F13B06" w:rsidRPr="00092ED7" w:rsidRDefault="00F13B06" w:rsidP="00F13B06">
      <w:pPr>
        <w:pStyle w:val="NormalWeb"/>
        <w:spacing w:before="0" w:beforeAutospacing="0" w:after="0" w:afterAutospacing="0"/>
        <w:rPr>
          <w:rStyle w:val="rynqvb"/>
          <w:rFonts w:eastAsiaTheme="minorHAnsi" w:cstheme="minorBidi"/>
          <w:szCs w:val="22"/>
          <w:lang w:val="sr-Cyrl-CS"/>
        </w:rPr>
      </w:pPr>
      <w:r w:rsidRPr="00092ED7">
        <w:rPr>
          <w:rStyle w:val="rynqvb"/>
          <w:lang w:val="sr-Cyrl-CS"/>
        </w:rPr>
        <w:t xml:space="preserve">У јулу 2022. године Агенција за енергетику </w:t>
      </w:r>
      <w:r w:rsidR="00DD710A" w:rsidRPr="00092ED7">
        <w:rPr>
          <w:rStyle w:val="rynqvb"/>
          <w:lang w:val="sr-Cyrl-CS"/>
        </w:rPr>
        <w:t>Републике Србије</w:t>
      </w:r>
      <w:r w:rsidR="001D27D0" w:rsidRPr="00092ED7">
        <w:rPr>
          <w:rStyle w:val="rynqvb"/>
          <w:lang w:val="sr-Cyrl-CS"/>
        </w:rPr>
        <w:t xml:space="preserve"> </w:t>
      </w:r>
      <w:r w:rsidR="001D27D0" w:rsidRPr="00092ED7">
        <w:rPr>
          <w:rFonts w:eastAsia="Calibri"/>
          <w:lang w:val="sr-Cyrl-CS"/>
        </w:rPr>
        <w:t>(у даљем тексту: АЕРС)</w:t>
      </w:r>
      <w:r w:rsidR="001D27D0" w:rsidRPr="00092ED7">
        <w:rPr>
          <w:rStyle w:val="rynqvb"/>
          <w:lang w:val="sr-Cyrl-CS"/>
        </w:rPr>
        <w:t xml:space="preserve"> </w:t>
      </w:r>
      <w:r w:rsidRPr="00092ED7">
        <w:rPr>
          <w:rStyle w:val="rynqvb"/>
          <w:lang w:val="sr-Cyrl-CS"/>
        </w:rPr>
        <w:t xml:space="preserve"> усвојила </w:t>
      </w:r>
      <w:r w:rsidR="00DD710A" w:rsidRPr="00092ED7">
        <w:rPr>
          <w:rStyle w:val="rynqvb"/>
          <w:lang w:val="sr-Cyrl-CS"/>
        </w:rPr>
        <w:t xml:space="preserve">је </w:t>
      </w:r>
      <w:r w:rsidRPr="00092ED7">
        <w:rPr>
          <w:rStyle w:val="rynqvb"/>
          <w:lang w:val="sr-Cyrl-CS"/>
        </w:rPr>
        <w:t xml:space="preserve">измене и допуне </w:t>
      </w:r>
      <w:r w:rsidRPr="00092ED7">
        <w:rPr>
          <w:lang w:val="sr-Cyrl-CS"/>
        </w:rPr>
        <w:t>Методологије за одређивање цене електричне енергије за гарантовано снабдевање</w:t>
      </w:r>
      <w:r w:rsidRPr="00092ED7">
        <w:rPr>
          <w:rStyle w:val="rynqvb"/>
          <w:lang w:val="sr-Cyrl-CS"/>
        </w:rPr>
        <w:t>.</w:t>
      </w:r>
      <w:r w:rsidRPr="00092ED7">
        <w:rPr>
          <w:rStyle w:val="hwtze"/>
          <w:lang w:val="sr-Cyrl-CS"/>
        </w:rPr>
        <w:t xml:space="preserve"> </w:t>
      </w:r>
      <w:r w:rsidRPr="00092ED7">
        <w:rPr>
          <w:rStyle w:val="rynqvb"/>
          <w:lang w:val="sr-Cyrl-CS"/>
        </w:rPr>
        <w:t xml:space="preserve">Изменама је дефинисан </w:t>
      </w:r>
      <w:r w:rsidRPr="00092ED7">
        <w:rPr>
          <w:lang w:val="sr-Cyrl-CS"/>
        </w:rPr>
        <w:t xml:space="preserve">нови начин расподеле максимално одобреног прихода на тарифне елементе на основу које се израчунавају тарифе по категоријама и групама купаца </w:t>
      </w:r>
      <w:r w:rsidRPr="00092ED7">
        <w:rPr>
          <w:rStyle w:val="rynqvb"/>
          <w:lang w:val="sr-Cyrl-CS"/>
        </w:rPr>
        <w:t xml:space="preserve">и </w:t>
      </w:r>
      <w:r w:rsidRPr="00092ED7">
        <w:rPr>
          <w:lang w:val="sr-Cyrl-CS"/>
        </w:rPr>
        <w:t>извршено је усклађивање са</w:t>
      </w:r>
      <w:r w:rsidR="00DD710A" w:rsidRPr="00092ED7">
        <w:rPr>
          <w:lang w:val="sr-Cyrl-CS"/>
        </w:rPr>
        <w:t xml:space="preserve"> Законом о изменама и допунама Закона о енергетици („Службени гласник РС”, број 40/21)</w:t>
      </w:r>
      <w:r w:rsidR="009D4FA6" w:rsidRPr="00092ED7">
        <w:rPr>
          <w:lang w:val="sr-Cyrl-CS"/>
        </w:rPr>
        <w:t xml:space="preserve">, </w:t>
      </w:r>
      <w:r w:rsidRPr="00092ED7">
        <w:rPr>
          <w:lang w:val="sr-Cyrl-CS"/>
        </w:rPr>
        <w:t xml:space="preserve">тако што је прецизирано да се ова методологија примењује и на купца-произвођача. </w:t>
      </w:r>
    </w:p>
    <w:p w14:paraId="02C45080" w14:textId="77777777" w:rsidR="00F13B06" w:rsidRPr="00092ED7" w:rsidRDefault="00F13B06" w:rsidP="00F13B06">
      <w:pPr>
        <w:spacing w:after="0"/>
        <w:rPr>
          <w:rFonts w:eastAsia="MS PGothic" w:cs="Times New Roman"/>
          <w:bCs/>
          <w:iCs/>
          <w:szCs w:val="24"/>
          <w:lang w:val="sr-Cyrl-CS" w:eastAsia="ja-JP"/>
        </w:rPr>
      </w:pPr>
      <w:r w:rsidRPr="00092ED7">
        <w:rPr>
          <w:rStyle w:val="rynqvb"/>
          <w:lang w:val="sr-Cyrl-CS"/>
        </w:rPr>
        <w:t>У јулу 2022. године  цена електричне енергије за гарантовано снабдевање повећана је  за 6,5%, а у новембру 2022. године ова цена је увећана за додатних 8%, са применом од 1. јануара 2023. године.</w:t>
      </w:r>
    </w:p>
    <w:p w14:paraId="4050F3A0" w14:textId="5D9DAEEB" w:rsidR="00F13B06" w:rsidRPr="00092ED7" w:rsidRDefault="00F13B06" w:rsidP="00F13B06">
      <w:pPr>
        <w:spacing w:after="60"/>
        <w:rPr>
          <w:rFonts w:eastAsia="MS PGothic" w:cs="Times New Roman"/>
          <w:bCs/>
          <w:iCs/>
          <w:szCs w:val="24"/>
          <w:highlight w:val="yellow"/>
          <w:lang w:val="sr-Cyrl-CS" w:eastAsia="ja-JP"/>
        </w:rPr>
      </w:pPr>
      <w:r w:rsidRPr="00092ED7">
        <w:rPr>
          <w:rFonts w:eastAsia="MS PGothic" w:cs="Times New Roman"/>
          <w:bCs/>
          <w:iCs/>
          <w:szCs w:val="24"/>
          <w:lang w:val="sr-Cyrl-CS" w:eastAsia="ja-JP"/>
        </w:rPr>
        <w:t>У области електроенергетике завршен је процес раздвајања делатности у складу са Законом о енергетици („Сл</w:t>
      </w:r>
      <w:r w:rsidR="0069502E" w:rsidRPr="00092ED7">
        <w:rPr>
          <w:rFonts w:eastAsia="MS PGothic" w:cs="Times New Roman"/>
          <w:bCs/>
          <w:iCs/>
          <w:szCs w:val="24"/>
          <w:lang w:val="sr-Cyrl-CS" w:eastAsia="ja-JP"/>
        </w:rPr>
        <w:t>ужбени</w:t>
      </w:r>
      <w:r w:rsidRPr="00092ED7">
        <w:rPr>
          <w:rFonts w:eastAsia="MS PGothic" w:cs="Times New Roman"/>
          <w:bCs/>
          <w:iCs/>
          <w:szCs w:val="24"/>
          <w:lang w:val="sr-Cyrl-CS" w:eastAsia="ja-JP"/>
        </w:rPr>
        <w:t xml:space="preserve"> гласник РС</w:t>
      </w:r>
      <w:r w:rsidR="0069502E" w:rsidRPr="00092ED7">
        <w:rPr>
          <w:rFonts w:cs="Times New Roman"/>
          <w:szCs w:val="24"/>
          <w:lang w:val="sr-Cyrl-CS"/>
        </w:rPr>
        <w:t>”</w:t>
      </w:r>
      <w:r w:rsidRPr="00092ED7">
        <w:rPr>
          <w:rFonts w:eastAsia="MS PGothic" w:cs="Times New Roman"/>
          <w:bCs/>
          <w:iCs/>
          <w:szCs w:val="24"/>
          <w:lang w:val="sr-Cyrl-CS" w:eastAsia="ja-JP"/>
        </w:rPr>
        <w:t xml:space="preserve">, бр. 145/14, 95/18-др. закон и 40/21), којим су у потпуности транспоноване одредбе трећег енергетског пакета. Односно, у потпуности је испуњена законска обавеза правног и функционалног раздвајања оператора дистрибутивног система електричне енергије Електродистрибуција Србије д.о.о. Београд, </w:t>
      </w:r>
      <w:r w:rsidR="00E00AB3" w:rsidRPr="00092ED7">
        <w:rPr>
          <w:rFonts w:eastAsia="MS PGothic" w:cs="Times New Roman"/>
          <w:bCs/>
          <w:iCs/>
          <w:szCs w:val="24"/>
          <w:lang w:val="sr-Cyrl-CS" w:eastAsia="ja-JP"/>
        </w:rPr>
        <w:t>на Јавно предузеће „Електропривреда Србије</w:t>
      </w:r>
      <w:r w:rsidR="00833B80" w:rsidRPr="00092ED7">
        <w:rPr>
          <w:rFonts w:eastAsia="MS PGothic" w:cs="Times New Roman"/>
          <w:bCs/>
          <w:iCs/>
          <w:szCs w:val="24"/>
          <w:lang w:val="sr-Cyrl-CS" w:eastAsia="ja-JP"/>
        </w:rPr>
        <w:t>ˮ,</w:t>
      </w:r>
      <w:r w:rsidR="00E00AB3" w:rsidRPr="00092ED7">
        <w:rPr>
          <w:rFonts w:eastAsia="MS PGothic" w:cs="Times New Roman"/>
          <w:bCs/>
          <w:iCs/>
          <w:szCs w:val="24"/>
          <w:lang w:val="sr-Cyrl-CS" w:eastAsia="ja-JP"/>
        </w:rPr>
        <w:t xml:space="preserve"> Београд</w:t>
      </w:r>
      <w:r w:rsidR="00217782" w:rsidRPr="00092ED7">
        <w:rPr>
          <w:rFonts w:eastAsia="MS PGothic" w:cs="Times New Roman"/>
          <w:bCs/>
          <w:iCs/>
          <w:szCs w:val="24"/>
          <w:lang w:val="sr-Cyrl-CS" w:eastAsia="ja-JP"/>
        </w:rPr>
        <w:t xml:space="preserve"> (у даљем тексту: ЈП ЕПС)</w:t>
      </w:r>
      <w:r w:rsidR="00E00AB3" w:rsidRPr="00092ED7">
        <w:rPr>
          <w:rFonts w:eastAsia="MS PGothic" w:cs="Times New Roman"/>
          <w:bCs/>
          <w:iCs/>
          <w:szCs w:val="24"/>
          <w:lang w:val="sr-Cyrl-CS" w:eastAsia="ja-JP"/>
        </w:rPr>
        <w:t xml:space="preserve"> и Акционарско друштво „Електромрежа Србије</w:t>
      </w:r>
      <w:r w:rsidR="00833B80" w:rsidRPr="00092ED7">
        <w:rPr>
          <w:rFonts w:eastAsia="MS PGothic" w:cs="Times New Roman"/>
          <w:bCs/>
          <w:iCs/>
          <w:szCs w:val="24"/>
          <w:lang w:val="sr-Cyrl-CS" w:eastAsia="ja-JP"/>
        </w:rPr>
        <w:t>ˮ</w:t>
      </w:r>
      <w:r w:rsidR="00E00AB3" w:rsidRPr="00092ED7">
        <w:rPr>
          <w:rFonts w:eastAsia="MS PGothic" w:cs="Times New Roman"/>
          <w:bCs/>
          <w:iCs/>
          <w:szCs w:val="24"/>
          <w:lang w:val="sr-Cyrl-CS" w:eastAsia="ja-JP"/>
        </w:rPr>
        <w:t xml:space="preserve"> Београд </w:t>
      </w:r>
      <w:r w:rsidR="00826CDD" w:rsidRPr="00092ED7">
        <w:rPr>
          <w:rFonts w:eastAsia="MS PGothic" w:cs="Times New Roman"/>
          <w:bCs/>
          <w:iCs/>
          <w:szCs w:val="24"/>
          <w:lang w:val="sr-Cyrl-CS" w:eastAsia="ja-JP"/>
        </w:rPr>
        <w:t>(у даљем тексту: АД „Електромрежа Србије</w:t>
      </w:r>
      <w:r w:rsidR="00833B80" w:rsidRPr="00092ED7">
        <w:rPr>
          <w:rFonts w:eastAsia="MS PGothic" w:cs="Times New Roman"/>
          <w:bCs/>
          <w:iCs/>
          <w:szCs w:val="24"/>
          <w:lang w:val="sr-Cyrl-CS" w:eastAsia="ja-JP"/>
        </w:rPr>
        <w:t>ˮ</w:t>
      </w:r>
      <w:r w:rsidR="00826CDD" w:rsidRPr="00092ED7">
        <w:rPr>
          <w:rFonts w:eastAsia="MS PGothic" w:cs="Times New Roman"/>
          <w:bCs/>
          <w:iCs/>
          <w:szCs w:val="24"/>
          <w:lang w:val="sr-Cyrl-CS" w:eastAsia="ja-JP"/>
        </w:rPr>
        <w:t>)</w:t>
      </w:r>
      <w:r w:rsidR="00E00AB3" w:rsidRPr="00092ED7">
        <w:rPr>
          <w:rFonts w:eastAsia="MS PGothic" w:cs="Times New Roman"/>
          <w:bCs/>
          <w:iCs/>
          <w:szCs w:val="24"/>
          <w:lang w:val="sr-Cyrl-CS" w:eastAsia="ja-JP"/>
        </w:rPr>
        <w:t xml:space="preserve">, који је </w:t>
      </w:r>
      <w:r w:rsidRPr="00092ED7">
        <w:rPr>
          <w:rFonts w:eastAsia="MS PGothic" w:cs="Times New Roman"/>
          <w:bCs/>
          <w:iCs/>
          <w:szCs w:val="24"/>
          <w:lang w:val="sr-Cyrl-CS" w:eastAsia="ja-JP"/>
        </w:rPr>
        <w:t>оператор преносног система</w:t>
      </w:r>
      <w:r w:rsidR="00E00AB3" w:rsidRPr="00092ED7">
        <w:rPr>
          <w:rFonts w:eastAsia="MS PGothic" w:cs="Times New Roman"/>
          <w:bCs/>
          <w:iCs/>
          <w:szCs w:val="24"/>
          <w:lang w:val="sr-Cyrl-CS" w:eastAsia="ja-JP"/>
        </w:rPr>
        <w:t>,</w:t>
      </w:r>
      <w:r w:rsidRPr="00092ED7">
        <w:rPr>
          <w:rFonts w:eastAsia="MS PGothic" w:cs="Times New Roman"/>
          <w:bCs/>
          <w:iCs/>
          <w:szCs w:val="24"/>
          <w:lang w:val="sr-Cyrl-CS" w:eastAsia="ja-JP"/>
        </w:rPr>
        <w:t xml:space="preserve"> сертифиокован од стране </w:t>
      </w:r>
      <w:r w:rsidR="00F347CE" w:rsidRPr="00092ED7">
        <w:rPr>
          <w:rFonts w:eastAsia="MS PGothic" w:cs="Times New Roman"/>
          <w:bCs/>
          <w:iCs/>
          <w:szCs w:val="24"/>
          <w:lang w:val="sr-Cyrl-CS" w:eastAsia="ja-JP"/>
        </w:rPr>
        <w:t>АЕРС</w:t>
      </w:r>
      <w:r w:rsidRPr="00092ED7">
        <w:rPr>
          <w:rFonts w:eastAsia="MS PGothic" w:cs="Times New Roman"/>
          <w:bCs/>
          <w:iCs/>
          <w:szCs w:val="24"/>
          <w:lang w:val="sr-Cyrl-CS" w:eastAsia="ja-JP"/>
        </w:rPr>
        <w:t>, а  по претходно испуњеним условима о раздвајању делатности у складу са Законом о енергетици.</w:t>
      </w:r>
    </w:p>
    <w:p w14:paraId="7C9F12A5" w14:textId="2E453683" w:rsidR="00F13B06" w:rsidRPr="00092ED7" w:rsidRDefault="001D27D0" w:rsidP="00F13B06">
      <w:pPr>
        <w:spacing w:after="60"/>
        <w:rPr>
          <w:rFonts w:eastAsia="MS PGothic" w:cs="Times New Roman"/>
          <w:bCs/>
          <w:iCs/>
          <w:szCs w:val="24"/>
          <w:lang w:val="sr-Cyrl-CS" w:eastAsia="ja-JP"/>
        </w:rPr>
      </w:pPr>
      <w:r w:rsidRPr="00092ED7">
        <w:rPr>
          <w:rFonts w:eastAsia="Calibri" w:cs="Times New Roman"/>
          <w:szCs w:val="24"/>
          <w:lang w:val="sr-Cyrl-CS"/>
        </w:rPr>
        <w:t xml:space="preserve">АЕРС </w:t>
      </w:r>
      <w:r w:rsidR="00F13B06" w:rsidRPr="00092ED7">
        <w:rPr>
          <w:rFonts w:eastAsia="MS PGothic" w:cs="Times New Roman"/>
          <w:bCs/>
          <w:iCs/>
          <w:szCs w:val="24"/>
          <w:lang w:val="sr-Cyrl-CS" w:eastAsia="ja-JP"/>
        </w:rPr>
        <w:t>дала је сагласност на Програм за обезбеђење недискриминаторног понашања који је израдио оператор дистрибутивног система Србије (фебруар 2022. године), као и на Предлог услова за именовање и претходну сагласност на именовање новог Лица за праћење Програма усклађености (јун 2022. године).</w:t>
      </w:r>
    </w:p>
    <w:p w14:paraId="7D9B4CC2" w14:textId="054C48A3"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„Транспортгас Србија</w:t>
      </w:r>
      <w:r w:rsidR="0052060E" w:rsidRPr="00092ED7">
        <w:rPr>
          <w:rFonts w:cs="Times New Roman"/>
          <w:szCs w:val="24"/>
          <w:lang w:val="sr-Cyrl-CS"/>
        </w:rPr>
        <w:t>”</w:t>
      </w:r>
      <w:r w:rsidRPr="00092ED7">
        <w:rPr>
          <w:rFonts w:eastAsia="MS PGothic" w:cs="Times New Roman"/>
          <w:bCs/>
          <w:iCs/>
          <w:szCs w:val="24"/>
          <w:lang w:val="sr-Cyrl-CS" w:eastAsia="ja-JP"/>
        </w:rPr>
        <w:t xml:space="preserve"> д.о.о. </w:t>
      </w:r>
      <w:r w:rsidR="00CF3AED" w:rsidRPr="00092ED7">
        <w:rPr>
          <w:rFonts w:eastAsia="MS PGothic" w:cs="Times New Roman"/>
          <w:bCs/>
          <w:iCs/>
          <w:szCs w:val="24"/>
          <w:lang w:val="sr-Cyrl-CS" w:eastAsia="ja-JP"/>
        </w:rPr>
        <w:t xml:space="preserve">Нови Сад </w:t>
      </w:r>
      <w:r w:rsidRPr="00092ED7">
        <w:rPr>
          <w:rFonts w:eastAsia="MS PGothic" w:cs="Times New Roman"/>
          <w:bCs/>
          <w:iCs/>
          <w:szCs w:val="24"/>
          <w:lang w:val="sr-Cyrl-CS" w:eastAsia="ja-JP"/>
        </w:rPr>
        <w:t xml:space="preserve">одустао </w:t>
      </w:r>
      <w:r w:rsidR="00CF3AED" w:rsidRPr="00092ED7">
        <w:rPr>
          <w:rFonts w:eastAsia="MS PGothic" w:cs="Times New Roman"/>
          <w:bCs/>
          <w:iCs/>
          <w:szCs w:val="24"/>
          <w:lang w:val="sr-Cyrl-CS" w:eastAsia="ja-JP"/>
        </w:rPr>
        <w:t xml:space="preserve">је </w:t>
      </w:r>
      <w:r w:rsidRPr="00092ED7">
        <w:rPr>
          <w:rFonts w:eastAsia="MS PGothic" w:cs="Times New Roman"/>
          <w:bCs/>
          <w:iCs/>
          <w:szCs w:val="24"/>
          <w:lang w:val="sr-Cyrl-CS" w:eastAsia="ja-JP"/>
        </w:rPr>
        <w:t xml:space="preserve">од захтева за сертификацију по ИСО моделу (март 2022. године), након чега је </w:t>
      </w:r>
      <w:r w:rsidR="001D27D0" w:rsidRPr="00092ED7">
        <w:rPr>
          <w:rFonts w:eastAsia="Calibri" w:cs="Times New Roman"/>
          <w:szCs w:val="24"/>
          <w:lang w:val="sr-Cyrl-CS"/>
        </w:rPr>
        <w:t xml:space="preserve">АЕРС </w:t>
      </w:r>
      <w:r w:rsidRPr="00092ED7">
        <w:rPr>
          <w:rFonts w:eastAsia="MS PGothic" w:cs="Times New Roman"/>
          <w:bCs/>
          <w:iCs/>
          <w:szCs w:val="24"/>
          <w:lang w:val="sr-Cyrl-CS" w:eastAsia="ja-JP"/>
        </w:rPr>
        <w:t xml:space="preserve">обуставила процедуру сертификације. </w:t>
      </w:r>
      <w:r w:rsidR="001D27D0" w:rsidRPr="00092ED7">
        <w:rPr>
          <w:rFonts w:eastAsia="Calibri" w:cs="Times New Roman"/>
          <w:szCs w:val="24"/>
          <w:lang w:val="sr-Cyrl-CS"/>
        </w:rPr>
        <w:t>АЕРС</w:t>
      </w:r>
      <w:r w:rsidRPr="00092ED7">
        <w:rPr>
          <w:rFonts w:eastAsia="MS PGothic" w:cs="Times New Roman"/>
          <w:bCs/>
          <w:iCs/>
          <w:szCs w:val="24"/>
          <w:lang w:val="sr-Cyrl-CS" w:eastAsia="ja-JP"/>
        </w:rPr>
        <w:t xml:space="preserve"> је у марту 2022. године потврдила сертификат издат </w:t>
      </w:r>
      <w:r w:rsidR="00CF3AED" w:rsidRPr="00092ED7">
        <w:rPr>
          <w:rFonts w:eastAsia="MS PGothic" w:cs="Times New Roman"/>
          <w:bCs/>
          <w:iCs/>
          <w:szCs w:val="24"/>
          <w:lang w:val="sr-Cyrl-CS" w:eastAsia="ja-JP"/>
        </w:rPr>
        <w:t>„</w:t>
      </w:r>
      <w:r w:rsidRPr="00092ED7">
        <w:rPr>
          <w:rFonts w:eastAsia="MS PGothic" w:cs="Times New Roman"/>
          <w:bCs/>
          <w:iCs/>
          <w:szCs w:val="24"/>
          <w:lang w:val="sr-Cyrl-CS" w:eastAsia="ja-JP"/>
        </w:rPr>
        <w:t>Гастранс</w:t>
      </w:r>
      <w:r w:rsidR="00183A80" w:rsidRPr="00092ED7">
        <w:rPr>
          <w:rFonts w:eastAsia="MS PGothic" w:cs="Times New Roman"/>
          <w:bCs/>
          <w:iCs/>
          <w:szCs w:val="24"/>
          <w:lang w:val="sr-Cyrl-CS" w:eastAsia="ja-JP"/>
        </w:rPr>
        <w:t>ˮ</w:t>
      </w:r>
      <w:r w:rsidRPr="00092ED7">
        <w:rPr>
          <w:rFonts w:eastAsia="MS PGothic" w:cs="Times New Roman"/>
          <w:bCs/>
          <w:iCs/>
          <w:szCs w:val="24"/>
          <w:lang w:val="sr-Cyrl-CS" w:eastAsia="ja-JP"/>
        </w:rPr>
        <w:t xml:space="preserve"> д.о.о. </w:t>
      </w:r>
      <w:r w:rsidR="00CF3AED" w:rsidRPr="00092ED7">
        <w:rPr>
          <w:rFonts w:eastAsia="MS PGothic" w:cs="Times New Roman"/>
          <w:bCs/>
          <w:iCs/>
          <w:szCs w:val="24"/>
          <w:lang w:val="sr-Cyrl-CS" w:eastAsia="ja-JP"/>
        </w:rPr>
        <w:t>Нови Сад.</w:t>
      </w:r>
    </w:p>
    <w:p w14:paraId="49DCA264" w14:textId="2DCF3032" w:rsidR="00F13B06" w:rsidRPr="00092ED7" w:rsidRDefault="00F13B06" w:rsidP="00C541DC">
      <w:pPr>
        <w:spacing w:after="60"/>
        <w:rPr>
          <w:rFonts w:eastAsia="MS PGothic" w:cs="Times New Roman"/>
          <w:bCs/>
          <w:iCs/>
          <w:szCs w:val="24"/>
          <w:lang w:val="sr-Cyrl-CS" w:eastAsia="ja-JP"/>
        </w:rPr>
      </w:pPr>
      <w:r w:rsidRPr="00092ED7">
        <w:rPr>
          <w:rFonts w:eastAsia="MS PGothic" w:cs="Times New Roman"/>
          <w:bCs/>
          <w:iCs/>
          <w:szCs w:val="24"/>
          <w:lang w:val="sr-Cyrl-CS" w:eastAsia="ja-JP"/>
        </w:rPr>
        <w:t>Република Србија је у марту 2021. године усвојила Закон о климатским променама („Сл</w:t>
      </w:r>
      <w:r w:rsidR="0093225E" w:rsidRPr="00092ED7">
        <w:rPr>
          <w:rFonts w:eastAsia="MS PGothic" w:cs="Times New Roman"/>
          <w:bCs/>
          <w:iCs/>
          <w:szCs w:val="24"/>
          <w:lang w:val="sr-Cyrl-CS" w:eastAsia="ja-JP"/>
        </w:rPr>
        <w:t>ужбени</w:t>
      </w:r>
      <w:r w:rsidRPr="00092ED7">
        <w:rPr>
          <w:rFonts w:eastAsia="MS PGothic" w:cs="Times New Roman"/>
          <w:bCs/>
          <w:iCs/>
          <w:szCs w:val="24"/>
          <w:lang w:val="sr-Cyrl-CS" w:eastAsia="ja-JP"/>
        </w:rPr>
        <w:t xml:space="preserve"> гласник РС”, бр</w:t>
      </w:r>
      <w:r w:rsidR="0093225E" w:rsidRPr="00092ED7">
        <w:rPr>
          <w:rFonts w:eastAsia="MS PGothic" w:cs="Times New Roman"/>
          <w:bCs/>
          <w:iCs/>
          <w:szCs w:val="24"/>
          <w:lang w:val="sr-Cyrl-CS" w:eastAsia="ja-JP"/>
        </w:rPr>
        <w:t>ој</w:t>
      </w:r>
      <w:r w:rsidRPr="00092ED7">
        <w:rPr>
          <w:rFonts w:eastAsia="MS PGothic" w:cs="Times New Roman"/>
          <w:bCs/>
          <w:iCs/>
          <w:szCs w:val="24"/>
          <w:lang w:val="sr-Cyrl-CS" w:eastAsia="ja-JP"/>
        </w:rPr>
        <w:t xml:space="preserve"> 26/21) у циљу успостављања система за ограничавање</w:t>
      </w:r>
      <w:r w:rsidR="006105B6" w:rsidRPr="00092ED7">
        <w:rPr>
          <w:rFonts w:eastAsia="MS PGothic" w:cs="Times New Roman"/>
          <w:bCs/>
          <w:iCs/>
          <w:szCs w:val="24"/>
          <w:lang w:val="sr-Cyrl-CS" w:eastAsia="ja-JP"/>
        </w:rPr>
        <w:t xml:space="preserve">/смањење емисија </w:t>
      </w:r>
      <w:r w:rsidRPr="00092ED7">
        <w:rPr>
          <w:rFonts w:eastAsia="MS PGothic" w:cs="Times New Roman"/>
          <w:bCs/>
          <w:iCs/>
          <w:szCs w:val="24"/>
          <w:lang w:val="sr-Cyrl-CS" w:eastAsia="ja-JP"/>
        </w:rPr>
        <w:t xml:space="preserve">гасова </w:t>
      </w:r>
      <w:r w:rsidR="006105B6" w:rsidRPr="00092ED7">
        <w:rPr>
          <w:rFonts w:eastAsia="MS PGothic" w:cs="Times New Roman"/>
          <w:bCs/>
          <w:iCs/>
          <w:szCs w:val="24"/>
          <w:lang w:val="sr-Cyrl-CS" w:eastAsia="ja-JP"/>
        </w:rPr>
        <w:t xml:space="preserve">са ефектом </w:t>
      </w:r>
      <w:r w:rsidRPr="00092ED7">
        <w:rPr>
          <w:rFonts w:eastAsia="MS PGothic" w:cs="Times New Roman"/>
          <w:bCs/>
          <w:iCs/>
          <w:szCs w:val="24"/>
          <w:lang w:val="sr-Cyrl-CS" w:eastAsia="ja-JP"/>
        </w:rPr>
        <w:t xml:space="preserve">стаклене баште и испуњавања међународних обавеза. Законом о климатским променама предвиђено је доношење </w:t>
      </w:r>
      <w:r w:rsidR="00183A80" w:rsidRPr="00092ED7">
        <w:rPr>
          <w:rFonts w:eastAsia="MS PGothic" w:cs="Times New Roman"/>
          <w:bCs/>
          <w:iCs/>
          <w:szCs w:val="24"/>
          <w:lang w:val="sr-Cyrl-CS" w:eastAsia="ja-JP"/>
        </w:rPr>
        <w:t>с</w:t>
      </w:r>
      <w:r w:rsidRPr="00092ED7">
        <w:rPr>
          <w:rFonts w:eastAsia="MS PGothic" w:cs="Times New Roman"/>
          <w:bCs/>
          <w:iCs/>
          <w:szCs w:val="24"/>
          <w:lang w:val="sr-Cyrl-CS" w:eastAsia="ja-JP"/>
        </w:rPr>
        <w:t xml:space="preserve">тратегије нискоугљеничног развоја са </w:t>
      </w:r>
      <w:r w:rsidR="00183A80" w:rsidRPr="00092ED7">
        <w:rPr>
          <w:rFonts w:eastAsia="MS PGothic" w:cs="Times New Roman"/>
          <w:bCs/>
          <w:iCs/>
          <w:szCs w:val="24"/>
          <w:lang w:val="sr-Cyrl-CS" w:eastAsia="ja-JP"/>
        </w:rPr>
        <w:t>а</w:t>
      </w:r>
      <w:r w:rsidRPr="00092ED7">
        <w:rPr>
          <w:rFonts w:eastAsia="MS PGothic" w:cs="Times New Roman"/>
          <w:bCs/>
          <w:iCs/>
          <w:szCs w:val="24"/>
          <w:lang w:val="sr-Cyrl-CS" w:eastAsia="ja-JP"/>
        </w:rPr>
        <w:t>кционим планом у року од две године од дана ступања на снагу закона.</w:t>
      </w:r>
    </w:p>
    <w:p w14:paraId="304EB02B"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6. Смањити сиромаштво повећањем адекватности давања из шема новчане социјалне помоћи за појединце и породице са децом,</w:t>
      </w:r>
    </w:p>
    <w:p w14:paraId="55C9334B" w14:textId="7450F04F"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У складу са Законом о социјалној заштити</w:t>
      </w:r>
      <w:r w:rsidR="00CF3AED" w:rsidRPr="00092ED7">
        <w:rPr>
          <w:rFonts w:eastAsia="MS PGothic" w:cs="Times New Roman"/>
          <w:bCs/>
          <w:iCs/>
          <w:szCs w:val="24"/>
          <w:lang w:val="sr-Cyrl-CS" w:eastAsia="ja-JP"/>
        </w:rPr>
        <w:t xml:space="preserve"> („Службени гласник РС</w:t>
      </w:r>
      <w:r w:rsidR="00CF3AED" w:rsidRPr="00092ED7">
        <w:rPr>
          <w:rFonts w:cs="Times New Roman"/>
          <w:szCs w:val="24"/>
          <w:lang w:val="sr-Cyrl-CS"/>
        </w:rPr>
        <w:t>”</w:t>
      </w:r>
      <w:r w:rsidR="00502CFD" w:rsidRPr="00092ED7">
        <w:rPr>
          <w:rFonts w:cs="Times New Roman"/>
          <w:szCs w:val="24"/>
          <w:lang w:val="sr-Cyrl-CS"/>
        </w:rPr>
        <w:t>, бр. 24/11 и 117/22-УС)</w:t>
      </w:r>
      <w:r w:rsidRPr="00092ED7">
        <w:rPr>
          <w:rFonts w:eastAsia="MS PGothic" w:cs="Times New Roman"/>
          <w:bCs/>
          <w:iCs/>
          <w:szCs w:val="24"/>
          <w:lang w:val="sr-Cyrl-CS" w:eastAsia="ja-JP"/>
        </w:rPr>
        <w:t>, основица за одређивање новчане социјалне помоћи усклађује се са индексом потрошачких цена у претходних шест месеци, на основу статистичких података, два пута годишње, 1. априла и 1. октобра.</w:t>
      </w:r>
    </w:p>
    <w:p w14:paraId="22C19DA3" w14:textId="72AD0563"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Од 1. априла 2022. године номинални износ новчане социјалне помоћи за појединца износи 9.580 динара, што је за 465 динара (око </w:t>
      </w:r>
      <w:r w:rsidR="00502CFD" w:rsidRPr="00092ED7">
        <w:rPr>
          <w:rFonts w:eastAsia="MS PGothic" w:cs="Times New Roman"/>
          <w:bCs/>
          <w:iCs/>
          <w:szCs w:val="24"/>
          <w:lang w:val="sr-Cyrl-CS" w:eastAsia="ja-JP"/>
        </w:rPr>
        <w:t xml:space="preserve">четири </w:t>
      </w:r>
      <w:r w:rsidRPr="00092ED7">
        <w:rPr>
          <w:rFonts w:eastAsia="MS PGothic" w:cs="Times New Roman"/>
          <w:bCs/>
          <w:iCs/>
          <w:szCs w:val="24"/>
          <w:lang w:val="sr-Cyrl-CS" w:eastAsia="ja-JP"/>
        </w:rPr>
        <w:t>евра) више у односу на октобар 2021. године. Номинални износ новчане социјалне помоћи за појединца у октобру 2021.</w:t>
      </w:r>
      <w:r w:rsidR="00502CFD" w:rsidRPr="00092ED7">
        <w:rPr>
          <w:rFonts w:eastAsia="MS PGothic" w:cs="Times New Roman"/>
          <w:bCs/>
          <w:iCs/>
          <w:szCs w:val="24"/>
          <w:lang w:val="sr-Cyrl-CS" w:eastAsia="ja-JP"/>
        </w:rPr>
        <w:t xml:space="preserve"> године</w:t>
      </w:r>
      <w:r w:rsidRPr="00092ED7">
        <w:rPr>
          <w:rFonts w:eastAsia="MS PGothic" w:cs="Times New Roman"/>
          <w:bCs/>
          <w:iCs/>
          <w:szCs w:val="24"/>
          <w:lang w:val="sr-Cyrl-CS" w:eastAsia="ja-JP"/>
        </w:rPr>
        <w:t xml:space="preserve"> износио је 9.115 динара).</w:t>
      </w:r>
    </w:p>
    <w:p w14:paraId="78C94470" w14:textId="13A9BA8C" w:rsidR="00F13B06" w:rsidRPr="00092ED7" w:rsidRDefault="00502CFD" w:rsidP="00F13B06">
      <w:pPr>
        <w:spacing w:after="60"/>
        <w:rPr>
          <w:rFonts w:eastAsia="MS PGothic" w:cs="Times New Roman"/>
          <w:bCs/>
          <w:iCs/>
          <w:szCs w:val="24"/>
          <w:lang w:val="sr-Cyrl-CS" w:eastAsia="ja-JP"/>
        </w:rPr>
      </w:pPr>
      <w:r w:rsidRPr="00092ED7">
        <w:rPr>
          <w:lang w:val="sr-Cyrl-CS"/>
        </w:rPr>
        <w:t xml:space="preserve">Законом о буџету Републике Србије </w:t>
      </w:r>
      <w:r w:rsidR="00F13B06" w:rsidRPr="00092ED7">
        <w:rPr>
          <w:lang w:val="sr-Cyrl-CS"/>
        </w:rPr>
        <w:t xml:space="preserve">за 2023. </w:t>
      </w:r>
      <w:r w:rsidRPr="00092ED7">
        <w:rPr>
          <w:lang w:val="sr-Cyrl-CS"/>
        </w:rPr>
        <w:t>г</w:t>
      </w:r>
      <w:r w:rsidR="00F13B06" w:rsidRPr="00092ED7">
        <w:rPr>
          <w:lang w:val="sr-Cyrl-CS"/>
        </w:rPr>
        <w:t>одину</w:t>
      </w:r>
      <w:r w:rsidRPr="00092ED7">
        <w:rPr>
          <w:lang w:val="sr-Cyrl-CS"/>
        </w:rPr>
        <w:t xml:space="preserve"> („Службени гласник РС</w:t>
      </w:r>
      <w:r w:rsidRPr="00092ED7">
        <w:rPr>
          <w:rFonts w:cs="Times New Roman"/>
          <w:szCs w:val="24"/>
          <w:lang w:val="sr-Cyrl-CS"/>
        </w:rPr>
        <w:t xml:space="preserve">”, број 138/22) </w:t>
      </w:r>
      <w:r w:rsidR="00F13B06" w:rsidRPr="00092ED7">
        <w:rPr>
          <w:lang w:val="sr-Cyrl-CS"/>
        </w:rPr>
        <w:t xml:space="preserve">опредељена су средства за права у области социјалне заштите у износу који је усклађен са постојећим нормативним оквиром. Свака измена прописа, односно промена или повећање права значи и повећање средстава за исплату ових права. Разматрано је више варијанти које ће допринети повећању новчане социјалне помоћи, али сматра се да је потребно сачекати ефекте примене </w:t>
      </w:r>
      <w:r w:rsidRPr="00092ED7">
        <w:rPr>
          <w:lang w:val="sr-Cyrl-CS"/>
        </w:rPr>
        <w:t>Закона о социјалној карти („Службени гласник РС</w:t>
      </w:r>
      <w:r w:rsidRPr="00092ED7">
        <w:rPr>
          <w:rFonts w:cs="Times New Roman"/>
          <w:szCs w:val="24"/>
          <w:lang w:val="sr-Cyrl-CS"/>
        </w:rPr>
        <w:t xml:space="preserve">”, број 14/21) </w:t>
      </w:r>
      <w:r w:rsidR="00385C63" w:rsidRPr="00092ED7">
        <w:rPr>
          <w:lang w:val="sr-Cyrl-CS"/>
        </w:rPr>
        <w:t>и евентуалне уштеде, што ће</w:t>
      </w:r>
      <w:r w:rsidR="00F13B06" w:rsidRPr="00092ED7">
        <w:rPr>
          <w:lang w:val="sr-Cyrl-CS"/>
        </w:rPr>
        <w:t xml:space="preserve"> у условима буџетских ограничења </w:t>
      </w:r>
      <w:r w:rsidRPr="00092ED7">
        <w:rPr>
          <w:lang w:val="sr-Cyrl-CS"/>
        </w:rPr>
        <w:t xml:space="preserve">допринети </w:t>
      </w:r>
      <w:r w:rsidR="00F13B06" w:rsidRPr="00092ED7">
        <w:rPr>
          <w:lang w:val="sr-Cyrl-CS"/>
        </w:rPr>
        <w:t>повећању новчане социјалне помоћи.</w:t>
      </w:r>
    </w:p>
    <w:p w14:paraId="5C536ECD"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као и значајним повећањем неопорезиве основице зараде које је близу или на нивоу једнаком минималној заради за раднике.</w:t>
      </w:r>
    </w:p>
    <w:p w14:paraId="07CEA0E4" w14:textId="280EC07D"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 xml:space="preserve">У документима </w:t>
      </w:r>
      <w:r w:rsidR="00607305" w:rsidRPr="00092ED7">
        <w:rPr>
          <w:rFonts w:eastAsia="MS PGothic" w:cs="Times New Roman"/>
          <w:bCs/>
          <w:iCs/>
          <w:szCs w:val="24"/>
          <w:lang w:val="sr-Cyrl-CS" w:eastAsia="ja-JP"/>
        </w:rPr>
        <w:t>ф</w:t>
      </w:r>
      <w:r w:rsidRPr="00092ED7">
        <w:rPr>
          <w:rFonts w:eastAsia="MS PGothic" w:cs="Times New Roman"/>
          <w:bCs/>
          <w:iCs/>
          <w:szCs w:val="24"/>
          <w:lang w:val="sr-Cyrl-CS" w:eastAsia="ja-JP"/>
        </w:rPr>
        <w:t>искалне стратегије о циљевима фискалне политике</w:t>
      </w:r>
      <w:r w:rsidR="00502CFD" w:rsidRPr="00092ED7">
        <w:rPr>
          <w:rFonts w:eastAsia="MS PGothic" w:cs="Times New Roman"/>
          <w:bCs/>
          <w:iCs/>
          <w:szCs w:val="24"/>
          <w:lang w:val="sr-Cyrl-CS" w:eastAsia="ja-JP"/>
        </w:rPr>
        <w:t>,</w:t>
      </w:r>
      <w:r w:rsidRPr="00092ED7">
        <w:rPr>
          <w:rFonts w:eastAsia="MS PGothic" w:cs="Times New Roman"/>
          <w:bCs/>
          <w:iCs/>
          <w:szCs w:val="24"/>
          <w:lang w:val="sr-Cyrl-CS" w:eastAsia="ja-JP"/>
        </w:rPr>
        <w:t xml:space="preserve"> који се односе на </w:t>
      </w:r>
      <w:r w:rsidR="008354EB" w:rsidRPr="00092ED7">
        <w:rPr>
          <w:rFonts w:eastAsia="MS PGothic" w:cs="Times New Roman"/>
          <w:bCs/>
          <w:iCs/>
          <w:szCs w:val="24"/>
          <w:lang w:val="sr-Cyrl-CS" w:eastAsia="ja-JP"/>
        </w:rPr>
        <w:t xml:space="preserve">период од 2018. до 2023. </w:t>
      </w:r>
      <w:r w:rsidRPr="00092ED7">
        <w:rPr>
          <w:rFonts w:eastAsia="MS PGothic" w:cs="Times New Roman"/>
          <w:bCs/>
          <w:iCs/>
          <w:szCs w:val="24"/>
          <w:lang w:val="sr-Cyrl-CS" w:eastAsia="ja-JP"/>
        </w:rPr>
        <w:t>године</w:t>
      </w:r>
      <w:r w:rsidR="00B923FD"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 xml:space="preserve">опредељено је смањење фискалног оптерећења рада кроз смањење пореза и доприноса на зараде. Смањење фискалног оптерећења рада реализује се повећањем неопорезивог износа зараде и смањењем стопе доприноса за обавезно социјално осигурање, а све у зависности од створеног додатног фискалног простора који може да се искористи за смањење пореског оптерећења зарада. </w:t>
      </w:r>
    </w:p>
    <w:p w14:paraId="1CFF0C51" w14:textId="18933F6D"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Прогресивно опорезивање зарада остварује се тако што се порез не плаћа на зараде до висине прописаног неопорезивог износа. На овај начин ослобођене су од дела пореза најниже зараде тако што се порез не плаћа на прописани неопорезиви износ. У 2022. години не опорезује се део зараде у износу од 19.300 динара месечно. Истичемо да је повећан неопорезиви износ зараде, за 2023. годину, на  21.712 динара месечно. Иначе, годишње се врши повећање неопорезивог износа зараде усклађивањем годишњ</w:t>
      </w:r>
      <w:r w:rsidR="00B923FD" w:rsidRPr="00092ED7">
        <w:rPr>
          <w:rFonts w:eastAsia="MS PGothic" w:cs="Times New Roman"/>
          <w:bCs/>
          <w:iCs/>
          <w:szCs w:val="24"/>
          <w:lang w:val="sr-Cyrl-CS" w:eastAsia="ja-JP"/>
        </w:rPr>
        <w:t>ег</w:t>
      </w:r>
      <w:r w:rsidR="00913899"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индекс</w:t>
      </w:r>
      <w:r w:rsidR="00B923FD" w:rsidRPr="00092ED7">
        <w:rPr>
          <w:rFonts w:eastAsia="MS PGothic" w:cs="Times New Roman"/>
          <w:bCs/>
          <w:iCs/>
          <w:szCs w:val="24"/>
          <w:lang w:val="sr-Cyrl-CS" w:eastAsia="ja-JP"/>
        </w:rPr>
        <w:t>а</w:t>
      </w:r>
      <w:r w:rsidR="00913899"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 xml:space="preserve">потрошачких цена. </w:t>
      </w:r>
    </w:p>
    <w:p w14:paraId="7F884FD2" w14:textId="77777777"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 xml:space="preserve">Поред тога, прогресија се остварује и опорезивањем годишњим порезом на доходак грађана. Зараде (као и други приходи по основу рада) које физичка лица остваре у току календарске године, опорезују се и додатним годишњим порезом на доходак грађана по истеку календарске године. Предмет опорезивања годишњим порезом је доходак остварен у календарској години који је виши од прописаног неопорезивог износа (троструки износ просечне годишње зараде). Стопа годишњег пореза на доходак грађана је прогресивна и износи 10% за опорезиви доходак до износа шестоструке просечне годишње зараде и 15% за опорезиви доходак преко наведеног износа. </w:t>
      </w:r>
    </w:p>
    <w:p w14:paraId="2B6B27AC" w14:textId="77777777"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У оквиру мера фискалног растерећења зарада смањене су стопе доприноса за обавезно социјално осигурање, и то стопе доприноса за осигурање за случај незапослености, са 1,5% на 0,75% (на начин да је послодавац ослобођен од плаћања дела доприноса који се обрачунава и плаћа на његов терет у висини од 0,75%, док се на терет запосленог плаћа допринос по стопи од 0,75%) са применом од 1. јануара 2019. године и стопе доприноса за обавезно пензијско и инвалидско осигурање, са 26% на 25,5%, са применом од 1. јануара 2020. године и са 25,5% на 25%, са применом од 1. јануара 2022. године. Такође, додатно је смањена стопа доприноса за обавезно пензијско и инвалидско осигурање са  25% на 24%, са применом од 1. јануара 2023. године.</w:t>
      </w:r>
    </w:p>
    <w:p w14:paraId="48DDB90A"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Наставити са олакшавањем преласка из школе на радно место појачавањем даљег стручног образовања, укључујући дуално стручно образовање, кроз ревидирани наставни план и програм и обезбеђивање инфраструктуре која омогућава стицање практичних вештина.</w:t>
      </w:r>
    </w:p>
    <w:p w14:paraId="7D10A060" w14:textId="2856200F"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За школску 2022/2023 годину развијено је 65 дуалних образовних профила са стандардима квалификација. Припремљена је методологија за израду планова и програма наставе и учења за дуалне образовне профиле. Методологија је у употреби и у складу са овом методологијом Завод за унапређивање образовања и васпитања развија нове планове и програме и модернизује постојеће. У складу са Законом о дуалном образовању</w:t>
      </w:r>
      <w:r w:rsidR="00B923FD" w:rsidRPr="00092ED7">
        <w:rPr>
          <w:rFonts w:eastAsia="MS PGothic" w:cs="Times New Roman"/>
          <w:bCs/>
          <w:iCs/>
          <w:szCs w:val="24"/>
          <w:lang w:val="sr-Cyrl-CS" w:eastAsia="ja-JP"/>
        </w:rPr>
        <w:t xml:space="preserve"> </w:t>
      </w:r>
      <w:bookmarkStart w:id="7" w:name="_Hlk125442777"/>
      <w:r w:rsidR="00B923FD" w:rsidRPr="00092ED7">
        <w:rPr>
          <w:lang w:val="sr-Cyrl-CS"/>
        </w:rPr>
        <w:t>(„Службени гласник РС</w:t>
      </w:r>
      <w:r w:rsidR="00B923FD" w:rsidRPr="00092ED7">
        <w:rPr>
          <w:rFonts w:cs="Times New Roman"/>
          <w:szCs w:val="24"/>
          <w:lang w:val="sr-Cyrl-CS"/>
        </w:rPr>
        <w:t>”, бр. 101/17 и 6/20)</w:t>
      </w:r>
      <w:bookmarkEnd w:id="7"/>
      <w:r w:rsidRPr="00092ED7">
        <w:rPr>
          <w:rFonts w:eastAsia="MS PGothic" w:cs="Times New Roman"/>
          <w:bCs/>
          <w:iCs/>
          <w:szCs w:val="24"/>
          <w:lang w:val="sr-Cyrl-CS" w:eastAsia="ja-JP"/>
        </w:rPr>
        <w:t>, основ за доношење планова и програма наставе и учења представља стандард квалификације који утврђује секторско веће за одређени сектор рада, у складу са законом који</w:t>
      </w:r>
      <w:r w:rsidR="00B15CB4" w:rsidRPr="00092ED7">
        <w:rPr>
          <w:rFonts w:eastAsia="MS PGothic" w:cs="Times New Roman"/>
          <w:bCs/>
          <w:iCs/>
          <w:szCs w:val="24"/>
          <w:lang w:val="sr-Cyrl-CS" w:eastAsia="ja-JP"/>
        </w:rPr>
        <w:t>м се</w:t>
      </w:r>
      <w:r w:rsidRPr="00092ED7">
        <w:rPr>
          <w:rFonts w:eastAsia="MS PGothic" w:cs="Times New Roman"/>
          <w:bCs/>
          <w:iCs/>
          <w:szCs w:val="24"/>
          <w:lang w:val="sr-Cyrl-CS" w:eastAsia="ja-JP"/>
        </w:rPr>
        <w:t xml:space="preserve"> уређује национални оквир квалификација. Део сваког плана и програма наставе и учења за дуалне образоване профиле је „учење кроз рад</w:t>
      </w:r>
      <w:r w:rsidR="00967DE6" w:rsidRPr="00092ED7">
        <w:rPr>
          <w:rFonts w:cs="Times New Roman"/>
          <w:szCs w:val="24"/>
          <w:lang w:val="sr-Cyrl-CS"/>
        </w:rPr>
        <w:t>”</w:t>
      </w:r>
      <w:r w:rsidRPr="00092ED7">
        <w:rPr>
          <w:rFonts w:eastAsia="MS PGothic" w:cs="Times New Roman"/>
          <w:bCs/>
          <w:iCs/>
          <w:szCs w:val="24"/>
          <w:lang w:val="sr-Cyrl-CS" w:eastAsia="ja-JP"/>
        </w:rPr>
        <w:t>, које представља организован процес током кога ученици, под вођством и надзором инструктора и координатора учења кроз рад, у реалној радној околини код послодавца стичу компетенције за рад у одређеном занимању или групи занимања. Тренутно се ради на промени прописа који регулишу рад регионалних тренинг центара. Успостављање законског оквира ће регулисати организацију и функционисање регионалних тренинг центара. Тренутно се ради и на изменама и допунама закона који</w:t>
      </w:r>
      <w:r w:rsidR="00B15CB4" w:rsidRPr="00092ED7">
        <w:rPr>
          <w:rFonts w:eastAsia="MS PGothic" w:cs="Times New Roman"/>
          <w:bCs/>
          <w:iCs/>
          <w:szCs w:val="24"/>
          <w:lang w:val="sr-Cyrl-CS" w:eastAsia="ja-JP"/>
        </w:rPr>
        <w:t>ма се</w:t>
      </w:r>
      <w:r w:rsidRPr="00092ED7">
        <w:rPr>
          <w:rFonts w:eastAsia="MS PGothic" w:cs="Times New Roman"/>
          <w:bCs/>
          <w:iCs/>
          <w:szCs w:val="24"/>
          <w:lang w:val="sr-Cyrl-CS" w:eastAsia="ja-JP"/>
        </w:rPr>
        <w:t xml:space="preserve"> </w:t>
      </w:r>
      <w:r w:rsidR="00B15CB4" w:rsidRPr="00092ED7">
        <w:rPr>
          <w:rFonts w:eastAsia="MS PGothic" w:cs="Times New Roman"/>
          <w:bCs/>
          <w:iCs/>
          <w:szCs w:val="24"/>
          <w:lang w:val="sr-Cyrl-CS" w:eastAsia="ja-JP"/>
        </w:rPr>
        <w:t xml:space="preserve">уређује </w:t>
      </w:r>
      <w:r w:rsidRPr="00092ED7">
        <w:rPr>
          <w:rFonts w:eastAsia="MS PGothic" w:cs="Times New Roman"/>
          <w:bCs/>
          <w:iCs/>
          <w:szCs w:val="24"/>
          <w:lang w:val="sr-Cyrl-CS" w:eastAsia="ja-JP"/>
        </w:rPr>
        <w:t>дуално образовање, на нивоу средњег стручног образовања, као и неформално образовање како бисмо обезбедили чвршћу повезаност са привредом. Уредбом</w:t>
      </w:r>
      <w:r w:rsidR="00B15CB4" w:rsidRPr="00092ED7">
        <w:rPr>
          <w:rFonts w:eastAsia="MS PGothic" w:cs="Times New Roman"/>
          <w:bCs/>
          <w:iCs/>
          <w:szCs w:val="24"/>
          <w:lang w:val="sr-Cyrl-CS" w:eastAsia="ja-JP"/>
        </w:rPr>
        <w:t xml:space="preserve"> о оснивању Канцеларије за дуално образовање и Национални оквир квалификација</w:t>
      </w:r>
      <w:r w:rsidRPr="00092ED7">
        <w:rPr>
          <w:rFonts w:eastAsia="MS PGothic" w:cs="Times New Roman"/>
          <w:bCs/>
          <w:iCs/>
          <w:szCs w:val="24"/>
          <w:lang w:val="sr-Cyrl-CS" w:eastAsia="ja-JP"/>
        </w:rPr>
        <w:t xml:space="preserve"> („Сл</w:t>
      </w:r>
      <w:r w:rsidR="00012425" w:rsidRPr="00092ED7">
        <w:rPr>
          <w:rFonts w:eastAsia="MS PGothic" w:cs="Times New Roman"/>
          <w:bCs/>
          <w:iCs/>
          <w:szCs w:val="24"/>
          <w:lang w:val="sr-Cyrl-CS" w:eastAsia="ja-JP"/>
        </w:rPr>
        <w:t>ужбени</w:t>
      </w:r>
      <w:r w:rsidRPr="00092ED7">
        <w:rPr>
          <w:rFonts w:eastAsia="MS PGothic" w:cs="Times New Roman"/>
          <w:bCs/>
          <w:iCs/>
          <w:szCs w:val="24"/>
          <w:lang w:val="sr-Cyrl-CS" w:eastAsia="ja-JP"/>
        </w:rPr>
        <w:t xml:space="preserve"> гласник РС</w:t>
      </w:r>
      <w:r w:rsidR="00012425" w:rsidRPr="00092ED7">
        <w:rPr>
          <w:rFonts w:cs="Times New Roman"/>
          <w:szCs w:val="24"/>
          <w:lang w:val="sr-Cyrl-CS"/>
        </w:rPr>
        <w:t>”</w:t>
      </w:r>
      <w:r w:rsidRPr="00092ED7">
        <w:rPr>
          <w:rFonts w:eastAsia="MS PGothic" w:cs="Times New Roman"/>
          <w:bCs/>
          <w:iCs/>
          <w:szCs w:val="24"/>
          <w:lang w:val="sr-Cyrl-CS" w:eastAsia="ja-JP"/>
        </w:rPr>
        <w:t>, бр</w:t>
      </w:r>
      <w:r w:rsidR="00012425" w:rsidRPr="00092ED7">
        <w:rPr>
          <w:rFonts w:eastAsia="MS PGothic" w:cs="Times New Roman"/>
          <w:bCs/>
          <w:iCs/>
          <w:szCs w:val="24"/>
          <w:lang w:val="sr-Cyrl-CS" w:eastAsia="ja-JP"/>
        </w:rPr>
        <w:t>ој</w:t>
      </w:r>
      <w:r w:rsidRPr="00092ED7">
        <w:rPr>
          <w:rFonts w:eastAsia="MS PGothic" w:cs="Times New Roman"/>
          <w:bCs/>
          <w:iCs/>
          <w:szCs w:val="24"/>
          <w:lang w:val="sr-Cyrl-CS" w:eastAsia="ja-JP"/>
        </w:rPr>
        <w:t xml:space="preserve"> 124/22), од 10. новембра 2022. године, основана је Канцеларија за дуално образовање и </w:t>
      </w:r>
      <w:r w:rsidR="00A12315" w:rsidRPr="00092ED7">
        <w:rPr>
          <w:rFonts w:eastAsia="MS PGothic" w:cs="Times New Roman"/>
          <w:bCs/>
          <w:iCs/>
          <w:szCs w:val="24"/>
          <w:lang w:val="sr-Cyrl-CS" w:eastAsia="ja-JP"/>
        </w:rPr>
        <w:t>Национални оквир квалификација.</w:t>
      </w:r>
    </w:p>
    <w:p w14:paraId="01E58AB9"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Финализирати План примене гаранција за младе у сарадњи са свим релевантним министарствима, њиховим агенцијама и заинтересованим странама, усвојити и покренути имплементацију Плана.</w:t>
      </w:r>
    </w:p>
    <w:p w14:paraId="5E079AD2" w14:textId="10C641B0"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 xml:space="preserve">Влада  је на седници одржаној 13. јануара 2022. године донела Одлуку </w:t>
      </w:r>
      <w:r w:rsidR="00B15CB4" w:rsidRPr="00092ED7">
        <w:rPr>
          <w:rFonts w:eastAsia="MS PGothic" w:cs="Times New Roman"/>
          <w:bCs/>
          <w:iCs/>
          <w:szCs w:val="24"/>
          <w:lang w:val="sr-Cyrl-CS" w:eastAsia="ja-JP"/>
        </w:rPr>
        <w:t>о оснивању Координационог тела за израду и праћење спровођења Плана имплементације Гаранције за младе („Службени гласник РСˮ, број 4/22), којом је основано</w:t>
      </w:r>
      <w:r w:rsidRPr="00092ED7">
        <w:rPr>
          <w:rFonts w:eastAsia="MS PGothic" w:cs="Times New Roman"/>
          <w:bCs/>
          <w:iCs/>
          <w:szCs w:val="24"/>
          <w:lang w:val="sr-Cyrl-CS" w:eastAsia="ja-JP"/>
        </w:rPr>
        <w:t xml:space="preserve"> Координационо тел</w:t>
      </w:r>
      <w:r w:rsidR="00B15CB4" w:rsidRPr="00092ED7">
        <w:rPr>
          <w:rFonts w:eastAsia="MS PGothic" w:cs="Times New Roman"/>
          <w:bCs/>
          <w:iCs/>
          <w:szCs w:val="24"/>
          <w:lang w:val="sr-Cyrl-CS" w:eastAsia="ja-JP"/>
        </w:rPr>
        <w:t>о</w:t>
      </w:r>
      <w:r w:rsidRPr="00092ED7">
        <w:rPr>
          <w:rFonts w:eastAsia="MS PGothic" w:cs="Times New Roman"/>
          <w:bCs/>
          <w:iCs/>
          <w:szCs w:val="24"/>
          <w:lang w:val="sr-Cyrl-CS" w:eastAsia="ja-JP"/>
        </w:rPr>
        <w:t xml:space="preserve"> за израду и праћење реализације Плана имплементације Гаранције за младе, као и Стручн</w:t>
      </w:r>
      <w:r w:rsidR="00B15CB4" w:rsidRPr="00092ED7">
        <w:rPr>
          <w:rFonts w:eastAsia="MS PGothic" w:cs="Times New Roman"/>
          <w:bCs/>
          <w:iCs/>
          <w:szCs w:val="24"/>
          <w:lang w:val="sr-Cyrl-CS" w:eastAsia="ja-JP"/>
        </w:rPr>
        <w:t>а</w:t>
      </w:r>
      <w:r w:rsidRPr="00092ED7">
        <w:rPr>
          <w:rFonts w:eastAsia="MS PGothic" w:cs="Times New Roman"/>
          <w:bCs/>
          <w:iCs/>
          <w:szCs w:val="24"/>
          <w:lang w:val="sr-Cyrl-CS" w:eastAsia="ja-JP"/>
        </w:rPr>
        <w:t xml:space="preserve"> груп</w:t>
      </w:r>
      <w:r w:rsidR="00B15CB4" w:rsidRPr="00092ED7">
        <w:rPr>
          <w:rFonts w:eastAsia="MS PGothic" w:cs="Times New Roman"/>
          <w:bCs/>
          <w:iCs/>
          <w:szCs w:val="24"/>
          <w:lang w:val="sr-Cyrl-CS" w:eastAsia="ja-JP"/>
        </w:rPr>
        <w:t>а</w:t>
      </w:r>
      <w:r w:rsidRPr="00092ED7">
        <w:rPr>
          <w:rFonts w:eastAsia="MS PGothic" w:cs="Times New Roman"/>
          <w:bCs/>
          <w:iCs/>
          <w:szCs w:val="24"/>
          <w:lang w:val="sr-Cyrl-CS" w:eastAsia="ja-JP"/>
        </w:rPr>
        <w:t xml:space="preserve"> Координационог тела са задатком спровођење припремних активности за израду Плана имплементације Гаранције за младе.</w:t>
      </w:r>
    </w:p>
    <w:p w14:paraId="64CB4C4C" w14:textId="77777777"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У складу са Смерницама за израду Плана имплементације Гаранције за младе, 31. јануара 2022. године, формиран је Координатор за Гаранције за младе као посебна радна група у оквиру Министарства за рад, запошљавање, борачка и социјална питања. Одржан је билатерални састанак са Европском комисијом, Међународном организацијом рада и Европском фондацијом за обуке.</w:t>
      </w:r>
    </w:p>
    <w:p w14:paraId="663AE091" w14:textId="77777777"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Састанак координатора за Гаранције за младе економије Западног Балкана са представницима Европске комисије, Међународне организације рада и Европске фондације за обуке одржан је 1. фебруара 2022. године, у циљу сагледавања напретка у свим економијама и размене искустава.</w:t>
      </w:r>
    </w:p>
    <w:p w14:paraId="7BC5F629" w14:textId="7743A0CA"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Уводна радионица Координационог тела и Стручне групе „Успостављање Гаранције за младе у Србији</w:t>
      </w:r>
      <w:r w:rsidR="00CE65F3" w:rsidRPr="00092ED7">
        <w:rPr>
          <w:rFonts w:cs="Times New Roman"/>
          <w:szCs w:val="24"/>
          <w:lang w:val="sr-Cyrl-CS"/>
        </w:rPr>
        <w:t>”</w:t>
      </w:r>
      <w:r w:rsidRPr="00092ED7">
        <w:rPr>
          <w:rFonts w:eastAsia="MS PGothic" w:cs="Times New Roman"/>
          <w:bCs/>
          <w:iCs/>
          <w:szCs w:val="24"/>
          <w:lang w:val="sr-Cyrl-CS" w:eastAsia="ja-JP"/>
        </w:rPr>
        <w:t xml:space="preserve"> одржана је 3. фебруара 2022. године. Представљене су кључне карактеристике и кораци, улоге, одговорности и временски оквир Шеме Гаранције за младе, као и кључне карактеристике </w:t>
      </w:r>
      <w:r w:rsidRPr="00092ED7">
        <w:rPr>
          <w:rFonts w:eastAsia="MS PGothic" w:cs="Times New Roman"/>
          <w:bCs/>
          <w:i/>
          <w:iCs/>
          <w:szCs w:val="24"/>
          <w:lang w:val="sr-Cyrl-CS" w:eastAsia="ja-JP"/>
        </w:rPr>
        <w:t>NEET</w:t>
      </w:r>
      <w:r w:rsidRPr="00092ED7">
        <w:rPr>
          <w:rFonts w:eastAsia="MS PGothic" w:cs="Times New Roman"/>
          <w:bCs/>
          <w:iCs/>
          <w:szCs w:val="24"/>
          <w:lang w:val="sr-Cyrl-CS" w:eastAsia="ja-JP"/>
        </w:rPr>
        <w:t xml:space="preserve"> младих у </w:t>
      </w:r>
      <w:r w:rsidR="00EB386D" w:rsidRPr="00092ED7">
        <w:rPr>
          <w:rFonts w:eastAsia="MS PGothic" w:cs="Times New Roman"/>
          <w:bCs/>
          <w:iCs/>
          <w:szCs w:val="24"/>
          <w:lang w:val="sr-Cyrl-CS" w:eastAsia="ja-JP"/>
        </w:rPr>
        <w:t xml:space="preserve">Републици </w:t>
      </w:r>
      <w:r w:rsidRPr="00092ED7">
        <w:rPr>
          <w:rFonts w:eastAsia="MS PGothic" w:cs="Times New Roman"/>
          <w:bCs/>
          <w:iCs/>
          <w:szCs w:val="24"/>
          <w:lang w:val="sr-Cyrl-CS" w:eastAsia="ja-JP"/>
        </w:rPr>
        <w:t>Србији на основу анализе коју је припремила Међународна организација рада.</w:t>
      </w:r>
    </w:p>
    <w:p w14:paraId="74817AC7" w14:textId="470B35B4"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У</w:t>
      </w:r>
      <w:r w:rsidR="00A12315" w:rsidRPr="00092ED7">
        <w:rPr>
          <w:rFonts w:cs="Times New Roman"/>
          <w:color w:val="000000" w:themeColor="text1"/>
          <w:szCs w:val="24"/>
          <w:lang w:val="sr-Cyrl-CS"/>
        </w:rPr>
        <w:t xml:space="preserve"> периоду март-</w:t>
      </w:r>
      <w:r w:rsidRPr="00092ED7">
        <w:rPr>
          <w:rFonts w:cs="Times New Roman"/>
          <w:color w:val="000000" w:themeColor="text1"/>
          <w:szCs w:val="24"/>
          <w:lang w:val="sr-Cyrl-CS"/>
        </w:rPr>
        <w:t>септембар 2022. године у циљу</w:t>
      </w:r>
      <w:r w:rsidRPr="00092ED7">
        <w:rPr>
          <w:rFonts w:eastAsia="MS PGothic" w:cs="Times New Roman"/>
          <w:bCs/>
          <w:iCs/>
          <w:szCs w:val="24"/>
          <w:lang w:val="sr-Cyrl-CS" w:eastAsia="ja-JP"/>
        </w:rPr>
        <w:t xml:space="preserve"> успостављања Гаранције за младе у Р</w:t>
      </w:r>
      <w:r w:rsidR="00EB386D" w:rsidRPr="00092ED7">
        <w:rPr>
          <w:rFonts w:eastAsia="MS PGothic" w:cs="Times New Roman"/>
          <w:bCs/>
          <w:iCs/>
          <w:szCs w:val="24"/>
          <w:lang w:val="sr-Cyrl-CS" w:eastAsia="ja-JP"/>
        </w:rPr>
        <w:t xml:space="preserve">епублици </w:t>
      </w:r>
      <w:r w:rsidRPr="00092ED7">
        <w:rPr>
          <w:rFonts w:eastAsia="MS PGothic" w:cs="Times New Roman"/>
          <w:bCs/>
          <w:iCs/>
          <w:szCs w:val="24"/>
          <w:lang w:val="sr-Cyrl-CS" w:eastAsia="ja-JP"/>
        </w:rPr>
        <w:t>С</w:t>
      </w:r>
      <w:r w:rsidR="00EB386D" w:rsidRPr="00092ED7">
        <w:rPr>
          <w:rFonts w:eastAsia="MS PGothic" w:cs="Times New Roman"/>
          <w:bCs/>
          <w:iCs/>
          <w:szCs w:val="24"/>
          <w:lang w:val="sr-Cyrl-CS" w:eastAsia="ja-JP"/>
        </w:rPr>
        <w:t>рбији</w:t>
      </w:r>
      <w:r w:rsidRPr="00092ED7">
        <w:rPr>
          <w:rFonts w:eastAsia="MS PGothic" w:cs="Times New Roman"/>
          <w:bCs/>
          <w:iCs/>
          <w:szCs w:val="24"/>
          <w:lang w:val="sr-Cyrl-CS" w:eastAsia="ja-JP"/>
        </w:rPr>
        <w:t xml:space="preserve"> и израде Плана имплементације </w:t>
      </w:r>
      <w:r w:rsidRPr="00092ED7">
        <w:rPr>
          <w:rFonts w:cs="Times New Roman"/>
          <w:color w:val="000000" w:themeColor="text1"/>
          <w:szCs w:val="24"/>
          <w:lang w:val="sr-Cyrl-CS"/>
        </w:rPr>
        <w:t>одржано је више</w:t>
      </w:r>
      <w:r w:rsidR="00A12315" w:rsidRPr="00092ED7">
        <w:rPr>
          <w:rFonts w:cs="Times New Roman"/>
          <w:color w:val="000000" w:themeColor="text1"/>
          <w:szCs w:val="24"/>
          <w:lang w:val="sr-Cyrl-CS"/>
        </w:rPr>
        <w:t xml:space="preserve"> састанака на свим нивоима: са </w:t>
      </w:r>
      <w:r w:rsidRPr="00092ED7">
        <w:rPr>
          <w:rFonts w:eastAsia="MS PGothic" w:cs="Times New Roman"/>
          <w:bCs/>
          <w:iCs/>
          <w:szCs w:val="24"/>
          <w:lang w:val="sr-Cyrl-CS" w:eastAsia="ja-JP"/>
        </w:rPr>
        <w:t>Делегацијом Европске уније, експертима Међународне организације рада, два састанка Стручне групе Координационог тела, као и састанци са представницима Министарства омладине и спорта, Министарства привреде, Министарства пољопривреде, шумарства и водопривреде, Министарства просвете, науке и технолошког развоја и Агенције за квалификације, Националне службе за запошљавање, организација цивилног друштва.</w:t>
      </w:r>
    </w:p>
    <w:p w14:paraId="2650161C" w14:textId="77777777" w:rsidR="00F13B06" w:rsidRPr="00092ED7" w:rsidRDefault="00F13B06" w:rsidP="00F13B06">
      <w:pPr>
        <w:spacing w:after="40"/>
        <w:rPr>
          <w:rFonts w:cs="Times New Roman"/>
          <w:color w:val="000000" w:themeColor="text1"/>
          <w:szCs w:val="24"/>
          <w:lang w:val="sr-Cyrl-CS"/>
        </w:rPr>
      </w:pPr>
      <w:r w:rsidRPr="00092ED7">
        <w:rPr>
          <w:rFonts w:cs="Times New Roman"/>
          <w:color w:val="000000" w:themeColor="text1"/>
          <w:szCs w:val="24"/>
          <w:lang w:val="sr-Cyrl-CS"/>
        </w:rPr>
        <w:t xml:space="preserve">Након одржаних састанака и опсежних консултација са партнерима о </w:t>
      </w:r>
      <w:r w:rsidRPr="00092ED7">
        <w:rPr>
          <w:rFonts w:eastAsia="MS PGothic" w:cs="Times New Roman"/>
          <w:bCs/>
          <w:iCs/>
          <w:szCs w:val="24"/>
          <w:lang w:val="sr-Cyrl-CS" w:eastAsia="ja-JP"/>
        </w:rPr>
        <w:t>планираним реформама и иницијативама</w:t>
      </w:r>
      <w:r w:rsidRPr="00092ED7">
        <w:rPr>
          <w:rFonts w:cs="Times New Roman"/>
          <w:color w:val="000000" w:themeColor="text1"/>
          <w:szCs w:val="24"/>
          <w:lang w:val="sr-Cyrl-CS"/>
        </w:rPr>
        <w:t xml:space="preserve">, у јуну </w:t>
      </w:r>
      <w:r w:rsidR="00A12315" w:rsidRPr="00092ED7">
        <w:rPr>
          <w:rFonts w:cs="Times New Roman"/>
          <w:color w:val="000000" w:themeColor="text1"/>
          <w:szCs w:val="24"/>
          <w:lang w:val="sr-Cyrl-CS"/>
        </w:rPr>
        <w:t xml:space="preserve">2022. </w:t>
      </w:r>
      <w:r w:rsidRPr="00092ED7">
        <w:rPr>
          <w:rFonts w:cs="Times New Roman"/>
          <w:color w:val="000000" w:themeColor="text1"/>
          <w:szCs w:val="24"/>
          <w:lang w:val="sr-Cyrl-CS"/>
        </w:rPr>
        <w:t>је припремљен први нацрт Плана имплементације који је, на основу коментара и сугестија Стручне групе</w:t>
      </w:r>
      <w:r w:rsidR="00A12315" w:rsidRPr="00092ED7">
        <w:rPr>
          <w:rFonts w:cs="Times New Roman"/>
          <w:color w:val="000000" w:themeColor="text1"/>
          <w:szCs w:val="24"/>
          <w:lang w:val="sr-Cyrl-CS"/>
        </w:rPr>
        <w:t>,</w:t>
      </w:r>
      <w:r w:rsidRPr="00092ED7">
        <w:rPr>
          <w:rFonts w:cs="Times New Roman"/>
          <w:color w:val="000000" w:themeColor="text1"/>
          <w:szCs w:val="24"/>
          <w:lang w:val="sr-Cyrl-CS"/>
        </w:rPr>
        <w:t xml:space="preserve"> ревидиран у септембру.</w:t>
      </w:r>
    </w:p>
    <w:p w14:paraId="696D06B6" w14:textId="20D2B3A3" w:rsidR="00F13B06" w:rsidRPr="00092ED7" w:rsidRDefault="00F13B06" w:rsidP="00F13B06">
      <w:pPr>
        <w:spacing w:after="40"/>
        <w:rPr>
          <w:rFonts w:eastAsia="MS PGothic" w:cs="Times New Roman"/>
          <w:bCs/>
          <w:iCs/>
          <w:szCs w:val="24"/>
          <w:lang w:val="sr-Cyrl-CS" w:eastAsia="ja-JP"/>
        </w:rPr>
      </w:pPr>
      <w:r w:rsidRPr="00092ED7">
        <w:rPr>
          <w:rFonts w:cs="Times New Roman"/>
          <w:color w:val="000000" w:themeColor="text1"/>
          <w:lang w:val="sr-Cyrl-CS"/>
        </w:rPr>
        <w:t>С обзиром на то да је крајем октобра 2022. године формирана нова Влада, да су у оквиру ње формирана и нова министарства и институције, да су измењене надлежности актера препознатих у имплементацији Гаранције за младе, покренут је поступак измене Одлуке о образовању Координационог тела за израду и праћење спровођења Плана имплементације Гаранције за младе. Такође формирањем нове Владе до</w:t>
      </w:r>
      <w:r w:rsidR="00A12315" w:rsidRPr="00092ED7">
        <w:rPr>
          <w:rFonts w:cs="Times New Roman"/>
          <w:color w:val="000000" w:themeColor="text1"/>
          <w:lang w:val="sr-Cyrl-CS"/>
        </w:rPr>
        <w:t xml:space="preserve">шло је до кадровских промена у </w:t>
      </w:r>
      <w:r w:rsidRPr="00092ED7">
        <w:rPr>
          <w:rFonts w:cs="Times New Roman"/>
          <w:color w:val="000000" w:themeColor="text1"/>
          <w:lang w:val="sr-Cyrl-CS"/>
        </w:rPr>
        <w:t>Министарству за рад, запошљавање, борачка и социјална питања, па се очекује именовање новог Координатора за Гаранције за младе.</w:t>
      </w:r>
    </w:p>
    <w:p w14:paraId="16A76C74" w14:textId="617CEAB3" w:rsidR="00F13B06" w:rsidRPr="00092ED7" w:rsidRDefault="00F13B06" w:rsidP="00F13B06">
      <w:pPr>
        <w:spacing w:after="60"/>
        <w:rPr>
          <w:rFonts w:cs="Times New Roman"/>
          <w:lang w:val="sr-Cyrl-CS"/>
        </w:rPr>
      </w:pPr>
      <w:r w:rsidRPr="00092ED7">
        <w:rPr>
          <w:rFonts w:cs="Times New Roman"/>
          <w:lang w:val="sr-Cyrl-CS"/>
        </w:rPr>
        <w:t>Очекује се да План имплементације Гаранције за младе Републике Србије за период 2023</w:t>
      </w:r>
      <w:r w:rsidR="00EE2E37" w:rsidRPr="00092ED7">
        <w:rPr>
          <w:rFonts w:cs="Times New Roman"/>
          <w:highlight w:val="yellow"/>
          <w:lang w:val="sr-Cyrl-CS"/>
        </w:rPr>
        <w:t xml:space="preserve"> </w:t>
      </w:r>
      <w:r w:rsidRPr="00092ED7">
        <w:rPr>
          <w:rFonts w:cs="Times New Roman"/>
          <w:lang w:val="sr-Cyrl-CS"/>
        </w:rPr>
        <w:t>-2025</w:t>
      </w:r>
      <w:r w:rsidR="00CC71EC" w:rsidRPr="00092ED7">
        <w:rPr>
          <w:rFonts w:cs="Times New Roman"/>
          <w:lang w:val="sr-Cyrl-CS"/>
        </w:rPr>
        <w:t>.</w:t>
      </w:r>
      <w:r w:rsidRPr="00092ED7">
        <w:rPr>
          <w:rFonts w:cs="Times New Roman"/>
          <w:lang w:val="sr-Cyrl-CS"/>
        </w:rPr>
        <w:t xml:space="preserve"> године буде израђен до краја </w:t>
      </w:r>
      <w:r w:rsidRPr="00092ED7">
        <w:rPr>
          <w:rFonts w:eastAsia="Calibri" w:cs="Times New Roman"/>
          <w:szCs w:val="24"/>
          <w:lang w:val="sr-Cyrl-CS" w:eastAsia="sr-Cyrl-CS" w:bidi="sr-Cyrl-CS"/>
        </w:rPr>
        <w:t>првог квартала 2023. године</w:t>
      </w:r>
      <w:r w:rsidR="00CC71EC" w:rsidRPr="00092ED7">
        <w:rPr>
          <w:rFonts w:eastAsia="Calibri" w:cs="Times New Roman"/>
          <w:szCs w:val="24"/>
          <w:lang w:val="sr-Cyrl-CS" w:eastAsia="sr-Cyrl-CS" w:bidi="sr-Cyrl-CS"/>
        </w:rPr>
        <w:t xml:space="preserve"> и усвојен до краја другог квартала 2023. године</w:t>
      </w:r>
      <w:r w:rsidRPr="00092ED7">
        <w:rPr>
          <w:rFonts w:eastAsia="Calibri" w:cs="Times New Roman"/>
          <w:szCs w:val="24"/>
          <w:lang w:val="sr-Cyrl-CS" w:eastAsia="sr-Cyrl-CS" w:bidi="sr-Cyrl-CS"/>
        </w:rPr>
        <w:t>.</w:t>
      </w:r>
    </w:p>
    <w:p w14:paraId="2FF86D0B" w14:textId="77777777" w:rsidR="009333E2" w:rsidRPr="00092ED7" w:rsidRDefault="009807AD" w:rsidP="00D431FE">
      <w:pPr>
        <w:keepNext/>
        <w:keepLines/>
        <w:spacing w:before="240" w:after="240"/>
        <w:outlineLvl w:val="0"/>
        <w:rPr>
          <w:rFonts w:eastAsia="MS PGothic" w:cs="Times New Roman"/>
          <w:b/>
          <w:szCs w:val="24"/>
          <w:lang w:val="sr-Cyrl-CS" w:eastAsia="ja-JP"/>
        </w:rPr>
      </w:pPr>
      <w:bookmarkStart w:id="8" w:name="_Toc124174788"/>
      <w:bookmarkStart w:id="9" w:name="_Toc126218607"/>
      <w:r w:rsidRPr="00092ED7">
        <w:rPr>
          <w:rFonts w:eastAsia="MS PGothic" w:cs="Times New Roman"/>
          <w:b/>
          <w:szCs w:val="24"/>
          <w:lang w:val="sr-Cyrl-CS" w:eastAsia="ja-JP"/>
        </w:rPr>
        <w:t>3</w:t>
      </w:r>
      <w:r w:rsidR="009333E2" w:rsidRPr="00092ED7">
        <w:rPr>
          <w:rFonts w:eastAsia="MS PGothic" w:cs="Times New Roman"/>
          <w:b/>
          <w:szCs w:val="24"/>
          <w:lang w:val="sr-Cyrl-CS" w:eastAsia="ja-JP"/>
        </w:rPr>
        <w:t>. МАКРОЕКОНОМСКИ ОКВИР</w:t>
      </w:r>
      <w:bookmarkEnd w:id="8"/>
      <w:bookmarkEnd w:id="9"/>
    </w:p>
    <w:p w14:paraId="687BFCBC" w14:textId="77777777" w:rsidR="0047598D" w:rsidRPr="00092ED7" w:rsidRDefault="009807AD" w:rsidP="00433935">
      <w:pPr>
        <w:keepNext/>
        <w:keepLines/>
        <w:spacing w:before="120"/>
        <w:outlineLvl w:val="1"/>
        <w:rPr>
          <w:rFonts w:eastAsia="Calibri" w:cs="Times New Roman"/>
          <w:b/>
          <w:szCs w:val="24"/>
          <w:lang w:val="sr-Cyrl-CS"/>
        </w:rPr>
      </w:pPr>
      <w:bookmarkStart w:id="10" w:name="_Toc124174789"/>
      <w:bookmarkStart w:id="11" w:name="_Toc126218608"/>
      <w:r w:rsidRPr="00092ED7">
        <w:rPr>
          <w:rFonts w:eastAsia="Calibri" w:cs="Times New Roman"/>
          <w:b/>
          <w:szCs w:val="24"/>
          <w:lang w:val="sr-Cyrl-CS"/>
        </w:rPr>
        <w:t xml:space="preserve">3.1. </w:t>
      </w:r>
      <w:r w:rsidR="00FF354A" w:rsidRPr="00092ED7">
        <w:rPr>
          <w:rFonts w:eastAsia="Calibri" w:cs="Times New Roman"/>
          <w:b/>
          <w:szCs w:val="24"/>
          <w:lang w:val="sr-Cyrl-CS"/>
        </w:rPr>
        <w:t>ПРОЦЕНЕ МЕЂУНАРОДНОГ ЕКОНОМСКОГ ОКРУЖЕЊА</w:t>
      </w:r>
      <w:bookmarkEnd w:id="10"/>
      <w:bookmarkEnd w:id="11"/>
    </w:p>
    <w:p w14:paraId="779BABE8" w14:textId="35A4161F" w:rsidR="009F0D95" w:rsidRPr="00092ED7" w:rsidRDefault="009F0D95" w:rsidP="000679CD">
      <w:pPr>
        <w:spacing w:after="60"/>
        <w:rPr>
          <w:rFonts w:eastAsia="MS PGothic" w:cs="Times New Roman"/>
          <w:bCs/>
          <w:iCs/>
          <w:szCs w:val="24"/>
          <w:lang w:val="sr-Cyrl-CS" w:eastAsia="ja-JP"/>
        </w:rPr>
      </w:pPr>
      <w:r w:rsidRPr="00092ED7">
        <w:rPr>
          <w:rFonts w:eastAsia="MS PGothic" w:cs="Times New Roman"/>
          <w:bCs/>
          <w:iCs/>
          <w:szCs w:val="24"/>
          <w:lang w:val="sr-Cyrl-CS" w:eastAsia="ja-JP"/>
        </w:rPr>
        <w:t>Глобална економија се суочава са бројним турбулентним изазовима. Највиша стопа инфлације у последњих неколико деценија, пооштравање финансијских услова у већини региона, оружани сукоб у Украјини и дуготрајна неизвесност остављају последице на изгледе по глобалну економију. Међународне финансијске институције ревидирале су очекивања о глобалном економском опоравку наниже у односу на своје претходне процене. Конфликт у Украјини наставља негативно да утиче на регион, али и шире, због последица санкција Рус</w:t>
      </w:r>
      <w:r w:rsidR="00B923FD" w:rsidRPr="00092ED7">
        <w:rPr>
          <w:rFonts w:eastAsia="MS PGothic" w:cs="Times New Roman"/>
          <w:bCs/>
          <w:iCs/>
          <w:szCs w:val="24"/>
          <w:lang w:val="sr-Cyrl-CS" w:eastAsia="ja-JP"/>
        </w:rPr>
        <w:t>кој федерацији (у даљем тексту: Русија)</w:t>
      </w:r>
      <w:r w:rsidR="00EB386D" w:rsidRPr="00092ED7">
        <w:rPr>
          <w:rFonts w:eastAsia="MS PGothic" w:cs="Times New Roman"/>
          <w:bCs/>
          <w:iCs/>
          <w:szCs w:val="24"/>
          <w:lang w:val="sr-Cyrl-CS" w:eastAsia="ja-JP"/>
        </w:rPr>
        <w:t>,</w:t>
      </w:r>
      <w:r w:rsidR="00B923FD"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 xml:space="preserve">које дестабилизују тржиште енергената доводећи до ценовних шокова и прекида у извозу гаса земљама ЕУ. Нормализација монетарне и фискалне политике која је пружала подршку без преседана током пандемије сада умањује агрегатну тражњу, будући да креатори политика имају за циљ да ставе инфлацију под контролу. Изгледи глобалне економије у великој мери зависе од успешне примене одмерене монетарне политике, тока конфликта у Украјини и потенцијалних даљих поремећаја на страни понуде изазваних пандемијом. Очекује се да ће инфлација крајем 2022. године достићи свој максимум, али ће бити потребно више времена од претходно очекиваног да се стабилизује. Приоритет фискалне политике треба бити заштита рањивих група кроз циљану краткорочну подршку како би се ублажио терет кризе трошкова живота који се осећа широм света. У </w:t>
      </w:r>
      <w:r w:rsidR="004D5081" w:rsidRPr="00092ED7">
        <w:rPr>
          <w:rFonts w:eastAsia="MS PGothic" w:cs="Times New Roman"/>
          <w:bCs/>
          <w:iCs/>
          <w:szCs w:val="24"/>
          <w:lang w:val="sr-Cyrl-CS" w:eastAsia="ja-JP"/>
        </w:rPr>
        <w:t xml:space="preserve">Народној Републици </w:t>
      </w:r>
      <w:r w:rsidRPr="00092ED7">
        <w:rPr>
          <w:rFonts w:eastAsia="MS PGothic" w:cs="Times New Roman"/>
          <w:bCs/>
          <w:iCs/>
          <w:szCs w:val="24"/>
          <w:lang w:val="sr-Cyrl-CS" w:eastAsia="ja-JP"/>
        </w:rPr>
        <w:t>Кини</w:t>
      </w:r>
      <w:r w:rsidR="004D5081" w:rsidRPr="00092ED7">
        <w:rPr>
          <w:rFonts w:eastAsia="MS PGothic" w:cs="Times New Roman"/>
          <w:bCs/>
          <w:iCs/>
          <w:szCs w:val="24"/>
          <w:lang w:val="sr-Cyrl-CS" w:eastAsia="ja-JP"/>
        </w:rPr>
        <w:t xml:space="preserve"> (у даљем тексту: Кина)</w:t>
      </w:r>
      <w:r w:rsidRPr="00092ED7">
        <w:rPr>
          <w:rFonts w:eastAsia="MS PGothic" w:cs="Times New Roman"/>
          <w:bCs/>
          <w:iCs/>
          <w:szCs w:val="24"/>
          <w:lang w:val="sr-Cyrl-CS" w:eastAsia="ja-JP"/>
        </w:rPr>
        <w:t xml:space="preserve"> су честа „закључавања” услед политике нулте толеранције</w:t>
      </w:r>
      <w:r w:rsidR="004D5081" w:rsidRPr="00092ED7">
        <w:rPr>
          <w:rFonts w:eastAsia="MS PGothic" w:cs="Times New Roman"/>
          <w:bCs/>
          <w:iCs/>
          <w:szCs w:val="24"/>
          <w:lang w:val="sr-Cyrl-CS" w:eastAsia="ja-JP"/>
        </w:rPr>
        <w:t xml:space="preserve"> </w:t>
      </w:r>
      <w:r w:rsidR="00B81C9C" w:rsidRPr="00092ED7">
        <w:rPr>
          <w:rFonts w:eastAsia="MS PGothic" w:cs="Times New Roman"/>
          <w:bCs/>
          <w:iCs/>
          <w:szCs w:val="24"/>
          <w:lang w:val="sr-Cyrl-CS" w:eastAsia="ja-JP"/>
        </w:rPr>
        <w:t xml:space="preserve">на пандемију </w:t>
      </w:r>
      <w:r w:rsidR="00EA54D9" w:rsidRPr="00092ED7">
        <w:rPr>
          <w:rFonts w:eastAsia="MS PGothic" w:cs="Times New Roman"/>
          <w:bCs/>
          <w:iCs/>
          <w:szCs w:val="24"/>
          <w:lang w:val="sr-Cyrl-CS" w:eastAsia="ja-JP"/>
        </w:rPr>
        <w:t xml:space="preserve">COVID-19, </w:t>
      </w:r>
      <w:r w:rsidR="00B81C9C" w:rsidRPr="00092ED7">
        <w:rPr>
          <w:rFonts w:eastAsia="MS PGothic" w:cs="Times New Roman"/>
          <w:bCs/>
          <w:iCs/>
          <w:szCs w:val="24"/>
          <w:lang w:val="sr-Cyrl-CS" w:eastAsia="ja-JP"/>
        </w:rPr>
        <w:t>изазвану корона вирусом</w:t>
      </w:r>
      <w:r w:rsidR="004D5081" w:rsidRPr="00092ED7">
        <w:rPr>
          <w:rFonts w:eastAsia="MS PGothic" w:cs="Times New Roman"/>
          <w:bCs/>
          <w:iCs/>
          <w:szCs w:val="24"/>
          <w:lang w:val="sr-Cyrl-CS" w:eastAsia="ja-JP"/>
        </w:rPr>
        <w:t>,</w:t>
      </w:r>
      <w:r w:rsidR="00EE2E37"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 xml:space="preserve">додатно успорила економску активност, а сектор </w:t>
      </w:r>
      <w:r w:rsidR="004D6338" w:rsidRPr="00092ED7">
        <w:rPr>
          <w:rFonts w:eastAsia="MS PGothic" w:cs="Times New Roman"/>
          <w:bCs/>
          <w:iCs/>
          <w:szCs w:val="24"/>
          <w:lang w:val="sr-Cyrl-CS" w:eastAsia="ja-JP"/>
        </w:rPr>
        <w:t xml:space="preserve">непокретности </w:t>
      </w:r>
      <w:r w:rsidRPr="00092ED7">
        <w:rPr>
          <w:rFonts w:eastAsia="MS PGothic" w:cs="Times New Roman"/>
          <w:bCs/>
          <w:iCs/>
          <w:szCs w:val="24"/>
          <w:lang w:val="sr-Cyrl-CS" w:eastAsia="ja-JP"/>
        </w:rPr>
        <w:t>суочава се са убрзаним слабљењем. С обзиром на величину кинеске економије и њен значај за глобалне ланце снабдевања, ово ће имати значајан негативни утицај на глобалну трговину и економску активност. Како би се ублажила материјализација већих ризика, неопходна је интензивна међународна сарадња, проналазак мирног решења украјинског конфликта, усклађивање монетарне и фискалне политике, као и дугорочно решавање климатских проблема.</w:t>
      </w:r>
    </w:p>
    <w:p w14:paraId="2A1EEDE6" w14:textId="34F1A4C6" w:rsidR="009F0D95" w:rsidRPr="00092ED7" w:rsidRDefault="009F0D95" w:rsidP="000679CD">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Након пандемије, глобална економија наставља да се суочава са оштрим изазовима насталим под утицајем конфликта у Украјини, растућих трошкова живота узрокованих постојанијим и све јачим инфлаторним притисцима, као и услед успоравања економског раста у Кини. Према октобарским пројекцијама ММФ, глобални раст ће у 2022. години износити 3,2% што је за 0,4 п.п. мање у односу на априлску пројекцију, док је за 2023. годину раст привреде ревидиран наниже за 0,9 п.п. и износиће 2,7%. Значајан број земаља, које чине више од трећине светског БДП, суочавају се са „техничком рецесијом” </w:t>
      </w:r>
      <w:r w:rsidR="00E17303" w:rsidRPr="00092ED7">
        <w:rPr>
          <w:rFonts w:eastAsia="MS PGothic" w:cs="Times New Roman"/>
          <w:bCs/>
          <w:iCs/>
          <w:szCs w:val="24"/>
          <w:lang w:val="sr-Cyrl-CS" w:eastAsia="ja-JP"/>
        </w:rPr>
        <w:t>у 2022. или следећој години</w:t>
      </w:r>
      <w:r w:rsidRPr="00092ED7">
        <w:rPr>
          <w:rFonts w:eastAsia="MS PGothic" w:cs="Times New Roman"/>
          <w:bCs/>
          <w:iCs/>
          <w:szCs w:val="24"/>
          <w:lang w:val="sr-Cyrl-CS" w:eastAsia="ja-JP"/>
        </w:rPr>
        <w:t xml:space="preserve">. Главни разлози за ревизију пројектоване путање економског опоравка јесу </w:t>
      </w:r>
      <w:r w:rsidR="00E17303"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 xml:space="preserve">конфликт у Украјини и ефекти преливања кризе на друге земље. Постојани и растући инфлаторни притисци покренули су брзо и синхронизовано пооштравање монетарне политике, уз снажну апрецијацију америчког долара у односу на већину других валута. Ризици за остваривање пројекција су и даље повишени, док је примењивање одговарајућих политика за решавање убрзаног раста трошкова живота постало озбиљан изазов. У време када је светска економија изразито рањива, ризик од примене погрешне комбинације монетарне, фискалне и финансијске политике нагло је порастао. Све већи притисци на цене остају најнепосреднија претња садашњем и будућем опоравку због смањења реалних прихода и нарушавања макроекономске стабилности. Иако се предвиђа пад инфлације у средњем року, постоји ризик од њеног продуженог трајања изазваног ценовним шоковима на тржишту хране и енергената, а посебно услед могуће даље ескалације сукоба. Такође, поновна појава вируса и потенцијална „закључавања”, погоршавање кризе </w:t>
      </w:r>
      <w:r w:rsidR="004D6338" w:rsidRPr="00092ED7">
        <w:rPr>
          <w:rFonts w:eastAsia="MS PGothic" w:cs="Times New Roman"/>
          <w:bCs/>
          <w:iCs/>
          <w:szCs w:val="24"/>
          <w:lang w:val="sr-Cyrl-CS" w:eastAsia="ja-JP"/>
        </w:rPr>
        <w:t xml:space="preserve">непокретности </w:t>
      </w:r>
      <w:r w:rsidRPr="00092ED7">
        <w:rPr>
          <w:rFonts w:eastAsia="MS PGothic" w:cs="Times New Roman"/>
          <w:bCs/>
          <w:iCs/>
          <w:szCs w:val="24"/>
          <w:lang w:val="sr-Cyrl-CS" w:eastAsia="ja-JP"/>
        </w:rPr>
        <w:t>у Кини, престанак испоруке руског гаса у земље Европе, геополитичке тензије, као и учестале временске, климатске и природне непогоде, неки су од присутних ризика по глобални раст и стабилност.</w:t>
      </w:r>
    </w:p>
    <w:p w14:paraId="7F996BE4" w14:textId="1C59758D" w:rsidR="009F0D95" w:rsidRPr="00092ED7" w:rsidRDefault="009F0D95" w:rsidP="000679CD">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Раст групе развијених земаља за 2022. и 2023. годину ревидиран је наниже на 2,4% и 1,1%, респективно. Пад реалног расположивог дохотка у </w:t>
      </w:r>
      <w:r w:rsidR="009A1E17" w:rsidRPr="00092ED7">
        <w:rPr>
          <w:rFonts w:eastAsia="MS PGothic" w:cs="Times New Roman"/>
          <w:bCs/>
          <w:iCs/>
          <w:szCs w:val="24"/>
          <w:lang w:val="sr-Cyrl-CS" w:eastAsia="ja-JP"/>
        </w:rPr>
        <w:t xml:space="preserve">Сједињеним Америчким Државама (у даљем тексту: </w:t>
      </w:r>
      <w:r w:rsidRPr="00092ED7">
        <w:rPr>
          <w:rFonts w:eastAsia="MS PGothic" w:cs="Times New Roman"/>
          <w:bCs/>
          <w:iCs/>
          <w:szCs w:val="24"/>
          <w:lang w:val="sr-Cyrl-CS" w:eastAsia="ja-JP"/>
        </w:rPr>
        <w:t>САД</w:t>
      </w:r>
      <w:r w:rsidR="009A1E17"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 xml:space="preserve">наставља да утиче на нижу тражњу потрошача, док раст каматних стопа додатно ограничава потрошњу, нарочито у сектору </w:t>
      </w:r>
      <w:r w:rsidR="004D6338" w:rsidRPr="00092ED7">
        <w:rPr>
          <w:rFonts w:eastAsia="MS PGothic" w:cs="Times New Roman"/>
          <w:bCs/>
          <w:iCs/>
          <w:szCs w:val="24"/>
          <w:lang w:val="sr-Cyrl-CS" w:eastAsia="ja-JP"/>
        </w:rPr>
        <w:t>непокретности</w:t>
      </w:r>
      <w:r w:rsidRPr="00092ED7">
        <w:rPr>
          <w:rFonts w:eastAsia="MS PGothic" w:cs="Times New Roman"/>
          <w:bCs/>
          <w:iCs/>
          <w:szCs w:val="24"/>
          <w:lang w:val="sr-Cyrl-CS" w:eastAsia="ja-JP"/>
        </w:rPr>
        <w:t xml:space="preserve">. Иако је у 2022. години успоравање раста у еврозони мање изражено него у САД, због добрих резултата током прве половине године, у 2023. години очекује се значајно смањење раста, на 0,5%. Такође, међу самим земљама чланицама постоје изражене разлике у економској активности, а предвиђено успоравање посебно </w:t>
      </w:r>
      <w:r w:rsidR="009A1E17" w:rsidRPr="00092ED7">
        <w:rPr>
          <w:rFonts w:eastAsia="MS PGothic" w:cs="Times New Roman"/>
          <w:bCs/>
          <w:iCs/>
          <w:szCs w:val="24"/>
          <w:lang w:val="sr-Cyrl-CS" w:eastAsia="ja-JP"/>
        </w:rPr>
        <w:t xml:space="preserve">ће </w:t>
      </w:r>
      <w:r w:rsidRPr="00092ED7">
        <w:rPr>
          <w:rFonts w:eastAsia="MS PGothic" w:cs="Times New Roman"/>
          <w:bCs/>
          <w:iCs/>
          <w:szCs w:val="24"/>
          <w:lang w:val="sr-Cyrl-CS" w:eastAsia="ja-JP"/>
        </w:rPr>
        <w:t xml:space="preserve">оштро погодити </w:t>
      </w:r>
      <w:r w:rsidR="009A1E17" w:rsidRPr="00092ED7">
        <w:rPr>
          <w:rFonts w:eastAsia="MS PGothic" w:cs="Times New Roman"/>
          <w:bCs/>
          <w:iCs/>
          <w:szCs w:val="24"/>
          <w:lang w:val="sr-Cyrl-CS" w:eastAsia="ja-JP"/>
        </w:rPr>
        <w:t xml:space="preserve">Савезну Републику </w:t>
      </w:r>
      <w:r w:rsidRPr="00092ED7">
        <w:rPr>
          <w:rFonts w:eastAsia="MS PGothic" w:cs="Times New Roman"/>
          <w:bCs/>
          <w:iCs/>
          <w:szCs w:val="24"/>
          <w:lang w:val="sr-Cyrl-CS" w:eastAsia="ja-JP"/>
        </w:rPr>
        <w:t xml:space="preserve">Немачку </w:t>
      </w:r>
      <w:r w:rsidR="009A1E17" w:rsidRPr="00092ED7">
        <w:rPr>
          <w:rFonts w:eastAsia="MS PGothic" w:cs="Times New Roman"/>
          <w:bCs/>
          <w:iCs/>
          <w:szCs w:val="24"/>
          <w:lang w:val="sr-Cyrl-CS" w:eastAsia="ja-JP"/>
        </w:rPr>
        <w:t xml:space="preserve">(у даљем тексту: Немачка) </w:t>
      </w:r>
      <w:r w:rsidRPr="00092ED7">
        <w:rPr>
          <w:rFonts w:eastAsia="MS PGothic" w:cs="Times New Roman"/>
          <w:bCs/>
          <w:iCs/>
          <w:szCs w:val="24"/>
          <w:lang w:val="sr-Cyrl-CS" w:eastAsia="ja-JP"/>
        </w:rPr>
        <w:t xml:space="preserve">и </w:t>
      </w:r>
      <w:r w:rsidR="009A1E17" w:rsidRPr="00092ED7">
        <w:rPr>
          <w:rFonts w:eastAsia="MS PGothic" w:cs="Times New Roman"/>
          <w:bCs/>
          <w:iCs/>
          <w:szCs w:val="24"/>
          <w:lang w:val="sr-Cyrl-CS" w:eastAsia="ja-JP"/>
        </w:rPr>
        <w:t xml:space="preserve">Републику </w:t>
      </w:r>
      <w:r w:rsidRPr="00092ED7">
        <w:rPr>
          <w:rFonts w:eastAsia="MS PGothic" w:cs="Times New Roman"/>
          <w:bCs/>
          <w:iCs/>
          <w:szCs w:val="24"/>
          <w:lang w:val="sr-Cyrl-CS" w:eastAsia="ja-JP"/>
        </w:rPr>
        <w:t>Италију</w:t>
      </w:r>
      <w:r w:rsidR="009A1E17" w:rsidRPr="00092ED7">
        <w:rPr>
          <w:rFonts w:eastAsia="MS PGothic" w:cs="Times New Roman"/>
          <w:bCs/>
          <w:iCs/>
          <w:szCs w:val="24"/>
          <w:lang w:val="sr-Cyrl-CS" w:eastAsia="ja-JP"/>
        </w:rPr>
        <w:t xml:space="preserve"> (у даљем тексту: Италија)</w:t>
      </w:r>
      <w:r w:rsidRPr="00092ED7">
        <w:rPr>
          <w:rFonts w:eastAsia="MS PGothic" w:cs="Times New Roman"/>
          <w:bCs/>
          <w:iCs/>
          <w:szCs w:val="24"/>
          <w:lang w:val="sr-Cyrl-CS" w:eastAsia="ja-JP"/>
        </w:rPr>
        <w:t>, које ће забележити пад од 0,3% и 0,2%, респективно. За разлику од све већег успоравања у развијеним економијама, очекује се да ће раст земаља у успону износити 3,7% у 2022.</w:t>
      </w:r>
      <w:r w:rsidR="00EE2E37" w:rsidRPr="00092ED7">
        <w:rPr>
          <w:rFonts w:eastAsia="MS PGothic" w:cs="Times New Roman"/>
          <w:bCs/>
          <w:iCs/>
          <w:szCs w:val="24"/>
          <w:lang w:val="sr-Cyrl-CS" w:eastAsia="ja-JP"/>
        </w:rPr>
        <w:t xml:space="preserve"> </w:t>
      </w:r>
      <w:r w:rsidR="009A1E17" w:rsidRPr="00092ED7">
        <w:rPr>
          <w:rFonts w:eastAsia="MS PGothic" w:cs="Times New Roman"/>
          <w:bCs/>
          <w:iCs/>
          <w:szCs w:val="24"/>
          <w:lang w:val="sr-Cyrl-CS" w:eastAsia="ja-JP"/>
        </w:rPr>
        <w:t>години</w:t>
      </w:r>
      <w:r w:rsidRPr="00092ED7">
        <w:rPr>
          <w:rFonts w:eastAsia="MS PGothic" w:cs="Times New Roman"/>
          <w:bCs/>
          <w:iCs/>
          <w:szCs w:val="24"/>
          <w:lang w:val="sr-Cyrl-CS" w:eastAsia="ja-JP"/>
        </w:rPr>
        <w:t xml:space="preserve"> и да ће остати стабилан током 2023. године. Пад руске привреде је мање оштар од раније предвиђеног, услед преусмеравања извоза нафте на азијска тржишта и јачања домаће тражње која је подржана фискалном и монетарном политиком, као и враћања поверења у финансијски систем. Појава нових жаришта вируса и закључавање главних економских центара, као и криза тржишта </w:t>
      </w:r>
      <w:r w:rsidR="000614DC" w:rsidRPr="00092ED7">
        <w:rPr>
          <w:rFonts w:eastAsia="MS PGothic" w:cs="Times New Roman"/>
          <w:bCs/>
          <w:iCs/>
          <w:szCs w:val="24"/>
          <w:lang w:val="sr-Cyrl-CS" w:eastAsia="ja-JP"/>
        </w:rPr>
        <w:t>непокретности</w:t>
      </w:r>
      <w:r w:rsidRPr="00092ED7">
        <w:rPr>
          <w:rFonts w:eastAsia="MS PGothic" w:cs="Times New Roman"/>
          <w:bCs/>
          <w:iCs/>
          <w:szCs w:val="24"/>
          <w:lang w:val="sr-Cyrl-CS" w:eastAsia="ja-JP"/>
        </w:rPr>
        <w:t>, утицали су да Кина забележи најнижи раст у последње четири деценије (са изузетком у 2020. години због иницијалног шока изазваног пандемијом), док се за 2023. годину очекује убрзање раста. Предвиђа се да ће раст Блиског истока и централне Азије износити 5,0% у 2022. години, што у великој мери одражава повољне изгледе код извозника нафте и неочекивано благ утицај дешавања у Украјини, али ће следеће године доћи до успоравања због очекиваног пада цена нафте. Раст региона Латинске Америке је ревидиран благо навише у 2022. години због повољних цена добара и услова финансирања, али се због успоравања економија најважнијих спољнотрговинских партнера и пооштравања монетарне политике очекује слабљење раста у 2023. години.</w:t>
      </w:r>
    </w:p>
    <w:p w14:paraId="3BCCF3C7" w14:textId="79440478" w:rsidR="009F0D95" w:rsidRPr="00092ED7" w:rsidRDefault="009F0D95" w:rsidP="000679CD">
      <w:pPr>
        <w:spacing w:after="60"/>
        <w:rPr>
          <w:rFonts w:eastAsia="MS PGothic" w:cs="Times New Roman"/>
          <w:bCs/>
          <w:iCs/>
          <w:szCs w:val="24"/>
          <w:lang w:val="sr-Cyrl-CS" w:eastAsia="ja-JP"/>
        </w:rPr>
      </w:pPr>
      <w:r w:rsidRPr="00092ED7">
        <w:rPr>
          <w:rFonts w:eastAsia="MS PGothic" w:cs="Times New Roman"/>
          <w:bCs/>
          <w:iCs/>
          <w:szCs w:val="24"/>
          <w:lang w:val="sr-Cyrl-CS" w:eastAsia="ja-JP"/>
        </w:rPr>
        <w:t>Према јесењим проценама Европске комисије (у даљем тексту: ЕК)</w:t>
      </w:r>
      <w:r w:rsidR="009A1E17" w:rsidRPr="00092ED7">
        <w:rPr>
          <w:rFonts w:eastAsia="MS PGothic" w:cs="Times New Roman"/>
          <w:bCs/>
          <w:iCs/>
          <w:szCs w:val="24"/>
          <w:lang w:val="sr-Cyrl-CS" w:eastAsia="ja-JP"/>
        </w:rPr>
        <w:t>,</w:t>
      </w:r>
      <w:r w:rsidR="00EE2E37"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економска активност у еврозони се налази на прекретници и под снажним је утицајем фактора попут сукоба у Украјини и наглог скока инфлације. Након раста БДП у 2022. години од 3,2%, привредни раст ће у 2023. успорити на 0,3%, а затим следи благи опоравак на 1,5% у 2024. години, када се очекује обуздавање и нормализација инфлације. Ризици по остварење пројекције су изразито високи и односе се на потенцијалну ескалацију оружаног сукоба у Украјини, доступност и цене енергената (нарочито гаса) и потешкоће у снабдевању и стварање уских грла на страни понуде.</w:t>
      </w:r>
    </w:p>
    <w:p w14:paraId="40B0ED23" w14:textId="7FBE8155" w:rsidR="009F0D95" w:rsidRPr="00092ED7" w:rsidRDefault="009F0D95" w:rsidP="000679CD">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Са побољшањем епидемиолошке ситуације и попуштањем мера ограничења, раст приватне потрошње и смањење штедње домаћинстава у ЕУ, довели су до раста БДП у првој половини године. Нагли скок тражње највише је погодовао услужним делатностима попут туризма, али је раст настављен и код индустријских грана. Са друге стране, вишеструки шокови у виду ценовних притисака, смањења куповне моћи домаћинстава и неизвесности довешће до пада економске активности у последњем кварталу </w:t>
      </w:r>
      <w:r w:rsidR="00E17303" w:rsidRPr="00092ED7">
        <w:rPr>
          <w:rFonts w:eastAsia="MS PGothic" w:cs="Times New Roman"/>
          <w:bCs/>
          <w:iCs/>
          <w:szCs w:val="24"/>
          <w:lang w:val="sr-Cyrl-CS" w:eastAsia="ja-JP"/>
        </w:rPr>
        <w:t xml:space="preserve">2022. </w:t>
      </w:r>
      <w:r w:rsidRPr="00092ED7">
        <w:rPr>
          <w:rFonts w:eastAsia="MS PGothic" w:cs="Times New Roman"/>
          <w:bCs/>
          <w:iCs/>
          <w:szCs w:val="24"/>
          <w:lang w:val="sr-Cyrl-CS" w:eastAsia="ja-JP"/>
        </w:rPr>
        <w:t>године. Такође се очекује да почетком 2023. године ЕУ уђе у техничку рецесију, која иако неће бити нарочито изражена, може захватити већи број земаља чланица. Економски показатељи потврђују ова предвиђања, поткрепљени снажним инфлаторним притисцима, пооштреним условима финансирања и неизвесним екстерним окружењем.</w:t>
      </w:r>
    </w:p>
    <w:p w14:paraId="5E863B5E" w14:textId="4A749F40" w:rsidR="009F0D95" w:rsidRPr="00092ED7" w:rsidRDefault="009F0D95" w:rsidP="000679CD">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Због деловања наведених неповољних фактора, пројекција раста еврозоне за 2023. годину ревидирана је значајно наниже у односу на претходну, са 2,3% на 0,3%. За 2024. годину се очекује пад стопе инфлације, што ће уз очекивани снажан раст зарада погурати раст приватне потрошње и тиме довести до умереног опоравка. Ревизија пројекције раста БДП Немачке на -0,6% у 2023. години (погоршање од чак 3,0 п.п. у поређењу са пролећним пројекцијама), може се објаснити значајним падом приватне потрошње становништва и свеобухватним растом цена. Италијанска привреда ће у 2022. </w:t>
      </w:r>
      <w:r w:rsidR="009A1E17" w:rsidRPr="00092ED7">
        <w:rPr>
          <w:rFonts w:eastAsia="MS PGothic" w:cs="Times New Roman"/>
          <w:bCs/>
          <w:iCs/>
          <w:szCs w:val="24"/>
          <w:lang w:val="sr-Cyrl-CS" w:eastAsia="ja-JP"/>
        </w:rPr>
        <w:t xml:space="preserve">години </w:t>
      </w:r>
      <w:r w:rsidRPr="00092ED7">
        <w:rPr>
          <w:rFonts w:eastAsia="MS PGothic" w:cs="Times New Roman"/>
          <w:bCs/>
          <w:iCs/>
          <w:szCs w:val="24"/>
          <w:lang w:val="sr-Cyrl-CS" w:eastAsia="ja-JP"/>
        </w:rPr>
        <w:t>забележити раст од 3,8%, док ће економска активност у 2023. години бити значајно спорија услед ценовних шокова енергената и смањења обима инвестиција.</w:t>
      </w:r>
    </w:p>
    <w:p w14:paraId="34D45A36" w14:textId="77777777" w:rsidR="009F0D95" w:rsidRPr="00092ED7" w:rsidRDefault="009F0D95" w:rsidP="00055DC9">
      <w:pPr>
        <w:spacing w:before="240" w:after="60"/>
        <w:rPr>
          <w:rFonts w:eastAsia="MS PGothic" w:cs="Times New Roman"/>
          <w:bCs/>
          <w:iCs/>
          <w:szCs w:val="24"/>
          <w:lang w:val="sr-Cyrl-CS" w:eastAsia="ja-JP"/>
        </w:rPr>
      </w:pPr>
      <w:r w:rsidRPr="00092ED7">
        <w:rPr>
          <w:rFonts w:cs="Times New Roman"/>
          <w:szCs w:val="24"/>
          <w:lang w:val="sr-Cyrl-CS"/>
        </w:rPr>
        <w:t>Табела 1. Макроекономске пројекције за подручје еврозоне, промене у односу на претходну годину, %</w:t>
      </w:r>
    </w:p>
    <w:tbl>
      <w:tblPr>
        <w:tblW w:w="9079" w:type="dxa"/>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117"/>
        <w:gridCol w:w="708"/>
        <w:gridCol w:w="709"/>
        <w:gridCol w:w="709"/>
        <w:gridCol w:w="709"/>
        <w:gridCol w:w="709"/>
        <w:gridCol w:w="709"/>
        <w:gridCol w:w="709"/>
      </w:tblGrid>
      <w:tr w:rsidR="009F0D95" w:rsidRPr="00092ED7" w14:paraId="0041901C" w14:textId="77777777" w:rsidTr="00BD3989">
        <w:trPr>
          <w:trHeight w:val="315"/>
        </w:trPr>
        <w:tc>
          <w:tcPr>
            <w:tcW w:w="4117" w:type="dxa"/>
            <w:shd w:val="clear" w:color="auto" w:fill="auto"/>
            <w:noWrap/>
            <w:vAlign w:val="center"/>
            <w:hideMark/>
          </w:tcPr>
          <w:p w14:paraId="5195936C"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 </w:t>
            </w:r>
          </w:p>
        </w:tc>
        <w:tc>
          <w:tcPr>
            <w:tcW w:w="708" w:type="dxa"/>
            <w:shd w:val="clear" w:color="auto" w:fill="auto"/>
            <w:noWrap/>
            <w:vAlign w:val="center"/>
            <w:hideMark/>
          </w:tcPr>
          <w:p w14:paraId="72456CD9"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 </w:t>
            </w:r>
          </w:p>
        </w:tc>
        <w:tc>
          <w:tcPr>
            <w:tcW w:w="1418" w:type="dxa"/>
            <w:gridSpan w:val="2"/>
            <w:shd w:val="clear" w:color="auto" w:fill="auto"/>
            <w:noWrap/>
            <w:vAlign w:val="center"/>
            <w:hideMark/>
          </w:tcPr>
          <w:p w14:paraId="6C6DC02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Тренутна пројекција</w:t>
            </w:r>
            <w:r w:rsidRPr="00092ED7">
              <w:rPr>
                <w:rFonts w:eastAsia="Times New Roman" w:cs="Times New Roman"/>
                <w:sz w:val="18"/>
                <w:szCs w:val="18"/>
                <w:vertAlign w:val="superscript"/>
                <w:lang w:val="sr-Cyrl-CS" w:eastAsia="en-GB"/>
              </w:rPr>
              <w:t>1</w:t>
            </w:r>
          </w:p>
        </w:tc>
        <w:tc>
          <w:tcPr>
            <w:tcW w:w="1418" w:type="dxa"/>
            <w:gridSpan w:val="2"/>
            <w:shd w:val="clear" w:color="auto" w:fill="auto"/>
            <w:noWrap/>
            <w:vAlign w:val="center"/>
            <w:hideMark/>
          </w:tcPr>
          <w:p w14:paraId="4970C991"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Претходна (пролећна) пројекција</w:t>
            </w:r>
            <w:r w:rsidRPr="00092ED7">
              <w:rPr>
                <w:rFonts w:eastAsia="Times New Roman" w:cs="Times New Roman"/>
                <w:sz w:val="18"/>
                <w:szCs w:val="18"/>
                <w:vertAlign w:val="superscript"/>
                <w:lang w:val="sr-Cyrl-CS" w:eastAsia="en-GB"/>
              </w:rPr>
              <w:t>1</w:t>
            </w:r>
          </w:p>
        </w:tc>
        <w:tc>
          <w:tcPr>
            <w:tcW w:w="1418" w:type="dxa"/>
            <w:gridSpan w:val="2"/>
            <w:shd w:val="clear" w:color="auto" w:fill="auto"/>
            <w:noWrap/>
            <w:vAlign w:val="center"/>
            <w:hideMark/>
          </w:tcPr>
          <w:p w14:paraId="06F1AB34"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Претходна (јесења) пројекција*</w:t>
            </w:r>
          </w:p>
        </w:tc>
      </w:tr>
      <w:tr w:rsidR="009F0D95" w:rsidRPr="00092ED7" w14:paraId="4EC3B33A" w14:textId="77777777" w:rsidTr="00BD3989">
        <w:trPr>
          <w:trHeight w:val="283"/>
        </w:trPr>
        <w:tc>
          <w:tcPr>
            <w:tcW w:w="4117" w:type="dxa"/>
            <w:shd w:val="clear" w:color="auto" w:fill="auto"/>
            <w:noWrap/>
            <w:vAlign w:val="center"/>
            <w:hideMark/>
          </w:tcPr>
          <w:p w14:paraId="6E4227B5" w14:textId="77777777" w:rsidR="009F0D95" w:rsidRPr="00092ED7" w:rsidRDefault="009F0D95" w:rsidP="00BD3989">
            <w:pPr>
              <w:spacing w:after="0"/>
              <w:jc w:val="center"/>
              <w:rPr>
                <w:rFonts w:eastAsia="Times New Roman" w:cs="Times New Roman"/>
                <w:sz w:val="18"/>
                <w:szCs w:val="18"/>
                <w:lang w:val="sr-Cyrl-CS" w:eastAsia="en-GB"/>
              </w:rPr>
            </w:pPr>
          </w:p>
        </w:tc>
        <w:tc>
          <w:tcPr>
            <w:tcW w:w="708" w:type="dxa"/>
            <w:shd w:val="clear" w:color="auto" w:fill="auto"/>
            <w:noWrap/>
            <w:vAlign w:val="center"/>
            <w:hideMark/>
          </w:tcPr>
          <w:p w14:paraId="7AFA4B08"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2022</w:t>
            </w:r>
          </w:p>
        </w:tc>
        <w:tc>
          <w:tcPr>
            <w:tcW w:w="709" w:type="dxa"/>
            <w:shd w:val="clear" w:color="auto" w:fill="auto"/>
            <w:noWrap/>
            <w:vAlign w:val="center"/>
            <w:hideMark/>
          </w:tcPr>
          <w:p w14:paraId="6F1D58E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2023</w:t>
            </w:r>
          </w:p>
        </w:tc>
        <w:tc>
          <w:tcPr>
            <w:tcW w:w="709" w:type="dxa"/>
            <w:shd w:val="clear" w:color="auto" w:fill="auto"/>
            <w:noWrap/>
            <w:vAlign w:val="center"/>
            <w:hideMark/>
          </w:tcPr>
          <w:p w14:paraId="53E9995F"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2024</w:t>
            </w:r>
          </w:p>
        </w:tc>
        <w:tc>
          <w:tcPr>
            <w:tcW w:w="709" w:type="dxa"/>
            <w:shd w:val="clear" w:color="auto" w:fill="auto"/>
            <w:noWrap/>
            <w:vAlign w:val="center"/>
            <w:hideMark/>
          </w:tcPr>
          <w:p w14:paraId="43ADB58B"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2022</w:t>
            </w:r>
          </w:p>
        </w:tc>
        <w:tc>
          <w:tcPr>
            <w:tcW w:w="709" w:type="dxa"/>
            <w:shd w:val="clear" w:color="auto" w:fill="auto"/>
            <w:vAlign w:val="center"/>
            <w:hideMark/>
          </w:tcPr>
          <w:p w14:paraId="7A1A5BC7"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2023</w:t>
            </w:r>
          </w:p>
        </w:tc>
        <w:tc>
          <w:tcPr>
            <w:tcW w:w="709" w:type="dxa"/>
            <w:shd w:val="clear" w:color="auto" w:fill="auto"/>
            <w:noWrap/>
            <w:vAlign w:val="center"/>
            <w:hideMark/>
          </w:tcPr>
          <w:p w14:paraId="603FC9AB"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2022</w:t>
            </w:r>
          </w:p>
        </w:tc>
        <w:tc>
          <w:tcPr>
            <w:tcW w:w="709" w:type="dxa"/>
            <w:shd w:val="clear" w:color="auto" w:fill="auto"/>
            <w:vAlign w:val="center"/>
            <w:hideMark/>
          </w:tcPr>
          <w:p w14:paraId="0A288003"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2023</w:t>
            </w:r>
          </w:p>
        </w:tc>
      </w:tr>
      <w:tr w:rsidR="009F0D95" w:rsidRPr="00092ED7" w14:paraId="58A1BDD2" w14:textId="77777777" w:rsidTr="00BD3989">
        <w:trPr>
          <w:trHeight w:val="283"/>
        </w:trPr>
        <w:tc>
          <w:tcPr>
            <w:tcW w:w="4117" w:type="dxa"/>
            <w:shd w:val="clear" w:color="auto" w:fill="auto"/>
            <w:noWrap/>
            <w:vAlign w:val="center"/>
            <w:hideMark/>
          </w:tcPr>
          <w:p w14:paraId="44BFA47E" w14:textId="77777777" w:rsidR="009F0D95" w:rsidRPr="00092ED7" w:rsidRDefault="009F0D95" w:rsidP="00BD3989">
            <w:pPr>
              <w:spacing w:after="0"/>
              <w:rPr>
                <w:rFonts w:eastAsia="Times New Roman" w:cs="Times New Roman"/>
                <w:sz w:val="18"/>
                <w:szCs w:val="18"/>
                <w:lang w:val="sr-Cyrl-CS" w:eastAsia="en-GB"/>
              </w:rPr>
            </w:pPr>
            <w:r w:rsidRPr="00092ED7">
              <w:rPr>
                <w:rFonts w:eastAsia="Times New Roman" w:cs="Times New Roman"/>
                <w:sz w:val="18"/>
                <w:szCs w:val="18"/>
                <w:lang w:val="sr-Cyrl-CS" w:eastAsia="en-GB"/>
              </w:rPr>
              <w:t>БДП</w:t>
            </w:r>
          </w:p>
        </w:tc>
        <w:tc>
          <w:tcPr>
            <w:tcW w:w="708" w:type="dxa"/>
            <w:shd w:val="clear" w:color="auto" w:fill="auto"/>
            <w:noWrap/>
            <w:vAlign w:val="center"/>
            <w:hideMark/>
          </w:tcPr>
          <w:p w14:paraId="0716493F"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3,2</w:t>
            </w:r>
          </w:p>
        </w:tc>
        <w:tc>
          <w:tcPr>
            <w:tcW w:w="709" w:type="dxa"/>
            <w:shd w:val="clear" w:color="auto" w:fill="auto"/>
            <w:noWrap/>
            <w:vAlign w:val="center"/>
            <w:hideMark/>
          </w:tcPr>
          <w:p w14:paraId="7D04B6B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0,3</w:t>
            </w:r>
          </w:p>
        </w:tc>
        <w:tc>
          <w:tcPr>
            <w:tcW w:w="709" w:type="dxa"/>
            <w:shd w:val="clear" w:color="auto" w:fill="auto"/>
            <w:noWrap/>
            <w:vAlign w:val="center"/>
            <w:hideMark/>
          </w:tcPr>
          <w:p w14:paraId="38E1CF70"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1,5</w:t>
            </w:r>
          </w:p>
        </w:tc>
        <w:tc>
          <w:tcPr>
            <w:tcW w:w="709" w:type="dxa"/>
            <w:shd w:val="clear" w:color="auto" w:fill="auto"/>
            <w:noWrap/>
            <w:vAlign w:val="center"/>
            <w:hideMark/>
          </w:tcPr>
          <w:p w14:paraId="49DFD06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2,7</w:t>
            </w:r>
          </w:p>
        </w:tc>
        <w:tc>
          <w:tcPr>
            <w:tcW w:w="709" w:type="dxa"/>
            <w:shd w:val="clear" w:color="auto" w:fill="auto"/>
            <w:vAlign w:val="center"/>
            <w:hideMark/>
          </w:tcPr>
          <w:p w14:paraId="2A4BF683"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2,3</w:t>
            </w:r>
          </w:p>
        </w:tc>
        <w:tc>
          <w:tcPr>
            <w:tcW w:w="709" w:type="dxa"/>
            <w:shd w:val="clear" w:color="auto" w:fill="auto"/>
            <w:noWrap/>
            <w:vAlign w:val="center"/>
            <w:hideMark/>
          </w:tcPr>
          <w:p w14:paraId="3F3CBE4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4,3</w:t>
            </w:r>
          </w:p>
        </w:tc>
        <w:tc>
          <w:tcPr>
            <w:tcW w:w="709" w:type="dxa"/>
            <w:shd w:val="clear" w:color="auto" w:fill="auto"/>
            <w:vAlign w:val="center"/>
            <w:hideMark/>
          </w:tcPr>
          <w:p w14:paraId="185D9174"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2,4</w:t>
            </w:r>
          </w:p>
        </w:tc>
      </w:tr>
      <w:tr w:rsidR="009F0D95" w:rsidRPr="00092ED7" w14:paraId="15122399" w14:textId="77777777" w:rsidTr="00BD3989">
        <w:trPr>
          <w:trHeight w:val="283"/>
        </w:trPr>
        <w:tc>
          <w:tcPr>
            <w:tcW w:w="4117" w:type="dxa"/>
            <w:shd w:val="clear" w:color="auto" w:fill="auto"/>
            <w:noWrap/>
            <w:vAlign w:val="center"/>
            <w:hideMark/>
          </w:tcPr>
          <w:p w14:paraId="4FFC0159" w14:textId="77777777" w:rsidR="009F0D95" w:rsidRPr="00092ED7" w:rsidRDefault="009F0D95" w:rsidP="00BD3989">
            <w:pPr>
              <w:spacing w:after="0"/>
              <w:ind w:firstLine="340"/>
              <w:rPr>
                <w:rFonts w:eastAsia="Times New Roman" w:cs="Times New Roman"/>
                <w:sz w:val="18"/>
                <w:szCs w:val="18"/>
                <w:lang w:val="sr-Cyrl-CS" w:eastAsia="en-GB"/>
              </w:rPr>
            </w:pPr>
            <w:r w:rsidRPr="00092ED7">
              <w:rPr>
                <w:rFonts w:eastAsia="Times New Roman" w:cs="Times New Roman"/>
                <w:sz w:val="18"/>
                <w:szCs w:val="18"/>
                <w:lang w:val="sr-Cyrl-CS" w:eastAsia="en-GB"/>
              </w:rPr>
              <w:t>Лична потрошња</w:t>
            </w:r>
          </w:p>
        </w:tc>
        <w:tc>
          <w:tcPr>
            <w:tcW w:w="708" w:type="dxa"/>
            <w:shd w:val="clear" w:color="auto" w:fill="auto"/>
            <w:noWrap/>
            <w:vAlign w:val="center"/>
            <w:hideMark/>
          </w:tcPr>
          <w:p w14:paraId="11CC87E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3,7</w:t>
            </w:r>
          </w:p>
        </w:tc>
        <w:tc>
          <w:tcPr>
            <w:tcW w:w="709" w:type="dxa"/>
            <w:shd w:val="clear" w:color="auto" w:fill="auto"/>
            <w:noWrap/>
            <w:vAlign w:val="center"/>
            <w:hideMark/>
          </w:tcPr>
          <w:p w14:paraId="6E876BB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0,1</w:t>
            </w:r>
          </w:p>
        </w:tc>
        <w:tc>
          <w:tcPr>
            <w:tcW w:w="709" w:type="dxa"/>
            <w:shd w:val="clear" w:color="auto" w:fill="auto"/>
            <w:noWrap/>
            <w:vAlign w:val="center"/>
            <w:hideMark/>
          </w:tcPr>
          <w:p w14:paraId="5C3BEC13"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1,5</w:t>
            </w:r>
          </w:p>
        </w:tc>
        <w:tc>
          <w:tcPr>
            <w:tcW w:w="709" w:type="dxa"/>
            <w:shd w:val="clear" w:color="auto" w:fill="auto"/>
            <w:noWrap/>
            <w:vAlign w:val="center"/>
            <w:hideMark/>
          </w:tcPr>
          <w:p w14:paraId="01DC6F58"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3,2</w:t>
            </w:r>
          </w:p>
        </w:tc>
        <w:tc>
          <w:tcPr>
            <w:tcW w:w="709" w:type="dxa"/>
            <w:shd w:val="clear" w:color="auto" w:fill="auto"/>
            <w:vAlign w:val="center"/>
            <w:hideMark/>
          </w:tcPr>
          <w:p w14:paraId="00A83FAA"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2,6</w:t>
            </w:r>
          </w:p>
        </w:tc>
        <w:tc>
          <w:tcPr>
            <w:tcW w:w="709" w:type="dxa"/>
            <w:shd w:val="clear" w:color="auto" w:fill="auto"/>
            <w:noWrap/>
            <w:vAlign w:val="center"/>
            <w:hideMark/>
          </w:tcPr>
          <w:p w14:paraId="519F152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5,5</w:t>
            </w:r>
          </w:p>
        </w:tc>
        <w:tc>
          <w:tcPr>
            <w:tcW w:w="709" w:type="dxa"/>
            <w:shd w:val="clear" w:color="auto" w:fill="auto"/>
            <w:vAlign w:val="center"/>
            <w:hideMark/>
          </w:tcPr>
          <w:p w14:paraId="5EFC6DE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2,2</w:t>
            </w:r>
          </w:p>
        </w:tc>
      </w:tr>
      <w:tr w:rsidR="009F0D95" w:rsidRPr="00092ED7" w14:paraId="59A2133B" w14:textId="77777777" w:rsidTr="00BD3989">
        <w:trPr>
          <w:trHeight w:val="283"/>
        </w:trPr>
        <w:tc>
          <w:tcPr>
            <w:tcW w:w="4117" w:type="dxa"/>
            <w:shd w:val="clear" w:color="auto" w:fill="auto"/>
            <w:noWrap/>
            <w:vAlign w:val="center"/>
            <w:hideMark/>
          </w:tcPr>
          <w:p w14:paraId="73EC59C7" w14:textId="77777777" w:rsidR="009F0D95" w:rsidRPr="00092ED7" w:rsidRDefault="009F0D95" w:rsidP="00BD3989">
            <w:pPr>
              <w:spacing w:after="0"/>
              <w:ind w:firstLine="340"/>
              <w:rPr>
                <w:rFonts w:eastAsia="Times New Roman" w:cs="Times New Roman"/>
                <w:sz w:val="18"/>
                <w:szCs w:val="18"/>
                <w:lang w:val="sr-Cyrl-CS" w:eastAsia="en-GB"/>
              </w:rPr>
            </w:pPr>
            <w:r w:rsidRPr="00092ED7">
              <w:rPr>
                <w:rFonts w:eastAsia="Times New Roman" w:cs="Times New Roman"/>
                <w:sz w:val="18"/>
                <w:szCs w:val="18"/>
                <w:lang w:val="sr-Cyrl-CS" w:eastAsia="en-GB"/>
              </w:rPr>
              <w:t>Државна потрошња</w:t>
            </w:r>
          </w:p>
        </w:tc>
        <w:tc>
          <w:tcPr>
            <w:tcW w:w="708" w:type="dxa"/>
            <w:shd w:val="clear" w:color="auto" w:fill="auto"/>
            <w:noWrap/>
            <w:vAlign w:val="center"/>
            <w:hideMark/>
          </w:tcPr>
          <w:p w14:paraId="4D3D262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1,4</w:t>
            </w:r>
          </w:p>
        </w:tc>
        <w:tc>
          <w:tcPr>
            <w:tcW w:w="709" w:type="dxa"/>
            <w:shd w:val="clear" w:color="auto" w:fill="auto"/>
            <w:noWrap/>
            <w:vAlign w:val="center"/>
            <w:hideMark/>
          </w:tcPr>
          <w:p w14:paraId="3DED4736"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0,3</w:t>
            </w:r>
          </w:p>
        </w:tc>
        <w:tc>
          <w:tcPr>
            <w:tcW w:w="709" w:type="dxa"/>
            <w:shd w:val="clear" w:color="auto" w:fill="auto"/>
            <w:noWrap/>
            <w:vAlign w:val="center"/>
            <w:hideMark/>
          </w:tcPr>
          <w:p w14:paraId="52D1C06D"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0,8</w:t>
            </w:r>
          </w:p>
        </w:tc>
        <w:tc>
          <w:tcPr>
            <w:tcW w:w="709" w:type="dxa"/>
            <w:shd w:val="clear" w:color="auto" w:fill="auto"/>
            <w:noWrap/>
            <w:vAlign w:val="center"/>
            <w:hideMark/>
          </w:tcPr>
          <w:p w14:paraId="53CFFF5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0,8</w:t>
            </w:r>
          </w:p>
        </w:tc>
        <w:tc>
          <w:tcPr>
            <w:tcW w:w="709" w:type="dxa"/>
            <w:shd w:val="clear" w:color="auto" w:fill="auto"/>
            <w:vAlign w:val="center"/>
            <w:hideMark/>
          </w:tcPr>
          <w:p w14:paraId="6D82D1F1"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0,5</w:t>
            </w:r>
          </w:p>
        </w:tc>
        <w:tc>
          <w:tcPr>
            <w:tcW w:w="709" w:type="dxa"/>
            <w:shd w:val="clear" w:color="auto" w:fill="auto"/>
            <w:noWrap/>
            <w:vAlign w:val="center"/>
            <w:hideMark/>
          </w:tcPr>
          <w:p w14:paraId="4EBCECA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0,9</w:t>
            </w:r>
          </w:p>
        </w:tc>
        <w:tc>
          <w:tcPr>
            <w:tcW w:w="709" w:type="dxa"/>
            <w:shd w:val="clear" w:color="auto" w:fill="auto"/>
            <w:vAlign w:val="center"/>
            <w:hideMark/>
          </w:tcPr>
          <w:p w14:paraId="40CED3D9"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0,8</w:t>
            </w:r>
          </w:p>
        </w:tc>
      </w:tr>
      <w:tr w:rsidR="009F0D95" w:rsidRPr="00092ED7" w14:paraId="4B64CBB6" w14:textId="77777777" w:rsidTr="00BD3989">
        <w:trPr>
          <w:trHeight w:val="283"/>
        </w:trPr>
        <w:tc>
          <w:tcPr>
            <w:tcW w:w="4117" w:type="dxa"/>
            <w:shd w:val="clear" w:color="auto" w:fill="auto"/>
            <w:noWrap/>
            <w:vAlign w:val="center"/>
            <w:hideMark/>
          </w:tcPr>
          <w:p w14:paraId="39C8B1C0" w14:textId="77777777" w:rsidR="009F0D95" w:rsidRPr="00092ED7" w:rsidRDefault="009F0D95" w:rsidP="00BD3989">
            <w:pPr>
              <w:spacing w:after="0"/>
              <w:ind w:firstLine="340"/>
              <w:rPr>
                <w:rFonts w:eastAsia="Times New Roman" w:cs="Times New Roman"/>
                <w:sz w:val="18"/>
                <w:szCs w:val="18"/>
                <w:lang w:val="sr-Cyrl-CS" w:eastAsia="en-GB"/>
              </w:rPr>
            </w:pPr>
            <w:r w:rsidRPr="00092ED7">
              <w:rPr>
                <w:rFonts w:eastAsia="Times New Roman" w:cs="Times New Roman"/>
                <w:sz w:val="18"/>
                <w:szCs w:val="18"/>
                <w:lang w:val="sr-Cyrl-CS" w:eastAsia="en-GB"/>
              </w:rPr>
              <w:t>Бруто инвестиције у основна средства</w:t>
            </w:r>
          </w:p>
        </w:tc>
        <w:tc>
          <w:tcPr>
            <w:tcW w:w="708" w:type="dxa"/>
            <w:shd w:val="clear" w:color="auto" w:fill="auto"/>
            <w:noWrap/>
            <w:vAlign w:val="center"/>
            <w:hideMark/>
          </w:tcPr>
          <w:p w14:paraId="6357DB21"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2,8</w:t>
            </w:r>
          </w:p>
        </w:tc>
        <w:tc>
          <w:tcPr>
            <w:tcW w:w="709" w:type="dxa"/>
            <w:shd w:val="clear" w:color="auto" w:fill="auto"/>
            <w:noWrap/>
            <w:vAlign w:val="center"/>
            <w:hideMark/>
          </w:tcPr>
          <w:p w14:paraId="3C7E6CA9"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0,5</w:t>
            </w:r>
          </w:p>
        </w:tc>
        <w:tc>
          <w:tcPr>
            <w:tcW w:w="709" w:type="dxa"/>
            <w:shd w:val="clear" w:color="auto" w:fill="auto"/>
            <w:noWrap/>
            <w:vAlign w:val="center"/>
            <w:hideMark/>
          </w:tcPr>
          <w:p w14:paraId="591B69E8"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2,3</w:t>
            </w:r>
          </w:p>
        </w:tc>
        <w:tc>
          <w:tcPr>
            <w:tcW w:w="709" w:type="dxa"/>
            <w:shd w:val="clear" w:color="auto" w:fill="auto"/>
            <w:noWrap/>
            <w:vAlign w:val="center"/>
            <w:hideMark/>
          </w:tcPr>
          <w:p w14:paraId="0BBAD34F"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3,1</w:t>
            </w:r>
          </w:p>
        </w:tc>
        <w:tc>
          <w:tcPr>
            <w:tcW w:w="709" w:type="dxa"/>
            <w:shd w:val="clear" w:color="auto" w:fill="auto"/>
            <w:vAlign w:val="center"/>
            <w:hideMark/>
          </w:tcPr>
          <w:p w14:paraId="19493200"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3,6</w:t>
            </w:r>
          </w:p>
        </w:tc>
        <w:tc>
          <w:tcPr>
            <w:tcW w:w="709" w:type="dxa"/>
            <w:shd w:val="clear" w:color="auto" w:fill="auto"/>
            <w:noWrap/>
            <w:vAlign w:val="center"/>
            <w:hideMark/>
          </w:tcPr>
          <w:p w14:paraId="280FFB99"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4,4</w:t>
            </w:r>
          </w:p>
        </w:tc>
        <w:tc>
          <w:tcPr>
            <w:tcW w:w="709" w:type="dxa"/>
            <w:shd w:val="clear" w:color="auto" w:fill="auto"/>
            <w:vAlign w:val="center"/>
            <w:hideMark/>
          </w:tcPr>
          <w:p w14:paraId="0833EF0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3,9</w:t>
            </w:r>
          </w:p>
        </w:tc>
      </w:tr>
      <w:tr w:rsidR="009F0D95" w:rsidRPr="00092ED7" w14:paraId="2BA13854" w14:textId="77777777" w:rsidTr="00BD3989">
        <w:trPr>
          <w:trHeight w:val="283"/>
        </w:trPr>
        <w:tc>
          <w:tcPr>
            <w:tcW w:w="4117" w:type="dxa"/>
            <w:shd w:val="clear" w:color="auto" w:fill="auto"/>
            <w:noWrap/>
            <w:vAlign w:val="center"/>
            <w:hideMark/>
          </w:tcPr>
          <w:p w14:paraId="74E7D07E" w14:textId="77777777" w:rsidR="009F0D95" w:rsidRPr="00092ED7" w:rsidRDefault="009F0D95" w:rsidP="00BD3989">
            <w:pPr>
              <w:spacing w:after="0"/>
              <w:ind w:firstLine="340"/>
              <w:rPr>
                <w:rFonts w:eastAsia="Times New Roman" w:cs="Times New Roman"/>
                <w:sz w:val="18"/>
                <w:szCs w:val="18"/>
                <w:lang w:val="sr-Cyrl-CS" w:eastAsia="en-GB"/>
              </w:rPr>
            </w:pPr>
            <w:r w:rsidRPr="00092ED7">
              <w:rPr>
                <w:rFonts w:eastAsia="Times New Roman" w:cs="Times New Roman"/>
                <w:sz w:val="18"/>
                <w:szCs w:val="18"/>
                <w:lang w:val="sr-Cyrl-CS" w:eastAsia="en-GB"/>
              </w:rPr>
              <w:t>Извоз</w:t>
            </w:r>
          </w:p>
        </w:tc>
        <w:tc>
          <w:tcPr>
            <w:tcW w:w="708" w:type="dxa"/>
            <w:shd w:val="clear" w:color="auto" w:fill="auto"/>
            <w:noWrap/>
            <w:vAlign w:val="center"/>
            <w:hideMark/>
          </w:tcPr>
          <w:p w14:paraId="7C3667A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6,6</w:t>
            </w:r>
          </w:p>
        </w:tc>
        <w:tc>
          <w:tcPr>
            <w:tcW w:w="709" w:type="dxa"/>
            <w:shd w:val="clear" w:color="auto" w:fill="auto"/>
            <w:noWrap/>
            <w:vAlign w:val="center"/>
            <w:hideMark/>
          </w:tcPr>
          <w:p w14:paraId="4E32A76A"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2,0</w:t>
            </w:r>
          </w:p>
        </w:tc>
        <w:tc>
          <w:tcPr>
            <w:tcW w:w="709" w:type="dxa"/>
            <w:shd w:val="clear" w:color="auto" w:fill="auto"/>
            <w:noWrap/>
            <w:vAlign w:val="center"/>
            <w:hideMark/>
          </w:tcPr>
          <w:p w14:paraId="084D6733"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3,4</w:t>
            </w:r>
          </w:p>
        </w:tc>
        <w:tc>
          <w:tcPr>
            <w:tcW w:w="709" w:type="dxa"/>
            <w:shd w:val="clear" w:color="auto" w:fill="auto"/>
            <w:noWrap/>
            <w:vAlign w:val="center"/>
            <w:hideMark/>
          </w:tcPr>
          <w:p w14:paraId="1C7CD344"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5,2</w:t>
            </w:r>
          </w:p>
        </w:tc>
        <w:tc>
          <w:tcPr>
            <w:tcW w:w="709" w:type="dxa"/>
            <w:shd w:val="clear" w:color="auto" w:fill="auto"/>
            <w:vAlign w:val="center"/>
            <w:hideMark/>
          </w:tcPr>
          <w:p w14:paraId="7BC192F8"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4,7</w:t>
            </w:r>
          </w:p>
        </w:tc>
        <w:tc>
          <w:tcPr>
            <w:tcW w:w="709" w:type="dxa"/>
            <w:shd w:val="clear" w:color="auto" w:fill="auto"/>
            <w:noWrap/>
            <w:vAlign w:val="center"/>
            <w:hideMark/>
          </w:tcPr>
          <w:p w14:paraId="4C3027EF"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7,3</w:t>
            </w:r>
          </w:p>
        </w:tc>
        <w:tc>
          <w:tcPr>
            <w:tcW w:w="709" w:type="dxa"/>
            <w:shd w:val="clear" w:color="auto" w:fill="auto"/>
            <w:vAlign w:val="center"/>
            <w:hideMark/>
          </w:tcPr>
          <w:p w14:paraId="6E78CEC4"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5,2</w:t>
            </w:r>
          </w:p>
        </w:tc>
      </w:tr>
      <w:tr w:rsidR="009F0D95" w:rsidRPr="00092ED7" w14:paraId="38C5EE87" w14:textId="77777777" w:rsidTr="00BD3989">
        <w:trPr>
          <w:trHeight w:val="283"/>
        </w:trPr>
        <w:tc>
          <w:tcPr>
            <w:tcW w:w="4117" w:type="dxa"/>
            <w:shd w:val="clear" w:color="auto" w:fill="auto"/>
            <w:noWrap/>
            <w:vAlign w:val="center"/>
            <w:hideMark/>
          </w:tcPr>
          <w:p w14:paraId="62FAC38F" w14:textId="77777777" w:rsidR="009F0D95" w:rsidRPr="00092ED7" w:rsidRDefault="009F0D95" w:rsidP="00BD3989">
            <w:pPr>
              <w:spacing w:after="0"/>
              <w:ind w:firstLine="340"/>
              <w:rPr>
                <w:rFonts w:eastAsia="Times New Roman" w:cs="Times New Roman"/>
                <w:sz w:val="18"/>
                <w:szCs w:val="18"/>
                <w:lang w:val="sr-Cyrl-CS" w:eastAsia="en-GB"/>
              </w:rPr>
            </w:pPr>
            <w:r w:rsidRPr="00092ED7">
              <w:rPr>
                <w:rFonts w:eastAsia="Times New Roman" w:cs="Times New Roman"/>
                <w:sz w:val="18"/>
                <w:szCs w:val="18"/>
                <w:lang w:val="sr-Cyrl-CS" w:eastAsia="en-GB"/>
              </w:rPr>
              <w:t>Увоз</w:t>
            </w:r>
          </w:p>
        </w:tc>
        <w:tc>
          <w:tcPr>
            <w:tcW w:w="708" w:type="dxa"/>
            <w:shd w:val="clear" w:color="auto" w:fill="auto"/>
            <w:noWrap/>
            <w:vAlign w:val="center"/>
            <w:hideMark/>
          </w:tcPr>
          <w:p w14:paraId="492D250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6,8</w:t>
            </w:r>
          </w:p>
        </w:tc>
        <w:tc>
          <w:tcPr>
            <w:tcW w:w="709" w:type="dxa"/>
            <w:shd w:val="clear" w:color="auto" w:fill="auto"/>
            <w:noWrap/>
            <w:vAlign w:val="center"/>
            <w:hideMark/>
          </w:tcPr>
          <w:p w14:paraId="63F1925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1,9</w:t>
            </w:r>
          </w:p>
        </w:tc>
        <w:tc>
          <w:tcPr>
            <w:tcW w:w="709" w:type="dxa"/>
            <w:shd w:val="clear" w:color="auto" w:fill="auto"/>
            <w:noWrap/>
            <w:vAlign w:val="center"/>
            <w:hideMark/>
          </w:tcPr>
          <w:p w14:paraId="45873067"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3,5</w:t>
            </w:r>
          </w:p>
        </w:tc>
        <w:tc>
          <w:tcPr>
            <w:tcW w:w="709" w:type="dxa"/>
            <w:shd w:val="clear" w:color="auto" w:fill="auto"/>
            <w:noWrap/>
            <w:vAlign w:val="center"/>
            <w:hideMark/>
          </w:tcPr>
          <w:p w14:paraId="6E58A65F"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5,2</w:t>
            </w:r>
          </w:p>
        </w:tc>
        <w:tc>
          <w:tcPr>
            <w:tcW w:w="709" w:type="dxa"/>
            <w:shd w:val="clear" w:color="auto" w:fill="auto"/>
            <w:vAlign w:val="center"/>
            <w:hideMark/>
          </w:tcPr>
          <w:p w14:paraId="59F38B3D"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4,8</w:t>
            </w:r>
          </w:p>
        </w:tc>
        <w:tc>
          <w:tcPr>
            <w:tcW w:w="709" w:type="dxa"/>
            <w:shd w:val="clear" w:color="auto" w:fill="auto"/>
            <w:noWrap/>
            <w:vAlign w:val="center"/>
            <w:hideMark/>
          </w:tcPr>
          <w:p w14:paraId="6F317F6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7,2</w:t>
            </w:r>
          </w:p>
        </w:tc>
        <w:tc>
          <w:tcPr>
            <w:tcW w:w="709" w:type="dxa"/>
            <w:shd w:val="clear" w:color="auto" w:fill="auto"/>
            <w:vAlign w:val="center"/>
            <w:hideMark/>
          </w:tcPr>
          <w:p w14:paraId="58F13688"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5,1</w:t>
            </w:r>
          </w:p>
        </w:tc>
      </w:tr>
      <w:tr w:rsidR="009F0D95" w:rsidRPr="00092ED7" w14:paraId="7382A774" w14:textId="77777777" w:rsidTr="00BD3989">
        <w:trPr>
          <w:trHeight w:val="283"/>
        </w:trPr>
        <w:tc>
          <w:tcPr>
            <w:tcW w:w="4117" w:type="dxa"/>
            <w:shd w:val="clear" w:color="auto" w:fill="auto"/>
            <w:noWrap/>
            <w:vAlign w:val="center"/>
            <w:hideMark/>
          </w:tcPr>
          <w:p w14:paraId="1C5C72D5" w14:textId="77777777" w:rsidR="009F0D95" w:rsidRPr="00092ED7" w:rsidRDefault="009F0D95" w:rsidP="00BD3989">
            <w:pPr>
              <w:spacing w:after="0"/>
              <w:rPr>
                <w:rFonts w:eastAsia="Times New Roman" w:cs="Times New Roman"/>
                <w:sz w:val="18"/>
                <w:szCs w:val="18"/>
                <w:lang w:val="sr-Cyrl-CS" w:eastAsia="en-GB"/>
              </w:rPr>
            </w:pPr>
            <w:r w:rsidRPr="00092ED7">
              <w:rPr>
                <w:rFonts w:eastAsia="Times New Roman" w:cs="Times New Roman"/>
                <w:sz w:val="18"/>
                <w:szCs w:val="18"/>
                <w:lang w:val="sr-Cyrl-CS" w:eastAsia="en-GB"/>
              </w:rPr>
              <w:t>Запосленост</w:t>
            </w:r>
          </w:p>
        </w:tc>
        <w:tc>
          <w:tcPr>
            <w:tcW w:w="708" w:type="dxa"/>
            <w:shd w:val="clear" w:color="auto" w:fill="auto"/>
            <w:noWrap/>
            <w:vAlign w:val="center"/>
            <w:hideMark/>
          </w:tcPr>
          <w:p w14:paraId="21AE1B4A"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1,8</w:t>
            </w:r>
          </w:p>
        </w:tc>
        <w:tc>
          <w:tcPr>
            <w:tcW w:w="709" w:type="dxa"/>
            <w:shd w:val="clear" w:color="auto" w:fill="auto"/>
            <w:noWrap/>
            <w:vAlign w:val="center"/>
            <w:hideMark/>
          </w:tcPr>
          <w:p w14:paraId="2F59AB6B"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0,1</w:t>
            </w:r>
          </w:p>
        </w:tc>
        <w:tc>
          <w:tcPr>
            <w:tcW w:w="709" w:type="dxa"/>
            <w:shd w:val="clear" w:color="auto" w:fill="auto"/>
            <w:noWrap/>
            <w:vAlign w:val="center"/>
            <w:hideMark/>
          </w:tcPr>
          <w:p w14:paraId="1E11F0E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0,5</w:t>
            </w:r>
          </w:p>
        </w:tc>
        <w:tc>
          <w:tcPr>
            <w:tcW w:w="709" w:type="dxa"/>
            <w:shd w:val="clear" w:color="auto" w:fill="auto"/>
            <w:noWrap/>
            <w:vAlign w:val="center"/>
            <w:hideMark/>
          </w:tcPr>
          <w:p w14:paraId="315491C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1,3</w:t>
            </w:r>
          </w:p>
        </w:tc>
        <w:tc>
          <w:tcPr>
            <w:tcW w:w="709" w:type="dxa"/>
            <w:shd w:val="clear" w:color="auto" w:fill="auto"/>
            <w:vAlign w:val="center"/>
            <w:hideMark/>
          </w:tcPr>
          <w:p w14:paraId="14689B44"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0,8</w:t>
            </w:r>
          </w:p>
        </w:tc>
        <w:tc>
          <w:tcPr>
            <w:tcW w:w="709" w:type="dxa"/>
            <w:shd w:val="clear" w:color="auto" w:fill="auto"/>
            <w:noWrap/>
            <w:vAlign w:val="center"/>
            <w:hideMark/>
          </w:tcPr>
          <w:p w14:paraId="0C1946BD"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1,0</w:t>
            </w:r>
          </w:p>
        </w:tc>
        <w:tc>
          <w:tcPr>
            <w:tcW w:w="709" w:type="dxa"/>
            <w:shd w:val="clear" w:color="auto" w:fill="auto"/>
            <w:vAlign w:val="center"/>
            <w:hideMark/>
          </w:tcPr>
          <w:p w14:paraId="40BB7BA1"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0,7</w:t>
            </w:r>
          </w:p>
        </w:tc>
      </w:tr>
      <w:tr w:rsidR="009F0D95" w:rsidRPr="00092ED7" w14:paraId="6C0AA816" w14:textId="77777777" w:rsidTr="00BD3989">
        <w:trPr>
          <w:trHeight w:val="283"/>
        </w:trPr>
        <w:tc>
          <w:tcPr>
            <w:tcW w:w="4117" w:type="dxa"/>
            <w:shd w:val="clear" w:color="auto" w:fill="auto"/>
            <w:noWrap/>
            <w:vAlign w:val="center"/>
            <w:hideMark/>
          </w:tcPr>
          <w:p w14:paraId="765EF06B" w14:textId="77777777" w:rsidR="009F0D95" w:rsidRPr="00092ED7" w:rsidRDefault="009F0D95" w:rsidP="00BD3989">
            <w:pPr>
              <w:spacing w:after="0"/>
              <w:rPr>
                <w:rFonts w:eastAsia="Times New Roman" w:cs="Times New Roman"/>
                <w:sz w:val="18"/>
                <w:szCs w:val="18"/>
                <w:lang w:val="sr-Cyrl-CS" w:eastAsia="en-GB"/>
              </w:rPr>
            </w:pPr>
            <w:r w:rsidRPr="00092ED7">
              <w:rPr>
                <w:rFonts w:eastAsia="Times New Roman" w:cs="Times New Roman"/>
                <w:sz w:val="18"/>
                <w:szCs w:val="18"/>
                <w:lang w:val="sr-Cyrl-CS" w:eastAsia="en-GB"/>
              </w:rPr>
              <w:t>Стопа незапослености, проценат радне снаге</w:t>
            </w:r>
          </w:p>
        </w:tc>
        <w:tc>
          <w:tcPr>
            <w:tcW w:w="708" w:type="dxa"/>
            <w:shd w:val="clear" w:color="auto" w:fill="auto"/>
            <w:noWrap/>
            <w:vAlign w:val="center"/>
            <w:hideMark/>
          </w:tcPr>
          <w:p w14:paraId="333A2CA3"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6,8</w:t>
            </w:r>
          </w:p>
        </w:tc>
        <w:tc>
          <w:tcPr>
            <w:tcW w:w="709" w:type="dxa"/>
            <w:shd w:val="clear" w:color="auto" w:fill="auto"/>
            <w:noWrap/>
            <w:vAlign w:val="center"/>
            <w:hideMark/>
          </w:tcPr>
          <w:p w14:paraId="59CF351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7,2</w:t>
            </w:r>
          </w:p>
        </w:tc>
        <w:tc>
          <w:tcPr>
            <w:tcW w:w="709" w:type="dxa"/>
            <w:shd w:val="clear" w:color="auto" w:fill="auto"/>
            <w:noWrap/>
            <w:vAlign w:val="center"/>
            <w:hideMark/>
          </w:tcPr>
          <w:p w14:paraId="7D3599CF"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7,0</w:t>
            </w:r>
          </w:p>
        </w:tc>
        <w:tc>
          <w:tcPr>
            <w:tcW w:w="709" w:type="dxa"/>
            <w:shd w:val="clear" w:color="auto" w:fill="auto"/>
            <w:noWrap/>
            <w:vAlign w:val="center"/>
            <w:hideMark/>
          </w:tcPr>
          <w:p w14:paraId="0C5A993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7,3</w:t>
            </w:r>
          </w:p>
        </w:tc>
        <w:tc>
          <w:tcPr>
            <w:tcW w:w="709" w:type="dxa"/>
            <w:shd w:val="clear" w:color="auto" w:fill="auto"/>
            <w:vAlign w:val="center"/>
            <w:hideMark/>
          </w:tcPr>
          <w:p w14:paraId="0AB4353D"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7,0</w:t>
            </w:r>
          </w:p>
        </w:tc>
        <w:tc>
          <w:tcPr>
            <w:tcW w:w="709" w:type="dxa"/>
            <w:shd w:val="clear" w:color="auto" w:fill="auto"/>
            <w:noWrap/>
            <w:vAlign w:val="center"/>
            <w:hideMark/>
          </w:tcPr>
          <w:p w14:paraId="3E6B145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7,5</w:t>
            </w:r>
          </w:p>
        </w:tc>
        <w:tc>
          <w:tcPr>
            <w:tcW w:w="709" w:type="dxa"/>
            <w:shd w:val="clear" w:color="auto" w:fill="auto"/>
            <w:vAlign w:val="center"/>
            <w:hideMark/>
          </w:tcPr>
          <w:p w14:paraId="2CF91E4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7,3</w:t>
            </w:r>
          </w:p>
        </w:tc>
      </w:tr>
      <w:tr w:rsidR="009F0D95" w:rsidRPr="00092ED7" w14:paraId="75B0AE1A" w14:textId="77777777" w:rsidTr="00BD3989">
        <w:trPr>
          <w:trHeight w:val="283"/>
        </w:trPr>
        <w:tc>
          <w:tcPr>
            <w:tcW w:w="4117" w:type="dxa"/>
            <w:shd w:val="clear" w:color="auto" w:fill="auto"/>
            <w:noWrap/>
            <w:vAlign w:val="center"/>
            <w:hideMark/>
          </w:tcPr>
          <w:p w14:paraId="6FDF3339" w14:textId="77777777" w:rsidR="009F0D95" w:rsidRPr="00092ED7" w:rsidRDefault="009F0D95" w:rsidP="00BD3989">
            <w:pPr>
              <w:spacing w:after="0"/>
              <w:rPr>
                <w:rFonts w:eastAsia="Times New Roman" w:cs="Times New Roman"/>
                <w:sz w:val="18"/>
                <w:szCs w:val="18"/>
                <w:lang w:val="sr-Cyrl-CS" w:eastAsia="en-GB"/>
              </w:rPr>
            </w:pPr>
            <w:r w:rsidRPr="00092ED7">
              <w:rPr>
                <w:rFonts w:eastAsia="Times New Roman" w:cs="Times New Roman"/>
                <w:sz w:val="18"/>
                <w:szCs w:val="18"/>
                <w:lang w:val="sr-Cyrl-CS" w:eastAsia="en-GB"/>
              </w:rPr>
              <w:t>Инфлација</w:t>
            </w:r>
          </w:p>
        </w:tc>
        <w:tc>
          <w:tcPr>
            <w:tcW w:w="708" w:type="dxa"/>
            <w:shd w:val="clear" w:color="auto" w:fill="auto"/>
            <w:noWrap/>
            <w:vAlign w:val="center"/>
            <w:hideMark/>
          </w:tcPr>
          <w:p w14:paraId="60BD0CD0"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8,5</w:t>
            </w:r>
          </w:p>
        </w:tc>
        <w:tc>
          <w:tcPr>
            <w:tcW w:w="709" w:type="dxa"/>
            <w:shd w:val="clear" w:color="auto" w:fill="auto"/>
            <w:noWrap/>
            <w:vAlign w:val="center"/>
            <w:hideMark/>
          </w:tcPr>
          <w:p w14:paraId="4FA1722F"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6,1</w:t>
            </w:r>
          </w:p>
        </w:tc>
        <w:tc>
          <w:tcPr>
            <w:tcW w:w="709" w:type="dxa"/>
            <w:shd w:val="clear" w:color="auto" w:fill="auto"/>
            <w:noWrap/>
            <w:vAlign w:val="center"/>
            <w:hideMark/>
          </w:tcPr>
          <w:p w14:paraId="7FA6611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2,6</w:t>
            </w:r>
          </w:p>
        </w:tc>
        <w:tc>
          <w:tcPr>
            <w:tcW w:w="709" w:type="dxa"/>
            <w:shd w:val="clear" w:color="auto" w:fill="auto"/>
            <w:noWrap/>
            <w:vAlign w:val="center"/>
            <w:hideMark/>
          </w:tcPr>
          <w:p w14:paraId="2CE8B941"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6,1</w:t>
            </w:r>
          </w:p>
        </w:tc>
        <w:tc>
          <w:tcPr>
            <w:tcW w:w="709" w:type="dxa"/>
            <w:shd w:val="clear" w:color="auto" w:fill="auto"/>
            <w:vAlign w:val="center"/>
            <w:hideMark/>
          </w:tcPr>
          <w:p w14:paraId="7717C81A"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2,7</w:t>
            </w:r>
          </w:p>
        </w:tc>
        <w:tc>
          <w:tcPr>
            <w:tcW w:w="709" w:type="dxa"/>
            <w:shd w:val="clear" w:color="auto" w:fill="auto"/>
            <w:noWrap/>
            <w:vAlign w:val="center"/>
            <w:hideMark/>
          </w:tcPr>
          <w:p w14:paraId="66649750"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2,2</w:t>
            </w:r>
          </w:p>
        </w:tc>
        <w:tc>
          <w:tcPr>
            <w:tcW w:w="709" w:type="dxa"/>
            <w:shd w:val="clear" w:color="auto" w:fill="auto"/>
            <w:vAlign w:val="center"/>
            <w:hideMark/>
          </w:tcPr>
          <w:p w14:paraId="3C0DBA4B"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1,4</w:t>
            </w:r>
          </w:p>
        </w:tc>
      </w:tr>
      <w:tr w:rsidR="009F0D95" w:rsidRPr="00092ED7" w14:paraId="31CE2532" w14:textId="77777777" w:rsidTr="00BD3989">
        <w:trPr>
          <w:trHeight w:val="283"/>
        </w:trPr>
        <w:tc>
          <w:tcPr>
            <w:tcW w:w="4117" w:type="dxa"/>
            <w:shd w:val="clear" w:color="auto" w:fill="auto"/>
            <w:noWrap/>
            <w:vAlign w:val="center"/>
            <w:hideMark/>
          </w:tcPr>
          <w:p w14:paraId="16141A01" w14:textId="77777777" w:rsidR="009F0D95" w:rsidRPr="00092ED7" w:rsidRDefault="009F0D95" w:rsidP="00BD3989">
            <w:pPr>
              <w:spacing w:after="0"/>
              <w:rPr>
                <w:rFonts w:eastAsia="Times New Roman" w:cs="Times New Roman"/>
                <w:sz w:val="18"/>
                <w:szCs w:val="18"/>
                <w:lang w:val="sr-Cyrl-CS" w:eastAsia="en-GB"/>
              </w:rPr>
            </w:pPr>
            <w:r w:rsidRPr="00092ED7">
              <w:rPr>
                <w:rFonts w:eastAsia="Times New Roman" w:cs="Times New Roman"/>
                <w:sz w:val="18"/>
                <w:szCs w:val="18"/>
                <w:lang w:val="sr-Cyrl-CS" w:eastAsia="en-GB"/>
              </w:rPr>
              <w:t>Јединични трошкови рада</w:t>
            </w:r>
          </w:p>
        </w:tc>
        <w:tc>
          <w:tcPr>
            <w:tcW w:w="708" w:type="dxa"/>
            <w:shd w:val="clear" w:color="auto" w:fill="auto"/>
            <w:noWrap/>
            <w:vAlign w:val="center"/>
            <w:hideMark/>
          </w:tcPr>
          <w:p w14:paraId="1C3643E6"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3,0</w:t>
            </w:r>
          </w:p>
        </w:tc>
        <w:tc>
          <w:tcPr>
            <w:tcW w:w="709" w:type="dxa"/>
            <w:shd w:val="clear" w:color="auto" w:fill="auto"/>
            <w:noWrap/>
            <w:vAlign w:val="center"/>
            <w:hideMark/>
          </w:tcPr>
          <w:p w14:paraId="68D7967C"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4,8</w:t>
            </w:r>
          </w:p>
        </w:tc>
        <w:tc>
          <w:tcPr>
            <w:tcW w:w="709" w:type="dxa"/>
            <w:shd w:val="clear" w:color="auto" w:fill="auto"/>
            <w:noWrap/>
            <w:vAlign w:val="center"/>
            <w:hideMark/>
          </w:tcPr>
          <w:p w14:paraId="31B4FB46"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2,7</w:t>
            </w:r>
          </w:p>
        </w:tc>
        <w:tc>
          <w:tcPr>
            <w:tcW w:w="709" w:type="dxa"/>
            <w:shd w:val="clear" w:color="auto" w:fill="auto"/>
            <w:noWrap/>
            <w:vAlign w:val="center"/>
            <w:hideMark/>
          </w:tcPr>
          <w:p w14:paraId="0718794F"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2,3</w:t>
            </w:r>
          </w:p>
        </w:tc>
        <w:tc>
          <w:tcPr>
            <w:tcW w:w="709" w:type="dxa"/>
            <w:shd w:val="clear" w:color="auto" w:fill="auto"/>
            <w:vAlign w:val="center"/>
            <w:hideMark/>
          </w:tcPr>
          <w:p w14:paraId="50F28D1C"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2,1</w:t>
            </w:r>
          </w:p>
        </w:tc>
        <w:tc>
          <w:tcPr>
            <w:tcW w:w="709" w:type="dxa"/>
            <w:shd w:val="clear" w:color="auto" w:fill="auto"/>
            <w:noWrap/>
            <w:vAlign w:val="center"/>
            <w:hideMark/>
          </w:tcPr>
          <w:p w14:paraId="041C5AF8"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0,2</w:t>
            </w:r>
          </w:p>
        </w:tc>
        <w:tc>
          <w:tcPr>
            <w:tcW w:w="709" w:type="dxa"/>
            <w:shd w:val="clear" w:color="auto" w:fill="auto"/>
            <w:vAlign w:val="center"/>
            <w:hideMark/>
          </w:tcPr>
          <w:p w14:paraId="4EDA8FD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1,0</w:t>
            </w:r>
          </w:p>
        </w:tc>
      </w:tr>
      <w:tr w:rsidR="009F0D95" w:rsidRPr="00092ED7" w14:paraId="714ED67B" w14:textId="77777777" w:rsidTr="00BD3989">
        <w:trPr>
          <w:trHeight w:val="283"/>
        </w:trPr>
        <w:tc>
          <w:tcPr>
            <w:tcW w:w="4117" w:type="dxa"/>
            <w:shd w:val="clear" w:color="auto" w:fill="auto"/>
            <w:noWrap/>
            <w:vAlign w:val="center"/>
            <w:hideMark/>
          </w:tcPr>
          <w:p w14:paraId="4C75B812" w14:textId="77777777" w:rsidR="009F0D95" w:rsidRPr="00092ED7" w:rsidRDefault="009F0D95" w:rsidP="00BD3989">
            <w:pPr>
              <w:spacing w:after="0"/>
              <w:rPr>
                <w:rFonts w:eastAsia="Times New Roman" w:cs="Times New Roman"/>
                <w:sz w:val="18"/>
                <w:szCs w:val="18"/>
                <w:lang w:val="sr-Cyrl-CS" w:eastAsia="en-GB"/>
              </w:rPr>
            </w:pPr>
            <w:r w:rsidRPr="00092ED7">
              <w:rPr>
                <w:rFonts w:eastAsia="Times New Roman" w:cs="Times New Roman"/>
                <w:sz w:val="18"/>
                <w:szCs w:val="18"/>
                <w:lang w:val="sr-Cyrl-CS" w:eastAsia="en-GB"/>
              </w:rPr>
              <w:t>Фискални резултат опште државе, % БДП</w:t>
            </w:r>
          </w:p>
        </w:tc>
        <w:tc>
          <w:tcPr>
            <w:tcW w:w="708" w:type="dxa"/>
            <w:shd w:val="clear" w:color="auto" w:fill="auto"/>
            <w:noWrap/>
            <w:vAlign w:val="center"/>
            <w:hideMark/>
          </w:tcPr>
          <w:p w14:paraId="5B235A43"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-3,5</w:t>
            </w:r>
          </w:p>
        </w:tc>
        <w:tc>
          <w:tcPr>
            <w:tcW w:w="709" w:type="dxa"/>
            <w:shd w:val="clear" w:color="auto" w:fill="auto"/>
            <w:noWrap/>
            <w:vAlign w:val="center"/>
            <w:hideMark/>
          </w:tcPr>
          <w:p w14:paraId="764AA05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-3,7</w:t>
            </w:r>
          </w:p>
        </w:tc>
        <w:tc>
          <w:tcPr>
            <w:tcW w:w="709" w:type="dxa"/>
            <w:shd w:val="clear" w:color="auto" w:fill="auto"/>
            <w:noWrap/>
            <w:vAlign w:val="center"/>
            <w:hideMark/>
          </w:tcPr>
          <w:p w14:paraId="27F722CC"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-3,3</w:t>
            </w:r>
          </w:p>
        </w:tc>
        <w:tc>
          <w:tcPr>
            <w:tcW w:w="709" w:type="dxa"/>
            <w:shd w:val="clear" w:color="auto" w:fill="auto"/>
            <w:noWrap/>
            <w:vAlign w:val="center"/>
            <w:hideMark/>
          </w:tcPr>
          <w:p w14:paraId="4EFEAE4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-3,7</w:t>
            </w:r>
          </w:p>
        </w:tc>
        <w:tc>
          <w:tcPr>
            <w:tcW w:w="709" w:type="dxa"/>
            <w:shd w:val="clear" w:color="auto" w:fill="auto"/>
            <w:vAlign w:val="center"/>
            <w:hideMark/>
          </w:tcPr>
          <w:p w14:paraId="1B7075D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-2,5</w:t>
            </w:r>
          </w:p>
        </w:tc>
        <w:tc>
          <w:tcPr>
            <w:tcW w:w="709" w:type="dxa"/>
            <w:shd w:val="clear" w:color="auto" w:fill="auto"/>
            <w:noWrap/>
            <w:vAlign w:val="center"/>
            <w:hideMark/>
          </w:tcPr>
          <w:p w14:paraId="4464AA38"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-3,9</w:t>
            </w:r>
          </w:p>
        </w:tc>
        <w:tc>
          <w:tcPr>
            <w:tcW w:w="709" w:type="dxa"/>
            <w:shd w:val="clear" w:color="auto" w:fill="auto"/>
            <w:vAlign w:val="center"/>
            <w:hideMark/>
          </w:tcPr>
          <w:p w14:paraId="64E2F14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-2,4</w:t>
            </w:r>
          </w:p>
        </w:tc>
      </w:tr>
      <w:tr w:rsidR="009F0D95" w:rsidRPr="00092ED7" w14:paraId="4C8327CC" w14:textId="77777777" w:rsidTr="00BD3989">
        <w:trPr>
          <w:trHeight w:val="283"/>
        </w:trPr>
        <w:tc>
          <w:tcPr>
            <w:tcW w:w="4117" w:type="dxa"/>
            <w:shd w:val="clear" w:color="auto" w:fill="auto"/>
            <w:noWrap/>
            <w:vAlign w:val="center"/>
            <w:hideMark/>
          </w:tcPr>
          <w:p w14:paraId="78871488" w14:textId="77777777" w:rsidR="009F0D95" w:rsidRPr="00092ED7" w:rsidRDefault="009F0D95" w:rsidP="00BD3989">
            <w:pPr>
              <w:spacing w:after="0"/>
              <w:rPr>
                <w:rFonts w:eastAsia="Times New Roman" w:cs="Times New Roman"/>
                <w:sz w:val="18"/>
                <w:szCs w:val="18"/>
                <w:lang w:val="sr-Cyrl-CS" w:eastAsia="en-GB"/>
              </w:rPr>
            </w:pPr>
            <w:r w:rsidRPr="00092ED7">
              <w:rPr>
                <w:rFonts w:eastAsia="Times New Roman" w:cs="Times New Roman"/>
                <w:sz w:val="18"/>
                <w:szCs w:val="18"/>
                <w:lang w:val="sr-Cyrl-CS" w:eastAsia="en-GB"/>
              </w:rPr>
              <w:t>Бруто дуг опште државе, % БДП</w:t>
            </w:r>
          </w:p>
        </w:tc>
        <w:tc>
          <w:tcPr>
            <w:tcW w:w="708" w:type="dxa"/>
            <w:shd w:val="clear" w:color="auto" w:fill="auto"/>
            <w:noWrap/>
            <w:vAlign w:val="center"/>
            <w:hideMark/>
          </w:tcPr>
          <w:p w14:paraId="712B9C51"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93,6</w:t>
            </w:r>
          </w:p>
        </w:tc>
        <w:tc>
          <w:tcPr>
            <w:tcW w:w="709" w:type="dxa"/>
            <w:shd w:val="clear" w:color="auto" w:fill="auto"/>
            <w:noWrap/>
            <w:vAlign w:val="center"/>
            <w:hideMark/>
          </w:tcPr>
          <w:p w14:paraId="3118B37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92,3</w:t>
            </w:r>
          </w:p>
        </w:tc>
        <w:tc>
          <w:tcPr>
            <w:tcW w:w="709" w:type="dxa"/>
            <w:shd w:val="clear" w:color="auto" w:fill="auto"/>
            <w:noWrap/>
            <w:vAlign w:val="center"/>
            <w:hideMark/>
          </w:tcPr>
          <w:p w14:paraId="1BA955DD"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91,4</w:t>
            </w:r>
          </w:p>
        </w:tc>
        <w:tc>
          <w:tcPr>
            <w:tcW w:w="709" w:type="dxa"/>
            <w:shd w:val="clear" w:color="auto" w:fill="auto"/>
            <w:noWrap/>
            <w:vAlign w:val="center"/>
            <w:hideMark/>
          </w:tcPr>
          <w:p w14:paraId="4A4FC844"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94,6</w:t>
            </w:r>
          </w:p>
        </w:tc>
        <w:tc>
          <w:tcPr>
            <w:tcW w:w="709" w:type="dxa"/>
            <w:shd w:val="clear" w:color="auto" w:fill="auto"/>
            <w:vAlign w:val="center"/>
            <w:hideMark/>
          </w:tcPr>
          <w:p w14:paraId="71C2AF64"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92,6</w:t>
            </w:r>
          </w:p>
        </w:tc>
        <w:tc>
          <w:tcPr>
            <w:tcW w:w="709" w:type="dxa"/>
            <w:shd w:val="clear" w:color="auto" w:fill="auto"/>
            <w:noWrap/>
            <w:vAlign w:val="center"/>
            <w:hideMark/>
          </w:tcPr>
          <w:p w14:paraId="54CF9599"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97,9</w:t>
            </w:r>
          </w:p>
        </w:tc>
        <w:tc>
          <w:tcPr>
            <w:tcW w:w="709" w:type="dxa"/>
            <w:shd w:val="clear" w:color="auto" w:fill="auto"/>
            <w:vAlign w:val="center"/>
            <w:hideMark/>
          </w:tcPr>
          <w:p w14:paraId="3AAAFB9A"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97,0</w:t>
            </w:r>
          </w:p>
        </w:tc>
      </w:tr>
      <w:tr w:rsidR="009F0D95" w:rsidRPr="00092ED7" w14:paraId="5DD30804" w14:textId="77777777" w:rsidTr="00BD3989">
        <w:trPr>
          <w:trHeight w:val="283"/>
        </w:trPr>
        <w:tc>
          <w:tcPr>
            <w:tcW w:w="4117" w:type="dxa"/>
            <w:shd w:val="clear" w:color="auto" w:fill="auto"/>
            <w:noWrap/>
            <w:vAlign w:val="center"/>
            <w:hideMark/>
          </w:tcPr>
          <w:p w14:paraId="5E9AA9AE" w14:textId="77777777" w:rsidR="009F0D95" w:rsidRPr="00092ED7" w:rsidRDefault="009F0D95" w:rsidP="00BD3989">
            <w:pPr>
              <w:spacing w:after="0"/>
              <w:rPr>
                <w:rFonts w:eastAsia="Times New Roman" w:cs="Times New Roman"/>
                <w:sz w:val="18"/>
                <w:szCs w:val="18"/>
                <w:lang w:val="sr-Cyrl-CS" w:eastAsia="en-GB"/>
              </w:rPr>
            </w:pPr>
            <w:r w:rsidRPr="00092ED7">
              <w:rPr>
                <w:rFonts w:eastAsia="Times New Roman" w:cs="Times New Roman"/>
                <w:sz w:val="18"/>
                <w:szCs w:val="18"/>
                <w:lang w:val="sr-Cyrl-CS" w:eastAsia="en-GB"/>
              </w:rPr>
              <w:t>Салдо текућег рачуна, % БДП</w:t>
            </w:r>
          </w:p>
        </w:tc>
        <w:tc>
          <w:tcPr>
            <w:tcW w:w="708" w:type="dxa"/>
            <w:shd w:val="clear" w:color="auto" w:fill="auto"/>
            <w:noWrap/>
            <w:vAlign w:val="center"/>
            <w:hideMark/>
          </w:tcPr>
          <w:p w14:paraId="6E6C599D"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1,5</w:t>
            </w:r>
          </w:p>
        </w:tc>
        <w:tc>
          <w:tcPr>
            <w:tcW w:w="709" w:type="dxa"/>
            <w:shd w:val="clear" w:color="auto" w:fill="auto"/>
            <w:noWrap/>
            <w:vAlign w:val="center"/>
            <w:hideMark/>
          </w:tcPr>
          <w:p w14:paraId="4DB6E15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1,9</w:t>
            </w:r>
          </w:p>
        </w:tc>
        <w:tc>
          <w:tcPr>
            <w:tcW w:w="709" w:type="dxa"/>
            <w:shd w:val="clear" w:color="auto" w:fill="auto"/>
            <w:noWrap/>
            <w:vAlign w:val="center"/>
            <w:hideMark/>
          </w:tcPr>
          <w:p w14:paraId="7BEF591C"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2,4</w:t>
            </w:r>
          </w:p>
        </w:tc>
        <w:tc>
          <w:tcPr>
            <w:tcW w:w="709" w:type="dxa"/>
            <w:shd w:val="clear" w:color="auto" w:fill="auto"/>
            <w:noWrap/>
            <w:vAlign w:val="center"/>
            <w:hideMark/>
          </w:tcPr>
          <w:p w14:paraId="283A823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2,4</w:t>
            </w:r>
          </w:p>
        </w:tc>
        <w:tc>
          <w:tcPr>
            <w:tcW w:w="709" w:type="dxa"/>
            <w:shd w:val="clear" w:color="auto" w:fill="auto"/>
            <w:vAlign w:val="center"/>
            <w:hideMark/>
          </w:tcPr>
          <w:p w14:paraId="67A1E89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2,9</w:t>
            </w:r>
          </w:p>
        </w:tc>
        <w:tc>
          <w:tcPr>
            <w:tcW w:w="709" w:type="dxa"/>
            <w:shd w:val="clear" w:color="auto" w:fill="auto"/>
            <w:noWrap/>
            <w:vAlign w:val="center"/>
            <w:hideMark/>
          </w:tcPr>
          <w:p w14:paraId="4965EC89"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3,2</w:t>
            </w:r>
          </w:p>
        </w:tc>
        <w:tc>
          <w:tcPr>
            <w:tcW w:w="709" w:type="dxa"/>
            <w:shd w:val="clear" w:color="auto" w:fill="auto"/>
            <w:vAlign w:val="center"/>
            <w:hideMark/>
          </w:tcPr>
          <w:p w14:paraId="66301643"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3,4</w:t>
            </w:r>
          </w:p>
        </w:tc>
      </w:tr>
    </w:tbl>
    <w:p w14:paraId="03E76F14" w14:textId="77777777" w:rsidR="009F0D95" w:rsidRPr="00092ED7" w:rsidRDefault="009F0D95" w:rsidP="000679CD">
      <w:pPr>
        <w:spacing w:before="60" w:after="0"/>
        <w:rPr>
          <w:rFonts w:eastAsiaTheme="minorEastAsia" w:cs="Times New Roman"/>
          <w:sz w:val="18"/>
          <w:szCs w:val="18"/>
          <w:lang w:val="sr-Cyrl-CS" w:eastAsia="ja-JP"/>
        </w:rPr>
      </w:pPr>
      <w:r w:rsidRPr="00092ED7">
        <w:rPr>
          <w:rFonts w:eastAsiaTheme="minorEastAsia" w:cs="Times New Roman"/>
          <w:sz w:val="18"/>
          <w:szCs w:val="18"/>
          <w:lang w:val="sr-Cyrl-CS" w:eastAsia="ja-JP"/>
        </w:rPr>
        <w:t>Извор: ЕК, Јесење пројекције, новембар 2022. године</w:t>
      </w:r>
    </w:p>
    <w:p w14:paraId="609CFBC6" w14:textId="7EA7639B" w:rsidR="009F0D95" w:rsidRPr="00092ED7" w:rsidRDefault="009F0D95" w:rsidP="009F0D95">
      <w:pPr>
        <w:spacing w:before="40" w:after="0"/>
        <w:rPr>
          <w:rFonts w:eastAsiaTheme="minorEastAsia" w:cs="Times New Roman"/>
          <w:sz w:val="18"/>
          <w:szCs w:val="18"/>
          <w:lang w:val="sr-Cyrl-CS" w:eastAsia="ja-JP"/>
        </w:rPr>
      </w:pPr>
      <w:r w:rsidRPr="00092ED7">
        <w:rPr>
          <w:rFonts w:eastAsia="MS PGothic" w:cs="Times New Roman"/>
          <w:bCs/>
          <w:iCs/>
          <w:sz w:val="18"/>
          <w:szCs w:val="18"/>
          <w:vertAlign w:val="superscript"/>
          <w:lang w:val="sr-Cyrl-CS" w:eastAsia="ja-JP"/>
        </w:rPr>
        <w:t xml:space="preserve">1 </w:t>
      </w:r>
      <w:r w:rsidRPr="00092ED7">
        <w:rPr>
          <w:rFonts w:eastAsiaTheme="minorEastAsia" w:cs="Times New Roman"/>
          <w:sz w:val="18"/>
          <w:szCs w:val="18"/>
          <w:lang w:val="sr-Cyrl-CS" w:eastAsia="ja-JP"/>
        </w:rPr>
        <w:t xml:space="preserve">Пројекције се односе на 20 земаља еврозоне </w:t>
      </w:r>
      <w:r w:rsidRPr="00092ED7">
        <w:rPr>
          <w:rFonts w:eastAsia="MS PGothic" w:cs="Times New Roman"/>
          <w:bCs/>
          <w:iCs/>
          <w:sz w:val="18"/>
          <w:szCs w:val="18"/>
          <w:lang w:val="sr-Cyrl-CS" w:eastAsia="ja-JP"/>
        </w:rPr>
        <w:t xml:space="preserve">(укључујући и </w:t>
      </w:r>
      <w:r w:rsidR="009A1E17" w:rsidRPr="00092ED7">
        <w:rPr>
          <w:rFonts w:eastAsia="MS PGothic" w:cs="Times New Roman"/>
          <w:bCs/>
          <w:iCs/>
          <w:sz w:val="18"/>
          <w:szCs w:val="18"/>
          <w:lang w:val="sr-Cyrl-CS" w:eastAsia="ja-JP"/>
        </w:rPr>
        <w:t xml:space="preserve">Републику </w:t>
      </w:r>
      <w:r w:rsidRPr="00092ED7">
        <w:rPr>
          <w:rFonts w:eastAsia="MS PGothic" w:cs="Times New Roman"/>
          <w:bCs/>
          <w:iCs/>
          <w:sz w:val="18"/>
          <w:szCs w:val="18"/>
          <w:lang w:val="sr-Cyrl-CS" w:eastAsia="ja-JP"/>
        </w:rPr>
        <w:t>Хрватску), осим ставке „салдо текућег рачуна, % БДП” која се односи на 19 земаља еврозоне.</w:t>
      </w:r>
    </w:p>
    <w:p w14:paraId="0173CCE6" w14:textId="77777777" w:rsidR="009F0D95" w:rsidRPr="00092ED7" w:rsidRDefault="009F0D95" w:rsidP="00055DC9">
      <w:pPr>
        <w:spacing w:after="240"/>
        <w:rPr>
          <w:rFonts w:eastAsiaTheme="minorEastAsia" w:cs="Times New Roman"/>
          <w:sz w:val="18"/>
          <w:szCs w:val="18"/>
          <w:lang w:val="sr-Cyrl-CS" w:eastAsia="ja-JP"/>
        </w:rPr>
      </w:pPr>
      <w:r w:rsidRPr="00092ED7">
        <w:rPr>
          <w:rFonts w:eastAsiaTheme="minorEastAsia" w:cs="Times New Roman"/>
          <w:sz w:val="18"/>
          <w:szCs w:val="18"/>
          <w:lang w:val="sr-Cyrl-CS" w:eastAsia="ja-JP"/>
        </w:rPr>
        <w:t>* ЕК, Јесење пројекције, новембар 2021. године. Пројекција се односе на 19 земаља еврозоне.</w:t>
      </w:r>
    </w:p>
    <w:p w14:paraId="52885198" w14:textId="77777777" w:rsidR="009F0D95" w:rsidRPr="00092ED7" w:rsidRDefault="009F0D95" w:rsidP="000679CD">
      <w:pPr>
        <w:spacing w:after="60"/>
        <w:rPr>
          <w:rFonts w:eastAsiaTheme="minorEastAsia" w:cs="Times New Roman"/>
          <w:bCs/>
          <w:szCs w:val="24"/>
          <w:lang w:val="sr-Cyrl-CS" w:eastAsia="ja-JP"/>
        </w:rPr>
      </w:pPr>
      <w:r w:rsidRPr="00092ED7">
        <w:rPr>
          <w:rFonts w:eastAsiaTheme="minorEastAsia" w:cs="Times New Roman"/>
          <w:bCs/>
          <w:szCs w:val="24"/>
          <w:lang w:val="sr-Cyrl-CS" w:eastAsia="ja-JP"/>
        </w:rPr>
        <w:t>Иако се рецесија полако назире, економију ЕУ подржава најснажније тржиште рада у последњих неколико деценија. Стопе незапослености су рекордно ниске, а стопе активности и запослености рекордно високе. Тражња за радном снагом ће свакако реаговати на успоравање економске активности, иако са извесним закашњењем. Стога се предвиђа да ће се стопа незапослености у ЕУ само незнатно повећати са историјско ниског годишњег просека од 6,2% у 2022. години, на 6,5% у 2023. години, пре него што поново падне на 6,4% у 2024. години. Зараде су се увећале по натпросечним стопама у 2022. години и очекује се наставак таквог тренда, али ће у 2023. години стопа раста остати испод стопе инфлације.</w:t>
      </w:r>
    </w:p>
    <w:p w14:paraId="52AF1D58" w14:textId="78C892D1" w:rsidR="009F0D95" w:rsidRPr="00092ED7" w:rsidRDefault="009F0D95" w:rsidP="000679CD">
      <w:pPr>
        <w:spacing w:after="60"/>
        <w:rPr>
          <w:rStyle w:val="rynqvb"/>
          <w:lang w:val="sr-Cyrl-CS"/>
        </w:rPr>
      </w:pPr>
      <w:r w:rsidRPr="00092ED7">
        <w:rPr>
          <w:rStyle w:val="rynqvb"/>
          <w:lang w:val="sr-Cyrl-CS"/>
        </w:rPr>
        <w:t>Притисци на цене су наставили да се интензивирају, a инфлација достиже нове рекорде.</w:t>
      </w:r>
      <w:r w:rsidRPr="00092ED7">
        <w:rPr>
          <w:rStyle w:val="hwtze"/>
          <w:lang w:val="sr-Cyrl-CS"/>
        </w:rPr>
        <w:t xml:space="preserve"> </w:t>
      </w:r>
      <w:r w:rsidRPr="00092ED7">
        <w:rPr>
          <w:rStyle w:val="rynqvb"/>
          <w:lang w:val="sr-Cyrl-CS"/>
        </w:rPr>
        <w:t>Инфлација у зони евра додатно се убрзала током трећег квартала, достигавши 10,6% у октобру</w:t>
      </w:r>
      <w:r w:rsidR="007A01EA" w:rsidRPr="00092ED7">
        <w:rPr>
          <w:rStyle w:val="rynqvb"/>
          <w:lang w:val="sr-Cyrl-CS"/>
        </w:rPr>
        <w:t xml:space="preserve">, </w:t>
      </w:r>
      <w:r w:rsidRPr="00092ED7">
        <w:rPr>
          <w:rStyle w:val="rynqvb"/>
          <w:lang w:val="sr-Cyrl-CS"/>
        </w:rPr>
        <w:t>што је нови историјски максимум.</w:t>
      </w:r>
      <w:r w:rsidRPr="00092ED7">
        <w:rPr>
          <w:rStyle w:val="hwtze"/>
          <w:lang w:val="sr-Cyrl-CS"/>
        </w:rPr>
        <w:t xml:space="preserve"> </w:t>
      </w:r>
      <w:r w:rsidRPr="00092ED7">
        <w:rPr>
          <w:rStyle w:val="rynqvb"/>
          <w:lang w:val="sr-Cyrl-CS"/>
        </w:rPr>
        <w:t xml:space="preserve">Енергија и даље даје главни допринос укупној инфлацији, цене хране истовремено снажно расту, а депрецијација евра такође </w:t>
      </w:r>
      <w:r w:rsidR="00B81C9C" w:rsidRPr="00092ED7">
        <w:rPr>
          <w:rStyle w:val="rynqvb"/>
          <w:lang w:val="sr-Cyrl-CS"/>
        </w:rPr>
        <w:t xml:space="preserve">је </w:t>
      </w:r>
      <w:r w:rsidRPr="00092ED7">
        <w:rPr>
          <w:rStyle w:val="rynqvb"/>
          <w:lang w:val="sr-Cyrl-CS"/>
        </w:rPr>
        <w:t>допринела даљем ширењу ценовних притисака. Како се раст цена прелио и обухватио и друга добра</w:t>
      </w:r>
      <w:r w:rsidR="00CF19B9" w:rsidRPr="00092ED7">
        <w:rPr>
          <w:rStyle w:val="rynqvb"/>
          <w:lang w:val="sr-Cyrl-CS"/>
        </w:rPr>
        <w:t>,</w:t>
      </w:r>
      <w:r w:rsidRPr="00092ED7">
        <w:rPr>
          <w:rStyle w:val="rynqvb"/>
          <w:lang w:val="sr-Cyrl-CS"/>
        </w:rPr>
        <w:t xml:space="preserve"> осим хране и енергената, приметан је помак фокуса на базну инфлацију, која бележи значајан раст и постаје главни извор инфлаторних притисака. Очекује се да ће стопа инфлације у еврозони забележити максимум у 2022. години, а затим се прогнозира постепени пад и нормализација услед снажног утицаја базног ефекта и ниже цене енергената током 2023. и 2024. године (6,1% и 2,6%, респективно).</w:t>
      </w:r>
    </w:p>
    <w:p w14:paraId="23059834" w14:textId="6204591E" w:rsidR="009F0D95" w:rsidRPr="00092ED7" w:rsidRDefault="009F0D95" w:rsidP="000679CD">
      <w:pPr>
        <w:spacing w:after="60"/>
        <w:rPr>
          <w:rFonts w:eastAsiaTheme="minorEastAsia" w:cs="Times New Roman"/>
          <w:bCs/>
          <w:szCs w:val="24"/>
          <w:lang w:val="sr-Cyrl-CS" w:eastAsia="ja-JP"/>
        </w:rPr>
      </w:pPr>
      <w:r w:rsidRPr="00092ED7">
        <w:rPr>
          <w:rFonts w:eastAsiaTheme="minorEastAsia" w:cs="Times New Roman"/>
          <w:bCs/>
          <w:szCs w:val="24"/>
          <w:lang w:val="sr-Cyrl-CS" w:eastAsia="ja-JP"/>
        </w:rPr>
        <w:t xml:space="preserve">Суочена са постојаним инфлаторним притисцима, очекује се да ће монетарна политика наставити са заоштравањем. Европска централна банка (у даљем тексту: ЕЦБ) је од почетка године у </w:t>
      </w:r>
      <w:r w:rsidR="00A31A1A" w:rsidRPr="00092ED7">
        <w:rPr>
          <w:rFonts w:eastAsiaTheme="minorEastAsia" w:cs="Times New Roman"/>
          <w:bCs/>
          <w:szCs w:val="24"/>
          <w:lang w:val="sr-Cyrl-CS" w:eastAsia="ja-JP"/>
        </w:rPr>
        <w:t xml:space="preserve">четири </w:t>
      </w:r>
      <w:r w:rsidRPr="00092ED7">
        <w:rPr>
          <w:rFonts w:eastAsiaTheme="minorEastAsia" w:cs="Times New Roman"/>
          <w:bCs/>
          <w:szCs w:val="24"/>
          <w:lang w:val="sr-Cyrl-CS" w:eastAsia="ja-JP"/>
        </w:rPr>
        <w:t xml:space="preserve">наврата подизала референтну каматну стопу, а најскоријим повећањем из </w:t>
      </w:r>
      <w:r w:rsidR="00A31A1A" w:rsidRPr="00092ED7">
        <w:rPr>
          <w:rFonts w:eastAsiaTheme="minorEastAsia" w:cs="Times New Roman"/>
          <w:bCs/>
          <w:szCs w:val="24"/>
          <w:lang w:val="sr-Cyrl-CS" w:eastAsia="ja-JP"/>
        </w:rPr>
        <w:t xml:space="preserve">децембра </w:t>
      </w:r>
      <w:r w:rsidRPr="00092ED7">
        <w:rPr>
          <w:rFonts w:eastAsiaTheme="minorEastAsia" w:cs="Times New Roman"/>
          <w:bCs/>
          <w:szCs w:val="24"/>
          <w:lang w:val="sr-Cyrl-CS" w:eastAsia="ja-JP"/>
        </w:rPr>
        <w:t xml:space="preserve">2022. године постигнут је ниво од </w:t>
      </w:r>
      <w:r w:rsidR="00A31A1A" w:rsidRPr="00092ED7">
        <w:rPr>
          <w:rFonts w:eastAsiaTheme="minorEastAsia" w:cs="Times New Roman"/>
          <w:bCs/>
          <w:szCs w:val="24"/>
          <w:lang w:val="sr-Cyrl-CS" w:eastAsia="ja-JP"/>
        </w:rPr>
        <w:t>2,50</w:t>
      </w:r>
      <w:r w:rsidRPr="00092ED7">
        <w:rPr>
          <w:rFonts w:eastAsiaTheme="minorEastAsia" w:cs="Times New Roman"/>
          <w:bCs/>
          <w:szCs w:val="24"/>
          <w:lang w:val="sr-Cyrl-CS" w:eastAsia="ja-JP"/>
        </w:rPr>
        <w:t>%. У складу са тржишним очекивањима, претпоставља се да ће ЕЦБ, наставити да повећава референтну каматну стопу током 2023. године.</w:t>
      </w:r>
    </w:p>
    <w:p w14:paraId="28ACD790" w14:textId="77777777" w:rsidR="009F0D95" w:rsidRPr="00092ED7" w:rsidRDefault="009F0D95" w:rsidP="000679CD">
      <w:pPr>
        <w:spacing w:after="60"/>
        <w:rPr>
          <w:rStyle w:val="rynqvb"/>
          <w:rFonts w:eastAsiaTheme="minorEastAsia" w:cs="Times New Roman"/>
          <w:bCs/>
          <w:szCs w:val="24"/>
          <w:lang w:val="sr-Cyrl-CS" w:eastAsia="ja-JP"/>
        </w:rPr>
      </w:pPr>
      <w:r w:rsidRPr="00092ED7">
        <w:rPr>
          <w:rStyle w:val="rynqvb"/>
          <w:lang w:val="sr-Cyrl-CS"/>
        </w:rPr>
        <w:t>Снажан номинални раст у прва три квартала и постепено укидање подршке у вези са пандемијом, довели су до даљег смањење фискалног дефицита опште државе у 2022. години, упркос новим мерама усвојеним да би се ублажио утицај пораста цена енергије на домаћинства и предузећа.</w:t>
      </w:r>
      <w:r w:rsidRPr="00092ED7">
        <w:rPr>
          <w:rStyle w:val="hwtze"/>
          <w:lang w:val="sr-Cyrl-CS"/>
        </w:rPr>
        <w:t xml:space="preserve"> Након смањења на 4,6% БДП у 2021. години, предвиђа се да ће дефицит опште државе у ЕУ додатно опасти, за више од 1 п.п. у 2022. години. </w:t>
      </w:r>
      <w:r w:rsidRPr="00092ED7">
        <w:rPr>
          <w:rStyle w:val="rynqvb"/>
          <w:lang w:val="sr-Cyrl-CS"/>
        </w:rPr>
        <w:t>Како економска активност слаби, доћи ће до проширења или увођења нових дискреционих мера за ублажавање утицаја високих цена енергије, те ће се дефицит ЕУ за 2023. годину повећати, али само за око 0,2 п.п. на 3,6% БДП.</w:t>
      </w:r>
      <w:r w:rsidRPr="00092ED7">
        <w:rPr>
          <w:lang w:val="sr-Cyrl-CS"/>
        </w:rPr>
        <w:t xml:space="preserve"> </w:t>
      </w:r>
      <w:r w:rsidRPr="00092ED7">
        <w:rPr>
          <w:rStyle w:val="rynqvb"/>
          <w:lang w:val="sr-Cyrl-CS"/>
        </w:rPr>
        <w:t>У 2024. години предвиђа се да ће се укупни дефицит у ЕУ смањити на 3,2%, захваљујући пројектованом опоравку привредне активности.</w:t>
      </w:r>
      <w:r w:rsidRPr="00092ED7">
        <w:rPr>
          <w:lang w:val="sr-Cyrl-CS"/>
        </w:rPr>
        <w:t xml:space="preserve"> </w:t>
      </w:r>
      <w:r w:rsidRPr="00092ED7">
        <w:rPr>
          <w:rStyle w:val="rynqvb"/>
          <w:lang w:val="sr-Cyrl-CS"/>
        </w:rPr>
        <w:t>Висока инфлација подржава смањење учешћа дуга у БДП на кратак рок, а значајан утицај на предвиђени пад јавног дуга (са рекордних 99% у 2020. години на око 91% у 2024. години у зони евра) имаће раст дефлатора БДП.</w:t>
      </w:r>
    </w:p>
    <w:p w14:paraId="09D66C88" w14:textId="5BDBC2A4" w:rsidR="009F0D95" w:rsidRPr="00092ED7" w:rsidRDefault="009F0D95" w:rsidP="000679CD">
      <w:pPr>
        <w:spacing w:after="60"/>
        <w:rPr>
          <w:lang w:val="sr-Cyrl-CS" w:eastAsia="ja-JP"/>
        </w:rPr>
      </w:pPr>
      <w:r w:rsidRPr="00092ED7">
        <w:rPr>
          <w:lang w:val="sr-Cyrl-CS" w:eastAsia="ja-JP"/>
        </w:rPr>
        <w:t>Присутни су значајни ризици и неизвесност који се тичу остварења пројекције. Један од главних ризика се односи на даљи развој ситуације у Украјини, чија би ескалација довела до снажних негативних последица по европску</w:t>
      </w:r>
      <w:r w:rsidR="00CF19B9" w:rsidRPr="00092ED7">
        <w:rPr>
          <w:lang w:val="sr-Cyrl-CS" w:eastAsia="ja-JP"/>
        </w:rPr>
        <w:t>,</w:t>
      </w:r>
      <w:r w:rsidRPr="00092ED7">
        <w:rPr>
          <w:lang w:val="sr-Cyrl-CS" w:eastAsia="ja-JP"/>
        </w:rPr>
        <w:t xml:space="preserve"> али и глобалну економску активност. Последица тренутних дешавања у Украјини су и неповољна кретања на тржишту гаса и пратећи ризик од великих несташица, што нарочито може доћи до изражаја током зиме. Осим гаса, ЕУ је и даље директно и индиректно изложена шоковима на тржишту добара услед високе инфлације. Формирање спирале раста плата и цена, уз потенцијално недовољно прилагођавање финансијских тржишта на високе каматне стопе</w:t>
      </w:r>
      <w:r w:rsidR="00CF19B9" w:rsidRPr="00092ED7">
        <w:rPr>
          <w:lang w:val="sr-Cyrl-CS" w:eastAsia="ja-JP"/>
        </w:rPr>
        <w:t>,</w:t>
      </w:r>
      <w:r w:rsidRPr="00092ED7">
        <w:rPr>
          <w:lang w:val="sr-Cyrl-CS" w:eastAsia="ja-JP"/>
        </w:rPr>
        <w:t xml:space="preserve"> такође представљају фактор ризика. Поред тога, додатан ризик представља и потенцијални сукоб циљева монетарне политике</w:t>
      </w:r>
      <w:r w:rsidR="00CF19B9" w:rsidRPr="00092ED7">
        <w:rPr>
          <w:lang w:val="sr-Cyrl-CS" w:eastAsia="ja-JP"/>
        </w:rPr>
        <w:t>,</w:t>
      </w:r>
      <w:r w:rsidRPr="00092ED7">
        <w:rPr>
          <w:lang w:val="sr-Cyrl-CS" w:eastAsia="ja-JP"/>
        </w:rPr>
        <w:t xml:space="preserve"> која би се супротстављала инфлацији и фискалне политике</w:t>
      </w:r>
      <w:r w:rsidR="00AC37CF" w:rsidRPr="00092ED7">
        <w:rPr>
          <w:lang w:val="sr-Cyrl-CS" w:eastAsia="ja-JP"/>
        </w:rPr>
        <w:t>,</w:t>
      </w:r>
      <w:r w:rsidRPr="00092ED7">
        <w:rPr>
          <w:lang w:val="sr-Cyrl-CS" w:eastAsia="ja-JP"/>
        </w:rPr>
        <w:t xml:space="preserve"> која би наставила да буде експанзивна. Ризици у вези пандемије и даље су присутни, као и глобална претња услед незаустављивих климатских промена.</w:t>
      </w:r>
    </w:p>
    <w:p w14:paraId="020E603F" w14:textId="77777777" w:rsidR="00AA1BAE" w:rsidRPr="00092ED7" w:rsidRDefault="009807AD" w:rsidP="007C18C9">
      <w:pPr>
        <w:keepNext/>
        <w:keepLines/>
        <w:spacing w:before="120"/>
        <w:outlineLvl w:val="1"/>
        <w:rPr>
          <w:rFonts w:eastAsia="Calibri" w:cs="Times New Roman"/>
          <w:b/>
          <w:szCs w:val="24"/>
          <w:lang w:val="sr-Cyrl-CS"/>
        </w:rPr>
      </w:pPr>
      <w:bookmarkStart w:id="12" w:name="_Toc373932747"/>
      <w:bookmarkStart w:id="13" w:name="_Toc444605529"/>
      <w:bookmarkStart w:id="14" w:name="_Toc124174790"/>
      <w:bookmarkStart w:id="15" w:name="_Toc126218609"/>
      <w:r w:rsidRPr="00092ED7">
        <w:rPr>
          <w:rFonts w:eastAsia="Calibri" w:cs="Times New Roman"/>
          <w:b/>
          <w:szCs w:val="24"/>
          <w:lang w:val="sr-Cyrl-CS"/>
        </w:rPr>
        <w:t>3.2.</w:t>
      </w:r>
      <w:r w:rsidR="00AA1BAE" w:rsidRPr="00092ED7">
        <w:rPr>
          <w:rFonts w:eastAsia="Calibri" w:cs="Times New Roman"/>
          <w:b/>
          <w:szCs w:val="24"/>
          <w:lang w:val="sr-Cyrl-CS"/>
        </w:rPr>
        <w:t xml:space="preserve"> </w:t>
      </w:r>
      <w:bookmarkEnd w:id="12"/>
      <w:bookmarkEnd w:id="13"/>
      <w:r w:rsidR="001A3EE1" w:rsidRPr="00092ED7">
        <w:rPr>
          <w:rFonts w:eastAsia="Calibri" w:cs="Times New Roman"/>
          <w:b/>
          <w:szCs w:val="24"/>
          <w:lang w:val="sr-Cyrl-CS"/>
        </w:rPr>
        <w:t xml:space="preserve">НОВИЈА </w:t>
      </w:r>
      <w:r w:rsidR="0047017C" w:rsidRPr="00092ED7">
        <w:rPr>
          <w:rFonts w:eastAsia="Calibri" w:cs="Times New Roman"/>
          <w:b/>
          <w:szCs w:val="24"/>
          <w:lang w:val="sr-Cyrl-CS"/>
        </w:rPr>
        <w:t>ЕКОНОМСКА КРЕТАЊА</w:t>
      </w:r>
      <w:bookmarkEnd w:id="14"/>
      <w:bookmarkEnd w:id="15"/>
    </w:p>
    <w:p w14:paraId="7C8F0542" w14:textId="0EF701FC" w:rsidR="000679CD" w:rsidRPr="00092ED7" w:rsidRDefault="000679CD" w:rsidP="000679CD">
      <w:pPr>
        <w:spacing w:after="60"/>
        <w:rPr>
          <w:rFonts w:eastAsia="Constantia" w:cs="Times New Roman"/>
          <w:szCs w:val="24"/>
          <w:lang w:val="sr-Cyrl-CS"/>
        </w:rPr>
      </w:pPr>
      <w:bookmarkStart w:id="16" w:name="_Toc373932748"/>
      <w:r w:rsidRPr="00092ED7">
        <w:rPr>
          <w:rFonts w:eastAsia="Constantia" w:cs="Times New Roman"/>
          <w:b/>
          <w:szCs w:val="24"/>
          <w:lang w:val="sr-Cyrl-CS"/>
        </w:rPr>
        <w:t>Реални сектор</w:t>
      </w:r>
      <w:r w:rsidRPr="00092ED7">
        <w:rPr>
          <w:rFonts w:eastAsia="Constantia" w:cs="Times New Roman"/>
          <w:szCs w:val="24"/>
          <w:lang w:val="sr-Cyrl-CS"/>
        </w:rPr>
        <w:t>. Макроекономска кретања почетком 2022. године била су генерално на нивоу пројектованих, али су се изгледи погоршали као последица новог глобалног шока изазваног сукобом у Украјини и додатне ескалације протеклих месеци. Иако је у прва два квартала 2022. године остварен солидан раст привреде</w:t>
      </w:r>
      <w:r w:rsidR="00AC37CF" w:rsidRPr="00092ED7">
        <w:rPr>
          <w:rFonts w:eastAsia="Constantia" w:cs="Times New Roman"/>
          <w:szCs w:val="24"/>
          <w:lang w:val="sr-Cyrl-CS"/>
        </w:rPr>
        <w:t>,</w:t>
      </w:r>
      <w:r w:rsidRPr="00092ED7">
        <w:rPr>
          <w:rFonts w:eastAsia="Constantia" w:cs="Times New Roman"/>
          <w:szCs w:val="24"/>
          <w:lang w:val="sr-Cyrl-CS"/>
        </w:rPr>
        <w:t xml:space="preserve"> у овом периоду изостали су значајнији негативни ефекти геополитичких дешавања на динамику домаће привредне активности. Међутим, додатна ескалација сукоба и заоштравање међународних економских и политичких односа, праћени рекордним ценама енергената и последично смањеној глобалној трговини и спољној тражњи</w:t>
      </w:r>
      <w:r w:rsidR="00AC37CF" w:rsidRPr="00092ED7">
        <w:rPr>
          <w:rFonts w:eastAsia="Constantia" w:cs="Times New Roman"/>
          <w:szCs w:val="24"/>
          <w:lang w:val="sr-Cyrl-CS"/>
        </w:rPr>
        <w:t>,</w:t>
      </w:r>
      <w:r w:rsidRPr="00092ED7">
        <w:rPr>
          <w:rFonts w:eastAsia="Constantia" w:cs="Times New Roman"/>
          <w:szCs w:val="24"/>
          <w:lang w:val="sr-Cyrl-CS"/>
        </w:rPr>
        <w:t xml:space="preserve"> почела су временом да се одражавају и на домаћу привредну активност.</w:t>
      </w:r>
    </w:p>
    <w:p w14:paraId="15C9B3E9" w14:textId="46C5E2F0" w:rsidR="000679CD" w:rsidRPr="00092ED7" w:rsidRDefault="000679CD" w:rsidP="000679CD">
      <w:pPr>
        <w:spacing w:after="60"/>
        <w:rPr>
          <w:rFonts w:eastAsia="Constantia" w:cs="Times New Roman"/>
          <w:szCs w:val="24"/>
          <w:lang w:val="sr-Cyrl-CS"/>
        </w:rPr>
      </w:pPr>
      <w:r w:rsidRPr="00092ED7">
        <w:rPr>
          <w:rFonts w:eastAsia="Constantia" w:cs="Times New Roman"/>
          <w:szCs w:val="24"/>
          <w:lang w:val="sr-Cyrl-CS"/>
        </w:rPr>
        <w:t xml:space="preserve">Према подацима </w:t>
      </w:r>
      <w:r w:rsidR="00AC37CF" w:rsidRPr="00092ED7">
        <w:rPr>
          <w:rFonts w:eastAsia="Constantia" w:cs="Times New Roman"/>
          <w:szCs w:val="24"/>
          <w:lang w:val="sr-Cyrl-CS"/>
        </w:rPr>
        <w:t xml:space="preserve">Републучког завода за статистику (у даљем тексту: </w:t>
      </w:r>
      <w:r w:rsidRPr="00092ED7">
        <w:rPr>
          <w:rFonts w:eastAsia="Constantia" w:cs="Times New Roman"/>
          <w:szCs w:val="24"/>
          <w:lang w:val="sr-Cyrl-CS"/>
        </w:rPr>
        <w:t>РЗС</w:t>
      </w:r>
      <w:r w:rsidR="00AC37CF" w:rsidRPr="00092ED7">
        <w:rPr>
          <w:rFonts w:eastAsia="Constantia" w:cs="Times New Roman"/>
          <w:szCs w:val="24"/>
          <w:lang w:val="sr-Cyrl-CS"/>
        </w:rPr>
        <w:t>)</w:t>
      </w:r>
      <w:r w:rsidRPr="00092ED7">
        <w:rPr>
          <w:rFonts w:eastAsia="Constantia" w:cs="Times New Roman"/>
          <w:szCs w:val="24"/>
          <w:lang w:val="sr-Cyrl-CS"/>
        </w:rPr>
        <w:t>, раст БДП у првом кварталу 2022. године износио је 4,3% мг.</w:t>
      </w:r>
      <w:r w:rsidR="00AC37CF" w:rsidRPr="00092ED7">
        <w:rPr>
          <w:rFonts w:eastAsia="Constantia" w:cs="Times New Roman"/>
          <w:szCs w:val="24"/>
          <w:lang w:val="sr-Cyrl-CS"/>
        </w:rPr>
        <w:t>,</w:t>
      </w:r>
      <w:r w:rsidRPr="00092ED7">
        <w:rPr>
          <w:rFonts w:eastAsia="Constantia" w:cs="Times New Roman"/>
          <w:szCs w:val="24"/>
          <w:lang w:val="sr-Cyrl-CS"/>
        </w:rPr>
        <w:t xml:space="preserve"> док је у другом тромесечју забележено повећање од 3,9% мг., што је резултирало просечним растом БДП у првој половини године од 4,1%.</w:t>
      </w:r>
    </w:p>
    <w:p w14:paraId="7607B0A8" w14:textId="7A4FE2E6" w:rsidR="000679CD" w:rsidRPr="00092ED7" w:rsidRDefault="000679CD" w:rsidP="000679CD">
      <w:pPr>
        <w:spacing w:after="60"/>
        <w:rPr>
          <w:rFonts w:eastAsia="Constantia" w:cs="Times New Roman"/>
          <w:szCs w:val="24"/>
          <w:lang w:val="sr-Cyrl-CS"/>
        </w:rPr>
      </w:pPr>
      <w:r w:rsidRPr="00092ED7">
        <w:rPr>
          <w:rFonts w:eastAsia="Constantia" w:cs="Times New Roman"/>
          <w:szCs w:val="24"/>
          <w:lang w:val="sr-Cyrl-CS"/>
        </w:rPr>
        <w:t xml:space="preserve">Посматрано са производне стране, економски раст у првој половини 2022. године био је вођен услужним сектором. Повећање економске активности забележено је код свих услужних делатности, а најзначајнији допринос дошао је од трговине, саобраћаја, туризма и </w:t>
      </w:r>
      <w:r w:rsidR="006E4DE0" w:rsidRPr="00092ED7">
        <w:rPr>
          <w:rFonts w:eastAsia="Calibri" w:cs="Times New Roman"/>
          <w:bCs/>
          <w:szCs w:val="24"/>
          <w:lang w:val="sr-Cyrl-CS"/>
        </w:rPr>
        <w:t>информационо-комуникационе технологије</w:t>
      </w:r>
      <w:r w:rsidR="006E4DE0" w:rsidRPr="00092ED7">
        <w:rPr>
          <w:rFonts w:eastAsia="Constantia" w:cs="Times New Roman"/>
          <w:szCs w:val="24"/>
          <w:lang w:val="sr-Cyrl-CS"/>
        </w:rPr>
        <w:t xml:space="preserve"> </w:t>
      </w:r>
      <w:r w:rsidR="00B81C9C" w:rsidRPr="00092ED7">
        <w:rPr>
          <w:rFonts w:eastAsia="Constantia" w:cs="Times New Roman"/>
          <w:szCs w:val="24"/>
          <w:lang w:val="sr-Cyrl-CS"/>
        </w:rPr>
        <w:t xml:space="preserve">(у даљем тексту: </w:t>
      </w:r>
      <w:r w:rsidRPr="00092ED7">
        <w:rPr>
          <w:rFonts w:eastAsia="Constantia" w:cs="Times New Roman"/>
          <w:szCs w:val="24"/>
          <w:lang w:val="sr-Cyrl-CS"/>
        </w:rPr>
        <w:t>ИКТ</w:t>
      </w:r>
      <w:r w:rsidR="007F6B51" w:rsidRPr="00092ED7">
        <w:rPr>
          <w:rFonts w:eastAsia="Constantia" w:cs="Times New Roman"/>
          <w:szCs w:val="24"/>
          <w:lang w:val="sr-Cyrl-CS"/>
        </w:rPr>
        <w:t>)</w:t>
      </w:r>
      <w:r w:rsidR="00B81C9C" w:rsidRPr="00092ED7">
        <w:rPr>
          <w:rFonts w:eastAsia="Constantia" w:cs="Times New Roman"/>
          <w:szCs w:val="24"/>
          <w:lang w:val="sr-Cyrl-CS"/>
        </w:rPr>
        <w:t xml:space="preserve"> услуга</w:t>
      </w:r>
      <w:r w:rsidRPr="00092ED7">
        <w:rPr>
          <w:rFonts w:eastAsia="Constantia" w:cs="Times New Roman"/>
          <w:szCs w:val="24"/>
          <w:lang w:val="sr-Cyrl-CS"/>
        </w:rPr>
        <w:t>, који опредељују око половине укупног раста БДП у овом периоду. Упркос значајно мањем обиму производње електричне енергије, позитиван допринос забележила је и укупна индустријска производња, забележивши повећање од 3,3% мг., као резултат добрих кретања прерађивачког сектора и рударства услед ефектуирања инвестиција из претходног периода. Благ негативан допринос привредном расту потекао је од грађевинарства делом и због високе базе из истог периода претходне године, али и услед снажног повећања цена грађевинског материјала. Неповољни агрометеоролошки услови одразили су се на испод просечну пољопривредну сезону</w:t>
      </w:r>
      <w:r w:rsidR="00AC37CF" w:rsidRPr="00092ED7">
        <w:rPr>
          <w:rFonts w:eastAsia="Constantia" w:cs="Times New Roman"/>
          <w:szCs w:val="24"/>
          <w:lang w:val="sr-Cyrl-CS"/>
        </w:rPr>
        <w:t>,</w:t>
      </w:r>
      <w:r w:rsidRPr="00092ED7">
        <w:rPr>
          <w:rFonts w:eastAsia="Constantia" w:cs="Times New Roman"/>
          <w:szCs w:val="24"/>
          <w:lang w:val="sr-Cyrl-CS"/>
        </w:rPr>
        <w:t>па је у овом сектору у прва два квартала забележен пад од 5,3%.</w:t>
      </w:r>
    </w:p>
    <w:p w14:paraId="20111405" w14:textId="5135E976" w:rsidR="000679CD" w:rsidRPr="00092ED7" w:rsidRDefault="000679CD" w:rsidP="000679CD">
      <w:pPr>
        <w:spacing w:after="60"/>
        <w:rPr>
          <w:rFonts w:eastAsia="Constantia" w:cs="Times New Roman"/>
          <w:szCs w:val="24"/>
          <w:lang w:val="sr-Cyrl-CS"/>
        </w:rPr>
      </w:pPr>
      <w:r w:rsidRPr="00092ED7">
        <w:rPr>
          <w:rFonts w:eastAsia="Constantia" w:cs="Times New Roman"/>
          <w:szCs w:val="24"/>
          <w:lang w:val="sr-Cyrl-CS"/>
        </w:rPr>
        <w:t>Посматрано по агрегатима употребе, раст БДП у првој половини 2022. године био је у потпуности вођен домаћом тражњом, док је допринос нето извоза био негативан. Повећање расположивог дохотка становништва</w:t>
      </w:r>
      <w:r w:rsidR="00EE775E" w:rsidRPr="00092ED7">
        <w:rPr>
          <w:rFonts w:eastAsia="Constantia" w:cs="Times New Roman"/>
          <w:szCs w:val="24"/>
          <w:lang w:val="sr-Cyrl-CS"/>
        </w:rPr>
        <w:t>,</w:t>
      </w:r>
      <w:r w:rsidRPr="00092ED7">
        <w:rPr>
          <w:rFonts w:eastAsia="Constantia" w:cs="Times New Roman"/>
          <w:szCs w:val="24"/>
          <w:lang w:val="sr-Cyrl-CS"/>
        </w:rPr>
        <w:t xml:space="preserve"> пре свега као резултат повољних кретања на тржишту рада, уз знатно боље епидемиолошке услове, одразио се на снажан раст приватне потрошње, који је износио 5,3% мг. Упркос неповољним дешавањима у међународном окружењу позитиван допринос забележиле су и инвестиције са растом од 1,4%. Ефекат на страни понуде уз солидну спољну тражњу у овом периоду, резултирао је растом реалног извоза од 19,9% мг. Истовремено, увозна активност забележила је снажан раст од око 22,3% услед повећаног увоза репроматеријала за потребе привреде, али и енергената како би се </w:t>
      </w:r>
      <w:r w:rsidR="00AC37CF" w:rsidRPr="00092ED7">
        <w:rPr>
          <w:rFonts w:eastAsia="Constantia" w:cs="Times New Roman"/>
          <w:szCs w:val="24"/>
          <w:lang w:val="sr-Cyrl-CS"/>
        </w:rPr>
        <w:t>обезбедила</w:t>
      </w:r>
      <w:r w:rsidRPr="00092ED7">
        <w:rPr>
          <w:rFonts w:eastAsia="Constantia" w:cs="Times New Roman"/>
          <w:szCs w:val="24"/>
          <w:lang w:val="sr-Cyrl-CS"/>
        </w:rPr>
        <w:t xml:space="preserve"> сигурност снабдевања домаћих потрошача и одређен ниво залиха за зимски период. То се истовремено одразило и на значајан позитиван допринос залиха расту БДП.</w:t>
      </w:r>
    </w:p>
    <w:p w14:paraId="4A39C860" w14:textId="002F075A" w:rsidR="000679CD" w:rsidRPr="00092ED7" w:rsidRDefault="000679CD" w:rsidP="000679CD">
      <w:pPr>
        <w:spacing w:after="60"/>
        <w:rPr>
          <w:rFonts w:eastAsia="Constantia" w:cs="Times New Roman"/>
          <w:szCs w:val="24"/>
          <w:lang w:val="sr-Cyrl-CS"/>
        </w:rPr>
      </w:pPr>
      <w:r w:rsidRPr="00092ED7">
        <w:rPr>
          <w:rFonts w:eastAsia="Constantia" w:cs="Times New Roman"/>
          <w:szCs w:val="24"/>
          <w:lang w:val="sr-Cyrl-CS"/>
        </w:rPr>
        <w:t>Месечна динамика привредне активности наставила је са растом међугодишње посматрано и током летњих месеци, али као што је било и очекивано, услед негативног утицаја конфликта у Украјини, по нижим стопама него у првој половини године. То потврђује и Индикатор привредне активности (</w:t>
      </w:r>
      <w:r w:rsidR="00AC37CF" w:rsidRPr="00092ED7">
        <w:rPr>
          <w:rFonts w:eastAsia="Constantia" w:cs="Times New Roman"/>
          <w:szCs w:val="24"/>
          <w:lang w:val="sr-Cyrl-CS"/>
        </w:rPr>
        <w:t xml:space="preserve">у даљем тексту: </w:t>
      </w:r>
      <w:r w:rsidRPr="00092ED7">
        <w:rPr>
          <w:rFonts w:eastAsia="Constantia" w:cs="Times New Roman"/>
          <w:szCs w:val="24"/>
          <w:lang w:val="sr-Cyrl-CS"/>
        </w:rPr>
        <w:t xml:space="preserve">ИПАС) који Министарство финансија израђује за потребе сагледавања месечне динамике укупне економске активности, према коме је раст БДП у јулу, августу и септембру износио 1,1% мг., 2,1% мг. 0,8% мг., респективно. Спорија динамика привреде у овом периоду последица је мањег обима индустријске производње која је забележила пад од 1,6% мг. у јулу и скроман раст од 0,3% у августу, да би у септембру опет ушла у негативну зону (0,3%), али и мањег позитивног доприноса услужног сектора услед споријег раста појединих услужних делатности у поређењу са њиховом динамиком током прве половине године. Грађевинска активност је и у овом периоду наставила са успореном динамиком започетом почетком 2022. године, док су лоши агрометеоролошки услови током лета додатно утицали на још већи пад пољопривреде од првобитно процењеног. Спорија привредна динамика у трећем кварталу 2022. године потврђена је и флеш проценом БДП </w:t>
      </w:r>
      <w:r w:rsidR="008E0A4C" w:rsidRPr="00092ED7">
        <w:rPr>
          <w:rFonts w:eastAsia="Constantia" w:cs="Times New Roman"/>
          <w:szCs w:val="24"/>
          <w:lang w:val="sr-Cyrl-CS"/>
        </w:rPr>
        <w:t>од стране Р</w:t>
      </w:r>
      <w:r w:rsidR="00C47140" w:rsidRPr="00092ED7">
        <w:rPr>
          <w:rFonts w:eastAsia="Constantia" w:cs="Times New Roman"/>
          <w:szCs w:val="24"/>
          <w:lang w:val="sr-Cyrl-CS"/>
        </w:rPr>
        <w:t>З</w:t>
      </w:r>
      <w:r w:rsidR="008E0A4C" w:rsidRPr="00092ED7">
        <w:rPr>
          <w:rFonts w:eastAsia="Constantia" w:cs="Times New Roman"/>
          <w:szCs w:val="24"/>
          <w:lang w:val="sr-Cyrl-CS"/>
        </w:rPr>
        <w:t>С</w:t>
      </w:r>
      <w:r w:rsidRPr="00092ED7">
        <w:rPr>
          <w:rFonts w:eastAsia="Constantia" w:cs="Times New Roman"/>
          <w:szCs w:val="24"/>
          <w:lang w:val="sr-Cyrl-CS"/>
        </w:rPr>
        <w:t>, према којој је раст привреде процењен на 1,1% мг. Тиме је у првих девет месеци, према процени Министарства финансија</w:t>
      </w:r>
      <w:r w:rsidR="008E0A4C" w:rsidRPr="00092ED7">
        <w:rPr>
          <w:rFonts w:eastAsia="Constantia" w:cs="Times New Roman"/>
          <w:szCs w:val="24"/>
          <w:lang w:val="sr-Cyrl-CS"/>
        </w:rPr>
        <w:t>,</w:t>
      </w:r>
      <w:r w:rsidRPr="00092ED7">
        <w:rPr>
          <w:rFonts w:eastAsia="Constantia" w:cs="Times New Roman"/>
          <w:szCs w:val="24"/>
          <w:lang w:val="sr-Cyrl-CS"/>
        </w:rPr>
        <w:t xml:space="preserve"> раст привреде износио 3,0%.</w:t>
      </w:r>
    </w:p>
    <w:p w14:paraId="25C8EC6F" w14:textId="391E3EBF" w:rsidR="000679CD" w:rsidRPr="00092ED7" w:rsidRDefault="000679CD" w:rsidP="000679CD">
      <w:pPr>
        <w:spacing w:after="60"/>
        <w:rPr>
          <w:rFonts w:eastAsia="Constantia" w:cs="Times New Roman"/>
          <w:szCs w:val="24"/>
          <w:lang w:val="sr-Cyrl-CS"/>
        </w:rPr>
      </w:pPr>
      <w:r w:rsidRPr="00092ED7">
        <w:rPr>
          <w:rFonts w:eastAsia="Constantia" w:cs="Times New Roman"/>
          <w:szCs w:val="24"/>
          <w:lang w:val="sr-Cyrl-CS"/>
        </w:rPr>
        <w:t xml:space="preserve">Солидна динамика индустријске производње настављена је и током 2022. године, али уз присутно успоравање током трећег квартала. У првих девет месеци укупна индустријска производња већа је за 1,9% мг. упркос смањеном обиму производње електричне енергије од 11,5% мг. Томе је у значајној мери допринео солидан раст прерађивачке индустрије од 2,7%, као и повећање производње рударства од 25,0%. У ова два сектора присутни су значајни ефекти на страни понуде услед реализација </w:t>
      </w:r>
      <w:r w:rsidR="00EE775E" w:rsidRPr="00092ED7">
        <w:rPr>
          <w:rFonts w:eastAsia="Constantia" w:cs="Times New Roman"/>
          <w:szCs w:val="24"/>
          <w:lang w:val="sr-Cyrl-CS"/>
        </w:rPr>
        <w:t xml:space="preserve">страних директних инвестиција (у даљем тексту: </w:t>
      </w:r>
      <w:r w:rsidRPr="00092ED7">
        <w:rPr>
          <w:rFonts w:eastAsia="Constantia" w:cs="Times New Roman"/>
          <w:szCs w:val="24"/>
          <w:lang w:val="sr-Cyrl-CS"/>
        </w:rPr>
        <w:t>СДИ</w:t>
      </w:r>
      <w:r w:rsidR="00EE775E" w:rsidRPr="00092ED7">
        <w:rPr>
          <w:rFonts w:eastAsia="Constantia" w:cs="Times New Roman"/>
          <w:szCs w:val="24"/>
          <w:lang w:val="sr-Cyrl-CS"/>
        </w:rPr>
        <w:t>)</w:t>
      </w:r>
      <w:r w:rsidRPr="00092ED7">
        <w:rPr>
          <w:rFonts w:eastAsia="Constantia" w:cs="Times New Roman"/>
          <w:szCs w:val="24"/>
          <w:lang w:val="sr-Cyrl-CS"/>
        </w:rPr>
        <w:t xml:space="preserve"> из претходног периода и активирања нових производних капацитета. Међутим, са заоштравањем геополитичких односа и материјализацијом негативних ризика из међународног окружења, током трећег квартала индустријска активност је ушла у негативну зону остваривши пад од 0,5% мг., праћена падом у прерађивачкој индустрији од око 1%, али и мањим позитивним доприносом рударства услед исцрпљивања утицаја ниске базе из истог периода претходне године. Производња електричне енергије је и даље међугодишње нижа</w:t>
      </w:r>
      <w:r w:rsidR="00EE775E" w:rsidRPr="00092ED7">
        <w:rPr>
          <w:rFonts w:eastAsia="Constantia" w:cs="Times New Roman"/>
          <w:szCs w:val="24"/>
          <w:lang w:val="sr-Cyrl-CS"/>
        </w:rPr>
        <w:t>,</w:t>
      </w:r>
      <w:r w:rsidRPr="00092ED7">
        <w:rPr>
          <w:rFonts w:eastAsia="Constantia" w:cs="Times New Roman"/>
          <w:szCs w:val="24"/>
          <w:lang w:val="sr-Cyrl-CS"/>
        </w:rPr>
        <w:t xml:space="preserve"> али се стабилизовала и током септембра</w:t>
      </w:r>
      <w:r w:rsidR="00D12A77" w:rsidRPr="00092ED7">
        <w:rPr>
          <w:rFonts w:eastAsia="Constantia" w:cs="Times New Roman"/>
          <w:szCs w:val="24"/>
          <w:lang w:val="sr-Cyrl-CS"/>
        </w:rPr>
        <w:t xml:space="preserve"> </w:t>
      </w:r>
      <w:r w:rsidRPr="00092ED7">
        <w:rPr>
          <w:rFonts w:eastAsia="Constantia" w:cs="Times New Roman"/>
          <w:szCs w:val="24"/>
          <w:lang w:val="sr-Cyrl-CS"/>
        </w:rPr>
        <w:t>је била на непромењеном нивоу у односу на исти месец претходне године. Посматрано по областима прерађивачке индустрије, у првих девет месеци остварен је раст у 14 од 24 делатности. Најзначајнији позитиван допринос међугодишњем расту овог сектора потекао је од нафтне индустрије (раст од 16,6% мг.)</w:t>
      </w:r>
      <w:r w:rsidR="008E0A4C" w:rsidRPr="00092ED7">
        <w:rPr>
          <w:rFonts w:eastAsia="Constantia" w:cs="Times New Roman"/>
          <w:szCs w:val="24"/>
          <w:lang w:val="sr-Cyrl-CS"/>
        </w:rPr>
        <w:t>,</w:t>
      </w:r>
      <w:r w:rsidRPr="00092ED7">
        <w:rPr>
          <w:rFonts w:eastAsia="Constantia" w:cs="Times New Roman"/>
          <w:szCs w:val="24"/>
          <w:lang w:val="sr-Cyrl-CS"/>
        </w:rPr>
        <w:t xml:space="preserve"> опредељујући три петине укупног раста. Делатност осталих саобраћајних средстава од почетка године остварује раст, при чему је обим производње у првих девет месеци био већи за 47,4% мг. У истом периоду машинска индустрија бележи раст од 8,6% мг., док је производња папира увећана за 9,8%. Поред тога, физички обим фармацеутске индустрије је већи за 6,4% мг., уз знатно спорији раст током трећег квартала. Ове четири делатности пружиле су приближно подједнак позитиван допринос кретању прерађивачке индустрије</w:t>
      </w:r>
      <w:r w:rsidR="008E0A4C" w:rsidRPr="00092ED7">
        <w:rPr>
          <w:rFonts w:eastAsia="Constantia" w:cs="Times New Roman"/>
          <w:szCs w:val="24"/>
          <w:lang w:val="sr-Cyrl-CS"/>
        </w:rPr>
        <w:t>,</w:t>
      </w:r>
      <w:r w:rsidRPr="00092ED7">
        <w:rPr>
          <w:rFonts w:eastAsia="Constantia" w:cs="Times New Roman"/>
          <w:szCs w:val="24"/>
          <w:lang w:val="sr-Cyrl-CS"/>
        </w:rPr>
        <w:t xml:space="preserve"> опредељујући нешто више од половине укупног раста овог сектора.</w:t>
      </w:r>
    </w:p>
    <w:p w14:paraId="282324D5" w14:textId="170B4D62" w:rsidR="000679CD" w:rsidRPr="00092ED7" w:rsidRDefault="000679CD" w:rsidP="000679CD">
      <w:pPr>
        <w:spacing w:after="60"/>
        <w:rPr>
          <w:rFonts w:eastAsia="Constantia" w:cs="Times New Roman"/>
          <w:spacing w:val="-2"/>
          <w:szCs w:val="24"/>
          <w:lang w:val="sr-Cyrl-CS"/>
        </w:rPr>
      </w:pPr>
      <w:r w:rsidRPr="00092ED7">
        <w:rPr>
          <w:rFonts w:eastAsia="Constantia" w:cs="Times New Roman"/>
          <w:spacing w:val="-2"/>
          <w:szCs w:val="24"/>
          <w:lang w:val="sr-Cyrl-CS"/>
        </w:rPr>
        <w:t>Повољна динамика услужног сектора настављена је и током 2022. године, али уз нешто спорија кретања током трећег квартала у поређењу са првом половином године.</w:t>
      </w:r>
      <w:r w:rsidR="00BB164C" w:rsidRPr="00092ED7">
        <w:rPr>
          <w:rFonts w:eastAsia="Constantia" w:cs="Times New Roman"/>
          <w:spacing w:val="-2"/>
          <w:szCs w:val="24"/>
          <w:lang w:val="sr-Cyrl-CS"/>
        </w:rPr>
        <w:t xml:space="preserve"> </w:t>
      </w:r>
      <w:r w:rsidRPr="00092ED7">
        <w:rPr>
          <w:rFonts w:eastAsia="Constantia" w:cs="Times New Roman"/>
          <w:spacing w:val="-2"/>
          <w:szCs w:val="24"/>
          <w:lang w:val="sr-Cyrl-CS"/>
        </w:rPr>
        <w:t xml:space="preserve">У првих девет месеци промет робе у трговини на мало реално је повећан за 7,1% мг. Овоме је допринео раст расположивог дохотка становништва, пре свега услед раста реалних зарада и запослености подржано додатним давањима појединим категоријама становништва, али је једним делом и последица импулсивне куповине по самом избијању сукоба у Украјини. И поред растућих цена приметан је раст тражње потрошача за моторним горивом и прехрамбеним производима (храна, пића и дуван), тако да је промет ових категорија био реално већи за 13,4% и 2,8% мг., док је промет непрехрамбених производа повећан за 9,0%. Сектор </w:t>
      </w:r>
      <w:r w:rsidR="008E0A4C" w:rsidRPr="00092ED7">
        <w:rPr>
          <w:rFonts w:eastAsia="Constantia" w:cs="Times New Roman"/>
          <w:spacing w:val="-2"/>
          <w:szCs w:val="24"/>
          <w:lang w:val="sr-Cyrl-CS"/>
        </w:rPr>
        <w:t>ИКТ</w:t>
      </w:r>
      <w:r w:rsidR="004967C4" w:rsidRPr="00092ED7">
        <w:rPr>
          <w:rFonts w:eastAsia="Constantia" w:cs="Times New Roman"/>
          <w:spacing w:val="-2"/>
          <w:szCs w:val="24"/>
          <w:lang w:val="sr-Cyrl-CS"/>
        </w:rPr>
        <w:t xml:space="preserve"> </w:t>
      </w:r>
      <w:r w:rsidRPr="00092ED7">
        <w:rPr>
          <w:rFonts w:eastAsia="Constantia" w:cs="Times New Roman"/>
          <w:spacing w:val="-2"/>
          <w:szCs w:val="24"/>
          <w:lang w:val="sr-Cyrl-CS"/>
        </w:rPr>
        <w:t xml:space="preserve">који је снажно растао током две пандемијске године остваривши кумулативни раст бруто додате вредности (у даљем тексту: БДВ) од 14,1%, наставио је са добром динамиком у првој половини године (раст од 5,1% мг.). Поред тога, извоз услуга континуирано расте, вођен све значајнијом улогом ИКТ сектора, при чему је његов извоз у првих девет месеци био већи за 45,1% мг. Саобраћајна активност мерена индексом физичког обима у првој половини 2022. године међугодишње је већа за 23,4%, уз раст путничког и теретног саобраћаја за 39,7% и 7,9%, респективно. Туристичка активност након изузетно тешке две пандемијске године наставља са опоравком током 2022. године. У првих </w:t>
      </w:r>
      <w:r w:rsidR="006E606E" w:rsidRPr="00092ED7">
        <w:rPr>
          <w:rFonts w:eastAsia="Constantia" w:cs="Times New Roman"/>
          <w:spacing w:val="-2"/>
          <w:szCs w:val="24"/>
          <w:lang w:val="sr-Cyrl-CS"/>
        </w:rPr>
        <w:t>11</w:t>
      </w:r>
      <w:r w:rsidR="003B2E4B" w:rsidRPr="00092ED7">
        <w:rPr>
          <w:rFonts w:eastAsia="Constantia" w:cs="Times New Roman"/>
          <w:spacing w:val="-2"/>
          <w:szCs w:val="24"/>
          <w:lang w:val="sr-Cyrl-CS"/>
        </w:rPr>
        <w:t xml:space="preserve"> </w:t>
      </w:r>
      <w:r w:rsidRPr="00092ED7">
        <w:rPr>
          <w:rFonts w:eastAsia="Constantia" w:cs="Times New Roman"/>
          <w:spacing w:val="-2"/>
          <w:szCs w:val="24"/>
          <w:lang w:val="sr-Cyrl-CS"/>
        </w:rPr>
        <w:t>месеци укупан број долазака и ноћења туриста је међугодишње увећан за 5</w:t>
      </w:r>
      <w:r w:rsidR="00355DC9" w:rsidRPr="00092ED7">
        <w:rPr>
          <w:rFonts w:eastAsia="Constantia" w:cs="Times New Roman"/>
          <w:spacing w:val="-2"/>
          <w:szCs w:val="24"/>
          <w:lang w:val="sr-Cyrl-CS"/>
        </w:rPr>
        <w:t>3</w:t>
      </w:r>
      <w:r w:rsidRPr="00092ED7">
        <w:rPr>
          <w:rFonts w:eastAsia="Constantia" w:cs="Times New Roman"/>
          <w:spacing w:val="-2"/>
          <w:szCs w:val="24"/>
          <w:lang w:val="sr-Cyrl-CS"/>
        </w:rPr>
        <w:t>,</w:t>
      </w:r>
      <w:r w:rsidR="00355DC9" w:rsidRPr="00092ED7">
        <w:rPr>
          <w:rFonts w:eastAsia="Constantia" w:cs="Times New Roman"/>
          <w:spacing w:val="-2"/>
          <w:szCs w:val="24"/>
          <w:lang w:val="sr-Cyrl-CS"/>
        </w:rPr>
        <w:t>9</w:t>
      </w:r>
      <w:r w:rsidRPr="00092ED7">
        <w:rPr>
          <w:rFonts w:eastAsia="Constantia" w:cs="Times New Roman"/>
          <w:spacing w:val="-2"/>
          <w:szCs w:val="24"/>
          <w:lang w:val="sr-Cyrl-CS"/>
        </w:rPr>
        <w:t>% и 3</w:t>
      </w:r>
      <w:r w:rsidR="00355DC9" w:rsidRPr="00092ED7">
        <w:rPr>
          <w:rFonts w:eastAsia="Constantia" w:cs="Times New Roman"/>
          <w:spacing w:val="-2"/>
          <w:szCs w:val="24"/>
          <w:lang w:val="sr-Cyrl-CS"/>
        </w:rPr>
        <w:t>6</w:t>
      </w:r>
      <w:r w:rsidRPr="00092ED7">
        <w:rPr>
          <w:rFonts w:eastAsia="Constantia" w:cs="Times New Roman"/>
          <w:spacing w:val="-2"/>
          <w:szCs w:val="24"/>
          <w:lang w:val="sr-Cyrl-CS"/>
        </w:rPr>
        <w:t>,</w:t>
      </w:r>
      <w:r w:rsidR="00355DC9" w:rsidRPr="00092ED7">
        <w:rPr>
          <w:rFonts w:eastAsia="Constantia" w:cs="Times New Roman"/>
          <w:spacing w:val="-2"/>
          <w:szCs w:val="24"/>
          <w:lang w:val="sr-Cyrl-CS"/>
        </w:rPr>
        <w:t>5</w:t>
      </w:r>
      <w:r w:rsidRPr="00092ED7">
        <w:rPr>
          <w:rFonts w:eastAsia="Constantia" w:cs="Times New Roman"/>
          <w:spacing w:val="-2"/>
          <w:szCs w:val="24"/>
          <w:lang w:val="sr-Cyrl-CS"/>
        </w:rPr>
        <w:t xml:space="preserve">%, респективно, праћен растом активности домаћих и страних туриста. Повећан је и девизни прилив од туризма, тако да је у првих </w:t>
      </w:r>
      <w:r w:rsidR="00726EAE" w:rsidRPr="00092ED7">
        <w:rPr>
          <w:rFonts w:eastAsia="Constantia" w:cs="Times New Roman"/>
          <w:spacing w:val="-2"/>
          <w:szCs w:val="24"/>
          <w:lang w:val="sr-Cyrl-CS"/>
        </w:rPr>
        <w:t>11</w:t>
      </w:r>
      <w:r w:rsidR="00355DC9" w:rsidRPr="00092ED7">
        <w:rPr>
          <w:rFonts w:eastAsia="Constantia" w:cs="Times New Roman"/>
          <w:spacing w:val="-2"/>
          <w:szCs w:val="24"/>
          <w:lang w:val="sr-Cyrl-CS"/>
        </w:rPr>
        <w:t xml:space="preserve"> </w:t>
      </w:r>
      <w:r w:rsidRPr="00092ED7">
        <w:rPr>
          <w:rFonts w:eastAsia="Constantia" w:cs="Times New Roman"/>
          <w:spacing w:val="-2"/>
          <w:szCs w:val="24"/>
          <w:lang w:val="sr-Cyrl-CS"/>
        </w:rPr>
        <w:t>месеци 2022. године, извоз туристичких услуга био међугодишње већи за 51,6%.</w:t>
      </w:r>
    </w:p>
    <w:p w14:paraId="6748D64B" w14:textId="36FBA006" w:rsidR="000679CD" w:rsidRPr="00092ED7" w:rsidRDefault="000679CD" w:rsidP="000679CD">
      <w:pPr>
        <w:spacing w:after="60"/>
        <w:rPr>
          <w:rFonts w:eastAsia="Constantia" w:cs="Times New Roman"/>
          <w:szCs w:val="24"/>
          <w:lang w:val="sr-Cyrl-CS"/>
        </w:rPr>
      </w:pPr>
      <w:r w:rsidRPr="00092ED7">
        <w:rPr>
          <w:rFonts w:eastAsia="Constantia" w:cs="Times New Roman"/>
          <w:szCs w:val="24"/>
          <w:lang w:val="sr-Cyrl-CS"/>
        </w:rPr>
        <w:t>Упркос остварењима почетком 2022. године која су генерално била на нивоу пројектованих</w:t>
      </w:r>
      <w:r w:rsidR="008E0A4C" w:rsidRPr="00092ED7">
        <w:rPr>
          <w:rFonts w:eastAsia="Constantia" w:cs="Times New Roman"/>
          <w:szCs w:val="24"/>
          <w:lang w:val="sr-Cyrl-CS"/>
        </w:rPr>
        <w:t>,</w:t>
      </w:r>
      <w:r w:rsidRPr="00092ED7">
        <w:rPr>
          <w:rFonts w:eastAsia="Constantia" w:cs="Times New Roman"/>
          <w:szCs w:val="24"/>
          <w:lang w:val="sr-Cyrl-CS"/>
        </w:rPr>
        <w:t xml:space="preserve"> а имајући у виду додатно заоштравања међународних економских и политичких односа, продубљивање енергетске кризе, као и спорију динамику високофреквентних индикатора током трећег квартала и значајно слабију пољопривредну сезону од претходно очекиване, Министарство финансија је пројекцију раста БДП за 2022. годину ревидирало наниже на 2,5%.</w:t>
      </w:r>
      <w:r w:rsidRPr="00092ED7">
        <w:rPr>
          <w:lang w:val="sr-Cyrl-CS"/>
        </w:rPr>
        <w:t xml:space="preserve"> </w:t>
      </w:r>
      <w:r w:rsidRPr="00092ED7">
        <w:rPr>
          <w:rFonts w:eastAsia="Constantia" w:cs="Times New Roman"/>
          <w:szCs w:val="24"/>
          <w:lang w:val="sr-Cyrl-CS"/>
        </w:rPr>
        <w:t>Посматрано по агрегатима употребе</w:t>
      </w:r>
      <w:r w:rsidR="008E0A4C" w:rsidRPr="00092ED7">
        <w:rPr>
          <w:rFonts w:eastAsia="Constantia" w:cs="Times New Roman"/>
          <w:szCs w:val="24"/>
          <w:lang w:val="sr-Cyrl-CS"/>
        </w:rPr>
        <w:t>,</w:t>
      </w:r>
      <w:r w:rsidRPr="00092ED7">
        <w:rPr>
          <w:rFonts w:eastAsia="Constantia" w:cs="Times New Roman"/>
          <w:szCs w:val="24"/>
          <w:lang w:val="sr-Cyrl-CS"/>
        </w:rPr>
        <w:t xml:space="preserve"> економски раст ће у 2022. години и у новој процени бити у потпуности вођен домаћом тражњом. И даље присутна повољна кретања на тржишту рада</w:t>
      </w:r>
      <w:r w:rsidR="008E0A4C" w:rsidRPr="00092ED7">
        <w:rPr>
          <w:rFonts w:eastAsia="Constantia" w:cs="Times New Roman"/>
          <w:szCs w:val="24"/>
          <w:lang w:val="sr-Cyrl-CS"/>
        </w:rPr>
        <w:t>,</w:t>
      </w:r>
      <w:r w:rsidRPr="00092ED7">
        <w:rPr>
          <w:rFonts w:eastAsia="Constantia" w:cs="Times New Roman"/>
          <w:szCs w:val="24"/>
          <w:lang w:val="sr-Cyrl-CS"/>
        </w:rPr>
        <w:t xml:space="preserve"> праћена растом запослености и реалних плата</w:t>
      </w:r>
      <w:r w:rsidR="005D32A2" w:rsidRPr="00092ED7">
        <w:rPr>
          <w:rFonts w:eastAsia="Constantia" w:cs="Times New Roman"/>
          <w:szCs w:val="24"/>
          <w:lang w:val="sr-Cyrl-CS"/>
        </w:rPr>
        <w:t>,</w:t>
      </w:r>
      <w:r w:rsidRPr="00092ED7">
        <w:rPr>
          <w:rFonts w:eastAsia="Constantia" w:cs="Times New Roman"/>
          <w:szCs w:val="24"/>
          <w:lang w:val="sr-Cyrl-CS"/>
        </w:rPr>
        <w:t xml:space="preserve"> потпомогнута једнократним давањима становништву</w:t>
      </w:r>
      <w:r w:rsidR="005D32A2" w:rsidRPr="00092ED7">
        <w:rPr>
          <w:rFonts w:eastAsia="Constantia" w:cs="Times New Roman"/>
          <w:szCs w:val="24"/>
          <w:lang w:val="sr-Cyrl-CS"/>
        </w:rPr>
        <w:t>,</w:t>
      </w:r>
      <w:r w:rsidRPr="00092ED7">
        <w:rPr>
          <w:rFonts w:eastAsia="Constantia" w:cs="Times New Roman"/>
          <w:szCs w:val="24"/>
          <w:lang w:val="sr-Cyrl-CS"/>
        </w:rPr>
        <w:t xml:space="preserve"> одразиће се на стабилан раст приватне потрошње од скоро 4%, док ће допринос државне потрошње остати готово неутралан. Растуће геополитичке тензије и аверзија инвеститора према ризику, уз повећање цена инпута, утичу на спорији раст фиксних инвестиција од претходно пројектованог, те се уместо претходно процењеног раста сада очекују стагнативна кретања. Реализација СДИ из претходног периода и с тим повезан значајни ефекат на страни понуде</w:t>
      </w:r>
      <w:r w:rsidR="005D32A2" w:rsidRPr="00092ED7">
        <w:rPr>
          <w:rFonts w:eastAsia="Constantia" w:cs="Times New Roman"/>
          <w:szCs w:val="24"/>
          <w:lang w:val="sr-Cyrl-CS"/>
        </w:rPr>
        <w:t>,</w:t>
      </w:r>
      <w:r w:rsidR="00BB164C" w:rsidRPr="00092ED7">
        <w:rPr>
          <w:rFonts w:eastAsia="Constantia" w:cs="Times New Roman"/>
          <w:szCs w:val="24"/>
          <w:lang w:val="sr-Cyrl-CS"/>
        </w:rPr>
        <w:t xml:space="preserve"> </w:t>
      </w:r>
      <w:r w:rsidRPr="00092ED7">
        <w:rPr>
          <w:rFonts w:eastAsia="Constantia" w:cs="Times New Roman"/>
          <w:szCs w:val="24"/>
          <w:lang w:val="sr-Cyrl-CS"/>
        </w:rPr>
        <w:t>резултираће већим извозом за 12,3%, упркос нешто мањој спољној тражњи од претходно очекиване и ограничењима извоза појединих производа. С друге стране, повећани увоз енергената и репроматеријала одражавају се на већи раст реалног увоза у 2022. години</w:t>
      </w:r>
      <w:r w:rsidR="005D32A2" w:rsidRPr="00092ED7">
        <w:rPr>
          <w:rFonts w:eastAsia="Constantia" w:cs="Times New Roman"/>
          <w:szCs w:val="24"/>
          <w:lang w:val="sr-Cyrl-CS"/>
        </w:rPr>
        <w:t>,</w:t>
      </w:r>
      <w:r w:rsidR="00BB164C" w:rsidRPr="00092ED7">
        <w:rPr>
          <w:rFonts w:eastAsia="Constantia" w:cs="Times New Roman"/>
          <w:szCs w:val="24"/>
          <w:lang w:val="sr-Cyrl-CS"/>
        </w:rPr>
        <w:t xml:space="preserve"> </w:t>
      </w:r>
      <w:r w:rsidRPr="00092ED7">
        <w:rPr>
          <w:rFonts w:eastAsia="Constantia" w:cs="Times New Roman"/>
          <w:szCs w:val="24"/>
          <w:lang w:val="sr-Cyrl-CS"/>
        </w:rPr>
        <w:t>који према новој пројекцији износи 12,8%. Посматрано са производне стране, изузетно лоши агрометеоролошки услови током летњих месеци одразили су се на знатно слабије приносе кукуруза, шећерне репе и соје, па је првобитна процена пољопривредне производње која је подразумевала просечну сезону и раст од 0,5%</w:t>
      </w:r>
      <w:r w:rsidR="005D32A2" w:rsidRPr="00092ED7">
        <w:rPr>
          <w:rFonts w:eastAsia="Constantia" w:cs="Times New Roman"/>
          <w:szCs w:val="24"/>
          <w:lang w:val="sr-Cyrl-CS"/>
        </w:rPr>
        <w:t>,</w:t>
      </w:r>
      <w:r w:rsidRPr="00092ED7">
        <w:rPr>
          <w:rFonts w:eastAsia="Constantia" w:cs="Times New Roman"/>
          <w:szCs w:val="24"/>
          <w:lang w:val="sr-Cyrl-CS"/>
        </w:rPr>
        <w:t xml:space="preserve"> коригована наниже на -8,0%. Неповољнија кретања од првобитно очекиваних забележиће и грађевинарство, пре свега као последица растуће глобалне неизвесности и мањег обима приватних инвестиција, али и услед снажног раста цена грађевинског материјала. Индустријска производња ће упркос слабијој спољној тражњи обезбедити позитиван допринос расту БДП у 2022. години, али у мањем обиму у односу на претходна очекивања. Услужни сектор и у новој пројекцији задржава улогу доминантног извора економског раста, пре свега као резултат солидних кретања у секторима трговине, саобраћаја, туризма, као и ИКТ и финансијских услуга.</w:t>
      </w:r>
    </w:p>
    <w:p w14:paraId="7051F00F" w14:textId="43A2835E" w:rsidR="000679CD" w:rsidRPr="00092ED7" w:rsidRDefault="000679CD" w:rsidP="000679CD">
      <w:pPr>
        <w:spacing w:after="60"/>
        <w:rPr>
          <w:lang w:val="sr-Cyrl-CS"/>
        </w:rPr>
      </w:pPr>
      <w:r w:rsidRPr="00092ED7">
        <w:rPr>
          <w:b/>
          <w:lang w:val="sr-Cyrl-CS"/>
        </w:rPr>
        <w:t>Тржиште рада.</w:t>
      </w:r>
      <w:r w:rsidRPr="00092ED7">
        <w:rPr>
          <w:lang w:val="sr-Cyrl-CS"/>
        </w:rPr>
        <w:t xml:space="preserve"> Трендови на тржишту рада у великој мери су остали отпорни на успоравање динамике привредне активности, захваљујући пре свега</w:t>
      </w:r>
      <w:r w:rsidR="005D32A2" w:rsidRPr="00092ED7">
        <w:rPr>
          <w:lang w:val="sr-Cyrl-CS"/>
        </w:rPr>
        <w:t>,</w:t>
      </w:r>
      <w:r w:rsidRPr="00092ED7">
        <w:rPr>
          <w:lang w:val="sr-Cyrl-CS"/>
        </w:rPr>
        <w:t xml:space="preserve"> макроекономској стабилности успостављеној у претходном периоду. Тако су у 2022. години настављена позитивна кретања која се, пре свега</w:t>
      </w:r>
      <w:r w:rsidR="005D32A2" w:rsidRPr="00092ED7">
        <w:rPr>
          <w:lang w:val="sr-Cyrl-CS"/>
        </w:rPr>
        <w:t>,</w:t>
      </w:r>
      <w:r w:rsidRPr="00092ED7">
        <w:rPr>
          <w:lang w:val="sr-Cyrl-CS"/>
        </w:rPr>
        <w:t xml:space="preserve"> одражавају кроз раст запослености и зарада, али под утицајем геополитичких тензија ипак по нешто успоренијој динамици. Према подацима Централног регистра обавезног социјалног осигурања, у периоду јануар–септембар, просечан број запослених био је већи за 1,6%, у поређењу са истим периодом претходне године, што је било, пре свега резултат раста запослености у приватном сектору за 1,9%, док је у јавном сектору раст износио 0,9%. Истовремено, најснажнији секторски допринос расту запослености долази од ИКТ, административно-услужних и научно-техничких делатности. Према подацима Националне службе за запошљавање, у истом периоду, број лица која активно траже запослење смањен је за 13,0%. Према подацима Анкете о радној снази у другом кварталу 2022. године, стопа незапослености (15 и више година) је износила 8,9%, што је ниже у поређењу са истим периодом из 2021. године када је износила 11,1%, док је стопа становништва ван радне снаге смањена за 1,5 п.п. Истовремено, укупна запосленост је била већа за 4,3%, уз раст формалне запослености за 74,9 хиљада и раст неформалне за 47,5 хиљада лица. Поред значајног смањења стопе незапослености и раста укупног броја запослених, забележена су и структурна побољшања на тржишту рада. Побољшан је положај код осетљивијих категорија становништва, односно код популације младих и жена. Тако је смањена стопа незапослености младих са 22,2% на 18,7%, док је код женског дела становништва смањена за 1,6 п.п, на 10,2%. Такође, смањена је стопа дугорочне незапослености за 0,9 п.п, на 4,5%. У истом периоду дошло је и до пораста стопе запослености у неформалном делу привреде за 1,1 п.п, на 14,3%. У периоду јануар–август</w:t>
      </w:r>
      <w:r w:rsidR="007A01EA" w:rsidRPr="00092ED7">
        <w:rPr>
          <w:lang w:val="sr-Cyrl-CS"/>
        </w:rPr>
        <w:t xml:space="preserve">, </w:t>
      </w:r>
      <w:r w:rsidRPr="00092ED7">
        <w:rPr>
          <w:lang w:val="sr-Cyrl-CS"/>
        </w:rPr>
        <w:t>просечна нето зарада је износила 73.265 динара, што је реално повећање за 3,0%, мг., и представља нешто спорији раст у поређењу са претходним периодом. Раст зарада био је у потпуности опредељен растом зарада у приватном сектору, који је у истом периоду износио 5,4%, реално. На општи раст зарада утицало је и повећање минималне цене рада за 9,4% на 201,22 динара по радном часу од 2022. године. И поред повећања зарада у јавном сектору одлуком Владе у распону од 7% до 8%, њихов номинални раст је био у потпуности неутралисан растом инфлације, тако да је у реалним вредностима забележено смањење од 2,6%. Посматрано по делатностима, најзначајнији раст зарада био је у ИКТ, трговини и научно-техничким делатностима.</w:t>
      </w:r>
    </w:p>
    <w:p w14:paraId="1273501C" w14:textId="79C06AFC" w:rsidR="000679CD" w:rsidRPr="00092ED7" w:rsidRDefault="000679CD" w:rsidP="000679CD">
      <w:pPr>
        <w:spacing w:after="60"/>
        <w:rPr>
          <w:szCs w:val="24"/>
          <w:lang w:val="sr-Cyrl-CS"/>
        </w:rPr>
      </w:pPr>
      <w:r w:rsidRPr="00092ED7">
        <w:rPr>
          <w:b/>
          <w:szCs w:val="24"/>
          <w:lang w:val="sr-Cyrl-CS"/>
        </w:rPr>
        <w:t xml:space="preserve">Екстерни сектор. </w:t>
      </w:r>
      <w:r w:rsidRPr="00092ED7">
        <w:rPr>
          <w:szCs w:val="24"/>
          <w:lang w:val="sr-Cyrl-CS"/>
        </w:rPr>
        <w:t xml:space="preserve">Током девет месеци 2022. </w:t>
      </w:r>
      <w:r w:rsidR="00E32353" w:rsidRPr="00092ED7">
        <w:rPr>
          <w:szCs w:val="24"/>
          <w:lang w:val="sr-Cyrl-CS"/>
        </w:rPr>
        <w:t xml:space="preserve">године </w:t>
      </w:r>
      <w:r w:rsidRPr="00092ED7">
        <w:rPr>
          <w:szCs w:val="24"/>
          <w:lang w:val="sr-Cyrl-CS"/>
        </w:rPr>
        <w:t>текући дефицит је износио око 2,8 млрд евра (6,5% БДП-а) и скоро у потпуности је био финансиран нето приливом страних директних инвестиција (покривеност 99,2%). Раст светских цена енергената, а делом и већи количински увоз ради обезбеђења енергетске сигурности, довео је до повећања текућег дефицита за 1,5 млрд евра у односу на исти период 2021.</w:t>
      </w:r>
      <w:r w:rsidR="00BB164C" w:rsidRPr="00092ED7">
        <w:rPr>
          <w:szCs w:val="24"/>
          <w:lang w:val="sr-Cyrl-CS"/>
        </w:rPr>
        <w:t xml:space="preserve"> </w:t>
      </w:r>
      <w:r w:rsidR="00E32353" w:rsidRPr="00092ED7">
        <w:rPr>
          <w:szCs w:val="24"/>
          <w:lang w:val="sr-Cyrl-CS"/>
        </w:rPr>
        <w:t>године.</w:t>
      </w:r>
      <w:r w:rsidRPr="00092ED7">
        <w:rPr>
          <w:szCs w:val="24"/>
          <w:lang w:val="sr-Cyrl-CS"/>
        </w:rPr>
        <w:t xml:space="preserve"> Притом, повећан робни дефицит (за 2,3 млрд евра мг.), у потпуности као последица већег увоза енергената, као и раст дефицита примарног дохотка (за 0,6 млрд евра мг.), делом су компензовани растом суфицита секундарног дохотка (за 1,2 млрд евра мг.) и услуга (за 0,3 млрд евра мг.).</w:t>
      </w:r>
    </w:p>
    <w:p w14:paraId="6CD501EF" w14:textId="47FC2D58" w:rsidR="000679CD" w:rsidRPr="00092ED7" w:rsidRDefault="000679CD" w:rsidP="000679CD">
      <w:pPr>
        <w:spacing w:after="60"/>
        <w:rPr>
          <w:szCs w:val="24"/>
          <w:lang w:val="sr-Cyrl-CS"/>
        </w:rPr>
      </w:pPr>
      <w:r w:rsidRPr="00092ED7">
        <w:rPr>
          <w:szCs w:val="24"/>
          <w:lang w:val="sr-Cyrl-CS"/>
        </w:rPr>
        <w:t>Упркос успоравању екстерне тражње, извоз робе и услуга наставио је да остварује високе стопе раста у овој години, пре свега захваљују</w:t>
      </w:r>
      <w:r w:rsidR="00E32353" w:rsidRPr="00092ED7">
        <w:rPr>
          <w:szCs w:val="24"/>
          <w:lang w:val="sr-Cyrl-CS"/>
        </w:rPr>
        <w:t xml:space="preserve"> </w:t>
      </w:r>
      <w:r w:rsidRPr="00092ED7">
        <w:rPr>
          <w:szCs w:val="24"/>
          <w:lang w:val="sr-Cyrl-CS"/>
        </w:rPr>
        <w:t xml:space="preserve">и инвестицијама у разменљиве секторе из претходног периода. Робни извоз је током девет месеци 2022. </w:t>
      </w:r>
      <w:r w:rsidR="00E32353" w:rsidRPr="00092ED7">
        <w:rPr>
          <w:szCs w:val="24"/>
          <w:lang w:val="sr-Cyrl-CS"/>
        </w:rPr>
        <w:t xml:space="preserve">године </w:t>
      </w:r>
      <w:r w:rsidRPr="00092ED7">
        <w:rPr>
          <w:szCs w:val="24"/>
          <w:lang w:val="sr-Cyrl-CS"/>
        </w:rPr>
        <w:t>забележио раст од 29,4% мг.</w:t>
      </w:r>
      <w:r w:rsidRPr="00092ED7">
        <w:rPr>
          <w:rStyle w:val="FootnoteReference"/>
          <w:szCs w:val="24"/>
          <w:lang w:val="sr-Cyrl-CS"/>
        </w:rPr>
        <w:footnoteReference w:id="3"/>
      </w:r>
      <w:r w:rsidRPr="00092ED7">
        <w:rPr>
          <w:szCs w:val="24"/>
          <w:lang w:val="sr-Cyrl-CS"/>
        </w:rPr>
        <w:t>, а највећи допринос је потекао од раста извоза прерађивачке индустрије (24,8% мг., допринос 21,9 п.п.), при чему је раст извоза забележен код свих 23 области прерађивачке индустрије. Посматрано по тржиштима, на оправак робног извоза</w:t>
      </w:r>
      <w:r w:rsidR="00E32353" w:rsidRPr="00092ED7">
        <w:rPr>
          <w:szCs w:val="24"/>
          <w:lang w:val="sr-Cyrl-CS"/>
        </w:rPr>
        <w:t>,</w:t>
      </w:r>
      <w:r w:rsidRPr="00092ED7">
        <w:rPr>
          <w:szCs w:val="24"/>
          <w:lang w:val="sr-Cyrl-CS"/>
        </w:rPr>
        <w:t xml:space="preserve"> највећи утицај је имао раст извоза у земље Европске уније (26,2% мг., допринос 17,1 п.п.), ЦЕФТА (28,1% мг., допринос 4,4 п.п.), као и у Кину (45,4% мг., допринос 1,7 п.п.). Носиоци извозне активности посматрано по областима биле су: експолатоација руде метала (199,3% мг., допринос 5,6 п.п.), производња прехрамбених производа (26,1% мг., допринос 2,6 п.п.), електричне опреме (23,3% мг., допринос 2,4 п.п.), хемикалија и хемијских производа (33,9% мг., допринос 2,3 п.п.), гуме и пластике (20,2% мг., допринос 1,8 п.п.), као и основних метала (18,1% мг., допринос 1,6 п.п.). С друге стране</w:t>
      </w:r>
      <w:r w:rsidR="00E32353" w:rsidRPr="00092ED7">
        <w:rPr>
          <w:szCs w:val="24"/>
          <w:lang w:val="sr-Cyrl-CS"/>
        </w:rPr>
        <w:t>,</w:t>
      </w:r>
      <w:r w:rsidRPr="00092ED7">
        <w:rPr>
          <w:szCs w:val="24"/>
          <w:lang w:val="sr-Cyrl-CS"/>
        </w:rPr>
        <w:t xml:space="preserve"> током овог периода забележен је и пад извоза код пољопривредне производње, лова и услужне делатности (4,5% мг., допринос –0,3 п.п.).</w:t>
      </w:r>
    </w:p>
    <w:p w14:paraId="42B81DC4" w14:textId="77777777" w:rsidR="000679CD" w:rsidRPr="00092ED7" w:rsidRDefault="000679CD" w:rsidP="000679CD">
      <w:pPr>
        <w:spacing w:after="60"/>
        <w:rPr>
          <w:szCs w:val="24"/>
          <w:lang w:val="sr-Cyrl-CS"/>
        </w:rPr>
      </w:pPr>
      <w:r w:rsidRPr="00092ED7">
        <w:rPr>
          <w:szCs w:val="24"/>
          <w:lang w:val="sr-Cyrl-CS"/>
        </w:rPr>
        <w:t xml:space="preserve">Увоз робе је у девет месеци 2022. повећан за 35,4% мг., као резултат раста увоза средстава за репродукцију (раст 46,3% мг., допринос 25,5 п.п.), на шта је у највећој мери утицало повећање светске цене енергената. Највећи допринос расту увоза потекао је од раста увоза сирове нафте и природног гаса (161,6% мг., допринос 8,8 п.п.), хемикалија и хемијских производа (43,3% мг., допринос 4,2 п.п.), основних метала (36,8% мг., допринос 2,8 п.п.), кокса и деривата нафте (80,0% мг., допринос 2,2 п.п.), као и прехрамбених производа (30,1% мг., допринос 1,5 п.п.). Пад увоза је забележен код руда метала (40,8% мг., допринос –0,6 п.п.). Увоз енергената износио је 4,3 млрд евра и у односу на исти период </w:t>
      </w:r>
      <w:r w:rsidR="00C42D80" w:rsidRPr="00092ED7">
        <w:rPr>
          <w:szCs w:val="24"/>
          <w:lang w:val="sr-Cyrl-CS"/>
        </w:rPr>
        <w:t xml:space="preserve">2021. године </w:t>
      </w:r>
      <w:r w:rsidRPr="00092ED7">
        <w:rPr>
          <w:szCs w:val="24"/>
          <w:lang w:val="sr-Cyrl-CS"/>
        </w:rPr>
        <w:t>био је виши за 2,5 млрд евра.</w:t>
      </w:r>
    </w:p>
    <w:p w14:paraId="2C5AD06E" w14:textId="6834F90F" w:rsidR="000679CD" w:rsidRPr="00092ED7" w:rsidRDefault="000679CD" w:rsidP="000679CD">
      <w:pPr>
        <w:spacing w:after="60"/>
        <w:rPr>
          <w:szCs w:val="24"/>
          <w:lang w:val="sr-Cyrl-CS"/>
        </w:rPr>
      </w:pPr>
      <w:r w:rsidRPr="00092ED7">
        <w:rPr>
          <w:szCs w:val="24"/>
          <w:lang w:val="sr-Cyrl-CS"/>
        </w:rPr>
        <w:t xml:space="preserve">Дефицит на рачуну примарног дохотка је повећан за 47,3% мг., пре свега услед већих одлива по основу дохотка од директних инвестиција (за 57,6% мг.). На повећање суфицита секундарног дохотка (за 39,0% мг.) највише је утицао раст прилива дознака у </w:t>
      </w:r>
      <w:r w:rsidR="00BB164C" w:rsidRPr="00092ED7">
        <w:rPr>
          <w:szCs w:val="24"/>
          <w:lang w:val="sr-Cyrl-CS"/>
        </w:rPr>
        <w:t xml:space="preserve">Републику </w:t>
      </w:r>
      <w:r w:rsidRPr="00092ED7">
        <w:rPr>
          <w:szCs w:val="24"/>
          <w:lang w:val="sr-Cyrl-CS"/>
        </w:rPr>
        <w:t>Србију (за 46,0% мг.).</w:t>
      </w:r>
    </w:p>
    <w:p w14:paraId="32FAD8D7" w14:textId="2739C9DC" w:rsidR="000679CD" w:rsidRPr="00092ED7" w:rsidRDefault="000679CD" w:rsidP="000679CD">
      <w:pPr>
        <w:spacing w:after="60"/>
        <w:rPr>
          <w:szCs w:val="24"/>
          <w:lang w:val="sr-Cyrl-CS"/>
        </w:rPr>
      </w:pPr>
      <w:r w:rsidRPr="00092ED7">
        <w:rPr>
          <w:szCs w:val="24"/>
          <w:lang w:val="sr-Cyrl-CS"/>
        </w:rPr>
        <w:t xml:space="preserve">На рачуну финансијских трансакција (без промене девизних резерви) у периоду јануар–септембар 2022. забележен је нето прилив од 2,3 млрд евра. Нето прилив по основу страних директних инвестиција је у посматраном периоду износио 2,8 млрд евра. Прилив у </w:t>
      </w:r>
      <w:r w:rsidR="00BB164C" w:rsidRPr="00092ED7">
        <w:rPr>
          <w:szCs w:val="24"/>
          <w:lang w:val="sr-Cyrl-CS"/>
        </w:rPr>
        <w:t xml:space="preserve">Републику </w:t>
      </w:r>
      <w:r w:rsidRPr="00092ED7">
        <w:rPr>
          <w:szCs w:val="24"/>
          <w:lang w:val="sr-Cyrl-CS"/>
        </w:rPr>
        <w:t xml:space="preserve">Србију је износио 3,0 млрд евра, што је чак и благо веће него током девет месеци прошле рекордне године. Након привременог успоравања прилива у марту и априлу 2022, од јуна се бележе месечни приливи страних директних инвестиција у </w:t>
      </w:r>
      <w:r w:rsidR="00BB164C" w:rsidRPr="00092ED7">
        <w:rPr>
          <w:szCs w:val="24"/>
          <w:lang w:val="sr-Cyrl-CS"/>
        </w:rPr>
        <w:t xml:space="preserve">Републику </w:t>
      </w:r>
      <w:r w:rsidRPr="00092ED7">
        <w:rPr>
          <w:szCs w:val="24"/>
          <w:lang w:val="sr-Cyrl-CS"/>
        </w:rPr>
        <w:t>Србију</w:t>
      </w:r>
      <w:r w:rsidR="00E32353" w:rsidRPr="00092ED7">
        <w:rPr>
          <w:szCs w:val="24"/>
          <w:lang w:val="sr-Cyrl-CS"/>
        </w:rPr>
        <w:t>,</w:t>
      </w:r>
      <w:r w:rsidRPr="00092ED7">
        <w:rPr>
          <w:szCs w:val="24"/>
          <w:lang w:val="sr-Cyrl-CS"/>
        </w:rPr>
        <w:t xml:space="preserve"> између 450 и 600 млн евра. Прилив по овом основу остао </w:t>
      </w:r>
      <w:r w:rsidR="00E32353" w:rsidRPr="00092ED7">
        <w:rPr>
          <w:szCs w:val="24"/>
          <w:lang w:val="sr-Cyrl-CS"/>
        </w:rPr>
        <w:t xml:space="preserve">је </w:t>
      </w:r>
      <w:r w:rsidRPr="00092ED7">
        <w:rPr>
          <w:szCs w:val="24"/>
          <w:lang w:val="sr-Cyrl-CS"/>
        </w:rPr>
        <w:t>пројектно диверсификован, а највише је био усмерен у разменљиве секторе (преко 50%). Посматрано по делатностима</w:t>
      </w:r>
      <w:r w:rsidR="00E32353" w:rsidRPr="00092ED7">
        <w:rPr>
          <w:szCs w:val="24"/>
          <w:lang w:val="sr-Cyrl-CS"/>
        </w:rPr>
        <w:t>,</w:t>
      </w:r>
      <w:r w:rsidRPr="00092ED7">
        <w:rPr>
          <w:szCs w:val="24"/>
          <w:lang w:val="sr-Cyrl-CS"/>
        </w:rPr>
        <w:t xml:space="preserve"> највише је уложено у прерађивачку индустрију, грађевинарство, трговину, послове с </w:t>
      </w:r>
      <w:r w:rsidR="000614DC" w:rsidRPr="00092ED7">
        <w:rPr>
          <w:szCs w:val="24"/>
          <w:lang w:val="sr-Cyrl-CS"/>
        </w:rPr>
        <w:t xml:space="preserve">непокретностима </w:t>
      </w:r>
      <w:r w:rsidRPr="00092ED7">
        <w:rPr>
          <w:szCs w:val="24"/>
          <w:lang w:val="sr-Cyrl-CS"/>
        </w:rPr>
        <w:t>и саобраћај. Посматрано по земљама, највећи део прилива страних директних инвестиција наставља да долази из земаља ЕУ (око 46%).</w:t>
      </w:r>
    </w:p>
    <w:p w14:paraId="5C5D7184" w14:textId="6852CC61" w:rsidR="000679CD" w:rsidRPr="00092ED7" w:rsidRDefault="000679CD" w:rsidP="000679CD">
      <w:pPr>
        <w:spacing w:after="60"/>
        <w:rPr>
          <w:szCs w:val="24"/>
          <w:lang w:val="sr-Cyrl-CS"/>
        </w:rPr>
      </w:pPr>
      <w:r w:rsidRPr="00092ED7">
        <w:rPr>
          <w:szCs w:val="24"/>
          <w:lang w:val="sr-Cyrl-CS"/>
        </w:rPr>
        <w:t xml:space="preserve">По основу портфолио инвестиција у периоду јануар-септембар 2022. </w:t>
      </w:r>
      <w:r w:rsidR="00E32353" w:rsidRPr="00092ED7">
        <w:rPr>
          <w:szCs w:val="24"/>
          <w:lang w:val="sr-Cyrl-CS"/>
        </w:rPr>
        <w:t xml:space="preserve">године </w:t>
      </w:r>
      <w:r w:rsidRPr="00092ED7">
        <w:rPr>
          <w:szCs w:val="24"/>
          <w:lang w:val="sr-Cyrl-CS"/>
        </w:rPr>
        <w:t>забележен је нето прилив од 0,1 млрд евра, што указује на поверење страних инвест</w:t>
      </w:r>
      <w:r w:rsidR="007D26ED" w:rsidRPr="00092ED7">
        <w:rPr>
          <w:szCs w:val="24"/>
          <w:lang w:val="sr-Cyrl-CS"/>
        </w:rPr>
        <w:t>и</w:t>
      </w:r>
      <w:r w:rsidRPr="00092ED7">
        <w:rPr>
          <w:szCs w:val="24"/>
          <w:lang w:val="sr-Cyrl-CS"/>
        </w:rPr>
        <w:t>т</w:t>
      </w:r>
      <w:r w:rsidR="007D26ED" w:rsidRPr="00092ED7">
        <w:rPr>
          <w:szCs w:val="24"/>
          <w:lang w:val="sr-Cyrl-CS"/>
        </w:rPr>
        <w:t>о</w:t>
      </w:r>
      <w:r w:rsidRPr="00092ED7">
        <w:rPr>
          <w:szCs w:val="24"/>
          <w:lang w:val="sr-Cyrl-CS"/>
        </w:rPr>
        <w:t>ра у макроекономске фундаменте Републике Србије, упркос заоштравању глобалних финансијских услова и већој усмерености токова портфолио инвестиција из земаља у успону ка развијеним земљама,</w:t>
      </w:r>
      <w:r w:rsidR="007D26ED" w:rsidRPr="00092ED7">
        <w:rPr>
          <w:szCs w:val="24"/>
          <w:lang w:val="sr-Cyrl-CS"/>
        </w:rPr>
        <w:t xml:space="preserve"> те се</w:t>
      </w:r>
      <w:r w:rsidRPr="00092ED7">
        <w:rPr>
          <w:szCs w:val="24"/>
          <w:lang w:val="sr-Cyrl-CS"/>
        </w:rPr>
        <w:t xml:space="preserve"> страни инвеститори нису у великој мери повукли из динарских државних хартија од вредности. По основу финансијских кредита резиденти су се нето задужили према иностранству за 1,3 млрд евра, при чему се приватни сектор нето задужио за 0,9 млрд евра, а јавни сектор за 0,4 млрд евра.</w:t>
      </w:r>
    </w:p>
    <w:p w14:paraId="07D8C4C0" w14:textId="131A65D4" w:rsidR="000679CD" w:rsidRPr="00092ED7" w:rsidRDefault="000679CD" w:rsidP="000679CD">
      <w:pPr>
        <w:spacing w:after="60"/>
        <w:rPr>
          <w:szCs w:val="24"/>
          <w:lang w:val="sr-Cyrl-CS"/>
        </w:rPr>
      </w:pPr>
      <w:r w:rsidRPr="00092ED7">
        <w:rPr>
          <w:szCs w:val="24"/>
          <w:lang w:val="sr-Cyrl-CS"/>
        </w:rPr>
        <w:t>Девизне резерве Народне банке Србије (без међувалутних промена и промена цена активе) у овом периоду смањене су за свега 280,4 млн евра и остале су знатно изнад нивоа који се процењује да обезбеђује адекватну заштиту од екстерних потреса. Током октобра</w:t>
      </w:r>
      <w:r w:rsidR="007A01EA" w:rsidRPr="00092ED7">
        <w:rPr>
          <w:szCs w:val="24"/>
          <w:lang w:val="sr-Cyrl-CS"/>
        </w:rPr>
        <w:t xml:space="preserve"> </w:t>
      </w:r>
      <w:r w:rsidRPr="00092ED7">
        <w:rPr>
          <w:szCs w:val="24"/>
          <w:lang w:val="sr-Cyrl-CS"/>
        </w:rPr>
        <w:t>номинално посматрано, девизне резерве су повећане за 369 млн евра и на крају октобра износиле су 16,9 млрд евра, што је највиши ниво до сада, чиме су покривале су око пет месеци увоза робе и услуга, близу 150% новчане масе М1 и око 287% дуга</w:t>
      </w:r>
      <w:r w:rsidRPr="00092ED7">
        <w:rPr>
          <w:szCs w:val="24"/>
          <w:vertAlign w:val="superscript"/>
          <w:lang w:val="sr-Cyrl-CS"/>
        </w:rPr>
        <w:footnoteReference w:id="4"/>
      </w:r>
      <w:r w:rsidRPr="00092ED7">
        <w:rPr>
          <w:szCs w:val="24"/>
          <w:lang w:val="sr-Cyrl-CS"/>
        </w:rPr>
        <w:t xml:space="preserve"> који доспева у наредној години дана.</w:t>
      </w:r>
    </w:p>
    <w:p w14:paraId="2200AD87" w14:textId="56435927" w:rsidR="000679CD" w:rsidRPr="00092ED7" w:rsidRDefault="000679CD" w:rsidP="000679CD">
      <w:pPr>
        <w:spacing w:after="60"/>
        <w:rPr>
          <w:lang w:val="sr-Cyrl-CS"/>
        </w:rPr>
      </w:pPr>
      <w:r w:rsidRPr="00092ED7">
        <w:rPr>
          <w:b/>
          <w:lang w:val="sr-Cyrl-CS"/>
        </w:rPr>
        <w:t>Девизни курс.</w:t>
      </w:r>
      <w:r w:rsidRPr="00092ED7">
        <w:rPr>
          <w:lang w:val="sr-Cyrl-CS"/>
        </w:rPr>
        <w:t xml:space="preserve"> Током прва четири месеца 2022. године преовладавали су депрецијацијски притисци пре свега услед појачане тражње увозника енергената за девизама у условима раста цена енергената на светском тржишту. Поред тога, у марту је забележена рекордна тражња грађана за страном ефективом услед глобалне неизвесности изазване сукобом у Украјини. Народна банка Србије је ради одржања релативне стабилности курса динара према евру током прва четири месеца нето продала 2.270 млн евра на девизном тржишту. Од маја, уз наставак појачане тражње увозника енергената за девизама, ипак преовладавају апрецијацијски притисци услед бројних других фактора – повећања понуде девиза од стране појединих резидената по основу страних директних инвестиција и извоза, високог нето откупа ефективног страног новца од овлашћених мењача и физичких лица, наставка раста евроиндексираних кредита, значајног девизног прилива од туриста нарочито током летње сезоне – а у амбијенту изостанка одлива по основу портфолио токова. Народна банка Србије је од маја до краја октобра</w:t>
      </w:r>
      <w:r w:rsidR="007D26ED" w:rsidRPr="00092ED7">
        <w:rPr>
          <w:lang w:val="sr-Cyrl-CS"/>
        </w:rPr>
        <w:t xml:space="preserve"> 2022. године</w:t>
      </w:r>
      <w:r w:rsidRPr="00092ED7">
        <w:rPr>
          <w:lang w:val="sr-Cyrl-CS"/>
        </w:rPr>
        <w:t xml:space="preserve"> нето купила 2.370 млн евра и тако у потпуности надокнадила нето продају девиза из прва четири месеца. У десет месеци Народна банка Србије била је нето купац девиза у износу од 100 млн евра, а динар је према евру номинално ојачао за 0,2%.</w:t>
      </w:r>
    </w:p>
    <w:p w14:paraId="0F0DDB3A" w14:textId="4BAFBF60" w:rsidR="000679CD" w:rsidRPr="00092ED7" w:rsidRDefault="000679CD" w:rsidP="000679CD">
      <w:pPr>
        <w:spacing w:after="60"/>
        <w:rPr>
          <w:lang w:val="sr-Cyrl-CS"/>
        </w:rPr>
      </w:pPr>
      <w:r w:rsidRPr="00092ED7">
        <w:rPr>
          <w:lang w:val="sr-Cyrl-CS"/>
        </w:rPr>
        <w:t xml:space="preserve">Као што је то случај у већини других земаља, </w:t>
      </w:r>
      <w:r w:rsidRPr="00092ED7">
        <w:rPr>
          <w:b/>
          <w:bCs/>
          <w:i/>
          <w:iCs/>
          <w:lang w:val="sr-Cyrl-CS"/>
        </w:rPr>
        <w:t>инфлација</w:t>
      </w:r>
      <w:r w:rsidRPr="00092ED7">
        <w:rPr>
          <w:lang w:val="sr-Cyrl-CS"/>
        </w:rPr>
        <w:t xml:space="preserve"> се и у </w:t>
      </w:r>
      <w:r w:rsidR="007D26ED" w:rsidRPr="00092ED7">
        <w:rPr>
          <w:lang w:val="sr-Cyrl-CS"/>
        </w:rPr>
        <w:t xml:space="preserve">Републици </w:t>
      </w:r>
      <w:r w:rsidRPr="00092ED7">
        <w:rPr>
          <w:lang w:val="sr-Cyrl-CS"/>
        </w:rPr>
        <w:t>Србији током 2022.</w:t>
      </w:r>
      <w:r w:rsidR="007D26ED" w:rsidRPr="00092ED7">
        <w:rPr>
          <w:lang w:val="sr-Cyrl-CS"/>
        </w:rPr>
        <w:t xml:space="preserve"> године</w:t>
      </w:r>
      <w:r w:rsidRPr="00092ED7">
        <w:rPr>
          <w:lang w:val="sr-Cyrl-CS"/>
        </w:rPr>
        <w:t xml:space="preserve"> кретала узлазном путањом и у октобру је износила 15,0% међугодишње. Највећи допринос инфлацији потиче од цена хране (7,3 п.п. у октобру), услед високих светских цена примарних пољопривредних производа, енергената, амбалаже</w:t>
      </w:r>
      <w:r w:rsidRPr="00092ED7">
        <w:rPr>
          <w:strike/>
          <w:lang w:val="sr-Cyrl-CS"/>
        </w:rPr>
        <w:t>,</w:t>
      </w:r>
      <w:r w:rsidRPr="00092ED7">
        <w:rPr>
          <w:lang w:val="sr-Cyrl-CS"/>
        </w:rPr>
        <w:t xml:space="preserve"> и осталих инпута</w:t>
      </w:r>
      <w:r w:rsidR="007D26ED" w:rsidRPr="00092ED7">
        <w:rPr>
          <w:lang w:val="sr-Cyrl-CS"/>
        </w:rPr>
        <w:t>,</w:t>
      </w:r>
      <w:r w:rsidRPr="00092ED7">
        <w:rPr>
          <w:lang w:val="sr-Cyrl-CS"/>
        </w:rPr>
        <w:t xml:space="preserve"> који повећавају трошкове производње и транспорта, као и негативних ефеката суше на домаћем тржишту и у већем делу Европе. Допринос цена из групе енергија у октобру износио је 2,88 п.п., што је последица виших цена нафтних деривата, чврстих горива, као и корекције регулисаних цена електричне енергије и гаса за домаћинства. Повишене произвођачке и увозне цене утицале су на то</w:t>
      </w:r>
      <w:r w:rsidR="007D26ED" w:rsidRPr="00092ED7">
        <w:rPr>
          <w:lang w:val="sr-Cyrl-CS"/>
        </w:rPr>
        <w:t>,</w:t>
      </w:r>
      <w:r w:rsidRPr="00092ED7">
        <w:rPr>
          <w:lang w:val="sr-Cyrl-CS"/>
        </w:rPr>
        <w:t xml:space="preserve"> да и међугодишња базна инфлација (по искључењу хране, енергије, алкохола и цигарета)</w:t>
      </w:r>
      <w:r w:rsidR="007D26ED" w:rsidRPr="00092ED7">
        <w:rPr>
          <w:lang w:val="sr-Cyrl-CS"/>
        </w:rPr>
        <w:t>,</w:t>
      </w:r>
      <w:r w:rsidRPr="00092ED7">
        <w:rPr>
          <w:lang w:val="sr-Cyrl-CS"/>
        </w:rPr>
        <w:t xml:space="preserve"> забележи раст на 9,5% у октобру, али се она задржала испод укупне инфлације. Нижем нивоу базне инфлације наставила је да доприноси очувана релативна стабилност девизног курса у изузетно неизвесним међународним околностима.</w:t>
      </w:r>
    </w:p>
    <w:p w14:paraId="21A008FA" w14:textId="44E65378" w:rsidR="000679CD" w:rsidRPr="00092ED7" w:rsidRDefault="000679CD" w:rsidP="000679CD">
      <w:pPr>
        <w:spacing w:after="60"/>
        <w:rPr>
          <w:szCs w:val="24"/>
          <w:lang w:val="sr-Cyrl-CS"/>
        </w:rPr>
      </w:pPr>
      <w:bookmarkStart w:id="17" w:name="_Hlk88475087"/>
      <w:r w:rsidRPr="00092ED7">
        <w:rPr>
          <w:b/>
          <w:szCs w:val="24"/>
          <w:lang w:val="sr-Cyrl-CS"/>
        </w:rPr>
        <w:t>Кредитна активност и монетарна кретања.</w:t>
      </w:r>
      <w:r w:rsidRPr="00092ED7">
        <w:rPr>
          <w:bCs/>
          <w:iCs/>
          <w:szCs w:val="24"/>
          <w:lang w:val="sr-Cyrl-CS"/>
        </w:rPr>
        <w:t xml:space="preserve"> И поред раста трошкова задуживања, кредитна активност у 2022. </w:t>
      </w:r>
      <w:r w:rsidR="007D26ED" w:rsidRPr="00092ED7">
        <w:rPr>
          <w:bCs/>
          <w:iCs/>
          <w:szCs w:val="24"/>
          <w:lang w:val="sr-Cyrl-CS"/>
        </w:rPr>
        <w:t xml:space="preserve">години, </w:t>
      </w:r>
      <w:r w:rsidRPr="00092ED7">
        <w:rPr>
          <w:bCs/>
          <w:iCs/>
          <w:szCs w:val="24"/>
          <w:lang w:val="sr-Cyrl-CS"/>
        </w:rPr>
        <w:t>наставила је да бележи двоцифрен мг. раст, који је, искључујући ефекат промене девизног курса, у октобру износио 10,7%. Од јула тај раст постепено успорава под утицајем високе базе из претходне године и доспећа кредита из гарантне шеме који су одобравани у периоду од маја 2020. године.</w:t>
      </w:r>
    </w:p>
    <w:p w14:paraId="13852E8C" w14:textId="77777777" w:rsidR="000679CD" w:rsidRPr="00092ED7" w:rsidRDefault="000679CD" w:rsidP="000679CD">
      <w:pPr>
        <w:spacing w:after="60"/>
        <w:rPr>
          <w:szCs w:val="24"/>
          <w:lang w:val="sr-Cyrl-CS"/>
        </w:rPr>
      </w:pPr>
      <w:r w:rsidRPr="00092ED7">
        <w:rPr>
          <w:szCs w:val="24"/>
          <w:lang w:val="sr-Cyrl-CS"/>
        </w:rPr>
        <w:t>Резултати анкета о кредитној активности коју спроводи Народна банка Србије показују да су банке пооштравале кредитне стандарде за привреду током целе године, а за становниптво од Т2. На заоштравање кредитних стандарда утичу раст трошкова извора за кредите и повећана аверзија банака према ризику. Тражња привреде за кредитима расла је све време, вођена пре свега потребом финансирања обртних средства и капиталних инвестиција, док је тражња становништва расла до Т3 под утицајем рефинансирања постојећих обавеза, куповине непокретности и набавке трајних потрошних добара. Раст тражње привреде за кредитима очекује се и у наредном периоду, док се за становништво предвиђа да ће смањење тражње започето у Т3 бити настављено и до краја године.</w:t>
      </w:r>
    </w:p>
    <w:p w14:paraId="77576E86" w14:textId="0A27F53B" w:rsidR="000679CD" w:rsidRPr="00092ED7" w:rsidRDefault="00B86E8D" w:rsidP="000679CD">
      <w:pPr>
        <w:spacing w:after="60"/>
        <w:rPr>
          <w:szCs w:val="24"/>
          <w:lang w:val="sr-Cyrl-CS"/>
        </w:rPr>
      </w:pPr>
      <w:r w:rsidRPr="00092ED7">
        <w:rPr>
          <w:szCs w:val="24"/>
          <w:lang w:val="sr-Cyrl-CS"/>
        </w:rPr>
        <w:t>У октобру м</w:t>
      </w:r>
      <w:r w:rsidR="000679CD" w:rsidRPr="00092ED7">
        <w:rPr>
          <w:szCs w:val="24"/>
          <w:lang w:val="sr-Cyrl-CS"/>
        </w:rPr>
        <w:t>г. раст кредита привреди је износио 12,7%, а њихово учешће у БДП-у 23,8%, што је исто као крајем 2021. године и указује на то да су кредити расли у складу с растом привредне активности. Раст кредита од почетка године вођен је одобравањем кредита за ликвидност и обртна средства и инвестиционим кредитима, чија су учешћа у укупним кредитима привреди у октобру износила 47,5% и 39,5%, респективно. Посматрано по величини предузећа, кредити одобрени сегменту микро, малих и средњих предузећа чинили су 60,0% укупних кредита привреди. Вођен одобравањем стамбених и готовински</w:t>
      </w:r>
      <w:r w:rsidR="00BB164C" w:rsidRPr="00092ED7">
        <w:rPr>
          <w:szCs w:val="24"/>
          <w:lang w:val="sr-Cyrl-CS"/>
        </w:rPr>
        <w:t>х</w:t>
      </w:r>
      <w:r w:rsidR="000679CD" w:rsidRPr="00092ED7">
        <w:rPr>
          <w:szCs w:val="24"/>
          <w:lang w:val="sr-Cyrl-CS"/>
        </w:rPr>
        <w:t xml:space="preserve"> кредита, раст кредита становништву у октобру износио је 7,7% мг., а њихово учешће у БДП-у 21,1%. Захваљујући израженијем расту, учешће стамбених кредита у укупним кредитима становништву повећано је на 40,1% у октобру, док је учешће готовинских кредита смањено на 43,7%.</w:t>
      </w:r>
    </w:p>
    <w:p w14:paraId="7037F753" w14:textId="70C020EE" w:rsidR="000679CD" w:rsidRPr="00092ED7" w:rsidRDefault="000679CD" w:rsidP="000679CD">
      <w:pPr>
        <w:spacing w:after="60"/>
        <w:rPr>
          <w:szCs w:val="24"/>
          <w:lang w:val="sr-Cyrl-CS"/>
        </w:rPr>
      </w:pPr>
      <w:r w:rsidRPr="00092ED7">
        <w:rPr>
          <w:szCs w:val="24"/>
          <w:lang w:val="sr-Cyrl-CS"/>
        </w:rPr>
        <w:t>Динаризација пласмана привреди и становништву у октобру је износила 35,5% (20% у сектору привреде и 53,7% у сектору становништва), што је за 2,8 п.п. ниже него крајем 2021.</w:t>
      </w:r>
      <w:r w:rsidR="008846CF" w:rsidRPr="00092ED7">
        <w:rPr>
          <w:szCs w:val="24"/>
          <w:lang w:val="sr-Cyrl-CS"/>
        </w:rPr>
        <w:t xml:space="preserve"> године, </w:t>
      </w:r>
      <w:r w:rsidRPr="00092ED7">
        <w:rPr>
          <w:szCs w:val="24"/>
          <w:lang w:val="sr-Cyrl-CS"/>
        </w:rPr>
        <w:t>услед доспећа кредита одобрених из гарантне шеме (који су углавном били одобравани у динарима) и бржег раста евроиндексираних стамбених кредита у односу на кредите становништву за остале намене (који су углавом динарски). Ипак, посматрано у односу на крај 2012 (28,0%), тј. период када је донета стратегија динаризације, то је и даље значајно виши ниво, што потврђује да је стратегија динаризације дала резултате.</w:t>
      </w:r>
    </w:p>
    <w:p w14:paraId="2E1813AE" w14:textId="5DD6D414" w:rsidR="000679CD" w:rsidRPr="00092ED7" w:rsidRDefault="000679CD" w:rsidP="000679CD">
      <w:pPr>
        <w:spacing w:after="60"/>
        <w:rPr>
          <w:szCs w:val="24"/>
          <w:lang w:val="sr-Cyrl-CS"/>
        </w:rPr>
      </w:pPr>
      <w:r w:rsidRPr="00092ED7">
        <w:rPr>
          <w:szCs w:val="24"/>
          <w:lang w:val="sr-Cyrl-CS"/>
        </w:rPr>
        <w:t>Успоравање раста кредитне активности највероватније ће се наставити и у наредном периоду, на шта ће се, поред високе базе, одразити и ефекти заоштравања монетарне политике Народне банке Србије и Европске централне банке (у сегменту девизно индексираног кредитирања). Према процени Народне банке Србије</w:t>
      </w:r>
      <w:r w:rsidR="008846CF" w:rsidRPr="00092ED7">
        <w:rPr>
          <w:szCs w:val="24"/>
          <w:lang w:val="sr-Cyrl-CS"/>
        </w:rPr>
        <w:t>,</w:t>
      </w:r>
      <w:r w:rsidRPr="00092ED7">
        <w:rPr>
          <w:szCs w:val="24"/>
          <w:lang w:val="sr-Cyrl-CS"/>
        </w:rPr>
        <w:t xml:space="preserve"> на крају 2022. </w:t>
      </w:r>
      <w:r w:rsidR="008846CF" w:rsidRPr="00092ED7">
        <w:rPr>
          <w:szCs w:val="24"/>
          <w:lang w:val="sr-Cyrl-CS"/>
        </w:rPr>
        <w:t xml:space="preserve">године, </w:t>
      </w:r>
      <w:r w:rsidRPr="00092ED7">
        <w:rPr>
          <w:szCs w:val="24"/>
          <w:lang w:val="sr-Cyrl-CS"/>
        </w:rPr>
        <w:t>кредити ће бити виши за око 9% мг., а у 2023. за око 6% мг., при чему ће и даље нешто већи допринос расту кредита потицати од кредита привреди у односу на становништво.</w:t>
      </w:r>
    </w:p>
    <w:p w14:paraId="6CB7BCAC" w14:textId="633154CB" w:rsidR="000679CD" w:rsidRPr="00092ED7" w:rsidRDefault="000679CD" w:rsidP="000679CD">
      <w:pPr>
        <w:spacing w:after="60"/>
        <w:rPr>
          <w:szCs w:val="24"/>
          <w:lang w:val="sr-Cyrl-CS"/>
        </w:rPr>
      </w:pPr>
      <w:r w:rsidRPr="00092ED7">
        <w:rPr>
          <w:szCs w:val="24"/>
          <w:lang w:val="sr-Cyrl-CS"/>
        </w:rPr>
        <w:t xml:space="preserve">Посматрано на мг. нивоу, успоравање раста монетарних агрегата, које је било присутно и током 2021. </w:t>
      </w:r>
      <w:r w:rsidR="00A07FFE" w:rsidRPr="00092ED7">
        <w:rPr>
          <w:szCs w:val="24"/>
          <w:lang w:val="sr-Cyrl-CS"/>
        </w:rPr>
        <w:t xml:space="preserve">године </w:t>
      </w:r>
      <w:r w:rsidRPr="00092ED7">
        <w:rPr>
          <w:szCs w:val="24"/>
          <w:lang w:val="sr-Cyrl-CS"/>
        </w:rPr>
        <w:t>(највећим делом као последица високе базе услед обимних пакета државне помоћи привреди и грађанима у борби с</w:t>
      </w:r>
      <w:r w:rsidR="00EB1E02" w:rsidRPr="00092ED7">
        <w:rPr>
          <w:szCs w:val="24"/>
          <w:lang w:val="sr-Cyrl-CS"/>
        </w:rPr>
        <w:t>а негативним ефектима пандемије</w:t>
      </w:r>
      <w:r w:rsidRPr="00092ED7">
        <w:rPr>
          <w:szCs w:val="24"/>
          <w:lang w:val="sr-Cyrl-CS"/>
        </w:rPr>
        <w:t xml:space="preserve"> и уздржавања од потрошње у условима предузетих епидемиолошких и здравствених мера), настављено је и у 2022. На то се</w:t>
      </w:r>
      <w:r w:rsidR="00A07FFE" w:rsidRPr="00092ED7">
        <w:rPr>
          <w:szCs w:val="24"/>
          <w:lang w:val="sr-Cyrl-CS"/>
        </w:rPr>
        <w:t>,</w:t>
      </w:r>
      <w:r w:rsidRPr="00092ED7">
        <w:rPr>
          <w:szCs w:val="24"/>
          <w:lang w:val="sr-Cyrl-CS"/>
        </w:rPr>
        <w:t xml:space="preserve"> пре свега</w:t>
      </w:r>
      <w:r w:rsidR="00A07FFE" w:rsidRPr="00092ED7">
        <w:rPr>
          <w:szCs w:val="24"/>
          <w:lang w:val="sr-Cyrl-CS"/>
        </w:rPr>
        <w:t>,</w:t>
      </w:r>
      <w:r w:rsidRPr="00092ED7">
        <w:rPr>
          <w:szCs w:val="24"/>
          <w:lang w:val="sr-Cyrl-CS"/>
        </w:rPr>
        <w:t xml:space="preserve"> одразило смањење депозита по виђењу, а делом и динарске штедње грађана (у периоду март</w:t>
      </w:r>
      <w:r w:rsidR="00A07FFE" w:rsidRPr="00092ED7">
        <w:rPr>
          <w:szCs w:val="24"/>
          <w:lang w:val="sr-Cyrl-CS"/>
        </w:rPr>
        <w:t xml:space="preserve"> </w:t>
      </w:r>
      <w:r w:rsidR="00A07FFE" w:rsidRPr="00092ED7">
        <w:rPr>
          <w:lang w:val="sr-Cyrl-CS"/>
        </w:rPr>
        <w:t>–</w:t>
      </w:r>
      <w:r w:rsidRPr="00092ED7">
        <w:rPr>
          <w:szCs w:val="24"/>
          <w:lang w:val="sr-Cyrl-CS"/>
        </w:rPr>
        <w:t>јун) у условима повећане глобалне неизвесности након избијања конфликта у Украјини, тако да су у октобру динарски монетарни агрегати М1 и М2 забележили номинални мг. раст од 1,0% и 5,1%, респективно. Успоравање раста динарске компоненте, одразило се и да М3 (који укључује и девизне депозите) успори на 8,0% мг. На крају октобра</w:t>
      </w:r>
      <w:r w:rsidR="00A07FFE" w:rsidRPr="00092ED7">
        <w:rPr>
          <w:szCs w:val="24"/>
          <w:lang w:val="sr-Cyrl-CS"/>
        </w:rPr>
        <w:t>,</w:t>
      </w:r>
      <w:r w:rsidRPr="00092ED7">
        <w:rPr>
          <w:szCs w:val="24"/>
          <w:lang w:val="sr-Cyrl-CS"/>
        </w:rPr>
        <w:t xml:space="preserve"> динарска штедња грађана износила је 88 млрд динара и чинила је 5,6% укупне штедње (наспрам 1,9% крајем 2012). Динаризација депозита привреде и становништва у октобру</w:t>
      </w:r>
      <w:r w:rsidR="00A07FFE" w:rsidRPr="00092ED7">
        <w:rPr>
          <w:szCs w:val="24"/>
          <w:lang w:val="sr-Cyrl-CS"/>
        </w:rPr>
        <w:t>,</w:t>
      </w:r>
      <w:r w:rsidRPr="00092ED7">
        <w:rPr>
          <w:szCs w:val="24"/>
          <w:lang w:val="sr-Cyrl-CS"/>
        </w:rPr>
        <w:t xml:space="preserve"> износила </w:t>
      </w:r>
      <w:r w:rsidR="00A07FFE" w:rsidRPr="00092ED7">
        <w:rPr>
          <w:szCs w:val="24"/>
          <w:lang w:val="sr-Cyrl-CS"/>
        </w:rPr>
        <w:t xml:space="preserve">је </w:t>
      </w:r>
      <w:r w:rsidRPr="00092ED7">
        <w:rPr>
          <w:szCs w:val="24"/>
          <w:lang w:val="sr-Cyrl-CS"/>
        </w:rPr>
        <w:t>38%, наспрам 19,3% крајем 2012. године.</w:t>
      </w:r>
    </w:p>
    <w:p w14:paraId="5FCDF0BE" w14:textId="63E01739" w:rsidR="000679CD" w:rsidRPr="00092ED7" w:rsidRDefault="000679CD" w:rsidP="000679CD">
      <w:pPr>
        <w:spacing w:after="60"/>
        <w:rPr>
          <w:lang w:val="sr-Cyrl-CS"/>
        </w:rPr>
      </w:pPr>
      <w:bookmarkStart w:id="18" w:name="_Hlk88465511"/>
      <w:bookmarkEnd w:id="17"/>
      <w:r w:rsidRPr="00092ED7">
        <w:rPr>
          <w:b/>
          <w:lang w:val="sr-Cyrl-CS"/>
        </w:rPr>
        <w:t xml:space="preserve">Финансијски сектор. </w:t>
      </w:r>
      <w:r w:rsidRPr="00092ED7">
        <w:rPr>
          <w:lang w:val="sr-Cyrl-CS"/>
        </w:rPr>
        <w:t xml:space="preserve">У структури финансијског система </w:t>
      </w:r>
      <w:r w:rsidR="00A07FFE" w:rsidRPr="00092ED7">
        <w:rPr>
          <w:lang w:val="sr-Cyrl-CS"/>
        </w:rPr>
        <w:t xml:space="preserve">Републике </w:t>
      </w:r>
      <w:r w:rsidRPr="00092ED7">
        <w:rPr>
          <w:lang w:val="sr-Cyrl-CS"/>
        </w:rPr>
        <w:t>Србије није било значајнијих измена током 2022. године – банкарски сектор је и даље доминантан са учешћем преко 90% у укупној активи финансијског сектора.</w:t>
      </w:r>
      <w:r w:rsidRPr="00092ED7">
        <w:rPr>
          <w:b/>
          <w:i/>
          <w:lang w:val="sr-Cyrl-CS"/>
        </w:rPr>
        <w:t xml:space="preserve"> </w:t>
      </w:r>
      <w:r w:rsidRPr="00092ED7">
        <w:rPr>
          <w:lang w:val="sr-Cyrl-CS"/>
        </w:rPr>
        <w:t>Закључно са 30. септембром 2022. године</w:t>
      </w:r>
      <w:r w:rsidR="00A07FFE" w:rsidRPr="00092ED7">
        <w:rPr>
          <w:lang w:val="sr-Cyrl-CS"/>
        </w:rPr>
        <w:t>,</w:t>
      </w:r>
      <w:r w:rsidRPr="00092ED7">
        <w:rPr>
          <w:lang w:val="sr-Cyrl-CS"/>
        </w:rPr>
        <w:t xml:space="preserve"> банкарски сектор </w:t>
      </w:r>
      <w:r w:rsidR="00A07FFE" w:rsidRPr="00092ED7">
        <w:rPr>
          <w:lang w:val="sr-Cyrl-CS"/>
        </w:rPr>
        <w:t xml:space="preserve">Републике </w:t>
      </w:r>
      <w:r w:rsidRPr="00092ED7">
        <w:rPr>
          <w:lang w:val="sr-Cyrl-CS"/>
        </w:rPr>
        <w:t xml:space="preserve">Србије </w:t>
      </w:r>
      <w:r w:rsidR="00A07FFE" w:rsidRPr="00092ED7">
        <w:rPr>
          <w:lang w:val="sr-Cyrl-CS"/>
        </w:rPr>
        <w:t xml:space="preserve">обухватио је </w:t>
      </w:r>
      <w:r w:rsidRPr="00092ED7">
        <w:rPr>
          <w:lang w:val="sr-Cyrl-CS"/>
        </w:rPr>
        <w:t xml:space="preserve">22 банкe, од којих је 17 у већинском власништву страних лица (чланице банкарских група из 12 држава), две банке су у већинском власништву Републике Србије, док су три банке у већинском власништву домаћих правних лица. </w:t>
      </w:r>
      <w:bookmarkStart w:id="19" w:name="_Hlk57296010"/>
      <w:r w:rsidRPr="00092ED7">
        <w:rPr>
          <w:lang w:val="sr-Cyrl-CS"/>
        </w:rPr>
        <w:t xml:space="preserve">На тржишту доминирају банке у већинском власништву страних лица, на које се односи 83,9% укупне билансне активе, 87,4% укупних бруто кредита и 82,7% укупних депозита банкарског сектора. </w:t>
      </w:r>
      <w:bookmarkStart w:id="20" w:name="_Hlk57296222"/>
      <w:r w:rsidRPr="00092ED7">
        <w:rPr>
          <w:lang w:val="sr-Cyrl-CS"/>
        </w:rPr>
        <w:t>Вредности Херфиндал–Хиршмановог индекса (</w:t>
      </w:r>
      <w:r w:rsidR="00A07FFE" w:rsidRPr="00092ED7">
        <w:rPr>
          <w:lang w:val="sr-Cyrl-CS"/>
        </w:rPr>
        <w:t xml:space="preserve">у даљем тексту: </w:t>
      </w:r>
      <w:r w:rsidRPr="00092ED7">
        <w:rPr>
          <w:lang w:val="sr-Cyrl-CS"/>
        </w:rPr>
        <w:t xml:space="preserve">HHI) показују одсуство концентрације у кључним </w:t>
      </w:r>
      <w:bookmarkEnd w:id="20"/>
      <w:r w:rsidRPr="00092ED7">
        <w:rPr>
          <w:lang w:val="sr-Cyrl-CS"/>
        </w:rPr>
        <w:t>билансним категоријама, што указује на задовољавајући степен тржишне конкуренције.</w:t>
      </w:r>
    </w:p>
    <w:bookmarkEnd w:id="19"/>
    <w:p w14:paraId="7A999657" w14:textId="77777777" w:rsidR="000679CD" w:rsidRPr="00092ED7" w:rsidRDefault="000679CD" w:rsidP="000679CD">
      <w:pPr>
        <w:spacing w:after="60"/>
        <w:rPr>
          <w:lang w:val="sr-Cyrl-CS"/>
        </w:rPr>
      </w:pPr>
      <w:r w:rsidRPr="00092ED7">
        <w:rPr>
          <w:lang w:val="sr-Cyrl-CS"/>
        </w:rPr>
        <w:t>Билансна сума и капитал банкарског сектора су на крају септембра 2022. године износили 5.307 млрд динара и 713 млрд динара, респективно. Солидне резерве капитала које су банке изградиле ранијих година су их учиниле отпорнијим на ризике у ситуацији и даље присутних неизвесности из међународног окружења. Показатељ адекватности капитала за банкарски сектор је износио 19,47%, а показатељ левериџа (по „Базелу 3”) 10,34% на крају септембра 2022. године, што представља још једну потврду високе солвентности банкарског сектора.</w:t>
      </w:r>
    </w:p>
    <w:p w14:paraId="71298854" w14:textId="36E51C09" w:rsidR="000679CD" w:rsidRPr="00092ED7" w:rsidRDefault="000679CD" w:rsidP="000679CD">
      <w:pPr>
        <w:spacing w:after="60"/>
        <w:rPr>
          <w:lang w:val="sr-Cyrl-CS"/>
        </w:rPr>
      </w:pPr>
      <w:r w:rsidRPr="00092ED7">
        <w:rPr>
          <w:lang w:val="sr-Cyrl-CS"/>
        </w:rPr>
        <w:t>Резерве ликвидности банкарског сектора су више него довољне за покриће потенцијалних потреба за ликвидним средствима, што потврђују кретање кључних показатеља ликвидности и рочна структура имовине и обавеза. Месечни показатељ ликвидности</w:t>
      </w:r>
      <w:r w:rsidR="003D737E" w:rsidRPr="00092ED7">
        <w:rPr>
          <w:lang w:val="sr-Cyrl-CS"/>
        </w:rPr>
        <w:t>,</w:t>
      </w:r>
      <w:r w:rsidRPr="00092ED7">
        <w:rPr>
          <w:lang w:val="sr-Cyrl-CS"/>
        </w:rPr>
        <w:t xml:space="preserve"> који се обрачунава у складу с домаћим прописима</w:t>
      </w:r>
      <w:r w:rsidR="003D737E" w:rsidRPr="00092ED7">
        <w:rPr>
          <w:lang w:val="sr-Cyrl-CS"/>
        </w:rPr>
        <w:t>,</w:t>
      </w:r>
      <w:r w:rsidRPr="00092ED7">
        <w:rPr>
          <w:lang w:val="sr-Cyrl-CS"/>
        </w:rPr>
        <w:t xml:space="preserve"> је у септембру 2022. године на нивоу банкарског сектора износио 2,04 (регулаторни минимум је 1,0) и кретао се око 2 током целе 2022. године. Ликвидна средства су чинила 34,77% укупне билансне активе и 45,10% укупних краткорочних обавеза, док је показатељ покрића ликвидном активом (по „Базелу 3”) износио 166,63%</w:t>
      </w:r>
      <w:r w:rsidR="003D737E" w:rsidRPr="00092ED7">
        <w:rPr>
          <w:lang w:val="sr-Cyrl-CS"/>
        </w:rPr>
        <w:t>,</w:t>
      </w:r>
      <w:r w:rsidRPr="00092ED7">
        <w:rPr>
          <w:lang w:val="sr-Cyrl-CS"/>
        </w:rPr>
        <w:t xml:space="preserve"> на крају септембра 2022. године.</w:t>
      </w:r>
    </w:p>
    <w:p w14:paraId="6160011D" w14:textId="77777777" w:rsidR="000679CD" w:rsidRPr="00092ED7" w:rsidRDefault="000679CD" w:rsidP="000679CD">
      <w:pPr>
        <w:spacing w:after="60"/>
        <w:rPr>
          <w:lang w:val="sr-Cyrl-CS"/>
        </w:rPr>
      </w:pPr>
      <w:r w:rsidRPr="00092ED7">
        <w:rPr>
          <w:lang w:val="sr-Cyrl-CS"/>
        </w:rPr>
        <w:t>Бакарски сектор је, упркос наставку раста глобалне инфлације и поскупљењу извора финансирањa, а захваљујући и даље стабилном тренду раста кредитне активности, успео да задржи задовољавајућу профитабилност у 2022. години. Укупан нето добитак пре опорезивања остварен од почетка године до краја септембра износио је 58,3 млрд динара, уз показатеље профитабилности ROA од 1,50% и ROE 10,85%.</w:t>
      </w:r>
    </w:p>
    <w:p w14:paraId="3B17A674" w14:textId="49D65668" w:rsidR="000679CD" w:rsidRPr="00092ED7" w:rsidRDefault="000679CD" w:rsidP="000679CD">
      <w:pPr>
        <w:spacing w:after="60"/>
        <w:rPr>
          <w:lang w:val="sr-Cyrl-CS"/>
        </w:rPr>
      </w:pPr>
      <w:r w:rsidRPr="00092ED7">
        <w:rPr>
          <w:lang w:val="sr-Cyrl-CS"/>
        </w:rPr>
        <w:t>Иако је спровела све активности из свог Акционог плана за спровођење Стратегије за решавање проблематичних кредита</w:t>
      </w:r>
      <w:r w:rsidR="003E317A" w:rsidRPr="00092ED7">
        <w:rPr>
          <w:lang w:val="sr-Cyrl-CS"/>
        </w:rPr>
        <w:t xml:space="preserve"> </w:t>
      </w:r>
      <w:r w:rsidR="003E317A" w:rsidRPr="00092ED7">
        <w:rPr>
          <w:iCs/>
          <w:lang w:val="sr-Cyrl-CS"/>
        </w:rPr>
        <w:t>(„Службени</w:t>
      </w:r>
      <w:r w:rsidR="003E317A" w:rsidRPr="00092ED7">
        <w:rPr>
          <w:lang w:val="sr-Cyrl-CS"/>
        </w:rPr>
        <w:t xml:space="preserve"> гласник РС”, </w:t>
      </w:r>
      <w:r w:rsidR="003E317A" w:rsidRPr="00092ED7">
        <w:rPr>
          <w:bCs/>
          <w:iCs/>
          <w:lang w:val="sr-Cyrl-CS"/>
        </w:rPr>
        <w:t>број 72/15)</w:t>
      </w:r>
      <w:r w:rsidR="003E317A" w:rsidRPr="00092ED7">
        <w:rPr>
          <w:iCs/>
          <w:lang w:val="sr-Cyrl-CS"/>
        </w:rPr>
        <w:t xml:space="preserve">, </w:t>
      </w:r>
      <w:r w:rsidRPr="00092ED7">
        <w:rPr>
          <w:lang w:val="sr-Cyrl-CS"/>
        </w:rPr>
        <w:t xml:space="preserve"> Народнa банкa Србије је наставила да предузима регулаторне мере из своје надлежности и користи расположиве инструменте и механизме надзора у циљу подстицања банака да ефикасније решавају проблематичне кредите и успоставе систем који ће спречити њихову поновну акумулацију. Од септембра 2017. године је у примени </w:t>
      </w:r>
      <w:r w:rsidRPr="00092ED7">
        <w:rPr>
          <w:bCs/>
          <w:iCs/>
          <w:lang w:val="sr-Cyrl-CS"/>
        </w:rPr>
        <w:t>Одлука о рачуноводственом отпису билансне активе банака</w:t>
      </w:r>
      <w:r w:rsidR="0022364E" w:rsidRPr="00092ED7">
        <w:rPr>
          <w:bCs/>
          <w:iCs/>
          <w:lang w:val="sr-Cyrl-CS"/>
        </w:rPr>
        <w:t xml:space="preserve"> </w:t>
      </w:r>
      <w:r w:rsidR="0022364E" w:rsidRPr="00092ED7">
        <w:rPr>
          <w:iCs/>
          <w:lang w:val="sr-Cyrl-CS"/>
        </w:rPr>
        <w:t>(„Службени</w:t>
      </w:r>
      <w:r w:rsidR="0022364E" w:rsidRPr="00092ED7">
        <w:rPr>
          <w:lang w:val="sr-Cyrl-CS"/>
        </w:rPr>
        <w:t xml:space="preserve"> гласник РС”, </w:t>
      </w:r>
      <w:r w:rsidR="0022364E" w:rsidRPr="00092ED7">
        <w:rPr>
          <w:bCs/>
          <w:iCs/>
          <w:lang w:val="sr-Cyrl-CS"/>
        </w:rPr>
        <w:t>број 77/17)</w:t>
      </w:r>
      <w:r w:rsidRPr="00092ED7">
        <w:rPr>
          <w:iCs/>
          <w:lang w:val="sr-Cyrl-CS"/>
        </w:rPr>
        <w:t xml:space="preserve">, </w:t>
      </w:r>
      <w:r w:rsidRPr="00092ED7">
        <w:rPr>
          <w:lang w:val="sr-Cyrl-CS"/>
        </w:rPr>
        <w:t>у складу с којом су банке дужне да пренесу у ванбилансну евиденцију све проблематичне кредите који су у потпуности обезвређени.</w:t>
      </w:r>
    </w:p>
    <w:p w14:paraId="15597FB8" w14:textId="4CF85739" w:rsidR="000679CD" w:rsidRPr="00092ED7" w:rsidRDefault="000679CD" w:rsidP="000679CD">
      <w:pPr>
        <w:spacing w:after="60"/>
        <w:rPr>
          <w:lang w:val="sr-Cyrl-CS"/>
        </w:rPr>
      </w:pPr>
      <w:r w:rsidRPr="00092ED7">
        <w:rPr>
          <w:lang w:val="sr-Cyrl-CS"/>
        </w:rPr>
        <w:t>Седам година након усвајања Стратегије за решавање проблематичних кредита, учешће проблематичних кредита у укупним бруто кредитима банкарског сектора је смањено за 19,06 п.п. на 3,19%, колико је износило на крају септембра 2022. године. То је најнижи ниво до сада и указује да ни након престанка примене бројних мера монетарних и фискалних подстицаја предузетих у првој фази пан</w:t>
      </w:r>
      <w:r w:rsidR="00BB164C" w:rsidRPr="00092ED7">
        <w:rPr>
          <w:lang w:val="sr-Cyrl-CS"/>
        </w:rPr>
        <w:t>де</w:t>
      </w:r>
      <w:r w:rsidRPr="00092ED7">
        <w:rPr>
          <w:lang w:val="sr-Cyrl-CS"/>
        </w:rPr>
        <w:t xml:space="preserve">мије није дошло до раста показатеља проблематичних кредита. Стање бруто проблематичних кредита је у истом периоду смањено за 74,87% (са 427,3 млрд динара на 107,4 млрд динара). Најзначајнији канали смањења проблематичних кредита били </w:t>
      </w:r>
      <w:r w:rsidR="003D737E" w:rsidRPr="00092ED7">
        <w:rPr>
          <w:lang w:val="sr-Cyrl-CS"/>
        </w:rPr>
        <w:t xml:space="preserve">су </w:t>
      </w:r>
      <w:r w:rsidRPr="00092ED7">
        <w:rPr>
          <w:lang w:val="sr-Cyrl-CS"/>
        </w:rPr>
        <w:t>директан отпис и уступања (продаја) потраживања, а од 2022. години и наплата (потпуна или делимична, ако су испуњени услови за излазак из проблематичног статуса). Закључно са септембром 2022. године, укупно смањење проблематичних кредита које се дугује директном отпису је износило 243,3 млрд динара и присутно је код свих банака. Укупан износ уступљених потраживања од момента увођења Стратегије</w:t>
      </w:r>
      <w:r w:rsidR="00E8059E" w:rsidRPr="00092ED7">
        <w:rPr>
          <w:lang w:val="sr-Cyrl-CS"/>
        </w:rPr>
        <w:t xml:space="preserve"> </w:t>
      </w:r>
      <w:r w:rsidR="0022364E" w:rsidRPr="00092ED7">
        <w:rPr>
          <w:lang w:val="sr-Cyrl-CS"/>
        </w:rPr>
        <w:t xml:space="preserve">за решавање проблематичних кредита </w:t>
      </w:r>
      <w:r w:rsidRPr="00092ED7">
        <w:rPr>
          <w:lang w:val="sr-Cyrl-CS"/>
        </w:rPr>
        <w:t>износи 100,9 млрд динара</w:t>
      </w:r>
      <w:r w:rsidRPr="00092ED7">
        <w:rPr>
          <w:vertAlign w:val="superscript"/>
          <w:lang w:val="sr-Cyrl-CS"/>
        </w:rPr>
        <w:footnoteReference w:id="5"/>
      </w:r>
      <w:r w:rsidRPr="00092ED7">
        <w:rPr>
          <w:lang w:val="sr-Cyrl-CS"/>
        </w:rPr>
        <w:t>. Учешће проблематичних кредита у укупним кредитима привреди је на крају септембра 2022. године износило 2,70%, док је њихов удео у укупним кредитима физичким лицима био 4,14%. На крају септембра 2022. године</w:t>
      </w:r>
      <w:r w:rsidR="00E8059E" w:rsidRPr="00092ED7">
        <w:rPr>
          <w:lang w:val="sr-Cyrl-CS"/>
        </w:rPr>
        <w:t>,</w:t>
      </w:r>
      <w:r w:rsidRPr="00092ED7">
        <w:rPr>
          <w:lang w:val="sr-Cyrl-CS"/>
        </w:rPr>
        <w:t xml:space="preserve"> покриће проблематичних кредита исправкама вредности извршеним у складу са МСФИ је износило 57,15%. </w:t>
      </w:r>
      <w:bookmarkStart w:id="21" w:name="_Hlk88058820"/>
      <w:r w:rsidRPr="00092ED7">
        <w:rPr>
          <w:lang w:val="sr-Cyrl-CS"/>
        </w:rPr>
        <w:t>Показатељ ризика концентрације уведен крајем 2018. године у циљу смањења удела готовинских, потрошачких и осталих ненаменских кредита становништву дужих рочности у регулаторном капиталу и дугорочним обавезама, као и у циљу подстицања праксе одрживог кредитирања становништва, у периоду јануар 2019. године – септембар 2022. године</w:t>
      </w:r>
      <w:r w:rsidR="00E8059E" w:rsidRPr="00092ED7">
        <w:rPr>
          <w:lang w:val="sr-Cyrl-CS"/>
        </w:rPr>
        <w:t>,</w:t>
      </w:r>
      <w:r w:rsidRPr="00092ED7">
        <w:rPr>
          <w:lang w:val="sr-Cyrl-CS"/>
        </w:rPr>
        <w:t xml:space="preserve"> смањен је на нивоу банкарског сектора за близу 17 п.п. (са 25,19% на 8,23%).</w:t>
      </w:r>
    </w:p>
    <w:bookmarkEnd w:id="21"/>
    <w:p w14:paraId="25856593" w14:textId="2706EB28" w:rsidR="000679CD" w:rsidRPr="00092ED7" w:rsidRDefault="000679CD" w:rsidP="000679CD">
      <w:pPr>
        <w:spacing w:after="60"/>
        <w:rPr>
          <w:lang w:val="sr-Cyrl-CS"/>
        </w:rPr>
      </w:pPr>
      <w:r w:rsidRPr="00092ED7">
        <w:rPr>
          <w:lang w:val="sr-Cyrl-CS"/>
        </w:rPr>
        <w:t>Народна банка Србије редовно разматра обавезу одржавања заштитних слојева капитала којима се ограничавају системски ризици у финансијском систему Републике Србије. Народна банка Србије је у марту 2022. преиспитала обавезу одржавања заштитног слоја капитала за структурни системски ризик, када је одлучено да треба задржати обавезу одржавања поменутог заштитног слоја капитала, у висини од 3% укупних девизних и девизно индексираних пласмана банке одобрених привреди и становништву у Републици Србији. Заштитни слој капитала</w:t>
      </w:r>
      <w:r w:rsidR="00E8059E" w:rsidRPr="00092ED7">
        <w:rPr>
          <w:lang w:val="sr-Cyrl-CS"/>
        </w:rPr>
        <w:t>,</w:t>
      </w:r>
      <w:r w:rsidRPr="00092ED7">
        <w:rPr>
          <w:lang w:val="sr-Cyrl-CS"/>
        </w:rPr>
        <w:t xml:space="preserve"> за системски значајне банке</w:t>
      </w:r>
      <w:r w:rsidR="00E8059E" w:rsidRPr="00092ED7">
        <w:rPr>
          <w:lang w:val="sr-Cyrl-CS"/>
        </w:rPr>
        <w:t>,</w:t>
      </w:r>
      <w:r w:rsidRPr="00092ED7">
        <w:rPr>
          <w:lang w:val="sr-Cyrl-CS"/>
        </w:rPr>
        <w:t xml:space="preserve"> преиспитује се најмање једном годишње, а у јуну 2022. године девет банака је идентификовано као системски значајно за домаћу економију</w:t>
      </w:r>
      <w:r w:rsidRPr="00092ED7">
        <w:rPr>
          <w:rStyle w:val="FootnoteReference"/>
          <w:lang w:val="sr-Cyrl-CS"/>
        </w:rPr>
        <w:footnoteReference w:id="6"/>
      </w:r>
      <w:r w:rsidRPr="00092ED7">
        <w:rPr>
          <w:lang w:val="sr-Cyrl-CS"/>
        </w:rPr>
        <w:t>, од којих је пет у обавези да одржава додатни основни акцијски капитал у износу 2% од њихове ризичне активе, а преостале четири у износу 1% од њихове ризичне активе.</w:t>
      </w:r>
    </w:p>
    <w:p w14:paraId="099686EE" w14:textId="6E3704DD" w:rsidR="000679CD" w:rsidRPr="00092ED7" w:rsidRDefault="000679CD" w:rsidP="000679CD">
      <w:pPr>
        <w:spacing w:after="60"/>
        <w:rPr>
          <w:lang w:val="sr-Cyrl-CS"/>
        </w:rPr>
      </w:pPr>
      <w:r w:rsidRPr="00092ED7">
        <w:rPr>
          <w:lang w:val="sr-Cyrl-CS"/>
        </w:rPr>
        <w:t>А</w:t>
      </w:r>
      <w:r w:rsidRPr="00092ED7">
        <w:rPr>
          <w:szCs w:val="24"/>
          <w:lang w:val="sr-Cyrl-CS"/>
        </w:rPr>
        <w:t xml:space="preserve">нализа кретања кредитне активности са аспекта утврђивања висине стопе контрацикличног заштитног слоја капитала са јуном 2022. </w:t>
      </w:r>
      <w:r w:rsidR="00E8059E" w:rsidRPr="00092ED7">
        <w:rPr>
          <w:szCs w:val="24"/>
          <w:lang w:val="sr-Cyrl-CS"/>
        </w:rPr>
        <w:t xml:space="preserve">године, </w:t>
      </w:r>
      <w:r w:rsidRPr="00092ED7">
        <w:rPr>
          <w:szCs w:val="24"/>
          <w:lang w:val="sr-Cyrl-CS"/>
        </w:rPr>
        <w:t xml:space="preserve">указује на то да се кредитна активност мерена учешћем укупних реалних кредита у реалном БДП-у налази незнатно испод свог дугорочног тренда (–0,002 п.п.). Притом, резултати анализе показују да ни у сектору привреде, ни у сектору становништва, није присутан прекомерни раст кредита. Народнa банка Србије je у септембру 2022. године донела одлуку да стопу контрацикличног заштитног слоја капитала задржи на нивоу од 0%, како би се ублажиле последице појачаних инфлаторних притисака и глобалног пооштравања монетарних политика на домаће услове финансирања привреде и становништва. </w:t>
      </w:r>
      <w:r w:rsidRPr="00092ED7">
        <w:rPr>
          <w:lang w:val="sr-Cyrl-CS"/>
        </w:rPr>
        <w:t>Банке су у септембру 2022. године за одржавање свих прописаних заштитних слојева капитала (комбиновани заштитни слој капитала)</w:t>
      </w:r>
      <w:r w:rsidR="00E8059E" w:rsidRPr="00092ED7">
        <w:rPr>
          <w:lang w:val="sr-Cyrl-CS"/>
        </w:rPr>
        <w:t>,</w:t>
      </w:r>
      <w:r w:rsidRPr="00092ED7">
        <w:rPr>
          <w:lang w:val="sr-Cyrl-CS"/>
        </w:rPr>
        <w:t xml:space="preserve"> укупно издвојиле 185,1 млрд динара основног акцијског капитала или 5,8% ризичне активе.</w:t>
      </w:r>
    </w:p>
    <w:p w14:paraId="6EC319B9" w14:textId="4FC28659" w:rsidR="000679CD" w:rsidRPr="00092ED7" w:rsidRDefault="000679CD" w:rsidP="000679CD">
      <w:pPr>
        <w:spacing w:after="60"/>
        <w:rPr>
          <w:lang w:val="sr-Cyrl-CS"/>
        </w:rPr>
      </w:pPr>
      <w:r w:rsidRPr="00092ED7">
        <w:rPr>
          <w:lang w:val="sr-Cyrl-CS"/>
        </w:rPr>
        <w:t>Већина мера донетих током 2020. и 2021.</w:t>
      </w:r>
      <w:r w:rsidR="006D2CDD" w:rsidRPr="00092ED7">
        <w:rPr>
          <w:lang w:val="sr-Cyrl-CS"/>
        </w:rPr>
        <w:t xml:space="preserve"> </w:t>
      </w:r>
      <w:r w:rsidR="00E8059E" w:rsidRPr="00092ED7">
        <w:rPr>
          <w:lang w:val="sr-Cyrl-CS"/>
        </w:rPr>
        <w:t>године</w:t>
      </w:r>
      <w:r w:rsidRPr="00092ED7">
        <w:rPr>
          <w:lang w:val="sr-Cyrl-CS"/>
        </w:rPr>
        <w:t xml:space="preserve"> у циљу очувања стабилности финансијског система и подршке привреди и грађанима у пандемијским условима је примењивана закључно са 31. децембром 2021. године. До краја 202</w:t>
      </w:r>
      <w:r w:rsidR="001B2208" w:rsidRPr="00092ED7">
        <w:rPr>
          <w:lang w:val="sr-Cyrl-CS"/>
        </w:rPr>
        <w:t>3</w:t>
      </w:r>
      <w:r w:rsidRPr="00092ED7">
        <w:rPr>
          <w:lang w:val="sr-Cyrl-CS"/>
        </w:rPr>
        <w:t>. године једино су још продужене регулаторне могућности предвиђене Одлуком о привременим мерама за банке у циљу олакшаног приступа финансирању физичким лицима</w:t>
      </w:r>
      <w:r w:rsidR="000202AC" w:rsidRPr="00092ED7">
        <w:rPr>
          <w:lang w:val="sr-Cyrl-CS"/>
        </w:rPr>
        <w:t xml:space="preserve"> </w:t>
      </w:r>
      <w:r w:rsidR="000202AC" w:rsidRPr="00092ED7">
        <w:rPr>
          <w:iCs/>
          <w:lang w:val="sr-Cyrl-CS"/>
        </w:rPr>
        <w:t>(„Службени</w:t>
      </w:r>
      <w:r w:rsidR="000202AC" w:rsidRPr="00092ED7">
        <w:rPr>
          <w:lang w:val="sr-Cyrl-CS"/>
        </w:rPr>
        <w:t xml:space="preserve"> гласник РС”, </w:t>
      </w:r>
      <w:r w:rsidR="000202AC" w:rsidRPr="00092ED7">
        <w:rPr>
          <w:bCs/>
          <w:iCs/>
          <w:lang w:val="sr-Cyrl-CS"/>
        </w:rPr>
        <w:t>бр</w:t>
      </w:r>
      <w:r w:rsidR="00152E8C" w:rsidRPr="00092ED7">
        <w:rPr>
          <w:bCs/>
          <w:iCs/>
          <w:lang w:val="sr-Cyrl-CS"/>
        </w:rPr>
        <w:t>.</w:t>
      </w:r>
      <w:r w:rsidR="00A26033" w:rsidRPr="00092ED7">
        <w:rPr>
          <w:bCs/>
          <w:iCs/>
          <w:lang w:val="sr-Cyrl-CS"/>
        </w:rPr>
        <w:t xml:space="preserve"> </w:t>
      </w:r>
      <w:r w:rsidR="00152E8C" w:rsidRPr="00092ED7">
        <w:rPr>
          <w:bCs/>
          <w:iCs/>
          <w:lang w:val="sr-Cyrl-CS"/>
        </w:rPr>
        <w:t>108/2</w:t>
      </w:r>
      <w:r w:rsidR="006D2CDD" w:rsidRPr="00092ED7">
        <w:rPr>
          <w:bCs/>
          <w:iCs/>
          <w:lang w:val="sr-Cyrl-CS"/>
        </w:rPr>
        <w:t>0</w:t>
      </w:r>
      <w:r w:rsidR="00152E8C" w:rsidRPr="00092ED7">
        <w:rPr>
          <w:bCs/>
          <w:iCs/>
          <w:lang w:val="sr-Cyrl-CS"/>
        </w:rPr>
        <w:t>, 119/21 и 137/</w:t>
      </w:r>
      <w:r w:rsidR="000202AC" w:rsidRPr="00092ED7">
        <w:rPr>
          <w:bCs/>
          <w:iCs/>
          <w:lang w:val="sr-Cyrl-CS"/>
        </w:rPr>
        <w:t>22)</w:t>
      </w:r>
      <w:r w:rsidRPr="00092ED7">
        <w:rPr>
          <w:lang w:val="sr-Cyrl-CS"/>
        </w:rPr>
        <w:t>, а које подразумевају подстицање олакшаног приступа стамбеним кредитима и у погледу непокретности с нижим степеном изграђености, могућност продужетка рока отплате стамбених кредита за највише пет година од датума доспећа последње рате тог кредита и привремено олакшавање процедуре за приступ становништва краткорочним динарским кредитима до одређеног износа.</w:t>
      </w:r>
    </w:p>
    <w:bookmarkEnd w:id="18"/>
    <w:p w14:paraId="4DBEB010" w14:textId="594D2BE0" w:rsidR="000679CD" w:rsidRPr="00092ED7" w:rsidRDefault="000679CD" w:rsidP="000679CD">
      <w:pPr>
        <w:spacing w:after="60"/>
        <w:rPr>
          <w:lang w:val="sr-Cyrl-CS"/>
        </w:rPr>
      </w:pPr>
      <w:r w:rsidRPr="00092ED7">
        <w:rPr>
          <w:lang w:val="sr-Cyrl-CS"/>
        </w:rPr>
        <w:t>Имајући у виду различите негативне факторе из међународног окружења, примена мера</w:t>
      </w:r>
      <w:r w:rsidR="00E8059E" w:rsidRPr="00092ED7">
        <w:rPr>
          <w:lang w:val="sr-Cyrl-CS"/>
        </w:rPr>
        <w:t>,</w:t>
      </w:r>
      <w:r w:rsidRPr="00092ED7">
        <w:rPr>
          <w:lang w:val="sr-Cyrl-CS"/>
        </w:rPr>
        <w:t xml:space="preserve"> кој</w:t>
      </w:r>
      <w:r w:rsidR="00E8059E" w:rsidRPr="00092ED7">
        <w:rPr>
          <w:lang w:val="sr-Cyrl-CS"/>
        </w:rPr>
        <w:t>ом</w:t>
      </w:r>
      <w:r w:rsidRPr="00092ED7">
        <w:rPr>
          <w:lang w:val="sr-Cyrl-CS"/>
        </w:rPr>
        <w:t xml:space="preserve"> се дестимулише одобравање нових, ненаменских и неинвестиционих, девизно индексираних кредита и кредита у страној валути</w:t>
      </w:r>
      <w:r w:rsidR="00E8059E" w:rsidRPr="00092ED7">
        <w:rPr>
          <w:lang w:val="sr-Cyrl-CS"/>
        </w:rPr>
        <w:t>,</w:t>
      </w:r>
      <w:r w:rsidRPr="00092ED7">
        <w:rPr>
          <w:lang w:val="sr-Cyrl-CS"/>
        </w:rPr>
        <w:t xml:space="preserve"> дужницима из нефинансијског и недржавног сектора у делу који се односи на капитал банке, усвајањем Одлуке о изменама Одлуке о адекватности капитала банке </w:t>
      </w:r>
      <w:r w:rsidR="006D2CDD" w:rsidRPr="00092ED7">
        <w:rPr>
          <w:lang w:val="sr-Cyrl-CS"/>
        </w:rPr>
        <w:t>(„Службени гласник РС</w:t>
      </w:r>
      <w:r w:rsidR="006D2CDD" w:rsidRPr="00092ED7">
        <w:rPr>
          <w:rFonts w:cs="Times New Roman"/>
          <w:lang w:val="sr-Cyrl-CS"/>
        </w:rPr>
        <w:t>ˮ</w:t>
      </w:r>
      <w:r w:rsidR="006D2CDD" w:rsidRPr="00092ED7">
        <w:rPr>
          <w:lang w:val="sr-Cyrl-CS"/>
        </w:rPr>
        <w:t xml:space="preserve">, број 67/22) </w:t>
      </w:r>
      <w:r w:rsidRPr="00092ED7">
        <w:rPr>
          <w:lang w:val="sr-Cyrl-CS"/>
        </w:rPr>
        <w:t>у јуну 2022. године, одложена је за додатних 12 месеци.</w:t>
      </w:r>
    </w:p>
    <w:p w14:paraId="27753858" w14:textId="74A8EC1B" w:rsidR="000679CD" w:rsidRPr="00092ED7" w:rsidRDefault="000679CD" w:rsidP="000679CD">
      <w:pPr>
        <w:spacing w:after="60"/>
        <w:rPr>
          <w:i/>
          <w:iCs/>
          <w:lang w:val="sr-Cyrl-CS"/>
        </w:rPr>
      </w:pPr>
      <w:bookmarkStart w:id="22" w:name="_Hlk111536597"/>
      <w:r w:rsidRPr="00092ED7">
        <w:rPr>
          <w:lang w:val="sr-Cyrl-CS"/>
        </w:rPr>
        <w:t xml:space="preserve">С циљем омогућавања банкама да ублаже негативне ефекте промене цена хартија од вредности на капитал, а који су настали услед поремећаја на глобалним финансијским тржиштима, у јуну 2022. године, усвојена је </w:t>
      </w:r>
      <w:r w:rsidRPr="00092ED7">
        <w:rPr>
          <w:b/>
          <w:bCs/>
          <w:i/>
          <w:iCs/>
          <w:lang w:val="sr-Cyrl-CS"/>
        </w:rPr>
        <w:t>Одлука о привременој мери која се односи на израчунавање капитала банке</w:t>
      </w:r>
      <w:r w:rsidR="00BA5958" w:rsidRPr="00092ED7">
        <w:rPr>
          <w:b/>
          <w:bCs/>
          <w:i/>
          <w:iCs/>
          <w:lang w:val="sr-Cyrl-CS"/>
        </w:rPr>
        <w:t xml:space="preserve"> </w:t>
      </w:r>
      <w:r w:rsidR="00BA5958" w:rsidRPr="00092ED7">
        <w:rPr>
          <w:iCs/>
          <w:color w:val="000000" w:themeColor="text1"/>
          <w:lang w:val="sr-Cyrl-CS"/>
        </w:rPr>
        <w:t>(„Службени</w:t>
      </w:r>
      <w:r w:rsidR="00BA5958" w:rsidRPr="00092ED7">
        <w:rPr>
          <w:color w:val="000000" w:themeColor="text1"/>
          <w:lang w:val="sr-Cyrl-CS"/>
        </w:rPr>
        <w:t xml:space="preserve"> гласник РС”, </w:t>
      </w:r>
      <w:r w:rsidR="00BA5958" w:rsidRPr="00092ED7">
        <w:rPr>
          <w:bCs/>
          <w:iCs/>
          <w:color w:val="000000" w:themeColor="text1"/>
          <w:lang w:val="sr-Cyrl-CS"/>
        </w:rPr>
        <w:t>бр</w:t>
      </w:r>
      <w:r w:rsidR="00152E8C" w:rsidRPr="00092ED7">
        <w:rPr>
          <w:bCs/>
          <w:iCs/>
          <w:color w:val="000000" w:themeColor="text1"/>
          <w:lang w:val="sr-Cyrl-CS"/>
        </w:rPr>
        <w:t>.</w:t>
      </w:r>
      <w:r w:rsidR="006D2CDD" w:rsidRPr="00092ED7">
        <w:rPr>
          <w:bCs/>
          <w:iCs/>
          <w:color w:val="000000" w:themeColor="text1"/>
          <w:lang w:val="sr-Cyrl-CS"/>
        </w:rPr>
        <w:t xml:space="preserve"> </w:t>
      </w:r>
      <w:r w:rsidR="00152E8C" w:rsidRPr="00092ED7">
        <w:rPr>
          <w:bCs/>
          <w:iCs/>
          <w:color w:val="000000" w:themeColor="text1"/>
          <w:lang w:val="sr-Cyrl-CS"/>
        </w:rPr>
        <w:t>72/22, и 124/</w:t>
      </w:r>
      <w:r w:rsidR="00BA5958" w:rsidRPr="00092ED7">
        <w:rPr>
          <w:bCs/>
          <w:iCs/>
          <w:color w:val="000000" w:themeColor="text1"/>
          <w:lang w:val="sr-Cyrl-CS"/>
        </w:rPr>
        <w:t>22)</w:t>
      </w:r>
      <w:r w:rsidRPr="00092ED7">
        <w:rPr>
          <w:i/>
          <w:iCs/>
          <w:color w:val="000000" w:themeColor="text1"/>
          <w:lang w:val="sr-Cyrl-CS"/>
        </w:rPr>
        <w:t xml:space="preserve">. </w:t>
      </w:r>
      <w:r w:rsidRPr="00092ED7">
        <w:rPr>
          <w:lang w:val="sr-Cyrl-CS"/>
        </w:rPr>
        <w:t>Привремена мера односи се на дужничке хартије од вредности чији су издаваоци Р</w:t>
      </w:r>
      <w:r w:rsidR="006D2CDD" w:rsidRPr="00092ED7">
        <w:rPr>
          <w:lang w:val="sr-Cyrl-CS"/>
        </w:rPr>
        <w:t xml:space="preserve">епублика </w:t>
      </w:r>
      <w:r w:rsidRPr="00092ED7">
        <w:rPr>
          <w:lang w:val="sr-Cyrl-CS"/>
        </w:rPr>
        <w:t>С</w:t>
      </w:r>
      <w:r w:rsidR="006D2CDD" w:rsidRPr="00092ED7">
        <w:rPr>
          <w:lang w:val="sr-Cyrl-CS"/>
        </w:rPr>
        <w:t>рбија</w:t>
      </w:r>
      <w:r w:rsidRPr="00092ED7">
        <w:rPr>
          <w:lang w:val="sr-Cyrl-CS"/>
        </w:rPr>
        <w:t xml:space="preserve">, аутономна покрајина или </w:t>
      </w:r>
      <w:r w:rsidR="008F53D9" w:rsidRPr="00092ED7">
        <w:rPr>
          <w:lang w:val="sr-Cyrl-CS"/>
        </w:rPr>
        <w:t>ЈЛС</w:t>
      </w:r>
      <w:r w:rsidRPr="00092ED7">
        <w:rPr>
          <w:lang w:val="sr-Cyrl-CS"/>
        </w:rPr>
        <w:t>, а које се вреднују по фер вредности кроз остали резултат у складу с МСФИ 9. Поред омогућавања ублажавања негативних ефеката промене цена хартија од вредности на капитал банака, циљ наведене мере јесте и да подстакне банке да купљене хартије од вредности задрже у својим портфолијима, као и да подстакне нова улагања у наведене хартије од вредности. Привременом мером омогућава се да се, из обрачуна основног акцијског капитала банке, до краја 2022. године искључи 70% нето нереализованих губитака и добитака проистеклих по основу вредновања поменутих дужничких инструмената. Банке ће наведену привремену меру моћи да примењују у периоду од 30. јуна 2022. до 31. децембра 2023. године.</w:t>
      </w:r>
    </w:p>
    <w:bookmarkEnd w:id="22"/>
    <w:p w14:paraId="56FF5C56" w14:textId="4D44DB91" w:rsidR="000679CD" w:rsidRPr="00092ED7" w:rsidRDefault="000679CD" w:rsidP="000679CD">
      <w:pPr>
        <w:spacing w:after="60"/>
        <w:rPr>
          <w:bCs/>
          <w:lang w:val="sr-Cyrl-CS"/>
        </w:rPr>
      </w:pPr>
      <w:r w:rsidRPr="00092ED7">
        <w:rPr>
          <w:lang w:val="sr-Cyrl-CS"/>
        </w:rPr>
        <w:t xml:space="preserve">С обзиром на чињеницу да је у периоду од 1. јануара 2021. године већина банака које послују у Републици Србији значајно повећала цену платних услуга које пружају, и то посебно услуга по основу платних рачуна, у циљу избегавања потенцијалних правних ризика и заштите стандарда грађана, као и очувања постигнуте стабилности финансијског система, у августу 2022. године усвојена је </w:t>
      </w:r>
      <w:r w:rsidRPr="00092ED7">
        <w:rPr>
          <w:b/>
          <w:bCs/>
          <w:i/>
          <w:iCs/>
          <w:lang w:val="sr-Cyrl-CS"/>
        </w:rPr>
        <w:t>Одлука о допуни Одлуке о управљању ризицима банке</w:t>
      </w:r>
      <w:r w:rsidR="00BA5958" w:rsidRPr="00092ED7">
        <w:rPr>
          <w:bCs/>
          <w:lang w:val="sr-Cyrl-CS"/>
        </w:rPr>
        <w:t xml:space="preserve"> </w:t>
      </w:r>
      <w:r w:rsidR="00BA5958" w:rsidRPr="00092ED7">
        <w:rPr>
          <w:iCs/>
          <w:color w:val="000000" w:themeColor="text1"/>
          <w:lang w:val="sr-Cyrl-CS"/>
        </w:rPr>
        <w:t>(„Службени</w:t>
      </w:r>
      <w:r w:rsidR="00BA5958" w:rsidRPr="00092ED7">
        <w:rPr>
          <w:color w:val="000000" w:themeColor="text1"/>
          <w:lang w:val="sr-Cyrl-CS"/>
        </w:rPr>
        <w:t xml:space="preserve"> гласник РС”, </w:t>
      </w:r>
      <w:r w:rsidR="00BA5958" w:rsidRPr="00092ED7">
        <w:rPr>
          <w:bCs/>
          <w:iCs/>
          <w:color w:val="000000" w:themeColor="text1"/>
          <w:lang w:val="sr-Cyrl-CS"/>
        </w:rPr>
        <w:t>број 89</w:t>
      </w:r>
      <w:r w:rsidR="00A26033" w:rsidRPr="00092ED7">
        <w:rPr>
          <w:bCs/>
          <w:iCs/>
          <w:color w:val="000000" w:themeColor="text1"/>
          <w:lang w:val="sr-Cyrl-CS"/>
        </w:rPr>
        <w:t>/</w:t>
      </w:r>
      <w:r w:rsidR="00BA5958" w:rsidRPr="00092ED7">
        <w:rPr>
          <w:bCs/>
          <w:iCs/>
          <w:color w:val="000000" w:themeColor="text1"/>
          <w:lang w:val="sr-Cyrl-CS"/>
        </w:rPr>
        <w:t>22)</w:t>
      </w:r>
      <w:r w:rsidRPr="00092ED7">
        <w:rPr>
          <w:bCs/>
          <w:lang w:val="sr-Cyrl-CS"/>
        </w:rPr>
        <w:t xml:space="preserve"> којом је између осталог као додатни контролни механизам поступања банака, у случају намераваног повећања накнада за пружање платних услуга, као и приликом увођења нових накнада, обезбеђено да Народна банка Србије буде у примереном времену обавештена о планираним изменама тарифника банака, што омогућава и благовремено идентификовање да ли је поступање банака одговарајуће, те предузимање одговарајућих активности.</w:t>
      </w:r>
    </w:p>
    <w:p w14:paraId="1D863D50" w14:textId="6A4F2E8F" w:rsidR="000679CD" w:rsidRPr="00092ED7" w:rsidRDefault="000679CD" w:rsidP="000679CD">
      <w:pPr>
        <w:spacing w:after="60"/>
        <w:rPr>
          <w:lang w:val="sr-Cyrl-CS"/>
        </w:rPr>
      </w:pPr>
      <w:r w:rsidRPr="00092ED7">
        <w:rPr>
          <w:lang w:val="sr-Cyrl-CS"/>
        </w:rPr>
        <w:t xml:space="preserve">У складу са својом устаљеном праксом превентивне и благовремене реакције на све потенцијалне изазове из међународног и домаћег окружења, а полазећи од економске ситуације у којој су се нашли поједини пољопривредни произвођачи, као и стратешког значаја пољопривредне производње за грађане и привреду, Народна банка Србије је у октобру 2022. године усвојила </w:t>
      </w:r>
      <w:r w:rsidRPr="00092ED7">
        <w:rPr>
          <w:b/>
          <w:bCs/>
          <w:i/>
          <w:iCs/>
          <w:lang w:val="sr-Cyrl-CS"/>
        </w:rPr>
        <w:t>Одлуку о привременим мерама за банке у циљу адекватног управљања кредитним ризиком у портфолију пољопривредних кредита у условима отежане пољопривредне производње</w:t>
      </w:r>
      <w:r w:rsidR="00BA5958" w:rsidRPr="00092ED7">
        <w:rPr>
          <w:lang w:val="sr-Cyrl-CS"/>
        </w:rPr>
        <w:t xml:space="preserve"> („Службени гласник РС</w:t>
      </w:r>
      <w:r w:rsidR="00BA5958" w:rsidRPr="00092ED7">
        <w:rPr>
          <w:rFonts w:cs="Times New Roman"/>
          <w:szCs w:val="24"/>
          <w:lang w:val="sr-Cyrl-CS"/>
        </w:rPr>
        <w:t>”, брoj 11</w:t>
      </w:r>
      <w:r w:rsidR="00F63568" w:rsidRPr="00092ED7">
        <w:rPr>
          <w:rFonts w:cs="Times New Roman"/>
          <w:szCs w:val="24"/>
          <w:lang w:val="sr-Cyrl-CS"/>
        </w:rPr>
        <w:t>1</w:t>
      </w:r>
      <w:r w:rsidR="00BA5958" w:rsidRPr="00092ED7">
        <w:rPr>
          <w:rFonts w:cs="Times New Roman"/>
          <w:szCs w:val="24"/>
          <w:lang w:val="sr-Cyrl-CS"/>
        </w:rPr>
        <w:t>/22</w:t>
      </w:r>
      <w:r w:rsidR="00F63568" w:rsidRPr="00092ED7">
        <w:rPr>
          <w:rFonts w:cs="Times New Roman"/>
          <w:szCs w:val="24"/>
          <w:lang w:val="sr-Cyrl-CS"/>
        </w:rPr>
        <w:t xml:space="preserve"> и 5/23</w:t>
      </w:r>
      <w:r w:rsidR="00BA5958" w:rsidRPr="00092ED7">
        <w:rPr>
          <w:rFonts w:cs="Times New Roman"/>
          <w:szCs w:val="24"/>
          <w:lang w:val="sr-Cyrl-CS"/>
        </w:rPr>
        <w:t>).</w:t>
      </w:r>
      <w:r w:rsidR="00BA5958" w:rsidRPr="00092ED7">
        <w:rPr>
          <w:lang w:val="sr-Cyrl-CS"/>
        </w:rPr>
        <w:t xml:space="preserve"> </w:t>
      </w:r>
      <w:r w:rsidRPr="00092ED7">
        <w:rPr>
          <w:lang w:val="sr-Cyrl-CS"/>
        </w:rPr>
        <w:t xml:space="preserve"> Овом одлуком дужницима банке из сегмента пољопривреде (под прописаним условима који се односе на статус потраживања према том дужнику) је омогућен репрограм постојећих обавеза.</w:t>
      </w:r>
    </w:p>
    <w:p w14:paraId="41EAF962" w14:textId="309958F3" w:rsidR="000679CD" w:rsidRPr="00092ED7" w:rsidRDefault="000679CD" w:rsidP="000679CD">
      <w:pPr>
        <w:spacing w:after="60"/>
        <w:rPr>
          <w:lang w:val="sr-Cyrl-CS"/>
        </w:rPr>
      </w:pPr>
      <w:r w:rsidRPr="00092ED7">
        <w:rPr>
          <w:lang w:val="sr-Cyrl-CS"/>
        </w:rPr>
        <w:t xml:space="preserve">Успостављањем </w:t>
      </w:r>
      <w:r w:rsidRPr="00092ED7">
        <w:rPr>
          <w:b/>
          <w:bCs/>
          <w:lang w:val="sr-Cyrl-CS"/>
        </w:rPr>
        <w:t>система за инстант плаћање</w:t>
      </w:r>
      <w:r w:rsidRPr="00092ED7">
        <w:rPr>
          <w:lang w:val="sr-Cyrl-CS"/>
        </w:rPr>
        <w:t xml:space="preserve"> – IPS НБС система, Народна банка Србије је омогућила да се мала плаћања извршавају у реалном времену 24/7/365. Поред развоја инфраструктуре за прихватање инстант плаћања на продајним местима трговаца кроз прихватање на ПОС терминалима, развој мобилних апликација за трговце и развој интернет продајних места, Народна банка Србије је у циљу давања додатне подршке развоју </w:t>
      </w:r>
      <w:r w:rsidRPr="00092ED7">
        <w:rPr>
          <w:i/>
          <w:iCs/>
          <w:lang w:val="sr-Cyrl-CS"/>
        </w:rPr>
        <w:t>e-commerce</w:t>
      </w:r>
      <w:r w:rsidRPr="00092ED7">
        <w:rPr>
          <w:lang w:val="sr-Cyrl-CS"/>
        </w:rPr>
        <w:t xml:space="preserve"> тржишта и даљој популаризацији електронских плаћања у земљи, унапредила услугу инстант плаћања на интернету имплементацијом </w:t>
      </w:r>
      <w:r w:rsidRPr="00092ED7">
        <w:rPr>
          <w:i/>
          <w:iCs/>
          <w:lang w:val="sr-Cyrl-CS"/>
        </w:rPr>
        <w:t>deep-link</w:t>
      </w:r>
      <w:r w:rsidRPr="00092ED7">
        <w:rPr>
          <w:lang w:val="sr-Cyrl-CS"/>
        </w:rPr>
        <w:t xml:space="preserve"> технологије и тако купцима омогућила да цео процес куповине обаве коришћењем само једног уређаја (нпр. мобилног телефона). Oлакшано је и плаћање рачуна великим издаваоцима рачуна, скенирањем НБС IPS QR кода на рачунима/фактурама, без одласка у банку, што се показало нарочито ефикасно у време пандемије. Од септембра 2021. године</w:t>
      </w:r>
      <w:r w:rsidR="00CF168E" w:rsidRPr="00092ED7">
        <w:rPr>
          <w:lang w:val="sr-Cyrl-CS"/>
        </w:rPr>
        <w:t>,</w:t>
      </w:r>
      <w:r w:rsidRPr="00092ED7">
        <w:rPr>
          <w:lang w:val="sr-Cyrl-CS"/>
        </w:rPr>
        <w:t xml:space="preserve"> банкама је омогућено да својим корисницима понуде нову услугу „Пренеси” која омогућава грађанима да само коришћењем броја мобилног телефона примаоца плаћања, новчана средства пошаљу и приме једноставно, брзо, сигурно. Oмогућeнo je и инстант плаћање такси и накнада за услуге које пружају органи јавне управе на порталу еУправе, скенирањем NBS IPS QR кôдa са јединствене уплатнице, чиме је пружен допринос даљој дигитализацији јавне управе и ефикасности пружања јавних услуга.</w:t>
      </w:r>
    </w:p>
    <w:p w14:paraId="6E6DFDD7" w14:textId="25E74CC8" w:rsidR="00527A51" w:rsidRPr="00092ED7" w:rsidRDefault="000679CD" w:rsidP="000679CD">
      <w:pPr>
        <w:spacing w:after="60"/>
        <w:rPr>
          <w:lang w:val="sr-Cyrl-CS"/>
        </w:rPr>
      </w:pPr>
      <w:r w:rsidRPr="00092ED7">
        <w:rPr>
          <w:lang w:val="sr-Cyrl-CS"/>
        </w:rPr>
        <w:t xml:space="preserve">Уз уважавање глобалних трендова, у Републици Србији </w:t>
      </w:r>
      <w:r w:rsidRPr="00092ED7">
        <w:rPr>
          <w:b/>
          <w:bCs/>
          <w:lang w:val="sr-Cyrl-CS"/>
        </w:rPr>
        <w:t>усвојен је Закон о дигиталној имовини</w:t>
      </w:r>
      <w:r w:rsidR="00CF168E" w:rsidRPr="00092ED7">
        <w:rPr>
          <w:lang w:val="sr-Cyrl-CS"/>
        </w:rPr>
        <w:t xml:space="preserve"> („Службени гласник РС</w:t>
      </w:r>
      <w:r w:rsidR="00CF168E" w:rsidRPr="00092ED7">
        <w:rPr>
          <w:rFonts w:cs="Times New Roman"/>
          <w:szCs w:val="24"/>
          <w:lang w:val="sr-Cyrl-CS"/>
        </w:rPr>
        <w:t>”, брoj 153/20),</w:t>
      </w:r>
      <w:r w:rsidRPr="00092ED7">
        <w:rPr>
          <w:lang w:val="sr-Cyrl-CS"/>
        </w:rPr>
        <w:t xml:space="preserve"> којим се детаљно уређује издавање и секундарно трговање дигиталном имовином, укључујући и пословање платформи за трговање виртуелним валутама и њихову замену за новац. Овим законом уређује се пословање лица која обављају послове с дигиталном имовином у Републици Србији, у циљу уређивања материје која до сада није била уређена у нашој земљи, осим у делу спречавања прања новца и финансирања тероризма код пружалаца услуга повезаних с виртуелним валутама. Закон је почео да се примењује 29. јуна 2021. године.</w:t>
      </w:r>
    </w:p>
    <w:p w14:paraId="0CB007C3" w14:textId="380AFCE0" w:rsidR="00C4765D" w:rsidRPr="00092ED7" w:rsidRDefault="00C4765D" w:rsidP="0020125C">
      <w:pPr>
        <w:keepNext/>
        <w:keepLines/>
        <w:spacing w:before="120"/>
        <w:outlineLvl w:val="1"/>
        <w:rPr>
          <w:rFonts w:eastAsia="Calibri" w:cs="Times New Roman"/>
          <w:b/>
          <w:szCs w:val="24"/>
          <w:lang w:val="sr-Cyrl-CS"/>
        </w:rPr>
      </w:pPr>
      <w:bookmarkStart w:id="23" w:name="_Toc124174791"/>
      <w:bookmarkStart w:id="24" w:name="_Toc126218610"/>
      <w:bookmarkEnd w:id="0"/>
      <w:bookmarkEnd w:id="1"/>
      <w:bookmarkEnd w:id="16"/>
      <w:r w:rsidRPr="00092ED7">
        <w:rPr>
          <w:rFonts w:eastAsia="Calibri" w:cs="Times New Roman"/>
          <w:b/>
          <w:szCs w:val="24"/>
          <w:lang w:val="sr-Cyrl-CS"/>
        </w:rPr>
        <w:t>3</w:t>
      </w:r>
      <w:r w:rsidR="009807AD" w:rsidRPr="00092ED7">
        <w:rPr>
          <w:rFonts w:eastAsia="Calibri" w:cs="Times New Roman"/>
          <w:b/>
          <w:szCs w:val="24"/>
          <w:lang w:val="sr-Cyrl-CS"/>
        </w:rPr>
        <w:t>.3</w:t>
      </w:r>
      <w:r w:rsidRPr="00092ED7">
        <w:rPr>
          <w:rFonts w:eastAsia="Calibri" w:cs="Times New Roman"/>
          <w:b/>
          <w:szCs w:val="24"/>
          <w:lang w:val="sr-Cyrl-CS"/>
        </w:rPr>
        <w:t xml:space="preserve">. </w:t>
      </w:r>
      <w:r w:rsidR="0047017C" w:rsidRPr="00092ED7">
        <w:rPr>
          <w:rFonts w:eastAsia="Calibri" w:cs="Times New Roman"/>
          <w:b/>
          <w:szCs w:val="24"/>
          <w:lang w:val="sr-Cyrl-CS"/>
        </w:rPr>
        <w:t>СРЕДЊОРОЧНИ МАКРОЕКОНОМСКИ СЦЕНАРИО</w:t>
      </w:r>
      <w:bookmarkEnd w:id="23"/>
      <w:bookmarkEnd w:id="24"/>
    </w:p>
    <w:p w14:paraId="5826719F" w14:textId="5E4FADEF" w:rsidR="00BD3989" w:rsidRPr="00092ED7" w:rsidRDefault="00BD3989" w:rsidP="00BD3989">
      <w:pPr>
        <w:spacing w:after="60"/>
        <w:rPr>
          <w:rFonts w:eastAsia="Calibri" w:cs="Times New Roman"/>
          <w:bCs/>
          <w:szCs w:val="24"/>
          <w:lang w:val="sr-Cyrl-CS"/>
        </w:rPr>
      </w:pPr>
      <w:r w:rsidRPr="00092ED7">
        <w:rPr>
          <w:rFonts w:eastAsia="Calibri" w:cs="Times New Roman"/>
          <w:bCs/>
          <w:szCs w:val="24"/>
          <w:lang w:val="sr-Cyrl-CS"/>
        </w:rPr>
        <w:t>Према средњорочној макроекономској пројекцији кумулативна стопа раста у периоду 2023–2025. године износиће 10,3% и биће вођена растом домаће тражње, а са опоравком глобалне трговине подржана и благим позитивним доприносом нето извоза. Овај извор раста је детерминисан како перманентним повећањем инвестиција, тако и растом потрошње домаћинстава услед раста животног стандарда становништва. Просечно годишње, српска привреда ће расти по стопи од 3,3%, што је ревизија наниже за 0,9 п.п. у односу на ранија очекивања услед оцењеног утицаја дешавања у међународном окружењу. Повећање реалне потрошње становништва ће пратити раст економске активности и у просеку ће износити 3,0%. Очекује се стабилан раст фиксних инвестиција, мада спорији него што се претходно пројектовало и у просеку ће износити 4,5% годишње. Са активирањем нових производних капацитета и опоравком спољне тражње повећаваће се и обим спољнотрговинске размене. Поред тога, ефектуирање СДИ из претходног периода</w:t>
      </w:r>
      <w:r w:rsidR="00CF168E" w:rsidRPr="00092ED7">
        <w:rPr>
          <w:rFonts w:eastAsia="Calibri" w:cs="Times New Roman"/>
          <w:bCs/>
          <w:szCs w:val="24"/>
          <w:lang w:val="sr-Cyrl-CS"/>
        </w:rPr>
        <w:t>,</w:t>
      </w:r>
      <w:r w:rsidRPr="00092ED7">
        <w:rPr>
          <w:rFonts w:eastAsia="Calibri" w:cs="Times New Roman"/>
          <w:bCs/>
          <w:szCs w:val="24"/>
          <w:lang w:val="sr-Cyrl-CS"/>
        </w:rPr>
        <w:t xml:space="preserve"> допринеће повећању конкуренције и утицати на ефикасност домаћих произвођача, док ће са друге стране</w:t>
      </w:r>
      <w:r w:rsidR="00862CE4" w:rsidRPr="00092ED7">
        <w:rPr>
          <w:rFonts w:eastAsia="Calibri" w:cs="Times New Roman"/>
          <w:bCs/>
          <w:szCs w:val="24"/>
          <w:lang w:val="sr-Cyrl-CS"/>
        </w:rPr>
        <w:t>,</w:t>
      </w:r>
      <w:r w:rsidRPr="00092ED7">
        <w:rPr>
          <w:rFonts w:eastAsia="Calibri" w:cs="Times New Roman"/>
          <w:bCs/>
          <w:szCs w:val="24"/>
          <w:lang w:val="sr-Cyrl-CS"/>
        </w:rPr>
        <w:t xml:space="preserve"> бити активирани нови канали продаје и отворене нове тржишне нише. Извоз ће у просеку годишње расти по стопи од 8,1%, што је брже од очекиваног годишњег раста увоза који ће у просеку износити 6,5%.</w:t>
      </w:r>
    </w:p>
    <w:p w14:paraId="55E1B9ED" w14:textId="77777777" w:rsidR="00BD3989" w:rsidRPr="00092ED7" w:rsidRDefault="00BD3989" w:rsidP="00BD3989">
      <w:pPr>
        <w:spacing w:before="120" w:after="60"/>
        <w:rPr>
          <w:rFonts w:eastAsia="Calibri" w:cs="Times New Roman"/>
          <w:bCs/>
          <w:szCs w:val="24"/>
          <w:lang w:val="sr-Cyrl-CS"/>
        </w:rPr>
      </w:pPr>
      <w:r w:rsidRPr="00092ED7">
        <w:rPr>
          <w:rFonts w:eastAsia="Calibri" w:cs="Times New Roman"/>
          <w:bCs/>
          <w:szCs w:val="24"/>
          <w:lang w:val="sr-Cyrl-CS"/>
        </w:rPr>
        <w:t>Табела 2. Пројекција основних макроекономских показатеља Републике Србије</w:t>
      </w:r>
    </w:p>
    <w:tbl>
      <w:tblPr>
        <w:tblpPr w:leftFromText="180" w:rightFromText="180" w:vertAnchor="text" w:horzAnchor="margin" w:tblpY="79"/>
        <w:tblW w:w="5000" w:type="pct"/>
        <w:tblLook w:val="04A0" w:firstRow="1" w:lastRow="0" w:firstColumn="1" w:lastColumn="0" w:noHBand="0" w:noVBand="1"/>
      </w:tblPr>
      <w:tblGrid>
        <w:gridCol w:w="4300"/>
        <w:gridCol w:w="1179"/>
        <w:gridCol w:w="1179"/>
        <w:gridCol w:w="1179"/>
        <w:gridCol w:w="1179"/>
      </w:tblGrid>
      <w:tr w:rsidR="00BD3989" w:rsidRPr="00092ED7" w14:paraId="644A0A1A" w14:textId="77777777" w:rsidTr="00B94540">
        <w:trPr>
          <w:trHeight w:val="238"/>
        </w:trPr>
        <w:tc>
          <w:tcPr>
            <w:tcW w:w="23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698C8" w14:textId="77777777" w:rsidR="00BD3989" w:rsidRPr="00092ED7" w:rsidRDefault="00BD3989" w:rsidP="00BD3989">
            <w:pPr>
              <w:spacing w:after="0"/>
              <w:rPr>
                <w:rFonts w:eastAsia="Times New Roman" w:cs="Times New Roman"/>
                <w:sz w:val="20"/>
                <w:szCs w:val="20"/>
                <w:lang w:val="sr-Cyrl-CS" w:eastAsia="en-GB"/>
              </w:rPr>
            </w:pP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454008C6"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Процена</w:t>
            </w:r>
          </w:p>
        </w:tc>
        <w:tc>
          <w:tcPr>
            <w:tcW w:w="1962" w:type="pct"/>
            <w:gridSpan w:val="3"/>
            <w:tcBorders>
              <w:top w:val="single" w:sz="4" w:space="0" w:color="auto"/>
              <w:left w:val="nil"/>
              <w:bottom w:val="single" w:sz="4" w:space="0" w:color="auto"/>
              <w:right w:val="single" w:sz="4" w:space="0" w:color="auto"/>
            </w:tcBorders>
            <w:shd w:val="clear" w:color="auto" w:fill="auto"/>
            <w:vAlign w:val="center"/>
            <w:hideMark/>
          </w:tcPr>
          <w:p w14:paraId="449D5EC8"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Пројекција</w:t>
            </w:r>
          </w:p>
        </w:tc>
      </w:tr>
      <w:tr w:rsidR="00BD3989" w:rsidRPr="00092ED7" w14:paraId="5AFAE0F2" w14:textId="77777777" w:rsidTr="00B94540">
        <w:trPr>
          <w:trHeight w:val="238"/>
        </w:trPr>
        <w:tc>
          <w:tcPr>
            <w:tcW w:w="2384" w:type="pct"/>
            <w:vMerge/>
            <w:tcBorders>
              <w:top w:val="single" w:sz="4" w:space="0" w:color="auto"/>
              <w:left w:val="single" w:sz="4" w:space="0" w:color="auto"/>
              <w:bottom w:val="single" w:sz="4" w:space="0" w:color="auto"/>
              <w:right w:val="single" w:sz="4" w:space="0" w:color="auto"/>
            </w:tcBorders>
            <w:vAlign w:val="center"/>
            <w:hideMark/>
          </w:tcPr>
          <w:p w14:paraId="0772736C" w14:textId="77777777" w:rsidR="00BD3989" w:rsidRPr="00092ED7" w:rsidRDefault="00BD3989" w:rsidP="00BD3989">
            <w:pPr>
              <w:spacing w:after="0"/>
              <w:rPr>
                <w:rFonts w:eastAsia="Times New Roman" w:cs="Times New Roman"/>
                <w:sz w:val="20"/>
                <w:szCs w:val="20"/>
                <w:lang w:val="sr-Cyrl-CS" w:eastAsia="en-GB"/>
              </w:rPr>
            </w:pPr>
          </w:p>
        </w:tc>
        <w:tc>
          <w:tcPr>
            <w:tcW w:w="654" w:type="pct"/>
            <w:tcBorders>
              <w:top w:val="nil"/>
              <w:left w:val="nil"/>
              <w:bottom w:val="single" w:sz="4" w:space="0" w:color="auto"/>
              <w:right w:val="single" w:sz="4" w:space="0" w:color="auto"/>
            </w:tcBorders>
            <w:shd w:val="clear" w:color="auto" w:fill="auto"/>
            <w:noWrap/>
            <w:vAlign w:val="center"/>
            <w:hideMark/>
          </w:tcPr>
          <w:p w14:paraId="4CC29FE5" w14:textId="77777777" w:rsidR="00BD3989" w:rsidRPr="00092ED7" w:rsidRDefault="00BD3989" w:rsidP="00BD3989">
            <w:pPr>
              <w:spacing w:after="0"/>
              <w:jc w:val="center"/>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2022</w:t>
            </w:r>
          </w:p>
        </w:tc>
        <w:tc>
          <w:tcPr>
            <w:tcW w:w="654" w:type="pct"/>
            <w:tcBorders>
              <w:top w:val="nil"/>
              <w:left w:val="nil"/>
              <w:bottom w:val="single" w:sz="4" w:space="0" w:color="auto"/>
              <w:right w:val="single" w:sz="4" w:space="0" w:color="auto"/>
            </w:tcBorders>
            <w:shd w:val="clear" w:color="auto" w:fill="auto"/>
            <w:noWrap/>
            <w:vAlign w:val="center"/>
            <w:hideMark/>
          </w:tcPr>
          <w:p w14:paraId="617CEDBB" w14:textId="77777777" w:rsidR="00BD3989" w:rsidRPr="00092ED7" w:rsidRDefault="00BD3989" w:rsidP="00BD3989">
            <w:pPr>
              <w:spacing w:after="0"/>
              <w:jc w:val="center"/>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2023</w:t>
            </w:r>
          </w:p>
        </w:tc>
        <w:tc>
          <w:tcPr>
            <w:tcW w:w="654" w:type="pct"/>
            <w:tcBorders>
              <w:top w:val="nil"/>
              <w:left w:val="nil"/>
              <w:bottom w:val="single" w:sz="4" w:space="0" w:color="auto"/>
              <w:right w:val="single" w:sz="4" w:space="0" w:color="auto"/>
            </w:tcBorders>
            <w:shd w:val="clear" w:color="auto" w:fill="auto"/>
            <w:noWrap/>
            <w:vAlign w:val="center"/>
            <w:hideMark/>
          </w:tcPr>
          <w:p w14:paraId="10B8FB19" w14:textId="77777777" w:rsidR="00BD3989" w:rsidRPr="00092ED7" w:rsidRDefault="00BD3989" w:rsidP="00BD3989">
            <w:pPr>
              <w:spacing w:after="0"/>
              <w:jc w:val="center"/>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2024</w:t>
            </w:r>
          </w:p>
        </w:tc>
        <w:tc>
          <w:tcPr>
            <w:tcW w:w="654" w:type="pct"/>
            <w:tcBorders>
              <w:top w:val="nil"/>
              <w:left w:val="nil"/>
              <w:bottom w:val="single" w:sz="4" w:space="0" w:color="auto"/>
              <w:right w:val="single" w:sz="4" w:space="0" w:color="auto"/>
            </w:tcBorders>
            <w:shd w:val="clear" w:color="auto" w:fill="auto"/>
            <w:noWrap/>
            <w:vAlign w:val="center"/>
            <w:hideMark/>
          </w:tcPr>
          <w:p w14:paraId="2385B198" w14:textId="77777777" w:rsidR="00BD3989" w:rsidRPr="00092ED7" w:rsidRDefault="00BD3989" w:rsidP="00BD3989">
            <w:pPr>
              <w:spacing w:after="0"/>
              <w:jc w:val="center"/>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2025</w:t>
            </w:r>
          </w:p>
        </w:tc>
      </w:tr>
      <w:tr w:rsidR="00BD3989" w:rsidRPr="00092ED7" w14:paraId="6E5C1CAE"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65947DC0" w14:textId="77777777" w:rsidR="00BD3989" w:rsidRPr="00092ED7" w:rsidRDefault="00BD3989" w:rsidP="00BD3989">
            <w:pPr>
              <w:spacing w:after="0"/>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БДП, млрд динара (текуће цене)</w:t>
            </w:r>
          </w:p>
        </w:tc>
        <w:tc>
          <w:tcPr>
            <w:tcW w:w="654" w:type="pct"/>
            <w:tcBorders>
              <w:top w:val="nil"/>
              <w:left w:val="nil"/>
              <w:bottom w:val="single" w:sz="4" w:space="0" w:color="auto"/>
              <w:right w:val="single" w:sz="4" w:space="0" w:color="auto"/>
            </w:tcBorders>
            <w:shd w:val="clear" w:color="auto" w:fill="auto"/>
            <w:noWrap/>
            <w:vAlign w:val="center"/>
          </w:tcPr>
          <w:p w14:paraId="0CA926CA" w14:textId="77777777" w:rsidR="00BD3989" w:rsidRPr="00092ED7" w:rsidRDefault="00BD3989" w:rsidP="00BD3989">
            <w:pPr>
              <w:spacing w:after="0"/>
              <w:jc w:val="center"/>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7.082,5</w:t>
            </w:r>
          </w:p>
        </w:tc>
        <w:tc>
          <w:tcPr>
            <w:tcW w:w="654" w:type="pct"/>
            <w:tcBorders>
              <w:top w:val="nil"/>
              <w:left w:val="nil"/>
              <w:bottom w:val="single" w:sz="4" w:space="0" w:color="auto"/>
              <w:right w:val="single" w:sz="4" w:space="0" w:color="auto"/>
            </w:tcBorders>
            <w:shd w:val="clear" w:color="auto" w:fill="auto"/>
            <w:noWrap/>
            <w:vAlign w:val="center"/>
          </w:tcPr>
          <w:p w14:paraId="5041C669" w14:textId="77777777" w:rsidR="00BD3989" w:rsidRPr="00092ED7" w:rsidRDefault="00BD3989" w:rsidP="00BD3989">
            <w:pPr>
              <w:spacing w:after="0"/>
              <w:jc w:val="center"/>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8.025,1</w:t>
            </w:r>
          </w:p>
        </w:tc>
        <w:tc>
          <w:tcPr>
            <w:tcW w:w="654" w:type="pct"/>
            <w:tcBorders>
              <w:top w:val="nil"/>
              <w:left w:val="nil"/>
              <w:bottom w:val="single" w:sz="4" w:space="0" w:color="auto"/>
              <w:right w:val="single" w:sz="4" w:space="0" w:color="auto"/>
            </w:tcBorders>
            <w:shd w:val="clear" w:color="auto" w:fill="auto"/>
            <w:noWrap/>
            <w:vAlign w:val="center"/>
          </w:tcPr>
          <w:p w14:paraId="06657860" w14:textId="77777777" w:rsidR="00BD3989" w:rsidRPr="00092ED7" w:rsidRDefault="00BD3989" w:rsidP="00BD3989">
            <w:pPr>
              <w:spacing w:after="0"/>
              <w:jc w:val="center"/>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8.776,3</w:t>
            </w:r>
          </w:p>
        </w:tc>
        <w:tc>
          <w:tcPr>
            <w:tcW w:w="654" w:type="pct"/>
            <w:tcBorders>
              <w:top w:val="nil"/>
              <w:left w:val="nil"/>
              <w:bottom w:val="single" w:sz="4" w:space="0" w:color="auto"/>
              <w:right w:val="single" w:sz="4" w:space="0" w:color="auto"/>
            </w:tcBorders>
            <w:shd w:val="clear" w:color="auto" w:fill="auto"/>
            <w:noWrap/>
            <w:vAlign w:val="center"/>
          </w:tcPr>
          <w:p w14:paraId="7DC7A043" w14:textId="77777777" w:rsidR="00BD3989" w:rsidRPr="00092ED7" w:rsidRDefault="00BD3989" w:rsidP="00BD3989">
            <w:pPr>
              <w:spacing w:after="0"/>
              <w:jc w:val="center"/>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9.519,4</w:t>
            </w:r>
          </w:p>
        </w:tc>
      </w:tr>
      <w:tr w:rsidR="00BD3989" w:rsidRPr="00092ED7" w14:paraId="5909A06D"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5EC5203E"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Реални раст БДП, %</w:t>
            </w:r>
          </w:p>
        </w:tc>
        <w:tc>
          <w:tcPr>
            <w:tcW w:w="654" w:type="pct"/>
            <w:tcBorders>
              <w:top w:val="nil"/>
              <w:left w:val="nil"/>
              <w:bottom w:val="single" w:sz="4" w:space="0" w:color="auto"/>
              <w:right w:val="single" w:sz="4" w:space="0" w:color="auto"/>
            </w:tcBorders>
            <w:shd w:val="clear" w:color="auto" w:fill="auto"/>
            <w:noWrap/>
            <w:vAlign w:val="center"/>
          </w:tcPr>
          <w:p w14:paraId="4B72CD0E"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2,5</w:t>
            </w:r>
          </w:p>
        </w:tc>
        <w:tc>
          <w:tcPr>
            <w:tcW w:w="654" w:type="pct"/>
            <w:tcBorders>
              <w:top w:val="nil"/>
              <w:left w:val="nil"/>
              <w:bottom w:val="single" w:sz="4" w:space="0" w:color="auto"/>
              <w:right w:val="single" w:sz="4" w:space="0" w:color="auto"/>
            </w:tcBorders>
            <w:shd w:val="clear" w:color="auto" w:fill="auto"/>
            <w:noWrap/>
            <w:vAlign w:val="center"/>
          </w:tcPr>
          <w:p w14:paraId="0E316675"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2,5</w:t>
            </w:r>
          </w:p>
        </w:tc>
        <w:tc>
          <w:tcPr>
            <w:tcW w:w="654" w:type="pct"/>
            <w:tcBorders>
              <w:top w:val="nil"/>
              <w:left w:val="nil"/>
              <w:bottom w:val="single" w:sz="4" w:space="0" w:color="auto"/>
              <w:right w:val="single" w:sz="4" w:space="0" w:color="auto"/>
            </w:tcBorders>
            <w:shd w:val="clear" w:color="auto" w:fill="auto"/>
            <w:noWrap/>
            <w:vAlign w:val="center"/>
          </w:tcPr>
          <w:p w14:paraId="18345E37"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3,5</w:t>
            </w:r>
          </w:p>
        </w:tc>
        <w:tc>
          <w:tcPr>
            <w:tcW w:w="654" w:type="pct"/>
            <w:tcBorders>
              <w:top w:val="nil"/>
              <w:left w:val="nil"/>
              <w:bottom w:val="single" w:sz="4" w:space="0" w:color="auto"/>
              <w:right w:val="single" w:sz="4" w:space="0" w:color="auto"/>
            </w:tcBorders>
            <w:shd w:val="clear" w:color="auto" w:fill="auto"/>
            <w:noWrap/>
            <w:vAlign w:val="center"/>
          </w:tcPr>
          <w:p w14:paraId="2C0F10F0"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4,0</w:t>
            </w:r>
          </w:p>
        </w:tc>
      </w:tr>
      <w:tr w:rsidR="00BD3989" w:rsidRPr="00092ED7" w14:paraId="149670B2"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615C5C3F"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Дефлатор БДП, %</w:t>
            </w:r>
          </w:p>
        </w:tc>
        <w:tc>
          <w:tcPr>
            <w:tcW w:w="654" w:type="pct"/>
            <w:tcBorders>
              <w:top w:val="nil"/>
              <w:left w:val="nil"/>
              <w:bottom w:val="single" w:sz="4" w:space="0" w:color="auto"/>
              <w:right w:val="single" w:sz="4" w:space="0" w:color="auto"/>
            </w:tcBorders>
            <w:shd w:val="clear" w:color="auto" w:fill="auto"/>
            <w:noWrap/>
            <w:vAlign w:val="center"/>
          </w:tcPr>
          <w:p w14:paraId="2F4BD73F"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10,2</w:t>
            </w:r>
          </w:p>
        </w:tc>
        <w:tc>
          <w:tcPr>
            <w:tcW w:w="654" w:type="pct"/>
            <w:tcBorders>
              <w:top w:val="nil"/>
              <w:left w:val="nil"/>
              <w:bottom w:val="single" w:sz="4" w:space="0" w:color="auto"/>
              <w:right w:val="single" w:sz="4" w:space="0" w:color="auto"/>
            </w:tcBorders>
            <w:shd w:val="clear" w:color="auto" w:fill="auto"/>
            <w:noWrap/>
            <w:vAlign w:val="center"/>
          </w:tcPr>
          <w:p w14:paraId="0B8D571E"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10,6</w:t>
            </w:r>
          </w:p>
        </w:tc>
        <w:tc>
          <w:tcPr>
            <w:tcW w:w="654" w:type="pct"/>
            <w:tcBorders>
              <w:top w:val="nil"/>
              <w:left w:val="nil"/>
              <w:bottom w:val="single" w:sz="4" w:space="0" w:color="auto"/>
              <w:right w:val="single" w:sz="4" w:space="0" w:color="auto"/>
            </w:tcBorders>
            <w:shd w:val="clear" w:color="auto" w:fill="auto"/>
            <w:noWrap/>
            <w:vAlign w:val="center"/>
          </w:tcPr>
          <w:p w14:paraId="4853DB76"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5,6</w:t>
            </w:r>
          </w:p>
        </w:tc>
        <w:tc>
          <w:tcPr>
            <w:tcW w:w="654" w:type="pct"/>
            <w:tcBorders>
              <w:top w:val="nil"/>
              <w:left w:val="nil"/>
              <w:bottom w:val="single" w:sz="4" w:space="0" w:color="auto"/>
              <w:right w:val="single" w:sz="4" w:space="0" w:color="auto"/>
            </w:tcBorders>
            <w:shd w:val="clear" w:color="auto" w:fill="auto"/>
            <w:noWrap/>
            <w:vAlign w:val="center"/>
          </w:tcPr>
          <w:p w14:paraId="5417153C"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4,3</w:t>
            </w:r>
          </w:p>
        </w:tc>
      </w:tr>
      <w:tr w:rsidR="00BD3989" w:rsidRPr="00092ED7" w14:paraId="0AA0BE2E" w14:textId="77777777" w:rsidTr="00B94540">
        <w:trPr>
          <w:trHeight w:val="238"/>
        </w:trPr>
        <w:tc>
          <w:tcPr>
            <w:tcW w:w="2384" w:type="pct"/>
            <w:tcBorders>
              <w:top w:val="single" w:sz="4" w:space="0" w:color="auto"/>
              <w:left w:val="single" w:sz="4" w:space="0" w:color="auto"/>
              <w:bottom w:val="single" w:sz="4" w:space="0" w:color="auto"/>
            </w:tcBorders>
            <w:shd w:val="clear" w:color="auto" w:fill="auto"/>
            <w:noWrap/>
            <w:vAlign w:val="center"/>
            <w:hideMark/>
          </w:tcPr>
          <w:p w14:paraId="6A6E2498" w14:textId="77777777" w:rsidR="00BD3989" w:rsidRPr="00092ED7" w:rsidRDefault="00BD3989" w:rsidP="00BD3989">
            <w:pPr>
              <w:spacing w:after="0"/>
              <w:rPr>
                <w:rFonts w:eastAsia="Times New Roman" w:cs="Times New Roman"/>
                <w:i/>
                <w:iCs/>
                <w:sz w:val="20"/>
                <w:szCs w:val="20"/>
                <w:lang w:val="sr-Cyrl-CS" w:eastAsia="en-GB"/>
              </w:rPr>
            </w:pPr>
            <w:r w:rsidRPr="00092ED7">
              <w:rPr>
                <w:rFonts w:eastAsia="Times New Roman" w:cs="Times New Roman"/>
                <w:i/>
                <w:iCs/>
                <w:sz w:val="20"/>
                <w:szCs w:val="20"/>
                <w:lang w:val="sr-Cyrl-CS" w:eastAsia="en-GB"/>
              </w:rPr>
              <w:t>Реални раст појединих компоненти БДП, %</w:t>
            </w:r>
          </w:p>
        </w:tc>
        <w:tc>
          <w:tcPr>
            <w:tcW w:w="654" w:type="pct"/>
            <w:tcBorders>
              <w:top w:val="single" w:sz="4" w:space="0" w:color="auto"/>
              <w:bottom w:val="single" w:sz="4" w:space="0" w:color="auto"/>
            </w:tcBorders>
            <w:shd w:val="clear" w:color="auto" w:fill="auto"/>
            <w:noWrap/>
            <w:vAlign w:val="center"/>
          </w:tcPr>
          <w:p w14:paraId="1E7EC372" w14:textId="77777777" w:rsidR="00BD3989" w:rsidRPr="00092ED7" w:rsidRDefault="00BD3989" w:rsidP="00BD3989">
            <w:pPr>
              <w:spacing w:after="0"/>
              <w:jc w:val="center"/>
              <w:rPr>
                <w:rFonts w:eastAsia="Times New Roman" w:cs="Times New Roman"/>
                <w:i/>
                <w:iCs/>
                <w:sz w:val="20"/>
                <w:szCs w:val="20"/>
                <w:lang w:val="sr-Cyrl-CS" w:eastAsia="en-GB"/>
              </w:rPr>
            </w:pPr>
          </w:p>
        </w:tc>
        <w:tc>
          <w:tcPr>
            <w:tcW w:w="654" w:type="pct"/>
            <w:tcBorders>
              <w:top w:val="single" w:sz="4" w:space="0" w:color="auto"/>
              <w:bottom w:val="single" w:sz="4" w:space="0" w:color="auto"/>
            </w:tcBorders>
            <w:shd w:val="clear" w:color="auto" w:fill="auto"/>
            <w:noWrap/>
            <w:vAlign w:val="center"/>
          </w:tcPr>
          <w:p w14:paraId="001CB94B" w14:textId="77777777" w:rsidR="00BD3989" w:rsidRPr="00092ED7" w:rsidRDefault="00BD3989" w:rsidP="00BD3989">
            <w:pPr>
              <w:spacing w:after="0"/>
              <w:jc w:val="center"/>
              <w:rPr>
                <w:rFonts w:eastAsia="Times New Roman" w:cs="Times New Roman"/>
                <w:i/>
                <w:iCs/>
                <w:sz w:val="20"/>
                <w:szCs w:val="20"/>
                <w:lang w:val="sr-Cyrl-CS" w:eastAsia="en-GB"/>
              </w:rPr>
            </w:pPr>
          </w:p>
        </w:tc>
        <w:tc>
          <w:tcPr>
            <w:tcW w:w="654" w:type="pct"/>
            <w:tcBorders>
              <w:top w:val="single" w:sz="4" w:space="0" w:color="auto"/>
              <w:bottom w:val="single" w:sz="4" w:space="0" w:color="auto"/>
            </w:tcBorders>
            <w:shd w:val="clear" w:color="auto" w:fill="auto"/>
            <w:noWrap/>
            <w:vAlign w:val="center"/>
          </w:tcPr>
          <w:p w14:paraId="68FD33A8" w14:textId="77777777" w:rsidR="00BD3989" w:rsidRPr="00092ED7" w:rsidRDefault="00BD3989" w:rsidP="00BD3989">
            <w:pPr>
              <w:spacing w:after="0"/>
              <w:jc w:val="center"/>
              <w:rPr>
                <w:rFonts w:eastAsia="Times New Roman" w:cs="Times New Roman"/>
                <w:i/>
                <w:iCs/>
                <w:sz w:val="20"/>
                <w:szCs w:val="20"/>
                <w:lang w:val="sr-Cyrl-CS" w:eastAsia="en-GB"/>
              </w:rPr>
            </w:pPr>
          </w:p>
        </w:tc>
        <w:tc>
          <w:tcPr>
            <w:tcW w:w="654" w:type="pct"/>
            <w:tcBorders>
              <w:top w:val="single" w:sz="4" w:space="0" w:color="auto"/>
              <w:bottom w:val="single" w:sz="4" w:space="0" w:color="auto"/>
              <w:right w:val="single" w:sz="4" w:space="0" w:color="auto"/>
            </w:tcBorders>
            <w:shd w:val="clear" w:color="auto" w:fill="auto"/>
            <w:noWrap/>
            <w:vAlign w:val="center"/>
          </w:tcPr>
          <w:p w14:paraId="54B3A3D3" w14:textId="77777777" w:rsidR="00BD3989" w:rsidRPr="00092ED7" w:rsidRDefault="00BD3989" w:rsidP="00BD3989">
            <w:pPr>
              <w:spacing w:after="0"/>
              <w:jc w:val="center"/>
              <w:rPr>
                <w:rFonts w:eastAsia="Times New Roman" w:cs="Times New Roman"/>
                <w:i/>
                <w:iCs/>
                <w:sz w:val="20"/>
                <w:szCs w:val="20"/>
                <w:lang w:val="sr-Cyrl-CS" w:eastAsia="en-GB"/>
              </w:rPr>
            </w:pPr>
          </w:p>
        </w:tc>
      </w:tr>
      <w:tr w:rsidR="00BD3989" w:rsidRPr="00092ED7" w14:paraId="1473A9D4"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53ACAD19"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 xml:space="preserve">   Лична потрошња</w:t>
            </w:r>
          </w:p>
        </w:tc>
        <w:tc>
          <w:tcPr>
            <w:tcW w:w="654" w:type="pct"/>
            <w:tcBorders>
              <w:top w:val="nil"/>
              <w:left w:val="nil"/>
              <w:bottom w:val="single" w:sz="4" w:space="0" w:color="auto"/>
              <w:right w:val="single" w:sz="4" w:space="0" w:color="auto"/>
            </w:tcBorders>
            <w:shd w:val="clear" w:color="auto" w:fill="auto"/>
            <w:noWrap/>
            <w:vAlign w:val="center"/>
          </w:tcPr>
          <w:p w14:paraId="22796F60"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3,9</w:t>
            </w:r>
          </w:p>
        </w:tc>
        <w:tc>
          <w:tcPr>
            <w:tcW w:w="654" w:type="pct"/>
            <w:tcBorders>
              <w:top w:val="nil"/>
              <w:left w:val="nil"/>
              <w:bottom w:val="single" w:sz="4" w:space="0" w:color="auto"/>
              <w:right w:val="single" w:sz="4" w:space="0" w:color="auto"/>
            </w:tcBorders>
            <w:shd w:val="clear" w:color="auto" w:fill="auto"/>
            <w:noWrap/>
            <w:vAlign w:val="center"/>
          </w:tcPr>
          <w:p w14:paraId="27B280CE"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2,5</w:t>
            </w:r>
          </w:p>
        </w:tc>
        <w:tc>
          <w:tcPr>
            <w:tcW w:w="654" w:type="pct"/>
            <w:tcBorders>
              <w:top w:val="nil"/>
              <w:left w:val="nil"/>
              <w:bottom w:val="single" w:sz="4" w:space="0" w:color="auto"/>
              <w:right w:val="single" w:sz="4" w:space="0" w:color="auto"/>
            </w:tcBorders>
            <w:shd w:val="clear" w:color="auto" w:fill="auto"/>
            <w:noWrap/>
            <w:vAlign w:val="center"/>
          </w:tcPr>
          <w:p w14:paraId="06042AE4"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2,9</w:t>
            </w:r>
          </w:p>
        </w:tc>
        <w:tc>
          <w:tcPr>
            <w:tcW w:w="654" w:type="pct"/>
            <w:tcBorders>
              <w:top w:val="nil"/>
              <w:left w:val="nil"/>
              <w:bottom w:val="single" w:sz="4" w:space="0" w:color="auto"/>
              <w:right w:val="single" w:sz="4" w:space="0" w:color="auto"/>
            </w:tcBorders>
            <w:shd w:val="clear" w:color="auto" w:fill="auto"/>
            <w:noWrap/>
            <w:vAlign w:val="center"/>
          </w:tcPr>
          <w:p w14:paraId="68EE2E50"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3,6</w:t>
            </w:r>
          </w:p>
        </w:tc>
      </w:tr>
      <w:tr w:rsidR="00BD3989" w:rsidRPr="00092ED7" w14:paraId="6AE7164B"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3446D9AC"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 xml:space="preserve">   Државна потрошња</w:t>
            </w:r>
          </w:p>
        </w:tc>
        <w:tc>
          <w:tcPr>
            <w:tcW w:w="654" w:type="pct"/>
            <w:tcBorders>
              <w:top w:val="nil"/>
              <w:left w:val="nil"/>
              <w:bottom w:val="single" w:sz="4" w:space="0" w:color="auto"/>
              <w:right w:val="single" w:sz="4" w:space="0" w:color="auto"/>
            </w:tcBorders>
            <w:shd w:val="clear" w:color="auto" w:fill="auto"/>
            <w:noWrap/>
            <w:vAlign w:val="center"/>
          </w:tcPr>
          <w:p w14:paraId="1D19630B"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0,4</w:t>
            </w:r>
          </w:p>
        </w:tc>
        <w:tc>
          <w:tcPr>
            <w:tcW w:w="654" w:type="pct"/>
            <w:tcBorders>
              <w:top w:val="nil"/>
              <w:left w:val="nil"/>
              <w:bottom w:val="single" w:sz="4" w:space="0" w:color="auto"/>
              <w:right w:val="single" w:sz="4" w:space="0" w:color="auto"/>
            </w:tcBorders>
            <w:shd w:val="clear" w:color="auto" w:fill="auto"/>
            <w:noWrap/>
            <w:vAlign w:val="center"/>
          </w:tcPr>
          <w:p w14:paraId="71F96261"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-2,0</w:t>
            </w:r>
          </w:p>
        </w:tc>
        <w:tc>
          <w:tcPr>
            <w:tcW w:w="654" w:type="pct"/>
            <w:tcBorders>
              <w:top w:val="nil"/>
              <w:left w:val="nil"/>
              <w:bottom w:val="single" w:sz="4" w:space="0" w:color="auto"/>
              <w:right w:val="single" w:sz="4" w:space="0" w:color="auto"/>
            </w:tcBorders>
            <w:shd w:val="clear" w:color="auto" w:fill="auto"/>
            <w:noWrap/>
            <w:vAlign w:val="center"/>
          </w:tcPr>
          <w:p w14:paraId="074004B9"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0,8</w:t>
            </w:r>
          </w:p>
        </w:tc>
        <w:tc>
          <w:tcPr>
            <w:tcW w:w="654" w:type="pct"/>
            <w:tcBorders>
              <w:top w:val="nil"/>
              <w:left w:val="nil"/>
              <w:bottom w:val="single" w:sz="4" w:space="0" w:color="auto"/>
              <w:right w:val="single" w:sz="4" w:space="0" w:color="auto"/>
            </w:tcBorders>
            <w:shd w:val="clear" w:color="auto" w:fill="auto"/>
            <w:noWrap/>
            <w:vAlign w:val="center"/>
          </w:tcPr>
          <w:p w14:paraId="3E01ECD2"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0,8</w:t>
            </w:r>
          </w:p>
        </w:tc>
      </w:tr>
      <w:tr w:rsidR="00BD3989" w:rsidRPr="00092ED7" w14:paraId="4606B574"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3E4F2B90"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 xml:space="preserve">   Бруто инвестиције у основна средства</w:t>
            </w:r>
          </w:p>
        </w:tc>
        <w:tc>
          <w:tcPr>
            <w:tcW w:w="654" w:type="pct"/>
            <w:tcBorders>
              <w:top w:val="nil"/>
              <w:left w:val="nil"/>
              <w:bottom w:val="single" w:sz="4" w:space="0" w:color="auto"/>
              <w:right w:val="single" w:sz="4" w:space="0" w:color="auto"/>
            </w:tcBorders>
            <w:shd w:val="clear" w:color="auto" w:fill="auto"/>
            <w:noWrap/>
            <w:vAlign w:val="center"/>
          </w:tcPr>
          <w:p w14:paraId="7E4717F0"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0,0</w:t>
            </w:r>
          </w:p>
        </w:tc>
        <w:tc>
          <w:tcPr>
            <w:tcW w:w="654" w:type="pct"/>
            <w:tcBorders>
              <w:top w:val="nil"/>
              <w:left w:val="nil"/>
              <w:bottom w:val="single" w:sz="4" w:space="0" w:color="auto"/>
              <w:right w:val="single" w:sz="4" w:space="0" w:color="auto"/>
            </w:tcBorders>
            <w:shd w:val="clear" w:color="auto" w:fill="auto"/>
            <w:noWrap/>
            <w:vAlign w:val="center"/>
          </w:tcPr>
          <w:p w14:paraId="086E5038"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2,4</w:t>
            </w:r>
          </w:p>
        </w:tc>
        <w:tc>
          <w:tcPr>
            <w:tcW w:w="654" w:type="pct"/>
            <w:tcBorders>
              <w:top w:val="nil"/>
              <w:left w:val="nil"/>
              <w:bottom w:val="single" w:sz="4" w:space="0" w:color="auto"/>
              <w:right w:val="single" w:sz="4" w:space="0" w:color="auto"/>
            </w:tcBorders>
            <w:shd w:val="clear" w:color="auto" w:fill="auto"/>
            <w:noWrap/>
            <w:vAlign w:val="center"/>
          </w:tcPr>
          <w:p w14:paraId="0B083BE7"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5,2</w:t>
            </w:r>
          </w:p>
        </w:tc>
        <w:tc>
          <w:tcPr>
            <w:tcW w:w="654" w:type="pct"/>
            <w:tcBorders>
              <w:top w:val="nil"/>
              <w:left w:val="nil"/>
              <w:bottom w:val="single" w:sz="4" w:space="0" w:color="auto"/>
              <w:right w:val="single" w:sz="4" w:space="0" w:color="auto"/>
            </w:tcBorders>
            <w:shd w:val="clear" w:color="auto" w:fill="auto"/>
            <w:noWrap/>
            <w:vAlign w:val="center"/>
          </w:tcPr>
          <w:p w14:paraId="55EED24D"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5,8</w:t>
            </w:r>
          </w:p>
        </w:tc>
      </w:tr>
      <w:tr w:rsidR="00BD3989" w:rsidRPr="00092ED7" w14:paraId="63946518"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0A6C090C"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 xml:space="preserve">   Извоз робе и услуга</w:t>
            </w:r>
          </w:p>
        </w:tc>
        <w:tc>
          <w:tcPr>
            <w:tcW w:w="654" w:type="pct"/>
            <w:tcBorders>
              <w:top w:val="nil"/>
              <w:left w:val="nil"/>
              <w:bottom w:val="single" w:sz="4" w:space="0" w:color="auto"/>
              <w:right w:val="single" w:sz="4" w:space="0" w:color="auto"/>
            </w:tcBorders>
            <w:shd w:val="clear" w:color="auto" w:fill="auto"/>
            <w:noWrap/>
            <w:vAlign w:val="center"/>
          </w:tcPr>
          <w:p w14:paraId="6DA3C608"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12,3</w:t>
            </w:r>
          </w:p>
        </w:tc>
        <w:tc>
          <w:tcPr>
            <w:tcW w:w="654" w:type="pct"/>
            <w:tcBorders>
              <w:top w:val="nil"/>
              <w:left w:val="nil"/>
              <w:bottom w:val="single" w:sz="4" w:space="0" w:color="auto"/>
              <w:right w:val="single" w:sz="4" w:space="0" w:color="auto"/>
            </w:tcBorders>
            <w:shd w:val="clear" w:color="auto" w:fill="auto"/>
            <w:noWrap/>
            <w:vAlign w:val="center"/>
          </w:tcPr>
          <w:p w14:paraId="3EF11558"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4,9</w:t>
            </w:r>
          </w:p>
        </w:tc>
        <w:tc>
          <w:tcPr>
            <w:tcW w:w="654" w:type="pct"/>
            <w:tcBorders>
              <w:top w:val="nil"/>
              <w:left w:val="nil"/>
              <w:bottom w:val="single" w:sz="4" w:space="0" w:color="auto"/>
              <w:right w:val="single" w:sz="4" w:space="0" w:color="auto"/>
            </w:tcBorders>
            <w:shd w:val="clear" w:color="auto" w:fill="auto"/>
            <w:noWrap/>
            <w:vAlign w:val="center"/>
          </w:tcPr>
          <w:p w14:paraId="41CCB54C"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8,8</w:t>
            </w:r>
          </w:p>
        </w:tc>
        <w:tc>
          <w:tcPr>
            <w:tcW w:w="654" w:type="pct"/>
            <w:tcBorders>
              <w:top w:val="nil"/>
              <w:left w:val="nil"/>
              <w:bottom w:val="single" w:sz="4" w:space="0" w:color="auto"/>
              <w:right w:val="single" w:sz="4" w:space="0" w:color="auto"/>
            </w:tcBorders>
            <w:shd w:val="clear" w:color="auto" w:fill="auto"/>
            <w:noWrap/>
            <w:vAlign w:val="center"/>
          </w:tcPr>
          <w:p w14:paraId="655406C3"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10,6</w:t>
            </w:r>
          </w:p>
        </w:tc>
      </w:tr>
      <w:tr w:rsidR="00BD3989" w:rsidRPr="00092ED7" w14:paraId="22325816"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4EF72608"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 xml:space="preserve">   Увоз робе и услуга</w:t>
            </w:r>
          </w:p>
        </w:tc>
        <w:tc>
          <w:tcPr>
            <w:tcW w:w="654" w:type="pct"/>
            <w:tcBorders>
              <w:top w:val="nil"/>
              <w:left w:val="nil"/>
              <w:bottom w:val="single" w:sz="4" w:space="0" w:color="auto"/>
              <w:right w:val="single" w:sz="4" w:space="0" w:color="auto"/>
            </w:tcBorders>
            <w:shd w:val="clear" w:color="auto" w:fill="auto"/>
            <w:noWrap/>
            <w:vAlign w:val="center"/>
          </w:tcPr>
          <w:p w14:paraId="7A7AD25A"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12,8</w:t>
            </w:r>
          </w:p>
        </w:tc>
        <w:tc>
          <w:tcPr>
            <w:tcW w:w="654" w:type="pct"/>
            <w:tcBorders>
              <w:top w:val="nil"/>
              <w:left w:val="nil"/>
              <w:bottom w:val="single" w:sz="4" w:space="0" w:color="auto"/>
              <w:right w:val="single" w:sz="4" w:space="0" w:color="auto"/>
            </w:tcBorders>
            <w:shd w:val="clear" w:color="auto" w:fill="auto"/>
            <w:noWrap/>
            <w:vAlign w:val="center"/>
          </w:tcPr>
          <w:p w14:paraId="54E4B18B"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4,0</w:t>
            </w:r>
          </w:p>
        </w:tc>
        <w:tc>
          <w:tcPr>
            <w:tcW w:w="654" w:type="pct"/>
            <w:tcBorders>
              <w:top w:val="nil"/>
              <w:left w:val="nil"/>
              <w:bottom w:val="single" w:sz="4" w:space="0" w:color="auto"/>
              <w:right w:val="single" w:sz="4" w:space="0" w:color="auto"/>
            </w:tcBorders>
            <w:shd w:val="clear" w:color="auto" w:fill="auto"/>
            <w:noWrap/>
            <w:vAlign w:val="center"/>
          </w:tcPr>
          <w:p w14:paraId="647BFC3B"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6,8</w:t>
            </w:r>
          </w:p>
        </w:tc>
        <w:tc>
          <w:tcPr>
            <w:tcW w:w="654" w:type="pct"/>
            <w:tcBorders>
              <w:top w:val="nil"/>
              <w:left w:val="nil"/>
              <w:bottom w:val="single" w:sz="4" w:space="0" w:color="auto"/>
              <w:right w:val="single" w:sz="4" w:space="0" w:color="auto"/>
            </w:tcBorders>
            <w:shd w:val="clear" w:color="auto" w:fill="auto"/>
            <w:noWrap/>
            <w:vAlign w:val="center"/>
          </w:tcPr>
          <w:p w14:paraId="0388625E"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8,8</w:t>
            </w:r>
          </w:p>
        </w:tc>
      </w:tr>
      <w:tr w:rsidR="00BD3989" w:rsidRPr="00092ED7" w14:paraId="471CA0F0"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vAlign w:val="center"/>
            <w:hideMark/>
          </w:tcPr>
          <w:p w14:paraId="006A16B8"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Салдо робе и услуга, у ЕУР, % БДП</w:t>
            </w:r>
          </w:p>
        </w:tc>
        <w:tc>
          <w:tcPr>
            <w:tcW w:w="654" w:type="pct"/>
            <w:tcBorders>
              <w:top w:val="nil"/>
              <w:left w:val="nil"/>
              <w:bottom w:val="single" w:sz="4" w:space="0" w:color="auto"/>
              <w:right w:val="single" w:sz="4" w:space="0" w:color="auto"/>
            </w:tcBorders>
            <w:shd w:val="clear" w:color="auto" w:fill="auto"/>
            <w:noWrap/>
            <w:vAlign w:val="center"/>
          </w:tcPr>
          <w:p w14:paraId="00F63257"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-12,2</w:t>
            </w:r>
          </w:p>
        </w:tc>
        <w:tc>
          <w:tcPr>
            <w:tcW w:w="654" w:type="pct"/>
            <w:tcBorders>
              <w:top w:val="nil"/>
              <w:left w:val="nil"/>
              <w:bottom w:val="single" w:sz="4" w:space="0" w:color="auto"/>
              <w:right w:val="single" w:sz="4" w:space="0" w:color="auto"/>
            </w:tcBorders>
            <w:shd w:val="clear" w:color="auto" w:fill="auto"/>
            <w:noWrap/>
            <w:vAlign w:val="center"/>
          </w:tcPr>
          <w:p w14:paraId="7FF5EE7F"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-10,9</w:t>
            </w:r>
          </w:p>
        </w:tc>
        <w:tc>
          <w:tcPr>
            <w:tcW w:w="654" w:type="pct"/>
            <w:tcBorders>
              <w:top w:val="nil"/>
              <w:left w:val="nil"/>
              <w:bottom w:val="single" w:sz="4" w:space="0" w:color="auto"/>
              <w:right w:val="single" w:sz="4" w:space="0" w:color="auto"/>
            </w:tcBorders>
            <w:shd w:val="clear" w:color="auto" w:fill="auto"/>
            <w:noWrap/>
            <w:vAlign w:val="center"/>
          </w:tcPr>
          <w:p w14:paraId="18CB8100"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-9,4</w:t>
            </w:r>
          </w:p>
        </w:tc>
        <w:tc>
          <w:tcPr>
            <w:tcW w:w="654" w:type="pct"/>
            <w:tcBorders>
              <w:top w:val="nil"/>
              <w:left w:val="nil"/>
              <w:bottom w:val="single" w:sz="4" w:space="0" w:color="auto"/>
              <w:right w:val="single" w:sz="4" w:space="0" w:color="auto"/>
            </w:tcBorders>
            <w:shd w:val="clear" w:color="auto" w:fill="auto"/>
            <w:noWrap/>
            <w:vAlign w:val="center"/>
          </w:tcPr>
          <w:p w14:paraId="522095B8"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-8,4</w:t>
            </w:r>
          </w:p>
        </w:tc>
      </w:tr>
      <w:tr w:rsidR="00BD3989" w:rsidRPr="00092ED7" w14:paraId="707AF607"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vAlign w:val="center"/>
            <w:hideMark/>
          </w:tcPr>
          <w:p w14:paraId="30570303"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Салдо текућег рачуна, у ЕУР, % БДП</w:t>
            </w:r>
          </w:p>
        </w:tc>
        <w:tc>
          <w:tcPr>
            <w:tcW w:w="654" w:type="pct"/>
            <w:tcBorders>
              <w:top w:val="nil"/>
              <w:left w:val="nil"/>
              <w:bottom w:val="single" w:sz="4" w:space="0" w:color="auto"/>
              <w:right w:val="single" w:sz="4" w:space="0" w:color="auto"/>
            </w:tcBorders>
            <w:shd w:val="clear" w:color="auto" w:fill="auto"/>
            <w:noWrap/>
            <w:vAlign w:val="center"/>
          </w:tcPr>
          <w:p w14:paraId="151B4C2E"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-9,0</w:t>
            </w:r>
          </w:p>
        </w:tc>
        <w:tc>
          <w:tcPr>
            <w:tcW w:w="654" w:type="pct"/>
            <w:tcBorders>
              <w:top w:val="nil"/>
              <w:left w:val="nil"/>
              <w:bottom w:val="single" w:sz="4" w:space="0" w:color="auto"/>
              <w:right w:val="single" w:sz="4" w:space="0" w:color="auto"/>
            </w:tcBorders>
            <w:shd w:val="clear" w:color="auto" w:fill="auto"/>
            <w:noWrap/>
            <w:vAlign w:val="center"/>
          </w:tcPr>
          <w:p w14:paraId="53463C21"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-8,5</w:t>
            </w:r>
          </w:p>
        </w:tc>
        <w:tc>
          <w:tcPr>
            <w:tcW w:w="654" w:type="pct"/>
            <w:tcBorders>
              <w:top w:val="nil"/>
              <w:left w:val="nil"/>
              <w:bottom w:val="single" w:sz="4" w:space="0" w:color="auto"/>
              <w:right w:val="single" w:sz="4" w:space="0" w:color="auto"/>
            </w:tcBorders>
            <w:shd w:val="clear" w:color="auto" w:fill="auto"/>
            <w:noWrap/>
            <w:vAlign w:val="center"/>
          </w:tcPr>
          <w:p w14:paraId="487D9967"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-6,7</w:t>
            </w:r>
          </w:p>
        </w:tc>
        <w:tc>
          <w:tcPr>
            <w:tcW w:w="654" w:type="pct"/>
            <w:tcBorders>
              <w:top w:val="nil"/>
              <w:left w:val="nil"/>
              <w:bottom w:val="single" w:sz="4" w:space="0" w:color="auto"/>
              <w:right w:val="single" w:sz="4" w:space="0" w:color="auto"/>
            </w:tcBorders>
            <w:shd w:val="clear" w:color="auto" w:fill="auto"/>
            <w:noWrap/>
            <w:vAlign w:val="center"/>
          </w:tcPr>
          <w:p w14:paraId="1572CEF9"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-6,0</w:t>
            </w:r>
          </w:p>
        </w:tc>
      </w:tr>
      <w:tr w:rsidR="00BD3989" w:rsidRPr="00092ED7" w14:paraId="7815D1DF"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383D6700"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Инфлација, просек периода, %</w:t>
            </w:r>
          </w:p>
        </w:tc>
        <w:tc>
          <w:tcPr>
            <w:tcW w:w="654" w:type="pct"/>
            <w:tcBorders>
              <w:top w:val="nil"/>
              <w:left w:val="nil"/>
              <w:bottom w:val="single" w:sz="4" w:space="0" w:color="auto"/>
              <w:right w:val="single" w:sz="4" w:space="0" w:color="auto"/>
            </w:tcBorders>
            <w:shd w:val="clear" w:color="auto" w:fill="auto"/>
            <w:noWrap/>
            <w:vAlign w:val="center"/>
          </w:tcPr>
          <w:p w14:paraId="26A5399A" w14:textId="3ED41182" w:rsidR="00BD3989" w:rsidRPr="00092ED7" w:rsidRDefault="00E95AB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12,0</w:t>
            </w:r>
          </w:p>
        </w:tc>
        <w:tc>
          <w:tcPr>
            <w:tcW w:w="654" w:type="pct"/>
            <w:tcBorders>
              <w:top w:val="nil"/>
              <w:left w:val="nil"/>
              <w:bottom w:val="single" w:sz="4" w:space="0" w:color="auto"/>
              <w:right w:val="single" w:sz="4" w:space="0" w:color="auto"/>
            </w:tcBorders>
            <w:shd w:val="clear" w:color="auto" w:fill="auto"/>
            <w:noWrap/>
            <w:vAlign w:val="center"/>
          </w:tcPr>
          <w:p w14:paraId="2B9F912E" w14:textId="68B070E8" w:rsidR="00BD3989" w:rsidRPr="00092ED7" w:rsidRDefault="00E95AB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12,5</w:t>
            </w:r>
          </w:p>
        </w:tc>
        <w:tc>
          <w:tcPr>
            <w:tcW w:w="654" w:type="pct"/>
            <w:tcBorders>
              <w:top w:val="nil"/>
              <w:left w:val="nil"/>
              <w:bottom w:val="single" w:sz="4" w:space="0" w:color="auto"/>
              <w:right w:val="single" w:sz="4" w:space="0" w:color="auto"/>
            </w:tcBorders>
            <w:shd w:val="clear" w:color="auto" w:fill="auto"/>
            <w:noWrap/>
            <w:vAlign w:val="center"/>
          </w:tcPr>
          <w:p w14:paraId="23914916" w14:textId="53E85576" w:rsidR="00BD3989" w:rsidRPr="00092ED7" w:rsidRDefault="00E95AB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5,3</w:t>
            </w:r>
          </w:p>
        </w:tc>
        <w:tc>
          <w:tcPr>
            <w:tcW w:w="654" w:type="pct"/>
            <w:tcBorders>
              <w:top w:val="nil"/>
              <w:left w:val="nil"/>
              <w:bottom w:val="single" w:sz="4" w:space="0" w:color="auto"/>
              <w:right w:val="single" w:sz="4" w:space="0" w:color="auto"/>
            </w:tcBorders>
            <w:shd w:val="clear" w:color="auto" w:fill="auto"/>
            <w:noWrap/>
            <w:vAlign w:val="center"/>
          </w:tcPr>
          <w:p w14:paraId="17AD8D63" w14:textId="13238043" w:rsidR="00BD3989" w:rsidRPr="00092ED7" w:rsidRDefault="00E95AB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3,0</w:t>
            </w:r>
          </w:p>
        </w:tc>
      </w:tr>
    </w:tbl>
    <w:p w14:paraId="78216014" w14:textId="77777777" w:rsidR="00BD3989" w:rsidRPr="00092ED7" w:rsidRDefault="00BD3989" w:rsidP="00BD3989">
      <w:pPr>
        <w:spacing w:before="40"/>
        <w:rPr>
          <w:rFonts w:eastAsia="Calibri" w:cs="Times New Roman"/>
          <w:bCs/>
          <w:sz w:val="18"/>
          <w:szCs w:val="18"/>
          <w:lang w:val="sr-Cyrl-CS"/>
        </w:rPr>
      </w:pPr>
      <w:r w:rsidRPr="00092ED7">
        <w:rPr>
          <w:rFonts w:eastAsia="Calibri" w:cs="Times New Roman"/>
          <w:bCs/>
          <w:sz w:val="18"/>
          <w:szCs w:val="18"/>
          <w:lang w:val="sr-Cyrl-CS"/>
        </w:rPr>
        <w:t>Извор: Министарство финансија</w:t>
      </w:r>
    </w:p>
    <w:p w14:paraId="336FDA13" w14:textId="77777777" w:rsidR="00BD3989" w:rsidRPr="00092ED7" w:rsidRDefault="00BD3989" w:rsidP="00BD3989">
      <w:pPr>
        <w:spacing w:after="60"/>
        <w:rPr>
          <w:rFonts w:eastAsia="Calibri" w:cs="Times New Roman"/>
          <w:bCs/>
          <w:szCs w:val="24"/>
          <w:lang w:val="sr-Cyrl-CS"/>
        </w:rPr>
      </w:pPr>
      <w:r w:rsidRPr="00092ED7">
        <w:rPr>
          <w:rFonts w:eastAsia="Calibri" w:cs="Times New Roman"/>
          <w:bCs/>
          <w:szCs w:val="24"/>
          <w:lang w:val="sr-Cyrl-CS"/>
        </w:rPr>
        <w:t>Посматрано на страни понуде, услужни сектор и индустрија ће задржати улогу доминантних извора раста и повећавати креирану БДВ са просечним годишњим растом од 3,5% и 3,4%, респективно. Позитиван допринос ће доћи и од повећања грађевинске активности који ће у просеку износити 4,0%. Достизање европских стандарда и подизање конкурентности у пољопривреди, смањиће варијабилност производње овог сектора изазвану агрометеоролошким условима.</w:t>
      </w:r>
    </w:p>
    <w:p w14:paraId="650DD9A6" w14:textId="77777777" w:rsidR="00BD3989" w:rsidRPr="00092ED7" w:rsidRDefault="00BD3989" w:rsidP="00BD3989">
      <w:pPr>
        <w:spacing w:before="120" w:after="60"/>
        <w:rPr>
          <w:rFonts w:eastAsia="Calibri" w:cs="Times New Roman"/>
          <w:bCs/>
          <w:szCs w:val="24"/>
          <w:lang w:val="sr-Cyrl-CS"/>
        </w:rPr>
      </w:pPr>
      <w:r w:rsidRPr="00092ED7">
        <w:rPr>
          <w:rFonts w:eastAsia="Calibri" w:cs="Times New Roman"/>
          <w:bCs/>
          <w:szCs w:val="24"/>
          <w:lang w:val="sr-Cyrl-CS"/>
        </w:rPr>
        <w:t>Графикон 1. Доприноси стопи реалног раста БДП, производни и расходни приступ, п.п.</w:t>
      </w:r>
    </w:p>
    <w:p w14:paraId="5F63B1D5" w14:textId="77777777" w:rsidR="00BD3989" w:rsidRPr="00092ED7" w:rsidRDefault="00BD3989" w:rsidP="00BD3989">
      <w:pPr>
        <w:spacing w:after="0"/>
        <w:rPr>
          <w:rFonts w:eastAsia="Calibri" w:cs="Times New Roman"/>
          <w:bCs/>
          <w:szCs w:val="24"/>
          <w:lang w:val="sr-Cyrl-CS"/>
        </w:rPr>
      </w:pPr>
      <w:r w:rsidRPr="00092ED7">
        <w:rPr>
          <w:noProof/>
        </w:rPr>
        <w:drawing>
          <wp:inline distT="0" distB="0" distL="0" distR="0" wp14:anchorId="3432C13E" wp14:editId="1A2C24BE">
            <wp:extent cx="2743200" cy="2165299"/>
            <wp:effectExtent l="0" t="0" r="0" b="6985"/>
            <wp:docPr id="41" name="Chart 41">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092ED7">
        <w:rPr>
          <w:rFonts w:eastAsia="Calibri" w:cs="Times New Roman"/>
          <w:bCs/>
          <w:szCs w:val="24"/>
          <w:lang w:val="sr-Cyrl-CS"/>
        </w:rPr>
        <w:t xml:space="preserve">      </w:t>
      </w:r>
      <w:r w:rsidRPr="00092ED7">
        <w:rPr>
          <w:noProof/>
        </w:rPr>
        <w:drawing>
          <wp:inline distT="0" distB="0" distL="0" distR="0" wp14:anchorId="2A8A4FDC" wp14:editId="172685AA">
            <wp:extent cx="2743200" cy="2129399"/>
            <wp:effectExtent l="0" t="0" r="0" b="4445"/>
            <wp:docPr id="40" name="Chart 4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AA343D" w14:textId="53FC4F7F" w:rsidR="00417530" w:rsidRPr="00092ED7" w:rsidRDefault="00BD3989" w:rsidP="00417530">
      <w:pPr>
        <w:rPr>
          <w:lang w:val="sr-Cyrl-CS"/>
        </w:rPr>
      </w:pPr>
      <w:r w:rsidRPr="00092ED7">
        <w:rPr>
          <w:lang w:val="sr-Cyrl-CS"/>
        </w:rPr>
        <w:t>Влада и овим трогодишњим сценариом остаје посвећена очувању модела привредног раста који се заснива на инвестицијама и извозу, а који је подржан растом приватне потрошње на реалним и здравим изворима. Убрзање свих административних процедура, пореско растерећење привреде са циљем подизања њене конкурентности, потписивање споразума којима се обезбеђује очување постојећих и отварање нових ино тржишта, интензивније и ефикасније извођење инфраструктурних радова, очување енергетске стабилности и реализација пројеката из зелене агенде само су неке од мера које треба да обезбеде здраве фундаменте за раст БДП у условима растућих геополитичких тензија. Дигитална трансформација и изградња дигиталног екосистема остаје стратешка оријентација Владе. Ефикаснији рад државне администрације, скраћивање процедура становништву и привреди са фокусом на дигитализацију убрзаће конвергенцију наше привреде ка развијеним земљама. Нови систем фискализације и измене царинских прописа, смањује учешће сиве економије у укупним привредним токовима обезбеђујући повољан привредни амбијент. Механизам подстицаја СДИ и даље ће имати за циљ њихову секторску и регионалну дисперзију како би биле обезбеђене претпоставке равномерног развоја и пуне искоришћености компаративних предности.</w:t>
      </w:r>
      <w:r w:rsidR="00417530" w:rsidRPr="00092ED7">
        <w:rPr>
          <w:lang w:val="sr-Cyrl-CS"/>
        </w:rPr>
        <w:t xml:space="preserve"> Процењује се да ће следећих пет структурних реформи из ЕРП 2023-2025 посебно допринети привредном расту заснованом на знању и иновацијама</w:t>
      </w:r>
      <w:r w:rsidR="00862CE4" w:rsidRPr="00092ED7">
        <w:rPr>
          <w:lang w:val="sr-Cyrl-CS"/>
        </w:rPr>
        <w:t>, и то:</w:t>
      </w:r>
      <w:r w:rsidR="00417530" w:rsidRPr="00092ED7">
        <w:rPr>
          <w:lang w:val="sr-Cyrl-CS"/>
        </w:rPr>
        <w:t>  3. Квалификације оријентисане према потребама тржишта рада, 14. Успостављање инфраструктуре и окружења за креирање и примену иновативних ИТ решења, 15. Подршка развоју талената и креативних индустрија оснивањем мултифункционалног иновативно-креативног центра Ложионица, 16. Развој стартап екосистема и 17. Стварање услова за развој бионаука и биоекономије кроз изградњу БИО4 Кампуса.</w:t>
      </w:r>
    </w:p>
    <w:p w14:paraId="32A2C54E" w14:textId="77777777" w:rsidR="00BD3989" w:rsidRPr="00092ED7" w:rsidRDefault="00BD3989" w:rsidP="00BD3989">
      <w:pPr>
        <w:spacing w:before="120" w:after="60"/>
        <w:rPr>
          <w:rFonts w:eastAsia="Calibri" w:cs="Times New Roman"/>
          <w:bCs/>
          <w:szCs w:val="24"/>
          <w:lang w:val="sr-Cyrl-CS"/>
        </w:rPr>
      </w:pPr>
      <w:r w:rsidRPr="00092ED7">
        <w:rPr>
          <w:rFonts w:eastAsia="Calibri" w:cs="Times New Roman"/>
          <w:bCs/>
          <w:szCs w:val="24"/>
          <w:lang w:val="sr-Cyrl-CS"/>
        </w:rPr>
        <w:t>Графикон 2. Доприноси фактора производње потенцијалној стопи раста</w:t>
      </w:r>
    </w:p>
    <w:p w14:paraId="2977FD35" w14:textId="77777777" w:rsidR="00BD3989" w:rsidRPr="00092ED7" w:rsidRDefault="00BD3989" w:rsidP="00BD3989">
      <w:pPr>
        <w:spacing w:after="0"/>
        <w:rPr>
          <w:lang w:val="sr-Cyrl-CS"/>
        </w:rPr>
      </w:pPr>
      <w:r w:rsidRPr="00092ED7">
        <w:rPr>
          <w:noProof/>
        </w:rPr>
        <w:drawing>
          <wp:inline distT="0" distB="0" distL="0" distR="0" wp14:anchorId="3BE27CF6" wp14:editId="7AE0B7AA">
            <wp:extent cx="5539105" cy="2637692"/>
            <wp:effectExtent l="0" t="0" r="4445" b="0"/>
            <wp:docPr id="45" name="Chart 45">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3992BF" w14:textId="1182AE14" w:rsidR="00BD3989" w:rsidRPr="00092ED7" w:rsidRDefault="00BD3989" w:rsidP="00BD3989">
      <w:pPr>
        <w:spacing w:before="120" w:after="60"/>
        <w:rPr>
          <w:rFonts w:eastAsia="Calibri" w:cs="Times New Roman"/>
          <w:bCs/>
          <w:szCs w:val="24"/>
          <w:lang w:val="sr-Cyrl-CS"/>
        </w:rPr>
      </w:pPr>
      <w:r w:rsidRPr="00092ED7">
        <w:rPr>
          <w:rFonts w:eastAsia="Calibri" w:cs="Times New Roman"/>
          <w:bCs/>
          <w:szCs w:val="24"/>
          <w:lang w:val="sr-Cyrl-CS"/>
        </w:rPr>
        <w:t>Према централном сценарију, у средњорочном периоду очекује се наставак раста потенцијалног БДП, али споријом динамиком него у претходној пројекцији</w:t>
      </w:r>
      <w:r w:rsidR="00862CE4" w:rsidRPr="00092ED7">
        <w:rPr>
          <w:rFonts w:eastAsia="Calibri" w:cs="Times New Roman"/>
          <w:bCs/>
          <w:szCs w:val="24"/>
          <w:lang w:val="sr-Cyrl-CS"/>
        </w:rPr>
        <w:t>,</w:t>
      </w:r>
      <w:r w:rsidRPr="00092ED7">
        <w:rPr>
          <w:rFonts w:eastAsia="Calibri" w:cs="Times New Roman"/>
          <w:bCs/>
          <w:szCs w:val="24"/>
          <w:lang w:val="sr-Cyrl-CS"/>
        </w:rPr>
        <w:t xml:space="preserve"> као последица фактора из међународног окружења. Потенцијални БДП у периоду </w:t>
      </w:r>
      <w:r w:rsidR="00862CE4" w:rsidRPr="00092ED7">
        <w:rPr>
          <w:rFonts w:eastAsia="Calibri" w:cs="Times New Roman"/>
          <w:bCs/>
          <w:szCs w:val="24"/>
          <w:lang w:val="sr-Cyrl-CS"/>
        </w:rPr>
        <w:t xml:space="preserve">од </w:t>
      </w:r>
      <w:r w:rsidRPr="00092ED7">
        <w:rPr>
          <w:rFonts w:eastAsia="Calibri" w:cs="Times New Roman"/>
          <w:bCs/>
          <w:szCs w:val="24"/>
          <w:lang w:val="sr-Cyrl-CS"/>
        </w:rPr>
        <w:t xml:space="preserve">2023–2025. </w:t>
      </w:r>
      <w:r w:rsidR="00862CE4" w:rsidRPr="00092ED7">
        <w:rPr>
          <w:rFonts w:eastAsia="Calibri" w:cs="Times New Roman"/>
          <w:bCs/>
          <w:szCs w:val="24"/>
          <w:lang w:val="sr-Cyrl-CS"/>
        </w:rPr>
        <w:t xml:space="preserve">године </w:t>
      </w:r>
      <w:r w:rsidRPr="00092ED7">
        <w:rPr>
          <w:rFonts w:eastAsia="Calibri" w:cs="Times New Roman"/>
          <w:bCs/>
          <w:szCs w:val="24"/>
          <w:lang w:val="sr-Cyrl-CS"/>
        </w:rPr>
        <w:t>ће се постепено повећавати по просечној стопи од 3,7%. Реализације капиталних пројеката и наставак започетог инвестиционог циклуса подржани, како стабилним приливом СДИ, тако и домаћим иновативним активностима, обезбедиће све снажнији допринос капитала и факторске продуктивности расту потенцијалног БДП. Дигитализација ће значајно убрзати ове процесе и додатно подићи ефикасност искоришћености расположивих капацитета. Влада ће кроз значајна планирана улагања у енергетску инфраструктуру додатно утицати на подизање потенцијала привреде. Адекватна и синхронизована монетарна политика, даља унапређења финансијског система, подизање кредибилитета и атрактивности код инвеститора, трансфер знања и технологија из најразвијенијих земаља треба да обезбеде позитиван утицај на оба фактора производње. Са друге стране, јачање владавине закона, реформа законодавства из области привреде и пословања, убрзање процедура и подизање ефикасности администрације треба да обезбеде максимизацију факторске продуктивности у средњем року. Повољна кретања на тржишту рада ће такође допринети расту потенцијалног БДП.</w:t>
      </w:r>
    </w:p>
    <w:p w14:paraId="6ABFA7F0" w14:textId="50F5A526" w:rsidR="00BD3989" w:rsidRPr="00092ED7" w:rsidRDefault="00BD3989" w:rsidP="00BD3989">
      <w:pPr>
        <w:spacing w:after="60"/>
        <w:rPr>
          <w:lang w:val="sr-Cyrl-CS"/>
        </w:rPr>
      </w:pPr>
      <w:r w:rsidRPr="00092ED7">
        <w:rPr>
          <w:b/>
          <w:lang w:val="sr-Cyrl-CS"/>
        </w:rPr>
        <w:t>Тржиште рада.</w:t>
      </w:r>
      <w:r w:rsidRPr="00092ED7">
        <w:rPr>
          <w:lang w:val="sr-Cyrl-CS"/>
        </w:rPr>
        <w:t xml:space="preserve"> Очекује се да ће тржиште рада задржати позитивну трајекторију развоја, али по споријој динамици, пре свега услед слабијег раста привредне активности, а као последица великих неизвесности због сукоба у Украјини. Поред наведеног, позитивна очекивања су резултат континуираног рада на побољшању услова рада, унапређивању институција тржишта рада, подстицању запошљавања и укључивања на тржиште рада теже запошљивих лица, као и подршке регионалној и локалној политици запошљавања. Такође, континуирано се ради на унапређивању радне снаге у погледу квалитета, као и на улагању у људски капитал, све у циљу лакшег општег запошљавања, а нарочито у оном делу привреде који има већу додату вредност. Досадашњу успешност ових мера потврђују подаци о порасту броја запослених у периоду од 2014. до 2021. године у сектору ИКТ за 31.112 и научно-техничким делатностима за 26.389 лица. Наставиће се са политикама које имају за циљ смањивање броја запослених у сивој зони и њихово превођење у контингент формално запослених, чиме би њихови услови рада били побољшани, а позитиван ефекат би се одразио и на приходе буџета. У средњорочном периоду очекују се позитивни резултати активних мера обука, преквалификација и подршке социјалном предузетништву, чиме ће се олакшати доступност радних места социјално рањивим категоријама друштва и тиме додатно обезбедити инклузивност привредног раста. Такође, планирано је повећање обухвата образовања базирано на дуалном моделу. Узимајући у обзир све наведено у средњем року се пројектује смањивање стопе незапослености и раст зарада, али под утицајем тренутних геополитичких неизвесности изазваних кризом у Украјини, очекује се да то буде по успоренијој динамици. Ради економске одрживости, раст зарада треба да буде заснован на расту продуктивности. Раст зарада у наредном периоду биће подржан повећањ</w:t>
      </w:r>
      <w:r w:rsidR="00074E1B" w:rsidRPr="00092ED7">
        <w:rPr>
          <w:lang w:val="sr-Cyrl-CS"/>
        </w:rPr>
        <w:t xml:space="preserve">ем </w:t>
      </w:r>
      <w:r w:rsidRPr="00092ED7">
        <w:rPr>
          <w:lang w:val="sr-Cyrl-CS"/>
        </w:rPr>
        <w:t>минималне цене рада у 2023. години за 14,3%, као и најављеним повећањем зарада у јавном сектору од 12,5%.</w:t>
      </w:r>
    </w:p>
    <w:p w14:paraId="559A9A72" w14:textId="77777777" w:rsidR="00BD3989" w:rsidRPr="00092ED7" w:rsidRDefault="00BD3989" w:rsidP="00BD3989">
      <w:pPr>
        <w:spacing w:before="120"/>
        <w:rPr>
          <w:b/>
          <w:lang w:val="sr-Cyrl-CS"/>
        </w:rPr>
      </w:pPr>
      <w:r w:rsidRPr="00092ED7">
        <w:rPr>
          <w:b/>
          <w:lang w:val="sr-Cyrl-CS"/>
        </w:rPr>
        <w:t>Монетарна политика, политика девизног курса и инфлација</w:t>
      </w:r>
    </w:p>
    <w:p w14:paraId="2723F5B6" w14:textId="5402A889" w:rsidR="00BD3989" w:rsidRPr="00092ED7" w:rsidRDefault="00BD3989" w:rsidP="00BD3989">
      <w:pPr>
        <w:spacing w:after="60"/>
        <w:rPr>
          <w:lang w:val="sr-Cyrl-CS"/>
        </w:rPr>
      </w:pPr>
      <w:r w:rsidRPr="00092ED7">
        <w:rPr>
          <w:lang w:val="sr-Cyrl-CS"/>
        </w:rPr>
        <w:t xml:space="preserve">Народна банка Србије од 2009. године примењује </w:t>
      </w:r>
      <w:r w:rsidRPr="00092ED7">
        <w:rPr>
          <w:b/>
          <w:bCs/>
          <w:i/>
          <w:iCs/>
          <w:lang w:val="sr-Cyrl-CS"/>
        </w:rPr>
        <w:t>режим циљања инфлације</w:t>
      </w:r>
      <w:r w:rsidRPr="00092ED7">
        <w:rPr>
          <w:lang w:val="sr-Cyrl-CS"/>
        </w:rPr>
        <w:t xml:space="preserve"> као монетарну стратегију. Захваљујући постигнутој ценовној стабилности, усидрености инфлационих очекивања и знатном поправљању макроекономских показатеља и изгледа </w:t>
      </w:r>
      <w:r w:rsidR="00862CE4" w:rsidRPr="00092ED7">
        <w:rPr>
          <w:lang w:val="sr-Cyrl-CS"/>
        </w:rPr>
        <w:t xml:space="preserve">Републике </w:t>
      </w:r>
      <w:r w:rsidRPr="00092ED7">
        <w:rPr>
          <w:lang w:val="sr-Cyrl-CS"/>
        </w:rPr>
        <w:t xml:space="preserve">Србије за наредни период, а пре свега одрживом смањењу спољне и унутрашње неравнотеже, циљана стопа инфлације је снижена од 2017. године </w:t>
      </w:r>
      <w:r w:rsidRPr="00092ED7">
        <w:rPr>
          <w:b/>
          <w:lang w:val="sr-Cyrl-CS"/>
        </w:rPr>
        <w:t xml:space="preserve">на ниво од 3%±1,5 п.п. и на том нивоу је утврђена до краја </w:t>
      </w:r>
      <w:r w:rsidRPr="00092ED7">
        <w:rPr>
          <w:b/>
          <w:color w:val="000000" w:themeColor="text1"/>
          <w:lang w:val="sr-Cyrl-CS"/>
        </w:rPr>
        <w:t>202</w:t>
      </w:r>
      <w:r w:rsidR="000B1ABF" w:rsidRPr="00092ED7">
        <w:rPr>
          <w:b/>
          <w:color w:val="000000" w:themeColor="text1"/>
          <w:lang w:val="sr-Cyrl-CS"/>
        </w:rPr>
        <w:t>5</w:t>
      </w:r>
      <w:r w:rsidRPr="00092ED7">
        <w:rPr>
          <w:b/>
          <w:color w:val="000000" w:themeColor="text1"/>
          <w:lang w:val="sr-Cyrl-CS"/>
        </w:rPr>
        <w:t>.</w:t>
      </w:r>
      <w:r w:rsidRPr="00092ED7">
        <w:rPr>
          <w:b/>
          <w:color w:val="FF0000"/>
          <w:lang w:val="sr-Cyrl-CS"/>
        </w:rPr>
        <w:t xml:space="preserve"> </w:t>
      </w:r>
      <w:r w:rsidRPr="00092ED7">
        <w:rPr>
          <w:b/>
          <w:lang w:val="sr-Cyrl-CS"/>
        </w:rPr>
        <w:t>године</w:t>
      </w:r>
      <w:r w:rsidRPr="00092ED7">
        <w:rPr>
          <w:lang w:val="sr-Cyrl-CS"/>
        </w:rPr>
        <w:t>. Тиме је потврђена одлучност Народне банке Србије и Владе да предузимају мере како би инфлација у средњем року остала ниска, стабилна и предвидива.</w:t>
      </w:r>
    </w:p>
    <w:p w14:paraId="299608FB" w14:textId="77777777" w:rsidR="00BD3989" w:rsidRPr="00092ED7" w:rsidRDefault="00BD3989" w:rsidP="00BD3989">
      <w:pPr>
        <w:spacing w:after="60"/>
        <w:rPr>
          <w:lang w:val="sr-Cyrl-CS"/>
        </w:rPr>
      </w:pPr>
      <w:r w:rsidRPr="00092ED7">
        <w:rPr>
          <w:lang w:val="sr-Cyrl-CS"/>
        </w:rPr>
        <w:t>Основни инструмент за постизање инфлационог циља јесте каматна стопа која се примењује у једнонедељним реверзним репо операцијама, док остали инструменти монетарне политике (кредитне и депозитне олакшице, обавезна резерва и интервенције на девизном тржишту) имају помоћну улогу.</w:t>
      </w:r>
    </w:p>
    <w:p w14:paraId="7BE3520F" w14:textId="2E37EFE6" w:rsidR="00BD3989" w:rsidRPr="00092ED7" w:rsidRDefault="00BD3989" w:rsidP="00BD3989">
      <w:pPr>
        <w:spacing w:after="60"/>
        <w:rPr>
          <w:lang w:val="sr-Cyrl-CS"/>
        </w:rPr>
      </w:pPr>
      <w:r w:rsidRPr="00092ED7">
        <w:rPr>
          <w:lang w:val="sr-Cyrl-CS"/>
        </w:rPr>
        <w:t xml:space="preserve">Политика обавезних резерви формулисана је тако да се диференцијацијом стопе обавезне резерве, у зависности од валуте обавеза и рочности, стимулишу динарски и дугорочнији извори финансирања банака. За динарске изворе средстава уговорене рочности до две године она тренутно износи 5%, а за изворе рочности преко </w:t>
      </w:r>
      <w:r w:rsidR="00332563" w:rsidRPr="00092ED7">
        <w:rPr>
          <w:lang w:val="sr-Cyrl-CS"/>
        </w:rPr>
        <w:t>две</w:t>
      </w:r>
      <w:r w:rsidRPr="00092ED7">
        <w:rPr>
          <w:lang w:val="sr-Cyrl-CS"/>
        </w:rPr>
        <w:t xml:space="preserve"> године 0%. </w:t>
      </w:r>
      <w:r w:rsidRPr="00092ED7">
        <w:rPr>
          <w:color w:val="000000" w:themeColor="text1"/>
          <w:lang w:val="sr-Cyrl-CS"/>
        </w:rPr>
        <w:t>Стопа обавезне резерве за девизне изворе банака за уговорену рочност од две године утврђена је на нивоу од 20%, а за рочности преко две године износи 13%.</w:t>
      </w:r>
    </w:p>
    <w:p w14:paraId="5ACFF139" w14:textId="77777777" w:rsidR="00BD3989" w:rsidRPr="00092ED7" w:rsidRDefault="00BD3989" w:rsidP="00BD3989">
      <w:pPr>
        <w:spacing w:after="60"/>
        <w:rPr>
          <w:lang w:val="sr-Cyrl-CS"/>
        </w:rPr>
      </w:pPr>
      <w:r w:rsidRPr="00092ED7">
        <w:rPr>
          <w:lang w:val="sr-Cyrl-CS"/>
        </w:rPr>
        <w:t xml:space="preserve">У складу са изабраном монетарном стратегијом, Народна банка Србије </w:t>
      </w:r>
      <w:r w:rsidRPr="00092ED7">
        <w:rPr>
          <w:b/>
          <w:bCs/>
          <w:lang w:val="sr-Cyrl-CS"/>
        </w:rPr>
        <w:t>наставиће да спроводи режим руковођено пливајућег девизног курса</w:t>
      </w:r>
      <w:r w:rsidRPr="00092ED7">
        <w:rPr>
          <w:lang w:val="sr-Cyrl-CS"/>
        </w:rPr>
        <w:t>. Интервенције на девизном тржишту спроводиће ради ублажавања прекомерних краткорочних осцилација курса динара према евру, очувања стабилности цена и финансијског система и одржавања адекватног нивоа девизних резерви.</w:t>
      </w:r>
    </w:p>
    <w:p w14:paraId="76660792" w14:textId="7265061B" w:rsidR="00BD3989" w:rsidRPr="00092ED7" w:rsidRDefault="00BD3989" w:rsidP="00BD3989">
      <w:pPr>
        <w:spacing w:after="60"/>
        <w:rPr>
          <w:lang w:val="sr-Cyrl-CS"/>
        </w:rPr>
      </w:pPr>
      <w:r w:rsidRPr="00092ED7">
        <w:rPr>
          <w:lang w:val="sr-Cyrl-CS"/>
        </w:rPr>
        <w:t xml:space="preserve">У условима повишених инфлаторних притисака, углавном због деловања фактора понуде из међународног окружења, у октобру 2021. </w:t>
      </w:r>
      <w:r w:rsidR="00862CE4" w:rsidRPr="00092ED7">
        <w:rPr>
          <w:lang w:val="sr-Cyrl-CS"/>
        </w:rPr>
        <w:t xml:space="preserve">године </w:t>
      </w:r>
      <w:r w:rsidRPr="00092ED7">
        <w:rPr>
          <w:lang w:val="sr-Cyrl-CS"/>
        </w:rPr>
        <w:t xml:space="preserve">започет је процес заоштравања монетарних услова. Од октобра до априла 2022. </w:t>
      </w:r>
      <w:r w:rsidR="00862CE4" w:rsidRPr="00092ED7">
        <w:rPr>
          <w:lang w:val="sr-Cyrl-CS"/>
        </w:rPr>
        <w:t xml:space="preserve">године </w:t>
      </w:r>
      <w:r w:rsidRPr="00092ED7">
        <w:rPr>
          <w:lang w:val="sr-Cyrl-CS"/>
        </w:rPr>
        <w:t>Народна банка Србије је пооштравала монетарне услове повећањем просечне пондерисане репо стопе на једнонедељним реверзним репо аукцијама</w:t>
      </w:r>
      <w:r w:rsidR="00862CE4" w:rsidRPr="00092ED7">
        <w:rPr>
          <w:lang w:val="sr-Cyrl-CS"/>
        </w:rPr>
        <w:t>,</w:t>
      </w:r>
      <w:r w:rsidRPr="00092ED7">
        <w:rPr>
          <w:lang w:val="sr-Cyrl-CS"/>
        </w:rPr>
        <w:t xml:space="preserve"> којима се повлачи вишак динарске ликвидности из банкарског система и до априла </w:t>
      </w:r>
      <w:r w:rsidR="00862CE4" w:rsidRPr="00092ED7">
        <w:rPr>
          <w:lang w:val="sr-Cyrl-CS"/>
        </w:rPr>
        <w:t>2022. године</w:t>
      </w:r>
      <w:r w:rsidRPr="00092ED7">
        <w:rPr>
          <w:lang w:val="sr-Cyrl-CS"/>
        </w:rPr>
        <w:t xml:space="preserve"> та стопа је повећана за 84 б.п. С обзиром да се просечна пондерисана репо стопа готово изједначила с референтном каматном стопом, у априлу је започет циклус повећања референтне каматне стопе, која је закључно са </w:t>
      </w:r>
      <w:r w:rsidR="001561CC" w:rsidRPr="00092ED7">
        <w:rPr>
          <w:lang w:val="sr-Cyrl-CS"/>
        </w:rPr>
        <w:t xml:space="preserve">децембром 2022. године </w:t>
      </w:r>
      <w:r w:rsidRPr="00092ED7">
        <w:rPr>
          <w:lang w:val="sr-Cyrl-CS"/>
        </w:rPr>
        <w:t xml:space="preserve">повећана за </w:t>
      </w:r>
      <w:r w:rsidR="001561CC" w:rsidRPr="00092ED7">
        <w:rPr>
          <w:lang w:val="sr-Cyrl-CS"/>
        </w:rPr>
        <w:t xml:space="preserve">400 </w:t>
      </w:r>
      <w:r w:rsidRPr="00092ED7">
        <w:rPr>
          <w:lang w:val="sr-Cyrl-CS"/>
        </w:rPr>
        <w:t>б.п., на 5%.</w:t>
      </w:r>
    </w:p>
    <w:p w14:paraId="433D7382" w14:textId="1BA442B4" w:rsidR="00BD3989" w:rsidRPr="00092ED7" w:rsidRDefault="00BD3989" w:rsidP="00BD3989">
      <w:pPr>
        <w:spacing w:after="60"/>
        <w:rPr>
          <w:color w:val="000000" w:themeColor="text1"/>
          <w:lang w:val="sr-Cyrl-CS"/>
        </w:rPr>
      </w:pPr>
      <w:r w:rsidRPr="00092ED7">
        <w:rPr>
          <w:color w:val="000000" w:themeColor="text1"/>
          <w:lang w:val="sr-Cyrl-CS"/>
        </w:rPr>
        <w:t xml:space="preserve">Повећања референтне каматне стопе у посматраном периоду одговор су Народне банке Србије на веће и постојаније трошковне притиске, него што се очекивало, пре свега из међународног окружења, посебно након избијања кризе у Украјини, као и на раст увозне инфлације. Циљ заоштравања монетарних услова је да се ограниче секундарни ефекти раста цена хране и енергената на остале цене преко инфлационих очекивања, као и да се спречи да додатни инфлаторни притисци дођу од фактора на страни тражње. Тиме Народна банка Србије настоји да обезбеди </w:t>
      </w:r>
      <w:r w:rsidR="00417530" w:rsidRPr="00092ED7">
        <w:rPr>
          <w:color w:val="000000" w:themeColor="text1"/>
          <w:lang w:val="sr-Cyrl-CS"/>
        </w:rPr>
        <w:t xml:space="preserve">да </w:t>
      </w:r>
      <w:r w:rsidRPr="00092ED7">
        <w:rPr>
          <w:color w:val="000000" w:themeColor="text1"/>
          <w:lang w:val="sr-Cyrl-CS"/>
        </w:rPr>
        <w:t xml:space="preserve">се инфлација у </w:t>
      </w:r>
      <w:r w:rsidR="00862CE4" w:rsidRPr="00092ED7">
        <w:rPr>
          <w:color w:val="000000" w:themeColor="text1"/>
          <w:lang w:val="sr-Cyrl-CS"/>
        </w:rPr>
        <w:t xml:space="preserve">Републици </w:t>
      </w:r>
      <w:r w:rsidRPr="00092ED7">
        <w:rPr>
          <w:color w:val="000000" w:themeColor="text1"/>
          <w:lang w:val="sr-Cyrl-CS"/>
        </w:rPr>
        <w:t>Србији нађе на опадајућој путањи и да се врати у границе дозвољеног одступања од циља до краја периода пројекције. Истовремено, ограничавању ефеката преливања раста увозних цена на домаће цене, као и макроекономској стабилности у условима повећане глобалне неизвесности, Народна банка Србије доприноси у знатној мери и одржавањем релативне стабилности курса динара према евру.</w:t>
      </w:r>
    </w:p>
    <w:p w14:paraId="27852BA7" w14:textId="0EBCDFBD" w:rsidR="00BD3989" w:rsidRPr="00092ED7" w:rsidRDefault="00BD3989" w:rsidP="00BD3989">
      <w:pPr>
        <w:spacing w:after="60"/>
        <w:rPr>
          <w:lang w:val="sr-Cyrl-CS"/>
        </w:rPr>
      </w:pPr>
      <w:r w:rsidRPr="00092ED7">
        <w:rPr>
          <w:b/>
          <w:lang w:val="sr-Cyrl-CS"/>
        </w:rPr>
        <w:t xml:space="preserve">Средњорочна пројекција инфлације. </w:t>
      </w:r>
      <w:r w:rsidRPr="00092ED7">
        <w:rPr>
          <w:lang w:val="sr-Cyrl-CS"/>
        </w:rPr>
        <w:t xml:space="preserve">Према новембарској пројекцији Народне банке Србије, </w:t>
      </w:r>
      <w:r w:rsidR="00332563" w:rsidRPr="00092ED7">
        <w:rPr>
          <w:lang w:val="sr-Cyrl-CS"/>
        </w:rPr>
        <w:t xml:space="preserve">међугодишња инфлација ће наставити благо да расте почетком 2023. године, услед корекције цена електричне енергије и гаса за домаћинства у јануару, </w:t>
      </w:r>
      <w:r w:rsidRPr="00092ED7">
        <w:rPr>
          <w:lang w:val="sr-Cyrl-CS"/>
        </w:rPr>
        <w:t>након чега би требало да се нађе на силазној путањи. Снажнији пад инфлације очекујемо у другој половини 2023. години, док би у границе циљаног распона требало да се врати (3 ± 1,5%) у другој половини 2024.</w:t>
      </w:r>
      <w:r w:rsidR="00862CE4" w:rsidRPr="00092ED7">
        <w:rPr>
          <w:lang w:val="sr-Cyrl-CS"/>
        </w:rPr>
        <w:t xml:space="preserve"> године.</w:t>
      </w:r>
      <w:r w:rsidRPr="00092ED7">
        <w:rPr>
          <w:lang w:val="sr-Cyrl-CS"/>
        </w:rPr>
        <w:t xml:space="preserve"> Трошковни притисци из међународног окружења, пре свега цене енергената, наставиће да се преносе на потрошач</w:t>
      </w:r>
      <w:r w:rsidR="00332563" w:rsidRPr="00092ED7">
        <w:rPr>
          <w:lang w:val="sr-Cyrl-CS"/>
        </w:rPr>
        <w:t>к</w:t>
      </w:r>
      <w:r w:rsidRPr="00092ED7">
        <w:rPr>
          <w:lang w:val="sr-Cyrl-CS"/>
        </w:rPr>
        <w:t xml:space="preserve">е цене још неко време, али би на пад инфлације требало да утиче слабљење ефекaта глобалних трошковних притисака и завршетак преноса на малопродајне цене, претпостављени пад светских цена примарних производа, опадање увозне инфлације, као и слабија агрегатна тражња и рестриктивнији монетарни услови. Паду инфлације у току 2023. </w:t>
      </w:r>
      <w:r w:rsidR="00862CE4" w:rsidRPr="00092ED7">
        <w:rPr>
          <w:lang w:val="sr-Cyrl-CS"/>
        </w:rPr>
        <w:t xml:space="preserve">године </w:t>
      </w:r>
      <w:r w:rsidRPr="00092ED7">
        <w:rPr>
          <w:lang w:val="sr-Cyrl-CS"/>
        </w:rPr>
        <w:t>требало би да допринесе и долазак нове пољопривредне сезоне, под претпоставком да она буде повољнија од овогодишње. У супротном смеру деловаће очекивано повећање регулисаних цена.</w:t>
      </w:r>
    </w:p>
    <w:p w14:paraId="3AE86EF3" w14:textId="7EE00D67" w:rsidR="00BD3989" w:rsidRPr="00092ED7" w:rsidRDefault="00BD3989" w:rsidP="00BD3989">
      <w:pPr>
        <w:spacing w:after="60"/>
        <w:rPr>
          <w:lang w:val="sr-Cyrl-CS"/>
        </w:rPr>
      </w:pPr>
      <w:r w:rsidRPr="00092ED7">
        <w:rPr>
          <w:lang w:val="sr-Cyrl-CS"/>
        </w:rPr>
        <w:t>Агрегатна тражња почела је да успорава у Т3 2022.</w:t>
      </w:r>
      <w:r w:rsidR="00862CE4" w:rsidRPr="00092ED7">
        <w:rPr>
          <w:lang w:val="sr-Cyrl-CS"/>
        </w:rPr>
        <w:t xml:space="preserve"> године</w:t>
      </w:r>
      <w:r w:rsidRPr="00092ED7">
        <w:rPr>
          <w:lang w:val="sr-Cyrl-CS"/>
        </w:rPr>
        <w:t xml:space="preserve"> под утицајем фактора из међународног окружења – успоравања економске активности најважнијих трговинских партнера </w:t>
      </w:r>
      <w:r w:rsidR="00862CE4" w:rsidRPr="00092ED7">
        <w:rPr>
          <w:lang w:val="sr-Cyrl-CS"/>
        </w:rPr>
        <w:t xml:space="preserve">Републике </w:t>
      </w:r>
      <w:r w:rsidRPr="00092ED7">
        <w:rPr>
          <w:lang w:val="sr-Cyrl-CS"/>
        </w:rPr>
        <w:t xml:space="preserve">Србије и затезања финансијских услова у зони евра – али и рестриктивнијих монетарних услова у </w:t>
      </w:r>
      <w:r w:rsidR="00AB0A2B" w:rsidRPr="00092ED7">
        <w:rPr>
          <w:lang w:val="sr-Cyrl-CS"/>
        </w:rPr>
        <w:t xml:space="preserve">Републици </w:t>
      </w:r>
      <w:r w:rsidRPr="00092ED7">
        <w:rPr>
          <w:lang w:val="sr-Cyrl-CS"/>
        </w:rPr>
        <w:t xml:space="preserve">Србији. Према актуелној пројекцији, производни јаз ће наставити да се продубљује у наредном периоду, вођен истим факторима, а најнижи негативни ниво ће достићи половином </w:t>
      </w:r>
      <w:r w:rsidR="00332563" w:rsidRPr="00092ED7">
        <w:rPr>
          <w:lang w:val="sr-Cyrl-CS"/>
        </w:rPr>
        <w:t xml:space="preserve">2023. </w:t>
      </w:r>
      <w:r w:rsidRPr="00092ED7">
        <w:rPr>
          <w:lang w:val="sr-Cyrl-CS"/>
        </w:rPr>
        <w:t>године, након чега ће се постепено опорављати.</w:t>
      </w:r>
    </w:p>
    <w:p w14:paraId="01F52C7C" w14:textId="77777777" w:rsidR="00BD3989" w:rsidRPr="00092ED7" w:rsidRDefault="00BD3989" w:rsidP="00BD3989">
      <w:pPr>
        <w:spacing w:after="60"/>
        <w:rPr>
          <w:lang w:val="sr-Cyrl-CS"/>
        </w:rPr>
      </w:pPr>
      <w:bookmarkStart w:id="25" w:name="_Hlk120005795"/>
      <w:r w:rsidRPr="00092ED7">
        <w:rPr>
          <w:lang w:val="sr-Cyrl-CS"/>
        </w:rPr>
        <w:t>Кључни ризици пројекције инфлације потичу из међународног окружења, а пре свега односе се на ефекте конфликта у Украјини, расположивост енергената и њихове цене на светском тржишту, као и на изгледе глобалног привредног раста, који ће у великој мери определити и светске цене примарних производа. Када је реч о факторима из домаћег окружења, ризици пројекције се у највећој мери односе на исход наредне пољопривредне сезоне, прилив по основу страних директних инвестиција, брзину опоравка сектора енергетике и динамику прилагођавања цена енергената на домаћем тржишту за привреду и становништво, као и на евентуалне додатне мере које би Влада могла предузети како би се заштитила рањиве категорије становништва.</w:t>
      </w:r>
      <w:bookmarkEnd w:id="25"/>
    </w:p>
    <w:p w14:paraId="35B83A1C" w14:textId="77777777" w:rsidR="00BD3989" w:rsidRPr="00092ED7" w:rsidRDefault="00BD3989" w:rsidP="00BD3989">
      <w:pPr>
        <w:spacing w:before="120"/>
        <w:rPr>
          <w:rFonts w:eastAsia="Times New Roman"/>
          <w:b/>
          <w:lang w:val="sr-Cyrl-CS"/>
        </w:rPr>
      </w:pPr>
      <w:r w:rsidRPr="00092ED7">
        <w:rPr>
          <w:rFonts w:eastAsia="Times New Roman"/>
          <w:b/>
          <w:lang w:val="sr-Cyrl-CS"/>
        </w:rPr>
        <w:t>Екстерни сектор и његова средњорочна одрживост</w:t>
      </w:r>
    </w:p>
    <w:p w14:paraId="779A0C54" w14:textId="77777777" w:rsidR="00BD3989" w:rsidRPr="00092ED7" w:rsidRDefault="00BD3989" w:rsidP="00BD3989">
      <w:pPr>
        <w:spacing w:after="60"/>
        <w:rPr>
          <w:rFonts w:eastAsia="Times New Roman"/>
          <w:lang w:val="sr-Cyrl-CS"/>
        </w:rPr>
      </w:pPr>
      <w:r w:rsidRPr="00092ED7">
        <w:rPr>
          <w:rFonts w:eastAsia="Times New Roman"/>
          <w:lang w:val="sr-Cyrl-CS"/>
        </w:rPr>
        <w:t xml:space="preserve">Захваљујући </w:t>
      </w:r>
      <w:r w:rsidRPr="00092ED7">
        <w:rPr>
          <w:lang w:val="sr-Cyrl-CS"/>
        </w:rPr>
        <w:t xml:space="preserve">приливу страних директних инвестиција у </w:t>
      </w:r>
      <w:r w:rsidRPr="00092ED7">
        <w:rPr>
          <w:rFonts w:eastAsia="Times New Roman"/>
          <w:lang w:val="sr-Cyrl-CS"/>
        </w:rPr>
        <w:t>извозно-оријентисане секторе, којем доприноси остварена маркоекономска стабилност, као и стимулативније пословно окружење, у претходних неколико година повећана је диверсификованост</w:t>
      </w:r>
      <w:r w:rsidRPr="00092ED7">
        <w:rPr>
          <w:lang w:val="sr-Cyrl-CS"/>
        </w:rPr>
        <w:t xml:space="preserve"> извоза – и производно и географски посматрано. </w:t>
      </w:r>
      <w:r w:rsidRPr="00092ED7">
        <w:rPr>
          <w:rFonts w:eastAsia="Times New Roman"/>
          <w:lang w:val="sr-Cyrl-CS"/>
        </w:rPr>
        <w:t xml:space="preserve">На то указује смањење вредности индекса </w:t>
      </w:r>
      <w:r w:rsidRPr="00092ED7">
        <w:rPr>
          <w:rFonts w:eastAsia="Times New Roman"/>
          <w:i/>
          <w:lang w:val="sr-Cyrl-CS"/>
        </w:rPr>
        <w:t>HHI</w:t>
      </w:r>
      <w:r w:rsidRPr="00092ED7">
        <w:rPr>
          <w:rFonts w:eastAsia="Times New Roman"/>
          <w:lang w:val="sr-Cyrl-CS"/>
        </w:rPr>
        <w:t xml:space="preserve"> по производима са 0,22 у 2013. на 0,20 у 2021, а по земљама партнерима са 0,26 на 0,22. И поред отежане ситуације у трговини робом због ескалације геополитичких тензија и кризе у Украјини и увођења привремених мера забране извоза појединих производа, као и пристутних застоја у глобалним ланцима снабдевања, што се одражавао на несташице појединих инпута у производњи, степен концентрације посматрано и по производима и по земљама у девет месеци ове године остао је скоро непромењен (0,20 и 0,23, респективно).</w:t>
      </w:r>
    </w:p>
    <w:p w14:paraId="6BD7E049" w14:textId="28A82868" w:rsidR="00BD3989" w:rsidRPr="00092ED7" w:rsidRDefault="00BD3989" w:rsidP="00BD3989">
      <w:pPr>
        <w:spacing w:after="60"/>
        <w:rPr>
          <w:lang w:val="sr-Cyrl-CS"/>
        </w:rPr>
      </w:pPr>
      <w:r w:rsidRPr="00092ED7">
        <w:rPr>
          <w:lang w:val="sr-Cyrl-CS"/>
        </w:rPr>
        <w:t xml:space="preserve">Посматрано према </w:t>
      </w:r>
      <w:r w:rsidRPr="00092ED7">
        <w:rPr>
          <w:b/>
          <w:bCs/>
          <w:i/>
          <w:iCs/>
          <w:lang w:val="sr-Cyrl-CS"/>
        </w:rPr>
        <w:t>фазама прераде</w:t>
      </w:r>
      <w:r w:rsidRPr="00092ED7">
        <w:rPr>
          <w:lang w:val="sr-Cyrl-CS"/>
        </w:rPr>
        <w:t>, у структури робног извоза највеће учешће у девет месеци 2022. имају производи средње фазе прераде (30,7%). На другом месту</w:t>
      </w:r>
      <w:r w:rsidR="00AB0A2B" w:rsidRPr="00092ED7">
        <w:rPr>
          <w:lang w:val="sr-Cyrl-CS"/>
        </w:rPr>
        <w:t xml:space="preserve">, </w:t>
      </w:r>
      <w:r w:rsidRPr="00092ED7">
        <w:rPr>
          <w:lang w:val="sr-Cyrl-CS"/>
        </w:rPr>
        <w:t>налазе се производи базирани на ресурсима (30,1%), затим производи ниже фазе прераде са учешћем од 20,0% (ваљани производи, намештај, производи од пластике, обућа), док су примарни производи чинили 11,0% укупног извоза. Учешће производа високе технологије (углавном електричних машина) у укупном извозу износило је 6,4% током девет месеци 2022, што представља раст за скоро 2 п.п. у односу на 2013, када је учешће било 4,8%.</w:t>
      </w:r>
    </w:p>
    <w:p w14:paraId="53C42E67" w14:textId="0C39BED0" w:rsidR="00BD3989" w:rsidRPr="00092ED7" w:rsidRDefault="00BD3989" w:rsidP="00BD3989">
      <w:pPr>
        <w:spacing w:after="60"/>
        <w:rPr>
          <w:lang w:val="sr-Cyrl-CS"/>
        </w:rPr>
      </w:pPr>
      <w:r w:rsidRPr="00092ED7">
        <w:rPr>
          <w:lang w:val="sr-Cyrl-CS"/>
        </w:rPr>
        <w:t xml:space="preserve">Када је реч о </w:t>
      </w:r>
      <w:r w:rsidRPr="00092ED7">
        <w:rPr>
          <w:b/>
          <w:i/>
          <w:lang w:val="sr-Cyrl-CS"/>
        </w:rPr>
        <w:t>показатељима ценовне конкурентности</w:t>
      </w:r>
      <w:r w:rsidRPr="00092ED7">
        <w:rPr>
          <w:lang w:val="sr-Cyrl-CS"/>
        </w:rPr>
        <w:t>, важно је нагласити да је реални ефективни курс динара (рачунат на бази потрошачких цена према корпи валута коју чине евро и долар</w:t>
      </w:r>
      <w:r w:rsidRPr="00092ED7">
        <w:rPr>
          <w:vertAlign w:val="superscript"/>
          <w:lang w:val="sr-Cyrl-CS"/>
        </w:rPr>
        <w:footnoteReference w:id="7"/>
      </w:r>
      <w:r w:rsidRPr="00092ED7">
        <w:rPr>
          <w:lang w:val="sr-Cyrl-CS"/>
        </w:rPr>
        <w:t xml:space="preserve">) у претходних осам година кумулативно посматрано био готово непромењен. У девет месеци 2022. </w:t>
      </w:r>
      <w:r w:rsidR="00AB0A2B" w:rsidRPr="00092ED7">
        <w:rPr>
          <w:lang w:val="sr-Cyrl-CS"/>
        </w:rPr>
        <w:t xml:space="preserve">године </w:t>
      </w:r>
      <w:r w:rsidRPr="00092ED7">
        <w:rPr>
          <w:lang w:val="sr-Cyrl-CS"/>
        </w:rPr>
        <w:t xml:space="preserve">забележена је блага просечна реална ефективана апрецијација динара од 0,4% мг. Рачунат на бази јединичних трошкова рада, динар према евру реално апрецира од 2017. године, услед бржег раста јединичних трошкова рада у </w:t>
      </w:r>
      <w:r w:rsidR="00F347CE" w:rsidRPr="00092ED7">
        <w:rPr>
          <w:lang w:val="sr-Cyrl-CS"/>
        </w:rPr>
        <w:t xml:space="preserve">Реублици </w:t>
      </w:r>
      <w:r w:rsidRPr="00092ED7">
        <w:rPr>
          <w:lang w:val="sr-Cyrl-CS"/>
        </w:rPr>
        <w:t xml:space="preserve">Србији у односу на ЕУ, а делом и због благе номиналне апрецијације динара према евру. Током девет месеци 2022. </w:t>
      </w:r>
      <w:r w:rsidR="00AB0A2B" w:rsidRPr="00092ED7">
        <w:rPr>
          <w:lang w:val="sr-Cyrl-CS"/>
        </w:rPr>
        <w:t xml:space="preserve">године </w:t>
      </w:r>
      <w:r w:rsidRPr="00092ED7">
        <w:rPr>
          <w:lang w:val="sr-Cyrl-CS"/>
        </w:rPr>
        <w:t xml:space="preserve">зараде у </w:t>
      </w:r>
      <w:r w:rsidR="00AB0A2B" w:rsidRPr="00092ED7">
        <w:rPr>
          <w:lang w:val="sr-Cyrl-CS"/>
        </w:rPr>
        <w:t xml:space="preserve">Републици </w:t>
      </w:r>
      <w:r w:rsidRPr="00092ED7">
        <w:rPr>
          <w:lang w:val="sr-Cyrl-CS"/>
        </w:rPr>
        <w:t xml:space="preserve">Србији (уз израженији раст у приватном сектору) расле су брже од економске активности, тако да су јединични трошкови рада у </w:t>
      </w:r>
      <w:r w:rsidR="00AB0A2B" w:rsidRPr="00092ED7">
        <w:rPr>
          <w:lang w:val="sr-Cyrl-CS"/>
        </w:rPr>
        <w:t xml:space="preserve">Републици </w:t>
      </w:r>
      <w:r w:rsidRPr="00092ED7">
        <w:rPr>
          <w:lang w:val="sr-Cyrl-CS"/>
        </w:rPr>
        <w:t>Србији наставили раст, што је уз пад једничних трошкова рада у зони евра и непромењену вредност динара према евру, резултирално реалном апрецијацијом динара од око 9% мг. Да трошковна конкурентност није фактор који значајније утиче на прилив страних дирктних инвестиција, већ очувана макроекономска стабилност и остварена структурна побољшања, говори податак да је прилив страних директних инвестиција од 2017. закључно са септембром ове године износио близу 20 млрд евра (просечно годишње око 7,3% БДП-а), упркос пандемији и кризи у Украјини.</w:t>
      </w:r>
    </w:p>
    <w:p w14:paraId="28351630" w14:textId="7B78DBEA" w:rsidR="00BD3989" w:rsidRPr="00092ED7" w:rsidRDefault="00BD3989" w:rsidP="00BD3989">
      <w:pPr>
        <w:spacing w:after="60"/>
        <w:rPr>
          <w:b/>
          <w:lang w:val="sr-Cyrl-CS"/>
        </w:rPr>
      </w:pPr>
      <w:r w:rsidRPr="00092ED7">
        <w:rPr>
          <w:b/>
          <w:lang w:val="sr-Cyrl-CS"/>
        </w:rPr>
        <w:t>Међународна инвестициона позиција.</w:t>
      </w:r>
      <w:r w:rsidRPr="00092ED7">
        <w:rPr>
          <w:lang w:val="sr-Cyrl-CS"/>
        </w:rPr>
        <w:t xml:space="preserve"> На крају Т2 2022. негативна међународна инвестициона позиција (</w:t>
      </w:r>
      <w:r w:rsidR="00AB0A2B" w:rsidRPr="00092ED7">
        <w:rPr>
          <w:lang w:val="sr-Cyrl-CS"/>
        </w:rPr>
        <w:t xml:space="preserve">у даљем тексту: </w:t>
      </w:r>
      <w:r w:rsidRPr="00092ED7">
        <w:rPr>
          <w:lang w:val="sr-Cyrl-CS"/>
        </w:rPr>
        <w:t xml:space="preserve">МИП) износила је 83,0% БДП-а (47,0 млрд евра) и у односу на крај 2021. </w:t>
      </w:r>
      <w:r w:rsidR="00AB0A2B" w:rsidRPr="00092ED7">
        <w:rPr>
          <w:lang w:val="sr-Cyrl-CS"/>
        </w:rPr>
        <w:t xml:space="preserve">године </w:t>
      </w:r>
      <w:r w:rsidRPr="00092ED7">
        <w:rPr>
          <w:lang w:val="sr-Cyrl-CS"/>
        </w:rPr>
        <w:t xml:space="preserve">учешће је благо смањено (за 0,2 п.п.), као резултат бржег раста номиналног БДП-а. На страни активе повећало се стање трговинских кредита, депозита и директних инвестиција резидената у иностранству, што је скоро у потпуности компензовало смањење стања девизних резерви, док је на страни обавеза дошло пре свега до раста стања страних директних инвестиција и финансијских кредита. </w:t>
      </w:r>
      <w:r w:rsidRPr="00092ED7">
        <w:rPr>
          <w:b/>
          <w:bCs/>
          <w:lang w:val="sr-Cyrl-CS"/>
        </w:rPr>
        <w:t>Н</w:t>
      </w:r>
      <w:r w:rsidRPr="00092ED7">
        <w:rPr>
          <w:b/>
          <w:lang w:val="sr-Cyrl-CS"/>
        </w:rPr>
        <w:t>а крају Т2 2022. нето СДИ чиниле су око 92% нето МИП, што указује на изразито повољну структуру МИП-а са становишта екстерне одрживости.</w:t>
      </w:r>
    </w:p>
    <w:p w14:paraId="17A0F114" w14:textId="77777777" w:rsidR="00BD3989" w:rsidRPr="00092ED7" w:rsidRDefault="00BD3989" w:rsidP="00BD3989">
      <w:pPr>
        <w:spacing w:after="60"/>
        <w:rPr>
          <w:lang w:val="sr-Cyrl-CS"/>
        </w:rPr>
      </w:pPr>
      <w:r w:rsidRPr="00092ED7">
        <w:rPr>
          <w:lang w:val="sr-Cyrl-CS"/>
        </w:rPr>
        <w:t xml:space="preserve">У структури пасиве МИП-а, учешће дужничких инструмената је износило око 50%, од чега су међукомпанијски кредити чинили 22,5%. Око половине </w:t>
      </w:r>
      <w:r w:rsidRPr="00092ED7">
        <w:rPr>
          <w:b/>
          <w:bCs/>
          <w:i/>
          <w:iCs/>
          <w:lang w:val="sr-Cyrl-CS"/>
        </w:rPr>
        <w:t>укупног</w:t>
      </w:r>
      <w:r w:rsidRPr="00092ED7">
        <w:rPr>
          <w:lang w:val="sr-Cyrl-CS"/>
        </w:rPr>
        <w:t xml:space="preserve"> </w:t>
      </w:r>
      <w:r w:rsidRPr="00092ED7">
        <w:rPr>
          <w:b/>
          <w:i/>
          <w:lang w:val="sr-Cyrl-CS"/>
        </w:rPr>
        <w:t>спољног дуга</w:t>
      </w:r>
      <w:r w:rsidRPr="00092ED7">
        <w:rPr>
          <w:lang w:val="sr-Cyrl-CS"/>
        </w:rPr>
        <w:t xml:space="preserve"> односи се на дуг јавног сектора (50,9%). Посматрано по преосталој рочности, око 93% спољног дуга јавног сектора (који чине општа држава и Народна банка Србије) је дугорочног карактера, а око 68% је уговорено по фиксној каматној стопи. У јавном спољном дугу доминирају три валуте – евро (69,2%), долар (17,4%) и динар (5,7%), а битно је истаћи да је учешће евра и долара у девизним резервама усклађено са валутном структуром јавног спољног дуга.</w:t>
      </w:r>
    </w:p>
    <w:p w14:paraId="144D443D" w14:textId="77777777" w:rsidR="00BD3989" w:rsidRPr="00092ED7" w:rsidRDefault="00BD3989" w:rsidP="00BD3989">
      <w:pPr>
        <w:spacing w:after="60"/>
        <w:rPr>
          <w:lang w:val="sr-Cyrl-CS"/>
        </w:rPr>
      </w:pPr>
      <w:r w:rsidRPr="00092ED7">
        <w:rPr>
          <w:lang w:val="sr-Cyrl-CS"/>
        </w:rPr>
        <w:t>У структури спољног дуга приватног сектора највећи део односи се на дуг предузећа (око 72%). Преко 90% дуга предузећа деноминовано је у еврима, а због чињенице да се истовремено преко 90% наплата извоза извршава у еврима, валутни ризик по основу спољног дуга предузећа је низак. Поред тога, 54% дуга је уговорено по фиксној каматној стопи. Посматрано према преосталој рочности, скоро 85% дуга предузећа је дугорочног карактера. Када се посматра спољни дуг банака, око 90% деноминовано у еврима, а скоро 90% уговорено је по варијабилној каматној стопи. Посматрано према преосталој рочности, скоро 50% спољног дуга банкарског сектора (ако се изузму депозити) је дугорочног карактера.</w:t>
      </w:r>
    </w:p>
    <w:p w14:paraId="733FA5EF" w14:textId="77777777" w:rsidR="00BD3989" w:rsidRPr="00092ED7" w:rsidRDefault="00BD3989" w:rsidP="00BD3989">
      <w:pPr>
        <w:spacing w:after="60"/>
        <w:rPr>
          <w:lang w:val="sr-Cyrl-CS"/>
        </w:rPr>
      </w:pPr>
      <w:r w:rsidRPr="00092ED7">
        <w:rPr>
          <w:b/>
          <w:szCs w:val="24"/>
          <w:lang w:val="sr-Cyrl-CS"/>
        </w:rPr>
        <w:t>Средњорочна екстерна одрживост.</w:t>
      </w:r>
      <w:r w:rsidRPr="00092ED7">
        <w:rPr>
          <w:lang w:val="sr-Cyrl-CS"/>
        </w:rPr>
        <w:t xml:space="preserve"> Пројектовано кретање дефицита текућег дефицита у средњем року од око 6-7% БДП-а, у највећој мери је одређено структурним факторима и кретањима из међународног окружења. Очекује се да ће инвестиције, под утицајем снажних прилива страних директних инвестиција, као и очекивани наставак инвестиционог циклуса у области саобраћајне и комуналне инфраструктуре, наставити позитивно да </w:t>
      </w:r>
      <w:r w:rsidRPr="00092ED7">
        <w:rPr>
          <w:rFonts w:eastAsia="Times New Roman"/>
          <w:lang w:val="sr-Cyrl-CS"/>
        </w:rPr>
        <w:t xml:space="preserve">утичу на раст увоза пре свега опреме и средстава за репородукцију. И по тим основама, процењује се да ће реалан раст увоза робе и услуга у просеку износити око 6,5% годишње у наредне три године. С друге стране, као резултат инвестиција из претходног периода у разменљиве секторе и проширења извозне базе (како производно, тако и географски), али и постепеног опоравка екстерне тражње и слабљења ефеката енергетске кризе, </w:t>
      </w:r>
      <w:r w:rsidRPr="00092ED7">
        <w:rPr>
          <w:lang w:val="sr-Cyrl-CS"/>
        </w:rPr>
        <w:t>реалан раст извоза робе и услуга ће бити бржи од увоза и у наредне три године је пројектован по просечној годишњој стопи од око 8%. То ће резултирати постепеним смањењем учешћа дефицита робе и услуга БДП-у на око 8% до 2025</w:t>
      </w:r>
      <w:r w:rsidRPr="00092ED7">
        <w:rPr>
          <w:rFonts w:eastAsia="Times New Roman"/>
          <w:lang w:val="sr-Cyrl-CS"/>
        </w:rPr>
        <w:t xml:space="preserve">. године са 12,2% БДП-а ове године, што ће кључно допринети смањењу дефицита текућег рачуна са око 9% БДП-а ове године на 6% БДП-а у 2025. У средњем року, очекује се да ће се текући дефицит кретати у границама </w:t>
      </w:r>
      <w:r w:rsidRPr="00092ED7">
        <w:rPr>
          <w:lang w:val="sr-Cyrl-CS"/>
        </w:rPr>
        <w:t>екстерне одрживости (6-8% БДП-а) и да ће највећим делом бити финансиран нето приливом страних директних инвестиција.</w:t>
      </w:r>
    </w:p>
    <w:p w14:paraId="6BCDB07E" w14:textId="0CCBF538" w:rsidR="00BD3989" w:rsidRPr="00092ED7" w:rsidRDefault="00BD3989" w:rsidP="00BD3989">
      <w:pPr>
        <w:spacing w:after="60"/>
        <w:rPr>
          <w:lang w:val="sr-Cyrl-CS"/>
        </w:rPr>
      </w:pPr>
      <w:r w:rsidRPr="00092ED7">
        <w:rPr>
          <w:lang w:val="sr-Cyrl-CS"/>
        </w:rPr>
        <w:t xml:space="preserve">С друге стране, раст прилива директних инвестиција у </w:t>
      </w:r>
      <w:r w:rsidR="00AB0A2B" w:rsidRPr="00092ED7">
        <w:rPr>
          <w:lang w:val="sr-Cyrl-CS"/>
        </w:rPr>
        <w:t xml:space="preserve">Републику </w:t>
      </w:r>
      <w:r w:rsidRPr="00092ED7">
        <w:rPr>
          <w:lang w:val="sr-Cyrl-CS"/>
        </w:rPr>
        <w:t>Србију утицаће на то да принос по основу њиховог власништва остане солидна расходна ставка на рачуну примарног дохотка, док се на рачуну секундарног дохотка и у средњем року очекује стабилан прилив од око 7% БДП-а, пре свега захваљујући приливу дознака.</w:t>
      </w:r>
    </w:p>
    <w:p w14:paraId="4CF8B68D" w14:textId="79E96893" w:rsidR="00BD3989" w:rsidRPr="00092ED7" w:rsidRDefault="00BD3989" w:rsidP="00BD3989">
      <w:pPr>
        <w:spacing w:after="60"/>
        <w:rPr>
          <w:lang w:val="sr-Cyrl-CS"/>
        </w:rPr>
      </w:pPr>
      <w:r w:rsidRPr="00092ED7">
        <w:rPr>
          <w:lang w:val="sr-Cyrl-CS"/>
        </w:rPr>
        <w:t>У структури прилива капитала доминираће стране директне инвестиц</w:t>
      </w:r>
      <w:r w:rsidR="00AB0A2B" w:rsidRPr="00092ED7">
        <w:rPr>
          <w:lang w:val="sr-Cyrl-CS"/>
        </w:rPr>
        <w:t>и</w:t>
      </w:r>
      <w:r w:rsidRPr="00092ED7">
        <w:rPr>
          <w:lang w:val="sr-Cyrl-CS"/>
        </w:rPr>
        <w:t xml:space="preserve">је (око 5% БДП-а просечно годишње) за које се очекује да ће наставити да буду претежно усмерене у разменљиве секторе. И у средњем року се очекује задржавање девизних резерви на адекватном нивоу. Процењује се да ће покривеност просечног месечног увоза робе и услуга девизним резервама износити око </w:t>
      </w:r>
      <w:r w:rsidR="00AB0A2B" w:rsidRPr="00092ED7">
        <w:rPr>
          <w:lang w:val="sr-Cyrl-CS"/>
        </w:rPr>
        <w:t xml:space="preserve">пет </w:t>
      </w:r>
      <w:r w:rsidRPr="00092ED7">
        <w:rPr>
          <w:lang w:val="sr-Cyrl-CS"/>
        </w:rPr>
        <w:t>месеци, уз раст покривености краткорочног дуга (посматрано по преосталој рочности) девизним резервама.</w:t>
      </w:r>
    </w:p>
    <w:p w14:paraId="7C8024E6" w14:textId="5622D527" w:rsidR="00CF67AF" w:rsidRPr="00092ED7" w:rsidRDefault="00BD3989" w:rsidP="00BD3989">
      <w:pPr>
        <w:spacing w:after="60"/>
        <w:rPr>
          <w:szCs w:val="24"/>
          <w:lang w:val="sr-Cyrl-CS"/>
        </w:rPr>
      </w:pPr>
      <w:r w:rsidRPr="00092ED7">
        <w:rPr>
          <w:lang w:val="sr-Cyrl-CS"/>
        </w:rPr>
        <w:t xml:space="preserve">Када се говори о кретању спољног дуга у средњем року, анализа одрживости спољног дуга показује да ће се по свим макроекономсмким сценаријима (који претпостављају разичиту стопу раста БДП-а, каматних стопа, као и девизног курса), осим сценарија са реалном депрецијацијом од 30% у 2023. години, </w:t>
      </w:r>
      <w:r w:rsidRPr="00092ED7">
        <w:rPr>
          <w:b/>
          <w:bCs/>
          <w:lang w:val="sr-Cyrl-CS"/>
        </w:rPr>
        <w:t>спољни дуг у средњем року смањивати</w:t>
      </w:r>
      <w:r w:rsidRPr="00092ED7">
        <w:rPr>
          <w:lang w:val="sr-Cyrl-CS"/>
        </w:rPr>
        <w:t xml:space="preserve">. </w:t>
      </w:r>
      <w:r w:rsidRPr="00092ED7">
        <w:rPr>
          <w:b/>
          <w:bCs/>
          <w:lang w:val="sr-Cyrl-CS"/>
        </w:rPr>
        <w:t xml:space="preserve">Према основном сценарију, спољни дуг </w:t>
      </w:r>
      <w:r w:rsidR="00AB0A2B" w:rsidRPr="00092ED7">
        <w:rPr>
          <w:b/>
          <w:bCs/>
          <w:lang w:val="sr-Cyrl-CS"/>
        </w:rPr>
        <w:t xml:space="preserve">Републике </w:t>
      </w:r>
      <w:r w:rsidRPr="00092ED7">
        <w:rPr>
          <w:b/>
          <w:bCs/>
          <w:lang w:val="sr-Cyrl-CS"/>
        </w:rPr>
        <w:t xml:space="preserve">Србије би се на крају 2027. </w:t>
      </w:r>
      <w:r w:rsidR="00AB0A2B" w:rsidRPr="00092ED7">
        <w:rPr>
          <w:b/>
          <w:bCs/>
          <w:lang w:val="sr-Cyrl-CS"/>
        </w:rPr>
        <w:t xml:space="preserve">године </w:t>
      </w:r>
      <w:r w:rsidRPr="00092ED7">
        <w:rPr>
          <w:b/>
          <w:bCs/>
          <w:lang w:val="sr-Cyrl-CS"/>
        </w:rPr>
        <w:t>нашао на нивоу од око 60% БДП-а</w:t>
      </w:r>
      <w:r w:rsidRPr="00092ED7">
        <w:rPr>
          <w:lang w:val="sr-Cyrl-CS"/>
        </w:rPr>
        <w:t xml:space="preserve">. Један од основних фактора који ће допринети овом смањењу </w:t>
      </w:r>
      <w:r w:rsidR="00C04157" w:rsidRPr="00092ED7">
        <w:rPr>
          <w:lang w:val="sr-Cyrl-CS"/>
        </w:rPr>
        <w:t>је повећање степена отворености</w:t>
      </w:r>
      <w:r w:rsidRPr="00092ED7">
        <w:rPr>
          <w:lang w:val="sr-Cyrl-CS"/>
        </w:rPr>
        <w:t xml:space="preserve"> економије (мерено као проценат извоза и увоза роба и услуга у БДП-у) на око 130% БДП-а у 2027. години са 116% БДП-а у 2021. години. На повећање отворености економије и њену већу интеграцију у глобалне трговинске токове свакако утиче висок прилив страних директних инвестиција, који се ове године пројектује на нивоу од око 3,8 млрд евра, што је блиско нивоу из претходне године која је била рекордна по овом питању. С обзиром да је највећи део ових инвестиција био усмерен у разменљиве секторе, међу највећим извозницима </w:t>
      </w:r>
      <w:r w:rsidR="00AB0A2B" w:rsidRPr="00092ED7">
        <w:rPr>
          <w:lang w:val="sr-Cyrl-CS"/>
        </w:rPr>
        <w:t xml:space="preserve">Републике </w:t>
      </w:r>
      <w:r w:rsidRPr="00092ED7">
        <w:rPr>
          <w:lang w:val="sr-Cyrl-CS"/>
        </w:rPr>
        <w:t xml:space="preserve">Србије се и налазе углавном компаније у страном власништву. Наставак ЕУ интеграција, заједно с билатералним споразумима о слободној трговини (нпр. са Русијом, </w:t>
      </w:r>
      <w:r w:rsidR="00AB0A2B" w:rsidRPr="00092ED7">
        <w:rPr>
          <w:lang w:val="sr-Cyrl-CS"/>
        </w:rPr>
        <w:t xml:space="preserve">Републиком </w:t>
      </w:r>
      <w:r w:rsidRPr="00092ED7">
        <w:rPr>
          <w:lang w:val="sr-Cyrl-CS"/>
        </w:rPr>
        <w:t xml:space="preserve">Турском, </w:t>
      </w:r>
      <w:r w:rsidR="00AB0A2B" w:rsidRPr="00092ED7">
        <w:rPr>
          <w:lang w:val="sr-Cyrl-CS"/>
        </w:rPr>
        <w:t>Републиком</w:t>
      </w:r>
      <w:r w:rsidR="00B86E8D" w:rsidRPr="00092ED7">
        <w:rPr>
          <w:lang w:val="sr-Cyrl-CS"/>
        </w:rPr>
        <w:t xml:space="preserve"> </w:t>
      </w:r>
      <w:r w:rsidRPr="00092ED7">
        <w:rPr>
          <w:lang w:val="sr-Cyrl-CS"/>
        </w:rPr>
        <w:t xml:space="preserve">Белорусијом и </w:t>
      </w:r>
      <w:r w:rsidR="00AB0A2B" w:rsidRPr="00092ED7">
        <w:rPr>
          <w:lang w:val="sr-Cyrl-CS"/>
        </w:rPr>
        <w:t xml:space="preserve">Републиком </w:t>
      </w:r>
      <w:r w:rsidRPr="00092ED7">
        <w:rPr>
          <w:lang w:val="sr-Cyrl-CS"/>
        </w:rPr>
        <w:t>Казахстаном) и споразума са економским групацијама (ЦЕФТА, ЕФТА, Евроазијска економска унија) које Влада закључује и уз одржавање постигнуте макроекономске стабилности, довешће до даљег унапређења пословне климе, што ће омогућити већу међународну размену и наставак раста страних директних инвестиција.</w:t>
      </w:r>
    </w:p>
    <w:p w14:paraId="5B14780D" w14:textId="77777777" w:rsidR="00C4765D" w:rsidRPr="00092ED7" w:rsidRDefault="00735870" w:rsidP="0020125C">
      <w:pPr>
        <w:keepNext/>
        <w:keepLines/>
        <w:spacing w:before="120"/>
        <w:outlineLvl w:val="1"/>
        <w:rPr>
          <w:rFonts w:eastAsia="Calibri" w:cs="Times New Roman"/>
          <w:b/>
          <w:szCs w:val="24"/>
          <w:lang w:val="sr-Cyrl-CS"/>
        </w:rPr>
      </w:pPr>
      <w:bookmarkStart w:id="26" w:name="_Toc124174792"/>
      <w:bookmarkStart w:id="27" w:name="_Toc126218611"/>
      <w:r w:rsidRPr="00092ED7">
        <w:rPr>
          <w:rFonts w:eastAsia="Calibri" w:cs="Times New Roman"/>
          <w:b/>
          <w:szCs w:val="24"/>
          <w:lang w:val="sr-Cyrl-CS"/>
        </w:rPr>
        <w:t>3.</w:t>
      </w:r>
      <w:r w:rsidR="00C4765D" w:rsidRPr="00092ED7">
        <w:rPr>
          <w:rFonts w:eastAsia="Calibri" w:cs="Times New Roman"/>
          <w:b/>
          <w:szCs w:val="24"/>
          <w:lang w:val="sr-Cyrl-CS"/>
        </w:rPr>
        <w:t xml:space="preserve">4. </w:t>
      </w:r>
      <w:r w:rsidR="0047017C" w:rsidRPr="00092ED7">
        <w:rPr>
          <w:rFonts w:eastAsia="Calibri" w:cs="Times New Roman"/>
          <w:b/>
          <w:szCs w:val="24"/>
          <w:lang w:val="sr-Cyrl-CS"/>
        </w:rPr>
        <w:t>АЛТЕРНАТИВНИ СЦЕНАРИО И РИЗИЦИ</w:t>
      </w:r>
      <w:bookmarkEnd w:id="26"/>
      <w:bookmarkEnd w:id="27"/>
    </w:p>
    <w:p w14:paraId="3B4E6529" w14:textId="1AB062D8" w:rsidR="00B94540" w:rsidRPr="00092ED7" w:rsidRDefault="00B94540" w:rsidP="00B94540">
      <w:pPr>
        <w:autoSpaceDE w:val="0"/>
        <w:autoSpaceDN w:val="0"/>
        <w:adjustRightInd w:val="0"/>
        <w:spacing w:after="60"/>
        <w:rPr>
          <w:rFonts w:cstheme="minorHAnsi"/>
          <w:bCs/>
          <w:szCs w:val="72"/>
          <w:lang w:val="sr-Cyrl-CS"/>
        </w:rPr>
      </w:pPr>
      <w:r w:rsidRPr="00092ED7">
        <w:rPr>
          <w:rFonts w:cstheme="minorHAnsi"/>
          <w:bCs/>
          <w:szCs w:val="72"/>
          <w:lang w:val="sr-Cyrl-CS"/>
        </w:rPr>
        <w:t>Средњорочни сценарио кретања привредне активности Републике Србије је и даље под утицајем бројних ризика из међународног окружења. Ризици макроекономског оквира у највећој мери потичу од неизвесности у погледу развоја ситуације у Украјини и утицаја нових међународних економских и политичких односа. Кретања цена енергената, глобална ограничења трговине, као и већа неизвесност у односу на тренутна очекивања могу имати значајно већи утицај на домаћу економију. У складу са тим</w:t>
      </w:r>
      <w:r w:rsidR="00A237A4" w:rsidRPr="00092ED7">
        <w:rPr>
          <w:rFonts w:cstheme="minorHAnsi"/>
          <w:bCs/>
          <w:szCs w:val="72"/>
          <w:lang w:val="sr-Cyrl-CS"/>
        </w:rPr>
        <w:t>,</w:t>
      </w:r>
      <w:r w:rsidRPr="00092ED7">
        <w:rPr>
          <w:rFonts w:cstheme="minorHAnsi"/>
          <w:bCs/>
          <w:szCs w:val="72"/>
          <w:lang w:val="sr-Cyrl-CS"/>
        </w:rPr>
        <w:t xml:space="preserve"> креиран је и алтернативни сценарио који подразумева материјализацију ризика из међународног окружења и последично мање стопе привредног раста, посебно у 2023. години.</w:t>
      </w:r>
    </w:p>
    <w:p w14:paraId="498BB8F3" w14:textId="77777777" w:rsidR="00B94540" w:rsidRPr="00092ED7" w:rsidRDefault="00B94540" w:rsidP="00B94540">
      <w:pPr>
        <w:spacing w:after="60"/>
        <w:rPr>
          <w:rFonts w:eastAsia="Calibri" w:cs="Times New Roman"/>
          <w:bCs/>
          <w:szCs w:val="24"/>
          <w:lang w:val="sr-Cyrl-CS"/>
        </w:rPr>
      </w:pPr>
      <w:r w:rsidRPr="00092ED7">
        <w:rPr>
          <w:rFonts w:eastAsia="Calibri" w:cs="Times New Roman"/>
          <w:bCs/>
          <w:szCs w:val="24"/>
          <w:lang w:val="sr-Cyrl-CS"/>
        </w:rPr>
        <w:t>У том сценарију пошло се од претпоставке додатног смањења спољне тражње, услед мање производне активности еврозоне као последице недовољних количина енергената, а посебно гаса, које би условиле прекиде производње, као и поремећајe у ланцима снабдевања. Поред тога, геополитичке напетости биле би оштрије него у основном сценарију, што би довело до додатних финансијских поремећаја и продубљивања неизвесности. Оваква кретања одразила би се на повећање трошкова производње и смањење потенцијала пословних субјеката да инвестирају у нове производне капацитете што би имало за последицу мањи раст инвестиција од очекиваног. Последично, дошло би и до смањења очекиваног обима спољнотрговинске размене. Поред тога, већи раст цена негативно би утицао и на реални расположиви доходак становништва и спорији раст приватне потрошње од првобитно очекиваног. Материјализација ових ризика имала би за последицу мању стопу раста БДП за 2,0 п.п. у 2023. години од оне у основном сценарију, будући да би се наведени фактори у највећој мери одразили на извозну активност, динамику инвестиционе компоненте БДП, као и на приватну потрошњу. У 2024. и 2025. години разлике у односу на првобитна очекивања биле би мање због постепеног опоравка привреде од шокова и ниже базе.</w:t>
      </w:r>
    </w:p>
    <w:p w14:paraId="10432111" w14:textId="77777777" w:rsidR="00B94540" w:rsidRPr="00092ED7" w:rsidRDefault="00B94540" w:rsidP="00B94540">
      <w:pPr>
        <w:autoSpaceDE w:val="0"/>
        <w:autoSpaceDN w:val="0"/>
        <w:adjustRightInd w:val="0"/>
        <w:spacing w:before="120" w:after="60"/>
        <w:rPr>
          <w:rFonts w:eastAsia="Constantia" w:cs="Times New Roman"/>
          <w:szCs w:val="24"/>
          <w:lang w:val="sr-Cyrl-CS"/>
        </w:rPr>
      </w:pPr>
      <w:r w:rsidRPr="00092ED7">
        <w:rPr>
          <w:rFonts w:eastAsia="Constantia" w:cs="Times New Roman"/>
          <w:szCs w:val="24"/>
          <w:lang w:val="sr-Cyrl-CS"/>
        </w:rPr>
        <w:t>Графикон 3. Пројекција кретања БДП, међугодишње стопе раста, %</w:t>
      </w:r>
    </w:p>
    <w:p w14:paraId="7A583408" w14:textId="77777777" w:rsidR="00B94540" w:rsidRPr="00092ED7" w:rsidRDefault="00B94540" w:rsidP="00B94540">
      <w:pPr>
        <w:autoSpaceDE w:val="0"/>
        <w:autoSpaceDN w:val="0"/>
        <w:adjustRightInd w:val="0"/>
        <w:spacing w:after="240"/>
        <w:rPr>
          <w:rFonts w:eastAsia="Constantia" w:cs="Times New Roman"/>
          <w:szCs w:val="24"/>
          <w:lang w:val="sr-Cyrl-CS"/>
        </w:rPr>
      </w:pPr>
      <w:r w:rsidRPr="00092ED7">
        <w:rPr>
          <w:noProof/>
        </w:rPr>
        <w:drawing>
          <wp:inline distT="0" distB="0" distL="0" distR="0" wp14:anchorId="19F2EDD8" wp14:editId="179B3F54">
            <wp:extent cx="5591908" cy="2373923"/>
            <wp:effectExtent l="0" t="0" r="0" b="0"/>
            <wp:docPr id="44" name="Chart 44">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D11337" w14:textId="77777777" w:rsidR="00B94540" w:rsidRPr="00092ED7" w:rsidRDefault="00B94540" w:rsidP="00B94540">
      <w:pPr>
        <w:autoSpaceDE w:val="0"/>
        <w:autoSpaceDN w:val="0"/>
        <w:adjustRightInd w:val="0"/>
        <w:spacing w:before="120" w:after="60"/>
        <w:rPr>
          <w:rFonts w:eastAsia="Constantia" w:cs="Times New Roman"/>
          <w:szCs w:val="24"/>
          <w:lang w:val="sr-Cyrl-CS"/>
        </w:rPr>
      </w:pPr>
      <w:r w:rsidRPr="00092ED7">
        <w:rPr>
          <w:rFonts w:eastAsia="Constantia" w:cs="Times New Roman"/>
          <w:szCs w:val="24"/>
          <w:lang w:val="sr-Cyrl-CS"/>
        </w:rPr>
        <w:t>Табела 3. Алтернативни макроекономски сценарио</w:t>
      </w:r>
    </w:p>
    <w:tbl>
      <w:tblPr>
        <w:tblStyle w:val="TableGrid1"/>
        <w:tblW w:w="5003" w:type="pct"/>
        <w:tblLayout w:type="fixed"/>
        <w:tblLook w:val="04A0" w:firstRow="1" w:lastRow="0" w:firstColumn="1" w:lastColumn="0" w:noHBand="0" w:noVBand="1"/>
      </w:tblPr>
      <w:tblGrid>
        <w:gridCol w:w="4299"/>
        <w:gridCol w:w="1180"/>
        <w:gridCol w:w="1180"/>
        <w:gridCol w:w="1180"/>
        <w:gridCol w:w="1182"/>
      </w:tblGrid>
      <w:tr w:rsidR="00B94540" w:rsidRPr="00092ED7" w14:paraId="0B7501A7" w14:textId="77777777" w:rsidTr="00B94540">
        <w:trPr>
          <w:trHeight w:val="237"/>
        </w:trPr>
        <w:tc>
          <w:tcPr>
            <w:tcW w:w="2383" w:type="pct"/>
            <w:vMerge w:val="restart"/>
            <w:noWrap/>
            <w:hideMark/>
          </w:tcPr>
          <w:p w14:paraId="03DAE5A6" w14:textId="77777777" w:rsidR="00B94540" w:rsidRPr="00092ED7" w:rsidRDefault="00B94540" w:rsidP="00B94540">
            <w:pPr>
              <w:spacing w:after="0"/>
              <w:rPr>
                <w:sz w:val="20"/>
                <w:szCs w:val="20"/>
              </w:rPr>
            </w:pPr>
          </w:p>
        </w:tc>
        <w:tc>
          <w:tcPr>
            <w:tcW w:w="654" w:type="pct"/>
            <w:noWrap/>
            <w:hideMark/>
          </w:tcPr>
          <w:p w14:paraId="7FA8BB69" w14:textId="77777777" w:rsidR="00B94540" w:rsidRPr="00092ED7" w:rsidRDefault="00B94540" w:rsidP="00B94540">
            <w:pPr>
              <w:spacing w:after="0"/>
              <w:jc w:val="center"/>
              <w:rPr>
                <w:sz w:val="20"/>
                <w:szCs w:val="20"/>
              </w:rPr>
            </w:pPr>
            <w:r w:rsidRPr="00092ED7">
              <w:rPr>
                <w:sz w:val="20"/>
                <w:szCs w:val="20"/>
              </w:rPr>
              <w:t>Процена</w:t>
            </w:r>
          </w:p>
        </w:tc>
        <w:tc>
          <w:tcPr>
            <w:tcW w:w="1961" w:type="pct"/>
            <w:gridSpan w:val="3"/>
            <w:hideMark/>
          </w:tcPr>
          <w:p w14:paraId="072AAE7F" w14:textId="77777777" w:rsidR="00B94540" w:rsidRPr="00092ED7" w:rsidRDefault="00B94540" w:rsidP="00B94540">
            <w:pPr>
              <w:spacing w:after="0"/>
              <w:jc w:val="center"/>
              <w:rPr>
                <w:sz w:val="20"/>
                <w:szCs w:val="20"/>
              </w:rPr>
            </w:pPr>
            <w:r w:rsidRPr="00092ED7">
              <w:rPr>
                <w:sz w:val="20"/>
                <w:szCs w:val="20"/>
              </w:rPr>
              <w:t>Пројекција</w:t>
            </w:r>
          </w:p>
        </w:tc>
      </w:tr>
      <w:tr w:rsidR="00B94540" w:rsidRPr="00092ED7" w14:paraId="5477D1A1" w14:textId="77777777" w:rsidTr="00B94540">
        <w:trPr>
          <w:trHeight w:val="196"/>
        </w:trPr>
        <w:tc>
          <w:tcPr>
            <w:tcW w:w="2383" w:type="pct"/>
            <w:vMerge/>
            <w:hideMark/>
          </w:tcPr>
          <w:p w14:paraId="22CD0A09" w14:textId="77777777" w:rsidR="00B94540" w:rsidRPr="00092ED7" w:rsidRDefault="00B94540" w:rsidP="00B94540">
            <w:pPr>
              <w:spacing w:after="0"/>
              <w:rPr>
                <w:sz w:val="20"/>
                <w:szCs w:val="20"/>
              </w:rPr>
            </w:pPr>
          </w:p>
        </w:tc>
        <w:tc>
          <w:tcPr>
            <w:tcW w:w="654" w:type="pct"/>
            <w:noWrap/>
            <w:hideMark/>
          </w:tcPr>
          <w:p w14:paraId="2F06AEBF" w14:textId="77777777" w:rsidR="00B94540" w:rsidRPr="00092ED7" w:rsidRDefault="00B94540" w:rsidP="00B94540">
            <w:pPr>
              <w:spacing w:after="0"/>
              <w:jc w:val="center"/>
              <w:rPr>
                <w:b/>
                <w:bCs/>
                <w:sz w:val="20"/>
                <w:szCs w:val="20"/>
              </w:rPr>
            </w:pPr>
            <w:r w:rsidRPr="00092ED7">
              <w:rPr>
                <w:b/>
                <w:bCs/>
                <w:sz w:val="20"/>
                <w:szCs w:val="20"/>
              </w:rPr>
              <w:t>2022</w:t>
            </w:r>
          </w:p>
        </w:tc>
        <w:tc>
          <w:tcPr>
            <w:tcW w:w="654" w:type="pct"/>
            <w:noWrap/>
            <w:hideMark/>
          </w:tcPr>
          <w:p w14:paraId="2E6AA70F" w14:textId="77777777" w:rsidR="00B94540" w:rsidRPr="00092ED7" w:rsidRDefault="00B94540" w:rsidP="00B94540">
            <w:pPr>
              <w:spacing w:after="0"/>
              <w:jc w:val="center"/>
              <w:rPr>
                <w:b/>
                <w:bCs/>
                <w:sz w:val="20"/>
                <w:szCs w:val="20"/>
              </w:rPr>
            </w:pPr>
            <w:r w:rsidRPr="00092ED7">
              <w:rPr>
                <w:b/>
                <w:bCs/>
                <w:sz w:val="20"/>
                <w:szCs w:val="20"/>
              </w:rPr>
              <w:t>2023</w:t>
            </w:r>
          </w:p>
        </w:tc>
        <w:tc>
          <w:tcPr>
            <w:tcW w:w="654" w:type="pct"/>
            <w:noWrap/>
            <w:hideMark/>
          </w:tcPr>
          <w:p w14:paraId="4C97C3D7" w14:textId="77777777" w:rsidR="00B94540" w:rsidRPr="00092ED7" w:rsidRDefault="00B94540" w:rsidP="00B94540">
            <w:pPr>
              <w:spacing w:after="0"/>
              <w:jc w:val="center"/>
              <w:rPr>
                <w:b/>
                <w:bCs/>
                <w:sz w:val="20"/>
                <w:szCs w:val="20"/>
              </w:rPr>
            </w:pPr>
            <w:r w:rsidRPr="00092ED7">
              <w:rPr>
                <w:b/>
                <w:bCs/>
                <w:sz w:val="20"/>
                <w:szCs w:val="20"/>
              </w:rPr>
              <w:t>2024</w:t>
            </w:r>
          </w:p>
        </w:tc>
        <w:tc>
          <w:tcPr>
            <w:tcW w:w="655" w:type="pct"/>
            <w:noWrap/>
            <w:hideMark/>
          </w:tcPr>
          <w:p w14:paraId="7540DD54" w14:textId="77777777" w:rsidR="00B94540" w:rsidRPr="00092ED7" w:rsidRDefault="00B94540" w:rsidP="00B94540">
            <w:pPr>
              <w:spacing w:after="0"/>
              <w:jc w:val="center"/>
              <w:rPr>
                <w:b/>
                <w:bCs/>
                <w:sz w:val="20"/>
                <w:szCs w:val="20"/>
              </w:rPr>
            </w:pPr>
            <w:r w:rsidRPr="00092ED7">
              <w:rPr>
                <w:b/>
                <w:bCs/>
                <w:sz w:val="20"/>
                <w:szCs w:val="20"/>
              </w:rPr>
              <w:t>2025</w:t>
            </w:r>
          </w:p>
        </w:tc>
      </w:tr>
      <w:tr w:rsidR="00B94540" w:rsidRPr="00092ED7" w14:paraId="110E8716" w14:textId="77777777" w:rsidTr="00B94540">
        <w:trPr>
          <w:trHeight w:val="237"/>
        </w:trPr>
        <w:tc>
          <w:tcPr>
            <w:tcW w:w="2383" w:type="pct"/>
            <w:noWrap/>
            <w:hideMark/>
          </w:tcPr>
          <w:p w14:paraId="13B1FFE8" w14:textId="77777777" w:rsidR="00B94540" w:rsidRPr="00092ED7" w:rsidRDefault="00B94540" w:rsidP="00B94540">
            <w:pPr>
              <w:spacing w:after="0"/>
              <w:rPr>
                <w:b/>
                <w:sz w:val="20"/>
                <w:szCs w:val="20"/>
              </w:rPr>
            </w:pPr>
            <w:r w:rsidRPr="00092ED7">
              <w:rPr>
                <w:b/>
                <w:sz w:val="20"/>
                <w:szCs w:val="20"/>
              </w:rPr>
              <w:t>БДП, млрд динара (текуће цене)</w:t>
            </w:r>
          </w:p>
        </w:tc>
        <w:tc>
          <w:tcPr>
            <w:tcW w:w="654" w:type="pct"/>
            <w:tcBorders>
              <w:top w:val="single" w:sz="4" w:space="0" w:color="002060"/>
            </w:tcBorders>
            <w:noWrap/>
          </w:tcPr>
          <w:p w14:paraId="2EB328C5" w14:textId="77777777" w:rsidR="00B94540" w:rsidRPr="00092ED7" w:rsidRDefault="00B94540" w:rsidP="00B94540">
            <w:pPr>
              <w:spacing w:after="0"/>
              <w:jc w:val="center"/>
              <w:rPr>
                <w:b/>
                <w:bCs/>
                <w:sz w:val="20"/>
                <w:szCs w:val="20"/>
              </w:rPr>
            </w:pPr>
            <w:r w:rsidRPr="00092ED7">
              <w:rPr>
                <w:b/>
                <w:bCs/>
                <w:sz w:val="20"/>
                <w:szCs w:val="20"/>
              </w:rPr>
              <w:t>7.082,5</w:t>
            </w:r>
          </w:p>
        </w:tc>
        <w:tc>
          <w:tcPr>
            <w:tcW w:w="654" w:type="pct"/>
            <w:tcBorders>
              <w:top w:val="single" w:sz="4" w:space="0" w:color="002060"/>
            </w:tcBorders>
            <w:noWrap/>
          </w:tcPr>
          <w:p w14:paraId="2A2FDDF7" w14:textId="77777777" w:rsidR="00B94540" w:rsidRPr="00092ED7" w:rsidRDefault="00B94540" w:rsidP="00B94540">
            <w:pPr>
              <w:spacing w:after="0"/>
              <w:jc w:val="center"/>
              <w:rPr>
                <w:b/>
                <w:bCs/>
                <w:sz w:val="20"/>
                <w:szCs w:val="20"/>
              </w:rPr>
            </w:pPr>
            <w:r w:rsidRPr="00092ED7">
              <w:rPr>
                <w:b/>
                <w:bCs/>
                <w:sz w:val="20"/>
                <w:szCs w:val="20"/>
              </w:rPr>
              <w:t>7.929,9</w:t>
            </w:r>
          </w:p>
        </w:tc>
        <w:tc>
          <w:tcPr>
            <w:tcW w:w="654" w:type="pct"/>
            <w:tcBorders>
              <w:top w:val="single" w:sz="4" w:space="0" w:color="002060"/>
            </w:tcBorders>
            <w:noWrap/>
          </w:tcPr>
          <w:p w14:paraId="096322C0" w14:textId="77777777" w:rsidR="00B94540" w:rsidRPr="00092ED7" w:rsidRDefault="00B94540" w:rsidP="00B94540">
            <w:pPr>
              <w:spacing w:after="0"/>
              <w:jc w:val="center"/>
              <w:rPr>
                <w:b/>
                <w:bCs/>
                <w:sz w:val="20"/>
                <w:szCs w:val="20"/>
              </w:rPr>
            </w:pPr>
            <w:r w:rsidRPr="00092ED7">
              <w:rPr>
                <w:b/>
                <w:bCs/>
                <w:sz w:val="20"/>
                <w:szCs w:val="20"/>
              </w:rPr>
              <w:t>8.527,0</w:t>
            </w:r>
          </w:p>
        </w:tc>
        <w:tc>
          <w:tcPr>
            <w:tcW w:w="655" w:type="pct"/>
            <w:tcBorders>
              <w:top w:val="single" w:sz="4" w:space="0" w:color="002060"/>
            </w:tcBorders>
            <w:noWrap/>
          </w:tcPr>
          <w:p w14:paraId="3B38E74F" w14:textId="77777777" w:rsidR="00B94540" w:rsidRPr="00092ED7" w:rsidRDefault="00B94540" w:rsidP="00B94540">
            <w:pPr>
              <w:spacing w:after="0"/>
              <w:jc w:val="center"/>
              <w:rPr>
                <w:b/>
                <w:bCs/>
                <w:sz w:val="20"/>
                <w:szCs w:val="20"/>
              </w:rPr>
            </w:pPr>
            <w:r w:rsidRPr="00092ED7">
              <w:rPr>
                <w:b/>
                <w:bCs/>
                <w:sz w:val="20"/>
                <w:szCs w:val="20"/>
              </w:rPr>
              <w:t>9.120,3</w:t>
            </w:r>
          </w:p>
        </w:tc>
      </w:tr>
      <w:tr w:rsidR="00B94540" w:rsidRPr="00092ED7" w14:paraId="3A316E8F" w14:textId="77777777" w:rsidTr="00B94540">
        <w:trPr>
          <w:trHeight w:val="162"/>
        </w:trPr>
        <w:tc>
          <w:tcPr>
            <w:tcW w:w="2383" w:type="pct"/>
            <w:noWrap/>
            <w:hideMark/>
          </w:tcPr>
          <w:p w14:paraId="7561121C" w14:textId="77777777" w:rsidR="00B94540" w:rsidRPr="00092ED7" w:rsidRDefault="00B94540" w:rsidP="00B94540">
            <w:pPr>
              <w:spacing w:after="0"/>
              <w:rPr>
                <w:sz w:val="20"/>
                <w:szCs w:val="20"/>
              </w:rPr>
            </w:pPr>
            <w:r w:rsidRPr="00092ED7">
              <w:rPr>
                <w:sz w:val="20"/>
                <w:szCs w:val="20"/>
              </w:rPr>
              <w:t>Реални раст БДП, %</w:t>
            </w:r>
          </w:p>
        </w:tc>
        <w:tc>
          <w:tcPr>
            <w:tcW w:w="654" w:type="pct"/>
            <w:noWrap/>
          </w:tcPr>
          <w:p w14:paraId="2800A213" w14:textId="77777777" w:rsidR="00B94540" w:rsidRPr="00092ED7" w:rsidRDefault="00B94540" w:rsidP="00B94540">
            <w:pPr>
              <w:spacing w:after="0"/>
              <w:jc w:val="center"/>
              <w:rPr>
                <w:bCs/>
                <w:sz w:val="20"/>
                <w:szCs w:val="20"/>
              </w:rPr>
            </w:pPr>
            <w:r w:rsidRPr="00092ED7">
              <w:rPr>
                <w:bCs/>
                <w:sz w:val="20"/>
                <w:szCs w:val="20"/>
              </w:rPr>
              <w:t>2,5</w:t>
            </w:r>
          </w:p>
        </w:tc>
        <w:tc>
          <w:tcPr>
            <w:tcW w:w="654" w:type="pct"/>
            <w:noWrap/>
          </w:tcPr>
          <w:p w14:paraId="3B568DF1" w14:textId="77777777" w:rsidR="00B94540" w:rsidRPr="00092ED7" w:rsidRDefault="00B94540" w:rsidP="00B94540">
            <w:pPr>
              <w:spacing w:after="0"/>
              <w:jc w:val="center"/>
              <w:rPr>
                <w:bCs/>
                <w:sz w:val="20"/>
                <w:szCs w:val="20"/>
              </w:rPr>
            </w:pPr>
            <w:r w:rsidRPr="00092ED7">
              <w:rPr>
                <w:bCs/>
                <w:sz w:val="20"/>
                <w:szCs w:val="20"/>
              </w:rPr>
              <w:t>0,5</w:t>
            </w:r>
          </w:p>
        </w:tc>
        <w:tc>
          <w:tcPr>
            <w:tcW w:w="654" w:type="pct"/>
            <w:noWrap/>
          </w:tcPr>
          <w:p w14:paraId="029024A1" w14:textId="77777777" w:rsidR="00B94540" w:rsidRPr="00092ED7" w:rsidRDefault="00B94540" w:rsidP="00B94540">
            <w:pPr>
              <w:spacing w:after="0"/>
              <w:jc w:val="center"/>
              <w:rPr>
                <w:bCs/>
                <w:sz w:val="20"/>
                <w:szCs w:val="20"/>
              </w:rPr>
            </w:pPr>
            <w:r w:rsidRPr="00092ED7">
              <w:rPr>
                <w:bCs/>
                <w:sz w:val="20"/>
                <w:szCs w:val="20"/>
              </w:rPr>
              <w:t>2,5</w:t>
            </w:r>
          </w:p>
        </w:tc>
        <w:tc>
          <w:tcPr>
            <w:tcW w:w="655" w:type="pct"/>
            <w:noWrap/>
          </w:tcPr>
          <w:p w14:paraId="6ED9F24D" w14:textId="77777777" w:rsidR="00B94540" w:rsidRPr="00092ED7" w:rsidRDefault="00B94540" w:rsidP="00B94540">
            <w:pPr>
              <w:spacing w:after="0"/>
              <w:jc w:val="center"/>
              <w:rPr>
                <w:bCs/>
                <w:sz w:val="20"/>
                <w:szCs w:val="20"/>
              </w:rPr>
            </w:pPr>
            <w:r w:rsidRPr="00092ED7">
              <w:rPr>
                <w:bCs/>
                <w:sz w:val="20"/>
                <w:szCs w:val="20"/>
              </w:rPr>
              <w:t>3,0</w:t>
            </w:r>
          </w:p>
        </w:tc>
      </w:tr>
      <w:tr w:rsidR="00B94540" w:rsidRPr="00092ED7" w14:paraId="4C61243D" w14:textId="77777777" w:rsidTr="00B94540">
        <w:trPr>
          <w:trHeight w:val="126"/>
        </w:trPr>
        <w:tc>
          <w:tcPr>
            <w:tcW w:w="2383" w:type="pct"/>
            <w:tcBorders>
              <w:bottom w:val="single" w:sz="4" w:space="0" w:color="000000"/>
            </w:tcBorders>
            <w:noWrap/>
            <w:hideMark/>
          </w:tcPr>
          <w:p w14:paraId="156B34CD" w14:textId="77777777" w:rsidR="00B94540" w:rsidRPr="00092ED7" w:rsidRDefault="00B94540" w:rsidP="00B94540">
            <w:pPr>
              <w:spacing w:after="0"/>
              <w:rPr>
                <w:sz w:val="20"/>
                <w:szCs w:val="20"/>
              </w:rPr>
            </w:pPr>
            <w:r w:rsidRPr="00092ED7">
              <w:rPr>
                <w:sz w:val="20"/>
                <w:szCs w:val="20"/>
              </w:rPr>
              <w:t>Дефлатор БДП, %</w:t>
            </w:r>
          </w:p>
        </w:tc>
        <w:tc>
          <w:tcPr>
            <w:tcW w:w="654" w:type="pct"/>
            <w:tcBorders>
              <w:bottom w:val="single" w:sz="4" w:space="0" w:color="000000"/>
            </w:tcBorders>
            <w:noWrap/>
          </w:tcPr>
          <w:p w14:paraId="4CD54F93" w14:textId="77777777" w:rsidR="00B94540" w:rsidRPr="00092ED7" w:rsidRDefault="00B94540" w:rsidP="00B94540">
            <w:pPr>
              <w:spacing w:after="0"/>
              <w:jc w:val="center"/>
              <w:rPr>
                <w:bCs/>
                <w:sz w:val="20"/>
                <w:szCs w:val="20"/>
              </w:rPr>
            </w:pPr>
            <w:r w:rsidRPr="00092ED7">
              <w:rPr>
                <w:bCs/>
                <w:sz w:val="20"/>
                <w:szCs w:val="20"/>
              </w:rPr>
              <w:t>10,2</w:t>
            </w:r>
          </w:p>
        </w:tc>
        <w:tc>
          <w:tcPr>
            <w:tcW w:w="654" w:type="pct"/>
            <w:tcBorders>
              <w:bottom w:val="single" w:sz="4" w:space="0" w:color="000000"/>
            </w:tcBorders>
            <w:noWrap/>
          </w:tcPr>
          <w:p w14:paraId="2E5A8F99" w14:textId="77777777" w:rsidR="00B94540" w:rsidRPr="00092ED7" w:rsidRDefault="00B94540" w:rsidP="00B94540">
            <w:pPr>
              <w:spacing w:after="0"/>
              <w:jc w:val="center"/>
              <w:rPr>
                <w:bCs/>
                <w:sz w:val="20"/>
                <w:szCs w:val="20"/>
              </w:rPr>
            </w:pPr>
            <w:r w:rsidRPr="00092ED7">
              <w:rPr>
                <w:bCs/>
                <w:sz w:val="20"/>
                <w:szCs w:val="20"/>
              </w:rPr>
              <w:t>11,5</w:t>
            </w:r>
          </w:p>
        </w:tc>
        <w:tc>
          <w:tcPr>
            <w:tcW w:w="654" w:type="pct"/>
            <w:tcBorders>
              <w:bottom w:val="single" w:sz="4" w:space="0" w:color="000000"/>
            </w:tcBorders>
            <w:noWrap/>
          </w:tcPr>
          <w:p w14:paraId="6343A836" w14:textId="77777777" w:rsidR="00B94540" w:rsidRPr="00092ED7" w:rsidRDefault="00B94540" w:rsidP="00B94540">
            <w:pPr>
              <w:spacing w:after="0"/>
              <w:jc w:val="center"/>
              <w:rPr>
                <w:bCs/>
                <w:sz w:val="20"/>
                <w:szCs w:val="20"/>
              </w:rPr>
            </w:pPr>
            <w:r w:rsidRPr="00092ED7">
              <w:rPr>
                <w:bCs/>
                <w:sz w:val="20"/>
                <w:szCs w:val="20"/>
              </w:rPr>
              <w:t>4,9</w:t>
            </w:r>
          </w:p>
        </w:tc>
        <w:tc>
          <w:tcPr>
            <w:tcW w:w="655" w:type="pct"/>
            <w:tcBorders>
              <w:bottom w:val="single" w:sz="4" w:space="0" w:color="000000"/>
            </w:tcBorders>
            <w:noWrap/>
          </w:tcPr>
          <w:p w14:paraId="35991255" w14:textId="77777777" w:rsidR="00B94540" w:rsidRPr="00092ED7" w:rsidRDefault="00B94540" w:rsidP="00B94540">
            <w:pPr>
              <w:spacing w:after="0"/>
              <w:jc w:val="center"/>
              <w:rPr>
                <w:bCs/>
                <w:sz w:val="20"/>
                <w:szCs w:val="20"/>
              </w:rPr>
            </w:pPr>
            <w:r w:rsidRPr="00092ED7">
              <w:rPr>
                <w:bCs/>
                <w:sz w:val="20"/>
                <w:szCs w:val="20"/>
              </w:rPr>
              <w:t>3,9</w:t>
            </w:r>
          </w:p>
        </w:tc>
      </w:tr>
      <w:tr w:rsidR="00B94540" w:rsidRPr="00092ED7" w14:paraId="444C018C" w14:textId="77777777" w:rsidTr="00B94540">
        <w:trPr>
          <w:trHeight w:val="198"/>
        </w:trPr>
        <w:tc>
          <w:tcPr>
            <w:tcW w:w="2383" w:type="pct"/>
            <w:tcBorders>
              <w:right w:val="nil"/>
            </w:tcBorders>
            <w:noWrap/>
            <w:hideMark/>
          </w:tcPr>
          <w:p w14:paraId="45B81E70" w14:textId="77777777" w:rsidR="00B94540" w:rsidRPr="00092ED7" w:rsidRDefault="00B94540" w:rsidP="00B94540">
            <w:pPr>
              <w:spacing w:after="0"/>
              <w:rPr>
                <w:i/>
                <w:iCs/>
                <w:sz w:val="20"/>
                <w:szCs w:val="20"/>
              </w:rPr>
            </w:pPr>
            <w:r w:rsidRPr="00092ED7">
              <w:rPr>
                <w:i/>
                <w:iCs/>
                <w:sz w:val="20"/>
                <w:szCs w:val="20"/>
              </w:rPr>
              <w:t>Реални раст појединих компоненти БДП, %</w:t>
            </w:r>
          </w:p>
        </w:tc>
        <w:tc>
          <w:tcPr>
            <w:tcW w:w="654" w:type="pct"/>
            <w:tcBorders>
              <w:left w:val="nil"/>
              <w:right w:val="nil"/>
            </w:tcBorders>
          </w:tcPr>
          <w:p w14:paraId="43748634" w14:textId="77777777" w:rsidR="00B94540" w:rsidRPr="00092ED7" w:rsidRDefault="00B94540" w:rsidP="00B94540">
            <w:pPr>
              <w:spacing w:after="0"/>
              <w:jc w:val="center"/>
              <w:rPr>
                <w:i/>
                <w:iCs/>
                <w:sz w:val="20"/>
                <w:szCs w:val="20"/>
              </w:rPr>
            </w:pPr>
          </w:p>
        </w:tc>
        <w:tc>
          <w:tcPr>
            <w:tcW w:w="654" w:type="pct"/>
            <w:tcBorders>
              <w:left w:val="nil"/>
              <w:right w:val="nil"/>
            </w:tcBorders>
          </w:tcPr>
          <w:p w14:paraId="684D58B9" w14:textId="77777777" w:rsidR="00B94540" w:rsidRPr="00092ED7" w:rsidRDefault="00B94540" w:rsidP="00B94540">
            <w:pPr>
              <w:spacing w:after="0"/>
              <w:jc w:val="center"/>
              <w:rPr>
                <w:i/>
                <w:iCs/>
                <w:sz w:val="20"/>
                <w:szCs w:val="20"/>
              </w:rPr>
            </w:pPr>
          </w:p>
        </w:tc>
        <w:tc>
          <w:tcPr>
            <w:tcW w:w="654" w:type="pct"/>
            <w:tcBorders>
              <w:left w:val="nil"/>
              <w:right w:val="nil"/>
            </w:tcBorders>
          </w:tcPr>
          <w:p w14:paraId="7A519742" w14:textId="77777777" w:rsidR="00B94540" w:rsidRPr="00092ED7" w:rsidRDefault="00B94540" w:rsidP="00B94540">
            <w:pPr>
              <w:spacing w:after="0"/>
              <w:jc w:val="center"/>
              <w:rPr>
                <w:i/>
                <w:iCs/>
                <w:sz w:val="20"/>
                <w:szCs w:val="20"/>
              </w:rPr>
            </w:pPr>
          </w:p>
        </w:tc>
        <w:tc>
          <w:tcPr>
            <w:tcW w:w="655" w:type="pct"/>
            <w:tcBorders>
              <w:left w:val="nil"/>
            </w:tcBorders>
          </w:tcPr>
          <w:p w14:paraId="2724A7F4" w14:textId="77777777" w:rsidR="00B94540" w:rsidRPr="00092ED7" w:rsidRDefault="00B94540" w:rsidP="00B94540">
            <w:pPr>
              <w:spacing w:after="0"/>
              <w:jc w:val="center"/>
              <w:rPr>
                <w:i/>
                <w:iCs/>
                <w:sz w:val="20"/>
                <w:szCs w:val="20"/>
              </w:rPr>
            </w:pPr>
          </w:p>
        </w:tc>
      </w:tr>
      <w:tr w:rsidR="00B94540" w:rsidRPr="00092ED7" w14:paraId="4E993BF4" w14:textId="77777777" w:rsidTr="00B94540">
        <w:trPr>
          <w:trHeight w:val="162"/>
        </w:trPr>
        <w:tc>
          <w:tcPr>
            <w:tcW w:w="2383" w:type="pct"/>
            <w:noWrap/>
            <w:hideMark/>
          </w:tcPr>
          <w:p w14:paraId="32E443C2" w14:textId="77777777" w:rsidR="00B94540" w:rsidRPr="00092ED7" w:rsidRDefault="00B94540" w:rsidP="00B94540">
            <w:pPr>
              <w:spacing w:after="0"/>
              <w:rPr>
                <w:sz w:val="20"/>
                <w:szCs w:val="20"/>
              </w:rPr>
            </w:pPr>
            <w:r w:rsidRPr="00092ED7">
              <w:rPr>
                <w:sz w:val="20"/>
                <w:szCs w:val="20"/>
              </w:rPr>
              <w:t xml:space="preserve">   Лична потрошња</w:t>
            </w:r>
          </w:p>
        </w:tc>
        <w:tc>
          <w:tcPr>
            <w:tcW w:w="654" w:type="pct"/>
            <w:noWrap/>
          </w:tcPr>
          <w:p w14:paraId="7A083287" w14:textId="77777777" w:rsidR="00B94540" w:rsidRPr="00092ED7" w:rsidRDefault="00B94540" w:rsidP="00B94540">
            <w:pPr>
              <w:spacing w:after="0"/>
              <w:jc w:val="center"/>
              <w:rPr>
                <w:bCs/>
                <w:sz w:val="20"/>
                <w:szCs w:val="20"/>
              </w:rPr>
            </w:pPr>
            <w:r w:rsidRPr="00092ED7">
              <w:rPr>
                <w:bCs/>
                <w:sz w:val="20"/>
                <w:szCs w:val="20"/>
              </w:rPr>
              <w:t>3,9</w:t>
            </w:r>
          </w:p>
        </w:tc>
        <w:tc>
          <w:tcPr>
            <w:tcW w:w="654" w:type="pct"/>
            <w:noWrap/>
          </w:tcPr>
          <w:p w14:paraId="27876912" w14:textId="77777777" w:rsidR="00B94540" w:rsidRPr="00092ED7" w:rsidRDefault="00B94540" w:rsidP="00B94540">
            <w:pPr>
              <w:spacing w:after="0"/>
              <w:jc w:val="center"/>
              <w:rPr>
                <w:bCs/>
                <w:sz w:val="20"/>
                <w:szCs w:val="20"/>
              </w:rPr>
            </w:pPr>
            <w:r w:rsidRPr="00092ED7">
              <w:rPr>
                <w:bCs/>
                <w:sz w:val="20"/>
                <w:szCs w:val="20"/>
              </w:rPr>
              <w:t>1,3</w:t>
            </w:r>
          </w:p>
        </w:tc>
        <w:tc>
          <w:tcPr>
            <w:tcW w:w="654" w:type="pct"/>
            <w:noWrap/>
          </w:tcPr>
          <w:p w14:paraId="10D68D1E" w14:textId="77777777" w:rsidR="00B94540" w:rsidRPr="00092ED7" w:rsidRDefault="00B94540" w:rsidP="00B94540">
            <w:pPr>
              <w:spacing w:after="0"/>
              <w:jc w:val="center"/>
              <w:rPr>
                <w:bCs/>
                <w:sz w:val="20"/>
                <w:szCs w:val="20"/>
              </w:rPr>
            </w:pPr>
            <w:r w:rsidRPr="00092ED7">
              <w:rPr>
                <w:bCs/>
                <w:sz w:val="20"/>
                <w:szCs w:val="20"/>
              </w:rPr>
              <w:t>2,5</w:t>
            </w:r>
          </w:p>
        </w:tc>
        <w:tc>
          <w:tcPr>
            <w:tcW w:w="655" w:type="pct"/>
            <w:noWrap/>
          </w:tcPr>
          <w:p w14:paraId="11F06682" w14:textId="77777777" w:rsidR="00B94540" w:rsidRPr="00092ED7" w:rsidRDefault="00B94540" w:rsidP="00B94540">
            <w:pPr>
              <w:spacing w:after="0"/>
              <w:jc w:val="center"/>
              <w:rPr>
                <w:bCs/>
                <w:sz w:val="20"/>
                <w:szCs w:val="20"/>
              </w:rPr>
            </w:pPr>
            <w:r w:rsidRPr="00092ED7">
              <w:rPr>
                <w:bCs/>
                <w:sz w:val="20"/>
                <w:szCs w:val="20"/>
              </w:rPr>
              <w:t>3,3</w:t>
            </w:r>
          </w:p>
        </w:tc>
      </w:tr>
      <w:tr w:rsidR="00B94540" w:rsidRPr="00092ED7" w14:paraId="04D39428" w14:textId="77777777" w:rsidTr="00B94540">
        <w:trPr>
          <w:trHeight w:val="135"/>
        </w:trPr>
        <w:tc>
          <w:tcPr>
            <w:tcW w:w="2383" w:type="pct"/>
            <w:noWrap/>
            <w:hideMark/>
          </w:tcPr>
          <w:p w14:paraId="679DD85B" w14:textId="77777777" w:rsidR="00B94540" w:rsidRPr="00092ED7" w:rsidRDefault="00B94540" w:rsidP="00B94540">
            <w:pPr>
              <w:spacing w:after="0"/>
              <w:rPr>
                <w:sz w:val="20"/>
                <w:szCs w:val="20"/>
              </w:rPr>
            </w:pPr>
            <w:r w:rsidRPr="00092ED7">
              <w:rPr>
                <w:sz w:val="20"/>
                <w:szCs w:val="20"/>
              </w:rPr>
              <w:t xml:space="preserve">   Државна потрошња</w:t>
            </w:r>
          </w:p>
        </w:tc>
        <w:tc>
          <w:tcPr>
            <w:tcW w:w="654" w:type="pct"/>
            <w:noWrap/>
          </w:tcPr>
          <w:p w14:paraId="2D81F74C" w14:textId="77777777" w:rsidR="00B94540" w:rsidRPr="00092ED7" w:rsidRDefault="00B94540" w:rsidP="00B94540">
            <w:pPr>
              <w:spacing w:after="0"/>
              <w:jc w:val="center"/>
              <w:rPr>
                <w:bCs/>
                <w:sz w:val="20"/>
                <w:szCs w:val="20"/>
              </w:rPr>
            </w:pPr>
            <w:r w:rsidRPr="00092ED7">
              <w:rPr>
                <w:bCs/>
                <w:sz w:val="20"/>
                <w:szCs w:val="20"/>
              </w:rPr>
              <w:t>0,4</w:t>
            </w:r>
          </w:p>
        </w:tc>
        <w:tc>
          <w:tcPr>
            <w:tcW w:w="654" w:type="pct"/>
            <w:noWrap/>
          </w:tcPr>
          <w:p w14:paraId="6DF8E916" w14:textId="77777777" w:rsidR="00B94540" w:rsidRPr="00092ED7" w:rsidRDefault="00B94540" w:rsidP="00B94540">
            <w:pPr>
              <w:spacing w:after="0"/>
              <w:jc w:val="center"/>
              <w:rPr>
                <w:bCs/>
                <w:sz w:val="20"/>
                <w:szCs w:val="20"/>
              </w:rPr>
            </w:pPr>
            <w:r w:rsidRPr="00092ED7">
              <w:rPr>
                <w:bCs/>
                <w:sz w:val="20"/>
                <w:szCs w:val="20"/>
              </w:rPr>
              <w:t>-2,4</w:t>
            </w:r>
          </w:p>
        </w:tc>
        <w:tc>
          <w:tcPr>
            <w:tcW w:w="654" w:type="pct"/>
            <w:noWrap/>
          </w:tcPr>
          <w:p w14:paraId="0112DFF7" w14:textId="77777777" w:rsidR="00B94540" w:rsidRPr="00092ED7" w:rsidRDefault="00B94540" w:rsidP="00B94540">
            <w:pPr>
              <w:spacing w:after="0"/>
              <w:jc w:val="center"/>
              <w:rPr>
                <w:bCs/>
                <w:sz w:val="20"/>
                <w:szCs w:val="20"/>
              </w:rPr>
            </w:pPr>
            <w:r w:rsidRPr="00092ED7">
              <w:rPr>
                <w:bCs/>
                <w:sz w:val="20"/>
                <w:szCs w:val="20"/>
              </w:rPr>
              <w:t>0,6</w:t>
            </w:r>
          </w:p>
        </w:tc>
        <w:tc>
          <w:tcPr>
            <w:tcW w:w="655" w:type="pct"/>
            <w:noWrap/>
          </w:tcPr>
          <w:p w14:paraId="4C26BAA8" w14:textId="77777777" w:rsidR="00B94540" w:rsidRPr="00092ED7" w:rsidRDefault="00B94540" w:rsidP="00B94540">
            <w:pPr>
              <w:spacing w:after="0"/>
              <w:jc w:val="center"/>
              <w:rPr>
                <w:bCs/>
                <w:sz w:val="20"/>
                <w:szCs w:val="20"/>
              </w:rPr>
            </w:pPr>
            <w:r w:rsidRPr="00092ED7">
              <w:rPr>
                <w:bCs/>
                <w:sz w:val="20"/>
                <w:szCs w:val="20"/>
              </w:rPr>
              <w:t>0,7</w:t>
            </w:r>
          </w:p>
        </w:tc>
      </w:tr>
      <w:tr w:rsidR="00B94540" w:rsidRPr="00092ED7" w14:paraId="2B8FD8FB" w14:textId="77777777" w:rsidTr="00B94540">
        <w:trPr>
          <w:trHeight w:val="237"/>
        </w:trPr>
        <w:tc>
          <w:tcPr>
            <w:tcW w:w="2383" w:type="pct"/>
            <w:noWrap/>
            <w:hideMark/>
          </w:tcPr>
          <w:p w14:paraId="43E7684C" w14:textId="77777777" w:rsidR="00B94540" w:rsidRPr="00092ED7" w:rsidRDefault="00B94540" w:rsidP="00B94540">
            <w:pPr>
              <w:spacing w:after="0"/>
              <w:rPr>
                <w:sz w:val="20"/>
                <w:szCs w:val="20"/>
              </w:rPr>
            </w:pPr>
            <w:r w:rsidRPr="00092ED7">
              <w:rPr>
                <w:sz w:val="20"/>
                <w:szCs w:val="20"/>
              </w:rPr>
              <w:t xml:space="preserve">   Бруто инвестиције у основна средства</w:t>
            </w:r>
          </w:p>
        </w:tc>
        <w:tc>
          <w:tcPr>
            <w:tcW w:w="654" w:type="pct"/>
            <w:noWrap/>
          </w:tcPr>
          <w:p w14:paraId="1F98F411" w14:textId="77777777" w:rsidR="00B94540" w:rsidRPr="00092ED7" w:rsidRDefault="00B94540" w:rsidP="00B94540">
            <w:pPr>
              <w:spacing w:after="0"/>
              <w:jc w:val="center"/>
              <w:rPr>
                <w:bCs/>
                <w:sz w:val="20"/>
                <w:szCs w:val="20"/>
              </w:rPr>
            </w:pPr>
            <w:r w:rsidRPr="00092ED7">
              <w:rPr>
                <w:bCs/>
                <w:sz w:val="20"/>
                <w:szCs w:val="20"/>
              </w:rPr>
              <w:t>0,0</w:t>
            </w:r>
          </w:p>
        </w:tc>
        <w:tc>
          <w:tcPr>
            <w:tcW w:w="654" w:type="pct"/>
            <w:noWrap/>
          </w:tcPr>
          <w:p w14:paraId="49D7FC74" w14:textId="77777777" w:rsidR="00B94540" w:rsidRPr="00092ED7" w:rsidRDefault="00B94540" w:rsidP="00B94540">
            <w:pPr>
              <w:spacing w:after="0"/>
              <w:jc w:val="center"/>
              <w:rPr>
                <w:bCs/>
                <w:sz w:val="20"/>
                <w:szCs w:val="20"/>
              </w:rPr>
            </w:pPr>
            <w:r w:rsidRPr="00092ED7">
              <w:rPr>
                <w:bCs/>
                <w:sz w:val="20"/>
                <w:szCs w:val="20"/>
              </w:rPr>
              <w:t>-1,0</w:t>
            </w:r>
          </w:p>
        </w:tc>
        <w:tc>
          <w:tcPr>
            <w:tcW w:w="654" w:type="pct"/>
            <w:noWrap/>
          </w:tcPr>
          <w:p w14:paraId="7DFCC488" w14:textId="77777777" w:rsidR="00B94540" w:rsidRPr="00092ED7" w:rsidRDefault="00B94540" w:rsidP="00B94540">
            <w:pPr>
              <w:spacing w:after="0"/>
              <w:jc w:val="center"/>
              <w:rPr>
                <w:bCs/>
                <w:sz w:val="20"/>
                <w:szCs w:val="20"/>
              </w:rPr>
            </w:pPr>
            <w:r w:rsidRPr="00092ED7">
              <w:rPr>
                <w:bCs/>
                <w:sz w:val="20"/>
                <w:szCs w:val="20"/>
              </w:rPr>
              <w:t>4,3</w:t>
            </w:r>
          </w:p>
        </w:tc>
        <w:tc>
          <w:tcPr>
            <w:tcW w:w="655" w:type="pct"/>
            <w:noWrap/>
          </w:tcPr>
          <w:p w14:paraId="650C7FCD" w14:textId="77777777" w:rsidR="00B94540" w:rsidRPr="00092ED7" w:rsidRDefault="00B94540" w:rsidP="00B94540">
            <w:pPr>
              <w:spacing w:after="0"/>
              <w:jc w:val="center"/>
              <w:rPr>
                <w:bCs/>
                <w:sz w:val="20"/>
                <w:szCs w:val="20"/>
              </w:rPr>
            </w:pPr>
            <w:r w:rsidRPr="00092ED7">
              <w:rPr>
                <w:bCs/>
                <w:sz w:val="20"/>
                <w:szCs w:val="20"/>
              </w:rPr>
              <w:t>4,8</w:t>
            </w:r>
          </w:p>
        </w:tc>
      </w:tr>
      <w:tr w:rsidR="00B94540" w:rsidRPr="00092ED7" w14:paraId="7D520694" w14:textId="77777777" w:rsidTr="00B94540">
        <w:trPr>
          <w:trHeight w:val="135"/>
        </w:trPr>
        <w:tc>
          <w:tcPr>
            <w:tcW w:w="2383" w:type="pct"/>
            <w:noWrap/>
            <w:hideMark/>
          </w:tcPr>
          <w:p w14:paraId="4883D22D" w14:textId="77777777" w:rsidR="00B94540" w:rsidRPr="00092ED7" w:rsidRDefault="00B94540" w:rsidP="00B94540">
            <w:pPr>
              <w:spacing w:after="0"/>
              <w:rPr>
                <w:sz w:val="20"/>
                <w:szCs w:val="20"/>
              </w:rPr>
            </w:pPr>
            <w:r w:rsidRPr="00092ED7">
              <w:rPr>
                <w:sz w:val="20"/>
                <w:szCs w:val="20"/>
              </w:rPr>
              <w:t xml:space="preserve">   Извоз робе и услуга</w:t>
            </w:r>
          </w:p>
        </w:tc>
        <w:tc>
          <w:tcPr>
            <w:tcW w:w="654" w:type="pct"/>
            <w:noWrap/>
          </w:tcPr>
          <w:p w14:paraId="0422DCA5" w14:textId="77777777" w:rsidR="00B94540" w:rsidRPr="00092ED7" w:rsidRDefault="00B94540" w:rsidP="00B94540">
            <w:pPr>
              <w:spacing w:after="0"/>
              <w:jc w:val="center"/>
              <w:rPr>
                <w:bCs/>
                <w:sz w:val="20"/>
                <w:szCs w:val="20"/>
              </w:rPr>
            </w:pPr>
            <w:r w:rsidRPr="00092ED7">
              <w:rPr>
                <w:bCs/>
                <w:sz w:val="20"/>
                <w:szCs w:val="20"/>
              </w:rPr>
              <w:t>12,3</w:t>
            </w:r>
          </w:p>
        </w:tc>
        <w:tc>
          <w:tcPr>
            <w:tcW w:w="654" w:type="pct"/>
            <w:noWrap/>
          </w:tcPr>
          <w:p w14:paraId="487766AE" w14:textId="77777777" w:rsidR="00B94540" w:rsidRPr="00092ED7" w:rsidRDefault="00B94540" w:rsidP="00B94540">
            <w:pPr>
              <w:spacing w:after="0"/>
              <w:jc w:val="center"/>
              <w:rPr>
                <w:bCs/>
                <w:sz w:val="20"/>
                <w:szCs w:val="20"/>
              </w:rPr>
            </w:pPr>
            <w:r w:rsidRPr="00092ED7">
              <w:rPr>
                <w:bCs/>
                <w:sz w:val="20"/>
                <w:szCs w:val="20"/>
              </w:rPr>
              <w:t>2,8</w:t>
            </w:r>
          </w:p>
        </w:tc>
        <w:tc>
          <w:tcPr>
            <w:tcW w:w="654" w:type="pct"/>
            <w:noWrap/>
          </w:tcPr>
          <w:p w14:paraId="27AAF8A7" w14:textId="77777777" w:rsidR="00B94540" w:rsidRPr="00092ED7" w:rsidRDefault="00B94540" w:rsidP="00B94540">
            <w:pPr>
              <w:spacing w:after="0"/>
              <w:jc w:val="center"/>
              <w:rPr>
                <w:bCs/>
                <w:sz w:val="20"/>
                <w:szCs w:val="20"/>
              </w:rPr>
            </w:pPr>
            <w:r w:rsidRPr="00092ED7">
              <w:rPr>
                <w:bCs/>
                <w:sz w:val="20"/>
                <w:szCs w:val="20"/>
              </w:rPr>
              <w:t>7,5</w:t>
            </w:r>
          </w:p>
        </w:tc>
        <w:tc>
          <w:tcPr>
            <w:tcW w:w="655" w:type="pct"/>
            <w:noWrap/>
          </w:tcPr>
          <w:p w14:paraId="6511F788" w14:textId="77777777" w:rsidR="00B94540" w:rsidRPr="00092ED7" w:rsidRDefault="00B94540" w:rsidP="00B94540">
            <w:pPr>
              <w:spacing w:after="0"/>
              <w:jc w:val="center"/>
              <w:rPr>
                <w:bCs/>
                <w:sz w:val="20"/>
                <w:szCs w:val="20"/>
              </w:rPr>
            </w:pPr>
            <w:r w:rsidRPr="00092ED7">
              <w:rPr>
                <w:bCs/>
                <w:sz w:val="20"/>
                <w:szCs w:val="20"/>
              </w:rPr>
              <w:t>9,0</w:t>
            </w:r>
          </w:p>
        </w:tc>
      </w:tr>
      <w:tr w:rsidR="00B94540" w:rsidRPr="00092ED7" w14:paraId="734DE611" w14:textId="77777777" w:rsidTr="00B94540">
        <w:trPr>
          <w:trHeight w:val="99"/>
        </w:trPr>
        <w:tc>
          <w:tcPr>
            <w:tcW w:w="2383" w:type="pct"/>
            <w:noWrap/>
            <w:hideMark/>
          </w:tcPr>
          <w:p w14:paraId="4ED3445D" w14:textId="77777777" w:rsidR="00B94540" w:rsidRPr="00092ED7" w:rsidRDefault="00B94540" w:rsidP="00B94540">
            <w:pPr>
              <w:spacing w:after="0"/>
              <w:rPr>
                <w:sz w:val="20"/>
                <w:szCs w:val="20"/>
              </w:rPr>
            </w:pPr>
            <w:r w:rsidRPr="00092ED7">
              <w:rPr>
                <w:sz w:val="20"/>
                <w:szCs w:val="20"/>
              </w:rPr>
              <w:t xml:space="preserve">   Увоз робе и услуга</w:t>
            </w:r>
          </w:p>
        </w:tc>
        <w:tc>
          <w:tcPr>
            <w:tcW w:w="654" w:type="pct"/>
            <w:noWrap/>
          </w:tcPr>
          <w:p w14:paraId="19F29382" w14:textId="77777777" w:rsidR="00B94540" w:rsidRPr="00092ED7" w:rsidRDefault="00B94540" w:rsidP="00B94540">
            <w:pPr>
              <w:spacing w:after="0"/>
              <w:jc w:val="center"/>
              <w:rPr>
                <w:bCs/>
                <w:sz w:val="20"/>
                <w:szCs w:val="20"/>
              </w:rPr>
            </w:pPr>
            <w:r w:rsidRPr="00092ED7">
              <w:rPr>
                <w:bCs/>
                <w:sz w:val="20"/>
                <w:szCs w:val="20"/>
              </w:rPr>
              <w:t>12,8</w:t>
            </w:r>
          </w:p>
        </w:tc>
        <w:tc>
          <w:tcPr>
            <w:tcW w:w="654" w:type="pct"/>
            <w:noWrap/>
          </w:tcPr>
          <w:p w14:paraId="0A118F0A" w14:textId="77777777" w:rsidR="00B94540" w:rsidRPr="00092ED7" w:rsidRDefault="00B94540" w:rsidP="00B94540">
            <w:pPr>
              <w:spacing w:after="0"/>
              <w:jc w:val="center"/>
              <w:rPr>
                <w:bCs/>
                <w:sz w:val="20"/>
                <w:szCs w:val="20"/>
              </w:rPr>
            </w:pPr>
            <w:r w:rsidRPr="00092ED7">
              <w:rPr>
                <w:bCs/>
                <w:sz w:val="20"/>
                <w:szCs w:val="20"/>
              </w:rPr>
              <w:t>2,7</w:t>
            </w:r>
          </w:p>
        </w:tc>
        <w:tc>
          <w:tcPr>
            <w:tcW w:w="654" w:type="pct"/>
            <w:noWrap/>
          </w:tcPr>
          <w:p w14:paraId="5EA91792" w14:textId="77777777" w:rsidR="00B94540" w:rsidRPr="00092ED7" w:rsidRDefault="00B94540" w:rsidP="00B94540">
            <w:pPr>
              <w:spacing w:after="0"/>
              <w:jc w:val="center"/>
              <w:rPr>
                <w:bCs/>
                <w:sz w:val="20"/>
                <w:szCs w:val="20"/>
              </w:rPr>
            </w:pPr>
            <w:r w:rsidRPr="00092ED7">
              <w:rPr>
                <w:bCs/>
                <w:sz w:val="20"/>
                <w:szCs w:val="20"/>
              </w:rPr>
              <w:t>6,7</w:t>
            </w:r>
          </w:p>
        </w:tc>
        <w:tc>
          <w:tcPr>
            <w:tcW w:w="655" w:type="pct"/>
            <w:noWrap/>
          </w:tcPr>
          <w:p w14:paraId="17FA2AF0" w14:textId="77777777" w:rsidR="00B94540" w:rsidRPr="00092ED7" w:rsidRDefault="00B94540" w:rsidP="00B94540">
            <w:pPr>
              <w:spacing w:after="0"/>
              <w:jc w:val="center"/>
              <w:rPr>
                <w:bCs/>
                <w:sz w:val="20"/>
                <w:szCs w:val="20"/>
              </w:rPr>
            </w:pPr>
            <w:r w:rsidRPr="00092ED7">
              <w:rPr>
                <w:bCs/>
                <w:sz w:val="20"/>
                <w:szCs w:val="20"/>
              </w:rPr>
              <w:t>8,2</w:t>
            </w:r>
          </w:p>
        </w:tc>
      </w:tr>
    </w:tbl>
    <w:p w14:paraId="0E8012D0" w14:textId="77777777" w:rsidR="005F26DA" w:rsidRPr="00092ED7" w:rsidRDefault="00735870" w:rsidP="00061F8A">
      <w:pPr>
        <w:keepNext/>
        <w:keepLines/>
        <w:spacing w:before="240" w:after="240"/>
        <w:outlineLvl w:val="0"/>
        <w:rPr>
          <w:rFonts w:eastAsiaTheme="majorEastAsia" w:cs="Times New Roman"/>
          <w:b/>
          <w:sz w:val="26"/>
          <w:szCs w:val="26"/>
          <w:lang w:val="sr-Cyrl-CS"/>
        </w:rPr>
      </w:pPr>
      <w:bookmarkStart w:id="28" w:name="_Toc124174793"/>
      <w:bookmarkStart w:id="29" w:name="_Toc126218612"/>
      <w:r w:rsidRPr="00092ED7">
        <w:rPr>
          <w:rFonts w:eastAsiaTheme="majorEastAsia" w:cs="Times New Roman"/>
          <w:b/>
          <w:sz w:val="26"/>
          <w:szCs w:val="26"/>
          <w:lang w:val="sr-Cyrl-CS"/>
        </w:rPr>
        <w:t>4</w:t>
      </w:r>
      <w:r w:rsidR="0020125C" w:rsidRPr="00092ED7">
        <w:rPr>
          <w:rFonts w:eastAsiaTheme="majorEastAsia" w:cs="Times New Roman"/>
          <w:b/>
          <w:sz w:val="26"/>
          <w:szCs w:val="26"/>
          <w:lang w:val="sr-Cyrl-CS"/>
        </w:rPr>
        <w:t>. ФИСКАЛНИ ОКВИР</w:t>
      </w:r>
      <w:bookmarkEnd w:id="28"/>
      <w:bookmarkEnd w:id="29"/>
    </w:p>
    <w:p w14:paraId="625E7A1F" w14:textId="77777777" w:rsidR="005F26DA" w:rsidRPr="00092ED7" w:rsidRDefault="00735870" w:rsidP="0020125C">
      <w:pPr>
        <w:keepNext/>
        <w:keepLines/>
        <w:spacing w:before="120"/>
        <w:outlineLvl w:val="1"/>
        <w:rPr>
          <w:rFonts w:eastAsiaTheme="majorEastAsia" w:cs="Times New Roman"/>
          <w:b/>
          <w:szCs w:val="26"/>
          <w:lang w:val="sr-Cyrl-CS"/>
        </w:rPr>
      </w:pPr>
      <w:bookmarkStart w:id="30" w:name="_Toc124174794"/>
      <w:bookmarkStart w:id="31" w:name="_Toc126218613"/>
      <w:r w:rsidRPr="00092ED7">
        <w:rPr>
          <w:rFonts w:eastAsiaTheme="majorEastAsia" w:cs="Times New Roman"/>
          <w:b/>
          <w:szCs w:val="26"/>
          <w:lang w:val="sr-Cyrl-CS"/>
        </w:rPr>
        <w:t>4.</w:t>
      </w:r>
      <w:r w:rsidR="005F26DA" w:rsidRPr="00092ED7">
        <w:rPr>
          <w:rFonts w:eastAsiaTheme="majorEastAsia" w:cs="Times New Roman"/>
          <w:b/>
          <w:szCs w:val="26"/>
          <w:lang w:val="sr-Cyrl-CS"/>
        </w:rPr>
        <w:t>1. СТРАТЕГИЈА ЈАВНЕ ПОЛИТИКЕ И СРЕДЊОРОЧНИ ЦИЉЕВИ</w:t>
      </w:r>
      <w:bookmarkEnd w:id="30"/>
      <w:bookmarkEnd w:id="31"/>
    </w:p>
    <w:p w14:paraId="5D7FD8D1" w14:textId="7E45F447" w:rsidR="00B94540" w:rsidRPr="00092ED7" w:rsidRDefault="00B94540" w:rsidP="00B94540">
      <w:pPr>
        <w:spacing w:after="60"/>
        <w:rPr>
          <w:rFonts w:eastAsia="MS PGothic" w:cs="Times New Roman"/>
          <w:bCs/>
          <w:iCs/>
          <w:szCs w:val="24"/>
          <w:lang w:val="sr-Cyrl-CS" w:eastAsia="ja-JP"/>
        </w:rPr>
      </w:pPr>
      <w:r w:rsidRPr="00092ED7">
        <w:rPr>
          <w:rFonts w:eastAsia="MS PGothic" w:cs="Times New Roman"/>
          <w:bCs/>
          <w:iCs/>
          <w:szCs w:val="24"/>
          <w:lang w:val="sr-Cyrl-CS" w:eastAsia="ja-JP"/>
        </w:rPr>
        <w:t>Смиривање пандемије корона</w:t>
      </w:r>
      <w:r w:rsidR="00B94430"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вируса, висока инфлација изазвана кризом на међународним тржиштима енергије и сировина и сукоб у Украјини обележили су 2022. годину у свету, уз опасност да неизвесност и криза потрају дужи временски период. У таквој ситуацији задатак економске и фискалне политике је да обезбеди стабилност привредних токова и очува стандард грађана.</w:t>
      </w:r>
    </w:p>
    <w:p w14:paraId="0CADB6CD" w14:textId="77777777" w:rsidR="00B94540" w:rsidRPr="00092ED7" w:rsidRDefault="00B94540" w:rsidP="00B94540">
      <w:pPr>
        <w:spacing w:after="60"/>
        <w:rPr>
          <w:rFonts w:eastAsia="MS PGothic" w:cs="Times New Roman"/>
          <w:bCs/>
          <w:iCs/>
          <w:szCs w:val="24"/>
          <w:lang w:val="sr-Cyrl-CS" w:eastAsia="ja-JP"/>
        </w:rPr>
      </w:pPr>
      <w:r w:rsidRPr="00092ED7">
        <w:rPr>
          <w:rFonts w:eastAsia="MS PGothic" w:cs="Times New Roman"/>
          <w:bCs/>
          <w:iCs/>
          <w:szCs w:val="24"/>
          <w:lang w:val="sr-Cyrl-CS" w:eastAsia="ja-JP"/>
        </w:rPr>
        <w:t>Током 2022. године већ су покренуте одређене мере у правцу спречавања већих шокова који би били изазвани растом цена енергената и хране, као што су субвенционисање цене гаса, привремено смањење акциза на нафтне деривате и контрола цена основних животних намирница.</w:t>
      </w:r>
    </w:p>
    <w:p w14:paraId="7F4A8706" w14:textId="683CFA81" w:rsidR="00B94540" w:rsidRPr="00092ED7" w:rsidRDefault="00B94540" w:rsidP="00B94540">
      <w:pPr>
        <w:spacing w:after="60"/>
        <w:rPr>
          <w:rFonts w:eastAsia="MS PGothic" w:cs="Times New Roman"/>
          <w:bCs/>
          <w:iCs/>
          <w:szCs w:val="24"/>
          <w:lang w:val="sr-Cyrl-CS" w:eastAsia="ja-JP"/>
        </w:rPr>
      </w:pPr>
      <w:r w:rsidRPr="00092ED7">
        <w:rPr>
          <w:rFonts w:eastAsia="MS PGothic" w:cs="Times New Roman"/>
          <w:bCs/>
          <w:iCs/>
          <w:szCs w:val="24"/>
          <w:lang w:val="sr-Cyrl-CS" w:eastAsia="ja-JP"/>
        </w:rPr>
        <w:t>Планирање економске</w:t>
      </w:r>
      <w:r w:rsidR="00A237A4" w:rsidRPr="00092ED7">
        <w:rPr>
          <w:rFonts w:eastAsia="MS PGothic" w:cs="Times New Roman"/>
          <w:bCs/>
          <w:iCs/>
          <w:szCs w:val="24"/>
          <w:lang w:val="sr-Cyrl-CS" w:eastAsia="ja-JP"/>
        </w:rPr>
        <w:t>,</w:t>
      </w:r>
      <w:r w:rsidRPr="00092ED7">
        <w:rPr>
          <w:rFonts w:eastAsia="MS PGothic" w:cs="Times New Roman"/>
          <w:bCs/>
          <w:iCs/>
          <w:szCs w:val="24"/>
          <w:lang w:val="sr-Cyrl-CS" w:eastAsia="ja-JP"/>
        </w:rPr>
        <w:t xml:space="preserve"> посебно фискалне политике, у наредном периоду, првенствено ће зависити од процене ефеката украјинске кризе на међународно окружење и домаће прилике. Опредељење је да се и поред неповољне ситуације иде на уравнотежење и стабилизацију јавних финансија, како би се смањило учешће јавног дуга у БДП и створиле основе за стабилан привредни раст. Паралелно са тим</w:t>
      </w:r>
      <w:r w:rsidR="00A237A4" w:rsidRPr="00092ED7">
        <w:rPr>
          <w:rFonts w:eastAsia="MS PGothic" w:cs="Times New Roman"/>
          <w:bCs/>
          <w:iCs/>
          <w:szCs w:val="24"/>
          <w:lang w:val="sr-Cyrl-CS" w:eastAsia="ja-JP"/>
        </w:rPr>
        <w:t>,</w:t>
      </w:r>
      <w:r w:rsidRPr="00092ED7">
        <w:rPr>
          <w:rFonts w:eastAsia="MS PGothic" w:cs="Times New Roman"/>
          <w:bCs/>
          <w:iCs/>
          <w:szCs w:val="24"/>
          <w:lang w:val="sr-Cyrl-CS" w:eastAsia="ja-JP"/>
        </w:rPr>
        <w:t xml:space="preserve"> потребно је обезбедити простор за правовремену реакцију фискалне политике на економске шокове. Евентуална фискална интервенција државе у циљу минимизирања ефеката кризе свакако ће бити комбинована са настојањима да се не зауставе развојни програми и инфраструктурни пројекти финансирани из буџета</w:t>
      </w:r>
      <w:r w:rsidR="00A237A4" w:rsidRPr="00092ED7">
        <w:rPr>
          <w:rFonts w:eastAsia="MS PGothic" w:cs="Times New Roman"/>
          <w:bCs/>
          <w:iCs/>
          <w:szCs w:val="24"/>
          <w:lang w:val="sr-Cyrl-CS" w:eastAsia="ja-JP"/>
        </w:rPr>
        <w:t xml:space="preserve"> Републике Србије</w:t>
      </w:r>
      <w:r w:rsidRPr="00092ED7">
        <w:rPr>
          <w:rFonts w:eastAsia="MS PGothic" w:cs="Times New Roman"/>
          <w:bCs/>
          <w:iCs/>
          <w:szCs w:val="24"/>
          <w:lang w:val="sr-Cyrl-CS" w:eastAsia="ja-JP"/>
        </w:rPr>
        <w:t>.</w:t>
      </w:r>
    </w:p>
    <w:p w14:paraId="692AE5FE" w14:textId="11581BED" w:rsidR="00B94540" w:rsidRPr="00092ED7" w:rsidRDefault="00B94540" w:rsidP="00B94540">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Средњорочни фискални оквир предвиђа умерено напуштање експанзивне фискалне политике која је била присутна током пандемије, с тим да ће и у наредном периоду значајан део буџетских средстава бити опредељен за ублажавање енергетске кризе. С обзиром на неизвесну економску ситуацију, </w:t>
      </w:r>
      <w:r w:rsidR="00A237A4" w:rsidRPr="00092ED7">
        <w:rPr>
          <w:rFonts w:eastAsia="MS PGothic" w:cs="Times New Roman"/>
          <w:bCs/>
          <w:iCs/>
          <w:szCs w:val="24"/>
          <w:lang w:val="sr-Cyrl-CS" w:eastAsia="ja-JP"/>
        </w:rPr>
        <w:t xml:space="preserve">буџет Републике Србије </w:t>
      </w:r>
      <w:r w:rsidRPr="00092ED7">
        <w:rPr>
          <w:rFonts w:eastAsia="MS PGothic" w:cs="Times New Roman"/>
          <w:bCs/>
          <w:iCs/>
          <w:szCs w:val="24"/>
          <w:lang w:val="sr-Cyrl-CS" w:eastAsia="ja-JP"/>
        </w:rPr>
        <w:t>ће свакако представљати „сигурносну мрежу” у случају ескалације неповољних кретања. Са једне стране</w:t>
      </w:r>
      <w:r w:rsidR="00A237A4" w:rsidRPr="00092ED7">
        <w:rPr>
          <w:rFonts w:eastAsia="MS PGothic" w:cs="Times New Roman"/>
          <w:bCs/>
          <w:iCs/>
          <w:szCs w:val="24"/>
          <w:lang w:val="sr-Cyrl-CS" w:eastAsia="ja-JP"/>
        </w:rPr>
        <w:t>,</w:t>
      </w:r>
      <w:r w:rsidRPr="00092ED7">
        <w:rPr>
          <w:rFonts w:eastAsia="MS PGothic" w:cs="Times New Roman"/>
          <w:bCs/>
          <w:iCs/>
          <w:szCs w:val="24"/>
          <w:lang w:val="sr-Cyrl-CS" w:eastAsia="ja-JP"/>
        </w:rPr>
        <w:t xml:space="preserve"> обезбедиће се континуитет развојних и социјалних програма, а са друге стране одрживост јавних финансија и наставак смањења нивоа јавног дуга у смислу учешћа у БДП. Имајући у виду очекивана макроекономска кретања, предвиђени годишњи фискални дефицити омогућавају смањење учешћа дуга опште државе у БДП и у наредном периоду.</w:t>
      </w:r>
    </w:p>
    <w:p w14:paraId="2DC62202" w14:textId="7C341601" w:rsidR="00B94540" w:rsidRPr="00092ED7" w:rsidRDefault="00B94540" w:rsidP="00B94540">
      <w:pPr>
        <w:spacing w:after="60"/>
        <w:rPr>
          <w:rFonts w:eastAsia="MS PGothic" w:cs="Times New Roman"/>
          <w:bCs/>
          <w:iCs/>
          <w:szCs w:val="24"/>
          <w:lang w:val="sr-Cyrl-CS" w:eastAsia="ja-JP"/>
        </w:rPr>
      </w:pPr>
      <w:r w:rsidRPr="00092ED7">
        <w:rPr>
          <w:rFonts w:eastAsia="MS PGothic" w:cs="Times New Roman"/>
          <w:bCs/>
          <w:iCs/>
          <w:szCs w:val="24"/>
          <w:lang w:val="sr-Cyrl-CS" w:eastAsia="ja-JP"/>
        </w:rPr>
        <w:t>Фискална политика ће у наредном периоду бити фокусирана, у складу са расположивим фискалним простором, на даље смањење укупног пореског оптерећења рада чиме се додатно растерећује привреда, односно повећава конкурентност приватног сектора. На расходној страни, приоритет ће имати инфраструктурни и капитални пројекти, те политика пензија и плата. При томе</w:t>
      </w:r>
      <w:r w:rsidR="00A237A4" w:rsidRPr="00092ED7">
        <w:rPr>
          <w:rFonts w:eastAsia="MS PGothic" w:cs="Times New Roman"/>
          <w:bCs/>
          <w:iCs/>
          <w:szCs w:val="24"/>
          <w:lang w:val="sr-Cyrl-CS" w:eastAsia="ja-JP"/>
        </w:rPr>
        <w:t xml:space="preserve">, водиће се </w:t>
      </w:r>
      <w:r w:rsidRPr="00092ED7">
        <w:rPr>
          <w:rFonts w:eastAsia="MS PGothic" w:cs="Times New Roman"/>
          <w:bCs/>
          <w:iCs/>
          <w:szCs w:val="24"/>
          <w:lang w:val="sr-Cyrl-CS" w:eastAsia="ja-JP"/>
        </w:rPr>
        <w:t>рачуна да се повећањем највећих, категорија расхода</w:t>
      </w:r>
      <w:r w:rsidR="00A237A4" w:rsidRPr="00092ED7">
        <w:rPr>
          <w:rFonts w:eastAsia="MS PGothic" w:cs="Times New Roman"/>
          <w:bCs/>
          <w:iCs/>
          <w:szCs w:val="24"/>
          <w:lang w:val="sr-Cyrl-CS" w:eastAsia="ja-JP"/>
        </w:rPr>
        <w:t>,</w:t>
      </w:r>
      <w:r w:rsidRPr="00092ED7">
        <w:rPr>
          <w:rFonts w:eastAsia="MS PGothic" w:cs="Times New Roman"/>
          <w:bCs/>
          <w:iCs/>
          <w:szCs w:val="24"/>
          <w:lang w:val="sr-Cyrl-CS" w:eastAsia="ja-JP"/>
        </w:rPr>
        <w:t xml:space="preserve"> не изађе из планираног одрживог оквира.</w:t>
      </w:r>
    </w:p>
    <w:p w14:paraId="25136D50" w14:textId="5EE5BE51" w:rsidR="005F26DA" w:rsidRPr="00092ED7" w:rsidRDefault="00B94540" w:rsidP="00B94540">
      <w:pPr>
        <w:spacing w:after="60"/>
        <w:rPr>
          <w:lang w:val="sr-Cyrl-CS"/>
        </w:rPr>
      </w:pPr>
      <w:r w:rsidRPr="00092ED7">
        <w:rPr>
          <w:rFonts w:eastAsia="MS PGothic" w:cs="Times New Roman"/>
          <w:bCs/>
          <w:iCs/>
          <w:szCs w:val="24"/>
          <w:lang w:val="sr-Cyrl-CS" w:eastAsia="ja-JP"/>
        </w:rPr>
        <w:t xml:space="preserve">Стабилности јавних финансија и одрживом фискалном оквиру допринеће измене Закона о буџетском систему, којима </w:t>
      </w:r>
      <w:r w:rsidR="00FE70E2" w:rsidRPr="00092ED7">
        <w:rPr>
          <w:rFonts w:eastAsia="MS PGothic" w:cs="Times New Roman"/>
          <w:bCs/>
          <w:iCs/>
          <w:szCs w:val="24"/>
          <w:lang w:val="sr-Cyrl-CS" w:eastAsia="ja-JP"/>
        </w:rPr>
        <w:t>је</w:t>
      </w:r>
      <w:r w:rsidRPr="00092ED7">
        <w:rPr>
          <w:rFonts w:eastAsia="MS PGothic" w:cs="Times New Roman"/>
          <w:bCs/>
          <w:iCs/>
          <w:szCs w:val="24"/>
          <w:lang w:val="sr-Cyrl-CS" w:eastAsia="ja-JP"/>
        </w:rPr>
        <w:t>, између осталог, редизајниран скуп фискалних правила, општих и посебних, те дефинисане посебне мере и консеквенце у случају њиховог непоштовања. Посебан акценат је стављен на измену општих правила која се односе на јавни дуг и дефицит опште државе, те посебних правила везаних за одрживи ниво расхода за плате и пензије.</w:t>
      </w:r>
    </w:p>
    <w:p w14:paraId="75554D95" w14:textId="77777777" w:rsidR="005F26DA" w:rsidRPr="00092ED7" w:rsidRDefault="00735870" w:rsidP="0020125C">
      <w:pPr>
        <w:keepNext/>
        <w:keepLines/>
        <w:spacing w:before="120"/>
        <w:outlineLvl w:val="1"/>
        <w:rPr>
          <w:rFonts w:eastAsia="Calibri" w:cs="Times New Roman"/>
          <w:b/>
          <w:szCs w:val="24"/>
          <w:lang w:val="sr-Cyrl-CS"/>
        </w:rPr>
      </w:pPr>
      <w:bookmarkStart w:id="32" w:name="_Toc124174795"/>
      <w:bookmarkStart w:id="33" w:name="_Toc126218614"/>
      <w:r w:rsidRPr="00092ED7">
        <w:rPr>
          <w:rFonts w:eastAsia="Calibri" w:cs="Times New Roman"/>
          <w:b/>
          <w:szCs w:val="24"/>
          <w:lang w:val="sr-Cyrl-CS"/>
        </w:rPr>
        <w:t>4.</w:t>
      </w:r>
      <w:r w:rsidR="005F26DA" w:rsidRPr="00092ED7">
        <w:rPr>
          <w:rFonts w:eastAsia="Calibri" w:cs="Times New Roman"/>
          <w:b/>
          <w:szCs w:val="24"/>
          <w:lang w:val="sr-Cyrl-CS"/>
        </w:rPr>
        <w:t>2. ИЗВРШЕЊЕ БУЏЕТА У 2021. ГОДИНИ</w:t>
      </w:r>
      <w:bookmarkEnd w:id="32"/>
      <w:bookmarkEnd w:id="33"/>
    </w:p>
    <w:p w14:paraId="648E3DD2" w14:textId="2DA95826" w:rsidR="00B94540" w:rsidRPr="00092ED7" w:rsidRDefault="00B94540" w:rsidP="00B94540">
      <w:pPr>
        <w:spacing w:after="60"/>
        <w:rPr>
          <w:lang w:val="sr-Cyrl-CS" w:eastAsia="ja-JP"/>
        </w:rPr>
      </w:pPr>
      <w:r w:rsidRPr="00092ED7">
        <w:rPr>
          <w:lang w:val="sr-Cyrl-CS" w:eastAsia="ja-JP"/>
        </w:rPr>
        <w:t>Фискални оквир за 2022. годину планиран је у околностима постепеног изласка из здравствено-екон</w:t>
      </w:r>
      <w:r w:rsidR="00FD0C39" w:rsidRPr="00092ED7">
        <w:rPr>
          <w:lang w:val="sr-Cyrl-CS" w:eastAsia="ja-JP"/>
        </w:rPr>
        <w:t>омске кризе изазване пандемијом</w:t>
      </w:r>
      <w:r w:rsidRPr="00092ED7">
        <w:rPr>
          <w:lang w:val="sr-Cyrl-CS" w:eastAsia="ja-JP"/>
        </w:rPr>
        <w:t>.</w:t>
      </w:r>
      <w:r w:rsidRPr="00092ED7">
        <w:rPr>
          <w:b/>
          <w:lang w:val="sr-Cyrl-CS" w:eastAsia="ja-JP"/>
        </w:rPr>
        <w:t xml:space="preserve"> </w:t>
      </w:r>
      <w:r w:rsidRPr="00092ED7">
        <w:rPr>
          <w:bCs/>
          <w:lang w:val="sr-Cyrl-CS" w:eastAsia="ja-JP"/>
        </w:rPr>
        <w:t xml:space="preserve">Крајем 2021. године забележени су веома добри резултати у наплати скоро свих приходних облика, што је условило значајне ревизије пројекције навише током године. Ипак, пројекцији прихода за 2022. годину приступило се опрезно. Током 2021. године спровођен је програм економске помоћи становништву и привреди, а дошло је и до промена у понашању потрошача, те је у односу на пред-пандемијски период смањено прекогранично кретање становништва, повећана потрошња на домаћем тржишту, промењене су навике у коришћењу саобраћајних средстава и повећана потрошња производа код којих је мање изражена сива економија. </w:t>
      </w:r>
      <w:r w:rsidRPr="00092ED7">
        <w:rPr>
          <w:lang w:val="sr-Cyrl-CS" w:eastAsia="ja-JP"/>
        </w:rPr>
        <w:t>У обзир су узети и процењени ефекти наплате одложених пореских обавеза, као и ефекти наставка процеса смањења пореског оптерећења зарада. На крају, услед неизвесности</w:t>
      </w:r>
      <w:r w:rsidR="00FD0C39" w:rsidRPr="00092ED7">
        <w:rPr>
          <w:lang w:val="sr-Cyrl-CS" w:eastAsia="ja-JP"/>
        </w:rPr>
        <w:t xml:space="preserve"> у погледу даљег тока пандемије </w:t>
      </w:r>
      <w:r w:rsidRPr="00092ED7">
        <w:rPr>
          <w:lang w:val="sr-Cyrl-CS" w:eastAsia="ja-JP"/>
        </w:rPr>
        <w:t>приходи су конзервативно пројектовани како би у случају реализације негативних ризика, одступање наниже било минимално.</w:t>
      </w:r>
    </w:p>
    <w:p w14:paraId="3FE68252" w14:textId="77777777" w:rsidR="00B94540" w:rsidRPr="00092ED7" w:rsidRDefault="00B94540" w:rsidP="00B94540">
      <w:pPr>
        <w:spacing w:after="60"/>
        <w:rPr>
          <w:lang w:val="sr-Cyrl-CS" w:eastAsia="ja-JP"/>
        </w:rPr>
      </w:pPr>
      <w:r w:rsidRPr="00092ED7">
        <w:rPr>
          <w:lang w:val="sr-Cyrl-CS" w:eastAsia="ja-JP"/>
        </w:rPr>
        <w:t>Политичко и економско окружење у коме је планиран фискални оквир за 2022. годину значајно је измењено.</w:t>
      </w:r>
      <w:r w:rsidRPr="00092ED7">
        <w:rPr>
          <w:bCs/>
          <w:lang w:val="sr-Cyrl-CS" w:eastAsia="ja-JP"/>
        </w:rPr>
        <w:t xml:space="preserve"> </w:t>
      </w:r>
      <w:r w:rsidRPr="00092ED7">
        <w:rPr>
          <w:lang w:val="sr-Cyrl-CS" w:eastAsia="ja-JP"/>
        </w:rPr>
        <w:t>Оружани конфликт у Украјини, довео је, поред осталог, до повећања неизвесности у пословању, као и до прекида традиционалних економских токова, нарочито на пољу снабдевања енергентима. Тренд повећања цена природног гаса, електричне енергије и нафте присутан је био већ у другој половини 2021. године, али је током 2022. године значајно ескалирао. Повећану неизвесност уноси и нередовност у снабдевању енергентима, што додатно утиче на цене. Долази до општег повећања цена на међународном нивоу, при чему се монетарне власти одлучују на заоштравање политике и подизање општих каматних стопа. У перспективи то утиче на неповољније изгледе раста привредне активности.</w:t>
      </w:r>
    </w:p>
    <w:p w14:paraId="09226640" w14:textId="77777777" w:rsidR="00B94540" w:rsidRPr="00092ED7" w:rsidRDefault="00B94540" w:rsidP="00B94540">
      <w:pPr>
        <w:spacing w:after="60"/>
        <w:rPr>
          <w:b/>
          <w:lang w:val="sr-Cyrl-CS" w:eastAsia="ja-JP"/>
        </w:rPr>
      </w:pPr>
      <w:r w:rsidRPr="00092ED7">
        <w:rPr>
          <w:lang w:val="sr-Cyrl-CS" w:eastAsia="ja-JP"/>
        </w:rPr>
        <w:t xml:space="preserve">Промене у међународном окружењу утичу на привредну активност и јавне финансије у Републици Србији. Процена раста привредне активности у 2022. години, ревидирана је наниже за 1,5 п.п. у односу на оригинални план, а раст је ревидиран наниже и у средњем року. Упркос успоравању економске активности, на тржишту радне снаге нема изражених негативних тенденција што резултира стабилном наплатом пореза на </w:t>
      </w:r>
      <w:r w:rsidR="00640FFB" w:rsidRPr="00092ED7">
        <w:rPr>
          <w:lang w:val="sr-Cyrl-CS" w:eastAsia="ja-JP"/>
        </w:rPr>
        <w:t xml:space="preserve">приходе од </w:t>
      </w:r>
      <w:r w:rsidRPr="00092ED7">
        <w:rPr>
          <w:lang w:val="sr-Cyrl-CS" w:eastAsia="ja-JP"/>
        </w:rPr>
        <w:t>рад</w:t>
      </w:r>
      <w:r w:rsidR="00640FFB" w:rsidRPr="00092ED7">
        <w:rPr>
          <w:lang w:val="sr-Cyrl-CS" w:eastAsia="ja-JP"/>
        </w:rPr>
        <w:t>а</w:t>
      </w:r>
      <w:r w:rsidRPr="00092ED7">
        <w:rPr>
          <w:lang w:val="sr-Cyrl-CS" w:eastAsia="ja-JP"/>
        </w:rPr>
        <w:t>. Инфлација има тренутне ефекте на кретање номиналног износа пореза на потрошњу у смислу њиховог бржег раста. Истовремено, на раст наплате прихода утиче и знатно бржи раст дохотка становништва, што је потврђено реалним растом потрошње током прва три квартала 2022. године. Приходи буџета у 2022. години изнад су очекиваних, а вишак прихода искоришћен је за набавку енергената и обуздавање раста цена уз минималан утицај на стандард становништва, као и на мере смањења акцизног оптерећења нафтних деривата. Истовремено, операционализују се мере популационе политике донете почетком 2022. године, повећане су субвенције у пољопривреди, као исплаћена помоћ одређеним категоријама становништва.</w:t>
      </w:r>
    </w:p>
    <w:p w14:paraId="07B94C4B" w14:textId="77777777" w:rsidR="00B94540" w:rsidRPr="00092ED7" w:rsidRDefault="00B94540" w:rsidP="00B94540">
      <w:pPr>
        <w:spacing w:after="60"/>
        <w:rPr>
          <w:lang w:val="sr-Cyrl-CS" w:eastAsia="ja-JP"/>
        </w:rPr>
      </w:pPr>
      <w:r w:rsidRPr="00092ED7">
        <w:rPr>
          <w:lang w:val="sr-Cyrl-CS" w:eastAsia="ja-JP"/>
        </w:rPr>
        <w:t>Основни циљ измене фискалног оквира за 2022. годину је прилагођавање новонасталим негативним глобалним економским токовима, у последњих неколико деценија незабележеном светском енергетском кризом и последично знатно већим растом цена. Фискални дефицит опште државе у 2022. години, према последњим проценама, износиће 3,8% БДП, што је за 0,8 п.п. више од оригинално планираног за текућу годину. Поред измена у висини планираног резултата, знатне су промене у висини и структури приходне и расходне стране. Процењује се да ће учешће јавног дуга у БДП, на крају 2022. године опасти на 56,9%. У наредном периоду се очекује да ће услед планираног кретања фискалног резултата у средњем року, путања јавног дуга бити континуирано опадајућа.</w:t>
      </w:r>
    </w:p>
    <w:p w14:paraId="6AB07EB5" w14:textId="77777777" w:rsidR="00B94540" w:rsidRPr="00092ED7" w:rsidRDefault="00B94540" w:rsidP="00B94540">
      <w:pPr>
        <w:spacing w:before="120" w:after="60"/>
        <w:rPr>
          <w:rFonts w:eastAsia="Calibri" w:cs="Times New Roman"/>
          <w:spacing w:val="-4"/>
          <w:szCs w:val="24"/>
          <w:lang w:val="sr-Cyrl-CS"/>
        </w:rPr>
      </w:pPr>
      <w:r w:rsidRPr="00092ED7">
        <w:rPr>
          <w:rFonts w:eastAsia="Calibri" w:cs="Times New Roman"/>
          <w:spacing w:val="-4"/>
          <w:szCs w:val="24"/>
          <w:lang w:val="sr-Cyrl-CS"/>
        </w:rPr>
        <w:t>Графикон 4. Фискални резултат опште државе у периоду од 2015. до 2022. године, % БДП</w:t>
      </w:r>
    </w:p>
    <w:p w14:paraId="0FF9DF11" w14:textId="77777777" w:rsidR="00B94540" w:rsidRPr="00092ED7" w:rsidRDefault="00B94540" w:rsidP="00B94540">
      <w:pPr>
        <w:spacing w:after="0" w:line="276" w:lineRule="auto"/>
        <w:jc w:val="center"/>
        <w:rPr>
          <w:rFonts w:eastAsia="Calibri" w:cs="Times New Roman"/>
          <w:szCs w:val="24"/>
          <w:lang w:val="sr-Cyrl-CS"/>
        </w:rPr>
      </w:pPr>
      <w:r w:rsidRPr="00092ED7">
        <w:rPr>
          <w:noProof/>
        </w:rPr>
        <w:drawing>
          <wp:inline distT="0" distB="0" distL="0" distR="0" wp14:anchorId="39D93469" wp14:editId="5CBC7124">
            <wp:extent cx="5724525" cy="2767054"/>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EF4592" w14:textId="77777777" w:rsidR="00B94540" w:rsidRPr="00092ED7" w:rsidRDefault="00B94540" w:rsidP="00B94540">
      <w:pPr>
        <w:rPr>
          <w:rFonts w:eastAsia="Calibri" w:cs="Times New Roman"/>
          <w:bCs/>
          <w:sz w:val="18"/>
          <w:szCs w:val="18"/>
          <w:lang w:val="sr-Cyrl-CS"/>
        </w:rPr>
      </w:pPr>
      <w:r w:rsidRPr="00092ED7">
        <w:rPr>
          <w:rFonts w:eastAsia="Calibri" w:cs="Times New Roman"/>
          <w:bCs/>
          <w:sz w:val="18"/>
          <w:szCs w:val="18"/>
          <w:lang w:val="sr-Cyrl-CS"/>
        </w:rPr>
        <w:t>Извор: Министарство финансија</w:t>
      </w:r>
    </w:p>
    <w:p w14:paraId="194CED4C" w14:textId="70A36F4A" w:rsidR="00B94540" w:rsidRPr="00092ED7" w:rsidRDefault="00CD05C0" w:rsidP="00B94540">
      <w:pPr>
        <w:tabs>
          <w:tab w:val="left" w:pos="993"/>
        </w:tabs>
        <w:spacing w:after="60"/>
        <w:rPr>
          <w:lang w:val="sr-Cyrl-CS" w:eastAsia="ja-JP"/>
        </w:rPr>
      </w:pPr>
      <w:r w:rsidRPr="00092ED7">
        <w:rPr>
          <w:lang w:val="sr-Cyrl-CS" w:eastAsia="ja-JP"/>
        </w:rPr>
        <w:t xml:space="preserve">Пандемија </w:t>
      </w:r>
      <w:r w:rsidR="00B94540" w:rsidRPr="00092ED7">
        <w:rPr>
          <w:lang w:val="sr-Cyrl-CS" w:eastAsia="ja-JP"/>
        </w:rPr>
        <w:t>током 2020. и 2021. године имала је изразито негативне здравствене, економске и шире друштвене последице, како у читавом свету, тако и у Републици Србији. Током ове две године</w:t>
      </w:r>
      <w:r w:rsidR="00A237A4" w:rsidRPr="00092ED7">
        <w:rPr>
          <w:lang w:val="sr-Cyrl-CS" w:eastAsia="ja-JP"/>
        </w:rPr>
        <w:t>,</w:t>
      </w:r>
      <w:r w:rsidR="00B94540" w:rsidRPr="00092ED7">
        <w:rPr>
          <w:lang w:val="sr-Cyrl-CS" w:eastAsia="ja-JP"/>
        </w:rPr>
        <w:t xml:space="preserve"> реализовани су пакети мера економске подршке привреди и становништву за превазилажење кризе изазване пандемијом. Реализоване су мере у вредности од 15,6% БДП (планирано 17,3% БДП), чиме су значајно ублажени негативни ефекти кризе, забележен је мањи пад економске активности у поређењу са другим европским економијама, а избегнуте су и турбуленције на тржишту радне снаге.</w:t>
      </w:r>
    </w:p>
    <w:p w14:paraId="37384ECE" w14:textId="77777777" w:rsidR="00B94540" w:rsidRPr="00092ED7" w:rsidRDefault="00B94540" w:rsidP="00B94540">
      <w:pPr>
        <w:tabs>
          <w:tab w:val="left" w:pos="993"/>
        </w:tabs>
        <w:spacing w:after="60"/>
        <w:rPr>
          <w:lang w:val="sr-Cyrl-CS" w:eastAsia="ja-JP"/>
        </w:rPr>
      </w:pPr>
      <w:r w:rsidRPr="00092ED7">
        <w:rPr>
          <w:lang w:val="sr-Cyrl-CS" w:eastAsia="ja-JP"/>
        </w:rPr>
        <w:t>Крајем 2021. и почетком 2022. године долази до слабљења пандемије. Изласком из ове кризе очекивао се мирнији период који би омогућио економској, пре свега фискалној политици, довољно времена да се врати на одрживу путању. Међутим, престанком здравствене кризе нису нестале све негативне економске последице које је проузроковала. Убрзан раст цена подстакнут ранијом експанзивном глобалном монетарном и фискалном политиком, још увек нарушеним ланцима снабдевања и логистичким проблемима, постепен па затим убрзан раст цена енергије, само су неки од горућих проблема који пред креаторе економске политике постављају нове изазове. Сукоб у Украјини додатно је интензивирао постојеће и донео нове изазове посебно у сфери енергетике и прехрамбених производа. Транзиторни инфлаторни притисци постају перманентни, док започето пооштравање монетарне политике у свету додатно отежава могућности за финансирање растућих фискалних дефицита, а у перспективи утиче на неповољније изгледе раста привредне активности.</w:t>
      </w:r>
    </w:p>
    <w:p w14:paraId="063418A5" w14:textId="746F2E03" w:rsidR="00B94540" w:rsidRPr="00092ED7" w:rsidRDefault="00B94540" w:rsidP="00B94540">
      <w:pPr>
        <w:tabs>
          <w:tab w:val="left" w:pos="993"/>
        </w:tabs>
        <w:spacing w:after="60"/>
        <w:rPr>
          <w:lang w:val="sr-Cyrl-CS" w:eastAsia="ja-JP"/>
        </w:rPr>
      </w:pPr>
      <w:r w:rsidRPr="00092ED7">
        <w:rPr>
          <w:lang w:val="sr-Cyrl-CS" w:eastAsia="ja-JP"/>
        </w:rPr>
        <w:t xml:space="preserve">Фискални оквир за 2022. годину је усвајањем </w:t>
      </w:r>
      <w:r w:rsidR="00F347CE" w:rsidRPr="00092ED7">
        <w:rPr>
          <w:lang w:val="sr-Cyrl-CS" w:eastAsia="ja-JP"/>
        </w:rPr>
        <w:t>Фискалне стратегије за 2023. годину са пројекцијама за 2024. и 2025. годину</w:t>
      </w:r>
      <w:r w:rsidRPr="00092ED7">
        <w:rPr>
          <w:lang w:val="sr-Cyrl-CS" w:eastAsia="ja-JP"/>
        </w:rPr>
        <w:t>, током пролећног дела буџетског циклуса, био значајно ревидиран у погледу висине и структуре прихода и расхода, при чему није мењана процена фискалног резултата у БДП од 3% БДП. У том моменту су се назирали фактори који би могли значајно да утичу на материјализацију негативних ризика по економска кретања у 2022. години. Постојала је доза неизвесности у погледу трајања и обима утицаја новонастале кризе на укупна фискална кретања, посебно на страни расхода. Иновирани фискални оквир за 2022. годину рефлектује свеукупне последице, али и одговоре на наведене изазове, и предвиђа ревидирани фискални дефицит од 3,8% БДП. У односу на оригинално планиране, процена прихода је повећана за 236,4 млрд динара, док су расходи већи за 307,4 млрд динара, уз значајне промене у структури.</w:t>
      </w:r>
    </w:p>
    <w:p w14:paraId="17A22352" w14:textId="77777777" w:rsidR="00B94540" w:rsidRPr="00092ED7" w:rsidRDefault="00B94540" w:rsidP="00B94540">
      <w:pPr>
        <w:spacing w:before="120" w:after="60"/>
        <w:rPr>
          <w:rFonts w:eastAsia="MS PGothic" w:cs="Times New Roman"/>
          <w:szCs w:val="24"/>
          <w:lang w:val="sr-Cyrl-CS" w:eastAsia="ja-JP"/>
        </w:rPr>
      </w:pPr>
      <w:r w:rsidRPr="00092ED7">
        <w:rPr>
          <w:rFonts w:eastAsia="MS PGothic" w:cs="Times New Roman"/>
          <w:szCs w:val="24"/>
          <w:lang w:val="sr-Cyrl-CS" w:eastAsia="ja-JP"/>
        </w:rPr>
        <w:t>Табела 4. Приходи, расходи и резултат сектора државе у 2022. години, у млрд динара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1015"/>
        <w:gridCol w:w="1015"/>
        <w:gridCol w:w="1018"/>
        <w:gridCol w:w="1147"/>
        <w:gridCol w:w="1100"/>
        <w:gridCol w:w="929"/>
      </w:tblGrid>
      <w:tr w:rsidR="00B94540" w:rsidRPr="00092ED7" w14:paraId="6AECCE31" w14:textId="77777777" w:rsidTr="00B94540">
        <w:trPr>
          <w:trHeight w:val="391"/>
          <w:tblHeader/>
          <w:jc w:val="center"/>
        </w:trPr>
        <w:tc>
          <w:tcPr>
            <w:tcW w:w="1202" w:type="pct"/>
            <w:shd w:val="clear" w:color="auto" w:fill="auto"/>
            <w:noWrap/>
            <w:vAlign w:val="center"/>
            <w:hideMark/>
          </w:tcPr>
          <w:p w14:paraId="4231CF2A" w14:textId="77777777" w:rsidR="00B94540" w:rsidRPr="00092ED7" w:rsidRDefault="00B94540" w:rsidP="00B94540">
            <w:pPr>
              <w:spacing w:after="0"/>
              <w:jc w:val="center"/>
              <w:rPr>
                <w:rFonts w:eastAsia="Times New Roman" w:cstheme="minorHAnsi"/>
                <w:bCs/>
                <w:sz w:val="20"/>
                <w:szCs w:val="20"/>
                <w:lang w:val="sr-Cyrl-CS" w:eastAsia="sr-Cyrl-RS"/>
              </w:rPr>
            </w:pPr>
            <w:r w:rsidRPr="00092ED7">
              <w:rPr>
                <w:rFonts w:eastAsia="Times New Roman" w:cstheme="minorHAnsi"/>
                <w:bCs/>
                <w:sz w:val="20"/>
                <w:szCs w:val="20"/>
                <w:lang w:val="sr-Cyrl-CS" w:eastAsia="sr-Cyrl-RS"/>
              </w:rPr>
              <w:t> </w:t>
            </w:r>
          </w:p>
        </w:tc>
        <w:tc>
          <w:tcPr>
            <w:tcW w:w="633" w:type="pct"/>
            <w:shd w:val="clear" w:color="auto" w:fill="auto"/>
            <w:vAlign w:val="center"/>
            <w:hideMark/>
          </w:tcPr>
          <w:p w14:paraId="0BE557F3" w14:textId="77777777" w:rsidR="00B94540" w:rsidRPr="00092ED7" w:rsidRDefault="00B94540" w:rsidP="00B94540">
            <w:pPr>
              <w:spacing w:after="0"/>
              <w:jc w:val="center"/>
              <w:rPr>
                <w:rFonts w:eastAsia="MS PGothic" w:cstheme="minorHAnsi"/>
                <w:sz w:val="20"/>
                <w:szCs w:val="20"/>
                <w:lang w:val="sr-Cyrl-CS" w:eastAsia="ja-JP"/>
              </w:rPr>
            </w:pPr>
            <w:r w:rsidRPr="00092ED7">
              <w:rPr>
                <w:rFonts w:eastAsia="MS PGothic" w:cstheme="minorHAnsi"/>
                <w:sz w:val="20"/>
                <w:szCs w:val="20"/>
                <w:lang w:val="sr-Cyrl-CS" w:eastAsia="ja-JP"/>
              </w:rPr>
              <w:t>буџет 2022</w:t>
            </w:r>
          </w:p>
        </w:tc>
        <w:tc>
          <w:tcPr>
            <w:tcW w:w="633" w:type="pct"/>
            <w:vAlign w:val="center"/>
          </w:tcPr>
          <w:p w14:paraId="786BC902" w14:textId="77777777" w:rsidR="00B94540" w:rsidRPr="00092ED7" w:rsidRDefault="00B94540" w:rsidP="00B94540">
            <w:pPr>
              <w:spacing w:after="0"/>
              <w:jc w:val="center"/>
              <w:rPr>
                <w:rFonts w:eastAsia="MS PGothic" w:cstheme="minorHAnsi"/>
                <w:sz w:val="20"/>
                <w:szCs w:val="20"/>
                <w:lang w:val="sr-Cyrl-CS" w:eastAsia="ja-JP"/>
              </w:rPr>
            </w:pPr>
            <w:r w:rsidRPr="00092ED7">
              <w:rPr>
                <w:rFonts w:eastAsia="MS PGothic" w:cstheme="minorHAnsi"/>
                <w:sz w:val="20"/>
                <w:szCs w:val="20"/>
                <w:lang w:val="sr-Cyrl-CS" w:eastAsia="ja-JP"/>
              </w:rPr>
              <w:t>процена април 2022</w:t>
            </w:r>
          </w:p>
        </w:tc>
        <w:tc>
          <w:tcPr>
            <w:tcW w:w="634" w:type="pct"/>
            <w:shd w:val="clear" w:color="auto" w:fill="auto"/>
            <w:vAlign w:val="center"/>
            <w:hideMark/>
          </w:tcPr>
          <w:p w14:paraId="5A0B59B8" w14:textId="77777777" w:rsidR="00B94540" w:rsidRPr="00092ED7" w:rsidRDefault="00B94540" w:rsidP="00B94540">
            <w:pPr>
              <w:spacing w:after="0"/>
              <w:jc w:val="center"/>
              <w:rPr>
                <w:rFonts w:eastAsia="MS PGothic" w:cstheme="minorHAnsi"/>
                <w:sz w:val="20"/>
                <w:szCs w:val="20"/>
                <w:lang w:val="sr-Cyrl-CS" w:eastAsia="ja-JP"/>
              </w:rPr>
            </w:pPr>
            <w:r w:rsidRPr="00092ED7">
              <w:rPr>
                <w:rFonts w:eastAsia="MS PGothic" w:cstheme="minorHAnsi"/>
                <w:sz w:val="20"/>
                <w:szCs w:val="20"/>
                <w:lang w:val="sr-Cyrl-CS" w:eastAsia="ja-JP"/>
              </w:rPr>
              <w:t>нова процена 2022</w:t>
            </w:r>
          </w:p>
        </w:tc>
        <w:tc>
          <w:tcPr>
            <w:tcW w:w="634" w:type="pct"/>
            <w:shd w:val="clear" w:color="auto" w:fill="auto"/>
            <w:vAlign w:val="center"/>
            <w:hideMark/>
          </w:tcPr>
          <w:p w14:paraId="007DDBC3" w14:textId="77777777" w:rsidR="00B94540" w:rsidRPr="00092ED7" w:rsidRDefault="00B94540" w:rsidP="00B94540">
            <w:pPr>
              <w:spacing w:after="0"/>
              <w:jc w:val="center"/>
              <w:rPr>
                <w:rFonts w:eastAsia="MS PGothic" w:cstheme="minorHAnsi"/>
                <w:sz w:val="20"/>
                <w:szCs w:val="20"/>
                <w:lang w:val="sr-Cyrl-CS" w:eastAsia="ja-JP"/>
              </w:rPr>
            </w:pPr>
            <w:r w:rsidRPr="00092ED7">
              <w:rPr>
                <w:rFonts w:eastAsia="MS PGothic" w:cstheme="minorHAnsi"/>
                <w:sz w:val="20"/>
                <w:szCs w:val="20"/>
                <w:lang w:val="sr-Cyrl-CS" w:eastAsia="ja-JP"/>
              </w:rPr>
              <w:t>Разлика новa/буџет</w:t>
            </w:r>
          </w:p>
        </w:tc>
        <w:tc>
          <w:tcPr>
            <w:tcW w:w="634" w:type="pct"/>
            <w:shd w:val="clear" w:color="auto" w:fill="auto"/>
            <w:vAlign w:val="center"/>
            <w:hideMark/>
          </w:tcPr>
          <w:p w14:paraId="77647B3D" w14:textId="77777777" w:rsidR="00B94540" w:rsidRPr="00092ED7" w:rsidRDefault="00B94540" w:rsidP="00B94540">
            <w:pPr>
              <w:spacing w:after="0"/>
              <w:jc w:val="center"/>
              <w:rPr>
                <w:rFonts w:eastAsia="MS PGothic" w:cstheme="minorHAnsi"/>
                <w:sz w:val="20"/>
                <w:szCs w:val="20"/>
                <w:lang w:val="sr-Cyrl-CS" w:eastAsia="ja-JP"/>
              </w:rPr>
            </w:pPr>
            <w:r w:rsidRPr="00092ED7">
              <w:rPr>
                <w:rFonts w:eastAsia="MS PGothic" w:cstheme="minorHAnsi"/>
                <w:sz w:val="20"/>
                <w:szCs w:val="20"/>
                <w:lang w:val="sr-Cyrl-CS" w:eastAsia="ja-JP"/>
              </w:rPr>
              <w:t>% промена</w:t>
            </w:r>
          </w:p>
        </w:tc>
        <w:tc>
          <w:tcPr>
            <w:tcW w:w="631" w:type="pct"/>
            <w:shd w:val="clear" w:color="auto" w:fill="auto"/>
            <w:vAlign w:val="center"/>
            <w:hideMark/>
          </w:tcPr>
          <w:p w14:paraId="64D8C43A" w14:textId="77777777" w:rsidR="00B94540" w:rsidRPr="00092ED7" w:rsidRDefault="00B94540" w:rsidP="00B94540">
            <w:pPr>
              <w:spacing w:after="0"/>
              <w:jc w:val="center"/>
              <w:rPr>
                <w:rFonts w:eastAsia="MS PGothic" w:cstheme="minorHAnsi"/>
                <w:sz w:val="18"/>
                <w:szCs w:val="18"/>
                <w:lang w:val="sr-Cyrl-CS" w:eastAsia="ja-JP"/>
              </w:rPr>
            </w:pPr>
            <w:r w:rsidRPr="00092ED7">
              <w:rPr>
                <w:rFonts w:eastAsia="MS PGothic" w:cstheme="minorHAnsi"/>
                <w:sz w:val="18"/>
                <w:szCs w:val="18"/>
                <w:lang w:val="sr-Cyrl-CS" w:eastAsia="ja-JP"/>
              </w:rPr>
              <w:t>2022 нова пр. % БДП</w:t>
            </w:r>
          </w:p>
        </w:tc>
      </w:tr>
      <w:tr w:rsidR="00B94540" w:rsidRPr="00092ED7" w14:paraId="4E038E8B" w14:textId="77777777" w:rsidTr="00B94540">
        <w:trPr>
          <w:trHeight w:val="223"/>
          <w:jc w:val="center"/>
        </w:trPr>
        <w:tc>
          <w:tcPr>
            <w:tcW w:w="1202" w:type="pct"/>
            <w:shd w:val="clear" w:color="auto" w:fill="E7E6E6" w:themeFill="background2"/>
            <w:noWrap/>
            <w:vAlign w:val="center"/>
            <w:hideMark/>
          </w:tcPr>
          <w:p w14:paraId="19AF27F0" w14:textId="77777777" w:rsidR="00B94540" w:rsidRPr="00092ED7" w:rsidRDefault="00B94540" w:rsidP="00B94540">
            <w:pPr>
              <w:spacing w:after="0"/>
              <w:jc w:val="left"/>
              <w:rPr>
                <w:rFonts w:cstheme="minorHAnsi"/>
                <w:sz w:val="20"/>
                <w:szCs w:val="20"/>
                <w:lang w:val="sr-Cyrl-CS"/>
              </w:rPr>
            </w:pPr>
            <w:r w:rsidRPr="00092ED7">
              <w:rPr>
                <w:rFonts w:eastAsia="MS PGothic" w:cstheme="minorHAnsi"/>
                <w:sz w:val="20"/>
                <w:szCs w:val="20"/>
                <w:lang w:val="sr-Cyrl-CS" w:eastAsia="ja-JP"/>
              </w:rPr>
              <w:t>ЈАВНИ ПРИХОДИ</w:t>
            </w:r>
          </w:p>
        </w:tc>
        <w:tc>
          <w:tcPr>
            <w:tcW w:w="633" w:type="pct"/>
            <w:shd w:val="clear" w:color="auto" w:fill="E7E6E6" w:themeFill="background2"/>
            <w:hideMark/>
          </w:tcPr>
          <w:p w14:paraId="6F9BD8A8"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2.804,1</w:t>
            </w:r>
          </w:p>
        </w:tc>
        <w:tc>
          <w:tcPr>
            <w:tcW w:w="633" w:type="pct"/>
            <w:shd w:val="clear" w:color="auto" w:fill="E7E6E6" w:themeFill="background2"/>
          </w:tcPr>
          <w:p w14:paraId="48D3A742" w14:textId="77777777" w:rsidR="00B94540" w:rsidRPr="00092ED7" w:rsidRDefault="00B94540" w:rsidP="00B94540">
            <w:pPr>
              <w:spacing w:after="0"/>
              <w:ind w:right="170"/>
              <w:jc w:val="right"/>
              <w:rPr>
                <w:sz w:val="20"/>
                <w:szCs w:val="20"/>
                <w:lang w:val="sr-Cyrl-CS"/>
              </w:rPr>
            </w:pPr>
            <w:r w:rsidRPr="00092ED7">
              <w:rPr>
                <w:sz w:val="20"/>
                <w:szCs w:val="20"/>
                <w:lang w:val="sr-Cyrl-CS"/>
              </w:rPr>
              <w:t>2.901,0</w:t>
            </w:r>
          </w:p>
        </w:tc>
        <w:tc>
          <w:tcPr>
            <w:tcW w:w="634" w:type="pct"/>
            <w:shd w:val="clear" w:color="auto" w:fill="E7E6E6" w:themeFill="background2"/>
            <w:noWrap/>
            <w:hideMark/>
          </w:tcPr>
          <w:p w14:paraId="7AC45D20"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3.040,5</w:t>
            </w:r>
          </w:p>
        </w:tc>
        <w:tc>
          <w:tcPr>
            <w:tcW w:w="634" w:type="pct"/>
            <w:shd w:val="clear" w:color="auto" w:fill="E7E6E6" w:themeFill="background2"/>
            <w:hideMark/>
          </w:tcPr>
          <w:p w14:paraId="5A357FC5"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236,4</w:t>
            </w:r>
          </w:p>
        </w:tc>
        <w:tc>
          <w:tcPr>
            <w:tcW w:w="634" w:type="pct"/>
            <w:shd w:val="clear" w:color="auto" w:fill="E7E6E6" w:themeFill="background2"/>
            <w:hideMark/>
          </w:tcPr>
          <w:p w14:paraId="51739F2D"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8,4</w:t>
            </w:r>
          </w:p>
        </w:tc>
        <w:tc>
          <w:tcPr>
            <w:tcW w:w="631" w:type="pct"/>
            <w:shd w:val="clear" w:color="auto" w:fill="E7E6E6" w:themeFill="background2"/>
            <w:noWrap/>
            <w:hideMark/>
          </w:tcPr>
          <w:p w14:paraId="5BAE6FCA"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42,9</w:t>
            </w:r>
          </w:p>
        </w:tc>
      </w:tr>
      <w:tr w:rsidR="00B94540" w:rsidRPr="00092ED7" w14:paraId="44F844C2" w14:textId="77777777" w:rsidTr="00B94540">
        <w:trPr>
          <w:trHeight w:val="223"/>
          <w:jc w:val="center"/>
        </w:trPr>
        <w:tc>
          <w:tcPr>
            <w:tcW w:w="1202" w:type="pct"/>
            <w:shd w:val="clear" w:color="auto" w:fill="auto"/>
            <w:noWrap/>
            <w:vAlign w:val="center"/>
            <w:hideMark/>
          </w:tcPr>
          <w:p w14:paraId="7980557E"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Текући приходи</w:t>
            </w:r>
          </w:p>
        </w:tc>
        <w:tc>
          <w:tcPr>
            <w:tcW w:w="633" w:type="pct"/>
            <w:shd w:val="clear" w:color="auto" w:fill="auto"/>
            <w:hideMark/>
          </w:tcPr>
          <w:p w14:paraId="4B5CAB4C"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2.778,2</w:t>
            </w:r>
          </w:p>
        </w:tc>
        <w:tc>
          <w:tcPr>
            <w:tcW w:w="633" w:type="pct"/>
          </w:tcPr>
          <w:p w14:paraId="3D246B6F" w14:textId="77777777" w:rsidR="00B94540" w:rsidRPr="00092ED7" w:rsidRDefault="00B94540" w:rsidP="00B94540">
            <w:pPr>
              <w:spacing w:after="0"/>
              <w:ind w:right="170"/>
              <w:jc w:val="right"/>
              <w:rPr>
                <w:sz w:val="20"/>
                <w:szCs w:val="20"/>
                <w:lang w:val="sr-Cyrl-CS"/>
              </w:rPr>
            </w:pPr>
            <w:r w:rsidRPr="00092ED7">
              <w:rPr>
                <w:sz w:val="20"/>
                <w:szCs w:val="20"/>
                <w:lang w:val="sr-Cyrl-CS"/>
              </w:rPr>
              <w:t>2.875,1</w:t>
            </w:r>
          </w:p>
        </w:tc>
        <w:tc>
          <w:tcPr>
            <w:tcW w:w="634" w:type="pct"/>
            <w:shd w:val="clear" w:color="auto" w:fill="auto"/>
            <w:noWrap/>
            <w:hideMark/>
          </w:tcPr>
          <w:p w14:paraId="393A5F96"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3.018,8</w:t>
            </w:r>
          </w:p>
        </w:tc>
        <w:tc>
          <w:tcPr>
            <w:tcW w:w="634" w:type="pct"/>
            <w:shd w:val="clear" w:color="auto" w:fill="auto"/>
            <w:hideMark/>
          </w:tcPr>
          <w:p w14:paraId="0F71C44D"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240,6</w:t>
            </w:r>
          </w:p>
        </w:tc>
        <w:tc>
          <w:tcPr>
            <w:tcW w:w="634" w:type="pct"/>
            <w:shd w:val="clear" w:color="auto" w:fill="auto"/>
            <w:hideMark/>
          </w:tcPr>
          <w:p w14:paraId="1A848A67"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8,7</w:t>
            </w:r>
          </w:p>
        </w:tc>
        <w:tc>
          <w:tcPr>
            <w:tcW w:w="631" w:type="pct"/>
            <w:shd w:val="clear" w:color="auto" w:fill="auto"/>
            <w:noWrap/>
            <w:hideMark/>
          </w:tcPr>
          <w:p w14:paraId="69BE4F62"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42,6</w:t>
            </w:r>
          </w:p>
        </w:tc>
      </w:tr>
      <w:tr w:rsidR="00B94540" w:rsidRPr="00092ED7" w14:paraId="03B8C30E" w14:textId="77777777" w:rsidTr="00B94540">
        <w:trPr>
          <w:trHeight w:val="223"/>
          <w:jc w:val="center"/>
        </w:trPr>
        <w:tc>
          <w:tcPr>
            <w:tcW w:w="1202" w:type="pct"/>
            <w:shd w:val="clear" w:color="auto" w:fill="auto"/>
            <w:noWrap/>
            <w:vAlign w:val="center"/>
            <w:hideMark/>
          </w:tcPr>
          <w:p w14:paraId="03729E5F"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Порески приходи</w:t>
            </w:r>
          </w:p>
        </w:tc>
        <w:tc>
          <w:tcPr>
            <w:tcW w:w="633" w:type="pct"/>
            <w:shd w:val="clear" w:color="auto" w:fill="auto"/>
            <w:hideMark/>
          </w:tcPr>
          <w:p w14:paraId="5F325875"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2.526,7</w:t>
            </w:r>
          </w:p>
        </w:tc>
        <w:tc>
          <w:tcPr>
            <w:tcW w:w="633" w:type="pct"/>
          </w:tcPr>
          <w:p w14:paraId="29787851" w14:textId="77777777" w:rsidR="00B94540" w:rsidRPr="00092ED7" w:rsidRDefault="00B94540" w:rsidP="00B94540">
            <w:pPr>
              <w:spacing w:after="0"/>
              <w:ind w:right="170"/>
              <w:jc w:val="right"/>
              <w:rPr>
                <w:sz w:val="20"/>
                <w:szCs w:val="20"/>
                <w:lang w:val="sr-Cyrl-CS"/>
              </w:rPr>
            </w:pPr>
            <w:r w:rsidRPr="00092ED7">
              <w:rPr>
                <w:sz w:val="20"/>
                <w:szCs w:val="20"/>
                <w:lang w:val="sr-Cyrl-CS"/>
              </w:rPr>
              <w:t>2.609,4</w:t>
            </w:r>
          </w:p>
        </w:tc>
        <w:tc>
          <w:tcPr>
            <w:tcW w:w="634" w:type="pct"/>
            <w:shd w:val="clear" w:color="auto" w:fill="auto"/>
            <w:hideMark/>
          </w:tcPr>
          <w:p w14:paraId="0DAC7FEA"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2.740,5</w:t>
            </w:r>
          </w:p>
        </w:tc>
        <w:tc>
          <w:tcPr>
            <w:tcW w:w="634" w:type="pct"/>
            <w:shd w:val="clear" w:color="auto" w:fill="auto"/>
            <w:hideMark/>
          </w:tcPr>
          <w:p w14:paraId="2DB3E83C"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213,8</w:t>
            </w:r>
          </w:p>
        </w:tc>
        <w:tc>
          <w:tcPr>
            <w:tcW w:w="634" w:type="pct"/>
            <w:shd w:val="clear" w:color="auto" w:fill="auto"/>
            <w:hideMark/>
          </w:tcPr>
          <w:p w14:paraId="69E1106C"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8,5</w:t>
            </w:r>
          </w:p>
        </w:tc>
        <w:tc>
          <w:tcPr>
            <w:tcW w:w="631" w:type="pct"/>
            <w:shd w:val="clear" w:color="auto" w:fill="auto"/>
            <w:noWrap/>
            <w:hideMark/>
          </w:tcPr>
          <w:p w14:paraId="7A3FFC23"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38,7</w:t>
            </w:r>
          </w:p>
        </w:tc>
      </w:tr>
      <w:tr w:rsidR="00B94540" w:rsidRPr="00092ED7" w14:paraId="4FD47A88" w14:textId="77777777" w:rsidTr="00B94540">
        <w:trPr>
          <w:trHeight w:val="223"/>
          <w:jc w:val="center"/>
        </w:trPr>
        <w:tc>
          <w:tcPr>
            <w:tcW w:w="1202" w:type="pct"/>
            <w:shd w:val="clear" w:color="auto" w:fill="auto"/>
            <w:noWrap/>
            <w:vAlign w:val="center"/>
            <w:hideMark/>
          </w:tcPr>
          <w:p w14:paraId="621F98C5"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Порез на доходак грађана</w:t>
            </w:r>
          </w:p>
        </w:tc>
        <w:tc>
          <w:tcPr>
            <w:tcW w:w="633" w:type="pct"/>
            <w:shd w:val="clear" w:color="auto" w:fill="auto"/>
            <w:hideMark/>
          </w:tcPr>
          <w:p w14:paraId="7134AF9B"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274,5</w:t>
            </w:r>
          </w:p>
        </w:tc>
        <w:tc>
          <w:tcPr>
            <w:tcW w:w="633" w:type="pct"/>
          </w:tcPr>
          <w:p w14:paraId="0D41B8AF" w14:textId="77777777" w:rsidR="00B94540" w:rsidRPr="00092ED7" w:rsidRDefault="00B94540" w:rsidP="00B94540">
            <w:pPr>
              <w:spacing w:after="0"/>
              <w:ind w:right="170"/>
              <w:jc w:val="right"/>
              <w:rPr>
                <w:sz w:val="20"/>
                <w:szCs w:val="20"/>
                <w:lang w:val="sr-Cyrl-CS"/>
              </w:rPr>
            </w:pPr>
            <w:r w:rsidRPr="00092ED7">
              <w:rPr>
                <w:sz w:val="20"/>
                <w:szCs w:val="20"/>
                <w:lang w:val="sr-Cyrl-CS"/>
              </w:rPr>
              <w:t>283,4</w:t>
            </w:r>
          </w:p>
        </w:tc>
        <w:tc>
          <w:tcPr>
            <w:tcW w:w="634" w:type="pct"/>
            <w:shd w:val="clear" w:color="auto" w:fill="auto"/>
            <w:noWrap/>
            <w:hideMark/>
          </w:tcPr>
          <w:p w14:paraId="2D56D04A"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294,7</w:t>
            </w:r>
          </w:p>
        </w:tc>
        <w:tc>
          <w:tcPr>
            <w:tcW w:w="634" w:type="pct"/>
            <w:shd w:val="clear" w:color="auto" w:fill="auto"/>
            <w:hideMark/>
          </w:tcPr>
          <w:p w14:paraId="768181FE"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20,2</w:t>
            </w:r>
          </w:p>
        </w:tc>
        <w:tc>
          <w:tcPr>
            <w:tcW w:w="634" w:type="pct"/>
            <w:shd w:val="clear" w:color="auto" w:fill="auto"/>
            <w:hideMark/>
          </w:tcPr>
          <w:p w14:paraId="6164E8AE"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7,4</w:t>
            </w:r>
          </w:p>
        </w:tc>
        <w:tc>
          <w:tcPr>
            <w:tcW w:w="631" w:type="pct"/>
            <w:shd w:val="clear" w:color="auto" w:fill="auto"/>
            <w:noWrap/>
            <w:hideMark/>
          </w:tcPr>
          <w:p w14:paraId="773F3B57"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4,2</w:t>
            </w:r>
          </w:p>
        </w:tc>
      </w:tr>
      <w:tr w:rsidR="00B94540" w:rsidRPr="00092ED7" w14:paraId="46A93D2C" w14:textId="77777777" w:rsidTr="00B94540">
        <w:trPr>
          <w:trHeight w:val="223"/>
          <w:jc w:val="center"/>
        </w:trPr>
        <w:tc>
          <w:tcPr>
            <w:tcW w:w="1202" w:type="pct"/>
            <w:shd w:val="clear" w:color="auto" w:fill="auto"/>
            <w:noWrap/>
            <w:vAlign w:val="center"/>
            <w:hideMark/>
          </w:tcPr>
          <w:p w14:paraId="256D8C0C"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Порез на добит правних лица</w:t>
            </w:r>
          </w:p>
        </w:tc>
        <w:tc>
          <w:tcPr>
            <w:tcW w:w="633" w:type="pct"/>
            <w:shd w:val="clear" w:color="auto" w:fill="auto"/>
            <w:hideMark/>
          </w:tcPr>
          <w:p w14:paraId="76A27DA0"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145,0</w:t>
            </w:r>
          </w:p>
        </w:tc>
        <w:tc>
          <w:tcPr>
            <w:tcW w:w="633" w:type="pct"/>
          </w:tcPr>
          <w:p w14:paraId="52BA5816" w14:textId="77777777" w:rsidR="00B94540" w:rsidRPr="00092ED7" w:rsidRDefault="00B94540" w:rsidP="00B94540">
            <w:pPr>
              <w:spacing w:after="0"/>
              <w:ind w:right="170"/>
              <w:jc w:val="right"/>
              <w:rPr>
                <w:sz w:val="20"/>
                <w:szCs w:val="20"/>
                <w:lang w:val="sr-Cyrl-CS"/>
              </w:rPr>
            </w:pPr>
            <w:r w:rsidRPr="00092ED7">
              <w:rPr>
                <w:sz w:val="20"/>
                <w:szCs w:val="20"/>
                <w:lang w:val="sr-Cyrl-CS"/>
              </w:rPr>
              <w:t>145,0</w:t>
            </w:r>
          </w:p>
        </w:tc>
        <w:tc>
          <w:tcPr>
            <w:tcW w:w="634" w:type="pct"/>
            <w:shd w:val="clear" w:color="auto" w:fill="auto"/>
            <w:noWrap/>
            <w:hideMark/>
          </w:tcPr>
          <w:p w14:paraId="51D232A9"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208,5</w:t>
            </w:r>
          </w:p>
        </w:tc>
        <w:tc>
          <w:tcPr>
            <w:tcW w:w="634" w:type="pct"/>
            <w:shd w:val="clear" w:color="auto" w:fill="auto"/>
            <w:hideMark/>
          </w:tcPr>
          <w:p w14:paraId="07EE621A"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63,5</w:t>
            </w:r>
          </w:p>
        </w:tc>
        <w:tc>
          <w:tcPr>
            <w:tcW w:w="634" w:type="pct"/>
            <w:shd w:val="clear" w:color="auto" w:fill="auto"/>
            <w:hideMark/>
          </w:tcPr>
          <w:p w14:paraId="5F3637B7"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43,8</w:t>
            </w:r>
          </w:p>
        </w:tc>
        <w:tc>
          <w:tcPr>
            <w:tcW w:w="631" w:type="pct"/>
            <w:shd w:val="clear" w:color="auto" w:fill="auto"/>
            <w:noWrap/>
            <w:hideMark/>
          </w:tcPr>
          <w:p w14:paraId="3E045121"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2,9</w:t>
            </w:r>
          </w:p>
        </w:tc>
      </w:tr>
      <w:tr w:rsidR="00B94540" w:rsidRPr="00092ED7" w14:paraId="1C76C23B" w14:textId="77777777" w:rsidTr="00B94540">
        <w:trPr>
          <w:trHeight w:val="223"/>
          <w:jc w:val="center"/>
        </w:trPr>
        <w:tc>
          <w:tcPr>
            <w:tcW w:w="1202" w:type="pct"/>
            <w:shd w:val="clear" w:color="auto" w:fill="auto"/>
            <w:noWrap/>
            <w:vAlign w:val="center"/>
            <w:hideMark/>
          </w:tcPr>
          <w:p w14:paraId="659CA72F"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ПДВ</w:t>
            </w:r>
          </w:p>
        </w:tc>
        <w:tc>
          <w:tcPr>
            <w:tcW w:w="633" w:type="pct"/>
            <w:shd w:val="clear" w:color="auto" w:fill="auto"/>
            <w:hideMark/>
          </w:tcPr>
          <w:p w14:paraId="45C6ACFC"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684,1</w:t>
            </w:r>
          </w:p>
        </w:tc>
        <w:tc>
          <w:tcPr>
            <w:tcW w:w="633" w:type="pct"/>
          </w:tcPr>
          <w:p w14:paraId="71E72380" w14:textId="77777777" w:rsidR="00B94540" w:rsidRPr="00092ED7" w:rsidRDefault="00B94540" w:rsidP="00B94540">
            <w:pPr>
              <w:spacing w:after="0"/>
              <w:ind w:right="170"/>
              <w:jc w:val="right"/>
              <w:rPr>
                <w:sz w:val="20"/>
                <w:szCs w:val="20"/>
                <w:lang w:val="sr-Cyrl-CS"/>
              </w:rPr>
            </w:pPr>
            <w:r w:rsidRPr="00092ED7">
              <w:rPr>
                <w:sz w:val="20"/>
                <w:szCs w:val="20"/>
                <w:lang w:val="sr-Cyrl-CS"/>
              </w:rPr>
              <w:t>750,7</w:t>
            </w:r>
          </w:p>
        </w:tc>
        <w:tc>
          <w:tcPr>
            <w:tcW w:w="634" w:type="pct"/>
            <w:shd w:val="clear" w:color="auto" w:fill="auto"/>
            <w:noWrap/>
            <w:hideMark/>
          </w:tcPr>
          <w:p w14:paraId="4B49CB2D"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777,0</w:t>
            </w:r>
          </w:p>
        </w:tc>
        <w:tc>
          <w:tcPr>
            <w:tcW w:w="634" w:type="pct"/>
            <w:shd w:val="clear" w:color="auto" w:fill="auto"/>
            <w:hideMark/>
          </w:tcPr>
          <w:p w14:paraId="690469EB"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92,9</w:t>
            </w:r>
          </w:p>
        </w:tc>
        <w:tc>
          <w:tcPr>
            <w:tcW w:w="634" w:type="pct"/>
            <w:shd w:val="clear" w:color="auto" w:fill="auto"/>
            <w:hideMark/>
          </w:tcPr>
          <w:p w14:paraId="69603DC7"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13,6</w:t>
            </w:r>
          </w:p>
        </w:tc>
        <w:tc>
          <w:tcPr>
            <w:tcW w:w="631" w:type="pct"/>
            <w:shd w:val="clear" w:color="auto" w:fill="auto"/>
            <w:noWrap/>
            <w:hideMark/>
          </w:tcPr>
          <w:p w14:paraId="2C2EDA3B"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11,0</w:t>
            </w:r>
          </w:p>
        </w:tc>
      </w:tr>
      <w:tr w:rsidR="00B94540" w:rsidRPr="00092ED7" w14:paraId="3081BDFA" w14:textId="77777777" w:rsidTr="00B94540">
        <w:trPr>
          <w:trHeight w:val="223"/>
          <w:jc w:val="center"/>
        </w:trPr>
        <w:tc>
          <w:tcPr>
            <w:tcW w:w="1202" w:type="pct"/>
            <w:shd w:val="clear" w:color="auto" w:fill="auto"/>
            <w:noWrap/>
            <w:vAlign w:val="center"/>
            <w:hideMark/>
          </w:tcPr>
          <w:p w14:paraId="13061F23"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Акцизе</w:t>
            </w:r>
          </w:p>
        </w:tc>
        <w:tc>
          <w:tcPr>
            <w:tcW w:w="633" w:type="pct"/>
            <w:shd w:val="clear" w:color="auto" w:fill="auto"/>
            <w:hideMark/>
          </w:tcPr>
          <w:p w14:paraId="6CE5430D"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337,6</w:t>
            </w:r>
          </w:p>
        </w:tc>
        <w:tc>
          <w:tcPr>
            <w:tcW w:w="633" w:type="pct"/>
          </w:tcPr>
          <w:p w14:paraId="324A328C" w14:textId="77777777" w:rsidR="00B94540" w:rsidRPr="00092ED7" w:rsidRDefault="00B94540" w:rsidP="00B94540">
            <w:pPr>
              <w:spacing w:after="0"/>
              <w:ind w:right="170"/>
              <w:jc w:val="right"/>
              <w:rPr>
                <w:sz w:val="20"/>
                <w:szCs w:val="20"/>
                <w:lang w:val="sr-Cyrl-CS"/>
              </w:rPr>
            </w:pPr>
            <w:r w:rsidRPr="00092ED7">
              <w:rPr>
                <w:sz w:val="20"/>
                <w:szCs w:val="20"/>
                <w:lang w:val="sr-Cyrl-CS"/>
              </w:rPr>
              <w:t>327,6</w:t>
            </w:r>
          </w:p>
        </w:tc>
        <w:tc>
          <w:tcPr>
            <w:tcW w:w="634" w:type="pct"/>
            <w:shd w:val="clear" w:color="auto" w:fill="auto"/>
            <w:noWrap/>
            <w:hideMark/>
          </w:tcPr>
          <w:p w14:paraId="63820331"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336,8</w:t>
            </w:r>
          </w:p>
        </w:tc>
        <w:tc>
          <w:tcPr>
            <w:tcW w:w="634" w:type="pct"/>
            <w:shd w:val="clear" w:color="auto" w:fill="auto"/>
            <w:hideMark/>
          </w:tcPr>
          <w:p w14:paraId="0DC162F1"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-0,8</w:t>
            </w:r>
          </w:p>
        </w:tc>
        <w:tc>
          <w:tcPr>
            <w:tcW w:w="634" w:type="pct"/>
            <w:shd w:val="clear" w:color="auto" w:fill="auto"/>
            <w:hideMark/>
          </w:tcPr>
          <w:p w14:paraId="4EFD7FDB"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-0,2</w:t>
            </w:r>
          </w:p>
        </w:tc>
        <w:tc>
          <w:tcPr>
            <w:tcW w:w="631" w:type="pct"/>
            <w:shd w:val="clear" w:color="auto" w:fill="auto"/>
            <w:noWrap/>
            <w:hideMark/>
          </w:tcPr>
          <w:p w14:paraId="6E1ED942"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4,8</w:t>
            </w:r>
          </w:p>
        </w:tc>
      </w:tr>
      <w:tr w:rsidR="00B94540" w:rsidRPr="00092ED7" w14:paraId="49F2B027" w14:textId="77777777" w:rsidTr="00B94540">
        <w:trPr>
          <w:trHeight w:val="223"/>
          <w:jc w:val="center"/>
        </w:trPr>
        <w:tc>
          <w:tcPr>
            <w:tcW w:w="1202" w:type="pct"/>
            <w:shd w:val="clear" w:color="auto" w:fill="auto"/>
            <w:noWrap/>
            <w:vAlign w:val="center"/>
            <w:hideMark/>
          </w:tcPr>
          <w:p w14:paraId="7C61E32D"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Царине</w:t>
            </w:r>
          </w:p>
        </w:tc>
        <w:tc>
          <w:tcPr>
            <w:tcW w:w="633" w:type="pct"/>
            <w:shd w:val="clear" w:color="auto" w:fill="auto"/>
            <w:hideMark/>
          </w:tcPr>
          <w:p w14:paraId="525540DD"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63,3</w:t>
            </w:r>
          </w:p>
        </w:tc>
        <w:tc>
          <w:tcPr>
            <w:tcW w:w="633" w:type="pct"/>
          </w:tcPr>
          <w:p w14:paraId="2BA64085" w14:textId="77777777" w:rsidR="00B94540" w:rsidRPr="00092ED7" w:rsidRDefault="00B94540" w:rsidP="00B94540">
            <w:pPr>
              <w:spacing w:after="0"/>
              <w:ind w:right="170"/>
              <w:jc w:val="right"/>
              <w:rPr>
                <w:sz w:val="20"/>
                <w:szCs w:val="20"/>
                <w:lang w:val="sr-Cyrl-CS"/>
              </w:rPr>
            </w:pPr>
            <w:r w:rsidRPr="00092ED7">
              <w:rPr>
                <w:sz w:val="20"/>
                <w:szCs w:val="20"/>
                <w:lang w:val="sr-Cyrl-CS"/>
              </w:rPr>
              <w:t>75,0</w:t>
            </w:r>
          </w:p>
        </w:tc>
        <w:tc>
          <w:tcPr>
            <w:tcW w:w="634" w:type="pct"/>
            <w:shd w:val="clear" w:color="auto" w:fill="auto"/>
            <w:noWrap/>
            <w:hideMark/>
          </w:tcPr>
          <w:p w14:paraId="2405E6D0"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79,5</w:t>
            </w:r>
          </w:p>
        </w:tc>
        <w:tc>
          <w:tcPr>
            <w:tcW w:w="634" w:type="pct"/>
            <w:shd w:val="clear" w:color="auto" w:fill="auto"/>
            <w:hideMark/>
          </w:tcPr>
          <w:p w14:paraId="117491C2"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16,2</w:t>
            </w:r>
          </w:p>
        </w:tc>
        <w:tc>
          <w:tcPr>
            <w:tcW w:w="634" w:type="pct"/>
            <w:shd w:val="clear" w:color="auto" w:fill="auto"/>
            <w:hideMark/>
          </w:tcPr>
          <w:p w14:paraId="40086AEF"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25,6</w:t>
            </w:r>
          </w:p>
        </w:tc>
        <w:tc>
          <w:tcPr>
            <w:tcW w:w="631" w:type="pct"/>
            <w:shd w:val="clear" w:color="auto" w:fill="auto"/>
            <w:noWrap/>
            <w:hideMark/>
          </w:tcPr>
          <w:p w14:paraId="1DFB3A27"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1,1</w:t>
            </w:r>
          </w:p>
        </w:tc>
      </w:tr>
      <w:tr w:rsidR="00B94540" w:rsidRPr="00092ED7" w14:paraId="7159A578" w14:textId="77777777" w:rsidTr="00B94540">
        <w:trPr>
          <w:trHeight w:val="223"/>
          <w:jc w:val="center"/>
        </w:trPr>
        <w:tc>
          <w:tcPr>
            <w:tcW w:w="1202" w:type="pct"/>
            <w:shd w:val="clear" w:color="auto" w:fill="auto"/>
            <w:noWrap/>
            <w:vAlign w:val="center"/>
            <w:hideMark/>
          </w:tcPr>
          <w:p w14:paraId="7E5C94AB"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Остали порески приходи</w:t>
            </w:r>
          </w:p>
        </w:tc>
        <w:tc>
          <w:tcPr>
            <w:tcW w:w="633" w:type="pct"/>
            <w:shd w:val="clear" w:color="auto" w:fill="auto"/>
            <w:hideMark/>
          </w:tcPr>
          <w:p w14:paraId="40C04F6B"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96,4</w:t>
            </w:r>
          </w:p>
        </w:tc>
        <w:tc>
          <w:tcPr>
            <w:tcW w:w="633" w:type="pct"/>
          </w:tcPr>
          <w:p w14:paraId="2CB399E8" w14:textId="77777777" w:rsidR="00B94540" w:rsidRPr="00092ED7" w:rsidRDefault="00B94540" w:rsidP="00B94540">
            <w:pPr>
              <w:spacing w:after="0"/>
              <w:ind w:right="170"/>
              <w:jc w:val="right"/>
              <w:rPr>
                <w:sz w:val="20"/>
                <w:szCs w:val="20"/>
                <w:lang w:val="sr-Cyrl-CS"/>
              </w:rPr>
            </w:pPr>
            <w:r w:rsidRPr="00092ED7">
              <w:rPr>
                <w:sz w:val="20"/>
                <w:szCs w:val="20"/>
                <w:lang w:val="sr-Cyrl-CS"/>
              </w:rPr>
              <w:t>96,2</w:t>
            </w:r>
          </w:p>
        </w:tc>
        <w:tc>
          <w:tcPr>
            <w:tcW w:w="634" w:type="pct"/>
            <w:shd w:val="clear" w:color="auto" w:fill="auto"/>
            <w:noWrap/>
            <w:hideMark/>
          </w:tcPr>
          <w:p w14:paraId="0124318D"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96,2</w:t>
            </w:r>
          </w:p>
        </w:tc>
        <w:tc>
          <w:tcPr>
            <w:tcW w:w="634" w:type="pct"/>
            <w:shd w:val="clear" w:color="auto" w:fill="auto"/>
            <w:hideMark/>
          </w:tcPr>
          <w:p w14:paraId="648DA0A6"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-0,2</w:t>
            </w:r>
          </w:p>
        </w:tc>
        <w:tc>
          <w:tcPr>
            <w:tcW w:w="634" w:type="pct"/>
            <w:shd w:val="clear" w:color="auto" w:fill="auto"/>
            <w:hideMark/>
          </w:tcPr>
          <w:p w14:paraId="2858E383"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-0,2</w:t>
            </w:r>
          </w:p>
        </w:tc>
        <w:tc>
          <w:tcPr>
            <w:tcW w:w="631" w:type="pct"/>
            <w:shd w:val="clear" w:color="auto" w:fill="auto"/>
            <w:noWrap/>
            <w:hideMark/>
          </w:tcPr>
          <w:p w14:paraId="751CEA69"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1,4</w:t>
            </w:r>
          </w:p>
        </w:tc>
      </w:tr>
      <w:tr w:rsidR="00B94540" w:rsidRPr="00092ED7" w14:paraId="11B1FA99" w14:textId="77777777" w:rsidTr="00B94540">
        <w:trPr>
          <w:trHeight w:val="223"/>
          <w:jc w:val="center"/>
        </w:trPr>
        <w:tc>
          <w:tcPr>
            <w:tcW w:w="1202" w:type="pct"/>
            <w:shd w:val="clear" w:color="auto" w:fill="auto"/>
            <w:noWrap/>
            <w:vAlign w:val="center"/>
            <w:hideMark/>
          </w:tcPr>
          <w:p w14:paraId="172DD905"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Доприноси</w:t>
            </w:r>
          </w:p>
        </w:tc>
        <w:tc>
          <w:tcPr>
            <w:tcW w:w="633" w:type="pct"/>
            <w:shd w:val="clear" w:color="auto" w:fill="auto"/>
            <w:hideMark/>
          </w:tcPr>
          <w:p w14:paraId="54EB41FF"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925,8</w:t>
            </w:r>
          </w:p>
        </w:tc>
        <w:tc>
          <w:tcPr>
            <w:tcW w:w="633" w:type="pct"/>
          </w:tcPr>
          <w:p w14:paraId="604FC1C8" w14:textId="77777777" w:rsidR="00B94540" w:rsidRPr="00092ED7" w:rsidRDefault="00B94540" w:rsidP="00B94540">
            <w:pPr>
              <w:spacing w:after="0"/>
              <w:ind w:right="170"/>
              <w:jc w:val="right"/>
              <w:rPr>
                <w:sz w:val="20"/>
                <w:szCs w:val="20"/>
                <w:lang w:val="sr-Cyrl-CS"/>
              </w:rPr>
            </w:pPr>
            <w:r w:rsidRPr="00092ED7">
              <w:rPr>
                <w:sz w:val="20"/>
                <w:szCs w:val="20"/>
                <w:lang w:val="sr-Cyrl-CS"/>
              </w:rPr>
              <w:t>931,5</w:t>
            </w:r>
          </w:p>
        </w:tc>
        <w:tc>
          <w:tcPr>
            <w:tcW w:w="634" w:type="pct"/>
            <w:shd w:val="clear" w:color="auto" w:fill="auto"/>
            <w:noWrap/>
            <w:hideMark/>
          </w:tcPr>
          <w:p w14:paraId="6EC9EFF1"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947,7</w:t>
            </w:r>
          </w:p>
        </w:tc>
        <w:tc>
          <w:tcPr>
            <w:tcW w:w="634" w:type="pct"/>
            <w:shd w:val="clear" w:color="auto" w:fill="auto"/>
            <w:hideMark/>
          </w:tcPr>
          <w:p w14:paraId="5406EC08"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21,9</w:t>
            </w:r>
          </w:p>
        </w:tc>
        <w:tc>
          <w:tcPr>
            <w:tcW w:w="634" w:type="pct"/>
            <w:shd w:val="clear" w:color="auto" w:fill="auto"/>
            <w:hideMark/>
          </w:tcPr>
          <w:p w14:paraId="2899D5EF"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2,4</w:t>
            </w:r>
          </w:p>
        </w:tc>
        <w:tc>
          <w:tcPr>
            <w:tcW w:w="631" w:type="pct"/>
            <w:shd w:val="clear" w:color="auto" w:fill="auto"/>
            <w:noWrap/>
            <w:hideMark/>
          </w:tcPr>
          <w:p w14:paraId="30B1024C"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13,4</w:t>
            </w:r>
          </w:p>
        </w:tc>
      </w:tr>
      <w:tr w:rsidR="00B94540" w:rsidRPr="00092ED7" w14:paraId="735F6229" w14:textId="77777777" w:rsidTr="00B94540">
        <w:trPr>
          <w:trHeight w:val="223"/>
          <w:jc w:val="center"/>
        </w:trPr>
        <w:tc>
          <w:tcPr>
            <w:tcW w:w="1202" w:type="pct"/>
            <w:shd w:val="clear" w:color="auto" w:fill="auto"/>
            <w:noWrap/>
            <w:vAlign w:val="center"/>
            <w:hideMark/>
          </w:tcPr>
          <w:p w14:paraId="73E78304"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Непорески приходи</w:t>
            </w:r>
          </w:p>
        </w:tc>
        <w:tc>
          <w:tcPr>
            <w:tcW w:w="633" w:type="pct"/>
            <w:shd w:val="clear" w:color="auto" w:fill="auto"/>
            <w:hideMark/>
          </w:tcPr>
          <w:p w14:paraId="139A1C94"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251,5</w:t>
            </w:r>
          </w:p>
        </w:tc>
        <w:tc>
          <w:tcPr>
            <w:tcW w:w="633" w:type="pct"/>
          </w:tcPr>
          <w:p w14:paraId="1A471171" w14:textId="77777777" w:rsidR="00B94540" w:rsidRPr="00092ED7" w:rsidRDefault="00B94540" w:rsidP="00B94540">
            <w:pPr>
              <w:spacing w:after="0"/>
              <w:ind w:right="170"/>
              <w:jc w:val="right"/>
              <w:rPr>
                <w:sz w:val="20"/>
                <w:szCs w:val="20"/>
                <w:lang w:val="sr-Cyrl-CS"/>
              </w:rPr>
            </w:pPr>
            <w:r w:rsidRPr="00092ED7">
              <w:rPr>
                <w:sz w:val="20"/>
                <w:szCs w:val="20"/>
                <w:lang w:val="sr-Cyrl-CS"/>
              </w:rPr>
              <w:t>265,7</w:t>
            </w:r>
          </w:p>
        </w:tc>
        <w:tc>
          <w:tcPr>
            <w:tcW w:w="634" w:type="pct"/>
            <w:shd w:val="clear" w:color="auto" w:fill="auto"/>
            <w:noWrap/>
            <w:hideMark/>
          </w:tcPr>
          <w:p w14:paraId="3374CDF4"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278,3</w:t>
            </w:r>
          </w:p>
        </w:tc>
        <w:tc>
          <w:tcPr>
            <w:tcW w:w="634" w:type="pct"/>
            <w:shd w:val="clear" w:color="auto" w:fill="auto"/>
            <w:hideMark/>
          </w:tcPr>
          <w:p w14:paraId="230DE26F"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26,8</w:t>
            </w:r>
          </w:p>
        </w:tc>
        <w:tc>
          <w:tcPr>
            <w:tcW w:w="634" w:type="pct"/>
            <w:shd w:val="clear" w:color="auto" w:fill="auto"/>
            <w:hideMark/>
          </w:tcPr>
          <w:p w14:paraId="66B4792A"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10,7</w:t>
            </w:r>
          </w:p>
        </w:tc>
        <w:tc>
          <w:tcPr>
            <w:tcW w:w="631" w:type="pct"/>
            <w:shd w:val="clear" w:color="auto" w:fill="auto"/>
            <w:noWrap/>
            <w:hideMark/>
          </w:tcPr>
          <w:p w14:paraId="34992CFB"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3,9</w:t>
            </w:r>
          </w:p>
        </w:tc>
      </w:tr>
      <w:tr w:rsidR="00B94540" w:rsidRPr="00092ED7" w14:paraId="4EA3F2D7" w14:textId="77777777" w:rsidTr="00B94540">
        <w:trPr>
          <w:trHeight w:val="223"/>
          <w:jc w:val="center"/>
        </w:trPr>
        <w:tc>
          <w:tcPr>
            <w:tcW w:w="1202" w:type="pct"/>
            <w:shd w:val="clear" w:color="auto" w:fill="auto"/>
            <w:noWrap/>
            <w:vAlign w:val="center"/>
            <w:hideMark/>
          </w:tcPr>
          <w:p w14:paraId="2D45BBF4"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Донације</w:t>
            </w:r>
          </w:p>
        </w:tc>
        <w:tc>
          <w:tcPr>
            <w:tcW w:w="633" w:type="pct"/>
            <w:shd w:val="clear" w:color="auto" w:fill="auto"/>
            <w:hideMark/>
          </w:tcPr>
          <w:p w14:paraId="67483942"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25,9</w:t>
            </w:r>
          </w:p>
        </w:tc>
        <w:tc>
          <w:tcPr>
            <w:tcW w:w="633" w:type="pct"/>
          </w:tcPr>
          <w:p w14:paraId="58C98CF7" w14:textId="77777777" w:rsidR="00B94540" w:rsidRPr="00092ED7" w:rsidRDefault="00B94540" w:rsidP="00B94540">
            <w:pPr>
              <w:spacing w:after="0"/>
              <w:ind w:right="170"/>
              <w:jc w:val="right"/>
              <w:rPr>
                <w:sz w:val="20"/>
                <w:szCs w:val="20"/>
                <w:lang w:val="sr-Cyrl-CS"/>
              </w:rPr>
            </w:pPr>
            <w:r w:rsidRPr="00092ED7">
              <w:rPr>
                <w:sz w:val="20"/>
                <w:szCs w:val="20"/>
                <w:lang w:val="sr-Cyrl-CS"/>
              </w:rPr>
              <w:t>25,9</w:t>
            </w:r>
          </w:p>
        </w:tc>
        <w:tc>
          <w:tcPr>
            <w:tcW w:w="634" w:type="pct"/>
            <w:shd w:val="clear" w:color="auto" w:fill="auto"/>
            <w:noWrap/>
            <w:hideMark/>
          </w:tcPr>
          <w:p w14:paraId="4731C076"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21,7</w:t>
            </w:r>
          </w:p>
        </w:tc>
        <w:tc>
          <w:tcPr>
            <w:tcW w:w="634" w:type="pct"/>
            <w:shd w:val="clear" w:color="auto" w:fill="auto"/>
            <w:hideMark/>
          </w:tcPr>
          <w:p w14:paraId="5AB15BD0"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-4,2</w:t>
            </w:r>
          </w:p>
        </w:tc>
        <w:tc>
          <w:tcPr>
            <w:tcW w:w="634" w:type="pct"/>
            <w:shd w:val="clear" w:color="auto" w:fill="auto"/>
            <w:hideMark/>
          </w:tcPr>
          <w:p w14:paraId="611C1872"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-16,1</w:t>
            </w:r>
          </w:p>
        </w:tc>
        <w:tc>
          <w:tcPr>
            <w:tcW w:w="631" w:type="pct"/>
            <w:shd w:val="clear" w:color="auto" w:fill="auto"/>
            <w:noWrap/>
            <w:hideMark/>
          </w:tcPr>
          <w:p w14:paraId="0DE2BE1C"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0,3</w:t>
            </w:r>
          </w:p>
        </w:tc>
      </w:tr>
      <w:tr w:rsidR="00B94540" w:rsidRPr="00092ED7" w14:paraId="655C1E32" w14:textId="77777777" w:rsidTr="00B94540">
        <w:trPr>
          <w:trHeight w:val="223"/>
          <w:jc w:val="center"/>
        </w:trPr>
        <w:tc>
          <w:tcPr>
            <w:tcW w:w="1202" w:type="pct"/>
            <w:shd w:val="clear" w:color="auto" w:fill="E7E6E6" w:themeFill="background2"/>
            <w:noWrap/>
            <w:vAlign w:val="center"/>
            <w:hideMark/>
          </w:tcPr>
          <w:p w14:paraId="02A80491" w14:textId="77777777" w:rsidR="00B94540" w:rsidRPr="00092ED7" w:rsidRDefault="00B94540" w:rsidP="00B94540">
            <w:pPr>
              <w:spacing w:after="0"/>
              <w:jc w:val="left"/>
              <w:rPr>
                <w:rFonts w:cstheme="minorHAnsi"/>
                <w:sz w:val="20"/>
                <w:szCs w:val="20"/>
                <w:lang w:val="sr-Cyrl-CS"/>
              </w:rPr>
            </w:pPr>
            <w:r w:rsidRPr="00092ED7">
              <w:rPr>
                <w:rFonts w:eastAsia="MS PGothic" w:cstheme="minorHAnsi"/>
                <w:sz w:val="20"/>
                <w:szCs w:val="20"/>
                <w:lang w:val="sr-Cyrl-CS" w:eastAsia="ja-JP"/>
              </w:rPr>
              <w:t>ЈАВНИ РАСХОДИ</w:t>
            </w:r>
          </w:p>
        </w:tc>
        <w:tc>
          <w:tcPr>
            <w:tcW w:w="633" w:type="pct"/>
            <w:shd w:val="clear" w:color="auto" w:fill="E7E6E6" w:themeFill="background2"/>
            <w:hideMark/>
          </w:tcPr>
          <w:p w14:paraId="02C3D5B8"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3.004,3</w:t>
            </w:r>
          </w:p>
        </w:tc>
        <w:tc>
          <w:tcPr>
            <w:tcW w:w="633" w:type="pct"/>
            <w:shd w:val="clear" w:color="auto" w:fill="E7E6E6" w:themeFill="background2"/>
          </w:tcPr>
          <w:p w14:paraId="2DEA9950" w14:textId="77777777" w:rsidR="00B94540" w:rsidRPr="00092ED7" w:rsidRDefault="00B94540" w:rsidP="00B94540">
            <w:pPr>
              <w:spacing w:after="0"/>
              <w:ind w:right="170"/>
              <w:jc w:val="right"/>
              <w:rPr>
                <w:sz w:val="20"/>
                <w:szCs w:val="20"/>
                <w:lang w:val="sr-Cyrl-CS"/>
              </w:rPr>
            </w:pPr>
            <w:r w:rsidRPr="00092ED7">
              <w:rPr>
                <w:sz w:val="20"/>
                <w:szCs w:val="20"/>
                <w:lang w:val="sr-Cyrl-CS"/>
              </w:rPr>
              <w:t>3.107,7</w:t>
            </w:r>
          </w:p>
        </w:tc>
        <w:tc>
          <w:tcPr>
            <w:tcW w:w="634" w:type="pct"/>
            <w:shd w:val="clear" w:color="auto" w:fill="E7E6E6" w:themeFill="background2"/>
            <w:noWrap/>
            <w:hideMark/>
          </w:tcPr>
          <w:p w14:paraId="1C0855A5"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3.311,7</w:t>
            </w:r>
          </w:p>
        </w:tc>
        <w:tc>
          <w:tcPr>
            <w:tcW w:w="634" w:type="pct"/>
            <w:shd w:val="clear" w:color="auto" w:fill="E7E6E6" w:themeFill="background2"/>
            <w:hideMark/>
          </w:tcPr>
          <w:p w14:paraId="06CA66FF"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307,4</w:t>
            </w:r>
          </w:p>
        </w:tc>
        <w:tc>
          <w:tcPr>
            <w:tcW w:w="634" w:type="pct"/>
            <w:shd w:val="clear" w:color="auto" w:fill="E7E6E6" w:themeFill="background2"/>
            <w:hideMark/>
          </w:tcPr>
          <w:p w14:paraId="1DDE0620"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10,2</w:t>
            </w:r>
          </w:p>
        </w:tc>
        <w:tc>
          <w:tcPr>
            <w:tcW w:w="631" w:type="pct"/>
            <w:shd w:val="clear" w:color="auto" w:fill="E7E6E6" w:themeFill="background2"/>
            <w:noWrap/>
            <w:hideMark/>
          </w:tcPr>
          <w:p w14:paraId="699DCA05"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46,8</w:t>
            </w:r>
          </w:p>
        </w:tc>
      </w:tr>
      <w:tr w:rsidR="00B94540" w:rsidRPr="00092ED7" w14:paraId="048C7167" w14:textId="77777777" w:rsidTr="00B94540">
        <w:trPr>
          <w:trHeight w:val="223"/>
          <w:jc w:val="center"/>
        </w:trPr>
        <w:tc>
          <w:tcPr>
            <w:tcW w:w="1202" w:type="pct"/>
            <w:shd w:val="clear" w:color="auto" w:fill="auto"/>
            <w:noWrap/>
            <w:vAlign w:val="center"/>
            <w:hideMark/>
          </w:tcPr>
          <w:p w14:paraId="19FF5216"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Текући расходи</w:t>
            </w:r>
          </w:p>
        </w:tc>
        <w:tc>
          <w:tcPr>
            <w:tcW w:w="633" w:type="pct"/>
            <w:shd w:val="clear" w:color="auto" w:fill="auto"/>
            <w:hideMark/>
          </w:tcPr>
          <w:p w14:paraId="72FCDB5F"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2.489,9</w:t>
            </w:r>
          </w:p>
        </w:tc>
        <w:tc>
          <w:tcPr>
            <w:tcW w:w="633" w:type="pct"/>
          </w:tcPr>
          <w:p w14:paraId="6978D35B" w14:textId="77777777" w:rsidR="00B94540" w:rsidRPr="00092ED7" w:rsidRDefault="00B94540" w:rsidP="00B94540">
            <w:pPr>
              <w:spacing w:after="0"/>
              <w:ind w:right="170"/>
              <w:jc w:val="right"/>
              <w:rPr>
                <w:sz w:val="20"/>
                <w:szCs w:val="20"/>
                <w:lang w:val="sr-Cyrl-CS"/>
              </w:rPr>
            </w:pPr>
            <w:r w:rsidRPr="00092ED7">
              <w:rPr>
                <w:sz w:val="20"/>
                <w:szCs w:val="20"/>
                <w:lang w:val="sr-Cyrl-CS"/>
              </w:rPr>
              <w:t>2.556,8</w:t>
            </w:r>
          </w:p>
        </w:tc>
        <w:tc>
          <w:tcPr>
            <w:tcW w:w="634" w:type="pct"/>
            <w:shd w:val="clear" w:color="auto" w:fill="auto"/>
            <w:noWrap/>
            <w:hideMark/>
          </w:tcPr>
          <w:p w14:paraId="5B513009"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2.620,8</w:t>
            </w:r>
          </w:p>
        </w:tc>
        <w:tc>
          <w:tcPr>
            <w:tcW w:w="634" w:type="pct"/>
            <w:shd w:val="clear" w:color="auto" w:fill="auto"/>
            <w:hideMark/>
          </w:tcPr>
          <w:p w14:paraId="54ACAB46"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130,9</w:t>
            </w:r>
          </w:p>
        </w:tc>
        <w:tc>
          <w:tcPr>
            <w:tcW w:w="634" w:type="pct"/>
            <w:shd w:val="clear" w:color="auto" w:fill="auto"/>
            <w:hideMark/>
          </w:tcPr>
          <w:p w14:paraId="7F338CBE"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5,3</w:t>
            </w:r>
          </w:p>
        </w:tc>
        <w:tc>
          <w:tcPr>
            <w:tcW w:w="631" w:type="pct"/>
            <w:shd w:val="clear" w:color="auto" w:fill="auto"/>
            <w:noWrap/>
            <w:hideMark/>
          </w:tcPr>
          <w:p w14:paraId="77AB5FF0"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37,0</w:t>
            </w:r>
          </w:p>
        </w:tc>
      </w:tr>
      <w:tr w:rsidR="00B94540" w:rsidRPr="00092ED7" w14:paraId="59F0127F" w14:textId="77777777" w:rsidTr="00B94540">
        <w:trPr>
          <w:trHeight w:val="223"/>
          <w:jc w:val="center"/>
        </w:trPr>
        <w:tc>
          <w:tcPr>
            <w:tcW w:w="1202" w:type="pct"/>
            <w:shd w:val="clear" w:color="auto" w:fill="auto"/>
            <w:noWrap/>
            <w:vAlign w:val="center"/>
            <w:hideMark/>
          </w:tcPr>
          <w:p w14:paraId="1AE72F99"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Расходи за запослене</w:t>
            </w:r>
          </w:p>
        </w:tc>
        <w:tc>
          <w:tcPr>
            <w:tcW w:w="633" w:type="pct"/>
            <w:shd w:val="clear" w:color="auto" w:fill="auto"/>
            <w:hideMark/>
          </w:tcPr>
          <w:p w14:paraId="3219B662"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673,1</w:t>
            </w:r>
          </w:p>
        </w:tc>
        <w:tc>
          <w:tcPr>
            <w:tcW w:w="633" w:type="pct"/>
          </w:tcPr>
          <w:p w14:paraId="1F76911D" w14:textId="77777777" w:rsidR="00B94540" w:rsidRPr="00092ED7" w:rsidRDefault="00B94540" w:rsidP="00B94540">
            <w:pPr>
              <w:spacing w:after="0"/>
              <w:ind w:right="170"/>
              <w:jc w:val="right"/>
              <w:rPr>
                <w:sz w:val="20"/>
                <w:szCs w:val="20"/>
                <w:lang w:val="sr-Cyrl-CS"/>
              </w:rPr>
            </w:pPr>
            <w:r w:rsidRPr="00092ED7">
              <w:rPr>
                <w:sz w:val="20"/>
                <w:szCs w:val="20"/>
                <w:lang w:val="sr-Cyrl-CS"/>
              </w:rPr>
              <w:t>674,9</w:t>
            </w:r>
          </w:p>
        </w:tc>
        <w:tc>
          <w:tcPr>
            <w:tcW w:w="634" w:type="pct"/>
            <w:shd w:val="clear" w:color="auto" w:fill="auto"/>
            <w:noWrap/>
            <w:hideMark/>
          </w:tcPr>
          <w:p w14:paraId="22A9D244"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688,4</w:t>
            </w:r>
          </w:p>
        </w:tc>
        <w:tc>
          <w:tcPr>
            <w:tcW w:w="634" w:type="pct"/>
            <w:shd w:val="clear" w:color="auto" w:fill="auto"/>
            <w:hideMark/>
          </w:tcPr>
          <w:p w14:paraId="67F42E2D"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15,3</w:t>
            </w:r>
          </w:p>
        </w:tc>
        <w:tc>
          <w:tcPr>
            <w:tcW w:w="634" w:type="pct"/>
            <w:shd w:val="clear" w:color="auto" w:fill="auto"/>
            <w:hideMark/>
          </w:tcPr>
          <w:p w14:paraId="1D9C6C63"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2,3</w:t>
            </w:r>
          </w:p>
        </w:tc>
        <w:tc>
          <w:tcPr>
            <w:tcW w:w="631" w:type="pct"/>
            <w:shd w:val="clear" w:color="auto" w:fill="auto"/>
            <w:noWrap/>
            <w:hideMark/>
          </w:tcPr>
          <w:p w14:paraId="14F6C4FE"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9,7</w:t>
            </w:r>
          </w:p>
        </w:tc>
      </w:tr>
      <w:tr w:rsidR="00B94540" w:rsidRPr="00092ED7" w14:paraId="58EFC13D" w14:textId="77777777" w:rsidTr="00B94540">
        <w:trPr>
          <w:trHeight w:val="223"/>
          <w:jc w:val="center"/>
        </w:trPr>
        <w:tc>
          <w:tcPr>
            <w:tcW w:w="1202" w:type="pct"/>
            <w:shd w:val="clear" w:color="auto" w:fill="auto"/>
            <w:noWrap/>
            <w:vAlign w:val="center"/>
            <w:hideMark/>
          </w:tcPr>
          <w:p w14:paraId="6A028440"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Куповина робе и услуга</w:t>
            </w:r>
          </w:p>
        </w:tc>
        <w:tc>
          <w:tcPr>
            <w:tcW w:w="633" w:type="pct"/>
            <w:shd w:val="clear" w:color="auto" w:fill="auto"/>
            <w:hideMark/>
          </w:tcPr>
          <w:p w14:paraId="7D987D96"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511,2</w:t>
            </w:r>
          </w:p>
        </w:tc>
        <w:tc>
          <w:tcPr>
            <w:tcW w:w="633" w:type="pct"/>
          </w:tcPr>
          <w:p w14:paraId="5E16EABC" w14:textId="77777777" w:rsidR="00B94540" w:rsidRPr="00092ED7" w:rsidRDefault="00B94540" w:rsidP="00B94540">
            <w:pPr>
              <w:spacing w:after="0"/>
              <w:ind w:right="170"/>
              <w:jc w:val="right"/>
              <w:rPr>
                <w:sz w:val="20"/>
                <w:szCs w:val="20"/>
                <w:lang w:val="sr-Cyrl-CS"/>
              </w:rPr>
            </w:pPr>
            <w:r w:rsidRPr="00092ED7">
              <w:rPr>
                <w:sz w:val="20"/>
                <w:szCs w:val="20"/>
                <w:lang w:val="sr-Cyrl-CS"/>
              </w:rPr>
              <w:t>529,9</w:t>
            </w:r>
          </w:p>
        </w:tc>
        <w:tc>
          <w:tcPr>
            <w:tcW w:w="634" w:type="pct"/>
            <w:shd w:val="clear" w:color="auto" w:fill="auto"/>
            <w:noWrap/>
            <w:hideMark/>
          </w:tcPr>
          <w:p w14:paraId="30382941"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549,0</w:t>
            </w:r>
          </w:p>
        </w:tc>
        <w:tc>
          <w:tcPr>
            <w:tcW w:w="634" w:type="pct"/>
            <w:shd w:val="clear" w:color="auto" w:fill="auto"/>
            <w:hideMark/>
          </w:tcPr>
          <w:p w14:paraId="75937F39"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37,8</w:t>
            </w:r>
          </w:p>
        </w:tc>
        <w:tc>
          <w:tcPr>
            <w:tcW w:w="634" w:type="pct"/>
            <w:shd w:val="clear" w:color="auto" w:fill="auto"/>
            <w:hideMark/>
          </w:tcPr>
          <w:p w14:paraId="36849B07"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7,4</w:t>
            </w:r>
          </w:p>
        </w:tc>
        <w:tc>
          <w:tcPr>
            <w:tcW w:w="631" w:type="pct"/>
            <w:shd w:val="clear" w:color="auto" w:fill="auto"/>
            <w:noWrap/>
            <w:hideMark/>
          </w:tcPr>
          <w:p w14:paraId="183C35FC"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7,8</w:t>
            </w:r>
          </w:p>
        </w:tc>
      </w:tr>
      <w:tr w:rsidR="00B94540" w:rsidRPr="00092ED7" w14:paraId="4095F45F" w14:textId="77777777" w:rsidTr="00B94540">
        <w:trPr>
          <w:trHeight w:val="223"/>
          <w:jc w:val="center"/>
        </w:trPr>
        <w:tc>
          <w:tcPr>
            <w:tcW w:w="1202" w:type="pct"/>
            <w:shd w:val="clear" w:color="auto" w:fill="auto"/>
            <w:noWrap/>
            <w:vAlign w:val="center"/>
            <w:hideMark/>
          </w:tcPr>
          <w:p w14:paraId="00D51FF3"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Отплата камата</w:t>
            </w:r>
          </w:p>
        </w:tc>
        <w:tc>
          <w:tcPr>
            <w:tcW w:w="633" w:type="pct"/>
            <w:shd w:val="clear" w:color="auto" w:fill="auto"/>
            <w:hideMark/>
          </w:tcPr>
          <w:p w14:paraId="0B375824"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118,6</w:t>
            </w:r>
          </w:p>
        </w:tc>
        <w:tc>
          <w:tcPr>
            <w:tcW w:w="633" w:type="pct"/>
          </w:tcPr>
          <w:p w14:paraId="653D0CA8" w14:textId="77777777" w:rsidR="00B94540" w:rsidRPr="00092ED7" w:rsidRDefault="00B94540" w:rsidP="00B94540">
            <w:pPr>
              <w:spacing w:after="0"/>
              <w:ind w:right="170"/>
              <w:jc w:val="right"/>
              <w:rPr>
                <w:sz w:val="20"/>
                <w:szCs w:val="20"/>
                <w:lang w:val="sr-Cyrl-CS"/>
              </w:rPr>
            </w:pPr>
            <w:r w:rsidRPr="00092ED7">
              <w:rPr>
                <w:sz w:val="20"/>
                <w:szCs w:val="20"/>
                <w:lang w:val="sr-Cyrl-CS"/>
              </w:rPr>
              <w:t>118,6</w:t>
            </w:r>
          </w:p>
        </w:tc>
        <w:tc>
          <w:tcPr>
            <w:tcW w:w="634" w:type="pct"/>
            <w:shd w:val="clear" w:color="auto" w:fill="auto"/>
            <w:noWrap/>
            <w:hideMark/>
          </w:tcPr>
          <w:p w14:paraId="721B7B7B"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115,5</w:t>
            </w:r>
          </w:p>
        </w:tc>
        <w:tc>
          <w:tcPr>
            <w:tcW w:w="634" w:type="pct"/>
            <w:shd w:val="clear" w:color="auto" w:fill="auto"/>
            <w:hideMark/>
          </w:tcPr>
          <w:p w14:paraId="235D1C2A"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-3,1</w:t>
            </w:r>
          </w:p>
        </w:tc>
        <w:tc>
          <w:tcPr>
            <w:tcW w:w="634" w:type="pct"/>
            <w:shd w:val="clear" w:color="auto" w:fill="auto"/>
            <w:hideMark/>
          </w:tcPr>
          <w:p w14:paraId="460E421C"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-2,6</w:t>
            </w:r>
          </w:p>
        </w:tc>
        <w:tc>
          <w:tcPr>
            <w:tcW w:w="631" w:type="pct"/>
            <w:shd w:val="clear" w:color="auto" w:fill="auto"/>
            <w:noWrap/>
            <w:hideMark/>
          </w:tcPr>
          <w:p w14:paraId="2C0B179F"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1,6</w:t>
            </w:r>
          </w:p>
        </w:tc>
      </w:tr>
      <w:tr w:rsidR="00B94540" w:rsidRPr="00092ED7" w14:paraId="227C4E79" w14:textId="77777777" w:rsidTr="00B94540">
        <w:trPr>
          <w:trHeight w:val="223"/>
          <w:jc w:val="center"/>
        </w:trPr>
        <w:tc>
          <w:tcPr>
            <w:tcW w:w="1202" w:type="pct"/>
            <w:shd w:val="clear" w:color="auto" w:fill="auto"/>
            <w:noWrap/>
            <w:vAlign w:val="center"/>
            <w:hideMark/>
          </w:tcPr>
          <w:p w14:paraId="53CCB089"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Субвенције</w:t>
            </w:r>
          </w:p>
        </w:tc>
        <w:tc>
          <w:tcPr>
            <w:tcW w:w="633" w:type="pct"/>
            <w:shd w:val="clear" w:color="auto" w:fill="auto"/>
            <w:hideMark/>
          </w:tcPr>
          <w:p w14:paraId="6E9D514E"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165,6</w:t>
            </w:r>
          </w:p>
        </w:tc>
        <w:tc>
          <w:tcPr>
            <w:tcW w:w="633" w:type="pct"/>
          </w:tcPr>
          <w:p w14:paraId="24451FDD" w14:textId="77777777" w:rsidR="00B94540" w:rsidRPr="00092ED7" w:rsidRDefault="00B94540" w:rsidP="00B94540">
            <w:pPr>
              <w:spacing w:after="0"/>
              <w:ind w:right="170"/>
              <w:jc w:val="right"/>
              <w:rPr>
                <w:sz w:val="20"/>
                <w:szCs w:val="20"/>
                <w:lang w:val="sr-Cyrl-CS"/>
              </w:rPr>
            </w:pPr>
            <w:r w:rsidRPr="00092ED7">
              <w:rPr>
                <w:sz w:val="20"/>
                <w:szCs w:val="20"/>
                <w:lang w:val="sr-Cyrl-CS"/>
              </w:rPr>
              <w:t>166,9</w:t>
            </w:r>
          </w:p>
        </w:tc>
        <w:tc>
          <w:tcPr>
            <w:tcW w:w="634" w:type="pct"/>
            <w:shd w:val="clear" w:color="auto" w:fill="auto"/>
            <w:noWrap/>
            <w:hideMark/>
          </w:tcPr>
          <w:p w14:paraId="0AE424F3"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183,4</w:t>
            </w:r>
          </w:p>
        </w:tc>
        <w:tc>
          <w:tcPr>
            <w:tcW w:w="634" w:type="pct"/>
            <w:shd w:val="clear" w:color="auto" w:fill="auto"/>
            <w:hideMark/>
          </w:tcPr>
          <w:p w14:paraId="6D6A3293"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17,8</w:t>
            </w:r>
          </w:p>
        </w:tc>
        <w:tc>
          <w:tcPr>
            <w:tcW w:w="634" w:type="pct"/>
            <w:shd w:val="clear" w:color="auto" w:fill="auto"/>
            <w:hideMark/>
          </w:tcPr>
          <w:p w14:paraId="1E23295D"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10,7</w:t>
            </w:r>
          </w:p>
        </w:tc>
        <w:tc>
          <w:tcPr>
            <w:tcW w:w="631" w:type="pct"/>
            <w:shd w:val="clear" w:color="auto" w:fill="auto"/>
            <w:noWrap/>
            <w:hideMark/>
          </w:tcPr>
          <w:p w14:paraId="45F6A748"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2,6</w:t>
            </w:r>
          </w:p>
        </w:tc>
      </w:tr>
      <w:tr w:rsidR="00B94540" w:rsidRPr="00092ED7" w14:paraId="2DFC5249" w14:textId="77777777" w:rsidTr="00B94540">
        <w:trPr>
          <w:trHeight w:val="223"/>
          <w:jc w:val="center"/>
        </w:trPr>
        <w:tc>
          <w:tcPr>
            <w:tcW w:w="1202" w:type="pct"/>
            <w:shd w:val="clear" w:color="auto" w:fill="auto"/>
            <w:noWrap/>
            <w:vAlign w:val="center"/>
            <w:hideMark/>
          </w:tcPr>
          <w:p w14:paraId="15DB3F37"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Социјална помоћ и трансфери</w:t>
            </w:r>
          </w:p>
        </w:tc>
        <w:tc>
          <w:tcPr>
            <w:tcW w:w="633" w:type="pct"/>
            <w:shd w:val="clear" w:color="auto" w:fill="auto"/>
            <w:hideMark/>
          </w:tcPr>
          <w:p w14:paraId="1714F0DB"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914,7</w:t>
            </w:r>
          </w:p>
        </w:tc>
        <w:tc>
          <w:tcPr>
            <w:tcW w:w="633" w:type="pct"/>
          </w:tcPr>
          <w:p w14:paraId="1968CD2A" w14:textId="77777777" w:rsidR="00B94540" w:rsidRPr="00092ED7" w:rsidRDefault="00B94540" w:rsidP="00B94540">
            <w:pPr>
              <w:spacing w:after="0"/>
              <w:ind w:right="170"/>
              <w:jc w:val="right"/>
              <w:rPr>
                <w:sz w:val="20"/>
                <w:szCs w:val="20"/>
                <w:lang w:val="sr-Cyrl-CS"/>
              </w:rPr>
            </w:pPr>
            <w:r w:rsidRPr="00092ED7">
              <w:rPr>
                <w:sz w:val="20"/>
                <w:szCs w:val="20"/>
                <w:lang w:val="sr-Cyrl-CS"/>
              </w:rPr>
              <w:t>916,1</w:t>
            </w:r>
          </w:p>
        </w:tc>
        <w:tc>
          <w:tcPr>
            <w:tcW w:w="634" w:type="pct"/>
            <w:shd w:val="clear" w:color="auto" w:fill="auto"/>
            <w:noWrap/>
            <w:hideMark/>
          </w:tcPr>
          <w:p w14:paraId="6493824C"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922,0</w:t>
            </w:r>
          </w:p>
        </w:tc>
        <w:tc>
          <w:tcPr>
            <w:tcW w:w="634" w:type="pct"/>
            <w:shd w:val="clear" w:color="auto" w:fill="auto"/>
            <w:hideMark/>
          </w:tcPr>
          <w:p w14:paraId="09FA86BD"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7,3</w:t>
            </w:r>
          </w:p>
        </w:tc>
        <w:tc>
          <w:tcPr>
            <w:tcW w:w="634" w:type="pct"/>
            <w:shd w:val="clear" w:color="auto" w:fill="auto"/>
            <w:hideMark/>
          </w:tcPr>
          <w:p w14:paraId="6B0FAE10"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0,8</w:t>
            </w:r>
          </w:p>
        </w:tc>
        <w:tc>
          <w:tcPr>
            <w:tcW w:w="631" w:type="pct"/>
            <w:shd w:val="clear" w:color="auto" w:fill="auto"/>
            <w:noWrap/>
            <w:hideMark/>
          </w:tcPr>
          <w:p w14:paraId="53959EDC"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13,0</w:t>
            </w:r>
          </w:p>
        </w:tc>
      </w:tr>
      <w:tr w:rsidR="00B94540" w:rsidRPr="00092ED7" w14:paraId="4A89DC96" w14:textId="77777777" w:rsidTr="00B94540">
        <w:trPr>
          <w:trHeight w:val="223"/>
          <w:jc w:val="center"/>
        </w:trPr>
        <w:tc>
          <w:tcPr>
            <w:tcW w:w="1202" w:type="pct"/>
            <w:shd w:val="clear" w:color="auto" w:fill="auto"/>
            <w:noWrap/>
            <w:vAlign w:val="center"/>
            <w:hideMark/>
          </w:tcPr>
          <w:p w14:paraId="43ED97BB"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од чега пензије</w:t>
            </w:r>
          </w:p>
        </w:tc>
        <w:tc>
          <w:tcPr>
            <w:tcW w:w="633" w:type="pct"/>
            <w:shd w:val="clear" w:color="auto" w:fill="auto"/>
            <w:hideMark/>
          </w:tcPr>
          <w:p w14:paraId="0CE2B947"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645,7</w:t>
            </w:r>
          </w:p>
        </w:tc>
        <w:tc>
          <w:tcPr>
            <w:tcW w:w="633" w:type="pct"/>
          </w:tcPr>
          <w:p w14:paraId="70EA922F" w14:textId="77777777" w:rsidR="00B94540" w:rsidRPr="00092ED7" w:rsidRDefault="00B94540" w:rsidP="00B94540">
            <w:pPr>
              <w:spacing w:after="0"/>
              <w:ind w:right="170"/>
              <w:jc w:val="right"/>
              <w:rPr>
                <w:sz w:val="20"/>
                <w:szCs w:val="20"/>
                <w:lang w:val="sr-Cyrl-CS"/>
              </w:rPr>
            </w:pPr>
            <w:r w:rsidRPr="00092ED7">
              <w:rPr>
                <w:sz w:val="20"/>
                <w:szCs w:val="20"/>
                <w:lang w:val="sr-Cyrl-CS"/>
              </w:rPr>
              <w:t>636,1</w:t>
            </w:r>
          </w:p>
        </w:tc>
        <w:tc>
          <w:tcPr>
            <w:tcW w:w="634" w:type="pct"/>
            <w:shd w:val="clear" w:color="auto" w:fill="auto"/>
            <w:noWrap/>
            <w:hideMark/>
          </w:tcPr>
          <w:p w14:paraId="71F71A85"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638,6</w:t>
            </w:r>
          </w:p>
        </w:tc>
        <w:tc>
          <w:tcPr>
            <w:tcW w:w="634" w:type="pct"/>
            <w:shd w:val="clear" w:color="auto" w:fill="auto"/>
            <w:hideMark/>
          </w:tcPr>
          <w:p w14:paraId="2FC14D7D"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-7,1</w:t>
            </w:r>
          </w:p>
        </w:tc>
        <w:tc>
          <w:tcPr>
            <w:tcW w:w="634" w:type="pct"/>
            <w:shd w:val="clear" w:color="auto" w:fill="auto"/>
            <w:hideMark/>
          </w:tcPr>
          <w:p w14:paraId="25C680EA"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-1,1</w:t>
            </w:r>
          </w:p>
        </w:tc>
        <w:tc>
          <w:tcPr>
            <w:tcW w:w="631" w:type="pct"/>
            <w:shd w:val="clear" w:color="auto" w:fill="auto"/>
            <w:noWrap/>
            <w:hideMark/>
          </w:tcPr>
          <w:p w14:paraId="4B4C55F1"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9,0</w:t>
            </w:r>
          </w:p>
        </w:tc>
      </w:tr>
      <w:tr w:rsidR="00B94540" w:rsidRPr="00092ED7" w14:paraId="4BD8F85D" w14:textId="77777777" w:rsidTr="00B94540">
        <w:trPr>
          <w:trHeight w:val="223"/>
          <w:jc w:val="center"/>
        </w:trPr>
        <w:tc>
          <w:tcPr>
            <w:tcW w:w="1202" w:type="pct"/>
            <w:shd w:val="clear" w:color="auto" w:fill="auto"/>
            <w:noWrap/>
            <w:vAlign w:val="center"/>
            <w:hideMark/>
          </w:tcPr>
          <w:p w14:paraId="25E03EC2"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Остали текући расходи</w:t>
            </w:r>
          </w:p>
        </w:tc>
        <w:tc>
          <w:tcPr>
            <w:tcW w:w="633" w:type="pct"/>
            <w:shd w:val="clear" w:color="auto" w:fill="auto"/>
            <w:hideMark/>
          </w:tcPr>
          <w:p w14:paraId="26D47145"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106,7</w:t>
            </w:r>
          </w:p>
        </w:tc>
        <w:tc>
          <w:tcPr>
            <w:tcW w:w="633" w:type="pct"/>
          </w:tcPr>
          <w:p w14:paraId="3F0A20E9" w14:textId="77777777" w:rsidR="00B94540" w:rsidRPr="00092ED7" w:rsidRDefault="00B94540" w:rsidP="00B94540">
            <w:pPr>
              <w:spacing w:after="0"/>
              <w:ind w:right="170"/>
              <w:jc w:val="right"/>
              <w:rPr>
                <w:sz w:val="20"/>
                <w:szCs w:val="20"/>
                <w:lang w:val="sr-Cyrl-CS"/>
              </w:rPr>
            </w:pPr>
            <w:r w:rsidRPr="00092ED7">
              <w:rPr>
                <w:sz w:val="20"/>
                <w:szCs w:val="20"/>
                <w:lang w:val="sr-Cyrl-CS"/>
              </w:rPr>
              <w:t>150,4</w:t>
            </w:r>
          </w:p>
        </w:tc>
        <w:tc>
          <w:tcPr>
            <w:tcW w:w="634" w:type="pct"/>
            <w:shd w:val="clear" w:color="auto" w:fill="auto"/>
            <w:noWrap/>
            <w:hideMark/>
          </w:tcPr>
          <w:p w14:paraId="029D5102"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162,5</w:t>
            </w:r>
          </w:p>
        </w:tc>
        <w:tc>
          <w:tcPr>
            <w:tcW w:w="634" w:type="pct"/>
            <w:shd w:val="clear" w:color="auto" w:fill="auto"/>
            <w:hideMark/>
          </w:tcPr>
          <w:p w14:paraId="68395C57"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55,8</w:t>
            </w:r>
          </w:p>
        </w:tc>
        <w:tc>
          <w:tcPr>
            <w:tcW w:w="634" w:type="pct"/>
            <w:shd w:val="clear" w:color="auto" w:fill="auto"/>
            <w:hideMark/>
          </w:tcPr>
          <w:p w14:paraId="7B9872A9"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52,3</w:t>
            </w:r>
          </w:p>
        </w:tc>
        <w:tc>
          <w:tcPr>
            <w:tcW w:w="631" w:type="pct"/>
            <w:shd w:val="clear" w:color="auto" w:fill="auto"/>
            <w:noWrap/>
            <w:hideMark/>
          </w:tcPr>
          <w:p w14:paraId="2273B44F"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2,3</w:t>
            </w:r>
          </w:p>
        </w:tc>
      </w:tr>
      <w:tr w:rsidR="00B94540" w:rsidRPr="00092ED7" w14:paraId="4E005553" w14:textId="77777777" w:rsidTr="00B94540">
        <w:trPr>
          <w:trHeight w:val="223"/>
          <w:jc w:val="center"/>
        </w:trPr>
        <w:tc>
          <w:tcPr>
            <w:tcW w:w="1202" w:type="pct"/>
            <w:shd w:val="clear" w:color="auto" w:fill="auto"/>
            <w:noWrap/>
            <w:vAlign w:val="center"/>
            <w:hideMark/>
          </w:tcPr>
          <w:p w14:paraId="5DBCF46E"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Капитални расходи</w:t>
            </w:r>
          </w:p>
        </w:tc>
        <w:tc>
          <w:tcPr>
            <w:tcW w:w="633" w:type="pct"/>
            <w:shd w:val="clear" w:color="auto" w:fill="auto"/>
            <w:hideMark/>
          </w:tcPr>
          <w:p w14:paraId="34FA0856"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485,8</w:t>
            </w:r>
          </w:p>
        </w:tc>
        <w:tc>
          <w:tcPr>
            <w:tcW w:w="633" w:type="pct"/>
          </w:tcPr>
          <w:p w14:paraId="771EA60D" w14:textId="77777777" w:rsidR="00B94540" w:rsidRPr="00092ED7" w:rsidRDefault="00B94540" w:rsidP="00B94540">
            <w:pPr>
              <w:spacing w:after="0"/>
              <w:ind w:right="170"/>
              <w:jc w:val="right"/>
              <w:rPr>
                <w:sz w:val="20"/>
                <w:szCs w:val="20"/>
                <w:lang w:val="sr-Cyrl-CS"/>
              </w:rPr>
            </w:pPr>
            <w:r w:rsidRPr="00092ED7">
              <w:rPr>
                <w:sz w:val="20"/>
                <w:szCs w:val="20"/>
                <w:lang w:val="sr-Cyrl-CS"/>
              </w:rPr>
              <w:t>496,8</w:t>
            </w:r>
          </w:p>
        </w:tc>
        <w:tc>
          <w:tcPr>
            <w:tcW w:w="634" w:type="pct"/>
            <w:shd w:val="clear" w:color="auto" w:fill="auto"/>
            <w:noWrap/>
            <w:hideMark/>
          </w:tcPr>
          <w:p w14:paraId="6DD5469E"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519,3</w:t>
            </w:r>
          </w:p>
        </w:tc>
        <w:tc>
          <w:tcPr>
            <w:tcW w:w="634" w:type="pct"/>
            <w:shd w:val="clear" w:color="auto" w:fill="auto"/>
            <w:hideMark/>
          </w:tcPr>
          <w:p w14:paraId="2A030C04"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33,5</w:t>
            </w:r>
          </w:p>
        </w:tc>
        <w:tc>
          <w:tcPr>
            <w:tcW w:w="634" w:type="pct"/>
            <w:shd w:val="clear" w:color="auto" w:fill="auto"/>
            <w:hideMark/>
          </w:tcPr>
          <w:p w14:paraId="51F0CF97"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6,9</w:t>
            </w:r>
          </w:p>
        </w:tc>
        <w:tc>
          <w:tcPr>
            <w:tcW w:w="631" w:type="pct"/>
            <w:shd w:val="clear" w:color="auto" w:fill="auto"/>
            <w:noWrap/>
            <w:hideMark/>
          </w:tcPr>
          <w:p w14:paraId="1E58C167"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7,3</w:t>
            </w:r>
          </w:p>
        </w:tc>
      </w:tr>
      <w:tr w:rsidR="00B94540" w:rsidRPr="00092ED7" w14:paraId="23E82888" w14:textId="77777777" w:rsidTr="00B94540">
        <w:trPr>
          <w:trHeight w:val="223"/>
          <w:jc w:val="center"/>
        </w:trPr>
        <w:tc>
          <w:tcPr>
            <w:tcW w:w="1202" w:type="pct"/>
            <w:shd w:val="clear" w:color="auto" w:fill="auto"/>
            <w:noWrap/>
            <w:vAlign w:val="center"/>
            <w:hideMark/>
          </w:tcPr>
          <w:p w14:paraId="7DD620DF"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Нето буџетске позајмице</w:t>
            </w:r>
          </w:p>
        </w:tc>
        <w:tc>
          <w:tcPr>
            <w:tcW w:w="633" w:type="pct"/>
            <w:shd w:val="clear" w:color="auto" w:fill="auto"/>
            <w:hideMark/>
          </w:tcPr>
          <w:p w14:paraId="1AB81568"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13,4</w:t>
            </w:r>
          </w:p>
        </w:tc>
        <w:tc>
          <w:tcPr>
            <w:tcW w:w="633" w:type="pct"/>
          </w:tcPr>
          <w:p w14:paraId="2319FD24" w14:textId="77777777" w:rsidR="00B94540" w:rsidRPr="00092ED7" w:rsidRDefault="00B94540" w:rsidP="00B94540">
            <w:pPr>
              <w:spacing w:after="0"/>
              <w:ind w:right="170"/>
              <w:jc w:val="right"/>
              <w:rPr>
                <w:sz w:val="20"/>
                <w:szCs w:val="20"/>
                <w:lang w:val="sr-Cyrl-CS"/>
              </w:rPr>
            </w:pPr>
            <w:r w:rsidRPr="00092ED7">
              <w:rPr>
                <w:sz w:val="20"/>
                <w:szCs w:val="20"/>
                <w:lang w:val="sr-Cyrl-CS"/>
              </w:rPr>
              <w:t>38,9</w:t>
            </w:r>
          </w:p>
        </w:tc>
        <w:tc>
          <w:tcPr>
            <w:tcW w:w="634" w:type="pct"/>
            <w:shd w:val="clear" w:color="auto" w:fill="auto"/>
            <w:noWrap/>
            <w:hideMark/>
          </w:tcPr>
          <w:p w14:paraId="3711170F"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153,4</w:t>
            </w:r>
          </w:p>
        </w:tc>
        <w:tc>
          <w:tcPr>
            <w:tcW w:w="634" w:type="pct"/>
            <w:shd w:val="clear" w:color="auto" w:fill="auto"/>
            <w:hideMark/>
          </w:tcPr>
          <w:p w14:paraId="25AE7125"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140,0</w:t>
            </w:r>
          </w:p>
        </w:tc>
        <w:tc>
          <w:tcPr>
            <w:tcW w:w="634" w:type="pct"/>
            <w:shd w:val="clear" w:color="auto" w:fill="auto"/>
            <w:hideMark/>
          </w:tcPr>
          <w:p w14:paraId="303751FD"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1.044,8</w:t>
            </w:r>
          </w:p>
        </w:tc>
        <w:tc>
          <w:tcPr>
            <w:tcW w:w="631" w:type="pct"/>
            <w:shd w:val="clear" w:color="auto" w:fill="auto"/>
            <w:noWrap/>
            <w:hideMark/>
          </w:tcPr>
          <w:p w14:paraId="55511D91"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2,2</w:t>
            </w:r>
          </w:p>
        </w:tc>
      </w:tr>
      <w:tr w:rsidR="00B94540" w:rsidRPr="00092ED7" w14:paraId="066F129E" w14:textId="77777777" w:rsidTr="00B94540">
        <w:trPr>
          <w:trHeight w:val="223"/>
          <w:jc w:val="center"/>
        </w:trPr>
        <w:tc>
          <w:tcPr>
            <w:tcW w:w="1202" w:type="pct"/>
            <w:shd w:val="clear" w:color="auto" w:fill="auto"/>
            <w:noWrap/>
            <w:vAlign w:val="center"/>
            <w:hideMark/>
          </w:tcPr>
          <w:p w14:paraId="1C67AF9E"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Активиране гаранције</w:t>
            </w:r>
          </w:p>
        </w:tc>
        <w:tc>
          <w:tcPr>
            <w:tcW w:w="633" w:type="pct"/>
            <w:shd w:val="clear" w:color="auto" w:fill="auto"/>
            <w:hideMark/>
          </w:tcPr>
          <w:p w14:paraId="50C8FB71"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15,2</w:t>
            </w:r>
          </w:p>
        </w:tc>
        <w:tc>
          <w:tcPr>
            <w:tcW w:w="633" w:type="pct"/>
          </w:tcPr>
          <w:p w14:paraId="4962FCFC" w14:textId="77777777" w:rsidR="00B94540" w:rsidRPr="00092ED7" w:rsidRDefault="00B94540" w:rsidP="00B94540">
            <w:pPr>
              <w:spacing w:after="0"/>
              <w:ind w:right="170"/>
              <w:jc w:val="right"/>
              <w:rPr>
                <w:sz w:val="20"/>
                <w:szCs w:val="20"/>
                <w:lang w:val="sr-Cyrl-CS"/>
              </w:rPr>
            </w:pPr>
            <w:r w:rsidRPr="00092ED7">
              <w:rPr>
                <w:sz w:val="20"/>
                <w:szCs w:val="20"/>
                <w:lang w:val="sr-Cyrl-CS"/>
              </w:rPr>
              <w:t>15,2</w:t>
            </w:r>
          </w:p>
        </w:tc>
        <w:tc>
          <w:tcPr>
            <w:tcW w:w="634" w:type="pct"/>
            <w:shd w:val="clear" w:color="auto" w:fill="auto"/>
            <w:noWrap/>
            <w:hideMark/>
          </w:tcPr>
          <w:p w14:paraId="75902EB4"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18,2</w:t>
            </w:r>
          </w:p>
        </w:tc>
        <w:tc>
          <w:tcPr>
            <w:tcW w:w="634" w:type="pct"/>
            <w:shd w:val="clear" w:color="auto" w:fill="auto"/>
            <w:hideMark/>
          </w:tcPr>
          <w:p w14:paraId="375CA375"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3,0</w:t>
            </w:r>
          </w:p>
        </w:tc>
        <w:tc>
          <w:tcPr>
            <w:tcW w:w="634" w:type="pct"/>
            <w:shd w:val="clear" w:color="auto" w:fill="auto"/>
            <w:hideMark/>
          </w:tcPr>
          <w:p w14:paraId="77F780EA"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19,7</w:t>
            </w:r>
          </w:p>
        </w:tc>
        <w:tc>
          <w:tcPr>
            <w:tcW w:w="631" w:type="pct"/>
            <w:shd w:val="clear" w:color="auto" w:fill="auto"/>
            <w:noWrap/>
            <w:hideMark/>
          </w:tcPr>
          <w:p w14:paraId="6D1980CC"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0,3</w:t>
            </w:r>
          </w:p>
        </w:tc>
      </w:tr>
      <w:tr w:rsidR="00B94540" w:rsidRPr="00092ED7" w14:paraId="7C7892A9" w14:textId="77777777" w:rsidTr="00B94540">
        <w:trPr>
          <w:trHeight w:val="223"/>
          <w:jc w:val="center"/>
        </w:trPr>
        <w:tc>
          <w:tcPr>
            <w:tcW w:w="1202" w:type="pct"/>
            <w:shd w:val="clear" w:color="auto" w:fill="E7E6E6" w:themeFill="background2"/>
            <w:noWrap/>
            <w:vAlign w:val="center"/>
            <w:hideMark/>
          </w:tcPr>
          <w:p w14:paraId="6E29D84A" w14:textId="77777777" w:rsidR="00B94540" w:rsidRPr="00092ED7" w:rsidRDefault="00B94540" w:rsidP="00B94540">
            <w:pPr>
              <w:spacing w:after="0"/>
              <w:jc w:val="left"/>
              <w:rPr>
                <w:rFonts w:cstheme="minorHAnsi"/>
                <w:sz w:val="20"/>
                <w:szCs w:val="20"/>
                <w:lang w:val="sr-Cyrl-CS"/>
              </w:rPr>
            </w:pPr>
            <w:r w:rsidRPr="00092ED7">
              <w:rPr>
                <w:rFonts w:eastAsia="MS PGothic" w:cstheme="minorHAnsi"/>
                <w:sz w:val="20"/>
                <w:szCs w:val="20"/>
                <w:lang w:val="sr-Cyrl-CS" w:eastAsia="ja-JP"/>
              </w:rPr>
              <w:t>Резултат</w:t>
            </w:r>
          </w:p>
        </w:tc>
        <w:tc>
          <w:tcPr>
            <w:tcW w:w="633" w:type="pct"/>
            <w:shd w:val="clear" w:color="auto" w:fill="E7E6E6" w:themeFill="background2"/>
            <w:hideMark/>
          </w:tcPr>
          <w:p w14:paraId="565B851E"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-200,2</w:t>
            </w:r>
          </w:p>
        </w:tc>
        <w:tc>
          <w:tcPr>
            <w:tcW w:w="633" w:type="pct"/>
            <w:shd w:val="clear" w:color="auto" w:fill="E7E6E6" w:themeFill="background2"/>
          </w:tcPr>
          <w:p w14:paraId="100EC204" w14:textId="77777777" w:rsidR="00B94540" w:rsidRPr="00092ED7" w:rsidRDefault="00B94540" w:rsidP="00B94540">
            <w:pPr>
              <w:spacing w:after="0"/>
              <w:ind w:right="170"/>
              <w:jc w:val="right"/>
              <w:rPr>
                <w:sz w:val="20"/>
                <w:szCs w:val="20"/>
                <w:lang w:val="sr-Cyrl-CS"/>
              </w:rPr>
            </w:pPr>
            <w:r w:rsidRPr="00092ED7">
              <w:rPr>
                <w:sz w:val="20"/>
                <w:szCs w:val="20"/>
                <w:lang w:val="sr-Cyrl-CS"/>
              </w:rPr>
              <w:t>-206,7</w:t>
            </w:r>
          </w:p>
        </w:tc>
        <w:tc>
          <w:tcPr>
            <w:tcW w:w="634" w:type="pct"/>
            <w:shd w:val="clear" w:color="auto" w:fill="E7E6E6" w:themeFill="background2"/>
            <w:noWrap/>
            <w:hideMark/>
          </w:tcPr>
          <w:p w14:paraId="2135DF6F"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-271,2</w:t>
            </w:r>
          </w:p>
        </w:tc>
        <w:tc>
          <w:tcPr>
            <w:tcW w:w="634" w:type="pct"/>
            <w:shd w:val="clear" w:color="auto" w:fill="E7E6E6" w:themeFill="background2"/>
            <w:hideMark/>
          </w:tcPr>
          <w:p w14:paraId="2AC95FD8"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-71,0</w:t>
            </w:r>
          </w:p>
        </w:tc>
        <w:tc>
          <w:tcPr>
            <w:tcW w:w="634" w:type="pct"/>
            <w:shd w:val="clear" w:color="auto" w:fill="E7E6E6" w:themeFill="background2"/>
            <w:hideMark/>
          </w:tcPr>
          <w:p w14:paraId="0A6EB5FE" w14:textId="77777777" w:rsidR="00B94540" w:rsidRPr="00092ED7" w:rsidRDefault="00B94540" w:rsidP="00B94540">
            <w:pPr>
              <w:spacing w:after="0"/>
              <w:ind w:right="284"/>
              <w:jc w:val="right"/>
              <w:rPr>
                <w:rFonts w:cstheme="minorHAnsi"/>
                <w:sz w:val="20"/>
                <w:szCs w:val="20"/>
                <w:lang w:val="sr-Cyrl-CS"/>
              </w:rPr>
            </w:pPr>
          </w:p>
        </w:tc>
        <w:tc>
          <w:tcPr>
            <w:tcW w:w="631" w:type="pct"/>
            <w:shd w:val="clear" w:color="auto" w:fill="E7E6E6" w:themeFill="background2"/>
            <w:noWrap/>
            <w:hideMark/>
          </w:tcPr>
          <w:p w14:paraId="5448808D"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-3,8</w:t>
            </w:r>
          </w:p>
        </w:tc>
      </w:tr>
      <w:tr w:rsidR="00B94540" w:rsidRPr="00092ED7" w14:paraId="0B992BF6" w14:textId="77777777" w:rsidTr="00B94540">
        <w:trPr>
          <w:trHeight w:val="223"/>
          <w:jc w:val="center"/>
        </w:trPr>
        <w:tc>
          <w:tcPr>
            <w:tcW w:w="1202" w:type="pct"/>
            <w:shd w:val="clear" w:color="auto" w:fill="auto"/>
            <w:noWrap/>
            <w:vAlign w:val="center"/>
            <w:hideMark/>
          </w:tcPr>
          <w:p w14:paraId="389F5DBF" w14:textId="77777777" w:rsidR="00B94540" w:rsidRPr="00092ED7" w:rsidRDefault="00B94540" w:rsidP="00B94540">
            <w:pPr>
              <w:spacing w:after="0"/>
              <w:jc w:val="left"/>
              <w:rPr>
                <w:rFonts w:cstheme="minorHAnsi"/>
                <w:sz w:val="20"/>
                <w:szCs w:val="20"/>
                <w:lang w:val="sr-Cyrl-CS"/>
              </w:rPr>
            </w:pPr>
            <w:r w:rsidRPr="00092ED7">
              <w:rPr>
                <w:rFonts w:eastAsia="MS PGothic" w:cstheme="minorHAnsi"/>
                <w:sz w:val="20"/>
                <w:szCs w:val="20"/>
                <w:lang w:val="sr-Cyrl-CS" w:eastAsia="ja-JP"/>
              </w:rPr>
              <w:t>Резултат у % БДП</w:t>
            </w:r>
          </w:p>
        </w:tc>
        <w:tc>
          <w:tcPr>
            <w:tcW w:w="633" w:type="pct"/>
            <w:shd w:val="clear" w:color="auto" w:fill="auto"/>
            <w:hideMark/>
          </w:tcPr>
          <w:p w14:paraId="54DC4812"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-3,0</w:t>
            </w:r>
          </w:p>
        </w:tc>
        <w:tc>
          <w:tcPr>
            <w:tcW w:w="633" w:type="pct"/>
          </w:tcPr>
          <w:p w14:paraId="21C5B2A8" w14:textId="77777777" w:rsidR="00B94540" w:rsidRPr="00092ED7" w:rsidRDefault="00B94540" w:rsidP="00B94540">
            <w:pPr>
              <w:spacing w:after="0"/>
              <w:ind w:right="170"/>
              <w:jc w:val="right"/>
              <w:rPr>
                <w:sz w:val="20"/>
                <w:szCs w:val="20"/>
                <w:lang w:val="sr-Cyrl-CS"/>
              </w:rPr>
            </w:pPr>
            <w:r w:rsidRPr="00092ED7">
              <w:rPr>
                <w:sz w:val="20"/>
                <w:szCs w:val="20"/>
                <w:lang w:val="sr-Cyrl-CS"/>
              </w:rPr>
              <w:t>-3,0</w:t>
            </w:r>
          </w:p>
        </w:tc>
        <w:tc>
          <w:tcPr>
            <w:tcW w:w="634" w:type="pct"/>
            <w:shd w:val="clear" w:color="auto" w:fill="auto"/>
            <w:hideMark/>
          </w:tcPr>
          <w:p w14:paraId="3863A1E3"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-3,8</w:t>
            </w:r>
          </w:p>
        </w:tc>
        <w:tc>
          <w:tcPr>
            <w:tcW w:w="634" w:type="pct"/>
            <w:shd w:val="clear" w:color="auto" w:fill="auto"/>
            <w:hideMark/>
          </w:tcPr>
          <w:p w14:paraId="6146468C"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-0,8</w:t>
            </w:r>
          </w:p>
        </w:tc>
        <w:tc>
          <w:tcPr>
            <w:tcW w:w="634" w:type="pct"/>
            <w:shd w:val="clear" w:color="auto" w:fill="auto"/>
            <w:hideMark/>
          </w:tcPr>
          <w:p w14:paraId="600D54D4" w14:textId="77777777" w:rsidR="00B94540" w:rsidRPr="00092ED7" w:rsidRDefault="00B94540" w:rsidP="00B94540">
            <w:pPr>
              <w:spacing w:after="0"/>
              <w:ind w:right="284"/>
              <w:jc w:val="right"/>
              <w:rPr>
                <w:rFonts w:cstheme="minorHAnsi"/>
                <w:sz w:val="20"/>
                <w:szCs w:val="20"/>
                <w:lang w:val="sr-Cyrl-CS"/>
              </w:rPr>
            </w:pPr>
          </w:p>
        </w:tc>
        <w:tc>
          <w:tcPr>
            <w:tcW w:w="631" w:type="pct"/>
            <w:shd w:val="clear" w:color="auto" w:fill="auto"/>
            <w:hideMark/>
          </w:tcPr>
          <w:p w14:paraId="7A7C3F66" w14:textId="77777777" w:rsidR="00B94540" w:rsidRPr="00092ED7" w:rsidRDefault="00B94540" w:rsidP="00B94540">
            <w:pPr>
              <w:spacing w:after="0"/>
              <w:ind w:right="284"/>
              <w:jc w:val="right"/>
              <w:rPr>
                <w:rFonts w:cstheme="minorHAnsi"/>
                <w:sz w:val="20"/>
                <w:szCs w:val="20"/>
                <w:lang w:val="sr-Cyrl-CS"/>
              </w:rPr>
            </w:pPr>
          </w:p>
        </w:tc>
      </w:tr>
    </w:tbl>
    <w:p w14:paraId="0E38323E" w14:textId="77777777" w:rsidR="00B94540" w:rsidRPr="00092ED7" w:rsidRDefault="00B94540" w:rsidP="00B94540">
      <w:pPr>
        <w:spacing w:before="60"/>
        <w:rPr>
          <w:rFonts w:eastAsia="Calibri" w:cs="Times New Roman"/>
          <w:sz w:val="18"/>
          <w:szCs w:val="18"/>
          <w:lang w:val="sr-Cyrl-CS"/>
        </w:rPr>
      </w:pPr>
      <w:r w:rsidRPr="00092ED7">
        <w:rPr>
          <w:rFonts w:eastAsia="Calibri" w:cs="Times New Roman"/>
          <w:bCs/>
          <w:sz w:val="18"/>
          <w:szCs w:val="18"/>
          <w:lang w:val="sr-Cyrl-CS" w:eastAsia="ja-JP"/>
        </w:rPr>
        <w:t xml:space="preserve">Извор: </w:t>
      </w:r>
      <w:r w:rsidRPr="00092ED7">
        <w:rPr>
          <w:rFonts w:eastAsia="Calibri" w:cs="Times New Roman"/>
          <w:sz w:val="18"/>
          <w:szCs w:val="18"/>
          <w:lang w:val="sr-Cyrl-CS"/>
        </w:rPr>
        <w:t>Министарство финансија</w:t>
      </w:r>
    </w:p>
    <w:p w14:paraId="1CEC3F01" w14:textId="77777777" w:rsidR="00B94540" w:rsidRPr="00092ED7" w:rsidRDefault="00B94540" w:rsidP="00055DC9">
      <w:pPr>
        <w:spacing w:after="60"/>
        <w:contextualSpacing/>
        <w:rPr>
          <w:rFonts w:eastAsia="MS PGothic" w:cs="Times New Roman"/>
          <w:szCs w:val="24"/>
          <w:lang w:val="sr-Cyrl-CS" w:eastAsia="ja-JP"/>
        </w:rPr>
      </w:pPr>
      <w:r w:rsidRPr="00092ED7">
        <w:rPr>
          <w:rFonts w:eastAsia="MS PGothic" w:cs="Times New Roman"/>
          <w:szCs w:val="24"/>
          <w:lang w:val="sr-Cyrl-CS" w:eastAsia="ja-JP"/>
        </w:rPr>
        <w:t>Најважнији фактори који су довели до измене у висини и структури прихода опште државе су:</w:t>
      </w:r>
    </w:p>
    <w:p w14:paraId="2E39D1F8"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базни ефекат (боље остварење на крају претходне године) и остварење у периоду јануар–септембар;</w:t>
      </w:r>
    </w:p>
    <w:p w14:paraId="7B38F14E"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опрезно планирање одређених категорија пореских прихода, пре свега пореза на додату вредност;</w:t>
      </w:r>
    </w:p>
    <w:p w14:paraId="528E31D9"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већа потрошња одређених акцизних производа;</w:t>
      </w:r>
    </w:p>
    <w:p w14:paraId="341B3D0E"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уплата непланираних непореских прихода као и снажан раст редовних непореских прихода (минералне сировине и игре на срећу);</w:t>
      </w:r>
    </w:p>
    <w:p w14:paraId="14021928"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повољнија кретања на тржишту рада од предвиђених;</w:t>
      </w:r>
    </w:p>
    <w:p w14:paraId="2F8BC98E"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позитиван утицај додатних мера помоћи становништву на личну потрошњу;</w:t>
      </w:r>
    </w:p>
    <w:p w14:paraId="20C02501"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већи раст инфлације од предвиђеног, као и значајан раст увозних цена;</w:t>
      </w:r>
    </w:p>
    <w:p w14:paraId="065857BB"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снажан номинални раст спољнотрговинске размене;</w:t>
      </w:r>
    </w:p>
    <w:p w14:paraId="062A558A"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снажан раст профитабилности привреде у 2021. години (порез на добит правних лица);</w:t>
      </w:r>
    </w:p>
    <w:p w14:paraId="21202FE1" w14:textId="77777777" w:rsidR="00B94540" w:rsidRPr="00092ED7" w:rsidRDefault="00B94540" w:rsidP="00055DC9">
      <w:pPr>
        <w:pStyle w:val="ListParagraph"/>
        <w:numPr>
          <w:ilvl w:val="0"/>
          <w:numId w:val="43"/>
        </w:numPr>
        <w:spacing w:line="240" w:lineRule="auto"/>
        <w:ind w:left="357" w:hanging="357"/>
        <w:rPr>
          <w:rFonts w:cs="Times New Roman"/>
          <w:sz w:val="24"/>
          <w:szCs w:val="24"/>
          <w:lang w:val="sr-Cyrl-CS"/>
        </w:rPr>
      </w:pPr>
      <w:r w:rsidRPr="00092ED7">
        <w:rPr>
          <w:rFonts w:cs="Times New Roman"/>
          <w:sz w:val="24"/>
          <w:szCs w:val="24"/>
          <w:lang w:val="sr-Cyrl-CS"/>
        </w:rPr>
        <w:t>донете мере ублажавања инфлаторних утицаја кроз смањење акцизног оптерећења деривата нафте.</w:t>
      </w:r>
    </w:p>
    <w:p w14:paraId="6AD98CAC" w14:textId="77777777" w:rsidR="00B94540" w:rsidRPr="00092ED7" w:rsidRDefault="00B94540" w:rsidP="00B94540">
      <w:pPr>
        <w:spacing w:after="60"/>
        <w:rPr>
          <w:lang w:val="sr-Cyrl-CS" w:eastAsia="ja-JP"/>
        </w:rPr>
      </w:pPr>
      <w:r w:rsidRPr="00092ED7">
        <w:rPr>
          <w:lang w:val="sr-Cyrl-CS" w:eastAsia="ja-JP"/>
        </w:rPr>
        <w:t>Пројекција прихода од пореза на доходак грађана повећана је за 20,2 млрд динара у односу на оригинални износ. Приликом оригиналне пројекције прихода од пореза на зараде узете су у обзир пројекције кретања просечних зарада и запослености, процене о превременом враћању дела одложених пореза током 2020. године, као и процене ефеката смањења пореског оптерећења зарада у 2022. години. Исте претпоставке се користе и за пројекцију прихода од социјалних доприноса који чине највећи појединачни приход на нивоу опште државе. Наплата овог пореског облика крајем 2021. године била је нешто изнад планиране, међутим главни разлог за повећање пројекције пореза на зараде је изузетно висок раст зарада, пре свега у приватном сектору. Убрзање раста зарада у приватном сектору отпочело је крајем 2021. године и настављено током целе 2022. године. Процена о враћању дела одложених пореза и доприноса током 2022. године, незнатно је коригована наниже услед тога што је већина мањих пореских обвезника, по убрзаној динамици, већ током претходне године измирила обавезе по овом основу. Процена прихода од пореза на зараде и социјалних доприноса су ревидиране навише у укупном износу од 35,2 млрд динара.</w:t>
      </w:r>
    </w:p>
    <w:p w14:paraId="36F69CB1" w14:textId="77777777" w:rsidR="00B94540" w:rsidRPr="00092ED7" w:rsidRDefault="00B94540" w:rsidP="00B94540">
      <w:pPr>
        <w:spacing w:after="60"/>
        <w:rPr>
          <w:lang w:val="sr-Cyrl-CS" w:eastAsia="ja-JP"/>
        </w:rPr>
      </w:pPr>
      <w:r w:rsidRPr="00092ED7">
        <w:rPr>
          <w:lang w:val="sr-Cyrl-CS" w:eastAsia="ja-JP"/>
        </w:rPr>
        <w:t>Остатак пореза на доходак чине остали облици као што су порез на дивиденде, порез на приходе од камата, годишњи порез на доходак, порез на приходе од закупа непокретности и др. Приходи од дивиденди и осталих облика пореза на доходак генерално прате кретање опште економске активности и зарада из претходне године, али су и под значајним утицајем пословних одлука компанија у вези политике дивиденди и инвестиција. Значајно повећање пројектованог износа у односу на оригинални је резултат пре свега снажног скока наплате два највећа пореска облика из ове групе, а то су годишњи порез на доходак грађана и порез на доходак на дивиденди. Под утицајем раста просечних зарада и осталих облика доходака у претходној години као и остварене профитабилности и расподеле дивиденди компанија, дошло је до раста пореских обавеза по овом основу.</w:t>
      </w:r>
    </w:p>
    <w:p w14:paraId="2DE61608" w14:textId="68452432" w:rsidR="00B94540" w:rsidRPr="00092ED7" w:rsidRDefault="00B94540" w:rsidP="00B94540">
      <w:pPr>
        <w:spacing w:after="60"/>
        <w:rPr>
          <w:lang w:val="sr-Cyrl-CS" w:eastAsia="ja-JP"/>
        </w:rPr>
      </w:pPr>
      <w:r w:rsidRPr="00092ED7">
        <w:rPr>
          <w:lang w:val="sr-Cyrl-CS" w:eastAsia="ja-JP"/>
        </w:rPr>
        <w:t>Приходи од пореза на добит су релативно највише ревидирани у односу на оригиналну пројекцију (43,8%), а у апсолутном износу за 63,5 млрд динара. При пројекцији ове пореске категорије, и у редовним околностима, постоји неизвесност, јер коначни подаци о профитабилности нису познати у тренутку израде буџета. Такође</w:t>
      </w:r>
      <w:r w:rsidR="00E93801" w:rsidRPr="00092ED7">
        <w:rPr>
          <w:lang w:val="sr-Cyrl-CS" w:eastAsia="ja-JP"/>
        </w:rPr>
        <w:t>,</w:t>
      </w:r>
      <w:r w:rsidRPr="00092ED7">
        <w:rPr>
          <w:lang w:val="sr-Cyrl-CS" w:eastAsia="ja-JP"/>
        </w:rPr>
        <w:t xml:space="preserve"> изузетно висока наплата овог пореског облика у 2021. години, довела је до повећања учешћа овог пореског облика у БДП изнад просечних вредности забележених у претходном периоду. Водећи се принципом опрезности, приликом оригиналне пројекције, било је предвиђено враћање учешћа овог пореског облика у БДП на просечни ниво. Након уплате пореза на добит по коначном обрачуну за 2021. годину (крај јуна текуће године), ревидирана је и годишња процена овог пореза. Нето добит привреде у 2021. године, према објављеним подацима А</w:t>
      </w:r>
      <w:r w:rsidR="00F347CE" w:rsidRPr="00092ED7">
        <w:rPr>
          <w:lang w:val="sr-Cyrl-CS" w:eastAsia="ja-JP"/>
        </w:rPr>
        <w:t>генције за привредне регистре</w:t>
      </w:r>
      <w:r w:rsidRPr="00092ED7">
        <w:rPr>
          <w:lang w:val="sr-Cyrl-CS" w:eastAsia="ja-JP"/>
        </w:rPr>
        <w:t>, износила је 945 млрд динара и већа је за 42% у односу на 2020. годину.</w:t>
      </w:r>
    </w:p>
    <w:p w14:paraId="6EE801AD" w14:textId="77777777" w:rsidR="00B94540" w:rsidRPr="00092ED7" w:rsidRDefault="00B94540" w:rsidP="00B94540">
      <w:pPr>
        <w:spacing w:after="60"/>
        <w:rPr>
          <w:lang w:val="sr-Cyrl-CS" w:eastAsia="ja-JP"/>
        </w:rPr>
      </w:pPr>
      <w:r w:rsidRPr="00092ED7">
        <w:rPr>
          <w:lang w:val="sr-Cyrl-CS" w:eastAsia="ja-JP"/>
        </w:rPr>
        <w:t>Порез на додату вредност пројектован је у висини од 777 млрд динара, што представља повећање од 92,9 млрд у односу на оригиналну пројекцију. Ово значајно повећање делом је последица и конзервативног планирања, услед неизвесности око кретања личне потрошње након периода снажног раста у претходној години, а делом и као последица стимулативних мера државе. Други разлог за ревизију је нешто боље извршење на крају 2021. године од очекиваног (5 млрд динара). Најзначајнији разлог за ревизију прихода је значајно бржи номинални раст приватне потрошње од планираног. Истовремено, ревидирана је навише и реална компонента раста приватне потрошње. При томе, бележи се и блага промена у структури потрошње. Цене енергената су и директно и индиректно утицале на стопу инфлације (њену увозну компоненту), а великим делом су се прелиле и на тржиште прехрамбених производа који чине значајан део потрошачке корпе домаћинстава. Исто се односи и на производе од нафте чије цене бележе виши раст.</w:t>
      </w:r>
    </w:p>
    <w:p w14:paraId="559542B5" w14:textId="77777777" w:rsidR="00B94540" w:rsidRPr="00092ED7" w:rsidRDefault="00B94540" w:rsidP="00B94540">
      <w:pPr>
        <w:spacing w:after="60"/>
        <w:rPr>
          <w:lang w:val="sr-Cyrl-CS" w:eastAsia="ja-JP"/>
        </w:rPr>
      </w:pPr>
      <w:r w:rsidRPr="00092ED7">
        <w:rPr>
          <w:lang w:val="sr-Cyrl-CS" w:eastAsia="ja-JP"/>
        </w:rPr>
        <w:t>Ограничењем цена појединих производа делимично су ублажени неповољни утицаји раста увозне инфлације. Ниво расположивог дохотка становништва и његов бржи раст од цена утицао је на реални раст промета који бележи раст од 7,1% у првих девет месеци 2022. године.</w:t>
      </w:r>
    </w:p>
    <w:p w14:paraId="5A2CF324" w14:textId="77777777" w:rsidR="00B94540" w:rsidRPr="00092ED7" w:rsidRDefault="00B94540" w:rsidP="00B94540">
      <w:pPr>
        <w:spacing w:after="60"/>
        <w:rPr>
          <w:lang w:val="sr-Cyrl-CS" w:eastAsia="ja-JP"/>
        </w:rPr>
      </w:pPr>
      <w:r w:rsidRPr="00092ED7">
        <w:rPr>
          <w:lang w:val="sr-Cyrl-CS" w:eastAsia="ja-JP"/>
        </w:rPr>
        <w:t>Приходи од царина пројектовани су у износу од 79,5 млрд што представља повећање од 16,2 млрд динара (25,6%) у односу на оригиналну пројекцију. Приходи од царина у највећој мери, иако не у потпуности, прате динамику ПДВ из увоза, па је у складу са изменом структуре ПДВ, обима спољнотрговинске размене и кретања царина у првом делу године, извршена ревизија пројекције овог приходног облика. Као и у случају ПДВ, разлози су у изузетно високом расту увозних цена, али и набавке већих количина енергената услед неизвесности на глобалном тржишту. Спољнотрговинска размена током протеклог дела 2022. године бележи изузетно снажан номинални раст, посебно на страни увоза. У периоду јануар–септембар, раст увоза у динарима износио је 36,8%, од чега се око три четвртине може приписати ефекту раста увозних цена.</w:t>
      </w:r>
    </w:p>
    <w:p w14:paraId="0978A0AC" w14:textId="77777777" w:rsidR="00B94540" w:rsidRPr="00092ED7" w:rsidRDefault="00B94540" w:rsidP="00B94540">
      <w:pPr>
        <w:spacing w:after="60"/>
        <w:rPr>
          <w:lang w:val="sr-Cyrl-CS" w:eastAsia="ja-JP"/>
        </w:rPr>
      </w:pPr>
      <w:r w:rsidRPr="00092ED7">
        <w:rPr>
          <w:lang w:val="sr-Cyrl-CS" w:eastAsia="ja-JP"/>
        </w:rPr>
        <w:t>Пројекција прихода од акциза незнатно је смањена у односу на оригиналну пројекцију. При томе акцизе на деривате нафте смањене су за 9,2 млрд динара, акцизе на дуванске производе повећане су за 5 млрд динара, док је пројекција прихода од осталих акциза увећана за 3,4 млрд динара. Како би спречила претерани раст цена нафтних деривата, држава је одложила редовну индексацију акцизних стопа са инфлацијом из претходне године. Након тога, крајем првог квартала, искоришћена је законска могућност привременог смањења износа акциза. У циљу ограничења раста цена деривата на домаћем тржишту, услед раста цена нафте на светском тржишту, током године приступило се коришћењу ове мере, и то у распону од 10% до 20% колики је и законски максимум. У првом кварталу бележи се висок степен наплате, делом и услед повећане тражње због неизвесности у вези будућих цена. У другој половини године бележи се умерен раст потрошње деривата, што указује на нижу ценовну еластичност ових производа.</w:t>
      </w:r>
    </w:p>
    <w:p w14:paraId="73B88BDF" w14:textId="77777777" w:rsidR="00B94540" w:rsidRPr="00092ED7" w:rsidRDefault="00B94540" w:rsidP="00B94540">
      <w:pPr>
        <w:spacing w:after="60"/>
        <w:rPr>
          <w:lang w:val="sr-Cyrl-CS" w:eastAsia="ja-JP"/>
        </w:rPr>
      </w:pPr>
      <w:r w:rsidRPr="00092ED7">
        <w:rPr>
          <w:lang w:val="sr-Cyrl-CS" w:eastAsia="ja-JP"/>
        </w:rPr>
        <w:t>Повећање прихода од акциза на дуван резултат је боље наплате од иницијално очекиване, током протеклог дела године. Приликом израде оригиналне процене, пошло се од очекивања да ће доћи до природног пада потрошње који је присутан већ дужи низ година, као и од претпоставке да се у претходној години тржиште стабилизовало на нивоу пре пандемије. Анализом података о тржишту дуванских производа, дошло се до закључка да достизање тог нивоа промета није остварено у 2021. години, и да се процес опоравка тржишта пренео у 2022. годину, што се одразило и на кретање прихода од акциза на дуван. Пројекција прихода од осталих акцизних производа повећана је првенствено због знатног раста потрошње електричне енергије, и то у сектору комерцијалног снабдевања, али и због повећања цена електричне енергије са предвиђеним ефектима у последњем кварталу ове године. Остатак повећања се односи на уплату заосталих обавеза по основу акциза на алкохол, наплаћеним из стечајног поступка, као и наставком опоравка тржишта ових производа.</w:t>
      </w:r>
    </w:p>
    <w:p w14:paraId="09DADC5B" w14:textId="77777777" w:rsidR="00B94540" w:rsidRPr="00092ED7" w:rsidRDefault="00B94540" w:rsidP="00B94540">
      <w:pPr>
        <w:spacing w:after="60"/>
        <w:rPr>
          <w:lang w:val="sr-Cyrl-CS" w:eastAsia="ja-JP"/>
        </w:rPr>
      </w:pPr>
      <w:r w:rsidRPr="00092ED7">
        <w:rPr>
          <w:lang w:val="sr-Cyrl-CS" w:eastAsia="ja-JP"/>
        </w:rPr>
        <w:t>Непорески приходи су повећани за 26,8 млрд динара, пре свега због раста забележеног код редовних непореских прихода. Ту спадају различите таксе, накнаде, казне, приходи органа и организација и сви остали приходи који се остварују устаљеном динамиком током године, у приближно сличним износима на месечном нивоу уз одређене сезонске варијације.</w:t>
      </w:r>
    </w:p>
    <w:p w14:paraId="2C4449BB" w14:textId="77777777" w:rsidR="00B94540" w:rsidRPr="00092ED7" w:rsidRDefault="00B94540" w:rsidP="00B94540">
      <w:pPr>
        <w:spacing w:after="60"/>
        <w:rPr>
          <w:lang w:val="sr-Cyrl-CS" w:eastAsia="ja-JP"/>
        </w:rPr>
      </w:pPr>
      <w:r w:rsidRPr="00092ED7">
        <w:rPr>
          <w:lang w:val="sr-Cyrl-CS" w:eastAsia="ja-JP"/>
        </w:rPr>
        <w:t>Први разлог за повећање пројектованог износа је боље остварење на крају претходне године, док је други разлог изузетно добра наплата током протеклог дела године.</w:t>
      </w:r>
    </w:p>
    <w:p w14:paraId="52CD4706" w14:textId="77777777" w:rsidR="00B94540" w:rsidRPr="00092ED7" w:rsidRDefault="00B94540" w:rsidP="00B94540">
      <w:pPr>
        <w:spacing w:after="60"/>
        <w:rPr>
          <w:lang w:val="sr-Cyrl-CS" w:eastAsia="ja-JP"/>
        </w:rPr>
      </w:pPr>
      <w:r w:rsidRPr="00092ED7">
        <w:rPr>
          <w:lang w:val="sr-Cyrl-CS" w:eastAsia="ja-JP"/>
        </w:rPr>
        <w:t>Редовни непорески приходи процењени су у већем износу у односу на оригиналне, највише због раста наплате прихода од игара на срећу и накнада за коришћење минералних сировина. Раст накнада за минералне сировине резултат је већег обима продаје и цена сировина на међународном тржишту.</w:t>
      </w:r>
    </w:p>
    <w:p w14:paraId="282AA4F2" w14:textId="2EC2FF98" w:rsidR="00B94540" w:rsidRPr="00092ED7" w:rsidRDefault="00B94540" w:rsidP="00B94540">
      <w:pPr>
        <w:spacing w:after="60"/>
        <w:rPr>
          <w:lang w:val="sr-Cyrl-CS" w:eastAsia="ja-JP"/>
        </w:rPr>
      </w:pPr>
      <w:r w:rsidRPr="00092ED7">
        <w:rPr>
          <w:lang w:val="sr-Cyrl-CS" w:eastAsia="ja-JP"/>
        </w:rPr>
        <w:t xml:space="preserve">Ванредне непореске приходе чине уплате добити јавних предузећа и агенција, дивиденде буџета, приходи по основу наплаћених потраживања Агенције за осигурање депозита, емисионе премије, итд. Ванредни непорески приходи кориговани су навише због реализоване уплате прихода који нису били укључени у оригинални буџетски план (добит </w:t>
      </w:r>
      <w:r w:rsidR="00E93801" w:rsidRPr="00092ED7">
        <w:rPr>
          <w:lang w:val="sr-Cyrl-CS" w:eastAsia="ja-JP"/>
        </w:rPr>
        <w:t xml:space="preserve">Народне банке Србије </w:t>
      </w:r>
      <w:r w:rsidRPr="00092ED7">
        <w:rPr>
          <w:lang w:val="sr-Cyrl-CS" w:eastAsia="ja-JP"/>
        </w:rPr>
        <w:t>и дивиденде буџета).</w:t>
      </w:r>
    </w:p>
    <w:p w14:paraId="0706A3BF" w14:textId="77777777" w:rsidR="00B94540" w:rsidRPr="00092ED7" w:rsidRDefault="00B94540" w:rsidP="00B94540">
      <w:pPr>
        <w:spacing w:before="120" w:after="60"/>
        <w:rPr>
          <w:rFonts w:eastAsia="Calibri" w:cs="Times New Roman"/>
          <w:szCs w:val="24"/>
          <w:lang w:val="sr-Cyrl-CS"/>
        </w:rPr>
      </w:pPr>
      <w:r w:rsidRPr="00092ED7">
        <w:rPr>
          <w:rFonts w:eastAsia="Calibri" w:cs="Times New Roman"/>
          <w:szCs w:val="24"/>
          <w:lang w:val="sr-Cyrl-CS"/>
        </w:rPr>
        <w:t>Графикон 5. Допринос појединачних фактора корекцији фискалног резултата у односу на план за 2022. годину, % БДП</w:t>
      </w:r>
    </w:p>
    <w:p w14:paraId="24C482F9" w14:textId="77777777" w:rsidR="00B94540" w:rsidRPr="00092ED7" w:rsidRDefault="00B94540" w:rsidP="00B94540">
      <w:pPr>
        <w:rPr>
          <w:rFonts w:eastAsia="Calibri" w:cs="Times New Roman"/>
          <w:szCs w:val="24"/>
          <w:lang w:val="sr-Cyrl-CS"/>
        </w:rPr>
      </w:pPr>
      <w:r w:rsidRPr="00092ED7">
        <w:rPr>
          <w:noProof/>
        </w:rPr>
        <w:drawing>
          <wp:inline distT="0" distB="0" distL="0" distR="0" wp14:anchorId="444D597B" wp14:editId="666E90A2">
            <wp:extent cx="5740400" cy="2118360"/>
            <wp:effectExtent l="0" t="0" r="12700" b="15240"/>
            <wp:docPr id="6" name="Chart 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E140DB" w14:textId="77777777" w:rsidR="00B94540" w:rsidRPr="00092ED7" w:rsidRDefault="00B94540" w:rsidP="00B94540">
      <w:pPr>
        <w:spacing w:after="60"/>
        <w:rPr>
          <w:rFonts w:eastAsia="MS PGothic" w:cstheme="minorHAnsi"/>
          <w:szCs w:val="20"/>
          <w:lang w:val="sr-Cyrl-CS" w:eastAsia="ja-JP"/>
        </w:rPr>
      </w:pPr>
      <w:r w:rsidRPr="00092ED7">
        <w:rPr>
          <w:rFonts w:eastAsia="MS PGothic" w:cstheme="minorHAnsi"/>
          <w:szCs w:val="20"/>
          <w:lang w:val="sr-Cyrl-CS" w:eastAsia="ja-JP"/>
        </w:rPr>
        <w:t>Процена расхода опште државе овим фискалним оквиром повећана је за 307,4 млрд динара у односу на оригинални план. Највећи део овог повећања се односи на додатне мере за набавку енергената, додатну подршку становништву, и спровођење нових мера популационе политике. Остатак чине расходи везани за куповину роба и услуга, као и увећање капиталних расхода.</w:t>
      </w:r>
    </w:p>
    <w:p w14:paraId="5981E673" w14:textId="77777777" w:rsidR="00B94540" w:rsidRPr="00092ED7" w:rsidRDefault="00B94540" w:rsidP="00B94540">
      <w:pPr>
        <w:spacing w:after="60"/>
        <w:rPr>
          <w:rFonts w:eastAsia="MS PGothic" w:cstheme="minorHAnsi"/>
          <w:szCs w:val="20"/>
          <w:lang w:val="sr-Cyrl-CS" w:eastAsia="ja-JP"/>
        </w:rPr>
      </w:pPr>
      <w:r w:rsidRPr="00092ED7">
        <w:rPr>
          <w:rFonts w:eastAsia="MS PGothic" w:cstheme="minorHAnsi"/>
          <w:szCs w:val="20"/>
          <w:lang w:val="sr-Cyrl-CS" w:eastAsia="ja-JP"/>
        </w:rPr>
        <w:t>Расходи за запослене повећани су за 15,3 млрд динара. Највећи део овог повећања односи се на већу масу зарада у здравству (повећање броја запослених и радних часова), судству, као и исплаћену помоћ запосленима у просвети.</w:t>
      </w:r>
    </w:p>
    <w:p w14:paraId="6772C243" w14:textId="4BD6D955" w:rsidR="00B94540" w:rsidRPr="00092ED7" w:rsidRDefault="00B94540" w:rsidP="00B94540">
      <w:pPr>
        <w:spacing w:after="60"/>
        <w:rPr>
          <w:rFonts w:eastAsia="MS PGothic" w:cstheme="minorHAnsi"/>
          <w:szCs w:val="20"/>
          <w:lang w:val="sr-Cyrl-CS" w:eastAsia="ja-JP"/>
        </w:rPr>
      </w:pPr>
      <w:r w:rsidRPr="00092ED7">
        <w:rPr>
          <w:rFonts w:eastAsia="MS PGothic" w:cstheme="minorHAnsi"/>
          <w:szCs w:val="20"/>
          <w:lang w:val="sr-Cyrl-CS" w:eastAsia="ja-JP"/>
        </w:rPr>
        <w:t xml:space="preserve">Расходи за робе и услуге су повећани за 37,8 млрд динара. Највећи део повећања се односи на набавку лекова и медицинске опреме и средстава од стране </w:t>
      </w:r>
      <w:r w:rsidR="00E93801" w:rsidRPr="00092ED7">
        <w:rPr>
          <w:rFonts w:eastAsia="MS PGothic" w:cstheme="minorHAnsi"/>
          <w:szCs w:val="20"/>
          <w:lang w:val="sr-Cyrl-CS" w:eastAsia="ja-JP"/>
        </w:rPr>
        <w:t xml:space="preserve">Републичког фонда за здравствено осигурање (у даљем тексту: </w:t>
      </w:r>
      <w:r w:rsidRPr="00092ED7">
        <w:rPr>
          <w:rFonts w:eastAsia="MS PGothic" w:cstheme="minorHAnsi"/>
          <w:szCs w:val="20"/>
          <w:lang w:val="sr-Cyrl-CS" w:eastAsia="ja-JP"/>
        </w:rPr>
        <w:t>РФЗО</w:t>
      </w:r>
      <w:r w:rsidR="00E93801" w:rsidRPr="00092ED7">
        <w:rPr>
          <w:rFonts w:eastAsia="MS PGothic" w:cstheme="minorHAnsi"/>
          <w:szCs w:val="20"/>
          <w:lang w:val="sr-Cyrl-CS" w:eastAsia="ja-JP"/>
        </w:rPr>
        <w:t>)</w:t>
      </w:r>
      <w:r w:rsidRPr="00092ED7">
        <w:rPr>
          <w:rFonts w:eastAsia="MS PGothic" w:cstheme="minorHAnsi"/>
          <w:szCs w:val="20"/>
          <w:lang w:val="sr-Cyrl-CS" w:eastAsia="ja-JP"/>
        </w:rPr>
        <w:t xml:space="preserve">. Други део повећања се односи на текуће одржавање путева код </w:t>
      </w:r>
      <w:r w:rsidR="00E93801" w:rsidRPr="00092ED7">
        <w:rPr>
          <w:rFonts w:eastAsia="MS PGothic" w:cstheme="minorHAnsi"/>
          <w:szCs w:val="20"/>
          <w:lang w:val="sr-Cyrl-CS" w:eastAsia="ja-JP"/>
        </w:rPr>
        <w:t xml:space="preserve">Јавног предузећа „Путеви Србије” </w:t>
      </w:r>
      <w:r w:rsidR="006D2688" w:rsidRPr="00092ED7">
        <w:rPr>
          <w:rFonts w:eastAsia="MS PGothic" w:cstheme="minorHAnsi"/>
          <w:szCs w:val="20"/>
          <w:lang w:val="sr-Cyrl-CS" w:eastAsia="ja-JP"/>
        </w:rPr>
        <w:t xml:space="preserve">Београд </w:t>
      </w:r>
      <w:r w:rsidR="00E93801" w:rsidRPr="00092ED7">
        <w:rPr>
          <w:rFonts w:eastAsia="MS PGothic" w:cstheme="minorHAnsi"/>
          <w:szCs w:val="20"/>
          <w:lang w:val="sr-Cyrl-CS" w:eastAsia="ja-JP"/>
        </w:rPr>
        <w:t xml:space="preserve">(у даљем тексту: </w:t>
      </w:r>
      <w:r w:rsidRPr="00092ED7">
        <w:rPr>
          <w:rFonts w:eastAsia="MS PGothic" w:cstheme="minorHAnsi"/>
          <w:szCs w:val="20"/>
          <w:lang w:val="sr-Cyrl-CS" w:eastAsia="ja-JP"/>
        </w:rPr>
        <w:t>ЈП „Путеви Србије”</w:t>
      </w:r>
      <w:r w:rsidR="00E93801" w:rsidRPr="00092ED7">
        <w:rPr>
          <w:rFonts w:eastAsia="MS PGothic" w:cstheme="minorHAnsi"/>
          <w:szCs w:val="20"/>
          <w:lang w:val="sr-Cyrl-CS" w:eastAsia="ja-JP"/>
        </w:rPr>
        <w:t>)</w:t>
      </w:r>
      <w:r w:rsidRPr="00092ED7">
        <w:rPr>
          <w:rFonts w:eastAsia="MS PGothic" w:cstheme="minorHAnsi"/>
          <w:szCs w:val="20"/>
          <w:lang w:val="sr-Cyrl-CS" w:eastAsia="ja-JP"/>
        </w:rPr>
        <w:t>.</w:t>
      </w:r>
    </w:p>
    <w:p w14:paraId="3893612D" w14:textId="77777777" w:rsidR="00B94540" w:rsidRPr="00092ED7" w:rsidRDefault="00B94540" w:rsidP="00B94540">
      <w:pPr>
        <w:spacing w:after="60"/>
        <w:rPr>
          <w:rFonts w:eastAsia="MS PGothic" w:cstheme="minorHAnsi"/>
          <w:szCs w:val="20"/>
          <w:lang w:val="sr-Cyrl-CS" w:eastAsia="ja-JP"/>
        </w:rPr>
      </w:pPr>
      <w:r w:rsidRPr="00092ED7">
        <w:rPr>
          <w:rFonts w:eastAsia="MS PGothic" w:cstheme="minorHAnsi"/>
          <w:szCs w:val="20"/>
          <w:lang w:val="sr-Cyrl-CS" w:eastAsia="ja-JP"/>
        </w:rPr>
        <w:t>Субвенције су повећане у односу на оригинални план за 17,8 млрд динара, при чему су субвенције у пољопривреди повећане за 10,5 млрд динара, док се остатак повећања односи на субвенције за пројекте у енергетици.</w:t>
      </w:r>
    </w:p>
    <w:p w14:paraId="0903D737" w14:textId="77777777" w:rsidR="00B94540" w:rsidRPr="00092ED7" w:rsidRDefault="00B94540" w:rsidP="00B94540">
      <w:pPr>
        <w:spacing w:after="60"/>
        <w:rPr>
          <w:rFonts w:eastAsia="MS PGothic" w:cstheme="minorHAnsi"/>
          <w:szCs w:val="20"/>
          <w:lang w:val="sr-Cyrl-CS" w:eastAsia="ja-JP"/>
        </w:rPr>
      </w:pPr>
      <w:r w:rsidRPr="00092ED7">
        <w:rPr>
          <w:rFonts w:eastAsia="MS PGothic" w:cstheme="minorHAnsi"/>
          <w:szCs w:val="20"/>
          <w:lang w:val="sr-Cyrl-CS" w:eastAsia="ja-JP"/>
        </w:rPr>
        <w:t>Расходи за социјалну заштиту већи су за 7,3 млрд динара у односу на оригинални план, међутим дошло је до знатне измене у њиховој структури. Процењени расходи за пензије у 2022. години износиће 638,6 млрд. Иако је оригинални план индексације пензија подразумевао њихов раст у складу са „швајцарском формулом”, током новембра је планирано додатно трајно усклађивања пензија за 9%.</w:t>
      </w:r>
    </w:p>
    <w:p w14:paraId="7364009D" w14:textId="77777777" w:rsidR="00B94540" w:rsidRPr="00092ED7" w:rsidRDefault="00B94540" w:rsidP="00B94540">
      <w:pPr>
        <w:spacing w:after="60"/>
        <w:rPr>
          <w:rFonts w:eastAsia="MS PGothic" w:cstheme="minorHAnsi"/>
          <w:szCs w:val="20"/>
          <w:lang w:val="sr-Cyrl-CS" w:eastAsia="ja-JP"/>
        </w:rPr>
      </w:pPr>
      <w:r w:rsidRPr="00092ED7">
        <w:rPr>
          <w:rFonts w:eastAsia="MS PGothic" w:cstheme="minorHAnsi"/>
          <w:szCs w:val="20"/>
          <w:lang w:val="sr-Cyrl-CS" w:eastAsia="ja-JP"/>
        </w:rPr>
        <w:t>У оквиру расхода намењених за социјалну заштиту, налази се и исплаћена једнократна помоћ пензионерима у износу од око 34 млрд динара. Са друге стране, донете мере популационе политике (увећан родитељски додатак, нове субвенције мајкама за куповину стамбеног простора), утицали су на повећање расхода у оквиру ове категорије. За ове намене је планирано додатних 15 млрд динара.</w:t>
      </w:r>
    </w:p>
    <w:p w14:paraId="5E788A9C" w14:textId="77777777" w:rsidR="00B94540" w:rsidRPr="00092ED7" w:rsidRDefault="00B94540" w:rsidP="00B94540">
      <w:pPr>
        <w:spacing w:after="60"/>
        <w:rPr>
          <w:rFonts w:eastAsia="MS PGothic" w:cstheme="minorHAnsi"/>
          <w:szCs w:val="20"/>
          <w:lang w:val="sr-Cyrl-CS" w:eastAsia="ja-JP"/>
        </w:rPr>
      </w:pPr>
      <w:r w:rsidRPr="00092ED7">
        <w:rPr>
          <w:rFonts w:eastAsia="MS PGothic" w:cstheme="minorHAnsi"/>
          <w:szCs w:val="20"/>
          <w:lang w:val="sr-Cyrl-CS" w:eastAsia="ja-JP"/>
        </w:rPr>
        <w:t>Остали текући расходи повећани су за 55,8 млрд динара у односу на оригинални план, првенствено због ванредних исплата директне новчане помоћи становништву од 16 до 30 година старости, у укупном износу од 31 млрд динара.</w:t>
      </w:r>
    </w:p>
    <w:p w14:paraId="516A5B03" w14:textId="77777777" w:rsidR="00B94540" w:rsidRPr="00092ED7" w:rsidRDefault="00B94540" w:rsidP="00B94540">
      <w:pPr>
        <w:spacing w:after="60"/>
        <w:rPr>
          <w:rFonts w:eastAsia="MS PGothic" w:cstheme="minorHAnsi"/>
          <w:spacing w:val="-2"/>
          <w:szCs w:val="20"/>
          <w:lang w:val="sr-Cyrl-CS" w:eastAsia="ja-JP"/>
        </w:rPr>
      </w:pPr>
      <w:r w:rsidRPr="00092ED7">
        <w:rPr>
          <w:rFonts w:eastAsia="MS PGothic" w:cstheme="minorHAnsi"/>
          <w:spacing w:val="-2"/>
          <w:szCs w:val="20"/>
          <w:lang w:val="sr-Cyrl-CS" w:eastAsia="ja-JP"/>
        </w:rPr>
        <w:t>Интервентна набавка неопходних енергената утицала је на раст буџетских расхода у износу од 140 млрд динара.</w:t>
      </w:r>
    </w:p>
    <w:p w14:paraId="783261D8" w14:textId="77777777" w:rsidR="00B94540" w:rsidRPr="00092ED7" w:rsidRDefault="00B94540" w:rsidP="009D4BCD">
      <w:pPr>
        <w:spacing w:after="40"/>
        <w:rPr>
          <w:rFonts w:eastAsia="MS PGothic" w:cstheme="minorHAnsi"/>
          <w:szCs w:val="20"/>
          <w:lang w:val="sr-Cyrl-CS" w:eastAsia="ja-JP"/>
        </w:rPr>
      </w:pPr>
      <w:r w:rsidRPr="00092ED7">
        <w:rPr>
          <w:rFonts w:eastAsia="MS PGothic" w:cstheme="minorHAnsi"/>
          <w:szCs w:val="20"/>
          <w:lang w:val="sr-Cyrl-CS" w:eastAsia="ja-JP"/>
        </w:rPr>
        <w:t>Процењује се да ће реализација јавних инвестиција бити већа за 33,5 млрд динара од првобитног плана. Осим повећања расхода за изградњу путне мреже, повећана су и издвајања за стратешку набавку енергената и других егзистенцијалних добара. Процењује се да ће капитални расходи достићи ниво од 7,3% БДП у 2022. години.</w:t>
      </w:r>
    </w:p>
    <w:p w14:paraId="3FE0A0EB" w14:textId="77777777" w:rsidR="00B94540" w:rsidRPr="00092ED7" w:rsidRDefault="00B94540" w:rsidP="009D4BCD">
      <w:pPr>
        <w:spacing w:after="40"/>
        <w:rPr>
          <w:rFonts w:eastAsia="MS PGothic" w:cs="Times New Roman"/>
          <w:szCs w:val="24"/>
          <w:lang w:val="sr-Cyrl-CS" w:eastAsia="ja-JP"/>
        </w:rPr>
      </w:pPr>
      <w:r w:rsidRPr="00092ED7">
        <w:rPr>
          <w:rFonts w:eastAsia="MS PGothic" w:cstheme="minorHAnsi"/>
          <w:szCs w:val="20"/>
          <w:lang w:val="sr-Cyrl-CS" w:eastAsia="ja-JP"/>
        </w:rPr>
        <w:t>Процењени фискални дефицит од 3,8% БДП у 2022. години у нивоу је процењеног фискалног резултата који се очекује и у земљама ЕУ. Мере које државе ЕУ спроводе на ублажавању енергетске кризе имају значајне фискалне импликације. Предвиђен фискални резултат омогућава спровођење интервентних политика у циљу ублажавања кризе, уз задржавање тренда смањења учешћа јавног дуга у БДП. Структурном анализом фискалног резултата у 2022. години идентификовано је да се око 2,9% БДП односи на једнократне и привремене мере.</w:t>
      </w:r>
    </w:p>
    <w:p w14:paraId="78B49722" w14:textId="3C95D820" w:rsidR="00B94540" w:rsidRPr="00092ED7" w:rsidRDefault="00A5229A" w:rsidP="00055DC9">
      <w:pPr>
        <w:spacing w:after="160" w:line="259" w:lineRule="auto"/>
        <w:rPr>
          <w:rFonts w:eastAsia="MS PGothic" w:cs="Times New Roman"/>
          <w:szCs w:val="24"/>
          <w:lang w:val="sr-Cyrl-CS" w:eastAsia="ja-JP"/>
        </w:rPr>
      </w:pPr>
      <w:r w:rsidRPr="00092ED7">
        <w:rPr>
          <w:rFonts w:eastAsia="MS PGothic" w:cs="Times New Roman"/>
          <w:szCs w:val="24"/>
          <w:lang w:val="sr-Cyrl-CS" w:eastAsia="ja-JP"/>
        </w:rPr>
        <w:br w:type="page"/>
      </w:r>
      <w:r w:rsidR="00B94540" w:rsidRPr="00092ED7">
        <w:rPr>
          <w:rFonts w:eastAsia="MS PGothic" w:cs="Times New Roman"/>
          <w:szCs w:val="24"/>
          <w:lang w:val="sr-Cyrl-CS" w:eastAsia="ja-JP"/>
        </w:rPr>
        <w:t>Табела 5. Приходи, расходи и резултат сектора државе, јануар–септембар, у млрд динара</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1448"/>
        <w:gridCol w:w="1448"/>
        <w:gridCol w:w="1448"/>
        <w:gridCol w:w="1448"/>
      </w:tblGrid>
      <w:tr w:rsidR="00B94540" w:rsidRPr="00092ED7" w14:paraId="0B8925BD" w14:textId="77777777" w:rsidTr="009D4BCD">
        <w:trPr>
          <w:trHeight w:val="66"/>
          <w:tblHeader/>
          <w:jc w:val="right"/>
        </w:trPr>
        <w:tc>
          <w:tcPr>
            <w:tcW w:w="1788" w:type="pct"/>
            <w:shd w:val="clear" w:color="auto" w:fill="auto"/>
            <w:noWrap/>
            <w:vAlign w:val="center"/>
            <w:hideMark/>
          </w:tcPr>
          <w:p w14:paraId="4316FE0B" w14:textId="77777777" w:rsidR="00B94540" w:rsidRPr="00092ED7" w:rsidRDefault="00B94540" w:rsidP="00B94540">
            <w:pPr>
              <w:spacing w:after="0"/>
              <w:rPr>
                <w:rFonts w:cstheme="minorHAnsi"/>
                <w:sz w:val="18"/>
                <w:szCs w:val="18"/>
                <w:lang w:val="sr-Cyrl-CS"/>
              </w:rPr>
            </w:pPr>
          </w:p>
        </w:tc>
        <w:tc>
          <w:tcPr>
            <w:tcW w:w="803" w:type="pct"/>
            <w:shd w:val="clear" w:color="auto" w:fill="auto"/>
            <w:vAlign w:val="center"/>
            <w:hideMark/>
          </w:tcPr>
          <w:p w14:paraId="641CCE3A" w14:textId="77777777" w:rsidR="00B94540" w:rsidRPr="00092ED7" w:rsidRDefault="00B94540" w:rsidP="00B94540">
            <w:pPr>
              <w:spacing w:after="0"/>
              <w:jc w:val="center"/>
              <w:rPr>
                <w:rFonts w:eastAsia="MS PGothic" w:cstheme="minorHAnsi"/>
                <w:sz w:val="18"/>
                <w:szCs w:val="18"/>
                <w:lang w:val="sr-Cyrl-CS" w:eastAsia="ja-JP"/>
              </w:rPr>
            </w:pPr>
            <w:r w:rsidRPr="00092ED7">
              <w:rPr>
                <w:rFonts w:eastAsia="MS PGothic" w:cstheme="minorHAnsi"/>
                <w:sz w:val="18"/>
                <w:szCs w:val="18"/>
                <w:lang w:val="sr-Cyrl-CS" w:eastAsia="ja-JP"/>
              </w:rPr>
              <w:t>I–IX 2021</w:t>
            </w:r>
          </w:p>
        </w:tc>
        <w:tc>
          <w:tcPr>
            <w:tcW w:w="803" w:type="pct"/>
            <w:shd w:val="clear" w:color="auto" w:fill="auto"/>
            <w:vAlign w:val="center"/>
            <w:hideMark/>
          </w:tcPr>
          <w:p w14:paraId="402065EE" w14:textId="77777777" w:rsidR="00B94540" w:rsidRPr="00092ED7" w:rsidRDefault="00B94540" w:rsidP="00B94540">
            <w:pPr>
              <w:spacing w:after="0"/>
              <w:jc w:val="center"/>
              <w:rPr>
                <w:rFonts w:eastAsia="MS PGothic" w:cstheme="minorHAnsi"/>
                <w:sz w:val="18"/>
                <w:szCs w:val="18"/>
                <w:lang w:val="sr-Cyrl-CS" w:eastAsia="ja-JP"/>
              </w:rPr>
            </w:pPr>
            <w:r w:rsidRPr="00092ED7">
              <w:rPr>
                <w:rFonts w:eastAsia="MS PGothic" w:cstheme="minorHAnsi"/>
                <w:sz w:val="18"/>
                <w:szCs w:val="18"/>
                <w:lang w:val="sr-Cyrl-CS" w:eastAsia="ja-JP"/>
              </w:rPr>
              <w:t>I– IX 2022</w:t>
            </w:r>
          </w:p>
        </w:tc>
        <w:tc>
          <w:tcPr>
            <w:tcW w:w="803" w:type="pct"/>
            <w:vAlign w:val="center"/>
          </w:tcPr>
          <w:p w14:paraId="35F333A7" w14:textId="77777777" w:rsidR="00B94540" w:rsidRPr="00092ED7" w:rsidRDefault="00B94540" w:rsidP="00B94540">
            <w:pPr>
              <w:spacing w:after="0"/>
              <w:jc w:val="center"/>
              <w:rPr>
                <w:rFonts w:eastAsia="MS PGothic" w:cstheme="minorHAnsi"/>
                <w:sz w:val="18"/>
                <w:szCs w:val="18"/>
                <w:lang w:val="sr-Cyrl-CS" w:eastAsia="ja-JP"/>
              </w:rPr>
            </w:pPr>
            <w:r w:rsidRPr="00092ED7">
              <w:rPr>
                <w:rFonts w:eastAsia="MS PGothic" w:cstheme="minorHAnsi"/>
                <w:sz w:val="18"/>
                <w:szCs w:val="18"/>
                <w:lang w:val="sr-Cyrl-CS" w:eastAsia="ja-JP"/>
              </w:rPr>
              <w:t>I–IX стопа раста у %</w:t>
            </w:r>
          </w:p>
        </w:tc>
        <w:tc>
          <w:tcPr>
            <w:tcW w:w="803" w:type="pct"/>
            <w:shd w:val="clear" w:color="auto" w:fill="auto"/>
            <w:vAlign w:val="center"/>
            <w:hideMark/>
          </w:tcPr>
          <w:p w14:paraId="4E115F7D" w14:textId="77777777" w:rsidR="00B94540" w:rsidRPr="00092ED7" w:rsidRDefault="00B94540" w:rsidP="00B94540">
            <w:pPr>
              <w:spacing w:after="0"/>
              <w:jc w:val="center"/>
              <w:rPr>
                <w:rFonts w:eastAsia="MS PGothic" w:cstheme="minorHAnsi"/>
                <w:sz w:val="18"/>
                <w:szCs w:val="18"/>
                <w:lang w:val="sr-Cyrl-CS" w:eastAsia="ja-JP"/>
              </w:rPr>
            </w:pPr>
            <w:r w:rsidRPr="00092ED7">
              <w:rPr>
                <w:rFonts w:eastAsia="MS PGothic" w:cstheme="minorHAnsi"/>
                <w:sz w:val="18"/>
                <w:szCs w:val="18"/>
                <w:lang w:val="sr-Cyrl-CS" w:eastAsia="ja-JP"/>
              </w:rPr>
              <w:t>2022/2021 стопа раста у %</w:t>
            </w:r>
          </w:p>
        </w:tc>
      </w:tr>
      <w:tr w:rsidR="00B94540" w:rsidRPr="00092ED7" w14:paraId="53C4622B" w14:textId="77777777" w:rsidTr="009D4BCD">
        <w:trPr>
          <w:trHeight w:val="66"/>
          <w:tblHeader/>
          <w:jc w:val="right"/>
        </w:trPr>
        <w:tc>
          <w:tcPr>
            <w:tcW w:w="1788" w:type="pct"/>
            <w:shd w:val="clear" w:color="auto" w:fill="E7E6E6" w:themeFill="background2"/>
            <w:noWrap/>
            <w:vAlign w:val="center"/>
            <w:hideMark/>
          </w:tcPr>
          <w:p w14:paraId="277989A5" w14:textId="77777777" w:rsidR="00B94540" w:rsidRPr="00092ED7" w:rsidRDefault="00B94540" w:rsidP="00B94540">
            <w:pPr>
              <w:spacing w:after="0"/>
              <w:jc w:val="left"/>
              <w:rPr>
                <w:rFonts w:cstheme="minorHAnsi"/>
                <w:sz w:val="20"/>
                <w:szCs w:val="20"/>
                <w:lang w:val="sr-Cyrl-CS"/>
              </w:rPr>
            </w:pPr>
            <w:r w:rsidRPr="00092ED7">
              <w:rPr>
                <w:rFonts w:eastAsia="MS PGothic" w:cstheme="minorHAnsi"/>
                <w:sz w:val="20"/>
                <w:szCs w:val="20"/>
                <w:lang w:val="sr-Cyrl-CS" w:eastAsia="ja-JP"/>
              </w:rPr>
              <w:t>ЈАВНИ ПРИХОДИ</w:t>
            </w:r>
          </w:p>
        </w:tc>
        <w:tc>
          <w:tcPr>
            <w:tcW w:w="803" w:type="pct"/>
            <w:shd w:val="clear" w:color="auto" w:fill="E7E6E6" w:themeFill="background2"/>
            <w:hideMark/>
          </w:tcPr>
          <w:p w14:paraId="7CA24B71"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1.969,3</w:t>
            </w:r>
          </w:p>
        </w:tc>
        <w:tc>
          <w:tcPr>
            <w:tcW w:w="803" w:type="pct"/>
            <w:shd w:val="clear" w:color="auto" w:fill="E7E6E6" w:themeFill="background2"/>
            <w:hideMark/>
          </w:tcPr>
          <w:p w14:paraId="79351958"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2.253,1</w:t>
            </w:r>
          </w:p>
        </w:tc>
        <w:tc>
          <w:tcPr>
            <w:tcW w:w="803" w:type="pct"/>
            <w:shd w:val="clear" w:color="auto" w:fill="E7E6E6" w:themeFill="background2"/>
          </w:tcPr>
          <w:p w14:paraId="051A495F"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14,4</w:t>
            </w:r>
          </w:p>
        </w:tc>
        <w:tc>
          <w:tcPr>
            <w:tcW w:w="803" w:type="pct"/>
            <w:shd w:val="clear" w:color="auto" w:fill="E7E6E6" w:themeFill="background2"/>
            <w:hideMark/>
          </w:tcPr>
          <w:p w14:paraId="5C7D737D"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12,1</w:t>
            </w:r>
          </w:p>
        </w:tc>
      </w:tr>
      <w:tr w:rsidR="00B94540" w:rsidRPr="00092ED7" w14:paraId="4DA11670" w14:textId="77777777" w:rsidTr="009D4BCD">
        <w:trPr>
          <w:trHeight w:val="66"/>
          <w:tblHeader/>
          <w:jc w:val="right"/>
        </w:trPr>
        <w:tc>
          <w:tcPr>
            <w:tcW w:w="1788" w:type="pct"/>
            <w:shd w:val="clear" w:color="auto" w:fill="auto"/>
            <w:noWrap/>
            <w:vAlign w:val="center"/>
            <w:hideMark/>
          </w:tcPr>
          <w:p w14:paraId="2FF6EAB5"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Текући приходи</w:t>
            </w:r>
          </w:p>
        </w:tc>
        <w:tc>
          <w:tcPr>
            <w:tcW w:w="803" w:type="pct"/>
            <w:shd w:val="clear" w:color="auto" w:fill="auto"/>
            <w:hideMark/>
          </w:tcPr>
          <w:p w14:paraId="2E96E87D"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1.957,4</w:t>
            </w:r>
          </w:p>
        </w:tc>
        <w:tc>
          <w:tcPr>
            <w:tcW w:w="803" w:type="pct"/>
            <w:shd w:val="clear" w:color="auto" w:fill="auto"/>
            <w:noWrap/>
            <w:hideMark/>
          </w:tcPr>
          <w:p w14:paraId="6E61C8DE"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2.243,3</w:t>
            </w:r>
          </w:p>
        </w:tc>
        <w:tc>
          <w:tcPr>
            <w:tcW w:w="803" w:type="pct"/>
          </w:tcPr>
          <w:p w14:paraId="3863D519"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14,6</w:t>
            </w:r>
          </w:p>
        </w:tc>
        <w:tc>
          <w:tcPr>
            <w:tcW w:w="803" w:type="pct"/>
            <w:shd w:val="clear" w:color="auto" w:fill="auto"/>
            <w:hideMark/>
          </w:tcPr>
          <w:p w14:paraId="68F30203"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12,1</w:t>
            </w:r>
          </w:p>
        </w:tc>
      </w:tr>
      <w:tr w:rsidR="00B94540" w:rsidRPr="00092ED7" w14:paraId="5D9B7575" w14:textId="77777777" w:rsidTr="009D4BCD">
        <w:trPr>
          <w:trHeight w:val="66"/>
          <w:tblHeader/>
          <w:jc w:val="right"/>
        </w:trPr>
        <w:tc>
          <w:tcPr>
            <w:tcW w:w="1788" w:type="pct"/>
            <w:shd w:val="clear" w:color="auto" w:fill="auto"/>
            <w:noWrap/>
            <w:vAlign w:val="center"/>
            <w:hideMark/>
          </w:tcPr>
          <w:p w14:paraId="37E6AF5D"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Порески приходи</w:t>
            </w:r>
          </w:p>
        </w:tc>
        <w:tc>
          <w:tcPr>
            <w:tcW w:w="803" w:type="pct"/>
            <w:shd w:val="clear" w:color="auto" w:fill="auto"/>
            <w:hideMark/>
          </w:tcPr>
          <w:p w14:paraId="27E2531C"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1.764,5</w:t>
            </w:r>
          </w:p>
        </w:tc>
        <w:tc>
          <w:tcPr>
            <w:tcW w:w="803" w:type="pct"/>
            <w:shd w:val="clear" w:color="auto" w:fill="auto"/>
            <w:hideMark/>
          </w:tcPr>
          <w:p w14:paraId="309B2839"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2.033,6</w:t>
            </w:r>
          </w:p>
        </w:tc>
        <w:tc>
          <w:tcPr>
            <w:tcW w:w="803" w:type="pct"/>
          </w:tcPr>
          <w:p w14:paraId="4B62DE62"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15,3</w:t>
            </w:r>
          </w:p>
        </w:tc>
        <w:tc>
          <w:tcPr>
            <w:tcW w:w="803" w:type="pct"/>
            <w:shd w:val="clear" w:color="auto" w:fill="auto"/>
            <w:hideMark/>
          </w:tcPr>
          <w:p w14:paraId="2AFA40FA"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13,2</w:t>
            </w:r>
          </w:p>
        </w:tc>
      </w:tr>
      <w:tr w:rsidR="00B94540" w:rsidRPr="00092ED7" w14:paraId="02EE00C3" w14:textId="77777777" w:rsidTr="009D4BCD">
        <w:trPr>
          <w:trHeight w:val="66"/>
          <w:tblHeader/>
          <w:jc w:val="right"/>
        </w:trPr>
        <w:tc>
          <w:tcPr>
            <w:tcW w:w="1788" w:type="pct"/>
            <w:shd w:val="clear" w:color="auto" w:fill="auto"/>
            <w:noWrap/>
            <w:vAlign w:val="center"/>
            <w:hideMark/>
          </w:tcPr>
          <w:p w14:paraId="2FF60403"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Порез на доходак грађана</w:t>
            </w:r>
          </w:p>
        </w:tc>
        <w:tc>
          <w:tcPr>
            <w:tcW w:w="803" w:type="pct"/>
            <w:shd w:val="clear" w:color="auto" w:fill="auto"/>
            <w:hideMark/>
          </w:tcPr>
          <w:p w14:paraId="0C04C042"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187,3</w:t>
            </w:r>
          </w:p>
        </w:tc>
        <w:tc>
          <w:tcPr>
            <w:tcW w:w="803" w:type="pct"/>
            <w:shd w:val="clear" w:color="auto" w:fill="auto"/>
            <w:hideMark/>
          </w:tcPr>
          <w:p w14:paraId="2D505D4C"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219,4</w:t>
            </w:r>
          </w:p>
        </w:tc>
        <w:tc>
          <w:tcPr>
            <w:tcW w:w="803" w:type="pct"/>
          </w:tcPr>
          <w:p w14:paraId="7F1804B9"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17,2</w:t>
            </w:r>
          </w:p>
        </w:tc>
        <w:tc>
          <w:tcPr>
            <w:tcW w:w="803" w:type="pct"/>
            <w:shd w:val="clear" w:color="auto" w:fill="auto"/>
            <w:hideMark/>
          </w:tcPr>
          <w:p w14:paraId="577A1E6C"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15,2</w:t>
            </w:r>
          </w:p>
        </w:tc>
      </w:tr>
      <w:tr w:rsidR="00B94540" w:rsidRPr="00092ED7" w14:paraId="0BD323CE" w14:textId="77777777" w:rsidTr="009D4BCD">
        <w:trPr>
          <w:trHeight w:val="66"/>
          <w:tblHeader/>
          <w:jc w:val="right"/>
        </w:trPr>
        <w:tc>
          <w:tcPr>
            <w:tcW w:w="1788" w:type="pct"/>
            <w:shd w:val="clear" w:color="auto" w:fill="auto"/>
            <w:noWrap/>
            <w:vAlign w:val="center"/>
            <w:hideMark/>
          </w:tcPr>
          <w:p w14:paraId="7F9FDF0D"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Порез на добит правних лица</w:t>
            </w:r>
          </w:p>
        </w:tc>
        <w:tc>
          <w:tcPr>
            <w:tcW w:w="803" w:type="pct"/>
            <w:shd w:val="clear" w:color="auto" w:fill="auto"/>
            <w:hideMark/>
          </w:tcPr>
          <w:p w14:paraId="333CE7FE"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125,7</w:t>
            </w:r>
          </w:p>
        </w:tc>
        <w:tc>
          <w:tcPr>
            <w:tcW w:w="803" w:type="pct"/>
            <w:shd w:val="clear" w:color="auto" w:fill="auto"/>
            <w:hideMark/>
          </w:tcPr>
          <w:p w14:paraId="429CC5D4"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166,8</w:t>
            </w:r>
          </w:p>
        </w:tc>
        <w:tc>
          <w:tcPr>
            <w:tcW w:w="803" w:type="pct"/>
          </w:tcPr>
          <w:p w14:paraId="135E2598"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32,7</w:t>
            </w:r>
          </w:p>
        </w:tc>
        <w:tc>
          <w:tcPr>
            <w:tcW w:w="803" w:type="pct"/>
            <w:shd w:val="clear" w:color="auto" w:fill="auto"/>
            <w:hideMark/>
          </w:tcPr>
          <w:p w14:paraId="1DD4E7F3"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30,8</w:t>
            </w:r>
          </w:p>
        </w:tc>
      </w:tr>
      <w:tr w:rsidR="00B94540" w:rsidRPr="00092ED7" w14:paraId="3313AADA" w14:textId="77777777" w:rsidTr="009D4BCD">
        <w:trPr>
          <w:trHeight w:val="66"/>
          <w:tblHeader/>
          <w:jc w:val="right"/>
        </w:trPr>
        <w:tc>
          <w:tcPr>
            <w:tcW w:w="1788" w:type="pct"/>
            <w:shd w:val="clear" w:color="auto" w:fill="auto"/>
            <w:noWrap/>
            <w:vAlign w:val="center"/>
            <w:hideMark/>
          </w:tcPr>
          <w:p w14:paraId="3E115719"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ПДВ</w:t>
            </w:r>
          </w:p>
        </w:tc>
        <w:tc>
          <w:tcPr>
            <w:tcW w:w="803" w:type="pct"/>
            <w:shd w:val="clear" w:color="auto" w:fill="auto"/>
            <w:hideMark/>
          </w:tcPr>
          <w:p w14:paraId="3A473BF0"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473,9</w:t>
            </w:r>
          </w:p>
        </w:tc>
        <w:tc>
          <w:tcPr>
            <w:tcW w:w="803" w:type="pct"/>
            <w:shd w:val="clear" w:color="auto" w:fill="auto"/>
            <w:hideMark/>
          </w:tcPr>
          <w:p w14:paraId="59D34891"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579,1</w:t>
            </w:r>
          </w:p>
        </w:tc>
        <w:tc>
          <w:tcPr>
            <w:tcW w:w="803" w:type="pct"/>
          </w:tcPr>
          <w:p w14:paraId="1993CF79"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22,2</w:t>
            </w:r>
          </w:p>
        </w:tc>
        <w:tc>
          <w:tcPr>
            <w:tcW w:w="803" w:type="pct"/>
            <w:shd w:val="clear" w:color="auto" w:fill="auto"/>
            <w:hideMark/>
          </w:tcPr>
          <w:p w14:paraId="568B24E8"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17,9</w:t>
            </w:r>
          </w:p>
        </w:tc>
      </w:tr>
      <w:tr w:rsidR="00B94540" w:rsidRPr="00092ED7" w14:paraId="44B6CE5E" w14:textId="77777777" w:rsidTr="009D4BCD">
        <w:trPr>
          <w:trHeight w:val="66"/>
          <w:tblHeader/>
          <w:jc w:val="right"/>
        </w:trPr>
        <w:tc>
          <w:tcPr>
            <w:tcW w:w="1788" w:type="pct"/>
            <w:shd w:val="clear" w:color="auto" w:fill="auto"/>
            <w:noWrap/>
            <w:vAlign w:val="center"/>
            <w:hideMark/>
          </w:tcPr>
          <w:p w14:paraId="148E4D7B"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Акцизе</w:t>
            </w:r>
          </w:p>
        </w:tc>
        <w:tc>
          <w:tcPr>
            <w:tcW w:w="803" w:type="pct"/>
            <w:shd w:val="clear" w:color="auto" w:fill="auto"/>
            <w:hideMark/>
          </w:tcPr>
          <w:p w14:paraId="323F2AD2"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243,7</w:t>
            </w:r>
          </w:p>
        </w:tc>
        <w:tc>
          <w:tcPr>
            <w:tcW w:w="803" w:type="pct"/>
            <w:shd w:val="clear" w:color="auto" w:fill="auto"/>
            <w:hideMark/>
          </w:tcPr>
          <w:p w14:paraId="3C5A8A8A"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251,2</w:t>
            </w:r>
          </w:p>
        </w:tc>
        <w:tc>
          <w:tcPr>
            <w:tcW w:w="803" w:type="pct"/>
          </w:tcPr>
          <w:p w14:paraId="78819836"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3,0</w:t>
            </w:r>
          </w:p>
        </w:tc>
        <w:tc>
          <w:tcPr>
            <w:tcW w:w="803" w:type="pct"/>
            <w:shd w:val="clear" w:color="auto" w:fill="auto"/>
            <w:hideMark/>
          </w:tcPr>
          <w:p w14:paraId="1EB945C8"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2,1</w:t>
            </w:r>
          </w:p>
        </w:tc>
      </w:tr>
      <w:tr w:rsidR="00B94540" w:rsidRPr="00092ED7" w14:paraId="4AA5C417" w14:textId="77777777" w:rsidTr="009D4BCD">
        <w:trPr>
          <w:trHeight w:val="66"/>
          <w:tblHeader/>
          <w:jc w:val="right"/>
        </w:trPr>
        <w:tc>
          <w:tcPr>
            <w:tcW w:w="1788" w:type="pct"/>
            <w:shd w:val="clear" w:color="auto" w:fill="auto"/>
            <w:noWrap/>
            <w:vAlign w:val="center"/>
            <w:hideMark/>
          </w:tcPr>
          <w:p w14:paraId="3417B548"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Царине</w:t>
            </w:r>
          </w:p>
        </w:tc>
        <w:tc>
          <w:tcPr>
            <w:tcW w:w="803" w:type="pct"/>
            <w:shd w:val="clear" w:color="auto" w:fill="auto"/>
            <w:hideMark/>
          </w:tcPr>
          <w:p w14:paraId="0C92496D"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43,5</w:t>
            </w:r>
          </w:p>
        </w:tc>
        <w:tc>
          <w:tcPr>
            <w:tcW w:w="803" w:type="pct"/>
            <w:shd w:val="clear" w:color="auto" w:fill="auto"/>
            <w:hideMark/>
          </w:tcPr>
          <w:p w14:paraId="63178BE6"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57,4</w:t>
            </w:r>
          </w:p>
        </w:tc>
        <w:tc>
          <w:tcPr>
            <w:tcW w:w="803" w:type="pct"/>
          </w:tcPr>
          <w:p w14:paraId="195EE454"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32,0</w:t>
            </w:r>
          </w:p>
        </w:tc>
        <w:tc>
          <w:tcPr>
            <w:tcW w:w="803" w:type="pct"/>
            <w:shd w:val="clear" w:color="auto" w:fill="auto"/>
            <w:hideMark/>
          </w:tcPr>
          <w:p w14:paraId="686A21F6"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28,3</w:t>
            </w:r>
          </w:p>
        </w:tc>
      </w:tr>
      <w:tr w:rsidR="00B94540" w:rsidRPr="00092ED7" w14:paraId="6127B209" w14:textId="77777777" w:rsidTr="009D4BCD">
        <w:trPr>
          <w:trHeight w:val="66"/>
          <w:tblHeader/>
          <w:jc w:val="right"/>
        </w:trPr>
        <w:tc>
          <w:tcPr>
            <w:tcW w:w="1788" w:type="pct"/>
            <w:shd w:val="clear" w:color="auto" w:fill="auto"/>
            <w:noWrap/>
            <w:vAlign w:val="center"/>
            <w:hideMark/>
          </w:tcPr>
          <w:p w14:paraId="54608B82"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Остали порески приходи</w:t>
            </w:r>
          </w:p>
        </w:tc>
        <w:tc>
          <w:tcPr>
            <w:tcW w:w="803" w:type="pct"/>
            <w:shd w:val="clear" w:color="auto" w:fill="auto"/>
            <w:hideMark/>
          </w:tcPr>
          <w:p w14:paraId="16D4DC4F"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66,4</w:t>
            </w:r>
          </w:p>
        </w:tc>
        <w:tc>
          <w:tcPr>
            <w:tcW w:w="803" w:type="pct"/>
            <w:shd w:val="clear" w:color="auto" w:fill="auto"/>
            <w:hideMark/>
          </w:tcPr>
          <w:p w14:paraId="7F14939E"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72,0</w:t>
            </w:r>
          </w:p>
        </w:tc>
        <w:tc>
          <w:tcPr>
            <w:tcW w:w="803" w:type="pct"/>
          </w:tcPr>
          <w:p w14:paraId="53701B32"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8,4</w:t>
            </w:r>
          </w:p>
        </w:tc>
        <w:tc>
          <w:tcPr>
            <w:tcW w:w="803" w:type="pct"/>
            <w:shd w:val="clear" w:color="auto" w:fill="auto"/>
            <w:hideMark/>
          </w:tcPr>
          <w:p w14:paraId="0ED01E51"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4,8</w:t>
            </w:r>
          </w:p>
        </w:tc>
      </w:tr>
      <w:tr w:rsidR="00B94540" w:rsidRPr="00092ED7" w14:paraId="61BB9E2B" w14:textId="77777777" w:rsidTr="009D4BCD">
        <w:trPr>
          <w:trHeight w:val="66"/>
          <w:tblHeader/>
          <w:jc w:val="right"/>
        </w:trPr>
        <w:tc>
          <w:tcPr>
            <w:tcW w:w="1788" w:type="pct"/>
            <w:shd w:val="clear" w:color="auto" w:fill="auto"/>
            <w:noWrap/>
            <w:vAlign w:val="center"/>
            <w:hideMark/>
          </w:tcPr>
          <w:p w14:paraId="4AE5EE57"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Доприноси</w:t>
            </w:r>
          </w:p>
        </w:tc>
        <w:tc>
          <w:tcPr>
            <w:tcW w:w="803" w:type="pct"/>
            <w:shd w:val="clear" w:color="auto" w:fill="auto"/>
            <w:hideMark/>
          </w:tcPr>
          <w:p w14:paraId="71F56F19"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623,9</w:t>
            </w:r>
          </w:p>
        </w:tc>
        <w:tc>
          <w:tcPr>
            <w:tcW w:w="803" w:type="pct"/>
            <w:shd w:val="clear" w:color="auto" w:fill="auto"/>
            <w:hideMark/>
          </w:tcPr>
          <w:p w14:paraId="6FB3F6B5"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687,9</w:t>
            </w:r>
          </w:p>
        </w:tc>
        <w:tc>
          <w:tcPr>
            <w:tcW w:w="803" w:type="pct"/>
          </w:tcPr>
          <w:p w14:paraId="660C7BDB"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10,2</w:t>
            </w:r>
          </w:p>
        </w:tc>
        <w:tc>
          <w:tcPr>
            <w:tcW w:w="803" w:type="pct"/>
            <w:shd w:val="clear" w:color="auto" w:fill="auto"/>
            <w:hideMark/>
          </w:tcPr>
          <w:p w14:paraId="07F87560"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9,9</w:t>
            </w:r>
          </w:p>
        </w:tc>
      </w:tr>
      <w:tr w:rsidR="00B94540" w:rsidRPr="00092ED7" w14:paraId="2A8987DA" w14:textId="77777777" w:rsidTr="009D4BCD">
        <w:trPr>
          <w:trHeight w:val="66"/>
          <w:tblHeader/>
          <w:jc w:val="right"/>
        </w:trPr>
        <w:tc>
          <w:tcPr>
            <w:tcW w:w="1788" w:type="pct"/>
            <w:shd w:val="clear" w:color="auto" w:fill="auto"/>
            <w:noWrap/>
            <w:vAlign w:val="center"/>
            <w:hideMark/>
          </w:tcPr>
          <w:p w14:paraId="75AFBD98"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Непорески приходи</w:t>
            </w:r>
          </w:p>
        </w:tc>
        <w:tc>
          <w:tcPr>
            <w:tcW w:w="803" w:type="pct"/>
            <w:shd w:val="clear" w:color="auto" w:fill="auto"/>
            <w:hideMark/>
          </w:tcPr>
          <w:p w14:paraId="72097896"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192,9</w:t>
            </w:r>
          </w:p>
        </w:tc>
        <w:tc>
          <w:tcPr>
            <w:tcW w:w="803" w:type="pct"/>
            <w:shd w:val="clear" w:color="auto" w:fill="auto"/>
            <w:hideMark/>
          </w:tcPr>
          <w:p w14:paraId="706402CF"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209,7</w:t>
            </w:r>
          </w:p>
        </w:tc>
        <w:tc>
          <w:tcPr>
            <w:tcW w:w="803" w:type="pct"/>
          </w:tcPr>
          <w:p w14:paraId="47CCA3D4"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8,7</w:t>
            </w:r>
          </w:p>
        </w:tc>
        <w:tc>
          <w:tcPr>
            <w:tcW w:w="803" w:type="pct"/>
            <w:shd w:val="clear" w:color="auto" w:fill="auto"/>
            <w:hideMark/>
          </w:tcPr>
          <w:p w14:paraId="10B5D3C3"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2,1</w:t>
            </w:r>
          </w:p>
        </w:tc>
      </w:tr>
      <w:tr w:rsidR="00B94540" w:rsidRPr="00092ED7" w14:paraId="20A26387" w14:textId="77777777" w:rsidTr="009D4BCD">
        <w:trPr>
          <w:trHeight w:val="66"/>
          <w:tblHeader/>
          <w:jc w:val="right"/>
        </w:trPr>
        <w:tc>
          <w:tcPr>
            <w:tcW w:w="1788" w:type="pct"/>
            <w:shd w:val="clear" w:color="auto" w:fill="auto"/>
            <w:noWrap/>
            <w:vAlign w:val="center"/>
            <w:hideMark/>
          </w:tcPr>
          <w:p w14:paraId="792D8FE2"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Донације</w:t>
            </w:r>
          </w:p>
        </w:tc>
        <w:tc>
          <w:tcPr>
            <w:tcW w:w="803" w:type="pct"/>
            <w:shd w:val="clear" w:color="auto" w:fill="auto"/>
            <w:hideMark/>
          </w:tcPr>
          <w:p w14:paraId="63F5BB33"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11,9</w:t>
            </w:r>
          </w:p>
        </w:tc>
        <w:tc>
          <w:tcPr>
            <w:tcW w:w="803" w:type="pct"/>
            <w:shd w:val="clear" w:color="auto" w:fill="auto"/>
            <w:hideMark/>
          </w:tcPr>
          <w:p w14:paraId="651B7528"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9,8</w:t>
            </w:r>
          </w:p>
        </w:tc>
        <w:tc>
          <w:tcPr>
            <w:tcW w:w="803" w:type="pct"/>
          </w:tcPr>
          <w:p w14:paraId="696A735E"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-17,6</w:t>
            </w:r>
          </w:p>
        </w:tc>
        <w:tc>
          <w:tcPr>
            <w:tcW w:w="803" w:type="pct"/>
            <w:shd w:val="clear" w:color="auto" w:fill="auto"/>
            <w:hideMark/>
          </w:tcPr>
          <w:p w14:paraId="33D8D64F"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12,5</w:t>
            </w:r>
          </w:p>
        </w:tc>
      </w:tr>
      <w:tr w:rsidR="00B94540" w:rsidRPr="00092ED7" w14:paraId="0E479D05" w14:textId="77777777" w:rsidTr="009D4BCD">
        <w:trPr>
          <w:trHeight w:val="66"/>
          <w:tblHeader/>
          <w:jc w:val="right"/>
        </w:trPr>
        <w:tc>
          <w:tcPr>
            <w:tcW w:w="1788" w:type="pct"/>
            <w:shd w:val="clear" w:color="auto" w:fill="E7E6E6" w:themeFill="background2"/>
            <w:noWrap/>
            <w:vAlign w:val="center"/>
            <w:hideMark/>
          </w:tcPr>
          <w:p w14:paraId="10D0E8D2" w14:textId="77777777" w:rsidR="00B94540" w:rsidRPr="00092ED7" w:rsidRDefault="00B94540" w:rsidP="00B94540">
            <w:pPr>
              <w:spacing w:after="0"/>
              <w:jc w:val="left"/>
              <w:rPr>
                <w:rFonts w:cstheme="minorHAnsi"/>
                <w:sz w:val="20"/>
                <w:szCs w:val="20"/>
                <w:lang w:val="sr-Cyrl-CS"/>
              </w:rPr>
            </w:pPr>
            <w:r w:rsidRPr="00092ED7">
              <w:rPr>
                <w:rFonts w:eastAsia="MS PGothic" w:cstheme="minorHAnsi"/>
                <w:sz w:val="20"/>
                <w:szCs w:val="20"/>
                <w:lang w:val="sr-Cyrl-CS" w:eastAsia="ja-JP"/>
              </w:rPr>
              <w:t>ЈАВНИ РАСХОДИ</w:t>
            </w:r>
          </w:p>
        </w:tc>
        <w:tc>
          <w:tcPr>
            <w:tcW w:w="803" w:type="pct"/>
            <w:shd w:val="clear" w:color="auto" w:fill="E7E6E6" w:themeFill="background2"/>
            <w:hideMark/>
          </w:tcPr>
          <w:p w14:paraId="39806B4C"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2.037,3</w:t>
            </w:r>
          </w:p>
        </w:tc>
        <w:tc>
          <w:tcPr>
            <w:tcW w:w="803" w:type="pct"/>
            <w:shd w:val="clear" w:color="auto" w:fill="E7E6E6" w:themeFill="background2"/>
            <w:noWrap/>
            <w:hideMark/>
          </w:tcPr>
          <w:p w14:paraId="0EA1267E"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2.204,8</w:t>
            </w:r>
          </w:p>
        </w:tc>
        <w:tc>
          <w:tcPr>
            <w:tcW w:w="803" w:type="pct"/>
            <w:shd w:val="clear" w:color="auto" w:fill="E7E6E6" w:themeFill="background2"/>
          </w:tcPr>
          <w:p w14:paraId="574E681E"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8,2</w:t>
            </w:r>
          </w:p>
        </w:tc>
        <w:tc>
          <w:tcPr>
            <w:tcW w:w="803" w:type="pct"/>
            <w:shd w:val="clear" w:color="auto" w:fill="E7E6E6" w:themeFill="background2"/>
            <w:hideMark/>
          </w:tcPr>
          <w:p w14:paraId="75FD3783"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11,5</w:t>
            </w:r>
          </w:p>
        </w:tc>
      </w:tr>
      <w:tr w:rsidR="00B94540" w:rsidRPr="00092ED7" w14:paraId="0250AEC1" w14:textId="77777777" w:rsidTr="009D4BCD">
        <w:trPr>
          <w:trHeight w:val="66"/>
          <w:tblHeader/>
          <w:jc w:val="right"/>
        </w:trPr>
        <w:tc>
          <w:tcPr>
            <w:tcW w:w="1788" w:type="pct"/>
            <w:shd w:val="clear" w:color="auto" w:fill="auto"/>
            <w:noWrap/>
            <w:vAlign w:val="center"/>
            <w:hideMark/>
          </w:tcPr>
          <w:p w14:paraId="6C5F892D"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Текући расходи</w:t>
            </w:r>
          </w:p>
        </w:tc>
        <w:tc>
          <w:tcPr>
            <w:tcW w:w="803" w:type="pct"/>
            <w:shd w:val="clear" w:color="auto" w:fill="auto"/>
            <w:hideMark/>
          </w:tcPr>
          <w:p w14:paraId="281E84AD"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1.755,8</w:t>
            </w:r>
          </w:p>
        </w:tc>
        <w:tc>
          <w:tcPr>
            <w:tcW w:w="803" w:type="pct"/>
            <w:shd w:val="clear" w:color="auto" w:fill="auto"/>
            <w:noWrap/>
            <w:hideMark/>
          </w:tcPr>
          <w:p w14:paraId="35D4A81B"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1.874,6</w:t>
            </w:r>
          </w:p>
        </w:tc>
        <w:tc>
          <w:tcPr>
            <w:tcW w:w="803" w:type="pct"/>
          </w:tcPr>
          <w:p w14:paraId="3A41E3AF"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6,8</w:t>
            </w:r>
          </w:p>
        </w:tc>
        <w:tc>
          <w:tcPr>
            <w:tcW w:w="803" w:type="pct"/>
            <w:shd w:val="clear" w:color="auto" w:fill="auto"/>
            <w:hideMark/>
          </w:tcPr>
          <w:p w14:paraId="0CC87C2E"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7,2</w:t>
            </w:r>
          </w:p>
        </w:tc>
      </w:tr>
      <w:tr w:rsidR="00B94540" w:rsidRPr="00092ED7" w14:paraId="3A48652A" w14:textId="77777777" w:rsidTr="009D4BCD">
        <w:trPr>
          <w:trHeight w:val="66"/>
          <w:tblHeader/>
          <w:jc w:val="right"/>
        </w:trPr>
        <w:tc>
          <w:tcPr>
            <w:tcW w:w="1788" w:type="pct"/>
            <w:shd w:val="clear" w:color="auto" w:fill="auto"/>
            <w:noWrap/>
            <w:vAlign w:val="center"/>
            <w:hideMark/>
          </w:tcPr>
          <w:p w14:paraId="6C4CE4DF"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Расходи за запослене</w:t>
            </w:r>
          </w:p>
        </w:tc>
        <w:tc>
          <w:tcPr>
            <w:tcW w:w="803" w:type="pct"/>
            <w:shd w:val="clear" w:color="auto" w:fill="auto"/>
            <w:hideMark/>
          </w:tcPr>
          <w:p w14:paraId="5CF53925"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466,4</w:t>
            </w:r>
          </w:p>
        </w:tc>
        <w:tc>
          <w:tcPr>
            <w:tcW w:w="803" w:type="pct"/>
            <w:shd w:val="clear" w:color="auto" w:fill="auto"/>
            <w:hideMark/>
          </w:tcPr>
          <w:p w14:paraId="469E3435"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510,4</w:t>
            </w:r>
          </w:p>
        </w:tc>
        <w:tc>
          <w:tcPr>
            <w:tcW w:w="803" w:type="pct"/>
          </w:tcPr>
          <w:p w14:paraId="3E45A115"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9,5</w:t>
            </w:r>
          </w:p>
        </w:tc>
        <w:tc>
          <w:tcPr>
            <w:tcW w:w="803" w:type="pct"/>
            <w:shd w:val="clear" w:color="auto" w:fill="auto"/>
            <w:hideMark/>
          </w:tcPr>
          <w:p w14:paraId="10417594"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9,4</w:t>
            </w:r>
          </w:p>
        </w:tc>
      </w:tr>
      <w:tr w:rsidR="00B94540" w:rsidRPr="00092ED7" w14:paraId="5F164653" w14:textId="77777777" w:rsidTr="009D4BCD">
        <w:trPr>
          <w:trHeight w:val="66"/>
          <w:tblHeader/>
          <w:jc w:val="right"/>
        </w:trPr>
        <w:tc>
          <w:tcPr>
            <w:tcW w:w="1788" w:type="pct"/>
            <w:shd w:val="clear" w:color="auto" w:fill="auto"/>
            <w:noWrap/>
            <w:vAlign w:val="center"/>
            <w:hideMark/>
          </w:tcPr>
          <w:p w14:paraId="065DD128"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Куповина робе и услуга</w:t>
            </w:r>
          </w:p>
        </w:tc>
        <w:tc>
          <w:tcPr>
            <w:tcW w:w="803" w:type="pct"/>
            <w:shd w:val="clear" w:color="auto" w:fill="auto"/>
            <w:hideMark/>
          </w:tcPr>
          <w:p w14:paraId="582D974A"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325,7</w:t>
            </w:r>
          </w:p>
        </w:tc>
        <w:tc>
          <w:tcPr>
            <w:tcW w:w="803" w:type="pct"/>
            <w:shd w:val="clear" w:color="auto" w:fill="auto"/>
            <w:hideMark/>
          </w:tcPr>
          <w:p w14:paraId="6811CEB8"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360,2</w:t>
            </w:r>
          </w:p>
        </w:tc>
        <w:tc>
          <w:tcPr>
            <w:tcW w:w="803" w:type="pct"/>
          </w:tcPr>
          <w:p w14:paraId="0E3444B6"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10,6</w:t>
            </w:r>
          </w:p>
        </w:tc>
        <w:tc>
          <w:tcPr>
            <w:tcW w:w="803" w:type="pct"/>
            <w:shd w:val="clear" w:color="auto" w:fill="auto"/>
            <w:hideMark/>
          </w:tcPr>
          <w:p w14:paraId="063CA1C2"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12,0</w:t>
            </w:r>
          </w:p>
        </w:tc>
      </w:tr>
      <w:tr w:rsidR="00B94540" w:rsidRPr="00092ED7" w14:paraId="6D68396D" w14:textId="77777777" w:rsidTr="009D4BCD">
        <w:trPr>
          <w:trHeight w:val="66"/>
          <w:tblHeader/>
          <w:jc w:val="right"/>
        </w:trPr>
        <w:tc>
          <w:tcPr>
            <w:tcW w:w="1788" w:type="pct"/>
            <w:shd w:val="clear" w:color="auto" w:fill="auto"/>
            <w:noWrap/>
            <w:vAlign w:val="center"/>
            <w:hideMark/>
          </w:tcPr>
          <w:p w14:paraId="7494B67D"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Отплата камата</w:t>
            </w:r>
          </w:p>
        </w:tc>
        <w:tc>
          <w:tcPr>
            <w:tcW w:w="803" w:type="pct"/>
            <w:shd w:val="clear" w:color="auto" w:fill="auto"/>
            <w:hideMark/>
          </w:tcPr>
          <w:p w14:paraId="0829DF89"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98,1</w:t>
            </w:r>
          </w:p>
        </w:tc>
        <w:tc>
          <w:tcPr>
            <w:tcW w:w="803" w:type="pct"/>
            <w:shd w:val="clear" w:color="auto" w:fill="auto"/>
            <w:hideMark/>
          </w:tcPr>
          <w:p w14:paraId="497143A4"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97,0</w:t>
            </w:r>
          </w:p>
        </w:tc>
        <w:tc>
          <w:tcPr>
            <w:tcW w:w="803" w:type="pct"/>
          </w:tcPr>
          <w:p w14:paraId="193CBF40"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-1,1</w:t>
            </w:r>
          </w:p>
        </w:tc>
        <w:tc>
          <w:tcPr>
            <w:tcW w:w="803" w:type="pct"/>
            <w:shd w:val="clear" w:color="auto" w:fill="auto"/>
            <w:hideMark/>
          </w:tcPr>
          <w:p w14:paraId="4A81B777"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6,2</w:t>
            </w:r>
          </w:p>
        </w:tc>
      </w:tr>
      <w:tr w:rsidR="00B94540" w:rsidRPr="00092ED7" w14:paraId="46C6920A" w14:textId="77777777" w:rsidTr="009D4BCD">
        <w:trPr>
          <w:trHeight w:val="66"/>
          <w:tblHeader/>
          <w:jc w:val="right"/>
        </w:trPr>
        <w:tc>
          <w:tcPr>
            <w:tcW w:w="1788" w:type="pct"/>
            <w:shd w:val="clear" w:color="auto" w:fill="auto"/>
            <w:noWrap/>
            <w:vAlign w:val="center"/>
            <w:hideMark/>
          </w:tcPr>
          <w:p w14:paraId="52700BB3"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Субвенције</w:t>
            </w:r>
          </w:p>
        </w:tc>
        <w:tc>
          <w:tcPr>
            <w:tcW w:w="803" w:type="pct"/>
            <w:shd w:val="clear" w:color="auto" w:fill="auto"/>
            <w:hideMark/>
          </w:tcPr>
          <w:p w14:paraId="2F7DAAAB"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142,2</w:t>
            </w:r>
          </w:p>
        </w:tc>
        <w:tc>
          <w:tcPr>
            <w:tcW w:w="803" w:type="pct"/>
            <w:shd w:val="clear" w:color="auto" w:fill="auto"/>
            <w:hideMark/>
          </w:tcPr>
          <w:p w14:paraId="03093765"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104,2</w:t>
            </w:r>
          </w:p>
        </w:tc>
        <w:tc>
          <w:tcPr>
            <w:tcW w:w="803" w:type="pct"/>
          </w:tcPr>
          <w:p w14:paraId="139EC5EE"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-26,8</w:t>
            </w:r>
          </w:p>
        </w:tc>
        <w:tc>
          <w:tcPr>
            <w:tcW w:w="803" w:type="pct"/>
            <w:shd w:val="clear" w:color="auto" w:fill="auto"/>
            <w:hideMark/>
          </w:tcPr>
          <w:p w14:paraId="4D1C03B2"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-11,1</w:t>
            </w:r>
          </w:p>
        </w:tc>
      </w:tr>
      <w:tr w:rsidR="00B94540" w:rsidRPr="00092ED7" w14:paraId="05CF6237" w14:textId="77777777" w:rsidTr="009D4BCD">
        <w:trPr>
          <w:trHeight w:val="66"/>
          <w:tblHeader/>
          <w:jc w:val="right"/>
        </w:trPr>
        <w:tc>
          <w:tcPr>
            <w:tcW w:w="1788" w:type="pct"/>
            <w:shd w:val="clear" w:color="auto" w:fill="auto"/>
            <w:noWrap/>
            <w:vAlign w:val="center"/>
            <w:hideMark/>
          </w:tcPr>
          <w:p w14:paraId="4ADD6352"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Социјална помоћ и трансфери</w:t>
            </w:r>
          </w:p>
        </w:tc>
        <w:tc>
          <w:tcPr>
            <w:tcW w:w="803" w:type="pct"/>
            <w:shd w:val="clear" w:color="auto" w:fill="auto"/>
            <w:hideMark/>
          </w:tcPr>
          <w:p w14:paraId="2A382AE4"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633,4</w:t>
            </w:r>
          </w:p>
        </w:tc>
        <w:tc>
          <w:tcPr>
            <w:tcW w:w="803" w:type="pct"/>
            <w:shd w:val="clear" w:color="auto" w:fill="auto"/>
            <w:hideMark/>
          </w:tcPr>
          <w:p w14:paraId="47D22819"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692,8</w:t>
            </w:r>
          </w:p>
        </w:tc>
        <w:tc>
          <w:tcPr>
            <w:tcW w:w="803" w:type="pct"/>
          </w:tcPr>
          <w:p w14:paraId="6459148E"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9,4</w:t>
            </w:r>
          </w:p>
        </w:tc>
        <w:tc>
          <w:tcPr>
            <w:tcW w:w="803" w:type="pct"/>
            <w:shd w:val="clear" w:color="auto" w:fill="auto"/>
            <w:hideMark/>
          </w:tcPr>
          <w:p w14:paraId="487684BF"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8,5</w:t>
            </w:r>
          </w:p>
        </w:tc>
      </w:tr>
      <w:tr w:rsidR="00B94540" w:rsidRPr="00092ED7" w14:paraId="16A41C9D" w14:textId="77777777" w:rsidTr="009D4BCD">
        <w:trPr>
          <w:trHeight w:val="66"/>
          <w:tblHeader/>
          <w:jc w:val="right"/>
        </w:trPr>
        <w:tc>
          <w:tcPr>
            <w:tcW w:w="1788" w:type="pct"/>
            <w:shd w:val="clear" w:color="auto" w:fill="auto"/>
            <w:noWrap/>
            <w:vAlign w:val="center"/>
            <w:hideMark/>
          </w:tcPr>
          <w:p w14:paraId="7FF78EC0"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од чега пензије</w:t>
            </w:r>
          </w:p>
        </w:tc>
        <w:tc>
          <w:tcPr>
            <w:tcW w:w="803" w:type="pct"/>
            <w:shd w:val="clear" w:color="auto" w:fill="auto"/>
            <w:hideMark/>
          </w:tcPr>
          <w:p w14:paraId="572C537C"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456,7</w:t>
            </w:r>
          </w:p>
        </w:tc>
        <w:tc>
          <w:tcPr>
            <w:tcW w:w="803" w:type="pct"/>
            <w:shd w:val="clear" w:color="auto" w:fill="auto"/>
            <w:hideMark/>
          </w:tcPr>
          <w:p w14:paraId="5A8BA013"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474,4</w:t>
            </w:r>
          </w:p>
        </w:tc>
        <w:tc>
          <w:tcPr>
            <w:tcW w:w="803" w:type="pct"/>
          </w:tcPr>
          <w:p w14:paraId="3988E58D"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3,9</w:t>
            </w:r>
          </w:p>
        </w:tc>
        <w:tc>
          <w:tcPr>
            <w:tcW w:w="803" w:type="pct"/>
            <w:shd w:val="clear" w:color="auto" w:fill="auto"/>
            <w:hideMark/>
          </w:tcPr>
          <w:p w14:paraId="53DB143C"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4,9</w:t>
            </w:r>
          </w:p>
        </w:tc>
      </w:tr>
      <w:tr w:rsidR="00B94540" w:rsidRPr="00092ED7" w14:paraId="380AED2C" w14:textId="77777777" w:rsidTr="009D4BCD">
        <w:trPr>
          <w:trHeight w:val="66"/>
          <w:tblHeader/>
          <w:jc w:val="right"/>
        </w:trPr>
        <w:tc>
          <w:tcPr>
            <w:tcW w:w="1788" w:type="pct"/>
            <w:shd w:val="clear" w:color="auto" w:fill="auto"/>
            <w:noWrap/>
            <w:vAlign w:val="center"/>
            <w:hideMark/>
          </w:tcPr>
          <w:p w14:paraId="30EA6C35"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Остали текући расходи</w:t>
            </w:r>
          </w:p>
        </w:tc>
        <w:tc>
          <w:tcPr>
            <w:tcW w:w="803" w:type="pct"/>
            <w:shd w:val="clear" w:color="auto" w:fill="auto"/>
            <w:hideMark/>
          </w:tcPr>
          <w:p w14:paraId="2C45F76F"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90,0</w:t>
            </w:r>
          </w:p>
        </w:tc>
        <w:tc>
          <w:tcPr>
            <w:tcW w:w="803" w:type="pct"/>
            <w:shd w:val="clear" w:color="auto" w:fill="auto"/>
            <w:hideMark/>
          </w:tcPr>
          <w:p w14:paraId="1332306C"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110,0</w:t>
            </w:r>
          </w:p>
        </w:tc>
        <w:tc>
          <w:tcPr>
            <w:tcW w:w="803" w:type="pct"/>
          </w:tcPr>
          <w:p w14:paraId="07786393"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22,2</w:t>
            </w:r>
          </w:p>
        </w:tc>
        <w:tc>
          <w:tcPr>
            <w:tcW w:w="803" w:type="pct"/>
            <w:shd w:val="clear" w:color="auto" w:fill="auto"/>
            <w:hideMark/>
          </w:tcPr>
          <w:p w14:paraId="3090A4B1"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0,8</w:t>
            </w:r>
          </w:p>
        </w:tc>
      </w:tr>
      <w:tr w:rsidR="00B94540" w:rsidRPr="00092ED7" w14:paraId="5B6C5165" w14:textId="77777777" w:rsidTr="009D4BCD">
        <w:trPr>
          <w:trHeight w:val="66"/>
          <w:tblHeader/>
          <w:jc w:val="right"/>
        </w:trPr>
        <w:tc>
          <w:tcPr>
            <w:tcW w:w="1788" w:type="pct"/>
            <w:shd w:val="clear" w:color="auto" w:fill="auto"/>
            <w:noWrap/>
            <w:vAlign w:val="center"/>
            <w:hideMark/>
          </w:tcPr>
          <w:p w14:paraId="163986C8"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Капитални расходи</w:t>
            </w:r>
          </w:p>
        </w:tc>
        <w:tc>
          <w:tcPr>
            <w:tcW w:w="803" w:type="pct"/>
            <w:shd w:val="clear" w:color="auto" w:fill="auto"/>
            <w:hideMark/>
          </w:tcPr>
          <w:p w14:paraId="37F4594F"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264,5</w:t>
            </w:r>
          </w:p>
        </w:tc>
        <w:tc>
          <w:tcPr>
            <w:tcW w:w="803" w:type="pct"/>
            <w:shd w:val="clear" w:color="auto" w:fill="auto"/>
            <w:hideMark/>
          </w:tcPr>
          <w:p w14:paraId="3412FD72"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292,6</w:t>
            </w:r>
          </w:p>
        </w:tc>
        <w:tc>
          <w:tcPr>
            <w:tcW w:w="803" w:type="pct"/>
          </w:tcPr>
          <w:p w14:paraId="5791DEC5"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10,6</w:t>
            </w:r>
          </w:p>
        </w:tc>
        <w:tc>
          <w:tcPr>
            <w:tcW w:w="803" w:type="pct"/>
            <w:shd w:val="clear" w:color="auto" w:fill="auto"/>
            <w:hideMark/>
          </w:tcPr>
          <w:p w14:paraId="121C1C09"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11,3</w:t>
            </w:r>
          </w:p>
        </w:tc>
      </w:tr>
      <w:tr w:rsidR="00B94540" w:rsidRPr="00092ED7" w14:paraId="6465B5B6" w14:textId="77777777" w:rsidTr="009D4BCD">
        <w:trPr>
          <w:trHeight w:val="66"/>
          <w:tblHeader/>
          <w:jc w:val="right"/>
        </w:trPr>
        <w:tc>
          <w:tcPr>
            <w:tcW w:w="1788" w:type="pct"/>
            <w:shd w:val="clear" w:color="auto" w:fill="auto"/>
            <w:noWrap/>
            <w:vAlign w:val="center"/>
            <w:hideMark/>
          </w:tcPr>
          <w:p w14:paraId="657B7E82"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Нето буџетске позајмице</w:t>
            </w:r>
          </w:p>
        </w:tc>
        <w:tc>
          <w:tcPr>
            <w:tcW w:w="803" w:type="pct"/>
            <w:shd w:val="clear" w:color="auto" w:fill="auto"/>
            <w:hideMark/>
          </w:tcPr>
          <w:p w14:paraId="4DB133DE"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11,6</w:t>
            </w:r>
          </w:p>
        </w:tc>
        <w:tc>
          <w:tcPr>
            <w:tcW w:w="803" w:type="pct"/>
            <w:shd w:val="clear" w:color="auto" w:fill="auto"/>
            <w:hideMark/>
          </w:tcPr>
          <w:p w14:paraId="221FA20B"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26,1</w:t>
            </w:r>
          </w:p>
        </w:tc>
        <w:tc>
          <w:tcPr>
            <w:tcW w:w="803" w:type="pct"/>
          </w:tcPr>
          <w:p w14:paraId="32984408"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125,1</w:t>
            </w:r>
          </w:p>
        </w:tc>
        <w:tc>
          <w:tcPr>
            <w:tcW w:w="803" w:type="pct"/>
            <w:shd w:val="clear" w:color="auto" w:fill="auto"/>
            <w:hideMark/>
          </w:tcPr>
          <w:p w14:paraId="1676BE0D"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197,9</w:t>
            </w:r>
          </w:p>
        </w:tc>
      </w:tr>
      <w:tr w:rsidR="00B94540" w:rsidRPr="00092ED7" w14:paraId="3F749CD8" w14:textId="77777777" w:rsidTr="009D4BCD">
        <w:trPr>
          <w:trHeight w:val="66"/>
          <w:tblHeader/>
          <w:jc w:val="right"/>
        </w:trPr>
        <w:tc>
          <w:tcPr>
            <w:tcW w:w="1788" w:type="pct"/>
            <w:shd w:val="clear" w:color="auto" w:fill="auto"/>
            <w:noWrap/>
            <w:vAlign w:val="center"/>
            <w:hideMark/>
          </w:tcPr>
          <w:p w14:paraId="2CF901C7"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Активиране гаранције</w:t>
            </w:r>
          </w:p>
        </w:tc>
        <w:tc>
          <w:tcPr>
            <w:tcW w:w="803" w:type="pct"/>
            <w:shd w:val="clear" w:color="auto" w:fill="auto"/>
            <w:hideMark/>
          </w:tcPr>
          <w:p w14:paraId="67C5F007"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5,4</w:t>
            </w:r>
          </w:p>
        </w:tc>
        <w:tc>
          <w:tcPr>
            <w:tcW w:w="803" w:type="pct"/>
            <w:shd w:val="clear" w:color="auto" w:fill="auto"/>
            <w:hideMark/>
          </w:tcPr>
          <w:p w14:paraId="2F963A59"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11,5</w:t>
            </w:r>
          </w:p>
        </w:tc>
        <w:tc>
          <w:tcPr>
            <w:tcW w:w="803" w:type="pct"/>
          </w:tcPr>
          <w:p w14:paraId="31494133"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114,5</w:t>
            </w:r>
          </w:p>
        </w:tc>
        <w:tc>
          <w:tcPr>
            <w:tcW w:w="803" w:type="pct"/>
            <w:shd w:val="clear" w:color="auto" w:fill="auto"/>
            <w:hideMark/>
          </w:tcPr>
          <w:p w14:paraId="62570556"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137,8</w:t>
            </w:r>
          </w:p>
        </w:tc>
      </w:tr>
      <w:tr w:rsidR="00B94540" w:rsidRPr="00092ED7" w14:paraId="4A65E105" w14:textId="77777777" w:rsidTr="009D4BCD">
        <w:trPr>
          <w:trHeight w:val="66"/>
          <w:tblHeader/>
          <w:jc w:val="right"/>
        </w:trPr>
        <w:tc>
          <w:tcPr>
            <w:tcW w:w="1788" w:type="pct"/>
            <w:shd w:val="clear" w:color="auto" w:fill="E7E6E6" w:themeFill="background2"/>
            <w:noWrap/>
            <w:vAlign w:val="center"/>
            <w:hideMark/>
          </w:tcPr>
          <w:p w14:paraId="77B1D3D2" w14:textId="77777777" w:rsidR="00B94540" w:rsidRPr="00092ED7" w:rsidRDefault="00B94540" w:rsidP="00B94540">
            <w:pPr>
              <w:spacing w:after="0"/>
              <w:jc w:val="left"/>
              <w:rPr>
                <w:rFonts w:cstheme="minorHAnsi"/>
                <w:sz w:val="20"/>
                <w:szCs w:val="20"/>
                <w:lang w:val="sr-Cyrl-CS"/>
              </w:rPr>
            </w:pPr>
            <w:r w:rsidRPr="00092ED7">
              <w:rPr>
                <w:rFonts w:eastAsia="MS PGothic" w:cstheme="minorHAnsi"/>
                <w:sz w:val="20"/>
                <w:szCs w:val="20"/>
                <w:lang w:val="sr-Cyrl-CS" w:eastAsia="ja-JP"/>
              </w:rPr>
              <w:t>Фискални резултат</w:t>
            </w:r>
          </w:p>
        </w:tc>
        <w:tc>
          <w:tcPr>
            <w:tcW w:w="803" w:type="pct"/>
            <w:shd w:val="clear" w:color="auto" w:fill="E7E6E6" w:themeFill="background2"/>
            <w:hideMark/>
          </w:tcPr>
          <w:p w14:paraId="7C1818D2"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-68,0</w:t>
            </w:r>
          </w:p>
        </w:tc>
        <w:tc>
          <w:tcPr>
            <w:tcW w:w="803" w:type="pct"/>
            <w:shd w:val="clear" w:color="auto" w:fill="E7E6E6" w:themeFill="background2"/>
            <w:hideMark/>
          </w:tcPr>
          <w:p w14:paraId="437D221B"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48,3</w:t>
            </w:r>
          </w:p>
        </w:tc>
        <w:tc>
          <w:tcPr>
            <w:tcW w:w="803" w:type="pct"/>
            <w:shd w:val="clear" w:color="auto" w:fill="E7E6E6" w:themeFill="background2"/>
          </w:tcPr>
          <w:p w14:paraId="32923C5A" w14:textId="77777777" w:rsidR="00B94540" w:rsidRPr="00092ED7" w:rsidRDefault="00B94540" w:rsidP="00B94540">
            <w:pPr>
              <w:spacing w:after="0"/>
              <w:ind w:right="737"/>
              <w:jc w:val="right"/>
              <w:rPr>
                <w:rFonts w:cstheme="minorHAnsi"/>
                <w:sz w:val="20"/>
                <w:szCs w:val="20"/>
                <w:lang w:val="sr-Cyrl-CS"/>
              </w:rPr>
            </w:pPr>
          </w:p>
        </w:tc>
        <w:tc>
          <w:tcPr>
            <w:tcW w:w="803" w:type="pct"/>
            <w:shd w:val="clear" w:color="auto" w:fill="E7E6E6" w:themeFill="background2"/>
            <w:hideMark/>
          </w:tcPr>
          <w:p w14:paraId="2F221AAB" w14:textId="77777777" w:rsidR="00B94540" w:rsidRPr="00092ED7" w:rsidRDefault="00B94540" w:rsidP="00B94540">
            <w:pPr>
              <w:spacing w:after="0"/>
              <w:ind w:right="737"/>
              <w:jc w:val="right"/>
              <w:rPr>
                <w:rFonts w:cstheme="minorHAnsi"/>
                <w:sz w:val="20"/>
                <w:szCs w:val="20"/>
                <w:lang w:val="sr-Cyrl-CS"/>
              </w:rPr>
            </w:pPr>
          </w:p>
        </w:tc>
      </w:tr>
    </w:tbl>
    <w:p w14:paraId="417660EC" w14:textId="77777777" w:rsidR="00B94540" w:rsidRPr="00092ED7" w:rsidRDefault="00B94540" w:rsidP="009D4BCD">
      <w:pPr>
        <w:tabs>
          <w:tab w:val="left" w:pos="623"/>
        </w:tabs>
        <w:spacing w:before="60" w:after="60"/>
        <w:rPr>
          <w:rFonts w:eastAsia="Calibri" w:cs="Times New Roman"/>
          <w:sz w:val="18"/>
          <w:szCs w:val="18"/>
          <w:lang w:val="sr-Cyrl-CS"/>
        </w:rPr>
      </w:pPr>
      <w:r w:rsidRPr="00092ED7">
        <w:rPr>
          <w:rFonts w:eastAsia="Calibri" w:cs="Times New Roman"/>
          <w:bCs/>
          <w:sz w:val="18"/>
          <w:szCs w:val="18"/>
          <w:lang w:val="sr-Cyrl-CS" w:eastAsia="ja-JP"/>
        </w:rPr>
        <w:t xml:space="preserve">Извор: </w:t>
      </w:r>
      <w:r w:rsidRPr="00092ED7">
        <w:rPr>
          <w:rFonts w:eastAsia="Calibri" w:cs="Times New Roman"/>
          <w:sz w:val="18"/>
          <w:szCs w:val="18"/>
          <w:lang w:val="sr-Cyrl-CS"/>
        </w:rPr>
        <w:t>Министарство финансија</w:t>
      </w:r>
    </w:p>
    <w:p w14:paraId="75710AFC" w14:textId="77777777" w:rsidR="00B94540" w:rsidRPr="00092ED7" w:rsidRDefault="00B94540" w:rsidP="009D4BCD">
      <w:pPr>
        <w:spacing w:after="40"/>
        <w:rPr>
          <w:rFonts w:eastAsia="MS PGothic" w:cstheme="minorHAnsi"/>
          <w:szCs w:val="20"/>
          <w:lang w:val="sr-Cyrl-CS" w:eastAsia="ja-JP"/>
        </w:rPr>
      </w:pPr>
      <w:r w:rsidRPr="00092ED7">
        <w:rPr>
          <w:rFonts w:eastAsia="MS PGothic" w:cstheme="minorHAnsi"/>
          <w:szCs w:val="20"/>
          <w:lang w:val="sr-Cyrl-CS" w:eastAsia="ja-JP"/>
        </w:rPr>
        <w:t xml:space="preserve">Стање доцњи (преко 60 дана кашњења)* буџетских корисника и организација обавезног социјалног осигурања последњег дана </w:t>
      </w:r>
      <w:r w:rsidRPr="00092ED7">
        <w:rPr>
          <w:lang w:val="sr-Cyrl-CS"/>
        </w:rPr>
        <w:t>септембра</w:t>
      </w:r>
      <w:r w:rsidRPr="00092ED7">
        <w:rPr>
          <w:rFonts w:eastAsia="MS PGothic" w:cstheme="minorHAnsi"/>
          <w:szCs w:val="20"/>
          <w:lang w:val="sr-Cyrl-CS" w:eastAsia="ja-JP"/>
        </w:rPr>
        <w:t xml:space="preserve"> 2022. године износило је 2,8 млрд динара (око 0,04% БДП), и повећано је у односу на крај 2021. године. Корисници буџета и ЈП „Путеви Србије” креирали су доцње у плаћању од 1,4 млрд динара, док је стање доцњи организација обавезног социјалног осигурања 1,4 млрд динара.</w:t>
      </w:r>
    </w:p>
    <w:p w14:paraId="0CBF49CE" w14:textId="274172D1" w:rsidR="00B94540" w:rsidRPr="00092ED7" w:rsidRDefault="00B94540" w:rsidP="00B94540">
      <w:pPr>
        <w:spacing w:before="120" w:after="60"/>
        <w:rPr>
          <w:rFonts w:eastAsia="MS PGothic" w:cstheme="minorHAnsi"/>
          <w:szCs w:val="20"/>
          <w:lang w:val="sr-Cyrl-CS" w:eastAsia="ja-JP"/>
        </w:rPr>
      </w:pPr>
      <w:r w:rsidRPr="00092ED7">
        <w:rPr>
          <w:rFonts w:eastAsia="MS PGothic" w:cs="Times New Roman"/>
          <w:szCs w:val="24"/>
          <w:lang w:val="sr-Cyrl-CS" w:eastAsia="ja-JP"/>
        </w:rPr>
        <w:t>Табела 6. Стање доцњи буџетских корисника и О</w:t>
      </w:r>
      <w:r w:rsidR="00B86E8D" w:rsidRPr="00092ED7">
        <w:rPr>
          <w:rFonts w:eastAsia="MS PGothic" w:cs="Times New Roman"/>
          <w:szCs w:val="24"/>
          <w:lang w:val="sr-Cyrl-CS" w:eastAsia="ja-JP"/>
        </w:rPr>
        <w:t>рганизација обавезног социјалног осигурања (у даљем тексту: О</w:t>
      </w:r>
      <w:r w:rsidRPr="00092ED7">
        <w:rPr>
          <w:rFonts w:eastAsia="MS PGothic" w:cs="Times New Roman"/>
          <w:szCs w:val="24"/>
          <w:lang w:val="sr-Cyrl-CS" w:eastAsia="ja-JP"/>
        </w:rPr>
        <w:t>ОСО</w:t>
      </w:r>
      <w:r w:rsidR="00B86E8D" w:rsidRPr="00092ED7">
        <w:rPr>
          <w:rFonts w:eastAsia="MS PGothic" w:cs="Times New Roman"/>
          <w:szCs w:val="24"/>
          <w:lang w:val="sr-Cyrl-CS" w:eastAsia="ja-JP"/>
        </w:rPr>
        <w:t>)</w:t>
      </w:r>
      <w:r w:rsidRPr="00092ED7">
        <w:rPr>
          <w:rFonts w:eastAsia="MS PGothic" w:cs="Times New Roman"/>
          <w:szCs w:val="24"/>
          <w:lang w:val="sr-Cyrl-CS" w:eastAsia="ja-JP"/>
        </w:rPr>
        <w:t>, крај 2021. године и септембар 2022. године, у млрд динара</w:t>
      </w:r>
    </w:p>
    <w:tbl>
      <w:tblPr>
        <w:tblStyle w:val="LightShading-Accent3352"/>
        <w:tblpPr w:leftFromText="180" w:rightFromText="180" w:vertAnchor="text" w:horzAnchor="margin" w:tblpY="56"/>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0"/>
        <w:gridCol w:w="1774"/>
        <w:gridCol w:w="1774"/>
      </w:tblGrid>
      <w:tr w:rsidR="00B94540" w:rsidRPr="00092ED7" w14:paraId="00C57439" w14:textId="77777777" w:rsidTr="009D4BCD">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984" w:type="pct"/>
            <w:tcBorders>
              <w:top w:val="none" w:sz="0" w:space="0" w:color="auto"/>
              <w:left w:val="none" w:sz="0" w:space="0" w:color="auto"/>
              <w:bottom w:val="none" w:sz="0" w:space="0" w:color="auto"/>
              <w:right w:val="none" w:sz="0" w:space="0" w:color="auto"/>
            </w:tcBorders>
            <w:shd w:val="clear" w:color="auto" w:fill="auto"/>
            <w:noWrap/>
            <w:hideMark/>
          </w:tcPr>
          <w:p w14:paraId="217F18D0" w14:textId="77777777" w:rsidR="00B94540" w:rsidRPr="00092ED7" w:rsidRDefault="00B94540" w:rsidP="00B94540">
            <w:pPr>
              <w:spacing w:after="0"/>
              <w:rPr>
                <w:color w:val="auto"/>
                <w:sz w:val="20"/>
                <w:lang w:val="sr-Cyrl-CS"/>
              </w:rPr>
            </w:pPr>
          </w:p>
        </w:tc>
        <w:tc>
          <w:tcPr>
            <w:tcW w:w="1008" w:type="pct"/>
            <w:tcBorders>
              <w:top w:val="none" w:sz="0" w:space="0" w:color="auto"/>
              <w:left w:val="none" w:sz="0" w:space="0" w:color="auto"/>
              <w:bottom w:val="none" w:sz="0" w:space="0" w:color="auto"/>
              <w:right w:val="none" w:sz="0" w:space="0" w:color="auto"/>
            </w:tcBorders>
            <w:shd w:val="clear" w:color="auto" w:fill="auto"/>
            <w:vAlign w:val="center"/>
          </w:tcPr>
          <w:p w14:paraId="23E7A726" w14:textId="77777777" w:rsidR="00B94540" w:rsidRPr="00092ED7" w:rsidRDefault="00B94540" w:rsidP="00B94540">
            <w:pPr>
              <w:spacing w:after="0"/>
              <w:jc w:val="right"/>
              <w:cnfStyle w:val="100000000000" w:firstRow="1" w:lastRow="0" w:firstColumn="0" w:lastColumn="0" w:oddVBand="0" w:evenVBand="0" w:oddHBand="0" w:evenHBand="0" w:firstRowFirstColumn="0" w:firstRowLastColumn="0" w:lastRowFirstColumn="0" w:lastRowLastColumn="0"/>
              <w:rPr>
                <w:b w:val="0"/>
                <w:color w:val="auto"/>
                <w:sz w:val="20"/>
                <w:lang w:val="sr-Cyrl-CS"/>
              </w:rPr>
            </w:pPr>
            <w:r w:rsidRPr="00092ED7">
              <w:rPr>
                <w:b w:val="0"/>
                <w:color w:val="auto"/>
                <w:sz w:val="20"/>
                <w:lang w:val="sr-Cyrl-CS"/>
              </w:rPr>
              <w:t>31.12.2021.</w:t>
            </w:r>
          </w:p>
        </w:tc>
        <w:tc>
          <w:tcPr>
            <w:tcW w:w="1008" w:type="pct"/>
            <w:tcBorders>
              <w:top w:val="none" w:sz="0" w:space="0" w:color="auto"/>
              <w:left w:val="none" w:sz="0" w:space="0" w:color="auto"/>
              <w:bottom w:val="none" w:sz="0" w:space="0" w:color="auto"/>
              <w:right w:val="none" w:sz="0" w:space="0" w:color="auto"/>
            </w:tcBorders>
            <w:shd w:val="clear" w:color="auto" w:fill="auto"/>
            <w:vAlign w:val="center"/>
          </w:tcPr>
          <w:p w14:paraId="09043081" w14:textId="77777777" w:rsidR="00B94540" w:rsidRPr="00092ED7" w:rsidRDefault="00B94540" w:rsidP="00B94540">
            <w:pPr>
              <w:spacing w:after="0"/>
              <w:jc w:val="right"/>
              <w:cnfStyle w:val="100000000000" w:firstRow="1" w:lastRow="0" w:firstColumn="0" w:lastColumn="0" w:oddVBand="0" w:evenVBand="0" w:oddHBand="0" w:evenHBand="0" w:firstRowFirstColumn="0" w:firstRowLastColumn="0" w:lastRowFirstColumn="0" w:lastRowLastColumn="0"/>
              <w:rPr>
                <w:b w:val="0"/>
                <w:color w:val="auto"/>
                <w:sz w:val="20"/>
                <w:lang w:val="sr-Cyrl-CS"/>
              </w:rPr>
            </w:pPr>
            <w:r w:rsidRPr="00092ED7">
              <w:rPr>
                <w:b w:val="0"/>
                <w:color w:val="auto"/>
                <w:sz w:val="20"/>
                <w:lang w:val="sr-Cyrl-CS"/>
              </w:rPr>
              <w:t>30.09.2022.</w:t>
            </w:r>
          </w:p>
        </w:tc>
      </w:tr>
      <w:tr w:rsidR="00B94540" w:rsidRPr="00092ED7" w14:paraId="28818595" w14:textId="77777777" w:rsidTr="009D4BC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984" w:type="pct"/>
            <w:tcBorders>
              <w:left w:val="none" w:sz="0" w:space="0" w:color="auto"/>
              <w:right w:val="none" w:sz="0" w:space="0" w:color="auto"/>
            </w:tcBorders>
            <w:shd w:val="clear" w:color="auto" w:fill="auto"/>
            <w:noWrap/>
            <w:vAlign w:val="center"/>
            <w:hideMark/>
          </w:tcPr>
          <w:p w14:paraId="32085A64" w14:textId="77777777" w:rsidR="00B94540" w:rsidRPr="00092ED7" w:rsidRDefault="00B94540" w:rsidP="00B94540">
            <w:pPr>
              <w:spacing w:after="0"/>
              <w:rPr>
                <w:b w:val="0"/>
                <w:color w:val="auto"/>
                <w:sz w:val="20"/>
                <w:lang w:val="sr-Cyrl-CS"/>
              </w:rPr>
            </w:pPr>
            <w:r w:rsidRPr="00092ED7">
              <w:rPr>
                <w:b w:val="0"/>
                <w:color w:val="auto"/>
                <w:sz w:val="20"/>
                <w:lang w:val="sr-Cyrl-CS"/>
              </w:rPr>
              <w:t xml:space="preserve">Буџетски корисници и ЈП „Путеви Србије” </w:t>
            </w:r>
          </w:p>
        </w:tc>
        <w:tc>
          <w:tcPr>
            <w:tcW w:w="1008" w:type="pct"/>
            <w:tcBorders>
              <w:left w:val="none" w:sz="0" w:space="0" w:color="auto"/>
              <w:right w:val="none" w:sz="0" w:space="0" w:color="auto"/>
            </w:tcBorders>
            <w:shd w:val="clear" w:color="auto" w:fill="auto"/>
            <w:vAlign w:val="center"/>
          </w:tcPr>
          <w:p w14:paraId="05808433" w14:textId="77777777" w:rsidR="00B94540" w:rsidRPr="00092ED7" w:rsidRDefault="00B94540" w:rsidP="00B94540">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20"/>
                <w:lang w:val="sr-Cyrl-CS"/>
              </w:rPr>
            </w:pPr>
            <w:r w:rsidRPr="00092ED7">
              <w:rPr>
                <w:color w:val="auto"/>
                <w:sz w:val="20"/>
                <w:lang w:val="sr-Cyrl-CS"/>
              </w:rPr>
              <w:t>1,2</w:t>
            </w:r>
          </w:p>
        </w:tc>
        <w:tc>
          <w:tcPr>
            <w:tcW w:w="1008" w:type="pct"/>
            <w:tcBorders>
              <w:left w:val="none" w:sz="0" w:space="0" w:color="auto"/>
              <w:right w:val="none" w:sz="0" w:space="0" w:color="auto"/>
            </w:tcBorders>
            <w:shd w:val="clear" w:color="auto" w:fill="auto"/>
            <w:vAlign w:val="center"/>
          </w:tcPr>
          <w:p w14:paraId="2E5C5DA6" w14:textId="77777777" w:rsidR="00B94540" w:rsidRPr="00092ED7" w:rsidRDefault="00B94540" w:rsidP="00B94540">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20"/>
                <w:lang w:val="sr-Cyrl-CS"/>
              </w:rPr>
            </w:pPr>
            <w:r w:rsidRPr="00092ED7">
              <w:rPr>
                <w:color w:val="auto"/>
                <w:sz w:val="20"/>
                <w:lang w:val="sr-Cyrl-CS"/>
              </w:rPr>
              <w:t>1,4</w:t>
            </w:r>
          </w:p>
        </w:tc>
      </w:tr>
      <w:tr w:rsidR="00B94540" w:rsidRPr="00092ED7" w14:paraId="145F9A70" w14:textId="77777777" w:rsidTr="009D4BCD">
        <w:trPr>
          <w:trHeight w:val="154"/>
        </w:trPr>
        <w:tc>
          <w:tcPr>
            <w:cnfStyle w:val="001000000000" w:firstRow="0" w:lastRow="0" w:firstColumn="1" w:lastColumn="0" w:oddVBand="0" w:evenVBand="0" w:oddHBand="0" w:evenHBand="0" w:firstRowFirstColumn="0" w:firstRowLastColumn="0" w:lastRowFirstColumn="0" w:lastRowLastColumn="0"/>
            <w:tcW w:w="2984" w:type="pct"/>
            <w:shd w:val="clear" w:color="auto" w:fill="auto"/>
            <w:noWrap/>
            <w:vAlign w:val="center"/>
            <w:hideMark/>
          </w:tcPr>
          <w:p w14:paraId="0BEE5FEA" w14:textId="77777777" w:rsidR="00B94540" w:rsidRPr="00092ED7" w:rsidRDefault="00B94540" w:rsidP="00B94540">
            <w:pPr>
              <w:spacing w:after="0"/>
              <w:rPr>
                <w:b w:val="0"/>
                <w:color w:val="auto"/>
                <w:sz w:val="20"/>
                <w:lang w:val="sr-Cyrl-CS"/>
              </w:rPr>
            </w:pPr>
            <w:r w:rsidRPr="00092ED7">
              <w:rPr>
                <w:b w:val="0"/>
                <w:color w:val="auto"/>
                <w:sz w:val="20"/>
                <w:lang w:val="sr-Cyrl-CS"/>
              </w:rPr>
              <w:t>ООСО</w:t>
            </w:r>
          </w:p>
        </w:tc>
        <w:tc>
          <w:tcPr>
            <w:tcW w:w="1008" w:type="pct"/>
            <w:shd w:val="clear" w:color="auto" w:fill="auto"/>
            <w:vAlign w:val="center"/>
          </w:tcPr>
          <w:p w14:paraId="52E2475F" w14:textId="77777777" w:rsidR="00B94540" w:rsidRPr="00092ED7" w:rsidRDefault="00B94540" w:rsidP="00B94540">
            <w:pPr>
              <w:spacing w:after="0"/>
              <w:ind w:firstLine="709"/>
              <w:jc w:val="right"/>
              <w:cnfStyle w:val="000000000000" w:firstRow="0" w:lastRow="0" w:firstColumn="0" w:lastColumn="0" w:oddVBand="0" w:evenVBand="0" w:oddHBand="0" w:evenHBand="0" w:firstRowFirstColumn="0" w:firstRowLastColumn="0" w:lastRowFirstColumn="0" w:lastRowLastColumn="0"/>
              <w:rPr>
                <w:color w:val="auto"/>
                <w:sz w:val="20"/>
                <w:lang w:val="sr-Cyrl-CS"/>
              </w:rPr>
            </w:pPr>
            <w:r w:rsidRPr="00092ED7">
              <w:rPr>
                <w:color w:val="auto"/>
                <w:sz w:val="20"/>
                <w:lang w:val="sr-Cyrl-CS"/>
              </w:rPr>
              <w:t>1,3</w:t>
            </w:r>
          </w:p>
        </w:tc>
        <w:tc>
          <w:tcPr>
            <w:tcW w:w="1008" w:type="pct"/>
            <w:shd w:val="clear" w:color="auto" w:fill="auto"/>
            <w:vAlign w:val="center"/>
          </w:tcPr>
          <w:p w14:paraId="4DD8E1EA" w14:textId="77777777" w:rsidR="00B94540" w:rsidRPr="00092ED7" w:rsidRDefault="00B94540" w:rsidP="00B94540">
            <w:pPr>
              <w:spacing w:after="0"/>
              <w:ind w:firstLine="709"/>
              <w:jc w:val="right"/>
              <w:cnfStyle w:val="000000000000" w:firstRow="0" w:lastRow="0" w:firstColumn="0" w:lastColumn="0" w:oddVBand="0" w:evenVBand="0" w:oddHBand="0" w:evenHBand="0" w:firstRowFirstColumn="0" w:firstRowLastColumn="0" w:lastRowFirstColumn="0" w:lastRowLastColumn="0"/>
              <w:rPr>
                <w:color w:val="auto"/>
                <w:sz w:val="20"/>
                <w:lang w:val="sr-Cyrl-CS"/>
              </w:rPr>
            </w:pPr>
            <w:r w:rsidRPr="00092ED7">
              <w:rPr>
                <w:color w:val="auto"/>
                <w:sz w:val="20"/>
                <w:lang w:val="sr-Cyrl-CS"/>
              </w:rPr>
              <w:t>1,4</w:t>
            </w:r>
          </w:p>
        </w:tc>
      </w:tr>
      <w:tr w:rsidR="00B94540" w:rsidRPr="00092ED7" w14:paraId="5C1E0ECE" w14:textId="77777777" w:rsidTr="009D4B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tcBorders>
              <w:left w:val="none" w:sz="0" w:space="0" w:color="auto"/>
              <w:right w:val="none" w:sz="0" w:space="0" w:color="auto"/>
            </w:tcBorders>
            <w:shd w:val="clear" w:color="auto" w:fill="auto"/>
            <w:noWrap/>
            <w:vAlign w:val="center"/>
            <w:hideMark/>
          </w:tcPr>
          <w:p w14:paraId="32B478A8" w14:textId="77777777" w:rsidR="00B94540" w:rsidRPr="00092ED7" w:rsidRDefault="00B94540" w:rsidP="00B94540">
            <w:pPr>
              <w:spacing w:after="0"/>
              <w:rPr>
                <w:b w:val="0"/>
                <w:color w:val="auto"/>
                <w:sz w:val="20"/>
                <w:lang w:val="sr-Cyrl-CS"/>
              </w:rPr>
            </w:pPr>
            <w:r w:rsidRPr="00092ED7">
              <w:rPr>
                <w:b w:val="0"/>
                <w:color w:val="auto"/>
                <w:sz w:val="20"/>
                <w:lang w:val="sr-Cyrl-CS"/>
              </w:rPr>
              <w:t>УКУПНО</w:t>
            </w:r>
          </w:p>
        </w:tc>
        <w:tc>
          <w:tcPr>
            <w:tcW w:w="1008" w:type="pct"/>
            <w:tcBorders>
              <w:left w:val="none" w:sz="0" w:space="0" w:color="auto"/>
              <w:right w:val="none" w:sz="0" w:space="0" w:color="auto"/>
            </w:tcBorders>
            <w:shd w:val="clear" w:color="auto" w:fill="auto"/>
            <w:vAlign w:val="center"/>
          </w:tcPr>
          <w:p w14:paraId="508580D3" w14:textId="77777777" w:rsidR="00B94540" w:rsidRPr="00092ED7" w:rsidRDefault="00B94540" w:rsidP="00B94540">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20"/>
                <w:lang w:val="sr-Cyrl-CS"/>
              </w:rPr>
            </w:pPr>
            <w:r w:rsidRPr="00092ED7">
              <w:rPr>
                <w:color w:val="auto"/>
                <w:sz w:val="20"/>
                <w:lang w:val="sr-Cyrl-CS"/>
              </w:rPr>
              <w:t>2,5</w:t>
            </w:r>
          </w:p>
        </w:tc>
        <w:tc>
          <w:tcPr>
            <w:tcW w:w="1008" w:type="pct"/>
            <w:tcBorders>
              <w:left w:val="none" w:sz="0" w:space="0" w:color="auto"/>
              <w:right w:val="none" w:sz="0" w:space="0" w:color="auto"/>
            </w:tcBorders>
            <w:shd w:val="clear" w:color="auto" w:fill="auto"/>
            <w:vAlign w:val="center"/>
          </w:tcPr>
          <w:p w14:paraId="2CABF68B" w14:textId="77777777" w:rsidR="00B94540" w:rsidRPr="00092ED7" w:rsidRDefault="00B94540" w:rsidP="00B94540">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20"/>
                <w:lang w:val="sr-Cyrl-CS"/>
              </w:rPr>
            </w:pPr>
            <w:r w:rsidRPr="00092ED7">
              <w:rPr>
                <w:color w:val="auto"/>
                <w:sz w:val="20"/>
                <w:lang w:val="sr-Cyrl-CS"/>
              </w:rPr>
              <w:t>2,8</w:t>
            </w:r>
          </w:p>
        </w:tc>
      </w:tr>
    </w:tbl>
    <w:p w14:paraId="082AECA6" w14:textId="77777777" w:rsidR="00B94540" w:rsidRPr="00092ED7" w:rsidRDefault="00B94540" w:rsidP="00B94540">
      <w:pPr>
        <w:spacing w:before="40" w:after="0"/>
        <w:rPr>
          <w:rFonts w:eastAsia="Calibri" w:cs="Times New Roman"/>
          <w:sz w:val="16"/>
          <w:szCs w:val="16"/>
          <w:lang w:val="sr-Cyrl-CS"/>
        </w:rPr>
      </w:pPr>
      <w:r w:rsidRPr="00092ED7">
        <w:rPr>
          <w:rFonts w:eastAsia="Calibri" w:cs="Times New Roman"/>
          <w:bCs/>
          <w:sz w:val="16"/>
          <w:szCs w:val="16"/>
          <w:lang w:val="sr-Cyrl-CS" w:eastAsia="ja-JP"/>
        </w:rPr>
        <w:t xml:space="preserve">Извор: </w:t>
      </w:r>
      <w:r w:rsidRPr="00092ED7">
        <w:rPr>
          <w:rFonts w:eastAsia="Calibri" w:cs="Times New Roman"/>
          <w:sz w:val="16"/>
          <w:szCs w:val="16"/>
          <w:lang w:val="sr-Cyrl-CS"/>
        </w:rPr>
        <w:t>Министарство финансија</w:t>
      </w:r>
    </w:p>
    <w:p w14:paraId="71C560C9" w14:textId="77777777" w:rsidR="00B94540" w:rsidRPr="00092ED7" w:rsidRDefault="00B94540" w:rsidP="009D4BCD">
      <w:pPr>
        <w:spacing w:after="0"/>
        <w:rPr>
          <w:rFonts w:eastAsia="Calibri" w:cs="Times New Roman"/>
          <w:b/>
          <w:szCs w:val="24"/>
          <w:lang w:val="sr-Cyrl-CS"/>
        </w:rPr>
      </w:pPr>
      <w:r w:rsidRPr="00092ED7">
        <w:rPr>
          <w:rFonts w:eastAsia="MS PGothic" w:cs="Times New Roman"/>
          <w:sz w:val="16"/>
          <w:szCs w:val="16"/>
          <w:lang w:val="sr-Cyrl-CS" w:eastAsia="ja-JP"/>
        </w:rPr>
        <w:t>* У складу са дефиницијом која се користила за потребе праћења спровођења аранжмана са ММФ.</w:t>
      </w:r>
      <w:r w:rsidRPr="00092ED7">
        <w:rPr>
          <w:rFonts w:eastAsia="Calibri" w:cs="Times New Roman"/>
          <w:b/>
          <w:szCs w:val="24"/>
          <w:lang w:val="sr-Cyrl-CS"/>
        </w:rPr>
        <w:br w:type="page"/>
      </w:r>
    </w:p>
    <w:p w14:paraId="3C1EFFF9" w14:textId="77777777" w:rsidR="00B94540" w:rsidRPr="00092ED7" w:rsidRDefault="00B94540" w:rsidP="009D4BCD">
      <w:pPr>
        <w:jc w:val="center"/>
        <w:rPr>
          <w:rFonts w:eastAsia="Calibri" w:cs="Times New Roman"/>
          <w:b/>
          <w:szCs w:val="24"/>
          <w:lang w:val="sr-Cyrl-CS"/>
        </w:rPr>
      </w:pPr>
      <w:r w:rsidRPr="00092ED7">
        <w:rPr>
          <w:rFonts w:eastAsia="Calibri" w:cs="Times New Roman"/>
          <w:noProof/>
          <w:szCs w:val="24"/>
        </w:rPr>
        <mc:AlternateContent>
          <mc:Choice Requires="wps">
            <w:drawing>
              <wp:anchor distT="0" distB="0" distL="114300" distR="114300" simplePos="0" relativeHeight="251659264" behindDoc="1" locked="0" layoutInCell="1" allowOverlap="1" wp14:anchorId="3AAF8599" wp14:editId="7AA503E3">
                <wp:simplePos x="0" y="0"/>
                <wp:positionH relativeFrom="margin">
                  <wp:posOffset>-55659</wp:posOffset>
                </wp:positionH>
                <wp:positionV relativeFrom="paragraph">
                  <wp:posOffset>-71562</wp:posOffset>
                </wp:positionV>
                <wp:extent cx="5907819" cy="7561691"/>
                <wp:effectExtent l="0" t="0" r="0" b="1270"/>
                <wp:wrapNone/>
                <wp:docPr id="61" name="Rectangle 61"/>
                <wp:cNvGraphicFramePr/>
                <a:graphic xmlns:a="http://schemas.openxmlformats.org/drawingml/2006/main">
                  <a:graphicData uri="http://schemas.microsoft.com/office/word/2010/wordprocessingShape">
                    <wps:wsp>
                      <wps:cNvSpPr/>
                      <wps:spPr>
                        <a:xfrm>
                          <a:off x="0" y="0"/>
                          <a:ext cx="5907819" cy="7561691"/>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AD132" id="Rectangle 61" o:spid="_x0000_s1026" style="position:absolute;margin-left:-4.4pt;margin-top:-5.65pt;width:465.2pt;height:595.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" fillcolor="#d9d9d9" stroked="f" strokeweight="1pt">
                <v:fill r:id="rId19" o:title="" color2="window" type="pattern"/>
                <w10:wrap anchorx="margin"/>
              </v:rect>
            </w:pict>
          </mc:Fallback>
        </mc:AlternateContent>
      </w:r>
      <w:r w:rsidRPr="00092ED7">
        <w:rPr>
          <w:rFonts w:eastAsia="Calibri" w:cs="Times New Roman"/>
          <w:b/>
          <w:szCs w:val="24"/>
          <w:lang w:val="sr-Cyrl-CS"/>
        </w:rPr>
        <w:t>S0 индикатор краткорочне фискалне одрживости</w:t>
      </w:r>
    </w:p>
    <w:p w14:paraId="0C4EBE2A" w14:textId="77777777" w:rsidR="00B94540" w:rsidRPr="00092ED7" w:rsidRDefault="00B94540" w:rsidP="009D4BCD">
      <w:pPr>
        <w:spacing w:after="60"/>
        <w:rPr>
          <w:rFonts w:cstheme="minorHAnsi"/>
          <w:szCs w:val="20"/>
          <w:lang w:val="sr-Cyrl-CS"/>
        </w:rPr>
      </w:pPr>
      <w:r w:rsidRPr="00092ED7">
        <w:rPr>
          <w:rFonts w:cstheme="minorHAnsi"/>
          <w:szCs w:val="20"/>
          <w:lang w:val="sr-Cyrl-CS"/>
        </w:rPr>
        <w:t>Европска комисија је за оцену краткорочне фискалне одрживости дизајнирала композитни индикатор S0 којим се кроз идентификацију потенцијалних краткорочних ризика у текућој години настоји да антиципира фискални стрес у наредној години. Уколико вредност S0 индикатора прелази дефинисани праг сматра се да је земља у краткорочном ризику од фискалног стреса. Поред вредности за целокупан индикатор, ради лоцирања извора из ког ризик потиче, разматрају се и вредности подиндекса и њихових компоненти. S0 композитни индикатор се састоји од два подиндекса, који у себи садрже низ варијабли фискалне и макро-финансијске одрживости. Вредност ових подиндекса испод дефинисаног прага указују на одсуство краткорочног фискалног ризика.</w:t>
      </w:r>
    </w:p>
    <w:p w14:paraId="43E20868" w14:textId="77777777" w:rsidR="00B94540" w:rsidRPr="00092ED7" w:rsidRDefault="00B94540" w:rsidP="009D4BCD">
      <w:pPr>
        <w:spacing w:after="60"/>
        <w:rPr>
          <w:rFonts w:cstheme="minorHAnsi"/>
          <w:szCs w:val="20"/>
          <w:lang w:val="sr-Cyrl-CS"/>
        </w:rPr>
      </w:pPr>
      <w:r w:rsidRPr="00092ED7">
        <w:rPr>
          <w:rFonts w:cstheme="minorHAnsi"/>
          <w:szCs w:val="20"/>
          <w:lang w:val="sr-Cyrl-CS"/>
        </w:rPr>
        <w:t>У 2021. години вредности фискалног (0,22) и финансијског подиндекса (0,27) су унутар за њих дефинисаног прага, као и вредност целокупног S0 индикатора за Републику Србију (0,25), што начелно указује да не постоји опасност од појаве макроекономске нестабилности у наредном средњорочном периоду. Успешно очувана макроекономска и фискална стабилност успостављена у претходном периоду обезбедила је простор за брзе и значајне мере подршке фискалне и монетарне политике.</w:t>
      </w:r>
    </w:p>
    <w:p w14:paraId="51694BA2" w14:textId="641988B2" w:rsidR="00B94540" w:rsidRPr="00092ED7" w:rsidRDefault="00B94540" w:rsidP="009D4BCD">
      <w:pPr>
        <w:spacing w:before="120" w:after="60"/>
        <w:rPr>
          <w:rFonts w:eastAsia="Calibri" w:cs="Times New Roman"/>
          <w:szCs w:val="24"/>
          <w:lang w:val="sr-Cyrl-CS"/>
        </w:rPr>
      </w:pPr>
      <w:r w:rsidRPr="00092ED7">
        <w:rPr>
          <w:rFonts w:eastAsia="Calibri" w:cs="Times New Roman"/>
          <w:szCs w:val="24"/>
          <w:lang w:val="sr-Cyrl-CS"/>
        </w:rPr>
        <w:t xml:space="preserve">Графикон 6. S0 индикатор за </w:t>
      </w:r>
      <w:r w:rsidR="005867B0" w:rsidRPr="00092ED7">
        <w:rPr>
          <w:rFonts w:eastAsia="Calibri" w:cs="Times New Roman"/>
          <w:szCs w:val="24"/>
          <w:lang w:val="sr-Cyrl-CS"/>
        </w:rPr>
        <w:t xml:space="preserve">Републику </w:t>
      </w:r>
      <w:r w:rsidRPr="00092ED7">
        <w:rPr>
          <w:rFonts w:eastAsia="Calibri" w:cs="Times New Roman"/>
          <w:szCs w:val="24"/>
          <w:lang w:val="sr-Cyrl-CS"/>
        </w:rPr>
        <w:t>Србију у периоду 2015–2021.године</w:t>
      </w:r>
    </w:p>
    <w:p w14:paraId="4F875520" w14:textId="77777777" w:rsidR="00B94540" w:rsidRPr="00092ED7" w:rsidRDefault="00B94540" w:rsidP="00B94540">
      <w:pPr>
        <w:rPr>
          <w:rFonts w:eastAsia="Calibri" w:cs="Times New Roman"/>
          <w:szCs w:val="24"/>
          <w:lang w:val="sr-Cyrl-CS"/>
        </w:rPr>
      </w:pPr>
      <w:r w:rsidRPr="00092ED7">
        <w:rPr>
          <w:noProof/>
        </w:rPr>
        <w:drawing>
          <wp:inline distT="0" distB="0" distL="0" distR="0" wp14:anchorId="27931C58" wp14:editId="51B31FA1">
            <wp:extent cx="5743575" cy="19240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D98D36" w14:textId="7667D1B8" w:rsidR="00B94540" w:rsidRPr="00092ED7" w:rsidRDefault="00B94540" w:rsidP="009D4BCD">
      <w:pPr>
        <w:spacing w:before="120" w:after="60"/>
        <w:jc w:val="left"/>
        <w:rPr>
          <w:rFonts w:eastAsia="Calibri" w:cs="Times New Roman"/>
          <w:szCs w:val="24"/>
          <w:lang w:val="sr-Cyrl-CS"/>
        </w:rPr>
      </w:pPr>
      <w:r w:rsidRPr="00092ED7">
        <w:rPr>
          <w:rFonts w:eastAsia="Calibri" w:cs="Times New Roman"/>
          <w:szCs w:val="24"/>
          <w:lang w:val="sr-Cyrl-CS"/>
        </w:rPr>
        <w:t xml:space="preserve">Графикон 7. S0 земље ЕУ и </w:t>
      </w:r>
      <w:r w:rsidR="005867B0" w:rsidRPr="00092ED7">
        <w:rPr>
          <w:rFonts w:eastAsia="Calibri" w:cs="Times New Roman"/>
          <w:szCs w:val="24"/>
          <w:lang w:val="sr-Cyrl-CS"/>
        </w:rPr>
        <w:t xml:space="preserve">Република </w:t>
      </w:r>
      <w:r w:rsidRPr="00092ED7">
        <w:rPr>
          <w:rFonts w:eastAsia="Calibri" w:cs="Times New Roman"/>
          <w:szCs w:val="24"/>
          <w:lang w:val="sr-Cyrl-CS"/>
        </w:rPr>
        <w:t>Србија</w:t>
      </w:r>
    </w:p>
    <w:p w14:paraId="560B0943" w14:textId="77777777" w:rsidR="00B94540" w:rsidRPr="00092ED7" w:rsidRDefault="00B94540" w:rsidP="00B94540">
      <w:pPr>
        <w:rPr>
          <w:rFonts w:eastAsia="Calibri" w:cs="Times New Roman"/>
          <w:szCs w:val="24"/>
          <w:lang w:val="sr-Cyrl-CS"/>
        </w:rPr>
      </w:pPr>
      <w:r w:rsidRPr="00092ED7">
        <w:rPr>
          <w:noProof/>
        </w:rPr>
        <w:drawing>
          <wp:inline distT="0" distB="0" distL="0" distR="0" wp14:anchorId="5FD13E26" wp14:editId="794A2FC3">
            <wp:extent cx="5731510" cy="1800225"/>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6F3579" w14:textId="77777777" w:rsidR="00B94540" w:rsidRPr="00092ED7" w:rsidRDefault="00B94540" w:rsidP="00B94540">
      <w:pPr>
        <w:rPr>
          <w:rFonts w:eastAsia="Calibri" w:cs="Times New Roman"/>
          <w:szCs w:val="24"/>
          <w:lang w:val="sr-Cyrl-CS"/>
        </w:rPr>
      </w:pPr>
    </w:p>
    <w:p w14:paraId="4563062C" w14:textId="77777777" w:rsidR="009D4BCD" w:rsidRPr="00092ED7" w:rsidRDefault="009D4BCD">
      <w:pPr>
        <w:spacing w:after="160" w:line="259" w:lineRule="auto"/>
        <w:jc w:val="left"/>
        <w:rPr>
          <w:rFonts w:eastAsia="Calibri" w:cs="Times New Roman"/>
          <w:szCs w:val="24"/>
          <w:lang w:val="sr-Cyrl-CS"/>
        </w:rPr>
      </w:pPr>
      <w:r w:rsidRPr="00092ED7">
        <w:rPr>
          <w:rFonts w:eastAsia="Calibri" w:cs="Times New Roman"/>
          <w:szCs w:val="24"/>
          <w:lang w:val="sr-Cyrl-CS"/>
        </w:rPr>
        <w:br w:type="page"/>
      </w:r>
    </w:p>
    <w:p w14:paraId="02F0AE11" w14:textId="77777777" w:rsidR="00B94540" w:rsidRPr="00092ED7" w:rsidRDefault="009D4BCD" w:rsidP="009D4BCD">
      <w:pPr>
        <w:spacing w:after="60"/>
        <w:rPr>
          <w:rFonts w:eastAsia="Calibri" w:cs="Times New Roman"/>
          <w:szCs w:val="24"/>
          <w:lang w:val="sr-Cyrl-CS"/>
        </w:rPr>
      </w:pPr>
      <w:r w:rsidRPr="00092ED7">
        <w:rPr>
          <w:rFonts w:eastAsia="Calibri" w:cs="Times New Roman"/>
          <w:noProof/>
          <w:szCs w:val="24"/>
        </w:rPr>
        <mc:AlternateContent>
          <mc:Choice Requires="wps">
            <w:drawing>
              <wp:anchor distT="0" distB="0" distL="114300" distR="114300" simplePos="0" relativeHeight="251660288" behindDoc="1" locked="0" layoutInCell="1" allowOverlap="1" wp14:anchorId="2E1744A0" wp14:editId="4DB08078">
                <wp:simplePos x="0" y="0"/>
                <wp:positionH relativeFrom="margin">
                  <wp:posOffset>-55659</wp:posOffset>
                </wp:positionH>
                <wp:positionV relativeFrom="paragraph">
                  <wp:posOffset>7951</wp:posOffset>
                </wp:positionV>
                <wp:extent cx="5875434" cy="5798296"/>
                <wp:effectExtent l="0" t="0" r="0" b="0"/>
                <wp:wrapNone/>
                <wp:docPr id="64" name="Rectangle 64"/>
                <wp:cNvGraphicFramePr/>
                <a:graphic xmlns:a="http://schemas.openxmlformats.org/drawingml/2006/main">
                  <a:graphicData uri="http://schemas.microsoft.com/office/word/2010/wordprocessingShape">
                    <wps:wsp>
                      <wps:cNvSpPr/>
                      <wps:spPr>
                        <a:xfrm>
                          <a:off x="0" y="0"/>
                          <a:ext cx="5875434" cy="5798296"/>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B14B5" id="Rectangle 64" o:spid="_x0000_s1026" style="position:absolute;margin-left:-4.4pt;margin-top:.65pt;width:462.65pt;height:456.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" fillcolor="#d9d9d9" stroked="f" strokeweight="1pt">
                <v:fill r:id="rId19" o:title="" color2="window" type="pattern"/>
                <w10:wrap anchorx="margin"/>
              </v:rect>
            </w:pict>
          </mc:Fallback>
        </mc:AlternateContent>
      </w:r>
      <w:r w:rsidR="00B94540" w:rsidRPr="00092ED7">
        <w:rPr>
          <w:rFonts w:eastAsia="Calibri" w:cs="Times New Roman"/>
          <w:szCs w:val="24"/>
          <w:lang w:val="sr-Cyrl-CS"/>
        </w:rPr>
        <w:t>Обрачун S0 индикатора за Републику Србију, урађен је од стране Министарства финансија, и базира се на методологији ЕК.</w:t>
      </w:r>
    </w:p>
    <w:p w14:paraId="66526637" w14:textId="10CE6BD8" w:rsidR="00B94540" w:rsidRPr="00092ED7" w:rsidRDefault="00B94540" w:rsidP="009D4BCD">
      <w:pPr>
        <w:spacing w:after="60"/>
        <w:rPr>
          <w:rFonts w:eastAsia="Calibri" w:cs="Times New Roman"/>
          <w:spacing w:val="2"/>
          <w:szCs w:val="24"/>
          <w:lang w:val="sr-Cyrl-CS"/>
        </w:rPr>
      </w:pPr>
      <w:r w:rsidRPr="00092ED7">
        <w:rPr>
          <w:rFonts w:eastAsia="Calibri" w:cs="Times New Roman"/>
          <w:spacing w:val="2"/>
          <w:szCs w:val="24"/>
          <w:lang w:val="sr-Cyrl-CS"/>
        </w:rPr>
        <w:t xml:space="preserve">На основу података ЕК за земље ЕУ за 2021. годину и обрачуна Министарства финансија за Републику Србију, закључујемо да већина посматраних земаља, као и </w:t>
      </w:r>
      <w:r w:rsidR="005867B0" w:rsidRPr="00092ED7">
        <w:rPr>
          <w:rFonts w:eastAsia="Calibri" w:cs="Times New Roman"/>
          <w:spacing w:val="2"/>
          <w:szCs w:val="24"/>
          <w:lang w:val="sr-Cyrl-CS"/>
        </w:rPr>
        <w:t xml:space="preserve">Република </w:t>
      </w:r>
      <w:r w:rsidRPr="00092ED7">
        <w:rPr>
          <w:rFonts w:eastAsia="Calibri" w:cs="Times New Roman"/>
          <w:spacing w:val="2"/>
          <w:szCs w:val="24"/>
          <w:lang w:val="sr-Cyrl-CS"/>
        </w:rPr>
        <w:t xml:space="preserve">Србија, није била изложена краткорочном ризику реализације фискалног стреса, будући да вредност </w:t>
      </w:r>
      <w:r w:rsidRPr="00092ED7">
        <w:rPr>
          <w:rFonts w:eastAsia="Calibri" w:cs="Times New Roman"/>
          <w:szCs w:val="24"/>
          <w:lang w:val="sr-Cyrl-CS"/>
        </w:rPr>
        <w:t xml:space="preserve">S0 </w:t>
      </w:r>
      <w:r w:rsidRPr="00092ED7">
        <w:rPr>
          <w:rFonts w:eastAsia="Calibri" w:cs="Times New Roman"/>
          <w:spacing w:val="2"/>
          <w:szCs w:val="24"/>
          <w:lang w:val="sr-Cyrl-CS"/>
        </w:rPr>
        <w:t>нигде не премашује дефинисани праг. Минимизирање потенцијалних ризика за настанак фискалног стреса у посматраним земљама ће бити неопходно ради стварања простора за доношење мера економске политике као одговор на здравствену кризу која се прелила у све сфере економије.</w:t>
      </w:r>
    </w:p>
    <w:p w14:paraId="022833FD" w14:textId="369CA84D" w:rsidR="00B94540" w:rsidRPr="00092ED7" w:rsidRDefault="00B94540" w:rsidP="009D4BCD">
      <w:pPr>
        <w:spacing w:before="120" w:after="60"/>
        <w:rPr>
          <w:rFonts w:eastAsia="Calibri" w:cs="Times New Roman"/>
          <w:spacing w:val="2"/>
          <w:szCs w:val="24"/>
          <w:lang w:val="sr-Cyrl-CS"/>
        </w:rPr>
      </w:pPr>
      <w:r w:rsidRPr="00092ED7">
        <w:rPr>
          <w:rFonts w:eastAsia="Calibri" w:cs="Times New Roman"/>
          <w:spacing w:val="2"/>
          <w:szCs w:val="24"/>
          <w:lang w:val="sr-Cyrl-CS"/>
        </w:rPr>
        <w:t xml:space="preserve">Графикон 8. </w:t>
      </w:r>
      <w:r w:rsidRPr="00092ED7">
        <w:rPr>
          <w:rFonts w:eastAsia="Calibri" w:cs="Times New Roman"/>
          <w:szCs w:val="24"/>
          <w:lang w:val="sr-Cyrl-CS"/>
        </w:rPr>
        <w:t xml:space="preserve">Фискални подиндекс и подиндекс финансијске конкурентности за земље ЕУ и </w:t>
      </w:r>
      <w:r w:rsidR="005867B0" w:rsidRPr="00092ED7">
        <w:rPr>
          <w:rFonts w:eastAsia="Calibri" w:cs="Times New Roman"/>
          <w:szCs w:val="24"/>
          <w:lang w:val="sr-Cyrl-CS"/>
        </w:rPr>
        <w:t xml:space="preserve">Републику </w:t>
      </w:r>
      <w:r w:rsidRPr="00092ED7">
        <w:rPr>
          <w:rFonts w:eastAsia="Calibri" w:cs="Times New Roman"/>
          <w:szCs w:val="24"/>
          <w:lang w:val="sr-Cyrl-CS"/>
        </w:rPr>
        <w:t>Србију у 2021.</w:t>
      </w:r>
      <w:r w:rsidR="009D4BCD" w:rsidRPr="00092ED7">
        <w:rPr>
          <w:rFonts w:eastAsia="Calibri" w:cs="Times New Roman"/>
          <w:szCs w:val="24"/>
          <w:lang w:val="sr-Cyrl-CS"/>
        </w:rPr>
        <w:t xml:space="preserve"> </w:t>
      </w:r>
      <w:r w:rsidRPr="00092ED7">
        <w:rPr>
          <w:rFonts w:eastAsia="Calibri" w:cs="Times New Roman"/>
          <w:szCs w:val="24"/>
          <w:lang w:val="sr-Cyrl-CS"/>
        </w:rPr>
        <w:t>години</w:t>
      </w:r>
    </w:p>
    <w:p w14:paraId="5B5F1985" w14:textId="77777777" w:rsidR="00B94540" w:rsidRPr="00092ED7" w:rsidRDefault="00B94540" w:rsidP="009D4BCD">
      <w:pPr>
        <w:rPr>
          <w:rFonts w:eastAsia="Calibri" w:cs="Times New Roman"/>
          <w:szCs w:val="24"/>
          <w:lang w:val="sr-Cyrl-CS"/>
        </w:rPr>
      </w:pPr>
      <w:r w:rsidRPr="00092ED7">
        <w:rPr>
          <w:rFonts w:cstheme="minorHAnsi"/>
          <w:noProof/>
          <w:szCs w:val="20"/>
        </w:rPr>
        <w:drawing>
          <wp:inline distT="0" distB="0" distL="0" distR="0" wp14:anchorId="073D6D57" wp14:editId="5A984BBD">
            <wp:extent cx="5715000" cy="3723005"/>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62EE64" w14:textId="2E9D0CA0" w:rsidR="005F26DA" w:rsidRPr="00092ED7" w:rsidRDefault="00735870" w:rsidP="009A2DD7">
      <w:pPr>
        <w:keepNext/>
        <w:keepLines/>
        <w:spacing w:before="240"/>
        <w:outlineLvl w:val="1"/>
        <w:rPr>
          <w:rFonts w:eastAsiaTheme="majorEastAsia" w:cs="Times New Roman"/>
          <w:b/>
          <w:szCs w:val="26"/>
          <w:lang w:val="sr-Cyrl-CS"/>
        </w:rPr>
      </w:pPr>
      <w:bookmarkStart w:id="34" w:name="_Toc124174796"/>
      <w:bookmarkStart w:id="35" w:name="_Toc126218615"/>
      <w:r w:rsidRPr="00092ED7">
        <w:rPr>
          <w:rFonts w:eastAsiaTheme="majorEastAsia" w:cs="Times New Roman"/>
          <w:b/>
          <w:szCs w:val="26"/>
          <w:lang w:val="sr-Cyrl-CS"/>
        </w:rPr>
        <w:t>4.</w:t>
      </w:r>
      <w:r w:rsidR="005F26DA" w:rsidRPr="00092ED7">
        <w:rPr>
          <w:rFonts w:eastAsiaTheme="majorEastAsia" w:cs="Times New Roman"/>
          <w:b/>
          <w:szCs w:val="26"/>
          <w:lang w:val="sr-Cyrl-CS"/>
        </w:rPr>
        <w:t>3. ФИСКАЛНЕ ПРОЈЕКЦИЈЕ У ПЕРИОДУ 202</w:t>
      </w:r>
      <w:r w:rsidR="00651F38" w:rsidRPr="00092ED7">
        <w:rPr>
          <w:rFonts w:eastAsiaTheme="majorEastAsia" w:cs="Times New Roman"/>
          <w:b/>
          <w:szCs w:val="26"/>
          <w:lang w:val="sr-Cyrl-CS"/>
        </w:rPr>
        <w:t>3</w:t>
      </w:r>
      <w:r w:rsidR="005F26DA" w:rsidRPr="00092ED7">
        <w:rPr>
          <w:rFonts w:eastAsiaTheme="majorEastAsia" w:cs="Times New Roman"/>
          <w:b/>
          <w:szCs w:val="26"/>
          <w:lang w:val="sr-Cyrl-CS"/>
        </w:rPr>
        <w:t>–202</w:t>
      </w:r>
      <w:r w:rsidR="00651F38" w:rsidRPr="00092ED7">
        <w:rPr>
          <w:rFonts w:eastAsiaTheme="majorEastAsia" w:cs="Times New Roman"/>
          <w:b/>
          <w:szCs w:val="26"/>
          <w:lang w:val="sr-Cyrl-CS"/>
        </w:rPr>
        <w:t>5</w:t>
      </w:r>
      <w:r w:rsidR="005F26DA" w:rsidRPr="00092ED7">
        <w:rPr>
          <w:rFonts w:eastAsiaTheme="majorEastAsia" w:cs="Times New Roman"/>
          <w:b/>
          <w:szCs w:val="26"/>
          <w:lang w:val="sr-Cyrl-CS"/>
        </w:rPr>
        <w:t>. ГОДИНЕ</w:t>
      </w:r>
      <w:bookmarkEnd w:id="34"/>
      <w:bookmarkEnd w:id="35"/>
    </w:p>
    <w:p w14:paraId="70605275" w14:textId="77777777" w:rsidR="00576A4F" w:rsidRPr="00092ED7" w:rsidRDefault="00576A4F" w:rsidP="00576A4F">
      <w:pPr>
        <w:spacing w:after="60"/>
        <w:rPr>
          <w:lang w:val="sr-Cyrl-CS" w:eastAsia="ja-JP"/>
        </w:rPr>
      </w:pPr>
      <w:r w:rsidRPr="00092ED7">
        <w:rPr>
          <w:lang w:val="sr-Cyrl-CS" w:eastAsia="ja-JP"/>
        </w:rPr>
        <w:t>Циљеви фискалне политике су усмерени на одржање фискалне стабилности и смањење учешћа јавног дуга у БДП. Средњорочни фискални оквир предвиђа постепено смањење дефицита опште државе на ниво од 1,4%</w:t>
      </w:r>
      <w:r w:rsidRPr="00092ED7">
        <w:rPr>
          <w:color w:val="1F4E79" w:themeColor="accent1" w:themeShade="80"/>
          <w:lang w:val="sr-Cyrl-CS" w:eastAsia="ja-JP"/>
        </w:rPr>
        <w:t xml:space="preserve"> </w:t>
      </w:r>
      <w:r w:rsidRPr="00092ED7">
        <w:rPr>
          <w:lang w:val="sr-Cyrl-CS" w:eastAsia="ja-JP"/>
        </w:rPr>
        <w:t>БДП до 2025. године и пад учешћа јавног дуга на 54% БДП. Пројекције фискалних агрегата у периоду од 2023. до 2025. године заснивају се на пројекцијама макроекономских показатеља за наведени период, планираној пореској политици која подразумева даље усаглашавање са законима и директивама ЕУ и фискалним и структурним мерама, укључујући и даљу реформу великих јавних предузећа.</w:t>
      </w:r>
    </w:p>
    <w:p w14:paraId="3A48546E" w14:textId="77777777" w:rsidR="00576A4F" w:rsidRPr="00092ED7" w:rsidRDefault="00576A4F" w:rsidP="00576A4F">
      <w:pPr>
        <w:spacing w:after="60"/>
        <w:rPr>
          <w:lang w:val="sr-Cyrl-CS" w:eastAsia="ja-JP"/>
        </w:rPr>
      </w:pPr>
      <w:r w:rsidRPr="00092ED7">
        <w:rPr>
          <w:lang w:val="sr-Cyrl-CS" w:eastAsia="ja-JP"/>
        </w:rPr>
        <w:t>Захваљујући мерама фискалне консолидације у претходном периоду створен је фискални простор који је омогућио богате пакете мера у склопу борбе против ефеката кризе изазване пандемијом током 2020. и 2021. године. Смиривање пандемије у овој години довело је до стварања фискалног простора који је неопходан у новонасталим неповољним околностима. Ситуација у Украјини и међународни односи који се формирају као реакција на њу снажно утичу на економска кретања. У 2022. години су већ почеле да се примењују мере које би требало да амортизују шокове настале из ове кризе. Реакција фискалне политике у наредном периоду, креиране мере и њихове фискалне импликације биће дизајниране тако да не угрозе стабилност јавних финансија и темпо смањења јавног дуга, затим да одрже животни стандард становништва и помогну привредни развој, али и да осигурају флексибилност реакције на евентуално снажнији удар кризе.</w:t>
      </w:r>
    </w:p>
    <w:p w14:paraId="03DBD89B" w14:textId="77777777" w:rsidR="00576A4F" w:rsidRPr="00092ED7" w:rsidRDefault="00576A4F" w:rsidP="00576A4F">
      <w:pPr>
        <w:spacing w:before="120" w:after="60"/>
        <w:rPr>
          <w:lang w:val="sr-Cyrl-CS" w:eastAsia="ja-JP"/>
        </w:rPr>
      </w:pPr>
      <w:r w:rsidRPr="00092ED7">
        <w:rPr>
          <w:lang w:val="sr-Cyrl-CS" w:eastAsia="ja-JP"/>
        </w:rPr>
        <w:t>Табела 7. Фискални агрегати у периоду 2021–2025. године, % БДП</w:t>
      </w:r>
    </w:p>
    <w:tbl>
      <w:tblPr>
        <w:tblStyle w:val="LightShading-Accent12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821"/>
        <w:gridCol w:w="1111"/>
        <w:gridCol w:w="1087"/>
        <w:gridCol w:w="999"/>
        <w:gridCol w:w="999"/>
        <w:gridCol w:w="999"/>
      </w:tblGrid>
      <w:tr w:rsidR="00576A4F" w:rsidRPr="00092ED7" w14:paraId="73C8F549" w14:textId="77777777" w:rsidTr="00576A4F">
        <w:trPr>
          <w:cnfStyle w:val="100000000000" w:firstRow="1" w:lastRow="0" w:firstColumn="0" w:lastColumn="0" w:oddVBand="0" w:evenVBand="0" w:oddHBand="0" w:evenHBand="0" w:firstRowFirstColumn="0" w:firstRowLastColumn="0" w:lastRowFirstColumn="0" w:lastRowLastColumn="0"/>
          <w:trHeight w:val="253"/>
        </w:trPr>
        <w:tc>
          <w:tcPr>
            <w:tcW w:w="2121" w:type="pct"/>
            <w:tcBorders>
              <w:top w:val="none" w:sz="0" w:space="0" w:color="auto"/>
              <w:left w:val="none" w:sz="0" w:space="0" w:color="auto"/>
              <w:bottom w:val="none" w:sz="0" w:space="0" w:color="auto"/>
              <w:right w:val="none" w:sz="0" w:space="0" w:color="auto"/>
            </w:tcBorders>
            <w:shd w:val="clear" w:color="auto" w:fill="auto"/>
            <w:noWrap/>
            <w:vAlign w:val="center"/>
          </w:tcPr>
          <w:p w14:paraId="24116137" w14:textId="77777777" w:rsidR="00576A4F" w:rsidRPr="00092ED7" w:rsidRDefault="00576A4F" w:rsidP="00A06946">
            <w:pPr>
              <w:spacing w:after="0"/>
              <w:rPr>
                <w:b w:val="0"/>
                <w:color w:val="auto"/>
                <w:sz w:val="20"/>
                <w:lang w:val="sr-Cyrl-CS"/>
              </w:rPr>
            </w:pPr>
          </w:p>
        </w:tc>
        <w:tc>
          <w:tcPr>
            <w:tcW w:w="605" w:type="pct"/>
            <w:tcBorders>
              <w:top w:val="none" w:sz="0" w:space="0" w:color="auto"/>
              <w:left w:val="none" w:sz="0" w:space="0" w:color="auto"/>
              <w:bottom w:val="none" w:sz="0" w:space="0" w:color="auto"/>
              <w:right w:val="none" w:sz="0" w:space="0" w:color="auto"/>
            </w:tcBorders>
            <w:shd w:val="clear" w:color="auto" w:fill="auto"/>
            <w:vAlign w:val="center"/>
          </w:tcPr>
          <w:p w14:paraId="49CB4994" w14:textId="77777777" w:rsidR="00576A4F" w:rsidRPr="00092ED7" w:rsidRDefault="00576A4F" w:rsidP="00A06946">
            <w:pPr>
              <w:spacing w:after="0"/>
              <w:jc w:val="right"/>
              <w:rPr>
                <w:b w:val="0"/>
                <w:color w:val="auto"/>
                <w:sz w:val="20"/>
                <w:lang w:val="sr-Cyrl-CS"/>
              </w:rPr>
            </w:pPr>
            <w:r w:rsidRPr="00092ED7">
              <w:rPr>
                <w:b w:val="0"/>
                <w:color w:val="auto"/>
                <w:sz w:val="20"/>
                <w:lang w:val="sr-Cyrl-CS"/>
              </w:rPr>
              <w:t>Извршење</w:t>
            </w:r>
          </w:p>
        </w:tc>
        <w:tc>
          <w:tcPr>
            <w:tcW w:w="605" w:type="pct"/>
            <w:tcBorders>
              <w:top w:val="none" w:sz="0" w:space="0" w:color="auto"/>
              <w:left w:val="none" w:sz="0" w:space="0" w:color="auto"/>
              <w:bottom w:val="none" w:sz="0" w:space="0" w:color="auto"/>
              <w:right w:val="none" w:sz="0" w:space="0" w:color="auto"/>
            </w:tcBorders>
            <w:shd w:val="clear" w:color="auto" w:fill="auto"/>
            <w:vAlign w:val="center"/>
          </w:tcPr>
          <w:p w14:paraId="16D2A15D" w14:textId="77777777" w:rsidR="00576A4F" w:rsidRPr="00092ED7" w:rsidRDefault="00576A4F" w:rsidP="00A06946">
            <w:pPr>
              <w:spacing w:after="0"/>
              <w:jc w:val="right"/>
              <w:rPr>
                <w:b w:val="0"/>
                <w:color w:val="auto"/>
                <w:sz w:val="20"/>
                <w:lang w:val="sr-Cyrl-CS"/>
              </w:rPr>
            </w:pPr>
            <w:r w:rsidRPr="00092ED7">
              <w:rPr>
                <w:b w:val="0"/>
                <w:color w:val="auto"/>
                <w:sz w:val="20"/>
                <w:lang w:val="sr-Cyrl-CS"/>
              </w:rPr>
              <w:t>Процена</w:t>
            </w:r>
          </w:p>
        </w:tc>
        <w:tc>
          <w:tcPr>
            <w:tcW w:w="1668" w:type="pct"/>
            <w:gridSpan w:val="3"/>
            <w:tcBorders>
              <w:top w:val="none" w:sz="0" w:space="0" w:color="auto"/>
              <w:left w:val="none" w:sz="0" w:space="0" w:color="auto"/>
              <w:bottom w:val="none" w:sz="0" w:space="0" w:color="auto"/>
              <w:right w:val="none" w:sz="0" w:space="0" w:color="auto"/>
            </w:tcBorders>
            <w:shd w:val="clear" w:color="auto" w:fill="auto"/>
            <w:vAlign w:val="center"/>
          </w:tcPr>
          <w:p w14:paraId="29852429" w14:textId="77777777" w:rsidR="00576A4F" w:rsidRPr="00092ED7" w:rsidRDefault="00576A4F" w:rsidP="00A06946">
            <w:pPr>
              <w:spacing w:after="0"/>
              <w:jc w:val="center"/>
              <w:rPr>
                <w:b w:val="0"/>
                <w:color w:val="auto"/>
                <w:sz w:val="20"/>
                <w:lang w:val="sr-Cyrl-CS"/>
              </w:rPr>
            </w:pPr>
            <w:r w:rsidRPr="00092ED7">
              <w:rPr>
                <w:b w:val="0"/>
                <w:color w:val="auto"/>
                <w:sz w:val="20"/>
                <w:lang w:val="sr-Cyrl-CS"/>
              </w:rPr>
              <w:t>Пројекција</w:t>
            </w:r>
          </w:p>
        </w:tc>
      </w:tr>
      <w:tr w:rsidR="00576A4F" w:rsidRPr="00092ED7" w14:paraId="742D5E78" w14:textId="77777777" w:rsidTr="00576A4F">
        <w:trPr>
          <w:cnfStyle w:val="000000100000" w:firstRow="0" w:lastRow="0" w:firstColumn="0" w:lastColumn="0" w:oddVBand="0" w:evenVBand="0" w:oddHBand="1" w:evenHBand="0" w:firstRowFirstColumn="0" w:firstRowLastColumn="0" w:lastRowFirstColumn="0" w:lastRowLastColumn="0"/>
          <w:trHeight w:val="253"/>
        </w:trPr>
        <w:tc>
          <w:tcPr>
            <w:tcW w:w="2121" w:type="pct"/>
            <w:tcBorders>
              <w:left w:val="none" w:sz="0" w:space="0" w:color="auto"/>
              <w:right w:val="none" w:sz="0" w:space="0" w:color="auto"/>
            </w:tcBorders>
            <w:shd w:val="clear" w:color="auto" w:fill="auto"/>
            <w:noWrap/>
            <w:vAlign w:val="center"/>
          </w:tcPr>
          <w:p w14:paraId="7F76DACA" w14:textId="77777777" w:rsidR="00576A4F" w:rsidRPr="00092ED7" w:rsidRDefault="00576A4F" w:rsidP="00A06946">
            <w:pPr>
              <w:spacing w:after="0"/>
              <w:rPr>
                <w:color w:val="auto"/>
                <w:sz w:val="20"/>
                <w:lang w:val="sr-Cyrl-CS"/>
              </w:rPr>
            </w:pPr>
            <w:r w:rsidRPr="00092ED7">
              <w:rPr>
                <w:color w:val="auto"/>
                <w:sz w:val="20"/>
                <w:lang w:val="sr-Cyrl-CS"/>
              </w:rPr>
              <w:t>Опис</w:t>
            </w:r>
          </w:p>
        </w:tc>
        <w:tc>
          <w:tcPr>
            <w:tcW w:w="605" w:type="pct"/>
            <w:tcBorders>
              <w:left w:val="none" w:sz="0" w:space="0" w:color="auto"/>
              <w:right w:val="none" w:sz="0" w:space="0" w:color="auto"/>
            </w:tcBorders>
            <w:shd w:val="clear" w:color="auto" w:fill="auto"/>
          </w:tcPr>
          <w:p w14:paraId="0DB47F88" w14:textId="77777777" w:rsidR="00576A4F" w:rsidRPr="00092ED7" w:rsidRDefault="00576A4F" w:rsidP="00A06946">
            <w:pPr>
              <w:spacing w:after="0"/>
              <w:jc w:val="right"/>
              <w:rPr>
                <w:color w:val="auto"/>
                <w:sz w:val="20"/>
                <w:lang w:val="sr-Cyrl-CS"/>
              </w:rPr>
            </w:pPr>
            <w:r w:rsidRPr="00092ED7">
              <w:rPr>
                <w:color w:val="auto"/>
                <w:sz w:val="20"/>
                <w:lang w:val="sr-Cyrl-CS"/>
              </w:rPr>
              <w:t>2021</w:t>
            </w:r>
          </w:p>
        </w:tc>
        <w:tc>
          <w:tcPr>
            <w:tcW w:w="605" w:type="pct"/>
            <w:tcBorders>
              <w:left w:val="none" w:sz="0" w:space="0" w:color="auto"/>
              <w:right w:val="none" w:sz="0" w:space="0" w:color="auto"/>
            </w:tcBorders>
            <w:shd w:val="clear" w:color="auto" w:fill="auto"/>
          </w:tcPr>
          <w:p w14:paraId="608D3987" w14:textId="77777777" w:rsidR="00576A4F" w:rsidRPr="00092ED7" w:rsidRDefault="00576A4F" w:rsidP="00A06946">
            <w:pPr>
              <w:spacing w:after="0"/>
              <w:jc w:val="right"/>
              <w:rPr>
                <w:color w:val="auto"/>
                <w:sz w:val="20"/>
                <w:lang w:val="sr-Cyrl-CS"/>
              </w:rPr>
            </w:pPr>
            <w:r w:rsidRPr="00092ED7">
              <w:rPr>
                <w:color w:val="auto"/>
                <w:sz w:val="20"/>
                <w:lang w:val="sr-Cyrl-CS"/>
              </w:rPr>
              <w:t>2022</w:t>
            </w:r>
          </w:p>
        </w:tc>
        <w:tc>
          <w:tcPr>
            <w:tcW w:w="556" w:type="pct"/>
            <w:tcBorders>
              <w:left w:val="none" w:sz="0" w:space="0" w:color="auto"/>
              <w:right w:val="none" w:sz="0" w:space="0" w:color="auto"/>
            </w:tcBorders>
            <w:shd w:val="clear" w:color="auto" w:fill="auto"/>
          </w:tcPr>
          <w:p w14:paraId="24E4E7EE" w14:textId="77777777" w:rsidR="00576A4F" w:rsidRPr="00092ED7" w:rsidRDefault="00576A4F" w:rsidP="00A06946">
            <w:pPr>
              <w:spacing w:after="0"/>
              <w:jc w:val="right"/>
              <w:rPr>
                <w:color w:val="auto"/>
                <w:sz w:val="20"/>
                <w:lang w:val="sr-Cyrl-CS"/>
              </w:rPr>
            </w:pPr>
            <w:r w:rsidRPr="00092ED7">
              <w:rPr>
                <w:color w:val="auto"/>
                <w:sz w:val="20"/>
                <w:lang w:val="sr-Cyrl-CS"/>
              </w:rPr>
              <w:t>2023</w:t>
            </w:r>
          </w:p>
        </w:tc>
        <w:tc>
          <w:tcPr>
            <w:tcW w:w="556" w:type="pct"/>
            <w:tcBorders>
              <w:left w:val="none" w:sz="0" w:space="0" w:color="auto"/>
              <w:right w:val="none" w:sz="0" w:space="0" w:color="auto"/>
            </w:tcBorders>
            <w:shd w:val="clear" w:color="auto" w:fill="auto"/>
          </w:tcPr>
          <w:p w14:paraId="7CA260E9" w14:textId="77777777" w:rsidR="00576A4F" w:rsidRPr="00092ED7" w:rsidRDefault="00576A4F" w:rsidP="00A06946">
            <w:pPr>
              <w:spacing w:after="0"/>
              <w:jc w:val="right"/>
              <w:rPr>
                <w:color w:val="auto"/>
                <w:sz w:val="20"/>
                <w:lang w:val="sr-Cyrl-CS"/>
              </w:rPr>
            </w:pPr>
            <w:r w:rsidRPr="00092ED7">
              <w:rPr>
                <w:color w:val="auto"/>
                <w:sz w:val="20"/>
                <w:lang w:val="sr-Cyrl-CS"/>
              </w:rPr>
              <w:t>2024</w:t>
            </w:r>
          </w:p>
        </w:tc>
        <w:tc>
          <w:tcPr>
            <w:tcW w:w="556" w:type="pct"/>
            <w:tcBorders>
              <w:left w:val="none" w:sz="0" w:space="0" w:color="auto"/>
              <w:right w:val="none" w:sz="0" w:space="0" w:color="auto"/>
            </w:tcBorders>
            <w:shd w:val="clear" w:color="auto" w:fill="auto"/>
          </w:tcPr>
          <w:p w14:paraId="7C6CC779" w14:textId="77777777" w:rsidR="00576A4F" w:rsidRPr="00092ED7" w:rsidRDefault="00576A4F" w:rsidP="00A06946">
            <w:pPr>
              <w:spacing w:after="0"/>
              <w:jc w:val="right"/>
              <w:rPr>
                <w:color w:val="auto"/>
                <w:sz w:val="20"/>
                <w:lang w:val="sr-Cyrl-CS"/>
              </w:rPr>
            </w:pPr>
            <w:r w:rsidRPr="00092ED7">
              <w:rPr>
                <w:color w:val="auto"/>
                <w:sz w:val="20"/>
                <w:lang w:val="sr-Cyrl-CS"/>
              </w:rPr>
              <w:t>2025</w:t>
            </w:r>
          </w:p>
        </w:tc>
      </w:tr>
      <w:tr w:rsidR="00576A4F" w:rsidRPr="00092ED7" w14:paraId="575466FA" w14:textId="77777777" w:rsidTr="00576A4F">
        <w:trPr>
          <w:trHeight w:val="253"/>
        </w:trPr>
        <w:tc>
          <w:tcPr>
            <w:tcW w:w="2121" w:type="pct"/>
            <w:shd w:val="clear" w:color="auto" w:fill="auto"/>
            <w:vAlign w:val="center"/>
          </w:tcPr>
          <w:p w14:paraId="0B8E28FE" w14:textId="77777777" w:rsidR="00576A4F" w:rsidRPr="00092ED7" w:rsidRDefault="00576A4F" w:rsidP="00A06946">
            <w:pPr>
              <w:spacing w:after="0"/>
              <w:rPr>
                <w:color w:val="auto"/>
                <w:sz w:val="20"/>
                <w:lang w:val="sr-Cyrl-CS"/>
              </w:rPr>
            </w:pPr>
            <w:r w:rsidRPr="00092ED7">
              <w:rPr>
                <w:color w:val="auto"/>
                <w:sz w:val="20"/>
                <w:lang w:val="sr-Cyrl-CS"/>
              </w:rPr>
              <w:t>Јавни приходи</w:t>
            </w:r>
          </w:p>
        </w:tc>
        <w:tc>
          <w:tcPr>
            <w:tcW w:w="605" w:type="pct"/>
            <w:shd w:val="clear" w:color="auto" w:fill="auto"/>
          </w:tcPr>
          <w:p w14:paraId="67C75470" w14:textId="77777777" w:rsidR="00576A4F" w:rsidRPr="00092ED7" w:rsidRDefault="00576A4F" w:rsidP="00A06946">
            <w:pPr>
              <w:spacing w:after="0"/>
              <w:jc w:val="right"/>
              <w:rPr>
                <w:color w:val="auto"/>
                <w:sz w:val="20"/>
                <w:lang w:val="sr-Cyrl-CS"/>
              </w:rPr>
            </w:pPr>
            <w:r w:rsidRPr="00092ED7">
              <w:rPr>
                <w:color w:val="auto"/>
                <w:sz w:val="20"/>
                <w:lang w:val="sr-Cyrl-CS"/>
              </w:rPr>
              <w:t>43,3</w:t>
            </w:r>
          </w:p>
        </w:tc>
        <w:tc>
          <w:tcPr>
            <w:tcW w:w="605" w:type="pct"/>
            <w:shd w:val="clear" w:color="auto" w:fill="auto"/>
          </w:tcPr>
          <w:p w14:paraId="64FF476B" w14:textId="77777777" w:rsidR="00576A4F" w:rsidRPr="00092ED7" w:rsidRDefault="00576A4F" w:rsidP="00A06946">
            <w:pPr>
              <w:spacing w:after="0"/>
              <w:jc w:val="right"/>
              <w:rPr>
                <w:color w:val="auto"/>
                <w:sz w:val="20"/>
                <w:lang w:val="sr-Cyrl-CS"/>
              </w:rPr>
            </w:pPr>
            <w:r w:rsidRPr="00092ED7">
              <w:rPr>
                <w:color w:val="auto"/>
                <w:sz w:val="20"/>
                <w:lang w:val="sr-Cyrl-CS"/>
              </w:rPr>
              <w:t>43,0</w:t>
            </w:r>
          </w:p>
        </w:tc>
        <w:tc>
          <w:tcPr>
            <w:tcW w:w="556" w:type="pct"/>
            <w:shd w:val="clear" w:color="auto" w:fill="auto"/>
          </w:tcPr>
          <w:p w14:paraId="3063C1F1" w14:textId="77777777" w:rsidR="00576A4F" w:rsidRPr="00092ED7" w:rsidRDefault="00576A4F" w:rsidP="00A06946">
            <w:pPr>
              <w:spacing w:after="0"/>
              <w:jc w:val="right"/>
              <w:rPr>
                <w:color w:val="auto"/>
                <w:sz w:val="20"/>
                <w:lang w:val="sr-Cyrl-CS"/>
              </w:rPr>
            </w:pPr>
            <w:r w:rsidRPr="00092ED7">
              <w:rPr>
                <w:color w:val="auto"/>
                <w:sz w:val="20"/>
                <w:lang w:val="sr-Cyrl-CS"/>
              </w:rPr>
              <w:t>40,9</w:t>
            </w:r>
          </w:p>
        </w:tc>
        <w:tc>
          <w:tcPr>
            <w:tcW w:w="556" w:type="pct"/>
            <w:shd w:val="clear" w:color="auto" w:fill="auto"/>
          </w:tcPr>
          <w:p w14:paraId="7E140DDE" w14:textId="77777777" w:rsidR="00576A4F" w:rsidRPr="00092ED7" w:rsidRDefault="00576A4F" w:rsidP="00A06946">
            <w:pPr>
              <w:spacing w:after="0"/>
              <w:jc w:val="right"/>
              <w:rPr>
                <w:color w:val="auto"/>
                <w:sz w:val="20"/>
                <w:lang w:val="sr-Cyrl-CS"/>
              </w:rPr>
            </w:pPr>
            <w:r w:rsidRPr="00092ED7">
              <w:rPr>
                <w:color w:val="auto"/>
                <w:sz w:val="20"/>
                <w:lang w:val="sr-Cyrl-CS"/>
              </w:rPr>
              <w:t>40,4</w:t>
            </w:r>
          </w:p>
        </w:tc>
        <w:tc>
          <w:tcPr>
            <w:tcW w:w="556" w:type="pct"/>
            <w:shd w:val="clear" w:color="auto" w:fill="auto"/>
          </w:tcPr>
          <w:p w14:paraId="6264FD40" w14:textId="77777777" w:rsidR="00576A4F" w:rsidRPr="00092ED7" w:rsidRDefault="00576A4F" w:rsidP="00A06946">
            <w:pPr>
              <w:spacing w:after="0"/>
              <w:jc w:val="right"/>
              <w:rPr>
                <w:color w:val="auto"/>
                <w:sz w:val="20"/>
                <w:lang w:val="sr-Cyrl-CS"/>
              </w:rPr>
            </w:pPr>
            <w:r w:rsidRPr="00092ED7">
              <w:rPr>
                <w:color w:val="auto"/>
                <w:sz w:val="20"/>
                <w:lang w:val="sr-Cyrl-CS"/>
              </w:rPr>
              <w:t>39,6</w:t>
            </w:r>
          </w:p>
        </w:tc>
      </w:tr>
      <w:tr w:rsidR="00576A4F" w:rsidRPr="00092ED7" w14:paraId="22F742F6" w14:textId="77777777" w:rsidTr="00576A4F">
        <w:trPr>
          <w:cnfStyle w:val="000000100000" w:firstRow="0" w:lastRow="0" w:firstColumn="0" w:lastColumn="0" w:oddVBand="0" w:evenVBand="0" w:oddHBand="1" w:evenHBand="0" w:firstRowFirstColumn="0" w:firstRowLastColumn="0" w:lastRowFirstColumn="0" w:lastRowLastColumn="0"/>
          <w:trHeight w:val="253"/>
        </w:trPr>
        <w:tc>
          <w:tcPr>
            <w:tcW w:w="2121" w:type="pct"/>
            <w:tcBorders>
              <w:left w:val="none" w:sz="0" w:space="0" w:color="auto"/>
              <w:right w:val="none" w:sz="0" w:space="0" w:color="auto"/>
            </w:tcBorders>
            <w:shd w:val="clear" w:color="auto" w:fill="auto"/>
            <w:vAlign w:val="center"/>
          </w:tcPr>
          <w:p w14:paraId="5BFF5FC8" w14:textId="77777777" w:rsidR="00576A4F" w:rsidRPr="00092ED7" w:rsidRDefault="00576A4F" w:rsidP="00A06946">
            <w:pPr>
              <w:spacing w:after="0"/>
              <w:rPr>
                <w:color w:val="auto"/>
                <w:sz w:val="20"/>
                <w:lang w:val="sr-Cyrl-CS"/>
              </w:rPr>
            </w:pPr>
            <w:r w:rsidRPr="00092ED7">
              <w:rPr>
                <w:color w:val="auto"/>
                <w:sz w:val="20"/>
                <w:lang w:val="sr-Cyrl-CS"/>
              </w:rPr>
              <w:t>Јавни расходи</w:t>
            </w:r>
          </w:p>
        </w:tc>
        <w:tc>
          <w:tcPr>
            <w:tcW w:w="605" w:type="pct"/>
            <w:tcBorders>
              <w:left w:val="none" w:sz="0" w:space="0" w:color="auto"/>
              <w:right w:val="none" w:sz="0" w:space="0" w:color="auto"/>
            </w:tcBorders>
            <w:shd w:val="clear" w:color="auto" w:fill="auto"/>
          </w:tcPr>
          <w:p w14:paraId="6F0A6920" w14:textId="77777777" w:rsidR="00576A4F" w:rsidRPr="00092ED7" w:rsidRDefault="00576A4F" w:rsidP="00A06946">
            <w:pPr>
              <w:spacing w:after="0"/>
              <w:jc w:val="right"/>
              <w:rPr>
                <w:color w:val="auto"/>
                <w:sz w:val="20"/>
                <w:lang w:val="sr-Cyrl-CS"/>
              </w:rPr>
            </w:pPr>
            <w:r w:rsidRPr="00092ED7">
              <w:rPr>
                <w:color w:val="auto"/>
                <w:sz w:val="20"/>
                <w:lang w:val="sr-Cyrl-CS"/>
              </w:rPr>
              <w:t>47,4</w:t>
            </w:r>
          </w:p>
        </w:tc>
        <w:tc>
          <w:tcPr>
            <w:tcW w:w="605" w:type="pct"/>
            <w:tcBorders>
              <w:left w:val="none" w:sz="0" w:space="0" w:color="auto"/>
              <w:right w:val="none" w:sz="0" w:space="0" w:color="auto"/>
            </w:tcBorders>
            <w:shd w:val="clear" w:color="auto" w:fill="auto"/>
          </w:tcPr>
          <w:p w14:paraId="7D6FD8EC" w14:textId="77777777" w:rsidR="00576A4F" w:rsidRPr="00092ED7" w:rsidRDefault="00576A4F" w:rsidP="00A06946">
            <w:pPr>
              <w:spacing w:after="0"/>
              <w:jc w:val="right"/>
              <w:rPr>
                <w:color w:val="auto"/>
                <w:sz w:val="20"/>
                <w:lang w:val="sr-Cyrl-CS"/>
              </w:rPr>
            </w:pPr>
            <w:r w:rsidRPr="00092ED7">
              <w:rPr>
                <w:color w:val="auto"/>
                <w:sz w:val="20"/>
                <w:lang w:val="sr-Cyrl-CS"/>
              </w:rPr>
              <w:t>46,8</w:t>
            </w:r>
          </w:p>
        </w:tc>
        <w:tc>
          <w:tcPr>
            <w:tcW w:w="556" w:type="pct"/>
            <w:tcBorders>
              <w:left w:val="none" w:sz="0" w:space="0" w:color="auto"/>
              <w:right w:val="none" w:sz="0" w:space="0" w:color="auto"/>
            </w:tcBorders>
            <w:shd w:val="clear" w:color="auto" w:fill="auto"/>
          </w:tcPr>
          <w:p w14:paraId="46E1CFF1" w14:textId="77777777" w:rsidR="00576A4F" w:rsidRPr="00092ED7" w:rsidRDefault="00576A4F" w:rsidP="00A06946">
            <w:pPr>
              <w:spacing w:after="0"/>
              <w:jc w:val="right"/>
              <w:rPr>
                <w:color w:val="auto"/>
                <w:sz w:val="20"/>
                <w:lang w:val="sr-Cyrl-CS"/>
              </w:rPr>
            </w:pPr>
            <w:r w:rsidRPr="00092ED7">
              <w:rPr>
                <w:color w:val="auto"/>
                <w:sz w:val="20"/>
                <w:lang w:val="sr-Cyrl-CS"/>
              </w:rPr>
              <w:t>44,2</w:t>
            </w:r>
          </w:p>
        </w:tc>
        <w:tc>
          <w:tcPr>
            <w:tcW w:w="556" w:type="pct"/>
            <w:tcBorders>
              <w:left w:val="none" w:sz="0" w:space="0" w:color="auto"/>
              <w:right w:val="none" w:sz="0" w:space="0" w:color="auto"/>
            </w:tcBorders>
            <w:shd w:val="clear" w:color="auto" w:fill="auto"/>
          </w:tcPr>
          <w:p w14:paraId="5FF33447" w14:textId="77777777" w:rsidR="00576A4F" w:rsidRPr="00092ED7" w:rsidRDefault="00576A4F" w:rsidP="00A06946">
            <w:pPr>
              <w:spacing w:after="0"/>
              <w:jc w:val="right"/>
              <w:rPr>
                <w:color w:val="auto"/>
                <w:sz w:val="20"/>
                <w:lang w:val="sr-Cyrl-CS"/>
              </w:rPr>
            </w:pPr>
            <w:r w:rsidRPr="00092ED7">
              <w:rPr>
                <w:color w:val="auto"/>
                <w:sz w:val="20"/>
                <w:lang w:val="sr-Cyrl-CS"/>
              </w:rPr>
              <w:t>42,5</w:t>
            </w:r>
          </w:p>
        </w:tc>
        <w:tc>
          <w:tcPr>
            <w:tcW w:w="556" w:type="pct"/>
            <w:tcBorders>
              <w:left w:val="none" w:sz="0" w:space="0" w:color="auto"/>
              <w:right w:val="none" w:sz="0" w:space="0" w:color="auto"/>
            </w:tcBorders>
            <w:shd w:val="clear" w:color="auto" w:fill="auto"/>
          </w:tcPr>
          <w:p w14:paraId="10297EEF" w14:textId="77777777" w:rsidR="00576A4F" w:rsidRPr="00092ED7" w:rsidRDefault="00576A4F" w:rsidP="00A06946">
            <w:pPr>
              <w:spacing w:after="0"/>
              <w:jc w:val="right"/>
              <w:rPr>
                <w:color w:val="auto"/>
                <w:sz w:val="20"/>
                <w:lang w:val="sr-Cyrl-CS"/>
              </w:rPr>
            </w:pPr>
            <w:r w:rsidRPr="00092ED7">
              <w:rPr>
                <w:color w:val="auto"/>
                <w:sz w:val="20"/>
                <w:lang w:val="sr-Cyrl-CS"/>
              </w:rPr>
              <w:t>41,0</w:t>
            </w:r>
          </w:p>
        </w:tc>
      </w:tr>
      <w:tr w:rsidR="00576A4F" w:rsidRPr="00092ED7" w14:paraId="3C2B0482" w14:textId="77777777" w:rsidTr="00576A4F">
        <w:trPr>
          <w:trHeight w:val="253"/>
        </w:trPr>
        <w:tc>
          <w:tcPr>
            <w:tcW w:w="2121" w:type="pct"/>
            <w:shd w:val="clear" w:color="auto" w:fill="auto"/>
            <w:vAlign w:val="center"/>
          </w:tcPr>
          <w:p w14:paraId="02D08A53" w14:textId="77777777" w:rsidR="00576A4F" w:rsidRPr="00092ED7" w:rsidRDefault="00576A4F" w:rsidP="00A06946">
            <w:pPr>
              <w:spacing w:after="0"/>
              <w:rPr>
                <w:color w:val="auto"/>
                <w:sz w:val="20"/>
                <w:lang w:val="sr-Cyrl-CS"/>
              </w:rPr>
            </w:pPr>
          </w:p>
        </w:tc>
        <w:tc>
          <w:tcPr>
            <w:tcW w:w="605" w:type="pct"/>
            <w:shd w:val="clear" w:color="auto" w:fill="auto"/>
          </w:tcPr>
          <w:p w14:paraId="1557330C" w14:textId="77777777" w:rsidR="00576A4F" w:rsidRPr="00092ED7" w:rsidRDefault="00576A4F" w:rsidP="00A06946">
            <w:pPr>
              <w:spacing w:after="0"/>
              <w:jc w:val="right"/>
              <w:rPr>
                <w:color w:val="auto"/>
                <w:sz w:val="20"/>
                <w:lang w:val="sr-Cyrl-CS"/>
              </w:rPr>
            </w:pPr>
          </w:p>
        </w:tc>
        <w:tc>
          <w:tcPr>
            <w:tcW w:w="605" w:type="pct"/>
            <w:shd w:val="clear" w:color="auto" w:fill="auto"/>
          </w:tcPr>
          <w:p w14:paraId="4D4E233C" w14:textId="77777777" w:rsidR="00576A4F" w:rsidRPr="00092ED7" w:rsidRDefault="00576A4F" w:rsidP="00A06946">
            <w:pPr>
              <w:spacing w:after="0"/>
              <w:jc w:val="right"/>
              <w:rPr>
                <w:color w:val="auto"/>
                <w:sz w:val="20"/>
                <w:lang w:val="sr-Cyrl-CS"/>
              </w:rPr>
            </w:pPr>
          </w:p>
        </w:tc>
        <w:tc>
          <w:tcPr>
            <w:tcW w:w="556" w:type="pct"/>
            <w:shd w:val="clear" w:color="auto" w:fill="auto"/>
          </w:tcPr>
          <w:p w14:paraId="49AA9767" w14:textId="77777777" w:rsidR="00576A4F" w:rsidRPr="00092ED7" w:rsidRDefault="00576A4F" w:rsidP="00A06946">
            <w:pPr>
              <w:spacing w:after="0"/>
              <w:jc w:val="right"/>
              <w:rPr>
                <w:color w:val="auto"/>
                <w:sz w:val="20"/>
                <w:lang w:val="sr-Cyrl-CS"/>
              </w:rPr>
            </w:pPr>
          </w:p>
        </w:tc>
        <w:tc>
          <w:tcPr>
            <w:tcW w:w="556" w:type="pct"/>
            <w:shd w:val="clear" w:color="auto" w:fill="auto"/>
          </w:tcPr>
          <w:p w14:paraId="307F25C2" w14:textId="77777777" w:rsidR="00576A4F" w:rsidRPr="00092ED7" w:rsidRDefault="00576A4F" w:rsidP="00A06946">
            <w:pPr>
              <w:spacing w:after="0"/>
              <w:jc w:val="right"/>
              <w:rPr>
                <w:color w:val="auto"/>
                <w:sz w:val="20"/>
                <w:lang w:val="sr-Cyrl-CS"/>
              </w:rPr>
            </w:pPr>
          </w:p>
        </w:tc>
        <w:tc>
          <w:tcPr>
            <w:tcW w:w="556" w:type="pct"/>
            <w:shd w:val="clear" w:color="auto" w:fill="auto"/>
          </w:tcPr>
          <w:p w14:paraId="18D84711" w14:textId="77777777" w:rsidR="00576A4F" w:rsidRPr="00092ED7" w:rsidRDefault="00576A4F" w:rsidP="00A06946">
            <w:pPr>
              <w:spacing w:after="0"/>
              <w:jc w:val="right"/>
              <w:rPr>
                <w:color w:val="auto"/>
                <w:sz w:val="20"/>
                <w:lang w:val="sr-Cyrl-CS"/>
              </w:rPr>
            </w:pPr>
          </w:p>
        </w:tc>
      </w:tr>
      <w:tr w:rsidR="00576A4F" w:rsidRPr="00092ED7" w14:paraId="193C326A" w14:textId="77777777" w:rsidTr="00576A4F">
        <w:trPr>
          <w:cnfStyle w:val="000000100000" w:firstRow="0" w:lastRow="0" w:firstColumn="0" w:lastColumn="0" w:oddVBand="0" w:evenVBand="0" w:oddHBand="1" w:evenHBand="0" w:firstRowFirstColumn="0" w:firstRowLastColumn="0" w:lastRowFirstColumn="0" w:lastRowLastColumn="0"/>
          <w:trHeight w:val="253"/>
        </w:trPr>
        <w:tc>
          <w:tcPr>
            <w:tcW w:w="2121" w:type="pct"/>
            <w:tcBorders>
              <w:left w:val="none" w:sz="0" w:space="0" w:color="auto"/>
              <w:right w:val="none" w:sz="0" w:space="0" w:color="auto"/>
            </w:tcBorders>
            <w:shd w:val="clear" w:color="auto" w:fill="auto"/>
            <w:vAlign w:val="center"/>
          </w:tcPr>
          <w:p w14:paraId="5958C4F1" w14:textId="77777777" w:rsidR="00576A4F" w:rsidRPr="00092ED7" w:rsidRDefault="00576A4F" w:rsidP="00A06946">
            <w:pPr>
              <w:spacing w:after="0"/>
              <w:rPr>
                <w:color w:val="auto"/>
                <w:sz w:val="20"/>
                <w:lang w:val="sr-Cyrl-CS"/>
              </w:rPr>
            </w:pPr>
            <w:r w:rsidRPr="00092ED7">
              <w:rPr>
                <w:color w:val="auto"/>
                <w:sz w:val="20"/>
                <w:lang w:val="sr-Cyrl-CS"/>
              </w:rPr>
              <w:t>Консолидовани фискални резултат</w:t>
            </w:r>
          </w:p>
        </w:tc>
        <w:tc>
          <w:tcPr>
            <w:tcW w:w="605" w:type="pct"/>
            <w:tcBorders>
              <w:left w:val="none" w:sz="0" w:space="0" w:color="auto"/>
              <w:right w:val="none" w:sz="0" w:space="0" w:color="auto"/>
            </w:tcBorders>
            <w:shd w:val="clear" w:color="auto" w:fill="auto"/>
          </w:tcPr>
          <w:p w14:paraId="3D8849F6" w14:textId="77777777" w:rsidR="00576A4F" w:rsidRPr="00092ED7" w:rsidRDefault="00576A4F" w:rsidP="00A06946">
            <w:pPr>
              <w:spacing w:after="0"/>
              <w:jc w:val="right"/>
              <w:rPr>
                <w:color w:val="auto"/>
                <w:sz w:val="20"/>
                <w:lang w:val="sr-Cyrl-CS"/>
              </w:rPr>
            </w:pPr>
            <w:r w:rsidRPr="00092ED7">
              <w:rPr>
                <w:color w:val="auto"/>
                <w:sz w:val="20"/>
                <w:lang w:val="sr-Cyrl-CS"/>
              </w:rPr>
              <w:t>-4,1</w:t>
            </w:r>
          </w:p>
        </w:tc>
        <w:tc>
          <w:tcPr>
            <w:tcW w:w="605" w:type="pct"/>
            <w:tcBorders>
              <w:left w:val="none" w:sz="0" w:space="0" w:color="auto"/>
              <w:right w:val="none" w:sz="0" w:space="0" w:color="auto"/>
            </w:tcBorders>
            <w:shd w:val="clear" w:color="auto" w:fill="auto"/>
          </w:tcPr>
          <w:p w14:paraId="308A383C" w14:textId="77777777" w:rsidR="00576A4F" w:rsidRPr="00092ED7" w:rsidRDefault="00576A4F" w:rsidP="00A06946">
            <w:pPr>
              <w:spacing w:after="0"/>
              <w:jc w:val="right"/>
              <w:rPr>
                <w:color w:val="auto"/>
                <w:sz w:val="20"/>
                <w:lang w:val="sr-Cyrl-CS"/>
              </w:rPr>
            </w:pPr>
            <w:r w:rsidRPr="00092ED7">
              <w:rPr>
                <w:color w:val="auto"/>
                <w:sz w:val="20"/>
                <w:lang w:val="sr-Cyrl-CS"/>
              </w:rPr>
              <w:t>-3,8</w:t>
            </w:r>
          </w:p>
        </w:tc>
        <w:tc>
          <w:tcPr>
            <w:tcW w:w="556" w:type="pct"/>
            <w:tcBorders>
              <w:left w:val="none" w:sz="0" w:space="0" w:color="auto"/>
              <w:right w:val="none" w:sz="0" w:space="0" w:color="auto"/>
            </w:tcBorders>
            <w:shd w:val="clear" w:color="auto" w:fill="auto"/>
          </w:tcPr>
          <w:p w14:paraId="419C35C8" w14:textId="77777777" w:rsidR="00576A4F" w:rsidRPr="00092ED7" w:rsidRDefault="00576A4F" w:rsidP="00A06946">
            <w:pPr>
              <w:spacing w:after="0"/>
              <w:jc w:val="right"/>
              <w:rPr>
                <w:color w:val="auto"/>
                <w:sz w:val="20"/>
                <w:lang w:val="sr-Cyrl-CS"/>
              </w:rPr>
            </w:pPr>
            <w:r w:rsidRPr="00092ED7">
              <w:rPr>
                <w:color w:val="auto"/>
                <w:sz w:val="20"/>
                <w:lang w:val="sr-Cyrl-CS"/>
              </w:rPr>
              <w:t>-3,3</w:t>
            </w:r>
          </w:p>
        </w:tc>
        <w:tc>
          <w:tcPr>
            <w:tcW w:w="556" w:type="pct"/>
            <w:tcBorders>
              <w:left w:val="none" w:sz="0" w:space="0" w:color="auto"/>
              <w:right w:val="none" w:sz="0" w:space="0" w:color="auto"/>
            </w:tcBorders>
            <w:shd w:val="clear" w:color="auto" w:fill="auto"/>
          </w:tcPr>
          <w:p w14:paraId="20C80749" w14:textId="77777777" w:rsidR="00576A4F" w:rsidRPr="00092ED7" w:rsidRDefault="00576A4F" w:rsidP="00A06946">
            <w:pPr>
              <w:spacing w:after="0"/>
              <w:jc w:val="right"/>
              <w:rPr>
                <w:color w:val="auto"/>
                <w:sz w:val="20"/>
                <w:lang w:val="sr-Cyrl-CS"/>
              </w:rPr>
            </w:pPr>
            <w:r w:rsidRPr="00092ED7">
              <w:rPr>
                <w:color w:val="auto"/>
                <w:sz w:val="20"/>
                <w:lang w:val="sr-Cyrl-CS"/>
              </w:rPr>
              <w:t>-2,2</w:t>
            </w:r>
          </w:p>
        </w:tc>
        <w:tc>
          <w:tcPr>
            <w:tcW w:w="556" w:type="pct"/>
            <w:tcBorders>
              <w:left w:val="none" w:sz="0" w:space="0" w:color="auto"/>
              <w:right w:val="none" w:sz="0" w:space="0" w:color="auto"/>
            </w:tcBorders>
            <w:shd w:val="clear" w:color="auto" w:fill="auto"/>
          </w:tcPr>
          <w:p w14:paraId="34CC35E4" w14:textId="77777777" w:rsidR="00576A4F" w:rsidRPr="00092ED7" w:rsidRDefault="00576A4F" w:rsidP="00A06946">
            <w:pPr>
              <w:spacing w:after="0"/>
              <w:jc w:val="right"/>
              <w:rPr>
                <w:color w:val="auto"/>
                <w:sz w:val="20"/>
                <w:lang w:val="sr-Cyrl-CS"/>
              </w:rPr>
            </w:pPr>
            <w:r w:rsidRPr="00092ED7">
              <w:rPr>
                <w:color w:val="auto"/>
                <w:sz w:val="20"/>
                <w:lang w:val="sr-Cyrl-CS"/>
              </w:rPr>
              <w:t>-1,4</w:t>
            </w:r>
          </w:p>
        </w:tc>
      </w:tr>
      <w:tr w:rsidR="00576A4F" w:rsidRPr="00092ED7" w14:paraId="63251032" w14:textId="77777777" w:rsidTr="00576A4F">
        <w:trPr>
          <w:trHeight w:val="253"/>
        </w:trPr>
        <w:tc>
          <w:tcPr>
            <w:tcW w:w="2121" w:type="pct"/>
            <w:shd w:val="clear" w:color="auto" w:fill="auto"/>
            <w:vAlign w:val="center"/>
          </w:tcPr>
          <w:p w14:paraId="3566C408" w14:textId="77777777" w:rsidR="00576A4F" w:rsidRPr="00092ED7" w:rsidRDefault="00576A4F" w:rsidP="00A06946">
            <w:pPr>
              <w:spacing w:after="0"/>
              <w:rPr>
                <w:color w:val="auto"/>
                <w:sz w:val="20"/>
                <w:lang w:val="sr-Cyrl-CS"/>
              </w:rPr>
            </w:pPr>
            <w:r w:rsidRPr="00092ED7">
              <w:rPr>
                <w:color w:val="auto"/>
                <w:sz w:val="20"/>
                <w:lang w:val="sr-Cyrl-CS"/>
              </w:rPr>
              <w:t>Примарни консолидовани резултат</w:t>
            </w:r>
          </w:p>
        </w:tc>
        <w:tc>
          <w:tcPr>
            <w:tcW w:w="605" w:type="pct"/>
            <w:shd w:val="clear" w:color="auto" w:fill="auto"/>
          </w:tcPr>
          <w:p w14:paraId="427B313C" w14:textId="77777777" w:rsidR="00576A4F" w:rsidRPr="00092ED7" w:rsidRDefault="00576A4F" w:rsidP="00A06946">
            <w:pPr>
              <w:spacing w:after="0"/>
              <w:jc w:val="right"/>
              <w:rPr>
                <w:color w:val="auto"/>
                <w:sz w:val="20"/>
                <w:lang w:val="sr-Cyrl-CS"/>
              </w:rPr>
            </w:pPr>
            <w:r w:rsidRPr="00092ED7">
              <w:rPr>
                <w:color w:val="auto"/>
                <w:sz w:val="20"/>
                <w:lang w:val="sr-Cyrl-CS"/>
              </w:rPr>
              <w:t>-2,4</w:t>
            </w:r>
          </w:p>
        </w:tc>
        <w:tc>
          <w:tcPr>
            <w:tcW w:w="605" w:type="pct"/>
            <w:shd w:val="clear" w:color="auto" w:fill="auto"/>
          </w:tcPr>
          <w:p w14:paraId="0B1CABD5" w14:textId="77777777" w:rsidR="00576A4F" w:rsidRPr="00092ED7" w:rsidRDefault="00576A4F" w:rsidP="00A06946">
            <w:pPr>
              <w:spacing w:after="0"/>
              <w:jc w:val="right"/>
              <w:rPr>
                <w:color w:val="auto"/>
                <w:sz w:val="20"/>
                <w:lang w:val="sr-Cyrl-CS"/>
              </w:rPr>
            </w:pPr>
            <w:r w:rsidRPr="00092ED7">
              <w:rPr>
                <w:color w:val="auto"/>
                <w:sz w:val="20"/>
                <w:lang w:val="sr-Cyrl-CS"/>
              </w:rPr>
              <w:t>-2,2</w:t>
            </w:r>
          </w:p>
        </w:tc>
        <w:tc>
          <w:tcPr>
            <w:tcW w:w="556" w:type="pct"/>
            <w:shd w:val="clear" w:color="auto" w:fill="auto"/>
          </w:tcPr>
          <w:p w14:paraId="65F8C678" w14:textId="77777777" w:rsidR="00576A4F" w:rsidRPr="00092ED7" w:rsidRDefault="00576A4F" w:rsidP="00A06946">
            <w:pPr>
              <w:spacing w:after="0"/>
              <w:jc w:val="right"/>
              <w:rPr>
                <w:color w:val="auto"/>
                <w:sz w:val="20"/>
                <w:lang w:val="sr-Cyrl-CS"/>
              </w:rPr>
            </w:pPr>
            <w:r w:rsidRPr="00092ED7">
              <w:rPr>
                <w:color w:val="auto"/>
                <w:sz w:val="20"/>
                <w:lang w:val="sr-Cyrl-CS"/>
              </w:rPr>
              <w:t>-1,5</w:t>
            </w:r>
          </w:p>
        </w:tc>
        <w:tc>
          <w:tcPr>
            <w:tcW w:w="556" w:type="pct"/>
            <w:shd w:val="clear" w:color="auto" w:fill="auto"/>
          </w:tcPr>
          <w:p w14:paraId="13E2DD5C" w14:textId="77777777" w:rsidR="00576A4F" w:rsidRPr="00092ED7" w:rsidRDefault="00576A4F" w:rsidP="00A06946">
            <w:pPr>
              <w:spacing w:after="0"/>
              <w:jc w:val="right"/>
              <w:rPr>
                <w:color w:val="auto"/>
                <w:sz w:val="20"/>
                <w:lang w:val="sr-Cyrl-CS"/>
              </w:rPr>
            </w:pPr>
            <w:r w:rsidRPr="00092ED7">
              <w:rPr>
                <w:color w:val="auto"/>
                <w:sz w:val="20"/>
                <w:lang w:val="sr-Cyrl-CS"/>
              </w:rPr>
              <w:t>-0,1</w:t>
            </w:r>
          </w:p>
        </w:tc>
        <w:tc>
          <w:tcPr>
            <w:tcW w:w="556" w:type="pct"/>
            <w:shd w:val="clear" w:color="auto" w:fill="auto"/>
          </w:tcPr>
          <w:p w14:paraId="0152DE41" w14:textId="77777777" w:rsidR="00576A4F" w:rsidRPr="00092ED7" w:rsidRDefault="00576A4F" w:rsidP="00A06946">
            <w:pPr>
              <w:spacing w:after="0"/>
              <w:jc w:val="right"/>
              <w:rPr>
                <w:color w:val="auto"/>
                <w:sz w:val="20"/>
                <w:lang w:val="sr-Cyrl-CS"/>
              </w:rPr>
            </w:pPr>
            <w:r w:rsidRPr="00092ED7">
              <w:rPr>
                <w:color w:val="auto"/>
                <w:sz w:val="20"/>
                <w:lang w:val="sr-Cyrl-CS"/>
              </w:rPr>
              <w:t>0,5</w:t>
            </w:r>
          </w:p>
        </w:tc>
      </w:tr>
      <w:tr w:rsidR="00576A4F" w:rsidRPr="00092ED7" w14:paraId="7417030D" w14:textId="77777777" w:rsidTr="00576A4F">
        <w:trPr>
          <w:cnfStyle w:val="000000100000" w:firstRow="0" w:lastRow="0" w:firstColumn="0" w:lastColumn="0" w:oddVBand="0" w:evenVBand="0" w:oddHBand="1" w:evenHBand="0" w:firstRowFirstColumn="0" w:firstRowLastColumn="0" w:lastRowFirstColumn="0" w:lastRowLastColumn="0"/>
          <w:trHeight w:val="253"/>
        </w:trPr>
        <w:tc>
          <w:tcPr>
            <w:tcW w:w="2121" w:type="pct"/>
            <w:tcBorders>
              <w:left w:val="none" w:sz="0" w:space="0" w:color="auto"/>
              <w:right w:val="none" w:sz="0" w:space="0" w:color="auto"/>
            </w:tcBorders>
            <w:shd w:val="clear" w:color="auto" w:fill="auto"/>
            <w:vAlign w:val="center"/>
          </w:tcPr>
          <w:p w14:paraId="1FEB2AEE" w14:textId="77777777" w:rsidR="00576A4F" w:rsidRPr="00092ED7" w:rsidRDefault="00576A4F" w:rsidP="00A06946">
            <w:pPr>
              <w:spacing w:after="0"/>
              <w:rPr>
                <w:color w:val="auto"/>
                <w:sz w:val="20"/>
                <w:lang w:val="sr-Cyrl-CS"/>
              </w:rPr>
            </w:pPr>
          </w:p>
        </w:tc>
        <w:tc>
          <w:tcPr>
            <w:tcW w:w="605" w:type="pct"/>
            <w:tcBorders>
              <w:left w:val="none" w:sz="0" w:space="0" w:color="auto"/>
              <w:right w:val="none" w:sz="0" w:space="0" w:color="auto"/>
            </w:tcBorders>
            <w:shd w:val="clear" w:color="auto" w:fill="auto"/>
          </w:tcPr>
          <w:p w14:paraId="1BDAA675" w14:textId="77777777" w:rsidR="00576A4F" w:rsidRPr="00092ED7" w:rsidRDefault="00576A4F" w:rsidP="00A06946">
            <w:pPr>
              <w:spacing w:after="0"/>
              <w:jc w:val="right"/>
              <w:rPr>
                <w:color w:val="auto"/>
                <w:sz w:val="20"/>
                <w:lang w:val="sr-Cyrl-CS"/>
              </w:rPr>
            </w:pPr>
          </w:p>
        </w:tc>
        <w:tc>
          <w:tcPr>
            <w:tcW w:w="605" w:type="pct"/>
            <w:tcBorders>
              <w:left w:val="none" w:sz="0" w:space="0" w:color="auto"/>
              <w:right w:val="none" w:sz="0" w:space="0" w:color="auto"/>
            </w:tcBorders>
            <w:shd w:val="clear" w:color="auto" w:fill="auto"/>
          </w:tcPr>
          <w:p w14:paraId="2E30A09C" w14:textId="77777777" w:rsidR="00576A4F" w:rsidRPr="00092ED7" w:rsidRDefault="00576A4F" w:rsidP="00A06946">
            <w:pPr>
              <w:spacing w:after="0"/>
              <w:jc w:val="right"/>
              <w:rPr>
                <w:color w:val="auto"/>
                <w:sz w:val="20"/>
                <w:lang w:val="sr-Cyrl-CS"/>
              </w:rPr>
            </w:pPr>
          </w:p>
        </w:tc>
        <w:tc>
          <w:tcPr>
            <w:tcW w:w="556" w:type="pct"/>
            <w:tcBorders>
              <w:left w:val="none" w:sz="0" w:space="0" w:color="auto"/>
              <w:right w:val="none" w:sz="0" w:space="0" w:color="auto"/>
            </w:tcBorders>
            <w:shd w:val="clear" w:color="auto" w:fill="auto"/>
          </w:tcPr>
          <w:p w14:paraId="1A8E4CCD" w14:textId="77777777" w:rsidR="00576A4F" w:rsidRPr="00092ED7" w:rsidRDefault="00576A4F" w:rsidP="00A06946">
            <w:pPr>
              <w:spacing w:after="0"/>
              <w:jc w:val="right"/>
              <w:rPr>
                <w:color w:val="auto"/>
                <w:sz w:val="20"/>
                <w:lang w:val="sr-Cyrl-CS"/>
              </w:rPr>
            </w:pPr>
          </w:p>
        </w:tc>
        <w:tc>
          <w:tcPr>
            <w:tcW w:w="556" w:type="pct"/>
            <w:tcBorders>
              <w:left w:val="none" w:sz="0" w:space="0" w:color="auto"/>
              <w:right w:val="none" w:sz="0" w:space="0" w:color="auto"/>
            </w:tcBorders>
            <w:shd w:val="clear" w:color="auto" w:fill="auto"/>
          </w:tcPr>
          <w:p w14:paraId="60251CED" w14:textId="77777777" w:rsidR="00576A4F" w:rsidRPr="00092ED7" w:rsidRDefault="00576A4F" w:rsidP="00A06946">
            <w:pPr>
              <w:spacing w:after="0"/>
              <w:jc w:val="right"/>
              <w:rPr>
                <w:color w:val="auto"/>
                <w:sz w:val="20"/>
                <w:lang w:val="sr-Cyrl-CS"/>
              </w:rPr>
            </w:pPr>
          </w:p>
        </w:tc>
        <w:tc>
          <w:tcPr>
            <w:tcW w:w="556" w:type="pct"/>
            <w:tcBorders>
              <w:left w:val="none" w:sz="0" w:space="0" w:color="auto"/>
              <w:right w:val="none" w:sz="0" w:space="0" w:color="auto"/>
            </w:tcBorders>
            <w:shd w:val="clear" w:color="auto" w:fill="auto"/>
          </w:tcPr>
          <w:p w14:paraId="0AD3A2BE" w14:textId="77777777" w:rsidR="00576A4F" w:rsidRPr="00092ED7" w:rsidRDefault="00576A4F" w:rsidP="00A06946">
            <w:pPr>
              <w:spacing w:after="0"/>
              <w:jc w:val="right"/>
              <w:rPr>
                <w:color w:val="auto"/>
                <w:sz w:val="20"/>
                <w:lang w:val="sr-Cyrl-CS"/>
              </w:rPr>
            </w:pPr>
          </w:p>
        </w:tc>
      </w:tr>
      <w:tr w:rsidR="00576A4F" w:rsidRPr="00092ED7" w14:paraId="3E042372" w14:textId="77777777" w:rsidTr="00576A4F">
        <w:trPr>
          <w:trHeight w:val="253"/>
        </w:trPr>
        <w:tc>
          <w:tcPr>
            <w:tcW w:w="2121" w:type="pct"/>
            <w:shd w:val="clear" w:color="auto" w:fill="auto"/>
            <w:vAlign w:val="center"/>
          </w:tcPr>
          <w:p w14:paraId="31DCF41F" w14:textId="77777777" w:rsidR="00576A4F" w:rsidRPr="00092ED7" w:rsidRDefault="00576A4F" w:rsidP="00A06946">
            <w:pPr>
              <w:spacing w:after="0"/>
              <w:rPr>
                <w:color w:val="auto"/>
                <w:sz w:val="20"/>
                <w:lang w:val="sr-Cyrl-CS"/>
              </w:rPr>
            </w:pPr>
            <w:r w:rsidRPr="00092ED7">
              <w:rPr>
                <w:color w:val="auto"/>
                <w:sz w:val="20"/>
                <w:lang w:val="sr-Cyrl-CS"/>
              </w:rPr>
              <w:t>Дуг опште државе</w:t>
            </w:r>
          </w:p>
        </w:tc>
        <w:tc>
          <w:tcPr>
            <w:tcW w:w="605" w:type="pct"/>
            <w:shd w:val="clear" w:color="auto" w:fill="auto"/>
          </w:tcPr>
          <w:p w14:paraId="048E2068" w14:textId="77777777" w:rsidR="00576A4F" w:rsidRPr="00092ED7" w:rsidRDefault="00576A4F" w:rsidP="00A06946">
            <w:pPr>
              <w:spacing w:after="0"/>
              <w:jc w:val="right"/>
              <w:rPr>
                <w:color w:val="auto"/>
                <w:sz w:val="20"/>
                <w:lang w:val="sr-Cyrl-CS"/>
              </w:rPr>
            </w:pPr>
            <w:r w:rsidRPr="00092ED7">
              <w:rPr>
                <w:color w:val="auto"/>
                <w:sz w:val="20"/>
                <w:lang w:val="sr-Cyrl-CS"/>
              </w:rPr>
              <w:t>57,1</w:t>
            </w:r>
          </w:p>
        </w:tc>
        <w:tc>
          <w:tcPr>
            <w:tcW w:w="605" w:type="pct"/>
            <w:shd w:val="clear" w:color="auto" w:fill="auto"/>
          </w:tcPr>
          <w:p w14:paraId="5B7DF2C6" w14:textId="77777777" w:rsidR="00576A4F" w:rsidRPr="00092ED7" w:rsidRDefault="00576A4F" w:rsidP="00A06946">
            <w:pPr>
              <w:spacing w:after="0"/>
              <w:jc w:val="right"/>
              <w:rPr>
                <w:color w:val="auto"/>
                <w:sz w:val="20"/>
                <w:lang w:val="sr-Cyrl-CS"/>
              </w:rPr>
            </w:pPr>
            <w:r w:rsidRPr="00092ED7">
              <w:rPr>
                <w:color w:val="auto"/>
                <w:sz w:val="20"/>
                <w:lang w:val="sr-Cyrl-CS"/>
              </w:rPr>
              <w:t>56,9</w:t>
            </w:r>
          </w:p>
        </w:tc>
        <w:tc>
          <w:tcPr>
            <w:tcW w:w="556" w:type="pct"/>
            <w:shd w:val="clear" w:color="auto" w:fill="auto"/>
          </w:tcPr>
          <w:p w14:paraId="09D76A3A" w14:textId="77777777" w:rsidR="00576A4F" w:rsidRPr="00092ED7" w:rsidRDefault="00576A4F" w:rsidP="00A06946">
            <w:pPr>
              <w:spacing w:after="0"/>
              <w:jc w:val="right"/>
              <w:rPr>
                <w:color w:val="auto"/>
                <w:sz w:val="20"/>
                <w:lang w:val="sr-Cyrl-CS"/>
              </w:rPr>
            </w:pPr>
            <w:r w:rsidRPr="00092ED7">
              <w:rPr>
                <w:color w:val="auto"/>
                <w:sz w:val="20"/>
                <w:lang w:val="sr-Cyrl-CS"/>
              </w:rPr>
              <w:t>56,1</w:t>
            </w:r>
          </w:p>
        </w:tc>
        <w:tc>
          <w:tcPr>
            <w:tcW w:w="556" w:type="pct"/>
            <w:shd w:val="clear" w:color="auto" w:fill="auto"/>
          </w:tcPr>
          <w:p w14:paraId="2812F3CF" w14:textId="77777777" w:rsidR="00576A4F" w:rsidRPr="00092ED7" w:rsidRDefault="00576A4F" w:rsidP="00A06946">
            <w:pPr>
              <w:spacing w:after="0"/>
              <w:jc w:val="right"/>
              <w:rPr>
                <w:color w:val="auto"/>
                <w:sz w:val="20"/>
                <w:lang w:val="sr-Cyrl-CS"/>
              </w:rPr>
            </w:pPr>
            <w:r w:rsidRPr="00092ED7">
              <w:rPr>
                <w:color w:val="auto"/>
                <w:sz w:val="20"/>
                <w:lang w:val="sr-Cyrl-CS"/>
              </w:rPr>
              <w:t>55,1</w:t>
            </w:r>
          </w:p>
        </w:tc>
        <w:tc>
          <w:tcPr>
            <w:tcW w:w="556" w:type="pct"/>
            <w:shd w:val="clear" w:color="auto" w:fill="auto"/>
          </w:tcPr>
          <w:p w14:paraId="7A2023A3" w14:textId="77777777" w:rsidR="00576A4F" w:rsidRPr="00092ED7" w:rsidRDefault="00576A4F" w:rsidP="00A06946">
            <w:pPr>
              <w:spacing w:after="0"/>
              <w:jc w:val="right"/>
              <w:rPr>
                <w:color w:val="auto"/>
                <w:sz w:val="20"/>
                <w:lang w:val="sr-Cyrl-CS"/>
              </w:rPr>
            </w:pPr>
            <w:r w:rsidRPr="00092ED7">
              <w:rPr>
                <w:color w:val="auto"/>
                <w:sz w:val="20"/>
                <w:lang w:val="sr-Cyrl-CS"/>
              </w:rPr>
              <w:t>54,0</w:t>
            </w:r>
          </w:p>
        </w:tc>
      </w:tr>
      <w:tr w:rsidR="00576A4F" w:rsidRPr="00092ED7" w14:paraId="39D45FCA" w14:textId="77777777" w:rsidTr="00576A4F">
        <w:trPr>
          <w:cnfStyle w:val="000000100000" w:firstRow="0" w:lastRow="0" w:firstColumn="0" w:lastColumn="0" w:oddVBand="0" w:evenVBand="0" w:oddHBand="1" w:evenHBand="0" w:firstRowFirstColumn="0" w:firstRowLastColumn="0" w:lastRowFirstColumn="0" w:lastRowLastColumn="0"/>
          <w:trHeight w:val="253"/>
        </w:trPr>
        <w:tc>
          <w:tcPr>
            <w:tcW w:w="2121" w:type="pct"/>
            <w:tcBorders>
              <w:left w:val="none" w:sz="0" w:space="0" w:color="auto"/>
              <w:right w:val="none" w:sz="0" w:space="0" w:color="auto"/>
            </w:tcBorders>
            <w:shd w:val="clear" w:color="auto" w:fill="auto"/>
            <w:vAlign w:val="center"/>
          </w:tcPr>
          <w:p w14:paraId="3FD09060" w14:textId="77777777" w:rsidR="00576A4F" w:rsidRPr="00092ED7" w:rsidRDefault="00576A4F" w:rsidP="00A06946">
            <w:pPr>
              <w:spacing w:after="0"/>
              <w:rPr>
                <w:color w:val="auto"/>
                <w:sz w:val="20"/>
                <w:lang w:val="sr-Cyrl-CS"/>
              </w:rPr>
            </w:pPr>
            <w:r w:rsidRPr="00092ED7">
              <w:rPr>
                <w:color w:val="auto"/>
                <w:sz w:val="20"/>
                <w:lang w:val="sr-Cyrl-CS"/>
              </w:rPr>
              <w:t>Реална стопа раста БДП</w:t>
            </w:r>
          </w:p>
        </w:tc>
        <w:tc>
          <w:tcPr>
            <w:tcW w:w="605" w:type="pct"/>
            <w:tcBorders>
              <w:left w:val="none" w:sz="0" w:space="0" w:color="auto"/>
              <w:right w:val="none" w:sz="0" w:space="0" w:color="auto"/>
            </w:tcBorders>
            <w:shd w:val="clear" w:color="auto" w:fill="auto"/>
          </w:tcPr>
          <w:p w14:paraId="3F3F830C" w14:textId="77777777" w:rsidR="00576A4F" w:rsidRPr="00092ED7" w:rsidRDefault="00576A4F" w:rsidP="00A06946">
            <w:pPr>
              <w:spacing w:after="0"/>
              <w:jc w:val="right"/>
              <w:rPr>
                <w:color w:val="auto"/>
                <w:sz w:val="20"/>
                <w:lang w:val="sr-Cyrl-CS"/>
              </w:rPr>
            </w:pPr>
            <w:r w:rsidRPr="00092ED7">
              <w:rPr>
                <w:color w:val="auto"/>
                <w:sz w:val="20"/>
                <w:lang w:val="sr-Cyrl-CS"/>
              </w:rPr>
              <w:t>7,4%</w:t>
            </w:r>
          </w:p>
        </w:tc>
        <w:tc>
          <w:tcPr>
            <w:tcW w:w="605" w:type="pct"/>
            <w:tcBorders>
              <w:left w:val="none" w:sz="0" w:space="0" w:color="auto"/>
              <w:right w:val="none" w:sz="0" w:space="0" w:color="auto"/>
            </w:tcBorders>
            <w:shd w:val="clear" w:color="auto" w:fill="auto"/>
          </w:tcPr>
          <w:p w14:paraId="02934AD7" w14:textId="77777777" w:rsidR="00576A4F" w:rsidRPr="00092ED7" w:rsidRDefault="00576A4F" w:rsidP="00A06946">
            <w:pPr>
              <w:spacing w:after="0"/>
              <w:jc w:val="right"/>
              <w:rPr>
                <w:color w:val="auto"/>
                <w:sz w:val="20"/>
                <w:lang w:val="sr-Cyrl-CS"/>
              </w:rPr>
            </w:pPr>
            <w:r w:rsidRPr="00092ED7">
              <w:rPr>
                <w:color w:val="auto"/>
                <w:sz w:val="20"/>
                <w:lang w:val="sr-Cyrl-CS"/>
              </w:rPr>
              <w:t>2,5%</w:t>
            </w:r>
          </w:p>
        </w:tc>
        <w:tc>
          <w:tcPr>
            <w:tcW w:w="556" w:type="pct"/>
            <w:tcBorders>
              <w:left w:val="none" w:sz="0" w:space="0" w:color="auto"/>
              <w:right w:val="none" w:sz="0" w:space="0" w:color="auto"/>
            </w:tcBorders>
            <w:shd w:val="clear" w:color="auto" w:fill="auto"/>
          </w:tcPr>
          <w:p w14:paraId="67AAC7A9" w14:textId="77777777" w:rsidR="00576A4F" w:rsidRPr="00092ED7" w:rsidRDefault="00576A4F" w:rsidP="00A06946">
            <w:pPr>
              <w:spacing w:after="0"/>
              <w:jc w:val="right"/>
              <w:rPr>
                <w:color w:val="auto"/>
                <w:sz w:val="20"/>
                <w:lang w:val="sr-Cyrl-CS"/>
              </w:rPr>
            </w:pPr>
            <w:r w:rsidRPr="00092ED7">
              <w:rPr>
                <w:color w:val="auto"/>
                <w:sz w:val="20"/>
                <w:lang w:val="sr-Cyrl-CS"/>
              </w:rPr>
              <w:t>2,5%</w:t>
            </w:r>
          </w:p>
        </w:tc>
        <w:tc>
          <w:tcPr>
            <w:tcW w:w="556" w:type="pct"/>
            <w:tcBorders>
              <w:left w:val="none" w:sz="0" w:space="0" w:color="auto"/>
              <w:right w:val="none" w:sz="0" w:space="0" w:color="auto"/>
            </w:tcBorders>
            <w:shd w:val="clear" w:color="auto" w:fill="auto"/>
          </w:tcPr>
          <w:p w14:paraId="1DBA8906" w14:textId="77777777" w:rsidR="00576A4F" w:rsidRPr="00092ED7" w:rsidRDefault="00576A4F" w:rsidP="00A06946">
            <w:pPr>
              <w:spacing w:after="0"/>
              <w:jc w:val="right"/>
              <w:rPr>
                <w:color w:val="auto"/>
                <w:sz w:val="20"/>
                <w:lang w:val="sr-Cyrl-CS"/>
              </w:rPr>
            </w:pPr>
            <w:r w:rsidRPr="00092ED7">
              <w:rPr>
                <w:color w:val="auto"/>
                <w:sz w:val="20"/>
                <w:lang w:val="sr-Cyrl-CS"/>
              </w:rPr>
              <w:t>3,5%</w:t>
            </w:r>
          </w:p>
        </w:tc>
        <w:tc>
          <w:tcPr>
            <w:tcW w:w="556" w:type="pct"/>
            <w:tcBorders>
              <w:left w:val="none" w:sz="0" w:space="0" w:color="auto"/>
              <w:right w:val="none" w:sz="0" w:space="0" w:color="auto"/>
            </w:tcBorders>
            <w:shd w:val="clear" w:color="auto" w:fill="auto"/>
          </w:tcPr>
          <w:p w14:paraId="18276181" w14:textId="77777777" w:rsidR="00576A4F" w:rsidRPr="00092ED7" w:rsidRDefault="00576A4F" w:rsidP="00A06946">
            <w:pPr>
              <w:spacing w:after="0"/>
              <w:jc w:val="right"/>
              <w:rPr>
                <w:color w:val="auto"/>
                <w:sz w:val="20"/>
                <w:lang w:val="sr-Cyrl-CS"/>
              </w:rPr>
            </w:pPr>
            <w:r w:rsidRPr="00092ED7">
              <w:rPr>
                <w:color w:val="auto"/>
                <w:sz w:val="20"/>
                <w:lang w:val="sr-Cyrl-CS"/>
              </w:rPr>
              <w:t>4,0%</w:t>
            </w:r>
          </w:p>
        </w:tc>
      </w:tr>
    </w:tbl>
    <w:p w14:paraId="236B9EA1" w14:textId="77777777" w:rsidR="00576A4F" w:rsidRPr="00092ED7" w:rsidRDefault="00576A4F" w:rsidP="00576A4F">
      <w:pPr>
        <w:spacing w:before="60"/>
        <w:rPr>
          <w:sz w:val="18"/>
          <w:szCs w:val="18"/>
          <w:lang w:val="sr-Cyrl-CS" w:eastAsia="ja-JP"/>
        </w:rPr>
      </w:pPr>
      <w:r w:rsidRPr="00092ED7">
        <w:rPr>
          <w:sz w:val="18"/>
          <w:szCs w:val="18"/>
          <w:lang w:val="sr-Cyrl-CS" w:eastAsia="ja-JP"/>
        </w:rPr>
        <w:t>Извор: Министарство финансија</w:t>
      </w:r>
    </w:p>
    <w:p w14:paraId="72B13C95" w14:textId="77777777" w:rsidR="00576A4F" w:rsidRPr="00092ED7" w:rsidRDefault="00576A4F" w:rsidP="00A3670F">
      <w:pPr>
        <w:spacing w:after="60"/>
        <w:rPr>
          <w:lang w:val="sr-Cyrl-CS" w:eastAsia="ja-JP"/>
        </w:rPr>
      </w:pPr>
      <w:r w:rsidRPr="00092ED7">
        <w:rPr>
          <w:lang w:val="sr-Cyrl-CS" w:eastAsia="ja-JP"/>
        </w:rPr>
        <w:t>Циљеви фискалне политике у наредном средњорочном периоду биће обезбеђење стабилне позиције јавних финансија и опадајућа путања јавног дуга. Смањење учешћа дуга је уско везано за снижавање дефицита као главног фактора задуживања, тако да динамика спуштања дефицита опредељује и промену кретања дуга. Растући трошкови задуживања на међународном финансијском тржишту такође захтевају опрез и рестриктивност фискалне политике.</w:t>
      </w:r>
    </w:p>
    <w:p w14:paraId="146E25E1" w14:textId="77777777" w:rsidR="00576A4F" w:rsidRPr="00092ED7" w:rsidRDefault="00576A4F" w:rsidP="00A3670F">
      <w:pPr>
        <w:spacing w:before="120" w:after="60"/>
        <w:rPr>
          <w:lang w:val="sr-Cyrl-CS" w:eastAsia="ja-JP"/>
        </w:rPr>
      </w:pPr>
      <w:r w:rsidRPr="00092ED7">
        <w:rPr>
          <w:lang w:val="sr-Cyrl-CS" w:eastAsia="ja-JP"/>
        </w:rPr>
        <w:t>Графикон 9. Фискални резултат и дуг опште државе, % БДП</w:t>
      </w:r>
    </w:p>
    <w:p w14:paraId="60AFE50E" w14:textId="77777777" w:rsidR="00576A4F" w:rsidRPr="00092ED7" w:rsidRDefault="00576A4F" w:rsidP="00A3670F">
      <w:pPr>
        <w:spacing w:after="0"/>
        <w:rPr>
          <w:lang w:val="sr-Cyrl-CS" w:eastAsia="ja-JP"/>
        </w:rPr>
      </w:pPr>
      <w:r w:rsidRPr="00092ED7">
        <w:rPr>
          <w:noProof/>
        </w:rPr>
        <w:drawing>
          <wp:inline distT="0" distB="0" distL="0" distR="0" wp14:anchorId="1F9E8726" wp14:editId="1FB38F74">
            <wp:extent cx="5715000" cy="2047875"/>
            <wp:effectExtent l="0" t="0" r="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F32C64" w14:textId="32F15CC1" w:rsidR="00576A4F" w:rsidRPr="00092ED7" w:rsidRDefault="00576A4F" w:rsidP="00E255B1">
      <w:pPr>
        <w:spacing w:after="60"/>
        <w:rPr>
          <w:rFonts w:eastAsia="Times New Roman" w:cstheme="minorHAnsi"/>
          <w:b/>
          <w:bCs/>
          <w:szCs w:val="20"/>
          <w:lang w:val="sr-Cyrl-CS" w:eastAsia="ja-JP"/>
        </w:rPr>
      </w:pPr>
      <w:r w:rsidRPr="00092ED7">
        <w:rPr>
          <w:rFonts w:eastAsia="MS PGothic" w:cstheme="minorHAnsi"/>
          <w:szCs w:val="20"/>
          <w:lang w:val="sr-Cyrl-CS" w:eastAsia="ja-JP"/>
        </w:rPr>
        <w:t>Експанзивна фискална политика током 2020. и 2021. године умањила је негативне економске последице пандемије. У наредном средњорочном периоду</w:t>
      </w:r>
      <w:r w:rsidR="005867B0" w:rsidRPr="00092ED7">
        <w:rPr>
          <w:rFonts w:eastAsia="MS PGothic" w:cstheme="minorHAnsi"/>
          <w:szCs w:val="20"/>
          <w:lang w:val="sr-Cyrl-CS" w:eastAsia="ja-JP"/>
        </w:rPr>
        <w:t>,</w:t>
      </w:r>
      <w:r w:rsidRPr="00092ED7">
        <w:rPr>
          <w:rFonts w:eastAsia="MS PGothic" w:cstheme="minorHAnsi"/>
          <w:szCs w:val="20"/>
          <w:lang w:val="sr-Cyrl-CS" w:eastAsia="ja-JP"/>
        </w:rPr>
        <w:t xml:space="preserve"> предвиђено је умерено смањење дефицита опште државе како би се путем фискалне политике обезбедила потребна флексибилност националне економије како би се правовремено и ефикасно одговорило на евентуалне екстерне шокове. То се, </w:t>
      </w:r>
      <w:r w:rsidRPr="00092ED7">
        <w:rPr>
          <w:rFonts w:eastAsia="Calibri" w:cstheme="minorHAnsi"/>
          <w:szCs w:val="20"/>
          <w:lang w:val="sr-Cyrl-CS" w:eastAsia="ja-JP"/>
        </w:rPr>
        <w:t>пре свега, односи на расходну страну, у виду повећања средстава намењених за енергетску политику, али и даље високо улагање у инфраструктуру. На приходној страни приоритет ће остати даље смањење пореског оптерећења зарада и наставак борбе против пореске евазије и сиве економије.</w:t>
      </w:r>
    </w:p>
    <w:p w14:paraId="2A572A50" w14:textId="77777777" w:rsidR="00055DC9" w:rsidRDefault="00055DC9" w:rsidP="00E255B1">
      <w:pPr>
        <w:spacing w:after="60"/>
        <w:rPr>
          <w:rFonts w:eastAsia="MS PGothic" w:cstheme="minorHAnsi"/>
          <w:szCs w:val="20"/>
          <w:lang w:val="sr-Cyrl-CS" w:eastAsia="ja-JP"/>
        </w:rPr>
      </w:pPr>
    </w:p>
    <w:p w14:paraId="11400988" w14:textId="77777777" w:rsidR="00055DC9" w:rsidRDefault="00055DC9" w:rsidP="00E255B1">
      <w:pPr>
        <w:spacing w:after="60"/>
        <w:rPr>
          <w:rFonts w:eastAsia="MS PGothic" w:cstheme="minorHAnsi"/>
          <w:szCs w:val="20"/>
          <w:lang w:val="sr-Cyrl-CS" w:eastAsia="ja-JP"/>
        </w:rPr>
      </w:pPr>
    </w:p>
    <w:p w14:paraId="49FADE28" w14:textId="6CFF17C6" w:rsidR="00576A4F" w:rsidRPr="00092ED7" w:rsidRDefault="00576A4F" w:rsidP="00055DC9">
      <w:pPr>
        <w:spacing w:after="60"/>
        <w:rPr>
          <w:rFonts w:eastAsia="MS PGothic" w:cstheme="minorHAnsi"/>
          <w:szCs w:val="20"/>
          <w:lang w:val="sr-Cyrl-CS" w:eastAsia="ja-JP"/>
        </w:rPr>
      </w:pPr>
      <w:r w:rsidRPr="00092ED7">
        <w:rPr>
          <w:rFonts w:eastAsia="MS PGothic" w:cstheme="minorHAnsi"/>
          <w:szCs w:val="20"/>
          <w:lang w:val="sr-Cyrl-CS" w:eastAsia="ja-JP"/>
        </w:rPr>
        <w:t>Пројекција прихода у периоду од 2023. до 2025. године израђена је на основу:</w:t>
      </w:r>
    </w:p>
    <w:p w14:paraId="3829789A" w14:textId="77777777" w:rsidR="00576A4F" w:rsidRPr="00092ED7" w:rsidRDefault="00576A4F" w:rsidP="00055DC9">
      <w:pPr>
        <w:pStyle w:val="ListParagraph"/>
        <w:numPr>
          <w:ilvl w:val="0"/>
          <w:numId w:val="43"/>
        </w:numPr>
        <w:spacing w:after="160" w:line="240" w:lineRule="auto"/>
        <w:rPr>
          <w:rFonts w:eastAsia="Calibri" w:cstheme="minorHAnsi"/>
          <w:sz w:val="24"/>
          <w:szCs w:val="24"/>
          <w:lang w:val="sr-Cyrl-CS"/>
        </w:rPr>
      </w:pPr>
      <w:r w:rsidRPr="00092ED7">
        <w:rPr>
          <w:rFonts w:eastAsia="Calibri" w:cstheme="minorHAnsi"/>
          <w:sz w:val="24"/>
          <w:szCs w:val="24"/>
          <w:lang w:val="sr-Cyrl-CS"/>
        </w:rPr>
        <w:t>пројекције кретања најважнијих макроекономских показатеља: БДП и његових компоненти, инфлације, девизног курса, спољнотрговинске размене, запослености и зарада;</w:t>
      </w:r>
    </w:p>
    <w:p w14:paraId="2A047E25" w14:textId="77777777" w:rsidR="00576A4F" w:rsidRPr="00092ED7" w:rsidRDefault="00576A4F" w:rsidP="00055DC9">
      <w:pPr>
        <w:pStyle w:val="ListParagraph"/>
        <w:numPr>
          <w:ilvl w:val="0"/>
          <w:numId w:val="43"/>
        </w:numPr>
        <w:spacing w:after="160" w:line="240" w:lineRule="auto"/>
        <w:rPr>
          <w:rFonts w:eastAsia="Calibri" w:cstheme="minorHAnsi"/>
          <w:sz w:val="24"/>
          <w:szCs w:val="24"/>
          <w:lang w:val="sr-Cyrl-CS"/>
        </w:rPr>
      </w:pPr>
      <w:r w:rsidRPr="00092ED7">
        <w:rPr>
          <w:rFonts w:eastAsia="Calibri" w:cstheme="minorHAnsi"/>
          <w:sz w:val="24"/>
          <w:szCs w:val="24"/>
          <w:lang w:val="sr-Cyrl-CS"/>
        </w:rPr>
        <w:t>важеће и планиране измене пореске политике;</w:t>
      </w:r>
    </w:p>
    <w:p w14:paraId="09680EE3" w14:textId="77777777" w:rsidR="00576A4F" w:rsidRPr="00092ED7" w:rsidRDefault="00576A4F" w:rsidP="00055DC9">
      <w:pPr>
        <w:pStyle w:val="ListParagraph"/>
        <w:numPr>
          <w:ilvl w:val="0"/>
          <w:numId w:val="43"/>
        </w:numPr>
        <w:spacing w:line="240" w:lineRule="auto"/>
        <w:rPr>
          <w:rFonts w:eastAsia="Calibri" w:cstheme="minorHAnsi"/>
          <w:sz w:val="24"/>
          <w:szCs w:val="24"/>
          <w:lang w:val="sr-Cyrl-CS"/>
        </w:rPr>
      </w:pPr>
      <w:r w:rsidRPr="00092ED7">
        <w:rPr>
          <w:rFonts w:eastAsia="Calibri" w:cstheme="minorHAnsi"/>
          <w:sz w:val="24"/>
          <w:szCs w:val="24"/>
          <w:lang w:val="sr-Cyrl-CS"/>
        </w:rPr>
        <w:t>процењених ефеката фискалних и структурних мера у наредном периоду.</w:t>
      </w:r>
    </w:p>
    <w:p w14:paraId="780FCBD7" w14:textId="77777777" w:rsidR="00576A4F" w:rsidRPr="00092ED7" w:rsidRDefault="00576A4F" w:rsidP="00576A4F">
      <w:pPr>
        <w:rPr>
          <w:lang w:val="sr-Cyrl-CS" w:eastAsia="ja-JP"/>
        </w:rPr>
      </w:pPr>
      <w:r w:rsidRPr="00092ED7">
        <w:rPr>
          <w:lang w:val="sr-Cyrl-CS" w:eastAsia="ja-JP"/>
        </w:rPr>
        <w:t>Табела 8. Укупни приходи и донације у периоду 2021–2025. године, % БДП</w:t>
      </w:r>
    </w:p>
    <w:tbl>
      <w:tblPr>
        <w:tblStyle w:val="LightShading-Accent12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668"/>
        <w:gridCol w:w="1177"/>
        <w:gridCol w:w="1076"/>
        <w:gridCol w:w="1031"/>
        <w:gridCol w:w="1032"/>
        <w:gridCol w:w="1032"/>
      </w:tblGrid>
      <w:tr w:rsidR="00576A4F" w:rsidRPr="00092ED7" w14:paraId="6571E824" w14:textId="77777777" w:rsidTr="00A3670F">
        <w:trPr>
          <w:cnfStyle w:val="100000000000" w:firstRow="1" w:lastRow="0" w:firstColumn="0" w:lastColumn="0" w:oddVBand="0" w:evenVBand="0" w:oddHBand="0" w:evenHBand="0" w:firstRowFirstColumn="0" w:firstRowLastColumn="0" w:lastRowFirstColumn="0" w:lastRowLastColumn="0"/>
          <w:trHeight w:val="253"/>
        </w:trPr>
        <w:tc>
          <w:tcPr>
            <w:tcW w:w="2044" w:type="pct"/>
            <w:tcBorders>
              <w:top w:val="none" w:sz="0" w:space="0" w:color="auto"/>
              <w:left w:val="none" w:sz="0" w:space="0" w:color="auto"/>
              <w:bottom w:val="none" w:sz="0" w:space="0" w:color="auto"/>
              <w:right w:val="none" w:sz="0" w:space="0" w:color="auto"/>
            </w:tcBorders>
            <w:noWrap/>
            <w:vAlign w:val="center"/>
          </w:tcPr>
          <w:p w14:paraId="110BEBD9" w14:textId="77777777" w:rsidR="00576A4F" w:rsidRPr="00092ED7" w:rsidRDefault="00576A4F" w:rsidP="00A3670F">
            <w:pPr>
              <w:spacing w:after="0"/>
              <w:rPr>
                <w:rFonts w:eastAsia="Times New Roman"/>
                <w:color w:val="auto"/>
                <w:sz w:val="20"/>
                <w:lang w:val="sr-Cyrl-CS"/>
              </w:rPr>
            </w:pPr>
          </w:p>
        </w:tc>
        <w:tc>
          <w:tcPr>
            <w:tcW w:w="605" w:type="pct"/>
            <w:tcBorders>
              <w:top w:val="none" w:sz="0" w:space="0" w:color="auto"/>
              <w:left w:val="none" w:sz="0" w:space="0" w:color="auto"/>
              <w:bottom w:val="none" w:sz="0" w:space="0" w:color="auto"/>
              <w:right w:val="none" w:sz="0" w:space="0" w:color="auto"/>
            </w:tcBorders>
            <w:vAlign w:val="center"/>
          </w:tcPr>
          <w:p w14:paraId="11639750" w14:textId="77777777" w:rsidR="00576A4F" w:rsidRPr="00092ED7" w:rsidRDefault="00576A4F" w:rsidP="00A3670F">
            <w:pPr>
              <w:keepNext/>
              <w:widowControl w:val="0"/>
              <w:shd w:val="clear" w:color="auto" w:fill="FFFFFF" w:themeFill="background1"/>
              <w:spacing w:after="0"/>
              <w:jc w:val="right"/>
              <w:rPr>
                <w:rFonts w:eastAsia="Times New Roman"/>
                <w:color w:val="auto"/>
                <w:sz w:val="20"/>
                <w:lang w:val="sr-Cyrl-CS"/>
              </w:rPr>
            </w:pPr>
            <w:r w:rsidRPr="00092ED7">
              <w:rPr>
                <w:color w:val="auto"/>
                <w:sz w:val="20"/>
                <w:lang w:val="sr-Cyrl-CS"/>
              </w:rPr>
              <w:t>Извршење</w:t>
            </w:r>
          </w:p>
        </w:tc>
        <w:tc>
          <w:tcPr>
            <w:tcW w:w="606" w:type="pct"/>
            <w:tcBorders>
              <w:top w:val="none" w:sz="0" w:space="0" w:color="auto"/>
              <w:left w:val="none" w:sz="0" w:space="0" w:color="auto"/>
              <w:bottom w:val="none" w:sz="0" w:space="0" w:color="auto"/>
              <w:right w:val="none" w:sz="0" w:space="0" w:color="auto"/>
            </w:tcBorders>
            <w:vAlign w:val="center"/>
          </w:tcPr>
          <w:p w14:paraId="34B0835F" w14:textId="77777777" w:rsidR="00576A4F" w:rsidRPr="00092ED7" w:rsidRDefault="00576A4F" w:rsidP="00A3670F">
            <w:pPr>
              <w:keepNext/>
              <w:widowControl w:val="0"/>
              <w:shd w:val="clear" w:color="auto" w:fill="FFFFFF" w:themeFill="background1"/>
              <w:spacing w:after="0"/>
              <w:jc w:val="right"/>
              <w:rPr>
                <w:rFonts w:eastAsia="Times New Roman"/>
                <w:color w:val="auto"/>
                <w:sz w:val="20"/>
                <w:lang w:val="sr-Cyrl-CS"/>
              </w:rPr>
            </w:pPr>
            <w:r w:rsidRPr="00092ED7">
              <w:rPr>
                <w:color w:val="auto"/>
                <w:sz w:val="20"/>
                <w:lang w:val="sr-Cyrl-CS"/>
              </w:rPr>
              <w:t>Процена</w:t>
            </w:r>
          </w:p>
        </w:tc>
        <w:tc>
          <w:tcPr>
            <w:tcW w:w="1745" w:type="pct"/>
            <w:gridSpan w:val="3"/>
            <w:tcBorders>
              <w:top w:val="none" w:sz="0" w:space="0" w:color="auto"/>
              <w:left w:val="none" w:sz="0" w:space="0" w:color="auto"/>
              <w:bottom w:val="none" w:sz="0" w:space="0" w:color="auto"/>
              <w:right w:val="none" w:sz="0" w:space="0" w:color="auto"/>
            </w:tcBorders>
            <w:vAlign w:val="center"/>
          </w:tcPr>
          <w:p w14:paraId="72ACACE6" w14:textId="77777777" w:rsidR="00576A4F" w:rsidRPr="00092ED7" w:rsidRDefault="00576A4F" w:rsidP="00A3670F">
            <w:pPr>
              <w:keepNext/>
              <w:widowControl w:val="0"/>
              <w:shd w:val="clear" w:color="auto" w:fill="FFFFFF" w:themeFill="background1"/>
              <w:spacing w:after="0"/>
              <w:jc w:val="center"/>
              <w:rPr>
                <w:rFonts w:eastAsia="Times New Roman"/>
                <w:color w:val="auto"/>
                <w:sz w:val="20"/>
                <w:lang w:val="sr-Cyrl-CS"/>
              </w:rPr>
            </w:pPr>
            <w:r w:rsidRPr="00092ED7">
              <w:rPr>
                <w:color w:val="auto"/>
                <w:sz w:val="20"/>
                <w:lang w:val="sr-Cyrl-CS"/>
              </w:rPr>
              <w:t>Пројекција</w:t>
            </w:r>
          </w:p>
        </w:tc>
      </w:tr>
      <w:tr w:rsidR="00A3670F" w:rsidRPr="00092ED7" w14:paraId="0BD3C240" w14:textId="77777777" w:rsidTr="00A3670F">
        <w:trPr>
          <w:cnfStyle w:val="000000100000" w:firstRow="0" w:lastRow="0" w:firstColumn="0" w:lastColumn="0" w:oddVBand="0" w:evenVBand="0" w:oddHBand="1" w:evenHBand="0" w:firstRowFirstColumn="0" w:firstRowLastColumn="0" w:lastRowFirstColumn="0" w:lastRowLastColumn="0"/>
          <w:trHeight w:val="253"/>
        </w:trPr>
        <w:tc>
          <w:tcPr>
            <w:tcW w:w="2044" w:type="pct"/>
            <w:tcBorders>
              <w:left w:val="none" w:sz="0" w:space="0" w:color="auto"/>
              <w:right w:val="none" w:sz="0" w:space="0" w:color="auto"/>
            </w:tcBorders>
            <w:shd w:val="clear" w:color="auto" w:fill="FFFFFF" w:themeFill="background1"/>
            <w:noWrap/>
          </w:tcPr>
          <w:p w14:paraId="5DE39F31" w14:textId="77777777" w:rsidR="00576A4F" w:rsidRPr="00092ED7" w:rsidRDefault="00A3670F" w:rsidP="00A3670F">
            <w:pPr>
              <w:spacing w:after="0"/>
              <w:rPr>
                <w:rFonts w:eastAsia="Times New Roman"/>
                <w:b/>
                <w:color w:val="auto"/>
                <w:sz w:val="20"/>
                <w:lang w:val="sr-Cyrl-CS"/>
              </w:rPr>
            </w:pPr>
            <w:r w:rsidRPr="00092ED7">
              <w:rPr>
                <w:b/>
                <w:color w:val="auto"/>
                <w:sz w:val="20"/>
                <w:lang w:val="sr-Cyrl-CS"/>
              </w:rPr>
              <w:t>Опис</w:t>
            </w:r>
          </w:p>
        </w:tc>
        <w:tc>
          <w:tcPr>
            <w:tcW w:w="605" w:type="pct"/>
            <w:tcBorders>
              <w:left w:val="none" w:sz="0" w:space="0" w:color="auto"/>
              <w:right w:val="none" w:sz="0" w:space="0" w:color="auto"/>
            </w:tcBorders>
            <w:shd w:val="clear" w:color="auto" w:fill="FFFFFF" w:themeFill="background1"/>
          </w:tcPr>
          <w:p w14:paraId="005F0D25" w14:textId="77777777" w:rsidR="00576A4F" w:rsidRPr="00092ED7" w:rsidRDefault="00576A4F" w:rsidP="00A3670F">
            <w:pPr>
              <w:keepNext/>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2021</w:t>
            </w:r>
          </w:p>
        </w:tc>
        <w:tc>
          <w:tcPr>
            <w:tcW w:w="606" w:type="pct"/>
            <w:tcBorders>
              <w:left w:val="none" w:sz="0" w:space="0" w:color="auto"/>
              <w:right w:val="none" w:sz="0" w:space="0" w:color="auto"/>
            </w:tcBorders>
            <w:shd w:val="clear" w:color="auto" w:fill="FFFFFF" w:themeFill="background1"/>
          </w:tcPr>
          <w:p w14:paraId="5987FEF6" w14:textId="77777777" w:rsidR="00576A4F" w:rsidRPr="00092ED7" w:rsidRDefault="00576A4F" w:rsidP="00A3670F">
            <w:pPr>
              <w:keepNext/>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2022</w:t>
            </w:r>
          </w:p>
        </w:tc>
        <w:tc>
          <w:tcPr>
            <w:tcW w:w="581" w:type="pct"/>
            <w:tcBorders>
              <w:left w:val="none" w:sz="0" w:space="0" w:color="auto"/>
              <w:right w:val="none" w:sz="0" w:space="0" w:color="auto"/>
            </w:tcBorders>
            <w:shd w:val="clear" w:color="auto" w:fill="FFFFFF" w:themeFill="background1"/>
          </w:tcPr>
          <w:p w14:paraId="514CF7E3" w14:textId="77777777" w:rsidR="00576A4F" w:rsidRPr="00092ED7" w:rsidRDefault="00576A4F" w:rsidP="00A3670F">
            <w:pPr>
              <w:keepNext/>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2023</w:t>
            </w:r>
          </w:p>
        </w:tc>
        <w:tc>
          <w:tcPr>
            <w:tcW w:w="582" w:type="pct"/>
            <w:tcBorders>
              <w:left w:val="none" w:sz="0" w:space="0" w:color="auto"/>
              <w:right w:val="none" w:sz="0" w:space="0" w:color="auto"/>
            </w:tcBorders>
            <w:shd w:val="clear" w:color="auto" w:fill="FFFFFF" w:themeFill="background1"/>
          </w:tcPr>
          <w:p w14:paraId="10CEA37F" w14:textId="77777777" w:rsidR="00576A4F" w:rsidRPr="00092ED7" w:rsidRDefault="00576A4F" w:rsidP="00A3670F">
            <w:pPr>
              <w:keepNext/>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2024</w:t>
            </w:r>
          </w:p>
        </w:tc>
        <w:tc>
          <w:tcPr>
            <w:tcW w:w="582" w:type="pct"/>
            <w:tcBorders>
              <w:left w:val="none" w:sz="0" w:space="0" w:color="auto"/>
              <w:right w:val="none" w:sz="0" w:space="0" w:color="auto"/>
            </w:tcBorders>
            <w:shd w:val="clear" w:color="auto" w:fill="FFFFFF" w:themeFill="background1"/>
          </w:tcPr>
          <w:p w14:paraId="6263056B" w14:textId="77777777" w:rsidR="00576A4F" w:rsidRPr="00092ED7" w:rsidRDefault="00576A4F" w:rsidP="00A3670F">
            <w:pPr>
              <w:keepNext/>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2025</w:t>
            </w:r>
          </w:p>
        </w:tc>
      </w:tr>
      <w:tr w:rsidR="00A3670F" w:rsidRPr="00092ED7" w14:paraId="09A4206C" w14:textId="77777777" w:rsidTr="00A3670F">
        <w:trPr>
          <w:trHeight w:val="253"/>
        </w:trPr>
        <w:tc>
          <w:tcPr>
            <w:tcW w:w="2044" w:type="pct"/>
            <w:shd w:val="clear" w:color="auto" w:fill="FFFFFF" w:themeFill="background1"/>
          </w:tcPr>
          <w:p w14:paraId="55CFC5B3"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ЈАВНИ ПРИХОДИ</w:t>
            </w:r>
          </w:p>
        </w:tc>
        <w:tc>
          <w:tcPr>
            <w:tcW w:w="605" w:type="pct"/>
            <w:shd w:val="clear" w:color="auto" w:fill="FFFFFF" w:themeFill="background1"/>
          </w:tcPr>
          <w:p w14:paraId="1EE04390"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43,3</w:t>
            </w:r>
          </w:p>
        </w:tc>
        <w:tc>
          <w:tcPr>
            <w:tcW w:w="606" w:type="pct"/>
            <w:shd w:val="clear" w:color="auto" w:fill="FFFFFF" w:themeFill="background1"/>
            <w:noWrap/>
          </w:tcPr>
          <w:p w14:paraId="1C8CB57E"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43,0</w:t>
            </w:r>
          </w:p>
        </w:tc>
        <w:tc>
          <w:tcPr>
            <w:tcW w:w="581" w:type="pct"/>
            <w:shd w:val="clear" w:color="auto" w:fill="FFFFFF" w:themeFill="background1"/>
            <w:noWrap/>
          </w:tcPr>
          <w:p w14:paraId="5D1B75DE"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40,9</w:t>
            </w:r>
          </w:p>
        </w:tc>
        <w:tc>
          <w:tcPr>
            <w:tcW w:w="582" w:type="pct"/>
            <w:shd w:val="clear" w:color="auto" w:fill="FFFFFF" w:themeFill="background1"/>
            <w:noWrap/>
          </w:tcPr>
          <w:p w14:paraId="0185B05A"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40,4</w:t>
            </w:r>
          </w:p>
        </w:tc>
        <w:tc>
          <w:tcPr>
            <w:tcW w:w="582" w:type="pct"/>
            <w:shd w:val="clear" w:color="auto" w:fill="FFFFFF" w:themeFill="background1"/>
            <w:noWrap/>
          </w:tcPr>
          <w:p w14:paraId="00CB12FD"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39,6</w:t>
            </w:r>
          </w:p>
        </w:tc>
      </w:tr>
      <w:tr w:rsidR="00A3670F" w:rsidRPr="00092ED7" w14:paraId="64267B4A" w14:textId="77777777" w:rsidTr="00A3670F">
        <w:trPr>
          <w:cnfStyle w:val="000000100000" w:firstRow="0" w:lastRow="0" w:firstColumn="0" w:lastColumn="0" w:oddVBand="0" w:evenVBand="0" w:oddHBand="1" w:evenHBand="0" w:firstRowFirstColumn="0" w:firstRowLastColumn="0" w:lastRowFirstColumn="0" w:lastRowLastColumn="0"/>
          <w:trHeight w:val="253"/>
        </w:trPr>
        <w:tc>
          <w:tcPr>
            <w:tcW w:w="2044" w:type="pct"/>
            <w:tcBorders>
              <w:left w:val="none" w:sz="0" w:space="0" w:color="auto"/>
              <w:right w:val="none" w:sz="0" w:space="0" w:color="auto"/>
            </w:tcBorders>
            <w:shd w:val="clear" w:color="auto" w:fill="FFFFFF" w:themeFill="background1"/>
          </w:tcPr>
          <w:p w14:paraId="787C8A29"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Текући приходи</w:t>
            </w:r>
          </w:p>
        </w:tc>
        <w:tc>
          <w:tcPr>
            <w:tcW w:w="605" w:type="pct"/>
            <w:tcBorders>
              <w:left w:val="none" w:sz="0" w:space="0" w:color="auto"/>
              <w:right w:val="none" w:sz="0" w:space="0" w:color="auto"/>
            </w:tcBorders>
            <w:shd w:val="clear" w:color="auto" w:fill="FFFFFF" w:themeFill="background1"/>
          </w:tcPr>
          <w:p w14:paraId="5CCD3DED"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42,9</w:t>
            </w:r>
          </w:p>
        </w:tc>
        <w:tc>
          <w:tcPr>
            <w:tcW w:w="606" w:type="pct"/>
            <w:tcBorders>
              <w:left w:val="none" w:sz="0" w:space="0" w:color="auto"/>
              <w:right w:val="none" w:sz="0" w:space="0" w:color="auto"/>
            </w:tcBorders>
            <w:shd w:val="clear" w:color="auto" w:fill="FFFFFF" w:themeFill="background1"/>
            <w:noWrap/>
          </w:tcPr>
          <w:p w14:paraId="48CD97B8"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42,7</w:t>
            </w:r>
          </w:p>
        </w:tc>
        <w:tc>
          <w:tcPr>
            <w:tcW w:w="581" w:type="pct"/>
            <w:tcBorders>
              <w:left w:val="none" w:sz="0" w:space="0" w:color="auto"/>
              <w:right w:val="none" w:sz="0" w:space="0" w:color="auto"/>
            </w:tcBorders>
            <w:shd w:val="clear" w:color="auto" w:fill="FFFFFF" w:themeFill="background1"/>
            <w:noWrap/>
          </w:tcPr>
          <w:p w14:paraId="124259E5"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40,3</w:t>
            </w:r>
          </w:p>
        </w:tc>
        <w:tc>
          <w:tcPr>
            <w:tcW w:w="582" w:type="pct"/>
            <w:tcBorders>
              <w:left w:val="none" w:sz="0" w:space="0" w:color="auto"/>
              <w:right w:val="none" w:sz="0" w:space="0" w:color="auto"/>
            </w:tcBorders>
            <w:shd w:val="clear" w:color="auto" w:fill="FFFFFF" w:themeFill="background1"/>
            <w:noWrap/>
          </w:tcPr>
          <w:p w14:paraId="167F56D3"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40,0</w:t>
            </w:r>
          </w:p>
        </w:tc>
        <w:tc>
          <w:tcPr>
            <w:tcW w:w="582" w:type="pct"/>
            <w:tcBorders>
              <w:left w:val="none" w:sz="0" w:space="0" w:color="auto"/>
              <w:right w:val="none" w:sz="0" w:space="0" w:color="auto"/>
            </w:tcBorders>
            <w:shd w:val="clear" w:color="auto" w:fill="FFFFFF" w:themeFill="background1"/>
            <w:noWrap/>
          </w:tcPr>
          <w:p w14:paraId="2E328BB5"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39,3</w:t>
            </w:r>
          </w:p>
        </w:tc>
      </w:tr>
      <w:tr w:rsidR="00A3670F" w:rsidRPr="00092ED7" w14:paraId="22890ADA" w14:textId="77777777" w:rsidTr="00A3670F">
        <w:trPr>
          <w:trHeight w:val="253"/>
        </w:trPr>
        <w:tc>
          <w:tcPr>
            <w:tcW w:w="2044" w:type="pct"/>
            <w:shd w:val="clear" w:color="auto" w:fill="FFFFFF" w:themeFill="background1"/>
          </w:tcPr>
          <w:p w14:paraId="3354AC3C"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 xml:space="preserve"> Порески приходи</w:t>
            </w:r>
          </w:p>
        </w:tc>
        <w:tc>
          <w:tcPr>
            <w:tcW w:w="605" w:type="pct"/>
            <w:shd w:val="clear" w:color="auto" w:fill="FFFFFF" w:themeFill="background1"/>
          </w:tcPr>
          <w:p w14:paraId="52605848"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38,6</w:t>
            </w:r>
          </w:p>
        </w:tc>
        <w:tc>
          <w:tcPr>
            <w:tcW w:w="606" w:type="pct"/>
            <w:shd w:val="clear" w:color="auto" w:fill="FFFFFF" w:themeFill="background1"/>
            <w:noWrap/>
          </w:tcPr>
          <w:p w14:paraId="55279DDE"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38,7</w:t>
            </w:r>
          </w:p>
        </w:tc>
        <w:tc>
          <w:tcPr>
            <w:tcW w:w="581" w:type="pct"/>
            <w:shd w:val="clear" w:color="auto" w:fill="FFFFFF" w:themeFill="background1"/>
            <w:noWrap/>
          </w:tcPr>
          <w:p w14:paraId="6BE03413"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36,6</w:t>
            </w:r>
          </w:p>
        </w:tc>
        <w:tc>
          <w:tcPr>
            <w:tcW w:w="582" w:type="pct"/>
            <w:shd w:val="clear" w:color="auto" w:fill="FFFFFF" w:themeFill="background1"/>
            <w:noWrap/>
          </w:tcPr>
          <w:p w14:paraId="133AA25C"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36,4</w:t>
            </w:r>
          </w:p>
        </w:tc>
        <w:tc>
          <w:tcPr>
            <w:tcW w:w="582" w:type="pct"/>
            <w:shd w:val="clear" w:color="auto" w:fill="FFFFFF" w:themeFill="background1"/>
            <w:noWrap/>
          </w:tcPr>
          <w:p w14:paraId="4B7354CD"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35,8</w:t>
            </w:r>
          </w:p>
        </w:tc>
      </w:tr>
      <w:tr w:rsidR="00A3670F" w:rsidRPr="00092ED7" w14:paraId="1C0568AE" w14:textId="77777777" w:rsidTr="00A3670F">
        <w:trPr>
          <w:cnfStyle w:val="000000100000" w:firstRow="0" w:lastRow="0" w:firstColumn="0" w:lastColumn="0" w:oddVBand="0" w:evenVBand="0" w:oddHBand="1" w:evenHBand="0" w:firstRowFirstColumn="0" w:firstRowLastColumn="0" w:lastRowFirstColumn="0" w:lastRowLastColumn="0"/>
          <w:trHeight w:val="253"/>
        </w:trPr>
        <w:tc>
          <w:tcPr>
            <w:tcW w:w="2044" w:type="pct"/>
            <w:tcBorders>
              <w:left w:val="none" w:sz="0" w:space="0" w:color="auto"/>
              <w:right w:val="none" w:sz="0" w:space="0" w:color="auto"/>
            </w:tcBorders>
            <w:shd w:val="clear" w:color="auto" w:fill="FFFFFF" w:themeFill="background1"/>
          </w:tcPr>
          <w:p w14:paraId="7E720085"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Порез на доходак грађана</w:t>
            </w:r>
          </w:p>
        </w:tc>
        <w:tc>
          <w:tcPr>
            <w:tcW w:w="605" w:type="pct"/>
            <w:tcBorders>
              <w:left w:val="none" w:sz="0" w:space="0" w:color="auto"/>
              <w:right w:val="none" w:sz="0" w:space="0" w:color="auto"/>
            </w:tcBorders>
            <w:shd w:val="clear" w:color="auto" w:fill="FFFFFF" w:themeFill="background1"/>
          </w:tcPr>
          <w:p w14:paraId="768AD869"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4,1</w:t>
            </w:r>
          </w:p>
        </w:tc>
        <w:tc>
          <w:tcPr>
            <w:tcW w:w="606" w:type="pct"/>
            <w:tcBorders>
              <w:left w:val="none" w:sz="0" w:space="0" w:color="auto"/>
              <w:right w:val="none" w:sz="0" w:space="0" w:color="auto"/>
            </w:tcBorders>
            <w:shd w:val="clear" w:color="auto" w:fill="FFFFFF" w:themeFill="background1"/>
            <w:noWrap/>
          </w:tcPr>
          <w:p w14:paraId="479D3C24"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4,2</w:t>
            </w:r>
          </w:p>
        </w:tc>
        <w:tc>
          <w:tcPr>
            <w:tcW w:w="581" w:type="pct"/>
            <w:tcBorders>
              <w:left w:val="none" w:sz="0" w:space="0" w:color="auto"/>
              <w:right w:val="none" w:sz="0" w:space="0" w:color="auto"/>
            </w:tcBorders>
            <w:shd w:val="clear" w:color="auto" w:fill="FFFFFF" w:themeFill="background1"/>
            <w:noWrap/>
          </w:tcPr>
          <w:p w14:paraId="7618FEA0"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4,1</w:t>
            </w:r>
          </w:p>
        </w:tc>
        <w:tc>
          <w:tcPr>
            <w:tcW w:w="582" w:type="pct"/>
            <w:tcBorders>
              <w:left w:val="none" w:sz="0" w:space="0" w:color="auto"/>
              <w:right w:val="none" w:sz="0" w:space="0" w:color="auto"/>
            </w:tcBorders>
            <w:shd w:val="clear" w:color="auto" w:fill="FFFFFF" w:themeFill="background1"/>
            <w:noWrap/>
          </w:tcPr>
          <w:p w14:paraId="37ED4041"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4,0</w:t>
            </w:r>
          </w:p>
        </w:tc>
        <w:tc>
          <w:tcPr>
            <w:tcW w:w="582" w:type="pct"/>
            <w:tcBorders>
              <w:left w:val="none" w:sz="0" w:space="0" w:color="auto"/>
              <w:right w:val="none" w:sz="0" w:space="0" w:color="auto"/>
            </w:tcBorders>
            <w:shd w:val="clear" w:color="auto" w:fill="FFFFFF" w:themeFill="background1"/>
            <w:noWrap/>
          </w:tcPr>
          <w:p w14:paraId="23C6C878"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4,0</w:t>
            </w:r>
          </w:p>
        </w:tc>
      </w:tr>
      <w:tr w:rsidR="00A3670F" w:rsidRPr="00092ED7" w14:paraId="1EA29CD0" w14:textId="77777777" w:rsidTr="00A3670F">
        <w:trPr>
          <w:trHeight w:val="253"/>
        </w:trPr>
        <w:tc>
          <w:tcPr>
            <w:tcW w:w="2044" w:type="pct"/>
            <w:shd w:val="clear" w:color="auto" w:fill="FFFFFF" w:themeFill="background1"/>
          </w:tcPr>
          <w:p w14:paraId="168DA0D2"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Порез на добит правних лица</w:t>
            </w:r>
          </w:p>
        </w:tc>
        <w:tc>
          <w:tcPr>
            <w:tcW w:w="605" w:type="pct"/>
            <w:shd w:val="clear" w:color="auto" w:fill="FFFFFF" w:themeFill="background1"/>
          </w:tcPr>
          <w:p w14:paraId="525F6850"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2,5</w:t>
            </w:r>
          </w:p>
        </w:tc>
        <w:tc>
          <w:tcPr>
            <w:tcW w:w="606" w:type="pct"/>
            <w:shd w:val="clear" w:color="auto" w:fill="FFFFFF" w:themeFill="background1"/>
            <w:noWrap/>
          </w:tcPr>
          <w:p w14:paraId="31319E9A"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2,9</w:t>
            </w:r>
          </w:p>
        </w:tc>
        <w:tc>
          <w:tcPr>
            <w:tcW w:w="581" w:type="pct"/>
            <w:shd w:val="clear" w:color="auto" w:fill="FFFFFF" w:themeFill="background1"/>
            <w:noWrap/>
          </w:tcPr>
          <w:p w14:paraId="579E561B"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2,6</w:t>
            </w:r>
          </w:p>
        </w:tc>
        <w:tc>
          <w:tcPr>
            <w:tcW w:w="582" w:type="pct"/>
            <w:shd w:val="clear" w:color="auto" w:fill="FFFFFF" w:themeFill="background1"/>
            <w:noWrap/>
          </w:tcPr>
          <w:p w14:paraId="705A33AE"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2,5</w:t>
            </w:r>
          </w:p>
        </w:tc>
        <w:tc>
          <w:tcPr>
            <w:tcW w:w="582" w:type="pct"/>
            <w:shd w:val="clear" w:color="auto" w:fill="FFFFFF" w:themeFill="background1"/>
            <w:noWrap/>
          </w:tcPr>
          <w:p w14:paraId="4F7D8D4D"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2,4</w:t>
            </w:r>
          </w:p>
        </w:tc>
      </w:tr>
      <w:tr w:rsidR="00A3670F" w:rsidRPr="00092ED7" w14:paraId="084D5786" w14:textId="77777777" w:rsidTr="00A3670F">
        <w:trPr>
          <w:cnfStyle w:val="000000100000" w:firstRow="0" w:lastRow="0" w:firstColumn="0" w:lastColumn="0" w:oddVBand="0" w:evenVBand="0" w:oddHBand="1" w:evenHBand="0" w:firstRowFirstColumn="0" w:firstRowLastColumn="0" w:lastRowFirstColumn="0" w:lastRowLastColumn="0"/>
          <w:trHeight w:val="253"/>
        </w:trPr>
        <w:tc>
          <w:tcPr>
            <w:tcW w:w="2044" w:type="pct"/>
            <w:tcBorders>
              <w:left w:val="none" w:sz="0" w:space="0" w:color="auto"/>
              <w:right w:val="none" w:sz="0" w:space="0" w:color="auto"/>
            </w:tcBorders>
            <w:shd w:val="clear" w:color="auto" w:fill="FFFFFF" w:themeFill="background1"/>
          </w:tcPr>
          <w:p w14:paraId="5F66A93C"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ПДВ</w:t>
            </w:r>
          </w:p>
        </w:tc>
        <w:tc>
          <w:tcPr>
            <w:tcW w:w="605" w:type="pct"/>
            <w:tcBorders>
              <w:left w:val="none" w:sz="0" w:space="0" w:color="auto"/>
              <w:right w:val="none" w:sz="0" w:space="0" w:color="auto"/>
            </w:tcBorders>
            <w:shd w:val="clear" w:color="auto" w:fill="FFFFFF" w:themeFill="background1"/>
          </w:tcPr>
          <w:p w14:paraId="00773C31"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10,5</w:t>
            </w:r>
          </w:p>
        </w:tc>
        <w:tc>
          <w:tcPr>
            <w:tcW w:w="606" w:type="pct"/>
            <w:tcBorders>
              <w:left w:val="none" w:sz="0" w:space="0" w:color="auto"/>
              <w:right w:val="none" w:sz="0" w:space="0" w:color="auto"/>
            </w:tcBorders>
            <w:shd w:val="clear" w:color="auto" w:fill="FFFFFF" w:themeFill="background1"/>
            <w:noWrap/>
          </w:tcPr>
          <w:p w14:paraId="794CCBA9"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11,0</w:t>
            </w:r>
          </w:p>
        </w:tc>
        <w:tc>
          <w:tcPr>
            <w:tcW w:w="581" w:type="pct"/>
            <w:tcBorders>
              <w:left w:val="none" w:sz="0" w:space="0" w:color="auto"/>
              <w:right w:val="none" w:sz="0" w:space="0" w:color="auto"/>
            </w:tcBorders>
            <w:shd w:val="clear" w:color="auto" w:fill="FFFFFF" w:themeFill="background1"/>
            <w:noWrap/>
          </w:tcPr>
          <w:p w14:paraId="122E0484"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10,8</w:t>
            </w:r>
          </w:p>
        </w:tc>
        <w:tc>
          <w:tcPr>
            <w:tcW w:w="582" w:type="pct"/>
            <w:tcBorders>
              <w:left w:val="none" w:sz="0" w:space="0" w:color="auto"/>
              <w:right w:val="none" w:sz="0" w:space="0" w:color="auto"/>
            </w:tcBorders>
            <w:shd w:val="clear" w:color="auto" w:fill="FFFFFF" w:themeFill="background1"/>
            <w:noWrap/>
          </w:tcPr>
          <w:p w14:paraId="0A6FED2F"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10,8</w:t>
            </w:r>
          </w:p>
        </w:tc>
        <w:tc>
          <w:tcPr>
            <w:tcW w:w="582" w:type="pct"/>
            <w:tcBorders>
              <w:left w:val="none" w:sz="0" w:space="0" w:color="auto"/>
              <w:right w:val="none" w:sz="0" w:space="0" w:color="auto"/>
            </w:tcBorders>
            <w:shd w:val="clear" w:color="auto" w:fill="FFFFFF" w:themeFill="background1"/>
            <w:noWrap/>
          </w:tcPr>
          <w:p w14:paraId="02EAE484"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10,7</w:t>
            </w:r>
          </w:p>
        </w:tc>
      </w:tr>
      <w:tr w:rsidR="00A3670F" w:rsidRPr="00092ED7" w14:paraId="2C2DDDCE" w14:textId="77777777" w:rsidTr="00A3670F">
        <w:trPr>
          <w:trHeight w:val="253"/>
        </w:trPr>
        <w:tc>
          <w:tcPr>
            <w:tcW w:w="2044" w:type="pct"/>
            <w:shd w:val="clear" w:color="auto" w:fill="FFFFFF" w:themeFill="background1"/>
          </w:tcPr>
          <w:p w14:paraId="1A2372AC"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Акцизе</w:t>
            </w:r>
          </w:p>
        </w:tc>
        <w:tc>
          <w:tcPr>
            <w:tcW w:w="605" w:type="pct"/>
            <w:shd w:val="clear" w:color="auto" w:fill="FFFFFF" w:themeFill="background1"/>
          </w:tcPr>
          <w:p w14:paraId="5CF2E36D"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5,3</w:t>
            </w:r>
          </w:p>
        </w:tc>
        <w:tc>
          <w:tcPr>
            <w:tcW w:w="606" w:type="pct"/>
            <w:shd w:val="clear" w:color="auto" w:fill="FFFFFF" w:themeFill="background1"/>
            <w:noWrap/>
          </w:tcPr>
          <w:p w14:paraId="6D0BAAF8"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4,8</w:t>
            </w:r>
          </w:p>
        </w:tc>
        <w:tc>
          <w:tcPr>
            <w:tcW w:w="581" w:type="pct"/>
            <w:shd w:val="clear" w:color="auto" w:fill="FFFFFF" w:themeFill="background1"/>
            <w:noWrap/>
          </w:tcPr>
          <w:p w14:paraId="73AAD07F"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4,1</w:t>
            </w:r>
          </w:p>
        </w:tc>
        <w:tc>
          <w:tcPr>
            <w:tcW w:w="582" w:type="pct"/>
            <w:shd w:val="clear" w:color="auto" w:fill="FFFFFF" w:themeFill="background1"/>
            <w:noWrap/>
          </w:tcPr>
          <w:p w14:paraId="7B0D8142"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4,2</w:t>
            </w:r>
          </w:p>
        </w:tc>
        <w:tc>
          <w:tcPr>
            <w:tcW w:w="582" w:type="pct"/>
            <w:shd w:val="clear" w:color="auto" w:fill="FFFFFF" w:themeFill="background1"/>
            <w:noWrap/>
          </w:tcPr>
          <w:p w14:paraId="5024BB2F"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4,0</w:t>
            </w:r>
          </w:p>
        </w:tc>
      </w:tr>
      <w:tr w:rsidR="00A3670F" w:rsidRPr="00092ED7" w14:paraId="47D0A6B1" w14:textId="77777777" w:rsidTr="00A3670F">
        <w:trPr>
          <w:cnfStyle w:val="000000100000" w:firstRow="0" w:lastRow="0" w:firstColumn="0" w:lastColumn="0" w:oddVBand="0" w:evenVBand="0" w:oddHBand="1" w:evenHBand="0" w:firstRowFirstColumn="0" w:firstRowLastColumn="0" w:lastRowFirstColumn="0" w:lastRowLastColumn="0"/>
          <w:trHeight w:val="253"/>
        </w:trPr>
        <w:tc>
          <w:tcPr>
            <w:tcW w:w="2044" w:type="pct"/>
            <w:tcBorders>
              <w:left w:val="none" w:sz="0" w:space="0" w:color="auto"/>
              <w:right w:val="none" w:sz="0" w:space="0" w:color="auto"/>
            </w:tcBorders>
            <w:shd w:val="clear" w:color="auto" w:fill="FFFFFF" w:themeFill="background1"/>
          </w:tcPr>
          <w:p w14:paraId="76A2F89B"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Царине</w:t>
            </w:r>
          </w:p>
        </w:tc>
        <w:tc>
          <w:tcPr>
            <w:tcW w:w="605" w:type="pct"/>
            <w:tcBorders>
              <w:left w:val="none" w:sz="0" w:space="0" w:color="auto"/>
              <w:right w:val="none" w:sz="0" w:space="0" w:color="auto"/>
            </w:tcBorders>
            <w:shd w:val="clear" w:color="auto" w:fill="FFFFFF" w:themeFill="background1"/>
          </w:tcPr>
          <w:p w14:paraId="65284B2A"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1,0</w:t>
            </w:r>
          </w:p>
        </w:tc>
        <w:tc>
          <w:tcPr>
            <w:tcW w:w="606" w:type="pct"/>
            <w:tcBorders>
              <w:left w:val="none" w:sz="0" w:space="0" w:color="auto"/>
              <w:right w:val="none" w:sz="0" w:space="0" w:color="auto"/>
            </w:tcBorders>
            <w:shd w:val="clear" w:color="auto" w:fill="FFFFFF" w:themeFill="background1"/>
            <w:noWrap/>
          </w:tcPr>
          <w:p w14:paraId="55D88A02"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1,1</w:t>
            </w:r>
          </w:p>
        </w:tc>
        <w:tc>
          <w:tcPr>
            <w:tcW w:w="581" w:type="pct"/>
            <w:tcBorders>
              <w:left w:val="none" w:sz="0" w:space="0" w:color="auto"/>
              <w:right w:val="none" w:sz="0" w:space="0" w:color="auto"/>
            </w:tcBorders>
            <w:shd w:val="clear" w:color="auto" w:fill="FFFFFF" w:themeFill="background1"/>
            <w:noWrap/>
          </w:tcPr>
          <w:p w14:paraId="6F336350"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1,1</w:t>
            </w:r>
          </w:p>
        </w:tc>
        <w:tc>
          <w:tcPr>
            <w:tcW w:w="582" w:type="pct"/>
            <w:tcBorders>
              <w:left w:val="none" w:sz="0" w:space="0" w:color="auto"/>
              <w:right w:val="none" w:sz="0" w:space="0" w:color="auto"/>
            </w:tcBorders>
            <w:shd w:val="clear" w:color="auto" w:fill="FFFFFF" w:themeFill="background1"/>
            <w:noWrap/>
          </w:tcPr>
          <w:p w14:paraId="2175E62E"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1,1</w:t>
            </w:r>
          </w:p>
        </w:tc>
        <w:tc>
          <w:tcPr>
            <w:tcW w:w="582" w:type="pct"/>
            <w:tcBorders>
              <w:left w:val="none" w:sz="0" w:space="0" w:color="auto"/>
              <w:right w:val="none" w:sz="0" w:space="0" w:color="auto"/>
            </w:tcBorders>
            <w:shd w:val="clear" w:color="auto" w:fill="FFFFFF" w:themeFill="background1"/>
            <w:noWrap/>
          </w:tcPr>
          <w:p w14:paraId="430C3EC3"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1,1</w:t>
            </w:r>
          </w:p>
        </w:tc>
      </w:tr>
      <w:tr w:rsidR="00A3670F" w:rsidRPr="00092ED7" w14:paraId="269DB64D" w14:textId="77777777" w:rsidTr="00A3670F">
        <w:trPr>
          <w:trHeight w:val="253"/>
        </w:trPr>
        <w:tc>
          <w:tcPr>
            <w:tcW w:w="2044" w:type="pct"/>
            <w:shd w:val="clear" w:color="auto" w:fill="FFFFFF" w:themeFill="background1"/>
          </w:tcPr>
          <w:p w14:paraId="2A97A4B3"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Остали порески приходи</w:t>
            </w:r>
          </w:p>
        </w:tc>
        <w:tc>
          <w:tcPr>
            <w:tcW w:w="605" w:type="pct"/>
            <w:shd w:val="clear" w:color="auto" w:fill="FFFFFF" w:themeFill="background1"/>
          </w:tcPr>
          <w:p w14:paraId="16963D0C"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1,5</w:t>
            </w:r>
          </w:p>
        </w:tc>
        <w:tc>
          <w:tcPr>
            <w:tcW w:w="606" w:type="pct"/>
            <w:shd w:val="clear" w:color="auto" w:fill="FFFFFF" w:themeFill="background1"/>
            <w:noWrap/>
          </w:tcPr>
          <w:p w14:paraId="1CB0BCEB"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1,4</w:t>
            </w:r>
          </w:p>
        </w:tc>
        <w:tc>
          <w:tcPr>
            <w:tcW w:w="581" w:type="pct"/>
            <w:shd w:val="clear" w:color="auto" w:fill="FFFFFF" w:themeFill="background1"/>
            <w:noWrap/>
          </w:tcPr>
          <w:p w14:paraId="434C48C1"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1,3</w:t>
            </w:r>
          </w:p>
        </w:tc>
        <w:tc>
          <w:tcPr>
            <w:tcW w:w="582" w:type="pct"/>
            <w:shd w:val="clear" w:color="auto" w:fill="FFFFFF" w:themeFill="background1"/>
            <w:noWrap/>
          </w:tcPr>
          <w:p w14:paraId="608FF598"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1,3</w:t>
            </w:r>
          </w:p>
        </w:tc>
        <w:tc>
          <w:tcPr>
            <w:tcW w:w="582" w:type="pct"/>
            <w:shd w:val="clear" w:color="auto" w:fill="FFFFFF" w:themeFill="background1"/>
            <w:noWrap/>
          </w:tcPr>
          <w:p w14:paraId="0DCDAE20"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1,2</w:t>
            </w:r>
          </w:p>
        </w:tc>
      </w:tr>
      <w:tr w:rsidR="00A3670F" w:rsidRPr="00092ED7" w14:paraId="06044734" w14:textId="77777777" w:rsidTr="00A3670F">
        <w:trPr>
          <w:cnfStyle w:val="000000100000" w:firstRow="0" w:lastRow="0" w:firstColumn="0" w:lastColumn="0" w:oddVBand="0" w:evenVBand="0" w:oddHBand="1" w:evenHBand="0" w:firstRowFirstColumn="0" w:firstRowLastColumn="0" w:lastRowFirstColumn="0" w:lastRowLastColumn="0"/>
          <w:trHeight w:val="253"/>
        </w:trPr>
        <w:tc>
          <w:tcPr>
            <w:tcW w:w="2044" w:type="pct"/>
            <w:tcBorders>
              <w:left w:val="none" w:sz="0" w:space="0" w:color="auto"/>
              <w:right w:val="none" w:sz="0" w:space="0" w:color="auto"/>
            </w:tcBorders>
            <w:shd w:val="clear" w:color="auto" w:fill="FFFFFF" w:themeFill="background1"/>
          </w:tcPr>
          <w:p w14:paraId="0B67760D"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Доприноси</w:t>
            </w:r>
          </w:p>
        </w:tc>
        <w:tc>
          <w:tcPr>
            <w:tcW w:w="605" w:type="pct"/>
            <w:tcBorders>
              <w:left w:val="none" w:sz="0" w:space="0" w:color="auto"/>
              <w:right w:val="none" w:sz="0" w:space="0" w:color="auto"/>
            </w:tcBorders>
            <w:shd w:val="clear" w:color="auto" w:fill="FFFFFF" w:themeFill="background1"/>
          </w:tcPr>
          <w:p w14:paraId="1B288E8B"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13,7</w:t>
            </w:r>
          </w:p>
        </w:tc>
        <w:tc>
          <w:tcPr>
            <w:tcW w:w="606" w:type="pct"/>
            <w:tcBorders>
              <w:left w:val="none" w:sz="0" w:space="0" w:color="auto"/>
              <w:right w:val="none" w:sz="0" w:space="0" w:color="auto"/>
            </w:tcBorders>
            <w:shd w:val="clear" w:color="auto" w:fill="FFFFFF" w:themeFill="background1"/>
            <w:noWrap/>
          </w:tcPr>
          <w:p w14:paraId="7DF11859"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13,4</w:t>
            </w:r>
          </w:p>
        </w:tc>
        <w:tc>
          <w:tcPr>
            <w:tcW w:w="581" w:type="pct"/>
            <w:tcBorders>
              <w:left w:val="none" w:sz="0" w:space="0" w:color="auto"/>
              <w:right w:val="none" w:sz="0" w:space="0" w:color="auto"/>
            </w:tcBorders>
            <w:shd w:val="clear" w:color="auto" w:fill="FFFFFF" w:themeFill="background1"/>
            <w:noWrap/>
          </w:tcPr>
          <w:p w14:paraId="254014D5"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12,6</w:t>
            </w:r>
          </w:p>
        </w:tc>
        <w:tc>
          <w:tcPr>
            <w:tcW w:w="582" w:type="pct"/>
            <w:tcBorders>
              <w:left w:val="none" w:sz="0" w:space="0" w:color="auto"/>
              <w:right w:val="none" w:sz="0" w:space="0" w:color="auto"/>
            </w:tcBorders>
            <w:shd w:val="clear" w:color="auto" w:fill="FFFFFF" w:themeFill="background1"/>
            <w:noWrap/>
          </w:tcPr>
          <w:p w14:paraId="266BE4A8"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12,5</w:t>
            </w:r>
          </w:p>
        </w:tc>
        <w:tc>
          <w:tcPr>
            <w:tcW w:w="582" w:type="pct"/>
            <w:tcBorders>
              <w:left w:val="none" w:sz="0" w:space="0" w:color="auto"/>
              <w:right w:val="none" w:sz="0" w:space="0" w:color="auto"/>
            </w:tcBorders>
            <w:shd w:val="clear" w:color="auto" w:fill="FFFFFF" w:themeFill="background1"/>
            <w:noWrap/>
          </w:tcPr>
          <w:p w14:paraId="142FBA21"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12,4</w:t>
            </w:r>
          </w:p>
        </w:tc>
      </w:tr>
      <w:tr w:rsidR="00A3670F" w:rsidRPr="00092ED7" w14:paraId="09660443" w14:textId="77777777" w:rsidTr="00A3670F">
        <w:trPr>
          <w:trHeight w:val="253"/>
        </w:trPr>
        <w:tc>
          <w:tcPr>
            <w:tcW w:w="2044" w:type="pct"/>
            <w:shd w:val="clear" w:color="auto" w:fill="FFFFFF" w:themeFill="background1"/>
          </w:tcPr>
          <w:p w14:paraId="6D2C46BE"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 xml:space="preserve"> Непорески приходи</w:t>
            </w:r>
          </w:p>
        </w:tc>
        <w:tc>
          <w:tcPr>
            <w:tcW w:w="605" w:type="pct"/>
            <w:shd w:val="clear" w:color="auto" w:fill="FFFFFF" w:themeFill="background1"/>
          </w:tcPr>
          <w:p w14:paraId="56A2D158"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4,3</w:t>
            </w:r>
          </w:p>
        </w:tc>
        <w:tc>
          <w:tcPr>
            <w:tcW w:w="606" w:type="pct"/>
            <w:shd w:val="clear" w:color="auto" w:fill="FFFFFF" w:themeFill="background1"/>
            <w:noWrap/>
          </w:tcPr>
          <w:p w14:paraId="3F461395"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4,0</w:t>
            </w:r>
          </w:p>
        </w:tc>
        <w:tc>
          <w:tcPr>
            <w:tcW w:w="581" w:type="pct"/>
            <w:shd w:val="clear" w:color="auto" w:fill="FFFFFF" w:themeFill="background1"/>
            <w:noWrap/>
          </w:tcPr>
          <w:p w14:paraId="7E6A0335"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3,7</w:t>
            </w:r>
          </w:p>
        </w:tc>
        <w:tc>
          <w:tcPr>
            <w:tcW w:w="582" w:type="pct"/>
            <w:shd w:val="clear" w:color="auto" w:fill="FFFFFF" w:themeFill="background1"/>
            <w:noWrap/>
          </w:tcPr>
          <w:p w14:paraId="4409FE6A"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3,6</w:t>
            </w:r>
          </w:p>
        </w:tc>
        <w:tc>
          <w:tcPr>
            <w:tcW w:w="582" w:type="pct"/>
            <w:shd w:val="clear" w:color="auto" w:fill="FFFFFF" w:themeFill="background1"/>
            <w:noWrap/>
          </w:tcPr>
          <w:p w14:paraId="4E721394"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3,4</w:t>
            </w:r>
          </w:p>
        </w:tc>
      </w:tr>
      <w:tr w:rsidR="00A3670F" w:rsidRPr="00092ED7" w14:paraId="2F978813" w14:textId="77777777" w:rsidTr="00A3670F">
        <w:trPr>
          <w:cnfStyle w:val="000000100000" w:firstRow="0" w:lastRow="0" w:firstColumn="0" w:lastColumn="0" w:oddVBand="0" w:evenVBand="0" w:oddHBand="1" w:evenHBand="0" w:firstRowFirstColumn="0" w:firstRowLastColumn="0" w:lastRowFirstColumn="0" w:lastRowLastColumn="0"/>
          <w:trHeight w:val="253"/>
        </w:trPr>
        <w:tc>
          <w:tcPr>
            <w:tcW w:w="2044" w:type="pct"/>
            <w:tcBorders>
              <w:left w:val="none" w:sz="0" w:space="0" w:color="auto"/>
              <w:right w:val="none" w:sz="0" w:space="0" w:color="auto"/>
            </w:tcBorders>
            <w:shd w:val="clear" w:color="auto" w:fill="FFFFFF" w:themeFill="background1"/>
          </w:tcPr>
          <w:p w14:paraId="29BE3C9B"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Донације</w:t>
            </w:r>
          </w:p>
        </w:tc>
        <w:tc>
          <w:tcPr>
            <w:tcW w:w="605" w:type="pct"/>
            <w:tcBorders>
              <w:left w:val="none" w:sz="0" w:space="0" w:color="auto"/>
              <w:right w:val="none" w:sz="0" w:space="0" w:color="auto"/>
            </w:tcBorders>
            <w:shd w:val="clear" w:color="auto" w:fill="FFFFFF" w:themeFill="background1"/>
          </w:tcPr>
          <w:p w14:paraId="0227DDFB"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0,3</w:t>
            </w:r>
          </w:p>
        </w:tc>
        <w:tc>
          <w:tcPr>
            <w:tcW w:w="606" w:type="pct"/>
            <w:tcBorders>
              <w:left w:val="none" w:sz="0" w:space="0" w:color="auto"/>
              <w:right w:val="none" w:sz="0" w:space="0" w:color="auto"/>
            </w:tcBorders>
            <w:shd w:val="clear" w:color="auto" w:fill="FFFFFF" w:themeFill="background1"/>
            <w:noWrap/>
          </w:tcPr>
          <w:p w14:paraId="4E7B873A"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0,3</w:t>
            </w:r>
          </w:p>
        </w:tc>
        <w:tc>
          <w:tcPr>
            <w:tcW w:w="581" w:type="pct"/>
            <w:tcBorders>
              <w:left w:val="none" w:sz="0" w:space="0" w:color="auto"/>
              <w:right w:val="none" w:sz="0" w:space="0" w:color="auto"/>
            </w:tcBorders>
            <w:shd w:val="clear" w:color="auto" w:fill="FFFFFF" w:themeFill="background1"/>
            <w:noWrap/>
          </w:tcPr>
          <w:p w14:paraId="73FF99E1"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0,7</w:t>
            </w:r>
          </w:p>
        </w:tc>
        <w:tc>
          <w:tcPr>
            <w:tcW w:w="582" w:type="pct"/>
            <w:tcBorders>
              <w:left w:val="none" w:sz="0" w:space="0" w:color="auto"/>
              <w:right w:val="none" w:sz="0" w:space="0" w:color="auto"/>
            </w:tcBorders>
            <w:shd w:val="clear" w:color="auto" w:fill="FFFFFF" w:themeFill="background1"/>
            <w:noWrap/>
          </w:tcPr>
          <w:p w14:paraId="2FBF4D77"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0,4</w:t>
            </w:r>
          </w:p>
        </w:tc>
        <w:tc>
          <w:tcPr>
            <w:tcW w:w="582" w:type="pct"/>
            <w:tcBorders>
              <w:left w:val="none" w:sz="0" w:space="0" w:color="auto"/>
              <w:right w:val="none" w:sz="0" w:space="0" w:color="auto"/>
            </w:tcBorders>
            <w:shd w:val="clear" w:color="auto" w:fill="FFFFFF" w:themeFill="background1"/>
            <w:noWrap/>
          </w:tcPr>
          <w:p w14:paraId="590BAA77"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0,4</w:t>
            </w:r>
          </w:p>
        </w:tc>
      </w:tr>
    </w:tbl>
    <w:p w14:paraId="634C0982" w14:textId="4E4D8C9B" w:rsidR="00576A4F" w:rsidRPr="00092ED7" w:rsidRDefault="00576A4F" w:rsidP="00A3670F">
      <w:pPr>
        <w:spacing w:before="60"/>
        <w:rPr>
          <w:sz w:val="18"/>
          <w:szCs w:val="18"/>
          <w:lang w:val="sr-Cyrl-CS" w:eastAsia="ja-JP"/>
        </w:rPr>
      </w:pPr>
      <w:r w:rsidRPr="00092ED7">
        <w:rPr>
          <w:bCs/>
          <w:sz w:val="18"/>
          <w:szCs w:val="18"/>
          <w:lang w:val="sr-Cyrl-CS" w:eastAsia="ja-JP"/>
        </w:rPr>
        <w:t xml:space="preserve">Извор: </w:t>
      </w:r>
      <w:r w:rsidRPr="00092ED7">
        <w:rPr>
          <w:sz w:val="18"/>
          <w:szCs w:val="18"/>
          <w:lang w:val="sr-Cyrl-CS" w:eastAsia="ja-JP"/>
        </w:rPr>
        <w:t>Министарство</w:t>
      </w:r>
      <w:r w:rsidR="00284FE5" w:rsidRPr="00092ED7">
        <w:rPr>
          <w:sz w:val="18"/>
          <w:szCs w:val="18"/>
          <w:lang w:val="sr-Cyrl-CS" w:eastAsia="ja-JP"/>
        </w:rPr>
        <w:t xml:space="preserve"> </w:t>
      </w:r>
      <w:r w:rsidRPr="00092ED7">
        <w:rPr>
          <w:sz w:val="18"/>
          <w:szCs w:val="18"/>
          <w:lang w:val="sr-Cyrl-CS" w:eastAsia="ja-JP"/>
        </w:rPr>
        <w:t>финансија</w:t>
      </w:r>
    </w:p>
    <w:p w14:paraId="77159A70"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Опадајући тренд прихода у смислу учешћа у БДП је очекиван с обзиром на пројектовану структуру средњорочног раста српске привреде. Наплата одложених обавеза из 2020. године је повећала ниво прихода изнад трендног у 2021. и 2022. години, али ће, такође, појачати ефекат пада учешћа прихода у БДП у 2023. години. Пројекција пореских прихода подразумева одржавање постојећег степена наплате.</w:t>
      </w:r>
    </w:p>
    <w:p w14:paraId="12D2AF34"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У 2023. години предвиђено је смањење доприноса за пензијско и инвалидско осигурање на терет послодавца за 1 п.п. Ефекат ове мере се процењује на 30 млрд динара. Додатно ће повећање неопорезивог цензуса за 12,5% имати ефекат на мање приходе у износу од 11 млрд динара.</w:t>
      </w:r>
    </w:p>
    <w:p w14:paraId="379822C0" w14:textId="7080163A"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Преовлађујући облик пореза на доходак је порез на зараде, тако да су кретање масе зарада и запослености главни фактори који утичу на кретање овог пореског облика. Ове приходе је у 2022. години (као и у 2021.</w:t>
      </w:r>
      <w:r w:rsidR="005867B0" w:rsidRPr="00092ED7">
        <w:rPr>
          <w:rFonts w:eastAsia="MS PGothic" w:cstheme="minorHAnsi"/>
          <w:szCs w:val="20"/>
          <w:lang w:val="sr-Cyrl-CS" w:eastAsia="ja-JP"/>
        </w:rPr>
        <w:t xml:space="preserve"> години</w:t>
      </w:r>
      <w:r w:rsidRPr="00092ED7">
        <w:rPr>
          <w:rFonts w:eastAsia="MS PGothic" w:cstheme="minorHAnsi"/>
          <w:szCs w:val="20"/>
          <w:lang w:val="sr-Cyrl-CS" w:eastAsia="ja-JP"/>
        </w:rPr>
        <w:t>) увећала наплата дела одложеног пореза на зараде из 2020. године у склопу пакета мера у борби против пандемије. Повећање минималне зараде (14,3%) ће позитивно утицати на раст укупне масе зарада у привреди, а самим тим и на ову пореску категорију, а повећање неопорезивог цензуса ће смањити приходе по овом основу.</w:t>
      </w:r>
    </w:p>
    <w:p w14:paraId="6279F6D1"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Остали облици пореза на доходак (порез на дивиденде, порез на приходе од камата, годишњи порез на доходак, итд.) ће расти спорије, то јест у складу са кретањем опште економске активности, тако да се очекује стабилан ниво прихода по основу укупног пореза на доходак, у смислу учешћа у БДП. Код пореза на зараде кључна је борба против сиве економије, с обзиром на знатан број непријављених радника и исплате зарада „на руке”. У последњим годинама интензивиране су контроле и појачане санкције што је дало резултате у сузбијању сиве економије у области рада и запошљавања, али је значајно да се на овом пољу настави са континуираним ангажманом и у наредном периоду.</w:t>
      </w:r>
    </w:p>
    <w:p w14:paraId="7BFE8C4F"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Кретање учешћа доприноса у БДП има сличну путању као и кретање учешћа пореза на зараде, с обзиром да су за њихову пројекцију коришћене исте претпоставке о кретању зарада и запослености. Део прихода од наплате одложених доприноса из 2020. године неће бити на располагању у 2023. години, што ће уз смањење доприноса на пензијско и инвалидско осигурање на терет послодавца допринети нижем нивоу ових прихода у смислу учешћа у БДП у наредној години.</w:t>
      </w:r>
    </w:p>
    <w:p w14:paraId="6F59B17A"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Приходи од пореза на добит правних лица у периоду 2023–2025. године зависиће од путање привредног раста, релативне стабилности курса динара и опште профитабилности привреде. Процена прихода по овом основу може бити неизвесна како због економских фактора, тако и због могућности коришћења пореског кредита или повраћаја, као и разлика у рачуноводственим и пореским билансима. Раст профитабилности привреде у 2021. години допринео је значајном скоку прихода од пореза на добит у 2022. години с обзиром да се порез на добит по коначном обрачуну уплаћује у наредној години. Очекује се да се у периоду 2023–2025. године наплата пореза на добит стабилизује у складу са кретањем БДП.</w:t>
      </w:r>
    </w:p>
    <w:p w14:paraId="5EFA7C0C"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Главна детерминанта кретања ПДВ је домаћа тражња вођена расположивим дохотком становништва. Расположиви доходак као највећа детерминанта потрошње зависи од кретања зарада у јавном сектору, пензија, социјалне помоћи, кретања масе зарада у приватном сектору и осталих облика доходака, укључујући и дознаке, као и од динамике кредитне активности банака према становништву.</w:t>
      </w:r>
    </w:p>
    <w:p w14:paraId="4A75B366"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Као и код пореза на доходак грађана, ризици за остварење пројекције ПДВ у наредном периоду, поред опште неизвесности међународног економског окружења, односе се и на кретање зарада у приватном сектору, раст привредне активности, као и на степен сиве економије, односно ефикасност у њеном смањењу.</w:t>
      </w:r>
    </w:p>
    <w:p w14:paraId="20701E22"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Резултати ефикасније наплате и контроле пореских обвезника су били евидентни у претходном периоду и очекује се да ће тај тренд бити настављен и даље, с тим што ефекти борбе против сиве економије нису експлицитно укључени у средњорочну пројекцију јавних прихода. Повећање степена ПДВ наплате у смислу спровођења независних антиевазионих мера у области ПДВ дало је резултате у протеклом периоду. У овом сегменту простор за даља побољшања створиће се јачањем и модернизацијом пореске администрације.</w:t>
      </w:r>
    </w:p>
    <w:p w14:paraId="0840BC2C"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Пројекција прихода од акциза сачињена је на основу важеће акцизне политике и пројектоване потрошње акцизних производа. У 2022. години акцизе нису индексиране растом потрошачких цена у 2021. години, а акцизе на деривате нафте су додатно смањене, и то у распону од 10% до 20%. Ове мере су донете у циљу ограничења раста цена деривата на домаћем тржишту, услед раста цена нафте на светском тржишту. Са овим претпоставкама рађена је процена прихода од акциза и за 2023. годину. У наредним годинама, услед опрезности, није претпостављен раст потрошње нафтних деривата.</w:t>
      </w:r>
    </w:p>
    <w:p w14:paraId="367F91D7" w14:textId="5975B1E0"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У оквиру акцизне политике код дуванских производа очекује се даље постепено усклађивање са директивама ЕУ у складу са средњорочним планом поступног повећавања акцизног оптерећења. Код цигарета оно ће бити усмерено кроз постепено повећање акциза, како би се у прихватљивом временском року достигао ЕУ минимум од 1,8 евра по паклици</w:t>
      </w:r>
      <w:r w:rsidRPr="00092ED7">
        <w:rPr>
          <w:lang w:val="sr-Cyrl-CS"/>
        </w:rPr>
        <w:t xml:space="preserve"> </w:t>
      </w:r>
      <w:r w:rsidRPr="00092ED7">
        <w:rPr>
          <w:rFonts w:eastAsia="MS PGothic" w:cstheme="minorHAnsi"/>
          <w:szCs w:val="20"/>
          <w:lang w:val="sr-Cyrl-CS" w:eastAsia="ja-JP"/>
        </w:rPr>
        <w:t>у динарској противвредности прерачунато по званичном средњем курсу Н</w:t>
      </w:r>
      <w:r w:rsidR="00E0125A" w:rsidRPr="00092ED7">
        <w:rPr>
          <w:rFonts w:eastAsia="MS PGothic" w:cstheme="minorHAnsi"/>
          <w:szCs w:val="20"/>
          <w:lang w:val="sr-Cyrl-CS" w:eastAsia="ja-JP"/>
        </w:rPr>
        <w:t xml:space="preserve">ародне банке </w:t>
      </w:r>
      <w:r w:rsidRPr="00092ED7">
        <w:rPr>
          <w:rFonts w:eastAsia="MS PGothic" w:cstheme="minorHAnsi"/>
          <w:szCs w:val="20"/>
          <w:lang w:val="sr-Cyrl-CS" w:eastAsia="ja-JP"/>
        </w:rPr>
        <w:t>С</w:t>
      </w:r>
      <w:r w:rsidR="00E0125A" w:rsidRPr="00092ED7">
        <w:rPr>
          <w:rFonts w:eastAsia="MS PGothic" w:cstheme="minorHAnsi"/>
          <w:szCs w:val="20"/>
          <w:lang w:val="sr-Cyrl-CS" w:eastAsia="ja-JP"/>
        </w:rPr>
        <w:t>рбије</w:t>
      </w:r>
      <w:r w:rsidRPr="00092ED7">
        <w:rPr>
          <w:rFonts w:eastAsia="MS PGothic" w:cstheme="minorHAnsi"/>
          <w:szCs w:val="20"/>
          <w:lang w:val="sr-Cyrl-CS" w:eastAsia="ja-JP"/>
        </w:rPr>
        <w:t>. У наредном периоду је за потребе пројекције прихода од акциза, услед опрезности, предвиђен даљи природан пад тржишта дуванских производа, у просеку од око 3% годишње.</w:t>
      </w:r>
    </w:p>
    <w:p w14:paraId="570AC53D"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Приходи од акциза на алкохолна пића, кафу и електричну енергију су пројектовани у складу са постојећом структуром потрошње. Усклађивање акциза на алкохолна пића у складу са директивом ЕУ није имало значајне фискалне ефекте.</w:t>
      </w:r>
    </w:p>
    <w:p w14:paraId="533D90B9"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Приходи од царина ће се стабилизовати на нивоу од 1,1% БДП у наредном периоду. Пројекција наплате прихода од царина рађена је на бази пројектованог кретања увоза, девизног курса и потрошње.</w:t>
      </w:r>
    </w:p>
    <w:p w14:paraId="7BE5E1B2"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Пројектује се стабилизација учешћа у БДП осталих пореских прихода. Најзначајнији порески приход у овој категорији је порез на имовину чије учешће износи око 70%. Номинално повећање овог прихода може се очекивати по основу проширења основице. Повећање степена наплате, кроз повећање обухвата непокретности на које се порез плаћа (то јест по основу проширења пореске базе), није укључено у пројекције у средњем року и представља позитиван ризик. Поред пореза на имовину, у остале пореске приходе укључују се и порези на употребу, држање и ношење добара, те други облици пореза на локалном нивоу. Они су пројектовани у складу са кретањем инфлације, будући да је инфлаторна компонента уграђена у значајан део ових пореских облика.</w:t>
      </w:r>
    </w:p>
    <w:p w14:paraId="3D10575C" w14:textId="2BDB4D0A"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 xml:space="preserve">Предвиђено је смањење учешћа непореских прихода у БДП, са 4,3% колико је приходовано у 2021. години на 3,4% колико се очекује да ће износити у 2025. години. Разлог за смањење пројектованог учешћа непореских прихода у БДП је искључивање из базне </w:t>
      </w:r>
      <w:r w:rsidRPr="00092ED7">
        <w:rPr>
          <w:rFonts w:eastAsia="MS PGothic" w:cstheme="minorHAnsi"/>
          <w:szCs w:val="20"/>
          <w:shd w:val="clear" w:color="auto" w:fill="FFFFFF" w:themeFill="background1"/>
          <w:lang w:val="sr-Cyrl-CS" w:eastAsia="ja-JP"/>
        </w:rPr>
        <w:t>2022.</w:t>
      </w:r>
      <w:r w:rsidRPr="00092ED7">
        <w:rPr>
          <w:rFonts w:eastAsia="MS PGothic" w:cstheme="minorHAnsi"/>
          <w:szCs w:val="20"/>
          <w:lang w:val="sr-Cyrl-CS" w:eastAsia="ja-JP"/>
        </w:rPr>
        <w:t xml:space="preserve"> године свих оних прихода који се не сматрају структурним тј. трајним, а првенствено се то односи на ванредне категорије непореских прихода. Ванредни непорески приходи су углавном једнократни, у одређеној мери неизвесни, како по питању износа, тако и по питању тренутка уплате. Највећи део ових прихода представљају ванредне уплате добити јавних предузећа и агенција, дивиденде буџета, приходи по основу наплаћених потраживања А</w:t>
      </w:r>
      <w:r w:rsidR="00A4749F" w:rsidRPr="00092ED7">
        <w:rPr>
          <w:rFonts w:eastAsia="MS PGothic" w:cstheme="minorHAnsi"/>
          <w:szCs w:val="20"/>
          <w:lang w:val="sr-Cyrl-CS" w:eastAsia="ja-JP"/>
        </w:rPr>
        <w:t>г</w:t>
      </w:r>
      <w:r w:rsidR="00462579" w:rsidRPr="00092ED7">
        <w:rPr>
          <w:rFonts w:eastAsia="MS PGothic" w:cstheme="minorHAnsi"/>
          <w:szCs w:val="20"/>
          <w:lang w:val="sr-Cyrl-CS" w:eastAsia="ja-JP"/>
        </w:rPr>
        <w:t>енције за осигурање депозита</w:t>
      </w:r>
      <w:r w:rsidRPr="00092ED7">
        <w:rPr>
          <w:rFonts w:eastAsia="MS PGothic" w:cstheme="minorHAnsi"/>
          <w:szCs w:val="20"/>
          <w:lang w:val="sr-Cyrl-CS" w:eastAsia="ja-JP"/>
        </w:rPr>
        <w:t>, емисионе премије, итд. Редовни непорески приходи обухватају различите таксе, накнаде, казне, приходе органа и организација и све остале приходе који се остварују устаљеном динамиком током године. Ови непорески приходи индексирају се са оствареном инфлацијом у претходној години, или пак прате промену у вредности основе на које се примењују и услед тога се коригују пројектованом инфлацијом.</w:t>
      </w:r>
    </w:p>
    <w:p w14:paraId="36F43B44" w14:textId="44A41446"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 xml:space="preserve">Процесом приближавања државе чланству у ЕУ </w:t>
      </w:r>
      <w:r w:rsidR="00FE70E2" w:rsidRPr="00092ED7">
        <w:rPr>
          <w:rFonts w:eastAsia="MS PGothic" w:cstheme="minorHAnsi"/>
          <w:szCs w:val="20"/>
          <w:lang w:val="sr-Cyrl-CS" w:eastAsia="ja-JP"/>
        </w:rPr>
        <w:t xml:space="preserve">могу се очекивати већа  </w:t>
      </w:r>
      <w:r w:rsidRPr="00092ED7">
        <w:rPr>
          <w:rFonts w:eastAsia="MS PGothic" w:cstheme="minorHAnsi"/>
          <w:szCs w:val="20"/>
          <w:lang w:val="sr-Cyrl-CS" w:eastAsia="ja-JP"/>
        </w:rPr>
        <w:t>расположива средства из ИПА и ИПАРД фондова која чине преовлађујући део прихода од донација. У пројектоване износе по основу донација укључена су и средства по основу секторске буџетске подршке ЕУ. У 2023. години, изузетно, очекује се прилив у износу од 18,4 млрд динара од ЕУ, по основу помоћи за ублажавање енергетске кризе. Приходи по основу донација су неутрални у односу на резултат, с обзиром да су једнаки расходима по овом основу.</w:t>
      </w:r>
    </w:p>
    <w:p w14:paraId="5292672F"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 xml:space="preserve">Одговорном фискалном политиком у комбинацији са добрим макроекономским перформансама у протеклом периоду обезбеђено је релаксирање политике плата и пензија и значајно повећање капиталних инвестиција као битне компоненте развоја привреде. Посебна пажња је посвећена унапређењу ефикасности реализације капиталних инвестиција државе. Социјална компонента буџета је побољшана бољим таргетирањем програма социјалне помоћи и већим издвајањем за функције здравства и образовања. Дефинисан је и начин индексације пензија. Плате и пензије заједно чине преко </w:t>
      </w:r>
      <w:r w:rsidRPr="00092ED7">
        <w:rPr>
          <w:rFonts w:eastAsia="MS PGothic" w:cstheme="minorHAnsi"/>
          <w:szCs w:val="20"/>
          <w:shd w:val="clear" w:color="auto" w:fill="FFFFFF" w:themeFill="background1"/>
          <w:lang w:val="sr-Cyrl-CS" w:eastAsia="ja-JP"/>
        </w:rPr>
        <w:t>40%</w:t>
      </w:r>
      <w:r w:rsidRPr="00092ED7">
        <w:rPr>
          <w:rFonts w:eastAsia="MS PGothic" w:cstheme="minorHAnsi"/>
          <w:szCs w:val="20"/>
          <w:lang w:val="sr-Cyrl-CS" w:eastAsia="ja-JP"/>
        </w:rPr>
        <w:t xml:space="preserve"> расхода на нивоу опште државе и њихова стабилизација је од пресудног значаја за одрживост јавних финансија.</w:t>
      </w:r>
    </w:p>
    <w:p w14:paraId="558D5ADA" w14:textId="77777777" w:rsidR="00A5229A" w:rsidRPr="00092ED7" w:rsidRDefault="00A5229A">
      <w:pPr>
        <w:spacing w:after="160" w:line="259" w:lineRule="auto"/>
        <w:jc w:val="left"/>
        <w:rPr>
          <w:lang w:val="sr-Cyrl-CS" w:eastAsia="ja-JP"/>
        </w:rPr>
      </w:pPr>
      <w:r w:rsidRPr="00092ED7">
        <w:rPr>
          <w:lang w:val="sr-Cyrl-CS" w:eastAsia="ja-JP"/>
        </w:rPr>
        <w:br w:type="page"/>
      </w:r>
    </w:p>
    <w:p w14:paraId="2AE342CD" w14:textId="77777777" w:rsidR="00576A4F" w:rsidRPr="00092ED7" w:rsidRDefault="00576A4F" w:rsidP="00576A4F">
      <w:pPr>
        <w:rPr>
          <w:lang w:val="sr-Cyrl-CS" w:eastAsia="ja-JP"/>
        </w:rPr>
      </w:pPr>
      <w:r w:rsidRPr="00092ED7">
        <w:rPr>
          <w:lang w:val="sr-Cyrl-CS" w:eastAsia="ja-JP"/>
        </w:rPr>
        <w:t>Табела 9. Укупни расходи у периоду 2020–2024. године, % БДП</w:t>
      </w:r>
    </w:p>
    <w:tbl>
      <w:tblPr>
        <w:tblStyle w:val="LightShading-Accent1221"/>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07"/>
        <w:gridCol w:w="1177"/>
        <w:gridCol w:w="1144"/>
        <w:gridCol w:w="1032"/>
        <w:gridCol w:w="1033"/>
        <w:gridCol w:w="1036"/>
      </w:tblGrid>
      <w:tr w:rsidR="00576A4F" w:rsidRPr="00092ED7" w14:paraId="62826094" w14:textId="77777777" w:rsidTr="00A3670F">
        <w:trPr>
          <w:cnfStyle w:val="100000000000" w:firstRow="1" w:lastRow="0" w:firstColumn="0" w:lastColumn="0" w:oddVBand="0" w:evenVBand="0" w:oddHBand="0" w:evenHBand="0" w:firstRowFirstColumn="0" w:firstRowLastColumn="0" w:lastRowFirstColumn="0" w:lastRowLastColumn="0"/>
          <w:trHeight w:val="49"/>
        </w:trPr>
        <w:tc>
          <w:tcPr>
            <w:tcW w:w="1967" w:type="pct"/>
            <w:tcBorders>
              <w:top w:val="none" w:sz="0" w:space="0" w:color="auto"/>
              <w:left w:val="none" w:sz="0" w:space="0" w:color="auto"/>
              <w:bottom w:val="single" w:sz="4" w:space="0" w:color="auto"/>
              <w:right w:val="none" w:sz="0" w:space="0" w:color="auto"/>
            </w:tcBorders>
            <w:noWrap/>
            <w:vAlign w:val="center"/>
          </w:tcPr>
          <w:p w14:paraId="6B8671A3" w14:textId="77777777" w:rsidR="00576A4F" w:rsidRPr="00092ED7" w:rsidRDefault="00576A4F" w:rsidP="00A06946">
            <w:pPr>
              <w:widowControl w:val="0"/>
              <w:shd w:val="clear" w:color="auto" w:fill="FFFFFF" w:themeFill="background1"/>
              <w:spacing w:after="0"/>
              <w:rPr>
                <w:rFonts w:eastAsia="Times New Roman"/>
                <w:color w:val="auto"/>
                <w:sz w:val="20"/>
                <w:lang w:val="sr-Cyrl-CS"/>
              </w:rPr>
            </w:pPr>
          </w:p>
        </w:tc>
        <w:tc>
          <w:tcPr>
            <w:tcW w:w="644" w:type="pct"/>
            <w:tcBorders>
              <w:top w:val="none" w:sz="0" w:space="0" w:color="auto"/>
              <w:left w:val="none" w:sz="0" w:space="0" w:color="auto"/>
              <w:bottom w:val="single" w:sz="4" w:space="0" w:color="auto"/>
              <w:right w:val="none" w:sz="0" w:space="0" w:color="auto"/>
            </w:tcBorders>
            <w:vAlign w:val="center"/>
          </w:tcPr>
          <w:p w14:paraId="1FC258C7" w14:textId="77777777" w:rsidR="00576A4F" w:rsidRPr="00092ED7" w:rsidRDefault="00576A4F" w:rsidP="00A06946">
            <w:pPr>
              <w:widowControl w:val="0"/>
              <w:shd w:val="clear" w:color="auto" w:fill="FFFFFF" w:themeFill="background1"/>
              <w:spacing w:after="0"/>
              <w:jc w:val="right"/>
              <w:rPr>
                <w:rFonts w:eastAsia="Times New Roman"/>
                <w:color w:val="auto"/>
                <w:sz w:val="20"/>
                <w:lang w:val="sr-Cyrl-CS"/>
              </w:rPr>
            </w:pPr>
            <w:r w:rsidRPr="00092ED7">
              <w:rPr>
                <w:color w:val="auto"/>
                <w:sz w:val="20"/>
                <w:lang w:val="sr-Cyrl-CS"/>
              </w:rPr>
              <w:t>Извршење</w:t>
            </w:r>
          </w:p>
        </w:tc>
        <w:tc>
          <w:tcPr>
            <w:tcW w:w="644" w:type="pct"/>
            <w:tcBorders>
              <w:top w:val="none" w:sz="0" w:space="0" w:color="auto"/>
              <w:left w:val="none" w:sz="0" w:space="0" w:color="auto"/>
              <w:bottom w:val="single" w:sz="4" w:space="0" w:color="auto"/>
              <w:right w:val="none" w:sz="0" w:space="0" w:color="auto"/>
            </w:tcBorders>
            <w:vAlign w:val="center"/>
          </w:tcPr>
          <w:p w14:paraId="7DD486C2" w14:textId="77777777" w:rsidR="00576A4F" w:rsidRPr="00092ED7" w:rsidRDefault="00576A4F" w:rsidP="00A06946">
            <w:pPr>
              <w:widowControl w:val="0"/>
              <w:shd w:val="clear" w:color="auto" w:fill="FFFFFF" w:themeFill="background1"/>
              <w:spacing w:after="0"/>
              <w:jc w:val="right"/>
              <w:rPr>
                <w:rFonts w:eastAsia="Times New Roman"/>
                <w:color w:val="auto"/>
                <w:sz w:val="20"/>
                <w:lang w:val="sr-Cyrl-CS"/>
              </w:rPr>
            </w:pPr>
            <w:r w:rsidRPr="00092ED7">
              <w:rPr>
                <w:color w:val="auto"/>
                <w:sz w:val="20"/>
                <w:lang w:val="sr-Cyrl-CS"/>
              </w:rPr>
              <w:t>Процена</w:t>
            </w:r>
          </w:p>
        </w:tc>
        <w:tc>
          <w:tcPr>
            <w:tcW w:w="1745" w:type="pct"/>
            <w:gridSpan w:val="3"/>
            <w:tcBorders>
              <w:top w:val="none" w:sz="0" w:space="0" w:color="auto"/>
              <w:left w:val="none" w:sz="0" w:space="0" w:color="auto"/>
              <w:bottom w:val="single" w:sz="4" w:space="0" w:color="auto"/>
              <w:right w:val="none" w:sz="0" w:space="0" w:color="auto"/>
            </w:tcBorders>
            <w:vAlign w:val="center"/>
          </w:tcPr>
          <w:p w14:paraId="5D42B0B8" w14:textId="77777777" w:rsidR="00576A4F" w:rsidRPr="00092ED7" w:rsidRDefault="00576A4F" w:rsidP="00A06946">
            <w:pPr>
              <w:widowControl w:val="0"/>
              <w:shd w:val="clear" w:color="auto" w:fill="FFFFFF" w:themeFill="background1"/>
              <w:spacing w:after="0"/>
              <w:jc w:val="center"/>
              <w:rPr>
                <w:rFonts w:eastAsia="Times New Roman"/>
                <w:color w:val="auto"/>
                <w:sz w:val="20"/>
                <w:lang w:val="sr-Cyrl-CS"/>
              </w:rPr>
            </w:pPr>
            <w:r w:rsidRPr="00092ED7">
              <w:rPr>
                <w:color w:val="auto"/>
                <w:sz w:val="20"/>
                <w:lang w:val="sr-Cyrl-CS"/>
              </w:rPr>
              <w:t>Пројекција</w:t>
            </w:r>
          </w:p>
        </w:tc>
      </w:tr>
      <w:tr w:rsidR="00A3670F" w:rsidRPr="00092ED7" w14:paraId="46EAE8D6" w14:textId="77777777" w:rsidTr="00A3670F">
        <w:trPr>
          <w:cnfStyle w:val="000000100000" w:firstRow="0" w:lastRow="0" w:firstColumn="0" w:lastColumn="0" w:oddVBand="0" w:evenVBand="0" w:oddHBand="1" w:evenHBand="0" w:firstRowFirstColumn="0" w:firstRowLastColumn="0" w:lastRowFirstColumn="0" w:lastRowLastColumn="0"/>
          <w:trHeight w:val="49"/>
        </w:trPr>
        <w:tc>
          <w:tcPr>
            <w:tcW w:w="1967" w:type="pct"/>
            <w:tcBorders>
              <w:left w:val="single" w:sz="4" w:space="0" w:color="auto"/>
              <w:right w:val="single" w:sz="4" w:space="0" w:color="auto"/>
            </w:tcBorders>
            <w:shd w:val="clear" w:color="auto" w:fill="FFFFFF" w:themeFill="background1"/>
            <w:noWrap/>
          </w:tcPr>
          <w:p w14:paraId="3EBFF086" w14:textId="77777777" w:rsidR="00576A4F" w:rsidRPr="00092ED7" w:rsidRDefault="00A3670F" w:rsidP="00A06946">
            <w:pPr>
              <w:widowControl w:val="0"/>
              <w:shd w:val="clear" w:color="auto" w:fill="FFFFFF" w:themeFill="background1"/>
              <w:spacing w:after="0"/>
              <w:rPr>
                <w:rFonts w:eastAsia="Times New Roman"/>
                <w:b/>
                <w:bCs/>
                <w:color w:val="auto"/>
                <w:sz w:val="20"/>
                <w:lang w:val="sr-Cyrl-CS"/>
              </w:rPr>
            </w:pPr>
            <w:r w:rsidRPr="00092ED7">
              <w:rPr>
                <w:b/>
                <w:color w:val="auto"/>
                <w:sz w:val="20"/>
                <w:lang w:val="sr-Cyrl-CS"/>
              </w:rPr>
              <w:t>Опис</w:t>
            </w:r>
          </w:p>
        </w:tc>
        <w:tc>
          <w:tcPr>
            <w:tcW w:w="644" w:type="pct"/>
            <w:tcBorders>
              <w:left w:val="single" w:sz="4" w:space="0" w:color="auto"/>
              <w:right w:val="single" w:sz="4" w:space="0" w:color="auto"/>
            </w:tcBorders>
            <w:shd w:val="clear" w:color="auto" w:fill="FFFFFF" w:themeFill="background1"/>
          </w:tcPr>
          <w:p w14:paraId="647B0797" w14:textId="77777777" w:rsidR="00576A4F" w:rsidRPr="00092ED7" w:rsidRDefault="00576A4F" w:rsidP="00A06946">
            <w:pPr>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2021</w:t>
            </w:r>
          </w:p>
        </w:tc>
        <w:tc>
          <w:tcPr>
            <w:tcW w:w="644" w:type="pct"/>
            <w:tcBorders>
              <w:left w:val="single" w:sz="4" w:space="0" w:color="auto"/>
              <w:right w:val="single" w:sz="4" w:space="0" w:color="auto"/>
            </w:tcBorders>
            <w:shd w:val="clear" w:color="auto" w:fill="FFFFFF" w:themeFill="background1"/>
          </w:tcPr>
          <w:p w14:paraId="5EDF0D8F" w14:textId="77777777" w:rsidR="00576A4F" w:rsidRPr="00092ED7" w:rsidRDefault="00576A4F" w:rsidP="00A06946">
            <w:pPr>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2022</w:t>
            </w:r>
          </w:p>
        </w:tc>
        <w:tc>
          <w:tcPr>
            <w:tcW w:w="581" w:type="pct"/>
            <w:tcBorders>
              <w:left w:val="single" w:sz="4" w:space="0" w:color="auto"/>
              <w:right w:val="single" w:sz="4" w:space="0" w:color="auto"/>
            </w:tcBorders>
            <w:shd w:val="clear" w:color="auto" w:fill="FFFFFF" w:themeFill="background1"/>
          </w:tcPr>
          <w:p w14:paraId="2E1821C2" w14:textId="77777777" w:rsidR="00576A4F" w:rsidRPr="00092ED7" w:rsidRDefault="00576A4F" w:rsidP="00A06946">
            <w:pPr>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2023</w:t>
            </w:r>
          </w:p>
        </w:tc>
        <w:tc>
          <w:tcPr>
            <w:tcW w:w="581" w:type="pct"/>
            <w:tcBorders>
              <w:left w:val="single" w:sz="4" w:space="0" w:color="auto"/>
              <w:right w:val="single" w:sz="4" w:space="0" w:color="auto"/>
            </w:tcBorders>
            <w:shd w:val="clear" w:color="auto" w:fill="FFFFFF" w:themeFill="background1"/>
          </w:tcPr>
          <w:p w14:paraId="6ED3DE26" w14:textId="77777777" w:rsidR="00576A4F" w:rsidRPr="00092ED7" w:rsidRDefault="00576A4F" w:rsidP="00A06946">
            <w:pPr>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2024</w:t>
            </w:r>
          </w:p>
        </w:tc>
        <w:tc>
          <w:tcPr>
            <w:tcW w:w="583" w:type="pct"/>
            <w:tcBorders>
              <w:left w:val="single" w:sz="4" w:space="0" w:color="auto"/>
              <w:right w:val="single" w:sz="4" w:space="0" w:color="auto"/>
            </w:tcBorders>
            <w:shd w:val="clear" w:color="auto" w:fill="FFFFFF" w:themeFill="background1"/>
          </w:tcPr>
          <w:p w14:paraId="50FE4D5E" w14:textId="77777777" w:rsidR="00576A4F" w:rsidRPr="00092ED7" w:rsidRDefault="00576A4F" w:rsidP="00A06946">
            <w:pPr>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2025</w:t>
            </w:r>
          </w:p>
        </w:tc>
      </w:tr>
      <w:tr w:rsidR="00A3670F" w:rsidRPr="00092ED7" w14:paraId="167C0351" w14:textId="77777777" w:rsidTr="00A3670F">
        <w:trPr>
          <w:trHeight w:val="49"/>
        </w:trPr>
        <w:tc>
          <w:tcPr>
            <w:tcW w:w="1967" w:type="pct"/>
            <w:shd w:val="clear" w:color="auto" w:fill="FFFFFF" w:themeFill="background1"/>
          </w:tcPr>
          <w:p w14:paraId="3CF343D7" w14:textId="77777777" w:rsidR="00576A4F" w:rsidRPr="00092ED7" w:rsidRDefault="00576A4F" w:rsidP="00A06946">
            <w:pPr>
              <w:widowControl w:val="0"/>
              <w:shd w:val="clear" w:color="auto" w:fill="FFFFFF" w:themeFill="background1"/>
              <w:spacing w:after="0"/>
              <w:rPr>
                <w:color w:val="auto"/>
                <w:sz w:val="20"/>
                <w:lang w:val="sr-Cyrl-CS"/>
              </w:rPr>
            </w:pPr>
            <w:r w:rsidRPr="00092ED7">
              <w:rPr>
                <w:color w:val="auto"/>
                <w:sz w:val="20"/>
                <w:lang w:val="sr-Cyrl-CS"/>
              </w:rPr>
              <w:t>ЈАВНИ РАСХОДИ</w:t>
            </w:r>
          </w:p>
        </w:tc>
        <w:tc>
          <w:tcPr>
            <w:tcW w:w="644" w:type="pct"/>
            <w:shd w:val="clear" w:color="auto" w:fill="FFFFFF" w:themeFill="background1"/>
          </w:tcPr>
          <w:p w14:paraId="5B7E70BC"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47,4</w:t>
            </w:r>
          </w:p>
        </w:tc>
        <w:tc>
          <w:tcPr>
            <w:tcW w:w="644" w:type="pct"/>
            <w:shd w:val="clear" w:color="auto" w:fill="FFFFFF" w:themeFill="background1"/>
            <w:noWrap/>
          </w:tcPr>
          <w:p w14:paraId="1CB7D023"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46,8</w:t>
            </w:r>
          </w:p>
        </w:tc>
        <w:tc>
          <w:tcPr>
            <w:tcW w:w="581" w:type="pct"/>
            <w:shd w:val="clear" w:color="auto" w:fill="FFFFFF" w:themeFill="background1"/>
            <w:noWrap/>
          </w:tcPr>
          <w:p w14:paraId="52B8A183"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44,2</w:t>
            </w:r>
          </w:p>
        </w:tc>
        <w:tc>
          <w:tcPr>
            <w:tcW w:w="581" w:type="pct"/>
            <w:shd w:val="clear" w:color="auto" w:fill="FFFFFF" w:themeFill="background1"/>
            <w:noWrap/>
          </w:tcPr>
          <w:p w14:paraId="1018ED6B"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42,5</w:t>
            </w:r>
          </w:p>
        </w:tc>
        <w:tc>
          <w:tcPr>
            <w:tcW w:w="583" w:type="pct"/>
            <w:shd w:val="clear" w:color="auto" w:fill="FFFFFF" w:themeFill="background1"/>
            <w:noWrap/>
          </w:tcPr>
          <w:p w14:paraId="2758D8A5"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41,0</w:t>
            </w:r>
          </w:p>
        </w:tc>
      </w:tr>
      <w:tr w:rsidR="00576A4F" w:rsidRPr="00092ED7" w14:paraId="43D48880" w14:textId="77777777" w:rsidTr="00A3670F">
        <w:trPr>
          <w:cnfStyle w:val="000000100000" w:firstRow="0" w:lastRow="0" w:firstColumn="0" w:lastColumn="0" w:oddVBand="0" w:evenVBand="0" w:oddHBand="1" w:evenHBand="0" w:firstRowFirstColumn="0" w:firstRowLastColumn="0" w:lastRowFirstColumn="0" w:lastRowLastColumn="0"/>
          <w:trHeight w:val="49"/>
        </w:trPr>
        <w:tc>
          <w:tcPr>
            <w:tcW w:w="1967" w:type="pct"/>
            <w:tcBorders>
              <w:left w:val="none" w:sz="0" w:space="0" w:color="auto"/>
              <w:right w:val="none" w:sz="0" w:space="0" w:color="auto"/>
            </w:tcBorders>
            <w:shd w:val="clear" w:color="auto" w:fill="FFFFFF" w:themeFill="background1"/>
          </w:tcPr>
          <w:p w14:paraId="2E97F7F1" w14:textId="77777777" w:rsidR="00576A4F" w:rsidRPr="00092ED7" w:rsidRDefault="00576A4F" w:rsidP="00A06946">
            <w:pPr>
              <w:widowControl w:val="0"/>
              <w:shd w:val="clear" w:color="auto" w:fill="FFFFFF" w:themeFill="background1"/>
              <w:spacing w:after="0"/>
              <w:rPr>
                <w:rFonts w:eastAsia="Times New Roman"/>
                <w:bCs/>
                <w:color w:val="auto"/>
                <w:sz w:val="20"/>
                <w:lang w:val="sr-Cyrl-CS"/>
              </w:rPr>
            </w:pPr>
            <w:r w:rsidRPr="00092ED7">
              <w:rPr>
                <w:rFonts w:eastAsia="Times New Roman"/>
                <w:bCs/>
                <w:color w:val="auto"/>
                <w:sz w:val="20"/>
                <w:lang w:val="sr-Cyrl-CS"/>
              </w:rPr>
              <w:t>Текући расходи</w:t>
            </w:r>
          </w:p>
        </w:tc>
        <w:tc>
          <w:tcPr>
            <w:tcW w:w="644" w:type="pct"/>
            <w:tcBorders>
              <w:left w:val="none" w:sz="0" w:space="0" w:color="auto"/>
              <w:right w:val="none" w:sz="0" w:space="0" w:color="auto"/>
            </w:tcBorders>
            <w:shd w:val="clear" w:color="auto" w:fill="FFFFFF" w:themeFill="background1"/>
          </w:tcPr>
          <w:p w14:paraId="170FB743"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39,0</w:t>
            </w:r>
          </w:p>
        </w:tc>
        <w:tc>
          <w:tcPr>
            <w:tcW w:w="644" w:type="pct"/>
            <w:tcBorders>
              <w:left w:val="none" w:sz="0" w:space="0" w:color="auto"/>
              <w:right w:val="none" w:sz="0" w:space="0" w:color="auto"/>
            </w:tcBorders>
            <w:shd w:val="clear" w:color="auto" w:fill="FFFFFF" w:themeFill="background1"/>
            <w:noWrap/>
          </w:tcPr>
          <w:p w14:paraId="50F64F98"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37,1</w:t>
            </w:r>
          </w:p>
        </w:tc>
        <w:tc>
          <w:tcPr>
            <w:tcW w:w="581" w:type="pct"/>
            <w:tcBorders>
              <w:left w:val="none" w:sz="0" w:space="0" w:color="auto"/>
              <w:right w:val="none" w:sz="0" w:space="0" w:color="auto"/>
            </w:tcBorders>
            <w:shd w:val="clear" w:color="auto" w:fill="FFFFFF" w:themeFill="background1"/>
            <w:noWrap/>
          </w:tcPr>
          <w:p w14:paraId="14585449"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35,6</w:t>
            </w:r>
          </w:p>
        </w:tc>
        <w:tc>
          <w:tcPr>
            <w:tcW w:w="581" w:type="pct"/>
            <w:tcBorders>
              <w:left w:val="none" w:sz="0" w:space="0" w:color="auto"/>
              <w:right w:val="none" w:sz="0" w:space="0" w:color="auto"/>
            </w:tcBorders>
            <w:shd w:val="clear" w:color="auto" w:fill="FFFFFF" w:themeFill="background1"/>
            <w:noWrap/>
          </w:tcPr>
          <w:p w14:paraId="1BA634BC"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35,2</w:t>
            </w:r>
          </w:p>
        </w:tc>
        <w:tc>
          <w:tcPr>
            <w:tcW w:w="583" w:type="pct"/>
            <w:tcBorders>
              <w:left w:val="none" w:sz="0" w:space="0" w:color="auto"/>
              <w:right w:val="none" w:sz="0" w:space="0" w:color="auto"/>
            </w:tcBorders>
            <w:shd w:val="clear" w:color="auto" w:fill="FFFFFF" w:themeFill="background1"/>
            <w:noWrap/>
          </w:tcPr>
          <w:p w14:paraId="5241DD53"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34,6</w:t>
            </w:r>
          </w:p>
        </w:tc>
      </w:tr>
      <w:tr w:rsidR="00576A4F" w:rsidRPr="00092ED7" w14:paraId="127076E7" w14:textId="77777777" w:rsidTr="00A3670F">
        <w:trPr>
          <w:trHeight w:val="49"/>
        </w:trPr>
        <w:tc>
          <w:tcPr>
            <w:tcW w:w="1967" w:type="pct"/>
            <w:shd w:val="clear" w:color="auto" w:fill="FFFFFF" w:themeFill="background1"/>
          </w:tcPr>
          <w:p w14:paraId="4B857E0D" w14:textId="77777777" w:rsidR="00576A4F" w:rsidRPr="00092ED7" w:rsidRDefault="00576A4F" w:rsidP="00A06946">
            <w:pPr>
              <w:widowControl w:val="0"/>
              <w:shd w:val="clear" w:color="auto" w:fill="FFFFFF" w:themeFill="background1"/>
              <w:spacing w:after="0"/>
              <w:ind w:left="284"/>
              <w:rPr>
                <w:rFonts w:eastAsia="Times New Roman"/>
                <w:bCs/>
                <w:color w:val="auto"/>
                <w:sz w:val="20"/>
                <w:lang w:val="sr-Cyrl-CS"/>
              </w:rPr>
            </w:pPr>
            <w:r w:rsidRPr="00092ED7">
              <w:rPr>
                <w:rFonts w:eastAsia="Times New Roman"/>
                <w:bCs/>
                <w:color w:val="auto"/>
                <w:sz w:val="20"/>
                <w:lang w:val="sr-Cyrl-CS"/>
              </w:rPr>
              <w:t>Расходи за запослене</w:t>
            </w:r>
          </w:p>
        </w:tc>
        <w:tc>
          <w:tcPr>
            <w:tcW w:w="644" w:type="pct"/>
            <w:shd w:val="clear" w:color="auto" w:fill="FFFFFF" w:themeFill="background1"/>
          </w:tcPr>
          <w:p w14:paraId="5B41939C"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10,0</w:t>
            </w:r>
          </w:p>
        </w:tc>
        <w:tc>
          <w:tcPr>
            <w:tcW w:w="644" w:type="pct"/>
            <w:shd w:val="clear" w:color="auto" w:fill="FFFFFF" w:themeFill="background1"/>
            <w:noWrap/>
          </w:tcPr>
          <w:p w14:paraId="7DC8AE2C"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9,7</w:t>
            </w:r>
          </w:p>
        </w:tc>
        <w:tc>
          <w:tcPr>
            <w:tcW w:w="581" w:type="pct"/>
            <w:shd w:val="clear" w:color="auto" w:fill="FFFFFF" w:themeFill="background1"/>
            <w:noWrap/>
          </w:tcPr>
          <w:p w14:paraId="16CEBA69"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9,6</w:t>
            </w:r>
          </w:p>
        </w:tc>
        <w:tc>
          <w:tcPr>
            <w:tcW w:w="581" w:type="pct"/>
            <w:shd w:val="clear" w:color="auto" w:fill="FFFFFF" w:themeFill="background1"/>
            <w:noWrap/>
          </w:tcPr>
          <w:p w14:paraId="13D1FB54"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9,6</w:t>
            </w:r>
          </w:p>
        </w:tc>
        <w:tc>
          <w:tcPr>
            <w:tcW w:w="583" w:type="pct"/>
            <w:shd w:val="clear" w:color="auto" w:fill="FFFFFF" w:themeFill="background1"/>
            <w:noWrap/>
          </w:tcPr>
          <w:p w14:paraId="79A38D4B"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9,6</w:t>
            </w:r>
          </w:p>
        </w:tc>
      </w:tr>
      <w:tr w:rsidR="00576A4F" w:rsidRPr="00092ED7" w14:paraId="73AA2F88" w14:textId="77777777" w:rsidTr="00A3670F">
        <w:trPr>
          <w:cnfStyle w:val="000000100000" w:firstRow="0" w:lastRow="0" w:firstColumn="0" w:lastColumn="0" w:oddVBand="0" w:evenVBand="0" w:oddHBand="1" w:evenHBand="0" w:firstRowFirstColumn="0" w:firstRowLastColumn="0" w:lastRowFirstColumn="0" w:lastRowLastColumn="0"/>
          <w:trHeight w:val="49"/>
        </w:trPr>
        <w:tc>
          <w:tcPr>
            <w:tcW w:w="1967" w:type="pct"/>
            <w:tcBorders>
              <w:left w:val="none" w:sz="0" w:space="0" w:color="auto"/>
              <w:right w:val="none" w:sz="0" w:space="0" w:color="auto"/>
            </w:tcBorders>
            <w:shd w:val="clear" w:color="auto" w:fill="FFFFFF" w:themeFill="background1"/>
          </w:tcPr>
          <w:p w14:paraId="7F8E2ABF" w14:textId="77777777" w:rsidR="00576A4F" w:rsidRPr="00092ED7" w:rsidRDefault="00576A4F" w:rsidP="00A06946">
            <w:pPr>
              <w:widowControl w:val="0"/>
              <w:shd w:val="clear" w:color="auto" w:fill="FFFFFF" w:themeFill="background1"/>
              <w:spacing w:after="0"/>
              <w:ind w:left="284"/>
              <w:rPr>
                <w:rFonts w:eastAsia="Times New Roman"/>
                <w:bCs/>
                <w:color w:val="auto"/>
                <w:sz w:val="20"/>
                <w:lang w:val="sr-Cyrl-CS"/>
              </w:rPr>
            </w:pPr>
            <w:r w:rsidRPr="00092ED7">
              <w:rPr>
                <w:rFonts w:eastAsia="Times New Roman"/>
                <w:bCs/>
                <w:color w:val="auto"/>
                <w:sz w:val="20"/>
                <w:lang w:val="sr-Cyrl-CS"/>
              </w:rPr>
              <w:t>Куповина робе и услуга</w:t>
            </w:r>
          </w:p>
        </w:tc>
        <w:tc>
          <w:tcPr>
            <w:tcW w:w="644" w:type="pct"/>
            <w:tcBorders>
              <w:left w:val="none" w:sz="0" w:space="0" w:color="auto"/>
              <w:right w:val="none" w:sz="0" w:space="0" w:color="auto"/>
            </w:tcBorders>
            <w:shd w:val="clear" w:color="auto" w:fill="FFFFFF" w:themeFill="background1"/>
          </w:tcPr>
          <w:p w14:paraId="0C0ACF63"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7,8</w:t>
            </w:r>
          </w:p>
        </w:tc>
        <w:tc>
          <w:tcPr>
            <w:tcW w:w="644" w:type="pct"/>
            <w:tcBorders>
              <w:left w:val="none" w:sz="0" w:space="0" w:color="auto"/>
              <w:right w:val="none" w:sz="0" w:space="0" w:color="auto"/>
            </w:tcBorders>
            <w:shd w:val="clear" w:color="auto" w:fill="FFFFFF" w:themeFill="background1"/>
            <w:noWrap/>
          </w:tcPr>
          <w:p w14:paraId="15C2AEF5"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7,8</w:t>
            </w:r>
          </w:p>
        </w:tc>
        <w:tc>
          <w:tcPr>
            <w:tcW w:w="581" w:type="pct"/>
            <w:tcBorders>
              <w:left w:val="none" w:sz="0" w:space="0" w:color="auto"/>
              <w:right w:val="none" w:sz="0" w:space="0" w:color="auto"/>
            </w:tcBorders>
            <w:shd w:val="clear" w:color="auto" w:fill="FFFFFF" w:themeFill="background1"/>
            <w:noWrap/>
          </w:tcPr>
          <w:p w14:paraId="68BEA400"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7,2</w:t>
            </w:r>
          </w:p>
        </w:tc>
        <w:tc>
          <w:tcPr>
            <w:tcW w:w="581" w:type="pct"/>
            <w:tcBorders>
              <w:left w:val="none" w:sz="0" w:space="0" w:color="auto"/>
              <w:right w:val="none" w:sz="0" w:space="0" w:color="auto"/>
            </w:tcBorders>
            <w:shd w:val="clear" w:color="auto" w:fill="FFFFFF" w:themeFill="background1"/>
            <w:noWrap/>
          </w:tcPr>
          <w:p w14:paraId="74A67A46"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6,9</w:t>
            </w:r>
          </w:p>
        </w:tc>
        <w:tc>
          <w:tcPr>
            <w:tcW w:w="583" w:type="pct"/>
            <w:tcBorders>
              <w:left w:val="none" w:sz="0" w:space="0" w:color="auto"/>
              <w:right w:val="none" w:sz="0" w:space="0" w:color="auto"/>
            </w:tcBorders>
            <w:shd w:val="clear" w:color="auto" w:fill="FFFFFF" w:themeFill="background1"/>
            <w:noWrap/>
          </w:tcPr>
          <w:p w14:paraId="31ADCD4F"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6,7</w:t>
            </w:r>
          </w:p>
        </w:tc>
      </w:tr>
      <w:tr w:rsidR="00576A4F" w:rsidRPr="00092ED7" w14:paraId="45025BCB" w14:textId="77777777" w:rsidTr="00A3670F">
        <w:trPr>
          <w:trHeight w:val="49"/>
        </w:trPr>
        <w:tc>
          <w:tcPr>
            <w:tcW w:w="1967" w:type="pct"/>
            <w:shd w:val="clear" w:color="auto" w:fill="FFFFFF" w:themeFill="background1"/>
          </w:tcPr>
          <w:p w14:paraId="62EE5A75" w14:textId="77777777" w:rsidR="00576A4F" w:rsidRPr="00092ED7" w:rsidRDefault="00576A4F" w:rsidP="00A06946">
            <w:pPr>
              <w:widowControl w:val="0"/>
              <w:shd w:val="clear" w:color="auto" w:fill="FFFFFF" w:themeFill="background1"/>
              <w:spacing w:after="0"/>
              <w:ind w:left="284"/>
              <w:rPr>
                <w:rFonts w:eastAsia="Times New Roman"/>
                <w:bCs/>
                <w:color w:val="auto"/>
                <w:sz w:val="20"/>
                <w:lang w:val="sr-Cyrl-CS"/>
              </w:rPr>
            </w:pPr>
            <w:r w:rsidRPr="00092ED7">
              <w:rPr>
                <w:rFonts w:eastAsia="Times New Roman"/>
                <w:bCs/>
                <w:color w:val="auto"/>
                <w:sz w:val="20"/>
                <w:lang w:val="sr-Cyrl-CS"/>
              </w:rPr>
              <w:t>Отплата камата</w:t>
            </w:r>
          </w:p>
        </w:tc>
        <w:tc>
          <w:tcPr>
            <w:tcW w:w="644" w:type="pct"/>
            <w:shd w:val="clear" w:color="auto" w:fill="FFFFFF" w:themeFill="background1"/>
          </w:tcPr>
          <w:p w14:paraId="6D1123A0"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1,7</w:t>
            </w:r>
          </w:p>
        </w:tc>
        <w:tc>
          <w:tcPr>
            <w:tcW w:w="644" w:type="pct"/>
            <w:shd w:val="clear" w:color="auto" w:fill="FFFFFF" w:themeFill="background1"/>
            <w:noWrap/>
          </w:tcPr>
          <w:p w14:paraId="4590AB42"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1,6</w:t>
            </w:r>
          </w:p>
        </w:tc>
        <w:tc>
          <w:tcPr>
            <w:tcW w:w="581" w:type="pct"/>
            <w:shd w:val="clear" w:color="auto" w:fill="FFFFFF" w:themeFill="background1"/>
            <w:noWrap/>
          </w:tcPr>
          <w:p w14:paraId="5A06DFD0"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1,8</w:t>
            </w:r>
          </w:p>
        </w:tc>
        <w:tc>
          <w:tcPr>
            <w:tcW w:w="581" w:type="pct"/>
            <w:shd w:val="clear" w:color="auto" w:fill="FFFFFF" w:themeFill="background1"/>
            <w:noWrap/>
          </w:tcPr>
          <w:p w14:paraId="54C50A6C"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2,1</w:t>
            </w:r>
          </w:p>
        </w:tc>
        <w:tc>
          <w:tcPr>
            <w:tcW w:w="583" w:type="pct"/>
            <w:shd w:val="clear" w:color="auto" w:fill="FFFFFF" w:themeFill="background1"/>
            <w:noWrap/>
          </w:tcPr>
          <w:p w14:paraId="262DC59A"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1,9</w:t>
            </w:r>
          </w:p>
        </w:tc>
      </w:tr>
      <w:tr w:rsidR="00576A4F" w:rsidRPr="00092ED7" w14:paraId="702F07AC" w14:textId="77777777" w:rsidTr="00A3670F">
        <w:trPr>
          <w:cnfStyle w:val="000000100000" w:firstRow="0" w:lastRow="0" w:firstColumn="0" w:lastColumn="0" w:oddVBand="0" w:evenVBand="0" w:oddHBand="1" w:evenHBand="0" w:firstRowFirstColumn="0" w:firstRowLastColumn="0" w:lastRowFirstColumn="0" w:lastRowLastColumn="0"/>
          <w:trHeight w:val="49"/>
        </w:trPr>
        <w:tc>
          <w:tcPr>
            <w:tcW w:w="1967" w:type="pct"/>
            <w:tcBorders>
              <w:left w:val="none" w:sz="0" w:space="0" w:color="auto"/>
              <w:right w:val="none" w:sz="0" w:space="0" w:color="auto"/>
            </w:tcBorders>
            <w:shd w:val="clear" w:color="auto" w:fill="FFFFFF" w:themeFill="background1"/>
          </w:tcPr>
          <w:p w14:paraId="06885317" w14:textId="77777777" w:rsidR="00576A4F" w:rsidRPr="00092ED7" w:rsidRDefault="00576A4F" w:rsidP="00A06946">
            <w:pPr>
              <w:widowControl w:val="0"/>
              <w:shd w:val="clear" w:color="auto" w:fill="FFFFFF" w:themeFill="background1"/>
              <w:spacing w:after="0"/>
              <w:ind w:left="284"/>
              <w:rPr>
                <w:rFonts w:eastAsia="Times New Roman"/>
                <w:bCs/>
                <w:color w:val="auto"/>
                <w:sz w:val="20"/>
                <w:lang w:val="sr-Cyrl-CS"/>
              </w:rPr>
            </w:pPr>
            <w:r w:rsidRPr="00092ED7">
              <w:rPr>
                <w:rFonts w:eastAsia="Times New Roman"/>
                <w:bCs/>
                <w:color w:val="auto"/>
                <w:sz w:val="20"/>
                <w:lang w:val="sr-Cyrl-CS"/>
              </w:rPr>
              <w:t>Субвенције</w:t>
            </w:r>
          </w:p>
        </w:tc>
        <w:tc>
          <w:tcPr>
            <w:tcW w:w="644" w:type="pct"/>
            <w:tcBorders>
              <w:left w:val="none" w:sz="0" w:space="0" w:color="auto"/>
              <w:right w:val="none" w:sz="0" w:space="0" w:color="auto"/>
            </w:tcBorders>
            <w:shd w:val="clear" w:color="auto" w:fill="FFFFFF" w:themeFill="background1"/>
          </w:tcPr>
          <w:p w14:paraId="36E852C0"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3,3</w:t>
            </w:r>
          </w:p>
        </w:tc>
        <w:tc>
          <w:tcPr>
            <w:tcW w:w="644" w:type="pct"/>
            <w:tcBorders>
              <w:left w:val="none" w:sz="0" w:space="0" w:color="auto"/>
              <w:right w:val="none" w:sz="0" w:space="0" w:color="auto"/>
            </w:tcBorders>
            <w:shd w:val="clear" w:color="auto" w:fill="FFFFFF" w:themeFill="background1"/>
            <w:noWrap/>
          </w:tcPr>
          <w:p w14:paraId="09BB6ED6"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2,6</w:t>
            </w:r>
          </w:p>
        </w:tc>
        <w:tc>
          <w:tcPr>
            <w:tcW w:w="581" w:type="pct"/>
            <w:tcBorders>
              <w:left w:val="none" w:sz="0" w:space="0" w:color="auto"/>
              <w:right w:val="none" w:sz="0" w:space="0" w:color="auto"/>
            </w:tcBorders>
            <w:shd w:val="clear" w:color="auto" w:fill="FFFFFF" w:themeFill="background1"/>
            <w:noWrap/>
          </w:tcPr>
          <w:p w14:paraId="7697CE79"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2,7</w:t>
            </w:r>
          </w:p>
        </w:tc>
        <w:tc>
          <w:tcPr>
            <w:tcW w:w="581" w:type="pct"/>
            <w:tcBorders>
              <w:left w:val="none" w:sz="0" w:space="0" w:color="auto"/>
              <w:right w:val="none" w:sz="0" w:space="0" w:color="auto"/>
            </w:tcBorders>
            <w:shd w:val="clear" w:color="auto" w:fill="FFFFFF" w:themeFill="background1"/>
            <w:noWrap/>
          </w:tcPr>
          <w:p w14:paraId="38D8E3C8"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2,2</w:t>
            </w:r>
          </w:p>
        </w:tc>
        <w:tc>
          <w:tcPr>
            <w:tcW w:w="583" w:type="pct"/>
            <w:tcBorders>
              <w:left w:val="none" w:sz="0" w:space="0" w:color="auto"/>
              <w:right w:val="none" w:sz="0" w:space="0" w:color="auto"/>
            </w:tcBorders>
            <w:shd w:val="clear" w:color="auto" w:fill="FFFFFF" w:themeFill="background1"/>
            <w:noWrap/>
          </w:tcPr>
          <w:p w14:paraId="73A731D1"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2,1</w:t>
            </w:r>
          </w:p>
        </w:tc>
      </w:tr>
      <w:tr w:rsidR="00576A4F" w:rsidRPr="00092ED7" w14:paraId="6A4E4065" w14:textId="77777777" w:rsidTr="00A3670F">
        <w:trPr>
          <w:trHeight w:val="49"/>
        </w:trPr>
        <w:tc>
          <w:tcPr>
            <w:tcW w:w="1967" w:type="pct"/>
            <w:shd w:val="clear" w:color="auto" w:fill="FFFFFF" w:themeFill="background1"/>
          </w:tcPr>
          <w:p w14:paraId="57464F4A" w14:textId="77777777" w:rsidR="00576A4F" w:rsidRPr="00092ED7" w:rsidRDefault="00576A4F" w:rsidP="00A06946">
            <w:pPr>
              <w:widowControl w:val="0"/>
              <w:shd w:val="clear" w:color="auto" w:fill="FFFFFF" w:themeFill="background1"/>
              <w:spacing w:after="0"/>
              <w:ind w:left="284"/>
              <w:rPr>
                <w:rFonts w:eastAsia="Times New Roman"/>
                <w:bCs/>
                <w:color w:val="auto"/>
                <w:sz w:val="20"/>
                <w:lang w:val="sr-Cyrl-CS"/>
              </w:rPr>
            </w:pPr>
            <w:r w:rsidRPr="00092ED7">
              <w:rPr>
                <w:rFonts w:eastAsia="Times New Roman"/>
                <w:bCs/>
                <w:color w:val="auto"/>
                <w:sz w:val="20"/>
                <w:lang w:val="sr-Cyrl-CS"/>
              </w:rPr>
              <w:t>Социјална помоћ и трансфери</w:t>
            </w:r>
          </w:p>
        </w:tc>
        <w:tc>
          <w:tcPr>
            <w:tcW w:w="644" w:type="pct"/>
            <w:shd w:val="clear" w:color="auto" w:fill="FFFFFF" w:themeFill="background1"/>
          </w:tcPr>
          <w:p w14:paraId="3F5CA2D3"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13,6</w:t>
            </w:r>
          </w:p>
        </w:tc>
        <w:tc>
          <w:tcPr>
            <w:tcW w:w="644" w:type="pct"/>
            <w:shd w:val="clear" w:color="auto" w:fill="FFFFFF" w:themeFill="background1"/>
            <w:noWrap/>
          </w:tcPr>
          <w:p w14:paraId="5FDF436E"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13,0</w:t>
            </w:r>
          </w:p>
        </w:tc>
        <w:tc>
          <w:tcPr>
            <w:tcW w:w="581" w:type="pct"/>
            <w:shd w:val="clear" w:color="auto" w:fill="FFFFFF" w:themeFill="background1"/>
            <w:noWrap/>
          </w:tcPr>
          <w:p w14:paraId="132AB771"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13,0</w:t>
            </w:r>
          </w:p>
        </w:tc>
        <w:tc>
          <w:tcPr>
            <w:tcW w:w="581" w:type="pct"/>
            <w:shd w:val="clear" w:color="auto" w:fill="FFFFFF" w:themeFill="background1"/>
            <w:noWrap/>
          </w:tcPr>
          <w:p w14:paraId="68CC33C7"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13,2</w:t>
            </w:r>
          </w:p>
        </w:tc>
        <w:tc>
          <w:tcPr>
            <w:tcW w:w="583" w:type="pct"/>
            <w:shd w:val="clear" w:color="auto" w:fill="FFFFFF" w:themeFill="background1"/>
            <w:noWrap/>
          </w:tcPr>
          <w:p w14:paraId="7CEB4F4D"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13,1</w:t>
            </w:r>
          </w:p>
        </w:tc>
      </w:tr>
      <w:tr w:rsidR="00576A4F" w:rsidRPr="00092ED7" w14:paraId="148A810C" w14:textId="77777777" w:rsidTr="00A3670F">
        <w:trPr>
          <w:cnfStyle w:val="000000100000" w:firstRow="0" w:lastRow="0" w:firstColumn="0" w:lastColumn="0" w:oddVBand="0" w:evenVBand="0" w:oddHBand="1" w:evenHBand="0" w:firstRowFirstColumn="0" w:firstRowLastColumn="0" w:lastRowFirstColumn="0" w:lastRowLastColumn="0"/>
          <w:trHeight w:val="104"/>
        </w:trPr>
        <w:tc>
          <w:tcPr>
            <w:tcW w:w="1967" w:type="pct"/>
            <w:tcBorders>
              <w:left w:val="none" w:sz="0" w:space="0" w:color="auto"/>
              <w:right w:val="none" w:sz="0" w:space="0" w:color="auto"/>
            </w:tcBorders>
            <w:shd w:val="clear" w:color="auto" w:fill="FFFFFF" w:themeFill="background1"/>
          </w:tcPr>
          <w:p w14:paraId="5709539B" w14:textId="77777777" w:rsidR="00576A4F" w:rsidRPr="00092ED7" w:rsidRDefault="00576A4F" w:rsidP="00A06946">
            <w:pPr>
              <w:widowControl w:val="0"/>
              <w:shd w:val="clear" w:color="auto" w:fill="FFFFFF" w:themeFill="background1"/>
              <w:spacing w:after="0"/>
              <w:ind w:left="397"/>
              <w:rPr>
                <w:rFonts w:eastAsia="Times New Roman"/>
                <w:bCs/>
                <w:i/>
                <w:color w:val="auto"/>
                <w:sz w:val="20"/>
                <w:lang w:val="sr-Cyrl-CS"/>
              </w:rPr>
            </w:pPr>
            <w:r w:rsidRPr="00092ED7">
              <w:rPr>
                <w:rFonts w:eastAsia="Times New Roman"/>
                <w:bCs/>
                <w:i/>
                <w:color w:val="auto"/>
                <w:sz w:val="20"/>
                <w:lang w:val="sr-Cyrl-CS"/>
              </w:rPr>
              <w:t>од чега пензије</w:t>
            </w:r>
          </w:p>
        </w:tc>
        <w:tc>
          <w:tcPr>
            <w:tcW w:w="644" w:type="pct"/>
            <w:tcBorders>
              <w:left w:val="none" w:sz="0" w:space="0" w:color="auto"/>
              <w:right w:val="none" w:sz="0" w:space="0" w:color="auto"/>
            </w:tcBorders>
            <w:shd w:val="clear" w:color="auto" w:fill="FFFFFF" w:themeFill="background1"/>
          </w:tcPr>
          <w:p w14:paraId="1BD95740" w14:textId="77777777" w:rsidR="00576A4F" w:rsidRPr="00092ED7" w:rsidRDefault="00576A4F" w:rsidP="00A06946">
            <w:pPr>
              <w:shd w:val="clear" w:color="auto" w:fill="FFFFFF" w:themeFill="background1"/>
              <w:spacing w:after="0"/>
              <w:jc w:val="right"/>
              <w:rPr>
                <w:i/>
                <w:color w:val="auto"/>
                <w:sz w:val="20"/>
                <w:lang w:val="sr-Cyrl-CS"/>
              </w:rPr>
            </w:pPr>
            <w:r w:rsidRPr="00092ED7">
              <w:rPr>
                <w:color w:val="auto"/>
                <w:sz w:val="20"/>
                <w:lang w:val="sr-Cyrl-CS"/>
              </w:rPr>
              <w:t>9,7</w:t>
            </w:r>
          </w:p>
        </w:tc>
        <w:tc>
          <w:tcPr>
            <w:tcW w:w="644" w:type="pct"/>
            <w:tcBorders>
              <w:left w:val="none" w:sz="0" w:space="0" w:color="auto"/>
              <w:right w:val="none" w:sz="0" w:space="0" w:color="auto"/>
            </w:tcBorders>
            <w:shd w:val="clear" w:color="auto" w:fill="FFFFFF" w:themeFill="background1"/>
            <w:noWrap/>
          </w:tcPr>
          <w:p w14:paraId="7BF4E1FA" w14:textId="77777777" w:rsidR="00576A4F" w:rsidRPr="00092ED7" w:rsidRDefault="00576A4F" w:rsidP="00A06946">
            <w:pPr>
              <w:shd w:val="clear" w:color="auto" w:fill="FFFFFF" w:themeFill="background1"/>
              <w:spacing w:after="0"/>
              <w:jc w:val="right"/>
              <w:rPr>
                <w:i/>
                <w:color w:val="auto"/>
                <w:sz w:val="20"/>
                <w:lang w:val="sr-Cyrl-CS"/>
              </w:rPr>
            </w:pPr>
            <w:r w:rsidRPr="00092ED7">
              <w:rPr>
                <w:color w:val="auto"/>
                <w:sz w:val="20"/>
                <w:lang w:val="sr-Cyrl-CS"/>
              </w:rPr>
              <w:t>9,0</w:t>
            </w:r>
          </w:p>
        </w:tc>
        <w:tc>
          <w:tcPr>
            <w:tcW w:w="581" w:type="pct"/>
            <w:tcBorders>
              <w:left w:val="none" w:sz="0" w:space="0" w:color="auto"/>
              <w:right w:val="none" w:sz="0" w:space="0" w:color="auto"/>
            </w:tcBorders>
            <w:shd w:val="clear" w:color="auto" w:fill="FFFFFF" w:themeFill="background1"/>
            <w:noWrap/>
          </w:tcPr>
          <w:p w14:paraId="7C8E28B4" w14:textId="77777777" w:rsidR="00576A4F" w:rsidRPr="00092ED7" w:rsidRDefault="00576A4F" w:rsidP="00A06946">
            <w:pPr>
              <w:shd w:val="clear" w:color="auto" w:fill="FFFFFF" w:themeFill="background1"/>
              <w:spacing w:after="0"/>
              <w:jc w:val="right"/>
              <w:rPr>
                <w:i/>
                <w:color w:val="auto"/>
                <w:sz w:val="20"/>
                <w:lang w:val="sr-Cyrl-CS"/>
              </w:rPr>
            </w:pPr>
            <w:r w:rsidRPr="00092ED7">
              <w:rPr>
                <w:color w:val="auto"/>
                <w:sz w:val="20"/>
                <w:lang w:val="sr-Cyrl-CS"/>
              </w:rPr>
              <w:t>9,6</w:t>
            </w:r>
          </w:p>
        </w:tc>
        <w:tc>
          <w:tcPr>
            <w:tcW w:w="581" w:type="pct"/>
            <w:tcBorders>
              <w:left w:val="none" w:sz="0" w:space="0" w:color="auto"/>
              <w:right w:val="none" w:sz="0" w:space="0" w:color="auto"/>
            </w:tcBorders>
            <w:shd w:val="clear" w:color="auto" w:fill="FFFFFF" w:themeFill="background1"/>
            <w:noWrap/>
          </w:tcPr>
          <w:p w14:paraId="74BC8F60" w14:textId="77777777" w:rsidR="00576A4F" w:rsidRPr="00092ED7" w:rsidRDefault="00576A4F" w:rsidP="00A06946">
            <w:pPr>
              <w:shd w:val="clear" w:color="auto" w:fill="FFFFFF" w:themeFill="background1"/>
              <w:spacing w:after="0"/>
              <w:jc w:val="right"/>
              <w:rPr>
                <w:i/>
                <w:color w:val="auto"/>
                <w:sz w:val="20"/>
                <w:lang w:val="sr-Cyrl-CS"/>
              </w:rPr>
            </w:pPr>
            <w:r w:rsidRPr="00092ED7">
              <w:rPr>
                <w:color w:val="auto"/>
                <w:sz w:val="20"/>
                <w:lang w:val="sr-Cyrl-CS"/>
              </w:rPr>
              <w:t>9,9</w:t>
            </w:r>
          </w:p>
        </w:tc>
        <w:tc>
          <w:tcPr>
            <w:tcW w:w="583" w:type="pct"/>
            <w:tcBorders>
              <w:left w:val="none" w:sz="0" w:space="0" w:color="auto"/>
              <w:right w:val="none" w:sz="0" w:space="0" w:color="auto"/>
            </w:tcBorders>
            <w:shd w:val="clear" w:color="auto" w:fill="FFFFFF" w:themeFill="background1"/>
            <w:noWrap/>
          </w:tcPr>
          <w:p w14:paraId="00D55E2C" w14:textId="77777777" w:rsidR="00576A4F" w:rsidRPr="00092ED7" w:rsidRDefault="00576A4F" w:rsidP="00A06946">
            <w:pPr>
              <w:shd w:val="clear" w:color="auto" w:fill="FFFFFF" w:themeFill="background1"/>
              <w:spacing w:after="0"/>
              <w:jc w:val="right"/>
              <w:rPr>
                <w:i/>
                <w:color w:val="auto"/>
                <w:sz w:val="20"/>
                <w:lang w:val="sr-Cyrl-CS"/>
              </w:rPr>
            </w:pPr>
            <w:r w:rsidRPr="00092ED7">
              <w:rPr>
                <w:color w:val="auto"/>
                <w:sz w:val="20"/>
                <w:lang w:val="sr-Cyrl-CS"/>
              </w:rPr>
              <w:t>9,9</w:t>
            </w:r>
          </w:p>
        </w:tc>
      </w:tr>
      <w:tr w:rsidR="00576A4F" w:rsidRPr="00092ED7" w14:paraId="07B65C22" w14:textId="77777777" w:rsidTr="00A3670F">
        <w:trPr>
          <w:trHeight w:val="49"/>
        </w:trPr>
        <w:tc>
          <w:tcPr>
            <w:tcW w:w="1967" w:type="pct"/>
            <w:shd w:val="clear" w:color="auto" w:fill="FFFFFF" w:themeFill="background1"/>
          </w:tcPr>
          <w:p w14:paraId="208572A5" w14:textId="77777777" w:rsidR="00576A4F" w:rsidRPr="00092ED7" w:rsidRDefault="00576A4F" w:rsidP="00A06946">
            <w:pPr>
              <w:widowControl w:val="0"/>
              <w:shd w:val="clear" w:color="auto" w:fill="FFFFFF" w:themeFill="background1"/>
              <w:spacing w:after="0"/>
              <w:ind w:left="284"/>
              <w:rPr>
                <w:rFonts w:eastAsia="Times New Roman"/>
                <w:bCs/>
                <w:color w:val="auto"/>
                <w:sz w:val="20"/>
                <w:lang w:val="sr-Cyrl-CS"/>
              </w:rPr>
            </w:pPr>
            <w:r w:rsidRPr="00092ED7">
              <w:rPr>
                <w:rFonts w:eastAsia="Times New Roman"/>
                <w:bCs/>
                <w:color w:val="auto"/>
                <w:sz w:val="20"/>
                <w:lang w:val="sr-Cyrl-CS"/>
              </w:rPr>
              <w:t>Остали текући расходи</w:t>
            </w:r>
          </w:p>
        </w:tc>
        <w:tc>
          <w:tcPr>
            <w:tcW w:w="644" w:type="pct"/>
            <w:shd w:val="clear" w:color="auto" w:fill="FFFFFF" w:themeFill="background1"/>
          </w:tcPr>
          <w:p w14:paraId="3A8BD548"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2,6</w:t>
            </w:r>
          </w:p>
        </w:tc>
        <w:tc>
          <w:tcPr>
            <w:tcW w:w="644" w:type="pct"/>
            <w:shd w:val="clear" w:color="auto" w:fill="FFFFFF" w:themeFill="background1"/>
            <w:noWrap/>
          </w:tcPr>
          <w:p w14:paraId="2182093B"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2,3</w:t>
            </w:r>
          </w:p>
        </w:tc>
        <w:tc>
          <w:tcPr>
            <w:tcW w:w="581" w:type="pct"/>
            <w:shd w:val="clear" w:color="auto" w:fill="FFFFFF" w:themeFill="background1"/>
            <w:noWrap/>
          </w:tcPr>
          <w:p w14:paraId="14A8E4F8"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1,4</w:t>
            </w:r>
          </w:p>
        </w:tc>
        <w:tc>
          <w:tcPr>
            <w:tcW w:w="581" w:type="pct"/>
            <w:shd w:val="clear" w:color="auto" w:fill="FFFFFF" w:themeFill="background1"/>
            <w:noWrap/>
          </w:tcPr>
          <w:p w14:paraId="2E64AAFA"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1,3</w:t>
            </w:r>
          </w:p>
        </w:tc>
        <w:tc>
          <w:tcPr>
            <w:tcW w:w="583" w:type="pct"/>
            <w:shd w:val="clear" w:color="auto" w:fill="FFFFFF" w:themeFill="background1"/>
            <w:noWrap/>
          </w:tcPr>
          <w:p w14:paraId="67000B17"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1,2</w:t>
            </w:r>
          </w:p>
        </w:tc>
      </w:tr>
      <w:tr w:rsidR="00576A4F" w:rsidRPr="00092ED7" w14:paraId="22904680" w14:textId="77777777" w:rsidTr="00A3670F">
        <w:trPr>
          <w:cnfStyle w:val="000000100000" w:firstRow="0" w:lastRow="0" w:firstColumn="0" w:lastColumn="0" w:oddVBand="0" w:evenVBand="0" w:oddHBand="1" w:evenHBand="0" w:firstRowFirstColumn="0" w:firstRowLastColumn="0" w:lastRowFirstColumn="0" w:lastRowLastColumn="0"/>
          <w:trHeight w:val="49"/>
        </w:trPr>
        <w:tc>
          <w:tcPr>
            <w:tcW w:w="1967" w:type="pct"/>
            <w:tcBorders>
              <w:left w:val="none" w:sz="0" w:space="0" w:color="auto"/>
              <w:right w:val="none" w:sz="0" w:space="0" w:color="auto"/>
            </w:tcBorders>
            <w:shd w:val="clear" w:color="auto" w:fill="FFFFFF" w:themeFill="background1"/>
          </w:tcPr>
          <w:p w14:paraId="79F9319B" w14:textId="77777777" w:rsidR="00576A4F" w:rsidRPr="00092ED7" w:rsidRDefault="00576A4F" w:rsidP="00A06946">
            <w:pPr>
              <w:widowControl w:val="0"/>
              <w:shd w:val="clear" w:color="auto" w:fill="FFFFFF" w:themeFill="background1"/>
              <w:spacing w:after="0"/>
              <w:rPr>
                <w:rFonts w:eastAsia="Times New Roman"/>
                <w:bCs/>
                <w:color w:val="auto"/>
                <w:sz w:val="20"/>
                <w:lang w:val="sr-Cyrl-CS"/>
              </w:rPr>
            </w:pPr>
            <w:r w:rsidRPr="00092ED7">
              <w:rPr>
                <w:rFonts w:eastAsia="Times New Roman"/>
                <w:bCs/>
                <w:color w:val="auto"/>
                <w:sz w:val="20"/>
                <w:lang w:val="sr-Cyrl-CS"/>
              </w:rPr>
              <w:t>Капитални расходи</w:t>
            </w:r>
          </w:p>
        </w:tc>
        <w:tc>
          <w:tcPr>
            <w:tcW w:w="644" w:type="pct"/>
            <w:tcBorders>
              <w:left w:val="none" w:sz="0" w:space="0" w:color="auto"/>
              <w:right w:val="none" w:sz="0" w:space="0" w:color="auto"/>
            </w:tcBorders>
            <w:shd w:val="clear" w:color="auto" w:fill="FFFFFF" w:themeFill="background1"/>
          </w:tcPr>
          <w:p w14:paraId="67F0FC6B"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7,4</w:t>
            </w:r>
          </w:p>
        </w:tc>
        <w:tc>
          <w:tcPr>
            <w:tcW w:w="644" w:type="pct"/>
            <w:tcBorders>
              <w:left w:val="none" w:sz="0" w:space="0" w:color="auto"/>
              <w:right w:val="none" w:sz="0" w:space="0" w:color="auto"/>
            </w:tcBorders>
            <w:shd w:val="clear" w:color="auto" w:fill="FFFFFF" w:themeFill="background1"/>
            <w:noWrap/>
          </w:tcPr>
          <w:p w14:paraId="2310917B"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7,3</w:t>
            </w:r>
          </w:p>
        </w:tc>
        <w:tc>
          <w:tcPr>
            <w:tcW w:w="581" w:type="pct"/>
            <w:tcBorders>
              <w:left w:val="none" w:sz="0" w:space="0" w:color="auto"/>
              <w:right w:val="none" w:sz="0" w:space="0" w:color="auto"/>
            </w:tcBorders>
            <w:shd w:val="clear" w:color="auto" w:fill="FFFFFF" w:themeFill="background1"/>
            <w:noWrap/>
          </w:tcPr>
          <w:p w14:paraId="4DA9D1C8"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6,8</w:t>
            </w:r>
          </w:p>
        </w:tc>
        <w:tc>
          <w:tcPr>
            <w:tcW w:w="581" w:type="pct"/>
            <w:tcBorders>
              <w:left w:val="none" w:sz="0" w:space="0" w:color="auto"/>
              <w:right w:val="none" w:sz="0" w:space="0" w:color="auto"/>
            </w:tcBorders>
            <w:shd w:val="clear" w:color="auto" w:fill="FFFFFF" w:themeFill="background1"/>
            <w:noWrap/>
          </w:tcPr>
          <w:p w14:paraId="06E1C50B"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6,4</w:t>
            </w:r>
          </w:p>
        </w:tc>
        <w:tc>
          <w:tcPr>
            <w:tcW w:w="583" w:type="pct"/>
            <w:tcBorders>
              <w:left w:val="none" w:sz="0" w:space="0" w:color="auto"/>
              <w:right w:val="none" w:sz="0" w:space="0" w:color="auto"/>
            </w:tcBorders>
            <w:shd w:val="clear" w:color="auto" w:fill="FFFFFF" w:themeFill="background1"/>
            <w:noWrap/>
          </w:tcPr>
          <w:p w14:paraId="1E50F33E"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6,1</w:t>
            </w:r>
          </w:p>
        </w:tc>
      </w:tr>
      <w:tr w:rsidR="00A3670F" w:rsidRPr="00092ED7" w14:paraId="124A58DF" w14:textId="77777777" w:rsidTr="00A3670F">
        <w:trPr>
          <w:trHeight w:val="49"/>
        </w:trPr>
        <w:tc>
          <w:tcPr>
            <w:tcW w:w="1967" w:type="pct"/>
            <w:shd w:val="clear" w:color="auto" w:fill="FFFFFF" w:themeFill="background1"/>
            <w:noWrap/>
          </w:tcPr>
          <w:p w14:paraId="13ED6017" w14:textId="77777777" w:rsidR="00576A4F" w:rsidRPr="00092ED7" w:rsidRDefault="00576A4F" w:rsidP="00A06946">
            <w:pPr>
              <w:widowControl w:val="0"/>
              <w:shd w:val="clear" w:color="auto" w:fill="FFFFFF" w:themeFill="background1"/>
              <w:spacing w:after="0"/>
              <w:rPr>
                <w:rFonts w:eastAsia="Times New Roman"/>
                <w:bCs/>
                <w:color w:val="auto"/>
                <w:sz w:val="20"/>
                <w:lang w:val="sr-Cyrl-CS"/>
              </w:rPr>
            </w:pPr>
            <w:r w:rsidRPr="00092ED7">
              <w:rPr>
                <w:rFonts w:eastAsia="Times New Roman"/>
                <w:bCs/>
                <w:color w:val="auto"/>
                <w:sz w:val="20"/>
                <w:lang w:val="sr-Cyrl-CS"/>
              </w:rPr>
              <w:t>Нето буџетске позајмице</w:t>
            </w:r>
          </w:p>
        </w:tc>
        <w:tc>
          <w:tcPr>
            <w:tcW w:w="644" w:type="pct"/>
            <w:shd w:val="clear" w:color="auto" w:fill="FFFFFF" w:themeFill="background1"/>
          </w:tcPr>
          <w:p w14:paraId="148BFFB1"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0,8</w:t>
            </w:r>
          </w:p>
        </w:tc>
        <w:tc>
          <w:tcPr>
            <w:tcW w:w="644" w:type="pct"/>
            <w:shd w:val="clear" w:color="auto" w:fill="FFFFFF" w:themeFill="background1"/>
            <w:noWrap/>
          </w:tcPr>
          <w:p w14:paraId="59DCD8A7"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2,2</w:t>
            </w:r>
          </w:p>
        </w:tc>
        <w:tc>
          <w:tcPr>
            <w:tcW w:w="581" w:type="pct"/>
            <w:shd w:val="clear" w:color="auto" w:fill="FFFFFF" w:themeFill="background1"/>
            <w:noWrap/>
          </w:tcPr>
          <w:p w14:paraId="08707715"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1,5</w:t>
            </w:r>
          </w:p>
        </w:tc>
        <w:tc>
          <w:tcPr>
            <w:tcW w:w="581" w:type="pct"/>
            <w:shd w:val="clear" w:color="auto" w:fill="FFFFFF" w:themeFill="background1"/>
            <w:noWrap/>
          </w:tcPr>
          <w:p w14:paraId="5D951022"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0,7</w:t>
            </w:r>
          </w:p>
        </w:tc>
        <w:tc>
          <w:tcPr>
            <w:tcW w:w="583" w:type="pct"/>
            <w:shd w:val="clear" w:color="auto" w:fill="FFFFFF" w:themeFill="background1"/>
            <w:noWrap/>
          </w:tcPr>
          <w:p w14:paraId="3A98C856"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0,1</w:t>
            </w:r>
          </w:p>
        </w:tc>
      </w:tr>
      <w:tr w:rsidR="00A3670F" w:rsidRPr="00092ED7" w14:paraId="6F3350F5" w14:textId="77777777" w:rsidTr="00A3670F">
        <w:trPr>
          <w:cnfStyle w:val="000000100000" w:firstRow="0" w:lastRow="0" w:firstColumn="0" w:lastColumn="0" w:oddVBand="0" w:evenVBand="0" w:oddHBand="1" w:evenHBand="0" w:firstRowFirstColumn="0" w:firstRowLastColumn="0" w:lastRowFirstColumn="0" w:lastRowLastColumn="0"/>
          <w:trHeight w:val="95"/>
        </w:trPr>
        <w:tc>
          <w:tcPr>
            <w:tcW w:w="1967" w:type="pct"/>
            <w:shd w:val="clear" w:color="auto" w:fill="FFFFFF" w:themeFill="background1"/>
            <w:noWrap/>
          </w:tcPr>
          <w:p w14:paraId="49401D61" w14:textId="77777777" w:rsidR="00576A4F" w:rsidRPr="00092ED7" w:rsidRDefault="00576A4F" w:rsidP="00A06946">
            <w:pPr>
              <w:widowControl w:val="0"/>
              <w:shd w:val="clear" w:color="auto" w:fill="FFFFFF" w:themeFill="background1"/>
              <w:spacing w:after="0"/>
              <w:rPr>
                <w:rFonts w:eastAsia="Times New Roman"/>
                <w:bCs/>
                <w:color w:val="auto"/>
                <w:sz w:val="20"/>
                <w:lang w:val="sr-Cyrl-CS"/>
              </w:rPr>
            </w:pPr>
            <w:r w:rsidRPr="00092ED7">
              <w:rPr>
                <w:rFonts w:eastAsia="Times New Roman"/>
                <w:bCs/>
                <w:color w:val="auto"/>
                <w:sz w:val="20"/>
                <w:lang w:val="sr-Cyrl-CS"/>
              </w:rPr>
              <w:t>Отплата по основу гаранција</w:t>
            </w:r>
          </w:p>
        </w:tc>
        <w:tc>
          <w:tcPr>
            <w:tcW w:w="644" w:type="pct"/>
            <w:shd w:val="clear" w:color="auto" w:fill="FFFFFF" w:themeFill="background1"/>
          </w:tcPr>
          <w:p w14:paraId="3BB3FF2F"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0,1</w:t>
            </w:r>
          </w:p>
        </w:tc>
        <w:tc>
          <w:tcPr>
            <w:tcW w:w="644" w:type="pct"/>
            <w:shd w:val="clear" w:color="auto" w:fill="FFFFFF" w:themeFill="background1"/>
            <w:noWrap/>
          </w:tcPr>
          <w:p w14:paraId="03518BF7"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0,3</w:t>
            </w:r>
          </w:p>
        </w:tc>
        <w:tc>
          <w:tcPr>
            <w:tcW w:w="581" w:type="pct"/>
            <w:shd w:val="clear" w:color="auto" w:fill="FFFFFF" w:themeFill="background1"/>
            <w:noWrap/>
          </w:tcPr>
          <w:p w14:paraId="6A7326B2"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0,3</w:t>
            </w:r>
          </w:p>
        </w:tc>
        <w:tc>
          <w:tcPr>
            <w:tcW w:w="581" w:type="pct"/>
            <w:shd w:val="clear" w:color="auto" w:fill="FFFFFF" w:themeFill="background1"/>
            <w:noWrap/>
          </w:tcPr>
          <w:p w14:paraId="5EA05BB2"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0,3</w:t>
            </w:r>
          </w:p>
        </w:tc>
        <w:tc>
          <w:tcPr>
            <w:tcW w:w="583" w:type="pct"/>
            <w:shd w:val="clear" w:color="auto" w:fill="FFFFFF" w:themeFill="background1"/>
            <w:noWrap/>
          </w:tcPr>
          <w:p w14:paraId="48EAB51F"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0,2</w:t>
            </w:r>
          </w:p>
        </w:tc>
      </w:tr>
    </w:tbl>
    <w:p w14:paraId="1EB5BA05" w14:textId="77777777" w:rsidR="00576A4F" w:rsidRPr="00092ED7" w:rsidRDefault="00576A4F" w:rsidP="00A3670F">
      <w:pPr>
        <w:spacing w:before="60"/>
        <w:rPr>
          <w:sz w:val="18"/>
          <w:szCs w:val="18"/>
          <w:lang w:val="sr-Cyrl-CS" w:eastAsia="ja-JP"/>
        </w:rPr>
      </w:pPr>
      <w:r w:rsidRPr="00092ED7">
        <w:rPr>
          <w:bCs/>
          <w:sz w:val="18"/>
          <w:szCs w:val="18"/>
          <w:lang w:val="sr-Cyrl-CS" w:eastAsia="ja-JP"/>
        </w:rPr>
        <w:t xml:space="preserve">Извор: </w:t>
      </w:r>
      <w:r w:rsidRPr="00092ED7">
        <w:rPr>
          <w:sz w:val="18"/>
          <w:szCs w:val="18"/>
          <w:lang w:val="sr-Cyrl-CS" w:eastAsia="ja-JP"/>
        </w:rPr>
        <w:t>Министарство финансија</w:t>
      </w:r>
    </w:p>
    <w:p w14:paraId="3CAE24C3"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У 2020. и 2021. години дошло је до промене тренда у јавним расходима с обзиром на размере кризе изазване пандемијом. Мере су биле значајне на расходној страни, што је довело до једнократног повећања учешћа расходне стране буџета у БДП.</w:t>
      </w:r>
    </w:p>
    <w:p w14:paraId="7FC52999" w14:textId="49E53411"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На повећање расхода за запослене, чије je учешће у БДП у 2020. години износило 10,5% БДП, утицало је ванредно повећањe зарада запослених у систему здравства, као и повећане исплате осталих облика дохотка као што су прековремени рад, награде и повећање броја запослених у овом сектору. С обзиром на ограничен фискални простор</w:t>
      </w:r>
      <w:r w:rsidR="00E0125A" w:rsidRPr="00092ED7">
        <w:rPr>
          <w:rFonts w:eastAsia="MS PGothic" w:cstheme="minorHAnsi"/>
          <w:szCs w:val="20"/>
          <w:lang w:val="sr-Cyrl-CS" w:eastAsia="ja-JP"/>
        </w:rPr>
        <w:t>,</w:t>
      </w:r>
      <w:r w:rsidRPr="00092ED7">
        <w:rPr>
          <w:rFonts w:eastAsia="MS PGothic" w:cstheme="minorHAnsi"/>
          <w:szCs w:val="20"/>
          <w:lang w:val="sr-Cyrl-CS" w:eastAsia="ja-JP"/>
        </w:rPr>
        <w:t xml:space="preserve"> у наредном периоду</w:t>
      </w:r>
      <w:r w:rsidR="00E0125A" w:rsidRPr="00092ED7">
        <w:rPr>
          <w:rFonts w:eastAsia="MS PGothic" w:cstheme="minorHAnsi"/>
          <w:szCs w:val="20"/>
          <w:lang w:val="sr-Cyrl-CS" w:eastAsia="ja-JP"/>
        </w:rPr>
        <w:t>,</w:t>
      </w:r>
      <w:r w:rsidRPr="00092ED7">
        <w:rPr>
          <w:rFonts w:eastAsia="MS PGothic" w:cstheme="minorHAnsi"/>
          <w:szCs w:val="20"/>
          <w:lang w:val="sr-Cyrl-CS" w:eastAsia="ja-JP"/>
        </w:rPr>
        <w:t xml:space="preserve"> зараде ће се повећавати умерено и контролисано, водећи рачуна о њиховом учешћу у БДП.</w:t>
      </w:r>
    </w:p>
    <w:p w14:paraId="49D9CDD7" w14:textId="65AAA84E" w:rsidR="00576A4F" w:rsidRPr="00092ED7" w:rsidRDefault="00304C55" w:rsidP="00A3670F">
      <w:pPr>
        <w:spacing w:after="60"/>
        <w:rPr>
          <w:rFonts w:eastAsia="MS PGothic" w:cstheme="minorHAnsi"/>
          <w:szCs w:val="20"/>
          <w:lang w:val="sr-Cyrl-CS" w:eastAsia="ja-JP"/>
        </w:rPr>
      </w:pPr>
      <w:r w:rsidRPr="00092ED7">
        <w:rPr>
          <w:rFonts w:eastAsia="MS PGothic" w:cstheme="minorHAnsi"/>
          <w:szCs w:val="20"/>
          <w:lang w:val="sr-Cyrl-CS" w:eastAsia="ja-JP"/>
        </w:rPr>
        <w:t xml:space="preserve">Законом о изменама и допунама </w:t>
      </w:r>
      <w:r w:rsidR="00576A4F" w:rsidRPr="00092ED7">
        <w:rPr>
          <w:rFonts w:eastAsia="MS PGothic" w:cstheme="minorHAnsi"/>
          <w:szCs w:val="20"/>
          <w:lang w:val="sr-Cyrl-CS" w:eastAsia="ja-JP"/>
        </w:rPr>
        <w:t>Закон</w:t>
      </w:r>
      <w:r w:rsidRPr="00092ED7">
        <w:rPr>
          <w:rFonts w:eastAsia="MS PGothic" w:cstheme="minorHAnsi"/>
          <w:szCs w:val="20"/>
          <w:lang w:val="sr-Cyrl-CS" w:eastAsia="ja-JP"/>
        </w:rPr>
        <w:t>а</w:t>
      </w:r>
      <w:r w:rsidR="00576A4F" w:rsidRPr="00092ED7">
        <w:rPr>
          <w:rFonts w:eastAsia="MS PGothic" w:cstheme="minorHAnsi"/>
          <w:szCs w:val="20"/>
          <w:lang w:val="sr-Cyrl-CS" w:eastAsia="ja-JP"/>
        </w:rPr>
        <w:t xml:space="preserve"> о буџетском систему</w:t>
      </w:r>
      <w:r w:rsidRPr="00092ED7">
        <w:rPr>
          <w:rFonts w:eastAsia="MS PGothic" w:cstheme="minorHAnsi"/>
          <w:szCs w:val="20"/>
          <w:lang w:val="sr-Cyrl-CS" w:eastAsia="ja-JP"/>
        </w:rPr>
        <w:t xml:space="preserve"> </w:t>
      </w:r>
      <w:r w:rsidRPr="00092ED7">
        <w:rPr>
          <w:lang w:val="sr-Cyrl-CS"/>
        </w:rPr>
        <w:t>(„Службени гласник РС</w:t>
      </w:r>
      <w:r w:rsidRPr="00092ED7">
        <w:rPr>
          <w:rFonts w:cs="Times New Roman"/>
          <w:szCs w:val="24"/>
          <w:lang w:val="sr-Cyrl-CS"/>
        </w:rPr>
        <w:t>”, број 138/22)</w:t>
      </w:r>
      <w:r w:rsidR="00576A4F" w:rsidRPr="00092ED7">
        <w:rPr>
          <w:rFonts w:eastAsia="MS PGothic" w:cstheme="minorHAnsi"/>
          <w:szCs w:val="20"/>
          <w:lang w:val="sr-Cyrl-CS" w:eastAsia="ja-JP"/>
        </w:rPr>
        <w:t xml:space="preserve">, у склопу нових фискалних правила, предвиђено </w:t>
      </w:r>
      <w:r w:rsidR="00505E8B" w:rsidRPr="00092ED7">
        <w:rPr>
          <w:rFonts w:eastAsia="MS PGothic" w:cstheme="minorHAnsi"/>
          <w:szCs w:val="20"/>
          <w:lang w:val="sr-Cyrl-CS" w:eastAsia="ja-JP"/>
        </w:rPr>
        <w:t xml:space="preserve">је </w:t>
      </w:r>
      <w:r w:rsidR="00576A4F" w:rsidRPr="00092ED7">
        <w:rPr>
          <w:rFonts w:eastAsia="MS PGothic" w:cstheme="minorHAnsi"/>
          <w:szCs w:val="20"/>
          <w:lang w:val="sr-Cyrl-CS" w:eastAsia="ja-JP"/>
        </w:rPr>
        <w:t xml:space="preserve">да ниво укупних расхода за запослене буде усклађиван са номиналним растом БДП, и да не пређе ниво од 10% БДП. Просечан ниво зарада на нивоу опште државе у ЕУ је, пре пандемије, износио око 10% БДП, док је током 2020. године подигнут на скоро 11% БДП, а у 2021. години је износио 10,5% БДП. Као и у свим земљама ЕУ, током 2020. године, у </w:t>
      </w:r>
      <w:r w:rsidR="00E0125A" w:rsidRPr="00092ED7">
        <w:rPr>
          <w:rFonts w:eastAsia="MS PGothic" w:cstheme="minorHAnsi"/>
          <w:szCs w:val="20"/>
          <w:lang w:val="sr-Cyrl-CS" w:eastAsia="ja-JP"/>
        </w:rPr>
        <w:t xml:space="preserve">Републици </w:t>
      </w:r>
      <w:r w:rsidR="00576A4F" w:rsidRPr="00092ED7">
        <w:rPr>
          <w:rFonts w:eastAsia="MS PGothic" w:cstheme="minorHAnsi"/>
          <w:szCs w:val="20"/>
          <w:lang w:val="sr-Cyrl-CS" w:eastAsia="ja-JP"/>
        </w:rPr>
        <w:t>Србији је учешће расхода за запослене у БДП повећано.</w:t>
      </w:r>
    </w:p>
    <w:p w14:paraId="43BA834D"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Издаци за робе и услуге ће се постепено смањивати у средњорочном периоду у смислу учешћа у БДП, с обзиром да је предвиђено да номинално расту спорије од раста номиналног БДП. Висок ниво у 2021. и 2022. години у највећој мери је резултат већих расхода у здравству.</w:t>
      </w:r>
    </w:p>
    <w:p w14:paraId="654C04C6"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У претходном периоду смањени су расходи за камате што је показатељ успешно вођене фискалне и монетарне политике. Добри фискални резултати у претходном периоду смањили су потребе за задуживањем, што је уз ублажавање монетарне политике довело до пада каматних стопа. Имајући у виду растуће трошкове задуживања и потребе за финансирањем дефицита пројектовано је да ће у наредном периоду ниво расхода за камате бити на нивоу од око 2% БДП.</w:t>
      </w:r>
    </w:p>
    <w:p w14:paraId="30601E09"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Социјална помоћ и трансфери становништву представљају највећу расходну категорију буџета опште државе. Највећа појединачна ставка ове групе расхода, а уједно и највећа ставка свих расхода, су пензије, која је у 2020. години достигла ниво од 10,6% БДП. Од 2020. године пензије се усклађују се коришћењем „швајцарске формуле”, како би се истовремено обезбедио раст животног стандарда пензионера и одрживост пензионог система и система јавних финансија. „Швајцарска формула” подразумева индексацију, односно увећање пензија једнако збиру половине стопе раста просечне зараде и половине стопе раста потрошачких цена.</w:t>
      </w:r>
    </w:p>
    <w:p w14:paraId="726D0DA4"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Од 2023. године примењиваће се другачији начин индексације пензија, односно, усклађивање пензија ће узимати у обзир и учешће пензија у БДП, како би се додатно заштитио животни стандард пензионера</w:t>
      </w:r>
      <w:r w:rsidRPr="00092ED7">
        <w:rPr>
          <w:rStyle w:val="FootnoteReference"/>
          <w:rFonts w:eastAsia="MS PGothic" w:cstheme="minorHAnsi"/>
          <w:szCs w:val="20"/>
          <w:lang w:val="sr-Cyrl-CS" w:eastAsia="ja-JP"/>
        </w:rPr>
        <w:footnoteReference w:id="8"/>
      </w:r>
      <w:r w:rsidRPr="00092ED7">
        <w:rPr>
          <w:rFonts w:eastAsia="MS PGothic" w:cstheme="minorHAnsi"/>
          <w:szCs w:val="20"/>
          <w:lang w:val="sr-Cyrl-CS" w:eastAsia="ja-JP"/>
        </w:rPr>
        <w:t>. Остали облици социјалних давања и трансфера становништву у наредном периоду усклађиваће се применом прописане индексације, текућих и планираних измена политика у овој области и са пројектованим бројем корисника. Учешће расхода за социјална давања у БДП опада са 13,6%, колико износи у 2021. години, на 13,1% у 2025. години. У 2022. години исплаћена је једнократна помоћ свим пензионерима у износу од по 20.000 динара, односно око 34 млрд динара укупно, што се одразило и на динамику учешћа расхода за социјалну заштиту у БДП.</w:t>
      </w:r>
    </w:p>
    <w:p w14:paraId="5CB14CA1"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Смањење субвенција које служе као помоћ неефикасним сегментима јавног сектора омогућило је повећање оног дела субвенција које представљају праве подстицаје привреди, пре свега пољопривреди и малим и средњим предузећима, и које доводе до убрзања привредне активности. Циљ је да се субвенционисана средства преусмере ка развојним програмима у привреди и пољопривреди. Високи ниво субвенција у 2020. и 2021. години резултат је примене мера за превазилажење проблема изазваних пандемијском кризом. У 2023. години се привремени раст субвенција у смислу учешћа у БДП објашњава расходима намењених превазилажењу негативних ефеката растућих цена енергената, а који ће бити покривени из донације Европске уније.</w:t>
      </w:r>
    </w:p>
    <w:p w14:paraId="18D5A6AA"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Категорије осталих текућих расхода чине различити издаци, као што су дотације удружењима, политичким странкама, верским и спортским организацијама, казне, накнада штете итд. Као и код субвенција једнократни раст је узрокован фискалном реакцијом на кризу, с обзиром да су се са ове позиције исплаћивали фискални стимулуси становништву, тако да се у наредном периоду очекује смањење ових расхода у БДП.</w:t>
      </w:r>
    </w:p>
    <w:p w14:paraId="576789FE"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Током претходне три године значајно је побољшана ефикасност извршења јавних инвестиција. Капитални расходи су повећани на 5,3% БДП у 2020. години захваљујући отпочињању новог циклуса инфраструктурних пројеката, а у 2021. години су достигли чак 7,4% БДП, упркос проблемима које је проузроковала пандемија. У наредном средњорочном периоду очекује очување достигнутог нивоа улагања у јавну инфраструктуру. Најзначајнији радови су на путној, железничкој, комуналној и водној инфраструктури који се углавном финансирају из међународних кредита. Поред саобраћајне инфраструктуре обезбеђена су средства за додатна капитална улагања у здравству, енергетици, заштити животне средине, просвети, култури, одбрани и другим областима које представљају најважније функције државе. Ово је све део новог инвестиционог циклуса на националном нивоу који је омогућен стварањем фискалног простора и подржан повољним условима за задуживање на међународном финансијском тржишту у претходном периоду.</w:t>
      </w:r>
    </w:p>
    <w:p w14:paraId="3A25C4FE" w14:textId="5F07A13C"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Опште опредељење фискалне политике у средњем року јесте повећање улагања у инфраструктуру на свим нивоима власти. Кад је реч о локалном нивоу власти</w:t>
      </w:r>
      <w:r w:rsidR="00E0125A" w:rsidRPr="00092ED7">
        <w:rPr>
          <w:rFonts w:eastAsia="MS PGothic" w:cstheme="minorHAnsi"/>
          <w:szCs w:val="20"/>
          <w:lang w:val="sr-Cyrl-CS" w:eastAsia="ja-JP"/>
        </w:rPr>
        <w:t>,</w:t>
      </w:r>
      <w:r w:rsidRPr="00092ED7">
        <w:rPr>
          <w:rFonts w:eastAsia="MS PGothic" w:cstheme="minorHAnsi"/>
          <w:szCs w:val="20"/>
          <w:lang w:val="sr-Cyrl-CS" w:eastAsia="ja-JP"/>
        </w:rPr>
        <w:t xml:space="preserve"> то се пре свега односи на улагања у водоводну и канализациону инфраструктуру, управљање отпадом, локалну путну инфраструктуру и друго. Очекује се да </w:t>
      </w:r>
      <w:r w:rsidR="00846CA3" w:rsidRPr="00092ED7">
        <w:rPr>
          <w:rFonts w:eastAsia="MS PGothic" w:cstheme="minorHAnsi"/>
          <w:szCs w:val="20"/>
          <w:lang w:val="sr-Cyrl-CS" w:eastAsia="ja-JP"/>
        </w:rPr>
        <w:t>г</w:t>
      </w:r>
      <w:r w:rsidRPr="00092ED7">
        <w:rPr>
          <w:rFonts w:eastAsia="MS PGothic" w:cstheme="minorHAnsi"/>
          <w:szCs w:val="20"/>
          <w:lang w:val="sr-Cyrl-CS" w:eastAsia="ja-JP"/>
        </w:rPr>
        <w:t>рад Београд већ следеће године озбиљније крене у пројекат изградње метроа, уз помоћ државе.</w:t>
      </w:r>
    </w:p>
    <w:p w14:paraId="56031771" w14:textId="205FCA18"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 xml:space="preserve">У средњорочном фискалном оквиру, до краја 2025. године, пројектована је избалансирана укупна фискална позиција локалне самоуправе. То значи да у збиру сви градови и општине имају приближно избалансиран буџет. Пројекција је рађена на основу кретања у претходном периоду, у коме су збирно </w:t>
      </w:r>
      <w:r w:rsidR="008F53D9" w:rsidRPr="00092ED7">
        <w:rPr>
          <w:rFonts w:eastAsia="MS PGothic" w:cstheme="minorHAnsi"/>
          <w:szCs w:val="20"/>
          <w:lang w:val="sr-Cyrl-CS" w:eastAsia="ja-JP"/>
        </w:rPr>
        <w:t>ЈЛС</w:t>
      </w:r>
      <w:r w:rsidR="00E0125A" w:rsidRPr="00092ED7">
        <w:rPr>
          <w:rFonts w:eastAsia="MS PGothic" w:cstheme="minorHAnsi"/>
          <w:szCs w:val="20"/>
          <w:lang w:val="sr-Cyrl-CS" w:eastAsia="ja-JP"/>
        </w:rPr>
        <w:t xml:space="preserve"> </w:t>
      </w:r>
      <w:r w:rsidRPr="00092ED7">
        <w:rPr>
          <w:rFonts w:eastAsia="MS PGothic" w:cstheme="minorHAnsi"/>
          <w:szCs w:val="20"/>
          <w:lang w:val="sr-Cyrl-CS" w:eastAsia="ja-JP"/>
        </w:rPr>
        <w:t>најчешће биле у суфициту. Овакво стање на нивоу свих локалних самоуправа је последица раздуживања у претходном периоду. То не значи да појединачне ЈЛС не могу ићи у дефицит, што зависи од фискалне позиције сваке појединачне општине и града.</w:t>
      </w:r>
    </w:p>
    <w:p w14:paraId="4FA73BB7" w14:textId="77777777" w:rsidR="00576A4F" w:rsidRPr="00092ED7" w:rsidRDefault="00576A4F" w:rsidP="00E255B1">
      <w:pPr>
        <w:spacing w:after="60"/>
        <w:rPr>
          <w:rFonts w:eastAsia="MS PGothic" w:cstheme="minorHAnsi"/>
          <w:szCs w:val="20"/>
          <w:lang w:val="sr-Cyrl-CS" w:eastAsia="ja-JP"/>
        </w:rPr>
      </w:pPr>
      <w:r w:rsidRPr="00092ED7">
        <w:rPr>
          <w:rFonts w:eastAsia="MS PGothic" w:cstheme="minorHAnsi"/>
          <w:szCs w:val="20"/>
          <w:lang w:val="sr-Cyrl-CS" w:eastAsia="ja-JP"/>
        </w:rPr>
        <w:t>Категорија буџетских позајмица се највише мења у поређењу са претходним програмима. Разлог је што се овде књижи највећи део средстава неопходних за превазилажење негативних последица енергетске кризе. У 2022. години са ове категорије се очекује исплата средстава у износу од око 2% БДП за наведене потребе, у 2023. години око 1,5% БДП, а у 2024. години је за сада предвиђено 0,7% БДП ових средстава.</w:t>
      </w:r>
    </w:p>
    <w:p w14:paraId="5DAACA5F" w14:textId="77777777" w:rsidR="005F26DA" w:rsidRPr="00092ED7" w:rsidRDefault="00576A4F" w:rsidP="00E255B1">
      <w:pPr>
        <w:spacing w:after="60"/>
        <w:rPr>
          <w:lang w:val="sr-Cyrl-CS" w:eastAsia="ja-JP"/>
        </w:rPr>
      </w:pPr>
      <w:r w:rsidRPr="00092ED7">
        <w:rPr>
          <w:rFonts w:eastAsia="MS PGothic" w:cstheme="minorHAnsi"/>
          <w:szCs w:val="20"/>
          <w:lang w:val="sr-Cyrl-CS" w:eastAsia="ja-JP"/>
        </w:rPr>
        <w:t>Отплата по основу издатих гаранција и плаћање гаранција по комерцијалним трансакцијама представљају обавезе по основу дуга јавних предузећа које је републички буџет преузео на себе, с обзиром да та предузећа нису могла самостално да их извршавају. Ови расходи су представљали велики терет за буџет с обзиром на дугогодишње неефикасно пословање великог броја државних предузећа и привредних друштава. У претходном периоду ови расходи су значајно смањени, а планом отплате предвиђено је да ће до 2025. године ови расходи пасти на ниво од 0,2% БДП.</w:t>
      </w:r>
    </w:p>
    <w:p w14:paraId="7C22981E" w14:textId="77777777" w:rsidR="005F26DA" w:rsidRPr="00092ED7" w:rsidRDefault="00735870" w:rsidP="00055DC9">
      <w:pPr>
        <w:pStyle w:val="Heading2"/>
        <w:spacing w:before="240" w:after="120"/>
        <w:rPr>
          <w:rFonts w:ascii="Times New Roman" w:eastAsia="Calibri" w:hAnsi="Times New Roman" w:cs="Times New Roman"/>
          <w:b/>
          <w:color w:val="auto"/>
          <w:sz w:val="24"/>
          <w:szCs w:val="24"/>
          <w:lang w:val="sr-Cyrl-CS"/>
        </w:rPr>
      </w:pPr>
      <w:bookmarkStart w:id="36" w:name="_Toc124174797"/>
      <w:bookmarkStart w:id="37" w:name="_Toc126218616"/>
      <w:r w:rsidRPr="00092ED7">
        <w:rPr>
          <w:rFonts w:ascii="Times New Roman" w:eastAsia="Calibri" w:hAnsi="Times New Roman" w:cs="Times New Roman"/>
          <w:b/>
          <w:color w:val="auto"/>
          <w:sz w:val="24"/>
          <w:szCs w:val="24"/>
          <w:lang w:val="sr-Cyrl-CS"/>
        </w:rPr>
        <w:t>4.</w:t>
      </w:r>
      <w:r w:rsidR="005F26DA" w:rsidRPr="00092ED7">
        <w:rPr>
          <w:rFonts w:ascii="Times New Roman" w:eastAsia="Calibri" w:hAnsi="Times New Roman" w:cs="Times New Roman"/>
          <w:b/>
          <w:color w:val="auto"/>
          <w:sz w:val="24"/>
          <w:szCs w:val="24"/>
          <w:lang w:val="sr-Cyrl-CS"/>
        </w:rPr>
        <w:t>4. ЦИКЛИЧНО ПРИЛАГОЂЕНИ ФИСКАЛНИ БИЛАНС</w:t>
      </w:r>
      <w:bookmarkEnd w:id="36"/>
      <w:bookmarkEnd w:id="37"/>
    </w:p>
    <w:p w14:paraId="5632AF88" w14:textId="77777777" w:rsidR="00854E01" w:rsidRPr="00092ED7" w:rsidRDefault="00854E01" w:rsidP="00854E01">
      <w:pPr>
        <w:spacing w:after="60"/>
        <w:rPr>
          <w:rFonts w:eastAsia="MS PGothic" w:cs="Times New Roman"/>
          <w:szCs w:val="24"/>
          <w:lang w:val="sr-Cyrl-CS" w:eastAsia="ja-JP"/>
        </w:rPr>
      </w:pPr>
      <w:r w:rsidRPr="00092ED7">
        <w:rPr>
          <w:rFonts w:eastAsia="MS PGothic" w:cs="Times New Roman"/>
          <w:szCs w:val="24"/>
          <w:lang w:val="sr-Cyrl-CS" w:eastAsia="ja-JP"/>
        </w:rPr>
        <w:t>Циклично прилагођени фискални биланс је фискални биланс из кога је искључен изоловани утицај привредног циклуса, а идентитет од кога се полази је следећи</w:t>
      </w:r>
      <w:r w:rsidRPr="00092ED7">
        <w:rPr>
          <w:rFonts w:eastAsia="MS PGothic" w:cs="Times New Roman"/>
          <w:szCs w:val="24"/>
          <w:vertAlign w:val="superscript"/>
          <w:lang w:val="sr-Cyrl-CS" w:eastAsia="ja-JP"/>
        </w:rPr>
        <w:footnoteReference w:id="9"/>
      </w:r>
      <w:r w:rsidRPr="00092ED7">
        <w:rPr>
          <w:rFonts w:eastAsia="MS PGothic" w:cs="Times New Roman"/>
          <w:szCs w:val="24"/>
          <w:lang w:val="sr-Cyrl-CS" w:eastAsia="ja-JP"/>
        </w:rPr>
        <w:t>:</w:t>
      </w:r>
    </w:p>
    <w:p w14:paraId="7184DF54" w14:textId="77777777" w:rsidR="00854E01" w:rsidRPr="00092ED7" w:rsidRDefault="00854E01" w:rsidP="00854E01">
      <w:pPr>
        <w:jc w:val="center"/>
        <w:rPr>
          <w:rFonts w:eastAsia="MS PGothic" w:cs="Times New Roman"/>
          <w:szCs w:val="24"/>
          <w:lang w:val="sr-Cyrl-CS" w:eastAsia="ja-JP"/>
        </w:rPr>
      </w:pPr>
      <w:r w:rsidRPr="00092ED7">
        <w:rPr>
          <w:rFonts w:eastAsia="MS PGothic" w:cs="Times New Roman"/>
          <w:szCs w:val="24"/>
          <w:lang w:val="sr-Cyrl-CS" w:eastAsia="ja-JP"/>
        </w:rPr>
        <w:t>FB = CB + CAB</w:t>
      </w:r>
    </w:p>
    <w:p w14:paraId="11787B13" w14:textId="4D078BEC" w:rsidR="00854E01" w:rsidRPr="00092ED7" w:rsidRDefault="00854E01" w:rsidP="00854E01">
      <w:pPr>
        <w:spacing w:after="60"/>
        <w:rPr>
          <w:rFonts w:eastAsia="MS PGothic" w:cs="Times New Roman"/>
          <w:szCs w:val="24"/>
          <w:lang w:val="sr-Cyrl-CS" w:eastAsia="ja-JP"/>
        </w:rPr>
      </w:pPr>
      <w:r w:rsidRPr="00092ED7">
        <w:rPr>
          <w:rFonts w:eastAsia="MS PGothic" w:cs="Times New Roman"/>
          <w:szCs w:val="24"/>
          <w:lang w:val="sr-Cyrl-CS" w:eastAsia="ja-JP"/>
        </w:rPr>
        <w:t>Део фискалног биланса (</w:t>
      </w:r>
      <w:r w:rsidR="00E0125A" w:rsidRPr="00092ED7">
        <w:rPr>
          <w:rFonts w:eastAsia="MS PGothic" w:cs="Times New Roman"/>
          <w:szCs w:val="24"/>
          <w:lang w:val="sr-Cyrl-CS" w:eastAsia="ja-JP"/>
        </w:rPr>
        <w:t xml:space="preserve">у даљем тексту: </w:t>
      </w:r>
      <w:r w:rsidRPr="00092ED7">
        <w:rPr>
          <w:rFonts w:eastAsia="MS PGothic" w:cs="Times New Roman"/>
          <w:szCs w:val="24"/>
          <w:lang w:val="sr-Cyrl-CS" w:eastAsia="ja-JP"/>
        </w:rPr>
        <w:t>FB)</w:t>
      </w:r>
      <w:r w:rsidRPr="00092ED7">
        <w:rPr>
          <w:rFonts w:eastAsia="MS PGothic" w:cs="Times New Roman"/>
          <w:i/>
          <w:szCs w:val="24"/>
          <w:lang w:val="sr-Cyrl-CS" w:eastAsia="ja-JP"/>
        </w:rPr>
        <w:t xml:space="preserve"> </w:t>
      </w:r>
      <w:r w:rsidRPr="00092ED7">
        <w:rPr>
          <w:rFonts w:eastAsia="MS PGothic" w:cs="Times New Roman"/>
          <w:szCs w:val="24"/>
          <w:lang w:val="sr-Cyrl-CS" w:eastAsia="ja-JP"/>
        </w:rPr>
        <w:t>који није под утицајем цикличних флуктуација назива се циклично прилагођени фискални биланс (</w:t>
      </w:r>
      <w:r w:rsidR="00E0125A" w:rsidRPr="00092ED7">
        <w:rPr>
          <w:rFonts w:eastAsia="MS PGothic" w:cs="Times New Roman"/>
          <w:szCs w:val="24"/>
          <w:lang w:val="sr-Cyrl-CS" w:eastAsia="ja-JP"/>
        </w:rPr>
        <w:t xml:space="preserve">у даљем тексту: </w:t>
      </w:r>
      <w:r w:rsidRPr="00092ED7">
        <w:rPr>
          <w:rFonts w:eastAsia="MS PGothic" w:cs="Times New Roman"/>
          <w:szCs w:val="24"/>
          <w:lang w:val="sr-Cyrl-CS" w:eastAsia="ja-JP"/>
        </w:rPr>
        <w:t>CAB</w:t>
      </w:r>
      <w:r w:rsidRPr="00092ED7">
        <w:rPr>
          <w:rFonts w:eastAsia="MS PGothic" w:cs="Times New Roman"/>
          <w:i/>
          <w:szCs w:val="24"/>
          <w:lang w:val="sr-Cyrl-CS" w:eastAsia="ja-JP"/>
        </w:rPr>
        <w:t xml:space="preserve">), </w:t>
      </w:r>
      <w:r w:rsidRPr="00092ED7">
        <w:rPr>
          <w:rFonts w:eastAsia="MS PGothic" w:cs="Times New Roman"/>
          <w:szCs w:val="24"/>
          <w:lang w:val="sr-Cyrl-CS" w:eastAsia="ja-JP"/>
        </w:rPr>
        <w:t>а циљ ове процедуре је изоловање цикличне компоненте фискалног биланса (</w:t>
      </w:r>
      <w:r w:rsidR="00E0125A" w:rsidRPr="00092ED7">
        <w:rPr>
          <w:rFonts w:eastAsia="MS PGothic" w:cs="Times New Roman"/>
          <w:szCs w:val="24"/>
          <w:lang w:val="sr-Cyrl-CS" w:eastAsia="ja-JP"/>
        </w:rPr>
        <w:t xml:space="preserve">у даљем тексту: </w:t>
      </w:r>
      <w:r w:rsidRPr="00092ED7">
        <w:rPr>
          <w:rFonts w:eastAsia="MS PGothic" w:cs="Times New Roman"/>
          <w:szCs w:val="24"/>
          <w:lang w:val="sr-Cyrl-CS" w:eastAsia="ja-JP"/>
        </w:rPr>
        <w:t>CB) која је резултат дејства производног јаза. Стварни фискални биланс биће једнак циклично прилагођеном у случају да је производни јаз једнак нули, тј. ако је стопа раста реалног БДП једнака потенцијалној. Структурни фискални биланс се даље рачунски добија елиминацијом једнократних ефеката на приходној и расходној страни, и тако показује структурну (трајну) фискалну позицију.</w:t>
      </w:r>
    </w:p>
    <w:p w14:paraId="56164E8F" w14:textId="77777777" w:rsidR="00854E01" w:rsidRPr="00092ED7" w:rsidRDefault="00854E01" w:rsidP="00854E01">
      <w:pPr>
        <w:spacing w:after="60"/>
        <w:rPr>
          <w:rFonts w:eastAsia="MS PGothic" w:cs="Times New Roman"/>
          <w:szCs w:val="24"/>
          <w:lang w:val="sr-Cyrl-CS" w:eastAsia="ja-JP"/>
        </w:rPr>
      </w:pPr>
      <w:r w:rsidRPr="00092ED7">
        <w:rPr>
          <w:rFonts w:eastAsia="MS PGothic" w:cs="Times New Roman"/>
          <w:szCs w:val="24"/>
          <w:lang w:val="sr-Cyrl-CS" w:eastAsia="ja-JP"/>
        </w:rPr>
        <w:t>Фискални простор креиран у претходном периоду и значајно структурно унапређена фискална позиција земље, омогућили су релаксацију фискалне политике у кризним временима.</w:t>
      </w:r>
    </w:p>
    <w:p w14:paraId="30D0A8CE" w14:textId="3350AFCF" w:rsidR="00854E01" w:rsidRPr="00092ED7" w:rsidRDefault="00854E01" w:rsidP="00854E01">
      <w:pPr>
        <w:spacing w:after="60"/>
        <w:rPr>
          <w:rFonts w:eastAsia="MS PGothic" w:cs="Times New Roman"/>
          <w:szCs w:val="24"/>
          <w:lang w:val="sr-Cyrl-CS" w:eastAsia="ja-JP"/>
        </w:rPr>
      </w:pPr>
      <w:r w:rsidRPr="00092ED7">
        <w:rPr>
          <w:rFonts w:eastAsia="MS PGothic" w:cs="Times New Roman"/>
          <w:szCs w:val="24"/>
          <w:lang w:val="sr-Cyrl-CS" w:eastAsia="ja-JP"/>
        </w:rPr>
        <w:t>Избијањем пандемије почетком 2020. године и увођењем мера за здравствену заштиту становништва, глобална економија је ушла у кризу без преседана. Утицај на фискалну позицију је био видљив кроз смањене прихода буџета, који су последица успоравања економске активности услед пандемије, и драматично већих расхода условљених већим трошковима здравствене заштите и доношењем обимног пакета помоћи привреди и грађанима. У таквој ситуацији, уобичајена анализа привредног циклуса, квантификација фискалних мултипликатора и оцена еластичности фискалног баланса у односу на производни јаз не даје сасвим коректне оцене фискалне позиције земље. Одговор фискалне политике на сложену економску ситуацију узроковану пандемијом коронавируса у 2020. и 2021. години, представљен је опсежним пакетом мера помоћи привреди. У случају одсуства мера подршке привреди и становништву пад БДП у 2020. години и снажан опоравак током 2021. године би изостао, а већа контракција привреде би утицала на знатно спорији опоравак у наредном средњорочном периоду.</w:t>
      </w:r>
    </w:p>
    <w:p w14:paraId="4FE8AD0B" w14:textId="77777777" w:rsidR="00854E01" w:rsidRPr="00092ED7" w:rsidRDefault="00854E01" w:rsidP="00854E01">
      <w:pPr>
        <w:spacing w:before="120" w:after="60"/>
        <w:rPr>
          <w:rFonts w:eastAsia="MS PGothic" w:cs="Times New Roman"/>
          <w:bCs/>
          <w:szCs w:val="24"/>
          <w:lang w:val="sr-Cyrl-CS"/>
        </w:rPr>
      </w:pPr>
      <w:r w:rsidRPr="00092ED7">
        <w:rPr>
          <w:rFonts w:eastAsia="MS PGothic" w:cs="Times New Roman"/>
          <w:bCs/>
          <w:szCs w:val="24"/>
          <w:lang w:val="sr-Cyrl-CS"/>
        </w:rPr>
        <w:t>Табела 10. Фискални биланс и компоненте за обрачун циклично прилагођеног биланса у периоду 2005–2025. године, % БДП*</w:t>
      </w:r>
    </w:p>
    <w:tbl>
      <w:tblPr>
        <w:tblpPr w:leftFromText="181" w:rightFromText="181" w:vertAnchor="text" w:horzAnchor="margin" w:tblpXSpec="right" w:tblpY="29"/>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69"/>
        <w:gridCol w:w="985"/>
        <w:gridCol w:w="985"/>
        <w:gridCol w:w="1082"/>
        <w:gridCol w:w="1082"/>
        <w:gridCol w:w="1032"/>
        <w:gridCol w:w="1032"/>
        <w:gridCol w:w="985"/>
      </w:tblGrid>
      <w:tr w:rsidR="00854E01" w:rsidRPr="00092ED7" w14:paraId="052C510F" w14:textId="77777777" w:rsidTr="00854E01">
        <w:trPr>
          <w:trHeight w:val="731"/>
          <w:tblHeader/>
        </w:trPr>
        <w:tc>
          <w:tcPr>
            <w:tcW w:w="473" w:type="pct"/>
            <w:noWrap/>
            <w:hideMark/>
          </w:tcPr>
          <w:p w14:paraId="2C436068" w14:textId="77777777" w:rsidR="00854E01" w:rsidRPr="00092ED7" w:rsidRDefault="00854E01" w:rsidP="00854E01">
            <w:pPr>
              <w:shd w:val="clear" w:color="auto" w:fill="FFFFFF" w:themeFill="background1"/>
              <w:spacing w:after="0"/>
              <w:rPr>
                <w:rFonts w:eastAsia="MS PGothic" w:cs="Times New Roman"/>
                <w:bCs/>
                <w:sz w:val="16"/>
                <w:szCs w:val="16"/>
                <w:lang w:val="sr-Cyrl-CS" w:eastAsia="ja-JP"/>
              </w:rPr>
            </w:pPr>
          </w:p>
        </w:tc>
        <w:tc>
          <w:tcPr>
            <w:tcW w:w="538" w:type="pct"/>
            <w:vAlign w:val="center"/>
          </w:tcPr>
          <w:p w14:paraId="2FD62E5A" w14:textId="77777777" w:rsidR="00854E01" w:rsidRPr="00092ED7" w:rsidRDefault="00854E01" w:rsidP="00854E01">
            <w:pPr>
              <w:shd w:val="clear" w:color="auto" w:fill="FFFFFF" w:themeFill="background1"/>
              <w:spacing w:after="0"/>
              <w:jc w:val="center"/>
              <w:rPr>
                <w:rFonts w:eastAsia="MS PGothic" w:cs="Times New Roman"/>
                <w:b/>
                <w:bCs/>
                <w:sz w:val="16"/>
                <w:szCs w:val="16"/>
                <w:lang w:val="sr-Cyrl-CS" w:eastAsia="ja-JP"/>
              </w:rPr>
            </w:pPr>
            <w:r w:rsidRPr="00092ED7">
              <w:rPr>
                <w:rFonts w:eastAsia="MS PGothic" w:cs="Times New Roman"/>
                <w:bCs/>
                <w:sz w:val="16"/>
                <w:szCs w:val="16"/>
                <w:lang w:val="sr-Cyrl-CS" w:eastAsia="ja-JP"/>
              </w:rPr>
              <w:t>Производни јаз</w:t>
            </w:r>
          </w:p>
        </w:tc>
        <w:tc>
          <w:tcPr>
            <w:tcW w:w="547" w:type="pct"/>
            <w:vAlign w:val="center"/>
            <w:hideMark/>
          </w:tcPr>
          <w:p w14:paraId="46BD11DB" w14:textId="77777777" w:rsidR="00854E01" w:rsidRPr="00092ED7" w:rsidRDefault="00854E01" w:rsidP="00854E01">
            <w:pPr>
              <w:shd w:val="clear" w:color="auto" w:fill="FFFFFF" w:themeFill="background1"/>
              <w:spacing w:after="0"/>
              <w:jc w:val="center"/>
              <w:rPr>
                <w:rFonts w:eastAsia="MS PGothic" w:cs="Times New Roman"/>
                <w:b/>
                <w:bCs/>
                <w:sz w:val="16"/>
                <w:szCs w:val="16"/>
                <w:lang w:val="sr-Cyrl-CS" w:eastAsia="ja-JP"/>
              </w:rPr>
            </w:pPr>
            <w:r w:rsidRPr="00092ED7">
              <w:rPr>
                <w:rFonts w:eastAsia="MS PGothic" w:cs="Times New Roman"/>
                <w:bCs/>
                <w:sz w:val="16"/>
                <w:szCs w:val="16"/>
                <w:lang w:val="sr-Cyrl-CS" w:eastAsia="ja-JP"/>
              </w:rPr>
              <w:t xml:space="preserve">Фискални </w:t>
            </w:r>
            <w:r w:rsidRPr="00092ED7">
              <w:rPr>
                <w:rFonts w:eastAsia="MS PGothic" w:cs="Times New Roman"/>
                <w:bCs/>
                <w:sz w:val="16"/>
                <w:szCs w:val="16"/>
                <w:lang w:val="sr-Cyrl-CS" w:eastAsia="ja-JP"/>
              </w:rPr>
              <w:br/>
              <w:t>биланс</w:t>
            </w:r>
          </w:p>
        </w:tc>
        <w:tc>
          <w:tcPr>
            <w:tcW w:w="547" w:type="pct"/>
            <w:vAlign w:val="center"/>
            <w:hideMark/>
          </w:tcPr>
          <w:p w14:paraId="5E62CC42" w14:textId="77777777" w:rsidR="00854E01" w:rsidRPr="00092ED7" w:rsidRDefault="00854E01" w:rsidP="00854E01">
            <w:pPr>
              <w:shd w:val="clear" w:color="auto" w:fill="FFFFFF" w:themeFill="background1"/>
              <w:spacing w:after="0"/>
              <w:jc w:val="center"/>
              <w:rPr>
                <w:rFonts w:eastAsia="MS PGothic" w:cs="Times New Roman"/>
                <w:b/>
                <w:bCs/>
                <w:sz w:val="16"/>
                <w:szCs w:val="16"/>
                <w:lang w:val="sr-Cyrl-CS" w:eastAsia="ja-JP"/>
              </w:rPr>
            </w:pPr>
            <w:r w:rsidRPr="00092ED7">
              <w:rPr>
                <w:rFonts w:eastAsia="MS PGothic" w:cs="Times New Roman"/>
                <w:bCs/>
                <w:sz w:val="16"/>
                <w:szCs w:val="16"/>
                <w:lang w:val="sr-Cyrl-CS" w:eastAsia="ja-JP"/>
              </w:rPr>
              <w:t>Примарни фискални биланс</w:t>
            </w:r>
          </w:p>
        </w:tc>
        <w:tc>
          <w:tcPr>
            <w:tcW w:w="601" w:type="pct"/>
            <w:vAlign w:val="center"/>
            <w:hideMark/>
          </w:tcPr>
          <w:p w14:paraId="0F42E7AE" w14:textId="77777777" w:rsidR="00854E01" w:rsidRPr="00092ED7" w:rsidRDefault="00854E01" w:rsidP="00854E01">
            <w:pPr>
              <w:shd w:val="clear" w:color="auto" w:fill="FFFFFF" w:themeFill="background1"/>
              <w:spacing w:after="0"/>
              <w:jc w:val="center"/>
              <w:rPr>
                <w:rFonts w:eastAsia="MS PGothic" w:cs="Times New Roman"/>
                <w:b/>
                <w:bCs/>
                <w:sz w:val="16"/>
                <w:szCs w:val="16"/>
                <w:lang w:val="sr-Cyrl-CS" w:eastAsia="ja-JP"/>
              </w:rPr>
            </w:pPr>
            <w:r w:rsidRPr="00092ED7">
              <w:rPr>
                <w:rFonts w:eastAsia="MS PGothic" w:cs="Times New Roman"/>
                <w:bCs/>
                <w:sz w:val="16"/>
                <w:szCs w:val="16"/>
                <w:lang w:val="sr-Cyrl-CS" w:eastAsia="ja-JP"/>
              </w:rPr>
              <w:t>Циклично прилагођени фискални биланс</w:t>
            </w:r>
          </w:p>
        </w:tc>
        <w:tc>
          <w:tcPr>
            <w:tcW w:w="601" w:type="pct"/>
            <w:vAlign w:val="center"/>
            <w:hideMark/>
          </w:tcPr>
          <w:p w14:paraId="14BEC0AD" w14:textId="77777777" w:rsidR="00854E01" w:rsidRPr="00092ED7" w:rsidRDefault="00854E01" w:rsidP="00854E01">
            <w:pPr>
              <w:shd w:val="clear" w:color="auto" w:fill="FFFFFF" w:themeFill="background1"/>
              <w:spacing w:after="0"/>
              <w:jc w:val="center"/>
              <w:rPr>
                <w:rFonts w:eastAsia="MS PGothic" w:cs="Times New Roman"/>
                <w:b/>
                <w:bCs/>
                <w:sz w:val="16"/>
                <w:szCs w:val="16"/>
                <w:lang w:val="sr-Cyrl-CS" w:eastAsia="ja-JP"/>
              </w:rPr>
            </w:pPr>
            <w:r w:rsidRPr="00092ED7">
              <w:rPr>
                <w:rFonts w:eastAsia="MS PGothic" w:cs="Times New Roman"/>
                <w:bCs/>
                <w:sz w:val="16"/>
                <w:szCs w:val="16"/>
                <w:lang w:val="sr-Cyrl-CS" w:eastAsia="ja-JP"/>
              </w:rPr>
              <w:t>Циклично прилагођени примарни фискални биланс</w:t>
            </w:r>
          </w:p>
        </w:tc>
        <w:tc>
          <w:tcPr>
            <w:tcW w:w="573" w:type="pct"/>
            <w:vAlign w:val="center"/>
          </w:tcPr>
          <w:p w14:paraId="74F264BE" w14:textId="77777777" w:rsidR="00854E01" w:rsidRPr="00092ED7" w:rsidRDefault="00854E01" w:rsidP="00854E01">
            <w:pPr>
              <w:shd w:val="clear" w:color="auto" w:fill="FFFFFF" w:themeFill="background1"/>
              <w:spacing w:after="0"/>
              <w:jc w:val="center"/>
              <w:rPr>
                <w:rFonts w:eastAsia="MS PGothic" w:cs="Times New Roman"/>
                <w:b/>
                <w:bCs/>
                <w:sz w:val="16"/>
                <w:szCs w:val="16"/>
                <w:lang w:val="sr-Cyrl-CS" w:eastAsia="ja-JP"/>
              </w:rPr>
            </w:pPr>
            <w:r w:rsidRPr="00092ED7">
              <w:rPr>
                <w:rFonts w:eastAsia="MS PGothic" w:cs="Times New Roman"/>
                <w:bCs/>
                <w:sz w:val="16"/>
                <w:szCs w:val="16"/>
                <w:lang w:val="sr-Cyrl-CS" w:eastAsia="ja-JP"/>
              </w:rPr>
              <w:t>Структурни фискални биланс</w:t>
            </w:r>
          </w:p>
        </w:tc>
        <w:tc>
          <w:tcPr>
            <w:tcW w:w="573" w:type="pct"/>
            <w:vAlign w:val="center"/>
            <w:hideMark/>
          </w:tcPr>
          <w:p w14:paraId="120FBA32" w14:textId="77777777" w:rsidR="00854E01" w:rsidRPr="00092ED7" w:rsidRDefault="00854E01" w:rsidP="00854E01">
            <w:pPr>
              <w:shd w:val="clear" w:color="auto" w:fill="FFFFFF" w:themeFill="background1"/>
              <w:spacing w:after="0"/>
              <w:jc w:val="center"/>
              <w:rPr>
                <w:rFonts w:eastAsia="MS PGothic" w:cs="Times New Roman"/>
                <w:b/>
                <w:bCs/>
                <w:sz w:val="16"/>
                <w:szCs w:val="16"/>
                <w:lang w:val="sr-Cyrl-CS" w:eastAsia="ja-JP"/>
              </w:rPr>
            </w:pPr>
            <w:r w:rsidRPr="00092ED7">
              <w:rPr>
                <w:rFonts w:eastAsia="MS PGothic" w:cs="Times New Roman"/>
                <w:bCs/>
                <w:sz w:val="16"/>
                <w:szCs w:val="16"/>
                <w:lang w:val="sr-Cyrl-CS" w:eastAsia="ja-JP"/>
              </w:rPr>
              <w:t>Структурни примарни фискални биланс**</w:t>
            </w:r>
          </w:p>
        </w:tc>
        <w:tc>
          <w:tcPr>
            <w:tcW w:w="547" w:type="pct"/>
            <w:vAlign w:val="center"/>
            <w:hideMark/>
          </w:tcPr>
          <w:p w14:paraId="0066DCAC" w14:textId="77777777" w:rsidR="00854E01" w:rsidRPr="00092ED7" w:rsidRDefault="00854E01" w:rsidP="00854E01">
            <w:pPr>
              <w:shd w:val="clear" w:color="auto" w:fill="FFFFFF" w:themeFill="background1"/>
              <w:spacing w:after="0"/>
              <w:jc w:val="center"/>
              <w:rPr>
                <w:rFonts w:eastAsia="MS PGothic" w:cs="Times New Roman"/>
                <w:b/>
                <w:bCs/>
                <w:sz w:val="16"/>
                <w:szCs w:val="16"/>
                <w:lang w:val="sr-Cyrl-CS" w:eastAsia="ja-JP"/>
              </w:rPr>
            </w:pPr>
            <w:r w:rsidRPr="00092ED7">
              <w:rPr>
                <w:rFonts w:eastAsia="MS PGothic" w:cs="Times New Roman"/>
                <w:bCs/>
                <w:sz w:val="16"/>
                <w:szCs w:val="16"/>
                <w:lang w:val="sr-Cyrl-CS" w:eastAsia="ja-JP"/>
              </w:rPr>
              <w:t>Фискални импулс</w:t>
            </w:r>
          </w:p>
        </w:tc>
      </w:tr>
      <w:tr w:rsidR="00854E01" w:rsidRPr="00092ED7" w14:paraId="229B313C" w14:textId="77777777" w:rsidTr="00854E01">
        <w:trPr>
          <w:trHeight w:hRule="exact" w:val="230"/>
        </w:trPr>
        <w:tc>
          <w:tcPr>
            <w:tcW w:w="473" w:type="pct"/>
            <w:shd w:val="clear" w:color="auto" w:fill="FFFFFF" w:themeFill="background1"/>
            <w:noWrap/>
            <w:hideMark/>
          </w:tcPr>
          <w:p w14:paraId="102E6420"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2005</w:t>
            </w:r>
          </w:p>
        </w:tc>
        <w:tc>
          <w:tcPr>
            <w:tcW w:w="538" w:type="pct"/>
            <w:shd w:val="clear" w:color="auto" w:fill="FFFFFF" w:themeFill="background1"/>
            <w:vAlign w:val="center"/>
          </w:tcPr>
          <w:p w14:paraId="5EC3DFE6"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0,0</w:t>
            </w:r>
          </w:p>
        </w:tc>
        <w:tc>
          <w:tcPr>
            <w:tcW w:w="547" w:type="pct"/>
            <w:shd w:val="clear" w:color="auto" w:fill="FFFFFF" w:themeFill="background1"/>
            <w:vAlign w:val="center"/>
            <w:hideMark/>
          </w:tcPr>
          <w:p w14:paraId="1B715E06"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1,1</w:t>
            </w:r>
          </w:p>
        </w:tc>
        <w:tc>
          <w:tcPr>
            <w:tcW w:w="547" w:type="pct"/>
            <w:shd w:val="clear" w:color="auto" w:fill="FFFFFF" w:themeFill="background1"/>
            <w:vAlign w:val="center"/>
            <w:hideMark/>
          </w:tcPr>
          <w:p w14:paraId="6730D7B5"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2,0</w:t>
            </w:r>
          </w:p>
        </w:tc>
        <w:tc>
          <w:tcPr>
            <w:tcW w:w="601" w:type="pct"/>
            <w:shd w:val="clear" w:color="auto" w:fill="FFFFFF" w:themeFill="background1"/>
            <w:noWrap/>
            <w:vAlign w:val="center"/>
            <w:hideMark/>
          </w:tcPr>
          <w:p w14:paraId="57D0183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1,1</w:t>
            </w:r>
          </w:p>
        </w:tc>
        <w:tc>
          <w:tcPr>
            <w:tcW w:w="601" w:type="pct"/>
            <w:shd w:val="clear" w:color="auto" w:fill="FFFFFF" w:themeFill="background1"/>
            <w:noWrap/>
            <w:vAlign w:val="center"/>
            <w:hideMark/>
          </w:tcPr>
          <w:p w14:paraId="653CD6A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2,0</w:t>
            </w:r>
          </w:p>
        </w:tc>
        <w:tc>
          <w:tcPr>
            <w:tcW w:w="573" w:type="pct"/>
            <w:shd w:val="clear" w:color="auto" w:fill="FFFFFF" w:themeFill="background1"/>
            <w:vAlign w:val="center"/>
          </w:tcPr>
          <w:p w14:paraId="6A04CAF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1,3</w:t>
            </w:r>
          </w:p>
        </w:tc>
        <w:tc>
          <w:tcPr>
            <w:tcW w:w="573" w:type="pct"/>
            <w:shd w:val="clear" w:color="auto" w:fill="FFFFFF" w:themeFill="background1"/>
            <w:noWrap/>
            <w:vAlign w:val="center"/>
            <w:hideMark/>
          </w:tcPr>
          <w:p w14:paraId="54EB6C4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2,2</w:t>
            </w:r>
          </w:p>
        </w:tc>
        <w:tc>
          <w:tcPr>
            <w:tcW w:w="547" w:type="pct"/>
            <w:shd w:val="clear" w:color="auto" w:fill="FFFFFF" w:themeFill="background1"/>
            <w:noWrap/>
            <w:vAlign w:val="center"/>
            <w:hideMark/>
          </w:tcPr>
          <w:p w14:paraId="66A6A88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p>
        </w:tc>
      </w:tr>
      <w:tr w:rsidR="00854E01" w:rsidRPr="00092ED7" w14:paraId="5AA8D78C" w14:textId="77777777" w:rsidTr="00854E01">
        <w:trPr>
          <w:trHeight w:hRule="exact" w:val="230"/>
        </w:trPr>
        <w:tc>
          <w:tcPr>
            <w:tcW w:w="473" w:type="pct"/>
            <w:shd w:val="clear" w:color="auto" w:fill="FFFFFF" w:themeFill="background1"/>
            <w:noWrap/>
            <w:hideMark/>
          </w:tcPr>
          <w:p w14:paraId="36BC9281"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2006</w:t>
            </w:r>
          </w:p>
        </w:tc>
        <w:tc>
          <w:tcPr>
            <w:tcW w:w="538" w:type="pct"/>
            <w:shd w:val="clear" w:color="auto" w:fill="FFFFFF" w:themeFill="background1"/>
            <w:vAlign w:val="center"/>
          </w:tcPr>
          <w:p w14:paraId="7B4D322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-2,7</w:t>
            </w:r>
          </w:p>
        </w:tc>
        <w:tc>
          <w:tcPr>
            <w:tcW w:w="547" w:type="pct"/>
            <w:shd w:val="clear" w:color="auto" w:fill="FFFFFF" w:themeFill="background1"/>
            <w:vAlign w:val="center"/>
            <w:hideMark/>
          </w:tcPr>
          <w:p w14:paraId="5B8B0E5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-1,4</w:t>
            </w:r>
          </w:p>
        </w:tc>
        <w:tc>
          <w:tcPr>
            <w:tcW w:w="547" w:type="pct"/>
            <w:shd w:val="clear" w:color="auto" w:fill="FFFFFF" w:themeFill="background1"/>
            <w:vAlign w:val="center"/>
            <w:hideMark/>
          </w:tcPr>
          <w:p w14:paraId="00B0F9C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-0,1</w:t>
            </w:r>
          </w:p>
        </w:tc>
        <w:tc>
          <w:tcPr>
            <w:tcW w:w="601" w:type="pct"/>
            <w:shd w:val="clear" w:color="auto" w:fill="FFFFFF" w:themeFill="background1"/>
            <w:noWrap/>
            <w:vAlign w:val="center"/>
            <w:hideMark/>
          </w:tcPr>
          <w:p w14:paraId="206B9559"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-0,5</w:t>
            </w:r>
          </w:p>
        </w:tc>
        <w:tc>
          <w:tcPr>
            <w:tcW w:w="601" w:type="pct"/>
            <w:shd w:val="clear" w:color="auto" w:fill="FFFFFF" w:themeFill="background1"/>
            <w:noWrap/>
            <w:vAlign w:val="center"/>
            <w:hideMark/>
          </w:tcPr>
          <w:p w14:paraId="5A4D3E7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0,8</w:t>
            </w:r>
          </w:p>
        </w:tc>
        <w:tc>
          <w:tcPr>
            <w:tcW w:w="573" w:type="pct"/>
            <w:shd w:val="clear" w:color="auto" w:fill="FFFFFF" w:themeFill="background1"/>
            <w:vAlign w:val="center"/>
          </w:tcPr>
          <w:p w14:paraId="6061427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0,2</w:t>
            </w:r>
          </w:p>
        </w:tc>
        <w:tc>
          <w:tcPr>
            <w:tcW w:w="573" w:type="pct"/>
            <w:shd w:val="clear" w:color="auto" w:fill="FFFFFF" w:themeFill="background1"/>
            <w:noWrap/>
            <w:vAlign w:val="center"/>
            <w:hideMark/>
          </w:tcPr>
          <w:p w14:paraId="0E4097DF"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1,5</w:t>
            </w:r>
          </w:p>
        </w:tc>
        <w:tc>
          <w:tcPr>
            <w:tcW w:w="547" w:type="pct"/>
            <w:shd w:val="clear" w:color="auto" w:fill="FFFFFF" w:themeFill="background1"/>
            <w:noWrap/>
            <w:vAlign w:val="center"/>
            <w:hideMark/>
          </w:tcPr>
          <w:p w14:paraId="5F0EED0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1,2</w:t>
            </w:r>
          </w:p>
        </w:tc>
      </w:tr>
      <w:tr w:rsidR="00854E01" w:rsidRPr="00092ED7" w14:paraId="78CF1EBF" w14:textId="77777777" w:rsidTr="00854E01">
        <w:trPr>
          <w:trHeight w:hRule="exact" w:val="230"/>
        </w:trPr>
        <w:tc>
          <w:tcPr>
            <w:tcW w:w="473" w:type="pct"/>
            <w:shd w:val="clear" w:color="auto" w:fill="FFFFFF" w:themeFill="background1"/>
            <w:noWrap/>
            <w:hideMark/>
          </w:tcPr>
          <w:p w14:paraId="1A620F2C"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2007</w:t>
            </w:r>
          </w:p>
        </w:tc>
        <w:tc>
          <w:tcPr>
            <w:tcW w:w="538" w:type="pct"/>
            <w:shd w:val="clear" w:color="auto" w:fill="FFFFFF" w:themeFill="background1"/>
            <w:vAlign w:val="center"/>
          </w:tcPr>
          <w:p w14:paraId="3EECC16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0,8</w:t>
            </w:r>
          </w:p>
        </w:tc>
        <w:tc>
          <w:tcPr>
            <w:tcW w:w="547" w:type="pct"/>
            <w:shd w:val="clear" w:color="auto" w:fill="FFFFFF" w:themeFill="background1"/>
            <w:vAlign w:val="center"/>
            <w:hideMark/>
          </w:tcPr>
          <w:p w14:paraId="1BC3A17F"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-1,8</w:t>
            </w:r>
          </w:p>
        </w:tc>
        <w:tc>
          <w:tcPr>
            <w:tcW w:w="547" w:type="pct"/>
            <w:shd w:val="clear" w:color="auto" w:fill="FFFFFF" w:themeFill="background1"/>
            <w:vAlign w:val="center"/>
            <w:hideMark/>
          </w:tcPr>
          <w:p w14:paraId="3B17574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-1,2</w:t>
            </w:r>
          </w:p>
        </w:tc>
        <w:tc>
          <w:tcPr>
            <w:tcW w:w="601" w:type="pct"/>
            <w:shd w:val="clear" w:color="auto" w:fill="FFFFFF" w:themeFill="background1"/>
            <w:vAlign w:val="center"/>
            <w:hideMark/>
          </w:tcPr>
          <w:p w14:paraId="097B5BD1"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-2,1</w:t>
            </w:r>
          </w:p>
        </w:tc>
        <w:tc>
          <w:tcPr>
            <w:tcW w:w="601" w:type="pct"/>
            <w:shd w:val="clear" w:color="auto" w:fill="FFFFFF" w:themeFill="background1"/>
            <w:noWrap/>
            <w:vAlign w:val="center"/>
            <w:hideMark/>
          </w:tcPr>
          <w:p w14:paraId="5C7E166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-1,5</w:t>
            </w:r>
          </w:p>
        </w:tc>
        <w:tc>
          <w:tcPr>
            <w:tcW w:w="573" w:type="pct"/>
            <w:shd w:val="clear" w:color="auto" w:fill="FFFFFF" w:themeFill="background1"/>
            <w:vAlign w:val="center"/>
          </w:tcPr>
          <w:p w14:paraId="6C2F219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-1,7</w:t>
            </w:r>
          </w:p>
        </w:tc>
        <w:tc>
          <w:tcPr>
            <w:tcW w:w="573" w:type="pct"/>
            <w:shd w:val="clear" w:color="auto" w:fill="FFFFFF" w:themeFill="background1"/>
            <w:noWrap/>
            <w:vAlign w:val="center"/>
            <w:hideMark/>
          </w:tcPr>
          <w:p w14:paraId="6728C7C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-1,2</w:t>
            </w:r>
          </w:p>
        </w:tc>
        <w:tc>
          <w:tcPr>
            <w:tcW w:w="547" w:type="pct"/>
            <w:shd w:val="clear" w:color="auto" w:fill="FFFFFF" w:themeFill="background1"/>
            <w:noWrap/>
            <w:vAlign w:val="center"/>
            <w:hideMark/>
          </w:tcPr>
          <w:p w14:paraId="22858F17"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2,3</w:t>
            </w:r>
          </w:p>
        </w:tc>
      </w:tr>
      <w:tr w:rsidR="00854E01" w:rsidRPr="00092ED7" w14:paraId="793A4963" w14:textId="77777777" w:rsidTr="00854E01">
        <w:trPr>
          <w:trHeight w:hRule="exact" w:val="230"/>
        </w:trPr>
        <w:tc>
          <w:tcPr>
            <w:tcW w:w="473" w:type="pct"/>
            <w:shd w:val="clear" w:color="auto" w:fill="FFFFFF" w:themeFill="background1"/>
            <w:noWrap/>
            <w:hideMark/>
          </w:tcPr>
          <w:p w14:paraId="3CDB8AD6"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2008</w:t>
            </w:r>
          </w:p>
        </w:tc>
        <w:tc>
          <w:tcPr>
            <w:tcW w:w="538" w:type="pct"/>
            <w:shd w:val="clear" w:color="auto" w:fill="FFFFFF" w:themeFill="background1"/>
            <w:vAlign w:val="center"/>
          </w:tcPr>
          <w:p w14:paraId="4D69FA8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4,0</w:t>
            </w:r>
          </w:p>
        </w:tc>
        <w:tc>
          <w:tcPr>
            <w:tcW w:w="547" w:type="pct"/>
            <w:shd w:val="clear" w:color="auto" w:fill="FFFFFF" w:themeFill="background1"/>
            <w:vAlign w:val="center"/>
            <w:hideMark/>
          </w:tcPr>
          <w:p w14:paraId="75BDBFA6"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-2,5</w:t>
            </w:r>
          </w:p>
        </w:tc>
        <w:tc>
          <w:tcPr>
            <w:tcW w:w="547" w:type="pct"/>
            <w:shd w:val="clear" w:color="auto" w:fill="FFFFFF" w:themeFill="background1"/>
            <w:vAlign w:val="center"/>
            <w:hideMark/>
          </w:tcPr>
          <w:p w14:paraId="0B6E27A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-1,9</w:t>
            </w:r>
          </w:p>
        </w:tc>
        <w:tc>
          <w:tcPr>
            <w:tcW w:w="601" w:type="pct"/>
            <w:shd w:val="clear" w:color="auto" w:fill="FFFFFF" w:themeFill="background1"/>
            <w:vAlign w:val="center"/>
            <w:hideMark/>
          </w:tcPr>
          <w:p w14:paraId="1BF35416"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-3,9</w:t>
            </w:r>
          </w:p>
        </w:tc>
        <w:tc>
          <w:tcPr>
            <w:tcW w:w="601" w:type="pct"/>
            <w:shd w:val="clear" w:color="auto" w:fill="FFFFFF" w:themeFill="background1"/>
            <w:noWrap/>
            <w:vAlign w:val="center"/>
            <w:hideMark/>
          </w:tcPr>
          <w:p w14:paraId="60ED887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-3,4</w:t>
            </w:r>
          </w:p>
        </w:tc>
        <w:tc>
          <w:tcPr>
            <w:tcW w:w="573" w:type="pct"/>
            <w:shd w:val="clear" w:color="auto" w:fill="FFFFFF" w:themeFill="background1"/>
            <w:vAlign w:val="center"/>
          </w:tcPr>
          <w:p w14:paraId="1399FB9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-4,0</w:t>
            </w:r>
          </w:p>
        </w:tc>
        <w:tc>
          <w:tcPr>
            <w:tcW w:w="573" w:type="pct"/>
            <w:shd w:val="clear" w:color="auto" w:fill="FFFFFF" w:themeFill="background1"/>
            <w:noWrap/>
            <w:vAlign w:val="center"/>
            <w:hideMark/>
          </w:tcPr>
          <w:p w14:paraId="155614C5"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-3,4</w:t>
            </w:r>
          </w:p>
        </w:tc>
        <w:tc>
          <w:tcPr>
            <w:tcW w:w="547" w:type="pct"/>
            <w:shd w:val="clear" w:color="auto" w:fill="FFFFFF" w:themeFill="background1"/>
            <w:noWrap/>
            <w:vAlign w:val="center"/>
            <w:hideMark/>
          </w:tcPr>
          <w:p w14:paraId="22678A8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1,9</w:t>
            </w:r>
          </w:p>
        </w:tc>
      </w:tr>
      <w:tr w:rsidR="00854E01" w:rsidRPr="00092ED7" w14:paraId="66B419D8" w14:textId="77777777" w:rsidTr="00854E01">
        <w:trPr>
          <w:trHeight w:hRule="exact" w:val="230"/>
        </w:trPr>
        <w:tc>
          <w:tcPr>
            <w:tcW w:w="473" w:type="pct"/>
            <w:shd w:val="clear" w:color="auto" w:fill="FFFFFF" w:themeFill="background1"/>
            <w:noWrap/>
            <w:hideMark/>
          </w:tcPr>
          <w:p w14:paraId="4C1E4DD4"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2009</w:t>
            </w:r>
          </w:p>
        </w:tc>
        <w:tc>
          <w:tcPr>
            <w:tcW w:w="538" w:type="pct"/>
            <w:shd w:val="clear" w:color="auto" w:fill="FFFFFF" w:themeFill="background1"/>
            <w:vAlign w:val="center"/>
          </w:tcPr>
          <w:p w14:paraId="419CA96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-0,4</w:t>
            </w:r>
          </w:p>
        </w:tc>
        <w:tc>
          <w:tcPr>
            <w:tcW w:w="547" w:type="pct"/>
            <w:shd w:val="clear" w:color="auto" w:fill="FFFFFF" w:themeFill="background1"/>
            <w:vAlign w:val="center"/>
            <w:hideMark/>
          </w:tcPr>
          <w:p w14:paraId="321B1FF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-4,2</w:t>
            </w:r>
          </w:p>
        </w:tc>
        <w:tc>
          <w:tcPr>
            <w:tcW w:w="547" w:type="pct"/>
            <w:shd w:val="clear" w:color="auto" w:fill="FFFFFF" w:themeFill="background1"/>
            <w:vAlign w:val="center"/>
            <w:hideMark/>
          </w:tcPr>
          <w:p w14:paraId="55A6413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-3,6</w:t>
            </w:r>
          </w:p>
        </w:tc>
        <w:tc>
          <w:tcPr>
            <w:tcW w:w="601" w:type="pct"/>
            <w:shd w:val="clear" w:color="auto" w:fill="FFFFFF" w:themeFill="background1"/>
            <w:vAlign w:val="center"/>
            <w:hideMark/>
          </w:tcPr>
          <w:p w14:paraId="66219A5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-4,0</w:t>
            </w:r>
          </w:p>
        </w:tc>
        <w:tc>
          <w:tcPr>
            <w:tcW w:w="601" w:type="pct"/>
            <w:shd w:val="clear" w:color="auto" w:fill="FFFFFF" w:themeFill="background1"/>
            <w:vAlign w:val="center"/>
            <w:hideMark/>
          </w:tcPr>
          <w:p w14:paraId="322A41D6"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-3,4</w:t>
            </w:r>
          </w:p>
        </w:tc>
        <w:tc>
          <w:tcPr>
            <w:tcW w:w="573" w:type="pct"/>
            <w:shd w:val="clear" w:color="auto" w:fill="FFFFFF" w:themeFill="background1"/>
            <w:vAlign w:val="center"/>
          </w:tcPr>
          <w:p w14:paraId="1A2C86D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-4,1</w:t>
            </w:r>
          </w:p>
        </w:tc>
        <w:tc>
          <w:tcPr>
            <w:tcW w:w="573" w:type="pct"/>
            <w:shd w:val="clear" w:color="auto" w:fill="FFFFFF" w:themeFill="background1"/>
            <w:noWrap/>
            <w:vAlign w:val="center"/>
            <w:hideMark/>
          </w:tcPr>
          <w:p w14:paraId="393E70C7"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-3,5</w:t>
            </w:r>
          </w:p>
        </w:tc>
        <w:tc>
          <w:tcPr>
            <w:tcW w:w="547" w:type="pct"/>
            <w:shd w:val="clear" w:color="auto" w:fill="FFFFFF" w:themeFill="background1"/>
            <w:noWrap/>
            <w:vAlign w:val="center"/>
            <w:hideMark/>
          </w:tcPr>
          <w:p w14:paraId="2B794761"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0,0</w:t>
            </w:r>
          </w:p>
        </w:tc>
      </w:tr>
      <w:tr w:rsidR="00854E01" w:rsidRPr="00092ED7" w14:paraId="08AE3852" w14:textId="77777777" w:rsidTr="00854E01">
        <w:trPr>
          <w:trHeight w:hRule="exact" w:val="230"/>
        </w:trPr>
        <w:tc>
          <w:tcPr>
            <w:tcW w:w="473" w:type="pct"/>
            <w:shd w:val="clear" w:color="auto" w:fill="FFFFFF" w:themeFill="background1"/>
            <w:noWrap/>
          </w:tcPr>
          <w:p w14:paraId="265069DB"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2010</w:t>
            </w:r>
          </w:p>
          <w:p w14:paraId="75F9D018"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p>
        </w:tc>
        <w:tc>
          <w:tcPr>
            <w:tcW w:w="538" w:type="pct"/>
            <w:shd w:val="clear" w:color="auto" w:fill="FFFFFF" w:themeFill="background1"/>
            <w:vAlign w:val="center"/>
          </w:tcPr>
          <w:p w14:paraId="0BB12B3F"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-0,7</w:t>
            </w:r>
          </w:p>
        </w:tc>
        <w:tc>
          <w:tcPr>
            <w:tcW w:w="547" w:type="pct"/>
            <w:shd w:val="clear" w:color="auto" w:fill="FFFFFF" w:themeFill="background1"/>
            <w:vAlign w:val="center"/>
            <w:hideMark/>
          </w:tcPr>
          <w:p w14:paraId="26D4D38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-4,3</w:t>
            </w:r>
          </w:p>
        </w:tc>
        <w:tc>
          <w:tcPr>
            <w:tcW w:w="547" w:type="pct"/>
            <w:shd w:val="clear" w:color="auto" w:fill="FFFFFF" w:themeFill="background1"/>
            <w:vAlign w:val="center"/>
            <w:hideMark/>
          </w:tcPr>
          <w:p w14:paraId="4DC47C86"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-3,4</w:t>
            </w:r>
          </w:p>
        </w:tc>
        <w:tc>
          <w:tcPr>
            <w:tcW w:w="601" w:type="pct"/>
            <w:shd w:val="clear" w:color="auto" w:fill="FFFFFF" w:themeFill="background1"/>
            <w:vAlign w:val="center"/>
            <w:hideMark/>
          </w:tcPr>
          <w:p w14:paraId="05E9F24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-4,1</w:t>
            </w:r>
          </w:p>
        </w:tc>
        <w:tc>
          <w:tcPr>
            <w:tcW w:w="601" w:type="pct"/>
            <w:shd w:val="clear" w:color="auto" w:fill="FFFFFF" w:themeFill="background1"/>
            <w:vAlign w:val="center"/>
            <w:hideMark/>
          </w:tcPr>
          <w:p w14:paraId="7B006036"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-3,1</w:t>
            </w:r>
          </w:p>
        </w:tc>
        <w:tc>
          <w:tcPr>
            <w:tcW w:w="573" w:type="pct"/>
            <w:shd w:val="clear" w:color="auto" w:fill="FFFFFF" w:themeFill="background1"/>
            <w:vAlign w:val="center"/>
          </w:tcPr>
          <w:p w14:paraId="5877F05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-4,2</w:t>
            </w:r>
          </w:p>
        </w:tc>
        <w:tc>
          <w:tcPr>
            <w:tcW w:w="573" w:type="pct"/>
            <w:shd w:val="clear" w:color="auto" w:fill="FFFFFF" w:themeFill="background1"/>
            <w:noWrap/>
            <w:vAlign w:val="center"/>
            <w:hideMark/>
          </w:tcPr>
          <w:p w14:paraId="0C4B91F9"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-3,2</w:t>
            </w:r>
          </w:p>
        </w:tc>
        <w:tc>
          <w:tcPr>
            <w:tcW w:w="547" w:type="pct"/>
            <w:shd w:val="clear" w:color="auto" w:fill="FFFFFF" w:themeFill="background1"/>
            <w:noWrap/>
            <w:vAlign w:val="center"/>
            <w:hideMark/>
          </w:tcPr>
          <w:p w14:paraId="4A2BAD9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-0,3</w:t>
            </w:r>
          </w:p>
        </w:tc>
      </w:tr>
      <w:tr w:rsidR="00854E01" w:rsidRPr="00092ED7" w14:paraId="04A67B67" w14:textId="77777777" w:rsidTr="00854E01">
        <w:trPr>
          <w:trHeight w:hRule="exact" w:val="230"/>
        </w:trPr>
        <w:tc>
          <w:tcPr>
            <w:tcW w:w="473" w:type="pct"/>
            <w:shd w:val="clear" w:color="auto" w:fill="FFFFFF" w:themeFill="background1"/>
            <w:noWrap/>
            <w:hideMark/>
          </w:tcPr>
          <w:p w14:paraId="1EB34E73"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2011</w:t>
            </w:r>
          </w:p>
        </w:tc>
        <w:tc>
          <w:tcPr>
            <w:tcW w:w="538" w:type="pct"/>
            <w:shd w:val="clear" w:color="auto" w:fill="FFFFFF" w:themeFill="background1"/>
            <w:vAlign w:val="center"/>
          </w:tcPr>
          <w:p w14:paraId="5FD54F2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0,5</w:t>
            </w:r>
          </w:p>
        </w:tc>
        <w:tc>
          <w:tcPr>
            <w:tcW w:w="547" w:type="pct"/>
            <w:shd w:val="clear" w:color="auto" w:fill="FFFFFF" w:themeFill="background1"/>
            <w:vAlign w:val="center"/>
            <w:hideMark/>
          </w:tcPr>
          <w:p w14:paraId="154A0F3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-4,5</w:t>
            </w:r>
          </w:p>
        </w:tc>
        <w:tc>
          <w:tcPr>
            <w:tcW w:w="547" w:type="pct"/>
            <w:shd w:val="clear" w:color="auto" w:fill="FFFFFF" w:themeFill="background1"/>
            <w:vAlign w:val="center"/>
            <w:hideMark/>
          </w:tcPr>
          <w:p w14:paraId="5536837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-3,4</w:t>
            </w:r>
          </w:p>
        </w:tc>
        <w:tc>
          <w:tcPr>
            <w:tcW w:w="601" w:type="pct"/>
            <w:shd w:val="clear" w:color="auto" w:fill="FFFFFF" w:themeFill="background1"/>
            <w:vAlign w:val="center"/>
            <w:hideMark/>
          </w:tcPr>
          <w:p w14:paraId="275EB8A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-4,7</w:t>
            </w:r>
          </w:p>
        </w:tc>
        <w:tc>
          <w:tcPr>
            <w:tcW w:w="601" w:type="pct"/>
            <w:shd w:val="clear" w:color="auto" w:fill="FFFFFF" w:themeFill="background1"/>
            <w:vAlign w:val="center"/>
            <w:hideMark/>
          </w:tcPr>
          <w:p w14:paraId="77DE0C7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-3,6</w:t>
            </w:r>
          </w:p>
        </w:tc>
        <w:tc>
          <w:tcPr>
            <w:tcW w:w="573" w:type="pct"/>
            <w:shd w:val="clear" w:color="auto" w:fill="FFFFFF" w:themeFill="background1"/>
            <w:vAlign w:val="center"/>
          </w:tcPr>
          <w:p w14:paraId="1C914DD5"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-4,9</w:t>
            </w:r>
          </w:p>
        </w:tc>
        <w:tc>
          <w:tcPr>
            <w:tcW w:w="573" w:type="pct"/>
            <w:shd w:val="clear" w:color="auto" w:fill="FFFFFF" w:themeFill="background1"/>
            <w:noWrap/>
            <w:vAlign w:val="center"/>
            <w:hideMark/>
          </w:tcPr>
          <w:p w14:paraId="0D63B02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-3,8</w:t>
            </w:r>
          </w:p>
        </w:tc>
        <w:tc>
          <w:tcPr>
            <w:tcW w:w="547" w:type="pct"/>
            <w:shd w:val="clear" w:color="auto" w:fill="FFFFFF" w:themeFill="background1"/>
            <w:noWrap/>
            <w:vAlign w:val="center"/>
            <w:hideMark/>
          </w:tcPr>
          <w:p w14:paraId="4468D45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0,4</w:t>
            </w:r>
          </w:p>
        </w:tc>
      </w:tr>
      <w:tr w:rsidR="00854E01" w:rsidRPr="00092ED7" w14:paraId="30641DA5" w14:textId="77777777" w:rsidTr="00854E01">
        <w:trPr>
          <w:trHeight w:hRule="exact" w:val="230"/>
        </w:trPr>
        <w:tc>
          <w:tcPr>
            <w:tcW w:w="473" w:type="pct"/>
            <w:shd w:val="clear" w:color="auto" w:fill="FFFFFF" w:themeFill="background1"/>
            <w:noWrap/>
          </w:tcPr>
          <w:p w14:paraId="01D8CC94"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2012</w:t>
            </w:r>
          </w:p>
          <w:p w14:paraId="752CF90B"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p>
        </w:tc>
        <w:tc>
          <w:tcPr>
            <w:tcW w:w="538" w:type="pct"/>
            <w:shd w:val="clear" w:color="auto" w:fill="FFFFFF" w:themeFill="background1"/>
            <w:vAlign w:val="center"/>
          </w:tcPr>
          <w:p w14:paraId="595B0C7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-0,8</w:t>
            </w:r>
          </w:p>
        </w:tc>
        <w:tc>
          <w:tcPr>
            <w:tcW w:w="547" w:type="pct"/>
            <w:shd w:val="clear" w:color="auto" w:fill="FFFFFF" w:themeFill="background1"/>
            <w:vAlign w:val="center"/>
          </w:tcPr>
          <w:p w14:paraId="14F915C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-6,4</w:t>
            </w:r>
          </w:p>
        </w:tc>
        <w:tc>
          <w:tcPr>
            <w:tcW w:w="547" w:type="pct"/>
            <w:shd w:val="clear" w:color="auto" w:fill="FFFFFF" w:themeFill="background1"/>
            <w:vAlign w:val="center"/>
          </w:tcPr>
          <w:p w14:paraId="32C46AA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-4,7</w:t>
            </w:r>
          </w:p>
        </w:tc>
        <w:tc>
          <w:tcPr>
            <w:tcW w:w="601" w:type="pct"/>
            <w:shd w:val="clear" w:color="auto" w:fill="FFFFFF" w:themeFill="background1"/>
            <w:vAlign w:val="center"/>
          </w:tcPr>
          <w:p w14:paraId="343B49F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-6,1</w:t>
            </w:r>
          </w:p>
        </w:tc>
        <w:tc>
          <w:tcPr>
            <w:tcW w:w="601" w:type="pct"/>
            <w:shd w:val="clear" w:color="auto" w:fill="FFFFFF" w:themeFill="background1"/>
            <w:vAlign w:val="center"/>
          </w:tcPr>
          <w:p w14:paraId="6191CB1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-4,4</w:t>
            </w:r>
          </w:p>
        </w:tc>
        <w:tc>
          <w:tcPr>
            <w:tcW w:w="573" w:type="pct"/>
            <w:shd w:val="clear" w:color="auto" w:fill="FFFFFF" w:themeFill="background1"/>
            <w:vAlign w:val="center"/>
          </w:tcPr>
          <w:p w14:paraId="3129384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-6,1</w:t>
            </w:r>
          </w:p>
        </w:tc>
        <w:tc>
          <w:tcPr>
            <w:tcW w:w="573" w:type="pct"/>
            <w:shd w:val="clear" w:color="auto" w:fill="FFFFFF" w:themeFill="background1"/>
            <w:noWrap/>
            <w:vAlign w:val="center"/>
          </w:tcPr>
          <w:p w14:paraId="1561C0F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-4,4</w:t>
            </w:r>
          </w:p>
        </w:tc>
        <w:tc>
          <w:tcPr>
            <w:tcW w:w="547" w:type="pct"/>
            <w:shd w:val="clear" w:color="auto" w:fill="FFFFFF" w:themeFill="background1"/>
            <w:noWrap/>
            <w:vAlign w:val="center"/>
          </w:tcPr>
          <w:p w14:paraId="6235434F"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0,9</w:t>
            </w:r>
          </w:p>
        </w:tc>
      </w:tr>
      <w:tr w:rsidR="00854E01" w:rsidRPr="00092ED7" w14:paraId="74EDF13F" w14:textId="77777777" w:rsidTr="00854E01">
        <w:trPr>
          <w:trHeight w:hRule="exact" w:val="230"/>
        </w:trPr>
        <w:tc>
          <w:tcPr>
            <w:tcW w:w="473" w:type="pct"/>
            <w:shd w:val="clear" w:color="auto" w:fill="FFFFFF" w:themeFill="background1"/>
            <w:noWrap/>
          </w:tcPr>
          <w:p w14:paraId="0BD204A8"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2013</w:t>
            </w:r>
          </w:p>
        </w:tc>
        <w:tc>
          <w:tcPr>
            <w:tcW w:w="538" w:type="pct"/>
            <w:shd w:val="clear" w:color="auto" w:fill="FFFFFF" w:themeFill="background1"/>
            <w:vAlign w:val="center"/>
          </w:tcPr>
          <w:p w14:paraId="13095FF9"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1,2</w:t>
            </w:r>
          </w:p>
        </w:tc>
        <w:tc>
          <w:tcPr>
            <w:tcW w:w="547" w:type="pct"/>
            <w:shd w:val="clear" w:color="auto" w:fill="FFFFFF" w:themeFill="background1"/>
            <w:vAlign w:val="center"/>
          </w:tcPr>
          <w:p w14:paraId="69B39D1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-5,1</w:t>
            </w:r>
          </w:p>
        </w:tc>
        <w:tc>
          <w:tcPr>
            <w:tcW w:w="547" w:type="pct"/>
            <w:shd w:val="clear" w:color="auto" w:fill="FFFFFF" w:themeFill="background1"/>
            <w:vAlign w:val="center"/>
          </w:tcPr>
          <w:p w14:paraId="2A9F2A3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-3,0</w:t>
            </w:r>
          </w:p>
        </w:tc>
        <w:tc>
          <w:tcPr>
            <w:tcW w:w="601" w:type="pct"/>
            <w:shd w:val="clear" w:color="auto" w:fill="FFFFFF" w:themeFill="background1"/>
            <w:vAlign w:val="center"/>
          </w:tcPr>
          <w:p w14:paraId="3723612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-5,6</w:t>
            </w:r>
          </w:p>
        </w:tc>
        <w:tc>
          <w:tcPr>
            <w:tcW w:w="601" w:type="pct"/>
            <w:shd w:val="clear" w:color="auto" w:fill="FFFFFF" w:themeFill="background1"/>
            <w:vAlign w:val="center"/>
          </w:tcPr>
          <w:p w14:paraId="63535249"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-3,4</w:t>
            </w:r>
          </w:p>
        </w:tc>
        <w:tc>
          <w:tcPr>
            <w:tcW w:w="573" w:type="pct"/>
            <w:shd w:val="clear" w:color="auto" w:fill="FFFFFF" w:themeFill="background1"/>
            <w:vAlign w:val="center"/>
          </w:tcPr>
          <w:p w14:paraId="0E88A60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-5,3</w:t>
            </w:r>
          </w:p>
        </w:tc>
        <w:tc>
          <w:tcPr>
            <w:tcW w:w="573" w:type="pct"/>
            <w:shd w:val="clear" w:color="auto" w:fill="FFFFFF" w:themeFill="background1"/>
            <w:noWrap/>
            <w:vAlign w:val="center"/>
          </w:tcPr>
          <w:p w14:paraId="2B56C09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-3,1</w:t>
            </w:r>
          </w:p>
        </w:tc>
        <w:tc>
          <w:tcPr>
            <w:tcW w:w="547" w:type="pct"/>
            <w:shd w:val="clear" w:color="auto" w:fill="FFFFFF" w:themeFill="background1"/>
            <w:noWrap/>
            <w:vAlign w:val="center"/>
          </w:tcPr>
          <w:p w14:paraId="3A26934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-1,0</w:t>
            </w:r>
          </w:p>
        </w:tc>
      </w:tr>
      <w:tr w:rsidR="00854E01" w:rsidRPr="00092ED7" w14:paraId="4D1156B4" w14:textId="77777777" w:rsidTr="00854E01">
        <w:trPr>
          <w:trHeight w:hRule="exact" w:val="230"/>
        </w:trPr>
        <w:tc>
          <w:tcPr>
            <w:tcW w:w="473" w:type="pct"/>
            <w:shd w:val="clear" w:color="auto" w:fill="FFFFFF" w:themeFill="background1"/>
            <w:noWrap/>
          </w:tcPr>
          <w:p w14:paraId="674CFCE3"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2014</w:t>
            </w:r>
          </w:p>
        </w:tc>
        <w:tc>
          <w:tcPr>
            <w:tcW w:w="538" w:type="pct"/>
            <w:shd w:val="clear" w:color="auto" w:fill="FFFFFF" w:themeFill="background1"/>
            <w:vAlign w:val="center"/>
          </w:tcPr>
          <w:p w14:paraId="0F8E8C2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-1,4</w:t>
            </w:r>
          </w:p>
        </w:tc>
        <w:tc>
          <w:tcPr>
            <w:tcW w:w="547" w:type="pct"/>
            <w:shd w:val="clear" w:color="auto" w:fill="FFFFFF" w:themeFill="background1"/>
            <w:vAlign w:val="center"/>
          </w:tcPr>
          <w:p w14:paraId="6AA4498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-6,2</w:t>
            </w:r>
          </w:p>
        </w:tc>
        <w:tc>
          <w:tcPr>
            <w:tcW w:w="547" w:type="pct"/>
            <w:shd w:val="clear" w:color="auto" w:fill="FFFFFF" w:themeFill="background1"/>
            <w:vAlign w:val="center"/>
          </w:tcPr>
          <w:p w14:paraId="3BA690B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-3,5</w:t>
            </w:r>
          </w:p>
        </w:tc>
        <w:tc>
          <w:tcPr>
            <w:tcW w:w="601" w:type="pct"/>
            <w:shd w:val="clear" w:color="auto" w:fill="FFFFFF" w:themeFill="background1"/>
            <w:vAlign w:val="center"/>
          </w:tcPr>
          <w:p w14:paraId="0009DAC7"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-5,7</w:t>
            </w:r>
          </w:p>
        </w:tc>
        <w:tc>
          <w:tcPr>
            <w:tcW w:w="601" w:type="pct"/>
            <w:shd w:val="clear" w:color="auto" w:fill="FFFFFF" w:themeFill="background1"/>
            <w:vAlign w:val="center"/>
          </w:tcPr>
          <w:p w14:paraId="151ABD2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-3,0</w:t>
            </w:r>
          </w:p>
        </w:tc>
        <w:tc>
          <w:tcPr>
            <w:tcW w:w="573" w:type="pct"/>
            <w:shd w:val="clear" w:color="auto" w:fill="FFFFFF" w:themeFill="background1"/>
            <w:vAlign w:val="center"/>
          </w:tcPr>
          <w:p w14:paraId="3DD7C8E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-4,8</w:t>
            </w:r>
          </w:p>
        </w:tc>
        <w:tc>
          <w:tcPr>
            <w:tcW w:w="573" w:type="pct"/>
            <w:shd w:val="clear" w:color="auto" w:fill="FFFFFF" w:themeFill="background1"/>
            <w:noWrap/>
            <w:vAlign w:val="center"/>
          </w:tcPr>
          <w:p w14:paraId="1A441D56"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-2,2</w:t>
            </w:r>
          </w:p>
        </w:tc>
        <w:tc>
          <w:tcPr>
            <w:tcW w:w="547" w:type="pct"/>
            <w:shd w:val="clear" w:color="auto" w:fill="FFFFFF" w:themeFill="background1"/>
            <w:noWrap/>
            <w:vAlign w:val="center"/>
          </w:tcPr>
          <w:p w14:paraId="42262975"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-0,4</w:t>
            </w:r>
          </w:p>
        </w:tc>
      </w:tr>
      <w:tr w:rsidR="00854E01" w:rsidRPr="00092ED7" w14:paraId="7616C614" w14:textId="77777777" w:rsidTr="00854E01">
        <w:trPr>
          <w:trHeight w:hRule="exact" w:val="230"/>
        </w:trPr>
        <w:tc>
          <w:tcPr>
            <w:tcW w:w="473" w:type="pct"/>
            <w:shd w:val="clear" w:color="auto" w:fill="FFFFFF" w:themeFill="background1"/>
            <w:noWrap/>
          </w:tcPr>
          <w:p w14:paraId="2D381221"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2015</w:t>
            </w:r>
          </w:p>
        </w:tc>
        <w:tc>
          <w:tcPr>
            <w:tcW w:w="538" w:type="pct"/>
            <w:shd w:val="clear" w:color="auto" w:fill="FFFFFF" w:themeFill="background1"/>
            <w:vAlign w:val="center"/>
          </w:tcPr>
          <w:p w14:paraId="5B1C548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-1,2</w:t>
            </w:r>
          </w:p>
        </w:tc>
        <w:tc>
          <w:tcPr>
            <w:tcW w:w="547" w:type="pct"/>
            <w:shd w:val="clear" w:color="auto" w:fill="FFFFFF" w:themeFill="background1"/>
            <w:vAlign w:val="center"/>
          </w:tcPr>
          <w:p w14:paraId="68E499E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-3,5</w:t>
            </w:r>
          </w:p>
        </w:tc>
        <w:tc>
          <w:tcPr>
            <w:tcW w:w="547" w:type="pct"/>
            <w:shd w:val="clear" w:color="auto" w:fill="FFFFFF" w:themeFill="background1"/>
            <w:vAlign w:val="center"/>
          </w:tcPr>
          <w:p w14:paraId="24F06C3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-0,5</w:t>
            </w:r>
          </w:p>
        </w:tc>
        <w:tc>
          <w:tcPr>
            <w:tcW w:w="601" w:type="pct"/>
            <w:shd w:val="clear" w:color="auto" w:fill="FFFFFF" w:themeFill="background1"/>
            <w:vAlign w:val="center"/>
          </w:tcPr>
          <w:p w14:paraId="3673354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-3,0</w:t>
            </w:r>
          </w:p>
        </w:tc>
        <w:tc>
          <w:tcPr>
            <w:tcW w:w="601" w:type="pct"/>
            <w:shd w:val="clear" w:color="auto" w:fill="FFFFFF" w:themeFill="background1"/>
            <w:vAlign w:val="center"/>
          </w:tcPr>
          <w:p w14:paraId="7CD05F8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0,0</w:t>
            </w:r>
          </w:p>
        </w:tc>
        <w:tc>
          <w:tcPr>
            <w:tcW w:w="573" w:type="pct"/>
            <w:shd w:val="clear" w:color="auto" w:fill="FFFFFF" w:themeFill="background1"/>
            <w:vAlign w:val="center"/>
          </w:tcPr>
          <w:p w14:paraId="60ECA8D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-2,2</w:t>
            </w:r>
          </w:p>
        </w:tc>
        <w:tc>
          <w:tcPr>
            <w:tcW w:w="573" w:type="pct"/>
            <w:shd w:val="clear" w:color="auto" w:fill="FFFFFF" w:themeFill="background1"/>
            <w:noWrap/>
            <w:vAlign w:val="center"/>
          </w:tcPr>
          <w:p w14:paraId="7216E765"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0,8</w:t>
            </w:r>
          </w:p>
        </w:tc>
        <w:tc>
          <w:tcPr>
            <w:tcW w:w="547" w:type="pct"/>
            <w:shd w:val="clear" w:color="auto" w:fill="FFFFFF" w:themeFill="background1"/>
            <w:noWrap/>
            <w:vAlign w:val="center"/>
          </w:tcPr>
          <w:p w14:paraId="73B807F9"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-3,0</w:t>
            </w:r>
          </w:p>
        </w:tc>
      </w:tr>
      <w:tr w:rsidR="00854E01" w:rsidRPr="00092ED7" w14:paraId="5C515EA8" w14:textId="77777777" w:rsidTr="00854E01">
        <w:trPr>
          <w:trHeight w:hRule="exact" w:val="230"/>
        </w:trPr>
        <w:tc>
          <w:tcPr>
            <w:tcW w:w="473" w:type="pct"/>
            <w:shd w:val="clear" w:color="auto" w:fill="FFFFFF" w:themeFill="background1"/>
            <w:noWrap/>
          </w:tcPr>
          <w:p w14:paraId="62B9D963"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2016</w:t>
            </w:r>
          </w:p>
        </w:tc>
        <w:tc>
          <w:tcPr>
            <w:tcW w:w="538" w:type="pct"/>
            <w:shd w:val="clear" w:color="auto" w:fill="FFFFFF" w:themeFill="background1"/>
            <w:vAlign w:val="center"/>
          </w:tcPr>
          <w:p w14:paraId="0ED58901"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-0,1</w:t>
            </w:r>
          </w:p>
        </w:tc>
        <w:tc>
          <w:tcPr>
            <w:tcW w:w="547" w:type="pct"/>
            <w:shd w:val="clear" w:color="auto" w:fill="FFFFFF" w:themeFill="background1"/>
            <w:vAlign w:val="center"/>
          </w:tcPr>
          <w:p w14:paraId="30F59D4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-1,2</w:t>
            </w:r>
          </w:p>
        </w:tc>
        <w:tc>
          <w:tcPr>
            <w:tcW w:w="547" w:type="pct"/>
            <w:shd w:val="clear" w:color="auto" w:fill="FFFFFF" w:themeFill="background1"/>
            <w:vAlign w:val="center"/>
          </w:tcPr>
          <w:p w14:paraId="599F127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1,7</w:t>
            </w:r>
          </w:p>
        </w:tc>
        <w:tc>
          <w:tcPr>
            <w:tcW w:w="601" w:type="pct"/>
            <w:shd w:val="clear" w:color="auto" w:fill="FFFFFF" w:themeFill="background1"/>
            <w:vAlign w:val="center"/>
          </w:tcPr>
          <w:p w14:paraId="46954EF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-1,2</w:t>
            </w:r>
          </w:p>
        </w:tc>
        <w:tc>
          <w:tcPr>
            <w:tcW w:w="601" w:type="pct"/>
            <w:shd w:val="clear" w:color="auto" w:fill="FFFFFF" w:themeFill="background1"/>
            <w:vAlign w:val="center"/>
          </w:tcPr>
          <w:p w14:paraId="6903B98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1,7</w:t>
            </w:r>
          </w:p>
        </w:tc>
        <w:tc>
          <w:tcPr>
            <w:tcW w:w="573" w:type="pct"/>
            <w:shd w:val="clear" w:color="auto" w:fill="FFFFFF" w:themeFill="background1"/>
            <w:vAlign w:val="center"/>
          </w:tcPr>
          <w:p w14:paraId="4EF1D27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-1,1</w:t>
            </w:r>
          </w:p>
        </w:tc>
        <w:tc>
          <w:tcPr>
            <w:tcW w:w="573" w:type="pct"/>
            <w:shd w:val="clear" w:color="auto" w:fill="FFFFFF" w:themeFill="background1"/>
            <w:noWrap/>
            <w:vAlign w:val="center"/>
          </w:tcPr>
          <w:p w14:paraId="2E24690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1,8</w:t>
            </w:r>
          </w:p>
        </w:tc>
        <w:tc>
          <w:tcPr>
            <w:tcW w:w="547" w:type="pct"/>
            <w:shd w:val="clear" w:color="auto" w:fill="FFFFFF" w:themeFill="background1"/>
            <w:noWrap/>
            <w:vAlign w:val="center"/>
          </w:tcPr>
          <w:p w14:paraId="45DD77FF"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-1,8</w:t>
            </w:r>
          </w:p>
        </w:tc>
      </w:tr>
      <w:tr w:rsidR="00854E01" w:rsidRPr="00092ED7" w14:paraId="2BAABE30" w14:textId="77777777" w:rsidTr="00854E01">
        <w:trPr>
          <w:trHeight w:hRule="exact" w:val="230"/>
        </w:trPr>
        <w:tc>
          <w:tcPr>
            <w:tcW w:w="473" w:type="pct"/>
            <w:shd w:val="clear" w:color="auto" w:fill="FFFFFF" w:themeFill="background1"/>
            <w:noWrap/>
          </w:tcPr>
          <w:p w14:paraId="38A937E3"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2017</w:t>
            </w:r>
          </w:p>
        </w:tc>
        <w:tc>
          <w:tcPr>
            <w:tcW w:w="538" w:type="pct"/>
            <w:shd w:val="clear" w:color="auto" w:fill="FFFFFF" w:themeFill="background1"/>
            <w:vAlign w:val="center"/>
          </w:tcPr>
          <w:p w14:paraId="4ED1C5A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-0,6</w:t>
            </w:r>
          </w:p>
        </w:tc>
        <w:tc>
          <w:tcPr>
            <w:tcW w:w="547" w:type="pct"/>
            <w:shd w:val="clear" w:color="auto" w:fill="FFFFFF" w:themeFill="background1"/>
            <w:vAlign w:val="center"/>
          </w:tcPr>
          <w:p w14:paraId="609938E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1,1</w:t>
            </w:r>
          </w:p>
        </w:tc>
        <w:tc>
          <w:tcPr>
            <w:tcW w:w="547" w:type="pct"/>
            <w:shd w:val="clear" w:color="auto" w:fill="FFFFFF" w:themeFill="background1"/>
            <w:vAlign w:val="center"/>
          </w:tcPr>
          <w:p w14:paraId="712861C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3,6</w:t>
            </w:r>
          </w:p>
        </w:tc>
        <w:tc>
          <w:tcPr>
            <w:tcW w:w="601" w:type="pct"/>
            <w:shd w:val="clear" w:color="auto" w:fill="FFFFFF" w:themeFill="background1"/>
            <w:vAlign w:val="center"/>
          </w:tcPr>
          <w:p w14:paraId="353B550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1,3</w:t>
            </w:r>
          </w:p>
        </w:tc>
        <w:tc>
          <w:tcPr>
            <w:tcW w:w="601" w:type="pct"/>
            <w:shd w:val="clear" w:color="auto" w:fill="FFFFFF" w:themeFill="background1"/>
            <w:vAlign w:val="center"/>
          </w:tcPr>
          <w:p w14:paraId="4038AED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3,8</w:t>
            </w:r>
          </w:p>
        </w:tc>
        <w:tc>
          <w:tcPr>
            <w:tcW w:w="573" w:type="pct"/>
            <w:shd w:val="clear" w:color="auto" w:fill="FFFFFF" w:themeFill="background1"/>
            <w:vAlign w:val="center"/>
          </w:tcPr>
          <w:p w14:paraId="5998B07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1,2</w:t>
            </w:r>
          </w:p>
        </w:tc>
        <w:tc>
          <w:tcPr>
            <w:tcW w:w="573" w:type="pct"/>
            <w:shd w:val="clear" w:color="auto" w:fill="FFFFFF" w:themeFill="background1"/>
            <w:noWrap/>
            <w:vAlign w:val="center"/>
          </w:tcPr>
          <w:p w14:paraId="51B6CC2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3,7</w:t>
            </w:r>
          </w:p>
        </w:tc>
        <w:tc>
          <w:tcPr>
            <w:tcW w:w="547" w:type="pct"/>
            <w:shd w:val="clear" w:color="auto" w:fill="FFFFFF" w:themeFill="background1"/>
            <w:noWrap/>
            <w:vAlign w:val="center"/>
          </w:tcPr>
          <w:p w14:paraId="6CC3B95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-2,1</w:t>
            </w:r>
          </w:p>
        </w:tc>
      </w:tr>
      <w:tr w:rsidR="00854E01" w:rsidRPr="00092ED7" w14:paraId="160A8FFE" w14:textId="77777777" w:rsidTr="00854E01">
        <w:trPr>
          <w:trHeight w:hRule="exact" w:val="230"/>
        </w:trPr>
        <w:tc>
          <w:tcPr>
            <w:tcW w:w="473" w:type="pct"/>
            <w:shd w:val="clear" w:color="auto" w:fill="FFFFFF" w:themeFill="background1"/>
            <w:noWrap/>
          </w:tcPr>
          <w:p w14:paraId="504F0117"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2018</w:t>
            </w:r>
          </w:p>
        </w:tc>
        <w:tc>
          <w:tcPr>
            <w:tcW w:w="538" w:type="pct"/>
            <w:shd w:val="clear" w:color="auto" w:fill="FFFFFF" w:themeFill="background1"/>
            <w:vAlign w:val="center"/>
          </w:tcPr>
          <w:p w14:paraId="01E9BE67"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0,8</w:t>
            </w:r>
          </w:p>
        </w:tc>
        <w:tc>
          <w:tcPr>
            <w:tcW w:w="547" w:type="pct"/>
            <w:shd w:val="clear" w:color="auto" w:fill="FFFFFF" w:themeFill="background1"/>
            <w:vAlign w:val="center"/>
          </w:tcPr>
          <w:p w14:paraId="7F3A303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0,6</w:t>
            </w:r>
          </w:p>
        </w:tc>
        <w:tc>
          <w:tcPr>
            <w:tcW w:w="547" w:type="pct"/>
            <w:shd w:val="clear" w:color="auto" w:fill="FFFFFF" w:themeFill="background1"/>
            <w:vAlign w:val="center"/>
          </w:tcPr>
          <w:p w14:paraId="76595E3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2,7</w:t>
            </w:r>
          </w:p>
        </w:tc>
        <w:tc>
          <w:tcPr>
            <w:tcW w:w="601" w:type="pct"/>
            <w:shd w:val="clear" w:color="auto" w:fill="FFFFFF" w:themeFill="background1"/>
            <w:vAlign w:val="center"/>
          </w:tcPr>
          <w:p w14:paraId="5D7F5A09"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0,4</w:t>
            </w:r>
          </w:p>
        </w:tc>
        <w:tc>
          <w:tcPr>
            <w:tcW w:w="601" w:type="pct"/>
            <w:shd w:val="clear" w:color="auto" w:fill="FFFFFF" w:themeFill="background1"/>
            <w:vAlign w:val="center"/>
          </w:tcPr>
          <w:p w14:paraId="79ADFC2F"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2,5</w:t>
            </w:r>
          </w:p>
        </w:tc>
        <w:tc>
          <w:tcPr>
            <w:tcW w:w="573" w:type="pct"/>
            <w:shd w:val="clear" w:color="auto" w:fill="FFFFFF" w:themeFill="background1"/>
            <w:vAlign w:val="center"/>
          </w:tcPr>
          <w:p w14:paraId="22B08D0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0,2</w:t>
            </w:r>
          </w:p>
        </w:tc>
        <w:tc>
          <w:tcPr>
            <w:tcW w:w="573" w:type="pct"/>
            <w:shd w:val="clear" w:color="auto" w:fill="FFFFFF" w:themeFill="background1"/>
            <w:noWrap/>
            <w:vAlign w:val="center"/>
          </w:tcPr>
          <w:p w14:paraId="6A1E825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2,3</w:t>
            </w:r>
          </w:p>
        </w:tc>
        <w:tc>
          <w:tcPr>
            <w:tcW w:w="547" w:type="pct"/>
            <w:shd w:val="clear" w:color="auto" w:fill="FFFFFF" w:themeFill="background1"/>
            <w:noWrap/>
            <w:vAlign w:val="center"/>
          </w:tcPr>
          <w:p w14:paraId="2F7AD357"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1,4</w:t>
            </w:r>
          </w:p>
        </w:tc>
      </w:tr>
      <w:tr w:rsidR="00854E01" w:rsidRPr="00092ED7" w14:paraId="5C9104AC" w14:textId="77777777" w:rsidTr="00854E01">
        <w:trPr>
          <w:trHeight w:hRule="exact" w:val="230"/>
        </w:trPr>
        <w:tc>
          <w:tcPr>
            <w:tcW w:w="473" w:type="pct"/>
            <w:shd w:val="clear" w:color="auto" w:fill="FFFFFF" w:themeFill="background1"/>
            <w:noWrap/>
          </w:tcPr>
          <w:p w14:paraId="2E42BF84"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2019</w:t>
            </w:r>
          </w:p>
          <w:p w14:paraId="51BA064A"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p>
        </w:tc>
        <w:tc>
          <w:tcPr>
            <w:tcW w:w="538" w:type="pct"/>
            <w:shd w:val="clear" w:color="auto" w:fill="FFFFFF" w:themeFill="background1"/>
            <w:vAlign w:val="center"/>
          </w:tcPr>
          <w:p w14:paraId="68902ED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1,9</w:t>
            </w:r>
          </w:p>
        </w:tc>
        <w:tc>
          <w:tcPr>
            <w:tcW w:w="547" w:type="pct"/>
            <w:shd w:val="clear" w:color="auto" w:fill="FFFFFF" w:themeFill="background1"/>
            <w:vAlign w:val="center"/>
          </w:tcPr>
          <w:p w14:paraId="7E61751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-0,2</w:t>
            </w:r>
          </w:p>
        </w:tc>
        <w:tc>
          <w:tcPr>
            <w:tcW w:w="547" w:type="pct"/>
            <w:shd w:val="clear" w:color="auto" w:fill="FFFFFF" w:themeFill="background1"/>
            <w:vAlign w:val="center"/>
          </w:tcPr>
          <w:p w14:paraId="7BD52F9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1,8</w:t>
            </w:r>
          </w:p>
        </w:tc>
        <w:tc>
          <w:tcPr>
            <w:tcW w:w="601" w:type="pct"/>
            <w:shd w:val="clear" w:color="auto" w:fill="FFFFFF" w:themeFill="background1"/>
            <w:vAlign w:val="center"/>
          </w:tcPr>
          <w:p w14:paraId="3C90B8CF"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-0,9</w:t>
            </w:r>
          </w:p>
        </w:tc>
        <w:tc>
          <w:tcPr>
            <w:tcW w:w="601" w:type="pct"/>
            <w:shd w:val="clear" w:color="auto" w:fill="FFFFFF" w:themeFill="background1"/>
            <w:vAlign w:val="center"/>
          </w:tcPr>
          <w:p w14:paraId="170EB325"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1,1</w:t>
            </w:r>
          </w:p>
        </w:tc>
        <w:tc>
          <w:tcPr>
            <w:tcW w:w="573" w:type="pct"/>
            <w:shd w:val="clear" w:color="auto" w:fill="FFFFFF" w:themeFill="background1"/>
            <w:vAlign w:val="center"/>
          </w:tcPr>
          <w:p w14:paraId="29FB530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-1,0</w:t>
            </w:r>
          </w:p>
        </w:tc>
        <w:tc>
          <w:tcPr>
            <w:tcW w:w="573" w:type="pct"/>
            <w:shd w:val="clear" w:color="auto" w:fill="FFFFFF" w:themeFill="background1"/>
            <w:noWrap/>
            <w:vAlign w:val="center"/>
          </w:tcPr>
          <w:p w14:paraId="29AD236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0,9</w:t>
            </w:r>
          </w:p>
        </w:tc>
        <w:tc>
          <w:tcPr>
            <w:tcW w:w="547" w:type="pct"/>
            <w:shd w:val="clear" w:color="auto" w:fill="FFFFFF" w:themeFill="background1"/>
            <w:noWrap/>
            <w:vAlign w:val="center"/>
          </w:tcPr>
          <w:p w14:paraId="7234544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1,3</w:t>
            </w:r>
          </w:p>
        </w:tc>
      </w:tr>
      <w:tr w:rsidR="00854E01" w:rsidRPr="00092ED7" w14:paraId="77490E81" w14:textId="77777777" w:rsidTr="00854E01">
        <w:trPr>
          <w:trHeight w:hRule="exact" w:val="230"/>
        </w:trPr>
        <w:tc>
          <w:tcPr>
            <w:tcW w:w="473" w:type="pct"/>
            <w:shd w:val="clear" w:color="auto" w:fill="FFFFFF" w:themeFill="background1"/>
            <w:noWrap/>
          </w:tcPr>
          <w:p w14:paraId="426D2A34"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2020</w:t>
            </w:r>
          </w:p>
          <w:p w14:paraId="70F8E00F"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2021</w:t>
            </w:r>
          </w:p>
          <w:p w14:paraId="16B8911E"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2021</w:t>
            </w:r>
          </w:p>
          <w:p w14:paraId="41A3F481"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202</w:t>
            </w:r>
          </w:p>
        </w:tc>
        <w:tc>
          <w:tcPr>
            <w:tcW w:w="538" w:type="pct"/>
            <w:shd w:val="clear" w:color="auto" w:fill="FFFFFF" w:themeFill="background1"/>
            <w:vAlign w:val="center"/>
          </w:tcPr>
          <w:p w14:paraId="49E7D31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-2,4</w:t>
            </w:r>
          </w:p>
        </w:tc>
        <w:tc>
          <w:tcPr>
            <w:tcW w:w="547" w:type="pct"/>
            <w:shd w:val="clear" w:color="auto" w:fill="FFFFFF" w:themeFill="background1"/>
            <w:vAlign w:val="center"/>
          </w:tcPr>
          <w:p w14:paraId="5D99746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-8,0</w:t>
            </w:r>
          </w:p>
        </w:tc>
        <w:tc>
          <w:tcPr>
            <w:tcW w:w="547" w:type="pct"/>
            <w:shd w:val="clear" w:color="auto" w:fill="FFFFFF" w:themeFill="background1"/>
            <w:vAlign w:val="center"/>
          </w:tcPr>
          <w:p w14:paraId="6313F1A7"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-6,0</w:t>
            </w:r>
          </w:p>
        </w:tc>
        <w:tc>
          <w:tcPr>
            <w:tcW w:w="601" w:type="pct"/>
            <w:shd w:val="clear" w:color="auto" w:fill="FFFFFF" w:themeFill="background1"/>
            <w:vAlign w:val="center"/>
          </w:tcPr>
          <w:p w14:paraId="0F2A8A2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-7,2</w:t>
            </w:r>
          </w:p>
        </w:tc>
        <w:tc>
          <w:tcPr>
            <w:tcW w:w="601" w:type="pct"/>
            <w:shd w:val="clear" w:color="auto" w:fill="FFFFFF" w:themeFill="background1"/>
            <w:vAlign w:val="center"/>
          </w:tcPr>
          <w:p w14:paraId="6E01F47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-5,2</w:t>
            </w:r>
          </w:p>
        </w:tc>
        <w:tc>
          <w:tcPr>
            <w:tcW w:w="573" w:type="pct"/>
            <w:shd w:val="clear" w:color="auto" w:fill="FFFFFF" w:themeFill="background1"/>
            <w:vAlign w:val="center"/>
          </w:tcPr>
          <w:p w14:paraId="5C0D842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-0,2</w:t>
            </w:r>
          </w:p>
        </w:tc>
        <w:tc>
          <w:tcPr>
            <w:tcW w:w="573" w:type="pct"/>
            <w:shd w:val="clear" w:color="auto" w:fill="FFFFFF" w:themeFill="background1"/>
            <w:noWrap/>
            <w:vAlign w:val="center"/>
          </w:tcPr>
          <w:p w14:paraId="0D949CA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1,8</w:t>
            </w:r>
          </w:p>
        </w:tc>
        <w:tc>
          <w:tcPr>
            <w:tcW w:w="547" w:type="pct"/>
            <w:shd w:val="clear" w:color="auto" w:fill="FFFFFF" w:themeFill="background1"/>
            <w:noWrap/>
            <w:vAlign w:val="center"/>
          </w:tcPr>
          <w:p w14:paraId="194B42A9"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6,3</w:t>
            </w:r>
          </w:p>
        </w:tc>
      </w:tr>
      <w:tr w:rsidR="00854E01" w:rsidRPr="00092ED7" w14:paraId="61519A6B" w14:textId="77777777" w:rsidTr="00854E01">
        <w:trPr>
          <w:trHeight w:hRule="exact" w:val="230"/>
        </w:trPr>
        <w:tc>
          <w:tcPr>
            <w:tcW w:w="473" w:type="pct"/>
            <w:shd w:val="clear" w:color="auto" w:fill="FFFFFF" w:themeFill="background1"/>
            <w:noWrap/>
          </w:tcPr>
          <w:p w14:paraId="48BE6525"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2021</w:t>
            </w:r>
          </w:p>
        </w:tc>
        <w:tc>
          <w:tcPr>
            <w:tcW w:w="538" w:type="pct"/>
            <w:shd w:val="clear" w:color="auto" w:fill="FFFFFF" w:themeFill="background1"/>
            <w:vAlign w:val="center"/>
          </w:tcPr>
          <w:p w14:paraId="4B3B271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1,3</w:t>
            </w:r>
          </w:p>
        </w:tc>
        <w:tc>
          <w:tcPr>
            <w:tcW w:w="547" w:type="pct"/>
            <w:shd w:val="clear" w:color="auto" w:fill="FFFFFF" w:themeFill="background1"/>
            <w:vAlign w:val="center"/>
          </w:tcPr>
          <w:p w14:paraId="37567CD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-4,1</w:t>
            </w:r>
          </w:p>
        </w:tc>
        <w:tc>
          <w:tcPr>
            <w:tcW w:w="547" w:type="pct"/>
            <w:shd w:val="clear" w:color="auto" w:fill="FFFFFF" w:themeFill="background1"/>
            <w:vAlign w:val="center"/>
          </w:tcPr>
          <w:p w14:paraId="0C00DAE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-2,4</w:t>
            </w:r>
          </w:p>
        </w:tc>
        <w:tc>
          <w:tcPr>
            <w:tcW w:w="601" w:type="pct"/>
            <w:shd w:val="clear" w:color="auto" w:fill="FFFFFF" w:themeFill="background1"/>
            <w:vAlign w:val="center"/>
          </w:tcPr>
          <w:p w14:paraId="17DB186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-4,6</w:t>
            </w:r>
          </w:p>
        </w:tc>
        <w:tc>
          <w:tcPr>
            <w:tcW w:w="601" w:type="pct"/>
            <w:shd w:val="clear" w:color="auto" w:fill="FFFFFF" w:themeFill="background1"/>
            <w:vAlign w:val="center"/>
          </w:tcPr>
          <w:p w14:paraId="4B44EA2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-2,8</w:t>
            </w:r>
          </w:p>
        </w:tc>
        <w:tc>
          <w:tcPr>
            <w:tcW w:w="573" w:type="pct"/>
            <w:shd w:val="clear" w:color="auto" w:fill="FFFFFF" w:themeFill="background1"/>
            <w:vAlign w:val="center"/>
          </w:tcPr>
          <w:p w14:paraId="2DD700B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-0,5</w:t>
            </w:r>
          </w:p>
        </w:tc>
        <w:tc>
          <w:tcPr>
            <w:tcW w:w="573" w:type="pct"/>
            <w:shd w:val="clear" w:color="auto" w:fill="FFFFFF" w:themeFill="background1"/>
            <w:noWrap/>
            <w:vAlign w:val="center"/>
          </w:tcPr>
          <w:p w14:paraId="2C42D7E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1,3</w:t>
            </w:r>
          </w:p>
        </w:tc>
        <w:tc>
          <w:tcPr>
            <w:tcW w:w="547" w:type="pct"/>
            <w:shd w:val="clear" w:color="auto" w:fill="FFFFFF" w:themeFill="background1"/>
            <w:noWrap/>
            <w:vAlign w:val="center"/>
          </w:tcPr>
          <w:p w14:paraId="1B608817"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-2,4</w:t>
            </w:r>
          </w:p>
        </w:tc>
      </w:tr>
      <w:tr w:rsidR="00854E01" w:rsidRPr="00092ED7" w14:paraId="5C839614" w14:textId="77777777" w:rsidTr="00854E01">
        <w:trPr>
          <w:trHeight w:hRule="exact" w:val="230"/>
        </w:trPr>
        <w:tc>
          <w:tcPr>
            <w:tcW w:w="473" w:type="pct"/>
            <w:shd w:val="clear" w:color="auto" w:fill="FFFFFF" w:themeFill="background1"/>
            <w:noWrap/>
          </w:tcPr>
          <w:p w14:paraId="129DE054"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2022</w:t>
            </w:r>
          </w:p>
        </w:tc>
        <w:tc>
          <w:tcPr>
            <w:tcW w:w="538" w:type="pct"/>
            <w:shd w:val="clear" w:color="auto" w:fill="FFFFFF" w:themeFill="background1"/>
            <w:vAlign w:val="center"/>
          </w:tcPr>
          <w:p w14:paraId="4DB3A7B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0,7</w:t>
            </w:r>
          </w:p>
        </w:tc>
        <w:tc>
          <w:tcPr>
            <w:tcW w:w="547" w:type="pct"/>
            <w:shd w:val="clear" w:color="auto" w:fill="FFFFFF" w:themeFill="background1"/>
            <w:vAlign w:val="center"/>
          </w:tcPr>
          <w:p w14:paraId="00370AD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-3,8</w:t>
            </w:r>
          </w:p>
        </w:tc>
        <w:tc>
          <w:tcPr>
            <w:tcW w:w="547" w:type="pct"/>
            <w:shd w:val="clear" w:color="auto" w:fill="FFFFFF" w:themeFill="background1"/>
            <w:vAlign w:val="center"/>
          </w:tcPr>
          <w:p w14:paraId="5AA72295"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-2,2</w:t>
            </w:r>
          </w:p>
        </w:tc>
        <w:tc>
          <w:tcPr>
            <w:tcW w:w="601" w:type="pct"/>
            <w:shd w:val="clear" w:color="auto" w:fill="FFFFFF" w:themeFill="background1"/>
            <w:vAlign w:val="center"/>
          </w:tcPr>
          <w:p w14:paraId="58E6977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-4,1</w:t>
            </w:r>
          </w:p>
        </w:tc>
        <w:tc>
          <w:tcPr>
            <w:tcW w:w="601" w:type="pct"/>
            <w:shd w:val="clear" w:color="auto" w:fill="FFFFFF" w:themeFill="background1"/>
            <w:vAlign w:val="center"/>
          </w:tcPr>
          <w:p w14:paraId="214E1A6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-2,4</w:t>
            </w:r>
          </w:p>
        </w:tc>
        <w:tc>
          <w:tcPr>
            <w:tcW w:w="573" w:type="pct"/>
            <w:shd w:val="clear" w:color="auto" w:fill="FFFFFF" w:themeFill="background1"/>
            <w:vAlign w:val="center"/>
          </w:tcPr>
          <w:p w14:paraId="4C56ED21"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-1,1</w:t>
            </w:r>
          </w:p>
        </w:tc>
        <w:tc>
          <w:tcPr>
            <w:tcW w:w="573" w:type="pct"/>
            <w:shd w:val="clear" w:color="auto" w:fill="FFFFFF" w:themeFill="background1"/>
            <w:noWrap/>
            <w:vAlign w:val="center"/>
          </w:tcPr>
          <w:p w14:paraId="3DD3E86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0,5</w:t>
            </w:r>
          </w:p>
        </w:tc>
        <w:tc>
          <w:tcPr>
            <w:tcW w:w="547" w:type="pct"/>
            <w:shd w:val="clear" w:color="auto" w:fill="FFFFFF" w:themeFill="background1"/>
            <w:noWrap/>
            <w:vAlign w:val="center"/>
          </w:tcPr>
          <w:p w14:paraId="0588647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-0,4</w:t>
            </w:r>
          </w:p>
        </w:tc>
      </w:tr>
      <w:tr w:rsidR="00854E01" w:rsidRPr="00092ED7" w14:paraId="40AB4994" w14:textId="77777777" w:rsidTr="00854E01">
        <w:trPr>
          <w:trHeight w:hRule="exact" w:val="230"/>
        </w:trPr>
        <w:tc>
          <w:tcPr>
            <w:tcW w:w="473" w:type="pct"/>
            <w:shd w:val="clear" w:color="auto" w:fill="FFFFFF" w:themeFill="background1"/>
            <w:noWrap/>
          </w:tcPr>
          <w:p w14:paraId="3F215D79"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2023</w:t>
            </w:r>
          </w:p>
        </w:tc>
        <w:tc>
          <w:tcPr>
            <w:tcW w:w="538" w:type="pct"/>
            <w:shd w:val="clear" w:color="auto" w:fill="FFFFFF" w:themeFill="background1"/>
            <w:vAlign w:val="center"/>
          </w:tcPr>
          <w:p w14:paraId="7E0BCD7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-0,3</w:t>
            </w:r>
          </w:p>
        </w:tc>
        <w:tc>
          <w:tcPr>
            <w:tcW w:w="547" w:type="pct"/>
            <w:shd w:val="clear" w:color="auto" w:fill="FFFFFF" w:themeFill="background1"/>
            <w:vAlign w:val="center"/>
          </w:tcPr>
          <w:p w14:paraId="25D708C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-3,3</w:t>
            </w:r>
          </w:p>
        </w:tc>
        <w:tc>
          <w:tcPr>
            <w:tcW w:w="547" w:type="pct"/>
            <w:shd w:val="clear" w:color="auto" w:fill="FFFFFF" w:themeFill="background1"/>
            <w:vAlign w:val="center"/>
          </w:tcPr>
          <w:p w14:paraId="4578A88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-1,5</w:t>
            </w:r>
          </w:p>
        </w:tc>
        <w:tc>
          <w:tcPr>
            <w:tcW w:w="601" w:type="pct"/>
            <w:shd w:val="clear" w:color="auto" w:fill="FFFFFF" w:themeFill="background1"/>
            <w:vAlign w:val="center"/>
          </w:tcPr>
          <w:p w14:paraId="40E58AD9"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-3,2</w:t>
            </w:r>
          </w:p>
        </w:tc>
        <w:tc>
          <w:tcPr>
            <w:tcW w:w="601" w:type="pct"/>
            <w:shd w:val="clear" w:color="auto" w:fill="FFFFFF" w:themeFill="background1"/>
            <w:vAlign w:val="center"/>
          </w:tcPr>
          <w:p w14:paraId="410C77D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-1,4</w:t>
            </w:r>
          </w:p>
        </w:tc>
        <w:tc>
          <w:tcPr>
            <w:tcW w:w="573" w:type="pct"/>
            <w:shd w:val="clear" w:color="auto" w:fill="FFFFFF" w:themeFill="background1"/>
            <w:vAlign w:val="center"/>
          </w:tcPr>
          <w:p w14:paraId="165DE76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-1,6</w:t>
            </w:r>
          </w:p>
        </w:tc>
        <w:tc>
          <w:tcPr>
            <w:tcW w:w="573" w:type="pct"/>
            <w:shd w:val="clear" w:color="auto" w:fill="FFFFFF" w:themeFill="background1"/>
            <w:noWrap/>
            <w:vAlign w:val="center"/>
          </w:tcPr>
          <w:p w14:paraId="2B83C0D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0,2</w:t>
            </w:r>
          </w:p>
        </w:tc>
        <w:tc>
          <w:tcPr>
            <w:tcW w:w="547" w:type="pct"/>
            <w:shd w:val="clear" w:color="auto" w:fill="FFFFFF" w:themeFill="background1"/>
            <w:noWrap/>
            <w:vAlign w:val="center"/>
          </w:tcPr>
          <w:p w14:paraId="7889270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-1,0</w:t>
            </w:r>
          </w:p>
        </w:tc>
      </w:tr>
      <w:tr w:rsidR="00854E01" w:rsidRPr="00092ED7" w14:paraId="0F0E6B02" w14:textId="77777777" w:rsidTr="00854E01">
        <w:trPr>
          <w:trHeight w:hRule="exact" w:val="230"/>
        </w:trPr>
        <w:tc>
          <w:tcPr>
            <w:tcW w:w="473" w:type="pct"/>
            <w:shd w:val="clear" w:color="auto" w:fill="FFFFFF" w:themeFill="background1"/>
            <w:noWrap/>
          </w:tcPr>
          <w:p w14:paraId="06328D5C" w14:textId="77777777" w:rsidR="00854E01" w:rsidRPr="00092ED7" w:rsidRDefault="00854E01" w:rsidP="00854E01">
            <w:pPr>
              <w:shd w:val="clear" w:color="auto" w:fill="FFFFFF" w:themeFill="background1"/>
              <w:spacing w:after="0"/>
              <w:rPr>
                <w:rFonts w:eastAsia="MS PGothic" w:cs="Times New Roman"/>
                <w:bCs/>
                <w:sz w:val="16"/>
                <w:szCs w:val="16"/>
                <w:lang w:val="sr-Cyrl-CS" w:eastAsia="ja-JP"/>
              </w:rPr>
            </w:pPr>
            <w:r w:rsidRPr="00092ED7">
              <w:rPr>
                <w:rFonts w:eastAsia="MS PGothic" w:cs="Times New Roman"/>
                <w:bCs/>
                <w:sz w:val="16"/>
                <w:szCs w:val="16"/>
                <w:lang w:val="sr-Cyrl-CS" w:eastAsia="ja-JP"/>
              </w:rPr>
              <w:t>2024</w:t>
            </w:r>
          </w:p>
        </w:tc>
        <w:tc>
          <w:tcPr>
            <w:tcW w:w="538" w:type="pct"/>
            <w:shd w:val="clear" w:color="auto" w:fill="FFFFFF" w:themeFill="background1"/>
            <w:vAlign w:val="center"/>
          </w:tcPr>
          <w:p w14:paraId="5C65A6B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-0,4</w:t>
            </w:r>
          </w:p>
        </w:tc>
        <w:tc>
          <w:tcPr>
            <w:tcW w:w="547" w:type="pct"/>
            <w:shd w:val="clear" w:color="auto" w:fill="FFFFFF" w:themeFill="background1"/>
            <w:vAlign w:val="center"/>
          </w:tcPr>
          <w:p w14:paraId="42B8847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-2,2</w:t>
            </w:r>
          </w:p>
        </w:tc>
        <w:tc>
          <w:tcPr>
            <w:tcW w:w="547" w:type="pct"/>
            <w:shd w:val="clear" w:color="auto" w:fill="FFFFFF" w:themeFill="background1"/>
            <w:vAlign w:val="center"/>
          </w:tcPr>
          <w:p w14:paraId="3BBF34A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-0,1</w:t>
            </w:r>
          </w:p>
        </w:tc>
        <w:tc>
          <w:tcPr>
            <w:tcW w:w="601" w:type="pct"/>
            <w:shd w:val="clear" w:color="auto" w:fill="FFFFFF" w:themeFill="background1"/>
            <w:vAlign w:val="center"/>
          </w:tcPr>
          <w:p w14:paraId="3153DFEF"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-2,0</w:t>
            </w:r>
          </w:p>
        </w:tc>
        <w:tc>
          <w:tcPr>
            <w:tcW w:w="601" w:type="pct"/>
            <w:shd w:val="clear" w:color="auto" w:fill="FFFFFF" w:themeFill="background1"/>
            <w:vAlign w:val="center"/>
          </w:tcPr>
          <w:p w14:paraId="79C2919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0,0</w:t>
            </w:r>
          </w:p>
        </w:tc>
        <w:tc>
          <w:tcPr>
            <w:tcW w:w="573" w:type="pct"/>
            <w:shd w:val="clear" w:color="auto" w:fill="FFFFFF" w:themeFill="background1"/>
            <w:vAlign w:val="center"/>
          </w:tcPr>
          <w:p w14:paraId="385734E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-2,0</w:t>
            </w:r>
          </w:p>
        </w:tc>
        <w:tc>
          <w:tcPr>
            <w:tcW w:w="573" w:type="pct"/>
            <w:shd w:val="clear" w:color="auto" w:fill="FFFFFF" w:themeFill="background1"/>
            <w:noWrap/>
            <w:vAlign w:val="center"/>
          </w:tcPr>
          <w:p w14:paraId="04964C6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0,0</w:t>
            </w:r>
          </w:p>
        </w:tc>
        <w:tc>
          <w:tcPr>
            <w:tcW w:w="547" w:type="pct"/>
            <w:shd w:val="clear" w:color="auto" w:fill="FFFFFF" w:themeFill="background1"/>
            <w:noWrap/>
            <w:vAlign w:val="center"/>
          </w:tcPr>
          <w:p w14:paraId="14FED3C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-1,4</w:t>
            </w:r>
          </w:p>
        </w:tc>
      </w:tr>
      <w:tr w:rsidR="00854E01" w:rsidRPr="00092ED7" w14:paraId="51451642" w14:textId="77777777" w:rsidTr="00854E01">
        <w:trPr>
          <w:trHeight w:hRule="exact" w:val="230"/>
        </w:trPr>
        <w:tc>
          <w:tcPr>
            <w:tcW w:w="473" w:type="pct"/>
            <w:shd w:val="clear" w:color="auto" w:fill="FFFFFF" w:themeFill="background1"/>
            <w:noWrap/>
          </w:tcPr>
          <w:p w14:paraId="372BE1AD"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2025</w:t>
            </w:r>
          </w:p>
          <w:p w14:paraId="297D7B4C" w14:textId="77777777" w:rsidR="00854E01" w:rsidRPr="00092ED7" w:rsidRDefault="00854E01" w:rsidP="00854E01">
            <w:pPr>
              <w:shd w:val="clear" w:color="auto" w:fill="FFFFFF" w:themeFill="background1"/>
              <w:spacing w:after="0"/>
              <w:rPr>
                <w:rFonts w:eastAsia="MS PGothic" w:cs="Times New Roman"/>
                <w:bCs/>
                <w:sz w:val="16"/>
                <w:szCs w:val="16"/>
                <w:lang w:val="sr-Cyrl-CS" w:eastAsia="ja-JP"/>
              </w:rPr>
            </w:pPr>
          </w:p>
        </w:tc>
        <w:tc>
          <w:tcPr>
            <w:tcW w:w="538" w:type="pct"/>
            <w:shd w:val="clear" w:color="auto" w:fill="FFFFFF" w:themeFill="background1"/>
            <w:vAlign w:val="center"/>
          </w:tcPr>
          <w:p w14:paraId="4DEFD71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-0,2</w:t>
            </w:r>
          </w:p>
        </w:tc>
        <w:tc>
          <w:tcPr>
            <w:tcW w:w="547" w:type="pct"/>
            <w:shd w:val="clear" w:color="auto" w:fill="FFFFFF" w:themeFill="background1"/>
            <w:vAlign w:val="center"/>
          </w:tcPr>
          <w:p w14:paraId="051B8E5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-1,4</w:t>
            </w:r>
          </w:p>
        </w:tc>
        <w:tc>
          <w:tcPr>
            <w:tcW w:w="547" w:type="pct"/>
            <w:shd w:val="clear" w:color="auto" w:fill="FFFFFF" w:themeFill="background1"/>
            <w:vAlign w:val="center"/>
          </w:tcPr>
          <w:p w14:paraId="0D2F3755"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0,5</w:t>
            </w:r>
          </w:p>
        </w:tc>
        <w:tc>
          <w:tcPr>
            <w:tcW w:w="601" w:type="pct"/>
            <w:shd w:val="clear" w:color="auto" w:fill="FFFFFF" w:themeFill="background1"/>
            <w:vAlign w:val="center"/>
          </w:tcPr>
          <w:p w14:paraId="676A680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-1,3</w:t>
            </w:r>
          </w:p>
        </w:tc>
        <w:tc>
          <w:tcPr>
            <w:tcW w:w="601" w:type="pct"/>
            <w:shd w:val="clear" w:color="auto" w:fill="FFFFFF" w:themeFill="background1"/>
            <w:vAlign w:val="center"/>
          </w:tcPr>
          <w:p w14:paraId="7826D96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0,6</w:t>
            </w:r>
          </w:p>
        </w:tc>
        <w:tc>
          <w:tcPr>
            <w:tcW w:w="573" w:type="pct"/>
            <w:shd w:val="clear" w:color="auto" w:fill="FFFFFF" w:themeFill="background1"/>
            <w:vAlign w:val="center"/>
          </w:tcPr>
          <w:p w14:paraId="056FD32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-1,3</w:t>
            </w:r>
          </w:p>
        </w:tc>
        <w:tc>
          <w:tcPr>
            <w:tcW w:w="573" w:type="pct"/>
            <w:shd w:val="clear" w:color="auto" w:fill="FFFFFF" w:themeFill="background1"/>
            <w:noWrap/>
            <w:vAlign w:val="center"/>
          </w:tcPr>
          <w:p w14:paraId="2E03A38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0,6</w:t>
            </w:r>
          </w:p>
        </w:tc>
        <w:tc>
          <w:tcPr>
            <w:tcW w:w="547" w:type="pct"/>
            <w:shd w:val="clear" w:color="auto" w:fill="FFFFFF" w:themeFill="background1"/>
            <w:noWrap/>
            <w:vAlign w:val="center"/>
          </w:tcPr>
          <w:p w14:paraId="5CA56CA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-0,6</w:t>
            </w:r>
          </w:p>
        </w:tc>
      </w:tr>
    </w:tbl>
    <w:p w14:paraId="6273BD8A" w14:textId="77777777" w:rsidR="00854E01" w:rsidRPr="00092ED7" w:rsidRDefault="00854E01" w:rsidP="00854E01">
      <w:pPr>
        <w:shd w:val="clear" w:color="auto" w:fill="FFFFFF" w:themeFill="background1"/>
        <w:spacing w:before="60" w:after="0"/>
        <w:rPr>
          <w:rFonts w:eastAsia="MS PGothic" w:cs="Times New Roman"/>
          <w:sz w:val="16"/>
          <w:szCs w:val="16"/>
          <w:lang w:val="sr-Cyrl-CS" w:eastAsia="ja-JP"/>
        </w:rPr>
      </w:pPr>
      <w:r w:rsidRPr="00092ED7">
        <w:rPr>
          <w:rFonts w:eastAsia="MS PGothic" w:cs="Times New Roman"/>
          <w:bCs/>
          <w:sz w:val="16"/>
          <w:szCs w:val="16"/>
          <w:lang w:val="sr-Cyrl-CS" w:eastAsia="ja-JP"/>
        </w:rPr>
        <w:t xml:space="preserve">* </w:t>
      </w:r>
      <w:r w:rsidRPr="00092ED7">
        <w:rPr>
          <w:rFonts w:eastAsia="MS PGothic" w:cs="Times New Roman"/>
          <w:sz w:val="16"/>
          <w:szCs w:val="16"/>
          <w:lang w:val="sr-Cyrl-CS" w:eastAsia="ja-JP"/>
        </w:rPr>
        <w:t>За период 2022–2025. године приказане су пројектоване вредности.</w:t>
      </w:r>
    </w:p>
    <w:p w14:paraId="0D3B2FA0" w14:textId="77777777" w:rsidR="00854E01" w:rsidRPr="00092ED7" w:rsidRDefault="00854E01" w:rsidP="00E255B1">
      <w:pPr>
        <w:shd w:val="clear" w:color="auto" w:fill="FFFFFF" w:themeFill="background1"/>
        <w:spacing w:after="60"/>
        <w:rPr>
          <w:rFonts w:eastAsia="MS PGothic" w:cs="Times New Roman"/>
          <w:sz w:val="16"/>
          <w:szCs w:val="16"/>
          <w:lang w:val="sr-Cyrl-CS" w:eastAsia="ja-JP"/>
        </w:rPr>
      </w:pPr>
      <w:r w:rsidRPr="00092ED7">
        <w:rPr>
          <w:rFonts w:eastAsia="MS PGothic" w:cs="Times New Roman"/>
          <w:bCs/>
          <w:sz w:val="16"/>
          <w:szCs w:val="16"/>
          <w:lang w:val="sr-Cyrl-CS" w:eastAsia="ja-JP"/>
        </w:rPr>
        <w:t>** Структурни примарни биланс добијен је искључивањем процењених једнократних прихода и расхода</w:t>
      </w:r>
      <w:r w:rsidRPr="00092ED7">
        <w:rPr>
          <w:rFonts w:eastAsia="MS PGothic" w:cs="Times New Roman"/>
          <w:sz w:val="16"/>
          <w:szCs w:val="16"/>
          <w:lang w:val="sr-Cyrl-CS" w:eastAsia="ja-JP"/>
        </w:rPr>
        <w:t>. Резултати који приказују промену структурног примарног дефицита не искључују експлицитно ефекте повећања ефикасности наплате прихода, па се оцена структурног прилагођавања у 2015. и 2016. години делимично разликује од претходно приказаних ефеката.</w:t>
      </w:r>
    </w:p>
    <w:p w14:paraId="329ED475" w14:textId="77777777" w:rsidR="00854E01" w:rsidRPr="00092ED7" w:rsidRDefault="00854E01" w:rsidP="00854E01">
      <w:pPr>
        <w:spacing w:after="60"/>
        <w:rPr>
          <w:rFonts w:eastAsia="Calibri" w:cs="Times New Roman"/>
          <w:sz w:val="18"/>
          <w:szCs w:val="18"/>
          <w:lang w:val="sr-Cyrl-CS"/>
        </w:rPr>
      </w:pPr>
      <w:r w:rsidRPr="00092ED7">
        <w:rPr>
          <w:rFonts w:eastAsia="Calibri" w:cs="Times New Roman"/>
          <w:sz w:val="18"/>
          <w:szCs w:val="18"/>
          <w:lang w:val="sr-Cyrl-CS"/>
        </w:rPr>
        <w:t>Извор: Министарство финансија</w:t>
      </w:r>
    </w:p>
    <w:p w14:paraId="12496359" w14:textId="365D11CB" w:rsidR="00854E01" w:rsidRPr="00092ED7" w:rsidRDefault="00854E01" w:rsidP="00854E01">
      <w:pPr>
        <w:spacing w:before="120" w:after="60"/>
        <w:rPr>
          <w:rFonts w:cs="Times New Roman"/>
          <w:szCs w:val="24"/>
          <w:lang w:val="sr-Cyrl-CS" w:eastAsia="sr-Cyrl-RS"/>
        </w:rPr>
      </w:pPr>
      <w:r w:rsidRPr="00092ED7">
        <w:rPr>
          <w:rFonts w:cs="Times New Roman"/>
          <w:szCs w:val="24"/>
          <w:lang w:val="sr-Cyrl-CS"/>
        </w:rPr>
        <w:t>Графикон 10. Производни јаз, циклично прилаг</w:t>
      </w:r>
      <w:r w:rsidR="006D2688" w:rsidRPr="00092ED7">
        <w:rPr>
          <w:rFonts w:cs="Times New Roman"/>
          <w:szCs w:val="24"/>
          <w:lang w:val="sr-Cyrl-CS"/>
        </w:rPr>
        <w:t>ођен</w:t>
      </w:r>
      <w:r w:rsidRPr="00092ED7">
        <w:rPr>
          <w:rFonts w:cs="Times New Roman"/>
          <w:szCs w:val="24"/>
          <w:lang w:val="sr-Cyrl-CS"/>
        </w:rPr>
        <w:t xml:space="preserve"> и структурни фиск</w:t>
      </w:r>
      <w:r w:rsidR="006D2688" w:rsidRPr="00092ED7">
        <w:rPr>
          <w:rFonts w:cs="Times New Roman"/>
          <w:szCs w:val="24"/>
          <w:lang w:val="sr-Cyrl-CS"/>
        </w:rPr>
        <w:t>ални</w:t>
      </w:r>
      <w:r w:rsidRPr="00092ED7">
        <w:rPr>
          <w:rFonts w:cs="Times New Roman"/>
          <w:szCs w:val="24"/>
          <w:lang w:val="sr-Cyrl-CS"/>
        </w:rPr>
        <w:t xml:space="preserve"> биланс у периоду 2005–2025. год, % БДП*</w:t>
      </w:r>
    </w:p>
    <w:p w14:paraId="247514D1" w14:textId="77777777" w:rsidR="00854E01" w:rsidRPr="00092ED7" w:rsidRDefault="00854E01" w:rsidP="00854E01">
      <w:pPr>
        <w:spacing w:after="0"/>
        <w:rPr>
          <w:rFonts w:cs="Times New Roman"/>
          <w:szCs w:val="24"/>
          <w:lang w:val="sr-Cyrl-CS" w:eastAsia="sr-Cyrl-RS"/>
        </w:rPr>
      </w:pPr>
      <w:r w:rsidRPr="00092ED7">
        <w:rPr>
          <w:noProof/>
        </w:rPr>
        <w:drawing>
          <wp:inline distT="0" distB="0" distL="0" distR="0" wp14:anchorId="46931607" wp14:editId="13C0EFED">
            <wp:extent cx="5724525" cy="211899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AC5457" w14:textId="77777777" w:rsidR="00854E01" w:rsidRPr="00092ED7" w:rsidRDefault="00854E01" w:rsidP="005E5B70">
      <w:pPr>
        <w:spacing w:before="60"/>
        <w:rPr>
          <w:rFonts w:eastAsia="MS PGothic" w:cs="Times New Roman"/>
          <w:sz w:val="18"/>
          <w:szCs w:val="18"/>
          <w:lang w:val="sr-Cyrl-CS" w:eastAsia="ja-JP"/>
        </w:rPr>
      </w:pPr>
      <w:r w:rsidRPr="00092ED7">
        <w:rPr>
          <w:rFonts w:eastAsia="MS PGothic" w:cs="Times New Roman"/>
          <w:sz w:val="18"/>
          <w:szCs w:val="18"/>
          <w:lang w:val="sr-Cyrl-CS" w:eastAsia="ja-JP"/>
        </w:rPr>
        <w:t>*За период 2022–2025. године приказане су пројектоване вредности</w:t>
      </w:r>
    </w:p>
    <w:p w14:paraId="002C7336" w14:textId="77777777" w:rsidR="00A5229A" w:rsidRPr="00092ED7" w:rsidRDefault="00A5229A">
      <w:pPr>
        <w:spacing w:after="160" w:line="259" w:lineRule="auto"/>
        <w:jc w:val="left"/>
        <w:rPr>
          <w:rFonts w:cs="Times New Roman"/>
          <w:szCs w:val="24"/>
          <w:lang w:val="sr-Cyrl-CS"/>
        </w:rPr>
      </w:pPr>
      <w:r w:rsidRPr="00092ED7">
        <w:rPr>
          <w:rFonts w:cs="Times New Roman"/>
          <w:szCs w:val="24"/>
          <w:lang w:val="sr-Cyrl-CS"/>
        </w:rPr>
        <w:br w:type="page"/>
      </w:r>
    </w:p>
    <w:p w14:paraId="444C9DC8" w14:textId="77777777" w:rsidR="00854E01" w:rsidRPr="00092ED7" w:rsidRDefault="00854E01" w:rsidP="00854E01">
      <w:pPr>
        <w:spacing w:before="120" w:after="60"/>
        <w:rPr>
          <w:rFonts w:cs="Times New Roman"/>
          <w:szCs w:val="24"/>
          <w:lang w:val="sr-Cyrl-CS" w:eastAsia="sr-Cyrl-RS"/>
        </w:rPr>
      </w:pPr>
      <w:r w:rsidRPr="00092ED7">
        <w:rPr>
          <w:rFonts w:cs="Times New Roman"/>
          <w:szCs w:val="24"/>
          <w:lang w:val="sr-Cyrl-CS"/>
        </w:rPr>
        <w:t>Графикон 11. Карактер и ефекти фискалне политике у периоду 2006–2024. године, % БДП*</w:t>
      </w:r>
    </w:p>
    <w:p w14:paraId="4A4DE038" w14:textId="77777777" w:rsidR="00854E01" w:rsidRPr="00092ED7" w:rsidRDefault="00854E01" w:rsidP="00854E01">
      <w:pPr>
        <w:spacing w:after="0"/>
        <w:rPr>
          <w:rFonts w:cs="Times New Roman"/>
          <w:bCs/>
          <w:szCs w:val="24"/>
          <w:lang w:val="sr-Cyrl-CS"/>
        </w:rPr>
      </w:pPr>
      <w:r w:rsidRPr="00092ED7">
        <w:rPr>
          <w:noProof/>
        </w:rPr>
        <w:drawing>
          <wp:inline distT="0" distB="0" distL="0" distR="0" wp14:anchorId="6BC1015B" wp14:editId="665DEAFB">
            <wp:extent cx="5848350" cy="2011680"/>
            <wp:effectExtent l="0" t="0" r="0" b="762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89F8F0D" w14:textId="77777777" w:rsidR="00854E01" w:rsidRPr="00092ED7" w:rsidRDefault="00854E01" w:rsidP="005E5B70">
      <w:pPr>
        <w:spacing w:before="60"/>
        <w:rPr>
          <w:sz w:val="18"/>
          <w:szCs w:val="18"/>
          <w:lang w:val="sr-Cyrl-CS" w:eastAsia="ja-JP"/>
        </w:rPr>
      </w:pPr>
      <w:r w:rsidRPr="00092ED7">
        <w:rPr>
          <w:sz w:val="18"/>
          <w:szCs w:val="18"/>
          <w:lang w:val="sr-Cyrl-CS" w:eastAsia="ja-JP"/>
        </w:rPr>
        <w:t>*За период 2022–2025. године приказане су пројектоване вредности.</w:t>
      </w:r>
    </w:p>
    <w:p w14:paraId="0C3F9CE0" w14:textId="77777777" w:rsidR="00854E01" w:rsidRPr="00092ED7" w:rsidRDefault="00854E01" w:rsidP="008B200E">
      <w:pPr>
        <w:spacing w:after="60"/>
        <w:rPr>
          <w:rFonts w:cs="Times New Roman"/>
          <w:szCs w:val="24"/>
          <w:lang w:val="sr-Cyrl-CS" w:eastAsia="ja-JP"/>
        </w:rPr>
      </w:pPr>
      <w:r w:rsidRPr="00092ED7">
        <w:rPr>
          <w:rFonts w:cs="Times New Roman"/>
          <w:szCs w:val="24"/>
          <w:lang w:val="sr-Cyrl-CS" w:eastAsia="ja-JP"/>
        </w:rPr>
        <w:t>Структурна фискална позиција земље није значајно нарушена у периоду између 2020. и 2022. године, због тога што су спроведене мере помоћи привреди из домена фискалне политике биле временски ограниченог карактера. Током 2022. години предвиђен је одређени износ средстава као вид помоћи становништву у висини од 0,92% БДП. Осим тога, енергетска криза условила је значајне интервенције државе у домену обезбеђивања енергетске стабилности. Осим повећаних издатака за енергенте, помоћ становништву и привреди, обезбеђена је и смањењем акциза на нафтне деривате.</w:t>
      </w:r>
    </w:p>
    <w:p w14:paraId="7F71E4DC" w14:textId="77777777" w:rsidR="00854E01" w:rsidRPr="00092ED7" w:rsidRDefault="00854E01" w:rsidP="008B200E">
      <w:pPr>
        <w:spacing w:after="60"/>
        <w:rPr>
          <w:rFonts w:cs="Times New Roman"/>
          <w:szCs w:val="24"/>
          <w:lang w:val="sr-Cyrl-CS" w:eastAsia="ja-JP"/>
        </w:rPr>
      </w:pPr>
      <w:r w:rsidRPr="00092ED7">
        <w:rPr>
          <w:rFonts w:cs="Times New Roman"/>
          <w:szCs w:val="24"/>
          <w:lang w:val="sr-Cyrl-CS" w:eastAsia="ja-JP"/>
        </w:rPr>
        <w:t>Како је фискални импулс дефинисан као разлика два узастопна циклично прилагођена (примарна) резултата, оцењује се да је фискална политика током 2020. године била изразито експанзивно-контрациклична, усмерена на ублажавање негативног економског циклуса. Услед нешто мањег обима пакета мера економске подршке у 2021. години, фискална политика је рестриктивнија него претходне године, а по карактеру такође контрациклична. За 2022. до 2023. године оцењено је да ће фискална политика остати благо рестриктивна, и поред значајних издвајања за ублажавање енергетске кризе.</w:t>
      </w:r>
    </w:p>
    <w:p w14:paraId="4F65C18F" w14:textId="77777777" w:rsidR="00854E01" w:rsidRPr="00092ED7" w:rsidRDefault="00854E01" w:rsidP="005E5B70">
      <w:pPr>
        <w:spacing w:before="120" w:after="60"/>
        <w:rPr>
          <w:rFonts w:cs="Times New Roman"/>
          <w:vanish/>
          <w:szCs w:val="24"/>
          <w:lang w:val="sr-Cyrl-CS" w:eastAsia="sr-Cyrl-RS"/>
        </w:rPr>
      </w:pPr>
      <w:r w:rsidRPr="00092ED7">
        <w:rPr>
          <w:rFonts w:cs="Times New Roman"/>
          <w:szCs w:val="24"/>
          <w:lang w:val="sr-Cyrl-CS"/>
        </w:rPr>
        <w:t>Графикон 12. Карактер и ефекти фискалне политике у периоду 2006–2022. године, % БДП*</w:t>
      </w:r>
    </w:p>
    <w:p w14:paraId="0DBF6BAF" w14:textId="77777777" w:rsidR="00854E01" w:rsidRPr="00092ED7" w:rsidRDefault="00854E01" w:rsidP="00854E01">
      <w:pPr>
        <w:spacing w:after="160" w:line="259" w:lineRule="auto"/>
        <w:jc w:val="left"/>
        <w:rPr>
          <w:rFonts w:eastAsia="Calibri" w:cs="Times New Roman"/>
          <w:szCs w:val="24"/>
          <w:highlight w:val="yellow"/>
          <w:lang w:val="sr-Cyrl-CS"/>
        </w:rPr>
      </w:pPr>
      <w:r w:rsidRPr="00092ED7">
        <w:rPr>
          <w:noProof/>
        </w:rPr>
        <w:drawing>
          <wp:inline distT="0" distB="0" distL="0" distR="0" wp14:anchorId="3C0C80D1" wp14:editId="46B69F67">
            <wp:extent cx="5796501" cy="3133725"/>
            <wp:effectExtent l="0" t="0" r="0" b="952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92DF29" w14:textId="77777777" w:rsidR="005F26DA" w:rsidRPr="00092ED7" w:rsidRDefault="00735870" w:rsidP="00E02533">
      <w:pPr>
        <w:pStyle w:val="Heading2"/>
        <w:spacing w:before="120" w:after="120"/>
        <w:rPr>
          <w:rFonts w:ascii="Times New Roman" w:eastAsia="Calibri" w:hAnsi="Times New Roman" w:cs="Times New Roman"/>
          <w:b/>
          <w:color w:val="auto"/>
          <w:sz w:val="24"/>
          <w:szCs w:val="24"/>
          <w:lang w:val="sr-Cyrl-CS"/>
        </w:rPr>
      </w:pPr>
      <w:bookmarkStart w:id="38" w:name="_Toc124174798"/>
      <w:bookmarkStart w:id="39" w:name="_Toc126218617"/>
      <w:r w:rsidRPr="00092ED7">
        <w:rPr>
          <w:rFonts w:ascii="Times New Roman" w:eastAsia="Calibri" w:hAnsi="Times New Roman" w:cs="Times New Roman"/>
          <w:b/>
          <w:color w:val="auto"/>
          <w:sz w:val="24"/>
          <w:szCs w:val="24"/>
          <w:lang w:val="sr-Cyrl-CS"/>
        </w:rPr>
        <w:t>4.</w:t>
      </w:r>
      <w:r w:rsidR="005F26DA" w:rsidRPr="00092ED7">
        <w:rPr>
          <w:rFonts w:ascii="Times New Roman" w:eastAsia="Calibri" w:hAnsi="Times New Roman" w:cs="Times New Roman"/>
          <w:b/>
          <w:color w:val="auto"/>
          <w:sz w:val="24"/>
          <w:szCs w:val="24"/>
          <w:lang w:val="sr-Cyrl-CS"/>
        </w:rPr>
        <w:t>5. УПРАВЉАЊЕ ЈАВНИМ ДУГОМ</w:t>
      </w:r>
      <w:bookmarkEnd w:id="38"/>
      <w:bookmarkEnd w:id="39"/>
    </w:p>
    <w:p w14:paraId="3487DF6B" w14:textId="2B805930" w:rsidR="008B200E" w:rsidRPr="00092ED7" w:rsidRDefault="008B200E" w:rsidP="008B200E">
      <w:pPr>
        <w:spacing w:after="60"/>
        <w:rPr>
          <w:rFonts w:cs="Times New Roman"/>
          <w:szCs w:val="24"/>
          <w:lang w:val="sr-Cyrl-CS" w:eastAsia="ja-JP"/>
        </w:rPr>
      </w:pPr>
      <w:r w:rsidRPr="00092ED7">
        <w:rPr>
          <w:rFonts w:cs="Times New Roman"/>
          <w:szCs w:val="24"/>
          <w:lang w:val="sr-Cyrl-CS" w:eastAsia="ja-JP"/>
        </w:rPr>
        <w:t>У складу са међународном праксом и према Закону о јавном дугу („Сл</w:t>
      </w:r>
      <w:r w:rsidR="00387533" w:rsidRPr="00092ED7">
        <w:rPr>
          <w:rFonts w:cs="Times New Roman"/>
          <w:szCs w:val="24"/>
          <w:lang w:val="sr-Cyrl-CS" w:eastAsia="ja-JP"/>
        </w:rPr>
        <w:t>ужбени</w:t>
      </w:r>
      <w:r w:rsidRPr="00092ED7">
        <w:rPr>
          <w:rFonts w:cs="Times New Roman"/>
          <w:szCs w:val="24"/>
          <w:lang w:val="sr-Cyrl-CS" w:eastAsia="ja-JP"/>
        </w:rPr>
        <w:t xml:space="preserve"> </w:t>
      </w:r>
      <w:r w:rsidR="00387533" w:rsidRPr="00092ED7">
        <w:rPr>
          <w:rFonts w:cs="Times New Roman"/>
          <w:szCs w:val="24"/>
          <w:lang w:val="sr-Cyrl-CS" w:eastAsia="ja-JP"/>
        </w:rPr>
        <w:t>г</w:t>
      </w:r>
      <w:r w:rsidRPr="00092ED7">
        <w:rPr>
          <w:rFonts w:cs="Times New Roman"/>
          <w:szCs w:val="24"/>
          <w:lang w:val="sr-Cyrl-CS" w:eastAsia="ja-JP"/>
        </w:rPr>
        <w:t>ласник РС</w:t>
      </w:r>
      <w:r w:rsidR="00387533" w:rsidRPr="00092ED7">
        <w:rPr>
          <w:rFonts w:cs="Times New Roman"/>
          <w:szCs w:val="24"/>
          <w:lang w:val="sr-Cyrl-CS"/>
        </w:rPr>
        <w:t>”</w:t>
      </w:r>
      <w:r w:rsidRPr="00092ED7">
        <w:rPr>
          <w:rFonts w:cs="Times New Roman"/>
          <w:szCs w:val="24"/>
          <w:lang w:val="sr-Cyrl-CS" w:eastAsia="ja-JP"/>
        </w:rPr>
        <w:t xml:space="preserve">, бр. 61/05, 107/09, 78/11, 68/15, 95/18, 91/19 и 149/20), </w:t>
      </w:r>
      <w:r w:rsidR="00D41467" w:rsidRPr="00092ED7">
        <w:rPr>
          <w:rFonts w:cs="Times New Roman"/>
          <w:szCs w:val="24"/>
          <w:lang w:val="sr-Cyrl-CS" w:eastAsia="ja-JP"/>
        </w:rPr>
        <w:t>с</w:t>
      </w:r>
      <w:r w:rsidRPr="00092ED7">
        <w:rPr>
          <w:rFonts w:cs="Times New Roman"/>
          <w:szCs w:val="24"/>
          <w:lang w:val="sr-Cyrl-CS" w:eastAsia="ja-JP"/>
        </w:rPr>
        <w:t>тратегија управљања јавним дугом за наредни средњорочни период треба да буде подржана и конзистентна са општим Владиним средњорочним макроекономским оквиром и саставни је део Фискалне стратегије. Стратегија управљања јавним дугом заснива се на принципима који дефинишу потребу за транспарентним и предвидивим процесом задуживања, уз перманентан развој тржишта државних хартија од вредности и прихватљив ниво изложености финансијским ризицима.</w:t>
      </w:r>
    </w:p>
    <w:p w14:paraId="5B92D633" w14:textId="47436D8A" w:rsidR="008B200E" w:rsidRPr="00092ED7" w:rsidRDefault="008B200E" w:rsidP="008B200E">
      <w:pPr>
        <w:spacing w:after="60"/>
        <w:rPr>
          <w:rFonts w:cs="Times New Roman"/>
          <w:szCs w:val="24"/>
          <w:lang w:val="sr-Cyrl-CS" w:eastAsia="ja-JP"/>
        </w:rPr>
      </w:pPr>
      <w:r w:rsidRPr="00092ED7">
        <w:rPr>
          <w:rFonts w:cs="Times New Roman"/>
          <w:szCs w:val="24"/>
          <w:lang w:val="sr-Cyrl-CS" w:eastAsia="ja-JP"/>
        </w:rPr>
        <w:t xml:space="preserve">На крају септембра 2022. године укупно стање јавног дуга општег нивоа државе износило је 3.839,8 млрд динара, односно 54,2% БДП. Од тога се на обавезе централног нивоа државе односило 3.803,4 млрд динара, док се 31,2 млрд динара односило на негарантовани дуг </w:t>
      </w:r>
      <w:r w:rsidR="00561CB8" w:rsidRPr="00092ED7">
        <w:rPr>
          <w:rFonts w:cs="Times New Roman"/>
          <w:szCs w:val="24"/>
          <w:lang w:val="sr-Cyrl-CS" w:eastAsia="ja-JP"/>
        </w:rPr>
        <w:t>ЈЛС</w:t>
      </w:r>
      <w:r w:rsidR="00187A88" w:rsidRPr="00092ED7">
        <w:rPr>
          <w:rFonts w:cs="Times New Roman"/>
          <w:szCs w:val="24"/>
          <w:lang w:val="sr-Cyrl-CS" w:eastAsia="ja-JP"/>
        </w:rPr>
        <w:t xml:space="preserve"> </w:t>
      </w:r>
      <w:r w:rsidRPr="00092ED7">
        <w:rPr>
          <w:rFonts w:cs="Times New Roman"/>
          <w:szCs w:val="24"/>
          <w:lang w:val="sr-Cyrl-CS" w:eastAsia="ja-JP"/>
        </w:rPr>
        <w:t xml:space="preserve">и 5,3 млрд динара на негарантовани дуг ЈП </w:t>
      </w:r>
      <w:r w:rsidR="006D2688" w:rsidRPr="00092ED7">
        <w:rPr>
          <w:rFonts w:cs="Times New Roman"/>
          <w:szCs w:val="24"/>
          <w:lang w:val="sr-Cyrl-CS" w:eastAsia="ja-JP"/>
        </w:rPr>
        <w:t>„</w:t>
      </w:r>
      <w:r w:rsidRPr="00092ED7">
        <w:rPr>
          <w:rFonts w:cs="Times New Roman"/>
          <w:szCs w:val="24"/>
          <w:lang w:val="sr-Cyrl-CS" w:eastAsia="ja-JP"/>
        </w:rPr>
        <w:t>Путеви Србије</w:t>
      </w:r>
      <w:r w:rsidR="006D2688" w:rsidRPr="00092ED7">
        <w:rPr>
          <w:rFonts w:cs="Times New Roman"/>
          <w:szCs w:val="24"/>
          <w:lang w:val="sr-Cyrl-CS" w:eastAsia="ja-JP"/>
        </w:rPr>
        <w:t>ˮ</w:t>
      </w:r>
      <w:r w:rsidRPr="00092ED7">
        <w:rPr>
          <w:rFonts w:cs="Times New Roman"/>
          <w:szCs w:val="24"/>
          <w:lang w:val="sr-Cyrl-CS" w:eastAsia="ja-JP"/>
        </w:rPr>
        <w:t xml:space="preserve"> и Коридора Србије</w:t>
      </w:r>
      <w:r w:rsidR="00561CB8" w:rsidRPr="00092ED7">
        <w:rPr>
          <w:rFonts w:cs="Times New Roman"/>
          <w:szCs w:val="24"/>
          <w:lang w:val="sr-Cyrl-CS" w:eastAsia="ja-JP"/>
        </w:rPr>
        <w:t xml:space="preserve"> д.о.о. Београд</w:t>
      </w:r>
      <w:r w:rsidRPr="00092ED7">
        <w:rPr>
          <w:rFonts w:cs="Times New Roman"/>
          <w:szCs w:val="24"/>
          <w:lang w:val="sr-Cyrl-CS" w:eastAsia="ja-JP"/>
        </w:rPr>
        <w:t>. Директне обавезе централног нивоа државе износиле су 3.614,9 млрд динара, а индиректне обавезе централног нивоа власти износиле су 188,5 млрд динара. Унутрашњи јавни дуг централног нивоа власти је износио 1.368,7 млрд динара, а спољни јавни дуг 2.434,7 млрд динара. Према подацима од 30. септeмбра 2022. године, највећи део јавног дуга општег нивоа државе Републике Србије је и даље деноминован у еврима и износи 57,6%. Затим су највише заступљени динар са 25,2 % и амерички долар са 12,4%. Остатак дуга је деноминован у специјалним правима вучења 4,0% и осталим валутама 0,7%. На дан 30. септeмбра 2022. године највећи део јавног дуга општег нивоа државе Републике Србије је са фиксном каматном стопом 81,8%, док се на јавни дуг са варијабилном каматном стопом односи 18,2% укупног јавног дуга. Међу варијабилним каматним стопама највише су заступљени Euribor 74,7%, затим каматна стопа за специјална права вучења 20,9%, Belibor 2,6%, Libor на долар 1,3%, док је учешће обавеза са осталим каматним стопама 0,5%.</w:t>
      </w:r>
    </w:p>
    <w:p w14:paraId="2B304390" w14:textId="7DC4B790" w:rsidR="008B200E" w:rsidRPr="00092ED7" w:rsidRDefault="008B200E" w:rsidP="008B200E">
      <w:pPr>
        <w:spacing w:after="60"/>
        <w:rPr>
          <w:rFonts w:cs="Times New Roman"/>
          <w:szCs w:val="24"/>
          <w:lang w:val="sr-Cyrl-CS" w:eastAsia="ja-JP"/>
        </w:rPr>
      </w:pPr>
      <w:r w:rsidRPr="00092ED7">
        <w:rPr>
          <w:rFonts w:cs="Times New Roman"/>
          <w:szCs w:val="24"/>
          <w:lang w:val="sr-Cyrl-CS" w:eastAsia="ja-JP"/>
        </w:rPr>
        <w:t>Фискални оквир у периоду 2023–2025. године: Економска политика у наредном периоду обликована је изласком из једне и уласком у нову кризу. Изласком из двогодишње кризе, изазване пандемијом, очекивао се један мирнији период који би омогућио економској, пре свега фискалној политици, довољно времена да се врати на одрживу путању. Међутим, сукоб у Украјини интензивирао је постојеће и донео нове ризике који у потпуности мењају и међународно окружење и економску политику у земљи. Глобална, растућа инфлација, интензивирана енергетска криза пред креаторе економске политике постављају велике изазове.</w:t>
      </w:r>
    </w:p>
    <w:p w14:paraId="759CA767" w14:textId="77777777" w:rsidR="008B200E" w:rsidRPr="00092ED7" w:rsidRDefault="008B200E" w:rsidP="008B200E">
      <w:pPr>
        <w:spacing w:after="60"/>
        <w:rPr>
          <w:rFonts w:cs="Times New Roman"/>
          <w:szCs w:val="24"/>
          <w:lang w:val="sr-Cyrl-CS" w:eastAsia="ja-JP"/>
        </w:rPr>
      </w:pPr>
      <w:r w:rsidRPr="00092ED7">
        <w:rPr>
          <w:rFonts w:cs="Times New Roman"/>
          <w:szCs w:val="24"/>
          <w:lang w:val="sr-Cyrl-CS" w:eastAsia="ja-JP"/>
        </w:rPr>
        <w:t>Имајући у виду пројектовани резултат буџета Републике Србије за период 2023–2025. године, укључујући и обим повлачења кредитних средстава за пројектно финансирање од буџетских корисника, ефекте промене девизног курса динара према евру и америчком долару, у основном макроекономском сценарију, стање дуга централног нивоа државе требало би да буде на нивоу од 53,0% БДП на крају 2025. године.</w:t>
      </w:r>
    </w:p>
    <w:p w14:paraId="15CF0E2F" w14:textId="77777777" w:rsidR="008B200E" w:rsidRPr="00092ED7" w:rsidRDefault="008B200E" w:rsidP="008B200E">
      <w:pPr>
        <w:spacing w:before="120" w:after="60"/>
        <w:rPr>
          <w:rFonts w:cs="Times New Roman"/>
          <w:szCs w:val="24"/>
          <w:lang w:val="sr-Cyrl-CS"/>
        </w:rPr>
      </w:pPr>
      <w:r w:rsidRPr="00092ED7">
        <w:rPr>
          <w:rFonts w:cs="Times New Roman"/>
          <w:szCs w:val="24"/>
          <w:lang w:val="sr-Cyrl-CS"/>
        </w:rPr>
        <w:t>Табела 11. Основна пројекција стања јавног дуга општег нивоа државе до 2025. године</w:t>
      </w:r>
    </w:p>
    <w:tbl>
      <w:tblPr>
        <w:tblStyle w:val="LightShading-Accent12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268"/>
        <w:gridCol w:w="855"/>
        <w:gridCol w:w="967"/>
        <w:gridCol w:w="967"/>
        <w:gridCol w:w="959"/>
      </w:tblGrid>
      <w:tr w:rsidR="008B200E" w:rsidRPr="00092ED7" w14:paraId="143A7B0B" w14:textId="77777777" w:rsidTr="008B200E">
        <w:trPr>
          <w:cnfStyle w:val="100000000000" w:firstRow="1" w:lastRow="0" w:firstColumn="0" w:lastColumn="0" w:oddVBand="0" w:evenVBand="0" w:oddHBand="0" w:evenHBand="0" w:firstRowFirstColumn="0" w:firstRowLastColumn="0" w:lastRowFirstColumn="0" w:lastRowLastColumn="0"/>
          <w:trHeight w:val="280"/>
        </w:trPr>
        <w:tc>
          <w:tcPr>
            <w:tcW w:w="2922" w:type="pct"/>
            <w:tcBorders>
              <w:top w:val="none" w:sz="0" w:space="0" w:color="auto"/>
              <w:left w:val="none" w:sz="0" w:space="0" w:color="auto"/>
              <w:bottom w:val="none" w:sz="0" w:space="0" w:color="auto"/>
              <w:right w:val="none" w:sz="0" w:space="0" w:color="auto"/>
            </w:tcBorders>
            <w:noWrap/>
            <w:hideMark/>
          </w:tcPr>
          <w:p w14:paraId="435FECFA" w14:textId="77777777" w:rsidR="008B200E" w:rsidRPr="00092ED7" w:rsidRDefault="008B200E" w:rsidP="00A06946">
            <w:pPr>
              <w:spacing w:after="0" w:line="256" w:lineRule="auto"/>
              <w:jc w:val="left"/>
              <w:rPr>
                <w:rFonts w:ascii="Calibri" w:hAnsi="Calibri"/>
                <w:color w:val="auto"/>
                <w:sz w:val="20"/>
                <w:lang w:val="sr-Cyrl-CS"/>
              </w:rPr>
            </w:pPr>
          </w:p>
        </w:tc>
        <w:tc>
          <w:tcPr>
            <w:tcW w:w="474" w:type="pct"/>
            <w:tcBorders>
              <w:top w:val="none" w:sz="0" w:space="0" w:color="auto"/>
              <w:left w:val="none" w:sz="0" w:space="0" w:color="auto"/>
              <w:bottom w:val="none" w:sz="0" w:space="0" w:color="auto"/>
              <w:right w:val="none" w:sz="0" w:space="0" w:color="auto"/>
            </w:tcBorders>
            <w:noWrap/>
            <w:hideMark/>
          </w:tcPr>
          <w:p w14:paraId="52130CBC" w14:textId="77777777" w:rsidR="008B200E" w:rsidRPr="00092ED7" w:rsidRDefault="008B200E" w:rsidP="00A06946">
            <w:pPr>
              <w:spacing w:after="0"/>
              <w:jc w:val="right"/>
              <w:rPr>
                <w:color w:val="auto"/>
                <w:sz w:val="18"/>
                <w:szCs w:val="18"/>
                <w:lang w:val="sr-Cyrl-CS"/>
              </w:rPr>
            </w:pPr>
            <w:r w:rsidRPr="00092ED7">
              <w:rPr>
                <w:color w:val="auto"/>
                <w:sz w:val="18"/>
                <w:szCs w:val="18"/>
                <w:lang w:val="sr-Cyrl-CS"/>
              </w:rPr>
              <w:t>2022 п</w:t>
            </w:r>
          </w:p>
        </w:tc>
        <w:tc>
          <w:tcPr>
            <w:tcW w:w="536" w:type="pct"/>
            <w:tcBorders>
              <w:top w:val="none" w:sz="0" w:space="0" w:color="auto"/>
              <w:left w:val="none" w:sz="0" w:space="0" w:color="auto"/>
              <w:bottom w:val="none" w:sz="0" w:space="0" w:color="auto"/>
              <w:right w:val="none" w:sz="0" w:space="0" w:color="auto"/>
            </w:tcBorders>
            <w:noWrap/>
            <w:hideMark/>
          </w:tcPr>
          <w:p w14:paraId="3FDC60F0" w14:textId="77777777" w:rsidR="008B200E" w:rsidRPr="00092ED7" w:rsidRDefault="008B200E" w:rsidP="00A06946">
            <w:pPr>
              <w:spacing w:after="0"/>
              <w:jc w:val="right"/>
              <w:rPr>
                <w:color w:val="auto"/>
                <w:sz w:val="18"/>
                <w:szCs w:val="18"/>
                <w:lang w:val="sr-Cyrl-CS"/>
              </w:rPr>
            </w:pPr>
            <w:r w:rsidRPr="00092ED7">
              <w:rPr>
                <w:color w:val="auto"/>
                <w:sz w:val="18"/>
                <w:szCs w:val="18"/>
                <w:lang w:val="sr-Cyrl-CS"/>
              </w:rPr>
              <w:t>2023 п</w:t>
            </w:r>
          </w:p>
        </w:tc>
        <w:tc>
          <w:tcPr>
            <w:tcW w:w="536" w:type="pct"/>
            <w:tcBorders>
              <w:top w:val="none" w:sz="0" w:space="0" w:color="auto"/>
              <w:left w:val="none" w:sz="0" w:space="0" w:color="auto"/>
              <w:bottom w:val="none" w:sz="0" w:space="0" w:color="auto"/>
              <w:right w:val="none" w:sz="0" w:space="0" w:color="auto"/>
            </w:tcBorders>
            <w:noWrap/>
            <w:hideMark/>
          </w:tcPr>
          <w:p w14:paraId="047FAC76" w14:textId="77777777" w:rsidR="008B200E" w:rsidRPr="00092ED7" w:rsidRDefault="008B200E" w:rsidP="00A06946">
            <w:pPr>
              <w:spacing w:after="0"/>
              <w:jc w:val="right"/>
              <w:rPr>
                <w:color w:val="auto"/>
                <w:sz w:val="18"/>
                <w:szCs w:val="18"/>
                <w:lang w:val="sr-Cyrl-CS"/>
              </w:rPr>
            </w:pPr>
            <w:r w:rsidRPr="00092ED7">
              <w:rPr>
                <w:color w:val="auto"/>
                <w:sz w:val="18"/>
                <w:szCs w:val="18"/>
                <w:lang w:val="sr-Cyrl-CS"/>
              </w:rPr>
              <w:t>2024 п</w:t>
            </w:r>
          </w:p>
        </w:tc>
        <w:tc>
          <w:tcPr>
            <w:tcW w:w="532" w:type="pct"/>
            <w:tcBorders>
              <w:top w:val="none" w:sz="0" w:space="0" w:color="auto"/>
              <w:left w:val="none" w:sz="0" w:space="0" w:color="auto"/>
              <w:bottom w:val="none" w:sz="0" w:space="0" w:color="auto"/>
              <w:right w:val="none" w:sz="0" w:space="0" w:color="auto"/>
            </w:tcBorders>
            <w:noWrap/>
            <w:hideMark/>
          </w:tcPr>
          <w:p w14:paraId="3107D31B" w14:textId="77777777" w:rsidR="008B200E" w:rsidRPr="00092ED7" w:rsidRDefault="008B200E" w:rsidP="00A06946">
            <w:pPr>
              <w:spacing w:after="0"/>
              <w:jc w:val="right"/>
              <w:rPr>
                <w:color w:val="auto"/>
                <w:sz w:val="18"/>
                <w:szCs w:val="18"/>
                <w:lang w:val="sr-Cyrl-CS"/>
              </w:rPr>
            </w:pPr>
            <w:r w:rsidRPr="00092ED7">
              <w:rPr>
                <w:color w:val="auto"/>
                <w:sz w:val="18"/>
                <w:szCs w:val="18"/>
                <w:lang w:val="sr-Cyrl-CS"/>
              </w:rPr>
              <w:t>2025 п</w:t>
            </w:r>
          </w:p>
        </w:tc>
      </w:tr>
      <w:tr w:rsidR="008B200E" w:rsidRPr="00092ED7" w14:paraId="16034029" w14:textId="77777777" w:rsidTr="008B200E">
        <w:trPr>
          <w:cnfStyle w:val="000000100000" w:firstRow="0" w:lastRow="0" w:firstColumn="0" w:lastColumn="0" w:oddVBand="0" w:evenVBand="0" w:oddHBand="1" w:evenHBand="0" w:firstRowFirstColumn="0" w:firstRowLastColumn="0" w:lastRowFirstColumn="0" w:lastRowLastColumn="0"/>
          <w:trHeight w:val="20"/>
        </w:trPr>
        <w:tc>
          <w:tcPr>
            <w:tcW w:w="2922" w:type="pct"/>
            <w:tcBorders>
              <w:left w:val="none" w:sz="0" w:space="0" w:color="auto"/>
              <w:right w:val="none" w:sz="0" w:space="0" w:color="auto"/>
            </w:tcBorders>
            <w:shd w:val="clear" w:color="auto" w:fill="E7E6E6" w:themeFill="background2"/>
            <w:noWrap/>
            <w:hideMark/>
          </w:tcPr>
          <w:p w14:paraId="228F0C5F" w14:textId="77777777" w:rsidR="008B200E" w:rsidRPr="00092ED7" w:rsidRDefault="008B200E" w:rsidP="00A06946">
            <w:pPr>
              <w:spacing w:after="0"/>
              <w:jc w:val="left"/>
              <w:rPr>
                <w:bCs/>
                <w:color w:val="auto"/>
                <w:sz w:val="20"/>
                <w:lang w:val="sr-Cyrl-CS"/>
              </w:rPr>
            </w:pPr>
            <w:r w:rsidRPr="00092ED7">
              <w:rPr>
                <w:bCs/>
                <w:color w:val="auto"/>
                <w:sz w:val="20"/>
                <w:lang w:val="sr-Cyrl-CS"/>
              </w:rPr>
              <w:t>Јавни дуг (централни ниво власти), млрд РСД</w:t>
            </w:r>
          </w:p>
        </w:tc>
        <w:tc>
          <w:tcPr>
            <w:tcW w:w="474" w:type="pct"/>
            <w:tcBorders>
              <w:left w:val="none" w:sz="0" w:space="0" w:color="auto"/>
              <w:right w:val="none" w:sz="0" w:space="0" w:color="auto"/>
            </w:tcBorders>
            <w:shd w:val="clear" w:color="auto" w:fill="E7E6E6" w:themeFill="background2"/>
            <w:noWrap/>
          </w:tcPr>
          <w:p w14:paraId="64DA54E7" w14:textId="77777777" w:rsidR="008B200E" w:rsidRPr="00092ED7" w:rsidRDefault="008B200E" w:rsidP="00A06946">
            <w:pPr>
              <w:spacing w:after="0"/>
              <w:jc w:val="right"/>
              <w:rPr>
                <w:bCs/>
                <w:color w:val="auto"/>
                <w:sz w:val="20"/>
                <w:lang w:val="sr-Cyrl-CS"/>
              </w:rPr>
            </w:pPr>
            <w:r w:rsidRPr="00092ED7">
              <w:rPr>
                <w:bCs/>
                <w:color w:val="auto"/>
                <w:sz w:val="20"/>
                <w:lang w:val="sr-Cyrl-CS"/>
              </w:rPr>
              <w:t>3.973,9</w:t>
            </w:r>
          </w:p>
        </w:tc>
        <w:tc>
          <w:tcPr>
            <w:tcW w:w="536" w:type="pct"/>
            <w:tcBorders>
              <w:left w:val="none" w:sz="0" w:space="0" w:color="auto"/>
              <w:right w:val="none" w:sz="0" w:space="0" w:color="auto"/>
            </w:tcBorders>
            <w:shd w:val="clear" w:color="auto" w:fill="E7E6E6" w:themeFill="background2"/>
            <w:noWrap/>
          </w:tcPr>
          <w:p w14:paraId="26F80B32" w14:textId="77777777" w:rsidR="008B200E" w:rsidRPr="00092ED7" w:rsidRDefault="008B200E" w:rsidP="00A06946">
            <w:pPr>
              <w:spacing w:after="0"/>
              <w:jc w:val="right"/>
              <w:rPr>
                <w:bCs/>
                <w:color w:val="auto"/>
                <w:sz w:val="20"/>
                <w:lang w:val="sr-Cyrl-CS"/>
              </w:rPr>
            </w:pPr>
            <w:r w:rsidRPr="00092ED7">
              <w:rPr>
                <w:bCs/>
                <w:color w:val="auto"/>
                <w:sz w:val="20"/>
                <w:lang w:val="sr-Cyrl-CS"/>
              </w:rPr>
              <w:t>4.419,1</w:t>
            </w:r>
          </w:p>
        </w:tc>
        <w:tc>
          <w:tcPr>
            <w:tcW w:w="536" w:type="pct"/>
            <w:tcBorders>
              <w:left w:val="none" w:sz="0" w:space="0" w:color="auto"/>
              <w:right w:val="none" w:sz="0" w:space="0" w:color="auto"/>
            </w:tcBorders>
            <w:shd w:val="clear" w:color="auto" w:fill="E7E6E6" w:themeFill="background2"/>
            <w:noWrap/>
          </w:tcPr>
          <w:p w14:paraId="14D23883" w14:textId="77777777" w:rsidR="008B200E" w:rsidRPr="00092ED7" w:rsidRDefault="008B200E" w:rsidP="00A06946">
            <w:pPr>
              <w:spacing w:after="0"/>
              <w:jc w:val="right"/>
              <w:rPr>
                <w:bCs/>
                <w:color w:val="auto"/>
                <w:sz w:val="20"/>
                <w:lang w:val="sr-Cyrl-CS"/>
              </w:rPr>
            </w:pPr>
            <w:r w:rsidRPr="00092ED7">
              <w:rPr>
                <w:bCs/>
                <w:color w:val="auto"/>
                <w:sz w:val="20"/>
                <w:lang w:val="sr-Cyrl-CS"/>
              </w:rPr>
              <w:t>4.745,1</w:t>
            </w:r>
          </w:p>
        </w:tc>
        <w:tc>
          <w:tcPr>
            <w:tcW w:w="532" w:type="pct"/>
            <w:tcBorders>
              <w:left w:val="none" w:sz="0" w:space="0" w:color="auto"/>
              <w:right w:val="none" w:sz="0" w:space="0" w:color="auto"/>
            </w:tcBorders>
            <w:shd w:val="clear" w:color="auto" w:fill="E7E6E6" w:themeFill="background2"/>
            <w:noWrap/>
          </w:tcPr>
          <w:p w14:paraId="5FCEA7AB" w14:textId="77777777" w:rsidR="008B200E" w:rsidRPr="00092ED7" w:rsidRDefault="008B200E" w:rsidP="00A06946">
            <w:pPr>
              <w:spacing w:after="0"/>
              <w:jc w:val="right"/>
              <w:rPr>
                <w:bCs/>
                <w:color w:val="auto"/>
                <w:sz w:val="20"/>
                <w:lang w:val="sr-Cyrl-CS"/>
              </w:rPr>
            </w:pPr>
            <w:r w:rsidRPr="00092ED7">
              <w:rPr>
                <w:bCs/>
                <w:color w:val="auto"/>
                <w:sz w:val="20"/>
                <w:lang w:val="sr-Cyrl-CS"/>
              </w:rPr>
              <w:t>5.041,1</w:t>
            </w:r>
          </w:p>
        </w:tc>
      </w:tr>
      <w:tr w:rsidR="008B200E" w:rsidRPr="00092ED7" w14:paraId="2263FC6A" w14:textId="77777777" w:rsidTr="008B200E">
        <w:trPr>
          <w:trHeight w:val="20"/>
        </w:trPr>
        <w:tc>
          <w:tcPr>
            <w:tcW w:w="2922" w:type="pct"/>
            <w:hideMark/>
          </w:tcPr>
          <w:p w14:paraId="15C13419" w14:textId="77777777" w:rsidR="008B200E" w:rsidRPr="00092ED7" w:rsidRDefault="008B200E" w:rsidP="00A06946">
            <w:pPr>
              <w:spacing w:after="0"/>
              <w:jc w:val="left"/>
              <w:rPr>
                <w:bCs/>
                <w:color w:val="auto"/>
                <w:sz w:val="20"/>
                <w:lang w:val="sr-Cyrl-CS"/>
              </w:rPr>
            </w:pPr>
            <w:r w:rsidRPr="00092ED7">
              <w:rPr>
                <w:bCs/>
                <w:color w:val="auto"/>
                <w:sz w:val="20"/>
                <w:lang w:val="sr-Cyrl-CS"/>
              </w:rPr>
              <w:t>Дуг централне државе, у % БДП</w:t>
            </w:r>
          </w:p>
        </w:tc>
        <w:tc>
          <w:tcPr>
            <w:tcW w:w="474" w:type="pct"/>
            <w:noWrap/>
          </w:tcPr>
          <w:p w14:paraId="2FF85656" w14:textId="77777777" w:rsidR="008B200E" w:rsidRPr="00092ED7" w:rsidRDefault="008B200E" w:rsidP="00A06946">
            <w:pPr>
              <w:spacing w:after="0"/>
              <w:jc w:val="right"/>
              <w:rPr>
                <w:bCs/>
                <w:color w:val="auto"/>
                <w:sz w:val="20"/>
                <w:lang w:val="sr-Cyrl-CS"/>
              </w:rPr>
            </w:pPr>
            <w:r w:rsidRPr="00092ED7">
              <w:rPr>
                <w:bCs/>
                <w:color w:val="auto"/>
                <w:sz w:val="20"/>
                <w:lang w:val="sr-Cyrl-CS"/>
              </w:rPr>
              <w:t>56,1%</w:t>
            </w:r>
          </w:p>
        </w:tc>
        <w:tc>
          <w:tcPr>
            <w:tcW w:w="536" w:type="pct"/>
            <w:noWrap/>
          </w:tcPr>
          <w:p w14:paraId="6514DE02" w14:textId="77777777" w:rsidR="008B200E" w:rsidRPr="00092ED7" w:rsidRDefault="008B200E" w:rsidP="00A06946">
            <w:pPr>
              <w:spacing w:after="0"/>
              <w:jc w:val="right"/>
              <w:rPr>
                <w:bCs/>
                <w:color w:val="auto"/>
                <w:sz w:val="20"/>
                <w:lang w:val="sr-Cyrl-CS"/>
              </w:rPr>
            </w:pPr>
            <w:r w:rsidRPr="00092ED7">
              <w:rPr>
                <w:bCs/>
                <w:color w:val="auto"/>
                <w:sz w:val="20"/>
                <w:lang w:val="sr-Cyrl-CS"/>
              </w:rPr>
              <w:t>55,1%</w:t>
            </w:r>
          </w:p>
        </w:tc>
        <w:tc>
          <w:tcPr>
            <w:tcW w:w="536" w:type="pct"/>
            <w:noWrap/>
          </w:tcPr>
          <w:p w14:paraId="6C95D87A" w14:textId="77777777" w:rsidR="008B200E" w:rsidRPr="00092ED7" w:rsidRDefault="008B200E" w:rsidP="00A06946">
            <w:pPr>
              <w:spacing w:after="0"/>
              <w:jc w:val="right"/>
              <w:rPr>
                <w:bCs/>
                <w:color w:val="auto"/>
                <w:sz w:val="20"/>
                <w:lang w:val="sr-Cyrl-CS"/>
              </w:rPr>
            </w:pPr>
            <w:r w:rsidRPr="00092ED7">
              <w:rPr>
                <w:bCs/>
                <w:color w:val="auto"/>
                <w:sz w:val="20"/>
                <w:lang w:val="sr-Cyrl-CS"/>
              </w:rPr>
              <w:t>54,1%</w:t>
            </w:r>
          </w:p>
        </w:tc>
        <w:tc>
          <w:tcPr>
            <w:tcW w:w="532" w:type="pct"/>
            <w:noWrap/>
          </w:tcPr>
          <w:p w14:paraId="4B9EB3C9" w14:textId="77777777" w:rsidR="008B200E" w:rsidRPr="00092ED7" w:rsidRDefault="008B200E" w:rsidP="00A06946">
            <w:pPr>
              <w:spacing w:after="0"/>
              <w:jc w:val="right"/>
              <w:rPr>
                <w:bCs/>
                <w:color w:val="auto"/>
                <w:sz w:val="20"/>
                <w:lang w:val="sr-Cyrl-CS"/>
              </w:rPr>
            </w:pPr>
            <w:r w:rsidRPr="00092ED7">
              <w:rPr>
                <w:bCs/>
                <w:color w:val="auto"/>
                <w:sz w:val="20"/>
                <w:lang w:val="sr-Cyrl-CS"/>
              </w:rPr>
              <w:t>53,0%</w:t>
            </w:r>
          </w:p>
        </w:tc>
      </w:tr>
      <w:tr w:rsidR="008B200E" w:rsidRPr="00092ED7" w14:paraId="6A578DD3" w14:textId="77777777" w:rsidTr="008B200E">
        <w:trPr>
          <w:cnfStyle w:val="000000100000" w:firstRow="0" w:lastRow="0" w:firstColumn="0" w:lastColumn="0" w:oddVBand="0" w:evenVBand="0" w:oddHBand="1" w:evenHBand="0" w:firstRowFirstColumn="0" w:firstRowLastColumn="0" w:lastRowFirstColumn="0" w:lastRowLastColumn="0"/>
          <w:trHeight w:val="20"/>
        </w:trPr>
        <w:tc>
          <w:tcPr>
            <w:tcW w:w="2922" w:type="pct"/>
            <w:tcBorders>
              <w:left w:val="none" w:sz="0" w:space="0" w:color="auto"/>
              <w:right w:val="none" w:sz="0" w:space="0" w:color="auto"/>
            </w:tcBorders>
            <w:shd w:val="clear" w:color="auto" w:fill="E7E6E6" w:themeFill="background2"/>
            <w:hideMark/>
          </w:tcPr>
          <w:p w14:paraId="70D7328A" w14:textId="77777777" w:rsidR="008B200E" w:rsidRPr="00092ED7" w:rsidRDefault="008B200E" w:rsidP="00A06946">
            <w:pPr>
              <w:spacing w:after="0"/>
              <w:jc w:val="left"/>
              <w:rPr>
                <w:bCs/>
                <w:color w:val="auto"/>
                <w:sz w:val="20"/>
                <w:lang w:val="sr-Cyrl-CS"/>
              </w:rPr>
            </w:pPr>
            <w:r w:rsidRPr="00092ED7">
              <w:rPr>
                <w:bCs/>
                <w:color w:val="auto"/>
                <w:sz w:val="20"/>
                <w:lang w:val="sr-Cyrl-CS"/>
              </w:rPr>
              <w:t>Негарантовани дуг јединица локалне самоуправе*, у % БДП</w:t>
            </w:r>
          </w:p>
        </w:tc>
        <w:tc>
          <w:tcPr>
            <w:tcW w:w="474" w:type="pct"/>
            <w:tcBorders>
              <w:left w:val="none" w:sz="0" w:space="0" w:color="auto"/>
              <w:right w:val="none" w:sz="0" w:space="0" w:color="auto"/>
            </w:tcBorders>
            <w:shd w:val="clear" w:color="auto" w:fill="E7E6E6" w:themeFill="background2"/>
            <w:noWrap/>
          </w:tcPr>
          <w:p w14:paraId="0ABAD5A4" w14:textId="77777777" w:rsidR="008B200E" w:rsidRPr="00092ED7" w:rsidRDefault="008B200E" w:rsidP="00A06946">
            <w:pPr>
              <w:spacing w:after="0"/>
              <w:jc w:val="right"/>
              <w:rPr>
                <w:bCs/>
                <w:color w:val="auto"/>
                <w:sz w:val="20"/>
                <w:lang w:val="sr-Cyrl-CS"/>
              </w:rPr>
            </w:pPr>
            <w:r w:rsidRPr="00092ED7">
              <w:rPr>
                <w:bCs/>
                <w:color w:val="auto"/>
                <w:sz w:val="20"/>
                <w:lang w:val="sr-Cyrl-CS"/>
              </w:rPr>
              <w:t>0,8%</w:t>
            </w:r>
          </w:p>
        </w:tc>
        <w:tc>
          <w:tcPr>
            <w:tcW w:w="536" w:type="pct"/>
            <w:tcBorders>
              <w:left w:val="none" w:sz="0" w:space="0" w:color="auto"/>
              <w:right w:val="none" w:sz="0" w:space="0" w:color="auto"/>
            </w:tcBorders>
            <w:shd w:val="clear" w:color="auto" w:fill="E7E6E6" w:themeFill="background2"/>
            <w:noWrap/>
          </w:tcPr>
          <w:p w14:paraId="3CA2B1A5" w14:textId="77777777" w:rsidR="008B200E" w:rsidRPr="00092ED7" w:rsidRDefault="008B200E" w:rsidP="00A06946">
            <w:pPr>
              <w:spacing w:after="0"/>
              <w:jc w:val="right"/>
              <w:rPr>
                <w:bCs/>
                <w:color w:val="auto"/>
                <w:sz w:val="20"/>
                <w:lang w:val="sr-Cyrl-CS"/>
              </w:rPr>
            </w:pPr>
            <w:r w:rsidRPr="00092ED7">
              <w:rPr>
                <w:bCs/>
                <w:color w:val="auto"/>
                <w:sz w:val="20"/>
                <w:lang w:val="sr-Cyrl-CS"/>
              </w:rPr>
              <w:t>1,0%</w:t>
            </w:r>
          </w:p>
        </w:tc>
        <w:tc>
          <w:tcPr>
            <w:tcW w:w="536" w:type="pct"/>
            <w:tcBorders>
              <w:left w:val="none" w:sz="0" w:space="0" w:color="auto"/>
              <w:right w:val="none" w:sz="0" w:space="0" w:color="auto"/>
            </w:tcBorders>
            <w:shd w:val="clear" w:color="auto" w:fill="E7E6E6" w:themeFill="background2"/>
            <w:noWrap/>
          </w:tcPr>
          <w:p w14:paraId="4885E234" w14:textId="77777777" w:rsidR="008B200E" w:rsidRPr="00092ED7" w:rsidRDefault="008B200E" w:rsidP="00A06946">
            <w:pPr>
              <w:spacing w:after="0"/>
              <w:jc w:val="right"/>
              <w:rPr>
                <w:bCs/>
                <w:color w:val="auto"/>
                <w:sz w:val="20"/>
                <w:lang w:val="sr-Cyrl-CS"/>
              </w:rPr>
            </w:pPr>
            <w:r w:rsidRPr="00092ED7">
              <w:rPr>
                <w:bCs/>
                <w:color w:val="auto"/>
                <w:sz w:val="20"/>
                <w:lang w:val="sr-Cyrl-CS"/>
              </w:rPr>
              <w:t>1,0%</w:t>
            </w:r>
          </w:p>
        </w:tc>
        <w:tc>
          <w:tcPr>
            <w:tcW w:w="532" w:type="pct"/>
            <w:tcBorders>
              <w:left w:val="none" w:sz="0" w:space="0" w:color="auto"/>
              <w:right w:val="none" w:sz="0" w:space="0" w:color="auto"/>
            </w:tcBorders>
            <w:shd w:val="clear" w:color="auto" w:fill="E7E6E6" w:themeFill="background2"/>
            <w:noWrap/>
          </w:tcPr>
          <w:p w14:paraId="5343C7DF" w14:textId="77777777" w:rsidR="008B200E" w:rsidRPr="00092ED7" w:rsidRDefault="008B200E" w:rsidP="00A06946">
            <w:pPr>
              <w:spacing w:after="0"/>
              <w:jc w:val="right"/>
              <w:rPr>
                <w:bCs/>
                <w:color w:val="auto"/>
                <w:sz w:val="20"/>
                <w:lang w:val="sr-Cyrl-CS"/>
              </w:rPr>
            </w:pPr>
            <w:r w:rsidRPr="00092ED7">
              <w:rPr>
                <w:bCs/>
                <w:color w:val="auto"/>
                <w:sz w:val="20"/>
                <w:lang w:val="sr-Cyrl-CS"/>
              </w:rPr>
              <w:t>1,0%</w:t>
            </w:r>
          </w:p>
        </w:tc>
      </w:tr>
      <w:tr w:rsidR="008B200E" w:rsidRPr="00092ED7" w14:paraId="1A995A42" w14:textId="77777777" w:rsidTr="008B200E">
        <w:trPr>
          <w:trHeight w:val="20"/>
        </w:trPr>
        <w:tc>
          <w:tcPr>
            <w:tcW w:w="2922" w:type="pct"/>
            <w:hideMark/>
          </w:tcPr>
          <w:p w14:paraId="3BE8D35C" w14:textId="77777777" w:rsidR="008B200E" w:rsidRPr="00092ED7" w:rsidRDefault="008B200E" w:rsidP="00A06946">
            <w:pPr>
              <w:spacing w:after="0"/>
              <w:jc w:val="left"/>
              <w:rPr>
                <w:bCs/>
                <w:color w:val="auto"/>
                <w:sz w:val="20"/>
                <w:lang w:val="sr-Cyrl-CS"/>
              </w:rPr>
            </w:pPr>
            <w:r w:rsidRPr="00092ED7">
              <w:rPr>
                <w:bCs/>
                <w:color w:val="auto"/>
                <w:sz w:val="20"/>
                <w:lang w:val="sr-Cyrl-CS"/>
              </w:rPr>
              <w:t>Дуг опште државе, у % БДП</w:t>
            </w:r>
          </w:p>
        </w:tc>
        <w:tc>
          <w:tcPr>
            <w:tcW w:w="474" w:type="pct"/>
            <w:noWrap/>
          </w:tcPr>
          <w:p w14:paraId="6E0145FD" w14:textId="77777777" w:rsidR="008B200E" w:rsidRPr="00092ED7" w:rsidRDefault="008B200E" w:rsidP="00A06946">
            <w:pPr>
              <w:spacing w:after="0"/>
              <w:jc w:val="right"/>
              <w:rPr>
                <w:bCs/>
                <w:color w:val="auto"/>
                <w:sz w:val="20"/>
                <w:lang w:val="sr-Cyrl-CS"/>
              </w:rPr>
            </w:pPr>
            <w:r w:rsidRPr="00092ED7">
              <w:rPr>
                <w:bCs/>
                <w:color w:val="auto"/>
                <w:sz w:val="20"/>
                <w:lang w:val="sr-Cyrl-CS"/>
              </w:rPr>
              <w:t>56,9%</w:t>
            </w:r>
          </w:p>
        </w:tc>
        <w:tc>
          <w:tcPr>
            <w:tcW w:w="536" w:type="pct"/>
            <w:noWrap/>
          </w:tcPr>
          <w:p w14:paraId="41E6E562" w14:textId="77777777" w:rsidR="008B200E" w:rsidRPr="00092ED7" w:rsidRDefault="008B200E" w:rsidP="00A06946">
            <w:pPr>
              <w:spacing w:after="0"/>
              <w:jc w:val="right"/>
              <w:rPr>
                <w:bCs/>
                <w:color w:val="auto"/>
                <w:sz w:val="20"/>
                <w:lang w:val="sr-Cyrl-CS"/>
              </w:rPr>
            </w:pPr>
            <w:r w:rsidRPr="00092ED7">
              <w:rPr>
                <w:bCs/>
                <w:color w:val="auto"/>
                <w:sz w:val="20"/>
                <w:lang w:val="sr-Cyrl-CS"/>
              </w:rPr>
              <w:t>56,1%</w:t>
            </w:r>
          </w:p>
        </w:tc>
        <w:tc>
          <w:tcPr>
            <w:tcW w:w="536" w:type="pct"/>
            <w:noWrap/>
          </w:tcPr>
          <w:p w14:paraId="51FABEC9" w14:textId="77777777" w:rsidR="008B200E" w:rsidRPr="00092ED7" w:rsidRDefault="008B200E" w:rsidP="00A06946">
            <w:pPr>
              <w:spacing w:after="0"/>
              <w:jc w:val="right"/>
              <w:rPr>
                <w:bCs/>
                <w:color w:val="auto"/>
                <w:sz w:val="20"/>
                <w:lang w:val="sr-Cyrl-CS"/>
              </w:rPr>
            </w:pPr>
            <w:r w:rsidRPr="00092ED7">
              <w:rPr>
                <w:bCs/>
                <w:color w:val="auto"/>
                <w:sz w:val="20"/>
                <w:lang w:val="sr-Cyrl-CS"/>
              </w:rPr>
              <w:t>55,1%</w:t>
            </w:r>
          </w:p>
        </w:tc>
        <w:tc>
          <w:tcPr>
            <w:tcW w:w="532" w:type="pct"/>
            <w:noWrap/>
          </w:tcPr>
          <w:p w14:paraId="1B760B39" w14:textId="77777777" w:rsidR="008B200E" w:rsidRPr="00092ED7" w:rsidRDefault="008B200E" w:rsidP="00A06946">
            <w:pPr>
              <w:spacing w:after="0"/>
              <w:jc w:val="right"/>
              <w:rPr>
                <w:bCs/>
                <w:color w:val="auto"/>
                <w:sz w:val="20"/>
                <w:lang w:val="sr-Cyrl-CS"/>
              </w:rPr>
            </w:pPr>
            <w:r w:rsidRPr="00092ED7">
              <w:rPr>
                <w:bCs/>
                <w:color w:val="auto"/>
                <w:sz w:val="20"/>
                <w:lang w:val="sr-Cyrl-CS"/>
              </w:rPr>
              <w:t>54,0%</w:t>
            </w:r>
          </w:p>
        </w:tc>
      </w:tr>
    </w:tbl>
    <w:p w14:paraId="08285392" w14:textId="77777777" w:rsidR="008B200E" w:rsidRPr="00092ED7" w:rsidRDefault="008B200E" w:rsidP="008B200E">
      <w:pPr>
        <w:spacing w:before="60" w:after="40"/>
        <w:rPr>
          <w:rFonts w:cs="Times New Roman"/>
          <w:sz w:val="16"/>
          <w:szCs w:val="16"/>
          <w:lang w:val="sr-Cyrl-CS" w:eastAsia="ja-JP"/>
        </w:rPr>
      </w:pPr>
      <w:r w:rsidRPr="00092ED7">
        <w:rPr>
          <w:rFonts w:cs="Times New Roman"/>
          <w:sz w:val="16"/>
          <w:szCs w:val="16"/>
          <w:lang w:val="sr-Cyrl-CS" w:eastAsia="ja-JP"/>
        </w:rPr>
        <w:t>*и осталог сектора државе</w:t>
      </w:r>
    </w:p>
    <w:p w14:paraId="0E1AC75B" w14:textId="77777777" w:rsidR="008B200E" w:rsidRPr="00092ED7" w:rsidRDefault="008B200E" w:rsidP="008B200E">
      <w:pPr>
        <w:spacing w:before="60"/>
        <w:rPr>
          <w:rFonts w:cs="Times New Roman"/>
          <w:sz w:val="18"/>
          <w:szCs w:val="18"/>
          <w:lang w:val="sr-Cyrl-CS" w:eastAsia="ja-JP"/>
        </w:rPr>
      </w:pPr>
      <w:r w:rsidRPr="00092ED7">
        <w:rPr>
          <w:rFonts w:cs="Times New Roman"/>
          <w:sz w:val="18"/>
          <w:szCs w:val="18"/>
          <w:lang w:val="sr-Cyrl-CS" w:eastAsia="ja-JP"/>
        </w:rPr>
        <w:t>Извор: Министарство финансија</w:t>
      </w:r>
    </w:p>
    <w:p w14:paraId="345EB431" w14:textId="77777777" w:rsidR="008B200E" w:rsidRPr="00092ED7" w:rsidRDefault="008B200E" w:rsidP="008B200E">
      <w:pPr>
        <w:spacing w:after="60"/>
        <w:rPr>
          <w:rFonts w:eastAsia="MS PGothic" w:cs="Times New Roman"/>
          <w:strike/>
          <w:szCs w:val="24"/>
          <w:lang w:val="sr-Cyrl-CS" w:eastAsia="ja-JP"/>
        </w:rPr>
      </w:pPr>
      <w:r w:rsidRPr="00092ED7">
        <w:rPr>
          <w:rFonts w:eastAsia="MS PGothic" w:cs="Times New Roman"/>
          <w:szCs w:val="24"/>
          <w:lang w:val="sr-Cyrl-CS" w:eastAsia="ja-JP"/>
        </w:rPr>
        <w:t>Предвиђа се да ће негарантовани дуг локалног нивоа власти бити на нивоу од око 1,0% БДП до краја 2025. На крају 2025. године стање јавног дуга општег нивоа државе требало би да буде на нивоу од 54,0% БДП.</w:t>
      </w:r>
    </w:p>
    <w:p w14:paraId="3033963E" w14:textId="3914C2D0" w:rsidR="008B200E" w:rsidRPr="00092ED7" w:rsidRDefault="008B200E" w:rsidP="008B200E">
      <w:pPr>
        <w:spacing w:after="60"/>
        <w:rPr>
          <w:rFonts w:eastAsia="MS PGothic" w:cs="Times New Roman"/>
          <w:szCs w:val="24"/>
          <w:lang w:val="sr-Cyrl-CS" w:eastAsia="ja-JP"/>
        </w:rPr>
      </w:pPr>
      <w:r w:rsidRPr="00092ED7">
        <w:rPr>
          <w:rFonts w:eastAsia="MS PGothic" w:cs="Times New Roman"/>
          <w:szCs w:val="24"/>
          <w:lang w:val="sr-Cyrl-CS" w:eastAsia="ja-JP"/>
        </w:rPr>
        <w:t xml:space="preserve">Финансијски и фискални ризици могу довести до раста јавног дуга већег </w:t>
      </w:r>
      <w:r w:rsidR="006D2688" w:rsidRPr="00092ED7">
        <w:rPr>
          <w:rFonts w:eastAsia="MS PGothic" w:cs="Times New Roman"/>
          <w:szCs w:val="24"/>
          <w:lang w:val="sr-Cyrl-CS" w:eastAsia="ja-JP"/>
        </w:rPr>
        <w:t>од</w:t>
      </w:r>
      <w:r w:rsidRPr="00092ED7">
        <w:rPr>
          <w:rFonts w:eastAsia="MS PGothic" w:cs="Times New Roman"/>
          <w:szCs w:val="24"/>
          <w:lang w:val="sr-Cyrl-CS" w:eastAsia="ja-JP"/>
        </w:rPr>
        <w:t>предвиђ</w:t>
      </w:r>
      <w:r w:rsidR="006D2688" w:rsidRPr="00092ED7">
        <w:rPr>
          <w:rFonts w:eastAsia="MS PGothic" w:cs="Times New Roman"/>
          <w:szCs w:val="24"/>
          <w:lang w:val="sr-Cyrl-CS" w:eastAsia="ja-JP"/>
        </w:rPr>
        <w:t>еног</w:t>
      </w:r>
      <w:r w:rsidRPr="00092ED7">
        <w:rPr>
          <w:rFonts w:eastAsia="MS PGothic" w:cs="Times New Roman"/>
          <w:szCs w:val="24"/>
          <w:lang w:val="sr-Cyrl-CS" w:eastAsia="ja-JP"/>
        </w:rPr>
        <w:t xml:space="preserve"> основни</w:t>
      </w:r>
      <w:r w:rsidR="006D2688" w:rsidRPr="00092ED7">
        <w:rPr>
          <w:rFonts w:eastAsia="MS PGothic" w:cs="Times New Roman"/>
          <w:szCs w:val="24"/>
          <w:lang w:val="sr-Cyrl-CS" w:eastAsia="ja-JP"/>
        </w:rPr>
        <w:t>м</w:t>
      </w:r>
      <w:r w:rsidRPr="00092ED7">
        <w:rPr>
          <w:rFonts w:eastAsia="MS PGothic" w:cs="Times New Roman"/>
          <w:szCs w:val="24"/>
          <w:lang w:val="sr-Cyrl-CS" w:eastAsia="ja-JP"/>
        </w:rPr>
        <w:t xml:space="preserve"> сценари</w:t>
      </w:r>
      <w:r w:rsidR="006D2688" w:rsidRPr="00092ED7">
        <w:rPr>
          <w:rFonts w:eastAsia="MS PGothic" w:cs="Times New Roman"/>
          <w:szCs w:val="24"/>
          <w:lang w:val="sr-Cyrl-CS" w:eastAsia="ja-JP"/>
        </w:rPr>
        <w:t>јем</w:t>
      </w:r>
      <w:r w:rsidRPr="00092ED7">
        <w:rPr>
          <w:rFonts w:eastAsia="MS PGothic" w:cs="Times New Roman"/>
          <w:szCs w:val="24"/>
          <w:lang w:val="sr-Cyrl-CS" w:eastAsia="ja-JP"/>
        </w:rPr>
        <w:t>. Ризици који су присутни и који могу да доведу до раста задужености и трошкова сервисирања јавног дуга су: ризик рефинансирања, девизни ризик, тржишни ризик (ризик каматних стопа, ризик инфлације), ризик ликвидности, кредитни и оперативни ризици и ризици везани за дистрибуцију трошкова сервисирања (структура дуга, концентрација обавеза).</w:t>
      </w:r>
    </w:p>
    <w:p w14:paraId="46178537" w14:textId="77777777" w:rsidR="008B200E" w:rsidRPr="00092ED7" w:rsidRDefault="008B200E" w:rsidP="008B200E">
      <w:pPr>
        <w:spacing w:after="60"/>
        <w:rPr>
          <w:rFonts w:eastAsia="MS PGothic" w:cs="Times New Roman"/>
          <w:szCs w:val="24"/>
          <w:lang w:val="sr-Cyrl-CS" w:eastAsia="ja-JP"/>
        </w:rPr>
      </w:pPr>
      <w:r w:rsidRPr="00092ED7">
        <w:rPr>
          <w:rFonts w:eastAsia="MS PGothic" w:cs="Times New Roman"/>
          <w:szCs w:val="24"/>
          <w:lang w:val="sr-Cyrl-CS" w:eastAsia="ja-JP"/>
        </w:rPr>
        <w:t>Због високог учешћа дуга деноминованог у страној валути (74,6%), евидентно је да ће девизни ризик детерминисати понашање рација јавни дуг/БДП у наредном периоду и битно условљавати успех мера фискалне политике на консолидацији јавних финансија и смањењу учешћа јавног дуга у БДП-у.</w:t>
      </w:r>
    </w:p>
    <w:p w14:paraId="0F5E6DC5" w14:textId="77777777" w:rsidR="008B200E" w:rsidRPr="00092ED7" w:rsidRDefault="008B200E" w:rsidP="008B200E">
      <w:pPr>
        <w:spacing w:before="120" w:after="60"/>
        <w:jc w:val="left"/>
        <w:rPr>
          <w:rFonts w:eastAsia="MS PGothic" w:cs="Times New Roman"/>
          <w:bCs/>
          <w:szCs w:val="24"/>
          <w:lang w:val="sr-Cyrl-CS" w:eastAsia="ja-JP"/>
        </w:rPr>
      </w:pPr>
      <w:r w:rsidRPr="00092ED7">
        <w:rPr>
          <w:rFonts w:eastAsia="MS PGothic" w:cs="Times New Roman"/>
          <w:bCs/>
          <w:szCs w:val="24"/>
          <w:lang w:val="sr-Cyrl-CS" w:eastAsia="ja-JP"/>
        </w:rPr>
        <w:t>Графикон 13. Утицај промена курса динара према корпи валута из портфолија јавног дуга на промену рацио јавног дуга и БДП – Централни ниво власти</w:t>
      </w:r>
    </w:p>
    <w:p w14:paraId="34A5C96D" w14:textId="77777777" w:rsidR="008B200E" w:rsidRPr="00092ED7" w:rsidRDefault="008B200E" w:rsidP="008B200E">
      <w:pPr>
        <w:jc w:val="left"/>
        <w:rPr>
          <w:rFonts w:eastAsia="MS PGothic" w:cs="Times New Roman"/>
          <w:bCs/>
          <w:szCs w:val="24"/>
          <w:lang w:val="sr-Cyrl-CS" w:eastAsia="ja-JP"/>
        </w:rPr>
      </w:pPr>
      <w:r w:rsidRPr="00092ED7">
        <w:rPr>
          <w:rFonts w:asciiTheme="minorHAnsi" w:hAnsiTheme="minorHAnsi"/>
          <w:noProof/>
          <w:sz w:val="22"/>
        </w:rPr>
        <w:drawing>
          <wp:inline distT="0" distB="0" distL="0" distR="0" wp14:anchorId="670E0536" wp14:editId="1FEADDCF">
            <wp:extent cx="5676900" cy="276225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2D308A" w14:textId="77777777" w:rsidR="008B200E" w:rsidRPr="00092ED7" w:rsidRDefault="008B200E" w:rsidP="008B200E">
      <w:pPr>
        <w:spacing w:before="60"/>
        <w:rPr>
          <w:rFonts w:eastAsia="Calibri" w:cs="Times New Roman"/>
          <w:bCs/>
          <w:sz w:val="18"/>
          <w:szCs w:val="18"/>
          <w:lang w:val="sr-Cyrl-CS"/>
        </w:rPr>
      </w:pPr>
      <w:r w:rsidRPr="00092ED7">
        <w:rPr>
          <w:rFonts w:eastAsia="Calibri" w:cs="Times New Roman"/>
          <w:bCs/>
          <w:sz w:val="18"/>
          <w:szCs w:val="18"/>
          <w:lang w:val="sr-Cyrl-CS"/>
        </w:rPr>
        <w:t>Извор: Министарство финансија</w:t>
      </w:r>
    </w:p>
    <w:p w14:paraId="7BAC0515" w14:textId="77777777" w:rsidR="008B200E" w:rsidRPr="00092ED7" w:rsidRDefault="008B200E" w:rsidP="008B200E">
      <w:pPr>
        <w:spacing w:after="60"/>
        <w:rPr>
          <w:rFonts w:cs="Times New Roman"/>
          <w:szCs w:val="24"/>
          <w:lang w:val="sr-Cyrl-CS"/>
        </w:rPr>
      </w:pPr>
      <w:r w:rsidRPr="00092ED7">
        <w:rPr>
          <w:rFonts w:cs="Times New Roman"/>
          <w:szCs w:val="24"/>
          <w:lang w:val="sr-Cyrl-CS"/>
        </w:rPr>
        <w:t>На графикону је представљено кретање рација јавног дуга централног нивоа државе и БДП-а у зависности од промене курса динара према одређеној корпи валута. Приказана је основна пројекција са алтернативним сценаријима у зависности од апрецијације, односно депрецијације курса динара у распону од 10% апрецијације до 10% депрецијације динара у односу на корпу валута. Применом наведених сценарија може се видети да би се рацио за 2025. годину кретао у распону од 49,0% до 56,9%, док би за основни сценарио био на нивоу од 53,0%.</w:t>
      </w:r>
    </w:p>
    <w:p w14:paraId="114BE680" w14:textId="77777777" w:rsidR="008B200E" w:rsidRPr="00092ED7" w:rsidRDefault="008B200E" w:rsidP="008B200E">
      <w:pPr>
        <w:spacing w:after="60"/>
        <w:rPr>
          <w:rFonts w:cs="Times New Roman"/>
          <w:szCs w:val="24"/>
          <w:lang w:val="sr-Cyrl-CS"/>
        </w:rPr>
      </w:pPr>
      <w:r w:rsidRPr="00092ED7">
        <w:rPr>
          <w:rFonts w:cs="Times New Roman"/>
          <w:szCs w:val="24"/>
          <w:lang w:val="sr-Cyrl-CS"/>
        </w:rPr>
        <w:t>У циљу смањивања изложености варијабилним каматним стопама, уговарање нових обавеза се врши по фиксним каматним стопама, тамо где је то могуће, а поготову у домену зајмова намењених за финансирање инвестиционих пројеката.</w:t>
      </w:r>
    </w:p>
    <w:p w14:paraId="27D67752" w14:textId="4681B13D" w:rsidR="008B200E" w:rsidRPr="00092ED7" w:rsidRDefault="008B200E" w:rsidP="00E255B1">
      <w:pPr>
        <w:spacing w:after="60"/>
        <w:rPr>
          <w:rFonts w:cs="Times New Roman"/>
          <w:szCs w:val="24"/>
          <w:lang w:val="sr-Cyrl-CS"/>
        </w:rPr>
      </w:pPr>
      <w:r w:rsidRPr="00092ED7">
        <w:rPr>
          <w:rFonts w:cs="Times New Roman"/>
          <w:szCs w:val="24"/>
          <w:lang w:val="sr-Cyrl-CS"/>
        </w:rPr>
        <w:t>У циљу оптимизације портфолија и ефикаснијег управљања јавним дугом, урађена је анализа трошкова и ризика алтернативних стратегија задуживања, применом модела Светске банке (Medium Term Debt Strategy Model – MTDS), у условима основног сценариjа, али и у условима шокова који могу довести до промене основног сценариjа: девизни курс, промена каматних стопа на међународном и домаћем тржишту, ко</w:t>
      </w:r>
      <w:r w:rsidR="00BF57C3" w:rsidRPr="00092ED7">
        <w:rPr>
          <w:rFonts w:cs="Times New Roman"/>
          <w:szCs w:val="24"/>
          <w:lang w:val="sr-Cyrl-CS"/>
        </w:rPr>
        <w:t>м</w:t>
      </w:r>
      <w:r w:rsidRPr="00092ED7">
        <w:rPr>
          <w:rFonts w:cs="Times New Roman"/>
          <w:szCs w:val="24"/>
          <w:lang w:val="sr-Cyrl-CS"/>
        </w:rPr>
        <w:t>биновани шок.</w:t>
      </w:r>
    </w:p>
    <w:p w14:paraId="69AC4ED1" w14:textId="77777777" w:rsidR="008B200E" w:rsidRPr="00092ED7" w:rsidRDefault="008B200E" w:rsidP="00055DC9">
      <w:pPr>
        <w:spacing w:after="60" w:line="235" w:lineRule="auto"/>
        <w:rPr>
          <w:rFonts w:cs="Times New Roman"/>
          <w:szCs w:val="24"/>
          <w:lang w:val="sr-Cyrl-CS"/>
        </w:rPr>
      </w:pPr>
      <w:r w:rsidRPr="00092ED7">
        <w:rPr>
          <w:rFonts w:cs="Times New Roman"/>
          <w:szCs w:val="24"/>
          <w:lang w:val="sr-Cyrl-CS"/>
        </w:rPr>
        <w:t>Стратегија управљања јавним дугом у наредном средњорочном периоду полази од претпоставке да ће финансирање бити обезбеђено задуживањем и на домаћем и на међународном финансијском тржишту. Флексибилност у домену избора тржишта на коме ће се вршити задуживање, валуте задуживања и инструмента финансирања један је од неопходних услова како би финансирање издатака буџета Републике Србије било обезбеђено. Одлука о годишњем задуживању се доноси у оквиру закона о буџету за одређену фискалну годину. У зависности од промене основних фискалних агрегата могућа је корекција плана задуживања током фискалне године.</w:t>
      </w:r>
    </w:p>
    <w:p w14:paraId="12589373" w14:textId="05BB1AFB" w:rsidR="008B200E" w:rsidRPr="00092ED7" w:rsidRDefault="008B200E" w:rsidP="00055DC9">
      <w:pPr>
        <w:spacing w:after="60" w:line="235" w:lineRule="auto"/>
        <w:rPr>
          <w:rFonts w:cs="Times New Roman"/>
          <w:szCs w:val="24"/>
          <w:lang w:val="sr-Cyrl-CS"/>
        </w:rPr>
      </w:pPr>
      <w:bookmarkStart w:id="40" w:name="_Toc530635112"/>
      <w:bookmarkEnd w:id="40"/>
      <w:r w:rsidRPr="00092ED7">
        <w:rPr>
          <w:rFonts w:cs="Times New Roman"/>
          <w:szCs w:val="24"/>
          <w:lang w:val="sr-Cyrl-CS"/>
        </w:rPr>
        <w:t xml:space="preserve">Током 2022. године активно се радило на усаглашавању законске регулативе и </w:t>
      </w:r>
      <w:r w:rsidR="00187A88" w:rsidRPr="00092ED7">
        <w:rPr>
          <w:rFonts w:cs="Times New Roman"/>
          <w:szCs w:val="24"/>
          <w:lang w:val="sr-Cyrl-CS"/>
        </w:rPr>
        <w:t xml:space="preserve">информационо-технолошке </w:t>
      </w:r>
      <w:r w:rsidRPr="00092ED7">
        <w:rPr>
          <w:rFonts w:cs="Times New Roman"/>
          <w:szCs w:val="24"/>
          <w:lang w:val="sr-Cyrl-CS"/>
        </w:rPr>
        <w:t>инфраструктуре за успостављање међународног линка (i-Link) између Централног регистра, депоа и клиринга хартија од вредности и Euroclear банке, како би се почетком 2023. године олакшале трансакције салдирања државних бенчмарк обвезница преко Euroclear провајдера пост трговинских трансакција. Основне предности приступања Euroclear систему су ширење базе инвеститора кроз лакшу доступност домаћих хартија од вредности страним инвеститорима, што даље смањује трошкове у редукованом ланцу учесника куповине хартија од вредности, а тиме и пад приноса на хартије и ниже трошкове задуживања емитента. Такође, повећава се ликвидност секундарног тржишта ширењем базе инвеститора.</w:t>
      </w:r>
    </w:p>
    <w:p w14:paraId="6B1D6F5A" w14:textId="77777777" w:rsidR="005F26DA" w:rsidRPr="00092ED7" w:rsidRDefault="00735870" w:rsidP="00055DC9">
      <w:pPr>
        <w:pStyle w:val="Heading2"/>
        <w:spacing w:before="120" w:after="120" w:line="235" w:lineRule="auto"/>
        <w:rPr>
          <w:rFonts w:ascii="Times New Roman" w:eastAsia="Calibri" w:hAnsi="Times New Roman" w:cs="Times New Roman"/>
          <w:b/>
          <w:color w:val="auto"/>
          <w:sz w:val="24"/>
          <w:szCs w:val="24"/>
          <w:lang w:val="sr-Cyrl-CS"/>
        </w:rPr>
      </w:pPr>
      <w:bookmarkStart w:id="41" w:name="_Toc124174799"/>
      <w:bookmarkStart w:id="42" w:name="_Toc126218618"/>
      <w:r w:rsidRPr="00092ED7">
        <w:rPr>
          <w:rFonts w:ascii="Times New Roman" w:eastAsia="Calibri" w:hAnsi="Times New Roman" w:cs="Times New Roman"/>
          <w:b/>
          <w:color w:val="auto"/>
          <w:sz w:val="24"/>
          <w:szCs w:val="24"/>
          <w:lang w:val="sr-Cyrl-CS"/>
        </w:rPr>
        <w:t>4.</w:t>
      </w:r>
      <w:r w:rsidR="005F26DA" w:rsidRPr="00092ED7">
        <w:rPr>
          <w:rFonts w:ascii="Times New Roman" w:eastAsia="Calibri" w:hAnsi="Times New Roman" w:cs="Times New Roman"/>
          <w:b/>
          <w:color w:val="auto"/>
          <w:sz w:val="24"/>
          <w:szCs w:val="24"/>
          <w:lang w:val="sr-Cyrl-CS"/>
        </w:rPr>
        <w:t>6. АНАЛИЗА ОСЕТЉИВОСТИ И ПОРЕЂЕЊЕ СА ПРЕТХОДНИМ ПРОГРАМОМ</w:t>
      </w:r>
      <w:bookmarkEnd w:id="41"/>
      <w:bookmarkEnd w:id="42"/>
    </w:p>
    <w:p w14:paraId="6345C1F6" w14:textId="77777777" w:rsidR="008B200E" w:rsidRPr="00092ED7" w:rsidRDefault="008B200E" w:rsidP="00055DC9">
      <w:pPr>
        <w:spacing w:after="60" w:line="235" w:lineRule="auto"/>
        <w:rPr>
          <w:rFonts w:eastAsia="MS PGothic" w:cstheme="minorHAnsi"/>
          <w:szCs w:val="20"/>
          <w:lang w:val="sr-Cyrl-CS" w:eastAsia="ja-JP"/>
        </w:rPr>
      </w:pPr>
      <w:r w:rsidRPr="00092ED7">
        <w:rPr>
          <w:rFonts w:eastAsia="MS PGothic" w:cstheme="minorHAnsi"/>
          <w:szCs w:val="20"/>
          <w:lang w:val="sr-Cyrl-CS" w:eastAsia="ja-JP"/>
        </w:rPr>
        <w:t>Фискални ризици представљају изложеност јавних финансија одређеним околностима које могу проузроковати одступања од пројектованог фискалног оквира. До одступања може доћи у приходима, расходима, фискалном резултату, као и у имовини и обавезама државе, у односу на оно што је планирано и очекивано. На спољашње ризике, попут природних катастрофа или глобалних финансијских криза, Влада не може да утиче, али могуће је дефинисати излазне стратегије које би ублажиле њихово дејство (очување стабилности у добрим временима како би у условима рецесије или кризе фискална политика имала простора за адекватан одговор, осигурање у случају природних катастрофа и сл.). Унутрашњи ризици, односно њихова материјализација последица су активности у јавном сектору, те се на вероватноћу њихове реализације може утицати одлукама и политикама Владе.</w:t>
      </w:r>
    </w:p>
    <w:p w14:paraId="062ED45C" w14:textId="69679BBA" w:rsidR="008B200E" w:rsidRPr="00092ED7" w:rsidRDefault="008B200E" w:rsidP="00055DC9">
      <w:pPr>
        <w:spacing w:after="60" w:line="235" w:lineRule="auto"/>
        <w:rPr>
          <w:rFonts w:eastAsia="MS PGothic" w:cstheme="minorHAnsi"/>
          <w:szCs w:val="20"/>
          <w:lang w:val="sr-Cyrl-CS" w:eastAsia="ja-JP"/>
        </w:rPr>
      </w:pPr>
      <w:r w:rsidRPr="00092ED7">
        <w:rPr>
          <w:rFonts w:eastAsia="MS PGothic" w:cstheme="minorHAnsi"/>
          <w:szCs w:val="20"/>
          <w:lang w:val="sr-Cyrl-CS" w:eastAsia="ja-JP"/>
        </w:rPr>
        <w:t>Идентификација највећих фискалних ризика који могу утицати на државне финансије у средњем року полазна је тачка у бољем управљању фискалним ризицима. О одређеним фискалним ризицима постоје детаљни подаци и лако се може идентификовати да ли ће и са коликом вероватноћом утицати на фискалне агрегате у средњем року. За друге, не постоје довољно детаљни подаци, али и само њихово идентификовање подиже свест о могућности да у наредном периоду доведу до одступања од планираног фискалног оквира.</w:t>
      </w:r>
    </w:p>
    <w:p w14:paraId="4D9586AB" w14:textId="77777777" w:rsidR="008B200E" w:rsidRPr="00092ED7" w:rsidRDefault="008B200E" w:rsidP="00055DC9">
      <w:pPr>
        <w:spacing w:after="60" w:line="235" w:lineRule="auto"/>
        <w:rPr>
          <w:rFonts w:eastAsia="MS PGothic" w:cstheme="minorHAnsi"/>
          <w:szCs w:val="20"/>
          <w:lang w:val="sr-Cyrl-CS" w:eastAsia="ja-JP"/>
        </w:rPr>
      </w:pPr>
      <w:r w:rsidRPr="00092ED7">
        <w:rPr>
          <w:rFonts w:eastAsia="MS PGothic" w:cstheme="minorHAnsi"/>
          <w:szCs w:val="20"/>
          <w:lang w:val="sr-Cyrl-CS" w:eastAsia="ja-JP"/>
        </w:rPr>
        <w:t>Министарство финансија има водећу улогу у управљању фискалним ризицима. Као кључна институција за средњорочно макроекономско и фискално планирање, формулацију и управљање буџетом, Министарство финансија мора имати и водећу улогу у успостављању институционалне и законске структуре, те изградњи капацитета неопходних за управљање фискалним ризицима. Сектор за праћење фискалних ризика, организациона јединица за управљање фискалним ризицима у Министарству финансија, основан је са циљем да ради на јачању законске регулативе и методолошког оквира, изградњи капацитета, те развијању техничких алата и модела неопходних за праћење и процену фискалних ризика. Намера је да резултат ових активности буде идентификација и процена ризика и предлагање излазних стратегија, као помоћ Влади у очувању стабилности јавних финансија, што је кључни циљ фискалне политике и један од основних предуслова за динамичнији привредни раст.</w:t>
      </w:r>
    </w:p>
    <w:p w14:paraId="7C5C1F44" w14:textId="786F9D1B" w:rsidR="008B200E" w:rsidRPr="00092ED7" w:rsidRDefault="008B200E" w:rsidP="008B200E">
      <w:pPr>
        <w:spacing w:after="60"/>
        <w:rPr>
          <w:rFonts w:eastAsia="MS PGothic" w:cstheme="minorHAnsi"/>
          <w:szCs w:val="20"/>
          <w:lang w:val="sr-Cyrl-CS" w:eastAsia="ja-JP"/>
        </w:rPr>
      </w:pPr>
      <w:r w:rsidRPr="00092ED7">
        <w:rPr>
          <w:rFonts w:eastAsia="MS PGothic" w:cstheme="minorHAnsi"/>
          <w:szCs w:val="20"/>
          <w:lang w:val="sr-Cyrl-CS" w:eastAsia="ja-JP"/>
        </w:rPr>
        <w:t xml:space="preserve">У циљу спровођења наведеног процеса праћења фискалних ризика, у октобру 2021. године, усвојен је </w:t>
      </w:r>
      <w:r w:rsidR="00F00550" w:rsidRPr="00092ED7">
        <w:rPr>
          <w:rFonts w:eastAsia="MS PGothic" w:cstheme="minorHAnsi"/>
          <w:szCs w:val="20"/>
          <w:lang w:val="sr-Cyrl-CS" w:eastAsia="ja-JP"/>
        </w:rPr>
        <w:t>Закључак о усвајању Јединствене методологије за праћење фискалних ризика у Републици Србији</w:t>
      </w:r>
      <w:r w:rsidRPr="00092ED7">
        <w:rPr>
          <w:rFonts w:eastAsia="MS PGothic" w:cstheme="minorHAnsi"/>
          <w:szCs w:val="20"/>
          <w:lang w:val="sr-Cyrl-CS" w:eastAsia="ja-JP"/>
        </w:rPr>
        <w:t xml:space="preserve">, која је припремљена уз помоћ Светске банке </w:t>
      </w:r>
      <w:r w:rsidR="00F00550" w:rsidRPr="00092ED7">
        <w:rPr>
          <w:rFonts w:eastAsia="MS PGothic" w:cstheme="minorHAnsi"/>
          <w:szCs w:val="20"/>
          <w:lang w:val="sr-Cyrl-CS" w:eastAsia="ja-JP"/>
        </w:rPr>
        <w:t xml:space="preserve">и </w:t>
      </w:r>
      <w:r w:rsidRPr="00092ED7">
        <w:rPr>
          <w:rFonts w:eastAsia="MS PGothic" w:cstheme="minorHAnsi"/>
          <w:szCs w:val="20"/>
          <w:lang w:val="sr-Cyrl-CS" w:eastAsia="ja-JP"/>
        </w:rPr>
        <w:t>обухвата четири основне методологије</w:t>
      </w:r>
      <w:r w:rsidR="00F00550" w:rsidRPr="00092ED7">
        <w:rPr>
          <w:rFonts w:eastAsia="MS PGothic" w:cstheme="minorHAnsi"/>
          <w:szCs w:val="20"/>
          <w:lang w:val="sr-Cyrl-CS" w:eastAsia="ja-JP"/>
        </w:rPr>
        <w:t>,</w:t>
      </w:r>
      <w:r w:rsidRPr="00092ED7">
        <w:rPr>
          <w:rFonts w:eastAsia="MS PGothic" w:cstheme="minorHAnsi"/>
          <w:szCs w:val="20"/>
          <w:lang w:val="sr-Cyrl-CS" w:eastAsia="ja-JP"/>
        </w:rPr>
        <w:t xml:space="preserve"> и то:</w:t>
      </w:r>
    </w:p>
    <w:p w14:paraId="7528690A" w14:textId="77777777" w:rsidR="008B200E" w:rsidRPr="00092ED7" w:rsidRDefault="008B200E" w:rsidP="00055DC9">
      <w:pPr>
        <w:pStyle w:val="ListParagraph"/>
        <w:numPr>
          <w:ilvl w:val="0"/>
          <w:numId w:val="15"/>
        </w:numPr>
        <w:spacing w:after="0" w:line="240" w:lineRule="auto"/>
        <w:ind w:left="357" w:hanging="357"/>
        <w:rPr>
          <w:rFonts w:cstheme="minorHAnsi"/>
          <w:sz w:val="24"/>
          <w:szCs w:val="24"/>
          <w:lang w:val="sr-Cyrl-CS"/>
        </w:rPr>
      </w:pPr>
      <w:r w:rsidRPr="00092ED7">
        <w:rPr>
          <w:rFonts w:cstheme="minorHAnsi"/>
          <w:sz w:val="24"/>
          <w:szCs w:val="24"/>
          <w:lang w:val="sr-Cyrl-CS"/>
        </w:rPr>
        <w:t>Методологију за праћење фискалних ризика који произлазе из пословања јавних предузећа;</w:t>
      </w:r>
    </w:p>
    <w:p w14:paraId="2A528FDB" w14:textId="6CEB130F" w:rsidR="008B200E" w:rsidRPr="00092ED7" w:rsidRDefault="008B200E" w:rsidP="00055DC9">
      <w:pPr>
        <w:pStyle w:val="ListParagraph"/>
        <w:numPr>
          <w:ilvl w:val="0"/>
          <w:numId w:val="15"/>
        </w:numPr>
        <w:spacing w:after="0" w:line="240" w:lineRule="auto"/>
        <w:ind w:left="357" w:hanging="357"/>
        <w:rPr>
          <w:rFonts w:cstheme="minorHAnsi"/>
          <w:sz w:val="24"/>
          <w:szCs w:val="24"/>
          <w:lang w:val="sr-Cyrl-CS"/>
        </w:rPr>
      </w:pPr>
      <w:r w:rsidRPr="00092ED7">
        <w:rPr>
          <w:rFonts w:cstheme="minorHAnsi"/>
          <w:sz w:val="24"/>
          <w:szCs w:val="24"/>
          <w:lang w:val="sr-Cyrl-CS"/>
        </w:rPr>
        <w:t xml:space="preserve">Методологију за праћење фискалних ризика по буџет Републике Србије који произлазе из вршења надлежности </w:t>
      </w:r>
      <w:r w:rsidR="00EB5D17" w:rsidRPr="00092ED7">
        <w:rPr>
          <w:rFonts w:cstheme="minorHAnsi"/>
          <w:sz w:val="24"/>
          <w:szCs w:val="24"/>
          <w:lang w:val="sr-Cyrl-CS"/>
        </w:rPr>
        <w:t>ЈЛС</w:t>
      </w:r>
      <w:r w:rsidRPr="00092ED7">
        <w:rPr>
          <w:rFonts w:cstheme="minorHAnsi"/>
          <w:sz w:val="24"/>
          <w:szCs w:val="24"/>
          <w:lang w:val="sr-Cyrl-CS"/>
        </w:rPr>
        <w:t>;</w:t>
      </w:r>
    </w:p>
    <w:p w14:paraId="3C659BB3" w14:textId="77777777" w:rsidR="008B200E" w:rsidRPr="00092ED7" w:rsidRDefault="008B200E" w:rsidP="00055DC9">
      <w:pPr>
        <w:pStyle w:val="ListParagraph"/>
        <w:numPr>
          <w:ilvl w:val="0"/>
          <w:numId w:val="15"/>
        </w:numPr>
        <w:spacing w:after="0" w:line="240" w:lineRule="auto"/>
        <w:ind w:left="357" w:hanging="357"/>
        <w:rPr>
          <w:rFonts w:cstheme="minorHAnsi"/>
          <w:sz w:val="24"/>
          <w:szCs w:val="24"/>
          <w:lang w:val="sr-Cyrl-CS"/>
        </w:rPr>
      </w:pPr>
      <w:r w:rsidRPr="00092ED7">
        <w:rPr>
          <w:rFonts w:cstheme="minorHAnsi"/>
          <w:sz w:val="24"/>
          <w:szCs w:val="24"/>
          <w:lang w:val="sr-Cyrl-CS"/>
        </w:rPr>
        <w:t>Методологију за праћење фискалних ризика по основу судских поступака;</w:t>
      </w:r>
    </w:p>
    <w:p w14:paraId="21130562" w14:textId="77777777" w:rsidR="008B200E" w:rsidRPr="00092ED7" w:rsidRDefault="008B200E" w:rsidP="00055DC9">
      <w:pPr>
        <w:pStyle w:val="ListParagraph"/>
        <w:numPr>
          <w:ilvl w:val="0"/>
          <w:numId w:val="15"/>
        </w:numPr>
        <w:spacing w:after="0" w:line="240" w:lineRule="auto"/>
        <w:ind w:left="357" w:hanging="357"/>
        <w:rPr>
          <w:rFonts w:cstheme="minorHAnsi"/>
          <w:sz w:val="24"/>
          <w:szCs w:val="24"/>
          <w:lang w:val="sr-Cyrl-CS"/>
        </w:rPr>
      </w:pPr>
      <w:r w:rsidRPr="00092ED7">
        <w:rPr>
          <w:rFonts w:cstheme="minorHAnsi"/>
          <w:sz w:val="24"/>
          <w:szCs w:val="24"/>
          <w:lang w:val="sr-Cyrl-CS"/>
        </w:rPr>
        <w:t>Методологију за праћење фискалних ризика који се јављају као последица елементарних непогода.</w:t>
      </w:r>
    </w:p>
    <w:p w14:paraId="71C254E5" w14:textId="681A2314" w:rsidR="008B200E" w:rsidRPr="00092ED7" w:rsidRDefault="008B200E" w:rsidP="008B200E">
      <w:pPr>
        <w:spacing w:after="60"/>
        <w:rPr>
          <w:lang w:val="sr-Cyrl-CS" w:eastAsia="ja-JP"/>
        </w:rPr>
      </w:pPr>
      <w:r w:rsidRPr="00092ED7">
        <w:rPr>
          <w:lang w:val="sr-Cyrl-CS" w:eastAsia="ja-JP"/>
        </w:rPr>
        <w:t>Наведена методологија, усвојена у октобру 2021</w:t>
      </w:r>
      <w:r w:rsidR="00561CB8" w:rsidRPr="00092ED7">
        <w:rPr>
          <w:lang w:val="sr-Cyrl-CS" w:eastAsia="ja-JP"/>
        </w:rPr>
        <w:t>. године</w:t>
      </w:r>
      <w:r w:rsidRPr="00092ED7">
        <w:rPr>
          <w:lang w:val="sr-Cyrl-CS" w:eastAsia="ja-JP"/>
        </w:rPr>
        <w:t>, рађена је на основу нацрта методологије који је припремљен од стране Светске банке.</w:t>
      </w:r>
    </w:p>
    <w:p w14:paraId="473FBC4B" w14:textId="11472934" w:rsidR="008B200E" w:rsidRPr="00092ED7" w:rsidRDefault="008B200E" w:rsidP="008B200E">
      <w:pPr>
        <w:spacing w:after="60"/>
        <w:rPr>
          <w:lang w:val="sr-Cyrl-CS" w:eastAsia="ja-JP"/>
        </w:rPr>
      </w:pPr>
      <w:r w:rsidRPr="00092ED7">
        <w:rPr>
          <w:lang w:val="sr-Cyrl-CS" w:eastAsia="ja-JP"/>
        </w:rPr>
        <w:t>У циљу смањења фискалних ризика и одржавању расхода у планираним (пројектованим) оквирима у наредном средњорочном периоду, предузете с</w:t>
      </w:r>
      <w:r w:rsidR="00F00550" w:rsidRPr="00092ED7">
        <w:rPr>
          <w:lang w:val="sr-Cyrl-CS" w:eastAsia="ja-JP"/>
        </w:rPr>
        <w:t>у</w:t>
      </w:r>
      <w:r w:rsidRPr="00092ED7">
        <w:rPr>
          <w:lang w:val="sr-Cyrl-CS" w:eastAsia="ja-JP"/>
        </w:rPr>
        <w:t xml:space="preserve"> следеће активности:</w:t>
      </w:r>
    </w:p>
    <w:p w14:paraId="732760AF" w14:textId="77777777" w:rsidR="008B200E" w:rsidRPr="00092ED7" w:rsidRDefault="008B200E" w:rsidP="0053376A">
      <w:pPr>
        <w:pStyle w:val="ListParagraph"/>
        <w:numPr>
          <w:ilvl w:val="0"/>
          <w:numId w:val="10"/>
        </w:numPr>
        <w:spacing w:after="60" w:line="240" w:lineRule="auto"/>
        <w:ind w:left="714" w:hanging="357"/>
        <w:rPr>
          <w:rFonts w:cs="Times New Roman"/>
          <w:sz w:val="24"/>
          <w:szCs w:val="24"/>
          <w:lang w:val="sr-Cyrl-CS"/>
        </w:rPr>
      </w:pPr>
      <w:r w:rsidRPr="00092ED7">
        <w:rPr>
          <w:rFonts w:cs="Times New Roman"/>
          <w:sz w:val="24"/>
          <w:szCs w:val="24"/>
          <w:lang w:val="sr-Cyrl-CS"/>
        </w:rPr>
        <w:t>Ограничавање издавања нових гаранција: Изменама Закона о јавном дугу забрањено је издавање нових гаранција за кредите за потребе ликвидности. Изменама Закона о Фонду за развој Републике Србије онемогућено је даље давање контрагаранција за гаранције издате од стране Фонда за развој Републике Србије.</w:t>
      </w:r>
    </w:p>
    <w:p w14:paraId="48B518CD" w14:textId="77777777" w:rsidR="008B200E" w:rsidRPr="00092ED7" w:rsidRDefault="008B200E" w:rsidP="0053376A">
      <w:pPr>
        <w:pStyle w:val="ListParagraph"/>
        <w:numPr>
          <w:ilvl w:val="0"/>
          <w:numId w:val="10"/>
        </w:numPr>
        <w:spacing w:after="60" w:line="240" w:lineRule="auto"/>
        <w:ind w:left="714" w:hanging="357"/>
        <w:rPr>
          <w:rFonts w:cs="Times New Roman"/>
          <w:sz w:val="24"/>
          <w:szCs w:val="24"/>
          <w:lang w:val="sr-Cyrl-CS"/>
        </w:rPr>
      </w:pPr>
      <w:r w:rsidRPr="00092ED7">
        <w:rPr>
          <w:rFonts w:cs="Times New Roman"/>
          <w:sz w:val="24"/>
          <w:szCs w:val="24"/>
          <w:lang w:val="sr-Cyrl-CS"/>
        </w:rPr>
        <w:t>Структурне реформе јавних и државних предузећа: Већи број предузећа, која су и највећи корисници гаранција и субвенција, а да би била оспособљена за тржишну утакмицу и финансијску одрживост, те способна да отплаћују кредите, налазе се у процесу реструктурирања, односно спровођења планова реструктурирања.</w:t>
      </w:r>
    </w:p>
    <w:p w14:paraId="66855ACB" w14:textId="77777777" w:rsidR="008B200E" w:rsidRPr="00092ED7" w:rsidRDefault="008B200E" w:rsidP="0053376A">
      <w:pPr>
        <w:pStyle w:val="ListParagraph"/>
        <w:numPr>
          <w:ilvl w:val="0"/>
          <w:numId w:val="10"/>
        </w:numPr>
        <w:spacing w:after="60" w:line="240" w:lineRule="auto"/>
        <w:ind w:left="714" w:hanging="357"/>
        <w:rPr>
          <w:rFonts w:cs="Times New Roman"/>
          <w:sz w:val="24"/>
          <w:szCs w:val="24"/>
          <w:lang w:val="sr-Cyrl-CS"/>
        </w:rPr>
      </w:pPr>
      <w:r w:rsidRPr="00092ED7">
        <w:rPr>
          <w:rFonts w:cs="Times New Roman"/>
          <w:sz w:val="24"/>
          <w:szCs w:val="24"/>
          <w:lang w:val="sr-Cyrl-CS"/>
        </w:rPr>
        <w:t>Наставак реформи у области државних финансијских институција, банкарских институција и осигурања депозита започетих 2012. године, односно 2015. године.</w:t>
      </w:r>
    </w:p>
    <w:p w14:paraId="24F91449" w14:textId="77777777" w:rsidR="008B200E" w:rsidRPr="00092ED7" w:rsidRDefault="008B200E" w:rsidP="0053376A">
      <w:pPr>
        <w:pStyle w:val="ListParagraph"/>
        <w:numPr>
          <w:ilvl w:val="0"/>
          <w:numId w:val="10"/>
        </w:numPr>
        <w:spacing w:after="60" w:line="240" w:lineRule="auto"/>
        <w:ind w:left="714" w:hanging="357"/>
        <w:rPr>
          <w:rFonts w:cs="Times New Roman"/>
          <w:sz w:val="24"/>
          <w:szCs w:val="24"/>
          <w:lang w:val="sr-Cyrl-CS"/>
        </w:rPr>
      </w:pPr>
      <w:r w:rsidRPr="00092ED7">
        <w:rPr>
          <w:rFonts w:cs="Times New Roman"/>
          <w:sz w:val="24"/>
          <w:szCs w:val="24"/>
          <w:lang w:val="sr-Cyrl-CS"/>
        </w:rPr>
        <w:t>Праћење ризика по основу судских поступака и ризика који се јављају као последица елементарних непогода.</w:t>
      </w:r>
    </w:p>
    <w:p w14:paraId="028BF5A3" w14:textId="2D312126" w:rsidR="008B200E" w:rsidRPr="00092ED7" w:rsidRDefault="008B200E" w:rsidP="00613B5B">
      <w:pPr>
        <w:spacing w:after="60"/>
        <w:rPr>
          <w:lang w:val="sr-Cyrl-CS"/>
        </w:rPr>
      </w:pPr>
      <w:r w:rsidRPr="00092ED7">
        <w:rPr>
          <w:rFonts w:eastAsia="MS PGothic" w:cstheme="minorHAnsi"/>
          <w:szCs w:val="20"/>
          <w:lang w:val="sr-Cyrl-CS" w:eastAsia="ja-JP"/>
        </w:rPr>
        <w:t xml:space="preserve">Гаранције издате од стране државе утичу на висину јавног дуга, али и на висину дефицита, уколико отплату по кредиту уместо првобитног дужника преузме држава. Издате гаранције су према дефиницији одређеној Законом о јавном </w:t>
      </w:r>
      <w:r w:rsidRPr="00092ED7">
        <w:rPr>
          <w:rFonts w:eastAsia="MS PGothic" w:cstheme="minorHAnsi"/>
          <w:szCs w:val="24"/>
          <w:lang w:val="sr-Cyrl-CS" w:eastAsia="ja-JP"/>
        </w:rPr>
        <w:t>дугу</w:t>
      </w:r>
      <w:r w:rsidR="008434D8" w:rsidRPr="00092ED7">
        <w:rPr>
          <w:rFonts w:cs="Times New Roman"/>
          <w:szCs w:val="24"/>
          <w:lang w:val="sr-Cyrl-CS"/>
        </w:rPr>
        <w:t>,</w:t>
      </w:r>
      <w:r w:rsidR="00136E4B" w:rsidRPr="00092ED7">
        <w:rPr>
          <w:rFonts w:eastAsia="MS PGothic" w:cstheme="minorHAnsi"/>
          <w:szCs w:val="20"/>
          <w:lang w:val="sr-Cyrl-CS" w:eastAsia="ja-JP"/>
        </w:rPr>
        <w:t xml:space="preserve"> </w:t>
      </w:r>
      <w:r w:rsidRPr="00092ED7">
        <w:rPr>
          <w:rFonts w:eastAsia="MS PGothic" w:cstheme="minorHAnsi"/>
          <w:szCs w:val="20"/>
          <w:lang w:val="sr-Cyrl-CS" w:eastAsia="ja-JP"/>
        </w:rPr>
        <w:t>део индиректних обавеза и у укупном износу се укључују у јавни дуг</w:t>
      </w:r>
      <w:r w:rsidRPr="00092ED7">
        <w:rPr>
          <w:rFonts w:eastAsia="MS PGothic" w:cstheme="minorHAnsi"/>
          <w:szCs w:val="20"/>
          <w:vertAlign w:val="superscript"/>
          <w:lang w:val="sr-Cyrl-CS" w:eastAsia="ja-JP"/>
        </w:rPr>
        <w:footnoteReference w:id="10"/>
      </w:r>
      <w:r w:rsidRPr="00092ED7">
        <w:rPr>
          <w:rFonts w:eastAsia="MS PGothic" w:cstheme="minorHAnsi"/>
          <w:szCs w:val="20"/>
          <w:lang w:val="sr-Cyrl-CS" w:eastAsia="ja-JP"/>
        </w:rPr>
        <w:t>. Ограничења постављена на издавање нових гаранција дала су резултате те се учешће индиректних обавеза у укупном јавном дугу смањује. Индиректне обавезе (издате гаранције од стране Републике Србије) су учествовале са 4,5% у укупном јавном дугу, према националној методологији, на крају 2021. године. Учешће ових обавеза у јавном дугу је на приближно истом нивоу и у текућој години, те на крају септембра 2022. године оне чине 4,9% укупног јавног дуга. Највеће учешће ових обавеза у јавном дугу, нешто изнад 14% у просеку забележено је између 2009. и 2013. године.</w:t>
      </w:r>
    </w:p>
    <w:p w14:paraId="4E5B1BC5" w14:textId="77777777" w:rsidR="008B200E" w:rsidRPr="00092ED7" w:rsidRDefault="008B200E" w:rsidP="00613B5B">
      <w:pPr>
        <w:spacing w:after="60"/>
        <w:rPr>
          <w:rFonts w:eastAsia="MS PGothic" w:cstheme="minorHAnsi"/>
          <w:spacing w:val="-2"/>
          <w:szCs w:val="20"/>
          <w:lang w:val="sr-Cyrl-CS" w:eastAsia="ja-JP"/>
        </w:rPr>
      </w:pPr>
      <w:r w:rsidRPr="00092ED7">
        <w:rPr>
          <w:rFonts w:eastAsia="MS PGothic" w:cstheme="minorHAnsi"/>
          <w:spacing w:val="-2"/>
          <w:szCs w:val="20"/>
          <w:lang w:val="sr-Cyrl-CS" w:eastAsia="ja-JP"/>
        </w:rPr>
        <w:t>На крају 2021. године стање дуга по основу издатих гаранција износило је 1,4 млрд евра, односно 2,6% БДП. Стање дуга по овом основу смањено је за близу 41 милион евра у односу на крај 2020. године. До септембра текуће године стање дуга по гаранцијама повећано је за 224,8 милиона евра, у односу на крај 2021. године и износи 1,6 млрд евра на дан 30. септембар 2022. године.</w:t>
      </w:r>
    </w:p>
    <w:p w14:paraId="18453F32" w14:textId="77777777" w:rsidR="008B200E" w:rsidRPr="00092ED7" w:rsidRDefault="008B200E" w:rsidP="00055DC9">
      <w:pPr>
        <w:spacing w:before="120" w:after="0"/>
        <w:rPr>
          <w:rFonts w:eastAsia="Calibri" w:cs="Times New Roman"/>
          <w:szCs w:val="24"/>
          <w:lang w:val="sr-Cyrl-CS" w:eastAsia="ja-JP"/>
        </w:rPr>
      </w:pPr>
      <w:r w:rsidRPr="00092ED7">
        <w:rPr>
          <w:rFonts w:eastAsia="Calibri" w:cs="Times New Roman"/>
          <w:szCs w:val="24"/>
          <w:lang w:val="sr-Cyrl-CS" w:eastAsia="ja-JP"/>
        </w:rPr>
        <w:t>Графикон 14. Учешће индиректног дуга у укупном јавном дугу Републике Србије</w:t>
      </w:r>
    </w:p>
    <w:p w14:paraId="3396177D" w14:textId="77777777" w:rsidR="008B200E" w:rsidRPr="00092ED7" w:rsidRDefault="008B200E" w:rsidP="00A5229A">
      <w:pPr>
        <w:rPr>
          <w:rFonts w:eastAsia="Calibri" w:cs="Times New Roman"/>
          <w:szCs w:val="24"/>
          <w:highlight w:val="yellow"/>
          <w:lang w:val="sr-Cyrl-CS" w:eastAsia="ja-JP"/>
        </w:rPr>
      </w:pPr>
      <w:r w:rsidRPr="00092ED7">
        <w:rPr>
          <w:rFonts w:eastAsia="MS PGothic" w:cstheme="minorHAnsi"/>
          <w:noProof/>
          <w:szCs w:val="20"/>
        </w:rPr>
        <w:drawing>
          <wp:inline distT="0" distB="0" distL="0" distR="0" wp14:anchorId="104C04FA" wp14:editId="47493B31">
            <wp:extent cx="5476875" cy="205883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92510" cy="2064707"/>
                    </a:xfrm>
                    <a:prstGeom prst="rect">
                      <a:avLst/>
                    </a:prstGeom>
                    <a:noFill/>
                  </pic:spPr>
                </pic:pic>
              </a:graphicData>
            </a:graphic>
          </wp:inline>
        </w:drawing>
      </w:r>
    </w:p>
    <w:p w14:paraId="200FE456" w14:textId="77777777" w:rsidR="008B200E" w:rsidRPr="00092ED7" w:rsidRDefault="008B200E" w:rsidP="00A5229A">
      <w:pPr>
        <w:spacing w:after="60"/>
        <w:rPr>
          <w:rFonts w:eastAsia="MS PGothic" w:cstheme="minorHAnsi"/>
          <w:spacing w:val="-2"/>
          <w:szCs w:val="20"/>
          <w:lang w:val="sr-Cyrl-CS" w:eastAsia="ja-JP"/>
        </w:rPr>
      </w:pPr>
      <w:r w:rsidRPr="00092ED7">
        <w:rPr>
          <w:rFonts w:eastAsia="MS PGothic" w:cstheme="minorHAnsi"/>
          <w:spacing w:val="-2"/>
          <w:szCs w:val="20"/>
          <w:lang w:val="sr-Cyrl-CS" w:eastAsia="ja-JP"/>
        </w:rPr>
        <w:t>Укупна отплата главнице по основу гарантованих кредита у 2021. години износила је 11,3 млрд динара, од чега 7,7 млрд динара утиче на дефицит. Рачуноводствена методологија, до 2014. године, није у расходе укључивала отплате по основу гаранција</w:t>
      </w:r>
      <w:r w:rsidRPr="00092ED7">
        <w:rPr>
          <w:rFonts w:eastAsia="MS PGothic" w:cstheme="minorHAnsi"/>
          <w:spacing w:val="-2"/>
          <w:szCs w:val="20"/>
          <w:vertAlign w:val="superscript"/>
          <w:lang w:val="sr-Cyrl-CS" w:eastAsia="ja-JP"/>
        </w:rPr>
        <w:footnoteReference w:id="11"/>
      </w:r>
      <w:r w:rsidRPr="00092ED7">
        <w:rPr>
          <w:rFonts w:eastAsia="MS PGothic" w:cstheme="minorHAnsi"/>
          <w:spacing w:val="-2"/>
          <w:szCs w:val="20"/>
          <w:lang w:val="sr-Cyrl-CS" w:eastAsia="ja-JP"/>
        </w:rPr>
        <w:t>. Од 2014. године део ових расхода је укључен у расходе буџета</w:t>
      </w:r>
      <w:r w:rsidRPr="00092ED7">
        <w:rPr>
          <w:rFonts w:eastAsia="MS PGothic" w:cstheme="minorHAnsi"/>
          <w:spacing w:val="-2"/>
          <w:szCs w:val="20"/>
          <w:vertAlign w:val="superscript"/>
          <w:lang w:val="sr-Cyrl-CS" w:eastAsia="ja-JP"/>
        </w:rPr>
        <w:footnoteReference w:id="12"/>
      </w:r>
      <w:r w:rsidRPr="00092ED7">
        <w:rPr>
          <w:rFonts w:eastAsia="MS PGothic" w:cstheme="minorHAnsi"/>
          <w:spacing w:val="-2"/>
          <w:szCs w:val="20"/>
          <w:lang w:val="sr-Cyrl-CS" w:eastAsia="ja-JP"/>
        </w:rPr>
        <w:t>. Независно од буџетског и рачуноводственог приказа, дуг који уместо главног дужника плаћа држава повећава укупне потребе за задуживањем.</w:t>
      </w:r>
    </w:p>
    <w:p w14:paraId="1CB78D7D" w14:textId="77777777" w:rsidR="008B200E" w:rsidRPr="00092ED7" w:rsidRDefault="008B200E" w:rsidP="00055DC9">
      <w:pPr>
        <w:spacing w:before="120" w:after="0"/>
        <w:rPr>
          <w:rFonts w:eastAsia="Calibri" w:cs="Times New Roman"/>
          <w:szCs w:val="24"/>
          <w:lang w:val="sr-Cyrl-CS" w:eastAsia="ja-JP"/>
        </w:rPr>
      </w:pPr>
      <w:r w:rsidRPr="00092ED7">
        <w:rPr>
          <w:rFonts w:eastAsia="Calibri" w:cs="Times New Roman"/>
          <w:szCs w:val="24"/>
          <w:lang w:val="sr-Cyrl-CS" w:eastAsia="ja-JP"/>
        </w:rPr>
        <w:t>Графикон 15. Отплата дуга по основу активираних гаранција, у млрд динара</w:t>
      </w:r>
    </w:p>
    <w:p w14:paraId="48BBAA82" w14:textId="77777777" w:rsidR="008B200E" w:rsidRPr="00092ED7" w:rsidRDefault="008B200E" w:rsidP="00613B5B">
      <w:pPr>
        <w:spacing w:after="0"/>
        <w:rPr>
          <w:rFonts w:eastAsia="Calibri" w:cs="Times New Roman"/>
          <w:szCs w:val="24"/>
          <w:highlight w:val="yellow"/>
          <w:lang w:val="sr-Cyrl-CS" w:eastAsia="ja-JP"/>
        </w:rPr>
      </w:pPr>
      <w:r w:rsidRPr="00092ED7">
        <w:rPr>
          <w:rFonts w:eastAsia="MS PGothic" w:cstheme="minorHAnsi"/>
          <w:b/>
          <w:noProof/>
          <w:color w:val="002060"/>
          <w:szCs w:val="20"/>
        </w:rPr>
        <w:drawing>
          <wp:inline distT="0" distB="0" distL="0" distR="0" wp14:anchorId="53EBC9E5" wp14:editId="78AFF4C1">
            <wp:extent cx="5448095" cy="2638425"/>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8199" cy="2653004"/>
                    </a:xfrm>
                    <a:prstGeom prst="rect">
                      <a:avLst/>
                    </a:prstGeom>
                    <a:noFill/>
                  </pic:spPr>
                </pic:pic>
              </a:graphicData>
            </a:graphic>
          </wp:inline>
        </w:drawing>
      </w:r>
    </w:p>
    <w:p w14:paraId="62891C9C" w14:textId="77777777" w:rsidR="008B200E" w:rsidRPr="00092ED7" w:rsidRDefault="008B200E" w:rsidP="00613B5B">
      <w:pPr>
        <w:spacing w:before="120" w:after="60"/>
        <w:rPr>
          <w:rFonts w:eastAsia="MS PGothic" w:cstheme="minorHAnsi"/>
          <w:szCs w:val="20"/>
          <w:lang w:val="sr-Cyrl-CS" w:eastAsia="ja-JP"/>
        </w:rPr>
      </w:pPr>
      <w:r w:rsidRPr="00092ED7">
        <w:rPr>
          <w:rFonts w:eastAsia="MS PGothic" w:cstheme="minorHAnsi"/>
          <w:szCs w:val="20"/>
          <w:lang w:val="sr-Cyrl-CS" w:eastAsia="ja-JP"/>
        </w:rPr>
        <w:t>План отплате по основу гаранција (укупно главница и камата) у ребалансу буџета Републике Србије за 2022. годину износи 24 млрд динара, од чега се у расходе који утичу на резултат укључује 18,2 млрд динара за отплату главнице по гаранцијама.</w:t>
      </w:r>
    </w:p>
    <w:p w14:paraId="411B6F47" w14:textId="660BA327" w:rsidR="008B200E" w:rsidRPr="00092ED7" w:rsidRDefault="008B200E" w:rsidP="00613B5B">
      <w:pPr>
        <w:spacing w:after="60"/>
        <w:rPr>
          <w:rFonts w:eastAsia="MS PGothic" w:cstheme="minorHAnsi"/>
          <w:szCs w:val="20"/>
          <w:lang w:val="sr-Cyrl-CS" w:eastAsia="ja-JP"/>
        </w:rPr>
      </w:pPr>
      <w:r w:rsidRPr="00092ED7">
        <w:rPr>
          <w:rFonts w:eastAsia="MS PGothic" w:cstheme="minorHAnsi"/>
          <w:szCs w:val="20"/>
          <w:lang w:val="sr-Cyrl-CS" w:eastAsia="ja-JP"/>
        </w:rPr>
        <w:t xml:space="preserve">Индиректни дуг, те укључивање дела отплата по основу гаранција у буџетске расходе, и повећање дефицита по том основу, повећали су свест о растућим фискалним ризицима који произилазе по основу издатих гаранција. Стога су предузете активности које ограничавају издавање нових гаранција за кредите за потребе ликвидности </w:t>
      </w:r>
      <w:r w:rsidR="00A252B4" w:rsidRPr="00092ED7">
        <w:rPr>
          <w:rFonts w:eastAsia="MS PGothic" w:cstheme="minorHAnsi"/>
          <w:szCs w:val="20"/>
          <w:lang w:val="sr-Cyrl-CS" w:eastAsia="ja-JP"/>
        </w:rPr>
        <w:t xml:space="preserve">и онемогућавање </w:t>
      </w:r>
      <w:r w:rsidR="00136E4B" w:rsidRPr="00092ED7">
        <w:rPr>
          <w:rFonts w:eastAsia="MS PGothic" w:cstheme="minorHAnsi"/>
          <w:szCs w:val="20"/>
          <w:lang w:val="sr-Cyrl-CS" w:eastAsia="ja-JP"/>
        </w:rPr>
        <w:t>даљег</w:t>
      </w:r>
      <w:r w:rsidRPr="00092ED7">
        <w:rPr>
          <w:rFonts w:eastAsia="MS PGothic" w:cstheme="minorHAnsi"/>
          <w:szCs w:val="20"/>
          <w:lang w:val="sr-Cyrl-CS" w:eastAsia="ja-JP"/>
        </w:rPr>
        <w:t xml:space="preserve"> </w:t>
      </w:r>
      <w:r w:rsidR="00A252B4" w:rsidRPr="00092ED7">
        <w:rPr>
          <w:rFonts w:eastAsia="MS PGothic" w:cstheme="minorHAnsi"/>
          <w:szCs w:val="20"/>
          <w:lang w:val="sr-Cyrl-CS" w:eastAsia="ja-JP"/>
        </w:rPr>
        <w:t xml:space="preserve">давања </w:t>
      </w:r>
      <w:r w:rsidRPr="00092ED7">
        <w:rPr>
          <w:rFonts w:eastAsia="MS PGothic" w:cstheme="minorHAnsi"/>
          <w:szCs w:val="20"/>
          <w:lang w:val="sr-Cyrl-CS" w:eastAsia="ja-JP"/>
        </w:rPr>
        <w:t>контрагаранција за гаранције издате од стране Фонда за развој Републике Србије.</w:t>
      </w:r>
    </w:p>
    <w:p w14:paraId="5488D221" w14:textId="77777777" w:rsidR="008B200E" w:rsidRPr="00092ED7" w:rsidRDefault="008B200E" w:rsidP="00613B5B">
      <w:pPr>
        <w:spacing w:after="60"/>
        <w:rPr>
          <w:rFonts w:eastAsia="MS PGothic" w:cstheme="minorHAnsi"/>
          <w:szCs w:val="20"/>
          <w:lang w:val="sr-Cyrl-CS" w:eastAsia="ja-JP"/>
        </w:rPr>
      </w:pPr>
      <w:r w:rsidRPr="00092ED7">
        <w:rPr>
          <w:rFonts w:eastAsia="MS PGothic" w:cstheme="minorHAnsi"/>
          <w:szCs w:val="20"/>
          <w:lang w:val="sr-Cyrl-CS" w:eastAsia="ja-JP"/>
        </w:rPr>
        <w:t>Поред ограничења у издавању државних гаранција кључни корак у смањењу и отклањању фискалних ризика по овом основу је у реформи државних и јавних предузећа, корисника гаранција, како би били способни да отплаћују своје кредите. Већи број предузећа, која су и највећи корисници гаранција, налазе се у процесу реструктурирања, односно спровођења планова реструктурирања урађених у сарадњи са међународним финансијским институцијама.</w:t>
      </w:r>
    </w:p>
    <w:p w14:paraId="1FF225F0" w14:textId="77777777" w:rsidR="008B200E" w:rsidRPr="00092ED7" w:rsidRDefault="008B200E" w:rsidP="00613B5B">
      <w:pPr>
        <w:spacing w:after="60"/>
        <w:rPr>
          <w:rFonts w:eastAsia="MS PGothic" w:cstheme="minorHAnsi"/>
          <w:szCs w:val="20"/>
          <w:lang w:val="sr-Cyrl-CS" w:eastAsia="ja-JP"/>
        </w:rPr>
      </w:pPr>
      <w:r w:rsidRPr="00092ED7">
        <w:rPr>
          <w:rFonts w:eastAsia="MS PGothic" w:cstheme="minorHAnsi"/>
          <w:szCs w:val="20"/>
          <w:lang w:val="sr-Cyrl-CS" w:eastAsia="ja-JP"/>
        </w:rPr>
        <w:t>Ребалансом буџета Републике Србије за 2022. годину планирано је издавање гаранција највише до 143,1 млрд динара и то за кредите намењене реализацији инфраструктурних пројеката. У наредним годинама није планиран значајнији раст ове категорије расхода. Учешће ових расхода у БДП креће се у просеку око 0,3% БДП у средњем року.</w:t>
      </w:r>
    </w:p>
    <w:p w14:paraId="27A63BE2" w14:textId="77777777" w:rsidR="008B200E" w:rsidRPr="00092ED7" w:rsidRDefault="008B200E" w:rsidP="00613B5B">
      <w:pPr>
        <w:spacing w:after="60"/>
        <w:rPr>
          <w:rFonts w:eastAsia="MS PGothic" w:cstheme="minorHAnsi"/>
          <w:szCs w:val="20"/>
          <w:lang w:val="sr-Cyrl-CS" w:eastAsia="ja-JP"/>
        </w:rPr>
      </w:pPr>
      <w:r w:rsidRPr="00092ED7">
        <w:rPr>
          <w:rFonts w:eastAsia="MS PGothic" w:cstheme="minorHAnsi"/>
          <w:szCs w:val="20"/>
          <w:lang w:val="sr-Cyrl-CS" w:eastAsia="ja-JP"/>
        </w:rPr>
        <w:t>Структурне реформе јавних и државних предузећа, њихово оспособљавање за тржишну утакмицу и финансијску одрживост, с једне стране, и ограничено и циљано издавање нових гаранција, с друге стране, допринеће умањењу фискалних ризика по овом основу и одржавању расхода у планираним, тј. пројектованим оквирима у наредном средњорочном периоду.</w:t>
      </w:r>
    </w:p>
    <w:p w14:paraId="2F5422D2" w14:textId="77777777" w:rsidR="008B200E" w:rsidRPr="00092ED7" w:rsidRDefault="008B200E" w:rsidP="00613B5B">
      <w:pPr>
        <w:spacing w:after="60"/>
        <w:rPr>
          <w:rFonts w:eastAsia="MS PGothic" w:cstheme="minorHAnsi"/>
          <w:szCs w:val="20"/>
          <w:lang w:val="sr-Cyrl-CS" w:eastAsia="ja-JP"/>
        </w:rPr>
      </w:pPr>
      <w:r w:rsidRPr="00092ED7">
        <w:rPr>
          <w:rFonts w:eastAsia="MS PGothic" w:cstheme="minorHAnsi"/>
          <w:szCs w:val="20"/>
          <w:lang w:val="sr-Cyrl-CS" w:eastAsia="ja-JP"/>
        </w:rPr>
        <w:t>Пословање јавних предузећа представља значајан извор фискалних ризика, како на страни буџетских прихода, тако и на страни расхода. Јавна предузећа се у пословању суочавају са бројним проблемима, од наплате потраживања, до редовног измиривања обавеза према повериоцима, држави и запосленима и сл. Држава као оснивач и њихов једини власник је одговорна за пословање и њихово је последње уточиште у случају неликвидности. Постоји неколико канала кроз које се могу материјализовати фискални ризици везани за пословање јавних предузећа. Највећи, али не и једини ризик, су државне гаранције дате за кредите јавних предузећа. Одрживост, ефикасност и профитабилност јавних предузећа утичу на приходе буџета, односно на износ добити коју уплаћују у буџет. Квалитет производа и услуга које обезбеђују јавна предузећа утичу на ефикасност и профитабилност приватног сектора и у крајњој инстанци на ниво пореза које уплаћују у буџет.</w:t>
      </w:r>
    </w:p>
    <w:p w14:paraId="49C8A456" w14:textId="179EB2E9" w:rsidR="008B200E" w:rsidRPr="00092ED7" w:rsidRDefault="008B200E" w:rsidP="00586A27">
      <w:pPr>
        <w:rPr>
          <w:rFonts w:cs="Times New Roman"/>
          <w:szCs w:val="24"/>
          <w:lang w:val="sr-Cyrl-CS"/>
        </w:rPr>
      </w:pPr>
      <w:r w:rsidRPr="00092ED7">
        <w:rPr>
          <w:rFonts w:eastAsia="MS PGothic" w:cstheme="minorHAnsi"/>
          <w:szCs w:val="20"/>
          <w:lang w:val="sr-Cyrl-CS" w:eastAsia="ja-JP"/>
        </w:rPr>
        <w:t xml:space="preserve">Јавна предузећа представљају значајан сегмент привреде </w:t>
      </w:r>
      <w:r w:rsidR="002F42C1" w:rsidRPr="00092ED7">
        <w:rPr>
          <w:rFonts w:eastAsia="MS PGothic" w:cstheme="minorHAnsi"/>
          <w:szCs w:val="20"/>
          <w:lang w:val="sr-Cyrl-CS" w:eastAsia="ja-JP"/>
        </w:rPr>
        <w:t>и</w:t>
      </w:r>
      <w:r w:rsidRPr="00092ED7">
        <w:rPr>
          <w:rFonts w:eastAsia="MS PGothic" w:cstheme="minorHAnsi"/>
          <w:szCs w:val="20"/>
          <w:lang w:val="sr-Cyrl-CS" w:eastAsia="ja-JP"/>
        </w:rPr>
        <w:t xml:space="preserve"> запошљавају око 68 хиљада људи. Јавна предузећа се оснивају као друштва за обављање делатности од општег интереса. Њихов рад уређен је Законом о јавним предузећима</w:t>
      </w:r>
      <w:r w:rsidR="00586A27" w:rsidRPr="00092ED7">
        <w:rPr>
          <w:rFonts w:eastAsia="MS PGothic" w:cstheme="minorHAnsi"/>
          <w:szCs w:val="20"/>
          <w:lang w:val="sr-Cyrl-CS" w:eastAsia="ja-JP"/>
        </w:rPr>
        <w:t xml:space="preserve"> </w:t>
      </w:r>
      <w:r w:rsidR="00586A27" w:rsidRPr="00092ED7">
        <w:rPr>
          <w:rFonts w:cs="Times New Roman"/>
          <w:szCs w:val="24"/>
          <w:lang w:val="sr-Cyrl-CS"/>
        </w:rPr>
        <w:t>(„Службени гласник РС”, бр. 15/16 и 88/19)</w:t>
      </w:r>
      <w:r w:rsidRPr="00092ED7">
        <w:rPr>
          <w:rFonts w:eastAsia="MS PGothic" w:cstheme="minorHAnsi"/>
          <w:szCs w:val="20"/>
          <w:lang w:val="sr-Cyrl-CS" w:eastAsia="ja-JP"/>
        </w:rPr>
        <w:t>, који је усвојен у фебруару 2016. године, као и подсекторским законима који дефинишу специфична подручја која нису обухваћена Законом о јавним предузећима (Закон о енергетици</w:t>
      </w:r>
      <w:r w:rsidR="004B7E54" w:rsidRPr="00092ED7">
        <w:rPr>
          <w:rFonts w:cs="Times New Roman"/>
          <w:szCs w:val="24"/>
          <w:lang w:val="sr-Cyrl-CS"/>
        </w:rPr>
        <w:t>,</w:t>
      </w:r>
      <w:r w:rsidRPr="00092ED7">
        <w:rPr>
          <w:rFonts w:eastAsia="MS PGothic" w:cstheme="minorHAnsi"/>
          <w:szCs w:val="20"/>
          <w:lang w:val="sr-Cyrl-CS" w:eastAsia="ja-JP"/>
        </w:rPr>
        <w:t xml:space="preserve"> Закон о привредним друштвима </w:t>
      </w:r>
      <w:r w:rsidR="00586A27" w:rsidRPr="00092ED7">
        <w:rPr>
          <w:rFonts w:cs="Times New Roman"/>
          <w:szCs w:val="24"/>
          <w:lang w:val="sr-Cyrl-CS"/>
        </w:rPr>
        <w:t>(„Службени гласник РС”, бр.</w:t>
      </w:r>
      <w:r w:rsidR="004B7E54" w:rsidRPr="00092ED7">
        <w:rPr>
          <w:lang w:val="sr-Cyrl-CS"/>
        </w:rPr>
        <w:t xml:space="preserve"> </w:t>
      </w:r>
      <w:hyperlink r:id="rId30" w:tooltip="Zakon o privrednim društvima (27/05/2011)" w:history="1">
        <w:r w:rsidR="004B7E54" w:rsidRPr="00092ED7">
          <w:rPr>
            <w:rStyle w:val="Hyperlink"/>
            <w:rFonts w:cs="Times New Roman"/>
            <w:color w:val="auto"/>
            <w:szCs w:val="24"/>
            <w:u w:val="none"/>
            <w:shd w:val="clear" w:color="auto" w:fill="FFFFFF"/>
            <w:lang w:val="sr-Cyrl-CS"/>
          </w:rPr>
          <w:t>36/11</w:t>
        </w:r>
      </w:hyperlink>
      <w:r w:rsidR="004B7E54" w:rsidRPr="00092ED7">
        <w:rPr>
          <w:rFonts w:cs="Times New Roman"/>
          <w:szCs w:val="24"/>
          <w:shd w:val="clear" w:color="auto" w:fill="FFFFFF"/>
          <w:lang w:val="sr-Cyrl-CS"/>
        </w:rPr>
        <w:t>, </w:t>
      </w:r>
      <w:hyperlink r:id="rId31" w:tooltip="Zakon o izmenama i dopunama Zakona o privrednim društvima (27/12/2011)" w:history="1">
        <w:r w:rsidR="004B7E54" w:rsidRPr="00092ED7">
          <w:rPr>
            <w:rStyle w:val="Hyperlink"/>
            <w:rFonts w:cs="Times New Roman"/>
            <w:color w:val="auto"/>
            <w:szCs w:val="24"/>
            <w:u w:val="none"/>
            <w:shd w:val="clear" w:color="auto" w:fill="FFFFFF"/>
            <w:lang w:val="sr-Cyrl-CS"/>
          </w:rPr>
          <w:t>99/11</w:t>
        </w:r>
      </w:hyperlink>
      <w:r w:rsidR="004B7E54" w:rsidRPr="00092ED7">
        <w:rPr>
          <w:rFonts w:cs="Times New Roman"/>
          <w:szCs w:val="24"/>
          <w:shd w:val="clear" w:color="auto" w:fill="FFFFFF"/>
          <w:lang w:val="sr-Cyrl-CS"/>
        </w:rPr>
        <w:t>, </w:t>
      </w:r>
      <w:hyperlink r:id="rId32" w:tooltip="Zakon o izmenama i dopunama Zakona o stečaju (05/08/2014)" w:history="1">
        <w:r w:rsidR="004B7E54" w:rsidRPr="00092ED7">
          <w:rPr>
            <w:rStyle w:val="Hyperlink"/>
            <w:rFonts w:cs="Times New Roman"/>
            <w:color w:val="auto"/>
            <w:szCs w:val="24"/>
            <w:u w:val="none"/>
            <w:shd w:val="clear" w:color="auto" w:fill="FFFFFF"/>
            <w:lang w:val="sr-Cyrl-CS"/>
          </w:rPr>
          <w:t>83/14</w:t>
        </w:r>
      </w:hyperlink>
      <w:r w:rsidR="004B7E54" w:rsidRPr="00092ED7">
        <w:rPr>
          <w:rFonts w:cs="Times New Roman"/>
          <w:szCs w:val="24"/>
          <w:shd w:val="clear" w:color="auto" w:fill="FFFFFF"/>
          <w:lang w:val="sr-Cyrl-CS"/>
        </w:rPr>
        <w:t> </w:t>
      </w:r>
      <w:r w:rsidR="004B7E54" w:rsidRPr="00092ED7">
        <w:rPr>
          <w:rStyle w:val="trs"/>
          <w:rFonts w:cs="Times New Roman"/>
          <w:szCs w:val="24"/>
          <w:shd w:val="clear" w:color="auto" w:fill="FFFFFF"/>
          <w:lang w:val="sr-Cyrl-CS"/>
        </w:rPr>
        <w:t xml:space="preserve">- </w:t>
      </w:r>
      <w:r w:rsidR="004B7E54" w:rsidRPr="00092ED7">
        <w:rPr>
          <w:rFonts w:cs="Times New Roman"/>
          <w:szCs w:val="24"/>
          <w:lang w:val="sr-Cyrl-CS"/>
        </w:rPr>
        <w:t>др. закон</w:t>
      </w:r>
      <w:r w:rsidR="004B7E54" w:rsidRPr="00092ED7">
        <w:rPr>
          <w:rFonts w:cs="Times New Roman"/>
          <w:szCs w:val="24"/>
          <w:shd w:val="clear" w:color="auto" w:fill="FFFFFF"/>
          <w:lang w:val="sr-Cyrl-CS"/>
        </w:rPr>
        <w:t>, </w:t>
      </w:r>
      <w:hyperlink r:id="rId33" w:tooltip="Zakon o izmenama i dopuni Zakona o privrednim društvima (20/01/2015)" w:history="1">
        <w:r w:rsidR="004B7E54" w:rsidRPr="00092ED7">
          <w:rPr>
            <w:rStyle w:val="Hyperlink"/>
            <w:rFonts w:cs="Times New Roman"/>
            <w:color w:val="auto"/>
            <w:szCs w:val="24"/>
            <w:u w:val="none"/>
            <w:shd w:val="clear" w:color="auto" w:fill="FFFFFF"/>
            <w:lang w:val="sr-Cyrl-CS"/>
          </w:rPr>
          <w:t>5/15</w:t>
        </w:r>
      </w:hyperlink>
      <w:r w:rsidR="004B7E54" w:rsidRPr="00092ED7">
        <w:rPr>
          <w:rFonts w:cs="Times New Roman"/>
          <w:szCs w:val="24"/>
          <w:shd w:val="clear" w:color="auto" w:fill="FFFFFF"/>
          <w:lang w:val="sr-Cyrl-CS"/>
        </w:rPr>
        <w:t>, </w:t>
      </w:r>
      <w:hyperlink r:id="rId34" w:tooltip="Zakon o izmenama i dopunama Zakona o privrednim društvima (08/06/2018)" w:history="1">
        <w:r w:rsidR="004B7E54" w:rsidRPr="00092ED7">
          <w:rPr>
            <w:rStyle w:val="Hyperlink"/>
            <w:rFonts w:cs="Times New Roman"/>
            <w:color w:val="auto"/>
            <w:szCs w:val="24"/>
            <w:u w:val="none"/>
            <w:shd w:val="clear" w:color="auto" w:fill="FFFFFF"/>
            <w:lang w:val="sr-Cyrl-CS"/>
          </w:rPr>
          <w:t>44/18</w:t>
        </w:r>
      </w:hyperlink>
      <w:r w:rsidR="004B7E54" w:rsidRPr="00092ED7">
        <w:rPr>
          <w:rFonts w:cs="Times New Roman"/>
          <w:szCs w:val="24"/>
          <w:shd w:val="clear" w:color="auto" w:fill="FFFFFF"/>
          <w:lang w:val="sr-Cyrl-CS"/>
        </w:rPr>
        <w:t>, </w:t>
      </w:r>
      <w:hyperlink r:id="rId35" w:tooltip="Zakon o izmeni i dopunama Zakona o privrednim društvima (08/12/2018)" w:history="1">
        <w:r w:rsidR="004B7E54" w:rsidRPr="00092ED7">
          <w:rPr>
            <w:rStyle w:val="Hyperlink"/>
            <w:rFonts w:cs="Times New Roman"/>
            <w:color w:val="auto"/>
            <w:szCs w:val="24"/>
            <w:u w:val="none"/>
            <w:shd w:val="clear" w:color="auto" w:fill="FFFFFF"/>
            <w:lang w:val="sr-Cyrl-CS"/>
          </w:rPr>
          <w:t>95/18</w:t>
        </w:r>
      </w:hyperlink>
      <w:r w:rsidR="004B7E54" w:rsidRPr="00092ED7">
        <w:rPr>
          <w:rFonts w:cs="Times New Roman"/>
          <w:szCs w:val="24"/>
          <w:shd w:val="clear" w:color="auto" w:fill="FFFFFF"/>
          <w:lang w:val="sr-Cyrl-CS"/>
        </w:rPr>
        <w:t>, </w:t>
      </w:r>
      <w:hyperlink r:id="rId36" w:tooltip="Zakon o izmenama i dopunama Zakona o privrednim društvima (24/12/2019)" w:history="1">
        <w:r w:rsidR="004B7E54" w:rsidRPr="00092ED7">
          <w:rPr>
            <w:rStyle w:val="Hyperlink"/>
            <w:rFonts w:cs="Times New Roman"/>
            <w:color w:val="auto"/>
            <w:szCs w:val="24"/>
            <w:u w:val="none"/>
            <w:shd w:val="clear" w:color="auto" w:fill="FFFFFF"/>
            <w:lang w:val="sr-Cyrl-CS"/>
          </w:rPr>
          <w:t>91/19</w:t>
        </w:r>
      </w:hyperlink>
      <w:r w:rsidR="004B7E54" w:rsidRPr="00092ED7">
        <w:rPr>
          <w:rFonts w:cs="Times New Roman"/>
          <w:szCs w:val="24"/>
          <w:shd w:val="clear" w:color="auto" w:fill="FFFFFF"/>
          <w:lang w:val="sr-Cyrl-CS"/>
        </w:rPr>
        <w:t xml:space="preserve"> и </w:t>
      </w:r>
      <w:hyperlink r:id="rId37" w:tooltip="Zakon o izmenama i dopunama Zakona o privrednim društvima (19/11/2021)" w:history="1">
        <w:r w:rsidR="004B7E54" w:rsidRPr="00092ED7">
          <w:rPr>
            <w:rStyle w:val="Hyperlink"/>
            <w:rFonts w:cs="Times New Roman"/>
            <w:color w:val="auto"/>
            <w:szCs w:val="24"/>
            <w:u w:val="none"/>
            <w:shd w:val="clear" w:color="auto" w:fill="FFFFFF"/>
            <w:lang w:val="sr-Cyrl-CS"/>
          </w:rPr>
          <w:t>109/21</w:t>
        </w:r>
      </w:hyperlink>
      <w:r w:rsidR="004B7E54" w:rsidRPr="00092ED7">
        <w:rPr>
          <w:rFonts w:cs="Times New Roman"/>
          <w:szCs w:val="24"/>
          <w:shd w:val="clear" w:color="auto" w:fill="FFFFFF"/>
          <w:lang w:val="sr-Cyrl-CS"/>
        </w:rPr>
        <w:t>)</w:t>
      </w:r>
      <w:r w:rsidR="004B7E54" w:rsidRPr="00092ED7">
        <w:rPr>
          <w:rFonts w:cs="Times New Roman"/>
          <w:szCs w:val="24"/>
          <w:lang w:val="sr-Cyrl-CS"/>
        </w:rPr>
        <w:t xml:space="preserve"> </w:t>
      </w:r>
      <w:r w:rsidRPr="00092ED7">
        <w:rPr>
          <w:rFonts w:eastAsia="MS PGothic" w:cstheme="minorHAnsi"/>
          <w:szCs w:val="20"/>
          <w:lang w:val="sr-Cyrl-CS" w:eastAsia="ja-JP"/>
        </w:rPr>
        <w:t>и др).</w:t>
      </w:r>
    </w:p>
    <w:p w14:paraId="31554D1C" w14:textId="42E8B526" w:rsidR="008B200E" w:rsidRPr="00092ED7" w:rsidRDefault="008B200E" w:rsidP="00613B5B">
      <w:pPr>
        <w:spacing w:after="60"/>
        <w:rPr>
          <w:spacing w:val="-4"/>
          <w:lang w:val="sr-Cyrl-CS"/>
        </w:rPr>
      </w:pPr>
      <w:r w:rsidRPr="00092ED7">
        <w:rPr>
          <w:rFonts w:eastAsia="MS PGothic" w:cstheme="minorHAnsi"/>
          <w:spacing w:val="-4"/>
          <w:szCs w:val="20"/>
          <w:lang w:val="sr-Cyrl-CS" w:eastAsia="ja-JP"/>
        </w:rPr>
        <w:t>Током јесени 2021. године десили су се поремећаји на енергетском тржишту у свету. Криза у енергетском сектору се само надовезала на већ постоје</w:t>
      </w:r>
      <w:r w:rsidR="00683C38" w:rsidRPr="00092ED7">
        <w:rPr>
          <w:rFonts w:eastAsia="MS PGothic" w:cstheme="minorHAnsi"/>
          <w:spacing w:val="-4"/>
          <w:szCs w:val="20"/>
          <w:lang w:val="sr-Cyrl-CS" w:eastAsia="ja-JP"/>
        </w:rPr>
        <w:t>ћу кризу изазвану пандемијом</w:t>
      </w:r>
      <w:r w:rsidRPr="00092ED7">
        <w:rPr>
          <w:rFonts w:eastAsia="MS PGothic" w:cstheme="minorHAnsi"/>
          <w:spacing w:val="-4"/>
          <w:szCs w:val="20"/>
          <w:lang w:val="sr-Cyrl-CS" w:eastAsia="ja-JP"/>
        </w:rPr>
        <w:t>. Због повећане тражње узроковане постпандемијским развојем економије и проблема у снабдевању, односно недовољне понуде и недовољних залиха, цене природног гаса су достигле историјске максимуме. Ово је подстакло тражњу за угљем, па су и његове цене изузетно порасле. Високе цене гаса и угља, а у Европи и смањена производња из електрана на ветар и високе цене дозвола за емисију CO</w:t>
      </w:r>
      <w:r w:rsidRPr="00092ED7">
        <w:rPr>
          <w:rFonts w:eastAsia="MS PGothic" w:cstheme="minorHAnsi"/>
          <w:spacing w:val="-4"/>
          <w:szCs w:val="20"/>
          <w:vertAlign w:val="subscript"/>
          <w:lang w:val="sr-Cyrl-CS" w:eastAsia="ja-JP"/>
        </w:rPr>
        <w:t>2</w:t>
      </w:r>
      <w:r w:rsidRPr="00092ED7">
        <w:rPr>
          <w:rFonts w:eastAsia="MS PGothic" w:cstheme="minorHAnsi"/>
          <w:spacing w:val="-4"/>
          <w:szCs w:val="20"/>
          <w:lang w:val="sr-Cyrl-CS" w:eastAsia="ja-JP"/>
        </w:rPr>
        <w:t xml:space="preserve"> изазвале су раст цена електричне енергије, такође до историјских максимума. У таквим условима, порасла је производња електричне енергије из угља, јер је она била повољнија од производње из гаса.</w:t>
      </w:r>
    </w:p>
    <w:p w14:paraId="307C0B28" w14:textId="3DE0AA7A" w:rsidR="008B200E" w:rsidRPr="00092ED7" w:rsidRDefault="008B200E" w:rsidP="00613B5B">
      <w:pPr>
        <w:spacing w:after="60"/>
        <w:rPr>
          <w:spacing w:val="-4"/>
          <w:lang w:val="sr-Cyrl-CS"/>
        </w:rPr>
      </w:pPr>
      <w:r w:rsidRPr="00092ED7">
        <w:rPr>
          <w:spacing w:val="-4"/>
          <w:lang w:val="sr-Cyrl-CS"/>
        </w:rPr>
        <w:t xml:space="preserve">До сада се више пута показало, да раст неког од основних енергената, попут нафте и гаса, доводи до раста осталих цена на тржишту, а на целу ову већ тешку ситуацију се надовезала и криза у Украјини, те се као један од кључних проблема наметнуло питање енергетске сигурности и европске зависности од руских фосилних горива. Овај след догађаја утицао је да цене електричне енергије и природног гаса у свету достигну цене знатно веће од уобичајених у последњих неколико година. Енергетска криза неизбежно се прелила и на </w:t>
      </w:r>
      <w:r w:rsidR="003B5902" w:rsidRPr="00092ED7">
        <w:rPr>
          <w:spacing w:val="-4"/>
          <w:lang w:val="sr-Cyrl-CS"/>
        </w:rPr>
        <w:t xml:space="preserve">Републику </w:t>
      </w:r>
      <w:r w:rsidRPr="00092ED7">
        <w:rPr>
          <w:spacing w:val="-4"/>
          <w:lang w:val="sr-Cyrl-CS"/>
        </w:rPr>
        <w:t xml:space="preserve">Србију, а највише су погођена енергетска предузећа, претежно </w:t>
      </w:r>
      <w:r w:rsidR="00217782" w:rsidRPr="00092ED7">
        <w:rPr>
          <w:rFonts w:eastAsia="MS PGothic" w:cs="Times New Roman"/>
          <w:bCs/>
          <w:iCs/>
          <w:szCs w:val="24"/>
          <w:lang w:val="sr-Cyrl-CS" w:eastAsia="ja-JP"/>
        </w:rPr>
        <w:t xml:space="preserve">ЈП ЕПС </w:t>
      </w:r>
      <w:r w:rsidRPr="00092ED7">
        <w:rPr>
          <w:spacing w:val="-4"/>
          <w:lang w:val="sr-Cyrl-CS"/>
        </w:rPr>
        <w:t>и</w:t>
      </w:r>
      <w:r w:rsidR="00096D22" w:rsidRPr="00092ED7">
        <w:rPr>
          <w:spacing w:val="-4"/>
          <w:lang w:val="sr-Cyrl-CS"/>
        </w:rPr>
        <w:t xml:space="preserve"> </w:t>
      </w:r>
      <w:r w:rsidRPr="00092ED7">
        <w:rPr>
          <w:spacing w:val="-4"/>
          <w:lang w:val="sr-Cyrl-CS"/>
        </w:rPr>
        <w:t>Ј</w:t>
      </w:r>
      <w:r w:rsidR="00096D22" w:rsidRPr="00092ED7">
        <w:rPr>
          <w:spacing w:val="-4"/>
          <w:lang w:val="sr-Cyrl-CS"/>
        </w:rPr>
        <w:t xml:space="preserve">авно предузеће </w:t>
      </w:r>
      <w:r w:rsidRPr="00092ED7">
        <w:rPr>
          <w:spacing w:val="-4"/>
          <w:lang w:val="sr-Cyrl-CS"/>
        </w:rPr>
        <w:t>„Србијагас”</w:t>
      </w:r>
      <w:r w:rsidR="00096D22" w:rsidRPr="00092ED7">
        <w:rPr>
          <w:spacing w:val="-4"/>
          <w:lang w:val="sr-Cyrl-CS"/>
        </w:rPr>
        <w:t xml:space="preserve"> Нови Сад</w:t>
      </w:r>
      <w:r w:rsidR="00217782" w:rsidRPr="00092ED7">
        <w:rPr>
          <w:spacing w:val="-4"/>
          <w:lang w:val="sr-Cyrl-CS"/>
        </w:rPr>
        <w:t xml:space="preserve"> (у даљем те</w:t>
      </w:r>
      <w:r w:rsidR="00683C38" w:rsidRPr="00092ED7">
        <w:rPr>
          <w:spacing w:val="-4"/>
          <w:lang w:val="sr-Cyrl-CS"/>
        </w:rPr>
        <w:t xml:space="preserve">ксту: ЈП </w:t>
      </w:r>
      <w:r w:rsidR="00217782" w:rsidRPr="00092ED7">
        <w:rPr>
          <w:spacing w:val="-4"/>
          <w:lang w:val="sr-Cyrl-CS"/>
        </w:rPr>
        <w:t>„Србијагас”)</w:t>
      </w:r>
      <w:r w:rsidRPr="00092ED7">
        <w:rPr>
          <w:spacing w:val="-4"/>
          <w:lang w:val="sr-Cyrl-CS"/>
        </w:rPr>
        <w:t>. Због виших цена електричне енергије, које би угрозиле пословање привредних субјеката у Р</w:t>
      </w:r>
      <w:r w:rsidR="002F42C1" w:rsidRPr="00092ED7">
        <w:rPr>
          <w:spacing w:val="-4"/>
          <w:lang w:val="sr-Cyrl-CS"/>
        </w:rPr>
        <w:t xml:space="preserve">епублици </w:t>
      </w:r>
      <w:r w:rsidRPr="00092ED7">
        <w:rPr>
          <w:spacing w:val="-4"/>
          <w:lang w:val="sr-Cyrl-CS"/>
        </w:rPr>
        <w:t>С</w:t>
      </w:r>
      <w:r w:rsidR="002F42C1" w:rsidRPr="00092ED7">
        <w:rPr>
          <w:spacing w:val="-4"/>
          <w:lang w:val="sr-Cyrl-CS"/>
        </w:rPr>
        <w:t>рбији</w:t>
      </w:r>
      <w:r w:rsidRPr="00092ED7">
        <w:rPr>
          <w:spacing w:val="-4"/>
          <w:lang w:val="sr-Cyrl-CS"/>
        </w:rPr>
        <w:t>, као и енергетских субјеката који обављају делатност преноса, односно дистрибуције електричне енергије (у вези набавке електричне енергије за губитке), препоручено је да ЈП ЕПС те субјекте снабдева по ценама знатно нижим од тржишних, чиме је ЈП ЕПС изложен финансијском ризику, односно ризик раста цена у потпуности је пребачен на ЈП ЕПС.</w:t>
      </w:r>
    </w:p>
    <w:p w14:paraId="21C4CB29" w14:textId="77777777" w:rsidR="008B200E" w:rsidRPr="00092ED7" w:rsidRDefault="008B200E" w:rsidP="00613B5B">
      <w:pPr>
        <w:spacing w:after="60"/>
        <w:rPr>
          <w:lang w:val="sr-Cyrl-CS"/>
        </w:rPr>
      </w:pPr>
      <w:r w:rsidRPr="00092ED7">
        <w:rPr>
          <w:lang w:val="sr-Cyrl-CS"/>
        </w:rPr>
        <w:t>Tоком целе 2022. године, Република Србија се борила да како финансијским, тако и стратешким мерама, обезбеди и осигура снабдевање кључним енергентима. Поред тога, од 1. септембра, на снази је повећање цене електричне енергије, те ће ефекти такве одлуке бити видљиви у предстојећем периоду. Такође, негативни економски и хидролошки трендови, утицали су на неопходност повратка на производњу електричне енергије из угља, те је максимална пажња посвећена набавци овог енергента.</w:t>
      </w:r>
    </w:p>
    <w:p w14:paraId="15B29E44" w14:textId="4A9A85D5" w:rsidR="008B200E" w:rsidRPr="00092ED7" w:rsidRDefault="008B200E" w:rsidP="00613B5B">
      <w:pPr>
        <w:spacing w:after="60"/>
        <w:rPr>
          <w:lang w:val="sr-Cyrl-CS"/>
        </w:rPr>
      </w:pPr>
      <w:r w:rsidRPr="00092ED7">
        <w:rPr>
          <w:lang w:val="sr-Cyrl-CS"/>
        </w:rPr>
        <w:t xml:space="preserve">Што се тиче </w:t>
      </w:r>
      <w:r w:rsidR="00217782" w:rsidRPr="00092ED7">
        <w:rPr>
          <w:spacing w:val="-4"/>
          <w:lang w:val="sr-Cyrl-CS"/>
        </w:rPr>
        <w:t>ЈП</w:t>
      </w:r>
      <w:r w:rsidR="00655755" w:rsidRPr="00092ED7">
        <w:rPr>
          <w:spacing w:val="-4"/>
          <w:lang w:val="sr-Cyrl-CS"/>
        </w:rPr>
        <w:t xml:space="preserve"> </w:t>
      </w:r>
      <w:r w:rsidRPr="00092ED7">
        <w:rPr>
          <w:spacing w:val="-4"/>
          <w:lang w:val="sr-Cyrl-CS"/>
        </w:rPr>
        <w:t>„Србијагас”</w:t>
      </w:r>
      <w:r w:rsidR="00217782" w:rsidRPr="00092ED7">
        <w:rPr>
          <w:spacing w:val="-4"/>
          <w:lang w:val="sr-Cyrl-CS"/>
        </w:rPr>
        <w:t xml:space="preserve">, </w:t>
      </w:r>
      <w:r w:rsidRPr="00092ED7">
        <w:rPr>
          <w:spacing w:val="-4"/>
          <w:lang w:val="sr-Cyrl-CS"/>
        </w:rPr>
        <w:t>п</w:t>
      </w:r>
      <w:r w:rsidRPr="00092ED7">
        <w:rPr>
          <w:lang w:val="sr-Cyrl-CS"/>
        </w:rPr>
        <w:t>роактивним режимом рада обезбеђени су додатни складишни капацитети за природни гас у Мађарској, те у зимску сезону улазимо са више од 650,0 мил. кубних метара гаса у складишту, што је знатно више у односу на стање у истом кварталу претходне године.</w:t>
      </w:r>
    </w:p>
    <w:p w14:paraId="006E5D4A" w14:textId="77777777" w:rsidR="008B200E" w:rsidRPr="00092ED7" w:rsidRDefault="008B200E" w:rsidP="00613B5B">
      <w:pPr>
        <w:spacing w:after="60"/>
        <w:rPr>
          <w:lang w:val="sr-Cyrl-CS"/>
        </w:rPr>
      </w:pPr>
      <w:r w:rsidRPr="00092ED7">
        <w:rPr>
          <w:lang w:val="sr-Cyrl-CS"/>
        </w:rPr>
        <w:t>Будући да се, због неповољних тржишних кретања, финансијска позиција дистрибутера природног гаса знатно погоршала, Република Србија је финансирала набавку резервних количина гаса, као и суфинансирала редовне набавке.</w:t>
      </w:r>
    </w:p>
    <w:p w14:paraId="24FD9768" w14:textId="3E42547C" w:rsidR="008B200E" w:rsidRPr="00092ED7" w:rsidRDefault="008B200E" w:rsidP="00613B5B">
      <w:pPr>
        <w:spacing w:after="60"/>
        <w:rPr>
          <w:lang w:val="sr-Cyrl-CS"/>
        </w:rPr>
      </w:pPr>
      <w:r w:rsidRPr="00092ED7">
        <w:rPr>
          <w:lang w:val="sr-Cyrl-CS"/>
        </w:rPr>
        <w:t xml:space="preserve">Ефекти енергетске кризе у свету, нису заобишли ни ЈП „Путеви Србије”. Ово јавно предузеће идентификовано </w:t>
      </w:r>
      <w:r w:rsidR="002F42C1" w:rsidRPr="00092ED7">
        <w:rPr>
          <w:lang w:val="sr-Cyrl-CS"/>
        </w:rPr>
        <w:t xml:space="preserve">је </w:t>
      </w:r>
      <w:r w:rsidRPr="00092ED7">
        <w:rPr>
          <w:lang w:val="sr-Cyrl-CS"/>
        </w:rPr>
        <w:t>као носилац високог фискалног ризика. Чињеница је да сопственим приходима, оствареним првенствено из путарина, није у могућности да покрије своје високе трошкове, те да цене основних енергената и главних сировина потребних за обављање основне делатности имају растући тренд, могла би додатно да погорша финансијску позицију овог јавног предузећа, а самим тим и повећа ослањање на буџет Републике Србије у циљу даљег пословања. Поред опредељеног износа субвенција Законом о буџету за 2022. годину, Законом о изменама Закона о буџету за 2022. годину опредељено додатних 12,0 млрд динара. Оптерећење буџета је смањено у односу на 2021. годину, међутим</w:t>
      </w:r>
      <w:r w:rsidR="00683C38" w:rsidRPr="00092ED7">
        <w:rPr>
          <w:lang w:val="sr-Cyrl-CS"/>
        </w:rPr>
        <w:t xml:space="preserve"> и</w:t>
      </w:r>
      <w:r w:rsidRPr="00092ED7">
        <w:rPr>
          <w:lang w:val="sr-Cyrl-CS"/>
        </w:rPr>
        <w:t xml:space="preserve"> даље </w:t>
      </w:r>
      <w:r w:rsidR="004B72CD" w:rsidRPr="00092ED7">
        <w:rPr>
          <w:lang w:val="sr-Cyrl-CS"/>
        </w:rPr>
        <w:t xml:space="preserve">постоје високи трошкови </w:t>
      </w:r>
      <w:r w:rsidRPr="00092ED7">
        <w:rPr>
          <w:lang w:val="sr-Cyrl-CS"/>
        </w:rPr>
        <w:t xml:space="preserve">пословања које </w:t>
      </w:r>
      <w:r w:rsidR="004B72CD" w:rsidRPr="00092ED7">
        <w:rPr>
          <w:lang w:val="sr-Cyrl-CS"/>
        </w:rPr>
        <w:t xml:space="preserve">помеуто предузеће </w:t>
      </w:r>
      <w:r w:rsidRPr="00092ED7">
        <w:rPr>
          <w:lang w:val="sr-Cyrl-CS"/>
        </w:rPr>
        <w:t>није у могућности да покрије сопственим приходима.</w:t>
      </w:r>
    </w:p>
    <w:p w14:paraId="2FA63B1D" w14:textId="20DCFADF" w:rsidR="008B200E" w:rsidRPr="00092ED7" w:rsidRDefault="008B200E" w:rsidP="00613B5B">
      <w:pPr>
        <w:spacing w:after="60"/>
        <w:rPr>
          <w:lang w:val="sr-Cyrl-CS"/>
        </w:rPr>
      </w:pPr>
      <w:r w:rsidRPr="00092ED7">
        <w:rPr>
          <w:lang w:val="sr-Cyrl-CS"/>
        </w:rPr>
        <w:t>Слична ситуација идентификована је и код „Коридори Србије” д.о.о</w:t>
      </w:r>
      <w:r w:rsidR="00826CDD" w:rsidRPr="00092ED7">
        <w:rPr>
          <w:lang w:val="sr-Cyrl-CS"/>
        </w:rPr>
        <w:t>. Београд,</w:t>
      </w:r>
      <w:r w:rsidRPr="00092ED7">
        <w:rPr>
          <w:lang w:val="sr-Cyrl-CS"/>
        </w:rPr>
        <w:t xml:space="preserve"> због високих издатака за капиталне инвестиције које су у надлежности овог друштва, те самим тим, промене основних сировина могу значајно повећати трошкове спровођења пројеката и повећати ослањање на буџет Републике Србије, у циљу континуиране реализације пројекта.</w:t>
      </w:r>
    </w:p>
    <w:p w14:paraId="17368DB5" w14:textId="77777777" w:rsidR="008B200E" w:rsidRPr="00092ED7" w:rsidRDefault="008B200E" w:rsidP="00613B5B">
      <w:pPr>
        <w:spacing w:after="60"/>
        <w:rPr>
          <w:highlight w:val="yellow"/>
          <w:lang w:val="sr-Cyrl-CS" w:eastAsia="ja-JP"/>
        </w:rPr>
      </w:pPr>
      <w:r w:rsidRPr="00092ED7">
        <w:rPr>
          <w:rFonts w:eastAsia="MS PGothic" w:cstheme="minorHAnsi"/>
          <w:szCs w:val="20"/>
          <w:lang w:val="sr-Cyrl-CS" w:eastAsia="ja-JP"/>
        </w:rPr>
        <w:t>Укупна имовина републичких јавних предузећа на крају 2021. године износила је 3.217 млрд динара, док је као крајњи резултат остварен нето губитак у износу од 12,7 млрд динара.</w:t>
      </w:r>
    </w:p>
    <w:p w14:paraId="58B1253F" w14:textId="77777777" w:rsidR="008B200E" w:rsidRPr="00092ED7" w:rsidRDefault="008B200E" w:rsidP="00613B5B">
      <w:pPr>
        <w:spacing w:before="120" w:after="60"/>
        <w:rPr>
          <w:rFonts w:eastAsia="Calibri" w:cs="Times New Roman"/>
          <w:szCs w:val="24"/>
          <w:lang w:val="sr-Cyrl-CS" w:eastAsia="ja-JP"/>
        </w:rPr>
      </w:pPr>
      <w:r w:rsidRPr="00092ED7">
        <w:rPr>
          <w:rFonts w:eastAsia="Calibri" w:cs="Times New Roman"/>
          <w:szCs w:val="24"/>
          <w:lang w:val="sr-Cyrl-CS" w:eastAsia="ja-JP"/>
        </w:rPr>
        <w:t>Табела 12. Главни финансијски показатељи пословања јавних предузећа, млрд динара</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72"/>
        <w:gridCol w:w="1772"/>
      </w:tblGrid>
      <w:tr w:rsidR="008B200E" w:rsidRPr="00092ED7" w14:paraId="2CC86EEA" w14:textId="77777777" w:rsidTr="00613B5B">
        <w:trPr>
          <w:trHeight w:val="25"/>
        </w:trPr>
        <w:tc>
          <w:tcPr>
            <w:tcW w:w="5103" w:type="dxa"/>
            <w:shd w:val="clear" w:color="auto" w:fill="auto"/>
            <w:noWrap/>
            <w:hideMark/>
          </w:tcPr>
          <w:p w14:paraId="1EEED7B7" w14:textId="77777777" w:rsidR="008B200E" w:rsidRPr="00092ED7" w:rsidRDefault="008B200E" w:rsidP="00A06946">
            <w:pPr>
              <w:spacing w:after="0"/>
              <w:rPr>
                <w:rFonts w:eastAsia="Times New Roman" w:cs="Times New Roman"/>
                <w:b/>
                <w:sz w:val="20"/>
                <w:szCs w:val="20"/>
                <w:lang w:val="sr-Cyrl-CS" w:eastAsia="sr-Cyrl-RS"/>
              </w:rPr>
            </w:pPr>
            <w:r w:rsidRPr="00092ED7">
              <w:rPr>
                <w:rFonts w:cs="Times New Roman"/>
                <w:b/>
                <w:sz w:val="20"/>
                <w:szCs w:val="20"/>
                <w:lang w:val="sr-Cyrl-CS"/>
              </w:rPr>
              <w:t>Опис</w:t>
            </w:r>
          </w:p>
        </w:tc>
        <w:tc>
          <w:tcPr>
            <w:tcW w:w="1772" w:type="dxa"/>
            <w:shd w:val="clear" w:color="auto" w:fill="auto"/>
            <w:noWrap/>
            <w:hideMark/>
          </w:tcPr>
          <w:p w14:paraId="4BD63FFA" w14:textId="77777777" w:rsidR="008B200E" w:rsidRPr="00092ED7" w:rsidRDefault="008B200E" w:rsidP="00A06946">
            <w:pPr>
              <w:spacing w:after="0"/>
              <w:jc w:val="right"/>
              <w:rPr>
                <w:rFonts w:eastAsia="Times New Roman" w:cs="Times New Roman"/>
                <w:b/>
                <w:sz w:val="20"/>
                <w:szCs w:val="20"/>
                <w:lang w:val="sr-Cyrl-CS" w:eastAsia="sr-Cyrl-RS"/>
              </w:rPr>
            </w:pPr>
            <w:r w:rsidRPr="00092ED7">
              <w:rPr>
                <w:b/>
                <w:sz w:val="20"/>
                <w:szCs w:val="20"/>
                <w:lang w:val="sr-Cyrl-CS"/>
              </w:rPr>
              <w:t>2020</w:t>
            </w:r>
          </w:p>
        </w:tc>
        <w:tc>
          <w:tcPr>
            <w:tcW w:w="1772" w:type="dxa"/>
            <w:shd w:val="clear" w:color="auto" w:fill="auto"/>
            <w:noWrap/>
            <w:hideMark/>
          </w:tcPr>
          <w:p w14:paraId="75613202" w14:textId="77777777" w:rsidR="008B200E" w:rsidRPr="00092ED7" w:rsidRDefault="008B200E" w:rsidP="00A06946">
            <w:pPr>
              <w:spacing w:after="0"/>
              <w:jc w:val="right"/>
              <w:rPr>
                <w:rFonts w:eastAsia="Times New Roman" w:cs="Times New Roman"/>
                <w:b/>
                <w:sz w:val="20"/>
                <w:szCs w:val="20"/>
                <w:lang w:val="sr-Cyrl-CS" w:eastAsia="sr-Cyrl-RS"/>
              </w:rPr>
            </w:pPr>
            <w:r w:rsidRPr="00092ED7">
              <w:rPr>
                <w:b/>
                <w:sz w:val="20"/>
                <w:szCs w:val="20"/>
                <w:lang w:val="sr-Cyrl-CS"/>
              </w:rPr>
              <w:t>2021</w:t>
            </w:r>
          </w:p>
        </w:tc>
      </w:tr>
      <w:tr w:rsidR="008B200E" w:rsidRPr="00092ED7" w14:paraId="375D2485" w14:textId="77777777" w:rsidTr="00613B5B">
        <w:trPr>
          <w:trHeight w:val="25"/>
        </w:trPr>
        <w:tc>
          <w:tcPr>
            <w:tcW w:w="5103" w:type="dxa"/>
            <w:shd w:val="clear" w:color="auto" w:fill="auto"/>
            <w:noWrap/>
            <w:hideMark/>
          </w:tcPr>
          <w:p w14:paraId="2053C7F9" w14:textId="77777777" w:rsidR="008B200E" w:rsidRPr="00092ED7" w:rsidRDefault="008B200E" w:rsidP="00A06946">
            <w:pPr>
              <w:spacing w:after="0"/>
              <w:rPr>
                <w:rFonts w:eastAsia="Times New Roman" w:cs="Times New Roman"/>
                <w:sz w:val="20"/>
                <w:szCs w:val="20"/>
                <w:lang w:val="sr-Cyrl-CS" w:eastAsia="sr-Cyrl-RS"/>
              </w:rPr>
            </w:pPr>
            <w:r w:rsidRPr="00092ED7">
              <w:rPr>
                <w:rFonts w:cs="Times New Roman"/>
                <w:sz w:val="20"/>
                <w:szCs w:val="20"/>
                <w:lang w:val="sr-Cyrl-CS"/>
              </w:rPr>
              <w:t>Укупна имовина</w:t>
            </w:r>
          </w:p>
        </w:tc>
        <w:tc>
          <w:tcPr>
            <w:tcW w:w="1772" w:type="dxa"/>
            <w:shd w:val="clear" w:color="auto" w:fill="auto"/>
            <w:noWrap/>
            <w:hideMark/>
          </w:tcPr>
          <w:p w14:paraId="492B6171"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2.654</w:t>
            </w:r>
          </w:p>
        </w:tc>
        <w:tc>
          <w:tcPr>
            <w:tcW w:w="1772" w:type="dxa"/>
            <w:shd w:val="clear" w:color="auto" w:fill="auto"/>
            <w:noWrap/>
            <w:hideMark/>
          </w:tcPr>
          <w:p w14:paraId="2045F88E"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3.217</w:t>
            </w:r>
          </w:p>
        </w:tc>
      </w:tr>
      <w:tr w:rsidR="008B200E" w:rsidRPr="00092ED7" w14:paraId="386053D0" w14:textId="77777777" w:rsidTr="00613B5B">
        <w:trPr>
          <w:trHeight w:val="25"/>
        </w:trPr>
        <w:tc>
          <w:tcPr>
            <w:tcW w:w="5103" w:type="dxa"/>
            <w:shd w:val="clear" w:color="auto" w:fill="auto"/>
            <w:noWrap/>
            <w:hideMark/>
          </w:tcPr>
          <w:p w14:paraId="0B4EE05B" w14:textId="77777777" w:rsidR="008B200E" w:rsidRPr="00092ED7" w:rsidRDefault="008B200E" w:rsidP="00613B5B">
            <w:pPr>
              <w:spacing w:after="0"/>
              <w:jc w:val="left"/>
              <w:rPr>
                <w:rFonts w:eastAsia="Times New Roman" w:cs="Times New Roman"/>
                <w:sz w:val="20"/>
                <w:szCs w:val="20"/>
                <w:lang w:val="sr-Cyrl-CS" w:eastAsia="sr-Cyrl-RS"/>
              </w:rPr>
            </w:pPr>
            <w:r w:rsidRPr="00092ED7">
              <w:rPr>
                <w:rFonts w:cs="Times New Roman"/>
                <w:sz w:val="20"/>
                <w:szCs w:val="20"/>
                <w:lang w:val="sr-Cyrl-CS"/>
              </w:rPr>
              <w:t>Сопствени капитал</w:t>
            </w:r>
          </w:p>
        </w:tc>
        <w:tc>
          <w:tcPr>
            <w:tcW w:w="1772" w:type="dxa"/>
            <w:shd w:val="clear" w:color="auto" w:fill="auto"/>
            <w:noWrap/>
            <w:hideMark/>
          </w:tcPr>
          <w:p w14:paraId="6C01B4F5"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1.033</w:t>
            </w:r>
          </w:p>
        </w:tc>
        <w:tc>
          <w:tcPr>
            <w:tcW w:w="1772" w:type="dxa"/>
            <w:shd w:val="clear" w:color="auto" w:fill="auto"/>
            <w:noWrap/>
            <w:hideMark/>
          </w:tcPr>
          <w:p w14:paraId="18881A29"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1.140</w:t>
            </w:r>
          </w:p>
        </w:tc>
      </w:tr>
      <w:tr w:rsidR="008B200E" w:rsidRPr="00092ED7" w14:paraId="0B673FC1" w14:textId="77777777" w:rsidTr="00613B5B">
        <w:trPr>
          <w:trHeight w:val="25"/>
        </w:trPr>
        <w:tc>
          <w:tcPr>
            <w:tcW w:w="5103" w:type="dxa"/>
            <w:shd w:val="clear" w:color="auto" w:fill="auto"/>
            <w:noWrap/>
            <w:hideMark/>
          </w:tcPr>
          <w:p w14:paraId="627C1FE3" w14:textId="77777777" w:rsidR="008B200E" w:rsidRPr="00092ED7" w:rsidRDefault="008B200E" w:rsidP="00A06946">
            <w:pPr>
              <w:spacing w:after="0"/>
              <w:rPr>
                <w:rFonts w:eastAsia="Times New Roman" w:cs="Times New Roman"/>
                <w:sz w:val="20"/>
                <w:szCs w:val="20"/>
                <w:lang w:val="sr-Cyrl-CS" w:eastAsia="sr-Cyrl-RS"/>
              </w:rPr>
            </w:pPr>
            <w:r w:rsidRPr="00092ED7">
              <w:rPr>
                <w:rFonts w:cs="Times New Roman"/>
                <w:sz w:val="20"/>
                <w:szCs w:val="20"/>
                <w:lang w:val="sr-Cyrl-CS"/>
              </w:rPr>
              <w:t>Укупни приходи</w:t>
            </w:r>
          </w:p>
        </w:tc>
        <w:tc>
          <w:tcPr>
            <w:tcW w:w="1772" w:type="dxa"/>
            <w:shd w:val="clear" w:color="auto" w:fill="auto"/>
            <w:noWrap/>
            <w:hideMark/>
          </w:tcPr>
          <w:p w14:paraId="4EE032B0"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536,4</w:t>
            </w:r>
          </w:p>
        </w:tc>
        <w:tc>
          <w:tcPr>
            <w:tcW w:w="1772" w:type="dxa"/>
            <w:shd w:val="clear" w:color="auto" w:fill="auto"/>
            <w:noWrap/>
            <w:hideMark/>
          </w:tcPr>
          <w:p w14:paraId="0A056102"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776</w:t>
            </w:r>
          </w:p>
        </w:tc>
      </w:tr>
      <w:tr w:rsidR="008B200E" w:rsidRPr="00092ED7" w14:paraId="7B19CCB2" w14:textId="77777777" w:rsidTr="00613B5B">
        <w:trPr>
          <w:trHeight w:val="25"/>
        </w:trPr>
        <w:tc>
          <w:tcPr>
            <w:tcW w:w="5103" w:type="dxa"/>
            <w:shd w:val="clear" w:color="auto" w:fill="auto"/>
            <w:noWrap/>
            <w:hideMark/>
          </w:tcPr>
          <w:p w14:paraId="1305812B" w14:textId="77777777" w:rsidR="008B200E" w:rsidRPr="00092ED7" w:rsidRDefault="008B200E" w:rsidP="00A06946">
            <w:pPr>
              <w:spacing w:after="0"/>
              <w:rPr>
                <w:rFonts w:eastAsia="Times New Roman" w:cs="Times New Roman"/>
                <w:sz w:val="20"/>
                <w:szCs w:val="20"/>
                <w:lang w:val="sr-Cyrl-CS" w:eastAsia="sr-Cyrl-RS"/>
              </w:rPr>
            </w:pPr>
            <w:r w:rsidRPr="00092ED7">
              <w:rPr>
                <w:rFonts w:cs="Times New Roman"/>
                <w:sz w:val="20"/>
                <w:szCs w:val="20"/>
                <w:lang w:val="sr-Cyrl-CS"/>
              </w:rPr>
              <w:t>Нето добитак</w:t>
            </w:r>
          </w:p>
        </w:tc>
        <w:tc>
          <w:tcPr>
            <w:tcW w:w="1772" w:type="dxa"/>
            <w:shd w:val="clear" w:color="auto" w:fill="auto"/>
            <w:noWrap/>
            <w:hideMark/>
          </w:tcPr>
          <w:p w14:paraId="55390EFC"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15,2</w:t>
            </w:r>
          </w:p>
        </w:tc>
        <w:tc>
          <w:tcPr>
            <w:tcW w:w="1772" w:type="dxa"/>
            <w:shd w:val="clear" w:color="auto" w:fill="auto"/>
            <w:noWrap/>
            <w:hideMark/>
          </w:tcPr>
          <w:p w14:paraId="0900B483"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-12,7</w:t>
            </w:r>
          </w:p>
        </w:tc>
      </w:tr>
      <w:tr w:rsidR="008B200E" w:rsidRPr="00092ED7" w14:paraId="0506A742" w14:textId="77777777" w:rsidTr="00613B5B">
        <w:trPr>
          <w:trHeight w:val="25"/>
        </w:trPr>
        <w:tc>
          <w:tcPr>
            <w:tcW w:w="5103" w:type="dxa"/>
            <w:shd w:val="clear" w:color="auto" w:fill="auto"/>
            <w:noWrap/>
            <w:hideMark/>
          </w:tcPr>
          <w:p w14:paraId="27CEB0F7" w14:textId="77777777" w:rsidR="008B200E" w:rsidRPr="00092ED7" w:rsidRDefault="008B200E" w:rsidP="00A06946">
            <w:pPr>
              <w:spacing w:after="0"/>
              <w:rPr>
                <w:rFonts w:eastAsia="Times New Roman" w:cs="Times New Roman"/>
                <w:sz w:val="20"/>
                <w:szCs w:val="20"/>
                <w:lang w:val="sr-Cyrl-CS" w:eastAsia="sr-Cyrl-RS"/>
              </w:rPr>
            </w:pPr>
            <w:r w:rsidRPr="00092ED7">
              <w:rPr>
                <w:rFonts w:cs="Times New Roman"/>
                <w:sz w:val="20"/>
                <w:szCs w:val="20"/>
                <w:lang w:val="sr-Cyrl-CS"/>
              </w:rPr>
              <w:t>Субвенције</w:t>
            </w:r>
          </w:p>
        </w:tc>
        <w:tc>
          <w:tcPr>
            <w:tcW w:w="1772" w:type="dxa"/>
            <w:shd w:val="clear" w:color="auto" w:fill="auto"/>
            <w:noWrap/>
            <w:hideMark/>
          </w:tcPr>
          <w:p w14:paraId="3F67C793"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66,7</w:t>
            </w:r>
          </w:p>
        </w:tc>
        <w:tc>
          <w:tcPr>
            <w:tcW w:w="1772" w:type="dxa"/>
            <w:shd w:val="clear" w:color="auto" w:fill="auto"/>
            <w:noWrap/>
            <w:hideMark/>
          </w:tcPr>
          <w:p w14:paraId="0B60360F"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67,3</w:t>
            </w:r>
          </w:p>
        </w:tc>
      </w:tr>
      <w:tr w:rsidR="008B200E" w:rsidRPr="00092ED7" w14:paraId="625D8F04" w14:textId="77777777" w:rsidTr="00613B5B">
        <w:trPr>
          <w:trHeight w:val="25"/>
        </w:trPr>
        <w:tc>
          <w:tcPr>
            <w:tcW w:w="5103" w:type="dxa"/>
            <w:shd w:val="clear" w:color="auto" w:fill="auto"/>
            <w:noWrap/>
            <w:hideMark/>
          </w:tcPr>
          <w:p w14:paraId="6B4B3F3A" w14:textId="77777777" w:rsidR="008B200E" w:rsidRPr="00092ED7" w:rsidRDefault="008B200E" w:rsidP="00A06946">
            <w:pPr>
              <w:spacing w:after="0"/>
              <w:rPr>
                <w:rFonts w:eastAsia="Times New Roman" w:cs="Times New Roman"/>
                <w:sz w:val="20"/>
                <w:szCs w:val="20"/>
                <w:lang w:val="sr-Cyrl-CS" w:eastAsia="sr-Cyrl-RS"/>
              </w:rPr>
            </w:pPr>
            <w:r w:rsidRPr="00092ED7">
              <w:rPr>
                <w:rFonts w:cs="Times New Roman"/>
                <w:sz w:val="20"/>
                <w:szCs w:val="20"/>
                <w:lang w:val="sr-Cyrl-CS"/>
              </w:rPr>
              <w:t>Субвенције, без ЈП „Путеви Србије”</w:t>
            </w:r>
          </w:p>
        </w:tc>
        <w:tc>
          <w:tcPr>
            <w:tcW w:w="1772" w:type="dxa"/>
            <w:shd w:val="clear" w:color="auto" w:fill="auto"/>
            <w:noWrap/>
            <w:hideMark/>
          </w:tcPr>
          <w:p w14:paraId="40C59360"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39,8</w:t>
            </w:r>
          </w:p>
        </w:tc>
        <w:tc>
          <w:tcPr>
            <w:tcW w:w="1772" w:type="dxa"/>
            <w:shd w:val="clear" w:color="auto" w:fill="auto"/>
            <w:noWrap/>
            <w:hideMark/>
          </w:tcPr>
          <w:p w14:paraId="76B394BA"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38,1</w:t>
            </w:r>
          </w:p>
        </w:tc>
      </w:tr>
    </w:tbl>
    <w:p w14:paraId="3A447893" w14:textId="77777777" w:rsidR="008B200E" w:rsidRPr="00092ED7" w:rsidRDefault="008B200E" w:rsidP="00613B5B">
      <w:pPr>
        <w:spacing w:before="60"/>
        <w:rPr>
          <w:rFonts w:eastAsia="Calibri" w:cs="Times New Roman"/>
          <w:bCs/>
          <w:sz w:val="18"/>
          <w:szCs w:val="18"/>
          <w:lang w:val="sr-Cyrl-CS" w:eastAsia="ja-JP"/>
        </w:rPr>
      </w:pPr>
      <w:r w:rsidRPr="00092ED7">
        <w:rPr>
          <w:rFonts w:eastAsia="Calibri" w:cs="Times New Roman"/>
          <w:bCs/>
          <w:sz w:val="18"/>
          <w:szCs w:val="18"/>
          <w:lang w:val="sr-Cyrl-CS" w:eastAsia="ja-JP"/>
        </w:rPr>
        <w:t>Извор: Финансијски извештаји за 2020. и 2021. годину</w:t>
      </w:r>
    </w:p>
    <w:p w14:paraId="6FD27D5C" w14:textId="77777777" w:rsidR="008B200E" w:rsidRPr="00092ED7" w:rsidRDefault="008B200E" w:rsidP="00613B5B">
      <w:pPr>
        <w:spacing w:after="60"/>
        <w:rPr>
          <w:highlight w:val="yellow"/>
          <w:lang w:val="sr-Cyrl-CS" w:eastAsia="ja-JP"/>
        </w:rPr>
      </w:pPr>
      <w:r w:rsidRPr="00092ED7">
        <w:rPr>
          <w:rFonts w:eastAsia="MS PGothic" w:cstheme="minorHAnsi"/>
          <w:szCs w:val="20"/>
          <w:lang w:val="sr-Cyrl-CS" w:eastAsia="ja-JP"/>
        </w:rPr>
        <w:t>У 2021. години субвенције су, изражене у проценту укупних прихода, на нижем нивоу у односу на претходну годину и чине 8,7% укупних прихода јавних предузећа. Одређене субвенције имају капитални карактер, као што су субвенције за ЈП „Путеви Србије</w:t>
      </w:r>
      <w:r w:rsidRPr="00092ED7">
        <w:rPr>
          <w:rFonts w:eastAsia="MS PGothic" w:cstheme="minorHAnsi"/>
          <w:bCs/>
          <w:szCs w:val="20"/>
          <w:lang w:val="sr-Cyrl-CS" w:eastAsia="ja-JP"/>
        </w:rPr>
        <w:t>”</w:t>
      </w:r>
      <w:r w:rsidRPr="00092ED7">
        <w:rPr>
          <w:rFonts w:eastAsia="MS PGothic" w:cstheme="minorHAnsi"/>
          <w:szCs w:val="20"/>
          <w:lang w:val="sr-Cyrl-CS" w:eastAsia="ja-JP"/>
        </w:rPr>
        <w:t>, које су намењене реконструкцији путне инфраструктуре.</w:t>
      </w:r>
    </w:p>
    <w:p w14:paraId="79202A14" w14:textId="7D402454" w:rsidR="008B200E" w:rsidRPr="00092ED7" w:rsidRDefault="008B200E" w:rsidP="00613B5B">
      <w:pPr>
        <w:spacing w:after="60"/>
        <w:rPr>
          <w:highlight w:val="yellow"/>
          <w:lang w:val="sr-Cyrl-CS" w:eastAsia="ja-JP"/>
        </w:rPr>
      </w:pPr>
      <w:r w:rsidRPr="00092ED7">
        <w:rPr>
          <w:rFonts w:eastAsia="MS PGothic" w:cstheme="minorHAnsi"/>
          <w:szCs w:val="20"/>
          <w:lang w:val="sr-Cyrl-CS" w:eastAsia="ja-JP"/>
        </w:rPr>
        <w:t>Укупан нето резултат утврђен у првој половини 2022. године је губитак у износу од 42,9 млрд динара. Резултат текуће године је прецењен за трошкове амортизације ЈП „Путеви Србије</w:t>
      </w:r>
      <w:r w:rsidRPr="00092ED7">
        <w:rPr>
          <w:rFonts w:eastAsia="MS PGothic" w:cstheme="minorHAnsi"/>
          <w:bCs/>
          <w:szCs w:val="20"/>
          <w:lang w:val="sr-Cyrl-CS" w:eastAsia="ja-JP"/>
        </w:rPr>
        <w:t>”</w:t>
      </w:r>
      <w:r w:rsidRPr="00092ED7">
        <w:rPr>
          <w:rFonts w:eastAsia="MS PGothic" w:cstheme="minorHAnsi"/>
          <w:szCs w:val="20"/>
          <w:lang w:val="sr-Cyrl-CS" w:eastAsia="ja-JP"/>
        </w:rPr>
        <w:t xml:space="preserve">, јер предузеће ове трошкове књижи тек на крају године у целокупном износу за дату годину. У првој половини текуће године добит је остварило 24 предузећа у укупном износу од 10,4 млрд динара, то је мање у односу на планирано (планирана вредност износи 19,5 млрд динара). Највећи утицај на позитиван нето резултат у посматраном периоду има </w:t>
      </w:r>
      <w:r w:rsidR="00826CDD" w:rsidRPr="00092ED7">
        <w:rPr>
          <w:rFonts w:eastAsia="MS PGothic" w:cstheme="minorHAnsi"/>
          <w:szCs w:val="20"/>
          <w:lang w:val="sr-Cyrl-CS" w:eastAsia="ja-JP"/>
        </w:rPr>
        <w:t xml:space="preserve">АД </w:t>
      </w:r>
      <w:r w:rsidR="000B339E" w:rsidRPr="00092ED7">
        <w:rPr>
          <w:rFonts w:eastAsia="MS PGothic" w:cstheme="minorHAnsi"/>
          <w:szCs w:val="20"/>
          <w:lang w:val="sr-Cyrl-CS" w:eastAsia="ja-JP"/>
        </w:rPr>
        <w:t>„Електромрежа Србије”</w:t>
      </w:r>
      <w:r w:rsidRPr="00092ED7">
        <w:rPr>
          <w:rFonts w:eastAsia="MS PGothic" w:cstheme="minorHAnsi"/>
          <w:szCs w:val="20"/>
          <w:lang w:val="sr-Cyrl-CS" w:eastAsia="ja-JP"/>
        </w:rPr>
        <w:t xml:space="preserve"> које је остварило нето добит у износу од 3,8 млрд динара. У првој половини текуће године 12 предузећа је остварило нето губитак у укупном износу од 53,3 млрд динара, што је боље у односу на планирану вредност која је негативна и износи 60,7 млрд динарa.</w:t>
      </w:r>
    </w:p>
    <w:p w14:paraId="61FB449D" w14:textId="0A3B6491" w:rsidR="008B200E" w:rsidRPr="00092ED7" w:rsidRDefault="008B200E" w:rsidP="00613B5B">
      <w:pPr>
        <w:spacing w:after="60"/>
        <w:rPr>
          <w:rFonts w:eastAsia="MS PGothic" w:cstheme="minorHAnsi"/>
          <w:szCs w:val="20"/>
          <w:lang w:val="sr-Cyrl-CS" w:eastAsia="ja-JP"/>
        </w:rPr>
      </w:pPr>
      <w:r w:rsidRPr="00092ED7">
        <w:rPr>
          <w:rFonts w:eastAsia="MS PGothic" w:cstheme="minorHAnsi"/>
          <w:szCs w:val="20"/>
          <w:lang w:val="sr-Cyrl-CS" w:eastAsia="ja-JP"/>
        </w:rPr>
        <w:t>У циљу умањења фискалних ризика повезаних са пословањем јавних предузећа у току су процеси реструктурирања највећих јавних предузећа (групе предузећа које се баве железничким саобраћајем – „Железнице Србије” а</w:t>
      </w:r>
      <w:r w:rsidR="00826CDD" w:rsidRPr="00092ED7">
        <w:rPr>
          <w:rFonts w:eastAsia="MS PGothic" w:cstheme="minorHAnsi"/>
          <w:szCs w:val="20"/>
          <w:lang w:val="sr-Cyrl-CS" w:eastAsia="ja-JP"/>
        </w:rPr>
        <w:t>.</w:t>
      </w:r>
      <w:r w:rsidRPr="00092ED7">
        <w:rPr>
          <w:rFonts w:eastAsia="MS PGothic" w:cstheme="minorHAnsi"/>
          <w:szCs w:val="20"/>
          <w:lang w:val="sr-Cyrl-CS" w:eastAsia="ja-JP"/>
        </w:rPr>
        <w:t>д, „Инфраструктура железнице Србије” а.д</w:t>
      </w:r>
      <w:r w:rsidR="00826CDD" w:rsidRPr="00092ED7">
        <w:rPr>
          <w:rFonts w:eastAsia="MS PGothic" w:cstheme="minorHAnsi"/>
          <w:szCs w:val="20"/>
          <w:lang w:val="sr-Cyrl-CS" w:eastAsia="ja-JP"/>
        </w:rPr>
        <w:t xml:space="preserve">, </w:t>
      </w:r>
      <w:r w:rsidRPr="00092ED7">
        <w:rPr>
          <w:rFonts w:eastAsia="MS PGothic" w:cstheme="minorHAnsi"/>
          <w:szCs w:val="20"/>
          <w:lang w:val="sr-Cyrl-CS" w:eastAsia="ja-JP"/>
        </w:rPr>
        <w:t>„Србија Воз” а.д</w:t>
      </w:r>
      <w:r w:rsidR="002F42C1" w:rsidRPr="00092ED7">
        <w:rPr>
          <w:rFonts w:eastAsia="MS PGothic" w:cstheme="minorHAnsi"/>
          <w:szCs w:val="20"/>
          <w:lang w:val="sr-Cyrl-CS" w:eastAsia="ja-JP"/>
        </w:rPr>
        <w:t>,</w:t>
      </w:r>
      <w:r w:rsidRPr="00092ED7">
        <w:rPr>
          <w:rFonts w:eastAsia="MS PGothic" w:cstheme="minorHAnsi"/>
          <w:szCs w:val="20"/>
          <w:lang w:val="sr-Cyrl-CS" w:eastAsia="ja-JP"/>
        </w:rPr>
        <w:t xml:space="preserve"> „Србија Карго” а.д</w:t>
      </w:r>
      <w:r w:rsidR="002F42C1" w:rsidRPr="00092ED7">
        <w:rPr>
          <w:rFonts w:eastAsia="MS PGothic" w:cstheme="minorHAnsi"/>
          <w:szCs w:val="20"/>
          <w:lang w:val="sr-Cyrl-CS" w:eastAsia="ja-JP"/>
        </w:rPr>
        <w:t>,</w:t>
      </w:r>
      <w:r w:rsidR="00217782" w:rsidRPr="00092ED7">
        <w:rPr>
          <w:rFonts w:eastAsia="MS PGothic" w:cstheme="minorHAnsi"/>
          <w:szCs w:val="20"/>
          <w:lang w:val="sr-Cyrl-CS" w:eastAsia="ja-JP"/>
        </w:rPr>
        <w:t xml:space="preserve"> </w:t>
      </w:r>
      <w:r w:rsidRPr="00092ED7">
        <w:rPr>
          <w:rFonts w:eastAsia="MS PGothic" w:cstheme="minorHAnsi"/>
          <w:szCs w:val="20"/>
          <w:lang w:val="sr-Cyrl-CS" w:eastAsia="ja-JP"/>
        </w:rPr>
        <w:t>ЈП ЕПС и ЈП „Србијагас”). Целокупан процес се спроводи у сарадњи за водећим светским финансијским институцијама – ММФ, Светском банком и ЕБРД, како би се ова предузећа поставила на здраве основе и почела да функционишу по тржишном принципу, те умањили потенцијални фискални трошкови који могу проистећи из њиховог пословања.</w:t>
      </w:r>
    </w:p>
    <w:p w14:paraId="7F8424E8" w14:textId="77777777" w:rsidR="008B200E" w:rsidRPr="00092ED7" w:rsidRDefault="008B200E" w:rsidP="00613B5B">
      <w:pPr>
        <w:spacing w:after="60"/>
        <w:rPr>
          <w:highlight w:val="yellow"/>
          <w:lang w:val="sr-Cyrl-CS" w:eastAsia="ja-JP"/>
        </w:rPr>
      </w:pPr>
      <w:r w:rsidRPr="00092ED7">
        <w:rPr>
          <w:lang w:val="sr-Cyrl-CS" w:eastAsia="ja-JP"/>
        </w:rPr>
        <w:t>Уплата добити од стране јавних предузећа и дивиденди друштава капитала у којима држава има власништво представљају значајан део непореских прихода. Обавеза за јавна предузећа да уплате најмање 50% добити остварене у претходној години прописана је и Законом о буџету Републике Србије за 2022. годину.</w:t>
      </w:r>
    </w:p>
    <w:p w14:paraId="0B88CB60" w14:textId="50B0858F" w:rsidR="008B200E" w:rsidRPr="00092ED7" w:rsidRDefault="008B200E" w:rsidP="00613B5B">
      <w:pPr>
        <w:spacing w:after="60"/>
        <w:rPr>
          <w:lang w:val="sr-Cyrl-CS" w:eastAsia="ja-JP"/>
        </w:rPr>
      </w:pPr>
      <w:r w:rsidRPr="00092ED7">
        <w:rPr>
          <w:lang w:val="sr-Cyrl-CS" w:eastAsia="ja-JP"/>
        </w:rPr>
        <w:t>Пре периода фискалне консолидације</w:t>
      </w:r>
      <w:r w:rsidR="008434D8" w:rsidRPr="00092ED7">
        <w:rPr>
          <w:lang w:val="sr-Cyrl-CS" w:eastAsia="ja-JP"/>
        </w:rPr>
        <w:t>,</w:t>
      </w:r>
      <w:r w:rsidRPr="00092ED7">
        <w:rPr>
          <w:lang w:val="sr-Cyrl-CS" w:eastAsia="ja-JP"/>
        </w:rPr>
        <w:t xml:space="preserve"> Република Србија имала је значајне фискалне трошкове спашавања државних банака. Укупни трошкови државних интервенција у банкарском сектору у периоду 2012–2015. године износили су око 900 милиона евра. То је износ издвојен за докапитализацију банака, различите финансијске трансакције приликом припајања неуспешних банака успешнијим, укључујући и исплату осигураних и неосигураних депозита (за шта су коришћена и средства Фонда за осигурање депозита).</w:t>
      </w:r>
    </w:p>
    <w:p w14:paraId="19EED55A" w14:textId="0FC8AA91" w:rsidR="008B200E" w:rsidRPr="00092ED7" w:rsidRDefault="008B200E" w:rsidP="00055DC9">
      <w:pPr>
        <w:spacing w:after="60"/>
        <w:rPr>
          <w:lang w:val="sr-Cyrl-CS" w:eastAsia="ja-JP"/>
        </w:rPr>
      </w:pPr>
      <w:r w:rsidRPr="00092ED7">
        <w:rPr>
          <w:lang w:val="sr-Cyrl-CS" w:eastAsia="ja-JP"/>
        </w:rPr>
        <w:t>Република Србија данас у банкарском сектору има директан удео у капиталу:</w:t>
      </w:r>
    </w:p>
    <w:p w14:paraId="7A7BAF5D" w14:textId="77777777" w:rsidR="008B200E" w:rsidRPr="00092ED7" w:rsidRDefault="008B200E" w:rsidP="00055DC9">
      <w:pPr>
        <w:pStyle w:val="ListParagraph"/>
        <w:numPr>
          <w:ilvl w:val="0"/>
          <w:numId w:val="10"/>
        </w:numPr>
        <w:spacing w:line="240" w:lineRule="auto"/>
        <w:rPr>
          <w:sz w:val="24"/>
          <w:szCs w:val="24"/>
          <w:lang w:val="sr-Cyrl-CS"/>
        </w:rPr>
      </w:pPr>
      <w:r w:rsidRPr="00092ED7">
        <w:rPr>
          <w:sz w:val="24"/>
          <w:szCs w:val="24"/>
          <w:lang w:val="sr-Cyrl-CS"/>
        </w:rPr>
        <w:t>Банке Поштанска штедионица а.д. Београд (72,64%),</w:t>
      </w:r>
    </w:p>
    <w:p w14:paraId="76038289" w14:textId="77777777" w:rsidR="008B200E" w:rsidRPr="00092ED7" w:rsidRDefault="008B200E" w:rsidP="00055DC9">
      <w:pPr>
        <w:pStyle w:val="ListParagraph"/>
        <w:numPr>
          <w:ilvl w:val="0"/>
          <w:numId w:val="10"/>
        </w:numPr>
        <w:spacing w:line="240" w:lineRule="auto"/>
        <w:rPr>
          <w:sz w:val="24"/>
          <w:szCs w:val="24"/>
          <w:lang w:val="sr-Cyrl-CS"/>
        </w:rPr>
      </w:pPr>
      <w:r w:rsidRPr="00092ED7">
        <w:rPr>
          <w:sz w:val="24"/>
          <w:szCs w:val="24"/>
          <w:lang w:val="sr-Cyrl-CS"/>
        </w:rPr>
        <w:t>Српске банке а.д. Београд (76,69%).</w:t>
      </w:r>
    </w:p>
    <w:p w14:paraId="7FB3B66E" w14:textId="77777777" w:rsidR="008B200E" w:rsidRPr="00092ED7" w:rsidRDefault="008B200E" w:rsidP="00613B5B">
      <w:pPr>
        <w:spacing w:after="60"/>
        <w:rPr>
          <w:lang w:val="sr-Cyrl-CS" w:eastAsia="ja-JP"/>
        </w:rPr>
      </w:pPr>
      <w:r w:rsidRPr="00092ED7">
        <w:rPr>
          <w:lang w:val="sr-Cyrl-CS" w:eastAsia="ja-JP"/>
        </w:rPr>
        <w:t>У циљу доследног спровођења излазне стратегије и смањења фискалних ризика по овом основу настављају се реформске активности у области државних финансијских институција започете 2012. године, односно 2015. године.</w:t>
      </w:r>
    </w:p>
    <w:p w14:paraId="2C6A931F" w14:textId="4CDF0B1A" w:rsidR="008B200E" w:rsidRPr="00092ED7" w:rsidRDefault="008B200E" w:rsidP="00613B5B">
      <w:pPr>
        <w:spacing w:after="60"/>
        <w:rPr>
          <w:lang w:val="sr-Cyrl-CS" w:eastAsia="ja-JP"/>
        </w:rPr>
      </w:pPr>
      <w:r w:rsidRPr="00092ED7">
        <w:rPr>
          <w:lang w:val="sr-Cyrl-CS" w:eastAsia="ja-JP"/>
        </w:rPr>
        <w:t>Уз подршку Светске банке наставиће се са спровођењем стратегије за Банку Поштанска штедионица</w:t>
      </w:r>
      <w:r w:rsidR="00217782" w:rsidRPr="00092ED7">
        <w:rPr>
          <w:lang w:val="sr-Cyrl-CS" w:eastAsia="ja-JP"/>
        </w:rPr>
        <w:t xml:space="preserve"> а.д. Београд</w:t>
      </w:r>
      <w:r w:rsidRPr="00092ED7">
        <w:rPr>
          <w:lang w:val="sr-Cyrl-CS" w:eastAsia="ja-JP"/>
        </w:rPr>
        <w:t xml:space="preserve"> са нагласком на преусмеравање пословања са становништвом, предузетницима, микропредузећима и малим предузећима; побољшање интерне организације банке, корпоративног управљања и управљања ризиком; јачање ИТ инфраструктуре, као и план пословања за период 2020–2022. године.</w:t>
      </w:r>
    </w:p>
    <w:p w14:paraId="72044034" w14:textId="77777777" w:rsidR="00055DC9" w:rsidRDefault="00055DC9" w:rsidP="00613B5B">
      <w:pPr>
        <w:spacing w:after="60"/>
        <w:rPr>
          <w:lang w:val="sr-Cyrl-CS" w:eastAsia="ja-JP"/>
        </w:rPr>
      </w:pPr>
    </w:p>
    <w:p w14:paraId="6F36F665" w14:textId="77777777" w:rsidR="00055DC9" w:rsidRDefault="00055DC9" w:rsidP="00613B5B">
      <w:pPr>
        <w:spacing w:after="60"/>
        <w:rPr>
          <w:lang w:val="sr-Cyrl-CS" w:eastAsia="ja-JP"/>
        </w:rPr>
      </w:pPr>
    </w:p>
    <w:p w14:paraId="0F9ADB2A" w14:textId="2820039A" w:rsidR="008B200E" w:rsidRPr="00092ED7" w:rsidRDefault="008B200E" w:rsidP="00613B5B">
      <w:pPr>
        <w:spacing w:after="60"/>
        <w:rPr>
          <w:lang w:val="sr-Cyrl-CS" w:eastAsia="ja-JP"/>
        </w:rPr>
      </w:pPr>
      <w:r w:rsidRPr="00092ED7">
        <w:rPr>
          <w:lang w:val="sr-Cyrl-CS" w:eastAsia="ja-JP"/>
        </w:rPr>
        <w:t>У складу са Владином стратегијом за државне банке, формирана је Стручна радна група за трaнсфoрмaциjу Српске банке</w:t>
      </w:r>
      <w:r w:rsidR="007C22D5" w:rsidRPr="00092ED7">
        <w:rPr>
          <w:lang w:val="sr-Cyrl-CS" w:eastAsia="ja-JP"/>
        </w:rPr>
        <w:t xml:space="preserve"> а.д. Београд</w:t>
      </w:r>
      <w:r w:rsidRPr="00092ED7">
        <w:rPr>
          <w:lang w:val="sr-Cyrl-CS" w:eastAsia="ja-JP"/>
        </w:rPr>
        <w:t xml:space="preserve"> у спeциjaлизoвaну финансијску институцију за пружање свих врста финансијских услуга и подршке нaмeнскoj индустрији Републике Србије дана 21. јануара 2019. године и почела је са формалним радом у марту 2019. године када је одржана конститутивна седница.</w:t>
      </w:r>
    </w:p>
    <w:p w14:paraId="42D69800" w14:textId="764533D1" w:rsidR="008B200E" w:rsidRPr="00092ED7" w:rsidRDefault="008B200E" w:rsidP="00613B5B">
      <w:pPr>
        <w:spacing w:after="60"/>
        <w:rPr>
          <w:highlight w:val="yellow"/>
          <w:lang w:val="sr-Cyrl-CS" w:eastAsia="ja-JP"/>
        </w:rPr>
      </w:pPr>
      <w:r w:rsidRPr="00092ED7">
        <w:rPr>
          <w:lang w:val="sr-Cyrl-CS" w:eastAsia="ja-JP"/>
        </w:rPr>
        <w:t xml:space="preserve">Реформа прописа који уређују финансијски систем спроведена је фебруара 2015. године. Једна од карактеристика те реформе јесте и пренос надлежности праћења резултата пословања и рада органа управљања у банкама, друштвима за осигурање и другим финансијским институцијама чији је акционар Република Србија, као и организовање и спровођење поступка продаје акција у њима, са </w:t>
      </w:r>
      <w:r w:rsidR="00A4749F" w:rsidRPr="00092ED7">
        <w:rPr>
          <w:lang w:val="sr-Cyrl-CS" w:eastAsia="ja-JP"/>
        </w:rPr>
        <w:t>Агенције за осигурање депозита</w:t>
      </w:r>
      <w:r w:rsidRPr="00092ED7">
        <w:rPr>
          <w:lang w:val="sr-Cyrl-CS" w:eastAsia="ja-JP"/>
        </w:rPr>
        <w:t xml:space="preserve"> на Министарство финансија, почев од 1. априла 2015. године. Реформом прописа је у домаћу регулативу транспонована и Директива о реструктурирању банака (</w:t>
      </w:r>
      <w:r w:rsidRPr="00092ED7">
        <w:rPr>
          <w:i/>
          <w:lang w:val="sr-Cyrl-CS" w:eastAsia="ja-JP"/>
        </w:rPr>
        <w:t>Bank Recovery and Resolution Directive</w:t>
      </w:r>
      <w:r w:rsidRPr="00092ED7">
        <w:rPr>
          <w:lang w:val="sr-Cyrl-CS" w:eastAsia="ja-JP"/>
        </w:rPr>
        <w:t xml:space="preserve"> – BRRD) и функција реструктурирања банака поверена је Н</w:t>
      </w:r>
      <w:r w:rsidR="00B151AA" w:rsidRPr="00092ED7">
        <w:rPr>
          <w:lang w:val="sr-Cyrl-CS" w:eastAsia="ja-JP"/>
        </w:rPr>
        <w:t>ародној банци Србије</w:t>
      </w:r>
      <w:r w:rsidRPr="00092ED7">
        <w:rPr>
          <w:lang w:val="sr-Cyrl-CS" w:eastAsia="ja-JP"/>
        </w:rPr>
        <w:t>. У децембру 2016. године усвојен је сет прописа којима се у домаћи регулаторни оквир имплементирају Базел III стандарди, чиме је постигнут значајан степен усклађености домаћих прописа са релевантним прописима ЕУ у овој области, а током 2017. године се наставило са активностима на унапређењу домаћих прописа којима се уређује пословање банака, а у циљу њиховог даљег усклађивања са прописима ЕУ. Основни циљеви усвајања ових прописа су повећање отпорности банкарског сектора повећањем квалитета капитала и увођењем заштитних слојева капитала, боље праћење и контрола изложености банке ризику ликвидности, даље јачање тржишне дисциплине и транспарентности пословања банака у Републици Србији објављивањем свих релевантних информација о пословању банке, као и прилагођавање извештајног система новим регулаторним решењима.</w:t>
      </w:r>
    </w:p>
    <w:p w14:paraId="3D920540" w14:textId="447985E5" w:rsidR="008B200E" w:rsidRPr="00092ED7" w:rsidRDefault="008B200E" w:rsidP="00613B5B">
      <w:pPr>
        <w:spacing w:after="60"/>
        <w:rPr>
          <w:highlight w:val="yellow"/>
          <w:lang w:val="sr-Cyrl-CS" w:eastAsia="ja-JP"/>
        </w:rPr>
      </w:pPr>
      <w:r w:rsidRPr="00092ED7">
        <w:rPr>
          <w:lang w:val="sr-Cyrl-CS" w:eastAsia="ja-JP"/>
        </w:rPr>
        <w:t xml:space="preserve">Један од ограничавајућих фактора за раст кредитне активности представљао је релативно висок ниво проблематичних кредита. У августу 2015. године усвојена је Стратегија за решавање проблематичних кредита која се спроводи </w:t>
      </w:r>
      <w:r w:rsidR="006C154D" w:rsidRPr="00092ED7">
        <w:rPr>
          <w:lang w:val="sr-Cyrl-CS" w:eastAsia="ja-JP"/>
        </w:rPr>
        <w:t xml:space="preserve">путем </w:t>
      </w:r>
      <w:r w:rsidRPr="00092ED7">
        <w:rPr>
          <w:lang w:val="sr-Cyrl-CS" w:eastAsia="ja-JP"/>
        </w:rPr>
        <w:t xml:space="preserve">два трогодишња акциона плана, </w:t>
      </w:r>
      <w:r w:rsidR="006C154D" w:rsidRPr="00092ED7">
        <w:rPr>
          <w:lang w:val="sr-Cyrl-CS" w:eastAsia="ja-JP"/>
        </w:rPr>
        <w:t xml:space="preserve">од којих је </w:t>
      </w:r>
      <w:r w:rsidRPr="00092ED7">
        <w:rPr>
          <w:lang w:val="sr-Cyrl-CS" w:eastAsia="ja-JP"/>
        </w:rPr>
        <w:t>један припремљен од стране Владе и други припремљен од стране Н</w:t>
      </w:r>
      <w:r w:rsidR="00E561DE" w:rsidRPr="00092ED7">
        <w:rPr>
          <w:lang w:val="sr-Cyrl-CS" w:eastAsia="ja-JP"/>
        </w:rPr>
        <w:t>ародне банке</w:t>
      </w:r>
      <w:r w:rsidRPr="00092ED7">
        <w:rPr>
          <w:lang w:val="sr-Cyrl-CS" w:eastAsia="ja-JP"/>
        </w:rPr>
        <w:t>С</w:t>
      </w:r>
      <w:r w:rsidR="00E561DE" w:rsidRPr="00092ED7">
        <w:rPr>
          <w:lang w:val="sr-Cyrl-CS" w:eastAsia="ja-JP"/>
        </w:rPr>
        <w:t>рбије</w:t>
      </w:r>
      <w:r w:rsidRPr="00092ED7">
        <w:rPr>
          <w:lang w:val="sr-Cyrl-CS" w:eastAsia="ja-JP"/>
        </w:rPr>
        <w:t xml:space="preserve">, у циљу спуштања нивоа проблематичних кредита. Кључне области </w:t>
      </w:r>
      <w:r w:rsidR="006C154D" w:rsidRPr="00092ED7">
        <w:rPr>
          <w:lang w:val="sr-Cyrl-CS" w:eastAsia="ja-JP"/>
        </w:rPr>
        <w:t xml:space="preserve">спровођења </w:t>
      </w:r>
      <w:r w:rsidRPr="00092ED7">
        <w:rPr>
          <w:lang w:val="sr-Cyrl-CS" w:eastAsia="ja-JP"/>
        </w:rPr>
        <w:t>подразумевале су јачање капацитета банака за решавање проблематичних кредита, унапређење регулативе за процену вредности средстава обезбеђења, развој тржишта проблематичних кредита и др.</w:t>
      </w:r>
    </w:p>
    <w:p w14:paraId="25E04C82" w14:textId="77777777" w:rsidR="008B200E" w:rsidRPr="00092ED7" w:rsidRDefault="008B200E" w:rsidP="00613B5B">
      <w:pPr>
        <w:spacing w:after="60"/>
        <w:rPr>
          <w:rFonts w:eastAsia="MS PGothic" w:cs="Times New Roman"/>
          <w:szCs w:val="24"/>
          <w:lang w:val="sr-Cyrl-CS" w:eastAsia="ja-JP"/>
        </w:rPr>
      </w:pPr>
      <w:r w:rsidRPr="00092ED7">
        <w:rPr>
          <w:rFonts w:eastAsia="MS PGothic" w:cs="Times New Roman"/>
          <w:szCs w:val="24"/>
          <w:lang w:val="sr-Cyrl-CS" w:eastAsia="ja-JP"/>
        </w:rPr>
        <w:t>Од доношења поменуте стратегије, усвојен је и измењен већи број законских и подзаконских аката, унапређен је институционални капацитет и спроведене су бројне мере за лакши отпис и пренос ненаплативих потраживања. Стварањем стабилних услова пословања, српска економија је ушла у инвестициони циклус 2015. године, и од тада инвестиције по обиму представљају добар део раста економије. Профитабилност привреде расте у условима ниске и стабилне инфлације и релативно</w:t>
      </w:r>
      <w:r w:rsidRPr="00092ED7">
        <w:rPr>
          <w:rFonts w:eastAsia="Calibri" w:cs="Times New Roman"/>
          <w:szCs w:val="24"/>
          <w:lang w:val="sr-Cyrl-CS" w:eastAsia="ja-JP"/>
        </w:rPr>
        <w:t xml:space="preserve"> </w:t>
      </w:r>
      <w:r w:rsidRPr="00092ED7">
        <w:rPr>
          <w:rFonts w:eastAsia="MS PGothic" w:cs="Times New Roman"/>
          <w:szCs w:val="24"/>
          <w:lang w:val="sr-Cyrl-CS" w:eastAsia="ja-JP"/>
        </w:rPr>
        <w:t>стабилног курса. Све су то били кључни фактори за одрживо решавање питања проблематичних кредита. То се јасно види и из чињенице да је у гранама које су и носиоци раста, забележен и највећи пад проблематичних кредита – што је евидентно у прерађивачкој индустрији и грађевинарству.</w:t>
      </w:r>
    </w:p>
    <w:p w14:paraId="28E3CC0E" w14:textId="05126D80" w:rsidR="008B200E" w:rsidRPr="00092ED7" w:rsidRDefault="008B200E" w:rsidP="003E317A">
      <w:pPr>
        <w:rPr>
          <w:rFonts w:cs="Times New Roman"/>
          <w:szCs w:val="24"/>
          <w:lang w:val="sr-Cyrl-CS"/>
        </w:rPr>
      </w:pPr>
      <w:r w:rsidRPr="00092ED7">
        <w:rPr>
          <w:rFonts w:eastAsia="MS PGothic" w:cs="Times New Roman"/>
          <w:szCs w:val="24"/>
          <w:lang w:val="sr-Cyrl-CS" w:eastAsia="ja-JP"/>
        </w:rPr>
        <w:t>Осигурање депозита је механизам који доприноси очувању финансијске стабилности и обезбеђује заштиту депонената. Систем осигурања депозита обезбеђује да се сваком заштићеном депоненту</w:t>
      </w:r>
      <w:r w:rsidRPr="00092ED7">
        <w:rPr>
          <w:rFonts w:eastAsia="MS PGothic" w:cs="Times New Roman"/>
          <w:szCs w:val="24"/>
          <w:vertAlign w:val="superscript"/>
          <w:lang w:val="sr-Cyrl-CS" w:eastAsia="ja-JP"/>
        </w:rPr>
        <w:footnoteReference w:id="13"/>
      </w:r>
      <w:r w:rsidRPr="00092ED7">
        <w:rPr>
          <w:rFonts w:eastAsia="MS PGothic" w:cs="Times New Roman"/>
          <w:szCs w:val="24"/>
          <w:lang w:val="sr-Cyrl-CS" w:eastAsia="ja-JP"/>
        </w:rPr>
        <w:t xml:space="preserve"> исплати целокупан износ улога у свакој банци до осигураног износа од 50.000 евра у случају стечаја или ликвидације банке. Осигурање депозита регулисано је Законом о осигурању депозита</w:t>
      </w:r>
      <w:r w:rsidR="003E317A" w:rsidRPr="00092ED7">
        <w:rPr>
          <w:rFonts w:eastAsia="MS PGothic" w:cs="Times New Roman"/>
          <w:szCs w:val="24"/>
          <w:lang w:val="sr-Cyrl-CS" w:eastAsia="ja-JP"/>
        </w:rPr>
        <w:t xml:space="preserve"> </w:t>
      </w:r>
      <w:r w:rsidR="003E317A" w:rsidRPr="00092ED7">
        <w:rPr>
          <w:rFonts w:cs="Times New Roman"/>
          <w:szCs w:val="24"/>
          <w:lang w:val="sr-Cyrl-CS"/>
        </w:rPr>
        <w:t xml:space="preserve">(„Службени гласник РС”, бр. </w:t>
      </w:r>
      <w:hyperlink r:id="rId38" w:tooltip="Zakon o osiguranju depozita (04/02/2015)" w:history="1">
        <w:r w:rsidR="003E317A" w:rsidRPr="00092ED7">
          <w:rPr>
            <w:rStyle w:val="Hyperlink"/>
            <w:rFonts w:cs="Times New Roman"/>
            <w:color w:val="000000" w:themeColor="text1"/>
            <w:szCs w:val="24"/>
            <w:u w:val="none"/>
            <w:shd w:val="clear" w:color="auto" w:fill="FFFFFF"/>
            <w:lang w:val="sr-Cyrl-CS"/>
          </w:rPr>
          <w:t>14/15</w:t>
        </w:r>
      </w:hyperlink>
      <w:r w:rsidR="003E317A" w:rsidRPr="00092ED7">
        <w:rPr>
          <w:rFonts w:cs="Times New Roman"/>
          <w:color w:val="000000" w:themeColor="text1"/>
          <w:szCs w:val="24"/>
          <w:shd w:val="clear" w:color="auto" w:fill="FFFFFF"/>
          <w:lang w:val="sr-Cyrl-CS"/>
        </w:rPr>
        <w:t>, </w:t>
      </w:r>
      <w:hyperlink r:id="rId39" w:tooltip="Zakon o dopuni Zakona o osiguranju depozita (25/05/2017)" w:history="1">
        <w:r w:rsidR="003E317A" w:rsidRPr="00092ED7">
          <w:rPr>
            <w:rStyle w:val="Hyperlink"/>
            <w:rFonts w:cs="Times New Roman"/>
            <w:color w:val="000000" w:themeColor="text1"/>
            <w:szCs w:val="24"/>
            <w:u w:val="none"/>
            <w:shd w:val="clear" w:color="auto" w:fill="FFFFFF"/>
            <w:lang w:val="sr-Cyrl-CS"/>
          </w:rPr>
          <w:t>51/17</w:t>
        </w:r>
      </w:hyperlink>
      <w:r w:rsidR="003E317A" w:rsidRPr="00092ED7">
        <w:rPr>
          <w:rFonts w:cs="Times New Roman"/>
          <w:color w:val="000000" w:themeColor="text1"/>
          <w:szCs w:val="24"/>
          <w:shd w:val="clear" w:color="auto" w:fill="FFFFFF"/>
          <w:lang w:val="sr-Cyrl-CS"/>
        </w:rPr>
        <w:t xml:space="preserve"> и </w:t>
      </w:r>
      <w:hyperlink r:id="rId40" w:tooltip="Zakon o izmenama i dopunama Zakona o osiguranju depozita (11/10/2019)" w:history="1">
        <w:r w:rsidR="003E317A" w:rsidRPr="00092ED7">
          <w:rPr>
            <w:rStyle w:val="Hyperlink"/>
            <w:rFonts w:cs="Times New Roman"/>
            <w:color w:val="000000" w:themeColor="text1"/>
            <w:szCs w:val="24"/>
            <w:u w:val="none"/>
            <w:shd w:val="clear" w:color="auto" w:fill="FFFFFF"/>
            <w:lang w:val="sr-Cyrl-CS"/>
          </w:rPr>
          <w:t>73/19</w:t>
        </w:r>
      </w:hyperlink>
      <w:r w:rsidR="003E317A" w:rsidRPr="00092ED7">
        <w:rPr>
          <w:rFonts w:cs="Times New Roman"/>
          <w:color w:val="000000" w:themeColor="text1"/>
          <w:szCs w:val="24"/>
          <w:shd w:val="clear" w:color="auto" w:fill="FFFFFF"/>
          <w:lang w:val="sr-Cyrl-CS"/>
        </w:rPr>
        <w:t>)</w:t>
      </w:r>
      <w:r w:rsidRPr="00092ED7">
        <w:rPr>
          <w:rFonts w:eastAsia="MS PGothic" w:cs="Times New Roman"/>
          <w:color w:val="000000" w:themeColor="text1"/>
          <w:szCs w:val="24"/>
          <w:lang w:val="sr-Cyrl-CS" w:eastAsia="ja-JP"/>
        </w:rPr>
        <w:t>.</w:t>
      </w:r>
      <w:r w:rsidRPr="00092ED7">
        <w:rPr>
          <w:rFonts w:eastAsia="MS PGothic" w:cs="Times New Roman"/>
          <w:szCs w:val="24"/>
          <w:lang w:val="sr-Cyrl-CS" w:eastAsia="ja-JP"/>
        </w:rPr>
        <w:t xml:space="preserve"> Гаранција исплате осигураних депозита од стране државе, било директно средствима из буџета, или индиректно издавањем гаранција за задуживање </w:t>
      </w:r>
      <w:r w:rsidR="00A4749F" w:rsidRPr="00092ED7">
        <w:rPr>
          <w:rFonts w:eastAsia="MS PGothic" w:cs="Times New Roman"/>
          <w:szCs w:val="24"/>
          <w:lang w:val="sr-Cyrl-CS" w:eastAsia="ja-JP"/>
        </w:rPr>
        <w:t>Агенције за осигурање депозита</w:t>
      </w:r>
      <w:r w:rsidRPr="00092ED7">
        <w:rPr>
          <w:rFonts w:eastAsia="MS PGothic" w:cs="Times New Roman"/>
          <w:szCs w:val="24"/>
          <w:lang w:val="sr-Cyrl-CS" w:eastAsia="ja-JP"/>
        </w:rPr>
        <w:t>, извор је фискалних ризика и могућих фискалних трошкова. Међутим, захваљујући постигнутој стабилности банкарског сектора, од 2015. године није било потребе за коришћењем средстава фонда за осигурање депозита, нити државе по основу исплата осигураних износа депозита.</w:t>
      </w:r>
    </w:p>
    <w:p w14:paraId="4617EABC" w14:textId="7E351DFF" w:rsidR="008B200E" w:rsidRPr="00092ED7" w:rsidRDefault="008B200E" w:rsidP="00613B5B">
      <w:pPr>
        <w:spacing w:after="60"/>
        <w:rPr>
          <w:lang w:val="sr-Cyrl-CS" w:eastAsia="ja-JP"/>
        </w:rPr>
      </w:pPr>
      <w:r w:rsidRPr="00092ED7">
        <w:rPr>
          <w:lang w:val="sr-Cyrl-CS" w:eastAsia="ja-JP"/>
        </w:rPr>
        <w:t>Имајући у виду ситуацију насталу проглашењем ванредног стања у Републици Србији, како би се омогућило ублажавање економских и финансијских последица насталих услед пандемије</w:t>
      </w:r>
      <w:r w:rsidR="00FB6B1A" w:rsidRPr="00092ED7">
        <w:rPr>
          <w:lang w:val="sr-Cyrl-CS" w:eastAsia="ja-JP"/>
        </w:rPr>
        <w:t>,</w:t>
      </w:r>
      <w:r w:rsidR="000B339E" w:rsidRPr="00092ED7">
        <w:rPr>
          <w:lang w:val="sr-Cyrl-CS" w:eastAsia="ja-JP"/>
        </w:rPr>
        <w:t xml:space="preserve"> </w:t>
      </w:r>
      <w:r w:rsidRPr="00092ED7">
        <w:rPr>
          <w:lang w:val="sr-Cyrl-CS" w:eastAsia="ja-JP"/>
        </w:rPr>
        <w:t xml:space="preserve">предузете су мере подршке привреди које су имале за циљ повећање ликвидности привредних субјеката, укључујућии пољопривредна газдинства, предузетнике, микро, мала и средња </w:t>
      </w:r>
      <w:r w:rsidR="001A5622" w:rsidRPr="00092ED7">
        <w:rPr>
          <w:lang w:val="sr-Cyrl-CS" w:eastAsia="ja-JP"/>
        </w:rPr>
        <w:t xml:space="preserve">привреднa друштвa </w:t>
      </w:r>
      <w:r w:rsidRPr="00092ED7">
        <w:rPr>
          <w:lang w:val="sr-Cyrl-CS" w:eastAsia="ja-JP"/>
        </w:rPr>
        <w:t>у складу са законом којим се уређује рачуноводство.</w:t>
      </w:r>
    </w:p>
    <w:p w14:paraId="1E950A3C" w14:textId="61D1B507" w:rsidR="008B200E" w:rsidRPr="00092ED7" w:rsidRDefault="008B200E" w:rsidP="006814CE">
      <w:pPr>
        <w:rPr>
          <w:rFonts w:eastAsia="MS PGothic" w:cs="Times New Roman"/>
          <w:bCs/>
          <w:iCs/>
          <w:szCs w:val="24"/>
          <w:lang w:val="sr-Cyrl-CS" w:eastAsia="ja-JP"/>
        </w:rPr>
      </w:pPr>
      <w:r w:rsidRPr="00092ED7">
        <w:rPr>
          <w:lang w:val="sr-Cyrl-CS" w:eastAsia="ja-JP"/>
        </w:rPr>
        <w:t>Једна од мера јесте била и доношење Закона о утврђивању гарантне шеме</w:t>
      </w:r>
      <w:r w:rsidR="003E317A" w:rsidRPr="00092ED7">
        <w:rPr>
          <w:lang w:val="sr-Cyrl-CS" w:eastAsia="ja-JP"/>
        </w:rPr>
        <w:t xml:space="preserve"> </w:t>
      </w:r>
      <w:r w:rsidRPr="00092ED7">
        <w:rPr>
          <w:lang w:val="sr-Cyrl-CS" w:eastAsia="ja-JP"/>
        </w:rPr>
        <w:t xml:space="preserve">као мера подршке привреди за ублажавање последица пандемије болести </w:t>
      </w:r>
      <w:r w:rsidR="003E317A" w:rsidRPr="00092ED7">
        <w:rPr>
          <w:szCs w:val="24"/>
          <w:lang w:val="sr-Cyrl-CS"/>
        </w:rPr>
        <w:t>COVID</w:t>
      </w:r>
      <w:r w:rsidRPr="00092ED7">
        <w:rPr>
          <w:lang w:val="sr-Cyrl-CS" w:eastAsia="ja-JP"/>
        </w:rPr>
        <w:t>-19 изазване</w:t>
      </w:r>
      <w:r w:rsidR="006814CE" w:rsidRPr="00092ED7">
        <w:rPr>
          <w:lang w:val="sr-Cyrl-CS" w:eastAsia="ja-JP"/>
        </w:rPr>
        <w:t xml:space="preserve"> </w:t>
      </w:r>
      <w:r w:rsidR="003917D5" w:rsidRPr="00092ED7">
        <w:rPr>
          <w:lang w:val="sr-Cyrl-CS" w:eastAsia="ja-JP"/>
        </w:rPr>
        <w:t xml:space="preserve">вирусом </w:t>
      </w:r>
      <w:r w:rsidR="006814CE" w:rsidRPr="00092ED7">
        <w:rPr>
          <w:lang w:val="sr-Cyrl-CS" w:eastAsia="ja-JP"/>
        </w:rPr>
        <w:t>SARS-CoV-2</w:t>
      </w:r>
      <w:r w:rsidRPr="00092ED7">
        <w:rPr>
          <w:lang w:val="sr-Cyrl-CS" w:eastAsia="ja-JP"/>
        </w:rPr>
        <w:t xml:space="preserve"> </w:t>
      </w:r>
      <w:r w:rsidR="006814CE" w:rsidRPr="00092ED7">
        <w:rPr>
          <w:rFonts w:cs="Times New Roman"/>
          <w:szCs w:val="24"/>
          <w:lang w:val="sr-Cyrl-CS"/>
        </w:rPr>
        <w:t>(„Службени гласник РС”, бр. 153/20 и 40/21)</w:t>
      </w:r>
      <w:r w:rsidRPr="00092ED7">
        <w:rPr>
          <w:lang w:val="sr-Cyrl-CS" w:eastAsia="ja-JP"/>
        </w:rPr>
        <w:t xml:space="preserve">. Република Србија је препознала потребу за одобравањем додатних 500 милиона евра помоћи, у циљу одржавања ликвидности чиме ће укупан износ средстава пласираних путем I гарантне шеме достићи износ од 2,5 милијарде евра. Уговор о гаранцији Републике Србије до сада су потписале 24 банке, којима је пласирано предвиђених 2,5 милијарди евра, док су саме Банке пласирале клијентима око 2,3 милијарди евра. Током 2021. године донет је Закон о утврђивању друге гарантне шеме </w:t>
      </w:r>
      <w:r w:rsidR="006814CE" w:rsidRPr="00092ED7">
        <w:rPr>
          <w:lang w:val="sr-Cyrl-CS" w:eastAsia="ja-JP"/>
        </w:rPr>
        <w:t xml:space="preserve">као мера додатне подршке привреди услед продуженог негативног утицаја пандемије болести </w:t>
      </w:r>
      <w:r w:rsidR="006814CE" w:rsidRPr="00092ED7">
        <w:rPr>
          <w:szCs w:val="24"/>
          <w:lang w:val="sr-Cyrl-CS"/>
        </w:rPr>
        <w:t>COVID</w:t>
      </w:r>
      <w:r w:rsidR="006814CE" w:rsidRPr="00092ED7">
        <w:rPr>
          <w:lang w:val="sr-Cyrl-CS" w:eastAsia="ja-JP"/>
        </w:rPr>
        <w:t xml:space="preserve">-19 изазване </w:t>
      </w:r>
      <w:r w:rsidR="003917D5" w:rsidRPr="00092ED7">
        <w:rPr>
          <w:lang w:val="sr-Cyrl-CS" w:eastAsia="ja-JP"/>
        </w:rPr>
        <w:t xml:space="preserve">вирусом </w:t>
      </w:r>
      <w:r w:rsidR="006814CE" w:rsidRPr="00092ED7">
        <w:rPr>
          <w:lang w:val="sr-Cyrl-CS" w:eastAsia="ja-JP"/>
        </w:rPr>
        <w:t xml:space="preserve">SARS-CoV-2 </w:t>
      </w:r>
      <w:r w:rsidR="006814CE" w:rsidRPr="00092ED7">
        <w:rPr>
          <w:rFonts w:cs="Times New Roman"/>
          <w:szCs w:val="24"/>
          <w:lang w:val="sr-Cyrl-CS"/>
        </w:rPr>
        <w:t xml:space="preserve">(„Службени гласник РС”, бр. </w:t>
      </w:r>
      <w:r w:rsidR="003917D5" w:rsidRPr="00092ED7">
        <w:rPr>
          <w:rFonts w:cs="Times New Roman"/>
          <w:szCs w:val="24"/>
          <w:lang w:val="sr-Cyrl-CS"/>
        </w:rPr>
        <w:t>40</w:t>
      </w:r>
      <w:r w:rsidR="006814CE" w:rsidRPr="00092ED7">
        <w:rPr>
          <w:rFonts w:cs="Times New Roman"/>
          <w:szCs w:val="24"/>
          <w:lang w:val="sr-Cyrl-CS"/>
        </w:rPr>
        <w:t>/2</w:t>
      </w:r>
      <w:r w:rsidR="003917D5" w:rsidRPr="00092ED7">
        <w:rPr>
          <w:rFonts w:cs="Times New Roman"/>
          <w:szCs w:val="24"/>
          <w:lang w:val="sr-Cyrl-CS"/>
        </w:rPr>
        <w:t>1</w:t>
      </w:r>
      <w:r w:rsidR="006814CE" w:rsidRPr="00092ED7">
        <w:rPr>
          <w:rFonts w:cs="Times New Roman"/>
          <w:szCs w:val="24"/>
          <w:lang w:val="sr-Cyrl-CS"/>
        </w:rPr>
        <w:t xml:space="preserve"> и </w:t>
      </w:r>
      <w:r w:rsidR="003917D5" w:rsidRPr="00092ED7">
        <w:rPr>
          <w:rFonts w:cs="Times New Roman"/>
          <w:szCs w:val="24"/>
          <w:lang w:val="sr-Cyrl-CS"/>
        </w:rPr>
        <w:t>129</w:t>
      </w:r>
      <w:r w:rsidR="006814CE" w:rsidRPr="00092ED7">
        <w:rPr>
          <w:rFonts w:cs="Times New Roman"/>
          <w:szCs w:val="24"/>
          <w:lang w:val="sr-Cyrl-CS"/>
        </w:rPr>
        <w:t>/21)</w:t>
      </w:r>
      <w:r w:rsidR="003917D5" w:rsidRPr="00092ED7">
        <w:rPr>
          <w:rFonts w:cs="Times New Roman"/>
          <w:szCs w:val="24"/>
          <w:lang w:val="sr-Cyrl-CS"/>
        </w:rPr>
        <w:t xml:space="preserve"> </w:t>
      </w:r>
      <w:r w:rsidRPr="00092ED7">
        <w:rPr>
          <w:lang w:val="sr-Cyrl-CS" w:eastAsia="ja-JP"/>
        </w:rPr>
        <w:t>којим је одобрено додатних 500 милина евра помоћи. Укупно, у склопу обе гарантне шеме, банке су пласирале око 2,4 млрд евра кредита.</w:t>
      </w:r>
    </w:p>
    <w:p w14:paraId="56B674C4" w14:textId="537B3839" w:rsidR="008B200E" w:rsidRPr="00092ED7" w:rsidRDefault="008B200E" w:rsidP="00613B5B">
      <w:pPr>
        <w:spacing w:after="60"/>
        <w:rPr>
          <w:rFonts w:eastAsia="MS PGothic" w:cstheme="minorHAnsi"/>
          <w:szCs w:val="20"/>
          <w:lang w:val="sr-Cyrl-CS" w:eastAsia="ja-JP"/>
        </w:rPr>
      </w:pPr>
      <w:r w:rsidRPr="00092ED7">
        <w:rPr>
          <w:lang w:val="sr-Cyrl-CS" w:eastAsia="ja-JP"/>
        </w:rPr>
        <w:t xml:space="preserve">Постоје значајни фискални ризици по основу судских одлука, домаћих и међународних судова, казни и накнада штете од стране државних органа. </w:t>
      </w:r>
      <w:r w:rsidRPr="00092ED7">
        <w:rPr>
          <w:rFonts w:eastAsia="MS PGothic" w:cstheme="minorHAnsi"/>
          <w:szCs w:val="20"/>
          <w:lang w:val="sr-Cyrl-CS" w:eastAsia="ja-JP"/>
        </w:rPr>
        <w:t>Република Србија је по основу новчаних казни и пенала по решењу судова и накнаде штете за повреде или штету нанету од стране државних органа у периоду 2009–2020</w:t>
      </w:r>
      <w:r w:rsidR="00E561DE" w:rsidRPr="00092ED7">
        <w:rPr>
          <w:rFonts w:eastAsia="MS PGothic" w:cstheme="minorHAnsi"/>
          <w:szCs w:val="20"/>
          <w:lang w:val="sr-Cyrl-CS" w:eastAsia="ja-JP"/>
        </w:rPr>
        <w:t>.</w:t>
      </w:r>
      <w:r w:rsidRPr="00092ED7">
        <w:rPr>
          <w:rFonts w:eastAsia="MS PGothic" w:cstheme="minorHAnsi"/>
          <w:szCs w:val="20"/>
          <w:lang w:val="sr-Cyrl-CS" w:eastAsia="ja-JP"/>
        </w:rPr>
        <w:t xml:space="preserve"> из републичког буџета укупно платила 121 млрд динара, док је у 2021. години из буџета Републике Србије по том основу плаћено 16,6 млрд динара.</w:t>
      </w:r>
      <w:r w:rsidR="00FB6B1A" w:rsidRPr="00092ED7">
        <w:rPr>
          <w:rFonts w:eastAsia="MS PGothic" w:cstheme="minorHAnsi"/>
          <w:szCs w:val="20"/>
          <w:lang w:val="sr-Cyrl-CS" w:eastAsia="ja-JP"/>
        </w:rPr>
        <w:t xml:space="preserve"> </w:t>
      </w:r>
      <w:r w:rsidRPr="00092ED7">
        <w:rPr>
          <w:lang w:val="sr-Cyrl-CS" w:eastAsia="ja-JP"/>
        </w:rPr>
        <w:t>Одлука Европског суда за људска права обавезала је Републику Србију да исплати јавни дуг по основу неисплаћене девизне штедње коју су држављани бивших република СФРЈ и држављани Републике Србије положили код банака са седиштем на територији Републике Србије и њиховим филијалама на територијама бивших република СФРЈ. Такође, потенцијалне обавезе могу проистећи и из одлука Уставног суда по основу поднетих уставних жалби и одлука Европског суда за људска права по поднетим представкама радника некадашњих друштвених предузећа (неисплаћене зараде, доприноси за обавезно социјално осигурање, затезне камате, трошкови поступка, потраживања по основу комерцијалних трансакција).</w:t>
      </w:r>
    </w:p>
    <w:p w14:paraId="30AA5C4B" w14:textId="128B8971" w:rsidR="008B200E" w:rsidRPr="00092ED7" w:rsidRDefault="008B200E" w:rsidP="003917D5">
      <w:pPr>
        <w:rPr>
          <w:rFonts w:eastAsia="MS PGothic" w:cs="Times New Roman"/>
          <w:bCs/>
          <w:iCs/>
          <w:szCs w:val="24"/>
          <w:lang w:val="sr-Cyrl-CS" w:eastAsia="ja-JP"/>
        </w:rPr>
      </w:pPr>
      <w:r w:rsidRPr="00092ED7">
        <w:rPr>
          <w:lang w:val="sr-Cyrl-CS" w:eastAsia="ja-JP"/>
        </w:rPr>
        <w:t>Стално присутан ризик од елементарних непогода и природних катастрофа обавезује улагање у програме превенције како би се умањили потенцијални фискални трошкови за отклањање штета насталих по том основу. Под превенцијом се мисли на укључивање ширег спектра финансијских инструмената (као што су резервни фондови, потенцијалне кредитне линије, а нарочито осигурање) који треба да буду на располагању држави. Република Србија се у 2014. суочила са катастрофалним последицама поплава, чија је укупна штета (са губицима) процењена на више од 1,7 млрд евра. У оквиру Националног програма, новембра 2018. године је донет још један кровни закон који се бави проблематиком елементарних непогода и катастрофа, Закон о смањењу ризика од катастрофа и управљању ванредним ситуацијама</w:t>
      </w:r>
      <w:r w:rsidR="003917D5" w:rsidRPr="00092ED7">
        <w:rPr>
          <w:lang w:val="sr-Cyrl-CS" w:eastAsia="ja-JP"/>
        </w:rPr>
        <w:t xml:space="preserve"> </w:t>
      </w:r>
      <w:r w:rsidR="003917D5" w:rsidRPr="00092ED7">
        <w:rPr>
          <w:rFonts w:cs="Times New Roman"/>
          <w:szCs w:val="24"/>
          <w:lang w:val="sr-Cyrl-CS"/>
        </w:rPr>
        <w:t>(„Службени гласник РС”, брoj 87/18)</w:t>
      </w:r>
      <w:r w:rsidRPr="00092ED7">
        <w:rPr>
          <w:lang w:val="sr-Cyrl-CS" w:eastAsia="ja-JP"/>
        </w:rPr>
        <w:t>. Република Србија је у 2019. години платила из буџета 4,22 млрд динара за накнаде штете за повреде или штете настале услед елементарних непогода или других природних узрока. У току 2020. године за ову намену издвојено је 2,8 млрд динара, док је за током 2021. године износ потрошен на ове намене износио 520,3 милиона динара. У 2022. години је за првих девет месец издвојено око 94,2 милиона динара за ову намену.</w:t>
      </w:r>
    </w:p>
    <w:p w14:paraId="12A381F7" w14:textId="77777777" w:rsidR="008B200E" w:rsidRPr="00092ED7" w:rsidRDefault="008B200E" w:rsidP="00613B5B">
      <w:pPr>
        <w:spacing w:before="120"/>
        <w:rPr>
          <w:rFonts w:eastAsia="MS PGothic" w:cs="Times New Roman"/>
          <w:b/>
          <w:szCs w:val="24"/>
          <w:lang w:val="sr-Cyrl-CS" w:eastAsia="ja-JP"/>
        </w:rPr>
      </w:pPr>
      <w:r w:rsidRPr="00092ED7">
        <w:rPr>
          <w:rFonts w:eastAsia="MS PGothic" w:cs="Times New Roman"/>
          <w:b/>
          <w:szCs w:val="24"/>
          <w:lang w:val="sr-Cyrl-CS" w:eastAsia="ja-JP"/>
        </w:rPr>
        <w:t>Алтернативни сценарио фискалних кретања у периоду 2022–2025. године</w:t>
      </w:r>
    </w:p>
    <w:p w14:paraId="25BD969B" w14:textId="77777777" w:rsidR="008B200E" w:rsidRPr="00092ED7" w:rsidRDefault="008B200E" w:rsidP="00613B5B">
      <w:pPr>
        <w:spacing w:after="60"/>
        <w:rPr>
          <w:lang w:val="sr-Cyrl-CS" w:eastAsia="ja-JP"/>
        </w:rPr>
      </w:pPr>
      <w:r w:rsidRPr="00092ED7">
        <w:rPr>
          <w:lang w:val="sr-Cyrl-CS" w:eastAsia="ja-JP"/>
        </w:rPr>
        <w:t>На следећем графикону приказано је кретање учешћа дефицита и јавног дуга у БДП на основу алтернативног макроекономског сценарија, а који подразумева стопе раста од 0,5%, 2,5% и 3,5% у наредном трогодишњем периоду.</w:t>
      </w:r>
    </w:p>
    <w:p w14:paraId="754782C9" w14:textId="77777777" w:rsidR="008B200E" w:rsidRPr="00092ED7" w:rsidRDefault="008B200E" w:rsidP="00613B5B">
      <w:pPr>
        <w:spacing w:before="120" w:after="60"/>
        <w:rPr>
          <w:lang w:val="sr-Cyrl-CS" w:eastAsia="ja-JP"/>
        </w:rPr>
      </w:pPr>
      <w:r w:rsidRPr="00092ED7">
        <w:rPr>
          <w:lang w:val="sr-Cyrl-CS" w:eastAsia="ja-JP"/>
        </w:rPr>
        <w:t>Графикон 16. Основни и алтернативни сценарио фискалних кретања у периоду 2022–2025. године</w:t>
      </w:r>
    </w:p>
    <w:p w14:paraId="537147FD" w14:textId="77777777" w:rsidR="008B200E" w:rsidRPr="00092ED7" w:rsidRDefault="008B200E" w:rsidP="008B200E">
      <w:pPr>
        <w:spacing w:line="276" w:lineRule="auto"/>
        <w:rPr>
          <w:rFonts w:eastAsia="MS PGothic" w:cs="Times New Roman"/>
          <w:szCs w:val="24"/>
          <w:lang w:val="sr-Cyrl-CS" w:eastAsia="ja-JP"/>
        </w:rPr>
      </w:pPr>
      <w:r w:rsidRPr="00092ED7">
        <w:rPr>
          <w:noProof/>
        </w:rPr>
        <w:drawing>
          <wp:inline distT="0" distB="0" distL="0" distR="0" wp14:anchorId="6AD34C2B" wp14:editId="47A16385">
            <wp:extent cx="5505450" cy="29241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BE38F33" w14:textId="77777777" w:rsidR="008B200E" w:rsidRPr="00092ED7" w:rsidRDefault="008B200E" w:rsidP="00EF262F">
      <w:pPr>
        <w:spacing w:after="60"/>
        <w:rPr>
          <w:lang w:val="sr-Cyrl-CS" w:eastAsia="ja-JP"/>
        </w:rPr>
      </w:pPr>
      <w:r w:rsidRPr="00092ED7">
        <w:rPr>
          <w:lang w:val="sr-Cyrl-CS" w:eastAsia="ja-JP"/>
        </w:rPr>
        <w:t>Спорији раст утицао би, преко својих компоненти, и на остварење фискалних агрегата, превасходно на приходну страну, и то највише на приходе по основу рада и порезе на потрошњу. Оваква динамика БДП довела би до вишег нивоа дефицита и јавног дуга, у односу на основни сценарио. Ниво дефицита би спорије падао, а ниво јавног дуга би чак порастао у односу на ниво из 2022. године, па би се стабилизовао негде испод 58% БДП. Претпоставка у овом сценарију је да би политика кретања плата и пензија, као и номинални износи предвиђени за капиталне инвестиције, били исти као у основном сценарију.</w:t>
      </w:r>
    </w:p>
    <w:p w14:paraId="32C9DCF8" w14:textId="77777777" w:rsidR="008B200E" w:rsidRPr="00092ED7" w:rsidRDefault="008B200E" w:rsidP="00613B5B">
      <w:pPr>
        <w:spacing w:before="120"/>
        <w:rPr>
          <w:rFonts w:cs="Times New Roman"/>
          <w:b/>
          <w:bCs/>
          <w:szCs w:val="24"/>
          <w:lang w:val="sr-Cyrl-CS"/>
        </w:rPr>
      </w:pPr>
      <w:r w:rsidRPr="00092ED7">
        <w:rPr>
          <w:rFonts w:cs="Times New Roman"/>
          <w:b/>
          <w:bCs/>
          <w:szCs w:val="24"/>
          <w:lang w:val="sr-Cyrl-CS"/>
        </w:rPr>
        <w:t>Поређење са претходним програмом</w:t>
      </w:r>
    </w:p>
    <w:p w14:paraId="052EE692" w14:textId="77777777" w:rsidR="008B200E" w:rsidRPr="00092ED7" w:rsidRDefault="008B200E" w:rsidP="00613B5B">
      <w:pPr>
        <w:spacing w:after="60"/>
        <w:rPr>
          <w:bCs/>
          <w:lang w:val="sr-Cyrl-CS"/>
        </w:rPr>
      </w:pPr>
      <w:r w:rsidRPr="00092ED7">
        <w:rPr>
          <w:bCs/>
          <w:lang w:val="sr-Cyrl-CS"/>
        </w:rPr>
        <w:t>Средњорочни фискални оквир је значајно промењен у односу на претходни документ</w:t>
      </w:r>
      <w:r w:rsidRPr="00092ED7">
        <w:rPr>
          <w:bCs/>
          <w:vertAlign w:val="superscript"/>
          <w:lang w:val="sr-Cyrl-CS"/>
        </w:rPr>
        <w:footnoteReference w:id="14"/>
      </w:r>
      <w:r w:rsidRPr="00092ED7">
        <w:rPr>
          <w:bCs/>
          <w:lang w:val="sr-Cyrl-CS"/>
        </w:rPr>
        <w:t xml:space="preserve"> с обзиром на размере негативних ефеката које доносе раст цена на међународном тржишту и сукоб у Украјини. Средства намењена за ублажавање ових ефеката су у највећој мери повећала ниво расхода и дефицита у наредном периоду. Истовремено, приходи и расходи ће се постепено смањивати у смислу учешћа у БДП, с тим да, док год траје неизвесност везана за пандемију, цене енергената, сировина и хране и сукоб у Украјини, могуће су фискалне интервенције у циљу амортизовања негативних ефеката. Планирани дефицити омогућавају даље смањивање учешћа јавног дуга у БДП.</w:t>
      </w:r>
    </w:p>
    <w:p w14:paraId="735025A9" w14:textId="77777777" w:rsidR="008B200E" w:rsidRPr="00092ED7" w:rsidRDefault="008B200E" w:rsidP="00613B5B">
      <w:pPr>
        <w:spacing w:before="120" w:after="60"/>
        <w:rPr>
          <w:lang w:val="sr-Cyrl-CS" w:eastAsia="ja-JP"/>
        </w:rPr>
      </w:pPr>
      <w:r w:rsidRPr="00092ED7">
        <w:rPr>
          <w:lang w:val="sr-Cyrl-CS" w:eastAsia="ja-JP"/>
        </w:rPr>
        <w:t>Табела 13. Поређење фискалних показатеља два програма, у % БДП</w:t>
      </w:r>
    </w:p>
    <w:tbl>
      <w:tblPr>
        <w:tblStyle w:val="ListTable6Colorful-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1049"/>
        <w:gridCol w:w="1049"/>
        <w:gridCol w:w="1049"/>
        <w:gridCol w:w="1049"/>
        <w:gridCol w:w="1047"/>
      </w:tblGrid>
      <w:tr w:rsidR="008B200E" w:rsidRPr="00092ED7" w14:paraId="4754BD69" w14:textId="77777777" w:rsidTr="00613B5B">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91" w:type="pct"/>
            <w:tcBorders>
              <w:bottom w:val="none" w:sz="0" w:space="0" w:color="auto"/>
            </w:tcBorders>
            <w:shd w:val="clear" w:color="auto" w:fill="FFFFFF" w:themeFill="background1"/>
            <w:noWrap/>
            <w:hideMark/>
          </w:tcPr>
          <w:p w14:paraId="64C1AE31" w14:textId="77777777" w:rsidR="008B200E" w:rsidRPr="00092ED7" w:rsidRDefault="008B200E" w:rsidP="00613B5B">
            <w:pPr>
              <w:spacing w:after="0"/>
              <w:rPr>
                <w:rFonts w:cs="Times New Roman"/>
                <w:color w:val="auto"/>
                <w:sz w:val="20"/>
                <w:szCs w:val="20"/>
                <w:lang w:val="sr-Cyrl-CS"/>
              </w:rPr>
            </w:pPr>
          </w:p>
        </w:tc>
        <w:tc>
          <w:tcPr>
            <w:tcW w:w="602" w:type="pct"/>
            <w:tcBorders>
              <w:bottom w:val="none" w:sz="0" w:space="0" w:color="auto"/>
            </w:tcBorders>
            <w:shd w:val="clear" w:color="auto" w:fill="FFFFFF" w:themeFill="background1"/>
            <w:noWrap/>
            <w:hideMark/>
          </w:tcPr>
          <w:p w14:paraId="754479EB" w14:textId="77777777" w:rsidR="008B200E" w:rsidRPr="00092ED7" w:rsidRDefault="008B200E" w:rsidP="00613B5B">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20"/>
                <w:szCs w:val="20"/>
                <w:lang w:val="sr-Cyrl-CS"/>
              </w:rPr>
            </w:pPr>
            <w:r w:rsidRPr="00092ED7">
              <w:rPr>
                <w:rFonts w:cs="Times New Roman"/>
                <w:color w:val="auto"/>
                <w:sz w:val="20"/>
                <w:szCs w:val="20"/>
                <w:lang w:val="sr-Cyrl-CS"/>
              </w:rPr>
              <w:t>2021</w:t>
            </w:r>
          </w:p>
        </w:tc>
        <w:tc>
          <w:tcPr>
            <w:tcW w:w="602" w:type="pct"/>
            <w:tcBorders>
              <w:bottom w:val="none" w:sz="0" w:space="0" w:color="auto"/>
            </w:tcBorders>
            <w:shd w:val="clear" w:color="auto" w:fill="FFFFFF" w:themeFill="background1"/>
            <w:noWrap/>
            <w:hideMark/>
          </w:tcPr>
          <w:p w14:paraId="5F0630B1" w14:textId="77777777" w:rsidR="008B200E" w:rsidRPr="00092ED7" w:rsidRDefault="008B200E" w:rsidP="00613B5B">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20"/>
                <w:szCs w:val="20"/>
                <w:lang w:val="sr-Cyrl-CS"/>
              </w:rPr>
            </w:pPr>
            <w:r w:rsidRPr="00092ED7">
              <w:rPr>
                <w:rFonts w:cs="Times New Roman"/>
                <w:color w:val="auto"/>
                <w:sz w:val="20"/>
                <w:szCs w:val="20"/>
                <w:lang w:val="sr-Cyrl-CS"/>
              </w:rPr>
              <w:t>2022</w:t>
            </w:r>
          </w:p>
        </w:tc>
        <w:tc>
          <w:tcPr>
            <w:tcW w:w="602" w:type="pct"/>
            <w:tcBorders>
              <w:bottom w:val="none" w:sz="0" w:space="0" w:color="auto"/>
            </w:tcBorders>
            <w:shd w:val="clear" w:color="auto" w:fill="FFFFFF" w:themeFill="background1"/>
            <w:noWrap/>
            <w:hideMark/>
          </w:tcPr>
          <w:p w14:paraId="0B86EE1D" w14:textId="77777777" w:rsidR="008B200E" w:rsidRPr="00092ED7" w:rsidRDefault="008B200E" w:rsidP="00613B5B">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20"/>
                <w:szCs w:val="20"/>
                <w:lang w:val="sr-Cyrl-CS"/>
              </w:rPr>
            </w:pPr>
            <w:r w:rsidRPr="00092ED7">
              <w:rPr>
                <w:rFonts w:cs="Times New Roman"/>
                <w:color w:val="auto"/>
                <w:sz w:val="20"/>
                <w:szCs w:val="20"/>
                <w:lang w:val="sr-Cyrl-CS"/>
              </w:rPr>
              <w:t>2023</w:t>
            </w:r>
          </w:p>
        </w:tc>
        <w:tc>
          <w:tcPr>
            <w:tcW w:w="602" w:type="pct"/>
            <w:tcBorders>
              <w:bottom w:val="none" w:sz="0" w:space="0" w:color="auto"/>
            </w:tcBorders>
            <w:shd w:val="clear" w:color="auto" w:fill="FFFFFF" w:themeFill="background1"/>
            <w:noWrap/>
            <w:hideMark/>
          </w:tcPr>
          <w:p w14:paraId="52699305" w14:textId="77777777" w:rsidR="008B200E" w:rsidRPr="00092ED7" w:rsidRDefault="008B200E" w:rsidP="00613B5B">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20"/>
                <w:szCs w:val="20"/>
                <w:lang w:val="sr-Cyrl-CS"/>
              </w:rPr>
            </w:pPr>
            <w:r w:rsidRPr="00092ED7">
              <w:rPr>
                <w:rFonts w:cs="Times New Roman"/>
                <w:color w:val="auto"/>
                <w:sz w:val="20"/>
                <w:szCs w:val="20"/>
                <w:lang w:val="sr-Cyrl-CS"/>
              </w:rPr>
              <w:t>2024</w:t>
            </w:r>
          </w:p>
        </w:tc>
        <w:tc>
          <w:tcPr>
            <w:tcW w:w="602" w:type="pct"/>
            <w:tcBorders>
              <w:bottom w:val="none" w:sz="0" w:space="0" w:color="auto"/>
            </w:tcBorders>
            <w:shd w:val="clear" w:color="auto" w:fill="FFFFFF" w:themeFill="background1"/>
            <w:noWrap/>
            <w:hideMark/>
          </w:tcPr>
          <w:p w14:paraId="373A0168" w14:textId="77777777" w:rsidR="008B200E" w:rsidRPr="00092ED7" w:rsidRDefault="008B200E" w:rsidP="00613B5B">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CS"/>
              </w:rPr>
            </w:pPr>
            <w:r w:rsidRPr="00092ED7">
              <w:rPr>
                <w:rFonts w:eastAsia="Times New Roman" w:cs="Times New Roman"/>
                <w:color w:val="auto"/>
                <w:sz w:val="18"/>
                <w:szCs w:val="18"/>
                <w:lang w:val="sr-Cyrl-CS"/>
              </w:rPr>
              <w:t>2025</w:t>
            </w:r>
          </w:p>
        </w:tc>
      </w:tr>
      <w:tr w:rsidR="008B200E" w:rsidRPr="00092ED7" w14:paraId="201BE810" w14:textId="77777777" w:rsidTr="00613B5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18F33BB0"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Програм економских реформи 2022–2024</w:t>
            </w:r>
          </w:p>
        </w:tc>
        <w:tc>
          <w:tcPr>
            <w:tcW w:w="602" w:type="pct"/>
            <w:shd w:val="clear" w:color="auto" w:fill="FFFFFF" w:themeFill="background1"/>
            <w:noWrap/>
            <w:hideMark/>
          </w:tcPr>
          <w:p w14:paraId="4645A0E9"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783AD98A"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04B88D9B"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371D1A32"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7282D46A"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CS"/>
              </w:rPr>
            </w:pPr>
          </w:p>
        </w:tc>
      </w:tr>
      <w:tr w:rsidR="008B200E" w:rsidRPr="00092ED7" w14:paraId="5B9B2D1B" w14:textId="77777777" w:rsidTr="00613B5B">
        <w:trPr>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69A26389"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Приходи</w:t>
            </w:r>
          </w:p>
        </w:tc>
        <w:tc>
          <w:tcPr>
            <w:tcW w:w="602" w:type="pct"/>
            <w:shd w:val="clear" w:color="auto" w:fill="FFFFFF" w:themeFill="background1"/>
            <w:noWrap/>
            <w:hideMark/>
          </w:tcPr>
          <w:p w14:paraId="15D161AE"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43,5</w:t>
            </w:r>
          </w:p>
        </w:tc>
        <w:tc>
          <w:tcPr>
            <w:tcW w:w="602" w:type="pct"/>
            <w:shd w:val="clear" w:color="auto" w:fill="FFFFFF" w:themeFill="background1"/>
            <w:noWrap/>
            <w:hideMark/>
          </w:tcPr>
          <w:p w14:paraId="1C9CFAB3"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42,2</w:t>
            </w:r>
          </w:p>
        </w:tc>
        <w:tc>
          <w:tcPr>
            <w:tcW w:w="602" w:type="pct"/>
            <w:shd w:val="clear" w:color="auto" w:fill="FFFFFF" w:themeFill="background1"/>
            <w:noWrap/>
            <w:hideMark/>
          </w:tcPr>
          <w:p w14:paraId="4D4A5821"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41,4</w:t>
            </w:r>
          </w:p>
        </w:tc>
        <w:tc>
          <w:tcPr>
            <w:tcW w:w="602" w:type="pct"/>
            <w:shd w:val="clear" w:color="auto" w:fill="FFFFFF" w:themeFill="background1"/>
            <w:noWrap/>
            <w:hideMark/>
          </w:tcPr>
          <w:p w14:paraId="3823BF2F"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41,1</w:t>
            </w:r>
          </w:p>
        </w:tc>
        <w:tc>
          <w:tcPr>
            <w:tcW w:w="602" w:type="pct"/>
            <w:shd w:val="clear" w:color="auto" w:fill="FFFFFF" w:themeFill="background1"/>
            <w:noWrap/>
            <w:hideMark/>
          </w:tcPr>
          <w:p w14:paraId="4E6A35B5"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CS"/>
              </w:rPr>
            </w:pPr>
            <w:r w:rsidRPr="00092ED7">
              <w:rPr>
                <w:rFonts w:eastAsia="Times New Roman" w:cs="Times New Roman"/>
                <w:color w:val="auto"/>
                <w:sz w:val="18"/>
                <w:szCs w:val="18"/>
                <w:lang w:val="sr-Cyrl-CS"/>
              </w:rPr>
              <w:t>–</w:t>
            </w:r>
          </w:p>
        </w:tc>
      </w:tr>
      <w:tr w:rsidR="008B200E" w:rsidRPr="00092ED7" w14:paraId="55138B69" w14:textId="77777777" w:rsidTr="00613B5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6B1E422B"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Расходи</w:t>
            </w:r>
          </w:p>
        </w:tc>
        <w:tc>
          <w:tcPr>
            <w:tcW w:w="602" w:type="pct"/>
            <w:shd w:val="clear" w:color="auto" w:fill="FFFFFF" w:themeFill="background1"/>
            <w:noWrap/>
            <w:hideMark/>
          </w:tcPr>
          <w:p w14:paraId="02DD51E7"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48,4</w:t>
            </w:r>
          </w:p>
        </w:tc>
        <w:tc>
          <w:tcPr>
            <w:tcW w:w="602" w:type="pct"/>
            <w:shd w:val="clear" w:color="auto" w:fill="FFFFFF" w:themeFill="background1"/>
            <w:noWrap/>
            <w:hideMark/>
          </w:tcPr>
          <w:p w14:paraId="7F9BBC24"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45,3</w:t>
            </w:r>
          </w:p>
        </w:tc>
        <w:tc>
          <w:tcPr>
            <w:tcW w:w="602" w:type="pct"/>
            <w:shd w:val="clear" w:color="auto" w:fill="FFFFFF" w:themeFill="background1"/>
            <w:noWrap/>
            <w:hideMark/>
          </w:tcPr>
          <w:p w14:paraId="148DBE40"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42,9</w:t>
            </w:r>
          </w:p>
        </w:tc>
        <w:tc>
          <w:tcPr>
            <w:tcW w:w="602" w:type="pct"/>
            <w:shd w:val="clear" w:color="auto" w:fill="FFFFFF" w:themeFill="background1"/>
            <w:noWrap/>
            <w:hideMark/>
          </w:tcPr>
          <w:p w14:paraId="1CC84989"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42,1</w:t>
            </w:r>
          </w:p>
        </w:tc>
        <w:tc>
          <w:tcPr>
            <w:tcW w:w="602" w:type="pct"/>
            <w:shd w:val="clear" w:color="auto" w:fill="FFFFFF" w:themeFill="background1"/>
            <w:noWrap/>
            <w:hideMark/>
          </w:tcPr>
          <w:p w14:paraId="4AB9CDA8"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CS"/>
              </w:rPr>
            </w:pPr>
            <w:r w:rsidRPr="00092ED7">
              <w:rPr>
                <w:rFonts w:eastAsia="Times New Roman" w:cs="Times New Roman"/>
                <w:color w:val="auto"/>
                <w:sz w:val="18"/>
                <w:szCs w:val="18"/>
                <w:lang w:val="sr-Cyrl-CS"/>
              </w:rPr>
              <w:t>–</w:t>
            </w:r>
          </w:p>
        </w:tc>
      </w:tr>
      <w:tr w:rsidR="008B200E" w:rsidRPr="00092ED7" w14:paraId="26ED81DC" w14:textId="77777777" w:rsidTr="00613B5B">
        <w:trPr>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69D80BC4"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Резултат</w:t>
            </w:r>
          </w:p>
        </w:tc>
        <w:tc>
          <w:tcPr>
            <w:tcW w:w="602" w:type="pct"/>
            <w:shd w:val="clear" w:color="auto" w:fill="FFFFFF" w:themeFill="background1"/>
            <w:noWrap/>
            <w:hideMark/>
          </w:tcPr>
          <w:p w14:paraId="20484921"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-4,9</w:t>
            </w:r>
          </w:p>
        </w:tc>
        <w:tc>
          <w:tcPr>
            <w:tcW w:w="602" w:type="pct"/>
            <w:shd w:val="clear" w:color="auto" w:fill="FFFFFF" w:themeFill="background1"/>
            <w:noWrap/>
            <w:hideMark/>
          </w:tcPr>
          <w:p w14:paraId="102A322F"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-3,0</w:t>
            </w:r>
          </w:p>
        </w:tc>
        <w:tc>
          <w:tcPr>
            <w:tcW w:w="602" w:type="pct"/>
            <w:shd w:val="clear" w:color="auto" w:fill="FFFFFF" w:themeFill="background1"/>
            <w:noWrap/>
            <w:hideMark/>
          </w:tcPr>
          <w:p w14:paraId="3DD3FB95"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-1,5</w:t>
            </w:r>
          </w:p>
        </w:tc>
        <w:tc>
          <w:tcPr>
            <w:tcW w:w="602" w:type="pct"/>
            <w:shd w:val="clear" w:color="auto" w:fill="FFFFFF" w:themeFill="background1"/>
            <w:noWrap/>
            <w:hideMark/>
          </w:tcPr>
          <w:p w14:paraId="08675A0D"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-1,0</w:t>
            </w:r>
          </w:p>
        </w:tc>
        <w:tc>
          <w:tcPr>
            <w:tcW w:w="602" w:type="pct"/>
            <w:shd w:val="clear" w:color="auto" w:fill="FFFFFF" w:themeFill="background1"/>
            <w:noWrap/>
            <w:hideMark/>
          </w:tcPr>
          <w:p w14:paraId="7FF64CCE"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CS"/>
              </w:rPr>
            </w:pPr>
            <w:r w:rsidRPr="00092ED7">
              <w:rPr>
                <w:rFonts w:eastAsia="Times New Roman" w:cs="Times New Roman"/>
                <w:color w:val="auto"/>
                <w:sz w:val="18"/>
                <w:szCs w:val="18"/>
                <w:lang w:val="sr-Cyrl-CS"/>
              </w:rPr>
              <w:t>–</w:t>
            </w:r>
          </w:p>
        </w:tc>
      </w:tr>
      <w:tr w:rsidR="008B200E" w:rsidRPr="00092ED7" w14:paraId="1753E2F8" w14:textId="77777777" w:rsidTr="00613B5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009B94B1"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Програм економских реформи 2023–2025</w:t>
            </w:r>
          </w:p>
        </w:tc>
        <w:tc>
          <w:tcPr>
            <w:tcW w:w="602" w:type="pct"/>
            <w:shd w:val="clear" w:color="auto" w:fill="FFFFFF" w:themeFill="background1"/>
            <w:noWrap/>
            <w:hideMark/>
          </w:tcPr>
          <w:p w14:paraId="6BA3ED84"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0ADBC909"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2CBC0276"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43B73871"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66FD1D24"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CS"/>
              </w:rPr>
            </w:pPr>
          </w:p>
        </w:tc>
      </w:tr>
      <w:tr w:rsidR="008B200E" w:rsidRPr="00092ED7" w14:paraId="101BF1ED" w14:textId="77777777" w:rsidTr="00613B5B">
        <w:trPr>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0837055C"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Приходи</w:t>
            </w:r>
          </w:p>
        </w:tc>
        <w:tc>
          <w:tcPr>
            <w:tcW w:w="602" w:type="pct"/>
            <w:shd w:val="clear" w:color="auto" w:fill="FFFFFF" w:themeFill="background1"/>
            <w:noWrap/>
            <w:hideMark/>
          </w:tcPr>
          <w:p w14:paraId="41D555EA"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43,3</w:t>
            </w:r>
          </w:p>
        </w:tc>
        <w:tc>
          <w:tcPr>
            <w:tcW w:w="602" w:type="pct"/>
            <w:shd w:val="clear" w:color="auto" w:fill="FFFFFF" w:themeFill="background1"/>
            <w:noWrap/>
            <w:hideMark/>
          </w:tcPr>
          <w:p w14:paraId="304DD464"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43,0</w:t>
            </w:r>
          </w:p>
        </w:tc>
        <w:tc>
          <w:tcPr>
            <w:tcW w:w="602" w:type="pct"/>
            <w:shd w:val="clear" w:color="auto" w:fill="auto"/>
            <w:noWrap/>
            <w:hideMark/>
          </w:tcPr>
          <w:p w14:paraId="34D9C6C3"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40,9</w:t>
            </w:r>
          </w:p>
        </w:tc>
        <w:tc>
          <w:tcPr>
            <w:tcW w:w="602" w:type="pct"/>
            <w:shd w:val="clear" w:color="auto" w:fill="auto"/>
            <w:noWrap/>
            <w:hideMark/>
          </w:tcPr>
          <w:p w14:paraId="21AAF6CA"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40,4</w:t>
            </w:r>
          </w:p>
        </w:tc>
        <w:tc>
          <w:tcPr>
            <w:tcW w:w="602" w:type="pct"/>
            <w:shd w:val="clear" w:color="auto" w:fill="auto"/>
            <w:noWrap/>
            <w:vAlign w:val="center"/>
            <w:hideMark/>
          </w:tcPr>
          <w:p w14:paraId="36CA75F4"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CS"/>
              </w:rPr>
            </w:pPr>
            <w:r w:rsidRPr="00092ED7">
              <w:rPr>
                <w:rFonts w:cs="Times New Roman"/>
                <w:color w:val="auto"/>
                <w:sz w:val="18"/>
                <w:szCs w:val="18"/>
                <w:lang w:val="sr-Cyrl-CS"/>
              </w:rPr>
              <w:t>39,6</w:t>
            </w:r>
          </w:p>
        </w:tc>
      </w:tr>
      <w:tr w:rsidR="008B200E" w:rsidRPr="00092ED7" w14:paraId="5FF2D4A4" w14:textId="77777777" w:rsidTr="00613B5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1B1CD43C"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Расходи</w:t>
            </w:r>
          </w:p>
        </w:tc>
        <w:tc>
          <w:tcPr>
            <w:tcW w:w="602" w:type="pct"/>
            <w:shd w:val="clear" w:color="auto" w:fill="FFFFFF" w:themeFill="background1"/>
            <w:noWrap/>
            <w:hideMark/>
          </w:tcPr>
          <w:p w14:paraId="3C06D20C"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47,4</w:t>
            </w:r>
          </w:p>
        </w:tc>
        <w:tc>
          <w:tcPr>
            <w:tcW w:w="602" w:type="pct"/>
            <w:shd w:val="clear" w:color="auto" w:fill="FFFFFF" w:themeFill="background1"/>
            <w:noWrap/>
            <w:hideMark/>
          </w:tcPr>
          <w:p w14:paraId="6CB4DE70"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46,8</w:t>
            </w:r>
          </w:p>
        </w:tc>
        <w:tc>
          <w:tcPr>
            <w:tcW w:w="602" w:type="pct"/>
            <w:shd w:val="clear" w:color="auto" w:fill="auto"/>
            <w:noWrap/>
            <w:hideMark/>
          </w:tcPr>
          <w:p w14:paraId="71C664D9"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44,2</w:t>
            </w:r>
          </w:p>
        </w:tc>
        <w:tc>
          <w:tcPr>
            <w:tcW w:w="602" w:type="pct"/>
            <w:shd w:val="clear" w:color="auto" w:fill="auto"/>
            <w:noWrap/>
            <w:hideMark/>
          </w:tcPr>
          <w:p w14:paraId="6317C3E7"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42,5</w:t>
            </w:r>
          </w:p>
        </w:tc>
        <w:tc>
          <w:tcPr>
            <w:tcW w:w="602" w:type="pct"/>
            <w:shd w:val="clear" w:color="auto" w:fill="auto"/>
            <w:noWrap/>
            <w:vAlign w:val="center"/>
            <w:hideMark/>
          </w:tcPr>
          <w:p w14:paraId="21C3647D"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CS"/>
              </w:rPr>
            </w:pPr>
            <w:r w:rsidRPr="00092ED7">
              <w:rPr>
                <w:rFonts w:cs="Times New Roman"/>
                <w:color w:val="auto"/>
                <w:sz w:val="18"/>
                <w:szCs w:val="18"/>
                <w:lang w:val="sr-Cyrl-CS"/>
              </w:rPr>
              <w:t>41,0</w:t>
            </w:r>
          </w:p>
        </w:tc>
      </w:tr>
      <w:tr w:rsidR="008B200E" w:rsidRPr="00092ED7" w14:paraId="61857C0D" w14:textId="77777777" w:rsidTr="00613B5B">
        <w:trPr>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01D4917E"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Резултат</w:t>
            </w:r>
          </w:p>
        </w:tc>
        <w:tc>
          <w:tcPr>
            <w:tcW w:w="602" w:type="pct"/>
            <w:shd w:val="clear" w:color="auto" w:fill="FFFFFF" w:themeFill="background1"/>
            <w:noWrap/>
            <w:hideMark/>
          </w:tcPr>
          <w:p w14:paraId="52DE3031"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-4,1</w:t>
            </w:r>
          </w:p>
        </w:tc>
        <w:tc>
          <w:tcPr>
            <w:tcW w:w="602" w:type="pct"/>
            <w:shd w:val="clear" w:color="auto" w:fill="FFFFFF" w:themeFill="background1"/>
            <w:noWrap/>
            <w:hideMark/>
          </w:tcPr>
          <w:p w14:paraId="30EBA218"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-3,8</w:t>
            </w:r>
          </w:p>
        </w:tc>
        <w:tc>
          <w:tcPr>
            <w:tcW w:w="602" w:type="pct"/>
            <w:shd w:val="clear" w:color="auto" w:fill="FFFFFF" w:themeFill="background1"/>
            <w:noWrap/>
            <w:hideMark/>
          </w:tcPr>
          <w:p w14:paraId="5AB6387A"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-3,3</w:t>
            </w:r>
          </w:p>
        </w:tc>
        <w:tc>
          <w:tcPr>
            <w:tcW w:w="602" w:type="pct"/>
            <w:shd w:val="clear" w:color="auto" w:fill="FFFFFF" w:themeFill="background1"/>
            <w:noWrap/>
            <w:hideMark/>
          </w:tcPr>
          <w:p w14:paraId="1BA17E48"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-2,2</w:t>
            </w:r>
          </w:p>
        </w:tc>
        <w:tc>
          <w:tcPr>
            <w:tcW w:w="602" w:type="pct"/>
            <w:shd w:val="clear" w:color="auto" w:fill="FFFFFF" w:themeFill="background1"/>
            <w:noWrap/>
            <w:hideMark/>
          </w:tcPr>
          <w:p w14:paraId="1D766175"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CS"/>
              </w:rPr>
            </w:pPr>
            <w:r w:rsidRPr="00092ED7">
              <w:rPr>
                <w:rFonts w:eastAsia="Times New Roman" w:cs="Times New Roman"/>
                <w:color w:val="auto"/>
                <w:sz w:val="18"/>
                <w:szCs w:val="18"/>
                <w:lang w:val="sr-Cyrl-CS"/>
              </w:rPr>
              <w:t>-1,4</w:t>
            </w:r>
          </w:p>
        </w:tc>
      </w:tr>
      <w:tr w:rsidR="008B200E" w:rsidRPr="00092ED7" w14:paraId="403B40D8" w14:textId="77777777" w:rsidTr="00613B5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58F4E18D"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Разлика</w:t>
            </w:r>
          </w:p>
        </w:tc>
        <w:tc>
          <w:tcPr>
            <w:tcW w:w="602" w:type="pct"/>
            <w:shd w:val="clear" w:color="auto" w:fill="FFFFFF" w:themeFill="background1"/>
            <w:noWrap/>
            <w:hideMark/>
          </w:tcPr>
          <w:p w14:paraId="457DCE77"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066688D2"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269B8EBF"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38C0008A"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38E18F17"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CS"/>
              </w:rPr>
            </w:pPr>
          </w:p>
        </w:tc>
      </w:tr>
      <w:tr w:rsidR="008B200E" w:rsidRPr="00092ED7" w14:paraId="75A5A6D0" w14:textId="77777777" w:rsidTr="00613B5B">
        <w:trPr>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3C336FFE"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Приходи</w:t>
            </w:r>
          </w:p>
        </w:tc>
        <w:tc>
          <w:tcPr>
            <w:tcW w:w="602" w:type="pct"/>
            <w:shd w:val="clear" w:color="auto" w:fill="FFFFFF" w:themeFill="background1"/>
            <w:noWrap/>
            <w:hideMark/>
          </w:tcPr>
          <w:p w14:paraId="1C5C2EBB"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-0,2</w:t>
            </w:r>
          </w:p>
        </w:tc>
        <w:tc>
          <w:tcPr>
            <w:tcW w:w="602" w:type="pct"/>
            <w:shd w:val="clear" w:color="auto" w:fill="FFFFFF" w:themeFill="background1"/>
            <w:noWrap/>
            <w:hideMark/>
          </w:tcPr>
          <w:p w14:paraId="17796C0A"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0,8</w:t>
            </w:r>
          </w:p>
        </w:tc>
        <w:tc>
          <w:tcPr>
            <w:tcW w:w="602" w:type="pct"/>
            <w:shd w:val="clear" w:color="auto" w:fill="FFFFFF" w:themeFill="background1"/>
            <w:noWrap/>
            <w:hideMark/>
          </w:tcPr>
          <w:p w14:paraId="283286A3"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20"/>
                <w:szCs w:val="20"/>
                <w:lang w:val="sr-Cyrl-CS"/>
              </w:rPr>
            </w:pPr>
            <w:r w:rsidRPr="00092ED7">
              <w:rPr>
                <w:rFonts w:cs="Times New Roman"/>
                <w:color w:val="auto"/>
                <w:sz w:val="20"/>
                <w:szCs w:val="20"/>
                <w:lang w:val="sr-Cyrl-CS"/>
              </w:rPr>
              <w:t>-0,5</w:t>
            </w:r>
          </w:p>
        </w:tc>
        <w:tc>
          <w:tcPr>
            <w:tcW w:w="602" w:type="pct"/>
            <w:shd w:val="clear" w:color="auto" w:fill="FFFFFF" w:themeFill="background1"/>
            <w:noWrap/>
            <w:hideMark/>
          </w:tcPr>
          <w:p w14:paraId="3563EE3D"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20"/>
                <w:szCs w:val="20"/>
                <w:lang w:val="sr-Cyrl-CS"/>
              </w:rPr>
            </w:pPr>
            <w:r w:rsidRPr="00092ED7">
              <w:rPr>
                <w:rFonts w:cs="Times New Roman"/>
                <w:color w:val="auto"/>
                <w:sz w:val="20"/>
                <w:szCs w:val="20"/>
                <w:lang w:val="sr-Cyrl-CS"/>
              </w:rPr>
              <w:t>-0,7</w:t>
            </w:r>
          </w:p>
        </w:tc>
        <w:tc>
          <w:tcPr>
            <w:tcW w:w="602" w:type="pct"/>
            <w:shd w:val="clear" w:color="auto" w:fill="FFFFFF" w:themeFill="background1"/>
            <w:noWrap/>
            <w:hideMark/>
          </w:tcPr>
          <w:p w14:paraId="55B75787"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CS"/>
              </w:rPr>
            </w:pPr>
            <w:r w:rsidRPr="00092ED7">
              <w:rPr>
                <w:rFonts w:eastAsia="Times New Roman" w:cs="Times New Roman"/>
                <w:bCs/>
                <w:color w:val="auto"/>
                <w:sz w:val="18"/>
                <w:szCs w:val="18"/>
                <w:lang w:val="sr-Cyrl-CS"/>
              </w:rPr>
              <w:t>–</w:t>
            </w:r>
          </w:p>
        </w:tc>
      </w:tr>
      <w:tr w:rsidR="008B200E" w:rsidRPr="00092ED7" w14:paraId="196CB787" w14:textId="77777777" w:rsidTr="00613B5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6EFD726B"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Расходи</w:t>
            </w:r>
          </w:p>
        </w:tc>
        <w:tc>
          <w:tcPr>
            <w:tcW w:w="602" w:type="pct"/>
            <w:shd w:val="clear" w:color="auto" w:fill="FFFFFF" w:themeFill="background1"/>
            <w:noWrap/>
            <w:hideMark/>
          </w:tcPr>
          <w:p w14:paraId="0C1B72A1"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-1,0</w:t>
            </w:r>
          </w:p>
        </w:tc>
        <w:tc>
          <w:tcPr>
            <w:tcW w:w="602" w:type="pct"/>
            <w:shd w:val="clear" w:color="auto" w:fill="FFFFFF" w:themeFill="background1"/>
            <w:noWrap/>
            <w:hideMark/>
          </w:tcPr>
          <w:p w14:paraId="1409326E"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1,6</w:t>
            </w:r>
          </w:p>
        </w:tc>
        <w:tc>
          <w:tcPr>
            <w:tcW w:w="602" w:type="pct"/>
            <w:shd w:val="clear" w:color="auto" w:fill="FFFFFF" w:themeFill="background1"/>
            <w:noWrap/>
            <w:hideMark/>
          </w:tcPr>
          <w:p w14:paraId="3FE05252"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20"/>
                <w:szCs w:val="20"/>
                <w:lang w:val="sr-Cyrl-CS"/>
              </w:rPr>
            </w:pPr>
            <w:r w:rsidRPr="00092ED7">
              <w:rPr>
                <w:rFonts w:cs="Times New Roman"/>
                <w:color w:val="auto"/>
                <w:sz w:val="20"/>
                <w:szCs w:val="20"/>
                <w:lang w:val="sr-Cyrl-CS"/>
              </w:rPr>
              <w:t>1,3</w:t>
            </w:r>
          </w:p>
        </w:tc>
        <w:tc>
          <w:tcPr>
            <w:tcW w:w="602" w:type="pct"/>
            <w:shd w:val="clear" w:color="auto" w:fill="FFFFFF" w:themeFill="background1"/>
            <w:noWrap/>
            <w:hideMark/>
          </w:tcPr>
          <w:p w14:paraId="1BC2DBA6"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20"/>
                <w:szCs w:val="20"/>
                <w:lang w:val="sr-Cyrl-CS"/>
              </w:rPr>
            </w:pPr>
            <w:r w:rsidRPr="00092ED7">
              <w:rPr>
                <w:rFonts w:cs="Times New Roman"/>
                <w:color w:val="auto"/>
                <w:sz w:val="20"/>
                <w:szCs w:val="20"/>
                <w:lang w:val="sr-Cyrl-CS"/>
              </w:rPr>
              <w:t>0,4</w:t>
            </w:r>
          </w:p>
        </w:tc>
        <w:tc>
          <w:tcPr>
            <w:tcW w:w="602" w:type="pct"/>
            <w:shd w:val="clear" w:color="auto" w:fill="FFFFFF" w:themeFill="background1"/>
            <w:noWrap/>
            <w:hideMark/>
          </w:tcPr>
          <w:p w14:paraId="1D712A33"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CS"/>
              </w:rPr>
            </w:pPr>
            <w:r w:rsidRPr="00092ED7">
              <w:rPr>
                <w:rFonts w:eastAsia="Times New Roman" w:cs="Times New Roman"/>
                <w:bCs/>
                <w:color w:val="auto"/>
                <w:sz w:val="18"/>
                <w:szCs w:val="18"/>
                <w:lang w:val="sr-Cyrl-CS"/>
              </w:rPr>
              <w:t>–</w:t>
            </w:r>
          </w:p>
        </w:tc>
      </w:tr>
      <w:tr w:rsidR="008B200E" w:rsidRPr="00092ED7" w14:paraId="29A01990" w14:textId="77777777" w:rsidTr="00613B5B">
        <w:trPr>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7AC97714"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Резултат</w:t>
            </w:r>
          </w:p>
        </w:tc>
        <w:tc>
          <w:tcPr>
            <w:tcW w:w="602" w:type="pct"/>
            <w:shd w:val="clear" w:color="auto" w:fill="FFFFFF" w:themeFill="background1"/>
            <w:noWrap/>
            <w:hideMark/>
          </w:tcPr>
          <w:p w14:paraId="1DEA2D95"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-0,8</w:t>
            </w:r>
          </w:p>
        </w:tc>
        <w:tc>
          <w:tcPr>
            <w:tcW w:w="602" w:type="pct"/>
            <w:shd w:val="clear" w:color="auto" w:fill="FFFFFF" w:themeFill="background1"/>
            <w:noWrap/>
            <w:hideMark/>
          </w:tcPr>
          <w:p w14:paraId="3BE37596"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-0,8</w:t>
            </w:r>
          </w:p>
        </w:tc>
        <w:tc>
          <w:tcPr>
            <w:tcW w:w="602" w:type="pct"/>
            <w:shd w:val="clear" w:color="auto" w:fill="FFFFFF" w:themeFill="background1"/>
            <w:noWrap/>
            <w:hideMark/>
          </w:tcPr>
          <w:p w14:paraId="2022C7C5"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-1,8</w:t>
            </w:r>
          </w:p>
        </w:tc>
        <w:tc>
          <w:tcPr>
            <w:tcW w:w="602" w:type="pct"/>
            <w:shd w:val="clear" w:color="auto" w:fill="FFFFFF" w:themeFill="background1"/>
            <w:noWrap/>
            <w:hideMark/>
          </w:tcPr>
          <w:p w14:paraId="7156A6F5"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-1,2</w:t>
            </w:r>
          </w:p>
        </w:tc>
        <w:tc>
          <w:tcPr>
            <w:tcW w:w="602" w:type="pct"/>
            <w:shd w:val="clear" w:color="auto" w:fill="FFFFFF" w:themeFill="background1"/>
            <w:noWrap/>
            <w:hideMark/>
          </w:tcPr>
          <w:p w14:paraId="244FEF67"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CS"/>
              </w:rPr>
            </w:pPr>
            <w:r w:rsidRPr="00092ED7">
              <w:rPr>
                <w:rFonts w:eastAsia="Times New Roman" w:cs="Times New Roman"/>
                <w:bCs/>
                <w:color w:val="auto"/>
                <w:sz w:val="18"/>
                <w:szCs w:val="18"/>
                <w:lang w:val="sr-Cyrl-CS"/>
              </w:rPr>
              <w:t>–</w:t>
            </w:r>
          </w:p>
        </w:tc>
      </w:tr>
    </w:tbl>
    <w:p w14:paraId="7E01664D" w14:textId="77777777" w:rsidR="008B200E" w:rsidRPr="00092ED7" w:rsidRDefault="008B200E" w:rsidP="00613B5B">
      <w:pPr>
        <w:spacing w:before="60"/>
        <w:rPr>
          <w:rFonts w:cs="Times New Roman"/>
          <w:sz w:val="18"/>
          <w:szCs w:val="18"/>
          <w:lang w:val="sr-Cyrl-CS"/>
        </w:rPr>
      </w:pPr>
      <w:r w:rsidRPr="00092ED7">
        <w:rPr>
          <w:rFonts w:eastAsia="Calibri" w:cs="Times New Roman"/>
          <w:bCs/>
          <w:sz w:val="18"/>
          <w:szCs w:val="18"/>
          <w:lang w:val="sr-Cyrl-CS" w:eastAsia="ja-JP"/>
        </w:rPr>
        <w:t xml:space="preserve">Извор: </w:t>
      </w:r>
      <w:r w:rsidRPr="00092ED7">
        <w:rPr>
          <w:rFonts w:cs="Times New Roman"/>
          <w:sz w:val="18"/>
          <w:szCs w:val="18"/>
          <w:lang w:val="sr-Cyrl-CS"/>
        </w:rPr>
        <w:t>Министарство финансија</w:t>
      </w:r>
    </w:p>
    <w:p w14:paraId="16BE92A2" w14:textId="77777777" w:rsidR="000C44D1" w:rsidRPr="00092ED7" w:rsidRDefault="00735870" w:rsidP="00063909">
      <w:pPr>
        <w:keepNext/>
        <w:keepLines/>
        <w:spacing w:before="240" w:line="259" w:lineRule="auto"/>
        <w:jc w:val="left"/>
        <w:outlineLvl w:val="1"/>
        <w:rPr>
          <w:rFonts w:eastAsia="Calibri" w:cs="Times New Roman"/>
          <w:b/>
          <w:szCs w:val="28"/>
          <w:lang w:val="sr-Cyrl-CS"/>
        </w:rPr>
      </w:pPr>
      <w:bookmarkStart w:id="43" w:name="_Toc124174800"/>
      <w:bookmarkStart w:id="44" w:name="_Toc126218619"/>
      <w:r w:rsidRPr="00092ED7">
        <w:rPr>
          <w:rFonts w:eastAsia="Calibri" w:cs="Times New Roman"/>
          <w:b/>
          <w:szCs w:val="28"/>
          <w:lang w:val="sr-Cyrl-CS"/>
        </w:rPr>
        <w:t>4.</w:t>
      </w:r>
      <w:r w:rsidR="000C44D1" w:rsidRPr="00092ED7">
        <w:rPr>
          <w:rFonts w:eastAsia="Calibri" w:cs="Times New Roman"/>
          <w:b/>
          <w:szCs w:val="28"/>
          <w:lang w:val="sr-Cyrl-CS"/>
        </w:rPr>
        <w:t>7. КВАЛИТЕТ ЈАВНИХ ФИНАНСИЈА</w:t>
      </w:r>
      <w:bookmarkEnd w:id="43"/>
      <w:bookmarkEnd w:id="44"/>
    </w:p>
    <w:p w14:paraId="280C11AB" w14:textId="77777777" w:rsidR="00A06946" w:rsidRPr="00092ED7" w:rsidRDefault="00A06946" w:rsidP="00A06946">
      <w:pPr>
        <w:spacing w:after="60"/>
        <w:rPr>
          <w:lang w:val="sr-Cyrl-CS" w:eastAsia="ja-JP"/>
        </w:rPr>
      </w:pPr>
      <w:r w:rsidRPr="00092ED7">
        <w:rPr>
          <w:lang w:val="sr-Cyrl-CS" w:eastAsia="ja-JP"/>
        </w:rPr>
        <w:t>Након што је почетком прошле године успешно окончан аранжман с ММФ – Република Србија је у јуну 2021. године са овом институцијом склопила нови аранжман саветодавног карактера. Нови програм сарадње – Инструмент за координацију политика (</w:t>
      </w:r>
      <w:r w:rsidRPr="00092ED7">
        <w:rPr>
          <w:i/>
          <w:lang w:val="sr-Cyrl-CS" w:eastAsia="ja-JP"/>
        </w:rPr>
        <w:t>Policy Coordination Instrument</w:t>
      </w:r>
      <w:r w:rsidRPr="00092ED7">
        <w:rPr>
          <w:lang w:val="sr-Cyrl-CS" w:eastAsia="ja-JP"/>
        </w:rPr>
        <w:t xml:space="preserve"> – PCI) потврђен је 18. јуна 2021.</w:t>
      </w:r>
      <w:r w:rsidRPr="00092ED7">
        <w:rPr>
          <w:bCs/>
          <w:lang w:val="sr-Cyrl-CS" w:eastAsia="ja-JP"/>
        </w:rPr>
        <w:t xml:space="preserve"> године</w:t>
      </w:r>
      <w:r w:rsidRPr="00092ED7">
        <w:rPr>
          <w:lang w:val="sr-Cyrl-CS" w:eastAsia="ja-JP"/>
        </w:rPr>
        <w:t xml:space="preserve"> и било је планирано да траје до краја 2023. године, односно 30 месеци.</w:t>
      </w:r>
    </w:p>
    <w:p w14:paraId="720E852A" w14:textId="7AB91816" w:rsidR="00A06946" w:rsidRPr="00092ED7" w:rsidRDefault="00A06946" w:rsidP="00A06946">
      <w:pPr>
        <w:spacing w:after="60"/>
        <w:rPr>
          <w:lang w:val="sr-Cyrl-CS" w:eastAsia="ja-JP"/>
        </w:rPr>
      </w:pPr>
      <w:r w:rsidRPr="00092ED7">
        <w:rPr>
          <w:lang w:val="sr-Cyrl-CS" w:eastAsia="ja-JP"/>
        </w:rPr>
        <w:t xml:space="preserve">Криза у Украјини жестоко погађа ланце снабдевања и ствара додатне инфлаторне притиске на тржиштима хране, енергије, сировина и других добара. Смањење домаће производње електричне енергије повећало је потребе за увозом енергената по значајно вишим ценама, уз погоршавање услова на финансијским тржиштима. У оваквим ванредним околностима Република Србија се одлучила да затражи нови аранжман са ММФ, који </w:t>
      </w:r>
      <w:r w:rsidR="00505E8B" w:rsidRPr="00092ED7">
        <w:rPr>
          <w:lang w:val="sr-Cyrl-CS" w:eastAsia="ja-JP"/>
        </w:rPr>
        <w:t>је потврђен крајем 2022. године</w:t>
      </w:r>
      <w:r w:rsidRPr="00092ED7">
        <w:rPr>
          <w:lang w:val="sr-Cyrl-CS" w:eastAsia="ja-JP"/>
        </w:rPr>
        <w:t>, у трајању од две године и који ће имати карактер аранжмана из предострожности. Програм има за циљ: 1) очување макроекономске и финансијске стабилности прилагођавањем политика на настале економске шокове; 2) јачање отпорности привреде на енергетске шокове спровођењем одговарајућих енергетских политика и реформи за суочавање са изазовима домаћег енергетског сектора, истовремено штитећи најугроженије; 3) давање подстицаја бржем, зеленом и инклузивном одрживом расту у средњем року спровођењем свеобухватних структурних реформи. Циљеви програма су компатибилни с тежњама Републике Србије да се придружи ЕУ.</w:t>
      </w:r>
    </w:p>
    <w:p w14:paraId="3217975E" w14:textId="2EFF69AB" w:rsidR="00A06946" w:rsidRPr="00092ED7" w:rsidRDefault="00A06946" w:rsidP="00A06946">
      <w:pPr>
        <w:spacing w:after="60"/>
        <w:rPr>
          <w:lang w:val="sr-Cyrl-CS" w:eastAsia="ja-JP"/>
        </w:rPr>
      </w:pPr>
      <w:r w:rsidRPr="00092ED7">
        <w:rPr>
          <w:lang w:val="sr-Cyrl-CS" w:eastAsia="ja-JP"/>
        </w:rPr>
        <w:t xml:space="preserve">У наредном периоду очекује се наставак реформи у области запошљавања, управљања кадровима и система плата у </w:t>
      </w:r>
      <w:r w:rsidR="00E561DE" w:rsidRPr="00092ED7">
        <w:rPr>
          <w:lang w:val="sr-Cyrl-CS" w:eastAsia="ja-JP"/>
        </w:rPr>
        <w:t xml:space="preserve">државном </w:t>
      </w:r>
      <w:r w:rsidRPr="00092ED7">
        <w:rPr>
          <w:lang w:val="sr-Cyrl-CS" w:eastAsia="ja-JP"/>
        </w:rPr>
        <w:t>сектору. Циљ фискалне политике у средњем року је задржавање расхода за запослене на одрживом нивоу, уз адекватну структуру запослених, како би се обезбедио већи квалитет пружених услуга. У наредном средњорочном периоду акценат ће бити на структурним мерама, које би преко планирања броја запослених с једне стране, и успостављања новог система плата у сектору државе с друге стране, допринеле повећању ефикасности и квалитету пружених јавних услуга.</w:t>
      </w:r>
    </w:p>
    <w:p w14:paraId="4E16B568" w14:textId="1C6FE264" w:rsidR="00A06946" w:rsidRPr="00092ED7" w:rsidRDefault="00A06946" w:rsidP="00055DC9">
      <w:pPr>
        <w:spacing w:after="60"/>
        <w:rPr>
          <w:rFonts w:eastAsia="MS PGothic" w:cs="Times New Roman"/>
          <w:bCs/>
          <w:iCs/>
          <w:szCs w:val="24"/>
          <w:lang w:val="sr-Cyrl-CS" w:eastAsia="ja-JP"/>
        </w:rPr>
      </w:pPr>
      <w:r w:rsidRPr="00092ED7">
        <w:rPr>
          <w:lang w:val="sr-Cyrl-CS" w:eastAsia="ja-JP"/>
        </w:rPr>
        <w:t xml:space="preserve">Постојећи систем запошљавања, којим руководи Владина Комисија за давање сагласности за ново запошљавање и додатно радно ангажовање код корисника јавних средстава наставиће да функционише у прелазном периоду до 2023. године, односно све док нови систем не буде у потпуности оперативан. Крајем 2020. године </w:t>
      </w:r>
      <w:r w:rsidR="002D1D1E" w:rsidRPr="00092ED7">
        <w:rPr>
          <w:lang w:val="sr-Cyrl-CS" w:eastAsia="ja-JP"/>
        </w:rPr>
        <w:t xml:space="preserve">усвојен је </w:t>
      </w:r>
      <w:r w:rsidRPr="00092ED7">
        <w:rPr>
          <w:lang w:val="sr-Cyrl-CS" w:eastAsia="ja-JP"/>
        </w:rPr>
        <w:t xml:space="preserve">Закон о </w:t>
      </w:r>
      <w:r w:rsidR="003917D5" w:rsidRPr="00092ED7">
        <w:rPr>
          <w:lang w:val="sr-Cyrl-CS" w:eastAsia="ja-JP"/>
        </w:rPr>
        <w:t xml:space="preserve">изменама и допунама Закона о </w:t>
      </w:r>
      <w:r w:rsidRPr="00092ED7">
        <w:rPr>
          <w:lang w:val="sr-Cyrl-CS" w:eastAsia="ja-JP"/>
        </w:rPr>
        <w:t xml:space="preserve">буџетском систему </w:t>
      </w:r>
      <w:r w:rsidR="003917D5" w:rsidRPr="00092ED7">
        <w:rPr>
          <w:rFonts w:cs="Times New Roman"/>
          <w:szCs w:val="24"/>
          <w:lang w:val="sr-Cyrl-CS"/>
        </w:rPr>
        <w:t>(„Службени гласник РС”, број</w:t>
      </w:r>
      <w:r w:rsidR="00655755" w:rsidRPr="00092ED7">
        <w:rPr>
          <w:rFonts w:cs="Times New Roman"/>
          <w:szCs w:val="24"/>
          <w:lang w:val="sr-Cyrl-CS"/>
        </w:rPr>
        <w:t xml:space="preserve"> </w:t>
      </w:r>
      <w:r w:rsidR="002D1D1E" w:rsidRPr="00092ED7">
        <w:rPr>
          <w:rFonts w:cs="Times New Roman"/>
          <w:szCs w:val="24"/>
          <w:lang w:val="sr-Cyrl-CS"/>
        </w:rPr>
        <w:t>149/20)</w:t>
      </w:r>
      <w:r w:rsidR="002D1D1E" w:rsidRPr="00092ED7">
        <w:rPr>
          <w:rFonts w:eastAsia="MS PGothic" w:cs="Times New Roman"/>
          <w:bCs/>
          <w:iCs/>
          <w:szCs w:val="24"/>
          <w:lang w:val="sr-Cyrl-CS" w:eastAsia="ja-JP"/>
        </w:rPr>
        <w:t xml:space="preserve"> </w:t>
      </w:r>
      <w:r w:rsidRPr="00092ED7">
        <w:rPr>
          <w:lang w:val="sr-Cyrl-CS" w:eastAsia="ja-JP"/>
        </w:rPr>
        <w:t>како би било омогућено да у прелазном периоду институције могу да ангажују нова лица до нивоа од 70% оних који напуштају институцију или одлазе у пензију, док је дозвола Комисије потребна уколико број новозапослених пређе 70%. Смисао ове мере је да се обезбеди већа флексибилност у запошљавању на нивоу самих институција, у складу с њиховим потребама за новим кадровима. Такође, постављен је и лимит од 1% за повећање укупног броја запослених на неодређено време у односу на ниво с краја 2020. године. У току је и израда електронског регистра запослених у јавном сектору „Искра”, који би требало да буде имплементиран до краја 2023. године, а пилот пројекат који обухвата запослене у Министарству финансија је већ оперативан. Суштина овог система је боље планирање, извршење и контрола расхода за плате запослених, већа транспарентност и боље управљање људским ресурсима. Системом ће бити обухваћено преко 450.000 запослених у јавном сектору, а ван система ће остати само запослени у сектору одбране, безбедности и унутрашњих послова и институције вишег и високог образовања.</w:t>
      </w:r>
    </w:p>
    <w:p w14:paraId="583A42D4" w14:textId="77777777" w:rsidR="00A06946" w:rsidRPr="00092ED7" w:rsidRDefault="00A06946" w:rsidP="00055DC9">
      <w:pPr>
        <w:spacing w:after="60" w:line="235" w:lineRule="auto"/>
        <w:rPr>
          <w:lang w:val="sr-Cyrl-CS" w:eastAsia="ja-JP"/>
        </w:rPr>
      </w:pPr>
      <w:r w:rsidRPr="00092ED7">
        <w:rPr>
          <w:lang w:val="sr-Cyrl-CS" w:eastAsia="ja-JP"/>
        </w:rPr>
        <w:t>У циљу смањења различитих облика буџетске подршке јавним и државним предузећима наставља се са њиховим реформама. Смањење буџетске подршке овим предузећима подразумева: а) ограничење директних и индиректних субвенција, б) забрану издавања гаранција за подршку ликвидности (осим у случају осигурања неометаног снабдевања тржишта енергентима за ЈП „Србијагас” и ЈП ЕПС) и в) јачање одговорности и транспарентности у пословању ових предузећа, укључујући и контролу и смањење доцњи у плаћањима, нарочито према ЈП ЕПС и ЈП „Србијагас” и превенцију њиховог гомилања у будућности.</w:t>
      </w:r>
    </w:p>
    <w:p w14:paraId="4E229602" w14:textId="7B33206B" w:rsidR="00A06946" w:rsidRPr="00092ED7" w:rsidRDefault="00A06946" w:rsidP="00055DC9">
      <w:pPr>
        <w:spacing w:line="235" w:lineRule="auto"/>
        <w:rPr>
          <w:rFonts w:eastAsia="MS PGothic" w:cs="Times New Roman"/>
          <w:bCs/>
          <w:iCs/>
          <w:szCs w:val="24"/>
          <w:lang w:val="sr-Cyrl-CS" w:eastAsia="ja-JP"/>
        </w:rPr>
      </w:pPr>
      <w:r w:rsidRPr="00092ED7">
        <w:rPr>
          <w:lang w:val="sr-Cyrl-CS" w:eastAsia="ja-JP"/>
        </w:rPr>
        <w:t>Влада је, уз подршку ЕБРД, усвојила Стратегију државног власништва и управљања привредним субјектима који су у власништву Републике Србије за период од 2021. до 2027. године</w:t>
      </w:r>
      <w:r w:rsidR="002D1D1E" w:rsidRPr="00092ED7">
        <w:rPr>
          <w:lang w:val="sr-Cyrl-CS" w:eastAsia="ja-JP"/>
        </w:rPr>
        <w:t xml:space="preserve"> </w:t>
      </w:r>
      <w:r w:rsidR="002D1D1E" w:rsidRPr="00092ED7">
        <w:rPr>
          <w:rFonts w:cs="Times New Roman"/>
          <w:szCs w:val="24"/>
          <w:lang w:val="sr-Cyrl-CS"/>
        </w:rPr>
        <w:t>(„Службени гласник РС”, број 3</w:t>
      </w:r>
      <w:r w:rsidR="00E561DE" w:rsidRPr="00092ED7">
        <w:rPr>
          <w:rFonts w:cs="Times New Roman"/>
          <w:szCs w:val="24"/>
          <w:lang w:val="sr-Cyrl-CS"/>
        </w:rPr>
        <w:t>6</w:t>
      </w:r>
      <w:r w:rsidR="002D1D1E" w:rsidRPr="00092ED7">
        <w:rPr>
          <w:rFonts w:cs="Times New Roman"/>
          <w:szCs w:val="24"/>
          <w:lang w:val="sr-Cyrl-CS"/>
        </w:rPr>
        <w:t>/21)</w:t>
      </w:r>
      <w:r w:rsidR="002D1D1E" w:rsidRPr="00092ED7">
        <w:rPr>
          <w:rFonts w:eastAsia="MS PGothic" w:cs="Times New Roman"/>
          <w:bCs/>
          <w:iCs/>
          <w:szCs w:val="24"/>
          <w:lang w:val="sr-Cyrl-CS" w:eastAsia="ja-JP"/>
        </w:rPr>
        <w:t xml:space="preserve"> </w:t>
      </w:r>
      <w:r w:rsidRPr="00092ED7">
        <w:rPr>
          <w:lang w:val="sr-Cyrl-CS" w:eastAsia="ja-JP"/>
        </w:rPr>
        <w:t>као јединствени акт који пружа стратешку визију и упутства у вези са циљевима власничког управљања, циљевима финансијских и јавних политика, као и принципима корпоративног управљања и праксама надзора у складу са међународним стандардима и најбољом праксом.</w:t>
      </w:r>
    </w:p>
    <w:p w14:paraId="1FE1A026" w14:textId="254B3000" w:rsidR="00A06946" w:rsidRPr="00092ED7" w:rsidRDefault="00A06946" w:rsidP="00055DC9">
      <w:pPr>
        <w:spacing w:after="60" w:line="235" w:lineRule="auto"/>
        <w:rPr>
          <w:lang w:val="sr-Cyrl-CS" w:eastAsia="ja-JP"/>
        </w:rPr>
      </w:pPr>
      <w:r w:rsidRPr="00092ED7">
        <w:rPr>
          <w:lang w:val="sr-Cyrl-CS" w:eastAsia="ja-JP"/>
        </w:rPr>
        <w:t>За предузећа која чине стратешке компаније из портфолија бивше Агенције за приватизацију, решење се налази или кроз приватизационе тендере или кроз стечај. За саобраћајно предузеће „Ласта” АД Београд тражиће се компаније заинтересоване за приватизацију или стратешко партнерство. Уз подршку Светске банке дефинисан је акциони план за Ј</w:t>
      </w:r>
      <w:r w:rsidR="002D1D1E" w:rsidRPr="00092ED7">
        <w:rPr>
          <w:lang w:val="sr-Cyrl-CS" w:eastAsia="ja-JP"/>
        </w:rPr>
        <w:t>авно предузеће</w:t>
      </w:r>
      <w:r w:rsidRPr="00092ED7">
        <w:rPr>
          <w:lang w:val="sr-Cyrl-CS" w:eastAsia="ja-JP"/>
        </w:rPr>
        <w:t xml:space="preserve"> </w:t>
      </w:r>
      <w:r w:rsidR="002D1D1E" w:rsidRPr="00092ED7">
        <w:rPr>
          <w:lang w:val="sr-Cyrl-CS" w:eastAsia="ja-JP"/>
        </w:rPr>
        <w:t xml:space="preserve">за подземну експлоатацију угља </w:t>
      </w:r>
      <w:r w:rsidRPr="00092ED7">
        <w:rPr>
          <w:lang w:val="sr-Cyrl-CS" w:eastAsia="ja-JP"/>
        </w:rPr>
        <w:t>„Ресавица”</w:t>
      </w:r>
      <w:r w:rsidR="002D1D1E" w:rsidRPr="00092ED7">
        <w:rPr>
          <w:lang w:val="sr-Cyrl-CS" w:eastAsia="ja-JP"/>
        </w:rPr>
        <w:t xml:space="preserve"> (у даљем тексту: ЈП ПЕУ „Ресавица</w:t>
      </w:r>
      <w:r w:rsidR="00E561DE" w:rsidRPr="00092ED7">
        <w:rPr>
          <w:rFonts w:cs="Times New Roman"/>
          <w:lang w:val="sr-Cyrl-CS" w:eastAsia="ja-JP"/>
        </w:rPr>
        <w:t>ˮ</w:t>
      </w:r>
      <w:r w:rsidR="002D1D1E" w:rsidRPr="00092ED7">
        <w:rPr>
          <w:lang w:val="sr-Cyrl-CS" w:eastAsia="ja-JP"/>
        </w:rPr>
        <w:t>)</w:t>
      </w:r>
      <w:r w:rsidRPr="00092ED7">
        <w:rPr>
          <w:lang w:val="sr-Cyrl-CS" w:eastAsia="ja-JP"/>
        </w:rPr>
        <w:t xml:space="preserve">, чије спровођење укључује проналажење решења за затварање економски неодрживих рудника и план рационализације, уз могућност добровољног одласка уз обезбеђена средства за социјални програм и средства за подршку пословању како не би дошло до гомилања доцњи у плаћањима, нарочито према ЈП ЕПС. За ХИП – Петрохемија </w:t>
      </w:r>
      <w:r w:rsidR="002D1D1E" w:rsidRPr="00092ED7">
        <w:rPr>
          <w:lang w:val="sr-Cyrl-CS" w:eastAsia="ja-JP"/>
        </w:rPr>
        <w:t xml:space="preserve">а.д. Панчево </w:t>
      </w:r>
      <w:r w:rsidRPr="00092ED7">
        <w:rPr>
          <w:lang w:val="sr-Cyrl-CS" w:eastAsia="ja-JP"/>
        </w:rPr>
        <w:t xml:space="preserve">споразум о приватизацији је постигнут у децембру 2021. године с компанијом НИС, а окончање поступка је планирано до краја </w:t>
      </w:r>
      <w:r w:rsidR="00055DC9">
        <w:rPr>
          <w:lang w:val="sr-Cyrl-CS" w:eastAsia="ja-JP"/>
        </w:rPr>
        <w:t>2022.</w:t>
      </w:r>
      <w:r w:rsidRPr="00092ED7">
        <w:rPr>
          <w:lang w:val="sr-Cyrl-CS" w:eastAsia="ja-JP"/>
        </w:rPr>
        <w:t xml:space="preserve"> године.</w:t>
      </w:r>
    </w:p>
    <w:p w14:paraId="2DC987FB" w14:textId="675D9D1F" w:rsidR="00A06946" w:rsidRPr="00092ED7" w:rsidRDefault="00A06946" w:rsidP="00055DC9">
      <w:pPr>
        <w:spacing w:after="60" w:line="235" w:lineRule="auto"/>
        <w:rPr>
          <w:lang w:val="sr-Cyrl-CS" w:eastAsia="ja-JP"/>
        </w:rPr>
      </w:pPr>
      <w:r w:rsidRPr="00092ED7">
        <w:rPr>
          <w:lang w:val="sr-Cyrl-CS" w:eastAsia="ja-JP"/>
        </w:rPr>
        <w:t>За одређени број компанија у државном власништву се траже стратешки партнери или други модели приватизације, односно спровођење унапред припремљених планова реорганизације.</w:t>
      </w:r>
    </w:p>
    <w:p w14:paraId="2772682D" w14:textId="39D8E702" w:rsidR="00A06946" w:rsidRPr="00092ED7" w:rsidRDefault="00A06946" w:rsidP="00055DC9">
      <w:pPr>
        <w:spacing w:after="60" w:line="235" w:lineRule="auto"/>
        <w:rPr>
          <w:lang w:val="sr-Cyrl-CS" w:eastAsia="ja-JP"/>
        </w:rPr>
      </w:pPr>
      <w:r w:rsidRPr="00092ED7">
        <w:rPr>
          <w:lang w:val="sr-Cyrl-CS" w:eastAsia="ja-JP"/>
        </w:rPr>
        <w:t>Побољшање управљања јавним финансијама је нужно, не само као подршка мерама фискалне стабилизације и структурним реформама, већ као процес који подиже квалитет државне управе и осигурава привлачан амбијент за инвеститоре. Нови Програм реформе управљања јавним финансијама за период 2021–2025. године</w:t>
      </w:r>
      <w:r w:rsidR="00BF6EA6" w:rsidRPr="00092ED7">
        <w:rPr>
          <w:lang w:val="sr-Cyrl-CS" w:eastAsia="ja-JP"/>
        </w:rPr>
        <w:t xml:space="preserve"> </w:t>
      </w:r>
      <w:r w:rsidR="00BF6EA6" w:rsidRPr="00092ED7">
        <w:rPr>
          <w:rFonts w:cs="Times New Roman"/>
          <w:szCs w:val="24"/>
          <w:lang w:val="sr-Cyrl-CS"/>
        </w:rPr>
        <w:t>(„Службени гласник РС”, број 70/21</w:t>
      </w:r>
      <w:r w:rsidR="00DB6C56" w:rsidRPr="00092ED7">
        <w:rPr>
          <w:rFonts w:cs="Times New Roman"/>
          <w:szCs w:val="24"/>
          <w:lang w:val="sr-Cyrl-CS"/>
        </w:rPr>
        <w:t>, у даљем тексту: ПРУЈФ</w:t>
      </w:r>
      <w:r w:rsidR="00BF6EA6" w:rsidRPr="00092ED7">
        <w:rPr>
          <w:rFonts w:cs="Times New Roman"/>
          <w:szCs w:val="24"/>
          <w:lang w:val="sr-Cyrl-CS"/>
        </w:rPr>
        <w:t xml:space="preserve">) </w:t>
      </w:r>
      <w:r w:rsidRPr="00092ED7">
        <w:rPr>
          <w:lang w:val="sr-Cyrl-CS" w:eastAsia="ja-JP"/>
        </w:rPr>
        <w:t>усвојен је у јуну 2021. године.</w:t>
      </w:r>
      <w:r w:rsidR="00C347D8" w:rsidRPr="00092ED7">
        <w:rPr>
          <w:lang w:val="sr-Cyrl-CS" w:eastAsia="ja-JP"/>
        </w:rPr>
        <w:t xml:space="preserve"> У 2023. години планира се ревизија акционог плана како би, поред осталог, укључио различите активности у области управљања јавним финансијама које се односе на зелену транзицију.</w:t>
      </w:r>
    </w:p>
    <w:p w14:paraId="6B133E77" w14:textId="49461AC5" w:rsidR="00A06946" w:rsidRPr="00092ED7" w:rsidRDefault="00A06946" w:rsidP="00A06946">
      <w:pPr>
        <w:spacing w:after="60"/>
        <w:rPr>
          <w:lang w:val="sr-Cyrl-CS" w:eastAsia="ja-JP"/>
        </w:rPr>
      </w:pPr>
      <w:r w:rsidRPr="00092ED7">
        <w:rPr>
          <w:lang w:val="sr-Cyrl-CS" w:eastAsia="ja-JP"/>
        </w:rPr>
        <w:t>Област управљања јавним финансијама којој је озбиљно посвећена пажња и на чијем се унапређењу ради је управљање јавним инвестицијама. Јачањем оквира управљања јавним инвестицијама интензивирају се нови инфраструктурни пројекти и подиже квалитет постојеће инфраструктуре. У априлу 2018. године усвојен је Закон о планском систему Републике Србије</w:t>
      </w:r>
      <w:r w:rsidR="00BF6EA6" w:rsidRPr="00092ED7">
        <w:rPr>
          <w:rFonts w:cs="Times New Roman"/>
          <w:szCs w:val="24"/>
          <w:lang w:val="sr-Cyrl-CS"/>
        </w:rPr>
        <w:t xml:space="preserve"> </w:t>
      </w:r>
      <w:r w:rsidRPr="00092ED7">
        <w:rPr>
          <w:lang w:val="sr-Cyrl-CS" w:eastAsia="ja-JP"/>
        </w:rPr>
        <w:t>којим је успостављен национални оквир за планирање и којим су дефинисани План развоја и Инвестициони план. Систем управљања јавним инвестицјама, који се развија уз помоћ Светске банке, укључује интегрисану базу података о инвестиционим пројектима, која је тренутно у развоју и успостављену јединствену листу приоритетних пројеката (</w:t>
      </w:r>
      <w:r w:rsidRPr="00092ED7">
        <w:rPr>
          <w:i/>
          <w:lang w:val="sr-Cyrl-CS" w:eastAsia="ja-JP"/>
        </w:rPr>
        <w:t>Single Project Pipeline</w:t>
      </w:r>
      <w:r w:rsidRPr="00092ED7">
        <w:rPr>
          <w:lang w:val="sr-Cyrl-CS" w:eastAsia="ja-JP"/>
        </w:rPr>
        <w:t>). Систем ће почетком 2023. године постати потпуно функционалан за пројекте који су у фази имплементације. У наредном периоду систем ће укључити и пројекте који су у фази која претходи имплементацији, а током 2024. и 2025. године прошириће обухват на национални ниво, укључујући и локалне информационе системе.</w:t>
      </w:r>
    </w:p>
    <w:p w14:paraId="5C505D4E" w14:textId="77777777" w:rsidR="00A06946" w:rsidRPr="00092ED7" w:rsidRDefault="00A06946" w:rsidP="00A06946">
      <w:pPr>
        <w:spacing w:after="60"/>
        <w:rPr>
          <w:lang w:val="sr-Cyrl-CS" w:eastAsia="ja-JP"/>
        </w:rPr>
      </w:pPr>
      <w:r w:rsidRPr="00092ED7">
        <w:rPr>
          <w:lang w:val="sr-Cyrl-CS" w:eastAsia="ja-JP"/>
        </w:rPr>
        <w:t>Јавно-приватна партнерства (</w:t>
      </w:r>
      <w:r w:rsidRPr="00092ED7">
        <w:rPr>
          <w:i/>
          <w:lang w:val="sr-Cyrl-CS" w:eastAsia="ja-JP"/>
        </w:rPr>
        <w:t>Public-Private Partnerships</w:t>
      </w:r>
      <w:r w:rsidRPr="00092ED7">
        <w:rPr>
          <w:lang w:val="sr-Cyrl-CS" w:eastAsia="ja-JP"/>
        </w:rPr>
        <w:t xml:space="preserve"> – PPP), као специфичан вид сарадње државе и приватног сектора захтевају посебну пажњу и опрез, стога ће Министарство финансија и даље пратити пројекте од посебног значаја током њихове имплементације и о томе обавештавати Владу.</w:t>
      </w:r>
    </w:p>
    <w:p w14:paraId="2CEAD972" w14:textId="217DD7ED" w:rsidR="00B23548" w:rsidRPr="00092ED7" w:rsidRDefault="00A06946" w:rsidP="00B640AF">
      <w:pPr>
        <w:rPr>
          <w:rFonts w:eastAsia="Calibri" w:cs="Times New Roman"/>
          <w:b/>
          <w:szCs w:val="28"/>
          <w:lang w:val="sr-Cyrl-CS"/>
        </w:rPr>
      </w:pPr>
      <w:bookmarkStart w:id="45" w:name="_Hlk125530936"/>
      <w:r w:rsidRPr="00092ED7">
        <w:rPr>
          <w:lang w:val="sr-Cyrl-CS" w:eastAsia="ja-JP"/>
        </w:rPr>
        <w:t xml:space="preserve">Нови </w:t>
      </w:r>
      <w:r w:rsidR="00A252B4" w:rsidRPr="00092ED7">
        <w:rPr>
          <w:lang w:val="sr-Cyrl-CS" w:eastAsia="ja-JP"/>
        </w:rPr>
        <w:t xml:space="preserve">Програм </w:t>
      </w:r>
      <w:r w:rsidRPr="00092ED7">
        <w:rPr>
          <w:lang w:val="sr-Cyrl-CS" w:eastAsia="ja-JP"/>
        </w:rPr>
        <w:t xml:space="preserve">трансформације Пореске управе за период 2021–2025. године </w:t>
      </w:r>
      <w:r w:rsidR="00A252B4" w:rsidRPr="00092ED7">
        <w:rPr>
          <w:lang w:val="sr-Cyrl-CS" w:eastAsia="ja-JP"/>
        </w:rPr>
        <w:t xml:space="preserve">који је </w:t>
      </w:r>
      <w:r w:rsidRPr="00092ED7">
        <w:rPr>
          <w:lang w:val="sr-Cyrl-CS" w:eastAsia="ja-JP"/>
        </w:rPr>
        <w:t xml:space="preserve">усвојен </w:t>
      </w:r>
      <w:r w:rsidR="00A252B4" w:rsidRPr="00092ED7">
        <w:rPr>
          <w:lang w:val="sr-Cyrl-CS" w:eastAsia="ja-JP"/>
        </w:rPr>
        <w:t xml:space="preserve">Закључком Владе 05 </w:t>
      </w:r>
      <w:r w:rsidR="00E561DE" w:rsidRPr="00092ED7">
        <w:rPr>
          <w:lang w:val="sr-Cyrl-CS" w:eastAsia="ja-JP"/>
        </w:rPr>
        <w:t>Б</w:t>
      </w:r>
      <w:r w:rsidR="00A252B4" w:rsidRPr="00092ED7">
        <w:rPr>
          <w:lang w:val="sr-Cyrl-CS" w:eastAsia="ja-JP"/>
        </w:rPr>
        <w:t>рој</w:t>
      </w:r>
      <w:r w:rsidR="00E561DE" w:rsidRPr="00092ED7">
        <w:rPr>
          <w:lang w:val="sr-Cyrl-CS" w:eastAsia="ja-JP"/>
        </w:rPr>
        <w:t>:</w:t>
      </w:r>
      <w:r w:rsidR="00A252B4" w:rsidRPr="00092ED7">
        <w:rPr>
          <w:lang w:val="sr-Cyrl-CS" w:eastAsia="ja-JP"/>
        </w:rPr>
        <w:t xml:space="preserve"> 021-4298/2021-3 од 20. маја</w:t>
      </w:r>
      <w:r w:rsidRPr="00092ED7">
        <w:rPr>
          <w:lang w:val="sr-Cyrl-CS" w:eastAsia="ja-JP"/>
        </w:rPr>
        <w:t xml:space="preserve"> 2021</w:t>
      </w:r>
      <w:bookmarkEnd w:id="45"/>
      <w:r w:rsidRPr="00092ED7">
        <w:rPr>
          <w:lang w:val="sr-Cyrl-CS" w:eastAsia="ja-JP"/>
        </w:rPr>
        <w:t xml:space="preserve">. године, дефинише стратешке смернице и временске рокове у којим ће бити спроведене активности потребне за стварање модерне пореске администрације, која ће, уз коришћење савремених електронских процеса, пружити бољу и свеобухватнију услугу пореским обвезницима и бољу контролу и наплату прихода, односно поспешити борбу против сиве економије, заједно са реформом и модернизацијом инспекцијског надзора. Спроведено је организационо раздвајање основних активности од оних које се сматрају споредним, с тим да се основне активности сад обављају у мањем броју организационих јединица, односно извршена је њихова консолидација. Анализа пословних процеса и потребних ресурса, омогућиће развијање адекватне организационе структуре и менаџмента, унапређење управљања пројектима и дизајн адекватне структуре запослених. Следећа фаза реформи је усмерена на информационе системе. У мају </w:t>
      </w:r>
      <w:r w:rsidR="003E15A5" w:rsidRPr="00092ED7">
        <w:rPr>
          <w:lang w:val="sr-Cyrl-CS" w:eastAsia="ja-JP"/>
        </w:rPr>
        <w:t xml:space="preserve">2022. </w:t>
      </w:r>
      <w:r w:rsidRPr="00092ED7">
        <w:rPr>
          <w:lang w:val="sr-Cyrl-CS" w:eastAsia="ja-JP"/>
        </w:rPr>
        <w:t xml:space="preserve">године уведен је нови модел фискализације (е-фискализација), који ће омогућити контролу у реалном времену, смањити трошкове, повећати ефикасност и створити боље пословно окружење. Систем за електронску размену фактура је следећи корак и очекује се да буде имплементиран почетком 2023. године. Усвајањем Закона о утврђивању порекла имовине и посебном порезу </w:t>
      </w:r>
      <w:bookmarkStart w:id="46" w:name="_Hlk125524937"/>
      <w:r w:rsidR="00BF6EA6" w:rsidRPr="00092ED7">
        <w:rPr>
          <w:rFonts w:cs="Times New Roman"/>
          <w:szCs w:val="24"/>
          <w:lang w:val="sr-Cyrl-CS"/>
        </w:rPr>
        <w:t xml:space="preserve">(„Службени гласник РС”, бр. 18/20 </w:t>
      </w:r>
      <w:bookmarkEnd w:id="46"/>
      <w:r w:rsidR="00BF6EA6" w:rsidRPr="00092ED7">
        <w:rPr>
          <w:rFonts w:cs="Times New Roman"/>
          <w:szCs w:val="24"/>
          <w:lang w:val="sr-Cyrl-CS"/>
        </w:rPr>
        <w:t>и 18/21)</w:t>
      </w:r>
      <w:r w:rsidR="00BF6EA6" w:rsidRPr="00092ED7">
        <w:rPr>
          <w:rFonts w:eastAsia="MS PGothic" w:cs="Times New Roman"/>
          <w:bCs/>
          <w:iCs/>
          <w:szCs w:val="24"/>
          <w:lang w:val="sr-Cyrl-CS" w:eastAsia="ja-JP"/>
        </w:rPr>
        <w:t xml:space="preserve"> </w:t>
      </w:r>
      <w:r w:rsidRPr="00092ED7">
        <w:rPr>
          <w:lang w:val="sr-Cyrl-CS" w:eastAsia="ja-JP"/>
        </w:rPr>
        <w:t>и образовањем посебне организационе јединице Пореске управе, створили су се услови за унакрсну анализу имовине и прихода лица, а прве ревизије би требало да почну до краја године.</w:t>
      </w:r>
    </w:p>
    <w:p w14:paraId="4E1E91D6" w14:textId="4F6566A6" w:rsidR="000C44D1" w:rsidRPr="00092ED7" w:rsidRDefault="00735870" w:rsidP="00063909">
      <w:pPr>
        <w:keepNext/>
        <w:keepLines/>
        <w:spacing w:before="120" w:line="259" w:lineRule="auto"/>
        <w:jc w:val="left"/>
        <w:outlineLvl w:val="1"/>
        <w:rPr>
          <w:rFonts w:eastAsia="Calibri" w:cs="Times New Roman"/>
          <w:b/>
          <w:szCs w:val="28"/>
          <w:lang w:val="sr-Cyrl-CS"/>
        </w:rPr>
      </w:pPr>
      <w:bookmarkStart w:id="47" w:name="_Toc124174801"/>
      <w:bookmarkStart w:id="48" w:name="_Toc126218620"/>
      <w:r w:rsidRPr="00092ED7">
        <w:rPr>
          <w:rFonts w:eastAsia="Calibri" w:cs="Times New Roman"/>
          <w:b/>
          <w:szCs w:val="28"/>
          <w:lang w:val="sr-Cyrl-CS"/>
        </w:rPr>
        <w:t>4.</w:t>
      </w:r>
      <w:r w:rsidR="000C44D1" w:rsidRPr="00092ED7">
        <w:rPr>
          <w:rFonts w:eastAsia="Calibri" w:cs="Times New Roman"/>
          <w:b/>
          <w:szCs w:val="28"/>
          <w:lang w:val="sr-Cyrl-CS"/>
        </w:rPr>
        <w:t>8. ФИСКАЛНО УПРАВЉАЊЕ И БУЏЕТСКИ ОКВИРИ</w:t>
      </w:r>
      <w:bookmarkEnd w:id="47"/>
      <w:bookmarkEnd w:id="48"/>
    </w:p>
    <w:p w14:paraId="05CDA58C" w14:textId="17D51CAC" w:rsidR="00A06946" w:rsidRPr="00092ED7" w:rsidRDefault="00A06946" w:rsidP="00A06946">
      <w:pPr>
        <w:spacing w:after="60"/>
        <w:rPr>
          <w:lang w:val="sr-Cyrl-CS" w:eastAsia="ja-JP"/>
        </w:rPr>
      </w:pPr>
      <w:r w:rsidRPr="00092ED7">
        <w:rPr>
          <w:lang w:val="sr-Cyrl-CS" w:eastAsia="ja-JP"/>
        </w:rPr>
        <w:t xml:space="preserve">Како би се обезбедила стабилност и одрживост јавних финансија на дужи рок потребан је функционалан систем фискалних правила. Фискална правила по први пут су уведена Законом о буџетском систему 2010. године. Република Србија је била једна од првих земаља која је законом утврдила национална фискална правила и оформила независну институцију Фискални савет који оцењује Владину економску и фискалну политику, као и поштовање правила. Како су правила постала важећа у току светске економске кризе, нумеричко правило за дуг прекршено је већ у првој години примене. У међувремену фискална правила уводило је све више земаља, поред националних фискалних правила земље чланице ЕУ примењују и правила дефинисана на нивоу ЕУ и ЕМУ. Европска фискална правила су у неколико наврата мењана и редефинисана имајући у виду примену и ефекте до којих је примена правила доводила. Имајући у виду да је од увођења фискалних правила у Републици Србији протекло </w:t>
      </w:r>
      <w:r w:rsidR="00182335" w:rsidRPr="00092ED7">
        <w:rPr>
          <w:lang w:val="sr-Cyrl-CS" w:eastAsia="ja-JP"/>
        </w:rPr>
        <w:t xml:space="preserve">12 </w:t>
      </w:r>
      <w:r w:rsidRPr="00092ED7">
        <w:rPr>
          <w:lang w:val="sr-Cyrl-CS" w:eastAsia="ja-JP"/>
        </w:rPr>
        <w:t>година, створили су се услови за њихову измену, узимајући у обзир искуства других земаља, праваца у којима су се мењала фискална правила ЕУ, последице и реаговања фискалне политике на велику економску кризу из 2008. године, али и искуство последње, пре свега здравствене, али и економске кризе коју је изазвала пандемија корона</w:t>
      </w:r>
      <w:r w:rsidR="00B94430" w:rsidRPr="00092ED7">
        <w:rPr>
          <w:lang w:val="sr-Cyrl-CS" w:eastAsia="ja-JP"/>
        </w:rPr>
        <w:t xml:space="preserve"> </w:t>
      </w:r>
      <w:r w:rsidRPr="00092ED7">
        <w:rPr>
          <w:lang w:val="sr-Cyrl-CS" w:eastAsia="ja-JP"/>
        </w:rPr>
        <w:t>вируса, а након тога и криза изазвана конфликтом у Украјини.</w:t>
      </w:r>
    </w:p>
    <w:p w14:paraId="3D54A76E" w14:textId="29A91707" w:rsidR="00A06946" w:rsidRDefault="00FF70FD" w:rsidP="00A06946">
      <w:pPr>
        <w:spacing w:after="60"/>
        <w:rPr>
          <w:lang w:val="sr-Cyrl-CS" w:eastAsia="ja-JP"/>
        </w:rPr>
      </w:pPr>
      <w:r w:rsidRPr="00092ED7">
        <w:rPr>
          <w:lang w:val="sr-Cyrl-CS" w:eastAsia="ja-JP"/>
        </w:rPr>
        <w:t xml:space="preserve">Крајем 2022. године усвојене су измене  </w:t>
      </w:r>
      <w:r w:rsidR="00A06946" w:rsidRPr="00092ED7">
        <w:rPr>
          <w:lang w:val="sr-Cyrl-CS" w:eastAsia="ja-JP"/>
        </w:rPr>
        <w:t xml:space="preserve">Закона о буџетском систему којим </w:t>
      </w:r>
      <w:r w:rsidRPr="00092ED7">
        <w:rPr>
          <w:lang w:val="sr-Cyrl-CS" w:eastAsia="ja-JP"/>
        </w:rPr>
        <w:t xml:space="preserve">је </w:t>
      </w:r>
      <w:r w:rsidR="00A06946" w:rsidRPr="00092ED7">
        <w:rPr>
          <w:lang w:val="sr-Cyrl-CS" w:eastAsia="ja-JP"/>
        </w:rPr>
        <w:t xml:space="preserve">дефинисан нови сет фискалних правила – </w:t>
      </w:r>
      <w:r w:rsidRPr="00092ED7">
        <w:rPr>
          <w:lang w:val="sr-Cyrl-CS" w:eastAsia="ja-JP"/>
        </w:rPr>
        <w:t>фискално правило</w:t>
      </w:r>
      <w:r w:rsidR="00A06946" w:rsidRPr="00092ED7">
        <w:rPr>
          <w:lang w:val="sr-Cyrl-CS" w:eastAsia="ja-JP"/>
        </w:rPr>
        <w:t xml:space="preserve"> којим је прописан ниво дефицита опште државе у зависности од нивоа јавног дуга опште државе, у примени од 2025. године, с обзиром да су нивои дефицита прописани за 2023. и 2024. годину на вишем нивоу, услед енергетске кризе и екстерних фактора, а путања фискалног опоравка одређена у складу с новим аранжманом са ММФ и фискална правила којима се регулише ниво расхода за плате опште државе и пензије која </w:t>
      </w:r>
      <w:r w:rsidR="00E561DE" w:rsidRPr="00092ED7">
        <w:rPr>
          <w:lang w:val="sr-Cyrl-CS" w:eastAsia="ja-JP"/>
        </w:rPr>
        <w:t>су</w:t>
      </w:r>
      <w:r w:rsidR="00A06946" w:rsidRPr="00092ED7">
        <w:rPr>
          <w:lang w:val="sr-Cyrl-CS" w:eastAsia="ja-JP"/>
        </w:rPr>
        <w:t xml:space="preserve"> ступила на снагу заједно са Законом о буџету за 2023. годину. Одступање од ових правила је могуће само изузетно и привремено, и то у случајевима природних катастрофа и екстерних шокова који утичу на угрожавање здравља људи, националне безбедности и значајан пад привредне активности.</w:t>
      </w:r>
    </w:p>
    <w:p w14:paraId="73A7E9F2" w14:textId="77777777" w:rsidR="00A06946" w:rsidRPr="00092ED7" w:rsidRDefault="00A06946" w:rsidP="00A06946">
      <w:pPr>
        <w:spacing w:after="60"/>
        <w:rPr>
          <w:lang w:val="sr-Cyrl-CS" w:eastAsia="ja-JP"/>
        </w:rPr>
      </w:pPr>
      <w:r w:rsidRPr="00092ED7">
        <w:rPr>
          <w:rFonts w:ascii="Calibri" w:eastAsia="Calibri" w:hAnsi="Calibri" w:cs="Calibri"/>
          <w:noProof/>
          <w:color w:val="44546A"/>
          <w:spacing w:val="-2"/>
          <w:szCs w:val="20"/>
        </w:rPr>
        <mc:AlternateContent>
          <mc:Choice Requires="wps">
            <w:drawing>
              <wp:inline distT="0" distB="0" distL="0" distR="0" wp14:anchorId="670DC916" wp14:editId="0041FDFF">
                <wp:extent cx="5715000" cy="5448300"/>
                <wp:effectExtent l="0" t="0" r="1905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448300"/>
                        </a:xfrm>
                        <a:prstGeom prst="rect">
                          <a:avLst/>
                        </a:prstGeom>
                        <a:solidFill>
                          <a:srgbClr val="FFFFFF"/>
                        </a:solidFill>
                        <a:ln w="6350">
                          <a:solidFill>
                            <a:schemeClr val="tx1"/>
                          </a:solidFill>
                          <a:miter lim="800000"/>
                          <a:headEnd/>
                          <a:tailEnd/>
                        </a:ln>
                      </wps:spPr>
                      <wps:txbx>
                        <w:txbxContent>
                          <w:p w14:paraId="12E64525" w14:textId="247135D5" w:rsidR="008F5C3A" w:rsidRDefault="008F5C3A" w:rsidP="00DB0B7B">
                            <w:pPr>
                              <w:spacing w:before="60" w:after="60"/>
                              <w:rPr>
                                <w:b/>
                                <w:lang w:val="sr-Cyrl-RS"/>
                              </w:rPr>
                            </w:pPr>
                            <w:r>
                              <w:rPr>
                                <w:b/>
                                <w:lang w:val="sr-Cyrl-RS"/>
                              </w:rPr>
                              <w:t>Н</w:t>
                            </w:r>
                            <w:r w:rsidRPr="00E561DE">
                              <w:rPr>
                                <w:b/>
                                <w:lang w:val="sr-Cyrl-RS"/>
                              </w:rPr>
                              <w:t>ов</w:t>
                            </w:r>
                            <w:r>
                              <w:rPr>
                                <w:b/>
                                <w:lang w:val="sr-Cyrl-RS"/>
                              </w:rPr>
                              <w:t>и</w:t>
                            </w:r>
                            <w:r w:rsidRPr="00E561DE">
                              <w:rPr>
                                <w:b/>
                                <w:lang w:val="sr-Cyrl-RS"/>
                              </w:rPr>
                              <w:t xml:space="preserve"> сет фискалних правила:</w:t>
                            </w:r>
                          </w:p>
                          <w:p w14:paraId="26F75B9C" w14:textId="77777777" w:rsidR="008F5C3A" w:rsidRDefault="008F5C3A" w:rsidP="00DB0B7B">
                            <w:pPr>
                              <w:spacing w:after="60"/>
                              <w:rPr>
                                <w:lang w:val="sr-Cyrl-RS"/>
                              </w:rPr>
                            </w:pPr>
                            <w:r>
                              <w:rPr>
                                <w:lang w:val="sr-Cyrl-RS"/>
                              </w:rPr>
                              <w:t>Општа фискална правила:</w:t>
                            </w:r>
                          </w:p>
                          <w:p w14:paraId="7A8227DD" w14:textId="77777777" w:rsidR="008F5C3A" w:rsidRPr="00E561DE" w:rsidRDefault="008F5C3A" w:rsidP="00055DC9">
                            <w:pPr>
                              <w:pStyle w:val="ListParagraph"/>
                              <w:numPr>
                                <w:ilvl w:val="0"/>
                                <w:numId w:val="102"/>
                              </w:numPr>
                              <w:spacing w:after="160" w:line="240" w:lineRule="auto"/>
                              <w:rPr>
                                <w:sz w:val="24"/>
                                <w:szCs w:val="24"/>
                                <w:lang w:val="sr-Cyrl-RS"/>
                              </w:rPr>
                            </w:pPr>
                            <w:r w:rsidRPr="00E561DE">
                              <w:rPr>
                                <w:sz w:val="24"/>
                                <w:szCs w:val="24"/>
                                <w:lang w:val="sr-Cyrl-RS"/>
                              </w:rPr>
                              <w:t>дуг сектора државе, укључујући обавезе по основу реституције, неће бити већи од 60% БДП.</w:t>
                            </w:r>
                          </w:p>
                          <w:p w14:paraId="6E405254" w14:textId="77777777" w:rsidR="008F5C3A" w:rsidRPr="00E561DE" w:rsidRDefault="008F5C3A" w:rsidP="00055DC9">
                            <w:pPr>
                              <w:pStyle w:val="ListParagraph"/>
                              <w:numPr>
                                <w:ilvl w:val="0"/>
                                <w:numId w:val="102"/>
                              </w:numPr>
                              <w:spacing w:after="160" w:line="240" w:lineRule="auto"/>
                              <w:rPr>
                                <w:sz w:val="24"/>
                                <w:szCs w:val="24"/>
                                <w:lang w:val="sr-Cyrl-RS"/>
                              </w:rPr>
                            </w:pPr>
                            <w:r w:rsidRPr="00E561DE">
                              <w:rPr>
                                <w:sz w:val="24"/>
                                <w:szCs w:val="24"/>
                                <w:lang w:val="sr-Cyrl-RS"/>
                              </w:rPr>
                              <w:t>циљани средњорочни дефицит је 0,5% БДП.</w:t>
                            </w:r>
                          </w:p>
                          <w:p w14:paraId="34A342E6"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је дуг сектора државе изнад 60% БДП, фискална позиција сектора државе мора бити уравнотежена, тако да дефицит износи највише 0% БДП.</w:t>
                            </w:r>
                          </w:p>
                          <w:p w14:paraId="764A380F"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је дуг сектора државе између 55% и 60% БДП дефицит износи највише 0,5% БДП.</w:t>
                            </w:r>
                          </w:p>
                          <w:p w14:paraId="185594BB"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је дуг сектора државе између 45% и 55% БДП дефицит износи највише 1,5% БДП.</w:t>
                            </w:r>
                          </w:p>
                          <w:p w14:paraId="26379863" w14:textId="77777777" w:rsidR="008F5C3A" w:rsidRPr="00273498" w:rsidRDefault="008F5C3A" w:rsidP="00DB0B7B">
                            <w:pPr>
                              <w:pStyle w:val="ListParagraph"/>
                              <w:spacing w:after="60" w:line="240" w:lineRule="auto"/>
                              <w:rPr>
                                <w:i/>
                                <w:sz w:val="24"/>
                                <w:szCs w:val="24"/>
                                <w:lang w:val="sr-Cyrl-RS"/>
                              </w:rPr>
                            </w:pPr>
                            <w:r w:rsidRPr="00E561DE">
                              <w:rPr>
                                <w:i/>
                                <w:sz w:val="24"/>
                                <w:szCs w:val="24"/>
                                <w:lang w:val="sr-Cyrl-RS"/>
                              </w:rPr>
                              <w:t>Уколико је дуг сектора државе испод 45% БДП, дефицит неће прећи износ од 3% БДП.</w:t>
                            </w:r>
                          </w:p>
                          <w:p w14:paraId="3DDDC842" w14:textId="77777777" w:rsidR="008F5C3A" w:rsidRDefault="008F5C3A" w:rsidP="00DB0B7B">
                            <w:pPr>
                              <w:spacing w:after="60"/>
                              <w:rPr>
                                <w:lang w:val="sr-Cyrl-RS"/>
                              </w:rPr>
                            </w:pPr>
                            <w:r>
                              <w:rPr>
                                <w:lang w:val="sr-Cyrl-RS"/>
                              </w:rPr>
                              <w:t>Посебна фискална правила:</w:t>
                            </w:r>
                          </w:p>
                          <w:p w14:paraId="005871F5" w14:textId="77777777" w:rsidR="008F5C3A" w:rsidRPr="00E561DE" w:rsidRDefault="008F5C3A" w:rsidP="00055DC9">
                            <w:pPr>
                              <w:pStyle w:val="ListParagraph"/>
                              <w:numPr>
                                <w:ilvl w:val="0"/>
                                <w:numId w:val="103"/>
                              </w:numPr>
                              <w:spacing w:after="160" w:line="240" w:lineRule="auto"/>
                              <w:rPr>
                                <w:sz w:val="24"/>
                                <w:szCs w:val="24"/>
                                <w:lang w:val="sr-Cyrl-RS"/>
                              </w:rPr>
                            </w:pPr>
                            <w:r w:rsidRPr="00E561DE">
                              <w:rPr>
                                <w:sz w:val="24"/>
                                <w:szCs w:val="24"/>
                                <w:lang w:val="sr-Cyrl-RS"/>
                              </w:rPr>
                              <w:t>учешће плата сектора државе у БДП до 10%.</w:t>
                            </w:r>
                          </w:p>
                          <w:p w14:paraId="5C187FA5" w14:textId="77777777" w:rsidR="008F5C3A" w:rsidRPr="00E561DE" w:rsidRDefault="008F5C3A" w:rsidP="00055DC9">
                            <w:pPr>
                              <w:pStyle w:val="ListParagraph"/>
                              <w:numPr>
                                <w:ilvl w:val="0"/>
                                <w:numId w:val="103"/>
                              </w:numPr>
                              <w:spacing w:after="160" w:line="240" w:lineRule="auto"/>
                              <w:rPr>
                                <w:sz w:val="24"/>
                                <w:szCs w:val="24"/>
                                <w:lang w:val="sr-Cyrl-RS"/>
                              </w:rPr>
                            </w:pPr>
                            <w:r w:rsidRPr="00E561DE">
                              <w:rPr>
                                <w:sz w:val="24"/>
                                <w:szCs w:val="24"/>
                                <w:lang w:val="sr-Cyrl-RS"/>
                              </w:rPr>
                              <w:t>индексирање пензија зависно од њиховог учешћа у БДП.</w:t>
                            </w:r>
                          </w:p>
                          <w:p w14:paraId="32E5CD43"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су укупни расходи за пензије и новчани износ као увећање за пензију мањи од 10% БДП, пензија ће се ускладити према промени просечне зараде без пореза и доприноса, на начин дефинисан законом који уређује пензијско и инвалидско осигурање.</w:t>
                            </w:r>
                          </w:p>
                          <w:p w14:paraId="35004FEB"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су укупни расходи за пензије и новчани износ као увећање за пензију 10% или већи од 10%, а мањи од 10,5% БДП, пензија ће се ускладити са збиром половине процента промене просечне зараде без пореза и доприноса</w:t>
                            </w:r>
                            <w:r w:rsidRPr="00E561DE" w:rsidDel="001A681C">
                              <w:rPr>
                                <w:i/>
                                <w:sz w:val="24"/>
                                <w:szCs w:val="24"/>
                                <w:lang w:val="sr-Cyrl-RS"/>
                              </w:rPr>
                              <w:t xml:space="preserve"> </w:t>
                            </w:r>
                            <w:r w:rsidRPr="00E561DE">
                              <w:rPr>
                                <w:i/>
                                <w:sz w:val="24"/>
                                <w:szCs w:val="24"/>
                                <w:lang w:val="sr-Cyrl-RS"/>
                              </w:rPr>
                              <w:t>и половине процента промене потрошачких цена, на начин дефинисан законом који уређује пензијско и инвалидско осигурање.</w:t>
                            </w:r>
                          </w:p>
                          <w:p w14:paraId="6806B645" w14:textId="77777777" w:rsidR="008F5C3A" w:rsidRPr="00273498" w:rsidRDefault="008F5C3A" w:rsidP="00055DC9">
                            <w:pPr>
                              <w:pStyle w:val="ListParagraph"/>
                              <w:spacing w:line="240" w:lineRule="auto"/>
                              <w:rPr>
                                <w:i/>
                                <w:sz w:val="24"/>
                                <w:szCs w:val="24"/>
                                <w:lang w:val="sr-Cyrl-RS"/>
                              </w:rPr>
                            </w:pPr>
                            <w:r w:rsidRPr="00E561DE">
                              <w:rPr>
                                <w:i/>
                                <w:sz w:val="24"/>
                                <w:szCs w:val="24"/>
                                <w:lang w:val="sr-Cyrl-RS"/>
                              </w:rPr>
                              <w:t>Уколико су укупни расходи за пензије и новчани износ као увећање за пензију једнаки или већи од 10,5% БДП, пензија ће се ускладити према промени потрошачких цена, на начин дефинисан законом који уређује пензијско и инвалидско осигурање.</w:t>
                            </w:r>
                          </w:p>
                        </w:txbxContent>
                      </wps:txbx>
                      <wps:bodyPr rot="0" vert="horz" wrap="square" lIns="91440" tIns="45720" rIns="91440" bIns="45720" anchor="t" anchorCtr="0">
                        <a:noAutofit/>
                      </wps:bodyPr>
                    </wps:wsp>
                  </a:graphicData>
                </a:graphic>
              </wp:inline>
            </w:drawing>
          </mc:Choice>
          <mc:Fallback>
            <w:pict>
              <v:shapetype w14:anchorId="670DC916" id="_x0000_t202" coordsize="21600,21600" o:spt="202" path="m,l,21600r21600,l21600,xe">
                <v:stroke joinstyle="miter"/>
                <v:path gradientshapeok="t" o:connecttype="rect"/>
              </v:shapetype>
              <v:shape id="Text Box 2" o:spid="_x0000_s1026" type="#_x0000_t202" style="width:450pt;height: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" strokecolor="black [3213]" strokeweight=".5pt">
                <v:textbox>
                  <w:txbxContent>
                    <w:p w14:paraId="12E64525" w14:textId="247135D5" w:rsidR="008F5C3A" w:rsidRDefault="008F5C3A" w:rsidP="00DB0B7B">
                      <w:pPr>
                        <w:spacing w:before="60" w:after="60"/>
                        <w:rPr>
                          <w:b/>
                          <w:lang w:val="sr-Cyrl-RS"/>
                        </w:rPr>
                      </w:pPr>
                      <w:r>
                        <w:rPr>
                          <w:b/>
                          <w:lang w:val="sr-Cyrl-RS"/>
                        </w:rPr>
                        <w:t>Н</w:t>
                      </w:r>
                      <w:r w:rsidRPr="00E561DE">
                        <w:rPr>
                          <w:b/>
                          <w:lang w:val="sr-Cyrl-RS"/>
                        </w:rPr>
                        <w:t>ов</w:t>
                      </w:r>
                      <w:r>
                        <w:rPr>
                          <w:b/>
                          <w:lang w:val="sr-Cyrl-RS"/>
                        </w:rPr>
                        <w:t>и</w:t>
                      </w:r>
                      <w:r w:rsidRPr="00E561DE">
                        <w:rPr>
                          <w:b/>
                          <w:lang w:val="sr-Cyrl-RS"/>
                        </w:rPr>
                        <w:t xml:space="preserve"> сет фискалних правила:</w:t>
                      </w:r>
                    </w:p>
                    <w:p w14:paraId="26F75B9C" w14:textId="77777777" w:rsidR="008F5C3A" w:rsidRDefault="008F5C3A" w:rsidP="00DB0B7B">
                      <w:pPr>
                        <w:spacing w:after="60"/>
                        <w:rPr>
                          <w:lang w:val="sr-Cyrl-RS"/>
                        </w:rPr>
                      </w:pPr>
                      <w:r>
                        <w:rPr>
                          <w:lang w:val="sr-Cyrl-RS"/>
                        </w:rPr>
                        <w:t>Општа фискална правила:</w:t>
                      </w:r>
                    </w:p>
                    <w:p w14:paraId="7A8227DD" w14:textId="77777777" w:rsidR="008F5C3A" w:rsidRPr="00E561DE" w:rsidRDefault="008F5C3A" w:rsidP="00055DC9">
                      <w:pPr>
                        <w:pStyle w:val="ListParagraph"/>
                        <w:numPr>
                          <w:ilvl w:val="0"/>
                          <w:numId w:val="102"/>
                        </w:numPr>
                        <w:spacing w:after="160" w:line="240" w:lineRule="auto"/>
                        <w:rPr>
                          <w:sz w:val="24"/>
                          <w:szCs w:val="24"/>
                          <w:lang w:val="sr-Cyrl-RS"/>
                        </w:rPr>
                      </w:pPr>
                      <w:r w:rsidRPr="00E561DE">
                        <w:rPr>
                          <w:sz w:val="24"/>
                          <w:szCs w:val="24"/>
                          <w:lang w:val="sr-Cyrl-RS"/>
                        </w:rPr>
                        <w:t>дуг сектора државе, укључујући обавезе по основу реституције, неће бити већи од 60% БДП.</w:t>
                      </w:r>
                    </w:p>
                    <w:p w14:paraId="6E405254" w14:textId="77777777" w:rsidR="008F5C3A" w:rsidRPr="00E561DE" w:rsidRDefault="008F5C3A" w:rsidP="00055DC9">
                      <w:pPr>
                        <w:pStyle w:val="ListParagraph"/>
                        <w:numPr>
                          <w:ilvl w:val="0"/>
                          <w:numId w:val="102"/>
                        </w:numPr>
                        <w:spacing w:after="160" w:line="240" w:lineRule="auto"/>
                        <w:rPr>
                          <w:sz w:val="24"/>
                          <w:szCs w:val="24"/>
                          <w:lang w:val="sr-Cyrl-RS"/>
                        </w:rPr>
                      </w:pPr>
                      <w:r w:rsidRPr="00E561DE">
                        <w:rPr>
                          <w:sz w:val="24"/>
                          <w:szCs w:val="24"/>
                          <w:lang w:val="sr-Cyrl-RS"/>
                        </w:rPr>
                        <w:t>циљани средњорочни дефицит је 0,5% БДП.</w:t>
                      </w:r>
                    </w:p>
                    <w:p w14:paraId="34A342E6"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је дуг сектора државе изнад 60% БДП, фискална позиција сектора државе мора бити уравнотежена, тако да дефицит износи највише 0% БДП.</w:t>
                      </w:r>
                    </w:p>
                    <w:p w14:paraId="764A380F"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је дуг сектора државе између 55% и 60% БДП дефицит износи највише 0,5% БДП.</w:t>
                      </w:r>
                    </w:p>
                    <w:p w14:paraId="185594BB"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је дуг сектора државе између 45% и 55% БДП дефицит износи највише 1,5% БДП.</w:t>
                      </w:r>
                    </w:p>
                    <w:p w14:paraId="26379863" w14:textId="77777777" w:rsidR="008F5C3A" w:rsidRPr="00273498" w:rsidRDefault="008F5C3A" w:rsidP="00DB0B7B">
                      <w:pPr>
                        <w:pStyle w:val="ListParagraph"/>
                        <w:spacing w:after="60" w:line="240" w:lineRule="auto"/>
                        <w:rPr>
                          <w:i/>
                          <w:sz w:val="24"/>
                          <w:szCs w:val="24"/>
                          <w:lang w:val="sr-Cyrl-RS"/>
                        </w:rPr>
                      </w:pPr>
                      <w:r w:rsidRPr="00E561DE">
                        <w:rPr>
                          <w:i/>
                          <w:sz w:val="24"/>
                          <w:szCs w:val="24"/>
                          <w:lang w:val="sr-Cyrl-RS"/>
                        </w:rPr>
                        <w:t>Уколико је дуг сектора државе испод 45% БДП, дефицит неће прећи износ од 3% БДП.</w:t>
                      </w:r>
                    </w:p>
                    <w:p w14:paraId="3DDDC842" w14:textId="77777777" w:rsidR="008F5C3A" w:rsidRDefault="008F5C3A" w:rsidP="00DB0B7B">
                      <w:pPr>
                        <w:spacing w:after="60"/>
                        <w:rPr>
                          <w:lang w:val="sr-Cyrl-RS"/>
                        </w:rPr>
                      </w:pPr>
                      <w:r>
                        <w:rPr>
                          <w:lang w:val="sr-Cyrl-RS"/>
                        </w:rPr>
                        <w:t>Посебна фискална правила:</w:t>
                      </w:r>
                    </w:p>
                    <w:p w14:paraId="005871F5" w14:textId="77777777" w:rsidR="008F5C3A" w:rsidRPr="00E561DE" w:rsidRDefault="008F5C3A" w:rsidP="00055DC9">
                      <w:pPr>
                        <w:pStyle w:val="ListParagraph"/>
                        <w:numPr>
                          <w:ilvl w:val="0"/>
                          <w:numId w:val="103"/>
                        </w:numPr>
                        <w:spacing w:after="160" w:line="240" w:lineRule="auto"/>
                        <w:rPr>
                          <w:sz w:val="24"/>
                          <w:szCs w:val="24"/>
                          <w:lang w:val="sr-Cyrl-RS"/>
                        </w:rPr>
                      </w:pPr>
                      <w:r w:rsidRPr="00E561DE">
                        <w:rPr>
                          <w:sz w:val="24"/>
                          <w:szCs w:val="24"/>
                          <w:lang w:val="sr-Cyrl-RS"/>
                        </w:rPr>
                        <w:t>учешће плата сектора државе у БДП до 10%.</w:t>
                      </w:r>
                    </w:p>
                    <w:p w14:paraId="5C187FA5" w14:textId="77777777" w:rsidR="008F5C3A" w:rsidRPr="00E561DE" w:rsidRDefault="008F5C3A" w:rsidP="00055DC9">
                      <w:pPr>
                        <w:pStyle w:val="ListParagraph"/>
                        <w:numPr>
                          <w:ilvl w:val="0"/>
                          <w:numId w:val="103"/>
                        </w:numPr>
                        <w:spacing w:after="160" w:line="240" w:lineRule="auto"/>
                        <w:rPr>
                          <w:sz w:val="24"/>
                          <w:szCs w:val="24"/>
                          <w:lang w:val="sr-Cyrl-RS"/>
                        </w:rPr>
                      </w:pPr>
                      <w:r w:rsidRPr="00E561DE">
                        <w:rPr>
                          <w:sz w:val="24"/>
                          <w:szCs w:val="24"/>
                          <w:lang w:val="sr-Cyrl-RS"/>
                        </w:rPr>
                        <w:t>индексирање пензија зависно од њиховог учешћа у БДП.</w:t>
                      </w:r>
                    </w:p>
                    <w:p w14:paraId="32E5CD43"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су укупни расходи за пензије и новчани износ као увећање за пензију мањи од 10% БДП, пензија ће се ускладити према промени просечне зараде без пореза и доприноса, на начин дефинисан законом који уређује пензијско и инвалидско осигурање.</w:t>
                      </w:r>
                    </w:p>
                    <w:p w14:paraId="35004FEB"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су укупни расходи за пензије и новчани износ као увећање за пензију 10% или већи од 10%, а мањи од 10,5% БДП, пензија ће се ускладити са збиром половине процента промене просечне зараде без пореза и доприноса</w:t>
                      </w:r>
                      <w:r w:rsidRPr="00E561DE" w:rsidDel="001A681C">
                        <w:rPr>
                          <w:i/>
                          <w:sz w:val="24"/>
                          <w:szCs w:val="24"/>
                          <w:lang w:val="sr-Cyrl-RS"/>
                        </w:rPr>
                        <w:t xml:space="preserve"> </w:t>
                      </w:r>
                      <w:r w:rsidRPr="00E561DE">
                        <w:rPr>
                          <w:i/>
                          <w:sz w:val="24"/>
                          <w:szCs w:val="24"/>
                          <w:lang w:val="sr-Cyrl-RS"/>
                        </w:rPr>
                        <w:t>и половине процента промене потрошачких цена, на начин дефинисан законом који уређује пензијско и инвалидско осигурање.</w:t>
                      </w:r>
                    </w:p>
                    <w:p w14:paraId="6806B645" w14:textId="77777777" w:rsidR="008F5C3A" w:rsidRPr="00273498" w:rsidRDefault="008F5C3A" w:rsidP="00055DC9">
                      <w:pPr>
                        <w:pStyle w:val="ListParagraph"/>
                        <w:spacing w:line="240" w:lineRule="auto"/>
                        <w:rPr>
                          <w:i/>
                          <w:sz w:val="24"/>
                          <w:szCs w:val="24"/>
                          <w:lang w:val="sr-Cyrl-RS"/>
                        </w:rPr>
                      </w:pPr>
                      <w:r w:rsidRPr="00E561DE">
                        <w:rPr>
                          <w:i/>
                          <w:sz w:val="24"/>
                          <w:szCs w:val="24"/>
                          <w:lang w:val="sr-Cyrl-RS"/>
                        </w:rPr>
                        <w:t>Уколико су укупни расходи за пензије и новчани износ као увећање за пензију једнаки или већи од 10,5% БДП, пензија ће се ускладити према промени потрошачких цена, на начин дефинисан законом који уређује пензијско и инвалидско осигурање.</w:t>
                      </w:r>
                    </w:p>
                  </w:txbxContent>
                </v:textbox>
                <w10:anchorlock/>
              </v:shape>
            </w:pict>
          </mc:Fallback>
        </mc:AlternateContent>
      </w:r>
    </w:p>
    <w:p w14:paraId="0BC6D198" w14:textId="0D230487" w:rsidR="00A06946" w:rsidRPr="00092ED7" w:rsidRDefault="00A06946" w:rsidP="00DB0B7B">
      <w:pPr>
        <w:spacing w:after="480"/>
        <w:rPr>
          <w:lang w:val="sr-Cyrl-CS" w:eastAsia="ja-JP"/>
        </w:rPr>
      </w:pPr>
      <w:r w:rsidRPr="00092ED7">
        <w:rPr>
          <w:lang w:val="sr-Cyrl-CS" w:eastAsia="ja-JP"/>
        </w:rPr>
        <w:t>Побољшање квалитета и транспарентности националне статистике се врши кроз унапређење свеобухватне, правовремене и аутоматске размене података између надлежних институција. У априлу 2018. године</w:t>
      </w:r>
      <w:r w:rsidR="00FB6B1A" w:rsidRPr="00092ED7">
        <w:rPr>
          <w:lang w:val="sr-Cyrl-CS" w:eastAsia="ja-JP"/>
        </w:rPr>
        <w:t>,</w:t>
      </w:r>
      <w:r w:rsidRPr="00092ED7">
        <w:rPr>
          <w:lang w:val="sr-Cyrl-CS" w:eastAsia="ja-JP"/>
        </w:rPr>
        <w:t xml:space="preserve"> објављена је листа институција које чине сектор опште државе, као и остале секторе, у складу са Европским системом рачуна (ESA) 2010 и GFSM 2014, на основу чега је РЗС (у сарадњи са Министарством финансија и Н</w:t>
      </w:r>
      <w:r w:rsidR="008B2875" w:rsidRPr="00092ED7">
        <w:rPr>
          <w:lang w:val="sr-Cyrl-CS" w:eastAsia="ja-JP"/>
        </w:rPr>
        <w:t>ародн</w:t>
      </w:r>
      <w:r w:rsidR="00E561DE" w:rsidRPr="00092ED7">
        <w:rPr>
          <w:lang w:val="sr-Cyrl-CS" w:eastAsia="ja-JP"/>
        </w:rPr>
        <w:t>ом</w:t>
      </w:r>
      <w:r w:rsidR="008B2875" w:rsidRPr="00092ED7">
        <w:rPr>
          <w:lang w:val="sr-Cyrl-CS" w:eastAsia="ja-JP"/>
        </w:rPr>
        <w:t xml:space="preserve"> банк</w:t>
      </w:r>
      <w:r w:rsidR="00E561DE" w:rsidRPr="00092ED7">
        <w:rPr>
          <w:lang w:val="sr-Cyrl-CS" w:eastAsia="ja-JP"/>
        </w:rPr>
        <w:t>ом</w:t>
      </w:r>
      <w:r w:rsidR="008B2875" w:rsidRPr="00092ED7">
        <w:rPr>
          <w:lang w:val="sr-Cyrl-CS" w:eastAsia="ja-JP"/>
        </w:rPr>
        <w:t xml:space="preserve"> </w:t>
      </w:r>
      <w:r w:rsidRPr="00092ED7">
        <w:rPr>
          <w:lang w:val="sr-Cyrl-CS" w:eastAsia="ja-JP"/>
        </w:rPr>
        <w:t>С</w:t>
      </w:r>
      <w:r w:rsidR="008B2875" w:rsidRPr="00092ED7">
        <w:rPr>
          <w:lang w:val="sr-Cyrl-CS" w:eastAsia="ja-JP"/>
        </w:rPr>
        <w:t>рбије</w:t>
      </w:r>
      <w:r w:rsidRPr="00092ED7">
        <w:rPr>
          <w:lang w:val="sr-Cyrl-CS" w:eastAsia="ja-JP"/>
        </w:rPr>
        <w:t>) почео с достављањем података у Проширени општи систем дисеминације података (e-GDDS). Ови подаци се објављују у складу са методологијом GFSM 2014. Сектор за макроекономске и фискалне анализе и пројекције Министарства финансија у сарадњи са ММФ је први покренуо поступак конверзије података о јавним финансијама из националне методологије у методологију GFSM 2014 и израду консолидованих извештаја за ниво опште државе и по нивоима власти и њихово публиковање преко националне странице сумарних података (</w:t>
      </w:r>
      <w:r w:rsidRPr="00092ED7">
        <w:rPr>
          <w:i/>
          <w:lang w:val="sr-Cyrl-CS" w:eastAsia="ja-JP"/>
        </w:rPr>
        <w:t>National Summary Data Page</w:t>
      </w:r>
      <w:r w:rsidRPr="00092ED7">
        <w:rPr>
          <w:lang w:val="sr-Cyrl-CS" w:eastAsia="ja-JP"/>
        </w:rPr>
        <w:t xml:space="preserve"> – NSDP), која је доступна на веб-сајту РЗС, као и у билтену ММФ о стандардима дисеминације (</w:t>
      </w:r>
      <w:r w:rsidRPr="00092ED7">
        <w:rPr>
          <w:i/>
          <w:lang w:val="sr-Cyrl-CS" w:eastAsia="ja-JP"/>
        </w:rPr>
        <w:t>Dissemination Standards Bulletin Board</w:t>
      </w:r>
      <w:r w:rsidRPr="00092ED7">
        <w:rPr>
          <w:lang w:val="sr-Cyrl-CS" w:eastAsia="ja-JP"/>
        </w:rPr>
        <w:t xml:space="preserve"> – DSBB).</w:t>
      </w:r>
    </w:p>
    <w:p w14:paraId="65635E40" w14:textId="77777777" w:rsidR="00D210F0" w:rsidRPr="00092ED7" w:rsidRDefault="00D210F0" w:rsidP="00D210F0">
      <w:pPr>
        <w:keepNext/>
        <w:keepLines/>
        <w:spacing w:before="240" w:after="240"/>
        <w:outlineLvl w:val="0"/>
        <w:rPr>
          <w:rFonts w:eastAsia="Calibri" w:cs="Times New Roman"/>
          <w:b/>
          <w:sz w:val="28"/>
          <w:szCs w:val="28"/>
          <w:lang w:val="sr-Cyrl-CS"/>
        </w:rPr>
      </w:pPr>
      <w:bookmarkStart w:id="49" w:name="_Toc124174802"/>
      <w:bookmarkStart w:id="50" w:name="_Toc126218621"/>
      <w:r w:rsidRPr="00092ED7">
        <w:rPr>
          <w:rFonts w:eastAsia="Calibri" w:cs="Times New Roman"/>
          <w:b/>
          <w:sz w:val="28"/>
          <w:szCs w:val="28"/>
          <w:lang w:val="sr-Cyrl-CS"/>
        </w:rPr>
        <w:t>5. СТРУКТУРНЕ РЕФОРМЕ У ПЕРИОДУ 2023-2025.</w:t>
      </w:r>
      <w:bookmarkEnd w:id="49"/>
      <w:bookmarkEnd w:id="50"/>
    </w:p>
    <w:p w14:paraId="3023B9A2" w14:textId="77777777" w:rsidR="00D210F0" w:rsidRPr="00092ED7" w:rsidRDefault="00D210F0" w:rsidP="00D210F0">
      <w:pPr>
        <w:keepNext/>
        <w:keepLines/>
        <w:spacing w:before="120"/>
        <w:outlineLvl w:val="1"/>
        <w:rPr>
          <w:rFonts w:eastAsia="Times New Roman" w:cs="Times New Roman"/>
          <w:b/>
          <w:bCs/>
          <w:szCs w:val="24"/>
          <w:lang w:val="sr-Cyrl-CS"/>
        </w:rPr>
      </w:pPr>
      <w:bookmarkStart w:id="51" w:name="_Toc124174803"/>
      <w:bookmarkStart w:id="52" w:name="_Toc126218622"/>
      <w:r w:rsidRPr="00092ED7">
        <w:rPr>
          <w:rFonts w:eastAsia="Times New Roman" w:cs="Times New Roman"/>
          <w:b/>
          <w:bCs/>
          <w:szCs w:val="24"/>
          <w:lang w:val="sr-Cyrl-CS"/>
        </w:rPr>
        <w:t>5.1. ИДЕНТИФИКАЦИЈА ТРИ КЉУЧНА ИЗАЗОВА ЗА КОНКУРЕНТНОСТ И ИНКЛУЗИВНИ РАСТ И ПОВЕЗАНЕ СТРУКТУРНЕ РЕФОРМЕ</w:t>
      </w:r>
      <w:bookmarkEnd w:id="51"/>
      <w:bookmarkEnd w:id="52"/>
    </w:p>
    <w:p w14:paraId="65954368" w14:textId="77777777" w:rsidR="00D210F0" w:rsidRPr="00092ED7" w:rsidRDefault="00D210F0" w:rsidP="00F27707">
      <w:pPr>
        <w:keepNext/>
        <w:keepLines/>
        <w:shd w:val="clear" w:color="auto" w:fill="D9D9D9" w:themeFill="background1" w:themeFillShade="D9"/>
        <w:spacing w:before="120"/>
        <w:outlineLvl w:val="2"/>
        <w:rPr>
          <w:rFonts w:cs="Times New Roman"/>
          <w:b/>
          <w:i/>
          <w:lang w:val="sr-Cyrl-CS"/>
        </w:rPr>
      </w:pPr>
      <w:bookmarkStart w:id="53" w:name="_Toc124174804"/>
      <w:bookmarkStart w:id="54" w:name="_Toc126218623"/>
      <w:r w:rsidRPr="00092ED7">
        <w:rPr>
          <w:rFonts w:cs="Times New Roman"/>
          <w:b/>
          <w:i/>
          <w:lang w:val="sr-Cyrl-CS"/>
        </w:rPr>
        <w:t>Кључни изазов број 1: Повећање запослености, посебно младих, жена и осетљивих група, и социјална заштита од сиромаштва</w:t>
      </w:r>
      <w:bookmarkEnd w:id="53"/>
      <w:bookmarkEnd w:id="54"/>
    </w:p>
    <w:p w14:paraId="2A47D888" w14:textId="77777777" w:rsidR="00D210F0" w:rsidRPr="00092ED7" w:rsidRDefault="00D210F0" w:rsidP="00D210F0">
      <w:pPr>
        <w:spacing w:after="60"/>
        <w:rPr>
          <w:rFonts w:cs="Times New Roman"/>
          <w:lang w:val="sr-Cyrl-CS"/>
        </w:rPr>
      </w:pPr>
      <w:r w:rsidRPr="00092ED7">
        <w:rPr>
          <w:rFonts w:cs="Times New Roman"/>
          <w:b/>
          <w:lang w:val="sr-Cyrl-CS"/>
        </w:rPr>
        <w:t>Стабилним кретањима на тржишту рада Републике Србије допринели су раст привредне активности и пакет економске подршке.</w:t>
      </w:r>
      <w:r w:rsidRPr="00092ED7">
        <w:rPr>
          <w:rFonts w:cs="Times New Roman"/>
          <w:lang w:val="sr-Cyrl-CS"/>
        </w:rPr>
        <w:t xml:space="preserve"> Очувана су радна места и зараде, како у приватном тако и у јавном сектору, а сви главни показатељи тржишта рада у 2021. години бележе вредности које су боље од нивоа</w:t>
      </w:r>
      <w:r w:rsidR="003E4E2A" w:rsidRPr="00092ED7">
        <w:rPr>
          <w:rFonts w:cs="Times New Roman"/>
          <w:lang w:val="sr-Cyrl-CS"/>
        </w:rPr>
        <w:t xml:space="preserve"> пре пандемије</w:t>
      </w:r>
      <w:r w:rsidRPr="00092ED7">
        <w:rPr>
          <w:rFonts w:cs="Times New Roman"/>
          <w:lang w:val="sr-Cyrl-CS"/>
        </w:rPr>
        <w:t>. Позитивна кретања на тржишту рада настављају се и у 2022. години, пре свега, кроз раст запослености и реалних зарада, али нешто успореније у поређењу са претходним периодом због утицаја геополитичких тензија.</w:t>
      </w:r>
    </w:p>
    <w:p w14:paraId="214A9487" w14:textId="77777777" w:rsidR="00D210F0" w:rsidRPr="00092ED7" w:rsidRDefault="00D210F0" w:rsidP="00D210F0">
      <w:pPr>
        <w:spacing w:after="60"/>
        <w:rPr>
          <w:rFonts w:cs="Times New Roman"/>
          <w:lang w:val="sr-Cyrl-CS"/>
        </w:rPr>
      </w:pPr>
      <w:r w:rsidRPr="00092ED7">
        <w:rPr>
          <w:rFonts w:cs="Times New Roman"/>
          <w:b/>
          <w:lang w:val="sr-Cyrl-CS"/>
        </w:rPr>
        <w:t xml:space="preserve">Стопа запослености </w:t>
      </w:r>
      <w:r w:rsidRPr="00092ED7">
        <w:rPr>
          <w:rFonts w:cs="Times New Roman"/>
          <w:lang w:val="sr-Cyrl-CS"/>
        </w:rPr>
        <w:t xml:space="preserve">(15+) која износи </w:t>
      </w:r>
      <w:r w:rsidRPr="00092ED7">
        <w:rPr>
          <w:rFonts w:cs="Times New Roman"/>
          <w:b/>
          <w:lang w:val="sr-Cyrl-CS"/>
        </w:rPr>
        <w:t>50,</w:t>
      </w:r>
      <w:r w:rsidR="00874A6D" w:rsidRPr="00092ED7">
        <w:rPr>
          <w:rFonts w:cs="Times New Roman"/>
          <w:b/>
          <w:lang w:val="sr-Cyrl-CS"/>
        </w:rPr>
        <w:t>8</w:t>
      </w:r>
      <w:r w:rsidRPr="00092ED7">
        <w:rPr>
          <w:rFonts w:cs="Times New Roman"/>
          <w:b/>
          <w:lang w:val="sr-Cyrl-CS"/>
        </w:rPr>
        <w:t>%</w:t>
      </w:r>
      <w:r w:rsidRPr="00092ED7">
        <w:rPr>
          <w:rStyle w:val="FootnoteReference"/>
          <w:rFonts w:cs="Times New Roman"/>
          <w:b/>
          <w:lang w:val="sr-Cyrl-CS"/>
        </w:rPr>
        <w:footnoteReference w:id="15"/>
      </w:r>
      <w:r w:rsidRPr="00092ED7">
        <w:rPr>
          <w:rFonts w:cs="Times New Roman"/>
          <w:b/>
          <w:lang w:val="sr-Cyrl-CS"/>
        </w:rPr>
        <w:t xml:space="preserve"> </w:t>
      </w:r>
      <w:r w:rsidRPr="00092ED7">
        <w:rPr>
          <w:rFonts w:cs="Times New Roman"/>
          <w:lang w:val="sr-Cyrl-CS"/>
        </w:rPr>
        <w:t xml:space="preserve">у </w:t>
      </w:r>
      <w:r w:rsidR="00874A6D" w:rsidRPr="00092ED7">
        <w:rPr>
          <w:rFonts w:cs="Times New Roman"/>
          <w:b/>
          <w:lang w:val="sr-Cyrl-CS"/>
        </w:rPr>
        <w:t xml:space="preserve">Q3 </w:t>
      </w:r>
      <w:r w:rsidRPr="00092ED7">
        <w:rPr>
          <w:rFonts w:cs="Times New Roman"/>
          <w:b/>
          <w:lang w:val="sr-Cyrl-CS"/>
        </w:rPr>
        <w:t>2022.</w:t>
      </w:r>
      <w:r w:rsidRPr="00092ED7">
        <w:rPr>
          <w:rFonts w:cs="Times New Roman"/>
          <w:lang w:val="sr-Cyrl-CS"/>
        </w:rPr>
        <w:t xml:space="preserve"> (ЕУ-27: 54,3% за становништво 15+, Q2 2022, Eurostat) бележи </w:t>
      </w:r>
      <w:r w:rsidRPr="00092ED7">
        <w:rPr>
          <w:rFonts w:cs="Times New Roman"/>
          <w:b/>
          <w:lang w:val="sr-Cyrl-CS"/>
        </w:rPr>
        <w:t xml:space="preserve">повећање од </w:t>
      </w:r>
      <w:r w:rsidR="00874A6D" w:rsidRPr="00092ED7">
        <w:rPr>
          <w:rFonts w:cs="Times New Roman"/>
          <w:b/>
          <w:lang w:val="sr-Cyrl-CS"/>
        </w:rPr>
        <w:t>0,8</w:t>
      </w:r>
      <w:r w:rsidRPr="00092ED7">
        <w:rPr>
          <w:rFonts w:cs="Times New Roman"/>
          <w:b/>
          <w:lang w:val="sr-Cyrl-CS"/>
        </w:rPr>
        <w:t xml:space="preserve"> п.п. </w:t>
      </w:r>
      <w:r w:rsidRPr="00092ED7">
        <w:rPr>
          <w:rFonts w:cs="Times New Roman"/>
          <w:lang w:val="sr-Cyrl-CS"/>
        </w:rPr>
        <w:t xml:space="preserve">у односу на исти квартал претходне године, док </w:t>
      </w:r>
      <w:r w:rsidRPr="00092ED7">
        <w:rPr>
          <w:rFonts w:cs="Times New Roman"/>
          <w:b/>
          <w:lang w:val="sr-Cyrl-CS"/>
        </w:rPr>
        <w:t xml:space="preserve">број запослених </w:t>
      </w:r>
      <w:r w:rsidRPr="00092ED7">
        <w:rPr>
          <w:rFonts w:cs="Times New Roman"/>
          <w:lang w:val="sr-Cyrl-CS"/>
        </w:rPr>
        <w:t xml:space="preserve">износи </w:t>
      </w:r>
      <w:r w:rsidRPr="00092ED7">
        <w:rPr>
          <w:rFonts w:cs="Times New Roman"/>
          <w:b/>
          <w:lang w:val="sr-Cyrl-CS"/>
        </w:rPr>
        <w:t>2,</w:t>
      </w:r>
      <w:r w:rsidR="00874A6D" w:rsidRPr="00092ED7">
        <w:rPr>
          <w:rFonts w:cs="Times New Roman"/>
          <w:b/>
          <w:lang w:val="sr-Cyrl-CS"/>
        </w:rPr>
        <w:t xml:space="preserve">94 </w:t>
      </w:r>
      <w:r w:rsidRPr="00092ED7">
        <w:rPr>
          <w:rFonts w:cs="Times New Roman"/>
          <w:b/>
          <w:lang w:val="sr-Cyrl-CS"/>
        </w:rPr>
        <w:t xml:space="preserve">милиона </w:t>
      </w:r>
      <w:r w:rsidRPr="00092ED7">
        <w:rPr>
          <w:rFonts w:cs="Times New Roman"/>
          <w:lang w:val="sr-Cyrl-CS"/>
        </w:rPr>
        <w:t xml:space="preserve">(повећање од </w:t>
      </w:r>
      <w:r w:rsidR="00874A6D" w:rsidRPr="00092ED7">
        <w:rPr>
          <w:rFonts w:cs="Times New Roman"/>
          <w:lang w:val="sr-Cyrl-CS"/>
        </w:rPr>
        <w:t>17,5</w:t>
      </w:r>
      <w:r w:rsidRPr="00092ED7">
        <w:rPr>
          <w:rFonts w:cs="Times New Roman"/>
          <w:lang w:val="sr-Cyrl-CS"/>
        </w:rPr>
        <w:t xml:space="preserve"> хиљада међугодишње). </w:t>
      </w:r>
      <w:r w:rsidRPr="00092ED7">
        <w:rPr>
          <w:rFonts w:cs="Times New Roman"/>
          <w:b/>
          <w:lang w:val="sr-Cyrl-CS"/>
        </w:rPr>
        <w:t xml:space="preserve">Стопа незапослености </w:t>
      </w:r>
      <w:r w:rsidRPr="00092ED7">
        <w:rPr>
          <w:rFonts w:cs="Times New Roman"/>
          <w:lang w:val="sr-Cyrl-CS"/>
        </w:rPr>
        <w:t xml:space="preserve">(15+) износи </w:t>
      </w:r>
      <w:r w:rsidRPr="00092ED7">
        <w:rPr>
          <w:rFonts w:cs="Times New Roman"/>
          <w:b/>
          <w:lang w:val="sr-Cyrl-CS"/>
        </w:rPr>
        <w:t xml:space="preserve">8,9% у </w:t>
      </w:r>
      <w:r w:rsidR="00874A6D" w:rsidRPr="00092ED7">
        <w:rPr>
          <w:rFonts w:cs="Times New Roman"/>
          <w:b/>
          <w:lang w:val="sr-Cyrl-CS"/>
        </w:rPr>
        <w:t xml:space="preserve">Q3 </w:t>
      </w:r>
      <w:r w:rsidRPr="00092ED7">
        <w:rPr>
          <w:rFonts w:cs="Times New Roman"/>
          <w:b/>
          <w:lang w:val="sr-Cyrl-CS"/>
        </w:rPr>
        <w:t>2022.</w:t>
      </w:r>
      <w:r w:rsidRPr="00092ED7">
        <w:rPr>
          <w:rFonts w:cs="Times New Roman"/>
          <w:lang w:val="sr-Cyrl-CS"/>
        </w:rPr>
        <w:t xml:space="preserve"> (ЕУ-27: 6% за становништво 15-74, Q2 2022, Eurostat) што представља </w:t>
      </w:r>
      <w:r w:rsidRPr="00092ED7">
        <w:rPr>
          <w:rFonts w:cs="Times New Roman"/>
          <w:b/>
          <w:lang w:val="sr-Cyrl-CS"/>
        </w:rPr>
        <w:t xml:space="preserve">пад од </w:t>
      </w:r>
      <w:r w:rsidR="00874A6D" w:rsidRPr="00092ED7">
        <w:rPr>
          <w:rFonts w:cs="Times New Roman"/>
          <w:b/>
          <w:lang w:val="sr-Cyrl-CS"/>
        </w:rPr>
        <w:t>1,6</w:t>
      </w:r>
      <w:r w:rsidRPr="00092ED7">
        <w:rPr>
          <w:rFonts w:cs="Times New Roman"/>
          <w:b/>
          <w:lang w:val="sr-Cyrl-CS"/>
        </w:rPr>
        <w:t xml:space="preserve"> п.п.</w:t>
      </w:r>
      <w:r w:rsidRPr="00092ED7">
        <w:rPr>
          <w:rFonts w:cs="Times New Roman"/>
          <w:lang w:val="sr-Cyrl-CS"/>
        </w:rPr>
        <w:t xml:space="preserve"> у односу на исти квартал претходне године, док је </w:t>
      </w:r>
      <w:r w:rsidRPr="00092ED7">
        <w:rPr>
          <w:rFonts w:cs="Times New Roman"/>
          <w:b/>
          <w:lang w:val="sr-Cyrl-CS"/>
        </w:rPr>
        <w:t xml:space="preserve">број незапослених </w:t>
      </w:r>
      <w:r w:rsidR="00874A6D" w:rsidRPr="00092ED7">
        <w:rPr>
          <w:rFonts w:cs="Times New Roman"/>
          <w:b/>
          <w:lang w:val="sr-Cyrl-CS"/>
        </w:rPr>
        <w:t>288,9</w:t>
      </w:r>
      <w:r w:rsidRPr="00092ED7">
        <w:rPr>
          <w:rFonts w:cs="Times New Roman"/>
          <w:b/>
          <w:lang w:val="sr-Cyrl-CS"/>
        </w:rPr>
        <w:t xml:space="preserve"> </w:t>
      </w:r>
      <w:r w:rsidR="00874A6D" w:rsidRPr="00092ED7">
        <w:rPr>
          <w:rFonts w:cs="Times New Roman"/>
          <w:b/>
          <w:lang w:val="sr-Cyrl-CS"/>
        </w:rPr>
        <w:t>хиљада</w:t>
      </w:r>
      <w:r w:rsidR="00874A6D" w:rsidRPr="00092ED7">
        <w:rPr>
          <w:rFonts w:cs="Times New Roman"/>
          <w:lang w:val="sr-Cyrl-CS"/>
        </w:rPr>
        <w:t xml:space="preserve"> </w:t>
      </w:r>
      <w:r w:rsidRPr="00092ED7">
        <w:rPr>
          <w:rFonts w:cs="Times New Roman"/>
          <w:lang w:val="sr-Cyrl-CS"/>
        </w:rPr>
        <w:t xml:space="preserve">(пад од </w:t>
      </w:r>
      <w:r w:rsidR="00874A6D" w:rsidRPr="00092ED7">
        <w:rPr>
          <w:rFonts w:cs="Times New Roman"/>
          <w:lang w:val="sr-Cyrl-CS"/>
        </w:rPr>
        <w:t>52,6</w:t>
      </w:r>
      <w:r w:rsidRPr="00092ED7">
        <w:rPr>
          <w:rFonts w:cs="Times New Roman"/>
          <w:lang w:val="sr-Cyrl-CS"/>
        </w:rPr>
        <w:t xml:space="preserve"> хиљада међугодишње</w:t>
      </w:r>
      <w:r w:rsidRPr="00092ED7">
        <w:rPr>
          <w:rStyle w:val="FootnoteReference"/>
          <w:rFonts w:cs="Times New Roman"/>
          <w:lang w:val="sr-Cyrl-CS"/>
        </w:rPr>
        <w:footnoteReference w:id="16"/>
      </w:r>
      <w:r w:rsidRPr="00092ED7">
        <w:rPr>
          <w:rFonts w:cs="Times New Roman"/>
          <w:lang w:val="sr-Cyrl-CS"/>
        </w:rPr>
        <w:t xml:space="preserve">). </w:t>
      </w:r>
    </w:p>
    <w:p w14:paraId="4530BE95" w14:textId="77777777" w:rsidR="00D210F0" w:rsidRPr="00092ED7" w:rsidRDefault="00D210F0" w:rsidP="00D210F0">
      <w:pPr>
        <w:spacing w:after="60"/>
        <w:rPr>
          <w:rFonts w:cs="Times New Roman"/>
          <w:lang w:val="sr-Cyrl-CS"/>
        </w:rPr>
      </w:pPr>
      <w:r w:rsidRPr="00092ED7">
        <w:rPr>
          <w:rFonts w:cs="Times New Roman"/>
          <w:b/>
          <w:lang w:val="sr-Cyrl-CS"/>
        </w:rPr>
        <w:t>Положај младих (15-24) на тржишту рада у Републици Србији се поправља последњих година, али су њихови показатељи и даље испод просека показатеља младих у земљама ЕУ.</w:t>
      </w:r>
      <w:r w:rsidRPr="00092ED7">
        <w:rPr>
          <w:rFonts w:cs="Times New Roman"/>
          <w:lang w:val="sr-Cyrl-CS"/>
        </w:rPr>
        <w:t xml:space="preserve"> Учешће младих у радној снази веома је ниско по европским стандардима - стопа активности младих (15-24) износи </w:t>
      </w:r>
      <w:r w:rsidR="00874A6D" w:rsidRPr="00092ED7">
        <w:rPr>
          <w:rFonts w:cs="Times New Roman"/>
          <w:lang w:val="sr-Cyrl-CS"/>
        </w:rPr>
        <w:t>34,1</w:t>
      </w:r>
      <w:r w:rsidRPr="00092ED7">
        <w:rPr>
          <w:rFonts w:cs="Times New Roman"/>
          <w:lang w:val="sr-Cyrl-CS"/>
        </w:rPr>
        <w:t xml:space="preserve">% у </w:t>
      </w:r>
      <w:r w:rsidR="00874A6D" w:rsidRPr="00092ED7">
        <w:rPr>
          <w:rFonts w:cs="Times New Roman"/>
          <w:lang w:val="sr-Cyrl-CS"/>
        </w:rPr>
        <w:t xml:space="preserve">Q3 </w:t>
      </w:r>
      <w:r w:rsidRPr="00092ED7">
        <w:rPr>
          <w:rFonts w:cs="Times New Roman"/>
          <w:lang w:val="sr-Cyrl-CS"/>
        </w:rPr>
        <w:t xml:space="preserve">2022. што је за </w:t>
      </w:r>
      <w:r w:rsidR="00147DF0" w:rsidRPr="00092ED7">
        <w:rPr>
          <w:rFonts w:cs="Times New Roman"/>
          <w:lang w:val="sr-Cyrl-CS"/>
        </w:rPr>
        <w:t>6,4</w:t>
      </w:r>
      <w:r w:rsidRPr="00092ED7">
        <w:rPr>
          <w:rFonts w:cs="Times New Roman"/>
          <w:lang w:val="sr-Cyrl-CS"/>
        </w:rPr>
        <w:t xml:space="preserve"> п.п. ниже у односу на просек у ЕУ (ЕУ-27: 40,5%, Q2 2022, Eurostat). Стопа запослености младих (15-24) је 25,</w:t>
      </w:r>
      <w:r w:rsidR="00874A6D" w:rsidRPr="00092ED7">
        <w:rPr>
          <w:rFonts w:cs="Times New Roman"/>
          <w:lang w:val="sr-Cyrl-CS"/>
        </w:rPr>
        <w:t>4</w:t>
      </w:r>
      <w:r w:rsidRPr="00092ED7">
        <w:rPr>
          <w:rFonts w:cs="Times New Roman"/>
          <w:lang w:val="sr-Cyrl-CS"/>
        </w:rPr>
        <w:t xml:space="preserve">% у </w:t>
      </w:r>
      <w:r w:rsidR="00874A6D" w:rsidRPr="00092ED7">
        <w:rPr>
          <w:rFonts w:cs="Times New Roman"/>
          <w:lang w:val="sr-Cyrl-CS"/>
        </w:rPr>
        <w:t xml:space="preserve">Q3 </w:t>
      </w:r>
      <w:r w:rsidRPr="00092ED7">
        <w:rPr>
          <w:rFonts w:cs="Times New Roman"/>
          <w:lang w:val="sr-Cyrl-CS"/>
        </w:rPr>
        <w:t xml:space="preserve">2022. што је за </w:t>
      </w:r>
      <w:r w:rsidR="00147DF0" w:rsidRPr="00092ED7">
        <w:rPr>
          <w:rFonts w:cs="Times New Roman"/>
          <w:lang w:val="sr-Cyrl-CS"/>
        </w:rPr>
        <w:t>9,3</w:t>
      </w:r>
      <w:r w:rsidRPr="00092ED7">
        <w:rPr>
          <w:rFonts w:cs="Times New Roman"/>
          <w:lang w:val="sr-Cyrl-CS"/>
        </w:rPr>
        <w:t xml:space="preserve"> п.п. ниже у односу на просек у ЕУ (ЕУ-27: 34,7%, Q2 2022, Eurostat). Стопа незапослености младих</w:t>
      </w:r>
      <w:r w:rsidRPr="00092ED7">
        <w:rPr>
          <w:rFonts w:cs="Times New Roman"/>
          <w:b/>
          <w:lang w:val="sr-Cyrl-CS"/>
        </w:rPr>
        <w:t xml:space="preserve"> </w:t>
      </w:r>
      <w:r w:rsidRPr="00092ED7">
        <w:rPr>
          <w:rFonts w:cs="Times New Roman"/>
          <w:lang w:val="sr-Cyrl-CS"/>
        </w:rPr>
        <w:t xml:space="preserve">(15–24) износи </w:t>
      </w:r>
      <w:r w:rsidR="00874A6D" w:rsidRPr="00092ED7">
        <w:rPr>
          <w:rFonts w:cs="Times New Roman"/>
          <w:lang w:val="sr-Cyrl-CS"/>
        </w:rPr>
        <w:t>25,4</w:t>
      </w:r>
      <w:r w:rsidRPr="00092ED7">
        <w:rPr>
          <w:rFonts w:cs="Times New Roman"/>
          <w:lang w:val="sr-Cyrl-CS"/>
        </w:rPr>
        <w:t>%</w:t>
      </w:r>
      <w:r w:rsidRPr="00092ED7">
        <w:rPr>
          <w:rFonts w:cs="Times New Roman"/>
          <w:b/>
          <w:lang w:val="sr-Cyrl-CS"/>
        </w:rPr>
        <w:t xml:space="preserve"> </w:t>
      </w:r>
      <w:r w:rsidRPr="00092ED7">
        <w:rPr>
          <w:rFonts w:cs="Times New Roman"/>
          <w:lang w:val="sr-Cyrl-CS"/>
        </w:rPr>
        <w:t xml:space="preserve">у </w:t>
      </w:r>
      <w:r w:rsidR="00874A6D" w:rsidRPr="00092ED7">
        <w:rPr>
          <w:rFonts w:cs="Times New Roman"/>
          <w:lang w:val="sr-Cyrl-CS"/>
        </w:rPr>
        <w:t xml:space="preserve">Q3 </w:t>
      </w:r>
      <w:r w:rsidRPr="00092ED7">
        <w:rPr>
          <w:rFonts w:cs="Times New Roman"/>
          <w:lang w:val="sr-Cyrl-CS"/>
        </w:rPr>
        <w:t xml:space="preserve">2022. што је за </w:t>
      </w:r>
      <w:r w:rsidR="00147DF0" w:rsidRPr="00092ED7">
        <w:rPr>
          <w:rFonts w:cs="Times New Roman"/>
          <w:lang w:val="sr-Cyrl-CS"/>
        </w:rPr>
        <w:t>11</w:t>
      </w:r>
      <w:r w:rsidRPr="00092ED7">
        <w:rPr>
          <w:rFonts w:cs="Times New Roman"/>
          <w:lang w:val="sr-Cyrl-CS"/>
        </w:rPr>
        <w:t xml:space="preserve"> п.п. више од стопе незапослености младих у ЕУ (ЕУ-27: 14,4%, Q2 2022, Eurostat). Поред тога што нису запослени, значајан број младих истовремено је и ван процеса образовања и обуке - у Републици Србији </w:t>
      </w:r>
      <w:r w:rsidRPr="00092ED7">
        <w:rPr>
          <w:rFonts w:cs="Times New Roman"/>
          <w:b/>
          <w:i/>
          <w:lang w:val="sr-Cyrl-CS"/>
        </w:rPr>
        <w:t>NEET</w:t>
      </w:r>
      <w:r w:rsidRPr="00092ED7">
        <w:rPr>
          <w:rFonts w:cs="Times New Roman"/>
          <w:b/>
          <w:vertAlign w:val="superscript"/>
          <w:lang w:val="sr-Cyrl-CS"/>
        </w:rPr>
        <w:footnoteReference w:id="17"/>
      </w:r>
      <w:r w:rsidRPr="00092ED7">
        <w:rPr>
          <w:rFonts w:cs="Times New Roman"/>
          <w:b/>
          <w:lang w:val="sr-Cyrl-CS"/>
        </w:rPr>
        <w:t xml:space="preserve"> стопа младих</w:t>
      </w:r>
      <w:r w:rsidRPr="00092ED7">
        <w:rPr>
          <w:rFonts w:cs="Times New Roman"/>
          <w:lang w:val="sr-Cyrl-CS"/>
        </w:rPr>
        <w:t xml:space="preserve"> (15-24) износи </w:t>
      </w:r>
      <w:r w:rsidR="00874A6D" w:rsidRPr="00092ED7">
        <w:rPr>
          <w:rFonts w:cs="Times New Roman"/>
          <w:b/>
          <w:lang w:val="sr-Cyrl-CS"/>
        </w:rPr>
        <w:t>13,5</w:t>
      </w:r>
      <w:r w:rsidRPr="00092ED7">
        <w:rPr>
          <w:rFonts w:cs="Times New Roman"/>
          <w:b/>
          <w:lang w:val="sr-Cyrl-CS"/>
        </w:rPr>
        <w:t>%</w:t>
      </w:r>
      <w:r w:rsidRPr="00092ED7">
        <w:rPr>
          <w:rFonts w:cs="Times New Roman"/>
          <w:lang w:val="sr-Cyrl-CS"/>
        </w:rPr>
        <w:t xml:space="preserve"> у </w:t>
      </w:r>
      <w:r w:rsidR="00874A6D" w:rsidRPr="00092ED7">
        <w:rPr>
          <w:rFonts w:cs="Times New Roman"/>
          <w:lang w:val="sr-Cyrl-CS"/>
        </w:rPr>
        <w:t xml:space="preserve">Q3 </w:t>
      </w:r>
      <w:r w:rsidRPr="00092ED7">
        <w:rPr>
          <w:rFonts w:cs="Times New Roman"/>
          <w:lang w:val="sr-Cyrl-CS"/>
        </w:rPr>
        <w:t xml:space="preserve">2022. што је више од просека у ЕУ (ЕУ-27: </w:t>
      </w:r>
      <w:r w:rsidR="004A4478" w:rsidRPr="00092ED7">
        <w:rPr>
          <w:rFonts w:cs="Times New Roman"/>
          <w:lang w:val="sr-Cyrl-CS"/>
        </w:rPr>
        <w:t>10,2%</w:t>
      </w:r>
      <w:r w:rsidRPr="00092ED7">
        <w:rPr>
          <w:rFonts w:cs="Times New Roman"/>
          <w:lang w:val="sr-Cyrl-CS"/>
        </w:rPr>
        <w:t xml:space="preserve"> </w:t>
      </w:r>
      <w:r w:rsidR="004A4478" w:rsidRPr="00092ED7">
        <w:rPr>
          <w:rFonts w:cs="Times New Roman"/>
          <w:lang w:val="sr-Cyrl-CS"/>
        </w:rPr>
        <w:t xml:space="preserve">у Q3 </w:t>
      </w:r>
      <w:r w:rsidRPr="00092ED7">
        <w:rPr>
          <w:rFonts w:cs="Times New Roman"/>
          <w:lang w:val="sr-Cyrl-CS"/>
        </w:rPr>
        <w:t>2022, Eurostat).</w:t>
      </w:r>
    </w:p>
    <w:p w14:paraId="7A0C352A" w14:textId="45F3E61E" w:rsidR="00D210F0" w:rsidRPr="00092ED7" w:rsidRDefault="00D210F0" w:rsidP="00DB0B7B">
      <w:pPr>
        <w:spacing w:after="60"/>
        <w:rPr>
          <w:rFonts w:cs="Times New Roman"/>
          <w:lang w:val="sr-Cyrl-CS"/>
        </w:rPr>
      </w:pPr>
      <w:r w:rsidRPr="00092ED7">
        <w:rPr>
          <w:rFonts w:cs="Times New Roman"/>
          <w:lang w:val="sr-Cyrl-CS"/>
        </w:rPr>
        <w:t xml:space="preserve">Република Србија ће </w:t>
      </w:r>
      <w:r w:rsidRPr="00092ED7">
        <w:rPr>
          <w:rFonts w:cs="Times New Roman"/>
          <w:b/>
          <w:lang w:val="sr-Cyrl-CS"/>
        </w:rPr>
        <w:t>подржати запошљавање младих</w:t>
      </w:r>
      <w:r w:rsidRPr="00092ED7">
        <w:rPr>
          <w:rFonts w:cs="Times New Roman"/>
          <w:lang w:val="sr-Cyrl-CS"/>
        </w:rPr>
        <w:t xml:space="preserve">, поред осталих активности и мера, и </w:t>
      </w:r>
      <w:r w:rsidRPr="00092ED7">
        <w:rPr>
          <w:rFonts w:cs="Times New Roman"/>
          <w:b/>
          <w:lang w:val="sr-Cyrl-CS"/>
        </w:rPr>
        <w:t>постепеним успостављањем и имплементацијом</w:t>
      </w:r>
      <w:r w:rsidRPr="00092ED7">
        <w:rPr>
          <w:rFonts w:cs="Times New Roman"/>
          <w:lang w:val="sr-Cyrl-CS"/>
        </w:rPr>
        <w:t xml:space="preserve"> </w:t>
      </w:r>
      <w:r w:rsidRPr="00092ED7">
        <w:rPr>
          <w:rFonts w:cs="Times New Roman"/>
          <w:b/>
          <w:lang w:val="sr-Cyrl-CS"/>
        </w:rPr>
        <w:t>Гаранције за младе</w:t>
      </w:r>
      <w:r w:rsidRPr="00092ED7">
        <w:rPr>
          <w:rFonts w:cs="Times New Roman"/>
          <w:b/>
          <w:vertAlign w:val="superscript"/>
          <w:lang w:val="sr-Cyrl-CS"/>
        </w:rPr>
        <w:footnoteReference w:id="18"/>
      </w:r>
      <w:r w:rsidRPr="00092ED7">
        <w:rPr>
          <w:rFonts w:cs="Times New Roman"/>
          <w:lang w:val="sr-Cyrl-CS"/>
        </w:rPr>
        <w:t xml:space="preserve"> у сарадњи са свим релевантним министарствима, социјалним партнерима и осталим заинтересованим странама, у складу са потврђеном Декларацијом Западног Балкана о одрживој интеграцији младих на тржиште рада</w:t>
      </w:r>
      <w:r w:rsidRPr="00092ED7">
        <w:rPr>
          <w:rFonts w:cs="Times New Roman"/>
          <w:vertAlign w:val="superscript"/>
          <w:lang w:val="sr-Cyrl-CS"/>
        </w:rPr>
        <w:footnoteReference w:id="19"/>
      </w:r>
      <w:r w:rsidRPr="00092ED7">
        <w:rPr>
          <w:rFonts w:cs="Times New Roman"/>
          <w:lang w:val="sr-Cyrl-CS"/>
        </w:rPr>
        <w:t>. Увођење Гаранције за младе омогућиће планирање и спровођење низа реформи политика у Републици Србији – у областима образовања и обуке, запошљавања и тржишта рада, које су неопоходне за унапређење преласка из школе на посао на средњорочном и дугорочном плану. План имплементације Гаранције за младе Републике Србије за период 2023-2025</w:t>
      </w:r>
      <w:r w:rsidR="00E561DE" w:rsidRPr="00092ED7">
        <w:rPr>
          <w:rFonts w:cs="Times New Roman"/>
          <w:lang w:val="sr-Cyrl-CS"/>
        </w:rPr>
        <w:t>.</w:t>
      </w:r>
      <w:r w:rsidRPr="00092ED7">
        <w:rPr>
          <w:rFonts w:cs="Times New Roman"/>
          <w:lang w:val="sr-Cyrl-CS"/>
        </w:rPr>
        <w:t xml:space="preserve"> је у припреми</w:t>
      </w:r>
      <w:r w:rsidR="00CD6FAA" w:rsidRPr="00092ED7">
        <w:rPr>
          <w:rFonts w:cs="Times New Roman"/>
          <w:lang w:val="sr-Cyrl-CS"/>
        </w:rPr>
        <w:t xml:space="preserve"> а</w:t>
      </w:r>
      <w:r w:rsidR="00B52C0F" w:rsidRPr="00092ED7">
        <w:rPr>
          <w:rFonts w:cs="Times New Roman"/>
          <w:lang w:val="sr-Cyrl-CS"/>
        </w:rPr>
        <w:t xml:space="preserve"> његово</w:t>
      </w:r>
      <w:r w:rsidR="00CD6FAA" w:rsidRPr="00092ED7">
        <w:rPr>
          <w:rFonts w:cs="Times New Roman"/>
          <w:lang w:val="sr-Cyrl-CS"/>
        </w:rPr>
        <w:t xml:space="preserve"> усвајање очекује </w:t>
      </w:r>
      <w:r w:rsidR="00B52C0F" w:rsidRPr="00092ED7">
        <w:rPr>
          <w:rFonts w:cs="Times New Roman"/>
          <w:lang w:val="sr-Cyrl-CS"/>
        </w:rPr>
        <w:t xml:space="preserve">се </w:t>
      </w:r>
      <w:r w:rsidR="00CC71EC" w:rsidRPr="00092ED7">
        <w:rPr>
          <w:rFonts w:cs="Times New Roman"/>
          <w:lang w:val="sr-Cyrl-CS"/>
        </w:rPr>
        <w:t>до краја другог</w:t>
      </w:r>
      <w:r w:rsidR="00CD6FAA" w:rsidRPr="00092ED7">
        <w:rPr>
          <w:rFonts w:cs="Times New Roman"/>
          <w:lang w:val="sr-Cyrl-CS"/>
        </w:rPr>
        <w:t xml:space="preserve"> </w:t>
      </w:r>
      <w:r w:rsidR="00CC71EC" w:rsidRPr="00092ED7">
        <w:rPr>
          <w:rFonts w:cs="Times New Roman"/>
          <w:lang w:val="sr-Cyrl-CS"/>
        </w:rPr>
        <w:t xml:space="preserve">квартала </w:t>
      </w:r>
      <w:r w:rsidR="00CD6FAA" w:rsidRPr="00092ED7">
        <w:rPr>
          <w:rFonts w:cs="Times New Roman"/>
          <w:lang w:val="sr-Cyrl-CS"/>
        </w:rPr>
        <w:t>2023. године</w:t>
      </w:r>
      <w:r w:rsidRPr="00092ED7">
        <w:rPr>
          <w:rFonts w:cs="Times New Roman"/>
          <w:lang w:val="sr-Cyrl-CS"/>
        </w:rPr>
        <w:t>.</w:t>
      </w:r>
    </w:p>
    <w:p w14:paraId="416080B2" w14:textId="378A4ACE" w:rsidR="00D210F0" w:rsidRPr="00092ED7" w:rsidRDefault="00D210F0" w:rsidP="00DB0B7B">
      <w:pPr>
        <w:spacing w:after="60"/>
        <w:rPr>
          <w:rFonts w:cs="Times New Roman"/>
          <w:lang w:val="sr-Cyrl-CS"/>
        </w:rPr>
      </w:pPr>
      <w:r w:rsidRPr="00092ED7">
        <w:rPr>
          <w:rFonts w:cs="Times New Roman"/>
          <w:b/>
          <w:lang w:val="sr-Cyrl-CS"/>
        </w:rPr>
        <w:t>Издвајања за активну политику запошљавања износила су 0,1% БДП у 2021. години</w:t>
      </w:r>
      <w:r w:rsidRPr="00092ED7">
        <w:rPr>
          <w:rFonts w:cs="Times New Roman"/>
          <w:lang w:val="sr-Cyrl-CS"/>
        </w:rPr>
        <w:t>. За реализацију планираних мера активне политике запошљавања обезбеђено је 6,55 милијарди динара</w:t>
      </w:r>
      <w:r w:rsidR="00A52FD9" w:rsidRPr="00092ED7">
        <w:rPr>
          <w:rFonts w:cs="Times New Roman"/>
          <w:lang w:val="sr-Cyrl-CS"/>
        </w:rPr>
        <w:t xml:space="preserve"> (54,6 милиона евра)</w:t>
      </w:r>
      <w:r w:rsidRPr="00092ED7">
        <w:rPr>
          <w:rFonts w:cs="Times New Roman"/>
          <w:lang w:val="sr-Cyrl-CS"/>
        </w:rPr>
        <w:t xml:space="preserve"> у </w:t>
      </w:r>
      <w:r w:rsidR="00C76711" w:rsidRPr="00092ED7">
        <w:rPr>
          <w:rFonts w:cs="Times New Roman"/>
          <w:lang w:val="sr-Cyrl-CS"/>
        </w:rPr>
        <w:t>финансијском плану Н</w:t>
      </w:r>
      <w:r w:rsidR="008B2875" w:rsidRPr="00092ED7">
        <w:rPr>
          <w:rFonts w:cs="Times New Roman"/>
          <w:lang w:val="sr-Cyrl-CS"/>
        </w:rPr>
        <w:t>ационалне службе за запош</w:t>
      </w:r>
      <w:r w:rsidR="00E561DE" w:rsidRPr="00092ED7">
        <w:rPr>
          <w:rFonts w:cs="Times New Roman"/>
          <w:lang w:val="sr-Cyrl-CS"/>
        </w:rPr>
        <w:t>љ</w:t>
      </w:r>
      <w:r w:rsidR="008B2875" w:rsidRPr="00092ED7">
        <w:rPr>
          <w:rFonts w:cs="Times New Roman"/>
          <w:lang w:val="sr-Cyrl-CS"/>
        </w:rPr>
        <w:t xml:space="preserve">авање </w:t>
      </w:r>
      <w:r w:rsidRPr="00092ED7">
        <w:rPr>
          <w:rFonts w:cs="Times New Roman"/>
          <w:lang w:val="sr-Cyrl-CS"/>
        </w:rPr>
        <w:t xml:space="preserve">за 2022. годину. </w:t>
      </w:r>
      <w:r w:rsidR="00440691" w:rsidRPr="00092ED7">
        <w:rPr>
          <w:rFonts w:cs="Times New Roman"/>
          <w:lang w:val="sr-Cyrl-CS"/>
        </w:rPr>
        <w:t>Такође,</w:t>
      </w:r>
      <w:r w:rsidRPr="00092ED7">
        <w:rPr>
          <w:rFonts w:cs="Times New Roman"/>
          <w:lang w:val="sr-Cyrl-CS"/>
        </w:rPr>
        <w:t xml:space="preserve"> за реализацију мера активне политике запошљавања, у оквиру локалних планских документата у области запошљавања, обезбеђују на годишњем нивоу и </w:t>
      </w:r>
      <w:r w:rsidR="00EB5D17" w:rsidRPr="00092ED7">
        <w:rPr>
          <w:rFonts w:cs="Times New Roman"/>
          <w:lang w:val="sr-Cyrl-CS"/>
        </w:rPr>
        <w:t>ЈЛС</w:t>
      </w:r>
      <w:r w:rsidRPr="00092ED7">
        <w:rPr>
          <w:rFonts w:cs="Times New Roman"/>
          <w:lang w:val="sr-Cyrl-CS"/>
        </w:rPr>
        <w:t xml:space="preserve"> (у пројектованом износу од 900 милиона динара</w:t>
      </w:r>
      <w:r w:rsidR="00A52FD9" w:rsidRPr="00092ED7">
        <w:rPr>
          <w:rFonts w:cs="Times New Roman"/>
          <w:lang w:val="sr-Cyrl-CS"/>
        </w:rPr>
        <w:t xml:space="preserve"> односно 7,5 милиона евра</w:t>
      </w:r>
      <w:r w:rsidRPr="00092ED7">
        <w:rPr>
          <w:rFonts w:cs="Times New Roman"/>
          <w:lang w:val="sr-Cyrl-CS"/>
        </w:rPr>
        <w:t>).</w:t>
      </w:r>
    </w:p>
    <w:p w14:paraId="2E3610FF" w14:textId="77777777" w:rsidR="00D210F0" w:rsidRPr="00092ED7" w:rsidRDefault="00D210F0" w:rsidP="00DB0B7B">
      <w:pPr>
        <w:spacing w:after="60"/>
        <w:rPr>
          <w:rFonts w:cs="Times New Roman"/>
          <w:lang w:val="sr-Cyrl-CS"/>
        </w:rPr>
      </w:pPr>
      <w:r w:rsidRPr="00092ED7">
        <w:rPr>
          <w:rFonts w:cs="Times New Roman"/>
          <w:b/>
          <w:lang w:val="sr-Cyrl-CS"/>
        </w:rPr>
        <w:t>Ученици не располажу практичним и примењивим знањима и вештинама потребним за рад у реалном радном окружењу по завршетку средње стручне школе.</w:t>
      </w:r>
      <w:r w:rsidRPr="00092ED7">
        <w:rPr>
          <w:rFonts w:cs="Times New Roman"/>
          <w:lang w:val="sr-Cyrl-CS"/>
        </w:rPr>
        <w:t xml:space="preserve"> Такође, </w:t>
      </w:r>
      <w:r w:rsidRPr="00092ED7">
        <w:rPr>
          <w:rFonts w:cs="Times New Roman"/>
          <w:b/>
          <w:lang w:val="sr-Cyrl-CS"/>
        </w:rPr>
        <w:t>недостатак радног искуства, једна је од најчешћих препрека за запошљавање младих</w:t>
      </w:r>
      <w:r w:rsidRPr="00092ED7">
        <w:rPr>
          <w:rFonts w:cs="Times New Roman"/>
          <w:lang w:val="sr-Cyrl-CS"/>
        </w:rPr>
        <w:t xml:space="preserve">, тако да је младима неопходно омогућити да још </w:t>
      </w:r>
      <w:r w:rsidRPr="00092ED7">
        <w:rPr>
          <w:rFonts w:cs="Times New Roman"/>
          <w:b/>
          <w:lang w:val="sr-Cyrl-CS"/>
        </w:rPr>
        <w:t>током процеса формалног образовања остваре одређени контакт са тржиштем рада</w:t>
      </w:r>
      <w:r w:rsidRPr="00092ED7">
        <w:rPr>
          <w:rFonts w:cs="Times New Roman"/>
          <w:lang w:val="sr-Cyrl-CS"/>
        </w:rPr>
        <w:t xml:space="preserve">. </w:t>
      </w:r>
      <w:r w:rsidRPr="00092ED7">
        <w:rPr>
          <w:rFonts w:cs="Times New Roman"/>
          <w:bCs/>
          <w:lang w:val="sr-Cyrl-CS"/>
        </w:rPr>
        <w:t>С</w:t>
      </w:r>
      <w:r w:rsidRPr="00092ED7">
        <w:rPr>
          <w:rFonts w:cs="Times New Roman"/>
          <w:lang w:val="sr-Cyrl-CS"/>
        </w:rPr>
        <w:t xml:space="preserve">тицање, усавршавање и развој компетенција у складу са потребама тржишта рада обезбеђени су и </w:t>
      </w:r>
      <w:r w:rsidRPr="00092ED7">
        <w:rPr>
          <w:rFonts w:cs="Times New Roman"/>
          <w:b/>
          <w:lang w:val="sr-Cyrl-CS"/>
        </w:rPr>
        <w:t>дуалним образовањем</w:t>
      </w:r>
      <w:r w:rsidRPr="00092ED7">
        <w:rPr>
          <w:rFonts w:cs="Times New Roman"/>
          <w:bCs/>
          <w:lang w:val="sr-Cyrl-CS"/>
        </w:rPr>
        <w:t>, моделом реализације наставе у оквиру средњег стручног образовања у оквиру кога се теоријска настава и вежбе реализују у школи, а учење кроз рад у компанијама. До сада је системом дуалног образовања обухваћено преко 13.500 ученика. Број дуалних образовних профила нарастао је на 65 у школској 2022/2023 години</w:t>
      </w:r>
      <w:r w:rsidRPr="00092ED7">
        <w:rPr>
          <w:rStyle w:val="FootnoteReference"/>
          <w:rFonts w:cs="Times New Roman"/>
          <w:lang w:val="sr-Cyrl-CS"/>
        </w:rPr>
        <w:footnoteReference w:id="20"/>
      </w:r>
      <w:r w:rsidRPr="00092ED7">
        <w:rPr>
          <w:rFonts w:cs="Times New Roman"/>
          <w:lang w:val="sr-Cyrl-CS"/>
        </w:rPr>
        <w:t xml:space="preserve">, а у реализацију дуалног образовања укључено је око 168 средњих стручних школа. Од укупног броја ученика првог разреда средње стручне школе у школској 2021/2022 години </w:t>
      </w:r>
      <w:r w:rsidRPr="00092ED7">
        <w:rPr>
          <w:rFonts w:cs="Times New Roman"/>
          <w:b/>
          <w:lang w:val="sr-Cyrl-CS"/>
        </w:rPr>
        <w:t>5,16% је у систему дуалног образовања</w:t>
      </w:r>
      <w:r w:rsidRPr="00092ED7">
        <w:rPr>
          <w:rFonts w:cs="Times New Roman"/>
          <w:lang w:val="sr-Cyrl-CS"/>
        </w:rPr>
        <w:t>.</w:t>
      </w:r>
    </w:p>
    <w:p w14:paraId="6B36C26D" w14:textId="5FFF227F" w:rsidR="006C025B" w:rsidRPr="00092ED7" w:rsidRDefault="00D210F0" w:rsidP="00DB0B7B">
      <w:pPr>
        <w:spacing w:after="60"/>
        <w:rPr>
          <w:lang w:val="sr-Cyrl-CS"/>
        </w:rPr>
      </w:pPr>
      <w:r w:rsidRPr="00092ED7">
        <w:rPr>
          <w:rFonts w:cs="Times New Roman"/>
          <w:b/>
          <w:lang w:val="sr-Cyrl-CS"/>
        </w:rPr>
        <w:t>Увођење дуалног образовања у високом образовању</w:t>
      </w:r>
      <w:r w:rsidRPr="00092ED7">
        <w:rPr>
          <w:rStyle w:val="FootnoteReference"/>
          <w:rFonts w:cs="Times New Roman"/>
          <w:b/>
          <w:lang w:val="sr-Cyrl-CS"/>
        </w:rPr>
        <w:footnoteReference w:id="21"/>
      </w:r>
      <w:r w:rsidRPr="00092ED7">
        <w:rPr>
          <w:rFonts w:cs="Times New Roman"/>
          <w:b/>
          <w:lang w:val="sr-Cyrl-CS"/>
        </w:rPr>
        <w:t xml:space="preserve"> </w:t>
      </w:r>
      <w:r w:rsidRPr="00092ED7">
        <w:rPr>
          <w:rFonts w:cs="Times New Roman"/>
          <w:lang w:val="sr-Cyrl-CS"/>
        </w:rPr>
        <w:t xml:space="preserve">обезбеђено је усвајањем </w:t>
      </w:r>
      <w:r w:rsidRPr="00092ED7">
        <w:rPr>
          <w:rFonts w:cs="Times New Roman"/>
          <w:i/>
          <w:lang w:val="sr-Cyrl-CS"/>
        </w:rPr>
        <w:t>Закона о дуалном моделу студија у високом образовању</w:t>
      </w:r>
      <w:r w:rsidRPr="00092ED7">
        <w:rPr>
          <w:rFonts w:cs="Times New Roman"/>
          <w:lang w:val="sr-Cyrl-CS"/>
        </w:rPr>
        <w:t xml:space="preserve"> („Сл</w:t>
      </w:r>
      <w:r w:rsidR="00D706BE" w:rsidRPr="00092ED7">
        <w:rPr>
          <w:rFonts w:cs="Times New Roman"/>
          <w:lang w:val="sr-Cyrl-CS"/>
        </w:rPr>
        <w:t>ужбени</w:t>
      </w:r>
      <w:r w:rsidR="00576076" w:rsidRPr="00092ED7">
        <w:rPr>
          <w:rFonts w:cs="Times New Roman"/>
          <w:lang w:val="sr-Cyrl-CS"/>
        </w:rPr>
        <w:t xml:space="preserve"> гласник РС</w:t>
      </w:r>
      <w:r w:rsidR="00D706BE" w:rsidRPr="00092ED7">
        <w:rPr>
          <w:rFonts w:cs="Times New Roman"/>
          <w:szCs w:val="24"/>
          <w:lang w:val="sr-Cyrl-CS"/>
        </w:rPr>
        <w:t>”</w:t>
      </w:r>
      <w:r w:rsidR="00576076" w:rsidRPr="00092ED7">
        <w:rPr>
          <w:rFonts w:cs="Times New Roman"/>
          <w:lang w:val="sr-Cyrl-CS"/>
        </w:rPr>
        <w:t>, бр</w:t>
      </w:r>
      <w:r w:rsidR="00D706BE" w:rsidRPr="00092ED7">
        <w:rPr>
          <w:rFonts w:cs="Times New Roman"/>
          <w:lang w:val="sr-Cyrl-CS"/>
        </w:rPr>
        <w:t>ој</w:t>
      </w:r>
      <w:r w:rsidRPr="00092ED7">
        <w:rPr>
          <w:rFonts w:cs="Times New Roman"/>
          <w:lang w:val="sr-Cyrl-CS"/>
        </w:rPr>
        <w:t xml:space="preserve"> 66/19), као одговор на реалне потребе домаћих и иностраних компанија које послују у Републици Србији за адекватним, високообразованим кадром са практичним и применљивим знањима. У академској 2021/2022 години започета је реализација првих студијских програма по </w:t>
      </w:r>
      <w:r w:rsidRPr="00092ED7">
        <w:rPr>
          <w:rFonts w:cs="Times New Roman"/>
          <w:b/>
          <w:lang w:val="sr-Cyrl-CS"/>
        </w:rPr>
        <w:t>дуалном моделу студија у високом образовању</w:t>
      </w:r>
      <w:r w:rsidRPr="00092ED7">
        <w:rPr>
          <w:rFonts w:cs="Times New Roman"/>
          <w:lang w:val="sr-Cyrl-CS"/>
        </w:rPr>
        <w:t xml:space="preserve">. </w:t>
      </w:r>
      <w:r w:rsidR="006C025B" w:rsidRPr="00092ED7">
        <w:rPr>
          <w:rFonts w:cs="Times New Roman"/>
          <w:lang w:val="sr-Cyrl-CS"/>
        </w:rPr>
        <w:t xml:space="preserve">Тренутно постоји </w:t>
      </w:r>
      <w:r w:rsidR="006C025B" w:rsidRPr="00092ED7">
        <w:rPr>
          <w:rFonts w:cs="Times New Roman"/>
          <w:b/>
          <w:lang w:val="sr-Cyrl-CS"/>
        </w:rPr>
        <w:t>36 акредитованих студијских програма</w:t>
      </w:r>
      <w:r w:rsidR="006C025B" w:rsidRPr="00092ED7">
        <w:rPr>
          <w:rFonts w:cs="Times New Roman"/>
          <w:lang w:val="sr-Cyrl-CS"/>
        </w:rPr>
        <w:t xml:space="preserve"> по дуалном моделу студија на </w:t>
      </w:r>
      <w:r w:rsidR="009E0CFF" w:rsidRPr="00092ED7">
        <w:rPr>
          <w:rFonts w:cs="Times New Roman"/>
          <w:b/>
          <w:lang w:val="sr-Cyrl-CS"/>
        </w:rPr>
        <w:t xml:space="preserve">десет </w:t>
      </w:r>
      <w:r w:rsidR="006C025B" w:rsidRPr="00092ED7">
        <w:rPr>
          <w:rFonts w:cs="Times New Roman"/>
          <w:b/>
          <w:lang w:val="sr-Cyrl-CS"/>
        </w:rPr>
        <w:t>високошколских установа,</w:t>
      </w:r>
      <w:r w:rsidR="006C025B" w:rsidRPr="00092ED7">
        <w:rPr>
          <w:rFonts w:cs="Times New Roman"/>
          <w:lang w:val="sr-Cyrl-CS"/>
        </w:rPr>
        <w:t xml:space="preserve"> a 95 компанија које су укључене у овај модел реализације наставе. </w:t>
      </w:r>
      <w:r w:rsidR="00EC1115" w:rsidRPr="00092ED7">
        <w:rPr>
          <w:lang w:val="sr-Cyrl-CS"/>
        </w:rPr>
        <w:t xml:space="preserve">Влада </w:t>
      </w:r>
      <w:r w:rsidR="006235E5" w:rsidRPr="00092ED7">
        <w:rPr>
          <w:lang w:val="sr-Cyrl-CS"/>
        </w:rPr>
        <w:t xml:space="preserve">је </w:t>
      </w:r>
      <w:r w:rsidR="00EC1115" w:rsidRPr="00092ED7">
        <w:rPr>
          <w:lang w:val="sr-Cyrl-CS"/>
        </w:rPr>
        <w:t>основала 10. новембра 2022. године Канцеларију за дуално образовање и Национални оквир квалификација. На тај начин се послови везани за дуално образовање и Национални оквир квалификациј</w:t>
      </w:r>
      <w:r w:rsidR="00290882" w:rsidRPr="00092ED7">
        <w:rPr>
          <w:lang w:val="sr-Cyrl-CS"/>
        </w:rPr>
        <w:t>а</w:t>
      </w:r>
      <w:r w:rsidR="00EC1115" w:rsidRPr="00092ED7">
        <w:rPr>
          <w:lang w:val="sr-Cyrl-CS"/>
        </w:rPr>
        <w:t xml:space="preserve"> </w:t>
      </w:r>
      <w:r w:rsidR="00290882" w:rsidRPr="00092ED7">
        <w:rPr>
          <w:lang w:val="sr-Cyrl-CS"/>
        </w:rPr>
        <w:t xml:space="preserve">(у даљем тексту: НОКС) </w:t>
      </w:r>
      <w:r w:rsidR="00EC1115" w:rsidRPr="00092ED7">
        <w:rPr>
          <w:lang w:val="sr-Cyrl-CS"/>
        </w:rPr>
        <w:t>измештају из делокруга Министарства просвете.</w:t>
      </w:r>
    </w:p>
    <w:p w14:paraId="2ECDCDDA" w14:textId="76111E73" w:rsidR="00D210F0" w:rsidRPr="00092ED7" w:rsidRDefault="00D210F0" w:rsidP="00DB0B7B">
      <w:pPr>
        <w:spacing w:after="60"/>
        <w:rPr>
          <w:rFonts w:cs="Times New Roman"/>
          <w:lang w:val="sr-Cyrl-CS"/>
        </w:rPr>
      </w:pPr>
      <w:r w:rsidRPr="00092ED7">
        <w:rPr>
          <w:rFonts w:cs="Times New Roman"/>
          <w:b/>
          <w:lang w:val="sr-Cyrl-CS"/>
        </w:rPr>
        <w:t>Праћење усклађености потреба тржишта рада и образовања</w:t>
      </w:r>
      <w:r w:rsidRPr="00092ED7">
        <w:rPr>
          <w:rFonts w:cs="Times New Roman"/>
          <w:lang w:val="sr-Cyrl-CS"/>
        </w:rPr>
        <w:t xml:space="preserve">, као и планирање и вођење јавних политика у области образовања и запошљавања, </w:t>
      </w:r>
      <w:r w:rsidRPr="00092ED7">
        <w:rPr>
          <w:rFonts w:cs="Times New Roman"/>
          <w:b/>
          <w:lang w:val="sr-Cyrl-CS"/>
        </w:rPr>
        <w:t>омогућено</w:t>
      </w:r>
      <w:r w:rsidRPr="00092ED7">
        <w:rPr>
          <w:rFonts w:cs="Times New Roman"/>
          <w:lang w:val="sr-Cyrl-CS"/>
        </w:rPr>
        <w:t xml:space="preserve"> је развојем и објављивањем јединствене </w:t>
      </w:r>
      <w:r w:rsidRPr="00092ED7">
        <w:rPr>
          <w:rFonts w:cs="Times New Roman"/>
          <w:b/>
          <w:lang w:val="sr-Cyrl-CS"/>
        </w:rPr>
        <w:t>Листе квалификација</w:t>
      </w:r>
      <w:r w:rsidRPr="00092ED7">
        <w:rPr>
          <w:rFonts w:cs="Times New Roman"/>
          <w:lang w:val="sr-Cyrl-CS"/>
        </w:rPr>
        <w:t xml:space="preserve"> и применом Шифарника занимања. Листа квалификација представља основну базу података за регистре који су успостављени у оквиру Јединственог информационог система просвете (</w:t>
      </w:r>
      <w:r w:rsidR="008B2875" w:rsidRPr="00092ED7">
        <w:rPr>
          <w:rFonts w:cs="Times New Roman"/>
          <w:lang w:val="sr-Cyrl-CS"/>
        </w:rPr>
        <w:t xml:space="preserve">у даљем тексту: </w:t>
      </w:r>
      <w:r w:rsidRPr="00092ED7">
        <w:rPr>
          <w:rFonts w:cs="Times New Roman"/>
          <w:lang w:val="sr-Cyrl-CS"/>
        </w:rPr>
        <w:t>ЈИСП), а посебно</w:t>
      </w:r>
      <w:r w:rsidRPr="00092ED7">
        <w:rPr>
          <w:rFonts w:cs="Times New Roman"/>
          <w:b/>
          <w:lang w:val="sr-Cyrl-CS"/>
        </w:rPr>
        <w:t xml:space="preserve"> Регистра НОКС</w:t>
      </w:r>
      <w:r w:rsidRPr="00092ED7">
        <w:rPr>
          <w:rFonts w:cs="Times New Roman"/>
          <w:vertAlign w:val="superscript"/>
          <w:lang w:val="sr-Cyrl-CS"/>
        </w:rPr>
        <w:footnoteReference w:id="22"/>
      </w:r>
      <w:r w:rsidRPr="00092ED7">
        <w:rPr>
          <w:rFonts w:cs="Times New Roman"/>
          <w:lang w:val="sr-Cyrl-CS"/>
        </w:rPr>
        <w:t xml:space="preserve"> у коме се тренутно налази </w:t>
      </w:r>
      <w:r w:rsidRPr="00092ED7">
        <w:rPr>
          <w:rFonts w:cs="Times New Roman"/>
          <w:b/>
          <w:lang w:val="sr-Cyrl-CS"/>
        </w:rPr>
        <w:t>4.654 квалификација и 8</w:t>
      </w:r>
      <w:r w:rsidR="00C36798" w:rsidRPr="00092ED7">
        <w:rPr>
          <w:rFonts w:cs="Times New Roman"/>
          <w:b/>
          <w:lang w:val="sr-Cyrl-CS"/>
        </w:rPr>
        <w:t>3</w:t>
      </w:r>
      <w:r w:rsidRPr="00092ED7">
        <w:rPr>
          <w:rFonts w:cs="Times New Roman"/>
          <w:b/>
          <w:lang w:val="sr-Cyrl-CS"/>
        </w:rPr>
        <w:t xml:space="preserve"> стандарда квалификација</w:t>
      </w:r>
      <w:r w:rsidRPr="00092ED7">
        <w:rPr>
          <w:rFonts w:cs="Times New Roman"/>
          <w:lang w:val="sr-Cyrl-CS"/>
        </w:rPr>
        <w:t>. Развој стандарда квалификација заснованих на потребама тржишта рада и друштва у целини обезбеђен је радом 12 секторских већа, а до сада је израђено 8</w:t>
      </w:r>
      <w:r w:rsidR="00C36798" w:rsidRPr="00092ED7">
        <w:rPr>
          <w:rFonts w:cs="Times New Roman"/>
          <w:lang w:val="sr-Cyrl-CS"/>
        </w:rPr>
        <w:t>3</w:t>
      </w:r>
      <w:r w:rsidRPr="00092ED7">
        <w:rPr>
          <w:rFonts w:cs="Times New Roman"/>
          <w:lang w:val="sr-Cyrl-CS"/>
        </w:rPr>
        <w:t xml:space="preserve"> стандарда квалификација у складу са новом методологијом.</w:t>
      </w:r>
    </w:p>
    <w:p w14:paraId="285F0095" w14:textId="0F16C214" w:rsidR="00D210F0" w:rsidRPr="00092ED7" w:rsidRDefault="00D210F0" w:rsidP="00DB0B7B">
      <w:pPr>
        <w:spacing w:after="60"/>
        <w:rPr>
          <w:rFonts w:cs="Times New Roman"/>
          <w:szCs w:val="24"/>
          <w:lang w:val="sr-Cyrl-CS"/>
        </w:rPr>
      </w:pPr>
      <w:r w:rsidRPr="00092ED7">
        <w:rPr>
          <w:rFonts w:cs="Times New Roman"/>
          <w:b/>
          <w:szCs w:val="24"/>
          <w:lang w:val="sr-Cyrl-CS"/>
        </w:rPr>
        <w:t>Да би се олакшао прелаз из школе на посао, креиран је програм „Моја прва плата</w:t>
      </w:r>
      <w:r w:rsidR="001406A9" w:rsidRPr="00092ED7">
        <w:rPr>
          <w:rFonts w:cs="Times New Roman"/>
          <w:b/>
          <w:szCs w:val="24"/>
          <w:lang w:val="sr-Cyrl-CS"/>
        </w:rPr>
        <w:t>”</w:t>
      </w:r>
      <w:r w:rsidRPr="00092ED7">
        <w:rPr>
          <w:rFonts w:cs="Times New Roman"/>
          <w:szCs w:val="24"/>
          <w:vertAlign w:val="superscript"/>
          <w:lang w:val="sr-Cyrl-CS"/>
        </w:rPr>
        <w:footnoteReference w:id="23"/>
      </w:r>
      <w:r w:rsidRPr="00092ED7">
        <w:rPr>
          <w:rFonts w:cs="Times New Roman"/>
          <w:szCs w:val="24"/>
          <w:lang w:val="sr-Cyrl-CS"/>
        </w:rPr>
        <w:t xml:space="preserve"> као мера активне политике запошљавања са циљем да се младима без радног искуства пружи прилика за оспособљавање за самосталан рад и повећање могућности за њихово запошљавање. У другом циклусу спроведеном 2021. године </w:t>
      </w:r>
      <w:r w:rsidRPr="00092ED7">
        <w:rPr>
          <w:szCs w:val="24"/>
          <w:lang w:val="sr-Cyrl-CS"/>
        </w:rPr>
        <w:t xml:space="preserve">програмом је обухваћено 8.743 младих (6.108 лице са средњим образовањем и 2.635 лица са високим образовањем) који су се оспособљавали за самостални рад код 5.194 послодаваца. </w:t>
      </w:r>
      <w:r w:rsidR="00326514" w:rsidRPr="00092ED7">
        <w:rPr>
          <w:rFonts w:cs="Times New Roman"/>
          <w:szCs w:val="24"/>
          <w:lang w:val="sr-Cyrl-CS"/>
        </w:rPr>
        <w:t>Т</w:t>
      </w:r>
      <w:r w:rsidRPr="00092ED7">
        <w:rPr>
          <w:rFonts w:cs="Times New Roman"/>
          <w:szCs w:val="24"/>
          <w:lang w:val="sr-Cyrl-CS"/>
        </w:rPr>
        <w:t>рећ</w:t>
      </w:r>
      <w:r w:rsidR="00326514" w:rsidRPr="00092ED7">
        <w:rPr>
          <w:rFonts w:cs="Times New Roman"/>
          <w:szCs w:val="24"/>
          <w:lang w:val="sr-Cyrl-CS"/>
        </w:rPr>
        <w:t>и</w:t>
      </w:r>
      <w:r w:rsidRPr="00092ED7">
        <w:rPr>
          <w:rFonts w:cs="Times New Roman"/>
          <w:szCs w:val="24"/>
          <w:lang w:val="sr-Cyrl-CS"/>
        </w:rPr>
        <w:t xml:space="preserve"> циклус овог програма</w:t>
      </w:r>
      <w:r w:rsidR="00326514" w:rsidRPr="00092ED7">
        <w:rPr>
          <w:rFonts w:cs="Times New Roman"/>
          <w:szCs w:val="24"/>
          <w:lang w:val="sr-Cyrl-CS"/>
        </w:rPr>
        <w:t xml:space="preserve"> реализован је током 2022. године</w:t>
      </w:r>
      <w:r w:rsidR="00203D61" w:rsidRPr="00092ED7">
        <w:rPr>
          <w:rFonts w:cs="Times New Roman"/>
          <w:szCs w:val="24"/>
          <w:lang w:val="sr-Cyrl-CS"/>
        </w:rPr>
        <w:t xml:space="preserve"> (пријава послодаваца и оглашавање позиција, пријава кандидата на позиције, повезивање кандидата са послодавцима)</w:t>
      </w:r>
      <w:r w:rsidR="008B2875" w:rsidRPr="00092ED7">
        <w:rPr>
          <w:rFonts w:cs="Times New Roman"/>
          <w:szCs w:val="24"/>
          <w:lang w:val="sr-Cyrl-CS"/>
        </w:rPr>
        <w:t>,</w:t>
      </w:r>
      <w:r w:rsidRPr="00092ED7">
        <w:rPr>
          <w:rFonts w:cs="Times New Roman"/>
          <w:szCs w:val="24"/>
          <w:lang w:val="sr-Cyrl-CS"/>
        </w:rPr>
        <w:t xml:space="preserve"> у складу са </w:t>
      </w:r>
      <w:r w:rsidRPr="00092ED7">
        <w:rPr>
          <w:rFonts w:cs="Times New Roman"/>
          <w:b/>
          <w:bCs/>
          <w:i/>
          <w:szCs w:val="24"/>
          <w:lang w:val="sr-Cyrl-CS"/>
        </w:rPr>
        <w:t>Уредбом о измени Уредбе о Програму подстицања запошљавања младих „Моја прва плата</w:t>
      </w:r>
      <w:r w:rsidR="008A2A83" w:rsidRPr="00092ED7">
        <w:rPr>
          <w:rFonts w:cs="Times New Roman"/>
          <w:b/>
          <w:i/>
          <w:szCs w:val="24"/>
          <w:lang w:val="sr-Cyrl-CS"/>
        </w:rPr>
        <w:t>”</w:t>
      </w:r>
      <w:r w:rsidR="00622480" w:rsidRPr="00092ED7">
        <w:rPr>
          <w:rFonts w:cs="Times New Roman"/>
          <w:b/>
          <w:bCs/>
          <w:i/>
          <w:szCs w:val="24"/>
          <w:lang w:val="sr-Cyrl-CS"/>
        </w:rPr>
        <w:t xml:space="preserve"> </w:t>
      </w:r>
      <w:r w:rsidR="00622480" w:rsidRPr="00092ED7">
        <w:rPr>
          <w:rFonts w:cs="Times New Roman"/>
          <w:szCs w:val="24"/>
          <w:lang w:val="sr-Cyrl-CS"/>
        </w:rPr>
        <w:t>(„Службени гласник РС”, број 92/22)</w:t>
      </w:r>
      <w:r w:rsidRPr="00092ED7">
        <w:rPr>
          <w:rFonts w:cs="Times New Roman"/>
          <w:b/>
          <w:bCs/>
          <w:szCs w:val="24"/>
          <w:lang w:val="sr-Cyrl-CS"/>
        </w:rPr>
        <w:t xml:space="preserve">, </w:t>
      </w:r>
      <w:r w:rsidR="00326514" w:rsidRPr="00092ED7">
        <w:rPr>
          <w:rFonts w:cs="Times New Roman"/>
          <w:bCs/>
          <w:szCs w:val="24"/>
          <w:lang w:val="sr-Cyrl-CS"/>
        </w:rPr>
        <w:t>којом су</w:t>
      </w:r>
      <w:r w:rsidR="00326514" w:rsidRPr="00092ED7">
        <w:rPr>
          <w:rFonts w:cs="Times New Roman"/>
          <w:b/>
          <w:bCs/>
          <w:szCs w:val="24"/>
          <w:lang w:val="sr-Cyrl-CS"/>
        </w:rPr>
        <w:t xml:space="preserve"> </w:t>
      </w:r>
      <w:r w:rsidRPr="00092ED7">
        <w:rPr>
          <w:rFonts w:cs="Times New Roman"/>
          <w:bCs/>
          <w:szCs w:val="24"/>
          <w:lang w:val="sr-Cyrl-CS"/>
        </w:rPr>
        <w:t>повећани износи месечне новчане накнаде за полазнике овог програма. М</w:t>
      </w:r>
      <w:r w:rsidRPr="00092ED7">
        <w:rPr>
          <w:rFonts w:cs="Times New Roman"/>
          <w:szCs w:val="24"/>
          <w:lang w:val="sr-Cyrl-CS"/>
        </w:rPr>
        <w:t>ладима са завршеним средњим образовањем обезбеђена је месечна новчана накнада у износу од 25.000 динара, док за оне са завршеним високим образовањем накнада износи 30.000</w:t>
      </w:r>
      <w:r w:rsidRPr="00092ED7">
        <w:rPr>
          <w:rFonts w:cs="Times New Roman"/>
          <w:strike/>
          <w:szCs w:val="24"/>
          <w:lang w:val="sr-Cyrl-CS"/>
        </w:rPr>
        <w:t xml:space="preserve"> </w:t>
      </w:r>
      <w:r w:rsidRPr="00092ED7">
        <w:rPr>
          <w:rFonts w:cs="Times New Roman"/>
          <w:szCs w:val="24"/>
          <w:lang w:val="sr-Cyrl-CS"/>
        </w:rPr>
        <w:t>динара.</w:t>
      </w:r>
    </w:p>
    <w:p w14:paraId="5FA62C8B" w14:textId="77777777" w:rsidR="00D210F0" w:rsidRPr="00092ED7" w:rsidRDefault="00D210F0" w:rsidP="00DB0B7B">
      <w:pPr>
        <w:spacing w:after="60"/>
        <w:rPr>
          <w:rFonts w:cs="Times New Roman"/>
          <w:lang w:val="sr-Cyrl-CS"/>
        </w:rPr>
      </w:pPr>
      <w:r w:rsidRPr="00092ED7">
        <w:rPr>
          <w:rFonts w:cs="Times New Roman"/>
          <w:b/>
          <w:lang w:val="sr-Cyrl-CS"/>
        </w:rPr>
        <w:t xml:space="preserve">С обзиром на постојећу неусклађеност вештина на тржишту рада, постоји </w:t>
      </w:r>
      <w:r w:rsidRPr="00092ED7">
        <w:rPr>
          <w:rFonts w:cs="Times New Roman"/>
          <w:b/>
          <w:bCs/>
          <w:lang w:val="sr-Cyrl-CS"/>
        </w:rPr>
        <w:t>потреба за значајним улагањима у образовање одраслих</w:t>
      </w:r>
      <w:r w:rsidRPr="00092ED7">
        <w:rPr>
          <w:rFonts w:cs="Times New Roman"/>
          <w:b/>
          <w:lang w:val="sr-Cyrl-CS"/>
        </w:rPr>
        <w:t>.</w:t>
      </w:r>
      <w:r w:rsidRPr="00092ED7">
        <w:rPr>
          <w:rFonts w:cs="Times New Roman"/>
          <w:lang w:val="sr-Cyrl-CS"/>
        </w:rPr>
        <w:t xml:space="preserve"> </w:t>
      </w:r>
      <w:r w:rsidRPr="00092ED7">
        <w:rPr>
          <w:rFonts w:cs="Times New Roman"/>
          <w:b/>
          <w:bCs/>
          <w:lang w:val="sr-Cyrl-CS"/>
        </w:rPr>
        <w:t>Стопа учешћа у образовању и обуци</w:t>
      </w:r>
      <w:r w:rsidRPr="00092ED7">
        <w:rPr>
          <w:rFonts w:cs="Times New Roman"/>
          <w:lang w:val="sr-Cyrl-CS"/>
        </w:rPr>
        <w:t xml:space="preserve"> становништва 25-64 године у Републици Србији износила је </w:t>
      </w:r>
      <w:r w:rsidRPr="00092ED7">
        <w:rPr>
          <w:rFonts w:cs="Times New Roman"/>
          <w:b/>
          <w:bCs/>
          <w:lang w:val="sr-Cyrl-CS"/>
        </w:rPr>
        <w:t>4,8% у 2021.</w:t>
      </w:r>
      <w:r w:rsidRPr="00092ED7">
        <w:rPr>
          <w:rFonts w:cs="Times New Roman"/>
          <w:vertAlign w:val="superscript"/>
          <w:lang w:val="sr-Cyrl-CS"/>
        </w:rPr>
        <w:footnoteReference w:id="24"/>
      </w:r>
      <w:r w:rsidRPr="00092ED7">
        <w:rPr>
          <w:rFonts w:cs="Times New Roman"/>
          <w:lang w:val="sr-Cyrl-CS"/>
        </w:rPr>
        <w:t xml:space="preserve"> што је значајно ниже (око 2,25 пута) од просечне стопе у ЕУ (ЕУ-27 10,8%). Осигурање квалитета у неформалном образовању постиже се кроз систем обучавања код </w:t>
      </w:r>
      <w:r w:rsidRPr="00092ED7">
        <w:rPr>
          <w:rFonts w:cs="Times New Roman"/>
          <w:b/>
          <w:lang w:val="sr-Cyrl-CS"/>
        </w:rPr>
        <w:t>јавно признатог организатора активности образовања одраслих</w:t>
      </w:r>
      <w:r w:rsidRPr="00092ED7">
        <w:rPr>
          <w:rFonts w:cs="Times New Roman"/>
          <w:lang w:val="sr-Cyrl-CS"/>
        </w:rPr>
        <w:t xml:space="preserve">. Овај статус има </w:t>
      </w:r>
      <w:r w:rsidRPr="00092ED7">
        <w:rPr>
          <w:rFonts w:cs="Times New Roman"/>
          <w:b/>
          <w:bCs/>
          <w:lang w:val="sr-Cyrl-CS"/>
        </w:rPr>
        <w:t>108 институција</w:t>
      </w:r>
      <w:r w:rsidRPr="00092ED7">
        <w:rPr>
          <w:rFonts w:cs="Times New Roman"/>
          <w:lang w:val="sr-Cyrl-CS"/>
        </w:rPr>
        <w:t xml:space="preserve"> (21 школа и 87 других организација) за реализацију </w:t>
      </w:r>
      <w:r w:rsidRPr="00092ED7">
        <w:rPr>
          <w:rFonts w:cs="Times New Roman"/>
          <w:b/>
          <w:bCs/>
          <w:lang w:val="sr-Cyrl-CS"/>
        </w:rPr>
        <w:t>433 акредитована програма неформалног образовања</w:t>
      </w:r>
      <w:r w:rsidRPr="00092ED7">
        <w:rPr>
          <w:rFonts w:cs="Times New Roman"/>
          <w:lang w:val="sr-Cyrl-CS"/>
        </w:rPr>
        <w:t xml:space="preserve"> на крају 2021. године.</w:t>
      </w:r>
    </w:p>
    <w:p w14:paraId="0507B73A" w14:textId="47ED5560" w:rsidR="00D210F0" w:rsidRPr="00092ED7" w:rsidRDefault="00D210F0" w:rsidP="00DB0B7B">
      <w:pPr>
        <w:spacing w:after="60"/>
        <w:rPr>
          <w:rFonts w:cs="Times New Roman"/>
          <w:lang w:val="sr-Cyrl-CS"/>
        </w:rPr>
      </w:pPr>
      <w:r w:rsidRPr="00092ED7">
        <w:rPr>
          <w:rFonts w:cs="Times New Roman"/>
          <w:b/>
          <w:lang w:val="sr-Cyrl-CS"/>
        </w:rPr>
        <w:t>Програм преквалификација за ИКТ сектор</w:t>
      </w:r>
      <w:r w:rsidRPr="00092ED7">
        <w:rPr>
          <w:rFonts w:cs="Times New Roman"/>
          <w:lang w:val="sr-Cyrl-CS"/>
        </w:rPr>
        <w:t>, који се се спроводи од 2017. године, до сада је похађало преко 2.200 полазника. На Позив за учешће у новом онлајн програму „Преквалификације за ИТ</w:t>
      </w:r>
      <w:r w:rsidR="00204FA6" w:rsidRPr="00092ED7">
        <w:rPr>
          <w:rFonts w:cs="Times New Roman"/>
          <w:szCs w:val="24"/>
          <w:lang w:val="sr-Cyrl-CS"/>
        </w:rPr>
        <w:t>”</w:t>
      </w:r>
      <w:r w:rsidRPr="00092ED7">
        <w:rPr>
          <w:rStyle w:val="FootnoteReference"/>
          <w:rFonts w:cs="Times New Roman"/>
          <w:lang w:val="sr-Cyrl-CS"/>
        </w:rPr>
        <w:footnoteReference w:id="25"/>
      </w:r>
      <w:r w:rsidRPr="00092ED7">
        <w:rPr>
          <w:rFonts w:cs="Times New Roman"/>
          <w:lang w:val="sr-Cyrl-CS"/>
        </w:rPr>
        <w:t xml:space="preserve">, који ће се спроводити током 2022. и 2023. године, стигло је близу 1.500 пријава. </w:t>
      </w:r>
      <w:r w:rsidRPr="00092ED7">
        <w:rPr>
          <w:rFonts w:cs="Times New Roman"/>
          <w:b/>
          <w:lang w:val="sr-Cyrl-CS"/>
        </w:rPr>
        <w:t>Иницијатива „Дигитална експедиција</w:t>
      </w:r>
      <w:r w:rsidR="00204FA6" w:rsidRPr="00092ED7">
        <w:rPr>
          <w:rFonts w:cs="Times New Roman"/>
          <w:b/>
          <w:szCs w:val="24"/>
          <w:lang w:val="sr-Cyrl-CS"/>
        </w:rPr>
        <w:t>”</w:t>
      </w:r>
      <w:r w:rsidRPr="00092ED7">
        <w:rPr>
          <w:rStyle w:val="FootnoteReference"/>
          <w:rFonts w:cs="Times New Roman"/>
          <w:b/>
          <w:lang w:val="sr-Cyrl-CS"/>
        </w:rPr>
        <w:footnoteReference w:id="26"/>
      </w:r>
      <w:r w:rsidRPr="00092ED7">
        <w:rPr>
          <w:rFonts w:cs="Times New Roman"/>
          <w:lang w:val="sr-Cyrl-CS"/>
        </w:rPr>
        <w:t xml:space="preserve">, која представља караван дигиталних вештина, писмености и безбедности, </w:t>
      </w:r>
      <w:r w:rsidRPr="00092ED7">
        <w:rPr>
          <w:rFonts w:cs="Times New Roman"/>
          <w:b/>
          <w:lang w:val="sr-Cyrl-CS"/>
        </w:rPr>
        <w:t>добитник је овогодишње награде „Европа у настајању</w:t>
      </w:r>
      <w:r w:rsidR="00E6287C" w:rsidRPr="00092ED7">
        <w:rPr>
          <w:rFonts w:cs="Times New Roman"/>
          <w:b/>
          <w:szCs w:val="24"/>
          <w:lang w:val="sr-Cyrl-CS"/>
        </w:rPr>
        <w:t>”</w:t>
      </w:r>
      <w:r w:rsidRPr="00092ED7">
        <w:rPr>
          <w:rFonts w:cs="Times New Roman"/>
          <w:lang w:val="sr-Cyrl-CS"/>
        </w:rPr>
        <w:t xml:space="preserve"> (</w:t>
      </w:r>
      <w:r w:rsidRPr="00092ED7">
        <w:rPr>
          <w:rFonts w:cs="Times New Roman"/>
          <w:i/>
          <w:lang w:val="sr-Cyrl-CS"/>
        </w:rPr>
        <w:t>Emerging Europe</w:t>
      </w:r>
      <w:r w:rsidRPr="00092ED7">
        <w:rPr>
          <w:rStyle w:val="FootnoteReference"/>
          <w:rFonts w:cs="Times New Roman"/>
          <w:i/>
          <w:lang w:val="sr-Cyrl-CS"/>
        </w:rPr>
        <w:footnoteReference w:id="27"/>
      </w:r>
      <w:r w:rsidRPr="00092ED7">
        <w:rPr>
          <w:rFonts w:cs="Times New Roman"/>
          <w:lang w:val="sr-Cyrl-CS"/>
        </w:rPr>
        <w:t>), као један од три пројекта у категорији „Образовање за будућност</w:t>
      </w:r>
      <w:r w:rsidR="00E36DC8" w:rsidRPr="00092ED7">
        <w:rPr>
          <w:rFonts w:cs="Times New Roman"/>
          <w:szCs w:val="24"/>
          <w:lang w:val="sr-Cyrl-CS"/>
        </w:rPr>
        <w:t>”</w:t>
      </w:r>
      <w:r w:rsidRPr="00092ED7">
        <w:rPr>
          <w:rFonts w:cs="Times New Roman"/>
          <w:lang w:val="sr-Cyrl-CS"/>
        </w:rPr>
        <w:t xml:space="preserve"> (</w:t>
      </w:r>
      <w:r w:rsidRPr="00092ED7">
        <w:rPr>
          <w:rFonts w:cs="Times New Roman"/>
          <w:i/>
          <w:lang w:val="sr-Cyrl-CS"/>
        </w:rPr>
        <w:t>Future-proof Education</w:t>
      </w:r>
      <w:r w:rsidRPr="00092ED7">
        <w:rPr>
          <w:rFonts w:cs="Times New Roman"/>
          <w:lang w:val="sr-Cyrl-CS"/>
        </w:rPr>
        <w:t>).</w:t>
      </w:r>
    </w:p>
    <w:p w14:paraId="140CE0AC" w14:textId="77777777" w:rsidR="00D210F0" w:rsidRPr="00092ED7" w:rsidRDefault="00D210F0" w:rsidP="00D210F0">
      <w:pPr>
        <w:spacing w:after="60"/>
        <w:rPr>
          <w:rFonts w:cs="Times New Roman"/>
          <w:lang w:val="sr-Cyrl-CS"/>
        </w:rPr>
      </w:pPr>
      <w:r w:rsidRPr="00092ED7">
        <w:rPr>
          <w:rFonts w:cs="Times New Roman"/>
          <w:szCs w:val="24"/>
          <w:lang w:val="sr-Cyrl-CS"/>
        </w:rPr>
        <w:t>Прву деценију 21-ог века (2000−2010) карактерише реформа образовања у Републици Србији по препорукама ЕУ (увођење Болоњске декларације у високом образовању 2005. године), раст животног стандарда, увођење безвизног Шенген режима 2009. године. Ефекти наведених фактора одразили су се на велике миграције квалитетне радне снаге у земље ЕУ тек у другој деценији 21-ог века (2010−2019). Добијене дипломе високог образовања биле су међународно признате, а безвизни режим је омогућио већу прекограничну мобилност радне снаге у земље ЕУ, без додатних институционалних радних дозвола.</w:t>
      </w:r>
    </w:p>
    <w:p w14:paraId="4D13ED97" w14:textId="1C163B42" w:rsidR="00D210F0" w:rsidRPr="00092ED7" w:rsidRDefault="00D210F0" w:rsidP="00D210F0">
      <w:pPr>
        <w:spacing w:after="60"/>
        <w:rPr>
          <w:rFonts w:cs="Times New Roman"/>
          <w:szCs w:val="24"/>
          <w:lang w:val="sr-Cyrl-CS"/>
        </w:rPr>
      </w:pPr>
      <w:r w:rsidRPr="00092ED7">
        <w:rPr>
          <w:rFonts w:cs="Times New Roman"/>
          <w:b/>
          <w:lang w:val="sr-Cyrl-CS"/>
        </w:rPr>
        <w:t>Економија и целокупно друштво суочавају се са негативним ефектима емиграције.</w:t>
      </w:r>
      <w:r w:rsidRPr="00092ED7">
        <w:rPr>
          <w:rFonts w:cs="Times New Roman"/>
          <w:lang w:val="sr-Cyrl-CS"/>
        </w:rPr>
        <w:t xml:space="preserve"> Због тога је неопходно спровођење </w:t>
      </w:r>
      <w:r w:rsidR="0035233B" w:rsidRPr="00092ED7">
        <w:rPr>
          <w:rFonts w:cs="Times New Roman"/>
          <w:szCs w:val="24"/>
          <w:lang w:val="sr-Cyrl-CS"/>
        </w:rPr>
        <w:t>Стратегије о економским миграцијама Републике Србије за период 2021–2027. године („Службени гласник РС”, број 21/20)</w:t>
      </w:r>
      <w:r w:rsidR="0035233B" w:rsidRPr="00092ED7">
        <w:rPr>
          <w:rFonts w:cs="Times New Roman"/>
          <w:sz w:val="16"/>
          <w:szCs w:val="16"/>
          <w:lang w:val="sr-Cyrl-CS"/>
        </w:rPr>
        <w:t xml:space="preserve"> </w:t>
      </w:r>
      <w:r w:rsidR="0035233B" w:rsidRPr="00092ED7">
        <w:rPr>
          <w:rFonts w:cs="Times New Roman"/>
          <w:szCs w:val="24"/>
          <w:lang w:val="sr-Cyrl-CS"/>
        </w:rPr>
        <w:t>и Акционог плана за период 2021–2023. године за спровођење Стратегије о економским миграцијама Републике Србије за период 2021–2027. годинe („Службени гласник РС”, број 89/21)</w:t>
      </w:r>
      <w:r w:rsidRPr="00092ED7">
        <w:rPr>
          <w:rFonts w:cs="Times New Roman"/>
          <w:szCs w:val="24"/>
          <w:lang w:val="sr-Cyrl-CS"/>
        </w:rPr>
        <w:t>,</w:t>
      </w:r>
      <w:r w:rsidRPr="00092ED7">
        <w:rPr>
          <w:rFonts w:cs="Times New Roman"/>
          <w:lang w:val="sr-Cyrl-CS"/>
        </w:rPr>
        <w:t xml:space="preserve"> јер је овим документима предвиђено стварање привредног и друштвеног амбијента за успоравање одласка радно способног становништва, јачање веза са дијаспором и подстицање њиховог повратка, као и привлачење странаца различитих образовних профила.</w:t>
      </w:r>
    </w:p>
    <w:p w14:paraId="108EA229" w14:textId="77777777" w:rsidR="00D210F0" w:rsidRPr="00092ED7" w:rsidRDefault="00D210F0" w:rsidP="00D210F0">
      <w:pPr>
        <w:spacing w:after="60"/>
        <w:rPr>
          <w:rFonts w:cs="Times New Roman"/>
          <w:lang w:val="sr-Cyrl-CS"/>
        </w:rPr>
      </w:pPr>
      <w:r w:rsidRPr="00092ED7">
        <w:rPr>
          <w:rFonts w:cs="Times New Roman"/>
          <w:b/>
          <w:lang w:val="sr-Cyrl-CS"/>
        </w:rPr>
        <w:t>Сиромаштво представља значајан проблем у Републици Србији.</w:t>
      </w:r>
      <w:r w:rsidRPr="00092ED7">
        <w:rPr>
          <w:rFonts w:cs="Times New Roman"/>
          <w:lang w:val="sr-Cyrl-CS"/>
        </w:rPr>
        <w:t xml:space="preserve"> </w:t>
      </w:r>
      <w:r w:rsidRPr="00092ED7">
        <w:rPr>
          <w:rFonts w:cs="Times New Roman"/>
          <w:b/>
          <w:lang w:val="sr-Cyrl-CS"/>
        </w:rPr>
        <w:t>Стопа ризика од сиромаштва</w:t>
      </w:r>
      <w:r w:rsidRPr="00092ED7">
        <w:rPr>
          <w:rStyle w:val="FootnoteReference"/>
          <w:rFonts w:cs="Times New Roman"/>
          <w:lang w:val="sr-Cyrl-CS"/>
        </w:rPr>
        <w:footnoteReference w:id="28"/>
      </w:r>
      <w:r w:rsidRPr="00092ED7">
        <w:rPr>
          <w:rFonts w:cs="Times New Roman"/>
          <w:lang w:val="sr-Cyrl-CS"/>
        </w:rPr>
        <w:t xml:space="preserve"> износила је </w:t>
      </w:r>
      <w:r w:rsidRPr="00092ED7">
        <w:rPr>
          <w:rFonts w:cs="Times New Roman"/>
          <w:b/>
          <w:lang w:val="sr-Cyrl-CS"/>
        </w:rPr>
        <w:t>21,2%</w:t>
      </w:r>
      <w:r w:rsidRPr="00092ED7">
        <w:rPr>
          <w:rFonts w:cs="Times New Roman"/>
          <w:lang w:val="sr-Cyrl-CS"/>
        </w:rPr>
        <w:t xml:space="preserve"> у </w:t>
      </w:r>
      <w:r w:rsidRPr="00092ED7">
        <w:rPr>
          <w:rFonts w:cs="Times New Roman"/>
          <w:b/>
          <w:lang w:val="sr-Cyrl-CS"/>
        </w:rPr>
        <w:t>2021</w:t>
      </w:r>
      <w:r w:rsidRPr="00092ED7">
        <w:rPr>
          <w:rFonts w:cs="Times New Roman"/>
          <w:lang w:val="sr-Cyrl-CS"/>
        </w:rPr>
        <w:t>.</w:t>
      </w:r>
      <w:r w:rsidRPr="00092ED7">
        <w:rPr>
          <w:rStyle w:val="FootnoteReference"/>
          <w:rFonts w:cs="Times New Roman"/>
          <w:lang w:val="sr-Cyrl-CS"/>
        </w:rPr>
        <w:footnoteReference w:id="29"/>
      </w:r>
      <w:r w:rsidRPr="00092ED7">
        <w:rPr>
          <w:rFonts w:cs="Times New Roman"/>
          <w:lang w:val="sr-Cyrl-CS"/>
        </w:rPr>
        <w:t xml:space="preserve"> години, што је значајно више од нивоа ЕУ-27 (16,8%, SILC, 2021</w:t>
      </w:r>
      <w:r w:rsidRPr="00092ED7">
        <w:rPr>
          <w:rStyle w:val="FootnoteReference"/>
          <w:rFonts w:cs="Times New Roman"/>
          <w:lang w:val="sr-Cyrl-CS"/>
        </w:rPr>
        <w:footnoteReference w:id="30"/>
      </w:r>
      <w:r w:rsidRPr="00092ED7">
        <w:rPr>
          <w:rFonts w:cs="Times New Roman"/>
          <w:lang w:val="sr-Cyrl-CS"/>
        </w:rPr>
        <w:t>). Пад стопе ризика од сиромаштва од 0,5 п.п. у односу на претходну годину приписује се, између осталог, подстицајним мерама током пандемије које су увођене у циљу заштите радних места и прихода, мада је у константном паду од 2015. године.</w:t>
      </w:r>
    </w:p>
    <w:p w14:paraId="4AEFAC60" w14:textId="77777777" w:rsidR="00D210F0" w:rsidRPr="00092ED7" w:rsidRDefault="00D210F0" w:rsidP="00D210F0">
      <w:pPr>
        <w:spacing w:after="60"/>
        <w:rPr>
          <w:rFonts w:cs="Times New Roman"/>
          <w:lang w:val="sr-Cyrl-CS"/>
        </w:rPr>
      </w:pPr>
      <w:r w:rsidRPr="00092ED7">
        <w:rPr>
          <w:rFonts w:cs="Times New Roman"/>
          <w:b/>
          <w:lang w:val="sr-Cyrl-CS"/>
        </w:rPr>
        <w:t>Ризик од сиромаштва варира у зависности од старосних група, радног статуса и типа домаћинства</w:t>
      </w:r>
      <w:r w:rsidRPr="00092ED7">
        <w:rPr>
          <w:rFonts w:cs="Times New Roman"/>
          <w:lang w:val="sr-Cyrl-CS"/>
        </w:rPr>
        <w:t xml:space="preserve">. Најугроженија су лица </w:t>
      </w:r>
      <w:r w:rsidRPr="00092ED7">
        <w:rPr>
          <w:rFonts w:cs="Times New Roman"/>
          <w:bCs/>
          <w:lang w:val="sr-Cyrl-CS"/>
        </w:rPr>
        <w:t>старости 18 до 24 године</w:t>
      </w:r>
      <w:r w:rsidRPr="00092ED7">
        <w:rPr>
          <w:rFonts w:cs="Times New Roman"/>
          <w:lang w:val="sr-Cyrl-CS"/>
        </w:rPr>
        <w:t xml:space="preserve"> – </w:t>
      </w:r>
      <w:r w:rsidRPr="00092ED7">
        <w:rPr>
          <w:rFonts w:cs="Times New Roman"/>
          <w:bCs/>
          <w:lang w:val="sr-Cyrl-CS"/>
        </w:rPr>
        <w:t>27,7%</w:t>
      </w:r>
      <w:r w:rsidRPr="00092ED7">
        <w:rPr>
          <w:rFonts w:cs="Times New Roman"/>
          <w:lang w:val="sr-Cyrl-CS"/>
        </w:rPr>
        <w:t xml:space="preserve">, а затим лица старија од 65 година – </w:t>
      </w:r>
      <w:r w:rsidRPr="00092ED7">
        <w:rPr>
          <w:rFonts w:cs="Times New Roman"/>
          <w:bCs/>
          <w:lang w:val="sr-Cyrl-CS"/>
        </w:rPr>
        <w:t>22,7%</w:t>
      </w:r>
      <w:r w:rsidRPr="00092ED7">
        <w:rPr>
          <w:rFonts w:cs="Times New Roman"/>
          <w:lang w:val="sr-Cyrl-CS"/>
        </w:rPr>
        <w:t xml:space="preserve">, док су </w:t>
      </w:r>
      <w:r w:rsidRPr="00092ED7">
        <w:rPr>
          <w:rFonts w:cs="Times New Roman"/>
          <w:bCs/>
          <w:lang w:val="sr-Cyrl-CS"/>
        </w:rPr>
        <w:t>најнижу стопу</w:t>
      </w:r>
      <w:r w:rsidRPr="00092ED7">
        <w:rPr>
          <w:rFonts w:cs="Times New Roman"/>
          <w:lang w:val="sr-Cyrl-CS"/>
        </w:rPr>
        <w:t xml:space="preserve"> ризика од сиромаштва имале особе старости од 25 до 54 година - 19</w:t>
      </w:r>
      <w:r w:rsidRPr="00092ED7">
        <w:rPr>
          <w:rFonts w:cs="Times New Roman"/>
          <w:bCs/>
          <w:lang w:val="sr-Cyrl-CS"/>
        </w:rPr>
        <w:t>,1%</w:t>
      </w:r>
      <w:r w:rsidRPr="00092ED7">
        <w:rPr>
          <w:rFonts w:cs="Times New Roman"/>
          <w:lang w:val="sr-Cyrl-CS"/>
        </w:rPr>
        <w:t xml:space="preserve">. У зависности од радног статуса, код лица </w:t>
      </w:r>
      <w:r w:rsidRPr="00092ED7">
        <w:rPr>
          <w:rFonts w:cs="Times New Roman"/>
          <w:bCs/>
          <w:lang w:val="sr-Cyrl-CS"/>
        </w:rPr>
        <w:t>старијих од 18</w:t>
      </w:r>
      <w:r w:rsidRPr="00092ED7">
        <w:rPr>
          <w:rFonts w:cs="Times New Roman"/>
          <w:lang w:val="sr-Cyrl-CS"/>
        </w:rPr>
        <w:t xml:space="preserve"> година, најизложенија ризику од сиромаштва су била незапослена лица – </w:t>
      </w:r>
      <w:r w:rsidRPr="00092ED7">
        <w:rPr>
          <w:rFonts w:cs="Times New Roman"/>
          <w:bCs/>
          <w:lang w:val="sr-Cyrl-CS"/>
        </w:rPr>
        <w:t>48,6%</w:t>
      </w:r>
      <w:r w:rsidRPr="00092ED7">
        <w:rPr>
          <w:rFonts w:cs="Times New Roman"/>
          <w:lang w:val="sr-Cyrl-CS"/>
        </w:rPr>
        <w:t xml:space="preserve">, док је </w:t>
      </w:r>
      <w:r w:rsidRPr="00092ED7">
        <w:rPr>
          <w:rFonts w:cs="Times New Roman"/>
          <w:bCs/>
          <w:lang w:val="sr-Cyrl-CS"/>
        </w:rPr>
        <w:t>најнижа</w:t>
      </w:r>
      <w:r w:rsidRPr="00092ED7">
        <w:rPr>
          <w:rFonts w:cs="Times New Roman"/>
          <w:lang w:val="sr-Cyrl-CS"/>
        </w:rPr>
        <w:t xml:space="preserve"> стопа ризика од сиромаштва код </w:t>
      </w:r>
      <w:r w:rsidRPr="00092ED7">
        <w:rPr>
          <w:rFonts w:cs="Times New Roman"/>
          <w:bCs/>
          <w:lang w:val="sr-Cyrl-CS"/>
        </w:rPr>
        <w:t>запослених</w:t>
      </w:r>
      <w:r w:rsidRPr="00092ED7">
        <w:rPr>
          <w:rFonts w:cs="Times New Roman"/>
          <w:lang w:val="sr-Cyrl-CS"/>
        </w:rPr>
        <w:t xml:space="preserve"> код послодавца – </w:t>
      </w:r>
      <w:r w:rsidRPr="00092ED7">
        <w:rPr>
          <w:rFonts w:cs="Times New Roman"/>
          <w:bCs/>
          <w:lang w:val="sr-Cyrl-CS"/>
        </w:rPr>
        <w:t>5,4%</w:t>
      </w:r>
      <w:r w:rsidRPr="00092ED7">
        <w:rPr>
          <w:rFonts w:cs="Times New Roman"/>
          <w:lang w:val="sr-Cyrl-CS"/>
        </w:rPr>
        <w:t xml:space="preserve">. Према типу домаћинства, највишу стопу ризика од сиромаштва имала су лица у једночланим женским домаћинствима – 39,4%, а затим лица у домаћинства са две одрасле особе са троје или више издржаване деце – </w:t>
      </w:r>
      <w:r w:rsidRPr="00092ED7">
        <w:rPr>
          <w:rFonts w:cs="Times New Roman"/>
          <w:bCs/>
          <w:lang w:val="sr-Cyrl-CS"/>
        </w:rPr>
        <w:t>38,8%</w:t>
      </w:r>
      <w:r w:rsidRPr="00092ED7">
        <w:rPr>
          <w:rFonts w:cs="Times New Roman"/>
          <w:lang w:val="sr-Cyrl-CS"/>
        </w:rPr>
        <w:t>.</w:t>
      </w:r>
    </w:p>
    <w:p w14:paraId="67B4C287" w14:textId="77777777" w:rsidR="00D210F0" w:rsidRPr="00092ED7" w:rsidRDefault="00D210F0" w:rsidP="00D210F0">
      <w:pPr>
        <w:spacing w:after="60"/>
        <w:rPr>
          <w:rFonts w:cs="Times New Roman"/>
          <w:lang w:val="sr-Cyrl-CS"/>
        </w:rPr>
      </w:pPr>
      <w:r w:rsidRPr="00092ED7">
        <w:rPr>
          <w:rFonts w:cs="Times New Roman"/>
          <w:lang w:val="sr-Cyrl-CS"/>
        </w:rPr>
        <w:t xml:space="preserve">Праг ризика од сиромаштва је износио </w:t>
      </w:r>
      <w:r w:rsidRPr="00092ED7">
        <w:rPr>
          <w:rFonts w:cs="Times New Roman"/>
          <w:bCs/>
          <w:lang w:val="sr-Cyrl-CS"/>
        </w:rPr>
        <w:t>24.064 динара (205 евра)</w:t>
      </w:r>
      <w:r w:rsidRPr="00092ED7">
        <w:rPr>
          <w:rFonts w:cs="Times New Roman"/>
          <w:lang w:val="sr-Cyrl-CS"/>
        </w:rPr>
        <w:t xml:space="preserve"> просечно месечно за </w:t>
      </w:r>
      <w:r w:rsidRPr="00092ED7">
        <w:rPr>
          <w:rFonts w:cs="Times New Roman"/>
          <w:bCs/>
          <w:lang w:val="sr-Cyrl-CS"/>
        </w:rPr>
        <w:t>једночлано домаћинство</w:t>
      </w:r>
      <w:r w:rsidRPr="00092ED7">
        <w:rPr>
          <w:rFonts w:cs="Times New Roman"/>
          <w:lang w:val="sr-Cyrl-CS"/>
        </w:rPr>
        <w:t xml:space="preserve">. </w:t>
      </w:r>
      <w:r w:rsidRPr="00092ED7">
        <w:rPr>
          <w:rFonts w:cs="Times New Roman"/>
          <w:b/>
          <w:lang w:val="sr-Cyrl-CS"/>
        </w:rPr>
        <w:t>Неједнакост расподеле дохотка</w:t>
      </w:r>
      <w:r w:rsidRPr="00092ED7">
        <w:rPr>
          <w:rFonts w:cs="Times New Roman"/>
          <w:lang w:val="sr-Cyrl-CS"/>
        </w:rPr>
        <w:t xml:space="preserve"> је висока, јер је показатељ квинтилног односа (С80/С20) износио 5,9</w:t>
      </w:r>
      <w:r w:rsidRPr="00092ED7">
        <w:rPr>
          <w:rStyle w:val="FootnoteReference"/>
          <w:rFonts w:cs="Times New Roman"/>
          <w:lang w:val="sr-Cyrl-CS"/>
        </w:rPr>
        <w:footnoteReference w:id="31"/>
      </w:r>
      <w:r w:rsidRPr="00092ED7">
        <w:rPr>
          <w:rFonts w:cs="Times New Roman"/>
          <w:lang w:val="sr-Cyrl-CS"/>
        </w:rPr>
        <w:t xml:space="preserve"> у 2021. То значи да је најбогатијих 20% становништва имало 5,9 пута већи доходак у односу на 20% најсиромашнијих. </w:t>
      </w:r>
      <w:r w:rsidR="003E4E2A" w:rsidRPr="00092ED7">
        <w:rPr>
          <w:rFonts w:cs="Times New Roman"/>
          <w:b/>
          <w:lang w:val="sr-Cyrl-CS"/>
        </w:rPr>
        <w:t>Џ</w:t>
      </w:r>
      <w:r w:rsidRPr="00092ED7">
        <w:rPr>
          <w:rFonts w:cs="Times New Roman"/>
          <w:b/>
          <w:lang w:val="sr-Cyrl-CS"/>
        </w:rPr>
        <w:t>ини коефицијент</w:t>
      </w:r>
      <w:r w:rsidRPr="00092ED7">
        <w:rPr>
          <w:rFonts w:cs="Times New Roman"/>
          <w:lang w:val="sr-Cyrl-CS"/>
        </w:rPr>
        <w:t xml:space="preserve"> у Републици Србији је 2021. године износио </w:t>
      </w:r>
      <w:r w:rsidRPr="00092ED7">
        <w:rPr>
          <w:rFonts w:cs="Times New Roman"/>
          <w:bCs/>
          <w:lang w:val="sr-Cyrl-CS"/>
        </w:rPr>
        <w:t>33,3</w:t>
      </w:r>
      <w:r w:rsidRPr="00092ED7">
        <w:rPr>
          <w:rFonts w:cs="Times New Roman"/>
          <w:lang w:val="sr-Cyrl-CS"/>
        </w:rPr>
        <w:t xml:space="preserve">, што је незнатно изнад вредности просека </w:t>
      </w:r>
      <w:r w:rsidRPr="00092ED7">
        <w:rPr>
          <w:rFonts w:cs="Times New Roman"/>
          <w:bCs/>
          <w:lang w:val="sr-Cyrl-CS"/>
        </w:rPr>
        <w:t>ЕУ-27</w:t>
      </w:r>
      <w:r w:rsidRPr="00092ED7">
        <w:rPr>
          <w:rFonts w:cs="Times New Roman"/>
          <w:lang w:val="sr-Cyrl-CS"/>
        </w:rPr>
        <w:t xml:space="preserve"> (</w:t>
      </w:r>
      <w:r w:rsidRPr="00092ED7">
        <w:rPr>
          <w:rFonts w:cs="Times New Roman"/>
          <w:bCs/>
          <w:lang w:val="sr-Cyrl-CS"/>
        </w:rPr>
        <w:t>30,1</w:t>
      </w:r>
      <w:r w:rsidRPr="00092ED7">
        <w:rPr>
          <w:rFonts w:cs="Times New Roman"/>
          <w:lang w:val="sr-Cyrl-CS"/>
        </w:rPr>
        <w:t>)</w:t>
      </w:r>
      <w:r w:rsidRPr="00092ED7">
        <w:rPr>
          <w:rStyle w:val="FootnoteReference"/>
          <w:rFonts w:cs="Times New Roman"/>
          <w:lang w:val="sr-Cyrl-CS"/>
        </w:rPr>
        <w:footnoteReference w:id="32"/>
      </w:r>
      <w:r w:rsidRPr="00092ED7">
        <w:rPr>
          <w:rFonts w:cs="Times New Roman"/>
          <w:lang w:val="sr-Cyrl-CS"/>
        </w:rPr>
        <w:t>.</w:t>
      </w:r>
    </w:p>
    <w:p w14:paraId="15BFEB52" w14:textId="77777777" w:rsidR="00DB0B7B" w:rsidRDefault="00DB0B7B" w:rsidP="00D210F0">
      <w:pPr>
        <w:spacing w:after="60"/>
        <w:rPr>
          <w:rFonts w:cs="Times New Roman"/>
          <w:b/>
          <w:lang w:val="sr-Cyrl-CS"/>
        </w:rPr>
      </w:pPr>
    </w:p>
    <w:p w14:paraId="1C97A537" w14:textId="0F5046FC" w:rsidR="00D210F0" w:rsidRPr="00092ED7" w:rsidRDefault="00D210F0" w:rsidP="00D210F0">
      <w:pPr>
        <w:spacing w:after="60"/>
        <w:rPr>
          <w:rFonts w:cs="Times New Roman"/>
          <w:lang w:val="sr-Cyrl-CS"/>
        </w:rPr>
      </w:pPr>
      <w:r w:rsidRPr="00092ED7">
        <w:rPr>
          <w:rFonts w:cs="Times New Roman"/>
          <w:b/>
          <w:lang w:val="sr-Cyrl-CS"/>
        </w:rPr>
        <w:t>Учешће јавних расхода за социјалну помоћ и трансфере из буџета у БДП-у</w:t>
      </w:r>
      <w:r w:rsidRPr="00092ED7">
        <w:rPr>
          <w:rFonts w:cs="Times New Roman"/>
          <w:lang w:val="sr-Cyrl-CS"/>
        </w:rPr>
        <w:t xml:space="preserve"> Републике Србије последњих година се постепено смањује, тако да износи 13,6%</w:t>
      </w:r>
      <w:r w:rsidRPr="00092ED7">
        <w:rPr>
          <w:rStyle w:val="FootnoteReference"/>
          <w:rFonts w:cs="Times New Roman"/>
          <w:lang w:val="sr-Cyrl-CS"/>
        </w:rPr>
        <w:footnoteReference w:id="33"/>
      </w:r>
      <w:r w:rsidRPr="00092ED7">
        <w:rPr>
          <w:rFonts w:cs="Times New Roman"/>
          <w:lang w:val="sr-Cyrl-CS"/>
        </w:rPr>
        <w:t xml:space="preserve"> БДП-а у 2021. години. У структури расхода доминирају пензије са 71,6% укупних расхода за социјалну помоћ и трансфере или 9,7% БДП-а. </w:t>
      </w:r>
      <w:r w:rsidRPr="00092ED7">
        <w:rPr>
          <w:rFonts w:cs="Times New Roman"/>
          <w:b/>
          <w:lang w:val="sr-Cyrl-CS"/>
        </w:rPr>
        <w:t>Расходи за социјалну помоћ</w:t>
      </w:r>
      <w:r w:rsidRPr="00092ED7">
        <w:rPr>
          <w:rFonts w:cs="Times New Roman"/>
          <w:lang w:val="sr-Cyrl-CS"/>
        </w:rPr>
        <w:t xml:space="preserve"> износе </w:t>
      </w:r>
      <w:r w:rsidRPr="00092ED7">
        <w:rPr>
          <w:rFonts w:cs="Times New Roman"/>
          <w:b/>
          <w:lang w:val="sr-Cyrl-CS"/>
        </w:rPr>
        <w:t>2,7% БДП-а</w:t>
      </w:r>
      <w:r w:rsidRPr="00092ED7">
        <w:rPr>
          <w:rStyle w:val="FootnoteReference"/>
          <w:rFonts w:cs="Times New Roman"/>
          <w:lang w:val="sr-Cyrl-CS"/>
        </w:rPr>
        <w:footnoteReference w:id="34"/>
      </w:r>
      <w:r w:rsidRPr="00092ED7">
        <w:rPr>
          <w:rFonts w:cs="Times New Roman"/>
          <w:lang w:val="sr-Cyrl-CS"/>
        </w:rPr>
        <w:t xml:space="preserve"> у 2021. години, што је недовољно да би се систематичније усмерили на оне кориснике којима је помоћ најпотребнија</w:t>
      </w:r>
      <w:r w:rsidR="006256AB" w:rsidRPr="00092ED7">
        <w:rPr>
          <w:rFonts w:cs="Times New Roman"/>
          <w:lang w:val="sr-Cyrl-CS"/>
        </w:rPr>
        <w:t>.</w:t>
      </w:r>
      <w:r w:rsidRPr="00092ED7">
        <w:rPr>
          <w:rFonts w:cs="Times New Roman"/>
          <w:lang w:val="sr-Cyrl-CS"/>
        </w:rPr>
        <w:t xml:space="preserve"> Просечна минимална потрошачка корпа за трочлано домаћинство у Републици Србији износила је 39.623,18 динара</w:t>
      </w:r>
      <w:r w:rsidRPr="00092ED7">
        <w:rPr>
          <w:rStyle w:val="FootnoteReference"/>
          <w:rFonts w:cs="Times New Roman"/>
          <w:lang w:val="sr-Cyrl-CS"/>
        </w:rPr>
        <w:footnoteReference w:id="35"/>
      </w:r>
      <w:r w:rsidRPr="00092ED7">
        <w:rPr>
          <w:rFonts w:cs="Times New Roman"/>
          <w:lang w:val="sr-Cyrl-CS"/>
        </w:rPr>
        <w:t xml:space="preserve"> (337 евра) у 2021. години, док је праг ризика од сиромаштва за трочлано домаћинство (двоје одраслих и једно дете старости до 14 година) износио 43.315 динара</w:t>
      </w:r>
      <w:r w:rsidRPr="00092ED7">
        <w:rPr>
          <w:rStyle w:val="FootnoteReference"/>
          <w:rFonts w:cs="Times New Roman"/>
          <w:lang w:val="sr-Cyrl-CS"/>
        </w:rPr>
        <w:footnoteReference w:id="36"/>
      </w:r>
      <w:r w:rsidRPr="00092ED7">
        <w:rPr>
          <w:rFonts w:cs="Times New Roman"/>
          <w:lang w:val="sr-Cyrl-CS"/>
        </w:rPr>
        <w:t xml:space="preserve"> (368 евра). У исто време, </w:t>
      </w:r>
      <w:r w:rsidRPr="00092ED7">
        <w:rPr>
          <w:rFonts w:cs="Times New Roman"/>
          <w:b/>
          <w:lang w:val="sr-Cyrl-CS"/>
        </w:rPr>
        <w:t xml:space="preserve">износ новчане социјалне помоћи </w:t>
      </w:r>
      <w:r w:rsidRPr="00092ED7">
        <w:rPr>
          <w:rFonts w:cs="Times New Roman"/>
          <w:lang w:val="sr-Cyrl-CS"/>
        </w:rPr>
        <w:t xml:space="preserve">коју остварује трочлана породица (носилац права, додатак за одрасло лице и додатак за дете) износи 17.244 динара (147 евра), што је мање од половине како просечне минималне потрошачке корпе тако и прага ризика од сиромаштва. </w:t>
      </w:r>
    </w:p>
    <w:p w14:paraId="00A9DF3D" w14:textId="32E95C70" w:rsidR="00D210F0" w:rsidRPr="00092ED7" w:rsidRDefault="00D210F0" w:rsidP="00D210F0">
      <w:pPr>
        <w:spacing w:after="60"/>
        <w:rPr>
          <w:rFonts w:cs="Times New Roman"/>
          <w:lang w:val="sr-Cyrl-CS"/>
        </w:rPr>
      </w:pPr>
      <w:r w:rsidRPr="00092ED7">
        <w:rPr>
          <w:rFonts w:cs="Times New Roman"/>
          <w:b/>
          <w:lang w:val="sr-Cyrl-CS"/>
        </w:rPr>
        <w:t>Побољшање адекватности социјалних давања</w:t>
      </w:r>
      <w:r w:rsidRPr="00092ED7">
        <w:rPr>
          <w:rFonts w:cs="Times New Roman"/>
          <w:lang w:val="sr-Cyrl-CS"/>
        </w:rPr>
        <w:t xml:space="preserve"> за становништво испод прага сиромаштва и прерасподела средстава између постојећих програма представља изазов већ дуги низ година. Значајан инструмент у поступању центара за социјални рад представља примена </w:t>
      </w:r>
      <w:r w:rsidRPr="00092ED7">
        <w:rPr>
          <w:rFonts w:cs="Times New Roman"/>
          <w:iCs/>
          <w:lang w:val="sr-Cyrl-CS"/>
        </w:rPr>
        <w:t>Закона о социјалној карти</w:t>
      </w:r>
      <w:r w:rsidR="009023C8" w:rsidRPr="00092ED7">
        <w:rPr>
          <w:rFonts w:cs="Times New Roman"/>
          <w:szCs w:val="24"/>
          <w:lang w:val="sr-Cyrl-CS"/>
        </w:rPr>
        <w:t xml:space="preserve"> </w:t>
      </w:r>
      <w:r w:rsidRPr="00092ED7">
        <w:rPr>
          <w:rFonts w:cs="Times New Roman"/>
          <w:szCs w:val="24"/>
          <w:lang w:val="sr-Cyrl-CS"/>
        </w:rPr>
        <w:t>која</w:t>
      </w:r>
      <w:r w:rsidRPr="00092ED7">
        <w:rPr>
          <w:rFonts w:cs="Times New Roman"/>
          <w:lang w:val="sr-Cyrl-CS"/>
        </w:rPr>
        <w:t xml:space="preserve"> је почела априла 2022. године, од када је регистар Социјална карта почео са радом. Регистар обједињује базе свих неопходних државних органа, чиме омогућава бољу контролу социјалних давања и праведнију расподелу новца за социјално најугроженије категорије.</w:t>
      </w:r>
    </w:p>
    <w:p w14:paraId="0FE5D9BD" w14:textId="49615A92" w:rsidR="00D210F0" w:rsidRPr="00092ED7" w:rsidRDefault="00D210F0" w:rsidP="00D210F0">
      <w:pPr>
        <w:spacing w:after="60"/>
        <w:rPr>
          <w:rFonts w:cs="Times New Roman"/>
          <w:lang w:val="sr-Cyrl-CS"/>
        </w:rPr>
      </w:pPr>
      <w:r w:rsidRPr="00092ED7">
        <w:rPr>
          <w:rFonts w:cs="Times New Roman"/>
          <w:lang w:val="sr-Cyrl-CS"/>
        </w:rPr>
        <w:t xml:space="preserve">У току је </w:t>
      </w:r>
      <w:r w:rsidRPr="00092ED7">
        <w:rPr>
          <w:rFonts w:cs="Times New Roman"/>
          <w:b/>
          <w:lang w:val="sr-Cyrl-CS"/>
        </w:rPr>
        <w:t>израда</w:t>
      </w:r>
      <w:r w:rsidRPr="00092ED7">
        <w:rPr>
          <w:rFonts w:cs="Times New Roman"/>
          <w:lang w:val="sr-Cyrl-CS"/>
        </w:rPr>
        <w:t xml:space="preserve"> </w:t>
      </w:r>
      <w:r w:rsidRPr="00092ED7">
        <w:rPr>
          <w:rFonts w:cs="Times New Roman"/>
          <w:b/>
          <w:i/>
          <w:lang w:val="sr-Cyrl-CS"/>
        </w:rPr>
        <w:t>Нацрта закона о изменама и допунама Закона о социјалној заштити</w:t>
      </w:r>
      <w:r w:rsidRPr="00092ED7">
        <w:rPr>
          <w:rFonts w:cs="Times New Roman"/>
          <w:lang w:val="sr-Cyrl-CS"/>
        </w:rPr>
        <w:t xml:space="preserve"> којим се планира </w:t>
      </w:r>
      <w:r w:rsidRPr="00092ED7">
        <w:rPr>
          <w:rFonts w:cs="Times New Roman"/>
          <w:b/>
          <w:lang w:val="sr-Cyrl-CS"/>
        </w:rPr>
        <w:t>реформа социјалне политике</w:t>
      </w:r>
      <w:r w:rsidRPr="00092ED7">
        <w:rPr>
          <w:rFonts w:cs="Times New Roman"/>
          <w:lang w:val="sr-Cyrl-CS"/>
        </w:rPr>
        <w:t xml:space="preserve">. Редефинисаће се одређена права, врсте услуга, установе и пружаоци услуга, корисничке групе, механизми за контролу квалитета, надлежности у оснивању и финансирању, као и новчана социјална помоћ и додатак за помоћ и негу другог лица, </w:t>
      </w:r>
      <w:r w:rsidRPr="00092ED7">
        <w:rPr>
          <w:rFonts w:cs="Times New Roman"/>
          <w:b/>
          <w:lang w:val="sr-Cyrl-CS"/>
        </w:rPr>
        <w:t>у складу са могућностима</w:t>
      </w:r>
      <w:r w:rsidRPr="00092ED7">
        <w:rPr>
          <w:rFonts w:cs="Times New Roman"/>
          <w:lang w:val="sr-Cyrl-CS"/>
        </w:rPr>
        <w:t xml:space="preserve">. Обухваћено је и редефинисање контролно-регулаторних механизама (инспекција и надзора). </w:t>
      </w:r>
    </w:p>
    <w:p w14:paraId="7FDEF270" w14:textId="77777777" w:rsidR="008143FA" w:rsidRPr="00092ED7" w:rsidRDefault="008143FA" w:rsidP="00D210F0">
      <w:pPr>
        <w:spacing w:after="60"/>
        <w:rPr>
          <w:rFonts w:cs="Times New Roman"/>
          <w:lang w:val="sr-Cyrl-CS"/>
        </w:rPr>
      </w:pPr>
      <w:r w:rsidRPr="00092ED7">
        <w:rPr>
          <w:rFonts w:cs="Times New Roman"/>
          <w:lang w:val="sr-Cyrl-CS"/>
        </w:rPr>
        <w:t xml:space="preserve">Планирана реформа социјалне политике у Републици Србији обухватиће и </w:t>
      </w:r>
      <w:r w:rsidRPr="00092ED7">
        <w:rPr>
          <w:rFonts w:cs="Times New Roman"/>
          <w:b/>
          <w:lang w:val="sr-Cyrl-CS"/>
        </w:rPr>
        <w:t>стављање ван снаге</w:t>
      </w:r>
      <w:r w:rsidRPr="00092ED7">
        <w:rPr>
          <w:rFonts w:cs="Times New Roman"/>
          <w:lang w:val="sr-Cyrl-CS"/>
        </w:rPr>
        <w:t xml:space="preserve"> </w:t>
      </w:r>
      <w:r w:rsidRPr="00092ED7">
        <w:rPr>
          <w:rFonts w:cs="Times New Roman"/>
          <w:b/>
          <w:i/>
          <w:lang w:val="sr-Cyrl-CS"/>
        </w:rPr>
        <w:t>Закона о утврђивању катастарског прихода</w:t>
      </w:r>
      <w:r w:rsidRPr="00092ED7">
        <w:rPr>
          <w:rFonts w:cs="Times New Roman"/>
          <w:lang w:val="sr-Cyrl-CS"/>
        </w:rPr>
        <w:t xml:space="preserve"> (</w:t>
      </w:r>
      <w:r w:rsidRPr="00092ED7">
        <w:rPr>
          <w:rFonts w:cs="Times New Roman"/>
          <w:szCs w:val="24"/>
          <w:lang w:val="sr-Cyrl-CS"/>
        </w:rPr>
        <w:t>„</w:t>
      </w:r>
      <w:r w:rsidRPr="00092ED7">
        <w:rPr>
          <w:rFonts w:cs="Times New Roman"/>
          <w:lang w:val="sr-Cyrl-CS"/>
        </w:rPr>
        <w:t>Службени гласник РС</w:t>
      </w:r>
      <w:r w:rsidRPr="00092ED7">
        <w:rPr>
          <w:rFonts w:cs="Times New Roman"/>
          <w:szCs w:val="24"/>
          <w:lang w:val="sr-Cyrl-CS"/>
        </w:rPr>
        <w:t>”, број 49/92), што ће допринети административном растерећењу у области социјалне заштите, као и реалној процени потреба и планирању новчане социјалне помоћи за више категорија корисника.</w:t>
      </w:r>
    </w:p>
    <w:p w14:paraId="2707A2AB" w14:textId="3E4D5C11" w:rsidR="00D210F0" w:rsidRPr="00092ED7" w:rsidRDefault="00D210F0" w:rsidP="00D210F0">
      <w:pPr>
        <w:spacing w:after="60"/>
        <w:rPr>
          <w:rFonts w:cs="Times New Roman"/>
          <w:lang w:val="sr-Cyrl-CS"/>
        </w:rPr>
      </w:pPr>
      <w:r w:rsidRPr="00092ED7">
        <w:rPr>
          <w:rFonts w:cs="Times New Roman"/>
          <w:b/>
          <w:lang w:val="sr-Cyrl-CS"/>
        </w:rPr>
        <w:t>Неопходно је донети стратешки оквир за развој политика социјалне заштите.</w:t>
      </w:r>
      <w:r w:rsidRPr="00092ED7">
        <w:rPr>
          <w:rFonts w:cs="Times New Roman"/>
          <w:lang w:val="sr-Cyrl-CS"/>
        </w:rPr>
        <w:t xml:space="preserve"> У том контексту, након </w:t>
      </w:r>
      <w:r w:rsidRPr="00092ED7">
        <w:rPr>
          <w:rFonts w:cs="Times New Roman"/>
          <w:i/>
          <w:lang w:val="sr-Cyrl-CS"/>
        </w:rPr>
        <w:t>ex-post</w:t>
      </w:r>
      <w:r w:rsidRPr="00092ED7">
        <w:rPr>
          <w:rFonts w:cs="Times New Roman"/>
          <w:lang w:val="sr-Cyrl-CS"/>
        </w:rPr>
        <w:t xml:space="preserve"> анализе </w:t>
      </w:r>
      <w:r w:rsidRPr="00092ED7">
        <w:rPr>
          <w:rFonts w:cs="Times New Roman"/>
          <w:i/>
          <w:lang w:val="sr-Cyrl-CS"/>
        </w:rPr>
        <w:t xml:space="preserve">Стратегије развоја социјалне заштите </w:t>
      </w:r>
      <w:r w:rsidRPr="00092ED7">
        <w:rPr>
          <w:rFonts w:cs="Times New Roman"/>
          <w:lang w:val="sr-Cyrl-CS"/>
        </w:rPr>
        <w:t>(„Сл</w:t>
      </w:r>
      <w:r w:rsidR="00461EE0" w:rsidRPr="00092ED7">
        <w:rPr>
          <w:rFonts w:cs="Times New Roman"/>
          <w:lang w:val="sr-Cyrl-CS"/>
        </w:rPr>
        <w:t>ужбени</w:t>
      </w:r>
      <w:r w:rsidR="00576076" w:rsidRPr="00092ED7">
        <w:rPr>
          <w:rFonts w:cs="Times New Roman"/>
          <w:lang w:val="sr-Cyrl-CS"/>
        </w:rPr>
        <w:t xml:space="preserve"> гласник РС</w:t>
      </w:r>
      <w:r w:rsidR="00461EE0" w:rsidRPr="00092ED7">
        <w:rPr>
          <w:rFonts w:cs="Times New Roman"/>
          <w:szCs w:val="24"/>
          <w:lang w:val="sr-Cyrl-CS"/>
        </w:rPr>
        <w:t>”</w:t>
      </w:r>
      <w:r w:rsidR="00576076" w:rsidRPr="00092ED7">
        <w:rPr>
          <w:rFonts w:cs="Times New Roman"/>
          <w:lang w:val="sr-Cyrl-CS"/>
        </w:rPr>
        <w:t>, бр</w:t>
      </w:r>
      <w:r w:rsidR="00461EE0" w:rsidRPr="00092ED7">
        <w:rPr>
          <w:rFonts w:cs="Times New Roman"/>
          <w:lang w:val="sr-Cyrl-CS"/>
        </w:rPr>
        <w:t>ој</w:t>
      </w:r>
      <w:r w:rsidRPr="00092ED7">
        <w:rPr>
          <w:rFonts w:cs="Times New Roman"/>
          <w:lang w:val="sr-Cyrl-CS"/>
        </w:rPr>
        <w:t xml:space="preserve"> 108/05)</w:t>
      </w:r>
      <w:r w:rsidRPr="00092ED7">
        <w:rPr>
          <w:rFonts w:cs="Times New Roman"/>
          <w:i/>
          <w:lang w:val="sr-Cyrl-CS"/>
        </w:rPr>
        <w:t>,</w:t>
      </w:r>
      <w:r w:rsidRPr="00092ED7">
        <w:rPr>
          <w:rFonts w:cs="Times New Roman"/>
          <w:lang w:val="sr-Cyrl-CS"/>
        </w:rPr>
        <w:t xml:space="preserve"> урађена је и </w:t>
      </w:r>
      <w:r w:rsidRPr="00092ED7">
        <w:rPr>
          <w:rFonts w:cs="Times New Roman"/>
          <w:i/>
          <w:lang w:val="sr-Cyrl-CS"/>
        </w:rPr>
        <w:t>ex-ante</w:t>
      </w:r>
      <w:r w:rsidRPr="00092ED7">
        <w:rPr>
          <w:rFonts w:cs="Times New Roman"/>
          <w:lang w:val="sr-Cyrl-CS"/>
        </w:rPr>
        <w:t xml:space="preserve"> анализа ефеката нове стратегије. У наредном периоду приступиће се образовању радне групе за израду нацрта нове Стратегије социјалне заштите која ће одредити даље правце развоја у овој области.</w:t>
      </w:r>
    </w:p>
    <w:p w14:paraId="6AF8529C" w14:textId="3D8BFD12" w:rsidR="00D210F0" w:rsidRPr="00092ED7" w:rsidRDefault="00D210F0" w:rsidP="00D210F0">
      <w:pPr>
        <w:spacing w:after="60"/>
        <w:rPr>
          <w:rFonts w:cs="Times New Roman"/>
          <w:lang w:val="sr-Cyrl-CS"/>
        </w:rPr>
      </w:pPr>
      <w:r w:rsidRPr="00092ED7">
        <w:rPr>
          <w:rFonts w:cs="Times New Roman"/>
          <w:lang w:val="sr-Cyrl-CS"/>
        </w:rPr>
        <w:t xml:space="preserve">Једно од стратешких опредељења Републике Србије је и </w:t>
      </w:r>
      <w:r w:rsidRPr="00092ED7">
        <w:rPr>
          <w:rFonts w:cs="Times New Roman"/>
          <w:b/>
          <w:lang w:val="sr-Cyrl-CS"/>
        </w:rPr>
        <w:t>деинституционализација</w:t>
      </w:r>
      <w:r w:rsidRPr="00092ED7">
        <w:rPr>
          <w:rFonts w:cs="Times New Roman"/>
          <w:lang w:val="sr-Cyrl-CS"/>
        </w:rPr>
        <w:t xml:space="preserve">, односно смањење броја лица смештених у установе за смештај корисника и њихова интеграција у друштво. Неопходан корак ка том циљу је било усвајање </w:t>
      </w:r>
      <w:r w:rsidRPr="00092ED7">
        <w:rPr>
          <w:rFonts w:cs="Times New Roman"/>
          <w:b/>
          <w:i/>
          <w:lang w:val="sr-Cyrl-CS"/>
        </w:rPr>
        <w:t>Стратегије деинституционализације и развоја услуга социјалне заштите у заједници за период 2022–2026. године</w:t>
      </w:r>
      <w:r w:rsidRPr="00092ED7">
        <w:rPr>
          <w:rFonts w:cs="Times New Roman"/>
          <w:lang w:val="sr-Cyrl-CS"/>
        </w:rPr>
        <w:t xml:space="preserve"> („Сл</w:t>
      </w:r>
      <w:r w:rsidR="00461EE0" w:rsidRPr="00092ED7">
        <w:rPr>
          <w:rFonts w:cs="Times New Roman"/>
          <w:lang w:val="sr-Cyrl-CS"/>
        </w:rPr>
        <w:t>ужбени</w:t>
      </w:r>
      <w:r w:rsidRPr="00092ED7">
        <w:rPr>
          <w:rFonts w:cs="Times New Roman"/>
          <w:lang w:val="sr-Cyrl-CS"/>
        </w:rPr>
        <w:t xml:space="preserve"> гласник РС</w:t>
      </w:r>
      <w:r w:rsidR="00461EE0" w:rsidRPr="00092ED7">
        <w:rPr>
          <w:rFonts w:cs="Times New Roman"/>
          <w:szCs w:val="24"/>
          <w:lang w:val="sr-Cyrl-CS"/>
        </w:rPr>
        <w:t>”</w:t>
      </w:r>
      <w:r w:rsidRPr="00092ED7">
        <w:rPr>
          <w:rFonts w:cs="Times New Roman"/>
          <w:lang w:val="sr-Cyrl-CS"/>
        </w:rPr>
        <w:t>, бр</w:t>
      </w:r>
      <w:r w:rsidR="00461EE0" w:rsidRPr="00092ED7">
        <w:rPr>
          <w:rFonts w:cs="Times New Roman"/>
          <w:lang w:val="sr-Cyrl-CS"/>
        </w:rPr>
        <w:t>ој</w:t>
      </w:r>
      <w:r w:rsidRPr="00092ED7">
        <w:rPr>
          <w:rFonts w:cs="Times New Roman"/>
          <w:lang w:val="sr-Cyrl-CS"/>
        </w:rPr>
        <w:t xml:space="preserve"> 12/22), којом је обухваћен сет посебних циљева и активности које ће кроз развој услуга у заједници, обезбеђивање стабилних извора финансирања и услова за интеграцију, превенирати смештај корисника у институције односно омогућити њихов повратак у локалне заједнице. Примарно је усмерена ка особама са интелектуалним и менталним тешкоћама које су у највећем ризику од институционализације и социјалног искључивања. У току је израда </w:t>
      </w:r>
      <w:r w:rsidRPr="00092ED7">
        <w:rPr>
          <w:rFonts w:cs="Times New Roman"/>
          <w:i/>
          <w:lang w:val="sr-Cyrl-CS"/>
        </w:rPr>
        <w:t>Акционог плана за 2023. годину</w:t>
      </w:r>
      <w:r w:rsidRPr="00092ED7">
        <w:rPr>
          <w:rFonts w:cs="Times New Roman"/>
          <w:lang w:val="sr-Cyrl-CS"/>
        </w:rPr>
        <w:t xml:space="preserve"> за спровођење ове </w:t>
      </w:r>
      <w:r w:rsidR="009E0CFF" w:rsidRPr="00092ED7">
        <w:rPr>
          <w:rFonts w:cs="Times New Roman"/>
          <w:lang w:val="sr-Cyrl-CS"/>
        </w:rPr>
        <w:t>с</w:t>
      </w:r>
      <w:r w:rsidRPr="00092ED7">
        <w:rPr>
          <w:rFonts w:cs="Times New Roman"/>
          <w:lang w:val="sr-Cyrl-CS"/>
        </w:rPr>
        <w:t>тратегије</w:t>
      </w:r>
      <w:r w:rsidR="001A5622" w:rsidRPr="00092ED7">
        <w:rPr>
          <w:rFonts w:cs="Times New Roman"/>
          <w:lang w:val="sr-Cyrl-CS"/>
        </w:rPr>
        <w:t>.</w:t>
      </w:r>
    </w:p>
    <w:p w14:paraId="6ADF128D" w14:textId="702EA808" w:rsidR="009023C8" w:rsidRPr="00092ED7" w:rsidRDefault="00D210F0" w:rsidP="00DB0B7B">
      <w:pPr>
        <w:spacing w:after="60"/>
        <w:rPr>
          <w:rFonts w:cs="Times New Roman"/>
          <w:szCs w:val="24"/>
          <w:lang w:val="sr-Cyrl-CS"/>
        </w:rPr>
      </w:pPr>
      <w:r w:rsidRPr="00092ED7">
        <w:rPr>
          <w:rFonts w:cs="Times New Roman"/>
          <w:lang w:val="sr-Cyrl-CS"/>
        </w:rPr>
        <w:t>Oквир за</w:t>
      </w:r>
      <w:r w:rsidRPr="00092ED7">
        <w:rPr>
          <w:rFonts w:cs="Times New Roman"/>
          <w:b/>
          <w:lang w:val="sr-Cyrl-CS"/>
        </w:rPr>
        <w:t xml:space="preserve"> унапређење положаја особа са инвалидитетом</w:t>
      </w:r>
      <w:r w:rsidRPr="00092ED7">
        <w:rPr>
          <w:rFonts w:cs="Times New Roman"/>
          <w:lang w:val="sr-Cyrl-CS"/>
        </w:rPr>
        <w:t xml:space="preserve"> у Републици Србији дефинисан је усвајањем</w:t>
      </w:r>
      <w:r w:rsidRPr="00092ED7">
        <w:rPr>
          <w:rFonts w:cs="Times New Roman"/>
          <w:b/>
          <w:lang w:val="sr-Cyrl-CS"/>
        </w:rPr>
        <w:t xml:space="preserve"> </w:t>
      </w:r>
      <w:r w:rsidRPr="00092ED7">
        <w:rPr>
          <w:rFonts w:cs="Times New Roman"/>
          <w:b/>
          <w:i/>
          <w:lang w:val="sr-Cyrl-CS"/>
        </w:rPr>
        <w:t xml:space="preserve">Стратегије унапређења положаја особа са инвалидитетом у Републици Србији за период од 2020. до 2024. године </w:t>
      </w:r>
      <w:r w:rsidRPr="00092ED7">
        <w:rPr>
          <w:rFonts w:cs="Times New Roman"/>
          <w:lang w:val="sr-Cyrl-CS"/>
        </w:rPr>
        <w:t>(„Сл</w:t>
      </w:r>
      <w:r w:rsidR="00461EE0" w:rsidRPr="00092ED7">
        <w:rPr>
          <w:rFonts w:cs="Times New Roman"/>
          <w:lang w:val="sr-Cyrl-CS"/>
        </w:rPr>
        <w:t>ужбени</w:t>
      </w:r>
      <w:r w:rsidR="00576076" w:rsidRPr="00092ED7">
        <w:rPr>
          <w:rFonts w:cs="Times New Roman"/>
          <w:lang w:val="sr-Cyrl-CS"/>
        </w:rPr>
        <w:t xml:space="preserve"> гласник РС</w:t>
      </w:r>
      <w:r w:rsidR="00461EE0" w:rsidRPr="00092ED7">
        <w:rPr>
          <w:rFonts w:cs="Times New Roman"/>
          <w:szCs w:val="24"/>
          <w:lang w:val="sr-Cyrl-CS"/>
        </w:rPr>
        <w:t>”</w:t>
      </w:r>
      <w:r w:rsidR="00576076" w:rsidRPr="00092ED7">
        <w:rPr>
          <w:rFonts w:cs="Times New Roman"/>
          <w:lang w:val="sr-Cyrl-CS"/>
        </w:rPr>
        <w:t>, бр</w:t>
      </w:r>
      <w:r w:rsidR="00461EE0" w:rsidRPr="00092ED7">
        <w:rPr>
          <w:rFonts w:cs="Times New Roman"/>
          <w:lang w:val="sr-Cyrl-CS"/>
        </w:rPr>
        <w:t>ој</w:t>
      </w:r>
      <w:r w:rsidRPr="00092ED7">
        <w:rPr>
          <w:rFonts w:cs="Times New Roman"/>
          <w:lang w:val="sr-Cyrl-CS"/>
        </w:rPr>
        <w:t xml:space="preserve"> 44/20), као и </w:t>
      </w:r>
      <w:r w:rsidR="009023C8" w:rsidRPr="00092ED7">
        <w:rPr>
          <w:rFonts w:cs="Times New Roman"/>
          <w:szCs w:val="24"/>
          <w:lang w:val="sr-Cyrl-CS"/>
        </w:rPr>
        <w:t>Акциони план за спровођење Стратегије унапређења положаја особа са инвалидитетом у Републици Србији за период од 2020. до 2024. године, у периоду од 2021. до 2022. године („Службени гласник РС”, број 37/21)</w:t>
      </w:r>
      <w:r w:rsidR="00B16622" w:rsidRPr="00092ED7">
        <w:rPr>
          <w:rFonts w:cs="Times New Roman"/>
          <w:szCs w:val="24"/>
          <w:lang w:val="sr-Cyrl-CS"/>
        </w:rPr>
        <w:t>.</w:t>
      </w:r>
    </w:p>
    <w:p w14:paraId="5386185E" w14:textId="38201D79" w:rsidR="00D210F0" w:rsidRPr="00092ED7" w:rsidRDefault="00D210F0" w:rsidP="00D210F0">
      <w:pPr>
        <w:spacing w:after="60"/>
        <w:rPr>
          <w:rFonts w:cs="Times New Roman"/>
          <w:lang w:val="sr-Cyrl-CS"/>
        </w:rPr>
      </w:pPr>
      <w:r w:rsidRPr="00092ED7">
        <w:rPr>
          <w:rFonts w:cs="Times New Roman"/>
          <w:lang w:val="sr-Cyrl-CS"/>
        </w:rPr>
        <w:t>Дефинисани приоритети су побољшање свеукупног друштвеног и економског положаја особа са инвалидитетом и њихово равноправно учешће у друштву. Предвиђено је да се ови приоритети остваре путем уклањања препрека у области приступачности, партиципације, једнакости, запошљавања, образовања и обуке, социјалне заштите, здравства и других аспеката који доприносе изједначавању њихових могућности и остваривању једнакости. По први пут се предвиђа и успостављање базе података о укупном броју запослених или радно ангажованих особа са инвалидитетом у Републици Србији.</w:t>
      </w:r>
    </w:p>
    <w:p w14:paraId="5A61A4FD" w14:textId="3E7860D9" w:rsidR="00D210F0" w:rsidRPr="00092ED7" w:rsidRDefault="00D210F0" w:rsidP="00D210F0">
      <w:pPr>
        <w:spacing w:after="60"/>
        <w:rPr>
          <w:rFonts w:cs="Times New Roman"/>
          <w:lang w:val="sr-Cyrl-CS"/>
        </w:rPr>
      </w:pPr>
      <w:r w:rsidRPr="00092ED7">
        <w:rPr>
          <w:rFonts w:cs="Times New Roman"/>
          <w:lang w:val="sr-Cyrl-CS"/>
        </w:rPr>
        <w:t xml:space="preserve">Усвојен је </w:t>
      </w:r>
      <w:r w:rsidRPr="00092ED7">
        <w:rPr>
          <w:rFonts w:cs="Times New Roman"/>
          <w:b/>
          <w:i/>
          <w:lang w:val="sr-Cyrl-CS"/>
        </w:rPr>
        <w:t>Закон о социјалном предузетништву</w:t>
      </w:r>
      <w:r w:rsidRPr="00092ED7">
        <w:rPr>
          <w:rFonts w:cs="Times New Roman"/>
          <w:lang w:val="sr-Cyrl-CS"/>
        </w:rPr>
        <w:t xml:space="preserve"> („Сл</w:t>
      </w:r>
      <w:r w:rsidR="00461EE0" w:rsidRPr="00092ED7">
        <w:rPr>
          <w:rFonts w:cs="Times New Roman"/>
          <w:lang w:val="sr-Cyrl-CS"/>
        </w:rPr>
        <w:t>ужбени</w:t>
      </w:r>
      <w:r w:rsidR="00576076" w:rsidRPr="00092ED7">
        <w:rPr>
          <w:rFonts w:cs="Times New Roman"/>
          <w:lang w:val="sr-Cyrl-CS"/>
        </w:rPr>
        <w:t xml:space="preserve"> гласник РС</w:t>
      </w:r>
      <w:r w:rsidR="00461EE0" w:rsidRPr="00092ED7">
        <w:rPr>
          <w:rFonts w:cs="Times New Roman"/>
          <w:szCs w:val="24"/>
          <w:lang w:val="sr-Cyrl-CS"/>
        </w:rPr>
        <w:t>”</w:t>
      </w:r>
      <w:r w:rsidR="00576076" w:rsidRPr="00092ED7">
        <w:rPr>
          <w:rFonts w:cs="Times New Roman"/>
          <w:lang w:val="sr-Cyrl-CS"/>
        </w:rPr>
        <w:t>, бр</w:t>
      </w:r>
      <w:r w:rsidR="00461EE0" w:rsidRPr="00092ED7">
        <w:rPr>
          <w:rFonts w:cs="Times New Roman"/>
          <w:lang w:val="sr-Cyrl-CS"/>
        </w:rPr>
        <w:t>ој</w:t>
      </w:r>
      <w:r w:rsidRPr="00092ED7">
        <w:rPr>
          <w:rFonts w:cs="Times New Roman"/>
          <w:lang w:val="sr-Cyrl-CS"/>
        </w:rPr>
        <w:t xml:space="preserve"> 14/22) почетком фебруара 2022. године. </w:t>
      </w:r>
      <w:r w:rsidR="006C154D" w:rsidRPr="00092ED7">
        <w:rPr>
          <w:rFonts w:cs="Times New Roman"/>
          <w:lang w:val="sr-Cyrl-CS"/>
        </w:rPr>
        <w:t xml:space="preserve">Примена </w:t>
      </w:r>
      <w:r w:rsidRPr="00092ED7">
        <w:rPr>
          <w:rFonts w:cs="Times New Roman"/>
          <w:lang w:val="sr-Cyrl-CS"/>
        </w:rPr>
        <w:t>Закона поч</w:t>
      </w:r>
      <w:r w:rsidR="002C2A99" w:rsidRPr="00092ED7">
        <w:rPr>
          <w:rFonts w:cs="Times New Roman"/>
          <w:lang w:val="sr-Cyrl-CS"/>
        </w:rPr>
        <w:t>ела је</w:t>
      </w:r>
      <w:r w:rsidRPr="00092ED7">
        <w:rPr>
          <w:rFonts w:cs="Times New Roman"/>
          <w:lang w:val="sr-Cyrl-CS"/>
        </w:rPr>
        <w:t xml:space="preserve"> 16. новембра 2022. године када </w:t>
      </w:r>
      <w:r w:rsidR="002C2A99" w:rsidRPr="00092ED7">
        <w:rPr>
          <w:rFonts w:cs="Times New Roman"/>
          <w:lang w:val="sr-Cyrl-CS"/>
        </w:rPr>
        <w:t>су</w:t>
      </w:r>
      <w:r w:rsidRPr="00092ED7">
        <w:rPr>
          <w:rFonts w:cs="Times New Roman"/>
          <w:lang w:val="sr-Cyrl-CS"/>
        </w:rPr>
        <w:t xml:space="preserve"> у Републици Србији регистровани први социјални привредни субјекти</w:t>
      </w:r>
      <w:r w:rsidR="00F601BA" w:rsidRPr="00092ED7">
        <w:rPr>
          <w:rFonts w:cs="Times New Roman"/>
          <w:lang w:val="sr-Cyrl-CS"/>
        </w:rPr>
        <w:t>.</w:t>
      </w:r>
      <w:r w:rsidRPr="00092ED7">
        <w:rPr>
          <w:rFonts w:cs="Times New Roman"/>
          <w:lang w:val="sr-Cyrl-CS"/>
        </w:rPr>
        <w:t xml:space="preserve"> Закон дефинише доношење </w:t>
      </w:r>
      <w:r w:rsidRPr="00092ED7">
        <w:rPr>
          <w:rFonts w:cs="Times New Roman"/>
          <w:b/>
          <w:i/>
          <w:lang w:val="sr-Cyrl-CS"/>
        </w:rPr>
        <w:t>Програма развоја социјалних предузећа</w:t>
      </w:r>
      <w:r w:rsidRPr="00092ED7">
        <w:rPr>
          <w:rStyle w:val="FootnoteReference"/>
          <w:rFonts w:cs="Times New Roman"/>
          <w:b/>
          <w:lang w:val="sr-Cyrl-CS"/>
        </w:rPr>
        <w:footnoteReference w:id="37"/>
      </w:r>
      <w:r w:rsidRPr="00092ED7">
        <w:rPr>
          <w:rFonts w:cs="Times New Roman"/>
          <w:lang w:val="sr-Cyrl-CS"/>
        </w:rPr>
        <w:t xml:space="preserve"> као документ јавне политике који ће детаљније утврдити смернице даљег развоја социјалне економије као веома значајне области у Републици Србији. У овој области кључни изазови су: развој солидарне економије као одрживог и друштвено одговорног пословања које је усклађено са ширим друштвеним интересима а нарочито интересима друштвено осетљивих група; даља афирмација социјалног предузетништва кроз информативне и едукативне мере и програме намењене како широј јавности тако и субјектима социјалног предузетништва, јавној управи, ђацима и студентима; успостављање ефикасне и координисане финансијске и нефинансијске подршке пословању субјеката социјалног предузетништва у домену социјалне економије из различитих извора.</w:t>
      </w:r>
    </w:p>
    <w:p w14:paraId="6F036BC1" w14:textId="5F3BE360" w:rsidR="00D210F0" w:rsidRPr="00092ED7" w:rsidRDefault="00D210F0" w:rsidP="00D210F0">
      <w:pPr>
        <w:spacing w:after="60"/>
        <w:rPr>
          <w:rFonts w:cs="Times New Roman"/>
          <w:lang w:val="sr-Cyrl-CS"/>
        </w:rPr>
      </w:pPr>
      <w:r w:rsidRPr="00092ED7">
        <w:rPr>
          <w:rFonts w:cs="Times New Roman"/>
          <w:b/>
          <w:lang w:val="sr-Cyrl-CS"/>
        </w:rPr>
        <w:t>Ниво родне равноправности у Републици Србији још увек није задовољавајући.</w:t>
      </w:r>
      <w:r w:rsidRPr="00092ED7">
        <w:rPr>
          <w:rFonts w:cs="Times New Roman"/>
          <w:lang w:val="sr-Cyrl-CS"/>
        </w:rPr>
        <w:t xml:space="preserve"> Индекс родне равноправности</w:t>
      </w:r>
      <w:r w:rsidRPr="00092ED7">
        <w:rPr>
          <w:rStyle w:val="FootnoteReference"/>
          <w:rFonts w:cs="Times New Roman"/>
          <w:lang w:val="sr-Cyrl-CS"/>
        </w:rPr>
        <w:footnoteReference w:id="38"/>
      </w:r>
      <w:r w:rsidRPr="00092ED7">
        <w:rPr>
          <w:rFonts w:cs="Times New Roman"/>
          <w:lang w:val="sr-Cyrl-CS"/>
        </w:rPr>
        <w:t xml:space="preserve"> за </w:t>
      </w:r>
      <w:r w:rsidR="003B5902" w:rsidRPr="00092ED7">
        <w:rPr>
          <w:rFonts w:cs="Times New Roman"/>
          <w:lang w:val="sr-Cyrl-CS"/>
        </w:rPr>
        <w:t xml:space="preserve">Републику </w:t>
      </w:r>
      <w:r w:rsidRPr="00092ED7">
        <w:rPr>
          <w:rFonts w:cs="Times New Roman"/>
          <w:lang w:val="sr-Cyrl-CS"/>
        </w:rPr>
        <w:t>Србију износи 58 поена према подацима из 2018.</w:t>
      </w:r>
      <w:r w:rsidRPr="00092ED7">
        <w:rPr>
          <w:rStyle w:val="FootnoteReference"/>
          <w:rFonts w:cs="Times New Roman"/>
          <w:lang w:val="sr-Cyrl-CS"/>
        </w:rPr>
        <w:footnoteReference w:id="39"/>
      </w:r>
      <w:r w:rsidRPr="00092ED7">
        <w:rPr>
          <w:rFonts w:cs="Times New Roman"/>
          <w:lang w:val="sr-Cyrl-CS"/>
        </w:rPr>
        <w:t xml:space="preserve"> године, што представља континуиран, мада спор, напредак у унапређивању родне равноправности. Пораст Индекса износи 2,2 поена у односу на податке из 2016. године. Ипак, </w:t>
      </w:r>
      <w:r w:rsidR="003B5902" w:rsidRPr="00092ED7">
        <w:rPr>
          <w:rFonts w:cs="Times New Roman"/>
          <w:lang w:val="sr-Cyrl-CS"/>
        </w:rPr>
        <w:t xml:space="preserve">Република </w:t>
      </w:r>
      <w:r w:rsidRPr="00092ED7">
        <w:rPr>
          <w:rFonts w:cs="Times New Roman"/>
          <w:lang w:val="sr-Cyrl-CS"/>
        </w:rPr>
        <w:t>Србија и даље бележи нижу вредност индекса у односу на просек ЕУ-27, који износи 68 поена</w:t>
      </w:r>
      <w:r w:rsidRPr="00092ED7">
        <w:rPr>
          <w:rStyle w:val="FootnoteReference"/>
          <w:rFonts w:cs="Times New Roman"/>
          <w:lang w:val="sr-Cyrl-CS"/>
        </w:rPr>
        <w:footnoteReference w:id="40"/>
      </w:r>
      <w:r w:rsidRPr="00092ED7">
        <w:rPr>
          <w:rFonts w:cs="Times New Roman"/>
          <w:lang w:val="sr-Cyrl-CS"/>
        </w:rPr>
        <w:t xml:space="preserve">. Посматрано према доменима, највећи јаз између </w:t>
      </w:r>
      <w:r w:rsidR="00D508CD" w:rsidRPr="00092ED7">
        <w:rPr>
          <w:rFonts w:cs="Times New Roman"/>
          <w:lang w:val="sr-Cyrl-CS"/>
        </w:rPr>
        <w:t xml:space="preserve">Републике </w:t>
      </w:r>
      <w:r w:rsidRPr="00092ED7">
        <w:rPr>
          <w:rFonts w:cs="Times New Roman"/>
          <w:lang w:val="sr-Cyrl-CS"/>
        </w:rPr>
        <w:t>Србије и ЕУ-27 присутан је у домену новца (22,7) и времена</w:t>
      </w:r>
      <w:r w:rsidRPr="00092ED7">
        <w:rPr>
          <w:rStyle w:val="FootnoteReference"/>
          <w:rFonts w:cs="Times New Roman"/>
          <w:lang w:val="sr-Cyrl-CS"/>
        </w:rPr>
        <w:footnoteReference w:id="41"/>
      </w:r>
      <w:r w:rsidRPr="00092ED7">
        <w:rPr>
          <w:lang w:val="sr-Cyrl-CS"/>
        </w:rPr>
        <w:t xml:space="preserve"> </w:t>
      </w:r>
      <w:r w:rsidRPr="00092ED7">
        <w:rPr>
          <w:rFonts w:cs="Times New Roman"/>
          <w:lang w:val="sr-Cyrl-CS"/>
        </w:rPr>
        <w:t xml:space="preserve">(16,2), потом у доменима моћи (8,5) и знања (6,7), а најмањи јаз је присутан у доменима здравља (3,7) и рада (2,2). Домен </w:t>
      </w:r>
      <w:r w:rsidRPr="00092ED7">
        <w:rPr>
          <w:rFonts w:cs="Times New Roman"/>
          <w:b/>
          <w:lang w:val="sr-Cyrl-CS"/>
        </w:rPr>
        <w:t>знања</w:t>
      </w:r>
      <w:r w:rsidRPr="00092ED7">
        <w:rPr>
          <w:rFonts w:cs="Times New Roman"/>
          <w:lang w:val="sr-Cyrl-CS"/>
        </w:rPr>
        <w:t xml:space="preserve"> у Републици Србији показује некозистентне трендове</w:t>
      </w:r>
      <w:r w:rsidRPr="00092ED7">
        <w:rPr>
          <w:rStyle w:val="FootnoteReference"/>
          <w:rFonts w:cs="Times New Roman"/>
          <w:lang w:val="sr-Cyrl-CS"/>
        </w:rPr>
        <w:footnoteReference w:id="42"/>
      </w:r>
      <w:r w:rsidRPr="00092ED7">
        <w:rPr>
          <w:rFonts w:cs="Times New Roman"/>
          <w:lang w:val="sr-Cyrl-CS"/>
        </w:rPr>
        <w:t xml:space="preserve">, и изазива највећу забринутост јер се у укупном скору бележи негативан исход, односно пад вредности индекса од 1,3 поена у односу на 2016. годину. Пад се дугује паду вредности индекса за поддомен образовног достигнућа и учешћа (-0,9) и за поддомен сегрегације према образовним областима (-1,6). Неједнакости су видљиве и у домену </w:t>
      </w:r>
      <w:r w:rsidRPr="00092ED7">
        <w:rPr>
          <w:rFonts w:cs="Times New Roman"/>
          <w:b/>
          <w:lang w:val="sr-Cyrl-CS"/>
        </w:rPr>
        <w:t>новца</w:t>
      </w:r>
      <w:r w:rsidRPr="00092ED7">
        <w:rPr>
          <w:rFonts w:cs="Times New Roman"/>
          <w:lang w:val="sr-Cyrl-CS"/>
        </w:rPr>
        <w:t xml:space="preserve">, јер жене имају ниже приходе од мушкараца, а поједине групе жена изложене су и вишим ризицима од сиромаштва. Неједнакости у домену </w:t>
      </w:r>
      <w:r w:rsidRPr="00092ED7">
        <w:rPr>
          <w:rFonts w:cs="Times New Roman"/>
          <w:b/>
          <w:lang w:val="sr-Cyrl-CS"/>
        </w:rPr>
        <w:t>времена</w:t>
      </w:r>
      <w:r w:rsidRPr="00092ED7">
        <w:rPr>
          <w:rFonts w:cs="Times New Roman"/>
          <w:lang w:val="sr-Cyrl-CS"/>
        </w:rPr>
        <w:t xml:space="preserve"> показују колико жене свог времена и рада троше у бризи о домаћинству и породици, односно обављајући неплаћени кућни рад.</w:t>
      </w:r>
    </w:p>
    <w:p w14:paraId="7149AFE4" w14:textId="77777777" w:rsidR="00D210F0" w:rsidRPr="00092ED7" w:rsidRDefault="00D210F0" w:rsidP="00D210F0">
      <w:pPr>
        <w:spacing w:after="60"/>
        <w:rPr>
          <w:rFonts w:cs="Times New Roman"/>
          <w:lang w:val="sr-Cyrl-CS"/>
        </w:rPr>
      </w:pPr>
      <w:r w:rsidRPr="00092ED7">
        <w:rPr>
          <w:rFonts w:cs="Times New Roman"/>
          <w:b/>
          <w:lang w:val="sr-Cyrl-CS"/>
        </w:rPr>
        <w:t>Родни јаз у економији</w:t>
      </w:r>
      <w:r w:rsidRPr="00092ED7">
        <w:rPr>
          <w:rFonts w:cs="Times New Roman"/>
          <w:lang w:val="sr-Cyrl-CS"/>
        </w:rPr>
        <w:t xml:space="preserve"> у Републици Србији видљив је кроз неједнак положај жена и мушкараца на тржишту рада, разликама у висини зараде, пензије и уопште прихода, разликама у предузетничкој активности, приступу ресурсима за подршку запошљавању и самозапошљавању, учешћу у неформалној економији, разликама у власништву над непокретностима и земљом, као и учешће у одлучивању у економији.</w:t>
      </w:r>
    </w:p>
    <w:p w14:paraId="32EDA382" w14:textId="77777777" w:rsidR="00D210F0" w:rsidRPr="00092ED7" w:rsidRDefault="00D210F0" w:rsidP="00D210F0">
      <w:pPr>
        <w:spacing w:after="60"/>
        <w:rPr>
          <w:rFonts w:cs="Times New Roman"/>
          <w:lang w:val="sr-Cyrl-CS"/>
        </w:rPr>
      </w:pPr>
      <w:r w:rsidRPr="00092ED7">
        <w:rPr>
          <w:rFonts w:cs="Times New Roman"/>
          <w:lang w:val="sr-Cyrl-CS"/>
        </w:rPr>
        <w:t xml:space="preserve">Родни јаз у </w:t>
      </w:r>
      <w:r w:rsidRPr="00092ED7">
        <w:rPr>
          <w:rFonts w:cs="Times New Roman"/>
          <w:b/>
          <w:lang w:val="sr-Cyrl-CS"/>
        </w:rPr>
        <w:t>стопи активности (15+)</w:t>
      </w:r>
      <w:r w:rsidRPr="00092ED7">
        <w:rPr>
          <w:rFonts w:cs="Times New Roman"/>
          <w:lang w:val="sr-Cyrl-CS"/>
        </w:rPr>
        <w:t xml:space="preserve"> на тржишту рада износи </w:t>
      </w:r>
      <w:r w:rsidRPr="00092ED7">
        <w:rPr>
          <w:rFonts w:cs="Times New Roman"/>
          <w:b/>
          <w:lang w:val="sr-Cyrl-CS"/>
        </w:rPr>
        <w:t>15,9 п.п.</w:t>
      </w:r>
      <w:r w:rsidRPr="00092ED7">
        <w:rPr>
          <w:rFonts w:cs="Times New Roman"/>
          <w:lang w:val="sr-Cyrl-CS"/>
        </w:rPr>
        <w:t xml:space="preserve"> у 2021.</w:t>
      </w:r>
      <w:r w:rsidRPr="00092ED7">
        <w:rPr>
          <w:rStyle w:val="FootnoteReference"/>
          <w:rFonts w:cs="Times New Roman"/>
          <w:lang w:val="sr-Cyrl-CS"/>
        </w:rPr>
        <w:footnoteReference w:id="43"/>
      </w:r>
      <w:r w:rsidRPr="00092ED7">
        <w:rPr>
          <w:rFonts w:cs="Times New Roman"/>
          <w:lang w:val="sr-Cyrl-CS"/>
        </w:rPr>
        <w:t xml:space="preserve"> години. Подаци према полу указују да жене имају нижу стопу активности на тржишту рада (47%) од мушкараца (62,9%). Посматрано по годинама старости, највишу стопу активности имају жене и мушкарци у групи 25–54 године, која за жене износи 78,9%, а за мушкарце 90,4%.</w:t>
      </w:r>
    </w:p>
    <w:p w14:paraId="61A6786F" w14:textId="599C3F01" w:rsidR="00D210F0" w:rsidRPr="00092ED7" w:rsidRDefault="00D210F0" w:rsidP="00D210F0">
      <w:pPr>
        <w:spacing w:after="60"/>
        <w:rPr>
          <w:rFonts w:cs="Times New Roman"/>
          <w:lang w:val="sr-Cyrl-CS"/>
        </w:rPr>
      </w:pPr>
      <w:r w:rsidRPr="00092ED7">
        <w:rPr>
          <w:rFonts w:cs="Times New Roman"/>
          <w:lang w:val="sr-Cyrl-CS"/>
        </w:rPr>
        <w:t xml:space="preserve">Родни јаз у </w:t>
      </w:r>
      <w:r w:rsidRPr="00092ED7">
        <w:rPr>
          <w:rFonts w:cs="Times New Roman"/>
          <w:b/>
          <w:lang w:val="sr-Cyrl-CS"/>
        </w:rPr>
        <w:t>стопи</w:t>
      </w:r>
      <w:r w:rsidRPr="00092ED7">
        <w:rPr>
          <w:rFonts w:cs="Times New Roman"/>
          <w:lang w:val="sr-Cyrl-CS"/>
        </w:rPr>
        <w:t xml:space="preserve"> </w:t>
      </w:r>
      <w:r w:rsidRPr="00092ED7">
        <w:rPr>
          <w:rFonts w:cs="Times New Roman"/>
          <w:b/>
          <w:lang w:val="sr-Cyrl-CS"/>
        </w:rPr>
        <w:t>запослености (15+)</w:t>
      </w:r>
      <w:r w:rsidRPr="00092ED7">
        <w:rPr>
          <w:rFonts w:cs="Times New Roman"/>
          <w:lang w:val="sr-Cyrl-CS"/>
        </w:rPr>
        <w:t xml:space="preserve"> на тржишту рада износи </w:t>
      </w:r>
      <w:r w:rsidRPr="00092ED7">
        <w:rPr>
          <w:rFonts w:cs="Times New Roman"/>
          <w:b/>
          <w:lang w:val="sr-Cyrl-CS"/>
        </w:rPr>
        <w:t>15,2 п.п.</w:t>
      </w:r>
      <w:r w:rsidRPr="00092ED7">
        <w:rPr>
          <w:rFonts w:cs="Times New Roman"/>
          <w:lang w:val="sr-Cyrl-CS"/>
        </w:rPr>
        <w:t xml:space="preserve"> у 2021.</w:t>
      </w:r>
      <w:r w:rsidRPr="00092ED7">
        <w:rPr>
          <w:rStyle w:val="FootnoteReference"/>
          <w:rFonts w:cs="Times New Roman"/>
          <w:lang w:val="sr-Cyrl-CS"/>
        </w:rPr>
        <w:footnoteReference w:id="44"/>
      </w:r>
      <w:r w:rsidRPr="00092ED7">
        <w:rPr>
          <w:rFonts w:cs="Times New Roman"/>
          <w:lang w:val="sr-Cyrl-CS"/>
        </w:rPr>
        <w:t xml:space="preserve"> години. Радни статус према полу показује да стопа запослености жена износи 41,3% а мушкараца 56,5%. Посматрано по годинама старости, за групу 25–54 године стопе запослености су највише и износе 69,3% код жена и 81,5% код мушкараца</w:t>
      </w:r>
      <w:r w:rsidR="00DB0B7B">
        <w:rPr>
          <w:rFonts w:cs="Times New Roman"/>
          <w:lang w:val="sr-Cyrl-CS"/>
        </w:rPr>
        <w:t>, а</w:t>
      </w:r>
      <w:r w:rsidRPr="00092ED7">
        <w:rPr>
          <w:rFonts w:cs="Times New Roman"/>
          <w:lang w:val="sr-Cyrl-CS"/>
        </w:rPr>
        <w:t xml:space="preserve"> групи преко 55 година </w:t>
      </w:r>
      <w:r w:rsidR="00DB0B7B">
        <w:rPr>
          <w:rFonts w:cs="Times New Roman"/>
          <w:lang w:val="sr-Cyrl-CS"/>
        </w:rPr>
        <w:t>-</w:t>
      </w:r>
      <w:r w:rsidRPr="00092ED7">
        <w:rPr>
          <w:rFonts w:cs="Times New Roman"/>
          <w:lang w:val="sr-Cyrl-CS"/>
        </w:rPr>
        <w:t xml:space="preserve"> 18,6% код жена и 32,7% код мушкараца.</w:t>
      </w:r>
    </w:p>
    <w:p w14:paraId="4A671BBB" w14:textId="77777777" w:rsidR="00D210F0" w:rsidRPr="00092ED7" w:rsidRDefault="00D210F0" w:rsidP="00D210F0">
      <w:pPr>
        <w:spacing w:after="60"/>
        <w:rPr>
          <w:rFonts w:cs="Times New Roman"/>
          <w:lang w:val="sr-Cyrl-CS"/>
        </w:rPr>
      </w:pPr>
      <w:r w:rsidRPr="00092ED7">
        <w:rPr>
          <w:rFonts w:cs="Times New Roman"/>
          <w:lang w:val="sr-Cyrl-CS"/>
        </w:rPr>
        <w:t>На побољшање перформанси жена на тржишту рада, пре свега у погледу активности и запослености, дошло је, између осталих разлога, и услед институционалних промена. Најнепосреднији утицај на активност жена на тржишту рада има законска измена у временској граници за остваривање права на пензију, али и увођење пенала за одлазак у превремену пензију. Континуирано повећање старосне границе за одлазак у пензију несумњиво је повећавало активност и запосленост жена продуживши, вољно или невољно, везаност кохорти старијих жена за тржиште рада.</w:t>
      </w:r>
    </w:p>
    <w:p w14:paraId="709FB3DD" w14:textId="77777777" w:rsidR="00D210F0" w:rsidRPr="00092ED7" w:rsidRDefault="00D210F0" w:rsidP="00D210F0">
      <w:pPr>
        <w:spacing w:after="60"/>
        <w:rPr>
          <w:rFonts w:cs="Times New Roman"/>
          <w:lang w:val="sr-Cyrl-CS"/>
        </w:rPr>
      </w:pPr>
      <w:r w:rsidRPr="00092ED7">
        <w:rPr>
          <w:rFonts w:cs="Times New Roman"/>
          <w:lang w:val="sr-Cyrl-CS"/>
        </w:rPr>
        <w:t xml:space="preserve">Посматрано по </w:t>
      </w:r>
      <w:r w:rsidRPr="00092ED7">
        <w:rPr>
          <w:rFonts w:cs="Times New Roman"/>
          <w:b/>
          <w:lang w:val="sr-Cyrl-CS"/>
        </w:rPr>
        <w:t>дужини радног времена</w:t>
      </w:r>
      <w:r w:rsidRPr="00092ED7">
        <w:rPr>
          <w:rFonts w:cs="Times New Roman"/>
          <w:lang w:val="sr-Cyrl-CS"/>
        </w:rPr>
        <w:t xml:space="preserve"> међу запосленима који раде са непуним радним временом жене чине већину (58,3% за рад 1-14 сати; 51% за рад 15-35 сати) у 2021.</w:t>
      </w:r>
      <w:r w:rsidRPr="00092ED7">
        <w:rPr>
          <w:rStyle w:val="FootnoteReference"/>
          <w:rFonts w:cs="Times New Roman"/>
          <w:lang w:val="sr-Cyrl-CS"/>
        </w:rPr>
        <w:footnoteReference w:id="45"/>
      </w:r>
      <w:r w:rsidRPr="00092ED7">
        <w:rPr>
          <w:rFonts w:cs="Times New Roman"/>
          <w:lang w:val="sr-Cyrl-CS"/>
        </w:rPr>
        <w:t xml:space="preserve"> години. Најчешћи разлози због којих жене раде непуно радно време су брига о деци или неспособним старијим лицима (97,9%), породични или лични разлози (63,5%) и болест или инвалидитет (43,3%). Најчешћи разлози због којих мушкарци раде са непуним радним временом су немогућност налажења посла с пуним радним временом (59,9%), школовање или обука (57,7%) и болест или инвалидитет (56,7%).</w:t>
      </w:r>
    </w:p>
    <w:p w14:paraId="39C42ACF" w14:textId="77777777" w:rsidR="00D210F0" w:rsidRPr="00092ED7" w:rsidRDefault="00D210F0" w:rsidP="00D210F0">
      <w:pPr>
        <w:spacing w:after="60"/>
        <w:rPr>
          <w:rFonts w:cs="Times New Roman"/>
          <w:lang w:val="sr-Cyrl-CS"/>
        </w:rPr>
      </w:pPr>
      <w:r w:rsidRPr="00092ED7">
        <w:rPr>
          <w:rFonts w:cs="Times New Roman"/>
          <w:lang w:val="sr-Cyrl-CS"/>
        </w:rPr>
        <w:t xml:space="preserve">Посматрано према </w:t>
      </w:r>
      <w:r w:rsidRPr="00092ED7">
        <w:rPr>
          <w:rFonts w:cs="Times New Roman"/>
          <w:b/>
          <w:lang w:val="sr-Cyrl-CS"/>
        </w:rPr>
        <w:t>радном статусу</w:t>
      </w:r>
      <w:r w:rsidRPr="00092ED7">
        <w:rPr>
          <w:rFonts w:cs="Times New Roman"/>
          <w:lang w:val="sr-Cyrl-CS"/>
        </w:rPr>
        <w:t xml:space="preserve"> самозапослено (са запосленима или без њих) је 22,9% жена и 77,1% мушкараца у 2021.</w:t>
      </w:r>
      <w:r w:rsidRPr="00092ED7">
        <w:rPr>
          <w:rStyle w:val="FootnoteReference"/>
          <w:rFonts w:cs="Times New Roman"/>
          <w:lang w:val="sr-Cyrl-CS"/>
        </w:rPr>
        <w:footnoteReference w:id="46"/>
      </w:r>
      <w:r w:rsidRPr="00092ED7">
        <w:rPr>
          <w:rFonts w:cs="Times New Roman"/>
          <w:lang w:val="sr-Cyrl-CS"/>
        </w:rPr>
        <w:t xml:space="preserve"> години. Када је у питању неплаћени породични рад, жене чине већину са учешћем од 67,8% у укупно неплаћеном породичном раду, док учешће мушкараца износи 32,2%.</w:t>
      </w:r>
    </w:p>
    <w:p w14:paraId="35AB150D" w14:textId="77777777" w:rsidR="00D210F0" w:rsidRPr="00092ED7" w:rsidRDefault="00D210F0" w:rsidP="00D210F0">
      <w:pPr>
        <w:spacing w:after="60"/>
        <w:rPr>
          <w:rFonts w:cs="Times New Roman"/>
          <w:lang w:val="sr-Cyrl-CS"/>
        </w:rPr>
      </w:pPr>
      <w:r w:rsidRPr="00092ED7">
        <w:rPr>
          <w:rFonts w:cs="Times New Roman"/>
          <w:lang w:val="sr-Cyrl-CS"/>
        </w:rPr>
        <w:t>У укупној запослености</w:t>
      </w:r>
      <w:r w:rsidRPr="00092ED7">
        <w:rPr>
          <w:rFonts w:cs="Times New Roman"/>
          <w:b/>
          <w:lang w:val="sr-Cyrl-CS"/>
        </w:rPr>
        <w:t xml:space="preserve"> неформално запослене</w:t>
      </w:r>
      <w:r w:rsidRPr="00092ED7">
        <w:rPr>
          <w:rFonts w:cs="Times New Roman"/>
          <w:lang w:val="sr-Cyrl-CS"/>
        </w:rPr>
        <w:t xml:space="preserve"> жене учествују са 6,2%, док неформално запослени мушкарци представљају 7% укупне запослености у 2021.</w:t>
      </w:r>
      <w:r w:rsidRPr="00092ED7">
        <w:rPr>
          <w:rStyle w:val="FootnoteReference"/>
          <w:rFonts w:cs="Times New Roman"/>
          <w:lang w:val="sr-Cyrl-CS"/>
        </w:rPr>
        <w:footnoteReference w:id="47"/>
      </w:r>
      <w:r w:rsidRPr="00092ED7">
        <w:rPr>
          <w:rFonts w:cs="Times New Roman"/>
          <w:lang w:val="sr-Cyrl-CS"/>
        </w:rPr>
        <w:t xml:space="preserve"> години. Највећи проценат неформално запослених жена је у старосној групи преко 55 година (60%), док је највећи проценат неформално запослених мушкараца међу младима од 15–24 године старости (71,4%).</w:t>
      </w:r>
    </w:p>
    <w:p w14:paraId="7F5362FE" w14:textId="2B283F59" w:rsidR="00D210F0" w:rsidRPr="00092ED7" w:rsidRDefault="00D210F0" w:rsidP="00D210F0">
      <w:pPr>
        <w:spacing w:after="60"/>
        <w:rPr>
          <w:rFonts w:cs="Times New Roman"/>
          <w:lang w:val="sr-Cyrl-CS"/>
        </w:rPr>
      </w:pPr>
      <w:r w:rsidRPr="00092ED7">
        <w:rPr>
          <w:rFonts w:cs="Times New Roman"/>
          <w:lang w:val="sr-Cyrl-CS"/>
        </w:rPr>
        <w:t xml:space="preserve">Родни јаз у </w:t>
      </w:r>
      <w:r w:rsidRPr="00092ED7">
        <w:rPr>
          <w:rFonts w:cs="Times New Roman"/>
          <w:b/>
          <w:lang w:val="sr-Cyrl-CS"/>
        </w:rPr>
        <w:t>стопи незапослености</w:t>
      </w:r>
      <w:r w:rsidRPr="00092ED7">
        <w:rPr>
          <w:rFonts w:cs="Times New Roman"/>
          <w:lang w:val="sr-Cyrl-CS"/>
        </w:rPr>
        <w:t xml:space="preserve"> на тржишту рада износи </w:t>
      </w:r>
      <w:r w:rsidRPr="00092ED7">
        <w:rPr>
          <w:rFonts w:cs="Times New Roman"/>
          <w:b/>
          <w:lang w:val="sr-Cyrl-CS"/>
        </w:rPr>
        <w:t>1,9 п.п.</w:t>
      </w:r>
      <w:r w:rsidRPr="00092ED7">
        <w:rPr>
          <w:rFonts w:cs="Times New Roman"/>
          <w:lang w:val="sr-Cyrl-CS"/>
        </w:rPr>
        <w:t xml:space="preserve"> у 2021.</w:t>
      </w:r>
      <w:r w:rsidRPr="00092ED7">
        <w:rPr>
          <w:rStyle w:val="FootnoteReference"/>
          <w:rFonts w:cs="Times New Roman"/>
          <w:lang w:val="sr-Cyrl-CS"/>
        </w:rPr>
        <w:footnoteReference w:id="48"/>
      </w:r>
      <w:r w:rsidRPr="00092ED7">
        <w:rPr>
          <w:rFonts w:cs="Times New Roman"/>
          <w:lang w:val="sr-Cyrl-CS"/>
        </w:rPr>
        <w:t xml:space="preserve"> години. Стопа незапослености износила је 12,1% за жене и 10,2% за мушкарце. Током п</w:t>
      </w:r>
      <w:r w:rsidRPr="00092ED7">
        <w:rPr>
          <w:rFonts w:eastAsia="Calibri" w:cs="Times New Roman"/>
          <w:szCs w:val="24"/>
          <w:lang w:val="sr-Cyrl-CS"/>
        </w:rPr>
        <w:t xml:space="preserve">андемије </w:t>
      </w:r>
      <w:r w:rsidR="00B94430" w:rsidRPr="00092ED7">
        <w:rPr>
          <w:rFonts w:eastAsia="Calibri" w:cs="Times New Roman"/>
          <w:szCs w:val="24"/>
          <w:lang w:val="sr-Cyrl-CS"/>
        </w:rPr>
        <w:t xml:space="preserve">корона </w:t>
      </w:r>
      <w:r w:rsidRPr="00092ED7">
        <w:rPr>
          <w:rFonts w:eastAsia="Calibri" w:cs="Times New Roman"/>
          <w:szCs w:val="24"/>
          <w:lang w:val="sr-Cyrl-CS"/>
        </w:rPr>
        <w:t>вируса дошло је до повећања контигента становништва ван радне снаге јер појединци, како жене тако и мушкарци, нису могли да траже посао или нису били у могућности да почну да раде због мера спречавања ширења вируса корона. То је довело до смањења стопе незапослености и код жена (10,2%) и код мушкараца (9,4%), а како је смањење стопе било више код жена, родни јаз у стопи незапослености износио је само 0,8 п.п. у 2020.</w:t>
      </w:r>
      <w:r w:rsidRPr="00092ED7">
        <w:rPr>
          <w:rStyle w:val="FootnoteReference"/>
          <w:rFonts w:cs="Times New Roman"/>
          <w:lang w:val="sr-Cyrl-CS"/>
        </w:rPr>
        <w:footnoteReference w:id="49"/>
      </w:r>
      <w:r w:rsidRPr="00092ED7">
        <w:rPr>
          <w:rFonts w:eastAsia="Calibri" w:cs="Times New Roman"/>
          <w:szCs w:val="24"/>
          <w:lang w:val="sr-Cyrl-CS"/>
        </w:rPr>
        <w:t xml:space="preserve"> години.</w:t>
      </w:r>
    </w:p>
    <w:p w14:paraId="3D09B138" w14:textId="77777777" w:rsidR="00D210F0" w:rsidRPr="00092ED7" w:rsidRDefault="00D210F0" w:rsidP="00D210F0">
      <w:pPr>
        <w:spacing w:after="60"/>
        <w:rPr>
          <w:rFonts w:cs="Times New Roman"/>
          <w:lang w:val="sr-Cyrl-CS"/>
        </w:rPr>
      </w:pPr>
      <w:r w:rsidRPr="00092ED7">
        <w:rPr>
          <w:rFonts w:cs="Times New Roman"/>
          <w:b/>
          <w:lang w:val="sr-Cyrl-CS"/>
        </w:rPr>
        <w:t>Платни јаз</w:t>
      </w:r>
      <w:r w:rsidRPr="00092ED7">
        <w:rPr>
          <w:rFonts w:cs="Times New Roman"/>
          <w:lang w:val="sr-Cyrl-CS"/>
        </w:rPr>
        <w:t xml:space="preserve"> износио је 8,8%</w:t>
      </w:r>
      <w:r w:rsidRPr="00092ED7">
        <w:rPr>
          <w:rStyle w:val="FootnoteReference"/>
          <w:rFonts w:cs="Times New Roman"/>
          <w:lang w:val="sr-Cyrl-CS"/>
        </w:rPr>
        <w:footnoteReference w:id="50"/>
      </w:r>
      <w:r w:rsidRPr="00092ED7">
        <w:rPr>
          <w:rFonts w:cs="Times New Roman"/>
          <w:lang w:val="sr-Cyrl-CS"/>
        </w:rPr>
        <w:t xml:space="preserve"> у 2018. години, колико су жене биле мање плаћене од мушкараца у Републици Србији. Међутим, када се подаци анализирају по степену образовања, платни јаз је много дубљи, па тако за жене без школе и са непотпуном основном школом или основним образовањем износи 21,2%. Посматрано по занимањима највећи платни јаз је у следећим занимањима: занатлије и сродни (23,8%), инжењери, стручни сарадници и техничари (19,3%), стручњаци и уметници (19%), и у једноставним занимањима (15,4%). Посматрано по годинама старости најдубљи платни јаз је за жене од 30–49 година. Чак је и међу младим женама и мушкарцима од 15–29 година присутан платни јаз од 4,6%.</w:t>
      </w:r>
    </w:p>
    <w:p w14:paraId="37E0906E" w14:textId="07DC5554" w:rsidR="00D210F0" w:rsidRPr="00092ED7" w:rsidRDefault="00D210F0" w:rsidP="00D210F0">
      <w:pPr>
        <w:spacing w:after="60"/>
        <w:rPr>
          <w:rFonts w:cs="Times New Roman"/>
          <w:lang w:val="sr-Cyrl-CS"/>
        </w:rPr>
      </w:pPr>
      <w:r w:rsidRPr="00092ED7">
        <w:rPr>
          <w:rFonts w:cs="Times New Roman"/>
          <w:lang w:val="sr-Cyrl-CS"/>
        </w:rPr>
        <w:t>Међу грађанима који пријаве да су на годишњем нивоу приходовали више од три просечне годишње плате највећи је број мушкараца. Од укупног броја пријава годишњег пореза на доходак (34.753) у 2021. години</w:t>
      </w:r>
      <w:r w:rsidRPr="00092ED7">
        <w:rPr>
          <w:rStyle w:val="FootnoteReference"/>
          <w:rFonts w:cs="Times New Roman"/>
          <w:lang w:val="sr-Cyrl-CS"/>
        </w:rPr>
        <w:footnoteReference w:id="51"/>
      </w:r>
      <w:r w:rsidRPr="00092ED7">
        <w:rPr>
          <w:rFonts w:cs="Times New Roman"/>
          <w:lang w:val="sr-Cyrl-CS"/>
        </w:rPr>
        <w:t>, свега је 9% (3.128) пријава жена, а чак 91% (31.625) пријава мушкараца. Ови подаци најбоље одсликавају такозвани „ефекат стакленог плафона</w:t>
      </w:r>
      <w:r w:rsidR="009D6FEF" w:rsidRPr="00092ED7">
        <w:rPr>
          <w:rFonts w:cs="Times New Roman"/>
          <w:szCs w:val="24"/>
          <w:lang w:val="sr-Cyrl-CS"/>
        </w:rPr>
        <w:t>”</w:t>
      </w:r>
      <w:r w:rsidRPr="00092ED7">
        <w:rPr>
          <w:rFonts w:cs="Times New Roman"/>
          <w:lang w:val="sr-Cyrl-CS"/>
        </w:rPr>
        <w:t xml:space="preserve"> што значи да мушкарци брже долазе до виших нивоа у хијерархији фирме него жене, и чак заузимају више позиције, док се жене на неком хијерархијском нивоу зауставе и не могу даље да напредују.</w:t>
      </w:r>
    </w:p>
    <w:p w14:paraId="3D1192B2" w14:textId="04EF66D0" w:rsidR="00D210F0" w:rsidRPr="00092ED7" w:rsidRDefault="00D210F0" w:rsidP="00D210F0">
      <w:pPr>
        <w:spacing w:after="60"/>
        <w:rPr>
          <w:rFonts w:cs="Times New Roman"/>
          <w:lang w:val="sr-Cyrl-CS"/>
        </w:rPr>
      </w:pPr>
      <w:r w:rsidRPr="00092ED7">
        <w:rPr>
          <w:rFonts w:cs="Times New Roman"/>
          <w:b/>
          <w:lang w:val="sr-Cyrl-CS"/>
        </w:rPr>
        <w:t>Родни диспаритети и родна сегрегација у приступу образовању још увек постоје, посебно међу рањивим групама</w:t>
      </w:r>
      <w:r w:rsidRPr="00092ED7">
        <w:rPr>
          <w:rFonts w:cs="Times New Roman"/>
          <w:lang w:val="sr-Cyrl-CS"/>
        </w:rPr>
        <w:t>. Видљиви су позитивни помаци у домену интегрисања родне перспективе у образовање</w:t>
      </w:r>
      <w:r w:rsidRPr="00092ED7">
        <w:rPr>
          <w:rStyle w:val="FootnoteReference"/>
          <w:rFonts w:cs="Times New Roman"/>
          <w:lang w:val="sr-Cyrl-CS"/>
        </w:rPr>
        <w:footnoteReference w:id="52"/>
      </w:r>
      <w:r w:rsidRPr="00092ED7">
        <w:rPr>
          <w:rFonts w:cs="Times New Roman"/>
          <w:lang w:val="sr-Cyrl-CS"/>
        </w:rPr>
        <w:t xml:space="preserve">: </w:t>
      </w:r>
      <w:r w:rsidR="00DB0B7B">
        <w:rPr>
          <w:rFonts w:cs="Times New Roman"/>
          <w:lang w:val="sr-Cyrl-CS"/>
        </w:rPr>
        <w:t>о</w:t>
      </w:r>
      <w:r w:rsidRPr="00092ED7">
        <w:rPr>
          <w:rFonts w:cs="Times New Roman"/>
          <w:lang w:val="sr-Cyrl-CS"/>
        </w:rPr>
        <w:t xml:space="preserve">лакшане процедуре за упис у основну школу и повећање обухвата Ромкиња и Рома основним образовањем; афирмативне мере за упис у средње школе и повећање обухвата средњим образовањем; индивидуални образовни план; педагошки асистенти; обуке за наставнике; стипендије, кредити, смештај и исхрана (10% капацитета за девојчице и дечаке, девојке и младиће из осетљивих група); афирмативне мере за упис Рома и Ромкиња на високошколске установе. </w:t>
      </w:r>
    </w:p>
    <w:p w14:paraId="66357C1F" w14:textId="4212FCFE" w:rsidR="00D210F0" w:rsidRPr="00092ED7" w:rsidRDefault="00D210F0" w:rsidP="00D210F0">
      <w:pPr>
        <w:spacing w:after="60"/>
        <w:rPr>
          <w:rFonts w:cs="Times New Roman"/>
          <w:lang w:val="sr-Cyrl-CS"/>
        </w:rPr>
      </w:pPr>
      <w:r w:rsidRPr="00092ED7">
        <w:rPr>
          <w:rFonts w:cs="Times New Roman"/>
          <w:lang w:val="sr-Cyrl-CS"/>
        </w:rPr>
        <w:t xml:space="preserve">Упркос значајном повећању капацитета </w:t>
      </w:r>
      <w:r w:rsidRPr="00092ED7">
        <w:rPr>
          <w:rFonts w:cs="Times New Roman"/>
          <w:b/>
          <w:lang w:val="sr-Cyrl-CS"/>
        </w:rPr>
        <w:t>предшколских установа</w:t>
      </w:r>
      <w:r w:rsidRPr="00092ED7">
        <w:rPr>
          <w:rFonts w:cs="Times New Roman"/>
          <w:lang w:val="sr-Cyrl-CS"/>
        </w:rPr>
        <w:t xml:space="preserve"> и повећаног броја објеката, 5.736 деце је остало неуписано у предшколско образовање због попуњености капацитета</w:t>
      </w:r>
      <w:r w:rsidRPr="00092ED7">
        <w:rPr>
          <w:rStyle w:val="FootnoteReference"/>
          <w:rFonts w:cs="Times New Roman"/>
          <w:lang w:val="sr-Cyrl-CS"/>
        </w:rPr>
        <w:footnoteReference w:id="53"/>
      </w:r>
      <w:r w:rsidRPr="00092ED7">
        <w:rPr>
          <w:rFonts w:cs="Times New Roman"/>
          <w:lang w:val="sr-Cyrl-CS"/>
        </w:rPr>
        <w:t xml:space="preserve"> у 2021. години. У контексту праведности и даље су приметне две негативне појаве: разлике између </w:t>
      </w:r>
      <w:r w:rsidR="00EB5D17" w:rsidRPr="00092ED7">
        <w:rPr>
          <w:rFonts w:cs="Times New Roman"/>
          <w:lang w:val="sr-Cyrl-CS"/>
        </w:rPr>
        <w:t>ЈЛС</w:t>
      </w:r>
      <w:r w:rsidRPr="00092ED7">
        <w:rPr>
          <w:rFonts w:cs="Times New Roman"/>
          <w:lang w:val="sr-Cyrl-CS"/>
        </w:rPr>
        <w:t xml:space="preserve"> у погледу обухвата деце уопште и обухвата деце из ромских насеља</w:t>
      </w:r>
      <w:r w:rsidRPr="00092ED7">
        <w:rPr>
          <w:rStyle w:val="FootnoteReference"/>
          <w:rFonts w:cs="Times New Roman"/>
          <w:lang w:val="sr-Cyrl-CS"/>
        </w:rPr>
        <w:footnoteReference w:id="54"/>
      </w:r>
      <w:r w:rsidRPr="00092ED7">
        <w:rPr>
          <w:rFonts w:cs="Times New Roman"/>
          <w:lang w:val="sr-Cyrl-CS"/>
        </w:rPr>
        <w:t>. У општој популацији 63% девојчица и 58% дечака обухваћено је образовањем у раном детињству, док је у ромским заједницама само 8% девојчица и 7% дечака обухваћено овим програмима</w:t>
      </w:r>
      <w:r w:rsidRPr="00092ED7">
        <w:rPr>
          <w:rStyle w:val="FootnoteReference"/>
          <w:rFonts w:cs="Times New Roman"/>
          <w:lang w:val="sr-Cyrl-CS"/>
        </w:rPr>
        <w:footnoteReference w:id="55"/>
      </w:r>
      <w:r w:rsidRPr="00092ED7">
        <w:rPr>
          <w:rFonts w:cs="Times New Roman"/>
          <w:lang w:val="sr-Cyrl-CS"/>
        </w:rPr>
        <w:t>. Скоро сва деца из опште популације (96% девојчица и 98% дечака) похађају припремни предшколски програм, али родне разлике постоје код деце из ромских насеља, међу којима је 73% девојчица и 79% дечака обухваћено овим програмом</w:t>
      </w:r>
      <w:r w:rsidRPr="00092ED7">
        <w:rPr>
          <w:rStyle w:val="FootnoteReference"/>
          <w:rFonts w:cs="Times New Roman"/>
          <w:lang w:val="sr-Cyrl-CS"/>
        </w:rPr>
        <w:footnoteReference w:id="56"/>
      </w:r>
      <w:r w:rsidRPr="00092ED7">
        <w:rPr>
          <w:rFonts w:cs="Times New Roman"/>
          <w:lang w:val="sr-Cyrl-CS"/>
        </w:rPr>
        <w:t>.</w:t>
      </w:r>
    </w:p>
    <w:p w14:paraId="2CE799B7" w14:textId="77777777" w:rsidR="00D210F0" w:rsidRPr="00092ED7" w:rsidRDefault="00D210F0" w:rsidP="00D210F0">
      <w:pPr>
        <w:spacing w:after="60"/>
        <w:rPr>
          <w:rFonts w:cs="Times New Roman"/>
          <w:lang w:val="sr-Cyrl-CS"/>
        </w:rPr>
      </w:pPr>
      <w:r w:rsidRPr="00092ED7">
        <w:rPr>
          <w:rFonts w:cs="Times New Roman"/>
          <w:lang w:val="sr-Cyrl-CS"/>
        </w:rPr>
        <w:t xml:space="preserve">Међу младима који завршавају </w:t>
      </w:r>
      <w:r w:rsidRPr="00092ED7">
        <w:rPr>
          <w:rFonts w:cs="Times New Roman"/>
          <w:b/>
          <w:lang w:val="sr-Cyrl-CS"/>
        </w:rPr>
        <w:t>средње четворогодишње опште образовање</w:t>
      </w:r>
      <w:r w:rsidRPr="00092ED7">
        <w:rPr>
          <w:rFonts w:cs="Times New Roman"/>
          <w:lang w:val="sr-Cyrl-CS"/>
        </w:rPr>
        <w:t xml:space="preserve"> (гимназије) више је девојчица (60%) него дечака (40%), док </w:t>
      </w:r>
      <w:r w:rsidRPr="00092ED7">
        <w:rPr>
          <w:rFonts w:cs="Times New Roman"/>
          <w:b/>
          <w:lang w:val="sr-Cyrl-CS"/>
        </w:rPr>
        <w:t>трогодишње средње стручне школе</w:t>
      </w:r>
      <w:r w:rsidRPr="00092ED7">
        <w:rPr>
          <w:rFonts w:cs="Times New Roman"/>
          <w:lang w:val="sr-Cyrl-CS"/>
        </w:rPr>
        <w:t xml:space="preserve"> завршава два пута више дечака него девојчица (31% девојчица према 69% дечака)</w:t>
      </w:r>
      <w:r w:rsidRPr="00092ED7">
        <w:rPr>
          <w:rStyle w:val="FootnoteReference"/>
          <w:rFonts w:cs="Times New Roman"/>
          <w:lang w:val="sr-Cyrl-CS"/>
        </w:rPr>
        <w:footnoteReference w:id="57"/>
      </w:r>
      <w:r w:rsidRPr="00092ED7">
        <w:rPr>
          <w:rFonts w:cs="Times New Roman"/>
          <w:lang w:val="sr-Cyrl-CS"/>
        </w:rPr>
        <w:t xml:space="preserve"> у 2021. години. Избор будућег занимања темељи се на још увек присутној традиционалној подели занимања на мушка и женска. Тако су девојчице бројније у следећим подручјима образовања: Текстилство и кожарство, Личне услуге и Здравство и социјална заштита, док су дечаци бројнији у подручјима образовања: Електротехника, Машинство и обрада метала, Геодезија и грађевинарство, Саобраћај, Шумарство и обрада дрвета и Геологија и рударство</w:t>
      </w:r>
      <w:r w:rsidRPr="00092ED7">
        <w:rPr>
          <w:rStyle w:val="FootnoteReference"/>
          <w:rFonts w:cs="Times New Roman"/>
          <w:lang w:val="sr-Cyrl-CS"/>
        </w:rPr>
        <w:footnoteReference w:id="58"/>
      </w:r>
      <w:r w:rsidRPr="00092ED7">
        <w:rPr>
          <w:rFonts w:cs="Times New Roman"/>
          <w:lang w:val="sr-Cyrl-CS"/>
        </w:rPr>
        <w:t>.</w:t>
      </w:r>
    </w:p>
    <w:p w14:paraId="4C00BCE6" w14:textId="77777777" w:rsidR="00D210F0" w:rsidRPr="00092ED7" w:rsidRDefault="00D210F0" w:rsidP="00D210F0">
      <w:pPr>
        <w:spacing w:after="60"/>
        <w:rPr>
          <w:rFonts w:cs="Times New Roman"/>
          <w:lang w:val="sr-Cyrl-CS"/>
        </w:rPr>
      </w:pPr>
      <w:r w:rsidRPr="00092ED7">
        <w:rPr>
          <w:rFonts w:cs="Times New Roman"/>
          <w:b/>
          <w:lang w:val="sr-Cyrl-CS"/>
        </w:rPr>
        <w:t>Високе школе и факултете више уписују и завршавају жене</w:t>
      </w:r>
      <w:r w:rsidRPr="00092ED7">
        <w:rPr>
          <w:rFonts w:cs="Times New Roman"/>
          <w:lang w:val="sr-Cyrl-CS"/>
        </w:rPr>
        <w:t>: међу студентима жена је 57%, међу дипломиранима 59%, као и међу онима који су докторирали 57% према подацима из 2019. године</w:t>
      </w:r>
      <w:r w:rsidRPr="00092ED7">
        <w:rPr>
          <w:rStyle w:val="FootnoteReference"/>
          <w:rFonts w:cs="Times New Roman"/>
          <w:lang w:val="sr-Cyrl-CS"/>
        </w:rPr>
        <w:footnoteReference w:id="59"/>
      </w:r>
      <w:r w:rsidRPr="00092ED7">
        <w:rPr>
          <w:rFonts w:cs="Times New Roman"/>
          <w:lang w:val="sr-Cyrl-CS"/>
        </w:rPr>
        <w:t>. Жене чине већину у многим подручјима образовања, као што су Здравство (71%), Уметност (68%) и Природне науке (66%), а мушкарци су бројнији у Инжењерству, производњи и грађевинарству (57%), Информационим и комуникационим технологијама (66%) и Услугама (56%).</w:t>
      </w:r>
    </w:p>
    <w:p w14:paraId="535B9EF7" w14:textId="7EB35DFC" w:rsidR="00D210F0" w:rsidRDefault="00D210F0" w:rsidP="00DB0B7B">
      <w:pPr>
        <w:spacing w:after="60"/>
        <w:rPr>
          <w:rFonts w:cs="Times New Roman"/>
          <w:lang w:val="sr-Cyrl-CS"/>
        </w:rPr>
      </w:pPr>
      <w:r w:rsidRPr="00092ED7">
        <w:rPr>
          <w:rFonts w:cs="Times New Roman"/>
          <w:lang w:val="sr-Cyrl-CS"/>
        </w:rPr>
        <w:t>Системска родна статистика о предузетништву жена још увек не постоји</w:t>
      </w:r>
      <w:r w:rsidR="00F514E3" w:rsidRPr="00092ED7">
        <w:rPr>
          <w:rFonts w:cs="Times New Roman"/>
          <w:lang w:val="sr-Cyrl-CS"/>
        </w:rPr>
        <w:t>,</w:t>
      </w:r>
      <w:r w:rsidRPr="00092ED7">
        <w:rPr>
          <w:rStyle w:val="FootnoteReference"/>
          <w:rFonts w:cs="Times New Roman"/>
          <w:lang w:val="sr-Cyrl-CS"/>
        </w:rPr>
        <w:footnoteReference w:id="60"/>
      </w:r>
      <w:r w:rsidRPr="00092ED7">
        <w:rPr>
          <w:rFonts w:cs="Times New Roman"/>
          <w:lang w:val="sr-Cyrl-CS"/>
        </w:rPr>
        <w:t xml:space="preserve"> али су остварени предуслови за напредак </w:t>
      </w:r>
      <w:r w:rsidR="00D0503A" w:rsidRPr="00092ED7">
        <w:rPr>
          <w:rFonts w:cs="Times New Roman"/>
          <w:lang w:val="sr-Cyrl-CS"/>
        </w:rPr>
        <w:t xml:space="preserve">Законом о </w:t>
      </w:r>
      <w:r w:rsidRPr="00092ED7">
        <w:rPr>
          <w:rFonts w:cs="Times New Roman"/>
          <w:b/>
          <w:lang w:val="sr-Cyrl-CS"/>
        </w:rPr>
        <w:t xml:space="preserve">изменама и допунама </w:t>
      </w:r>
      <w:r w:rsidRPr="00092ED7">
        <w:rPr>
          <w:rFonts w:cs="Times New Roman"/>
          <w:b/>
          <w:i/>
          <w:lang w:val="sr-Cyrl-CS"/>
        </w:rPr>
        <w:t>Закона о привредним друштвима</w:t>
      </w:r>
      <w:r w:rsidR="009023C8" w:rsidRPr="00092ED7">
        <w:rPr>
          <w:rFonts w:cs="Times New Roman"/>
          <w:b/>
          <w:i/>
          <w:lang w:val="sr-Cyrl-CS"/>
        </w:rPr>
        <w:t xml:space="preserve"> (</w:t>
      </w:r>
      <w:r w:rsidR="009023C8" w:rsidRPr="00092ED7">
        <w:rPr>
          <w:sz w:val="16"/>
          <w:szCs w:val="16"/>
          <w:lang w:val="sr-Cyrl-CS"/>
        </w:rPr>
        <w:t>„</w:t>
      </w:r>
      <w:r w:rsidR="009023C8" w:rsidRPr="00092ED7">
        <w:rPr>
          <w:szCs w:val="24"/>
          <w:lang w:val="sr-Cyrl-CS"/>
        </w:rPr>
        <w:t>Службени гласник РС</w:t>
      </w:r>
      <w:r w:rsidR="009023C8" w:rsidRPr="00092ED7">
        <w:rPr>
          <w:rFonts w:cs="Times New Roman"/>
          <w:szCs w:val="24"/>
          <w:lang w:val="sr-Cyrl-CS"/>
        </w:rPr>
        <w:t>”</w:t>
      </w:r>
      <w:r w:rsidR="00F514E3" w:rsidRPr="00092ED7">
        <w:rPr>
          <w:szCs w:val="24"/>
          <w:lang w:val="sr-Cyrl-CS"/>
        </w:rPr>
        <w:t xml:space="preserve">, </w:t>
      </w:r>
      <w:r w:rsidR="009023C8" w:rsidRPr="00092ED7">
        <w:rPr>
          <w:szCs w:val="24"/>
          <w:lang w:val="sr-Cyrl-CS"/>
        </w:rPr>
        <w:t>бр</w:t>
      </w:r>
      <w:r w:rsidR="00D0503A" w:rsidRPr="00092ED7">
        <w:rPr>
          <w:szCs w:val="24"/>
          <w:lang w:val="sr-Cyrl-CS"/>
        </w:rPr>
        <w:t>ој</w:t>
      </w:r>
      <w:r w:rsidR="009023C8" w:rsidRPr="00092ED7">
        <w:rPr>
          <w:szCs w:val="24"/>
          <w:lang w:val="sr-Cyrl-CS"/>
        </w:rPr>
        <w:t xml:space="preserve"> 109/21)</w:t>
      </w:r>
      <w:r w:rsidRPr="00092ED7">
        <w:rPr>
          <w:rFonts w:cs="Times New Roman"/>
          <w:lang w:val="sr-Cyrl-CS"/>
        </w:rPr>
        <w:t>, којим је предмет регистрације у Агенцији за привредне регистре и податак о полу. Неке анализе указују да је удео фирми у власништву жена знатно испод њиховог учешћа у укупној економији. Жене су власнице само 31,7% предузетничких радњи и фирми у Републици Србији, а међу предузећима која добијају средства на конкурсима за подршку развоју бизниса тек је свака пета у њиховом власништву</w:t>
      </w:r>
      <w:r w:rsidRPr="00092ED7">
        <w:rPr>
          <w:rStyle w:val="FootnoteReference"/>
          <w:rFonts w:cs="Times New Roman"/>
          <w:lang w:val="sr-Cyrl-CS"/>
        </w:rPr>
        <w:footnoteReference w:id="61"/>
      </w:r>
      <w:r w:rsidRPr="00092ED7">
        <w:rPr>
          <w:rFonts w:cs="Times New Roman"/>
          <w:lang w:val="sr-Cyrl-CS"/>
        </w:rPr>
        <w:t>. Чињенице указују на то да су баријере са којима се суочавају жене предузетнице често знатно веће него када су у питању мушкарци, јер жене теже приступају кредитима, финансијама и капиталу, имају мање могућности за умрежавање, присутна је родна сегре</w:t>
      </w:r>
      <w:r w:rsidR="003E4E2A" w:rsidRPr="00092ED7">
        <w:rPr>
          <w:rFonts w:cs="Times New Roman"/>
          <w:lang w:val="sr-Cyrl-CS"/>
        </w:rPr>
        <w:t>г</w:t>
      </w:r>
      <w:r w:rsidRPr="00092ED7">
        <w:rPr>
          <w:rFonts w:cs="Times New Roman"/>
          <w:lang w:val="sr-Cyrl-CS"/>
        </w:rPr>
        <w:t xml:space="preserve">ација у образовању, теже усклађују рад, приватни и породични живот и често отежано послују услед предрасуда и стереотипа о женама у бизнису, а нема развијених мера које би системски отклањале ове баријере. Тренутно је у фази израде студија о предузетништву жена у </w:t>
      </w:r>
      <w:r w:rsidR="009023C8" w:rsidRPr="00092ED7">
        <w:rPr>
          <w:rFonts w:cs="Times New Roman"/>
          <w:lang w:val="sr-Cyrl-CS"/>
        </w:rPr>
        <w:t xml:space="preserve">Републици </w:t>
      </w:r>
      <w:r w:rsidRPr="00092ED7">
        <w:rPr>
          <w:rFonts w:cs="Times New Roman"/>
          <w:lang w:val="sr-Cyrl-CS"/>
        </w:rPr>
        <w:t>Србији, која треба да анализира положај жена предузетница и предложи мере које у будућем периоду треба спровести и услове које је неопходно створити да би се жене у већем броју укључиле у предузетништво и успешно пословале.</w:t>
      </w:r>
    </w:p>
    <w:p w14:paraId="7CEE5AA5" w14:textId="77777777" w:rsidR="00D210F0" w:rsidRPr="00092ED7" w:rsidRDefault="00D210F0" w:rsidP="00D210F0">
      <w:pPr>
        <w:spacing w:after="60"/>
        <w:rPr>
          <w:rFonts w:cs="Times New Roman"/>
          <w:lang w:val="sr-Cyrl-CS"/>
        </w:rPr>
      </w:pPr>
      <w:r w:rsidRPr="00092ED7">
        <w:rPr>
          <w:rFonts w:cs="Times New Roman"/>
          <w:lang w:val="sr-Cyrl-CS"/>
        </w:rPr>
        <w:t>Родни дисбаланс је високо изражен у</w:t>
      </w:r>
      <w:r w:rsidRPr="00092ED7">
        <w:rPr>
          <w:rFonts w:cs="Times New Roman"/>
          <w:b/>
          <w:lang w:val="sr-Cyrl-CS"/>
        </w:rPr>
        <w:t xml:space="preserve"> технолошком, односно ИКТ сектору</w:t>
      </w:r>
      <w:r w:rsidRPr="00092ED7">
        <w:rPr>
          <w:rFonts w:cs="Times New Roman"/>
          <w:lang w:val="sr-Cyrl-CS"/>
        </w:rPr>
        <w:t>, који представља најбоље перспективе за напредовање и у економском погледу и у погледу учешћа у креирању будућности. Подаци о родној структури указују на доминантно учешће мушкараца у ИКТ сектору, који чине две трећине запослених у целом сектору.</w:t>
      </w:r>
    </w:p>
    <w:p w14:paraId="5F1861E1" w14:textId="148E3F85" w:rsidR="00D210F0" w:rsidRPr="00092ED7" w:rsidRDefault="00D210F0" w:rsidP="00DB0B7B">
      <w:pPr>
        <w:spacing w:after="60" w:line="235" w:lineRule="auto"/>
        <w:rPr>
          <w:rFonts w:cs="Times New Roman"/>
          <w:lang w:val="sr-Cyrl-CS"/>
        </w:rPr>
      </w:pPr>
      <w:r w:rsidRPr="00092ED7">
        <w:rPr>
          <w:rFonts w:cs="Times New Roman"/>
          <w:lang w:val="sr-Cyrl-CS"/>
        </w:rPr>
        <w:t xml:space="preserve">Родни јаз и даље је присутан у </w:t>
      </w:r>
      <w:r w:rsidRPr="00092ED7">
        <w:rPr>
          <w:rFonts w:cs="Times New Roman"/>
          <w:b/>
          <w:lang w:val="sr-Cyrl-CS"/>
        </w:rPr>
        <w:t>политичком животу</w:t>
      </w:r>
      <w:r w:rsidRPr="00092ED7">
        <w:rPr>
          <w:rFonts w:cs="Times New Roman"/>
          <w:lang w:val="sr-Cyrl-CS"/>
        </w:rPr>
        <w:t xml:space="preserve">, посебно у политичким странкама, приступу руководећим местима у институцијама, јавним установама, највишим позицијама у </w:t>
      </w:r>
      <w:r w:rsidR="00EB5D17" w:rsidRPr="00092ED7">
        <w:rPr>
          <w:rFonts w:cs="Times New Roman"/>
          <w:lang w:val="sr-Cyrl-CS"/>
        </w:rPr>
        <w:t>ЈЛС</w:t>
      </w:r>
      <w:r w:rsidRPr="00092ED7">
        <w:rPr>
          <w:rFonts w:cs="Times New Roman"/>
          <w:lang w:val="sr-Cyrl-CS"/>
        </w:rPr>
        <w:t xml:space="preserve"> и месним заједницама. </w:t>
      </w:r>
      <w:r w:rsidRPr="00092ED7">
        <w:rPr>
          <w:rFonts w:cs="Times New Roman"/>
          <w:b/>
          <w:lang w:val="sr-Cyrl-CS"/>
        </w:rPr>
        <w:t>Квоте</w:t>
      </w:r>
      <w:r w:rsidRPr="00092ED7">
        <w:rPr>
          <w:rFonts w:cs="Times New Roman"/>
          <w:lang w:val="sr-Cyrl-CS"/>
        </w:rPr>
        <w:t xml:space="preserve"> за мање заступљени пол од 40% и резервисана места на изборним листама у Републици Србији регулисане су </w:t>
      </w:r>
      <w:r w:rsidR="00AE3D56" w:rsidRPr="00092ED7">
        <w:rPr>
          <w:rFonts w:cs="Times New Roman"/>
          <w:lang w:val="sr-Cyrl-CS"/>
        </w:rPr>
        <w:t xml:space="preserve">прописима који уређују избор народних посланика, односно одборника на локалним изборима, као </w:t>
      </w:r>
      <w:r w:rsidRPr="00092ED7">
        <w:rPr>
          <w:rFonts w:cs="Times New Roman"/>
          <w:lang w:val="sr-Cyrl-CS"/>
        </w:rPr>
        <w:t xml:space="preserve">и </w:t>
      </w:r>
      <w:r w:rsidR="00AE3D56" w:rsidRPr="00092ED7">
        <w:rPr>
          <w:rFonts w:cs="Times New Roman"/>
          <w:lang w:val="sr-Cyrl-CS"/>
        </w:rPr>
        <w:t xml:space="preserve">посланика  у скупштини </w:t>
      </w:r>
      <w:r w:rsidR="00AE3D56" w:rsidRPr="00092ED7">
        <w:rPr>
          <w:rFonts w:cs="Times New Roman"/>
          <w:iCs/>
          <w:lang w:val="sr-Cyrl-CS"/>
        </w:rPr>
        <w:t xml:space="preserve">Аутономне </w:t>
      </w:r>
      <w:r w:rsidR="00D508CD" w:rsidRPr="00092ED7">
        <w:rPr>
          <w:rFonts w:cs="Times New Roman"/>
          <w:iCs/>
          <w:lang w:val="sr-Cyrl-CS"/>
        </w:rPr>
        <w:t>п</w:t>
      </w:r>
      <w:r w:rsidR="00AE3D56" w:rsidRPr="00092ED7">
        <w:rPr>
          <w:rFonts w:cs="Times New Roman"/>
          <w:iCs/>
          <w:lang w:val="sr-Cyrl-CS"/>
        </w:rPr>
        <w:t>окрајине Војводине</w:t>
      </w:r>
      <w:r w:rsidR="00AE3D56" w:rsidRPr="00092ED7">
        <w:rPr>
          <w:rFonts w:cs="Times New Roman"/>
          <w:i/>
          <w:lang w:val="sr-Cyrl-CS"/>
        </w:rPr>
        <w:t xml:space="preserve"> </w:t>
      </w:r>
      <w:r w:rsidRPr="00092ED7">
        <w:rPr>
          <w:rFonts w:cs="Times New Roman"/>
          <w:lang w:val="sr-Cyrl-CS"/>
        </w:rPr>
        <w:t>током 2020. године. Актуелни сазив Народне скупштине Републике Србије чини 87 посланица (36,6%) и 151 посланик (63,4%). Народна скупштина има 20 одбора</w:t>
      </w:r>
      <w:r w:rsidRPr="00092ED7">
        <w:rPr>
          <w:rStyle w:val="FootnoteReference"/>
          <w:rFonts w:cs="Times New Roman"/>
          <w:lang w:val="sr-Cyrl-CS"/>
        </w:rPr>
        <w:footnoteReference w:id="62"/>
      </w:r>
      <w:r w:rsidRPr="00092ED7">
        <w:rPr>
          <w:rFonts w:cs="Times New Roman"/>
          <w:lang w:val="sr-Cyrl-CS"/>
        </w:rPr>
        <w:t xml:space="preserve">: жене су на челу четири (20%), а мушкарци 16 (80%) одбора. Влада има </w:t>
      </w:r>
      <w:r w:rsidR="00D508CD" w:rsidRPr="00092ED7">
        <w:rPr>
          <w:rFonts w:cs="Times New Roman"/>
          <w:lang w:val="sr-Cyrl-CS"/>
        </w:rPr>
        <w:t>девет</w:t>
      </w:r>
      <w:r w:rsidRPr="00092ED7">
        <w:rPr>
          <w:rFonts w:cs="Times New Roman"/>
          <w:lang w:val="sr-Cyrl-CS"/>
        </w:rPr>
        <w:t xml:space="preserve"> министарки (32%), а на функцији председника Владе налази се жена од 2017. године.</w:t>
      </w:r>
    </w:p>
    <w:p w14:paraId="456FCAFB" w14:textId="77777777" w:rsidR="00D210F0" w:rsidRPr="00092ED7" w:rsidRDefault="00D210F0" w:rsidP="00DB0B7B">
      <w:pPr>
        <w:spacing w:after="60" w:line="235" w:lineRule="auto"/>
        <w:rPr>
          <w:rFonts w:cs="Times New Roman"/>
          <w:lang w:val="sr-Cyrl-CS"/>
        </w:rPr>
      </w:pPr>
      <w:r w:rsidRPr="00092ED7">
        <w:rPr>
          <w:rFonts w:cs="Times New Roman"/>
          <w:b/>
          <w:lang w:val="sr-Cyrl-CS"/>
        </w:rPr>
        <w:t>Институционални механизми за родну равноправност</w:t>
      </w:r>
      <w:r w:rsidRPr="00092ED7">
        <w:rPr>
          <w:rFonts w:cs="Times New Roman"/>
          <w:lang w:val="sr-Cyrl-CS"/>
        </w:rPr>
        <w:t xml:space="preserve"> у Републици Србији постоје на националном, покрајинском и локалном нивоу. Представљају кључну подршку уродњавању јавних политика и спровођењу политике једнаких могућности. Међутим, ове институције нису у довољној мери развијене и оснажене (пре свега узимајући у обзир одговарајуће ресурсе) да могу да координираном акцијом изнесу све одредбе прописане законима.</w:t>
      </w:r>
    </w:p>
    <w:p w14:paraId="6CCADBA5" w14:textId="36233916" w:rsidR="00D210F0" w:rsidRPr="00092ED7" w:rsidRDefault="00D210F0" w:rsidP="00DB0B7B">
      <w:pPr>
        <w:spacing w:after="60" w:line="235" w:lineRule="auto"/>
        <w:rPr>
          <w:rFonts w:cs="Times New Roman"/>
          <w:lang w:val="sr-Cyrl-CS"/>
        </w:rPr>
      </w:pPr>
      <w:r w:rsidRPr="00092ED7">
        <w:rPr>
          <w:rFonts w:cs="Times New Roman"/>
          <w:b/>
          <w:lang w:val="sr-Cyrl-CS"/>
        </w:rPr>
        <w:t>Област родне</w:t>
      </w:r>
      <w:r w:rsidRPr="00092ED7">
        <w:rPr>
          <w:rFonts w:cs="Times New Roman"/>
          <w:lang w:val="sr-Cyrl-CS"/>
        </w:rPr>
        <w:t xml:space="preserve"> </w:t>
      </w:r>
      <w:r w:rsidRPr="00092ED7">
        <w:rPr>
          <w:rFonts w:cs="Times New Roman"/>
          <w:b/>
          <w:lang w:val="sr-Cyrl-CS"/>
        </w:rPr>
        <w:t>равноправности</w:t>
      </w:r>
      <w:r w:rsidRPr="00092ED7">
        <w:rPr>
          <w:rFonts w:cs="Times New Roman"/>
          <w:lang w:val="sr-Cyrl-CS"/>
        </w:rPr>
        <w:t xml:space="preserve"> у Републици Србији регулисана је правним актима који за циљ имају побољшање стања у овој области. Кровни закон који уређује област родне равноправности и у највећој мери утиче на положај жена у Републици Србији, је </w:t>
      </w:r>
      <w:r w:rsidRPr="00092ED7">
        <w:rPr>
          <w:rFonts w:cs="Times New Roman"/>
          <w:b/>
          <w:i/>
          <w:lang w:val="sr-Cyrl-CS"/>
        </w:rPr>
        <w:t>Закон о родној равноправности</w:t>
      </w:r>
      <w:r w:rsidRPr="00092ED7">
        <w:rPr>
          <w:rFonts w:cs="Times New Roman"/>
          <w:b/>
          <w:lang w:val="sr-Cyrl-CS"/>
        </w:rPr>
        <w:t xml:space="preserve"> </w:t>
      </w:r>
      <w:r w:rsidRPr="00092ED7">
        <w:rPr>
          <w:rFonts w:cs="Times New Roman"/>
          <w:lang w:val="sr-Cyrl-CS"/>
        </w:rPr>
        <w:t>(„Службени гласник РС</w:t>
      </w:r>
      <w:r w:rsidR="000B49AA" w:rsidRPr="00092ED7">
        <w:rPr>
          <w:rFonts w:cs="Times New Roman"/>
          <w:szCs w:val="24"/>
          <w:lang w:val="sr-Cyrl-CS"/>
        </w:rPr>
        <w:t>”</w:t>
      </w:r>
      <w:r w:rsidRPr="00092ED7">
        <w:rPr>
          <w:rFonts w:cs="Times New Roman"/>
          <w:lang w:val="sr-Cyrl-CS"/>
        </w:rPr>
        <w:t xml:space="preserve">, број 52/21) </w:t>
      </w:r>
      <w:r w:rsidRPr="00092ED7">
        <w:rPr>
          <w:rFonts w:cs="Times New Roman"/>
          <w:b/>
          <w:lang w:val="sr-Cyrl-CS"/>
        </w:rPr>
        <w:t>усвојен 2021. године</w:t>
      </w:r>
      <w:r w:rsidRPr="00092ED7">
        <w:rPr>
          <w:rFonts w:cs="Times New Roman"/>
          <w:lang w:val="sr-Cyrl-CS"/>
        </w:rPr>
        <w:t xml:space="preserve">. Закон представља још један корак у побољшању положаја жена и спречавању дискриминације приликом запошљавања, остваривања права на зараду, социјалне и здравствене заштите, укључујући и медијске садржаје, који не би смели да подстичу родну дискриминацију, предрасуде и стереотипе према женама, при чему прецизније утврђује обавезе органа јавних власти. Такође, усвојена је и </w:t>
      </w:r>
      <w:r w:rsidRPr="00092ED7">
        <w:rPr>
          <w:rFonts w:cs="Times New Roman"/>
          <w:b/>
          <w:i/>
          <w:lang w:val="sr-Cyrl-CS"/>
        </w:rPr>
        <w:t xml:space="preserve">Стратегија за родну равноправност за период од 2021. до 2030. године </w:t>
      </w:r>
      <w:r w:rsidRPr="00092ED7">
        <w:rPr>
          <w:rFonts w:cs="Times New Roman"/>
          <w:lang w:val="sr-Cyrl-CS"/>
        </w:rPr>
        <w:t>(„Службени гласник РС</w:t>
      </w:r>
      <w:r w:rsidR="000B49AA" w:rsidRPr="00092ED7">
        <w:rPr>
          <w:rFonts w:cs="Times New Roman"/>
          <w:szCs w:val="24"/>
          <w:lang w:val="sr-Cyrl-CS"/>
        </w:rPr>
        <w:t>”</w:t>
      </w:r>
      <w:r w:rsidRPr="00092ED7">
        <w:rPr>
          <w:rFonts w:cs="Times New Roman"/>
          <w:lang w:val="sr-Cyrl-CS"/>
        </w:rPr>
        <w:t xml:space="preserve">, број 103/21) и Акциони план </w:t>
      </w:r>
      <w:r w:rsidR="0008490E" w:rsidRPr="00092ED7">
        <w:rPr>
          <w:rFonts w:cs="Times New Roman"/>
          <w:lang w:val="sr-Cyrl-CS"/>
        </w:rPr>
        <w:t>за 2022. и 2023. годину за спровођење Стратегије за родну равноправност за период од 2021. до 2030. године („Службени гласник РС”, број 99/22)</w:t>
      </w:r>
      <w:r w:rsidRPr="00092ED7">
        <w:rPr>
          <w:rFonts w:cs="Times New Roman"/>
          <w:lang w:val="sr-Cyrl-CS"/>
        </w:rPr>
        <w:t xml:space="preserve">, којом се обезбеђује континуитет у планирању кроз примену политике једнаких могућности и родне равноправности. </w:t>
      </w:r>
    </w:p>
    <w:p w14:paraId="3D592853" w14:textId="4E519045" w:rsidR="00D210F0" w:rsidRPr="00092ED7" w:rsidRDefault="00D210F0" w:rsidP="00DB0B7B">
      <w:pPr>
        <w:spacing w:after="60" w:line="235" w:lineRule="auto"/>
        <w:rPr>
          <w:rFonts w:cs="Times New Roman"/>
          <w:lang w:val="sr-Cyrl-CS"/>
        </w:rPr>
      </w:pPr>
      <w:r w:rsidRPr="00092ED7">
        <w:rPr>
          <w:rFonts w:cs="Times New Roman"/>
          <w:lang w:val="sr-Cyrl-CS"/>
        </w:rPr>
        <w:t xml:space="preserve">За доношење одлука ка достизању родне равноправности од виталног значаја је </w:t>
      </w:r>
      <w:r w:rsidRPr="00092ED7">
        <w:rPr>
          <w:rFonts w:cs="Times New Roman"/>
          <w:b/>
          <w:lang w:val="sr-Cyrl-CS"/>
        </w:rPr>
        <w:t>родно осетљива статистика</w:t>
      </w:r>
      <w:r w:rsidRPr="00092ED7">
        <w:rPr>
          <w:rFonts w:cs="Times New Roman"/>
          <w:lang w:val="sr-Cyrl-CS"/>
        </w:rPr>
        <w:t xml:space="preserve">. Идентификовање потребних података како би се </w:t>
      </w:r>
      <w:r w:rsidRPr="00092ED7">
        <w:rPr>
          <w:rFonts w:cs="Times New Roman"/>
          <w:b/>
          <w:lang w:val="sr-Cyrl-CS"/>
        </w:rPr>
        <w:t xml:space="preserve">разумели проблеми и идентифиовали циљеви </w:t>
      </w:r>
      <w:r w:rsidRPr="00092ED7">
        <w:rPr>
          <w:rFonts w:cs="Times New Roman"/>
          <w:lang w:val="sr-Cyrl-CS"/>
        </w:rPr>
        <w:t xml:space="preserve">повезани са родним питањима од суштинског је значаја за производњу родне статистике. </w:t>
      </w:r>
      <w:r w:rsidRPr="00092ED7">
        <w:rPr>
          <w:rFonts w:cs="Times New Roman"/>
          <w:i/>
          <w:lang w:val="sr-Cyrl-CS"/>
        </w:rPr>
        <w:t>Закон</w:t>
      </w:r>
      <w:r w:rsidR="007A375E" w:rsidRPr="00092ED7">
        <w:rPr>
          <w:rFonts w:cs="Times New Roman"/>
          <w:i/>
          <w:lang w:val="sr-Cyrl-CS"/>
        </w:rPr>
        <w:t>om</w:t>
      </w:r>
      <w:r w:rsidRPr="00092ED7">
        <w:rPr>
          <w:rFonts w:cs="Times New Roman"/>
          <w:i/>
          <w:lang w:val="sr-Cyrl-CS"/>
        </w:rPr>
        <w:t xml:space="preserve"> о родној равноправности</w:t>
      </w:r>
      <w:r w:rsidRPr="00092ED7">
        <w:rPr>
          <w:rFonts w:cs="Times New Roman"/>
          <w:lang w:val="sr-Cyrl-CS"/>
        </w:rPr>
        <w:t xml:space="preserve"> </w:t>
      </w:r>
      <w:r w:rsidR="007A375E" w:rsidRPr="00092ED7">
        <w:rPr>
          <w:rFonts w:cs="Times New Roman"/>
          <w:lang w:val="sr-Cyrl-CS"/>
        </w:rPr>
        <w:t xml:space="preserve">уређују се </w:t>
      </w:r>
      <w:r w:rsidRPr="00092ED7">
        <w:rPr>
          <w:rFonts w:cs="Times New Roman"/>
          <w:lang w:val="sr-Cyrl-CS"/>
        </w:rPr>
        <w:t>родно осетљив</w:t>
      </w:r>
      <w:r w:rsidR="007A375E" w:rsidRPr="00092ED7">
        <w:rPr>
          <w:rFonts w:cs="Times New Roman"/>
          <w:lang w:val="sr-Cyrl-CS"/>
        </w:rPr>
        <w:t>и</w:t>
      </w:r>
      <w:r w:rsidRPr="00092ED7">
        <w:rPr>
          <w:rFonts w:cs="Times New Roman"/>
          <w:lang w:val="sr-Cyrl-CS"/>
        </w:rPr>
        <w:t xml:space="preserve"> пода</w:t>
      </w:r>
      <w:r w:rsidR="007A375E" w:rsidRPr="00092ED7">
        <w:rPr>
          <w:rFonts w:cs="Times New Roman"/>
          <w:lang w:val="sr-Cyrl-CS"/>
        </w:rPr>
        <w:t>ци</w:t>
      </w:r>
      <w:r w:rsidRPr="00092ED7">
        <w:rPr>
          <w:rFonts w:cs="Times New Roman"/>
          <w:lang w:val="sr-Cyrl-CS"/>
        </w:rPr>
        <w:t xml:space="preserve"> које треба прикупљати, </w:t>
      </w:r>
      <w:r w:rsidR="007A375E" w:rsidRPr="00092ED7">
        <w:rPr>
          <w:rFonts w:cs="Times New Roman"/>
          <w:lang w:val="sr-Cyrl-CS"/>
        </w:rPr>
        <w:t xml:space="preserve">а </w:t>
      </w:r>
      <w:r w:rsidRPr="00092ED7">
        <w:rPr>
          <w:rFonts w:cs="Times New Roman"/>
          <w:lang w:val="sr-Cyrl-CS"/>
        </w:rPr>
        <w:t xml:space="preserve">изричито </w:t>
      </w:r>
      <w:r w:rsidR="007A375E" w:rsidRPr="00092ED7">
        <w:rPr>
          <w:rFonts w:cs="Times New Roman"/>
          <w:lang w:val="sr-Cyrl-CS"/>
        </w:rPr>
        <w:t xml:space="preserve">се </w:t>
      </w:r>
      <w:r w:rsidRPr="00092ED7">
        <w:rPr>
          <w:rFonts w:cs="Times New Roman"/>
          <w:lang w:val="sr-Cyrl-CS"/>
        </w:rPr>
        <w:t xml:space="preserve">прописује да је то обавеза органа јавне власти, послодаваца и тела за родну равноправност; прецизира </w:t>
      </w:r>
      <w:r w:rsidR="007A375E" w:rsidRPr="00092ED7">
        <w:rPr>
          <w:rFonts w:cs="Times New Roman"/>
          <w:lang w:val="sr-Cyrl-CS"/>
        </w:rPr>
        <w:t xml:space="preserve">се </w:t>
      </w:r>
      <w:r w:rsidRPr="00092ED7">
        <w:rPr>
          <w:rFonts w:cs="Times New Roman"/>
          <w:lang w:val="sr-Cyrl-CS"/>
        </w:rPr>
        <w:t xml:space="preserve">које податке евидентирају послодавци и органи јавне власти, а које тела за родну равноправност; налаже </w:t>
      </w:r>
      <w:r w:rsidR="007A375E" w:rsidRPr="00092ED7">
        <w:rPr>
          <w:rFonts w:cs="Times New Roman"/>
          <w:lang w:val="sr-Cyrl-CS"/>
        </w:rPr>
        <w:t xml:space="preserve">се </w:t>
      </w:r>
      <w:r w:rsidRPr="00092ED7">
        <w:rPr>
          <w:rFonts w:cs="Times New Roman"/>
          <w:lang w:val="sr-Cyrl-CS"/>
        </w:rPr>
        <w:t>да се подаци исказују бројчано и процентуално, да не могу садржавати податке о личности и да морају бити ажурни.</w:t>
      </w:r>
    </w:p>
    <w:p w14:paraId="206CDAD6" w14:textId="77777777" w:rsidR="00D210F0" w:rsidRPr="00092ED7" w:rsidRDefault="00D210F0" w:rsidP="00DB0B7B">
      <w:pPr>
        <w:spacing w:before="120" w:after="80" w:line="235" w:lineRule="auto"/>
        <w:rPr>
          <w:rFonts w:eastAsia="Times New Roman" w:cs="Times New Roman"/>
          <w:b/>
          <w:bCs/>
          <w:szCs w:val="24"/>
          <w:lang w:val="sr-Cyrl-CS"/>
        </w:rPr>
      </w:pPr>
      <w:r w:rsidRPr="00092ED7">
        <w:rPr>
          <w:rFonts w:eastAsia="Times New Roman" w:cs="Times New Roman"/>
          <w:b/>
          <w:bCs/>
          <w:szCs w:val="24"/>
          <w:lang w:val="sr-Cyrl-CS"/>
        </w:rPr>
        <w:t>а) Реформе</w:t>
      </w:r>
    </w:p>
    <w:p w14:paraId="0B13FFB0" w14:textId="2DD71A31" w:rsidR="00D210F0" w:rsidRPr="00092ED7" w:rsidRDefault="00D210F0" w:rsidP="00DB0B7B">
      <w:pPr>
        <w:spacing w:before="80" w:line="235" w:lineRule="auto"/>
        <w:rPr>
          <w:rFonts w:eastAsia="Calibri" w:cs="Times New Roman"/>
          <w:szCs w:val="24"/>
          <w:lang w:val="sr-Cyrl-CS"/>
        </w:rPr>
      </w:pPr>
      <w:r w:rsidRPr="00092ED7">
        <w:rPr>
          <w:rFonts w:eastAsia="Calibri" w:cs="Times New Roman"/>
          <w:b/>
          <w:szCs w:val="24"/>
          <w:u w:val="single"/>
          <w:lang w:val="sr-Cyrl-CS"/>
        </w:rPr>
        <w:t xml:space="preserve">СТРУКТУРНА РЕФОРМА </w:t>
      </w:r>
      <w:r w:rsidRPr="00092ED7">
        <w:rPr>
          <w:rFonts w:eastAsia="Calibri" w:cs="Times New Roman"/>
          <w:b/>
          <w:i/>
          <w:szCs w:val="24"/>
          <w:u w:val="single"/>
          <w:lang w:val="sr-Cyrl-CS"/>
        </w:rPr>
        <w:fldChar w:fldCharType="begin"/>
      </w:r>
      <w:r w:rsidRPr="00092ED7">
        <w:rPr>
          <w:rFonts w:eastAsia="Calibri" w:cs="Times New Roman"/>
          <w:b/>
          <w:szCs w:val="24"/>
          <w:u w:val="single"/>
          <w:lang w:val="sr-Cyrl-CS"/>
        </w:rPr>
        <w:instrText xml:space="preserve"> SEQ СТРУКТУРНА_РЕФОРМА \* ARABIC </w:instrText>
      </w:r>
      <w:r w:rsidRPr="00092ED7">
        <w:rPr>
          <w:rFonts w:eastAsia="Calibri" w:cs="Times New Roman"/>
          <w:b/>
          <w:i/>
          <w:szCs w:val="24"/>
          <w:u w:val="single"/>
          <w:lang w:val="sr-Cyrl-CS"/>
        </w:rPr>
        <w:fldChar w:fldCharType="separate"/>
      </w:r>
      <w:r w:rsidR="0032051C">
        <w:rPr>
          <w:rFonts w:eastAsia="Calibri" w:cs="Times New Roman"/>
          <w:b/>
          <w:noProof/>
          <w:szCs w:val="24"/>
          <w:u w:val="single"/>
          <w:lang w:val="sr-Cyrl-CS"/>
        </w:rPr>
        <w:t>1</w:t>
      </w:r>
      <w:r w:rsidRPr="00092ED7">
        <w:rPr>
          <w:rFonts w:eastAsia="Calibri" w:cs="Times New Roman"/>
          <w:b/>
          <w:i/>
          <w:szCs w:val="24"/>
          <w:u w:val="single"/>
          <w:lang w:val="sr-Cyrl-CS"/>
        </w:rPr>
        <w:fldChar w:fldCharType="end"/>
      </w:r>
      <w:r w:rsidRPr="00092ED7">
        <w:rPr>
          <w:rFonts w:eastAsia="Calibri" w:cs="Times New Roman"/>
          <w:b/>
          <w:szCs w:val="24"/>
          <w:lang w:val="sr-Cyrl-CS"/>
        </w:rPr>
        <w:t xml:space="preserve">: </w:t>
      </w:r>
      <w:r w:rsidRPr="00092ED7">
        <w:rPr>
          <w:rFonts w:eastAsia="Calibri" w:cs="Times New Roman"/>
          <w:szCs w:val="24"/>
          <w:lang w:val="sr-Cyrl-CS"/>
        </w:rPr>
        <w:t xml:space="preserve">УСПОСТАВЉАЊЕ ОКВИРА ЗА УВОЂЕЊЕ </w:t>
      </w:r>
      <w:r w:rsidR="00A735B6" w:rsidRPr="00092ED7">
        <w:rPr>
          <w:rFonts w:eastAsia="Calibri" w:cs="Times New Roman"/>
          <w:szCs w:val="24"/>
          <w:lang w:val="sr-Cyrl-CS"/>
        </w:rPr>
        <w:t xml:space="preserve">ГАРАНЦИЈЕ </w:t>
      </w:r>
      <w:r w:rsidRPr="00092ED7">
        <w:rPr>
          <w:rFonts w:eastAsia="Calibri" w:cs="Times New Roman"/>
          <w:szCs w:val="24"/>
          <w:lang w:val="sr-Cyrl-CS"/>
        </w:rPr>
        <w:t>ЗА МЛАДЕ У РЕПУБЛИЦИ СРБИЈИ</w:t>
      </w:r>
    </w:p>
    <w:p w14:paraId="1944C268" w14:textId="77777777" w:rsidR="00D210F0" w:rsidRPr="00092ED7" w:rsidRDefault="00D210F0" w:rsidP="00DB0B7B">
      <w:pPr>
        <w:widowControl w:val="0"/>
        <w:numPr>
          <w:ilvl w:val="0"/>
          <w:numId w:val="11"/>
        </w:numPr>
        <w:spacing w:before="120" w:line="235" w:lineRule="auto"/>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Опис структурне реформе</w:t>
      </w:r>
    </w:p>
    <w:p w14:paraId="7DE2BD7C" w14:textId="77777777" w:rsidR="00D210F0" w:rsidRPr="00092ED7" w:rsidRDefault="00D210F0" w:rsidP="00DB0B7B">
      <w:pPr>
        <w:widowControl w:val="0"/>
        <w:spacing w:after="60" w:line="235" w:lineRule="auto"/>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Циљ структурне реформе је да се младима омогући квалитетна понуда за посао, наставак образовања, пракса или обука у року од четири месеца од уласка у статус незапослености или </w:t>
      </w:r>
      <w:r w:rsidR="002126A3" w:rsidRPr="00092ED7">
        <w:rPr>
          <w:rFonts w:eastAsia="Calibri" w:cs="Times New Roman"/>
          <w:szCs w:val="24"/>
          <w:lang w:val="sr-Cyrl-CS" w:eastAsia="sr-Cyrl-CS" w:bidi="sr-Cyrl-CS"/>
        </w:rPr>
        <w:t>напуштања/</w:t>
      </w:r>
      <w:r w:rsidRPr="00092ED7">
        <w:rPr>
          <w:rFonts w:eastAsia="Calibri" w:cs="Times New Roman"/>
          <w:szCs w:val="24"/>
          <w:lang w:val="sr-Cyrl-CS" w:eastAsia="sr-Cyrl-CS" w:bidi="sr-Cyrl-CS"/>
        </w:rPr>
        <w:t>завршетка формалног образовања и да се на тај начин допринесе олакшаној транзицији младих на тржиште рада и подстакне њихово запошљавање.</w:t>
      </w:r>
    </w:p>
    <w:p w14:paraId="7E8C369A" w14:textId="6F47F115"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Увођење Гаранције за младе подразумева низ реформи и иницијатива у више области и у фазама које се односе на: мапирање и рану интервенцију, </w:t>
      </w:r>
      <w:r w:rsidR="00D64848" w:rsidRPr="00092ED7">
        <w:rPr>
          <w:rFonts w:eastAsia="Calibri" w:cs="Times New Roman"/>
          <w:szCs w:val="24"/>
          <w:lang w:val="sr-Cyrl-CS" w:eastAsia="sr-Cyrl-CS" w:bidi="sr-Cyrl-CS"/>
        </w:rPr>
        <w:t>досезање</w:t>
      </w:r>
      <w:r w:rsidRPr="00092ED7">
        <w:rPr>
          <w:rFonts w:eastAsia="Calibri" w:cs="Times New Roman"/>
          <w:szCs w:val="24"/>
          <w:lang w:val="sr-Cyrl-CS" w:eastAsia="sr-Cyrl-CS" w:bidi="sr-Cyrl-CS"/>
        </w:rPr>
        <w:t>, припрему/активацију и понуду, које захтевају међусекторску сарадњу и координацију. У претходном периоду формиранe су међуресорнa, стручна и оперативна група за потребе успостављања и управљања Гаранцијом за младе, припремљена је аналитичка основа за израду Плана имплементације Гаранције за мл</w:t>
      </w:r>
      <w:r w:rsidR="00C306F4" w:rsidRPr="00092ED7">
        <w:rPr>
          <w:rFonts w:eastAsia="Calibri" w:cs="Times New Roman"/>
          <w:szCs w:val="24"/>
          <w:lang w:val="sr-Cyrl-CS" w:eastAsia="sr-Cyrl-CS" w:bidi="sr-Cyrl-CS"/>
        </w:rPr>
        <w:t xml:space="preserve">аде за период 2023-2025. године. </w:t>
      </w:r>
      <w:r w:rsidR="00A735B6" w:rsidRPr="00092ED7">
        <w:rPr>
          <w:rFonts w:eastAsia="Calibri" w:cs="Times New Roman"/>
          <w:szCs w:val="24"/>
          <w:lang w:val="sr-Cyrl-CS" w:eastAsia="sr-Cyrl-CS" w:bidi="sr-Cyrl-CS"/>
        </w:rPr>
        <w:t>Очекује се да План имплементације Гаранције за младе за период 2023-2025. године буде израђен до краја првог квартала 2023. године и усвојен до краја другог квартала 2023. године.</w:t>
      </w:r>
    </w:p>
    <w:p w14:paraId="6417BC30" w14:textId="602F2FE4" w:rsidR="00D210F0" w:rsidRPr="00092ED7" w:rsidRDefault="00D210F0" w:rsidP="00F514E3">
      <w:pPr>
        <w:rPr>
          <w:rFonts w:cs="Times New Roman"/>
          <w:szCs w:val="24"/>
          <w:lang w:val="sr-Cyrl-CS"/>
        </w:rPr>
      </w:pPr>
      <w:r w:rsidRPr="00092ED7">
        <w:rPr>
          <w:rFonts w:eastAsia="Calibri" w:cs="Times New Roman"/>
          <w:szCs w:val="24"/>
          <w:lang w:val="sr-Cyrl-CS" w:eastAsia="sr-Cyrl-CS" w:bidi="sr-Cyrl-CS"/>
        </w:rPr>
        <w:t xml:space="preserve">Оквир за увођење Гаранције за младе успоставља се у складу са Економско-инвестиционим планом за Западни Балкан, Стратегијом запошљавања у Републици Србији за период од 2021. до 2026. године </w:t>
      </w:r>
      <w:r w:rsidR="00D508CD" w:rsidRPr="00092ED7">
        <w:rPr>
          <w:rFonts w:eastAsia="Calibri" w:cs="Times New Roman"/>
          <w:szCs w:val="24"/>
          <w:lang w:val="sr-Cyrl-CS" w:eastAsia="sr-Cyrl-CS" w:bidi="sr-Cyrl-CS"/>
        </w:rPr>
        <w:t xml:space="preserve">(„Службени гласник РС”, бр. 18/21 и 36/21-исправка) </w:t>
      </w:r>
      <w:r w:rsidRPr="00092ED7">
        <w:rPr>
          <w:rFonts w:eastAsia="Calibri" w:cs="Times New Roman"/>
          <w:szCs w:val="24"/>
          <w:lang w:val="sr-Cyrl-CS" w:eastAsia="sr-Cyrl-CS" w:bidi="sr-Cyrl-CS"/>
        </w:rPr>
        <w:t xml:space="preserve">и пратећим </w:t>
      </w:r>
      <w:r w:rsidR="00D508CD" w:rsidRPr="00092ED7">
        <w:rPr>
          <w:rFonts w:eastAsia="Calibri" w:cs="Times New Roman"/>
          <w:szCs w:val="24"/>
          <w:lang w:val="sr-Cyrl-CS" w:eastAsia="sr-Cyrl-CS" w:bidi="sr-Cyrl-CS"/>
        </w:rPr>
        <w:t>А</w:t>
      </w:r>
      <w:r w:rsidRPr="00092ED7">
        <w:rPr>
          <w:rFonts w:eastAsia="Calibri" w:cs="Times New Roman"/>
          <w:szCs w:val="24"/>
          <w:lang w:val="sr-Cyrl-CS" w:eastAsia="sr-Cyrl-CS" w:bidi="sr-Cyrl-CS"/>
        </w:rPr>
        <w:t>кционим планом за пе</w:t>
      </w:r>
      <w:r w:rsidR="00CC71EC" w:rsidRPr="00092ED7">
        <w:rPr>
          <w:rFonts w:eastAsia="Calibri" w:cs="Times New Roman"/>
          <w:szCs w:val="24"/>
          <w:lang w:val="sr-Cyrl-CS" w:eastAsia="sr-Cyrl-CS" w:bidi="sr-Cyrl-CS"/>
        </w:rPr>
        <w:t>риод од 2021. до 2023. године</w:t>
      </w:r>
      <w:r w:rsidR="00811143" w:rsidRPr="00092ED7">
        <w:rPr>
          <w:rFonts w:eastAsia="Calibri" w:cs="Times New Roman"/>
          <w:szCs w:val="24"/>
          <w:lang w:val="sr-Cyrl-CS" w:eastAsia="sr-Cyrl-CS" w:bidi="sr-Cyrl-CS"/>
        </w:rPr>
        <w:t xml:space="preserve"> </w:t>
      </w:r>
      <w:r w:rsidR="00B5658C" w:rsidRPr="00092ED7">
        <w:rPr>
          <w:rFonts w:eastAsia="Calibri" w:cs="Times New Roman"/>
          <w:szCs w:val="24"/>
          <w:lang w:val="sr-Cyrl-CS" w:eastAsia="sr-Cyrl-CS" w:bidi="sr-Cyrl-CS"/>
        </w:rPr>
        <w:t xml:space="preserve">за спровођење Стратегије запошљавања у Републици Србији за период од 2021. до 2026. године </w:t>
      </w:r>
      <w:r w:rsidR="00811143" w:rsidRPr="00092ED7">
        <w:rPr>
          <w:rFonts w:cs="Times New Roman"/>
          <w:szCs w:val="24"/>
          <w:lang w:val="sr-Cyrl-CS"/>
        </w:rPr>
        <w:t>(„Службени гласник РС”, бр</w:t>
      </w:r>
      <w:r w:rsidR="00B5658C" w:rsidRPr="00092ED7">
        <w:rPr>
          <w:rFonts w:cs="Times New Roman"/>
          <w:szCs w:val="24"/>
          <w:lang w:val="sr-Cyrl-CS"/>
        </w:rPr>
        <w:t>ој</w:t>
      </w:r>
      <w:r w:rsidR="00811143" w:rsidRPr="00092ED7">
        <w:rPr>
          <w:rFonts w:cs="Times New Roman"/>
          <w:szCs w:val="24"/>
          <w:lang w:val="sr-Cyrl-CS"/>
        </w:rPr>
        <w:t xml:space="preserve"> </w:t>
      </w:r>
      <w:r w:rsidR="00B5658C" w:rsidRPr="00092ED7">
        <w:rPr>
          <w:rFonts w:cs="Times New Roman"/>
          <w:szCs w:val="24"/>
          <w:lang w:val="sr-Cyrl-CS"/>
        </w:rPr>
        <w:t>30</w:t>
      </w:r>
      <w:r w:rsidR="00811143" w:rsidRPr="00092ED7">
        <w:rPr>
          <w:rFonts w:cs="Times New Roman"/>
          <w:szCs w:val="24"/>
          <w:lang w:val="sr-Cyrl-CS"/>
        </w:rPr>
        <w:t>/21).</w:t>
      </w:r>
    </w:p>
    <w:p w14:paraId="7D9B5C38" w14:textId="77777777" w:rsidR="00D210F0" w:rsidRPr="00092ED7" w:rsidRDefault="00D210F0" w:rsidP="00D210F0">
      <w:pPr>
        <w:widowControl w:val="0"/>
        <w:numPr>
          <w:ilvl w:val="0"/>
          <w:numId w:val="1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8997" w:type="dxa"/>
        <w:tblLayout w:type="fixed"/>
        <w:tblCellMar>
          <w:left w:w="0" w:type="dxa"/>
          <w:right w:w="0" w:type="dxa"/>
        </w:tblCellMar>
        <w:tblLook w:val="04A0" w:firstRow="1" w:lastRow="0" w:firstColumn="1" w:lastColumn="0" w:noHBand="0" w:noVBand="1"/>
      </w:tblPr>
      <w:tblGrid>
        <w:gridCol w:w="425"/>
        <w:gridCol w:w="4101"/>
        <w:gridCol w:w="372"/>
        <w:gridCol w:w="373"/>
        <w:gridCol w:w="372"/>
        <w:gridCol w:w="373"/>
        <w:gridCol w:w="372"/>
        <w:gridCol w:w="373"/>
        <w:gridCol w:w="373"/>
        <w:gridCol w:w="372"/>
        <w:gridCol w:w="373"/>
        <w:gridCol w:w="372"/>
        <w:gridCol w:w="373"/>
        <w:gridCol w:w="373"/>
      </w:tblGrid>
      <w:tr w:rsidR="00D210F0" w:rsidRPr="00092ED7" w14:paraId="4E24C85F" w14:textId="77777777" w:rsidTr="00C429AB">
        <w:trPr>
          <w:trHeight w:val="253"/>
        </w:trPr>
        <w:tc>
          <w:tcPr>
            <w:tcW w:w="425" w:type="dxa"/>
            <w:vMerge w:val="restart"/>
            <w:tcBorders>
              <w:top w:val="single" w:sz="8" w:space="0" w:color="auto"/>
              <w:left w:val="single" w:sz="8" w:space="0" w:color="auto"/>
              <w:right w:val="nil"/>
            </w:tcBorders>
            <w:shd w:val="clear" w:color="auto" w:fill="BDD6EE" w:themeFill="accent1" w:themeFillTint="66"/>
            <w:tcMar>
              <w:top w:w="15" w:type="dxa"/>
              <w:left w:w="15" w:type="dxa"/>
              <w:bottom w:w="0" w:type="dxa"/>
              <w:right w:w="15" w:type="dxa"/>
            </w:tcMar>
            <w:vAlign w:val="center"/>
            <w:hideMark/>
          </w:tcPr>
          <w:p w14:paraId="4C2DC7EE" w14:textId="77777777" w:rsidR="00D210F0" w:rsidRPr="00092ED7" w:rsidRDefault="00D210F0" w:rsidP="005D14E2">
            <w:pPr>
              <w:spacing w:after="0"/>
              <w:jc w:val="center"/>
              <w:rPr>
                <w:rFonts w:cs="Times New Roman"/>
                <w:b/>
                <w:bCs/>
                <w:sz w:val="20"/>
                <w:szCs w:val="20"/>
                <w:lang w:val="sr-Cyrl-CS"/>
              </w:rPr>
            </w:pPr>
            <w:r w:rsidRPr="00092ED7">
              <w:rPr>
                <w:rFonts w:cs="Times New Roman"/>
                <w:b/>
                <w:bCs/>
                <w:sz w:val="20"/>
                <w:szCs w:val="20"/>
                <w:lang w:val="sr-Cyrl-CS"/>
              </w:rPr>
              <w:t>РБ</w:t>
            </w:r>
          </w:p>
        </w:tc>
        <w:tc>
          <w:tcPr>
            <w:tcW w:w="4101"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135BCB68" w14:textId="77777777" w:rsidR="00D210F0" w:rsidRPr="00092ED7" w:rsidRDefault="00D210F0" w:rsidP="005D14E2">
            <w:pPr>
              <w:spacing w:after="0"/>
              <w:rPr>
                <w:rFonts w:cs="Times New Roman"/>
                <w:smallCaps/>
                <w:sz w:val="20"/>
                <w:szCs w:val="20"/>
                <w:lang w:val="sr-Cyrl-CS"/>
              </w:rPr>
            </w:pPr>
            <w:r w:rsidRPr="00092ED7">
              <w:rPr>
                <w:rFonts w:cs="Times New Roman"/>
                <w:b/>
                <w:bCs/>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397155F" w14:textId="77777777" w:rsidR="00D210F0" w:rsidRPr="00092ED7" w:rsidRDefault="00D210F0" w:rsidP="005D14E2">
            <w:pPr>
              <w:spacing w:after="0"/>
              <w:jc w:val="center"/>
              <w:rPr>
                <w:rFonts w:cs="Times New Roman"/>
                <w:b/>
                <w:bCs/>
                <w:sz w:val="20"/>
                <w:szCs w:val="20"/>
                <w:lang w:val="sr-Cyrl-CS"/>
              </w:rPr>
            </w:pPr>
            <w:r w:rsidRPr="00092ED7">
              <w:rPr>
                <w:rFonts w:cs="Times New Roman"/>
                <w:b/>
                <w:bCs/>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161BA705" w14:textId="77777777" w:rsidR="00D210F0" w:rsidRPr="00092ED7" w:rsidRDefault="00D210F0" w:rsidP="005D14E2">
            <w:pPr>
              <w:spacing w:after="0"/>
              <w:jc w:val="center"/>
              <w:rPr>
                <w:rFonts w:cs="Times New Roman"/>
                <w:b/>
                <w:bCs/>
                <w:sz w:val="20"/>
                <w:szCs w:val="20"/>
                <w:lang w:val="sr-Cyrl-CS"/>
              </w:rPr>
            </w:pPr>
            <w:r w:rsidRPr="00092ED7">
              <w:rPr>
                <w:rFonts w:cs="Times New Roman"/>
                <w:b/>
                <w:bCs/>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3DE32590" w14:textId="77777777" w:rsidR="00D210F0" w:rsidRPr="00092ED7" w:rsidRDefault="00D210F0" w:rsidP="005D14E2">
            <w:pPr>
              <w:spacing w:after="0"/>
              <w:jc w:val="center"/>
              <w:rPr>
                <w:rFonts w:cs="Times New Roman"/>
                <w:b/>
                <w:bCs/>
                <w:sz w:val="20"/>
                <w:szCs w:val="20"/>
                <w:lang w:val="sr-Cyrl-CS"/>
              </w:rPr>
            </w:pPr>
            <w:r w:rsidRPr="00092ED7">
              <w:rPr>
                <w:rFonts w:cs="Times New Roman"/>
                <w:b/>
                <w:bCs/>
                <w:sz w:val="20"/>
                <w:szCs w:val="20"/>
                <w:lang w:val="sr-Cyrl-CS"/>
              </w:rPr>
              <w:t>2025</w:t>
            </w:r>
          </w:p>
        </w:tc>
      </w:tr>
      <w:tr w:rsidR="00D210F0" w:rsidRPr="00092ED7" w14:paraId="42040110" w14:textId="77777777" w:rsidTr="00C429AB">
        <w:trPr>
          <w:trHeight w:val="301"/>
        </w:trPr>
        <w:tc>
          <w:tcPr>
            <w:tcW w:w="425" w:type="dxa"/>
            <w:vMerge/>
            <w:tcBorders>
              <w:left w:val="single" w:sz="8" w:space="0" w:color="auto"/>
              <w:bottom w:val="single" w:sz="8" w:space="0" w:color="000000"/>
              <w:right w:val="nil"/>
            </w:tcBorders>
            <w:shd w:val="clear" w:color="auto" w:fill="BDD6EE" w:themeFill="accent1" w:themeFillTint="66"/>
            <w:vAlign w:val="center"/>
            <w:hideMark/>
          </w:tcPr>
          <w:p w14:paraId="7427D427" w14:textId="77777777" w:rsidR="00D210F0" w:rsidRPr="00092ED7" w:rsidRDefault="00D210F0" w:rsidP="005D14E2">
            <w:pPr>
              <w:spacing w:after="0"/>
              <w:jc w:val="center"/>
              <w:rPr>
                <w:rFonts w:cs="Times New Roman"/>
                <w:b/>
                <w:bCs/>
                <w:sz w:val="20"/>
                <w:szCs w:val="20"/>
                <w:lang w:val="sr-Cyrl-CS"/>
              </w:rPr>
            </w:pPr>
          </w:p>
        </w:tc>
        <w:tc>
          <w:tcPr>
            <w:tcW w:w="4101"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3702CEBC" w14:textId="77777777" w:rsidR="00D210F0" w:rsidRPr="00092ED7" w:rsidRDefault="00D210F0" w:rsidP="005D14E2">
            <w:pPr>
              <w:spacing w:after="0"/>
              <w:rPr>
                <w:rFonts w:cs="Times New Roman"/>
                <w:b/>
                <w:bCs/>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1C1D1CD"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39A4E3D"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1B82672"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0A7BB4C"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DC91FA2"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7CF7F91"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E5D9EDD"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8A45F2D"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4E4017C"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A19DE77"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D787510"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12FCE24"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Q4</w:t>
            </w:r>
          </w:p>
        </w:tc>
      </w:tr>
      <w:tr w:rsidR="00D7672A" w:rsidRPr="00092ED7" w14:paraId="1C917CB8" w14:textId="77777777" w:rsidTr="005C0DE5">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2EA98F51" w14:textId="77777777" w:rsidR="00C306F4" w:rsidRPr="00092ED7" w:rsidRDefault="00C306F4" w:rsidP="005D14E2">
            <w:pPr>
              <w:spacing w:after="0"/>
              <w:jc w:val="center"/>
              <w:rPr>
                <w:rFonts w:cs="Times New Roman"/>
                <w:bCs/>
                <w:sz w:val="20"/>
                <w:szCs w:val="20"/>
                <w:lang w:val="sr-Cyrl-CS"/>
              </w:rPr>
            </w:pPr>
            <w:r w:rsidRPr="00092ED7">
              <w:rPr>
                <w:rFonts w:cs="Times New Roman"/>
                <w:bCs/>
                <w:sz w:val="20"/>
                <w:szCs w:val="20"/>
                <w:lang w:val="sr-Cyrl-CS"/>
              </w:rPr>
              <w:t>1.</w:t>
            </w:r>
          </w:p>
        </w:tc>
        <w:tc>
          <w:tcPr>
            <w:tcW w:w="4101"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39EBDB5C" w14:textId="77777777" w:rsidR="00C306F4" w:rsidRPr="00092ED7" w:rsidRDefault="00C306F4" w:rsidP="005D14E2">
            <w:pPr>
              <w:spacing w:after="0"/>
              <w:rPr>
                <w:rFonts w:cs="Times New Roman"/>
                <w:sz w:val="20"/>
                <w:szCs w:val="20"/>
                <w:lang w:val="sr-Cyrl-CS"/>
              </w:rPr>
            </w:pPr>
            <w:r w:rsidRPr="00092ED7">
              <w:rPr>
                <w:rFonts w:cs="Times New Roman"/>
                <w:sz w:val="20"/>
                <w:szCs w:val="20"/>
                <w:lang w:val="sr-Cyrl-CS"/>
              </w:rPr>
              <w:t>Израда и усвајање Плана имплементације</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84B3675" w14:textId="77777777" w:rsidR="00C306F4" w:rsidRPr="00092ED7" w:rsidRDefault="00C306F4"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874FEC4" w14:textId="77777777" w:rsidR="00C306F4" w:rsidRPr="00092ED7" w:rsidRDefault="00C306F4"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B5EA45B" w14:textId="77777777" w:rsidR="00C306F4" w:rsidRPr="00092ED7" w:rsidRDefault="00C306F4"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28D41A44" w14:textId="77777777" w:rsidR="00C306F4" w:rsidRPr="00092ED7" w:rsidRDefault="00C306F4"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C00690F" w14:textId="77777777" w:rsidR="00C306F4" w:rsidRPr="00092ED7" w:rsidRDefault="00C306F4"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6CB53CA" w14:textId="77777777" w:rsidR="00C306F4" w:rsidRPr="00092ED7" w:rsidRDefault="00C306F4"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215A6997" w14:textId="77777777" w:rsidR="00C306F4" w:rsidRPr="00092ED7" w:rsidRDefault="00C306F4"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24918D57" w14:textId="77777777" w:rsidR="00C306F4" w:rsidRPr="00092ED7" w:rsidRDefault="00C306F4"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EE80104" w14:textId="77777777" w:rsidR="00C306F4" w:rsidRPr="00092ED7" w:rsidRDefault="00C306F4"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257C026C" w14:textId="77777777" w:rsidR="00C306F4" w:rsidRPr="00092ED7" w:rsidRDefault="00C306F4"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2175A867" w14:textId="77777777" w:rsidR="00C306F4" w:rsidRPr="00092ED7" w:rsidRDefault="00C306F4"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39CA2F9D" w14:textId="77777777" w:rsidR="00C306F4" w:rsidRPr="00092ED7" w:rsidRDefault="00C306F4" w:rsidP="005D14E2">
            <w:pPr>
              <w:spacing w:after="0"/>
              <w:rPr>
                <w:rFonts w:cs="Times New Roman"/>
                <w:sz w:val="20"/>
                <w:szCs w:val="20"/>
                <w:lang w:val="sr-Cyrl-CS"/>
              </w:rPr>
            </w:pPr>
          </w:p>
        </w:tc>
      </w:tr>
      <w:tr w:rsidR="00D7672A" w:rsidRPr="00092ED7" w14:paraId="03275830" w14:textId="77777777" w:rsidTr="005C0DE5">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146A5ACA" w14:textId="77777777" w:rsidR="00D210F0" w:rsidRPr="00092ED7" w:rsidRDefault="00C306F4" w:rsidP="005D14E2">
            <w:pPr>
              <w:spacing w:after="0"/>
              <w:jc w:val="center"/>
              <w:rPr>
                <w:rFonts w:cs="Times New Roman"/>
                <w:bCs/>
                <w:sz w:val="20"/>
                <w:szCs w:val="20"/>
                <w:lang w:val="sr-Cyrl-CS"/>
              </w:rPr>
            </w:pPr>
            <w:r w:rsidRPr="00092ED7">
              <w:rPr>
                <w:rFonts w:cs="Times New Roman"/>
                <w:bCs/>
                <w:sz w:val="20"/>
                <w:szCs w:val="20"/>
                <w:lang w:val="sr-Cyrl-CS"/>
              </w:rPr>
              <w:t>2</w:t>
            </w:r>
            <w:r w:rsidR="00D210F0" w:rsidRPr="00092ED7">
              <w:rPr>
                <w:rFonts w:cs="Times New Roman"/>
                <w:bCs/>
                <w:sz w:val="20"/>
                <w:szCs w:val="20"/>
                <w:lang w:val="sr-Cyrl-CS"/>
              </w:rPr>
              <w:t>.</w:t>
            </w:r>
          </w:p>
        </w:tc>
        <w:tc>
          <w:tcPr>
            <w:tcW w:w="4101"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4F29B6D9" w14:textId="77777777" w:rsidR="00D210F0" w:rsidRPr="00092ED7" w:rsidRDefault="00D210F0" w:rsidP="005D14E2">
            <w:pPr>
              <w:spacing w:after="0"/>
              <w:rPr>
                <w:rFonts w:cs="Times New Roman"/>
                <w:sz w:val="20"/>
                <w:szCs w:val="20"/>
                <w:lang w:val="sr-Cyrl-CS"/>
              </w:rPr>
            </w:pPr>
            <w:r w:rsidRPr="00092ED7">
              <w:rPr>
                <w:rFonts w:cs="Times New Roman"/>
                <w:sz w:val="20"/>
                <w:szCs w:val="20"/>
                <w:lang w:val="sr-Cyrl-CS"/>
              </w:rPr>
              <w:t>Спровођење припремних радњи за увођење Гаранције за младе у складу са Планом имплементације</w:t>
            </w:r>
          </w:p>
        </w:tc>
        <w:tc>
          <w:tcPr>
            <w:tcW w:w="372"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0E5876E8"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2D64E1D"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27F9257"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31DEB59"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DDA83B4"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2FB9071"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7E12939"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23F7584F"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303980D"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BED2442"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394C347"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2D1469B0" w14:textId="77777777" w:rsidR="00D210F0" w:rsidRPr="00092ED7" w:rsidRDefault="00D210F0" w:rsidP="005D14E2">
            <w:pPr>
              <w:spacing w:after="0"/>
              <w:rPr>
                <w:rFonts w:cs="Times New Roman"/>
                <w:sz w:val="20"/>
                <w:szCs w:val="20"/>
                <w:lang w:val="sr-Cyrl-CS"/>
              </w:rPr>
            </w:pPr>
          </w:p>
        </w:tc>
      </w:tr>
      <w:tr w:rsidR="00D7672A" w:rsidRPr="00092ED7" w14:paraId="68BEFDC6" w14:textId="77777777" w:rsidTr="00D7672A">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176ED559" w14:textId="77777777" w:rsidR="00D210F0" w:rsidRPr="00092ED7" w:rsidRDefault="00C306F4" w:rsidP="005D14E2">
            <w:pPr>
              <w:spacing w:after="0"/>
              <w:jc w:val="center"/>
              <w:rPr>
                <w:rFonts w:cs="Times New Roman"/>
                <w:bCs/>
                <w:sz w:val="20"/>
                <w:szCs w:val="20"/>
                <w:lang w:val="sr-Cyrl-CS"/>
              </w:rPr>
            </w:pPr>
            <w:r w:rsidRPr="00092ED7">
              <w:rPr>
                <w:rFonts w:cs="Times New Roman"/>
                <w:bCs/>
                <w:sz w:val="20"/>
                <w:szCs w:val="20"/>
                <w:lang w:val="sr-Cyrl-CS"/>
              </w:rPr>
              <w:t>3</w:t>
            </w:r>
            <w:r w:rsidR="00D210F0" w:rsidRPr="00092ED7">
              <w:rPr>
                <w:rFonts w:cs="Times New Roman"/>
                <w:bCs/>
                <w:sz w:val="20"/>
                <w:szCs w:val="20"/>
                <w:lang w:val="sr-Cyrl-CS"/>
              </w:rPr>
              <w:t>.</w:t>
            </w:r>
          </w:p>
        </w:tc>
        <w:tc>
          <w:tcPr>
            <w:tcW w:w="4101"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1FB7BBF" w14:textId="0D4D2070" w:rsidR="00D210F0" w:rsidRPr="00092ED7" w:rsidRDefault="00D210F0" w:rsidP="002126A3">
            <w:pPr>
              <w:spacing w:after="0"/>
              <w:rPr>
                <w:rFonts w:cs="Times New Roman"/>
                <w:sz w:val="20"/>
                <w:szCs w:val="20"/>
                <w:lang w:val="sr-Cyrl-CS"/>
              </w:rPr>
            </w:pPr>
            <w:r w:rsidRPr="00092ED7">
              <w:rPr>
                <w:rFonts w:cs="Times New Roman"/>
                <w:sz w:val="20"/>
                <w:szCs w:val="20"/>
                <w:lang w:val="sr-Cyrl-CS"/>
              </w:rPr>
              <w:t xml:space="preserve">Пилотирање елемената Гаранције за младе на подручју одабраних филијала </w:t>
            </w:r>
            <w:r w:rsidR="00E443AD" w:rsidRPr="00092ED7">
              <w:rPr>
                <w:rFonts w:cs="Times New Roman"/>
                <w:sz w:val="20"/>
                <w:szCs w:val="20"/>
                <w:lang w:val="sr-Cyrl-CS"/>
              </w:rPr>
              <w:t>Националне службе за запошљавање</w:t>
            </w:r>
            <w:r w:rsidR="002126A3" w:rsidRPr="00092ED7">
              <w:rPr>
                <w:rFonts w:cs="Times New Roman"/>
                <w:sz w:val="20"/>
                <w:szCs w:val="20"/>
                <w:lang w:val="sr-Cyrl-CS"/>
              </w:rPr>
              <w:t xml:space="preserve"> и</w:t>
            </w:r>
            <w:r w:rsidRPr="00092ED7">
              <w:rPr>
                <w:rFonts w:cs="Times New Roman"/>
                <w:sz w:val="20"/>
                <w:szCs w:val="20"/>
                <w:lang w:val="sr-Cyrl-CS"/>
              </w:rPr>
              <w:t xml:space="preserve"> </w:t>
            </w:r>
            <w:r w:rsidR="002126A3" w:rsidRPr="00092ED7">
              <w:rPr>
                <w:rFonts w:cs="Times New Roman"/>
                <w:sz w:val="20"/>
                <w:szCs w:val="20"/>
                <w:lang w:val="sr-Cyrl-CS"/>
              </w:rPr>
              <w:t>праћење спровођења Плана имплементације</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77C712A5"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B232FFD"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FF4D40C"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6E77DA13"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6F605B7"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745E5DE"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F904BD1"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DB9666C"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C9AFA60"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084171C"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67745BE"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8BB692F" w14:textId="77777777" w:rsidR="00D210F0" w:rsidRPr="00092ED7" w:rsidRDefault="00D210F0" w:rsidP="005D14E2">
            <w:pPr>
              <w:spacing w:after="0"/>
              <w:rPr>
                <w:rFonts w:cs="Times New Roman"/>
                <w:sz w:val="20"/>
                <w:szCs w:val="20"/>
                <w:lang w:val="sr-Cyrl-CS"/>
              </w:rPr>
            </w:pPr>
          </w:p>
        </w:tc>
      </w:tr>
      <w:tr w:rsidR="00D7672A" w:rsidRPr="00092ED7" w14:paraId="25FD0327" w14:textId="77777777" w:rsidTr="00D7672A">
        <w:trPr>
          <w:trHeight w:val="300"/>
        </w:trPr>
        <w:tc>
          <w:tcPr>
            <w:tcW w:w="425"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021A7CA2" w14:textId="77777777" w:rsidR="00D210F0" w:rsidRPr="00092ED7" w:rsidRDefault="00C306F4" w:rsidP="005D14E2">
            <w:pPr>
              <w:spacing w:after="0"/>
              <w:jc w:val="center"/>
              <w:rPr>
                <w:rFonts w:cs="Times New Roman"/>
                <w:bCs/>
                <w:sz w:val="20"/>
                <w:szCs w:val="20"/>
                <w:lang w:val="sr-Cyrl-CS"/>
              </w:rPr>
            </w:pPr>
            <w:r w:rsidRPr="00092ED7">
              <w:rPr>
                <w:rFonts w:cs="Times New Roman"/>
                <w:bCs/>
                <w:sz w:val="20"/>
                <w:szCs w:val="20"/>
                <w:lang w:val="sr-Cyrl-CS"/>
              </w:rPr>
              <w:t>4</w:t>
            </w:r>
            <w:r w:rsidR="00D210F0" w:rsidRPr="00092ED7">
              <w:rPr>
                <w:rFonts w:cs="Times New Roman"/>
                <w:bCs/>
                <w:sz w:val="20"/>
                <w:szCs w:val="20"/>
                <w:lang w:val="sr-Cyrl-CS"/>
              </w:rPr>
              <w:t>.</w:t>
            </w:r>
          </w:p>
        </w:tc>
        <w:tc>
          <w:tcPr>
            <w:tcW w:w="4101" w:type="dxa"/>
            <w:tcBorders>
              <w:top w:val="nil"/>
              <w:left w:val="nil"/>
              <w:bottom w:val="single" w:sz="4" w:space="0" w:color="auto"/>
              <w:right w:val="nil"/>
            </w:tcBorders>
            <w:shd w:val="clear" w:color="auto" w:fill="auto"/>
            <w:tcMar>
              <w:top w:w="15" w:type="dxa"/>
              <w:left w:w="15" w:type="dxa"/>
              <w:bottom w:w="0" w:type="dxa"/>
              <w:right w:w="15" w:type="dxa"/>
            </w:tcMar>
          </w:tcPr>
          <w:p w14:paraId="4D2C1550" w14:textId="77777777" w:rsidR="00D210F0" w:rsidRPr="00092ED7" w:rsidRDefault="002126A3" w:rsidP="005D14E2">
            <w:pPr>
              <w:spacing w:after="0"/>
              <w:rPr>
                <w:rFonts w:cs="Times New Roman"/>
                <w:sz w:val="20"/>
                <w:szCs w:val="20"/>
                <w:lang w:val="sr-Cyrl-CS"/>
              </w:rPr>
            </w:pPr>
            <w:r w:rsidRPr="00092ED7">
              <w:rPr>
                <w:rFonts w:cs="Times New Roman"/>
                <w:sz w:val="20"/>
                <w:szCs w:val="20"/>
                <w:lang w:val="sr-Cyrl-CS"/>
              </w:rPr>
              <w:t xml:space="preserve">Вредновање </w:t>
            </w:r>
            <w:r w:rsidR="00D210F0" w:rsidRPr="00092ED7">
              <w:rPr>
                <w:rFonts w:cs="Times New Roman"/>
                <w:sz w:val="20"/>
                <w:szCs w:val="20"/>
                <w:lang w:val="sr-Cyrl-CS"/>
              </w:rPr>
              <w:t>резултата пилотирања</w:t>
            </w:r>
            <w:r w:rsidRPr="00092ED7">
              <w:rPr>
                <w:rFonts w:cs="Times New Roman"/>
                <w:sz w:val="20"/>
                <w:szCs w:val="20"/>
                <w:lang w:val="sr-Cyrl-CS"/>
              </w:rPr>
              <w:t xml:space="preserve"> Плана имплементације</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2F3A7C53"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1C059F6"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B481C16"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86A8396"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946D441"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D499562"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AF4AD4A"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27A8BDCF"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F868472"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693BF83"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D26E3F9"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804AA10" w14:textId="77777777" w:rsidR="00D210F0" w:rsidRPr="00092ED7" w:rsidRDefault="00D210F0" w:rsidP="005D14E2">
            <w:pPr>
              <w:spacing w:after="0"/>
              <w:rPr>
                <w:rFonts w:cs="Times New Roman"/>
                <w:sz w:val="20"/>
                <w:szCs w:val="20"/>
                <w:lang w:val="sr-Cyrl-CS"/>
              </w:rPr>
            </w:pPr>
          </w:p>
        </w:tc>
      </w:tr>
    </w:tbl>
    <w:p w14:paraId="766EB2C0" w14:textId="77777777" w:rsidR="00D210F0" w:rsidRPr="00092ED7" w:rsidRDefault="00D210F0" w:rsidP="00D210F0">
      <w:pPr>
        <w:widowControl w:val="0"/>
        <w:numPr>
          <w:ilvl w:val="0"/>
          <w:numId w:val="1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Индикатори рeзултата</w:t>
      </w:r>
    </w:p>
    <w:tbl>
      <w:tblPr>
        <w:tblStyle w:val="TableGrid"/>
        <w:tblW w:w="9072" w:type="dxa"/>
        <w:tblInd w:w="-5" w:type="dxa"/>
        <w:tblLayout w:type="fixed"/>
        <w:tblLook w:val="04A0" w:firstRow="1" w:lastRow="0" w:firstColumn="1" w:lastColumn="0" w:noHBand="0" w:noVBand="1"/>
      </w:tblPr>
      <w:tblGrid>
        <w:gridCol w:w="3828"/>
        <w:gridCol w:w="1652"/>
        <w:gridCol w:w="1796"/>
        <w:gridCol w:w="1796"/>
      </w:tblGrid>
      <w:tr w:rsidR="00D210F0" w:rsidRPr="00092ED7" w14:paraId="038E34DA" w14:textId="77777777" w:rsidTr="00DB0B7B">
        <w:trPr>
          <w:cnfStyle w:val="100000000000" w:firstRow="1" w:lastRow="0" w:firstColumn="0" w:lastColumn="0" w:oddVBand="0" w:evenVBand="0" w:oddHBand="0" w:evenHBand="0" w:firstRowFirstColumn="0" w:firstRowLastColumn="0" w:lastRowFirstColumn="0" w:lastRowLastColumn="0"/>
          <w:trHeight w:val="286"/>
        </w:trPr>
        <w:tc>
          <w:tcPr>
            <w:tcW w:w="3828" w:type="dxa"/>
          </w:tcPr>
          <w:p w14:paraId="0FCC69D0"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Показатељ</w:t>
            </w:r>
          </w:p>
        </w:tc>
        <w:tc>
          <w:tcPr>
            <w:tcW w:w="1652" w:type="dxa"/>
          </w:tcPr>
          <w:p w14:paraId="3003FFFE"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Почетна вредност</w:t>
            </w:r>
            <w:r w:rsidR="00B06106" w:rsidRPr="00092ED7">
              <w:rPr>
                <w:rFonts w:cs="Times New Roman"/>
                <w:sz w:val="20"/>
                <w:lang w:val="sr-Cyrl-CS"/>
              </w:rPr>
              <w:t xml:space="preserve"> (2021)</w:t>
            </w:r>
          </w:p>
        </w:tc>
        <w:tc>
          <w:tcPr>
            <w:tcW w:w="1796" w:type="dxa"/>
          </w:tcPr>
          <w:p w14:paraId="24808C4A"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 xml:space="preserve">Међурезултат </w:t>
            </w:r>
          </w:p>
        </w:tc>
        <w:tc>
          <w:tcPr>
            <w:tcW w:w="1796" w:type="dxa"/>
          </w:tcPr>
          <w:p w14:paraId="7292C4A0"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 xml:space="preserve">Циљна вредност </w:t>
            </w:r>
          </w:p>
        </w:tc>
      </w:tr>
      <w:tr w:rsidR="00D210F0" w:rsidRPr="00092ED7" w14:paraId="0CD4C096" w14:textId="77777777" w:rsidTr="00DB0B7B">
        <w:tc>
          <w:tcPr>
            <w:tcW w:w="3828" w:type="dxa"/>
          </w:tcPr>
          <w:p w14:paraId="018E3317" w14:textId="77777777" w:rsidR="00D210F0" w:rsidRPr="00092ED7" w:rsidRDefault="00D210F0" w:rsidP="00C429AB">
            <w:pPr>
              <w:spacing w:before="0" w:after="0"/>
              <w:ind w:left="113" w:right="113"/>
              <w:rPr>
                <w:rFonts w:cs="Times New Roman"/>
                <w:b/>
                <w:sz w:val="20"/>
                <w:lang w:val="sr-Cyrl-CS"/>
              </w:rPr>
            </w:pPr>
            <w:r w:rsidRPr="00092ED7">
              <w:rPr>
                <w:rFonts w:cs="Times New Roman"/>
                <w:sz w:val="20"/>
                <w:lang w:val="sr-Cyrl-CS"/>
              </w:rPr>
              <w:t xml:space="preserve">Развијен модел за обухватање, регистровање и активацију младих који припадају </w:t>
            </w:r>
            <w:r w:rsidRPr="00092ED7">
              <w:rPr>
                <w:rFonts w:cs="Times New Roman"/>
                <w:i/>
                <w:sz w:val="20"/>
                <w:lang w:val="sr-Cyrl-CS"/>
              </w:rPr>
              <w:t>NEET</w:t>
            </w:r>
            <w:r w:rsidRPr="00092ED7">
              <w:rPr>
                <w:rStyle w:val="FootnoteReference"/>
                <w:rFonts w:cs="Times New Roman"/>
                <w:sz w:val="20"/>
                <w:lang w:val="sr-Cyrl-CS"/>
              </w:rPr>
              <w:footnoteReference w:id="63"/>
            </w:r>
            <w:r w:rsidRPr="00092ED7">
              <w:rPr>
                <w:rFonts w:cs="Times New Roman"/>
                <w:sz w:val="20"/>
                <w:lang w:val="sr-Cyrl-CS"/>
              </w:rPr>
              <w:t xml:space="preserve"> категорији, а који су ван институција система</w:t>
            </w:r>
          </w:p>
        </w:tc>
        <w:tc>
          <w:tcPr>
            <w:tcW w:w="1652" w:type="dxa"/>
          </w:tcPr>
          <w:p w14:paraId="474AAD0E" w14:textId="77777777" w:rsidR="00D210F0" w:rsidRPr="00092ED7" w:rsidRDefault="00D210F0" w:rsidP="00B06106">
            <w:pPr>
              <w:spacing w:before="0" w:after="0"/>
              <w:ind w:left="113" w:right="113"/>
              <w:jc w:val="center"/>
              <w:rPr>
                <w:rFonts w:cs="Times New Roman"/>
                <w:b/>
                <w:sz w:val="20"/>
                <w:lang w:val="sr-Cyrl-CS"/>
              </w:rPr>
            </w:pPr>
            <w:r w:rsidRPr="00092ED7">
              <w:rPr>
                <w:rFonts w:cs="Times New Roman"/>
                <w:sz w:val="20"/>
                <w:lang w:val="sr-Cyrl-CS"/>
              </w:rPr>
              <w:t>не</w:t>
            </w:r>
          </w:p>
        </w:tc>
        <w:tc>
          <w:tcPr>
            <w:tcW w:w="1796" w:type="dxa"/>
          </w:tcPr>
          <w:p w14:paraId="16DDD8AB" w14:textId="77777777" w:rsidR="00D210F0" w:rsidRPr="00092ED7" w:rsidRDefault="00D210F0" w:rsidP="00C429AB">
            <w:pPr>
              <w:spacing w:before="0" w:after="0"/>
              <w:ind w:left="113" w:right="113"/>
              <w:jc w:val="center"/>
              <w:rPr>
                <w:rFonts w:cs="Times New Roman"/>
                <w:sz w:val="20"/>
                <w:lang w:val="sr-Cyrl-CS"/>
              </w:rPr>
            </w:pPr>
            <w:r w:rsidRPr="00092ED7">
              <w:rPr>
                <w:rFonts w:cs="Times New Roman"/>
                <w:sz w:val="20"/>
                <w:lang w:val="sr-Cyrl-CS"/>
              </w:rPr>
              <w:t>не (2022)</w:t>
            </w:r>
          </w:p>
        </w:tc>
        <w:tc>
          <w:tcPr>
            <w:tcW w:w="1796" w:type="dxa"/>
          </w:tcPr>
          <w:p w14:paraId="57CDCA3F" w14:textId="77777777" w:rsidR="00D210F0" w:rsidRPr="00092ED7" w:rsidRDefault="00D210F0" w:rsidP="00C429AB">
            <w:pPr>
              <w:spacing w:before="0" w:after="0"/>
              <w:ind w:left="113" w:right="113"/>
              <w:jc w:val="center"/>
              <w:rPr>
                <w:rFonts w:cs="Times New Roman"/>
                <w:sz w:val="20"/>
                <w:lang w:val="sr-Cyrl-CS"/>
              </w:rPr>
            </w:pPr>
            <w:r w:rsidRPr="00092ED7">
              <w:rPr>
                <w:rFonts w:cs="Times New Roman"/>
                <w:sz w:val="20"/>
                <w:lang w:val="sr-Cyrl-CS"/>
              </w:rPr>
              <w:t>да (2023)</w:t>
            </w:r>
          </w:p>
        </w:tc>
      </w:tr>
      <w:tr w:rsidR="00D210F0" w:rsidRPr="00092ED7" w14:paraId="7F5FB767" w14:textId="77777777" w:rsidTr="00DB0B7B">
        <w:tc>
          <w:tcPr>
            <w:tcW w:w="3828" w:type="dxa"/>
          </w:tcPr>
          <w:p w14:paraId="58ECEAF8" w14:textId="62E21DA9" w:rsidR="00D210F0" w:rsidRPr="00092ED7" w:rsidRDefault="00D210F0" w:rsidP="00C429AB">
            <w:pPr>
              <w:spacing w:before="0" w:after="0"/>
              <w:ind w:left="113" w:right="113"/>
              <w:rPr>
                <w:rFonts w:cs="Times New Roman"/>
                <w:b/>
                <w:sz w:val="20"/>
                <w:lang w:val="sr-Cyrl-CS"/>
              </w:rPr>
            </w:pPr>
            <w:r w:rsidRPr="00092ED7">
              <w:rPr>
                <w:rFonts w:cs="Times New Roman"/>
                <w:sz w:val="20"/>
                <w:lang w:val="sr-Cyrl-CS"/>
              </w:rPr>
              <w:t xml:space="preserve">Успостављена платформа </w:t>
            </w:r>
            <w:r w:rsidR="00E443AD" w:rsidRPr="00092ED7">
              <w:rPr>
                <w:rFonts w:cs="Times New Roman"/>
                <w:sz w:val="20"/>
                <w:lang w:val="sr-Cyrl-CS"/>
              </w:rPr>
              <w:t>Националне службе за запошљавање</w:t>
            </w:r>
            <w:r w:rsidRPr="00092ED7">
              <w:rPr>
                <w:rFonts w:cs="Times New Roman"/>
                <w:sz w:val="20"/>
                <w:lang w:val="sr-Cyrl-CS"/>
              </w:rPr>
              <w:t xml:space="preserve"> за регистрацију и праћење Гаранције за младе</w:t>
            </w:r>
          </w:p>
        </w:tc>
        <w:tc>
          <w:tcPr>
            <w:tcW w:w="1652" w:type="dxa"/>
          </w:tcPr>
          <w:p w14:paraId="13FF19F1" w14:textId="77777777" w:rsidR="00D210F0" w:rsidRPr="00092ED7" w:rsidRDefault="00D210F0" w:rsidP="00B06106">
            <w:pPr>
              <w:spacing w:before="0" w:after="0"/>
              <w:ind w:left="113" w:right="113"/>
              <w:jc w:val="center"/>
              <w:rPr>
                <w:rFonts w:cs="Times New Roman"/>
                <w:b/>
                <w:sz w:val="20"/>
                <w:lang w:val="sr-Cyrl-CS"/>
              </w:rPr>
            </w:pPr>
            <w:r w:rsidRPr="00092ED7">
              <w:rPr>
                <w:rFonts w:cs="Times New Roman"/>
                <w:sz w:val="20"/>
                <w:lang w:val="sr-Cyrl-CS"/>
              </w:rPr>
              <w:t>не</w:t>
            </w:r>
          </w:p>
        </w:tc>
        <w:tc>
          <w:tcPr>
            <w:tcW w:w="1796" w:type="dxa"/>
            <w:shd w:val="clear" w:color="auto" w:fill="auto"/>
          </w:tcPr>
          <w:p w14:paraId="3C92F0F7" w14:textId="77777777" w:rsidR="00D210F0" w:rsidRPr="00092ED7" w:rsidRDefault="00476166" w:rsidP="00C429AB">
            <w:pPr>
              <w:spacing w:before="0" w:after="0"/>
              <w:ind w:left="113" w:right="113"/>
              <w:jc w:val="center"/>
              <w:rPr>
                <w:rFonts w:cs="Times New Roman"/>
                <w:b/>
                <w:sz w:val="20"/>
                <w:lang w:val="sr-Cyrl-CS"/>
              </w:rPr>
            </w:pPr>
            <w:r w:rsidRPr="00092ED7">
              <w:rPr>
                <w:rFonts w:cs="Times New Roman"/>
                <w:sz w:val="20"/>
                <w:lang w:val="sr-Cyrl-CS"/>
              </w:rPr>
              <w:t>не (2022)</w:t>
            </w:r>
          </w:p>
        </w:tc>
        <w:tc>
          <w:tcPr>
            <w:tcW w:w="1796" w:type="dxa"/>
          </w:tcPr>
          <w:p w14:paraId="6C331955" w14:textId="77777777" w:rsidR="00D210F0" w:rsidRPr="00092ED7" w:rsidRDefault="00D210F0" w:rsidP="00C429AB">
            <w:pPr>
              <w:spacing w:before="0" w:after="0"/>
              <w:ind w:left="113" w:right="113"/>
              <w:jc w:val="center"/>
              <w:rPr>
                <w:rFonts w:cs="Times New Roman"/>
                <w:b/>
                <w:sz w:val="20"/>
                <w:lang w:val="sr-Cyrl-CS"/>
              </w:rPr>
            </w:pPr>
            <w:r w:rsidRPr="00092ED7">
              <w:rPr>
                <w:rFonts w:cs="Times New Roman"/>
                <w:sz w:val="20"/>
                <w:lang w:val="sr-Cyrl-CS"/>
              </w:rPr>
              <w:t>да (2023)</w:t>
            </w:r>
          </w:p>
        </w:tc>
      </w:tr>
      <w:tr w:rsidR="00D210F0" w:rsidRPr="00092ED7" w14:paraId="2256FB54" w14:textId="77777777" w:rsidTr="00DB0B7B">
        <w:tc>
          <w:tcPr>
            <w:tcW w:w="3828" w:type="dxa"/>
          </w:tcPr>
          <w:p w14:paraId="160BEF6B" w14:textId="77777777" w:rsidR="00D210F0" w:rsidRPr="00092ED7" w:rsidRDefault="00D210F0" w:rsidP="00C429AB">
            <w:pPr>
              <w:spacing w:before="0" w:after="0"/>
              <w:ind w:left="113" w:right="113"/>
              <w:rPr>
                <w:rFonts w:cs="Times New Roman"/>
                <w:sz w:val="20"/>
                <w:lang w:val="sr-Cyrl-CS"/>
              </w:rPr>
            </w:pPr>
            <w:r w:rsidRPr="00092ED7">
              <w:rPr>
                <w:rFonts w:cs="Times New Roman"/>
                <w:sz w:val="20"/>
                <w:lang w:val="sr-Cyrl-CS"/>
              </w:rPr>
              <w:t xml:space="preserve">Стопа </w:t>
            </w:r>
            <w:r w:rsidRPr="00092ED7">
              <w:rPr>
                <w:rFonts w:cs="Times New Roman"/>
                <w:i/>
                <w:sz w:val="20"/>
                <w:lang w:val="sr-Cyrl-CS"/>
              </w:rPr>
              <w:t>NЕЕТ</w:t>
            </w:r>
            <w:r w:rsidRPr="00092ED7">
              <w:rPr>
                <w:rFonts w:cs="Times New Roman"/>
                <w:sz w:val="20"/>
                <w:lang w:val="sr-Cyrl-CS"/>
              </w:rPr>
              <w:t xml:space="preserve"> 15-29, у % (SDG индикатор за циљ 8.6)</w:t>
            </w:r>
          </w:p>
        </w:tc>
        <w:tc>
          <w:tcPr>
            <w:tcW w:w="1652" w:type="dxa"/>
          </w:tcPr>
          <w:p w14:paraId="62EC9F3B" w14:textId="77777777" w:rsidR="00D210F0" w:rsidRPr="00092ED7" w:rsidRDefault="006D7293" w:rsidP="00B06106">
            <w:pPr>
              <w:spacing w:before="0" w:after="0"/>
              <w:ind w:left="113" w:right="113"/>
              <w:jc w:val="center"/>
              <w:rPr>
                <w:rFonts w:cs="Times New Roman"/>
                <w:b/>
                <w:sz w:val="20"/>
                <w:lang w:val="sr-Cyrl-CS"/>
              </w:rPr>
            </w:pPr>
            <w:r w:rsidRPr="00092ED7">
              <w:rPr>
                <w:rFonts w:cs="Times New Roman"/>
                <w:sz w:val="20"/>
                <w:lang w:val="sr-Cyrl-CS"/>
              </w:rPr>
              <w:t xml:space="preserve">20,4 </w:t>
            </w:r>
          </w:p>
        </w:tc>
        <w:tc>
          <w:tcPr>
            <w:tcW w:w="1796" w:type="dxa"/>
          </w:tcPr>
          <w:p w14:paraId="2AA57F97" w14:textId="77777777" w:rsidR="00D210F0" w:rsidRPr="00092ED7" w:rsidRDefault="00D210F0" w:rsidP="00C429AB">
            <w:pPr>
              <w:spacing w:before="0" w:after="0"/>
              <w:ind w:left="113" w:right="113"/>
              <w:jc w:val="center"/>
              <w:rPr>
                <w:rFonts w:cs="Times New Roman"/>
                <w:b/>
                <w:sz w:val="20"/>
                <w:lang w:val="sr-Cyrl-CS"/>
              </w:rPr>
            </w:pPr>
            <w:r w:rsidRPr="00092ED7">
              <w:rPr>
                <w:rFonts w:cs="Times New Roman"/>
                <w:sz w:val="20"/>
                <w:lang w:val="sr-Cyrl-CS"/>
              </w:rPr>
              <w:t>15,7 (2023)</w:t>
            </w:r>
          </w:p>
        </w:tc>
        <w:tc>
          <w:tcPr>
            <w:tcW w:w="1796" w:type="dxa"/>
          </w:tcPr>
          <w:p w14:paraId="2A1C7F93" w14:textId="77777777" w:rsidR="00D210F0" w:rsidRPr="00092ED7" w:rsidRDefault="00D210F0" w:rsidP="00C429AB">
            <w:pPr>
              <w:spacing w:before="0" w:after="0"/>
              <w:ind w:left="113" w:right="113"/>
              <w:jc w:val="center"/>
              <w:rPr>
                <w:rFonts w:cs="Times New Roman"/>
                <w:b/>
                <w:sz w:val="20"/>
                <w:lang w:val="sr-Cyrl-CS"/>
              </w:rPr>
            </w:pPr>
            <w:r w:rsidRPr="00092ED7">
              <w:rPr>
                <w:rFonts w:cs="Times New Roman"/>
                <w:sz w:val="20"/>
                <w:lang w:val="sr-Cyrl-CS"/>
              </w:rPr>
              <w:t>13,9 (2025)</w:t>
            </w:r>
          </w:p>
        </w:tc>
      </w:tr>
    </w:tbl>
    <w:p w14:paraId="7DF47F95" w14:textId="77777777" w:rsidR="00D210F0" w:rsidRPr="00092ED7" w:rsidRDefault="00D210F0" w:rsidP="00D210F0">
      <w:pPr>
        <w:pStyle w:val="ListParagraph"/>
        <w:widowControl w:val="0"/>
        <w:numPr>
          <w:ilvl w:val="0"/>
          <w:numId w:val="11"/>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конкурентност</w:t>
      </w:r>
    </w:p>
    <w:p w14:paraId="27CF6E91"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Спровођењем Гаранције за младе, односно уклањањем системских препрека за боље перформансе младих на тржишту рада и континуираном реализацијом активности којима се унапређују њихова знања и вештине и осигурава стицање препознатих квалификација, омогућава се стицање радног искуства, развија предузетништво младих, превенирају неповољни миграторни токови и доприноси се развоју веће искоришћености потенцијалне радне снаге. </w:t>
      </w:r>
    </w:p>
    <w:p w14:paraId="5BD178D5"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Реформа доприноси побољшању квалитета младе радне снаге, што последично утиче и на њихову бољу продуктивност и раст БДП</w:t>
      </w:r>
      <w:r w:rsidR="007B16F2" w:rsidRPr="00092ED7">
        <w:rPr>
          <w:rFonts w:eastAsia="Calibri" w:cs="Times New Roman"/>
          <w:szCs w:val="24"/>
          <w:lang w:val="sr-Cyrl-CS" w:eastAsia="sr-Cyrl-CS" w:bidi="sr-Cyrl-CS"/>
        </w:rPr>
        <w:t>-a</w:t>
      </w:r>
      <w:r w:rsidRPr="00092ED7">
        <w:rPr>
          <w:rFonts w:eastAsia="Calibri" w:cs="Times New Roman"/>
          <w:szCs w:val="24"/>
          <w:lang w:val="sr-Cyrl-CS" w:eastAsia="sr-Cyrl-CS" w:bidi="sr-Cyrl-CS"/>
        </w:rPr>
        <w:t>.</w:t>
      </w:r>
    </w:p>
    <w:p w14:paraId="0E155A26" w14:textId="77777777" w:rsidR="00D210F0" w:rsidRPr="00092ED7" w:rsidRDefault="00D210F0" w:rsidP="00D210F0">
      <w:pPr>
        <w:widowControl w:val="0"/>
        <w:numPr>
          <w:ilvl w:val="0"/>
          <w:numId w:val="1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64302451" w14:textId="7191CF5F" w:rsidR="00EA1BE0" w:rsidRPr="00092ED7" w:rsidRDefault="00EA1BE0" w:rsidP="00EA1BE0">
      <w:pPr>
        <w:spacing w:before="120"/>
        <w:rPr>
          <w:rFonts w:eastAsia="Times New Roman" w:cs="Times New Roman"/>
          <w:iCs/>
          <w:lang w:val="sr-Cyrl-CS"/>
        </w:rPr>
      </w:pPr>
      <w:r w:rsidRPr="00092ED7">
        <w:rPr>
          <w:rFonts w:cs="Times New Roman"/>
          <w:lang w:val="sr-Cyrl-CS"/>
        </w:rPr>
        <w:t>Планирано је да се Гаранција финансира из буџета Р</w:t>
      </w:r>
      <w:r w:rsidR="001028F8" w:rsidRPr="00092ED7">
        <w:rPr>
          <w:rFonts w:cs="Times New Roman"/>
          <w:lang w:val="sr-Cyrl-CS"/>
        </w:rPr>
        <w:t xml:space="preserve">епублике </w:t>
      </w:r>
      <w:r w:rsidRPr="00092ED7">
        <w:rPr>
          <w:rFonts w:cs="Times New Roman"/>
          <w:lang w:val="sr-Cyrl-CS"/>
        </w:rPr>
        <w:t>С</w:t>
      </w:r>
      <w:r w:rsidR="001028F8" w:rsidRPr="00092ED7">
        <w:rPr>
          <w:rFonts w:cs="Times New Roman"/>
          <w:lang w:val="sr-Cyrl-CS"/>
        </w:rPr>
        <w:t>рбије</w:t>
      </w:r>
      <w:r w:rsidRPr="00092ED7">
        <w:rPr>
          <w:rFonts w:cs="Times New Roman"/>
          <w:lang w:val="sr-Cyrl-CS"/>
        </w:rPr>
        <w:t xml:space="preserve"> и из средстава донатора. Највећим делом финансираће се из донације ЕУ кроз </w:t>
      </w:r>
      <w:r w:rsidR="00584DA2" w:rsidRPr="00092ED7">
        <w:rPr>
          <w:rFonts w:eastAsia="Times New Roman" w:cs="Times New Roman"/>
          <w:iCs/>
          <w:lang w:val="sr-Cyrl-CS"/>
        </w:rPr>
        <w:t xml:space="preserve">ИПА </w:t>
      </w:r>
      <w:r w:rsidRPr="00092ED7">
        <w:rPr>
          <w:rFonts w:cs="Times New Roman"/>
          <w:lang w:val="sr-Cyrl-CS"/>
        </w:rPr>
        <w:t>20</w:t>
      </w:r>
      <w:r w:rsidR="006208EC" w:rsidRPr="00092ED7">
        <w:rPr>
          <w:rFonts w:cs="Times New Roman"/>
          <w:lang w:val="sr-Cyrl-CS"/>
        </w:rPr>
        <w:t>20</w:t>
      </w:r>
      <w:r w:rsidRPr="00092ED7">
        <w:rPr>
          <w:rFonts w:cs="Times New Roman"/>
          <w:lang w:val="sr-Cyrl-CS"/>
        </w:rPr>
        <w:t xml:space="preserve"> директни грант „Спровођење иновативних мера активне политике запошљавања и подршка запошљавању теже запошљивих категоријаˮ у износу од 4.000.000 евра и </w:t>
      </w:r>
      <w:r w:rsidRPr="00092ED7">
        <w:rPr>
          <w:rFonts w:eastAsia="Times New Roman" w:cs="Times New Roman"/>
          <w:iCs/>
          <w:lang w:val="sr-Cyrl-CS"/>
        </w:rPr>
        <w:t>1.500.000 евра национално кофинансирање (средства из буџета Р</w:t>
      </w:r>
      <w:r w:rsidR="001028F8" w:rsidRPr="00092ED7">
        <w:rPr>
          <w:rFonts w:eastAsia="Times New Roman" w:cs="Times New Roman"/>
          <w:iCs/>
          <w:lang w:val="sr-Cyrl-CS"/>
        </w:rPr>
        <w:t xml:space="preserve">епублике </w:t>
      </w:r>
      <w:r w:rsidRPr="00092ED7">
        <w:rPr>
          <w:rFonts w:eastAsia="Times New Roman" w:cs="Times New Roman"/>
          <w:iCs/>
          <w:lang w:val="sr-Cyrl-CS"/>
        </w:rPr>
        <w:t>С</w:t>
      </w:r>
      <w:r w:rsidR="001028F8" w:rsidRPr="00092ED7">
        <w:rPr>
          <w:rFonts w:eastAsia="Times New Roman" w:cs="Times New Roman"/>
          <w:iCs/>
          <w:lang w:val="sr-Cyrl-CS"/>
        </w:rPr>
        <w:t>рбије</w:t>
      </w:r>
      <w:r w:rsidRPr="00092ED7">
        <w:rPr>
          <w:rFonts w:eastAsia="Times New Roman" w:cs="Times New Roman"/>
          <w:iCs/>
          <w:lang w:val="sr-Cyrl-CS"/>
        </w:rPr>
        <w:t>). Такође, за финансирање ове структурне реформе планира се део средстава из пројекта Техничке помоћи из ИПА 2020 укупне вредности 1.500.000 евра.</w:t>
      </w:r>
    </w:p>
    <w:p w14:paraId="25EE2054" w14:textId="77777777" w:rsidR="00EA1BE0" w:rsidRPr="00092ED7" w:rsidRDefault="00EA1BE0" w:rsidP="00EA1BE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За 2023. годину планирана су средства ИПА 2020 (Подршка спровођењу мера активне политике запошљавања) у укупном износу од 2.981.250 </w:t>
      </w:r>
      <w:r w:rsidRPr="00092ED7">
        <w:rPr>
          <w:rFonts w:cs="Times New Roman"/>
          <w:lang w:val="sr-Cyrl-CS"/>
        </w:rPr>
        <w:t>евра</w:t>
      </w:r>
      <w:r w:rsidRPr="00092ED7">
        <w:rPr>
          <w:rFonts w:eastAsia="Calibri" w:cs="Times New Roman"/>
          <w:szCs w:val="24"/>
          <w:lang w:val="sr-Cyrl-CS" w:eastAsia="sr-Cyrl-CS" w:bidi="sr-Cyrl-CS"/>
        </w:rPr>
        <w:t xml:space="preserve">, од чега су средства Европске уније 2.250.000 </w:t>
      </w:r>
      <w:r w:rsidRPr="00092ED7">
        <w:rPr>
          <w:rFonts w:cs="Times New Roman"/>
          <w:lang w:val="sr-Cyrl-CS"/>
        </w:rPr>
        <w:t>евра</w:t>
      </w:r>
      <w:r w:rsidRPr="00092ED7">
        <w:rPr>
          <w:rFonts w:eastAsia="Calibri" w:cs="Times New Roman"/>
          <w:szCs w:val="24"/>
          <w:lang w:val="sr-Cyrl-CS" w:eastAsia="sr-Cyrl-CS" w:bidi="sr-Cyrl-CS"/>
        </w:rPr>
        <w:t xml:space="preserve">, а остатак је суфинансирање из буџета. Ова средства реализоваће се кроз директни грант Националној служби за запошљавање (субвенције и трансфери) у износу од 2.681.250 </w:t>
      </w:r>
      <w:r w:rsidRPr="00092ED7">
        <w:rPr>
          <w:rFonts w:cs="Times New Roman"/>
          <w:lang w:val="sr-Cyrl-CS"/>
        </w:rPr>
        <w:t>евра</w:t>
      </w:r>
      <w:r w:rsidRPr="00092ED7">
        <w:rPr>
          <w:rFonts w:eastAsia="Calibri" w:cs="Times New Roman"/>
          <w:szCs w:val="24"/>
          <w:lang w:val="sr-Cyrl-CS" w:eastAsia="sr-Cyrl-CS" w:bidi="sr-Cyrl-CS"/>
        </w:rPr>
        <w:t xml:space="preserve"> и техничку помоћ (добра и услуге) у износу од 300.000 </w:t>
      </w:r>
      <w:r w:rsidRPr="00092ED7">
        <w:rPr>
          <w:rFonts w:cs="Times New Roman"/>
          <w:lang w:val="sr-Cyrl-CS"/>
        </w:rPr>
        <w:t>евра</w:t>
      </w:r>
      <w:r w:rsidRPr="00092ED7">
        <w:rPr>
          <w:rFonts w:eastAsia="Calibri" w:cs="Times New Roman"/>
          <w:szCs w:val="24"/>
          <w:lang w:val="sr-Cyrl-CS" w:eastAsia="sr-Cyrl-CS" w:bidi="sr-Cyrl-CS"/>
        </w:rPr>
        <w:t>. На сличан начин су планирана средства за 2024. и 2025. годину.</w:t>
      </w:r>
    </w:p>
    <w:p w14:paraId="3B5AF562" w14:textId="77777777" w:rsidR="00D210F0" w:rsidRPr="00092ED7" w:rsidRDefault="00D210F0" w:rsidP="00D210F0">
      <w:pPr>
        <w:widowControl w:val="0"/>
        <w:numPr>
          <w:ilvl w:val="0"/>
          <w:numId w:val="1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2B84734A" w14:textId="77777777" w:rsidR="00D210F0" w:rsidRPr="00092ED7" w:rsidRDefault="000E4A66"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О</w:t>
      </w:r>
      <w:r w:rsidR="00921DD1" w:rsidRPr="00092ED7">
        <w:rPr>
          <w:rFonts w:eastAsia="Calibri" w:cs="Times New Roman"/>
          <w:szCs w:val="24"/>
          <w:lang w:val="sr-Cyrl-CS" w:eastAsia="sr-Cyrl-CS" w:bidi="sr-Cyrl-CS"/>
        </w:rPr>
        <w:t>лакшавањем транзициј</w:t>
      </w:r>
      <w:r w:rsidRPr="00092ED7">
        <w:rPr>
          <w:rFonts w:eastAsia="Calibri" w:cs="Times New Roman"/>
          <w:szCs w:val="24"/>
          <w:lang w:val="sr-Cyrl-CS" w:eastAsia="sr-Cyrl-CS" w:bidi="sr-Cyrl-CS"/>
        </w:rPr>
        <w:t>е</w:t>
      </w:r>
      <w:r w:rsidR="00921DD1" w:rsidRPr="00092ED7">
        <w:rPr>
          <w:rFonts w:eastAsia="Calibri" w:cs="Times New Roman"/>
          <w:szCs w:val="24"/>
          <w:lang w:val="sr-Cyrl-CS" w:eastAsia="sr-Cyrl-CS" w:bidi="sr-Cyrl-CS"/>
        </w:rPr>
        <w:t xml:space="preserve"> младих на тржиште рада и подстицањем њиховог запошљавања, </w:t>
      </w:r>
      <w:r w:rsidRPr="00092ED7">
        <w:rPr>
          <w:rFonts w:eastAsia="Calibri" w:cs="Times New Roman"/>
          <w:szCs w:val="24"/>
          <w:lang w:val="sr-Cyrl-CS" w:eastAsia="sr-Cyrl-CS" w:bidi="sr-Cyrl-CS"/>
        </w:rPr>
        <w:t>реформа ће утицати</w:t>
      </w:r>
      <w:r w:rsidR="00921DD1" w:rsidRPr="00092ED7">
        <w:rPr>
          <w:rFonts w:eastAsia="Calibri" w:cs="Times New Roman"/>
          <w:szCs w:val="24"/>
          <w:lang w:val="sr-Cyrl-CS" w:eastAsia="sr-Cyrl-CS" w:bidi="sr-Cyrl-CS"/>
        </w:rPr>
        <w:t xml:space="preserve"> на директан начин на повећање запослености ове категорије лица, док ће индиректно утицати и на смањење сиромаштва.</w:t>
      </w:r>
      <w:r w:rsidR="00D210F0" w:rsidRPr="00092ED7">
        <w:rPr>
          <w:rFonts w:eastAsia="Calibri" w:cs="Times New Roman"/>
          <w:szCs w:val="24"/>
          <w:lang w:val="sr-Cyrl-CS" w:eastAsia="sr-Cyrl-CS" w:bidi="sr-Cyrl-CS"/>
        </w:rPr>
        <w:t xml:space="preserve"> </w:t>
      </w:r>
      <w:r w:rsidRPr="00092ED7">
        <w:rPr>
          <w:rFonts w:eastAsia="Calibri" w:cs="Times New Roman"/>
          <w:szCs w:val="24"/>
          <w:lang w:val="sr-Cyrl-CS" w:eastAsia="sr-Cyrl-CS" w:bidi="sr-Cyrl-CS"/>
        </w:rPr>
        <w:t>Структурна реформа ће позитивно утицати на родну равноправност, јер ће се прикупљањем података и процесом анализе потреба младих омогућити развој наменских линија подршке како би се помогло удаљеним младима да постану активнији на тржишту рада и да се на крају прикључе систему пружања услуга Гаранције за младе. На пример, истраживање о усклађивању рада и породичног живота омогућиће добијање информације о породичним обавезама, коришћењу услуга бриге о деци и утицају породичних обавеза на запошљавање, посебно за младе жене које су неактивне на тржишту рада.</w:t>
      </w:r>
    </w:p>
    <w:p w14:paraId="1347AAB0" w14:textId="77777777" w:rsidR="00D210F0" w:rsidRPr="00092ED7" w:rsidRDefault="00D210F0" w:rsidP="00D210F0">
      <w:pPr>
        <w:widowControl w:val="0"/>
        <w:numPr>
          <w:ilvl w:val="0"/>
          <w:numId w:val="1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3F6BDC62"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Реформа је неутрална у односу на животну средину</w:t>
      </w:r>
      <w:r w:rsidR="001F62AF" w:rsidRPr="00092ED7">
        <w:rPr>
          <w:rFonts w:eastAsia="Calibri" w:cs="Times New Roman"/>
          <w:szCs w:val="24"/>
          <w:lang w:val="sr-Cyrl-CS" w:eastAsia="sr-Cyrl-CS" w:bidi="sr-Cyrl-CS"/>
        </w:rPr>
        <w:t xml:space="preserve"> и климатске промене</w:t>
      </w:r>
      <w:r w:rsidRPr="00092ED7">
        <w:rPr>
          <w:rFonts w:eastAsia="Calibri" w:cs="Times New Roman"/>
          <w:szCs w:val="24"/>
          <w:lang w:val="sr-Cyrl-CS" w:eastAsia="sr-Cyrl-CS" w:bidi="sr-Cyrl-CS"/>
        </w:rPr>
        <w:t>.</w:t>
      </w:r>
    </w:p>
    <w:p w14:paraId="27F26927" w14:textId="77777777" w:rsidR="00D210F0" w:rsidRPr="00092ED7" w:rsidRDefault="00D210F0" w:rsidP="00D210F0">
      <w:pPr>
        <w:widowControl w:val="0"/>
        <w:numPr>
          <w:ilvl w:val="0"/>
          <w:numId w:val="1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067" w:type="dxa"/>
        <w:jc w:val="center"/>
        <w:tblLayout w:type="fixed"/>
        <w:tblLook w:val="04A0" w:firstRow="1" w:lastRow="0" w:firstColumn="1" w:lastColumn="0" w:noHBand="0" w:noVBand="1"/>
      </w:tblPr>
      <w:tblGrid>
        <w:gridCol w:w="3515"/>
        <w:gridCol w:w="2098"/>
        <w:gridCol w:w="3454"/>
      </w:tblGrid>
      <w:tr w:rsidR="00D210F0" w:rsidRPr="00092ED7" w14:paraId="0A1CAE71" w14:textId="77777777" w:rsidTr="00C429AB">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19B8D6EF" w14:textId="77777777" w:rsidR="00D210F0" w:rsidRPr="00092ED7" w:rsidRDefault="00D210F0" w:rsidP="005D14E2">
            <w:pPr>
              <w:spacing w:before="0" w:after="0"/>
              <w:ind w:left="113" w:right="113"/>
              <w:jc w:val="center"/>
              <w:rPr>
                <w:rFonts w:eastAsia="Calibri" w:cs="Times New Roman"/>
                <w:b w:val="0"/>
                <w:sz w:val="20"/>
                <w:lang w:val="sr-Cyrl-CS" w:eastAsia="sr-Cyrl-CS" w:bidi="sr-Cyrl-CS"/>
              </w:rPr>
            </w:pPr>
            <w:r w:rsidRPr="00092ED7">
              <w:rPr>
                <w:rFonts w:eastAsia="Calibri" w:cs="Times New Roman"/>
                <w:sz w:val="20"/>
                <w:lang w:val="sr-Cyrl-CS" w:eastAsia="sr-Cyrl-CS" w:bidi="sr-Cyrl-CS"/>
              </w:rPr>
              <w:t>Ризик</w:t>
            </w:r>
          </w:p>
        </w:tc>
        <w:tc>
          <w:tcPr>
            <w:tcW w:w="2098" w:type="dxa"/>
          </w:tcPr>
          <w:p w14:paraId="631A5987" w14:textId="77777777" w:rsidR="00D210F0" w:rsidRPr="00092ED7" w:rsidRDefault="00D210F0" w:rsidP="005D14E2">
            <w:pPr>
              <w:spacing w:before="0" w:after="0"/>
              <w:ind w:left="113" w:right="113"/>
              <w:jc w:val="center"/>
              <w:rPr>
                <w:rFonts w:eastAsia="Calibri" w:cs="Times New Roman"/>
                <w:b w:val="0"/>
                <w:sz w:val="20"/>
                <w:lang w:val="sr-Cyrl-CS" w:eastAsia="sr-Cyrl-CS" w:bidi="sr-Cyrl-CS"/>
              </w:rPr>
            </w:pPr>
            <w:r w:rsidRPr="00092ED7">
              <w:rPr>
                <w:rFonts w:eastAsia="Calibri" w:cs="Times New Roman"/>
                <w:sz w:val="20"/>
                <w:lang w:val="sr-Cyrl-CS" w:eastAsia="sr-Cyrl-CS" w:bidi="sr-Cyrl-CS"/>
              </w:rPr>
              <w:t>Вероватноћа за остваривање ризика</w:t>
            </w:r>
          </w:p>
        </w:tc>
        <w:tc>
          <w:tcPr>
            <w:tcW w:w="3454" w:type="dxa"/>
          </w:tcPr>
          <w:p w14:paraId="04E96D8F" w14:textId="77777777" w:rsidR="00D210F0" w:rsidRPr="00092ED7" w:rsidRDefault="00D210F0" w:rsidP="005D14E2">
            <w:pPr>
              <w:spacing w:before="0" w:after="0"/>
              <w:ind w:left="113" w:right="113"/>
              <w:jc w:val="center"/>
              <w:rPr>
                <w:rFonts w:eastAsia="Calibri" w:cs="Times New Roman"/>
                <w:b w:val="0"/>
                <w:sz w:val="20"/>
                <w:lang w:val="sr-Cyrl-CS" w:eastAsia="sr-Cyrl-CS" w:bidi="sr-Cyrl-CS"/>
              </w:rPr>
            </w:pPr>
            <w:r w:rsidRPr="00092ED7">
              <w:rPr>
                <w:rFonts w:eastAsia="Calibri" w:cs="Times New Roman"/>
                <w:sz w:val="20"/>
                <w:lang w:val="sr-Cyrl-CS" w:eastAsia="sr-Cyrl-CS" w:bidi="sr-Cyrl-CS"/>
              </w:rPr>
              <w:t>Планиране активност за ублажавање негативних ефеката ризика</w:t>
            </w:r>
          </w:p>
        </w:tc>
      </w:tr>
      <w:tr w:rsidR="00D210F0" w:rsidRPr="00092ED7" w14:paraId="0863C1A7" w14:textId="77777777" w:rsidTr="00BC16BA">
        <w:trPr>
          <w:jc w:val="center"/>
        </w:trPr>
        <w:tc>
          <w:tcPr>
            <w:tcW w:w="3515" w:type="dxa"/>
          </w:tcPr>
          <w:p w14:paraId="095CCDF7" w14:textId="77777777" w:rsidR="00D210F0" w:rsidRPr="00092ED7" w:rsidRDefault="00D210F0" w:rsidP="005D14E2">
            <w:pPr>
              <w:spacing w:before="0" w:after="0"/>
              <w:ind w:left="113" w:right="113"/>
              <w:rPr>
                <w:rFonts w:eastAsia="Calibri" w:cs="Times New Roman"/>
                <w:sz w:val="20"/>
                <w:lang w:val="sr-Cyrl-CS" w:eastAsia="sr-Cyrl-CS" w:bidi="sr-Cyrl-CS"/>
              </w:rPr>
            </w:pPr>
            <w:r w:rsidRPr="00092ED7">
              <w:rPr>
                <w:rFonts w:eastAsia="Calibri" w:cs="Times New Roman"/>
                <w:sz w:val="20"/>
                <w:lang w:val="sr-Cyrl-CS" w:eastAsia="sr-Cyrl-CS" w:bidi="sr-Cyrl-CS"/>
              </w:rPr>
              <w:t>Недостатак дијалога и координације на високом нивоу, потребних за  реализацију реформе</w:t>
            </w:r>
          </w:p>
        </w:tc>
        <w:tc>
          <w:tcPr>
            <w:tcW w:w="2098" w:type="dxa"/>
            <w:vAlign w:val="top"/>
          </w:tcPr>
          <w:p w14:paraId="485636F3" w14:textId="77777777" w:rsidR="00D210F0" w:rsidRPr="00092ED7" w:rsidRDefault="00D210F0" w:rsidP="00BC16BA">
            <w:pPr>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Средња</w:t>
            </w:r>
          </w:p>
        </w:tc>
        <w:tc>
          <w:tcPr>
            <w:tcW w:w="3454" w:type="dxa"/>
          </w:tcPr>
          <w:p w14:paraId="2E86E74A" w14:textId="77777777" w:rsidR="00D210F0" w:rsidRPr="00092ED7" w:rsidRDefault="00D210F0" w:rsidP="005D14E2">
            <w:pPr>
              <w:spacing w:before="0" w:after="0"/>
              <w:ind w:left="113" w:right="113"/>
              <w:rPr>
                <w:rFonts w:eastAsia="Calibri" w:cs="Times New Roman"/>
                <w:sz w:val="20"/>
                <w:lang w:val="sr-Cyrl-CS" w:eastAsia="sr-Cyrl-CS" w:bidi="sr-Cyrl-CS"/>
              </w:rPr>
            </w:pPr>
            <w:r w:rsidRPr="00092ED7">
              <w:rPr>
                <w:rFonts w:eastAsia="Calibri" w:cs="Times New Roman"/>
                <w:sz w:val="20"/>
                <w:lang w:val="sr-Cyrl-CS" w:eastAsia="sr-Cyrl-CS" w:bidi="sr-Cyrl-CS"/>
              </w:rPr>
              <w:t xml:space="preserve">Редован дијалог у оквиру формираног Координационог тела и Стручне групе. </w:t>
            </w:r>
          </w:p>
        </w:tc>
      </w:tr>
      <w:tr w:rsidR="00D210F0" w:rsidRPr="00092ED7" w14:paraId="50403B31" w14:textId="77777777" w:rsidTr="00BC16BA">
        <w:trPr>
          <w:jc w:val="center"/>
        </w:trPr>
        <w:tc>
          <w:tcPr>
            <w:tcW w:w="3515" w:type="dxa"/>
          </w:tcPr>
          <w:p w14:paraId="7608C6E2" w14:textId="77777777" w:rsidR="00D210F0" w:rsidRPr="00092ED7" w:rsidRDefault="00D210F0" w:rsidP="005D14E2">
            <w:pPr>
              <w:spacing w:before="0" w:after="0"/>
              <w:ind w:left="113" w:right="113"/>
              <w:rPr>
                <w:rFonts w:eastAsia="Calibri" w:cs="Times New Roman"/>
                <w:sz w:val="20"/>
                <w:lang w:val="sr-Cyrl-CS" w:eastAsia="sr-Cyrl-CS" w:bidi="sr-Cyrl-CS"/>
              </w:rPr>
            </w:pPr>
            <w:r w:rsidRPr="00092ED7">
              <w:rPr>
                <w:rFonts w:eastAsia="Calibri" w:cs="Times New Roman"/>
                <w:sz w:val="20"/>
                <w:lang w:val="sr-Cyrl-CS" w:eastAsia="sr-Cyrl-CS" w:bidi="sr-Cyrl-CS"/>
              </w:rPr>
              <w:t>Недовољни капацитети институција и релевантних актера за реализацију активности на успостављању оквира Гаранције за младе</w:t>
            </w:r>
          </w:p>
        </w:tc>
        <w:tc>
          <w:tcPr>
            <w:tcW w:w="2098" w:type="dxa"/>
            <w:vAlign w:val="top"/>
          </w:tcPr>
          <w:p w14:paraId="49C2B42D" w14:textId="77777777" w:rsidR="00D210F0" w:rsidRPr="00092ED7" w:rsidRDefault="00D210F0" w:rsidP="00BC16BA">
            <w:pPr>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Средња</w:t>
            </w:r>
          </w:p>
        </w:tc>
        <w:tc>
          <w:tcPr>
            <w:tcW w:w="3454" w:type="dxa"/>
          </w:tcPr>
          <w:p w14:paraId="4D8707BA" w14:textId="5AFDF1AA" w:rsidR="00D210F0" w:rsidRPr="00092ED7" w:rsidRDefault="00D210F0" w:rsidP="005D14E2">
            <w:pPr>
              <w:spacing w:before="0" w:after="0"/>
              <w:ind w:left="113" w:right="113"/>
              <w:rPr>
                <w:rFonts w:eastAsia="Calibri" w:cs="Times New Roman"/>
                <w:sz w:val="20"/>
                <w:lang w:val="sr-Cyrl-CS" w:eastAsia="sr-Cyrl-CS" w:bidi="sr-Cyrl-CS"/>
              </w:rPr>
            </w:pPr>
            <w:r w:rsidRPr="00092ED7">
              <w:rPr>
                <w:rFonts w:eastAsia="Calibri" w:cs="Times New Roman"/>
                <w:sz w:val="20"/>
                <w:lang w:val="sr-Cyrl-CS" w:eastAsia="sr-Cyrl-CS" w:bidi="sr-Cyrl-CS"/>
              </w:rPr>
              <w:t>Повећање броја запослених у оквиру М</w:t>
            </w:r>
            <w:r w:rsidR="00D0503A" w:rsidRPr="00092ED7">
              <w:rPr>
                <w:rFonts w:eastAsia="Calibri" w:cs="Times New Roman"/>
                <w:sz w:val="20"/>
                <w:lang w:val="sr-Cyrl-CS" w:eastAsia="sr-Cyrl-CS" w:bidi="sr-Cyrl-CS"/>
              </w:rPr>
              <w:t>инистарств</w:t>
            </w:r>
            <w:r w:rsidR="00E443AD" w:rsidRPr="00092ED7">
              <w:rPr>
                <w:rFonts w:eastAsia="Calibri" w:cs="Times New Roman"/>
                <w:sz w:val="20"/>
                <w:lang w:val="sr-Cyrl-CS" w:eastAsia="sr-Cyrl-CS" w:bidi="sr-Cyrl-CS"/>
              </w:rPr>
              <w:t>а</w:t>
            </w:r>
            <w:r w:rsidR="00D0503A" w:rsidRPr="00092ED7">
              <w:rPr>
                <w:rFonts w:eastAsia="Calibri" w:cs="Times New Roman"/>
                <w:sz w:val="20"/>
                <w:lang w:val="sr-Cyrl-CS" w:eastAsia="sr-Cyrl-CS" w:bidi="sr-Cyrl-CS"/>
              </w:rPr>
              <w:t xml:space="preserve"> за рад, запошљавање, борачка и социјална питања</w:t>
            </w:r>
            <w:r w:rsidRPr="00092ED7">
              <w:rPr>
                <w:rFonts w:eastAsia="Calibri" w:cs="Times New Roman"/>
                <w:sz w:val="20"/>
                <w:lang w:val="sr-Cyrl-CS" w:eastAsia="sr-Cyrl-CS" w:bidi="sr-Cyrl-CS"/>
              </w:rPr>
              <w:t xml:space="preserve">, </w:t>
            </w:r>
            <w:r w:rsidR="00E443AD" w:rsidRPr="00092ED7">
              <w:rPr>
                <w:rFonts w:eastAsia="Calibri" w:cs="Times New Roman"/>
                <w:sz w:val="20"/>
                <w:lang w:val="sr-Cyrl-CS" w:eastAsia="sr-Cyrl-CS" w:bidi="sr-Cyrl-CS"/>
              </w:rPr>
              <w:t>Националне службе за запошљавање</w:t>
            </w:r>
            <w:r w:rsidRPr="00092ED7">
              <w:rPr>
                <w:rFonts w:eastAsia="Calibri" w:cs="Times New Roman"/>
                <w:sz w:val="20"/>
                <w:lang w:val="sr-Cyrl-CS" w:eastAsia="sr-Cyrl-CS" w:bidi="sr-Cyrl-CS"/>
              </w:rPr>
              <w:t xml:space="preserve"> и обуке за све актере укључене у реализацију активности планираних Планом имплементације.</w:t>
            </w:r>
          </w:p>
        </w:tc>
      </w:tr>
    </w:tbl>
    <w:p w14:paraId="4B2BB1B9" w14:textId="77777777" w:rsidR="00D210F0" w:rsidRPr="00092ED7" w:rsidRDefault="00D210F0" w:rsidP="00D210F0">
      <w:pPr>
        <w:widowControl w:val="0"/>
        <w:spacing w:before="360"/>
        <w:rPr>
          <w:rFonts w:eastAsia="Calibri" w:cs="Times New Roman"/>
          <w:szCs w:val="24"/>
          <w:lang w:val="sr-Cyrl-CS" w:eastAsia="sr-Cyrl-CS" w:bidi="sr-Cyrl-CS"/>
        </w:rPr>
      </w:pPr>
      <w:r w:rsidRPr="00092ED7">
        <w:rPr>
          <w:rFonts w:eastAsia="Calibri" w:cs="Times New Roman"/>
          <w:b/>
          <w:szCs w:val="24"/>
          <w:u w:val="single"/>
          <w:lang w:val="sr-Cyrl-CS"/>
        </w:rPr>
        <w:t>СТРУКТУРНА РЕФОРМА 2</w:t>
      </w:r>
      <w:r w:rsidRPr="00092ED7">
        <w:rPr>
          <w:rFonts w:eastAsia="Calibri" w:cs="Times New Roman"/>
          <w:b/>
          <w:szCs w:val="24"/>
          <w:lang w:val="sr-Cyrl-CS"/>
        </w:rPr>
        <w:t xml:space="preserve">: </w:t>
      </w:r>
      <w:r w:rsidR="006F30BE" w:rsidRPr="00092ED7">
        <w:rPr>
          <w:rFonts w:eastAsia="Calibri" w:cs="Times New Roman"/>
          <w:szCs w:val="24"/>
          <w:lang w:val="sr-Cyrl-CS"/>
        </w:rPr>
        <w:t>РЕФОРМА ФОНДА ЗА МЛАДЕ ТАЛЕНТЕ</w:t>
      </w:r>
    </w:p>
    <w:p w14:paraId="664DE7C3" w14:textId="77777777" w:rsidR="00D210F0" w:rsidRPr="00092ED7" w:rsidRDefault="00D210F0" w:rsidP="00071952">
      <w:pPr>
        <w:pStyle w:val="ListParagraph"/>
        <w:widowControl w:val="0"/>
        <w:numPr>
          <w:ilvl w:val="0"/>
          <w:numId w:val="19"/>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55C110B6" w14:textId="6966F563"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Циљ реформе је успостављање ефикаснијег модела стипендирања и система за праћење и запошљавање стипендираних талената, пре свега у јавној управи, а потом и у привреди у сарадњи са партнерима. С тим у вези, током 2022. године </w:t>
      </w:r>
      <w:r w:rsidR="006F30BE" w:rsidRPr="00092ED7">
        <w:rPr>
          <w:rFonts w:eastAsia="Calibri" w:cs="Times New Roman"/>
          <w:szCs w:val="24"/>
          <w:lang w:val="sr-Cyrl-CS" w:eastAsia="sr-Cyrl-CS" w:bidi="sr-Cyrl-CS"/>
        </w:rPr>
        <w:t xml:space="preserve">започета </w:t>
      </w:r>
      <w:r w:rsidRPr="00092ED7">
        <w:rPr>
          <w:rFonts w:eastAsia="Calibri" w:cs="Times New Roman"/>
          <w:szCs w:val="24"/>
          <w:lang w:val="sr-Cyrl-CS" w:eastAsia="sr-Cyrl-CS" w:bidi="sr-Cyrl-CS"/>
        </w:rPr>
        <w:t xml:space="preserve">је </w:t>
      </w:r>
      <w:r w:rsidR="004C03FF" w:rsidRPr="00092ED7">
        <w:rPr>
          <w:rFonts w:eastAsia="Calibri" w:cs="Times New Roman"/>
          <w:szCs w:val="24"/>
          <w:lang w:val="sr-Cyrl-CS" w:eastAsia="sr-Cyrl-CS" w:bidi="sr-Cyrl-CS"/>
        </w:rPr>
        <w:t xml:space="preserve">реформа </w:t>
      </w:r>
      <w:r w:rsidRPr="00092ED7">
        <w:rPr>
          <w:rFonts w:eastAsia="Calibri" w:cs="Times New Roman"/>
          <w:szCs w:val="24"/>
          <w:lang w:val="sr-Cyrl-CS" w:eastAsia="sr-Cyrl-CS" w:bidi="sr-Cyrl-CS"/>
        </w:rPr>
        <w:t>Фонд</w:t>
      </w:r>
      <w:r w:rsidR="00D25CE8" w:rsidRPr="00092ED7">
        <w:rPr>
          <w:rFonts w:eastAsia="Calibri" w:cs="Times New Roman"/>
          <w:szCs w:val="24"/>
          <w:lang w:val="sr-Cyrl-CS" w:eastAsia="sr-Cyrl-CS" w:bidi="sr-Cyrl-CS"/>
        </w:rPr>
        <w:t>а</w:t>
      </w:r>
      <w:r w:rsidRPr="00092ED7">
        <w:rPr>
          <w:rFonts w:eastAsia="Calibri" w:cs="Times New Roman"/>
          <w:szCs w:val="24"/>
          <w:lang w:val="sr-Cyrl-CS" w:eastAsia="sr-Cyrl-CS" w:bidi="sr-Cyrl-CS"/>
        </w:rPr>
        <w:t xml:space="preserve"> за младе таленте</w:t>
      </w:r>
      <w:r w:rsidR="00657813" w:rsidRPr="00092ED7">
        <w:rPr>
          <w:rFonts w:eastAsia="Calibri" w:cs="Times New Roman"/>
          <w:szCs w:val="24"/>
          <w:lang w:val="sr-Cyrl-CS" w:eastAsia="sr-Cyrl-CS" w:bidi="sr-Cyrl-CS"/>
        </w:rPr>
        <w:t xml:space="preserve"> </w:t>
      </w:r>
      <w:r w:rsidR="004C03FF" w:rsidRPr="00092ED7">
        <w:rPr>
          <w:rFonts w:eastAsia="Calibri" w:cs="Times New Roman"/>
          <w:szCs w:val="24"/>
          <w:lang w:val="sr-Cyrl-CS" w:eastAsia="sr-Cyrl-CS" w:bidi="sr-Cyrl-CS"/>
        </w:rPr>
        <w:t xml:space="preserve">са циљем оснивања </w:t>
      </w:r>
      <w:r w:rsidR="001028F8" w:rsidRPr="00092ED7">
        <w:rPr>
          <w:rFonts w:eastAsia="Calibri" w:cs="Times New Roman"/>
          <w:szCs w:val="24"/>
          <w:lang w:val="sr-Cyrl-CS" w:eastAsia="sr-Cyrl-CS" w:bidi="sr-Cyrl-CS"/>
        </w:rPr>
        <w:t>тог ф</w:t>
      </w:r>
      <w:r w:rsidR="004C03FF" w:rsidRPr="00092ED7">
        <w:rPr>
          <w:rFonts w:eastAsia="Calibri" w:cs="Times New Roman"/>
          <w:szCs w:val="24"/>
          <w:lang w:val="sr-Cyrl-CS" w:eastAsia="sr-Cyrl-CS" w:bidi="sr-Cyrl-CS"/>
        </w:rPr>
        <w:t xml:space="preserve">онда </w:t>
      </w:r>
      <w:r w:rsidRPr="00092ED7">
        <w:rPr>
          <w:rFonts w:eastAsia="Calibri" w:cs="Times New Roman"/>
          <w:szCs w:val="24"/>
          <w:lang w:val="sr-Cyrl-CS" w:eastAsia="sr-Cyrl-CS" w:bidi="sr-Cyrl-CS"/>
        </w:rPr>
        <w:t xml:space="preserve">као </w:t>
      </w:r>
      <w:r w:rsidR="004C03FF" w:rsidRPr="00092ED7">
        <w:rPr>
          <w:rFonts w:eastAsia="Calibri" w:cs="Times New Roman"/>
          <w:szCs w:val="24"/>
          <w:lang w:val="sr-Cyrl-CS" w:eastAsia="sr-Cyrl-CS" w:bidi="sr-Cyrl-CS"/>
        </w:rPr>
        <w:t>правног лица у 2024. години. Прве активности подразумевају реформу постојећих програма Фонда</w:t>
      </w:r>
      <w:r w:rsidR="001028F8" w:rsidRPr="00092ED7">
        <w:rPr>
          <w:rFonts w:eastAsia="Calibri" w:cs="Times New Roman"/>
          <w:szCs w:val="24"/>
          <w:lang w:val="sr-Cyrl-CS" w:eastAsia="sr-Cyrl-CS" w:bidi="sr-Cyrl-CS"/>
        </w:rPr>
        <w:t xml:space="preserve"> за младе таленте</w:t>
      </w:r>
      <w:r w:rsidR="004C03FF" w:rsidRPr="00092ED7">
        <w:rPr>
          <w:rFonts w:eastAsia="Calibri" w:cs="Times New Roman"/>
          <w:szCs w:val="24"/>
          <w:lang w:val="sr-Cyrl-CS" w:eastAsia="sr-Cyrl-CS" w:bidi="sr-Cyrl-CS"/>
        </w:rPr>
        <w:t xml:space="preserve">, </w:t>
      </w:r>
      <w:r w:rsidRPr="00092ED7">
        <w:rPr>
          <w:rFonts w:eastAsia="Calibri" w:cs="Times New Roman"/>
          <w:szCs w:val="24"/>
          <w:lang w:val="sr-Cyrl-CS" w:eastAsia="sr-Cyrl-CS" w:bidi="sr-Cyrl-CS"/>
        </w:rPr>
        <w:t>рад на дигиталној платформи за пријаву, евалуацију и праћење корисника Фонда</w:t>
      </w:r>
      <w:r w:rsidR="001028F8" w:rsidRPr="00092ED7">
        <w:rPr>
          <w:rFonts w:eastAsia="Calibri" w:cs="Times New Roman"/>
          <w:szCs w:val="24"/>
          <w:lang w:val="sr-Cyrl-CS" w:eastAsia="sr-Cyrl-CS" w:bidi="sr-Cyrl-CS"/>
        </w:rPr>
        <w:t xml:space="preserve"> за младе таленте</w:t>
      </w:r>
      <w:r w:rsidR="004C03FF" w:rsidRPr="00092ED7">
        <w:rPr>
          <w:rFonts w:eastAsia="Calibri" w:cs="Times New Roman"/>
          <w:szCs w:val="24"/>
          <w:lang w:val="sr-Cyrl-CS" w:eastAsia="sr-Cyrl-CS" w:bidi="sr-Cyrl-CS"/>
        </w:rPr>
        <w:t>, као и увођење нових програма</w:t>
      </w:r>
      <w:r w:rsidRPr="00092ED7">
        <w:rPr>
          <w:rFonts w:eastAsia="Calibri" w:cs="Times New Roman"/>
          <w:szCs w:val="24"/>
          <w:lang w:val="sr-Cyrl-CS" w:eastAsia="sr-Cyrl-CS" w:bidi="sr-Cyrl-CS"/>
        </w:rPr>
        <w:t xml:space="preserve">. </w:t>
      </w:r>
      <w:r w:rsidR="004C03FF" w:rsidRPr="00092ED7">
        <w:rPr>
          <w:rFonts w:eastAsia="Calibri" w:cs="Times New Roman"/>
          <w:szCs w:val="24"/>
          <w:lang w:val="sr-Cyrl-CS" w:eastAsia="sr-Cyrl-CS" w:bidi="sr-Cyrl-CS"/>
        </w:rPr>
        <w:t xml:space="preserve">На овај начин, обезбедиће се </w:t>
      </w:r>
      <w:r w:rsidRPr="00092ED7">
        <w:rPr>
          <w:rFonts w:eastAsia="Calibri" w:cs="Times New Roman"/>
          <w:szCs w:val="24"/>
          <w:lang w:val="sr-Cyrl-CS" w:eastAsia="sr-Cyrl-CS" w:bidi="sr-Cyrl-CS"/>
        </w:rPr>
        <w:t>дугорочно планирање и одрживост инвестиције у развој младих талената. Посебна пажња посветиће се и изградњи алумни мреже и мреже партнера</w:t>
      </w:r>
      <w:r w:rsidR="002126A3" w:rsidRPr="00092ED7">
        <w:rPr>
          <w:rFonts w:eastAsia="Calibri" w:cs="Times New Roman"/>
          <w:szCs w:val="24"/>
          <w:lang w:val="sr-Cyrl-CS" w:eastAsia="sr-Cyrl-CS" w:bidi="sr-Cyrl-CS"/>
        </w:rPr>
        <w:t>,</w:t>
      </w:r>
      <w:r w:rsidRPr="00092ED7">
        <w:rPr>
          <w:rFonts w:eastAsia="Calibri" w:cs="Times New Roman"/>
          <w:szCs w:val="24"/>
          <w:lang w:val="sr-Cyrl-CS" w:eastAsia="sr-Cyrl-CS" w:bidi="sr-Cyrl-CS"/>
        </w:rPr>
        <w:t xml:space="preserve"> како би се обезбедили додатни извори финансирања за програме Фонда</w:t>
      </w:r>
      <w:r w:rsidR="001028F8" w:rsidRPr="00092ED7">
        <w:rPr>
          <w:rFonts w:eastAsia="Calibri" w:cs="Times New Roman"/>
          <w:szCs w:val="24"/>
          <w:lang w:val="sr-Cyrl-CS" w:eastAsia="sr-Cyrl-CS" w:bidi="sr-Cyrl-CS"/>
        </w:rPr>
        <w:t xml:space="preserve"> за младе таленте</w:t>
      </w:r>
      <w:r w:rsidRPr="00092ED7">
        <w:rPr>
          <w:rFonts w:eastAsia="Calibri" w:cs="Times New Roman"/>
          <w:szCs w:val="24"/>
          <w:lang w:val="sr-Cyrl-CS" w:eastAsia="sr-Cyrl-CS" w:bidi="sr-Cyrl-CS"/>
        </w:rPr>
        <w:t>.</w:t>
      </w:r>
    </w:p>
    <w:p w14:paraId="6AAAED08" w14:textId="77777777" w:rsidR="00D210F0" w:rsidRPr="00092ED7" w:rsidRDefault="00D210F0" w:rsidP="00071952">
      <w:pPr>
        <w:widowControl w:val="0"/>
        <w:numPr>
          <w:ilvl w:val="0"/>
          <w:numId w:val="19"/>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425"/>
        <w:gridCol w:w="4243"/>
        <w:gridCol w:w="372"/>
        <w:gridCol w:w="373"/>
        <w:gridCol w:w="372"/>
        <w:gridCol w:w="373"/>
        <w:gridCol w:w="372"/>
        <w:gridCol w:w="373"/>
        <w:gridCol w:w="373"/>
        <w:gridCol w:w="372"/>
        <w:gridCol w:w="373"/>
        <w:gridCol w:w="372"/>
        <w:gridCol w:w="373"/>
        <w:gridCol w:w="373"/>
      </w:tblGrid>
      <w:tr w:rsidR="00D210F0" w:rsidRPr="00092ED7" w14:paraId="1F9B413A" w14:textId="77777777" w:rsidTr="00C429AB">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3A5440B8" w14:textId="77777777" w:rsidR="00D210F0" w:rsidRPr="00092ED7" w:rsidRDefault="00D210F0" w:rsidP="005D14E2">
            <w:pPr>
              <w:spacing w:after="0"/>
              <w:jc w:val="center"/>
              <w:rPr>
                <w:sz w:val="20"/>
                <w:szCs w:val="20"/>
                <w:lang w:val="sr-Cyrl-CS"/>
              </w:rPr>
            </w:pPr>
            <w:r w:rsidRPr="00092ED7">
              <w:rPr>
                <w:rFonts w:cs="Times New Roman"/>
                <w:b/>
                <w:bCs/>
                <w:color w:val="000000"/>
                <w:sz w:val="20"/>
                <w:szCs w:val="20"/>
                <w:lang w:val="sr-Cyrl-CS"/>
              </w:rPr>
              <w:t>РБ</w:t>
            </w:r>
          </w:p>
        </w:tc>
        <w:tc>
          <w:tcPr>
            <w:tcW w:w="4243"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4D43B380" w14:textId="77777777" w:rsidR="00D210F0" w:rsidRPr="00092ED7" w:rsidRDefault="00D210F0" w:rsidP="005D14E2">
            <w:pPr>
              <w:spacing w:after="0"/>
              <w:rPr>
                <w:rFonts w:cs="Times New Roman"/>
                <w:b/>
                <w:bCs/>
                <w:color w:val="000000"/>
                <w:sz w:val="20"/>
                <w:szCs w:val="20"/>
                <w:lang w:val="sr-Cyrl-CS"/>
              </w:rPr>
            </w:pPr>
            <w:r w:rsidRPr="00092ED7">
              <w:rPr>
                <w:rFonts w:cs="Times New Roman"/>
                <w:b/>
                <w:bCs/>
                <w:sz w:val="20"/>
                <w:szCs w:val="20"/>
                <w:lang w:val="sr-Cyrl-CS"/>
              </w:rPr>
              <w:t>Планиране активности</w:t>
            </w:r>
            <w:r w:rsidRPr="00092ED7">
              <w:rPr>
                <w:rFonts w:cs="Times New Roman"/>
                <w:b/>
                <w:bCs/>
                <w:color w:val="000000"/>
                <w:sz w:val="20"/>
                <w:szCs w:val="20"/>
                <w:lang w:val="sr-Cyrl-CS"/>
              </w:rPr>
              <w:t xml:space="preserve"> </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394A1B7A"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6B0CF953"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6BC5D578"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330FE2F1" w14:textId="77777777" w:rsidTr="00C429AB">
        <w:trPr>
          <w:trHeight w:val="315"/>
        </w:trPr>
        <w:tc>
          <w:tcPr>
            <w:tcW w:w="425" w:type="dxa"/>
            <w:vMerge/>
            <w:tcBorders>
              <w:left w:val="single" w:sz="8" w:space="0" w:color="auto"/>
              <w:bottom w:val="single" w:sz="8" w:space="0" w:color="000000"/>
              <w:right w:val="nil"/>
            </w:tcBorders>
            <w:shd w:val="clear" w:color="000000" w:fill="BDD6EE"/>
            <w:vAlign w:val="center"/>
            <w:hideMark/>
          </w:tcPr>
          <w:p w14:paraId="2221FF73" w14:textId="77777777" w:rsidR="00D210F0" w:rsidRPr="00092ED7" w:rsidRDefault="00D210F0" w:rsidP="005D14E2">
            <w:pPr>
              <w:spacing w:after="0"/>
              <w:jc w:val="center"/>
              <w:rPr>
                <w:rFonts w:cs="Times New Roman"/>
                <w:b/>
                <w:bCs/>
                <w:color w:val="000000"/>
                <w:sz w:val="20"/>
                <w:szCs w:val="20"/>
                <w:lang w:val="sr-Cyrl-CS"/>
              </w:rPr>
            </w:pPr>
          </w:p>
        </w:tc>
        <w:tc>
          <w:tcPr>
            <w:tcW w:w="4243"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0D51AD28" w14:textId="77777777" w:rsidR="00D210F0" w:rsidRPr="00092ED7" w:rsidRDefault="00D210F0" w:rsidP="005D14E2">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16C8ADC"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C17DDA9"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A9F57AB"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1DF2E23C"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9DDEA99"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17D980C"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A3EBB21"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039DD8BA"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9901516"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785CBB5"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2E482A5"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0374CE02"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7672A" w:rsidRPr="00092ED7" w14:paraId="41F8D32B" w14:textId="77777777" w:rsidTr="005C0DE5">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03820495" w14:textId="77777777" w:rsidR="004C03FF" w:rsidRPr="00092ED7" w:rsidRDefault="004C03FF" w:rsidP="005D14E2">
            <w:pPr>
              <w:spacing w:after="0"/>
              <w:jc w:val="center"/>
              <w:rPr>
                <w:rFonts w:cs="Times New Roman"/>
                <w:bCs/>
                <w:sz w:val="20"/>
                <w:szCs w:val="20"/>
                <w:lang w:val="sr-Cyrl-CS"/>
              </w:rPr>
            </w:pPr>
            <w:r w:rsidRPr="00092ED7">
              <w:rPr>
                <w:rFonts w:cs="Times New Roman"/>
                <w:bCs/>
                <w:sz w:val="20"/>
                <w:szCs w:val="20"/>
                <w:lang w:val="sr-Cyrl-CS"/>
              </w:rPr>
              <w:t>1.</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2DF6711E" w14:textId="04B8FBB6" w:rsidR="004C03FF" w:rsidRPr="00092ED7" w:rsidRDefault="004C03FF" w:rsidP="005D14E2">
            <w:pPr>
              <w:spacing w:after="0"/>
              <w:ind w:right="222"/>
              <w:rPr>
                <w:rFonts w:cs="Times New Roman"/>
                <w:sz w:val="20"/>
                <w:szCs w:val="20"/>
                <w:lang w:val="sr-Cyrl-CS"/>
              </w:rPr>
            </w:pPr>
            <w:r w:rsidRPr="00092ED7">
              <w:rPr>
                <w:rFonts w:cs="Times New Roman"/>
                <w:sz w:val="20"/>
                <w:szCs w:val="20"/>
                <w:lang w:val="sr-Cyrl-CS"/>
              </w:rPr>
              <w:t>Анализа постојећих програма и предлог реформе</w:t>
            </w:r>
            <w:r w:rsidR="00295B15" w:rsidRPr="00092ED7">
              <w:rPr>
                <w:rFonts w:cs="Times New Roman"/>
                <w:sz w:val="20"/>
                <w:szCs w:val="20"/>
                <w:lang w:val="sr-Cyrl-CS"/>
              </w:rPr>
              <w:t xml:space="preserve"> Фонда</w:t>
            </w:r>
            <w:r w:rsidR="001028F8" w:rsidRPr="00092ED7">
              <w:rPr>
                <w:rFonts w:cs="Times New Roman"/>
                <w:sz w:val="20"/>
                <w:szCs w:val="20"/>
                <w:lang w:val="sr-Cyrl-CS"/>
              </w:rPr>
              <w:t xml:space="preserve"> за младе таленте</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25E4D16" w14:textId="77777777" w:rsidR="004C03FF" w:rsidRPr="00092ED7" w:rsidRDefault="004C03FF"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6C01FE1" w14:textId="77777777" w:rsidR="004C03FF" w:rsidRPr="00092ED7" w:rsidRDefault="004C03FF"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393E13E" w14:textId="77777777" w:rsidR="004C03FF" w:rsidRPr="00092ED7" w:rsidRDefault="004C03FF"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B34CD94" w14:textId="77777777" w:rsidR="004C03FF" w:rsidRPr="00092ED7" w:rsidRDefault="004C03FF"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3BFA09A" w14:textId="77777777" w:rsidR="004C03FF" w:rsidRPr="00092ED7" w:rsidRDefault="004C03FF"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980F4E8" w14:textId="77777777" w:rsidR="004C03FF" w:rsidRPr="00092ED7" w:rsidRDefault="004C03FF"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34054A1" w14:textId="77777777" w:rsidR="004C03FF" w:rsidRPr="00092ED7" w:rsidRDefault="004C03FF"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5FB70FE" w14:textId="77777777" w:rsidR="004C03FF" w:rsidRPr="00092ED7" w:rsidRDefault="004C03FF"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A2A8535" w14:textId="77777777" w:rsidR="004C03FF" w:rsidRPr="00092ED7" w:rsidRDefault="004C03FF"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C452049" w14:textId="77777777" w:rsidR="004C03FF" w:rsidRPr="00092ED7" w:rsidRDefault="004C03FF"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2F48F27" w14:textId="77777777" w:rsidR="004C03FF" w:rsidRPr="00092ED7" w:rsidRDefault="004C03FF"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B247DBE" w14:textId="77777777" w:rsidR="004C03FF" w:rsidRPr="00092ED7" w:rsidRDefault="004C03FF" w:rsidP="005D14E2">
            <w:pPr>
              <w:spacing w:after="0"/>
              <w:rPr>
                <w:rFonts w:cs="Times New Roman"/>
                <w:color w:val="000000"/>
                <w:sz w:val="20"/>
                <w:szCs w:val="20"/>
                <w:lang w:val="sr-Cyrl-CS"/>
              </w:rPr>
            </w:pPr>
          </w:p>
        </w:tc>
      </w:tr>
      <w:tr w:rsidR="00D7672A" w:rsidRPr="00092ED7" w14:paraId="13187DF8" w14:textId="77777777" w:rsidTr="005C0DE5">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01C9EDD2" w14:textId="77777777" w:rsidR="00D210F0" w:rsidRPr="00092ED7" w:rsidRDefault="00AC69CE" w:rsidP="005D14E2">
            <w:pPr>
              <w:spacing w:after="0"/>
              <w:jc w:val="center"/>
              <w:rPr>
                <w:rFonts w:cs="Times New Roman"/>
                <w:bCs/>
                <w:sz w:val="20"/>
                <w:szCs w:val="20"/>
                <w:lang w:val="sr-Cyrl-CS"/>
              </w:rPr>
            </w:pPr>
            <w:r w:rsidRPr="00092ED7">
              <w:rPr>
                <w:rFonts w:cs="Times New Roman"/>
                <w:bCs/>
                <w:sz w:val="20"/>
                <w:szCs w:val="20"/>
                <w:lang w:val="sr-Cyrl-CS"/>
              </w:rPr>
              <w:t>2</w:t>
            </w:r>
            <w:r w:rsidR="00D210F0" w:rsidRPr="00092ED7">
              <w:rPr>
                <w:rFonts w:cs="Times New Roman"/>
                <w:bCs/>
                <w:sz w:val="20"/>
                <w:szCs w:val="20"/>
                <w:lang w:val="sr-Cyrl-CS"/>
              </w:rPr>
              <w:t>.</w:t>
            </w:r>
          </w:p>
        </w:tc>
        <w:tc>
          <w:tcPr>
            <w:tcW w:w="4243"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3AB5328F" w14:textId="77777777" w:rsidR="00D210F0" w:rsidRPr="00092ED7" w:rsidRDefault="00AC69CE" w:rsidP="005D14E2">
            <w:pPr>
              <w:spacing w:after="0"/>
              <w:ind w:right="222"/>
              <w:rPr>
                <w:sz w:val="20"/>
                <w:szCs w:val="20"/>
                <w:lang w:val="sr-Cyrl-CS"/>
              </w:rPr>
            </w:pPr>
            <w:r w:rsidRPr="00092ED7">
              <w:rPr>
                <w:rFonts w:cs="Times New Roman"/>
                <w:sz w:val="20"/>
                <w:szCs w:val="20"/>
                <w:lang w:val="sr-Cyrl-CS"/>
              </w:rPr>
              <w:t>Развој дигиталне платформе</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461644D"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751D256"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8FF0A74"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4B40DC7B"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2573A72"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3769E023"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3C86572"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69E8B23C"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F0A9053"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34F8289"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C4FBF6D"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2A6F839A" w14:textId="77777777" w:rsidR="00D210F0" w:rsidRPr="00092ED7" w:rsidRDefault="00D210F0" w:rsidP="005D14E2">
            <w:pPr>
              <w:spacing w:after="0"/>
              <w:rPr>
                <w:rFonts w:cs="Times New Roman"/>
                <w:color w:val="000000"/>
                <w:sz w:val="20"/>
                <w:szCs w:val="20"/>
                <w:lang w:val="sr-Cyrl-CS"/>
              </w:rPr>
            </w:pPr>
          </w:p>
        </w:tc>
      </w:tr>
      <w:tr w:rsidR="00D7672A" w:rsidRPr="00092ED7" w14:paraId="2089DF64" w14:textId="77777777" w:rsidTr="00CC71EC">
        <w:trPr>
          <w:trHeight w:val="300"/>
        </w:trPr>
        <w:tc>
          <w:tcPr>
            <w:tcW w:w="425"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2DA55076" w14:textId="77777777" w:rsidR="00D210F0" w:rsidRPr="00092ED7" w:rsidRDefault="00AC69CE" w:rsidP="005D14E2">
            <w:pPr>
              <w:spacing w:after="0"/>
              <w:jc w:val="center"/>
              <w:rPr>
                <w:rFonts w:cs="Times New Roman"/>
                <w:bCs/>
                <w:sz w:val="20"/>
                <w:szCs w:val="20"/>
                <w:lang w:val="sr-Cyrl-CS"/>
              </w:rPr>
            </w:pPr>
            <w:r w:rsidRPr="00092ED7">
              <w:rPr>
                <w:rFonts w:cs="Times New Roman"/>
                <w:bCs/>
                <w:sz w:val="20"/>
                <w:szCs w:val="20"/>
                <w:lang w:val="sr-Cyrl-CS"/>
              </w:rPr>
              <w:t>3</w:t>
            </w:r>
            <w:r w:rsidR="00D210F0" w:rsidRPr="00092ED7">
              <w:rPr>
                <w:rFonts w:cs="Times New Roman"/>
                <w:bCs/>
                <w:sz w:val="20"/>
                <w:szCs w:val="20"/>
                <w:lang w:val="sr-Cyrl-CS"/>
              </w:rPr>
              <w:t>.</w:t>
            </w:r>
          </w:p>
        </w:tc>
        <w:tc>
          <w:tcPr>
            <w:tcW w:w="4243"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tcPr>
          <w:p w14:paraId="3A0C8FA4" w14:textId="2DE0BEAB" w:rsidR="00D210F0" w:rsidRPr="00092ED7" w:rsidRDefault="00D210F0" w:rsidP="005D14E2">
            <w:pPr>
              <w:spacing w:after="0"/>
              <w:ind w:right="222"/>
              <w:rPr>
                <w:sz w:val="20"/>
                <w:szCs w:val="20"/>
                <w:lang w:val="sr-Cyrl-CS"/>
              </w:rPr>
            </w:pPr>
            <w:r w:rsidRPr="00092ED7">
              <w:rPr>
                <w:rFonts w:cs="Times New Roman"/>
                <w:color w:val="000000"/>
                <w:sz w:val="20"/>
                <w:szCs w:val="20"/>
                <w:lang w:val="sr-Cyrl-CS"/>
              </w:rPr>
              <w:t xml:space="preserve">Расписивање програма </w:t>
            </w:r>
            <w:r w:rsidRPr="00092ED7">
              <w:rPr>
                <w:rFonts w:cs="Times New Roman"/>
                <w:sz w:val="20"/>
                <w:szCs w:val="20"/>
                <w:lang w:val="sr-Cyrl-CS"/>
              </w:rPr>
              <w:t xml:space="preserve">и додела стипендија по програму </w:t>
            </w:r>
            <w:r w:rsidRPr="00092ED7">
              <w:rPr>
                <w:rFonts w:cs="Times New Roman"/>
                <w:color w:val="000000"/>
                <w:sz w:val="20"/>
                <w:szCs w:val="20"/>
                <w:lang w:val="sr-Cyrl-CS"/>
              </w:rPr>
              <w:t>за стипендирање талената за студирање у Р</w:t>
            </w:r>
            <w:r w:rsidR="001028F8" w:rsidRPr="00092ED7">
              <w:rPr>
                <w:rFonts w:cs="Times New Roman"/>
                <w:color w:val="000000"/>
                <w:sz w:val="20"/>
                <w:szCs w:val="20"/>
                <w:lang w:val="sr-Cyrl-CS"/>
              </w:rPr>
              <w:t>епублици Србији</w:t>
            </w: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EEF5914"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F390738"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9D6B69A"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D2801D1"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2DAA0E4"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85B2F3B"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D2FD38E"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0ED3E8CC"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2969766"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63B143A"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383A565"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C6D19F7" w14:textId="77777777" w:rsidR="00D210F0" w:rsidRPr="00092ED7" w:rsidRDefault="00D210F0" w:rsidP="005D14E2">
            <w:pPr>
              <w:spacing w:after="0"/>
              <w:rPr>
                <w:rFonts w:cs="Times New Roman"/>
                <w:color w:val="000000"/>
                <w:sz w:val="20"/>
                <w:szCs w:val="20"/>
                <w:lang w:val="sr-Cyrl-CS"/>
              </w:rPr>
            </w:pPr>
          </w:p>
        </w:tc>
      </w:tr>
      <w:tr w:rsidR="00D7672A" w:rsidRPr="00092ED7" w14:paraId="2E067269" w14:textId="77777777" w:rsidTr="00CC71EC">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644BBDD1" w14:textId="77777777" w:rsidR="00D210F0" w:rsidRPr="00092ED7" w:rsidRDefault="00AC69CE" w:rsidP="005D14E2">
            <w:pPr>
              <w:spacing w:after="0"/>
              <w:jc w:val="center"/>
              <w:rPr>
                <w:rFonts w:cs="Times New Roman"/>
                <w:bCs/>
                <w:sz w:val="20"/>
                <w:szCs w:val="20"/>
                <w:lang w:val="sr-Cyrl-CS"/>
              </w:rPr>
            </w:pPr>
            <w:r w:rsidRPr="00092ED7">
              <w:rPr>
                <w:rFonts w:cs="Times New Roman"/>
                <w:bCs/>
                <w:sz w:val="20"/>
                <w:szCs w:val="20"/>
                <w:lang w:val="sr-Cyrl-CS"/>
              </w:rPr>
              <w:t>4</w:t>
            </w:r>
            <w:r w:rsidR="00D210F0" w:rsidRPr="00092ED7">
              <w:rPr>
                <w:rFonts w:cs="Times New Roman"/>
                <w:bCs/>
                <w:sz w:val="20"/>
                <w:szCs w:val="20"/>
                <w:lang w:val="sr-Cyrl-CS"/>
              </w:rPr>
              <w:t>.</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48BDE77F" w14:textId="77777777" w:rsidR="00D210F0" w:rsidRPr="00092ED7" w:rsidRDefault="00AC69CE" w:rsidP="005D14E2">
            <w:pPr>
              <w:spacing w:after="0"/>
              <w:ind w:right="222"/>
              <w:rPr>
                <w:sz w:val="20"/>
                <w:szCs w:val="20"/>
                <w:lang w:val="sr-Cyrl-CS"/>
              </w:rPr>
            </w:pPr>
            <w:r w:rsidRPr="00092ED7">
              <w:rPr>
                <w:rFonts w:cs="Times New Roman"/>
                <w:sz w:val="20"/>
                <w:szCs w:val="20"/>
                <w:lang w:val="sr-Cyrl-CS"/>
              </w:rPr>
              <w:t>Оснивање Фонда за младе таленте као правног лица</w:t>
            </w:r>
          </w:p>
        </w:tc>
        <w:tc>
          <w:tcPr>
            <w:tcW w:w="372"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3866D48B"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BF4B76E"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62DD61E"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77C30F7"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26F3512"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F53B5FF"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979FC42"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57CF5D4C"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93B070C"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88A3A69"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9EFD34A"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3089B58B" w14:textId="77777777" w:rsidR="00D210F0" w:rsidRPr="00092ED7" w:rsidRDefault="00D210F0" w:rsidP="005D14E2">
            <w:pPr>
              <w:spacing w:after="0"/>
              <w:rPr>
                <w:rFonts w:cs="Times New Roman"/>
                <w:color w:val="000000"/>
                <w:sz w:val="20"/>
                <w:szCs w:val="20"/>
                <w:lang w:val="sr-Cyrl-CS"/>
              </w:rPr>
            </w:pPr>
          </w:p>
        </w:tc>
      </w:tr>
      <w:tr w:rsidR="00D7672A" w:rsidRPr="00092ED7" w14:paraId="67B4D595" w14:textId="77777777" w:rsidTr="00D7672A">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485FE29D" w14:textId="77777777" w:rsidR="00AC69CE" w:rsidRPr="00092ED7" w:rsidRDefault="00AC69CE" w:rsidP="005D14E2">
            <w:pPr>
              <w:spacing w:after="0"/>
              <w:jc w:val="center"/>
              <w:rPr>
                <w:rFonts w:cs="Times New Roman"/>
                <w:bCs/>
                <w:sz w:val="20"/>
                <w:szCs w:val="20"/>
                <w:lang w:val="sr-Cyrl-CS"/>
              </w:rPr>
            </w:pPr>
            <w:r w:rsidRPr="00092ED7">
              <w:rPr>
                <w:rFonts w:cs="Times New Roman"/>
                <w:bCs/>
                <w:sz w:val="20"/>
                <w:szCs w:val="20"/>
                <w:lang w:val="sr-Cyrl-CS"/>
              </w:rPr>
              <w:t>5.</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21856AEB" w14:textId="77777777" w:rsidR="00AC69CE" w:rsidRPr="00092ED7" w:rsidRDefault="00AC69CE" w:rsidP="00AC69CE">
            <w:pPr>
              <w:tabs>
                <w:tab w:val="left" w:pos="945"/>
              </w:tabs>
              <w:spacing w:after="0"/>
              <w:ind w:right="222"/>
              <w:rPr>
                <w:rFonts w:cs="Times New Roman"/>
                <w:sz w:val="20"/>
                <w:szCs w:val="20"/>
                <w:lang w:val="sr-Cyrl-CS"/>
              </w:rPr>
            </w:pPr>
            <w:r w:rsidRPr="00092ED7">
              <w:rPr>
                <w:rFonts w:cs="Times New Roman"/>
                <w:sz w:val="20"/>
                <w:szCs w:val="20"/>
                <w:lang w:val="sr-Cyrl-CS"/>
              </w:rPr>
              <w:t>Расписивање програма и додела стипенд</w:t>
            </w:r>
            <w:r w:rsidR="004130F6" w:rsidRPr="00092ED7">
              <w:rPr>
                <w:rFonts w:cs="Times New Roman"/>
                <w:sz w:val="20"/>
                <w:szCs w:val="20"/>
                <w:lang w:val="sr-Cyrl-CS"/>
              </w:rPr>
              <w:t>ија за студирање у иностранству</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6637099" w14:textId="77777777" w:rsidR="00AC69CE" w:rsidRPr="00092ED7" w:rsidRDefault="00AC69CE"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FE34C09" w14:textId="77777777" w:rsidR="00AC69CE" w:rsidRPr="00092ED7" w:rsidRDefault="00AC69CE"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DE8E6C9" w14:textId="77777777" w:rsidR="00AC69CE" w:rsidRPr="00092ED7" w:rsidRDefault="00AC69CE"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AEA8E0C" w14:textId="77777777" w:rsidR="00AC69CE" w:rsidRPr="00092ED7" w:rsidRDefault="00AC69CE"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3586B2E" w14:textId="77777777" w:rsidR="00AC69CE" w:rsidRPr="00092ED7" w:rsidRDefault="00AC69CE"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2149143" w14:textId="77777777" w:rsidR="00AC69CE" w:rsidRPr="00092ED7" w:rsidRDefault="00AC69CE"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A15911B" w14:textId="77777777" w:rsidR="00AC69CE" w:rsidRPr="00092ED7" w:rsidRDefault="00AC69CE"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86C8384" w14:textId="77777777" w:rsidR="00AC69CE" w:rsidRPr="00092ED7" w:rsidRDefault="00AC69CE"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5FE161A" w14:textId="77777777" w:rsidR="00AC69CE" w:rsidRPr="00092ED7" w:rsidRDefault="00AC69CE"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FA2B14C" w14:textId="77777777" w:rsidR="00AC69CE" w:rsidRPr="00092ED7" w:rsidRDefault="00AC69CE"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F787FE3" w14:textId="77777777" w:rsidR="00AC69CE" w:rsidRPr="00092ED7" w:rsidRDefault="00AC69CE"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3CCEE1AF" w14:textId="77777777" w:rsidR="00AC69CE" w:rsidRPr="00092ED7" w:rsidRDefault="00AC69CE" w:rsidP="005D14E2">
            <w:pPr>
              <w:spacing w:after="0"/>
              <w:rPr>
                <w:rFonts w:cs="Times New Roman"/>
                <w:color w:val="000000"/>
                <w:sz w:val="20"/>
                <w:szCs w:val="20"/>
                <w:lang w:val="sr-Cyrl-CS"/>
              </w:rPr>
            </w:pPr>
          </w:p>
        </w:tc>
      </w:tr>
      <w:tr w:rsidR="00D7672A" w:rsidRPr="00092ED7" w14:paraId="2BDA7591" w14:textId="77777777" w:rsidTr="00D7672A">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1F729B42" w14:textId="77777777" w:rsidR="00D210F0" w:rsidRPr="00092ED7" w:rsidRDefault="00AC69CE" w:rsidP="005D14E2">
            <w:pPr>
              <w:spacing w:after="0"/>
              <w:jc w:val="center"/>
              <w:rPr>
                <w:rFonts w:cs="Times New Roman"/>
                <w:bCs/>
                <w:sz w:val="20"/>
                <w:szCs w:val="20"/>
                <w:lang w:val="sr-Cyrl-CS"/>
              </w:rPr>
            </w:pPr>
            <w:r w:rsidRPr="00092ED7">
              <w:rPr>
                <w:rFonts w:cs="Times New Roman"/>
                <w:bCs/>
                <w:sz w:val="20"/>
                <w:szCs w:val="20"/>
                <w:lang w:val="sr-Cyrl-CS"/>
              </w:rPr>
              <w:t>6</w:t>
            </w:r>
            <w:r w:rsidR="00D210F0" w:rsidRPr="00092ED7">
              <w:rPr>
                <w:rFonts w:cs="Times New Roman"/>
                <w:bCs/>
                <w:sz w:val="20"/>
                <w:szCs w:val="20"/>
                <w:lang w:val="sr-Cyrl-CS"/>
              </w:rPr>
              <w:t>.</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0ABAFC8F" w14:textId="77777777" w:rsidR="00D210F0" w:rsidRPr="00092ED7" w:rsidRDefault="00D210F0" w:rsidP="005D14E2">
            <w:pPr>
              <w:spacing w:after="0"/>
              <w:ind w:right="222"/>
              <w:rPr>
                <w:sz w:val="20"/>
                <w:szCs w:val="20"/>
                <w:lang w:val="sr-Cyrl-CS"/>
              </w:rPr>
            </w:pPr>
            <w:r w:rsidRPr="00092ED7">
              <w:rPr>
                <w:rFonts w:cs="Times New Roman"/>
                <w:sz w:val="20"/>
                <w:szCs w:val="20"/>
                <w:lang w:val="sr-Cyrl-CS"/>
              </w:rPr>
              <w:t xml:space="preserve">Расписивање програма </w:t>
            </w:r>
            <w:r w:rsidR="00AC69CE" w:rsidRPr="00092ED7">
              <w:rPr>
                <w:rFonts w:cs="Times New Roman"/>
                <w:sz w:val="20"/>
                <w:szCs w:val="20"/>
                <w:lang w:val="sr-Cyrl-CS"/>
              </w:rPr>
              <w:t xml:space="preserve">и додела стипендија </w:t>
            </w:r>
            <w:r w:rsidRPr="00092ED7">
              <w:rPr>
                <w:rFonts w:cs="Times New Roman"/>
                <w:sz w:val="20"/>
                <w:szCs w:val="20"/>
                <w:lang w:val="sr-Cyrl-CS"/>
              </w:rPr>
              <w:t>за финансирање кратких студијских посета и стручних пракси</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4277BBA9"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66727B4"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E6AC7AF"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217B4D42"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24F97CC"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7F3724"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573253D"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D6861BD"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87A5B90"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9177D3B"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52BF2B6"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20B0562" w14:textId="77777777" w:rsidR="00D210F0" w:rsidRPr="00092ED7" w:rsidRDefault="00D210F0" w:rsidP="005D14E2">
            <w:pPr>
              <w:spacing w:after="0"/>
              <w:rPr>
                <w:rFonts w:cs="Times New Roman"/>
                <w:color w:val="000000"/>
                <w:sz w:val="20"/>
                <w:szCs w:val="20"/>
                <w:lang w:val="sr-Cyrl-CS"/>
              </w:rPr>
            </w:pPr>
          </w:p>
        </w:tc>
      </w:tr>
      <w:tr w:rsidR="00D7672A" w:rsidRPr="00092ED7" w14:paraId="77334259" w14:textId="77777777" w:rsidTr="00D7672A">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76DD03FB" w14:textId="77777777" w:rsidR="00D210F0" w:rsidRPr="00092ED7" w:rsidRDefault="00AC69CE" w:rsidP="005D14E2">
            <w:pPr>
              <w:spacing w:after="0"/>
              <w:jc w:val="center"/>
              <w:rPr>
                <w:rFonts w:cs="Times New Roman"/>
                <w:bCs/>
                <w:sz w:val="20"/>
                <w:szCs w:val="20"/>
                <w:lang w:val="sr-Cyrl-CS"/>
              </w:rPr>
            </w:pPr>
            <w:r w:rsidRPr="00092ED7">
              <w:rPr>
                <w:rFonts w:cs="Times New Roman"/>
                <w:bCs/>
                <w:sz w:val="20"/>
                <w:szCs w:val="20"/>
                <w:lang w:val="sr-Cyrl-CS"/>
              </w:rPr>
              <w:t>7</w:t>
            </w:r>
            <w:r w:rsidR="00D210F0" w:rsidRPr="00092ED7">
              <w:rPr>
                <w:rFonts w:cs="Times New Roman"/>
                <w:bCs/>
                <w:sz w:val="20"/>
                <w:szCs w:val="20"/>
                <w:lang w:val="sr-Cyrl-CS"/>
              </w:rPr>
              <w:t>.</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17EE98E4" w14:textId="77777777" w:rsidR="00D210F0" w:rsidRPr="00092ED7" w:rsidRDefault="00D210F0" w:rsidP="005D14E2">
            <w:pPr>
              <w:spacing w:after="0"/>
              <w:ind w:right="222"/>
              <w:rPr>
                <w:sz w:val="20"/>
                <w:szCs w:val="20"/>
                <w:lang w:val="sr-Cyrl-CS"/>
              </w:rPr>
            </w:pPr>
            <w:r w:rsidRPr="00092ED7">
              <w:rPr>
                <w:rFonts w:cs="Times New Roman"/>
                <w:sz w:val="20"/>
                <w:szCs w:val="20"/>
                <w:lang w:val="sr-Cyrl-CS"/>
              </w:rPr>
              <w:t>Расписивање програма и додела стипендија по програму за финансирање ученичких пројеката из области науке, иновација и уметности</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376C1B1A"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95877BB"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1F61F1E"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3A14A81A"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581BDFE"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D629D3B"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B369FBF"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299B4EE2"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62E0E8A"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FF0A72F"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E4ABB38"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3FD4B02" w14:textId="77777777" w:rsidR="00D210F0" w:rsidRPr="00092ED7" w:rsidRDefault="00D210F0" w:rsidP="005D14E2">
            <w:pPr>
              <w:spacing w:after="0"/>
              <w:rPr>
                <w:rFonts w:cs="Times New Roman"/>
                <w:color w:val="000000"/>
                <w:sz w:val="20"/>
                <w:szCs w:val="20"/>
                <w:lang w:val="sr-Cyrl-CS"/>
              </w:rPr>
            </w:pPr>
          </w:p>
        </w:tc>
      </w:tr>
    </w:tbl>
    <w:p w14:paraId="04853A22" w14:textId="77777777" w:rsidR="00D210F0" w:rsidRPr="00092ED7" w:rsidRDefault="00D210F0" w:rsidP="00071952">
      <w:pPr>
        <w:pStyle w:val="ListParagraph"/>
        <w:widowControl w:val="0"/>
        <w:numPr>
          <w:ilvl w:val="0"/>
          <w:numId w:val="19"/>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Индикатори рeзултата</w:t>
      </w:r>
    </w:p>
    <w:tbl>
      <w:tblPr>
        <w:tblStyle w:val="TableGrid"/>
        <w:tblW w:w="9214" w:type="dxa"/>
        <w:tblInd w:w="-5" w:type="dxa"/>
        <w:tblLayout w:type="fixed"/>
        <w:tblLook w:val="04A0" w:firstRow="1" w:lastRow="0" w:firstColumn="1" w:lastColumn="0" w:noHBand="0" w:noVBand="1"/>
      </w:tblPr>
      <w:tblGrid>
        <w:gridCol w:w="3685"/>
        <w:gridCol w:w="1843"/>
        <w:gridCol w:w="1843"/>
        <w:gridCol w:w="1843"/>
      </w:tblGrid>
      <w:tr w:rsidR="00D210F0" w:rsidRPr="00092ED7" w14:paraId="6A99FACF" w14:textId="77777777" w:rsidTr="00C429AB">
        <w:trPr>
          <w:cnfStyle w:val="100000000000" w:firstRow="1" w:lastRow="0" w:firstColumn="0" w:lastColumn="0" w:oddVBand="0" w:evenVBand="0" w:oddHBand="0" w:evenHBand="0" w:firstRowFirstColumn="0" w:firstRowLastColumn="0" w:lastRowFirstColumn="0" w:lastRowLastColumn="0"/>
          <w:trHeight w:val="468"/>
        </w:trPr>
        <w:tc>
          <w:tcPr>
            <w:tcW w:w="3685" w:type="dxa"/>
          </w:tcPr>
          <w:p w14:paraId="0613F01D" w14:textId="77777777" w:rsidR="00D210F0" w:rsidRPr="00092ED7" w:rsidRDefault="00D210F0" w:rsidP="00C429AB">
            <w:pPr>
              <w:spacing w:before="0" w:after="0"/>
              <w:ind w:right="113"/>
              <w:jc w:val="center"/>
              <w:rPr>
                <w:rFonts w:cs="Times New Roman"/>
                <w:sz w:val="20"/>
                <w:lang w:val="sr-Cyrl-CS"/>
              </w:rPr>
            </w:pPr>
            <w:r w:rsidRPr="00092ED7">
              <w:rPr>
                <w:rFonts w:cs="Times New Roman"/>
                <w:sz w:val="20"/>
                <w:lang w:val="sr-Cyrl-CS"/>
              </w:rPr>
              <w:t>Показатељ</w:t>
            </w:r>
          </w:p>
        </w:tc>
        <w:tc>
          <w:tcPr>
            <w:tcW w:w="1843" w:type="dxa"/>
          </w:tcPr>
          <w:p w14:paraId="45EF4022" w14:textId="77777777" w:rsidR="00D210F0" w:rsidRPr="00092ED7" w:rsidRDefault="00D210F0" w:rsidP="00C429AB">
            <w:pPr>
              <w:spacing w:before="0" w:after="0"/>
              <w:ind w:left="0" w:right="113"/>
              <w:jc w:val="center"/>
              <w:rPr>
                <w:rFonts w:cs="Times New Roman"/>
                <w:b w:val="0"/>
                <w:sz w:val="20"/>
                <w:lang w:val="sr-Cyrl-CS"/>
              </w:rPr>
            </w:pPr>
            <w:r w:rsidRPr="00092ED7">
              <w:rPr>
                <w:rFonts w:cs="Times New Roman"/>
                <w:sz w:val="20"/>
                <w:lang w:val="sr-Cyrl-CS"/>
              </w:rPr>
              <w:t>Почетна вредност</w:t>
            </w:r>
            <w:r w:rsidR="00CA0537" w:rsidRPr="00092ED7">
              <w:rPr>
                <w:rFonts w:cs="Times New Roman"/>
                <w:sz w:val="20"/>
                <w:lang w:val="sr-Cyrl-CS"/>
              </w:rPr>
              <w:t xml:space="preserve"> (2022)</w:t>
            </w:r>
          </w:p>
        </w:tc>
        <w:tc>
          <w:tcPr>
            <w:tcW w:w="1843" w:type="dxa"/>
          </w:tcPr>
          <w:p w14:paraId="067C29A7" w14:textId="77777777" w:rsidR="00D210F0" w:rsidRPr="00092ED7" w:rsidRDefault="00D210F0" w:rsidP="00C429AB">
            <w:pPr>
              <w:spacing w:before="0" w:after="0"/>
              <w:ind w:right="113"/>
              <w:jc w:val="center"/>
              <w:rPr>
                <w:rFonts w:cs="Times New Roman"/>
                <w:sz w:val="20"/>
                <w:lang w:val="sr-Cyrl-CS"/>
              </w:rPr>
            </w:pPr>
            <w:r w:rsidRPr="00092ED7">
              <w:rPr>
                <w:rFonts w:cs="Times New Roman"/>
                <w:sz w:val="20"/>
                <w:lang w:val="sr-Cyrl-CS"/>
              </w:rPr>
              <w:t>Међурезултат</w:t>
            </w:r>
            <w:r w:rsidR="00CA0537" w:rsidRPr="00092ED7">
              <w:rPr>
                <w:rFonts w:cs="Times New Roman"/>
                <w:sz w:val="20"/>
                <w:lang w:val="sr-Cyrl-CS"/>
              </w:rPr>
              <w:t xml:space="preserve"> (2024)</w:t>
            </w:r>
          </w:p>
        </w:tc>
        <w:tc>
          <w:tcPr>
            <w:tcW w:w="1843" w:type="dxa"/>
          </w:tcPr>
          <w:p w14:paraId="6456A237" w14:textId="77777777" w:rsidR="00D210F0" w:rsidRPr="00092ED7" w:rsidRDefault="00D210F0" w:rsidP="00C429AB">
            <w:pPr>
              <w:spacing w:before="0" w:after="0"/>
              <w:ind w:right="113"/>
              <w:jc w:val="center"/>
              <w:rPr>
                <w:rFonts w:cs="Times New Roman"/>
                <w:sz w:val="20"/>
                <w:lang w:val="sr-Cyrl-CS"/>
              </w:rPr>
            </w:pPr>
            <w:r w:rsidRPr="00092ED7">
              <w:rPr>
                <w:rFonts w:cs="Times New Roman"/>
                <w:sz w:val="20"/>
                <w:lang w:val="sr-Cyrl-CS"/>
              </w:rPr>
              <w:t>Циљна вредност</w:t>
            </w:r>
            <w:r w:rsidR="00CA0537" w:rsidRPr="00092ED7">
              <w:rPr>
                <w:rFonts w:cs="Times New Roman"/>
                <w:sz w:val="20"/>
                <w:lang w:val="sr-Cyrl-CS"/>
              </w:rPr>
              <w:t xml:space="preserve"> (2025)</w:t>
            </w:r>
          </w:p>
        </w:tc>
      </w:tr>
      <w:tr w:rsidR="00D210F0" w:rsidRPr="00092ED7" w14:paraId="3A226931" w14:textId="77777777" w:rsidTr="00C429AB">
        <w:trPr>
          <w:trHeight w:val="283"/>
        </w:trPr>
        <w:tc>
          <w:tcPr>
            <w:tcW w:w="3685" w:type="dxa"/>
          </w:tcPr>
          <w:p w14:paraId="3037C771" w14:textId="77777777" w:rsidR="00D210F0" w:rsidRPr="00092ED7" w:rsidRDefault="00D210F0" w:rsidP="005D14E2">
            <w:pPr>
              <w:spacing w:before="0" w:after="0"/>
              <w:ind w:right="113"/>
              <w:rPr>
                <w:rFonts w:cs="Times New Roman"/>
                <w:sz w:val="20"/>
                <w:lang w:val="sr-Cyrl-CS"/>
              </w:rPr>
            </w:pPr>
            <w:r w:rsidRPr="00092ED7">
              <w:rPr>
                <w:rFonts w:cs="Times New Roman"/>
                <w:sz w:val="20"/>
                <w:lang w:val="sr-Cyrl-CS"/>
              </w:rPr>
              <w:t>Број запослених талената у јавној управи</w:t>
            </w:r>
          </w:p>
        </w:tc>
        <w:tc>
          <w:tcPr>
            <w:tcW w:w="1843" w:type="dxa"/>
          </w:tcPr>
          <w:p w14:paraId="66EB17A2" w14:textId="77777777" w:rsidR="00D210F0" w:rsidRPr="00092ED7" w:rsidRDefault="00D210F0" w:rsidP="00CA0537">
            <w:pPr>
              <w:spacing w:before="0" w:after="0"/>
              <w:ind w:right="113"/>
              <w:jc w:val="center"/>
              <w:rPr>
                <w:rFonts w:cs="Times New Roman"/>
                <w:sz w:val="20"/>
                <w:lang w:val="sr-Cyrl-CS"/>
              </w:rPr>
            </w:pPr>
            <w:r w:rsidRPr="00092ED7">
              <w:rPr>
                <w:rFonts w:cs="Times New Roman"/>
                <w:sz w:val="20"/>
                <w:lang w:val="sr-Cyrl-CS"/>
              </w:rPr>
              <w:t xml:space="preserve">0 </w:t>
            </w:r>
          </w:p>
        </w:tc>
        <w:tc>
          <w:tcPr>
            <w:tcW w:w="1843" w:type="dxa"/>
          </w:tcPr>
          <w:p w14:paraId="63F69D08" w14:textId="77777777" w:rsidR="00D210F0" w:rsidRPr="00092ED7" w:rsidRDefault="00D210F0" w:rsidP="00CA0537">
            <w:pPr>
              <w:spacing w:before="0" w:after="0"/>
              <w:ind w:right="113"/>
              <w:jc w:val="center"/>
              <w:rPr>
                <w:rFonts w:cs="Times New Roman"/>
                <w:sz w:val="20"/>
                <w:lang w:val="sr-Cyrl-CS"/>
              </w:rPr>
            </w:pPr>
            <w:r w:rsidRPr="00092ED7">
              <w:rPr>
                <w:rFonts w:cs="Times New Roman"/>
                <w:sz w:val="20"/>
                <w:lang w:val="sr-Cyrl-CS"/>
              </w:rPr>
              <w:t xml:space="preserve">10 </w:t>
            </w:r>
          </w:p>
        </w:tc>
        <w:tc>
          <w:tcPr>
            <w:tcW w:w="1843" w:type="dxa"/>
          </w:tcPr>
          <w:p w14:paraId="06F32D6D" w14:textId="77777777" w:rsidR="00D210F0" w:rsidRPr="00092ED7" w:rsidRDefault="00D210F0" w:rsidP="00CA0537">
            <w:pPr>
              <w:spacing w:before="0" w:after="0"/>
              <w:ind w:right="113"/>
              <w:jc w:val="center"/>
              <w:rPr>
                <w:rFonts w:cs="Times New Roman"/>
                <w:sz w:val="20"/>
                <w:lang w:val="sr-Cyrl-CS"/>
              </w:rPr>
            </w:pPr>
            <w:r w:rsidRPr="00092ED7">
              <w:rPr>
                <w:rFonts w:cs="Times New Roman"/>
                <w:sz w:val="20"/>
                <w:lang w:val="sr-Cyrl-CS"/>
              </w:rPr>
              <w:t xml:space="preserve">25 </w:t>
            </w:r>
          </w:p>
        </w:tc>
      </w:tr>
      <w:tr w:rsidR="00D210F0" w:rsidRPr="00092ED7" w14:paraId="491388B5" w14:textId="77777777" w:rsidTr="00C429AB">
        <w:trPr>
          <w:trHeight w:val="283"/>
        </w:trPr>
        <w:tc>
          <w:tcPr>
            <w:tcW w:w="3685" w:type="dxa"/>
          </w:tcPr>
          <w:p w14:paraId="552A584A" w14:textId="77777777" w:rsidR="00D210F0" w:rsidRPr="00092ED7" w:rsidRDefault="00D210F0" w:rsidP="005D14E2">
            <w:pPr>
              <w:spacing w:before="0" w:after="0"/>
              <w:ind w:right="113"/>
              <w:rPr>
                <w:rFonts w:cs="Times New Roman"/>
                <w:sz w:val="20"/>
                <w:highlight w:val="yellow"/>
                <w:lang w:val="sr-Cyrl-CS"/>
              </w:rPr>
            </w:pPr>
            <w:r w:rsidRPr="00092ED7">
              <w:rPr>
                <w:rFonts w:cs="Times New Roman"/>
                <w:sz w:val="20"/>
                <w:lang w:val="sr-Cyrl-CS"/>
              </w:rPr>
              <w:t>Број талената запослен у привреди</w:t>
            </w:r>
          </w:p>
        </w:tc>
        <w:tc>
          <w:tcPr>
            <w:tcW w:w="1843" w:type="dxa"/>
          </w:tcPr>
          <w:p w14:paraId="5489E067" w14:textId="77777777" w:rsidR="00D210F0" w:rsidRPr="00092ED7" w:rsidRDefault="00D210F0" w:rsidP="00CA0537">
            <w:pPr>
              <w:spacing w:before="0" w:after="0"/>
              <w:ind w:right="113"/>
              <w:jc w:val="center"/>
              <w:rPr>
                <w:rFonts w:cs="Times New Roman"/>
                <w:sz w:val="20"/>
                <w:lang w:val="sr-Cyrl-CS"/>
              </w:rPr>
            </w:pPr>
            <w:r w:rsidRPr="00092ED7">
              <w:rPr>
                <w:rFonts w:cs="Times New Roman"/>
                <w:sz w:val="20"/>
                <w:lang w:val="sr-Cyrl-CS"/>
              </w:rPr>
              <w:t xml:space="preserve">0 </w:t>
            </w:r>
          </w:p>
        </w:tc>
        <w:tc>
          <w:tcPr>
            <w:tcW w:w="1843" w:type="dxa"/>
          </w:tcPr>
          <w:p w14:paraId="4872C13C" w14:textId="77777777" w:rsidR="00D210F0" w:rsidRPr="00092ED7" w:rsidRDefault="00D210F0" w:rsidP="00CA0537">
            <w:pPr>
              <w:spacing w:before="0" w:after="0"/>
              <w:ind w:right="113"/>
              <w:jc w:val="center"/>
              <w:rPr>
                <w:rFonts w:cs="Times New Roman"/>
                <w:sz w:val="20"/>
                <w:lang w:val="sr-Cyrl-CS"/>
              </w:rPr>
            </w:pPr>
            <w:r w:rsidRPr="00092ED7">
              <w:rPr>
                <w:rFonts w:cs="Times New Roman"/>
                <w:sz w:val="20"/>
                <w:lang w:val="sr-Cyrl-CS"/>
              </w:rPr>
              <w:t xml:space="preserve">100 </w:t>
            </w:r>
          </w:p>
        </w:tc>
        <w:tc>
          <w:tcPr>
            <w:tcW w:w="1843" w:type="dxa"/>
          </w:tcPr>
          <w:p w14:paraId="756BF143" w14:textId="77777777" w:rsidR="00D210F0" w:rsidRPr="00092ED7" w:rsidRDefault="00D210F0" w:rsidP="00CA0537">
            <w:pPr>
              <w:spacing w:before="0" w:after="0"/>
              <w:ind w:right="113"/>
              <w:jc w:val="center"/>
              <w:rPr>
                <w:rFonts w:cs="Times New Roman"/>
                <w:sz w:val="20"/>
                <w:lang w:val="sr-Cyrl-CS"/>
              </w:rPr>
            </w:pPr>
            <w:r w:rsidRPr="00092ED7">
              <w:rPr>
                <w:rFonts w:cs="Times New Roman"/>
                <w:sz w:val="20"/>
                <w:lang w:val="sr-Cyrl-CS"/>
              </w:rPr>
              <w:t xml:space="preserve">200 </w:t>
            </w:r>
          </w:p>
        </w:tc>
      </w:tr>
    </w:tbl>
    <w:p w14:paraId="0D705ADA" w14:textId="77777777" w:rsidR="00D210F0" w:rsidRPr="00092ED7" w:rsidRDefault="00D210F0" w:rsidP="00071952">
      <w:pPr>
        <w:pStyle w:val="ListParagraph"/>
        <w:widowControl w:val="0"/>
        <w:numPr>
          <w:ilvl w:val="0"/>
          <w:numId w:val="19"/>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конкурентност</w:t>
      </w:r>
    </w:p>
    <w:p w14:paraId="2A5A2188" w14:textId="77777777" w:rsidR="00D210F0" w:rsidRPr="00092ED7" w:rsidRDefault="00D210F0" w:rsidP="00D210F0">
      <w:pPr>
        <w:widowControl w:val="0"/>
        <w:spacing w:after="60"/>
        <w:rPr>
          <w:rFonts w:eastAsia="Calibri" w:cs="Times New Roman"/>
          <w:b/>
          <w:szCs w:val="24"/>
          <w:lang w:val="sr-Cyrl-CS" w:eastAsia="sr-Cyrl-CS" w:bidi="sr-Cyrl-CS"/>
        </w:rPr>
      </w:pPr>
      <w:r w:rsidRPr="00092ED7">
        <w:rPr>
          <w:rFonts w:cs="Times New Roman"/>
          <w:lang w:val="sr-Cyrl-CS"/>
        </w:rPr>
        <w:t>Ова структурна реформа ће највећи утицај имати на повећање конкурентности радне снаге, с обзиром да је циљна група високо-квалификовани кадар, а тиме и директан утицај на повећање запошљивости младих. Поред тога, кроз програм подршке ученичким пројектима, структурна реформа ће директно утицати на повећање предузетничких компетенција код младих и оснажити их за улазак на тржиште рада и пословања.</w:t>
      </w:r>
    </w:p>
    <w:p w14:paraId="5EC52B0E" w14:textId="77777777" w:rsidR="00D210F0" w:rsidRPr="00092ED7" w:rsidRDefault="00D210F0" w:rsidP="00071952">
      <w:pPr>
        <w:widowControl w:val="0"/>
        <w:numPr>
          <w:ilvl w:val="0"/>
          <w:numId w:val="19"/>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4D11B152" w14:textId="735BF2C6" w:rsidR="004B1528" w:rsidRPr="00092ED7" w:rsidRDefault="004B1528" w:rsidP="004B1528">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Средства за финансирање Фонда за младе таленте у износу од преко 7,9 милиона евра су</w:t>
      </w:r>
      <w:r w:rsidRPr="00092ED7">
        <w:rPr>
          <w:rFonts w:eastAsia="Calibri" w:cs="Times New Roman"/>
          <w:color w:val="FF0000"/>
          <w:szCs w:val="24"/>
          <w:lang w:val="sr-Cyrl-CS" w:eastAsia="sr-Cyrl-CS" w:bidi="sr-Cyrl-CS"/>
        </w:rPr>
        <w:t xml:space="preserve"> </w:t>
      </w:r>
      <w:r w:rsidRPr="00092ED7">
        <w:rPr>
          <w:rFonts w:eastAsia="Calibri" w:cs="Times New Roman"/>
          <w:szCs w:val="24"/>
          <w:lang w:val="sr-Cyrl-CS" w:eastAsia="sr-Cyrl-CS" w:bidi="sr-Cyrl-CS"/>
        </w:rPr>
        <w:t xml:space="preserve">обезбеђена у буџету. Поред тога, обезбеђена је структурна подршка од стране Вестминстерске фондације за демократију у износу од 100.000 ГБП (преко 115 хиљада евра) годишње у периоду октобар 2022. - октобар 2025. године. У наредном периоду, очекује се да ће Фонд </w:t>
      </w:r>
      <w:r w:rsidR="001028F8" w:rsidRPr="00092ED7">
        <w:rPr>
          <w:rFonts w:eastAsia="Calibri" w:cs="Times New Roman"/>
          <w:szCs w:val="24"/>
          <w:lang w:val="sr-Cyrl-CS" w:eastAsia="sr-Cyrl-CS" w:bidi="sr-Cyrl-CS"/>
        </w:rPr>
        <w:t xml:space="preserve">за младе таленте </w:t>
      </w:r>
      <w:r w:rsidRPr="00092ED7">
        <w:rPr>
          <w:rFonts w:eastAsia="Calibri" w:cs="Times New Roman"/>
          <w:szCs w:val="24"/>
          <w:lang w:val="sr-Cyrl-CS" w:eastAsia="sr-Cyrl-CS" w:bidi="sr-Cyrl-CS"/>
        </w:rPr>
        <w:t>привући и друге донаторе за финансирање појединачних програма (конкретно програм ученичких пројеката).</w:t>
      </w:r>
    </w:p>
    <w:p w14:paraId="3ACC6C95" w14:textId="0B354991" w:rsidR="004B1528" w:rsidRPr="00092ED7" w:rsidRDefault="004B1528" w:rsidP="004B1528">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У 2023. години укупни трошкови ће износити близу 8,1 милиона евра искључиво за реализацију следећих активности бр. 1. (Анализа постојећих програма и предлог реформе), 2. (Развој дигиталне платформе), 3. (Расписивање програма и додела стипендија по програму за стипендирање талената за студирање у Р</w:t>
      </w:r>
      <w:r w:rsidR="001028F8" w:rsidRPr="00092ED7">
        <w:rPr>
          <w:rFonts w:eastAsia="Calibri" w:cs="Times New Roman"/>
          <w:szCs w:val="24"/>
          <w:lang w:val="sr-Cyrl-CS" w:eastAsia="sr-Cyrl-CS" w:bidi="sr-Cyrl-CS"/>
        </w:rPr>
        <w:t xml:space="preserve">епублици </w:t>
      </w:r>
      <w:r w:rsidRPr="00092ED7">
        <w:rPr>
          <w:rFonts w:eastAsia="Calibri" w:cs="Times New Roman"/>
          <w:szCs w:val="24"/>
          <w:lang w:val="sr-Cyrl-CS" w:eastAsia="sr-Cyrl-CS" w:bidi="sr-Cyrl-CS"/>
        </w:rPr>
        <w:t>С</w:t>
      </w:r>
      <w:r w:rsidR="001028F8" w:rsidRPr="00092ED7">
        <w:rPr>
          <w:rFonts w:eastAsia="Calibri" w:cs="Times New Roman"/>
          <w:szCs w:val="24"/>
          <w:lang w:val="sr-Cyrl-CS" w:eastAsia="sr-Cyrl-CS" w:bidi="sr-Cyrl-CS"/>
        </w:rPr>
        <w:t>рбији</w:t>
      </w:r>
      <w:r w:rsidRPr="00092ED7">
        <w:rPr>
          <w:rFonts w:eastAsia="Calibri" w:cs="Times New Roman"/>
          <w:szCs w:val="24"/>
          <w:lang w:val="sr-Cyrl-CS" w:eastAsia="sr-Cyrl-CS" w:bidi="sr-Cyrl-CS"/>
        </w:rPr>
        <w:t>), 4. (Оснивање Фонда за младе таленте као правног лица). Трошкови ће бити покривени из два извора: Буџет централног нивоа државе у износу од преко 7,9 милиона евра и друга бесповратна средства у износу од преко 115,5 хиљада евра (подршка од стране Вестминстерске фондације за демократију 100.000 ГБП).</w:t>
      </w:r>
    </w:p>
    <w:p w14:paraId="4F6E6925" w14:textId="77777777" w:rsidR="004B1528" w:rsidRPr="00092ED7" w:rsidRDefault="004B1528" w:rsidP="004B1528">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У 2024. години укупни трошкови ће износити 8,8 милиона евра искључиво за реализацију следећих активности бр. 5. (Расписивање програма и додела стипендија за студирање у иностранству), 6. (Расписивање програма и додела стипендија за финансирање кратких студијских посета и стручних пракси). Трошкови ће бити покривени из два извора: Буџет централног нивоа државе у износу од преко 8,7 милиона евра и друга бесповратна средства у износу од преко 115,5 хиљада евра (подршка од стране Вестминстерске фондације за демократију 100.000 ГБП).</w:t>
      </w:r>
    </w:p>
    <w:p w14:paraId="59C48230" w14:textId="77777777" w:rsidR="004B1528" w:rsidRPr="00092ED7" w:rsidRDefault="004B1528" w:rsidP="004B1528">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У 2025. години трошкови ће износити 9,7 милиона евра искључиво за реализацију следећих активности бр. 5. (Расписивање програма и додела стипендија за студирање у иностранству), 6. (Расписивање програма и додела стипендија за финансирање кратких студијских посета и стручних пракси), 7. (</w:t>
      </w:r>
      <w:r w:rsidRPr="00092ED7">
        <w:rPr>
          <w:rFonts w:cs="Times New Roman"/>
          <w:szCs w:val="24"/>
          <w:lang w:val="sr-Cyrl-CS"/>
        </w:rPr>
        <w:t xml:space="preserve">Расписивање програма и додела стипендија по програму за финансирање ученичких пројеката из области науке, иновација и уметности). </w:t>
      </w:r>
      <w:r w:rsidRPr="00092ED7">
        <w:rPr>
          <w:rFonts w:eastAsia="Calibri" w:cs="Times New Roman"/>
          <w:szCs w:val="24"/>
          <w:lang w:val="sr-Cyrl-CS" w:eastAsia="sr-Cyrl-CS" w:bidi="sr-Cyrl-CS"/>
        </w:rPr>
        <w:t>Трошкови ће бити покривени из два извора: Буџет централног нивоа државе у износу од преко 9,6 милиона евра и друга бесповратна средства у износу од преко 115,5 хиљада евра (подршка од стране Вестминстерске фондације за демократију 100.000 ГБП).</w:t>
      </w:r>
    </w:p>
    <w:p w14:paraId="62C34BCB" w14:textId="77777777" w:rsidR="00D210F0" w:rsidRPr="00092ED7" w:rsidRDefault="00D210F0" w:rsidP="00071952">
      <w:pPr>
        <w:widowControl w:val="0"/>
        <w:numPr>
          <w:ilvl w:val="0"/>
          <w:numId w:val="19"/>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793F9B36" w14:textId="32A57A60" w:rsidR="00D210F0" w:rsidRPr="00092ED7" w:rsidRDefault="0041616F"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Имплементација структурне реформе директно утиче на запосленост младих талената, и то кроз управљање алумни мрежом и помоћи студентима да пронађу прилике за запошљавање, пре свега у јавној управи, а онда и у привреди. Фонд </w:t>
      </w:r>
      <w:r w:rsidR="001028F8" w:rsidRPr="00092ED7">
        <w:rPr>
          <w:rFonts w:eastAsia="Calibri" w:cs="Times New Roman"/>
          <w:szCs w:val="24"/>
          <w:lang w:val="sr-Cyrl-CS" w:eastAsia="sr-Cyrl-CS" w:bidi="sr-Cyrl-CS"/>
        </w:rPr>
        <w:t xml:space="preserve">за младе таленте </w:t>
      </w:r>
      <w:r w:rsidRPr="00092ED7">
        <w:rPr>
          <w:rFonts w:eastAsia="Calibri" w:cs="Times New Roman"/>
          <w:szCs w:val="24"/>
          <w:lang w:val="sr-Cyrl-CS" w:eastAsia="sr-Cyrl-CS" w:bidi="sr-Cyrl-CS"/>
        </w:rPr>
        <w:t>ће омогућити платформу за повезивање са послодавцима у јавном и приватном сектору коју ће они користити на добровољној бази и у складу са њиховим потребама (за студенте који студирају у Р</w:t>
      </w:r>
      <w:r w:rsidR="00657813" w:rsidRPr="00092ED7">
        <w:rPr>
          <w:rFonts w:eastAsia="Calibri" w:cs="Times New Roman"/>
          <w:szCs w:val="24"/>
          <w:lang w:val="sr-Cyrl-CS" w:eastAsia="sr-Cyrl-CS" w:bidi="sr-Cyrl-CS"/>
        </w:rPr>
        <w:t xml:space="preserve">епублици </w:t>
      </w:r>
      <w:r w:rsidRPr="00092ED7">
        <w:rPr>
          <w:rFonts w:eastAsia="Calibri" w:cs="Times New Roman"/>
          <w:szCs w:val="24"/>
          <w:lang w:val="sr-Cyrl-CS" w:eastAsia="sr-Cyrl-CS" w:bidi="sr-Cyrl-CS"/>
        </w:rPr>
        <w:t>С</w:t>
      </w:r>
      <w:r w:rsidR="00657813" w:rsidRPr="00092ED7">
        <w:rPr>
          <w:rFonts w:eastAsia="Calibri" w:cs="Times New Roman"/>
          <w:szCs w:val="24"/>
          <w:lang w:val="sr-Cyrl-CS" w:eastAsia="sr-Cyrl-CS" w:bidi="sr-Cyrl-CS"/>
        </w:rPr>
        <w:t>рбији</w:t>
      </w:r>
      <w:r w:rsidRPr="00092ED7">
        <w:rPr>
          <w:rFonts w:eastAsia="Calibri" w:cs="Times New Roman"/>
          <w:szCs w:val="24"/>
          <w:lang w:val="sr-Cyrl-CS" w:eastAsia="sr-Cyrl-CS" w:bidi="sr-Cyrl-CS"/>
        </w:rPr>
        <w:t xml:space="preserve">), односно Фонд </w:t>
      </w:r>
      <w:r w:rsidR="001028F8" w:rsidRPr="00092ED7">
        <w:rPr>
          <w:rFonts w:eastAsia="Calibri" w:cs="Times New Roman"/>
          <w:szCs w:val="24"/>
          <w:lang w:val="sr-Cyrl-CS" w:eastAsia="sr-Cyrl-CS" w:bidi="sr-Cyrl-CS"/>
        </w:rPr>
        <w:t xml:space="preserve">за младе таленте </w:t>
      </w:r>
      <w:r w:rsidRPr="00092ED7">
        <w:rPr>
          <w:rFonts w:eastAsia="Calibri" w:cs="Times New Roman"/>
          <w:szCs w:val="24"/>
          <w:lang w:val="sr-Cyrl-CS" w:eastAsia="sr-Cyrl-CS" w:bidi="sr-Cyrl-CS"/>
        </w:rPr>
        <w:t xml:space="preserve">проналази минимум три понуде за запослење, са приоритетом запошљавања у јавној управи (за студенте који су стипендирани у иностранству, са уговорном обавезом да се по завршетку студија врате у </w:t>
      </w:r>
      <w:r w:rsidR="00657813" w:rsidRPr="00092ED7">
        <w:rPr>
          <w:rFonts w:eastAsia="Calibri" w:cs="Times New Roman"/>
          <w:szCs w:val="24"/>
          <w:lang w:val="sr-Cyrl-CS" w:eastAsia="sr-Cyrl-CS" w:bidi="sr-Cyrl-CS"/>
        </w:rPr>
        <w:t>Републику Србију</w:t>
      </w:r>
      <w:r w:rsidRPr="00092ED7">
        <w:rPr>
          <w:rFonts w:eastAsia="Calibri" w:cs="Times New Roman"/>
          <w:szCs w:val="24"/>
          <w:lang w:val="sr-Cyrl-CS" w:eastAsia="sr-Cyrl-CS" w:bidi="sr-Cyrl-CS"/>
        </w:rPr>
        <w:t>). Структурна реформа директно утиче на смањење сиромаштва и позитивно утиче на родну равноправност.</w:t>
      </w:r>
    </w:p>
    <w:p w14:paraId="1832591C" w14:textId="77777777" w:rsidR="00D210F0" w:rsidRPr="00092ED7" w:rsidRDefault="00D210F0" w:rsidP="00071952">
      <w:pPr>
        <w:widowControl w:val="0"/>
        <w:numPr>
          <w:ilvl w:val="0"/>
          <w:numId w:val="19"/>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5E914FA0"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Структурна реформа је неутрална у смислу утицаја на животну средину и климатске промене.</w:t>
      </w:r>
    </w:p>
    <w:p w14:paraId="07A89FC5" w14:textId="77777777" w:rsidR="00D210F0" w:rsidRPr="00092ED7" w:rsidRDefault="00D210F0" w:rsidP="00071952">
      <w:pPr>
        <w:widowControl w:val="0"/>
        <w:numPr>
          <w:ilvl w:val="0"/>
          <w:numId w:val="19"/>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077" w:type="dxa"/>
        <w:jc w:val="center"/>
        <w:tblLayout w:type="fixed"/>
        <w:tblLook w:val="04A0" w:firstRow="1" w:lastRow="0" w:firstColumn="1" w:lastColumn="0" w:noHBand="0" w:noVBand="1"/>
      </w:tblPr>
      <w:tblGrid>
        <w:gridCol w:w="3241"/>
        <w:gridCol w:w="2098"/>
        <w:gridCol w:w="3738"/>
      </w:tblGrid>
      <w:tr w:rsidR="00D210F0" w:rsidRPr="00092ED7" w14:paraId="438E567D" w14:textId="77777777" w:rsidTr="00CC71EC">
        <w:trPr>
          <w:cnfStyle w:val="100000000000" w:firstRow="1" w:lastRow="0" w:firstColumn="0" w:lastColumn="0" w:oddVBand="0" w:evenVBand="0" w:oddHBand="0" w:evenHBand="0" w:firstRowFirstColumn="0" w:firstRowLastColumn="0" w:lastRowFirstColumn="0" w:lastRowLastColumn="0"/>
          <w:jc w:val="center"/>
        </w:trPr>
        <w:tc>
          <w:tcPr>
            <w:tcW w:w="3241" w:type="dxa"/>
          </w:tcPr>
          <w:p w14:paraId="6B05F898" w14:textId="77777777" w:rsidR="00D210F0" w:rsidRPr="00092ED7" w:rsidRDefault="00D210F0" w:rsidP="00C429AB">
            <w:pPr>
              <w:spacing w:before="0" w:after="0"/>
              <w:ind w:left="284" w:right="113"/>
              <w:jc w:val="center"/>
              <w:rPr>
                <w:b w:val="0"/>
                <w:sz w:val="20"/>
                <w:lang w:val="sr-Cyrl-CS"/>
              </w:rPr>
            </w:pPr>
            <w:r w:rsidRPr="00092ED7">
              <w:rPr>
                <w:rFonts w:cs="Times New Roman"/>
                <w:b w:val="0"/>
                <w:sz w:val="20"/>
                <w:lang w:val="sr-Cyrl-CS"/>
              </w:rPr>
              <w:t>Ризик</w:t>
            </w:r>
          </w:p>
        </w:tc>
        <w:tc>
          <w:tcPr>
            <w:tcW w:w="2098" w:type="dxa"/>
          </w:tcPr>
          <w:p w14:paraId="5F1EC99E" w14:textId="77777777" w:rsidR="00D210F0" w:rsidRPr="00092ED7" w:rsidRDefault="00D210F0" w:rsidP="00C429AB">
            <w:pPr>
              <w:spacing w:before="0" w:after="0"/>
              <w:ind w:left="113" w:right="113"/>
              <w:jc w:val="center"/>
              <w:rPr>
                <w:b w:val="0"/>
                <w:sz w:val="20"/>
                <w:lang w:val="sr-Cyrl-CS"/>
              </w:rPr>
            </w:pPr>
            <w:r w:rsidRPr="00092ED7">
              <w:rPr>
                <w:rFonts w:cs="Times New Roman"/>
                <w:b w:val="0"/>
                <w:sz w:val="20"/>
                <w:lang w:val="sr-Cyrl-CS"/>
              </w:rPr>
              <w:t>Вероватноћа за остваривање ризика</w:t>
            </w:r>
          </w:p>
        </w:tc>
        <w:tc>
          <w:tcPr>
            <w:tcW w:w="3738" w:type="dxa"/>
          </w:tcPr>
          <w:p w14:paraId="3B29898A" w14:textId="77777777" w:rsidR="00D210F0" w:rsidRPr="00092ED7" w:rsidRDefault="00D210F0" w:rsidP="00C429AB">
            <w:pPr>
              <w:spacing w:before="0" w:after="0"/>
              <w:ind w:left="113" w:right="113"/>
              <w:jc w:val="center"/>
              <w:rPr>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45E42CEC" w14:textId="77777777" w:rsidTr="00CC71EC">
        <w:trPr>
          <w:jc w:val="center"/>
        </w:trPr>
        <w:tc>
          <w:tcPr>
            <w:tcW w:w="3241" w:type="dxa"/>
            <w:vAlign w:val="top"/>
          </w:tcPr>
          <w:p w14:paraId="4698CDB4" w14:textId="77777777" w:rsidR="00D210F0" w:rsidRPr="00092ED7" w:rsidRDefault="00D210F0" w:rsidP="004130F6">
            <w:pPr>
              <w:spacing w:before="0" w:after="0"/>
              <w:ind w:left="113" w:right="113"/>
              <w:jc w:val="left"/>
              <w:rPr>
                <w:rFonts w:eastAsia="Calibri" w:cs="Times New Roman"/>
                <w:sz w:val="20"/>
                <w:lang w:val="sr-Cyrl-CS" w:eastAsia="sr-Cyrl-CS" w:bidi="sr-Cyrl-CS"/>
              </w:rPr>
            </w:pPr>
            <w:r w:rsidRPr="00092ED7">
              <w:rPr>
                <w:rFonts w:eastAsia="Calibri" w:cs="Times New Roman"/>
                <w:sz w:val="20"/>
                <w:lang w:val="sr-Cyrl-CS" w:eastAsia="sr-Cyrl-CS" w:bidi="sr-Cyrl-CS"/>
              </w:rPr>
              <w:t>Репутациони ризик – нестранспарентност, кршење процедуре, занемаривање постављених критеријума</w:t>
            </w:r>
          </w:p>
        </w:tc>
        <w:tc>
          <w:tcPr>
            <w:tcW w:w="2098" w:type="dxa"/>
            <w:vAlign w:val="top"/>
          </w:tcPr>
          <w:p w14:paraId="6F18597D" w14:textId="77777777" w:rsidR="00D210F0" w:rsidRPr="00092ED7" w:rsidRDefault="00D210F0" w:rsidP="004130F6">
            <w:pPr>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Ниска</w:t>
            </w:r>
          </w:p>
        </w:tc>
        <w:tc>
          <w:tcPr>
            <w:tcW w:w="3738" w:type="dxa"/>
          </w:tcPr>
          <w:p w14:paraId="142E0E38" w14:textId="77777777" w:rsidR="00D210F0" w:rsidRPr="00092ED7" w:rsidRDefault="00D210F0" w:rsidP="00A67EE8">
            <w:pPr>
              <w:spacing w:before="0" w:after="0"/>
              <w:ind w:left="113" w:right="113"/>
              <w:rPr>
                <w:rFonts w:eastAsia="Calibri" w:cs="Times New Roman"/>
                <w:sz w:val="20"/>
                <w:lang w:val="sr-Cyrl-CS" w:eastAsia="sr-Cyrl-CS" w:bidi="sr-Cyrl-CS"/>
              </w:rPr>
            </w:pPr>
            <w:r w:rsidRPr="00092ED7">
              <w:rPr>
                <w:rFonts w:eastAsia="Calibri" w:cs="Times New Roman"/>
                <w:sz w:val="20"/>
                <w:lang w:val="sr-Cyrl-CS" w:eastAsia="sr-Cyrl-CS" w:bidi="sr-Cyrl-CS"/>
              </w:rPr>
              <w:t>Ангажовање кредибилног УО који ће стати именом иза процеса селекције талената за стипендирање. Ангажовање независне комисије која ће радити евалуацију кандидата. Јасно дефинисана процедура и транспарентни критеријуми одабира. Отворена и транспарентна комуникација са потенцијалним корисницима и широм јавношћу.</w:t>
            </w:r>
          </w:p>
        </w:tc>
      </w:tr>
      <w:tr w:rsidR="00D210F0" w:rsidRPr="00092ED7" w14:paraId="01C31CB8" w14:textId="77777777" w:rsidTr="00CC71EC">
        <w:trPr>
          <w:jc w:val="center"/>
        </w:trPr>
        <w:tc>
          <w:tcPr>
            <w:tcW w:w="3241" w:type="dxa"/>
            <w:vAlign w:val="top"/>
          </w:tcPr>
          <w:p w14:paraId="5D9C2483" w14:textId="77777777" w:rsidR="00D210F0" w:rsidRPr="00092ED7" w:rsidRDefault="00D210F0" w:rsidP="004130F6">
            <w:pPr>
              <w:spacing w:before="0" w:after="0"/>
              <w:ind w:left="113" w:right="113"/>
              <w:jc w:val="left"/>
              <w:rPr>
                <w:rFonts w:eastAsia="Calibri" w:cs="Times New Roman"/>
                <w:sz w:val="20"/>
                <w:lang w:val="sr-Cyrl-CS" w:eastAsia="sr-Cyrl-CS" w:bidi="sr-Cyrl-CS"/>
              </w:rPr>
            </w:pPr>
            <w:r w:rsidRPr="00092ED7">
              <w:rPr>
                <w:rFonts w:eastAsia="Calibri" w:cs="Times New Roman"/>
                <w:sz w:val="20"/>
                <w:lang w:val="sr-Cyrl-CS" w:eastAsia="sr-Cyrl-CS" w:bidi="sr-Cyrl-CS"/>
              </w:rPr>
              <w:t>Већа потражња у односу на расположиви буџет – незадовољство одбијених</w:t>
            </w:r>
          </w:p>
        </w:tc>
        <w:tc>
          <w:tcPr>
            <w:tcW w:w="2098" w:type="dxa"/>
            <w:vAlign w:val="top"/>
          </w:tcPr>
          <w:p w14:paraId="4A319A12" w14:textId="77777777" w:rsidR="00D210F0" w:rsidRPr="00092ED7" w:rsidRDefault="00D210F0" w:rsidP="004130F6">
            <w:pPr>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Ниска</w:t>
            </w:r>
          </w:p>
        </w:tc>
        <w:tc>
          <w:tcPr>
            <w:tcW w:w="3738" w:type="dxa"/>
          </w:tcPr>
          <w:p w14:paraId="6BF06E44" w14:textId="04588682" w:rsidR="00D210F0" w:rsidRPr="00092ED7" w:rsidRDefault="00D210F0" w:rsidP="007D60EC">
            <w:pPr>
              <w:spacing w:before="0" w:after="0"/>
              <w:ind w:left="113" w:right="113"/>
              <w:rPr>
                <w:rFonts w:eastAsia="Calibri" w:cs="Times New Roman"/>
                <w:sz w:val="20"/>
                <w:lang w:val="sr-Cyrl-CS" w:eastAsia="sr-Cyrl-CS" w:bidi="sr-Cyrl-CS"/>
              </w:rPr>
            </w:pPr>
            <w:r w:rsidRPr="00092ED7">
              <w:rPr>
                <w:rFonts w:eastAsia="Calibri" w:cs="Times New Roman"/>
                <w:sz w:val="20"/>
                <w:lang w:val="sr-Cyrl-CS" w:eastAsia="sr-Cyrl-CS" w:bidi="sr-Cyrl-CS"/>
              </w:rPr>
              <w:t>Активно заговарање да се сваке године повећава буџет у складу са могућностима. Активно трагање за алтернативним изворима финансирања, осим буџетског, како би се пружиле додатне прилике.</w:t>
            </w:r>
          </w:p>
        </w:tc>
      </w:tr>
    </w:tbl>
    <w:p w14:paraId="3531759E" w14:textId="77777777" w:rsidR="00D210F0" w:rsidRPr="00092ED7" w:rsidRDefault="00D210F0" w:rsidP="00D210F0">
      <w:pPr>
        <w:spacing w:before="120"/>
        <w:rPr>
          <w:rFonts w:eastAsia="Calibri" w:cs="Times New Roman"/>
          <w:szCs w:val="24"/>
          <w:lang w:val="sr-Cyrl-CS"/>
        </w:rPr>
      </w:pPr>
      <w:r w:rsidRPr="00092ED7">
        <w:rPr>
          <w:rFonts w:eastAsia="Calibri" w:cs="Times New Roman"/>
          <w:b/>
          <w:szCs w:val="24"/>
          <w:u w:val="single"/>
          <w:lang w:val="sr-Cyrl-CS"/>
        </w:rPr>
        <w:t>СТРУКТУРНА РЕФОРМА 3</w:t>
      </w:r>
      <w:r w:rsidRPr="00092ED7">
        <w:rPr>
          <w:rFonts w:eastAsia="Calibri" w:cs="Times New Roman"/>
          <w:b/>
          <w:szCs w:val="24"/>
          <w:lang w:val="sr-Cyrl-CS"/>
        </w:rPr>
        <w:t xml:space="preserve">: </w:t>
      </w:r>
      <w:r w:rsidRPr="00092ED7">
        <w:rPr>
          <w:rFonts w:eastAsia="Calibri" w:cs="Times New Roman"/>
          <w:szCs w:val="24"/>
          <w:lang w:val="sr-Cyrl-CS"/>
        </w:rPr>
        <w:t>КВАЛИФИКАЦИЈЕ ОРИЈЕНТИСАНЕ ПРЕМА ПОТРЕБАМА ТРЖИШТА РАДА</w:t>
      </w:r>
    </w:p>
    <w:p w14:paraId="4579FFC6" w14:textId="77777777" w:rsidR="00D210F0" w:rsidRPr="00092ED7" w:rsidRDefault="00D210F0" w:rsidP="00071952">
      <w:pPr>
        <w:pStyle w:val="ListParagraph"/>
        <w:widowControl w:val="0"/>
        <w:numPr>
          <w:ilvl w:val="0"/>
          <w:numId w:val="20"/>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74562372" w14:textId="09A19524" w:rsidR="00D210F0" w:rsidRPr="00092ED7" w:rsidRDefault="00D210F0" w:rsidP="00D210F0">
      <w:pPr>
        <w:widowControl w:val="0"/>
        <w:spacing w:after="60"/>
        <w:rPr>
          <w:rFonts w:eastAsia="Calibri" w:cs="Times New Roman"/>
          <w:b/>
          <w:szCs w:val="24"/>
          <w:lang w:val="sr-Cyrl-CS" w:eastAsia="sr-Cyrl-CS" w:bidi="sr-Cyrl-CS"/>
        </w:rPr>
      </w:pPr>
      <w:r w:rsidRPr="00092ED7">
        <w:rPr>
          <w:rFonts w:cs="Times New Roman"/>
          <w:lang w:val="sr-Cyrl-CS"/>
        </w:rPr>
        <w:t>Имплементацијом дуалног образовања обезбеђује се ефикаснији одговор система образовања на потребе привреде и тржишта рада, технолошке промене и потребе за новим компетенцијама. У наредном периоду предузимаће се активности у циљу подизања дигиталне дуалне промотивне платформе за кључне учеснике у систему дуалног образовања, наставиће се са успостављањем регионалних тренинг центара, а спроводиће се и активности у циљу унапређивања квалитета услуга каријерног вођења и саветовања (</w:t>
      </w:r>
      <w:r w:rsidR="00657813" w:rsidRPr="00092ED7">
        <w:rPr>
          <w:rFonts w:cs="Times New Roman"/>
          <w:lang w:val="sr-Cyrl-CS"/>
        </w:rPr>
        <w:t xml:space="preserve">у даљем тексту: </w:t>
      </w:r>
      <w:r w:rsidRPr="00092ED7">
        <w:rPr>
          <w:rFonts w:cs="Times New Roman"/>
          <w:lang w:val="sr-Cyrl-CS"/>
        </w:rPr>
        <w:t>КВиС) у дуалном образовању. У циљу привлачења страних инвестиција, израђиваће се анализа кључних елемената дуалног модела образовања у Републици Србији. Даљом имплементацијом НОКС осигурава се диверсификација и унапређење релевантности образовне понуде у систему високог образовања и целоживотног учења, као и обезбеђивање транспарентности система НОКС, упоредивости и препознатљивости квалификација стечених у Републици Србији са квалификацијама стеченим у другим државама.</w:t>
      </w:r>
    </w:p>
    <w:p w14:paraId="279AC86C" w14:textId="77777777" w:rsidR="00D210F0" w:rsidRPr="00092ED7" w:rsidRDefault="00D210F0" w:rsidP="00071952">
      <w:pPr>
        <w:widowControl w:val="0"/>
        <w:numPr>
          <w:ilvl w:val="0"/>
          <w:numId w:val="20"/>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425"/>
        <w:gridCol w:w="4243"/>
        <w:gridCol w:w="372"/>
        <w:gridCol w:w="373"/>
        <w:gridCol w:w="372"/>
        <w:gridCol w:w="373"/>
        <w:gridCol w:w="372"/>
        <w:gridCol w:w="373"/>
        <w:gridCol w:w="373"/>
        <w:gridCol w:w="372"/>
        <w:gridCol w:w="373"/>
        <w:gridCol w:w="372"/>
        <w:gridCol w:w="373"/>
        <w:gridCol w:w="373"/>
      </w:tblGrid>
      <w:tr w:rsidR="00D210F0" w:rsidRPr="00092ED7" w14:paraId="68BC3E56" w14:textId="77777777" w:rsidTr="00C429AB">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7807A262"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РБ</w:t>
            </w:r>
          </w:p>
        </w:tc>
        <w:tc>
          <w:tcPr>
            <w:tcW w:w="4243"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57ED90EC" w14:textId="77777777" w:rsidR="00D210F0" w:rsidRPr="00092ED7" w:rsidRDefault="00D210F0" w:rsidP="00D210F0">
            <w:pPr>
              <w:spacing w:after="0"/>
              <w:jc w:val="left"/>
              <w:rPr>
                <w:rFonts w:cs="Times New Roman"/>
                <w:b/>
                <w:bCs/>
                <w:color w:val="000000"/>
                <w:sz w:val="20"/>
                <w:szCs w:val="20"/>
                <w:lang w:val="sr-Cyrl-CS"/>
              </w:rPr>
            </w:pPr>
            <w:r w:rsidRPr="00092ED7">
              <w:rPr>
                <w:rFonts w:cs="Times New Roman"/>
                <w:b/>
                <w:bCs/>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FDD895F"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00EBE0F9"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42273AA"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104B4130" w14:textId="77777777" w:rsidTr="00C429AB">
        <w:trPr>
          <w:trHeight w:val="315"/>
        </w:trPr>
        <w:tc>
          <w:tcPr>
            <w:tcW w:w="425" w:type="dxa"/>
            <w:vMerge/>
            <w:tcBorders>
              <w:left w:val="single" w:sz="8" w:space="0" w:color="auto"/>
              <w:bottom w:val="single" w:sz="8" w:space="0" w:color="000000"/>
              <w:right w:val="nil"/>
            </w:tcBorders>
            <w:shd w:val="clear" w:color="000000" w:fill="BDD6EE"/>
            <w:vAlign w:val="center"/>
            <w:hideMark/>
          </w:tcPr>
          <w:p w14:paraId="18B05F1B" w14:textId="77777777" w:rsidR="00D210F0" w:rsidRPr="00092ED7" w:rsidRDefault="00D210F0" w:rsidP="00D210F0">
            <w:pPr>
              <w:spacing w:after="0"/>
              <w:jc w:val="center"/>
              <w:rPr>
                <w:rFonts w:cs="Times New Roman"/>
                <w:b/>
                <w:bCs/>
                <w:color w:val="000000"/>
                <w:sz w:val="20"/>
                <w:szCs w:val="20"/>
                <w:lang w:val="sr-Cyrl-CS"/>
              </w:rPr>
            </w:pPr>
          </w:p>
        </w:tc>
        <w:tc>
          <w:tcPr>
            <w:tcW w:w="4243"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413D5DEF" w14:textId="77777777" w:rsidR="00D210F0" w:rsidRPr="00092ED7" w:rsidRDefault="00D210F0" w:rsidP="00D210F0">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A496C78"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DD31ED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75329D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C793A7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1C45F11"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57FCA5E"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2836505"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5C747B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917C5BF"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00A110B"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D3CB8F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0D910A7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1FD434E9" w14:textId="77777777" w:rsidTr="00C429AB">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32108CA1"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1.</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3FEFCD30"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Ширење мреже и унапређивање компетенција координатора тимова за КВиС ради унапређивањa квалитета активности КВиС у дуалном образовању</w:t>
            </w:r>
          </w:p>
        </w:tc>
        <w:tc>
          <w:tcPr>
            <w:tcW w:w="372"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6D9F75F6"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97D622B"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A2BD293"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7E3A5220"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E6D983A"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D75B39F"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778D0B3"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50EB3945"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B00E887"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CE5626E"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6FDD248"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278D019" w14:textId="77777777" w:rsidR="00D210F0" w:rsidRPr="00092ED7" w:rsidRDefault="00D210F0" w:rsidP="00D210F0">
            <w:pPr>
              <w:spacing w:after="0"/>
              <w:rPr>
                <w:rFonts w:cs="Times New Roman"/>
                <w:color w:val="000000"/>
                <w:sz w:val="20"/>
                <w:szCs w:val="20"/>
                <w:lang w:val="sr-Cyrl-CS"/>
              </w:rPr>
            </w:pPr>
          </w:p>
        </w:tc>
      </w:tr>
      <w:tr w:rsidR="00D210F0" w:rsidRPr="00092ED7" w14:paraId="05891BB1" w14:textId="77777777" w:rsidTr="00C429AB">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2AFEA2CA"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2.</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05B7F88D"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Креирање дигиталне дуалне промотивне платформе</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DC6F28A"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453969C"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5C5CFE4"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0C522EA"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5D9309E"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82AED6C"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1E321C6"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71938517"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365AD3B"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EB37D3D"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6D8479B"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223FD2DD" w14:textId="77777777" w:rsidR="00D210F0" w:rsidRPr="00092ED7" w:rsidRDefault="00D210F0" w:rsidP="00D210F0">
            <w:pPr>
              <w:spacing w:after="0"/>
              <w:rPr>
                <w:rFonts w:cs="Times New Roman"/>
                <w:color w:val="000000"/>
                <w:sz w:val="20"/>
                <w:szCs w:val="20"/>
                <w:lang w:val="sr-Cyrl-CS"/>
              </w:rPr>
            </w:pPr>
          </w:p>
        </w:tc>
      </w:tr>
      <w:tr w:rsidR="00D210F0" w:rsidRPr="00092ED7" w14:paraId="3E80FBD6" w14:textId="77777777" w:rsidTr="00C429AB">
        <w:trPr>
          <w:trHeight w:val="300"/>
        </w:trPr>
        <w:tc>
          <w:tcPr>
            <w:tcW w:w="425"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77F7F9A3"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3.</w:t>
            </w:r>
          </w:p>
        </w:tc>
        <w:tc>
          <w:tcPr>
            <w:tcW w:w="4243" w:type="dxa"/>
            <w:tcBorders>
              <w:top w:val="nil"/>
              <w:left w:val="nil"/>
              <w:bottom w:val="single" w:sz="4" w:space="0" w:color="auto"/>
              <w:right w:val="nil"/>
            </w:tcBorders>
            <w:shd w:val="clear" w:color="auto" w:fill="auto"/>
            <w:tcMar>
              <w:top w:w="15" w:type="dxa"/>
              <w:left w:w="15" w:type="dxa"/>
              <w:bottom w:w="0" w:type="dxa"/>
              <w:right w:w="15" w:type="dxa"/>
            </w:tcMar>
          </w:tcPr>
          <w:p w14:paraId="7F30E616"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Оснивање, инфраструктурно уређење и опремање регионалних тренинг центара</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1F7CE36"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AAE969A"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6D4797F"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045D806"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27D44AE"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AC0B3A2"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DB82165"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BE60DD5"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3ADA508"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7A0F919"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5812213"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605259D" w14:textId="77777777" w:rsidR="00D210F0" w:rsidRPr="00092ED7" w:rsidRDefault="00D210F0" w:rsidP="00D210F0">
            <w:pPr>
              <w:spacing w:after="0"/>
              <w:rPr>
                <w:rFonts w:cs="Times New Roman"/>
                <w:color w:val="000000"/>
                <w:sz w:val="20"/>
                <w:szCs w:val="20"/>
                <w:lang w:val="sr-Cyrl-CS"/>
              </w:rPr>
            </w:pPr>
          </w:p>
        </w:tc>
      </w:tr>
      <w:tr w:rsidR="00D210F0" w:rsidRPr="00092ED7" w14:paraId="69F1F8AA" w14:textId="77777777" w:rsidTr="00C429AB">
        <w:trPr>
          <w:trHeight w:val="300"/>
        </w:trPr>
        <w:tc>
          <w:tcPr>
            <w:tcW w:w="425"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754A07B2"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4.</w:t>
            </w:r>
          </w:p>
        </w:tc>
        <w:tc>
          <w:tcPr>
            <w:tcW w:w="4243"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tcPr>
          <w:p w14:paraId="34163864" w14:textId="77777777" w:rsidR="00D210F0" w:rsidRPr="00092ED7" w:rsidRDefault="00D210F0" w:rsidP="00D210F0">
            <w:pPr>
              <w:spacing w:after="0"/>
              <w:ind w:right="222"/>
              <w:rPr>
                <w:rFonts w:cs="Times New Roman"/>
                <w:color w:val="000000"/>
                <w:sz w:val="20"/>
                <w:szCs w:val="20"/>
                <w:lang w:val="sr-Cyrl-CS"/>
              </w:rPr>
            </w:pPr>
            <w:r w:rsidRPr="00092ED7">
              <w:rPr>
                <w:rFonts w:cs="Times New Roman"/>
                <w:color w:val="000000"/>
                <w:sz w:val="20"/>
                <w:szCs w:val="20"/>
                <w:lang w:val="sr-Cyrl-CS"/>
              </w:rPr>
              <w:t>Имплементација система праћења и вредновања Националног модела дуалног образовања и дуалних образовних профила</w:t>
            </w: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37E3090"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19F528"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DDEC824"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6B0C0EF"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5E6389C"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C16A3D2"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B977F62"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DFED978"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4E9CF00"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8B6F6F7"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E2D0B8A"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120949C" w14:textId="77777777" w:rsidR="00D210F0" w:rsidRPr="00092ED7" w:rsidRDefault="00D210F0" w:rsidP="00D210F0">
            <w:pPr>
              <w:spacing w:after="0"/>
              <w:rPr>
                <w:rFonts w:cs="Times New Roman"/>
                <w:color w:val="000000"/>
                <w:sz w:val="20"/>
                <w:szCs w:val="20"/>
                <w:lang w:val="sr-Cyrl-CS"/>
              </w:rPr>
            </w:pPr>
          </w:p>
        </w:tc>
      </w:tr>
      <w:tr w:rsidR="00D210F0" w:rsidRPr="00092ED7" w14:paraId="47DBD96C" w14:textId="77777777" w:rsidTr="00C429AB">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02DD835A"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5.</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0704D543" w14:textId="77777777" w:rsidR="00D210F0" w:rsidRPr="00092ED7" w:rsidRDefault="006C025B" w:rsidP="00D210F0">
            <w:pPr>
              <w:spacing w:after="0"/>
              <w:ind w:right="222"/>
              <w:rPr>
                <w:rFonts w:cs="Times New Roman"/>
                <w:sz w:val="20"/>
                <w:szCs w:val="20"/>
                <w:lang w:val="sr-Cyrl-CS"/>
              </w:rPr>
            </w:pPr>
            <w:r w:rsidRPr="00092ED7">
              <w:rPr>
                <w:rFonts w:cs="Times New Roman"/>
                <w:sz w:val="20"/>
                <w:szCs w:val="20"/>
                <w:lang w:val="sr-Cyrl-CS"/>
              </w:rPr>
              <w:t>Анализа кључних елемената у дуалном моделу образовања у Републици Србији у циљу привлачења страних инвестиција</w:t>
            </w:r>
          </w:p>
        </w:tc>
        <w:tc>
          <w:tcPr>
            <w:tcW w:w="372" w:type="dxa"/>
            <w:tcBorders>
              <w:top w:val="nil"/>
              <w:left w:val="single" w:sz="8"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F761C58"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12A44DC"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DA081DD"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71A2E23C"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0CE07AB"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B08E5F1"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F6A1895"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43DD14A"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292D076"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5540AC4"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42E017B"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63FBA452" w14:textId="77777777" w:rsidR="00D210F0" w:rsidRPr="00092ED7" w:rsidRDefault="00D210F0" w:rsidP="00D210F0">
            <w:pPr>
              <w:spacing w:after="0"/>
              <w:rPr>
                <w:rFonts w:cs="Times New Roman"/>
                <w:color w:val="000000"/>
                <w:sz w:val="20"/>
                <w:szCs w:val="20"/>
                <w:lang w:val="sr-Cyrl-CS"/>
              </w:rPr>
            </w:pPr>
          </w:p>
        </w:tc>
      </w:tr>
      <w:tr w:rsidR="00D210F0" w:rsidRPr="00092ED7" w14:paraId="6BD18DCE" w14:textId="77777777" w:rsidTr="00C429AB">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5830D2D5"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6.</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641523F9"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Унапређивање методологије за развој стандарда за квалификације у делу који се односи на квалификације у систему високог образовања и пилотирање методологије</w:t>
            </w:r>
          </w:p>
        </w:tc>
        <w:tc>
          <w:tcPr>
            <w:tcW w:w="372" w:type="dxa"/>
            <w:tcBorders>
              <w:top w:val="nil"/>
              <w:left w:val="single" w:sz="8"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1A11E532"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B926B8F"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B350FDB"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DAE4CA1"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2BE90EE"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3CAEF80"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B52D0B3"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31D3CA5"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3AC42B5"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287FF81"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661EB55"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58DCBD5" w14:textId="77777777" w:rsidR="00D210F0" w:rsidRPr="00092ED7" w:rsidRDefault="00D210F0" w:rsidP="00D210F0">
            <w:pPr>
              <w:spacing w:after="0"/>
              <w:rPr>
                <w:rFonts w:cs="Times New Roman"/>
                <w:color w:val="000000"/>
                <w:sz w:val="20"/>
                <w:szCs w:val="20"/>
                <w:lang w:val="sr-Cyrl-CS"/>
              </w:rPr>
            </w:pPr>
          </w:p>
        </w:tc>
      </w:tr>
      <w:tr w:rsidR="00D210F0" w:rsidRPr="00092ED7" w14:paraId="35A3D35D" w14:textId="77777777" w:rsidTr="00C429AB">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613A1976"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7.</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0CEFA700"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Повезивање Регистра НОКС са европским порталом квалификација</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0E66A63"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28C4B6F"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B369147"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7703439"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69060FA"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BE50A5E"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CCBB727"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E3E2883"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1A4FF28"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1DD8C01"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B50E08D"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8C34110" w14:textId="77777777" w:rsidR="00D210F0" w:rsidRPr="00092ED7" w:rsidRDefault="00D210F0" w:rsidP="00D210F0">
            <w:pPr>
              <w:spacing w:after="0"/>
              <w:rPr>
                <w:rFonts w:cs="Times New Roman"/>
                <w:color w:val="000000"/>
                <w:sz w:val="20"/>
                <w:szCs w:val="20"/>
                <w:lang w:val="sr-Cyrl-CS"/>
              </w:rPr>
            </w:pPr>
          </w:p>
        </w:tc>
      </w:tr>
      <w:tr w:rsidR="00D210F0" w:rsidRPr="00092ED7" w14:paraId="1B8D40EE" w14:textId="77777777" w:rsidTr="00C429AB">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8F05460"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8.</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6E1CC8D" w14:textId="532CEE3C" w:rsidR="00D210F0" w:rsidRPr="00092ED7" w:rsidRDefault="00D210F0" w:rsidP="00D7267E">
            <w:pPr>
              <w:spacing w:after="0"/>
              <w:ind w:right="222"/>
              <w:rPr>
                <w:rFonts w:cs="Times New Roman"/>
                <w:sz w:val="20"/>
                <w:szCs w:val="20"/>
                <w:lang w:val="sr-Cyrl-CS"/>
              </w:rPr>
            </w:pPr>
            <w:r w:rsidRPr="00092ED7">
              <w:rPr>
                <w:rFonts w:cs="Times New Roman"/>
                <w:sz w:val="20"/>
                <w:szCs w:val="20"/>
                <w:lang w:val="sr-Cyrl-CS"/>
              </w:rPr>
              <w:t>Дигитализација поступка акредитације програма неформалног образовања и израде стандарда квалификација</w:t>
            </w:r>
            <w:r w:rsidR="002D211E" w:rsidRPr="00092ED7">
              <w:rPr>
                <w:rFonts w:cs="Times New Roman"/>
                <w:sz w:val="20"/>
                <w:szCs w:val="20"/>
                <w:lang w:val="sr-Cyrl-CS"/>
              </w:rPr>
              <w:t>,</w:t>
            </w:r>
            <w:r w:rsidRPr="00092ED7">
              <w:rPr>
                <w:rFonts w:cs="Times New Roman"/>
                <w:sz w:val="20"/>
                <w:szCs w:val="20"/>
                <w:lang w:val="sr-Cyrl-CS"/>
              </w:rPr>
              <w:t xml:space="preserve"> као и визуелизација података из ЈИСП</w:t>
            </w:r>
            <w:r w:rsidR="00657813" w:rsidRPr="00092ED7">
              <w:rPr>
                <w:rFonts w:cs="Times New Roman"/>
                <w:sz w:val="20"/>
                <w:szCs w:val="20"/>
                <w:lang w:val="sr-Cyrl-CS"/>
              </w:rPr>
              <w:t xml:space="preserve"> </w:t>
            </w:r>
            <w:r w:rsidRPr="00092ED7">
              <w:rPr>
                <w:rFonts w:cs="Times New Roman"/>
                <w:sz w:val="20"/>
                <w:szCs w:val="20"/>
                <w:lang w:val="sr-Cyrl-CS"/>
              </w:rPr>
              <w:t>(за потребе унапређивања транспарентности система образовања и квалификација</w:t>
            </w: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F7129B7"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35A5249"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13774A"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4D41146"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6A77787"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1A172BA"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9BB06A2"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6FA767B"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21A00974"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13976688"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2453C82"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252F1D8C" w14:textId="77777777" w:rsidR="00D210F0" w:rsidRPr="00092ED7" w:rsidRDefault="00D210F0" w:rsidP="00D210F0">
            <w:pPr>
              <w:spacing w:after="0"/>
              <w:rPr>
                <w:rFonts w:cs="Times New Roman"/>
                <w:color w:val="000000"/>
                <w:sz w:val="20"/>
                <w:szCs w:val="20"/>
                <w:lang w:val="sr-Cyrl-CS"/>
              </w:rPr>
            </w:pPr>
          </w:p>
        </w:tc>
      </w:tr>
    </w:tbl>
    <w:p w14:paraId="15009F5D" w14:textId="77777777" w:rsidR="00D210F0" w:rsidRPr="00092ED7" w:rsidRDefault="00D210F0" w:rsidP="00071952">
      <w:pPr>
        <w:widowControl w:val="0"/>
        <w:numPr>
          <w:ilvl w:val="0"/>
          <w:numId w:val="20"/>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Индикатори рeзултата</w:t>
      </w:r>
    </w:p>
    <w:tbl>
      <w:tblPr>
        <w:tblStyle w:val="TableGrid"/>
        <w:tblW w:w="9214" w:type="dxa"/>
        <w:tblInd w:w="-5" w:type="dxa"/>
        <w:tblLayout w:type="fixed"/>
        <w:tblLook w:val="04A0" w:firstRow="1" w:lastRow="0" w:firstColumn="1" w:lastColumn="0" w:noHBand="0" w:noVBand="1"/>
      </w:tblPr>
      <w:tblGrid>
        <w:gridCol w:w="3685"/>
        <w:gridCol w:w="1895"/>
        <w:gridCol w:w="1710"/>
        <w:gridCol w:w="1924"/>
      </w:tblGrid>
      <w:tr w:rsidR="00D210F0" w:rsidRPr="00092ED7" w14:paraId="6BA44348" w14:textId="77777777" w:rsidTr="006C025B">
        <w:trPr>
          <w:cnfStyle w:val="100000000000" w:firstRow="1" w:lastRow="0" w:firstColumn="0" w:lastColumn="0" w:oddVBand="0" w:evenVBand="0" w:oddHBand="0" w:evenHBand="0" w:firstRowFirstColumn="0" w:firstRowLastColumn="0" w:lastRowFirstColumn="0" w:lastRowLastColumn="0"/>
        </w:trPr>
        <w:tc>
          <w:tcPr>
            <w:tcW w:w="3685" w:type="dxa"/>
          </w:tcPr>
          <w:p w14:paraId="53EE6F67" w14:textId="77777777" w:rsidR="00D210F0" w:rsidRPr="00092ED7" w:rsidRDefault="00D210F0" w:rsidP="005D14E2">
            <w:pPr>
              <w:spacing w:before="0" w:after="0"/>
              <w:ind w:right="113"/>
              <w:jc w:val="center"/>
              <w:rPr>
                <w:rFonts w:cs="Times New Roman"/>
                <w:b w:val="0"/>
                <w:sz w:val="20"/>
                <w:lang w:val="sr-Cyrl-CS"/>
              </w:rPr>
            </w:pPr>
            <w:r w:rsidRPr="00092ED7">
              <w:rPr>
                <w:rFonts w:cs="Times New Roman"/>
                <w:sz w:val="20"/>
                <w:lang w:val="sr-Cyrl-CS"/>
              </w:rPr>
              <w:t>Показатељ</w:t>
            </w:r>
          </w:p>
        </w:tc>
        <w:tc>
          <w:tcPr>
            <w:tcW w:w="1895" w:type="dxa"/>
          </w:tcPr>
          <w:p w14:paraId="7D349A3B" w14:textId="77777777" w:rsidR="00D210F0" w:rsidRPr="00092ED7" w:rsidRDefault="00D210F0" w:rsidP="005D14E2">
            <w:pPr>
              <w:spacing w:before="0" w:after="0"/>
              <w:ind w:right="113"/>
              <w:jc w:val="center"/>
              <w:rPr>
                <w:rFonts w:cs="Times New Roman"/>
                <w:b w:val="0"/>
                <w:sz w:val="20"/>
                <w:lang w:val="sr-Cyrl-CS"/>
              </w:rPr>
            </w:pPr>
            <w:r w:rsidRPr="00092ED7">
              <w:rPr>
                <w:rFonts w:cs="Times New Roman"/>
                <w:sz w:val="20"/>
                <w:lang w:val="sr-Cyrl-CS"/>
              </w:rPr>
              <w:t>Почетна вредност (2019)</w:t>
            </w:r>
          </w:p>
        </w:tc>
        <w:tc>
          <w:tcPr>
            <w:tcW w:w="1710" w:type="dxa"/>
          </w:tcPr>
          <w:p w14:paraId="660DC523" w14:textId="77777777" w:rsidR="00D210F0" w:rsidRPr="00092ED7" w:rsidRDefault="00D210F0" w:rsidP="005D14E2">
            <w:pPr>
              <w:spacing w:before="0" w:after="0"/>
              <w:ind w:right="113"/>
              <w:jc w:val="center"/>
              <w:rPr>
                <w:rFonts w:cs="Times New Roman"/>
                <w:b w:val="0"/>
                <w:sz w:val="20"/>
                <w:lang w:val="sr-Cyrl-CS"/>
              </w:rPr>
            </w:pPr>
            <w:r w:rsidRPr="00092ED7">
              <w:rPr>
                <w:rFonts w:cs="Times New Roman"/>
                <w:sz w:val="20"/>
                <w:lang w:val="sr-Cyrl-CS"/>
              </w:rPr>
              <w:t>Међурезултат (2023)</w:t>
            </w:r>
          </w:p>
        </w:tc>
        <w:tc>
          <w:tcPr>
            <w:tcW w:w="1924" w:type="dxa"/>
          </w:tcPr>
          <w:p w14:paraId="3950CBB9" w14:textId="77777777" w:rsidR="00D210F0" w:rsidRPr="00092ED7" w:rsidRDefault="00D210F0" w:rsidP="005D14E2">
            <w:pPr>
              <w:spacing w:before="0" w:after="0"/>
              <w:ind w:right="113"/>
              <w:jc w:val="center"/>
              <w:rPr>
                <w:rFonts w:cs="Times New Roman"/>
                <w:b w:val="0"/>
                <w:sz w:val="20"/>
                <w:lang w:val="sr-Cyrl-CS"/>
              </w:rPr>
            </w:pPr>
            <w:r w:rsidRPr="00092ED7">
              <w:rPr>
                <w:rFonts w:cs="Times New Roman"/>
                <w:sz w:val="20"/>
                <w:lang w:val="sr-Cyrl-CS"/>
              </w:rPr>
              <w:t>Циљна вредност (2025)</w:t>
            </w:r>
          </w:p>
        </w:tc>
      </w:tr>
      <w:tr w:rsidR="00D210F0" w:rsidRPr="00092ED7" w14:paraId="4D7F8DD3" w14:textId="77777777" w:rsidTr="006C025B">
        <w:tc>
          <w:tcPr>
            <w:tcW w:w="3685" w:type="dxa"/>
          </w:tcPr>
          <w:p w14:paraId="17B62183" w14:textId="77777777" w:rsidR="00D210F0" w:rsidRPr="00092ED7" w:rsidRDefault="00D210F0" w:rsidP="005D14E2">
            <w:pPr>
              <w:spacing w:before="0" w:after="0"/>
              <w:ind w:right="113"/>
              <w:rPr>
                <w:rFonts w:cs="Times New Roman"/>
                <w:sz w:val="20"/>
                <w:lang w:val="sr-Cyrl-CS"/>
              </w:rPr>
            </w:pPr>
            <w:r w:rsidRPr="00092ED7">
              <w:rPr>
                <w:rFonts w:cs="Times New Roman"/>
                <w:sz w:val="20"/>
                <w:lang w:val="sr-Cyrl-CS"/>
              </w:rPr>
              <w:t>Број израђених студијских програма по дуалном моделу студија</w:t>
            </w:r>
          </w:p>
        </w:tc>
        <w:tc>
          <w:tcPr>
            <w:tcW w:w="1895" w:type="dxa"/>
          </w:tcPr>
          <w:p w14:paraId="413057E9"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 xml:space="preserve">0 </w:t>
            </w:r>
          </w:p>
        </w:tc>
        <w:tc>
          <w:tcPr>
            <w:tcW w:w="1710" w:type="dxa"/>
          </w:tcPr>
          <w:p w14:paraId="76A95DC2"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34</w:t>
            </w:r>
          </w:p>
        </w:tc>
        <w:tc>
          <w:tcPr>
            <w:tcW w:w="1924" w:type="dxa"/>
          </w:tcPr>
          <w:p w14:paraId="5A7ECCB1"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38</w:t>
            </w:r>
          </w:p>
        </w:tc>
      </w:tr>
      <w:tr w:rsidR="00D210F0" w:rsidRPr="00092ED7" w14:paraId="7E4A0053" w14:textId="77777777" w:rsidTr="006C025B">
        <w:tc>
          <w:tcPr>
            <w:tcW w:w="3685" w:type="dxa"/>
          </w:tcPr>
          <w:p w14:paraId="3170A43B" w14:textId="77777777" w:rsidR="00D210F0" w:rsidRPr="00092ED7" w:rsidRDefault="00D210F0" w:rsidP="005D14E2">
            <w:pPr>
              <w:spacing w:before="0" w:after="0"/>
              <w:ind w:right="113"/>
              <w:rPr>
                <w:rFonts w:cs="Times New Roman"/>
                <w:sz w:val="20"/>
                <w:lang w:val="sr-Cyrl-CS"/>
              </w:rPr>
            </w:pPr>
            <w:r w:rsidRPr="00092ED7">
              <w:rPr>
                <w:rFonts w:cs="Times New Roman"/>
                <w:sz w:val="20"/>
                <w:lang w:val="sr-Cyrl-CS"/>
              </w:rPr>
              <w:t>Учешће ђака уписаних у прву годину у систему дуалног образовања у односу на укупан број ђака уписаних у прву годину у средњем стручном образовању (%)</w:t>
            </w:r>
          </w:p>
        </w:tc>
        <w:tc>
          <w:tcPr>
            <w:tcW w:w="1895" w:type="dxa"/>
          </w:tcPr>
          <w:p w14:paraId="49593756"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5,3</w:t>
            </w:r>
          </w:p>
        </w:tc>
        <w:tc>
          <w:tcPr>
            <w:tcW w:w="1710" w:type="dxa"/>
          </w:tcPr>
          <w:p w14:paraId="7EACB827"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9,5</w:t>
            </w:r>
          </w:p>
        </w:tc>
        <w:tc>
          <w:tcPr>
            <w:tcW w:w="1924" w:type="dxa"/>
          </w:tcPr>
          <w:p w14:paraId="4321AF2C"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12</w:t>
            </w:r>
          </w:p>
        </w:tc>
      </w:tr>
      <w:tr w:rsidR="00D210F0" w:rsidRPr="00092ED7" w14:paraId="7ABEBC40" w14:textId="77777777" w:rsidTr="006C025B">
        <w:tc>
          <w:tcPr>
            <w:tcW w:w="3685" w:type="dxa"/>
          </w:tcPr>
          <w:p w14:paraId="77FB6C15" w14:textId="77777777" w:rsidR="00D210F0" w:rsidRPr="00092ED7" w:rsidRDefault="00D210F0" w:rsidP="005D14E2">
            <w:pPr>
              <w:spacing w:before="0" w:after="0"/>
              <w:ind w:right="113"/>
              <w:rPr>
                <w:rFonts w:cs="Times New Roman"/>
                <w:sz w:val="20"/>
                <w:lang w:val="sr-Cyrl-CS"/>
              </w:rPr>
            </w:pPr>
            <w:r w:rsidRPr="00092ED7">
              <w:rPr>
                <w:rFonts w:cs="Times New Roman"/>
                <w:sz w:val="20"/>
                <w:lang w:val="sr-Cyrl-CS"/>
              </w:rPr>
              <w:t xml:space="preserve">Број успостављених регионалних тренинг центара </w:t>
            </w:r>
          </w:p>
        </w:tc>
        <w:tc>
          <w:tcPr>
            <w:tcW w:w="1895" w:type="dxa"/>
          </w:tcPr>
          <w:p w14:paraId="036E4C42"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0</w:t>
            </w:r>
          </w:p>
        </w:tc>
        <w:tc>
          <w:tcPr>
            <w:tcW w:w="1710" w:type="dxa"/>
          </w:tcPr>
          <w:p w14:paraId="39701F5F"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6</w:t>
            </w:r>
          </w:p>
        </w:tc>
        <w:tc>
          <w:tcPr>
            <w:tcW w:w="1924" w:type="dxa"/>
          </w:tcPr>
          <w:p w14:paraId="1D705D79" w14:textId="77777777" w:rsidR="00D210F0" w:rsidRPr="00092ED7" w:rsidRDefault="006C025B" w:rsidP="005D14E2">
            <w:pPr>
              <w:spacing w:before="0" w:after="0"/>
              <w:ind w:right="113"/>
              <w:jc w:val="center"/>
              <w:rPr>
                <w:rFonts w:cs="Times New Roman"/>
                <w:sz w:val="20"/>
                <w:lang w:val="sr-Cyrl-CS"/>
              </w:rPr>
            </w:pPr>
            <w:r w:rsidRPr="00092ED7">
              <w:rPr>
                <w:rFonts w:cs="Times New Roman"/>
                <w:sz w:val="20"/>
                <w:lang w:val="sr-Cyrl-CS"/>
              </w:rPr>
              <w:t>12 (2026)</w:t>
            </w:r>
          </w:p>
        </w:tc>
      </w:tr>
      <w:tr w:rsidR="00D210F0" w:rsidRPr="00092ED7" w14:paraId="6D0EA2D3" w14:textId="77777777" w:rsidTr="006C025B">
        <w:tc>
          <w:tcPr>
            <w:tcW w:w="3685" w:type="dxa"/>
          </w:tcPr>
          <w:p w14:paraId="0248E687" w14:textId="77777777" w:rsidR="00D210F0" w:rsidRPr="00092ED7" w:rsidRDefault="00D210F0" w:rsidP="005D14E2">
            <w:pPr>
              <w:spacing w:before="0" w:after="0"/>
              <w:ind w:right="113"/>
              <w:rPr>
                <w:rFonts w:cs="Times New Roman"/>
                <w:sz w:val="20"/>
                <w:lang w:val="sr-Cyrl-CS"/>
              </w:rPr>
            </w:pPr>
            <w:r w:rsidRPr="00092ED7">
              <w:rPr>
                <w:rFonts w:cs="Times New Roman"/>
                <w:sz w:val="20"/>
                <w:lang w:val="sr-Cyrl-CS"/>
              </w:rPr>
              <w:t>Број квалификација видљивих на Европском порталу квалификација</w:t>
            </w:r>
          </w:p>
        </w:tc>
        <w:tc>
          <w:tcPr>
            <w:tcW w:w="1895" w:type="dxa"/>
          </w:tcPr>
          <w:p w14:paraId="41C08583"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0</w:t>
            </w:r>
          </w:p>
        </w:tc>
        <w:tc>
          <w:tcPr>
            <w:tcW w:w="1710" w:type="dxa"/>
          </w:tcPr>
          <w:p w14:paraId="11CEBC7A"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80</w:t>
            </w:r>
          </w:p>
        </w:tc>
        <w:tc>
          <w:tcPr>
            <w:tcW w:w="1924" w:type="dxa"/>
          </w:tcPr>
          <w:p w14:paraId="43213C2F" w14:textId="77777777" w:rsidR="00D210F0" w:rsidRPr="00092ED7" w:rsidRDefault="00D210F0" w:rsidP="005D14E2">
            <w:pPr>
              <w:pStyle w:val="ListParagraph"/>
              <w:spacing w:before="0" w:after="0" w:line="240" w:lineRule="auto"/>
              <w:ind w:left="0" w:right="113"/>
              <w:contextualSpacing w:val="0"/>
              <w:jc w:val="center"/>
              <w:rPr>
                <w:rFonts w:cs="Times New Roman"/>
                <w:lang w:val="sr-Cyrl-CS"/>
              </w:rPr>
            </w:pPr>
            <w:r w:rsidRPr="00092ED7">
              <w:rPr>
                <w:rFonts w:cs="Times New Roman"/>
                <w:lang w:val="sr-Cyrl-CS"/>
              </w:rPr>
              <w:t>120</w:t>
            </w:r>
          </w:p>
        </w:tc>
      </w:tr>
    </w:tbl>
    <w:p w14:paraId="65896AFE" w14:textId="77777777" w:rsidR="00D210F0" w:rsidRPr="00092ED7" w:rsidRDefault="00D210F0" w:rsidP="00071952">
      <w:pPr>
        <w:widowControl w:val="0"/>
        <w:numPr>
          <w:ilvl w:val="0"/>
          <w:numId w:val="20"/>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конкурентност</w:t>
      </w:r>
    </w:p>
    <w:p w14:paraId="63DA734E"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Дуално образовање доприноси јачању конкурентности привреде Републике Србије и смањењу незапослености младих. Послодавци, инвестирањем у образовање,  дугорочно решавају проблем недостатка компетентних кадрова. Учењем кроз рад, ученици и студенти имају могућности да остваре све исходе учења који су предвиђени стандардом квалификације. </w:t>
      </w:r>
    </w:p>
    <w:p w14:paraId="4E8659CB"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Имплементација система НОКС доприноси развоју модерног, тржишно релевантног и флексибилног система квалификација прилагођеног потребама појединца и друштва у целини, омогућава примену концепта целоживотног учења и олакшава мобилност радне снаге.</w:t>
      </w:r>
    </w:p>
    <w:p w14:paraId="132F8E26" w14:textId="77777777" w:rsidR="00D210F0" w:rsidRPr="00092ED7" w:rsidRDefault="00D210F0" w:rsidP="00071952">
      <w:pPr>
        <w:widowControl w:val="0"/>
        <w:numPr>
          <w:ilvl w:val="0"/>
          <w:numId w:val="20"/>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226D13A2" w14:textId="77777777" w:rsidR="004B1528" w:rsidRPr="00092ED7" w:rsidRDefault="004B1528" w:rsidP="00CC71EC">
      <w:pPr>
        <w:widowControl w:val="0"/>
        <w:spacing w:after="60"/>
        <w:rPr>
          <w:rFonts w:eastAsia="Calibri" w:cs="Times New Roman"/>
          <w:lang w:val="sr-Cyrl-CS" w:eastAsia="sr-Cyrl-CS" w:bidi="sr-Cyrl-CS"/>
        </w:rPr>
      </w:pPr>
      <w:r w:rsidRPr="00092ED7">
        <w:rPr>
          <w:rFonts w:eastAsia="Calibri" w:cs="Times New Roman"/>
          <w:lang w:val="sr-Cyrl-CS" w:eastAsia="sr-Cyrl-CS" w:bidi="sr-Cyrl-CS"/>
        </w:rPr>
        <w:t xml:space="preserve">За реализацију активности </w:t>
      </w:r>
      <w:r w:rsidRPr="00092ED7">
        <w:rPr>
          <w:rFonts w:eastAsia="Calibri" w:cs="Times New Roman"/>
          <w:b/>
          <w:lang w:val="sr-Cyrl-CS" w:eastAsia="sr-Cyrl-CS" w:bidi="sr-Cyrl-CS"/>
        </w:rPr>
        <w:t>1, 2, 4, 7 и 8</w:t>
      </w:r>
      <w:r w:rsidRPr="00092ED7">
        <w:rPr>
          <w:rFonts w:eastAsia="Calibri" w:cs="Times New Roman"/>
          <w:lang w:val="sr-Cyrl-CS" w:eastAsia="sr-Cyrl-CS" w:bidi="sr-Cyrl-CS"/>
        </w:rPr>
        <w:t xml:space="preserve"> биће обезбеђена средства са пројекта, у износу од </w:t>
      </w:r>
      <w:r w:rsidRPr="00092ED7">
        <w:rPr>
          <w:rFonts w:eastAsia="Calibri" w:cs="Times New Roman"/>
          <w:szCs w:val="24"/>
          <w:lang w:val="sr-Cyrl-CS" w:eastAsia="sr-Cyrl-CS" w:bidi="sr-Cyrl-CS"/>
        </w:rPr>
        <w:t>210.664 евра за 2023. годину, 67.364 евра за 2024. годину и 29.100 за 2025. годину</w:t>
      </w:r>
      <w:r w:rsidRPr="00092ED7">
        <w:rPr>
          <w:rFonts w:eastAsia="Calibri" w:cs="Times New Roman"/>
          <w:lang w:val="sr-Cyrl-CS" w:eastAsia="sr-Cyrl-CS" w:bidi="sr-Cyrl-CS"/>
        </w:rPr>
        <w:t xml:space="preserve">. </w:t>
      </w:r>
    </w:p>
    <w:p w14:paraId="4D9700CC" w14:textId="46E5BF54" w:rsidR="004B1528" w:rsidRPr="00092ED7" w:rsidRDefault="004B1528" w:rsidP="00CC71EC">
      <w:pPr>
        <w:widowControl w:val="0"/>
        <w:spacing w:after="60"/>
        <w:rPr>
          <w:rFonts w:eastAsia="Calibri" w:cs="Times New Roman"/>
          <w:lang w:val="sr-Cyrl-CS" w:eastAsia="sr-Cyrl-CS" w:bidi="sr-Cyrl-CS"/>
        </w:rPr>
      </w:pPr>
      <w:r w:rsidRPr="00092ED7">
        <w:rPr>
          <w:rFonts w:eastAsia="Calibri" w:cs="Times New Roman"/>
          <w:lang w:val="sr-Cyrl-CS" w:eastAsia="sr-Cyrl-CS" w:bidi="sr-Cyrl-CS"/>
        </w:rPr>
        <w:t xml:space="preserve">Средства за изградњу и реконструкцију регионалних тренинг центара (активност </w:t>
      </w:r>
      <w:r w:rsidRPr="00092ED7">
        <w:rPr>
          <w:rFonts w:eastAsia="Calibri" w:cs="Times New Roman"/>
          <w:b/>
          <w:lang w:val="sr-Cyrl-CS" w:eastAsia="sr-Cyrl-CS" w:bidi="sr-Cyrl-CS"/>
        </w:rPr>
        <w:t>3</w:t>
      </w:r>
      <w:r w:rsidRPr="00092ED7">
        <w:rPr>
          <w:rFonts w:eastAsia="Calibri" w:cs="Times New Roman"/>
          <w:lang w:val="sr-Cyrl-CS" w:eastAsia="sr-Cyrl-CS" w:bidi="sr-Cyrl-CS"/>
        </w:rPr>
        <w:t>) у 2023. години биће обезбеђена преко кредита Европске инвестиционе банке (</w:t>
      </w:r>
      <w:r w:rsidR="00657813" w:rsidRPr="00092ED7">
        <w:rPr>
          <w:rFonts w:eastAsia="Calibri" w:cs="Times New Roman"/>
          <w:lang w:val="sr-Cyrl-CS" w:eastAsia="sr-Cyrl-CS" w:bidi="sr-Cyrl-CS"/>
        </w:rPr>
        <w:t xml:space="preserve">у даљем тексту: </w:t>
      </w:r>
      <w:r w:rsidRPr="00092ED7">
        <w:rPr>
          <w:rFonts w:eastAsia="Calibri" w:cs="Times New Roman"/>
          <w:lang w:val="sr-Cyrl-CS" w:eastAsia="sr-Cyrl-CS" w:bidi="sr-Cyrl-CS"/>
        </w:rPr>
        <w:t>ЕИБ) у износу од 15.400.000 евра, а за 2024. годину 6.923.000 евра</w:t>
      </w:r>
      <w:r w:rsidRPr="00092ED7">
        <w:rPr>
          <w:rFonts w:eastAsia="Calibri" w:cs="Times New Roman"/>
          <w:color w:val="FF0000"/>
          <w:lang w:val="sr-Cyrl-CS" w:eastAsia="sr-Cyrl-CS" w:bidi="sr-Cyrl-CS"/>
        </w:rPr>
        <w:t xml:space="preserve"> </w:t>
      </w:r>
      <w:r w:rsidRPr="00092ED7">
        <w:rPr>
          <w:rFonts w:eastAsia="Calibri" w:cs="Times New Roman"/>
          <w:lang w:val="sr-Cyrl-CS" w:eastAsia="sr-Cyrl-CS" w:bidi="sr-Cyrl-CS"/>
        </w:rPr>
        <w:t>такође преко кредита ЕИБ. Средства за опремање регионалних тренинг центара у 2023. години биће обезбеђена преко кредита ЕИБ у износу од 12.900.000 евра, а за 2024. годину 595.700 евра такође преко кредита ЕИБ.</w:t>
      </w:r>
    </w:p>
    <w:p w14:paraId="35066EDF" w14:textId="74F9FB48" w:rsidR="004B1528" w:rsidRPr="00092ED7" w:rsidRDefault="004B1528" w:rsidP="00CC71EC">
      <w:pPr>
        <w:widowControl w:val="0"/>
        <w:spacing w:after="60"/>
        <w:rPr>
          <w:rFonts w:eastAsia="Calibri" w:cs="Times New Roman"/>
          <w:lang w:val="sr-Cyrl-CS" w:eastAsia="sr-Cyrl-CS" w:bidi="sr-Cyrl-CS"/>
        </w:rPr>
      </w:pPr>
      <w:r w:rsidRPr="00092ED7">
        <w:rPr>
          <w:rFonts w:eastAsia="Calibri" w:cs="Times New Roman"/>
          <w:lang w:val="sr-Cyrl-CS" w:eastAsia="sr-Cyrl-CS" w:bidi="sr-Cyrl-CS"/>
        </w:rPr>
        <w:t xml:space="preserve">За израду анализе кључних елемената у дуалном моделу образовања у Републици Србији у циљу привлачења страних инвестиција (активност </w:t>
      </w:r>
      <w:r w:rsidRPr="00092ED7">
        <w:rPr>
          <w:rFonts w:eastAsia="Calibri" w:cs="Times New Roman"/>
          <w:b/>
          <w:lang w:val="sr-Cyrl-CS" w:eastAsia="sr-Cyrl-CS" w:bidi="sr-Cyrl-CS"/>
        </w:rPr>
        <w:t>5</w:t>
      </w:r>
      <w:r w:rsidRPr="00092ED7">
        <w:rPr>
          <w:rFonts w:eastAsia="Calibri" w:cs="Times New Roman"/>
          <w:lang w:val="sr-Cyrl-CS" w:eastAsia="sr-Cyrl-CS" w:bidi="sr-Cyrl-CS"/>
        </w:rPr>
        <w:t>) биће обезбеђена средства из буџета Р</w:t>
      </w:r>
      <w:r w:rsidR="00B649E2" w:rsidRPr="00092ED7">
        <w:rPr>
          <w:rFonts w:eastAsia="Calibri" w:cs="Times New Roman"/>
          <w:lang w:val="sr-Cyrl-CS" w:eastAsia="sr-Cyrl-CS" w:bidi="sr-Cyrl-CS"/>
        </w:rPr>
        <w:t xml:space="preserve">епублике </w:t>
      </w:r>
      <w:r w:rsidRPr="00092ED7">
        <w:rPr>
          <w:rFonts w:eastAsia="Calibri" w:cs="Times New Roman"/>
          <w:lang w:val="sr-Cyrl-CS" w:eastAsia="sr-Cyrl-CS" w:bidi="sr-Cyrl-CS"/>
        </w:rPr>
        <w:t>С</w:t>
      </w:r>
      <w:r w:rsidR="00B649E2" w:rsidRPr="00092ED7">
        <w:rPr>
          <w:rFonts w:eastAsia="Calibri" w:cs="Times New Roman"/>
          <w:lang w:val="sr-Cyrl-CS" w:eastAsia="sr-Cyrl-CS" w:bidi="sr-Cyrl-CS"/>
        </w:rPr>
        <w:t>рбије</w:t>
      </w:r>
      <w:r w:rsidRPr="00092ED7">
        <w:rPr>
          <w:rFonts w:eastAsia="Calibri" w:cs="Times New Roman"/>
          <w:lang w:val="sr-Cyrl-CS" w:eastAsia="sr-Cyrl-CS" w:bidi="sr-Cyrl-CS"/>
        </w:rPr>
        <w:t>, у износу од 50.000 евра за 2024. годину.</w:t>
      </w:r>
    </w:p>
    <w:p w14:paraId="52D835E8" w14:textId="77777777" w:rsidR="004B1528" w:rsidRPr="00092ED7" w:rsidRDefault="004B1528" w:rsidP="00CC71EC">
      <w:pPr>
        <w:widowControl w:val="0"/>
        <w:spacing w:after="60"/>
        <w:rPr>
          <w:rFonts w:eastAsia="Calibri" w:cs="Times New Roman"/>
          <w:lang w:val="sr-Cyrl-CS" w:eastAsia="sr-Cyrl-CS" w:bidi="sr-Cyrl-CS"/>
        </w:rPr>
      </w:pPr>
      <w:r w:rsidRPr="00092ED7">
        <w:rPr>
          <w:rFonts w:eastAsia="Calibri" w:cs="Times New Roman"/>
          <w:lang w:val="sr-Cyrl-CS" w:eastAsia="sr-Cyrl-CS" w:bidi="sr-Cyrl-CS"/>
        </w:rPr>
        <w:t xml:space="preserve">За реализацију активности </w:t>
      </w:r>
      <w:r w:rsidRPr="00092ED7">
        <w:rPr>
          <w:rFonts w:eastAsia="Calibri" w:cs="Times New Roman"/>
          <w:b/>
          <w:lang w:val="sr-Cyrl-CS" w:eastAsia="sr-Cyrl-CS" w:bidi="sr-Cyrl-CS"/>
        </w:rPr>
        <w:t>6</w:t>
      </w:r>
      <w:r w:rsidRPr="00092ED7">
        <w:rPr>
          <w:rFonts w:eastAsia="Calibri" w:cs="Times New Roman"/>
          <w:lang w:val="sr-Cyrl-CS" w:eastAsia="sr-Cyrl-CS" w:bidi="sr-Cyrl-CS"/>
        </w:rPr>
        <w:t xml:space="preserve"> нису потребна додатна средства за 2023. годину, а за 2024. и 2025. годину треба да се обезбеде средства са пројеката. </w:t>
      </w:r>
    </w:p>
    <w:p w14:paraId="4B98D767" w14:textId="77777777" w:rsidR="00D210F0" w:rsidRPr="00092ED7" w:rsidRDefault="00D210F0" w:rsidP="00071952">
      <w:pPr>
        <w:widowControl w:val="0"/>
        <w:numPr>
          <w:ilvl w:val="0"/>
          <w:numId w:val="20"/>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418C6741" w14:textId="77777777" w:rsidR="00D210F0" w:rsidRPr="00092ED7" w:rsidRDefault="0041616F"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Структурна реформа директно утиче на запосленост јер омогућава стицање, усавршавање и развој компетенција ученика и студената у складу с потребама тржишта рада, олакшава запошљавање по завршеном школовању, развијање предузимљивости, иновативности и креативности сваког појединца, чиме се значајно повећава њихова конкурентност на тржишту рада и олакшава проналазак посла. Структурна реформа директно утиче и на смањење сиромаштва.</w:t>
      </w:r>
      <w:r w:rsidR="00D210F0" w:rsidRPr="00092ED7">
        <w:rPr>
          <w:rFonts w:eastAsia="Calibri" w:cs="Times New Roman"/>
          <w:szCs w:val="24"/>
          <w:lang w:val="sr-Cyrl-CS" w:eastAsia="sr-Cyrl-CS" w:bidi="sr-Cyrl-CS"/>
        </w:rPr>
        <w:t xml:space="preserve"> Дуално образовање се базира на принципу једнаких могућности – обезбеђивање једнаких услова за стицање образовања без икакве дискриминације, с обзиром на полну, расну, националну, културну, етничку и верску припадност, језик, сексуалну оријентацију, место боравка, материјално стање, инвалидитет и друга лична својства.</w:t>
      </w:r>
    </w:p>
    <w:p w14:paraId="4262047A" w14:textId="77777777" w:rsidR="00D210F0" w:rsidRPr="00092ED7" w:rsidRDefault="00D210F0" w:rsidP="00071952">
      <w:pPr>
        <w:widowControl w:val="0"/>
        <w:numPr>
          <w:ilvl w:val="0"/>
          <w:numId w:val="20"/>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45528A52" w14:textId="77777777" w:rsidR="00D210F0" w:rsidRPr="00092ED7" w:rsidRDefault="00D210F0" w:rsidP="00D210F0">
      <w:pPr>
        <w:widowControl w:val="0"/>
        <w:spacing w:after="60"/>
        <w:rPr>
          <w:rFonts w:eastAsia="Calibri" w:cs="Times New Roman"/>
          <w:b/>
          <w:szCs w:val="24"/>
          <w:lang w:val="sr-Cyrl-CS" w:eastAsia="sr-Cyrl-CS" w:bidi="sr-Cyrl-CS"/>
        </w:rPr>
      </w:pPr>
      <w:r w:rsidRPr="00092ED7">
        <w:rPr>
          <w:rFonts w:cs="Times New Roman"/>
          <w:lang w:val="sr-Cyrl-CS"/>
        </w:rPr>
        <w:t>Структурна реформа је неутрална у смислу утицаја на животну средину</w:t>
      </w:r>
      <w:r w:rsidR="001F62AF" w:rsidRPr="00092ED7">
        <w:rPr>
          <w:rFonts w:cs="Times New Roman"/>
          <w:lang w:val="sr-Cyrl-CS"/>
        </w:rPr>
        <w:t xml:space="preserve"> и климатске промене</w:t>
      </w:r>
      <w:r w:rsidRPr="00092ED7">
        <w:rPr>
          <w:rFonts w:cs="Times New Roman"/>
          <w:lang w:val="sr-Cyrl-CS"/>
        </w:rPr>
        <w:t>.</w:t>
      </w:r>
    </w:p>
    <w:p w14:paraId="0A914901" w14:textId="77777777" w:rsidR="00D210F0" w:rsidRPr="00092ED7" w:rsidRDefault="00D210F0" w:rsidP="00071952">
      <w:pPr>
        <w:widowControl w:val="0"/>
        <w:numPr>
          <w:ilvl w:val="0"/>
          <w:numId w:val="20"/>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067" w:type="dxa"/>
        <w:jc w:val="center"/>
        <w:tblLayout w:type="fixed"/>
        <w:tblLook w:val="04A0" w:firstRow="1" w:lastRow="0" w:firstColumn="1" w:lastColumn="0" w:noHBand="0" w:noVBand="1"/>
      </w:tblPr>
      <w:tblGrid>
        <w:gridCol w:w="3515"/>
        <w:gridCol w:w="2098"/>
        <w:gridCol w:w="3454"/>
      </w:tblGrid>
      <w:tr w:rsidR="00D210F0" w:rsidRPr="00092ED7" w14:paraId="7AD7E0BE" w14:textId="77777777" w:rsidTr="00C429AB">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02AA5D58"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2098" w:type="dxa"/>
          </w:tcPr>
          <w:p w14:paraId="5CCBB25D"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454" w:type="dxa"/>
          </w:tcPr>
          <w:p w14:paraId="0D8678E0"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71E3E5A4" w14:textId="77777777" w:rsidTr="004130F6">
        <w:trPr>
          <w:jc w:val="center"/>
        </w:trPr>
        <w:tc>
          <w:tcPr>
            <w:tcW w:w="3515" w:type="dxa"/>
            <w:vAlign w:val="top"/>
          </w:tcPr>
          <w:p w14:paraId="46D5E224" w14:textId="24214569" w:rsidR="00D210F0" w:rsidRPr="00092ED7" w:rsidRDefault="00D210F0" w:rsidP="006C154D">
            <w:pPr>
              <w:spacing w:before="0" w:after="0"/>
              <w:ind w:left="113" w:right="113"/>
              <w:rPr>
                <w:rFonts w:cs="Times New Roman"/>
                <w:sz w:val="20"/>
                <w:lang w:val="sr-Cyrl-CS"/>
              </w:rPr>
            </w:pPr>
            <w:r w:rsidRPr="00092ED7">
              <w:rPr>
                <w:rFonts w:cs="Times New Roman"/>
                <w:sz w:val="20"/>
                <w:lang w:val="sr-Cyrl-CS"/>
              </w:rPr>
              <w:t>Отежан</w:t>
            </w:r>
            <w:r w:rsidR="006C154D" w:rsidRPr="00092ED7">
              <w:rPr>
                <w:rFonts w:cs="Times New Roman"/>
                <w:sz w:val="20"/>
                <w:lang w:val="sr-Cyrl-CS"/>
              </w:rPr>
              <w:t>о</w:t>
            </w:r>
            <w:r w:rsidRPr="00092ED7">
              <w:rPr>
                <w:rFonts w:cs="Times New Roman"/>
                <w:sz w:val="20"/>
                <w:lang w:val="sr-Cyrl-CS"/>
              </w:rPr>
              <w:t xml:space="preserve"> </w:t>
            </w:r>
            <w:r w:rsidR="006C154D" w:rsidRPr="00092ED7">
              <w:rPr>
                <w:rFonts w:cs="Times New Roman"/>
                <w:sz w:val="20"/>
                <w:lang w:val="sr-Cyrl-CS"/>
              </w:rPr>
              <w:t xml:space="preserve">спровођење </w:t>
            </w:r>
            <w:r w:rsidRPr="00092ED7">
              <w:rPr>
                <w:rFonts w:cs="Times New Roman"/>
                <w:sz w:val="20"/>
                <w:lang w:val="sr-Cyrl-CS"/>
              </w:rPr>
              <w:t>усвојених измена и допуна Закона о дуалном образовању услед неинформисаности релевантних актера</w:t>
            </w:r>
          </w:p>
        </w:tc>
        <w:tc>
          <w:tcPr>
            <w:tcW w:w="2098" w:type="dxa"/>
            <w:vAlign w:val="top"/>
          </w:tcPr>
          <w:p w14:paraId="16516881" w14:textId="77777777" w:rsidR="00D210F0" w:rsidRPr="00092ED7" w:rsidRDefault="00D210F0" w:rsidP="004130F6">
            <w:pPr>
              <w:spacing w:before="0" w:after="0"/>
              <w:ind w:left="113" w:right="113"/>
              <w:jc w:val="center"/>
              <w:rPr>
                <w:rFonts w:cs="Times New Roman"/>
                <w:sz w:val="20"/>
                <w:lang w:val="sr-Cyrl-CS"/>
              </w:rPr>
            </w:pPr>
            <w:r w:rsidRPr="00092ED7">
              <w:rPr>
                <w:rFonts w:cs="Times New Roman"/>
                <w:sz w:val="20"/>
                <w:lang w:val="sr-Cyrl-CS"/>
              </w:rPr>
              <w:t>Средња</w:t>
            </w:r>
          </w:p>
        </w:tc>
        <w:tc>
          <w:tcPr>
            <w:tcW w:w="3454" w:type="dxa"/>
            <w:vAlign w:val="top"/>
          </w:tcPr>
          <w:p w14:paraId="4C22E625" w14:textId="77777777" w:rsidR="00D210F0" w:rsidRPr="00092ED7" w:rsidRDefault="00D210F0" w:rsidP="004130F6">
            <w:pPr>
              <w:spacing w:before="0" w:after="0"/>
              <w:ind w:left="113" w:right="113"/>
              <w:rPr>
                <w:rFonts w:cs="Times New Roman"/>
                <w:sz w:val="20"/>
                <w:lang w:val="sr-Cyrl-CS"/>
              </w:rPr>
            </w:pPr>
            <w:r w:rsidRPr="00092ED7">
              <w:rPr>
                <w:rFonts w:cs="Times New Roman"/>
                <w:sz w:val="20"/>
                <w:lang w:val="sr-Cyrl-CS"/>
              </w:rPr>
              <w:t>Организовање промотивних активности у виду конференција, радионица и округлих столова ради информисања релевантних актера и потенцијалних учесника у дуалном образовању</w:t>
            </w:r>
            <w:r w:rsidR="00276EBA" w:rsidRPr="00092ED7">
              <w:rPr>
                <w:rFonts w:cs="Times New Roman"/>
                <w:sz w:val="20"/>
                <w:lang w:val="sr-Cyrl-CS"/>
              </w:rPr>
              <w:t>.</w:t>
            </w:r>
          </w:p>
        </w:tc>
      </w:tr>
      <w:tr w:rsidR="00D210F0" w:rsidRPr="00092ED7" w14:paraId="68F6C752" w14:textId="77777777" w:rsidTr="004130F6">
        <w:trPr>
          <w:jc w:val="center"/>
        </w:trPr>
        <w:tc>
          <w:tcPr>
            <w:tcW w:w="3515" w:type="dxa"/>
            <w:vAlign w:val="top"/>
          </w:tcPr>
          <w:p w14:paraId="4EEDBA5D" w14:textId="77777777" w:rsidR="00D210F0" w:rsidRPr="00092ED7" w:rsidRDefault="00D210F0" w:rsidP="004130F6">
            <w:pPr>
              <w:spacing w:before="0" w:after="0"/>
              <w:ind w:left="113" w:right="113"/>
              <w:rPr>
                <w:rFonts w:cs="Times New Roman"/>
                <w:b/>
                <w:sz w:val="20"/>
                <w:lang w:val="sr-Cyrl-CS"/>
              </w:rPr>
            </w:pPr>
            <w:r w:rsidRPr="00092ED7">
              <w:rPr>
                <w:rFonts w:cs="Times New Roman"/>
                <w:sz w:val="20"/>
                <w:lang w:val="sr-Cyrl-CS"/>
              </w:rPr>
              <w:t>Недовољна мотивисаност високошколских установа да развијају стандарде квалификација</w:t>
            </w:r>
          </w:p>
        </w:tc>
        <w:tc>
          <w:tcPr>
            <w:tcW w:w="2098" w:type="dxa"/>
            <w:vAlign w:val="top"/>
          </w:tcPr>
          <w:p w14:paraId="1113704F" w14:textId="77777777" w:rsidR="00D210F0" w:rsidRPr="00092ED7" w:rsidRDefault="00D210F0" w:rsidP="004130F6">
            <w:pPr>
              <w:spacing w:before="0" w:after="0"/>
              <w:ind w:left="113" w:right="113"/>
              <w:jc w:val="center"/>
              <w:rPr>
                <w:rFonts w:cs="Times New Roman"/>
                <w:sz w:val="20"/>
                <w:lang w:val="sr-Cyrl-CS"/>
              </w:rPr>
            </w:pPr>
            <w:r w:rsidRPr="00092ED7">
              <w:rPr>
                <w:rFonts w:cs="Times New Roman"/>
                <w:sz w:val="20"/>
                <w:lang w:val="sr-Cyrl-CS"/>
              </w:rPr>
              <w:t>Средња</w:t>
            </w:r>
          </w:p>
        </w:tc>
        <w:tc>
          <w:tcPr>
            <w:tcW w:w="3454" w:type="dxa"/>
            <w:vAlign w:val="top"/>
          </w:tcPr>
          <w:p w14:paraId="31C8371B" w14:textId="77777777" w:rsidR="00D210F0" w:rsidRPr="00092ED7" w:rsidRDefault="00D210F0" w:rsidP="004130F6">
            <w:pPr>
              <w:spacing w:before="0" w:after="0"/>
              <w:ind w:left="113" w:right="113"/>
              <w:rPr>
                <w:rFonts w:cs="Times New Roman"/>
                <w:b/>
                <w:sz w:val="20"/>
                <w:lang w:val="sr-Cyrl-CS"/>
              </w:rPr>
            </w:pPr>
            <w:r w:rsidRPr="00092ED7">
              <w:rPr>
                <w:rFonts w:cs="Times New Roman"/>
                <w:sz w:val="20"/>
                <w:lang w:val="sr-Cyrl-CS"/>
              </w:rPr>
              <w:t>Организовање скупова и инфо сесија ради информисања и мотивисања високошколских установа</w:t>
            </w:r>
            <w:r w:rsidR="00276EBA" w:rsidRPr="00092ED7">
              <w:rPr>
                <w:rFonts w:cs="Times New Roman"/>
                <w:sz w:val="20"/>
                <w:lang w:val="sr-Cyrl-CS"/>
              </w:rPr>
              <w:t>.</w:t>
            </w:r>
          </w:p>
        </w:tc>
      </w:tr>
    </w:tbl>
    <w:p w14:paraId="5E497DB0" w14:textId="77777777" w:rsidR="00D210F0" w:rsidRPr="00092ED7" w:rsidRDefault="00D210F0" w:rsidP="00D210F0">
      <w:pPr>
        <w:spacing w:before="120"/>
        <w:rPr>
          <w:rFonts w:eastAsia="Calibri" w:cs="Times New Roman"/>
          <w:szCs w:val="24"/>
          <w:lang w:val="sr-Cyrl-CS"/>
        </w:rPr>
      </w:pPr>
      <w:r w:rsidRPr="00092ED7">
        <w:rPr>
          <w:rFonts w:eastAsia="Calibri" w:cs="Times New Roman"/>
          <w:b/>
          <w:szCs w:val="24"/>
          <w:u w:val="single"/>
          <w:lang w:val="sr-Cyrl-CS"/>
        </w:rPr>
        <w:t>СТРУКТУРНА РЕФОРМА 4</w:t>
      </w:r>
      <w:r w:rsidRPr="00092ED7">
        <w:rPr>
          <w:rFonts w:eastAsia="Calibri" w:cs="Times New Roman"/>
          <w:b/>
          <w:szCs w:val="24"/>
          <w:lang w:val="sr-Cyrl-CS"/>
        </w:rPr>
        <w:t xml:space="preserve">: </w:t>
      </w:r>
      <w:r w:rsidRPr="00092ED7">
        <w:rPr>
          <w:rFonts w:eastAsia="Calibri" w:cs="Times New Roman"/>
          <w:szCs w:val="24"/>
          <w:lang w:val="sr-Cyrl-CS"/>
        </w:rPr>
        <w:t>УНАПРЕЂЕЊЕ АМБИЈЕНТА ЗА ПОДСТИЦАЊЕ, ПОДРШКУ И ПРАЋЕЊЕ ЦИРКУЛАРНИХ И ЕКОНОМСКИХ МИГРАЦИЈА</w:t>
      </w:r>
    </w:p>
    <w:p w14:paraId="4467AE2A" w14:textId="77777777" w:rsidR="00D210F0" w:rsidRPr="00092ED7" w:rsidRDefault="00D210F0" w:rsidP="00071952">
      <w:pPr>
        <w:pStyle w:val="ListParagraph"/>
        <w:widowControl w:val="0"/>
        <w:numPr>
          <w:ilvl w:val="0"/>
          <w:numId w:val="21"/>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58916A4E" w14:textId="2B7088F0"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Циљ структурне реформе је </w:t>
      </w:r>
      <w:r w:rsidR="00A073B0" w:rsidRPr="00092ED7">
        <w:rPr>
          <w:rFonts w:eastAsia="Calibri" w:cs="Times New Roman"/>
          <w:szCs w:val="24"/>
          <w:lang w:val="sr-Cyrl-CS" w:eastAsia="sr-Cyrl-CS" w:bidi="sr-Cyrl-CS"/>
        </w:rPr>
        <w:t xml:space="preserve">унапређење </w:t>
      </w:r>
      <w:r w:rsidRPr="00092ED7">
        <w:rPr>
          <w:rFonts w:eastAsia="Calibri" w:cs="Times New Roman"/>
          <w:szCs w:val="24"/>
          <w:lang w:val="sr-Cyrl-CS" w:eastAsia="sr-Cyrl-CS" w:bidi="sr-Cyrl-CS"/>
        </w:rPr>
        <w:t xml:space="preserve">амбијента за привлачење радно способног становништва, подстицање циркуларних миграција и односа са дијаспором, јачање механизама за праћење миграторних токова и привлачење странаца у складу са Стратегијом о економским миграцијама Републике Србије 2021-2027 и пратећим </w:t>
      </w:r>
      <w:r w:rsidR="00B649E2" w:rsidRPr="00092ED7">
        <w:rPr>
          <w:rFonts w:eastAsia="Calibri" w:cs="Times New Roman"/>
          <w:szCs w:val="24"/>
          <w:lang w:val="sr-Cyrl-CS" w:eastAsia="sr-Cyrl-CS" w:bidi="sr-Cyrl-CS"/>
        </w:rPr>
        <w:t>а</w:t>
      </w:r>
      <w:r w:rsidRPr="00092ED7">
        <w:rPr>
          <w:rFonts w:eastAsia="Calibri" w:cs="Times New Roman"/>
          <w:szCs w:val="24"/>
          <w:lang w:val="sr-Cyrl-CS" w:eastAsia="sr-Cyrl-CS" w:bidi="sr-Cyrl-CS"/>
        </w:rPr>
        <w:t>кционим планом за период 2021–2023. године. Током 2021. године реализоване су све активности предвиђене Акционим планом, формиране су међусекторске радне групе за праћење и спровођење Акционог плана, организован је велики број обука, настављено је са едукативно промотивним активностима, организовани су друштвени дијалози и  сусрети дијаспоре.</w:t>
      </w:r>
    </w:p>
    <w:p w14:paraId="5DA82580" w14:textId="77777777" w:rsidR="00D210F0" w:rsidRPr="00092ED7" w:rsidRDefault="00D210F0" w:rsidP="00071952">
      <w:pPr>
        <w:widowControl w:val="0"/>
        <w:numPr>
          <w:ilvl w:val="0"/>
          <w:numId w:val="2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8997" w:type="dxa"/>
        <w:tblLayout w:type="fixed"/>
        <w:tblCellMar>
          <w:left w:w="0" w:type="dxa"/>
          <w:right w:w="0" w:type="dxa"/>
        </w:tblCellMar>
        <w:tblLook w:val="04A0" w:firstRow="1" w:lastRow="0" w:firstColumn="1" w:lastColumn="0" w:noHBand="0" w:noVBand="1"/>
      </w:tblPr>
      <w:tblGrid>
        <w:gridCol w:w="425"/>
        <w:gridCol w:w="4101"/>
        <w:gridCol w:w="372"/>
        <w:gridCol w:w="373"/>
        <w:gridCol w:w="372"/>
        <w:gridCol w:w="276"/>
        <w:gridCol w:w="469"/>
        <w:gridCol w:w="373"/>
        <w:gridCol w:w="373"/>
        <w:gridCol w:w="372"/>
        <w:gridCol w:w="373"/>
        <w:gridCol w:w="372"/>
        <w:gridCol w:w="373"/>
        <w:gridCol w:w="373"/>
      </w:tblGrid>
      <w:tr w:rsidR="00D210F0" w:rsidRPr="00092ED7" w14:paraId="6877307F" w14:textId="77777777" w:rsidTr="00AE4362">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16B3804F" w14:textId="77777777" w:rsidR="00D210F0" w:rsidRPr="00092ED7" w:rsidRDefault="00D210F0" w:rsidP="005D14E2">
            <w:pPr>
              <w:spacing w:after="0"/>
              <w:jc w:val="center"/>
              <w:rPr>
                <w:rFonts w:cs="Times New Roman"/>
                <w:sz w:val="20"/>
                <w:szCs w:val="20"/>
                <w:lang w:val="sr-Cyrl-CS"/>
              </w:rPr>
            </w:pPr>
            <w:r w:rsidRPr="00092ED7">
              <w:rPr>
                <w:rFonts w:cs="Times New Roman"/>
                <w:b/>
                <w:bCs/>
                <w:color w:val="000000"/>
                <w:sz w:val="20"/>
                <w:szCs w:val="20"/>
                <w:lang w:val="sr-Cyrl-CS"/>
              </w:rPr>
              <w:t>РБ</w:t>
            </w:r>
          </w:p>
        </w:tc>
        <w:tc>
          <w:tcPr>
            <w:tcW w:w="4101"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7F4E243F" w14:textId="77777777" w:rsidR="00D210F0" w:rsidRPr="00092ED7" w:rsidRDefault="00D210F0" w:rsidP="005D14E2">
            <w:pPr>
              <w:spacing w:after="0"/>
              <w:rPr>
                <w:rFonts w:cs="Times New Roman"/>
                <w:b/>
                <w:bCs/>
                <w:color w:val="000000"/>
                <w:sz w:val="20"/>
                <w:szCs w:val="20"/>
                <w:lang w:val="sr-Cyrl-CS"/>
              </w:rPr>
            </w:pPr>
            <w:r w:rsidRPr="00092ED7">
              <w:rPr>
                <w:rFonts w:cs="Times New Roman"/>
                <w:b/>
                <w:bCs/>
                <w:color w:val="000000"/>
                <w:sz w:val="20"/>
                <w:szCs w:val="20"/>
                <w:lang w:val="sr-Cyrl-CS"/>
              </w:rPr>
              <w:t xml:space="preserve">Планиране активности </w:t>
            </w:r>
          </w:p>
        </w:tc>
        <w:tc>
          <w:tcPr>
            <w:tcW w:w="1393"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3D18503"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587"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7E8B54E"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5805CDC"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0F386FFF" w14:textId="77777777" w:rsidTr="00AE4362">
        <w:trPr>
          <w:trHeight w:val="315"/>
        </w:trPr>
        <w:tc>
          <w:tcPr>
            <w:tcW w:w="425" w:type="dxa"/>
            <w:vMerge/>
            <w:tcBorders>
              <w:left w:val="single" w:sz="8" w:space="0" w:color="auto"/>
              <w:bottom w:val="single" w:sz="8" w:space="0" w:color="000000"/>
              <w:right w:val="nil"/>
            </w:tcBorders>
            <w:shd w:val="clear" w:color="000000" w:fill="BDD6EE"/>
            <w:vAlign w:val="center"/>
            <w:hideMark/>
          </w:tcPr>
          <w:p w14:paraId="3F8C6A67" w14:textId="77777777" w:rsidR="00D210F0" w:rsidRPr="00092ED7" w:rsidRDefault="00D210F0" w:rsidP="005D14E2">
            <w:pPr>
              <w:spacing w:after="0"/>
              <w:jc w:val="center"/>
              <w:rPr>
                <w:rFonts w:cs="Times New Roman"/>
                <w:b/>
                <w:bCs/>
                <w:color w:val="000000"/>
                <w:sz w:val="20"/>
                <w:szCs w:val="20"/>
                <w:lang w:val="sr-Cyrl-CS"/>
              </w:rPr>
            </w:pPr>
          </w:p>
        </w:tc>
        <w:tc>
          <w:tcPr>
            <w:tcW w:w="4101"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08DACB56" w14:textId="77777777" w:rsidR="00D210F0" w:rsidRPr="00092ED7" w:rsidRDefault="00D210F0" w:rsidP="005D14E2">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CB75485"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0324796"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3F11418"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276"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29CA4F4"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469"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E70DC03"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AB541D8"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6ABE4E5"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B78EE8B"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9644408"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692B236"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4CB8A25"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6F7FA70C"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6EFB13F8" w14:textId="77777777" w:rsidTr="00AE4362">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032D4E33"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1.</w:t>
            </w:r>
          </w:p>
        </w:tc>
        <w:tc>
          <w:tcPr>
            <w:tcW w:w="4101"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7C1DB5B8" w14:textId="77777777" w:rsidR="00D210F0" w:rsidRPr="00092ED7" w:rsidRDefault="00D210F0" w:rsidP="005D14E2">
            <w:pPr>
              <w:spacing w:after="0"/>
              <w:ind w:right="222"/>
              <w:rPr>
                <w:rFonts w:cs="Times New Roman"/>
                <w:sz w:val="20"/>
                <w:szCs w:val="20"/>
                <w:lang w:val="sr-Cyrl-CS"/>
              </w:rPr>
            </w:pPr>
            <w:r w:rsidRPr="00092ED7">
              <w:rPr>
                <w:rFonts w:cs="Times New Roman"/>
                <w:sz w:val="20"/>
                <w:szCs w:val="20"/>
                <w:lang w:val="sr-Cyrl-CS"/>
              </w:rPr>
              <w:t>Израда анализа и предлога мера и активности предвиђених Акционим планом као и спровођење активности за промоцију повратка и укључивања у програме висококвалификоване српске дијаспоре</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AD140B8"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8AC9A66"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0AC26CD" w14:textId="77777777" w:rsidR="00D210F0" w:rsidRPr="00092ED7" w:rsidRDefault="00D210F0" w:rsidP="005D14E2">
            <w:pPr>
              <w:spacing w:after="0"/>
              <w:rPr>
                <w:rFonts w:cs="Times New Roman"/>
                <w:color w:val="000000"/>
                <w:sz w:val="20"/>
                <w:szCs w:val="20"/>
                <w:lang w:val="sr-Cyrl-CS"/>
              </w:rPr>
            </w:pPr>
          </w:p>
        </w:tc>
        <w:tc>
          <w:tcPr>
            <w:tcW w:w="276"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75967F5" w14:textId="77777777" w:rsidR="00D210F0" w:rsidRPr="00092ED7" w:rsidRDefault="00D210F0" w:rsidP="005D14E2">
            <w:pPr>
              <w:spacing w:after="0"/>
              <w:rPr>
                <w:rFonts w:cs="Times New Roman"/>
                <w:color w:val="000000"/>
                <w:sz w:val="20"/>
                <w:szCs w:val="20"/>
                <w:lang w:val="sr-Cyrl-CS"/>
              </w:rPr>
            </w:pPr>
          </w:p>
        </w:tc>
        <w:tc>
          <w:tcPr>
            <w:tcW w:w="4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F5E18B"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DA6C89"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08291D8"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C21EFA7"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CF38787"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5A2FFCF"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93CAA21"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77576643" w14:textId="77777777" w:rsidR="00D210F0" w:rsidRPr="00092ED7" w:rsidRDefault="00D210F0" w:rsidP="005D14E2">
            <w:pPr>
              <w:spacing w:after="0"/>
              <w:rPr>
                <w:rFonts w:cs="Times New Roman"/>
                <w:color w:val="000000"/>
                <w:sz w:val="20"/>
                <w:szCs w:val="20"/>
                <w:lang w:val="sr-Cyrl-CS"/>
              </w:rPr>
            </w:pPr>
          </w:p>
        </w:tc>
      </w:tr>
      <w:tr w:rsidR="00BE2B7C" w:rsidRPr="00092ED7" w14:paraId="6A3AB096" w14:textId="77777777" w:rsidTr="00927C1D">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313A0635"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2.</w:t>
            </w:r>
          </w:p>
        </w:tc>
        <w:tc>
          <w:tcPr>
            <w:tcW w:w="4101"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A0CF580" w14:textId="77777777" w:rsidR="00D210F0" w:rsidRPr="00092ED7" w:rsidRDefault="00D210F0" w:rsidP="005D14E2">
            <w:pPr>
              <w:spacing w:after="0"/>
              <w:ind w:right="222"/>
              <w:rPr>
                <w:rFonts w:cs="Times New Roman"/>
                <w:sz w:val="20"/>
                <w:szCs w:val="20"/>
                <w:lang w:val="sr-Cyrl-CS"/>
              </w:rPr>
            </w:pPr>
            <w:r w:rsidRPr="00092ED7">
              <w:rPr>
                <w:rFonts w:cs="Times New Roman"/>
                <w:sz w:val="20"/>
                <w:szCs w:val="20"/>
                <w:lang w:val="sr-Cyrl-CS"/>
              </w:rPr>
              <w:t>Идентификација и измена прописа у циљу олакшаног процеса повратка у Републику Србију и привлачење страних држављана да живе и раде у Републици Србији.</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E32E598"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19EFDF8"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B81CF69" w14:textId="77777777" w:rsidR="00D210F0" w:rsidRPr="00092ED7" w:rsidRDefault="00D210F0" w:rsidP="005D14E2">
            <w:pPr>
              <w:spacing w:after="0"/>
              <w:rPr>
                <w:rFonts w:cs="Times New Roman"/>
                <w:color w:val="000000"/>
                <w:sz w:val="20"/>
                <w:szCs w:val="20"/>
                <w:lang w:val="sr-Cyrl-CS"/>
              </w:rPr>
            </w:pPr>
          </w:p>
        </w:tc>
        <w:tc>
          <w:tcPr>
            <w:tcW w:w="276"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DFED173" w14:textId="77777777" w:rsidR="00D210F0" w:rsidRPr="00092ED7" w:rsidRDefault="00D210F0" w:rsidP="005D14E2">
            <w:pPr>
              <w:spacing w:after="0"/>
              <w:rPr>
                <w:rFonts w:cs="Times New Roman"/>
                <w:color w:val="000000"/>
                <w:sz w:val="20"/>
                <w:szCs w:val="20"/>
                <w:lang w:val="sr-Cyrl-CS"/>
              </w:rPr>
            </w:pPr>
          </w:p>
        </w:tc>
        <w:tc>
          <w:tcPr>
            <w:tcW w:w="4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3B61A12"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C12F098"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DA4B8B5"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34EC826"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0615630"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13436FF"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B2E9A05"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5D7934C" w14:textId="77777777" w:rsidR="00D210F0" w:rsidRPr="00092ED7" w:rsidRDefault="00D210F0" w:rsidP="005D14E2">
            <w:pPr>
              <w:spacing w:after="0"/>
              <w:rPr>
                <w:rFonts w:cs="Times New Roman"/>
                <w:color w:val="000000"/>
                <w:sz w:val="20"/>
                <w:szCs w:val="20"/>
                <w:lang w:val="sr-Cyrl-CS"/>
              </w:rPr>
            </w:pPr>
          </w:p>
        </w:tc>
      </w:tr>
      <w:tr w:rsidR="00BE2B7C" w:rsidRPr="00092ED7" w14:paraId="5BDA7983" w14:textId="77777777" w:rsidTr="00927C1D">
        <w:trPr>
          <w:trHeight w:val="300"/>
        </w:trPr>
        <w:tc>
          <w:tcPr>
            <w:tcW w:w="425"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68954C92"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3.</w:t>
            </w:r>
          </w:p>
        </w:tc>
        <w:tc>
          <w:tcPr>
            <w:tcW w:w="4101" w:type="dxa"/>
            <w:tcBorders>
              <w:top w:val="nil"/>
              <w:left w:val="nil"/>
              <w:bottom w:val="single" w:sz="4" w:space="0" w:color="auto"/>
              <w:right w:val="nil"/>
            </w:tcBorders>
            <w:shd w:val="clear" w:color="auto" w:fill="auto"/>
            <w:tcMar>
              <w:top w:w="15" w:type="dxa"/>
              <w:left w:w="15" w:type="dxa"/>
              <w:bottom w:w="0" w:type="dxa"/>
              <w:right w:w="15" w:type="dxa"/>
            </w:tcMar>
          </w:tcPr>
          <w:p w14:paraId="42A77453" w14:textId="7DBC58CC" w:rsidR="00D210F0" w:rsidRPr="00092ED7" w:rsidRDefault="00D210F0" w:rsidP="005D14E2">
            <w:pPr>
              <w:spacing w:after="0"/>
              <w:ind w:right="222"/>
              <w:rPr>
                <w:rFonts w:cs="Times New Roman"/>
                <w:sz w:val="20"/>
                <w:szCs w:val="20"/>
                <w:lang w:val="sr-Cyrl-CS"/>
              </w:rPr>
            </w:pPr>
            <w:r w:rsidRPr="00092ED7">
              <w:rPr>
                <w:rFonts w:cs="Times New Roman"/>
                <w:sz w:val="20"/>
                <w:szCs w:val="20"/>
                <w:lang w:val="sr-Cyrl-CS"/>
              </w:rPr>
              <w:t>Развој комуникационих, саветодавних и промотивних активности намењених интеграцији повратника и страних држављана као и организација конференције „Таленти на окупу</w:t>
            </w:r>
            <w:r w:rsidR="00D571D4" w:rsidRPr="00092ED7">
              <w:rPr>
                <w:rFonts w:cs="Times New Roman"/>
                <w:sz w:val="20"/>
                <w:szCs w:val="20"/>
                <w:lang w:val="sr-Cyrl-CS"/>
              </w:rPr>
              <w:t>”</w:t>
            </w:r>
            <w:r w:rsidRPr="00092ED7">
              <w:rPr>
                <w:rFonts w:cs="Times New Roman"/>
                <w:sz w:val="20"/>
                <w:szCs w:val="20"/>
                <w:lang w:val="sr-Cyrl-CS"/>
              </w:rPr>
              <w:t xml:space="preserve"> и других конференција и догађаја у циљу изградње поверења са дијаспором.</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D267496"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7536F91"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6EBD5AF" w14:textId="77777777" w:rsidR="00D210F0" w:rsidRPr="00092ED7" w:rsidRDefault="00D210F0" w:rsidP="005D14E2">
            <w:pPr>
              <w:spacing w:after="0"/>
              <w:rPr>
                <w:rFonts w:cs="Times New Roman"/>
                <w:color w:val="000000"/>
                <w:sz w:val="20"/>
                <w:szCs w:val="20"/>
                <w:lang w:val="sr-Cyrl-CS"/>
              </w:rPr>
            </w:pPr>
          </w:p>
        </w:tc>
        <w:tc>
          <w:tcPr>
            <w:tcW w:w="276"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0716367" w14:textId="77777777" w:rsidR="00D210F0" w:rsidRPr="00092ED7" w:rsidRDefault="00D210F0" w:rsidP="005D14E2">
            <w:pPr>
              <w:spacing w:after="0"/>
              <w:rPr>
                <w:rFonts w:cs="Times New Roman"/>
                <w:color w:val="000000"/>
                <w:sz w:val="20"/>
                <w:szCs w:val="20"/>
                <w:lang w:val="sr-Cyrl-CS"/>
              </w:rPr>
            </w:pPr>
          </w:p>
        </w:tc>
        <w:tc>
          <w:tcPr>
            <w:tcW w:w="4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8FF5589"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6815100"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A0D1384"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2B2705D"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28D8F95"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C9FAE8"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EAB5D76"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F2D6724" w14:textId="77777777" w:rsidR="00D210F0" w:rsidRPr="00092ED7" w:rsidRDefault="00D210F0" w:rsidP="005D14E2">
            <w:pPr>
              <w:spacing w:after="0"/>
              <w:rPr>
                <w:rFonts w:cs="Times New Roman"/>
                <w:color w:val="000000"/>
                <w:sz w:val="20"/>
                <w:szCs w:val="20"/>
                <w:lang w:val="sr-Cyrl-CS"/>
              </w:rPr>
            </w:pPr>
          </w:p>
        </w:tc>
      </w:tr>
      <w:tr w:rsidR="00BE2B7C" w:rsidRPr="00092ED7" w14:paraId="33C0DFC3" w14:textId="77777777" w:rsidTr="00927C1D">
        <w:trPr>
          <w:trHeight w:val="300"/>
        </w:trPr>
        <w:tc>
          <w:tcPr>
            <w:tcW w:w="425"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67748196"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4.</w:t>
            </w:r>
          </w:p>
        </w:tc>
        <w:tc>
          <w:tcPr>
            <w:tcW w:w="410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tcPr>
          <w:p w14:paraId="7B9C4004" w14:textId="77777777" w:rsidR="00D210F0" w:rsidRPr="00092ED7" w:rsidRDefault="00D210F0" w:rsidP="005D14E2">
            <w:pPr>
              <w:spacing w:after="0"/>
              <w:ind w:right="222"/>
              <w:rPr>
                <w:rFonts w:cs="Times New Roman"/>
                <w:sz w:val="20"/>
                <w:szCs w:val="20"/>
                <w:lang w:val="sr-Cyrl-CS"/>
              </w:rPr>
            </w:pPr>
            <w:r w:rsidRPr="00092ED7">
              <w:rPr>
                <w:rFonts w:cs="Times New Roman"/>
                <w:color w:val="000000"/>
                <w:sz w:val="20"/>
                <w:szCs w:val="20"/>
                <w:lang w:val="sr-Cyrl-CS"/>
              </w:rPr>
              <w:t>Организација догађаја у дијаспори и представљање програма подршке повратку дијаспоре.</w:t>
            </w: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450C234"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9371C56"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246C1BE" w14:textId="77777777" w:rsidR="00D210F0" w:rsidRPr="00092ED7" w:rsidRDefault="00D210F0" w:rsidP="005D14E2">
            <w:pPr>
              <w:spacing w:after="0"/>
              <w:rPr>
                <w:rFonts w:cs="Times New Roman"/>
                <w:color w:val="000000"/>
                <w:sz w:val="20"/>
                <w:szCs w:val="20"/>
                <w:lang w:val="sr-Cyrl-CS"/>
              </w:rPr>
            </w:pPr>
          </w:p>
        </w:tc>
        <w:tc>
          <w:tcPr>
            <w:tcW w:w="276"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F838033" w14:textId="77777777" w:rsidR="00D210F0" w:rsidRPr="00092ED7" w:rsidRDefault="00D210F0" w:rsidP="005D14E2">
            <w:pPr>
              <w:spacing w:after="0"/>
              <w:rPr>
                <w:rFonts w:cs="Times New Roman"/>
                <w:color w:val="000000"/>
                <w:sz w:val="20"/>
                <w:szCs w:val="20"/>
                <w:lang w:val="sr-Cyrl-CS"/>
              </w:rPr>
            </w:pPr>
          </w:p>
        </w:tc>
        <w:tc>
          <w:tcPr>
            <w:tcW w:w="4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D9E6D8"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C79966E"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F8CC902"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70843C5"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31CA1B9"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C752925"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5B862B6"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DAF93AB" w14:textId="77777777" w:rsidR="00D210F0" w:rsidRPr="00092ED7" w:rsidRDefault="00D210F0" w:rsidP="005D14E2">
            <w:pPr>
              <w:spacing w:after="0"/>
              <w:rPr>
                <w:rFonts w:cs="Times New Roman"/>
                <w:color w:val="000000"/>
                <w:sz w:val="20"/>
                <w:szCs w:val="20"/>
                <w:lang w:val="sr-Cyrl-CS"/>
              </w:rPr>
            </w:pPr>
          </w:p>
        </w:tc>
      </w:tr>
      <w:tr w:rsidR="00BE2B7C" w:rsidRPr="00092ED7" w14:paraId="10D1DA19" w14:textId="77777777" w:rsidTr="00927C1D">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0955111D"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5.</w:t>
            </w:r>
          </w:p>
        </w:tc>
        <w:tc>
          <w:tcPr>
            <w:tcW w:w="4101"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1F7E2DC6" w14:textId="77777777" w:rsidR="00D210F0" w:rsidRPr="00092ED7" w:rsidRDefault="00D210F0" w:rsidP="005D14E2">
            <w:pPr>
              <w:spacing w:after="0"/>
              <w:ind w:right="222"/>
              <w:rPr>
                <w:rFonts w:cs="Times New Roman"/>
                <w:sz w:val="20"/>
                <w:szCs w:val="20"/>
                <w:lang w:val="sr-Cyrl-CS"/>
              </w:rPr>
            </w:pPr>
            <w:r w:rsidRPr="00092ED7">
              <w:rPr>
                <w:rFonts w:cs="Times New Roman"/>
                <w:sz w:val="20"/>
                <w:szCs w:val="20"/>
                <w:lang w:val="sr-Cyrl-CS"/>
              </w:rPr>
              <w:t>Унапређење административног оквира у циљу подстицања доласка домаћих и страних држављана.</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6AECD29"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B017BA1"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2F0B23E" w14:textId="77777777" w:rsidR="00D210F0" w:rsidRPr="00092ED7" w:rsidRDefault="00D210F0" w:rsidP="005D14E2">
            <w:pPr>
              <w:spacing w:after="0"/>
              <w:rPr>
                <w:rFonts w:cs="Times New Roman"/>
                <w:color w:val="000000"/>
                <w:sz w:val="20"/>
                <w:szCs w:val="20"/>
                <w:lang w:val="sr-Cyrl-CS"/>
              </w:rPr>
            </w:pPr>
          </w:p>
        </w:tc>
        <w:tc>
          <w:tcPr>
            <w:tcW w:w="276"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6F2DDCD" w14:textId="77777777" w:rsidR="00D210F0" w:rsidRPr="00092ED7" w:rsidRDefault="00D210F0" w:rsidP="005D14E2">
            <w:pPr>
              <w:spacing w:after="0"/>
              <w:rPr>
                <w:rFonts w:cs="Times New Roman"/>
                <w:color w:val="000000"/>
                <w:sz w:val="20"/>
                <w:szCs w:val="20"/>
                <w:lang w:val="sr-Cyrl-CS"/>
              </w:rPr>
            </w:pPr>
          </w:p>
        </w:tc>
        <w:tc>
          <w:tcPr>
            <w:tcW w:w="4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E33BCD1"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1DF725F"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433752F"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52381A3"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E3123D4"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E385F26"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3A6F431"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6F2EF43" w14:textId="77777777" w:rsidR="00D210F0" w:rsidRPr="00092ED7" w:rsidRDefault="00D210F0" w:rsidP="005D14E2">
            <w:pPr>
              <w:spacing w:after="0"/>
              <w:rPr>
                <w:rFonts w:cs="Times New Roman"/>
                <w:color w:val="000000"/>
                <w:sz w:val="20"/>
                <w:szCs w:val="20"/>
                <w:lang w:val="sr-Cyrl-CS"/>
              </w:rPr>
            </w:pPr>
          </w:p>
        </w:tc>
      </w:tr>
      <w:tr w:rsidR="00D210F0" w:rsidRPr="00092ED7" w14:paraId="6A3FAF6B" w14:textId="77777777" w:rsidTr="00AE4362">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5DA8B51E"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6.</w:t>
            </w:r>
          </w:p>
        </w:tc>
        <w:tc>
          <w:tcPr>
            <w:tcW w:w="4101"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2C39170B" w14:textId="77777777" w:rsidR="00D210F0" w:rsidRPr="00092ED7" w:rsidRDefault="00D210F0" w:rsidP="005D14E2">
            <w:pPr>
              <w:spacing w:after="0"/>
              <w:ind w:right="222"/>
              <w:rPr>
                <w:rFonts w:cs="Times New Roman"/>
                <w:sz w:val="20"/>
                <w:szCs w:val="20"/>
                <w:lang w:val="sr-Cyrl-CS"/>
              </w:rPr>
            </w:pPr>
            <w:r w:rsidRPr="00092ED7">
              <w:rPr>
                <w:rFonts w:cs="Times New Roman"/>
                <w:sz w:val="20"/>
                <w:szCs w:val="20"/>
                <w:lang w:val="sr-Cyrl-CS"/>
              </w:rPr>
              <w:t>Израда студија о факторима који утичу на унутрашње миграције радне снаге.</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2535BDFD"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9C66735"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B721CFD" w14:textId="77777777" w:rsidR="00D210F0" w:rsidRPr="00092ED7" w:rsidRDefault="00D210F0" w:rsidP="005D14E2">
            <w:pPr>
              <w:spacing w:after="0"/>
              <w:rPr>
                <w:rFonts w:cs="Times New Roman"/>
                <w:color w:val="000000"/>
                <w:sz w:val="20"/>
                <w:szCs w:val="20"/>
                <w:lang w:val="sr-Cyrl-CS"/>
              </w:rPr>
            </w:pPr>
          </w:p>
        </w:tc>
        <w:tc>
          <w:tcPr>
            <w:tcW w:w="276"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3CF13B8" w14:textId="77777777" w:rsidR="00D210F0" w:rsidRPr="00092ED7" w:rsidRDefault="00D210F0" w:rsidP="005D14E2">
            <w:pPr>
              <w:spacing w:after="0"/>
              <w:rPr>
                <w:rFonts w:cs="Times New Roman"/>
                <w:color w:val="000000"/>
                <w:sz w:val="20"/>
                <w:szCs w:val="20"/>
                <w:lang w:val="sr-Cyrl-CS"/>
              </w:rPr>
            </w:pPr>
          </w:p>
        </w:tc>
        <w:tc>
          <w:tcPr>
            <w:tcW w:w="4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A342C6D"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E98F604"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D22B592"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79C6BC4"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6DF3438"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BE2FF0A"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E5F1367"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078180F" w14:textId="77777777" w:rsidR="00D210F0" w:rsidRPr="00092ED7" w:rsidRDefault="00D210F0" w:rsidP="005D14E2">
            <w:pPr>
              <w:spacing w:after="0"/>
              <w:rPr>
                <w:rFonts w:cs="Times New Roman"/>
                <w:color w:val="000000"/>
                <w:sz w:val="20"/>
                <w:szCs w:val="20"/>
                <w:lang w:val="sr-Cyrl-CS"/>
              </w:rPr>
            </w:pPr>
          </w:p>
        </w:tc>
      </w:tr>
      <w:tr w:rsidR="00D210F0" w:rsidRPr="00092ED7" w14:paraId="57C56550" w14:textId="77777777" w:rsidTr="00AE4362">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28399003"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7.</w:t>
            </w:r>
          </w:p>
        </w:tc>
        <w:tc>
          <w:tcPr>
            <w:tcW w:w="4101"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43568B65" w14:textId="77777777" w:rsidR="00D210F0" w:rsidRPr="00092ED7" w:rsidRDefault="00D210F0" w:rsidP="005D14E2">
            <w:pPr>
              <w:spacing w:after="0"/>
              <w:ind w:right="222"/>
              <w:rPr>
                <w:rFonts w:cs="Times New Roman"/>
                <w:sz w:val="20"/>
                <w:szCs w:val="20"/>
                <w:lang w:val="sr-Cyrl-CS"/>
              </w:rPr>
            </w:pPr>
            <w:r w:rsidRPr="00092ED7">
              <w:rPr>
                <w:rFonts w:cs="Times New Roman"/>
                <w:sz w:val="20"/>
                <w:szCs w:val="20"/>
                <w:lang w:val="sr-Cyrl-CS"/>
              </w:rPr>
              <w:t>Израда анализе о потребама тржишта рада и радне снаге у контексту управљања миграцијама.</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A2E8665"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5E6AF54"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DE0ECCD" w14:textId="77777777" w:rsidR="00D210F0" w:rsidRPr="00092ED7" w:rsidRDefault="00D210F0" w:rsidP="005D14E2">
            <w:pPr>
              <w:spacing w:after="0"/>
              <w:rPr>
                <w:rFonts w:cs="Times New Roman"/>
                <w:color w:val="000000"/>
                <w:sz w:val="20"/>
                <w:szCs w:val="20"/>
                <w:lang w:val="sr-Cyrl-CS"/>
              </w:rPr>
            </w:pPr>
          </w:p>
        </w:tc>
        <w:tc>
          <w:tcPr>
            <w:tcW w:w="276"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8E952A8" w14:textId="77777777" w:rsidR="00D210F0" w:rsidRPr="00092ED7" w:rsidRDefault="00D210F0" w:rsidP="005D14E2">
            <w:pPr>
              <w:spacing w:after="0"/>
              <w:rPr>
                <w:rFonts w:cs="Times New Roman"/>
                <w:color w:val="000000"/>
                <w:sz w:val="20"/>
                <w:szCs w:val="20"/>
                <w:lang w:val="sr-Cyrl-CS"/>
              </w:rPr>
            </w:pPr>
          </w:p>
        </w:tc>
        <w:tc>
          <w:tcPr>
            <w:tcW w:w="46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A14DD3C"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D781758"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3246EED"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7C03969"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4675DA5"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C803705"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DCB7782"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1B49504" w14:textId="77777777" w:rsidR="00D210F0" w:rsidRPr="00092ED7" w:rsidRDefault="00D210F0" w:rsidP="005D14E2">
            <w:pPr>
              <w:spacing w:after="0"/>
              <w:rPr>
                <w:rFonts w:cs="Times New Roman"/>
                <w:color w:val="000000"/>
                <w:sz w:val="20"/>
                <w:szCs w:val="20"/>
                <w:lang w:val="sr-Cyrl-CS"/>
              </w:rPr>
            </w:pPr>
          </w:p>
        </w:tc>
      </w:tr>
      <w:tr w:rsidR="00BE2B7C" w:rsidRPr="00092ED7" w14:paraId="1EE72242" w14:textId="77777777" w:rsidTr="00927C1D">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4ACC8401"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8.</w:t>
            </w:r>
          </w:p>
        </w:tc>
        <w:tc>
          <w:tcPr>
            <w:tcW w:w="4101"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22F10151" w14:textId="3DA7849E" w:rsidR="00D210F0" w:rsidRPr="00092ED7" w:rsidRDefault="00D210F0" w:rsidP="005D14E2">
            <w:pPr>
              <w:spacing w:after="0"/>
              <w:ind w:right="222"/>
              <w:rPr>
                <w:rFonts w:cs="Times New Roman"/>
                <w:sz w:val="20"/>
                <w:szCs w:val="20"/>
                <w:lang w:val="sr-Cyrl-CS"/>
              </w:rPr>
            </w:pPr>
            <w:r w:rsidRPr="00092ED7">
              <w:rPr>
                <w:rFonts w:cs="Times New Roman"/>
                <w:sz w:val="20"/>
                <w:szCs w:val="20"/>
                <w:lang w:val="sr-Cyrl-CS"/>
              </w:rPr>
              <w:t xml:space="preserve">Јачање капацитета институција надлежних за праћење миграционих кретања као и организације </w:t>
            </w:r>
            <w:r w:rsidR="00791C38" w:rsidRPr="00092ED7">
              <w:rPr>
                <w:rFonts w:cs="Times New Roman"/>
                <w:sz w:val="20"/>
                <w:szCs w:val="20"/>
                <w:lang w:val="sr-Cyrl-CS"/>
              </w:rPr>
              <w:t>„</w:t>
            </w:r>
            <w:r w:rsidRPr="00092ED7">
              <w:rPr>
                <w:rFonts w:cs="Times New Roman"/>
                <w:sz w:val="20"/>
                <w:szCs w:val="20"/>
                <w:lang w:val="sr-Cyrl-CS"/>
              </w:rPr>
              <w:t>Тачка повратка</w:t>
            </w:r>
            <w:r w:rsidR="00D571D4" w:rsidRPr="00092ED7">
              <w:rPr>
                <w:rFonts w:cs="Times New Roman"/>
                <w:sz w:val="20"/>
                <w:szCs w:val="20"/>
                <w:lang w:val="sr-Cyrl-CS"/>
              </w:rPr>
              <w:t>”</w:t>
            </w:r>
            <w:r w:rsidRPr="00092ED7">
              <w:rPr>
                <w:rFonts w:cs="Times New Roman"/>
                <w:sz w:val="20"/>
                <w:szCs w:val="20"/>
                <w:lang w:val="sr-Cyrl-CS"/>
              </w:rPr>
              <w:t xml:space="preserve"> за пружање директне и менторске подршке дијаспори приликом повратка и/или сарадње са институцијама Републике Србије.</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CC49EF"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23D1091"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BB1741A" w14:textId="77777777" w:rsidR="00D210F0" w:rsidRPr="00092ED7" w:rsidRDefault="00D210F0" w:rsidP="005D14E2">
            <w:pPr>
              <w:spacing w:after="0"/>
              <w:rPr>
                <w:rFonts w:cs="Times New Roman"/>
                <w:color w:val="000000"/>
                <w:sz w:val="20"/>
                <w:szCs w:val="20"/>
                <w:lang w:val="sr-Cyrl-CS"/>
              </w:rPr>
            </w:pPr>
          </w:p>
        </w:tc>
        <w:tc>
          <w:tcPr>
            <w:tcW w:w="276"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1BFD2BA" w14:textId="77777777" w:rsidR="00D210F0" w:rsidRPr="00092ED7" w:rsidRDefault="00D210F0" w:rsidP="005D14E2">
            <w:pPr>
              <w:spacing w:after="0"/>
              <w:rPr>
                <w:rFonts w:cs="Times New Roman"/>
                <w:color w:val="000000"/>
                <w:sz w:val="20"/>
                <w:szCs w:val="20"/>
                <w:lang w:val="sr-Cyrl-CS"/>
              </w:rPr>
            </w:pPr>
          </w:p>
        </w:tc>
        <w:tc>
          <w:tcPr>
            <w:tcW w:w="4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703F5C5"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DF87C5A"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0C77737"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F354FC0"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B413944"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03EA83D"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EC91163"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2ACEC03" w14:textId="77777777" w:rsidR="00D210F0" w:rsidRPr="00092ED7" w:rsidRDefault="00D210F0" w:rsidP="005D14E2">
            <w:pPr>
              <w:spacing w:after="0"/>
              <w:rPr>
                <w:rFonts w:cs="Times New Roman"/>
                <w:color w:val="000000"/>
                <w:sz w:val="20"/>
                <w:szCs w:val="20"/>
                <w:lang w:val="sr-Cyrl-CS"/>
              </w:rPr>
            </w:pPr>
          </w:p>
        </w:tc>
      </w:tr>
    </w:tbl>
    <w:p w14:paraId="2419F86C" w14:textId="77777777" w:rsidR="00D210F0" w:rsidRPr="00092ED7" w:rsidRDefault="00D210F0" w:rsidP="00071952">
      <w:pPr>
        <w:pStyle w:val="ListParagraph"/>
        <w:widowControl w:val="0"/>
        <w:numPr>
          <w:ilvl w:val="0"/>
          <w:numId w:val="21"/>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Индикатори рeзултата</w:t>
      </w:r>
    </w:p>
    <w:tbl>
      <w:tblPr>
        <w:tblStyle w:val="TableGrid"/>
        <w:tblW w:w="9072" w:type="dxa"/>
        <w:tblInd w:w="-5" w:type="dxa"/>
        <w:tblLayout w:type="fixed"/>
        <w:tblLook w:val="04A0" w:firstRow="1" w:lastRow="0" w:firstColumn="1" w:lastColumn="0" w:noHBand="0" w:noVBand="1"/>
      </w:tblPr>
      <w:tblGrid>
        <w:gridCol w:w="3969"/>
        <w:gridCol w:w="1701"/>
        <w:gridCol w:w="1701"/>
        <w:gridCol w:w="1701"/>
      </w:tblGrid>
      <w:tr w:rsidR="00D210F0" w:rsidRPr="00092ED7" w14:paraId="644599C5" w14:textId="77777777" w:rsidTr="00AE4362">
        <w:trPr>
          <w:cnfStyle w:val="100000000000" w:firstRow="1" w:lastRow="0" w:firstColumn="0" w:lastColumn="0" w:oddVBand="0" w:evenVBand="0" w:oddHBand="0" w:evenHBand="0" w:firstRowFirstColumn="0" w:firstRowLastColumn="0" w:lastRowFirstColumn="0" w:lastRowLastColumn="0"/>
          <w:trHeight w:val="557"/>
        </w:trPr>
        <w:tc>
          <w:tcPr>
            <w:tcW w:w="3969" w:type="dxa"/>
          </w:tcPr>
          <w:p w14:paraId="135C14CA"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Показатељ</w:t>
            </w:r>
          </w:p>
        </w:tc>
        <w:tc>
          <w:tcPr>
            <w:tcW w:w="1701" w:type="dxa"/>
          </w:tcPr>
          <w:p w14:paraId="4E963CC8"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 xml:space="preserve">Почетна вредност </w:t>
            </w:r>
          </w:p>
          <w:p w14:paraId="74A6B5B8"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(2019)</w:t>
            </w:r>
          </w:p>
        </w:tc>
        <w:tc>
          <w:tcPr>
            <w:tcW w:w="1701" w:type="dxa"/>
          </w:tcPr>
          <w:p w14:paraId="3A9657B8"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Међурезултат (2023)</w:t>
            </w:r>
          </w:p>
        </w:tc>
        <w:tc>
          <w:tcPr>
            <w:tcW w:w="1701" w:type="dxa"/>
          </w:tcPr>
          <w:p w14:paraId="34AFFBB2"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 xml:space="preserve">Циљна вредност </w:t>
            </w:r>
          </w:p>
          <w:p w14:paraId="5E57AAF0"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(2025)</w:t>
            </w:r>
          </w:p>
        </w:tc>
      </w:tr>
      <w:tr w:rsidR="00D210F0" w:rsidRPr="00092ED7" w14:paraId="7373BC10" w14:textId="77777777" w:rsidTr="00AE4362">
        <w:tc>
          <w:tcPr>
            <w:tcW w:w="3969" w:type="dxa"/>
          </w:tcPr>
          <w:p w14:paraId="5D28F993" w14:textId="77777777" w:rsidR="00D210F0" w:rsidRPr="00092ED7" w:rsidRDefault="00D210F0" w:rsidP="00D7672A">
            <w:pPr>
              <w:spacing w:before="0" w:after="0"/>
              <w:ind w:left="113" w:right="113"/>
              <w:rPr>
                <w:sz w:val="20"/>
                <w:lang w:val="sr-Cyrl-CS"/>
              </w:rPr>
            </w:pPr>
            <w:r w:rsidRPr="00092ED7">
              <w:rPr>
                <w:rFonts w:cs="Times New Roman"/>
                <w:bCs/>
                <w:sz w:val="20"/>
                <w:lang w:val="sr-Cyrl-CS"/>
              </w:rPr>
              <w:t>Број корисника пореских и других подстицаја намењених повратницима</w:t>
            </w:r>
          </w:p>
        </w:tc>
        <w:tc>
          <w:tcPr>
            <w:tcW w:w="1701" w:type="dxa"/>
          </w:tcPr>
          <w:p w14:paraId="07FB6289" w14:textId="77777777" w:rsidR="00D210F0" w:rsidRPr="00092ED7" w:rsidRDefault="00927C1D" w:rsidP="005D14E2">
            <w:pPr>
              <w:spacing w:before="0" w:after="0"/>
              <w:ind w:left="113" w:right="113"/>
              <w:jc w:val="center"/>
              <w:rPr>
                <w:rFonts w:cs="Times New Roman"/>
                <w:sz w:val="20"/>
                <w:lang w:val="sr-Cyrl-CS"/>
              </w:rPr>
            </w:pPr>
            <w:r w:rsidRPr="00092ED7">
              <w:rPr>
                <w:rFonts w:cs="Times New Roman"/>
                <w:sz w:val="20"/>
                <w:lang w:val="sr-Cyrl-CS"/>
              </w:rPr>
              <w:t>0</w:t>
            </w:r>
          </w:p>
        </w:tc>
        <w:tc>
          <w:tcPr>
            <w:tcW w:w="1701" w:type="dxa"/>
          </w:tcPr>
          <w:p w14:paraId="51FFC4FC" w14:textId="77777777" w:rsidR="00D210F0" w:rsidRPr="00092ED7" w:rsidRDefault="00927C1D" w:rsidP="005D14E2">
            <w:pPr>
              <w:spacing w:before="0" w:after="0"/>
              <w:ind w:left="113" w:right="113"/>
              <w:jc w:val="center"/>
              <w:rPr>
                <w:rFonts w:cs="Times New Roman"/>
                <w:sz w:val="20"/>
                <w:lang w:val="sr-Cyrl-CS"/>
              </w:rPr>
            </w:pPr>
            <w:r w:rsidRPr="00092ED7">
              <w:rPr>
                <w:rFonts w:cs="Times New Roman"/>
                <w:sz w:val="20"/>
                <w:lang w:val="sr-Cyrl-CS"/>
              </w:rPr>
              <w:t>900</w:t>
            </w:r>
          </w:p>
        </w:tc>
        <w:tc>
          <w:tcPr>
            <w:tcW w:w="1701" w:type="dxa"/>
          </w:tcPr>
          <w:p w14:paraId="5C34DF9F" w14:textId="77777777" w:rsidR="00D210F0" w:rsidRPr="00092ED7" w:rsidRDefault="00927C1D" w:rsidP="005D14E2">
            <w:pPr>
              <w:spacing w:before="0" w:after="0"/>
              <w:ind w:left="113" w:right="113"/>
              <w:jc w:val="center"/>
              <w:rPr>
                <w:rFonts w:cs="Times New Roman"/>
                <w:sz w:val="20"/>
                <w:lang w:val="sr-Cyrl-CS"/>
              </w:rPr>
            </w:pPr>
            <w:r w:rsidRPr="00092ED7">
              <w:rPr>
                <w:rFonts w:cs="Times New Roman"/>
                <w:sz w:val="20"/>
                <w:lang w:val="sr-Cyrl-CS"/>
              </w:rPr>
              <w:t>1450</w:t>
            </w:r>
          </w:p>
        </w:tc>
      </w:tr>
      <w:tr w:rsidR="00D210F0" w:rsidRPr="00092ED7" w14:paraId="203DD877" w14:textId="77777777" w:rsidTr="00AE4362">
        <w:tc>
          <w:tcPr>
            <w:tcW w:w="3969" w:type="dxa"/>
          </w:tcPr>
          <w:p w14:paraId="3A02A1D5" w14:textId="77777777" w:rsidR="00D210F0" w:rsidRPr="00092ED7" w:rsidRDefault="00D210F0" w:rsidP="00EE0647">
            <w:pPr>
              <w:spacing w:before="0" w:after="0"/>
              <w:ind w:left="113" w:right="113"/>
              <w:rPr>
                <w:sz w:val="20"/>
                <w:lang w:val="sr-Cyrl-CS"/>
              </w:rPr>
            </w:pPr>
            <w:r w:rsidRPr="00092ED7">
              <w:rPr>
                <w:rFonts w:cs="Times New Roman"/>
                <w:bCs/>
                <w:sz w:val="20"/>
                <w:lang w:val="sr-Cyrl-CS"/>
              </w:rPr>
              <w:t>Број држављана Републике Србије који су користили програме или услуге намењене повратницима</w:t>
            </w:r>
          </w:p>
        </w:tc>
        <w:tc>
          <w:tcPr>
            <w:tcW w:w="1701" w:type="dxa"/>
          </w:tcPr>
          <w:p w14:paraId="12073123"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0</w:t>
            </w:r>
          </w:p>
        </w:tc>
        <w:tc>
          <w:tcPr>
            <w:tcW w:w="1701" w:type="dxa"/>
          </w:tcPr>
          <w:p w14:paraId="38F4CD81"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3000</w:t>
            </w:r>
          </w:p>
        </w:tc>
        <w:tc>
          <w:tcPr>
            <w:tcW w:w="1701" w:type="dxa"/>
          </w:tcPr>
          <w:p w14:paraId="227C93C6"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5000</w:t>
            </w:r>
          </w:p>
        </w:tc>
      </w:tr>
      <w:tr w:rsidR="00D210F0" w:rsidRPr="00092ED7" w14:paraId="5BC2D385" w14:textId="77777777" w:rsidTr="00AE4362">
        <w:tc>
          <w:tcPr>
            <w:tcW w:w="3969" w:type="dxa"/>
          </w:tcPr>
          <w:p w14:paraId="7FA61648" w14:textId="77777777" w:rsidR="00D210F0" w:rsidRPr="00092ED7" w:rsidRDefault="00D210F0" w:rsidP="00EE0647">
            <w:pPr>
              <w:spacing w:before="0" w:after="0"/>
              <w:ind w:left="113" w:right="113"/>
              <w:rPr>
                <w:sz w:val="20"/>
                <w:lang w:val="sr-Cyrl-CS"/>
              </w:rPr>
            </w:pPr>
            <w:r w:rsidRPr="00092ED7">
              <w:rPr>
                <w:rFonts w:cs="Times New Roman"/>
                <w:bCs/>
                <w:sz w:val="20"/>
                <w:lang w:val="sr-Cyrl-CS"/>
              </w:rPr>
              <w:t>Број страних држављана српског порекла који су затражили боравак у Републици Србији</w:t>
            </w:r>
          </w:p>
        </w:tc>
        <w:tc>
          <w:tcPr>
            <w:tcW w:w="1701" w:type="dxa"/>
          </w:tcPr>
          <w:p w14:paraId="21B1CC2F"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0</w:t>
            </w:r>
          </w:p>
        </w:tc>
        <w:tc>
          <w:tcPr>
            <w:tcW w:w="1701" w:type="dxa"/>
          </w:tcPr>
          <w:p w14:paraId="3CF2DCA6"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200</w:t>
            </w:r>
          </w:p>
        </w:tc>
        <w:tc>
          <w:tcPr>
            <w:tcW w:w="1701" w:type="dxa"/>
          </w:tcPr>
          <w:p w14:paraId="4C07A146"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400</w:t>
            </w:r>
          </w:p>
        </w:tc>
      </w:tr>
      <w:tr w:rsidR="00D210F0" w:rsidRPr="00092ED7" w14:paraId="5C8487D1" w14:textId="77777777" w:rsidTr="00AE4362">
        <w:tc>
          <w:tcPr>
            <w:tcW w:w="3969" w:type="dxa"/>
          </w:tcPr>
          <w:p w14:paraId="5C396E08" w14:textId="77777777" w:rsidR="00D210F0" w:rsidRPr="00092ED7" w:rsidRDefault="00D210F0" w:rsidP="00EE0647">
            <w:pPr>
              <w:spacing w:before="0" w:after="0"/>
              <w:ind w:left="113" w:right="113"/>
              <w:rPr>
                <w:sz w:val="20"/>
                <w:lang w:val="sr-Cyrl-CS"/>
              </w:rPr>
            </w:pPr>
            <w:r w:rsidRPr="00092ED7">
              <w:rPr>
                <w:rFonts w:cs="Times New Roman"/>
                <w:bCs/>
                <w:sz w:val="20"/>
                <w:lang w:val="sr-Cyrl-CS"/>
              </w:rPr>
              <w:t>Број ментора који пружају подршку повратку припадницима дијаспоре</w:t>
            </w:r>
          </w:p>
        </w:tc>
        <w:tc>
          <w:tcPr>
            <w:tcW w:w="1701" w:type="dxa"/>
          </w:tcPr>
          <w:p w14:paraId="223F0525"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0</w:t>
            </w:r>
          </w:p>
        </w:tc>
        <w:tc>
          <w:tcPr>
            <w:tcW w:w="1701" w:type="dxa"/>
          </w:tcPr>
          <w:p w14:paraId="66B526EB" w14:textId="77777777" w:rsidR="00D210F0" w:rsidRPr="00092ED7" w:rsidRDefault="00927C1D" w:rsidP="005D14E2">
            <w:pPr>
              <w:spacing w:before="0" w:after="0"/>
              <w:ind w:left="113" w:right="113"/>
              <w:jc w:val="center"/>
              <w:rPr>
                <w:rFonts w:cs="Times New Roman"/>
                <w:sz w:val="20"/>
                <w:lang w:val="sr-Cyrl-CS"/>
              </w:rPr>
            </w:pPr>
            <w:r w:rsidRPr="00092ED7">
              <w:rPr>
                <w:rFonts w:cs="Times New Roman"/>
                <w:sz w:val="20"/>
                <w:lang w:val="sr-Cyrl-CS"/>
              </w:rPr>
              <w:t>50</w:t>
            </w:r>
          </w:p>
        </w:tc>
        <w:tc>
          <w:tcPr>
            <w:tcW w:w="1701" w:type="dxa"/>
          </w:tcPr>
          <w:p w14:paraId="4EA2F457" w14:textId="77777777" w:rsidR="00D210F0" w:rsidRPr="00092ED7" w:rsidRDefault="00927C1D" w:rsidP="005D14E2">
            <w:pPr>
              <w:spacing w:before="0" w:after="0"/>
              <w:ind w:left="113" w:right="113"/>
              <w:jc w:val="center"/>
              <w:rPr>
                <w:rFonts w:cs="Times New Roman"/>
                <w:sz w:val="20"/>
                <w:lang w:val="sr-Cyrl-CS"/>
              </w:rPr>
            </w:pPr>
            <w:r w:rsidRPr="00092ED7">
              <w:rPr>
                <w:rFonts w:cs="Times New Roman"/>
                <w:sz w:val="20"/>
                <w:lang w:val="sr-Cyrl-CS"/>
              </w:rPr>
              <w:t>100</w:t>
            </w:r>
          </w:p>
        </w:tc>
      </w:tr>
    </w:tbl>
    <w:p w14:paraId="635B5170" w14:textId="77777777" w:rsidR="00D210F0" w:rsidRPr="00092ED7" w:rsidRDefault="00D210F0" w:rsidP="00071952">
      <w:pPr>
        <w:pStyle w:val="ListParagraph"/>
        <w:widowControl w:val="0"/>
        <w:numPr>
          <w:ilvl w:val="0"/>
          <w:numId w:val="21"/>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конкурентност</w:t>
      </w:r>
    </w:p>
    <w:p w14:paraId="415020D6"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Привреда Републике Србије је и даље у дефициту са искусним кадровима који поседују савремена знања, а који су кључ глобалне конкурентности. Спровођењем структурне реформе интензивираће се активности на привлачењу наших и страних држављана који, осим знања и искуства, својим контактима могу приближити и отворити многа тржишта. Реформа такође доприноси креирању стимулативног окружења које је пожељно за све индустрије, посебно за развој и примену високе технологије и иновација, као и окружење које је привлачно за научнике и инжењере из целог света. На тај начин ће и привреда бити конкурентнија кроз приступ новим технологијама, као и најмодернијим начинима управљања комплексним пословањем и великим развојним пројектима. Поред тога, мере су усмерене ка привлачењу кадрова за истраживачко-развојне центре института и привреде у Републици Србији.</w:t>
      </w:r>
    </w:p>
    <w:p w14:paraId="3A0881D7" w14:textId="77777777" w:rsidR="00D210F0" w:rsidRPr="00092ED7" w:rsidRDefault="00D210F0" w:rsidP="00071952">
      <w:pPr>
        <w:widowControl w:val="0"/>
        <w:numPr>
          <w:ilvl w:val="0"/>
          <w:numId w:val="2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7369F59C" w14:textId="36F0D8A9" w:rsidR="000C7942" w:rsidRPr="00092ED7" w:rsidRDefault="000C7942"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Јачање капацитета институција ће се реализовати уз подршку</w:t>
      </w:r>
      <w:r w:rsidR="00B649E2" w:rsidRPr="00092ED7">
        <w:rPr>
          <w:rFonts w:eastAsia="Calibri" w:cs="Times New Roman"/>
          <w:szCs w:val="24"/>
          <w:lang w:val="sr-Cyrl-CS" w:eastAsia="sr-Cyrl-CS" w:bidi="sr-Cyrl-CS"/>
        </w:rPr>
        <w:t xml:space="preserve"> ГИЗ</w:t>
      </w:r>
      <w:r w:rsidRPr="00092ED7">
        <w:rPr>
          <w:rFonts w:eastAsia="Calibri" w:cs="Times New Roman"/>
          <w:szCs w:val="24"/>
          <w:lang w:val="sr-Cyrl-CS" w:eastAsia="sr-Cyrl-CS" w:bidi="sr-Cyrl-CS"/>
        </w:rPr>
        <w:t xml:space="preserve">. Унапређење амбијента за подстицање, подршку и праћење циркуларних и повратних миграција посебно висококвалификоване српске дијаспоре ће се реализовати кроз активности Тачке повратка, а уз подршку како међународних донатора (Програма Уједињених нација за развој </w:t>
      </w:r>
      <w:r w:rsidR="005C0DE5" w:rsidRPr="00092ED7">
        <w:rPr>
          <w:rFonts w:eastAsia="Calibri" w:cs="Times New Roman"/>
          <w:szCs w:val="24"/>
          <w:lang w:val="sr-Cyrl-CS" w:eastAsia="sr-Cyrl-CS" w:bidi="sr-Cyrl-CS"/>
        </w:rPr>
        <w:t xml:space="preserve">- </w:t>
      </w:r>
      <w:r w:rsidRPr="00092ED7">
        <w:rPr>
          <w:rFonts w:eastAsia="Calibri" w:cs="Times New Roman"/>
          <w:szCs w:val="24"/>
          <w:lang w:val="sr-Cyrl-CS" w:eastAsia="sr-Cyrl-CS" w:bidi="sr-Cyrl-CS"/>
        </w:rPr>
        <w:t>UNDP), тако и донација дијаспорских организација и приватног сектора.</w:t>
      </w:r>
    </w:p>
    <w:p w14:paraId="43006013" w14:textId="77777777" w:rsidR="00D210F0" w:rsidRPr="00092ED7" w:rsidRDefault="00D210F0" w:rsidP="00071952">
      <w:pPr>
        <w:widowControl w:val="0"/>
        <w:numPr>
          <w:ilvl w:val="0"/>
          <w:numId w:val="2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0072A33B" w14:textId="77777777" w:rsidR="00D210F0" w:rsidRPr="00092ED7" w:rsidRDefault="00E4340B"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Структурна реформа путем обезбеђивања стручног кадра који је неопходан привреди и привлачењем инвеститора који лоцирају своје истраживачко-развојне капацитете у Републици Србији, на директан начин утиче на повећање запошљавања, што доприноси и директном утицају на смањење сиромаштва. </w:t>
      </w:r>
      <w:r w:rsidR="00D210F0" w:rsidRPr="00092ED7">
        <w:rPr>
          <w:rFonts w:eastAsia="Calibri" w:cs="Times New Roman"/>
          <w:szCs w:val="24"/>
          <w:lang w:val="sr-Cyrl-CS" w:eastAsia="sr-Cyrl-CS" w:bidi="sr-Cyrl-CS"/>
        </w:rPr>
        <w:t>Процењује се да је мера родно неутрална.</w:t>
      </w:r>
    </w:p>
    <w:p w14:paraId="48ECB83E" w14:textId="77777777" w:rsidR="00D210F0" w:rsidRPr="00092ED7" w:rsidRDefault="00D210F0" w:rsidP="00071952">
      <w:pPr>
        <w:widowControl w:val="0"/>
        <w:numPr>
          <w:ilvl w:val="0"/>
          <w:numId w:val="2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3C650A00"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Ова структурна реформа је неутрална у смислу утицаја на животну средину</w:t>
      </w:r>
      <w:r w:rsidR="001F62AF" w:rsidRPr="00092ED7">
        <w:rPr>
          <w:rFonts w:eastAsia="Calibri" w:cs="Times New Roman"/>
          <w:szCs w:val="24"/>
          <w:lang w:val="sr-Cyrl-CS" w:eastAsia="sr-Cyrl-CS" w:bidi="sr-Cyrl-CS"/>
        </w:rPr>
        <w:t xml:space="preserve"> и климатске промене</w:t>
      </w:r>
      <w:r w:rsidRPr="00092ED7">
        <w:rPr>
          <w:rFonts w:eastAsia="Calibri" w:cs="Times New Roman"/>
          <w:szCs w:val="24"/>
          <w:lang w:val="sr-Cyrl-CS" w:eastAsia="sr-Cyrl-CS" w:bidi="sr-Cyrl-CS"/>
        </w:rPr>
        <w:t>.</w:t>
      </w:r>
    </w:p>
    <w:p w14:paraId="0B3D8163" w14:textId="77777777" w:rsidR="00D210F0" w:rsidRPr="00092ED7" w:rsidRDefault="00D210F0" w:rsidP="00071952">
      <w:pPr>
        <w:widowControl w:val="0"/>
        <w:numPr>
          <w:ilvl w:val="0"/>
          <w:numId w:val="2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067" w:type="dxa"/>
        <w:jc w:val="center"/>
        <w:tblLayout w:type="fixed"/>
        <w:tblLook w:val="04A0" w:firstRow="1" w:lastRow="0" w:firstColumn="1" w:lastColumn="0" w:noHBand="0" w:noVBand="1"/>
      </w:tblPr>
      <w:tblGrid>
        <w:gridCol w:w="3515"/>
        <w:gridCol w:w="2098"/>
        <w:gridCol w:w="3454"/>
      </w:tblGrid>
      <w:tr w:rsidR="00D210F0" w:rsidRPr="00092ED7" w14:paraId="03382B89" w14:textId="77777777" w:rsidTr="00AE4362">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51996F35"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Ризик</w:t>
            </w:r>
          </w:p>
        </w:tc>
        <w:tc>
          <w:tcPr>
            <w:tcW w:w="2098" w:type="dxa"/>
          </w:tcPr>
          <w:p w14:paraId="064C1F98"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Вероватноћа за остваривање ризика</w:t>
            </w:r>
          </w:p>
        </w:tc>
        <w:tc>
          <w:tcPr>
            <w:tcW w:w="3454" w:type="dxa"/>
          </w:tcPr>
          <w:p w14:paraId="3164CDCE"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5B256C24" w14:textId="77777777" w:rsidTr="004130F6">
        <w:trPr>
          <w:jc w:val="center"/>
        </w:trPr>
        <w:tc>
          <w:tcPr>
            <w:tcW w:w="3515" w:type="dxa"/>
            <w:vAlign w:val="top"/>
          </w:tcPr>
          <w:p w14:paraId="1CEAD620" w14:textId="77777777" w:rsidR="00D210F0" w:rsidRPr="00092ED7" w:rsidRDefault="00D210F0" w:rsidP="004130F6">
            <w:pPr>
              <w:spacing w:before="0" w:after="0"/>
              <w:ind w:left="113" w:right="113"/>
              <w:rPr>
                <w:sz w:val="20"/>
                <w:lang w:val="sr-Cyrl-CS"/>
              </w:rPr>
            </w:pPr>
            <w:r w:rsidRPr="00092ED7">
              <w:rPr>
                <w:rFonts w:cs="Times New Roman"/>
                <w:sz w:val="20"/>
                <w:lang w:val="sr-Cyrl-CS"/>
              </w:rPr>
              <w:t>Мањак средстава за спровођење мера и активности предвиђених Акционим планом за период 2021-2023. године за примену Стратегије о економским миграцијама Републике Србије за период 2021-2027. године у планираним роковима</w:t>
            </w:r>
          </w:p>
        </w:tc>
        <w:tc>
          <w:tcPr>
            <w:tcW w:w="2098" w:type="dxa"/>
            <w:vAlign w:val="top"/>
          </w:tcPr>
          <w:p w14:paraId="78255BAC" w14:textId="77777777" w:rsidR="00D210F0" w:rsidRPr="00092ED7" w:rsidRDefault="00D210F0" w:rsidP="004130F6">
            <w:pPr>
              <w:spacing w:before="0" w:after="0"/>
              <w:ind w:left="113" w:right="113"/>
              <w:jc w:val="center"/>
              <w:rPr>
                <w:rFonts w:cs="Times New Roman"/>
                <w:sz w:val="20"/>
                <w:lang w:val="sr-Cyrl-CS"/>
              </w:rPr>
            </w:pPr>
            <w:r w:rsidRPr="00092ED7">
              <w:rPr>
                <w:rFonts w:cs="Times New Roman"/>
                <w:sz w:val="20"/>
                <w:lang w:val="sr-Cyrl-CS"/>
              </w:rPr>
              <w:t>Ниска</w:t>
            </w:r>
          </w:p>
        </w:tc>
        <w:tc>
          <w:tcPr>
            <w:tcW w:w="3454" w:type="dxa"/>
            <w:vAlign w:val="top"/>
          </w:tcPr>
          <w:p w14:paraId="4C3AC25B" w14:textId="77777777" w:rsidR="00D210F0" w:rsidRPr="00092ED7" w:rsidRDefault="00D210F0" w:rsidP="004130F6">
            <w:pPr>
              <w:spacing w:before="0" w:after="0"/>
              <w:ind w:left="113" w:right="113"/>
              <w:rPr>
                <w:rFonts w:cs="Times New Roman"/>
                <w:sz w:val="20"/>
                <w:lang w:val="sr-Cyrl-CS"/>
              </w:rPr>
            </w:pPr>
            <w:r w:rsidRPr="00092ED7">
              <w:rPr>
                <w:rFonts w:cs="Times New Roman"/>
                <w:sz w:val="20"/>
                <w:lang w:val="sr-Cyrl-CS"/>
              </w:rPr>
              <w:t xml:space="preserve">Обучавање  запослених независно </w:t>
            </w:r>
            <w:r w:rsidR="00AE4362" w:rsidRPr="00092ED7">
              <w:rPr>
                <w:rFonts w:cs="Times New Roman"/>
                <w:sz w:val="20"/>
                <w:lang w:val="sr-Cyrl-CS"/>
              </w:rPr>
              <w:t xml:space="preserve">од Акционог плана, а на основу </w:t>
            </w:r>
            <w:r w:rsidRPr="00092ED7">
              <w:rPr>
                <w:rFonts w:cs="Times New Roman"/>
                <w:sz w:val="20"/>
                <w:lang w:val="sr-Cyrl-CS"/>
              </w:rPr>
              <w:t xml:space="preserve">Имплементационог споразума у вези са програмима „Миграције за развој </w:t>
            </w:r>
            <w:r w:rsidR="00D603D0" w:rsidRPr="00092ED7">
              <w:rPr>
                <w:rFonts w:cs="Times New Roman"/>
                <w:sz w:val="20"/>
                <w:lang w:val="sr-Cyrl-CS"/>
              </w:rPr>
              <w:t>II</w:t>
            </w:r>
            <w:r w:rsidRPr="00092ED7">
              <w:rPr>
                <w:rFonts w:cs="Times New Roman"/>
                <w:sz w:val="20"/>
                <w:lang w:val="sr-Cyrl-CS"/>
              </w:rPr>
              <w:t>” и „Миграције &amp; дијаспора”.</w:t>
            </w:r>
          </w:p>
          <w:p w14:paraId="053EF40E" w14:textId="77777777" w:rsidR="00D210F0" w:rsidRPr="00092ED7" w:rsidRDefault="00D210F0" w:rsidP="004130F6">
            <w:pPr>
              <w:spacing w:before="0" w:after="0"/>
              <w:ind w:left="113" w:right="113"/>
              <w:rPr>
                <w:rFonts w:cs="Times New Roman"/>
                <w:sz w:val="20"/>
                <w:lang w:val="sr-Cyrl-CS"/>
              </w:rPr>
            </w:pPr>
            <w:r w:rsidRPr="00092ED7">
              <w:rPr>
                <w:rFonts w:cs="Times New Roman"/>
                <w:sz w:val="20"/>
                <w:lang w:val="sr-Cyrl-CS"/>
              </w:rPr>
              <w:t>Блиска сарадња са Привредном комором Србије, Националном службом за запошљавање и континуиране консултације са представницима привреде.</w:t>
            </w:r>
          </w:p>
        </w:tc>
      </w:tr>
      <w:tr w:rsidR="00D210F0" w:rsidRPr="00092ED7" w14:paraId="6D1D8190" w14:textId="77777777" w:rsidTr="004130F6">
        <w:trPr>
          <w:jc w:val="center"/>
        </w:trPr>
        <w:tc>
          <w:tcPr>
            <w:tcW w:w="3515" w:type="dxa"/>
            <w:vAlign w:val="top"/>
          </w:tcPr>
          <w:p w14:paraId="45B27D9D" w14:textId="77777777" w:rsidR="00D210F0" w:rsidRPr="00092ED7" w:rsidRDefault="00D210F0" w:rsidP="004130F6">
            <w:pPr>
              <w:spacing w:before="0" w:after="0"/>
              <w:ind w:left="113" w:right="113"/>
              <w:rPr>
                <w:sz w:val="20"/>
                <w:lang w:val="sr-Cyrl-CS"/>
              </w:rPr>
            </w:pPr>
            <w:r w:rsidRPr="00092ED7">
              <w:rPr>
                <w:rFonts w:cs="Times New Roman"/>
                <w:bCs/>
                <w:sz w:val="20"/>
                <w:lang w:val="sr-Cyrl-CS"/>
              </w:rPr>
              <w:t>Смањење интересовања дијаспоре за повратак и сарадњу са Републиком Србијом</w:t>
            </w:r>
          </w:p>
        </w:tc>
        <w:tc>
          <w:tcPr>
            <w:tcW w:w="2098" w:type="dxa"/>
            <w:vAlign w:val="top"/>
          </w:tcPr>
          <w:p w14:paraId="6B89D663" w14:textId="77777777" w:rsidR="00D210F0" w:rsidRPr="00092ED7" w:rsidRDefault="00D210F0" w:rsidP="004130F6">
            <w:pPr>
              <w:spacing w:before="0" w:after="0"/>
              <w:ind w:left="113" w:right="113"/>
              <w:jc w:val="center"/>
              <w:rPr>
                <w:rFonts w:cs="Times New Roman"/>
                <w:sz w:val="20"/>
                <w:lang w:val="sr-Cyrl-CS"/>
              </w:rPr>
            </w:pPr>
            <w:r w:rsidRPr="00092ED7">
              <w:rPr>
                <w:rFonts w:cs="Times New Roman"/>
                <w:sz w:val="20"/>
                <w:lang w:val="sr-Cyrl-CS"/>
              </w:rPr>
              <w:t>Ниска</w:t>
            </w:r>
          </w:p>
        </w:tc>
        <w:tc>
          <w:tcPr>
            <w:tcW w:w="3454" w:type="dxa"/>
            <w:vAlign w:val="top"/>
          </w:tcPr>
          <w:p w14:paraId="21F27274" w14:textId="77777777" w:rsidR="00D210F0" w:rsidRPr="00092ED7" w:rsidRDefault="00D210F0" w:rsidP="004130F6">
            <w:pPr>
              <w:spacing w:before="0" w:after="0"/>
              <w:ind w:left="113" w:right="113"/>
              <w:rPr>
                <w:sz w:val="20"/>
                <w:lang w:val="sr-Cyrl-CS"/>
              </w:rPr>
            </w:pPr>
            <w:r w:rsidRPr="00092ED7">
              <w:rPr>
                <w:rFonts w:cs="Times New Roman"/>
                <w:bCs/>
                <w:sz w:val="20"/>
                <w:lang w:val="sr-Cyrl-CS"/>
              </w:rPr>
              <w:t>Континуирани дијалог са дијаспором у циљу разумевања потреба дијаспоре и проактиван приступ у циљу решавања кључних препознатих проблема.</w:t>
            </w:r>
          </w:p>
        </w:tc>
      </w:tr>
    </w:tbl>
    <w:p w14:paraId="20005EB6" w14:textId="77777777" w:rsidR="00D210F0" w:rsidRPr="00092ED7" w:rsidRDefault="00D210F0" w:rsidP="00F27707">
      <w:pPr>
        <w:keepNext/>
        <w:keepLines/>
        <w:shd w:val="clear" w:color="auto" w:fill="D9D9D9" w:themeFill="background1" w:themeFillShade="D9"/>
        <w:spacing w:before="240"/>
        <w:outlineLvl w:val="2"/>
        <w:rPr>
          <w:rFonts w:eastAsia="Calibri" w:cs="Times New Roman"/>
          <w:b/>
          <w:i/>
          <w:szCs w:val="24"/>
          <w:lang w:val="sr-Cyrl-CS"/>
        </w:rPr>
      </w:pPr>
      <w:bookmarkStart w:id="55" w:name="_Toc124174805"/>
      <w:bookmarkStart w:id="56" w:name="_Toc126218624"/>
      <w:r w:rsidRPr="00092ED7">
        <w:rPr>
          <w:rFonts w:eastAsia="Calibri" w:cs="Times New Roman"/>
          <w:b/>
          <w:i/>
          <w:szCs w:val="24"/>
          <w:lang w:val="sr-Cyrl-CS"/>
        </w:rPr>
        <w:t>Кључни изазов број 2: Унапређење пословног амбијента повољнијег за инвестиције</w:t>
      </w:r>
      <w:bookmarkEnd w:id="55"/>
      <w:bookmarkEnd w:id="56"/>
    </w:p>
    <w:p w14:paraId="493E2716" w14:textId="304C4DA0" w:rsidR="00D210F0" w:rsidRPr="00092ED7" w:rsidRDefault="00D210F0" w:rsidP="00B640AF">
      <w:pPr>
        <w:rPr>
          <w:rFonts w:cs="Times New Roman"/>
          <w:szCs w:val="24"/>
          <w:lang w:val="sr-Cyrl-CS"/>
        </w:rPr>
      </w:pPr>
      <w:r w:rsidRPr="00092ED7">
        <w:rPr>
          <w:b/>
          <w:lang w:val="sr-Cyrl-CS"/>
        </w:rPr>
        <w:t>Постигнута макроекономска и финансијска стабилност</w:t>
      </w:r>
      <w:r w:rsidRPr="00092ED7">
        <w:rPr>
          <w:b/>
          <w:kern w:val="3"/>
          <w:lang w:val="sr-Cyrl-CS" w:eastAsia="zh-CN" w:bidi="hi-IN"/>
        </w:rPr>
        <w:t xml:space="preserve">, </w:t>
      </w:r>
      <w:r w:rsidRPr="00092ED7">
        <w:rPr>
          <w:b/>
          <w:lang w:val="sr-Cyrl-CS"/>
        </w:rPr>
        <w:t>претходна динамика раста,</w:t>
      </w:r>
      <w:r w:rsidRPr="00092ED7">
        <w:rPr>
          <w:b/>
          <w:kern w:val="3"/>
          <w:lang w:val="sr-Cyrl-CS" w:eastAsia="zh-CN" w:bidi="hi-IN"/>
        </w:rPr>
        <w:t xml:space="preserve"> спроведене структурне реформе</w:t>
      </w:r>
      <w:r w:rsidRPr="00092ED7">
        <w:rPr>
          <w:b/>
          <w:lang w:val="sr-Cyrl-CS"/>
        </w:rPr>
        <w:t xml:space="preserve">, створени фискални простор за правовремени и свеобухватни пакет мера омогућили су да током две године кризе изазване пандемијом, </w:t>
      </w:r>
      <w:r w:rsidRPr="00092ED7">
        <w:rPr>
          <w:b/>
          <w:kern w:val="3"/>
          <w:lang w:val="sr-Cyrl-CS" w:eastAsia="zh-CN" w:bidi="hi-IN"/>
        </w:rPr>
        <w:t>Република Србија</w:t>
      </w:r>
      <w:r w:rsidRPr="00092ED7">
        <w:rPr>
          <w:b/>
          <w:lang w:val="sr-Cyrl-CS"/>
        </w:rPr>
        <w:t xml:space="preserve"> одржи пословање српских предузећа, уз очување нивоа запослености и оствари кумулативни раст БДП од 6,6%. </w:t>
      </w:r>
      <w:r w:rsidRPr="00092ED7">
        <w:rPr>
          <w:kern w:val="3"/>
          <w:lang w:val="sr-Cyrl-CS" w:eastAsia="zh-CN" w:bidi="hi-IN"/>
        </w:rPr>
        <w:t xml:space="preserve">Кроз </w:t>
      </w:r>
      <w:r w:rsidR="005D0747" w:rsidRPr="00092ED7">
        <w:rPr>
          <w:lang w:val="sr-Cyrl-CS" w:eastAsia="ja-JP"/>
        </w:rPr>
        <w:t>пакете мера економске подршке привреди и становништву за превазилажење кризе изазване пандемијом</w:t>
      </w:r>
      <w:r w:rsidRPr="00092ED7">
        <w:rPr>
          <w:rFonts w:eastAsia="SimSun" w:cs="Mangal"/>
          <w:kern w:val="3"/>
          <w:lang w:val="sr-Cyrl-CS" w:eastAsia="zh-CN" w:bidi="hi-IN"/>
        </w:rPr>
        <w:t xml:space="preserve">, уложено је </w:t>
      </w:r>
      <w:r w:rsidR="0072219A" w:rsidRPr="00092ED7">
        <w:rPr>
          <w:rFonts w:eastAsia="SimSun" w:cs="Mangal"/>
          <w:kern w:val="3"/>
          <w:lang w:val="sr-Cyrl-CS" w:eastAsia="zh-CN" w:bidi="hi-IN"/>
        </w:rPr>
        <w:t>15,6</w:t>
      </w:r>
      <w:r w:rsidRPr="00092ED7">
        <w:rPr>
          <w:rFonts w:eastAsia="SimSun" w:cs="Mangal"/>
          <w:kern w:val="3"/>
          <w:lang w:val="sr-Cyrl-CS" w:eastAsia="zh-CN" w:bidi="hi-IN"/>
        </w:rPr>
        <w:t xml:space="preserve">% БДП-а у 2020. </w:t>
      </w:r>
      <w:r w:rsidR="0072219A" w:rsidRPr="00092ED7">
        <w:rPr>
          <w:rFonts w:eastAsia="SimSun" w:cs="Mangal"/>
          <w:kern w:val="3"/>
          <w:lang w:val="sr-Cyrl-CS" w:eastAsia="zh-CN" w:bidi="hi-IN"/>
        </w:rPr>
        <w:t xml:space="preserve">и 2021. </w:t>
      </w:r>
      <w:r w:rsidRPr="00092ED7">
        <w:rPr>
          <w:rFonts w:eastAsia="SimSun" w:cs="Mangal"/>
          <w:kern w:val="3"/>
          <w:lang w:val="sr-Cyrl-CS" w:eastAsia="zh-CN" w:bidi="hi-IN"/>
        </w:rPr>
        <w:t>години. Предузете мере су допринеле повећању ликвидности привредних субјеката и олакшању пословања, док се кроз давања становништву подстицала домаћа тражња и индиректно утицало на економску активност. Такође, дошло је и до структурних побољшања. Активирани су нови и проширени постојећи извозно конктурентни производни капацитети, унапређена путна и железничка инфраструктура, чиме се трајно повећао потенцијал домаће привреде. Захваљујући томе, пад привредне активности у 2020. износио је свега 0,9% мг, уз очување нивоа запослености (раст од 0,1 п</w:t>
      </w:r>
      <w:r w:rsidR="00EB6431" w:rsidRPr="00092ED7">
        <w:rPr>
          <w:rFonts w:eastAsia="SimSun" w:cs="Mangal"/>
          <w:kern w:val="3"/>
          <w:lang w:val="sr-Cyrl-CS" w:eastAsia="zh-CN" w:bidi="hi-IN"/>
        </w:rPr>
        <w:t>.</w:t>
      </w:r>
      <w:r w:rsidRPr="00092ED7">
        <w:rPr>
          <w:rFonts w:eastAsia="SimSun" w:cs="Mangal"/>
          <w:kern w:val="3"/>
          <w:lang w:val="sr-Cyrl-CS" w:eastAsia="zh-CN" w:bidi="hi-IN"/>
        </w:rPr>
        <w:t>п</w:t>
      </w:r>
      <w:r w:rsidR="00EB6431" w:rsidRPr="00092ED7">
        <w:rPr>
          <w:rFonts w:eastAsia="SimSun" w:cs="Mangal"/>
          <w:kern w:val="3"/>
          <w:lang w:val="sr-Cyrl-CS" w:eastAsia="zh-CN" w:bidi="hi-IN"/>
        </w:rPr>
        <w:t>.</w:t>
      </w:r>
      <w:r w:rsidRPr="00092ED7">
        <w:rPr>
          <w:rFonts w:eastAsia="SimSun" w:cs="Mangal"/>
          <w:kern w:val="3"/>
          <w:lang w:val="sr-Cyrl-CS" w:eastAsia="zh-CN" w:bidi="hi-IN"/>
        </w:rPr>
        <w:t xml:space="preserve"> мг у 2020.), да би БДП достигао раст од 7,5% у 2021. мг, уз раст стопе запослености од 1,5 п</w:t>
      </w:r>
      <w:r w:rsidR="00EB6431" w:rsidRPr="00092ED7">
        <w:rPr>
          <w:rFonts w:eastAsia="SimSun" w:cs="Mangal"/>
          <w:kern w:val="3"/>
          <w:lang w:val="sr-Cyrl-CS" w:eastAsia="zh-CN" w:bidi="hi-IN"/>
        </w:rPr>
        <w:t>.</w:t>
      </w:r>
      <w:r w:rsidRPr="00092ED7">
        <w:rPr>
          <w:rFonts w:eastAsia="SimSun" w:cs="Mangal"/>
          <w:kern w:val="3"/>
          <w:lang w:val="sr-Cyrl-CS" w:eastAsia="zh-CN" w:bidi="hi-IN"/>
        </w:rPr>
        <w:t>п</w:t>
      </w:r>
      <w:r w:rsidR="00EB6431" w:rsidRPr="00092ED7">
        <w:rPr>
          <w:rFonts w:eastAsia="SimSun" w:cs="Mangal"/>
          <w:kern w:val="3"/>
          <w:lang w:val="sr-Cyrl-CS" w:eastAsia="zh-CN" w:bidi="hi-IN"/>
        </w:rPr>
        <w:t>.</w:t>
      </w:r>
      <w:r w:rsidRPr="00092ED7">
        <w:rPr>
          <w:rFonts w:eastAsia="SimSun" w:cs="Mangal"/>
          <w:kern w:val="3"/>
          <w:lang w:val="sr-Cyrl-CS" w:eastAsia="zh-CN" w:bidi="hi-IN"/>
        </w:rPr>
        <w:t xml:space="preserve"> мг. Основано је близу 30 хиљада предузећа више него што је угашено, са око 91 хиљадом запослених више након ванредног стања у периоду мај 2020. – мај 2022. Украјинска криза је на глобалном нивоу изазвала раст цена енергената и одређених сировина и производа, што је довело до растућих трошкова производње. У условима растуће глобалне инфлације, Светска банка је кориговала пројекције раста привредне активности </w:t>
      </w:r>
      <w:r w:rsidR="00657813" w:rsidRPr="00092ED7">
        <w:rPr>
          <w:rFonts w:eastAsia="SimSun" w:cs="Mangal"/>
          <w:kern w:val="3"/>
          <w:lang w:val="sr-Cyrl-CS" w:eastAsia="zh-CN" w:bidi="hi-IN"/>
        </w:rPr>
        <w:t xml:space="preserve">Републике </w:t>
      </w:r>
      <w:r w:rsidRPr="00092ED7">
        <w:rPr>
          <w:rFonts w:eastAsia="SimSun" w:cs="Mangal"/>
          <w:kern w:val="3"/>
          <w:lang w:val="sr-Cyrl-CS" w:eastAsia="zh-CN" w:bidi="hi-IN"/>
        </w:rPr>
        <w:t>Србије за 2022. годину, са 4,4% на 3,2% (остварен је раст БДП-а од 4,</w:t>
      </w:r>
      <w:r w:rsidR="001C075D" w:rsidRPr="00092ED7">
        <w:rPr>
          <w:rFonts w:eastAsia="SimSun" w:cs="Mangal"/>
          <w:kern w:val="3"/>
          <w:lang w:val="sr-Cyrl-CS" w:eastAsia="zh-CN" w:bidi="hi-IN"/>
        </w:rPr>
        <w:t>2</w:t>
      </w:r>
      <w:r w:rsidRPr="00092ED7">
        <w:rPr>
          <w:rFonts w:eastAsia="SimSun" w:cs="Mangal"/>
          <w:kern w:val="3"/>
          <w:lang w:val="sr-Cyrl-CS" w:eastAsia="zh-CN" w:bidi="hi-IN"/>
        </w:rPr>
        <w:t>% мг у Q1</w:t>
      </w:r>
      <w:r w:rsidR="001C075D" w:rsidRPr="00092ED7">
        <w:rPr>
          <w:rFonts w:eastAsia="SimSun" w:cs="Mangal"/>
          <w:kern w:val="3"/>
          <w:lang w:val="sr-Cyrl-CS" w:eastAsia="zh-CN" w:bidi="hi-IN"/>
        </w:rPr>
        <w:t>,</w:t>
      </w:r>
      <w:r w:rsidRPr="00092ED7">
        <w:rPr>
          <w:rFonts w:eastAsia="SimSun" w:cs="Mangal"/>
          <w:kern w:val="3"/>
          <w:lang w:val="sr-Cyrl-CS" w:eastAsia="zh-CN" w:bidi="hi-IN"/>
        </w:rPr>
        <w:t xml:space="preserve"> 3,</w:t>
      </w:r>
      <w:r w:rsidR="001C075D" w:rsidRPr="00092ED7">
        <w:rPr>
          <w:rFonts w:eastAsia="SimSun" w:cs="Mangal"/>
          <w:kern w:val="3"/>
          <w:lang w:val="sr-Cyrl-CS" w:eastAsia="zh-CN" w:bidi="hi-IN"/>
        </w:rPr>
        <w:t>8</w:t>
      </w:r>
      <w:r w:rsidRPr="00092ED7">
        <w:rPr>
          <w:rFonts w:eastAsia="SimSun" w:cs="Mangal"/>
          <w:kern w:val="3"/>
          <w:lang w:val="sr-Cyrl-CS" w:eastAsia="zh-CN" w:bidi="hi-IN"/>
        </w:rPr>
        <w:t>% у Q2</w:t>
      </w:r>
      <w:r w:rsidR="001C075D" w:rsidRPr="00092ED7">
        <w:rPr>
          <w:rFonts w:eastAsia="SimSun" w:cs="Mangal"/>
          <w:kern w:val="3"/>
          <w:lang w:val="sr-Cyrl-CS" w:eastAsia="zh-CN" w:bidi="hi-IN"/>
        </w:rPr>
        <w:t xml:space="preserve"> и 1% у Q3</w:t>
      </w:r>
      <w:r w:rsidRPr="00092ED7">
        <w:rPr>
          <w:rFonts w:eastAsia="SimSun" w:cs="Mangal"/>
          <w:kern w:val="3"/>
          <w:lang w:val="sr-Cyrl-CS" w:eastAsia="zh-CN" w:bidi="hi-IN"/>
        </w:rPr>
        <w:t xml:space="preserve"> 2022. године</w:t>
      </w:r>
      <w:r w:rsidR="001C075D" w:rsidRPr="00092ED7">
        <w:rPr>
          <w:rStyle w:val="FootnoteReference"/>
          <w:rFonts w:eastAsia="SimSun" w:cs="Mangal"/>
          <w:kern w:val="3"/>
          <w:lang w:val="sr-Cyrl-CS" w:eastAsia="zh-CN" w:bidi="hi-IN"/>
        </w:rPr>
        <w:footnoteReference w:id="64"/>
      </w:r>
      <w:r w:rsidRPr="00092ED7">
        <w:rPr>
          <w:rFonts w:eastAsia="SimSun" w:cs="Mangal"/>
          <w:kern w:val="3"/>
          <w:lang w:val="sr-Cyrl-CS" w:eastAsia="zh-CN" w:bidi="hi-IN"/>
        </w:rPr>
        <w:t xml:space="preserve">). У циљу олакшаног пословања привреде у новонасталим условима, Влада је усвојила </w:t>
      </w:r>
      <w:r w:rsidRPr="00092ED7">
        <w:rPr>
          <w:rFonts w:eastAsia="SimSun" w:cs="Mangal"/>
          <w:i/>
          <w:kern w:val="3"/>
          <w:lang w:val="sr-Cyrl-CS" w:eastAsia="zh-CN" w:bidi="hi-IN"/>
        </w:rPr>
        <w:t>Одлуку о условима и начину за смањење царинских дажбина на одређену робу, односно за изузимање одређене робе од плаћања царинских дажбина у 2022. години</w:t>
      </w:r>
      <w:r w:rsidRPr="00092ED7">
        <w:rPr>
          <w:rFonts w:eastAsia="SimSun" w:cs="Mangal"/>
          <w:kern w:val="3"/>
          <w:lang w:val="sr-Cyrl-CS" w:eastAsia="zh-CN" w:bidi="hi-IN"/>
        </w:rPr>
        <w:t xml:space="preserve"> (</w:t>
      </w:r>
      <w:r w:rsidR="001F62AF" w:rsidRPr="00092ED7">
        <w:rPr>
          <w:rFonts w:eastAsia="SimSun" w:cs="Mangal"/>
          <w:kern w:val="3"/>
          <w:lang w:val="sr-Cyrl-CS" w:eastAsia="zh-CN" w:bidi="hi-IN"/>
        </w:rPr>
        <w:t>„</w:t>
      </w:r>
      <w:r w:rsidR="00576076" w:rsidRPr="00092ED7">
        <w:rPr>
          <w:rFonts w:eastAsia="SimSun" w:cs="Mangal"/>
          <w:kern w:val="3"/>
          <w:lang w:val="sr-Cyrl-CS" w:eastAsia="zh-CN" w:bidi="hi-IN"/>
        </w:rPr>
        <w:t>Сл</w:t>
      </w:r>
      <w:r w:rsidR="00A75829" w:rsidRPr="00092ED7">
        <w:rPr>
          <w:rFonts w:eastAsia="SimSun" w:cs="Mangal"/>
          <w:kern w:val="3"/>
          <w:lang w:val="sr-Cyrl-CS" w:eastAsia="zh-CN" w:bidi="hi-IN"/>
        </w:rPr>
        <w:t>ужбени</w:t>
      </w:r>
      <w:r w:rsidRPr="00092ED7">
        <w:rPr>
          <w:rFonts w:eastAsia="SimSun" w:cs="Mangal"/>
          <w:kern w:val="3"/>
          <w:lang w:val="sr-Cyrl-CS" w:eastAsia="zh-CN" w:bidi="hi-IN"/>
        </w:rPr>
        <w:t xml:space="preserve"> гласник РС”, бр</w:t>
      </w:r>
      <w:r w:rsidR="00576076" w:rsidRPr="00092ED7">
        <w:rPr>
          <w:rFonts w:eastAsia="SimSun" w:cs="Mangal"/>
          <w:kern w:val="3"/>
          <w:lang w:val="sr-Cyrl-CS" w:eastAsia="zh-CN" w:bidi="hi-IN"/>
        </w:rPr>
        <w:t>.</w:t>
      </w:r>
      <w:r w:rsidRPr="00092ED7">
        <w:rPr>
          <w:rFonts w:eastAsia="SimSun" w:cs="Mangal"/>
          <w:kern w:val="3"/>
          <w:lang w:val="sr-Cyrl-CS" w:eastAsia="zh-CN" w:bidi="hi-IN"/>
        </w:rPr>
        <w:t xml:space="preserve"> 132/21, 9/22, 32/22</w:t>
      </w:r>
      <w:r w:rsidR="008479FB" w:rsidRPr="00092ED7">
        <w:rPr>
          <w:rFonts w:eastAsia="SimSun" w:cs="Mangal"/>
          <w:kern w:val="3"/>
          <w:lang w:val="sr-Cyrl-CS" w:eastAsia="zh-CN" w:bidi="hi-IN"/>
        </w:rPr>
        <w:t xml:space="preserve"> и</w:t>
      </w:r>
      <w:r w:rsidRPr="00092ED7">
        <w:rPr>
          <w:rFonts w:eastAsia="SimSun" w:cs="Mangal"/>
          <w:kern w:val="3"/>
          <w:lang w:val="sr-Cyrl-CS" w:eastAsia="zh-CN" w:bidi="hi-IN"/>
        </w:rPr>
        <w:t xml:space="preserve"> 77/22), којом је омогућен увоз одређене робе по царинској стопи од 0%. Такође, цене акциза на оловни и безоловни бензин и гасна уља се регулишу кроз измене </w:t>
      </w:r>
      <w:r w:rsidRPr="00092ED7">
        <w:rPr>
          <w:rFonts w:eastAsia="SimSun" w:cs="Mangal"/>
          <w:i/>
          <w:kern w:val="3"/>
          <w:lang w:val="sr-Cyrl-CS" w:eastAsia="zh-CN" w:bidi="hi-IN"/>
        </w:rPr>
        <w:t>Одлуке о привременом смањењу износа акциза на деривате нафте из члана 9. став 1 тач. 1), 2), 3) Закона о акцизама</w:t>
      </w:r>
      <w:r w:rsidRPr="00092ED7">
        <w:rPr>
          <w:rFonts w:eastAsia="SimSun" w:cs="Mangal"/>
          <w:kern w:val="3"/>
          <w:lang w:val="sr-Cyrl-CS" w:eastAsia="zh-CN" w:bidi="hi-IN"/>
        </w:rPr>
        <w:t xml:space="preserve"> </w:t>
      </w:r>
      <w:r w:rsidR="00056F47" w:rsidRPr="00092ED7">
        <w:rPr>
          <w:rFonts w:cs="Times New Roman"/>
          <w:szCs w:val="24"/>
          <w:lang w:val="sr-Cyrl-CS"/>
        </w:rPr>
        <w:t>(„Службени гласник РС”, бр.</w:t>
      </w:r>
      <w:r w:rsidR="005E36FC" w:rsidRPr="00092ED7">
        <w:rPr>
          <w:lang w:val="sr-Cyrl-CS"/>
        </w:rPr>
        <w:t xml:space="preserve"> </w:t>
      </w:r>
      <w:r w:rsidR="005E36FC" w:rsidRPr="00092ED7">
        <w:rPr>
          <w:rFonts w:cs="Times New Roman"/>
          <w:szCs w:val="24"/>
          <w:lang w:val="sr-Cyrl-CS"/>
        </w:rPr>
        <w:t>22/01, 73/01, 80/02, 80/02 - др. закон, 43/03, 72/03, 43/04, 55/04, 135/04, 46/05, 101/05 - др. закон, 61/07, 5/09, 31/09, 101/10, 43/11, 101/11, 93/12, 119/12, 47/13, 68/14 - др. закон, 142/14, 55/15, 103/15, 108/16, 30/18, 153/20 и 53/21</w:t>
      </w:r>
      <w:r w:rsidR="00056F47" w:rsidRPr="00092ED7">
        <w:rPr>
          <w:rFonts w:cs="Times New Roman"/>
          <w:szCs w:val="24"/>
          <w:lang w:val="sr-Cyrl-CS"/>
        </w:rPr>
        <w:t>)</w:t>
      </w:r>
      <w:r w:rsidR="00056F47" w:rsidRPr="00092ED7">
        <w:rPr>
          <w:rFonts w:eastAsia="SimSun" w:cs="Mangal"/>
          <w:kern w:val="3"/>
          <w:lang w:val="sr-Cyrl-CS" w:eastAsia="zh-CN" w:bidi="hi-IN"/>
        </w:rPr>
        <w:t xml:space="preserve">, </w:t>
      </w:r>
      <w:r w:rsidRPr="00092ED7">
        <w:rPr>
          <w:rFonts w:eastAsia="SimSun" w:cs="Mangal"/>
          <w:kern w:val="3"/>
          <w:lang w:val="sr-Cyrl-CS" w:eastAsia="zh-CN" w:bidi="hi-IN"/>
        </w:rPr>
        <w:t>у складу са динамиком промена цена на светском тржишту.</w:t>
      </w:r>
    </w:p>
    <w:p w14:paraId="706E4EF5" w14:textId="322185CF" w:rsidR="00D210F0" w:rsidRPr="00092ED7" w:rsidRDefault="00D210F0" w:rsidP="00D210F0">
      <w:pPr>
        <w:pStyle w:val="basic-paragraph"/>
        <w:shd w:val="clear" w:color="auto" w:fill="FFFFFF"/>
        <w:spacing w:before="0" w:beforeAutospacing="0" w:after="60" w:afterAutospacing="0"/>
        <w:jc w:val="both"/>
        <w:rPr>
          <w:b/>
          <w:color w:val="000000"/>
          <w:kern w:val="3"/>
          <w:lang w:val="sr-Cyrl-CS" w:eastAsia="zh-CN" w:bidi="hi-IN"/>
        </w:rPr>
      </w:pPr>
      <w:r w:rsidRPr="00092ED7">
        <w:rPr>
          <w:b/>
          <w:color w:val="000000"/>
          <w:kern w:val="3"/>
          <w:lang w:val="sr-Cyrl-CS" w:eastAsia="zh-CN" w:bidi="hi-IN"/>
        </w:rPr>
        <w:t xml:space="preserve">И поред евидентног напретка у транспарентности и поузданости регулаторног оквира, остају структурни изазови које треба даље унапређивати. </w:t>
      </w:r>
      <w:r w:rsidRPr="00092ED7">
        <w:rPr>
          <w:color w:val="000000"/>
          <w:kern w:val="3"/>
          <w:lang w:val="sr-Cyrl-CS" w:eastAsia="zh-CN" w:bidi="hi-IN"/>
        </w:rPr>
        <w:t>У извештају УН о развоју еУправе за 2022.</w:t>
      </w:r>
      <w:r w:rsidRPr="00092ED7">
        <w:rPr>
          <w:b/>
          <w:color w:val="000000"/>
          <w:kern w:val="3"/>
          <w:lang w:val="sr-Cyrl-CS" w:eastAsia="zh-CN" w:bidi="hi-IN"/>
        </w:rPr>
        <w:t xml:space="preserve"> </w:t>
      </w:r>
      <w:r w:rsidRPr="00092ED7">
        <w:rPr>
          <w:i/>
          <w:color w:val="000000"/>
          <w:kern w:val="3"/>
          <w:lang w:val="sr-Cyrl-CS" w:eastAsia="zh-CN" w:bidi="hi-IN"/>
        </w:rPr>
        <w:t>(United Nations eGovernment Development Survey 2022)</w:t>
      </w:r>
      <w:r w:rsidRPr="00092ED7">
        <w:rPr>
          <w:color w:val="000000"/>
          <w:kern w:val="3"/>
          <w:lang w:val="sr-Cyrl-CS" w:eastAsia="zh-CN" w:bidi="hi-IN"/>
        </w:rPr>
        <w:t>,</w:t>
      </w:r>
      <w:r w:rsidRPr="00092ED7">
        <w:rPr>
          <w:i/>
          <w:color w:val="000000"/>
          <w:kern w:val="3"/>
          <w:lang w:val="sr-Cyrl-CS" w:eastAsia="zh-CN" w:bidi="hi-IN"/>
        </w:rPr>
        <w:t xml:space="preserve"> </w:t>
      </w:r>
      <w:r w:rsidRPr="00092ED7">
        <w:rPr>
          <w:color w:val="000000"/>
          <w:kern w:val="3"/>
          <w:lang w:val="sr-Cyrl-CS" w:eastAsia="zh-CN" w:bidi="hi-IN"/>
        </w:rPr>
        <w:t>који садржи преглед стања и прати развој електронске управе у 193 државе чланице УН,</w:t>
      </w:r>
      <w:r w:rsidRPr="00092ED7">
        <w:rPr>
          <w:b/>
          <w:color w:val="000000"/>
          <w:kern w:val="3"/>
          <w:lang w:val="sr-Cyrl-CS" w:eastAsia="zh-CN" w:bidi="hi-IN"/>
        </w:rPr>
        <w:t xml:space="preserve"> </w:t>
      </w:r>
      <w:r w:rsidR="00657813" w:rsidRPr="00092ED7">
        <w:rPr>
          <w:b/>
          <w:color w:val="000000"/>
          <w:kern w:val="3"/>
          <w:lang w:val="sr-Cyrl-CS" w:eastAsia="zh-CN" w:bidi="hi-IN"/>
        </w:rPr>
        <w:t xml:space="preserve">Република </w:t>
      </w:r>
      <w:r w:rsidRPr="00092ED7">
        <w:rPr>
          <w:b/>
          <w:color w:val="000000"/>
          <w:kern w:val="3"/>
          <w:lang w:val="sr-Cyrl-CS" w:eastAsia="zh-CN" w:bidi="hi-IN"/>
        </w:rPr>
        <w:t xml:space="preserve">Србија се налази на 15. месту према индексу еПартиципације </w:t>
      </w:r>
      <w:r w:rsidRPr="00092ED7">
        <w:rPr>
          <w:color w:val="000000"/>
          <w:kern w:val="3"/>
          <w:lang w:val="sr-Cyrl-CS" w:eastAsia="zh-CN" w:bidi="hi-IN"/>
        </w:rPr>
        <w:t>(скок за 26 позиција), а само три чланице ЕУ (</w:t>
      </w:r>
      <w:r w:rsidR="00056F47" w:rsidRPr="00092ED7">
        <w:rPr>
          <w:color w:val="000000"/>
          <w:kern w:val="3"/>
          <w:lang w:val="sr-Cyrl-CS" w:eastAsia="zh-CN" w:bidi="hi-IN"/>
        </w:rPr>
        <w:t xml:space="preserve">Краљевина </w:t>
      </w:r>
      <w:r w:rsidRPr="00092ED7">
        <w:rPr>
          <w:color w:val="000000" w:themeColor="text1"/>
          <w:kern w:val="3"/>
          <w:lang w:val="sr-Cyrl-CS" w:eastAsia="zh-CN" w:bidi="hi-IN"/>
        </w:rPr>
        <w:t>Данска, Финска</w:t>
      </w:r>
      <w:r w:rsidR="00056F47" w:rsidRPr="00092ED7">
        <w:rPr>
          <w:color w:val="000000" w:themeColor="text1"/>
          <w:kern w:val="3"/>
          <w:lang w:val="sr-Cyrl-CS" w:eastAsia="zh-CN" w:bidi="hi-IN"/>
        </w:rPr>
        <w:t xml:space="preserve"> Република </w:t>
      </w:r>
      <w:r w:rsidRPr="00092ED7">
        <w:rPr>
          <w:color w:val="000000" w:themeColor="text1"/>
          <w:kern w:val="3"/>
          <w:lang w:val="sr-Cyrl-CS" w:eastAsia="zh-CN" w:bidi="hi-IN"/>
        </w:rPr>
        <w:t xml:space="preserve">и </w:t>
      </w:r>
      <w:r w:rsidR="00056F47" w:rsidRPr="00092ED7">
        <w:rPr>
          <w:color w:val="000000" w:themeColor="text1"/>
          <w:kern w:val="3"/>
          <w:lang w:val="sr-Cyrl-CS" w:eastAsia="zh-CN" w:bidi="hi-IN"/>
        </w:rPr>
        <w:t xml:space="preserve">Република </w:t>
      </w:r>
      <w:r w:rsidRPr="00092ED7">
        <w:rPr>
          <w:color w:val="000000" w:themeColor="text1"/>
          <w:kern w:val="3"/>
          <w:lang w:val="sr-Cyrl-CS" w:eastAsia="zh-CN" w:bidi="hi-IN"/>
        </w:rPr>
        <w:t xml:space="preserve">Естонија) </w:t>
      </w:r>
      <w:r w:rsidRPr="00092ED7">
        <w:rPr>
          <w:color w:val="000000"/>
          <w:kern w:val="3"/>
          <w:lang w:val="sr-Cyrl-CS" w:eastAsia="zh-CN" w:bidi="hi-IN"/>
        </w:rPr>
        <w:t>имају партиципативнију онлајн интеракцију државе и грађана</w:t>
      </w:r>
      <w:r w:rsidRPr="00092ED7">
        <w:rPr>
          <w:lang w:val="sr-Cyrl-CS"/>
        </w:rPr>
        <w:t>.</w:t>
      </w:r>
      <w:r w:rsidRPr="00092ED7">
        <w:rPr>
          <w:color w:val="000000"/>
          <w:kern w:val="3"/>
          <w:lang w:val="sr-Cyrl-CS" w:eastAsia="zh-CN" w:bidi="hi-IN"/>
        </w:rPr>
        <w:t xml:space="preserve"> Обавеза транспарентности припреме нацрта закона и других прописа и аката (нових или измењених и допуњених) утврђена је кроз усвајање одређених прописа. Пре свега то су </w:t>
      </w:r>
      <w:r w:rsidRPr="00092ED7">
        <w:rPr>
          <w:i/>
          <w:color w:val="000000"/>
          <w:kern w:val="3"/>
          <w:lang w:val="sr-Cyrl-CS" w:eastAsia="zh-CN" w:bidi="hi-IN"/>
        </w:rPr>
        <w:t>Закон о државној управи</w:t>
      </w:r>
      <w:r w:rsidRPr="00092ED7">
        <w:rPr>
          <w:color w:val="000000"/>
          <w:kern w:val="3"/>
          <w:lang w:val="sr-Cyrl-CS" w:eastAsia="zh-CN" w:bidi="hi-IN"/>
        </w:rPr>
        <w:t xml:space="preserve"> </w:t>
      </w:r>
      <w:r w:rsidRPr="00092ED7">
        <w:rPr>
          <w:rFonts w:eastAsia="Calibri"/>
          <w:lang w:val="sr-Cyrl-CS"/>
        </w:rPr>
        <w:t>(„Сл</w:t>
      </w:r>
      <w:r w:rsidR="00A75829" w:rsidRPr="00092ED7">
        <w:rPr>
          <w:rFonts w:eastAsia="Calibri"/>
          <w:lang w:val="sr-Cyrl-CS"/>
        </w:rPr>
        <w:t>ужбени</w:t>
      </w:r>
      <w:r w:rsidRPr="00092ED7">
        <w:rPr>
          <w:rFonts w:eastAsia="Calibri"/>
          <w:lang w:val="sr-Cyrl-CS"/>
        </w:rPr>
        <w:t xml:space="preserve"> гласник РС</w:t>
      </w:r>
      <w:r w:rsidR="00A75829" w:rsidRPr="00092ED7">
        <w:rPr>
          <w:lang w:val="sr-Cyrl-CS"/>
        </w:rPr>
        <w:t>”</w:t>
      </w:r>
      <w:r w:rsidRPr="00092ED7">
        <w:rPr>
          <w:rFonts w:eastAsia="Calibri"/>
          <w:lang w:val="sr-Cyrl-CS"/>
        </w:rPr>
        <w:t xml:space="preserve">, бр. 79/05, 101/07, 95/10, 99/14, 30/18 – др. закон и </w:t>
      </w:r>
      <w:r w:rsidRPr="00092ED7">
        <w:rPr>
          <w:color w:val="000000"/>
          <w:kern w:val="3"/>
          <w:lang w:val="sr-Cyrl-CS" w:eastAsia="zh-CN" w:bidi="hi-IN"/>
        </w:rPr>
        <w:t xml:space="preserve">47/18), </w:t>
      </w:r>
      <w:r w:rsidRPr="00092ED7">
        <w:rPr>
          <w:i/>
          <w:color w:val="000000"/>
          <w:kern w:val="3"/>
          <w:lang w:val="sr-Cyrl-CS" w:eastAsia="zh-CN" w:bidi="hi-IN"/>
        </w:rPr>
        <w:t>Закон о планском систему Републике Србије</w:t>
      </w:r>
      <w:r w:rsidRPr="00092ED7">
        <w:rPr>
          <w:color w:val="000000"/>
          <w:kern w:val="3"/>
          <w:lang w:val="sr-Cyrl-CS" w:eastAsia="zh-CN" w:bidi="hi-IN"/>
        </w:rPr>
        <w:t xml:space="preserve">, </w:t>
      </w:r>
      <w:r w:rsidRPr="00092ED7">
        <w:rPr>
          <w:i/>
          <w:color w:val="000000"/>
          <w:kern w:val="3"/>
          <w:lang w:val="sr-Cyrl-CS" w:eastAsia="zh-CN" w:bidi="hi-IN"/>
        </w:rPr>
        <w:t>Уредба о методологији управљања јавним политикама</w:t>
      </w:r>
      <w:r w:rsidRPr="00092ED7">
        <w:rPr>
          <w:i/>
          <w:kern w:val="3"/>
          <w:lang w:val="sr-Cyrl-CS" w:eastAsia="zh-CN" w:bidi="hi-IN"/>
        </w:rPr>
        <w:t>,</w:t>
      </w:r>
      <w:r w:rsidRPr="00092ED7">
        <w:rPr>
          <w:i/>
          <w:color w:val="FF0000"/>
          <w:kern w:val="3"/>
          <w:lang w:val="sr-Cyrl-CS" w:eastAsia="zh-CN" w:bidi="hi-IN"/>
        </w:rPr>
        <w:t xml:space="preserve"> </w:t>
      </w:r>
      <w:r w:rsidRPr="00092ED7">
        <w:rPr>
          <w:i/>
          <w:color w:val="000000"/>
          <w:kern w:val="3"/>
          <w:lang w:val="sr-Cyrl-CS" w:eastAsia="zh-CN" w:bidi="hi-IN"/>
        </w:rPr>
        <w:t>анализи ефеката јавних политика и прописа и садржају појединачних докумената јавних политика</w:t>
      </w:r>
      <w:r w:rsidRPr="00092ED7">
        <w:rPr>
          <w:rStyle w:val="FootnoteReference"/>
          <w:i/>
          <w:color w:val="000000"/>
          <w:kern w:val="3"/>
          <w:lang w:val="sr-Cyrl-CS" w:eastAsia="zh-CN" w:bidi="hi-IN"/>
        </w:rPr>
        <w:footnoteReference w:id="65"/>
      </w:r>
      <w:r w:rsidRPr="00092ED7">
        <w:rPr>
          <w:i/>
          <w:color w:val="000000"/>
          <w:kern w:val="3"/>
          <w:lang w:val="sr-Cyrl-CS" w:eastAsia="zh-CN" w:bidi="hi-IN"/>
        </w:rPr>
        <w:t xml:space="preserve"> </w:t>
      </w:r>
      <w:r w:rsidRPr="00092ED7">
        <w:rPr>
          <w:rFonts w:eastAsia="Calibri"/>
          <w:lang w:val="sr-Cyrl-CS"/>
        </w:rPr>
        <w:t>(„Сл</w:t>
      </w:r>
      <w:r w:rsidR="00A75829" w:rsidRPr="00092ED7">
        <w:rPr>
          <w:rFonts w:eastAsia="Calibri"/>
          <w:lang w:val="sr-Cyrl-CS"/>
        </w:rPr>
        <w:t>ужбени</w:t>
      </w:r>
      <w:r w:rsidR="00576076" w:rsidRPr="00092ED7">
        <w:rPr>
          <w:rFonts w:eastAsia="Calibri"/>
          <w:lang w:val="sr-Cyrl-CS"/>
        </w:rPr>
        <w:t xml:space="preserve"> гласник РС</w:t>
      </w:r>
      <w:r w:rsidR="00A75829" w:rsidRPr="00092ED7">
        <w:rPr>
          <w:lang w:val="sr-Cyrl-CS"/>
        </w:rPr>
        <w:t>”</w:t>
      </w:r>
      <w:r w:rsidR="00576076" w:rsidRPr="00092ED7">
        <w:rPr>
          <w:rFonts w:eastAsia="Calibri"/>
          <w:lang w:val="sr-Cyrl-CS"/>
        </w:rPr>
        <w:t>, бр</w:t>
      </w:r>
      <w:r w:rsidR="00A75829" w:rsidRPr="00092ED7">
        <w:rPr>
          <w:rFonts w:eastAsia="Calibri"/>
          <w:lang w:val="sr-Cyrl-CS"/>
        </w:rPr>
        <w:t>ој</w:t>
      </w:r>
      <w:r w:rsidRPr="00092ED7">
        <w:rPr>
          <w:rFonts w:eastAsia="Calibri"/>
          <w:lang w:val="sr-Cyrl-CS"/>
        </w:rPr>
        <w:t xml:space="preserve"> </w:t>
      </w:r>
      <w:r w:rsidRPr="00092ED7">
        <w:rPr>
          <w:color w:val="000000"/>
          <w:kern w:val="3"/>
          <w:lang w:val="sr-Cyrl-CS" w:eastAsia="zh-CN" w:bidi="hi-IN"/>
        </w:rPr>
        <w:t xml:space="preserve">8/19), </w:t>
      </w:r>
      <w:r w:rsidRPr="00092ED7">
        <w:rPr>
          <w:i/>
          <w:color w:val="000000"/>
          <w:kern w:val="3"/>
          <w:lang w:val="sr-Cyrl-CS" w:eastAsia="zh-CN" w:bidi="hi-IN"/>
        </w:rPr>
        <w:t>Правилник о смерницама добре праксе за остваривање учешћа јавности у припреми нацрта закона и других прописа и аката (</w:t>
      </w:r>
      <w:r w:rsidRPr="00092ED7">
        <w:rPr>
          <w:rFonts w:eastAsia="Calibri"/>
          <w:lang w:val="sr-Cyrl-CS"/>
        </w:rPr>
        <w:t>„Сл</w:t>
      </w:r>
      <w:r w:rsidR="00A75829" w:rsidRPr="00092ED7">
        <w:rPr>
          <w:rFonts w:eastAsia="Calibri"/>
          <w:lang w:val="sr-Cyrl-CS"/>
        </w:rPr>
        <w:t>ужбени</w:t>
      </w:r>
      <w:r w:rsidRPr="00092ED7">
        <w:rPr>
          <w:rFonts w:eastAsia="Calibri"/>
          <w:lang w:val="sr-Cyrl-CS"/>
        </w:rPr>
        <w:t xml:space="preserve"> гласник РС</w:t>
      </w:r>
      <w:r w:rsidR="00A75829" w:rsidRPr="00092ED7">
        <w:rPr>
          <w:lang w:val="sr-Cyrl-CS"/>
        </w:rPr>
        <w:t>”</w:t>
      </w:r>
      <w:r w:rsidRPr="00092ED7">
        <w:rPr>
          <w:rFonts w:eastAsia="Calibri"/>
          <w:lang w:val="sr-Cyrl-CS"/>
        </w:rPr>
        <w:t>, бр</w:t>
      </w:r>
      <w:r w:rsidR="00A75829" w:rsidRPr="00092ED7">
        <w:rPr>
          <w:rFonts w:eastAsia="Calibri"/>
          <w:lang w:val="sr-Cyrl-CS"/>
        </w:rPr>
        <w:t>ој</w:t>
      </w:r>
      <w:r w:rsidRPr="00092ED7">
        <w:rPr>
          <w:rFonts w:eastAsia="Calibri"/>
          <w:lang w:val="sr-Cyrl-CS"/>
        </w:rPr>
        <w:t xml:space="preserve"> 51/19</w:t>
      </w:r>
      <w:r w:rsidRPr="00092ED7">
        <w:rPr>
          <w:i/>
          <w:color w:val="000000"/>
          <w:kern w:val="3"/>
          <w:lang w:val="sr-Cyrl-CS" w:eastAsia="zh-CN" w:bidi="hi-IN"/>
        </w:rPr>
        <w:t xml:space="preserve">), </w:t>
      </w:r>
      <w:r w:rsidRPr="00092ED7">
        <w:rPr>
          <w:color w:val="000000"/>
          <w:kern w:val="3"/>
          <w:lang w:val="sr-Cyrl-CS" w:eastAsia="zh-CN" w:bidi="hi-IN"/>
        </w:rPr>
        <w:t>као и</w:t>
      </w:r>
      <w:r w:rsidRPr="00092ED7">
        <w:rPr>
          <w:i/>
          <w:color w:val="000000"/>
          <w:kern w:val="3"/>
          <w:lang w:val="sr-Cyrl-CS" w:eastAsia="zh-CN" w:bidi="hi-IN"/>
        </w:rPr>
        <w:t xml:space="preserve"> Програм унапређења управљања јавним политикама и регулаторном реформом са Акционим планом за период</w:t>
      </w:r>
      <w:r w:rsidR="008479FB" w:rsidRPr="00092ED7">
        <w:rPr>
          <w:i/>
          <w:color w:val="000000"/>
          <w:kern w:val="3"/>
          <w:lang w:val="sr-Cyrl-CS" w:eastAsia="zh-CN" w:bidi="hi-IN"/>
        </w:rPr>
        <w:t xml:space="preserve"> 2021-2025. </w:t>
      </w:r>
      <w:r w:rsidR="008479FB" w:rsidRPr="00092ED7">
        <w:rPr>
          <w:color w:val="000000"/>
          <w:kern w:val="3"/>
          <w:lang w:val="sr-Cyrl-CS" w:eastAsia="zh-CN" w:bidi="hi-IN"/>
        </w:rPr>
        <w:t>(„Службени гласник РС”, број 113/21)</w:t>
      </w:r>
      <w:r w:rsidRPr="00092ED7">
        <w:rPr>
          <w:color w:val="000000"/>
          <w:kern w:val="3"/>
          <w:lang w:val="sr-Cyrl-CS" w:eastAsia="zh-CN" w:bidi="hi-IN"/>
        </w:rPr>
        <w:t xml:space="preserve">. </w:t>
      </w:r>
      <w:r w:rsidRPr="00092ED7">
        <w:rPr>
          <w:kern w:val="3"/>
          <w:lang w:val="sr-Cyrl-CS" w:eastAsia="zh-CN" w:bidi="hi-IN"/>
        </w:rPr>
        <w:t xml:space="preserve">Припремљен је и јавно доступан </w:t>
      </w:r>
      <w:r w:rsidRPr="00092ED7">
        <w:rPr>
          <w:i/>
          <w:kern w:val="3"/>
          <w:lang w:val="sr-Cyrl-CS" w:eastAsia="zh-CN" w:bidi="hi-IN"/>
        </w:rPr>
        <w:t>Приручник за учешће јавности у планирању, изради и праћењу спровођења јавних политика и прописа</w:t>
      </w:r>
      <w:r w:rsidRPr="00092ED7">
        <w:rPr>
          <w:kern w:val="3"/>
          <w:vertAlign w:val="superscript"/>
          <w:lang w:val="sr-Cyrl-CS" w:eastAsia="zh-CN" w:bidi="hi-IN"/>
        </w:rPr>
        <w:footnoteReference w:id="66"/>
      </w:r>
      <w:r w:rsidRPr="00092ED7">
        <w:rPr>
          <w:i/>
          <w:kern w:val="3"/>
          <w:lang w:val="sr-Cyrl-CS" w:eastAsia="zh-CN" w:bidi="hi-IN"/>
        </w:rPr>
        <w:t xml:space="preserve"> </w:t>
      </w:r>
      <w:r w:rsidRPr="00092ED7">
        <w:rPr>
          <w:kern w:val="3"/>
          <w:lang w:val="sr-Cyrl-CS" w:eastAsia="zh-CN" w:bidi="hi-IN"/>
        </w:rPr>
        <w:t xml:space="preserve">уз подршку ЕУ. Иако је за само 44,4% закона усвојених 2021. године спроведен консултативни процес на начин предвиђен регулaторним оквиром, то је ипак за </w:t>
      </w:r>
      <w:r w:rsidR="001C075D" w:rsidRPr="00092ED7">
        <w:rPr>
          <w:kern w:val="3"/>
          <w:lang w:val="sr-Cyrl-CS" w:eastAsia="zh-CN" w:bidi="hi-IN"/>
        </w:rPr>
        <w:t xml:space="preserve">8,4 </w:t>
      </w:r>
      <w:r w:rsidRPr="00092ED7">
        <w:rPr>
          <w:kern w:val="3"/>
          <w:lang w:val="sr-Cyrl-CS" w:eastAsia="zh-CN" w:bidi="hi-IN"/>
        </w:rPr>
        <w:t>п.п. више него 2020. године</w:t>
      </w:r>
      <w:r w:rsidRPr="00092ED7">
        <w:rPr>
          <w:rStyle w:val="FootnoteReference"/>
          <w:kern w:val="3"/>
          <w:lang w:val="sr-Cyrl-CS" w:eastAsia="zh-CN" w:bidi="hi-IN"/>
        </w:rPr>
        <w:footnoteReference w:id="67"/>
      </w:r>
      <w:r w:rsidRPr="00092ED7">
        <w:rPr>
          <w:kern w:val="3"/>
          <w:lang w:val="sr-Cyrl-CS" w:eastAsia="zh-CN" w:bidi="hi-IN"/>
        </w:rPr>
        <w:t xml:space="preserve">. </w:t>
      </w:r>
      <w:r w:rsidRPr="00092ED7">
        <w:rPr>
          <w:b/>
          <w:kern w:val="3"/>
          <w:lang w:val="sr-Cyrl-CS" w:eastAsia="zh-CN" w:bidi="hi-IN"/>
        </w:rPr>
        <w:t>П</w:t>
      </w:r>
      <w:r w:rsidRPr="00092ED7">
        <w:rPr>
          <w:b/>
          <w:lang w:val="sr-Cyrl-CS"/>
        </w:rPr>
        <w:t>ортал еКонсултације</w:t>
      </w:r>
      <w:r w:rsidRPr="00092ED7">
        <w:rPr>
          <w:lang w:val="sr-Cyrl-CS"/>
        </w:rPr>
        <w:t xml:space="preserve"> (саставни део портала еУправа) потпуно је функционалан од децембра 2021. године и доприноси равноправнијем учешћу јавности, пре свега грађана у процесу припреме и усвајања прописа и докумената јавних политика. </w:t>
      </w:r>
    </w:p>
    <w:p w14:paraId="52D7F048" w14:textId="18AF6576" w:rsidR="00D210F0" w:rsidRPr="00092ED7" w:rsidRDefault="00D210F0" w:rsidP="00D210F0">
      <w:pPr>
        <w:tabs>
          <w:tab w:val="left" w:pos="2970"/>
        </w:tabs>
        <w:spacing w:after="60"/>
        <w:rPr>
          <w:rFonts w:eastAsia="Times New Roman" w:cs="Times New Roman"/>
          <w:strike/>
          <w:kern w:val="3"/>
          <w:szCs w:val="24"/>
          <w:lang w:val="sr-Cyrl-CS" w:eastAsia="zh-CN" w:bidi="hi-IN"/>
        </w:rPr>
      </w:pPr>
      <w:r w:rsidRPr="00092ED7">
        <w:rPr>
          <w:rFonts w:eastAsia="Times New Roman" w:cs="Times New Roman"/>
          <w:b/>
          <w:kern w:val="3"/>
          <w:szCs w:val="24"/>
          <w:lang w:val="sr-Cyrl-CS" w:eastAsia="zh-CN" w:bidi="hi-IN"/>
        </w:rPr>
        <w:t>Неопходни су даљи напори на побољшању квалитета и смањења оптерећености правосудног система</w:t>
      </w:r>
      <w:r w:rsidRPr="00092ED7">
        <w:rPr>
          <w:rFonts w:eastAsia="Times New Roman" w:cs="Times New Roman"/>
          <w:kern w:val="3"/>
          <w:szCs w:val="24"/>
          <w:lang w:val="sr-Cyrl-CS" w:eastAsia="zh-CN" w:bidi="hi-IN"/>
        </w:rPr>
        <w:t xml:space="preserve">. </w:t>
      </w:r>
      <w:r w:rsidR="00747FAA" w:rsidRPr="00092ED7">
        <w:rPr>
          <w:rFonts w:eastAsia="Times New Roman" w:cs="Times New Roman"/>
          <w:kern w:val="3"/>
          <w:szCs w:val="24"/>
          <w:lang w:val="sr-Cyrl-CS" w:eastAsia="zh-CN" w:bidi="hi-IN"/>
        </w:rPr>
        <w:t xml:space="preserve">Доношењем Одлуке о проглашењу </w:t>
      </w:r>
      <w:r w:rsidRPr="00092ED7">
        <w:rPr>
          <w:rFonts w:eastAsia="Times New Roman" w:cs="Times New Roman"/>
          <w:i/>
          <w:kern w:val="3"/>
          <w:szCs w:val="24"/>
          <w:lang w:val="sr-Cyrl-CS" w:eastAsia="zh-CN" w:bidi="hi-IN"/>
        </w:rPr>
        <w:t xml:space="preserve">Акта о </w:t>
      </w:r>
      <w:r w:rsidR="00747FAA" w:rsidRPr="00092ED7">
        <w:rPr>
          <w:rFonts w:eastAsia="Times New Roman" w:cs="Times New Roman"/>
          <w:i/>
          <w:kern w:val="3"/>
          <w:szCs w:val="24"/>
          <w:lang w:val="sr-Cyrl-CS" w:eastAsia="zh-CN" w:bidi="hi-IN"/>
        </w:rPr>
        <w:t xml:space="preserve">промени </w:t>
      </w:r>
      <w:r w:rsidRPr="00092ED7">
        <w:rPr>
          <w:rFonts w:eastAsia="Times New Roman" w:cs="Times New Roman"/>
          <w:i/>
          <w:kern w:val="3"/>
          <w:szCs w:val="24"/>
          <w:lang w:val="sr-Cyrl-CS" w:eastAsia="zh-CN" w:bidi="hi-IN"/>
        </w:rPr>
        <w:t xml:space="preserve">Устава </w:t>
      </w:r>
      <w:r w:rsidR="00056F47" w:rsidRPr="00092ED7">
        <w:rPr>
          <w:rFonts w:eastAsia="Times New Roman" w:cs="Times New Roman"/>
          <w:i/>
          <w:kern w:val="3"/>
          <w:szCs w:val="24"/>
          <w:lang w:val="sr-Cyrl-CS" w:eastAsia="zh-CN" w:bidi="hi-IN"/>
        </w:rPr>
        <w:t xml:space="preserve">Републике </w:t>
      </w:r>
      <w:r w:rsidRPr="00092ED7">
        <w:rPr>
          <w:rFonts w:eastAsia="Times New Roman" w:cs="Times New Roman"/>
          <w:i/>
          <w:kern w:val="3"/>
          <w:szCs w:val="24"/>
          <w:lang w:val="sr-Cyrl-CS" w:eastAsia="zh-CN" w:bidi="hi-IN"/>
        </w:rPr>
        <w:t>Србије</w:t>
      </w:r>
      <w:r w:rsidRPr="00092ED7">
        <w:rPr>
          <w:lang w:val="sr-Cyrl-CS"/>
        </w:rPr>
        <w:t xml:space="preserve"> </w:t>
      </w:r>
      <w:r w:rsidR="008479FB" w:rsidRPr="00092ED7">
        <w:rPr>
          <w:i/>
          <w:lang w:val="sr-Cyrl-CS"/>
        </w:rPr>
        <w:t>(</w:t>
      </w:r>
      <w:r w:rsidR="008479FB" w:rsidRPr="00092ED7">
        <w:rPr>
          <w:lang w:val="sr-Cyrl-CS"/>
        </w:rPr>
        <w:t xml:space="preserve">„Службени гласник РС”, број 16/22) </w:t>
      </w:r>
      <w:r w:rsidRPr="00092ED7">
        <w:rPr>
          <w:rFonts w:eastAsia="Times New Roman" w:cs="Times New Roman"/>
          <w:kern w:val="3"/>
          <w:szCs w:val="24"/>
          <w:lang w:val="sr-Cyrl-CS" w:eastAsia="zh-CN" w:bidi="hi-IN"/>
        </w:rPr>
        <w:t>створени су услови за јачање независности и одговорности правосуђа и</w:t>
      </w:r>
      <w:r w:rsidRPr="00092ED7">
        <w:rPr>
          <w:rFonts w:eastAsia="Times New Roman" w:cs="Times New Roman"/>
          <w:b/>
          <w:kern w:val="3"/>
          <w:szCs w:val="24"/>
          <w:lang w:val="sr-Cyrl-CS" w:eastAsia="zh-CN" w:bidi="hi-IN"/>
        </w:rPr>
        <w:t xml:space="preserve"> </w:t>
      </w:r>
      <w:r w:rsidRPr="00092ED7">
        <w:rPr>
          <w:rFonts w:eastAsia="Times New Roman" w:cs="Times New Roman"/>
          <w:kern w:val="3"/>
          <w:szCs w:val="24"/>
          <w:lang w:val="sr-Cyrl-CS" w:eastAsia="zh-CN" w:bidi="hi-IN"/>
        </w:rPr>
        <w:t xml:space="preserve">даље оснаживање владавине права. Међутим, мањак кадрова и недостатак континуираног усавршавања судија доводи </w:t>
      </w:r>
      <w:r w:rsidR="001F62AF" w:rsidRPr="00092ED7">
        <w:rPr>
          <w:rFonts w:eastAsia="Times New Roman" w:cs="Times New Roman"/>
          <w:kern w:val="3"/>
          <w:szCs w:val="24"/>
          <w:lang w:val="sr-Cyrl-CS" w:eastAsia="zh-CN" w:bidi="hi-IN"/>
        </w:rPr>
        <w:t xml:space="preserve">до </w:t>
      </w:r>
      <w:r w:rsidRPr="00092ED7">
        <w:rPr>
          <w:rFonts w:eastAsia="Times New Roman" w:cs="Times New Roman"/>
          <w:kern w:val="3"/>
          <w:szCs w:val="24"/>
          <w:lang w:val="sr-Cyrl-CS" w:eastAsia="zh-CN" w:bidi="hi-IN"/>
        </w:rPr>
        <w:t>великог броја нерешених случајева и до недоследности у пресудама. У Рeпублици Србији постоји 160 судова са систематизованих 3.073 судијских места (ефективно 2.508 судија у 2021. години чија је просечна старост 52 године). Број просечно решених предмета по једном судији износио је 963 у 2021. (784 у 2020. години). Примљено је 2,4 мил</w:t>
      </w:r>
      <w:r w:rsidR="001F62AF" w:rsidRPr="00092ED7">
        <w:rPr>
          <w:rFonts w:eastAsia="Times New Roman" w:cs="Times New Roman"/>
          <w:kern w:val="3"/>
          <w:szCs w:val="24"/>
          <w:lang w:val="sr-Cyrl-CS" w:eastAsia="zh-CN" w:bidi="hi-IN"/>
        </w:rPr>
        <w:t>иона</w:t>
      </w:r>
      <w:r w:rsidRPr="00092ED7">
        <w:rPr>
          <w:rFonts w:eastAsia="Times New Roman" w:cs="Times New Roman"/>
          <w:kern w:val="3"/>
          <w:szCs w:val="24"/>
          <w:lang w:val="sr-Cyrl-CS" w:eastAsia="zh-CN" w:bidi="hi-IN"/>
        </w:rPr>
        <w:t xml:space="preserve"> нових предмета у 2021. (958 по судији), што је више него 2020. (727 нових предмета по судији). Иако је и даље висок, број нерешених предмета континуирано се смањује (мање од 1,5 милиона у 2021. са 3,2 мил. у 2012. години), као и потребно време за решавање предмета (на 226 дана у 2021. са 274 у 2020. години, а 534 дана у 2012. години). У просеку се 67,8% предмета реши у првој години, за 30,7% предмета време решавања је од једне до три године, а за решавање 1,5% судских предмета потребно је више од три године</w:t>
      </w:r>
      <w:r w:rsidRPr="00092ED7">
        <w:rPr>
          <w:rStyle w:val="FootnoteReference"/>
          <w:rFonts w:eastAsia="Times New Roman" w:cs="Times New Roman"/>
          <w:kern w:val="3"/>
          <w:szCs w:val="24"/>
          <w:lang w:val="sr-Cyrl-CS" w:eastAsia="zh-CN" w:bidi="hi-IN"/>
        </w:rPr>
        <w:footnoteReference w:id="68"/>
      </w:r>
      <w:r w:rsidRPr="00092ED7">
        <w:rPr>
          <w:rFonts w:eastAsia="Times New Roman" w:cs="Times New Roman"/>
          <w:kern w:val="3"/>
          <w:szCs w:val="24"/>
          <w:lang w:val="sr-Cyrl-CS" w:eastAsia="zh-CN" w:bidi="hi-IN"/>
        </w:rPr>
        <w:t xml:space="preserve">. У циљу смањења броја нерешених предмета, Врховни касациони суд је донео </w:t>
      </w:r>
      <w:r w:rsidRPr="00092ED7">
        <w:rPr>
          <w:rFonts w:eastAsia="Times New Roman" w:cs="Times New Roman"/>
          <w:i/>
          <w:kern w:val="3"/>
          <w:szCs w:val="24"/>
          <w:lang w:val="sr-Cyrl-CS" w:eastAsia="zh-CN" w:bidi="hi-IN"/>
        </w:rPr>
        <w:t>Јединствени програм решавања старих предмета у Републици Србији</w:t>
      </w:r>
      <w:r w:rsidRPr="00092ED7">
        <w:rPr>
          <w:rFonts w:eastAsia="Times New Roman" w:cs="Times New Roman"/>
          <w:kern w:val="3"/>
          <w:szCs w:val="24"/>
          <w:lang w:val="sr-Cyrl-CS" w:eastAsia="zh-CN" w:bidi="hi-IN"/>
        </w:rPr>
        <w:t xml:space="preserve"> </w:t>
      </w:r>
      <w:r w:rsidRPr="00092ED7">
        <w:rPr>
          <w:rFonts w:eastAsia="Times New Roman" w:cs="Times New Roman"/>
          <w:i/>
          <w:kern w:val="3"/>
          <w:szCs w:val="24"/>
          <w:lang w:val="sr-Cyrl-CS" w:eastAsia="zh-CN" w:bidi="hi-IN"/>
        </w:rPr>
        <w:t>2021-2025</w:t>
      </w:r>
      <w:r w:rsidRPr="00092ED7">
        <w:rPr>
          <w:rFonts w:eastAsia="Times New Roman" w:cs="Times New Roman"/>
          <w:kern w:val="3"/>
          <w:szCs w:val="24"/>
          <w:lang w:val="sr-Cyrl-CS" w:eastAsia="zh-CN" w:bidi="hi-IN"/>
        </w:rPr>
        <w:t xml:space="preserve">. године, којим су обухваћени сви предмети старији од </w:t>
      </w:r>
      <w:r w:rsidR="00571BD7" w:rsidRPr="00092ED7">
        <w:rPr>
          <w:rFonts w:eastAsia="Times New Roman" w:cs="Times New Roman"/>
          <w:kern w:val="3"/>
          <w:szCs w:val="24"/>
          <w:lang w:val="sr-Cyrl-CS" w:eastAsia="zh-CN" w:bidi="hi-IN"/>
        </w:rPr>
        <w:t>три</w:t>
      </w:r>
      <w:r w:rsidRPr="00092ED7">
        <w:rPr>
          <w:rFonts w:eastAsia="Times New Roman" w:cs="Times New Roman"/>
          <w:kern w:val="3"/>
          <w:szCs w:val="24"/>
          <w:lang w:val="sr-Cyrl-CS" w:eastAsia="zh-CN" w:bidi="hi-IN"/>
        </w:rPr>
        <w:t xml:space="preserve"> године од дана подношења иницијалног акта.</w:t>
      </w:r>
    </w:p>
    <w:p w14:paraId="4129EDEC" w14:textId="1BD40DF3" w:rsidR="00D210F0" w:rsidRPr="00092ED7" w:rsidRDefault="00D210F0" w:rsidP="00B640AF">
      <w:pPr>
        <w:rPr>
          <w:rFonts w:cs="Times New Roman"/>
          <w:szCs w:val="24"/>
          <w:lang w:val="sr-Cyrl-CS"/>
        </w:rPr>
      </w:pPr>
      <w:r w:rsidRPr="00092ED7">
        <w:rPr>
          <w:rFonts w:eastAsia="Times New Roman" w:cs="Times New Roman"/>
          <w:b/>
          <w:color w:val="000000"/>
          <w:kern w:val="3"/>
          <w:szCs w:val="24"/>
          <w:lang w:val="sr-Cyrl-CS" w:eastAsia="zh-CN" w:bidi="hi-IN"/>
        </w:rPr>
        <w:t xml:space="preserve">Поред запаженог напретка у смањењу административног терета на привреду последњих година, пословно окружење у Републици Србији и даље је оптерећено трошковима и компликованим административним поступцима, </w:t>
      </w:r>
      <w:r w:rsidRPr="00092ED7">
        <w:rPr>
          <w:rFonts w:eastAsia="Times New Roman" w:cs="Times New Roman"/>
          <w:color w:val="000000"/>
          <w:kern w:val="3"/>
          <w:szCs w:val="24"/>
          <w:lang w:val="sr-Cyrl-CS" w:eastAsia="zh-CN" w:bidi="hi-IN"/>
        </w:rPr>
        <w:t>што неповољно утиче на инвестиције и развој и раст сектора малих и средњих предузећа. Административно оптерећење привреде у Републици Србији смањено је на 2,92% БДП у 2021.</w:t>
      </w:r>
      <w:r w:rsidRPr="00092ED7">
        <w:rPr>
          <w:rFonts w:eastAsia="Times New Roman" w:cs="Times New Roman"/>
          <w:color w:val="000000"/>
          <w:kern w:val="3"/>
          <w:szCs w:val="24"/>
          <w:vertAlign w:val="superscript"/>
          <w:lang w:val="sr-Cyrl-CS" w:eastAsia="zh-CN" w:bidi="hi-IN"/>
        </w:rPr>
        <w:footnoteReference w:id="69"/>
      </w:r>
      <w:r w:rsidRPr="00092ED7">
        <w:rPr>
          <w:rFonts w:eastAsia="Times New Roman" w:cs="Times New Roman"/>
          <w:color w:val="000000"/>
          <w:kern w:val="3"/>
          <w:szCs w:val="24"/>
          <w:lang w:val="sr-Cyrl-CS" w:eastAsia="zh-CN" w:bidi="hi-IN"/>
        </w:rPr>
        <w:t xml:space="preserve"> години, са 4,07% БДП у 2010. години. Доношењем </w:t>
      </w:r>
      <w:r w:rsidRPr="00092ED7">
        <w:rPr>
          <w:rFonts w:eastAsia="Times New Roman" w:cs="Times New Roman"/>
          <w:i/>
          <w:color w:val="000000"/>
          <w:kern w:val="3"/>
          <w:szCs w:val="24"/>
          <w:lang w:val="sr-Cyrl-CS" w:eastAsia="zh-CN" w:bidi="hi-IN"/>
        </w:rPr>
        <w:t xml:space="preserve">Закона о накнадама за коришћење јавних добара </w:t>
      </w:r>
      <w:r w:rsidR="00576076" w:rsidRPr="00092ED7">
        <w:rPr>
          <w:rFonts w:eastAsia="Calibri" w:cs="Times New Roman"/>
          <w:lang w:val="sr-Cyrl-CS"/>
        </w:rPr>
        <w:t>(„Сл</w:t>
      </w:r>
      <w:r w:rsidR="005F40A2" w:rsidRPr="00092ED7">
        <w:rPr>
          <w:rFonts w:eastAsia="Calibri" w:cs="Times New Roman"/>
          <w:lang w:val="sr-Cyrl-CS"/>
        </w:rPr>
        <w:t>ужбени</w:t>
      </w:r>
      <w:r w:rsidRPr="00092ED7">
        <w:rPr>
          <w:rFonts w:eastAsia="Calibri" w:cs="Times New Roman"/>
          <w:lang w:val="sr-Cyrl-CS"/>
        </w:rPr>
        <w:t xml:space="preserve"> гласник РС</w:t>
      </w:r>
      <w:r w:rsidR="005F40A2" w:rsidRPr="00092ED7">
        <w:rPr>
          <w:rFonts w:cs="Times New Roman"/>
          <w:szCs w:val="24"/>
          <w:lang w:val="sr-Cyrl-CS"/>
        </w:rPr>
        <w:t>”</w:t>
      </w:r>
      <w:r w:rsidRPr="00092ED7">
        <w:rPr>
          <w:rFonts w:eastAsia="Calibri" w:cs="Times New Roman"/>
          <w:lang w:val="sr-Cyrl-CS"/>
        </w:rPr>
        <w:t xml:space="preserve">, бр. </w:t>
      </w:r>
      <w:r w:rsidRPr="00092ED7">
        <w:rPr>
          <w:rFonts w:eastAsia="Times New Roman" w:cs="Times New Roman"/>
          <w:color w:val="000000"/>
          <w:kern w:val="3"/>
          <w:szCs w:val="24"/>
          <w:lang w:val="sr-Cyrl-CS" w:eastAsia="zh-CN" w:bidi="hi-IN"/>
        </w:rPr>
        <w:t xml:space="preserve">95/18 и 49/19), обједињене су на једном месту све накнаде које се плаћају за коришћење природних богатстава, добара од општег интереса и добара у општој употреби (ове накнаде су биле предмет уређивања у 19 посебних закона), а у току је и успостављање јавног регистра непореских намета. </w:t>
      </w:r>
      <w:r w:rsidRPr="00092ED7">
        <w:rPr>
          <w:rFonts w:eastAsia="Times New Roman" w:cs="Times New Roman"/>
          <w:kern w:val="3"/>
          <w:szCs w:val="24"/>
          <w:lang w:val="sr-Cyrl-CS" w:eastAsia="zh-CN" w:bidi="hi-IN"/>
        </w:rPr>
        <w:t xml:space="preserve">Пописано је и анализирано око 2.600 административних поступака у 93 органа јавне управе у периоду од 2016-2021. године. У оквиру </w:t>
      </w:r>
      <w:r w:rsidRPr="00092ED7">
        <w:rPr>
          <w:rFonts w:eastAsia="Times New Roman" w:cs="Times New Roman"/>
          <w:i/>
          <w:color w:val="000000"/>
          <w:kern w:val="3"/>
          <w:szCs w:val="24"/>
          <w:lang w:val="sr-Cyrl-CS" w:eastAsia="zh-CN" w:bidi="hi-IN"/>
        </w:rPr>
        <w:t>Програма за поједностављење административних поступака и регулативе „еПапир”</w:t>
      </w:r>
      <w:r w:rsidR="00747FAA" w:rsidRPr="00092ED7">
        <w:rPr>
          <w:rFonts w:eastAsia="Times New Roman" w:cs="Times New Roman"/>
          <w:i/>
          <w:color w:val="000000"/>
          <w:kern w:val="3"/>
          <w:szCs w:val="24"/>
          <w:lang w:val="sr-Cyrl-CS" w:eastAsia="zh-CN" w:bidi="hi-IN"/>
        </w:rPr>
        <w:t>за период 2019˗2021</w:t>
      </w:r>
      <w:r w:rsidR="00747FAA" w:rsidRPr="00092ED7">
        <w:rPr>
          <w:rFonts w:eastAsia="Times New Roman" w:cs="Times New Roman"/>
          <w:kern w:val="3"/>
          <w:szCs w:val="24"/>
          <w:lang w:val="sr-Cyrl-CS" w:eastAsia="zh-CN" w:bidi="hi-IN"/>
        </w:rPr>
        <w:t xml:space="preserve">. године </w:t>
      </w:r>
      <w:r w:rsidR="008877A5" w:rsidRPr="00092ED7">
        <w:rPr>
          <w:rFonts w:eastAsia="Times New Roman" w:cs="Times New Roman"/>
          <w:kern w:val="3"/>
          <w:szCs w:val="24"/>
          <w:lang w:val="sr-Cyrl-CS" w:eastAsia="zh-CN" w:bidi="hi-IN"/>
        </w:rPr>
        <w:t xml:space="preserve">(05 </w:t>
      </w:r>
      <w:r w:rsidR="00493D33" w:rsidRPr="00092ED7">
        <w:rPr>
          <w:rFonts w:eastAsia="Times New Roman" w:cs="Times New Roman"/>
          <w:kern w:val="3"/>
          <w:szCs w:val="24"/>
          <w:lang w:val="sr-Cyrl-CS" w:eastAsia="zh-CN" w:bidi="hi-IN"/>
        </w:rPr>
        <w:t>Б</w:t>
      </w:r>
      <w:r w:rsidR="008877A5" w:rsidRPr="00092ED7">
        <w:rPr>
          <w:rFonts w:eastAsia="Times New Roman" w:cs="Times New Roman"/>
          <w:kern w:val="3"/>
          <w:szCs w:val="24"/>
          <w:lang w:val="sr-Cyrl-CS" w:eastAsia="zh-CN" w:bidi="hi-IN"/>
        </w:rPr>
        <w:t>рој</w:t>
      </w:r>
      <w:r w:rsidR="00493D33" w:rsidRPr="00092ED7">
        <w:rPr>
          <w:rFonts w:eastAsia="Times New Roman" w:cs="Times New Roman"/>
          <w:kern w:val="3"/>
          <w:szCs w:val="24"/>
          <w:lang w:val="sr-Cyrl-CS" w:eastAsia="zh-CN" w:bidi="hi-IN"/>
        </w:rPr>
        <w:t>:</w:t>
      </w:r>
      <w:r w:rsidR="008877A5" w:rsidRPr="00092ED7">
        <w:rPr>
          <w:rFonts w:eastAsia="Times New Roman" w:cs="Times New Roman"/>
          <w:kern w:val="3"/>
          <w:szCs w:val="24"/>
          <w:lang w:val="sr-Cyrl-CS" w:eastAsia="zh-CN" w:bidi="hi-IN"/>
        </w:rPr>
        <w:t xml:space="preserve"> 021-6885/2019-1 од 11</w:t>
      </w:r>
      <w:r w:rsidR="006B1007" w:rsidRPr="00092ED7">
        <w:rPr>
          <w:rFonts w:eastAsia="Times New Roman" w:cs="Times New Roman"/>
          <w:kern w:val="3"/>
          <w:szCs w:val="24"/>
          <w:lang w:val="sr-Cyrl-CS" w:eastAsia="zh-CN" w:bidi="hi-IN"/>
        </w:rPr>
        <w:t>.</w:t>
      </w:r>
      <w:r w:rsidR="008877A5" w:rsidRPr="00092ED7">
        <w:rPr>
          <w:rFonts w:eastAsia="Times New Roman" w:cs="Times New Roman"/>
          <w:kern w:val="3"/>
          <w:szCs w:val="24"/>
          <w:lang w:val="sr-Cyrl-CS" w:eastAsia="zh-CN" w:bidi="hi-IN"/>
        </w:rPr>
        <w:t xml:space="preserve"> јула 2019. године)</w:t>
      </w:r>
      <w:r w:rsidR="00E55310" w:rsidRPr="00092ED7">
        <w:rPr>
          <w:rFonts w:eastAsia="Times New Roman" w:cs="Times New Roman"/>
          <w:kern w:val="3"/>
          <w:szCs w:val="24"/>
          <w:lang w:val="sr-Cyrl-CS" w:eastAsia="zh-CN" w:bidi="hi-IN"/>
        </w:rPr>
        <w:t xml:space="preserve"> </w:t>
      </w:r>
      <w:r w:rsidRPr="00092ED7">
        <w:rPr>
          <w:rFonts w:eastAsia="Times New Roman" w:cs="Times New Roman"/>
          <w:kern w:val="3"/>
          <w:szCs w:val="24"/>
          <w:lang w:val="sr-Cyrl-CS" w:eastAsia="zh-CN" w:bidi="hi-IN"/>
        </w:rPr>
        <w:t>дигитализоване су 64 услуге јавне управе, а оптимизована су 38</w:t>
      </w:r>
      <w:r w:rsidR="00571BD7" w:rsidRPr="00092ED7">
        <w:rPr>
          <w:rFonts w:eastAsia="Times New Roman" w:cs="Times New Roman"/>
          <w:kern w:val="3"/>
          <w:szCs w:val="24"/>
          <w:lang w:val="sr-Cyrl-CS" w:eastAsia="zh-CN" w:bidi="hi-IN"/>
        </w:rPr>
        <w:t>0</w:t>
      </w:r>
      <w:r w:rsidRPr="00092ED7">
        <w:rPr>
          <w:rFonts w:eastAsia="Times New Roman" w:cs="Times New Roman"/>
          <w:kern w:val="3"/>
          <w:szCs w:val="24"/>
          <w:lang w:val="sr-Cyrl-CS" w:eastAsia="zh-CN" w:bidi="hi-IN"/>
        </w:rPr>
        <w:t xml:space="preserve"> административна поступака (од којих је 21 поступак укинут), и на тај начин постигнута је уштеда за привреду око 33 мил</w:t>
      </w:r>
      <w:r w:rsidR="00192281" w:rsidRPr="00092ED7">
        <w:rPr>
          <w:rFonts w:eastAsia="Times New Roman" w:cs="Times New Roman"/>
          <w:kern w:val="3"/>
          <w:szCs w:val="24"/>
          <w:lang w:val="sr-Cyrl-CS" w:eastAsia="zh-CN" w:bidi="hi-IN"/>
        </w:rPr>
        <w:t>иона</w:t>
      </w:r>
      <w:r w:rsidRPr="00092ED7">
        <w:rPr>
          <w:rFonts w:eastAsia="Times New Roman" w:cs="Times New Roman"/>
          <w:kern w:val="3"/>
          <w:szCs w:val="24"/>
          <w:lang w:val="sr-Cyrl-CS" w:eastAsia="zh-CN" w:bidi="hi-IN"/>
        </w:rPr>
        <w:t xml:space="preserve"> евра годишње. На основу </w:t>
      </w:r>
      <w:r w:rsidRPr="00092ED7">
        <w:rPr>
          <w:rFonts w:eastAsia="Times New Roman" w:cs="Times New Roman"/>
          <w:i/>
          <w:kern w:val="3"/>
          <w:szCs w:val="24"/>
          <w:lang w:val="sr-Cyrl-CS" w:eastAsia="zh-CN" w:bidi="hi-IN"/>
        </w:rPr>
        <w:t>Закона о Регистру административних поступака</w:t>
      </w:r>
      <w:r w:rsidRPr="00092ED7">
        <w:rPr>
          <w:rFonts w:eastAsia="Times New Roman" w:cs="Times New Roman"/>
          <w:kern w:val="3"/>
          <w:szCs w:val="24"/>
          <w:lang w:val="sr-Cyrl-CS" w:eastAsia="zh-CN" w:bidi="hi-IN"/>
        </w:rPr>
        <w:t xml:space="preserve"> </w:t>
      </w:r>
      <w:r w:rsidR="00576076" w:rsidRPr="00092ED7">
        <w:rPr>
          <w:rFonts w:eastAsia="Calibri" w:cs="Times New Roman"/>
          <w:lang w:val="sr-Cyrl-CS"/>
        </w:rPr>
        <w:t>(„Сл</w:t>
      </w:r>
      <w:r w:rsidR="006A031A" w:rsidRPr="00092ED7">
        <w:rPr>
          <w:rFonts w:eastAsia="Calibri" w:cs="Times New Roman"/>
          <w:lang w:val="sr-Cyrl-CS"/>
        </w:rPr>
        <w:t>ужбени</w:t>
      </w:r>
      <w:r w:rsidR="00576076" w:rsidRPr="00092ED7">
        <w:rPr>
          <w:rFonts w:eastAsia="Calibri" w:cs="Times New Roman"/>
          <w:lang w:val="sr-Cyrl-CS"/>
        </w:rPr>
        <w:t xml:space="preserve"> гласник РС</w:t>
      </w:r>
      <w:r w:rsidR="006A031A" w:rsidRPr="00092ED7">
        <w:rPr>
          <w:rFonts w:cs="Times New Roman"/>
          <w:szCs w:val="24"/>
          <w:lang w:val="sr-Cyrl-CS"/>
        </w:rPr>
        <w:t>”</w:t>
      </w:r>
      <w:r w:rsidR="00576076" w:rsidRPr="00092ED7">
        <w:rPr>
          <w:rFonts w:eastAsia="Calibri" w:cs="Times New Roman"/>
          <w:lang w:val="sr-Cyrl-CS"/>
        </w:rPr>
        <w:t>, бр</w:t>
      </w:r>
      <w:r w:rsidR="006A031A" w:rsidRPr="00092ED7">
        <w:rPr>
          <w:rFonts w:eastAsia="Calibri" w:cs="Times New Roman"/>
          <w:lang w:val="sr-Cyrl-CS"/>
        </w:rPr>
        <w:t>ој</w:t>
      </w:r>
      <w:r w:rsidRPr="00092ED7">
        <w:rPr>
          <w:rFonts w:eastAsia="Calibri" w:cs="Times New Roman"/>
          <w:lang w:val="sr-Cyrl-CS"/>
        </w:rPr>
        <w:t xml:space="preserve"> </w:t>
      </w:r>
      <w:r w:rsidRPr="00092ED7">
        <w:rPr>
          <w:rFonts w:eastAsia="Times New Roman" w:cs="Times New Roman"/>
          <w:kern w:val="3"/>
          <w:szCs w:val="24"/>
          <w:lang w:val="sr-Cyrl-CS" w:eastAsia="zh-CN" w:bidi="hi-IN"/>
        </w:rPr>
        <w:t xml:space="preserve">44/21) и </w:t>
      </w:r>
      <w:r w:rsidRPr="00092ED7">
        <w:rPr>
          <w:rFonts w:eastAsia="Times New Roman" w:cs="Times New Roman"/>
          <w:i/>
          <w:kern w:val="3"/>
          <w:szCs w:val="24"/>
          <w:lang w:val="sr-Cyrl-CS" w:eastAsia="zh-CN" w:bidi="hi-IN"/>
        </w:rPr>
        <w:t>Уредбе о вођењу, функционисању и утврђивању података који се уписују у Регистар административних поступака</w:t>
      </w:r>
      <w:r w:rsidRPr="00092ED7">
        <w:rPr>
          <w:rFonts w:eastAsia="Times New Roman" w:cs="Times New Roman"/>
          <w:kern w:val="3"/>
          <w:szCs w:val="24"/>
          <w:lang w:val="sr-Cyrl-CS" w:eastAsia="zh-CN" w:bidi="hi-IN"/>
        </w:rPr>
        <w:t xml:space="preserve"> (</w:t>
      </w:r>
      <w:r w:rsidR="00576076" w:rsidRPr="00092ED7">
        <w:rPr>
          <w:rFonts w:eastAsia="Calibri" w:cs="Times New Roman"/>
          <w:lang w:val="sr-Cyrl-CS"/>
        </w:rPr>
        <w:t>„Сл</w:t>
      </w:r>
      <w:r w:rsidR="006A031A" w:rsidRPr="00092ED7">
        <w:rPr>
          <w:rFonts w:eastAsia="Calibri" w:cs="Times New Roman"/>
          <w:lang w:val="sr-Cyrl-CS"/>
        </w:rPr>
        <w:t>ужбени</w:t>
      </w:r>
      <w:r w:rsidR="00576076" w:rsidRPr="00092ED7">
        <w:rPr>
          <w:rFonts w:eastAsia="Calibri" w:cs="Times New Roman"/>
          <w:lang w:val="sr-Cyrl-CS"/>
        </w:rPr>
        <w:t xml:space="preserve"> гласник РС</w:t>
      </w:r>
      <w:r w:rsidR="006A031A" w:rsidRPr="00092ED7">
        <w:rPr>
          <w:rFonts w:cs="Times New Roman"/>
          <w:szCs w:val="24"/>
          <w:lang w:val="sr-Cyrl-CS"/>
        </w:rPr>
        <w:t>”</w:t>
      </w:r>
      <w:r w:rsidR="00576076" w:rsidRPr="00092ED7">
        <w:rPr>
          <w:rFonts w:eastAsia="Calibri" w:cs="Times New Roman"/>
          <w:lang w:val="sr-Cyrl-CS"/>
        </w:rPr>
        <w:t>, бр</w:t>
      </w:r>
      <w:r w:rsidR="006A031A" w:rsidRPr="00092ED7">
        <w:rPr>
          <w:rFonts w:eastAsia="Calibri" w:cs="Times New Roman"/>
          <w:lang w:val="sr-Cyrl-CS"/>
        </w:rPr>
        <w:t>ој</w:t>
      </w:r>
      <w:r w:rsidRPr="00092ED7">
        <w:rPr>
          <w:rFonts w:eastAsia="Calibri" w:cs="Times New Roman"/>
          <w:lang w:val="sr-Cyrl-CS"/>
        </w:rPr>
        <w:t xml:space="preserve"> 84/22)</w:t>
      </w:r>
      <w:r w:rsidRPr="00092ED7">
        <w:rPr>
          <w:rFonts w:eastAsia="Times New Roman" w:cs="Times New Roman"/>
          <w:kern w:val="3"/>
          <w:szCs w:val="24"/>
          <w:lang w:val="sr-Cyrl-CS" w:eastAsia="zh-CN" w:bidi="hi-IN"/>
        </w:rPr>
        <w:t xml:space="preserve">, успостављен је </w:t>
      </w:r>
      <w:r w:rsidRPr="00092ED7">
        <w:rPr>
          <w:rFonts w:eastAsia="Times New Roman" w:cs="Times New Roman"/>
          <w:i/>
          <w:kern w:val="3"/>
          <w:szCs w:val="24"/>
          <w:lang w:val="sr-Cyrl-CS" w:eastAsia="zh-CN" w:bidi="hi-IN"/>
        </w:rPr>
        <w:t>Регистар административних поступака</w:t>
      </w:r>
      <w:r w:rsidRPr="00092ED7">
        <w:rPr>
          <w:rFonts w:eastAsia="Times New Roman" w:cs="Times New Roman"/>
          <w:kern w:val="3"/>
          <w:szCs w:val="24"/>
          <w:lang w:val="sr-Cyrl-CS" w:eastAsia="zh-CN" w:bidi="hi-IN"/>
        </w:rPr>
        <w:t>. На</w:t>
      </w:r>
      <w:r w:rsidRPr="00092ED7">
        <w:rPr>
          <w:rFonts w:eastAsia="Times New Roman" w:cs="Times New Roman"/>
          <w:color w:val="000000"/>
          <w:kern w:val="3"/>
          <w:szCs w:val="24"/>
          <w:lang w:val="sr-Cyrl-CS" w:eastAsia="zh-CN" w:bidi="hi-IN"/>
        </w:rPr>
        <w:t xml:space="preserve"> јавно доступном Порталу Регистра тренутно се могу наћи потребне информације за 2.317 поступака (образац захтева и информације о потребној документацији која се прилаже, износу финансијских издатака и броју рачуна на који треба да се изврши уплата, адреси на коју треба упутити захтев, линк за покретање електронске услуге и друго), што омогућава привреди додатну уштеду у времену и новцу и унапређује правну сигурност, предвидљивост и уједначеност поступања целе јавне управе.</w:t>
      </w:r>
    </w:p>
    <w:p w14:paraId="00994291" w14:textId="3127F1F4" w:rsidR="00D210F0" w:rsidRPr="00092ED7" w:rsidRDefault="00D210F0" w:rsidP="00D210F0">
      <w:pPr>
        <w:widowControl w:val="0"/>
        <w:suppressAutoHyphens/>
        <w:autoSpaceDN w:val="0"/>
        <w:spacing w:after="60"/>
        <w:textAlignment w:val="baseline"/>
        <w:rPr>
          <w:rFonts w:eastAsia="Times New Roman" w:cs="Times New Roman"/>
          <w:kern w:val="3"/>
          <w:szCs w:val="24"/>
          <w:lang w:val="sr-Cyrl-CS" w:eastAsia="zh-CN" w:bidi="hi-IN"/>
        </w:rPr>
      </w:pPr>
      <w:r w:rsidRPr="00092ED7">
        <w:rPr>
          <w:rFonts w:eastAsia="SimSun" w:cs="Mangal"/>
          <w:b/>
          <w:kern w:val="3"/>
          <w:szCs w:val="24"/>
          <w:lang w:val="sr-Cyrl-CS" w:eastAsia="zh-CN" w:bidi="hi-IN"/>
        </w:rPr>
        <w:t>Улога државе у привреди се смањује, али остаје значајна.</w:t>
      </w:r>
      <w:r w:rsidRPr="00092ED7">
        <w:rPr>
          <w:rFonts w:eastAsia="SimSun" w:cs="Mangal"/>
          <w:kern w:val="3"/>
          <w:szCs w:val="24"/>
          <w:lang w:val="sr-Cyrl-CS" w:eastAsia="zh-CN" w:bidi="hi-IN"/>
        </w:rPr>
        <w:t xml:space="preserve"> Процес реструктурирања јавних предузећа претходних година дао је резултате али ова предузећа (596 или 0,5% укупног броја предузећа) и даље имају велики утицај на остварене резултате нефинансијског сектора привреде у 2020. години. Tако јавна предузећа бележе следеће уделе у 2020. (у поређењу са 2015. годином): 9,4% (11,6% у 2015.) запослености, 20,9% (25,8%) капитала, 6,1% (6,4%) укупног прихода, 5,4% (5,8%) нето добити и 3,2% (5,8%) нето губитака. Пандемија и енергетска криза успорили су реструктурирање великих државних предузећа пре свега у области енергетике, транспорта и рударства. </w:t>
      </w:r>
      <w:r w:rsidR="00EB4E47" w:rsidRPr="00092ED7">
        <w:rPr>
          <w:rFonts w:eastAsia="SimSun" w:cs="Mangal"/>
          <w:kern w:val="3"/>
          <w:szCs w:val="24"/>
          <w:lang w:val="sr-Cyrl-CS" w:eastAsia="zh-CN" w:bidi="hi-IN"/>
        </w:rPr>
        <w:t xml:space="preserve">У наредном периоду имплементираће се </w:t>
      </w:r>
      <w:r w:rsidRPr="00092ED7">
        <w:rPr>
          <w:rFonts w:eastAsia="SimSun" w:cs="Mangal"/>
          <w:kern w:val="3"/>
          <w:szCs w:val="24"/>
          <w:lang w:val="sr-Cyrl-CS" w:eastAsia="zh-CN" w:bidi="hi-IN"/>
        </w:rPr>
        <w:t>мер</w:t>
      </w:r>
      <w:r w:rsidR="00EB4E47" w:rsidRPr="00092ED7">
        <w:rPr>
          <w:rFonts w:eastAsia="SimSun" w:cs="Mangal"/>
          <w:kern w:val="3"/>
          <w:szCs w:val="24"/>
          <w:lang w:val="sr-Cyrl-CS" w:eastAsia="zh-CN" w:bidi="hi-IN"/>
        </w:rPr>
        <w:t>е</w:t>
      </w:r>
      <w:r w:rsidRPr="00092ED7">
        <w:rPr>
          <w:rFonts w:eastAsia="SimSun" w:cs="Mangal"/>
          <w:kern w:val="3"/>
          <w:szCs w:val="24"/>
          <w:lang w:val="sr-Cyrl-CS" w:eastAsia="zh-CN" w:bidi="hi-IN"/>
        </w:rPr>
        <w:t xml:space="preserve"> из </w:t>
      </w:r>
      <w:r w:rsidRPr="00092ED7">
        <w:rPr>
          <w:rFonts w:eastAsia="SimSun" w:cs="Mangal"/>
          <w:i/>
          <w:kern w:val="3"/>
          <w:szCs w:val="24"/>
          <w:lang w:val="sr-Cyrl-CS" w:eastAsia="zh-CN" w:bidi="hi-IN"/>
        </w:rPr>
        <w:t>Акционог плана за сровођење</w:t>
      </w:r>
      <w:r w:rsidRPr="00092ED7">
        <w:rPr>
          <w:rFonts w:eastAsia="SimSun" w:cs="Mangal"/>
          <w:kern w:val="3"/>
          <w:szCs w:val="24"/>
          <w:lang w:val="sr-Cyrl-CS" w:eastAsia="zh-CN" w:bidi="hi-IN"/>
        </w:rPr>
        <w:t xml:space="preserve"> </w:t>
      </w:r>
      <w:r w:rsidRPr="00092ED7">
        <w:rPr>
          <w:rFonts w:eastAsia="SimSun" w:cs="Mangal"/>
          <w:i/>
          <w:kern w:val="3"/>
          <w:szCs w:val="24"/>
          <w:lang w:val="sr-Cyrl-CS" w:eastAsia="zh-CN" w:bidi="hi-IN"/>
        </w:rPr>
        <w:t>Стратегиј</w:t>
      </w:r>
      <w:r w:rsidR="00192281" w:rsidRPr="00092ED7">
        <w:rPr>
          <w:rFonts w:eastAsia="SimSun" w:cs="Mangal"/>
          <w:i/>
          <w:kern w:val="3"/>
          <w:szCs w:val="24"/>
          <w:lang w:val="sr-Cyrl-CS" w:eastAsia="zh-CN" w:bidi="hi-IN"/>
        </w:rPr>
        <w:t>е</w:t>
      </w:r>
      <w:r w:rsidRPr="00092ED7">
        <w:rPr>
          <w:rFonts w:eastAsia="SimSun" w:cs="Mangal"/>
          <w:i/>
          <w:kern w:val="3"/>
          <w:szCs w:val="24"/>
          <w:lang w:val="sr-Cyrl-CS" w:eastAsia="zh-CN" w:bidi="hi-IN"/>
        </w:rPr>
        <w:t xml:space="preserve"> државног власништва и управљања привредним субјектима који су у власништву Републике Србије за период од 2021. до 2027. године</w:t>
      </w:r>
      <w:r w:rsidR="00D71EE2" w:rsidRPr="00092ED7">
        <w:rPr>
          <w:rFonts w:eastAsia="SimSun" w:cs="Mangal"/>
          <w:i/>
          <w:kern w:val="3"/>
          <w:szCs w:val="24"/>
          <w:lang w:val="sr-Cyrl-CS" w:eastAsia="zh-CN" w:bidi="hi-IN"/>
        </w:rPr>
        <w:t>,</w:t>
      </w:r>
      <w:r w:rsidR="00D71EE2" w:rsidRPr="00092ED7">
        <w:rPr>
          <w:lang w:val="sr-Cyrl-CS"/>
        </w:rPr>
        <w:t xml:space="preserve"> </w:t>
      </w:r>
      <w:r w:rsidR="00D71EE2" w:rsidRPr="00092ED7">
        <w:rPr>
          <w:rFonts w:eastAsia="SimSun" w:cs="Mangal"/>
          <w:i/>
          <w:kern w:val="3"/>
          <w:szCs w:val="24"/>
          <w:lang w:val="sr-Cyrl-CS" w:eastAsia="zh-CN" w:bidi="hi-IN"/>
        </w:rPr>
        <w:t xml:space="preserve">у периоду од 2021. до 2023. године </w:t>
      </w:r>
      <w:r w:rsidR="00576076" w:rsidRPr="00092ED7">
        <w:rPr>
          <w:rFonts w:eastAsia="SimSun" w:cs="Mangal"/>
          <w:kern w:val="3"/>
          <w:szCs w:val="24"/>
          <w:lang w:val="sr-Cyrl-CS" w:eastAsia="zh-CN" w:bidi="hi-IN"/>
        </w:rPr>
        <w:t xml:space="preserve"> („Сл</w:t>
      </w:r>
      <w:r w:rsidR="006B48CE" w:rsidRPr="00092ED7">
        <w:rPr>
          <w:rFonts w:eastAsia="SimSun" w:cs="Mangal"/>
          <w:kern w:val="3"/>
          <w:szCs w:val="24"/>
          <w:lang w:val="sr-Cyrl-CS" w:eastAsia="zh-CN" w:bidi="hi-IN"/>
        </w:rPr>
        <w:t>ужбени</w:t>
      </w:r>
      <w:r w:rsidRPr="00092ED7">
        <w:rPr>
          <w:rFonts w:eastAsia="SimSun" w:cs="Mangal"/>
          <w:kern w:val="3"/>
          <w:szCs w:val="24"/>
          <w:lang w:val="sr-Cyrl-CS" w:eastAsia="zh-CN" w:bidi="hi-IN"/>
        </w:rPr>
        <w:t xml:space="preserve"> гласник РС</w:t>
      </w:r>
      <w:r w:rsidR="006B48CE" w:rsidRPr="00092ED7">
        <w:rPr>
          <w:rFonts w:cs="Times New Roman"/>
          <w:szCs w:val="24"/>
          <w:lang w:val="sr-Cyrl-CS"/>
        </w:rPr>
        <w:t>”</w:t>
      </w:r>
      <w:r w:rsidR="00576076" w:rsidRPr="00092ED7">
        <w:rPr>
          <w:rFonts w:eastAsia="SimSun" w:cs="Mangal"/>
          <w:kern w:val="3"/>
          <w:szCs w:val="24"/>
          <w:lang w:val="sr-Cyrl-CS" w:eastAsia="zh-CN" w:bidi="hi-IN"/>
        </w:rPr>
        <w:t>, бр</w:t>
      </w:r>
      <w:r w:rsidR="006B48CE" w:rsidRPr="00092ED7">
        <w:rPr>
          <w:rFonts w:eastAsia="SimSun" w:cs="Mangal"/>
          <w:kern w:val="3"/>
          <w:szCs w:val="24"/>
          <w:lang w:val="sr-Cyrl-CS" w:eastAsia="zh-CN" w:bidi="hi-IN"/>
        </w:rPr>
        <w:t>ој</w:t>
      </w:r>
      <w:r w:rsidRPr="00092ED7">
        <w:rPr>
          <w:rFonts w:eastAsia="SimSun" w:cs="Mangal"/>
          <w:kern w:val="3"/>
          <w:szCs w:val="24"/>
          <w:lang w:val="sr-Cyrl-CS" w:eastAsia="zh-CN" w:bidi="hi-IN"/>
        </w:rPr>
        <w:t xml:space="preserve"> </w:t>
      </w:r>
      <w:r w:rsidR="00D71EE2" w:rsidRPr="00092ED7">
        <w:rPr>
          <w:rFonts w:eastAsia="SimSun" w:cs="Mangal"/>
          <w:kern w:val="3"/>
          <w:szCs w:val="24"/>
          <w:lang w:val="sr-Cyrl-CS" w:eastAsia="zh-CN" w:bidi="hi-IN"/>
        </w:rPr>
        <w:t>68</w:t>
      </w:r>
      <w:r w:rsidRPr="00092ED7">
        <w:rPr>
          <w:rFonts w:eastAsia="SimSun" w:cs="Mangal"/>
          <w:kern w:val="3"/>
          <w:szCs w:val="24"/>
          <w:lang w:val="sr-Cyrl-CS" w:eastAsia="zh-CN" w:bidi="hi-IN"/>
        </w:rPr>
        <w:t>/21)</w:t>
      </w:r>
      <w:r w:rsidRPr="00092ED7">
        <w:rPr>
          <w:rFonts w:eastAsia="SimSun" w:cs="Mangal"/>
          <w:i/>
          <w:kern w:val="3"/>
          <w:szCs w:val="24"/>
          <w:lang w:val="sr-Cyrl-CS" w:eastAsia="zh-CN" w:bidi="hi-IN"/>
        </w:rPr>
        <w:t xml:space="preserve"> </w:t>
      </w:r>
      <w:r w:rsidRPr="00092ED7">
        <w:rPr>
          <w:rFonts w:eastAsia="SimSun" w:cs="Mangal"/>
          <w:kern w:val="3"/>
          <w:szCs w:val="24"/>
          <w:lang w:val="sr-Cyrl-CS" w:eastAsia="zh-CN" w:bidi="hi-IN"/>
        </w:rPr>
        <w:t>како би се унапредило корпоративно управљање државним предузећима, развио централизовани модел власништва и транспарентнији систем надзора и побољшала њихова ефикасност.</w:t>
      </w:r>
      <w:r w:rsidRPr="00092ED7">
        <w:rPr>
          <w:rFonts w:eastAsia="Times New Roman" w:cs="Times New Roman"/>
          <w:kern w:val="3"/>
          <w:szCs w:val="24"/>
          <w:lang w:val="sr-Cyrl-CS" w:eastAsia="zh-CN" w:bidi="hi-IN"/>
        </w:rPr>
        <w:t xml:space="preserve"> </w:t>
      </w:r>
    </w:p>
    <w:p w14:paraId="129B6143" w14:textId="6479ECD7" w:rsidR="00D210F0" w:rsidRPr="00092ED7" w:rsidRDefault="00D210F0" w:rsidP="00B640AF">
      <w:pPr>
        <w:rPr>
          <w:rFonts w:eastAsia="Times New Roman" w:cs="Times New Roman"/>
          <w:kern w:val="3"/>
          <w:szCs w:val="24"/>
          <w:lang w:val="sr-Cyrl-CS" w:eastAsia="zh-CN" w:bidi="hi-IN"/>
        </w:rPr>
      </w:pPr>
      <w:r w:rsidRPr="00092ED7">
        <w:rPr>
          <w:rFonts w:eastAsia="Times New Roman" w:cs="Times New Roman"/>
          <w:b/>
          <w:kern w:val="3"/>
          <w:szCs w:val="24"/>
          <w:lang w:val="sr-Cyrl-CS" w:eastAsia="zh-CN" w:bidi="hi-IN"/>
        </w:rPr>
        <w:t xml:space="preserve">Тржиште капитала у Републици Србији није довољно развијено и не успева да у довољној мери испуни своју главну функцију </w:t>
      </w:r>
      <w:r w:rsidRPr="00092ED7">
        <w:rPr>
          <w:rFonts w:eastAsia="Times New Roman" w:cs="Times New Roman"/>
          <w:kern w:val="3"/>
          <w:szCs w:val="24"/>
          <w:lang w:val="sr-Cyrl-CS" w:eastAsia="zh-CN" w:bidi="hi-IN"/>
        </w:rPr>
        <w:t xml:space="preserve">- ефикасну алокацију финансијских ресурса штедње и инвеститора ка развоју привредних друштава. Распрострањено је традиционално финансирање кроз банкарске производе (депозити и зајмови), а највеће препреке развоју тржишта капитала у Републици Србији су недовољна финансијска едукованост становништва у погледу могућности и ризика улагања слободних средстава у различите финансијске инструменте што доводи до доминантне усмерености ка штедњи као најједноставнијем облику улагања, недовољно развијена свест привредних друштава о могућности финансирања редовног пословања и истраживања и развоја путем тржишта капитала, као и неадекватна понуда домаћих финансијских инструмената доступних инвеститорима. </w:t>
      </w:r>
      <w:r w:rsidRPr="00092ED7">
        <w:rPr>
          <w:rFonts w:eastAsia="Times New Roman" w:cs="Times New Roman"/>
          <w:i/>
          <w:kern w:val="3"/>
          <w:szCs w:val="24"/>
          <w:lang w:val="sr-Cyrl-CS" w:eastAsia="zh-CN" w:bidi="hi-IN"/>
        </w:rPr>
        <w:t>Стратегија за развој тржишта капитала за период од 2021</w:t>
      </w:r>
      <w:r w:rsidR="001B53A8" w:rsidRPr="00092ED7">
        <w:rPr>
          <w:rFonts w:eastAsia="Times New Roman" w:cs="Times New Roman"/>
          <w:i/>
          <w:kern w:val="3"/>
          <w:szCs w:val="24"/>
          <w:lang w:val="sr-Cyrl-CS" w:eastAsia="zh-CN" w:bidi="hi-IN"/>
        </w:rPr>
        <w:t xml:space="preserve">. до </w:t>
      </w:r>
      <w:r w:rsidRPr="00092ED7">
        <w:rPr>
          <w:rFonts w:eastAsia="Times New Roman" w:cs="Times New Roman"/>
          <w:i/>
          <w:kern w:val="3"/>
          <w:szCs w:val="24"/>
          <w:lang w:val="sr-Cyrl-CS" w:eastAsia="zh-CN" w:bidi="hi-IN"/>
        </w:rPr>
        <w:t xml:space="preserve">2026. године </w:t>
      </w:r>
      <w:r w:rsidRPr="00092ED7">
        <w:rPr>
          <w:rFonts w:eastAsia="Calibri" w:cs="Times New Roman"/>
          <w:lang w:val="sr-Cyrl-CS"/>
        </w:rPr>
        <w:t>(„Сл</w:t>
      </w:r>
      <w:r w:rsidR="000D4FD4" w:rsidRPr="00092ED7">
        <w:rPr>
          <w:rFonts w:eastAsia="Calibri" w:cs="Times New Roman"/>
          <w:lang w:val="sr-Cyrl-CS"/>
        </w:rPr>
        <w:t>ужбени</w:t>
      </w:r>
      <w:r w:rsidR="00576076" w:rsidRPr="00092ED7">
        <w:rPr>
          <w:rFonts w:eastAsia="Calibri" w:cs="Times New Roman"/>
          <w:lang w:val="sr-Cyrl-CS"/>
        </w:rPr>
        <w:t xml:space="preserve"> гласник РС</w:t>
      </w:r>
      <w:r w:rsidR="000D4FD4" w:rsidRPr="00092ED7">
        <w:rPr>
          <w:rFonts w:cs="Times New Roman"/>
          <w:szCs w:val="24"/>
          <w:lang w:val="sr-Cyrl-CS"/>
        </w:rPr>
        <w:t>”</w:t>
      </w:r>
      <w:r w:rsidR="00576076" w:rsidRPr="00092ED7">
        <w:rPr>
          <w:rFonts w:eastAsia="Calibri" w:cs="Times New Roman"/>
          <w:lang w:val="sr-Cyrl-CS"/>
        </w:rPr>
        <w:t>, бр</w:t>
      </w:r>
      <w:r w:rsidR="000D4FD4" w:rsidRPr="00092ED7">
        <w:rPr>
          <w:rFonts w:eastAsia="Calibri" w:cs="Times New Roman"/>
          <w:lang w:val="sr-Cyrl-CS"/>
        </w:rPr>
        <w:t>ој</w:t>
      </w:r>
      <w:r w:rsidRPr="00092ED7">
        <w:rPr>
          <w:rFonts w:eastAsia="Calibri" w:cs="Times New Roman"/>
          <w:lang w:val="sr-Cyrl-CS"/>
        </w:rPr>
        <w:t xml:space="preserve"> </w:t>
      </w:r>
      <w:r w:rsidRPr="00092ED7">
        <w:rPr>
          <w:rFonts w:eastAsia="SimSun" w:cs="Mangal"/>
          <w:kern w:val="3"/>
          <w:szCs w:val="24"/>
          <w:lang w:val="sr-Cyrl-CS" w:eastAsia="zh-CN" w:bidi="hi-IN"/>
        </w:rPr>
        <w:t xml:space="preserve">102/21), </w:t>
      </w:r>
      <w:r w:rsidR="008877A5" w:rsidRPr="00092ED7">
        <w:rPr>
          <w:rFonts w:cs="Times New Roman"/>
          <w:szCs w:val="24"/>
          <w:shd w:val="clear" w:color="auto" w:fill="FFFFFF"/>
          <w:lang w:val="sr-Cyrl-CS"/>
        </w:rPr>
        <w:t>Акциони план за период 2021–2023. године за спровођење Стратегије за развој тржишта капитала за период од 2021. до 2026. године</w:t>
      </w:r>
      <w:r w:rsidR="00E55310" w:rsidRPr="00092ED7">
        <w:rPr>
          <w:rFonts w:cs="Times New Roman"/>
          <w:szCs w:val="24"/>
          <w:shd w:val="clear" w:color="auto" w:fill="FFFFFF"/>
          <w:lang w:val="sr-Cyrl-CS"/>
        </w:rPr>
        <w:t xml:space="preserve"> </w:t>
      </w:r>
      <w:r w:rsidRPr="00092ED7">
        <w:rPr>
          <w:rFonts w:eastAsia="Calibri" w:cs="Times New Roman"/>
          <w:lang w:val="sr-Cyrl-CS"/>
        </w:rPr>
        <w:t>(„Сл</w:t>
      </w:r>
      <w:r w:rsidR="000D4FD4" w:rsidRPr="00092ED7">
        <w:rPr>
          <w:rFonts w:eastAsia="Calibri" w:cs="Times New Roman"/>
          <w:lang w:val="sr-Cyrl-CS"/>
        </w:rPr>
        <w:t>ужбени</w:t>
      </w:r>
      <w:r w:rsidR="00576076" w:rsidRPr="00092ED7">
        <w:rPr>
          <w:rFonts w:eastAsia="Calibri" w:cs="Times New Roman"/>
          <w:lang w:val="sr-Cyrl-CS"/>
        </w:rPr>
        <w:t xml:space="preserve"> гласник РС</w:t>
      </w:r>
      <w:r w:rsidR="000D4FD4" w:rsidRPr="00092ED7">
        <w:rPr>
          <w:rFonts w:cs="Times New Roman"/>
          <w:szCs w:val="24"/>
          <w:lang w:val="sr-Cyrl-CS"/>
        </w:rPr>
        <w:t>”</w:t>
      </w:r>
      <w:r w:rsidR="00576076" w:rsidRPr="00092ED7">
        <w:rPr>
          <w:rFonts w:eastAsia="Calibri" w:cs="Times New Roman"/>
          <w:lang w:val="sr-Cyrl-CS"/>
        </w:rPr>
        <w:t>, бр</w:t>
      </w:r>
      <w:r w:rsidR="000D4FD4" w:rsidRPr="00092ED7">
        <w:rPr>
          <w:rFonts w:eastAsia="Calibri" w:cs="Times New Roman"/>
          <w:lang w:val="sr-Cyrl-CS"/>
        </w:rPr>
        <w:t>ој</w:t>
      </w:r>
      <w:r w:rsidRPr="00092ED7">
        <w:rPr>
          <w:rFonts w:eastAsia="Calibri" w:cs="Times New Roman"/>
          <w:lang w:val="sr-Cyrl-CS"/>
        </w:rPr>
        <w:t xml:space="preserve"> </w:t>
      </w:r>
      <w:r w:rsidRPr="00092ED7">
        <w:rPr>
          <w:rFonts w:eastAsia="SimSun" w:cs="Mangal"/>
          <w:kern w:val="3"/>
          <w:szCs w:val="24"/>
          <w:lang w:val="sr-Cyrl-CS" w:eastAsia="zh-CN" w:bidi="hi-IN"/>
        </w:rPr>
        <w:t>118/21)</w:t>
      </w:r>
      <w:r w:rsidRPr="00092ED7">
        <w:rPr>
          <w:rFonts w:eastAsia="Times New Roman" w:cs="Times New Roman"/>
          <w:kern w:val="3"/>
          <w:szCs w:val="24"/>
          <w:lang w:val="sr-Cyrl-CS" w:eastAsia="zh-CN" w:bidi="hi-IN"/>
        </w:rPr>
        <w:t xml:space="preserve"> </w:t>
      </w:r>
      <w:r w:rsidRPr="00092ED7">
        <w:rPr>
          <w:rFonts w:eastAsia="SimSun" w:cs="Mangal"/>
          <w:kern w:val="3"/>
          <w:szCs w:val="24"/>
          <w:lang w:val="sr-Cyrl-CS" w:eastAsia="zh-CN" w:bidi="hi-IN"/>
        </w:rPr>
        <w:t xml:space="preserve">и нови </w:t>
      </w:r>
      <w:r w:rsidRPr="00092ED7">
        <w:rPr>
          <w:rFonts w:eastAsia="SimSun" w:cs="Mangal"/>
          <w:i/>
          <w:kern w:val="3"/>
          <w:szCs w:val="24"/>
          <w:lang w:val="sr-Cyrl-CS" w:eastAsia="zh-CN" w:bidi="hi-IN"/>
        </w:rPr>
        <w:t>Закон о тржишту капитала</w:t>
      </w:r>
      <w:r w:rsidRPr="00092ED7">
        <w:rPr>
          <w:rFonts w:eastAsia="SimSun" w:cs="Mangal"/>
          <w:kern w:val="3"/>
          <w:szCs w:val="24"/>
          <w:lang w:val="sr-Cyrl-CS" w:eastAsia="zh-CN" w:bidi="hi-IN"/>
        </w:rPr>
        <w:t xml:space="preserve"> („Сл</w:t>
      </w:r>
      <w:r w:rsidR="000D4FD4" w:rsidRPr="00092ED7">
        <w:rPr>
          <w:rFonts w:eastAsia="SimSun" w:cs="Mangal"/>
          <w:kern w:val="3"/>
          <w:szCs w:val="24"/>
          <w:lang w:val="sr-Cyrl-CS" w:eastAsia="zh-CN" w:bidi="hi-IN"/>
        </w:rPr>
        <w:t>ужбени</w:t>
      </w:r>
      <w:r w:rsidRPr="00092ED7">
        <w:rPr>
          <w:rFonts w:eastAsia="SimSun" w:cs="Mangal"/>
          <w:kern w:val="3"/>
          <w:szCs w:val="24"/>
          <w:lang w:val="sr-Cyrl-CS" w:eastAsia="zh-CN" w:bidi="hi-IN"/>
        </w:rPr>
        <w:t xml:space="preserve"> гласник РС</w:t>
      </w:r>
      <w:r w:rsidR="000D4FD4" w:rsidRPr="00092ED7">
        <w:rPr>
          <w:rFonts w:cs="Times New Roman"/>
          <w:szCs w:val="24"/>
          <w:lang w:val="sr-Cyrl-CS"/>
        </w:rPr>
        <w:t>”</w:t>
      </w:r>
      <w:r w:rsidRPr="00092ED7">
        <w:rPr>
          <w:rFonts w:eastAsia="SimSun" w:cs="Mangal"/>
          <w:kern w:val="3"/>
          <w:szCs w:val="24"/>
          <w:lang w:val="sr-Cyrl-CS" w:eastAsia="zh-CN" w:bidi="hi-IN"/>
        </w:rPr>
        <w:t>, бр</w:t>
      </w:r>
      <w:r w:rsidR="000D4FD4" w:rsidRPr="00092ED7">
        <w:rPr>
          <w:rFonts w:eastAsia="SimSun" w:cs="Mangal"/>
          <w:kern w:val="3"/>
          <w:szCs w:val="24"/>
          <w:lang w:val="sr-Cyrl-CS" w:eastAsia="zh-CN" w:bidi="hi-IN"/>
        </w:rPr>
        <w:t>ој</w:t>
      </w:r>
      <w:r w:rsidRPr="00092ED7">
        <w:rPr>
          <w:rFonts w:eastAsia="SimSun" w:cs="Mangal"/>
          <w:kern w:val="3"/>
          <w:szCs w:val="24"/>
          <w:lang w:val="sr-Cyrl-CS" w:eastAsia="zh-CN" w:bidi="hi-IN"/>
        </w:rPr>
        <w:t xml:space="preserve"> 129/21)</w:t>
      </w:r>
      <w:r w:rsidRPr="00092ED7">
        <w:rPr>
          <w:rFonts w:eastAsia="Times New Roman" w:cs="Times New Roman"/>
          <w:kern w:val="3"/>
          <w:szCs w:val="24"/>
          <w:lang w:val="sr-Cyrl-CS" w:eastAsia="zh-CN" w:bidi="hi-IN"/>
        </w:rPr>
        <w:t xml:space="preserve"> представљају основу за унапређење српског тржишта капитала у наредном периоду, стварајући услове за коришћење ширег спектра финансијских инструмената од стране приватног сектора, уз истовремено смањење зависности малих и средњих предузећа од банкарског финансирања и државних субвенција, чиме се остварује значајан допринос убрзању економског раста, повећању броја радних места и додатној подршци улагањима у иновативну индустрију. </w:t>
      </w:r>
    </w:p>
    <w:p w14:paraId="6DEEFDBD" w14:textId="11958D61" w:rsidR="00D210F0" w:rsidRPr="00092ED7" w:rsidRDefault="00D210F0" w:rsidP="00D210F0">
      <w:pPr>
        <w:spacing w:after="60"/>
        <w:rPr>
          <w:sz w:val="22"/>
          <w:lang w:val="sr-Cyrl-CS"/>
        </w:rPr>
      </w:pPr>
      <w:r w:rsidRPr="00092ED7">
        <w:rPr>
          <w:rFonts w:eastAsia="Calibri" w:cs="Times New Roman"/>
          <w:b/>
          <w:bCs/>
          <w:szCs w:val="24"/>
          <w:lang w:val="sr-Cyrl-CS"/>
        </w:rPr>
        <w:t xml:space="preserve">С обзиром на </w:t>
      </w:r>
      <w:r w:rsidR="00C13979" w:rsidRPr="00092ED7">
        <w:rPr>
          <w:rFonts w:eastAsia="Calibri" w:cs="Times New Roman"/>
          <w:b/>
          <w:bCs/>
          <w:szCs w:val="24"/>
          <w:lang w:val="sr-Cyrl-CS"/>
        </w:rPr>
        <w:t xml:space="preserve">потребу за новим и обимним </w:t>
      </w:r>
      <w:r w:rsidRPr="00092ED7">
        <w:rPr>
          <w:rFonts w:eastAsia="Calibri" w:cs="Times New Roman"/>
          <w:b/>
          <w:bCs/>
          <w:szCs w:val="24"/>
          <w:lang w:val="sr-Cyrl-CS"/>
        </w:rPr>
        <w:t>инфраструктурн</w:t>
      </w:r>
      <w:r w:rsidR="00C13979" w:rsidRPr="00092ED7">
        <w:rPr>
          <w:rFonts w:eastAsia="Calibri" w:cs="Times New Roman"/>
          <w:b/>
          <w:bCs/>
          <w:szCs w:val="24"/>
          <w:lang w:val="sr-Cyrl-CS"/>
        </w:rPr>
        <w:t>им</w:t>
      </w:r>
      <w:r w:rsidRPr="00092ED7">
        <w:rPr>
          <w:rFonts w:eastAsia="Calibri" w:cs="Times New Roman"/>
          <w:b/>
          <w:bCs/>
          <w:szCs w:val="24"/>
          <w:lang w:val="sr-Cyrl-CS"/>
        </w:rPr>
        <w:t xml:space="preserve"> </w:t>
      </w:r>
      <w:r w:rsidR="00C13979" w:rsidRPr="00092ED7">
        <w:rPr>
          <w:rFonts w:eastAsia="Calibri" w:cs="Times New Roman"/>
          <w:b/>
          <w:bCs/>
          <w:szCs w:val="24"/>
          <w:lang w:val="sr-Cyrl-CS"/>
        </w:rPr>
        <w:t xml:space="preserve">циклусом </w:t>
      </w:r>
      <w:r w:rsidRPr="00092ED7">
        <w:rPr>
          <w:rFonts w:eastAsia="Calibri" w:cs="Times New Roman"/>
          <w:b/>
          <w:bCs/>
          <w:szCs w:val="24"/>
          <w:lang w:val="sr-Cyrl-CS"/>
        </w:rPr>
        <w:t>Републике Србије, уочена је неопходност обезбеђивања довољно свеобухватних инвестиционих пројеката, са одговарајућим студијама изводљивости, анализом трошкова и користи и реалном проценом утицаја на животну средину.</w:t>
      </w:r>
      <w:r w:rsidRPr="00092ED7">
        <w:rPr>
          <w:rFonts w:eastAsia="Calibri" w:cs="Times New Roman"/>
          <w:szCs w:val="24"/>
          <w:lang w:val="sr-Cyrl-CS"/>
        </w:rPr>
        <w:t xml:space="preserve"> Изазови који су постојали при реализацији капиталних инвестиција (решавање имовинско-правних односа, правовремено прибављање пројектне документације и грађевинских дозвола, пробијање рокова) и даље постоје, али се постепено превазилазе. </w:t>
      </w:r>
      <w:r w:rsidR="00677E21" w:rsidRPr="00092ED7">
        <w:rPr>
          <w:rFonts w:eastAsia="Calibri" w:cs="Times New Roman"/>
          <w:szCs w:val="24"/>
          <w:lang w:val="sr-Cyrl-CS"/>
        </w:rPr>
        <w:t xml:space="preserve">У том циљу неопходно је редовно пратити измене законодавног оквира у области заштите животне средине, са акцентом на процени утицаја пројеката на животну средину, као и унапред и благовремено планирати подношење захтева за процену утицаја. Како би се избегли ризици везани за пробијање рокова, потребно је планирати довољно времена за завршетак процедуре. </w:t>
      </w:r>
      <w:r w:rsidRPr="00092ED7">
        <w:rPr>
          <w:rFonts w:eastAsia="Calibri" w:cs="Times New Roman"/>
          <w:szCs w:val="24"/>
          <w:lang w:val="sr-Cyrl-CS"/>
        </w:rPr>
        <w:t xml:space="preserve">Укупне инвестиције, према </w:t>
      </w:r>
      <w:r w:rsidRPr="00092ED7">
        <w:rPr>
          <w:rFonts w:eastAsia="Calibri" w:cs="Times New Roman"/>
          <w:i/>
          <w:iCs/>
          <w:szCs w:val="24"/>
          <w:lang w:val="sr-Cyrl-CS"/>
        </w:rPr>
        <w:t xml:space="preserve">Закону о буџету Републике Србије за </w:t>
      </w:r>
      <w:r w:rsidR="0072219A" w:rsidRPr="00092ED7">
        <w:rPr>
          <w:rFonts w:eastAsia="Calibri" w:cs="Times New Roman"/>
          <w:i/>
          <w:iCs/>
          <w:szCs w:val="24"/>
          <w:lang w:val="sr-Cyrl-CS"/>
        </w:rPr>
        <w:t>2023</w:t>
      </w:r>
      <w:r w:rsidRPr="00092ED7">
        <w:rPr>
          <w:rFonts w:eastAsia="Calibri" w:cs="Times New Roman"/>
          <w:i/>
          <w:iCs/>
          <w:szCs w:val="24"/>
          <w:lang w:val="sr-Cyrl-CS"/>
        </w:rPr>
        <w:t>.</w:t>
      </w:r>
      <w:r w:rsidRPr="00092ED7">
        <w:rPr>
          <w:rFonts w:eastAsia="Calibri" w:cs="Times New Roman"/>
          <w:szCs w:val="24"/>
          <w:lang w:val="sr-Cyrl-CS"/>
        </w:rPr>
        <w:t xml:space="preserve"> </w:t>
      </w:r>
      <w:r w:rsidRPr="00092ED7">
        <w:rPr>
          <w:rFonts w:eastAsia="Calibri" w:cs="Times New Roman"/>
          <w:i/>
          <w:szCs w:val="24"/>
          <w:lang w:val="sr-Cyrl-CS"/>
        </w:rPr>
        <w:t>годину</w:t>
      </w:r>
      <w:r w:rsidRPr="00092ED7">
        <w:rPr>
          <w:rFonts w:eastAsia="Calibri" w:cs="Times New Roman"/>
          <w:szCs w:val="24"/>
          <w:lang w:val="sr-Cyrl-CS"/>
        </w:rPr>
        <w:t xml:space="preserve"> планиране су у износу од око </w:t>
      </w:r>
      <w:r w:rsidR="0072219A" w:rsidRPr="00092ED7">
        <w:rPr>
          <w:rFonts w:eastAsia="Calibri" w:cs="Times New Roman"/>
          <w:szCs w:val="24"/>
          <w:lang w:val="sr-Cyrl-CS"/>
        </w:rPr>
        <w:t>3,6</w:t>
      </w:r>
      <w:r w:rsidRPr="00092ED7">
        <w:rPr>
          <w:rFonts w:eastAsia="Calibri" w:cs="Times New Roman"/>
          <w:szCs w:val="24"/>
          <w:lang w:val="sr-Cyrl-CS"/>
        </w:rPr>
        <w:t xml:space="preserve"> млрд. евра или око </w:t>
      </w:r>
      <w:r w:rsidR="0072219A" w:rsidRPr="00092ED7">
        <w:rPr>
          <w:rFonts w:eastAsia="Calibri" w:cs="Times New Roman"/>
          <w:szCs w:val="24"/>
          <w:lang w:val="sr-Cyrl-CS"/>
        </w:rPr>
        <w:t>6,8</w:t>
      </w:r>
      <w:r w:rsidRPr="00092ED7">
        <w:rPr>
          <w:rFonts w:eastAsia="Calibri" w:cs="Times New Roman"/>
          <w:szCs w:val="24"/>
          <w:lang w:val="sr-Cyrl-CS"/>
        </w:rPr>
        <w:t>% БДП</w:t>
      </w:r>
      <w:r w:rsidR="00476166" w:rsidRPr="00092ED7">
        <w:rPr>
          <w:rFonts w:eastAsia="Calibri" w:cs="Times New Roman"/>
          <w:szCs w:val="24"/>
          <w:lang w:val="sr-Cyrl-CS"/>
        </w:rPr>
        <w:t>.</w:t>
      </w:r>
      <w:r w:rsidR="00C13979" w:rsidRPr="00092ED7">
        <w:rPr>
          <w:rFonts w:eastAsia="Calibri" w:cs="Times New Roman"/>
          <w:szCs w:val="24"/>
          <w:lang w:val="sr-Cyrl-CS"/>
        </w:rPr>
        <w:t xml:space="preserve"> </w:t>
      </w:r>
      <w:r w:rsidRPr="00092ED7">
        <w:rPr>
          <w:rFonts w:eastAsia="Calibri" w:cs="Times New Roman"/>
          <w:szCs w:val="24"/>
          <w:lang w:val="sr-Cyrl-CS"/>
        </w:rPr>
        <w:t xml:space="preserve">Системски поступак за оцену и одабир пројеката јавних инвестиција додатно је унапређен </w:t>
      </w:r>
      <w:r w:rsidR="006C154D" w:rsidRPr="00092ED7">
        <w:rPr>
          <w:rFonts w:eastAsia="Calibri" w:cs="Times New Roman"/>
          <w:szCs w:val="24"/>
          <w:lang w:val="sr-Cyrl-CS"/>
        </w:rPr>
        <w:t xml:space="preserve">спровођењем </w:t>
      </w:r>
      <w:r w:rsidRPr="00092ED7">
        <w:rPr>
          <w:rFonts w:eastAsia="Calibri" w:cs="Times New Roman"/>
          <w:i/>
          <w:szCs w:val="24"/>
          <w:lang w:val="sr-Cyrl-CS"/>
        </w:rPr>
        <w:t>Уредбе о управљању капиталним пројектима</w:t>
      </w:r>
      <w:r w:rsidRPr="00092ED7">
        <w:rPr>
          <w:rFonts w:eastAsia="Calibri" w:cs="Times New Roman"/>
          <w:szCs w:val="24"/>
          <w:lang w:val="sr-Cyrl-CS"/>
        </w:rPr>
        <w:t xml:space="preserve"> и пратећих правилника</w:t>
      </w:r>
      <w:r w:rsidR="00C13979" w:rsidRPr="00092ED7">
        <w:rPr>
          <w:lang w:val="sr-Cyrl-CS"/>
        </w:rPr>
        <w:t>, а измењена У</w:t>
      </w:r>
      <w:r w:rsidR="003F1566" w:rsidRPr="00092ED7">
        <w:rPr>
          <w:lang w:val="sr-Cyrl-CS"/>
        </w:rPr>
        <w:t xml:space="preserve">редба ступила је на снагу 24. децембра 2022. и примењиваће се од 1. априла </w:t>
      </w:r>
      <w:r w:rsidR="00C13979" w:rsidRPr="00092ED7">
        <w:rPr>
          <w:lang w:val="sr-Cyrl-CS"/>
        </w:rPr>
        <w:t>2023</w:t>
      </w:r>
      <w:r w:rsidRPr="00092ED7">
        <w:rPr>
          <w:rFonts w:eastAsia="Calibri" w:cs="Times New Roman"/>
          <w:szCs w:val="24"/>
          <w:lang w:val="sr-Cyrl-CS"/>
        </w:rPr>
        <w:t>.</w:t>
      </w:r>
      <w:r w:rsidR="003F1566" w:rsidRPr="00092ED7">
        <w:rPr>
          <w:rFonts w:eastAsia="Calibri" w:cs="Times New Roman"/>
          <w:szCs w:val="24"/>
          <w:lang w:val="sr-Cyrl-CS"/>
        </w:rPr>
        <w:t xml:space="preserve"> године.</w:t>
      </w:r>
      <w:r w:rsidRPr="00092ED7">
        <w:rPr>
          <w:rFonts w:eastAsia="Calibri" w:cs="Times New Roman"/>
          <w:szCs w:val="24"/>
          <w:lang w:val="sr-Cyrl-CS"/>
        </w:rPr>
        <w:t xml:space="preserve"> </w:t>
      </w:r>
      <w:r w:rsidR="00C13979" w:rsidRPr="00092ED7">
        <w:rPr>
          <w:lang w:val="sr-Cyrl-CS"/>
        </w:rPr>
        <w:t xml:space="preserve">Циљ доношења измена био је укључивање параметара о утицају пројекта на животну средину у критеријуме за идентификацију, процену спремности и утврђивање степена приоритета код капиталних пројеката. </w:t>
      </w:r>
      <w:r w:rsidR="00C458FD" w:rsidRPr="00092ED7">
        <w:rPr>
          <w:lang w:val="sr-Cyrl-CS"/>
        </w:rPr>
        <w:t>У Републици Србији већ постоји правни оквир који уређује област процене утицаја на животну средину, али је процес управљања капиталним пројектима уређеним Уредбом о управљању капиталним пројектима функционисао паралелно са процесом процене утицаја на животну средину који је прописан Законом о процени утицаја на животну средину („Службени гласник РС</w:t>
      </w:r>
      <w:r w:rsidR="00C458FD" w:rsidRPr="00092ED7">
        <w:rPr>
          <w:rFonts w:cs="Times New Roman"/>
          <w:szCs w:val="24"/>
          <w:lang w:val="sr-Cyrl-CS"/>
        </w:rPr>
        <w:t>”</w:t>
      </w:r>
      <w:r w:rsidR="00C458FD" w:rsidRPr="00092ED7">
        <w:rPr>
          <w:lang w:val="sr-Cyrl-CS"/>
        </w:rPr>
        <w:t xml:space="preserve">, бр. 135/04 и 36/09).  </w:t>
      </w:r>
      <w:r w:rsidR="00C13979" w:rsidRPr="00092ED7">
        <w:rPr>
          <w:lang w:val="sr-Cyrl-CS"/>
        </w:rPr>
        <w:t xml:space="preserve"> Министарство надлежно за послове заштите животне средине, према изменама </w:t>
      </w:r>
      <w:r w:rsidR="008479FB" w:rsidRPr="00092ED7">
        <w:rPr>
          <w:lang w:val="sr-Cyrl-CS"/>
        </w:rPr>
        <w:t>наведене</w:t>
      </w:r>
      <w:r w:rsidR="004B72CD" w:rsidRPr="00092ED7">
        <w:rPr>
          <w:lang w:val="sr-Cyrl-CS"/>
        </w:rPr>
        <w:t xml:space="preserve"> </w:t>
      </w:r>
      <w:r w:rsidR="008479FB" w:rsidRPr="00092ED7">
        <w:rPr>
          <w:lang w:val="sr-Cyrl-CS"/>
        </w:rPr>
        <w:t>у</w:t>
      </w:r>
      <w:r w:rsidR="00C13979" w:rsidRPr="00092ED7">
        <w:rPr>
          <w:lang w:val="sr-Cyrl-CS"/>
        </w:rPr>
        <w:t>редбе, укључује се у процес оцене и праћења капиталних пројеката у мери и на начин сразмеран правном оквиру којим је регулисана област процене утицаја на животну средину</w:t>
      </w:r>
      <w:r w:rsidR="00C458FD" w:rsidRPr="00092ED7">
        <w:rPr>
          <w:lang w:val="sr-Cyrl-CS"/>
        </w:rPr>
        <w:t xml:space="preserve">, а биће усвојен и пропис који ће садржати критеријуме заштите животне средине за потребе рада  Комисије за капиталне инвестиције. </w:t>
      </w:r>
      <w:r w:rsidR="00C13979" w:rsidRPr="00092ED7">
        <w:rPr>
          <w:lang w:val="sr-Cyrl-CS"/>
        </w:rPr>
        <w:t xml:space="preserve"> На тај начин врши се повезивање са постојећим поступком који се води на основу закона који</w:t>
      </w:r>
      <w:r w:rsidR="008479FB" w:rsidRPr="00092ED7">
        <w:rPr>
          <w:lang w:val="sr-Cyrl-CS"/>
        </w:rPr>
        <w:t>м се</w:t>
      </w:r>
      <w:r w:rsidR="00C13979" w:rsidRPr="00092ED7">
        <w:rPr>
          <w:lang w:val="sr-Cyrl-CS"/>
        </w:rPr>
        <w:t xml:space="preserve"> уређује процен</w:t>
      </w:r>
      <w:r w:rsidR="008479FB" w:rsidRPr="00092ED7">
        <w:rPr>
          <w:lang w:val="sr-Cyrl-CS"/>
        </w:rPr>
        <w:t>а</w:t>
      </w:r>
      <w:r w:rsidR="00C13979" w:rsidRPr="00092ED7">
        <w:rPr>
          <w:lang w:val="sr-Cyrl-CS"/>
        </w:rPr>
        <w:t xml:space="preserve"> </w:t>
      </w:r>
      <w:r w:rsidR="008479FB" w:rsidRPr="00092ED7">
        <w:rPr>
          <w:lang w:val="sr-Cyrl-CS"/>
        </w:rPr>
        <w:t xml:space="preserve">утицаја на </w:t>
      </w:r>
      <w:r w:rsidR="00C13979" w:rsidRPr="00092ED7">
        <w:rPr>
          <w:lang w:val="sr-Cyrl-CS"/>
        </w:rPr>
        <w:t xml:space="preserve">животну средину. </w:t>
      </w:r>
      <w:r w:rsidRPr="00092ED7">
        <w:rPr>
          <w:rFonts w:eastAsia="Calibri" w:cs="Times New Roman"/>
          <w:szCs w:val="24"/>
          <w:lang w:val="sr-Cyrl-CS"/>
        </w:rPr>
        <w:t>Комисија за капиталне инвестиције, формирана почетком 2020. године, надлежна је за потврду стратешке релевантности капиталних пројеката и усвајање листе успешно оцењених пројеката.</w:t>
      </w:r>
      <w:r w:rsidR="00C13979" w:rsidRPr="00092ED7">
        <w:rPr>
          <w:rFonts w:eastAsia="Calibri" w:cs="Times New Roman"/>
          <w:szCs w:val="24"/>
          <w:lang w:val="sr-Cyrl-CS"/>
        </w:rPr>
        <w:t xml:space="preserve"> </w:t>
      </w:r>
      <w:r w:rsidR="00C13979" w:rsidRPr="00092ED7">
        <w:rPr>
          <w:lang w:val="sr-Cyrl-CS"/>
        </w:rPr>
        <w:t>Комисија се до децембра 2022. састала седам пута. Група за оцену и праћење капиталних пројеката при Министарству финансија прати 159 пројеката у складу са Уредбом</w:t>
      </w:r>
      <w:r w:rsidR="00B16622" w:rsidRPr="00092ED7">
        <w:rPr>
          <w:lang w:val="sr-Cyrl-CS"/>
        </w:rPr>
        <w:t xml:space="preserve"> о управљању капиталним пројектима</w:t>
      </w:r>
      <w:r w:rsidR="00C13979" w:rsidRPr="00092ED7">
        <w:rPr>
          <w:lang w:val="sr-Cyrl-CS"/>
        </w:rPr>
        <w:t>, и ради на успостављању информационог система</w:t>
      </w:r>
      <w:r w:rsidR="00E15E0E" w:rsidRPr="00092ED7">
        <w:rPr>
          <w:strike/>
          <w:lang w:val="sr-Cyrl-CS"/>
        </w:rPr>
        <w:t xml:space="preserve"> </w:t>
      </w:r>
      <w:r w:rsidR="006B0BA0" w:rsidRPr="00092ED7">
        <w:rPr>
          <w:lang w:val="sr-Cyrl-CS"/>
        </w:rPr>
        <w:t xml:space="preserve">PIMIS, </w:t>
      </w:r>
      <w:r w:rsidR="00C13979" w:rsidRPr="00092ED7">
        <w:rPr>
          <w:lang w:val="sr-Cyrl-CS"/>
        </w:rPr>
        <w:t>чије се пуштање у рад очекује.</w:t>
      </w:r>
    </w:p>
    <w:p w14:paraId="04891C0F" w14:textId="6B3CC130" w:rsidR="00D210F0" w:rsidRPr="00092ED7" w:rsidRDefault="00D210F0" w:rsidP="00D210F0">
      <w:pPr>
        <w:tabs>
          <w:tab w:val="left" w:pos="2970"/>
        </w:tabs>
        <w:spacing w:after="60"/>
        <w:rPr>
          <w:rFonts w:eastAsia="Times New Roman" w:cs="Times New Roman"/>
          <w:kern w:val="3"/>
          <w:szCs w:val="24"/>
          <w:lang w:val="sr-Cyrl-CS" w:eastAsia="zh-CN" w:bidi="hi-IN"/>
        </w:rPr>
      </w:pPr>
      <w:r w:rsidRPr="00092ED7">
        <w:rPr>
          <w:rFonts w:eastAsia="Calibri" w:cs="Times New Roman"/>
          <w:b/>
          <w:szCs w:val="24"/>
          <w:lang w:val="sr-Cyrl-CS"/>
        </w:rPr>
        <w:t>Значајни напори уложени су у борбу против неформалног пословања, али је спровођење реформи успорено</w:t>
      </w:r>
      <w:r w:rsidRPr="00092ED7">
        <w:rPr>
          <w:rFonts w:eastAsia="Calibri" w:cs="Times New Roman"/>
          <w:szCs w:val="24"/>
          <w:lang w:val="sr-Cyrl-CS"/>
        </w:rPr>
        <w:t>.</w:t>
      </w:r>
      <w:r w:rsidRPr="00092ED7">
        <w:rPr>
          <w:rFonts w:eastAsia="Times New Roman" w:cs="Times New Roman"/>
          <w:kern w:val="3"/>
          <w:szCs w:val="24"/>
          <w:lang w:val="sr-Cyrl-CS" w:eastAsia="zh-CN" w:bidi="hi-IN"/>
        </w:rPr>
        <w:t xml:space="preserve"> </w:t>
      </w:r>
      <w:r w:rsidRPr="00092ED7">
        <w:rPr>
          <w:rFonts w:eastAsia="Calibri" w:cs="Times New Roman"/>
          <w:szCs w:val="24"/>
          <w:lang w:val="sr-Cyrl-CS"/>
        </w:rPr>
        <w:t>Према Извештају о реализацији мера из Акционог плана за сузбијање сиве економије 2019-2020. године</w:t>
      </w:r>
      <w:r w:rsidRPr="00092ED7">
        <w:rPr>
          <w:rStyle w:val="FootnoteReference"/>
          <w:rFonts w:eastAsia="Calibri" w:cs="Times New Roman"/>
          <w:szCs w:val="24"/>
          <w:lang w:val="sr-Cyrl-CS"/>
        </w:rPr>
        <w:footnoteReference w:id="70"/>
      </w:r>
      <w:r w:rsidRPr="00092ED7">
        <w:rPr>
          <w:rFonts w:eastAsia="Calibri" w:cs="Times New Roman"/>
          <w:szCs w:val="24"/>
          <w:lang w:val="sr-Cyrl-CS"/>
        </w:rPr>
        <w:t xml:space="preserve">, у потпуности </w:t>
      </w:r>
      <w:r w:rsidR="00261FF7" w:rsidRPr="00092ED7">
        <w:rPr>
          <w:rFonts w:eastAsia="Calibri" w:cs="Times New Roman"/>
          <w:szCs w:val="24"/>
          <w:lang w:val="sr-Cyrl-CS"/>
        </w:rPr>
        <w:t xml:space="preserve">је </w:t>
      </w:r>
      <w:r w:rsidRPr="00092ED7">
        <w:rPr>
          <w:rFonts w:eastAsia="Calibri" w:cs="Times New Roman"/>
          <w:szCs w:val="24"/>
          <w:lang w:val="sr-Cyrl-CS"/>
        </w:rPr>
        <w:t xml:space="preserve">реализовано 49,2% дефинисаних мера и активности. </w:t>
      </w:r>
      <w:r w:rsidR="00261FF7" w:rsidRPr="00092ED7">
        <w:rPr>
          <w:rFonts w:eastAsia="Calibri" w:cs="Times New Roman"/>
          <w:szCs w:val="24"/>
          <w:lang w:val="sr-Cyrl-CS"/>
        </w:rPr>
        <w:t>С</w:t>
      </w:r>
      <w:r w:rsidR="00261FF7" w:rsidRPr="00092ED7">
        <w:rPr>
          <w:rFonts w:eastAsia="Times New Roman" w:cs="Times New Roman"/>
          <w:kern w:val="3"/>
          <w:szCs w:val="24"/>
          <w:lang w:val="sr-Cyrl-CS" w:eastAsia="zh-CN" w:bidi="hi-IN"/>
        </w:rPr>
        <w:t xml:space="preserve">мањено је </w:t>
      </w:r>
      <w:r w:rsidR="00261FF7" w:rsidRPr="00092ED7">
        <w:rPr>
          <w:rFonts w:eastAsia="Calibri" w:cs="Times New Roman"/>
          <w:szCs w:val="24"/>
          <w:lang w:val="sr-Cyrl-CS"/>
        </w:rPr>
        <w:t>у</w:t>
      </w:r>
      <w:r w:rsidR="00261FF7" w:rsidRPr="00092ED7">
        <w:rPr>
          <w:rFonts w:eastAsia="Times New Roman" w:cs="Times New Roman"/>
          <w:kern w:val="3"/>
          <w:szCs w:val="24"/>
          <w:lang w:val="sr-Cyrl-CS" w:eastAsia="zh-CN" w:bidi="hi-IN"/>
        </w:rPr>
        <w:t>чешће неформалне запослености у укупној запослености са 22% у 2016. на 13,2% у 2021. години</w:t>
      </w:r>
      <w:r w:rsidR="00261FF7" w:rsidRPr="00092ED7">
        <w:rPr>
          <w:rFonts w:eastAsia="Times New Roman" w:cs="Times New Roman"/>
          <w:kern w:val="3"/>
          <w:szCs w:val="24"/>
          <w:vertAlign w:val="superscript"/>
          <w:lang w:val="sr-Cyrl-CS" w:eastAsia="zh-CN" w:bidi="hi-IN"/>
        </w:rPr>
        <w:footnoteReference w:id="71"/>
      </w:r>
      <w:r w:rsidR="00261FF7" w:rsidRPr="00092ED7">
        <w:rPr>
          <w:rFonts w:eastAsia="Times New Roman" w:cs="Times New Roman"/>
          <w:kern w:val="3"/>
          <w:szCs w:val="24"/>
          <w:lang w:val="sr-Cyrl-CS" w:eastAsia="zh-CN" w:bidi="hi-IN"/>
        </w:rPr>
        <w:t xml:space="preserve">, између осталих разлога, и због примене </w:t>
      </w:r>
      <w:r w:rsidR="00261FF7" w:rsidRPr="00092ED7">
        <w:rPr>
          <w:rFonts w:eastAsia="Times New Roman" w:cs="Times New Roman"/>
          <w:i/>
          <w:kern w:val="3"/>
          <w:szCs w:val="24"/>
          <w:lang w:val="sr-Cyrl-CS" w:eastAsia="zh-CN" w:bidi="hi-IN"/>
        </w:rPr>
        <w:t xml:space="preserve">Закона о поједностављеном радном ангажовању на сезонским пословима у одређеним делатностима </w:t>
      </w:r>
      <w:r w:rsidR="00261FF7" w:rsidRPr="00092ED7">
        <w:rPr>
          <w:rFonts w:eastAsia="Times New Roman" w:cs="Times New Roman"/>
          <w:kern w:val="3"/>
          <w:szCs w:val="24"/>
          <w:lang w:val="sr-Cyrl-CS" w:eastAsia="zh-CN" w:bidi="hi-IN"/>
        </w:rPr>
        <w:t>(„Сл</w:t>
      </w:r>
      <w:r w:rsidR="005A2DE8" w:rsidRPr="00092ED7">
        <w:rPr>
          <w:rFonts w:eastAsia="Times New Roman" w:cs="Times New Roman"/>
          <w:kern w:val="3"/>
          <w:szCs w:val="24"/>
          <w:lang w:val="sr-Cyrl-CS" w:eastAsia="zh-CN" w:bidi="hi-IN"/>
        </w:rPr>
        <w:t>ужбени</w:t>
      </w:r>
      <w:r w:rsidR="00261FF7" w:rsidRPr="00092ED7">
        <w:rPr>
          <w:rFonts w:eastAsia="Times New Roman" w:cs="Times New Roman"/>
          <w:kern w:val="3"/>
          <w:szCs w:val="24"/>
          <w:lang w:val="sr-Cyrl-CS" w:eastAsia="zh-CN" w:bidi="hi-IN"/>
        </w:rPr>
        <w:t xml:space="preserve"> гласник РС</w:t>
      </w:r>
      <w:r w:rsidR="005A2DE8" w:rsidRPr="00092ED7">
        <w:rPr>
          <w:rFonts w:cs="Times New Roman"/>
          <w:szCs w:val="24"/>
          <w:lang w:val="sr-Cyrl-CS"/>
        </w:rPr>
        <w:t>”</w:t>
      </w:r>
      <w:r w:rsidR="00261FF7" w:rsidRPr="00092ED7">
        <w:rPr>
          <w:rFonts w:eastAsia="Times New Roman" w:cs="Times New Roman"/>
          <w:kern w:val="3"/>
          <w:szCs w:val="24"/>
          <w:lang w:val="sr-Cyrl-CS" w:eastAsia="zh-CN" w:bidi="hi-IN"/>
        </w:rPr>
        <w:t>, бр</w:t>
      </w:r>
      <w:r w:rsidR="005A2DE8" w:rsidRPr="00092ED7">
        <w:rPr>
          <w:rFonts w:eastAsia="Times New Roman" w:cs="Times New Roman"/>
          <w:kern w:val="3"/>
          <w:szCs w:val="24"/>
          <w:lang w:val="sr-Cyrl-CS" w:eastAsia="zh-CN" w:bidi="hi-IN"/>
        </w:rPr>
        <w:t>ој</w:t>
      </w:r>
      <w:r w:rsidR="00261FF7" w:rsidRPr="00092ED7">
        <w:rPr>
          <w:rFonts w:eastAsia="Times New Roman" w:cs="Times New Roman"/>
          <w:kern w:val="3"/>
          <w:szCs w:val="24"/>
          <w:lang w:val="sr-Cyrl-CS" w:eastAsia="zh-CN" w:bidi="hi-IN"/>
        </w:rPr>
        <w:t xml:space="preserve"> 50/18) који обухвата послове у области пољопривреде. У пољопривреди је било легално ангажовано 38.500</w:t>
      </w:r>
      <w:r w:rsidR="00261FF7" w:rsidRPr="00092ED7">
        <w:rPr>
          <w:rStyle w:val="FootnoteReference"/>
          <w:rFonts w:eastAsia="Times New Roman" w:cs="Times New Roman"/>
          <w:kern w:val="3"/>
          <w:szCs w:val="24"/>
          <w:lang w:val="sr-Cyrl-CS" w:eastAsia="zh-CN" w:bidi="hi-IN"/>
        </w:rPr>
        <w:footnoteReference w:id="72"/>
      </w:r>
      <w:r w:rsidR="00261FF7" w:rsidRPr="00092ED7">
        <w:rPr>
          <w:rFonts w:eastAsia="Times New Roman" w:cs="Times New Roman"/>
          <w:kern w:val="3"/>
          <w:szCs w:val="24"/>
          <w:lang w:val="sr-Cyrl-CS" w:eastAsia="zh-CN" w:bidi="hi-IN"/>
        </w:rPr>
        <w:t xml:space="preserve"> сезонских радника у 2021. години, 17% више него 2020. године. Изменама и допунама овог закона, биће обухваћени послови и у другим делатностима (грађевинарство, угоститељство, туризам, послови помоћи у кући за потребе физичких лица, чишћење за потребе стамбених зграда). </w:t>
      </w:r>
      <w:r w:rsidRPr="00092ED7">
        <w:rPr>
          <w:rFonts w:eastAsia="Calibri" w:cs="Times New Roman"/>
          <w:szCs w:val="24"/>
          <w:lang w:val="sr-Cyrl-CS"/>
        </w:rPr>
        <w:t xml:space="preserve">У току је израда </w:t>
      </w:r>
      <w:r w:rsidR="00261FF7" w:rsidRPr="00092ED7">
        <w:rPr>
          <w:rFonts w:eastAsia="Calibri" w:cs="Times New Roman"/>
          <w:i/>
          <w:szCs w:val="24"/>
          <w:lang w:val="sr-Cyrl-CS"/>
        </w:rPr>
        <w:t xml:space="preserve">Нацрта </w:t>
      </w:r>
      <w:r w:rsidR="00B52C0F" w:rsidRPr="00092ED7">
        <w:rPr>
          <w:rFonts w:eastAsia="Calibri" w:cs="Times New Roman"/>
          <w:i/>
          <w:szCs w:val="24"/>
          <w:lang w:val="sr-Cyrl-CS"/>
        </w:rPr>
        <w:t>п</w:t>
      </w:r>
      <w:r w:rsidRPr="00092ED7">
        <w:rPr>
          <w:rFonts w:eastAsia="Calibri" w:cs="Times New Roman"/>
          <w:i/>
          <w:szCs w:val="24"/>
          <w:lang w:val="sr-Cyrl-CS"/>
        </w:rPr>
        <w:t xml:space="preserve">рограма за сузбијање сиве економије </w:t>
      </w:r>
      <w:r w:rsidRPr="00092ED7">
        <w:rPr>
          <w:rFonts w:eastAsia="Calibri" w:cs="Times New Roman"/>
          <w:szCs w:val="24"/>
          <w:lang w:val="sr-Cyrl-CS"/>
        </w:rPr>
        <w:t>(спроведена јавна расправa</w:t>
      </w:r>
      <w:r w:rsidRPr="00092ED7">
        <w:rPr>
          <w:rStyle w:val="FootnoteReference"/>
          <w:rFonts w:eastAsia="Calibri" w:cs="Times New Roman"/>
          <w:szCs w:val="24"/>
          <w:lang w:val="sr-Cyrl-CS"/>
        </w:rPr>
        <w:footnoteReference w:id="73"/>
      </w:r>
      <w:r w:rsidRPr="00092ED7">
        <w:rPr>
          <w:rFonts w:eastAsia="Calibri" w:cs="Times New Roman"/>
          <w:szCs w:val="24"/>
          <w:lang w:val="sr-Cyrl-CS"/>
        </w:rPr>
        <w:t>), који садржи 24 мере за достизање три циља: јачање инспекцијског надзора, унапређење рада Пореске управе и фискално и административно растерећење привреде</w:t>
      </w:r>
      <w:r w:rsidR="00BC65A9" w:rsidRPr="00092ED7">
        <w:rPr>
          <w:rFonts w:eastAsia="Calibri" w:cs="Times New Roman"/>
          <w:szCs w:val="24"/>
          <w:lang w:val="sr-Cyrl-CS"/>
        </w:rPr>
        <w:t>, а чије усвајање се очекује у првом кварталу 2023. године</w:t>
      </w:r>
      <w:r w:rsidRPr="00092ED7">
        <w:rPr>
          <w:rFonts w:eastAsia="Calibri" w:cs="Times New Roman"/>
          <w:szCs w:val="24"/>
          <w:lang w:val="sr-Cyrl-CS"/>
        </w:rPr>
        <w:t xml:space="preserve">. </w:t>
      </w:r>
    </w:p>
    <w:p w14:paraId="1B0625F9" w14:textId="77777777" w:rsidR="00D210F0" w:rsidRPr="00092ED7" w:rsidRDefault="00D210F0" w:rsidP="00D210F0">
      <w:pPr>
        <w:tabs>
          <w:tab w:val="left" w:pos="2970"/>
        </w:tabs>
        <w:spacing w:after="60"/>
        <w:rPr>
          <w:rFonts w:eastAsia="Calibri" w:cs="Times New Roman"/>
          <w:lang w:val="sr-Cyrl-CS"/>
        </w:rPr>
      </w:pPr>
      <w:r w:rsidRPr="00092ED7">
        <w:rPr>
          <w:rFonts w:eastAsia="Calibri" w:cs="Times New Roman"/>
          <w:b/>
          <w:lang w:val="sr-Cyrl-CS"/>
        </w:rPr>
        <w:t>Транспарентност процеса јавних набавки</w:t>
      </w:r>
      <w:r w:rsidRPr="00092ED7">
        <w:rPr>
          <w:rFonts w:eastAsia="Calibri" w:cs="Times New Roman"/>
          <w:lang w:val="sr-Cyrl-CS"/>
        </w:rPr>
        <w:t xml:space="preserve"> </w:t>
      </w:r>
      <w:r w:rsidRPr="00092ED7">
        <w:rPr>
          <w:rFonts w:eastAsia="Calibri" w:cs="Times New Roman"/>
          <w:b/>
          <w:lang w:val="sr-Cyrl-CS"/>
        </w:rPr>
        <w:t>је ојачана</w:t>
      </w:r>
      <w:r w:rsidRPr="00092ED7">
        <w:rPr>
          <w:rFonts w:eastAsia="Calibri" w:cs="Times New Roman"/>
          <w:lang w:val="sr-Cyrl-CS"/>
        </w:rPr>
        <w:t xml:space="preserve"> доношењем </w:t>
      </w:r>
      <w:r w:rsidRPr="00092ED7">
        <w:rPr>
          <w:rFonts w:eastAsia="Calibri" w:cs="Times New Roman"/>
          <w:i/>
          <w:lang w:val="sr-Cyrl-CS"/>
        </w:rPr>
        <w:t>Закона о јавним набавкама</w:t>
      </w:r>
      <w:r w:rsidRPr="00092ED7">
        <w:rPr>
          <w:rFonts w:eastAsia="Calibri" w:cs="Times New Roman"/>
          <w:lang w:val="sr-Cyrl-CS"/>
        </w:rPr>
        <w:t xml:space="preserve"> у 2019. години, али </w:t>
      </w:r>
      <w:r w:rsidRPr="00092ED7">
        <w:rPr>
          <w:rFonts w:eastAsia="Calibri" w:cs="Times New Roman"/>
          <w:b/>
          <w:lang w:val="sr-Cyrl-CS"/>
        </w:rPr>
        <w:t>треба наставити са повећањем нивоа конкуренције</w:t>
      </w:r>
      <w:r w:rsidRPr="00092ED7">
        <w:rPr>
          <w:rFonts w:eastAsia="Calibri" w:cs="Times New Roman"/>
          <w:lang w:val="sr-Cyrl-CS"/>
        </w:rPr>
        <w:t xml:space="preserve">. Имајући у виду одредбе </w:t>
      </w:r>
      <w:r w:rsidRPr="00092ED7">
        <w:rPr>
          <w:rFonts w:eastAsia="Calibri" w:cs="Times New Roman"/>
          <w:i/>
          <w:lang w:val="sr-Cyrl-CS"/>
        </w:rPr>
        <w:t>Закона о јавним набавкама</w:t>
      </w:r>
      <w:r w:rsidRPr="00092ED7">
        <w:rPr>
          <w:rFonts w:eastAsia="Calibri" w:cs="Times New Roman"/>
          <w:lang w:val="sr-Cyrl-CS"/>
        </w:rPr>
        <w:t xml:space="preserve">, једна од кључних новина је </w:t>
      </w:r>
      <w:r w:rsidRPr="00092ED7">
        <w:rPr>
          <w:rFonts w:eastAsia="Calibri" w:cs="Times New Roman"/>
          <w:b/>
          <w:lang w:val="sr-Cyrl-CS"/>
        </w:rPr>
        <w:t>увођење е-платформе</w:t>
      </w:r>
      <w:r w:rsidRPr="00092ED7">
        <w:rPr>
          <w:rFonts w:eastAsia="Calibri" w:cs="Times New Roman"/>
          <w:lang w:val="sr-Cyrl-CS"/>
        </w:rPr>
        <w:t xml:space="preserve">. Уведена је обавеза електронске комуникације и електронске размене података у поступцима јавних набавки што представља значајан искорак у процесу дигитализације поступака јавних набавки. Портал јавних набавки омогућава наручиоцима да састављају и објављују планове и обавештења на Порталу, објављују конкурсну документацију и одлуке у поступцима јавних набавки, као и многе друге опције и функционалности као што су: </w:t>
      </w:r>
      <w:r w:rsidRPr="00092ED7">
        <w:rPr>
          <w:rFonts w:eastAsia="Calibri" w:cs="Times New Roman"/>
          <w:b/>
          <w:lang w:val="sr-Cyrl-CS"/>
        </w:rPr>
        <w:t>е-подношење понуда, е-аукције</w:t>
      </w:r>
      <w:r w:rsidRPr="00092ED7">
        <w:rPr>
          <w:rFonts w:eastAsia="Calibri" w:cs="Times New Roman"/>
          <w:lang w:val="sr-Cyrl-CS"/>
        </w:rPr>
        <w:t xml:space="preserve">, динамички систем набавке, </w:t>
      </w:r>
      <w:r w:rsidRPr="00092ED7">
        <w:rPr>
          <w:rFonts w:eastAsia="Calibri" w:cs="Times New Roman"/>
          <w:b/>
          <w:lang w:val="sr-Cyrl-CS"/>
        </w:rPr>
        <w:t>е-планирање, е-жалбе и е-каталог</w:t>
      </w:r>
      <w:r w:rsidRPr="00092ED7">
        <w:rPr>
          <w:rFonts w:eastAsia="Calibri" w:cs="Times New Roman"/>
          <w:lang w:val="sr-Cyrl-CS"/>
        </w:rPr>
        <w:t xml:space="preserve">. Преко новог Портала јавних набавки, Канцеларији за јавне набавке је олакшано прикупљање и евидентирање података о свим поступцима покренутим по одредбама овог закона. Закључено је 182.998 уговора у 2021. години укупне вредности 559,7 млрд. </w:t>
      </w:r>
      <w:r w:rsidR="00192281" w:rsidRPr="00092ED7">
        <w:rPr>
          <w:rFonts w:eastAsia="Calibri" w:cs="Times New Roman"/>
          <w:lang w:val="sr-Cyrl-CS"/>
        </w:rPr>
        <w:t xml:space="preserve">динара </w:t>
      </w:r>
      <w:r w:rsidRPr="00092ED7">
        <w:rPr>
          <w:rFonts w:eastAsia="Calibri" w:cs="Times New Roman"/>
          <w:lang w:val="sr-Cyrl-CS"/>
        </w:rPr>
        <w:t>(8,9% БДП), што је највећи број уговора још од 2004. године. Отворених поступака било је 91,3%, а преговарачких поступака без објаве јавног позива</w:t>
      </w:r>
      <w:r w:rsidRPr="00092ED7">
        <w:rPr>
          <w:rStyle w:val="FootnoteReference"/>
          <w:rFonts w:eastAsia="Calibri" w:cs="Times New Roman"/>
          <w:lang w:val="sr-Cyrl-CS"/>
        </w:rPr>
        <w:footnoteReference w:id="74"/>
      </w:r>
      <w:r w:rsidRPr="00092ED7">
        <w:rPr>
          <w:rFonts w:eastAsia="Calibri" w:cs="Times New Roman"/>
          <w:lang w:val="sr-Cyrl-CS"/>
        </w:rPr>
        <w:t xml:space="preserve"> 7,7% укупног броја у 2021. години. Скраћено је просечно трајање отвореног поступка јавне набавке на 48 дана у 2021. (52 у 2020.), али још увек није остварено веће укључивање привредних субјеката у процес јавних набавки, односно просечан број понуда по поступку јавне набавке незнатно је смањен на 2,5 у 2021. (са 2,6 у 2020.)</w:t>
      </w:r>
      <w:r w:rsidRPr="00092ED7">
        <w:rPr>
          <w:rStyle w:val="FootnoteReference"/>
          <w:rFonts w:eastAsia="Calibri" w:cs="Times New Roman"/>
          <w:lang w:val="sr-Cyrl-CS"/>
        </w:rPr>
        <w:footnoteReference w:id="75"/>
      </w:r>
      <w:r w:rsidRPr="00092ED7">
        <w:rPr>
          <w:rFonts w:eastAsia="Calibri" w:cs="Times New Roman"/>
          <w:lang w:val="sr-Cyrl-CS"/>
        </w:rPr>
        <w:t>.</w:t>
      </w:r>
    </w:p>
    <w:p w14:paraId="55EB6F9D"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а) Реформе</w:t>
      </w:r>
    </w:p>
    <w:p w14:paraId="4425AFAE" w14:textId="77777777" w:rsidR="00D210F0" w:rsidRPr="00092ED7" w:rsidRDefault="00D210F0" w:rsidP="00D210F0">
      <w:pPr>
        <w:spacing w:before="120"/>
        <w:rPr>
          <w:rFonts w:eastAsia="Calibri" w:cs="Times New Roman"/>
          <w:szCs w:val="24"/>
          <w:lang w:val="sr-Cyrl-CS"/>
        </w:rPr>
      </w:pPr>
      <w:r w:rsidRPr="00092ED7">
        <w:rPr>
          <w:rFonts w:eastAsia="Calibri" w:cs="Times New Roman"/>
          <w:b/>
          <w:szCs w:val="24"/>
          <w:u w:val="single"/>
          <w:lang w:val="sr-Cyrl-CS"/>
        </w:rPr>
        <w:t>СТРУКТУРНА РЕФОРМА 5</w:t>
      </w:r>
      <w:r w:rsidRPr="00092ED7">
        <w:rPr>
          <w:rFonts w:eastAsia="Calibri" w:cs="Times New Roman"/>
          <w:b/>
          <w:szCs w:val="24"/>
          <w:lang w:val="sr-Cyrl-CS"/>
        </w:rPr>
        <w:t>:</w:t>
      </w:r>
      <w:r w:rsidRPr="00092ED7">
        <w:rPr>
          <w:rFonts w:eastAsia="Calibri" w:cs="Times New Roman"/>
          <w:szCs w:val="24"/>
          <w:lang w:val="sr-Cyrl-CS"/>
        </w:rPr>
        <w:t xml:space="preserve"> УНАПРЕЂЕЊЕ КВАЛИТЕТА ПРУЖАЊА ЈАВНИХ УСЛУГА КРОЗ ОПТИМИЗАЦИЈУ И ДИГИТАЛИЗАЦИЈУ АДМИНИСТРАТИВНИХ ПОСТУПАКА – Е-ПАПИР</w:t>
      </w:r>
    </w:p>
    <w:p w14:paraId="74D17149" w14:textId="77777777" w:rsidR="00D210F0" w:rsidRPr="00092ED7" w:rsidRDefault="00D210F0" w:rsidP="00071952">
      <w:pPr>
        <w:pStyle w:val="ListParagraph"/>
        <w:widowControl w:val="0"/>
        <w:numPr>
          <w:ilvl w:val="0"/>
          <w:numId w:val="22"/>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21F3FDE0" w14:textId="315D6D06" w:rsidR="00D210F0" w:rsidRPr="00092ED7" w:rsidRDefault="00D210F0" w:rsidP="00B640AF">
      <w:pPr>
        <w:rPr>
          <w:rFonts w:cs="Times New Roman"/>
          <w:szCs w:val="24"/>
          <w:lang w:val="sr-Cyrl-CS"/>
        </w:rPr>
      </w:pPr>
      <w:r w:rsidRPr="00092ED7">
        <w:rPr>
          <w:rFonts w:eastAsia="Times New Roman" w:cs="Times New Roman"/>
          <w:szCs w:val="24"/>
          <w:lang w:val="sr-Cyrl-CS"/>
        </w:rPr>
        <w:t>Унапређење квалитета пружања јавних услуга је вишегодишњи реформски процес који се, између осталог, одвија кроз оптимизацију административних поступака (укидањем непотребних или поједностављењем и дигитализацијом административних поступака), као и кроз развој Регистра административних поступака. Регистар представља</w:t>
      </w:r>
      <w:r w:rsidRPr="00092ED7">
        <w:rPr>
          <w:lang w:val="sr-Cyrl-CS"/>
        </w:rPr>
        <w:t xml:space="preserve"> </w:t>
      </w:r>
      <w:r w:rsidRPr="00092ED7">
        <w:rPr>
          <w:rFonts w:eastAsia="Times New Roman" w:cs="Times New Roman"/>
          <w:szCs w:val="24"/>
          <w:lang w:val="sr-Cyrl-CS"/>
        </w:rPr>
        <w:t>јединствену електронску базу свих административних поступака и осталих услова пословања</w:t>
      </w:r>
      <w:r w:rsidR="005C0DE5" w:rsidRPr="00092ED7">
        <w:rPr>
          <w:rFonts w:eastAsia="Times New Roman" w:cs="Times New Roman"/>
          <w:szCs w:val="24"/>
          <w:lang w:val="sr-Cyrl-CS"/>
        </w:rPr>
        <w:t>,</w:t>
      </w:r>
      <w:r w:rsidRPr="00092ED7">
        <w:rPr>
          <w:rFonts w:eastAsia="Times New Roman" w:cs="Times New Roman"/>
          <w:szCs w:val="24"/>
          <w:lang w:val="sr-Cyrl-CS"/>
        </w:rPr>
        <w:t xml:space="preserve"> које спроводе ограни јавне управе</w:t>
      </w:r>
      <w:r w:rsidR="005C0DE5" w:rsidRPr="00092ED7">
        <w:rPr>
          <w:rFonts w:eastAsia="Times New Roman" w:cs="Times New Roman"/>
          <w:szCs w:val="24"/>
          <w:lang w:val="sr-Cyrl-CS"/>
        </w:rPr>
        <w:t>,</w:t>
      </w:r>
      <w:r w:rsidRPr="00092ED7">
        <w:rPr>
          <w:rFonts w:eastAsia="Times New Roman" w:cs="Times New Roman"/>
          <w:szCs w:val="24"/>
          <w:lang w:val="sr-Cyrl-CS"/>
        </w:rPr>
        <w:t xml:space="preserve"> како би заинтересовани привредници и грађани могли једноставно и лако да буду информисани о свему што им је потребно да би остварили одређено право или испунили неку законску обавезу. Регистар уједно представља полазну основу за формирање Јединствене електронске контактне тачке (</w:t>
      </w:r>
      <w:r w:rsidR="006B0BA0" w:rsidRPr="00092ED7">
        <w:rPr>
          <w:rFonts w:eastAsia="Times New Roman" w:cs="Times New Roman"/>
          <w:szCs w:val="24"/>
          <w:lang w:val="sr-Cyrl-CS"/>
        </w:rPr>
        <w:t xml:space="preserve">у даљем тексту: </w:t>
      </w:r>
      <w:r w:rsidRPr="00092ED7">
        <w:rPr>
          <w:rFonts w:eastAsia="Times New Roman" w:cs="Times New Roman"/>
          <w:szCs w:val="24"/>
          <w:lang w:val="sr-Cyrl-CS"/>
        </w:rPr>
        <w:t>ЈЕКТ), што је обавеза у складу са Директивом о услугама 2006/123/ЕЗ чије је транспоновање предвиђено чланом 59. ССП. Реформа је дефинисана Стратегијом реформе јавне управе у Републици Србији за период од 2021. до 2030. године</w:t>
      </w:r>
      <w:r w:rsidR="008877A5" w:rsidRPr="00092ED7">
        <w:rPr>
          <w:rFonts w:eastAsia="Times New Roman" w:cs="Times New Roman"/>
          <w:szCs w:val="24"/>
          <w:lang w:val="sr-Cyrl-CS"/>
        </w:rPr>
        <w:t xml:space="preserve"> </w:t>
      </w:r>
      <w:r w:rsidR="008877A5" w:rsidRPr="00092ED7">
        <w:rPr>
          <w:rFonts w:cs="Times New Roman"/>
          <w:szCs w:val="24"/>
          <w:lang w:val="sr-Cyrl-CS"/>
        </w:rPr>
        <w:t>(„Службени гласник РС”, бр. 42/21 и 9/22)</w:t>
      </w:r>
      <w:r w:rsidRPr="00092ED7">
        <w:rPr>
          <w:rFonts w:eastAsia="Times New Roman" w:cs="Times New Roman"/>
          <w:szCs w:val="24"/>
          <w:lang w:val="sr-Cyrl-CS"/>
        </w:rPr>
        <w:t>, док је Акционим планом за спровођење Стратегије планирано доношење Програма за поједностављење административних поступака и регулативе „е-Папир</w:t>
      </w:r>
      <w:r w:rsidR="00DD04E6" w:rsidRPr="00092ED7">
        <w:rPr>
          <w:rFonts w:cs="Times New Roman"/>
          <w:szCs w:val="24"/>
          <w:lang w:val="sr-Cyrl-CS"/>
        </w:rPr>
        <w:t>”</w:t>
      </w:r>
      <w:r w:rsidRPr="00092ED7">
        <w:rPr>
          <w:rFonts w:eastAsia="Times New Roman" w:cs="Times New Roman"/>
          <w:szCs w:val="24"/>
          <w:lang w:val="sr-Cyrl-CS"/>
        </w:rPr>
        <w:t xml:space="preserve"> за период након 2021.</w:t>
      </w:r>
      <w:r w:rsidRPr="00092ED7">
        <w:rPr>
          <w:lang w:val="sr-Cyrl-CS"/>
        </w:rPr>
        <w:t xml:space="preserve"> </w:t>
      </w:r>
      <w:r w:rsidRPr="00092ED7">
        <w:rPr>
          <w:rFonts w:eastAsia="Times New Roman" w:cs="Times New Roman"/>
          <w:szCs w:val="24"/>
          <w:lang w:val="sr-Cyrl-CS"/>
        </w:rPr>
        <w:t>године.</w:t>
      </w:r>
    </w:p>
    <w:p w14:paraId="285F33B2" w14:textId="4D8559E5" w:rsidR="00D210F0" w:rsidRPr="00092ED7" w:rsidRDefault="00D210F0" w:rsidP="00D210F0">
      <w:pPr>
        <w:widowControl w:val="0"/>
        <w:spacing w:after="60"/>
        <w:rPr>
          <w:rFonts w:eastAsia="Calibri" w:cs="Times New Roman"/>
          <w:b/>
          <w:szCs w:val="24"/>
          <w:lang w:val="sr-Cyrl-CS" w:eastAsia="sr-Cyrl-CS" w:bidi="sr-Cyrl-CS"/>
        </w:rPr>
      </w:pPr>
      <w:r w:rsidRPr="00092ED7">
        <w:rPr>
          <w:rFonts w:eastAsia="Times New Roman" w:cs="Times New Roman"/>
          <w:szCs w:val="24"/>
          <w:lang w:val="sr-Cyrl-CS"/>
        </w:rPr>
        <w:t>До сада је кроз „е-Папир</w:t>
      </w:r>
      <w:r w:rsidR="00DD04E6" w:rsidRPr="00092ED7">
        <w:rPr>
          <w:rFonts w:cs="Times New Roman"/>
          <w:szCs w:val="24"/>
          <w:lang w:val="sr-Cyrl-CS"/>
        </w:rPr>
        <w:t>”</w:t>
      </w:r>
      <w:r w:rsidRPr="00092ED7">
        <w:rPr>
          <w:rFonts w:eastAsia="Times New Roman" w:cs="Times New Roman"/>
          <w:szCs w:val="24"/>
          <w:lang w:val="sr-Cyrl-CS"/>
        </w:rPr>
        <w:t xml:space="preserve"> успостављен Регистар који садржи податке о </w:t>
      </w:r>
      <w:r w:rsidR="00CB5E01" w:rsidRPr="00092ED7">
        <w:rPr>
          <w:rFonts w:eastAsia="Times New Roman" w:cs="Times New Roman"/>
          <w:szCs w:val="24"/>
          <w:lang w:val="sr-Cyrl-CS"/>
        </w:rPr>
        <w:t xml:space="preserve">скоро </w:t>
      </w:r>
      <w:r w:rsidRPr="00092ED7">
        <w:rPr>
          <w:rFonts w:eastAsia="Times New Roman" w:cs="Times New Roman"/>
          <w:szCs w:val="24"/>
          <w:lang w:val="sr-Cyrl-CS"/>
        </w:rPr>
        <w:t>3</w:t>
      </w:r>
      <w:r w:rsidR="005C0DE5" w:rsidRPr="00092ED7">
        <w:rPr>
          <w:rFonts w:eastAsia="Times New Roman" w:cs="Times New Roman"/>
          <w:szCs w:val="24"/>
          <w:lang w:val="sr-Cyrl-CS"/>
        </w:rPr>
        <w:t>.</w:t>
      </w:r>
      <w:r w:rsidRPr="00092ED7">
        <w:rPr>
          <w:rFonts w:eastAsia="Times New Roman" w:cs="Times New Roman"/>
          <w:szCs w:val="24"/>
          <w:lang w:val="sr-Cyrl-CS"/>
        </w:rPr>
        <w:t>000 административних поступака за привреду и грађане, а у току је и попис административних захтева који представљају</w:t>
      </w:r>
      <w:r w:rsidRPr="00092ED7">
        <w:rPr>
          <w:lang w:val="sr-Cyrl-CS"/>
        </w:rPr>
        <w:t xml:space="preserve"> </w:t>
      </w:r>
      <w:r w:rsidRPr="00092ED7">
        <w:rPr>
          <w:rFonts w:eastAsia="Times New Roman" w:cs="Times New Roman"/>
          <w:szCs w:val="24"/>
          <w:lang w:val="sr-Cyrl-CS"/>
        </w:rPr>
        <w:t>услов за пословање и пословно настањивање у Републици Србији. У потпуности је оптимизовано 38</w:t>
      </w:r>
      <w:r w:rsidR="00CB5E01" w:rsidRPr="00092ED7">
        <w:rPr>
          <w:rFonts w:eastAsia="Times New Roman" w:cs="Times New Roman"/>
          <w:szCs w:val="24"/>
          <w:lang w:val="sr-Cyrl-CS"/>
        </w:rPr>
        <w:t>0</w:t>
      </w:r>
      <w:r w:rsidRPr="00092ED7">
        <w:rPr>
          <w:rFonts w:eastAsia="Times New Roman" w:cs="Times New Roman"/>
          <w:szCs w:val="24"/>
          <w:lang w:val="sr-Cyrl-CS"/>
        </w:rPr>
        <w:t xml:space="preserve"> и започета оптимизација 496 административних поступака; дигитализовано је и јавно доступно 64 услуга за привреду, док је у претпродукцији још 27, а у припреми за дигитализацију још 30 административних поступака за грађане.</w:t>
      </w:r>
    </w:p>
    <w:p w14:paraId="674F0BC7" w14:textId="77777777" w:rsidR="00D210F0" w:rsidRPr="00092ED7" w:rsidRDefault="00D210F0" w:rsidP="00071952">
      <w:pPr>
        <w:widowControl w:val="0"/>
        <w:numPr>
          <w:ilvl w:val="0"/>
          <w:numId w:val="22"/>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425"/>
        <w:gridCol w:w="4243"/>
        <w:gridCol w:w="372"/>
        <w:gridCol w:w="373"/>
        <w:gridCol w:w="372"/>
        <w:gridCol w:w="373"/>
        <w:gridCol w:w="372"/>
        <w:gridCol w:w="373"/>
        <w:gridCol w:w="373"/>
        <w:gridCol w:w="372"/>
        <w:gridCol w:w="373"/>
        <w:gridCol w:w="372"/>
        <w:gridCol w:w="373"/>
        <w:gridCol w:w="373"/>
      </w:tblGrid>
      <w:tr w:rsidR="00D210F0" w:rsidRPr="00092ED7" w14:paraId="2CF5300E" w14:textId="77777777" w:rsidTr="00AE4362">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5E83C282"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РБ</w:t>
            </w:r>
          </w:p>
        </w:tc>
        <w:tc>
          <w:tcPr>
            <w:tcW w:w="4243"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7FC9E0AC" w14:textId="77777777" w:rsidR="00D210F0" w:rsidRPr="00092ED7" w:rsidRDefault="00D210F0" w:rsidP="005D14E2">
            <w:pPr>
              <w:spacing w:after="0"/>
              <w:jc w:val="left"/>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EBD1274"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3679E29A"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CF70E86"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096B9069" w14:textId="77777777" w:rsidTr="00AE4362">
        <w:trPr>
          <w:trHeight w:val="315"/>
        </w:trPr>
        <w:tc>
          <w:tcPr>
            <w:tcW w:w="425" w:type="dxa"/>
            <w:vMerge/>
            <w:tcBorders>
              <w:left w:val="single" w:sz="8" w:space="0" w:color="auto"/>
              <w:bottom w:val="single" w:sz="8" w:space="0" w:color="000000"/>
              <w:right w:val="nil"/>
            </w:tcBorders>
            <w:shd w:val="clear" w:color="000000" w:fill="BDD6EE"/>
            <w:vAlign w:val="center"/>
            <w:hideMark/>
          </w:tcPr>
          <w:p w14:paraId="554148D9" w14:textId="77777777" w:rsidR="00D210F0" w:rsidRPr="00092ED7" w:rsidRDefault="00D210F0" w:rsidP="005D14E2">
            <w:pPr>
              <w:spacing w:after="0"/>
              <w:jc w:val="center"/>
              <w:rPr>
                <w:rFonts w:cs="Times New Roman"/>
                <w:b/>
                <w:bCs/>
                <w:color w:val="000000"/>
                <w:sz w:val="20"/>
                <w:szCs w:val="20"/>
                <w:lang w:val="sr-Cyrl-CS"/>
              </w:rPr>
            </w:pPr>
          </w:p>
        </w:tc>
        <w:tc>
          <w:tcPr>
            <w:tcW w:w="4243"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44949CC6" w14:textId="77777777" w:rsidR="00D210F0" w:rsidRPr="00092ED7" w:rsidRDefault="00D210F0" w:rsidP="005D14E2">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44F4002"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F574BAB"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2FEA8C7"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4E9DA2F9"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0820BA4"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8055C9B"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0BE91D5"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19ED64F5"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346D6E8"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FAF5C33"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570C2CE"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61EE2E1A"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5C25C8FF" w14:textId="77777777" w:rsidTr="00AE4362">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7E8FD45F"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1.</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6ED3449C" w14:textId="77777777" w:rsidR="00D210F0" w:rsidRPr="00092ED7" w:rsidRDefault="00D210F0" w:rsidP="005D14E2">
            <w:pPr>
              <w:spacing w:after="0"/>
              <w:ind w:right="213"/>
              <w:rPr>
                <w:rFonts w:cs="Times New Roman"/>
                <w:sz w:val="20"/>
                <w:szCs w:val="20"/>
                <w:lang w:val="sr-Cyrl-CS"/>
              </w:rPr>
            </w:pPr>
            <w:r w:rsidRPr="00092ED7">
              <w:rPr>
                <w:rFonts w:cs="Times New Roman"/>
                <w:sz w:val="20"/>
                <w:szCs w:val="20"/>
                <w:lang w:val="sr-Cyrl-CS"/>
              </w:rPr>
              <w:t>Попис административних поступака за привреду и грађане на нивоу ЈЛС</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9FBF781"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52D9D2"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F7B0B7C"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E743E61"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C8A0121"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55A2C6C"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F67187B"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122FA14"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5E0B178"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805517D"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F13FCDC"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0CD82C3D" w14:textId="77777777" w:rsidR="00D210F0" w:rsidRPr="00092ED7" w:rsidRDefault="00D210F0" w:rsidP="005D14E2">
            <w:pPr>
              <w:spacing w:after="0"/>
              <w:rPr>
                <w:rFonts w:cs="Times New Roman"/>
                <w:sz w:val="20"/>
                <w:szCs w:val="20"/>
                <w:lang w:val="sr-Cyrl-CS"/>
              </w:rPr>
            </w:pPr>
          </w:p>
        </w:tc>
      </w:tr>
      <w:tr w:rsidR="00360EBA" w:rsidRPr="00092ED7" w14:paraId="7A201DD3" w14:textId="77777777" w:rsidTr="00095DBE">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309CB841"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2.</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07555262" w14:textId="77777777" w:rsidR="00D210F0" w:rsidRPr="00092ED7" w:rsidRDefault="00D210F0" w:rsidP="005D14E2">
            <w:pPr>
              <w:spacing w:after="0"/>
              <w:ind w:right="213"/>
              <w:rPr>
                <w:rFonts w:cs="Times New Roman"/>
                <w:sz w:val="20"/>
                <w:szCs w:val="20"/>
                <w:lang w:val="sr-Cyrl-CS"/>
              </w:rPr>
            </w:pPr>
            <w:r w:rsidRPr="00092ED7">
              <w:rPr>
                <w:rFonts w:cs="Times New Roman"/>
                <w:sz w:val="20"/>
                <w:szCs w:val="20"/>
                <w:lang w:val="sr-Cyrl-CS"/>
              </w:rPr>
              <w:t>Оптимизација административних поступака за привреду и грађане</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F4638FD"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405355F"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6DD7A45"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9A86D2C"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D713575"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B1CA8BE"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5822F54"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E5E8D18"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C57BAEC"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CAAA41B"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9669EBC"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0E4871D" w14:textId="77777777" w:rsidR="00D210F0" w:rsidRPr="00092ED7" w:rsidRDefault="00D210F0" w:rsidP="005D14E2">
            <w:pPr>
              <w:spacing w:after="0"/>
              <w:rPr>
                <w:rFonts w:cs="Times New Roman"/>
                <w:sz w:val="20"/>
                <w:szCs w:val="20"/>
                <w:lang w:val="sr-Cyrl-CS"/>
              </w:rPr>
            </w:pPr>
          </w:p>
        </w:tc>
      </w:tr>
      <w:tr w:rsidR="00BE2B7C" w:rsidRPr="00092ED7" w14:paraId="0FA2F524" w14:textId="77777777" w:rsidTr="000B4F8A">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3D2533FE"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3.</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5748795A" w14:textId="77777777" w:rsidR="00D210F0" w:rsidRPr="00092ED7" w:rsidRDefault="00D210F0" w:rsidP="005D14E2">
            <w:pPr>
              <w:spacing w:after="0"/>
              <w:ind w:right="213"/>
              <w:rPr>
                <w:rFonts w:cs="Times New Roman"/>
                <w:sz w:val="20"/>
                <w:szCs w:val="20"/>
                <w:lang w:val="sr-Cyrl-CS"/>
              </w:rPr>
            </w:pPr>
            <w:r w:rsidRPr="00092ED7">
              <w:rPr>
                <w:rFonts w:cs="Times New Roman"/>
                <w:sz w:val="20"/>
                <w:szCs w:val="20"/>
                <w:lang w:val="sr-Cyrl-CS"/>
              </w:rPr>
              <w:t>Дигитализација административних поступака за привреду и грађане и креирање дигиталних пословних епизода</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6468FC"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11C459E"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4A78F79"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B37DCF6"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924B890"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0C93511"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205B553"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00A1D6D"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F17A421"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9007569"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1A4F472"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0426ED8" w14:textId="77777777" w:rsidR="00D210F0" w:rsidRPr="00092ED7" w:rsidRDefault="00D210F0" w:rsidP="005D14E2">
            <w:pPr>
              <w:spacing w:after="0"/>
              <w:rPr>
                <w:rFonts w:cs="Times New Roman"/>
                <w:sz w:val="20"/>
                <w:szCs w:val="20"/>
                <w:lang w:val="sr-Cyrl-CS"/>
              </w:rPr>
            </w:pPr>
          </w:p>
        </w:tc>
      </w:tr>
      <w:tr w:rsidR="00D210F0" w:rsidRPr="00092ED7" w14:paraId="7F402296" w14:textId="77777777" w:rsidTr="00AE4362">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9A3210C"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4.</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237AFB2" w14:textId="77777777" w:rsidR="00D210F0" w:rsidRPr="00092ED7" w:rsidRDefault="00D210F0" w:rsidP="005D14E2">
            <w:pPr>
              <w:spacing w:after="0"/>
              <w:ind w:right="213"/>
              <w:rPr>
                <w:rFonts w:cs="Times New Roman"/>
                <w:sz w:val="20"/>
                <w:szCs w:val="20"/>
                <w:lang w:val="sr-Cyrl-CS"/>
              </w:rPr>
            </w:pPr>
            <w:r w:rsidRPr="00092ED7">
              <w:rPr>
                <w:rFonts w:cs="Times New Roman"/>
                <w:sz w:val="20"/>
                <w:szCs w:val="20"/>
                <w:lang w:val="sr-Cyrl-CS"/>
              </w:rPr>
              <w:t xml:space="preserve">Попис и оптимизација административних захтева (услова пословања) </w:t>
            </w: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D5BFFBB"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D6E6807"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F999CC6"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32035AA"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5B79D84"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02293DD"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98F66FF"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D6EF2B7"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4624B86"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9F7FC84"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99F2D91"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AA3F6CD" w14:textId="77777777" w:rsidR="00D210F0" w:rsidRPr="00092ED7" w:rsidRDefault="00D210F0" w:rsidP="005D14E2">
            <w:pPr>
              <w:spacing w:after="0"/>
              <w:rPr>
                <w:rFonts w:cs="Times New Roman"/>
                <w:sz w:val="20"/>
                <w:szCs w:val="20"/>
                <w:lang w:val="sr-Cyrl-CS"/>
              </w:rPr>
            </w:pPr>
          </w:p>
        </w:tc>
      </w:tr>
      <w:tr w:rsidR="00D7672A" w:rsidRPr="00092ED7" w14:paraId="01192AC5" w14:textId="77777777" w:rsidTr="00D7672A">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A7BC81B"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5.</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9B89823" w14:textId="77777777" w:rsidR="00D210F0" w:rsidRPr="00092ED7" w:rsidRDefault="00D210F0" w:rsidP="005D14E2">
            <w:pPr>
              <w:spacing w:after="0"/>
              <w:ind w:right="213"/>
              <w:rPr>
                <w:rFonts w:cs="Times New Roman"/>
                <w:sz w:val="20"/>
                <w:szCs w:val="20"/>
                <w:lang w:val="sr-Cyrl-CS"/>
              </w:rPr>
            </w:pPr>
            <w:r w:rsidRPr="00092ED7">
              <w:rPr>
                <w:rFonts w:cs="Times New Roman"/>
                <w:sz w:val="20"/>
                <w:szCs w:val="20"/>
                <w:lang w:val="sr-Cyrl-CS"/>
              </w:rPr>
              <w:t>Унапређење Регистра административних поступака и његовог портала</w:t>
            </w: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9B158E0"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3AB3AE7"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AFF8C3B"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8B384E1"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9FD9695"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086D315"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F5C9756"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267564"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4724B2D"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FBAF2FD"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2088E22"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D4166FF" w14:textId="77777777" w:rsidR="00D210F0" w:rsidRPr="00092ED7" w:rsidRDefault="00D210F0" w:rsidP="005D14E2">
            <w:pPr>
              <w:spacing w:after="0"/>
              <w:rPr>
                <w:rFonts w:cs="Times New Roman"/>
                <w:sz w:val="20"/>
                <w:szCs w:val="20"/>
                <w:lang w:val="sr-Cyrl-CS"/>
              </w:rPr>
            </w:pPr>
          </w:p>
        </w:tc>
      </w:tr>
      <w:tr w:rsidR="00D210F0" w:rsidRPr="00092ED7" w14:paraId="6B8EDB83" w14:textId="77777777" w:rsidTr="00AE4362">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D8A6ADC"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6.</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232429C" w14:textId="77777777" w:rsidR="00D210F0" w:rsidRPr="00092ED7" w:rsidRDefault="00D210F0" w:rsidP="005D14E2">
            <w:pPr>
              <w:spacing w:after="0"/>
              <w:ind w:right="213"/>
              <w:rPr>
                <w:rFonts w:cs="Times New Roman"/>
                <w:sz w:val="20"/>
                <w:szCs w:val="20"/>
                <w:lang w:val="sr-Cyrl-CS"/>
              </w:rPr>
            </w:pPr>
            <w:r w:rsidRPr="00092ED7">
              <w:rPr>
                <w:rFonts w:cs="Times New Roman"/>
                <w:sz w:val="20"/>
                <w:szCs w:val="20"/>
                <w:lang w:val="sr-Cyrl-CS"/>
              </w:rPr>
              <w:t>Успостављање онлајн мониторинг алата за претраживање мера и активности од значаја за пословно окружење</w:t>
            </w: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D31FA97"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1675B3B"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523D840"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B2BE5B7"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188ED9"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F2CEDDA"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9ADA7EE"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60FFFDE"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ED7E083"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ACCB48B"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A36FFC0"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AFE5EFC" w14:textId="77777777" w:rsidR="00D210F0" w:rsidRPr="00092ED7" w:rsidRDefault="00D210F0" w:rsidP="005D14E2">
            <w:pPr>
              <w:spacing w:after="0"/>
              <w:rPr>
                <w:rFonts w:cs="Times New Roman"/>
                <w:sz w:val="20"/>
                <w:szCs w:val="20"/>
                <w:lang w:val="sr-Cyrl-CS"/>
              </w:rPr>
            </w:pPr>
          </w:p>
        </w:tc>
      </w:tr>
    </w:tbl>
    <w:p w14:paraId="271A3864" w14:textId="77777777" w:rsidR="00DB0B7B" w:rsidRDefault="00DB0B7B" w:rsidP="00DB0B7B">
      <w:pPr>
        <w:widowControl w:val="0"/>
        <w:spacing w:before="120"/>
        <w:ind w:left="425"/>
        <w:rPr>
          <w:rFonts w:eastAsia="Calibri" w:cs="Times New Roman"/>
          <w:b/>
          <w:szCs w:val="24"/>
          <w:lang w:val="sr-Cyrl-CS" w:eastAsia="sr-Cyrl-CS" w:bidi="sr-Cyrl-CS"/>
        </w:rPr>
      </w:pPr>
    </w:p>
    <w:p w14:paraId="6C917CE9" w14:textId="77777777" w:rsidR="00DB0B7B" w:rsidRDefault="00DB0B7B" w:rsidP="00DB0B7B">
      <w:pPr>
        <w:widowControl w:val="0"/>
        <w:spacing w:before="120"/>
        <w:ind w:left="425"/>
        <w:rPr>
          <w:rFonts w:eastAsia="Calibri" w:cs="Times New Roman"/>
          <w:b/>
          <w:szCs w:val="24"/>
          <w:lang w:val="sr-Cyrl-CS" w:eastAsia="sr-Cyrl-CS" w:bidi="sr-Cyrl-CS"/>
        </w:rPr>
      </w:pPr>
    </w:p>
    <w:p w14:paraId="4311F4D6" w14:textId="77777777" w:rsidR="00DB0B7B" w:rsidRDefault="00DB0B7B" w:rsidP="00DB0B7B">
      <w:pPr>
        <w:widowControl w:val="0"/>
        <w:spacing w:before="120"/>
        <w:ind w:left="425"/>
        <w:rPr>
          <w:rFonts w:eastAsia="Calibri" w:cs="Times New Roman"/>
          <w:b/>
          <w:szCs w:val="24"/>
          <w:lang w:val="sr-Cyrl-CS" w:eastAsia="sr-Cyrl-CS" w:bidi="sr-Cyrl-CS"/>
        </w:rPr>
      </w:pPr>
    </w:p>
    <w:p w14:paraId="628814FE" w14:textId="2471F6B3" w:rsidR="00D210F0" w:rsidRPr="00092ED7" w:rsidRDefault="00D210F0" w:rsidP="00071952">
      <w:pPr>
        <w:widowControl w:val="0"/>
        <w:numPr>
          <w:ilvl w:val="0"/>
          <w:numId w:val="22"/>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Индикатори рeзултата</w:t>
      </w:r>
    </w:p>
    <w:tbl>
      <w:tblPr>
        <w:tblStyle w:val="TableGrid"/>
        <w:tblW w:w="9209" w:type="dxa"/>
        <w:tblLayout w:type="fixed"/>
        <w:tblLook w:val="04A0" w:firstRow="1" w:lastRow="0" w:firstColumn="1" w:lastColumn="0" w:noHBand="0" w:noVBand="1"/>
      </w:tblPr>
      <w:tblGrid>
        <w:gridCol w:w="3685"/>
        <w:gridCol w:w="1841"/>
        <w:gridCol w:w="1841"/>
        <w:gridCol w:w="1842"/>
      </w:tblGrid>
      <w:tr w:rsidR="00D210F0" w:rsidRPr="00092ED7" w14:paraId="620D3EA6" w14:textId="77777777" w:rsidTr="00AE4362">
        <w:trPr>
          <w:cnfStyle w:val="100000000000" w:firstRow="1" w:lastRow="0" w:firstColumn="0" w:lastColumn="0" w:oddVBand="0" w:evenVBand="0" w:oddHBand="0" w:evenHBand="0" w:firstRowFirstColumn="0" w:firstRowLastColumn="0" w:lastRowFirstColumn="0" w:lastRowLastColumn="0"/>
        </w:trPr>
        <w:tc>
          <w:tcPr>
            <w:tcW w:w="3685" w:type="dxa"/>
          </w:tcPr>
          <w:p w14:paraId="199A3D67" w14:textId="77777777" w:rsidR="00D210F0" w:rsidRPr="00092ED7" w:rsidRDefault="00D210F0" w:rsidP="005D14E2">
            <w:pPr>
              <w:spacing w:before="0" w:after="0"/>
              <w:ind w:left="113" w:right="113"/>
              <w:jc w:val="center"/>
              <w:rPr>
                <w:rFonts w:cs="Times New Roman"/>
                <w:b w:val="0"/>
                <w:sz w:val="20"/>
                <w:lang w:val="sr-Cyrl-CS"/>
              </w:rPr>
            </w:pPr>
            <w:r w:rsidRPr="00092ED7">
              <w:rPr>
                <w:rFonts w:eastAsia="Calibri" w:cs="Times New Roman"/>
                <w:sz w:val="20"/>
                <w:lang w:val="sr-Cyrl-CS"/>
              </w:rPr>
              <w:t>Показатељ</w:t>
            </w:r>
          </w:p>
        </w:tc>
        <w:tc>
          <w:tcPr>
            <w:tcW w:w="1841" w:type="dxa"/>
          </w:tcPr>
          <w:p w14:paraId="4D3245D3" w14:textId="0FD67924" w:rsidR="00D210F0" w:rsidRPr="00092ED7" w:rsidRDefault="00D210F0" w:rsidP="005D14E2">
            <w:pPr>
              <w:spacing w:before="0" w:after="0"/>
              <w:ind w:left="113" w:right="113"/>
              <w:jc w:val="center"/>
              <w:rPr>
                <w:rFonts w:cs="Times New Roman"/>
                <w:b w:val="0"/>
                <w:sz w:val="20"/>
                <w:lang w:val="sr-Cyrl-CS"/>
              </w:rPr>
            </w:pPr>
            <w:r w:rsidRPr="00092ED7">
              <w:rPr>
                <w:rFonts w:eastAsia="Calibri" w:cs="Times New Roman"/>
                <w:sz w:val="20"/>
                <w:lang w:val="sr-Cyrl-CS"/>
              </w:rPr>
              <w:t>Почетна вредност (201</w:t>
            </w:r>
            <w:r w:rsidR="0026341C" w:rsidRPr="00092ED7">
              <w:rPr>
                <w:rFonts w:eastAsia="Calibri" w:cs="Times New Roman"/>
                <w:sz w:val="20"/>
                <w:lang w:val="sr-Cyrl-CS"/>
              </w:rPr>
              <w:t>8</w:t>
            </w:r>
            <w:r w:rsidRPr="00092ED7">
              <w:rPr>
                <w:rFonts w:eastAsia="Calibri" w:cs="Times New Roman"/>
                <w:sz w:val="20"/>
                <w:lang w:val="sr-Cyrl-CS"/>
              </w:rPr>
              <w:t>)</w:t>
            </w:r>
          </w:p>
        </w:tc>
        <w:tc>
          <w:tcPr>
            <w:tcW w:w="1841" w:type="dxa"/>
          </w:tcPr>
          <w:p w14:paraId="1CAD8C57" w14:textId="77777777" w:rsidR="00D210F0" w:rsidRPr="00092ED7" w:rsidRDefault="00D210F0" w:rsidP="005D14E2">
            <w:pPr>
              <w:spacing w:before="0" w:after="0"/>
              <w:ind w:left="113" w:right="113"/>
              <w:jc w:val="center"/>
              <w:rPr>
                <w:rFonts w:cs="Times New Roman"/>
                <w:b w:val="0"/>
                <w:sz w:val="20"/>
                <w:lang w:val="sr-Cyrl-CS"/>
              </w:rPr>
            </w:pPr>
            <w:r w:rsidRPr="00092ED7">
              <w:rPr>
                <w:rFonts w:eastAsia="Calibri" w:cs="Times New Roman"/>
                <w:sz w:val="20"/>
                <w:lang w:val="sr-Cyrl-CS"/>
              </w:rPr>
              <w:t>Међурезултат (2021)</w:t>
            </w:r>
          </w:p>
        </w:tc>
        <w:tc>
          <w:tcPr>
            <w:tcW w:w="1842" w:type="dxa"/>
          </w:tcPr>
          <w:p w14:paraId="48EDB388" w14:textId="77777777" w:rsidR="00D210F0" w:rsidRPr="00092ED7" w:rsidRDefault="00D210F0" w:rsidP="005D14E2">
            <w:pPr>
              <w:spacing w:before="0" w:after="0"/>
              <w:ind w:left="113" w:right="113"/>
              <w:jc w:val="center"/>
              <w:rPr>
                <w:rFonts w:cs="Times New Roman"/>
                <w:b w:val="0"/>
                <w:sz w:val="20"/>
                <w:lang w:val="sr-Cyrl-CS"/>
              </w:rPr>
            </w:pPr>
            <w:r w:rsidRPr="00092ED7">
              <w:rPr>
                <w:rFonts w:eastAsia="Calibri" w:cs="Times New Roman"/>
                <w:sz w:val="20"/>
                <w:lang w:val="sr-Cyrl-CS"/>
              </w:rPr>
              <w:t>Циљна вредност (2025)</w:t>
            </w:r>
          </w:p>
        </w:tc>
      </w:tr>
      <w:tr w:rsidR="00D210F0" w:rsidRPr="00092ED7" w14:paraId="52EE01D2" w14:textId="77777777" w:rsidTr="00AE4362">
        <w:tc>
          <w:tcPr>
            <w:tcW w:w="3685" w:type="dxa"/>
          </w:tcPr>
          <w:p w14:paraId="312942C4" w14:textId="77777777" w:rsidR="00D210F0" w:rsidRPr="00092ED7" w:rsidRDefault="00D210F0" w:rsidP="005D14E2">
            <w:pPr>
              <w:spacing w:before="0" w:after="0"/>
              <w:ind w:left="113" w:right="113"/>
              <w:jc w:val="left"/>
              <w:rPr>
                <w:rFonts w:cs="Times New Roman"/>
                <w:b/>
                <w:sz w:val="20"/>
                <w:lang w:val="sr-Cyrl-CS"/>
              </w:rPr>
            </w:pPr>
            <w:r w:rsidRPr="00092ED7">
              <w:rPr>
                <w:rFonts w:eastAsia="Times New Roman" w:cs="Times New Roman"/>
                <w:sz w:val="20"/>
                <w:lang w:val="sr-Cyrl-CS"/>
              </w:rPr>
              <w:t>Удео административног оптерећења за грађане и привреду у БДП, у %</w:t>
            </w:r>
          </w:p>
        </w:tc>
        <w:tc>
          <w:tcPr>
            <w:tcW w:w="1841" w:type="dxa"/>
          </w:tcPr>
          <w:p w14:paraId="16F33897" w14:textId="77777777" w:rsidR="00D210F0" w:rsidRPr="00092ED7" w:rsidRDefault="00D210F0" w:rsidP="005D14E2">
            <w:pPr>
              <w:spacing w:before="0" w:after="0"/>
              <w:ind w:left="113" w:right="113"/>
              <w:jc w:val="center"/>
              <w:rPr>
                <w:rFonts w:cs="Times New Roman"/>
                <w:b/>
                <w:sz w:val="20"/>
                <w:lang w:val="sr-Cyrl-CS"/>
              </w:rPr>
            </w:pPr>
            <w:r w:rsidRPr="00092ED7">
              <w:rPr>
                <w:rFonts w:eastAsia="Times New Roman" w:cs="Times New Roman"/>
                <w:sz w:val="20"/>
                <w:lang w:val="sr-Cyrl-CS"/>
              </w:rPr>
              <w:t>3,</w:t>
            </w:r>
            <w:r w:rsidR="007F0E6D" w:rsidRPr="00092ED7">
              <w:rPr>
                <w:rFonts w:eastAsia="Times New Roman" w:cs="Times New Roman"/>
                <w:sz w:val="20"/>
                <w:lang w:val="sr-Cyrl-CS"/>
              </w:rPr>
              <w:t>1</w:t>
            </w:r>
            <w:r w:rsidRPr="00092ED7">
              <w:rPr>
                <w:rFonts w:eastAsia="Times New Roman" w:cs="Times New Roman"/>
                <w:sz w:val="20"/>
                <w:lang w:val="sr-Cyrl-CS"/>
              </w:rPr>
              <w:t>1</w:t>
            </w:r>
          </w:p>
        </w:tc>
        <w:tc>
          <w:tcPr>
            <w:tcW w:w="1841" w:type="dxa"/>
          </w:tcPr>
          <w:p w14:paraId="0BCEB51A" w14:textId="77777777" w:rsidR="00D210F0" w:rsidRPr="00092ED7" w:rsidRDefault="00D210F0" w:rsidP="005D14E2">
            <w:pPr>
              <w:spacing w:before="0" w:after="0"/>
              <w:ind w:left="113" w:right="113"/>
              <w:jc w:val="center"/>
              <w:rPr>
                <w:rFonts w:cs="Times New Roman"/>
                <w:b/>
                <w:sz w:val="20"/>
                <w:lang w:val="sr-Cyrl-CS"/>
              </w:rPr>
            </w:pPr>
            <w:r w:rsidRPr="00092ED7">
              <w:rPr>
                <w:rFonts w:eastAsia="Times New Roman" w:cs="Times New Roman"/>
                <w:sz w:val="20"/>
                <w:lang w:val="sr-Cyrl-CS"/>
              </w:rPr>
              <w:t>2,9</w:t>
            </w:r>
            <w:r w:rsidR="007F0E6D" w:rsidRPr="00092ED7">
              <w:rPr>
                <w:rFonts w:eastAsia="Times New Roman" w:cs="Times New Roman"/>
                <w:sz w:val="20"/>
                <w:lang w:val="sr-Cyrl-CS"/>
              </w:rPr>
              <w:t>5</w:t>
            </w:r>
          </w:p>
        </w:tc>
        <w:tc>
          <w:tcPr>
            <w:tcW w:w="1842" w:type="dxa"/>
          </w:tcPr>
          <w:p w14:paraId="14065B6C" w14:textId="77777777" w:rsidR="00D210F0" w:rsidRPr="00092ED7" w:rsidRDefault="00D210F0" w:rsidP="005D14E2">
            <w:pPr>
              <w:spacing w:before="0" w:after="0"/>
              <w:ind w:left="113" w:right="113"/>
              <w:jc w:val="center"/>
              <w:rPr>
                <w:rFonts w:cs="Times New Roman"/>
                <w:b/>
                <w:sz w:val="20"/>
                <w:lang w:val="sr-Cyrl-CS"/>
              </w:rPr>
            </w:pPr>
            <w:r w:rsidRPr="00092ED7">
              <w:rPr>
                <w:rFonts w:eastAsia="Times New Roman" w:cs="Times New Roman"/>
                <w:sz w:val="20"/>
                <w:lang w:val="sr-Cyrl-CS"/>
              </w:rPr>
              <w:t>2,75</w:t>
            </w:r>
          </w:p>
        </w:tc>
      </w:tr>
      <w:tr w:rsidR="00D210F0" w:rsidRPr="00092ED7" w14:paraId="2EBC9362" w14:textId="77777777" w:rsidTr="00AE4362">
        <w:tc>
          <w:tcPr>
            <w:tcW w:w="3685" w:type="dxa"/>
          </w:tcPr>
          <w:p w14:paraId="0FC8A8FD" w14:textId="77777777" w:rsidR="00D210F0" w:rsidRPr="00092ED7" w:rsidRDefault="00D210F0" w:rsidP="005D14E2">
            <w:pPr>
              <w:spacing w:before="0" w:after="0"/>
              <w:ind w:left="113" w:right="113"/>
              <w:jc w:val="left"/>
              <w:rPr>
                <w:rFonts w:eastAsia="Times New Roman" w:cs="Times New Roman"/>
                <w:sz w:val="20"/>
                <w:lang w:val="sr-Cyrl-CS"/>
              </w:rPr>
            </w:pPr>
            <w:r w:rsidRPr="00092ED7">
              <w:rPr>
                <w:rFonts w:eastAsia="Times New Roman" w:cs="Times New Roman"/>
                <w:sz w:val="20"/>
                <w:lang w:val="sr-Cyrl-CS"/>
              </w:rPr>
              <w:t>Број оптимизованих административних поступака</w:t>
            </w:r>
          </w:p>
        </w:tc>
        <w:tc>
          <w:tcPr>
            <w:tcW w:w="1841" w:type="dxa"/>
          </w:tcPr>
          <w:p w14:paraId="2007A144" w14:textId="77777777" w:rsidR="00D210F0" w:rsidRPr="00092ED7" w:rsidRDefault="007F0E6D" w:rsidP="005D14E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0</w:t>
            </w:r>
          </w:p>
        </w:tc>
        <w:tc>
          <w:tcPr>
            <w:tcW w:w="1841" w:type="dxa"/>
          </w:tcPr>
          <w:p w14:paraId="5FC27FBF" w14:textId="77777777" w:rsidR="00D210F0" w:rsidRPr="00092ED7" w:rsidRDefault="00D210F0" w:rsidP="005D14E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330</w:t>
            </w:r>
          </w:p>
        </w:tc>
        <w:tc>
          <w:tcPr>
            <w:tcW w:w="1842" w:type="dxa"/>
          </w:tcPr>
          <w:p w14:paraId="43ABBE9E" w14:textId="77777777" w:rsidR="00D210F0" w:rsidRPr="00092ED7" w:rsidRDefault="00D210F0" w:rsidP="005D14E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500</w:t>
            </w:r>
          </w:p>
        </w:tc>
      </w:tr>
      <w:tr w:rsidR="00D210F0" w:rsidRPr="00092ED7" w14:paraId="46DAF0CE" w14:textId="77777777" w:rsidTr="00AE4362">
        <w:tc>
          <w:tcPr>
            <w:tcW w:w="3685" w:type="dxa"/>
          </w:tcPr>
          <w:p w14:paraId="136EE43B" w14:textId="77777777" w:rsidR="00D210F0" w:rsidRPr="00092ED7" w:rsidRDefault="00D210F0" w:rsidP="005D14E2">
            <w:pPr>
              <w:spacing w:before="0" w:after="0"/>
              <w:ind w:left="113" w:right="113"/>
              <w:jc w:val="left"/>
              <w:rPr>
                <w:rFonts w:eastAsia="Times New Roman" w:cs="Times New Roman"/>
                <w:sz w:val="20"/>
                <w:lang w:val="sr-Cyrl-CS"/>
              </w:rPr>
            </w:pPr>
            <w:r w:rsidRPr="00092ED7">
              <w:rPr>
                <w:rFonts w:eastAsia="Times New Roman" w:cs="Times New Roman"/>
                <w:sz w:val="20"/>
                <w:lang w:val="sr-Cyrl-CS"/>
              </w:rPr>
              <w:t>Број дигитализованих административних поступака</w:t>
            </w:r>
          </w:p>
        </w:tc>
        <w:tc>
          <w:tcPr>
            <w:tcW w:w="1841" w:type="dxa"/>
          </w:tcPr>
          <w:p w14:paraId="203665CE" w14:textId="77777777" w:rsidR="00D210F0" w:rsidRPr="00092ED7" w:rsidRDefault="00D210F0" w:rsidP="005D14E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0</w:t>
            </w:r>
          </w:p>
        </w:tc>
        <w:tc>
          <w:tcPr>
            <w:tcW w:w="1841" w:type="dxa"/>
          </w:tcPr>
          <w:p w14:paraId="61EC566B" w14:textId="31F2107A" w:rsidR="00D210F0" w:rsidRPr="00092ED7" w:rsidRDefault="0026341C" w:rsidP="005D14E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52</w:t>
            </w:r>
          </w:p>
        </w:tc>
        <w:tc>
          <w:tcPr>
            <w:tcW w:w="1842" w:type="dxa"/>
          </w:tcPr>
          <w:p w14:paraId="42BC24C2" w14:textId="77777777" w:rsidR="00D210F0" w:rsidRPr="00092ED7" w:rsidRDefault="00D210F0" w:rsidP="005D14E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220</w:t>
            </w:r>
          </w:p>
        </w:tc>
      </w:tr>
    </w:tbl>
    <w:p w14:paraId="5854EFDE" w14:textId="77777777" w:rsidR="00D210F0" w:rsidRPr="00092ED7" w:rsidRDefault="00D210F0" w:rsidP="00071952">
      <w:pPr>
        <w:pStyle w:val="ListParagraph"/>
        <w:widowControl w:val="0"/>
        <w:numPr>
          <w:ilvl w:val="0"/>
          <w:numId w:val="22"/>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конкурентност</w:t>
      </w:r>
    </w:p>
    <w:p w14:paraId="4D82FA1B" w14:textId="32EAEB36" w:rsidR="00D210F0" w:rsidRPr="00092ED7" w:rsidRDefault="00D210F0" w:rsidP="00D210F0">
      <w:pPr>
        <w:widowControl w:val="0"/>
        <w:spacing w:after="60"/>
        <w:rPr>
          <w:rFonts w:eastAsia="Calibri" w:cs="Times New Roman"/>
          <w:b/>
          <w:szCs w:val="24"/>
          <w:lang w:val="sr-Cyrl-CS" w:eastAsia="sr-Cyrl-CS" w:bidi="sr-Cyrl-CS"/>
        </w:rPr>
      </w:pPr>
      <w:r w:rsidRPr="00092ED7">
        <w:rPr>
          <w:rFonts w:cs="Times New Roman"/>
          <w:lang w:val="sr-Cyrl-CS"/>
        </w:rPr>
        <w:t xml:space="preserve">У претходном периоду, </w:t>
      </w:r>
      <w:r w:rsidR="006B0BA0" w:rsidRPr="00092ED7">
        <w:rPr>
          <w:rFonts w:cs="Times New Roman"/>
          <w:lang w:val="sr-Cyrl-CS"/>
        </w:rPr>
        <w:t xml:space="preserve">Република </w:t>
      </w:r>
      <w:r w:rsidRPr="00092ED7">
        <w:rPr>
          <w:rFonts w:cs="Times New Roman"/>
          <w:lang w:val="sr-Cyrl-CS"/>
        </w:rPr>
        <w:t>Србија је остварила значајан напредак на међународним листама конкурентности у области електронске управе</w:t>
      </w:r>
      <w:r w:rsidRPr="00092ED7">
        <w:rPr>
          <w:rStyle w:val="FootnoteReference"/>
          <w:rFonts w:cs="Times New Roman"/>
          <w:lang w:val="sr-Cyrl-CS"/>
        </w:rPr>
        <w:footnoteReference w:id="76"/>
      </w:r>
      <w:r w:rsidRPr="00092ED7">
        <w:rPr>
          <w:rFonts w:cs="Times New Roman"/>
          <w:lang w:val="sr-Cyrl-CS"/>
        </w:rPr>
        <w:t xml:space="preserve"> што је, између осталог, резултат бројних поједностављења и дигитализације услуга које јавна управа пружа привреди и грађанима. Позитивном утицају на конкурентност је битно допринело и успостављање Регистра административних поступака</w:t>
      </w:r>
      <w:r w:rsidRPr="00092ED7">
        <w:rPr>
          <w:rStyle w:val="Hyperlink"/>
          <w:rFonts w:cs="Times New Roman"/>
          <w:color w:val="auto"/>
          <w:u w:val="none"/>
          <w:lang w:val="sr-Cyrl-CS"/>
        </w:rPr>
        <w:t xml:space="preserve"> и </w:t>
      </w:r>
      <w:r w:rsidRPr="00092ED7">
        <w:rPr>
          <w:rFonts w:cs="Times New Roman"/>
          <w:lang w:val="sr-Cyrl-CS"/>
        </w:rPr>
        <w:t xml:space="preserve">јавно доступног </w:t>
      </w:r>
      <w:hyperlink r:id="rId42" w:history="1">
        <w:r w:rsidRPr="00092ED7">
          <w:rPr>
            <w:rStyle w:val="Hyperlink"/>
            <w:rFonts w:cs="Times New Roman"/>
            <w:color w:val="auto"/>
            <w:lang w:val="sr-Cyrl-CS"/>
          </w:rPr>
          <w:t>Портала Регистра</w:t>
        </w:r>
      </w:hyperlink>
      <w:r w:rsidRPr="00092ED7">
        <w:rPr>
          <w:rFonts w:cs="Times New Roman"/>
          <w:lang w:val="sr-Cyrl-CS"/>
        </w:rPr>
        <w:t xml:space="preserve">, са свим потребним информацијама за привреду у поступцима пред јавном управом чиме се ствара сигурније, транспарентније и предвидљивије пословно окружење. Све потребне информације за пословање доступне на једном месту, омогућавају уштеде у времену и новцу и уједно повећавају атрактивност </w:t>
      </w:r>
      <w:r w:rsidR="006B0BA0" w:rsidRPr="00092ED7">
        <w:rPr>
          <w:rFonts w:cs="Times New Roman"/>
          <w:lang w:val="sr-Cyrl-CS"/>
        </w:rPr>
        <w:t xml:space="preserve">Републике </w:t>
      </w:r>
      <w:r w:rsidRPr="00092ED7">
        <w:rPr>
          <w:rFonts w:cs="Times New Roman"/>
          <w:lang w:val="sr-Cyrl-CS"/>
        </w:rPr>
        <w:t>Србије као дестинације за инвестирање.</w:t>
      </w:r>
    </w:p>
    <w:p w14:paraId="34C1AB36" w14:textId="77777777" w:rsidR="00D210F0" w:rsidRPr="00092ED7" w:rsidRDefault="00D210F0" w:rsidP="00071952">
      <w:pPr>
        <w:widowControl w:val="0"/>
        <w:numPr>
          <w:ilvl w:val="0"/>
          <w:numId w:val="22"/>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04D20273" w14:textId="0F527253" w:rsidR="000C7942" w:rsidRPr="00092ED7" w:rsidRDefault="000C7942" w:rsidP="001C708A">
      <w:pPr>
        <w:widowControl w:val="0"/>
        <w:spacing w:after="60"/>
        <w:rPr>
          <w:rFonts w:cs="Times New Roman"/>
          <w:iCs/>
          <w:lang w:val="sr-Cyrl-CS" w:bidi="sr-Cyrl-CS"/>
        </w:rPr>
      </w:pPr>
      <w:r w:rsidRPr="00092ED7">
        <w:rPr>
          <w:rFonts w:cs="Times New Roman"/>
          <w:iCs/>
          <w:lang w:val="sr-Cyrl-CS"/>
        </w:rPr>
        <w:t>Реформа се спроводи постојећим институционалним и људским капацитетима јавне управе, а техничка под</w:t>
      </w:r>
      <w:r w:rsidR="001028F8" w:rsidRPr="00092ED7">
        <w:rPr>
          <w:rFonts w:cs="Times New Roman"/>
          <w:iCs/>
          <w:lang w:val="sr-Cyrl-CS"/>
        </w:rPr>
        <w:t>р</w:t>
      </w:r>
      <w:r w:rsidRPr="00092ED7">
        <w:rPr>
          <w:rFonts w:cs="Times New Roman"/>
          <w:iCs/>
          <w:lang w:val="sr-Cyrl-CS"/>
        </w:rPr>
        <w:t xml:space="preserve">шка спровођењу мере обезбеђена је </w:t>
      </w:r>
      <w:r w:rsidRPr="00092ED7">
        <w:rPr>
          <w:rFonts w:cs="Times New Roman"/>
          <w:iCs/>
          <w:lang w:val="sr-Cyrl-CS" w:bidi="sr-Cyrl-CS"/>
        </w:rPr>
        <w:t>средствима Европске уније</w:t>
      </w:r>
      <w:r w:rsidRPr="00092ED7">
        <w:rPr>
          <w:rFonts w:cs="Times New Roman"/>
          <w:iCs/>
          <w:lang w:val="sr-Cyrl-CS"/>
        </w:rPr>
        <w:t xml:space="preserve"> (ИПА фондови)</w:t>
      </w:r>
      <w:r w:rsidRPr="00092ED7">
        <w:rPr>
          <w:rFonts w:cs="Times New Roman"/>
          <w:iCs/>
          <w:lang w:val="sr-Cyrl-CS" w:bidi="sr-Cyrl-CS"/>
        </w:rPr>
        <w:t xml:space="preserve">, </w:t>
      </w:r>
      <w:r w:rsidRPr="00092ED7">
        <w:rPr>
          <w:rFonts w:cs="Times New Roman"/>
          <w:iCs/>
          <w:lang w:val="sr-Cyrl-CS"/>
        </w:rPr>
        <w:t>Светске банке у оквиру пројектног кредита за пројекат „Enabling Digital Governance</w:t>
      </w:r>
      <w:r w:rsidR="00DD04E6" w:rsidRPr="00092ED7">
        <w:rPr>
          <w:rFonts w:cs="Times New Roman"/>
          <w:szCs w:val="24"/>
          <w:lang w:val="sr-Cyrl-CS"/>
        </w:rPr>
        <w:t>”</w:t>
      </w:r>
      <w:r w:rsidRPr="00092ED7">
        <w:rPr>
          <w:rFonts w:cs="Times New Roman"/>
          <w:iCs/>
          <w:lang w:val="sr-Cyrl-CS"/>
        </w:rPr>
        <w:t xml:space="preserve"> и</w:t>
      </w:r>
      <w:r w:rsidR="00BE197D" w:rsidRPr="00092ED7">
        <w:rPr>
          <w:rFonts w:cs="Times New Roman"/>
          <w:iCs/>
          <w:lang w:val="sr-Cyrl-CS"/>
        </w:rPr>
        <w:t xml:space="preserve"> донације</w:t>
      </w:r>
      <w:r w:rsidRPr="00092ED7">
        <w:rPr>
          <w:rFonts w:cs="Times New Roman"/>
          <w:iCs/>
          <w:lang w:val="sr-Cyrl-CS"/>
        </w:rPr>
        <w:t xml:space="preserve"> </w:t>
      </w:r>
      <w:r w:rsidRPr="00092ED7">
        <w:rPr>
          <w:iCs/>
          <w:lang w:val="sr-Cyrl-CS"/>
        </w:rPr>
        <w:t>EBRD</w:t>
      </w:r>
      <w:r w:rsidRPr="00092ED7">
        <w:rPr>
          <w:rFonts w:cs="Times New Roman"/>
          <w:iCs/>
          <w:lang w:val="sr-Cyrl-CS"/>
        </w:rPr>
        <w:t>.</w:t>
      </w:r>
      <w:r w:rsidRPr="00092ED7">
        <w:rPr>
          <w:rFonts w:cs="Times New Roman"/>
          <w:iCs/>
          <w:lang w:val="sr-Cyrl-CS" w:bidi="sr-Cyrl-CS"/>
        </w:rPr>
        <w:t xml:space="preserve"> За наведене активности</w:t>
      </w:r>
      <w:r w:rsidRPr="00092ED7">
        <w:rPr>
          <w:rFonts w:cs="Times New Roman"/>
          <w:iCs/>
          <w:lang w:val="sr-Cyrl-CS"/>
        </w:rPr>
        <w:t>,</w:t>
      </w:r>
      <w:r w:rsidRPr="00092ED7">
        <w:rPr>
          <w:rFonts w:cs="Times New Roman"/>
          <w:iCs/>
          <w:lang w:val="sr-Cyrl-CS" w:bidi="sr-Cyrl-CS"/>
        </w:rPr>
        <w:t xml:space="preserve"> </w:t>
      </w:r>
      <w:r w:rsidRPr="00092ED7">
        <w:rPr>
          <w:rFonts w:cs="Times New Roman"/>
          <w:iCs/>
          <w:lang w:val="sr-Cyrl-CS"/>
        </w:rPr>
        <w:t>у периоду 2023-2025,</w:t>
      </w:r>
      <w:r w:rsidRPr="00092ED7">
        <w:rPr>
          <w:rFonts w:cs="Times New Roman"/>
          <w:iCs/>
          <w:lang w:val="sr-Cyrl-CS" w:bidi="sr-Cyrl-CS"/>
        </w:rPr>
        <w:t xml:space="preserve"> </w:t>
      </w:r>
      <w:r w:rsidRPr="00092ED7">
        <w:rPr>
          <w:rFonts w:cs="Times New Roman"/>
          <w:iCs/>
          <w:lang w:val="sr-Cyrl-CS"/>
        </w:rPr>
        <w:t xml:space="preserve">опредељено је 2,2 </w:t>
      </w:r>
      <w:r w:rsidRPr="00092ED7">
        <w:rPr>
          <w:rFonts w:cs="Times New Roman"/>
          <w:iCs/>
          <w:lang w:val="sr-Cyrl-CS" w:bidi="sr-Cyrl-CS"/>
        </w:rPr>
        <w:t xml:space="preserve"> милиона евра</w:t>
      </w:r>
      <w:r w:rsidRPr="00092ED7">
        <w:rPr>
          <w:rFonts w:cs="Times New Roman"/>
          <w:iCs/>
          <w:lang w:val="sr-Cyrl-CS"/>
        </w:rPr>
        <w:t xml:space="preserve"> из ИПА фондова</w:t>
      </w:r>
      <w:r w:rsidRPr="00092ED7">
        <w:rPr>
          <w:rFonts w:cs="Times New Roman"/>
          <w:iCs/>
          <w:lang w:val="sr-Cyrl-CS" w:bidi="sr-Cyrl-CS"/>
        </w:rPr>
        <w:t xml:space="preserve"> </w:t>
      </w:r>
      <w:r w:rsidRPr="00092ED7">
        <w:rPr>
          <w:rFonts w:cs="Times New Roman"/>
          <w:iCs/>
          <w:lang w:val="sr-Cyrl-CS"/>
        </w:rPr>
        <w:t>(</w:t>
      </w:r>
      <w:r w:rsidRPr="00092ED7">
        <w:rPr>
          <w:rFonts w:cs="Times New Roman"/>
          <w:iCs/>
          <w:lang w:val="sr-Cyrl-CS" w:bidi="sr-Cyrl-CS"/>
        </w:rPr>
        <w:t xml:space="preserve">за оптимизацију поступака </w:t>
      </w:r>
      <w:r w:rsidRPr="00092ED7">
        <w:rPr>
          <w:rFonts w:cs="Times New Roman"/>
          <w:iCs/>
          <w:lang w:val="sr-Cyrl-CS"/>
        </w:rPr>
        <w:t>335</w:t>
      </w:r>
      <w:r w:rsidRPr="00092ED7">
        <w:rPr>
          <w:rFonts w:cs="Times New Roman"/>
          <w:iCs/>
          <w:lang w:val="sr-Cyrl-CS" w:bidi="sr-Cyrl-CS"/>
        </w:rPr>
        <w:t xml:space="preserve"> хиљада евра, за дигитализацију поступака</w:t>
      </w:r>
      <w:r w:rsidRPr="00092ED7">
        <w:rPr>
          <w:rFonts w:cs="Times New Roman"/>
          <w:iCs/>
          <w:lang w:val="sr-Cyrl-CS"/>
        </w:rPr>
        <w:t xml:space="preserve"> и пословних епизода</w:t>
      </w:r>
      <w:r w:rsidRPr="00092ED7">
        <w:rPr>
          <w:rFonts w:cs="Times New Roman"/>
          <w:iCs/>
          <w:lang w:val="sr-Cyrl-CS" w:bidi="sr-Cyrl-CS"/>
        </w:rPr>
        <w:t xml:space="preserve"> 1,</w:t>
      </w:r>
      <w:r w:rsidRPr="00092ED7">
        <w:rPr>
          <w:rFonts w:cs="Times New Roman"/>
          <w:iCs/>
          <w:lang w:val="sr-Cyrl-CS"/>
        </w:rPr>
        <w:t>35</w:t>
      </w:r>
      <w:r w:rsidRPr="00092ED7">
        <w:rPr>
          <w:rFonts w:cs="Times New Roman"/>
          <w:iCs/>
          <w:lang w:val="sr-Cyrl-CS" w:bidi="sr-Cyrl-CS"/>
        </w:rPr>
        <w:t xml:space="preserve"> милиона евра</w:t>
      </w:r>
      <w:r w:rsidRPr="00092ED7">
        <w:rPr>
          <w:rFonts w:cs="Times New Roman"/>
          <w:iCs/>
          <w:lang w:val="sr-Cyrl-CS"/>
        </w:rPr>
        <w:t>, за попис административних захтева 290 хиљада</w:t>
      </w:r>
      <w:r w:rsidR="00BE197D" w:rsidRPr="00092ED7">
        <w:rPr>
          <w:rFonts w:cs="Times New Roman"/>
          <w:iCs/>
          <w:lang w:val="sr-Cyrl-CS"/>
        </w:rPr>
        <w:t xml:space="preserve"> евра</w:t>
      </w:r>
      <w:r w:rsidRPr="00092ED7">
        <w:rPr>
          <w:rFonts w:cs="Times New Roman"/>
          <w:iCs/>
          <w:lang w:val="sr-Cyrl-CS"/>
        </w:rPr>
        <w:t>,</w:t>
      </w:r>
      <w:r w:rsidRPr="00092ED7">
        <w:rPr>
          <w:rFonts w:cs="Times New Roman"/>
          <w:iCs/>
          <w:lang w:val="sr-Cyrl-CS" w:bidi="sr-Cyrl-CS"/>
        </w:rPr>
        <w:t xml:space="preserve"> за унапређење Регистра административних поступака</w:t>
      </w:r>
      <w:r w:rsidRPr="00092ED7">
        <w:rPr>
          <w:rFonts w:cs="Times New Roman"/>
          <w:iCs/>
          <w:lang w:val="sr-Cyrl-CS"/>
        </w:rPr>
        <w:t xml:space="preserve"> </w:t>
      </w:r>
      <w:r w:rsidRPr="00092ED7">
        <w:rPr>
          <w:rFonts w:cs="Times New Roman"/>
          <w:iCs/>
          <w:lang w:val="sr-Cyrl-CS" w:bidi="sr-Cyrl-CS"/>
        </w:rPr>
        <w:t>1</w:t>
      </w:r>
      <w:r w:rsidRPr="00092ED7">
        <w:rPr>
          <w:rFonts w:cs="Times New Roman"/>
          <w:iCs/>
          <w:lang w:val="sr-Cyrl-CS"/>
        </w:rPr>
        <w:t>2</w:t>
      </w:r>
      <w:r w:rsidRPr="00092ED7">
        <w:rPr>
          <w:rFonts w:cs="Times New Roman"/>
          <w:iCs/>
          <w:lang w:val="sr-Cyrl-CS" w:bidi="sr-Cyrl-CS"/>
        </w:rPr>
        <w:t xml:space="preserve">0 хиљада евра </w:t>
      </w:r>
      <w:r w:rsidRPr="00092ED7">
        <w:rPr>
          <w:rFonts w:cs="Times New Roman"/>
          <w:iCs/>
          <w:lang w:val="sr-Cyrl-CS"/>
        </w:rPr>
        <w:t xml:space="preserve">и за развој онлајн мониторинг алата за претраживање мера и активности од значаја за пословно окружење које су предвиђене важећим документима јавних политика 100 хиљада евра), </w:t>
      </w:r>
      <w:r w:rsidR="00BE197D" w:rsidRPr="00092ED7">
        <w:rPr>
          <w:rFonts w:cs="Times New Roman"/>
          <w:iCs/>
          <w:lang w:val="sr-Cyrl-CS"/>
        </w:rPr>
        <w:t>2</w:t>
      </w:r>
      <w:r w:rsidRPr="00092ED7">
        <w:rPr>
          <w:rFonts w:cs="Times New Roman"/>
          <w:iCs/>
          <w:lang w:val="sr-Cyrl-CS"/>
        </w:rPr>
        <w:t>,</w:t>
      </w:r>
      <w:r w:rsidR="00BE197D" w:rsidRPr="00092ED7">
        <w:rPr>
          <w:rFonts w:cs="Times New Roman"/>
          <w:iCs/>
          <w:lang w:val="sr-Cyrl-CS"/>
        </w:rPr>
        <w:t>8</w:t>
      </w:r>
      <w:r w:rsidRPr="00092ED7">
        <w:rPr>
          <w:rFonts w:cs="Times New Roman"/>
          <w:iCs/>
          <w:lang w:val="sr-Cyrl-CS"/>
        </w:rPr>
        <w:t xml:space="preserve"> милион евра у оквиру пројектног кредита за пројекат „Enabling Digital Governance</w:t>
      </w:r>
      <w:r w:rsidR="00DD04E6" w:rsidRPr="00092ED7">
        <w:rPr>
          <w:rFonts w:cs="Times New Roman"/>
          <w:szCs w:val="24"/>
          <w:lang w:val="sr-Cyrl-CS"/>
        </w:rPr>
        <w:t>”</w:t>
      </w:r>
      <w:r w:rsidRPr="00092ED7">
        <w:rPr>
          <w:rFonts w:cs="Times New Roman"/>
          <w:iCs/>
          <w:lang w:val="sr-Cyrl-CS"/>
        </w:rPr>
        <w:t xml:space="preserve"> (7</w:t>
      </w:r>
      <w:r w:rsidR="00BE197D" w:rsidRPr="00092ED7">
        <w:rPr>
          <w:rFonts w:cs="Times New Roman"/>
          <w:iCs/>
          <w:lang w:val="sr-Cyrl-CS"/>
        </w:rPr>
        <w:t xml:space="preserve">2 </w:t>
      </w:r>
      <w:r w:rsidRPr="00092ED7">
        <w:rPr>
          <w:rFonts w:cs="Times New Roman"/>
          <w:iCs/>
          <w:lang w:val="sr-Cyrl-CS"/>
        </w:rPr>
        <w:t>хиљад</w:t>
      </w:r>
      <w:r w:rsidR="00BE197D" w:rsidRPr="00092ED7">
        <w:rPr>
          <w:rFonts w:cs="Times New Roman"/>
          <w:iCs/>
          <w:lang w:val="sr-Cyrl-CS"/>
        </w:rPr>
        <w:t>е</w:t>
      </w:r>
      <w:r w:rsidRPr="00092ED7">
        <w:rPr>
          <w:rFonts w:cs="Times New Roman"/>
          <w:iCs/>
          <w:lang w:val="sr-Cyrl-CS"/>
        </w:rPr>
        <w:t xml:space="preserve"> евра за оптимизацију и </w:t>
      </w:r>
      <w:r w:rsidR="00BE197D" w:rsidRPr="00092ED7">
        <w:rPr>
          <w:rFonts w:cs="Times New Roman"/>
          <w:iCs/>
          <w:lang w:val="sr-Cyrl-CS"/>
        </w:rPr>
        <w:t>2,75</w:t>
      </w:r>
      <w:r w:rsidRPr="00092ED7">
        <w:rPr>
          <w:rFonts w:cs="Times New Roman"/>
          <w:iCs/>
          <w:lang w:val="sr-Cyrl-CS"/>
        </w:rPr>
        <w:t xml:space="preserve"> милиона евра за дигитализацију административних поступака) и 215 хиљада евра бесповратних средстава </w:t>
      </w:r>
      <w:r w:rsidRPr="00092ED7">
        <w:rPr>
          <w:iCs/>
          <w:lang w:val="sr-Cyrl-CS"/>
        </w:rPr>
        <w:t xml:space="preserve">EBRD </w:t>
      </w:r>
      <w:r w:rsidRPr="00092ED7">
        <w:rPr>
          <w:rFonts w:cs="Times New Roman"/>
          <w:iCs/>
          <w:lang w:val="sr-Cyrl-CS"/>
        </w:rPr>
        <w:t>(за дигитализацију административних поступака у области обновљивих извора енергије)</w:t>
      </w:r>
      <w:r w:rsidRPr="00092ED7">
        <w:rPr>
          <w:rFonts w:cs="Times New Roman"/>
          <w:iCs/>
          <w:lang w:val="sr-Cyrl-CS" w:bidi="sr-Cyrl-CS"/>
        </w:rPr>
        <w:t xml:space="preserve">. </w:t>
      </w:r>
    </w:p>
    <w:p w14:paraId="07B4A25D" w14:textId="77777777" w:rsidR="00D210F0" w:rsidRPr="00092ED7" w:rsidRDefault="00D210F0" w:rsidP="00D10049">
      <w:pPr>
        <w:widowControl w:val="0"/>
        <w:numPr>
          <w:ilvl w:val="0"/>
          <w:numId w:val="22"/>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37C5802F" w14:textId="37DAF437" w:rsidR="00D10049" w:rsidRPr="00092ED7" w:rsidRDefault="00B3174B" w:rsidP="00D10049">
      <w:pPr>
        <w:widowControl w:val="0"/>
        <w:spacing w:after="60"/>
        <w:rPr>
          <w:rFonts w:eastAsia="Calibri" w:cs="Times New Roman"/>
          <w:szCs w:val="24"/>
          <w:lang w:val="sr-Cyrl-CS" w:eastAsia="sr-Cyrl-CS" w:bidi="sr-Cyrl-CS"/>
        </w:rPr>
      </w:pPr>
      <w:r w:rsidRPr="00092ED7">
        <w:rPr>
          <w:lang w:val="sr-Cyrl-CS"/>
        </w:rPr>
        <w:t xml:space="preserve"> </w:t>
      </w:r>
      <w:r w:rsidR="00E967CE" w:rsidRPr="00092ED7">
        <w:rPr>
          <w:lang w:val="sr-Cyrl-CS"/>
        </w:rPr>
        <w:t xml:space="preserve">Успостављањем Регистра административних поступака (све потребне информације за пословање доступне на једном месту) може се очекивати индиректни утицај на повећање запослености, јер се смањују трошкови за привреду (уштеда </w:t>
      </w:r>
      <w:r w:rsidR="008E2AAE" w:rsidRPr="00092ED7">
        <w:rPr>
          <w:lang w:val="sr-Cyrl-CS"/>
        </w:rPr>
        <w:t xml:space="preserve">до сада </w:t>
      </w:r>
      <w:r w:rsidR="003917AF" w:rsidRPr="00092ED7">
        <w:rPr>
          <w:lang w:val="sr-Cyrl-CS"/>
        </w:rPr>
        <w:t>ск</w:t>
      </w:r>
      <w:r w:rsidR="00E967CE" w:rsidRPr="00092ED7">
        <w:rPr>
          <w:lang w:val="sr-Cyrl-CS"/>
        </w:rPr>
        <w:t>о</w:t>
      </w:r>
      <w:r w:rsidR="003917AF" w:rsidRPr="00092ED7">
        <w:rPr>
          <w:lang w:val="sr-Cyrl-CS"/>
        </w:rPr>
        <w:t>р</w:t>
      </w:r>
      <w:r w:rsidR="00E967CE" w:rsidRPr="00092ED7">
        <w:rPr>
          <w:lang w:val="sr-Cyrl-CS"/>
        </w:rPr>
        <w:t>о 33 милиона евра годишње)</w:t>
      </w:r>
      <w:r w:rsidR="006B0BA0" w:rsidRPr="00092ED7">
        <w:rPr>
          <w:lang w:val="sr-Cyrl-CS"/>
        </w:rPr>
        <w:t>,</w:t>
      </w:r>
      <w:r w:rsidR="00E967CE" w:rsidRPr="00092ED7">
        <w:rPr>
          <w:lang w:val="sr-Cyrl-CS"/>
        </w:rPr>
        <w:t xml:space="preserve"> а остварене уштеде се могу усмерити на отварање нових радних места. Када говоримо о утицају на родну равноправност, део реформе који се односи на </w:t>
      </w:r>
      <w:r w:rsidR="00E967CE" w:rsidRPr="00092ED7">
        <w:rPr>
          <w:b/>
          <w:lang w:val="sr-Cyrl-CS"/>
        </w:rPr>
        <w:t>укидање и поједностављење административних поступака</w:t>
      </w:r>
      <w:r w:rsidR="00E967CE" w:rsidRPr="00092ED7">
        <w:rPr>
          <w:lang w:val="sr-Cyrl-CS"/>
        </w:rPr>
        <w:t xml:space="preserve"> (оптимизација) нема потенцијал да допринесе унапређењу родне равноправности, јер се с</w:t>
      </w:r>
      <w:r w:rsidR="00E967CE" w:rsidRPr="00092ED7">
        <w:rPr>
          <w:color w:val="000000" w:themeColor="text1"/>
          <w:lang w:val="sr-Cyrl-CS"/>
        </w:rPr>
        <w:t xml:space="preserve">краћује време привреди и грађанима за остваривање права </w:t>
      </w:r>
      <w:r w:rsidR="00E967CE" w:rsidRPr="00092ED7">
        <w:rPr>
          <w:lang w:val="sr-Cyrl-CS"/>
        </w:rPr>
        <w:t xml:space="preserve">утврђених законима у поступцима пред јавном управом независно од пола. </w:t>
      </w:r>
      <w:r w:rsidR="00E967CE" w:rsidRPr="00092ED7">
        <w:rPr>
          <w:color w:val="000000" w:themeColor="text1"/>
          <w:lang w:val="sr-Cyrl-CS"/>
        </w:rPr>
        <w:t xml:space="preserve">Са друге стране, део реформе који се односи на </w:t>
      </w:r>
      <w:r w:rsidR="00E967CE" w:rsidRPr="00092ED7">
        <w:rPr>
          <w:b/>
          <w:lang w:val="sr-Cyrl-CS"/>
        </w:rPr>
        <w:t>дигитализацију административних поступака</w:t>
      </w:r>
      <w:r w:rsidR="00E967CE" w:rsidRPr="00092ED7">
        <w:rPr>
          <w:lang w:val="sr-Cyrl-CS"/>
        </w:rPr>
        <w:t xml:space="preserve"> неће утицати на продубљивање родне неједнакости у погледу остваривања права утврђених законима, јер се пружа могућност избора </w:t>
      </w:r>
      <w:r w:rsidR="00E967CE" w:rsidRPr="00092ED7">
        <w:rPr>
          <w:color w:val="000000" w:themeColor="text1"/>
          <w:lang w:val="sr-Cyrl-CS"/>
        </w:rPr>
        <w:t xml:space="preserve">начина покретања и спровођења административног поступка – електронски или путем поднеска у папирној форми надлежном органу. Такође, сви ови процеси/делови реформе (укидање, </w:t>
      </w:r>
      <w:r w:rsidR="00E967CE" w:rsidRPr="00092ED7">
        <w:rPr>
          <w:lang w:val="sr-Cyrl-CS"/>
        </w:rPr>
        <w:t xml:space="preserve">поједностављење и </w:t>
      </w:r>
      <w:r w:rsidR="00E967CE" w:rsidRPr="00092ED7">
        <w:rPr>
          <w:color w:val="000000" w:themeColor="text1"/>
          <w:lang w:val="sr-Cyrl-CS"/>
        </w:rPr>
        <w:t>дигитализација административних поступака) имаће позитиван ефекат на запослене жене и мушкарце у јавној управи јер ће им олакшати обављање посла.</w:t>
      </w:r>
    </w:p>
    <w:p w14:paraId="2ED35FF8" w14:textId="77777777" w:rsidR="00D210F0" w:rsidRPr="00092ED7" w:rsidRDefault="00D210F0" w:rsidP="00D10049">
      <w:pPr>
        <w:widowControl w:val="0"/>
        <w:numPr>
          <w:ilvl w:val="0"/>
          <w:numId w:val="22"/>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7E157F36"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Оптимизацијом и дигитализацијом административних поступака значајно се смањује употреба докумената у папирном облику, што ће имати позитиван утицај на заштиту животне средине</w:t>
      </w:r>
      <w:r w:rsidR="00192281" w:rsidRPr="00092ED7">
        <w:rPr>
          <w:rFonts w:eastAsia="Calibri" w:cs="Times New Roman"/>
          <w:szCs w:val="24"/>
          <w:lang w:val="sr-Cyrl-CS" w:eastAsia="sr-Cyrl-CS" w:bidi="sr-Cyrl-CS"/>
        </w:rPr>
        <w:t xml:space="preserve"> и климатске промене</w:t>
      </w:r>
      <w:r w:rsidRPr="00092ED7">
        <w:rPr>
          <w:rFonts w:eastAsia="Calibri" w:cs="Times New Roman"/>
          <w:szCs w:val="24"/>
          <w:lang w:val="sr-Cyrl-CS" w:eastAsia="sr-Cyrl-CS" w:bidi="sr-Cyrl-CS"/>
        </w:rPr>
        <w:t>.</w:t>
      </w:r>
    </w:p>
    <w:p w14:paraId="19BE3DD2" w14:textId="77777777" w:rsidR="00D210F0" w:rsidRPr="00092ED7" w:rsidRDefault="00D210F0" w:rsidP="00071952">
      <w:pPr>
        <w:widowControl w:val="0"/>
        <w:numPr>
          <w:ilvl w:val="0"/>
          <w:numId w:val="22"/>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209" w:type="dxa"/>
        <w:jc w:val="center"/>
        <w:tblLayout w:type="fixed"/>
        <w:tblLook w:val="04A0" w:firstRow="1" w:lastRow="0" w:firstColumn="1" w:lastColumn="0" w:noHBand="0" w:noVBand="1"/>
      </w:tblPr>
      <w:tblGrid>
        <w:gridCol w:w="3515"/>
        <w:gridCol w:w="2098"/>
        <w:gridCol w:w="3596"/>
      </w:tblGrid>
      <w:tr w:rsidR="00AE4362" w:rsidRPr="00092ED7" w14:paraId="2DFAC91B" w14:textId="77777777" w:rsidTr="00AE4362">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325656DD" w14:textId="77777777" w:rsidR="00AE4362" w:rsidRPr="00092ED7" w:rsidRDefault="00AE4362" w:rsidP="00E44EF2">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2098" w:type="dxa"/>
          </w:tcPr>
          <w:p w14:paraId="354F3141" w14:textId="77777777" w:rsidR="00AE4362" w:rsidRPr="00092ED7" w:rsidRDefault="00AE4362" w:rsidP="00E44EF2">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596" w:type="dxa"/>
          </w:tcPr>
          <w:p w14:paraId="3A2163B4" w14:textId="77777777" w:rsidR="00AE4362" w:rsidRPr="00092ED7" w:rsidRDefault="00AE4362" w:rsidP="00E44EF2">
            <w:pPr>
              <w:spacing w:before="0" w:after="0"/>
              <w:ind w:left="113" w:right="113"/>
              <w:jc w:val="center"/>
              <w:rPr>
                <w:rFonts w:cs="Times New Roman"/>
                <w:b w:val="0"/>
                <w:sz w:val="20"/>
                <w:lang w:val="sr-Cyrl-CS"/>
              </w:rPr>
            </w:pPr>
            <w:r w:rsidRPr="00092ED7">
              <w:rPr>
                <w:rFonts w:cs="Times New Roman"/>
                <w:sz w:val="20"/>
                <w:lang w:val="sr-Cyrl-CS"/>
              </w:rPr>
              <w:t>Планиране активност за ублажавање негативних ефеката ризика</w:t>
            </w:r>
          </w:p>
        </w:tc>
      </w:tr>
      <w:tr w:rsidR="00AE4362" w:rsidRPr="00092ED7" w14:paraId="1AE48755" w14:textId="77777777" w:rsidTr="000003B8">
        <w:trPr>
          <w:jc w:val="center"/>
        </w:trPr>
        <w:tc>
          <w:tcPr>
            <w:tcW w:w="3515" w:type="dxa"/>
            <w:vAlign w:val="top"/>
          </w:tcPr>
          <w:p w14:paraId="0901ED0D" w14:textId="7F2C432B" w:rsidR="00AE4362" w:rsidRPr="00092ED7" w:rsidRDefault="008E2AAE" w:rsidP="000003B8">
            <w:pPr>
              <w:spacing w:before="0" w:after="0"/>
              <w:ind w:left="113" w:right="113"/>
              <w:rPr>
                <w:rFonts w:cs="Times New Roman"/>
                <w:b/>
                <w:sz w:val="20"/>
                <w:lang w:val="sr-Cyrl-CS"/>
              </w:rPr>
            </w:pPr>
            <w:r w:rsidRPr="00092ED7">
              <w:rPr>
                <w:rFonts w:eastAsia="Times New Roman" w:cs="Times New Roman"/>
                <w:sz w:val="20"/>
                <w:lang w:val="sr-Cyrl-CS"/>
              </w:rPr>
              <w:t>Неспровођење оптимизације административних поступака у року</w:t>
            </w:r>
          </w:p>
        </w:tc>
        <w:tc>
          <w:tcPr>
            <w:tcW w:w="2098" w:type="dxa"/>
            <w:vAlign w:val="top"/>
          </w:tcPr>
          <w:p w14:paraId="29EFAFD7" w14:textId="77777777" w:rsidR="00AE4362" w:rsidRPr="00092ED7" w:rsidRDefault="00AE4362" w:rsidP="000003B8">
            <w:pPr>
              <w:spacing w:before="0" w:after="0"/>
              <w:ind w:left="113" w:right="113"/>
              <w:jc w:val="center"/>
              <w:rPr>
                <w:rFonts w:cs="Times New Roman"/>
                <w:bCs/>
                <w:sz w:val="20"/>
                <w:lang w:val="sr-Cyrl-CS"/>
              </w:rPr>
            </w:pPr>
            <w:r w:rsidRPr="00092ED7">
              <w:rPr>
                <w:rFonts w:cs="Times New Roman"/>
                <w:bCs/>
                <w:sz w:val="20"/>
                <w:lang w:val="sr-Cyrl-CS"/>
              </w:rPr>
              <w:t>Средња</w:t>
            </w:r>
          </w:p>
        </w:tc>
        <w:tc>
          <w:tcPr>
            <w:tcW w:w="3596" w:type="dxa"/>
            <w:vAlign w:val="top"/>
          </w:tcPr>
          <w:p w14:paraId="6B3993B5" w14:textId="6CD09AAA" w:rsidR="00AE4362" w:rsidRPr="00092ED7" w:rsidRDefault="008E2AAE" w:rsidP="000003B8">
            <w:pPr>
              <w:spacing w:before="0" w:after="0"/>
              <w:ind w:left="113" w:right="113"/>
              <w:rPr>
                <w:rFonts w:cs="Times New Roman"/>
                <w:b/>
                <w:sz w:val="20"/>
                <w:lang w:val="sr-Cyrl-CS"/>
              </w:rPr>
            </w:pPr>
            <w:r w:rsidRPr="00092ED7">
              <w:rPr>
                <w:rFonts w:eastAsia="Times New Roman" w:cs="Times New Roman"/>
                <w:sz w:val="20"/>
                <w:lang w:val="sr-Cyrl-CS"/>
              </w:rPr>
              <w:t xml:space="preserve">Обезбеђен је механизам за праћење спровођења оптимизације административних поступака и Влада усваја Програм </w:t>
            </w:r>
            <w:r w:rsidR="001E5441" w:rsidRPr="00092ED7">
              <w:rPr>
                <w:rFonts w:eastAsia="Times New Roman" w:cs="Times New Roman"/>
                <w:sz w:val="20"/>
                <w:lang w:val="sr-Cyrl-CS"/>
              </w:rPr>
              <w:t xml:space="preserve">за поједностављење административних поступака и регулативе „е-Папир” </w:t>
            </w:r>
            <w:r w:rsidRPr="00092ED7">
              <w:rPr>
                <w:rFonts w:eastAsia="Times New Roman" w:cs="Times New Roman"/>
                <w:sz w:val="20"/>
                <w:lang w:val="sr-Cyrl-CS"/>
              </w:rPr>
              <w:t>са Акционим планом како би се обезбедила динамика спровођења</w:t>
            </w:r>
            <w:r w:rsidRPr="00092ED7" w:rsidDel="008E2AAE">
              <w:rPr>
                <w:rFonts w:eastAsia="Times New Roman" w:cs="Times New Roman"/>
                <w:sz w:val="20"/>
                <w:lang w:val="sr-Cyrl-CS"/>
              </w:rPr>
              <w:t xml:space="preserve"> </w:t>
            </w:r>
            <w:r w:rsidR="00D47BD8" w:rsidRPr="00092ED7">
              <w:rPr>
                <w:rFonts w:cs="Times New Roman"/>
                <w:sz w:val="20"/>
                <w:lang w:val="sr-Cyrl-CS"/>
              </w:rPr>
              <w:t>.</w:t>
            </w:r>
          </w:p>
        </w:tc>
      </w:tr>
      <w:tr w:rsidR="008E2AAE" w:rsidRPr="00092ED7" w14:paraId="7977448F" w14:textId="77777777" w:rsidTr="008B4CAE">
        <w:trPr>
          <w:jc w:val="center"/>
        </w:trPr>
        <w:tc>
          <w:tcPr>
            <w:tcW w:w="3515" w:type="dxa"/>
            <w:vAlign w:val="top"/>
          </w:tcPr>
          <w:p w14:paraId="4C289607" w14:textId="77777777" w:rsidR="008E2AAE" w:rsidRPr="00092ED7" w:rsidRDefault="008E2AAE" w:rsidP="008B4CAE">
            <w:pPr>
              <w:spacing w:before="0" w:after="0"/>
              <w:ind w:left="113" w:right="113"/>
              <w:rPr>
                <w:rFonts w:eastAsia="Times New Roman" w:cs="Times New Roman"/>
                <w:sz w:val="20"/>
                <w:lang w:val="sr-Cyrl-CS"/>
              </w:rPr>
            </w:pPr>
            <w:r w:rsidRPr="00092ED7">
              <w:rPr>
                <w:rFonts w:eastAsia="Times New Roman" w:cs="Times New Roman"/>
                <w:sz w:val="20"/>
                <w:lang w:val="sr-Cyrl-CS"/>
              </w:rPr>
              <w:t>Неспровођење дигитализације административних поступака у року због потребе унапређења дигиталне инфраструктуре</w:t>
            </w:r>
          </w:p>
        </w:tc>
        <w:tc>
          <w:tcPr>
            <w:tcW w:w="2098" w:type="dxa"/>
            <w:vAlign w:val="top"/>
          </w:tcPr>
          <w:p w14:paraId="4C1075B1" w14:textId="77777777" w:rsidR="008E2AAE" w:rsidRPr="00092ED7" w:rsidRDefault="008E2AAE" w:rsidP="008B4CAE">
            <w:pPr>
              <w:spacing w:before="0" w:after="0"/>
              <w:ind w:left="113" w:right="113"/>
              <w:jc w:val="center"/>
              <w:rPr>
                <w:rFonts w:cs="Times New Roman"/>
                <w:bCs/>
                <w:sz w:val="20"/>
                <w:lang w:val="sr-Cyrl-CS"/>
              </w:rPr>
            </w:pPr>
            <w:r w:rsidRPr="00092ED7">
              <w:rPr>
                <w:rFonts w:cs="Times New Roman"/>
                <w:bCs/>
                <w:sz w:val="20"/>
                <w:lang w:val="sr-Cyrl-CS"/>
              </w:rPr>
              <w:t>Средња</w:t>
            </w:r>
          </w:p>
        </w:tc>
        <w:tc>
          <w:tcPr>
            <w:tcW w:w="3596" w:type="dxa"/>
            <w:vAlign w:val="top"/>
          </w:tcPr>
          <w:p w14:paraId="2E7FD767" w14:textId="24470513" w:rsidR="008E2AAE" w:rsidRPr="00092ED7" w:rsidRDefault="008E2AAE" w:rsidP="00DE4389">
            <w:pPr>
              <w:spacing w:before="0" w:after="0"/>
              <w:ind w:left="113" w:right="113"/>
              <w:rPr>
                <w:rFonts w:eastAsia="Times New Roman" w:cs="Times New Roman"/>
                <w:sz w:val="20"/>
                <w:lang w:val="sr-Cyrl-CS"/>
              </w:rPr>
            </w:pPr>
            <w:r w:rsidRPr="00092ED7">
              <w:rPr>
                <w:rFonts w:eastAsia="Times New Roman" w:cs="Times New Roman"/>
                <w:sz w:val="20"/>
                <w:lang w:val="sr-Cyrl-CS"/>
              </w:rPr>
              <w:t xml:space="preserve">Обезбеђен је механизам за праћење спровођења дигитализације административних поступака и Влада усваја Програм </w:t>
            </w:r>
            <w:r w:rsidR="001E5441" w:rsidRPr="00092ED7">
              <w:rPr>
                <w:rFonts w:eastAsia="Times New Roman" w:cs="Times New Roman"/>
                <w:sz w:val="20"/>
                <w:lang w:val="sr-Cyrl-CS"/>
              </w:rPr>
              <w:t xml:space="preserve">за поједностављење административних поступака и регулативе „е-Папир” </w:t>
            </w:r>
            <w:r w:rsidRPr="00092ED7">
              <w:rPr>
                <w:rFonts w:eastAsia="Times New Roman" w:cs="Times New Roman"/>
                <w:sz w:val="20"/>
                <w:lang w:val="sr-Cyrl-CS"/>
              </w:rPr>
              <w:t xml:space="preserve">са Акционим планом како би се обезбедила динамика спровођења. </w:t>
            </w:r>
            <w:r w:rsidR="00A215FA" w:rsidRPr="00092ED7">
              <w:rPr>
                <w:rFonts w:eastAsia="Times New Roman" w:cs="Times New Roman"/>
                <w:sz w:val="20"/>
                <w:lang w:val="sr-Cyrl-CS"/>
              </w:rPr>
              <w:t xml:space="preserve">Канцеларија </w:t>
            </w:r>
            <w:r w:rsidR="00DE4389" w:rsidRPr="00092ED7">
              <w:rPr>
                <w:rFonts w:eastAsia="Times New Roman" w:cs="Times New Roman"/>
                <w:sz w:val="20"/>
                <w:lang w:val="sr-Cyrl-CS"/>
              </w:rPr>
              <w:t xml:space="preserve">за </w:t>
            </w:r>
            <w:r w:rsidR="00A215FA" w:rsidRPr="00092ED7">
              <w:rPr>
                <w:rFonts w:eastAsia="Times New Roman" w:cs="Times New Roman"/>
                <w:sz w:val="20"/>
                <w:lang w:val="sr-Cyrl-CS"/>
              </w:rPr>
              <w:t xml:space="preserve">информационе технологије и електронску управу </w:t>
            </w:r>
            <w:r w:rsidRPr="00092ED7">
              <w:rPr>
                <w:rFonts w:eastAsia="Times New Roman" w:cs="Times New Roman"/>
                <w:sz w:val="20"/>
                <w:lang w:val="sr-Cyrl-CS"/>
              </w:rPr>
              <w:t>је трансформисан</w:t>
            </w:r>
            <w:r w:rsidR="00DE4389" w:rsidRPr="00092ED7">
              <w:rPr>
                <w:rFonts w:eastAsia="Times New Roman" w:cs="Times New Roman"/>
                <w:sz w:val="20"/>
                <w:lang w:val="sr-Cyrl-CS"/>
              </w:rPr>
              <w:t>а</w:t>
            </w:r>
            <w:r w:rsidRPr="00092ED7">
              <w:rPr>
                <w:rFonts w:eastAsia="Times New Roman" w:cs="Times New Roman"/>
                <w:sz w:val="20"/>
                <w:lang w:val="sr-Cyrl-CS"/>
              </w:rPr>
              <w:t xml:space="preserve"> у посебну организацију из службе Владе како би мога</w:t>
            </w:r>
            <w:r w:rsidR="00DE4389" w:rsidRPr="00092ED7">
              <w:rPr>
                <w:rFonts w:eastAsia="Times New Roman" w:cs="Times New Roman"/>
                <w:sz w:val="20"/>
                <w:lang w:val="sr-Cyrl-CS"/>
              </w:rPr>
              <w:t>ла</w:t>
            </w:r>
            <w:r w:rsidRPr="00092ED7">
              <w:rPr>
                <w:rFonts w:eastAsia="Times New Roman" w:cs="Times New Roman"/>
                <w:sz w:val="20"/>
                <w:lang w:val="sr-Cyrl-CS"/>
              </w:rPr>
              <w:t xml:space="preserve"> брже </w:t>
            </w:r>
            <w:r w:rsidR="00DE4389" w:rsidRPr="00092ED7">
              <w:rPr>
                <w:rFonts w:eastAsia="Times New Roman" w:cs="Times New Roman"/>
                <w:sz w:val="20"/>
                <w:lang w:val="sr-Cyrl-CS"/>
              </w:rPr>
              <w:t xml:space="preserve">да </w:t>
            </w:r>
            <w:r w:rsidRPr="00092ED7">
              <w:rPr>
                <w:rFonts w:eastAsia="Times New Roman" w:cs="Times New Roman"/>
                <w:sz w:val="20"/>
                <w:lang w:val="sr-Cyrl-CS"/>
              </w:rPr>
              <w:t>реализује активности на унапређењу потребне инфраструктуре</w:t>
            </w:r>
            <w:r w:rsidR="008B4CAE" w:rsidRPr="00092ED7">
              <w:rPr>
                <w:rFonts w:eastAsia="Times New Roman" w:cs="Times New Roman"/>
                <w:sz w:val="20"/>
                <w:lang w:val="sr-Cyrl-CS"/>
              </w:rPr>
              <w:t>.</w:t>
            </w:r>
          </w:p>
        </w:tc>
      </w:tr>
    </w:tbl>
    <w:p w14:paraId="6F8E205A" w14:textId="77777777" w:rsidR="00D210F0" w:rsidRPr="00092ED7" w:rsidRDefault="00D210F0" w:rsidP="00D210F0">
      <w:pPr>
        <w:spacing w:before="120"/>
        <w:rPr>
          <w:rFonts w:eastAsia="Calibri" w:cs="Times New Roman"/>
          <w:szCs w:val="24"/>
          <w:lang w:val="sr-Cyrl-CS"/>
        </w:rPr>
      </w:pPr>
      <w:r w:rsidRPr="00092ED7">
        <w:rPr>
          <w:rFonts w:eastAsia="Calibri" w:cs="Times New Roman"/>
          <w:b/>
          <w:szCs w:val="24"/>
          <w:u w:val="single"/>
          <w:lang w:val="sr-Cyrl-CS"/>
        </w:rPr>
        <w:t>СТРУКТУРНА РЕФОРМА 6</w:t>
      </w:r>
      <w:r w:rsidRPr="00092ED7">
        <w:rPr>
          <w:rFonts w:eastAsia="Calibri" w:cs="Times New Roman"/>
          <w:b/>
          <w:szCs w:val="24"/>
          <w:lang w:val="sr-Cyrl-CS"/>
        </w:rPr>
        <w:t>:</w:t>
      </w:r>
      <w:r w:rsidRPr="00092ED7">
        <w:rPr>
          <w:rFonts w:eastAsia="Calibri" w:cs="Times New Roman"/>
          <w:szCs w:val="24"/>
          <w:lang w:val="sr-Cyrl-CS"/>
        </w:rPr>
        <w:t xml:space="preserve"> ОДРЖИВО И ЕФИКАСНО УПРАВЉАЊЕ ПРИВРЕДНИМ СУБЈЕКТИМА У ВЛАСНИШТВУ РЕПУБЛИКЕ СРБИЈЕ</w:t>
      </w:r>
    </w:p>
    <w:p w14:paraId="3A7C0705" w14:textId="77777777" w:rsidR="00D210F0" w:rsidRPr="00092ED7" w:rsidRDefault="00D210F0" w:rsidP="00071952">
      <w:pPr>
        <w:pStyle w:val="ListParagraph"/>
        <w:widowControl w:val="0"/>
        <w:numPr>
          <w:ilvl w:val="0"/>
          <w:numId w:val="23"/>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43261B11" w14:textId="7BCB6B83" w:rsidR="00D210F0" w:rsidRPr="00092ED7" w:rsidRDefault="00D210F0" w:rsidP="00B640AF">
      <w:pPr>
        <w:rPr>
          <w:rFonts w:cs="Times New Roman"/>
          <w:szCs w:val="24"/>
          <w:lang w:val="sr-Cyrl-CS"/>
        </w:rPr>
      </w:pPr>
      <w:r w:rsidRPr="00092ED7">
        <w:rPr>
          <w:rFonts w:cs="Times New Roman"/>
          <w:lang w:val="sr-Cyrl-CS"/>
        </w:rPr>
        <w:t xml:space="preserve">Циљ реформе је успостављање ефикаснијег надзора и система контроле пословања привредних субјеката у власништву Републике Србије. Остваривање власничких права државе над привредним субјектима у којима држава има удео, сходно смерницама </w:t>
      </w:r>
      <w:r w:rsidR="00192281" w:rsidRPr="00092ED7">
        <w:rPr>
          <w:lang w:val="sr-Cyrl-CS"/>
        </w:rPr>
        <w:t>OECD</w:t>
      </w:r>
      <w:r w:rsidRPr="00092ED7">
        <w:rPr>
          <w:rFonts w:cs="Times New Roman"/>
          <w:lang w:val="sr-Cyrl-CS"/>
        </w:rPr>
        <w:t xml:space="preserve">, треба да буде јасно идентификовано и, по могућству, централизовано. Влада је донела </w:t>
      </w:r>
      <w:r w:rsidRPr="00092ED7">
        <w:rPr>
          <w:rFonts w:cs="Times New Roman"/>
          <w:i/>
          <w:lang w:val="sr-Cyrl-CS"/>
        </w:rPr>
        <w:t xml:space="preserve">Стратегију државног власништва и управљања привредним субјектима који су у власништву Републике Србије за период </w:t>
      </w:r>
      <w:r w:rsidR="00A2596A" w:rsidRPr="00092ED7">
        <w:rPr>
          <w:rFonts w:cs="Times New Roman"/>
          <w:i/>
          <w:lang w:val="sr-Cyrl-CS"/>
        </w:rPr>
        <w:t xml:space="preserve">од </w:t>
      </w:r>
      <w:r w:rsidRPr="00092ED7">
        <w:rPr>
          <w:rFonts w:cs="Times New Roman"/>
          <w:i/>
          <w:lang w:val="sr-Cyrl-CS"/>
        </w:rPr>
        <w:t>2021. до 2027. го</w:t>
      </w:r>
      <w:r w:rsidRPr="00092ED7">
        <w:rPr>
          <w:rFonts w:cs="Times New Roman"/>
          <w:lang w:val="sr-Cyrl-CS"/>
        </w:rPr>
        <w:t>дине</w:t>
      </w:r>
      <w:r w:rsidR="001D56F3" w:rsidRPr="00092ED7">
        <w:rPr>
          <w:rFonts w:cs="Times New Roman"/>
          <w:szCs w:val="24"/>
          <w:lang w:val="sr-Cyrl-CS"/>
        </w:rPr>
        <w:t xml:space="preserve"> </w:t>
      </w:r>
      <w:r w:rsidRPr="00092ED7">
        <w:rPr>
          <w:rFonts w:cs="Times New Roman"/>
          <w:lang w:val="sr-Cyrl-CS"/>
        </w:rPr>
        <w:t xml:space="preserve">и </w:t>
      </w:r>
      <w:r w:rsidRPr="00092ED7">
        <w:rPr>
          <w:rFonts w:cs="Times New Roman"/>
          <w:i/>
          <w:lang w:val="sr-Cyrl-CS"/>
        </w:rPr>
        <w:t xml:space="preserve">Акциони план </w:t>
      </w:r>
      <w:r w:rsidR="00A215FA" w:rsidRPr="00092ED7">
        <w:rPr>
          <w:rFonts w:cs="Times New Roman"/>
          <w:b/>
          <w:color w:val="333333"/>
          <w:szCs w:val="24"/>
          <w:shd w:val="clear" w:color="auto" w:fill="FFFFFF"/>
          <w:lang w:val="sr-Cyrl-CS"/>
        </w:rPr>
        <w:t xml:space="preserve">за спровођење Стратегије државног власништва и управљања привредним субјектима који су у власништву Републике Србије за период oд 2021. до 2027. године, у периоду од 2021. до 2023. </w:t>
      </w:r>
      <w:r w:rsidR="00BA6F21" w:rsidRPr="00092ED7">
        <w:rPr>
          <w:rFonts w:cs="Times New Roman"/>
          <w:b/>
          <w:color w:val="333333"/>
          <w:szCs w:val="24"/>
          <w:shd w:val="clear" w:color="auto" w:fill="FFFFFF"/>
          <w:lang w:val="sr-Cyrl-CS"/>
        </w:rPr>
        <w:t>г</w:t>
      </w:r>
      <w:r w:rsidR="00A215FA" w:rsidRPr="00092ED7">
        <w:rPr>
          <w:rFonts w:cs="Times New Roman"/>
          <w:b/>
          <w:color w:val="333333"/>
          <w:szCs w:val="24"/>
          <w:shd w:val="clear" w:color="auto" w:fill="FFFFFF"/>
          <w:lang w:val="sr-Cyrl-CS"/>
        </w:rPr>
        <w:t>одине</w:t>
      </w:r>
      <w:r w:rsidRPr="00092ED7">
        <w:rPr>
          <w:rFonts w:cs="Times New Roman"/>
          <w:lang w:val="sr-Cyrl-CS"/>
        </w:rPr>
        <w:t>.</w:t>
      </w:r>
      <w:r w:rsidR="00930145" w:rsidRPr="00092ED7">
        <w:rPr>
          <w:rFonts w:cs="Times New Roman"/>
          <w:lang w:val="sr-Cyrl-CS"/>
        </w:rPr>
        <w:t xml:space="preserve"> </w:t>
      </w:r>
      <w:r w:rsidR="007D5E86" w:rsidRPr="00092ED7">
        <w:rPr>
          <w:rFonts w:cs="Times New Roman"/>
          <w:lang w:val="sr-Cyrl-CS"/>
        </w:rPr>
        <w:t>А</w:t>
      </w:r>
      <w:r w:rsidR="00930145" w:rsidRPr="00092ED7">
        <w:rPr>
          <w:rFonts w:cs="Times New Roman"/>
          <w:lang w:val="sr-Cyrl-CS"/>
        </w:rPr>
        <w:t xml:space="preserve">ктивности након 2023. године </w:t>
      </w:r>
      <w:r w:rsidR="000722E6" w:rsidRPr="00092ED7">
        <w:rPr>
          <w:rFonts w:cs="Times New Roman"/>
          <w:lang w:val="sr-Cyrl-CS"/>
        </w:rPr>
        <w:t xml:space="preserve">ће </w:t>
      </w:r>
      <w:r w:rsidR="00930145" w:rsidRPr="00092ED7">
        <w:rPr>
          <w:rFonts w:cs="Times New Roman"/>
          <w:lang w:val="sr-Cyrl-CS"/>
        </w:rPr>
        <w:t>бити утврђене наредним акционим планом, који ће бити донет до краја 2023. године.</w:t>
      </w:r>
    </w:p>
    <w:p w14:paraId="27E92342" w14:textId="45E88AD5" w:rsidR="00D210F0" w:rsidRPr="00092ED7" w:rsidRDefault="00D210F0" w:rsidP="00D210F0">
      <w:pPr>
        <w:widowControl w:val="0"/>
        <w:spacing w:after="60"/>
        <w:rPr>
          <w:rFonts w:cs="Times New Roman"/>
          <w:lang w:val="sr-Cyrl-CS"/>
        </w:rPr>
      </w:pPr>
      <w:r w:rsidRPr="00092ED7">
        <w:rPr>
          <w:rFonts w:cs="Times New Roman"/>
          <w:lang w:val="sr-Cyrl-CS"/>
        </w:rPr>
        <w:t xml:space="preserve">У складу са наведеном </w:t>
      </w:r>
      <w:r w:rsidR="00DE4389" w:rsidRPr="00092ED7">
        <w:rPr>
          <w:rFonts w:cs="Times New Roman"/>
          <w:lang w:val="sr-Cyrl-CS"/>
        </w:rPr>
        <w:t>с</w:t>
      </w:r>
      <w:r w:rsidRPr="00092ED7">
        <w:rPr>
          <w:rFonts w:cs="Times New Roman"/>
          <w:lang w:val="sr-Cyrl-CS"/>
        </w:rPr>
        <w:t xml:space="preserve">тратегијом, у претходном периоду је формирана база </w:t>
      </w:r>
      <w:r w:rsidR="00BA6F21" w:rsidRPr="00092ED7">
        <w:rPr>
          <w:rFonts w:cs="Times New Roman"/>
          <w:lang w:val="sr-Cyrl-CS"/>
        </w:rPr>
        <w:t xml:space="preserve">правних субјеката у власништву Републике Србије (у даљем тексту: </w:t>
      </w:r>
      <w:r w:rsidRPr="00092ED7">
        <w:rPr>
          <w:rFonts w:cs="Times New Roman"/>
          <w:lang w:val="sr-Cyrl-CS"/>
        </w:rPr>
        <w:t>ПСРС</w:t>
      </w:r>
      <w:r w:rsidR="00BA6F21" w:rsidRPr="00092ED7">
        <w:rPr>
          <w:rFonts w:cs="Times New Roman"/>
          <w:lang w:val="sr-Cyrl-CS"/>
        </w:rPr>
        <w:t>)</w:t>
      </w:r>
      <w:r w:rsidRPr="00092ED7">
        <w:rPr>
          <w:rFonts w:cs="Times New Roman"/>
          <w:lang w:val="sr-Cyrl-CS"/>
        </w:rPr>
        <w:t>, која се ажурира на дневном нивоу, извршена је анализа актуелног правног оквира који се односи на управљање ПСРС и припремљена радна верзија закона, којим ће се наведена област централизовати и уредити тако да се побољша ефикасност надзора и контроле пословања ПСРС.</w:t>
      </w:r>
    </w:p>
    <w:p w14:paraId="35FA6AC7" w14:textId="77777777" w:rsidR="00D210F0" w:rsidRPr="00092ED7" w:rsidRDefault="00D210F0" w:rsidP="00071952">
      <w:pPr>
        <w:widowControl w:val="0"/>
        <w:numPr>
          <w:ilvl w:val="0"/>
          <w:numId w:val="23"/>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9073" w:type="dxa"/>
        <w:tblLayout w:type="fixed"/>
        <w:tblCellMar>
          <w:left w:w="0" w:type="dxa"/>
          <w:right w:w="0" w:type="dxa"/>
        </w:tblCellMar>
        <w:tblLook w:val="04A0" w:firstRow="1" w:lastRow="0" w:firstColumn="1" w:lastColumn="0" w:noHBand="0" w:noVBand="1"/>
      </w:tblPr>
      <w:tblGrid>
        <w:gridCol w:w="411"/>
        <w:gridCol w:w="4399"/>
        <w:gridCol w:w="360"/>
        <w:gridCol w:w="360"/>
        <w:gridCol w:w="360"/>
        <w:gridCol w:w="317"/>
        <w:gridCol w:w="348"/>
        <w:gridCol w:w="360"/>
        <w:gridCol w:w="360"/>
        <w:gridCol w:w="359"/>
        <w:gridCol w:w="360"/>
        <w:gridCol w:w="359"/>
        <w:gridCol w:w="360"/>
        <w:gridCol w:w="360"/>
      </w:tblGrid>
      <w:tr w:rsidR="00D210F0" w:rsidRPr="00092ED7" w14:paraId="3FEAABF5" w14:textId="77777777" w:rsidTr="00AE4362">
        <w:trPr>
          <w:trHeight w:val="315"/>
        </w:trPr>
        <w:tc>
          <w:tcPr>
            <w:tcW w:w="411"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62DF18ED"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РБ</w:t>
            </w:r>
          </w:p>
        </w:tc>
        <w:tc>
          <w:tcPr>
            <w:tcW w:w="4399"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23CC24A0" w14:textId="77777777" w:rsidR="00D210F0" w:rsidRPr="00092ED7" w:rsidRDefault="00D210F0" w:rsidP="00D210F0">
            <w:pPr>
              <w:spacing w:after="0"/>
              <w:jc w:val="left"/>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397"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69A5D082"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27"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193D08E2"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39"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558A9107"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38ECC513" w14:textId="77777777" w:rsidTr="00AE4362">
        <w:trPr>
          <w:trHeight w:val="315"/>
        </w:trPr>
        <w:tc>
          <w:tcPr>
            <w:tcW w:w="411" w:type="dxa"/>
            <w:vMerge/>
            <w:tcBorders>
              <w:left w:val="single" w:sz="8" w:space="0" w:color="auto"/>
              <w:bottom w:val="single" w:sz="8" w:space="0" w:color="000000"/>
              <w:right w:val="nil"/>
            </w:tcBorders>
            <w:shd w:val="clear" w:color="000000" w:fill="BDD6EE"/>
            <w:vAlign w:val="center"/>
            <w:hideMark/>
          </w:tcPr>
          <w:p w14:paraId="28D3BDDB" w14:textId="77777777" w:rsidR="00D210F0" w:rsidRPr="00092ED7" w:rsidRDefault="00D210F0" w:rsidP="00D210F0">
            <w:pPr>
              <w:spacing w:after="0"/>
              <w:jc w:val="center"/>
              <w:rPr>
                <w:rFonts w:cs="Times New Roman"/>
                <w:b/>
                <w:bCs/>
                <w:color w:val="000000"/>
                <w:sz w:val="20"/>
                <w:szCs w:val="20"/>
                <w:lang w:val="sr-Cyrl-CS"/>
              </w:rPr>
            </w:pPr>
          </w:p>
        </w:tc>
        <w:tc>
          <w:tcPr>
            <w:tcW w:w="4399"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5E274AF5" w14:textId="77777777" w:rsidR="00D210F0" w:rsidRPr="00092ED7" w:rsidRDefault="00D210F0" w:rsidP="00D210F0">
            <w:pPr>
              <w:spacing w:after="0"/>
              <w:rPr>
                <w:rFonts w:cs="Times New Roman"/>
                <w:b/>
                <w:bCs/>
                <w:color w:val="000000"/>
                <w:sz w:val="20"/>
                <w:szCs w:val="20"/>
                <w:lang w:val="sr-Cyrl-CS"/>
              </w:rPr>
            </w:pPr>
          </w:p>
        </w:tc>
        <w:tc>
          <w:tcPr>
            <w:tcW w:w="360"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4736F0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0"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B7700B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0"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F64180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17"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DFB3FA0"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4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AC4D0F8"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0"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B91668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0"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41717DE"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59"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14FB7CC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60"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EEEFC65"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59"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1556C3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0"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5250BF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0"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948CCF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424F68D3" w14:textId="77777777" w:rsidTr="00AE4362">
        <w:trPr>
          <w:trHeight w:val="520"/>
        </w:trPr>
        <w:tc>
          <w:tcPr>
            <w:tcW w:w="411"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6E514876" w14:textId="77777777" w:rsidR="00D210F0" w:rsidRPr="00092ED7" w:rsidRDefault="00D210F0" w:rsidP="00D210F0">
            <w:pPr>
              <w:spacing w:after="0"/>
              <w:jc w:val="center"/>
              <w:rPr>
                <w:rFonts w:cs="Times New Roman"/>
                <w:b/>
                <w:bCs/>
                <w:sz w:val="20"/>
                <w:szCs w:val="20"/>
                <w:lang w:val="sr-Cyrl-CS"/>
              </w:rPr>
            </w:pPr>
            <w:r w:rsidRPr="00092ED7">
              <w:rPr>
                <w:rFonts w:cs="Times New Roman"/>
                <w:b/>
                <w:bCs/>
                <w:sz w:val="20"/>
                <w:szCs w:val="20"/>
                <w:lang w:val="sr-Cyrl-CS"/>
              </w:rPr>
              <w:t>1.</w:t>
            </w:r>
          </w:p>
        </w:tc>
        <w:tc>
          <w:tcPr>
            <w:tcW w:w="4399"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3F55B98C" w14:textId="0522EC2B" w:rsidR="00D210F0" w:rsidRPr="00092ED7" w:rsidRDefault="006C154D" w:rsidP="00D210F0">
            <w:pPr>
              <w:spacing w:after="0"/>
              <w:ind w:right="213"/>
              <w:rPr>
                <w:rFonts w:cs="Times New Roman"/>
                <w:sz w:val="20"/>
                <w:szCs w:val="20"/>
                <w:lang w:val="sr-Cyrl-CS"/>
              </w:rPr>
            </w:pPr>
            <w:r w:rsidRPr="00092ED7">
              <w:rPr>
                <w:rFonts w:cs="Times New Roman"/>
                <w:sz w:val="20"/>
                <w:szCs w:val="20"/>
                <w:lang w:val="sr-Cyrl-CS"/>
              </w:rPr>
              <w:t>Примена</w:t>
            </w:r>
            <w:r w:rsidR="00D210F0" w:rsidRPr="00092ED7">
              <w:rPr>
                <w:rFonts w:cs="Times New Roman"/>
                <w:sz w:val="20"/>
                <w:szCs w:val="20"/>
                <w:lang w:val="sr-Cyrl-CS"/>
              </w:rPr>
              <w:t xml:space="preserve"> новог правног оквира, који се односи на сва ПСРС </w:t>
            </w:r>
          </w:p>
        </w:tc>
        <w:tc>
          <w:tcPr>
            <w:tcW w:w="3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6BC123D"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8149AF6"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98978F4" w14:textId="77777777" w:rsidR="00D210F0" w:rsidRPr="00092ED7" w:rsidRDefault="00D210F0" w:rsidP="00D210F0">
            <w:pPr>
              <w:spacing w:after="0"/>
              <w:rPr>
                <w:rFonts w:cs="Times New Roman"/>
                <w:color w:val="000000"/>
                <w:sz w:val="20"/>
                <w:szCs w:val="20"/>
                <w:highlight w:val="darkGray"/>
                <w:lang w:val="sr-Cyrl-CS"/>
              </w:rPr>
            </w:pPr>
          </w:p>
        </w:tc>
        <w:tc>
          <w:tcPr>
            <w:tcW w:w="317"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9F1FB36" w14:textId="77777777" w:rsidR="00D210F0" w:rsidRPr="00092ED7" w:rsidRDefault="00D210F0" w:rsidP="00D210F0">
            <w:pPr>
              <w:spacing w:after="0"/>
              <w:rPr>
                <w:rFonts w:cs="Times New Roman"/>
                <w:color w:val="000000"/>
                <w:sz w:val="20"/>
                <w:szCs w:val="20"/>
                <w:highlight w:val="darkGray"/>
                <w:lang w:val="sr-Cyrl-CS"/>
              </w:rPr>
            </w:pPr>
          </w:p>
        </w:tc>
        <w:tc>
          <w:tcPr>
            <w:tcW w:w="34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33F26E6"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8C42F0F"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94DFC55" w14:textId="77777777" w:rsidR="00D210F0" w:rsidRPr="00092ED7" w:rsidRDefault="00D210F0" w:rsidP="00D210F0">
            <w:pPr>
              <w:spacing w:after="0"/>
              <w:rPr>
                <w:rFonts w:cs="Times New Roman"/>
                <w:color w:val="000000"/>
                <w:sz w:val="20"/>
                <w:szCs w:val="20"/>
                <w:lang w:val="sr-Cyrl-CS"/>
              </w:rPr>
            </w:pPr>
          </w:p>
        </w:tc>
        <w:tc>
          <w:tcPr>
            <w:tcW w:w="359"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6FD63752"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8153AF4" w14:textId="77777777" w:rsidR="00D210F0" w:rsidRPr="00092ED7" w:rsidRDefault="00D210F0" w:rsidP="00D210F0">
            <w:pPr>
              <w:spacing w:after="0"/>
              <w:rPr>
                <w:rFonts w:cs="Times New Roman"/>
                <w:color w:val="000000"/>
                <w:sz w:val="20"/>
                <w:szCs w:val="20"/>
                <w:lang w:val="sr-Cyrl-CS"/>
              </w:rPr>
            </w:pPr>
          </w:p>
        </w:tc>
        <w:tc>
          <w:tcPr>
            <w:tcW w:w="3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3183675A"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920B0D4"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162C7349" w14:textId="77777777" w:rsidR="00D210F0" w:rsidRPr="00092ED7" w:rsidRDefault="00D210F0" w:rsidP="00D210F0">
            <w:pPr>
              <w:spacing w:after="0"/>
              <w:rPr>
                <w:rFonts w:cs="Times New Roman"/>
                <w:color w:val="000000"/>
                <w:sz w:val="20"/>
                <w:szCs w:val="20"/>
                <w:lang w:val="sr-Cyrl-CS"/>
              </w:rPr>
            </w:pPr>
          </w:p>
        </w:tc>
      </w:tr>
      <w:tr w:rsidR="00D210F0" w:rsidRPr="00092ED7" w14:paraId="19C1B328" w14:textId="77777777" w:rsidTr="00AE4362">
        <w:trPr>
          <w:trHeight w:val="300"/>
        </w:trPr>
        <w:tc>
          <w:tcPr>
            <w:tcW w:w="411"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7B752E0E" w14:textId="77777777" w:rsidR="00D210F0" w:rsidRPr="00092ED7" w:rsidRDefault="00D210F0" w:rsidP="00D210F0">
            <w:pPr>
              <w:spacing w:after="0"/>
              <w:jc w:val="center"/>
              <w:rPr>
                <w:rFonts w:cs="Times New Roman"/>
                <w:b/>
                <w:bCs/>
                <w:sz w:val="20"/>
                <w:szCs w:val="20"/>
                <w:lang w:val="sr-Cyrl-CS"/>
              </w:rPr>
            </w:pPr>
            <w:r w:rsidRPr="00092ED7">
              <w:rPr>
                <w:rFonts w:cs="Times New Roman"/>
                <w:b/>
                <w:bCs/>
                <w:sz w:val="20"/>
                <w:szCs w:val="20"/>
                <w:lang w:val="sr-Cyrl-CS"/>
              </w:rPr>
              <w:t>2.</w:t>
            </w:r>
          </w:p>
        </w:tc>
        <w:tc>
          <w:tcPr>
            <w:tcW w:w="439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5974D342" w14:textId="77777777" w:rsidR="00D210F0" w:rsidRPr="00092ED7" w:rsidRDefault="00D210F0" w:rsidP="00D210F0">
            <w:pPr>
              <w:spacing w:after="0"/>
              <w:ind w:right="213"/>
              <w:rPr>
                <w:rFonts w:cs="Times New Roman"/>
                <w:sz w:val="20"/>
                <w:szCs w:val="20"/>
                <w:lang w:val="sr-Cyrl-CS"/>
              </w:rPr>
            </w:pPr>
            <w:r w:rsidRPr="00092ED7">
              <w:rPr>
                <w:rFonts w:cs="Times New Roman"/>
                <w:sz w:val="20"/>
                <w:szCs w:val="20"/>
                <w:lang w:val="sr-Cyrl-CS"/>
              </w:rPr>
              <w:t>Дигитализација процеса надзора и извештавања ПСРС</w:t>
            </w:r>
          </w:p>
        </w:tc>
        <w:tc>
          <w:tcPr>
            <w:tcW w:w="3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1D974B3" w14:textId="77777777" w:rsidR="00D210F0" w:rsidRPr="00092ED7" w:rsidRDefault="00D210F0" w:rsidP="00D210F0">
            <w:pPr>
              <w:spacing w:after="0"/>
              <w:rPr>
                <w:rFonts w:cs="Times New Roman"/>
                <w:color w:val="000000"/>
                <w:sz w:val="20"/>
                <w:szCs w:val="20"/>
                <w:highlight w:val="darkGray"/>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5EDC2E" w14:textId="77777777" w:rsidR="00D210F0" w:rsidRPr="00092ED7" w:rsidRDefault="00D210F0" w:rsidP="00D210F0">
            <w:pPr>
              <w:spacing w:after="0"/>
              <w:rPr>
                <w:rFonts w:cs="Times New Roman"/>
                <w:color w:val="000000"/>
                <w:sz w:val="20"/>
                <w:szCs w:val="20"/>
                <w:highlight w:val="darkGray"/>
                <w:lang w:val="sr-Cyrl-CS"/>
              </w:rPr>
            </w:pPr>
          </w:p>
        </w:tc>
        <w:tc>
          <w:tcPr>
            <w:tcW w:w="3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831B2F1" w14:textId="77777777" w:rsidR="00D210F0" w:rsidRPr="00092ED7" w:rsidRDefault="00D210F0" w:rsidP="00D210F0">
            <w:pPr>
              <w:spacing w:after="0"/>
              <w:rPr>
                <w:rFonts w:cs="Times New Roman"/>
                <w:color w:val="000000"/>
                <w:sz w:val="20"/>
                <w:szCs w:val="20"/>
                <w:highlight w:val="darkGray"/>
                <w:lang w:val="sr-Cyrl-CS"/>
              </w:rPr>
            </w:pPr>
          </w:p>
        </w:tc>
        <w:tc>
          <w:tcPr>
            <w:tcW w:w="31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5AAA66A" w14:textId="77777777" w:rsidR="00D210F0" w:rsidRPr="00092ED7" w:rsidRDefault="00D210F0" w:rsidP="00D210F0">
            <w:pPr>
              <w:spacing w:after="0"/>
              <w:rPr>
                <w:rFonts w:cs="Times New Roman"/>
                <w:color w:val="000000"/>
                <w:sz w:val="20"/>
                <w:szCs w:val="20"/>
                <w:highlight w:val="darkGray"/>
                <w:lang w:val="sr-Cyrl-CS"/>
              </w:rPr>
            </w:pPr>
          </w:p>
        </w:tc>
        <w:tc>
          <w:tcPr>
            <w:tcW w:w="348"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EBEE255"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BFDCF10"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2FD8023" w14:textId="77777777" w:rsidR="00D210F0" w:rsidRPr="00092ED7" w:rsidRDefault="00D210F0" w:rsidP="00D210F0">
            <w:pPr>
              <w:spacing w:after="0"/>
              <w:rPr>
                <w:rFonts w:cs="Times New Roman"/>
                <w:color w:val="000000"/>
                <w:sz w:val="20"/>
                <w:szCs w:val="20"/>
                <w:lang w:val="sr-Cyrl-CS"/>
              </w:rPr>
            </w:pPr>
          </w:p>
        </w:tc>
        <w:tc>
          <w:tcPr>
            <w:tcW w:w="359"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6229AB22"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397312F" w14:textId="77777777" w:rsidR="00D210F0" w:rsidRPr="00092ED7" w:rsidRDefault="00D210F0" w:rsidP="00D210F0">
            <w:pPr>
              <w:spacing w:after="0"/>
              <w:rPr>
                <w:rFonts w:cs="Times New Roman"/>
                <w:color w:val="000000"/>
                <w:sz w:val="20"/>
                <w:szCs w:val="20"/>
                <w:lang w:val="sr-Cyrl-CS"/>
              </w:rPr>
            </w:pPr>
          </w:p>
        </w:tc>
        <w:tc>
          <w:tcPr>
            <w:tcW w:w="35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A46BF41"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723D8BC"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53E8003" w14:textId="77777777" w:rsidR="00D210F0" w:rsidRPr="00092ED7" w:rsidRDefault="00D210F0" w:rsidP="00D210F0">
            <w:pPr>
              <w:spacing w:after="0"/>
              <w:rPr>
                <w:rFonts w:cs="Times New Roman"/>
                <w:color w:val="000000"/>
                <w:sz w:val="20"/>
                <w:szCs w:val="20"/>
                <w:lang w:val="sr-Cyrl-CS"/>
              </w:rPr>
            </w:pPr>
          </w:p>
        </w:tc>
      </w:tr>
      <w:tr w:rsidR="00D210F0" w:rsidRPr="00092ED7" w14:paraId="10D6A8A3" w14:textId="77777777" w:rsidTr="00AE4362">
        <w:trPr>
          <w:trHeight w:val="300"/>
        </w:trPr>
        <w:tc>
          <w:tcPr>
            <w:tcW w:w="411"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3702C49F" w14:textId="77777777" w:rsidR="00D210F0" w:rsidRPr="00092ED7" w:rsidRDefault="00D210F0" w:rsidP="00D210F0">
            <w:pPr>
              <w:spacing w:after="0"/>
              <w:jc w:val="center"/>
              <w:rPr>
                <w:rFonts w:cs="Times New Roman"/>
                <w:b/>
                <w:bCs/>
                <w:sz w:val="20"/>
                <w:szCs w:val="20"/>
                <w:lang w:val="sr-Cyrl-CS"/>
              </w:rPr>
            </w:pPr>
            <w:r w:rsidRPr="00092ED7">
              <w:rPr>
                <w:rFonts w:cs="Times New Roman"/>
                <w:b/>
                <w:bCs/>
                <w:sz w:val="20"/>
                <w:szCs w:val="20"/>
                <w:lang w:val="sr-Cyrl-CS"/>
              </w:rPr>
              <w:t>3.</w:t>
            </w:r>
          </w:p>
        </w:tc>
        <w:tc>
          <w:tcPr>
            <w:tcW w:w="4399" w:type="dxa"/>
            <w:tcBorders>
              <w:top w:val="nil"/>
              <w:left w:val="nil"/>
              <w:bottom w:val="single" w:sz="4" w:space="0" w:color="auto"/>
              <w:right w:val="nil"/>
            </w:tcBorders>
            <w:shd w:val="clear" w:color="auto" w:fill="auto"/>
            <w:tcMar>
              <w:top w:w="15" w:type="dxa"/>
              <w:left w:w="15" w:type="dxa"/>
              <w:bottom w:w="0" w:type="dxa"/>
              <w:right w:w="15" w:type="dxa"/>
            </w:tcMar>
          </w:tcPr>
          <w:p w14:paraId="003DDF5B" w14:textId="77777777" w:rsidR="00D210F0" w:rsidRPr="00092ED7" w:rsidRDefault="00D210F0" w:rsidP="00D210F0">
            <w:pPr>
              <w:spacing w:after="0"/>
              <w:ind w:right="213"/>
              <w:rPr>
                <w:rFonts w:cs="Times New Roman"/>
                <w:sz w:val="20"/>
                <w:szCs w:val="20"/>
                <w:lang w:val="sr-Cyrl-CS"/>
              </w:rPr>
            </w:pPr>
            <w:r w:rsidRPr="00092ED7">
              <w:rPr>
                <w:rFonts w:cs="Times New Roman"/>
                <w:sz w:val="20"/>
                <w:szCs w:val="20"/>
                <w:lang w:val="sr-Cyrl-CS"/>
              </w:rPr>
              <w:t xml:space="preserve">Анализа стања за успостављање јединственог система за корпоративно управљање у ПСРС </w:t>
            </w:r>
          </w:p>
        </w:tc>
        <w:tc>
          <w:tcPr>
            <w:tcW w:w="360"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0AE667F" w14:textId="77777777" w:rsidR="00D210F0" w:rsidRPr="00092ED7" w:rsidRDefault="00D210F0" w:rsidP="00D210F0">
            <w:pPr>
              <w:spacing w:after="0"/>
              <w:rPr>
                <w:rFonts w:cs="Times New Roman"/>
                <w:color w:val="000000"/>
                <w:sz w:val="20"/>
                <w:szCs w:val="20"/>
                <w:highlight w:val="darkGray"/>
                <w:lang w:val="sr-Cyrl-CS"/>
              </w:rPr>
            </w:pPr>
          </w:p>
        </w:tc>
        <w:tc>
          <w:tcPr>
            <w:tcW w:w="36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D9EF812" w14:textId="77777777" w:rsidR="00D210F0" w:rsidRPr="00092ED7" w:rsidRDefault="00D210F0" w:rsidP="00D210F0">
            <w:pPr>
              <w:spacing w:after="0"/>
              <w:rPr>
                <w:rFonts w:cs="Times New Roman"/>
                <w:color w:val="000000"/>
                <w:sz w:val="20"/>
                <w:szCs w:val="20"/>
                <w:highlight w:val="darkGray"/>
                <w:lang w:val="sr-Cyrl-CS"/>
              </w:rPr>
            </w:pPr>
          </w:p>
        </w:tc>
        <w:tc>
          <w:tcPr>
            <w:tcW w:w="36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69F9BE8" w14:textId="77777777" w:rsidR="00D210F0" w:rsidRPr="00092ED7" w:rsidRDefault="00D210F0" w:rsidP="00D210F0">
            <w:pPr>
              <w:spacing w:after="0"/>
              <w:rPr>
                <w:rFonts w:cs="Times New Roman"/>
                <w:color w:val="000000"/>
                <w:sz w:val="20"/>
                <w:szCs w:val="20"/>
                <w:highlight w:val="darkGray"/>
                <w:lang w:val="sr-Cyrl-CS"/>
              </w:rPr>
            </w:pPr>
          </w:p>
        </w:tc>
        <w:tc>
          <w:tcPr>
            <w:tcW w:w="317"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42D1D86" w14:textId="77777777" w:rsidR="00D210F0" w:rsidRPr="00092ED7" w:rsidRDefault="00D210F0" w:rsidP="00D210F0">
            <w:pPr>
              <w:spacing w:after="0"/>
              <w:rPr>
                <w:rFonts w:cs="Times New Roman"/>
                <w:color w:val="000000"/>
                <w:sz w:val="20"/>
                <w:szCs w:val="20"/>
                <w:highlight w:val="darkGray"/>
                <w:lang w:val="sr-Cyrl-CS"/>
              </w:rPr>
            </w:pPr>
          </w:p>
        </w:tc>
        <w:tc>
          <w:tcPr>
            <w:tcW w:w="348"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1D27C77"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2FDB273"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9B3E216" w14:textId="77777777" w:rsidR="00D210F0" w:rsidRPr="00092ED7" w:rsidRDefault="00D210F0" w:rsidP="00D210F0">
            <w:pPr>
              <w:spacing w:after="0"/>
              <w:rPr>
                <w:rFonts w:cs="Times New Roman"/>
                <w:color w:val="000000"/>
                <w:sz w:val="20"/>
                <w:szCs w:val="20"/>
                <w:lang w:val="sr-Cyrl-CS"/>
              </w:rPr>
            </w:pPr>
          </w:p>
        </w:tc>
        <w:tc>
          <w:tcPr>
            <w:tcW w:w="359"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54F526A8"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BD8CB81" w14:textId="77777777" w:rsidR="00D210F0" w:rsidRPr="00092ED7" w:rsidRDefault="00D210F0" w:rsidP="00D210F0">
            <w:pPr>
              <w:spacing w:after="0"/>
              <w:rPr>
                <w:rFonts w:cs="Times New Roman"/>
                <w:color w:val="000000"/>
                <w:sz w:val="20"/>
                <w:szCs w:val="20"/>
                <w:lang w:val="sr-Cyrl-CS"/>
              </w:rPr>
            </w:pPr>
          </w:p>
        </w:tc>
        <w:tc>
          <w:tcPr>
            <w:tcW w:w="35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703F0DA"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D3B9EA1"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5341729C" w14:textId="77777777" w:rsidR="00D210F0" w:rsidRPr="00092ED7" w:rsidRDefault="00D210F0" w:rsidP="00D210F0">
            <w:pPr>
              <w:spacing w:after="0"/>
              <w:rPr>
                <w:rFonts w:cs="Times New Roman"/>
                <w:color w:val="000000"/>
                <w:sz w:val="20"/>
                <w:szCs w:val="20"/>
                <w:lang w:val="sr-Cyrl-CS"/>
              </w:rPr>
            </w:pPr>
          </w:p>
        </w:tc>
      </w:tr>
    </w:tbl>
    <w:p w14:paraId="16102027" w14:textId="77777777" w:rsidR="00D210F0" w:rsidRPr="00092ED7" w:rsidRDefault="00D210F0" w:rsidP="00071952">
      <w:pPr>
        <w:widowControl w:val="0"/>
        <w:numPr>
          <w:ilvl w:val="0"/>
          <w:numId w:val="23"/>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Индикатори рeзултата</w:t>
      </w:r>
    </w:p>
    <w:tbl>
      <w:tblPr>
        <w:tblStyle w:val="TableGrid"/>
        <w:tblW w:w="9067" w:type="dxa"/>
        <w:tblLayout w:type="fixed"/>
        <w:tblLook w:val="04A0" w:firstRow="1" w:lastRow="0" w:firstColumn="1" w:lastColumn="0" w:noHBand="0" w:noVBand="1"/>
      </w:tblPr>
      <w:tblGrid>
        <w:gridCol w:w="3964"/>
        <w:gridCol w:w="1701"/>
        <w:gridCol w:w="1701"/>
        <w:gridCol w:w="1701"/>
      </w:tblGrid>
      <w:tr w:rsidR="00D210F0" w:rsidRPr="00092ED7" w14:paraId="03F7D18A" w14:textId="77777777" w:rsidTr="00AE4362">
        <w:trPr>
          <w:cnfStyle w:val="100000000000" w:firstRow="1" w:lastRow="0" w:firstColumn="0" w:lastColumn="0" w:oddVBand="0" w:evenVBand="0" w:oddHBand="0" w:evenHBand="0" w:firstRowFirstColumn="0" w:firstRowLastColumn="0" w:lastRowFirstColumn="0" w:lastRowLastColumn="0"/>
          <w:trHeight w:val="488"/>
        </w:trPr>
        <w:tc>
          <w:tcPr>
            <w:tcW w:w="3964" w:type="dxa"/>
          </w:tcPr>
          <w:p w14:paraId="03AE2EB8"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Показатељ</w:t>
            </w:r>
          </w:p>
        </w:tc>
        <w:tc>
          <w:tcPr>
            <w:tcW w:w="1701" w:type="dxa"/>
          </w:tcPr>
          <w:p w14:paraId="4C43054F"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Почетна вредност (</w:t>
            </w:r>
            <w:r w:rsidR="00930145" w:rsidRPr="00092ED7">
              <w:rPr>
                <w:rFonts w:cs="Times New Roman"/>
                <w:sz w:val="20"/>
                <w:lang w:val="sr-Cyrl-CS"/>
              </w:rPr>
              <w:t>2020</w:t>
            </w:r>
            <w:r w:rsidRPr="00092ED7">
              <w:rPr>
                <w:rFonts w:cs="Times New Roman"/>
                <w:sz w:val="20"/>
                <w:lang w:val="sr-Cyrl-CS"/>
              </w:rPr>
              <w:t>)</w:t>
            </w:r>
          </w:p>
        </w:tc>
        <w:tc>
          <w:tcPr>
            <w:tcW w:w="1701" w:type="dxa"/>
          </w:tcPr>
          <w:p w14:paraId="422F97F1"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Међурезултат</w:t>
            </w:r>
            <w:r w:rsidRPr="00092ED7">
              <w:rPr>
                <w:sz w:val="20"/>
                <w:lang w:val="sr-Cyrl-CS"/>
              </w:rPr>
              <w:t xml:space="preserve"> (</w:t>
            </w:r>
            <w:r w:rsidR="00930145" w:rsidRPr="00092ED7">
              <w:rPr>
                <w:rFonts w:cs="Times New Roman"/>
                <w:sz w:val="20"/>
                <w:lang w:val="sr-Cyrl-CS"/>
              </w:rPr>
              <w:t>2022</w:t>
            </w:r>
            <w:r w:rsidRPr="00092ED7">
              <w:rPr>
                <w:rFonts w:cs="Times New Roman"/>
                <w:sz w:val="20"/>
                <w:lang w:val="sr-Cyrl-CS"/>
              </w:rPr>
              <w:t>)</w:t>
            </w:r>
          </w:p>
        </w:tc>
        <w:tc>
          <w:tcPr>
            <w:tcW w:w="1701" w:type="dxa"/>
          </w:tcPr>
          <w:p w14:paraId="36E4D623"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Циљна вредност (</w:t>
            </w:r>
            <w:r w:rsidR="00930145" w:rsidRPr="00092ED7">
              <w:rPr>
                <w:rFonts w:cs="Times New Roman"/>
                <w:sz w:val="20"/>
                <w:lang w:val="sr-Cyrl-CS"/>
              </w:rPr>
              <w:t>2023</w:t>
            </w:r>
            <w:r w:rsidRPr="00092ED7">
              <w:rPr>
                <w:rFonts w:cs="Times New Roman"/>
                <w:sz w:val="20"/>
                <w:lang w:val="sr-Cyrl-CS"/>
              </w:rPr>
              <w:t>)</w:t>
            </w:r>
          </w:p>
        </w:tc>
      </w:tr>
      <w:tr w:rsidR="00D210F0" w:rsidRPr="00092ED7" w14:paraId="7B1E5BBB" w14:textId="77777777" w:rsidTr="00AE4362">
        <w:trPr>
          <w:trHeight w:val="283"/>
        </w:trPr>
        <w:tc>
          <w:tcPr>
            <w:tcW w:w="3964" w:type="dxa"/>
          </w:tcPr>
          <w:p w14:paraId="552E3FEC" w14:textId="77777777" w:rsidR="00D210F0" w:rsidRPr="00092ED7" w:rsidRDefault="00930145" w:rsidP="005D14E2">
            <w:pPr>
              <w:spacing w:before="0" w:after="0"/>
              <w:ind w:left="113" w:right="113"/>
              <w:rPr>
                <w:sz w:val="20"/>
                <w:lang w:val="sr-Cyrl-CS"/>
              </w:rPr>
            </w:pPr>
            <w:r w:rsidRPr="00092ED7">
              <w:rPr>
                <w:rFonts w:eastAsia="Calibri" w:cs="Times New Roman"/>
                <w:sz w:val="20"/>
                <w:lang w:val="sr-Cyrl-CS"/>
              </w:rPr>
              <w:t>Успостављање базе података о ПСРС, уз обезбеђење дневног ажурирања</w:t>
            </w:r>
          </w:p>
        </w:tc>
        <w:tc>
          <w:tcPr>
            <w:tcW w:w="1701" w:type="dxa"/>
          </w:tcPr>
          <w:p w14:paraId="6A5721B0" w14:textId="77777777" w:rsidR="00D210F0" w:rsidRPr="00092ED7" w:rsidRDefault="00D210F0" w:rsidP="005D14E2">
            <w:pPr>
              <w:spacing w:before="0" w:after="0"/>
              <w:ind w:left="113" w:right="113"/>
              <w:jc w:val="center"/>
              <w:rPr>
                <w:rFonts w:eastAsia="Calibri" w:cs="Times New Roman"/>
                <w:sz w:val="20"/>
                <w:lang w:val="sr-Cyrl-CS"/>
              </w:rPr>
            </w:pPr>
            <w:r w:rsidRPr="00092ED7">
              <w:rPr>
                <w:rFonts w:eastAsia="Calibri" w:cs="Times New Roman"/>
                <w:sz w:val="20"/>
                <w:lang w:val="sr-Cyrl-CS"/>
              </w:rPr>
              <w:t>не</w:t>
            </w:r>
          </w:p>
        </w:tc>
        <w:tc>
          <w:tcPr>
            <w:tcW w:w="1701" w:type="dxa"/>
          </w:tcPr>
          <w:p w14:paraId="2BB45ECA" w14:textId="77777777" w:rsidR="00D210F0" w:rsidRPr="00092ED7" w:rsidRDefault="00D210F0" w:rsidP="005D14E2">
            <w:pPr>
              <w:spacing w:before="0" w:after="0"/>
              <w:ind w:left="113" w:right="113"/>
              <w:jc w:val="center"/>
              <w:rPr>
                <w:rFonts w:eastAsia="Calibri" w:cs="Times New Roman"/>
                <w:sz w:val="20"/>
                <w:lang w:val="sr-Cyrl-CS"/>
              </w:rPr>
            </w:pPr>
            <w:r w:rsidRPr="00092ED7">
              <w:rPr>
                <w:rFonts w:eastAsia="Calibri" w:cs="Times New Roman"/>
                <w:sz w:val="20"/>
                <w:lang w:val="sr-Cyrl-CS"/>
              </w:rPr>
              <w:t>дa</w:t>
            </w:r>
          </w:p>
        </w:tc>
        <w:tc>
          <w:tcPr>
            <w:tcW w:w="1701" w:type="dxa"/>
          </w:tcPr>
          <w:p w14:paraId="41A53CE8" w14:textId="77777777" w:rsidR="00D210F0" w:rsidRPr="00092ED7" w:rsidRDefault="00D210F0" w:rsidP="005D14E2">
            <w:pPr>
              <w:spacing w:before="0" w:after="0"/>
              <w:ind w:left="113" w:right="113"/>
              <w:jc w:val="center"/>
              <w:rPr>
                <w:rFonts w:eastAsia="Calibri" w:cs="Times New Roman"/>
                <w:sz w:val="20"/>
                <w:lang w:val="sr-Cyrl-CS"/>
              </w:rPr>
            </w:pPr>
            <w:r w:rsidRPr="00092ED7">
              <w:rPr>
                <w:rFonts w:eastAsia="Calibri" w:cs="Times New Roman"/>
                <w:sz w:val="20"/>
                <w:lang w:val="sr-Cyrl-CS"/>
              </w:rPr>
              <w:t>дa</w:t>
            </w:r>
          </w:p>
        </w:tc>
      </w:tr>
      <w:tr w:rsidR="00D210F0" w:rsidRPr="00092ED7" w14:paraId="686B6A25" w14:textId="77777777" w:rsidTr="00AE4362">
        <w:trPr>
          <w:trHeight w:val="283"/>
        </w:trPr>
        <w:tc>
          <w:tcPr>
            <w:tcW w:w="3964" w:type="dxa"/>
          </w:tcPr>
          <w:p w14:paraId="56B211C3" w14:textId="77777777" w:rsidR="00D210F0" w:rsidRPr="00092ED7" w:rsidRDefault="00930145" w:rsidP="005D14E2">
            <w:pPr>
              <w:spacing w:before="0" w:after="0"/>
              <w:ind w:left="113" w:right="113"/>
              <w:rPr>
                <w:sz w:val="20"/>
                <w:lang w:val="sr-Cyrl-CS"/>
              </w:rPr>
            </w:pPr>
            <w:r w:rsidRPr="00092ED7">
              <w:rPr>
                <w:rFonts w:eastAsia="Calibri" w:cs="Times New Roman"/>
                <w:sz w:val="20"/>
                <w:lang w:val="sr-Cyrl-CS"/>
              </w:rPr>
              <w:t>Број јавних предузећа која нису корпоратизована</w:t>
            </w:r>
          </w:p>
        </w:tc>
        <w:tc>
          <w:tcPr>
            <w:tcW w:w="1701" w:type="dxa"/>
          </w:tcPr>
          <w:p w14:paraId="0860575C" w14:textId="77777777" w:rsidR="00D210F0" w:rsidRPr="00092ED7" w:rsidRDefault="00930145" w:rsidP="005D14E2">
            <w:pPr>
              <w:spacing w:before="0" w:after="0"/>
              <w:ind w:left="113" w:right="113"/>
              <w:jc w:val="center"/>
              <w:rPr>
                <w:rFonts w:eastAsia="Calibri" w:cs="Times New Roman"/>
                <w:sz w:val="20"/>
                <w:lang w:val="sr-Cyrl-CS"/>
              </w:rPr>
            </w:pPr>
            <w:r w:rsidRPr="00092ED7">
              <w:rPr>
                <w:rFonts w:eastAsia="Calibri" w:cs="Times New Roman"/>
                <w:sz w:val="20"/>
                <w:lang w:val="sr-Cyrl-CS"/>
              </w:rPr>
              <w:t>26</w:t>
            </w:r>
          </w:p>
        </w:tc>
        <w:tc>
          <w:tcPr>
            <w:tcW w:w="1701" w:type="dxa"/>
          </w:tcPr>
          <w:p w14:paraId="73041F03" w14:textId="77777777" w:rsidR="00D210F0" w:rsidRPr="00092ED7" w:rsidRDefault="00930145" w:rsidP="005D14E2">
            <w:pPr>
              <w:spacing w:before="0" w:after="0"/>
              <w:ind w:left="113" w:right="113"/>
              <w:jc w:val="center"/>
              <w:rPr>
                <w:rFonts w:eastAsia="Calibri" w:cs="Times New Roman"/>
                <w:sz w:val="20"/>
                <w:lang w:val="sr-Cyrl-CS"/>
              </w:rPr>
            </w:pPr>
            <w:r w:rsidRPr="00092ED7">
              <w:rPr>
                <w:rFonts w:eastAsia="Calibri" w:cs="Times New Roman"/>
                <w:sz w:val="20"/>
                <w:lang w:val="sr-Cyrl-CS"/>
              </w:rPr>
              <w:t>23</w:t>
            </w:r>
          </w:p>
        </w:tc>
        <w:tc>
          <w:tcPr>
            <w:tcW w:w="1701" w:type="dxa"/>
          </w:tcPr>
          <w:p w14:paraId="0026B7F2" w14:textId="77777777" w:rsidR="00D210F0" w:rsidRPr="00092ED7" w:rsidRDefault="00930145" w:rsidP="005D14E2">
            <w:pPr>
              <w:spacing w:before="0" w:after="0"/>
              <w:ind w:left="113" w:right="113"/>
              <w:jc w:val="center"/>
              <w:rPr>
                <w:rFonts w:eastAsia="Calibri" w:cs="Times New Roman"/>
                <w:sz w:val="20"/>
                <w:lang w:val="sr-Cyrl-CS"/>
              </w:rPr>
            </w:pPr>
            <w:r w:rsidRPr="00092ED7">
              <w:rPr>
                <w:rFonts w:eastAsia="Calibri" w:cs="Times New Roman"/>
                <w:sz w:val="20"/>
                <w:lang w:val="sr-Cyrl-CS"/>
              </w:rPr>
              <w:t>20</w:t>
            </w:r>
          </w:p>
        </w:tc>
      </w:tr>
    </w:tbl>
    <w:p w14:paraId="7BD40639" w14:textId="77777777" w:rsidR="00D210F0" w:rsidRPr="00092ED7" w:rsidRDefault="00D210F0" w:rsidP="00071952">
      <w:pPr>
        <w:pStyle w:val="ListParagraph"/>
        <w:widowControl w:val="0"/>
        <w:numPr>
          <w:ilvl w:val="0"/>
          <w:numId w:val="23"/>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конкурентност</w:t>
      </w:r>
    </w:p>
    <w:p w14:paraId="0FFFBFCE"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Уједначеним правним оквиром у коме послују ПСРС ствара се основа за успостављање централизоване власничке функције државе, што ће омогућити транспарентнији систем надзора и ефикасније спровођење јавних политика</w:t>
      </w:r>
      <w:r w:rsidR="00D255A6" w:rsidRPr="00092ED7">
        <w:rPr>
          <w:rFonts w:eastAsia="Calibri" w:cs="Times New Roman"/>
          <w:szCs w:val="24"/>
          <w:lang w:val="sr-Cyrl-CS" w:eastAsia="sr-Cyrl-CS" w:bidi="sr-Cyrl-CS"/>
        </w:rPr>
        <w:t>, као и смањење фискалних ризика</w:t>
      </w:r>
      <w:r w:rsidRPr="00092ED7">
        <w:rPr>
          <w:rFonts w:eastAsia="Calibri" w:cs="Times New Roman"/>
          <w:szCs w:val="24"/>
          <w:lang w:val="sr-Cyrl-CS" w:eastAsia="sr-Cyrl-CS" w:bidi="sr-Cyrl-CS"/>
        </w:rPr>
        <w:t xml:space="preserve">. </w:t>
      </w:r>
    </w:p>
    <w:p w14:paraId="616E087E"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Обзиром на број ПСРС, дигитализација праћења и извештавања о пословању ПСРС ће смањити информациону асиметрију између централног власничког тела и управе, чиме се појачава мониторинг, олакшава процес привлачења капитала, доприноси јачању поверења у финансијски систем.</w:t>
      </w:r>
    </w:p>
    <w:p w14:paraId="5548AEA0" w14:textId="77777777" w:rsidR="00D210F0" w:rsidRPr="00092ED7" w:rsidRDefault="00D210F0" w:rsidP="00071952">
      <w:pPr>
        <w:widowControl w:val="0"/>
        <w:numPr>
          <w:ilvl w:val="0"/>
          <w:numId w:val="23"/>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60601CB2" w14:textId="77777777" w:rsidR="004A32FF" w:rsidRPr="00092ED7" w:rsidRDefault="004A32FF" w:rsidP="004A32FF">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За спровођење ове структурне реформе нису потребна додатна средства из буџета Републике Србије.</w:t>
      </w:r>
    </w:p>
    <w:p w14:paraId="6239BA12" w14:textId="4F06E264" w:rsidR="004A32FF" w:rsidRPr="00092ED7" w:rsidRDefault="004A32FF"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У оквиру Пројекта „Реформа локалних јавних финансија II</w:t>
      </w:r>
      <w:r w:rsidR="005B7265" w:rsidRPr="00092ED7">
        <w:rPr>
          <w:rFonts w:cs="Times New Roman"/>
          <w:szCs w:val="24"/>
          <w:lang w:val="sr-Cyrl-CS"/>
        </w:rPr>
        <w:t>”</w:t>
      </w:r>
      <w:r w:rsidRPr="00092ED7">
        <w:rPr>
          <w:rFonts w:eastAsia="Calibri" w:cs="Times New Roman"/>
          <w:szCs w:val="24"/>
          <w:lang w:val="sr-Cyrl-CS" w:eastAsia="sr-Cyrl-CS" w:bidi="sr-Cyrl-CS"/>
        </w:rPr>
        <w:t xml:space="preserve"> (RELOF 2) који подржава Влада Швајцарске</w:t>
      </w:r>
      <w:r w:rsidR="00DE4389" w:rsidRPr="00092ED7">
        <w:rPr>
          <w:rFonts w:eastAsia="Calibri" w:cs="Times New Roman"/>
          <w:szCs w:val="24"/>
          <w:lang w:val="sr-Cyrl-CS" w:eastAsia="sr-Cyrl-CS" w:bidi="sr-Cyrl-CS"/>
        </w:rPr>
        <w:t xml:space="preserve"> Конфедерације</w:t>
      </w:r>
      <w:r w:rsidRPr="00092ED7">
        <w:rPr>
          <w:rFonts w:eastAsia="Calibri" w:cs="Times New Roman"/>
          <w:szCs w:val="24"/>
          <w:lang w:val="sr-Cyrl-CS" w:eastAsia="sr-Cyrl-CS" w:bidi="sr-Cyrl-CS"/>
        </w:rPr>
        <w:t>, потписан је Уговор о донацији Информационе платформе, у износу од 69.080 CHF, односно 68.504 евра, којим ће се спроводити мера дигитализације проц</w:t>
      </w:r>
      <w:r w:rsidR="00C25CB3" w:rsidRPr="00092ED7">
        <w:rPr>
          <w:rFonts w:eastAsia="Calibri" w:cs="Times New Roman"/>
          <w:szCs w:val="24"/>
          <w:lang w:val="sr-Cyrl-CS" w:eastAsia="sr-Cyrl-CS" w:bidi="sr-Cyrl-CS"/>
        </w:rPr>
        <w:t>еса надзора и извештавања ПСРС.</w:t>
      </w:r>
    </w:p>
    <w:p w14:paraId="5BA42379" w14:textId="77777777" w:rsidR="00D210F0" w:rsidRPr="00092ED7" w:rsidRDefault="00D210F0" w:rsidP="00071952">
      <w:pPr>
        <w:widowControl w:val="0"/>
        <w:numPr>
          <w:ilvl w:val="0"/>
          <w:numId w:val="23"/>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42F1B81E"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Транспарентнији систем надзора над ПСРС доприноси ефикаснијем спровођењу јавних политика, а самим тим, побољшању конкурентности привреде и порасту животног стандарда. Предложена реформа је неутрална у односу на родну равноправност.</w:t>
      </w:r>
    </w:p>
    <w:p w14:paraId="4E312499" w14:textId="77777777" w:rsidR="00D210F0" w:rsidRPr="00092ED7" w:rsidRDefault="00D210F0" w:rsidP="00071952">
      <w:pPr>
        <w:widowControl w:val="0"/>
        <w:numPr>
          <w:ilvl w:val="0"/>
          <w:numId w:val="23"/>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4E55E948" w14:textId="431E1C2A" w:rsidR="00D210F0" w:rsidRDefault="00D210F0" w:rsidP="00D210F0">
      <w:pPr>
        <w:widowControl w:val="0"/>
        <w:spacing w:after="60"/>
        <w:rPr>
          <w:rFonts w:cs="Times New Roman"/>
          <w:lang w:val="sr-Cyrl-CS"/>
        </w:rPr>
      </w:pPr>
      <w:r w:rsidRPr="00092ED7">
        <w:rPr>
          <w:rFonts w:cs="Times New Roman"/>
          <w:lang w:val="sr-Cyrl-CS"/>
        </w:rPr>
        <w:t>Предложена реформа је неутрална у односу на животну средину и климатске промене.</w:t>
      </w:r>
    </w:p>
    <w:p w14:paraId="752B3D63" w14:textId="77777777" w:rsidR="00DB0B7B" w:rsidRPr="00092ED7" w:rsidRDefault="00DB0B7B" w:rsidP="00D210F0">
      <w:pPr>
        <w:widowControl w:val="0"/>
        <w:spacing w:after="60"/>
        <w:rPr>
          <w:rFonts w:eastAsia="Calibri" w:cs="Times New Roman"/>
          <w:b/>
          <w:szCs w:val="24"/>
          <w:lang w:val="sr-Cyrl-CS" w:eastAsia="sr-Cyrl-CS" w:bidi="sr-Cyrl-CS"/>
        </w:rPr>
      </w:pPr>
    </w:p>
    <w:p w14:paraId="50E357FB" w14:textId="77777777" w:rsidR="00D210F0" w:rsidRPr="00092ED7" w:rsidRDefault="00D210F0" w:rsidP="00071952">
      <w:pPr>
        <w:widowControl w:val="0"/>
        <w:numPr>
          <w:ilvl w:val="0"/>
          <w:numId w:val="23"/>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067" w:type="dxa"/>
        <w:tblLayout w:type="fixed"/>
        <w:tblLook w:val="04A0" w:firstRow="1" w:lastRow="0" w:firstColumn="1" w:lastColumn="0" w:noHBand="0" w:noVBand="1"/>
      </w:tblPr>
      <w:tblGrid>
        <w:gridCol w:w="3685"/>
        <w:gridCol w:w="2098"/>
        <w:gridCol w:w="3284"/>
      </w:tblGrid>
      <w:tr w:rsidR="00D210F0" w:rsidRPr="00092ED7" w14:paraId="5149C1AE" w14:textId="77777777" w:rsidTr="00AE4362">
        <w:trPr>
          <w:cnfStyle w:val="100000000000" w:firstRow="1" w:lastRow="0" w:firstColumn="0" w:lastColumn="0" w:oddVBand="0" w:evenVBand="0" w:oddHBand="0" w:evenHBand="0" w:firstRowFirstColumn="0" w:firstRowLastColumn="0" w:lastRowFirstColumn="0" w:lastRowLastColumn="0"/>
        </w:trPr>
        <w:tc>
          <w:tcPr>
            <w:tcW w:w="3685" w:type="dxa"/>
          </w:tcPr>
          <w:p w14:paraId="3CB31672" w14:textId="77777777" w:rsidR="00D210F0" w:rsidRPr="00092ED7" w:rsidRDefault="00D210F0" w:rsidP="00AE4362">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2098" w:type="dxa"/>
          </w:tcPr>
          <w:p w14:paraId="3D70DA39" w14:textId="77777777" w:rsidR="00D210F0" w:rsidRPr="00092ED7" w:rsidRDefault="00D210F0" w:rsidP="00AE4362">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284" w:type="dxa"/>
          </w:tcPr>
          <w:p w14:paraId="2D708923" w14:textId="77777777" w:rsidR="00D210F0" w:rsidRPr="00092ED7" w:rsidRDefault="00D210F0" w:rsidP="00AE4362">
            <w:pPr>
              <w:spacing w:before="0" w:after="0"/>
              <w:ind w:left="113" w:right="113"/>
              <w:jc w:val="center"/>
              <w:rPr>
                <w:rFonts w:cs="Times New Roman"/>
                <w:b w:val="0"/>
                <w:sz w:val="20"/>
                <w:lang w:val="sr-Cyrl-CS"/>
              </w:rPr>
            </w:pPr>
            <w:r w:rsidRPr="00092ED7">
              <w:rPr>
                <w:rFonts w:cs="Times New Roman"/>
                <w:sz w:val="20"/>
                <w:lang w:val="sr-Cyrl-CS"/>
              </w:rPr>
              <w:t>Планиране активности за ублажавање негативних ефеката ризика</w:t>
            </w:r>
          </w:p>
        </w:tc>
      </w:tr>
      <w:tr w:rsidR="00D210F0" w:rsidRPr="00092ED7" w14:paraId="5CCD5C5C" w14:textId="77777777" w:rsidTr="000003B8">
        <w:tc>
          <w:tcPr>
            <w:tcW w:w="3685" w:type="dxa"/>
          </w:tcPr>
          <w:p w14:paraId="1598125F" w14:textId="77777777" w:rsidR="00D210F0" w:rsidRPr="00092ED7" w:rsidRDefault="00D210F0" w:rsidP="00AE4362">
            <w:pPr>
              <w:spacing w:before="0" w:after="0"/>
              <w:ind w:left="113" w:right="113"/>
              <w:rPr>
                <w:rFonts w:cs="Times New Roman"/>
                <w:sz w:val="20"/>
                <w:lang w:val="sr-Cyrl-CS"/>
              </w:rPr>
            </w:pPr>
            <w:r w:rsidRPr="00092ED7">
              <w:rPr>
                <w:rFonts w:cs="Times New Roman"/>
                <w:sz w:val="20"/>
                <w:lang w:val="sr-Cyrl-CS"/>
              </w:rPr>
              <w:t>Изазови у примени новог правног оквира услед постојеће неуједначености и обухвата правног оквира који уређује функционисање ПСРС.</w:t>
            </w:r>
          </w:p>
        </w:tc>
        <w:tc>
          <w:tcPr>
            <w:tcW w:w="2098" w:type="dxa"/>
            <w:vAlign w:val="top"/>
          </w:tcPr>
          <w:p w14:paraId="0605780B" w14:textId="77777777" w:rsidR="00D210F0" w:rsidRPr="00092ED7" w:rsidRDefault="00D210F0" w:rsidP="000003B8">
            <w:pPr>
              <w:spacing w:before="0" w:after="0"/>
              <w:ind w:left="113" w:right="113"/>
              <w:jc w:val="center"/>
              <w:rPr>
                <w:sz w:val="20"/>
                <w:lang w:val="sr-Cyrl-CS"/>
              </w:rPr>
            </w:pPr>
            <w:r w:rsidRPr="00092ED7">
              <w:rPr>
                <w:rFonts w:cs="Times New Roman"/>
                <w:sz w:val="20"/>
                <w:lang w:val="sr-Cyrl-CS"/>
              </w:rPr>
              <w:t>Висока</w:t>
            </w:r>
          </w:p>
        </w:tc>
        <w:tc>
          <w:tcPr>
            <w:tcW w:w="3284" w:type="dxa"/>
            <w:vAlign w:val="top"/>
          </w:tcPr>
          <w:p w14:paraId="1ADAF3F2" w14:textId="77777777" w:rsidR="00D210F0" w:rsidRPr="00092ED7" w:rsidRDefault="00D210F0" w:rsidP="000003B8">
            <w:pPr>
              <w:spacing w:before="0" w:after="0"/>
              <w:ind w:left="113" w:right="113"/>
              <w:rPr>
                <w:sz w:val="20"/>
                <w:lang w:val="sr-Cyrl-CS"/>
              </w:rPr>
            </w:pPr>
            <w:r w:rsidRPr="00092ED7">
              <w:rPr>
                <w:rFonts w:cs="Times New Roman"/>
                <w:sz w:val="20"/>
                <w:lang w:val="sr-Cyrl-CS"/>
              </w:rPr>
              <w:t>Сарадња са надлежним министарствима и органима</w:t>
            </w:r>
            <w:r w:rsidR="00D47BD8" w:rsidRPr="00092ED7">
              <w:rPr>
                <w:rFonts w:cs="Times New Roman"/>
                <w:sz w:val="20"/>
                <w:lang w:val="sr-Cyrl-CS"/>
              </w:rPr>
              <w:t>.</w:t>
            </w:r>
          </w:p>
        </w:tc>
      </w:tr>
      <w:tr w:rsidR="00D210F0" w:rsidRPr="00092ED7" w14:paraId="31CEFDF0" w14:textId="77777777" w:rsidTr="000003B8">
        <w:tc>
          <w:tcPr>
            <w:tcW w:w="3685" w:type="dxa"/>
          </w:tcPr>
          <w:p w14:paraId="4D5D2045" w14:textId="77777777" w:rsidR="00D210F0" w:rsidRPr="00092ED7" w:rsidRDefault="00D210F0" w:rsidP="00AE4362">
            <w:pPr>
              <w:spacing w:before="0" w:after="0"/>
              <w:ind w:left="113" w:right="113"/>
              <w:rPr>
                <w:sz w:val="20"/>
                <w:lang w:val="sr-Cyrl-CS"/>
              </w:rPr>
            </w:pPr>
            <w:r w:rsidRPr="00092ED7">
              <w:rPr>
                <w:rFonts w:cs="Times New Roman"/>
                <w:sz w:val="20"/>
                <w:lang w:val="sr-Cyrl-CS"/>
              </w:rPr>
              <w:t>Техничка ограничења у дигитализованом праћењу и извештавању ПСРС</w:t>
            </w:r>
          </w:p>
        </w:tc>
        <w:tc>
          <w:tcPr>
            <w:tcW w:w="2098" w:type="dxa"/>
            <w:vAlign w:val="top"/>
          </w:tcPr>
          <w:p w14:paraId="08ABD1A9" w14:textId="77777777" w:rsidR="00D210F0" w:rsidRPr="00092ED7" w:rsidRDefault="00D210F0" w:rsidP="000003B8">
            <w:pPr>
              <w:spacing w:before="0" w:after="0"/>
              <w:ind w:left="113" w:right="113"/>
              <w:jc w:val="center"/>
              <w:rPr>
                <w:sz w:val="20"/>
                <w:lang w:val="sr-Cyrl-CS"/>
              </w:rPr>
            </w:pPr>
            <w:r w:rsidRPr="00092ED7">
              <w:rPr>
                <w:rFonts w:cs="Times New Roman"/>
                <w:sz w:val="20"/>
                <w:lang w:val="sr-Cyrl-CS"/>
              </w:rPr>
              <w:t>Средња</w:t>
            </w:r>
          </w:p>
        </w:tc>
        <w:tc>
          <w:tcPr>
            <w:tcW w:w="3284" w:type="dxa"/>
            <w:vAlign w:val="top"/>
          </w:tcPr>
          <w:p w14:paraId="4296E4A9" w14:textId="77777777" w:rsidR="00D210F0" w:rsidRPr="00092ED7" w:rsidRDefault="00D210F0" w:rsidP="000003B8">
            <w:pPr>
              <w:spacing w:before="0" w:after="0"/>
              <w:ind w:left="113" w:right="113"/>
              <w:rPr>
                <w:rFonts w:cs="Times New Roman"/>
                <w:sz w:val="20"/>
                <w:lang w:val="sr-Cyrl-CS"/>
              </w:rPr>
            </w:pPr>
            <w:r w:rsidRPr="00092ED7">
              <w:rPr>
                <w:rFonts w:cs="Times New Roman"/>
                <w:sz w:val="20"/>
                <w:lang w:val="sr-Cyrl-CS"/>
              </w:rPr>
              <w:t>Сарадња са ИТ стручњацима</w:t>
            </w:r>
            <w:r w:rsidR="00D47BD8" w:rsidRPr="00092ED7">
              <w:rPr>
                <w:rFonts w:cs="Times New Roman"/>
                <w:sz w:val="20"/>
                <w:lang w:val="sr-Cyrl-CS"/>
              </w:rPr>
              <w:t>.</w:t>
            </w:r>
          </w:p>
        </w:tc>
      </w:tr>
      <w:tr w:rsidR="00D210F0" w:rsidRPr="00092ED7" w14:paraId="55B15051" w14:textId="77777777" w:rsidTr="000003B8">
        <w:tc>
          <w:tcPr>
            <w:tcW w:w="3685" w:type="dxa"/>
          </w:tcPr>
          <w:p w14:paraId="6CF0B228" w14:textId="77777777" w:rsidR="00D210F0" w:rsidRPr="00092ED7" w:rsidRDefault="00D210F0" w:rsidP="00AE4362">
            <w:pPr>
              <w:spacing w:before="0" w:after="0"/>
              <w:ind w:left="113" w:right="113"/>
              <w:rPr>
                <w:sz w:val="20"/>
                <w:lang w:val="sr-Cyrl-CS"/>
              </w:rPr>
            </w:pPr>
            <w:r w:rsidRPr="00092ED7">
              <w:rPr>
                <w:rFonts w:cs="Times New Roman"/>
                <w:sz w:val="20"/>
                <w:lang w:val="sr-Cyrl-CS"/>
              </w:rPr>
              <w:t>Капацитет и расположивост ресурса у ПСРС неопходних за успостављање јединственог система корпоративног управљања</w:t>
            </w:r>
          </w:p>
        </w:tc>
        <w:tc>
          <w:tcPr>
            <w:tcW w:w="2098" w:type="dxa"/>
            <w:vAlign w:val="top"/>
          </w:tcPr>
          <w:p w14:paraId="68EF9DCB" w14:textId="77777777" w:rsidR="00D210F0" w:rsidRPr="00092ED7" w:rsidRDefault="00D210F0" w:rsidP="000003B8">
            <w:pPr>
              <w:spacing w:before="0" w:after="0"/>
              <w:ind w:left="113" w:right="113"/>
              <w:jc w:val="center"/>
              <w:rPr>
                <w:rFonts w:cs="Times New Roman"/>
                <w:sz w:val="20"/>
                <w:lang w:val="sr-Cyrl-CS"/>
              </w:rPr>
            </w:pPr>
            <w:r w:rsidRPr="00092ED7">
              <w:rPr>
                <w:rFonts w:cs="Times New Roman"/>
                <w:sz w:val="20"/>
                <w:lang w:val="sr-Cyrl-CS"/>
              </w:rPr>
              <w:t>Средња</w:t>
            </w:r>
          </w:p>
        </w:tc>
        <w:tc>
          <w:tcPr>
            <w:tcW w:w="3284" w:type="dxa"/>
            <w:vAlign w:val="top"/>
          </w:tcPr>
          <w:p w14:paraId="4B8558ED" w14:textId="77777777" w:rsidR="00D210F0" w:rsidRPr="00092ED7" w:rsidRDefault="00D210F0" w:rsidP="000003B8">
            <w:pPr>
              <w:spacing w:before="0" w:after="0"/>
              <w:ind w:left="113" w:right="113"/>
              <w:rPr>
                <w:sz w:val="20"/>
                <w:lang w:val="sr-Cyrl-CS"/>
              </w:rPr>
            </w:pPr>
            <w:r w:rsidRPr="00092ED7">
              <w:rPr>
                <w:rFonts w:cs="Times New Roman"/>
                <w:sz w:val="20"/>
                <w:lang w:val="sr-Cyrl-CS"/>
              </w:rPr>
              <w:t>Успостављање система усавршавања из области корпоративног управљања органа управљања ПСРС.</w:t>
            </w:r>
          </w:p>
        </w:tc>
      </w:tr>
    </w:tbl>
    <w:p w14:paraId="0E631390" w14:textId="77777777" w:rsidR="00D210F0" w:rsidRPr="00092ED7" w:rsidRDefault="00D210F0" w:rsidP="00D210F0">
      <w:pPr>
        <w:spacing w:before="120"/>
        <w:rPr>
          <w:rFonts w:eastAsia="Calibri" w:cs="Times New Roman"/>
          <w:szCs w:val="24"/>
          <w:lang w:val="sr-Cyrl-CS"/>
        </w:rPr>
      </w:pPr>
      <w:r w:rsidRPr="00092ED7">
        <w:rPr>
          <w:rFonts w:eastAsia="Calibri" w:cs="Times New Roman"/>
          <w:b/>
          <w:szCs w:val="24"/>
          <w:u w:val="single"/>
          <w:lang w:val="sr-Cyrl-CS"/>
        </w:rPr>
        <w:t>СТРУКТУРНА РЕФОРМА 7</w:t>
      </w:r>
      <w:r w:rsidRPr="00092ED7">
        <w:rPr>
          <w:rFonts w:eastAsia="Calibri" w:cs="Times New Roman"/>
          <w:b/>
          <w:szCs w:val="24"/>
          <w:lang w:val="sr-Cyrl-CS"/>
        </w:rPr>
        <w:t>:</w:t>
      </w:r>
      <w:r w:rsidRPr="00092ED7">
        <w:rPr>
          <w:rFonts w:eastAsia="Calibri" w:cs="Times New Roman"/>
          <w:szCs w:val="24"/>
          <w:lang w:val="sr-Cyrl-CS"/>
        </w:rPr>
        <w:t xml:space="preserve"> РАЗВОЈ ДОМАЋЕГ ТРЖИШТА КАПИТАЛА И ОБЕЗБЕЂИВАЊЕ ВЕЋЕГ СТЕПЕНА ЗАШТИТЕ ИНВЕСТИТОРА</w:t>
      </w:r>
    </w:p>
    <w:p w14:paraId="09F23084" w14:textId="77777777" w:rsidR="00D210F0" w:rsidRPr="00092ED7" w:rsidRDefault="00D210F0" w:rsidP="00071952">
      <w:pPr>
        <w:pStyle w:val="ListParagraph"/>
        <w:widowControl w:val="0"/>
        <w:numPr>
          <w:ilvl w:val="0"/>
          <w:numId w:val="24"/>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2B3BEA15" w14:textId="27CAD87B" w:rsidR="00D210F0" w:rsidRPr="00092ED7" w:rsidRDefault="00D210F0" w:rsidP="005D14E2">
      <w:pPr>
        <w:pStyle w:val="Default"/>
        <w:widowControl w:val="0"/>
        <w:autoSpaceDE/>
        <w:autoSpaceDN/>
        <w:adjustRightInd/>
        <w:spacing w:after="60"/>
        <w:rPr>
          <w:rFonts w:ascii="Times New Roman" w:hAnsi="Times New Roman" w:cs="Times New Roman"/>
          <w:szCs w:val="22"/>
          <w:lang w:val="sr-Cyrl-CS"/>
        </w:rPr>
      </w:pPr>
      <w:r w:rsidRPr="00092ED7">
        <w:rPr>
          <w:rFonts w:ascii="Times New Roman" w:hAnsi="Times New Roman" w:cs="Times New Roman"/>
          <w:szCs w:val="22"/>
          <w:lang w:val="sr-Cyrl-CS"/>
        </w:rPr>
        <w:t>У циљу јачања тржишта капитала, побољшања пословног окружења и пружања подршке приватном сектору, предметном структурном реформом допринеће се развоју конкурентног, високо ефикасног, транспарентног и продуктивног националног тржишта капитала са широким спектром финансијских инструмената и услуга, које ће бити упоредиво са водећим регионалним и европским финансијским тржиштима. Циљ ове структурн</w:t>
      </w:r>
      <w:r w:rsidR="00DE4389" w:rsidRPr="00092ED7">
        <w:rPr>
          <w:rFonts w:ascii="Times New Roman" w:hAnsi="Times New Roman" w:cs="Times New Roman"/>
          <w:szCs w:val="22"/>
          <w:lang w:val="sr-Cyrl-CS"/>
        </w:rPr>
        <w:t>е</w:t>
      </w:r>
      <w:r w:rsidRPr="00092ED7">
        <w:rPr>
          <w:rFonts w:ascii="Times New Roman" w:hAnsi="Times New Roman" w:cs="Times New Roman"/>
          <w:szCs w:val="22"/>
          <w:lang w:val="sr-Cyrl-CS"/>
        </w:rPr>
        <w:t xml:space="preserve"> реформе је развој финансијских института на тржишту капитала, повећање атрактивности домаћег тржишта за домаће и стране инвеститоре и активирање тржишта капитала у функцији економског раста, запошљавања и квалитетнијег живота грађана. Повећањем транспарентности и квалитета финансијских инструмената вратиће се поверење инвеститора у тржиште, што ће последично позитивно утицати на повећање броја учесника на домаћем тржишту и на одржив економски раст. </w:t>
      </w:r>
    </w:p>
    <w:p w14:paraId="348FEEF6" w14:textId="0E80AD4E" w:rsidR="00D210F0" w:rsidRPr="00092ED7" w:rsidRDefault="00D210F0" w:rsidP="00B640AF">
      <w:pPr>
        <w:rPr>
          <w:rFonts w:cs="Times New Roman"/>
          <w:lang w:val="sr-Cyrl-CS"/>
        </w:rPr>
      </w:pPr>
      <w:r w:rsidRPr="00092ED7">
        <w:rPr>
          <w:rFonts w:cs="Times New Roman"/>
          <w:lang w:val="sr-Cyrl-CS"/>
        </w:rPr>
        <w:t xml:space="preserve">У децембру 2021. године донет је нови </w:t>
      </w:r>
      <w:r w:rsidRPr="00092ED7">
        <w:rPr>
          <w:rFonts w:cs="Times New Roman"/>
          <w:i/>
          <w:lang w:val="sr-Cyrl-CS"/>
        </w:rPr>
        <w:t>Закон о тржишту капитала</w:t>
      </w:r>
      <w:r w:rsidRPr="00092ED7">
        <w:rPr>
          <w:rFonts w:cs="Times New Roman"/>
          <w:lang w:val="sr-Cyrl-CS"/>
        </w:rPr>
        <w:t xml:space="preserve">. Даље усклађивање са правним тековинама ЕУ Министарство финансија ће наставити у сарадњи са релевантним институцијама из области тржишта капитала, кроз припрему новог закона о преузимању акционарских друштава. Овај закон ће уређивати услове и поступак за преузимање акционарских друштава чије је седиште у Републици Србији, права и обавезе учесника у поступку преузимања и надзор над спровођењем поступка преузимања. </w:t>
      </w:r>
    </w:p>
    <w:p w14:paraId="10CF2A36" w14:textId="77777777" w:rsidR="00D210F0" w:rsidRPr="00092ED7" w:rsidRDefault="00D210F0" w:rsidP="00071952">
      <w:pPr>
        <w:widowControl w:val="0"/>
        <w:numPr>
          <w:ilvl w:val="0"/>
          <w:numId w:val="24"/>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540"/>
        <w:gridCol w:w="4128"/>
        <w:gridCol w:w="372"/>
        <w:gridCol w:w="373"/>
        <w:gridCol w:w="372"/>
        <w:gridCol w:w="373"/>
        <w:gridCol w:w="372"/>
        <w:gridCol w:w="373"/>
        <w:gridCol w:w="373"/>
        <w:gridCol w:w="372"/>
        <w:gridCol w:w="373"/>
        <w:gridCol w:w="372"/>
        <w:gridCol w:w="373"/>
        <w:gridCol w:w="373"/>
      </w:tblGrid>
      <w:tr w:rsidR="00D210F0" w:rsidRPr="00092ED7" w14:paraId="2560CC73" w14:textId="77777777" w:rsidTr="00AE4362">
        <w:trPr>
          <w:trHeight w:val="315"/>
        </w:trPr>
        <w:tc>
          <w:tcPr>
            <w:tcW w:w="540"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76932119"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РБ</w:t>
            </w:r>
          </w:p>
        </w:tc>
        <w:tc>
          <w:tcPr>
            <w:tcW w:w="4128"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0569A0DD" w14:textId="77777777" w:rsidR="00D210F0" w:rsidRPr="00092ED7" w:rsidRDefault="00D210F0" w:rsidP="00D210F0">
            <w:pPr>
              <w:spacing w:after="0"/>
              <w:jc w:val="left"/>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04CFD9A"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64A9C314"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5FADB0B4"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678AC9EB" w14:textId="77777777" w:rsidTr="00AE4362">
        <w:trPr>
          <w:trHeight w:val="315"/>
        </w:trPr>
        <w:tc>
          <w:tcPr>
            <w:tcW w:w="540" w:type="dxa"/>
            <w:vMerge/>
            <w:tcBorders>
              <w:left w:val="single" w:sz="8" w:space="0" w:color="auto"/>
              <w:bottom w:val="single" w:sz="8" w:space="0" w:color="000000"/>
              <w:right w:val="nil"/>
            </w:tcBorders>
            <w:shd w:val="clear" w:color="000000" w:fill="BDD6EE"/>
            <w:vAlign w:val="center"/>
            <w:hideMark/>
          </w:tcPr>
          <w:p w14:paraId="0D901034" w14:textId="77777777" w:rsidR="00D210F0" w:rsidRPr="00092ED7" w:rsidRDefault="00D210F0" w:rsidP="00D210F0">
            <w:pPr>
              <w:spacing w:after="0"/>
              <w:jc w:val="center"/>
              <w:rPr>
                <w:rFonts w:cs="Times New Roman"/>
                <w:b/>
                <w:bCs/>
                <w:color w:val="000000"/>
                <w:sz w:val="20"/>
                <w:szCs w:val="20"/>
                <w:lang w:val="sr-Cyrl-CS"/>
              </w:rPr>
            </w:pPr>
          </w:p>
        </w:tc>
        <w:tc>
          <w:tcPr>
            <w:tcW w:w="4128"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6ACA45BF" w14:textId="77777777" w:rsidR="00D210F0" w:rsidRPr="00092ED7" w:rsidRDefault="00D210F0" w:rsidP="00D210F0">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CE2ACB1"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F07E95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D8F0C0F"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73CEA5C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9BA3608"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7B7A50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B43BCE3"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0B2302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EEDF9E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A999D9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23F6EF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68FD928"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3ACA96FE" w14:textId="77777777" w:rsidTr="00AE4362">
        <w:trPr>
          <w:trHeight w:val="300"/>
        </w:trPr>
        <w:tc>
          <w:tcPr>
            <w:tcW w:w="540"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52712CEA"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1.</w:t>
            </w:r>
          </w:p>
        </w:tc>
        <w:tc>
          <w:tcPr>
            <w:tcW w:w="4128"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5AD4E01A" w14:textId="77777777" w:rsidR="00D210F0" w:rsidRPr="00092ED7" w:rsidRDefault="00D210F0" w:rsidP="00D210F0">
            <w:pPr>
              <w:spacing w:after="0"/>
              <w:jc w:val="left"/>
              <w:rPr>
                <w:rFonts w:cs="Times New Roman"/>
                <w:sz w:val="20"/>
                <w:szCs w:val="20"/>
                <w:lang w:val="sr-Cyrl-CS"/>
              </w:rPr>
            </w:pPr>
            <w:r w:rsidRPr="00092ED7">
              <w:rPr>
                <w:rFonts w:cs="Times New Roman"/>
                <w:sz w:val="20"/>
                <w:szCs w:val="20"/>
                <w:lang w:val="sr-Cyrl-CS"/>
              </w:rPr>
              <w:t>Доношење Закона о преузимању акционарских друштава</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3A63025" w14:textId="77777777" w:rsidR="00D210F0" w:rsidRPr="00092ED7" w:rsidRDefault="00D210F0" w:rsidP="00D210F0">
            <w:pPr>
              <w:spacing w:after="0"/>
              <w:rPr>
                <w:rFonts w:cs="Times New Roman"/>
                <w:color w:val="000000"/>
                <w:sz w:val="20"/>
                <w:szCs w:val="20"/>
                <w:highlight w:val="darkGray"/>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991C819" w14:textId="77777777" w:rsidR="00D210F0" w:rsidRPr="00092ED7" w:rsidRDefault="00D210F0" w:rsidP="00D210F0">
            <w:pPr>
              <w:spacing w:after="0"/>
              <w:rPr>
                <w:rFonts w:cs="Times New Roman"/>
                <w:color w:val="000000"/>
                <w:sz w:val="20"/>
                <w:szCs w:val="20"/>
                <w:highlight w:val="darkGray"/>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8B61397"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C1A5DA6"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A878251"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B9F558A"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AA14921"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287F4118"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34F101D9"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CE0AA4A"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1F1A528"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5E59EC49" w14:textId="77777777" w:rsidR="00D210F0" w:rsidRPr="00092ED7" w:rsidRDefault="00D210F0" w:rsidP="00D210F0">
            <w:pPr>
              <w:spacing w:after="0"/>
              <w:rPr>
                <w:rFonts w:cs="Times New Roman"/>
                <w:color w:val="000000"/>
                <w:sz w:val="20"/>
                <w:szCs w:val="20"/>
                <w:lang w:val="sr-Cyrl-CS"/>
              </w:rPr>
            </w:pPr>
          </w:p>
        </w:tc>
      </w:tr>
      <w:tr w:rsidR="00D210F0" w:rsidRPr="00092ED7" w14:paraId="42C9BA07" w14:textId="77777777" w:rsidTr="00AE4362">
        <w:trPr>
          <w:trHeight w:val="300"/>
        </w:trPr>
        <w:tc>
          <w:tcPr>
            <w:tcW w:w="540"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090F6C63"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2.</w:t>
            </w:r>
          </w:p>
        </w:tc>
        <w:tc>
          <w:tcPr>
            <w:tcW w:w="412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2FBDCAD6" w14:textId="77777777" w:rsidR="00D210F0" w:rsidRPr="00092ED7" w:rsidRDefault="00D210F0" w:rsidP="00D210F0">
            <w:pPr>
              <w:spacing w:after="0"/>
              <w:jc w:val="left"/>
              <w:rPr>
                <w:rFonts w:cs="Times New Roman"/>
                <w:sz w:val="20"/>
                <w:szCs w:val="20"/>
                <w:lang w:val="sr-Cyrl-CS"/>
              </w:rPr>
            </w:pPr>
            <w:r w:rsidRPr="00092ED7">
              <w:rPr>
                <w:rFonts w:cs="Times New Roman"/>
                <w:sz w:val="20"/>
                <w:szCs w:val="20"/>
                <w:lang w:val="sr-Cyrl-CS"/>
              </w:rPr>
              <w:t>Јачање институционалних капацитета за обављање нормативних послова у области тржишта капитала</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F1B486A"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4B5C7B9"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CBBED67"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08F8985"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D9B8BF5"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3550B46"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09E4B08"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3B13A23"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1102E74"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4D2D488"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7304EAF"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63475661" w14:textId="77777777" w:rsidR="00D210F0" w:rsidRPr="00092ED7" w:rsidRDefault="00D210F0" w:rsidP="00D210F0">
            <w:pPr>
              <w:spacing w:after="0"/>
              <w:rPr>
                <w:rFonts w:cs="Times New Roman"/>
                <w:color w:val="000000"/>
                <w:sz w:val="20"/>
                <w:szCs w:val="20"/>
                <w:lang w:val="sr-Cyrl-CS"/>
              </w:rPr>
            </w:pPr>
          </w:p>
        </w:tc>
      </w:tr>
    </w:tbl>
    <w:p w14:paraId="0406E556" w14:textId="77777777" w:rsidR="00DB0B7B" w:rsidRDefault="00DB0B7B" w:rsidP="00DB0B7B">
      <w:pPr>
        <w:widowControl w:val="0"/>
        <w:spacing w:before="120"/>
        <w:ind w:left="425"/>
        <w:rPr>
          <w:rFonts w:eastAsia="Calibri" w:cs="Times New Roman"/>
          <w:b/>
          <w:szCs w:val="24"/>
          <w:lang w:val="sr-Cyrl-CS" w:eastAsia="sr-Cyrl-CS" w:bidi="sr-Cyrl-CS"/>
        </w:rPr>
      </w:pPr>
    </w:p>
    <w:p w14:paraId="5CFBBAF4" w14:textId="77777777" w:rsidR="00DB0B7B" w:rsidRDefault="00DB0B7B" w:rsidP="00DB0B7B">
      <w:pPr>
        <w:widowControl w:val="0"/>
        <w:spacing w:before="120"/>
        <w:ind w:left="425"/>
        <w:rPr>
          <w:rFonts w:eastAsia="Calibri" w:cs="Times New Roman"/>
          <w:b/>
          <w:szCs w:val="24"/>
          <w:lang w:val="sr-Cyrl-CS" w:eastAsia="sr-Cyrl-CS" w:bidi="sr-Cyrl-CS"/>
        </w:rPr>
      </w:pPr>
    </w:p>
    <w:p w14:paraId="713EB26E" w14:textId="77777777" w:rsidR="00DB0B7B" w:rsidRDefault="00DB0B7B" w:rsidP="00DB0B7B">
      <w:pPr>
        <w:widowControl w:val="0"/>
        <w:spacing w:before="120"/>
        <w:ind w:left="425"/>
        <w:rPr>
          <w:rFonts w:eastAsia="Calibri" w:cs="Times New Roman"/>
          <w:b/>
          <w:szCs w:val="24"/>
          <w:lang w:val="sr-Cyrl-CS" w:eastAsia="sr-Cyrl-CS" w:bidi="sr-Cyrl-CS"/>
        </w:rPr>
      </w:pPr>
    </w:p>
    <w:p w14:paraId="570B889F" w14:textId="77777777" w:rsidR="00DB0B7B" w:rsidRDefault="00DB0B7B" w:rsidP="00DB0B7B">
      <w:pPr>
        <w:widowControl w:val="0"/>
        <w:spacing w:before="120"/>
        <w:ind w:left="425"/>
        <w:rPr>
          <w:rFonts w:eastAsia="Calibri" w:cs="Times New Roman"/>
          <w:b/>
          <w:szCs w:val="24"/>
          <w:lang w:val="sr-Cyrl-CS" w:eastAsia="sr-Cyrl-CS" w:bidi="sr-Cyrl-CS"/>
        </w:rPr>
      </w:pPr>
    </w:p>
    <w:p w14:paraId="4FF282DF" w14:textId="0D502797" w:rsidR="00D210F0" w:rsidRPr="00092ED7" w:rsidRDefault="00D210F0" w:rsidP="00071952">
      <w:pPr>
        <w:widowControl w:val="0"/>
        <w:numPr>
          <w:ilvl w:val="0"/>
          <w:numId w:val="24"/>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Индикатори рeзултата</w:t>
      </w:r>
    </w:p>
    <w:tbl>
      <w:tblPr>
        <w:tblStyle w:val="TableGrid"/>
        <w:tblW w:w="9209" w:type="dxa"/>
        <w:tblLayout w:type="fixed"/>
        <w:tblLook w:val="04A0" w:firstRow="1" w:lastRow="0" w:firstColumn="1" w:lastColumn="0" w:noHBand="0" w:noVBand="1"/>
      </w:tblPr>
      <w:tblGrid>
        <w:gridCol w:w="4248"/>
        <w:gridCol w:w="1653"/>
        <w:gridCol w:w="1654"/>
        <w:gridCol w:w="1654"/>
      </w:tblGrid>
      <w:tr w:rsidR="00D210F0" w:rsidRPr="00092ED7" w14:paraId="3DC5F6B5" w14:textId="77777777" w:rsidTr="00AE4362">
        <w:trPr>
          <w:cnfStyle w:val="100000000000" w:firstRow="1" w:lastRow="0" w:firstColumn="0" w:lastColumn="0" w:oddVBand="0" w:evenVBand="0" w:oddHBand="0" w:evenHBand="0" w:firstRowFirstColumn="0" w:firstRowLastColumn="0" w:lastRowFirstColumn="0" w:lastRowLastColumn="0"/>
        </w:trPr>
        <w:tc>
          <w:tcPr>
            <w:tcW w:w="4248" w:type="dxa"/>
          </w:tcPr>
          <w:p w14:paraId="2593872B"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Показатељ</w:t>
            </w:r>
          </w:p>
        </w:tc>
        <w:tc>
          <w:tcPr>
            <w:tcW w:w="1653" w:type="dxa"/>
          </w:tcPr>
          <w:p w14:paraId="27B55484"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Почетна вредност (2020)</w:t>
            </w:r>
          </w:p>
        </w:tc>
        <w:tc>
          <w:tcPr>
            <w:tcW w:w="1654" w:type="dxa"/>
          </w:tcPr>
          <w:p w14:paraId="727801E6"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Међурезултат (2023)</w:t>
            </w:r>
          </w:p>
        </w:tc>
        <w:tc>
          <w:tcPr>
            <w:tcW w:w="1654" w:type="dxa"/>
          </w:tcPr>
          <w:p w14:paraId="00EDCC5F"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Циљна вредност (2024)</w:t>
            </w:r>
          </w:p>
        </w:tc>
      </w:tr>
      <w:tr w:rsidR="00D210F0" w:rsidRPr="00092ED7" w14:paraId="652F639A" w14:textId="77777777" w:rsidTr="00AE4362">
        <w:tc>
          <w:tcPr>
            <w:tcW w:w="4248" w:type="dxa"/>
          </w:tcPr>
          <w:p w14:paraId="6E965F4F" w14:textId="77777777" w:rsidR="00D210F0" w:rsidRPr="00092ED7" w:rsidRDefault="00D210F0" w:rsidP="005D14E2">
            <w:pPr>
              <w:spacing w:before="0" w:after="0"/>
              <w:ind w:left="113" w:right="113"/>
              <w:rPr>
                <w:rFonts w:cs="Times New Roman"/>
                <w:sz w:val="20"/>
                <w:lang w:val="sr-Cyrl-CS"/>
              </w:rPr>
            </w:pPr>
            <w:r w:rsidRPr="00092ED7">
              <w:rPr>
                <w:rFonts w:cs="Times New Roman"/>
                <w:sz w:val="20"/>
                <w:lang w:val="sr-Cyrl-CS"/>
              </w:rPr>
              <w:t>Повећање тржишне капитализације Београдске берзе, у милијардама евра</w:t>
            </w:r>
          </w:p>
        </w:tc>
        <w:tc>
          <w:tcPr>
            <w:tcW w:w="1653" w:type="dxa"/>
          </w:tcPr>
          <w:p w14:paraId="19D35209"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4,36</w:t>
            </w:r>
          </w:p>
        </w:tc>
        <w:tc>
          <w:tcPr>
            <w:tcW w:w="1654" w:type="dxa"/>
          </w:tcPr>
          <w:p w14:paraId="5AFEF251"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6,25</w:t>
            </w:r>
          </w:p>
        </w:tc>
        <w:tc>
          <w:tcPr>
            <w:tcW w:w="1654" w:type="dxa"/>
          </w:tcPr>
          <w:p w14:paraId="01A2FF79"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8,33</w:t>
            </w:r>
          </w:p>
        </w:tc>
      </w:tr>
      <w:tr w:rsidR="00D210F0" w:rsidRPr="00092ED7" w14:paraId="4AC13ECC" w14:textId="77777777" w:rsidTr="00AE4362">
        <w:tc>
          <w:tcPr>
            <w:tcW w:w="4248" w:type="dxa"/>
          </w:tcPr>
          <w:p w14:paraId="660CEFF3" w14:textId="77777777" w:rsidR="00D210F0" w:rsidRPr="00092ED7" w:rsidRDefault="00D210F0" w:rsidP="005D14E2">
            <w:pPr>
              <w:spacing w:before="0" w:after="0"/>
              <w:ind w:left="113" w:right="113"/>
              <w:rPr>
                <w:rFonts w:cs="Times New Roman"/>
                <w:sz w:val="20"/>
                <w:lang w:val="sr-Cyrl-CS"/>
              </w:rPr>
            </w:pPr>
            <w:r w:rsidRPr="00092ED7">
              <w:rPr>
                <w:rFonts w:cs="Times New Roman"/>
                <w:sz w:val="20"/>
                <w:lang w:val="sr-Cyrl-CS"/>
              </w:rPr>
              <w:t>Повећање процента штедње која се пласира на тржишту капитала (улагање у инвестиционе/пензијске фондове или кроз директно инвестирање у ХоВ, у %)</w:t>
            </w:r>
          </w:p>
        </w:tc>
        <w:tc>
          <w:tcPr>
            <w:tcW w:w="1653" w:type="dxa"/>
          </w:tcPr>
          <w:p w14:paraId="195E1CE3"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2,32</w:t>
            </w:r>
          </w:p>
        </w:tc>
        <w:tc>
          <w:tcPr>
            <w:tcW w:w="1654" w:type="dxa"/>
          </w:tcPr>
          <w:p w14:paraId="4A87019D"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5</w:t>
            </w:r>
          </w:p>
        </w:tc>
        <w:tc>
          <w:tcPr>
            <w:tcW w:w="1654" w:type="dxa"/>
          </w:tcPr>
          <w:p w14:paraId="3855B303"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5</w:t>
            </w:r>
          </w:p>
        </w:tc>
      </w:tr>
    </w:tbl>
    <w:p w14:paraId="7293079A" w14:textId="77777777" w:rsidR="00D210F0" w:rsidRPr="00092ED7" w:rsidRDefault="00D210F0" w:rsidP="00071952">
      <w:pPr>
        <w:widowControl w:val="0"/>
        <w:numPr>
          <w:ilvl w:val="0"/>
          <w:numId w:val="24"/>
        </w:numPr>
        <w:spacing w:before="120"/>
        <w:ind w:left="425" w:hanging="425"/>
        <w:rPr>
          <w:rFonts w:cs="Times New Roman"/>
          <w:b/>
          <w:szCs w:val="24"/>
          <w:lang w:val="sr-Cyrl-CS" w:eastAsia="sr-Cyrl-CS" w:bidi="sr-Cyrl-CS"/>
        </w:rPr>
      </w:pPr>
      <w:r w:rsidRPr="00092ED7">
        <w:rPr>
          <w:rFonts w:cs="Times New Roman"/>
          <w:b/>
          <w:szCs w:val="24"/>
          <w:lang w:val="sr-Cyrl-CS" w:eastAsia="sr-Cyrl-CS" w:bidi="sr-Cyrl-CS"/>
        </w:rPr>
        <w:t>Очекивани утицај на конкурентност</w:t>
      </w:r>
    </w:p>
    <w:p w14:paraId="0D978394" w14:textId="77777777" w:rsidR="00D210F0" w:rsidRPr="00092ED7" w:rsidRDefault="00D210F0" w:rsidP="005D14E2">
      <w:pPr>
        <w:pStyle w:val="Default"/>
        <w:spacing w:after="60"/>
        <w:rPr>
          <w:rFonts w:ascii="Times New Roman" w:hAnsi="Times New Roman" w:cs="Times New Roman"/>
          <w:szCs w:val="22"/>
          <w:lang w:val="sr-Cyrl-CS"/>
        </w:rPr>
      </w:pPr>
      <w:r w:rsidRPr="00092ED7">
        <w:rPr>
          <w:rFonts w:ascii="Times New Roman" w:hAnsi="Times New Roman" w:cs="Times New Roman"/>
          <w:szCs w:val="22"/>
          <w:lang w:val="sr-Cyrl-CS"/>
        </w:rPr>
        <w:t xml:space="preserve">Очекивано је да ће унапређење обима и разноврсности понуде финансијских инструмената на тржишту довести до развоја домаћег тржишта капитала, диверсификације извора финансирања, а самим тим и повећања домаћих и страних инвестиција у привреду. Очекује се да ће ова структурна реформа допринети ефикасности пословања како приватног, тако и јавног сектора. </w:t>
      </w:r>
    </w:p>
    <w:p w14:paraId="089F7626" w14:textId="77777777" w:rsidR="00D210F0" w:rsidRPr="00092ED7" w:rsidRDefault="00D210F0" w:rsidP="005D14E2">
      <w:pPr>
        <w:autoSpaceDE w:val="0"/>
        <w:autoSpaceDN w:val="0"/>
        <w:adjustRightInd w:val="0"/>
        <w:spacing w:after="60"/>
        <w:rPr>
          <w:rFonts w:eastAsia="Calibri" w:cs="Times New Roman"/>
          <w:b/>
          <w:szCs w:val="24"/>
          <w:lang w:val="sr-Cyrl-CS" w:eastAsia="sr-Cyrl-CS" w:bidi="sr-Cyrl-CS"/>
        </w:rPr>
      </w:pPr>
      <w:r w:rsidRPr="00092ED7">
        <w:rPr>
          <w:rFonts w:cs="Times New Roman"/>
          <w:lang w:val="sr-Cyrl-CS"/>
        </w:rPr>
        <w:t>Стварањем атрактивнијег привредног окружења и диверсификацијом извора финансирања, заинтересована привредна друштва изласком на тржиште обезбедиће могућност прикупљања капитала за финансирање раста и развоја, док ће се истовремено осигурати виши ниво транспарентности и већа сигурност финансијског система (појачан надзор над применом прописа који уређују пословање субјеката на тржишту; висок квалитет финансијског извештавања и др.), а самим тим и раст поверења инвеститора и њихове заинтересованости за улагања.</w:t>
      </w:r>
    </w:p>
    <w:p w14:paraId="688437D0" w14:textId="77777777" w:rsidR="00D210F0" w:rsidRPr="00092ED7" w:rsidRDefault="00D210F0" w:rsidP="00071952">
      <w:pPr>
        <w:widowControl w:val="0"/>
        <w:numPr>
          <w:ilvl w:val="0"/>
          <w:numId w:val="24"/>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335E269E" w14:textId="77777777" w:rsidR="004A32FF" w:rsidRPr="00092ED7" w:rsidRDefault="004A32FF" w:rsidP="00D210F0">
      <w:pPr>
        <w:tabs>
          <w:tab w:val="left" w:pos="7112"/>
        </w:tabs>
        <w:autoSpaceDE w:val="0"/>
        <w:autoSpaceDN w:val="0"/>
        <w:adjustRightInd w:val="0"/>
        <w:spacing w:after="60"/>
        <w:rPr>
          <w:rFonts w:cs="Times New Roman"/>
          <w:lang w:val="sr-Cyrl-CS"/>
        </w:rPr>
      </w:pPr>
      <w:r w:rsidRPr="00092ED7">
        <w:rPr>
          <w:rFonts w:cs="Times New Roman"/>
          <w:lang w:val="sr-Cyrl-CS"/>
        </w:rPr>
        <w:t xml:space="preserve">Како би се сачинио адекватан правни оквир који ће допринети развоју конкурентног, високо ефикасног, транспарентног и продуктивног тржишта капитала, потребно је унапредити постојеће административне капацитете Министарства финансија, запошљавањем два додатна службеника током 2023. и 2024. године, у Сектору за финансијски систем, у Групи за хартије од вредности и тржиште капитала. Ово уједно представља једини додатни трошак неопходан за спровођење ове реформе. </w:t>
      </w:r>
    </w:p>
    <w:p w14:paraId="3DFC3F22" w14:textId="77777777" w:rsidR="00D210F0" w:rsidRPr="00092ED7" w:rsidRDefault="00D210F0" w:rsidP="00071952">
      <w:pPr>
        <w:widowControl w:val="0"/>
        <w:numPr>
          <w:ilvl w:val="0"/>
          <w:numId w:val="24"/>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110EDCFC" w14:textId="42E33FAA" w:rsidR="00D210F0" w:rsidRPr="00092ED7" w:rsidRDefault="00E4340B" w:rsidP="00D210F0">
      <w:pPr>
        <w:autoSpaceDE w:val="0"/>
        <w:autoSpaceDN w:val="0"/>
        <w:adjustRightInd w:val="0"/>
        <w:spacing w:after="60"/>
        <w:rPr>
          <w:rFonts w:eastAsia="Calibri" w:cs="Times New Roman"/>
          <w:b/>
          <w:szCs w:val="24"/>
          <w:lang w:val="sr-Cyrl-CS" w:eastAsia="sr-Cyrl-CS" w:bidi="sr-Cyrl-CS"/>
        </w:rPr>
      </w:pPr>
      <w:r w:rsidRPr="00092ED7">
        <w:rPr>
          <w:rFonts w:cs="Times New Roman"/>
          <w:lang w:val="sr-Cyrl-CS"/>
        </w:rPr>
        <w:t>Имплементацијом структурне реформе активира се тржишт</w:t>
      </w:r>
      <w:r w:rsidR="008A6B24" w:rsidRPr="00092ED7">
        <w:rPr>
          <w:rFonts w:cs="Times New Roman"/>
          <w:lang w:val="sr-Cyrl-CS"/>
        </w:rPr>
        <w:t>е</w:t>
      </w:r>
      <w:r w:rsidRPr="00092ED7">
        <w:rPr>
          <w:rFonts w:cs="Times New Roman"/>
          <w:lang w:val="sr-Cyrl-CS"/>
        </w:rPr>
        <w:t xml:space="preserve"> капитала у функцији економског раста, запошљавања и квалитетнијег живота грађана чиме се на директан начин утиче на смањење стопе незапослености и смањење сиромаштва.</w:t>
      </w:r>
      <w:r w:rsidR="00D210F0" w:rsidRPr="00092ED7">
        <w:rPr>
          <w:rFonts w:cs="Times New Roman"/>
          <w:lang w:val="sr-Cyrl-CS"/>
        </w:rPr>
        <w:t xml:space="preserve"> Структурна реформа је родно неутрална.</w:t>
      </w:r>
    </w:p>
    <w:p w14:paraId="02407D07" w14:textId="77777777" w:rsidR="00D210F0" w:rsidRPr="00092ED7" w:rsidRDefault="00D210F0" w:rsidP="00071952">
      <w:pPr>
        <w:widowControl w:val="0"/>
        <w:numPr>
          <w:ilvl w:val="0"/>
          <w:numId w:val="24"/>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7F0921F9" w14:textId="77777777" w:rsidR="00D210F0" w:rsidRPr="00092ED7" w:rsidRDefault="00D210F0" w:rsidP="00D210F0">
      <w:pPr>
        <w:pStyle w:val="Default"/>
        <w:spacing w:after="60"/>
        <w:rPr>
          <w:rFonts w:ascii="Times New Roman" w:hAnsi="Times New Roman" w:cs="Times New Roman"/>
          <w:lang w:val="sr-Cyrl-CS"/>
        </w:rPr>
      </w:pPr>
      <w:r w:rsidRPr="00092ED7">
        <w:rPr>
          <w:rFonts w:ascii="Times New Roman" w:hAnsi="Times New Roman" w:cs="Times New Roman"/>
          <w:lang w:val="sr-Cyrl-CS"/>
        </w:rPr>
        <w:t xml:space="preserve">Прописивањем нових правних института у Закону о тржишту капитала створена је база за увођење новина на тржишту и очекује се да ће предметна структурна реформа имати позитиван утицај на животну средину и климатске промене. </w:t>
      </w:r>
    </w:p>
    <w:p w14:paraId="1C6942A6" w14:textId="70852183" w:rsidR="00D210F0" w:rsidRDefault="00D210F0" w:rsidP="00D210F0">
      <w:pPr>
        <w:autoSpaceDE w:val="0"/>
        <w:autoSpaceDN w:val="0"/>
        <w:adjustRightInd w:val="0"/>
        <w:spacing w:after="60"/>
        <w:rPr>
          <w:rFonts w:cs="Times New Roman"/>
          <w:szCs w:val="24"/>
          <w:lang w:val="sr-Cyrl-CS"/>
        </w:rPr>
      </w:pPr>
      <w:r w:rsidRPr="00092ED7">
        <w:rPr>
          <w:rFonts w:cs="Times New Roman"/>
          <w:szCs w:val="24"/>
          <w:lang w:val="sr-Cyrl-CS"/>
        </w:rPr>
        <w:t>Спровођењем Стратегије за развој тржишта капитала за период од 2021. до 2026. године и Акционог плана предметне стратегије, на које се ослања структурна реформа, активираће се неки до сада некоришћени финансијски институти, попут зелених обвезница, а који ће се користити искључиво за финансирање пројеката из области екологије и заштите животне средине.</w:t>
      </w:r>
    </w:p>
    <w:p w14:paraId="3E63920E" w14:textId="0CE6F97B" w:rsidR="00DB0B7B" w:rsidRDefault="00DB0B7B" w:rsidP="00D210F0">
      <w:pPr>
        <w:autoSpaceDE w:val="0"/>
        <w:autoSpaceDN w:val="0"/>
        <w:adjustRightInd w:val="0"/>
        <w:spacing w:after="60"/>
        <w:rPr>
          <w:rFonts w:eastAsia="Calibri" w:cs="Times New Roman"/>
          <w:b/>
          <w:szCs w:val="24"/>
          <w:lang w:val="sr-Cyrl-CS" w:eastAsia="sr-Cyrl-CS" w:bidi="sr-Cyrl-CS"/>
        </w:rPr>
      </w:pPr>
    </w:p>
    <w:p w14:paraId="13FDA7B9" w14:textId="77777777" w:rsidR="00DB0B7B" w:rsidRPr="00092ED7" w:rsidRDefault="00DB0B7B" w:rsidP="00D210F0">
      <w:pPr>
        <w:autoSpaceDE w:val="0"/>
        <w:autoSpaceDN w:val="0"/>
        <w:adjustRightInd w:val="0"/>
        <w:spacing w:after="60"/>
        <w:rPr>
          <w:rFonts w:eastAsia="Calibri" w:cs="Times New Roman"/>
          <w:b/>
          <w:szCs w:val="24"/>
          <w:lang w:val="sr-Cyrl-CS" w:eastAsia="sr-Cyrl-CS" w:bidi="sr-Cyrl-CS"/>
        </w:rPr>
      </w:pPr>
    </w:p>
    <w:p w14:paraId="0D2EA829" w14:textId="77777777" w:rsidR="00D210F0" w:rsidRPr="00092ED7" w:rsidRDefault="00D210F0" w:rsidP="00071952">
      <w:pPr>
        <w:widowControl w:val="0"/>
        <w:numPr>
          <w:ilvl w:val="0"/>
          <w:numId w:val="24"/>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067" w:type="dxa"/>
        <w:jc w:val="center"/>
        <w:tblLayout w:type="fixed"/>
        <w:tblLook w:val="04A0" w:firstRow="1" w:lastRow="0" w:firstColumn="1" w:lastColumn="0" w:noHBand="0" w:noVBand="1"/>
      </w:tblPr>
      <w:tblGrid>
        <w:gridCol w:w="3515"/>
        <w:gridCol w:w="2098"/>
        <w:gridCol w:w="3454"/>
      </w:tblGrid>
      <w:tr w:rsidR="00D210F0" w:rsidRPr="00092ED7" w14:paraId="1889A8DE" w14:textId="77777777" w:rsidTr="00AE4362">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51F5D5CE"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2098" w:type="dxa"/>
          </w:tcPr>
          <w:p w14:paraId="5F18206B"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454" w:type="dxa"/>
          </w:tcPr>
          <w:p w14:paraId="3BA087E1"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023987EA" w14:textId="77777777" w:rsidTr="000003B8">
        <w:trPr>
          <w:jc w:val="center"/>
        </w:trPr>
        <w:tc>
          <w:tcPr>
            <w:tcW w:w="3515" w:type="dxa"/>
          </w:tcPr>
          <w:p w14:paraId="7420163A" w14:textId="77777777" w:rsidR="00D210F0" w:rsidRPr="00092ED7" w:rsidRDefault="00D210F0" w:rsidP="005D14E2">
            <w:pPr>
              <w:pStyle w:val="Default"/>
              <w:autoSpaceDE/>
              <w:autoSpaceDN/>
              <w:adjustRightInd/>
              <w:spacing w:before="0"/>
              <w:ind w:left="113" w:right="113"/>
              <w:rPr>
                <w:rFonts w:ascii="Times New Roman" w:hAnsi="Times New Roman" w:cs="Times New Roman"/>
                <w:sz w:val="20"/>
                <w:szCs w:val="20"/>
                <w:lang w:val="sr-Cyrl-CS"/>
              </w:rPr>
            </w:pPr>
            <w:r w:rsidRPr="00092ED7">
              <w:rPr>
                <w:rFonts w:ascii="Times New Roman" w:hAnsi="Times New Roman" w:cs="Times New Roman"/>
                <w:sz w:val="20"/>
                <w:szCs w:val="20"/>
                <w:lang w:val="sr-Cyrl-CS"/>
              </w:rPr>
              <w:t xml:space="preserve">Стварање недовољно атрактивних финансијских института и стагнација (или опадање) броја учесника тржишта капитала </w:t>
            </w:r>
          </w:p>
        </w:tc>
        <w:tc>
          <w:tcPr>
            <w:tcW w:w="2098" w:type="dxa"/>
            <w:vAlign w:val="top"/>
          </w:tcPr>
          <w:p w14:paraId="0E019726" w14:textId="77777777" w:rsidR="00D210F0" w:rsidRPr="00092ED7" w:rsidRDefault="00D210F0" w:rsidP="000003B8">
            <w:pPr>
              <w:spacing w:before="0" w:after="0"/>
              <w:ind w:left="113" w:right="113"/>
              <w:jc w:val="center"/>
              <w:rPr>
                <w:rFonts w:cs="Times New Roman"/>
                <w:strike/>
                <w:sz w:val="20"/>
                <w:lang w:val="sr-Cyrl-CS"/>
              </w:rPr>
            </w:pPr>
            <w:r w:rsidRPr="00092ED7">
              <w:rPr>
                <w:rFonts w:cs="Times New Roman"/>
                <w:sz w:val="20"/>
                <w:lang w:val="sr-Cyrl-CS"/>
              </w:rPr>
              <w:t>Средња</w:t>
            </w:r>
          </w:p>
        </w:tc>
        <w:tc>
          <w:tcPr>
            <w:tcW w:w="3454" w:type="dxa"/>
          </w:tcPr>
          <w:p w14:paraId="6E104BD1" w14:textId="77777777" w:rsidR="00D210F0" w:rsidRPr="00092ED7" w:rsidRDefault="00D210F0" w:rsidP="005D14E2">
            <w:pPr>
              <w:pStyle w:val="Default"/>
              <w:autoSpaceDE/>
              <w:autoSpaceDN/>
              <w:adjustRightInd/>
              <w:spacing w:before="0"/>
              <w:ind w:left="113" w:right="113"/>
              <w:rPr>
                <w:rFonts w:ascii="Times New Roman" w:hAnsi="Times New Roman" w:cs="Times New Roman"/>
                <w:sz w:val="20"/>
                <w:szCs w:val="20"/>
                <w:lang w:val="sr-Cyrl-CS"/>
              </w:rPr>
            </w:pPr>
            <w:r w:rsidRPr="00092ED7">
              <w:rPr>
                <w:rFonts w:ascii="Times New Roman" w:hAnsi="Times New Roman" w:cs="Times New Roman"/>
                <w:sz w:val="20"/>
                <w:szCs w:val="20"/>
                <w:lang w:val="sr-Cyrl-CS"/>
              </w:rPr>
              <w:t xml:space="preserve">Израда свеобухватне анализе тренутне ситуације на тржишту капитала и анкете потреба учесника на тржишту. </w:t>
            </w:r>
          </w:p>
        </w:tc>
      </w:tr>
      <w:tr w:rsidR="00D210F0" w:rsidRPr="00092ED7" w14:paraId="3B85EF6C" w14:textId="77777777" w:rsidTr="000003B8">
        <w:trPr>
          <w:jc w:val="center"/>
        </w:trPr>
        <w:tc>
          <w:tcPr>
            <w:tcW w:w="3515" w:type="dxa"/>
          </w:tcPr>
          <w:p w14:paraId="741FE090" w14:textId="77777777" w:rsidR="00D210F0" w:rsidRPr="00092ED7" w:rsidRDefault="00D210F0" w:rsidP="005D14E2">
            <w:pPr>
              <w:pStyle w:val="Default"/>
              <w:autoSpaceDE/>
              <w:autoSpaceDN/>
              <w:adjustRightInd/>
              <w:spacing w:before="0"/>
              <w:ind w:left="113" w:right="113"/>
              <w:rPr>
                <w:rFonts w:ascii="Times New Roman" w:hAnsi="Times New Roman" w:cs="Times New Roman"/>
                <w:sz w:val="20"/>
                <w:szCs w:val="20"/>
                <w:lang w:val="sr-Cyrl-CS"/>
              </w:rPr>
            </w:pPr>
            <w:r w:rsidRPr="00092ED7">
              <w:rPr>
                <w:rFonts w:ascii="Times New Roman" w:hAnsi="Times New Roman" w:cs="Times New Roman"/>
                <w:sz w:val="20"/>
                <w:szCs w:val="20"/>
                <w:lang w:val="sr-Cyrl-CS"/>
              </w:rPr>
              <w:t xml:space="preserve">Недовољни капацитети Министарства финансија за обављање планираних нормативних послова </w:t>
            </w:r>
          </w:p>
        </w:tc>
        <w:tc>
          <w:tcPr>
            <w:tcW w:w="2098" w:type="dxa"/>
            <w:vAlign w:val="top"/>
          </w:tcPr>
          <w:p w14:paraId="05F6FC3D" w14:textId="77777777" w:rsidR="00D210F0" w:rsidRPr="00092ED7" w:rsidRDefault="00D210F0" w:rsidP="000003B8">
            <w:pPr>
              <w:spacing w:before="0" w:after="0"/>
              <w:ind w:left="113" w:right="113"/>
              <w:jc w:val="center"/>
              <w:rPr>
                <w:rFonts w:cs="Times New Roman"/>
                <w:sz w:val="20"/>
                <w:lang w:val="sr-Cyrl-CS"/>
              </w:rPr>
            </w:pPr>
            <w:r w:rsidRPr="00092ED7">
              <w:rPr>
                <w:rFonts w:cs="Times New Roman"/>
                <w:sz w:val="20"/>
                <w:lang w:val="sr-Cyrl-CS"/>
              </w:rPr>
              <w:t>Ниска</w:t>
            </w:r>
          </w:p>
        </w:tc>
        <w:tc>
          <w:tcPr>
            <w:tcW w:w="3454" w:type="dxa"/>
          </w:tcPr>
          <w:p w14:paraId="6F376761" w14:textId="77777777" w:rsidR="00D210F0" w:rsidRPr="00092ED7" w:rsidRDefault="00D210F0" w:rsidP="005D14E2">
            <w:pPr>
              <w:pStyle w:val="Default"/>
              <w:autoSpaceDE/>
              <w:autoSpaceDN/>
              <w:adjustRightInd/>
              <w:spacing w:before="0"/>
              <w:ind w:left="113" w:right="113"/>
              <w:rPr>
                <w:rFonts w:ascii="Times New Roman" w:hAnsi="Times New Roman" w:cs="Times New Roman"/>
                <w:sz w:val="20"/>
                <w:szCs w:val="20"/>
                <w:lang w:val="sr-Cyrl-CS"/>
              </w:rPr>
            </w:pPr>
            <w:r w:rsidRPr="00092ED7">
              <w:rPr>
                <w:rFonts w:ascii="Times New Roman" w:hAnsi="Times New Roman" w:cs="Times New Roman"/>
                <w:sz w:val="20"/>
                <w:szCs w:val="20"/>
                <w:lang w:val="sr-Cyrl-CS"/>
              </w:rPr>
              <w:t xml:space="preserve">Запошљавање у организационој јединици која обавља нормативне послове у области тржишта капитала. </w:t>
            </w:r>
          </w:p>
        </w:tc>
      </w:tr>
    </w:tbl>
    <w:p w14:paraId="1C3ECD64" w14:textId="77777777" w:rsidR="00D210F0" w:rsidRPr="00092ED7" w:rsidRDefault="00D210F0" w:rsidP="00DB0B7B">
      <w:pPr>
        <w:keepNext/>
        <w:keepLines/>
        <w:shd w:val="clear" w:color="auto" w:fill="D9D9D9" w:themeFill="background1" w:themeFillShade="D9"/>
        <w:spacing w:before="360"/>
        <w:outlineLvl w:val="2"/>
        <w:rPr>
          <w:rFonts w:eastAsia="Calibri" w:cs="Times New Roman"/>
          <w:b/>
          <w:i/>
          <w:szCs w:val="24"/>
          <w:lang w:val="sr-Cyrl-CS"/>
        </w:rPr>
      </w:pPr>
      <w:bookmarkStart w:id="57" w:name="_Toc124174806"/>
      <w:bookmarkStart w:id="58" w:name="_Toc126218625"/>
      <w:r w:rsidRPr="00092ED7">
        <w:rPr>
          <w:rFonts w:eastAsiaTheme="majorEastAsia" w:cstheme="majorBidi"/>
          <w:b/>
          <w:i/>
          <w:lang w:val="sr-Cyrl-CS"/>
        </w:rPr>
        <w:t>Кључни</w:t>
      </w:r>
      <w:r w:rsidRPr="00092ED7">
        <w:rPr>
          <w:rFonts w:eastAsia="Calibri" w:cs="Times New Roman"/>
          <w:b/>
          <w:i/>
          <w:szCs w:val="24"/>
          <w:lang w:val="sr-Cyrl-CS"/>
        </w:rPr>
        <w:t xml:space="preserve"> изазов</w:t>
      </w:r>
      <w:r w:rsidR="003E00C3" w:rsidRPr="00092ED7">
        <w:rPr>
          <w:rFonts w:eastAsia="Calibri" w:cs="Times New Roman"/>
          <w:b/>
          <w:i/>
          <w:szCs w:val="24"/>
          <w:lang w:val="sr-Cyrl-CS"/>
        </w:rPr>
        <w:t xml:space="preserve"> број</w:t>
      </w:r>
      <w:r w:rsidRPr="00092ED7">
        <w:rPr>
          <w:rFonts w:eastAsia="Calibri" w:cs="Times New Roman"/>
          <w:b/>
          <w:i/>
          <w:szCs w:val="24"/>
          <w:lang w:val="sr-Cyrl-CS"/>
        </w:rPr>
        <w:t xml:space="preserve"> 3: Озелењавање енергетског сектора и потпуно отварање енергетског тржишта</w:t>
      </w:r>
      <w:bookmarkEnd w:id="57"/>
      <w:bookmarkEnd w:id="58"/>
    </w:p>
    <w:p w14:paraId="305A2FEC" w14:textId="05EE1B16" w:rsidR="00D210F0" w:rsidRPr="00092ED7" w:rsidRDefault="00D210F0" w:rsidP="00D210F0">
      <w:pPr>
        <w:spacing w:after="60"/>
        <w:rPr>
          <w:rFonts w:eastAsia="Calibri" w:cs="Times New Roman"/>
          <w:szCs w:val="24"/>
          <w:lang w:val="sr-Cyrl-CS"/>
        </w:rPr>
      </w:pPr>
      <w:r w:rsidRPr="00092ED7">
        <w:rPr>
          <w:rFonts w:eastAsia="Calibri" w:cs="Times New Roman"/>
          <w:szCs w:val="24"/>
          <w:lang w:val="sr-Cyrl-CS"/>
        </w:rPr>
        <w:t xml:space="preserve">Конфликт у Украјини (крај фебруара 2022) погоршао је енергетску кризу у Европи и већем делу света и довео до </w:t>
      </w:r>
      <w:r w:rsidRPr="00092ED7">
        <w:rPr>
          <w:rFonts w:eastAsia="Calibri" w:cs="Times New Roman"/>
          <w:b/>
          <w:szCs w:val="24"/>
          <w:lang w:val="sr-Cyrl-CS"/>
        </w:rPr>
        <w:t>растућих цена енергије</w:t>
      </w:r>
      <w:r w:rsidRPr="00092ED7">
        <w:rPr>
          <w:rFonts w:eastAsia="Calibri" w:cs="Times New Roman"/>
          <w:szCs w:val="24"/>
          <w:lang w:val="sr-Cyrl-CS"/>
        </w:rPr>
        <w:t xml:space="preserve">. Ограничење извоза природног гаса из </w:t>
      </w:r>
      <w:r w:rsidR="006B0BA0" w:rsidRPr="00092ED7">
        <w:rPr>
          <w:rFonts w:eastAsia="Calibri" w:cs="Times New Roman"/>
          <w:szCs w:val="24"/>
          <w:lang w:val="sr-Cyrl-CS"/>
        </w:rPr>
        <w:t>Русије</w:t>
      </w:r>
      <w:r w:rsidRPr="00092ED7">
        <w:rPr>
          <w:rFonts w:eastAsia="Calibri" w:cs="Times New Roman"/>
          <w:szCs w:val="24"/>
          <w:lang w:val="sr-Cyrl-CS"/>
        </w:rPr>
        <w:t xml:space="preserve"> у Европу од 27. јула 2022. године на 33 милиона m</w:t>
      </w:r>
      <w:r w:rsidRPr="00092ED7">
        <w:rPr>
          <w:rFonts w:eastAsia="Calibri" w:cs="Times New Roman"/>
          <w:szCs w:val="24"/>
          <w:vertAlign w:val="superscript"/>
          <w:lang w:val="sr-Cyrl-CS"/>
        </w:rPr>
        <w:t>3</w:t>
      </w:r>
      <w:r w:rsidRPr="00092ED7">
        <w:rPr>
          <w:rFonts w:eastAsia="Calibri" w:cs="Times New Roman"/>
          <w:szCs w:val="24"/>
          <w:lang w:val="sr-Cyrl-CS"/>
        </w:rPr>
        <w:t xml:space="preserve"> дневно (20% пуног капацитета гасовода), утицало је на повећање цене овог енергента на светским тржиштима до рекордне историјске висине. Са друге стране, Република Србија </w:t>
      </w:r>
      <w:r w:rsidR="00DE4389" w:rsidRPr="00092ED7">
        <w:rPr>
          <w:rFonts w:eastAsia="Calibri" w:cs="Times New Roman"/>
          <w:szCs w:val="24"/>
          <w:lang w:val="sr-Cyrl-CS"/>
        </w:rPr>
        <w:t>не може</w:t>
      </w:r>
      <w:r w:rsidRPr="00092ED7">
        <w:rPr>
          <w:rFonts w:eastAsia="Calibri" w:cs="Times New Roman"/>
          <w:szCs w:val="24"/>
          <w:lang w:val="sr-Cyrl-CS"/>
        </w:rPr>
        <w:t xml:space="preserve"> преко Јадранског нафтовода (ЈАНАФ) </w:t>
      </w:r>
      <w:r w:rsidR="00DE4389" w:rsidRPr="00092ED7">
        <w:rPr>
          <w:rFonts w:eastAsia="Calibri" w:cs="Times New Roman"/>
          <w:szCs w:val="24"/>
          <w:lang w:val="sr-Cyrl-CS"/>
        </w:rPr>
        <w:t xml:space="preserve">да </w:t>
      </w:r>
      <w:r w:rsidRPr="00092ED7">
        <w:rPr>
          <w:rFonts w:eastAsia="Calibri" w:cs="Times New Roman"/>
          <w:szCs w:val="24"/>
          <w:lang w:val="sr-Cyrl-CS"/>
        </w:rPr>
        <w:t>увози руску нафту</w:t>
      </w:r>
      <w:r w:rsidRPr="00092ED7">
        <w:rPr>
          <w:rStyle w:val="FootnoteReference"/>
          <w:rFonts w:eastAsia="Calibri" w:cs="Times New Roman"/>
          <w:szCs w:val="24"/>
          <w:lang w:val="sr-Cyrl-CS"/>
        </w:rPr>
        <w:footnoteReference w:id="77"/>
      </w:r>
      <w:r w:rsidRPr="00092ED7">
        <w:rPr>
          <w:rFonts w:eastAsia="Calibri" w:cs="Times New Roman"/>
          <w:szCs w:val="24"/>
          <w:lang w:val="sr-Cyrl-CS"/>
        </w:rPr>
        <w:t xml:space="preserve"> од децембра 2022. године</w:t>
      </w:r>
      <w:r w:rsidR="00DE4389" w:rsidRPr="00092ED7">
        <w:rPr>
          <w:rFonts w:eastAsia="Calibri" w:cs="Times New Roman"/>
          <w:szCs w:val="24"/>
          <w:lang w:val="sr-Cyrl-CS"/>
        </w:rPr>
        <w:t>,</w:t>
      </w:r>
      <w:r w:rsidRPr="00092ED7">
        <w:rPr>
          <w:rFonts w:eastAsia="Calibri" w:cs="Times New Roman"/>
          <w:szCs w:val="24"/>
          <w:lang w:val="sr-Cyrl-CS"/>
        </w:rPr>
        <w:t xml:space="preserve"> због чега ће морати да се окрене другим начинима добављања нафте, што ће такође утицати на раст цена овог енергента.</w:t>
      </w:r>
    </w:p>
    <w:p w14:paraId="0EED4C3A" w14:textId="77777777" w:rsidR="00D210F0" w:rsidRPr="00092ED7" w:rsidRDefault="00D210F0" w:rsidP="00D210F0">
      <w:pPr>
        <w:spacing w:after="60"/>
        <w:rPr>
          <w:rFonts w:eastAsia="Calibri" w:cs="Times New Roman"/>
          <w:szCs w:val="24"/>
          <w:lang w:val="sr-Cyrl-CS"/>
        </w:rPr>
      </w:pPr>
      <w:r w:rsidRPr="00092ED7">
        <w:rPr>
          <w:rFonts w:eastAsia="Calibri" w:cs="Times New Roman"/>
          <w:b/>
          <w:szCs w:val="24"/>
          <w:lang w:val="sr-Cyrl-CS"/>
        </w:rPr>
        <w:t xml:space="preserve">Енергетски сектор у Републици Србији чини око 4% БДП. </w:t>
      </w:r>
      <w:r w:rsidRPr="00092ED7">
        <w:rPr>
          <w:rFonts w:eastAsia="Calibri" w:cs="Times New Roman"/>
          <w:szCs w:val="24"/>
          <w:lang w:val="sr-Cyrl-CS"/>
        </w:rPr>
        <w:t>Претходних година доста је уложено у ревитализацију електроенергетског система, али га и даље карактерише</w:t>
      </w:r>
      <w:r w:rsidRPr="00092ED7">
        <w:rPr>
          <w:rFonts w:eastAsia="Calibri" w:cs="Times New Roman"/>
          <w:b/>
          <w:szCs w:val="24"/>
          <w:lang w:val="sr-Cyrl-CS"/>
        </w:rPr>
        <w:t xml:space="preserve"> </w:t>
      </w:r>
      <w:r w:rsidRPr="00092ED7">
        <w:rPr>
          <w:rFonts w:eastAsia="Calibri" w:cs="Times New Roman"/>
          <w:szCs w:val="24"/>
          <w:lang w:val="sr-Cyrl-CS"/>
        </w:rPr>
        <w:t xml:space="preserve">низак ниво енергетске ефикасности, застарела инфраструктура, недовољно коришћење обновљивих извора енергије и висока зависност од фосилних горива. У циљу већег доприноса сектора енергетике привредном расту потребно је унапређење енергетске ефикасности, повећање обима инвестиција у изградњу нових капацитета, јачање унутрашњег тржишта, повећање степена енергетске сигурности, прилагођавање цена енергије, спровођење процеса декарбонизације и коришћење обновљивих извора енергије (ОИЕ). </w:t>
      </w:r>
    </w:p>
    <w:p w14:paraId="4091F83B" w14:textId="77777777" w:rsidR="00D210F0" w:rsidRPr="00092ED7" w:rsidRDefault="00D210F0" w:rsidP="00D210F0">
      <w:pPr>
        <w:spacing w:after="60"/>
        <w:rPr>
          <w:rFonts w:eastAsia="Calibri" w:cs="Times New Roman"/>
          <w:szCs w:val="24"/>
          <w:lang w:val="sr-Cyrl-CS"/>
        </w:rPr>
      </w:pPr>
      <w:r w:rsidRPr="00092ED7">
        <w:rPr>
          <w:rFonts w:eastAsia="Calibri" w:cs="Times New Roman"/>
          <w:szCs w:val="24"/>
          <w:lang w:val="sr-Cyrl-CS"/>
        </w:rPr>
        <w:t xml:space="preserve">Од укупно произведене електричне енергије у Републици Србији, термоелектране на угаљ су произвеле 60,4%, хидроелектране </w:t>
      </w:r>
      <w:r w:rsidR="00287122" w:rsidRPr="00092ED7">
        <w:rPr>
          <w:rFonts w:eastAsia="Calibri" w:cs="Times New Roman"/>
          <w:szCs w:val="24"/>
          <w:lang w:val="sr-Cyrl-CS"/>
        </w:rPr>
        <w:t>31,3</w:t>
      </w:r>
      <w:r w:rsidRPr="00092ED7">
        <w:rPr>
          <w:rFonts w:eastAsia="Calibri" w:cs="Times New Roman"/>
          <w:szCs w:val="24"/>
          <w:lang w:val="sr-Cyrl-CS"/>
        </w:rPr>
        <w:t xml:space="preserve">%, ветроелектране прикључене на преносни систем 2,8%, термоелектране-топлане </w:t>
      </w:r>
      <w:r w:rsidR="00287122" w:rsidRPr="00092ED7">
        <w:rPr>
          <w:rFonts w:eastAsia="Calibri" w:cs="Times New Roman"/>
          <w:szCs w:val="24"/>
          <w:lang w:val="sr-Cyrl-CS"/>
        </w:rPr>
        <w:t>1,9</w:t>
      </w:r>
      <w:r w:rsidRPr="00092ED7">
        <w:rPr>
          <w:rFonts w:eastAsia="Calibri" w:cs="Times New Roman"/>
          <w:szCs w:val="24"/>
          <w:lang w:val="sr-Cyrl-CS"/>
        </w:rPr>
        <w:t xml:space="preserve">%, а остале електране </w:t>
      </w:r>
      <w:r w:rsidR="00287122" w:rsidRPr="00092ED7">
        <w:rPr>
          <w:rFonts w:eastAsia="Calibri" w:cs="Times New Roman"/>
          <w:szCs w:val="24"/>
          <w:lang w:val="sr-Cyrl-CS"/>
        </w:rPr>
        <w:t>1,8</w:t>
      </w:r>
      <w:r w:rsidRPr="00092ED7">
        <w:rPr>
          <w:rFonts w:eastAsia="Calibri" w:cs="Times New Roman"/>
          <w:szCs w:val="24"/>
          <w:lang w:val="sr-Cyrl-CS"/>
        </w:rPr>
        <w:t xml:space="preserve">% електричне енергије (ЈП ЕПС произведе </w:t>
      </w:r>
      <w:r w:rsidR="00287122" w:rsidRPr="00092ED7">
        <w:rPr>
          <w:rFonts w:eastAsia="Calibri" w:cs="Times New Roman"/>
          <w:szCs w:val="24"/>
          <w:lang w:val="sr-Cyrl-CS"/>
        </w:rPr>
        <w:t>95,05</w:t>
      </w:r>
      <w:r w:rsidRPr="00092ED7">
        <w:rPr>
          <w:rFonts w:eastAsia="Calibri" w:cs="Times New Roman"/>
          <w:szCs w:val="24"/>
          <w:lang w:val="sr-Cyrl-CS"/>
        </w:rPr>
        <w:t>% укупне електричне енергије)</w:t>
      </w:r>
      <w:r w:rsidRPr="00092ED7">
        <w:rPr>
          <w:rFonts w:eastAsia="Calibri" w:cs="Times New Roman"/>
          <w:szCs w:val="24"/>
          <w:vertAlign w:val="superscript"/>
          <w:lang w:val="sr-Cyrl-CS"/>
        </w:rPr>
        <w:footnoteReference w:id="78"/>
      </w:r>
      <w:r w:rsidRPr="00092ED7">
        <w:rPr>
          <w:rFonts w:eastAsia="Calibri" w:cs="Times New Roman"/>
          <w:szCs w:val="24"/>
          <w:lang w:val="sr-Cyrl-CS"/>
        </w:rPr>
        <w:t>.  Губици у дистрибутивној мрежи су и даље високи и износе 11,73% електричне енергије преузете у дистрибутивни систем у 2021. Поузданост испоруке електричне енергије је на нивоу петогодишњег просека и износи SAIFI – 8,27 у 2021. (8,2 у 2020.) и SAIDI – 892 у 2021. (804 у 2020.)</w:t>
      </w:r>
      <w:r w:rsidRPr="00092ED7">
        <w:rPr>
          <w:rFonts w:eastAsia="Calibri" w:cs="Times New Roman"/>
          <w:szCs w:val="24"/>
          <w:vertAlign w:val="superscript"/>
          <w:lang w:val="sr-Cyrl-CS"/>
        </w:rPr>
        <w:footnoteReference w:id="79"/>
      </w:r>
      <w:r w:rsidRPr="00092ED7">
        <w:rPr>
          <w:rFonts w:eastAsia="Calibri" w:cs="Times New Roman"/>
          <w:szCs w:val="24"/>
          <w:lang w:val="sr-Cyrl-CS"/>
        </w:rPr>
        <w:t>.</w:t>
      </w:r>
    </w:p>
    <w:p w14:paraId="3AECBAE3" w14:textId="77777777" w:rsidR="00D210F0" w:rsidRPr="00092ED7" w:rsidRDefault="00D210F0" w:rsidP="00D210F0">
      <w:pPr>
        <w:spacing w:after="60"/>
        <w:rPr>
          <w:rFonts w:eastAsia="Calibri" w:cs="Times New Roman"/>
          <w:szCs w:val="24"/>
          <w:lang w:val="sr-Cyrl-CS"/>
        </w:rPr>
      </w:pPr>
      <w:r w:rsidRPr="00092ED7">
        <w:rPr>
          <w:rFonts w:eastAsia="Calibri" w:cs="Times New Roman"/>
          <w:b/>
          <w:szCs w:val="24"/>
          <w:lang w:val="sr-Cyrl-CS"/>
        </w:rPr>
        <w:t xml:space="preserve">Неопходно је усвојити дугорочне стратешке документе који ће утврдити енергетске и климатске циљеве. </w:t>
      </w:r>
      <w:r w:rsidRPr="00092ED7">
        <w:rPr>
          <w:rFonts w:eastAsia="Calibri" w:cs="Times New Roman"/>
          <w:szCs w:val="24"/>
          <w:lang w:val="sr-Cyrl-CS"/>
        </w:rPr>
        <w:t xml:space="preserve">У току је израда два најважнија стратешка документа за енергетски сектор: </w:t>
      </w:r>
      <w:r w:rsidRPr="00092ED7">
        <w:rPr>
          <w:rFonts w:eastAsia="Calibri" w:cs="Times New Roman"/>
          <w:i/>
          <w:szCs w:val="24"/>
          <w:lang w:val="sr-Cyrl-CS"/>
        </w:rPr>
        <w:t>Интегрисани национални енергетски и климатски план Републике Србије за период до 2030. године са пројекцијама до 2050. године</w:t>
      </w:r>
      <w:r w:rsidRPr="00092ED7">
        <w:rPr>
          <w:rFonts w:eastAsia="Calibri" w:cs="Times New Roman"/>
          <w:szCs w:val="24"/>
          <w:lang w:val="sr-Cyrl-CS"/>
        </w:rPr>
        <w:t xml:space="preserve">, као и </w:t>
      </w:r>
      <w:r w:rsidRPr="00092ED7">
        <w:rPr>
          <w:rFonts w:eastAsia="Calibri" w:cs="Times New Roman"/>
          <w:i/>
          <w:szCs w:val="24"/>
          <w:lang w:val="sr-Cyrl-CS"/>
        </w:rPr>
        <w:t>Стратегија развоја енергетике Републике Србије за период до 2040. године са пројекцијама до 2050. године</w:t>
      </w:r>
      <w:r w:rsidRPr="00092ED7">
        <w:rPr>
          <w:rFonts w:eastAsia="Calibri" w:cs="Times New Roman"/>
          <w:szCs w:val="24"/>
          <w:lang w:val="sr-Cyrl-CS"/>
        </w:rPr>
        <w:t>. Нацртима ових докумената је предвиђено озелењавање енергетског сектора, изградња нове инфраструктуре, заштита животне средине, већа употреба ОИЕ и повећање енергетске ефикасности.</w:t>
      </w:r>
      <w:r w:rsidRPr="00092ED7">
        <w:rPr>
          <w:lang w:val="sr-Cyrl-CS"/>
        </w:rPr>
        <w:t xml:space="preserve"> </w:t>
      </w:r>
      <w:r w:rsidRPr="00092ED7">
        <w:rPr>
          <w:rFonts w:eastAsia="Calibri" w:cs="Times New Roman"/>
          <w:szCs w:val="24"/>
          <w:lang w:val="sr-Cyrl-CS"/>
        </w:rPr>
        <w:t>За реализацију ових стратешких циљева неопходно је утврдити услове за успостављање економски и социјално одрживу енергетску транзицију.</w:t>
      </w:r>
    </w:p>
    <w:p w14:paraId="26CA6CEF" w14:textId="38A2B7A2" w:rsidR="00D210F0" w:rsidRPr="00092ED7" w:rsidRDefault="00D210F0" w:rsidP="00D210F0">
      <w:pPr>
        <w:spacing w:after="60"/>
        <w:rPr>
          <w:rFonts w:eastAsia="Calibri" w:cs="Times New Roman"/>
          <w:szCs w:val="24"/>
          <w:lang w:val="sr-Cyrl-CS"/>
        </w:rPr>
      </w:pPr>
      <w:r w:rsidRPr="00092ED7">
        <w:rPr>
          <w:rFonts w:eastAsia="Calibri" w:cs="Times New Roman"/>
          <w:b/>
          <w:szCs w:val="24"/>
          <w:lang w:val="sr-Cyrl-CS"/>
        </w:rPr>
        <w:t xml:space="preserve">Постојећа енергетска постројења емитују велике количине штетних гасова укључујући и гасове са ефектом стаклене баште, што се одражава на животну средину и здравље људи. </w:t>
      </w:r>
      <w:r w:rsidRPr="00092ED7">
        <w:rPr>
          <w:rFonts w:cs="Times New Roman"/>
          <w:szCs w:val="24"/>
          <w:lang w:val="sr-Cyrl-CS"/>
        </w:rPr>
        <w:t xml:space="preserve">Енергетски сектор је један од највећих загађивача ваздуха у </w:t>
      </w:r>
      <w:r w:rsidR="00DE4389" w:rsidRPr="00092ED7">
        <w:rPr>
          <w:rFonts w:cs="Times New Roman"/>
          <w:szCs w:val="24"/>
          <w:lang w:val="sr-Cyrl-CS"/>
        </w:rPr>
        <w:t xml:space="preserve">Републици </w:t>
      </w:r>
      <w:r w:rsidRPr="00092ED7">
        <w:rPr>
          <w:rFonts w:cs="Times New Roman"/>
          <w:szCs w:val="24"/>
          <w:lang w:val="sr-Cyrl-CS"/>
        </w:rPr>
        <w:t>Србији. Највећи део енергије се производи на бази угља, док индивидуална ложишта у великој мери користе дрво и угаљ као гориво. Енергетски сектор доприноси стварању око 80% гасова са ефектом стаклене баште на националном нивоу. Емисија сумпордиоксида (SО</w:t>
      </w:r>
      <w:r w:rsidRPr="00092ED7">
        <w:rPr>
          <w:rFonts w:cs="Times New Roman"/>
          <w:szCs w:val="24"/>
          <w:vertAlign w:val="subscript"/>
          <w:lang w:val="sr-Cyrl-CS"/>
        </w:rPr>
        <w:t>2</w:t>
      </w:r>
      <w:r w:rsidRPr="00092ED7">
        <w:rPr>
          <w:rFonts w:cs="Times New Roman"/>
          <w:szCs w:val="24"/>
          <w:lang w:val="sr-Cyrl-CS"/>
        </w:rPr>
        <w:t>) у 2020. години износила је 417,6 килотона (Gg), што је за 5,1% више у односу 2019. (20,4% у односу на 2018. годину). Највећа емисија SO</w:t>
      </w:r>
      <w:r w:rsidRPr="00092ED7">
        <w:rPr>
          <w:rFonts w:cs="Times New Roman"/>
          <w:szCs w:val="24"/>
          <w:vertAlign w:val="subscript"/>
          <w:lang w:val="sr-Cyrl-CS"/>
        </w:rPr>
        <w:t>2</w:t>
      </w:r>
      <w:r w:rsidRPr="00092ED7">
        <w:rPr>
          <w:rFonts w:cs="Times New Roman"/>
          <w:szCs w:val="24"/>
          <w:lang w:val="sr-Cyrl-CS"/>
        </w:rPr>
        <w:t xml:space="preserve"> потиче из сектора Снабдевање електричном енергијом, гасом и паром (пре свега термоелектрана у саставу </w:t>
      </w:r>
      <w:r w:rsidR="00DE4389" w:rsidRPr="00092ED7">
        <w:rPr>
          <w:rFonts w:cs="Times New Roman"/>
          <w:szCs w:val="24"/>
          <w:lang w:val="sr-Cyrl-CS"/>
        </w:rPr>
        <w:t xml:space="preserve">ЈП </w:t>
      </w:r>
      <w:r w:rsidRPr="00092ED7">
        <w:rPr>
          <w:rFonts w:cs="Times New Roman"/>
          <w:szCs w:val="24"/>
          <w:lang w:val="sr-Cyrl-CS"/>
        </w:rPr>
        <w:t>ЕПС које користе лигнит) са уделом од 91,3% и растом од 5,4% у поређењу са 2019. годином</w:t>
      </w:r>
      <w:r w:rsidRPr="00092ED7">
        <w:rPr>
          <w:rFonts w:cs="Times New Roman"/>
          <w:szCs w:val="24"/>
          <w:vertAlign w:val="superscript"/>
          <w:lang w:val="sr-Cyrl-CS"/>
        </w:rPr>
        <w:footnoteReference w:id="80"/>
      </w:r>
      <w:r w:rsidRPr="00092ED7">
        <w:rPr>
          <w:rFonts w:cs="Times New Roman"/>
          <w:szCs w:val="24"/>
          <w:lang w:val="sr-Cyrl-CS"/>
        </w:rPr>
        <w:t xml:space="preserve"> </w:t>
      </w:r>
      <w:r w:rsidRPr="00092ED7">
        <w:rPr>
          <w:rStyle w:val="FootnoteReference"/>
          <w:rFonts w:cs="Times New Roman"/>
          <w:szCs w:val="24"/>
          <w:lang w:val="sr-Cyrl-CS"/>
        </w:rPr>
        <w:footnoteReference w:id="81"/>
      </w:r>
      <w:r w:rsidRPr="00092ED7">
        <w:rPr>
          <w:rFonts w:cs="Times New Roman"/>
          <w:szCs w:val="24"/>
          <w:lang w:val="sr-Cyrl-CS"/>
        </w:rPr>
        <w:t>. ТЕ „Костолац Б</w:t>
      </w:r>
      <w:r w:rsidR="006C523D" w:rsidRPr="00092ED7">
        <w:rPr>
          <w:rFonts w:cs="Times New Roman"/>
          <w:szCs w:val="24"/>
          <w:lang w:val="sr-Cyrl-CS"/>
        </w:rPr>
        <w:t>”</w:t>
      </w:r>
      <w:r w:rsidRPr="00092ED7">
        <w:rPr>
          <w:rFonts w:cs="Times New Roman"/>
          <w:szCs w:val="24"/>
          <w:lang w:val="sr-Cyrl-CS"/>
        </w:rPr>
        <w:t xml:space="preserve"> је једина термоелектрана у Републици Србији која има постројење за одсумпоравање димних гасова. Неопходно је интензивирати радове на изградњи </w:t>
      </w:r>
      <w:r w:rsidR="00DE4389" w:rsidRPr="00092ED7">
        <w:rPr>
          <w:rFonts w:cs="Times New Roman"/>
          <w:szCs w:val="24"/>
          <w:lang w:val="sr-Cyrl-CS"/>
        </w:rPr>
        <w:t>постројења за одсумпоравање димних гасова</w:t>
      </w:r>
      <w:r w:rsidRPr="00092ED7">
        <w:rPr>
          <w:rFonts w:cs="Times New Roman"/>
          <w:szCs w:val="24"/>
          <w:lang w:val="sr-Cyrl-CS"/>
        </w:rPr>
        <w:t xml:space="preserve"> у ТЕ Никола Тесла А и Б. Уграђена је опрема за смањење</w:t>
      </w:r>
      <w:r w:rsidRPr="00092ED7">
        <w:rPr>
          <w:lang w:val="sr-Cyrl-CS"/>
        </w:rPr>
        <w:t xml:space="preserve"> </w:t>
      </w:r>
      <w:r w:rsidRPr="00092ED7">
        <w:rPr>
          <w:rFonts w:cs="Times New Roman"/>
          <w:szCs w:val="24"/>
          <w:lang w:val="sr-Cyrl-CS"/>
        </w:rPr>
        <w:t>азотних оксида (NОx) у ТЕ Никола Тесла Б1 и постројење је пуштено у рад. На оба блока термоелектране ТЕ „Костолац Б</w:t>
      </w:r>
      <w:r w:rsidR="006C523D" w:rsidRPr="00092ED7">
        <w:rPr>
          <w:rFonts w:cs="Times New Roman"/>
          <w:szCs w:val="24"/>
          <w:lang w:val="sr-Cyrl-CS"/>
        </w:rPr>
        <w:t>”</w:t>
      </w:r>
      <w:r w:rsidRPr="00092ED7">
        <w:rPr>
          <w:rFonts w:cs="Times New Roman"/>
          <w:szCs w:val="24"/>
          <w:lang w:val="sr-Cyrl-CS"/>
        </w:rPr>
        <w:t xml:space="preserve"> постоје ниско азотни горионици, а у току су радови на увођењу секундарих мера денитрификације кроз додавање амонијака за додатно смањење емисија. Настављена је пракса наплате накнаде за заштиту и унапређење животне средине у складу са </w:t>
      </w:r>
      <w:r w:rsidRPr="00092ED7">
        <w:rPr>
          <w:rFonts w:cs="Times New Roman"/>
          <w:i/>
          <w:szCs w:val="24"/>
          <w:lang w:val="sr-Cyrl-CS"/>
        </w:rPr>
        <w:t xml:space="preserve">Законом о накнадама за коришћење јавних добара. </w:t>
      </w:r>
    </w:p>
    <w:p w14:paraId="3EC1D7D4" w14:textId="1852943D" w:rsidR="00D210F0" w:rsidRPr="00092ED7" w:rsidRDefault="00D210F0" w:rsidP="00D210F0">
      <w:pPr>
        <w:spacing w:after="60"/>
        <w:rPr>
          <w:rFonts w:cs="Times New Roman"/>
          <w:szCs w:val="24"/>
          <w:lang w:val="sr-Cyrl-CS"/>
        </w:rPr>
      </w:pPr>
      <w:r w:rsidRPr="00092ED7">
        <w:rPr>
          <w:rFonts w:cs="Times New Roman"/>
          <w:b/>
          <w:szCs w:val="24"/>
          <w:lang w:val="sr-Cyrl-CS"/>
        </w:rPr>
        <w:t xml:space="preserve">Услед постојања високе енергетске интензивности неопходна је имплементација мера енергетске ефикасности и успостављање одрживог система финансирања. </w:t>
      </w:r>
      <w:r w:rsidRPr="00092ED7">
        <w:rPr>
          <w:rFonts w:cs="Times New Roman"/>
          <w:szCs w:val="24"/>
          <w:lang w:val="sr-Cyrl-CS"/>
        </w:rPr>
        <w:t xml:space="preserve">Енергетска интензивност у Републици Србији је четири пута већа од просека земаља </w:t>
      </w:r>
      <w:r w:rsidR="00192281" w:rsidRPr="00092ED7">
        <w:rPr>
          <w:szCs w:val="24"/>
          <w:lang w:val="sr-Cyrl-CS"/>
        </w:rPr>
        <w:t>OECD</w:t>
      </w:r>
      <w:r w:rsidRPr="00092ED7">
        <w:rPr>
          <w:rFonts w:cs="Times New Roman"/>
          <w:szCs w:val="24"/>
          <w:lang w:val="sr-Cyrl-CS"/>
        </w:rPr>
        <w:t>.</w:t>
      </w:r>
      <w:r w:rsidRPr="00092ED7">
        <w:rPr>
          <w:rFonts w:eastAsia="Calibri" w:cs="Times New Roman"/>
          <w:szCs w:val="24"/>
          <w:lang w:val="sr-Cyrl-CS"/>
        </w:rPr>
        <w:t xml:space="preserve"> </w:t>
      </w:r>
      <w:r w:rsidRPr="00092ED7">
        <w:rPr>
          <w:rFonts w:cs="Times New Roman"/>
          <w:szCs w:val="24"/>
          <w:lang w:val="sr-Cyrl-CS"/>
        </w:rPr>
        <w:t>Oко 34% од укупне потрошње енергије у домаћинствима утроши се у облику електричне енергије (у ЕУ око 25%)</w:t>
      </w:r>
      <w:r w:rsidRPr="00092ED7">
        <w:rPr>
          <w:rStyle w:val="FootnoteReference"/>
          <w:rFonts w:cs="Times New Roman"/>
          <w:szCs w:val="24"/>
          <w:lang w:val="sr-Cyrl-CS"/>
        </w:rPr>
        <w:footnoteReference w:id="82"/>
      </w:r>
      <w:r w:rsidRPr="00092ED7">
        <w:rPr>
          <w:rFonts w:cs="Times New Roman"/>
          <w:szCs w:val="24"/>
          <w:lang w:val="sr-Cyrl-CS"/>
        </w:rPr>
        <w:t>.</w:t>
      </w:r>
      <w:r w:rsidRPr="00092ED7">
        <w:rPr>
          <w:lang w:val="sr-Cyrl-CS"/>
        </w:rPr>
        <w:t xml:space="preserve"> </w:t>
      </w:r>
      <w:r w:rsidRPr="00092ED7">
        <w:rPr>
          <w:rFonts w:cs="Times New Roman"/>
          <w:szCs w:val="24"/>
          <w:lang w:val="sr-Cyrl-CS"/>
        </w:rPr>
        <w:t>Процењује се да је просечна потрошња топлотне енергије по метру квадратном у домаћинствима у Републици Србији 2,5 пута виша од просечне потрошње у ЕУ. Како би се смањила енергетска интензивност,</w:t>
      </w:r>
      <w:r w:rsidRPr="00092ED7">
        <w:rPr>
          <w:rFonts w:cs="Times New Roman"/>
          <w:i/>
          <w:szCs w:val="24"/>
          <w:lang w:val="sr-Cyrl-CS"/>
        </w:rPr>
        <w:t xml:space="preserve"> Уредбом о обвезницима система енергетског менаџмента</w:t>
      </w:r>
      <w:r w:rsidRPr="00092ED7">
        <w:rPr>
          <w:rFonts w:cs="Times New Roman"/>
          <w:szCs w:val="24"/>
          <w:lang w:val="sr-Cyrl-CS"/>
        </w:rPr>
        <w:t xml:space="preserve"> („Сл</w:t>
      </w:r>
      <w:r w:rsidR="00A734D0" w:rsidRPr="00092ED7">
        <w:rPr>
          <w:rFonts w:cs="Times New Roman"/>
          <w:szCs w:val="24"/>
          <w:lang w:val="sr-Cyrl-CS"/>
        </w:rPr>
        <w:t>ужбени</w:t>
      </w:r>
      <w:r w:rsidRPr="00092ED7">
        <w:rPr>
          <w:rFonts w:cs="Times New Roman"/>
          <w:szCs w:val="24"/>
          <w:lang w:val="sr-Cyrl-CS"/>
        </w:rPr>
        <w:t xml:space="preserve"> гласник РС</w:t>
      </w:r>
      <w:r w:rsidR="00A734D0" w:rsidRPr="00092ED7">
        <w:rPr>
          <w:rFonts w:cs="Times New Roman"/>
          <w:szCs w:val="24"/>
          <w:lang w:val="sr-Cyrl-CS"/>
        </w:rPr>
        <w:t>”</w:t>
      </w:r>
      <w:r w:rsidR="009C5AE4" w:rsidRPr="00092ED7">
        <w:rPr>
          <w:rFonts w:cs="Times New Roman"/>
          <w:szCs w:val="24"/>
          <w:lang w:val="sr-Cyrl-CS"/>
        </w:rPr>
        <w:t>, бр</w:t>
      </w:r>
      <w:r w:rsidR="00A734D0" w:rsidRPr="00092ED7">
        <w:rPr>
          <w:rFonts w:cs="Times New Roman"/>
          <w:szCs w:val="24"/>
          <w:lang w:val="sr-Cyrl-CS"/>
        </w:rPr>
        <w:t>ој</w:t>
      </w:r>
      <w:r w:rsidRPr="00092ED7">
        <w:rPr>
          <w:rFonts w:cs="Times New Roman"/>
          <w:szCs w:val="24"/>
          <w:lang w:val="sr-Cyrl-CS"/>
        </w:rPr>
        <w:t xml:space="preserve"> 59/22) утврђена је уштеда у текућој години на нивоу од 1% примарне енергије која је утрошена у претходној години. У наредном периоду ће се изградити и унапређивати капацитети </w:t>
      </w:r>
      <w:r w:rsidRPr="00092ED7">
        <w:rPr>
          <w:rFonts w:cs="Times New Roman"/>
          <w:i/>
          <w:szCs w:val="24"/>
          <w:lang w:val="sr-Cyrl-CS"/>
        </w:rPr>
        <w:t>Управе за финансирање и подстицање енергетске ефикасности</w:t>
      </w:r>
      <w:r w:rsidRPr="00092ED7">
        <w:rPr>
          <w:rFonts w:cs="Times New Roman"/>
          <w:szCs w:val="24"/>
          <w:lang w:val="sr-Cyrl-CS"/>
        </w:rPr>
        <w:t>.</w:t>
      </w:r>
    </w:p>
    <w:p w14:paraId="2D81B30A" w14:textId="0641862B" w:rsidR="00D210F0" w:rsidRPr="00092ED7" w:rsidRDefault="00D210F0" w:rsidP="00D210F0">
      <w:pPr>
        <w:spacing w:after="60"/>
        <w:rPr>
          <w:rFonts w:cs="Times New Roman"/>
          <w:szCs w:val="24"/>
          <w:lang w:val="sr-Cyrl-CS"/>
        </w:rPr>
      </w:pPr>
      <w:r w:rsidRPr="00092ED7">
        <w:rPr>
          <w:rFonts w:cs="Times New Roman"/>
          <w:szCs w:val="24"/>
          <w:lang w:val="sr-Cyrl-CS"/>
        </w:rPr>
        <w:t xml:space="preserve">Донета је </w:t>
      </w:r>
      <w:r w:rsidRPr="00092ED7">
        <w:rPr>
          <w:rFonts w:cs="Times New Roman"/>
          <w:i/>
          <w:szCs w:val="24"/>
          <w:lang w:val="sr-Cyrl-CS"/>
        </w:rPr>
        <w:t>Уредба о минималним захтевима енергетске ефикасности које морају да испуњавају нови и реконструисани енергетски објекти</w:t>
      </w:r>
      <w:r w:rsidR="009A4C22" w:rsidRPr="00092ED7">
        <w:rPr>
          <w:rFonts w:cs="Times New Roman"/>
          <w:szCs w:val="24"/>
          <w:lang w:val="sr-Cyrl-CS"/>
        </w:rPr>
        <w:t xml:space="preserve"> („Сл</w:t>
      </w:r>
      <w:r w:rsidR="00A734D0" w:rsidRPr="00092ED7">
        <w:rPr>
          <w:rFonts w:cs="Times New Roman"/>
          <w:szCs w:val="24"/>
          <w:lang w:val="sr-Cyrl-CS"/>
        </w:rPr>
        <w:t>ужбени</w:t>
      </w:r>
      <w:r w:rsidRPr="00092ED7">
        <w:rPr>
          <w:rFonts w:cs="Times New Roman"/>
          <w:szCs w:val="24"/>
          <w:lang w:val="sr-Cyrl-CS"/>
        </w:rPr>
        <w:t xml:space="preserve"> гласник РС</w:t>
      </w:r>
      <w:r w:rsidR="00A734D0" w:rsidRPr="00092ED7">
        <w:rPr>
          <w:rFonts w:cs="Times New Roman"/>
          <w:szCs w:val="24"/>
          <w:lang w:val="sr-Cyrl-CS"/>
        </w:rPr>
        <w:t>”</w:t>
      </w:r>
      <w:r w:rsidR="00E8000F" w:rsidRPr="00092ED7">
        <w:rPr>
          <w:rFonts w:cs="Times New Roman"/>
          <w:szCs w:val="24"/>
          <w:lang w:val="sr-Cyrl-CS"/>
        </w:rPr>
        <w:t>,</w:t>
      </w:r>
      <w:r w:rsidR="009A4C22" w:rsidRPr="00092ED7">
        <w:rPr>
          <w:rFonts w:cs="Times New Roman"/>
          <w:szCs w:val="24"/>
          <w:lang w:val="sr-Cyrl-CS"/>
        </w:rPr>
        <w:t xml:space="preserve"> бр</w:t>
      </w:r>
      <w:r w:rsidR="00A734D0" w:rsidRPr="00092ED7">
        <w:rPr>
          <w:rFonts w:cs="Times New Roman"/>
          <w:szCs w:val="24"/>
          <w:lang w:val="sr-Cyrl-CS"/>
        </w:rPr>
        <w:t>ој</w:t>
      </w:r>
      <w:r w:rsidRPr="00092ED7">
        <w:rPr>
          <w:rFonts w:cs="Times New Roman"/>
          <w:szCs w:val="24"/>
          <w:lang w:val="sr-Cyrl-CS"/>
        </w:rPr>
        <w:t xml:space="preserve"> 44/22)</w:t>
      </w:r>
      <w:r w:rsidR="00147385" w:rsidRPr="00092ED7">
        <w:rPr>
          <w:rFonts w:cs="Times New Roman"/>
          <w:szCs w:val="24"/>
          <w:lang w:val="sr-Cyrl-CS"/>
        </w:rPr>
        <w:t>,</w:t>
      </w:r>
      <w:r w:rsidRPr="00092ED7">
        <w:rPr>
          <w:rFonts w:cs="Times New Roman"/>
          <w:szCs w:val="24"/>
          <w:lang w:val="sr-Cyrl-CS"/>
        </w:rPr>
        <w:t xml:space="preserve"> како би се унапредила енергетска ефикасност објеката за производњу, пренос и дистрибуцију електричне и топлотне енергије. У протеклим деценијама, недовољна пажња је посвећивана енергетској ефикасности стамбених зграда и кућа (недостатак/неадекватност топлотне изолације на објектима, уграђивање дрвених прозора лошег квалитета, коришћење нестандардизованих, енергетски неефикасних и застарелих уређаја за грејање на угаљ/дрва), што представља један од узрока који могу довести до енергетског сиромаштва. Као последица тога, индивидуална потрошња енергије у домаћинствима има значајан удео у емисији штетних гасова одговорних за стварање ефекта стаклене баште. Примена мера које повећавају енергетску ефикасност у стамбеном сектору је кључни фактор за покретање енергетске транзиције, остваривање циљева енергетске политике и смањења енергетског сиромаштва. То захтева постављање топлотне изолације у стамбеним објектима, замену прозора и спољних врата у њима, замену котлова на угаљ котловима са енергетски ефикаснијим начином за загрејање и уградњу соларних колектора за загревање воде, као и постављање кровних соларних фотонапонских панела (PV). Започета је реализација пројекта доделе субвенција за уградњу соларних панела за производњу електричне енергије за сопствене потребе у којем </w:t>
      </w:r>
      <w:r w:rsidR="00045F19" w:rsidRPr="00092ED7">
        <w:rPr>
          <w:rFonts w:cs="Times New Roman"/>
          <w:szCs w:val="24"/>
          <w:lang w:val="sr-Cyrl-CS"/>
        </w:rPr>
        <w:t xml:space="preserve">је </w:t>
      </w:r>
      <w:r w:rsidRPr="00092ED7">
        <w:rPr>
          <w:rFonts w:cs="Times New Roman"/>
          <w:szCs w:val="24"/>
          <w:lang w:val="sr-Cyrl-CS"/>
        </w:rPr>
        <w:t>учеств</w:t>
      </w:r>
      <w:r w:rsidR="00045F19" w:rsidRPr="00092ED7">
        <w:rPr>
          <w:rFonts w:cs="Times New Roman"/>
          <w:szCs w:val="24"/>
          <w:lang w:val="sr-Cyrl-CS"/>
        </w:rPr>
        <w:t>овало</w:t>
      </w:r>
      <w:r w:rsidRPr="00092ED7">
        <w:rPr>
          <w:rFonts w:cs="Times New Roman"/>
          <w:szCs w:val="24"/>
          <w:lang w:val="sr-Cyrl-CS"/>
        </w:rPr>
        <w:t xml:space="preserve"> 37 ЈЛС у 2021. Очекивана уштеда енергије је 1.956.000 kWh годишње а смањење емисије CO</w:t>
      </w:r>
      <w:r w:rsidRPr="00092ED7">
        <w:rPr>
          <w:rFonts w:cs="Times New Roman"/>
          <w:szCs w:val="24"/>
          <w:vertAlign w:val="subscript"/>
          <w:lang w:val="sr-Cyrl-CS"/>
        </w:rPr>
        <w:t>2</w:t>
      </w:r>
      <w:r w:rsidRPr="00092ED7">
        <w:rPr>
          <w:rFonts w:cs="Times New Roman"/>
          <w:szCs w:val="24"/>
          <w:lang w:val="sr-Cyrl-CS"/>
        </w:rPr>
        <w:t xml:space="preserve"> 1.082,11 тона годишње. У пројекту повећања енергетске ефикасности кроз унапређење термичког омотача, унапређење термотехничких система и уградњу соларних колектора у инсталацију за централну припрему потрошне топле воде, учествовало је 67 ЈЛС и субвенције ће остварити око 4.200 домаћинстава. Очекује се уштеда енергије од 38.054.413 kWh годишње и смањење емисије CO</w:t>
      </w:r>
      <w:r w:rsidRPr="00092ED7">
        <w:rPr>
          <w:rFonts w:cs="Times New Roman"/>
          <w:szCs w:val="24"/>
          <w:vertAlign w:val="subscript"/>
          <w:lang w:val="sr-Cyrl-CS"/>
        </w:rPr>
        <w:t xml:space="preserve">2 </w:t>
      </w:r>
      <w:r w:rsidRPr="00092ED7">
        <w:rPr>
          <w:rFonts w:cs="Times New Roman"/>
          <w:szCs w:val="24"/>
          <w:lang w:val="sr-Cyrl-CS"/>
        </w:rPr>
        <w:t>12.452,20 тона годишње, што ће се одразити и на смањење рачуна за електричну енергију за 20-30% на нивоу домаћинства. У буџету за 2022. годину Управе</w:t>
      </w:r>
      <w:r w:rsidR="00AA5776" w:rsidRPr="00092ED7">
        <w:rPr>
          <w:rFonts w:cs="Times New Roman"/>
          <w:szCs w:val="24"/>
          <w:lang w:val="sr-Cyrl-CS"/>
        </w:rPr>
        <w:t xml:space="preserve"> </w:t>
      </w:r>
      <w:r w:rsidR="00C31648" w:rsidRPr="00092ED7">
        <w:rPr>
          <w:rFonts w:cs="Times New Roman"/>
          <w:szCs w:val="24"/>
          <w:lang w:val="sr-Cyrl-CS"/>
        </w:rPr>
        <w:t>за финансирање и подстицање енергетске ефикасности</w:t>
      </w:r>
      <w:r w:rsidRPr="00092ED7">
        <w:rPr>
          <w:rFonts w:cs="Times New Roman"/>
          <w:szCs w:val="24"/>
          <w:lang w:val="sr-Cyrl-CS"/>
        </w:rPr>
        <w:t xml:space="preserve"> обезбеђено је близу </w:t>
      </w:r>
      <w:r w:rsidR="00C31648" w:rsidRPr="00092ED7">
        <w:rPr>
          <w:rFonts w:cs="Times New Roman"/>
          <w:szCs w:val="24"/>
          <w:lang w:val="sr-Cyrl-CS"/>
        </w:rPr>
        <w:t xml:space="preserve">две </w:t>
      </w:r>
      <w:r w:rsidRPr="00092ED7">
        <w:rPr>
          <w:rFonts w:cs="Times New Roman"/>
          <w:szCs w:val="24"/>
          <w:lang w:val="sr-Cyrl-CS"/>
        </w:rPr>
        <w:t>милијарде динара за реализацију програма суфинансирања мера енергетске ефикасности.</w:t>
      </w:r>
      <w:r w:rsidR="00D222D1" w:rsidRPr="00092ED7">
        <w:rPr>
          <w:rFonts w:eastAsia="MS PGothic" w:cs="Times New Roman"/>
          <w:bCs/>
          <w:iCs/>
          <w:szCs w:val="24"/>
          <w:lang w:val="sr-Cyrl-CS" w:eastAsia="ja-JP"/>
        </w:rPr>
        <w:t xml:space="preserve"> Расположива средства из буџета за 2023. годину биће додатно увећана средствима зајма Светске банке и EBRD.</w:t>
      </w:r>
      <w:r w:rsidRPr="00092ED7">
        <w:rPr>
          <w:rFonts w:cs="Times New Roman"/>
          <w:szCs w:val="24"/>
          <w:lang w:val="sr-Cyrl-CS"/>
        </w:rPr>
        <w:t xml:space="preserve"> У марту 2022. године потписани су уговори са 151 ЈЛС за финансирање </w:t>
      </w:r>
      <w:r w:rsidRPr="00092ED7">
        <w:rPr>
          <w:rFonts w:cs="Times New Roman"/>
          <w:i/>
          <w:szCs w:val="24"/>
          <w:lang w:val="sr-Cyrl-CS"/>
        </w:rPr>
        <w:t>Програма енергетске санације стамбених зграда, породичних кућа и станова</w:t>
      </w:r>
      <w:r w:rsidRPr="00092ED7">
        <w:rPr>
          <w:rFonts w:cs="Times New Roman"/>
          <w:szCs w:val="24"/>
          <w:lang w:val="sr-Cyrl-CS"/>
        </w:rPr>
        <w:t xml:space="preserve"> који спроводе </w:t>
      </w:r>
      <w:r w:rsidR="00EB5D17" w:rsidRPr="00092ED7">
        <w:rPr>
          <w:rFonts w:cs="Times New Roman"/>
          <w:szCs w:val="24"/>
          <w:lang w:val="sr-Cyrl-CS"/>
        </w:rPr>
        <w:t>ЈЛС</w:t>
      </w:r>
      <w:r w:rsidRPr="00092ED7">
        <w:rPr>
          <w:rFonts w:cs="Times New Roman"/>
          <w:szCs w:val="24"/>
          <w:lang w:val="sr-Cyrl-CS"/>
        </w:rPr>
        <w:t xml:space="preserve"> као и градске општине, где се очекује да ће субвенције остварити око 20.000 домаћинстава. Очекивана уштеда енергије је око 196.276.070 kWh годишње а смањење емисије CO</w:t>
      </w:r>
      <w:r w:rsidRPr="00092ED7">
        <w:rPr>
          <w:rFonts w:cs="Times New Roman"/>
          <w:szCs w:val="24"/>
          <w:vertAlign w:val="subscript"/>
          <w:lang w:val="sr-Cyrl-CS"/>
        </w:rPr>
        <w:t>2</w:t>
      </w:r>
      <w:r w:rsidRPr="00092ED7">
        <w:rPr>
          <w:rFonts w:cs="Times New Roman"/>
          <w:szCs w:val="24"/>
          <w:lang w:val="sr-Cyrl-CS"/>
        </w:rPr>
        <w:t xml:space="preserve"> 87.913 тона годишње. Модел суфинансирања мера енергетске санације јесте да М</w:t>
      </w:r>
      <w:r w:rsidR="00045F19" w:rsidRPr="00092ED7">
        <w:rPr>
          <w:rFonts w:cs="Times New Roman"/>
          <w:szCs w:val="24"/>
          <w:lang w:val="sr-Cyrl-CS"/>
        </w:rPr>
        <w:t>инистарство рударства и енергетике</w:t>
      </w:r>
      <w:r w:rsidRPr="00092ED7">
        <w:rPr>
          <w:rFonts w:cs="Times New Roman"/>
          <w:szCs w:val="24"/>
          <w:lang w:val="sr-Cyrl-CS"/>
        </w:rPr>
        <w:t>/Управа</w:t>
      </w:r>
      <w:r w:rsidR="00C31648" w:rsidRPr="00092ED7">
        <w:rPr>
          <w:rFonts w:cs="Times New Roman"/>
          <w:szCs w:val="24"/>
          <w:lang w:val="sr-Cyrl-CS"/>
        </w:rPr>
        <w:t xml:space="preserve"> </w:t>
      </w:r>
      <w:r w:rsidR="00045F19" w:rsidRPr="00092ED7">
        <w:rPr>
          <w:rFonts w:cs="Times New Roman"/>
          <w:bCs/>
          <w:iCs/>
          <w:szCs w:val="24"/>
          <w:lang w:val="sr-Cyrl-CS"/>
        </w:rPr>
        <w:t>за финансирање и подстицање енергетске ефикасности</w:t>
      </w:r>
      <w:r w:rsidRPr="00092ED7">
        <w:rPr>
          <w:rFonts w:cs="Times New Roman"/>
          <w:szCs w:val="24"/>
          <w:lang w:val="sr-Cyrl-CS"/>
        </w:rPr>
        <w:t xml:space="preserve"> и ЈЛС обезбеђују до максимално 50% средстава (М</w:t>
      </w:r>
      <w:r w:rsidR="00045F19" w:rsidRPr="00092ED7">
        <w:rPr>
          <w:rFonts w:cs="Times New Roman"/>
          <w:szCs w:val="24"/>
          <w:lang w:val="sr-Cyrl-CS"/>
        </w:rPr>
        <w:t>инистарство рударства и енергетике</w:t>
      </w:r>
      <w:r w:rsidRPr="00092ED7">
        <w:rPr>
          <w:rFonts w:cs="Times New Roman"/>
          <w:szCs w:val="24"/>
          <w:lang w:val="sr-Cyrl-CS"/>
        </w:rPr>
        <w:t xml:space="preserve"> 25%, ЈЛС 25%), док грађани учествују са другом половином. У јулу 2022. године потписани су уговори са 38 ЈЛС ради финансирања пројеката унапређења енергетске ефикасности у објектима од јавног значаја у </w:t>
      </w:r>
      <w:r w:rsidR="00A03723" w:rsidRPr="00092ED7">
        <w:rPr>
          <w:rFonts w:cs="Times New Roman"/>
          <w:szCs w:val="24"/>
          <w:lang w:val="sr-Cyrl-CS"/>
        </w:rPr>
        <w:t>ЈЛС</w:t>
      </w:r>
      <w:r w:rsidRPr="00092ED7">
        <w:rPr>
          <w:rFonts w:cs="Times New Roman"/>
          <w:szCs w:val="24"/>
          <w:lang w:val="sr-Cyrl-CS"/>
        </w:rPr>
        <w:t>, као и градским општинама. Модел по којем се реализује овај програм је: максималан износ средстава који додељује Управа</w:t>
      </w:r>
      <w:r w:rsidR="00C31648" w:rsidRPr="00092ED7">
        <w:rPr>
          <w:rFonts w:cs="Times New Roman"/>
          <w:szCs w:val="24"/>
          <w:lang w:val="sr-Cyrl-CS"/>
        </w:rPr>
        <w:t xml:space="preserve"> </w:t>
      </w:r>
      <w:r w:rsidR="00045F19" w:rsidRPr="00092ED7">
        <w:rPr>
          <w:rFonts w:cs="Times New Roman"/>
          <w:bCs/>
          <w:iCs/>
          <w:szCs w:val="24"/>
          <w:lang w:val="sr-Cyrl-CS"/>
        </w:rPr>
        <w:t>за финансирање и подстицање енергетске ефикасности</w:t>
      </w:r>
      <w:r w:rsidRPr="00092ED7">
        <w:rPr>
          <w:rFonts w:cs="Times New Roman"/>
          <w:szCs w:val="24"/>
          <w:lang w:val="sr-Cyrl-CS"/>
        </w:rPr>
        <w:t>је 30 милиона динара, а максимално 70% износа укупне вредности пројекта; девастиране ЈЛС су имале могућност да добију 100% средстава, а максимално 30 милиона динара; за меру модернизације јавног осветљења, максимално учешће Управе</w:t>
      </w:r>
      <w:r w:rsidR="00C31648" w:rsidRPr="00092ED7">
        <w:rPr>
          <w:rFonts w:cs="Times New Roman"/>
          <w:szCs w:val="24"/>
          <w:lang w:val="sr-Cyrl-CS"/>
        </w:rPr>
        <w:t xml:space="preserve"> </w:t>
      </w:r>
      <w:r w:rsidR="00045F19" w:rsidRPr="00092ED7">
        <w:rPr>
          <w:rFonts w:cs="Times New Roman"/>
          <w:bCs/>
          <w:iCs/>
          <w:szCs w:val="24"/>
          <w:lang w:val="sr-Cyrl-CS"/>
        </w:rPr>
        <w:t>за финансирање и подстицање енергетске ефикасности</w:t>
      </w:r>
      <w:r w:rsidRPr="00092ED7">
        <w:rPr>
          <w:rFonts w:cs="Times New Roman"/>
          <w:szCs w:val="24"/>
          <w:lang w:val="sr-Cyrl-CS"/>
        </w:rPr>
        <w:t xml:space="preserve"> је 20%, а максимално 4.500.000,00 динара. Процена је да ће реализацијом ових пројеката уштеде бити око 9 милиона kWh на годишњем нивоу, а смањење емисије CO</w:t>
      </w:r>
      <w:r w:rsidRPr="00092ED7">
        <w:rPr>
          <w:rFonts w:cs="Times New Roman"/>
          <w:szCs w:val="24"/>
          <w:vertAlign w:val="subscript"/>
          <w:lang w:val="sr-Cyrl-CS"/>
        </w:rPr>
        <w:t>2</w:t>
      </w:r>
      <w:r w:rsidRPr="00092ED7">
        <w:rPr>
          <w:rFonts w:cs="Times New Roman"/>
          <w:szCs w:val="24"/>
          <w:lang w:val="sr-Cyrl-CS"/>
        </w:rPr>
        <w:t xml:space="preserve"> око 4.500 тона годишње.</w:t>
      </w:r>
    </w:p>
    <w:p w14:paraId="63BE43FF" w14:textId="5E929938" w:rsidR="00D210F0" w:rsidRPr="00092ED7" w:rsidRDefault="00D210F0" w:rsidP="00D210F0">
      <w:pPr>
        <w:spacing w:after="60"/>
        <w:rPr>
          <w:rFonts w:cs="Times New Roman"/>
          <w:szCs w:val="24"/>
          <w:lang w:val="sr-Cyrl-CS"/>
        </w:rPr>
      </w:pPr>
      <w:r w:rsidRPr="00092ED7">
        <w:rPr>
          <w:rFonts w:cs="Times New Roman"/>
          <w:szCs w:val="24"/>
          <w:lang w:val="sr-Cyrl-CS"/>
        </w:rPr>
        <w:t>Кроз реализацију пројекта ,,Чиста енергија и енергетска ефикасност за грађане у Србији</w:t>
      </w:r>
      <w:r w:rsidR="004E5581" w:rsidRPr="00092ED7">
        <w:rPr>
          <w:rFonts w:cs="Times New Roman"/>
          <w:szCs w:val="24"/>
          <w:lang w:val="sr-Cyrl-CS"/>
        </w:rPr>
        <w:t>”</w:t>
      </w:r>
      <w:r w:rsidRPr="00092ED7">
        <w:rPr>
          <w:rFonts w:cs="Times New Roman"/>
          <w:szCs w:val="24"/>
          <w:lang w:val="sr-Cyrl-CS"/>
        </w:rPr>
        <w:t xml:space="preserve"> предвиђена је уштеда енергије од око 5,5 TWh уз очекивано учешће око 25.000 домаћинстава, од чега око 2.500 социјално угрожених домаћинстава и око 3.000 домаћинстава која ће са грејања на чврста горива прећи на други вид грејања. Осим тога, програм предвиђа уградњу кровних соларних панела у домаћинствима капацитета око 4 MW.</w:t>
      </w:r>
    </w:p>
    <w:p w14:paraId="154384C7" w14:textId="0CD78CC4" w:rsidR="00D210F0" w:rsidRPr="00092ED7" w:rsidRDefault="00D210F0" w:rsidP="005D14E2">
      <w:pPr>
        <w:spacing w:after="60"/>
        <w:rPr>
          <w:rFonts w:cs="Times New Roman"/>
          <w:szCs w:val="24"/>
          <w:lang w:val="sr-Cyrl-CS"/>
        </w:rPr>
      </w:pPr>
      <w:r w:rsidRPr="00092ED7">
        <w:rPr>
          <w:rFonts w:cs="Times New Roman"/>
          <w:b/>
          <w:szCs w:val="24"/>
          <w:lang w:val="sr-Cyrl-CS"/>
        </w:rPr>
        <w:t xml:space="preserve">Потребна је изградња нових производних капацитета уз прелазак на коришћење обновљивих извора енергије. </w:t>
      </w:r>
      <w:r w:rsidRPr="00092ED7">
        <w:rPr>
          <w:rFonts w:cs="Times New Roman"/>
          <w:szCs w:val="24"/>
          <w:lang w:val="sr-Cyrl-CS"/>
        </w:rPr>
        <w:t>Присутан је раст учешћа обновљивих извора у бруто финалној потрошњи енергије на нивоу од 26,3% у 2020. (21,4% у 2019.)</w:t>
      </w:r>
      <w:r w:rsidRPr="00092ED7">
        <w:rPr>
          <w:rStyle w:val="FootnoteReference"/>
          <w:rFonts w:cs="Times New Roman"/>
          <w:szCs w:val="24"/>
          <w:lang w:val="sr-Cyrl-CS"/>
        </w:rPr>
        <w:footnoteReference w:id="83"/>
      </w:r>
      <w:r w:rsidRPr="00092ED7">
        <w:rPr>
          <w:rFonts w:cs="Times New Roman"/>
          <w:szCs w:val="24"/>
          <w:lang w:val="sr-Cyrl-CS"/>
        </w:rPr>
        <w:t xml:space="preserve">. Производни капацитети електроенергетског сектора су просечне старости преко 30 година, што ограничава развој овог сектора, тржишта енергије и умањује степен регионалног повезивања. Домаћа тражња за електричном енергијом је у порасту што указује на неопходност изградње нових инфраструктурних капацитета. Удео производње из обновљивих извора у укупној производњи електричне енергије износио је </w:t>
      </w:r>
      <w:r w:rsidR="00BA2C80" w:rsidRPr="00092ED7">
        <w:rPr>
          <w:rFonts w:cs="Times New Roman"/>
          <w:szCs w:val="24"/>
          <w:lang w:val="sr-Cyrl-CS"/>
        </w:rPr>
        <w:t>30,70</w:t>
      </w:r>
      <w:r w:rsidRPr="00092ED7">
        <w:rPr>
          <w:rFonts w:cs="Times New Roman"/>
          <w:szCs w:val="24"/>
          <w:lang w:val="sr-Cyrl-CS"/>
        </w:rPr>
        <w:t xml:space="preserve">% у </w:t>
      </w:r>
      <w:r w:rsidR="00BA2C80" w:rsidRPr="00092ED7">
        <w:rPr>
          <w:rFonts w:cs="Times New Roman"/>
          <w:szCs w:val="24"/>
          <w:lang w:val="sr-Cyrl-CS"/>
        </w:rPr>
        <w:t>2020</w:t>
      </w:r>
      <w:r w:rsidRPr="00092ED7">
        <w:rPr>
          <w:rFonts w:cs="Times New Roman"/>
          <w:szCs w:val="24"/>
          <w:lang w:val="sr-Cyrl-CS"/>
        </w:rPr>
        <w:t>. години (</w:t>
      </w:r>
      <w:r w:rsidR="00BA2C80" w:rsidRPr="00092ED7">
        <w:rPr>
          <w:rFonts w:cs="Times New Roman"/>
          <w:szCs w:val="24"/>
          <w:lang w:val="sr-Cyrl-CS"/>
        </w:rPr>
        <w:t>30.11</w:t>
      </w:r>
      <w:r w:rsidRPr="00092ED7">
        <w:rPr>
          <w:rFonts w:cs="Times New Roman"/>
          <w:szCs w:val="24"/>
          <w:lang w:val="sr-Cyrl-CS"/>
        </w:rPr>
        <w:t xml:space="preserve">% у 2019). Изградњом две реверзибилне </w:t>
      </w:r>
      <w:r w:rsidR="00C31648" w:rsidRPr="00092ED7">
        <w:rPr>
          <w:rFonts w:cs="Times New Roman"/>
          <w:szCs w:val="24"/>
          <w:lang w:val="sr-Cyrl-CS"/>
        </w:rPr>
        <w:t>хидроелектране</w:t>
      </w:r>
      <w:r w:rsidRPr="00092ED7">
        <w:rPr>
          <w:rFonts w:cs="Times New Roman"/>
          <w:szCs w:val="24"/>
          <w:lang w:val="sr-Cyrl-CS"/>
        </w:rPr>
        <w:t xml:space="preserve"> („Бистрица</w:t>
      </w:r>
      <w:r w:rsidR="00DE5AF3" w:rsidRPr="00092ED7">
        <w:rPr>
          <w:rFonts w:cs="Times New Roman"/>
          <w:szCs w:val="24"/>
          <w:lang w:val="sr-Cyrl-CS"/>
        </w:rPr>
        <w:t>”</w:t>
      </w:r>
      <w:r w:rsidRPr="00092ED7">
        <w:rPr>
          <w:rFonts w:cs="Times New Roman"/>
          <w:szCs w:val="24"/>
          <w:lang w:val="sr-Cyrl-CS"/>
        </w:rPr>
        <w:t xml:space="preserve"> снаге 628 MW и „Ђердап 3</w:t>
      </w:r>
      <w:r w:rsidR="00DE5AF3" w:rsidRPr="00092ED7">
        <w:rPr>
          <w:rFonts w:cs="Times New Roman"/>
          <w:szCs w:val="24"/>
          <w:lang w:val="sr-Cyrl-CS"/>
        </w:rPr>
        <w:t>”</w:t>
      </w:r>
      <w:r w:rsidRPr="00092ED7">
        <w:rPr>
          <w:rFonts w:cs="Times New Roman"/>
          <w:szCs w:val="24"/>
          <w:lang w:val="sr-Cyrl-CS"/>
        </w:rPr>
        <w:t xml:space="preserve"> снаге 2.400 MW) у наредном периоду, поред повећања произведене енергије, створиће се услови за интеграцију нових капацитета из ОИЕ веће инсталиране снаге. Пуштена је у рад термоелектрана-топлана (ТЕ-ТО) Панчево снаге 200 MW, прва високоефикасна топлана у </w:t>
      </w:r>
      <w:r w:rsidR="00C31648" w:rsidRPr="00092ED7">
        <w:rPr>
          <w:rFonts w:cs="Times New Roman"/>
          <w:szCs w:val="24"/>
          <w:lang w:val="sr-Cyrl-CS"/>
        </w:rPr>
        <w:t xml:space="preserve">Републици </w:t>
      </w:r>
      <w:r w:rsidRPr="00092ED7">
        <w:rPr>
          <w:rFonts w:cs="Times New Roman"/>
          <w:szCs w:val="24"/>
          <w:lang w:val="sr-Cyrl-CS"/>
        </w:rPr>
        <w:t>Србији и региону, која ће користити природни гас као гориво за производњу електричне и топлотне енергије. Настављена је изградња новог блока Б3 у ТЕ „Костолац Б</w:t>
      </w:r>
      <w:r w:rsidR="00DE5AF3" w:rsidRPr="00092ED7">
        <w:rPr>
          <w:rFonts w:cs="Times New Roman"/>
          <w:szCs w:val="24"/>
          <w:lang w:val="sr-Cyrl-CS"/>
        </w:rPr>
        <w:t>”</w:t>
      </w:r>
      <w:r w:rsidRPr="00092ED7">
        <w:rPr>
          <w:rFonts w:cs="Times New Roman"/>
          <w:szCs w:val="24"/>
          <w:lang w:val="sr-Cyrl-CS"/>
        </w:rPr>
        <w:t>снаге 350 MW.</w:t>
      </w:r>
    </w:p>
    <w:p w14:paraId="5A49726D" w14:textId="29A7E1E6" w:rsidR="00D210F0" w:rsidRPr="00092ED7" w:rsidRDefault="00D210F0" w:rsidP="005D14E2">
      <w:pPr>
        <w:spacing w:after="60"/>
        <w:rPr>
          <w:rFonts w:cs="Times New Roman"/>
          <w:szCs w:val="24"/>
          <w:lang w:val="sr-Cyrl-CS"/>
        </w:rPr>
      </w:pPr>
      <w:r w:rsidRPr="00092ED7">
        <w:rPr>
          <w:rFonts w:cs="Times New Roman"/>
          <w:szCs w:val="24"/>
          <w:lang w:val="sr-Cyrl-CS"/>
        </w:rPr>
        <w:t xml:space="preserve">До сада је изграђено укупно девет ветроелектранa укупне снаге око </w:t>
      </w:r>
      <w:r w:rsidR="00BA2C80" w:rsidRPr="00092ED7">
        <w:rPr>
          <w:rFonts w:cs="Times New Roman"/>
          <w:szCs w:val="24"/>
          <w:lang w:val="sr-Cyrl-CS"/>
        </w:rPr>
        <w:t xml:space="preserve">400 </w:t>
      </w:r>
      <w:r w:rsidRPr="00092ED7">
        <w:rPr>
          <w:rFonts w:cs="Times New Roman"/>
          <w:szCs w:val="24"/>
          <w:lang w:val="sr-Cyrl-CS"/>
        </w:rPr>
        <w:t>MW. Започета је изградња ветропарка ,,Кула 2</w:t>
      </w:r>
      <w:r w:rsidR="00DE5AF3" w:rsidRPr="00092ED7">
        <w:rPr>
          <w:rFonts w:cs="Times New Roman"/>
          <w:szCs w:val="24"/>
          <w:lang w:val="sr-Cyrl-CS"/>
        </w:rPr>
        <w:t>”</w:t>
      </w:r>
      <w:r w:rsidRPr="00092ED7">
        <w:rPr>
          <w:rFonts w:cs="Times New Roman"/>
          <w:szCs w:val="24"/>
          <w:lang w:val="sr-Cyrl-CS"/>
        </w:rPr>
        <w:t xml:space="preserve"> капацитета 10 MW. Планиран је почетак радова на изградњи ветропарка Пупин снаге 95,5 MW и  ветроелектране Црни врх снаге 150 MW. Отпочели су радови на изградњи ветроелектране у Костолцу укупне снаге 66 MW чији је инвеститор ЈП ЕПС. Настављени су радови на изградњи биогасних електрана, што ће обезбедити </w:t>
      </w:r>
      <w:r w:rsidR="00BA2C80" w:rsidRPr="00092ED7">
        <w:rPr>
          <w:rFonts w:cs="Times New Roman"/>
          <w:szCs w:val="24"/>
          <w:lang w:val="sr-Cyrl-CS"/>
        </w:rPr>
        <w:t xml:space="preserve">приближно 75 </w:t>
      </w:r>
      <w:r w:rsidRPr="00092ED7">
        <w:rPr>
          <w:rFonts w:cs="Times New Roman"/>
          <w:szCs w:val="24"/>
          <w:lang w:val="sr-Cyrl-CS"/>
        </w:rPr>
        <w:t>МW инсталисаних капацитета. Изграђене су нове топлане на биомасу у Прибоју и Малом Зворнику, у току су радови у Новом Пазару и очекује се почетак радова у Мајданпеку.</w:t>
      </w:r>
    </w:p>
    <w:p w14:paraId="4EB798E9" w14:textId="0E8BF633" w:rsidR="00D210F0" w:rsidRPr="00092ED7" w:rsidRDefault="00D210F0" w:rsidP="005D14E2">
      <w:pPr>
        <w:spacing w:after="60"/>
        <w:rPr>
          <w:rFonts w:eastAsia="Calibri" w:cs="Times New Roman"/>
          <w:szCs w:val="24"/>
          <w:lang w:val="sr-Cyrl-CS"/>
        </w:rPr>
      </w:pPr>
      <w:r w:rsidRPr="00092ED7">
        <w:rPr>
          <w:rFonts w:cs="Times New Roman"/>
          <w:szCs w:val="24"/>
          <w:lang w:val="sr-Cyrl-CS"/>
        </w:rPr>
        <w:t xml:space="preserve">Настављена је реализација пројекта рехабилитације система даљинског грејања који се реализује заједно са немачком развојном банком KfW. Спроводи се рехабилитација и модернизација постојећих топлана у циљу преласка на даљинско грејање и веће употребе ОИЕ. Пројекат </w:t>
      </w:r>
      <w:r w:rsidR="00A11618" w:rsidRPr="00092ED7">
        <w:rPr>
          <w:rFonts w:cs="Times New Roman"/>
          <w:szCs w:val="24"/>
          <w:lang w:val="sr-Cyrl-CS"/>
        </w:rPr>
        <w:t xml:space="preserve">укупне вредности 32 милиона евра </w:t>
      </w:r>
      <w:r w:rsidRPr="00092ED7">
        <w:rPr>
          <w:rFonts w:cs="Times New Roman"/>
          <w:szCs w:val="24"/>
          <w:lang w:val="sr-Cyrl-CS"/>
        </w:rPr>
        <w:t xml:space="preserve">се реализује у </w:t>
      </w:r>
      <w:r w:rsidR="00BA2C80" w:rsidRPr="00092ED7">
        <w:rPr>
          <w:rFonts w:cs="Times New Roman"/>
          <w:szCs w:val="24"/>
          <w:lang w:val="sr-Cyrl-CS"/>
        </w:rPr>
        <w:t xml:space="preserve">седам </w:t>
      </w:r>
      <w:r w:rsidRPr="00092ED7">
        <w:rPr>
          <w:rFonts w:cs="Times New Roman"/>
          <w:szCs w:val="24"/>
          <w:lang w:val="sr-Cyrl-CS"/>
        </w:rPr>
        <w:t>градова.</w:t>
      </w:r>
      <w:r w:rsidRPr="00092ED7">
        <w:rPr>
          <w:rFonts w:eastAsia="Calibri" w:cs="Times New Roman"/>
          <w:szCs w:val="24"/>
          <w:lang w:val="sr-Cyrl-CS"/>
        </w:rPr>
        <w:t xml:space="preserve"> </w:t>
      </w:r>
    </w:p>
    <w:p w14:paraId="74721043" w14:textId="2891FC0A" w:rsidR="00D210F0" w:rsidRPr="00092ED7" w:rsidRDefault="00D210F0" w:rsidP="00D210F0">
      <w:pPr>
        <w:spacing w:after="60"/>
        <w:rPr>
          <w:rFonts w:eastAsia="Calibri" w:cs="Times New Roman"/>
          <w:b/>
          <w:szCs w:val="24"/>
          <w:lang w:val="sr-Cyrl-CS"/>
        </w:rPr>
      </w:pPr>
      <w:r w:rsidRPr="00092ED7">
        <w:rPr>
          <w:rFonts w:eastAsia="Calibri" w:cs="Times New Roman"/>
          <w:szCs w:val="24"/>
          <w:lang w:val="sr-Cyrl-CS"/>
        </w:rPr>
        <w:t>Државни пројекти соларних електрана реализовали би се на државном земљишту где доминира више од 200.000 хектара упарложеног пољопривредног земљишта на коме је могућа градња око 2.000 MW соларних електрана (у оквиру овог плана потписан је Споразум о сарадњи са компанијом UGT Renewables LLC, са којом се преговара о изградњи соларних панела укупне снаге око 1.000 MW, на површини од око 2.000 хектара и десетак локација широм Републике Србије, чиме би се добио додатни капацитет од једног гигавата електричне енергије и смањила емисија угљен-диоксида за 1,9 мил</w:t>
      </w:r>
      <w:r w:rsidR="00A2596A" w:rsidRPr="00092ED7">
        <w:rPr>
          <w:rFonts w:eastAsia="Calibri" w:cs="Times New Roman"/>
          <w:szCs w:val="24"/>
          <w:lang w:val="sr-Cyrl-CS"/>
        </w:rPr>
        <w:t>иона</w:t>
      </w:r>
      <w:r w:rsidRPr="00092ED7">
        <w:rPr>
          <w:rFonts w:eastAsia="Calibri" w:cs="Times New Roman"/>
          <w:szCs w:val="24"/>
          <w:lang w:val="sr-Cyrl-CS"/>
        </w:rPr>
        <w:t xml:space="preserve"> тона годишње). На земљишту које припада ЈП ЕПС (депоније термоелектрана) могућа је изградња око 400 MW соларних електрана укупне вредности око 300 милиона евра и додатна изградња соларних електрана на одлагалиштима површинских копова (процене у току). У оквиру реализације државног пројекта промовисања новог института купац-произвођач, извршена је процена укупне површине кровова у Републици Србији која износи око 600 km</w:t>
      </w:r>
      <w:r w:rsidRPr="00092ED7">
        <w:rPr>
          <w:rFonts w:eastAsia="Calibri" w:cs="Times New Roman"/>
          <w:szCs w:val="24"/>
          <w:vertAlign w:val="superscript"/>
          <w:lang w:val="sr-Cyrl-CS"/>
        </w:rPr>
        <w:t>2</w:t>
      </w:r>
      <w:r w:rsidRPr="00092ED7">
        <w:rPr>
          <w:rFonts w:eastAsia="Calibri" w:cs="Times New Roman"/>
          <w:szCs w:val="24"/>
          <w:lang w:val="sr-Cyrl-CS"/>
        </w:rPr>
        <w:t xml:space="preserve">. Постављање кровних соларних панела на 10% ове површине обезбедило би инсталисану снагу од 6.000 MW (70% укупно инсталисане снаге данас), односно годишњу производњу од 7 ТWh (око 20% укупне актуелне годишње производње). </w:t>
      </w:r>
      <w:r w:rsidRPr="00092ED7">
        <w:rPr>
          <w:rFonts w:cs="Times New Roman"/>
          <w:szCs w:val="24"/>
          <w:lang w:val="sr-Cyrl-CS"/>
        </w:rPr>
        <w:t>Домаћинствима која су стекла статус купац-произвођач (</w:t>
      </w:r>
      <w:r w:rsidRPr="00092ED7">
        <w:rPr>
          <w:rFonts w:cs="Times New Roman"/>
          <w:i/>
          <w:szCs w:val="24"/>
          <w:lang w:val="sr-Cyrl-CS"/>
        </w:rPr>
        <w:t>prosumer</w:t>
      </w:r>
      <w:r w:rsidRPr="00092ED7">
        <w:rPr>
          <w:rFonts w:cs="Times New Roman"/>
          <w:szCs w:val="24"/>
          <w:lang w:val="sr-Cyrl-CS"/>
        </w:rPr>
        <w:t>) која производе електричну енергију за сопствену потрошњу помоћу соларних панела, омогућено је да вишак произведене енергије током лета „складиште</w:t>
      </w:r>
      <w:r w:rsidR="005C7C81" w:rsidRPr="00092ED7">
        <w:rPr>
          <w:rFonts w:cs="Times New Roman"/>
          <w:szCs w:val="24"/>
          <w:lang w:val="sr-Cyrl-CS"/>
        </w:rPr>
        <w:t>”</w:t>
      </w:r>
      <w:r w:rsidRPr="00092ED7">
        <w:rPr>
          <w:rFonts w:cs="Times New Roman"/>
          <w:szCs w:val="24"/>
          <w:lang w:val="sr-Cyrl-CS"/>
        </w:rPr>
        <w:t xml:space="preserve"> у електроенергетској мрежи</w:t>
      </w:r>
      <w:r w:rsidRPr="00092ED7">
        <w:rPr>
          <w:rStyle w:val="FootnoteReference"/>
          <w:rFonts w:cs="Times New Roman"/>
          <w:szCs w:val="24"/>
          <w:lang w:val="sr-Cyrl-CS"/>
        </w:rPr>
        <w:footnoteReference w:id="84"/>
      </w:r>
      <w:r w:rsidRPr="00092ED7">
        <w:rPr>
          <w:rFonts w:cs="Times New Roman"/>
          <w:szCs w:val="24"/>
          <w:lang w:val="sr-Cyrl-CS"/>
        </w:rPr>
        <w:t>, а да тај вишак током зиме повлаче када је производња производног објекта мања.</w:t>
      </w:r>
    </w:p>
    <w:p w14:paraId="56E6D093" w14:textId="77777777" w:rsidR="00D210F0" w:rsidRPr="00092ED7" w:rsidRDefault="00D210F0" w:rsidP="00D210F0">
      <w:pPr>
        <w:spacing w:after="60"/>
        <w:rPr>
          <w:rFonts w:cs="Times New Roman"/>
          <w:szCs w:val="24"/>
          <w:lang w:val="sr-Cyrl-CS"/>
        </w:rPr>
      </w:pPr>
      <w:r w:rsidRPr="00092ED7">
        <w:rPr>
          <w:rFonts w:cs="Times New Roman"/>
          <w:b/>
          <w:szCs w:val="24"/>
          <w:lang w:val="sr-Cyrl-CS"/>
        </w:rPr>
        <w:t>Инсталирање савремене опреме и увођење савременог управљачког и надзорног система су неопходни како би се унапредила дистрибутивна мрежа енергената.</w:t>
      </w:r>
      <w:r w:rsidRPr="00092ED7">
        <w:rPr>
          <w:rFonts w:cs="Times New Roman"/>
          <w:szCs w:val="24"/>
          <w:lang w:val="sr-Cyrl-CS"/>
        </w:rPr>
        <w:t xml:space="preserve"> Потребна су додатна улагања у дистрибутивни систем (модернизацију нисконапонске мреже) како би се обезбедило поуздано снабдевање електричном енергијом и смањили губици на мрежи. Укупни губици у преносу и дистрибуцији електричне енергије у односу на бруто потрошњу електричне енергије износе 12,7% у 2021. (13% у 2020. години)</w:t>
      </w:r>
      <w:r w:rsidRPr="00092ED7">
        <w:rPr>
          <w:rFonts w:cs="Times New Roman"/>
          <w:szCs w:val="24"/>
          <w:vertAlign w:val="superscript"/>
          <w:lang w:val="sr-Cyrl-CS"/>
        </w:rPr>
        <w:t xml:space="preserve"> </w:t>
      </w:r>
      <w:r w:rsidRPr="00092ED7">
        <w:rPr>
          <w:rFonts w:cs="Times New Roman"/>
          <w:szCs w:val="24"/>
          <w:vertAlign w:val="superscript"/>
          <w:lang w:val="sr-Cyrl-CS"/>
        </w:rPr>
        <w:footnoteReference w:id="85"/>
      </w:r>
      <w:r w:rsidRPr="00092ED7">
        <w:rPr>
          <w:rFonts w:cs="Times New Roman"/>
          <w:szCs w:val="24"/>
          <w:vertAlign w:val="superscript"/>
          <w:lang w:val="sr-Cyrl-CS"/>
        </w:rPr>
        <w:t xml:space="preserve"> </w:t>
      </w:r>
      <w:r w:rsidRPr="00092ED7">
        <w:rPr>
          <w:rFonts w:cs="Times New Roman"/>
          <w:szCs w:val="24"/>
          <w:lang w:val="sr-Cyrl-CS"/>
        </w:rPr>
        <w:t>и коштају годишње око 200 мил</w:t>
      </w:r>
      <w:r w:rsidR="00192281" w:rsidRPr="00092ED7">
        <w:rPr>
          <w:rFonts w:cs="Times New Roman"/>
          <w:szCs w:val="24"/>
          <w:lang w:val="sr-Cyrl-CS"/>
        </w:rPr>
        <w:t>иона</w:t>
      </w:r>
      <w:r w:rsidRPr="00092ED7">
        <w:rPr>
          <w:rFonts w:cs="Times New Roman"/>
          <w:szCs w:val="24"/>
          <w:lang w:val="sr-Cyrl-CS"/>
        </w:rPr>
        <w:t xml:space="preserve"> </w:t>
      </w:r>
      <w:r w:rsidR="00192281" w:rsidRPr="00092ED7">
        <w:rPr>
          <w:rFonts w:cs="Times New Roman"/>
          <w:szCs w:val="24"/>
          <w:lang w:val="sr-Cyrl-CS"/>
        </w:rPr>
        <w:t>евра</w:t>
      </w:r>
      <w:r w:rsidRPr="00092ED7">
        <w:rPr>
          <w:rFonts w:cs="Times New Roman"/>
          <w:szCs w:val="24"/>
          <w:lang w:val="sr-Cyrl-CS"/>
        </w:rPr>
        <w:t>. Очекује се спровођење пројекта паметних бројила (</w:t>
      </w:r>
      <w:r w:rsidRPr="00092ED7">
        <w:rPr>
          <w:rFonts w:cs="Times New Roman"/>
          <w:i/>
          <w:szCs w:val="24"/>
          <w:lang w:val="sr-Cyrl-CS"/>
        </w:rPr>
        <w:t>Smart Metering</w:t>
      </w:r>
      <w:r w:rsidRPr="00092ED7">
        <w:rPr>
          <w:rFonts w:cs="Times New Roman"/>
          <w:szCs w:val="24"/>
          <w:lang w:val="sr-Cyrl-CS"/>
        </w:rPr>
        <w:t>) и аутоматизација средњенапонске дистрибутивне мреже у наредном периоду. Изградња Трансбалканског коридора за пренос електричне енергије допринеће смањењу губитака електричне енергије и редукцији оптерећења постојећих преносних капацитета. До сада је изграђен далековод између Крагујевца и Краљева дужине 60 километара, чиме је завршена друга секција овог коридора. У сектору гаса укупни губици у испоруци, дисрибуцији и за сопствену потрошњу износе 30 милиона m</w:t>
      </w:r>
      <w:r w:rsidRPr="00092ED7">
        <w:rPr>
          <w:rFonts w:cs="Times New Roman"/>
          <w:szCs w:val="24"/>
          <w:vertAlign w:val="superscript"/>
          <w:lang w:val="sr-Cyrl-CS"/>
        </w:rPr>
        <w:t xml:space="preserve">3 </w:t>
      </w:r>
      <w:r w:rsidRPr="00092ED7">
        <w:rPr>
          <w:rFonts w:cs="Times New Roman"/>
          <w:szCs w:val="24"/>
          <w:lang w:val="sr-Cyrl-CS"/>
        </w:rPr>
        <w:t>у 2021.</w:t>
      </w:r>
      <w:r w:rsidRPr="00092ED7">
        <w:rPr>
          <w:rFonts w:cs="Times New Roman"/>
          <w:szCs w:val="24"/>
          <w:vertAlign w:val="superscript"/>
          <w:lang w:val="sr-Cyrl-CS"/>
        </w:rPr>
        <w:t xml:space="preserve"> </w:t>
      </w:r>
      <w:r w:rsidRPr="00092ED7">
        <w:rPr>
          <w:rFonts w:cs="Times New Roman"/>
          <w:szCs w:val="24"/>
          <w:lang w:val="sr-Cyrl-CS"/>
        </w:rPr>
        <w:t>(22 милиона m</w:t>
      </w:r>
      <w:r w:rsidRPr="00092ED7">
        <w:rPr>
          <w:rFonts w:cs="Times New Roman"/>
          <w:szCs w:val="24"/>
          <w:vertAlign w:val="superscript"/>
          <w:lang w:val="sr-Cyrl-CS"/>
        </w:rPr>
        <w:t xml:space="preserve">3 </w:t>
      </w:r>
      <w:r w:rsidRPr="00092ED7">
        <w:rPr>
          <w:rFonts w:cs="Times New Roman"/>
          <w:szCs w:val="24"/>
          <w:lang w:val="sr-Cyrl-CS"/>
        </w:rPr>
        <w:t>у 2020. години)</w:t>
      </w:r>
      <w:r w:rsidRPr="00092ED7">
        <w:rPr>
          <w:rFonts w:cs="Times New Roman"/>
          <w:szCs w:val="24"/>
          <w:vertAlign w:val="superscript"/>
          <w:lang w:val="sr-Cyrl-CS"/>
        </w:rPr>
        <w:footnoteReference w:id="86"/>
      </w:r>
      <w:r w:rsidRPr="00092ED7">
        <w:rPr>
          <w:rFonts w:cs="Times New Roman"/>
          <w:szCs w:val="24"/>
          <w:lang w:val="sr-Cyrl-CS"/>
        </w:rPr>
        <w:t>.</w:t>
      </w:r>
    </w:p>
    <w:p w14:paraId="6FDC8984" w14:textId="65A3289C" w:rsidR="00D210F0" w:rsidRPr="00092ED7" w:rsidRDefault="00D210F0" w:rsidP="00D210F0">
      <w:pPr>
        <w:spacing w:after="60"/>
        <w:rPr>
          <w:rFonts w:eastAsia="Calibri" w:cs="Times New Roman"/>
          <w:szCs w:val="24"/>
          <w:lang w:val="sr-Cyrl-CS"/>
        </w:rPr>
      </w:pPr>
      <w:r w:rsidRPr="00092ED7">
        <w:rPr>
          <w:rFonts w:eastAsia="Calibri" w:cs="Times New Roman"/>
          <w:szCs w:val="24"/>
          <w:lang w:val="sr-Cyrl-CS"/>
        </w:rPr>
        <w:t xml:space="preserve">У сектору електричне енергије присутно је </w:t>
      </w:r>
      <w:r w:rsidRPr="00092ED7">
        <w:rPr>
          <w:rFonts w:eastAsia="Calibri" w:cs="Times New Roman"/>
          <w:b/>
          <w:szCs w:val="24"/>
          <w:lang w:val="sr-Cyrl-CS"/>
        </w:rPr>
        <w:t>повећање степена либерализације и изградње тржишта.</w:t>
      </w:r>
      <w:r w:rsidRPr="00092ED7">
        <w:rPr>
          <w:rFonts w:eastAsia="Calibri" w:cs="Times New Roman"/>
          <w:szCs w:val="24"/>
          <w:lang w:val="sr-Cyrl-CS"/>
        </w:rPr>
        <w:t xml:space="preserve"> Завршен је поступак раздвајања АД </w:t>
      </w:r>
      <w:r w:rsidR="001D27D0" w:rsidRPr="00092ED7">
        <w:rPr>
          <w:rFonts w:eastAsia="Calibri" w:cs="Times New Roman"/>
          <w:szCs w:val="24"/>
          <w:lang w:val="sr-Cyrl-CS"/>
        </w:rPr>
        <w:t>„</w:t>
      </w:r>
      <w:r w:rsidRPr="00092ED7">
        <w:rPr>
          <w:rFonts w:eastAsia="Calibri" w:cs="Times New Roman"/>
          <w:szCs w:val="24"/>
          <w:lang w:val="sr-Cyrl-CS"/>
        </w:rPr>
        <w:t>Електромрежа Србије</w:t>
      </w:r>
      <w:r w:rsidR="001D27D0" w:rsidRPr="00092ED7">
        <w:rPr>
          <w:rFonts w:cs="Times New Roman"/>
          <w:szCs w:val="24"/>
          <w:lang w:val="sr-Cyrl-CS"/>
        </w:rPr>
        <w:t>”</w:t>
      </w:r>
      <w:r w:rsidRPr="00092ED7">
        <w:rPr>
          <w:rFonts w:eastAsia="Calibri" w:cs="Times New Roman"/>
          <w:szCs w:val="24"/>
          <w:lang w:val="sr-Cyrl-CS"/>
        </w:rPr>
        <w:t xml:space="preserve"> као оператора преносног система електричне енергије и </w:t>
      </w:r>
      <w:r w:rsidR="008B3E66" w:rsidRPr="00092ED7">
        <w:rPr>
          <w:rFonts w:eastAsia="Calibri" w:cs="Times New Roman"/>
          <w:szCs w:val="24"/>
          <w:lang w:val="sr-Cyrl-CS"/>
        </w:rPr>
        <w:t xml:space="preserve">његовог сертификовања од стране </w:t>
      </w:r>
      <w:r w:rsidRPr="00092ED7">
        <w:rPr>
          <w:rFonts w:eastAsia="Calibri" w:cs="Times New Roman"/>
          <w:szCs w:val="24"/>
          <w:lang w:val="sr-Cyrl-CS"/>
        </w:rPr>
        <w:t>АЕРС по моделу власничког раздвајања. Оснивач Електродистрибуције Србије д.о.о Београд са 100% удела је Република Србија, којој је АЕРС издала лиценцу за обављање енергетске делатности дистрибуције електричне енергије и управљање дистрибутивним системом електричне енергије у 2021. години. У истој години АЕРС је дала и сагласност на Програм усклађености Електродистрибуција Србије д.о.о.</w:t>
      </w:r>
      <w:r w:rsidR="001C6CFD" w:rsidRPr="00092ED7">
        <w:rPr>
          <w:rFonts w:eastAsia="Calibri" w:cs="Times New Roman"/>
          <w:szCs w:val="24"/>
          <w:lang w:val="sr-Cyrl-CS"/>
        </w:rPr>
        <w:t xml:space="preserve"> Београд</w:t>
      </w:r>
      <w:r w:rsidRPr="00092ED7">
        <w:rPr>
          <w:rFonts w:eastAsia="Calibri" w:cs="Times New Roman"/>
          <w:szCs w:val="24"/>
          <w:lang w:val="sr-Cyrl-CS"/>
        </w:rPr>
        <w:t>, а у 2022. години АЕРС је дала сагласност и на услове за именовање и трајање мандата Лица одговорног за праћ</w:t>
      </w:r>
      <w:r w:rsidR="00024EA0" w:rsidRPr="00092ED7">
        <w:rPr>
          <w:rFonts w:eastAsia="Calibri" w:cs="Times New Roman"/>
          <w:szCs w:val="24"/>
          <w:lang w:val="sr-Cyrl-CS"/>
        </w:rPr>
        <w:t>е</w:t>
      </w:r>
      <w:r w:rsidRPr="00092ED7">
        <w:rPr>
          <w:rFonts w:eastAsia="Calibri" w:cs="Times New Roman"/>
          <w:szCs w:val="24"/>
          <w:lang w:val="sr-Cyrl-CS"/>
        </w:rPr>
        <w:t>ње усклађености и претходну сагласност за његово именовање.</w:t>
      </w:r>
    </w:p>
    <w:p w14:paraId="7A947F4A" w14:textId="1A9C213C" w:rsidR="00D210F0" w:rsidRPr="00092ED7" w:rsidRDefault="00D210F0" w:rsidP="00D210F0">
      <w:pPr>
        <w:spacing w:after="60"/>
        <w:rPr>
          <w:rFonts w:eastAsia="Calibri" w:cs="Times New Roman"/>
          <w:strike/>
          <w:szCs w:val="24"/>
          <w:lang w:val="sr-Cyrl-CS"/>
        </w:rPr>
      </w:pPr>
      <w:r w:rsidRPr="00092ED7">
        <w:rPr>
          <w:rFonts w:eastAsia="Calibri" w:cs="Times New Roman"/>
          <w:b/>
          <w:szCs w:val="24"/>
          <w:lang w:val="sr-Cyrl-CS"/>
        </w:rPr>
        <w:t xml:space="preserve">Потребно је интензивирати активности у вези са функционалним раздвајањима у сектору природног гаса. </w:t>
      </w:r>
      <w:r w:rsidRPr="00092ED7">
        <w:rPr>
          <w:rFonts w:eastAsia="Calibri" w:cs="Times New Roman"/>
          <w:szCs w:val="24"/>
          <w:lang w:val="sr-Cyrl-CS"/>
        </w:rPr>
        <w:t xml:space="preserve">У сектору гаса није у потпуности спроведено реструктурирање ЈП </w:t>
      </w:r>
      <w:r w:rsidR="001C6CFD" w:rsidRPr="00092ED7">
        <w:rPr>
          <w:rFonts w:eastAsia="Calibri" w:cs="Times New Roman"/>
          <w:szCs w:val="24"/>
          <w:lang w:val="sr-Cyrl-CS"/>
        </w:rPr>
        <w:t>„</w:t>
      </w:r>
      <w:r w:rsidRPr="00092ED7">
        <w:rPr>
          <w:rFonts w:eastAsia="Calibri" w:cs="Times New Roman"/>
          <w:szCs w:val="24"/>
          <w:lang w:val="sr-Cyrl-CS"/>
        </w:rPr>
        <w:t>Србијагас</w:t>
      </w:r>
      <w:r w:rsidR="001C6CFD" w:rsidRPr="00092ED7">
        <w:rPr>
          <w:rFonts w:eastAsia="Calibri" w:cs="Times New Roman"/>
          <w:szCs w:val="24"/>
          <w:lang w:val="sr-Cyrl-CS"/>
        </w:rPr>
        <w:t>ˮ</w:t>
      </w:r>
      <w:r w:rsidRPr="00092ED7">
        <w:rPr>
          <w:rFonts w:eastAsia="Calibri" w:cs="Times New Roman"/>
          <w:szCs w:val="24"/>
          <w:lang w:val="sr-Cyrl-CS"/>
        </w:rPr>
        <w:t xml:space="preserve"> нити омогућен приступ треће стране. АЕРС je издала сертификат </w:t>
      </w:r>
      <w:r w:rsidR="001C6CFD" w:rsidRPr="00092ED7">
        <w:rPr>
          <w:rFonts w:eastAsia="Calibri" w:cs="Times New Roman"/>
          <w:bCs/>
          <w:iCs/>
          <w:szCs w:val="24"/>
          <w:lang w:val="sr-Cyrl-CS"/>
        </w:rPr>
        <w:t>„Гастрансˮ д.о.о. Нови Сад</w:t>
      </w:r>
      <w:r w:rsidRPr="00092ED7">
        <w:rPr>
          <w:rFonts w:eastAsia="Calibri" w:cs="Times New Roman"/>
          <w:szCs w:val="24"/>
          <w:lang w:val="sr-Cyrl-CS"/>
        </w:rPr>
        <w:t xml:space="preserve">као независном оператеру транспорта гаса. Није завршена сертификација предузећа </w:t>
      </w:r>
      <w:r w:rsidR="001C6CFD" w:rsidRPr="00092ED7">
        <w:rPr>
          <w:rFonts w:eastAsia="Calibri" w:cs="Times New Roman"/>
          <w:bCs/>
          <w:iCs/>
          <w:szCs w:val="24"/>
          <w:lang w:val="sr-Cyrl-CS"/>
        </w:rPr>
        <w:t>„Транспортгас Србија</w:t>
      </w:r>
      <w:r w:rsidR="001C6CFD" w:rsidRPr="00092ED7">
        <w:rPr>
          <w:rFonts w:eastAsia="Calibri" w:cs="Times New Roman"/>
          <w:szCs w:val="24"/>
          <w:lang w:val="sr-Cyrl-CS"/>
        </w:rPr>
        <w:t>”</w:t>
      </w:r>
      <w:r w:rsidR="001C6CFD" w:rsidRPr="00092ED7">
        <w:rPr>
          <w:rFonts w:eastAsia="Calibri" w:cs="Times New Roman"/>
          <w:bCs/>
          <w:iCs/>
          <w:szCs w:val="24"/>
          <w:lang w:val="sr-Cyrl-CS"/>
        </w:rPr>
        <w:t xml:space="preserve"> д.о.о. Нови Сад</w:t>
      </w:r>
      <w:r w:rsidRPr="00092ED7">
        <w:rPr>
          <w:rFonts w:eastAsia="Calibri" w:cs="Times New Roman"/>
          <w:szCs w:val="24"/>
          <w:lang w:val="sr-Cyrl-CS"/>
        </w:rPr>
        <w:t xml:space="preserve">као оператера преносног система. АЕРС је обуставио поступак сертификације због одустанка предузећа </w:t>
      </w:r>
      <w:r w:rsidR="001C6CFD" w:rsidRPr="00092ED7">
        <w:rPr>
          <w:rFonts w:eastAsia="Calibri" w:cs="Times New Roman"/>
          <w:bCs/>
          <w:iCs/>
          <w:szCs w:val="24"/>
          <w:lang w:val="sr-Cyrl-CS"/>
        </w:rPr>
        <w:t>„Транспортгас Србија</w:t>
      </w:r>
      <w:r w:rsidR="001C6CFD" w:rsidRPr="00092ED7">
        <w:rPr>
          <w:rFonts w:eastAsia="Calibri" w:cs="Times New Roman"/>
          <w:szCs w:val="24"/>
          <w:lang w:val="sr-Cyrl-CS"/>
        </w:rPr>
        <w:t>”</w:t>
      </w:r>
      <w:r w:rsidR="001C6CFD" w:rsidRPr="00092ED7">
        <w:rPr>
          <w:rFonts w:eastAsia="Calibri" w:cs="Times New Roman"/>
          <w:bCs/>
          <w:iCs/>
          <w:szCs w:val="24"/>
          <w:lang w:val="sr-Cyrl-CS"/>
        </w:rPr>
        <w:t xml:space="preserve"> д.о.о. Нови Сад</w:t>
      </w:r>
      <w:r w:rsidR="001C6CFD" w:rsidRPr="00092ED7">
        <w:rPr>
          <w:rFonts w:eastAsia="Calibri" w:cs="Times New Roman"/>
          <w:szCs w:val="24"/>
          <w:lang w:val="sr-Cyrl-CS"/>
        </w:rPr>
        <w:t xml:space="preserve"> </w:t>
      </w:r>
      <w:r w:rsidRPr="00092ED7">
        <w:rPr>
          <w:rFonts w:eastAsia="Calibri" w:cs="Times New Roman"/>
          <w:szCs w:val="24"/>
          <w:lang w:val="sr-Cyrl-CS"/>
        </w:rPr>
        <w:t xml:space="preserve">од захтева у 2022. години, док предузеће Yugorosgaz–Транспорт д.о.о. </w:t>
      </w:r>
      <w:r w:rsidR="00A12F87" w:rsidRPr="00092ED7">
        <w:rPr>
          <w:rFonts w:eastAsia="Calibri" w:cs="Times New Roman"/>
          <w:szCs w:val="24"/>
          <w:lang w:val="sr-Cyrl-CS"/>
        </w:rPr>
        <w:t xml:space="preserve">Нови Сад </w:t>
      </w:r>
      <w:r w:rsidRPr="00092ED7">
        <w:rPr>
          <w:rFonts w:eastAsia="Calibri" w:cs="Times New Roman"/>
          <w:szCs w:val="24"/>
          <w:lang w:val="sr-Cyrl-CS"/>
        </w:rPr>
        <w:t xml:space="preserve">није поднело захтев за сертификацију. Настављена је имплементација Плана реорганизације ЈП </w:t>
      </w:r>
      <w:r w:rsidR="00A12F87" w:rsidRPr="00092ED7">
        <w:rPr>
          <w:spacing w:val="-4"/>
          <w:lang w:val="sr-Cyrl-CS"/>
        </w:rPr>
        <w:t>„Србијагас”</w:t>
      </w:r>
      <w:r w:rsidRPr="00092ED7">
        <w:rPr>
          <w:rFonts w:eastAsia="Calibri" w:cs="Times New Roman"/>
          <w:szCs w:val="24"/>
          <w:lang w:val="sr-Cyrl-CS"/>
        </w:rPr>
        <w:t xml:space="preserve">. ЈП </w:t>
      </w:r>
      <w:r w:rsidR="00A12F87" w:rsidRPr="00092ED7">
        <w:rPr>
          <w:spacing w:val="-4"/>
          <w:lang w:val="sr-Cyrl-CS"/>
        </w:rPr>
        <w:t>„</w:t>
      </w:r>
      <w:r w:rsidRPr="00092ED7">
        <w:rPr>
          <w:rFonts w:eastAsia="Calibri" w:cs="Times New Roman"/>
          <w:szCs w:val="24"/>
          <w:lang w:val="sr-Cyrl-CS"/>
        </w:rPr>
        <w:t>Србијагас</w:t>
      </w:r>
      <w:r w:rsidR="00A12F87" w:rsidRPr="00092ED7">
        <w:rPr>
          <w:spacing w:val="-4"/>
          <w:lang w:val="sr-Cyrl-CS"/>
        </w:rPr>
        <w:t>”</w:t>
      </w:r>
      <w:r w:rsidRPr="00092ED7">
        <w:rPr>
          <w:rFonts w:eastAsia="Calibri" w:cs="Times New Roman"/>
          <w:szCs w:val="24"/>
          <w:lang w:val="sr-Cyrl-CS"/>
        </w:rPr>
        <w:t xml:space="preserve"> обавља делатност на 59,39% укупне дистрибутивне мреже у Републици Србији. ЈП </w:t>
      </w:r>
      <w:r w:rsidR="00A12F87" w:rsidRPr="00092ED7">
        <w:rPr>
          <w:spacing w:val="-4"/>
          <w:lang w:val="sr-Cyrl-CS"/>
        </w:rPr>
        <w:t>„</w:t>
      </w:r>
      <w:r w:rsidRPr="00092ED7">
        <w:rPr>
          <w:rFonts w:eastAsia="Calibri" w:cs="Times New Roman"/>
          <w:szCs w:val="24"/>
          <w:lang w:val="sr-Cyrl-CS"/>
        </w:rPr>
        <w:t>Србијагас</w:t>
      </w:r>
      <w:r w:rsidR="00A12F87" w:rsidRPr="00092ED7">
        <w:rPr>
          <w:spacing w:val="-4"/>
          <w:lang w:val="sr-Cyrl-CS"/>
        </w:rPr>
        <w:t>”</w:t>
      </w:r>
      <w:r w:rsidRPr="00092ED7">
        <w:rPr>
          <w:rFonts w:eastAsia="Calibri" w:cs="Times New Roman"/>
          <w:szCs w:val="24"/>
          <w:lang w:val="sr-Cyrl-CS"/>
        </w:rPr>
        <w:t xml:space="preserve"> је продао крајњим купцима 80,9% укупно продатих количина гаса у 2021. години. </w:t>
      </w:r>
    </w:p>
    <w:p w14:paraId="2DE44148" w14:textId="77777777" w:rsidR="00D210F0" w:rsidRPr="00092ED7" w:rsidRDefault="00D210F0" w:rsidP="00D210F0">
      <w:pPr>
        <w:spacing w:after="60"/>
        <w:rPr>
          <w:rFonts w:eastAsia="Calibri" w:cs="Times New Roman"/>
          <w:b/>
          <w:szCs w:val="24"/>
          <w:lang w:val="sr-Cyrl-CS"/>
        </w:rPr>
      </w:pPr>
      <w:r w:rsidRPr="00092ED7">
        <w:rPr>
          <w:rFonts w:eastAsia="Calibri" w:cs="Times New Roman"/>
          <w:szCs w:val="24"/>
          <w:lang w:val="sr-Cyrl-CS"/>
        </w:rPr>
        <w:t>Услед прекида рада на блоковима Б1 и Б2 ТЕНТ, хаварији у Колубари и недовољне количине и калоричне вредности угља, увезене су додатне количине електричне енергије</w:t>
      </w:r>
      <w:r w:rsidRPr="00092ED7">
        <w:rPr>
          <w:rStyle w:val="FootnoteReference"/>
          <w:rFonts w:eastAsia="Calibri" w:cs="Times New Roman"/>
          <w:szCs w:val="24"/>
          <w:lang w:val="sr-Cyrl-CS"/>
        </w:rPr>
        <w:footnoteReference w:id="87"/>
      </w:r>
      <w:r w:rsidRPr="00092ED7">
        <w:rPr>
          <w:rFonts w:eastAsia="Calibri" w:cs="Times New Roman"/>
          <w:szCs w:val="24"/>
          <w:lang w:val="sr-Cyrl-CS"/>
        </w:rPr>
        <w:t xml:space="preserve"> почетком 2022. године. Увезено је 15-20% од укупне потрошње електричне енергије током децембра 2021. и почетком 2022. године. Очекује се да од 2024. године ЕПС оствари производњу електричне енергије којом би се задовољиле потребе на националном нивоу.</w:t>
      </w:r>
    </w:p>
    <w:p w14:paraId="28A92353" w14:textId="73C3F2FE" w:rsidR="00D210F0" w:rsidRPr="00092ED7" w:rsidRDefault="00D210F0" w:rsidP="00D210F0">
      <w:pPr>
        <w:spacing w:after="60"/>
        <w:rPr>
          <w:rFonts w:eastAsia="Calibri" w:cs="Times New Roman"/>
          <w:bCs/>
          <w:szCs w:val="24"/>
          <w:lang w:val="sr-Cyrl-CS"/>
        </w:rPr>
      </w:pPr>
      <w:r w:rsidRPr="00092ED7">
        <w:rPr>
          <w:rFonts w:cs="Times New Roman"/>
          <w:b/>
          <w:szCs w:val="24"/>
          <w:lang w:val="sr-Cyrl-CS"/>
        </w:rPr>
        <w:t>Потребно је повећати степен гасификације и извршити диверсификацију правца и извора снабдевања гасом.</w:t>
      </w:r>
      <w:r w:rsidRPr="00092ED7">
        <w:rPr>
          <w:rFonts w:cs="Times New Roman"/>
          <w:szCs w:val="24"/>
          <w:lang w:val="sr-Cyrl-CS"/>
        </w:rPr>
        <w:t xml:space="preserve"> Гасификовано је око 60% територије Републике Србије, док је свега 11,7% домаћинства прикључено на гас</w:t>
      </w:r>
      <w:r w:rsidRPr="00092ED7">
        <w:rPr>
          <w:rStyle w:val="FootnoteReference"/>
          <w:rFonts w:cs="Times New Roman"/>
          <w:szCs w:val="24"/>
          <w:lang w:val="sr-Cyrl-CS"/>
        </w:rPr>
        <w:footnoteReference w:id="88"/>
      </w:r>
      <w:r w:rsidRPr="00092ED7">
        <w:rPr>
          <w:rFonts w:cs="Times New Roman"/>
          <w:szCs w:val="24"/>
          <w:lang w:val="sr-Cyrl-CS"/>
        </w:rPr>
        <w:t xml:space="preserve">. </w:t>
      </w:r>
      <w:r w:rsidR="006719E4" w:rsidRPr="00092ED7">
        <w:rPr>
          <w:rFonts w:cs="Times New Roman"/>
          <w:szCs w:val="24"/>
          <w:lang w:val="sr-Cyrl-CS"/>
        </w:rPr>
        <w:t xml:space="preserve">У 2021. години остварен </w:t>
      </w:r>
      <w:r w:rsidRPr="00092ED7">
        <w:rPr>
          <w:rFonts w:cs="Times New Roman"/>
          <w:szCs w:val="24"/>
          <w:lang w:val="sr-Cyrl-CS"/>
        </w:rPr>
        <w:t xml:space="preserve">је раст потрошње природног гаса за 15%. Домаћом производњом је задовољено свега 7,6% потреба за природним гасом, док је остатак гаса прибављен из </w:t>
      </w:r>
      <w:r w:rsidR="00A12F87" w:rsidRPr="00092ED7">
        <w:rPr>
          <w:rFonts w:cs="Times New Roman"/>
          <w:szCs w:val="24"/>
          <w:lang w:val="sr-Cyrl-CS"/>
        </w:rPr>
        <w:t>Русије</w:t>
      </w:r>
      <w:r w:rsidRPr="00092ED7">
        <w:rPr>
          <w:rFonts w:cs="Times New Roman"/>
          <w:szCs w:val="24"/>
          <w:lang w:val="sr-Cyrl-CS"/>
        </w:rPr>
        <w:t xml:space="preserve">. Започети су радови на изградњи гасне интерконекције између </w:t>
      </w:r>
      <w:r w:rsidR="00A12F87" w:rsidRPr="00092ED7">
        <w:rPr>
          <w:rFonts w:cs="Times New Roman"/>
          <w:szCs w:val="24"/>
          <w:lang w:val="sr-Cyrl-CS"/>
        </w:rPr>
        <w:t xml:space="preserve">Републике </w:t>
      </w:r>
      <w:r w:rsidRPr="00092ED7">
        <w:rPr>
          <w:rFonts w:cs="Times New Roman"/>
          <w:szCs w:val="24"/>
          <w:lang w:val="sr-Cyrl-CS"/>
        </w:rPr>
        <w:t xml:space="preserve">Србије и </w:t>
      </w:r>
      <w:r w:rsidR="008D24BA" w:rsidRPr="00092ED7">
        <w:rPr>
          <w:rFonts w:cs="Times New Roman"/>
          <w:szCs w:val="24"/>
          <w:lang w:val="sr-Cyrl-CS"/>
        </w:rPr>
        <w:t xml:space="preserve">Републике </w:t>
      </w:r>
      <w:r w:rsidRPr="00092ED7">
        <w:rPr>
          <w:rFonts w:cs="Times New Roman"/>
          <w:szCs w:val="24"/>
          <w:lang w:val="sr-Cyrl-CS"/>
        </w:rPr>
        <w:t xml:space="preserve">Бугарске у фебруару 2022. </w:t>
      </w:r>
      <w:r w:rsidRPr="00092ED7">
        <w:rPr>
          <w:rFonts w:eastAsia="Calibri" w:cs="Times New Roman"/>
          <w:szCs w:val="24"/>
          <w:lang w:val="sr-Cyrl-CS"/>
        </w:rPr>
        <w:t>годин</w:t>
      </w:r>
      <w:r w:rsidR="00024EA0" w:rsidRPr="00092ED7">
        <w:rPr>
          <w:rFonts w:eastAsia="Calibri" w:cs="Times New Roman"/>
          <w:szCs w:val="24"/>
          <w:lang w:val="sr-Cyrl-CS"/>
        </w:rPr>
        <w:t>е</w:t>
      </w:r>
      <w:r w:rsidRPr="00092ED7">
        <w:rPr>
          <w:rFonts w:cs="Times New Roman"/>
          <w:szCs w:val="24"/>
          <w:lang w:val="sr-Cyrl-CS"/>
        </w:rPr>
        <w:t xml:space="preserve">, што даје могућност диверзификације праваца и извора снабдевања и повезивање на Јужни гасни коридор. Ова веза ће Републици Србији омогућити снабдевање природним гасом из Каспијског региона, Средњег истока и са ЛНГ терминала у </w:t>
      </w:r>
      <w:r w:rsidR="008D24BA" w:rsidRPr="00092ED7">
        <w:rPr>
          <w:rFonts w:cs="Times New Roman"/>
          <w:szCs w:val="24"/>
          <w:lang w:val="sr-Cyrl-CS"/>
        </w:rPr>
        <w:t xml:space="preserve">Републици </w:t>
      </w:r>
      <w:r w:rsidRPr="00092ED7">
        <w:rPr>
          <w:rFonts w:cs="Times New Roman"/>
          <w:szCs w:val="24"/>
          <w:lang w:val="sr-Cyrl-CS"/>
        </w:rPr>
        <w:t>Грчкој. Нови гасовод имаће капацитет од 1,8 млрд. m</w:t>
      </w:r>
      <w:r w:rsidRPr="00092ED7">
        <w:rPr>
          <w:rFonts w:cs="Times New Roman"/>
          <w:szCs w:val="24"/>
          <w:vertAlign w:val="superscript"/>
          <w:lang w:val="sr-Cyrl-CS"/>
        </w:rPr>
        <w:t>3</w:t>
      </w:r>
      <w:r w:rsidRPr="00092ED7">
        <w:rPr>
          <w:rFonts w:cs="Times New Roman"/>
          <w:szCs w:val="24"/>
          <w:lang w:val="sr-Cyrl-CS"/>
        </w:rPr>
        <w:t xml:space="preserve"> гаса и биће оперативан од септембра 2023. године. Радови се изводе уз подршку ИПА фондова и кредита ЕИБ. Кроз планирану изградњу транспортног гасовода Мокрин - румунска граница (дужине 12,8 км), повезаће се српски гасовод са гасним системом „Трансгаз</w:t>
      </w:r>
      <w:r w:rsidR="005C7C81" w:rsidRPr="00092ED7">
        <w:rPr>
          <w:rFonts w:cs="Times New Roman"/>
          <w:szCs w:val="24"/>
          <w:lang w:val="sr-Cyrl-CS"/>
        </w:rPr>
        <w:t>”</w:t>
      </w:r>
      <w:r w:rsidRPr="00092ED7">
        <w:rPr>
          <w:rFonts w:cs="Times New Roman"/>
          <w:szCs w:val="24"/>
          <w:lang w:val="sr-Cyrl-CS"/>
        </w:rPr>
        <w:t xml:space="preserve"> и гасоводом ,,Бруа</w:t>
      </w:r>
      <w:r w:rsidR="005C7C81" w:rsidRPr="00092ED7">
        <w:rPr>
          <w:rFonts w:cs="Times New Roman"/>
          <w:szCs w:val="24"/>
          <w:lang w:val="sr-Cyrl-CS"/>
        </w:rPr>
        <w:t>”</w:t>
      </w:r>
      <w:r w:rsidRPr="00092ED7">
        <w:rPr>
          <w:rFonts w:cs="Times New Roman"/>
          <w:szCs w:val="24"/>
          <w:lang w:val="sr-Cyrl-CS"/>
        </w:rPr>
        <w:t xml:space="preserve"> у Румунији до краја 2023. године. </w:t>
      </w:r>
      <w:r w:rsidRPr="00092ED7">
        <w:rPr>
          <w:rFonts w:eastAsia="Calibri" w:cs="Times New Roman"/>
          <w:szCs w:val="24"/>
          <w:lang w:val="sr-Cyrl-CS"/>
        </w:rPr>
        <w:t>Планирано проширење складишта у Банатском Двору, почетак изградње новог подземног складишта у Итебеју до 2025. године, израда регионалног кризног плана и стварање стратешких резерви овог енергента обезбедила би се сигурност снабдевања гасом</w:t>
      </w:r>
      <w:r w:rsidRPr="00092ED7">
        <w:rPr>
          <w:rFonts w:eastAsia="Calibri" w:cs="Times New Roman"/>
          <w:szCs w:val="24"/>
          <w:vertAlign w:val="superscript"/>
          <w:lang w:val="sr-Cyrl-CS"/>
        </w:rPr>
        <w:footnoteReference w:id="89"/>
      </w:r>
      <w:r w:rsidRPr="00092ED7">
        <w:rPr>
          <w:rFonts w:eastAsia="Calibri" w:cs="Times New Roman"/>
          <w:szCs w:val="24"/>
          <w:lang w:val="sr-Cyrl-CS"/>
        </w:rPr>
        <w:t>. У циљу очувања стабилности на тржишту гаса</w:t>
      </w:r>
      <w:r w:rsidRPr="00092ED7">
        <w:rPr>
          <w:rFonts w:eastAsia="Calibri" w:cs="Times New Roman"/>
          <w:bCs/>
          <w:szCs w:val="24"/>
          <w:lang w:val="sr-Cyrl-CS"/>
        </w:rPr>
        <w:t xml:space="preserve"> у условима енергетске кризе</w:t>
      </w:r>
      <w:r w:rsidRPr="00092ED7">
        <w:rPr>
          <w:rFonts w:eastAsia="Calibri" w:cs="Times New Roman"/>
          <w:szCs w:val="24"/>
          <w:lang w:val="sr-Cyrl-CS"/>
        </w:rPr>
        <w:t xml:space="preserve">, донета је </w:t>
      </w:r>
      <w:r w:rsidRPr="00092ED7">
        <w:rPr>
          <w:rFonts w:eastAsia="Calibri" w:cs="Times New Roman"/>
          <w:i/>
          <w:szCs w:val="24"/>
          <w:lang w:val="sr-Cyrl-CS"/>
        </w:rPr>
        <w:t xml:space="preserve">Уредба </w:t>
      </w:r>
      <w:bookmarkStart w:id="59" w:name="_Hlk91523219"/>
      <w:r w:rsidRPr="00092ED7">
        <w:rPr>
          <w:rFonts w:eastAsia="Calibri" w:cs="Times New Roman"/>
          <w:bCs/>
          <w:i/>
          <w:szCs w:val="24"/>
          <w:lang w:val="sr-Cyrl-CS"/>
        </w:rPr>
        <w:t>о привремeној мери ограничавања цене гаса и надокнади разлике у цени природног гаса набављеног из увоза или произведеног у Републици Србији у случају поремећаја на тржишту природног гаса</w:t>
      </w:r>
      <w:r w:rsidRPr="00092ED7">
        <w:rPr>
          <w:rFonts w:eastAsia="Calibri" w:cs="Times New Roman"/>
          <w:bCs/>
          <w:szCs w:val="24"/>
          <w:lang w:val="sr-Cyrl-CS"/>
        </w:rPr>
        <w:t xml:space="preserve"> („Сл</w:t>
      </w:r>
      <w:r w:rsidR="006A7C3F" w:rsidRPr="00092ED7">
        <w:rPr>
          <w:rFonts w:eastAsia="Calibri" w:cs="Times New Roman"/>
          <w:bCs/>
          <w:szCs w:val="24"/>
          <w:lang w:val="sr-Cyrl-CS"/>
        </w:rPr>
        <w:t>ужбени</w:t>
      </w:r>
      <w:r w:rsidR="009A4C22" w:rsidRPr="00092ED7">
        <w:rPr>
          <w:rFonts w:eastAsia="Calibri" w:cs="Times New Roman"/>
          <w:bCs/>
          <w:szCs w:val="24"/>
          <w:lang w:val="sr-Cyrl-CS"/>
        </w:rPr>
        <w:t xml:space="preserve"> гласник РС</w:t>
      </w:r>
      <w:r w:rsidR="006A7C3F" w:rsidRPr="00092ED7">
        <w:rPr>
          <w:rFonts w:cs="Times New Roman"/>
          <w:szCs w:val="24"/>
          <w:lang w:val="sr-Cyrl-CS"/>
        </w:rPr>
        <w:t>”</w:t>
      </w:r>
      <w:r w:rsidR="009A4C22" w:rsidRPr="00092ED7">
        <w:rPr>
          <w:rFonts w:eastAsia="Calibri" w:cs="Times New Roman"/>
          <w:bCs/>
          <w:szCs w:val="24"/>
          <w:lang w:val="sr-Cyrl-CS"/>
        </w:rPr>
        <w:t>, бр</w:t>
      </w:r>
      <w:r w:rsidR="006A7C3F" w:rsidRPr="00092ED7">
        <w:rPr>
          <w:rFonts w:eastAsia="Calibri" w:cs="Times New Roman"/>
          <w:bCs/>
          <w:szCs w:val="24"/>
          <w:lang w:val="sr-Cyrl-CS"/>
        </w:rPr>
        <w:t>ој</w:t>
      </w:r>
      <w:r w:rsidRPr="00092ED7">
        <w:rPr>
          <w:rFonts w:eastAsia="Calibri" w:cs="Times New Roman"/>
          <w:bCs/>
          <w:szCs w:val="24"/>
          <w:lang w:val="sr-Cyrl-CS"/>
        </w:rPr>
        <w:t xml:space="preserve"> </w:t>
      </w:r>
      <w:r w:rsidR="00BA2C80" w:rsidRPr="00092ED7">
        <w:rPr>
          <w:rFonts w:eastAsia="Calibri" w:cs="Times New Roman"/>
          <w:bCs/>
          <w:szCs w:val="24"/>
          <w:lang w:val="sr-Cyrl-CS"/>
        </w:rPr>
        <w:t>139</w:t>
      </w:r>
      <w:r w:rsidRPr="00092ED7">
        <w:rPr>
          <w:rFonts w:eastAsia="Calibri" w:cs="Times New Roman"/>
          <w:bCs/>
          <w:szCs w:val="24"/>
          <w:lang w:val="sr-Cyrl-CS"/>
        </w:rPr>
        <w:t xml:space="preserve">/22) ради ублажавања флуктуације цена гаса и несметаног снабдевања гасом. </w:t>
      </w:r>
    </w:p>
    <w:p w14:paraId="7BBCFB85" w14:textId="19401D8E" w:rsidR="00BA2C80" w:rsidRPr="00092ED7" w:rsidRDefault="00BA2C80" w:rsidP="00D210F0">
      <w:pPr>
        <w:spacing w:after="60"/>
        <w:rPr>
          <w:rFonts w:eastAsia="Calibri" w:cs="Times New Roman"/>
          <w:bCs/>
          <w:szCs w:val="24"/>
          <w:lang w:val="sr-Cyrl-CS"/>
        </w:rPr>
      </w:pPr>
      <w:r w:rsidRPr="00092ED7">
        <w:rPr>
          <w:rFonts w:eastAsia="Calibri" w:cs="Times New Roman"/>
          <w:bCs/>
          <w:szCs w:val="24"/>
          <w:lang w:val="sr-Cyrl-CS"/>
        </w:rPr>
        <w:t>Влада је донела и нову Уредбу о условима испоруке и снабдевања природним гасом („Сл</w:t>
      </w:r>
      <w:r w:rsidR="006A7C3F" w:rsidRPr="00092ED7">
        <w:rPr>
          <w:rFonts w:eastAsia="Calibri" w:cs="Times New Roman"/>
          <w:bCs/>
          <w:szCs w:val="24"/>
          <w:lang w:val="sr-Cyrl-CS"/>
        </w:rPr>
        <w:t>ужбени</w:t>
      </w:r>
      <w:r w:rsidRPr="00092ED7">
        <w:rPr>
          <w:rFonts w:eastAsia="Calibri" w:cs="Times New Roman"/>
          <w:bCs/>
          <w:szCs w:val="24"/>
          <w:lang w:val="sr-Cyrl-CS"/>
        </w:rPr>
        <w:t xml:space="preserve"> гласник РС</w:t>
      </w:r>
      <w:r w:rsidR="006A7C3F" w:rsidRPr="00092ED7">
        <w:rPr>
          <w:rFonts w:cs="Times New Roman"/>
          <w:szCs w:val="24"/>
          <w:lang w:val="sr-Cyrl-CS"/>
        </w:rPr>
        <w:t>”</w:t>
      </w:r>
      <w:r w:rsidRPr="00092ED7">
        <w:rPr>
          <w:rFonts w:eastAsia="Calibri" w:cs="Times New Roman"/>
          <w:bCs/>
          <w:szCs w:val="24"/>
          <w:lang w:val="sr-Cyrl-CS"/>
        </w:rPr>
        <w:t>, бр</w:t>
      </w:r>
      <w:r w:rsidR="006A7C3F" w:rsidRPr="00092ED7">
        <w:rPr>
          <w:rFonts w:eastAsia="Calibri" w:cs="Times New Roman"/>
          <w:bCs/>
          <w:szCs w:val="24"/>
          <w:lang w:val="sr-Cyrl-CS"/>
        </w:rPr>
        <w:t>ој</w:t>
      </w:r>
      <w:r w:rsidRPr="00092ED7">
        <w:rPr>
          <w:rFonts w:eastAsia="Calibri" w:cs="Times New Roman"/>
          <w:bCs/>
          <w:szCs w:val="24"/>
          <w:lang w:val="sr-Cyrl-CS"/>
        </w:rPr>
        <w:t xml:space="preserve"> 49/22),</w:t>
      </w:r>
      <w:r w:rsidRPr="00092ED7">
        <w:rPr>
          <w:lang w:val="sr-Cyrl-CS"/>
        </w:rPr>
        <w:t xml:space="preserve"> </w:t>
      </w:r>
      <w:r w:rsidRPr="00092ED7">
        <w:rPr>
          <w:rFonts w:eastAsia="Calibri" w:cs="Times New Roman"/>
          <w:bCs/>
          <w:szCs w:val="24"/>
          <w:lang w:val="sr-Cyrl-CS"/>
        </w:rPr>
        <w:t>којом се ближе прописују услови испоруке и снабдевања природним гасом купцима, као и мере које се предузимају у случају да је угрожена сигурност испоруке природног гаса купцима услед поремећаја у раду транспортног или дистрибутивног система или поремећаја на тржишту.</w:t>
      </w:r>
    </w:p>
    <w:bookmarkEnd w:id="59"/>
    <w:p w14:paraId="1C0A0B63" w14:textId="77777777" w:rsidR="00D210F0" w:rsidRPr="00092ED7" w:rsidRDefault="00D210F0" w:rsidP="00D210F0">
      <w:pPr>
        <w:spacing w:after="60"/>
        <w:rPr>
          <w:rFonts w:eastAsia="Calibri" w:cs="Times New Roman"/>
          <w:szCs w:val="24"/>
          <w:lang w:val="sr-Cyrl-CS"/>
        </w:rPr>
      </w:pPr>
      <w:r w:rsidRPr="00092ED7">
        <w:rPr>
          <w:rFonts w:eastAsia="Calibri" w:cs="Times New Roman"/>
          <w:b/>
          <w:szCs w:val="24"/>
          <w:lang w:val="sr-Cyrl-CS"/>
        </w:rPr>
        <w:t>Остварен је висок ниво усклађености са правним тековинама ЕУ у погледу сигурности снабдевања,</w:t>
      </w:r>
      <w:r w:rsidRPr="00092ED7">
        <w:rPr>
          <w:rFonts w:eastAsia="Calibri" w:cs="Times New Roman"/>
          <w:szCs w:val="24"/>
          <w:lang w:val="sr-Cyrl-CS"/>
        </w:rPr>
        <w:t xml:space="preserve"> укључујући минималне резерве нафте. Настављено је редовно снабдевање нафтом и нафтним енергентима путем Јадранског нафтовода. Гас се допрема редовно преко Балканског тока. Присутне су додатне количине гаса у оквиру подземног складишта гаса Банатски Двор. Повећавају се резерве енергената како би, у складу са регулативом ЕУ, Република Србија имала у резервама енергенте за више од 60 дана просечне дневне потрошње до краја 2022. године.</w:t>
      </w:r>
    </w:p>
    <w:p w14:paraId="4863A85C" w14:textId="411DEFE9" w:rsidR="00D210F0" w:rsidRDefault="00D210F0" w:rsidP="00D210F0">
      <w:pPr>
        <w:spacing w:after="60"/>
        <w:rPr>
          <w:rFonts w:cs="Times New Roman"/>
          <w:szCs w:val="24"/>
          <w:lang w:val="sr-Cyrl-CS"/>
        </w:rPr>
      </w:pPr>
      <w:r w:rsidRPr="00092ED7">
        <w:rPr>
          <w:rFonts w:eastAsia="Calibri" w:cs="Times New Roman"/>
          <w:b/>
          <w:szCs w:val="24"/>
          <w:lang w:val="sr-Cyrl-CS"/>
        </w:rPr>
        <w:t>Потребно је успоставити цену електричне енергије тако да одражава трошкове регулисаних делатности (мрежарине), као и тржишне цене за електричну енергију</w:t>
      </w:r>
      <w:r w:rsidRPr="00092ED7">
        <w:rPr>
          <w:rStyle w:val="FootnoteReference"/>
          <w:rFonts w:eastAsia="Calibri" w:cs="Times New Roman"/>
          <w:b/>
          <w:szCs w:val="24"/>
          <w:lang w:val="sr-Cyrl-CS"/>
        </w:rPr>
        <w:footnoteReference w:id="90"/>
      </w:r>
      <w:r w:rsidRPr="00092ED7">
        <w:rPr>
          <w:rFonts w:eastAsia="Calibri" w:cs="Times New Roman"/>
          <w:b/>
          <w:szCs w:val="24"/>
          <w:lang w:val="sr-Cyrl-CS"/>
        </w:rPr>
        <w:t xml:space="preserve">, водећи рачуна о животном стандарду и заштити енергетски угрожених купаца. </w:t>
      </w:r>
      <w:r w:rsidRPr="00092ED7">
        <w:rPr>
          <w:rFonts w:cs="Times New Roman"/>
          <w:szCs w:val="24"/>
          <w:lang w:val="sr-Cyrl-CS"/>
        </w:rPr>
        <w:t>Цена електричне енергије за домаћинства са порезима и таксама износи</w:t>
      </w:r>
      <w:r w:rsidR="00C1699A" w:rsidRPr="00092ED7">
        <w:rPr>
          <w:rFonts w:cs="Times New Roman"/>
          <w:szCs w:val="24"/>
          <w:lang w:val="sr-Cyrl-CS"/>
        </w:rPr>
        <w:t>ла је</w:t>
      </w:r>
      <w:r w:rsidRPr="00092ED7">
        <w:rPr>
          <w:rFonts w:cs="Times New Roman"/>
          <w:szCs w:val="24"/>
          <w:lang w:val="sr-Cyrl-CS"/>
        </w:rPr>
        <w:t xml:space="preserve"> 8,01 евроценти по киловат-часу у 2021. (22,86 просек ЕУ-27)</w:t>
      </w:r>
      <w:r w:rsidRPr="00092ED7">
        <w:rPr>
          <w:rStyle w:val="FootnoteReference"/>
          <w:rFonts w:cs="Times New Roman"/>
          <w:szCs w:val="24"/>
          <w:lang w:val="sr-Cyrl-CS"/>
        </w:rPr>
        <w:footnoteReference w:id="91"/>
      </w:r>
      <w:r w:rsidRPr="00092ED7">
        <w:rPr>
          <w:rFonts w:cs="Times New Roman"/>
          <w:szCs w:val="24"/>
          <w:lang w:val="sr-Cyrl-CS"/>
        </w:rPr>
        <w:t>. У просеку je нижа за 20-45% од цене у другим земљама Југоисточне Европе. Цена електричне енергије за индустрију је нешто виша и износи</w:t>
      </w:r>
      <w:r w:rsidR="00C1699A" w:rsidRPr="00092ED7">
        <w:rPr>
          <w:rFonts w:cs="Times New Roman"/>
          <w:szCs w:val="24"/>
          <w:lang w:val="sr-Cyrl-CS"/>
        </w:rPr>
        <w:t>ла је</w:t>
      </w:r>
      <w:r w:rsidRPr="00092ED7">
        <w:rPr>
          <w:rFonts w:cs="Times New Roman"/>
          <w:szCs w:val="24"/>
          <w:lang w:val="sr-Cyrl-CS"/>
        </w:rPr>
        <w:t xml:space="preserve"> 10,01 евроценти по киловат-часу у 2021. (16,75 просек ЕУ-27). Нерегулисано тржиште је чинило 50,1% укупне потрошње електричне енергије и 82,7% укупне потрошње гаса од стране крајњих потрошача у 2021. години</w:t>
      </w:r>
      <w:r w:rsidRPr="00092ED7">
        <w:rPr>
          <w:rStyle w:val="FootnoteReference"/>
          <w:rFonts w:cs="Times New Roman"/>
          <w:szCs w:val="24"/>
          <w:lang w:val="sr-Cyrl-CS"/>
        </w:rPr>
        <w:footnoteReference w:id="92"/>
      </w:r>
      <w:r w:rsidRPr="00092ED7">
        <w:rPr>
          <w:rFonts w:cs="Times New Roman"/>
          <w:szCs w:val="24"/>
          <w:lang w:val="sr-Cyrl-CS"/>
        </w:rPr>
        <w:t xml:space="preserve">. Број заштићених купаца који су користили право на умањење рачуна за електричну енергију </w:t>
      </w:r>
      <w:r w:rsidR="00C1699A" w:rsidRPr="00092ED7">
        <w:rPr>
          <w:rFonts w:cs="Times New Roman"/>
          <w:szCs w:val="24"/>
          <w:lang w:val="sr-Cyrl-CS"/>
        </w:rPr>
        <w:t xml:space="preserve">био </w:t>
      </w:r>
      <w:r w:rsidRPr="00092ED7">
        <w:rPr>
          <w:rFonts w:cs="Times New Roman"/>
          <w:szCs w:val="24"/>
          <w:lang w:val="sr-Cyrl-CS"/>
        </w:rPr>
        <w:t>је на нивоу од око 68.000 у 2021. години (процењено је да више од 300.000 корисника може да оствари ово право)</w:t>
      </w:r>
      <w:r w:rsidRPr="00092ED7">
        <w:rPr>
          <w:rFonts w:cs="Times New Roman"/>
          <w:szCs w:val="24"/>
          <w:vertAlign w:val="superscript"/>
          <w:lang w:val="sr-Cyrl-CS"/>
        </w:rPr>
        <w:footnoteReference w:id="93"/>
      </w:r>
      <w:r w:rsidRPr="00092ED7">
        <w:rPr>
          <w:rFonts w:cs="Times New Roman"/>
          <w:szCs w:val="24"/>
          <w:lang w:val="sr-Cyrl-CS"/>
        </w:rPr>
        <w:t>.</w:t>
      </w:r>
    </w:p>
    <w:p w14:paraId="3489A7F8" w14:textId="77777777" w:rsidR="00BA1B20" w:rsidRPr="00092ED7" w:rsidRDefault="00BA1B20" w:rsidP="00D210F0">
      <w:pPr>
        <w:spacing w:after="60"/>
        <w:rPr>
          <w:rFonts w:cs="Times New Roman"/>
          <w:szCs w:val="24"/>
          <w:lang w:val="sr-Cyrl-CS"/>
        </w:rPr>
      </w:pPr>
    </w:p>
    <w:p w14:paraId="323EB1A2" w14:textId="2F80BBB7" w:rsidR="00D210F0" w:rsidRPr="00092ED7" w:rsidRDefault="00D210F0" w:rsidP="00B640AF">
      <w:pPr>
        <w:rPr>
          <w:rFonts w:cs="Times New Roman"/>
          <w:szCs w:val="24"/>
          <w:lang w:val="sr-Cyrl-CS"/>
        </w:rPr>
      </w:pPr>
      <w:r w:rsidRPr="00092ED7">
        <w:rPr>
          <w:rFonts w:cs="Times New Roman"/>
          <w:szCs w:val="24"/>
          <w:lang w:val="sr-Cyrl-CS"/>
        </w:rPr>
        <w:t xml:space="preserve">Цена електричне енергије повећана је </w:t>
      </w:r>
      <w:r w:rsidR="00BB279D" w:rsidRPr="00092ED7">
        <w:rPr>
          <w:rFonts w:cs="Times New Roman"/>
          <w:szCs w:val="24"/>
          <w:lang w:val="sr-Cyrl-CS"/>
        </w:rPr>
        <w:t>8</w:t>
      </w:r>
      <w:r w:rsidRPr="00092ED7">
        <w:rPr>
          <w:rFonts w:cs="Times New Roman"/>
          <w:szCs w:val="24"/>
          <w:lang w:val="sr-Cyrl-CS"/>
        </w:rPr>
        <w:t xml:space="preserve">% (у односу на ранију просечну цену) од 1. </w:t>
      </w:r>
      <w:r w:rsidR="00BB279D" w:rsidRPr="00092ED7">
        <w:rPr>
          <w:rFonts w:cs="Times New Roman"/>
          <w:szCs w:val="24"/>
          <w:lang w:val="sr-Cyrl-CS"/>
        </w:rPr>
        <w:t>јануара 2023</w:t>
      </w:r>
      <w:r w:rsidRPr="00092ED7">
        <w:rPr>
          <w:rFonts w:cs="Times New Roman"/>
          <w:szCs w:val="24"/>
          <w:lang w:val="sr-Cyrl-CS"/>
        </w:rPr>
        <w:t>. године. Нова цена природног гаса за групу мала потрошња у којој се налазе домаћинства одобрена је свим јавним снабдевачима природног гаса почев од 1.</w:t>
      </w:r>
      <w:r w:rsidR="00E96557" w:rsidRPr="00092ED7">
        <w:rPr>
          <w:rFonts w:cs="Times New Roman"/>
          <w:szCs w:val="24"/>
          <w:lang w:val="sr-Cyrl-CS"/>
        </w:rPr>
        <w:t xml:space="preserve"> </w:t>
      </w:r>
      <w:r w:rsidR="00BB279D" w:rsidRPr="00092ED7">
        <w:rPr>
          <w:rFonts w:cs="Times New Roman"/>
          <w:szCs w:val="24"/>
          <w:lang w:val="sr-Cyrl-CS"/>
        </w:rPr>
        <w:t>јануара 2023</w:t>
      </w:r>
      <w:r w:rsidRPr="00092ED7">
        <w:rPr>
          <w:rFonts w:cs="Times New Roman"/>
          <w:szCs w:val="24"/>
          <w:lang w:val="sr-Cyrl-CS"/>
        </w:rPr>
        <w:t xml:space="preserve">. године, која је виша за </w:t>
      </w:r>
      <w:r w:rsidR="00BB279D" w:rsidRPr="00092ED7">
        <w:rPr>
          <w:rFonts w:cs="Times New Roman"/>
          <w:szCs w:val="24"/>
          <w:lang w:val="sr-Cyrl-CS"/>
        </w:rPr>
        <w:t>10</w:t>
      </w:r>
      <w:r w:rsidRPr="00092ED7">
        <w:rPr>
          <w:rFonts w:cs="Times New Roman"/>
          <w:szCs w:val="24"/>
          <w:lang w:val="sr-Cyrl-CS"/>
        </w:rPr>
        <w:t xml:space="preserve">8% у односу на ранију просечну одобрену цену природног гаса за домаћинства. У наредном периоду се очекује додатно повећање цене електричне енергије услед повећања цене енергената на светском тржишту. </w:t>
      </w:r>
      <w:r w:rsidR="00BB279D" w:rsidRPr="00092ED7">
        <w:rPr>
          <w:rFonts w:cs="Times New Roman"/>
          <w:szCs w:val="24"/>
          <w:lang w:val="sr-Cyrl-CS"/>
        </w:rPr>
        <w:t xml:space="preserve">Усвојена </w:t>
      </w:r>
      <w:r w:rsidRPr="00092ED7">
        <w:rPr>
          <w:rFonts w:cs="Times New Roman"/>
          <w:szCs w:val="24"/>
          <w:lang w:val="sr-Cyrl-CS"/>
        </w:rPr>
        <w:t xml:space="preserve">је нова </w:t>
      </w:r>
      <w:r w:rsidR="000003B8" w:rsidRPr="00092ED7">
        <w:rPr>
          <w:rFonts w:cs="Times New Roman"/>
          <w:i/>
          <w:szCs w:val="24"/>
          <w:lang w:val="sr-Cyrl-CS"/>
        </w:rPr>
        <w:t xml:space="preserve">Уредба </w:t>
      </w:r>
      <w:r w:rsidRPr="00092ED7">
        <w:rPr>
          <w:rFonts w:cs="Times New Roman"/>
          <w:i/>
          <w:szCs w:val="24"/>
          <w:lang w:val="sr-Cyrl-CS"/>
        </w:rPr>
        <w:t>о енергетски угроженом купцу</w:t>
      </w:r>
      <w:r w:rsidR="008D24BA" w:rsidRPr="00092ED7">
        <w:rPr>
          <w:rFonts w:cs="Times New Roman"/>
          <w:i/>
          <w:szCs w:val="24"/>
          <w:lang w:val="sr-Cyrl-CS"/>
        </w:rPr>
        <w:t xml:space="preserve"> </w:t>
      </w:r>
      <w:r w:rsidR="008D24BA" w:rsidRPr="00092ED7">
        <w:rPr>
          <w:rFonts w:cs="Times New Roman"/>
          <w:szCs w:val="24"/>
          <w:lang w:val="sr-Cyrl-CS"/>
        </w:rPr>
        <w:t>(„Службени гласник РС”, број 137/22)</w:t>
      </w:r>
      <w:r w:rsidRPr="00092ED7">
        <w:rPr>
          <w:rFonts w:cs="Times New Roman"/>
          <w:szCs w:val="24"/>
          <w:lang w:val="sr-Cyrl-CS"/>
        </w:rPr>
        <w:t xml:space="preserve">, у којој </w:t>
      </w:r>
      <w:r w:rsidR="00BB279D" w:rsidRPr="00092ED7">
        <w:rPr>
          <w:rFonts w:cs="Times New Roman"/>
          <w:szCs w:val="24"/>
          <w:lang w:val="sr-Cyrl-CS"/>
        </w:rPr>
        <w:t xml:space="preserve">је повећан лимит </w:t>
      </w:r>
      <w:r w:rsidRPr="00092ED7">
        <w:rPr>
          <w:rFonts w:cs="Times New Roman"/>
          <w:szCs w:val="24"/>
          <w:lang w:val="sr-Cyrl-CS"/>
        </w:rPr>
        <w:t>прихода домаћинства за стицање бесплатних киловата струје, топлотне енергије и гаса, што ће, према процени, обухватити око 200.000 домаћинства која користе електричну енергију, око 15.000 домаћинства која троше гас и 50.000 домаћинства која користе топлотну енергију. Процењује се да је око 500.000 домаћинстава изложено ризику од енергетског сиромаштва</w:t>
      </w:r>
      <w:r w:rsidRPr="00092ED7">
        <w:rPr>
          <w:rStyle w:val="FootnoteReference"/>
          <w:rFonts w:cs="Times New Roman"/>
          <w:szCs w:val="24"/>
          <w:lang w:val="sr-Cyrl-CS"/>
        </w:rPr>
        <w:footnoteReference w:id="94"/>
      </w:r>
      <w:r w:rsidRPr="00092ED7">
        <w:rPr>
          <w:rFonts w:cs="Times New Roman"/>
          <w:szCs w:val="24"/>
          <w:lang w:val="sr-Cyrl-CS"/>
        </w:rPr>
        <w:t>.</w:t>
      </w:r>
    </w:p>
    <w:p w14:paraId="2A315005" w14:textId="0F3D01A6" w:rsidR="00D210F0" w:rsidRPr="00092ED7" w:rsidRDefault="00D210F0" w:rsidP="00D210F0">
      <w:pPr>
        <w:spacing w:after="60"/>
        <w:rPr>
          <w:rFonts w:cs="Times New Roman"/>
          <w:szCs w:val="24"/>
          <w:lang w:val="sr-Cyrl-CS"/>
        </w:rPr>
      </w:pPr>
      <w:r w:rsidRPr="00092ED7">
        <w:rPr>
          <w:rFonts w:cs="Times New Roman"/>
          <w:szCs w:val="24"/>
          <w:lang w:val="sr-Cyrl-CS"/>
        </w:rPr>
        <w:t xml:space="preserve">Услед раста цене енергената на глобалном тржишту, </w:t>
      </w:r>
      <w:r w:rsidR="00871074" w:rsidRPr="00092ED7">
        <w:rPr>
          <w:rFonts w:cs="Times New Roman"/>
          <w:szCs w:val="24"/>
          <w:lang w:val="sr-Cyrl-CS"/>
        </w:rPr>
        <w:t xml:space="preserve">у складу са </w:t>
      </w:r>
      <w:r w:rsidRPr="00092ED7">
        <w:rPr>
          <w:rFonts w:cs="Times New Roman"/>
          <w:i/>
          <w:szCs w:val="24"/>
          <w:lang w:val="sr-Cyrl-CS"/>
        </w:rPr>
        <w:t>Уредб</w:t>
      </w:r>
      <w:r w:rsidR="00871074" w:rsidRPr="00092ED7">
        <w:rPr>
          <w:rFonts w:cs="Times New Roman"/>
          <w:i/>
          <w:szCs w:val="24"/>
          <w:lang w:val="sr-Cyrl-CS"/>
        </w:rPr>
        <w:t>ом</w:t>
      </w:r>
      <w:r w:rsidRPr="00092ED7">
        <w:rPr>
          <w:rFonts w:cs="Times New Roman"/>
          <w:i/>
          <w:szCs w:val="24"/>
          <w:lang w:val="sr-Cyrl-CS"/>
        </w:rPr>
        <w:t xml:space="preserve"> о ограничењу висине цена деривата нафте</w:t>
      </w:r>
      <w:r w:rsidRPr="00092ED7">
        <w:rPr>
          <w:rFonts w:cs="Times New Roman"/>
          <w:szCs w:val="24"/>
          <w:lang w:val="sr-Cyrl-CS"/>
        </w:rPr>
        <w:t xml:space="preserve"> (</w:t>
      </w:r>
      <w:r w:rsidRPr="00092ED7">
        <w:rPr>
          <w:rFonts w:eastAsia="Calibri" w:cs="Times New Roman"/>
          <w:bCs/>
          <w:szCs w:val="24"/>
          <w:lang w:val="sr-Cyrl-CS"/>
        </w:rPr>
        <w:t>„Сл</w:t>
      </w:r>
      <w:r w:rsidR="00570468" w:rsidRPr="00092ED7">
        <w:rPr>
          <w:rFonts w:eastAsia="Calibri" w:cs="Times New Roman"/>
          <w:bCs/>
          <w:szCs w:val="24"/>
          <w:lang w:val="sr-Cyrl-CS"/>
        </w:rPr>
        <w:t>ужбени</w:t>
      </w:r>
      <w:r w:rsidRPr="00092ED7">
        <w:rPr>
          <w:rFonts w:eastAsia="Calibri" w:cs="Times New Roman"/>
          <w:bCs/>
          <w:szCs w:val="24"/>
          <w:lang w:val="sr-Cyrl-CS"/>
        </w:rPr>
        <w:t xml:space="preserve"> гласник РС</w:t>
      </w:r>
      <w:r w:rsidR="00570468" w:rsidRPr="00092ED7">
        <w:rPr>
          <w:rFonts w:cs="Times New Roman"/>
          <w:szCs w:val="24"/>
          <w:lang w:val="sr-Cyrl-CS"/>
        </w:rPr>
        <w:t>”</w:t>
      </w:r>
      <w:r w:rsidRPr="00092ED7">
        <w:rPr>
          <w:rFonts w:eastAsia="Calibri" w:cs="Times New Roman"/>
          <w:bCs/>
          <w:szCs w:val="24"/>
          <w:lang w:val="sr-Cyrl-CS"/>
        </w:rPr>
        <w:t>, бр</w:t>
      </w:r>
      <w:r w:rsidR="00045F19" w:rsidRPr="00092ED7">
        <w:rPr>
          <w:rFonts w:eastAsia="Calibri" w:cs="Times New Roman"/>
          <w:bCs/>
          <w:szCs w:val="24"/>
          <w:lang w:val="sr-Cyrl-CS"/>
        </w:rPr>
        <w:t>.</w:t>
      </w:r>
      <w:r w:rsidRPr="00092ED7">
        <w:rPr>
          <w:rFonts w:cs="Times New Roman"/>
          <w:szCs w:val="24"/>
          <w:lang w:val="sr-Cyrl-CS"/>
        </w:rPr>
        <w:t xml:space="preserve"> </w:t>
      </w:r>
      <w:r w:rsidR="00045F19" w:rsidRPr="00092ED7">
        <w:rPr>
          <w:rFonts w:cs="Times New Roman"/>
          <w:szCs w:val="24"/>
          <w:lang w:val="sr-Cyrl-CS"/>
        </w:rPr>
        <w:t>97/22, 110/22, 121/22, 130/22, 133/22, 144/22 и 6/23</w:t>
      </w:r>
      <w:r w:rsidRPr="00092ED7">
        <w:rPr>
          <w:rFonts w:cs="Times New Roman"/>
          <w:szCs w:val="24"/>
          <w:lang w:val="sr-Cyrl-CS"/>
        </w:rPr>
        <w:t xml:space="preserve">) </w:t>
      </w:r>
      <w:r w:rsidR="00871074" w:rsidRPr="00092ED7">
        <w:rPr>
          <w:rFonts w:cs="Times New Roman"/>
          <w:szCs w:val="24"/>
          <w:lang w:val="sr-Cyrl-CS"/>
        </w:rPr>
        <w:t xml:space="preserve">и Правилником о обрачуну просечне велепродајне цене деривата нафте EVRO DIZEL и EVRO PREMIJUM BMB 95 </w:t>
      </w:r>
      <w:r w:rsidR="00045F19" w:rsidRPr="00092ED7">
        <w:rPr>
          <w:rFonts w:cs="Times New Roman"/>
          <w:szCs w:val="24"/>
          <w:lang w:val="sr-Cyrl-CS"/>
        </w:rPr>
        <w:t>(</w:t>
      </w:r>
      <w:r w:rsidR="00045F19" w:rsidRPr="00092ED7">
        <w:rPr>
          <w:rFonts w:cs="Times New Roman"/>
          <w:bCs/>
          <w:szCs w:val="24"/>
          <w:lang w:val="sr-Cyrl-CS"/>
        </w:rPr>
        <w:t>„Службени гласник РС</w:t>
      </w:r>
      <w:r w:rsidR="00045F19" w:rsidRPr="00092ED7">
        <w:rPr>
          <w:rFonts w:cs="Times New Roman"/>
          <w:szCs w:val="24"/>
          <w:lang w:val="sr-Cyrl-CS"/>
        </w:rPr>
        <w:t>”</w:t>
      </w:r>
      <w:r w:rsidR="00045F19" w:rsidRPr="00092ED7">
        <w:rPr>
          <w:rFonts w:cs="Times New Roman"/>
          <w:bCs/>
          <w:szCs w:val="24"/>
          <w:lang w:val="sr-Cyrl-CS"/>
        </w:rPr>
        <w:t xml:space="preserve">, број 98/22) </w:t>
      </w:r>
      <w:r w:rsidRPr="00092ED7">
        <w:rPr>
          <w:rFonts w:cs="Times New Roman"/>
          <w:szCs w:val="24"/>
          <w:lang w:val="sr-Cyrl-CS"/>
        </w:rPr>
        <w:t>врши се усклађивање цена евродизела и бензина сваких седам дана како би се заштитили потрошачи и привреда. Смањене су акцизе у висини од 20% на гориво. Цена горива за пољопривреднике ограничена је на око 1,5 евра за литар, чиме је обезбеђено несметано одвијање пољопривредних радова. У циљу јачања регионалне сарадње успостављена је прва регионална берза електричне енергије за Централну и Источну Европу.</w:t>
      </w:r>
    </w:p>
    <w:p w14:paraId="40D7A430" w14:textId="51398A0F" w:rsidR="00D210F0" w:rsidRPr="00092ED7" w:rsidRDefault="00D210F0" w:rsidP="00BA1B20">
      <w:pPr>
        <w:spacing w:after="60"/>
        <w:rPr>
          <w:rFonts w:eastAsia="Calibri" w:cs="Times New Roman"/>
          <w:szCs w:val="24"/>
          <w:lang w:val="sr-Cyrl-CS"/>
        </w:rPr>
      </w:pPr>
      <w:r w:rsidRPr="00092ED7">
        <w:rPr>
          <w:rFonts w:eastAsia="Calibri" w:cs="Times New Roman"/>
          <w:b/>
          <w:szCs w:val="24"/>
          <w:lang w:val="sr-Cyrl-CS"/>
        </w:rPr>
        <w:t xml:space="preserve">Поједностављени су и убрзани поступци за остваривање права у области енергетике. </w:t>
      </w:r>
      <w:r w:rsidR="00A12F87" w:rsidRPr="00092ED7">
        <w:rPr>
          <w:rFonts w:eastAsia="Calibri" w:cs="Times New Roman"/>
          <w:b/>
          <w:szCs w:val="24"/>
          <w:lang w:val="sr-Cyrl-CS"/>
        </w:rPr>
        <w:t>Законом о изменама и допунама Закона о енергетици</w:t>
      </w:r>
      <w:r w:rsidR="00A12F87" w:rsidRPr="00092ED7">
        <w:rPr>
          <w:rFonts w:cs="Times New Roman"/>
          <w:sz w:val="16"/>
          <w:szCs w:val="16"/>
          <w:lang w:val="sr-Cyrl-CS"/>
        </w:rPr>
        <w:t xml:space="preserve"> </w:t>
      </w:r>
      <w:r w:rsidR="00A12F87" w:rsidRPr="00092ED7">
        <w:rPr>
          <w:rFonts w:cs="Times New Roman"/>
          <w:szCs w:val="24"/>
          <w:lang w:val="sr-Cyrl-CS"/>
        </w:rPr>
        <w:t>(Службени гласник РС”, број 40/21)</w:t>
      </w:r>
      <w:r w:rsidR="00A12F87" w:rsidRPr="00092ED7">
        <w:rPr>
          <w:rFonts w:eastAsia="Calibri" w:cs="Times New Roman"/>
          <w:szCs w:val="24"/>
          <w:lang w:val="sr-Cyrl-CS"/>
        </w:rPr>
        <w:t xml:space="preserve"> </w:t>
      </w:r>
      <w:r w:rsidRPr="00092ED7">
        <w:rPr>
          <w:rFonts w:eastAsia="Calibri" w:cs="Times New Roman"/>
          <w:szCs w:val="24"/>
          <w:lang w:val="sr-Cyrl-CS"/>
        </w:rPr>
        <w:t>омогућено је брже и једноставније издавање дозвола и сагласности кроз систем електронског пословања (</w:t>
      </w:r>
      <w:r w:rsidRPr="00092ED7">
        <w:rPr>
          <w:rFonts w:eastAsia="Calibri" w:cs="Times New Roman"/>
          <w:b/>
          <w:szCs w:val="24"/>
          <w:lang w:val="sr-Cyrl-CS"/>
        </w:rPr>
        <w:t>е-енергетика</w:t>
      </w:r>
      <w:r w:rsidRPr="00092ED7">
        <w:rPr>
          <w:rFonts w:eastAsia="Calibri" w:cs="Times New Roman"/>
          <w:szCs w:val="24"/>
          <w:lang w:val="sr-Cyrl-CS"/>
        </w:rPr>
        <w:t xml:space="preserve">). Уведен је правни основ за е-енергетику, као и мера прибављања документације из службених евиденција, чиме ће се поступци знатно убрзати и смањити трошкови за привреду и грађане. </w:t>
      </w:r>
      <w:r w:rsidR="00A12F87" w:rsidRPr="00092ED7">
        <w:rPr>
          <w:rFonts w:eastAsia="Calibri" w:cs="Times New Roman"/>
          <w:szCs w:val="24"/>
          <w:lang w:val="sr-Cyrl-CS"/>
        </w:rPr>
        <w:t xml:space="preserve">Законом о изменама и допунама Закона о рударству и геолошким истраживањима </w:t>
      </w:r>
      <w:r w:rsidR="00C1699A" w:rsidRPr="00092ED7">
        <w:rPr>
          <w:rFonts w:eastAsia="Calibri" w:cs="Times New Roman"/>
          <w:szCs w:val="24"/>
          <w:lang w:val="sr-Cyrl-CS"/>
        </w:rPr>
        <w:t>(</w:t>
      </w:r>
      <w:r w:rsidR="00A12F87" w:rsidRPr="00092ED7">
        <w:rPr>
          <w:rFonts w:cs="Times New Roman"/>
          <w:szCs w:val="24"/>
          <w:lang w:val="sr-Cyrl-CS"/>
        </w:rPr>
        <w:t>Службени гласник РС”, број 40/21)</w:t>
      </w:r>
      <w:r w:rsidR="00A12F87" w:rsidRPr="00092ED7">
        <w:rPr>
          <w:rFonts w:eastAsia="Calibri" w:cs="Times New Roman"/>
          <w:szCs w:val="24"/>
          <w:lang w:val="sr-Cyrl-CS"/>
        </w:rPr>
        <w:t xml:space="preserve"> </w:t>
      </w:r>
      <w:r w:rsidRPr="00092ED7">
        <w:rPr>
          <w:rFonts w:eastAsia="Calibri" w:cs="Times New Roman"/>
          <w:szCs w:val="24"/>
          <w:lang w:val="sr-Cyrl-CS"/>
        </w:rPr>
        <w:t>створена је основа за брже подношења захтева и ефикасније издавање дозвола, праћење и контролу геолошких истраживања и експлоатације минералних сировина, подземних вода и геотермалних ресурса (</w:t>
      </w:r>
      <w:r w:rsidRPr="00092ED7">
        <w:rPr>
          <w:rFonts w:eastAsia="Calibri" w:cs="Times New Roman"/>
          <w:b/>
          <w:szCs w:val="24"/>
          <w:lang w:val="sr-Cyrl-CS"/>
        </w:rPr>
        <w:t>е-рударство</w:t>
      </w:r>
      <w:r w:rsidRPr="00092ED7">
        <w:rPr>
          <w:rFonts w:eastAsia="Calibri" w:cs="Times New Roman"/>
          <w:szCs w:val="24"/>
          <w:lang w:val="sr-Cyrl-CS"/>
        </w:rPr>
        <w:t xml:space="preserve">). Увођењем е-рударства планирано је смањење времена издавања одобрења са актуелних 150 дана на 15-20 дана. </w:t>
      </w:r>
    </w:p>
    <w:p w14:paraId="2BC28D25" w14:textId="32750191" w:rsidR="00185703" w:rsidRPr="00092ED7" w:rsidRDefault="00185703" w:rsidP="00185703">
      <w:pPr>
        <w:shd w:val="clear" w:color="auto" w:fill="FFFFFF"/>
        <w:spacing w:after="0"/>
        <w:rPr>
          <w:rFonts w:eastAsia="Calibri" w:cs="Times New Roman"/>
          <w:szCs w:val="24"/>
          <w:lang w:val="sr-Cyrl-CS"/>
        </w:rPr>
      </w:pPr>
      <w:r w:rsidRPr="00092ED7">
        <w:rPr>
          <w:rFonts w:eastAsia="Calibri" w:cs="Times New Roman"/>
          <w:szCs w:val="24"/>
          <w:lang w:val="sr-Cyrl-CS"/>
        </w:rPr>
        <w:t xml:space="preserve">Влада </w:t>
      </w:r>
      <w:r w:rsidR="002415E2" w:rsidRPr="00092ED7">
        <w:rPr>
          <w:rFonts w:eastAsia="Calibri" w:cs="Times New Roman"/>
          <w:szCs w:val="24"/>
          <w:lang w:val="sr-Cyrl-CS"/>
        </w:rPr>
        <w:t xml:space="preserve">је </w:t>
      </w:r>
      <w:r w:rsidR="00C1699A" w:rsidRPr="00092ED7">
        <w:rPr>
          <w:rFonts w:eastAsia="Calibri" w:cs="Times New Roman"/>
          <w:szCs w:val="24"/>
          <w:lang w:val="sr-Cyrl-CS"/>
        </w:rPr>
        <w:t xml:space="preserve">у </w:t>
      </w:r>
      <w:r w:rsidRPr="00092ED7">
        <w:rPr>
          <w:rFonts w:eastAsia="Calibri" w:cs="Times New Roman"/>
          <w:szCs w:val="24"/>
          <w:lang w:val="sr-Cyrl-CS"/>
        </w:rPr>
        <w:t>децембр</w:t>
      </w:r>
      <w:r w:rsidR="00C1699A" w:rsidRPr="00092ED7">
        <w:rPr>
          <w:rFonts w:eastAsia="Calibri" w:cs="Times New Roman"/>
          <w:szCs w:val="24"/>
          <w:lang w:val="sr-Cyrl-CS"/>
        </w:rPr>
        <w:t>у</w:t>
      </w:r>
      <w:r w:rsidRPr="00092ED7">
        <w:rPr>
          <w:rFonts w:eastAsia="Calibri" w:cs="Times New Roman"/>
          <w:szCs w:val="24"/>
          <w:lang w:val="sr-Cyrl-CS"/>
        </w:rPr>
        <w:t xml:space="preserve"> 2022. године </w:t>
      </w:r>
      <w:r w:rsidR="002415E2" w:rsidRPr="00092ED7">
        <w:rPr>
          <w:rFonts w:eastAsia="Calibri" w:cs="Times New Roman"/>
          <w:szCs w:val="24"/>
          <w:lang w:val="sr-Cyrl-CS"/>
        </w:rPr>
        <w:t xml:space="preserve">усвојила </w:t>
      </w:r>
      <w:r w:rsidRPr="00092ED7">
        <w:rPr>
          <w:rFonts w:eastAsia="Calibri" w:cs="Times New Roman"/>
          <w:szCs w:val="24"/>
          <w:lang w:val="sr-Cyrl-CS"/>
        </w:rPr>
        <w:t>„Мапу пута за подршку енергетици</w:t>
      </w:r>
      <w:r w:rsidR="006A7CA1" w:rsidRPr="00092ED7">
        <w:rPr>
          <w:rFonts w:cs="Times New Roman"/>
          <w:szCs w:val="24"/>
          <w:lang w:val="sr-Cyrl-CS"/>
        </w:rPr>
        <w:t>”</w:t>
      </w:r>
      <w:r w:rsidRPr="00092ED7">
        <w:rPr>
          <w:rFonts w:eastAsia="Calibri" w:cs="Times New Roman"/>
          <w:szCs w:val="24"/>
          <w:lang w:val="sr-Cyrl-CS"/>
        </w:rPr>
        <w:t xml:space="preserve">, чиме су се стекли услови за потписивање Финансијског споразума за ИПА 2023 којим ће бити обезбеђено 165 милиона евра директне секторске буџетске подршке за енергетику. Мапа пута је усредсређена на подршку најугоженијим домаћинствима и малим и средњим предузећима, али и наставку енергетске транзиције и даље унапређење енергетске стабилности. </w:t>
      </w:r>
    </w:p>
    <w:p w14:paraId="61AD97C3"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а) Реформе</w:t>
      </w:r>
    </w:p>
    <w:p w14:paraId="5BA3ED14" w14:textId="7178FC20" w:rsidR="00BA1B20" w:rsidRDefault="00D210F0" w:rsidP="00D210F0">
      <w:pPr>
        <w:spacing w:before="120"/>
        <w:rPr>
          <w:rFonts w:eastAsia="Calibri" w:cs="Times New Roman"/>
          <w:szCs w:val="24"/>
          <w:lang w:val="sr-Cyrl-CS"/>
        </w:rPr>
      </w:pPr>
      <w:r w:rsidRPr="00092ED7">
        <w:rPr>
          <w:rFonts w:eastAsia="Calibri" w:cs="Times New Roman"/>
          <w:b/>
          <w:szCs w:val="24"/>
          <w:u w:val="single"/>
          <w:lang w:val="sr-Cyrl-CS"/>
        </w:rPr>
        <w:t>СТРУКТУРНА РЕФОРМА 8</w:t>
      </w:r>
      <w:r w:rsidRPr="00092ED7">
        <w:rPr>
          <w:rFonts w:eastAsia="Calibri" w:cs="Times New Roman"/>
          <w:b/>
          <w:szCs w:val="24"/>
          <w:lang w:val="sr-Cyrl-CS"/>
        </w:rPr>
        <w:t xml:space="preserve">: </w:t>
      </w:r>
      <w:r w:rsidRPr="00092ED7">
        <w:rPr>
          <w:rFonts w:eastAsia="Calibri" w:cs="Times New Roman"/>
          <w:szCs w:val="24"/>
          <w:lang w:val="sr-Cyrl-CS"/>
        </w:rPr>
        <w:t>УНАПРЕЂЕЊЕ УСЛОВА ЗА ПОВЕЋАЊЕ ЕНЕРГЕТСКЕ ЕФИКАСНОСТИ КРОЗ СТВАРАЊЕ УСЛОВА ЗА ПРИМЕНУ ЕНЕРГЕТСКОГ ОЗНАЧАВАЊА И ЕКОДИЗАЈНА, КАО И КРОЗ ПОДСТИЦАЈЕ ЗА УНАПРЕЂЕЊЕ ЕНЕРГЕТСКЕ ЕФИКАСНОСТИ</w:t>
      </w:r>
    </w:p>
    <w:p w14:paraId="496D5DD2" w14:textId="77777777" w:rsidR="00BA1B20" w:rsidRDefault="00BA1B20">
      <w:pPr>
        <w:spacing w:after="160" w:line="259" w:lineRule="auto"/>
        <w:jc w:val="left"/>
        <w:rPr>
          <w:rFonts w:eastAsia="Calibri" w:cs="Times New Roman"/>
          <w:szCs w:val="24"/>
          <w:lang w:val="sr-Cyrl-CS"/>
        </w:rPr>
      </w:pPr>
      <w:r>
        <w:rPr>
          <w:rFonts w:eastAsia="Calibri" w:cs="Times New Roman"/>
          <w:szCs w:val="24"/>
          <w:lang w:val="sr-Cyrl-CS"/>
        </w:rPr>
        <w:br w:type="page"/>
      </w:r>
    </w:p>
    <w:p w14:paraId="3ACAFEEB" w14:textId="77777777" w:rsidR="00D210F0" w:rsidRPr="00092ED7" w:rsidRDefault="00D210F0" w:rsidP="00071952">
      <w:pPr>
        <w:pStyle w:val="ListParagraph"/>
        <w:widowControl w:val="0"/>
        <w:numPr>
          <w:ilvl w:val="0"/>
          <w:numId w:val="25"/>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18A2515E" w14:textId="46F12E60" w:rsidR="00D210F0" w:rsidRPr="00092ED7" w:rsidRDefault="00740C58" w:rsidP="00B640AF">
      <w:pPr>
        <w:rPr>
          <w:rFonts w:cs="Times New Roman"/>
          <w:szCs w:val="24"/>
          <w:lang w:val="sr-Cyrl-CS"/>
        </w:rPr>
      </w:pPr>
      <w:r w:rsidRPr="00092ED7">
        <w:rPr>
          <w:rFonts w:eastAsia="Calibri" w:cs="Times New Roman"/>
          <w:szCs w:val="24"/>
          <w:lang w:val="sr-Cyrl-CS" w:eastAsia="sr-Cyrl-CS" w:bidi="sr-Cyrl-CS"/>
        </w:rPr>
        <w:t>Циљ структурне реформе је унапређење енергетске ефикасности у Републици Србији. У претходном периоду донет је Закон о енергетској ефикасности и рационалној употреби енергије</w:t>
      </w:r>
      <w:r w:rsidR="008D24BA" w:rsidRPr="00092ED7">
        <w:rPr>
          <w:rFonts w:eastAsia="Calibri" w:cs="Times New Roman"/>
          <w:szCs w:val="24"/>
          <w:lang w:val="sr-Cyrl-CS" w:eastAsia="sr-Cyrl-CS" w:bidi="sr-Cyrl-CS"/>
        </w:rPr>
        <w:t xml:space="preserve"> </w:t>
      </w:r>
      <w:r w:rsidR="008D24BA" w:rsidRPr="00092ED7">
        <w:rPr>
          <w:rFonts w:cs="Times New Roman"/>
          <w:szCs w:val="24"/>
          <w:lang w:val="sr-Cyrl-CS"/>
        </w:rPr>
        <w:t>(„Службени гласник РС”, број 40/21</w:t>
      </w:r>
      <w:r w:rsidR="00C1699A" w:rsidRPr="00092ED7">
        <w:rPr>
          <w:rFonts w:cs="Times New Roman"/>
          <w:szCs w:val="24"/>
          <w:lang w:val="sr-Cyrl-CS"/>
        </w:rPr>
        <w:t>,</w:t>
      </w:r>
      <w:r w:rsidR="00792CBF" w:rsidRPr="00092ED7">
        <w:rPr>
          <w:rFonts w:cs="Times New Roman"/>
          <w:szCs w:val="24"/>
          <w:lang w:val="sr-Cyrl-CS"/>
        </w:rPr>
        <w:t xml:space="preserve"> </w:t>
      </w:r>
      <w:r w:rsidR="004B1308" w:rsidRPr="00092ED7">
        <w:rPr>
          <w:rFonts w:eastAsia="Calibri" w:cs="Times New Roman"/>
          <w:szCs w:val="24"/>
          <w:lang w:val="sr-Cyrl-CS" w:eastAsia="sr-Cyrl-CS" w:bidi="sr-Cyrl-CS"/>
        </w:rPr>
        <w:t xml:space="preserve">у даљем тексту: </w:t>
      </w:r>
      <w:r w:rsidRPr="00092ED7">
        <w:rPr>
          <w:rFonts w:eastAsia="Calibri" w:cs="Times New Roman"/>
          <w:szCs w:val="24"/>
          <w:lang w:val="sr-Cyrl-CS" w:eastAsia="sr-Cyrl-CS" w:bidi="sr-Cyrl-CS"/>
        </w:rPr>
        <w:t xml:space="preserve">ЗЕЕРУЕ), припремљен већи број подзаконских аката и успостављена Управа </w:t>
      </w:r>
      <w:r w:rsidR="00045F19" w:rsidRPr="00092ED7">
        <w:rPr>
          <w:rFonts w:eastAsia="Calibri" w:cs="Times New Roman"/>
          <w:bCs/>
          <w:iCs/>
          <w:szCs w:val="24"/>
          <w:lang w:val="sr-Cyrl-CS" w:eastAsia="sr-Cyrl-CS" w:bidi="sr-Cyrl-CS"/>
        </w:rPr>
        <w:t>за финансирање и подстицање енергетске ефикасности</w:t>
      </w:r>
      <w:r w:rsidRPr="00092ED7">
        <w:rPr>
          <w:rFonts w:eastAsia="Calibri" w:cs="Times New Roman"/>
          <w:szCs w:val="24"/>
          <w:lang w:val="sr-Cyrl-CS" w:eastAsia="sr-Cyrl-CS" w:bidi="sr-Cyrl-CS"/>
        </w:rPr>
        <w:t xml:space="preserve">. Реформа ће обухватити активности које доприносе спровођењу енергетског означавања производа и еко-дизајна кроз доношење техничких прописа у складу са ЗЕЕРУЕ и ЕУ регулативом. За спровођење ове реформе од великог је значаја да се ојачају капацитети тела која врше тржишни надзор над спровођењем ових прописа као и да се подржи успостављање и развој капацитета тела за оцену усаглашености, па ће се структурна реформа фокусирати на то да се обезбеди техничка помоћ за изградњу капацитета укључујући пилот тестирања производа који се налазе на тржишту. Посебна пажња ће се посветити подизању свести свих учесника на тржишту, посебно крајњих купаца производа, о користима </w:t>
      </w:r>
      <w:r w:rsidR="00C1699A" w:rsidRPr="00092ED7">
        <w:rPr>
          <w:rFonts w:eastAsia="Calibri" w:cs="Times New Roman"/>
          <w:szCs w:val="24"/>
          <w:lang w:val="sr-Cyrl-CS" w:eastAsia="sr-Cyrl-CS" w:bidi="sr-Cyrl-CS"/>
        </w:rPr>
        <w:t xml:space="preserve">доношења </w:t>
      </w:r>
      <w:r w:rsidRPr="00092ED7">
        <w:rPr>
          <w:rFonts w:eastAsia="Calibri" w:cs="Times New Roman"/>
          <w:szCs w:val="24"/>
          <w:lang w:val="sr-Cyrl-CS" w:eastAsia="sr-Cyrl-CS" w:bidi="sr-Cyrl-CS"/>
        </w:rPr>
        <w:t xml:space="preserve">техничких прописа којима се постиже смањење потрошње енергије и смањење негативних утицаја коришћења енергије на животну средину као и дужи животни век производа. Осим тога, реформа ће обухватити и јачање капацитета Управе </w:t>
      </w:r>
      <w:r w:rsidR="00045F19" w:rsidRPr="00092ED7">
        <w:rPr>
          <w:rFonts w:eastAsia="Calibri" w:cs="Times New Roman"/>
          <w:bCs/>
          <w:iCs/>
          <w:szCs w:val="24"/>
          <w:lang w:val="sr-Cyrl-CS" w:eastAsia="sr-Cyrl-CS" w:bidi="sr-Cyrl-CS"/>
        </w:rPr>
        <w:t>за финансирање и подстицање енергетске ефикасности</w:t>
      </w:r>
      <w:r w:rsidRPr="00092ED7">
        <w:rPr>
          <w:rFonts w:eastAsia="Calibri" w:cs="Times New Roman"/>
          <w:szCs w:val="24"/>
          <w:lang w:val="sr-Cyrl-CS" w:eastAsia="sr-Cyrl-CS" w:bidi="sr-Cyrl-CS"/>
        </w:rPr>
        <w:t xml:space="preserve"> за доделу подстицаја за енергетску ефикасност и обезбеђење већих средстава подстицаја са посебним фокусом на сектор зграда као и санацију стамбених објеката и уградњу соларних панела у сектору домаћинстава. За јачање капацитета Управе </w:t>
      </w:r>
      <w:r w:rsidR="00045F19" w:rsidRPr="00092ED7">
        <w:rPr>
          <w:rFonts w:eastAsia="Calibri" w:cs="Times New Roman"/>
          <w:bCs/>
          <w:iCs/>
          <w:szCs w:val="24"/>
          <w:lang w:val="sr-Cyrl-CS" w:eastAsia="sr-Cyrl-CS" w:bidi="sr-Cyrl-CS"/>
        </w:rPr>
        <w:t>за финансирање и подстицање енергетске ефикасности</w:t>
      </w:r>
      <w:r w:rsidRPr="00092ED7">
        <w:rPr>
          <w:rFonts w:eastAsia="Calibri" w:cs="Times New Roman"/>
          <w:szCs w:val="24"/>
          <w:lang w:val="sr-Cyrl-CS" w:eastAsia="sr-Cyrl-CS" w:bidi="sr-Cyrl-CS"/>
        </w:rPr>
        <w:t xml:space="preserve"> биће обезбеђена техничка помоћ која треба да омогући даље унапређење механизама подстицаја које спроводи Управа </w:t>
      </w:r>
      <w:r w:rsidR="00045F19" w:rsidRPr="00092ED7">
        <w:rPr>
          <w:rFonts w:eastAsia="Calibri" w:cs="Times New Roman"/>
          <w:bCs/>
          <w:iCs/>
          <w:szCs w:val="24"/>
          <w:lang w:val="sr-Cyrl-CS" w:eastAsia="sr-Cyrl-CS" w:bidi="sr-Cyrl-CS"/>
        </w:rPr>
        <w:t>за финансирање и подстицање енергетске ефикасности</w:t>
      </w:r>
      <w:r w:rsidRPr="00092ED7">
        <w:rPr>
          <w:rFonts w:eastAsia="Calibri" w:cs="Times New Roman"/>
          <w:szCs w:val="24"/>
          <w:lang w:val="sr-Cyrl-CS" w:eastAsia="sr-Cyrl-CS" w:bidi="sr-Cyrl-CS"/>
        </w:rPr>
        <w:t xml:space="preserve"> са посебним фокусом на санацију стамбених објеката и уградњу соларних панела у сектору домаћинстава.</w:t>
      </w:r>
    </w:p>
    <w:p w14:paraId="26184E61" w14:textId="77777777" w:rsidR="00D210F0" w:rsidRPr="00092ED7" w:rsidRDefault="00D210F0" w:rsidP="00071952">
      <w:pPr>
        <w:widowControl w:val="0"/>
        <w:numPr>
          <w:ilvl w:val="0"/>
          <w:numId w:val="25"/>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425"/>
        <w:gridCol w:w="4243"/>
        <w:gridCol w:w="372"/>
        <w:gridCol w:w="373"/>
        <w:gridCol w:w="372"/>
        <w:gridCol w:w="373"/>
        <w:gridCol w:w="372"/>
        <w:gridCol w:w="373"/>
        <w:gridCol w:w="373"/>
        <w:gridCol w:w="372"/>
        <w:gridCol w:w="373"/>
        <w:gridCol w:w="372"/>
        <w:gridCol w:w="373"/>
        <w:gridCol w:w="373"/>
      </w:tblGrid>
      <w:tr w:rsidR="00D210F0" w:rsidRPr="00092ED7" w14:paraId="5A644ED5" w14:textId="77777777" w:rsidTr="00AE4362">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0D83A0CE" w14:textId="77777777" w:rsidR="00D210F0" w:rsidRPr="00092ED7" w:rsidRDefault="00D210F0" w:rsidP="00D210F0">
            <w:pPr>
              <w:spacing w:after="0"/>
              <w:jc w:val="center"/>
              <w:rPr>
                <w:rFonts w:cs="Times New Roman"/>
                <w:sz w:val="20"/>
                <w:szCs w:val="20"/>
                <w:lang w:val="sr-Cyrl-CS"/>
              </w:rPr>
            </w:pPr>
            <w:r w:rsidRPr="00092ED7">
              <w:rPr>
                <w:rFonts w:cs="Times New Roman"/>
                <w:b/>
                <w:bCs/>
                <w:color w:val="000000"/>
                <w:sz w:val="20"/>
                <w:szCs w:val="20"/>
                <w:lang w:val="sr-Cyrl-CS"/>
              </w:rPr>
              <w:t>РБ</w:t>
            </w:r>
          </w:p>
        </w:tc>
        <w:tc>
          <w:tcPr>
            <w:tcW w:w="4243"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0DBCAFD8" w14:textId="77777777" w:rsidR="00D210F0" w:rsidRPr="00092ED7" w:rsidRDefault="00D210F0" w:rsidP="00D210F0">
            <w:pPr>
              <w:spacing w:after="0"/>
              <w:jc w:val="left"/>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1AB29D01"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513DF74B"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5144E078"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44A810F0" w14:textId="77777777" w:rsidTr="00AE4362">
        <w:trPr>
          <w:trHeight w:val="315"/>
        </w:trPr>
        <w:tc>
          <w:tcPr>
            <w:tcW w:w="425" w:type="dxa"/>
            <w:vMerge/>
            <w:tcBorders>
              <w:left w:val="single" w:sz="8" w:space="0" w:color="auto"/>
              <w:bottom w:val="single" w:sz="8" w:space="0" w:color="000000"/>
              <w:right w:val="nil"/>
            </w:tcBorders>
            <w:shd w:val="clear" w:color="000000" w:fill="BDD6EE"/>
            <w:vAlign w:val="center"/>
            <w:hideMark/>
          </w:tcPr>
          <w:p w14:paraId="55312927" w14:textId="77777777" w:rsidR="00D210F0" w:rsidRPr="00092ED7" w:rsidRDefault="00D210F0" w:rsidP="00D210F0">
            <w:pPr>
              <w:spacing w:after="0"/>
              <w:jc w:val="center"/>
              <w:rPr>
                <w:rFonts w:cs="Times New Roman"/>
                <w:b/>
                <w:bCs/>
                <w:color w:val="000000"/>
                <w:sz w:val="20"/>
                <w:szCs w:val="20"/>
                <w:lang w:val="sr-Cyrl-CS"/>
              </w:rPr>
            </w:pPr>
          </w:p>
        </w:tc>
        <w:tc>
          <w:tcPr>
            <w:tcW w:w="4243"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5A04ACF6" w14:textId="77777777" w:rsidR="00D210F0" w:rsidRPr="00092ED7" w:rsidRDefault="00D210F0" w:rsidP="00D210F0">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06C3383"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200C968"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33B8A0E"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1E2BEFE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69F99A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3D6B4F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EE9805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EEE235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0CE72E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B1A1D5F"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3E5941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96FE4C5"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7531CB01" w14:textId="77777777" w:rsidTr="00AE4362">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7E9EA9F1"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1.</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27EA6BD4"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Доношење техничких прописа из области енергетског означавања производа и еко-дизајна</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7375F6F"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25500BC"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20A1D37"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90F968D"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60F9BAD"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FD430CF"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A6163CC"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53E407B"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03C9170"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3EA45EF6"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2DBE513"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08EFDE5A" w14:textId="77777777" w:rsidR="00D210F0" w:rsidRPr="00092ED7" w:rsidRDefault="00D210F0" w:rsidP="00D210F0">
            <w:pPr>
              <w:spacing w:after="0"/>
              <w:rPr>
                <w:rFonts w:cs="Times New Roman"/>
                <w:color w:val="000000"/>
                <w:sz w:val="20"/>
                <w:szCs w:val="20"/>
                <w:lang w:val="sr-Cyrl-CS"/>
              </w:rPr>
            </w:pPr>
          </w:p>
        </w:tc>
      </w:tr>
      <w:tr w:rsidR="00D210F0" w:rsidRPr="00092ED7" w14:paraId="5774E27A" w14:textId="77777777" w:rsidTr="00AE4362">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1245DAEE"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2.</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CEC8FCA"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Јачање капацитета државне управе и тела за оцену усаглашености за спровођење техничких прописа из области енергетског означавања производа и еко-дизајна I и спровођење пилот тестирања производа на тржишту</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3A54FC1E"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958EC87"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376EAE3"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41DB2E5"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64F062"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5669660"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BA3B240"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1F9FEC5"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EAF83EA"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E647242"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E804E67"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4B4CAC25" w14:textId="77777777" w:rsidR="00D210F0" w:rsidRPr="00092ED7" w:rsidRDefault="00D210F0" w:rsidP="00D210F0">
            <w:pPr>
              <w:spacing w:after="0"/>
              <w:rPr>
                <w:rFonts w:cs="Times New Roman"/>
                <w:color w:val="000000"/>
                <w:sz w:val="20"/>
                <w:szCs w:val="20"/>
                <w:lang w:val="sr-Cyrl-CS"/>
              </w:rPr>
            </w:pPr>
          </w:p>
        </w:tc>
      </w:tr>
      <w:tr w:rsidR="00D210F0" w:rsidRPr="00092ED7" w14:paraId="4A93F47B" w14:textId="77777777" w:rsidTr="00AE4362">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3A2156C2"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3.</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2C0A34A8" w14:textId="2D8CF49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 xml:space="preserve">Унапређење процедура и механизма за доделу подстицаја Управе </w:t>
            </w:r>
            <w:r w:rsidR="00045F19" w:rsidRPr="00092ED7">
              <w:rPr>
                <w:rFonts w:cs="Times New Roman"/>
                <w:bCs/>
                <w:iCs/>
                <w:sz w:val="20"/>
                <w:szCs w:val="20"/>
                <w:lang w:val="sr-Cyrl-CS"/>
              </w:rPr>
              <w:t>за финансирање и подстицање енергетске ефикасности</w:t>
            </w:r>
            <w:r w:rsidRPr="00092ED7">
              <w:rPr>
                <w:rFonts w:cs="Times New Roman"/>
                <w:sz w:val="20"/>
                <w:szCs w:val="20"/>
                <w:lang w:val="sr-Cyrl-CS"/>
              </w:rPr>
              <w:t xml:space="preserve"> и </w:t>
            </w:r>
            <w:r w:rsidR="00174158" w:rsidRPr="00092ED7">
              <w:rPr>
                <w:rFonts w:cs="Times New Roman"/>
                <w:sz w:val="20"/>
                <w:szCs w:val="20"/>
                <w:lang w:val="sr-Cyrl-CS"/>
              </w:rPr>
              <w:t>додељена средства подстицаја крајњим корисницима.</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E92E541"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471A863"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755932B"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8FB8ABF"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506AF14"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C778F79"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1C7DC84"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B637956"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32B9BA"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F0BD41C"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3D51136"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600212B1" w14:textId="77777777" w:rsidR="00D210F0" w:rsidRPr="00092ED7" w:rsidRDefault="00D210F0" w:rsidP="00D210F0">
            <w:pPr>
              <w:spacing w:after="0"/>
              <w:rPr>
                <w:rFonts w:cs="Times New Roman"/>
                <w:color w:val="000000"/>
                <w:sz w:val="20"/>
                <w:szCs w:val="20"/>
                <w:lang w:val="sr-Cyrl-CS"/>
              </w:rPr>
            </w:pPr>
          </w:p>
        </w:tc>
      </w:tr>
      <w:tr w:rsidR="00D210F0" w:rsidRPr="00092ED7" w14:paraId="74720A76" w14:textId="77777777" w:rsidTr="00AE4362">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2916E6E8"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4.</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6EA50C0C" w14:textId="139004EC"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 xml:space="preserve">Урађена анализа потребних корака за акредитацију Управе </w:t>
            </w:r>
            <w:r w:rsidR="00045F19" w:rsidRPr="00092ED7">
              <w:rPr>
                <w:rFonts w:cs="Times New Roman"/>
                <w:bCs/>
                <w:iCs/>
                <w:sz w:val="20"/>
                <w:szCs w:val="20"/>
                <w:lang w:val="sr-Cyrl-CS"/>
              </w:rPr>
              <w:t>за финансирање и подстицање енергетске ефикасности</w:t>
            </w:r>
            <w:r w:rsidRPr="00092ED7">
              <w:rPr>
                <w:rFonts w:cs="Times New Roman"/>
                <w:sz w:val="20"/>
                <w:szCs w:val="20"/>
                <w:lang w:val="sr-Cyrl-CS"/>
              </w:rPr>
              <w:t xml:space="preserve"> за коришћење средстава ЕУ</w:t>
            </w:r>
          </w:p>
        </w:tc>
        <w:tc>
          <w:tcPr>
            <w:tcW w:w="372" w:type="dxa"/>
            <w:tcBorders>
              <w:top w:val="nil"/>
              <w:left w:val="single" w:sz="8"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CCC2A49"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F7F0B29"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7DBF929"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2CF28EDC"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05F5626"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478F3E8"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F31C7BF"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3C8DAA1"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B783039"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CDEDD77"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CE2E124"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06E403CA" w14:textId="77777777" w:rsidR="00D210F0" w:rsidRPr="00092ED7" w:rsidRDefault="00D210F0" w:rsidP="00D210F0">
            <w:pPr>
              <w:spacing w:after="0"/>
              <w:rPr>
                <w:rFonts w:cs="Times New Roman"/>
                <w:color w:val="000000"/>
                <w:sz w:val="20"/>
                <w:szCs w:val="20"/>
                <w:lang w:val="sr-Cyrl-CS"/>
              </w:rPr>
            </w:pPr>
          </w:p>
        </w:tc>
      </w:tr>
    </w:tbl>
    <w:p w14:paraId="57B5FD73" w14:textId="77777777" w:rsidR="00BA1B20" w:rsidRDefault="00BA1B20" w:rsidP="00BA1B20">
      <w:pPr>
        <w:pStyle w:val="ListParagraph"/>
        <w:widowControl w:val="0"/>
        <w:spacing w:before="120" w:line="240" w:lineRule="auto"/>
        <w:ind w:left="425"/>
        <w:contextualSpacing w:val="0"/>
        <w:rPr>
          <w:rFonts w:cs="Times New Roman"/>
          <w:b/>
          <w:sz w:val="24"/>
          <w:szCs w:val="24"/>
          <w:lang w:val="sr-Cyrl-CS" w:eastAsia="sr-Cyrl-CS" w:bidi="sr-Cyrl-CS"/>
        </w:rPr>
      </w:pPr>
    </w:p>
    <w:p w14:paraId="6AFEEC7F" w14:textId="77777777" w:rsidR="00BA1B20" w:rsidRDefault="00BA1B20">
      <w:pPr>
        <w:spacing w:after="160" w:line="259" w:lineRule="auto"/>
        <w:jc w:val="left"/>
        <w:rPr>
          <w:rFonts w:eastAsia="MS PGothic" w:cs="Times New Roman"/>
          <w:b/>
          <w:szCs w:val="24"/>
          <w:lang w:val="sr-Cyrl-CS" w:eastAsia="sr-Cyrl-CS" w:bidi="sr-Cyrl-CS"/>
        </w:rPr>
      </w:pPr>
      <w:r>
        <w:rPr>
          <w:rFonts w:cs="Times New Roman"/>
          <w:b/>
          <w:szCs w:val="24"/>
          <w:lang w:val="sr-Cyrl-CS" w:eastAsia="sr-Cyrl-CS" w:bidi="sr-Cyrl-CS"/>
        </w:rPr>
        <w:br w:type="page"/>
      </w:r>
    </w:p>
    <w:p w14:paraId="560845E7" w14:textId="7BC90CD9" w:rsidR="00D210F0" w:rsidRPr="00092ED7" w:rsidRDefault="00D210F0" w:rsidP="00071952">
      <w:pPr>
        <w:pStyle w:val="ListParagraph"/>
        <w:widowControl w:val="0"/>
        <w:numPr>
          <w:ilvl w:val="0"/>
          <w:numId w:val="25"/>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Индикатори рeзултата</w:t>
      </w:r>
    </w:p>
    <w:tbl>
      <w:tblPr>
        <w:tblStyle w:val="TableGrid"/>
        <w:tblW w:w="9214" w:type="dxa"/>
        <w:tblInd w:w="-5" w:type="dxa"/>
        <w:tblLayout w:type="fixed"/>
        <w:tblLook w:val="04A0" w:firstRow="1" w:lastRow="0" w:firstColumn="1" w:lastColumn="0" w:noHBand="0" w:noVBand="1"/>
      </w:tblPr>
      <w:tblGrid>
        <w:gridCol w:w="4253"/>
        <w:gridCol w:w="1653"/>
        <w:gridCol w:w="1654"/>
        <w:gridCol w:w="1654"/>
      </w:tblGrid>
      <w:tr w:rsidR="00D210F0" w:rsidRPr="00092ED7" w14:paraId="3490F859" w14:textId="77777777" w:rsidTr="00AE4362">
        <w:trPr>
          <w:cnfStyle w:val="100000000000" w:firstRow="1" w:lastRow="0" w:firstColumn="0" w:lastColumn="0" w:oddVBand="0" w:evenVBand="0" w:oddHBand="0" w:evenHBand="0" w:firstRowFirstColumn="0" w:firstRowLastColumn="0" w:lastRowFirstColumn="0" w:lastRowLastColumn="0"/>
        </w:trPr>
        <w:tc>
          <w:tcPr>
            <w:tcW w:w="4253" w:type="dxa"/>
          </w:tcPr>
          <w:p w14:paraId="166EA4A2"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Показатељ</w:t>
            </w:r>
          </w:p>
        </w:tc>
        <w:tc>
          <w:tcPr>
            <w:tcW w:w="1653" w:type="dxa"/>
          </w:tcPr>
          <w:p w14:paraId="2DAE9C0A"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Почетна вредност (2022)</w:t>
            </w:r>
          </w:p>
        </w:tc>
        <w:tc>
          <w:tcPr>
            <w:tcW w:w="1654" w:type="dxa"/>
          </w:tcPr>
          <w:p w14:paraId="1EA50686"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Међурезултат (2023)</w:t>
            </w:r>
          </w:p>
        </w:tc>
        <w:tc>
          <w:tcPr>
            <w:tcW w:w="1654" w:type="dxa"/>
          </w:tcPr>
          <w:p w14:paraId="3BF802D2"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Циљна вредност (2025)</w:t>
            </w:r>
          </w:p>
        </w:tc>
      </w:tr>
      <w:tr w:rsidR="00D210F0" w:rsidRPr="00092ED7" w14:paraId="02856C42" w14:textId="77777777" w:rsidTr="00AE4362">
        <w:tc>
          <w:tcPr>
            <w:tcW w:w="4253" w:type="dxa"/>
          </w:tcPr>
          <w:p w14:paraId="389441CE" w14:textId="77777777" w:rsidR="00D210F0" w:rsidRPr="00092ED7" w:rsidRDefault="00174158" w:rsidP="005D14E2">
            <w:pPr>
              <w:spacing w:before="0" w:after="0"/>
              <w:ind w:left="113" w:right="113"/>
              <w:rPr>
                <w:rFonts w:cs="Times New Roman"/>
                <w:sz w:val="20"/>
                <w:lang w:val="sr-Cyrl-CS"/>
              </w:rPr>
            </w:pPr>
            <w:r w:rsidRPr="00092ED7">
              <w:rPr>
                <w:rFonts w:cs="Times New Roman"/>
                <w:sz w:val="20"/>
                <w:lang w:val="sr-Cyrl-CS"/>
              </w:rPr>
              <w:t>Максимална дозвољена потрошња финалне енергије у домаћинствима у Мtoe</w:t>
            </w:r>
          </w:p>
        </w:tc>
        <w:tc>
          <w:tcPr>
            <w:tcW w:w="1653" w:type="dxa"/>
          </w:tcPr>
          <w:p w14:paraId="2AAD3CA7" w14:textId="77777777" w:rsidR="00D210F0" w:rsidRPr="00092ED7" w:rsidRDefault="00174158" w:rsidP="005D14E2">
            <w:pPr>
              <w:spacing w:before="0" w:after="0"/>
              <w:ind w:left="113" w:right="113"/>
              <w:jc w:val="center"/>
              <w:rPr>
                <w:rFonts w:cs="Times New Roman"/>
                <w:sz w:val="20"/>
                <w:lang w:val="sr-Cyrl-CS"/>
              </w:rPr>
            </w:pPr>
            <w:r w:rsidRPr="00092ED7">
              <w:rPr>
                <w:rFonts w:cs="Times New Roman"/>
                <w:sz w:val="20"/>
                <w:lang w:val="sr-Cyrl-CS"/>
              </w:rPr>
              <w:t>3,478</w:t>
            </w:r>
          </w:p>
        </w:tc>
        <w:tc>
          <w:tcPr>
            <w:tcW w:w="1654" w:type="dxa"/>
          </w:tcPr>
          <w:p w14:paraId="52FC8AB7" w14:textId="77777777" w:rsidR="00D210F0" w:rsidRPr="00092ED7" w:rsidRDefault="00174158" w:rsidP="005D14E2">
            <w:pPr>
              <w:spacing w:before="0" w:after="0"/>
              <w:ind w:left="113" w:right="113"/>
              <w:jc w:val="center"/>
              <w:rPr>
                <w:rFonts w:cs="Times New Roman"/>
                <w:sz w:val="20"/>
                <w:lang w:val="sr-Cyrl-CS"/>
              </w:rPr>
            </w:pPr>
            <w:r w:rsidRPr="00092ED7">
              <w:rPr>
                <w:rFonts w:cs="Times New Roman"/>
                <w:sz w:val="20"/>
                <w:lang w:val="sr-Cyrl-CS"/>
              </w:rPr>
              <w:t>/</w:t>
            </w:r>
          </w:p>
        </w:tc>
        <w:tc>
          <w:tcPr>
            <w:tcW w:w="1654" w:type="dxa"/>
          </w:tcPr>
          <w:p w14:paraId="3D62633A" w14:textId="77777777" w:rsidR="00D210F0" w:rsidRPr="00092ED7" w:rsidRDefault="00174158" w:rsidP="005D14E2">
            <w:pPr>
              <w:spacing w:before="0" w:after="0"/>
              <w:ind w:left="113" w:right="113"/>
              <w:jc w:val="center"/>
              <w:rPr>
                <w:rFonts w:cs="Times New Roman"/>
                <w:sz w:val="20"/>
                <w:lang w:val="sr-Cyrl-CS"/>
              </w:rPr>
            </w:pPr>
            <w:r w:rsidRPr="00092ED7">
              <w:rPr>
                <w:rFonts w:cs="Times New Roman"/>
                <w:sz w:val="20"/>
                <w:lang w:val="sr-Cyrl-CS"/>
              </w:rPr>
              <w:t>3,534</w:t>
            </w:r>
          </w:p>
        </w:tc>
      </w:tr>
      <w:tr w:rsidR="00D210F0" w:rsidRPr="00092ED7" w14:paraId="36B9CA42" w14:textId="77777777" w:rsidTr="00AE4362">
        <w:tc>
          <w:tcPr>
            <w:tcW w:w="4253" w:type="dxa"/>
          </w:tcPr>
          <w:p w14:paraId="5396DEB1" w14:textId="77777777" w:rsidR="00D210F0" w:rsidRPr="00092ED7" w:rsidRDefault="00174158" w:rsidP="005D14E2">
            <w:pPr>
              <w:spacing w:before="0" w:after="0"/>
              <w:ind w:left="113" w:right="113"/>
              <w:rPr>
                <w:rFonts w:cs="Times New Roman"/>
                <w:sz w:val="20"/>
                <w:lang w:val="sr-Cyrl-CS"/>
              </w:rPr>
            </w:pPr>
            <w:r w:rsidRPr="00092ED7">
              <w:rPr>
                <w:rFonts w:cs="Times New Roman"/>
                <w:sz w:val="20"/>
                <w:lang w:val="sr-Cyrl-CS"/>
              </w:rPr>
              <w:t>Број нових домаћинстава која су добила субвенције за унапређење енергетске ефикасности на годишњем нивоу</w:t>
            </w:r>
          </w:p>
        </w:tc>
        <w:tc>
          <w:tcPr>
            <w:tcW w:w="1653" w:type="dxa"/>
          </w:tcPr>
          <w:p w14:paraId="5DEA076A" w14:textId="52CC609A" w:rsidR="00D210F0" w:rsidRPr="00092ED7" w:rsidRDefault="00174158" w:rsidP="005D14E2">
            <w:pPr>
              <w:spacing w:before="0" w:after="0"/>
              <w:ind w:left="113" w:right="113"/>
              <w:jc w:val="center"/>
              <w:rPr>
                <w:rFonts w:cs="Times New Roman"/>
                <w:sz w:val="20"/>
                <w:lang w:val="sr-Cyrl-CS"/>
              </w:rPr>
            </w:pPr>
            <w:r w:rsidRPr="00092ED7">
              <w:rPr>
                <w:rFonts w:cs="Times New Roman"/>
                <w:sz w:val="20"/>
                <w:lang w:val="sr-Cyrl-CS"/>
              </w:rPr>
              <w:t>5</w:t>
            </w:r>
            <w:r w:rsidR="00C1699A" w:rsidRPr="00092ED7">
              <w:rPr>
                <w:rFonts w:cs="Times New Roman"/>
                <w:sz w:val="20"/>
                <w:lang w:val="sr-Cyrl-CS"/>
              </w:rPr>
              <w:t>.</w:t>
            </w:r>
            <w:r w:rsidRPr="00092ED7">
              <w:rPr>
                <w:rFonts w:cs="Times New Roman"/>
                <w:sz w:val="20"/>
                <w:lang w:val="sr-Cyrl-CS"/>
              </w:rPr>
              <w:t>000</w:t>
            </w:r>
          </w:p>
        </w:tc>
        <w:tc>
          <w:tcPr>
            <w:tcW w:w="1654" w:type="dxa"/>
          </w:tcPr>
          <w:p w14:paraId="762B598D" w14:textId="040CAAF5" w:rsidR="00D210F0" w:rsidRPr="00092ED7" w:rsidRDefault="00174158" w:rsidP="005D14E2">
            <w:pPr>
              <w:spacing w:before="0" w:after="0"/>
              <w:ind w:left="113" w:right="113"/>
              <w:jc w:val="center"/>
              <w:rPr>
                <w:rFonts w:cs="Times New Roman"/>
                <w:sz w:val="20"/>
                <w:lang w:val="sr-Cyrl-CS"/>
              </w:rPr>
            </w:pPr>
            <w:r w:rsidRPr="00092ED7">
              <w:rPr>
                <w:rFonts w:cs="Times New Roman"/>
                <w:sz w:val="20"/>
                <w:lang w:val="sr-Cyrl-CS"/>
              </w:rPr>
              <w:t>5</w:t>
            </w:r>
            <w:r w:rsidR="00C1699A" w:rsidRPr="00092ED7">
              <w:rPr>
                <w:rFonts w:cs="Times New Roman"/>
                <w:sz w:val="20"/>
                <w:lang w:val="sr-Cyrl-CS"/>
              </w:rPr>
              <w:t>.</w:t>
            </w:r>
            <w:r w:rsidRPr="00092ED7">
              <w:rPr>
                <w:rFonts w:cs="Times New Roman"/>
                <w:sz w:val="20"/>
                <w:lang w:val="sr-Cyrl-CS"/>
              </w:rPr>
              <w:t>000</w:t>
            </w:r>
          </w:p>
        </w:tc>
        <w:tc>
          <w:tcPr>
            <w:tcW w:w="1654" w:type="dxa"/>
          </w:tcPr>
          <w:p w14:paraId="78177393" w14:textId="687F7445" w:rsidR="00D210F0" w:rsidRPr="00092ED7" w:rsidRDefault="00174158" w:rsidP="005D14E2">
            <w:pPr>
              <w:spacing w:before="0" w:after="0"/>
              <w:ind w:left="113" w:right="113"/>
              <w:jc w:val="center"/>
              <w:rPr>
                <w:rFonts w:cs="Times New Roman"/>
                <w:sz w:val="20"/>
                <w:lang w:val="sr-Cyrl-CS"/>
              </w:rPr>
            </w:pPr>
            <w:r w:rsidRPr="00092ED7">
              <w:rPr>
                <w:rFonts w:cs="Times New Roman"/>
                <w:sz w:val="20"/>
                <w:lang w:val="sr-Cyrl-CS"/>
              </w:rPr>
              <w:t>5</w:t>
            </w:r>
            <w:r w:rsidR="00C1699A" w:rsidRPr="00092ED7">
              <w:rPr>
                <w:rFonts w:cs="Times New Roman"/>
                <w:sz w:val="20"/>
                <w:lang w:val="sr-Cyrl-CS"/>
              </w:rPr>
              <w:t>.</w:t>
            </w:r>
            <w:r w:rsidRPr="00092ED7">
              <w:rPr>
                <w:rFonts w:cs="Times New Roman"/>
                <w:sz w:val="20"/>
                <w:lang w:val="sr-Cyrl-CS"/>
              </w:rPr>
              <w:t>000</w:t>
            </w:r>
          </w:p>
        </w:tc>
      </w:tr>
    </w:tbl>
    <w:p w14:paraId="1091298F" w14:textId="77777777" w:rsidR="00D210F0" w:rsidRPr="00092ED7" w:rsidRDefault="00D210F0" w:rsidP="00071952">
      <w:pPr>
        <w:pStyle w:val="ListParagraph"/>
        <w:widowControl w:val="0"/>
        <w:numPr>
          <w:ilvl w:val="0"/>
          <w:numId w:val="25"/>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конкурентност</w:t>
      </w:r>
    </w:p>
    <w:p w14:paraId="2BF415C9" w14:textId="4AD5C63E"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Унапређење енергетске ефикасности једна је од кључних мера политике у борби против климатских промена. Циљеви у овој области биће утврђени у оквиру Интегрисаног енергетског и климатског плана. Повећање енергетске ефикасности у сектору индустрије и комерцијалном сектору доводи до смањења потрошње енергије по јединици производа што значи да доприноси и њиховој конкурентности. С обзиром да је енергетски интензитет у </w:t>
      </w:r>
      <w:r w:rsidR="004B1308" w:rsidRPr="00092ED7">
        <w:rPr>
          <w:rFonts w:eastAsia="Calibri" w:cs="Times New Roman"/>
          <w:szCs w:val="24"/>
          <w:lang w:val="sr-Cyrl-CS" w:eastAsia="sr-Cyrl-CS" w:bidi="sr-Cyrl-CS"/>
        </w:rPr>
        <w:t xml:space="preserve">Републици </w:t>
      </w:r>
      <w:r w:rsidRPr="00092ED7">
        <w:rPr>
          <w:rFonts w:eastAsia="Calibri" w:cs="Times New Roman"/>
          <w:szCs w:val="24"/>
          <w:lang w:val="sr-Cyrl-CS" w:eastAsia="sr-Cyrl-CS" w:bidi="sr-Cyrl-CS"/>
        </w:rPr>
        <w:t xml:space="preserve">Србији око </w:t>
      </w:r>
      <w:r w:rsidR="00C1699A" w:rsidRPr="00092ED7">
        <w:rPr>
          <w:rFonts w:eastAsia="Calibri" w:cs="Times New Roman"/>
          <w:szCs w:val="24"/>
          <w:lang w:val="sr-Cyrl-CS" w:eastAsia="sr-Cyrl-CS" w:bidi="sr-Cyrl-CS"/>
        </w:rPr>
        <w:t xml:space="preserve">четири </w:t>
      </w:r>
      <w:r w:rsidRPr="00092ED7">
        <w:rPr>
          <w:rFonts w:eastAsia="Calibri" w:cs="Times New Roman"/>
          <w:szCs w:val="24"/>
          <w:lang w:val="sr-Cyrl-CS" w:eastAsia="sr-Cyrl-CS" w:bidi="sr-Cyrl-CS"/>
        </w:rPr>
        <w:t>пута већи од просека ЕУ (</w:t>
      </w:r>
      <w:r w:rsidR="004B1308" w:rsidRPr="00092ED7">
        <w:rPr>
          <w:rFonts w:eastAsia="Calibri" w:cs="Times New Roman"/>
          <w:szCs w:val="24"/>
          <w:lang w:val="sr-Cyrl-CS" w:eastAsia="sr-Cyrl-CS" w:bidi="sr-Cyrl-CS"/>
        </w:rPr>
        <w:t xml:space="preserve">Републици </w:t>
      </w:r>
      <w:r w:rsidRPr="00092ED7">
        <w:rPr>
          <w:rFonts w:eastAsia="Calibri" w:cs="Times New Roman"/>
          <w:szCs w:val="24"/>
          <w:lang w:val="sr-Cyrl-CS" w:eastAsia="sr-Cyrl-CS" w:bidi="sr-Cyrl-CS"/>
        </w:rPr>
        <w:t xml:space="preserve">Србија потроши </w:t>
      </w:r>
      <w:r w:rsidR="00C1699A" w:rsidRPr="00092ED7">
        <w:rPr>
          <w:rFonts w:eastAsia="Calibri" w:cs="Times New Roman"/>
          <w:szCs w:val="24"/>
          <w:lang w:val="sr-Cyrl-CS" w:eastAsia="sr-Cyrl-CS" w:bidi="sr-Cyrl-CS"/>
        </w:rPr>
        <w:t xml:space="preserve">четири </w:t>
      </w:r>
      <w:r w:rsidRPr="00092ED7">
        <w:rPr>
          <w:rFonts w:eastAsia="Calibri" w:cs="Times New Roman"/>
          <w:szCs w:val="24"/>
          <w:lang w:val="sr-Cyrl-CS" w:eastAsia="sr-Cyrl-CS" w:bidi="sr-Cyrl-CS"/>
        </w:rPr>
        <w:t>пута више енергије за стварање јединице БДП) евидентно је да постоји велики потенцијал за унапређење енергетске ефикасности.</w:t>
      </w:r>
    </w:p>
    <w:p w14:paraId="4DF49AC2" w14:textId="77777777" w:rsidR="00D210F0" w:rsidRPr="00092ED7" w:rsidRDefault="00D210F0" w:rsidP="00071952">
      <w:pPr>
        <w:widowControl w:val="0"/>
        <w:numPr>
          <w:ilvl w:val="0"/>
          <w:numId w:val="25"/>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3BE1DD0B" w14:textId="387BC713" w:rsidR="00CA0E52" w:rsidRPr="00092ED7" w:rsidRDefault="00CA0E52" w:rsidP="001760BE">
      <w:pPr>
        <w:widowControl w:val="0"/>
        <w:tabs>
          <w:tab w:val="left" w:pos="7112"/>
        </w:tabs>
        <w:spacing w:after="60"/>
        <w:rPr>
          <w:rFonts w:eastAsia="Times New Roman" w:cs="Times New Roman"/>
          <w:szCs w:val="24"/>
          <w:lang w:val="sr-Cyrl-CS"/>
        </w:rPr>
      </w:pPr>
      <w:r w:rsidRPr="00092ED7">
        <w:rPr>
          <w:rFonts w:eastAsia="Times New Roman" w:cs="Times New Roman"/>
          <w:szCs w:val="24"/>
          <w:lang w:val="sr-Cyrl-CS"/>
        </w:rPr>
        <w:t xml:space="preserve">За спровођење активности 1 у 2023. години обезбеђена је техничка помоћ кроз „PLAC” пројекат. За спровођење активности 1 и 2 потребно је обезбедити из ИПА или других фондова 1 милион евра у 2024. години. </w:t>
      </w:r>
    </w:p>
    <w:p w14:paraId="62E9BD4B" w14:textId="5BDE1372" w:rsidR="000634BE" w:rsidRPr="00092ED7" w:rsidRDefault="000634BE" w:rsidP="001760BE">
      <w:pPr>
        <w:widowControl w:val="0"/>
        <w:tabs>
          <w:tab w:val="left" w:pos="7112"/>
        </w:tabs>
        <w:spacing w:after="60"/>
        <w:rPr>
          <w:rFonts w:eastAsia="Times New Roman" w:cs="Times New Roman"/>
          <w:szCs w:val="24"/>
          <w:lang w:val="sr-Cyrl-CS"/>
        </w:rPr>
      </w:pPr>
      <w:r w:rsidRPr="00092ED7">
        <w:rPr>
          <w:rFonts w:eastAsia="Times New Roman" w:cs="Times New Roman"/>
          <w:szCs w:val="24"/>
          <w:lang w:val="sr-Cyrl-CS"/>
        </w:rPr>
        <w:t xml:space="preserve">За спровођење активности 2 и 3 у наредном периоду </w:t>
      </w:r>
      <w:r w:rsidR="00CA0E52" w:rsidRPr="00092ED7">
        <w:rPr>
          <w:rFonts w:eastAsia="Times New Roman" w:cs="Times New Roman"/>
          <w:szCs w:val="24"/>
          <w:lang w:val="sr-Cyrl-CS"/>
        </w:rPr>
        <w:t>потребна су следећа средства</w:t>
      </w:r>
      <w:r w:rsidRPr="00092ED7">
        <w:rPr>
          <w:rFonts w:eastAsia="Times New Roman" w:cs="Times New Roman"/>
          <w:szCs w:val="24"/>
          <w:lang w:val="sr-Cyrl-CS"/>
        </w:rPr>
        <w:t>:</w:t>
      </w:r>
    </w:p>
    <w:p w14:paraId="3C0FDF55" w14:textId="15E52FFB" w:rsidR="000634BE" w:rsidRPr="00092ED7" w:rsidRDefault="000634BE" w:rsidP="001760BE">
      <w:pPr>
        <w:pStyle w:val="ListParagraph"/>
        <w:widowControl w:val="0"/>
        <w:numPr>
          <w:ilvl w:val="0"/>
          <w:numId w:val="51"/>
        </w:numPr>
        <w:tabs>
          <w:tab w:val="left" w:pos="7112"/>
        </w:tabs>
        <w:spacing w:after="60" w:line="240" w:lineRule="auto"/>
        <w:rPr>
          <w:rFonts w:eastAsia="Times New Roman" w:cs="Times New Roman"/>
          <w:sz w:val="24"/>
          <w:szCs w:val="24"/>
          <w:lang w:val="sr-Cyrl-CS"/>
        </w:rPr>
      </w:pPr>
      <w:r w:rsidRPr="00092ED7">
        <w:rPr>
          <w:rFonts w:eastAsia="Times New Roman" w:cs="Times New Roman"/>
          <w:sz w:val="24"/>
          <w:szCs w:val="24"/>
          <w:lang w:val="sr-Cyrl-CS"/>
        </w:rPr>
        <w:t xml:space="preserve">у 2023. години </w:t>
      </w:r>
      <w:r w:rsidR="00CA0E52" w:rsidRPr="00092ED7">
        <w:rPr>
          <w:rFonts w:eastAsia="Times New Roman" w:cs="Times New Roman"/>
          <w:sz w:val="24"/>
          <w:szCs w:val="24"/>
          <w:lang w:val="sr-Cyrl-CS"/>
        </w:rPr>
        <w:t xml:space="preserve">обезбеђена су </w:t>
      </w:r>
      <w:r w:rsidRPr="00092ED7">
        <w:rPr>
          <w:rFonts w:eastAsia="Times New Roman" w:cs="Times New Roman"/>
          <w:sz w:val="24"/>
          <w:szCs w:val="24"/>
          <w:lang w:val="sr-Cyrl-CS"/>
        </w:rPr>
        <w:t xml:space="preserve">средства </w:t>
      </w:r>
      <w:r w:rsidR="00616441" w:rsidRPr="00092ED7">
        <w:rPr>
          <w:rFonts w:eastAsia="Times New Roman" w:cs="Times New Roman"/>
          <w:sz w:val="24"/>
          <w:szCs w:val="24"/>
          <w:lang w:val="sr-Cyrl-CS"/>
        </w:rPr>
        <w:t xml:space="preserve">Управи </w:t>
      </w:r>
      <w:r w:rsidR="00045F19" w:rsidRPr="00092ED7">
        <w:rPr>
          <w:rFonts w:eastAsia="Times New Roman" w:cs="Times New Roman"/>
          <w:bCs/>
          <w:iCs/>
          <w:sz w:val="24"/>
          <w:szCs w:val="24"/>
          <w:lang w:val="sr-Cyrl-CS"/>
        </w:rPr>
        <w:t>за финансирање и подстицање енергетске ефикасности</w:t>
      </w:r>
      <w:r w:rsidR="00CA0E52" w:rsidRPr="00092ED7">
        <w:rPr>
          <w:rFonts w:eastAsia="Times New Roman" w:cs="Times New Roman"/>
          <w:sz w:val="24"/>
          <w:szCs w:val="24"/>
          <w:lang w:val="sr-Cyrl-CS"/>
        </w:rPr>
        <w:t xml:space="preserve"> </w:t>
      </w:r>
      <w:r w:rsidRPr="00092ED7">
        <w:rPr>
          <w:rFonts w:eastAsia="Times New Roman" w:cs="Times New Roman"/>
          <w:sz w:val="24"/>
          <w:szCs w:val="24"/>
          <w:lang w:val="sr-Cyrl-CS"/>
        </w:rPr>
        <w:t xml:space="preserve">из </w:t>
      </w:r>
      <w:r w:rsidR="001760BE" w:rsidRPr="00092ED7">
        <w:rPr>
          <w:rFonts w:eastAsia="Times New Roman" w:cs="Times New Roman"/>
          <w:sz w:val="24"/>
          <w:szCs w:val="24"/>
          <w:lang w:val="sr-Cyrl-CS"/>
        </w:rPr>
        <w:t xml:space="preserve">буџета </w:t>
      </w:r>
      <w:r w:rsidRPr="00092ED7">
        <w:rPr>
          <w:rFonts w:eastAsia="Times New Roman" w:cs="Times New Roman"/>
          <w:sz w:val="24"/>
          <w:szCs w:val="24"/>
          <w:lang w:val="sr-Cyrl-CS"/>
        </w:rPr>
        <w:t xml:space="preserve">у висини од </w:t>
      </w:r>
      <w:r w:rsidR="00CA0E52" w:rsidRPr="00092ED7">
        <w:rPr>
          <w:rFonts w:eastAsia="Times New Roman" w:cs="Times New Roman"/>
          <w:sz w:val="24"/>
          <w:szCs w:val="24"/>
          <w:lang w:val="sr-Cyrl-CS"/>
        </w:rPr>
        <w:t xml:space="preserve">4,28 </w:t>
      </w:r>
      <w:r w:rsidRPr="00092ED7">
        <w:rPr>
          <w:rFonts w:eastAsia="Times New Roman" w:cs="Times New Roman"/>
          <w:sz w:val="24"/>
          <w:szCs w:val="24"/>
          <w:lang w:val="sr-Cyrl-CS"/>
        </w:rPr>
        <w:t xml:space="preserve">милиона евра и око 1,6 милиона евра као </w:t>
      </w:r>
      <w:r w:rsidR="00CA0E52" w:rsidRPr="00092ED7">
        <w:rPr>
          <w:rFonts w:eastAsia="Times New Roman" w:cs="Times New Roman"/>
          <w:sz w:val="24"/>
          <w:szCs w:val="24"/>
          <w:lang w:val="sr-Cyrl-CS"/>
        </w:rPr>
        <w:t xml:space="preserve">контрибуција </w:t>
      </w:r>
      <w:r w:rsidR="00A03723" w:rsidRPr="00092ED7">
        <w:rPr>
          <w:rFonts w:eastAsia="Times New Roman" w:cs="Times New Roman"/>
          <w:sz w:val="24"/>
          <w:szCs w:val="24"/>
          <w:lang w:val="sr-Cyrl-CS"/>
        </w:rPr>
        <w:t>ЈЛС</w:t>
      </w:r>
      <w:r w:rsidRPr="00092ED7">
        <w:rPr>
          <w:rFonts w:eastAsia="Times New Roman" w:cs="Times New Roman"/>
          <w:sz w:val="24"/>
          <w:szCs w:val="24"/>
          <w:lang w:val="sr-Cyrl-CS"/>
        </w:rPr>
        <w:t xml:space="preserve"> које </w:t>
      </w:r>
      <w:r w:rsidR="00CA0E52" w:rsidRPr="00092ED7">
        <w:rPr>
          <w:rFonts w:eastAsia="Times New Roman" w:cs="Times New Roman"/>
          <w:sz w:val="24"/>
          <w:szCs w:val="24"/>
          <w:lang w:val="sr-Cyrl-CS"/>
        </w:rPr>
        <w:t xml:space="preserve">су </w:t>
      </w:r>
      <w:r w:rsidRPr="00092ED7">
        <w:rPr>
          <w:rFonts w:eastAsia="Times New Roman" w:cs="Times New Roman"/>
          <w:sz w:val="24"/>
          <w:szCs w:val="24"/>
          <w:lang w:val="sr-Cyrl-CS"/>
        </w:rPr>
        <w:t xml:space="preserve">укључене </w:t>
      </w:r>
      <w:r w:rsidR="008324AA" w:rsidRPr="00092ED7">
        <w:rPr>
          <w:rFonts w:eastAsia="Times New Roman" w:cs="Times New Roman"/>
          <w:sz w:val="24"/>
          <w:szCs w:val="24"/>
          <w:lang w:val="sr-Cyrl-CS"/>
        </w:rPr>
        <w:t xml:space="preserve">у </w:t>
      </w:r>
      <w:r w:rsidRPr="00092ED7">
        <w:rPr>
          <w:rFonts w:eastAsia="Times New Roman" w:cs="Times New Roman"/>
          <w:sz w:val="24"/>
          <w:szCs w:val="24"/>
          <w:lang w:val="sr-Cyrl-CS"/>
        </w:rPr>
        <w:t xml:space="preserve">реализацију активности </w:t>
      </w:r>
      <w:r w:rsidR="004626B3" w:rsidRPr="00092ED7">
        <w:rPr>
          <w:rFonts w:eastAsia="Times New Roman" w:cs="Times New Roman"/>
          <w:sz w:val="24"/>
          <w:szCs w:val="24"/>
          <w:lang w:val="sr-Cyrl-CS"/>
        </w:rPr>
        <w:t>ове у</w:t>
      </w:r>
      <w:r w:rsidRPr="00092ED7">
        <w:rPr>
          <w:rFonts w:eastAsia="Times New Roman" w:cs="Times New Roman"/>
          <w:sz w:val="24"/>
          <w:szCs w:val="24"/>
          <w:lang w:val="sr-Cyrl-CS"/>
        </w:rPr>
        <w:t xml:space="preserve">праве, средства ИПА </w:t>
      </w:r>
      <w:r w:rsidR="00CA0E52" w:rsidRPr="00092ED7">
        <w:rPr>
          <w:rFonts w:eastAsia="Times New Roman" w:cs="Times New Roman"/>
          <w:sz w:val="24"/>
          <w:szCs w:val="24"/>
          <w:lang w:val="sr-Cyrl-CS"/>
        </w:rPr>
        <w:t xml:space="preserve">2021 </w:t>
      </w:r>
      <w:r w:rsidRPr="00092ED7">
        <w:rPr>
          <w:rFonts w:eastAsia="Times New Roman" w:cs="Times New Roman"/>
          <w:sz w:val="24"/>
          <w:szCs w:val="24"/>
          <w:lang w:val="sr-Cyrl-CS"/>
        </w:rPr>
        <w:t>фондова у висини од 1 милион евра</w:t>
      </w:r>
      <w:r w:rsidR="00CA0E52" w:rsidRPr="00092ED7">
        <w:rPr>
          <w:rFonts w:eastAsia="Times New Roman" w:cs="Times New Roman"/>
          <w:sz w:val="24"/>
          <w:szCs w:val="24"/>
          <w:lang w:val="sr-Cyrl-CS"/>
        </w:rPr>
        <w:t>, које спроводи ЕБРД</w:t>
      </w:r>
      <w:r w:rsidRPr="00092ED7">
        <w:rPr>
          <w:rFonts w:eastAsia="Times New Roman" w:cs="Times New Roman"/>
          <w:sz w:val="24"/>
          <w:szCs w:val="24"/>
          <w:lang w:val="sr-Cyrl-CS"/>
        </w:rPr>
        <w:t xml:space="preserve">, </w:t>
      </w:r>
      <w:r w:rsidR="00CA0E52" w:rsidRPr="00092ED7">
        <w:rPr>
          <w:rFonts w:eastAsia="Times New Roman" w:cs="Times New Roman"/>
          <w:sz w:val="24"/>
          <w:szCs w:val="24"/>
          <w:lang w:val="sr-Cyrl-CS"/>
        </w:rPr>
        <w:t xml:space="preserve">део </w:t>
      </w:r>
      <w:r w:rsidRPr="00092ED7">
        <w:rPr>
          <w:rFonts w:eastAsia="Times New Roman" w:cs="Times New Roman"/>
          <w:sz w:val="24"/>
          <w:szCs w:val="24"/>
          <w:lang w:val="sr-Cyrl-CS"/>
        </w:rPr>
        <w:t xml:space="preserve">из развојних средстава зајма Светске банке 6,735 милиона евра (пројекат </w:t>
      </w:r>
      <w:r w:rsidR="008D24BA" w:rsidRPr="00092ED7">
        <w:rPr>
          <w:rFonts w:eastAsia="Times New Roman" w:cs="Times New Roman"/>
          <w:sz w:val="24"/>
          <w:szCs w:val="24"/>
          <w:lang w:val="sr-Cyrl-CS"/>
        </w:rPr>
        <w:t xml:space="preserve">SURCE) </w:t>
      </w:r>
      <w:r w:rsidRPr="00092ED7">
        <w:rPr>
          <w:rFonts w:eastAsia="Times New Roman" w:cs="Times New Roman"/>
          <w:sz w:val="24"/>
          <w:szCs w:val="24"/>
          <w:lang w:val="sr-Cyrl-CS"/>
        </w:rPr>
        <w:t xml:space="preserve">и </w:t>
      </w:r>
      <w:r w:rsidR="00FD5D4D" w:rsidRPr="00092ED7">
        <w:rPr>
          <w:rFonts w:eastAsia="Times New Roman" w:cs="Times New Roman"/>
          <w:sz w:val="24"/>
          <w:szCs w:val="24"/>
          <w:lang w:val="sr-Cyrl-CS"/>
        </w:rPr>
        <w:t xml:space="preserve">део </w:t>
      </w:r>
      <w:r w:rsidRPr="00092ED7">
        <w:rPr>
          <w:rFonts w:eastAsia="Times New Roman" w:cs="Times New Roman"/>
          <w:sz w:val="24"/>
          <w:szCs w:val="24"/>
          <w:lang w:val="sr-Cyrl-CS"/>
        </w:rPr>
        <w:t>из зајма EBRD 5 милиона евра (пројекат „Енергетске ефикасност у стамбеним и јавним зградама прикљученим на даљинско грејање</w:t>
      </w:r>
      <w:r w:rsidR="00FD5D4D" w:rsidRPr="00092ED7">
        <w:rPr>
          <w:rFonts w:eastAsia="Times New Roman" w:cs="Times New Roman"/>
          <w:sz w:val="24"/>
          <w:szCs w:val="24"/>
          <w:lang w:val="sr-Cyrl-CS"/>
        </w:rPr>
        <w:t>”</w:t>
      </w:r>
      <w:r w:rsidRPr="00092ED7">
        <w:rPr>
          <w:rFonts w:eastAsia="Times New Roman" w:cs="Times New Roman"/>
          <w:sz w:val="24"/>
          <w:szCs w:val="24"/>
          <w:lang w:val="sr-Cyrl-CS"/>
        </w:rPr>
        <w:t>).</w:t>
      </w:r>
    </w:p>
    <w:p w14:paraId="47F787BC" w14:textId="6C2B4275" w:rsidR="000634BE" w:rsidRPr="00092ED7" w:rsidRDefault="000634BE" w:rsidP="001760BE">
      <w:pPr>
        <w:pStyle w:val="ListParagraph"/>
        <w:widowControl w:val="0"/>
        <w:numPr>
          <w:ilvl w:val="0"/>
          <w:numId w:val="51"/>
        </w:numPr>
        <w:tabs>
          <w:tab w:val="left" w:pos="7112"/>
        </w:tabs>
        <w:spacing w:after="60" w:line="240" w:lineRule="auto"/>
        <w:rPr>
          <w:rFonts w:eastAsia="Times New Roman" w:cs="Times New Roman"/>
          <w:sz w:val="24"/>
          <w:szCs w:val="24"/>
          <w:lang w:val="sr-Cyrl-CS"/>
        </w:rPr>
      </w:pPr>
      <w:r w:rsidRPr="00092ED7">
        <w:rPr>
          <w:rFonts w:eastAsia="Times New Roman" w:cs="Times New Roman"/>
          <w:sz w:val="24"/>
          <w:szCs w:val="24"/>
          <w:lang w:val="sr-Cyrl-CS"/>
        </w:rPr>
        <w:t xml:space="preserve">у 2024. години </w:t>
      </w:r>
      <w:r w:rsidR="00FD5D4D" w:rsidRPr="00092ED7">
        <w:rPr>
          <w:rFonts w:eastAsia="Times New Roman" w:cs="Times New Roman"/>
          <w:sz w:val="24"/>
          <w:szCs w:val="24"/>
          <w:lang w:val="sr-Cyrl-CS"/>
        </w:rPr>
        <w:t xml:space="preserve">потребно је планирати </w:t>
      </w:r>
      <w:r w:rsidRPr="00092ED7">
        <w:rPr>
          <w:rFonts w:eastAsia="Times New Roman" w:cs="Times New Roman"/>
          <w:sz w:val="24"/>
          <w:szCs w:val="24"/>
          <w:lang w:val="sr-Cyrl-CS"/>
        </w:rPr>
        <w:t xml:space="preserve">средства </w:t>
      </w:r>
      <w:r w:rsidR="00FD5D4D" w:rsidRPr="00092ED7">
        <w:rPr>
          <w:rFonts w:eastAsia="Times New Roman" w:cs="Times New Roman"/>
          <w:sz w:val="24"/>
          <w:szCs w:val="24"/>
          <w:lang w:val="sr-Cyrl-CS"/>
        </w:rPr>
        <w:t xml:space="preserve">Управе </w:t>
      </w:r>
      <w:r w:rsidR="00045F19" w:rsidRPr="00092ED7">
        <w:rPr>
          <w:rFonts w:eastAsia="Times New Roman" w:cs="Times New Roman"/>
          <w:bCs/>
          <w:iCs/>
          <w:sz w:val="24"/>
          <w:szCs w:val="24"/>
          <w:lang w:val="sr-Cyrl-CS"/>
        </w:rPr>
        <w:t>за финансирање и подстицање енергетске ефикасности</w:t>
      </w:r>
      <w:r w:rsidR="00FD5D4D" w:rsidRPr="00092ED7">
        <w:rPr>
          <w:rFonts w:eastAsia="Times New Roman" w:cs="Times New Roman"/>
          <w:sz w:val="24"/>
          <w:szCs w:val="24"/>
          <w:lang w:val="sr-Cyrl-CS"/>
        </w:rPr>
        <w:t xml:space="preserve"> </w:t>
      </w:r>
      <w:r w:rsidRPr="00092ED7">
        <w:rPr>
          <w:rFonts w:eastAsia="Times New Roman" w:cs="Times New Roman"/>
          <w:sz w:val="24"/>
          <w:szCs w:val="24"/>
          <w:lang w:val="sr-Cyrl-CS"/>
        </w:rPr>
        <w:t xml:space="preserve">из </w:t>
      </w:r>
      <w:r w:rsidR="001760BE" w:rsidRPr="00092ED7">
        <w:rPr>
          <w:rFonts w:eastAsia="Times New Roman" w:cs="Times New Roman"/>
          <w:sz w:val="24"/>
          <w:szCs w:val="24"/>
          <w:lang w:val="sr-Cyrl-CS"/>
        </w:rPr>
        <w:t xml:space="preserve">буџета </w:t>
      </w:r>
      <w:r w:rsidRPr="00092ED7">
        <w:rPr>
          <w:rFonts w:eastAsia="Times New Roman" w:cs="Times New Roman"/>
          <w:sz w:val="24"/>
          <w:szCs w:val="24"/>
          <w:lang w:val="sr-Cyrl-CS"/>
        </w:rPr>
        <w:t xml:space="preserve">најмање у висини од </w:t>
      </w:r>
      <w:r w:rsidR="00FD5D4D" w:rsidRPr="00092ED7">
        <w:rPr>
          <w:rFonts w:eastAsia="Times New Roman" w:cs="Times New Roman"/>
          <w:sz w:val="24"/>
          <w:szCs w:val="24"/>
          <w:lang w:val="sr-Cyrl-CS"/>
        </w:rPr>
        <w:t xml:space="preserve">најмање </w:t>
      </w:r>
      <w:r w:rsidRPr="00092ED7">
        <w:rPr>
          <w:rFonts w:eastAsia="Times New Roman" w:cs="Times New Roman"/>
          <w:sz w:val="24"/>
          <w:szCs w:val="24"/>
          <w:lang w:val="sr-Cyrl-CS"/>
        </w:rPr>
        <w:t xml:space="preserve">4.025 милиона евра и око 1,6 милиона евра као контрибуцију </w:t>
      </w:r>
      <w:r w:rsidR="00A03723" w:rsidRPr="00092ED7">
        <w:rPr>
          <w:rFonts w:eastAsia="Times New Roman" w:cs="Times New Roman"/>
          <w:sz w:val="24"/>
          <w:szCs w:val="24"/>
          <w:lang w:val="sr-Cyrl-CS"/>
        </w:rPr>
        <w:t>ЈЛС</w:t>
      </w:r>
      <w:r w:rsidRPr="00092ED7">
        <w:rPr>
          <w:rFonts w:eastAsia="Times New Roman" w:cs="Times New Roman"/>
          <w:sz w:val="24"/>
          <w:szCs w:val="24"/>
          <w:lang w:val="sr-Cyrl-CS"/>
        </w:rPr>
        <w:t xml:space="preserve"> које буду укључене реализацију активности Управе, средства ИПА </w:t>
      </w:r>
      <w:r w:rsidR="00FD5D4D" w:rsidRPr="00092ED7">
        <w:rPr>
          <w:rFonts w:eastAsia="Times New Roman" w:cs="Times New Roman"/>
          <w:sz w:val="24"/>
          <w:szCs w:val="24"/>
          <w:lang w:val="sr-Cyrl-CS"/>
        </w:rPr>
        <w:t xml:space="preserve">2021 </w:t>
      </w:r>
      <w:r w:rsidRPr="00092ED7">
        <w:rPr>
          <w:rFonts w:eastAsia="Times New Roman" w:cs="Times New Roman"/>
          <w:sz w:val="24"/>
          <w:szCs w:val="24"/>
          <w:lang w:val="sr-Cyrl-CS"/>
        </w:rPr>
        <w:t>фондова у висини од 2,5 милион евра</w:t>
      </w:r>
      <w:r w:rsidR="00FD5D4D" w:rsidRPr="00092ED7">
        <w:rPr>
          <w:rFonts w:eastAsia="Times New Roman" w:cs="Times New Roman"/>
          <w:sz w:val="24"/>
          <w:szCs w:val="24"/>
          <w:lang w:val="sr-Cyrl-CS"/>
        </w:rPr>
        <w:t>, која спроводи ЕБРД</w:t>
      </w:r>
      <w:r w:rsidRPr="00092ED7">
        <w:rPr>
          <w:rFonts w:eastAsia="Times New Roman" w:cs="Times New Roman"/>
          <w:sz w:val="24"/>
          <w:szCs w:val="24"/>
          <w:lang w:val="sr-Cyrl-CS"/>
        </w:rPr>
        <w:t xml:space="preserve">, </w:t>
      </w:r>
      <w:r w:rsidR="00FD5D4D" w:rsidRPr="00092ED7">
        <w:rPr>
          <w:rFonts w:eastAsia="Times New Roman" w:cs="Times New Roman"/>
          <w:sz w:val="24"/>
          <w:szCs w:val="24"/>
          <w:lang w:val="sr-Cyrl-CS"/>
        </w:rPr>
        <w:t xml:space="preserve">део </w:t>
      </w:r>
      <w:r w:rsidRPr="00092ED7">
        <w:rPr>
          <w:rFonts w:eastAsia="Times New Roman" w:cs="Times New Roman"/>
          <w:sz w:val="24"/>
          <w:szCs w:val="24"/>
          <w:lang w:val="sr-Cyrl-CS"/>
        </w:rPr>
        <w:t>из развојних средстава зајма Светске банке 8,98 милиона евра (</w:t>
      </w:r>
      <w:r w:rsidR="00846C55" w:rsidRPr="00092ED7">
        <w:rPr>
          <w:rFonts w:eastAsia="Times New Roman" w:cs="Times New Roman"/>
          <w:sz w:val="24"/>
          <w:szCs w:val="24"/>
          <w:lang w:val="sr-Cyrl-CS"/>
        </w:rPr>
        <w:t>SURCE</w:t>
      </w:r>
      <w:r w:rsidRPr="00092ED7">
        <w:rPr>
          <w:rFonts w:eastAsia="Times New Roman" w:cs="Times New Roman"/>
          <w:sz w:val="24"/>
          <w:szCs w:val="24"/>
          <w:lang w:val="sr-Cyrl-CS"/>
        </w:rPr>
        <w:t xml:space="preserve">), и </w:t>
      </w:r>
      <w:r w:rsidR="00FD5D4D" w:rsidRPr="00092ED7">
        <w:rPr>
          <w:rFonts w:eastAsia="Times New Roman" w:cs="Times New Roman"/>
          <w:sz w:val="24"/>
          <w:szCs w:val="24"/>
          <w:lang w:val="sr-Cyrl-CS"/>
        </w:rPr>
        <w:t xml:space="preserve">део </w:t>
      </w:r>
      <w:r w:rsidRPr="00092ED7">
        <w:rPr>
          <w:rFonts w:eastAsia="Times New Roman" w:cs="Times New Roman"/>
          <w:sz w:val="24"/>
          <w:szCs w:val="24"/>
          <w:lang w:val="sr-Cyrl-CS"/>
        </w:rPr>
        <w:t>из зајма EBRD 10 милиона евра</w:t>
      </w:r>
      <w:r w:rsidR="00FD5D4D" w:rsidRPr="00092ED7">
        <w:rPr>
          <w:rFonts w:eastAsia="Times New Roman" w:cs="Times New Roman"/>
          <w:sz w:val="24"/>
          <w:szCs w:val="24"/>
          <w:lang w:val="sr-Cyrl-CS"/>
        </w:rPr>
        <w:t xml:space="preserve"> (за пројекат „Енергетске ефикасности у стамбеним и јавним зградама прикљученим на даљинско грејање”)</w:t>
      </w:r>
      <w:r w:rsidRPr="00092ED7">
        <w:rPr>
          <w:rFonts w:eastAsia="Times New Roman" w:cs="Times New Roman"/>
          <w:sz w:val="24"/>
          <w:szCs w:val="24"/>
          <w:lang w:val="sr-Cyrl-CS"/>
        </w:rPr>
        <w:t>.</w:t>
      </w:r>
    </w:p>
    <w:p w14:paraId="7E1F188D" w14:textId="6BFA7DD3" w:rsidR="000634BE" w:rsidRPr="00092ED7" w:rsidRDefault="000634BE" w:rsidP="001760BE">
      <w:pPr>
        <w:pStyle w:val="ListParagraph"/>
        <w:widowControl w:val="0"/>
        <w:numPr>
          <w:ilvl w:val="0"/>
          <w:numId w:val="51"/>
        </w:numPr>
        <w:tabs>
          <w:tab w:val="left" w:pos="7112"/>
        </w:tabs>
        <w:spacing w:after="60" w:line="240" w:lineRule="auto"/>
        <w:rPr>
          <w:rFonts w:eastAsia="Times New Roman" w:cs="Times New Roman"/>
          <w:sz w:val="24"/>
          <w:szCs w:val="24"/>
          <w:lang w:val="sr-Cyrl-CS"/>
        </w:rPr>
      </w:pPr>
      <w:r w:rsidRPr="00092ED7">
        <w:rPr>
          <w:rFonts w:eastAsia="Times New Roman" w:cs="Times New Roman"/>
          <w:sz w:val="24"/>
          <w:szCs w:val="24"/>
          <w:lang w:val="sr-Cyrl-CS"/>
        </w:rPr>
        <w:t xml:space="preserve">у 2025. години </w:t>
      </w:r>
      <w:r w:rsidR="00FD5D4D" w:rsidRPr="00092ED7">
        <w:rPr>
          <w:rFonts w:eastAsia="Times New Roman" w:cs="Times New Roman"/>
          <w:sz w:val="24"/>
          <w:szCs w:val="24"/>
          <w:lang w:val="sr-Cyrl-CS"/>
        </w:rPr>
        <w:t xml:space="preserve">потребно је планирати </w:t>
      </w:r>
      <w:r w:rsidRPr="00092ED7">
        <w:rPr>
          <w:rFonts w:eastAsia="Times New Roman" w:cs="Times New Roman"/>
          <w:sz w:val="24"/>
          <w:szCs w:val="24"/>
          <w:lang w:val="sr-Cyrl-CS"/>
        </w:rPr>
        <w:t xml:space="preserve">средства </w:t>
      </w:r>
      <w:r w:rsidR="00FD5D4D" w:rsidRPr="00092ED7">
        <w:rPr>
          <w:rFonts w:eastAsia="Times New Roman" w:cs="Times New Roman"/>
          <w:sz w:val="24"/>
          <w:szCs w:val="24"/>
          <w:lang w:val="sr-Cyrl-CS"/>
        </w:rPr>
        <w:t xml:space="preserve">за Управу </w:t>
      </w:r>
      <w:r w:rsidR="00045F19" w:rsidRPr="00092ED7">
        <w:rPr>
          <w:rFonts w:eastAsia="Times New Roman" w:cs="Times New Roman"/>
          <w:bCs/>
          <w:iCs/>
          <w:sz w:val="24"/>
          <w:szCs w:val="24"/>
          <w:lang w:val="sr-Cyrl-CS"/>
        </w:rPr>
        <w:t>за финансирање и подстицање енергетске ефикасности</w:t>
      </w:r>
      <w:r w:rsidR="00FD5D4D" w:rsidRPr="00092ED7">
        <w:rPr>
          <w:rFonts w:eastAsia="Times New Roman" w:cs="Times New Roman"/>
          <w:sz w:val="24"/>
          <w:szCs w:val="24"/>
          <w:lang w:val="sr-Cyrl-CS"/>
        </w:rPr>
        <w:t xml:space="preserve"> </w:t>
      </w:r>
      <w:r w:rsidRPr="00092ED7">
        <w:rPr>
          <w:rFonts w:eastAsia="Times New Roman" w:cs="Times New Roman"/>
          <w:sz w:val="24"/>
          <w:szCs w:val="24"/>
          <w:lang w:val="sr-Cyrl-CS"/>
        </w:rPr>
        <w:t xml:space="preserve">из </w:t>
      </w:r>
      <w:r w:rsidR="001760BE" w:rsidRPr="00092ED7">
        <w:rPr>
          <w:rFonts w:eastAsia="Times New Roman" w:cs="Times New Roman"/>
          <w:sz w:val="24"/>
          <w:szCs w:val="24"/>
          <w:lang w:val="sr-Cyrl-CS"/>
        </w:rPr>
        <w:t xml:space="preserve">буџета </w:t>
      </w:r>
      <w:r w:rsidRPr="00092ED7">
        <w:rPr>
          <w:rFonts w:eastAsia="Times New Roman" w:cs="Times New Roman"/>
          <w:sz w:val="24"/>
          <w:szCs w:val="24"/>
          <w:lang w:val="sr-Cyrl-CS"/>
        </w:rPr>
        <w:t xml:space="preserve">у висини од </w:t>
      </w:r>
      <w:r w:rsidR="00FD5D4D" w:rsidRPr="00092ED7">
        <w:rPr>
          <w:rFonts w:eastAsia="Times New Roman" w:cs="Times New Roman"/>
          <w:sz w:val="24"/>
          <w:szCs w:val="24"/>
          <w:lang w:val="sr-Cyrl-CS"/>
        </w:rPr>
        <w:t xml:space="preserve">најмање 4,28 </w:t>
      </w:r>
      <w:r w:rsidRPr="00092ED7">
        <w:rPr>
          <w:rFonts w:eastAsia="Times New Roman" w:cs="Times New Roman"/>
          <w:sz w:val="24"/>
          <w:szCs w:val="24"/>
          <w:lang w:val="sr-Cyrl-CS"/>
        </w:rPr>
        <w:t xml:space="preserve">милиона евра и око 1,6 милиона евра као контрибуцију </w:t>
      </w:r>
      <w:r w:rsidR="00A03723" w:rsidRPr="00092ED7">
        <w:rPr>
          <w:rFonts w:eastAsia="Times New Roman" w:cs="Times New Roman"/>
          <w:sz w:val="24"/>
          <w:szCs w:val="24"/>
          <w:lang w:val="sr-Cyrl-CS"/>
        </w:rPr>
        <w:t>ЈЛС</w:t>
      </w:r>
      <w:r w:rsidRPr="00092ED7">
        <w:rPr>
          <w:rFonts w:eastAsia="Times New Roman" w:cs="Times New Roman"/>
          <w:sz w:val="24"/>
          <w:szCs w:val="24"/>
          <w:lang w:val="sr-Cyrl-CS"/>
        </w:rPr>
        <w:t xml:space="preserve"> које буду укључене </w:t>
      </w:r>
      <w:r w:rsidR="004626B3" w:rsidRPr="00092ED7">
        <w:rPr>
          <w:rFonts w:eastAsia="Times New Roman" w:cs="Times New Roman"/>
          <w:sz w:val="24"/>
          <w:szCs w:val="24"/>
          <w:lang w:val="sr-Cyrl-CS"/>
        </w:rPr>
        <w:t xml:space="preserve">у </w:t>
      </w:r>
      <w:r w:rsidRPr="00092ED7">
        <w:rPr>
          <w:rFonts w:eastAsia="Times New Roman" w:cs="Times New Roman"/>
          <w:sz w:val="24"/>
          <w:szCs w:val="24"/>
          <w:lang w:val="sr-Cyrl-CS"/>
        </w:rPr>
        <w:t xml:space="preserve">реализацију активности </w:t>
      </w:r>
      <w:r w:rsidR="004626B3" w:rsidRPr="00092ED7">
        <w:rPr>
          <w:rFonts w:eastAsia="Times New Roman" w:cs="Times New Roman"/>
          <w:sz w:val="24"/>
          <w:szCs w:val="24"/>
          <w:lang w:val="sr-Cyrl-CS"/>
        </w:rPr>
        <w:t>ове у</w:t>
      </w:r>
      <w:r w:rsidRPr="00092ED7">
        <w:rPr>
          <w:rFonts w:eastAsia="Times New Roman" w:cs="Times New Roman"/>
          <w:sz w:val="24"/>
          <w:szCs w:val="24"/>
          <w:lang w:val="sr-Cyrl-CS"/>
        </w:rPr>
        <w:t xml:space="preserve">праве, средства ИПА </w:t>
      </w:r>
      <w:r w:rsidR="00CC276A" w:rsidRPr="00092ED7">
        <w:rPr>
          <w:rFonts w:eastAsia="Times New Roman" w:cs="Times New Roman"/>
          <w:sz w:val="24"/>
          <w:szCs w:val="24"/>
          <w:lang w:val="sr-Cyrl-CS"/>
        </w:rPr>
        <w:t xml:space="preserve">2021 </w:t>
      </w:r>
      <w:r w:rsidRPr="00092ED7">
        <w:rPr>
          <w:rFonts w:eastAsia="Times New Roman" w:cs="Times New Roman"/>
          <w:sz w:val="24"/>
          <w:szCs w:val="24"/>
          <w:lang w:val="sr-Cyrl-CS"/>
        </w:rPr>
        <w:t xml:space="preserve">фондова у висини од 1,5 милион евра, </w:t>
      </w:r>
      <w:r w:rsidR="00CC276A" w:rsidRPr="00092ED7">
        <w:rPr>
          <w:rFonts w:eastAsia="Times New Roman" w:cs="Times New Roman"/>
          <w:sz w:val="24"/>
          <w:szCs w:val="24"/>
          <w:lang w:val="sr-Cyrl-CS"/>
        </w:rPr>
        <w:t xml:space="preserve">које спроводи ЕБРД, део </w:t>
      </w:r>
      <w:r w:rsidRPr="00092ED7">
        <w:rPr>
          <w:rFonts w:eastAsia="Times New Roman" w:cs="Times New Roman"/>
          <w:sz w:val="24"/>
          <w:szCs w:val="24"/>
          <w:lang w:val="sr-Cyrl-CS"/>
        </w:rPr>
        <w:t>из развојних средстава зајма Светске банке 11,225 милиона евра (</w:t>
      </w:r>
      <w:r w:rsidR="00846C55" w:rsidRPr="00092ED7">
        <w:rPr>
          <w:rFonts w:eastAsia="Times New Roman" w:cs="Times New Roman"/>
          <w:sz w:val="24"/>
          <w:szCs w:val="24"/>
          <w:lang w:val="sr-Cyrl-CS"/>
        </w:rPr>
        <w:t>SURCE</w:t>
      </w:r>
      <w:r w:rsidRPr="00092ED7">
        <w:rPr>
          <w:rFonts w:eastAsia="Times New Roman" w:cs="Times New Roman"/>
          <w:sz w:val="24"/>
          <w:szCs w:val="24"/>
          <w:lang w:val="sr-Cyrl-CS"/>
        </w:rPr>
        <w:t xml:space="preserve">), и </w:t>
      </w:r>
      <w:r w:rsidR="00CC276A" w:rsidRPr="00092ED7">
        <w:rPr>
          <w:rFonts w:eastAsia="Times New Roman" w:cs="Times New Roman"/>
          <w:sz w:val="24"/>
          <w:szCs w:val="24"/>
          <w:lang w:val="sr-Cyrl-CS"/>
        </w:rPr>
        <w:t xml:space="preserve">део </w:t>
      </w:r>
      <w:r w:rsidRPr="00092ED7">
        <w:rPr>
          <w:rFonts w:eastAsia="Times New Roman" w:cs="Times New Roman"/>
          <w:sz w:val="24"/>
          <w:szCs w:val="24"/>
          <w:lang w:val="sr-Cyrl-CS"/>
        </w:rPr>
        <w:t>из зајма EBRD 25 милиона евра</w:t>
      </w:r>
      <w:r w:rsidR="004C6B13" w:rsidRPr="00092ED7">
        <w:rPr>
          <w:rFonts w:eastAsia="Times New Roman" w:cs="Times New Roman"/>
          <w:sz w:val="24"/>
          <w:szCs w:val="24"/>
          <w:lang w:val="sr-Cyrl-CS"/>
        </w:rPr>
        <w:t xml:space="preserve"> </w:t>
      </w:r>
      <w:r w:rsidR="00CC276A" w:rsidRPr="00092ED7">
        <w:rPr>
          <w:rFonts w:eastAsia="Times New Roman" w:cs="Times New Roman"/>
          <w:sz w:val="24"/>
          <w:szCs w:val="24"/>
          <w:lang w:val="sr-Cyrl-CS"/>
        </w:rPr>
        <w:t>(за пројекат „Енергетске ефикасности у стамбеним и јавним зградама прикљученим на даљинско грејање</w:t>
      </w:r>
      <w:r w:rsidR="00CC276A" w:rsidRPr="00092ED7">
        <w:rPr>
          <w:rFonts w:eastAsia="Times New Roman" w:cs="Times New Roman"/>
          <w:szCs w:val="24"/>
          <w:lang w:val="sr-Cyrl-CS"/>
        </w:rPr>
        <w:t>”</w:t>
      </w:r>
      <w:r w:rsidR="00CC276A" w:rsidRPr="00092ED7">
        <w:rPr>
          <w:rFonts w:eastAsia="Times New Roman" w:cs="Times New Roman"/>
          <w:sz w:val="24"/>
          <w:szCs w:val="24"/>
          <w:lang w:val="sr-Cyrl-CS"/>
        </w:rPr>
        <w:t>)</w:t>
      </w:r>
      <w:r w:rsidRPr="00092ED7">
        <w:rPr>
          <w:rFonts w:eastAsia="Times New Roman" w:cs="Times New Roman"/>
          <w:sz w:val="24"/>
          <w:szCs w:val="24"/>
          <w:lang w:val="sr-Cyrl-CS"/>
        </w:rPr>
        <w:t>.</w:t>
      </w:r>
    </w:p>
    <w:p w14:paraId="311CB339" w14:textId="3C8A2F21" w:rsidR="00846C55" w:rsidRPr="00092ED7" w:rsidRDefault="00D54C4C" w:rsidP="001760BE">
      <w:pPr>
        <w:widowControl w:val="0"/>
        <w:tabs>
          <w:tab w:val="left" w:pos="7112"/>
        </w:tabs>
        <w:spacing w:after="60"/>
        <w:rPr>
          <w:rFonts w:eastAsia="Times New Roman" w:cs="Times New Roman"/>
          <w:szCs w:val="24"/>
          <w:lang w:val="sr-Cyrl-CS"/>
        </w:rPr>
      </w:pPr>
      <w:r w:rsidRPr="00092ED7">
        <w:rPr>
          <w:rFonts w:eastAsia="Times New Roman" w:cs="Times New Roman"/>
          <w:szCs w:val="24"/>
          <w:lang w:val="sr-Cyrl-CS"/>
        </w:rPr>
        <w:t xml:space="preserve">У наредном периоду очекује се да се из средстава донација и ИПА средстава обезбеде и додатна средства која могу допринети спровођењу реформе. </w:t>
      </w:r>
      <w:r w:rsidR="00846C55" w:rsidRPr="00092ED7">
        <w:rPr>
          <w:rFonts w:eastAsia="MS PGothic" w:cs="Times New Roman"/>
          <w:bCs/>
          <w:iCs/>
          <w:szCs w:val="24"/>
          <w:lang w:val="sr-Cyrl-CS" w:eastAsia="ja-JP"/>
        </w:rPr>
        <w:t xml:space="preserve">Зајам Светске банке за имплементацију пројекта SURCE је преговаран у фебруару 2022. године, потврђен </w:t>
      </w:r>
      <w:r w:rsidR="00846C55" w:rsidRPr="00092ED7">
        <w:rPr>
          <w:rFonts w:eastAsia="Times New Roman" w:cs="Times New Roman"/>
          <w:kern w:val="36"/>
          <w:szCs w:val="24"/>
          <w:lang w:val="sr-Cyrl-CS"/>
        </w:rPr>
        <w:t>Законом о потврђивању споразума о зајму (Пројекат чисте енергије и енергетске ефикасности за грађане) између Републике Србије и Међународне банке за обнову и развој</w:t>
      </w:r>
      <w:r w:rsidR="00846C55" w:rsidRPr="00092ED7">
        <w:rPr>
          <w:rFonts w:eastAsia="Times New Roman" w:cs="Times New Roman"/>
          <w:szCs w:val="24"/>
          <w:lang w:val="sr-Cyrl-CS"/>
        </w:rPr>
        <w:t xml:space="preserve"> који је ступио на снагу 20. децембра 2022. године.</w:t>
      </w:r>
      <w:r w:rsidR="00F950DC" w:rsidRPr="00092ED7">
        <w:rPr>
          <w:rFonts w:eastAsia="Times New Roman" w:cs="Times New Roman"/>
          <w:szCs w:val="24"/>
          <w:lang w:val="sr-Cyrl-CS"/>
        </w:rPr>
        <w:t xml:space="preserve"> </w:t>
      </w:r>
      <w:r w:rsidR="000634BE" w:rsidRPr="00092ED7">
        <w:rPr>
          <w:rFonts w:eastAsia="Times New Roman" w:cs="Times New Roman"/>
          <w:szCs w:val="24"/>
          <w:lang w:val="sr-Cyrl-CS"/>
        </w:rPr>
        <w:t>Реал</w:t>
      </w:r>
      <w:r w:rsidR="001760BE" w:rsidRPr="00092ED7">
        <w:rPr>
          <w:rFonts w:eastAsia="Times New Roman" w:cs="Times New Roman"/>
          <w:szCs w:val="24"/>
          <w:lang w:val="sr-Cyrl-CS"/>
        </w:rPr>
        <w:t>и</w:t>
      </w:r>
      <w:r w:rsidR="000634BE" w:rsidRPr="00092ED7">
        <w:rPr>
          <w:rFonts w:eastAsia="Times New Roman" w:cs="Times New Roman"/>
          <w:szCs w:val="24"/>
          <w:lang w:val="sr-Cyrl-CS"/>
        </w:rPr>
        <w:t>зација пројект</w:t>
      </w:r>
      <w:r w:rsidR="001760BE" w:rsidRPr="00092ED7">
        <w:rPr>
          <w:rFonts w:eastAsia="Times New Roman" w:cs="Times New Roman"/>
          <w:szCs w:val="24"/>
          <w:lang w:val="sr-Cyrl-CS"/>
        </w:rPr>
        <w:t>а</w:t>
      </w:r>
      <w:r w:rsidR="000634BE" w:rsidRPr="00092ED7">
        <w:rPr>
          <w:rFonts w:eastAsia="Times New Roman" w:cs="Times New Roman"/>
          <w:szCs w:val="24"/>
          <w:lang w:val="sr-Cyrl-CS"/>
        </w:rPr>
        <w:t xml:space="preserve"> предвиђена је да траје</w:t>
      </w:r>
      <w:r w:rsidR="004B1308" w:rsidRPr="00092ED7">
        <w:rPr>
          <w:rFonts w:eastAsia="Times New Roman" w:cs="Times New Roman"/>
          <w:szCs w:val="24"/>
          <w:lang w:val="sr-Cyrl-CS"/>
        </w:rPr>
        <w:t xml:space="preserve"> пет</w:t>
      </w:r>
      <w:r w:rsidR="000634BE" w:rsidRPr="00092ED7">
        <w:rPr>
          <w:rFonts w:eastAsia="Times New Roman" w:cs="Times New Roman"/>
          <w:szCs w:val="24"/>
          <w:lang w:val="sr-Cyrl-CS"/>
        </w:rPr>
        <w:t xml:space="preserve"> година</w:t>
      </w:r>
      <w:r w:rsidR="004B1308" w:rsidRPr="00092ED7">
        <w:rPr>
          <w:rFonts w:eastAsia="Times New Roman" w:cs="Times New Roman"/>
          <w:szCs w:val="24"/>
          <w:lang w:val="sr-Cyrl-CS"/>
        </w:rPr>
        <w:t>,</w:t>
      </w:r>
      <w:r w:rsidR="000634BE" w:rsidRPr="00092ED7">
        <w:rPr>
          <w:rFonts w:eastAsia="Times New Roman" w:cs="Times New Roman"/>
          <w:szCs w:val="24"/>
          <w:lang w:val="sr-Cyrl-CS"/>
        </w:rPr>
        <w:t xml:space="preserve"> а прве инвестиције се очекују 2023. године. Кроз пројекат ће се обезбедити грантови ка домаћинствима за унапређење енергетске ефи</w:t>
      </w:r>
      <w:r w:rsidR="00BD3BBA" w:rsidRPr="00092ED7">
        <w:rPr>
          <w:rFonts w:eastAsia="Times New Roman" w:cs="Times New Roman"/>
          <w:szCs w:val="24"/>
          <w:lang w:val="sr-Cyrl-CS"/>
        </w:rPr>
        <w:t>ка</w:t>
      </w:r>
      <w:r w:rsidR="000634BE" w:rsidRPr="00092ED7">
        <w:rPr>
          <w:rFonts w:eastAsia="Times New Roman" w:cs="Times New Roman"/>
          <w:szCs w:val="24"/>
          <w:lang w:val="sr-Cyrl-CS"/>
        </w:rPr>
        <w:t>сности.</w:t>
      </w:r>
    </w:p>
    <w:p w14:paraId="13F014B2" w14:textId="1C3EDAB5" w:rsidR="000634BE" w:rsidRPr="00092ED7" w:rsidRDefault="000634BE" w:rsidP="00616441">
      <w:pPr>
        <w:widowControl w:val="0"/>
        <w:tabs>
          <w:tab w:val="left" w:pos="7112"/>
        </w:tabs>
        <w:spacing w:after="60"/>
        <w:rPr>
          <w:rFonts w:eastAsia="Times New Roman" w:cs="Times New Roman"/>
          <w:szCs w:val="24"/>
          <w:lang w:val="sr-Cyrl-CS"/>
        </w:rPr>
      </w:pPr>
      <w:r w:rsidRPr="00092ED7">
        <w:rPr>
          <w:rFonts w:eastAsia="Times New Roman" w:cs="Times New Roman"/>
          <w:szCs w:val="24"/>
          <w:lang w:val="sr-Cyrl-CS"/>
        </w:rPr>
        <w:t xml:space="preserve">У 2023. години очекује се и </w:t>
      </w:r>
      <w:r w:rsidR="002E3C4D" w:rsidRPr="00092ED7">
        <w:rPr>
          <w:rFonts w:eastAsia="Times New Roman" w:cs="Times New Roman"/>
          <w:szCs w:val="24"/>
          <w:lang w:val="sr-Cyrl-CS"/>
        </w:rPr>
        <w:t xml:space="preserve">потврђивање </w:t>
      </w:r>
      <w:r w:rsidRPr="00092ED7">
        <w:rPr>
          <w:rFonts w:eastAsia="Times New Roman" w:cs="Times New Roman"/>
          <w:szCs w:val="24"/>
          <w:lang w:val="sr-Cyrl-CS"/>
        </w:rPr>
        <w:t>зајма са EBRD у вредности од 50 милиона евра. Кроз пројекат ће се обезбедити средства за ун</w:t>
      </w:r>
      <w:r w:rsidR="002E3C4D" w:rsidRPr="00092ED7">
        <w:rPr>
          <w:rFonts w:eastAsia="Times New Roman" w:cs="Times New Roman"/>
          <w:szCs w:val="24"/>
          <w:lang w:val="sr-Cyrl-CS"/>
        </w:rPr>
        <w:t>а</w:t>
      </w:r>
      <w:r w:rsidRPr="00092ED7">
        <w:rPr>
          <w:rFonts w:eastAsia="Times New Roman" w:cs="Times New Roman"/>
          <w:szCs w:val="24"/>
          <w:lang w:val="sr-Cyrl-CS"/>
        </w:rPr>
        <w:t>пређење енрегетске ефик</w:t>
      </w:r>
      <w:r w:rsidR="00616441" w:rsidRPr="00092ED7">
        <w:rPr>
          <w:rFonts w:eastAsia="Times New Roman" w:cs="Times New Roman"/>
          <w:szCs w:val="24"/>
          <w:lang w:val="sr-Cyrl-CS"/>
        </w:rPr>
        <w:t>а</w:t>
      </w:r>
      <w:r w:rsidRPr="00092ED7">
        <w:rPr>
          <w:rFonts w:eastAsia="Times New Roman" w:cs="Times New Roman"/>
          <w:szCs w:val="24"/>
          <w:lang w:val="sr-Cyrl-CS"/>
        </w:rPr>
        <w:t>сности у зградама са више станова који су прикључени на систем даљинског грејања.</w:t>
      </w:r>
    </w:p>
    <w:p w14:paraId="7C56B658" w14:textId="325923CD" w:rsidR="000634BE" w:rsidRPr="00092ED7" w:rsidRDefault="000634BE" w:rsidP="00616441">
      <w:pPr>
        <w:widowControl w:val="0"/>
        <w:spacing w:after="60"/>
        <w:rPr>
          <w:rFonts w:eastAsia="Calibri" w:cs="Times New Roman"/>
          <w:b/>
          <w:szCs w:val="24"/>
          <w:lang w:val="sr-Cyrl-CS" w:eastAsia="sr-Cyrl-CS" w:bidi="sr-Cyrl-CS"/>
        </w:rPr>
      </w:pPr>
      <w:r w:rsidRPr="00092ED7">
        <w:rPr>
          <w:rFonts w:eastAsia="Times New Roman" w:cs="Times New Roman"/>
          <w:szCs w:val="24"/>
          <w:lang w:val="sr-Cyrl-CS"/>
        </w:rPr>
        <w:t>За реализацију активности изградње капацитета Управе</w:t>
      </w:r>
      <w:r w:rsidR="004B1308" w:rsidRPr="00092ED7">
        <w:rPr>
          <w:rFonts w:eastAsia="Times New Roman" w:cs="Times New Roman"/>
          <w:szCs w:val="24"/>
          <w:lang w:val="sr-Cyrl-CS"/>
        </w:rPr>
        <w:t xml:space="preserve"> </w:t>
      </w:r>
      <w:r w:rsidR="00045F19" w:rsidRPr="00092ED7">
        <w:rPr>
          <w:rFonts w:eastAsia="Times New Roman" w:cs="Times New Roman"/>
          <w:bCs/>
          <w:iCs/>
          <w:szCs w:val="24"/>
          <w:lang w:val="sr-Cyrl-CS"/>
        </w:rPr>
        <w:t>за финансирање и подстицање енергетске ефикасности</w:t>
      </w:r>
      <w:r w:rsidRPr="00092ED7">
        <w:rPr>
          <w:rFonts w:eastAsia="Times New Roman" w:cs="Times New Roman"/>
          <w:szCs w:val="24"/>
          <w:lang w:val="sr-Cyrl-CS"/>
        </w:rPr>
        <w:t xml:space="preserve"> биће обезбеђена средства у износу од </w:t>
      </w:r>
      <w:r w:rsidR="00A60127" w:rsidRPr="00092ED7">
        <w:rPr>
          <w:rFonts w:eastAsia="Times New Roman" w:cs="Times New Roman"/>
          <w:szCs w:val="24"/>
          <w:lang w:val="sr-Cyrl-CS"/>
        </w:rPr>
        <w:t xml:space="preserve">пет </w:t>
      </w:r>
      <w:r w:rsidRPr="00092ED7">
        <w:rPr>
          <w:rFonts w:eastAsia="Times New Roman" w:cs="Times New Roman"/>
          <w:szCs w:val="24"/>
          <w:lang w:val="sr-Cyrl-CS"/>
        </w:rPr>
        <w:t>милиона евра из ИПА средстава. Имплементација овог пројекта реализо</w:t>
      </w:r>
      <w:r w:rsidR="00616441" w:rsidRPr="00092ED7">
        <w:rPr>
          <w:rFonts w:eastAsia="Times New Roman" w:cs="Times New Roman"/>
          <w:szCs w:val="24"/>
          <w:lang w:val="sr-Cyrl-CS"/>
        </w:rPr>
        <w:t>в</w:t>
      </w:r>
      <w:r w:rsidRPr="00092ED7">
        <w:rPr>
          <w:rFonts w:eastAsia="Times New Roman" w:cs="Times New Roman"/>
          <w:szCs w:val="24"/>
          <w:lang w:val="sr-Cyrl-CS"/>
        </w:rPr>
        <w:t>аће се преко EBRD. Почетак реализације планиран је за 2023. годину. Очекивано трајање</w:t>
      </w:r>
      <w:r w:rsidR="00616441" w:rsidRPr="00092ED7">
        <w:rPr>
          <w:rFonts w:eastAsia="Times New Roman" w:cs="Times New Roman"/>
          <w:szCs w:val="24"/>
          <w:lang w:val="sr-Cyrl-CS"/>
        </w:rPr>
        <w:t xml:space="preserve"> </w:t>
      </w:r>
      <w:r w:rsidR="00FB7C56" w:rsidRPr="00092ED7">
        <w:rPr>
          <w:rFonts w:eastAsia="Times New Roman" w:cs="Times New Roman"/>
          <w:szCs w:val="24"/>
          <w:lang w:val="sr-Cyrl-CS"/>
        </w:rPr>
        <w:t xml:space="preserve">пројекта </w:t>
      </w:r>
      <w:r w:rsidR="00616441" w:rsidRPr="00092ED7">
        <w:rPr>
          <w:rFonts w:eastAsia="Times New Roman" w:cs="Times New Roman"/>
          <w:szCs w:val="24"/>
          <w:lang w:val="sr-Cyrl-CS"/>
        </w:rPr>
        <w:t>је</w:t>
      </w:r>
      <w:r w:rsidRPr="00092ED7">
        <w:rPr>
          <w:rFonts w:eastAsia="Times New Roman" w:cs="Times New Roman"/>
          <w:szCs w:val="24"/>
          <w:lang w:val="sr-Cyrl-CS"/>
        </w:rPr>
        <w:t xml:space="preserve"> 30-36 месеци.</w:t>
      </w:r>
    </w:p>
    <w:p w14:paraId="259E4B53" w14:textId="77777777" w:rsidR="00D210F0" w:rsidRPr="00092ED7" w:rsidRDefault="00D210F0" w:rsidP="00071952">
      <w:pPr>
        <w:widowControl w:val="0"/>
        <w:numPr>
          <w:ilvl w:val="0"/>
          <w:numId w:val="25"/>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44BC84A5" w14:textId="1186E9D0" w:rsidR="00D210F0" w:rsidRPr="00092ED7" w:rsidRDefault="00E4340B" w:rsidP="00616441">
      <w:pPr>
        <w:widowControl w:val="0"/>
        <w:spacing w:after="60"/>
        <w:rPr>
          <w:rFonts w:eastAsia="Times New Roman" w:cs="Times New Roman"/>
          <w:szCs w:val="24"/>
          <w:lang w:val="sr-Cyrl-CS"/>
        </w:rPr>
      </w:pPr>
      <w:r w:rsidRPr="00092ED7">
        <w:rPr>
          <w:rFonts w:eastAsia="Times New Roman" w:cs="Times New Roman"/>
          <w:szCs w:val="24"/>
          <w:lang w:val="sr-Cyrl-CS"/>
        </w:rPr>
        <w:t>Структурна реформа на индиректан начин утиче на смањење незапослености јер њено спровођење има потентијал да повећа потребу за радном снагом ради реализације већег броја пр</w:t>
      </w:r>
      <w:r w:rsidR="008C5DCE" w:rsidRPr="00092ED7">
        <w:rPr>
          <w:rFonts w:eastAsia="Times New Roman" w:cs="Times New Roman"/>
          <w:szCs w:val="24"/>
          <w:lang w:val="sr-Cyrl-CS"/>
        </w:rPr>
        <w:t>ојеката енергетске ефикасности.</w:t>
      </w:r>
      <w:r w:rsidR="00D210F0" w:rsidRPr="00092ED7">
        <w:rPr>
          <w:rFonts w:eastAsia="Times New Roman" w:cs="Times New Roman"/>
          <w:szCs w:val="24"/>
          <w:lang w:val="sr-Cyrl-CS"/>
        </w:rPr>
        <w:t xml:space="preserve"> Процењује се да се на сваких милион евра инвестиција у санацију стамбених објеката може отворити </w:t>
      </w:r>
      <w:r w:rsidR="00FB7C56" w:rsidRPr="00092ED7">
        <w:rPr>
          <w:rFonts w:eastAsia="Times New Roman" w:cs="Times New Roman"/>
          <w:szCs w:val="24"/>
          <w:lang w:val="sr-Cyrl-CS"/>
        </w:rPr>
        <w:t>седам</w:t>
      </w:r>
      <w:r w:rsidR="00D210F0" w:rsidRPr="00092ED7">
        <w:rPr>
          <w:rFonts w:eastAsia="Times New Roman" w:cs="Times New Roman"/>
          <w:szCs w:val="24"/>
          <w:lang w:val="sr-Cyrl-CS"/>
        </w:rPr>
        <w:t xml:space="preserve"> нових радних места. Осим тога, реализацијом пројеката енергетске ефикасности смањују се трошкови за енергенте, па се на тај начин доприноси и борби против сиромаштва. </w:t>
      </w:r>
    </w:p>
    <w:p w14:paraId="0F399173" w14:textId="77777777" w:rsidR="00D210F0" w:rsidRPr="00092ED7" w:rsidRDefault="00D210F0" w:rsidP="00071952">
      <w:pPr>
        <w:widowControl w:val="0"/>
        <w:numPr>
          <w:ilvl w:val="0"/>
          <w:numId w:val="25"/>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2E8DA4A5" w14:textId="77777777" w:rsidR="00D210F0" w:rsidRPr="00092ED7" w:rsidRDefault="00D210F0" w:rsidP="00616441">
      <w:pPr>
        <w:widowControl w:val="0"/>
        <w:spacing w:after="60"/>
        <w:rPr>
          <w:szCs w:val="24"/>
          <w:lang w:val="sr-Cyrl-CS"/>
        </w:rPr>
      </w:pPr>
      <w:r w:rsidRPr="00092ED7">
        <w:rPr>
          <w:rFonts w:cs="Times New Roman"/>
          <w:szCs w:val="24"/>
          <w:lang w:val="sr-Cyrl-CS"/>
        </w:rPr>
        <w:t>Циљеви за енергетску ефикасност до 2030. године биће утврђени у оквиру Интегрисаног националног енергетског и климатског плана. Уз годишњу инвестицију од око 150 милиона евра у санацију зграда у сектору домаћинстава процењује се да се могу остварити уштеде енергије од 120.000 тона CO</w:t>
      </w:r>
      <w:r w:rsidRPr="00092ED7">
        <w:rPr>
          <w:rFonts w:cs="Times New Roman"/>
          <w:szCs w:val="24"/>
          <w:vertAlign w:val="subscript"/>
          <w:lang w:val="sr-Cyrl-CS"/>
        </w:rPr>
        <w:t>2</w:t>
      </w:r>
      <w:r w:rsidRPr="00092ED7">
        <w:rPr>
          <w:rFonts w:cs="Times New Roman"/>
          <w:szCs w:val="24"/>
          <w:lang w:val="sr-Cyrl-CS"/>
        </w:rPr>
        <w:t xml:space="preserve"> годишње.</w:t>
      </w:r>
    </w:p>
    <w:p w14:paraId="0AF22CCE" w14:textId="77777777" w:rsidR="00D210F0" w:rsidRPr="00092ED7" w:rsidRDefault="00D210F0" w:rsidP="00071952">
      <w:pPr>
        <w:widowControl w:val="0"/>
        <w:numPr>
          <w:ilvl w:val="0"/>
          <w:numId w:val="25"/>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209" w:type="dxa"/>
        <w:jc w:val="center"/>
        <w:tblLayout w:type="fixed"/>
        <w:tblLook w:val="04A0" w:firstRow="1" w:lastRow="0" w:firstColumn="1" w:lastColumn="0" w:noHBand="0" w:noVBand="1"/>
      </w:tblPr>
      <w:tblGrid>
        <w:gridCol w:w="3515"/>
        <w:gridCol w:w="2098"/>
        <w:gridCol w:w="3596"/>
      </w:tblGrid>
      <w:tr w:rsidR="00D210F0" w:rsidRPr="00092ED7" w14:paraId="57209EB3" w14:textId="77777777" w:rsidTr="00AE4362">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07AD8CAB"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Ризик</w:t>
            </w:r>
          </w:p>
        </w:tc>
        <w:tc>
          <w:tcPr>
            <w:tcW w:w="2098" w:type="dxa"/>
          </w:tcPr>
          <w:p w14:paraId="27FA2795"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Вероватноћа за остваривање ризика</w:t>
            </w:r>
          </w:p>
        </w:tc>
        <w:tc>
          <w:tcPr>
            <w:tcW w:w="3596" w:type="dxa"/>
          </w:tcPr>
          <w:p w14:paraId="42CD4018"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0EBEADAA" w14:textId="77777777" w:rsidTr="00616441">
        <w:trPr>
          <w:jc w:val="center"/>
        </w:trPr>
        <w:tc>
          <w:tcPr>
            <w:tcW w:w="3515" w:type="dxa"/>
          </w:tcPr>
          <w:p w14:paraId="19752BE5" w14:textId="77777777" w:rsidR="00D210F0" w:rsidRPr="00092ED7" w:rsidRDefault="00D210F0" w:rsidP="005D14E2">
            <w:pPr>
              <w:spacing w:before="0" w:after="0"/>
              <w:ind w:left="113" w:right="113"/>
              <w:rPr>
                <w:rFonts w:cs="Times New Roman"/>
                <w:sz w:val="20"/>
                <w:lang w:val="sr-Cyrl-CS"/>
              </w:rPr>
            </w:pPr>
            <w:r w:rsidRPr="00092ED7">
              <w:rPr>
                <w:rFonts w:eastAsia="Calibri" w:cs="Times New Roman"/>
                <w:sz w:val="20"/>
                <w:lang w:val="sr-Cyrl-CS"/>
              </w:rPr>
              <w:t>Недовољна финансијска средства у буџету</w:t>
            </w:r>
          </w:p>
        </w:tc>
        <w:tc>
          <w:tcPr>
            <w:tcW w:w="2098" w:type="dxa"/>
            <w:vAlign w:val="top"/>
          </w:tcPr>
          <w:p w14:paraId="3F21B520" w14:textId="77777777" w:rsidR="00D210F0" w:rsidRPr="00092ED7" w:rsidRDefault="00D210F0" w:rsidP="00616441">
            <w:pPr>
              <w:spacing w:before="0" w:after="0"/>
              <w:ind w:left="113" w:right="113"/>
              <w:jc w:val="center"/>
              <w:rPr>
                <w:rFonts w:eastAsia="Calibri" w:cs="Times New Roman"/>
                <w:sz w:val="20"/>
                <w:lang w:val="sr-Cyrl-CS"/>
              </w:rPr>
            </w:pPr>
            <w:r w:rsidRPr="00092ED7">
              <w:rPr>
                <w:rFonts w:eastAsia="Calibri" w:cs="Times New Roman"/>
                <w:sz w:val="20"/>
                <w:lang w:val="sr-Cyrl-CS"/>
              </w:rPr>
              <w:t>Средња</w:t>
            </w:r>
          </w:p>
        </w:tc>
        <w:tc>
          <w:tcPr>
            <w:tcW w:w="3596" w:type="dxa"/>
          </w:tcPr>
          <w:p w14:paraId="0B2E6AAA" w14:textId="77777777" w:rsidR="00D210F0" w:rsidRPr="00092ED7" w:rsidRDefault="00D210F0" w:rsidP="00D94E30">
            <w:pPr>
              <w:spacing w:before="0" w:after="0"/>
              <w:ind w:left="113" w:right="113"/>
              <w:rPr>
                <w:rFonts w:eastAsia="Calibri" w:cs="Times New Roman"/>
                <w:sz w:val="20"/>
                <w:lang w:val="sr-Cyrl-CS"/>
              </w:rPr>
            </w:pPr>
            <w:r w:rsidRPr="00092ED7">
              <w:rPr>
                <w:rFonts w:eastAsia="Calibri" w:cs="Times New Roman"/>
                <w:sz w:val="20"/>
                <w:lang w:val="sr-Cyrl-CS"/>
              </w:rPr>
              <w:t>Обезбеђење зајмова МФИ и донација ИПА, WBIF и других донатора</w:t>
            </w:r>
            <w:r w:rsidR="00D47BD8" w:rsidRPr="00092ED7">
              <w:rPr>
                <w:rFonts w:eastAsia="Calibri" w:cs="Times New Roman"/>
                <w:sz w:val="20"/>
                <w:lang w:val="sr-Cyrl-CS"/>
              </w:rPr>
              <w:t>.</w:t>
            </w:r>
            <w:r w:rsidRPr="00092ED7">
              <w:rPr>
                <w:rFonts w:eastAsia="Calibri" w:cs="Times New Roman"/>
                <w:sz w:val="20"/>
                <w:lang w:val="sr-Cyrl-CS"/>
              </w:rPr>
              <w:t xml:space="preserve"> </w:t>
            </w:r>
          </w:p>
        </w:tc>
      </w:tr>
      <w:tr w:rsidR="00D210F0" w:rsidRPr="00092ED7" w14:paraId="7CD0D7EE" w14:textId="77777777" w:rsidTr="00616441">
        <w:trPr>
          <w:jc w:val="center"/>
        </w:trPr>
        <w:tc>
          <w:tcPr>
            <w:tcW w:w="3515" w:type="dxa"/>
          </w:tcPr>
          <w:p w14:paraId="4419052F" w14:textId="77777777" w:rsidR="00D210F0" w:rsidRPr="00092ED7" w:rsidRDefault="00D210F0" w:rsidP="005D14E2">
            <w:pPr>
              <w:spacing w:before="0" w:after="0"/>
              <w:ind w:left="113" w:right="113"/>
              <w:rPr>
                <w:rFonts w:cs="Times New Roman"/>
                <w:sz w:val="20"/>
                <w:lang w:val="sr-Cyrl-CS"/>
              </w:rPr>
            </w:pPr>
            <w:r w:rsidRPr="00092ED7">
              <w:rPr>
                <w:rFonts w:eastAsia="Calibri" w:cs="Times New Roman"/>
                <w:sz w:val="20"/>
                <w:lang w:val="sr-Cyrl-CS"/>
              </w:rPr>
              <w:t>Недовољни капацитети тела за оцену усаглашености са захтевима енергетског означавања и екодизајна</w:t>
            </w:r>
            <w:r w:rsidRPr="00092ED7" w:rsidDel="007529A4">
              <w:rPr>
                <w:rFonts w:eastAsia="Calibri" w:cs="Times New Roman"/>
                <w:sz w:val="20"/>
                <w:lang w:val="sr-Cyrl-CS"/>
              </w:rPr>
              <w:t xml:space="preserve"> </w:t>
            </w:r>
          </w:p>
        </w:tc>
        <w:tc>
          <w:tcPr>
            <w:tcW w:w="2098" w:type="dxa"/>
            <w:vAlign w:val="top"/>
          </w:tcPr>
          <w:p w14:paraId="0EE8BF48" w14:textId="77777777" w:rsidR="00D210F0" w:rsidRPr="00092ED7" w:rsidRDefault="00D210F0" w:rsidP="00616441">
            <w:pPr>
              <w:spacing w:before="0" w:after="0"/>
              <w:ind w:left="113" w:right="113"/>
              <w:jc w:val="center"/>
              <w:rPr>
                <w:rFonts w:cs="Times New Roman"/>
                <w:sz w:val="20"/>
                <w:lang w:val="sr-Cyrl-CS"/>
              </w:rPr>
            </w:pPr>
            <w:r w:rsidRPr="00092ED7">
              <w:rPr>
                <w:rFonts w:eastAsia="Calibri" w:cs="Times New Roman"/>
                <w:sz w:val="20"/>
                <w:lang w:val="sr-Cyrl-CS"/>
              </w:rPr>
              <w:t>Средња</w:t>
            </w:r>
          </w:p>
        </w:tc>
        <w:tc>
          <w:tcPr>
            <w:tcW w:w="3596" w:type="dxa"/>
          </w:tcPr>
          <w:p w14:paraId="11FEF384" w14:textId="77777777" w:rsidR="00D210F0" w:rsidRPr="00092ED7" w:rsidRDefault="00D210F0" w:rsidP="00D7672A">
            <w:pPr>
              <w:spacing w:before="0" w:after="0"/>
              <w:ind w:left="113" w:right="113"/>
              <w:rPr>
                <w:rFonts w:cs="Times New Roman"/>
                <w:sz w:val="20"/>
                <w:lang w:val="sr-Cyrl-CS"/>
              </w:rPr>
            </w:pPr>
            <w:r w:rsidRPr="00092ED7">
              <w:rPr>
                <w:rFonts w:eastAsia="Calibri" w:cs="Times New Roman"/>
                <w:sz w:val="20"/>
                <w:lang w:val="sr-Cyrl-CS"/>
              </w:rPr>
              <w:t>Обезбеђена техничка помоћ</w:t>
            </w:r>
            <w:r w:rsidR="00D47BD8" w:rsidRPr="00092ED7">
              <w:rPr>
                <w:rFonts w:eastAsia="Calibri" w:cs="Times New Roman"/>
                <w:sz w:val="20"/>
                <w:lang w:val="sr-Cyrl-CS"/>
              </w:rPr>
              <w:t>.</w:t>
            </w:r>
          </w:p>
        </w:tc>
      </w:tr>
      <w:tr w:rsidR="00D94E30" w:rsidRPr="00092ED7" w14:paraId="3658092B" w14:textId="77777777" w:rsidTr="00053B2B">
        <w:trPr>
          <w:jc w:val="center"/>
        </w:trPr>
        <w:tc>
          <w:tcPr>
            <w:tcW w:w="3515" w:type="dxa"/>
            <w:vAlign w:val="top"/>
          </w:tcPr>
          <w:p w14:paraId="72F8C283" w14:textId="77777777" w:rsidR="00D94E30" w:rsidRPr="00092ED7" w:rsidRDefault="00D94E30" w:rsidP="00D94E30">
            <w:pPr>
              <w:spacing w:after="0"/>
              <w:ind w:left="113" w:right="113"/>
              <w:rPr>
                <w:rFonts w:eastAsia="Calibri" w:cs="Times New Roman"/>
                <w:sz w:val="20"/>
                <w:lang w:val="sr-Cyrl-CS"/>
              </w:rPr>
            </w:pPr>
            <w:r w:rsidRPr="00092ED7">
              <w:rPr>
                <w:sz w:val="20"/>
                <w:lang w:val="sr-Cyrl-CS"/>
              </w:rPr>
              <w:t xml:space="preserve">Недовољни капацитети тржишног надзора </w:t>
            </w:r>
          </w:p>
        </w:tc>
        <w:tc>
          <w:tcPr>
            <w:tcW w:w="2098" w:type="dxa"/>
            <w:vAlign w:val="top"/>
          </w:tcPr>
          <w:p w14:paraId="4C4B21F0" w14:textId="77777777" w:rsidR="00D94E30" w:rsidRPr="00092ED7" w:rsidRDefault="00D94E30" w:rsidP="00D94E30">
            <w:pPr>
              <w:spacing w:after="0"/>
              <w:ind w:left="113" w:right="113"/>
              <w:jc w:val="center"/>
              <w:rPr>
                <w:rFonts w:eastAsia="Calibri" w:cs="Times New Roman"/>
                <w:sz w:val="20"/>
                <w:lang w:val="sr-Cyrl-CS"/>
              </w:rPr>
            </w:pPr>
            <w:r w:rsidRPr="00092ED7">
              <w:rPr>
                <w:sz w:val="20"/>
                <w:lang w:val="sr-Cyrl-CS"/>
              </w:rPr>
              <w:t>Средња</w:t>
            </w:r>
          </w:p>
        </w:tc>
        <w:tc>
          <w:tcPr>
            <w:tcW w:w="3596" w:type="dxa"/>
            <w:vAlign w:val="top"/>
          </w:tcPr>
          <w:p w14:paraId="7961C1E3" w14:textId="77777777" w:rsidR="00D94E30" w:rsidRPr="00092ED7" w:rsidRDefault="00D94E30" w:rsidP="00D94E30">
            <w:pPr>
              <w:spacing w:after="0"/>
              <w:ind w:left="113" w:right="113"/>
              <w:rPr>
                <w:rFonts w:eastAsia="Calibri" w:cs="Times New Roman"/>
                <w:sz w:val="20"/>
                <w:lang w:val="sr-Cyrl-CS"/>
              </w:rPr>
            </w:pPr>
            <w:r w:rsidRPr="00092ED7">
              <w:rPr>
                <w:sz w:val="20"/>
                <w:lang w:val="sr-Cyrl-CS"/>
              </w:rPr>
              <w:t>Обезбеђена техничка помоћ, као и већи буџет за ову намену</w:t>
            </w:r>
          </w:p>
        </w:tc>
      </w:tr>
    </w:tbl>
    <w:p w14:paraId="6A647915" w14:textId="47C7DBD0" w:rsidR="00D210F0" w:rsidRPr="00092ED7" w:rsidRDefault="00D210F0" w:rsidP="00BA1B20">
      <w:pPr>
        <w:spacing w:before="240"/>
        <w:rPr>
          <w:rFonts w:eastAsia="Calibri" w:cs="Times New Roman"/>
          <w:szCs w:val="24"/>
          <w:lang w:val="sr-Cyrl-CS"/>
        </w:rPr>
      </w:pPr>
      <w:r w:rsidRPr="00092ED7">
        <w:rPr>
          <w:rFonts w:eastAsia="Calibri" w:cs="Times New Roman"/>
          <w:b/>
          <w:szCs w:val="24"/>
          <w:u w:val="single"/>
          <w:lang w:val="sr-Cyrl-CS"/>
        </w:rPr>
        <w:t>СТРУКТУРНА РЕФОРМА 9</w:t>
      </w:r>
      <w:r w:rsidRPr="00092ED7">
        <w:rPr>
          <w:rFonts w:eastAsia="Calibri" w:cs="Times New Roman"/>
          <w:b/>
          <w:szCs w:val="24"/>
          <w:lang w:val="sr-Cyrl-CS"/>
        </w:rPr>
        <w:t xml:space="preserve">: </w:t>
      </w:r>
      <w:r w:rsidRPr="00092ED7">
        <w:rPr>
          <w:rFonts w:eastAsia="Calibri" w:cs="Times New Roman"/>
          <w:szCs w:val="24"/>
          <w:lang w:val="sr-Cyrl-CS"/>
        </w:rPr>
        <w:t xml:space="preserve">ИНТЕГРАЦИЈА ОБНОВЉИВИХ ИЗВОРА ЕЛЕКТРИЧНЕ ЕНЕРГИЈЕ КРОЗ ПРОЈЕКАТ </w:t>
      </w:r>
      <w:r w:rsidRPr="00092ED7">
        <w:rPr>
          <w:rFonts w:cs="Times New Roman"/>
          <w:bCs/>
          <w:lang w:val="sr-Cyrl-CS"/>
        </w:rPr>
        <w:t>„БЕОГРИД 2025</w:t>
      </w:r>
      <w:r w:rsidR="00D07D1F" w:rsidRPr="00092ED7">
        <w:rPr>
          <w:lang w:val="sr-Cyrl-CS"/>
        </w:rPr>
        <w:t>”</w:t>
      </w:r>
    </w:p>
    <w:p w14:paraId="2B85F8E4" w14:textId="77777777" w:rsidR="00D210F0" w:rsidRPr="00092ED7" w:rsidRDefault="00D210F0" w:rsidP="00071952">
      <w:pPr>
        <w:pStyle w:val="ListParagraph"/>
        <w:widowControl w:val="0"/>
        <w:numPr>
          <w:ilvl w:val="0"/>
          <w:numId w:val="26"/>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4DAA09A3" w14:textId="594889FC" w:rsidR="00D210F0" w:rsidRPr="00092ED7" w:rsidRDefault="00D210F0" w:rsidP="00616441">
      <w:pPr>
        <w:widowControl w:val="0"/>
        <w:spacing w:after="60"/>
        <w:rPr>
          <w:rFonts w:cs="Times New Roman"/>
          <w:lang w:val="sr-Cyrl-CS"/>
        </w:rPr>
      </w:pPr>
      <w:r w:rsidRPr="00092ED7">
        <w:rPr>
          <w:rFonts w:cs="Times New Roman"/>
          <w:lang w:val="sr-Cyrl-CS"/>
        </w:rPr>
        <w:t xml:space="preserve">Пројекат </w:t>
      </w:r>
      <w:r w:rsidR="007B1C6C" w:rsidRPr="00092ED7">
        <w:rPr>
          <w:rFonts w:cs="Times New Roman"/>
          <w:lang w:val="sr-Cyrl-CS"/>
        </w:rPr>
        <w:t>„</w:t>
      </w:r>
      <w:r w:rsidRPr="00092ED7">
        <w:rPr>
          <w:rFonts w:cs="Times New Roman"/>
          <w:lang w:val="sr-Cyrl-CS"/>
        </w:rPr>
        <w:t>Беогрид 2025</w:t>
      </w:r>
      <w:r w:rsidR="00D07D1F" w:rsidRPr="00092ED7">
        <w:rPr>
          <w:lang w:val="sr-Cyrl-CS"/>
        </w:rPr>
        <w:t>”</w:t>
      </w:r>
      <w:r w:rsidRPr="00092ED7">
        <w:rPr>
          <w:rFonts w:cs="Times New Roman"/>
          <w:lang w:val="sr-Cyrl-CS"/>
        </w:rPr>
        <w:t xml:space="preserve"> као циљ има омогућавање веће интеграције електричне енергије произведене из обновљивих извора (ветроелектрана), који се налазе у региону Јужног Баната, као и растерећење ТС 220/110/35 kV Београд 5, која напаја електричном енергијом велики део Београда, посебно делове Новог Београда и Земуна.</w:t>
      </w:r>
    </w:p>
    <w:p w14:paraId="0F407EA5" w14:textId="20BF4558" w:rsidR="00D210F0" w:rsidRPr="00092ED7" w:rsidRDefault="00D210F0" w:rsidP="00616441">
      <w:pPr>
        <w:widowControl w:val="0"/>
        <w:spacing w:after="60"/>
        <w:rPr>
          <w:rFonts w:cs="Times New Roman"/>
          <w:lang w:val="sr-Cyrl-CS"/>
        </w:rPr>
      </w:pPr>
      <w:r w:rsidRPr="00092ED7">
        <w:rPr>
          <w:rFonts w:cs="Times New Roman"/>
          <w:lang w:val="sr-Cyrl-CS"/>
        </w:rPr>
        <w:t xml:space="preserve">Пројекат чини шест функционалних целина (Лот 1 – Лот 6), тј. пројеката који ће се паралелно </w:t>
      </w:r>
      <w:r w:rsidR="008856D7" w:rsidRPr="00092ED7">
        <w:rPr>
          <w:rFonts w:cs="Times New Roman"/>
          <w:lang w:val="sr-Cyrl-CS"/>
        </w:rPr>
        <w:t xml:space="preserve">реализовати </w:t>
      </w:r>
      <w:r w:rsidRPr="00092ED7">
        <w:rPr>
          <w:rFonts w:cs="Times New Roman"/>
          <w:lang w:val="sr-Cyrl-CS"/>
        </w:rPr>
        <w:t xml:space="preserve">у складу са </w:t>
      </w:r>
      <w:r w:rsidRPr="00092ED7">
        <w:rPr>
          <w:rFonts w:cs="Times New Roman"/>
          <w:i/>
          <w:lang w:val="sr-Cyrl-CS"/>
        </w:rPr>
        <w:t>Законом о планирању и изградњи</w:t>
      </w:r>
      <w:r w:rsidRPr="00092ED7">
        <w:rPr>
          <w:rFonts w:cs="Times New Roman"/>
          <w:lang w:val="sr-Cyrl-CS"/>
        </w:rPr>
        <w:t xml:space="preserve"> </w:t>
      </w:r>
      <w:r w:rsidR="008856D7" w:rsidRPr="00092ED7">
        <w:rPr>
          <w:rFonts w:cs="Times New Roman"/>
          <w:lang w:val="sr-Cyrl-CS"/>
        </w:rPr>
        <w:t>(</w:t>
      </w:r>
      <w:r w:rsidR="008856D7" w:rsidRPr="00092ED7">
        <w:rPr>
          <w:rFonts w:cs="Times New Roman"/>
          <w:bCs/>
          <w:lang w:val="sr-Cyrl-CS"/>
        </w:rPr>
        <w:t>„Службени гласник РС</w:t>
      </w:r>
      <w:r w:rsidR="008856D7" w:rsidRPr="00092ED7">
        <w:rPr>
          <w:rFonts w:cs="Times New Roman"/>
          <w:lang w:val="sr-Cyrl-CS"/>
        </w:rPr>
        <w:t>”</w:t>
      </w:r>
      <w:r w:rsidR="008856D7" w:rsidRPr="00092ED7">
        <w:rPr>
          <w:rFonts w:cs="Times New Roman"/>
          <w:bCs/>
          <w:lang w:val="sr-Cyrl-CS"/>
        </w:rPr>
        <w:t>, бр. 72/09, 81/09, 64/10-УС, 24/11, 121/12, 42/13-УС, 50/13-УС, 98/</w:t>
      </w:r>
      <w:r w:rsidR="008D25BF" w:rsidRPr="00092ED7">
        <w:rPr>
          <w:rFonts w:cs="Times New Roman"/>
          <w:bCs/>
          <w:lang w:val="sr-Cyrl-CS"/>
        </w:rPr>
        <w:t>13-УС, 132/14, 145/14, 83/18, 31/19,  37/19-др. закон, 9/20 и 52/</w:t>
      </w:r>
      <w:r w:rsidR="008856D7" w:rsidRPr="00092ED7">
        <w:rPr>
          <w:rFonts w:cs="Times New Roman"/>
          <w:bCs/>
          <w:lang w:val="sr-Cyrl-CS"/>
        </w:rPr>
        <w:t>21</w:t>
      </w:r>
      <w:r w:rsidR="008D25BF" w:rsidRPr="00092ED7">
        <w:rPr>
          <w:rFonts w:cs="Times New Roman"/>
          <w:bCs/>
          <w:lang w:val="sr-Cyrl-CS"/>
        </w:rPr>
        <w:t>),</w:t>
      </w:r>
      <w:r w:rsidR="008856D7" w:rsidRPr="00092ED7" w:rsidDel="008856D7">
        <w:rPr>
          <w:rFonts w:cs="Times New Roman"/>
          <w:bCs/>
          <w:lang w:val="sr-Cyrl-CS"/>
        </w:rPr>
        <w:t xml:space="preserve"> </w:t>
      </w:r>
      <w:r w:rsidRPr="00092ED7">
        <w:rPr>
          <w:rFonts w:cs="Times New Roman"/>
          <w:lang w:val="sr-Cyrl-CS"/>
        </w:rPr>
        <w:t>и то изградња: ТС 400/110 kV Београд 50; - двосистемски 400 kV далековод ТС Београд 50 – ПРП Чибук 1 са опремањем 400 kV поља у ПРП Чибук 1; - једносистемски 400 kV далеководи за увођење ДВ бр. 450 (РП Младост – ТС Нови Сад 3) у ТС Београд 50; - два двосистемска 110 kV далековода за увођење ДВ бр. 104/8 (ТС Стара Пазова – ТС Инђија 2) у ТС Београд 50; - два двосистемска 110 kV далековода за увођење ДВ бр. 1178 АБ (ТС Београд 5 – ТС Београд 9) у ТС Београд 50; - двосистемски кабл 110 kV ТС Београд 50 – ТС Београд 49 (Аеродром).</w:t>
      </w:r>
    </w:p>
    <w:p w14:paraId="38473DE8" w14:textId="77777777" w:rsidR="007B12BB" w:rsidRPr="00092ED7" w:rsidRDefault="00D210F0" w:rsidP="00616441">
      <w:pPr>
        <w:widowControl w:val="0"/>
        <w:spacing w:after="60"/>
        <w:rPr>
          <w:rFonts w:cs="Times New Roman"/>
          <w:lang w:val="sr-Cyrl-CS"/>
        </w:rPr>
      </w:pPr>
      <w:r w:rsidRPr="00092ED7">
        <w:rPr>
          <w:rFonts w:cs="Times New Roman"/>
          <w:lang w:val="sr-Cyrl-CS"/>
        </w:rPr>
        <w:t>Пројекат је део ширег пројекта Северни коридор (</w:t>
      </w:r>
      <w:r w:rsidRPr="00092ED7">
        <w:rPr>
          <w:rFonts w:cs="Times New Roman"/>
          <w:i/>
          <w:lang w:val="sr-Cyrl-CS"/>
        </w:rPr>
        <w:t>North CSE corridor</w:t>
      </w:r>
      <w:r w:rsidRPr="00092ED7">
        <w:rPr>
          <w:rFonts w:cs="Times New Roman"/>
          <w:lang w:val="sr-Cyrl-CS"/>
        </w:rPr>
        <w:t>), који, поред наведеног</w:t>
      </w:r>
      <w:r w:rsidR="00D42D84" w:rsidRPr="00092ED7">
        <w:rPr>
          <w:rFonts w:cs="Times New Roman"/>
          <w:lang w:val="sr-Cyrl-CS"/>
        </w:rPr>
        <w:t>,</w:t>
      </w:r>
      <w:r w:rsidRPr="00092ED7">
        <w:rPr>
          <w:rFonts w:cs="Times New Roman"/>
          <w:lang w:val="sr-Cyrl-CS"/>
        </w:rPr>
        <w:t xml:space="preserve"> обухвата и дуплирање постојећег интерконективног 400 </w:t>
      </w:r>
      <w:r w:rsidR="00BB279D" w:rsidRPr="00092ED7">
        <w:rPr>
          <w:rFonts w:cs="Times New Roman"/>
          <w:lang w:val="sr-Cyrl-CS"/>
        </w:rPr>
        <w:t xml:space="preserve">kV </w:t>
      </w:r>
      <w:r w:rsidRPr="00092ED7">
        <w:rPr>
          <w:rFonts w:cs="Times New Roman"/>
          <w:lang w:val="sr-Cyrl-CS"/>
        </w:rPr>
        <w:t xml:space="preserve">далековода Ђердап 1 - Портиле Де Фиер (Румунија). </w:t>
      </w:r>
      <w:r w:rsidR="007B12BB" w:rsidRPr="00092ED7">
        <w:rPr>
          <w:rFonts w:cs="Times New Roman"/>
          <w:lang w:val="sr-Cyrl-CS"/>
        </w:rPr>
        <w:t>Уз ојачавање коридора за пренос електричне енергије преко Балканског полуострва у смеру од истока према западу и последични допринос интеграцији тржишта електричне енергије у региону Југоисточне Европе, овај пројекат ће такође омогућити прикључење великог броја нових произвођача ОИЕ у области Јужног Баната. Ово ће, уз трансформацију 400/110 kV у ТС Београд 50, значајно допринети сигурности напајања конзума у сремској области, што ће направити погодан амбијент за долазак нових инвеститора и даљи индустријски развој ове регије. Поред тога, изградњом ТС 400/110 kV Београд 50, значајно ће се растеретити постојећа ТС 220/110/35 kV Београд 5, која тренутно напаја велики део београдског конзума.</w:t>
      </w:r>
    </w:p>
    <w:p w14:paraId="201ECF71" w14:textId="45B1C274" w:rsidR="00D210F0" w:rsidRPr="00092ED7" w:rsidRDefault="00D210F0" w:rsidP="00616441">
      <w:pPr>
        <w:widowControl w:val="0"/>
        <w:spacing w:after="60"/>
        <w:rPr>
          <w:rFonts w:ascii="Calibri" w:hAnsi="Calibri" w:cs="Times New Roman"/>
          <w:lang w:val="sr-Cyrl-CS"/>
        </w:rPr>
      </w:pPr>
      <w:r w:rsidRPr="00092ED7">
        <w:rPr>
          <w:rFonts w:cs="Times New Roman"/>
          <w:lang w:val="sr-Cyrl-CS"/>
        </w:rPr>
        <w:t>Пројекат Северни коридор је део европског десетогодишњег плана развоја преносног система TYNDP 2020, регионалног инвестиционог плана (RgIP</w:t>
      </w:r>
      <w:r w:rsidRPr="00092ED7">
        <w:rPr>
          <w:rFonts w:ascii="Calibri" w:hAnsi="Calibri" w:cs="Times New Roman"/>
          <w:lang w:val="sr-Cyrl-CS"/>
        </w:rPr>
        <w:t xml:space="preserve"> </w:t>
      </w:r>
      <w:r w:rsidRPr="00092ED7">
        <w:rPr>
          <w:rFonts w:cs="Times New Roman"/>
          <w:lang w:val="sr-Cyrl-CS"/>
        </w:rPr>
        <w:t>2020), подржан је од стране румунског оператора преносног система (</w:t>
      </w:r>
      <w:r w:rsidRPr="00092ED7">
        <w:rPr>
          <w:rFonts w:cs="Times New Roman"/>
          <w:i/>
          <w:lang w:val="sr-Cyrl-CS"/>
        </w:rPr>
        <w:t>Transelectrica</w:t>
      </w:r>
      <w:r w:rsidRPr="00092ED7">
        <w:rPr>
          <w:rFonts w:cs="Times New Roman"/>
          <w:lang w:val="sr-Cyrl-CS"/>
        </w:rPr>
        <w:t>), као и Немачке развојне банке КfW.</w:t>
      </w:r>
      <w:r w:rsidRPr="00092ED7">
        <w:rPr>
          <w:rFonts w:ascii="Calibri" w:hAnsi="Calibri" w:cs="Times New Roman"/>
          <w:lang w:val="sr-Cyrl-CS"/>
        </w:rPr>
        <w:t xml:space="preserve"> </w:t>
      </w:r>
      <w:r w:rsidR="007B12BB" w:rsidRPr="00092ED7">
        <w:rPr>
          <w:rFonts w:cs="Times New Roman"/>
          <w:lang w:val="sr-Cyrl-CS"/>
        </w:rPr>
        <w:t xml:space="preserve">На основу члана 15а Закона о енергетици, за предметни пројекат је усвојен </w:t>
      </w:r>
      <w:r w:rsidR="00E86746" w:rsidRPr="00092ED7">
        <w:rPr>
          <w:rFonts w:cs="Times New Roman"/>
          <w:lang w:val="sr-Cyrl-CS"/>
        </w:rPr>
        <w:t>З</w:t>
      </w:r>
      <w:r w:rsidR="007B12BB" w:rsidRPr="00092ED7">
        <w:rPr>
          <w:rFonts w:cs="Times New Roman"/>
          <w:lang w:val="sr-Cyrl-CS"/>
        </w:rPr>
        <w:t xml:space="preserve">акључак Владе </w:t>
      </w:r>
      <w:r w:rsidR="00493D33" w:rsidRPr="00092ED7">
        <w:rPr>
          <w:rFonts w:cs="Times New Roman"/>
          <w:lang w:val="sr-Cyrl-CS"/>
        </w:rPr>
        <w:t xml:space="preserve">05 Број: 312-10334/2021-1 </w:t>
      </w:r>
      <w:r w:rsidR="007B12BB" w:rsidRPr="00092ED7">
        <w:rPr>
          <w:rFonts w:cs="Times New Roman"/>
          <w:lang w:val="sr-Cyrl-CS"/>
        </w:rPr>
        <w:t>од 2.</w:t>
      </w:r>
      <w:r w:rsidR="00E86746" w:rsidRPr="00092ED7">
        <w:rPr>
          <w:rFonts w:cs="Times New Roman"/>
          <w:lang w:val="sr-Cyrl-CS"/>
        </w:rPr>
        <w:t xml:space="preserve"> децембра </w:t>
      </w:r>
      <w:r w:rsidR="007B12BB" w:rsidRPr="00092ED7">
        <w:rPr>
          <w:rFonts w:cs="Times New Roman"/>
          <w:lang w:val="sr-Cyrl-CS"/>
        </w:rPr>
        <w:t>2021. године којим је дефинисан као пројекат од посебног значаја за Републику Србију.</w:t>
      </w:r>
    </w:p>
    <w:p w14:paraId="5908D394" w14:textId="77777777" w:rsidR="00D210F0" w:rsidRPr="00092ED7" w:rsidRDefault="00D210F0" w:rsidP="00071952">
      <w:pPr>
        <w:widowControl w:val="0"/>
        <w:numPr>
          <w:ilvl w:val="0"/>
          <w:numId w:val="26"/>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425"/>
        <w:gridCol w:w="4243"/>
        <w:gridCol w:w="372"/>
        <w:gridCol w:w="373"/>
        <w:gridCol w:w="372"/>
        <w:gridCol w:w="373"/>
        <w:gridCol w:w="372"/>
        <w:gridCol w:w="373"/>
        <w:gridCol w:w="373"/>
        <w:gridCol w:w="372"/>
        <w:gridCol w:w="373"/>
        <w:gridCol w:w="372"/>
        <w:gridCol w:w="373"/>
        <w:gridCol w:w="373"/>
      </w:tblGrid>
      <w:tr w:rsidR="00D210F0" w:rsidRPr="00092ED7" w14:paraId="11A786B7" w14:textId="77777777" w:rsidTr="00AE4362">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42A9B114" w14:textId="77777777" w:rsidR="00D210F0" w:rsidRPr="00092ED7" w:rsidRDefault="00D210F0" w:rsidP="00E44EF2">
            <w:pPr>
              <w:spacing w:after="0"/>
              <w:jc w:val="center"/>
              <w:rPr>
                <w:sz w:val="20"/>
                <w:szCs w:val="20"/>
                <w:lang w:val="sr-Cyrl-CS"/>
              </w:rPr>
            </w:pPr>
            <w:r w:rsidRPr="00092ED7">
              <w:rPr>
                <w:rFonts w:cs="Times New Roman"/>
                <w:b/>
                <w:bCs/>
                <w:color w:val="000000"/>
                <w:sz w:val="20"/>
                <w:szCs w:val="20"/>
                <w:lang w:val="sr-Cyrl-CS"/>
              </w:rPr>
              <w:t>РБ</w:t>
            </w:r>
          </w:p>
        </w:tc>
        <w:tc>
          <w:tcPr>
            <w:tcW w:w="4243"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02FB1DB7" w14:textId="77777777" w:rsidR="00D210F0" w:rsidRPr="00092ED7" w:rsidRDefault="00D210F0" w:rsidP="00E44EF2">
            <w:pPr>
              <w:spacing w:after="0"/>
              <w:jc w:val="left"/>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6AFB9F6"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E7E1352"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55B8126B"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00AFB429" w14:textId="77777777" w:rsidTr="00AE4362">
        <w:trPr>
          <w:trHeight w:val="315"/>
        </w:trPr>
        <w:tc>
          <w:tcPr>
            <w:tcW w:w="425" w:type="dxa"/>
            <w:vMerge/>
            <w:tcBorders>
              <w:left w:val="single" w:sz="8" w:space="0" w:color="auto"/>
              <w:bottom w:val="single" w:sz="8" w:space="0" w:color="000000"/>
              <w:right w:val="nil"/>
            </w:tcBorders>
            <w:shd w:val="clear" w:color="000000" w:fill="BDD6EE"/>
            <w:vAlign w:val="center"/>
            <w:hideMark/>
          </w:tcPr>
          <w:p w14:paraId="62E7C6E9" w14:textId="77777777" w:rsidR="00D210F0" w:rsidRPr="00092ED7" w:rsidRDefault="00D210F0" w:rsidP="00E44EF2">
            <w:pPr>
              <w:spacing w:after="0"/>
              <w:jc w:val="center"/>
              <w:rPr>
                <w:rFonts w:cs="Times New Roman"/>
                <w:b/>
                <w:bCs/>
                <w:color w:val="000000"/>
                <w:sz w:val="20"/>
                <w:szCs w:val="20"/>
                <w:lang w:val="sr-Cyrl-CS"/>
              </w:rPr>
            </w:pPr>
          </w:p>
        </w:tc>
        <w:tc>
          <w:tcPr>
            <w:tcW w:w="4243"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70C6CDD4" w14:textId="77777777" w:rsidR="00D210F0" w:rsidRPr="00092ED7" w:rsidRDefault="00D210F0" w:rsidP="00E44EF2">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5D34185"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4853666"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584D1E7"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3756582"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9C3F6DB"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DE2061A"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310E56B"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4A3E08C5"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8E351AC"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3C100BC"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E46108D"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0F5CC69"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20ABBF80" w14:textId="77777777" w:rsidTr="00AE4362">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6F9F3E77" w14:textId="77777777" w:rsidR="00D210F0" w:rsidRPr="00092ED7" w:rsidRDefault="00D210F0" w:rsidP="00E44EF2">
            <w:pPr>
              <w:spacing w:after="0"/>
              <w:jc w:val="center"/>
              <w:rPr>
                <w:rFonts w:cs="Times New Roman"/>
                <w:bCs/>
                <w:sz w:val="20"/>
                <w:szCs w:val="20"/>
                <w:lang w:val="sr-Cyrl-CS"/>
              </w:rPr>
            </w:pPr>
            <w:r w:rsidRPr="00092ED7">
              <w:rPr>
                <w:rFonts w:cs="Times New Roman"/>
                <w:bCs/>
                <w:sz w:val="20"/>
                <w:szCs w:val="20"/>
                <w:lang w:val="sr-Cyrl-CS"/>
              </w:rPr>
              <w:t>1.</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4B2C5690" w14:textId="77777777" w:rsidR="00D210F0" w:rsidRPr="00092ED7" w:rsidRDefault="00D210F0" w:rsidP="00E44EF2">
            <w:pPr>
              <w:spacing w:after="0"/>
              <w:rPr>
                <w:rFonts w:cs="Times New Roman"/>
                <w:sz w:val="20"/>
                <w:szCs w:val="20"/>
                <w:lang w:val="sr-Cyrl-CS"/>
              </w:rPr>
            </w:pPr>
            <w:r w:rsidRPr="00092ED7">
              <w:rPr>
                <w:rFonts w:cs="Times New Roman"/>
                <w:sz w:val="20"/>
                <w:szCs w:val="20"/>
                <w:lang w:val="sr-Cyrl-CS"/>
              </w:rPr>
              <w:t>Израда потребне урбанистичко-планске и пројектно-техничке документације за изградњу објеката</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F01B6F0"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FD41337"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5F212E7"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2CBED61"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45E6453"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43BA5EF"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F599D3D"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BF1F7B6"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CB8F70E"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EEAAA55"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2B9534FB"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161E3A35" w14:textId="77777777" w:rsidR="00D210F0" w:rsidRPr="00092ED7" w:rsidRDefault="00D210F0" w:rsidP="00E44EF2">
            <w:pPr>
              <w:spacing w:after="0"/>
              <w:rPr>
                <w:rFonts w:cs="Times New Roman"/>
                <w:color w:val="000000"/>
                <w:sz w:val="20"/>
                <w:szCs w:val="20"/>
                <w:lang w:val="sr-Cyrl-CS"/>
              </w:rPr>
            </w:pPr>
          </w:p>
        </w:tc>
      </w:tr>
      <w:tr w:rsidR="00D210F0" w:rsidRPr="00092ED7" w14:paraId="2DE1C96F" w14:textId="77777777" w:rsidTr="00616441">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77DE4679" w14:textId="77777777" w:rsidR="00D210F0" w:rsidRPr="00092ED7" w:rsidRDefault="00D210F0" w:rsidP="00E44EF2">
            <w:pPr>
              <w:spacing w:after="0"/>
              <w:jc w:val="center"/>
              <w:rPr>
                <w:rFonts w:cs="Times New Roman"/>
                <w:bCs/>
                <w:sz w:val="20"/>
                <w:szCs w:val="20"/>
                <w:lang w:val="sr-Cyrl-CS"/>
              </w:rPr>
            </w:pPr>
            <w:r w:rsidRPr="00092ED7">
              <w:rPr>
                <w:rFonts w:cs="Times New Roman"/>
                <w:bCs/>
                <w:sz w:val="20"/>
                <w:szCs w:val="20"/>
                <w:lang w:val="sr-Cyrl-CS"/>
              </w:rPr>
              <w:t>2.</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254279E8" w14:textId="77777777" w:rsidR="00D210F0" w:rsidRPr="00092ED7" w:rsidRDefault="00D210F0" w:rsidP="00E44EF2">
            <w:pPr>
              <w:spacing w:after="0"/>
              <w:rPr>
                <w:sz w:val="20"/>
                <w:szCs w:val="20"/>
                <w:lang w:val="sr-Cyrl-CS"/>
              </w:rPr>
            </w:pPr>
            <w:r w:rsidRPr="00092ED7">
              <w:rPr>
                <w:rFonts w:cs="Times New Roman"/>
                <w:sz w:val="20"/>
                <w:szCs w:val="20"/>
                <w:lang w:val="sr-Cyrl-CS"/>
              </w:rPr>
              <w:t>Исходовање дозвола</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024B8D21"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771E848"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7E8DBF6"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B4B59FD"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4C80EC9"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9EC009E"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DE0B82A"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1060C61"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015DF72"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229FC12"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FB80858"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224EE97" w14:textId="77777777" w:rsidR="00D210F0" w:rsidRPr="00092ED7" w:rsidRDefault="00D210F0" w:rsidP="00E44EF2">
            <w:pPr>
              <w:spacing w:after="0"/>
              <w:rPr>
                <w:rFonts w:cs="Times New Roman"/>
                <w:color w:val="000000"/>
                <w:sz w:val="20"/>
                <w:szCs w:val="20"/>
                <w:lang w:val="sr-Cyrl-CS"/>
              </w:rPr>
            </w:pPr>
          </w:p>
        </w:tc>
      </w:tr>
      <w:tr w:rsidR="00D210F0" w:rsidRPr="00092ED7" w14:paraId="3F03ECCB" w14:textId="77777777" w:rsidTr="00616441">
        <w:trPr>
          <w:trHeight w:val="300"/>
        </w:trPr>
        <w:tc>
          <w:tcPr>
            <w:tcW w:w="425"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49F9721A" w14:textId="77777777" w:rsidR="00D210F0" w:rsidRPr="00092ED7" w:rsidRDefault="00D210F0" w:rsidP="00E44EF2">
            <w:pPr>
              <w:spacing w:after="0"/>
              <w:jc w:val="center"/>
              <w:rPr>
                <w:rFonts w:cs="Times New Roman"/>
                <w:bCs/>
                <w:sz w:val="20"/>
                <w:szCs w:val="20"/>
                <w:lang w:val="sr-Cyrl-CS"/>
              </w:rPr>
            </w:pPr>
            <w:r w:rsidRPr="00092ED7">
              <w:rPr>
                <w:rFonts w:cs="Times New Roman"/>
                <w:bCs/>
                <w:sz w:val="20"/>
                <w:szCs w:val="20"/>
                <w:lang w:val="sr-Cyrl-CS"/>
              </w:rPr>
              <w:t>3.</w:t>
            </w:r>
          </w:p>
        </w:tc>
        <w:tc>
          <w:tcPr>
            <w:tcW w:w="4243" w:type="dxa"/>
            <w:tcBorders>
              <w:top w:val="single" w:sz="4" w:space="0" w:color="auto"/>
              <w:left w:val="nil"/>
              <w:bottom w:val="single" w:sz="4" w:space="0" w:color="auto"/>
              <w:right w:val="nil"/>
            </w:tcBorders>
            <w:shd w:val="clear" w:color="auto" w:fill="auto"/>
            <w:tcMar>
              <w:top w:w="15" w:type="dxa"/>
              <w:left w:w="15" w:type="dxa"/>
              <w:bottom w:w="0" w:type="dxa"/>
              <w:right w:w="15" w:type="dxa"/>
            </w:tcMar>
          </w:tcPr>
          <w:p w14:paraId="019B33EE" w14:textId="77777777" w:rsidR="00D210F0" w:rsidRPr="00092ED7" w:rsidRDefault="00D210F0" w:rsidP="00E44EF2">
            <w:pPr>
              <w:spacing w:after="0"/>
              <w:rPr>
                <w:sz w:val="20"/>
                <w:szCs w:val="20"/>
                <w:lang w:val="sr-Cyrl-CS"/>
              </w:rPr>
            </w:pPr>
            <w:r w:rsidRPr="00092ED7">
              <w:rPr>
                <w:rFonts w:cs="Times New Roman"/>
                <w:sz w:val="20"/>
                <w:szCs w:val="20"/>
                <w:lang w:val="sr-Cyrl-CS"/>
              </w:rPr>
              <w:t>Потписивање уговора за радове и набавку опреме</w:t>
            </w:r>
          </w:p>
        </w:tc>
        <w:tc>
          <w:tcPr>
            <w:tcW w:w="372"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3A23D4D4"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BA898AB"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DF59A48"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322CA4E8"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5BF2F92"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290E555"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BBAB9EE"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57BC750"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89A1877"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AA93CE3"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9919805"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1181E391" w14:textId="77777777" w:rsidR="00D210F0" w:rsidRPr="00092ED7" w:rsidRDefault="00D210F0" w:rsidP="00E44EF2">
            <w:pPr>
              <w:spacing w:after="0"/>
              <w:rPr>
                <w:rFonts w:cs="Times New Roman"/>
                <w:color w:val="000000"/>
                <w:sz w:val="20"/>
                <w:szCs w:val="20"/>
                <w:lang w:val="sr-Cyrl-CS"/>
              </w:rPr>
            </w:pPr>
          </w:p>
        </w:tc>
      </w:tr>
      <w:tr w:rsidR="00D210F0" w:rsidRPr="00092ED7" w14:paraId="5424BB96" w14:textId="77777777" w:rsidTr="00AE4362">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14A00DA7" w14:textId="77777777" w:rsidR="00D210F0" w:rsidRPr="00092ED7" w:rsidRDefault="00D210F0" w:rsidP="00E44EF2">
            <w:pPr>
              <w:spacing w:after="0"/>
              <w:jc w:val="center"/>
              <w:rPr>
                <w:rFonts w:cs="Times New Roman"/>
                <w:bCs/>
                <w:sz w:val="20"/>
                <w:szCs w:val="20"/>
                <w:lang w:val="sr-Cyrl-CS"/>
              </w:rPr>
            </w:pPr>
            <w:r w:rsidRPr="00092ED7">
              <w:rPr>
                <w:rFonts w:cs="Times New Roman"/>
                <w:bCs/>
                <w:sz w:val="20"/>
                <w:szCs w:val="20"/>
                <w:lang w:val="sr-Cyrl-CS"/>
              </w:rPr>
              <w:t>4.</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5B387457" w14:textId="77777777" w:rsidR="00D210F0" w:rsidRPr="00092ED7" w:rsidRDefault="00D210F0" w:rsidP="00E44EF2">
            <w:pPr>
              <w:spacing w:after="0"/>
              <w:rPr>
                <w:sz w:val="20"/>
                <w:szCs w:val="20"/>
                <w:lang w:val="sr-Cyrl-CS"/>
              </w:rPr>
            </w:pPr>
            <w:r w:rsidRPr="00092ED7">
              <w:rPr>
                <w:rFonts w:cs="Times New Roman"/>
                <w:sz w:val="20"/>
                <w:szCs w:val="20"/>
                <w:lang w:val="sr-Cyrl-CS"/>
              </w:rPr>
              <w:t xml:space="preserve">Изградња  </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FD4220C"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82AE42D"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0806692"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28EBA8CF"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3B7E8C2"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1695954"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194D948"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660A367"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469972F"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1D9CE27"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BC66D2E"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65774B3" w14:textId="77777777" w:rsidR="00D210F0" w:rsidRPr="00092ED7" w:rsidRDefault="00D210F0" w:rsidP="00E44EF2">
            <w:pPr>
              <w:spacing w:after="0"/>
              <w:rPr>
                <w:rFonts w:cs="Times New Roman"/>
                <w:color w:val="000000"/>
                <w:sz w:val="20"/>
                <w:szCs w:val="20"/>
                <w:lang w:val="sr-Cyrl-CS"/>
              </w:rPr>
            </w:pPr>
          </w:p>
        </w:tc>
      </w:tr>
    </w:tbl>
    <w:p w14:paraId="203D4B0D" w14:textId="77777777" w:rsidR="00D210F0" w:rsidRPr="00092ED7" w:rsidRDefault="00D210F0" w:rsidP="00071952">
      <w:pPr>
        <w:pStyle w:val="ListParagraph"/>
        <w:widowControl w:val="0"/>
        <w:numPr>
          <w:ilvl w:val="0"/>
          <w:numId w:val="26"/>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Индикатори рeзултата</w:t>
      </w:r>
    </w:p>
    <w:tbl>
      <w:tblPr>
        <w:tblStyle w:val="TableGrid"/>
        <w:tblW w:w="9214" w:type="dxa"/>
        <w:tblInd w:w="-5" w:type="dxa"/>
        <w:tblLayout w:type="fixed"/>
        <w:tblLook w:val="04A0" w:firstRow="1" w:lastRow="0" w:firstColumn="1" w:lastColumn="0" w:noHBand="0" w:noVBand="1"/>
      </w:tblPr>
      <w:tblGrid>
        <w:gridCol w:w="4111"/>
        <w:gridCol w:w="1701"/>
        <w:gridCol w:w="1701"/>
        <w:gridCol w:w="1701"/>
      </w:tblGrid>
      <w:tr w:rsidR="00D210F0" w:rsidRPr="00092ED7" w14:paraId="2D70A210" w14:textId="77777777" w:rsidTr="00AE4362">
        <w:trPr>
          <w:cnfStyle w:val="100000000000" w:firstRow="1" w:lastRow="0" w:firstColumn="0" w:lastColumn="0" w:oddVBand="0" w:evenVBand="0" w:oddHBand="0" w:evenHBand="0" w:firstRowFirstColumn="0" w:firstRowLastColumn="0" w:lastRowFirstColumn="0" w:lastRowLastColumn="0"/>
        </w:trPr>
        <w:tc>
          <w:tcPr>
            <w:tcW w:w="4111" w:type="dxa"/>
          </w:tcPr>
          <w:p w14:paraId="6A74F83A"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Показатељ</w:t>
            </w:r>
          </w:p>
        </w:tc>
        <w:tc>
          <w:tcPr>
            <w:tcW w:w="1701" w:type="dxa"/>
          </w:tcPr>
          <w:p w14:paraId="2463C65A"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Почетна вредност (</w:t>
            </w:r>
            <w:r w:rsidR="00234B69" w:rsidRPr="00092ED7">
              <w:rPr>
                <w:rFonts w:cs="Times New Roman"/>
                <w:sz w:val="20"/>
                <w:lang w:val="sr-Cyrl-CS"/>
              </w:rPr>
              <w:t>2022</w:t>
            </w:r>
            <w:r w:rsidRPr="00092ED7">
              <w:rPr>
                <w:rFonts w:cs="Times New Roman"/>
                <w:sz w:val="20"/>
                <w:lang w:val="sr-Cyrl-CS"/>
              </w:rPr>
              <w:t>)</w:t>
            </w:r>
          </w:p>
        </w:tc>
        <w:tc>
          <w:tcPr>
            <w:tcW w:w="1701" w:type="dxa"/>
          </w:tcPr>
          <w:p w14:paraId="22BD3926"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Међурезултат (</w:t>
            </w:r>
            <w:r w:rsidR="00234B69" w:rsidRPr="00092ED7">
              <w:rPr>
                <w:rFonts w:cs="Times New Roman"/>
                <w:sz w:val="20"/>
                <w:lang w:val="sr-Cyrl-CS"/>
              </w:rPr>
              <w:t>2024</w:t>
            </w:r>
            <w:r w:rsidRPr="00092ED7">
              <w:rPr>
                <w:rFonts w:cs="Times New Roman"/>
                <w:sz w:val="20"/>
                <w:lang w:val="sr-Cyrl-CS"/>
              </w:rPr>
              <w:t>)</w:t>
            </w:r>
          </w:p>
        </w:tc>
        <w:tc>
          <w:tcPr>
            <w:tcW w:w="1701" w:type="dxa"/>
          </w:tcPr>
          <w:p w14:paraId="50462119"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 xml:space="preserve">Циљна вредност </w:t>
            </w:r>
            <w:r w:rsidR="00234B69" w:rsidRPr="00092ED7">
              <w:rPr>
                <w:rFonts w:cs="Times New Roman"/>
                <w:sz w:val="20"/>
                <w:lang w:val="sr-Cyrl-CS"/>
              </w:rPr>
              <w:t>(2026</w:t>
            </w:r>
            <w:r w:rsidRPr="00092ED7">
              <w:rPr>
                <w:rFonts w:cs="Times New Roman"/>
                <w:sz w:val="20"/>
                <w:lang w:val="sr-Cyrl-CS"/>
              </w:rPr>
              <w:t>)</w:t>
            </w:r>
          </w:p>
        </w:tc>
      </w:tr>
      <w:tr w:rsidR="00D210F0" w:rsidRPr="00092ED7" w14:paraId="3FCE6755" w14:textId="77777777" w:rsidTr="00AE4362">
        <w:tc>
          <w:tcPr>
            <w:tcW w:w="4111" w:type="dxa"/>
          </w:tcPr>
          <w:p w14:paraId="5505FB74" w14:textId="77777777" w:rsidR="00D210F0" w:rsidRPr="00092ED7" w:rsidRDefault="00234B69" w:rsidP="005D14E2">
            <w:pPr>
              <w:spacing w:before="0" w:after="0"/>
              <w:ind w:left="113" w:right="113"/>
              <w:rPr>
                <w:sz w:val="20"/>
                <w:lang w:val="sr-Cyrl-CS"/>
              </w:rPr>
            </w:pPr>
            <w:r w:rsidRPr="00092ED7">
              <w:rPr>
                <w:rFonts w:cs="Times New Roman"/>
                <w:sz w:val="20"/>
                <w:lang w:val="sr-Cyrl-CS"/>
              </w:rPr>
              <w:t>Повећање исталисане снаге електрана на ОИЕ у региону Јужног Баната која се може интегрисати без ограничења</w:t>
            </w:r>
          </w:p>
        </w:tc>
        <w:tc>
          <w:tcPr>
            <w:tcW w:w="1701" w:type="dxa"/>
          </w:tcPr>
          <w:p w14:paraId="618C8175" w14:textId="77777777" w:rsidR="00D210F0" w:rsidRPr="00092ED7" w:rsidRDefault="00234B69" w:rsidP="005D14E2">
            <w:pPr>
              <w:spacing w:before="0" w:after="0"/>
              <w:ind w:left="113" w:right="113"/>
              <w:jc w:val="center"/>
              <w:rPr>
                <w:rFonts w:cs="Times New Roman"/>
                <w:sz w:val="20"/>
                <w:lang w:val="sr-Cyrl-CS"/>
              </w:rPr>
            </w:pPr>
            <w:r w:rsidRPr="00092ED7">
              <w:rPr>
                <w:rFonts w:cs="Times New Roman"/>
                <w:sz w:val="20"/>
                <w:lang w:val="sr-Cyrl-CS"/>
              </w:rPr>
              <w:t>0 MW</w:t>
            </w:r>
          </w:p>
        </w:tc>
        <w:tc>
          <w:tcPr>
            <w:tcW w:w="1701" w:type="dxa"/>
          </w:tcPr>
          <w:p w14:paraId="664F4A0E" w14:textId="77777777" w:rsidR="00D210F0" w:rsidRPr="00092ED7" w:rsidRDefault="00234B69" w:rsidP="005D14E2">
            <w:pPr>
              <w:spacing w:before="0" w:after="0"/>
              <w:ind w:left="113" w:right="113"/>
              <w:jc w:val="center"/>
              <w:rPr>
                <w:rFonts w:cs="Times New Roman"/>
                <w:sz w:val="20"/>
                <w:lang w:val="sr-Cyrl-CS"/>
              </w:rPr>
            </w:pPr>
            <w:r w:rsidRPr="00092ED7">
              <w:rPr>
                <w:rFonts w:cs="Times New Roman"/>
                <w:sz w:val="20"/>
                <w:lang w:val="sr-Cyrl-CS"/>
              </w:rPr>
              <w:t>0 MW</w:t>
            </w:r>
          </w:p>
        </w:tc>
        <w:tc>
          <w:tcPr>
            <w:tcW w:w="1701" w:type="dxa"/>
          </w:tcPr>
          <w:p w14:paraId="0AD8F227" w14:textId="77777777" w:rsidR="00D210F0" w:rsidRPr="00092ED7" w:rsidRDefault="00BB279D" w:rsidP="00BB279D">
            <w:pPr>
              <w:spacing w:before="0" w:after="0"/>
              <w:ind w:left="113" w:right="113"/>
              <w:jc w:val="center"/>
              <w:rPr>
                <w:rFonts w:cs="Times New Roman"/>
                <w:sz w:val="20"/>
                <w:lang w:val="sr-Cyrl-CS"/>
              </w:rPr>
            </w:pPr>
            <w:r w:rsidRPr="00092ED7">
              <w:rPr>
                <w:rFonts w:eastAsiaTheme="minorHAnsi" w:cs="Times New Roman"/>
                <w:sz w:val="20"/>
                <w:szCs w:val="22"/>
                <w:lang w:val="sr-Cyrl-CS" w:eastAsia="en-US"/>
              </w:rPr>
              <w:t>&gt;1000 MW</w:t>
            </w:r>
          </w:p>
        </w:tc>
      </w:tr>
      <w:tr w:rsidR="00D210F0" w:rsidRPr="00092ED7" w14:paraId="414AF369" w14:textId="77777777" w:rsidTr="00AE4362">
        <w:tc>
          <w:tcPr>
            <w:tcW w:w="4111" w:type="dxa"/>
          </w:tcPr>
          <w:p w14:paraId="6C5F0550" w14:textId="77777777" w:rsidR="00D210F0" w:rsidRPr="00092ED7" w:rsidRDefault="00234B69" w:rsidP="005D14E2">
            <w:pPr>
              <w:spacing w:before="0" w:after="0"/>
              <w:ind w:left="113" w:right="113"/>
              <w:rPr>
                <w:sz w:val="20"/>
                <w:lang w:val="sr-Cyrl-CS"/>
              </w:rPr>
            </w:pPr>
            <w:r w:rsidRPr="00092ED7">
              <w:rPr>
                <w:rFonts w:cs="Times New Roman"/>
                <w:sz w:val="20"/>
                <w:lang w:val="sr-Cyrl-CS"/>
              </w:rPr>
              <w:t>Смањење губитака енергије у преносном систему на годишњем нивоу</w:t>
            </w:r>
          </w:p>
        </w:tc>
        <w:tc>
          <w:tcPr>
            <w:tcW w:w="1701" w:type="dxa"/>
          </w:tcPr>
          <w:p w14:paraId="145BBB50" w14:textId="77777777" w:rsidR="00D210F0" w:rsidRPr="00092ED7" w:rsidRDefault="00234B69" w:rsidP="005D14E2">
            <w:pPr>
              <w:spacing w:before="0" w:after="0"/>
              <w:ind w:left="113" w:right="113"/>
              <w:jc w:val="center"/>
              <w:rPr>
                <w:rFonts w:cs="Times New Roman"/>
                <w:sz w:val="20"/>
                <w:lang w:val="sr-Cyrl-CS"/>
              </w:rPr>
            </w:pPr>
            <w:r w:rsidRPr="00092ED7">
              <w:rPr>
                <w:rFonts w:cs="Times New Roman"/>
                <w:sz w:val="20"/>
                <w:lang w:val="sr-Cyrl-CS"/>
              </w:rPr>
              <w:t>0 GWh</w:t>
            </w:r>
          </w:p>
        </w:tc>
        <w:tc>
          <w:tcPr>
            <w:tcW w:w="1701" w:type="dxa"/>
          </w:tcPr>
          <w:p w14:paraId="1E2D993F" w14:textId="77777777" w:rsidR="00D210F0" w:rsidRPr="00092ED7" w:rsidRDefault="00234B69" w:rsidP="005D14E2">
            <w:pPr>
              <w:spacing w:before="0" w:after="0"/>
              <w:ind w:left="113" w:right="113"/>
              <w:jc w:val="center"/>
              <w:rPr>
                <w:rFonts w:cs="Times New Roman"/>
                <w:sz w:val="20"/>
                <w:lang w:val="sr-Cyrl-CS"/>
              </w:rPr>
            </w:pPr>
            <w:r w:rsidRPr="00092ED7">
              <w:rPr>
                <w:rFonts w:cs="Times New Roman"/>
                <w:sz w:val="20"/>
                <w:lang w:val="sr-Cyrl-CS"/>
              </w:rPr>
              <w:t>0 GWh</w:t>
            </w:r>
          </w:p>
        </w:tc>
        <w:tc>
          <w:tcPr>
            <w:tcW w:w="1701" w:type="dxa"/>
          </w:tcPr>
          <w:p w14:paraId="565CCDAB" w14:textId="77777777" w:rsidR="00D210F0" w:rsidRPr="00092ED7" w:rsidRDefault="00BB279D" w:rsidP="00BB279D">
            <w:pPr>
              <w:spacing w:before="0" w:after="0"/>
              <w:ind w:left="113" w:right="113"/>
              <w:jc w:val="center"/>
              <w:rPr>
                <w:rFonts w:cs="Times New Roman"/>
                <w:sz w:val="20"/>
                <w:lang w:val="sr-Cyrl-CS"/>
              </w:rPr>
            </w:pPr>
            <w:r w:rsidRPr="00092ED7">
              <w:rPr>
                <w:rFonts w:eastAsiaTheme="minorHAnsi" w:cs="Times New Roman"/>
                <w:sz w:val="20"/>
                <w:szCs w:val="22"/>
                <w:lang w:val="sr-Cyrl-CS" w:eastAsia="en-US"/>
              </w:rPr>
              <w:t>33 GWh</w:t>
            </w:r>
          </w:p>
        </w:tc>
      </w:tr>
    </w:tbl>
    <w:p w14:paraId="7368D843" w14:textId="77777777" w:rsidR="00D210F0" w:rsidRPr="00092ED7" w:rsidRDefault="00D210F0" w:rsidP="00071952">
      <w:pPr>
        <w:pStyle w:val="ListParagraph"/>
        <w:widowControl w:val="0"/>
        <w:numPr>
          <w:ilvl w:val="0"/>
          <w:numId w:val="26"/>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конкурентност</w:t>
      </w:r>
    </w:p>
    <w:p w14:paraId="183D695E" w14:textId="50C3B427" w:rsidR="00A2596A" w:rsidRDefault="00A2596A" w:rsidP="00D210F0">
      <w:pPr>
        <w:widowControl w:val="0"/>
        <w:spacing w:after="60"/>
        <w:rPr>
          <w:lang w:val="sr-Cyrl-CS"/>
        </w:rPr>
      </w:pPr>
      <w:r w:rsidRPr="00092ED7">
        <w:rPr>
          <w:lang w:val="sr-Cyrl-CS"/>
        </w:rPr>
        <w:t xml:space="preserve">Пројекат </w:t>
      </w:r>
      <w:r w:rsidR="00E86746" w:rsidRPr="00092ED7">
        <w:rPr>
          <w:lang w:val="sr-Cyrl-CS"/>
        </w:rPr>
        <w:t>„</w:t>
      </w:r>
      <w:r w:rsidRPr="00092ED7">
        <w:rPr>
          <w:lang w:val="sr-Cyrl-CS"/>
        </w:rPr>
        <w:t>Беогрид 2025</w:t>
      </w:r>
      <w:r w:rsidR="00E86746" w:rsidRPr="00092ED7">
        <w:rPr>
          <w:rFonts w:cs="Times New Roman"/>
          <w:lang w:val="sr-Cyrl-CS"/>
        </w:rPr>
        <w:t>ˮ</w:t>
      </w:r>
      <w:r w:rsidRPr="00092ED7">
        <w:rPr>
          <w:lang w:val="sr-Cyrl-CS"/>
        </w:rPr>
        <w:t xml:space="preserve"> је приоритетни инфраструктурни пројекат </w:t>
      </w:r>
      <w:r w:rsidR="00E86746" w:rsidRPr="00092ED7">
        <w:rPr>
          <w:lang w:val="sr-Cyrl-CS"/>
        </w:rPr>
        <w:t>Републике Србије</w:t>
      </w:r>
      <w:r w:rsidRPr="00092ED7">
        <w:rPr>
          <w:lang w:val="sr-Cyrl-CS"/>
        </w:rPr>
        <w:t xml:space="preserve"> и као такав директно утиче на повећање конкурентности државе уз унапређење целокупне енергетске ефикасности </w:t>
      </w:r>
      <w:r w:rsidR="00FB7C56" w:rsidRPr="00092ED7">
        <w:rPr>
          <w:lang w:val="sr-Cyrl-CS"/>
        </w:rPr>
        <w:t>Републике Србије</w:t>
      </w:r>
      <w:r w:rsidRPr="00092ED7">
        <w:rPr>
          <w:lang w:val="sr-Cyrl-CS"/>
        </w:rPr>
        <w:t>.</w:t>
      </w:r>
    </w:p>
    <w:p w14:paraId="7EE32B48" w14:textId="6C0077AB" w:rsidR="00BA1B20" w:rsidRDefault="00BA1B20" w:rsidP="00D210F0">
      <w:pPr>
        <w:widowControl w:val="0"/>
        <w:spacing w:after="60"/>
        <w:rPr>
          <w:b/>
          <w:szCs w:val="24"/>
          <w:lang w:val="sr-Cyrl-CS" w:eastAsia="sr-Cyrl-CS" w:bidi="sr-Cyrl-CS"/>
        </w:rPr>
      </w:pPr>
    </w:p>
    <w:p w14:paraId="68FBC78A" w14:textId="77777777" w:rsidR="00BA1B20" w:rsidRPr="00092ED7" w:rsidRDefault="00BA1B20" w:rsidP="00D210F0">
      <w:pPr>
        <w:widowControl w:val="0"/>
        <w:spacing w:after="60"/>
        <w:rPr>
          <w:b/>
          <w:szCs w:val="24"/>
          <w:lang w:val="sr-Cyrl-CS" w:eastAsia="sr-Cyrl-CS" w:bidi="sr-Cyrl-CS"/>
        </w:rPr>
      </w:pPr>
    </w:p>
    <w:p w14:paraId="07000BB3" w14:textId="77777777" w:rsidR="00D210F0" w:rsidRPr="00092ED7" w:rsidRDefault="00D210F0" w:rsidP="00071952">
      <w:pPr>
        <w:widowControl w:val="0"/>
        <w:numPr>
          <w:ilvl w:val="0"/>
          <w:numId w:val="26"/>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27CD8F9F" w14:textId="77777777" w:rsidR="005C49FA" w:rsidRPr="00092ED7" w:rsidRDefault="005C49FA" w:rsidP="005C49FA">
      <w:pPr>
        <w:spacing w:after="60"/>
        <w:rPr>
          <w:sz w:val="22"/>
          <w:lang w:val="sr-Cyrl-CS" w:eastAsia="sr-Cyrl-CS"/>
        </w:rPr>
      </w:pPr>
      <w:r w:rsidRPr="00092ED7">
        <w:rPr>
          <w:lang w:val="sr-Cyrl-CS"/>
        </w:rPr>
        <w:t>Процењена укупна вредност пројекта „Беогрид 2025” је 80 милиона евра, а реализација се планира у периоду од 2022. до 2026. године. Tрошкови су искључиво из категорије „капитални расходи”.</w:t>
      </w:r>
    </w:p>
    <w:p w14:paraId="140B8614" w14:textId="7F02140A" w:rsidR="00964E65" w:rsidRPr="00092ED7" w:rsidRDefault="00964E65" w:rsidP="00B640AF">
      <w:pPr>
        <w:rPr>
          <w:sz w:val="22"/>
          <w:lang w:val="sr-Cyrl-CS"/>
        </w:rPr>
      </w:pPr>
      <w:r w:rsidRPr="00092ED7">
        <w:rPr>
          <w:rFonts w:eastAsia="Times New Roman" w:cs="Times New Roman"/>
          <w:lang w:val="sr-Cyrl-CS"/>
        </w:rPr>
        <w:t>Реализација пројекта финансираће се средствима из буџета Републике Србије у периоду 2023-2025, са следећом планираном дина</w:t>
      </w:r>
      <w:r w:rsidR="00D42D84" w:rsidRPr="00092ED7">
        <w:rPr>
          <w:rFonts w:eastAsia="Times New Roman" w:cs="Times New Roman"/>
          <w:lang w:val="sr-Cyrl-CS"/>
        </w:rPr>
        <w:t>ми</w:t>
      </w:r>
      <w:r w:rsidRPr="00092ED7">
        <w:rPr>
          <w:rFonts w:eastAsia="Times New Roman" w:cs="Times New Roman"/>
          <w:lang w:val="sr-Cyrl-CS"/>
        </w:rPr>
        <w:t>ком</w:t>
      </w:r>
      <w:r w:rsidR="00C41036" w:rsidRPr="00092ED7">
        <w:rPr>
          <w:rFonts w:eastAsia="Times New Roman" w:cs="Times New Roman"/>
          <w:lang w:val="sr-Cyrl-CS"/>
        </w:rPr>
        <w:t xml:space="preserve"> </w:t>
      </w:r>
      <w:r w:rsidR="005C49FA" w:rsidRPr="00092ED7">
        <w:rPr>
          <w:lang w:val="sr-Cyrl-CS"/>
        </w:rPr>
        <w:t>према Закљ</w:t>
      </w:r>
      <w:r w:rsidR="00C51A0B" w:rsidRPr="00092ED7">
        <w:rPr>
          <w:lang w:val="sr-Cyrl-CS"/>
        </w:rPr>
        <w:t xml:space="preserve">учку Владе </w:t>
      </w:r>
      <w:r w:rsidR="004B72CD" w:rsidRPr="00092ED7">
        <w:rPr>
          <w:lang w:val="sr-Cyrl-CS"/>
        </w:rPr>
        <w:t xml:space="preserve">05 </w:t>
      </w:r>
      <w:r w:rsidR="00111A31" w:rsidRPr="00092ED7">
        <w:rPr>
          <w:lang w:val="sr-Cyrl-CS"/>
        </w:rPr>
        <w:t>Б</w:t>
      </w:r>
      <w:r w:rsidR="004B72CD" w:rsidRPr="00092ED7">
        <w:rPr>
          <w:lang w:val="sr-Cyrl-CS"/>
        </w:rPr>
        <w:t>рој</w:t>
      </w:r>
      <w:r w:rsidR="00111A31" w:rsidRPr="00092ED7">
        <w:rPr>
          <w:lang w:val="sr-Cyrl-CS"/>
        </w:rPr>
        <w:t>:</w:t>
      </w:r>
      <w:r w:rsidR="004B72CD" w:rsidRPr="00092ED7">
        <w:rPr>
          <w:lang w:val="sr-Cyrl-CS"/>
        </w:rPr>
        <w:t xml:space="preserve"> 312-10334/202</w:t>
      </w:r>
      <w:r w:rsidR="00493D33" w:rsidRPr="00092ED7">
        <w:rPr>
          <w:lang w:val="sr-Cyrl-CS"/>
        </w:rPr>
        <w:t>1</w:t>
      </w:r>
      <w:r w:rsidR="004B72CD" w:rsidRPr="00092ED7">
        <w:rPr>
          <w:lang w:val="sr-Cyrl-CS"/>
        </w:rPr>
        <w:t xml:space="preserve">-1 </w:t>
      </w:r>
      <w:r w:rsidR="00C51A0B" w:rsidRPr="00092ED7">
        <w:rPr>
          <w:lang w:val="sr-Cyrl-CS"/>
        </w:rPr>
        <w:t xml:space="preserve">од 2. децембра </w:t>
      </w:r>
      <w:r w:rsidR="005C49FA" w:rsidRPr="00092ED7">
        <w:rPr>
          <w:lang w:val="sr-Cyrl-CS"/>
        </w:rPr>
        <w:t>2021. године</w:t>
      </w:r>
      <w:r w:rsidRPr="00092ED7">
        <w:rPr>
          <w:rFonts w:eastAsia="Times New Roman" w:cs="Times New Roman"/>
          <w:lang w:val="sr-Cyrl-CS"/>
        </w:rPr>
        <w:t>:</w:t>
      </w:r>
    </w:p>
    <w:p w14:paraId="19237367" w14:textId="558C9A3A" w:rsidR="00964E65" w:rsidRPr="00092ED7" w:rsidRDefault="00964E65" w:rsidP="00964E65">
      <w:pPr>
        <w:widowControl w:val="0"/>
        <w:spacing w:after="60"/>
        <w:rPr>
          <w:rFonts w:eastAsia="Times New Roman" w:cs="Times New Roman"/>
          <w:lang w:val="sr-Cyrl-CS"/>
        </w:rPr>
      </w:pPr>
      <w:r w:rsidRPr="00092ED7">
        <w:rPr>
          <w:rFonts w:eastAsia="Times New Roman" w:cs="Times New Roman"/>
          <w:lang w:val="sr-Cyrl-CS"/>
        </w:rPr>
        <w:t>2023 –</w:t>
      </w:r>
      <w:r w:rsidRPr="00092ED7">
        <w:rPr>
          <w:lang w:val="sr-Cyrl-CS"/>
        </w:rPr>
        <w:t xml:space="preserve"> </w:t>
      </w:r>
      <w:r w:rsidR="00494B2E" w:rsidRPr="00092ED7">
        <w:rPr>
          <w:lang w:val="sr-Cyrl-CS"/>
        </w:rPr>
        <w:t xml:space="preserve">2.275.320 </w:t>
      </w:r>
      <w:r w:rsidRPr="00092ED7">
        <w:rPr>
          <w:rFonts w:eastAsia="Times New Roman" w:cs="Times New Roman"/>
          <w:lang w:val="sr-Cyrl-CS"/>
        </w:rPr>
        <w:t>евра;</w:t>
      </w:r>
    </w:p>
    <w:p w14:paraId="000EEA7F" w14:textId="0710F73B" w:rsidR="00964E65" w:rsidRPr="00092ED7" w:rsidRDefault="00964E65" w:rsidP="00964E65">
      <w:pPr>
        <w:widowControl w:val="0"/>
        <w:spacing w:after="60"/>
        <w:rPr>
          <w:rFonts w:eastAsia="Times New Roman" w:cs="Times New Roman"/>
          <w:lang w:val="sr-Cyrl-CS"/>
        </w:rPr>
      </w:pPr>
      <w:r w:rsidRPr="00092ED7">
        <w:rPr>
          <w:rFonts w:eastAsia="Times New Roman" w:cs="Times New Roman"/>
          <w:lang w:val="sr-Cyrl-CS"/>
        </w:rPr>
        <w:t xml:space="preserve">2024 – </w:t>
      </w:r>
      <w:r w:rsidR="00494B2E" w:rsidRPr="00092ED7">
        <w:rPr>
          <w:lang w:val="sr-Cyrl-CS"/>
        </w:rPr>
        <w:t xml:space="preserve">21 милион </w:t>
      </w:r>
      <w:r w:rsidRPr="00092ED7">
        <w:rPr>
          <w:rFonts w:eastAsia="Times New Roman" w:cs="Times New Roman"/>
          <w:lang w:val="sr-Cyrl-CS"/>
        </w:rPr>
        <w:t>евра;</w:t>
      </w:r>
    </w:p>
    <w:p w14:paraId="5746C6D4" w14:textId="2CFA028F" w:rsidR="00964E65" w:rsidRPr="00092ED7" w:rsidRDefault="00964E65" w:rsidP="00964E65">
      <w:pPr>
        <w:widowControl w:val="0"/>
        <w:spacing w:after="60"/>
        <w:rPr>
          <w:rFonts w:eastAsia="Times New Roman" w:cs="Times New Roman"/>
          <w:lang w:val="sr-Cyrl-CS"/>
        </w:rPr>
      </w:pPr>
      <w:r w:rsidRPr="00092ED7">
        <w:rPr>
          <w:rFonts w:eastAsia="Times New Roman" w:cs="Times New Roman"/>
          <w:lang w:val="sr-Cyrl-CS"/>
        </w:rPr>
        <w:t xml:space="preserve">2025 – </w:t>
      </w:r>
      <w:r w:rsidR="00494B2E" w:rsidRPr="00092ED7">
        <w:rPr>
          <w:lang w:val="sr-Cyrl-CS"/>
        </w:rPr>
        <w:t>33 милиона евра</w:t>
      </w:r>
      <w:r w:rsidRPr="00092ED7">
        <w:rPr>
          <w:rFonts w:eastAsia="Times New Roman" w:cs="Times New Roman"/>
          <w:lang w:val="sr-Cyrl-CS"/>
        </w:rPr>
        <w:t>.</w:t>
      </w:r>
    </w:p>
    <w:p w14:paraId="1B544456" w14:textId="44FB4BB1" w:rsidR="00D210F0" w:rsidRPr="00092ED7" w:rsidRDefault="00494B2E" w:rsidP="00071952">
      <w:pPr>
        <w:widowControl w:val="0"/>
        <w:numPr>
          <w:ilvl w:val="0"/>
          <w:numId w:val="26"/>
        </w:numPr>
        <w:spacing w:before="120"/>
        <w:ind w:left="425" w:hanging="425"/>
        <w:rPr>
          <w:rFonts w:eastAsia="Calibri" w:cs="Times New Roman"/>
          <w:b/>
          <w:szCs w:val="24"/>
          <w:lang w:val="sr-Cyrl-CS" w:eastAsia="sr-Cyrl-CS" w:bidi="sr-Cyrl-CS"/>
        </w:rPr>
      </w:pPr>
      <w:r w:rsidRPr="00092ED7">
        <w:rPr>
          <w:lang w:val="sr-Cyrl-CS" w:eastAsia="ja-JP"/>
        </w:rPr>
        <w:t xml:space="preserve">Годишњим програмом пословања </w:t>
      </w:r>
      <w:r w:rsidR="00846C55" w:rsidRPr="00092ED7">
        <w:rPr>
          <w:rFonts w:cs="Times New Roman"/>
          <w:bCs/>
          <w:iCs/>
          <w:szCs w:val="24"/>
          <w:lang w:val="sr-Cyrl-CS"/>
        </w:rPr>
        <w:t>АД „Електромрежа Србије</w:t>
      </w:r>
      <w:r w:rsidR="00111A31" w:rsidRPr="00092ED7">
        <w:rPr>
          <w:rFonts w:cs="Times New Roman"/>
          <w:bCs/>
          <w:iCs/>
          <w:szCs w:val="24"/>
          <w:lang w:val="sr-Cyrl-CS"/>
        </w:rPr>
        <w:t xml:space="preserve">ˮ </w:t>
      </w:r>
      <w:r w:rsidRPr="00092ED7">
        <w:rPr>
          <w:lang w:val="sr-Cyrl-CS" w:eastAsia="ja-JP"/>
        </w:rPr>
        <w:t xml:space="preserve">за 2023. годину иновирана </w:t>
      </w:r>
      <w:r w:rsidR="00111A31" w:rsidRPr="00092ED7">
        <w:rPr>
          <w:lang w:val="sr-Cyrl-CS" w:eastAsia="ja-JP"/>
        </w:rPr>
        <w:t xml:space="preserve">је </w:t>
      </w:r>
      <w:r w:rsidRPr="00092ED7">
        <w:rPr>
          <w:lang w:val="sr-Cyrl-CS" w:eastAsia="ja-JP"/>
        </w:rPr>
        <w:t>динамика финансирања овог пројекта  у складу са његовим актуелним статусом.</w:t>
      </w:r>
      <w:r w:rsidR="00111A31" w:rsidRPr="00092ED7">
        <w:rPr>
          <w:lang w:val="sr-Cyrl-CS" w:eastAsia="ja-JP"/>
        </w:rPr>
        <w:t xml:space="preserve"> </w:t>
      </w:r>
      <w:r w:rsidR="00D210F0"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0ACE4913" w14:textId="77777777" w:rsidR="00047A62" w:rsidRPr="00092ED7" w:rsidRDefault="008C5DCE"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Структурна реформа не утиче директно на социјалне циљеве и родно је неутрална. Ипак, повећање преносног капацитета и последично повећавање поузданости рада система, ствара повољне услове за потенцијално прикључење нових корисника у будућности, што може довести до отварања нових радних места. </w:t>
      </w:r>
      <w:r w:rsidR="00047A62" w:rsidRPr="00092ED7">
        <w:rPr>
          <w:rFonts w:eastAsia="Calibri" w:cs="Times New Roman"/>
          <w:szCs w:val="24"/>
          <w:lang w:val="sr-Cyrl-CS" w:eastAsia="sr-Cyrl-CS" w:bidi="sr-Cyrl-CS"/>
        </w:rPr>
        <w:t xml:space="preserve"> </w:t>
      </w:r>
    </w:p>
    <w:p w14:paraId="26D6095D" w14:textId="77777777" w:rsidR="00D210F0" w:rsidRPr="00092ED7" w:rsidRDefault="00D210F0" w:rsidP="00071952">
      <w:pPr>
        <w:widowControl w:val="0"/>
        <w:numPr>
          <w:ilvl w:val="0"/>
          <w:numId w:val="26"/>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7C31F5BF" w14:textId="77777777" w:rsidR="00D210F0" w:rsidRPr="00092ED7" w:rsidRDefault="00D210F0"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На напонском нивоу од 400 kV изражена су електрична пражњења (ефекат короне) која могу да створе звук специфичне фреквенције (100 Hz). Такође је на овом напонском нивоу ниво електричног поља близак граничним вредностима.</w:t>
      </w:r>
    </w:p>
    <w:p w14:paraId="23AD8CBC" w14:textId="77777777" w:rsidR="00D210F0" w:rsidRPr="00092ED7" w:rsidRDefault="00D210F0"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Мере које ће се применити како би се редуковао ефекат короне су примена више проводника по фази и повећана висина проводника изнад земље у зонама повећане осетљивости</w:t>
      </w:r>
      <w:r w:rsidR="00047A62" w:rsidRPr="00092ED7">
        <w:rPr>
          <w:rFonts w:eastAsia="Calibri" w:cs="Times New Roman"/>
          <w:szCs w:val="24"/>
          <w:lang w:val="sr-Cyrl-CS" w:eastAsia="sr-Cyrl-CS" w:bidi="sr-Cyrl-CS"/>
        </w:rPr>
        <w:t xml:space="preserve"> (</w:t>
      </w:r>
      <w:r w:rsidR="00047A62" w:rsidRPr="00092ED7">
        <w:rPr>
          <w:rFonts w:eastAsia="Calibri" w:cs="Times New Roman"/>
          <w:i/>
          <w:szCs w:val="24"/>
          <w:lang w:val="sr-Cyrl-CS" w:eastAsia="sr-Cyrl-CS" w:bidi="sr-Cyrl-CS"/>
        </w:rPr>
        <w:t>WBIF Infrastructure Project Facility Technical Assistance 7 (IPF 7), WB25-SRB-ENE-01 Technical Assessment Report</w:t>
      </w:r>
      <w:r w:rsidR="00047A62" w:rsidRPr="00092ED7">
        <w:rPr>
          <w:rFonts w:eastAsia="Calibri" w:cs="Times New Roman"/>
          <w:szCs w:val="24"/>
          <w:lang w:val="sr-Cyrl-CS" w:eastAsia="sr-Cyrl-CS" w:bidi="sr-Cyrl-CS"/>
        </w:rPr>
        <w:t xml:space="preserve">). </w:t>
      </w:r>
      <w:r w:rsidRPr="00092ED7">
        <w:rPr>
          <w:rFonts w:eastAsia="Calibri" w:cs="Times New Roman"/>
          <w:szCs w:val="24"/>
          <w:lang w:val="sr-Cyrl-CS" w:eastAsia="sr-Cyrl-CS" w:bidi="sr-Cyrl-CS"/>
        </w:rPr>
        <w:t>Због утицаја који далековод може имати на фауну, предвиђене су и мере за боље уочавање далековода.</w:t>
      </w:r>
    </w:p>
    <w:p w14:paraId="53FCD4F3" w14:textId="77777777" w:rsidR="00D210F0" w:rsidRPr="00092ED7" w:rsidRDefault="00D210F0" w:rsidP="00071952">
      <w:pPr>
        <w:widowControl w:val="0"/>
        <w:numPr>
          <w:ilvl w:val="0"/>
          <w:numId w:val="26"/>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209" w:type="dxa"/>
        <w:jc w:val="center"/>
        <w:tblLayout w:type="fixed"/>
        <w:tblLook w:val="04A0" w:firstRow="1" w:lastRow="0" w:firstColumn="1" w:lastColumn="0" w:noHBand="0" w:noVBand="1"/>
      </w:tblPr>
      <w:tblGrid>
        <w:gridCol w:w="3515"/>
        <w:gridCol w:w="2098"/>
        <w:gridCol w:w="3596"/>
      </w:tblGrid>
      <w:tr w:rsidR="00D210F0" w:rsidRPr="00092ED7" w14:paraId="0010F155" w14:textId="77777777" w:rsidTr="00AE4362">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25824126"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Ризик</w:t>
            </w:r>
          </w:p>
        </w:tc>
        <w:tc>
          <w:tcPr>
            <w:tcW w:w="2098" w:type="dxa"/>
          </w:tcPr>
          <w:p w14:paraId="110A249A"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Вероватноћа за остваривање ризика</w:t>
            </w:r>
          </w:p>
        </w:tc>
        <w:tc>
          <w:tcPr>
            <w:tcW w:w="3596" w:type="dxa"/>
          </w:tcPr>
          <w:p w14:paraId="4D2ADA99"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3C3AB07B" w14:textId="77777777" w:rsidTr="00616441">
        <w:trPr>
          <w:jc w:val="center"/>
        </w:trPr>
        <w:tc>
          <w:tcPr>
            <w:tcW w:w="3515" w:type="dxa"/>
            <w:vAlign w:val="top"/>
          </w:tcPr>
          <w:p w14:paraId="250703E0" w14:textId="77777777" w:rsidR="00D210F0" w:rsidRPr="00092ED7" w:rsidRDefault="00D210F0" w:rsidP="00616441">
            <w:pPr>
              <w:spacing w:before="0" w:after="0"/>
              <w:ind w:left="113" w:right="113"/>
              <w:rPr>
                <w:sz w:val="20"/>
                <w:lang w:val="sr-Cyrl-CS"/>
              </w:rPr>
            </w:pPr>
            <w:r w:rsidRPr="00092ED7">
              <w:rPr>
                <w:rFonts w:cs="Times New Roman"/>
                <w:sz w:val="20"/>
                <w:lang w:val="sr-Cyrl-CS"/>
              </w:rPr>
              <w:t>Необезбеђена средства за финансирање пројекта</w:t>
            </w:r>
          </w:p>
        </w:tc>
        <w:tc>
          <w:tcPr>
            <w:tcW w:w="2098" w:type="dxa"/>
            <w:vAlign w:val="top"/>
          </w:tcPr>
          <w:p w14:paraId="192C727C" w14:textId="77777777" w:rsidR="00D210F0" w:rsidRPr="00092ED7" w:rsidRDefault="00D210F0" w:rsidP="00616441">
            <w:pPr>
              <w:spacing w:before="0" w:after="0"/>
              <w:ind w:left="113" w:right="113"/>
              <w:jc w:val="center"/>
              <w:rPr>
                <w:sz w:val="20"/>
                <w:lang w:val="sr-Cyrl-CS"/>
              </w:rPr>
            </w:pPr>
            <w:r w:rsidRPr="00092ED7">
              <w:rPr>
                <w:rFonts w:cs="Times New Roman"/>
                <w:sz w:val="20"/>
                <w:lang w:val="sr-Cyrl-CS"/>
              </w:rPr>
              <w:t>Ниска</w:t>
            </w:r>
          </w:p>
        </w:tc>
        <w:tc>
          <w:tcPr>
            <w:tcW w:w="3596" w:type="dxa"/>
            <w:vAlign w:val="top"/>
          </w:tcPr>
          <w:p w14:paraId="5930B272" w14:textId="77777777" w:rsidR="00D210F0" w:rsidRPr="00092ED7" w:rsidRDefault="00D210F0" w:rsidP="00616441">
            <w:pPr>
              <w:spacing w:before="0" w:after="0"/>
              <w:ind w:left="113" w:right="113"/>
              <w:rPr>
                <w:sz w:val="20"/>
                <w:lang w:val="sr-Cyrl-CS"/>
              </w:rPr>
            </w:pPr>
            <w:r w:rsidRPr="00092ED7">
              <w:rPr>
                <w:rFonts w:cs="Times New Roman"/>
                <w:sz w:val="20"/>
                <w:lang w:val="sr-Cyrl-CS"/>
              </w:rPr>
              <w:t>Праворевемено планирање и обезбеђивање финансијских средстава из буџета Републике Србије</w:t>
            </w:r>
            <w:r w:rsidR="00D47BD8" w:rsidRPr="00092ED7">
              <w:rPr>
                <w:rFonts w:cs="Times New Roman"/>
                <w:sz w:val="20"/>
                <w:lang w:val="sr-Cyrl-CS"/>
              </w:rPr>
              <w:t>.</w:t>
            </w:r>
          </w:p>
        </w:tc>
      </w:tr>
      <w:tr w:rsidR="00D210F0" w:rsidRPr="00092ED7" w14:paraId="47396027" w14:textId="77777777" w:rsidTr="00616441">
        <w:trPr>
          <w:jc w:val="center"/>
        </w:trPr>
        <w:tc>
          <w:tcPr>
            <w:tcW w:w="3515" w:type="dxa"/>
            <w:vAlign w:val="top"/>
          </w:tcPr>
          <w:p w14:paraId="32913C32" w14:textId="77777777" w:rsidR="00D210F0" w:rsidRPr="00092ED7" w:rsidRDefault="00D210F0" w:rsidP="00616441">
            <w:pPr>
              <w:spacing w:before="0" w:after="0"/>
              <w:ind w:left="113" w:right="113"/>
              <w:rPr>
                <w:sz w:val="20"/>
                <w:lang w:val="sr-Cyrl-CS"/>
              </w:rPr>
            </w:pPr>
            <w:r w:rsidRPr="00092ED7">
              <w:rPr>
                <w:rFonts w:cs="Times New Roman"/>
                <w:sz w:val="20"/>
                <w:lang w:val="sr-Cyrl-CS"/>
              </w:rPr>
              <w:t>Решавање имовинско правних питања</w:t>
            </w:r>
          </w:p>
        </w:tc>
        <w:tc>
          <w:tcPr>
            <w:tcW w:w="2098" w:type="dxa"/>
            <w:vAlign w:val="top"/>
          </w:tcPr>
          <w:p w14:paraId="08BF1805" w14:textId="77777777" w:rsidR="00D210F0" w:rsidRPr="00092ED7" w:rsidRDefault="00D210F0" w:rsidP="00616441">
            <w:pPr>
              <w:spacing w:before="0" w:after="0"/>
              <w:ind w:left="113" w:right="113"/>
              <w:jc w:val="center"/>
              <w:rPr>
                <w:sz w:val="20"/>
                <w:lang w:val="sr-Cyrl-CS"/>
              </w:rPr>
            </w:pPr>
            <w:r w:rsidRPr="00092ED7">
              <w:rPr>
                <w:rFonts w:cs="Times New Roman"/>
                <w:sz w:val="20"/>
                <w:lang w:val="sr-Cyrl-CS"/>
              </w:rPr>
              <w:t>Средња</w:t>
            </w:r>
          </w:p>
        </w:tc>
        <w:tc>
          <w:tcPr>
            <w:tcW w:w="3596" w:type="dxa"/>
            <w:vAlign w:val="top"/>
          </w:tcPr>
          <w:p w14:paraId="260920BB" w14:textId="77777777" w:rsidR="00D210F0" w:rsidRPr="00092ED7" w:rsidRDefault="00D210F0" w:rsidP="00616441">
            <w:pPr>
              <w:spacing w:before="0" w:after="0"/>
              <w:ind w:left="113" w:right="113"/>
              <w:rPr>
                <w:sz w:val="20"/>
                <w:lang w:val="sr-Cyrl-CS"/>
              </w:rPr>
            </w:pPr>
            <w:r w:rsidRPr="00092ED7">
              <w:rPr>
                <w:rFonts w:cs="Times New Roman"/>
                <w:sz w:val="20"/>
                <w:lang w:val="sr-Cyrl-CS"/>
              </w:rPr>
              <w:t>Правовремена комуникација са локалним заједницама</w:t>
            </w:r>
            <w:r w:rsidR="00D47BD8" w:rsidRPr="00092ED7">
              <w:rPr>
                <w:rFonts w:cs="Times New Roman"/>
                <w:sz w:val="20"/>
                <w:lang w:val="sr-Cyrl-CS"/>
              </w:rPr>
              <w:t>.</w:t>
            </w:r>
          </w:p>
        </w:tc>
      </w:tr>
      <w:tr w:rsidR="00D210F0" w:rsidRPr="00092ED7" w14:paraId="3BB4C6AF" w14:textId="77777777" w:rsidTr="00616441">
        <w:trPr>
          <w:jc w:val="center"/>
        </w:trPr>
        <w:tc>
          <w:tcPr>
            <w:tcW w:w="3515" w:type="dxa"/>
            <w:vAlign w:val="top"/>
          </w:tcPr>
          <w:p w14:paraId="7F2A972C" w14:textId="36CFAA53" w:rsidR="00D210F0" w:rsidRPr="00092ED7" w:rsidRDefault="00D210F0" w:rsidP="00B94430">
            <w:pPr>
              <w:spacing w:before="0" w:after="0"/>
              <w:ind w:left="113" w:right="113"/>
              <w:rPr>
                <w:sz w:val="20"/>
                <w:lang w:val="sr-Cyrl-CS"/>
              </w:rPr>
            </w:pPr>
            <w:r w:rsidRPr="00092ED7">
              <w:rPr>
                <w:rFonts w:cs="Times New Roman"/>
                <w:sz w:val="20"/>
                <w:lang w:val="sr-Cyrl-CS"/>
              </w:rPr>
              <w:t xml:space="preserve">Промена цена и рокова испоруке материјала и услуга на тржишу услед пандемије </w:t>
            </w:r>
            <w:r w:rsidR="00B94430" w:rsidRPr="00092ED7">
              <w:rPr>
                <w:rFonts w:cs="Times New Roman"/>
                <w:bCs/>
                <w:iCs/>
                <w:sz w:val="20"/>
                <w:lang w:val="sr-Cyrl-CS"/>
              </w:rPr>
              <w:t>COVID</w:t>
            </w:r>
            <w:r w:rsidRPr="00092ED7">
              <w:rPr>
                <w:rFonts w:cs="Times New Roman"/>
                <w:sz w:val="20"/>
                <w:lang w:val="sr-Cyrl-CS"/>
              </w:rPr>
              <w:t xml:space="preserve">-19 и </w:t>
            </w:r>
            <w:r w:rsidR="00CF7989" w:rsidRPr="00092ED7">
              <w:rPr>
                <w:rFonts w:cs="Times New Roman"/>
                <w:sz w:val="20"/>
                <w:lang w:val="sr-Cyrl-CS"/>
              </w:rPr>
              <w:t xml:space="preserve">конфликта </w:t>
            </w:r>
            <w:r w:rsidRPr="00092ED7">
              <w:rPr>
                <w:rFonts w:cs="Times New Roman"/>
                <w:sz w:val="20"/>
                <w:lang w:val="sr-Cyrl-CS"/>
              </w:rPr>
              <w:t>у Украјини</w:t>
            </w:r>
          </w:p>
        </w:tc>
        <w:tc>
          <w:tcPr>
            <w:tcW w:w="2098" w:type="dxa"/>
            <w:vAlign w:val="top"/>
          </w:tcPr>
          <w:p w14:paraId="1FF67F7A" w14:textId="77777777" w:rsidR="00D210F0" w:rsidRPr="00092ED7" w:rsidRDefault="00D210F0" w:rsidP="00616441">
            <w:pPr>
              <w:spacing w:before="0" w:after="0"/>
              <w:ind w:left="113" w:right="113"/>
              <w:jc w:val="center"/>
              <w:rPr>
                <w:sz w:val="20"/>
                <w:lang w:val="sr-Cyrl-CS"/>
              </w:rPr>
            </w:pPr>
            <w:r w:rsidRPr="00092ED7">
              <w:rPr>
                <w:rFonts w:cs="Times New Roman"/>
                <w:sz w:val="20"/>
                <w:lang w:val="sr-Cyrl-CS"/>
              </w:rPr>
              <w:t>Висок</w:t>
            </w:r>
          </w:p>
        </w:tc>
        <w:tc>
          <w:tcPr>
            <w:tcW w:w="3596" w:type="dxa"/>
            <w:vAlign w:val="top"/>
          </w:tcPr>
          <w:p w14:paraId="4E8534F9" w14:textId="77777777" w:rsidR="00D210F0" w:rsidRPr="00092ED7" w:rsidRDefault="00D210F0" w:rsidP="00616441">
            <w:pPr>
              <w:spacing w:before="0" w:after="0"/>
              <w:ind w:left="113" w:right="113"/>
              <w:rPr>
                <w:rFonts w:cs="Times New Roman"/>
                <w:sz w:val="20"/>
                <w:lang w:val="sr-Cyrl-CS"/>
              </w:rPr>
            </w:pPr>
            <w:r w:rsidRPr="00092ED7">
              <w:rPr>
                <w:rFonts w:cs="Times New Roman"/>
                <w:sz w:val="20"/>
                <w:lang w:val="sr-Cyrl-CS"/>
              </w:rPr>
              <w:t>Редовно праћење цена и стања на тржишту.</w:t>
            </w:r>
          </w:p>
          <w:p w14:paraId="674E2380" w14:textId="77777777" w:rsidR="00D210F0" w:rsidRPr="00092ED7" w:rsidRDefault="00D210F0" w:rsidP="00616441">
            <w:pPr>
              <w:spacing w:before="0" w:after="0"/>
              <w:ind w:left="113" w:right="113"/>
              <w:rPr>
                <w:sz w:val="20"/>
                <w:lang w:val="sr-Cyrl-CS"/>
              </w:rPr>
            </w:pPr>
            <w:r w:rsidRPr="00092ED7">
              <w:rPr>
                <w:rFonts w:cs="Times New Roman"/>
                <w:sz w:val="20"/>
                <w:lang w:val="sr-Cyrl-CS"/>
              </w:rPr>
              <w:t>Благовремено реаговање на промене кроз управљање пројектом.</w:t>
            </w:r>
          </w:p>
        </w:tc>
      </w:tr>
    </w:tbl>
    <w:p w14:paraId="2136F19B" w14:textId="77777777" w:rsidR="00D210F0" w:rsidRPr="00092ED7" w:rsidRDefault="00D210F0" w:rsidP="00D210F0">
      <w:pPr>
        <w:spacing w:before="240"/>
        <w:rPr>
          <w:rFonts w:eastAsia="Calibri" w:cs="Times New Roman"/>
          <w:szCs w:val="24"/>
          <w:lang w:val="sr-Cyrl-CS"/>
        </w:rPr>
      </w:pPr>
      <w:r w:rsidRPr="00092ED7">
        <w:rPr>
          <w:rFonts w:eastAsia="Calibri" w:cs="Times New Roman"/>
          <w:b/>
          <w:szCs w:val="24"/>
          <w:u w:val="single"/>
          <w:lang w:val="sr-Cyrl-CS"/>
        </w:rPr>
        <w:t>СТРУКТУРНА РЕФОРМА 10</w:t>
      </w:r>
      <w:r w:rsidRPr="00092ED7">
        <w:rPr>
          <w:rFonts w:eastAsia="Calibri" w:cs="Times New Roman"/>
          <w:b/>
          <w:szCs w:val="24"/>
          <w:lang w:val="sr-Cyrl-CS"/>
        </w:rPr>
        <w:t xml:space="preserve">: </w:t>
      </w:r>
      <w:r w:rsidRPr="00092ED7">
        <w:rPr>
          <w:rFonts w:eastAsia="Calibri" w:cs="Times New Roman"/>
          <w:szCs w:val="24"/>
          <w:lang w:val="sr-Cyrl-CS"/>
        </w:rPr>
        <w:t>РАЗВОЈ ЕНЕРГЕТСКОГ ТРЖИШТА УЗ ИЗГРАДЊУ ЕНЕРГЕТСКЕ ИНФРАСТРУКТУРЕ</w:t>
      </w:r>
    </w:p>
    <w:p w14:paraId="53DF8C77" w14:textId="77777777" w:rsidR="00D210F0" w:rsidRPr="00092ED7" w:rsidRDefault="00D210F0" w:rsidP="00071952">
      <w:pPr>
        <w:pStyle w:val="ListParagraph"/>
        <w:widowControl w:val="0"/>
        <w:numPr>
          <w:ilvl w:val="0"/>
          <w:numId w:val="27"/>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421CA42C" w14:textId="6309297B" w:rsidR="00D210F0" w:rsidRPr="00092ED7" w:rsidRDefault="00D210F0"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Пројекат </w:t>
      </w:r>
      <w:r w:rsidR="00910F2A" w:rsidRPr="00092ED7">
        <w:rPr>
          <w:rFonts w:eastAsia="Calibri" w:cs="Times New Roman"/>
          <w:szCs w:val="24"/>
          <w:lang w:val="sr-Cyrl-CS" w:eastAsia="sr-Cyrl-CS" w:bidi="sr-Cyrl-CS"/>
        </w:rPr>
        <w:t>Т</w:t>
      </w:r>
      <w:r w:rsidRPr="00092ED7">
        <w:rPr>
          <w:rFonts w:eastAsia="Calibri" w:cs="Times New Roman"/>
          <w:szCs w:val="24"/>
          <w:lang w:val="sr-Cyrl-CS" w:eastAsia="sr-Cyrl-CS" w:bidi="sr-Cyrl-CS"/>
        </w:rPr>
        <w:t>рансбалкански коридор (I фаза) се састоји од четири секције и као циљ има повећање преносног капацитета мреже Западне Србије, повећање сигурности и поузданости напајања електричном енергијом потрошача у Републици Србији, као и изградњу нових интерконективних далековода (на границама са Румунијом, Б</w:t>
      </w:r>
      <w:r w:rsidR="00021DC9" w:rsidRPr="00092ED7">
        <w:rPr>
          <w:rFonts w:eastAsia="Calibri" w:cs="Times New Roman"/>
          <w:szCs w:val="24"/>
          <w:lang w:val="sr-Cyrl-CS" w:eastAsia="sr-Cyrl-CS" w:bidi="sr-Cyrl-CS"/>
        </w:rPr>
        <w:t>осн</w:t>
      </w:r>
      <w:r w:rsidR="00111A31" w:rsidRPr="00092ED7">
        <w:rPr>
          <w:rFonts w:eastAsia="Calibri" w:cs="Times New Roman"/>
          <w:szCs w:val="24"/>
          <w:lang w:val="sr-Cyrl-CS" w:eastAsia="sr-Cyrl-CS" w:bidi="sr-Cyrl-CS"/>
        </w:rPr>
        <w:t>ом</w:t>
      </w:r>
      <w:r w:rsidR="00021DC9" w:rsidRPr="00092ED7">
        <w:rPr>
          <w:rFonts w:eastAsia="Calibri" w:cs="Times New Roman"/>
          <w:szCs w:val="24"/>
          <w:lang w:val="sr-Cyrl-CS" w:eastAsia="sr-Cyrl-CS" w:bidi="sr-Cyrl-CS"/>
        </w:rPr>
        <w:t xml:space="preserve"> и Херцеговин</w:t>
      </w:r>
      <w:r w:rsidR="00111A31" w:rsidRPr="00092ED7">
        <w:rPr>
          <w:rFonts w:eastAsia="Calibri" w:cs="Times New Roman"/>
          <w:szCs w:val="24"/>
          <w:lang w:val="sr-Cyrl-CS" w:eastAsia="sr-Cyrl-CS" w:bidi="sr-Cyrl-CS"/>
        </w:rPr>
        <w:t>ом</w:t>
      </w:r>
      <w:r w:rsidRPr="00092ED7">
        <w:rPr>
          <w:rFonts w:eastAsia="Calibri" w:cs="Times New Roman"/>
          <w:szCs w:val="24"/>
          <w:lang w:val="sr-Cyrl-CS" w:eastAsia="sr-Cyrl-CS" w:bidi="sr-Cyrl-CS"/>
        </w:rPr>
        <w:t xml:space="preserve"> и Црном Гором). Прва секција (двосистемски далековод 400 kV Панчево – граница са Румунијом) је већ изграђена и пуш</w:t>
      </w:r>
      <w:r w:rsidR="00FC5953" w:rsidRPr="00092ED7">
        <w:rPr>
          <w:rFonts w:eastAsia="Calibri" w:cs="Times New Roman"/>
          <w:szCs w:val="24"/>
          <w:lang w:val="sr-Cyrl-CS" w:eastAsia="sr-Cyrl-CS" w:bidi="sr-Cyrl-CS"/>
        </w:rPr>
        <w:t>т</w:t>
      </w:r>
      <w:r w:rsidRPr="00092ED7">
        <w:rPr>
          <w:rFonts w:eastAsia="Calibri" w:cs="Times New Roman"/>
          <w:szCs w:val="24"/>
          <w:lang w:val="sr-Cyrl-CS" w:eastAsia="sr-Cyrl-CS" w:bidi="sr-Cyrl-CS"/>
        </w:rPr>
        <w:t xml:space="preserve">ена у погон са стране </w:t>
      </w:r>
      <w:r w:rsidR="00111A31" w:rsidRPr="00092ED7">
        <w:rPr>
          <w:rFonts w:eastAsia="Calibri" w:cs="Times New Roman"/>
          <w:szCs w:val="24"/>
          <w:lang w:val="sr-Cyrl-CS" w:eastAsia="sr-Cyrl-CS" w:bidi="sr-Cyrl-CS"/>
        </w:rPr>
        <w:t xml:space="preserve">Републике </w:t>
      </w:r>
      <w:r w:rsidRPr="00092ED7">
        <w:rPr>
          <w:rFonts w:eastAsia="Calibri" w:cs="Times New Roman"/>
          <w:szCs w:val="24"/>
          <w:lang w:val="sr-Cyrl-CS" w:eastAsia="sr-Cyrl-CS" w:bidi="sr-Cyrl-CS"/>
        </w:rPr>
        <w:t xml:space="preserve">Србије крајем 2017. године. Друга секција коју чине далековод 400 kV ТС Крагујевац 2 – ТС Краљево 3 са подизањем напонског нивоа у ТС Краљево 3 на 400 kV, је изграђена у јуну 2022. године. </w:t>
      </w:r>
    </w:p>
    <w:p w14:paraId="5FD2F7E3" w14:textId="71893084" w:rsidR="00D210F0" w:rsidRPr="00092ED7" w:rsidRDefault="00D210F0"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Секцију III чини двоструки вод 400 kV ТС Бајина Башта – ТС Обреновац и пројекат доградње ТС Бајина Башта на 400 kV напонском нивоу. Исходоване су све потребне грађевинске дозволе. У току је решавање имовинско</w:t>
      </w:r>
      <w:r w:rsidR="006D400E" w:rsidRPr="00092ED7">
        <w:rPr>
          <w:rFonts w:eastAsia="Calibri" w:cs="Times New Roman"/>
          <w:szCs w:val="24"/>
          <w:lang w:val="sr-Cyrl-CS" w:eastAsia="sr-Cyrl-CS" w:bidi="sr-Cyrl-CS"/>
        </w:rPr>
        <w:t>-</w:t>
      </w:r>
      <w:r w:rsidRPr="00092ED7">
        <w:rPr>
          <w:rFonts w:eastAsia="Calibri" w:cs="Times New Roman"/>
          <w:szCs w:val="24"/>
          <w:lang w:val="sr-Cyrl-CS" w:eastAsia="sr-Cyrl-CS" w:bidi="sr-Cyrl-CS"/>
        </w:rPr>
        <w:t xml:space="preserve">правних питања. Почетак градње је предвиђен у другом кварталу 2024. године, док је завршетак предвиђен 2026. године. </w:t>
      </w:r>
    </w:p>
    <w:p w14:paraId="3B7C9961" w14:textId="37173A2E" w:rsidR="00D210F0" w:rsidRPr="00092ED7" w:rsidRDefault="00D210F0"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Секцију IV чини двосистемски 400 kV далековод ТС Бајина Башта - граница Црне Горе - граница Б</w:t>
      </w:r>
      <w:r w:rsidR="00111A31" w:rsidRPr="00092ED7">
        <w:rPr>
          <w:rFonts w:eastAsia="Calibri" w:cs="Times New Roman"/>
          <w:szCs w:val="24"/>
          <w:lang w:val="sr-Cyrl-CS" w:eastAsia="sr-Cyrl-CS" w:bidi="sr-Cyrl-CS"/>
        </w:rPr>
        <w:t>осне и Херцеговине</w:t>
      </w:r>
      <w:r w:rsidRPr="00092ED7">
        <w:rPr>
          <w:rFonts w:eastAsia="Calibri" w:cs="Times New Roman"/>
          <w:szCs w:val="24"/>
          <w:lang w:val="sr-Cyrl-CS" w:eastAsia="sr-Cyrl-CS" w:bidi="sr-Cyrl-CS"/>
        </w:rPr>
        <w:t xml:space="preserve">. За ову секцију је </w:t>
      </w:r>
      <w:r w:rsidR="00BB279D" w:rsidRPr="00092ED7">
        <w:rPr>
          <w:rFonts w:eastAsia="Calibri" w:cs="Times New Roman"/>
          <w:szCs w:val="24"/>
          <w:lang w:val="sr-Cyrl-CS" w:eastAsia="sr-Cyrl-CS" w:bidi="sr-Cyrl-CS"/>
        </w:rPr>
        <w:t>у октобру 2022. године исходонована грађевинска дозвола</w:t>
      </w:r>
      <w:r w:rsidRPr="00092ED7">
        <w:rPr>
          <w:rFonts w:eastAsia="Calibri" w:cs="Times New Roman"/>
          <w:szCs w:val="24"/>
          <w:lang w:val="sr-Cyrl-CS" w:eastAsia="sr-Cyrl-CS" w:bidi="sr-Cyrl-CS"/>
        </w:rPr>
        <w:t xml:space="preserve">. Почетак градње је предвиђен у другом кварталу 2025. године, док је завршетак предвиђен </w:t>
      </w:r>
      <w:r w:rsidR="00BB279D" w:rsidRPr="00092ED7">
        <w:rPr>
          <w:rFonts w:eastAsia="Calibri" w:cs="Times New Roman"/>
          <w:szCs w:val="24"/>
          <w:lang w:val="sr-Cyrl-CS" w:eastAsia="sr-Cyrl-CS" w:bidi="sr-Cyrl-CS"/>
        </w:rPr>
        <w:t>2027</w:t>
      </w:r>
      <w:r w:rsidRPr="00092ED7">
        <w:rPr>
          <w:rFonts w:eastAsia="Calibri" w:cs="Times New Roman"/>
          <w:szCs w:val="24"/>
          <w:lang w:val="sr-Cyrl-CS" w:eastAsia="sr-Cyrl-CS" w:bidi="sr-Cyrl-CS"/>
        </w:rPr>
        <w:t>. године.</w:t>
      </w:r>
    </w:p>
    <w:p w14:paraId="3614F6E1" w14:textId="77777777" w:rsidR="00D210F0" w:rsidRPr="00092ED7" w:rsidRDefault="00D210F0" w:rsidP="00071952">
      <w:pPr>
        <w:widowControl w:val="0"/>
        <w:numPr>
          <w:ilvl w:val="0"/>
          <w:numId w:val="27"/>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9074" w:type="dxa"/>
        <w:tblLayout w:type="fixed"/>
        <w:tblCellMar>
          <w:left w:w="0" w:type="dxa"/>
          <w:right w:w="0" w:type="dxa"/>
        </w:tblCellMar>
        <w:tblLook w:val="04A0" w:firstRow="1" w:lastRow="0" w:firstColumn="1" w:lastColumn="0" w:noHBand="0" w:noVBand="1"/>
      </w:tblPr>
      <w:tblGrid>
        <w:gridCol w:w="425"/>
        <w:gridCol w:w="4243"/>
        <w:gridCol w:w="307"/>
        <w:gridCol w:w="373"/>
        <w:gridCol w:w="372"/>
        <w:gridCol w:w="373"/>
        <w:gridCol w:w="372"/>
        <w:gridCol w:w="373"/>
        <w:gridCol w:w="373"/>
        <w:gridCol w:w="372"/>
        <w:gridCol w:w="373"/>
        <w:gridCol w:w="372"/>
        <w:gridCol w:w="373"/>
        <w:gridCol w:w="373"/>
      </w:tblGrid>
      <w:tr w:rsidR="00D210F0" w:rsidRPr="00092ED7" w14:paraId="1E8A5F9A" w14:textId="77777777" w:rsidTr="00B640AF">
        <w:trPr>
          <w:trHeight w:val="315"/>
        </w:trPr>
        <w:tc>
          <w:tcPr>
            <w:tcW w:w="425" w:type="dxa"/>
            <w:vMerge w:val="restart"/>
            <w:tcBorders>
              <w:top w:val="single" w:sz="4" w:space="0" w:color="auto"/>
              <w:left w:val="single" w:sz="4" w:space="0" w:color="auto"/>
              <w:bottom w:val="single" w:sz="4" w:space="0" w:color="auto"/>
              <w:right w:val="single" w:sz="4" w:space="0" w:color="auto"/>
            </w:tcBorders>
            <w:shd w:val="clear" w:color="000000" w:fill="BDD6EE"/>
            <w:tcMar>
              <w:top w:w="15" w:type="dxa"/>
              <w:left w:w="15" w:type="dxa"/>
              <w:bottom w:w="0" w:type="dxa"/>
              <w:right w:w="15" w:type="dxa"/>
            </w:tcMar>
            <w:vAlign w:val="center"/>
            <w:hideMark/>
          </w:tcPr>
          <w:p w14:paraId="5D4FEB01" w14:textId="77777777" w:rsidR="00D210F0" w:rsidRPr="00092ED7" w:rsidRDefault="00D210F0" w:rsidP="00E44EF2">
            <w:pPr>
              <w:spacing w:after="0"/>
              <w:jc w:val="center"/>
              <w:rPr>
                <w:rFonts w:cs="Times New Roman"/>
                <w:sz w:val="20"/>
                <w:szCs w:val="20"/>
                <w:lang w:val="sr-Cyrl-CS"/>
              </w:rPr>
            </w:pPr>
            <w:r w:rsidRPr="00092ED7">
              <w:rPr>
                <w:rFonts w:cs="Times New Roman"/>
                <w:b/>
                <w:bCs/>
                <w:color w:val="000000"/>
                <w:sz w:val="20"/>
                <w:szCs w:val="20"/>
                <w:lang w:val="sr-Cyrl-CS"/>
              </w:rPr>
              <w:t>РБ</w:t>
            </w:r>
          </w:p>
        </w:tc>
        <w:tc>
          <w:tcPr>
            <w:tcW w:w="4243"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DF77A53" w14:textId="77777777" w:rsidR="00D210F0" w:rsidRPr="00092ED7" w:rsidRDefault="00D210F0" w:rsidP="00E44EF2">
            <w:pPr>
              <w:spacing w:after="0"/>
              <w:jc w:val="left"/>
              <w:rPr>
                <w:rFonts w:cs="Times New Roman"/>
                <w:sz w:val="20"/>
                <w:szCs w:val="20"/>
                <w:lang w:val="sr-Cyrl-CS"/>
              </w:rPr>
            </w:pPr>
            <w:r w:rsidRPr="00092ED7">
              <w:rPr>
                <w:rFonts w:cs="Times New Roman"/>
                <w:b/>
                <w:bCs/>
                <w:color w:val="000000"/>
                <w:sz w:val="20"/>
                <w:szCs w:val="20"/>
                <w:lang w:val="sr-Cyrl-CS"/>
              </w:rPr>
              <w:t>Планиране активности</w:t>
            </w:r>
          </w:p>
        </w:tc>
        <w:tc>
          <w:tcPr>
            <w:tcW w:w="1425" w:type="dxa"/>
            <w:gridSpan w:val="4"/>
            <w:tcBorders>
              <w:top w:val="single" w:sz="8" w:space="0" w:color="auto"/>
              <w:left w:val="single" w:sz="4"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A1CB0BE"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39B56D1F"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00282119"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2397B2C8" w14:textId="77777777" w:rsidTr="00B640AF">
        <w:trPr>
          <w:trHeight w:val="315"/>
        </w:trPr>
        <w:tc>
          <w:tcPr>
            <w:tcW w:w="425" w:type="dxa"/>
            <w:vMerge/>
            <w:tcBorders>
              <w:top w:val="single" w:sz="4" w:space="0" w:color="auto"/>
              <w:left w:val="single" w:sz="4" w:space="0" w:color="auto"/>
              <w:bottom w:val="single" w:sz="4" w:space="0" w:color="auto"/>
              <w:right w:val="single" w:sz="4" w:space="0" w:color="auto"/>
            </w:tcBorders>
            <w:shd w:val="clear" w:color="000000" w:fill="BDD6EE"/>
            <w:vAlign w:val="center"/>
            <w:hideMark/>
          </w:tcPr>
          <w:p w14:paraId="3D824E2B" w14:textId="77777777" w:rsidR="00D210F0" w:rsidRPr="00092ED7" w:rsidRDefault="00D210F0" w:rsidP="00E44EF2">
            <w:pPr>
              <w:spacing w:after="0"/>
              <w:jc w:val="center"/>
              <w:rPr>
                <w:rFonts w:cs="Times New Roman"/>
                <w:b/>
                <w:bCs/>
                <w:color w:val="000000"/>
                <w:sz w:val="20"/>
                <w:szCs w:val="20"/>
                <w:lang w:val="sr-Cyrl-CS"/>
              </w:rPr>
            </w:pPr>
          </w:p>
        </w:tc>
        <w:tc>
          <w:tcPr>
            <w:tcW w:w="4243"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FDAAD3" w14:textId="77777777" w:rsidR="00D210F0" w:rsidRPr="00092ED7" w:rsidRDefault="00D210F0" w:rsidP="00E44EF2">
            <w:pPr>
              <w:spacing w:after="0"/>
              <w:rPr>
                <w:rFonts w:cs="Times New Roman"/>
                <w:b/>
                <w:bCs/>
                <w:color w:val="000000"/>
                <w:sz w:val="20"/>
                <w:szCs w:val="20"/>
                <w:lang w:val="sr-Cyrl-CS"/>
              </w:rPr>
            </w:pPr>
          </w:p>
        </w:tc>
        <w:tc>
          <w:tcPr>
            <w:tcW w:w="307"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08F4D61"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49824DC"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BCABC41"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BA4CEAA"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C98FEB4"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46FFE4B"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77B5C99"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29C3781"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E0A30D3"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7FFC3C8"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A067AD0"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5A26F60"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63B8F572" w14:textId="77777777" w:rsidTr="00B640AF">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0DB274A2" w14:textId="77777777" w:rsidR="00D210F0" w:rsidRPr="00092ED7" w:rsidRDefault="00D210F0" w:rsidP="00D42D84">
            <w:pPr>
              <w:spacing w:after="0"/>
              <w:jc w:val="center"/>
              <w:rPr>
                <w:rFonts w:cs="Times New Roman"/>
                <w:bCs/>
                <w:sz w:val="20"/>
                <w:szCs w:val="20"/>
                <w:lang w:val="sr-Cyrl-CS"/>
              </w:rPr>
            </w:pPr>
            <w:r w:rsidRPr="00092ED7">
              <w:rPr>
                <w:rFonts w:cs="Times New Roman"/>
                <w:bCs/>
                <w:sz w:val="20"/>
                <w:szCs w:val="20"/>
                <w:lang w:val="sr-Cyrl-CS"/>
              </w:rPr>
              <w:t>1.</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12311364" w14:textId="77777777" w:rsidR="00D210F0" w:rsidRPr="00092ED7" w:rsidRDefault="00D210F0" w:rsidP="00E44EF2">
            <w:pPr>
              <w:spacing w:after="0"/>
              <w:ind w:right="162"/>
              <w:rPr>
                <w:rFonts w:cs="Times New Roman"/>
                <w:sz w:val="20"/>
                <w:szCs w:val="20"/>
                <w:lang w:val="sr-Cyrl-CS"/>
              </w:rPr>
            </w:pPr>
            <w:r w:rsidRPr="00092ED7">
              <w:rPr>
                <w:rFonts w:cs="Times New Roman"/>
                <w:bCs/>
                <w:sz w:val="20"/>
                <w:szCs w:val="20"/>
                <w:lang w:val="sr-Cyrl-CS"/>
              </w:rPr>
              <w:t xml:space="preserve">Израда тендерске документације са техничким спецификацијама за фазу претквалификације и коначну фазу избора извођача радова </w:t>
            </w:r>
            <w:r w:rsidRPr="00092ED7">
              <w:rPr>
                <w:rFonts w:cs="Times New Roman"/>
                <w:sz w:val="20"/>
                <w:szCs w:val="20"/>
                <w:lang w:val="sr-Cyrl-CS"/>
              </w:rPr>
              <w:t xml:space="preserve">(секција </w:t>
            </w:r>
            <w:r w:rsidR="00D42D84" w:rsidRPr="00092ED7">
              <w:rPr>
                <w:rFonts w:cs="Times New Roman"/>
                <w:sz w:val="20"/>
                <w:szCs w:val="20"/>
                <w:lang w:val="sr-Cyrl-CS"/>
              </w:rPr>
              <w:t>III</w:t>
            </w:r>
            <w:r w:rsidRPr="00092ED7">
              <w:rPr>
                <w:rFonts w:cs="Times New Roman"/>
                <w:sz w:val="20"/>
                <w:szCs w:val="20"/>
                <w:lang w:val="sr-Cyrl-CS"/>
              </w:rPr>
              <w:t>)</w:t>
            </w:r>
          </w:p>
        </w:tc>
        <w:tc>
          <w:tcPr>
            <w:tcW w:w="307"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FC1A111"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24CFCCA"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E8AB5B7"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A69E946"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C26FA52"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E5DF819"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603CEE4"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6B24EBAC"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2722671"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0396163"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45A16D7"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6F2B1B08" w14:textId="77777777" w:rsidR="00D210F0" w:rsidRPr="00092ED7" w:rsidRDefault="00D210F0" w:rsidP="00E44EF2">
            <w:pPr>
              <w:spacing w:after="0"/>
              <w:rPr>
                <w:rFonts w:cs="Times New Roman"/>
                <w:color w:val="000000"/>
                <w:sz w:val="20"/>
                <w:szCs w:val="20"/>
                <w:lang w:val="sr-Cyrl-CS"/>
              </w:rPr>
            </w:pPr>
          </w:p>
        </w:tc>
      </w:tr>
      <w:tr w:rsidR="00D210F0" w:rsidRPr="00092ED7" w14:paraId="2F99B552" w14:textId="77777777" w:rsidTr="00D42D84">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49ACF3D9" w14:textId="77777777" w:rsidR="00D210F0" w:rsidRPr="00092ED7" w:rsidRDefault="00D210F0" w:rsidP="00D42D84">
            <w:pPr>
              <w:spacing w:after="0"/>
              <w:jc w:val="center"/>
              <w:rPr>
                <w:rFonts w:cs="Times New Roman"/>
                <w:bCs/>
                <w:sz w:val="20"/>
                <w:szCs w:val="20"/>
                <w:lang w:val="sr-Cyrl-CS"/>
              </w:rPr>
            </w:pPr>
            <w:r w:rsidRPr="00092ED7">
              <w:rPr>
                <w:rFonts w:cs="Times New Roman"/>
                <w:bCs/>
                <w:sz w:val="20"/>
                <w:szCs w:val="20"/>
                <w:lang w:val="sr-Cyrl-CS"/>
              </w:rPr>
              <w:t>2.</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0B13B915" w14:textId="77777777" w:rsidR="00D210F0" w:rsidRPr="00092ED7" w:rsidRDefault="00D210F0" w:rsidP="00E44EF2">
            <w:pPr>
              <w:spacing w:after="0"/>
              <w:ind w:right="162"/>
              <w:rPr>
                <w:rFonts w:cs="Times New Roman"/>
                <w:sz w:val="20"/>
                <w:szCs w:val="20"/>
                <w:lang w:val="sr-Cyrl-CS"/>
              </w:rPr>
            </w:pPr>
            <w:r w:rsidRPr="00092ED7">
              <w:rPr>
                <w:rFonts w:cs="Times New Roman"/>
                <w:sz w:val="20"/>
                <w:szCs w:val="20"/>
                <w:lang w:val="sr-Cyrl-CS"/>
              </w:rPr>
              <w:t xml:space="preserve">Изградња (секција </w:t>
            </w:r>
            <w:r w:rsidR="00D42D84" w:rsidRPr="00092ED7">
              <w:rPr>
                <w:rFonts w:cs="Times New Roman"/>
                <w:sz w:val="20"/>
                <w:szCs w:val="20"/>
                <w:lang w:val="sr-Cyrl-CS"/>
              </w:rPr>
              <w:t>III</w:t>
            </w:r>
            <w:r w:rsidRPr="00092ED7">
              <w:rPr>
                <w:rFonts w:cs="Times New Roman"/>
                <w:sz w:val="20"/>
                <w:szCs w:val="20"/>
                <w:lang w:val="sr-Cyrl-CS"/>
              </w:rPr>
              <w:t>)</w:t>
            </w:r>
          </w:p>
        </w:tc>
        <w:tc>
          <w:tcPr>
            <w:tcW w:w="307"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0EB007AA"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222BE9B"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9F6FC7A"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340A8B0"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2945603"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FB45E1F"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58BAB79"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A3DFD1F"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72488FF"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FA8667F"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A70D108"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50FF0E7" w14:textId="77777777" w:rsidR="00D210F0" w:rsidRPr="00092ED7" w:rsidRDefault="00D210F0" w:rsidP="00E44EF2">
            <w:pPr>
              <w:spacing w:after="0"/>
              <w:rPr>
                <w:rFonts w:cs="Times New Roman"/>
                <w:color w:val="000000"/>
                <w:sz w:val="20"/>
                <w:szCs w:val="20"/>
                <w:lang w:val="sr-Cyrl-CS"/>
              </w:rPr>
            </w:pPr>
          </w:p>
        </w:tc>
      </w:tr>
      <w:tr w:rsidR="00D210F0" w:rsidRPr="00092ED7" w14:paraId="6DD20782" w14:textId="77777777" w:rsidTr="00D42D84">
        <w:trPr>
          <w:trHeight w:val="292"/>
        </w:trPr>
        <w:tc>
          <w:tcPr>
            <w:tcW w:w="425"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36CDD7BE" w14:textId="77777777" w:rsidR="00D210F0" w:rsidRPr="00092ED7" w:rsidRDefault="00D210F0" w:rsidP="00D42D84">
            <w:pPr>
              <w:spacing w:after="0"/>
              <w:jc w:val="center"/>
              <w:rPr>
                <w:rFonts w:cs="Times New Roman"/>
                <w:bCs/>
                <w:sz w:val="20"/>
                <w:szCs w:val="20"/>
                <w:lang w:val="sr-Cyrl-CS"/>
              </w:rPr>
            </w:pPr>
            <w:r w:rsidRPr="00092ED7">
              <w:rPr>
                <w:rFonts w:cs="Times New Roman"/>
                <w:bCs/>
                <w:sz w:val="20"/>
                <w:szCs w:val="20"/>
                <w:lang w:val="sr-Cyrl-CS"/>
              </w:rPr>
              <w:t>3.</w:t>
            </w:r>
          </w:p>
        </w:tc>
        <w:tc>
          <w:tcPr>
            <w:tcW w:w="4243" w:type="dxa"/>
            <w:tcBorders>
              <w:top w:val="nil"/>
              <w:left w:val="nil"/>
              <w:bottom w:val="single" w:sz="4" w:space="0" w:color="auto"/>
              <w:right w:val="nil"/>
            </w:tcBorders>
            <w:shd w:val="clear" w:color="auto" w:fill="auto"/>
            <w:tcMar>
              <w:top w:w="15" w:type="dxa"/>
              <w:left w:w="15" w:type="dxa"/>
              <w:bottom w:w="0" w:type="dxa"/>
              <w:right w:w="15" w:type="dxa"/>
            </w:tcMar>
          </w:tcPr>
          <w:p w14:paraId="11DA5C68" w14:textId="77777777" w:rsidR="00D210F0" w:rsidRPr="00092ED7" w:rsidRDefault="00D210F0" w:rsidP="00E44EF2">
            <w:pPr>
              <w:spacing w:after="0"/>
              <w:ind w:right="162"/>
              <w:rPr>
                <w:rFonts w:cs="Times New Roman"/>
                <w:sz w:val="20"/>
                <w:szCs w:val="20"/>
                <w:lang w:val="sr-Cyrl-CS"/>
              </w:rPr>
            </w:pPr>
            <w:r w:rsidRPr="00092ED7">
              <w:rPr>
                <w:rFonts w:cs="Times New Roman"/>
                <w:sz w:val="20"/>
                <w:szCs w:val="20"/>
                <w:lang w:val="sr-Cyrl-CS"/>
              </w:rPr>
              <w:t xml:space="preserve">Спровођење тендерске процедуре за избор консултанта (секција </w:t>
            </w:r>
            <w:r w:rsidR="00D42D84" w:rsidRPr="00092ED7">
              <w:rPr>
                <w:rFonts w:cs="Times New Roman"/>
                <w:sz w:val="20"/>
                <w:szCs w:val="20"/>
                <w:lang w:val="sr-Cyrl-CS"/>
              </w:rPr>
              <w:t>IV</w:t>
            </w:r>
            <w:r w:rsidRPr="00092ED7">
              <w:rPr>
                <w:rFonts w:cs="Times New Roman"/>
                <w:sz w:val="20"/>
                <w:szCs w:val="20"/>
                <w:lang w:val="sr-Cyrl-CS"/>
              </w:rPr>
              <w:t>)</w:t>
            </w:r>
          </w:p>
        </w:tc>
        <w:tc>
          <w:tcPr>
            <w:tcW w:w="307"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0117C718"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83D97DF"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DF809AC"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F97F1A6"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31E4D84"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C907D1F"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E1CE2A2"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52F288E"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D33C945"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6BD354F"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3B2D7FE"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4F14D8E7" w14:textId="77777777" w:rsidR="00D210F0" w:rsidRPr="00092ED7" w:rsidRDefault="00D210F0" w:rsidP="00E44EF2">
            <w:pPr>
              <w:spacing w:after="0"/>
              <w:rPr>
                <w:rFonts w:cs="Times New Roman"/>
                <w:color w:val="000000"/>
                <w:sz w:val="20"/>
                <w:szCs w:val="20"/>
                <w:lang w:val="sr-Cyrl-CS"/>
              </w:rPr>
            </w:pPr>
          </w:p>
        </w:tc>
      </w:tr>
      <w:tr w:rsidR="00D210F0" w:rsidRPr="00092ED7" w14:paraId="41C3375D" w14:textId="77777777" w:rsidTr="00D42D84">
        <w:trPr>
          <w:trHeight w:val="292"/>
        </w:trPr>
        <w:tc>
          <w:tcPr>
            <w:tcW w:w="425"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2D76EE27" w14:textId="77777777" w:rsidR="00D210F0" w:rsidRPr="00092ED7" w:rsidRDefault="00D210F0" w:rsidP="00D42D84">
            <w:pPr>
              <w:spacing w:after="0"/>
              <w:jc w:val="center"/>
              <w:rPr>
                <w:rFonts w:cs="Times New Roman"/>
                <w:bCs/>
                <w:sz w:val="20"/>
                <w:szCs w:val="20"/>
                <w:lang w:val="sr-Cyrl-CS"/>
              </w:rPr>
            </w:pPr>
            <w:r w:rsidRPr="00092ED7">
              <w:rPr>
                <w:rFonts w:cs="Times New Roman"/>
                <w:bCs/>
                <w:sz w:val="20"/>
                <w:szCs w:val="20"/>
                <w:lang w:val="sr-Cyrl-CS"/>
              </w:rPr>
              <w:t>4.</w:t>
            </w:r>
          </w:p>
        </w:tc>
        <w:tc>
          <w:tcPr>
            <w:tcW w:w="4243" w:type="dxa"/>
            <w:tcBorders>
              <w:top w:val="nil"/>
              <w:left w:val="nil"/>
              <w:bottom w:val="single" w:sz="4" w:space="0" w:color="auto"/>
              <w:right w:val="nil"/>
            </w:tcBorders>
            <w:shd w:val="clear" w:color="auto" w:fill="auto"/>
            <w:tcMar>
              <w:top w:w="15" w:type="dxa"/>
              <w:left w:w="15" w:type="dxa"/>
              <w:bottom w:w="0" w:type="dxa"/>
              <w:right w:w="15" w:type="dxa"/>
            </w:tcMar>
          </w:tcPr>
          <w:p w14:paraId="469B259C" w14:textId="77777777" w:rsidR="00D210F0" w:rsidRPr="00092ED7" w:rsidRDefault="00D210F0" w:rsidP="00D42D84">
            <w:pPr>
              <w:spacing w:after="0"/>
              <w:ind w:right="162"/>
              <w:rPr>
                <w:rFonts w:cs="Times New Roman"/>
                <w:sz w:val="20"/>
                <w:szCs w:val="20"/>
                <w:lang w:val="sr-Cyrl-CS"/>
              </w:rPr>
            </w:pPr>
            <w:r w:rsidRPr="00092ED7">
              <w:rPr>
                <w:rFonts w:cs="Times New Roman"/>
                <w:bCs/>
                <w:sz w:val="20"/>
                <w:szCs w:val="20"/>
                <w:lang w:val="sr-Cyrl-CS"/>
              </w:rPr>
              <w:t xml:space="preserve">Израда тендерске документације са техничким спецификацијама за фазу претквалификације и коначну фазу избора извођача радова (секција </w:t>
            </w:r>
            <w:r w:rsidR="00D42D84" w:rsidRPr="00092ED7">
              <w:rPr>
                <w:rFonts w:cs="Times New Roman"/>
                <w:bCs/>
                <w:sz w:val="20"/>
                <w:szCs w:val="20"/>
                <w:lang w:val="sr-Cyrl-CS"/>
              </w:rPr>
              <w:t>IV</w:t>
            </w:r>
            <w:r w:rsidRPr="00092ED7">
              <w:rPr>
                <w:rFonts w:cs="Times New Roman"/>
                <w:bCs/>
                <w:sz w:val="20"/>
                <w:szCs w:val="20"/>
                <w:lang w:val="sr-Cyrl-CS"/>
              </w:rPr>
              <w:t>)</w:t>
            </w:r>
          </w:p>
        </w:tc>
        <w:tc>
          <w:tcPr>
            <w:tcW w:w="307"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48FEAA89"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CE133F1"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6928D27"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0F3DDA87"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2F519D9"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FED8B80"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70D7607"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A75E426"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7BE7E83"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2085954"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557E186"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4773D51B" w14:textId="77777777" w:rsidR="00D210F0" w:rsidRPr="00092ED7" w:rsidRDefault="00D210F0" w:rsidP="00E44EF2">
            <w:pPr>
              <w:spacing w:after="0"/>
              <w:rPr>
                <w:rFonts w:cs="Times New Roman"/>
                <w:color w:val="000000"/>
                <w:sz w:val="20"/>
                <w:szCs w:val="20"/>
                <w:lang w:val="sr-Cyrl-CS"/>
              </w:rPr>
            </w:pPr>
          </w:p>
        </w:tc>
      </w:tr>
      <w:tr w:rsidR="00D210F0" w:rsidRPr="00092ED7" w14:paraId="4AA91C6B" w14:textId="77777777" w:rsidTr="00D42D84">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792FBA5B" w14:textId="77777777" w:rsidR="00D210F0" w:rsidRPr="00092ED7" w:rsidRDefault="00D210F0" w:rsidP="00D42D84">
            <w:pPr>
              <w:spacing w:after="0"/>
              <w:jc w:val="center"/>
              <w:rPr>
                <w:rFonts w:cs="Times New Roman"/>
                <w:bCs/>
                <w:sz w:val="20"/>
                <w:szCs w:val="20"/>
                <w:lang w:val="sr-Cyrl-CS"/>
              </w:rPr>
            </w:pPr>
            <w:r w:rsidRPr="00092ED7">
              <w:rPr>
                <w:rFonts w:cs="Times New Roman"/>
                <w:bCs/>
                <w:sz w:val="20"/>
                <w:szCs w:val="20"/>
                <w:lang w:val="sr-Cyrl-CS"/>
              </w:rPr>
              <w:t>5.</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370D3184" w14:textId="7FA4073B" w:rsidR="00D210F0" w:rsidRPr="00092ED7" w:rsidRDefault="00D210F0" w:rsidP="00E44EF2">
            <w:pPr>
              <w:spacing w:after="0"/>
              <w:ind w:right="162"/>
              <w:rPr>
                <w:rFonts w:cs="Times New Roman"/>
                <w:sz w:val="20"/>
                <w:szCs w:val="20"/>
                <w:lang w:val="sr-Cyrl-CS"/>
              </w:rPr>
            </w:pPr>
            <w:r w:rsidRPr="00092ED7">
              <w:rPr>
                <w:rFonts w:cs="Times New Roman"/>
                <w:sz w:val="20"/>
                <w:szCs w:val="20"/>
                <w:lang w:val="sr-Cyrl-CS"/>
              </w:rPr>
              <w:t xml:space="preserve">Изградња (секција </w:t>
            </w:r>
            <w:r w:rsidR="008A6B24" w:rsidRPr="00092ED7">
              <w:rPr>
                <w:rFonts w:cs="Times New Roman"/>
                <w:sz w:val="20"/>
                <w:szCs w:val="20"/>
                <w:lang w:val="sr-Cyrl-CS"/>
              </w:rPr>
              <w:t>IV</w:t>
            </w:r>
            <w:r w:rsidRPr="00092ED7">
              <w:rPr>
                <w:rFonts w:cs="Times New Roman"/>
                <w:sz w:val="20"/>
                <w:szCs w:val="20"/>
                <w:lang w:val="sr-Cyrl-CS"/>
              </w:rPr>
              <w:t>)</w:t>
            </w:r>
          </w:p>
        </w:tc>
        <w:tc>
          <w:tcPr>
            <w:tcW w:w="307"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031638E"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1C506D1"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EA35DAA"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2C4CFF27"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0E53E15"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58B66FA"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FFA32E7"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5C7F9697"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5C1146B"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B39267B"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A86462D"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C3F122C" w14:textId="77777777" w:rsidR="00D210F0" w:rsidRPr="00092ED7" w:rsidRDefault="00D210F0" w:rsidP="00E44EF2">
            <w:pPr>
              <w:spacing w:after="0"/>
              <w:rPr>
                <w:rFonts w:cs="Times New Roman"/>
                <w:color w:val="000000"/>
                <w:sz w:val="20"/>
                <w:szCs w:val="20"/>
                <w:lang w:val="sr-Cyrl-CS"/>
              </w:rPr>
            </w:pPr>
          </w:p>
        </w:tc>
      </w:tr>
    </w:tbl>
    <w:p w14:paraId="54B40737" w14:textId="77777777" w:rsidR="00D210F0" w:rsidRPr="00092ED7" w:rsidRDefault="00D210F0" w:rsidP="00071952">
      <w:pPr>
        <w:widowControl w:val="0"/>
        <w:numPr>
          <w:ilvl w:val="0"/>
          <w:numId w:val="27"/>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Индикатори рeзултата</w:t>
      </w:r>
    </w:p>
    <w:tbl>
      <w:tblPr>
        <w:tblStyle w:val="TableGrid"/>
        <w:tblW w:w="9072" w:type="dxa"/>
        <w:tblInd w:w="-5" w:type="dxa"/>
        <w:tblLayout w:type="fixed"/>
        <w:tblLook w:val="04A0" w:firstRow="1" w:lastRow="0" w:firstColumn="1" w:lastColumn="0" w:noHBand="0" w:noVBand="1"/>
      </w:tblPr>
      <w:tblGrid>
        <w:gridCol w:w="3969"/>
        <w:gridCol w:w="1701"/>
        <w:gridCol w:w="1701"/>
        <w:gridCol w:w="1701"/>
      </w:tblGrid>
      <w:tr w:rsidR="00D210F0" w:rsidRPr="00092ED7" w14:paraId="709D18DA" w14:textId="77777777" w:rsidTr="00AE4362">
        <w:trPr>
          <w:cnfStyle w:val="100000000000" w:firstRow="1" w:lastRow="0" w:firstColumn="0" w:lastColumn="0" w:oddVBand="0" w:evenVBand="0" w:oddHBand="0" w:evenHBand="0" w:firstRowFirstColumn="0" w:firstRowLastColumn="0" w:lastRowFirstColumn="0" w:lastRowLastColumn="0"/>
        </w:trPr>
        <w:tc>
          <w:tcPr>
            <w:tcW w:w="3969" w:type="dxa"/>
          </w:tcPr>
          <w:p w14:paraId="1985BAB9"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Показатељ</w:t>
            </w:r>
          </w:p>
        </w:tc>
        <w:tc>
          <w:tcPr>
            <w:tcW w:w="1701" w:type="dxa"/>
          </w:tcPr>
          <w:p w14:paraId="3A591AB5"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Почетна вредност (202</w:t>
            </w:r>
            <w:r w:rsidR="006321C0" w:rsidRPr="00092ED7">
              <w:rPr>
                <w:rFonts w:cs="Times New Roman"/>
                <w:sz w:val="20"/>
                <w:lang w:val="sr-Cyrl-CS"/>
              </w:rPr>
              <w:t>2</w:t>
            </w:r>
            <w:r w:rsidRPr="00092ED7">
              <w:rPr>
                <w:rFonts w:cs="Times New Roman"/>
                <w:sz w:val="20"/>
                <w:lang w:val="sr-Cyrl-CS"/>
              </w:rPr>
              <w:t>)</w:t>
            </w:r>
          </w:p>
        </w:tc>
        <w:tc>
          <w:tcPr>
            <w:tcW w:w="1701" w:type="dxa"/>
          </w:tcPr>
          <w:p w14:paraId="076260E2"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Међурезултат (2024)</w:t>
            </w:r>
          </w:p>
        </w:tc>
        <w:tc>
          <w:tcPr>
            <w:tcW w:w="1701" w:type="dxa"/>
          </w:tcPr>
          <w:p w14:paraId="642B6A62"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Циљна вредност (202</w:t>
            </w:r>
            <w:r w:rsidR="006321C0" w:rsidRPr="00092ED7">
              <w:rPr>
                <w:rFonts w:cs="Times New Roman"/>
                <w:sz w:val="20"/>
                <w:lang w:val="sr-Cyrl-CS"/>
              </w:rPr>
              <w:t>7</w:t>
            </w:r>
            <w:r w:rsidRPr="00092ED7">
              <w:rPr>
                <w:rFonts w:cs="Times New Roman"/>
                <w:sz w:val="20"/>
                <w:lang w:val="sr-Cyrl-CS"/>
              </w:rPr>
              <w:t>)</w:t>
            </w:r>
          </w:p>
        </w:tc>
      </w:tr>
      <w:tr w:rsidR="00D210F0" w:rsidRPr="00092ED7" w14:paraId="0DC1A114" w14:textId="77777777" w:rsidTr="00AE4362">
        <w:trPr>
          <w:trHeight w:val="283"/>
        </w:trPr>
        <w:tc>
          <w:tcPr>
            <w:tcW w:w="3969" w:type="dxa"/>
          </w:tcPr>
          <w:p w14:paraId="55CF4893" w14:textId="111FC4DD" w:rsidR="00D210F0" w:rsidRPr="00092ED7" w:rsidRDefault="006321C0" w:rsidP="005D14E2">
            <w:pPr>
              <w:spacing w:before="0" w:after="0"/>
              <w:ind w:left="113" w:right="113"/>
              <w:rPr>
                <w:sz w:val="20"/>
                <w:lang w:val="sr-Cyrl-CS"/>
              </w:rPr>
            </w:pPr>
            <w:r w:rsidRPr="00092ED7">
              <w:rPr>
                <w:rFonts w:cs="Times New Roman"/>
                <w:sz w:val="20"/>
                <w:lang w:val="sr-Cyrl-CS"/>
              </w:rPr>
              <w:t xml:space="preserve">Повећање вредности нето преносних капацитета (NTC) на граници са </w:t>
            </w:r>
            <w:r w:rsidR="006D400E" w:rsidRPr="00092ED7">
              <w:rPr>
                <w:rFonts w:cs="Times New Roman"/>
                <w:sz w:val="20"/>
                <w:lang w:val="sr-Cyrl-CS"/>
              </w:rPr>
              <w:t>Босном и Херцеговином</w:t>
            </w:r>
          </w:p>
        </w:tc>
        <w:tc>
          <w:tcPr>
            <w:tcW w:w="1701" w:type="dxa"/>
          </w:tcPr>
          <w:p w14:paraId="0C20001B" w14:textId="77777777" w:rsidR="00D210F0" w:rsidRPr="00092ED7" w:rsidRDefault="00277983" w:rsidP="005D14E2">
            <w:pPr>
              <w:spacing w:before="0" w:after="0"/>
              <w:ind w:left="113" w:right="113"/>
              <w:jc w:val="center"/>
              <w:rPr>
                <w:rFonts w:cs="Times New Roman"/>
                <w:sz w:val="20"/>
                <w:lang w:val="sr-Cyrl-CS"/>
              </w:rPr>
            </w:pPr>
            <w:r w:rsidRPr="00092ED7">
              <w:rPr>
                <w:rFonts w:cs="Times New Roman"/>
                <w:sz w:val="20"/>
                <w:lang w:val="sr-Cyrl-CS"/>
              </w:rPr>
              <w:t>0 MW</w:t>
            </w:r>
          </w:p>
        </w:tc>
        <w:tc>
          <w:tcPr>
            <w:tcW w:w="1701" w:type="dxa"/>
          </w:tcPr>
          <w:p w14:paraId="42B0B0F9" w14:textId="77777777" w:rsidR="00D210F0" w:rsidRPr="00092ED7" w:rsidRDefault="00277983" w:rsidP="005D14E2">
            <w:pPr>
              <w:spacing w:before="0" w:after="0"/>
              <w:ind w:left="113" w:right="113"/>
              <w:jc w:val="center"/>
              <w:rPr>
                <w:rFonts w:cs="Times New Roman"/>
                <w:sz w:val="20"/>
                <w:lang w:val="sr-Cyrl-CS"/>
              </w:rPr>
            </w:pPr>
            <w:r w:rsidRPr="00092ED7">
              <w:rPr>
                <w:rFonts w:cs="Times New Roman"/>
                <w:sz w:val="20"/>
                <w:lang w:val="sr-Cyrl-CS"/>
              </w:rPr>
              <w:t>0 MW</w:t>
            </w:r>
          </w:p>
        </w:tc>
        <w:tc>
          <w:tcPr>
            <w:tcW w:w="1701" w:type="dxa"/>
          </w:tcPr>
          <w:p w14:paraId="0F821DE5" w14:textId="77777777" w:rsidR="00D210F0" w:rsidRPr="00092ED7" w:rsidRDefault="00BB279D" w:rsidP="00BB279D">
            <w:pPr>
              <w:spacing w:before="0" w:after="0"/>
              <w:ind w:left="113" w:right="113"/>
              <w:jc w:val="center"/>
              <w:rPr>
                <w:rFonts w:cs="Times New Roman"/>
                <w:sz w:val="20"/>
                <w:lang w:val="sr-Cyrl-CS"/>
              </w:rPr>
            </w:pPr>
            <w:r w:rsidRPr="00092ED7">
              <w:rPr>
                <w:rFonts w:eastAsiaTheme="minorHAnsi" w:cs="Times New Roman"/>
                <w:sz w:val="20"/>
                <w:szCs w:val="22"/>
                <w:lang w:val="sr-Cyrl-CS" w:eastAsia="en-US"/>
              </w:rPr>
              <w:t>710 MW</w:t>
            </w:r>
          </w:p>
        </w:tc>
      </w:tr>
      <w:tr w:rsidR="00D210F0" w:rsidRPr="00092ED7" w14:paraId="3245613B" w14:textId="77777777" w:rsidTr="00AE4362">
        <w:trPr>
          <w:trHeight w:val="283"/>
        </w:trPr>
        <w:tc>
          <w:tcPr>
            <w:tcW w:w="3969" w:type="dxa"/>
          </w:tcPr>
          <w:p w14:paraId="584D294C" w14:textId="77777777" w:rsidR="00D210F0" w:rsidRPr="00092ED7" w:rsidRDefault="006321C0" w:rsidP="005D14E2">
            <w:pPr>
              <w:spacing w:before="0" w:after="0"/>
              <w:ind w:left="113" w:right="113"/>
              <w:rPr>
                <w:sz w:val="20"/>
                <w:lang w:val="sr-Cyrl-CS"/>
              </w:rPr>
            </w:pPr>
            <w:r w:rsidRPr="00092ED7">
              <w:rPr>
                <w:rFonts w:cs="Times New Roman"/>
                <w:sz w:val="20"/>
                <w:lang w:val="sr-Cyrl-CS"/>
              </w:rPr>
              <w:t>Повећање вредности нето преносних капацитета (NTC) на граници са Црном Гором</w:t>
            </w:r>
          </w:p>
        </w:tc>
        <w:tc>
          <w:tcPr>
            <w:tcW w:w="1701" w:type="dxa"/>
          </w:tcPr>
          <w:p w14:paraId="233628D2" w14:textId="77777777" w:rsidR="00D210F0" w:rsidRPr="00092ED7" w:rsidRDefault="00277983" w:rsidP="005D14E2">
            <w:pPr>
              <w:spacing w:before="0" w:after="0"/>
              <w:ind w:left="113" w:right="113"/>
              <w:jc w:val="center"/>
              <w:rPr>
                <w:rFonts w:cs="Times New Roman"/>
                <w:sz w:val="20"/>
                <w:lang w:val="sr-Cyrl-CS"/>
              </w:rPr>
            </w:pPr>
            <w:r w:rsidRPr="00092ED7">
              <w:rPr>
                <w:rFonts w:cs="Times New Roman"/>
                <w:sz w:val="20"/>
                <w:lang w:val="sr-Cyrl-CS"/>
              </w:rPr>
              <w:t>0 MW</w:t>
            </w:r>
          </w:p>
        </w:tc>
        <w:tc>
          <w:tcPr>
            <w:tcW w:w="1701" w:type="dxa"/>
          </w:tcPr>
          <w:p w14:paraId="6FC8BC74" w14:textId="77777777" w:rsidR="00D210F0" w:rsidRPr="00092ED7" w:rsidRDefault="00277983" w:rsidP="005D14E2">
            <w:pPr>
              <w:spacing w:before="0" w:after="0"/>
              <w:ind w:left="113" w:right="113"/>
              <w:jc w:val="center"/>
              <w:rPr>
                <w:rFonts w:cs="Times New Roman"/>
                <w:sz w:val="20"/>
                <w:lang w:val="sr-Cyrl-CS"/>
              </w:rPr>
            </w:pPr>
            <w:r w:rsidRPr="00092ED7">
              <w:rPr>
                <w:rFonts w:cs="Times New Roman"/>
                <w:sz w:val="20"/>
                <w:lang w:val="sr-Cyrl-CS"/>
              </w:rPr>
              <w:t>0 MW</w:t>
            </w:r>
          </w:p>
        </w:tc>
        <w:tc>
          <w:tcPr>
            <w:tcW w:w="1701" w:type="dxa"/>
          </w:tcPr>
          <w:p w14:paraId="02F2A8E1" w14:textId="77777777" w:rsidR="00D210F0" w:rsidRPr="00092ED7" w:rsidRDefault="0025143A" w:rsidP="0025143A">
            <w:pPr>
              <w:spacing w:before="0" w:after="0"/>
              <w:ind w:left="113" w:right="113"/>
              <w:jc w:val="center"/>
              <w:rPr>
                <w:rFonts w:cs="Times New Roman"/>
                <w:sz w:val="20"/>
                <w:lang w:val="sr-Cyrl-CS"/>
              </w:rPr>
            </w:pPr>
            <w:r w:rsidRPr="00092ED7">
              <w:rPr>
                <w:rFonts w:eastAsiaTheme="minorHAnsi" w:cs="Times New Roman"/>
                <w:sz w:val="20"/>
                <w:szCs w:val="22"/>
                <w:lang w:val="sr-Cyrl-CS" w:eastAsia="en-US"/>
              </w:rPr>
              <w:t>430 MW</w:t>
            </w:r>
          </w:p>
        </w:tc>
      </w:tr>
      <w:tr w:rsidR="00D210F0" w:rsidRPr="00092ED7" w14:paraId="434B77A0" w14:textId="77777777" w:rsidTr="00AE4362">
        <w:trPr>
          <w:trHeight w:val="283"/>
        </w:trPr>
        <w:tc>
          <w:tcPr>
            <w:tcW w:w="3969" w:type="dxa"/>
          </w:tcPr>
          <w:p w14:paraId="2AAFF5B2" w14:textId="77777777" w:rsidR="00D210F0" w:rsidRPr="00092ED7" w:rsidRDefault="006321C0" w:rsidP="005D14E2">
            <w:pPr>
              <w:spacing w:before="0" w:after="0"/>
              <w:ind w:left="113" w:right="113"/>
              <w:rPr>
                <w:sz w:val="20"/>
                <w:lang w:val="sr-Cyrl-CS"/>
              </w:rPr>
            </w:pPr>
            <w:r w:rsidRPr="00092ED7">
              <w:rPr>
                <w:rFonts w:cs="Times New Roman"/>
                <w:sz w:val="20"/>
                <w:lang w:val="sr-Cyrl-CS"/>
              </w:rPr>
              <w:t>Oмогућавање прикључења нових производних капацитета за потребе балансирања система</w:t>
            </w:r>
          </w:p>
        </w:tc>
        <w:tc>
          <w:tcPr>
            <w:tcW w:w="1701" w:type="dxa"/>
          </w:tcPr>
          <w:p w14:paraId="3B716F4D" w14:textId="77777777" w:rsidR="00D210F0" w:rsidRPr="00092ED7" w:rsidRDefault="00277983" w:rsidP="005D14E2">
            <w:pPr>
              <w:spacing w:before="0" w:after="0"/>
              <w:ind w:left="113" w:right="113"/>
              <w:jc w:val="center"/>
              <w:rPr>
                <w:rFonts w:cs="Times New Roman"/>
                <w:sz w:val="20"/>
                <w:lang w:val="sr-Cyrl-CS"/>
              </w:rPr>
            </w:pPr>
            <w:r w:rsidRPr="00092ED7">
              <w:rPr>
                <w:rFonts w:cs="Times New Roman"/>
                <w:sz w:val="20"/>
                <w:lang w:val="sr-Cyrl-CS"/>
              </w:rPr>
              <w:t>0 MW</w:t>
            </w:r>
          </w:p>
        </w:tc>
        <w:tc>
          <w:tcPr>
            <w:tcW w:w="1701" w:type="dxa"/>
          </w:tcPr>
          <w:p w14:paraId="09C7BB50" w14:textId="77777777" w:rsidR="00D210F0" w:rsidRPr="00092ED7" w:rsidRDefault="00277983" w:rsidP="005D14E2">
            <w:pPr>
              <w:spacing w:before="0" w:after="0"/>
              <w:ind w:left="113" w:right="113"/>
              <w:jc w:val="center"/>
              <w:rPr>
                <w:rFonts w:cs="Times New Roman"/>
                <w:sz w:val="20"/>
                <w:lang w:val="sr-Cyrl-CS"/>
              </w:rPr>
            </w:pPr>
            <w:r w:rsidRPr="00092ED7">
              <w:rPr>
                <w:rFonts w:cs="Times New Roman"/>
                <w:sz w:val="20"/>
                <w:lang w:val="sr-Cyrl-CS"/>
              </w:rPr>
              <w:t>0 MW</w:t>
            </w:r>
          </w:p>
        </w:tc>
        <w:tc>
          <w:tcPr>
            <w:tcW w:w="1701" w:type="dxa"/>
          </w:tcPr>
          <w:p w14:paraId="4E699379" w14:textId="77777777" w:rsidR="00D210F0" w:rsidRPr="00092ED7" w:rsidRDefault="0025143A" w:rsidP="0025143A">
            <w:pPr>
              <w:spacing w:before="0" w:after="0"/>
              <w:ind w:left="113" w:right="113"/>
              <w:jc w:val="center"/>
              <w:rPr>
                <w:rFonts w:cs="Times New Roman"/>
                <w:sz w:val="20"/>
                <w:lang w:val="sr-Cyrl-CS"/>
              </w:rPr>
            </w:pPr>
            <w:r w:rsidRPr="00092ED7">
              <w:rPr>
                <w:rFonts w:eastAsiaTheme="minorHAnsi" w:cs="Times New Roman"/>
                <w:sz w:val="20"/>
                <w:szCs w:val="22"/>
                <w:lang w:val="sr-Cyrl-CS" w:eastAsia="en-US"/>
              </w:rPr>
              <w:t>&gt;700 MW</w:t>
            </w:r>
          </w:p>
        </w:tc>
      </w:tr>
      <w:tr w:rsidR="00D210F0" w:rsidRPr="00092ED7" w14:paraId="1868E3DB" w14:textId="77777777" w:rsidTr="00AE4362">
        <w:trPr>
          <w:trHeight w:val="283"/>
        </w:trPr>
        <w:tc>
          <w:tcPr>
            <w:tcW w:w="3969" w:type="dxa"/>
          </w:tcPr>
          <w:p w14:paraId="413919D4" w14:textId="77777777" w:rsidR="00D210F0" w:rsidRPr="00092ED7" w:rsidRDefault="006321C0" w:rsidP="005D14E2">
            <w:pPr>
              <w:spacing w:before="0" w:after="0"/>
              <w:ind w:left="113" w:right="113"/>
              <w:rPr>
                <w:sz w:val="20"/>
                <w:lang w:val="sr-Cyrl-CS"/>
              </w:rPr>
            </w:pPr>
            <w:r w:rsidRPr="00092ED7">
              <w:rPr>
                <w:rFonts w:cs="Times New Roman"/>
                <w:sz w:val="20"/>
                <w:lang w:val="sr-Cyrl-CS"/>
              </w:rPr>
              <w:t>Смањење губитака енергије у преносном систему на годишњем нивоу</w:t>
            </w:r>
          </w:p>
        </w:tc>
        <w:tc>
          <w:tcPr>
            <w:tcW w:w="1701" w:type="dxa"/>
          </w:tcPr>
          <w:p w14:paraId="46A0B8A6" w14:textId="77777777" w:rsidR="00D210F0" w:rsidRPr="00092ED7" w:rsidRDefault="00277983" w:rsidP="005D14E2">
            <w:pPr>
              <w:spacing w:before="0" w:after="0"/>
              <w:ind w:left="113" w:right="113"/>
              <w:jc w:val="center"/>
              <w:rPr>
                <w:rFonts w:cs="Times New Roman"/>
                <w:sz w:val="20"/>
                <w:lang w:val="sr-Cyrl-CS"/>
              </w:rPr>
            </w:pPr>
            <w:r w:rsidRPr="00092ED7">
              <w:rPr>
                <w:rFonts w:cs="Times New Roman"/>
                <w:sz w:val="20"/>
                <w:lang w:val="sr-Cyrl-CS"/>
              </w:rPr>
              <w:t>0 GWh</w:t>
            </w:r>
          </w:p>
        </w:tc>
        <w:tc>
          <w:tcPr>
            <w:tcW w:w="1701" w:type="dxa"/>
          </w:tcPr>
          <w:p w14:paraId="1ED8A1F5" w14:textId="77777777" w:rsidR="00D210F0" w:rsidRPr="00092ED7" w:rsidRDefault="00277983" w:rsidP="005D14E2">
            <w:pPr>
              <w:spacing w:before="0" w:after="0"/>
              <w:ind w:left="113" w:right="113"/>
              <w:jc w:val="center"/>
              <w:rPr>
                <w:rFonts w:cs="Times New Roman"/>
                <w:sz w:val="20"/>
                <w:lang w:val="sr-Cyrl-CS"/>
              </w:rPr>
            </w:pPr>
            <w:r w:rsidRPr="00092ED7">
              <w:rPr>
                <w:rFonts w:cs="Times New Roman"/>
                <w:sz w:val="20"/>
                <w:lang w:val="sr-Cyrl-CS"/>
              </w:rPr>
              <w:t>0 GWh</w:t>
            </w:r>
          </w:p>
        </w:tc>
        <w:tc>
          <w:tcPr>
            <w:tcW w:w="1701" w:type="dxa"/>
          </w:tcPr>
          <w:p w14:paraId="77C9EBD3" w14:textId="77777777" w:rsidR="00D210F0" w:rsidRPr="00092ED7" w:rsidRDefault="0025143A" w:rsidP="0025143A">
            <w:pPr>
              <w:spacing w:before="0" w:after="0"/>
              <w:ind w:left="113" w:right="113"/>
              <w:jc w:val="center"/>
              <w:rPr>
                <w:rFonts w:cs="Times New Roman"/>
                <w:sz w:val="20"/>
                <w:lang w:val="sr-Cyrl-CS"/>
              </w:rPr>
            </w:pPr>
            <w:r w:rsidRPr="00092ED7">
              <w:rPr>
                <w:rFonts w:eastAsiaTheme="minorHAnsi" w:cs="Times New Roman"/>
                <w:sz w:val="20"/>
                <w:szCs w:val="22"/>
                <w:lang w:val="sr-Cyrl-CS" w:eastAsia="en-US"/>
              </w:rPr>
              <w:t>11 GWh</w:t>
            </w:r>
          </w:p>
        </w:tc>
      </w:tr>
    </w:tbl>
    <w:p w14:paraId="0AFA191C" w14:textId="77777777" w:rsidR="00D210F0" w:rsidRPr="00092ED7" w:rsidRDefault="00D210F0" w:rsidP="00071952">
      <w:pPr>
        <w:pStyle w:val="ListParagraph"/>
        <w:widowControl w:val="0"/>
        <w:numPr>
          <w:ilvl w:val="0"/>
          <w:numId w:val="27"/>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конкурентност</w:t>
      </w:r>
    </w:p>
    <w:p w14:paraId="37A204C4"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Ова мера може да има утицаја на умањење разлика у велепродајној цени електричне енергије између Западног Балкана и Италије. На умањење разлика у цени, велики утицај има и динамика изградње друге жиле подморског кабла између Црне Горе и Италије. Прва фаза изградње овог кабла је завршена, и кабл капацитета 600 МW је пуштен у погон у новембру 2019. године.</w:t>
      </w:r>
    </w:p>
    <w:p w14:paraId="5D9D9284" w14:textId="77777777" w:rsidR="00D210F0" w:rsidRPr="00092ED7" w:rsidRDefault="00D210F0" w:rsidP="00071952">
      <w:pPr>
        <w:widowControl w:val="0"/>
        <w:numPr>
          <w:ilvl w:val="0"/>
          <w:numId w:val="27"/>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010ABE74" w14:textId="0AD01713" w:rsidR="00A450D4" w:rsidRPr="00092ED7" w:rsidRDefault="00A450D4" w:rsidP="00616441">
      <w:pPr>
        <w:widowControl w:val="0"/>
        <w:spacing w:after="60"/>
        <w:rPr>
          <w:rFonts w:eastAsia="Calibri" w:cs="Times New Roman"/>
          <w:szCs w:val="24"/>
          <w:lang w:val="sr-Cyrl-CS" w:eastAsia="sr-Cyrl-CS" w:bidi="sr-Cyrl-CS"/>
        </w:rPr>
      </w:pPr>
      <w:r w:rsidRPr="00092ED7">
        <w:rPr>
          <w:rFonts w:eastAsia="Times New Roman" w:cs="Times New Roman"/>
          <w:lang w:val="sr-Cyrl-CS"/>
        </w:rPr>
        <w:t xml:space="preserve">Изградња система за пренос електричне енергије Трансбалкански коридор (III и IV секција) </w:t>
      </w:r>
      <w:r w:rsidRPr="00092ED7">
        <w:rPr>
          <w:rFonts w:eastAsia="Calibri" w:cs="Times New Roman"/>
          <w:szCs w:val="24"/>
          <w:lang w:val="sr-Cyrl-CS" w:eastAsia="sr-Cyrl-CS" w:bidi="sr-Cyrl-CS"/>
        </w:rPr>
        <w:t xml:space="preserve">финансираће се из сопствених средстава </w:t>
      </w:r>
      <w:r w:rsidR="00B16622" w:rsidRPr="00092ED7">
        <w:rPr>
          <w:rFonts w:eastAsia="MS PGothic" w:cs="Times New Roman"/>
          <w:bCs/>
          <w:iCs/>
          <w:szCs w:val="24"/>
          <w:lang w:val="sr-Cyrl-CS" w:eastAsia="ja-JP"/>
        </w:rPr>
        <w:t>АД „Електромрежа Србије</w:t>
      </w:r>
      <w:r w:rsidR="00DB6C56" w:rsidRPr="00092ED7">
        <w:rPr>
          <w:rFonts w:eastAsia="MS PGothic" w:cs="Times New Roman"/>
          <w:bCs/>
          <w:iCs/>
          <w:szCs w:val="24"/>
          <w:lang w:val="sr-Cyrl-CS" w:eastAsia="ja-JP"/>
        </w:rPr>
        <w:t>ˮ</w:t>
      </w:r>
      <w:r w:rsidRPr="00092ED7">
        <w:rPr>
          <w:rFonts w:eastAsia="Calibri" w:cs="Times New Roman"/>
          <w:szCs w:val="24"/>
          <w:lang w:val="sr-Cyrl-CS" w:eastAsia="sr-Cyrl-CS" w:bidi="sr-Cyrl-CS"/>
        </w:rPr>
        <w:t>, WBIF донација и кредита.</w:t>
      </w:r>
    </w:p>
    <w:p w14:paraId="14391C38" w14:textId="047096BA" w:rsidR="00A450D4" w:rsidRPr="00092ED7" w:rsidRDefault="00A450D4"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Укупна планирана вредност пројекта изградње секциј</w:t>
      </w:r>
      <w:r w:rsidR="004B25FB" w:rsidRPr="00092ED7">
        <w:rPr>
          <w:rFonts w:eastAsia="Calibri" w:cs="Times New Roman"/>
          <w:szCs w:val="24"/>
          <w:lang w:val="sr-Cyrl-CS" w:eastAsia="sr-Cyrl-CS" w:bidi="sr-Cyrl-CS"/>
        </w:rPr>
        <w:t xml:space="preserve">а 3 и 4 </w:t>
      </w:r>
      <w:r w:rsidRPr="00092ED7">
        <w:rPr>
          <w:rFonts w:eastAsia="Calibri" w:cs="Times New Roman"/>
          <w:szCs w:val="24"/>
          <w:lang w:val="sr-Cyrl-CS" w:eastAsia="sr-Cyrl-CS" w:bidi="sr-Cyrl-CS"/>
        </w:rPr>
        <w:t xml:space="preserve"> износи 130,5 милиона евра (III секција 89,68 милиона евра, односно IV секција 40,8 милиона евра).</w:t>
      </w:r>
    </w:p>
    <w:p w14:paraId="6DFC4D09" w14:textId="6E530F3F" w:rsidR="00A450D4" w:rsidRPr="00092ED7" w:rsidRDefault="00A450D4"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До 2023 – планирана сопствена средства </w:t>
      </w:r>
      <w:r w:rsidR="00B16622" w:rsidRPr="00092ED7">
        <w:rPr>
          <w:rFonts w:eastAsia="MS PGothic" w:cs="Times New Roman"/>
          <w:bCs/>
          <w:iCs/>
          <w:szCs w:val="24"/>
          <w:lang w:val="sr-Cyrl-CS" w:eastAsia="ja-JP"/>
        </w:rPr>
        <w:t>АД „Електромрежа Србије</w:t>
      </w:r>
      <w:r w:rsidR="00DB6C56" w:rsidRPr="00092ED7">
        <w:rPr>
          <w:rFonts w:eastAsia="MS PGothic" w:cs="Times New Roman"/>
          <w:bCs/>
          <w:iCs/>
          <w:szCs w:val="24"/>
          <w:lang w:val="sr-Cyrl-CS" w:eastAsia="ja-JP"/>
        </w:rPr>
        <w:t xml:space="preserve">ˮ </w:t>
      </w:r>
      <w:r w:rsidRPr="00092ED7">
        <w:rPr>
          <w:rFonts w:eastAsia="Calibri" w:cs="Times New Roman"/>
          <w:szCs w:val="24"/>
          <w:lang w:val="sr-Cyrl-CS" w:eastAsia="sr-Cyrl-CS" w:bidi="sr-Cyrl-CS"/>
        </w:rPr>
        <w:t>950.000 евра, донација 4.174.000 евра;</w:t>
      </w:r>
    </w:p>
    <w:p w14:paraId="03243C8F" w14:textId="037CCE24" w:rsidR="00A450D4" w:rsidRPr="00092ED7" w:rsidRDefault="00A450D4"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Укупни трошкови реализације секција 3 и 4 у периоду 2023 – 2027</w:t>
      </w:r>
      <w:r w:rsidR="00DB6C56" w:rsidRPr="00092ED7">
        <w:rPr>
          <w:rFonts w:eastAsia="Calibri" w:cs="Times New Roman"/>
          <w:szCs w:val="24"/>
          <w:lang w:val="sr-Cyrl-CS" w:eastAsia="sr-Cyrl-CS" w:bidi="sr-Cyrl-CS"/>
        </w:rPr>
        <w:t>.</w:t>
      </w:r>
      <w:r w:rsidRPr="00092ED7">
        <w:rPr>
          <w:rFonts w:eastAsia="Calibri" w:cs="Times New Roman"/>
          <w:szCs w:val="24"/>
          <w:lang w:val="sr-Cyrl-CS" w:eastAsia="sr-Cyrl-CS" w:bidi="sr-Cyrl-CS"/>
        </w:rPr>
        <w:t xml:space="preserve"> године износиће 125,3 милиона евра при чему су процењени трошкови за наредни трогодишњи период</w:t>
      </w:r>
      <w:r w:rsidR="008934ED" w:rsidRPr="00092ED7">
        <w:rPr>
          <w:rFonts w:eastAsia="Calibri" w:cs="Times New Roman"/>
          <w:szCs w:val="24"/>
          <w:lang w:val="sr-Cyrl-CS" w:eastAsia="sr-Cyrl-CS" w:bidi="sr-Cyrl-CS"/>
        </w:rPr>
        <w:t>,</w:t>
      </w:r>
      <w:r w:rsidR="008934ED" w:rsidRPr="00092ED7">
        <w:rPr>
          <w:rFonts w:eastAsia="Times New Roman" w:cs="Times New Roman"/>
          <w:lang w:val="sr-Cyrl-CS"/>
        </w:rPr>
        <w:t xml:space="preserve"> према предлогу Годишњег програма пословања </w:t>
      </w:r>
      <w:r w:rsidR="00846C55" w:rsidRPr="00092ED7">
        <w:rPr>
          <w:rFonts w:cs="Times New Roman"/>
          <w:bCs/>
          <w:iCs/>
          <w:szCs w:val="24"/>
          <w:lang w:val="sr-Cyrl-CS"/>
        </w:rPr>
        <w:t>АД „Електромрежа Србије</w:t>
      </w:r>
      <w:r w:rsidR="004B25FB" w:rsidRPr="00092ED7">
        <w:rPr>
          <w:rFonts w:cs="Times New Roman"/>
          <w:bCs/>
          <w:iCs/>
          <w:szCs w:val="24"/>
          <w:lang w:val="sr-Cyrl-CS"/>
        </w:rPr>
        <w:t>ˮ</w:t>
      </w:r>
      <w:r w:rsidR="004B24D4" w:rsidRPr="00092ED7">
        <w:rPr>
          <w:rFonts w:cs="Times New Roman"/>
          <w:bCs/>
          <w:iCs/>
          <w:szCs w:val="24"/>
          <w:lang w:val="sr-Cyrl-CS"/>
        </w:rPr>
        <w:t xml:space="preserve"> </w:t>
      </w:r>
      <w:r w:rsidR="008934ED" w:rsidRPr="00092ED7">
        <w:rPr>
          <w:rFonts w:eastAsia="Times New Roman" w:cs="Times New Roman"/>
          <w:lang w:val="sr-Cyrl-CS"/>
        </w:rPr>
        <w:t>за 2023</w:t>
      </w:r>
      <w:r w:rsidRPr="00092ED7">
        <w:rPr>
          <w:rFonts w:eastAsia="Calibri" w:cs="Times New Roman"/>
          <w:szCs w:val="24"/>
          <w:lang w:val="sr-Cyrl-CS" w:eastAsia="sr-Cyrl-CS" w:bidi="sr-Cyrl-CS"/>
        </w:rPr>
        <w:t>:</w:t>
      </w:r>
    </w:p>
    <w:p w14:paraId="2033F392" w14:textId="65FCDE11" w:rsidR="00A450D4" w:rsidRPr="00092ED7" w:rsidRDefault="00A450D4" w:rsidP="00616441">
      <w:pPr>
        <w:pStyle w:val="ListParagraph"/>
        <w:widowControl w:val="0"/>
        <w:numPr>
          <w:ilvl w:val="0"/>
          <w:numId w:val="52"/>
        </w:numPr>
        <w:spacing w:after="60"/>
        <w:rPr>
          <w:rFonts w:eastAsia="Calibri" w:cs="Times New Roman"/>
          <w:sz w:val="24"/>
          <w:szCs w:val="24"/>
          <w:lang w:val="sr-Cyrl-CS" w:eastAsia="sr-Cyrl-CS" w:bidi="sr-Cyrl-CS"/>
        </w:rPr>
      </w:pPr>
      <w:r w:rsidRPr="00092ED7">
        <w:rPr>
          <w:rFonts w:eastAsia="Calibri" w:cs="Times New Roman"/>
          <w:sz w:val="24"/>
          <w:szCs w:val="24"/>
          <w:lang w:val="sr-Cyrl-CS" w:eastAsia="sr-Cyrl-CS" w:bidi="sr-Cyrl-CS"/>
        </w:rPr>
        <w:t xml:space="preserve">2023 – планирана сопствена средства </w:t>
      </w:r>
      <w:r w:rsidR="00B16622" w:rsidRPr="00092ED7">
        <w:rPr>
          <w:rFonts w:cs="Times New Roman"/>
          <w:bCs/>
          <w:iCs/>
          <w:sz w:val="24"/>
          <w:szCs w:val="24"/>
          <w:lang w:val="sr-Cyrl-CS"/>
        </w:rPr>
        <w:t>АД „Електромрежа Србије</w:t>
      </w:r>
      <w:r w:rsidR="00DB6C56" w:rsidRPr="00092ED7">
        <w:rPr>
          <w:rFonts w:cs="Times New Roman"/>
          <w:bCs/>
          <w:iCs/>
          <w:sz w:val="24"/>
          <w:szCs w:val="24"/>
          <w:lang w:val="sr-Cyrl-CS"/>
        </w:rPr>
        <w:t>ˮ</w:t>
      </w:r>
      <w:r w:rsidR="004B24D4" w:rsidRPr="00092ED7">
        <w:rPr>
          <w:rFonts w:cs="Times New Roman"/>
          <w:bCs/>
          <w:iCs/>
          <w:sz w:val="24"/>
          <w:szCs w:val="24"/>
          <w:lang w:val="sr-Cyrl-CS"/>
        </w:rPr>
        <w:t xml:space="preserve"> </w:t>
      </w:r>
      <w:r w:rsidRPr="00092ED7">
        <w:rPr>
          <w:rFonts w:eastAsia="Calibri" w:cs="Times New Roman"/>
          <w:sz w:val="24"/>
          <w:szCs w:val="24"/>
          <w:lang w:val="sr-Cyrl-CS" w:eastAsia="sr-Cyrl-CS" w:bidi="sr-Cyrl-CS"/>
        </w:rPr>
        <w:t>298.739 евра;</w:t>
      </w:r>
    </w:p>
    <w:p w14:paraId="0413F5AC" w14:textId="77777777" w:rsidR="00A450D4" w:rsidRPr="00092ED7" w:rsidRDefault="00A450D4" w:rsidP="00616441">
      <w:pPr>
        <w:pStyle w:val="ListParagraph"/>
        <w:widowControl w:val="0"/>
        <w:numPr>
          <w:ilvl w:val="0"/>
          <w:numId w:val="52"/>
        </w:numPr>
        <w:spacing w:after="60"/>
        <w:rPr>
          <w:rFonts w:eastAsia="Calibri" w:cs="Times New Roman"/>
          <w:sz w:val="24"/>
          <w:szCs w:val="24"/>
          <w:lang w:val="sr-Cyrl-CS" w:eastAsia="sr-Cyrl-CS" w:bidi="sr-Cyrl-CS"/>
        </w:rPr>
      </w:pPr>
      <w:r w:rsidRPr="00092ED7">
        <w:rPr>
          <w:rFonts w:eastAsia="Calibri" w:cs="Times New Roman"/>
          <w:sz w:val="24"/>
          <w:szCs w:val="24"/>
          <w:lang w:val="sr-Cyrl-CS" w:eastAsia="sr-Cyrl-CS" w:bidi="sr-Cyrl-CS"/>
        </w:rPr>
        <w:t>2024 – планирана кредитна средства 23.698.886 евра, донација 7.511.704 евра;</w:t>
      </w:r>
    </w:p>
    <w:p w14:paraId="0CC4727F" w14:textId="30E02BB6" w:rsidR="00A450D4" w:rsidRPr="00092ED7" w:rsidRDefault="00A450D4" w:rsidP="00616441">
      <w:pPr>
        <w:pStyle w:val="ListParagraph"/>
        <w:widowControl w:val="0"/>
        <w:numPr>
          <w:ilvl w:val="0"/>
          <w:numId w:val="52"/>
        </w:numPr>
        <w:spacing w:after="60"/>
        <w:rPr>
          <w:rFonts w:eastAsia="Calibri" w:cs="Times New Roman"/>
          <w:sz w:val="24"/>
          <w:szCs w:val="24"/>
          <w:lang w:val="sr-Cyrl-CS" w:eastAsia="sr-Cyrl-CS" w:bidi="sr-Cyrl-CS"/>
        </w:rPr>
      </w:pPr>
      <w:r w:rsidRPr="00092ED7">
        <w:rPr>
          <w:rFonts w:eastAsia="Calibri" w:cs="Times New Roman"/>
          <w:sz w:val="24"/>
          <w:szCs w:val="24"/>
          <w:lang w:val="sr-Cyrl-CS" w:eastAsia="sr-Cyrl-CS" w:bidi="sr-Cyrl-CS"/>
        </w:rPr>
        <w:t xml:space="preserve">2025 – планирана сопствена средства </w:t>
      </w:r>
      <w:r w:rsidR="00B16622" w:rsidRPr="00092ED7">
        <w:rPr>
          <w:rFonts w:cs="Times New Roman"/>
          <w:bCs/>
          <w:iCs/>
          <w:sz w:val="24"/>
          <w:szCs w:val="24"/>
          <w:lang w:val="sr-Cyrl-CS"/>
        </w:rPr>
        <w:t>АД „Електромрежа Србије</w:t>
      </w:r>
      <w:r w:rsidR="00DB6C56" w:rsidRPr="00092ED7">
        <w:rPr>
          <w:rFonts w:cs="Times New Roman"/>
          <w:bCs/>
          <w:iCs/>
          <w:szCs w:val="24"/>
          <w:lang w:val="sr-Cyrl-CS"/>
        </w:rPr>
        <w:t>ˮ</w:t>
      </w:r>
      <w:r w:rsidR="004B24D4" w:rsidRPr="00092ED7">
        <w:rPr>
          <w:rFonts w:cs="Times New Roman"/>
          <w:bCs/>
          <w:iCs/>
          <w:szCs w:val="24"/>
          <w:lang w:val="sr-Cyrl-CS"/>
        </w:rPr>
        <w:t xml:space="preserve"> </w:t>
      </w:r>
      <w:r w:rsidRPr="00092ED7">
        <w:rPr>
          <w:rFonts w:eastAsia="Calibri" w:cs="Times New Roman"/>
          <w:sz w:val="24"/>
          <w:szCs w:val="24"/>
          <w:lang w:val="sr-Cyrl-CS" w:eastAsia="sr-Cyrl-CS" w:bidi="sr-Cyrl-CS"/>
        </w:rPr>
        <w:t>336.134 евра, кредитна средства 36.158.891 евра, донација 10.399.705 евра.</w:t>
      </w:r>
      <w:r w:rsidR="00081A94" w:rsidRPr="00092ED7">
        <w:rPr>
          <w:rFonts w:eastAsia="Times New Roman" w:cs="Times New Roman"/>
          <w:sz w:val="24"/>
          <w:szCs w:val="24"/>
          <w:lang w:val="sr-Cyrl-CS"/>
        </w:rPr>
        <w:t xml:space="preserve"> </w:t>
      </w:r>
      <w:r w:rsidRPr="00092ED7">
        <w:rPr>
          <w:rFonts w:eastAsia="Times New Roman" w:cs="Times New Roman"/>
          <w:sz w:val="24"/>
          <w:szCs w:val="24"/>
          <w:lang w:val="sr-Cyrl-CS"/>
        </w:rPr>
        <w:t>Tрошкови су искључиво из категорије „капитал</w:t>
      </w:r>
      <w:r w:rsidR="008112B8" w:rsidRPr="00092ED7">
        <w:rPr>
          <w:rFonts w:eastAsia="Times New Roman" w:cs="Times New Roman"/>
          <w:sz w:val="24"/>
          <w:szCs w:val="24"/>
          <w:lang w:val="sr-Cyrl-CS"/>
        </w:rPr>
        <w:t>ни</w:t>
      </w:r>
      <w:r w:rsidRPr="00092ED7">
        <w:rPr>
          <w:rFonts w:eastAsia="Times New Roman" w:cs="Times New Roman"/>
          <w:sz w:val="24"/>
          <w:szCs w:val="24"/>
          <w:lang w:val="sr-Cyrl-CS"/>
        </w:rPr>
        <w:t xml:space="preserve"> расход</w:t>
      </w:r>
      <w:r w:rsidR="008112B8" w:rsidRPr="00092ED7">
        <w:rPr>
          <w:rFonts w:eastAsia="Times New Roman" w:cs="Times New Roman"/>
          <w:sz w:val="24"/>
          <w:szCs w:val="24"/>
          <w:lang w:val="sr-Cyrl-CS"/>
        </w:rPr>
        <w:t>и</w:t>
      </w:r>
      <w:r w:rsidR="0076192C" w:rsidRPr="00092ED7">
        <w:rPr>
          <w:rFonts w:cs="Times New Roman"/>
          <w:sz w:val="24"/>
          <w:szCs w:val="24"/>
          <w:lang w:val="sr-Cyrl-CS"/>
        </w:rPr>
        <w:t>”</w:t>
      </w:r>
      <w:r w:rsidRPr="00092ED7">
        <w:rPr>
          <w:rFonts w:eastAsia="Times New Roman" w:cs="Times New Roman"/>
          <w:sz w:val="24"/>
          <w:szCs w:val="24"/>
          <w:lang w:val="sr-Cyrl-CS"/>
        </w:rPr>
        <w:t>.</w:t>
      </w:r>
    </w:p>
    <w:p w14:paraId="67692FA7" w14:textId="77777777" w:rsidR="00D210F0" w:rsidRPr="00092ED7" w:rsidRDefault="00D210F0" w:rsidP="00071952">
      <w:pPr>
        <w:widowControl w:val="0"/>
        <w:numPr>
          <w:ilvl w:val="0"/>
          <w:numId w:val="27"/>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4955F861" w14:textId="77777777" w:rsidR="000E1787" w:rsidRPr="00092ED7" w:rsidRDefault="008C5DCE" w:rsidP="00616441">
      <w:pPr>
        <w:widowControl w:val="0"/>
        <w:spacing w:after="60"/>
        <w:rPr>
          <w:rFonts w:cs="Times New Roman"/>
          <w:szCs w:val="24"/>
          <w:lang w:val="sr-Cyrl-CS" w:eastAsia="sr-Cyrl-CS" w:bidi="sr-Cyrl-CS"/>
        </w:rPr>
      </w:pPr>
      <w:r w:rsidRPr="00092ED7">
        <w:rPr>
          <w:rFonts w:cs="Times New Roman"/>
          <w:szCs w:val="24"/>
          <w:lang w:val="sr-Cyrl-CS" w:eastAsia="sr-Cyrl-CS" w:bidi="sr-Cyrl-CS"/>
        </w:rPr>
        <w:t>Структурна реформа не утиче директно на социјалне циљеве и родно је неутрална. Ипак, повећање преносног капацитета и последично повећавање поузданости рада система, ствара повољне услове за потенцијално прикључење нових корисника у будућности, што може довести до отварања нових радних места.</w:t>
      </w:r>
      <w:r w:rsidR="000E1787" w:rsidRPr="00092ED7">
        <w:rPr>
          <w:rFonts w:cs="Times New Roman"/>
          <w:szCs w:val="24"/>
          <w:lang w:val="sr-Cyrl-CS" w:eastAsia="sr-Cyrl-CS" w:bidi="sr-Cyrl-CS"/>
        </w:rPr>
        <w:t xml:space="preserve"> </w:t>
      </w:r>
    </w:p>
    <w:p w14:paraId="02266B7F" w14:textId="77777777" w:rsidR="00D210F0" w:rsidRPr="00092ED7" w:rsidRDefault="00D210F0" w:rsidP="00071952">
      <w:pPr>
        <w:pStyle w:val="ListParagraph"/>
        <w:widowControl w:val="0"/>
        <w:numPr>
          <w:ilvl w:val="0"/>
          <w:numId w:val="27"/>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животну средину и климатске промене</w:t>
      </w:r>
    </w:p>
    <w:p w14:paraId="16F69AD7" w14:textId="77777777" w:rsidR="00D210F0" w:rsidRPr="00092ED7" w:rsidRDefault="00D210F0" w:rsidP="00616441">
      <w:pPr>
        <w:widowControl w:val="0"/>
        <w:spacing w:after="60"/>
        <w:rPr>
          <w:rFonts w:cs="Times New Roman"/>
          <w:szCs w:val="24"/>
          <w:lang w:val="sr-Cyrl-CS" w:eastAsia="sr-Cyrl-CS" w:bidi="sr-Cyrl-CS"/>
        </w:rPr>
      </w:pPr>
      <w:r w:rsidRPr="00092ED7">
        <w:rPr>
          <w:rFonts w:cs="Times New Roman"/>
          <w:szCs w:val="24"/>
          <w:lang w:val="sr-Cyrl-CS" w:eastAsia="sr-Cyrl-CS" w:bidi="sr-Cyrl-CS"/>
        </w:rPr>
        <w:t>На напонском нивоу од 400 kV изражена су електрична пражњења (ефекат короне) која могу да створе звук специфичне фреквенције (100 Hz). Такође је на овом напонском нивоу ниво електричног поља близак граничним вредностима.</w:t>
      </w:r>
    </w:p>
    <w:p w14:paraId="0D9EEA53" w14:textId="77777777" w:rsidR="00D210F0" w:rsidRPr="00092ED7" w:rsidRDefault="00D210F0" w:rsidP="00047167">
      <w:pPr>
        <w:widowControl w:val="0"/>
        <w:spacing w:after="60"/>
        <w:rPr>
          <w:rFonts w:cs="Times New Roman"/>
          <w:szCs w:val="24"/>
          <w:lang w:val="sr-Cyrl-CS" w:eastAsia="sr-Cyrl-CS" w:bidi="sr-Cyrl-CS"/>
        </w:rPr>
      </w:pPr>
      <w:r w:rsidRPr="00092ED7">
        <w:rPr>
          <w:rFonts w:cs="Times New Roman"/>
          <w:szCs w:val="24"/>
          <w:lang w:val="sr-Cyrl-CS" w:eastAsia="sr-Cyrl-CS" w:bidi="sr-Cyrl-CS"/>
        </w:rPr>
        <w:t>Мере које ће се применити како би се редуковао ефекат короне су примена више проводника по фази и повећана висина проводника изнад земље у зонама повећане осетљивости. Због утицаја који далековод може имати на фауну, предвиђене су и мере за боље уочавање далековода.</w:t>
      </w:r>
    </w:p>
    <w:p w14:paraId="24902FD2" w14:textId="77777777" w:rsidR="00D210F0" w:rsidRPr="00092ED7" w:rsidRDefault="00D210F0" w:rsidP="00071952">
      <w:pPr>
        <w:widowControl w:val="0"/>
        <w:numPr>
          <w:ilvl w:val="0"/>
          <w:numId w:val="27"/>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209" w:type="dxa"/>
        <w:jc w:val="center"/>
        <w:tblLayout w:type="fixed"/>
        <w:tblLook w:val="04A0" w:firstRow="1" w:lastRow="0" w:firstColumn="1" w:lastColumn="0" w:noHBand="0" w:noVBand="1"/>
      </w:tblPr>
      <w:tblGrid>
        <w:gridCol w:w="3515"/>
        <w:gridCol w:w="2098"/>
        <w:gridCol w:w="3596"/>
      </w:tblGrid>
      <w:tr w:rsidR="00D210F0" w:rsidRPr="00092ED7" w14:paraId="1B393853" w14:textId="77777777" w:rsidTr="00AE4362">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4A875192" w14:textId="77777777" w:rsidR="00D210F0" w:rsidRPr="00092ED7" w:rsidRDefault="00D210F0" w:rsidP="00A37A7A">
            <w:pPr>
              <w:spacing w:before="0" w:after="0"/>
              <w:ind w:left="113" w:right="113"/>
              <w:jc w:val="center"/>
              <w:rPr>
                <w:sz w:val="20"/>
                <w:lang w:val="sr-Cyrl-CS"/>
              </w:rPr>
            </w:pPr>
            <w:r w:rsidRPr="00092ED7">
              <w:rPr>
                <w:rFonts w:cs="Times New Roman"/>
                <w:sz w:val="20"/>
                <w:lang w:val="sr-Cyrl-CS"/>
              </w:rPr>
              <w:t>Ризик</w:t>
            </w:r>
          </w:p>
        </w:tc>
        <w:tc>
          <w:tcPr>
            <w:tcW w:w="2098" w:type="dxa"/>
          </w:tcPr>
          <w:p w14:paraId="4451366A" w14:textId="77777777" w:rsidR="00D210F0" w:rsidRPr="00092ED7" w:rsidRDefault="00D210F0" w:rsidP="00A37A7A">
            <w:pPr>
              <w:spacing w:before="0" w:after="0"/>
              <w:ind w:left="113" w:right="113"/>
              <w:jc w:val="center"/>
              <w:rPr>
                <w:sz w:val="20"/>
                <w:lang w:val="sr-Cyrl-CS"/>
              </w:rPr>
            </w:pPr>
            <w:r w:rsidRPr="00092ED7">
              <w:rPr>
                <w:rFonts w:cs="Times New Roman"/>
                <w:sz w:val="20"/>
                <w:lang w:val="sr-Cyrl-CS"/>
              </w:rPr>
              <w:t>Вероватноћа за остваривање ризика</w:t>
            </w:r>
          </w:p>
        </w:tc>
        <w:tc>
          <w:tcPr>
            <w:tcW w:w="3596" w:type="dxa"/>
          </w:tcPr>
          <w:p w14:paraId="7AA15B51" w14:textId="77777777" w:rsidR="00D210F0" w:rsidRPr="00092ED7" w:rsidRDefault="00D210F0" w:rsidP="00A37A7A">
            <w:pPr>
              <w:spacing w:before="0" w:after="0"/>
              <w:ind w:left="113" w:right="113"/>
              <w:jc w:val="center"/>
              <w:rPr>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15176B21" w14:textId="77777777" w:rsidTr="00616441">
        <w:trPr>
          <w:jc w:val="center"/>
        </w:trPr>
        <w:tc>
          <w:tcPr>
            <w:tcW w:w="3515" w:type="dxa"/>
            <w:vAlign w:val="top"/>
          </w:tcPr>
          <w:p w14:paraId="7D329267" w14:textId="77777777" w:rsidR="00D210F0" w:rsidRPr="00092ED7" w:rsidRDefault="00D210F0" w:rsidP="00616441">
            <w:pPr>
              <w:spacing w:before="0" w:after="0"/>
              <w:ind w:left="113" w:right="113"/>
              <w:rPr>
                <w:sz w:val="20"/>
                <w:lang w:val="sr-Cyrl-CS"/>
              </w:rPr>
            </w:pPr>
            <w:r w:rsidRPr="00092ED7">
              <w:rPr>
                <w:rFonts w:cs="Times New Roman"/>
                <w:sz w:val="20"/>
                <w:lang w:val="sr-Cyrl-CS"/>
              </w:rPr>
              <w:t>Необезбеђење финансирања пројекта</w:t>
            </w:r>
          </w:p>
        </w:tc>
        <w:tc>
          <w:tcPr>
            <w:tcW w:w="2098" w:type="dxa"/>
            <w:vAlign w:val="top"/>
          </w:tcPr>
          <w:p w14:paraId="182779D9" w14:textId="77777777" w:rsidR="00D210F0" w:rsidRPr="00092ED7" w:rsidRDefault="00D210F0" w:rsidP="00616441">
            <w:pPr>
              <w:spacing w:before="0" w:after="0"/>
              <w:ind w:left="113" w:right="113"/>
              <w:jc w:val="center"/>
              <w:rPr>
                <w:sz w:val="20"/>
                <w:lang w:val="sr-Cyrl-CS"/>
              </w:rPr>
            </w:pPr>
            <w:r w:rsidRPr="00092ED7">
              <w:rPr>
                <w:rFonts w:cs="Times New Roman"/>
                <w:sz w:val="20"/>
                <w:lang w:val="sr-Cyrl-CS"/>
              </w:rPr>
              <w:t>Средња</w:t>
            </w:r>
          </w:p>
        </w:tc>
        <w:tc>
          <w:tcPr>
            <w:tcW w:w="3596" w:type="dxa"/>
            <w:vAlign w:val="top"/>
          </w:tcPr>
          <w:p w14:paraId="3D7A3A32" w14:textId="77777777" w:rsidR="00D210F0" w:rsidRPr="00092ED7" w:rsidRDefault="00D210F0" w:rsidP="00616441">
            <w:pPr>
              <w:spacing w:before="0" w:after="0"/>
              <w:ind w:left="113" w:right="113"/>
              <w:rPr>
                <w:sz w:val="20"/>
                <w:lang w:val="sr-Cyrl-CS"/>
              </w:rPr>
            </w:pPr>
            <w:r w:rsidRPr="00092ED7">
              <w:rPr>
                <w:rFonts w:cs="Times New Roman"/>
                <w:sz w:val="20"/>
                <w:lang w:val="sr-Cyrl-CS"/>
              </w:rPr>
              <w:t>Сопствено финансирање уз потписивање уговора о кредиту</w:t>
            </w:r>
            <w:r w:rsidR="00D47BD8" w:rsidRPr="00092ED7">
              <w:rPr>
                <w:rFonts w:cs="Times New Roman"/>
                <w:sz w:val="20"/>
                <w:lang w:val="sr-Cyrl-CS"/>
              </w:rPr>
              <w:t>.</w:t>
            </w:r>
          </w:p>
        </w:tc>
      </w:tr>
      <w:tr w:rsidR="00D210F0" w:rsidRPr="00092ED7" w14:paraId="0024DF0E" w14:textId="77777777" w:rsidTr="00616441">
        <w:trPr>
          <w:jc w:val="center"/>
        </w:trPr>
        <w:tc>
          <w:tcPr>
            <w:tcW w:w="3515" w:type="dxa"/>
            <w:vAlign w:val="top"/>
          </w:tcPr>
          <w:p w14:paraId="3E759818" w14:textId="77777777" w:rsidR="00D210F0" w:rsidRPr="00092ED7" w:rsidRDefault="00D210F0" w:rsidP="00616441">
            <w:pPr>
              <w:spacing w:before="0" w:after="0"/>
              <w:ind w:left="113" w:right="113"/>
              <w:rPr>
                <w:sz w:val="20"/>
                <w:lang w:val="sr-Cyrl-CS"/>
              </w:rPr>
            </w:pPr>
            <w:r w:rsidRPr="00092ED7">
              <w:rPr>
                <w:rFonts w:cs="Times New Roman"/>
                <w:sz w:val="20"/>
                <w:lang w:val="sr-Cyrl-CS"/>
              </w:rPr>
              <w:t>Обезбеђивање кредитних средстава</w:t>
            </w:r>
          </w:p>
        </w:tc>
        <w:tc>
          <w:tcPr>
            <w:tcW w:w="2098" w:type="dxa"/>
            <w:vAlign w:val="top"/>
          </w:tcPr>
          <w:p w14:paraId="4058B905" w14:textId="77777777" w:rsidR="00D210F0" w:rsidRPr="00092ED7" w:rsidRDefault="00D210F0" w:rsidP="00616441">
            <w:pPr>
              <w:spacing w:before="0" w:after="0"/>
              <w:ind w:left="113" w:right="113"/>
              <w:jc w:val="center"/>
              <w:rPr>
                <w:sz w:val="20"/>
                <w:lang w:val="sr-Cyrl-CS"/>
              </w:rPr>
            </w:pPr>
            <w:r w:rsidRPr="00092ED7">
              <w:rPr>
                <w:rFonts w:cs="Times New Roman"/>
                <w:sz w:val="20"/>
                <w:lang w:val="sr-Cyrl-CS"/>
              </w:rPr>
              <w:t>Ниска</w:t>
            </w:r>
          </w:p>
        </w:tc>
        <w:tc>
          <w:tcPr>
            <w:tcW w:w="3596" w:type="dxa"/>
            <w:vAlign w:val="top"/>
          </w:tcPr>
          <w:p w14:paraId="26BEC8AA" w14:textId="77777777" w:rsidR="00D210F0" w:rsidRPr="00092ED7" w:rsidRDefault="00D210F0" w:rsidP="00616441">
            <w:pPr>
              <w:spacing w:before="0" w:after="0"/>
              <w:ind w:left="113" w:right="113"/>
              <w:rPr>
                <w:sz w:val="20"/>
                <w:lang w:val="sr-Cyrl-CS"/>
              </w:rPr>
            </w:pPr>
            <w:r w:rsidRPr="00092ED7">
              <w:rPr>
                <w:rFonts w:cs="Times New Roman"/>
                <w:sz w:val="20"/>
                <w:lang w:val="sr-Cyrl-CS"/>
              </w:rPr>
              <w:t>Диверсификација захтева према међународним финансијским институцијама</w:t>
            </w:r>
            <w:r w:rsidR="00D47BD8" w:rsidRPr="00092ED7">
              <w:rPr>
                <w:rFonts w:cs="Times New Roman"/>
                <w:sz w:val="20"/>
                <w:lang w:val="sr-Cyrl-CS"/>
              </w:rPr>
              <w:t>.</w:t>
            </w:r>
          </w:p>
        </w:tc>
      </w:tr>
      <w:tr w:rsidR="00D210F0" w:rsidRPr="00092ED7" w14:paraId="5C27A530" w14:textId="77777777" w:rsidTr="00616441">
        <w:trPr>
          <w:jc w:val="center"/>
        </w:trPr>
        <w:tc>
          <w:tcPr>
            <w:tcW w:w="3515" w:type="dxa"/>
            <w:vAlign w:val="top"/>
          </w:tcPr>
          <w:p w14:paraId="218DBF87" w14:textId="77777777" w:rsidR="00D210F0" w:rsidRPr="00092ED7" w:rsidRDefault="00D210F0" w:rsidP="00616441">
            <w:pPr>
              <w:spacing w:before="0" w:after="0"/>
              <w:ind w:left="113" w:right="113"/>
              <w:rPr>
                <w:sz w:val="20"/>
                <w:lang w:val="sr-Cyrl-CS"/>
              </w:rPr>
            </w:pPr>
            <w:r w:rsidRPr="00092ED7">
              <w:rPr>
                <w:rFonts w:cs="Times New Roman"/>
                <w:sz w:val="20"/>
                <w:lang w:val="sr-Cyrl-CS"/>
              </w:rPr>
              <w:t>Решавање имовинско правних питања</w:t>
            </w:r>
          </w:p>
        </w:tc>
        <w:tc>
          <w:tcPr>
            <w:tcW w:w="2098" w:type="dxa"/>
            <w:vAlign w:val="top"/>
          </w:tcPr>
          <w:p w14:paraId="55F974A9" w14:textId="77777777" w:rsidR="00D210F0" w:rsidRPr="00092ED7" w:rsidRDefault="00D210F0" w:rsidP="00616441">
            <w:pPr>
              <w:spacing w:before="0" w:after="0"/>
              <w:ind w:left="113" w:right="113"/>
              <w:jc w:val="center"/>
              <w:rPr>
                <w:sz w:val="20"/>
                <w:lang w:val="sr-Cyrl-CS"/>
              </w:rPr>
            </w:pPr>
            <w:r w:rsidRPr="00092ED7">
              <w:rPr>
                <w:rFonts w:cs="Times New Roman"/>
                <w:sz w:val="20"/>
                <w:lang w:val="sr-Cyrl-CS"/>
              </w:rPr>
              <w:t>Средња</w:t>
            </w:r>
          </w:p>
        </w:tc>
        <w:tc>
          <w:tcPr>
            <w:tcW w:w="3596" w:type="dxa"/>
            <w:vAlign w:val="top"/>
          </w:tcPr>
          <w:p w14:paraId="5DFD5EB8" w14:textId="77777777" w:rsidR="00D210F0" w:rsidRPr="00092ED7" w:rsidRDefault="00D210F0" w:rsidP="00616441">
            <w:pPr>
              <w:spacing w:before="0" w:after="0"/>
              <w:ind w:left="113" w:right="113"/>
              <w:rPr>
                <w:sz w:val="20"/>
                <w:lang w:val="sr-Cyrl-CS"/>
              </w:rPr>
            </w:pPr>
            <w:r w:rsidRPr="00092ED7">
              <w:rPr>
                <w:rFonts w:cs="Times New Roman"/>
                <w:sz w:val="20"/>
                <w:lang w:val="sr-Cyrl-CS"/>
              </w:rPr>
              <w:t>Правовремена комуникација са локалним заједницама</w:t>
            </w:r>
            <w:r w:rsidR="00D47BD8" w:rsidRPr="00092ED7">
              <w:rPr>
                <w:rFonts w:cs="Times New Roman"/>
                <w:sz w:val="20"/>
                <w:lang w:val="sr-Cyrl-CS"/>
              </w:rPr>
              <w:t>.</w:t>
            </w:r>
          </w:p>
        </w:tc>
      </w:tr>
      <w:tr w:rsidR="00D210F0" w:rsidRPr="00092ED7" w14:paraId="3A53D2E8" w14:textId="77777777" w:rsidTr="00616441">
        <w:trPr>
          <w:jc w:val="center"/>
        </w:trPr>
        <w:tc>
          <w:tcPr>
            <w:tcW w:w="3515" w:type="dxa"/>
            <w:vAlign w:val="top"/>
          </w:tcPr>
          <w:p w14:paraId="77F9154D" w14:textId="5FF1E7C3" w:rsidR="00D210F0" w:rsidRPr="00092ED7" w:rsidRDefault="00D210F0" w:rsidP="00B94430">
            <w:pPr>
              <w:spacing w:before="0" w:after="0"/>
              <w:ind w:left="113" w:right="113"/>
              <w:rPr>
                <w:sz w:val="20"/>
                <w:lang w:val="sr-Cyrl-CS"/>
              </w:rPr>
            </w:pPr>
            <w:r w:rsidRPr="00092ED7">
              <w:rPr>
                <w:rFonts w:cs="Times New Roman"/>
                <w:sz w:val="20"/>
                <w:lang w:val="sr-Cyrl-CS"/>
              </w:rPr>
              <w:t xml:space="preserve">Промена цена и рокова испоруке материјала и услуга на тржишу услед пандемије </w:t>
            </w:r>
            <w:r w:rsidR="00B94430" w:rsidRPr="00092ED7">
              <w:rPr>
                <w:rFonts w:cs="Times New Roman"/>
                <w:bCs/>
                <w:iCs/>
                <w:sz w:val="20"/>
                <w:lang w:val="sr-Cyrl-CS"/>
              </w:rPr>
              <w:t>COVID</w:t>
            </w:r>
            <w:r w:rsidR="001C2A20" w:rsidRPr="00092ED7">
              <w:rPr>
                <w:rFonts w:cs="Times New Roman"/>
                <w:sz w:val="20"/>
                <w:lang w:val="sr-Cyrl-CS"/>
              </w:rPr>
              <w:t>-</w:t>
            </w:r>
            <w:r w:rsidRPr="00092ED7">
              <w:rPr>
                <w:rFonts w:cs="Times New Roman"/>
                <w:sz w:val="20"/>
                <w:lang w:val="sr-Cyrl-CS"/>
              </w:rPr>
              <w:t xml:space="preserve">19 и </w:t>
            </w:r>
            <w:r w:rsidR="00CF7989" w:rsidRPr="00092ED7">
              <w:rPr>
                <w:rFonts w:cs="Times New Roman"/>
                <w:sz w:val="20"/>
                <w:lang w:val="sr-Cyrl-CS"/>
              </w:rPr>
              <w:t xml:space="preserve">конфликта </w:t>
            </w:r>
            <w:r w:rsidRPr="00092ED7">
              <w:rPr>
                <w:rFonts w:cs="Times New Roman"/>
                <w:sz w:val="20"/>
                <w:lang w:val="sr-Cyrl-CS"/>
              </w:rPr>
              <w:t>у Украјини</w:t>
            </w:r>
          </w:p>
        </w:tc>
        <w:tc>
          <w:tcPr>
            <w:tcW w:w="2098" w:type="dxa"/>
            <w:vAlign w:val="top"/>
          </w:tcPr>
          <w:p w14:paraId="29B31646" w14:textId="77777777" w:rsidR="00D210F0" w:rsidRPr="00092ED7" w:rsidRDefault="00D210F0" w:rsidP="00616441">
            <w:pPr>
              <w:spacing w:before="0" w:after="0"/>
              <w:ind w:left="113" w:right="113"/>
              <w:jc w:val="center"/>
              <w:rPr>
                <w:sz w:val="20"/>
                <w:lang w:val="sr-Cyrl-CS"/>
              </w:rPr>
            </w:pPr>
            <w:r w:rsidRPr="00092ED7">
              <w:rPr>
                <w:rFonts w:cs="Times New Roman"/>
                <w:sz w:val="20"/>
                <w:lang w:val="sr-Cyrl-CS"/>
              </w:rPr>
              <w:t>Висока</w:t>
            </w:r>
          </w:p>
        </w:tc>
        <w:tc>
          <w:tcPr>
            <w:tcW w:w="3596" w:type="dxa"/>
            <w:vAlign w:val="top"/>
          </w:tcPr>
          <w:p w14:paraId="566A331A" w14:textId="77777777" w:rsidR="00D210F0" w:rsidRPr="00092ED7" w:rsidRDefault="00D210F0" w:rsidP="00616441">
            <w:pPr>
              <w:spacing w:before="0" w:after="0"/>
              <w:ind w:left="113" w:right="113"/>
              <w:rPr>
                <w:rFonts w:cs="Times New Roman"/>
                <w:sz w:val="20"/>
                <w:lang w:val="sr-Cyrl-CS"/>
              </w:rPr>
            </w:pPr>
            <w:r w:rsidRPr="00092ED7">
              <w:rPr>
                <w:rFonts w:cs="Times New Roman"/>
                <w:sz w:val="20"/>
                <w:lang w:val="sr-Cyrl-CS"/>
              </w:rPr>
              <w:t>Редовно праћење цена и стања на тржишту.</w:t>
            </w:r>
          </w:p>
          <w:p w14:paraId="433744B6" w14:textId="77777777" w:rsidR="00D210F0" w:rsidRPr="00092ED7" w:rsidRDefault="00D210F0" w:rsidP="00616441">
            <w:pPr>
              <w:spacing w:before="0" w:after="0"/>
              <w:ind w:left="113" w:right="113"/>
              <w:rPr>
                <w:sz w:val="20"/>
                <w:lang w:val="sr-Cyrl-CS"/>
              </w:rPr>
            </w:pPr>
            <w:r w:rsidRPr="00092ED7">
              <w:rPr>
                <w:rFonts w:cs="Times New Roman"/>
                <w:sz w:val="20"/>
                <w:lang w:val="sr-Cyrl-CS"/>
              </w:rPr>
              <w:t>Благовремено реговање на промене кроз управљање пројектом.</w:t>
            </w:r>
          </w:p>
        </w:tc>
      </w:tr>
    </w:tbl>
    <w:p w14:paraId="3CCEF17D" w14:textId="77777777" w:rsidR="00D210F0" w:rsidRPr="00092ED7" w:rsidRDefault="00D210F0" w:rsidP="00D210F0">
      <w:pPr>
        <w:keepNext/>
        <w:keepLines/>
        <w:spacing w:before="360"/>
        <w:outlineLvl w:val="1"/>
        <w:rPr>
          <w:rFonts w:eastAsia="Times New Roman" w:cs="Times New Roman"/>
          <w:b/>
          <w:bCs/>
          <w:szCs w:val="24"/>
          <w:lang w:val="sr-Cyrl-CS"/>
        </w:rPr>
      </w:pPr>
      <w:bookmarkStart w:id="60" w:name="_Toc124174807"/>
      <w:bookmarkStart w:id="61" w:name="_Toc126218626"/>
      <w:r w:rsidRPr="00092ED7">
        <w:rPr>
          <w:rFonts w:eastAsia="Times New Roman" w:cs="Times New Roman"/>
          <w:b/>
          <w:bCs/>
          <w:szCs w:val="24"/>
          <w:lang w:val="sr-Cyrl-CS"/>
        </w:rPr>
        <w:t>5.2.</w:t>
      </w:r>
      <w:bookmarkStart w:id="62" w:name="_bookmark24"/>
      <w:bookmarkEnd w:id="62"/>
      <w:r w:rsidRPr="00092ED7">
        <w:rPr>
          <w:rFonts w:eastAsia="Times New Roman" w:cs="Times New Roman"/>
          <w:b/>
          <w:bCs/>
          <w:szCs w:val="24"/>
          <w:lang w:val="sr-Cyrl-CS"/>
        </w:rPr>
        <w:t xml:space="preserve"> АНАЛИЗА ПРЕПРЕКА У ДРУГИМ ОБЛАСТИМА (КОЈЕ НИСУ ПОКРИВЕНЕ У ОДЕЉКУ 5.1) И ОДГОВАРАЈУЋЕ СТРУКТУРНЕ РЕФОРМЕ</w:t>
      </w:r>
      <w:bookmarkEnd w:id="60"/>
      <w:bookmarkEnd w:id="61"/>
    </w:p>
    <w:p w14:paraId="6A130EC4" w14:textId="77777777" w:rsidR="00D210F0" w:rsidRPr="00092ED7" w:rsidRDefault="00D210F0" w:rsidP="00D210F0">
      <w:pPr>
        <w:keepNext/>
        <w:keepLines/>
        <w:shd w:val="clear" w:color="auto" w:fill="D9D9D9" w:themeFill="background1" w:themeFillShade="D9"/>
        <w:spacing w:before="120"/>
        <w:outlineLvl w:val="2"/>
        <w:rPr>
          <w:rFonts w:eastAsiaTheme="majorEastAsia" w:cstheme="majorBidi"/>
          <w:b/>
          <w:shd w:val="clear" w:color="auto" w:fill="D9D9D9" w:themeFill="background1" w:themeFillShade="D9"/>
          <w:lang w:val="sr-Cyrl-CS"/>
        </w:rPr>
      </w:pPr>
      <w:bookmarkStart w:id="63" w:name="_Toc124174808"/>
      <w:bookmarkStart w:id="64" w:name="_Toc126218627"/>
      <w:r w:rsidRPr="00092ED7">
        <w:rPr>
          <w:rFonts w:eastAsiaTheme="majorEastAsia" w:cstheme="majorBidi"/>
          <w:b/>
          <w:lang w:val="sr-Cyrl-CS"/>
        </w:rPr>
        <w:t>5.2.1. Област УПРАВЉАЊЕ ЈАВНИМ ФИНАНСИЈАМА</w:t>
      </w:r>
      <w:bookmarkEnd w:id="63"/>
      <w:bookmarkEnd w:id="64"/>
    </w:p>
    <w:p w14:paraId="782A648B" w14:textId="611F109F" w:rsidR="00D210F0" w:rsidRPr="00092ED7" w:rsidRDefault="00D210F0" w:rsidP="00D210F0">
      <w:pPr>
        <w:spacing w:before="120"/>
        <w:rPr>
          <w:rFonts w:eastAsia="Times New Roman" w:cs="Times New Roman"/>
          <w:b/>
          <w:szCs w:val="24"/>
          <w:lang w:val="sr-Cyrl-CS"/>
        </w:rPr>
      </w:pPr>
      <w:r w:rsidRPr="00092ED7">
        <w:rPr>
          <w:rFonts w:eastAsia="Times New Roman" w:cs="Times New Roman"/>
          <w:b/>
          <w:szCs w:val="24"/>
          <w:lang w:val="sr-Cyrl-CS"/>
        </w:rPr>
        <w:t xml:space="preserve">а) Анализа главних </w:t>
      </w:r>
      <w:r w:rsidR="00770309" w:rsidRPr="00092ED7">
        <w:rPr>
          <w:rFonts w:eastAsia="Times New Roman" w:cs="Times New Roman"/>
          <w:b/>
          <w:szCs w:val="24"/>
          <w:lang w:val="sr-Cyrl-CS"/>
        </w:rPr>
        <w:t>изазова</w:t>
      </w:r>
    </w:p>
    <w:p w14:paraId="0D60258E" w14:textId="0257970D" w:rsidR="001E32DF" w:rsidRPr="00092ED7" w:rsidRDefault="001E32DF" w:rsidP="001E32DF">
      <w:pPr>
        <w:adjustRightInd w:val="0"/>
        <w:spacing w:after="60"/>
        <w:rPr>
          <w:lang w:val="sr-Cyrl-CS"/>
        </w:rPr>
      </w:pPr>
      <w:r w:rsidRPr="00092ED7">
        <w:rPr>
          <w:b/>
          <w:lang w:val="sr-Cyrl-CS"/>
        </w:rPr>
        <w:t>И поред неповољне ситуације на глобалном нивоу (пандемија, енергетска криза и раст инфлације, руско-украјински сукоб) очувана је стабилност јавних финансија</w:t>
      </w:r>
      <w:r w:rsidRPr="00092ED7">
        <w:rPr>
          <w:lang w:val="sr-Cyrl-CS"/>
        </w:rPr>
        <w:t xml:space="preserve">, са учешћем јавног дуга од 53,4% у БДП на крају августа 2022. (за 3,1 п.п. мање у односу на крај 2021. године). Укупни порески приходи су већи за 26,1% (приходи ПДВ за 31,2%) у првих </w:t>
      </w:r>
      <w:r w:rsidR="00DB6C56" w:rsidRPr="00092ED7">
        <w:rPr>
          <w:lang w:val="sr-Cyrl-CS"/>
        </w:rPr>
        <w:t xml:space="preserve">пет </w:t>
      </w:r>
      <w:r w:rsidRPr="00092ED7">
        <w:rPr>
          <w:lang w:val="sr-Cyrl-CS"/>
        </w:rPr>
        <w:t>месеци 2022. године у односу на исти период 2021. године (због наплате одложених пореских обавеза), док су укупни текући расходи у истом периоду смањени за 1,1% (уз раст капиталних расхода од 42,5%)</w:t>
      </w:r>
      <w:r w:rsidRPr="00092ED7">
        <w:rPr>
          <w:rStyle w:val="FootnoteReference"/>
          <w:lang w:val="sr-Cyrl-CS"/>
        </w:rPr>
        <w:footnoteReference w:id="95"/>
      </w:r>
      <w:r w:rsidRPr="00092ED7">
        <w:rPr>
          <w:lang w:val="sr-Cyrl-CS"/>
        </w:rPr>
        <w:t xml:space="preserve">, чиме је ојачана фискална позиција. Даље фискалне интервенције државе у циљу минимизирања ефеката кризе настојаће да не утичу на развојне програме и инфраструктурне пројекте финансиране из буџета, како би се обезбедио стабилан привредни раст. </w:t>
      </w:r>
      <w:r w:rsidRPr="00092ED7">
        <w:rPr>
          <w:lang w:val="sr-Cyrl-CS" w:eastAsia="ja-JP"/>
        </w:rPr>
        <w:t>Унапређење система управљања јавним финансијама је нужно, не само као подршка мерама фискалне стабилизације и структурним реформама, већ и као процес који доприноси реформи јавне управе у целини и осигурава привлачан амбијент за инвеститоре.</w:t>
      </w:r>
    </w:p>
    <w:p w14:paraId="3C8D7235" w14:textId="236EBF97" w:rsidR="001E32DF" w:rsidRPr="00092ED7" w:rsidRDefault="001E32DF" w:rsidP="001E32DF">
      <w:pPr>
        <w:adjustRightInd w:val="0"/>
        <w:spacing w:after="60"/>
        <w:rPr>
          <w:lang w:val="sr-Cyrl-CS"/>
        </w:rPr>
      </w:pPr>
      <w:r w:rsidRPr="00092ED7">
        <w:rPr>
          <w:b/>
          <w:lang w:val="sr-Cyrl-CS"/>
        </w:rPr>
        <w:t xml:space="preserve">Спровођењем </w:t>
      </w:r>
      <w:r w:rsidRPr="00092ED7">
        <w:rPr>
          <w:b/>
          <w:i/>
          <w:lang w:val="sr-Cyrl-CS"/>
        </w:rPr>
        <w:t>Програма реформе управљања јавним финансијама (</w:t>
      </w:r>
      <w:r w:rsidR="00B431FA" w:rsidRPr="00092ED7">
        <w:rPr>
          <w:b/>
          <w:i/>
          <w:lang w:val="sr-Cyrl-CS"/>
        </w:rPr>
        <w:t xml:space="preserve">у даљем тексту: </w:t>
      </w:r>
      <w:r w:rsidRPr="00092ED7">
        <w:rPr>
          <w:b/>
          <w:i/>
          <w:lang w:val="sr-Cyrl-CS"/>
        </w:rPr>
        <w:t>ПРУЈФ) за период 2021-2025. године</w:t>
      </w:r>
      <w:r w:rsidRPr="00092ED7">
        <w:rPr>
          <w:b/>
          <w:lang w:val="sr-Cyrl-CS"/>
        </w:rPr>
        <w:t xml:space="preserve"> са Акционим планом</w:t>
      </w:r>
      <w:r w:rsidRPr="00092ED7">
        <w:rPr>
          <w:lang w:val="sr-Cyrl-CS"/>
        </w:rPr>
        <w:t>, додатно су ојачани капацитети надлежних институција које учествују у буџетском циклусу, док сам ПРУЈФ</w:t>
      </w:r>
      <w:r w:rsidRPr="00092ED7" w:rsidDel="00A5603C">
        <w:rPr>
          <w:lang w:val="sr-Cyrl-CS"/>
        </w:rPr>
        <w:t xml:space="preserve"> </w:t>
      </w:r>
      <w:r w:rsidRPr="00092ED7">
        <w:rPr>
          <w:lang w:val="sr-Cyrl-CS"/>
        </w:rPr>
        <w:t>садржи читав низ мера које се тичу дигитализације јавних финансија. У претходном периоду остварен је усклађени развој области и напредак у свим сегментима покривеним ПРУЈФ, о чему сведочи и успешна реализација 11 од 12 планираних активности (стопа реализације 92%) из Акционог плана ПРУЈФ 2021-2025 за 2021. годину</w:t>
      </w:r>
      <w:r w:rsidRPr="00092ED7">
        <w:rPr>
          <w:rStyle w:val="FootnoteReference"/>
          <w:lang w:val="sr-Cyrl-CS"/>
        </w:rPr>
        <w:footnoteReference w:id="96"/>
      </w:r>
      <w:r w:rsidRPr="00092ED7">
        <w:rPr>
          <w:lang w:val="sr-Cyrl-CS"/>
        </w:rPr>
        <w:t>. Унапређење програмског буџетирања, средњорочног планирања, управљања капиталним пројектима и праћење фискалних ризика, трансформација Пореске управе и унапређење рада других управа у саставу М</w:t>
      </w:r>
      <w:r w:rsidR="00B431FA" w:rsidRPr="00092ED7">
        <w:rPr>
          <w:lang w:val="sr-Cyrl-CS"/>
        </w:rPr>
        <w:t>инистарства финансија</w:t>
      </w:r>
      <w:r w:rsidRPr="00092ED7">
        <w:rPr>
          <w:lang w:val="sr-Cyrl-CS"/>
        </w:rPr>
        <w:t>, дигитализација у јавним финансијама, унапређење система јавних набавки, јачање буџетске инспекције, управљачка одговорност и примена рачуноводствених стандарда, представљају кључне фокусе ПРУЈФ.</w:t>
      </w:r>
    </w:p>
    <w:p w14:paraId="196328E2" w14:textId="77777777" w:rsidR="001E32DF" w:rsidRPr="00092ED7" w:rsidRDefault="001E32DF" w:rsidP="001E32DF">
      <w:pPr>
        <w:spacing w:after="60"/>
        <w:rPr>
          <w:lang w:val="sr-Cyrl-CS"/>
        </w:rPr>
      </w:pPr>
      <w:r w:rsidRPr="00092ED7">
        <w:rPr>
          <w:b/>
          <w:lang w:val="sr-Cyrl-CS"/>
        </w:rPr>
        <w:t xml:space="preserve">Настављене су активности на унапређењу квалитета програмског буџетирања на свим нивоима власти. </w:t>
      </w:r>
      <w:r w:rsidRPr="00092ED7">
        <w:rPr>
          <w:lang w:val="sr-Cyrl-CS"/>
        </w:rPr>
        <w:t>Будући да је извештавање о учинку, при чему корисници имају обавезу да известе о реализацији показатеља учинка, програма и програмских активности, анализа програмске структуре, као и циљеви и показатељи учинка појединих министарстава. Формулисане су препоруке које ће корисници јавних средстава применити приликом дефинисања приоритетних области финансирања у периоду од 2023. до 2025. године, што ће довести до делотворнијег планирања буџетских средстава. Ојачани су капацитети ресорних министарстава у процесу израде програмских буџета и унапређено је повезивање буџета корисника јавних средстава са релевантним планским документима. Усвојени средњорочни планови омогућили су боље сагледавање вишегодишњих обавеза из планских докумената, усмеравање пажње на остваривању показатеља учинка и извештавање засновано на показатељима, бољем планирању јавних политика и ефикаснијој реализацији буџета.</w:t>
      </w:r>
    </w:p>
    <w:p w14:paraId="0C242079" w14:textId="6AB8D60D" w:rsidR="001E32DF" w:rsidRPr="00092ED7" w:rsidRDefault="001E32DF" w:rsidP="001E32DF">
      <w:pPr>
        <w:spacing w:after="60"/>
        <w:rPr>
          <w:lang w:val="sr-Cyrl-CS"/>
        </w:rPr>
      </w:pPr>
      <w:r w:rsidRPr="00092ED7">
        <w:rPr>
          <w:b/>
          <w:lang w:val="sr-Cyrl-CS"/>
        </w:rPr>
        <w:t>Управљање јавним инвестицијама представља један од приоритета управљања јавним финансијама,</w:t>
      </w:r>
      <w:r w:rsidRPr="00092ED7">
        <w:rPr>
          <w:lang w:val="sr-Cyrl-CS"/>
        </w:rPr>
        <w:t xml:space="preserve"> са фокусом на набавци и успостављању информационог система PIMIS, на пуној примени </w:t>
      </w:r>
      <w:r w:rsidRPr="00092ED7">
        <w:rPr>
          <w:i/>
          <w:lang w:val="sr-Cyrl-CS"/>
        </w:rPr>
        <w:t>Уредбе о управљању капиталним пројектима и свеобухватнијем праћењу капиталних пројеката без обзира на извор финансирања</w:t>
      </w:r>
      <w:r w:rsidRPr="00092ED7">
        <w:rPr>
          <w:lang w:val="sr-Cyrl-CS"/>
        </w:rPr>
        <w:t>.</w:t>
      </w:r>
    </w:p>
    <w:p w14:paraId="60FE888A" w14:textId="4FF89487" w:rsidR="001E32DF" w:rsidRPr="00092ED7" w:rsidRDefault="001E32DF" w:rsidP="001E32DF">
      <w:pPr>
        <w:spacing w:after="60"/>
        <w:rPr>
          <w:lang w:val="sr-Cyrl-CS"/>
        </w:rPr>
      </w:pPr>
      <w:r w:rsidRPr="00092ED7">
        <w:rPr>
          <w:b/>
          <w:lang w:val="sr-Cyrl-CS"/>
        </w:rPr>
        <w:t>Даља реформа Пореске управе уз пуну транспарентност и предвидљивост промене пореских прописа, кључни су за повећање буџетских прихода и унапређење управљања јавним финансијама, смањење сиве економије и унапређење пословног амбијента.</w:t>
      </w:r>
      <w:r w:rsidRPr="00092ED7">
        <w:rPr>
          <w:lang w:val="sr-Cyrl-CS"/>
        </w:rPr>
        <w:t xml:space="preserve"> Иако су спроведене значајне реформске активности у протеклом периоду, што се огледа у већој наплати јавних прихода, планирана је даља модернизација пореске администрације и аутоматизација поступака. Рад Пореске управе био је у највећој мери усмерен на реинжењеринг пословних процеса, процесе централизације, дигитализације, аутоматизације и развој ИТ система. У оквиру новог модела фискализације успостављена је централизована дигитална платформа и у оквиру ње напредна аналитичка платформа (НАП) у Пореској управи, као и пренос и верификовање података који се шаљу са фискалних каса у Пореску управу у реалном времену, чиме је омогућена већа наплата ПДВ, као и ефикаснији процес пореске контроле. У наредном периоду планирано је усвајање детаљног редизајнираног пословног модела и његова имплементација, уз набавку информационог система који ће подржати такве нове пословне процесе. Припремљена је и усвојена Преговарачка позиција за Поглавље 16 – Опорезивање.</w:t>
      </w:r>
    </w:p>
    <w:p w14:paraId="1FC8F405" w14:textId="4736BEE0" w:rsidR="001E32DF" w:rsidRPr="00092ED7" w:rsidRDefault="001E32DF" w:rsidP="00663528">
      <w:pPr>
        <w:spacing w:after="60"/>
        <w:rPr>
          <w:lang w:val="sr-Cyrl-CS"/>
        </w:rPr>
      </w:pPr>
      <w:r w:rsidRPr="00092ED7">
        <w:rPr>
          <w:lang w:val="sr-Cyrl-CS"/>
        </w:rPr>
        <w:t>У 2023. години планирана је реализација активности ПРУЈФ које се односе на даље унапређење буџетског процеса кроз анализу процеса припреме буџета земаља чланица ЕУ и обавеза Републике Србије приликом припреме буџета, менторска подршка изради средњорочних планова обвезника средњорочног планирања на републичком нивоу. Поред тога, у</w:t>
      </w:r>
      <w:r w:rsidRPr="00092ED7">
        <w:rPr>
          <w:lang w:val="sr-Cyrl-CS" w:eastAsia="ja-JP"/>
        </w:rPr>
        <w:t xml:space="preserve"> току је и израда електронског регистра запослених у јавном сектору „Искра”, који би требало да буде имплементиран до краја 2023. године.</w:t>
      </w:r>
      <w:r w:rsidRPr="00092ED7">
        <w:rPr>
          <w:lang w:val="sr-Cyrl-CS"/>
        </w:rPr>
        <w:t xml:space="preserve"> У области управљања капиталним пројектима, акценат ће бити на изради програма обуке за релевантне учеснике у процесу и израд</w:t>
      </w:r>
      <w:r w:rsidR="001B0269" w:rsidRPr="00092ED7">
        <w:rPr>
          <w:lang w:val="sr-Cyrl-CS"/>
        </w:rPr>
        <w:t>и</w:t>
      </w:r>
      <w:r w:rsidRPr="00092ED7">
        <w:rPr>
          <w:lang w:val="sr-Cyrl-CS"/>
        </w:rPr>
        <w:t xml:space="preserve"> приручника о методологији</w:t>
      </w:r>
      <w:r w:rsidR="001B0269" w:rsidRPr="00092ED7">
        <w:rPr>
          <w:lang w:val="sr-Cyrl-CS"/>
        </w:rPr>
        <w:t xml:space="preserve"> управљања капиталним пројектима</w:t>
      </w:r>
      <w:r w:rsidRPr="00092ED7">
        <w:rPr>
          <w:lang w:val="sr-Cyrl-CS"/>
        </w:rPr>
        <w:t>, као и даље унапређење модела за праћење фискалних ризика на основу Јединствене методологије</w:t>
      </w:r>
      <w:r w:rsidR="00904330" w:rsidRPr="00092ED7">
        <w:rPr>
          <w:lang w:val="sr-Cyrl-CS"/>
        </w:rPr>
        <w:t xml:space="preserve"> за праћење фискалних ризика у Републици Србији</w:t>
      </w:r>
      <w:r w:rsidRPr="00092ED7">
        <w:rPr>
          <w:lang w:val="sr-Cyrl-CS"/>
        </w:rPr>
        <w:t xml:space="preserve">. Наставак реформи укључује увођење система електронских отпремница – анализу законског и административног оквира, и увођење ИТ система за управљање непокретном имовином Министарства финансија и управа у саставу. У Управи царина планирана је реализација пројеката увозних и извозних аутоматизованих система (AIS-AES) и система управљања одлукама (CDMS). Такође, у области јавних набавки планирано је да се даље унапреде административни капацитети везани за наручиоце и понуђаче као и да се изради и усваји документ јавне политике за развој јавних набавки за период 2024-2028. Планиран је и почетак израде софтвера за интерну финансијску контролу у јавном сектору и унапређење сертификације интерних ревизора. Започета је модернизација обука Централне јединице за хармонизацију, као и доношење унапређених </w:t>
      </w:r>
      <w:r w:rsidR="00107BD4" w:rsidRPr="00092ED7">
        <w:rPr>
          <w:lang w:val="sr-Cyrl-CS"/>
        </w:rPr>
        <w:t>п</w:t>
      </w:r>
      <w:r w:rsidRPr="00092ED7">
        <w:rPr>
          <w:lang w:val="sr-Cyrl-CS"/>
        </w:rPr>
        <w:t xml:space="preserve">равилника из области </w:t>
      </w:r>
      <w:r w:rsidR="00572A59" w:rsidRPr="00092ED7">
        <w:rPr>
          <w:lang w:val="sr-Cyrl-CS"/>
        </w:rPr>
        <w:t>интерне ревизије</w:t>
      </w:r>
      <w:r w:rsidRPr="00092ED7">
        <w:rPr>
          <w:lang w:val="sr-Cyrl-CS"/>
        </w:rPr>
        <w:t>. Управа за трезор биће окренута ка унапређењу комплетности и обухвата рачуноводствених података кроз адекватно увођење рачуноводствених стандарда.</w:t>
      </w:r>
      <w:r w:rsidRPr="00092ED7">
        <w:rPr>
          <w:bCs/>
          <w:lang w:val="sr-Cyrl-CS"/>
        </w:rPr>
        <w:t xml:space="preserve"> </w:t>
      </w:r>
      <w:r w:rsidRPr="00092ED7">
        <w:rPr>
          <w:lang w:val="sr-Cyrl-CS"/>
        </w:rPr>
        <w:t xml:space="preserve">Коначно, предвиђена је израда нових процедура поступања, методолошких смерница </w:t>
      </w:r>
      <w:r w:rsidR="00107BD4" w:rsidRPr="00092ED7">
        <w:rPr>
          <w:lang w:val="sr-Cyrl-CS"/>
        </w:rPr>
        <w:t>и</w:t>
      </w:r>
      <w:r w:rsidRPr="00092ED7">
        <w:rPr>
          <w:lang w:val="sr-Cyrl-CS"/>
        </w:rPr>
        <w:t xml:space="preserve"> додатних помоћних алата за институције надлежне за управљање средствима ЕУ са циљем повећања ефикасности извршених контрола и смањења административног оптерећења.</w:t>
      </w:r>
    </w:p>
    <w:p w14:paraId="7B462E24" w14:textId="32FCE4F3" w:rsidR="001E32DF" w:rsidRPr="00092ED7" w:rsidRDefault="001E32DF" w:rsidP="00663528">
      <w:pPr>
        <w:adjustRightInd w:val="0"/>
        <w:spacing w:after="60"/>
        <w:rPr>
          <w:lang w:val="sr-Cyrl-CS" w:eastAsia="ja-JP"/>
        </w:rPr>
      </w:pPr>
      <w:r w:rsidRPr="00092ED7">
        <w:rPr>
          <w:lang w:val="sr-Cyrl-CS" w:eastAsia="ja-JP"/>
        </w:rPr>
        <w:t>У циљу даљег унапређења управљања јавним финансијама, како би се адекватно одговорило на изазове зелене трансформације у актуелним околностима, Република Србија је посвећена реформама управљања јавним финансијама у области зелене транзиције. Циљ је примена „зелених</w:t>
      </w:r>
      <w:r w:rsidR="00D86CAC" w:rsidRPr="00092ED7">
        <w:rPr>
          <w:rFonts w:cs="Times New Roman"/>
          <w:szCs w:val="24"/>
          <w:lang w:val="sr-Cyrl-CS"/>
        </w:rPr>
        <w:t>”</w:t>
      </w:r>
      <w:r w:rsidRPr="00092ED7">
        <w:rPr>
          <w:lang w:val="sr-Cyrl-CS" w:eastAsia="ja-JP"/>
        </w:rPr>
        <w:t xml:space="preserve"> критеријума у системима стратешког планирања, буџетирања, управљања капиталним инвестицијама, као и у области јавних набавки, као кључне расходне елементе буџетског циклуса. У 2023. години предвиђена је ревизија ПРУЈФ како би, поред осталог, укључио и активности у области управљања јавним финансијама које се односе на зелену транзицију.</w:t>
      </w:r>
    </w:p>
    <w:p w14:paraId="4E652279" w14:textId="77777777" w:rsidR="00D210F0" w:rsidRPr="00092ED7" w:rsidRDefault="001E32DF" w:rsidP="00663528">
      <w:pPr>
        <w:spacing w:after="60"/>
        <w:rPr>
          <w:lang w:val="sr-Cyrl-CS"/>
        </w:rPr>
      </w:pPr>
      <w:r w:rsidRPr="00092ED7">
        <w:rPr>
          <w:lang w:val="sr-Cyrl-CS"/>
        </w:rPr>
        <w:t>Наставком реализације планираних реформских мера систем управљања јавним финансијама биће додатно оснажен, што ће допринети његовој стабилности, предвидивости и отпорности, што је веома значајно у кризним ситуацијама. На тај начин остварује се стабилна основа за реформу јавне управе, реализацију структурних реформи и у другим областима, а привреди обезбеђује стабилно пословно окружење.</w:t>
      </w:r>
    </w:p>
    <w:p w14:paraId="18E85E7E"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б) Реформе</w:t>
      </w:r>
    </w:p>
    <w:p w14:paraId="257DB5C8" w14:textId="77777777" w:rsidR="00D210F0" w:rsidRPr="00092ED7" w:rsidRDefault="00D210F0" w:rsidP="00D210F0">
      <w:pPr>
        <w:rPr>
          <w:rFonts w:cs="Times New Roman"/>
          <w:bCs/>
          <w:szCs w:val="24"/>
          <w:lang w:val="sr-Cyrl-CS"/>
        </w:rPr>
      </w:pPr>
      <w:r w:rsidRPr="00092ED7">
        <w:rPr>
          <w:rFonts w:cs="Times New Roman"/>
          <w:b/>
          <w:bCs/>
          <w:szCs w:val="24"/>
          <w:u w:val="single"/>
          <w:lang w:val="sr-Cyrl-CS"/>
        </w:rPr>
        <w:t>СТРУКТУРНА РЕФОРМА 11</w:t>
      </w:r>
      <w:r w:rsidRPr="00092ED7">
        <w:rPr>
          <w:rFonts w:cs="Times New Roman"/>
          <w:b/>
          <w:bCs/>
          <w:szCs w:val="24"/>
          <w:lang w:val="sr-Cyrl-CS"/>
        </w:rPr>
        <w:t xml:space="preserve">: </w:t>
      </w:r>
      <w:r w:rsidRPr="00092ED7">
        <w:rPr>
          <w:rFonts w:cs="Times New Roman"/>
          <w:bCs/>
          <w:smallCaps/>
          <w:szCs w:val="24"/>
          <w:lang w:val="sr-Cyrl-CS"/>
        </w:rPr>
        <w:t>ТРАНСФОРМАЦИЈА</w:t>
      </w:r>
      <w:r w:rsidRPr="00092ED7">
        <w:rPr>
          <w:rFonts w:cs="Times New Roman"/>
          <w:b/>
          <w:smallCaps/>
          <w:szCs w:val="24"/>
          <w:lang w:val="sr-Cyrl-CS"/>
        </w:rPr>
        <w:t xml:space="preserve"> </w:t>
      </w:r>
      <w:r w:rsidRPr="00092ED7">
        <w:rPr>
          <w:rFonts w:cs="Times New Roman"/>
          <w:bCs/>
          <w:smallCaps/>
          <w:szCs w:val="24"/>
          <w:lang w:val="sr-Cyrl-CS"/>
        </w:rPr>
        <w:t xml:space="preserve">ПОРЕСКЕ </w:t>
      </w:r>
      <w:r w:rsidRPr="00092ED7">
        <w:rPr>
          <w:rFonts w:cs="Times New Roman"/>
          <w:bCs/>
          <w:szCs w:val="24"/>
          <w:lang w:val="sr-Cyrl-CS"/>
        </w:rPr>
        <w:t>УПРАВE</w:t>
      </w:r>
    </w:p>
    <w:p w14:paraId="62B3815C" w14:textId="77777777" w:rsidR="00D210F0" w:rsidRPr="00092ED7" w:rsidRDefault="00D210F0" w:rsidP="00071952">
      <w:pPr>
        <w:widowControl w:val="0"/>
        <w:numPr>
          <w:ilvl w:val="0"/>
          <w:numId w:val="28"/>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1B76A01C" w14:textId="2EEBC4F5" w:rsidR="00D210F0" w:rsidRPr="00092ED7" w:rsidRDefault="00D210F0" w:rsidP="00663528">
      <w:pPr>
        <w:widowControl w:val="0"/>
        <w:spacing w:after="60"/>
        <w:rPr>
          <w:rFonts w:cs="Times New Roman"/>
          <w:szCs w:val="24"/>
          <w:lang w:val="sr-Cyrl-CS"/>
        </w:rPr>
      </w:pPr>
      <w:r w:rsidRPr="00092ED7">
        <w:rPr>
          <w:rFonts w:cs="Times New Roman"/>
          <w:szCs w:val="24"/>
          <w:lang w:val="sr-Cyrl-CS"/>
        </w:rPr>
        <w:t xml:space="preserve">Реформа подразумева реализацију </w:t>
      </w:r>
      <w:r w:rsidRPr="00092ED7">
        <w:rPr>
          <w:rFonts w:cs="Times New Roman"/>
          <w:i/>
          <w:iCs/>
          <w:szCs w:val="24"/>
          <w:lang w:val="sr-Cyrl-CS"/>
        </w:rPr>
        <w:t>Програма трансформације Пореске управе за период 2021-2025. године</w:t>
      </w:r>
      <w:r w:rsidRPr="00092ED7">
        <w:rPr>
          <w:rFonts w:cs="Times New Roman"/>
          <w:szCs w:val="24"/>
          <w:lang w:val="sr-Cyrl-CS"/>
        </w:rPr>
        <w:t>, који представља оквир и дефинише пут који води до модерне и ефикасне Пореске управе 2025. године – која обезбеђује одрживе и предвидиве јавне финансије, тако да је присутна, доступна и интегрисана у природно окружење пореског обвезника; институција која артикулише интересе и потребе пословне заједнице ка</w:t>
      </w:r>
      <w:r w:rsidR="008A08D5" w:rsidRPr="00092ED7">
        <w:rPr>
          <w:rFonts w:cs="Times New Roman"/>
          <w:szCs w:val="24"/>
          <w:lang w:val="sr-Cyrl-CS"/>
        </w:rPr>
        <w:t xml:space="preserve"> Министарству финансија и Влади</w:t>
      </w:r>
      <w:r w:rsidRPr="00092ED7">
        <w:rPr>
          <w:rFonts w:cs="Times New Roman"/>
          <w:szCs w:val="24"/>
          <w:lang w:val="sr-Cyrl-CS"/>
        </w:rPr>
        <w:t xml:space="preserve">. Кроз рад са модерном </w:t>
      </w:r>
      <w:r w:rsidR="00E150E9" w:rsidRPr="00092ED7">
        <w:rPr>
          <w:rFonts w:cs="Times New Roman"/>
          <w:szCs w:val="24"/>
          <w:lang w:val="sr-Cyrl-CS"/>
        </w:rPr>
        <w:t>Пореском управом</w:t>
      </w:r>
      <w:r w:rsidRPr="00092ED7">
        <w:rPr>
          <w:rFonts w:cs="Times New Roman"/>
          <w:szCs w:val="24"/>
          <w:lang w:val="sr-Cyrl-CS"/>
        </w:rPr>
        <w:t>, пореским обвезницима ће бити поједностављено испуњење пореских обавеза, што уз адекватно вођење пореске политике представља основни предуслов за раст добровољног поштовања пореских прописа, сузбијање сиве економије и здрав и конкурентан привредни развој у Републици Србији.</w:t>
      </w:r>
    </w:p>
    <w:p w14:paraId="30E9050D" w14:textId="4AA87FE6" w:rsidR="00D210F0" w:rsidRPr="00092ED7" w:rsidRDefault="00D210F0" w:rsidP="00663528">
      <w:pPr>
        <w:widowControl w:val="0"/>
        <w:spacing w:after="60"/>
        <w:rPr>
          <w:rFonts w:cs="Times New Roman"/>
          <w:szCs w:val="24"/>
          <w:lang w:val="sr-Cyrl-CS"/>
        </w:rPr>
      </w:pPr>
      <w:r w:rsidRPr="00092ED7">
        <w:rPr>
          <w:rFonts w:cs="Times New Roman"/>
          <w:szCs w:val="24"/>
          <w:lang w:val="sr-Cyrl-CS"/>
        </w:rPr>
        <w:t xml:space="preserve">Програм трансформације има три стратешка циља: 1. Успостављање пословних процеса и организације у складу са најбољом међународном праксом, а у циљу повећања наплате јавних прихода; 2. Унапређење квалитета постојећих и увођење нових врста услуга прилагођених потребама пореских обвезника и 3. Развој функције људских ресурса који за резултат има профилисање новог пореског службеника изузетног нивоа професионалности и компетентности, чијом реализацијом се стварају темељи нове архитектуре </w:t>
      </w:r>
      <w:r w:rsidR="00E150E9" w:rsidRPr="00092ED7">
        <w:rPr>
          <w:rFonts w:cs="Times New Roman"/>
          <w:szCs w:val="24"/>
          <w:lang w:val="sr-Cyrl-CS"/>
        </w:rPr>
        <w:t xml:space="preserve">Пореске управе </w:t>
      </w:r>
      <w:r w:rsidRPr="00092ED7">
        <w:rPr>
          <w:rFonts w:cs="Times New Roman"/>
          <w:szCs w:val="24"/>
          <w:lang w:val="sr-Cyrl-CS"/>
        </w:rPr>
        <w:t>који су видљиви кроз три „производа</w:t>
      </w:r>
      <w:r w:rsidR="00D36EEE" w:rsidRPr="00092ED7">
        <w:rPr>
          <w:rFonts w:cs="Times New Roman"/>
          <w:szCs w:val="24"/>
          <w:lang w:val="sr-Cyrl-CS"/>
        </w:rPr>
        <w:t>”</w:t>
      </w:r>
      <w:r w:rsidRPr="00092ED7">
        <w:rPr>
          <w:rFonts w:cs="Times New Roman"/>
          <w:szCs w:val="24"/>
          <w:lang w:val="sr-Cyrl-CS"/>
        </w:rPr>
        <w:t xml:space="preserve">, односно компоненте: 1. Интегрисан информациони систем базиран на готовом комерцијалном решењу (COTS), који укршта и проверава податке </w:t>
      </w:r>
      <w:r w:rsidR="00E150E9" w:rsidRPr="00092ED7">
        <w:rPr>
          <w:rFonts w:cs="Times New Roman"/>
          <w:szCs w:val="24"/>
          <w:lang w:val="sr-Cyrl-CS"/>
        </w:rPr>
        <w:t xml:space="preserve">Пореске управе </w:t>
      </w:r>
      <w:r w:rsidRPr="00092ED7">
        <w:rPr>
          <w:rFonts w:cs="Times New Roman"/>
          <w:szCs w:val="24"/>
          <w:lang w:val="sr-Cyrl-CS"/>
        </w:rPr>
        <w:t xml:space="preserve">и трећих страна у циљу откривања пореских обвезника који не послују у складу са прописима; 2. Лични е-Портал пореског обвезника који представља модел за директну комуникацију са </w:t>
      </w:r>
      <w:r w:rsidR="00E150E9" w:rsidRPr="00092ED7">
        <w:rPr>
          <w:rFonts w:cs="Times New Roman"/>
          <w:szCs w:val="24"/>
          <w:lang w:val="sr-Cyrl-CS"/>
        </w:rPr>
        <w:t xml:space="preserve">Пореском управом </w:t>
      </w:r>
      <w:r w:rsidRPr="00092ED7">
        <w:rPr>
          <w:rFonts w:cs="Times New Roman"/>
          <w:szCs w:val="24"/>
          <w:lang w:val="sr-Cyrl-CS"/>
        </w:rPr>
        <w:t>и који у суштини представља дигиталну услугу прилагођену пореском обвезнику и 3. Формирање новог профила пореског службеника изузетног нивоа професионалности и компетентности.</w:t>
      </w:r>
    </w:p>
    <w:p w14:paraId="76738402" w14:textId="77777777" w:rsidR="00D210F0" w:rsidRPr="00092ED7" w:rsidRDefault="00D210F0" w:rsidP="00071952">
      <w:pPr>
        <w:widowControl w:val="0"/>
        <w:numPr>
          <w:ilvl w:val="0"/>
          <w:numId w:val="28"/>
        </w:numPr>
        <w:spacing w:before="120"/>
        <w:ind w:left="425" w:hanging="425"/>
        <w:rPr>
          <w:rFonts w:cs="Times New Roman"/>
          <w:b/>
          <w:bCs/>
          <w:szCs w:val="24"/>
          <w:lang w:val="sr-Cyrl-CS"/>
        </w:rPr>
      </w:pPr>
      <w:r w:rsidRPr="00092ED7">
        <w:rPr>
          <w:rFonts w:cs="Times New Roman"/>
          <w:b/>
          <w:bCs/>
          <w:szCs w:val="24"/>
          <w:lang w:val="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425"/>
        <w:gridCol w:w="4243"/>
        <w:gridCol w:w="372"/>
        <w:gridCol w:w="373"/>
        <w:gridCol w:w="372"/>
        <w:gridCol w:w="373"/>
        <w:gridCol w:w="372"/>
        <w:gridCol w:w="373"/>
        <w:gridCol w:w="373"/>
        <w:gridCol w:w="372"/>
        <w:gridCol w:w="373"/>
        <w:gridCol w:w="372"/>
        <w:gridCol w:w="373"/>
        <w:gridCol w:w="373"/>
      </w:tblGrid>
      <w:tr w:rsidR="00D210F0" w:rsidRPr="00092ED7" w14:paraId="5CEF4E28" w14:textId="77777777" w:rsidTr="00AE4362">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489C3B16"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РБ</w:t>
            </w:r>
          </w:p>
        </w:tc>
        <w:tc>
          <w:tcPr>
            <w:tcW w:w="4243"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2C93864C" w14:textId="77777777" w:rsidR="00D210F0" w:rsidRPr="00092ED7" w:rsidRDefault="00D210F0" w:rsidP="00E44EF2">
            <w:pPr>
              <w:spacing w:after="0"/>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3293DA24"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6D246A52"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290FC46D"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r w:rsidR="00AB722F" w:rsidRPr="00092ED7">
              <w:rPr>
                <w:rFonts w:cs="Times New Roman"/>
                <w:b/>
                <w:bCs/>
                <w:color w:val="000000"/>
                <w:sz w:val="20"/>
                <w:szCs w:val="20"/>
                <w:lang w:val="sr-Cyrl-CS"/>
              </w:rPr>
              <w:t>*</w:t>
            </w:r>
          </w:p>
        </w:tc>
      </w:tr>
      <w:tr w:rsidR="00D210F0" w:rsidRPr="00092ED7" w14:paraId="64B75DBA" w14:textId="77777777" w:rsidTr="00AE4362">
        <w:trPr>
          <w:trHeight w:hRule="exact" w:val="272"/>
        </w:trPr>
        <w:tc>
          <w:tcPr>
            <w:tcW w:w="425" w:type="dxa"/>
            <w:vMerge/>
            <w:tcBorders>
              <w:left w:val="single" w:sz="8" w:space="0" w:color="auto"/>
              <w:bottom w:val="single" w:sz="8" w:space="0" w:color="000000"/>
              <w:right w:val="nil"/>
            </w:tcBorders>
            <w:shd w:val="clear" w:color="000000" w:fill="BDD6EE"/>
            <w:vAlign w:val="center"/>
            <w:hideMark/>
          </w:tcPr>
          <w:p w14:paraId="63963616" w14:textId="77777777" w:rsidR="00D210F0" w:rsidRPr="00092ED7" w:rsidRDefault="00D210F0" w:rsidP="00E44EF2">
            <w:pPr>
              <w:spacing w:after="0"/>
              <w:jc w:val="center"/>
              <w:rPr>
                <w:rFonts w:cs="Times New Roman"/>
                <w:b/>
                <w:bCs/>
                <w:color w:val="000000"/>
                <w:sz w:val="21"/>
                <w:szCs w:val="21"/>
                <w:lang w:val="sr-Cyrl-CS"/>
              </w:rPr>
            </w:pPr>
          </w:p>
        </w:tc>
        <w:tc>
          <w:tcPr>
            <w:tcW w:w="4243"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14A5D6DE" w14:textId="77777777" w:rsidR="00D210F0" w:rsidRPr="00092ED7" w:rsidRDefault="00D210F0" w:rsidP="00E44EF2">
            <w:pPr>
              <w:spacing w:after="0"/>
              <w:rPr>
                <w:rFonts w:cs="Times New Roman"/>
                <w:b/>
                <w:bCs/>
                <w:color w:val="000000"/>
                <w:sz w:val="21"/>
                <w:szCs w:val="21"/>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930B334"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C57A058"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8AF0A43"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1E299252"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BDF0F6F"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75FDF47"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4058B59"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3BFA62E"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A570C2C"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87AEF8A"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F446F34"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1F6AF14A"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r>
      <w:tr w:rsidR="00D210F0" w:rsidRPr="00092ED7" w14:paraId="05201E56" w14:textId="77777777" w:rsidTr="00AE4362">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69938B19" w14:textId="77777777" w:rsidR="00D210F0" w:rsidRPr="00092ED7" w:rsidRDefault="00D210F0" w:rsidP="00E44EF2">
            <w:pPr>
              <w:spacing w:after="0"/>
              <w:jc w:val="center"/>
              <w:rPr>
                <w:rFonts w:cs="Times New Roman"/>
                <w:bCs/>
                <w:sz w:val="18"/>
                <w:szCs w:val="18"/>
                <w:lang w:val="sr-Cyrl-CS"/>
              </w:rPr>
            </w:pPr>
            <w:r w:rsidRPr="00092ED7">
              <w:rPr>
                <w:rFonts w:eastAsia="Times New Roman" w:cs="Times New Roman"/>
                <w:bCs/>
                <w:sz w:val="20"/>
                <w:szCs w:val="20"/>
                <w:lang w:val="sr-Cyrl-CS"/>
              </w:rPr>
              <w:t>1.</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5C4C38D0" w14:textId="33AF0134" w:rsidR="00D210F0" w:rsidRPr="00092ED7" w:rsidRDefault="00D210F0" w:rsidP="00E150E9">
            <w:pPr>
              <w:spacing w:after="0"/>
              <w:rPr>
                <w:rFonts w:cs="Times New Roman"/>
                <w:sz w:val="18"/>
                <w:szCs w:val="18"/>
                <w:lang w:val="sr-Cyrl-CS"/>
              </w:rPr>
            </w:pPr>
            <w:r w:rsidRPr="00092ED7">
              <w:rPr>
                <w:rFonts w:cs="Times New Roman"/>
                <w:sz w:val="20"/>
                <w:szCs w:val="20"/>
                <w:lang w:val="sr-Cyrl-CS"/>
              </w:rPr>
              <w:t xml:space="preserve">Реинжењеринг пословних процеса у пореским пословима укључујући обуку тренера за увођење нових функција у организационе јединице </w:t>
            </w:r>
            <w:r w:rsidR="00E150E9" w:rsidRPr="00092ED7">
              <w:rPr>
                <w:rFonts w:cs="Times New Roman"/>
                <w:sz w:val="20"/>
                <w:szCs w:val="20"/>
                <w:lang w:val="sr-Cyrl-CS"/>
              </w:rPr>
              <w:t>Пореске управе</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32C71A1"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0B10272D"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05BB9C3A"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09651D5D"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724266C"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0E2A21A"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1718101"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5A6F0117"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F89C79D"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3BBC055"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24CE3EBE"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1749CBE7" w14:textId="77777777" w:rsidR="00D210F0" w:rsidRPr="00092ED7" w:rsidRDefault="00D210F0" w:rsidP="00E44EF2">
            <w:pPr>
              <w:spacing w:after="0"/>
              <w:rPr>
                <w:rFonts w:cs="Times New Roman"/>
                <w:color w:val="000000"/>
                <w:sz w:val="18"/>
                <w:szCs w:val="18"/>
                <w:lang w:val="sr-Cyrl-CS"/>
              </w:rPr>
            </w:pPr>
          </w:p>
        </w:tc>
      </w:tr>
      <w:tr w:rsidR="00D210F0" w:rsidRPr="00092ED7" w14:paraId="134B4DC3" w14:textId="77777777" w:rsidTr="00B640AF">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3C386C4F" w14:textId="77777777" w:rsidR="00D210F0" w:rsidRPr="00092ED7" w:rsidRDefault="00D210F0" w:rsidP="00E44EF2">
            <w:pPr>
              <w:spacing w:after="0"/>
              <w:jc w:val="center"/>
              <w:rPr>
                <w:rFonts w:cs="Times New Roman"/>
                <w:bCs/>
                <w:sz w:val="18"/>
                <w:szCs w:val="18"/>
                <w:lang w:val="sr-Cyrl-CS"/>
              </w:rPr>
            </w:pPr>
            <w:r w:rsidRPr="00092ED7">
              <w:rPr>
                <w:rFonts w:eastAsia="Times New Roman" w:cs="Times New Roman"/>
                <w:bCs/>
                <w:sz w:val="20"/>
                <w:szCs w:val="20"/>
                <w:lang w:val="sr-Cyrl-CS"/>
              </w:rPr>
              <w:t>2.</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5B9FECD6" w14:textId="77777777" w:rsidR="00D210F0" w:rsidRPr="00092ED7" w:rsidRDefault="00D210F0" w:rsidP="00E44EF2">
            <w:pPr>
              <w:spacing w:after="0"/>
              <w:rPr>
                <w:rFonts w:cs="Times New Roman"/>
                <w:lang w:val="sr-Cyrl-CS"/>
              </w:rPr>
            </w:pPr>
            <w:r w:rsidRPr="00092ED7">
              <w:rPr>
                <w:rFonts w:cs="Times New Roman"/>
                <w:sz w:val="20"/>
                <w:szCs w:val="20"/>
                <w:lang w:val="sr-Cyrl-CS"/>
              </w:rPr>
              <w:t xml:space="preserve">Реализација Плана набавке </w:t>
            </w:r>
            <w:r w:rsidR="000E06AF" w:rsidRPr="00092ED7">
              <w:rPr>
                <w:rFonts w:cs="Times New Roman"/>
                <w:sz w:val="20"/>
                <w:szCs w:val="20"/>
                <w:lang w:val="sr-Cyrl-CS"/>
              </w:rPr>
              <w:t xml:space="preserve">пројекта </w:t>
            </w:r>
            <w:r w:rsidRPr="00092ED7">
              <w:rPr>
                <w:rFonts w:cs="Times New Roman"/>
                <w:sz w:val="20"/>
                <w:szCs w:val="20"/>
                <w:lang w:val="sr-Cyrl-CS"/>
              </w:rPr>
              <w:t>TAM</w:t>
            </w:r>
            <w:r w:rsidR="000E06AF" w:rsidRPr="00092ED7">
              <w:rPr>
                <w:rFonts w:cs="Times New Roman"/>
                <w:sz w:val="20"/>
                <w:szCs w:val="20"/>
                <w:lang w:val="sr-Cyrl-CS"/>
              </w:rPr>
              <w:t>П</w:t>
            </w:r>
          </w:p>
          <w:p w14:paraId="214DBB4A" w14:textId="5BCDF344" w:rsidR="00D210F0" w:rsidRPr="00092ED7" w:rsidRDefault="00D210F0" w:rsidP="00E150E9">
            <w:pPr>
              <w:spacing w:after="0"/>
              <w:rPr>
                <w:rFonts w:cs="Times New Roman"/>
                <w:lang w:val="sr-Cyrl-CS"/>
              </w:rPr>
            </w:pPr>
            <w:r w:rsidRPr="00092ED7">
              <w:rPr>
                <w:rFonts w:cs="Times New Roman"/>
                <w:sz w:val="20"/>
                <w:szCs w:val="20"/>
                <w:lang w:val="sr-Cyrl-CS"/>
              </w:rPr>
              <w:t xml:space="preserve">(Пројекат модернизације </w:t>
            </w:r>
            <w:r w:rsidR="00E150E9" w:rsidRPr="00092ED7">
              <w:rPr>
                <w:rFonts w:cs="Times New Roman"/>
                <w:sz w:val="20"/>
                <w:szCs w:val="20"/>
                <w:lang w:val="sr-Cyrl-CS"/>
              </w:rPr>
              <w:t>Пореске управе</w:t>
            </w:r>
            <w:r w:rsidRPr="00092ED7">
              <w:rPr>
                <w:rFonts w:cs="Times New Roman"/>
                <w:sz w:val="20"/>
                <w:szCs w:val="20"/>
                <w:lang w:val="sr-Cyrl-CS"/>
              </w:rPr>
              <w:t>)</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16CECA" w14:textId="77777777" w:rsidR="00D210F0" w:rsidRPr="00092ED7" w:rsidRDefault="00D210F0" w:rsidP="00E44EF2">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C07EB1C" w14:textId="77777777" w:rsidR="00D210F0" w:rsidRPr="00092ED7" w:rsidRDefault="00D210F0" w:rsidP="00E44EF2">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6D34ED7" w14:textId="77777777" w:rsidR="00D210F0" w:rsidRPr="00092ED7" w:rsidRDefault="00D210F0" w:rsidP="00E44EF2">
            <w:pPr>
              <w:spacing w:after="0"/>
              <w:rPr>
                <w:rFonts w:cs="Times New Roman"/>
                <w:color w:val="000000"/>
                <w:sz w:val="18"/>
                <w:szCs w:val="18"/>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3845464" w14:textId="77777777" w:rsidR="00D210F0" w:rsidRPr="00092ED7" w:rsidRDefault="00D210F0" w:rsidP="00E44EF2">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6A64257" w14:textId="77777777" w:rsidR="00D210F0" w:rsidRPr="00092ED7" w:rsidRDefault="00D210F0" w:rsidP="00E44EF2">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34BDE6B" w14:textId="77777777" w:rsidR="00D210F0" w:rsidRPr="00092ED7" w:rsidRDefault="00D210F0" w:rsidP="00E44EF2">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0A08E67" w14:textId="77777777" w:rsidR="00D210F0" w:rsidRPr="00092ED7" w:rsidRDefault="00D210F0" w:rsidP="00E44EF2">
            <w:pPr>
              <w:spacing w:after="0"/>
              <w:rPr>
                <w:rFonts w:cs="Times New Roman"/>
                <w:color w:val="000000"/>
                <w:sz w:val="18"/>
                <w:szCs w:val="18"/>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A83F5F6" w14:textId="77777777" w:rsidR="00D210F0" w:rsidRPr="00092ED7" w:rsidRDefault="00D210F0" w:rsidP="00E44EF2">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37FB176" w14:textId="77777777" w:rsidR="00D210F0" w:rsidRPr="00092ED7" w:rsidRDefault="00D210F0" w:rsidP="00E44EF2">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4C7E692" w14:textId="77777777" w:rsidR="00D210F0" w:rsidRPr="00092ED7" w:rsidRDefault="00D210F0" w:rsidP="00E44EF2">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3E51555" w14:textId="77777777" w:rsidR="00D210F0" w:rsidRPr="00092ED7" w:rsidRDefault="00D210F0" w:rsidP="00E44EF2">
            <w:pPr>
              <w:spacing w:after="0"/>
              <w:rPr>
                <w:rFonts w:cs="Times New Roman"/>
                <w:color w:val="000000"/>
                <w:sz w:val="18"/>
                <w:szCs w:val="18"/>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06700A64" w14:textId="77777777" w:rsidR="00D210F0" w:rsidRPr="00092ED7" w:rsidRDefault="00D210F0" w:rsidP="00E44EF2">
            <w:pPr>
              <w:spacing w:after="0"/>
              <w:rPr>
                <w:rFonts w:cs="Times New Roman"/>
                <w:color w:val="000000"/>
                <w:sz w:val="18"/>
                <w:szCs w:val="18"/>
                <w:lang w:val="sr-Cyrl-CS"/>
              </w:rPr>
            </w:pPr>
          </w:p>
        </w:tc>
      </w:tr>
      <w:tr w:rsidR="00D210F0" w:rsidRPr="00092ED7" w14:paraId="21CC3518" w14:textId="77777777" w:rsidTr="00B640AF">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AF2E47E" w14:textId="77777777" w:rsidR="00D210F0" w:rsidRPr="00092ED7" w:rsidRDefault="00D210F0" w:rsidP="00E44EF2">
            <w:pPr>
              <w:spacing w:after="0"/>
              <w:jc w:val="center"/>
              <w:rPr>
                <w:rFonts w:cs="Times New Roman"/>
                <w:bCs/>
                <w:sz w:val="18"/>
                <w:szCs w:val="18"/>
                <w:lang w:val="sr-Cyrl-CS"/>
              </w:rPr>
            </w:pPr>
            <w:r w:rsidRPr="00092ED7">
              <w:rPr>
                <w:rFonts w:eastAsia="Times New Roman" w:cs="Times New Roman"/>
                <w:bCs/>
                <w:sz w:val="20"/>
                <w:szCs w:val="20"/>
                <w:lang w:val="sr-Cyrl-CS"/>
              </w:rPr>
              <w:t>3.</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3348785" w14:textId="77777777" w:rsidR="00D210F0" w:rsidRPr="00092ED7" w:rsidRDefault="00D210F0" w:rsidP="00E44EF2">
            <w:pPr>
              <w:spacing w:after="0"/>
              <w:rPr>
                <w:rFonts w:cs="Times New Roman"/>
                <w:sz w:val="18"/>
                <w:szCs w:val="18"/>
                <w:lang w:val="sr-Cyrl-CS"/>
              </w:rPr>
            </w:pPr>
            <w:r w:rsidRPr="00092ED7">
              <w:rPr>
                <w:rFonts w:cs="Times New Roman"/>
                <w:sz w:val="20"/>
                <w:szCs w:val="20"/>
                <w:lang w:val="sr-Cyrl-CS"/>
              </w:rPr>
              <w:t>Анализа и увођење новог система за управљање евиденцијама кроз свеобухватни модел управљања информацијама</w:t>
            </w: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13FD9AC"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98E8BF4"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C9BDBD8"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24DBCE4"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546559"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FC0DE2C"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5182BD5"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B5648CC"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833795A"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9C330DC"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036467C"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D3ABF5E" w14:textId="77777777" w:rsidR="00D210F0" w:rsidRPr="00092ED7" w:rsidRDefault="00D210F0" w:rsidP="00E44EF2">
            <w:pPr>
              <w:spacing w:after="0"/>
              <w:rPr>
                <w:rFonts w:cs="Times New Roman"/>
                <w:color w:val="000000"/>
                <w:sz w:val="18"/>
                <w:szCs w:val="18"/>
                <w:lang w:val="sr-Cyrl-CS"/>
              </w:rPr>
            </w:pPr>
          </w:p>
        </w:tc>
      </w:tr>
      <w:tr w:rsidR="00D210F0" w:rsidRPr="00092ED7" w14:paraId="1C743A6E" w14:textId="77777777" w:rsidTr="00AE4362">
        <w:trPr>
          <w:trHeight w:val="300"/>
        </w:trPr>
        <w:tc>
          <w:tcPr>
            <w:tcW w:w="425"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321D992F" w14:textId="77777777" w:rsidR="00D210F0" w:rsidRPr="00092ED7" w:rsidRDefault="00D210F0" w:rsidP="00E44EF2">
            <w:pPr>
              <w:spacing w:after="0"/>
              <w:jc w:val="center"/>
              <w:rPr>
                <w:rFonts w:cs="Times New Roman"/>
                <w:bCs/>
                <w:sz w:val="18"/>
                <w:szCs w:val="18"/>
                <w:lang w:val="sr-Cyrl-CS"/>
              </w:rPr>
            </w:pPr>
            <w:r w:rsidRPr="00092ED7">
              <w:rPr>
                <w:rFonts w:eastAsia="Times New Roman" w:cs="Times New Roman"/>
                <w:bCs/>
                <w:sz w:val="20"/>
                <w:szCs w:val="20"/>
                <w:lang w:val="sr-Cyrl-CS"/>
              </w:rPr>
              <w:t>4.</w:t>
            </w:r>
          </w:p>
        </w:tc>
        <w:tc>
          <w:tcPr>
            <w:tcW w:w="42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348A7425" w14:textId="77777777" w:rsidR="00D210F0" w:rsidRPr="00092ED7" w:rsidRDefault="00D210F0" w:rsidP="00E44EF2">
            <w:pPr>
              <w:spacing w:after="0"/>
              <w:rPr>
                <w:rFonts w:cs="Times New Roman"/>
                <w:color w:val="000000"/>
                <w:sz w:val="18"/>
                <w:szCs w:val="18"/>
                <w:lang w:val="sr-Cyrl-CS"/>
              </w:rPr>
            </w:pPr>
            <w:r w:rsidRPr="00092ED7">
              <w:rPr>
                <w:rFonts w:cs="Times New Roman"/>
                <w:sz w:val="20"/>
                <w:szCs w:val="20"/>
                <w:lang w:val="sr-Cyrl-CS"/>
              </w:rPr>
              <w:t xml:space="preserve">Набавка система за нову платформу ИКТ </w:t>
            </w: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9681A3"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EF82E05"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20A4D90"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04E3553"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3608AD8"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9BB5B36"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3A6D8D2"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2D8BE96"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0147995"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C88EAA0"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B9DB706"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C831974" w14:textId="77777777" w:rsidR="00D210F0" w:rsidRPr="00092ED7" w:rsidRDefault="00D210F0" w:rsidP="00E44EF2">
            <w:pPr>
              <w:spacing w:after="0"/>
              <w:rPr>
                <w:rFonts w:cs="Times New Roman"/>
                <w:color w:val="000000"/>
                <w:sz w:val="18"/>
                <w:szCs w:val="18"/>
                <w:lang w:val="sr-Cyrl-CS"/>
              </w:rPr>
            </w:pPr>
          </w:p>
        </w:tc>
      </w:tr>
      <w:tr w:rsidR="00D210F0" w:rsidRPr="00092ED7" w14:paraId="40861488" w14:textId="77777777" w:rsidTr="00AE4362">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1F245C9" w14:textId="77777777" w:rsidR="00D210F0" w:rsidRPr="00092ED7" w:rsidRDefault="00D210F0" w:rsidP="00E44EF2">
            <w:pPr>
              <w:spacing w:after="0"/>
              <w:jc w:val="center"/>
              <w:rPr>
                <w:rFonts w:cs="Times New Roman"/>
                <w:sz w:val="18"/>
                <w:szCs w:val="18"/>
                <w:lang w:val="sr-Cyrl-CS"/>
              </w:rPr>
            </w:pPr>
            <w:r w:rsidRPr="00092ED7">
              <w:rPr>
                <w:rFonts w:cs="Times New Roman"/>
                <w:sz w:val="18"/>
                <w:szCs w:val="18"/>
                <w:lang w:val="sr-Cyrl-CS"/>
              </w:rPr>
              <w:t>5.</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66BEFDC" w14:textId="77777777" w:rsidR="00D210F0" w:rsidRPr="00092ED7" w:rsidRDefault="00D210F0" w:rsidP="00E44EF2">
            <w:pPr>
              <w:spacing w:after="0"/>
              <w:rPr>
                <w:rFonts w:cs="Times New Roman"/>
                <w:sz w:val="20"/>
                <w:szCs w:val="20"/>
                <w:lang w:val="sr-Cyrl-CS"/>
              </w:rPr>
            </w:pPr>
            <w:r w:rsidRPr="00092ED7">
              <w:rPr>
                <w:rFonts w:cs="Times New Roman"/>
                <w:sz w:val="20"/>
                <w:szCs w:val="20"/>
                <w:lang w:val="sr-Cyrl-CS"/>
              </w:rPr>
              <w:t>Институционални развој функције људских ресурса – кроз спровођење активности које обухватају реинжењеринг пословних процеса  функције људских ресурса, развој политика и управљачке праксе</w:t>
            </w: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5DD9B78"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1A22E8D"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5E09689"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3FBF244"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38A009C"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0461558"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BADC567"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47B0AF6"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F6053AA"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D76617E"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1871C94"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76032B4" w14:textId="77777777" w:rsidR="00D210F0" w:rsidRPr="00092ED7" w:rsidRDefault="00D210F0" w:rsidP="00E44EF2">
            <w:pPr>
              <w:spacing w:after="0"/>
              <w:rPr>
                <w:rFonts w:cs="Times New Roman"/>
                <w:color w:val="000000"/>
                <w:sz w:val="18"/>
                <w:szCs w:val="18"/>
                <w:lang w:val="sr-Cyrl-CS"/>
              </w:rPr>
            </w:pPr>
          </w:p>
        </w:tc>
      </w:tr>
      <w:tr w:rsidR="00D210F0" w:rsidRPr="00092ED7" w14:paraId="5663F291" w14:textId="77777777" w:rsidTr="00AE4362">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2CE8A08" w14:textId="77777777" w:rsidR="00D210F0" w:rsidRPr="00092ED7" w:rsidRDefault="00D210F0" w:rsidP="00E44EF2">
            <w:pPr>
              <w:spacing w:after="0"/>
              <w:jc w:val="center"/>
              <w:rPr>
                <w:rFonts w:cs="Times New Roman"/>
                <w:sz w:val="18"/>
                <w:szCs w:val="18"/>
                <w:lang w:val="sr-Cyrl-CS"/>
              </w:rPr>
            </w:pPr>
            <w:r w:rsidRPr="00092ED7">
              <w:rPr>
                <w:rFonts w:cs="Times New Roman"/>
                <w:sz w:val="18"/>
                <w:szCs w:val="18"/>
                <w:lang w:val="sr-Cyrl-CS"/>
              </w:rPr>
              <w:t>6.</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89252EF" w14:textId="77777777" w:rsidR="00D210F0" w:rsidRPr="00092ED7" w:rsidRDefault="00D210F0" w:rsidP="00E44EF2">
            <w:pPr>
              <w:spacing w:after="0"/>
              <w:rPr>
                <w:rFonts w:cs="Times New Roman"/>
                <w:sz w:val="20"/>
                <w:szCs w:val="20"/>
                <w:lang w:val="sr-Cyrl-CS"/>
              </w:rPr>
            </w:pPr>
            <w:r w:rsidRPr="00092ED7">
              <w:rPr>
                <w:rFonts w:cs="Times New Roman"/>
                <w:sz w:val="20"/>
                <w:szCs w:val="20"/>
                <w:lang w:val="sr-Cyrl-CS"/>
              </w:rPr>
              <w:t>Унапређење постојећег централизованог  информационог система за управљање људским ресурсима до потпуне централизације и аутоматизације процеса управљања људским ресурсима</w:t>
            </w: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08488BF"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77ECCD9"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68562EA"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630B326"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555BAA8"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4E690A2"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C4742E9"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4DEB6FD"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F1EF9A7"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25C4B52"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9C23F7D"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C0A68D2" w14:textId="77777777" w:rsidR="00D210F0" w:rsidRPr="00092ED7" w:rsidRDefault="00D210F0" w:rsidP="00E44EF2">
            <w:pPr>
              <w:spacing w:after="0"/>
              <w:rPr>
                <w:rFonts w:cs="Times New Roman"/>
                <w:color w:val="000000"/>
                <w:sz w:val="18"/>
                <w:szCs w:val="18"/>
                <w:lang w:val="sr-Cyrl-CS"/>
              </w:rPr>
            </w:pPr>
          </w:p>
        </w:tc>
      </w:tr>
      <w:tr w:rsidR="00D210F0" w:rsidRPr="00092ED7" w14:paraId="36CFF99E" w14:textId="77777777" w:rsidTr="00AE4362">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35D79F1" w14:textId="77777777" w:rsidR="00D210F0" w:rsidRPr="00092ED7" w:rsidRDefault="00D210F0" w:rsidP="00E44EF2">
            <w:pPr>
              <w:spacing w:after="0"/>
              <w:jc w:val="center"/>
              <w:rPr>
                <w:rFonts w:cs="Times New Roman"/>
                <w:sz w:val="18"/>
                <w:szCs w:val="18"/>
                <w:lang w:val="sr-Cyrl-CS"/>
              </w:rPr>
            </w:pPr>
            <w:r w:rsidRPr="00092ED7">
              <w:rPr>
                <w:rFonts w:cs="Times New Roman"/>
                <w:sz w:val="18"/>
                <w:szCs w:val="18"/>
                <w:lang w:val="sr-Cyrl-CS"/>
              </w:rPr>
              <w:t>7.</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41C0784" w14:textId="77777777" w:rsidR="00D210F0" w:rsidRPr="00092ED7" w:rsidRDefault="00D210F0" w:rsidP="00E44EF2">
            <w:pPr>
              <w:spacing w:after="0"/>
              <w:rPr>
                <w:rFonts w:cs="Times New Roman"/>
                <w:sz w:val="20"/>
                <w:szCs w:val="20"/>
                <w:lang w:val="sr-Cyrl-CS"/>
              </w:rPr>
            </w:pPr>
            <w:r w:rsidRPr="00092ED7">
              <w:rPr>
                <w:rFonts w:cs="Times New Roman"/>
                <w:sz w:val="20"/>
                <w:szCs w:val="20"/>
                <w:lang w:val="sr-Cyrl-CS"/>
              </w:rPr>
              <w:t>Унапређење посебног стручног усавршавања пореских службеника, уз подршку одговарајућег организационог облика за изградњу капацитета пореских службеника.</w:t>
            </w: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2591B30"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F74B7D0"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BC62F5"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52D2AEA"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0D45202"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C5B126F"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CDF01E4"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258724C"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625D215"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3F94EDD"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E5348F3"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C229C38" w14:textId="77777777" w:rsidR="00D210F0" w:rsidRPr="00092ED7" w:rsidRDefault="00D210F0" w:rsidP="00E44EF2">
            <w:pPr>
              <w:spacing w:after="0"/>
              <w:rPr>
                <w:rFonts w:cs="Times New Roman"/>
                <w:color w:val="000000"/>
                <w:sz w:val="18"/>
                <w:szCs w:val="18"/>
                <w:lang w:val="sr-Cyrl-CS"/>
              </w:rPr>
            </w:pPr>
          </w:p>
        </w:tc>
      </w:tr>
    </w:tbl>
    <w:p w14:paraId="63A8041A" w14:textId="06FA6D92" w:rsidR="00CE6286" w:rsidRPr="00092ED7" w:rsidRDefault="00CE6286" w:rsidP="00FB0EB9">
      <w:pPr>
        <w:tabs>
          <w:tab w:val="left" w:pos="360"/>
        </w:tabs>
        <w:spacing w:after="0"/>
        <w:contextualSpacing/>
        <w:rPr>
          <w:rFonts w:cs="Times New Roman"/>
          <w:bCs/>
          <w:sz w:val="16"/>
          <w:szCs w:val="16"/>
          <w:lang w:val="sr-Cyrl-CS"/>
        </w:rPr>
      </w:pPr>
      <w:r w:rsidRPr="00092ED7">
        <w:rPr>
          <w:rFonts w:cs="Times New Roman"/>
          <w:bCs/>
          <w:sz w:val="16"/>
          <w:szCs w:val="16"/>
          <w:lang w:val="sr-Cyrl-CS"/>
        </w:rPr>
        <w:t>*Реализација активности у 2025. години није означена у гантограму с обзиром да је рок завршетка пројекта ТАМП 31.</w:t>
      </w:r>
      <w:r w:rsidR="00E150E9" w:rsidRPr="00092ED7">
        <w:rPr>
          <w:rFonts w:cs="Times New Roman"/>
          <w:bCs/>
          <w:sz w:val="16"/>
          <w:szCs w:val="16"/>
          <w:lang w:val="sr-Cyrl-CS"/>
        </w:rPr>
        <w:t xml:space="preserve"> октобар </w:t>
      </w:r>
      <w:r w:rsidRPr="00092ED7">
        <w:rPr>
          <w:rFonts w:cs="Times New Roman"/>
          <w:bCs/>
          <w:sz w:val="16"/>
          <w:szCs w:val="16"/>
          <w:lang w:val="sr-Cyrl-CS"/>
        </w:rPr>
        <w:t xml:space="preserve">2024. године, </w:t>
      </w:r>
      <w:r w:rsidR="0034459D" w:rsidRPr="00092ED7">
        <w:rPr>
          <w:rFonts w:cs="Times New Roman"/>
          <w:bCs/>
          <w:sz w:val="16"/>
          <w:szCs w:val="16"/>
          <w:lang w:val="sr-Cyrl-CS"/>
        </w:rPr>
        <w:t xml:space="preserve">уз напомену да </w:t>
      </w:r>
      <w:r w:rsidRPr="00092ED7">
        <w:rPr>
          <w:rFonts w:cs="Times New Roman"/>
          <w:bCs/>
          <w:sz w:val="16"/>
          <w:szCs w:val="16"/>
          <w:lang w:val="sr-Cyrl-CS"/>
        </w:rPr>
        <w:t>постоји могућност да ће се реализација пројекта ТАМП продужити и у 2025. години.</w:t>
      </w:r>
    </w:p>
    <w:p w14:paraId="3FB25441" w14:textId="77777777" w:rsidR="00D210F0" w:rsidRPr="00092ED7" w:rsidRDefault="00D210F0" w:rsidP="00071952">
      <w:pPr>
        <w:widowControl w:val="0"/>
        <w:numPr>
          <w:ilvl w:val="0"/>
          <w:numId w:val="28"/>
        </w:numPr>
        <w:spacing w:before="120"/>
        <w:ind w:left="425" w:hanging="425"/>
        <w:rPr>
          <w:rFonts w:cs="Times New Roman"/>
          <w:b/>
          <w:bCs/>
          <w:szCs w:val="24"/>
          <w:lang w:val="sr-Cyrl-CS"/>
        </w:rPr>
      </w:pPr>
      <w:r w:rsidRPr="00092ED7">
        <w:rPr>
          <w:rFonts w:cs="Times New Roman"/>
          <w:b/>
          <w:bCs/>
          <w:szCs w:val="24"/>
          <w:lang w:val="sr-Cyrl-CS"/>
        </w:rPr>
        <w:t>Индикатори резултата</w:t>
      </w:r>
    </w:p>
    <w:tbl>
      <w:tblPr>
        <w:tblStyle w:val="TableGrid"/>
        <w:tblW w:w="9214" w:type="dxa"/>
        <w:tblInd w:w="-5" w:type="dxa"/>
        <w:tblLayout w:type="fixed"/>
        <w:tblLook w:val="04A0" w:firstRow="1" w:lastRow="0" w:firstColumn="1" w:lastColumn="0" w:noHBand="0" w:noVBand="1"/>
      </w:tblPr>
      <w:tblGrid>
        <w:gridCol w:w="4253"/>
        <w:gridCol w:w="1653"/>
        <w:gridCol w:w="1654"/>
        <w:gridCol w:w="1654"/>
      </w:tblGrid>
      <w:tr w:rsidR="00D210F0" w:rsidRPr="00092ED7" w14:paraId="07600A6D" w14:textId="77777777" w:rsidTr="00AE4362">
        <w:trPr>
          <w:cnfStyle w:val="100000000000" w:firstRow="1" w:lastRow="0" w:firstColumn="0" w:lastColumn="0" w:oddVBand="0" w:evenVBand="0" w:oddHBand="0" w:evenHBand="0" w:firstRowFirstColumn="0" w:firstRowLastColumn="0" w:lastRowFirstColumn="0" w:lastRowLastColumn="0"/>
        </w:trPr>
        <w:tc>
          <w:tcPr>
            <w:tcW w:w="4253" w:type="dxa"/>
          </w:tcPr>
          <w:p w14:paraId="3757104A" w14:textId="77777777" w:rsidR="00D210F0" w:rsidRPr="00092ED7" w:rsidRDefault="00D210F0" w:rsidP="00A37A7A">
            <w:pPr>
              <w:spacing w:before="0" w:after="0"/>
              <w:ind w:left="113" w:right="113"/>
              <w:jc w:val="center"/>
              <w:rPr>
                <w:rFonts w:cs="Times New Roman"/>
                <w:b w:val="0"/>
                <w:sz w:val="20"/>
                <w:lang w:val="sr-Cyrl-CS"/>
              </w:rPr>
            </w:pPr>
            <w:r w:rsidRPr="00092ED7">
              <w:rPr>
                <w:rFonts w:cs="Times New Roman"/>
                <w:sz w:val="20"/>
                <w:lang w:val="sr-Cyrl-CS"/>
              </w:rPr>
              <w:t>Пoказатељ</w:t>
            </w:r>
          </w:p>
        </w:tc>
        <w:tc>
          <w:tcPr>
            <w:tcW w:w="1653" w:type="dxa"/>
          </w:tcPr>
          <w:p w14:paraId="2218B616" w14:textId="77777777" w:rsidR="00D210F0" w:rsidRPr="00092ED7" w:rsidRDefault="00D210F0" w:rsidP="00A37A7A">
            <w:pPr>
              <w:spacing w:before="0" w:after="0"/>
              <w:ind w:left="113" w:right="113"/>
              <w:jc w:val="center"/>
              <w:rPr>
                <w:rFonts w:cs="Times New Roman"/>
                <w:b w:val="0"/>
                <w:sz w:val="20"/>
                <w:lang w:val="sr-Cyrl-CS"/>
              </w:rPr>
            </w:pPr>
            <w:r w:rsidRPr="00092ED7">
              <w:rPr>
                <w:rFonts w:cs="Times New Roman"/>
                <w:sz w:val="20"/>
                <w:lang w:val="sr-Cyrl-CS"/>
              </w:rPr>
              <w:t>Почетна вредност (</w:t>
            </w:r>
            <w:r w:rsidR="009C1B27" w:rsidRPr="00092ED7">
              <w:rPr>
                <w:rFonts w:cs="Times New Roman"/>
                <w:sz w:val="20"/>
                <w:lang w:val="sr-Cyrl-CS"/>
              </w:rPr>
              <w:t>2014</w:t>
            </w:r>
            <w:r w:rsidRPr="00092ED7">
              <w:rPr>
                <w:rFonts w:cs="Times New Roman"/>
                <w:sz w:val="20"/>
                <w:lang w:val="sr-Cyrl-CS"/>
              </w:rPr>
              <w:t>)</w:t>
            </w:r>
          </w:p>
        </w:tc>
        <w:tc>
          <w:tcPr>
            <w:tcW w:w="1654" w:type="dxa"/>
          </w:tcPr>
          <w:p w14:paraId="290E1D3F" w14:textId="77777777" w:rsidR="00D210F0" w:rsidRPr="00092ED7" w:rsidRDefault="00D210F0" w:rsidP="00A37A7A">
            <w:pPr>
              <w:spacing w:before="0" w:after="0"/>
              <w:ind w:left="113" w:right="113"/>
              <w:jc w:val="center"/>
              <w:rPr>
                <w:rFonts w:cs="Times New Roman"/>
                <w:b w:val="0"/>
                <w:sz w:val="20"/>
                <w:lang w:val="sr-Cyrl-CS"/>
              </w:rPr>
            </w:pPr>
            <w:r w:rsidRPr="00092ED7">
              <w:rPr>
                <w:rFonts w:cs="Times New Roman"/>
                <w:sz w:val="20"/>
                <w:lang w:val="sr-Cyrl-CS"/>
              </w:rPr>
              <w:t>Међурезултат (2021)</w:t>
            </w:r>
          </w:p>
        </w:tc>
        <w:tc>
          <w:tcPr>
            <w:tcW w:w="1654" w:type="dxa"/>
          </w:tcPr>
          <w:p w14:paraId="1D84B6A8" w14:textId="77777777" w:rsidR="00D210F0" w:rsidRPr="00092ED7" w:rsidRDefault="00D210F0" w:rsidP="00A37A7A">
            <w:pPr>
              <w:spacing w:before="0" w:after="0"/>
              <w:ind w:left="113" w:right="113"/>
              <w:jc w:val="center"/>
              <w:rPr>
                <w:rFonts w:cs="Times New Roman"/>
                <w:b w:val="0"/>
                <w:sz w:val="20"/>
                <w:lang w:val="sr-Cyrl-CS"/>
              </w:rPr>
            </w:pPr>
            <w:r w:rsidRPr="00092ED7">
              <w:rPr>
                <w:rFonts w:cs="Times New Roman"/>
                <w:sz w:val="20"/>
                <w:lang w:val="sr-Cyrl-CS"/>
              </w:rPr>
              <w:t>Циљна вредност (2025)</w:t>
            </w:r>
          </w:p>
        </w:tc>
      </w:tr>
      <w:tr w:rsidR="00D210F0" w:rsidRPr="00092ED7" w14:paraId="2601997B" w14:textId="77777777" w:rsidTr="00AE4362">
        <w:tc>
          <w:tcPr>
            <w:tcW w:w="4253" w:type="dxa"/>
          </w:tcPr>
          <w:p w14:paraId="0A7C9E57" w14:textId="77777777" w:rsidR="00D210F0" w:rsidRPr="00092ED7" w:rsidRDefault="00D210F0" w:rsidP="00AE4362">
            <w:pPr>
              <w:spacing w:before="0" w:after="0"/>
              <w:ind w:left="113" w:right="113"/>
              <w:rPr>
                <w:rFonts w:cs="Times New Roman"/>
                <w:bCs/>
                <w:sz w:val="20"/>
                <w:lang w:val="sr-Cyrl-CS"/>
              </w:rPr>
            </w:pPr>
            <w:r w:rsidRPr="00092ED7">
              <w:rPr>
                <w:rFonts w:cs="Times New Roman"/>
                <w:bCs/>
                <w:sz w:val="20"/>
                <w:lang w:val="sr-Cyrl-CS"/>
              </w:rPr>
              <w:t xml:space="preserve">Новорегистровани порески обвезници у календарској години </w:t>
            </w:r>
            <w:r w:rsidR="00AE4362" w:rsidRPr="00092ED7">
              <w:rPr>
                <w:rFonts w:cs="Times New Roman"/>
                <w:bCs/>
                <w:sz w:val="20"/>
                <w:lang w:val="sr-Cyrl-CS"/>
              </w:rPr>
              <w:t>(</w:t>
            </w:r>
            <w:r w:rsidRPr="00092ED7">
              <w:rPr>
                <w:rFonts w:cs="Times New Roman"/>
                <w:bCs/>
                <w:sz w:val="20"/>
                <w:lang w:val="sr-Cyrl-CS"/>
              </w:rPr>
              <w:t>у %)</w:t>
            </w:r>
            <w:r w:rsidRPr="00092ED7">
              <w:rPr>
                <w:rFonts w:cs="Times New Roman"/>
                <w:sz w:val="20"/>
                <w:lang w:val="sr-Cyrl-CS"/>
              </w:rPr>
              <w:t>*</w:t>
            </w:r>
          </w:p>
        </w:tc>
        <w:tc>
          <w:tcPr>
            <w:tcW w:w="1653" w:type="dxa"/>
          </w:tcPr>
          <w:p w14:paraId="69D31F8F" w14:textId="77777777" w:rsidR="00D210F0" w:rsidRPr="00092ED7" w:rsidRDefault="009C1B27" w:rsidP="00A37A7A">
            <w:pPr>
              <w:spacing w:before="0" w:after="0"/>
              <w:ind w:left="113" w:right="113"/>
              <w:jc w:val="center"/>
              <w:rPr>
                <w:rFonts w:cs="Times New Roman"/>
                <w:sz w:val="20"/>
                <w:lang w:val="sr-Cyrl-CS"/>
              </w:rPr>
            </w:pPr>
            <w:r w:rsidRPr="00092ED7">
              <w:rPr>
                <w:rFonts w:cs="Times New Roman"/>
                <w:sz w:val="20"/>
                <w:lang w:val="sr-Cyrl-CS"/>
              </w:rPr>
              <w:t>96,77</w:t>
            </w:r>
          </w:p>
        </w:tc>
        <w:tc>
          <w:tcPr>
            <w:tcW w:w="1654" w:type="dxa"/>
          </w:tcPr>
          <w:p w14:paraId="636E9461" w14:textId="77777777" w:rsidR="00D210F0" w:rsidRPr="00092ED7" w:rsidRDefault="00D210F0" w:rsidP="00A37A7A">
            <w:pPr>
              <w:spacing w:before="0" w:after="0"/>
              <w:ind w:left="113" w:right="113"/>
              <w:jc w:val="center"/>
              <w:rPr>
                <w:rFonts w:cs="Times New Roman"/>
                <w:sz w:val="20"/>
                <w:lang w:val="sr-Cyrl-CS"/>
              </w:rPr>
            </w:pPr>
            <w:r w:rsidRPr="00092ED7">
              <w:rPr>
                <w:rFonts w:cs="Times New Roman"/>
                <w:sz w:val="20"/>
                <w:lang w:val="sr-Cyrl-CS"/>
              </w:rPr>
              <w:t>110,31</w:t>
            </w:r>
          </w:p>
        </w:tc>
        <w:tc>
          <w:tcPr>
            <w:tcW w:w="1654" w:type="dxa"/>
          </w:tcPr>
          <w:p w14:paraId="243F2881" w14:textId="77777777" w:rsidR="00D210F0" w:rsidRPr="00092ED7" w:rsidRDefault="00D210F0" w:rsidP="00A37A7A">
            <w:pPr>
              <w:spacing w:before="0" w:after="0"/>
              <w:ind w:left="113" w:right="113"/>
              <w:jc w:val="center"/>
              <w:rPr>
                <w:rFonts w:cs="Times New Roman"/>
                <w:sz w:val="20"/>
                <w:lang w:val="sr-Cyrl-CS"/>
              </w:rPr>
            </w:pPr>
            <w:r w:rsidRPr="00092ED7">
              <w:rPr>
                <w:rFonts w:cs="Times New Roman"/>
                <w:sz w:val="20"/>
                <w:lang w:val="sr-Cyrl-CS"/>
              </w:rPr>
              <w:t>104,63</w:t>
            </w:r>
          </w:p>
        </w:tc>
      </w:tr>
      <w:tr w:rsidR="00D210F0" w:rsidRPr="00092ED7" w14:paraId="65AC5C35" w14:textId="77777777" w:rsidTr="00AE4362">
        <w:tc>
          <w:tcPr>
            <w:tcW w:w="4253" w:type="dxa"/>
            <w:tcBorders>
              <w:bottom w:val="single" w:sz="4" w:space="0" w:color="auto"/>
            </w:tcBorders>
          </w:tcPr>
          <w:p w14:paraId="2669DB80" w14:textId="77777777" w:rsidR="00D210F0" w:rsidRPr="00092ED7" w:rsidRDefault="00D210F0" w:rsidP="00AE4362">
            <w:pPr>
              <w:spacing w:before="0" w:after="0"/>
              <w:ind w:left="113" w:right="113"/>
              <w:rPr>
                <w:rFonts w:cs="Times New Roman"/>
                <w:bCs/>
                <w:sz w:val="20"/>
                <w:lang w:val="sr-Cyrl-CS"/>
              </w:rPr>
            </w:pPr>
            <w:r w:rsidRPr="00092ED7">
              <w:rPr>
                <w:rFonts w:cs="Times New Roman"/>
                <w:bCs/>
                <w:sz w:val="20"/>
                <w:lang w:val="sr-Cyrl-CS"/>
              </w:rPr>
              <w:t>Раст новооткривених прихода по годинама (у %)</w:t>
            </w:r>
            <w:r w:rsidRPr="00092ED7">
              <w:rPr>
                <w:rFonts w:cs="Times New Roman"/>
                <w:sz w:val="20"/>
                <w:lang w:val="sr-Cyrl-CS"/>
              </w:rPr>
              <w:t>**</w:t>
            </w:r>
          </w:p>
        </w:tc>
        <w:tc>
          <w:tcPr>
            <w:tcW w:w="1653" w:type="dxa"/>
            <w:tcBorders>
              <w:bottom w:val="single" w:sz="4" w:space="0" w:color="auto"/>
            </w:tcBorders>
          </w:tcPr>
          <w:p w14:paraId="461692D8" w14:textId="77777777" w:rsidR="00D210F0" w:rsidRPr="00092ED7" w:rsidRDefault="009C1B27" w:rsidP="00A37A7A">
            <w:pPr>
              <w:spacing w:before="0" w:after="0"/>
              <w:ind w:left="113" w:right="113"/>
              <w:jc w:val="center"/>
              <w:rPr>
                <w:rFonts w:cs="Times New Roman"/>
                <w:sz w:val="20"/>
                <w:lang w:val="sr-Cyrl-CS"/>
              </w:rPr>
            </w:pPr>
            <w:r w:rsidRPr="00092ED7">
              <w:rPr>
                <w:rFonts w:cs="Times New Roman"/>
                <w:sz w:val="20"/>
                <w:lang w:val="sr-Cyrl-CS"/>
              </w:rPr>
              <w:t>56,42</w:t>
            </w:r>
          </w:p>
        </w:tc>
        <w:tc>
          <w:tcPr>
            <w:tcW w:w="1654" w:type="dxa"/>
            <w:tcBorders>
              <w:bottom w:val="single" w:sz="4" w:space="0" w:color="auto"/>
            </w:tcBorders>
          </w:tcPr>
          <w:p w14:paraId="6B0C3E09" w14:textId="77777777" w:rsidR="00D210F0" w:rsidRPr="00092ED7" w:rsidRDefault="00D210F0" w:rsidP="00A37A7A">
            <w:pPr>
              <w:spacing w:before="0" w:after="0"/>
              <w:ind w:left="113" w:right="113"/>
              <w:jc w:val="center"/>
              <w:rPr>
                <w:rFonts w:cs="Times New Roman"/>
                <w:sz w:val="20"/>
                <w:lang w:val="sr-Cyrl-CS"/>
              </w:rPr>
            </w:pPr>
            <w:r w:rsidRPr="00092ED7">
              <w:rPr>
                <w:rFonts w:cs="Times New Roman"/>
                <w:sz w:val="20"/>
                <w:lang w:val="sr-Cyrl-CS"/>
              </w:rPr>
              <w:t>139,06</w:t>
            </w:r>
          </w:p>
        </w:tc>
        <w:tc>
          <w:tcPr>
            <w:tcW w:w="1654" w:type="dxa"/>
            <w:tcBorders>
              <w:bottom w:val="single" w:sz="4" w:space="0" w:color="auto"/>
            </w:tcBorders>
          </w:tcPr>
          <w:p w14:paraId="4FB4C9BE" w14:textId="77777777" w:rsidR="00D210F0" w:rsidRPr="00092ED7" w:rsidRDefault="00D210F0" w:rsidP="00A37A7A">
            <w:pPr>
              <w:spacing w:before="0" w:after="0"/>
              <w:ind w:left="113" w:right="113"/>
              <w:jc w:val="center"/>
              <w:rPr>
                <w:rFonts w:cs="Times New Roman"/>
                <w:sz w:val="20"/>
                <w:lang w:val="sr-Cyrl-CS"/>
              </w:rPr>
            </w:pPr>
            <w:r w:rsidRPr="00092ED7">
              <w:rPr>
                <w:rFonts w:cs="Times New Roman"/>
                <w:sz w:val="20"/>
                <w:lang w:val="sr-Cyrl-CS"/>
              </w:rPr>
              <w:t>104,01</w:t>
            </w:r>
          </w:p>
        </w:tc>
      </w:tr>
      <w:tr w:rsidR="00D210F0" w:rsidRPr="00092ED7" w14:paraId="4AD0C140" w14:textId="77777777" w:rsidTr="00AE4362">
        <w:tc>
          <w:tcPr>
            <w:tcW w:w="4253" w:type="dxa"/>
            <w:tcBorders>
              <w:bottom w:val="single" w:sz="4" w:space="0" w:color="auto"/>
            </w:tcBorders>
          </w:tcPr>
          <w:p w14:paraId="205A4375" w14:textId="77777777" w:rsidR="00D210F0" w:rsidRPr="00092ED7" w:rsidRDefault="00D210F0" w:rsidP="00AE4362">
            <w:pPr>
              <w:spacing w:before="0" w:after="0"/>
              <w:ind w:left="113" w:right="113"/>
              <w:rPr>
                <w:rFonts w:cs="Times New Roman"/>
                <w:bCs/>
                <w:sz w:val="20"/>
                <w:lang w:val="sr-Cyrl-CS"/>
              </w:rPr>
            </w:pPr>
            <w:r w:rsidRPr="00092ED7">
              <w:rPr>
                <w:rFonts w:cs="Times New Roman"/>
                <w:bCs/>
                <w:sz w:val="20"/>
                <w:lang w:val="sr-Cyrl-CS"/>
              </w:rPr>
              <w:t>Степен остварења наплатног задатка (у %)</w:t>
            </w:r>
            <w:r w:rsidRPr="00092ED7">
              <w:rPr>
                <w:rFonts w:cs="Times New Roman"/>
                <w:sz w:val="20"/>
                <w:lang w:val="sr-Cyrl-CS"/>
              </w:rPr>
              <w:t>***</w:t>
            </w:r>
          </w:p>
        </w:tc>
        <w:tc>
          <w:tcPr>
            <w:tcW w:w="1653" w:type="dxa"/>
            <w:tcBorders>
              <w:bottom w:val="single" w:sz="4" w:space="0" w:color="auto"/>
            </w:tcBorders>
          </w:tcPr>
          <w:p w14:paraId="41DAB00D" w14:textId="77777777" w:rsidR="00D210F0" w:rsidRPr="00092ED7" w:rsidRDefault="009C1B27" w:rsidP="00A37A7A">
            <w:pPr>
              <w:spacing w:before="0" w:after="0"/>
              <w:ind w:left="113" w:right="113"/>
              <w:jc w:val="center"/>
              <w:rPr>
                <w:rFonts w:cs="Times New Roman"/>
                <w:sz w:val="20"/>
                <w:lang w:val="sr-Cyrl-CS"/>
              </w:rPr>
            </w:pPr>
            <w:r w:rsidRPr="00092ED7">
              <w:rPr>
                <w:rFonts w:cs="Times New Roman"/>
                <w:sz w:val="20"/>
                <w:lang w:val="sr-Cyrl-CS"/>
              </w:rPr>
              <w:t>101,3</w:t>
            </w:r>
          </w:p>
        </w:tc>
        <w:tc>
          <w:tcPr>
            <w:tcW w:w="1654" w:type="dxa"/>
            <w:tcBorders>
              <w:bottom w:val="single" w:sz="4" w:space="0" w:color="auto"/>
            </w:tcBorders>
          </w:tcPr>
          <w:p w14:paraId="7DA0C6AC" w14:textId="77777777" w:rsidR="00D210F0" w:rsidRPr="00092ED7" w:rsidRDefault="00D210F0" w:rsidP="00A37A7A">
            <w:pPr>
              <w:spacing w:before="0" w:after="0"/>
              <w:ind w:left="113" w:right="113"/>
              <w:jc w:val="center"/>
              <w:rPr>
                <w:rFonts w:cs="Times New Roman"/>
                <w:sz w:val="20"/>
                <w:lang w:val="sr-Cyrl-CS"/>
              </w:rPr>
            </w:pPr>
            <w:r w:rsidRPr="00092ED7">
              <w:rPr>
                <w:rFonts w:cs="Times New Roman"/>
                <w:sz w:val="20"/>
                <w:lang w:val="sr-Cyrl-CS"/>
              </w:rPr>
              <w:t>107,8</w:t>
            </w:r>
          </w:p>
        </w:tc>
        <w:tc>
          <w:tcPr>
            <w:tcW w:w="1654" w:type="dxa"/>
            <w:tcBorders>
              <w:bottom w:val="single" w:sz="4" w:space="0" w:color="auto"/>
            </w:tcBorders>
          </w:tcPr>
          <w:p w14:paraId="1BF2C087" w14:textId="77777777" w:rsidR="00D210F0" w:rsidRPr="00092ED7" w:rsidRDefault="00D210F0" w:rsidP="00A37A7A">
            <w:pPr>
              <w:spacing w:before="0" w:after="0"/>
              <w:ind w:left="113" w:right="113"/>
              <w:jc w:val="center"/>
              <w:rPr>
                <w:rFonts w:cs="Times New Roman"/>
                <w:sz w:val="20"/>
                <w:lang w:val="sr-Cyrl-CS"/>
              </w:rPr>
            </w:pPr>
            <w:r w:rsidRPr="00092ED7">
              <w:rPr>
                <w:rFonts w:cs="Times New Roman"/>
                <w:sz w:val="20"/>
                <w:lang w:val="sr-Cyrl-CS"/>
              </w:rPr>
              <w:t>101</w:t>
            </w:r>
          </w:p>
        </w:tc>
      </w:tr>
    </w:tbl>
    <w:p w14:paraId="459295A8" w14:textId="77777777" w:rsidR="00D210F0" w:rsidRPr="00092ED7" w:rsidRDefault="00D210F0" w:rsidP="00D210F0">
      <w:pPr>
        <w:tabs>
          <w:tab w:val="left" w:pos="360"/>
        </w:tabs>
        <w:spacing w:after="0"/>
        <w:contextualSpacing/>
        <w:rPr>
          <w:rFonts w:cs="Times New Roman"/>
          <w:bCs/>
          <w:sz w:val="16"/>
          <w:szCs w:val="16"/>
          <w:lang w:val="sr-Cyrl-CS"/>
        </w:rPr>
      </w:pPr>
      <w:r w:rsidRPr="00092ED7">
        <w:rPr>
          <w:rFonts w:cs="Times New Roman"/>
          <w:bCs/>
          <w:sz w:val="16"/>
          <w:szCs w:val="16"/>
          <w:lang w:val="sr-Cyrl-CS"/>
        </w:rPr>
        <w:t xml:space="preserve">* Показатељ представља индекс године коју посматрамо у односу на претходну годину израчунат  на основу стварних вредности, укупног броја новорегистрованих пореских обвезника, док циљна вредност представља индекс две узастопне године на основу прогнозираног броја новорегистрованих пореских обвезника. </w:t>
      </w:r>
    </w:p>
    <w:p w14:paraId="23842CF8" w14:textId="77777777" w:rsidR="00D210F0" w:rsidRPr="00092ED7" w:rsidRDefault="00D210F0" w:rsidP="00D210F0">
      <w:pPr>
        <w:tabs>
          <w:tab w:val="left" w:pos="360"/>
        </w:tabs>
        <w:spacing w:after="0"/>
        <w:contextualSpacing/>
        <w:rPr>
          <w:rFonts w:cs="Times New Roman"/>
          <w:bCs/>
          <w:sz w:val="16"/>
          <w:szCs w:val="16"/>
          <w:lang w:val="sr-Cyrl-CS"/>
        </w:rPr>
      </w:pPr>
      <w:r w:rsidRPr="00092ED7">
        <w:rPr>
          <w:rFonts w:cs="Times New Roman"/>
          <w:bCs/>
          <w:sz w:val="16"/>
          <w:szCs w:val="16"/>
          <w:lang w:val="sr-Cyrl-CS"/>
        </w:rPr>
        <w:t>** Показатељ представља индекс године коју посматрамо у односу на претходну годину израчунат на основу евидентираних новооткривених прихода, док циљна вредност представља индекс две узастопне године  израчунат на основу прогнозираних новооткривених прихода.</w:t>
      </w:r>
    </w:p>
    <w:p w14:paraId="20BDDEE4" w14:textId="77777777" w:rsidR="00D210F0" w:rsidRPr="00092ED7" w:rsidRDefault="00D210F0" w:rsidP="00D210F0">
      <w:pPr>
        <w:tabs>
          <w:tab w:val="left" w:pos="360"/>
        </w:tabs>
        <w:spacing w:after="0"/>
        <w:contextualSpacing/>
        <w:rPr>
          <w:rFonts w:cs="Times New Roman"/>
          <w:bCs/>
          <w:sz w:val="16"/>
          <w:szCs w:val="16"/>
          <w:lang w:val="sr-Cyrl-CS"/>
        </w:rPr>
      </w:pPr>
      <w:r w:rsidRPr="00092ED7">
        <w:rPr>
          <w:rFonts w:cs="Times New Roman"/>
          <w:bCs/>
          <w:sz w:val="16"/>
          <w:szCs w:val="16"/>
          <w:lang w:val="sr-Cyrl-CS"/>
        </w:rPr>
        <w:t>***Показатељ представља однос остварене наплате најважнијих прихода буџета Републике Србије у датој години, у односу на буџетом планиране износе за ту годину.</w:t>
      </w:r>
    </w:p>
    <w:p w14:paraId="2F1C9E88" w14:textId="77777777" w:rsidR="00D210F0" w:rsidRPr="00092ED7" w:rsidRDefault="00D210F0" w:rsidP="00071952">
      <w:pPr>
        <w:widowControl w:val="0"/>
        <w:numPr>
          <w:ilvl w:val="0"/>
          <w:numId w:val="28"/>
        </w:numPr>
        <w:spacing w:before="120"/>
        <w:ind w:left="425" w:hanging="425"/>
        <w:rPr>
          <w:rFonts w:cs="Times New Roman"/>
          <w:b/>
          <w:szCs w:val="24"/>
          <w:lang w:val="sr-Cyrl-CS"/>
        </w:rPr>
      </w:pPr>
      <w:r w:rsidRPr="00092ED7">
        <w:rPr>
          <w:rFonts w:cs="Times New Roman"/>
          <w:b/>
          <w:szCs w:val="24"/>
          <w:lang w:val="sr-Cyrl-CS"/>
        </w:rPr>
        <w:t>Очекивани утицај на конкурентност</w:t>
      </w:r>
    </w:p>
    <w:p w14:paraId="77FA88BE" w14:textId="77777777" w:rsidR="00D210F0" w:rsidRPr="00092ED7" w:rsidRDefault="00D210F0" w:rsidP="00663528">
      <w:pPr>
        <w:widowControl w:val="0"/>
        <w:tabs>
          <w:tab w:val="left" w:pos="360"/>
        </w:tabs>
        <w:spacing w:after="60"/>
        <w:rPr>
          <w:rFonts w:cs="Times New Roman"/>
          <w:szCs w:val="24"/>
          <w:lang w:val="sr-Cyrl-CS"/>
        </w:rPr>
      </w:pPr>
      <w:r w:rsidRPr="00092ED7">
        <w:rPr>
          <w:rFonts w:cs="Times New Roman"/>
          <w:szCs w:val="24"/>
          <w:lang w:val="sr-Cyrl-CS"/>
        </w:rPr>
        <w:t>Један од значајних ефеката реализације структурне реформе је стварање услова за фер пословање и лојалну конкурентност привредних субјеката. Спровођење ове реформе</w:t>
      </w:r>
      <w:r w:rsidRPr="00092ED7">
        <w:rPr>
          <w:rFonts w:cs="Times New Roman"/>
          <w:lang w:val="sr-Cyrl-CS"/>
        </w:rPr>
        <w:t xml:space="preserve"> </w:t>
      </w:r>
      <w:r w:rsidRPr="00092ED7">
        <w:rPr>
          <w:rFonts w:cs="Times New Roman"/>
          <w:szCs w:val="24"/>
          <w:lang w:val="sr-Cyrl-CS"/>
        </w:rPr>
        <w:t>индиректно утиче на јачање конкурентности домаћих предузећа. Путем аутоматских/електронских, једноставних и бесплатних пореских процедура, администрирање пореских обавеза оставља привредним субјектима више средстава и времена да се посвете побољшању квалитета производа и услуга, што директно утиче на повећање конкурентности. Смањењем сиве економије повећава се конкурентност привредних субјеката који послују уз поштовање пореских прописа.</w:t>
      </w:r>
    </w:p>
    <w:p w14:paraId="615CC9D9" w14:textId="77777777" w:rsidR="00D210F0" w:rsidRPr="00092ED7" w:rsidRDefault="00D210F0" w:rsidP="00071952">
      <w:pPr>
        <w:widowControl w:val="0"/>
        <w:numPr>
          <w:ilvl w:val="0"/>
          <w:numId w:val="28"/>
        </w:numPr>
        <w:spacing w:before="120"/>
        <w:ind w:left="425" w:hanging="425"/>
        <w:rPr>
          <w:rFonts w:cs="Times New Roman"/>
          <w:b/>
          <w:szCs w:val="24"/>
          <w:lang w:val="sr-Cyrl-CS"/>
        </w:rPr>
      </w:pPr>
      <w:r w:rsidRPr="00092ED7">
        <w:rPr>
          <w:rFonts w:cs="Times New Roman"/>
          <w:b/>
          <w:szCs w:val="24"/>
          <w:lang w:val="sr-Cyrl-CS"/>
        </w:rPr>
        <w:t xml:space="preserve">Процењени трошкови спровођења структурне реформе и предвиђени извори њиховог финансирања </w:t>
      </w:r>
    </w:p>
    <w:p w14:paraId="3FB8682B" w14:textId="4725E51E" w:rsidR="007A395B" w:rsidRPr="00092ED7" w:rsidRDefault="007A395B" w:rsidP="00663528">
      <w:pPr>
        <w:widowControl w:val="0"/>
        <w:tabs>
          <w:tab w:val="left" w:pos="360"/>
        </w:tabs>
        <w:spacing w:after="60"/>
        <w:rPr>
          <w:rFonts w:eastAsia="TimesNewRomanPSMT" w:cs="Times New Roman"/>
          <w:color w:val="000000"/>
          <w:szCs w:val="24"/>
          <w:lang w:val="sr-Cyrl-CS"/>
        </w:rPr>
      </w:pPr>
      <w:r w:rsidRPr="00092ED7">
        <w:rPr>
          <w:rFonts w:eastAsia="TimesNewRomanPSMT" w:cs="Times New Roman"/>
          <w:color w:val="000000"/>
          <w:szCs w:val="24"/>
          <w:lang w:val="sr-Cyrl-CS"/>
        </w:rPr>
        <w:t>Структурна реформа се наставља из претходних година. Све планиране активности биће финансиране из кредитне линије Светске банке (</w:t>
      </w:r>
      <w:r w:rsidRPr="00092ED7">
        <w:rPr>
          <w:rFonts w:cs="Times New Roman"/>
          <w:szCs w:val="24"/>
          <w:lang w:val="sr-Cyrl-CS"/>
        </w:rPr>
        <w:t>TAMP</w:t>
      </w:r>
      <w:r w:rsidRPr="00092ED7">
        <w:rPr>
          <w:rFonts w:eastAsia="TimesNewRomanPSMT" w:cs="Times New Roman"/>
          <w:color w:val="000000"/>
          <w:szCs w:val="24"/>
          <w:lang w:val="sr-Cyrl-CS"/>
        </w:rPr>
        <w:t xml:space="preserve">). Процењени су трошкови од око </w:t>
      </w:r>
      <w:r w:rsidR="00AD44D0" w:rsidRPr="00092ED7">
        <w:rPr>
          <w:rFonts w:eastAsia="TimesNewRomanPSMT" w:cs="Times New Roman"/>
          <w:color w:val="000000"/>
          <w:szCs w:val="24"/>
          <w:lang w:val="sr-Cyrl-CS"/>
        </w:rPr>
        <w:t xml:space="preserve">8,3 </w:t>
      </w:r>
      <w:r w:rsidRPr="00092ED7">
        <w:rPr>
          <w:rFonts w:eastAsia="TimesNewRomanPSMT" w:cs="Times New Roman"/>
          <w:color w:val="000000"/>
          <w:szCs w:val="24"/>
          <w:lang w:val="sr-Cyrl-CS"/>
        </w:rPr>
        <w:t xml:space="preserve">милиона евра за 2023. годину и то: 190 хиљада евра за реинжењеринг пословних процеса; </w:t>
      </w:r>
      <w:r w:rsidR="00AD44D0" w:rsidRPr="00092ED7">
        <w:rPr>
          <w:rFonts w:eastAsia="TimesNewRomanPSMT" w:cs="Times New Roman"/>
          <w:color w:val="000000"/>
          <w:szCs w:val="24"/>
          <w:lang w:val="sr-Cyrl-CS"/>
        </w:rPr>
        <w:t>4,3</w:t>
      </w:r>
      <w:r w:rsidRPr="00092ED7">
        <w:rPr>
          <w:rFonts w:eastAsia="TimesNewRomanPSMT" w:cs="Times New Roman"/>
          <w:color w:val="000000"/>
          <w:szCs w:val="24"/>
          <w:lang w:val="sr-Cyrl-CS"/>
        </w:rPr>
        <w:t xml:space="preserve"> милиона евра за набавку система за нову платформу ИКТ; </w:t>
      </w:r>
      <w:r w:rsidR="00AD44D0" w:rsidRPr="00092ED7">
        <w:rPr>
          <w:rFonts w:eastAsia="TimesNewRomanPSMT" w:cs="Times New Roman"/>
          <w:color w:val="000000"/>
          <w:szCs w:val="24"/>
          <w:lang w:val="sr-Cyrl-CS"/>
        </w:rPr>
        <w:t>1,7</w:t>
      </w:r>
      <w:r w:rsidRPr="00092ED7">
        <w:rPr>
          <w:rFonts w:eastAsia="TimesNewRomanPSMT" w:cs="Times New Roman"/>
          <w:color w:val="000000"/>
          <w:szCs w:val="24"/>
          <w:lang w:val="sr-Cyrl-CS"/>
        </w:rPr>
        <w:t xml:space="preserve"> милиона евра за реализацију активности из Плана набавке </w:t>
      </w:r>
      <w:r w:rsidRPr="00092ED7">
        <w:rPr>
          <w:rFonts w:cs="Times New Roman"/>
          <w:szCs w:val="24"/>
          <w:lang w:val="sr-Cyrl-CS"/>
        </w:rPr>
        <w:t>TAMP</w:t>
      </w:r>
      <w:r w:rsidRPr="00092ED7">
        <w:rPr>
          <w:rFonts w:eastAsia="TimesNewRomanPSMT" w:cs="Times New Roman"/>
          <w:color w:val="000000"/>
          <w:szCs w:val="24"/>
          <w:lang w:val="sr-Cyrl-CS"/>
        </w:rPr>
        <w:t xml:space="preserve">; </w:t>
      </w:r>
      <w:r w:rsidR="00AD44D0" w:rsidRPr="00092ED7">
        <w:rPr>
          <w:rFonts w:eastAsia="TimesNewRomanPSMT" w:cs="Times New Roman"/>
          <w:color w:val="000000"/>
          <w:szCs w:val="24"/>
          <w:lang w:val="sr-Cyrl-CS"/>
        </w:rPr>
        <w:t xml:space="preserve">1,6 </w:t>
      </w:r>
      <w:r w:rsidRPr="00092ED7">
        <w:rPr>
          <w:rFonts w:eastAsia="TimesNewRomanPSMT" w:cs="Times New Roman"/>
          <w:color w:val="000000"/>
          <w:szCs w:val="24"/>
          <w:lang w:val="sr-Cyrl-CS"/>
        </w:rPr>
        <w:t xml:space="preserve">милиона евра за анализу и увођење савременог система за управљање евиденцијама и за Институционални развој функције људских ресурса око 500 хиљада евра. Поред тога су планирани трошкови од </w:t>
      </w:r>
      <w:r w:rsidR="00AD44D0" w:rsidRPr="00092ED7">
        <w:rPr>
          <w:rFonts w:eastAsia="TimesNewRomanPSMT" w:cs="Times New Roman"/>
          <w:color w:val="000000"/>
          <w:szCs w:val="24"/>
          <w:lang w:val="sr-Cyrl-CS"/>
        </w:rPr>
        <w:t xml:space="preserve">32 </w:t>
      </w:r>
      <w:r w:rsidRPr="00092ED7">
        <w:rPr>
          <w:rFonts w:eastAsia="TimesNewRomanPSMT" w:cs="Times New Roman"/>
          <w:color w:val="000000"/>
          <w:szCs w:val="24"/>
          <w:lang w:val="sr-Cyrl-CS"/>
        </w:rPr>
        <w:t xml:space="preserve">милиона евра у 2024. години, од чега за спровођење активности: анализа и увођење савременог система за управљање евиденцијама </w:t>
      </w:r>
      <w:r w:rsidR="00AD44D0" w:rsidRPr="00092ED7">
        <w:rPr>
          <w:rFonts w:eastAsia="TimesNewRomanPSMT" w:cs="Times New Roman"/>
          <w:color w:val="000000"/>
          <w:szCs w:val="24"/>
          <w:lang w:val="sr-Cyrl-CS"/>
        </w:rPr>
        <w:t xml:space="preserve">5,6 </w:t>
      </w:r>
      <w:r w:rsidRPr="00092ED7">
        <w:rPr>
          <w:rFonts w:eastAsia="TimesNewRomanPSMT" w:cs="Times New Roman"/>
          <w:color w:val="000000"/>
          <w:szCs w:val="24"/>
          <w:lang w:val="sr-Cyrl-CS"/>
        </w:rPr>
        <w:t xml:space="preserve"> милиона евра, за набавку система за нову ИКТ платформу </w:t>
      </w:r>
      <w:r w:rsidR="00AD44D0" w:rsidRPr="00092ED7">
        <w:rPr>
          <w:rFonts w:eastAsia="TimesNewRomanPSMT" w:cs="Times New Roman"/>
          <w:color w:val="000000"/>
          <w:szCs w:val="24"/>
          <w:lang w:val="sr-Cyrl-CS"/>
        </w:rPr>
        <w:t xml:space="preserve">19 </w:t>
      </w:r>
      <w:r w:rsidRPr="00092ED7">
        <w:rPr>
          <w:rFonts w:eastAsia="TimesNewRomanPSMT" w:cs="Times New Roman"/>
          <w:color w:val="000000"/>
          <w:szCs w:val="24"/>
          <w:lang w:val="sr-Cyrl-CS"/>
        </w:rPr>
        <w:t xml:space="preserve">милиона евра, за реализацију активности из Плана набавке </w:t>
      </w:r>
      <w:r w:rsidRPr="00092ED7">
        <w:rPr>
          <w:rFonts w:cs="Times New Roman"/>
          <w:szCs w:val="24"/>
          <w:lang w:val="sr-Cyrl-CS"/>
        </w:rPr>
        <w:t>TAMP</w:t>
      </w:r>
      <w:r w:rsidRPr="00092ED7">
        <w:rPr>
          <w:rFonts w:eastAsia="TimesNewRomanPSMT" w:cs="Times New Roman"/>
          <w:color w:val="000000"/>
          <w:szCs w:val="24"/>
          <w:lang w:val="sr-Cyrl-CS"/>
        </w:rPr>
        <w:t xml:space="preserve"> </w:t>
      </w:r>
      <w:r w:rsidR="00AD44D0" w:rsidRPr="00092ED7">
        <w:rPr>
          <w:rFonts w:eastAsia="TimesNewRomanPSMT" w:cs="Times New Roman"/>
          <w:color w:val="000000"/>
          <w:szCs w:val="24"/>
          <w:lang w:val="sr-Cyrl-CS"/>
        </w:rPr>
        <w:t xml:space="preserve">7,3 </w:t>
      </w:r>
      <w:r w:rsidRPr="00092ED7">
        <w:rPr>
          <w:rFonts w:eastAsia="TimesNewRomanPSMT" w:cs="Times New Roman"/>
          <w:color w:val="000000"/>
          <w:szCs w:val="24"/>
          <w:lang w:val="sr-Cyrl-CS"/>
        </w:rPr>
        <w:t xml:space="preserve">милиона евра и за Институционални развој функције људских ресурса </w:t>
      </w:r>
      <w:r w:rsidR="00AD44D0" w:rsidRPr="00092ED7">
        <w:rPr>
          <w:rFonts w:eastAsia="TimesNewRomanPSMT" w:cs="Times New Roman"/>
          <w:color w:val="000000"/>
          <w:szCs w:val="24"/>
          <w:lang w:val="sr-Cyrl-CS"/>
        </w:rPr>
        <w:t xml:space="preserve"> 135</w:t>
      </w:r>
      <w:r w:rsidRPr="00092ED7">
        <w:rPr>
          <w:rFonts w:eastAsia="TimesNewRomanPSMT" w:cs="Times New Roman"/>
          <w:color w:val="000000"/>
          <w:szCs w:val="24"/>
          <w:lang w:val="sr-Cyrl-CS"/>
        </w:rPr>
        <w:t xml:space="preserve"> хиљада евра.</w:t>
      </w:r>
    </w:p>
    <w:p w14:paraId="20810766" w14:textId="77777777" w:rsidR="00D210F0" w:rsidRPr="00092ED7" w:rsidRDefault="00D210F0" w:rsidP="00071952">
      <w:pPr>
        <w:widowControl w:val="0"/>
        <w:numPr>
          <w:ilvl w:val="0"/>
          <w:numId w:val="28"/>
        </w:numPr>
        <w:spacing w:before="120"/>
        <w:ind w:left="425" w:hanging="425"/>
        <w:rPr>
          <w:rFonts w:cs="Times New Roman"/>
          <w:b/>
          <w:szCs w:val="24"/>
          <w:lang w:val="sr-Cyrl-CS"/>
        </w:rPr>
      </w:pPr>
      <w:r w:rsidRPr="00092ED7">
        <w:rPr>
          <w:rFonts w:cs="Times New Roman"/>
          <w:b/>
          <w:szCs w:val="24"/>
          <w:lang w:val="sr-Cyrl-CS"/>
        </w:rPr>
        <w:t xml:space="preserve">Очекивани утицај на социјалне циљеве, као што су запосленост, смањење сиромаштва, родна равноправност и приступ здравственој заштити </w:t>
      </w:r>
    </w:p>
    <w:p w14:paraId="11059C5D" w14:textId="13D39727" w:rsidR="00D210F0" w:rsidRPr="00092ED7" w:rsidRDefault="008C5DCE" w:rsidP="00663528">
      <w:pPr>
        <w:widowControl w:val="0"/>
        <w:tabs>
          <w:tab w:val="left" w:pos="360"/>
        </w:tabs>
        <w:spacing w:after="60"/>
        <w:rPr>
          <w:rFonts w:cs="Times New Roman"/>
          <w:szCs w:val="24"/>
          <w:lang w:val="sr-Cyrl-CS"/>
        </w:rPr>
      </w:pPr>
      <w:r w:rsidRPr="00092ED7">
        <w:rPr>
          <w:rFonts w:cs="Times New Roman"/>
          <w:szCs w:val="24"/>
          <w:lang w:val="sr-Cyrl-CS"/>
        </w:rPr>
        <w:t xml:space="preserve">Структурном реформом уводе се јасна пореска правила која охрабрују грађане у намери да започну сопствени посао, </w:t>
      </w:r>
      <w:r w:rsidR="00E150E9" w:rsidRPr="00092ED7">
        <w:rPr>
          <w:rFonts w:cs="Times New Roman"/>
          <w:szCs w:val="24"/>
          <w:lang w:val="sr-Cyrl-CS"/>
        </w:rPr>
        <w:t xml:space="preserve">чиме се </w:t>
      </w:r>
      <w:r w:rsidRPr="00092ED7">
        <w:rPr>
          <w:rFonts w:cs="Times New Roman"/>
          <w:szCs w:val="24"/>
          <w:lang w:val="sr-Cyrl-CS"/>
        </w:rPr>
        <w:t>на индиректан начин утиче на повећање запослености, као и укупног друштвеног раста, односно смањења сиромаштва.  Бољом наплатом пореза веће су могућности буџетских издвајања за социјалну заштиту, образовање и здравство.</w:t>
      </w:r>
      <w:r w:rsidR="00D210F0" w:rsidRPr="00092ED7">
        <w:rPr>
          <w:rFonts w:cs="Times New Roman"/>
          <w:szCs w:val="24"/>
          <w:lang w:val="sr-Cyrl-CS"/>
        </w:rPr>
        <w:t xml:space="preserve"> Реформа ће имати подједнак позитиван утицај на оба пола.</w:t>
      </w:r>
    </w:p>
    <w:p w14:paraId="1F4C5A21" w14:textId="77777777" w:rsidR="00D210F0" w:rsidRPr="00092ED7" w:rsidRDefault="00D210F0" w:rsidP="00071952">
      <w:pPr>
        <w:widowControl w:val="0"/>
        <w:numPr>
          <w:ilvl w:val="0"/>
          <w:numId w:val="28"/>
        </w:numPr>
        <w:spacing w:before="120"/>
        <w:ind w:left="425" w:hanging="425"/>
        <w:rPr>
          <w:rFonts w:cs="Times New Roman"/>
          <w:b/>
          <w:szCs w:val="24"/>
          <w:lang w:val="sr-Cyrl-CS"/>
        </w:rPr>
      </w:pPr>
      <w:r w:rsidRPr="00092ED7">
        <w:rPr>
          <w:rFonts w:cs="Times New Roman"/>
          <w:b/>
          <w:szCs w:val="24"/>
          <w:lang w:val="sr-Cyrl-CS"/>
        </w:rPr>
        <w:t xml:space="preserve">Очекивани утицај на животну средину и климатске промене </w:t>
      </w:r>
    </w:p>
    <w:p w14:paraId="4F2A5C42" w14:textId="375A722F" w:rsidR="00D210F0" w:rsidRPr="00092ED7" w:rsidRDefault="00E150E9" w:rsidP="00663528">
      <w:pPr>
        <w:widowControl w:val="0"/>
        <w:tabs>
          <w:tab w:val="left" w:pos="360"/>
        </w:tabs>
        <w:spacing w:after="60"/>
        <w:rPr>
          <w:rFonts w:cs="Times New Roman"/>
          <w:szCs w:val="24"/>
          <w:lang w:val="sr-Cyrl-CS"/>
        </w:rPr>
      </w:pPr>
      <w:r w:rsidRPr="00092ED7">
        <w:rPr>
          <w:rFonts w:cs="Times New Roman"/>
          <w:szCs w:val="24"/>
          <w:lang w:val="sr-Cyrl-CS"/>
        </w:rPr>
        <w:t xml:space="preserve">Пореска управа </w:t>
      </w:r>
      <w:r w:rsidR="00D210F0" w:rsidRPr="00092ED7">
        <w:rPr>
          <w:rFonts w:cs="Times New Roman"/>
          <w:szCs w:val="24"/>
          <w:lang w:val="sr-Cyrl-CS"/>
        </w:rPr>
        <w:t>успешно имплементира и надгледа пројектне активности које подлежу ризицима заштите животне средине и да управља њиховим утицајима. У склопу тога је и припрема специфичних планова управљања животном средином (који укључују планове ублажавања и праћења стања животне средине за потпројекте) како би се осигурала ефективна заштита животне средине, здравље и безбедност на раду.</w:t>
      </w:r>
    </w:p>
    <w:p w14:paraId="272239A1" w14:textId="77777777" w:rsidR="00D210F0" w:rsidRPr="00092ED7" w:rsidRDefault="00D210F0" w:rsidP="00071952">
      <w:pPr>
        <w:widowControl w:val="0"/>
        <w:numPr>
          <w:ilvl w:val="0"/>
          <w:numId w:val="28"/>
        </w:numPr>
        <w:spacing w:before="120"/>
        <w:ind w:left="425" w:hanging="425"/>
        <w:rPr>
          <w:rFonts w:cs="Times New Roman"/>
          <w:b/>
          <w:bCs/>
          <w:szCs w:val="24"/>
          <w:lang w:val="sr-Cyrl-CS"/>
        </w:rPr>
      </w:pPr>
      <w:r w:rsidRPr="00092ED7">
        <w:rPr>
          <w:rFonts w:cs="Times New Roman"/>
          <w:b/>
          <w:bCs/>
          <w:szCs w:val="24"/>
          <w:lang w:val="sr-Cyrl-CS"/>
        </w:rPr>
        <w:t>Потенцијални ризици</w:t>
      </w:r>
    </w:p>
    <w:tbl>
      <w:tblPr>
        <w:tblStyle w:val="TableGrid"/>
        <w:tblW w:w="9072" w:type="dxa"/>
        <w:tblInd w:w="-5" w:type="dxa"/>
        <w:tblLayout w:type="fixed"/>
        <w:tblLook w:val="04A0" w:firstRow="1" w:lastRow="0" w:firstColumn="1" w:lastColumn="0" w:noHBand="0" w:noVBand="1"/>
      </w:tblPr>
      <w:tblGrid>
        <w:gridCol w:w="3685"/>
        <w:gridCol w:w="2098"/>
        <w:gridCol w:w="3289"/>
      </w:tblGrid>
      <w:tr w:rsidR="00D210F0" w:rsidRPr="00092ED7" w14:paraId="033D0C44" w14:textId="77777777" w:rsidTr="00AE4362">
        <w:trPr>
          <w:cnfStyle w:val="100000000000" w:firstRow="1" w:lastRow="0" w:firstColumn="0" w:lastColumn="0" w:oddVBand="0" w:evenVBand="0" w:oddHBand="0" w:evenHBand="0" w:firstRowFirstColumn="0" w:firstRowLastColumn="0" w:lastRowFirstColumn="0" w:lastRowLastColumn="0"/>
          <w:trHeight w:val="421"/>
        </w:trPr>
        <w:tc>
          <w:tcPr>
            <w:tcW w:w="3685" w:type="dxa"/>
          </w:tcPr>
          <w:p w14:paraId="67098D4F" w14:textId="77777777" w:rsidR="00D210F0" w:rsidRPr="00092ED7" w:rsidRDefault="00D210F0" w:rsidP="00A37A7A">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2098" w:type="dxa"/>
          </w:tcPr>
          <w:p w14:paraId="747EF5E6" w14:textId="77777777" w:rsidR="00D210F0" w:rsidRPr="00092ED7" w:rsidRDefault="00D210F0" w:rsidP="00A37A7A">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289" w:type="dxa"/>
          </w:tcPr>
          <w:p w14:paraId="45AC6F77" w14:textId="77777777" w:rsidR="00D210F0" w:rsidRPr="00092ED7" w:rsidRDefault="00D210F0" w:rsidP="00E44EF2">
            <w:pPr>
              <w:spacing w:before="0" w:after="0"/>
              <w:ind w:left="113" w:right="113"/>
              <w:jc w:val="center"/>
              <w:rPr>
                <w:rFonts w:cs="Times New Roman"/>
                <w:b w:val="0"/>
                <w:sz w:val="20"/>
                <w:lang w:val="sr-Cyrl-CS"/>
              </w:rPr>
            </w:pPr>
            <w:r w:rsidRPr="00092ED7">
              <w:rPr>
                <w:rFonts w:cs="Times New Roman"/>
                <w:sz w:val="20"/>
                <w:lang w:val="sr-Cyrl-CS"/>
              </w:rPr>
              <w:t>Активност за ублажавање негативних</w:t>
            </w:r>
            <w:r w:rsidR="00E44EF2" w:rsidRPr="00092ED7">
              <w:rPr>
                <w:rFonts w:cs="Times New Roman"/>
                <w:sz w:val="20"/>
                <w:lang w:val="sr-Cyrl-CS"/>
              </w:rPr>
              <w:t xml:space="preserve"> </w:t>
            </w:r>
            <w:r w:rsidRPr="00092ED7">
              <w:rPr>
                <w:rFonts w:cs="Times New Roman"/>
                <w:sz w:val="20"/>
                <w:lang w:val="sr-Cyrl-CS"/>
              </w:rPr>
              <w:t>ефеката ризика</w:t>
            </w:r>
          </w:p>
        </w:tc>
      </w:tr>
      <w:tr w:rsidR="00D210F0" w:rsidRPr="00092ED7" w14:paraId="551D1FDF" w14:textId="77777777" w:rsidTr="00663528">
        <w:trPr>
          <w:trHeight w:val="340"/>
        </w:trPr>
        <w:tc>
          <w:tcPr>
            <w:tcW w:w="3685" w:type="dxa"/>
            <w:vAlign w:val="top"/>
          </w:tcPr>
          <w:p w14:paraId="580C2C9F" w14:textId="23DB45B3" w:rsidR="00D210F0" w:rsidRPr="00092ED7" w:rsidRDefault="00D210F0" w:rsidP="00E150E9">
            <w:pPr>
              <w:spacing w:before="0" w:after="0"/>
              <w:ind w:left="113" w:right="113"/>
              <w:rPr>
                <w:rFonts w:cs="Times New Roman"/>
                <w:sz w:val="20"/>
                <w:lang w:val="sr-Cyrl-CS"/>
              </w:rPr>
            </w:pPr>
            <w:r w:rsidRPr="00092ED7">
              <w:rPr>
                <w:rFonts w:eastAsia="Calibri" w:cs="Times New Roman"/>
                <w:sz w:val="20"/>
                <w:lang w:val="sr-Cyrl-CS"/>
              </w:rPr>
              <w:t xml:space="preserve">Кашњење нових законодавних оквира заснованих на ИКТ и потребама реформе </w:t>
            </w:r>
            <w:r w:rsidR="00E150E9" w:rsidRPr="00092ED7">
              <w:rPr>
                <w:rFonts w:eastAsia="Calibri" w:cs="Times New Roman"/>
                <w:sz w:val="20"/>
                <w:lang w:val="sr-Cyrl-CS"/>
              </w:rPr>
              <w:t>Пореске управе</w:t>
            </w:r>
            <w:r w:rsidRPr="00092ED7">
              <w:rPr>
                <w:rFonts w:eastAsia="Calibri" w:cs="Times New Roman"/>
                <w:sz w:val="20"/>
                <w:lang w:val="sr-Cyrl-CS"/>
              </w:rPr>
              <w:t>, или неприхватање измена за постојеће</w:t>
            </w:r>
          </w:p>
        </w:tc>
        <w:tc>
          <w:tcPr>
            <w:tcW w:w="2098" w:type="dxa"/>
            <w:vAlign w:val="top"/>
          </w:tcPr>
          <w:p w14:paraId="6618B823" w14:textId="77777777" w:rsidR="00D210F0" w:rsidRPr="00092ED7" w:rsidRDefault="00D210F0" w:rsidP="00663528">
            <w:pPr>
              <w:spacing w:before="0" w:after="0"/>
              <w:ind w:left="113" w:right="113"/>
              <w:jc w:val="center"/>
              <w:rPr>
                <w:rFonts w:cs="Times New Roman"/>
                <w:sz w:val="20"/>
                <w:lang w:val="sr-Cyrl-CS"/>
              </w:rPr>
            </w:pPr>
            <w:r w:rsidRPr="00092ED7">
              <w:rPr>
                <w:rFonts w:cs="Times New Roman"/>
                <w:sz w:val="20"/>
                <w:lang w:val="sr-Cyrl-CS"/>
              </w:rPr>
              <w:t>Средња</w:t>
            </w:r>
          </w:p>
        </w:tc>
        <w:tc>
          <w:tcPr>
            <w:tcW w:w="3289" w:type="dxa"/>
            <w:vAlign w:val="top"/>
          </w:tcPr>
          <w:p w14:paraId="5D5D0888" w14:textId="77777777" w:rsidR="00D210F0" w:rsidRPr="00092ED7" w:rsidRDefault="00D210F0" w:rsidP="00663528">
            <w:pPr>
              <w:spacing w:before="0" w:after="0"/>
              <w:ind w:left="113" w:right="113"/>
              <w:rPr>
                <w:rFonts w:cs="Times New Roman"/>
                <w:sz w:val="20"/>
                <w:lang w:val="sr-Cyrl-CS"/>
              </w:rPr>
            </w:pPr>
            <w:r w:rsidRPr="00092ED7">
              <w:rPr>
                <w:rFonts w:cs="Times New Roman"/>
                <w:sz w:val="20"/>
                <w:lang w:val="sr-Cyrl-CS"/>
              </w:rPr>
              <w:t>Унапређена сарадња са свим релевантним институцијама</w:t>
            </w:r>
            <w:r w:rsidR="00D47BD8" w:rsidRPr="00092ED7">
              <w:rPr>
                <w:rFonts w:cs="Times New Roman"/>
                <w:sz w:val="20"/>
                <w:lang w:val="sr-Cyrl-CS"/>
              </w:rPr>
              <w:t>.</w:t>
            </w:r>
          </w:p>
        </w:tc>
      </w:tr>
      <w:tr w:rsidR="00D210F0" w:rsidRPr="00092ED7" w14:paraId="1B669287" w14:textId="77777777" w:rsidTr="00663528">
        <w:trPr>
          <w:trHeight w:val="340"/>
        </w:trPr>
        <w:tc>
          <w:tcPr>
            <w:tcW w:w="3685" w:type="dxa"/>
            <w:vAlign w:val="top"/>
          </w:tcPr>
          <w:p w14:paraId="595C9F61" w14:textId="77777777" w:rsidR="00D210F0" w:rsidRPr="00092ED7" w:rsidRDefault="00D210F0" w:rsidP="00663528">
            <w:pPr>
              <w:spacing w:before="0" w:after="0"/>
              <w:ind w:left="113" w:right="113"/>
              <w:rPr>
                <w:rFonts w:cs="Times New Roman"/>
                <w:sz w:val="20"/>
                <w:lang w:val="sr-Cyrl-CS"/>
              </w:rPr>
            </w:pPr>
            <w:r w:rsidRPr="00092ED7">
              <w:rPr>
                <w:rFonts w:eastAsia="Calibri" w:cs="Times New Roman"/>
                <w:sz w:val="20"/>
                <w:lang w:val="sr-Cyrl-CS"/>
              </w:rPr>
              <w:t>Недостатак координације/ комуникације између државних институција</w:t>
            </w:r>
          </w:p>
        </w:tc>
        <w:tc>
          <w:tcPr>
            <w:tcW w:w="2098" w:type="dxa"/>
            <w:vAlign w:val="top"/>
          </w:tcPr>
          <w:p w14:paraId="515B1F42" w14:textId="77777777" w:rsidR="00D210F0" w:rsidRPr="00092ED7" w:rsidRDefault="00D210F0" w:rsidP="00663528">
            <w:pPr>
              <w:spacing w:before="0" w:after="0"/>
              <w:ind w:left="113" w:right="113"/>
              <w:jc w:val="center"/>
              <w:rPr>
                <w:rFonts w:cs="Times New Roman"/>
                <w:sz w:val="20"/>
                <w:lang w:val="sr-Cyrl-CS"/>
              </w:rPr>
            </w:pPr>
            <w:r w:rsidRPr="00092ED7">
              <w:rPr>
                <w:rFonts w:cs="Times New Roman"/>
                <w:sz w:val="20"/>
                <w:lang w:val="sr-Cyrl-CS"/>
              </w:rPr>
              <w:t>Средња</w:t>
            </w:r>
          </w:p>
        </w:tc>
        <w:tc>
          <w:tcPr>
            <w:tcW w:w="3289" w:type="dxa"/>
            <w:vAlign w:val="top"/>
          </w:tcPr>
          <w:p w14:paraId="2FCB0AB5" w14:textId="77777777" w:rsidR="00D210F0" w:rsidRPr="00092ED7" w:rsidRDefault="00D210F0" w:rsidP="00663528">
            <w:pPr>
              <w:spacing w:before="0" w:after="0"/>
              <w:ind w:left="113" w:right="113"/>
              <w:rPr>
                <w:rFonts w:cs="Times New Roman"/>
                <w:sz w:val="20"/>
                <w:lang w:val="sr-Cyrl-CS"/>
              </w:rPr>
            </w:pPr>
            <w:r w:rsidRPr="00092ED7">
              <w:rPr>
                <w:rFonts w:cs="Times New Roman"/>
                <w:sz w:val="20"/>
                <w:lang w:val="sr-Cyrl-CS"/>
              </w:rPr>
              <w:t xml:space="preserve">Рад на унапређењу </w:t>
            </w:r>
            <w:r w:rsidRPr="00092ED7">
              <w:rPr>
                <w:rFonts w:eastAsia="Calibri" w:cs="Times New Roman"/>
                <w:sz w:val="20"/>
                <w:lang w:val="sr-Cyrl-CS"/>
              </w:rPr>
              <w:t>координације/ комуникације између државних институција</w:t>
            </w:r>
            <w:r w:rsidR="00D47BD8" w:rsidRPr="00092ED7">
              <w:rPr>
                <w:rFonts w:eastAsia="Calibri" w:cs="Times New Roman"/>
                <w:sz w:val="20"/>
                <w:lang w:val="sr-Cyrl-CS"/>
              </w:rPr>
              <w:t>.</w:t>
            </w:r>
          </w:p>
        </w:tc>
      </w:tr>
      <w:tr w:rsidR="00D210F0" w:rsidRPr="00092ED7" w14:paraId="24ADB225" w14:textId="77777777" w:rsidTr="00663528">
        <w:trPr>
          <w:trHeight w:val="340"/>
        </w:trPr>
        <w:tc>
          <w:tcPr>
            <w:tcW w:w="3685" w:type="dxa"/>
            <w:vAlign w:val="top"/>
          </w:tcPr>
          <w:p w14:paraId="4910178A" w14:textId="77777777" w:rsidR="00D210F0" w:rsidRPr="00092ED7" w:rsidRDefault="00D210F0" w:rsidP="00663528">
            <w:pPr>
              <w:spacing w:before="0" w:after="0"/>
              <w:ind w:left="113" w:right="113"/>
              <w:rPr>
                <w:rFonts w:cs="Times New Roman"/>
                <w:sz w:val="20"/>
                <w:lang w:val="sr-Cyrl-CS"/>
              </w:rPr>
            </w:pPr>
            <w:r w:rsidRPr="00092ED7">
              <w:rPr>
                <w:rFonts w:eastAsia="Calibri" w:cs="Times New Roman"/>
                <w:sz w:val="20"/>
                <w:lang w:val="sr-Cyrl-CS"/>
              </w:rPr>
              <w:t>Неповерење пореских обвезника услед страха од новина</w:t>
            </w:r>
          </w:p>
        </w:tc>
        <w:tc>
          <w:tcPr>
            <w:tcW w:w="2098" w:type="dxa"/>
            <w:vAlign w:val="top"/>
          </w:tcPr>
          <w:p w14:paraId="0963E273" w14:textId="77777777" w:rsidR="00D210F0" w:rsidRPr="00092ED7" w:rsidRDefault="00D210F0" w:rsidP="00663528">
            <w:pPr>
              <w:spacing w:before="0" w:after="0"/>
              <w:ind w:left="113" w:right="113"/>
              <w:jc w:val="center"/>
              <w:rPr>
                <w:rFonts w:cs="Times New Roman"/>
                <w:sz w:val="20"/>
                <w:lang w:val="sr-Cyrl-CS"/>
              </w:rPr>
            </w:pPr>
            <w:r w:rsidRPr="00092ED7">
              <w:rPr>
                <w:rFonts w:cs="Times New Roman"/>
                <w:sz w:val="20"/>
                <w:lang w:val="sr-Cyrl-CS"/>
              </w:rPr>
              <w:t>Средња</w:t>
            </w:r>
          </w:p>
        </w:tc>
        <w:tc>
          <w:tcPr>
            <w:tcW w:w="3289" w:type="dxa"/>
            <w:vAlign w:val="top"/>
          </w:tcPr>
          <w:p w14:paraId="57F31D08" w14:textId="77777777" w:rsidR="00D210F0" w:rsidRPr="00092ED7" w:rsidRDefault="00D210F0" w:rsidP="00663528">
            <w:pPr>
              <w:spacing w:before="0" w:after="0"/>
              <w:ind w:left="113" w:right="113"/>
              <w:rPr>
                <w:rFonts w:cs="Times New Roman"/>
                <w:sz w:val="20"/>
                <w:lang w:val="sr-Cyrl-CS"/>
              </w:rPr>
            </w:pPr>
            <w:r w:rsidRPr="00092ED7">
              <w:rPr>
                <w:rFonts w:cs="Times New Roman"/>
                <w:sz w:val="20"/>
                <w:lang w:val="sr-Cyrl-CS"/>
              </w:rPr>
              <w:t>Едукација и информисање пореских обвезника</w:t>
            </w:r>
            <w:r w:rsidR="00D47BD8" w:rsidRPr="00092ED7">
              <w:rPr>
                <w:rFonts w:cs="Times New Roman"/>
                <w:sz w:val="20"/>
                <w:lang w:val="sr-Cyrl-CS"/>
              </w:rPr>
              <w:t>.</w:t>
            </w:r>
          </w:p>
        </w:tc>
      </w:tr>
      <w:tr w:rsidR="00D210F0" w:rsidRPr="00092ED7" w14:paraId="38CA417C" w14:textId="77777777" w:rsidTr="00663528">
        <w:trPr>
          <w:trHeight w:val="340"/>
        </w:trPr>
        <w:tc>
          <w:tcPr>
            <w:tcW w:w="3685" w:type="dxa"/>
            <w:vAlign w:val="top"/>
          </w:tcPr>
          <w:p w14:paraId="3698010C" w14:textId="77777777" w:rsidR="00D210F0" w:rsidRPr="00092ED7" w:rsidRDefault="00D210F0" w:rsidP="00663528">
            <w:pPr>
              <w:spacing w:before="0" w:after="0"/>
              <w:ind w:left="113" w:right="113"/>
              <w:rPr>
                <w:rFonts w:cs="Times New Roman"/>
                <w:b/>
                <w:sz w:val="20"/>
                <w:lang w:val="sr-Cyrl-CS"/>
              </w:rPr>
            </w:pPr>
            <w:r w:rsidRPr="00092ED7">
              <w:rPr>
                <w:rFonts w:eastAsia="Calibri" w:cs="Times New Roman"/>
                <w:sz w:val="20"/>
                <w:lang w:val="sr-Cyrl-CS"/>
              </w:rPr>
              <w:t>Недовољно ИТ ресурса и вештина за реализацију реформe</w:t>
            </w:r>
          </w:p>
        </w:tc>
        <w:tc>
          <w:tcPr>
            <w:tcW w:w="2098" w:type="dxa"/>
            <w:vAlign w:val="top"/>
          </w:tcPr>
          <w:p w14:paraId="006CE767" w14:textId="77777777" w:rsidR="00D210F0" w:rsidRPr="00092ED7" w:rsidRDefault="00D210F0" w:rsidP="00663528">
            <w:pPr>
              <w:spacing w:before="0" w:after="0"/>
              <w:ind w:left="113" w:right="113"/>
              <w:jc w:val="center"/>
              <w:rPr>
                <w:rFonts w:cs="Times New Roman"/>
                <w:b/>
                <w:sz w:val="20"/>
                <w:lang w:val="sr-Cyrl-CS"/>
              </w:rPr>
            </w:pPr>
            <w:r w:rsidRPr="00092ED7">
              <w:rPr>
                <w:rFonts w:cs="Times New Roman"/>
                <w:sz w:val="20"/>
                <w:lang w:val="sr-Cyrl-CS"/>
              </w:rPr>
              <w:t>Висока</w:t>
            </w:r>
          </w:p>
        </w:tc>
        <w:tc>
          <w:tcPr>
            <w:tcW w:w="3289" w:type="dxa"/>
            <w:vAlign w:val="top"/>
          </w:tcPr>
          <w:p w14:paraId="6CF61D2D" w14:textId="77777777" w:rsidR="00D210F0" w:rsidRPr="00092ED7" w:rsidRDefault="00D210F0" w:rsidP="00663528">
            <w:pPr>
              <w:spacing w:before="0" w:after="0"/>
              <w:ind w:left="113" w:right="113"/>
              <w:rPr>
                <w:rFonts w:cs="Times New Roman"/>
                <w:b/>
                <w:sz w:val="20"/>
                <w:lang w:val="sr-Cyrl-CS"/>
              </w:rPr>
            </w:pPr>
            <w:r w:rsidRPr="00092ED7">
              <w:rPr>
                <w:rFonts w:cs="Times New Roman"/>
                <w:sz w:val="20"/>
                <w:lang w:val="sr-Cyrl-CS"/>
              </w:rPr>
              <w:t>Повећање броја запослених у ИТ и активнија сарадња са Јединицом за имплементацију стратешких пројеката</w:t>
            </w:r>
            <w:r w:rsidR="00D47BD8" w:rsidRPr="00092ED7">
              <w:rPr>
                <w:rFonts w:cs="Times New Roman"/>
                <w:sz w:val="20"/>
                <w:lang w:val="sr-Cyrl-CS"/>
              </w:rPr>
              <w:t>.</w:t>
            </w:r>
            <w:r w:rsidRPr="00092ED7">
              <w:rPr>
                <w:rFonts w:cs="Times New Roman"/>
                <w:sz w:val="20"/>
                <w:lang w:val="sr-Cyrl-CS"/>
              </w:rPr>
              <w:t xml:space="preserve"> </w:t>
            </w:r>
          </w:p>
        </w:tc>
      </w:tr>
      <w:tr w:rsidR="00D210F0" w:rsidRPr="00092ED7" w14:paraId="33668E26" w14:textId="77777777" w:rsidTr="00663528">
        <w:trPr>
          <w:trHeight w:val="340"/>
        </w:trPr>
        <w:tc>
          <w:tcPr>
            <w:tcW w:w="3685" w:type="dxa"/>
            <w:vAlign w:val="top"/>
          </w:tcPr>
          <w:p w14:paraId="423EF3E9" w14:textId="2E0DA897" w:rsidR="00D210F0" w:rsidRPr="00092ED7" w:rsidRDefault="00D210F0" w:rsidP="00E150E9">
            <w:pPr>
              <w:spacing w:before="0" w:after="0"/>
              <w:ind w:left="113" w:right="113"/>
              <w:rPr>
                <w:rFonts w:cs="Times New Roman"/>
                <w:sz w:val="18"/>
                <w:szCs w:val="18"/>
                <w:lang w:val="sr-Cyrl-CS"/>
              </w:rPr>
            </w:pPr>
            <w:r w:rsidRPr="00092ED7">
              <w:rPr>
                <w:rFonts w:eastAsia="Calibri" w:cs="Times New Roman"/>
                <w:sz w:val="20"/>
                <w:lang w:val="sr-Cyrl-CS"/>
              </w:rPr>
              <w:t xml:space="preserve">Недостатак људских ресурса и знања неопходних за функционисање реформисане </w:t>
            </w:r>
            <w:r w:rsidR="00E150E9" w:rsidRPr="00092ED7">
              <w:rPr>
                <w:rFonts w:eastAsia="Calibri" w:cs="Times New Roman"/>
                <w:sz w:val="20"/>
                <w:lang w:val="sr-Cyrl-CS"/>
              </w:rPr>
              <w:t>Пореске управе</w:t>
            </w:r>
          </w:p>
        </w:tc>
        <w:tc>
          <w:tcPr>
            <w:tcW w:w="2098" w:type="dxa"/>
            <w:vAlign w:val="top"/>
          </w:tcPr>
          <w:p w14:paraId="041FFE86" w14:textId="77777777" w:rsidR="00D210F0" w:rsidRPr="00092ED7" w:rsidRDefault="00D210F0" w:rsidP="00663528">
            <w:pPr>
              <w:spacing w:before="0" w:after="0"/>
              <w:ind w:left="113" w:right="113"/>
              <w:jc w:val="center"/>
              <w:rPr>
                <w:rFonts w:cs="Times New Roman"/>
                <w:sz w:val="20"/>
                <w:lang w:val="sr-Cyrl-CS"/>
              </w:rPr>
            </w:pPr>
            <w:r w:rsidRPr="00092ED7">
              <w:rPr>
                <w:rFonts w:cs="Times New Roman"/>
                <w:sz w:val="20"/>
                <w:lang w:val="sr-Cyrl-CS"/>
              </w:rPr>
              <w:t>Висока</w:t>
            </w:r>
          </w:p>
        </w:tc>
        <w:tc>
          <w:tcPr>
            <w:tcW w:w="3289" w:type="dxa"/>
            <w:vAlign w:val="top"/>
          </w:tcPr>
          <w:p w14:paraId="5A741C17" w14:textId="77777777" w:rsidR="00D210F0" w:rsidRPr="00092ED7" w:rsidRDefault="00D210F0" w:rsidP="00663528">
            <w:pPr>
              <w:spacing w:before="0" w:after="0"/>
              <w:ind w:left="113" w:right="113"/>
              <w:rPr>
                <w:rFonts w:cs="Times New Roman"/>
                <w:sz w:val="18"/>
                <w:szCs w:val="18"/>
                <w:lang w:val="sr-Cyrl-CS"/>
              </w:rPr>
            </w:pPr>
            <w:r w:rsidRPr="00092ED7">
              <w:rPr>
                <w:rFonts w:cs="Times New Roman"/>
                <w:sz w:val="20"/>
                <w:lang w:val="sr-Cyrl-CS"/>
              </w:rPr>
              <w:t>Додатно запошљавање у 2023. и обука запослених за функције које су декапацитиране</w:t>
            </w:r>
            <w:r w:rsidR="00D47BD8" w:rsidRPr="00092ED7">
              <w:rPr>
                <w:rFonts w:cs="Times New Roman"/>
                <w:sz w:val="20"/>
                <w:lang w:val="sr-Cyrl-CS"/>
              </w:rPr>
              <w:t>.</w:t>
            </w:r>
          </w:p>
        </w:tc>
      </w:tr>
    </w:tbl>
    <w:p w14:paraId="006821F3" w14:textId="77777777" w:rsidR="00D210F0" w:rsidRPr="00092ED7" w:rsidRDefault="00D210F0" w:rsidP="00D210F0">
      <w:pPr>
        <w:keepNext/>
        <w:keepLines/>
        <w:shd w:val="clear" w:color="auto" w:fill="D9D9D9" w:themeFill="background1" w:themeFillShade="D9"/>
        <w:spacing w:before="360"/>
        <w:outlineLvl w:val="2"/>
        <w:rPr>
          <w:rFonts w:eastAsiaTheme="majorEastAsia" w:cstheme="majorBidi"/>
          <w:b/>
          <w:shd w:val="clear" w:color="auto" w:fill="D9D9D9" w:themeFill="background1" w:themeFillShade="D9"/>
          <w:lang w:val="sr-Cyrl-CS"/>
        </w:rPr>
      </w:pPr>
      <w:bookmarkStart w:id="65" w:name="_Toc62458645"/>
      <w:bookmarkStart w:id="66" w:name="_Toc124174809"/>
      <w:bookmarkStart w:id="67" w:name="_Toc126218628"/>
      <w:r w:rsidRPr="00092ED7">
        <w:rPr>
          <w:rFonts w:eastAsiaTheme="majorEastAsia" w:cstheme="majorBidi"/>
          <w:b/>
          <w:lang w:val="sr-Cyrl-CS"/>
        </w:rPr>
        <w:t xml:space="preserve">5.2.2. Област </w:t>
      </w:r>
      <w:bookmarkEnd w:id="65"/>
      <w:r w:rsidRPr="00092ED7">
        <w:rPr>
          <w:rFonts w:eastAsiaTheme="majorEastAsia" w:cstheme="majorBidi"/>
          <w:b/>
          <w:lang w:val="sr-Cyrl-CS"/>
        </w:rPr>
        <w:t>ЗЕЛЕНА ТРАНЗИЦИЈА</w:t>
      </w:r>
      <w:bookmarkEnd w:id="66"/>
      <w:bookmarkEnd w:id="67"/>
    </w:p>
    <w:p w14:paraId="35EB0819" w14:textId="56401F00" w:rsidR="00D210F0" w:rsidRPr="00092ED7" w:rsidRDefault="00D210F0" w:rsidP="00D210F0">
      <w:pPr>
        <w:spacing w:before="120"/>
        <w:rPr>
          <w:rFonts w:eastAsia="Times New Roman" w:cs="Times New Roman"/>
          <w:i/>
          <w:szCs w:val="24"/>
          <w:lang w:val="sr-Cyrl-CS"/>
        </w:rPr>
      </w:pPr>
      <w:r w:rsidRPr="00092ED7">
        <w:rPr>
          <w:rFonts w:eastAsia="Times New Roman" w:cs="Times New Roman"/>
          <w:b/>
          <w:szCs w:val="24"/>
          <w:lang w:val="sr-Cyrl-CS"/>
        </w:rPr>
        <w:t xml:space="preserve">а) Анализа главних </w:t>
      </w:r>
      <w:r w:rsidR="00515D4D" w:rsidRPr="00092ED7">
        <w:rPr>
          <w:rFonts w:eastAsia="Times New Roman" w:cs="Times New Roman"/>
          <w:b/>
          <w:szCs w:val="24"/>
          <w:lang w:val="sr-Cyrl-CS"/>
        </w:rPr>
        <w:t>изазова</w:t>
      </w:r>
    </w:p>
    <w:p w14:paraId="14A26FFE" w14:textId="433FA855" w:rsidR="00D210F0" w:rsidRPr="00092ED7" w:rsidRDefault="00D210F0" w:rsidP="00D210F0">
      <w:pPr>
        <w:spacing w:after="60"/>
        <w:rPr>
          <w:rFonts w:cs="Times New Roman"/>
          <w:szCs w:val="24"/>
          <w:highlight w:val="yellow"/>
          <w:lang w:val="sr-Cyrl-CS"/>
        </w:rPr>
      </w:pPr>
      <w:r w:rsidRPr="00092ED7">
        <w:rPr>
          <w:rFonts w:cs="Times New Roman"/>
          <w:b/>
          <w:szCs w:val="24"/>
          <w:lang w:val="sr-Cyrl-CS"/>
        </w:rPr>
        <w:t>Осетљивост привреде на климатске промене и висок степен загађења животне средине неповољно утичу на укупну конкурентност Републике Србије на глобалном тржишту.</w:t>
      </w:r>
      <w:r w:rsidRPr="00092ED7">
        <w:rPr>
          <w:rFonts w:cs="Times New Roman"/>
          <w:szCs w:val="24"/>
          <w:lang w:val="sr-Cyrl-CS"/>
        </w:rPr>
        <w:t xml:space="preserve"> </w:t>
      </w:r>
      <w:bookmarkStart w:id="68" w:name="_Hlk124426057"/>
      <w:r w:rsidR="00820429" w:rsidRPr="00092ED7">
        <w:rPr>
          <w:rFonts w:cs="Times New Roman"/>
          <w:szCs w:val="24"/>
          <w:lang w:val="sr-Cyrl-CS"/>
        </w:rPr>
        <w:t>Док је глобална температура порасла за око 1</w:t>
      </w:r>
      <w:r w:rsidR="00862096" w:rsidRPr="00092ED7">
        <w:rPr>
          <w:rFonts w:cs="Times New Roman"/>
          <w:szCs w:val="24"/>
          <w:shd w:val="clear" w:color="auto" w:fill="FFFFFF"/>
          <w:lang w:val="sr-Cyrl-CS"/>
        </w:rPr>
        <w:t>°C</w:t>
      </w:r>
      <w:r w:rsidR="00820429" w:rsidRPr="00092ED7">
        <w:rPr>
          <w:rFonts w:cs="Times New Roman"/>
          <w:szCs w:val="24"/>
          <w:lang w:val="sr-Cyrl-CS"/>
        </w:rPr>
        <w:t xml:space="preserve">, средња температура у </w:t>
      </w:r>
      <w:r w:rsidR="00B010FF" w:rsidRPr="00092ED7">
        <w:rPr>
          <w:rFonts w:cs="Times New Roman"/>
          <w:szCs w:val="24"/>
          <w:lang w:val="sr-Cyrl-CS"/>
        </w:rPr>
        <w:t>Репуб</w:t>
      </w:r>
      <w:r w:rsidR="00BA7C2E" w:rsidRPr="00092ED7">
        <w:rPr>
          <w:rFonts w:cs="Times New Roman"/>
          <w:szCs w:val="24"/>
          <w:lang w:val="sr-Cyrl-CS"/>
        </w:rPr>
        <w:t>лици</w:t>
      </w:r>
      <w:r w:rsidR="00B010FF" w:rsidRPr="00092ED7">
        <w:rPr>
          <w:rFonts w:cs="Times New Roman"/>
          <w:szCs w:val="24"/>
          <w:lang w:val="sr-Cyrl-CS"/>
        </w:rPr>
        <w:t xml:space="preserve"> </w:t>
      </w:r>
      <w:r w:rsidR="00820429" w:rsidRPr="00092ED7">
        <w:rPr>
          <w:rFonts w:cs="Times New Roman"/>
          <w:szCs w:val="24"/>
          <w:lang w:val="sr-Cyrl-CS"/>
        </w:rPr>
        <w:t>Србији је порасла скоро за 2</w:t>
      </w:r>
      <w:r w:rsidR="00862096" w:rsidRPr="00092ED7">
        <w:rPr>
          <w:rFonts w:cs="Times New Roman"/>
          <w:szCs w:val="24"/>
          <w:shd w:val="clear" w:color="auto" w:fill="FFFFFF"/>
          <w:lang w:val="sr-Cyrl-CS"/>
        </w:rPr>
        <w:t>°C</w:t>
      </w:r>
      <w:r w:rsidR="00820429" w:rsidRPr="00092ED7">
        <w:rPr>
          <w:rFonts w:cs="Times New Roman"/>
          <w:szCs w:val="24"/>
          <w:lang w:val="sr-Cyrl-CS"/>
        </w:rPr>
        <w:t>, а очекује се да ће пораст до средине 21. века достићи вредност око 3</w:t>
      </w:r>
      <w:r w:rsidR="00862096" w:rsidRPr="00092ED7">
        <w:rPr>
          <w:rFonts w:cs="Times New Roman"/>
          <w:szCs w:val="24"/>
          <w:shd w:val="clear" w:color="auto" w:fill="FFFFFF"/>
          <w:lang w:val="sr-Cyrl-CS"/>
        </w:rPr>
        <w:t>°C</w:t>
      </w:r>
      <w:r w:rsidR="00820429" w:rsidRPr="00092ED7">
        <w:rPr>
          <w:rFonts w:cs="Times New Roman"/>
          <w:szCs w:val="24"/>
          <w:lang w:val="sr-Cyrl-CS"/>
        </w:rPr>
        <w:t xml:space="preserve">. </w:t>
      </w:r>
      <w:bookmarkEnd w:id="68"/>
      <w:r w:rsidRPr="00092ED7">
        <w:rPr>
          <w:rFonts w:cs="Times New Roman"/>
          <w:i/>
          <w:szCs w:val="24"/>
          <w:lang w:val="sr-Cyrl-CS"/>
        </w:rPr>
        <w:t>Законом о климатским променама</w:t>
      </w:r>
      <w:r w:rsidRPr="00092ED7">
        <w:rPr>
          <w:rFonts w:cs="Times New Roman"/>
          <w:szCs w:val="24"/>
          <w:lang w:val="sr-Cyrl-CS"/>
        </w:rPr>
        <w:t xml:space="preserve"> створен је правни оквир за успостављање система за смањење емисије гасова са ефектом стаклене баште на исплатив и економски ефикасан начин, како би се минимизирали неповољни ефекти измењених климатских услова. Овим законом је утврђено доношење </w:t>
      </w:r>
      <w:r w:rsidRPr="00092ED7">
        <w:rPr>
          <w:rFonts w:cs="Times New Roman"/>
          <w:i/>
          <w:szCs w:val="24"/>
          <w:lang w:val="sr-Cyrl-CS"/>
        </w:rPr>
        <w:t>Стратегије нискоугљеничног развоја са Акционим планом</w:t>
      </w:r>
      <w:r w:rsidRPr="00092ED7">
        <w:rPr>
          <w:rFonts w:cs="Times New Roman"/>
          <w:szCs w:val="24"/>
          <w:lang w:val="sr-Cyrl-CS"/>
        </w:rPr>
        <w:t xml:space="preserve"> и </w:t>
      </w:r>
      <w:r w:rsidRPr="00092ED7">
        <w:rPr>
          <w:rFonts w:cs="Times New Roman"/>
          <w:i/>
          <w:szCs w:val="24"/>
          <w:lang w:val="sr-Cyrl-CS"/>
        </w:rPr>
        <w:t>Програма прилагођавања на измењене климатске услове</w:t>
      </w:r>
      <w:r w:rsidRPr="00092ED7">
        <w:rPr>
          <w:rFonts w:cs="Times New Roman"/>
          <w:szCs w:val="24"/>
          <w:lang w:val="sr-Cyrl-CS"/>
        </w:rPr>
        <w:t xml:space="preserve"> (израда у току), као и мониторинг и извештавање о емисијама </w:t>
      </w:r>
      <w:r w:rsidR="00A13754" w:rsidRPr="00092ED7">
        <w:rPr>
          <w:rFonts w:cs="Times New Roman"/>
          <w:szCs w:val="24"/>
          <w:lang w:val="sr-Cyrl-CS"/>
        </w:rPr>
        <w:t>гасова са ефектом стаклене баште</w:t>
      </w:r>
      <w:r w:rsidRPr="00092ED7">
        <w:rPr>
          <w:rFonts w:cs="Times New Roman"/>
          <w:szCs w:val="24"/>
          <w:lang w:val="sr-Cyrl-CS"/>
        </w:rPr>
        <w:t xml:space="preserve">. На основу успостављеног </w:t>
      </w:r>
      <w:r w:rsidRPr="00092ED7">
        <w:rPr>
          <w:rFonts w:cs="Times New Roman"/>
          <w:i/>
          <w:szCs w:val="24"/>
          <w:lang w:val="sr-Cyrl-CS"/>
        </w:rPr>
        <w:t>Националног и локалног регистара извора загађивања</w:t>
      </w:r>
      <w:r w:rsidRPr="00092ED7">
        <w:rPr>
          <w:rStyle w:val="FootnoteReference"/>
          <w:rFonts w:cs="Times New Roman"/>
          <w:i/>
          <w:szCs w:val="24"/>
          <w:lang w:val="sr-Cyrl-CS"/>
        </w:rPr>
        <w:footnoteReference w:id="97"/>
      </w:r>
      <w:r w:rsidRPr="00092ED7">
        <w:rPr>
          <w:rFonts w:cs="Times New Roman"/>
          <w:szCs w:val="24"/>
          <w:lang w:val="sr-Cyrl-CS"/>
        </w:rPr>
        <w:t>, који садржи скуп систематизованих информација и података о изворима загађивања животне средине, надлежне локалне институције доносе мере за спречавање и смањење загађења животне средине и очување природних ресурса.</w:t>
      </w:r>
    </w:p>
    <w:p w14:paraId="36AF1B05" w14:textId="6444C44E" w:rsidR="00D210F0" w:rsidRPr="00092ED7" w:rsidRDefault="00D210F0" w:rsidP="00D210F0">
      <w:pPr>
        <w:spacing w:after="60"/>
        <w:rPr>
          <w:rFonts w:cs="Times New Roman"/>
          <w:szCs w:val="24"/>
          <w:lang w:val="sr-Cyrl-CS"/>
        </w:rPr>
      </w:pPr>
      <w:r w:rsidRPr="00092ED7">
        <w:rPr>
          <w:rFonts w:cs="Times New Roman"/>
          <w:b/>
          <w:szCs w:val="24"/>
          <w:lang w:val="sr-Cyrl-CS"/>
        </w:rPr>
        <w:t xml:space="preserve">Концентрације </w:t>
      </w:r>
      <w:r w:rsidR="00820429" w:rsidRPr="00092ED7">
        <w:rPr>
          <w:rFonts w:cs="Times New Roman"/>
          <w:b/>
          <w:szCs w:val="24"/>
          <w:lang w:val="sr-Cyrl-CS"/>
        </w:rPr>
        <w:t xml:space="preserve">загађујућих материја </w:t>
      </w:r>
      <w:r w:rsidR="00D3546B" w:rsidRPr="00092ED7">
        <w:rPr>
          <w:rFonts w:cs="Times New Roman"/>
          <w:b/>
          <w:szCs w:val="24"/>
          <w:lang w:val="sr-Cyrl-CS"/>
        </w:rPr>
        <w:t xml:space="preserve">у ваздуху </w:t>
      </w:r>
      <w:r w:rsidRPr="00092ED7">
        <w:rPr>
          <w:rFonts w:cs="Times New Roman"/>
          <w:b/>
          <w:szCs w:val="24"/>
          <w:lang w:val="sr-Cyrl-CS"/>
        </w:rPr>
        <w:t xml:space="preserve">у градовима, </w:t>
      </w:r>
      <w:r w:rsidRPr="00092ED7">
        <w:rPr>
          <w:rFonts w:cs="Times New Roman"/>
          <w:szCs w:val="24"/>
          <w:lang w:val="sr-Cyrl-CS"/>
        </w:rPr>
        <w:t xml:space="preserve">посебно </w:t>
      </w:r>
      <w:r w:rsidR="00820429" w:rsidRPr="00092ED7">
        <w:rPr>
          <w:rFonts w:cs="Times New Roman"/>
          <w:szCs w:val="24"/>
          <w:lang w:val="sr-Cyrl-CS"/>
        </w:rPr>
        <w:t xml:space="preserve">суспендованих </w:t>
      </w:r>
      <w:r w:rsidRPr="00092ED7">
        <w:rPr>
          <w:rFonts w:cs="Times New Roman"/>
          <w:szCs w:val="24"/>
          <w:lang w:val="sr-Cyrl-CS"/>
        </w:rPr>
        <w:t>честица (</w:t>
      </w:r>
      <w:r w:rsidR="00820429" w:rsidRPr="00092ED7">
        <w:rPr>
          <w:rFonts w:cs="Times New Roman"/>
          <w:szCs w:val="24"/>
          <w:lang w:val="sr-Cyrl-CS"/>
        </w:rPr>
        <w:t>PM</w:t>
      </w:r>
      <w:r w:rsidRPr="00092ED7">
        <w:rPr>
          <w:rFonts w:cs="Times New Roman"/>
          <w:szCs w:val="24"/>
          <w:lang w:val="sr-Cyrl-CS"/>
        </w:rPr>
        <w:t xml:space="preserve">), </w:t>
      </w:r>
      <w:r w:rsidRPr="00092ED7">
        <w:rPr>
          <w:rFonts w:cs="Times New Roman"/>
          <w:b/>
          <w:szCs w:val="24"/>
          <w:lang w:val="sr-Cyrl-CS"/>
        </w:rPr>
        <w:t>редовно прелазе нивое препоручене у смерницама С</w:t>
      </w:r>
      <w:r w:rsidR="002A4877" w:rsidRPr="00092ED7">
        <w:rPr>
          <w:rFonts w:cs="Times New Roman"/>
          <w:b/>
          <w:szCs w:val="24"/>
          <w:lang w:val="sr-Cyrl-CS"/>
        </w:rPr>
        <w:t>ветске здравствене организације</w:t>
      </w:r>
      <w:r w:rsidRPr="00092ED7">
        <w:rPr>
          <w:rFonts w:cs="Times New Roman"/>
          <w:b/>
          <w:szCs w:val="24"/>
          <w:lang w:val="sr-Cyrl-CS"/>
        </w:rPr>
        <w:t xml:space="preserve"> о квалитету ваздуха. </w:t>
      </w:r>
      <w:r w:rsidRPr="00092ED7">
        <w:rPr>
          <w:rFonts w:cs="Times New Roman"/>
          <w:szCs w:val="24"/>
          <w:lang w:val="sr-Cyrl-CS"/>
        </w:rPr>
        <w:t>Повећана је емисија сумпор-диоксида (SO</w:t>
      </w:r>
      <w:r w:rsidRPr="00092ED7">
        <w:rPr>
          <w:rFonts w:cs="Times New Roman"/>
          <w:szCs w:val="24"/>
          <w:vertAlign w:val="subscript"/>
          <w:lang w:val="sr-Cyrl-CS"/>
        </w:rPr>
        <w:t>2</w:t>
      </w:r>
      <w:r w:rsidRPr="00092ED7">
        <w:rPr>
          <w:rFonts w:cs="Times New Roman"/>
          <w:szCs w:val="24"/>
          <w:lang w:val="sr-Cyrl-CS"/>
        </w:rPr>
        <w:t xml:space="preserve">) за 5,1%, а угљен-моноксида (CO) за 29,3% </w:t>
      </w:r>
      <w:r w:rsidR="00820429" w:rsidRPr="00092ED7">
        <w:rPr>
          <w:rFonts w:cs="Times New Roman"/>
          <w:szCs w:val="24"/>
          <w:lang w:val="sr-Cyrl-CS"/>
        </w:rPr>
        <w:t xml:space="preserve"> </w:t>
      </w:r>
      <w:r w:rsidRPr="00092ED7">
        <w:rPr>
          <w:rFonts w:cs="Times New Roman"/>
          <w:szCs w:val="24"/>
          <w:lang w:val="sr-Cyrl-CS"/>
        </w:rPr>
        <w:t>у 2020. години (сектор домаћинства емитује 84,8% укупног CO и то углавном због грејања). Оксиди азота (NOx) бележе раст од 4,4% , а највећа емисија долази из сектора Снабдевања електричном, енергијом, гасом и паром (41,6% укупне количине NOx)</w:t>
      </w:r>
      <w:r w:rsidRPr="00092ED7">
        <w:rPr>
          <w:rStyle w:val="FootnoteReference"/>
          <w:rFonts w:cs="Times New Roman"/>
          <w:szCs w:val="24"/>
          <w:lang w:val="sr-Cyrl-CS"/>
        </w:rPr>
        <w:footnoteReference w:id="98"/>
      </w:r>
      <w:r w:rsidRPr="00092ED7">
        <w:rPr>
          <w:rFonts w:cs="Times New Roman"/>
          <w:szCs w:val="24"/>
          <w:lang w:val="sr-Cyrl-CS"/>
        </w:rPr>
        <w:t xml:space="preserve">. Ниска енергетска ефикасност и застарела енергетска инфраструктура у </w:t>
      </w:r>
      <w:r w:rsidR="002A4877" w:rsidRPr="00092ED7">
        <w:rPr>
          <w:rFonts w:cs="Times New Roman"/>
          <w:szCs w:val="24"/>
          <w:lang w:val="sr-Cyrl-CS"/>
        </w:rPr>
        <w:t>с</w:t>
      </w:r>
      <w:r w:rsidRPr="00092ED7">
        <w:rPr>
          <w:rFonts w:cs="Times New Roman"/>
          <w:szCs w:val="24"/>
          <w:lang w:val="sr-Cyrl-CS"/>
        </w:rPr>
        <w:t xml:space="preserve">ектору снабдевања електричном енергијом, гасом и паром разлози су што овај сектор највише доприноси загађењу ваздуха. </w:t>
      </w:r>
    </w:p>
    <w:p w14:paraId="76AC6E0C" w14:textId="4A8F9149" w:rsidR="00D210F0" w:rsidRPr="00092ED7" w:rsidRDefault="00D210F0" w:rsidP="00D210F0">
      <w:pPr>
        <w:spacing w:after="60"/>
        <w:rPr>
          <w:rFonts w:cs="Times New Roman"/>
          <w:szCs w:val="24"/>
          <w:lang w:val="sr-Cyrl-CS"/>
        </w:rPr>
      </w:pPr>
      <w:r w:rsidRPr="00092ED7">
        <w:rPr>
          <w:rFonts w:cs="Times New Roman"/>
          <w:b/>
          <w:szCs w:val="24"/>
          <w:lang w:val="sr-Cyrl-CS"/>
        </w:rPr>
        <w:t>Непречишћени канализациони муљ и отпадне воде који се директно испуштају у речне токове широм земље и даље су главни извор загађења воде.</w:t>
      </w:r>
      <w:r w:rsidRPr="00092ED7">
        <w:rPr>
          <w:rFonts w:cs="Times New Roman"/>
          <w:szCs w:val="24"/>
          <w:lang w:val="sr-Cyrl-CS"/>
        </w:rPr>
        <w:t xml:space="preserve"> Од укупне количине отпадних вода испуштене у јавну канализацију (308 м</w:t>
      </w:r>
      <w:r w:rsidRPr="00092ED7">
        <w:rPr>
          <w:rFonts w:cs="Times New Roman"/>
          <w:szCs w:val="24"/>
          <w:vertAlign w:val="superscript"/>
          <w:lang w:val="sr-Cyrl-CS"/>
        </w:rPr>
        <w:t>3</w:t>
      </w:r>
      <w:r w:rsidRPr="00092ED7">
        <w:rPr>
          <w:rFonts w:cs="Times New Roman"/>
          <w:szCs w:val="24"/>
          <w:lang w:val="sr-Cyrl-CS"/>
        </w:rPr>
        <w:t>)</w:t>
      </w:r>
      <w:r w:rsidRPr="00092ED7">
        <w:rPr>
          <w:rFonts w:cs="Times New Roman"/>
          <w:szCs w:val="24"/>
          <w:vertAlign w:val="superscript"/>
          <w:lang w:val="sr-Cyrl-CS"/>
        </w:rPr>
        <w:t xml:space="preserve"> </w:t>
      </w:r>
      <w:r w:rsidRPr="00092ED7">
        <w:rPr>
          <w:rFonts w:cs="Times New Roman"/>
          <w:szCs w:val="24"/>
          <w:lang w:val="sr-Cyrl-CS"/>
        </w:rPr>
        <w:t>у 2021. години, пречишћено је свега 18,8%</w:t>
      </w:r>
      <w:r w:rsidRPr="00092ED7">
        <w:rPr>
          <w:rFonts w:cs="Times New Roman"/>
          <w:szCs w:val="24"/>
          <w:vertAlign w:val="superscript"/>
          <w:lang w:val="sr-Cyrl-CS"/>
        </w:rPr>
        <w:footnoteReference w:id="99"/>
      </w:r>
      <w:r w:rsidRPr="00092ED7">
        <w:rPr>
          <w:rFonts w:cs="Times New Roman"/>
          <w:szCs w:val="24"/>
          <w:lang w:val="sr-Cyrl-CS"/>
        </w:rPr>
        <w:t xml:space="preserve"> (раст од 3,8% у односу на 2020. годину), а најзаступљенији начин пречишћавања отпадних вода био је секундарни третман (55,2%). Иако сектор домаћинства испушта 73,6% отпадних вода, водене токове највише загађује сектор индустрије (нарочито фосфором и азотом). Пројектом сакупљања и пречишћавања отпадних вода централног канализационог система града Београда, планирано је постављање мрежа интерцептора за прихват отпадних вода и кишних канализација и изградња постројења за третман отпадних вода, чиме ће број испуста у Саву и Дунав бити смањен за 80%. Такође, планирана је изградња више од 60 постројења за прераду отпадних вода у наредне </w:t>
      </w:r>
      <w:r w:rsidR="00B010FF" w:rsidRPr="00092ED7">
        <w:rPr>
          <w:rFonts w:cs="Times New Roman"/>
          <w:szCs w:val="24"/>
          <w:lang w:val="sr-Cyrl-CS"/>
        </w:rPr>
        <w:t xml:space="preserve">четири </w:t>
      </w:r>
      <w:r w:rsidRPr="00092ED7">
        <w:rPr>
          <w:rFonts w:cs="Times New Roman"/>
          <w:szCs w:val="24"/>
          <w:lang w:val="sr-Cyrl-CS"/>
        </w:rPr>
        <w:t>године.</w:t>
      </w:r>
    </w:p>
    <w:p w14:paraId="5006BD64" w14:textId="56F9DEAB" w:rsidR="00D210F0" w:rsidRPr="00092ED7" w:rsidRDefault="00D210F0" w:rsidP="00D210F0">
      <w:pPr>
        <w:spacing w:after="60"/>
        <w:rPr>
          <w:rFonts w:cs="Times New Roman"/>
          <w:szCs w:val="24"/>
          <w:lang w:val="sr-Cyrl-CS"/>
        </w:rPr>
      </w:pPr>
      <w:r w:rsidRPr="00092ED7">
        <w:rPr>
          <w:rFonts w:cs="Times New Roman"/>
          <w:b/>
          <w:szCs w:val="24"/>
          <w:lang w:val="sr-Cyrl-CS"/>
        </w:rPr>
        <w:t xml:space="preserve">Унапређење управљања отпадом и уклањање дивљих депонија су кључни за очување животне средине. </w:t>
      </w:r>
      <w:r w:rsidRPr="00092ED7">
        <w:rPr>
          <w:rFonts w:cs="Times New Roman"/>
          <w:szCs w:val="24"/>
          <w:lang w:val="sr-Cyrl-CS"/>
        </w:rPr>
        <w:t>Економске делатности су створиле 69,6 милиона тона отпада у 2021. (23% више него 2020. године), од чега 79,6% чини неопасни, а 20,4% опасни отпад</w:t>
      </w:r>
      <w:r w:rsidRPr="00092ED7">
        <w:rPr>
          <w:rFonts w:cs="Times New Roman"/>
          <w:szCs w:val="24"/>
          <w:vertAlign w:val="superscript"/>
          <w:lang w:val="sr-Cyrl-CS"/>
        </w:rPr>
        <w:footnoteReference w:id="100"/>
      </w:r>
      <w:r w:rsidRPr="00092ED7">
        <w:rPr>
          <w:rFonts w:cs="Times New Roman"/>
          <w:szCs w:val="24"/>
          <w:lang w:val="sr-Cyrl-CS"/>
        </w:rPr>
        <w:t>. Највише отпада креирано је у рударству (85,5%). Од укупно створеног отпада, одложено је 96%, а поново искоришћено само 4%. Са створених 324 кг отпада на 1.000 евра БДП-а у 2020. години Република Србија је веома удаљена од просека ЕУ (66 кг)</w:t>
      </w:r>
      <w:r w:rsidRPr="00092ED7">
        <w:rPr>
          <w:rFonts w:cs="Times New Roman"/>
          <w:szCs w:val="24"/>
          <w:vertAlign w:val="superscript"/>
          <w:lang w:val="sr-Cyrl-CS"/>
        </w:rPr>
        <w:footnoteReference w:id="101"/>
      </w:r>
      <w:r w:rsidRPr="00092ED7">
        <w:rPr>
          <w:rFonts w:cs="Times New Roman"/>
          <w:szCs w:val="24"/>
          <w:lang w:val="sr-Cyrl-CS"/>
        </w:rPr>
        <w:t xml:space="preserve">. Од регистрованих око 3.500 дивљих депонија, очишћено је око 500 у 2021. години, </w:t>
      </w:r>
      <w:r w:rsidR="0021103E" w:rsidRPr="00092ED7">
        <w:rPr>
          <w:rFonts w:cs="Times New Roman"/>
          <w:szCs w:val="24"/>
          <w:lang w:val="sr-Cyrl-CS"/>
        </w:rPr>
        <w:t>док је у 2022. години уклоњено 233 дивљих депонија кроз јавни конкурс за доделу средстава за суфинансирање реализације пројеката превенције нелегалног одлагања отпада</w:t>
      </w:r>
      <w:r w:rsidRPr="00092ED7">
        <w:rPr>
          <w:rFonts w:cs="Times New Roman"/>
          <w:szCs w:val="24"/>
          <w:lang w:val="sr-Cyrl-CS"/>
        </w:rPr>
        <w:t xml:space="preserve">. У току је успостављање примарне сепарације комуналног отпада у четири региона: Дубоко, Срем-Мачва, Панчево и Пирот, што ће допринети повећању </w:t>
      </w:r>
      <w:r w:rsidR="001E32DF" w:rsidRPr="00092ED7">
        <w:rPr>
          <w:rFonts w:cs="Times New Roman"/>
          <w:szCs w:val="24"/>
          <w:lang w:val="sr-Cyrl-CS"/>
        </w:rPr>
        <w:t xml:space="preserve">стопе </w:t>
      </w:r>
      <w:r w:rsidRPr="00092ED7">
        <w:rPr>
          <w:rFonts w:cs="Times New Roman"/>
          <w:szCs w:val="24"/>
          <w:lang w:val="sr-Cyrl-CS"/>
        </w:rPr>
        <w:t xml:space="preserve">рециклаже, односно смањењу количине отпада који завршава на депонијама. </w:t>
      </w:r>
      <w:r w:rsidRPr="00092ED7">
        <w:rPr>
          <w:rFonts w:cs="Times New Roman"/>
          <w:i/>
          <w:szCs w:val="24"/>
          <w:lang w:val="sr-Cyrl-CS"/>
        </w:rPr>
        <w:t>Програмом управљања отпадом у Републици Србији за период 2022-2031</w:t>
      </w:r>
      <w:r w:rsidR="002A4877" w:rsidRPr="00092ED7">
        <w:rPr>
          <w:rFonts w:cs="Times New Roman"/>
          <w:i/>
          <w:szCs w:val="24"/>
          <w:lang w:val="sr-Cyrl-CS"/>
        </w:rPr>
        <w:t>.</w:t>
      </w:r>
      <w:r w:rsidRPr="00092ED7">
        <w:rPr>
          <w:rFonts w:cs="Times New Roman"/>
          <w:i/>
          <w:szCs w:val="24"/>
          <w:lang w:val="sr-Cyrl-CS"/>
        </w:rPr>
        <w:t xml:space="preserve"> </w:t>
      </w:r>
      <w:r w:rsidR="002A4877" w:rsidRPr="00092ED7">
        <w:rPr>
          <w:rFonts w:cs="Times New Roman"/>
          <w:i/>
          <w:szCs w:val="24"/>
          <w:lang w:val="sr-Cyrl-CS"/>
        </w:rPr>
        <w:t xml:space="preserve">године </w:t>
      </w:r>
      <w:r w:rsidRPr="00092ED7">
        <w:rPr>
          <w:rFonts w:cs="Times New Roman"/>
          <w:szCs w:val="24"/>
          <w:lang w:val="sr-Cyrl-CS"/>
        </w:rPr>
        <w:t>(„Сл</w:t>
      </w:r>
      <w:r w:rsidR="005218AE" w:rsidRPr="00092ED7">
        <w:rPr>
          <w:rFonts w:cs="Times New Roman"/>
          <w:szCs w:val="24"/>
          <w:lang w:val="sr-Cyrl-CS"/>
        </w:rPr>
        <w:t>ужбени</w:t>
      </w:r>
      <w:r w:rsidRPr="00092ED7">
        <w:rPr>
          <w:rFonts w:cs="Times New Roman"/>
          <w:szCs w:val="24"/>
          <w:lang w:val="sr-Cyrl-CS"/>
        </w:rPr>
        <w:t xml:space="preserve"> </w:t>
      </w:r>
      <w:r w:rsidR="00755AF5" w:rsidRPr="00092ED7">
        <w:rPr>
          <w:rFonts w:cs="Times New Roman"/>
          <w:szCs w:val="24"/>
          <w:lang w:val="sr-Cyrl-CS"/>
        </w:rPr>
        <w:t>гласник РС</w:t>
      </w:r>
      <w:r w:rsidR="005218AE" w:rsidRPr="00092ED7">
        <w:rPr>
          <w:rFonts w:cs="Times New Roman"/>
          <w:szCs w:val="24"/>
          <w:lang w:val="sr-Cyrl-CS"/>
        </w:rPr>
        <w:t>”</w:t>
      </w:r>
      <w:r w:rsidR="00755AF5" w:rsidRPr="00092ED7">
        <w:rPr>
          <w:rFonts w:cs="Times New Roman"/>
          <w:szCs w:val="24"/>
          <w:lang w:val="sr-Cyrl-CS"/>
        </w:rPr>
        <w:t>, бр</w:t>
      </w:r>
      <w:r w:rsidR="005218AE" w:rsidRPr="00092ED7">
        <w:rPr>
          <w:rFonts w:cs="Times New Roman"/>
          <w:szCs w:val="24"/>
          <w:lang w:val="sr-Cyrl-CS"/>
        </w:rPr>
        <w:t>ој</w:t>
      </w:r>
      <w:r w:rsidRPr="00092ED7">
        <w:rPr>
          <w:rFonts w:cs="Times New Roman"/>
          <w:szCs w:val="24"/>
          <w:lang w:val="sr-Cyrl-CS"/>
        </w:rPr>
        <w:t xml:space="preserve"> 12/22) </w:t>
      </w:r>
      <w:r w:rsidR="00F8535C" w:rsidRPr="00092ED7">
        <w:rPr>
          <w:rFonts w:cs="Times New Roman"/>
          <w:szCs w:val="24"/>
          <w:lang w:val="sr-Cyrl-CS"/>
        </w:rPr>
        <w:t xml:space="preserve">и Акционим планом </w:t>
      </w:r>
      <w:r w:rsidR="00F8535C" w:rsidRPr="00092ED7">
        <w:rPr>
          <w:rFonts w:cs="Times New Roman"/>
          <w:szCs w:val="24"/>
          <w:u w:val="single"/>
          <w:lang w:val="sr-Cyrl-CS"/>
        </w:rPr>
        <w:t>за период 2022-2024.</w:t>
      </w:r>
      <w:r w:rsidR="00F8535C" w:rsidRPr="00092ED7">
        <w:rPr>
          <w:rFonts w:cs="Times New Roman"/>
          <w:szCs w:val="24"/>
          <w:lang w:val="sr-Cyrl-CS"/>
        </w:rPr>
        <w:t xml:space="preserve"> за спровођење Програма управљања отпадом у Републици Србији за период од 2022-2031. године 05 Број: 353-3445/2022-2 од 28. априла 2022. године </w:t>
      </w:r>
      <w:r w:rsidR="000E6959" w:rsidRPr="00092ED7">
        <w:rPr>
          <w:rFonts w:cs="Times New Roman"/>
          <w:szCs w:val="24"/>
          <w:lang w:val="sr-Cyrl-CS"/>
        </w:rPr>
        <w:t>п</w:t>
      </w:r>
      <w:r w:rsidRPr="00092ED7">
        <w:rPr>
          <w:rFonts w:cs="Times New Roman"/>
          <w:szCs w:val="24"/>
          <w:lang w:val="sr-Cyrl-CS"/>
        </w:rPr>
        <w:t>редвиђена је превенција настајања отпада, смањење количина рециклабилног отпада који се одлаже на депоније, смањење удела биоразградивог отпада у одложеном комуналном отпаду, смањење негативног утицаја одложеног отпада на животну средину, климу и људско здравље и управљање насталим отпадом по принципима циркуларне економије.</w:t>
      </w:r>
    </w:p>
    <w:p w14:paraId="2D9C890F" w14:textId="4AE02069" w:rsidR="00D210F0" w:rsidRPr="00092ED7" w:rsidRDefault="00D210F0" w:rsidP="00D210F0">
      <w:pPr>
        <w:spacing w:after="60"/>
        <w:rPr>
          <w:rFonts w:cs="Times New Roman"/>
          <w:szCs w:val="24"/>
          <w:lang w:val="sr-Cyrl-CS"/>
        </w:rPr>
      </w:pPr>
      <w:r w:rsidRPr="00092ED7">
        <w:rPr>
          <w:rFonts w:cs="Times New Roman"/>
          <w:b/>
          <w:szCs w:val="24"/>
          <w:lang w:val="sr-Cyrl-CS"/>
        </w:rPr>
        <w:t>Како би се повећала отпорност земљишта на промене климатских услова,</w:t>
      </w:r>
      <w:r w:rsidRPr="00092ED7">
        <w:rPr>
          <w:b/>
          <w:lang w:val="sr-Cyrl-CS"/>
        </w:rPr>
        <w:t xml:space="preserve"> </w:t>
      </w:r>
      <w:r w:rsidRPr="00092ED7">
        <w:rPr>
          <w:rFonts w:cs="Times New Roman"/>
          <w:b/>
          <w:szCs w:val="24"/>
          <w:lang w:val="sr-Cyrl-CS"/>
        </w:rPr>
        <w:t>потребно је кроз пољопривредну политику даље инвестирати у изградњу нове и модернизацију постојеће инфраструктуре за наводњавање, у противградне мреже, субвенционисање премија осигурања, пошумљавање и др.</w:t>
      </w:r>
      <w:r w:rsidRPr="00092ED7">
        <w:rPr>
          <w:rFonts w:cs="Times New Roman"/>
          <w:szCs w:val="24"/>
          <w:lang w:val="sr-Cyrl-CS"/>
        </w:rPr>
        <w:t xml:space="preserve"> На територији Републике Србије тренутно се наводњава свега 4,6% коришћеног пољопривредног земљишта (7-8% у Европи). Кроз започете и планиране инвестиционе пројекте стварају се услови за наводњавање близу 100.000 ha додатних површина пољопривредног земљишта до 2025. године. Под шумама се налази око 25% територије Републике Србије (2,26 мил</w:t>
      </w:r>
      <w:r w:rsidR="000E6959" w:rsidRPr="00092ED7">
        <w:rPr>
          <w:rFonts w:cs="Times New Roman"/>
          <w:szCs w:val="24"/>
          <w:lang w:val="sr-Cyrl-CS"/>
        </w:rPr>
        <w:t>иона</w:t>
      </w:r>
      <w:r w:rsidRPr="00092ED7">
        <w:rPr>
          <w:rFonts w:cs="Times New Roman"/>
          <w:szCs w:val="24"/>
          <w:lang w:val="sr-Cyrl-CS"/>
        </w:rPr>
        <w:t xml:space="preserve"> ha), што је знатно испод просека ЕУ (39%, извор </w:t>
      </w:r>
      <w:r w:rsidR="002A4877" w:rsidRPr="00092ED7">
        <w:rPr>
          <w:rFonts w:cs="Times New Roman"/>
          <w:szCs w:val="24"/>
          <w:lang w:val="sr-Cyrl-CS"/>
        </w:rPr>
        <w:t>EUROSTAT</w:t>
      </w:r>
      <w:r w:rsidRPr="00092ED7">
        <w:rPr>
          <w:rFonts w:cs="Times New Roman"/>
          <w:szCs w:val="24"/>
          <w:lang w:val="sr-Cyrl-CS"/>
        </w:rPr>
        <w:t>),</w:t>
      </w:r>
      <w:r w:rsidR="000E6959" w:rsidRPr="00092ED7">
        <w:rPr>
          <w:rFonts w:cs="Times New Roman"/>
          <w:szCs w:val="24"/>
          <w:lang w:val="sr-Cyrl-CS"/>
        </w:rPr>
        <w:t xml:space="preserve"> </w:t>
      </w:r>
      <w:r w:rsidRPr="00092ED7">
        <w:rPr>
          <w:rFonts w:cs="Times New Roman"/>
          <w:szCs w:val="24"/>
          <w:lang w:val="sr-Cyrl-CS"/>
        </w:rPr>
        <w:t>а површина пошумљеног земљишта повећана је за 3% у 2020. у односу на 2017. годину</w:t>
      </w:r>
      <w:r w:rsidRPr="00092ED7">
        <w:rPr>
          <w:rStyle w:val="FootnoteReference"/>
          <w:rFonts w:cs="Times New Roman"/>
          <w:szCs w:val="24"/>
          <w:lang w:val="sr-Cyrl-CS"/>
        </w:rPr>
        <w:footnoteReference w:id="102"/>
      </w:r>
      <w:r w:rsidRPr="00092ED7">
        <w:rPr>
          <w:rFonts w:cs="Times New Roman"/>
          <w:szCs w:val="24"/>
          <w:lang w:val="sr-Cyrl-CS"/>
        </w:rPr>
        <w:t>. Међутим, смањен је обим радова на пошумљавању за 52% мг у 2020. и 19% мг у 2021</w:t>
      </w:r>
      <w:r w:rsidRPr="00092ED7">
        <w:rPr>
          <w:rFonts w:cs="Times New Roman"/>
          <w:szCs w:val="24"/>
          <w:vertAlign w:val="superscript"/>
          <w:lang w:val="sr-Cyrl-CS"/>
        </w:rPr>
        <w:footnoteReference w:id="103"/>
      </w:r>
      <w:r w:rsidRPr="00092ED7">
        <w:rPr>
          <w:rFonts w:cs="Times New Roman"/>
          <w:szCs w:val="24"/>
          <w:lang w:val="sr-Cyrl-CS"/>
        </w:rPr>
        <w:t>. Такође, у правни оквир у области пољопривреде треба имплементирати одредбе Европског зеленог договора, кроз активности смањења употребе пестицида, вештачког ђубрива и антибиотика, односно смањења ризика њиховог коришћења с једне стране, и очувања биодиверзитета, с друге стране.</w:t>
      </w:r>
    </w:p>
    <w:p w14:paraId="6942D538" w14:textId="383DD1C9" w:rsidR="00D210F0" w:rsidRPr="00092ED7" w:rsidRDefault="00D210F0" w:rsidP="00D210F0">
      <w:pPr>
        <w:spacing w:after="60"/>
        <w:rPr>
          <w:rFonts w:cs="Times New Roman"/>
          <w:szCs w:val="24"/>
          <w:lang w:val="sr-Cyrl-CS"/>
        </w:rPr>
      </w:pPr>
      <w:r w:rsidRPr="00092ED7">
        <w:rPr>
          <w:rFonts w:cs="Times New Roman"/>
          <w:b/>
          <w:szCs w:val="24"/>
          <w:lang w:val="sr-Cyrl-CS"/>
        </w:rPr>
        <w:t xml:space="preserve">Процес зелене трансформације захтева додатна улагања, како за државни, тако и за привредни сектор. </w:t>
      </w:r>
      <w:r w:rsidRPr="00092ED7">
        <w:rPr>
          <w:rFonts w:eastAsia="Calibri" w:cs="Times New Roman"/>
          <w:szCs w:val="24"/>
          <w:lang w:val="sr-Cyrl-CS"/>
        </w:rPr>
        <w:t>У области финансирања зелене транзиције, користе се средстава буџета Републике Србије, билатералне донације, ИПА фондови, WBIF и кредити међународних финансијских институција</w:t>
      </w:r>
      <w:r w:rsidRPr="00092ED7">
        <w:rPr>
          <w:rFonts w:cs="Times New Roman"/>
          <w:szCs w:val="24"/>
          <w:lang w:val="sr-Cyrl-CS"/>
        </w:rPr>
        <w:t xml:space="preserve">. У складу са </w:t>
      </w:r>
      <w:r w:rsidRPr="00092ED7">
        <w:rPr>
          <w:rFonts w:cs="Times New Roman"/>
          <w:i/>
          <w:szCs w:val="24"/>
          <w:lang w:val="sr-Cyrl-CS"/>
        </w:rPr>
        <w:t>Законом о накнадама за коришћење јавних добара</w:t>
      </w:r>
      <w:r w:rsidRPr="00092ED7">
        <w:rPr>
          <w:rFonts w:cs="Times New Roman"/>
          <w:szCs w:val="24"/>
          <w:lang w:val="sr-Cyrl-CS"/>
        </w:rPr>
        <w:t>загађивачи плаћају накнаду за заштиту и унапређење животне средине у зависности од врсте и количине загађења.</w:t>
      </w:r>
      <w:r w:rsidRPr="00092ED7">
        <w:rPr>
          <w:rFonts w:cs="Times New Roman"/>
          <w:b/>
          <w:i/>
          <w:szCs w:val="24"/>
          <w:lang w:val="sr-Cyrl-CS"/>
        </w:rPr>
        <w:t xml:space="preserve"> Остварени приходи</w:t>
      </w:r>
      <w:r w:rsidRPr="00092ED7">
        <w:rPr>
          <w:rFonts w:cs="Times New Roman"/>
          <w:i/>
          <w:szCs w:val="24"/>
          <w:lang w:val="sr-Cyrl-CS"/>
        </w:rPr>
        <w:t xml:space="preserve"> </w:t>
      </w:r>
      <w:r w:rsidRPr="00092ED7">
        <w:rPr>
          <w:rFonts w:cs="Times New Roman"/>
          <w:b/>
          <w:i/>
          <w:szCs w:val="24"/>
          <w:lang w:val="sr-Cyrl-CS"/>
        </w:rPr>
        <w:t>од накнада у области животне средине</w:t>
      </w:r>
      <w:r w:rsidRPr="00092ED7">
        <w:rPr>
          <w:rFonts w:cs="Times New Roman"/>
          <w:szCs w:val="24"/>
          <w:lang w:val="sr-Cyrl-CS"/>
        </w:rPr>
        <w:t xml:space="preserve"> износе 1,86 млрд. </w:t>
      </w:r>
      <w:r w:rsidR="000E6959" w:rsidRPr="00092ED7">
        <w:rPr>
          <w:rFonts w:cs="Times New Roman"/>
          <w:szCs w:val="24"/>
          <w:lang w:val="sr-Cyrl-CS"/>
        </w:rPr>
        <w:t xml:space="preserve">евра </w:t>
      </w:r>
      <w:r w:rsidRPr="00092ED7">
        <w:rPr>
          <w:rFonts w:cs="Times New Roman"/>
          <w:szCs w:val="24"/>
          <w:lang w:val="sr-Cyrl-CS"/>
        </w:rPr>
        <w:t>(4% БДП) у 2020. години и за 2,6% су виши у односу на претходну годину</w:t>
      </w:r>
      <w:r w:rsidRPr="00092ED7">
        <w:rPr>
          <w:rFonts w:cs="Times New Roman"/>
          <w:szCs w:val="24"/>
          <w:vertAlign w:val="superscript"/>
          <w:lang w:val="sr-Cyrl-CS"/>
        </w:rPr>
        <w:footnoteReference w:id="104"/>
      </w:r>
      <w:r w:rsidRPr="00092ED7">
        <w:rPr>
          <w:rFonts w:cs="Times New Roman"/>
          <w:szCs w:val="24"/>
          <w:lang w:val="sr-Cyrl-CS"/>
        </w:rPr>
        <w:t>. Највеће учешће у структури прихода имали су енергетск</w:t>
      </w:r>
      <w:r w:rsidR="000E6959" w:rsidRPr="00092ED7">
        <w:rPr>
          <w:rFonts w:cs="Times New Roman"/>
          <w:szCs w:val="24"/>
          <w:lang w:val="sr-Cyrl-CS"/>
        </w:rPr>
        <w:t>е</w:t>
      </w:r>
      <w:r w:rsidRPr="00092ED7">
        <w:rPr>
          <w:rFonts w:cs="Times New Roman"/>
          <w:szCs w:val="24"/>
          <w:lang w:val="sr-Cyrl-CS"/>
        </w:rPr>
        <w:t xml:space="preserve"> накнаде (87%) и накнаде из области саобраћаја (7,5%), док су накнаде за загађење и накнаде за коришћење ресурса учествовале са 4,2% и 1,4%, респективно. </w:t>
      </w:r>
      <w:r w:rsidRPr="00092ED7">
        <w:rPr>
          <w:rFonts w:cs="Times New Roman"/>
          <w:b/>
          <w:i/>
          <w:szCs w:val="24"/>
          <w:lang w:val="sr-Cyrl-CS"/>
        </w:rPr>
        <w:t>Укупни трошкови за заштиту животне средине</w:t>
      </w:r>
      <w:r w:rsidRPr="00092ED7">
        <w:rPr>
          <w:rFonts w:cs="Times New Roman"/>
          <w:b/>
          <w:i/>
          <w:szCs w:val="24"/>
          <w:vertAlign w:val="superscript"/>
          <w:lang w:val="sr-Cyrl-CS"/>
        </w:rPr>
        <w:footnoteReference w:id="105"/>
      </w:r>
      <w:r w:rsidRPr="00092ED7">
        <w:rPr>
          <w:rFonts w:cs="Times New Roman"/>
          <w:szCs w:val="24"/>
          <w:lang w:val="sr-Cyrl-CS"/>
        </w:rPr>
        <w:t xml:space="preserve"> износили су </w:t>
      </w:r>
      <w:r w:rsidR="00B77A81" w:rsidRPr="00092ED7">
        <w:rPr>
          <w:rFonts w:cs="Times New Roman"/>
          <w:szCs w:val="24"/>
          <w:lang w:val="sr-Cyrl-CS"/>
        </w:rPr>
        <w:t>515</w:t>
      </w:r>
      <w:r w:rsidR="002F0018" w:rsidRPr="00092ED7">
        <w:rPr>
          <w:rFonts w:cs="Times New Roman"/>
          <w:szCs w:val="24"/>
          <w:lang w:val="sr-Cyrl-CS"/>
        </w:rPr>
        <w:t xml:space="preserve"> </w:t>
      </w:r>
      <w:r w:rsidRPr="00092ED7">
        <w:rPr>
          <w:rFonts w:cs="Times New Roman"/>
          <w:szCs w:val="24"/>
          <w:lang w:val="sr-Cyrl-CS"/>
        </w:rPr>
        <w:t xml:space="preserve">милиона </w:t>
      </w:r>
      <w:r w:rsidR="00B77A81" w:rsidRPr="00092ED7">
        <w:rPr>
          <w:rFonts w:cs="Times New Roman"/>
          <w:szCs w:val="24"/>
          <w:lang w:val="sr-Cyrl-CS"/>
        </w:rPr>
        <w:t>евра</w:t>
      </w:r>
      <w:r w:rsidR="002F0018" w:rsidRPr="00092ED7">
        <w:rPr>
          <w:rFonts w:cs="Times New Roman"/>
          <w:szCs w:val="24"/>
          <w:lang w:val="sr-Cyrl-CS"/>
        </w:rPr>
        <w:t xml:space="preserve"> </w:t>
      </w:r>
      <w:r w:rsidRPr="00092ED7">
        <w:rPr>
          <w:rFonts w:cs="Times New Roman"/>
          <w:szCs w:val="24"/>
          <w:lang w:val="sr-Cyrl-CS"/>
        </w:rPr>
        <w:t xml:space="preserve">у </w:t>
      </w:r>
      <w:r w:rsidR="002F0018" w:rsidRPr="00092ED7">
        <w:rPr>
          <w:rFonts w:cs="Times New Roman"/>
          <w:szCs w:val="24"/>
          <w:lang w:val="sr-Cyrl-CS"/>
        </w:rPr>
        <w:t>2021</w:t>
      </w:r>
      <w:r w:rsidRPr="00092ED7">
        <w:rPr>
          <w:rFonts w:cs="Times New Roman"/>
          <w:szCs w:val="24"/>
          <w:lang w:val="sr-Cyrl-CS"/>
        </w:rPr>
        <w:t xml:space="preserve">. години што је за </w:t>
      </w:r>
      <w:r w:rsidR="002F0018" w:rsidRPr="00092ED7">
        <w:rPr>
          <w:rFonts w:cs="Times New Roman"/>
          <w:szCs w:val="24"/>
          <w:lang w:val="sr-Cyrl-CS"/>
        </w:rPr>
        <w:t>32,3</w:t>
      </w:r>
      <w:r w:rsidRPr="00092ED7">
        <w:rPr>
          <w:rFonts w:cs="Times New Roman"/>
          <w:szCs w:val="24"/>
          <w:lang w:val="sr-Cyrl-CS"/>
        </w:rPr>
        <w:t xml:space="preserve">% више него претходне године. У структури </w:t>
      </w:r>
      <w:r w:rsidR="00B77A81" w:rsidRPr="00092ED7">
        <w:rPr>
          <w:rFonts w:cs="Times New Roman"/>
          <w:szCs w:val="24"/>
          <w:lang w:val="sr-Cyrl-CS"/>
        </w:rPr>
        <w:t xml:space="preserve">ових </w:t>
      </w:r>
      <w:r w:rsidRPr="00092ED7">
        <w:rPr>
          <w:rFonts w:cs="Times New Roman"/>
          <w:szCs w:val="24"/>
          <w:lang w:val="sr-Cyrl-CS"/>
        </w:rPr>
        <w:t xml:space="preserve">трошкова, инвестиције за заштиту животне средине чине </w:t>
      </w:r>
      <w:r w:rsidR="002F0018" w:rsidRPr="00092ED7">
        <w:rPr>
          <w:rFonts w:cs="Times New Roman"/>
          <w:szCs w:val="24"/>
          <w:lang w:val="sr-Cyrl-CS"/>
        </w:rPr>
        <w:t>55,4</w:t>
      </w:r>
      <w:r w:rsidRPr="00092ED7">
        <w:rPr>
          <w:rFonts w:cs="Times New Roman"/>
          <w:szCs w:val="24"/>
          <w:lang w:val="sr-Cyrl-CS"/>
        </w:rPr>
        <w:t xml:space="preserve">% (од чега </w:t>
      </w:r>
      <w:r w:rsidR="002F0018" w:rsidRPr="00092ED7">
        <w:rPr>
          <w:rFonts w:cs="Times New Roman"/>
          <w:szCs w:val="24"/>
          <w:lang w:val="sr-Cyrl-CS"/>
        </w:rPr>
        <w:t>64,7</w:t>
      </w:r>
      <w:r w:rsidRPr="00092ED7">
        <w:rPr>
          <w:rFonts w:cs="Times New Roman"/>
          <w:szCs w:val="24"/>
          <w:lang w:val="sr-Cyrl-CS"/>
        </w:rPr>
        <w:t xml:space="preserve">% у области заштите ваздуха), док је учешће текућих издатака </w:t>
      </w:r>
      <w:r w:rsidR="002F0018" w:rsidRPr="00092ED7">
        <w:rPr>
          <w:rFonts w:cs="Times New Roman"/>
          <w:szCs w:val="24"/>
          <w:lang w:val="sr-Cyrl-CS"/>
        </w:rPr>
        <w:t>44,6</w:t>
      </w:r>
      <w:r w:rsidRPr="00092ED7">
        <w:rPr>
          <w:rFonts w:cs="Times New Roman"/>
          <w:szCs w:val="24"/>
          <w:lang w:val="sr-Cyrl-CS"/>
        </w:rPr>
        <w:t xml:space="preserve">%. Инвестиције у заштиту животну средине од </w:t>
      </w:r>
      <w:r w:rsidR="00B77A81" w:rsidRPr="00092ED7">
        <w:rPr>
          <w:rFonts w:cs="Times New Roman"/>
          <w:szCs w:val="24"/>
          <w:lang w:val="sr-Cyrl-CS"/>
        </w:rPr>
        <w:t>285</w:t>
      </w:r>
      <w:r w:rsidRPr="00092ED7">
        <w:rPr>
          <w:rFonts w:cs="Times New Roman"/>
          <w:szCs w:val="24"/>
          <w:lang w:val="sr-Cyrl-CS"/>
        </w:rPr>
        <w:t xml:space="preserve"> милиона евра (0,</w:t>
      </w:r>
      <w:r w:rsidR="00B77A81" w:rsidRPr="00092ED7">
        <w:rPr>
          <w:rFonts w:cs="Times New Roman"/>
          <w:szCs w:val="24"/>
          <w:lang w:val="sr-Cyrl-CS"/>
        </w:rPr>
        <w:t>48</w:t>
      </w:r>
      <w:r w:rsidRPr="00092ED7">
        <w:rPr>
          <w:rFonts w:cs="Times New Roman"/>
          <w:szCs w:val="24"/>
          <w:lang w:val="sr-Cyrl-CS"/>
        </w:rPr>
        <w:t xml:space="preserve">% БДП) у </w:t>
      </w:r>
      <w:r w:rsidR="00B77A81" w:rsidRPr="00092ED7">
        <w:rPr>
          <w:rFonts w:cs="Times New Roman"/>
          <w:szCs w:val="24"/>
          <w:lang w:val="sr-Cyrl-CS"/>
        </w:rPr>
        <w:t>2021</w:t>
      </w:r>
      <w:r w:rsidRPr="00092ED7">
        <w:rPr>
          <w:rFonts w:cs="Times New Roman"/>
          <w:szCs w:val="24"/>
          <w:lang w:val="sr-Cyrl-CS"/>
        </w:rPr>
        <w:t xml:space="preserve">. години, номинално су веће за </w:t>
      </w:r>
      <w:r w:rsidR="00B77A81" w:rsidRPr="00092ED7">
        <w:rPr>
          <w:rFonts w:cs="Times New Roman"/>
          <w:szCs w:val="24"/>
          <w:lang w:val="sr-Cyrl-CS"/>
        </w:rPr>
        <w:t>85,2</w:t>
      </w:r>
      <w:r w:rsidRPr="00092ED7">
        <w:rPr>
          <w:rFonts w:cs="Times New Roman"/>
          <w:szCs w:val="24"/>
          <w:lang w:val="sr-Cyrl-CS"/>
        </w:rPr>
        <w:t>% мг. Иако се остварени приходи од накнада највећим делом не користе за пројекте у области заштите животне средине, улагања из буџета Републике Србије у сектор заштите животне средине се годинама повећавају (планирана буџетска средства од 185 милиона евра (0,33% БДП) у 2022. су већа за 83,8% у односу на 2020. годину). Поред финансијске подршке за спровођење зелене транзиције, неопходно је даље јачање и координација институционалних и административних капацитета на националном и локалном нивоу, као и усклађивање са политикама ЕУ и обавезама у процесу европских интеграција.</w:t>
      </w:r>
    </w:p>
    <w:p w14:paraId="43FABE34" w14:textId="77777777" w:rsidR="00D210F0" w:rsidRPr="00092ED7" w:rsidRDefault="00D210F0" w:rsidP="00D210F0">
      <w:pPr>
        <w:spacing w:after="60"/>
        <w:rPr>
          <w:rFonts w:cs="Times New Roman"/>
          <w:szCs w:val="24"/>
          <w:lang w:val="sr-Cyrl-CS"/>
        </w:rPr>
      </w:pPr>
      <w:r w:rsidRPr="00092ED7">
        <w:rPr>
          <w:rFonts w:cs="Times New Roman"/>
          <w:szCs w:val="24"/>
          <w:lang w:val="sr-Cyrl-CS"/>
        </w:rPr>
        <w:t xml:space="preserve">Успостављен је јединствен </w:t>
      </w:r>
      <w:r w:rsidRPr="00092ED7">
        <w:rPr>
          <w:rFonts w:cs="Times New Roman"/>
          <w:b/>
          <w:szCs w:val="24"/>
          <w:lang w:val="sr-Cyrl-CS"/>
        </w:rPr>
        <w:t>еколошки информациони систем</w:t>
      </w:r>
      <w:r w:rsidRPr="00092ED7">
        <w:rPr>
          <w:rFonts w:cs="Times New Roman"/>
          <w:szCs w:val="24"/>
          <w:lang w:val="sr-Cyrl-CS"/>
        </w:rPr>
        <w:t xml:space="preserve"> у 2022. години. Кроз овај систем грађани могу да пријављују еколошке проблеме са којима се сусрећу. Овим системом предвиђено је и праћење локација очишћених дивљих депонија на којима су постављене камере. На овај начин биће прикупљене информације потребне за ефикасније мапирање и решавање еколошких проблема у Републици Србији. Око 70% пристиглих пријава грађана кроз систем се односе на локације где постоји проблем са чврстим отпадом.</w:t>
      </w:r>
    </w:p>
    <w:p w14:paraId="055FAA36" w14:textId="44F8AE44" w:rsidR="000465E0" w:rsidRPr="00092ED7" w:rsidRDefault="004A67B0" w:rsidP="004A67B0">
      <w:pPr>
        <w:spacing w:after="60"/>
        <w:rPr>
          <w:rFonts w:cs="Times New Roman"/>
          <w:szCs w:val="24"/>
          <w:lang w:val="sr-Cyrl-CS"/>
        </w:rPr>
      </w:pPr>
      <w:r w:rsidRPr="00092ED7">
        <w:rPr>
          <w:b/>
          <w:i/>
          <w:lang w:val="sr-Cyrl-CS"/>
        </w:rPr>
        <w:t>Програм развоја циркуларне економије у Републици Србији за период 2022-2024. године</w:t>
      </w:r>
      <w:r w:rsidRPr="00092ED7">
        <w:rPr>
          <w:b/>
          <w:lang w:val="sr-Cyrl-CS"/>
        </w:rPr>
        <w:t xml:space="preserve"> </w:t>
      </w:r>
      <w:r w:rsidRPr="00092ED7">
        <w:rPr>
          <w:rFonts w:cs="Times New Roman"/>
          <w:b/>
          <w:szCs w:val="24"/>
          <w:lang w:val="sr-Cyrl-CS"/>
        </w:rPr>
        <w:t>(„Сл</w:t>
      </w:r>
      <w:r w:rsidR="003148DB" w:rsidRPr="00092ED7">
        <w:rPr>
          <w:rFonts w:cs="Times New Roman"/>
          <w:b/>
          <w:szCs w:val="24"/>
          <w:lang w:val="sr-Cyrl-CS"/>
        </w:rPr>
        <w:t>ужбени</w:t>
      </w:r>
      <w:r w:rsidRPr="00092ED7">
        <w:rPr>
          <w:rFonts w:cs="Times New Roman"/>
          <w:b/>
          <w:szCs w:val="24"/>
          <w:lang w:val="sr-Cyrl-CS"/>
        </w:rPr>
        <w:t xml:space="preserve"> гласник РС</w:t>
      </w:r>
      <w:r w:rsidR="003148DB" w:rsidRPr="00092ED7">
        <w:rPr>
          <w:rFonts w:cs="Times New Roman"/>
          <w:b/>
          <w:szCs w:val="24"/>
          <w:lang w:val="sr-Cyrl-CS"/>
        </w:rPr>
        <w:t>”</w:t>
      </w:r>
      <w:r w:rsidRPr="00092ED7">
        <w:rPr>
          <w:rFonts w:cs="Times New Roman"/>
          <w:b/>
          <w:szCs w:val="24"/>
          <w:lang w:val="sr-Cyrl-CS"/>
        </w:rPr>
        <w:t>, бр</w:t>
      </w:r>
      <w:r w:rsidR="003148DB" w:rsidRPr="00092ED7">
        <w:rPr>
          <w:rFonts w:cs="Times New Roman"/>
          <w:b/>
          <w:szCs w:val="24"/>
          <w:lang w:val="sr-Cyrl-CS"/>
        </w:rPr>
        <w:t>ој</w:t>
      </w:r>
      <w:r w:rsidRPr="00092ED7">
        <w:rPr>
          <w:b/>
          <w:lang w:val="sr-Cyrl-CS"/>
        </w:rPr>
        <w:t xml:space="preserve"> 137/22)</w:t>
      </w:r>
      <w:r w:rsidR="00951ACC" w:rsidRPr="00092ED7">
        <w:rPr>
          <w:b/>
          <w:lang w:val="sr-Cyrl-CS"/>
        </w:rPr>
        <w:t xml:space="preserve"> са акционим планом за исти временски период</w:t>
      </w:r>
      <w:r w:rsidRPr="00092ED7">
        <w:rPr>
          <w:b/>
          <w:lang w:val="sr-Cyrl-CS"/>
        </w:rPr>
        <w:t xml:space="preserve"> усвојен </w:t>
      </w:r>
      <w:r w:rsidR="000465E0" w:rsidRPr="00092ED7">
        <w:rPr>
          <w:b/>
          <w:lang w:val="sr-Cyrl-CS"/>
        </w:rPr>
        <w:t>је</w:t>
      </w:r>
      <w:r w:rsidR="006D0854" w:rsidRPr="00092ED7">
        <w:rPr>
          <w:b/>
          <w:lang w:val="sr-Cyrl-CS"/>
        </w:rPr>
        <w:t xml:space="preserve"> децембра</w:t>
      </w:r>
      <w:r w:rsidR="000465E0" w:rsidRPr="00092ED7">
        <w:rPr>
          <w:b/>
          <w:lang w:val="sr-Cyrl-CS"/>
        </w:rPr>
        <w:t xml:space="preserve"> 2022. </w:t>
      </w:r>
      <w:r w:rsidR="006D0854" w:rsidRPr="00092ED7">
        <w:rPr>
          <w:b/>
          <w:lang w:val="sr-Cyrl-CS"/>
        </w:rPr>
        <w:t>године</w:t>
      </w:r>
      <w:r w:rsidR="000465E0" w:rsidRPr="00092ED7">
        <w:rPr>
          <w:b/>
          <w:lang w:val="sr-Cyrl-CS"/>
        </w:rPr>
        <w:t>.</w:t>
      </w:r>
      <w:r w:rsidR="000465E0" w:rsidRPr="00092ED7">
        <w:rPr>
          <w:lang w:val="sr-Cyrl-CS"/>
        </w:rPr>
        <w:t xml:space="preserve"> Циркуларна економија је препознатa као важан стратешки концепт за зелену транзицију Републике Србије, која је последњих година постављена високо на лествици приоритета. Програмом су обухваћене најважније области од значаја за циркуларну економију: управљање отпадом; управљање водама; обновљиви извори енергије и енергетска ефикасност; управљање хемикалијама; зелене јавне набавке и добровољни инструменти; привредна политика; иновације и подизање јавне свести. </w:t>
      </w:r>
      <w:r w:rsidR="00F47767" w:rsidRPr="00092ED7">
        <w:rPr>
          <w:lang w:val="sr-Cyrl-CS"/>
        </w:rPr>
        <w:t xml:space="preserve">Један од доказаних механизама којим држава може да промовише и поспеши прелазак привреде на модел циркуларне економије је </w:t>
      </w:r>
      <w:r w:rsidR="00F47767" w:rsidRPr="00092ED7">
        <w:rPr>
          <w:b/>
          <w:lang w:val="sr-Cyrl-CS"/>
        </w:rPr>
        <w:t>примена зелених јавних набавки</w:t>
      </w:r>
      <w:r w:rsidR="00F47767" w:rsidRPr="00092ED7">
        <w:rPr>
          <w:lang w:val="sr-Cyrl-CS"/>
        </w:rPr>
        <w:t>. Постављањем захтева у погледу потрошње сировина и енергената и утицаја на животну средину у документацији за набавку, може се ефикасно пружити подршка привредним субјектима који усвајају принципе циркуларне економије у своје пословање и развијају производе и услуге у складу са њима.</w:t>
      </w:r>
      <w:r w:rsidR="00330B8F" w:rsidRPr="00092ED7">
        <w:rPr>
          <w:lang w:val="sr-Cyrl-CS"/>
        </w:rPr>
        <w:t xml:space="preserve"> </w:t>
      </w:r>
      <w:r w:rsidR="000465E0" w:rsidRPr="00092ED7">
        <w:rPr>
          <w:rFonts w:eastAsia="Times New Roman" w:cs="Times New Roman"/>
          <w:szCs w:val="24"/>
          <w:lang w:val="sr-Cyrl-CS"/>
        </w:rPr>
        <w:t>А</w:t>
      </w:r>
      <w:r w:rsidR="000465E0" w:rsidRPr="00092ED7">
        <w:rPr>
          <w:rFonts w:cs="Times New Roman"/>
          <w:noProof/>
          <w:szCs w:val="24"/>
          <w:lang w:val="sr-Cyrl-CS"/>
        </w:rPr>
        <w:t>нализа података доступних на Порталу за јавне набавке коју је спровела Канцеларија за јавне набавке, је показала да је током 2021. године спроведено 650 поступака зелених јавних набавки у Републици Србији.</w:t>
      </w:r>
    </w:p>
    <w:p w14:paraId="42117A83"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б) Реформе</w:t>
      </w:r>
    </w:p>
    <w:p w14:paraId="3395C377" w14:textId="77777777" w:rsidR="00D210F0" w:rsidRPr="00092ED7" w:rsidRDefault="00D210F0" w:rsidP="00D210F0">
      <w:pPr>
        <w:spacing w:before="120"/>
        <w:rPr>
          <w:rFonts w:cs="Times New Roman"/>
          <w:bCs/>
          <w:smallCaps/>
          <w:szCs w:val="24"/>
          <w:lang w:val="sr-Cyrl-CS"/>
        </w:rPr>
      </w:pPr>
      <w:r w:rsidRPr="00092ED7">
        <w:rPr>
          <w:rFonts w:cs="Times New Roman"/>
          <w:b/>
          <w:bCs/>
          <w:szCs w:val="24"/>
          <w:u w:val="single"/>
          <w:lang w:val="sr-Cyrl-CS"/>
        </w:rPr>
        <w:t>СТРУКТУРНА РЕФОРМА 12</w:t>
      </w:r>
      <w:r w:rsidRPr="00092ED7">
        <w:rPr>
          <w:rFonts w:cs="Times New Roman"/>
          <w:b/>
          <w:bCs/>
          <w:szCs w:val="24"/>
          <w:lang w:val="sr-Cyrl-CS"/>
        </w:rPr>
        <w:t xml:space="preserve">: </w:t>
      </w:r>
      <w:r w:rsidRPr="00092ED7">
        <w:rPr>
          <w:rFonts w:cs="Times New Roman"/>
          <w:bCs/>
          <w:smallCaps/>
          <w:szCs w:val="24"/>
          <w:lang w:val="sr-Cyrl-CS"/>
        </w:rPr>
        <w:t>ПРИМЕНА ЦИРКУЛАРНЕ ЕКОНОМИЈЕ У СТВАРАЊУ ПОВОЉНОГ ОКРУЖЕЊА ЗА ЗЕЛЕНУ ТРАНЗИЦИЈУ</w:t>
      </w:r>
    </w:p>
    <w:p w14:paraId="137877D6" w14:textId="77777777" w:rsidR="00D210F0" w:rsidRPr="00092ED7" w:rsidRDefault="00D210F0" w:rsidP="00071952">
      <w:pPr>
        <w:widowControl w:val="0"/>
        <w:numPr>
          <w:ilvl w:val="0"/>
          <w:numId w:val="29"/>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0F9A0AC9" w14:textId="1E22F30B" w:rsidR="00DE6DB9" w:rsidRDefault="00D210F0" w:rsidP="00B640AF">
      <w:pPr>
        <w:rPr>
          <w:lang w:val="sr-Cyrl-CS"/>
        </w:rPr>
      </w:pPr>
      <w:r w:rsidRPr="00092ED7">
        <w:rPr>
          <w:rFonts w:eastAsia="Times New Roman" w:cs="Times New Roman"/>
          <w:szCs w:val="24"/>
          <w:lang w:val="sr-Cyrl-CS"/>
        </w:rPr>
        <w:t xml:space="preserve">Концепт циркуларне економије који повезује многе области, има за циљ покретање зелене привредне транзиције Републике Србије, уз ефикасно коришћење ресурса и енергије и очување и унапређење животне средине и здравља људи. Развојем иновативног дизајна, дигитализације и нових технолошких достигнућа, допринеће се стварању модерног, конкурентног и климатски неутралног друштва. Циркуларна економија је један од кључних алата за достизање циљева одрживог развоја УН - Агенда 2030 и циљева </w:t>
      </w:r>
      <w:r w:rsidR="00AF5731" w:rsidRPr="00092ED7">
        <w:rPr>
          <w:rFonts w:eastAsia="Times New Roman" w:cs="Times New Roman"/>
          <w:szCs w:val="24"/>
          <w:lang w:val="sr-Cyrl-CS"/>
        </w:rPr>
        <w:t>Споразума из Париза</w:t>
      </w:r>
      <w:r w:rsidR="00572A59" w:rsidRPr="00092ED7">
        <w:rPr>
          <w:rFonts w:eastAsia="Times New Roman" w:cs="Times New Roman"/>
          <w:szCs w:val="24"/>
          <w:lang w:val="sr-Cyrl-CS"/>
        </w:rPr>
        <w:t xml:space="preserve"> који је потврђен Законом о потврђивању Споразума из Париза </w:t>
      </w:r>
      <w:r w:rsidR="00572A59" w:rsidRPr="00092ED7">
        <w:rPr>
          <w:rFonts w:cs="Times New Roman"/>
          <w:szCs w:val="24"/>
          <w:lang w:val="sr-Cyrl-CS"/>
        </w:rPr>
        <w:t>(„Службени гласник РС</w:t>
      </w:r>
      <w:r w:rsidR="001571AD" w:rsidRPr="00092ED7">
        <w:rPr>
          <w:rFonts w:cs="Times New Roman"/>
          <w:szCs w:val="24"/>
          <w:lang w:val="sr-Cyrl-CS"/>
        </w:rPr>
        <w:t xml:space="preserve"> </w:t>
      </w:r>
      <w:r w:rsidR="00572A59" w:rsidRPr="00092ED7">
        <w:rPr>
          <w:rFonts w:eastAsia="Times New Roman" w:cs="Times New Roman"/>
          <w:szCs w:val="24"/>
          <w:lang w:val="sr-Cyrl-CS"/>
        </w:rPr>
        <w:t xml:space="preserve">- </w:t>
      </w:r>
      <w:r w:rsidR="001571AD" w:rsidRPr="00092ED7">
        <w:rPr>
          <w:rFonts w:eastAsia="Times New Roman" w:cs="Times New Roman"/>
          <w:szCs w:val="24"/>
          <w:lang w:val="sr-Cyrl-CS"/>
        </w:rPr>
        <w:t>М</w:t>
      </w:r>
      <w:r w:rsidR="00572A59" w:rsidRPr="00092ED7">
        <w:rPr>
          <w:rFonts w:eastAsia="Times New Roman" w:cs="Times New Roman"/>
          <w:szCs w:val="24"/>
          <w:lang w:val="sr-Cyrl-CS"/>
        </w:rPr>
        <w:t>еђународни уговори</w:t>
      </w:r>
      <w:r w:rsidR="00572A59" w:rsidRPr="00092ED7">
        <w:rPr>
          <w:rFonts w:cs="Times New Roman"/>
          <w:szCs w:val="24"/>
          <w:lang w:val="sr-Cyrl-CS"/>
        </w:rPr>
        <w:t>”</w:t>
      </w:r>
      <w:r w:rsidR="00572A59" w:rsidRPr="00092ED7">
        <w:rPr>
          <w:rFonts w:eastAsia="Times New Roman" w:cs="Times New Roman"/>
          <w:szCs w:val="24"/>
          <w:lang w:val="sr-Cyrl-CS"/>
        </w:rPr>
        <w:t>, брoj 4/17)</w:t>
      </w:r>
      <w:r w:rsidR="008A08D5" w:rsidRPr="00092ED7">
        <w:rPr>
          <w:rFonts w:eastAsia="Times New Roman" w:cs="Times New Roman"/>
          <w:szCs w:val="24"/>
          <w:lang w:val="sr-Cyrl-CS"/>
        </w:rPr>
        <w:t xml:space="preserve">. </w:t>
      </w:r>
      <w:r w:rsidRPr="00092ED7">
        <w:rPr>
          <w:rFonts w:eastAsia="Times New Roman" w:cs="Times New Roman"/>
          <w:szCs w:val="24"/>
          <w:lang w:val="sr-Cyrl-CS"/>
        </w:rPr>
        <w:t xml:space="preserve">Циркуларна економија знатно доприноси и смањењу утицаја климатских промена, односно спречавању да се температура повећа за више од 1,5°С у односу на преиндустријски период, на шта обавезују </w:t>
      </w:r>
      <w:r w:rsidR="00AF5731" w:rsidRPr="00092ED7">
        <w:rPr>
          <w:rFonts w:eastAsia="Times New Roman" w:cs="Times New Roman"/>
          <w:szCs w:val="24"/>
          <w:lang w:val="sr-Cyrl-CS"/>
        </w:rPr>
        <w:t xml:space="preserve">Оквирна конвенција </w:t>
      </w:r>
      <w:r w:rsidRPr="00092ED7">
        <w:rPr>
          <w:rFonts w:eastAsia="Times New Roman" w:cs="Times New Roman"/>
          <w:szCs w:val="24"/>
          <w:lang w:val="sr-Cyrl-CS"/>
        </w:rPr>
        <w:t xml:space="preserve">УН о промени климе и </w:t>
      </w:r>
      <w:r w:rsidR="00AF5731" w:rsidRPr="00092ED7">
        <w:rPr>
          <w:rFonts w:eastAsia="Times New Roman" w:cs="Times New Roman"/>
          <w:szCs w:val="24"/>
          <w:lang w:val="sr-Cyrl-CS"/>
        </w:rPr>
        <w:t>Споразум из Париза</w:t>
      </w:r>
      <w:r w:rsidRPr="00092ED7">
        <w:rPr>
          <w:rFonts w:eastAsia="Times New Roman" w:cs="Times New Roman"/>
          <w:szCs w:val="24"/>
          <w:lang w:val="sr-Cyrl-CS"/>
        </w:rPr>
        <w:t xml:space="preserve">. </w:t>
      </w:r>
      <w:r w:rsidRPr="00092ED7">
        <w:rPr>
          <w:rFonts w:eastAsia="Times New Roman" w:cs="Times New Roman"/>
          <w:i/>
          <w:szCs w:val="24"/>
          <w:lang w:val="sr-Cyrl-CS"/>
        </w:rPr>
        <w:t>Програм развоја  циркуларне економије у Републици Србији за период 2022-2024. године</w:t>
      </w:r>
      <w:r w:rsidRPr="00092ED7">
        <w:rPr>
          <w:rFonts w:eastAsia="Times New Roman" w:cs="Times New Roman"/>
          <w:szCs w:val="24"/>
          <w:lang w:val="sr-Cyrl-CS"/>
        </w:rPr>
        <w:t xml:space="preserve"> (са акционим планом за три године), усвојен </w:t>
      </w:r>
      <w:r w:rsidR="00895FF6" w:rsidRPr="00092ED7">
        <w:rPr>
          <w:rFonts w:eastAsia="Times New Roman" w:cs="Times New Roman"/>
          <w:szCs w:val="24"/>
          <w:lang w:val="sr-Cyrl-CS"/>
        </w:rPr>
        <w:t xml:space="preserve">је 1. децембра </w:t>
      </w:r>
      <w:r w:rsidRPr="00092ED7">
        <w:rPr>
          <w:rFonts w:eastAsia="Times New Roman" w:cs="Times New Roman"/>
          <w:szCs w:val="24"/>
          <w:lang w:val="sr-Cyrl-CS"/>
        </w:rPr>
        <w:t>2022. године</w:t>
      </w:r>
      <w:r w:rsidR="00895FF6" w:rsidRPr="00092ED7">
        <w:rPr>
          <w:rFonts w:eastAsia="Times New Roman" w:cs="Times New Roman"/>
          <w:szCs w:val="24"/>
          <w:lang w:val="sr-Cyrl-CS"/>
        </w:rPr>
        <w:t xml:space="preserve">. Усвајање </w:t>
      </w:r>
      <w:r w:rsidR="0084242A" w:rsidRPr="00092ED7">
        <w:rPr>
          <w:rFonts w:eastAsia="Times New Roman" w:cs="Times New Roman"/>
          <w:szCs w:val="24"/>
          <w:lang w:val="sr-Cyrl-CS"/>
        </w:rPr>
        <w:t xml:space="preserve">планског </w:t>
      </w:r>
      <w:r w:rsidR="00895FF6" w:rsidRPr="00092ED7">
        <w:rPr>
          <w:rFonts w:eastAsia="Times New Roman" w:cs="Times New Roman"/>
          <w:szCs w:val="24"/>
          <w:lang w:val="sr-Cyrl-CS"/>
        </w:rPr>
        <w:t>документа за област циркуларне економије</w:t>
      </w:r>
      <w:r w:rsidRPr="00092ED7">
        <w:rPr>
          <w:rFonts w:eastAsia="Times New Roman" w:cs="Times New Roman"/>
          <w:szCs w:val="24"/>
          <w:lang w:val="sr-Cyrl-CS"/>
        </w:rPr>
        <w:t xml:space="preserve"> је предвиђено у Зеленој агенди за Западни Балкан, у оквиру стуба 2 који се односи на циркуларну економију. </w:t>
      </w:r>
      <w:r w:rsidR="00F47767" w:rsidRPr="00092ED7">
        <w:rPr>
          <w:rFonts w:eastAsia="Times New Roman" w:cs="Times New Roman"/>
          <w:szCs w:val="24"/>
          <w:lang w:val="sr-Cyrl-CS"/>
        </w:rPr>
        <w:t xml:space="preserve">Структурна реформа обухвата подршку привредним субјектима и локалним самоуправама у области циркуларне економије, унапређење сарадње пословне и академске заједнице, и </w:t>
      </w:r>
      <w:r w:rsidR="00F47767" w:rsidRPr="00092ED7">
        <w:rPr>
          <w:lang w:val="sr-Cyrl-CS"/>
        </w:rPr>
        <w:t xml:space="preserve">пружање подршке јавном сектору и привреди за успешну примену зелених јавних набавки у </w:t>
      </w:r>
      <w:r w:rsidR="00B010FF" w:rsidRPr="00092ED7">
        <w:rPr>
          <w:lang w:val="sr-Cyrl-CS"/>
        </w:rPr>
        <w:t xml:space="preserve">Републици </w:t>
      </w:r>
      <w:r w:rsidR="00F47767" w:rsidRPr="00092ED7">
        <w:rPr>
          <w:lang w:val="sr-Cyrl-CS"/>
        </w:rPr>
        <w:t>Србији.</w:t>
      </w:r>
    </w:p>
    <w:p w14:paraId="3DD2B4C7" w14:textId="576E1095" w:rsidR="00BA1B20" w:rsidRDefault="00BA1B20" w:rsidP="00B640AF">
      <w:pPr>
        <w:rPr>
          <w:rFonts w:cs="Times New Roman"/>
          <w:szCs w:val="24"/>
          <w:lang w:val="sr-Cyrl-CS"/>
        </w:rPr>
      </w:pPr>
    </w:p>
    <w:p w14:paraId="347EF940" w14:textId="062CCCEB" w:rsidR="00BA1B20" w:rsidRDefault="00BA1B20" w:rsidP="00B640AF">
      <w:pPr>
        <w:rPr>
          <w:rFonts w:cs="Times New Roman"/>
          <w:szCs w:val="24"/>
          <w:lang w:val="sr-Cyrl-CS"/>
        </w:rPr>
      </w:pPr>
    </w:p>
    <w:p w14:paraId="7FBDFD7A" w14:textId="77777777" w:rsidR="00BA1B20" w:rsidRPr="00092ED7" w:rsidRDefault="00BA1B20" w:rsidP="00B640AF">
      <w:pPr>
        <w:rPr>
          <w:rFonts w:cs="Times New Roman"/>
          <w:szCs w:val="24"/>
          <w:lang w:val="sr-Cyrl-CS"/>
        </w:rPr>
      </w:pPr>
    </w:p>
    <w:p w14:paraId="239C83C8" w14:textId="77777777" w:rsidR="00D210F0" w:rsidRPr="00092ED7" w:rsidRDefault="00D210F0" w:rsidP="00071952">
      <w:pPr>
        <w:widowControl w:val="0"/>
        <w:numPr>
          <w:ilvl w:val="0"/>
          <w:numId w:val="29"/>
        </w:numPr>
        <w:spacing w:before="120"/>
        <w:rPr>
          <w:rFonts w:cs="Times New Roman"/>
          <w:b/>
          <w:bCs/>
          <w:szCs w:val="24"/>
          <w:lang w:val="sr-Cyrl-CS"/>
        </w:rPr>
      </w:pPr>
      <w:r w:rsidRPr="00092ED7">
        <w:rPr>
          <w:rFonts w:cs="Times New Roman"/>
          <w:b/>
          <w:bCs/>
          <w:szCs w:val="24"/>
          <w:lang w:val="sr-Cyrl-CS"/>
        </w:rPr>
        <w:t>Планиране активности по годинама</w:t>
      </w:r>
    </w:p>
    <w:tbl>
      <w:tblPr>
        <w:tblW w:w="9023" w:type="dxa"/>
        <w:tblLayout w:type="fixed"/>
        <w:tblCellMar>
          <w:left w:w="57" w:type="dxa"/>
          <w:right w:w="57" w:type="dxa"/>
        </w:tblCellMar>
        <w:tblLook w:val="04A0" w:firstRow="1" w:lastRow="0" w:firstColumn="1" w:lastColumn="0" w:noHBand="0" w:noVBand="1"/>
      </w:tblPr>
      <w:tblGrid>
        <w:gridCol w:w="426"/>
        <w:gridCol w:w="3533"/>
        <w:gridCol w:w="422"/>
        <w:gridCol w:w="422"/>
        <w:gridCol w:w="422"/>
        <w:gridCol w:w="422"/>
        <w:gridCol w:w="422"/>
        <w:gridCol w:w="422"/>
        <w:gridCol w:w="422"/>
        <w:gridCol w:w="422"/>
        <w:gridCol w:w="422"/>
        <w:gridCol w:w="422"/>
        <w:gridCol w:w="422"/>
        <w:gridCol w:w="422"/>
      </w:tblGrid>
      <w:tr w:rsidR="00D210F0" w:rsidRPr="00092ED7" w14:paraId="1345B829" w14:textId="77777777" w:rsidTr="00532A5F">
        <w:trPr>
          <w:trHeight w:val="315"/>
        </w:trPr>
        <w:tc>
          <w:tcPr>
            <w:tcW w:w="426" w:type="dxa"/>
            <w:vMerge w:val="restart"/>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4678636D" w14:textId="77777777" w:rsidR="00D210F0" w:rsidRPr="00092ED7" w:rsidRDefault="00D210F0" w:rsidP="00E44EF2">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РБ</w:t>
            </w:r>
          </w:p>
        </w:tc>
        <w:tc>
          <w:tcPr>
            <w:tcW w:w="3533" w:type="dxa"/>
            <w:vMerge w:val="restart"/>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138B2949" w14:textId="77777777" w:rsidR="00D210F0" w:rsidRPr="00092ED7" w:rsidRDefault="00D210F0" w:rsidP="00E44EF2">
            <w:pPr>
              <w:spacing w:after="0"/>
              <w:rPr>
                <w:rFonts w:eastAsia="Times New Roman" w:cs="Times New Roman"/>
                <w:b/>
                <w:bCs/>
                <w:sz w:val="20"/>
                <w:szCs w:val="20"/>
                <w:lang w:val="sr-Cyrl-CS"/>
              </w:rPr>
            </w:pPr>
            <w:r w:rsidRPr="00092ED7">
              <w:rPr>
                <w:rFonts w:eastAsia="Times New Roman" w:cs="Times New Roman"/>
                <w:b/>
                <w:bCs/>
                <w:sz w:val="20"/>
                <w:szCs w:val="20"/>
                <w:lang w:val="sr-Cyrl-C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vAlign w:val="center"/>
            <w:hideMark/>
          </w:tcPr>
          <w:p w14:paraId="5CBBA372"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688" w:type="dxa"/>
            <w:gridSpan w:val="4"/>
            <w:tcBorders>
              <w:top w:val="single" w:sz="8" w:space="0" w:color="auto"/>
              <w:left w:val="nil"/>
              <w:bottom w:val="single" w:sz="4" w:space="0" w:color="auto"/>
              <w:right w:val="single" w:sz="8" w:space="0" w:color="000000"/>
            </w:tcBorders>
            <w:shd w:val="clear" w:color="auto" w:fill="BDD6EE" w:themeFill="accent1" w:themeFillTint="66"/>
            <w:vAlign w:val="center"/>
            <w:hideMark/>
          </w:tcPr>
          <w:p w14:paraId="257A22A9"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688" w:type="dxa"/>
            <w:gridSpan w:val="4"/>
            <w:tcBorders>
              <w:top w:val="single" w:sz="8" w:space="0" w:color="auto"/>
              <w:left w:val="nil"/>
              <w:bottom w:val="single" w:sz="4" w:space="0" w:color="auto"/>
              <w:right w:val="single" w:sz="8" w:space="0" w:color="000000"/>
            </w:tcBorders>
            <w:shd w:val="clear" w:color="auto" w:fill="BDD6EE" w:themeFill="accent1" w:themeFillTint="66"/>
            <w:vAlign w:val="center"/>
            <w:hideMark/>
          </w:tcPr>
          <w:p w14:paraId="5990637E"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57656439" w14:textId="77777777" w:rsidTr="00532A5F">
        <w:trPr>
          <w:trHeight w:val="299"/>
        </w:trPr>
        <w:tc>
          <w:tcPr>
            <w:tcW w:w="426"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74B6B922" w14:textId="77777777" w:rsidR="00D210F0" w:rsidRPr="00092ED7" w:rsidRDefault="00D210F0" w:rsidP="00E44EF2">
            <w:pPr>
              <w:spacing w:after="0"/>
              <w:rPr>
                <w:rFonts w:eastAsia="Times New Roman" w:cs="Times New Roman"/>
                <w:b/>
                <w:bCs/>
                <w:sz w:val="20"/>
                <w:szCs w:val="20"/>
                <w:lang w:val="sr-Cyrl-CS"/>
              </w:rPr>
            </w:pPr>
          </w:p>
        </w:tc>
        <w:tc>
          <w:tcPr>
            <w:tcW w:w="3533" w:type="dxa"/>
            <w:vMerge/>
            <w:tcBorders>
              <w:top w:val="single" w:sz="8" w:space="0" w:color="auto"/>
              <w:left w:val="single" w:sz="8" w:space="0" w:color="auto"/>
              <w:bottom w:val="single" w:sz="8" w:space="0" w:color="000000"/>
              <w:right w:val="single" w:sz="4" w:space="0" w:color="auto"/>
            </w:tcBorders>
            <w:shd w:val="clear" w:color="auto" w:fill="BDD6EE" w:themeFill="accent1" w:themeFillTint="66"/>
            <w:vAlign w:val="center"/>
            <w:hideMark/>
          </w:tcPr>
          <w:p w14:paraId="20E94F0E" w14:textId="77777777" w:rsidR="00D210F0" w:rsidRPr="00092ED7" w:rsidRDefault="00D210F0" w:rsidP="00E44EF2">
            <w:pPr>
              <w:spacing w:after="0"/>
              <w:rPr>
                <w:rFonts w:eastAsia="Times New Roman" w:cs="Times New Roman"/>
                <w:b/>
                <w:bCs/>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8A8FBF"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Q1</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B96D0D"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Q2</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995D53"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Q3</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9DE536"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Q4</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6F1AF7"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Q1</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6A411C"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Q2</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509EAB"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Q3</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E3FB9C"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Q4</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386251"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Q1</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20A4AE"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Q2</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5A6639"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Q3</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108FB2"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Q4</w:t>
            </w:r>
          </w:p>
        </w:tc>
      </w:tr>
      <w:tr w:rsidR="00D210F0" w:rsidRPr="00092ED7" w14:paraId="19647D0F" w14:textId="77777777" w:rsidTr="00532A5F">
        <w:trPr>
          <w:trHeight w:val="300"/>
        </w:trPr>
        <w:tc>
          <w:tcPr>
            <w:tcW w:w="426" w:type="dxa"/>
            <w:tcBorders>
              <w:top w:val="nil"/>
              <w:left w:val="single" w:sz="8" w:space="0" w:color="auto"/>
              <w:bottom w:val="single" w:sz="4" w:space="0" w:color="auto"/>
              <w:right w:val="nil"/>
            </w:tcBorders>
            <w:shd w:val="clear" w:color="auto" w:fill="auto"/>
          </w:tcPr>
          <w:p w14:paraId="67C2C043" w14:textId="77777777" w:rsidR="00D210F0" w:rsidRPr="00092ED7" w:rsidRDefault="00D210F0" w:rsidP="00AB722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1.</w:t>
            </w:r>
          </w:p>
        </w:tc>
        <w:tc>
          <w:tcPr>
            <w:tcW w:w="3533" w:type="dxa"/>
            <w:tcBorders>
              <w:top w:val="nil"/>
              <w:left w:val="single" w:sz="8" w:space="0" w:color="auto"/>
              <w:bottom w:val="single" w:sz="4" w:space="0" w:color="auto"/>
              <w:right w:val="nil"/>
            </w:tcBorders>
            <w:shd w:val="clear" w:color="auto" w:fill="auto"/>
          </w:tcPr>
          <w:p w14:paraId="3556B736" w14:textId="77777777" w:rsidR="00D210F0" w:rsidRPr="00092ED7" w:rsidRDefault="00D210F0" w:rsidP="00E44EF2">
            <w:pPr>
              <w:spacing w:after="0"/>
              <w:rPr>
                <w:rFonts w:eastAsia="Times New Roman" w:cs="Times New Roman"/>
                <w:sz w:val="20"/>
                <w:szCs w:val="20"/>
                <w:lang w:val="sr-Cyrl-CS"/>
              </w:rPr>
            </w:pPr>
            <w:r w:rsidRPr="00092ED7">
              <w:rPr>
                <w:rFonts w:eastAsia="Times New Roman" w:cs="Times New Roman"/>
                <w:sz w:val="20"/>
                <w:szCs w:val="20"/>
                <w:lang w:val="sr-Cyrl-CS"/>
              </w:rPr>
              <w:t>Подршка привредним субјектима у транзицији на моделе пословања засноване на принципима циркуларне економије</w:t>
            </w:r>
          </w:p>
        </w:tc>
        <w:tc>
          <w:tcPr>
            <w:tcW w:w="422"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14:paraId="5ABF6988" w14:textId="77777777" w:rsidR="00D210F0" w:rsidRPr="00092ED7" w:rsidRDefault="00D210F0" w:rsidP="00E44EF2">
            <w:pPr>
              <w:spacing w:after="0"/>
              <w:jc w:val="center"/>
              <w:rPr>
                <w:rFonts w:eastAsia="Times New Roman" w:cs="Times New Roman"/>
                <w:sz w:val="20"/>
                <w:szCs w:val="20"/>
                <w:highlight w:val="lightGray"/>
                <w:lang w:val="sr-Cyrl-CS"/>
              </w:rPr>
            </w:pPr>
          </w:p>
        </w:tc>
        <w:tc>
          <w:tcPr>
            <w:tcW w:w="42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C407B37" w14:textId="77777777" w:rsidR="00D210F0" w:rsidRPr="00092ED7" w:rsidRDefault="00D210F0" w:rsidP="00E44EF2">
            <w:pPr>
              <w:spacing w:after="0"/>
              <w:jc w:val="center"/>
              <w:rPr>
                <w:rFonts w:eastAsia="Times New Roman" w:cs="Times New Roman"/>
                <w:sz w:val="20"/>
                <w:szCs w:val="20"/>
                <w:highlight w:val="lightGray"/>
                <w:lang w:val="sr-Cyrl-CS"/>
              </w:rPr>
            </w:pPr>
          </w:p>
        </w:tc>
        <w:tc>
          <w:tcPr>
            <w:tcW w:w="42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0C3F400" w14:textId="77777777" w:rsidR="00D210F0" w:rsidRPr="00092ED7" w:rsidRDefault="00D210F0" w:rsidP="00E44EF2">
            <w:pPr>
              <w:spacing w:after="0"/>
              <w:jc w:val="center"/>
              <w:rPr>
                <w:rFonts w:eastAsia="Times New Roman" w:cs="Times New Roman"/>
                <w:sz w:val="20"/>
                <w:szCs w:val="20"/>
                <w:highlight w:val="lightGray"/>
                <w:lang w:val="sr-Cyrl-CS"/>
              </w:rPr>
            </w:pPr>
          </w:p>
        </w:tc>
        <w:tc>
          <w:tcPr>
            <w:tcW w:w="422" w:type="dxa"/>
            <w:tcBorders>
              <w:top w:val="single" w:sz="4" w:space="0" w:color="auto"/>
              <w:left w:val="nil"/>
              <w:bottom w:val="single" w:sz="4" w:space="0" w:color="auto"/>
              <w:right w:val="single" w:sz="8" w:space="0" w:color="auto"/>
            </w:tcBorders>
            <w:shd w:val="clear" w:color="auto" w:fill="D9D9D9" w:themeFill="background1" w:themeFillShade="D9"/>
            <w:vAlign w:val="center"/>
          </w:tcPr>
          <w:p w14:paraId="08748A22" w14:textId="77777777" w:rsidR="00D210F0" w:rsidRPr="00092ED7" w:rsidRDefault="00D210F0" w:rsidP="00E44EF2">
            <w:pPr>
              <w:spacing w:after="0"/>
              <w:jc w:val="center"/>
              <w:rPr>
                <w:rFonts w:eastAsia="Times New Roman" w:cs="Times New Roman"/>
                <w:sz w:val="20"/>
                <w:szCs w:val="20"/>
                <w:highlight w:val="lightGray"/>
                <w:lang w:val="sr-Cyrl-CS"/>
              </w:rPr>
            </w:pPr>
          </w:p>
        </w:tc>
        <w:tc>
          <w:tcPr>
            <w:tcW w:w="42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9E3DD91"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B7EBC1"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BDC0A20"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single" w:sz="4" w:space="0" w:color="auto"/>
              <w:left w:val="nil"/>
              <w:bottom w:val="single" w:sz="4" w:space="0" w:color="auto"/>
              <w:right w:val="single" w:sz="8" w:space="0" w:color="auto"/>
            </w:tcBorders>
            <w:shd w:val="clear" w:color="auto" w:fill="D9D9D9" w:themeFill="background1" w:themeFillShade="D9"/>
            <w:vAlign w:val="center"/>
          </w:tcPr>
          <w:p w14:paraId="737D649C"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single" w:sz="4" w:space="0" w:color="auto"/>
              <w:left w:val="nil"/>
              <w:bottom w:val="single" w:sz="4" w:space="0" w:color="auto"/>
              <w:right w:val="single" w:sz="4" w:space="0" w:color="auto"/>
            </w:tcBorders>
            <w:shd w:val="clear" w:color="auto" w:fill="FFFFFF" w:themeFill="background1"/>
            <w:vAlign w:val="center"/>
          </w:tcPr>
          <w:p w14:paraId="2C899F99"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single" w:sz="4" w:space="0" w:color="auto"/>
              <w:left w:val="nil"/>
              <w:bottom w:val="single" w:sz="4" w:space="0" w:color="auto"/>
              <w:right w:val="single" w:sz="4" w:space="0" w:color="auto"/>
            </w:tcBorders>
            <w:shd w:val="clear" w:color="auto" w:fill="FFFFFF" w:themeFill="background1"/>
            <w:vAlign w:val="center"/>
          </w:tcPr>
          <w:p w14:paraId="36BC6BDA"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single" w:sz="4" w:space="0" w:color="auto"/>
              <w:left w:val="nil"/>
              <w:bottom w:val="single" w:sz="4" w:space="0" w:color="auto"/>
              <w:right w:val="single" w:sz="4" w:space="0" w:color="auto"/>
            </w:tcBorders>
            <w:shd w:val="clear" w:color="auto" w:fill="FFFFFF" w:themeFill="background1"/>
            <w:vAlign w:val="center"/>
          </w:tcPr>
          <w:p w14:paraId="758257AB"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single" w:sz="4" w:space="0" w:color="auto"/>
              <w:left w:val="nil"/>
              <w:bottom w:val="single" w:sz="4" w:space="0" w:color="auto"/>
              <w:right w:val="single" w:sz="8" w:space="0" w:color="auto"/>
            </w:tcBorders>
            <w:shd w:val="clear" w:color="auto" w:fill="FFFFFF" w:themeFill="background1"/>
            <w:vAlign w:val="center"/>
          </w:tcPr>
          <w:p w14:paraId="246A3448" w14:textId="77777777" w:rsidR="00D210F0" w:rsidRPr="00092ED7" w:rsidRDefault="00D210F0" w:rsidP="00E44EF2">
            <w:pPr>
              <w:spacing w:after="0"/>
              <w:jc w:val="center"/>
              <w:rPr>
                <w:rFonts w:eastAsia="Times New Roman" w:cs="Times New Roman"/>
                <w:sz w:val="20"/>
                <w:szCs w:val="20"/>
                <w:lang w:val="sr-Cyrl-CS"/>
              </w:rPr>
            </w:pPr>
          </w:p>
        </w:tc>
      </w:tr>
      <w:tr w:rsidR="002E61FD" w:rsidRPr="00092ED7" w14:paraId="4029FDF2" w14:textId="77777777" w:rsidTr="00AB722F">
        <w:trPr>
          <w:trHeight w:val="300"/>
        </w:trPr>
        <w:tc>
          <w:tcPr>
            <w:tcW w:w="426" w:type="dxa"/>
            <w:tcBorders>
              <w:top w:val="nil"/>
              <w:left w:val="single" w:sz="8" w:space="0" w:color="auto"/>
              <w:bottom w:val="single" w:sz="4" w:space="0" w:color="auto"/>
              <w:right w:val="nil"/>
            </w:tcBorders>
            <w:shd w:val="clear" w:color="auto" w:fill="auto"/>
          </w:tcPr>
          <w:p w14:paraId="3F1E6631" w14:textId="77777777" w:rsidR="00D210F0" w:rsidRPr="00092ED7" w:rsidRDefault="00D210F0" w:rsidP="00AB722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2.</w:t>
            </w:r>
          </w:p>
        </w:tc>
        <w:tc>
          <w:tcPr>
            <w:tcW w:w="3533" w:type="dxa"/>
            <w:tcBorders>
              <w:top w:val="nil"/>
              <w:left w:val="single" w:sz="8" w:space="0" w:color="auto"/>
              <w:bottom w:val="single" w:sz="4" w:space="0" w:color="auto"/>
              <w:right w:val="nil"/>
            </w:tcBorders>
            <w:shd w:val="clear" w:color="auto" w:fill="auto"/>
          </w:tcPr>
          <w:p w14:paraId="0C43330E" w14:textId="77777777" w:rsidR="00D210F0" w:rsidRPr="00092ED7" w:rsidRDefault="00D210F0" w:rsidP="00E44EF2">
            <w:pPr>
              <w:spacing w:after="0"/>
              <w:rPr>
                <w:rFonts w:eastAsia="Times New Roman" w:cs="Times New Roman"/>
                <w:sz w:val="20"/>
                <w:szCs w:val="20"/>
                <w:lang w:val="sr-Cyrl-CS"/>
              </w:rPr>
            </w:pPr>
            <w:r w:rsidRPr="00092ED7">
              <w:rPr>
                <w:rFonts w:eastAsia="Times New Roman" w:cs="Times New Roman"/>
                <w:sz w:val="20"/>
                <w:szCs w:val="20"/>
                <w:lang w:val="sr-Cyrl-CS"/>
              </w:rPr>
              <w:t>Подршка локалним самоуправама у изради локалних мапа пута за циркуларну економију</w:t>
            </w:r>
          </w:p>
        </w:tc>
        <w:tc>
          <w:tcPr>
            <w:tcW w:w="422" w:type="dxa"/>
            <w:tcBorders>
              <w:top w:val="nil"/>
              <w:left w:val="single" w:sz="8" w:space="0" w:color="auto"/>
              <w:bottom w:val="single" w:sz="4" w:space="0" w:color="auto"/>
              <w:right w:val="single" w:sz="4" w:space="0" w:color="auto"/>
            </w:tcBorders>
            <w:shd w:val="clear" w:color="auto" w:fill="D9D9D9" w:themeFill="background1" w:themeFillShade="D9"/>
            <w:vAlign w:val="center"/>
          </w:tcPr>
          <w:p w14:paraId="090A5DFB" w14:textId="77777777" w:rsidR="00D210F0" w:rsidRPr="00092ED7" w:rsidRDefault="00D210F0" w:rsidP="00E44EF2">
            <w:pPr>
              <w:spacing w:after="0"/>
              <w:jc w:val="center"/>
              <w:rPr>
                <w:rFonts w:eastAsia="Times New Roman" w:cs="Times New Roman"/>
                <w:sz w:val="20"/>
                <w:szCs w:val="20"/>
                <w:highlight w:val="lightGray"/>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6DC41B01" w14:textId="77777777" w:rsidR="00D210F0" w:rsidRPr="00092ED7" w:rsidRDefault="00D210F0" w:rsidP="00E44EF2">
            <w:pPr>
              <w:spacing w:after="0"/>
              <w:jc w:val="center"/>
              <w:rPr>
                <w:rFonts w:eastAsia="Times New Roman" w:cs="Times New Roman"/>
                <w:sz w:val="20"/>
                <w:szCs w:val="20"/>
                <w:highlight w:val="lightGray"/>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174CF7BE" w14:textId="77777777" w:rsidR="00D210F0" w:rsidRPr="00092ED7" w:rsidRDefault="00D210F0" w:rsidP="00E44EF2">
            <w:pPr>
              <w:spacing w:after="0"/>
              <w:jc w:val="center"/>
              <w:rPr>
                <w:rFonts w:eastAsia="Times New Roman" w:cs="Times New Roman"/>
                <w:sz w:val="20"/>
                <w:szCs w:val="20"/>
                <w:highlight w:val="lightGray"/>
                <w:lang w:val="sr-Cyrl-C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7EC8E998" w14:textId="77777777" w:rsidR="00D210F0" w:rsidRPr="00092ED7" w:rsidRDefault="00D210F0" w:rsidP="00E44EF2">
            <w:pPr>
              <w:spacing w:after="0"/>
              <w:jc w:val="center"/>
              <w:rPr>
                <w:rFonts w:eastAsia="Times New Roman" w:cs="Times New Roman"/>
                <w:sz w:val="20"/>
                <w:szCs w:val="20"/>
                <w:highlight w:val="lightGray"/>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7CB6678C"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7CAF6575"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6FD44697"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3DA51042"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006D8222"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0425F0C7"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3E92AC08"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1BDE748D" w14:textId="77777777" w:rsidR="00D210F0" w:rsidRPr="00092ED7" w:rsidRDefault="00D210F0" w:rsidP="00E44EF2">
            <w:pPr>
              <w:spacing w:after="0"/>
              <w:jc w:val="center"/>
              <w:rPr>
                <w:rFonts w:eastAsia="Times New Roman" w:cs="Times New Roman"/>
                <w:sz w:val="20"/>
                <w:szCs w:val="20"/>
                <w:lang w:val="sr-Cyrl-CS"/>
              </w:rPr>
            </w:pPr>
          </w:p>
        </w:tc>
      </w:tr>
      <w:tr w:rsidR="00BE2B7C" w:rsidRPr="00092ED7" w14:paraId="297F81B9" w14:textId="77777777" w:rsidTr="00AB722F">
        <w:trPr>
          <w:trHeight w:val="300"/>
        </w:trPr>
        <w:tc>
          <w:tcPr>
            <w:tcW w:w="426" w:type="dxa"/>
            <w:tcBorders>
              <w:top w:val="nil"/>
              <w:left w:val="single" w:sz="8" w:space="0" w:color="auto"/>
              <w:bottom w:val="single" w:sz="4" w:space="0" w:color="auto"/>
              <w:right w:val="nil"/>
            </w:tcBorders>
            <w:shd w:val="clear" w:color="auto" w:fill="auto"/>
          </w:tcPr>
          <w:p w14:paraId="25FFF3A6" w14:textId="77777777" w:rsidR="00D210F0" w:rsidRPr="00092ED7" w:rsidRDefault="00D210F0" w:rsidP="00AB722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3.</w:t>
            </w:r>
          </w:p>
        </w:tc>
        <w:tc>
          <w:tcPr>
            <w:tcW w:w="3533" w:type="dxa"/>
            <w:tcBorders>
              <w:top w:val="nil"/>
              <w:left w:val="single" w:sz="8" w:space="0" w:color="auto"/>
              <w:bottom w:val="single" w:sz="4" w:space="0" w:color="auto"/>
              <w:right w:val="nil"/>
            </w:tcBorders>
            <w:shd w:val="clear" w:color="auto" w:fill="auto"/>
          </w:tcPr>
          <w:p w14:paraId="6732ECC3" w14:textId="77777777" w:rsidR="00D210F0" w:rsidRPr="00092ED7" w:rsidRDefault="00D210F0" w:rsidP="00E44EF2">
            <w:pPr>
              <w:spacing w:after="0"/>
              <w:rPr>
                <w:rFonts w:eastAsia="Times New Roman" w:cs="Times New Roman"/>
                <w:sz w:val="20"/>
                <w:szCs w:val="20"/>
                <w:lang w:val="sr-Cyrl-CS"/>
              </w:rPr>
            </w:pPr>
            <w:r w:rsidRPr="00092ED7">
              <w:rPr>
                <w:rFonts w:eastAsia="Times New Roman" w:cs="Times New Roman"/>
                <w:sz w:val="20"/>
                <w:szCs w:val="20"/>
                <w:lang w:val="sr-Cyrl-CS"/>
              </w:rPr>
              <w:t>Унапређење сарадње бизнис и научно-истраживачког сектора кроз доделу циркуларних ваучера за технолошке иновације које доприносе примени концепта циркуларне економије</w:t>
            </w:r>
          </w:p>
        </w:tc>
        <w:tc>
          <w:tcPr>
            <w:tcW w:w="422" w:type="dxa"/>
            <w:tcBorders>
              <w:top w:val="nil"/>
              <w:left w:val="single" w:sz="8" w:space="0" w:color="auto"/>
              <w:bottom w:val="single" w:sz="4" w:space="0" w:color="auto"/>
              <w:right w:val="single" w:sz="4" w:space="0" w:color="auto"/>
            </w:tcBorders>
            <w:shd w:val="clear" w:color="auto" w:fill="D9D9D9" w:themeFill="background1" w:themeFillShade="D9"/>
            <w:vAlign w:val="center"/>
          </w:tcPr>
          <w:p w14:paraId="27B1DD4B"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6D8341A9"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5F7AF22B"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0AA94C8B"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1BEA19B6"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7EE90AD8"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4D51F55B"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5C3E8BAF"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66819A6E"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150E5058"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612D0666"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175B6D5F" w14:textId="77777777" w:rsidR="00D210F0" w:rsidRPr="00092ED7" w:rsidRDefault="00D210F0" w:rsidP="00E44EF2">
            <w:pPr>
              <w:spacing w:after="0"/>
              <w:jc w:val="center"/>
              <w:rPr>
                <w:rFonts w:eastAsia="Times New Roman" w:cs="Times New Roman"/>
                <w:sz w:val="20"/>
                <w:szCs w:val="20"/>
                <w:lang w:val="sr-Cyrl-CS"/>
              </w:rPr>
            </w:pPr>
          </w:p>
        </w:tc>
      </w:tr>
      <w:tr w:rsidR="00DE6DB9" w:rsidRPr="00092ED7" w14:paraId="1F566C6D" w14:textId="77777777" w:rsidTr="00AB722F">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BA05021" w14:textId="77777777" w:rsidR="00DE6DB9" w:rsidRPr="00092ED7" w:rsidRDefault="00DE6DB9" w:rsidP="00AB722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4.</w:t>
            </w:r>
          </w:p>
        </w:tc>
        <w:tc>
          <w:tcPr>
            <w:tcW w:w="3533" w:type="dxa"/>
            <w:tcBorders>
              <w:top w:val="single" w:sz="4" w:space="0" w:color="auto"/>
              <w:left w:val="single" w:sz="4" w:space="0" w:color="auto"/>
              <w:bottom w:val="single" w:sz="4" w:space="0" w:color="auto"/>
              <w:right w:val="single" w:sz="4" w:space="0" w:color="auto"/>
            </w:tcBorders>
            <w:shd w:val="clear" w:color="auto" w:fill="auto"/>
          </w:tcPr>
          <w:p w14:paraId="702EC51F" w14:textId="77777777" w:rsidR="00DE6DB9" w:rsidRPr="00092ED7" w:rsidRDefault="00DE6DB9" w:rsidP="00E44EF2">
            <w:pPr>
              <w:spacing w:after="0"/>
              <w:rPr>
                <w:rFonts w:eastAsia="Times New Roman" w:cs="Times New Roman"/>
                <w:sz w:val="20"/>
                <w:szCs w:val="20"/>
                <w:lang w:val="sr-Cyrl-CS"/>
              </w:rPr>
            </w:pPr>
            <w:r w:rsidRPr="00092ED7">
              <w:rPr>
                <w:rFonts w:eastAsia="Times New Roman" w:cs="Times New Roman"/>
                <w:sz w:val="20"/>
                <w:szCs w:val="20"/>
                <w:lang w:val="sr-Cyrl-CS"/>
              </w:rPr>
              <w:t>Подршка примени зелених јавних набавки</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D2CDF"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F5588"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41192C"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6F93DC"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8847D3"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382885"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773900"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2A82A"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268A3411"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1EFC3DBB"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4DD8E255"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146FC7F3" w14:textId="77777777" w:rsidR="00DE6DB9" w:rsidRPr="00092ED7" w:rsidRDefault="00DE6DB9" w:rsidP="00E44EF2">
            <w:pPr>
              <w:spacing w:after="0"/>
              <w:jc w:val="center"/>
              <w:rPr>
                <w:rFonts w:eastAsia="Times New Roman" w:cs="Times New Roman"/>
                <w:sz w:val="20"/>
                <w:szCs w:val="20"/>
                <w:lang w:val="sr-Cyrl-CS"/>
              </w:rPr>
            </w:pPr>
          </w:p>
        </w:tc>
      </w:tr>
    </w:tbl>
    <w:p w14:paraId="518A5F73" w14:textId="77777777" w:rsidR="00D210F0" w:rsidRPr="00092ED7" w:rsidRDefault="00D210F0" w:rsidP="00E8000F">
      <w:pPr>
        <w:widowControl w:val="0"/>
        <w:numPr>
          <w:ilvl w:val="0"/>
          <w:numId w:val="29"/>
        </w:numPr>
        <w:spacing w:before="120"/>
        <w:ind w:left="425" w:hanging="425"/>
        <w:rPr>
          <w:rFonts w:cs="Times New Roman"/>
          <w:b/>
          <w:bCs/>
          <w:szCs w:val="24"/>
          <w:lang w:val="sr-Cyrl-CS"/>
        </w:rPr>
      </w:pPr>
      <w:r w:rsidRPr="00092ED7">
        <w:rPr>
          <w:rFonts w:cs="Times New Roman"/>
          <w:b/>
          <w:bCs/>
          <w:szCs w:val="24"/>
          <w:lang w:val="sr-Cyrl-CS"/>
        </w:rPr>
        <w:t>Индикатори резултата</w:t>
      </w:r>
    </w:p>
    <w:tbl>
      <w:tblPr>
        <w:tblStyle w:val="TableGrid12"/>
        <w:tblW w:w="9067" w:type="dxa"/>
        <w:tblLayout w:type="fixed"/>
        <w:tblLook w:val="04A0" w:firstRow="1" w:lastRow="0" w:firstColumn="1" w:lastColumn="0" w:noHBand="0" w:noVBand="1"/>
      </w:tblPr>
      <w:tblGrid>
        <w:gridCol w:w="4106"/>
        <w:gridCol w:w="1653"/>
        <w:gridCol w:w="1654"/>
        <w:gridCol w:w="1654"/>
      </w:tblGrid>
      <w:tr w:rsidR="00D210F0" w:rsidRPr="00092ED7" w14:paraId="379DDAAA" w14:textId="77777777" w:rsidTr="00E44EF2">
        <w:tc>
          <w:tcPr>
            <w:tcW w:w="4106" w:type="dxa"/>
            <w:vAlign w:val="center"/>
          </w:tcPr>
          <w:p w14:paraId="447C8E0D" w14:textId="77777777" w:rsidR="00D210F0" w:rsidRPr="00092ED7" w:rsidRDefault="00D210F0" w:rsidP="00A37A7A">
            <w:pPr>
              <w:spacing w:after="0"/>
              <w:jc w:val="center"/>
              <w:rPr>
                <w:rFonts w:eastAsia="Calibri"/>
                <w:b/>
                <w:sz w:val="20"/>
                <w:szCs w:val="20"/>
              </w:rPr>
            </w:pPr>
            <w:r w:rsidRPr="00092ED7">
              <w:rPr>
                <w:rFonts w:eastAsia="Calibri"/>
                <w:b/>
                <w:sz w:val="20"/>
                <w:szCs w:val="20"/>
              </w:rPr>
              <w:t>Показатељ</w:t>
            </w:r>
          </w:p>
        </w:tc>
        <w:tc>
          <w:tcPr>
            <w:tcW w:w="1653" w:type="dxa"/>
            <w:vAlign w:val="center"/>
          </w:tcPr>
          <w:p w14:paraId="7962694D" w14:textId="77777777" w:rsidR="00D210F0" w:rsidRPr="00092ED7" w:rsidRDefault="00D210F0" w:rsidP="00FB1FCD">
            <w:pPr>
              <w:spacing w:after="0"/>
              <w:jc w:val="center"/>
              <w:rPr>
                <w:rFonts w:eastAsia="Calibri"/>
                <w:b/>
                <w:sz w:val="20"/>
                <w:szCs w:val="20"/>
              </w:rPr>
            </w:pPr>
            <w:r w:rsidRPr="00092ED7">
              <w:rPr>
                <w:rFonts w:eastAsia="Calibri"/>
                <w:b/>
                <w:sz w:val="20"/>
                <w:szCs w:val="20"/>
              </w:rPr>
              <w:t xml:space="preserve">Почетна вредност </w:t>
            </w:r>
          </w:p>
        </w:tc>
        <w:tc>
          <w:tcPr>
            <w:tcW w:w="1654" w:type="dxa"/>
            <w:vAlign w:val="center"/>
          </w:tcPr>
          <w:p w14:paraId="4F6EB458" w14:textId="77777777" w:rsidR="00D210F0" w:rsidRPr="00092ED7" w:rsidRDefault="00D210F0" w:rsidP="00A37A7A">
            <w:pPr>
              <w:spacing w:after="0"/>
              <w:jc w:val="center"/>
              <w:rPr>
                <w:rFonts w:eastAsia="Calibri"/>
                <w:b/>
                <w:sz w:val="20"/>
                <w:szCs w:val="20"/>
              </w:rPr>
            </w:pPr>
            <w:r w:rsidRPr="00092ED7">
              <w:rPr>
                <w:rFonts w:eastAsia="Calibri"/>
                <w:b/>
                <w:sz w:val="20"/>
                <w:szCs w:val="20"/>
              </w:rPr>
              <w:t xml:space="preserve">Међурезултат </w:t>
            </w:r>
          </w:p>
        </w:tc>
        <w:tc>
          <w:tcPr>
            <w:tcW w:w="1654" w:type="dxa"/>
            <w:vAlign w:val="center"/>
          </w:tcPr>
          <w:p w14:paraId="65097A18" w14:textId="77777777" w:rsidR="00D210F0" w:rsidRPr="00092ED7" w:rsidRDefault="00D210F0" w:rsidP="003C76A4">
            <w:pPr>
              <w:spacing w:after="0"/>
              <w:jc w:val="center"/>
              <w:rPr>
                <w:rFonts w:eastAsia="Calibri"/>
                <w:b/>
                <w:sz w:val="20"/>
                <w:szCs w:val="20"/>
              </w:rPr>
            </w:pPr>
            <w:r w:rsidRPr="00092ED7">
              <w:rPr>
                <w:rFonts w:eastAsia="Calibri"/>
                <w:b/>
                <w:sz w:val="20"/>
                <w:szCs w:val="20"/>
              </w:rPr>
              <w:t xml:space="preserve">Циљна вредност </w:t>
            </w:r>
          </w:p>
        </w:tc>
      </w:tr>
      <w:tr w:rsidR="00D210F0" w:rsidRPr="00092ED7" w14:paraId="0CCFEAAA" w14:textId="77777777" w:rsidTr="00E44EF2">
        <w:trPr>
          <w:trHeight w:val="284"/>
        </w:trPr>
        <w:tc>
          <w:tcPr>
            <w:tcW w:w="4106" w:type="dxa"/>
          </w:tcPr>
          <w:p w14:paraId="3DDA6D78" w14:textId="77777777" w:rsidR="00D210F0" w:rsidRPr="00092ED7" w:rsidRDefault="00D210F0" w:rsidP="00A37A7A">
            <w:pPr>
              <w:spacing w:after="0"/>
              <w:rPr>
                <w:rFonts w:eastAsia="Calibri"/>
                <w:sz w:val="20"/>
                <w:szCs w:val="20"/>
              </w:rPr>
            </w:pPr>
            <w:r w:rsidRPr="00092ED7">
              <w:rPr>
                <w:rFonts w:eastAsia="Calibri"/>
                <w:sz w:val="20"/>
                <w:szCs w:val="20"/>
              </w:rPr>
              <w:t>Број привредних субјеката који су прешли на пословне моделе засноване на приницпима циркуларне економије</w:t>
            </w:r>
          </w:p>
        </w:tc>
        <w:tc>
          <w:tcPr>
            <w:tcW w:w="1653" w:type="dxa"/>
            <w:tcBorders>
              <w:top w:val="single" w:sz="4" w:space="0" w:color="auto"/>
              <w:left w:val="single" w:sz="4" w:space="0" w:color="auto"/>
              <w:bottom w:val="single" w:sz="4" w:space="0" w:color="auto"/>
              <w:right w:val="single" w:sz="4" w:space="0" w:color="auto"/>
            </w:tcBorders>
            <w:vAlign w:val="center"/>
          </w:tcPr>
          <w:p w14:paraId="7FA679E5" w14:textId="77777777" w:rsidR="00D210F0" w:rsidRPr="00092ED7" w:rsidRDefault="00FB1FCD" w:rsidP="00E44EF2">
            <w:pPr>
              <w:spacing w:after="0"/>
              <w:jc w:val="center"/>
              <w:rPr>
                <w:rFonts w:eastAsia="Calibri"/>
                <w:sz w:val="20"/>
                <w:szCs w:val="20"/>
              </w:rPr>
            </w:pPr>
            <w:r w:rsidRPr="00092ED7">
              <w:rPr>
                <w:rFonts w:eastAsia="Calibri"/>
                <w:sz w:val="20"/>
                <w:szCs w:val="20"/>
              </w:rPr>
              <w:t>0 (2022)</w:t>
            </w:r>
          </w:p>
        </w:tc>
        <w:tc>
          <w:tcPr>
            <w:tcW w:w="1654" w:type="dxa"/>
            <w:tcBorders>
              <w:top w:val="single" w:sz="4" w:space="0" w:color="auto"/>
              <w:left w:val="single" w:sz="4" w:space="0" w:color="auto"/>
              <w:bottom w:val="single" w:sz="4" w:space="0" w:color="auto"/>
              <w:right w:val="single" w:sz="4" w:space="0" w:color="auto"/>
            </w:tcBorders>
            <w:vAlign w:val="center"/>
          </w:tcPr>
          <w:p w14:paraId="309F3636" w14:textId="77777777" w:rsidR="00D210F0" w:rsidRPr="00092ED7" w:rsidRDefault="003C76A4" w:rsidP="00A37A7A">
            <w:pPr>
              <w:spacing w:after="0"/>
              <w:jc w:val="center"/>
              <w:rPr>
                <w:rFonts w:eastAsia="Calibri"/>
                <w:sz w:val="20"/>
                <w:szCs w:val="20"/>
              </w:rPr>
            </w:pPr>
            <w:r w:rsidRPr="00092ED7">
              <w:rPr>
                <w:rFonts w:eastAsia="Calibri"/>
                <w:sz w:val="20"/>
                <w:szCs w:val="20"/>
              </w:rPr>
              <w:t>5 (2023)</w:t>
            </w:r>
          </w:p>
        </w:tc>
        <w:tc>
          <w:tcPr>
            <w:tcW w:w="1654" w:type="dxa"/>
            <w:tcBorders>
              <w:top w:val="single" w:sz="4" w:space="0" w:color="auto"/>
              <w:left w:val="single" w:sz="4" w:space="0" w:color="auto"/>
              <w:bottom w:val="single" w:sz="4" w:space="0" w:color="auto"/>
              <w:right w:val="single" w:sz="4" w:space="0" w:color="auto"/>
            </w:tcBorders>
            <w:vAlign w:val="center"/>
          </w:tcPr>
          <w:p w14:paraId="66EF7E5F" w14:textId="77777777" w:rsidR="00D210F0" w:rsidRPr="00092ED7" w:rsidRDefault="003C76A4" w:rsidP="00E44EF2">
            <w:pPr>
              <w:spacing w:after="0"/>
              <w:jc w:val="center"/>
              <w:rPr>
                <w:rFonts w:eastAsia="Calibri"/>
                <w:sz w:val="20"/>
                <w:szCs w:val="20"/>
              </w:rPr>
            </w:pPr>
            <w:r w:rsidRPr="00092ED7">
              <w:rPr>
                <w:rFonts w:eastAsia="Calibri"/>
                <w:sz w:val="20"/>
                <w:szCs w:val="20"/>
              </w:rPr>
              <w:t>10 (202</w:t>
            </w:r>
            <w:r w:rsidR="00336DD6" w:rsidRPr="00092ED7">
              <w:rPr>
                <w:rFonts w:eastAsia="Calibri"/>
                <w:sz w:val="20"/>
                <w:szCs w:val="20"/>
              </w:rPr>
              <w:t>4</w:t>
            </w:r>
            <w:r w:rsidRPr="00092ED7">
              <w:rPr>
                <w:rFonts w:eastAsia="Calibri"/>
                <w:sz w:val="20"/>
                <w:szCs w:val="20"/>
              </w:rPr>
              <w:t>)</w:t>
            </w:r>
          </w:p>
        </w:tc>
      </w:tr>
      <w:tr w:rsidR="00D210F0" w:rsidRPr="00092ED7" w14:paraId="0314F776" w14:textId="77777777" w:rsidTr="00E44EF2">
        <w:trPr>
          <w:trHeight w:val="332"/>
        </w:trPr>
        <w:tc>
          <w:tcPr>
            <w:tcW w:w="4106" w:type="dxa"/>
          </w:tcPr>
          <w:p w14:paraId="1F6A41AB" w14:textId="77777777" w:rsidR="00D210F0" w:rsidRPr="00092ED7" w:rsidRDefault="00D210F0" w:rsidP="00A37A7A">
            <w:pPr>
              <w:spacing w:after="0"/>
              <w:rPr>
                <w:rFonts w:eastAsia="Calibri"/>
                <w:b/>
                <w:sz w:val="20"/>
                <w:szCs w:val="20"/>
              </w:rPr>
            </w:pPr>
            <w:r w:rsidRPr="00092ED7">
              <w:rPr>
                <w:rFonts w:eastAsia="Calibri"/>
                <w:sz w:val="20"/>
                <w:szCs w:val="20"/>
              </w:rPr>
              <w:t>Број локалних самоуправа за које ће бити израђене локалне мапе пута</w:t>
            </w:r>
          </w:p>
        </w:tc>
        <w:tc>
          <w:tcPr>
            <w:tcW w:w="1653" w:type="dxa"/>
            <w:tcBorders>
              <w:top w:val="single" w:sz="4" w:space="0" w:color="auto"/>
              <w:left w:val="single" w:sz="4" w:space="0" w:color="auto"/>
              <w:bottom w:val="single" w:sz="4" w:space="0" w:color="auto"/>
              <w:right w:val="single" w:sz="4" w:space="0" w:color="auto"/>
            </w:tcBorders>
            <w:vAlign w:val="center"/>
          </w:tcPr>
          <w:p w14:paraId="4A6602A7" w14:textId="77777777" w:rsidR="00D210F0" w:rsidRPr="00092ED7" w:rsidRDefault="00FB1FCD" w:rsidP="00E44EF2">
            <w:pPr>
              <w:spacing w:after="0"/>
              <w:jc w:val="center"/>
              <w:rPr>
                <w:rFonts w:eastAsia="Calibri"/>
                <w:b/>
                <w:sz w:val="20"/>
                <w:szCs w:val="20"/>
              </w:rPr>
            </w:pPr>
            <w:r w:rsidRPr="00092ED7">
              <w:rPr>
                <w:rFonts w:eastAsia="Calibri"/>
                <w:sz w:val="20"/>
                <w:szCs w:val="20"/>
              </w:rPr>
              <w:t>0 (2022)</w:t>
            </w:r>
          </w:p>
        </w:tc>
        <w:tc>
          <w:tcPr>
            <w:tcW w:w="1654" w:type="dxa"/>
            <w:tcBorders>
              <w:top w:val="single" w:sz="4" w:space="0" w:color="auto"/>
              <w:left w:val="single" w:sz="4" w:space="0" w:color="auto"/>
              <w:bottom w:val="single" w:sz="4" w:space="0" w:color="auto"/>
              <w:right w:val="single" w:sz="4" w:space="0" w:color="auto"/>
            </w:tcBorders>
            <w:vAlign w:val="center"/>
          </w:tcPr>
          <w:p w14:paraId="4680B016" w14:textId="77777777" w:rsidR="00D210F0" w:rsidRPr="00092ED7" w:rsidRDefault="003C76A4" w:rsidP="00A37A7A">
            <w:pPr>
              <w:spacing w:after="0"/>
              <w:jc w:val="center"/>
              <w:rPr>
                <w:rFonts w:eastAsia="Calibri"/>
                <w:sz w:val="20"/>
                <w:szCs w:val="20"/>
              </w:rPr>
            </w:pPr>
            <w:r w:rsidRPr="00092ED7">
              <w:rPr>
                <w:rFonts w:eastAsia="Calibri"/>
                <w:sz w:val="20"/>
                <w:szCs w:val="20"/>
              </w:rPr>
              <w:t>5</w:t>
            </w:r>
            <w:r w:rsidR="00BB515C" w:rsidRPr="00092ED7">
              <w:rPr>
                <w:rFonts w:eastAsia="Calibri"/>
                <w:sz w:val="20"/>
                <w:szCs w:val="20"/>
              </w:rPr>
              <w:t xml:space="preserve"> </w:t>
            </w:r>
            <w:r w:rsidRPr="00092ED7">
              <w:rPr>
                <w:rFonts w:eastAsia="Calibri"/>
                <w:sz w:val="20"/>
                <w:szCs w:val="20"/>
              </w:rPr>
              <w:t>(2023)</w:t>
            </w:r>
          </w:p>
        </w:tc>
        <w:tc>
          <w:tcPr>
            <w:tcW w:w="1654" w:type="dxa"/>
            <w:tcBorders>
              <w:top w:val="single" w:sz="4" w:space="0" w:color="auto"/>
              <w:left w:val="single" w:sz="4" w:space="0" w:color="auto"/>
              <w:bottom w:val="single" w:sz="4" w:space="0" w:color="auto"/>
              <w:right w:val="single" w:sz="4" w:space="0" w:color="auto"/>
            </w:tcBorders>
            <w:vAlign w:val="center"/>
          </w:tcPr>
          <w:p w14:paraId="51F019A7" w14:textId="77777777" w:rsidR="00D210F0" w:rsidRPr="00092ED7" w:rsidRDefault="003C76A4" w:rsidP="00E44EF2">
            <w:pPr>
              <w:spacing w:after="0"/>
              <w:jc w:val="center"/>
              <w:rPr>
                <w:rFonts w:eastAsia="Calibri"/>
                <w:b/>
                <w:sz w:val="20"/>
                <w:szCs w:val="20"/>
              </w:rPr>
            </w:pPr>
            <w:r w:rsidRPr="00092ED7">
              <w:rPr>
                <w:rFonts w:eastAsia="Calibri"/>
                <w:sz w:val="20"/>
                <w:szCs w:val="20"/>
              </w:rPr>
              <w:t>10 (2025)</w:t>
            </w:r>
          </w:p>
        </w:tc>
      </w:tr>
      <w:tr w:rsidR="00D210F0" w:rsidRPr="00092ED7" w14:paraId="153E7E5C" w14:textId="77777777" w:rsidTr="00E44EF2">
        <w:trPr>
          <w:trHeight w:val="284"/>
        </w:trPr>
        <w:tc>
          <w:tcPr>
            <w:tcW w:w="4106" w:type="dxa"/>
          </w:tcPr>
          <w:p w14:paraId="56660A89" w14:textId="77777777" w:rsidR="00D210F0" w:rsidRPr="00092ED7" w:rsidRDefault="00D210F0" w:rsidP="00A37A7A">
            <w:pPr>
              <w:spacing w:after="0"/>
              <w:rPr>
                <w:rFonts w:eastAsia="Calibri"/>
                <w:sz w:val="20"/>
                <w:szCs w:val="20"/>
              </w:rPr>
            </w:pPr>
            <w:r w:rsidRPr="00092ED7">
              <w:rPr>
                <w:rFonts w:eastAsia="Calibri"/>
                <w:sz w:val="20"/>
                <w:szCs w:val="20"/>
              </w:rPr>
              <w:t xml:space="preserve">Број додељених циркуларних ваучера  </w:t>
            </w:r>
          </w:p>
        </w:tc>
        <w:tc>
          <w:tcPr>
            <w:tcW w:w="1653" w:type="dxa"/>
            <w:tcBorders>
              <w:top w:val="single" w:sz="4" w:space="0" w:color="auto"/>
              <w:left w:val="single" w:sz="4" w:space="0" w:color="auto"/>
              <w:bottom w:val="single" w:sz="4" w:space="0" w:color="auto"/>
              <w:right w:val="single" w:sz="4" w:space="0" w:color="auto"/>
            </w:tcBorders>
            <w:vAlign w:val="center"/>
          </w:tcPr>
          <w:p w14:paraId="23AF0B1B" w14:textId="77777777" w:rsidR="00D210F0" w:rsidRPr="00092ED7" w:rsidRDefault="00FB1FCD" w:rsidP="00E44EF2">
            <w:pPr>
              <w:spacing w:after="0"/>
              <w:jc w:val="center"/>
              <w:rPr>
                <w:rFonts w:eastAsia="Calibri"/>
                <w:sz w:val="20"/>
                <w:szCs w:val="20"/>
              </w:rPr>
            </w:pPr>
            <w:r w:rsidRPr="00092ED7">
              <w:rPr>
                <w:rFonts w:eastAsia="Calibri"/>
                <w:sz w:val="20"/>
                <w:szCs w:val="20"/>
              </w:rPr>
              <w:t>0 (2021)</w:t>
            </w:r>
          </w:p>
        </w:tc>
        <w:tc>
          <w:tcPr>
            <w:tcW w:w="1654" w:type="dxa"/>
            <w:tcBorders>
              <w:top w:val="single" w:sz="4" w:space="0" w:color="auto"/>
              <w:left w:val="single" w:sz="4" w:space="0" w:color="auto"/>
              <w:bottom w:val="single" w:sz="4" w:space="0" w:color="auto"/>
              <w:right w:val="single" w:sz="4" w:space="0" w:color="auto"/>
            </w:tcBorders>
            <w:vAlign w:val="center"/>
          </w:tcPr>
          <w:p w14:paraId="0D49D36B" w14:textId="77777777" w:rsidR="00D210F0" w:rsidRPr="00092ED7" w:rsidRDefault="003C76A4" w:rsidP="00A37A7A">
            <w:pPr>
              <w:spacing w:after="0"/>
              <w:jc w:val="center"/>
              <w:rPr>
                <w:rFonts w:eastAsia="Calibri"/>
                <w:sz w:val="20"/>
                <w:szCs w:val="20"/>
              </w:rPr>
            </w:pPr>
            <w:r w:rsidRPr="00092ED7">
              <w:rPr>
                <w:rFonts w:eastAsia="Calibri"/>
                <w:sz w:val="20"/>
                <w:szCs w:val="20"/>
              </w:rPr>
              <w:t>10</w:t>
            </w:r>
            <w:r w:rsidR="00BB515C" w:rsidRPr="00092ED7">
              <w:rPr>
                <w:rFonts w:eastAsia="Calibri"/>
                <w:sz w:val="20"/>
                <w:szCs w:val="20"/>
              </w:rPr>
              <w:t xml:space="preserve"> </w:t>
            </w:r>
            <w:r w:rsidRPr="00092ED7">
              <w:rPr>
                <w:rFonts w:eastAsia="Calibri"/>
                <w:sz w:val="20"/>
                <w:szCs w:val="20"/>
              </w:rPr>
              <w:t>(2022)</w:t>
            </w:r>
          </w:p>
        </w:tc>
        <w:tc>
          <w:tcPr>
            <w:tcW w:w="1654" w:type="dxa"/>
            <w:tcBorders>
              <w:top w:val="single" w:sz="4" w:space="0" w:color="auto"/>
              <w:left w:val="single" w:sz="4" w:space="0" w:color="auto"/>
              <w:bottom w:val="single" w:sz="4" w:space="0" w:color="auto"/>
              <w:right w:val="single" w:sz="4" w:space="0" w:color="auto"/>
            </w:tcBorders>
            <w:vAlign w:val="center"/>
          </w:tcPr>
          <w:p w14:paraId="644063B8" w14:textId="77777777" w:rsidR="00D210F0" w:rsidRPr="00092ED7" w:rsidRDefault="003C76A4" w:rsidP="00E44EF2">
            <w:pPr>
              <w:spacing w:after="0"/>
              <w:jc w:val="center"/>
              <w:rPr>
                <w:rFonts w:eastAsia="Calibri"/>
                <w:sz w:val="20"/>
                <w:szCs w:val="20"/>
              </w:rPr>
            </w:pPr>
            <w:r w:rsidRPr="00092ED7">
              <w:rPr>
                <w:rFonts w:eastAsia="Calibri"/>
                <w:sz w:val="20"/>
                <w:szCs w:val="20"/>
              </w:rPr>
              <w:t>20 (2025)</w:t>
            </w:r>
          </w:p>
        </w:tc>
      </w:tr>
      <w:tr w:rsidR="003E6646" w:rsidRPr="00092ED7" w14:paraId="3779CCC9" w14:textId="77777777" w:rsidTr="00E44EF2">
        <w:trPr>
          <w:trHeight w:val="284"/>
        </w:trPr>
        <w:tc>
          <w:tcPr>
            <w:tcW w:w="4106" w:type="dxa"/>
          </w:tcPr>
          <w:p w14:paraId="19825435" w14:textId="77777777" w:rsidR="003E6646" w:rsidRPr="00092ED7" w:rsidRDefault="003E6646" w:rsidP="0038742E">
            <w:pPr>
              <w:spacing w:after="0"/>
              <w:rPr>
                <w:rFonts w:eastAsia="Calibri"/>
                <w:sz w:val="20"/>
                <w:szCs w:val="20"/>
              </w:rPr>
            </w:pPr>
            <w:r w:rsidRPr="00092ED7">
              <w:rPr>
                <w:rFonts w:eastAsia="Calibri"/>
                <w:sz w:val="20"/>
                <w:szCs w:val="20"/>
              </w:rPr>
              <w:t>Број годишње реализованих додатних обука/семинара и стручних консултација из области зелених јавних набавки за наручиоце</w:t>
            </w:r>
          </w:p>
        </w:tc>
        <w:tc>
          <w:tcPr>
            <w:tcW w:w="1653" w:type="dxa"/>
            <w:tcBorders>
              <w:top w:val="single" w:sz="4" w:space="0" w:color="auto"/>
              <w:left w:val="single" w:sz="4" w:space="0" w:color="auto"/>
              <w:bottom w:val="single" w:sz="4" w:space="0" w:color="auto"/>
              <w:right w:val="single" w:sz="4" w:space="0" w:color="auto"/>
            </w:tcBorders>
            <w:vAlign w:val="center"/>
          </w:tcPr>
          <w:p w14:paraId="37E5455A" w14:textId="77777777" w:rsidR="003E6646" w:rsidRPr="00092ED7" w:rsidRDefault="003E6646" w:rsidP="00E44EF2">
            <w:pPr>
              <w:spacing w:after="0"/>
              <w:jc w:val="center"/>
              <w:rPr>
                <w:rFonts w:eastAsia="Calibri"/>
                <w:sz w:val="20"/>
                <w:szCs w:val="20"/>
              </w:rPr>
            </w:pPr>
            <w:r w:rsidRPr="00092ED7">
              <w:rPr>
                <w:rFonts w:eastAsia="Calibri"/>
                <w:sz w:val="20"/>
                <w:szCs w:val="20"/>
              </w:rPr>
              <w:t>1 (2022)</w:t>
            </w:r>
          </w:p>
        </w:tc>
        <w:tc>
          <w:tcPr>
            <w:tcW w:w="1654" w:type="dxa"/>
            <w:tcBorders>
              <w:top w:val="single" w:sz="4" w:space="0" w:color="auto"/>
              <w:left w:val="single" w:sz="4" w:space="0" w:color="auto"/>
              <w:bottom w:val="single" w:sz="4" w:space="0" w:color="auto"/>
              <w:right w:val="single" w:sz="4" w:space="0" w:color="auto"/>
            </w:tcBorders>
            <w:vAlign w:val="center"/>
          </w:tcPr>
          <w:p w14:paraId="71A26E33" w14:textId="77777777" w:rsidR="003E6646" w:rsidRPr="00092ED7" w:rsidRDefault="003E6646" w:rsidP="00A37A7A">
            <w:pPr>
              <w:spacing w:after="0"/>
              <w:jc w:val="center"/>
              <w:rPr>
                <w:rFonts w:eastAsia="Calibri"/>
                <w:sz w:val="20"/>
                <w:szCs w:val="20"/>
              </w:rPr>
            </w:pPr>
            <w:r w:rsidRPr="00092ED7">
              <w:rPr>
                <w:rFonts w:eastAsia="Calibri"/>
                <w:sz w:val="20"/>
                <w:szCs w:val="20"/>
              </w:rPr>
              <w:t>2 (2023)</w:t>
            </w:r>
          </w:p>
        </w:tc>
        <w:tc>
          <w:tcPr>
            <w:tcW w:w="1654" w:type="dxa"/>
            <w:tcBorders>
              <w:top w:val="single" w:sz="4" w:space="0" w:color="auto"/>
              <w:left w:val="single" w:sz="4" w:space="0" w:color="auto"/>
              <w:bottom w:val="single" w:sz="4" w:space="0" w:color="auto"/>
              <w:right w:val="single" w:sz="4" w:space="0" w:color="auto"/>
            </w:tcBorders>
            <w:vAlign w:val="center"/>
          </w:tcPr>
          <w:p w14:paraId="7F6A98EE" w14:textId="77777777" w:rsidR="003E6646" w:rsidRPr="00092ED7" w:rsidRDefault="003E6646" w:rsidP="00E44EF2">
            <w:pPr>
              <w:spacing w:after="0"/>
              <w:jc w:val="center"/>
              <w:rPr>
                <w:rFonts w:eastAsia="Calibri"/>
                <w:sz w:val="20"/>
                <w:szCs w:val="20"/>
              </w:rPr>
            </w:pPr>
            <w:r w:rsidRPr="00092ED7">
              <w:rPr>
                <w:rFonts w:eastAsia="Calibri"/>
                <w:sz w:val="20"/>
                <w:szCs w:val="20"/>
              </w:rPr>
              <w:t>3 (2024)</w:t>
            </w:r>
          </w:p>
        </w:tc>
      </w:tr>
    </w:tbl>
    <w:p w14:paraId="56B20B44" w14:textId="77777777" w:rsidR="00D210F0" w:rsidRPr="00092ED7" w:rsidRDefault="00D210F0" w:rsidP="00E8000F">
      <w:pPr>
        <w:widowControl w:val="0"/>
        <w:numPr>
          <w:ilvl w:val="0"/>
          <w:numId w:val="29"/>
        </w:numPr>
        <w:spacing w:before="120"/>
        <w:ind w:left="425" w:hanging="425"/>
        <w:rPr>
          <w:rFonts w:cs="Times New Roman"/>
          <w:b/>
          <w:bCs/>
          <w:szCs w:val="24"/>
          <w:lang w:val="sr-Cyrl-CS"/>
        </w:rPr>
      </w:pPr>
      <w:r w:rsidRPr="00092ED7">
        <w:rPr>
          <w:rFonts w:cs="Times New Roman"/>
          <w:b/>
          <w:bCs/>
          <w:szCs w:val="24"/>
          <w:lang w:val="sr-Cyrl-CS"/>
        </w:rPr>
        <w:t xml:space="preserve">Очекивани утицај на конкурентност </w:t>
      </w:r>
    </w:p>
    <w:p w14:paraId="07671E27" w14:textId="77777777" w:rsidR="00D210F0" w:rsidRPr="00092ED7" w:rsidRDefault="00D210F0" w:rsidP="0038742E">
      <w:pPr>
        <w:spacing w:after="60"/>
        <w:rPr>
          <w:lang w:val="sr-Cyrl-CS"/>
        </w:rPr>
      </w:pPr>
      <w:r w:rsidRPr="00092ED7">
        <w:rPr>
          <w:rFonts w:eastAsia="Times New Roman" w:cs="Times New Roman"/>
          <w:szCs w:val="24"/>
          <w:lang w:val="sr-Cyrl-CS"/>
        </w:rPr>
        <w:t xml:space="preserve">Применом концепта циркуларне економије штеде се ресурси и енергија, што може довести до нових инвестиционих улагања и подстицања развоја </w:t>
      </w:r>
      <w:r w:rsidR="008F0E1D" w:rsidRPr="00092ED7">
        <w:rPr>
          <w:rFonts w:eastAsia="Times New Roman" w:cs="Times New Roman"/>
          <w:szCs w:val="24"/>
          <w:lang w:val="sr-Cyrl-CS"/>
        </w:rPr>
        <w:t xml:space="preserve">пословног </w:t>
      </w:r>
      <w:r w:rsidRPr="00092ED7">
        <w:rPr>
          <w:rFonts w:eastAsia="Times New Roman" w:cs="Times New Roman"/>
          <w:szCs w:val="24"/>
          <w:lang w:val="sr-Cyrl-CS"/>
        </w:rPr>
        <w:t>сектора. Циркуларна економија доприноси креирању просперитетнијег и конкурентнијег друштва кроз подстицаје за оснивање микро, малих и средњих предузећа и развој технологија које штеде ресурсе и енергију и не загађују животну средину. Компаније окренуте ка циркуларном моделу пословања могу постати конкурентније, јер нови начин производње доводи до сировинске и енергетске ефикасности и смањења настајања отпада.</w:t>
      </w:r>
      <w:r w:rsidR="003E6646" w:rsidRPr="00092ED7">
        <w:rPr>
          <w:rFonts w:cs="Times New Roman"/>
          <w:noProof/>
          <w:szCs w:val="24"/>
          <w:lang w:val="sr-Cyrl-CS"/>
        </w:rPr>
        <w:t xml:space="preserve"> Зелене јавне набавке, као алат за циркуларну економију,  такође могу да допринесу повећању конкурентности</w:t>
      </w:r>
      <w:r w:rsidR="00EE16E2" w:rsidRPr="00092ED7">
        <w:rPr>
          <w:rFonts w:cs="Times New Roman"/>
          <w:noProof/>
          <w:szCs w:val="24"/>
          <w:lang w:val="sr-Cyrl-CS"/>
        </w:rPr>
        <w:t>,</w:t>
      </w:r>
      <w:r w:rsidR="003E6646" w:rsidRPr="00092ED7">
        <w:rPr>
          <w:rFonts w:cs="Times New Roman"/>
          <w:noProof/>
          <w:szCs w:val="24"/>
          <w:lang w:val="sr-Cyrl-CS"/>
        </w:rPr>
        <w:t xml:space="preserve"> јер ће се повећањем захтева наручиоца приликом јавних набавки за еколошким критеријумима утицати на пораст броја компанија које задовољавају ове критеријуме. </w:t>
      </w:r>
      <w:r w:rsidR="000465E0" w:rsidRPr="00092ED7">
        <w:rPr>
          <w:lang w:val="sr-Cyrl-CS"/>
        </w:rPr>
        <w:t xml:space="preserve">Применом зелених јавних набавки, наручиоци (на које се примењује </w:t>
      </w:r>
      <w:r w:rsidR="000465E0" w:rsidRPr="00092ED7">
        <w:rPr>
          <w:i/>
          <w:lang w:val="sr-Cyrl-CS"/>
        </w:rPr>
        <w:t>Закон о јавним набавкама</w:t>
      </w:r>
      <w:r w:rsidR="000465E0" w:rsidRPr="00092ED7">
        <w:rPr>
          <w:lang w:val="sr-Cyrl-CS"/>
        </w:rPr>
        <w:t xml:space="preserve">), као највећи купци подстичу развој понуде добара, услуга и радова са бољим перформансама по животну средину, подстиче се увођење добровољних инструмената из области животне средине, стварање нових ,,зелених” послова, иновативност и креирање нових пословних модела. </w:t>
      </w:r>
    </w:p>
    <w:p w14:paraId="19FC679B" w14:textId="77777777" w:rsidR="00D210F0" w:rsidRPr="00092ED7" w:rsidRDefault="00D210F0" w:rsidP="00E8000F">
      <w:pPr>
        <w:widowControl w:val="0"/>
        <w:numPr>
          <w:ilvl w:val="0"/>
          <w:numId w:val="29"/>
        </w:numPr>
        <w:spacing w:before="120"/>
        <w:ind w:left="425" w:hanging="425"/>
        <w:rPr>
          <w:rFonts w:cs="Times New Roman"/>
          <w:b/>
          <w:bCs/>
          <w:szCs w:val="24"/>
          <w:lang w:val="sr-Cyrl-CS"/>
        </w:rPr>
      </w:pPr>
      <w:r w:rsidRPr="00092ED7">
        <w:rPr>
          <w:rFonts w:cs="Times New Roman"/>
          <w:b/>
          <w:bCs/>
          <w:szCs w:val="24"/>
          <w:lang w:val="sr-Cyrl-CS"/>
        </w:rPr>
        <w:t>Процењени трошкови спровођења структурне реформе и предвиђени извори њиховог финансирања</w:t>
      </w:r>
    </w:p>
    <w:p w14:paraId="031F69F2" w14:textId="6A599B4F" w:rsidR="007750E3" w:rsidRPr="00092ED7" w:rsidRDefault="007750E3" w:rsidP="0038742E">
      <w:pPr>
        <w:spacing w:after="60"/>
        <w:rPr>
          <w:rFonts w:eastAsia="Times New Roman" w:cs="Times New Roman"/>
          <w:szCs w:val="24"/>
          <w:lang w:val="sr-Cyrl-CS"/>
        </w:rPr>
      </w:pPr>
      <w:r w:rsidRPr="00092ED7">
        <w:rPr>
          <w:rFonts w:eastAsia="Times New Roman" w:cs="Times New Roman"/>
          <w:szCs w:val="24"/>
          <w:lang w:val="sr-Cyrl-CS"/>
        </w:rPr>
        <w:t>За спровођење активности „Подршка привредним субјектима у транзицији на циркуларни модел пословања</w:t>
      </w:r>
      <w:r w:rsidR="00D36EEE" w:rsidRPr="00092ED7">
        <w:rPr>
          <w:rFonts w:cs="Times New Roman"/>
          <w:szCs w:val="24"/>
          <w:lang w:val="sr-Cyrl-CS"/>
        </w:rPr>
        <w:t>”</w:t>
      </w:r>
      <w:r w:rsidRPr="00092ED7">
        <w:rPr>
          <w:rFonts w:eastAsia="Times New Roman" w:cs="Times New Roman"/>
          <w:szCs w:val="24"/>
          <w:lang w:val="sr-Cyrl-CS"/>
        </w:rPr>
        <w:t xml:space="preserve"> за 2023. годину средства ће бити обезбеђена од међународних донатора кроз пројекте који су у току. Предвиђена средства за 2023. годину су 60.533,3 евра, а за 2024. годину 50.175 евра. Реализација активности „Подршка локалним самоуправама за увођење концепта циркуларне економије кроз израду локалних мапа пута за циркуларну економију</w:t>
      </w:r>
      <w:r w:rsidR="00D36EEE" w:rsidRPr="00092ED7">
        <w:rPr>
          <w:rFonts w:cs="Times New Roman"/>
          <w:szCs w:val="24"/>
          <w:lang w:val="sr-Cyrl-CS"/>
        </w:rPr>
        <w:t>”</w:t>
      </w:r>
      <w:r w:rsidRPr="00092ED7">
        <w:rPr>
          <w:rFonts w:eastAsia="Times New Roman" w:cs="Times New Roman"/>
          <w:szCs w:val="24"/>
          <w:lang w:val="sr-Cyrl-CS"/>
        </w:rPr>
        <w:t>, финансираће се из међународног пројекта Глобалног фонда за животну средину (ГЕФ) „Смањење угљеничног отиска локалних заједница применом принципа циркуларне економије</w:t>
      </w:r>
      <w:r w:rsidR="00D36EEE" w:rsidRPr="00092ED7">
        <w:rPr>
          <w:rFonts w:cs="Times New Roman"/>
          <w:szCs w:val="24"/>
          <w:lang w:val="sr-Cyrl-CS"/>
        </w:rPr>
        <w:t>”</w:t>
      </w:r>
      <w:r w:rsidRPr="00092ED7">
        <w:rPr>
          <w:rFonts w:eastAsia="Times New Roman" w:cs="Times New Roman"/>
          <w:szCs w:val="24"/>
          <w:lang w:val="sr-Cyrl-CS"/>
        </w:rPr>
        <w:t xml:space="preserve"> који спроводе Програм развоја Уједињених нација - УНДП и Министарство заштите животне средине као имплементациони партнер. Средства за 2023. годину су предвиђена у износу од 13.333 евра</w:t>
      </w:r>
      <w:r w:rsidR="004A67B0" w:rsidRPr="00092ED7">
        <w:rPr>
          <w:rFonts w:eastAsia="Times New Roman" w:cs="Times New Roman"/>
          <w:szCs w:val="24"/>
          <w:lang w:val="sr-Cyrl-CS"/>
        </w:rPr>
        <w:t>,</w:t>
      </w:r>
      <w:r w:rsidRPr="00092ED7">
        <w:rPr>
          <w:rFonts w:eastAsia="Times New Roman" w:cs="Times New Roman"/>
          <w:szCs w:val="24"/>
          <w:lang w:val="sr-Cyrl-CS"/>
        </w:rPr>
        <w:t xml:space="preserve"> а за 2024. годину у износу од 14.166 евра. За 2025. годину средства ће бити накнадно одређена. За реализацију активности „Унапређење сарадње бизнис и научно-истраживачког сектора кроз доделу циркуларних ваучера за технолошке иновације које доприносе примени концепта циркуларне економије</w:t>
      </w:r>
      <w:r w:rsidR="00D36EEE" w:rsidRPr="00092ED7">
        <w:rPr>
          <w:rFonts w:cs="Times New Roman"/>
          <w:szCs w:val="24"/>
          <w:lang w:val="sr-Cyrl-CS"/>
        </w:rPr>
        <w:t>”</w:t>
      </w:r>
      <w:r w:rsidRPr="00092ED7">
        <w:rPr>
          <w:rFonts w:eastAsia="Times New Roman" w:cs="Times New Roman"/>
          <w:szCs w:val="24"/>
          <w:lang w:val="sr-Cyrl-CS"/>
        </w:rPr>
        <w:t xml:space="preserve"> обезбеђена су средства од међународног донатора у износу од 120.000 евра за 2022. годину. За реализацију поменуте активности средства за 2023, 2024. и 2025. годину биће обезбеђена од међународних донатора, а накнадно ће се дефинисати у којем износу. </w:t>
      </w:r>
    </w:p>
    <w:p w14:paraId="67302B13" w14:textId="77777777" w:rsidR="00D210F0" w:rsidRPr="00092ED7" w:rsidRDefault="00D210F0" w:rsidP="00E8000F">
      <w:pPr>
        <w:widowControl w:val="0"/>
        <w:numPr>
          <w:ilvl w:val="0"/>
          <w:numId w:val="29"/>
        </w:numPr>
        <w:spacing w:before="120"/>
        <w:ind w:left="425" w:hanging="425"/>
        <w:rPr>
          <w:rFonts w:cs="Times New Roman"/>
          <w:b/>
          <w:bCs/>
          <w:szCs w:val="24"/>
          <w:lang w:val="sr-Cyrl-CS"/>
        </w:rPr>
      </w:pPr>
      <w:r w:rsidRPr="00092ED7">
        <w:rPr>
          <w:rFonts w:cs="Times New Roman"/>
          <w:b/>
          <w:bCs/>
          <w:szCs w:val="24"/>
          <w:lang w:val="sr-Cyrl-CS"/>
        </w:rPr>
        <w:t>Очекивани утицај на социјалне циљеве, као што су запосленост, смањење сиромаштва, родна равноправност и приступ здравственој заштити</w:t>
      </w:r>
    </w:p>
    <w:p w14:paraId="3DF160A8" w14:textId="77777777" w:rsidR="00D210F0" w:rsidRPr="00092ED7" w:rsidRDefault="008C5DCE" w:rsidP="004A67B0">
      <w:pPr>
        <w:spacing w:after="60"/>
        <w:rPr>
          <w:rFonts w:eastAsia="Times New Roman" w:cs="Times New Roman"/>
          <w:szCs w:val="24"/>
          <w:lang w:val="sr-Cyrl-CS"/>
        </w:rPr>
      </w:pPr>
      <w:r w:rsidRPr="00092ED7">
        <w:rPr>
          <w:rFonts w:eastAsia="Times New Roman" w:cs="Times New Roman"/>
          <w:szCs w:val="24"/>
          <w:lang w:val="sr-Cyrl-CS"/>
        </w:rPr>
        <w:t>Структурна реформа потенцијално утиче на повећање запослености услед развоја циркуларне економије и повећања привредног раста, а у зависности од висине јавних улагања потребних за споровођење овог концепта. Крајњи исход ове реформе је побољшање квалитета животне средине и квалитета живота свих грађана, што се позитивно одражава и на здравље људи.</w:t>
      </w:r>
    </w:p>
    <w:p w14:paraId="7015D4F6" w14:textId="77777777" w:rsidR="00D210F0" w:rsidRPr="00092ED7" w:rsidRDefault="00D210F0" w:rsidP="00E8000F">
      <w:pPr>
        <w:widowControl w:val="0"/>
        <w:numPr>
          <w:ilvl w:val="0"/>
          <w:numId w:val="29"/>
        </w:numPr>
        <w:spacing w:before="120"/>
        <w:ind w:left="425" w:hanging="425"/>
        <w:rPr>
          <w:rFonts w:cs="Times New Roman"/>
          <w:b/>
          <w:bCs/>
          <w:szCs w:val="24"/>
          <w:lang w:val="sr-Cyrl-CS"/>
        </w:rPr>
      </w:pPr>
      <w:r w:rsidRPr="00092ED7">
        <w:rPr>
          <w:rFonts w:cs="Times New Roman"/>
          <w:b/>
          <w:bCs/>
          <w:szCs w:val="24"/>
          <w:lang w:val="sr-Cyrl-CS"/>
        </w:rPr>
        <w:t>Очекивани утицај на животну средину и климатске промене</w:t>
      </w:r>
    </w:p>
    <w:p w14:paraId="1097C998" w14:textId="77777777" w:rsidR="00D210F0" w:rsidRPr="00092ED7" w:rsidRDefault="00D210F0" w:rsidP="0038742E">
      <w:pPr>
        <w:spacing w:after="60"/>
        <w:rPr>
          <w:rFonts w:cs="Times New Roman"/>
          <w:noProof/>
          <w:szCs w:val="24"/>
          <w:lang w:val="sr-Cyrl-CS"/>
        </w:rPr>
      </w:pPr>
      <w:r w:rsidRPr="00092ED7">
        <w:rPr>
          <w:rFonts w:eastAsia="Calibri" w:cs="Times New Roman"/>
          <w:szCs w:val="24"/>
          <w:lang w:val="sr-Cyrl-CS"/>
        </w:rPr>
        <w:t>Примена концепта циркуларне економије директно утиче на остваривање стратешких циљева и достизање одговарајућих стандарда у области заштите животне средине у кратком, средњем и дужем року. Циркуларна економија има важну улогу у развоју конкурентне економије која штеди ресурсе и утиче на смањење свих врста загађења, а посебно на смањење емисија</w:t>
      </w:r>
      <w:r w:rsidR="001E32DF" w:rsidRPr="00092ED7">
        <w:rPr>
          <w:rFonts w:eastAsia="Calibri" w:cs="Times New Roman"/>
          <w:szCs w:val="24"/>
          <w:lang w:val="sr-Cyrl-CS"/>
        </w:rPr>
        <w:t xml:space="preserve"> гасова</w:t>
      </w:r>
      <w:r w:rsidRPr="00092ED7">
        <w:rPr>
          <w:rFonts w:eastAsia="Calibri" w:cs="Times New Roman"/>
          <w:szCs w:val="24"/>
          <w:lang w:val="sr-Cyrl-CS"/>
        </w:rPr>
        <w:t xml:space="preserve"> са ефектом стаклене баште, што даље утиче на нискоугљенични развој, којем се тежи на глобалном нивоу.</w:t>
      </w:r>
      <w:r w:rsidR="003E6646" w:rsidRPr="00092ED7">
        <w:rPr>
          <w:rFonts w:eastAsia="Calibri" w:cs="Times New Roman"/>
          <w:szCs w:val="24"/>
          <w:lang w:val="sr-Cyrl-CS"/>
        </w:rPr>
        <w:t xml:space="preserve"> </w:t>
      </w:r>
      <w:r w:rsidR="003E6646" w:rsidRPr="00092ED7">
        <w:rPr>
          <w:rFonts w:cs="Times New Roman"/>
          <w:noProof/>
          <w:szCs w:val="24"/>
          <w:lang w:val="sr-Cyrl-CS"/>
        </w:rPr>
        <w:t>Применом зелених јавних набавки, ресурси се користе ефикасније и сврсисходније, уз остваривање одговарајућих уштеда и бољих перформанси за животну средину кроз све фазе животног циклуса добара, услуга и радова.</w:t>
      </w:r>
    </w:p>
    <w:p w14:paraId="2A1D992C" w14:textId="77777777" w:rsidR="00D210F0" w:rsidRPr="00092ED7" w:rsidRDefault="00D210F0" w:rsidP="00E8000F">
      <w:pPr>
        <w:widowControl w:val="0"/>
        <w:numPr>
          <w:ilvl w:val="0"/>
          <w:numId w:val="29"/>
        </w:numPr>
        <w:spacing w:before="120"/>
        <w:ind w:left="425" w:hanging="425"/>
        <w:rPr>
          <w:rFonts w:cs="Times New Roman"/>
          <w:b/>
          <w:bCs/>
          <w:szCs w:val="24"/>
          <w:lang w:val="sr-Cyrl-CS"/>
        </w:rPr>
      </w:pPr>
      <w:r w:rsidRPr="00092ED7">
        <w:rPr>
          <w:rFonts w:cs="Times New Roman"/>
          <w:b/>
          <w:bCs/>
          <w:szCs w:val="24"/>
          <w:lang w:val="sr-Cyrl-CS"/>
        </w:rPr>
        <w:t>Потенцијални ризици</w:t>
      </w:r>
    </w:p>
    <w:tbl>
      <w:tblPr>
        <w:tblStyle w:val="TableGrid12"/>
        <w:tblW w:w="9072" w:type="dxa"/>
        <w:tblInd w:w="-5" w:type="dxa"/>
        <w:tblLayout w:type="fixed"/>
        <w:tblLook w:val="04A0" w:firstRow="1" w:lastRow="0" w:firstColumn="1" w:lastColumn="0" w:noHBand="0" w:noVBand="1"/>
      </w:tblPr>
      <w:tblGrid>
        <w:gridCol w:w="3329"/>
        <w:gridCol w:w="2200"/>
        <w:gridCol w:w="3543"/>
      </w:tblGrid>
      <w:tr w:rsidR="00D210F0" w:rsidRPr="00092ED7" w14:paraId="2DA8367A" w14:textId="77777777" w:rsidTr="00AE4362">
        <w:trPr>
          <w:trHeight w:val="421"/>
        </w:trPr>
        <w:tc>
          <w:tcPr>
            <w:tcW w:w="3329" w:type="dxa"/>
            <w:vAlign w:val="center"/>
          </w:tcPr>
          <w:p w14:paraId="4C89F55D" w14:textId="77777777" w:rsidR="00D210F0" w:rsidRPr="00092ED7" w:rsidRDefault="00D210F0" w:rsidP="00A37A7A">
            <w:pPr>
              <w:spacing w:after="0"/>
              <w:jc w:val="center"/>
              <w:rPr>
                <w:rFonts w:eastAsia="Calibri"/>
                <w:b/>
                <w:sz w:val="20"/>
                <w:szCs w:val="20"/>
              </w:rPr>
            </w:pPr>
            <w:r w:rsidRPr="00092ED7">
              <w:rPr>
                <w:rFonts w:eastAsia="Calibri"/>
                <w:b/>
                <w:sz w:val="20"/>
                <w:szCs w:val="20"/>
              </w:rPr>
              <w:t>Ризик</w:t>
            </w:r>
          </w:p>
        </w:tc>
        <w:tc>
          <w:tcPr>
            <w:tcW w:w="2200" w:type="dxa"/>
            <w:vAlign w:val="center"/>
          </w:tcPr>
          <w:p w14:paraId="6396DC75" w14:textId="77777777" w:rsidR="00D210F0" w:rsidRPr="00092ED7" w:rsidRDefault="00D210F0" w:rsidP="00A37A7A">
            <w:pPr>
              <w:spacing w:after="0"/>
              <w:jc w:val="center"/>
              <w:rPr>
                <w:rFonts w:eastAsia="Calibri"/>
                <w:b/>
                <w:sz w:val="20"/>
                <w:szCs w:val="20"/>
              </w:rPr>
            </w:pPr>
            <w:r w:rsidRPr="00092ED7">
              <w:rPr>
                <w:rFonts w:eastAsia="Calibri"/>
                <w:b/>
                <w:sz w:val="20"/>
                <w:szCs w:val="20"/>
              </w:rPr>
              <w:t>Вероватноћа за остваривање ризика</w:t>
            </w:r>
          </w:p>
        </w:tc>
        <w:tc>
          <w:tcPr>
            <w:tcW w:w="3543" w:type="dxa"/>
            <w:vAlign w:val="center"/>
          </w:tcPr>
          <w:p w14:paraId="2D944F05" w14:textId="77777777" w:rsidR="00D210F0" w:rsidRPr="00092ED7" w:rsidRDefault="00D210F0" w:rsidP="00A37A7A">
            <w:pPr>
              <w:spacing w:after="0"/>
              <w:jc w:val="center"/>
              <w:rPr>
                <w:rFonts w:eastAsia="Calibri"/>
                <w:b/>
                <w:sz w:val="20"/>
                <w:szCs w:val="20"/>
              </w:rPr>
            </w:pPr>
            <w:r w:rsidRPr="00092ED7">
              <w:rPr>
                <w:rFonts w:eastAsia="Calibri"/>
                <w:b/>
                <w:sz w:val="20"/>
                <w:szCs w:val="20"/>
              </w:rPr>
              <w:t>Планиране активности за ублажавање негативних ефеката ризика</w:t>
            </w:r>
          </w:p>
        </w:tc>
      </w:tr>
      <w:tr w:rsidR="00D210F0" w:rsidRPr="00092ED7" w14:paraId="1C9976A2" w14:textId="77777777" w:rsidTr="004A67B0">
        <w:trPr>
          <w:trHeight w:val="429"/>
        </w:trPr>
        <w:tc>
          <w:tcPr>
            <w:tcW w:w="3329" w:type="dxa"/>
          </w:tcPr>
          <w:p w14:paraId="293EC0FC" w14:textId="77777777" w:rsidR="00D210F0" w:rsidRPr="00092ED7" w:rsidRDefault="00D210F0" w:rsidP="00A37A7A">
            <w:pPr>
              <w:spacing w:after="0"/>
              <w:rPr>
                <w:rFonts w:eastAsia="Calibri"/>
                <w:sz w:val="20"/>
                <w:szCs w:val="20"/>
              </w:rPr>
            </w:pPr>
            <w:r w:rsidRPr="00092ED7">
              <w:rPr>
                <w:rFonts w:eastAsia="Calibri"/>
                <w:sz w:val="20"/>
                <w:szCs w:val="20"/>
              </w:rPr>
              <w:t>Непрепознавање користи од примене концепта циркуларне економије од стране привредних субјеката, локалних самоуправа</w:t>
            </w:r>
            <w:r w:rsidR="00283BB0" w:rsidRPr="00092ED7">
              <w:rPr>
                <w:rFonts w:eastAsia="Calibri"/>
                <w:sz w:val="20"/>
                <w:szCs w:val="20"/>
              </w:rPr>
              <w:t xml:space="preserve">, </w:t>
            </w:r>
            <w:r w:rsidRPr="00092ED7">
              <w:rPr>
                <w:rFonts w:eastAsia="Calibri"/>
                <w:sz w:val="20"/>
                <w:szCs w:val="20"/>
              </w:rPr>
              <w:t>научно-истраживачког сектора</w:t>
            </w:r>
            <w:r w:rsidR="00283BB0" w:rsidRPr="00092ED7">
              <w:rPr>
                <w:rFonts w:eastAsia="Calibri" w:cstheme="minorBidi"/>
                <w:sz w:val="20"/>
                <w:szCs w:val="20"/>
              </w:rPr>
              <w:t xml:space="preserve"> </w:t>
            </w:r>
            <w:r w:rsidR="00283BB0" w:rsidRPr="00092ED7">
              <w:rPr>
                <w:rFonts w:eastAsia="Calibri"/>
                <w:sz w:val="20"/>
                <w:szCs w:val="20"/>
              </w:rPr>
              <w:t>и цивилног сектора за зелену транзцију Републике Србије</w:t>
            </w:r>
          </w:p>
        </w:tc>
        <w:tc>
          <w:tcPr>
            <w:tcW w:w="2200" w:type="dxa"/>
          </w:tcPr>
          <w:p w14:paraId="677E5524" w14:textId="77777777" w:rsidR="00D210F0" w:rsidRPr="00092ED7" w:rsidRDefault="00D210F0" w:rsidP="004A67B0">
            <w:pPr>
              <w:spacing w:after="0"/>
              <w:jc w:val="center"/>
              <w:rPr>
                <w:rFonts w:eastAsia="Calibri"/>
                <w:sz w:val="20"/>
                <w:szCs w:val="20"/>
              </w:rPr>
            </w:pPr>
            <w:r w:rsidRPr="00092ED7">
              <w:rPr>
                <w:rFonts w:eastAsia="Calibri"/>
                <w:sz w:val="20"/>
                <w:szCs w:val="20"/>
              </w:rPr>
              <w:t>Ниска</w:t>
            </w:r>
          </w:p>
        </w:tc>
        <w:tc>
          <w:tcPr>
            <w:tcW w:w="3543" w:type="dxa"/>
          </w:tcPr>
          <w:p w14:paraId="74953EDC" w14:textId="54BAC469" w:rsidR="00D210F0" w:rsidRPr="00092ED7" w:rsidRDefault="00D210F0" w:rsidP="00B010FF">
            <w:pPr>
              <w:spacing w:after="0"/>
              <w:rPr>
                <w:rFonts w:eastAsia="Calibri"/>
                <w:sz w:val="20"/>
                <w:szCs w:val="20"/>
              </w:rPr>
            </w:pPr>
            <w:r w:rsidRPr="00092ED7">
              <w:rPr>
                <w:rFonts w:eastAsia="Calibri"/>
                <w:sz w:val="20"/>
                <w:szCs w:val="20"/>
              </w:rPr>
              <w:t xml:space="preserve">Програмом развоја циркуларне економије </w:t>
            </w:r>
            <w:r w:rsidR="00283BB0" w:rsidRPr="00092ED7">
              <w:rPr>
                <w:rFonts w:eastAsia="Calibri"/>
                <w:sz w:val="20"/>
                <w:szCs w:val="20"/>
              </w:rPr>
              <w:t xml:space="preserve">дефинисан је </w:t>
            </w:r>
            <w:r w:rsidRPr="00092ED7">
              <w:rPr>
                <w:rFonts w:eastAsia="Calibri"/>
                <w:sz w:val="20"/>
                <w:szCs w:val="20"/>
              </w:rPr>
              <w:t xml:space="preserve">правац деловања </w:t>
            </w:r>
            <w:r w:rsidR="00B010FF" w:rsidRPr="00092ED7">
              <w:rPr>
                <w:rFonts w:eastAsia="Calibri"/>
                <w:sz w:val="20"/>
                <w:szCs w:val="20"/>
              </w:rPr>
              <w:t xml:space="preserve">Републике Србије </w:t>
            </w:r>
            <w:r w:rsidRPr="00092ED7">
              <w:rPr>
                <w:rFonts w:eastAsia="Calibri"/>
                <w:sz w:val="20"/>
                <w:szCs w:val="20"/>
              </w:rPr>
              <w:t>у области циркуларне економије и одрживог развоја. Планирано је да се сви идентификовани актери укључе у препознавање користи које им циркуларна економија може донети.</w:t>
            </w:r>
          </w:p>
        </w:tc>
      </w:tr>
      <w:tr w:rsidR="004A3679" w:rsidRPr="00092ED7" w14:paraId="7BDB561F" w14:textId="77777777" w:rsidTr="004A67B0">
        <w:trPr>
          <w:trHeight w:val="429"/>
        </w:trPr>
        <w:tc>
          <w:tcPr>
            <w:tcW w:w="3329" w:type="dxa"/>
          </w:tcPr>
          <w:p w14:paraId="4668F04E" w14:textId="77777777" w:rsidR="004A3679" w:rsidRPr="00092ED7" w:rsidRDefault="004A3679" w:rsidP="0096782F">
            <w:pPr>
              <w:spacing w:after="0"/>
              <w:rPr>
                <w:rFonts w:eastAsia="Calibri"/>
                <w:sz w:val="20"/>
                <w:szCs w:val="20"/>
              </w:rPr>
            </w:pPr>
            <w:r w:rsidRPr="00092ED7">
              <w:rPr>
                <w:rFonts w:eastAsia="Calibri"/>
                <w:sz w:val="20"/>
                <w:szCs w:val="20"/>
              </w:rPr>
              <w:t>Недовољни подстицај</w:t>
            </w:r>
            <w:r w:rsidR="0096782F" w:rsidRPr="00092ED7">
              <w:rPr>
                <w:rFonts w:eastAsia="Calibri"/>
                <w:sz w:val="20"/>
                <w:szCs w:val="20"/>
              </w:rPr>
              <w:t>и</w:t>
            </w:r>
            <w:r w:rsidRPr="00092ED7">
              <w:rPr>
                <w:rFonts w:eastAsia="Calibri"/>
                <w:sz w:val="20"/>
                <w:szCs w:val="20"/>
              </w:rPr>
              <w:t xml:space="preserve"> привреди за интегрисање циркуларних пословних модела</w:t>
            </w:r>
          </w:p>
        </w:tc>
        <w:tc>
          <w:tcPr>
            <w:tcW w:w="2200" w:type="dxa"/>
          </w:tcPr>
          <w:p w14:paraId="42D7B6CE" w14:textId="77777777" w:rsidR="004A3679" w:rsidRPr="00092ED7" w:rsidRDefault="004A3679" w:rsidP="004A67B0">
            <w:pPr>
              <w:spacing w:after="0"/>
              <w:jc w:val="center"/>
              <w:rPr>
                <w:rFonts w:eastAsia="Calibri"/>
                <w:sz w:val="20"/>
                <w:szCs w:val="20"/>
              </w:rPr>
            </w:pPr>
            <w:r w:rsidRPr="00092ED7">
              <w:rPr>
                <w:rFonts w:eastAsia="Calibri"/>
                <w:sz w:val="20"/>
                <w:szCs w:val="20"/>
              </w:rPr>
              <w:t>Ниска</w:t>
            </w:r>
          </w:p>
        </w:tc>
        <w:tc>
          <w:tcPr>
            <w:tcW w:w="3543" w:type="dxa"/>
          </w:tcPr>
          <w:p w14:paraId="688CC7D6" w14:textId="77777777" w:rsidR="004A3679" w:rsidRPr="00092ED7" w:rsidRDefault="004A3679" w:rsidP="00A37A7A">
            <w:pPr>
              <w:spacing w:after="0"/>
              <w:rPr>
                <w:rFonts w:eastAsia="Calibri"/>
                <w:sz w:val="20"/>
                <w:szCs w:val="20"/>
              </w:rPr>
            </w:pPr>
            <w:r w:rsidRPr="00092ED7">
              <w:rPr>
                <w:rFonts w:eastAsia="Calibri"/>
                <w:sz w:val="20"/>
                <w:szCs w:val="20"/>
              </w:rPr>
              <w:t>Планирано је да се кроз више  активности обезбеде подстицаји привреди како би усвојили циркуларне бизнис моделе. Активности које ће се спроводити су обуке и израда акционих планова за транзицију на цирклуарни бизнис модел пословања.</w:t>
            </w:r>
          </w:p>
        </w:tc>
      </w:tr>
    </w:tbl>
    <w:p w14:paraId="2883ED5B" w14:textId="77777777" w:rsidR="00D210F0" w:rsidRPr="00092ED7" w:rsidRDefault="00D210F0" w:rsidP="00D210F0">
      <w:pPr>
        <w:keepNext/>
        <w:keepLines/>
        <w:shd w:val="clear" w:color="auto" w:fill="D9D9D9" w:themeFill="background1" w:themeFillShade="D9"/>
        <w:spacing w:before="360"/>
        <w:outlineLvl w:val="2"/>
        <w:rPr>
          <w:rFonts w:eastAsiaTheme="majorEastAsia" w:cstheme="majorBidi"/>
          <w:b/>
          <w:shd w:val="clear" w:color="auto" w:fill="D9D9D9" w:themeFill="background1" w:themeFillShade="D9"/>
          <w:lang w:val="sr-Cyrl-CS"/>
        </w:rPr>
      </w:pPr>
      <w:bookmarkStart w:id="69" w:name="_Toc124174810"/>
      <w:bookmarkStart w:id="70" w:name="_Toc126218629"/>
      <w:r w:rsidRPr="00092ED7">
        <w:rPr>
          <w:rFonts w:eastAsiaTheme="majorEastAsia" w:cstheme="majorBidi"/>
          <w:b/>
          <w:lang w:val="sr-Cyrl-CS"/>
        </w:rPr>
        <w:t>5.2.3. Област ДИГИТАЛНА ТРАНСФОРМАЦИЈА</w:t>
      </w:r>
      <w:bookmarkEnd w:id="69"/>
      <w:bookmarkEnd w:id="70"/>
    </w:p>
    <w:p w14:paraId="68358CE7" w14:textId="1C0DC364" w:rsidR="00D210F0" w:rsidRPr="00092ED7" w:rsidRDefault="00D210F0" w:rsidP="00D210F0">
      <w:pPr>
        <w:spacing w:before="120"/>
        <w:rPr>
          <w:rFonts w:eastAsia="Calibri" w:cs="Times New Roman"/>
          <w:szCs w:val="24"/>
          <w:lang w:val="sr-Cyrl-CS"/>
        </w:rPr>
      </w:pPr>
      <w:r w:rsidRPr="00092ED7">
        <w:rPr>
          <w:rFonts w:eastAsia="Times New Roman" w:cs="Times New Roman"/>
          <w:b/>
          <w:szCs w:val="24"/>
          <w:lang w:val="sr-Cyrl-CS"/>
        </w:rPr>
        <w:t xml:space="preserve">а) Анализа главних </w:t>
      </w:r>
      <w:r w:rsidR="00515D4D" w:rsidRPr="00092ED7">
        <w:rPr>
          <w:rFonts w:eastAsia="Times New Roman" w:cs="Times New Roman"/>
          <w:b/>
          <w:szCs w:val="24"/>
          <w:lang w:val="sr-Cyrl-CS"/>
        </w:rPr>
        <w:t>изазова</w:t>
      </w:r>
    </w:p>
    <w:p w14:paraId="696B79BE" w14:textId="6E83CEF1" w:rsidR="00D210F0" w:rsidRPr="00092ED7" w:rsidRDefault="00D210F0" w:rsidP="00D210F0">
      <w:pPr>
        <w:spacing w:after="60"/>
        <w:rPr>
          <w:rFonts w:eastAsia="Calibri" w:cs="Times New Roman"/>
          <w:szCs w:val="24"/>
          <w:lang w:val="sr-Cyrl-CS"/>
        </w:rPr>
      </w:pPr>
      <w:r w:rsidRPr="00092ED7">
        <w:rPr>
          <w:rFonts w:eastAsia="Calibri" w:cs="Times New Roman"/>
          <w:b/>
          <w:szCs w:val="24"/>
          <w:lang w:val="sr-Cyrl-CS"/>
        </w:rPr>
        <w:t xml:space="preserve">Најдинамичнији сектор у Републици Србији у последњих </w:t>
      </w:r>
      <w:r w:rsidR="001571AD" w:rsidRPr="00092ED7">
        <w:rPr>
          <w:rFonts w:eastAsia="Calibri" w:cs="Times New Roman"/>
          <w:b/>
          <w:szCs w:val="24"/>
          <w:lang w:val="sr-Cyrl-CS"/>
        </w:rPr>
        <w:t xml:space="preserve">десет </w:t>
      </w:r>
      <w:r w:rsidRPr="00092ED7">
        <w:rPr>
          <w:rFonts w:eastAsia="Calibri" w:cs="Times New Roman"/>
          <w:b/>
          <w:szCs w:val="24"/>
          <w:lang w:val="sr-Cyrl-CS"/>
        </w:rPr>
        <w:t>година је сектор ИКТ, чиме овај сектор постаје носилац развоја и економског раста.</w:t>
      </w:r>
      <w:r w:rsidRPr="00092ED7">
        <w:rPr>
          <w:rFonts w:eastAsia="Calibri" w:cs="Times New Roman"/>
          <w:szCs w:val="24"/>
          <w:lang w:val="sr-Cyrl-CS"/>
        </w:rPr>
        <w:t xml:space="preserve"> Извоз ИКТ услуга бележи континуиран раст од преко 20% у периоду од 2015-2019.</w:t>
      </w:r>
      <w:r w:rsidRPr="00092ED7">
        <w:rPr>
          <w:rFonts w:eastAsia="Calibri" w:cs="Times New Roman"/>
          <w:szCs w:val="24"/>
          <w:vertAlign w:val="superscript"/>
          <w:lang w:val="sr-Cyrl-CS"/>
        </w:rPr>
        <w:footnoteReference w:id="106"/>
      </w:r>
      <w:r w:rsidRPr="00092ED7">
        <w:rPr>
          <w:rFonts w:eastAsia="Calibri" w:cs="Times New Roman"/>
          <w:szCs w:val="24"/>
          <w:lang w:val="sr-Cyrl-CS"/>
        </w:rPr>
        <w:t xml:space="preserve"> године. Избијањем глобалне пандемије долази до смањења тражње у свим секторима, па је извоз ИКТ услуга порастао за само 1,2% мг у 2020.</w:t>
      </w:r>
      <w:r w:rsidRPr="00092ED7">
        <w:rPr>
          <w:rFonts w:eastAsia="Calibri" w:cs="Times New Roman"/>
          <w:szCs w:val="24"/>
          <w:vertAlign w:val="superscript"/>
          <w:lang w:val="sr-Cyrl-CS"/>
        </w:rPr>
        <w:footnoteReference w:id="107"/>
      </w:r>
      <w:r w:rsidRPr="00092ED7">
        <w:rPr>
          <w:rFonts w:eastAsia="Calibri" w:cs="Times New Roman"/>
          <w:szCs w:val="24"/>
          <w:lang w:val="sr-Cyrl-CS"/>
        </w:rPr>
        <w:t xml:space="preserve"> години као последица везаности за страна тржишта. Међутим, након релативне нормализације односа на међународном тржишту бележи се раст извоза ИКТ од 29% мг (на 1,86 милијарди евра) у 2021. години, а његово учешће у укупном извоз</w:t>
      </w:r>
      <w:r w:rsidR="001571AD" w:rsidRPr="00092ED7">
        <w:rPr>
          <w:rFonts w:eastAsia="Calibri" w:cs="Times New Roman"/>
          <w:szCs w:val="24"/>
          <w:lang w:val="sr-Cyrl-CS"/>
        </w:rPr>
        <w:t>у</w:t>
      </w:r>
      <w:r w:rsidRPr="00092ED7">
        <w:rPr>
          <w:rFonts w:eastAsia="Calibri" w:cs="Times New Roman"/>
          <w:szCs w:val="24"/>
          <w:lang w:val="sr-Cyrl-CS"/>
        </w:rPr>
        <w:t xml:space="preserve"> услуга износи 23,8%. Остварени суфицит у размени ИКТ услуга од 1,3 милијарде евра представља повећање од 45% у односу на 2020. годину (треба имати у виду чињеницу да је 2020. година била година пандемије). Упркос паду прихода и броја пројеката, ИТ компаније у Републици Србији успеле су да очувају ликвидност и људске ресурсе, тако да извоз ИКТ услуга бележи раст од 43,1% у периоду јануар-август 2022. у односу на исти период претходне године. Иако запослени у ИКТ сектору представљају само 2,9% укупне регистроване запослености</w:t>
      </w:r>
      <w:r w:rsidRPr="00092ED7">
        <w:rPr>
          <w:rFonts w:eastAsia="Calibri" w:cs="Times New Roman"/>
          <w:szCs w:val="24"/>
          <w:vertAlign w:val="superscript"/>
          <w:lang w:val="sr-Cyrl-CS"/>
        </w:rPr>
        <w:footnoteReference w:id="108"/>
      </w:r>
      <w:r w:rsidRPr="00092ED7">
        <w:rPr>
          <w:rFonts w:eastAsia="Calibri" w:cs="Times New Roman"/>
          <w:szCs w:val="24"/>
          <w:lang w:val="sr-Cyrl-CS"/>
        </w:rPr>
        <w:t>, број запослених у овом сектору значајно расте из године у годину (14% у 2021, 12% у 2020, 7% у 2019. и 10% у 2018).</w:t>
      </w:r>
    </w:p>
    <w:p w14:paraId="5B2A6994" w14:textId="4196C95B" w:rsidR="00D210F0" w:rsidRPr="00092ED7" w:rsidRDefault="00D210F0" w:rsidP="00D210F0">
      <w:pPr>
        <w:widowControl w:val="0"/>
        <w:spacing w:after="60"/>
        <w:rPr>
          <w:rFonts w:eastAsia="Calibri" w:cs="Times New Roman"/>
          <w:szCs w:val="24"/>
          <w:lang w:val="sr-Cyrl-CS"/>
        </w:rPr>
      </w:pPr>
      <w:r w:rsidRPr="00092ED7">
        <w:rPr>
          <w:rFonts w:eastAsia="Times New Roman" w:cs="Times New Roman"/>
          <w:color w:val="000000"/>
          <w:szCs w:val="24"/>
          <w:lang w:val="sr-Cyrl-CS"/>
        </w:rPr>
        <w:t xml:space="preserve">Према </w:t>
      </w:r>
      <w:r w:rsidRPr="00092ED7">
        <w:rPr>
          <w:rFonts w:eastAsia="Times New Roman" w:cs="Times New Roman"/>
          <w:b/>
          <w:color w:val="000000"/>
          <w:szCs w:val="24"/>
          <w:lang w:val="sr-Cyrl-CS"/>
        </w:rPr>
        <w:t>индексу мрежне спремности</w:t>
      </w:r>
      <w:r w:rsidRPr="00092ED7">
        <w:rPr>
          <w:rFonts w:eastAsia="Times New Roman" w:cs="Times New Roman"/>
          <w:color w:val="000000"/>
          <w:szCs w:val="24"/>
          <w:lang w:val="sr-Cyrl-CS"/>
        </w:rPr>
        <w:t xml:space="preserve"> (</w:t>
      </w:r>
      <w:r w:rsidRPr="00092ED7">
        <w:rPr>
          <w:rFonts w:eastAsia="Times New Roman" w:cs="Times New Roman"/>
          <w:i/>
          <w:color w:val="000000"/>
          <w:szCs w:val="24"/>
          <w:lang w:val="sr-Cyrl-CS"/>
        </w:rPr>
        <w:t>Network Readiness Index 2021</w:t>
      </w:r>
      <w:r w:rsidRPr="00092ED7">
        <w:rPr>
          <w:rFonts w:eastAsia="Times New Roman" w:cs="Times New Roman"/>
          <w:i/>
          <w:color w:val="000000"/>
          <w:szCs w:val="24"/>
          <w:vertAlign w:val="superscript"/>
          <w:lang w:val="sr-Cyrl-CS"/>
        </w:rPr>
        <w:footnoteReference w:id="109"/>
      </w:r>
      <w:r w:rsidRPr="00092ED7">
        <w:rPr>
          <w:rFonts w:eastAsia="Times New Roman" w:cs="Times New Roman"/>
          <w:color w:val="000000"/>
          <w:szCs w:val="24"/>
          <w:lang w:val="sr-Cyrl-CS"/>
        </w:rPr>
        <w:t xml:space="preserve">), као индикатору развоја дигиталне економије односно </w:t>
      </w:r>
      <w:r w:rsidRPr="00092ED7">
        <w:rPr>
          <w:rFonts w:eastAsia="Times New Roman" w:cs="Times New Roman"/>
          <w:b/>
          <w:color w:val="000000"/>
          <w:szCs w:val="24"/>
          <w:lang w:val="sr-Cyrl-CS"/>
        </w:rPr>
        <w:t>спремности земље за укључење у</w:t>
      </w:r>
      <w:r w:rsidR="006E4DE0" w:rsidRPr="00092ED7">
        <w:rPr>
          <w:rFonts w:eastAsia="Times New Roman" w:cs="Times New Roman"/>
          <w:b/>
          <w:color w:val="000000"/>
          <w:szCs w:val="24"/>
          <w:lang w:val="sr-Cyrl-CS"/>
        </w:rPr>
        <w:t xml:space="preserve"> информационо-технолошки</w:t>
      </w:r>
      <w:r w:rsidRPr="00092ED7">
        <w:rPr>
          <w:rFonts w:eastAsia="Times New Roman" w:cs="Times New Roman"/>
          <w:b/>
          <w:color w:val="000000"/>
          <w:szCs w:val="24"/>
          <w:lang w:val="sr-Cyrl-CS"/>
        </w:rPr>
        <w:t xml:space="preserve"> сектор</w:t>
      </w:r>
      <w:r w:rsidRPr="00092ED7">
        <w:rPr>
          <w:rFonts w:eastAsia="Times New Roman" w:cs="Times New Roman"/>
          <w:color w:val="000000"/>
          <w:szCs w:val="24"/>
          <w:lang w:val="sr-Cyrl-CS"/>
        </w:rPr>
        <w:t xml:space="preserve">, Република Србија је заузела 57. позицију од укупно 134 рангиране земље у 2021. години, што представља пад од </w:t>
      </w:r>
      <w:r w:rsidR="00B010FF" w:rsidRPr="00092ED7">
        <w:rPr>
          <w:rFonts w:eastAsia="Times New Roman" w:cs="Times New Roman"/>
          <w:color w:val="000000"/>
          <w:szCs w:val="24"/>
          <w:lang w:val="sr-Cyrl-CS"/>
        </w:rPr>
        <w:t xml:space="preserve">пет </w:t>
      </w:r>
      <w:r w:rsidRPr="00092ED7">
        <w:rPr>
          <w:rFonts w:eastAsia="Times New Roman" w:cs="Times New Roman"/>
          <w:color w:val="000000"/>
          <w:szCs w:val="24"/>
          <w:lang w:val="sr-Cyrl-CS"/>
        </w:rPr>
        <w:t>места. Највиши напредак остварен је у дигиталној трансформацији у области доприноса Циљевима одрживог развоја и поверења, док је највећи силазни тренд уочен у сегменту доступности и пословном окружењу.</w:t>
      </w:r>
    </w:p>
    <w:p w14:paraId="052140C4" w14:textId="73838F11" w:rsidR="00D210F0" w:rsidRPr="00092ED7" w:rsidRDefault="00D210F0" w:rsidP="00D210F0">
      <w:pPr>
        <w:widowControl w:val="0"/>
        <w:spacing w:after="60"/>
        <w:rPr>
          <w:rFonts w:eastAsia="Calibri" w:cs="Times New Roman"/>
          <w:szCs w:val="24"/>
          <w:lang w:val="sr-Cyrl-CS"/>
        </w:rPr>
      </w:pPr>
      <w:r w:rsidRPr="00092ED7">
        <w:rPr>
          <w:rFonts w:eastAsia="Calibri" w:cs="Times New Roman"/>
          <w:b/>
          <w:szCs w:val="24"/>
          <w:lang w:val="sr-Cyrl-CS"/>
        </w:rPr>
        <w:t>Република Србијa је посвећена развоју дигиталне трансформације, па је у претходном периоду знатно унапређен законодавни</w:t>
      </w:r>
      <w:r w:rsidRPr="00092ED7">
        <w:rPr>
          <w:rStyle w:val="FootnoteReference"/>
          <w:rFonts w:eastAsia="Calibri" w:cs="Times New Roman"/>
          <w:b/>
          <w:szCs w:val="24"/>
          <w:lang w:val="sr-Cyrl-CS"/>
        </w:rPr>
        <w:footnoteReference w:id="110"/>
      </w:r>
      <w:r w:rsidRPr="00092ED7">
        <w:rPr>
          <w:rFonts w:eastAsia="Calibri" w:cs="Times New Roman"/>
          <w:b/>
          <w:szCs w:val="24"/>
          <w:lang w:val="sr-Cyrl-CS"/>
        </w:rPr>
        <w:t xml:space="preserve"> и стратешки</w:t>
      </w:r>
      <w:r w:rsidRPr="00092ED7">
        <w:rPr>
          <w:rStyle w:val="FootnoteReference"/>
          <w:rFonts w:eastAsia="Calibri" w:cs="Times New Roman"/>
          <w:b/>
          <w:szCs w:val="24"/>
          <w:lang w:val="sr-Cyrl-CS"/>
        </w:rPr>
        <w:footnoteReference w:id="111"/>
      </w:r>
      <w:r w:rsidRPr="00092ED7">
        <w:rPr>
          <w:rFonts w:eastAsia="Calibri" w:cs="Times New Roman"/>
          <w:b/>
          <w:szCs w:val="24"/>
          <w:lang w:val="sr-Cyrl-CS"/>
        </w:rPr>
        <w:t xml:space="preserve"> оквир, </w:t>
      </w:r>
      <w:r w:rsidRPr="00092ED7">
        <w:rPr>
          <w:rFonts w:eastAsia="Calibri" w:cs="Times New Roman"/>
          <w:szCs w:val="24"/>
          <w:lang w:val="sr-Cyrl-CS"/>
        </w:rPr>
        <w:t xml:space="preserve">захваљујући чему је </w:t>
      </w:r>
      <w:r w:rsidR="00B010FF" w:rsidRPr="00092ED7">
        <w:rPr>
          <w:rFonts w:eastAsia="Calibri" w:cs="Times New Roman"/>
          <w:szCs w:val="24"/>
          <w:lang w:val="sr-Cyrl-CS"/>
        </w:rPr>
        <w:t xml:space="preserve">Република </w:t>
      </w:r>
      <w:r w:rsidRPr="00092ED7">
        <w:rPr>
          <w:rFonts w:eastAsia="Calibri" w:cs="Times New Roman"/>
          <w:szCs w:val="24"/>
          <w:lang w:val="sr-Cyrl-CS"/>
        </w:rPr>
        <w:t xml:space="preserve">Србија постала лидер дигиталне трансформације у региону. За </w:t>
      </w:r>
      <w:r w:rsidRPr="00092ED7">
        <w:rPr>
          <w:rFonts w:eastAsia="Times New Roman" w:cs="Times New Roman"/>
          <w:color w:val="000000"/>
          <w:szCs w:val="24"/>
          <w:lang w:val="sr-Cyrl-CS"/>
        </w:rPr>
        <w:t>завршетак хармонизације са регулаторним оквиром ЕУ у области електронских комуникација</w:t>
      </w:r>
      <w:r w:rsidRPr="00092ED7">
        <w:rPr>
          <w:rFonts w:eastAsia="Calibri" w:cs="Times New Roman"/>
          <w:szCs w:val="24"/>
          <w:lang w:val="sr-Cyrl-CS"/>
        </w:rPr>
        <w:t xml:space="preserve"> потребно је усвојити </w:t>
      </w:r>
      <w:r w:rsidR="00303328" w:rsidRPr="00092ED7">
        <w:rPr>
          <w:rFonts w:eastAsia="Calibri" w:cs="Times New Roman"/>
          <w:szCs w:val="24"/>
          <w:lang w:val="sr-Cyrl-CS"/>
        </w:rPr>
        <w:t>нови</w:t>
      </w:r>
      <w:r w:rsidR="00303328" w:rsidRPr="00092ED7">
        <w:rPr>
          <w:rFonts w:eastAsia="Calibri" w:cs="Times New Roman"/>
          <w:i/>
          <w:szCs w:val="24"/>
          <w:lang w:val="sr-Cyrl-CS"/>
        </w:rPr>
        <w:t xml:space="preserve"> з</w:t>
      </w:r>
      <w:r w:rsidRPr="00092ED7">
        <w:rPr>
          <w:rFonts w:eastAsia="Calibri" w:cs="Times New Roman"/>
          <w:i/>
          <w:szCs w:val="24"/>
          <w:lang w:val="sr-Cyrl-CS"/>
        </w:rPr>
        <w:t>акон о електронским комуникацијама</w:t>
      </w:r>
      <w:r w:rsidRPr="00092ED7">
        <w:rPr>
          <w:rFonts w:eastAsia="Calibri" w:cs="Times New Roman"/>
          <w:szCs w:val="24"/>
          <w:lang w:val="sr-Cyrl-CS"/>
        </w:rPr>
        <w:t>, који обухвата</w:t>
      </w:r>
      <w:r w:rsidRPr="00092ED7">
        <w:rPr>
          <w:rFonts w:ascii="Calibri" w:eastAsia="Calibri" w:hAnsi="Calibri" w:cs="Times New Roman"/>
          <w:lang w:val="sr-Cyrl-CS"/>
        </w:rPr>
        <w:t xml:space="preserve"> </w:t>
      </w:r>
      <w:r w:rsidRPr="00092ED7">
        <w:rPr>
          <w:rFonts w:eastAsia="Calibri" w:cs="Times New Roman"/>
          <w:szCs w:val="24"/>
          <w:lang w:val="sr-Cyrl-CS"/>
        </w:rPr>
        <w:t>транспоновање одредби Европског законика електронских комуникација.</w:t>
      </w:r>
    </w:p>
    <w:p w14:paraId="67BE4531" w14:textId="45BCBE73" w:rsidR="00D210F0" w:rsidRPr="00092ED7" w:rsidRDefault="00D210F0" w:rsidP="00D210F0">
      <w:pPr>
        <w:widowControl w:val="0"/>
        <w:spacing w:after="60"/>
        <w:rPr>
          <w:rFonts w:eastAsia="Calibri" w:cs="Times New Roman"/>
          <w:szCs w:val="24"/>
          <w:lang w:val="sr-Cyrl-CS"/>
        </w:rPr>
      </w:pPr>
      <w:r w:rsidRPr="00092ED7">
        <w:rPr>
          <w:rFonts w:eastAsia="Calibri" w:cs="Times New Roman"/>
          <w:szCs w:val="24"/>
          <w:lang w:val="sr-Cyrl-CS"/>
        </w:rPr>
        <w:t>Индекс развоја електронске управе (</w:t>
      </w:r>
      <w:r w:rsidRPr="00092ED7">
        <w:rPr>
          <w:rFonts w:eastAsia="Calibri" w:cs="Times New Roman"/>
          <w:i/>
          <w:szCs w:val="24"/>
          <w:lang w:val="sr-Cyrl-CS"/>
        </w:rPr>
        <w:t>eGovernment Development Index</w:t>
      </w:r>
      <w:r w:rsidRPr="00092ED7">
        <w:rPr>
          <w:rStyle w:val="FootnoteReference"/>
          <w:rFonts w:eastAsia="Calibri" w:cs="Times New Roman"/>
          <w:i/>
          <w:szCs w:val="24"/>
          <w:lang w:val="sr-Cyrl-CS"/>
        </w:rPr>
        <w:footnoteReference w:id="112"/>
      </w:r>
      <w:r w:rsidRPr="00092ED7">
        <w:rPr>
          <w:rFonts w:eastAsia="Calibri" w:cs="Times New Roman"/>
          <w:szCs w:val="24"/>
          <w:lang w:val="sr-Cyrl-CS"/>
        </w:rPr>
        <w:t>) Републике Србије оцењен је највишом оценом у 2021. години, као „веома висок</w:t>
      </w:r>
      <w:r w:rsidR="00281038" w:rsidRPr="00092ED7">
        <w:rPr>
          <w:rFonts w:cs="Times New Roman"/>
          <w:szCs w:val="24"/>
          <w:lang w:val="sr-Cyrl-CS"/>
        </w:rPr>
        <w:t>”</w:t>
      </w:r>
      <w:r w:rsidRPr="00092ED7">
        <w:rPr>
          <w:rFonts w:eastAsia="Calibri" w:cs="Times New Roman"/>
          <w:szCs w:val="24"/>
          <w:lang w:val="sr-Cyrl-CS"/>
        </w:rPr>
        <w:t xml:space="preserve">, што је </w:t>
      </w:r>
      <w:r w:rsidR="001571AD" w:rsidRPr="00092ED7">
        <w:rPr>
          <w:rFonts w:eastAsia="Calibri" w:cs="Times New Roman"/>
          <w:szCs w:val="24"/>
          <w:lang w:val="sr-Cyrl-CS"/>
        </w:rPr>
        <w:t xml:space="preserve">Републику </w:t>
      </w:r>
      <w:r w:rsidRPr="00092ED7">
        <w:rPr>
          <w:rFonts w:eastAsia="Calibri" w:cs="Times New Roman"/>
          <w:szCs w:val="24"/>
          <w:lang w:val="sr-Cyrl-CS"/>
        </w:rPr>
        <w:t xml:space="preserve">Србију позиционирало на 40. место (од 193 земље) и сврстало у три земље са највећим напретком у области еУправе у Европи (позиција </w:t>
      </w:r>
      <w:r w:rsidR="001571AD" w:rsidRPr="00092ED7">
        <w:rPr>
          <w:rFonts w:eastAsia="Calibri" w:cs="Times New Roman"/>
          <w:szCs w:val="24"/>
          <w:lang w:val="sr-Cyrl-CS"/>
        </w:rPr>
        <w:t xml:space="preserve">Републике </w:t>
      </w:r>
      <w:r w:rsidRPr="00092ED7">
        <w:rPr>
          <w:rFonts w:eastAsia="Calibri" w:cs="Times New Roman"/>
          <w:szCs w:val="24"/>
          <w:lang w:val="sr-Cyrl-CS"/>
        </w:rPr>
        <w:t xml:space="preserve">Србије је унапређена за 18 места у односу на извештај из 2020. године). У истом извештају, по вредности индекса онлајн услуга </w:t>
      </w:r>
      <w:r w:rsidR="00B010FF" w:rsidRPr="00092ED7">
        <w:rPr>
          <w:rFonts w:eastAsia="Calibri" w:cs="Times New Roman"/>
          <w:szCs w:val="24"/>
          <w:lang w:val="sr-Cyrl-CS"/>
        </w:rPr>
        <w:t xml:space="preserve">Република </w:t>
      </w:r>
      <w:r w:rsidRPr="00092ED7">
        <w:rPr>
          <w:rFonts w:eastAsia="Calibri" w:cs="Times New Roman"/>
          <w:szCs w:val="24"/>
          <w:lang w:val="sr-Cyrl-CS"/>
        </w:rPr>
        <w:t>Србија се нашла на 26. месту.</w:t>
      </w:r>
    </w:p>
    <w:p w14:paraId="0971462A" w14:textId="77777777" w:rsidR="00D210F0" w:rsidRPr="00092ED7" w:rsidRDefault="00D210F0" w:rsidP="00D210F0">
      <w:pPr>
        <w:widowControl w:val="0"/>
        <w:spacing w:after="60"/>
        <w:rPr>
          <w:rFonts w:eastAsia="Calibri" w:cs="Times New Roman"/>
          <w:szCs w:val="24"/>
          <w:lang w:val="sr-Cyrl-CS"/>
        </w:rPr>
      </w:pPr>
      <w:r w:rsidRPr="00092ED7">
        <w:rPr>
          <w:rFonts w:eastAsia="Calibri" w:cs="Times New Roman"/>
          <w:b/>
          <w:szCs w:val="24"/>
          <w:lang w:val="sr-Cyrl-CS"/>
        </w:rPr>
        <w:t>Глобални трендови као што су дигитална трансформација пословних модела, све више имају утицај на све индустрије и секторе у Републици Србији.</w:t>
      </w:r>
      <w:r w:rsidRPr="00092ED7">
        <w:rPr>
          <w:rFonts w:eastAsia="Calibri" w:cs="Times New Roman"/>
          <w:szCs w:val="24"/>
          <w:lang w:val="sr-Cyrl-CS"/>
        </w:rPr>
        <w:t xml:space="preserve"> Подршку дигиталној трансформацији малих и средњих предузећа обезбеђује </w:t>
      </w:r>
      <w:r w:rsidRPr="00092ED7">
        <w:rPr>
          <w:rFonts w:eastAsia="Calibri" w:cs="Times New Roman"/>
          <w:b/>
          <w:szCs w:val="24"/>
          <w:lang w:val="sr-Cyrl-CS"/>
        </w:rPr>
        <w:t>StarTech програм</w:t>
      </w:r>
      <w:r w:rsidRPr="00092ED7">
        <w:rPr>
          <w:rFonts w:eastAsia="Calibri" w:cs="Times New Roman"/>
          <w:b/>
          <w:szCs w:val="24"/>
          <w:vertAlign w:val="superscript"/>
          <w:lang w:val="sr-Cyrl-CS"/>
        </w:rPr>
        <w:footnoteReference w:id="113"/>
      </w:r>
      <w:r w:rsidRPr="00092ED7">
        <w:rPr>
          <w:rFonts w:eastAsia="Calibri" w:cs="Times New Roman"/>
          <w:szCs w:val="24"/>
          <w:lang w:val="sr-Cyrl-CS"/>
        </w:rPr>
        <w:t xml:space="preserve"> са циљем убрзања раста српских компанија и традиционалне економије засноване на пољопривреди и прерађивачкој индустрији у дигиталну, извозно оријентисану економију засновану на знању и иновацијама</w:t>
      </w:r>
      <w:r w:rsidRPr="00092ED7">
        <w:rPr>
          <w:rFonts w:eastAsia="Calibri" w:cs="Times New Roman"/>
          <w:szCs w:val="24"/>
          <w:vertAlign w:val="superscript"/>
          <w:lang w:val="sr-Cyrl-CS"/>
        </w:rPr>
        <w:footnoteReference w:id="114"/>
      </w:r>
      <w:r w:rsidRPr="00092ED7">
        <w:rPr>
          <w:rFonts w:eastAsia="Calibri" w:cs="Times New Roman"/>
          <w:szCs w:val="24"/>
          <w:lang w:val="sr-Cyrl-CS"/>
        </w:rPr>
        <w:t>. Други годишњи јавни позив</w:t>
      </w:r>
      <w:r w:rsidRPr="00092ED7">
        <w:rPr>
          <w:rStyle w:val="FootnoteReference"/>
          <w:rFonts w:eastAsia="Calibri" w:cs="Times New Roman"/>
          <w:szCs w:val="24"/>
          <w:lang w:val="sr-Cyrl-CS"/>
        </w:rPr>
        <w:footnoteReference w:id="115"/>
      </w:r>
      <w:r w:rsidRPr="00092ED7">
        <w:rPr>
          <w:rFonts w:eastAsia="Calibri" w:cs="Times New Roman"/>
          <w:szCs w:val="24"/>
          <w:lang w:val="sr-Cyrl-CS"/>
        </w:rPr>
        <w:t xml:space="preserve"> за доделу милион долара бесповратних финансијских средстава (вредност појединачних грантова 15.000-100.000 долара) и до 1.000 сати експертске подршке за реализацију бизнис планова, објављен је у марту 2022. године</w:t>
      </w:r>
      <w:r w:rsidRPr="00092ED7">
        <w:rPr>
          <w:rStyle w:val="FootnoteReference"/>
          <w:rFonts w:eastAsia="Calibri" w:cs="Times New Roman"/>
          <w:szCs w:val="24"/>
          <w:lang w:val="sr-Cyrl-CS"/>
        </w:rPr>
        <w:footnoteReference w:id="116"/>
      </w:r>
      <w:r w:rsidRPr="00092ED7">
        <w:rPr>
          <w:rFonts w:eastAsia="Calibri" w:cs="Times New Roman"/>
          <w:szCs w:val="24"/>
          <w:lang w:val="sr-Cyrl-CS"/>
        </w:rPr>
        <w:t>.</w:t>
      </w:r>
    </w:p>
    <w:p w14:paraId="599D792C" w14:textId="77777777" w:rsidR="00D210F0" w:rsidRPr="00092ED7" w:rsidRDefault="00D210F0" w:rsidP="00D210F0">
      <w:pPr>
        <w:widowControl w:val="0"/>
        <w:spacing w:after="60"/>
        <w:rPr>
          <w:rFonts w:eastAsia="Times New Roman" w:cs="Times New Roman"/>
          <w:color w:val="000000"/>
          <w:szCs w:val="24"/>
          <w:lang w:val="sr-Cyrl-CS"/>
        </w:rPr>
      </w:pPr>
      <w:r w:rsidRPr="00092ED7">
        <w:rPr>
          <w:rFonts w:eastAsia="Times New Roman" w:cs="Times New Roman"/>
          <w:b/>
          <w:color w:val="000000"/>
          <w:szCs w:val="24"/>
          <w:lang w:val="sr-Cyrl-CS"/>
        </w:rPr>
        <w:t>Комуникациону инфраструктуру у Републици Србији потребно је и даље унапређивати</w:t>
      </w:r>
      <w:r w:rsidRPr="00092ED7">
        <w:rPr>
          <w:rFonts w:eastAsia="Times New Roman" w:cs="Times New Roman"/>
          <w:color w:val="000000"/>
          <w:szCs w:val="24"/>
          <w:lang w:val="sr-Cyrl-CS"/>
        </w:rPr>
        <w:t xml:space="preserve">. </w:t>
      </w:r>
      <w:r w:rsidRPr="00092ED7">
        <w:rPr>
          <w:rFonts w:eastAsia="Times New Roman" w:cs="Times New Roman"/>
          <w:b/>
          <w:color w:val="000000"/>
          <w:szCs w:val="24"/>
          <w:lang w:val="sr-Cyrl-CS"/>
        </w:rPr>
        <w:t>Развој комуникационе инфраструктуре у руралним пределима</w:t>
      </w:r>
      <w:r w:rsidRPr="00092ED7">
        <w:rPr>
          <w:rFonts w:eastAsia="Times New Roman" w:cs="Times New Roman"/>
          <w:color w:val="000000"/>
          <w:szCs w:val="24"/>
          <w:lang w:val="sr-Cyrl-CS"/>
        </w:rPr>
        <w:t xml:space="preserve"> („белим или сивим зонама”) одвија се кроз</w:t>
      </w:r>
      <w:r w:rsidRPr="00092ED7">
        <w:rPr>
          <w:rFonts w:ascii="Calibri" w:eastAsia="Calibri" w:hAnsi="Calibri" w:cs="Times New Roman"/>
          <w:lang w:val="sr-Cyrl-CS"/>
        </w:rPr>
        <w:t xml:space="preserve"> </w:t>
      </w:r>
      <w:r w:rsidRPr="00092ED7">
        <w:rPr>
          <w:rFonts w:eastAsia="Times New Roman" w:cs="Times New Roman"/>
          <w:color w:val="000000"/>
          <w:szCs w:val="24"/>
          <w:lang w:val="sr-Cyrl-CS"/>
        </w:rPr>
        <w:t xml:space="preserve">пројекат „Изградња широкопојасне ИКТ у руралним пределима Републике Србије – Фаза 1”. Уговори са операторима електронских комуникација за изградњу широкопојасне приступне комуникационе инфраструктуре за 400 насеља закључени су до јула 2021. године, чиме су створени услови за изградњу приступне комуникационе инфраструктуре укупне дужине 1.500 км. </w:t>
      </w:r>
      <w:r w:rsidRPr="00092ED7">
        <w:rPr>
          <w:rFonts w:eastAsia="Times New Roman" w:cs="Times New Roman"/>
          <w:b/>
          <w:color w:val="000000"/>
          <w:szCs w:val="24"/>
          <w:lang w:val="sr-Cyrl-CS"/>
        </w:rPr>
        <w:t>Информационо-комуникациона инфраструктура у основним и средњим школама</w:t>
      </w:r>
      <w:r w:rsidRPr="00092ED7">
        <w:rPr>
          <w:rFonts w:eastAsia="Times New Roman" w:cs="Times New Roman"/>
          <w:color w:val="000000"/>
          <w:szCs w:val="24"/>
          <w:lang w:val="sr-Cyrl-CS"/>
        </w:rPr>
        <w:t xml:space="preserve"> у Републици Србији, која се одвија се кроз Пројекат „Повезане школе”, биће </w:t>
      </w:r>
      <w:r w:rsidRPr="00092ED7">
        <w:rPr>
          <w:rFonts w:eastAsia="Times New Roman" w:cs="Times New Roman"/>
          <w:b/>
          <w:color w:val="000000"/>
          <w:szCs w:val="24"/>
          <w:lang w:val="sr-Cyrl-CS"/>
        </w:rPr>
        <w:t xml:space="preserve">унапређена </w:t>
      </w:r>
      <w:r w:rsidRPr="00092ED7">
        <w:rPr>
          <w:rFonts w:eastAsia="Times New Roman" w:cs="Times New Roman"/>
          <w:color w:val="000000"/>
          <w:szCs w:val="24"/>
          <w:lang w:val="sr-Cyrl-CS"/>
        </w:rPr>
        <w:t xml:space="preserve">увођењем брзог и поузданог интернета </w:t>
      </w:r>
      <w:r w:rsidRPr="00092ED7">
        <w:rPr>
          <w:rFonts w:eastAsia="Times New Roman" w:cs="Times New Roman"/>
          <w:b/>
          <w:color w:val="000000"/>
          <w:szCs w:val="24"/>
          <w:lang w:val="sr-Cyrl-CS"/>
        </w:rPr>
        <w:t>у око 1.800 школа.</w:t>
      </w:r>
    </w:p>
    <w:p w14:paraId="093E6481" w14:textId="42A6BB24" w:rsidR="00D210F0" w:rsidRPr="00092ED7" w:rsidRDefault="00D210F0" w:rsidP="00D210F0">
      <w:pPr>
        <w:widowControl w:val="0"/>
        <w:spacing w:after="60"/>
        <w:rPr>
          <w:rFonts w:eastAsia="Calibri" w:cs="Times New Roman"/>
          <w:szCs w:val="24"/>
          <w:lang w:val="sr-Cyrl-CS"/>
        </w:rPr>
      </w:pPr>
      <w:r w:rsidRPr="00092ED7">
        <w:rPr>
          <w:rFonts w:eastAsia="Calibri" w:cs="Times New Roman"/>
          <w:b/>
          <w:szCs w:val="24"/>
          <w:lang w:val="sr-Cyrl-CS"/>
        </w:rPr>
        <w:t>Електронске услуге</w:t>
      </w:r>
      <w:r w:rsidRPr="00092ED7">
        <w:rPr>
          <w:rFonts w:eastAsia="Calibri" w:cs="Times New Roman"/>
          <w:szCs w:val="24"/>
          <w:lang w:val="sr-Cyrl-CS"/>
        </w:rPr>
        <w:t xml:space="preserve"> препознате као кључни катализатори дигиталне трансформације јавне управе - </w:t>
      </w:r>
      <w:r w:rsidRPr="00092ED7">
        <w:rPr>
          <w:rFonts w:eastAsia="Calibri" w:cs="Times New Roman"/>
          <w:b/>
          <w:szCs w:val="24"/>
          <w:lang w:val="sr-Cyrl-CS"/>
        </w:rPr>
        <w:t>„Потпис у клауду</w:t>
      </w:r>
      <w:r w:rsidR="007731E9" w:rsidRPr="00092ED7">
        <w:rPr>
          <w:rFonts w:cs="Times New Roman"/>
          <w:b/>
          <w:szCs w:val="24"/>
          <w:lang w:val="sr-Cyrl-CS"/>
        </w:rPr>
        <w:t>”</w:t>
      </w:r>
      <w:r w:rsidRPr="00092ED7">
        <w:rPr>
          <w:rFonts w:eastAsia="Calibri" w:cs="Times New Roman"/>
          <w:b/>
          <w:szCs w:val="24"/>
          <w:lang w:val="sr-Cyrl-CS"/>
        </w:rPr>
        <w:t xml:space="preserve"> и Портал за плаћање административних такси</w:t>
      </w:r>
      <w:r w:rsidRPr="00092ED7">
        <w:rPr>
          <w:rFonts w:eastAsia="Calibri" w:cs="Times New Roman"/>
          <w:szCs w:val="24"/>
          <w:lang w:val="sr-Cyrl-CS"/>
        </w:rPr>
        <w:t xml:space="preserve">, развијене су од стране </w:t>
      </w:r>
      <w:r w:rsidR="00DE4389" w:rsidRPr="00092ED7">
        <w:rPr>
          <w:rFonts w:eastAsia="Calibri" w:cs="Times New Roman"/>
          <w:szCs w:val="24"/>
          <w:lang w:val="sr-Cyrl-CS"/>
        </w:rPr>
        <w:t>Канцеларије за информационе технологије и електронску управу</w:t>
      </w:r>
      <w:r w:rsidRPr="00092ED7">
        <w:rPr>
          <w:rFonts w:eastAsia="Calibri" w:cs="Times New Roman"/>
          <w:szCs w:val="24"/>
          <w:lang w:val="sr-Cyrl-CS"/>
        </w:rPr>
        <w:t xml:space="preserve">. За развој ових услуга, Канцеларија </w:t>
      </w:r>
      <w:r w:rsidR="00DE4389" w:rsidRPr="00092ED7">
        <w:rPr>
          <w:rFonts w:eastAsia="Calibri" w:cs="Times New Roman"/>
          <w:szCs w:val="24"/>
          <w:lang w:val="sr-Cyrl-CS"/>
        </w:rPr>
        <w:t xml:space="preserve">за информационе технологије и електронску управу </w:t>
      </w:r>
      <w:r w:rsidRPr="00092ED7">
        <w:rPr>
          <w:rFonts w:eastAsia="Calibri" w:cs="Times New Roman"/>
          <w:szCs w:val="24"/>
          <w:lang w:val="sr-Cyrl-CS"/>
        </w:rPr>
        <w:t xml:space="preserve">је добила </w:t>
      </w:r>
      <w:r w:rsidRPr="00092ED7">
        <w:rPr>
          <w:rFonts w:eastAsia="Calibri" w:cs="Times New Roman"/>
          <w:b/>
          <w:szCs w:val="24"/>
          <w:lang w:val="sr-Cyrl-CS"/>
        </w:rPr>
        <w:t>Награду за јавну управу 2022</w:t>
      </w:r>
      <w:r w:rsidRPr="00092ED7">
        <w:rPr>
          <w:rFonts w:eastAsia="Calibri" w:cs="Times New Roman"/>
          <w:szCs w:val="24"/>
          <w:lang w:val="sr-Cyrl-CS"/>
        </w:rPr>
        <w:t xml:space="preserve"> (</w:t>
      </w:r>
      <w:r w:rsidRPr="00092ED7">
        <w:rPr>
          <w:rFonts w:eastAsia="Calibri" w:cs="Times New Roman"/>
          <w:i/>
          <w:szCs w:val="24"/>
          <w:lang w:val="sr-Cyrl-CS"/>
        </w:rPr>
        <w:t>Public Administration Awards</w:t>
      </w:r>
      <w:r w:rsidRPr="00092ED7">
        <w:rPr>
          <w:rFonts w:eastAsia="Calibri" w:cs="Times New Roman"/>
          <w:szCs w:val="24"/>
          <w:lang w:val="sr-Cyrl-CS"/>
        </w:rPr>
        <w:t xml:space="preserve"> 2022) од стране ReSPA и OECD/SIGMA</w:t>
      </w:r>
      <w:r w:rsidRPr="00092ED7">
        <w:rPr>
          <w:rStyle w:val="FootnoteReference"/>
          <w:rFonts w:eastAsia="Calibri" w:cs="Times New Roman"/>
          <w:szCs w:val="24"/>
          <w:lang w:val="sr-Cyrl-CS"/>
        </w:rPr>
        <w:footnoteReference w:id="117"/>
      </w:r>
      <w:r w:rsidRPr="00092ED7">
        <w:rPr>
          <w:rFonts w:eastAsia="Calibri" w:cs="Times New Roman"/>
          <w:szCs w:val="24"/>
          <w:lang w:val="sr-Cyrl-CS"/>
        </w:rPr>
        <w:t xml:space="preserve"> као организатора ове иницијативе.</w:t>
      </w:r>
    </w:p>
    <w:p w14:paraId="39A26256" w14:textId="11662681" w:rsidR="00D210F0" w:rsidRPr="00092ED7" w:rsidRDefault="00D210F0" w:rsidP="00D210F0">
      <w:pPr>
        <w:widowControl w:val="0"/>
        <w:spacing w:after="60"/>
        <w:rPr>
          <w:rFonts w:eastAsia="Times New Roman" w:cs="Times New Roman"/>
          <w:color w:val="000000"/>
          <w:szCs w:val="24"/>
          <w:lang w:val="sr-Cyrl-CS"/>
        </w:rPr>
      </w:pPr>
      <w:r w:rsidRPr="00092ED7">
        <w:rPr>
          <w:rFonts w:eastAsia="Times New Roman" w:cs="Times New Roman"/>
          <w:b/>
          <w:color w:val="000000"/>
          <w:szCs w:val="24"/>
          <w:lang w:val="sr-Cyrl-CS"/>
        </w:rPr>
        <w:t>Фокус Владе је на позиционирању националног портала еУправа као централног места за пружање е-услуга.</w:t>
      </w:r>
      <w:r w:rsidRPr="00092ED7">
        <w:rPr>
          <w:rFonts w:eastAsia="Times New Roman" w:cs="Times New Roman"/>
          <w:color w:val="000000"/>
          <w:szCs w:val="24"/>
          <w:lang w:val="sr-Cyrl-CS"/>
        </w:rPr>
        <w:t xml:space="preserve"> </w:t>
      </w:r>
      <w:r w:rsidRPr="00092ED7">
        <w:rPr>
          <w:rFonts w:eastAsia="Calibri" w:cs="Times New Roman"/>
          <w:szCs w:val="24"/>
          <w:lang w:val="sr-Cyrl-CS"/>
        </w:rPr>
        <w:t xml:space="preserve">Канцеларија </w:t>
      </w:r>
      <w:r w:rsidR="00DE4389" w:rsidRPr="00092ED7">
        <w:rPr>
          <w:rFonts w:eastAsia="Calibri" w:cs="Times New Roman"/>
          <w:szCs w:val="24"/>
          <w:lang w:val="sr-Cyrl-CS"/>
        </w:rPr>
        <w:t xml:space="preserve">за информационе технологије и електронску управу </w:t>
      </w:r>
      <w:r w:rsidRPr="00092ED7">
        <w:rPr>
          <w:rFonts w:eastAsia="Calibri" w:cs="Times New Roman"/>
          <w:szCs w:val="24"/>
          <w:lang w:val="sr-Cyrl-CS"/>
        </w:rPr>
        <w:t xml:space="preserve">у кратком периоду је успела да допринесе интензивном развоју услуга и инфраструктуре електронске управе, дигиталној трансформацији јавне управе, напретку дигиталне економије, али и препознатљивости и поверењу грађана у еУправу. </w:t>
      </w:r>
    </w:p>
    <w:p w14:paraId="25A33CEF" w14:textId="1BE60F06" w:rsidR="00D210F0" w:rsidRPr="00092ED7" w:rsidRDefault="00D210F0" w:rsidP="00D210F0">
      <w:pPr>
        <w:widowControl w:val="0"/>
        <w:spacing w:after="60"/>
        <w:rPr>
          <w:rFonts w:eastAsia="Times New Roman" w:cs="Times New Roman"/>
          <w:color w:val="000000"/>
          <w:szCs w:val="24"/>
          <w:lang w:val="sr-Cyrl-CS"/>
        </w:rPr>
      </w:pPr>
      <w:r w:rsidRPr="00092ED7">
        <w:rPr>
          <w:rFonts w:eastAsia="Times New Roman" w:cs="Times New Roman"/>
          <w:b/>
          <w:color w:val="000000"/>
          <w:szCs w:val="24"/>
          <w:lang w:val="sr-Cyrl-CS"/>
        </w:rPr>
        <w:t xml:space="preserve">Комплекс </w:t>
      </w:r>
      <w:r w:rsidR="00814682" w:rsidRPr="00092ED7">
        <w:rPr>
          <w:rFonts w:eastAsia="Times New Roman" w:cs="Times New Roman"/>
          <w:b/>
          <w:color w:val="000000"/>
          <w:szCs w:val="24"/>
          <w:lang w:val="sr-Cyrl-CS"/>
        </w:rPr>
        <w:t xml:space="preserve">Државног дата центра за управљање и чување података у Крагујевцу (у даљем тексту: ДДЦ) </w:t>
      </w:r>
      <w:r w:rsidRPr="00092ED7">
        <w:rPr>
          <w:rFonts w:eastAsia="Times New Roman" w:cs="Times New Roman"/>
          <w:color w:val="000000"/>
          <w:szCs w:val="24"/>
          <w:lang w:val="sr-Cyrl-CS"/>
        </w:rPr>
        <w:t xml:space="preserve">заокружен је отварањем објекта </w:t>
      </w:r>
      <w:r w:rsidR="001571AD" w:rsidRPr="00092ED7">
        <w:rPr>
          <w:rFonts w:eastAsia="Times New Roman" w:cs="Times New Roman"/>
          <w:color w:val="000000"/>
          <w:szCs w:val="24"/>
          <w:lang w:val="sr-Cyrl-CS"/>
        </w:rPr>
        <w:t xml:space="preserve">2 </w:t>
      </w:r>
      <w:r w:rsidRPr="00092ED7">
        <w:rPr>
          <w:rFonts w:eastAsia="Times New Roman" w:cs="Times New Roman"/>
          <w:color w:val="000000"/>
          <w:szCs w:val="24"/>
          <w:lang w:val="sr-Cyrl-CS"/>
        </w:rPr>
        <w:t>са посебним техничким функционалностима у складу са потребама безбедносних служби јула 2022. године, поред већ постојећег објекта 1, који је намењен државној управи, локалној самоуправи, као и комерцијалним корисницима. Његовом и</w:t>
      </w:r>
      <w:r w:rsidRPr="00092ED7">
        <w:rPr>
          <w:rFonts w:eastAsia="Calibri" w:cs="Times New Roman"/>
          <w:szCs w:val="24"/>
          <w:lang w:val="sr-Cyrl-CS"/>
        </w:rPr>
        <w:t xml:space="preserve">зградњом, као и имплементацијом многих електронских услуга (Бебо, добро дошла на свет; еВртић; еУпис; Моја средња школа; еСандуче; електронски потпис у клауду и друге), обезбеђен је даљи убрзан развој у дигитализацији јавне управе у </w:t>
      </w:r>
      <w:r w:rsidR="00F66084" w:rsidRPr="00092ED7">
        <w:rPr>
          <w:rFonts w:eastAsia="Calibri" w:cs="Times New Roman"/>
          <w:szCs w:val="24"/>
          <w:lang w:val="sr-Cyrl-CS"/>
        </w:rPr>
        <w:t xml:space="preserve">Републици </w:t>
      </w:r>
      <w:r w:rsidRPr="00092ED7">
        <w:rPr>
          <w:rFonts w:eastAsia="Calibri" w:cs="Times New Roman"/>
          <w:szCs w:val="24"/>
          <w:lang w:val="sr-Cyrl-CS"/>
        </w:rPr>
        <w:t>Србији.</w:t>
      </w:r>
      <w:r w:rsidRPr="00092ED7">
        <w:rPr>
          <w:rFonts w:eastAsia="Times New Roman" w:cs="Times New Roman"/>
          <w:color w:val="000000"/>
          <w:szCs w:val="24"/>
          <w:lang w:val="sr-Cyrl-CS"/>
        </w:rPr>
        <w:t xml:space="preserve"> На порталу за аутентикацију корисника електронске управе (еИД) регистровано је 1.498.908 налога грађана (еГрађани) до новембра 2022. године (у просеку се дневно региструје 1.316 грађана).</w:t>
      </w:r>
    </w:p>
    <w:p w14:paraId="02655F71" w14:textId="63DB2BD3" w:rsidR="00191E06" w:rsidRPr="00092ED7" w:rsidRDefault="00F66084" w:rsidP="00D210F0">
      <w:pPr>
        <w:widowControl w:val="0"/>
        <w:spacing w:after="60"/>
        <w:rPr>
          <w:rFonts w:eastAsia="Calibri" w:cs="Times New Roman"/>
          <w:szCs w:val="24"/>
          <w:lang w:val="sr-Cyrl-CS"/>
        </w:rPr>
      </w:pPr>
      <w:r w:rsidRPr="00092ED7">
        <w:rPr>
          <w:rFonts w:eastAsia="Times New Roman" w:cs="Times New Roman"/>
          <w:color w:val="000000"/>
          <w:szCs w:val="24"/>
          <w:lang w:val="sr-Cyrl-CS"/>
        </w:rPr>
        <w:t xml:space="preserve">Република </w:t>
      </w:r>
      <w:r w:rsidR="00191E06" w:rsidRPr="00092ED7">
        <w:rPr>
          <w:rFonts w:eastAsia="Times New Roman" w:cs="Times New Roman"/>
          <w:color w:val="000000"/>
          <w:szCs w:val="24"/>
          <w:lang w:val="sr-Cyrl-CS"/>
        </w:rPr>
        <w:t xml:space="preserve">Србија је четврта у Европи (после </w:t>
      </w:r>
      <w:r w:rsidR="006E4DE0" w:rsidRPr="00092ED7">
        <w:rPr>
          <w:rFonts w:eastAsia="Times New Roman" w:cs="Times New Roman"/>
          <w:color w:val="000000"/>
          <w:szCs w:val="24"/>
          <w:lang w:val="sr-Cyrl-CS"/>
        </w:rPr>
        <w:t xml:space="preserve">Република </w:t>
      </w:r>
      <w:r w:rsidR="00191E06" w:rsidRPr="00092ED7">
        <w:rPr>
          <w:rFonts w:eastAsia="Times New Roman" w:cs="Times New Roman"/>
          <w:color w:val="000000"/>
          <w:szCs w:val="24"/>
          <w:lang w:val="sr-Cyrl-CS"/>
        </w:rPr>
        <w:t>Естоније, Француске</w:t>
      </w:r>
      <w:r w:rsidR="006E4DE0" w:rsidRPr="00092ED7">
        <w:rPr>
          <w:rFonts w:eastAsia="Times New Roman" w:cs="Times New Roman"/>
          <w:color w:val="000000"/>
          <w:szCs w:val="24"/>
          <w:lang w:val="sr-Cyrl-CS"/>
        </w:rPr>
        <w:t xml:space="preserve"> Републике </w:t>
      </w:r>
      <w:r w:rsidR="00191E06" w:rsidRPr="00092ED7">
        <w:rPr>
          <w:rFonts w:eastAsia="Times New Roman" w:cs="Times New Roman"/>
          <w:color w:val="000000"/>
          <w:szCs w:val="24"/>
          <w:lang w:val="sr-Cyrl-CS"/>
        </w:rPr>
        <w:t xml:space="preserve"> и </w:t>
      </w:r>
      <w:r w:rsidR="006E4DE0" w:rsidRPr="00092ED7">
        <w:rPr>
          <w:rFonts w:eastAsia="Times New Roman" w:cs="Times New Roman"/>
          <w:color w:val="000000"/>
          <w:szCs w:val="24"/>
          <w:lang w:val="sr-Cyrl-CS"/>
        </w:rPr>
        <w:t>Литванске Републике</w:t>
      </w:r>
      <w:r w:rsidR="00191E06" w:rsidRPr="00092ED7">
        <w:rPr>
          <w:rFonts w:eastAsia="Times New Roman" w:cs="Times New Roman"/>
          <w:color w:val="000000"/>
          <w:szCs w:val="24"/>
          <w:lang w:val="sr-Cyrl-CS"/>
        </w:rPr>
        <w:t xml:space="preserve">) и 11. у свету (од 198 држава) по </w:t>
      </w:r>
      <w:r w:rsidR="00191E06" w:rsidRPr="00092ED7">
        <w:rPr>
          <w:rFonts w:eastAsia="Times New Roman" w:cs="Times New Roman"/>
          <w:b/>
          <w:i/>
          <w:color w:val="000000"/>
          <w:szCs w:val="24"/>
          <w:lang w:val="sr-Cyrl-CS"/>
        </w:rPr>
        <w:t>GovTech индексу зрелости технологија у јавној управи</w:t>
      </w:r>
      <w:r w:rsidR="00191E06" w:rsidRPr="00092ED7">
        <w:rPr>
          <w:rFonts w:eastAsia="Times New Roman" w:cs="Times New Roman"/>
          <w:color w:val="000000"/>
          <w:szCs w:val="24"/>
          <w:lang w:val="sr-Cyrl-CS"/>
        </w:rPr>
        <w:t xml:space="preserve"> који утврђује Светска банка, а који мери унапређење свих аспеката државне управе кроз дигитализацију. </w:t>
      </w:r>
      <w:r w:rsidRPr="00092ED7">
        <w:rPr>
          <w:rFonts w:eastAsia="Times New Roman" w:cs="Times New Roman"/>
          <w:color w:val="000000"/>
          <w:szCs w:val="24"/>
          <w:lang w:val="sr-Cyrl-CS"/>
        </w:rPr>
        <w:t xml:space="preserve">Република </w:t>
      </w:r>
      <w:r w:rsidR="00191E06" w:rsidRPr="00092ED7">
        <w:rPr>
          <w:rFonts w:eastAsia="Times New Roman" w:cs="Times New Roman"/>
          <w:color w:val="000000"/>
          <w:szCs w:val="24"/>
          <w:lang w:val="sr-Cyrl-CS"/>
        </w:rPr>
        <w:t>Србија је за само две године напредовала 40 позиција, што је сврстава у најуспешније у свету.</w:t>
      </w:r>
    </w:p>
    <w:p w14:paraId="060B1186" w14:textId="6A2D24E7" w:rsidR="00D210F0" w:rsidRPr="00092ED7" w:rsidRDefault="00D210F0" w:rsidP="00D210F0">
      <w:pPr>
        <w:widowControl w:val="0"/>
        <w:spacing w:after="60"/>
        <w:rPr>
          <w:rFonts w:eastAsia="Calibri" w:cs="Times New Roman"/>
          <w:szCs w:val="24"/>
          <w:lang w:val="sr-Cyrl-CS"/>
        </w:rPr>
      </w:pPr>
      <w:r w:rsidRPr="00092ED7">
        <w:rPr>
          <w:rFonts w:eastAsia="Calibri" w:cs="Times New Roman"/>
          <w:szCs w:val="24"/>
          <w:lang w:val="sr-Cyrl-CS"/>
        </w:rPr>
        <w:t>Централни информациони систем у области угоститељства и туризма</w:t>
      </w:r>
      <w:r w:rsidRPr="00092ED7">
        <w:rPr>
          <w:rFonts w:eastAsia="Calibri" w:cs="Times New Roman"/>
          <w:b/>
          <w:szCs w:val="24"/>
          <w:lang w:val="sr-Cyrl-CS"/>
        </w:rPr>
        <w:t xml:space="preserve"> еТуриста</w:t>
      </w:r>
      <w:r w:rsidRPr="00092ED7">
        <w:rPr>
          <w:rFonts w:eastAsia="Calibri" w:cs="Times New Roman"/>
          <w:szCs w:val="24"/>
          <w:lang w:val="sr-Cyrl-CS"/>
        </w:rPr>
        <w:t xml:space="preserve"> од почетка 2022. године је извор податка о туристичком промету (број долазака и ноћења туриста) и смештајним капацитетима, које објављује </w:t>
      </w:r>
      <w:r w:rsidR="00F66084" w:rsidRPr="00092ED7">
        <w:rPr>
          <w:rFonts w:eastAsia="Calibri" w:cs="Times New Roman"/>
          <w:szCs w:val="24"/>
          <w:lang w:val="sr-Cyrl-CS"/>
        </w:rPr>
        <w:t>РЗ</w:t>
      </w:r>
      <w:r w:rsidR="001571AD" w:rsidRPr="00092ED7">
        <w:rPr>
          <w:rFonts w:eastAsia="Calibri" w:cs="Times New Roman"/>
          <w:szCs w:val="24"/>
          <w:lang w:val="sr-Cyrl-CS"/>
        </w:rPr>
        <w:t>С</w:t>
      </w:r>
      <w:r w:rsidRPr="00092ED7">
        <w:rPr>
          <w:rFonts w:eastAsia="Calibri" w:cs="Times New Roman"/>
          <w:szCs w:val="24"/>
          <w:lang w:val="sr-Cyrl-CS"/>
        </w:rPr>
        <w:t xml:space="preserve">. Укупно је </w:t>
      </w:r>
      <w:r w:rsidR="007F63ED" w:rsidRPr="00092ED7">
        <w:rPr>
          <w:rFonts w:eastAsia="Calibri" w:cs="Times New Roman"/>
          <w:szCs w:val="24"/>
          <w:lang w:val="sr-Cyrl-CS"/>
        </w:rPr>
        <w:t xml:space="preserve">евидентирано </w:t>
      </w:r>
      <w:r w:rsidR="005F450F" w:rsidRPr="00092ED7">
        <w:rPr>
          <w:rFonts w:eastAsia="Calibri" w:cs="Times New Roman"/>
          <w:szCs w:val="24"/>
          <w:lang w:val="sr-Cyrl-CS"/>
        </w:rPr>
        <w:t>21.690</w:t>
      </w:r>
      <w:r w:rsidRPr="00092ED7">
        <w:rPr>
          <w:rFonts w:eastAsia="Calibri" w:cs="Times New Roman"/>
          <w:szCs w:val="24"/>
          <w:lang w:val="sr-Cyrl-CS"/>
        </w:rPr>
        <w:t xml:space="preserve"> објеката са 66.</w:t>
      </w:r>
      <w:r w:rsidR="005F450F" w:rsidRPr="00092ED7">
        <w:rPr>
          <w:rFonts w:eastAsia="Calibri" w:cs="Times New Roman"/>
          <w:szCs w:val="24"/>
          <w:lang w:val="sr-Cyrl-CS"/>
        </w:rPr>
        <w:t xml:space="preserve">389 </w:t>
      </w:r>
      <w:r w:rsidRPr="00092ED7">
        <w:rPr>
          <w:rFonts w:eastAsia="Calibri" w:cs="Times New Roman"/>
          <w:szCs w:val="24"/>
          <w:lang w:val="sr-Cyrl-CS"/>
        </w:rPr>
        <w:t>смештајном јединицом и 15</w:t>
      </w:r>
      <w:r w:rsidR="005F450F" w:rsidRPr="00092ED7">
        <w:rPr>
          <w:rFonts w:eastAsia="Calibri" w:cs="Times New Roman"/>
          <w:szCs w:val="24"/>
          <w:lang w:val="sr-Cyrl-CS"/>
        </w:rPr>
        <w:t>8</w:t>
      </w:r>
      <w:r w:rsidRPr="00092ED7">
        <w:rPr>
          <w:rFonts w:eastAsia="Calibri" w:cs="Times New Roman"/>
          <w:szCs w:val="24"/>
          <w:lang w:val="sr-Cyrl-CS"/>
        </w:rPr>
        <w:t>.</w:t>
      </w:r>
      <w:r w:rsidR="005F450F" w:rsidRPr="00092ED7">
        <w:rPr>
          <w:rFonts w:eastAsia="Calibri" w:cs="Times New Roman"/>
          <w:szCs w:val="24"/>
          <w:lang w:val="sr-Cyrl-CS"/>
        </w:rPr>
        <w:t xml:space="preserve">587 </w:t>
      </w:r>
      <w:r w:rsidR="004259F1" w:rsidRPr="00092ED7">
        <w:rPr>
          <w:rFonts w:eastAsia="Calibri" w:cs="Times New Roman"/>
          <w:szCs w:val="24"/>
          <w:lang w:val="sr-Cyrl-CS"/>
        </w:rPr>
        <w:t xml:space="preserve">индивидуалних </w:t>
      </w:r>
      <w:r w:rsidRPr="00092ED7">
        <w:rPr>
          <w:rFonts w:eastAsia="Calibri" w:cs="Times New Roman"/>
          <w:szCs w:val="24"/>
          <w:lang w:val="sr-Cyrl-CS"/>
        </w:rPr>
        <w:t xml:space="preserve">лежаја закључно са </w:t>
      </w:r>
      <w:r w:rsidR="005F450F" w:rsidRPr="00092ED7">
        <w:rPr>
          <w:rFonts w:eastAsia="Calibri" w:cs="Times New Roman"/>
          <w:szCs w:val="24"/>
          <w:lang w:val="sr-Cyrl-CS"/>
        </w:rPr>
        <w:t xml:space="preserve">децембром </w:t>
      </w:r>
      <w:r w:rsidRPr="00092ED7">
        <w:rPr>
          <w:rFonts w:eastAsia="Calibri" w:cs="Times New Roman"/>
          <w:szCs w:val="24"/>
          <w:lang w:val="sr-Cyrl-CS"/>
        </w:rPr>
        <w:t>2022. године.</w:t>
      </w:r>
    </w:p>
    <w:p w14:paraId="71AC003F" w14:textId="5784A49E" w:rsidR="00D210F0" w:rsidRPr="00092ED7" w:rsidRDefault="00D210F0" w:rsidP="00D210F0">
      <w:pPr>
        <w:widowControl w:val="0"/>
        <w:spacing w:after="60"/>
        <w:rPr>
          <w:rFonts w:eastAsia="Calibri" w:cs="Times New Roman"/>
          <w:szCs w:val="24"/>
          <w:lang w:val="sr-Cyrl-CS"/>
        </w:rPr>
      </w:pPr>
      <w:r w:rsidRPr="00092ED7">
        <w:rPr>
          <w:rFonts w:eastAsia="Calibri" w:cs="Times New Roman"/>
          <w:szCs w:val="24"/>
          <w:lang w:val="sr-Cyrl-CS"/>
        </w:rPr>
        <w:t xml:space="preserve">Република Србија је почела да ради на </w:t>
      </w:r>
      <w:r w:rsidRPr="00092ED7">
        <w:rPr>
          <w:rFonts w:eastAsia="Calibri" w:cs="Times New Roman"/>
          <w:b/>
          <w:szCs w:val="24"/>
          <w:lang w:val="sr-Cyrl-CS"/>
        </w:rPr>
        <w:t xml:space="preserve">дигитализацији процеса припреме документа </w:t>
      </w:r>
      <w:r w:rsidRPr="00092ED7">
        <w:rPr>
          <w:rFonts w:eastAsia="Calibri" w:cs="Times New Roman"/>
          <w:szCs w:val="24"/>
          <w:lang w:val="sr-Cyrl-CS"/>
        </w:rPr>
        <w:t>ЕРП</w:t>
      </w:r>
      <w:r w:rsidR="00397651" w:rsidRPr="00092ED7">
        <w:rPr>
          <w:rFonts w:eastAsia="Calibri" w:cs="Times New Roman"/>
          <w:szCs w:val="24"/>
          <w:lang w:val="sr-Cyrl-CS"/>
        </w:rPr>
        <w:t xml:space="preserve"> </w:t>
      </w:r>
      <w:r w:rsidRPr="00092ED7">
        <w:rPr>
          <w:rFonts w:eastAsia="Calibri" w:cs="Times New Roman"/>
          <w:szCs w:val="24"/>
          <w:lang w:val="sr-Cyrl-CS"/>
        </w:rPr>
        <w:t xml:space="preserve">кроз пилот пројекат. </w:t>
      </w:r>
      <w:r w:rsidRPr="00092ED7">
        <w:rPr>
          <w:rFonts w:eastAsia="Calibri" w:cs="Times New Roman"/>
          <w:b/>
          <w:szCs w:val="24"/>
          <w:lang w:val="sr-Cyrl-CS"/>
        </w:rPr>
        <w:t>ЕРП Портал</w:t>
      </w:r>
      <w:r w:rsidRPr="00092ED7">
        <w:rPr>
          <w:rFonts w:eastAsia="Calibri" w:cs="Times New Roman"/>
          <w:szCs w:val="24"/>
          <w:lang w:val="sr-Cyrl-CS"/>
        </w:rPr>
        <w:t xml:space="preserve"> ће дигитализовати процес израде документа, од анализе главних препрека по областима, предлагања структурних реформи</w:t>
      </w:r>
      <w:r w:rsidR="0038742E" w:rsidRPr="00092ED7">
        <w:rPr>
          <w:rFonts w:eastAsia="Calibri" w:cs="Times New Roman"/>
          <w:szCs w:val="24"/>
          <w:lang w:val="sr-Cyrl-CS"/>
        </w:rPr>
        <w:t>,</w:t>
      </w:r>
      <w:r w:rsidRPr="00092ED7">
        <w:rPr>
          <w:rFonts w:eastAsia="Calibri" w:cs="Times New Roman"/>
          <w:szCs w:val="24"/>
          <w:lang w:val="sr-Cyrl-CS"/>
        </w:rPr>
        <w:t xml:space="preserve"> до дефинисања трошкова и извора финансирања. Очекује се да ће од следећег ЕРП циклуса портал бити оперативан.</w:t>
      </w:r>
    </w:p>
    <w:p w14:paraId="6E92550E" w14:textId="122B6EBF" w:rsidR="00D210F0" w:rsidRPr="00092ED7" w:rsidRDefault="00D210F0" w:rsidP="00D210F0">
      <w:pPr>
        <w:widowControl w:val="0"/>
        <w:spacing w:after="60"/>
        <w:rPr>
          <w:rFonts w:eastAsia="Calibri" w:cs="Times New Roman"/>
          <w:szCs w:val="24"/>
          <w:lang w:val="sr-Cyrl-CS"/>
        </w:rPr>
      </w:pPr>
      <w:r w:rsidRPr="00092ED7">
        <w:rPr>
          <w:rFonts w:eastAsia="Calibri" w:cs="Times New Roman"/>
          <w:b/>
          <w:szCs w:val="24"/>
          <w:lang w:val="sr-Cyrl-CS"/>
        </w:rPr>
        <w:t>Портал еКонсултације</w:t>
      </w:r>
      <w:r w:rsidRPr="00092ED7">
        <w:rPr>
          <w:rFonts w:eastAsia="Calibri" w:cs="Times New Roman"/>
          <w:szCs w:val="24"/>
          <w:lang w:val="sr-Cyrl-CS"/>
        </w:rPr>
        <w:t xml:space="preserve"> (саставни део портала еУправа) доприноси равноправнијем учешћу јавности, пре свега грађана у процесу припреме и усвајања прописа и докумената јавних политика. (</w:t>
      </w:r>
      <w:r w:rsidRPr="00092ED7">
        <w:rPr>
          <w:rFonts w:eastAsia="Times New Roman" w:cs="Times New Roman"/>
          <w:color w:val="000000"/>
          <w:szCs w:val="24"/>
          <w:lang w:val="sr-Cyrl-CS"/>
        </w:rPr>
        <w:t xml:space="preserve">више у Кључном изазову </w:t>
      </w:r>
      <w:r w:rsidRPr="00092ED7">
        <w:rPr>
          <w:rFonts w:eastAsia="Calibri" w:cs="Times New Roman"/>
          <w:szCs w:val="24"/>
          <w:lang w:val="sr-Cyrl-CS"/>
        </w:rPr>
        <w:t xml:space="preserve">2: </w:t>
      </w:r>
      <w:r w:rsidRPr="00092ED7">
        <w:rPr>
          <w:rFonts w:eastAsia="Calibri" w:cs="Times New Roman"/>
          <w:i/>
          <w:szCs w:val="24"/>
          <w:lang w:val="sr-Cyrl-CS"/>
        </w:rPr>
        <w:t>Унапређење пословног амбијента повољнијег за инвестиције,</w:t>
      </w:r>
      <w:r w:rsidRPr="00092ED7">
        <w:rPr>
          <w:rFonts w:eastAsia="Times New Roman" w:cs="Times New Roman"/>
          <w:color w:val="000000"/>
          <w:szCs w:val="24"/>
          <w:lang w:val="sr-Cyrl-CS"/>
        </w:rPr>
        <w:t xml:space="preserve"> стр. </w:t>
      </w:r>
      <w:r w:rsidR="00F51079" w:rsidRPr="00092ED7">
        <w:rPr>
          <w:rFonts w:eastAsia="Times New Roman" w:cs="Times New Roman"/>
          <w:color w:val="000000"/>
          <w:szCs w:val="24"/>
          <w:lang w:val="sr-Cyrl-CS"/>
        </w:rPr>
        <w:t>88</w:t>
      </w:r>
      <w:r w:rsidRPr="00092ED7">
        <w:rPr>
          <w:rFonts w:eastAsia="Calibri" w:cs="Times New Roman"/>
          <w:szCs w:val="24"/>
          <w:lang w:val="sr-Cyrl-CS"/>
        </w:rPr>
        <w:t>)</w:t>
      </w:r>
    </w:p>
    <w:p w14:paraId="7ED5E574" w14:textId="274456BA" w:rsidR="00D210F0" w:rsidRPr="00092ED7" w:rsidRDefault="00D210F0" w:rsidP="00D210F0">
      <w:pPr>
        <w:widowControl w:val="0"/>
        <w:spacing w:after="60"/>
        <w:rPr>
          <w:rFonts w:eastAsia="Calibri" w:cs="Times New Roman"/>
          <w:szCs w:val="24"/>
          <w:lang w:val="sr-Cyrl-CS"/>
        </w:rPr>
      </w:pPr>
      <w:r w:rsidRPr="00092ED7">
        <w:rPr>
          <w:rFonts w:eastAsia="Calibri" w:cs="Times New Roman"/>
          <w:szCs w:val="24"/>
          <w:lang w:val="sr-Cyrl-CS"/>
        </w:rPr>
        <w:t>Обавеза електронске комуникације и електронске размене података у поступцима јавних набавки (</w:t>
      </w:r>
      <w:r w:rsidRPr="00092ED7">
        <w:rPr>
          <w:rFonts w:eastAsia="Calibri" w:cs="Times New Roman"/>
          <w:b/>
          <w:szCs w:val="24"/>
          <w:lang w:val="sr-Cyrl-CS"/>
        </w:rPr>
        <w:t>е-подношење понуда, е-аукције, е-планирање, е-жалбе, е-каталог</w:t>
      </w:r>
      <w:r w:rsidRPr="00092ED7">
        <w:rPr>
          <w:rFonts w:eastAsia="Calibri" w:cs="Times New Roman"/>
          <w:szCs w:val="24"/>
          <w:lang w:val="sr-Cyrl-CS"/>
        </w:rPr>
        <w:t xml:space="preserve">) представља значајан искорак у процесу дигитализације поступака јавних набавки. (више у Кључном изазову 2: </w:t>
      </w:r>
      <w:r w:rsidRPr="00092ED7">
        <w:rPr>
          <w:rFonts w:eastAsia="Calibri" w:cs="Times New Roman"/>
          <w:i/>
          <w:szCs w:val="24"/>
          <w:lang w:val="sr-Cyrl-CS"/>
        </w:rPr>
        <w:t>Унапређење пословног амбијента повољнијег за инвестиције,</w:t>
      </w:r>
      <w:r w:rsidRPr="00092ED7">
        <w:rPr>
          <w:rFonts w:eastAsia="Times New Roman" w:cs="Times New Roman"/>
          <w:color w:val="000000"/>
          <w:szCs w:val="24"/>
          <w:lang w:val="sr-Cyrl-CS"/>
        </w:rPr>
        <w:t xml:space="preserve"> стр. </w:t>
      </w:r>
      <w:r w:rsidR="00F51079" w:rsidRPr="00092ED7">
        <w:rPr>
          <w:rFonts w:eastAsia="Times New Roman" w:cs="Times New Roman"/>
          <w:color w:val="000000"/>
          <w:szCs w:val="24"/>
          <w:lang w:val="sr-Cyrl-CS"/>
        </w:rPr>
        <w:t>88</w:t>
      </w:r>
      <w:r w:rsidRPr="00092ED7">
        <w:rPr>
          <w:rFonts w:eastAsia="Calibri" w:cs="Times New Roman"/>
          <w:szCs w:val="24"/>
          <w:lang w:val="sr-Cyrl-CS"/>
        </w:rPr>
        <w:t>)</w:t>
      </w:r>
    </w:p>
    <w:p w14:paraId="6ED09E94" w14:textId="60ED974B" w:rsidR="00D210F0" w:rsidRPr="00092ED7" w:rsidRDefault="00D210F0" w:rsidP="00D210F0">
      <w:pPr>
        <w:widowControl w:val="0"/>
        <w:spacing w:after="60"/>
        <w:rPr>
          <w:rFonts w:eastAsia="Times New Roman" w:cs="Times New Roman"/>
          <w:color w:val="000000"/>
          <w:szCs w:val="24"/>
          <w:lang w:val="sr-Cyrl-CS"/>
        </w:rPr>
      </w:pPr>
      <w:r w:rsidRPr="00092ED7">
        <w:rPr>
          <w:rFonts w:eastAsia="Times New Roman" w:cs="Times New Roman"/>
          <w:b/>
          <w:color w:val="000000"/>
          <w:szCs w:val="24"/>
          <w:lang w:val="sr-Cyrl-CS"/>
        </w:rPr>
        <w:t>Дигитална трансформација у области енергетике</w:t>
      </w:r>
      <w:r w:rsidRPr="00092ED7">
        <w:rPr>
          <w:rFonts w:eastAsia="Times New Roman" w:cs="Times New Roman"/>
          <w:color w:val="000000"/>
          <w:szCs w:val="24"/>
          <w:lang w:val="sr-Cyrl-CS"/>
        </w:rPr>
        <w:t xml:space="preserve"> доноси поједностављење поступака у остваривању права у овој области. Уведен је правни основ за </w:t>
      </w:r>
      <w:r w:rsidRPr="00092ED7">
        <w:rPr>
          <w:rFonts w:eastAsia="Calibri" w:cs="Times New Roman"/>
          <w:szCs w:val="24"/>
          <w:lang w:val="sr-Cyrl-CS"/>
        </w:rPr>
        <w:t>е-енергетику и е-рударство чиме је омогућено брж</w:t>
      </w:r>
      <w:r w:rsidR="001571AD" w:rsidRPr="00092ED7">
        <w:rPr>
          <w:rFonts w:eastAsia="Calibri" w:cs="Times New Roman"/>
          <w:szCs w:val="24"/>
          <w:lang w:val="sr-Cyrl-CS"/>
        </w:rPr>
        <w:t>е</w:t>
      </w:r>
      <w:r w:rsidRPr="00092ED7">
        <w:rPr>
          <w:rFonts w:eastAsia="Calibri" w:cs="Times New Roman"/>
          <w:szCs w:val="24"/>
          <w:lang w:val="sr-Cyrl-CS"/>
        </w:rPr>
        <w:t xml:space="preserve"> и једноставније издавање дозвола</w:t>
      </w:r>
      <w:r w:rsidRPr="00092ED7">
        <w:rPr>
          <w:rFonts w:eastAsia="Times New Roman" w:cs="Times New Roman"/>
          <w:color w:val="000000"/>
          <w:szCs w:val="24"/>
          <w:lang w:val="sr-Cyrl-CS"/>
        </w:rPr>
        <w:t xml:space="preserve"> </w:t>
      </w:r>
      <w:r w:rsidRPr="00092ED7">
        <w:rPr>
          <w:rFonts w:eastAsia="Calibri" w:cs="Times New Roman"/>
          <w:szCs w:val="24"/>
          <w:lang w:val="sr-Cyrl-CS"/>
        </w:rPr>
        <w:t>кроз систем електронског пословања.</w:t>
      </w:r>
      <w:r w:rsidRPr="00092ED7">
        <w:rPr>
          <w:rFonts w:eastAsia="Times New Roman" w:cs="Times New Roman"/>
          <w:color w:val="000000"/>
          <w:szCs w:val="24"/>
          <w:lang w:val="sr-Cyrl-CS"/>
        </w:rPr>
        <w:t xml:space="preserve"> (више у Кључном изазову 3. </w:t>
      </w:r>
      <w:r w:rsidRPr="00092ED7">
        <w:rPr>
          <w:rFonts w:eastAsia="Times New Roman" w:cs="Times New Roman"/>
          <w:i/>
          <w:szCs w:val="24"/>
          <w:lang w:val="sr-Cyrl-CS"/>
        </w:rPr>
        <w:t xml:space="preserve">Озелењавање енергетског сектора и потпуно отварање енергетског тржишта, </w:t>
      </w:r>
      <w:r w:rsidRPr="00092ED7">
        <w:rPr>
          <w:rFonts w:eastAsia="Times New Roman" w:cs="Times New Roman"/>
          <w:color w:val="000000"/>
          <w:szCs w:val="24"/>
          <w:lang w:val="sr-Cyrl-CS"/>
        </w:rPr>
        <w:t xml:space="preserve">стр. </w:t>
      </w:r>
      <w:r w:rsidR="00F51079" w:rsidRPr="00092ED7">
        <w:rPr>
          <w:rFonts w:eastAsia="Times New Roman" w:cs="Times New Roman"/>
          <w:color w:val="000000"/>
          <w:szCs w:val="24"/>
          <w:lang w:val="sr-Cyrl-CS"/>
        </w:rPr>
        <w:t>98</w:t>
      </w:r>
      <w:r w:rsidRPr="00092ED7">
        <w:rPr>
          <w:rFonts w:eastAsia="Times New Roman" w:cs="Times New Roman"/>
          <w:color w:val="000000"/>
          <w:szCs w:val="24"/>
          <w:lang w:val="sr-Cyrl-CS"/>
        </w:rPr>
        <w:t>)</w:t>
      </w:r>
    </w:p>
    <w:p w14:paraId="54609551" w14:textId="7302712A" w:rsidR="00D210F0" w:rsidRPr="00092ED7" w:rsidRDefault="00D210F0" w:rsidP="00D210F0">
      <w:pPr>
        <w:widowControl w:val="0"/>
        <w:spacing w:after="60"/>
        <w:rPr>
          <w:rFonts w:eastAsia="Times New Roman" w:cs="Times New Roman"/>
          <w:color w:val="000000"/>
          <w:szCs w:val="24"/>
          <w:lang w:val="sr-Cyrl-CS"/>
        </w:rPr>
      </w:pPr>
      <w:r w:rsidRPr="00092ED7">
        <w:rPr>
          <w:rFonts w:eastAsia="Times New Roman" w:cs="Times New Roman"/>
          <w:color w:val="000000"/>
          <w:szCs w:val="24"/>
          <w:lang w:val="sr-Cyrl-CS"/>
        </w:rPr>
        <w:t xml:space="preserve">Успостављањем свеобухватног информационог система науке </w:t>
      </w:r>
      <w:r w:rsidRPr="00092ED7">
        <w:rPr>
          <w:rFonts w:eastAsia="Times New Roman" w:cs="Times New Roman"/>
          <w:b/>
          <w:color w:val="000000"/>
          <w:szCs w:val="24"/>
          <w:lang w:val="sr-Cyrl-CS"/>
        </w:rPr>
        <w:t>еНаука</w:t>
      </w:r>
      <w:r w:rsidRPr="00092ED7">
        <w:rPr>
          <w:rFonts w:eastAsia="Times New Roman" w:cs="Times New Roman"/>
          <w:color w:val="000000"/>
          <w:szCs w:val="24"/>
          <w:lang w:val="sr-Cyrl-CS"/>
        </w:rPr>
        <w:t xml:space="preserve"> омогућиће се већа видљивост и доступност научних резултата и истраживачке инфраструктуре академској и привредној заједници у националним и међународним оквирима. (више у области </w:t>
      </w:r>
      <w:r w:rsidRPr="00092ED7">
        <w:rPr>
          <w:rFonts w:eastAsia="Times New Roman" w:cs="Times New Roman"/>
          <w:i/>
          <w:color w:val="000000"/>
          <w:szCs w:val="24"/>
          <w:lang w:val="sr-Cyrl-CS"/>
        </w:rPr>
        <w:t>Истраживање, развој и иновације</w:t>
      </w:r>
      <w:r w:rsidRPr="00092ED7">
        <w:rPr>
          <w:rFonts w:eastAsia="Times New Roman" w:cs="Times New Roman"/>
          <w:color w:val="000000"/>
          <w:szCs w:val="24"/>
          <w:lang w:val="sr-Cyrl-CS"/>
        </w:rPr>
        <w:t xml:space="preserve">, стр. </w:t>
      </w:r>
      <w:r w:rsidR="00F51079" w:rsidRPr="00092ED7">
        <w:rPr>
          <w:rFonts w:eastAsia="Times New Roman" w:cs="Times New Roman"/>
          <w:color w:val="000000"/>
          <w:szCs w:val="24"/>
          <w:lang w:val="sr-Cyrl-CS"/>
        </w:rPr>
        <w:t>130</w:t>
      </w:r>
      <w:r w:rsidRPr="00092ED7">
        <w:rPr>
          <w:rFonts w:eastAsia="Times New Roman" w:cs="Times New Roman"/>
          <w:color w:val="000000"/>
          <w:szCs w:val="24"/>
          <w:lang w:val="sr-Cyrl-CS"/>
        </w:rPr>
        <w:t>)</w:t>
      </w:r>
    </w:p>
    <w:p w14:paraId="184D2084" w14:textId="3FBC456E" w:rsidR="00D210F0" w:rsidRPr="00092ED7" w:rsidRDefault="00D210F0" w:rsidP="00D210F0">
      <w:pPr>
        <w:widowControl w:val="0"/>
        <w:spacing w:after="60"/>
        <w:rPr>
          <w:rFonts w:eastAsia="Times New Roman" w:cs="Times New Roman"/>
          <w:color w:val="000000"/>
          <w:szCs w:val="24"/>
          <w:lang w:val="sr-Cyrl-CS"/>
        </w:rPr>
      </w:pPr>
      <w:r w:rsidRPr="00092ED7">
        <w:rPr>
          <w:rFonts w:eastAsia="Times New Roman" w:cs="Times New Roman"/>
          <w:color w:val="000000"/>
          <w:szCs w:val="24"/>
          <w:lang w:val="sr-Cyrl-CS"/>
        </w:rPr>
        <w:t xml:space="preserve">Значај процеса </w:t>
      </w:r>
      <w:r w:rsidRPr="00092ED7">
        <w:rPr>
          <w:rFonts w:eastAsia="Times New Roman" w:cs="Times New Roman"/>
          <w:b/>
          <w:color w:val="000000"/>
          <w:szCs w:val="24"/>
          <w:lang w:val="sr-Cyrl-CS"/>
        </w:rPr>
        <w:t>дигитализације у трговини</w:t>
      </w:r>
      <w:r w:rsidRPr="00092ED7">
        <w:rPr>
          <w:rFonts w:eastAsia="Times New Roman" w:cs="Times New Roman"/>
          <w:color w:val="000000"/>
          <w:szCs w:val="24"/>
          <w:lang w:val="sr-Cyrl-CS"/>
        </w:rPr>
        <w:t xml:space="preserve"> посебно је дошао до изражаја у условима ванредног стања због пандемије. Електронска трговинa наставља да бележи значајан раст и током 2021. године. (више у области </w:t>
      </w:r>
      <w:r w:rsidRPr="00092ED7">
        <w:rPr>
          <w:rFonts w:eastAsia="Times New Roman" w:cs="Times New Roman"/>
          <w:i/>
          <w:color w:val="000000"/>
          <w:szCs w:val="24"/>
          <w:lang w:val="sr-Cyrl-CS"/>
        </w:rPr>
        <w:t>Пољопривреда, индустрија и услуге</w:t>
      </w:r>
      <w:r w:rsidRPr="00092ED7">
        <w:rPr>
          <w:rFonts w:eastAsia="Times New Roman" w:cs="Times New Roman"/>
          <w:color w:val="000000"/>
          <w:szCs w:val="24"/>
          <w:lang w:val="sr-Cyrl-CS"/>
        </w:rPr>
        <w:t xml:space="preserve">, стр. </w:t>
      </w:r>
      <w:r w:rsidR="00F51079" w:rsidRPr="00092ED7">
        <w:rPr>
          <w:rFonts w:eastAsia="Times New Roman" w:cs="Times New Roman"/>
          <w:color w:val="000000"/>
          <w:szCs w:val="24"/>
          <w:lang w:val="sr-Cyrl-CS"/>
        </w:rPr>
        <w:t>148</w:t>
      </w:r>
      <w:r w:rsidRPr="00092ED7">
        <w:rPr>
          <w:rFonts w:eastAsia="Times New Roman" w:cs="Times New Roman"/>
          <w:color w:val="000000"/>
          <w:szCs w:val="24"/>
          <w:lang w:val="sr-Cyrl-CS"/>
        </w:rPr>
        <w:t>)</w:t>
      </w:r>
    </w:p>
    <w:p w14:paraId="61E5247E" w14:textId="5B8004E8" w:rsidR="00D210F0" w:rsidRPr="00092ED7" w:rsidRDefault="00D210F0" w:rsidP="00D210F0">
      <w:pPr>
        <w:widowControl w:val="0"/>
        <w:spacing w:after="60"/>
        <w:rPr>
          <w:rFonts w:eastAsia="Times New Roman" w:cs="Times New Roman"/>
          <w:color w:val="000000"/>
          <w:szCs w:val="24"/>
          <w:lang w:val="sr-Cyrl-CS"/>
        </w:rPr>
      </w:pPr>
      <w:r w:rsidRPr="00092ED7">
        <w:rPr>
          <w:rFonts w:eastAsia="Times New Roman" w:cs="Times New Roman"/>
          <w:color w:val="000000"/>
          <w:szCs w:val="24"/>
          <w:lang w:val="sr-Cyrl-CS"/>
        </w:rPr>
        <w:t xml:space="preserve">Дигитализација у области образовања пружа основ за спровођење најзначајнијих реформи у овом сектору. </w:t>
      </w:r>
      <w:r w:rsidRPr="00092ED7">
        <w:rPr>
          <w:rFonts w:eastAsia="Calibri" w:cs="Times New Roman"/>
          <w:szCs w:val="24"/>
          <w:lang w:val="sr-Cyrl-CS"/>
        </w:rPr>
        <w:t xml:space="preserve">ЈИСП </w:t>
      </w:r>
      <w:r w:rsidR="00814682" w:rsidRPr="00092ED7">
        <w:rPr>
          <w:rFonts w:eastAsia="Calibri" w:cs="Times New Roman"/>
          <w:szCs w:val="24"/>
          <w:lang w:val="sr-Cyrl-CS"/>
        </w:rPr>
        <w:t xml:space="preserve">је </w:t>
      </w:r>
      <w:r w:rsidRPr="00092ED7">
        <w:rPr>
          <w:rFonts w:eastAsia="Calibri" w:cs="Times New Roman"/>
          <w:szCs w:val="24"/>
          <w:lang w:val="sr-Cyrl-CS"/>
        </w:rPr>
        <w:t>пуштен у продукцију марта 2022. године. (в</w:t>
      </w:r>
      <w:r w:rsidRPr="00092ED7">
        <w:rPr>
          <w:rFonts w:eastAsia="Times New Roman" w:cs="Times New Roman"/>
          <w:color w:val="000000"/>
          <w:szCs w:val="24"/>
          <w:lang w:val="sr-Cyrl-CS"/>
        </w:rPr>
        <w:t xml:space="preserve">ише у области </w:t>
      </w:r>
      <w:r w:rsidRPr="00092ED7">
        <w:rPr>
          <w:rFonts w:eastAsia="Times New Roman" w:cs="Times New Roman"/>
          <w:i/>
          <w:color w:val="000000"/>
          <w:szCs w:val="24"/>
          <w:lang w:val="sr-Cyrl-CS"/>
        </w:rPr>
        <w:t>Образовање и вештине</w:t>
      </w:r>
      <w:r w:rsidRPr="00092ED7">
        <w:rPr>
          <w:rFonts w:eastAsia="Times New Roman" w:cs="Times New Roman"/>
          <w:color w:val="000000"/>
          <w:szCs w:val="24"/>
          <w:lang w:val="sr-Cyrl-CS"/>
        </w:rPr>
        <w:t xml:space="preserve">, стр. </w:t>
      </w:r>
      <w:r w:rsidR="00F51079" w:rsidRPr="00092ED7">
        <w:rPr>
          <w:rFonts w:eastAsia="Times New Roman" w:cs="Times New Roman"/>
          <w:color w:val="000000"/>
          <w:szCs w:val="24"/>
          <w:lang w:val="sr-Cyrl-CS"/>
        </w:rPr>
        <w:t>160</w:t>
      </w:r>
      <w:r w:rsidRPr="00092ED7">
        <w:rPr>
          <w:rFonts w:eastAsia="Times New Roman" w:cs="Times New Roman"/>
          <w:color w:val="000000"/>
          <w:szCs w:val="24"/>
          <w:lang w:val="sr-Cyrl-CS"/>
        </w:rPr>
        <w:t>)</w:t>
      </w:r>
    </w:p>
    <w:p w14:paraId="2EB5ECFC" w14:textId="59490F32" w:rsidR="00D210F0" w:rsidRPr="00092ED7" w:rsidRDefault="00D210F0" w:rsidP="00D210F0">
      <w:pPr>
        <w:widowControl w:val="0"/>
        <w:spacing w:after="60"/>
        <w:rPr>
          <w:rFonts w:eastAsia="Times New Roman" w:cs="Times New Roman"/>
          <w:color w:val="000000"/>
          <w:szCs w:val="24"/>
          <w:lang w:val="sr-Cyrl-CS"/>
        </w:rPr>
      </w:pPr>
      <w:r w:rsidRPr="00092ED7">
        <w:rPr>
          <w:rFonts w:eastAsia="Times New Roman" w:cs="Times New Roman"/>
          <w:color w:val="000000"/>
          <w:szCs w:val="24"/>
          <w:lang w:val="sr-Cyrl-CS"/>
        </w:rPr>
        <w:t xml:space="preserve">Значај процеса </w:t>
      </w:r>
      <w:r w:rsidRPr="00092ED7">
        <w:rPr>
          <w:rFonts w:eastAsia="Times New Roman" w:cs="Times New Roman"/>
          <w:b/>
          <w:color w:val="000000"/>
          <w:szCs w:val="24"/>
          <w:lang w:val="sr-Cyrl-CS"/>
        </w:rPr>
        <w:t>дигитализације услуга здравствене заштите (е-Картон, еБоловање,</w:t>
      </w:r>
      <w:r w:rsidRPr="00092ED7">
        <w:rPr>
          <w:b/>
          <w:szCs w:val="24"/>
          <w:lang w:val="sr-Cyrl-CS"/>
        </w:rPr>
        <w:t xml:space="preserve"> еРецепт)</w:t>
      </w:r>
      <w:r w:rsidRPr="00092ED7">
        <w:rPr>
          <w:rFonts w:eastAsia="Times New Roman" w:cs="Times New Roman"/>
          <w:color w:val="000000"/>
          <w:szCs w:val="24"/>
          <w:lang w:val="sr-Cyrl-CS"/>
        </w:rPr>
        <w:t xml:space="preserve"> посебно је дошао до изражаја услед пандемије </w:t>
      </w:r>
      <w:r w:rsidR="00B94430" w:rsidRPr="00092ED7">
        <w:rPr>
          <w:rFonts w:eastAsia="Times New Roman" w:cs="Times New Roman"/>
          <w:bCs/>
          <w:iCs/>
          <w:color w:val="000000"/>
          <w:szCs w:val="24"/>
          <w:lang w:val="sr-Cyrl-CS"/>
        </w:rPr>
        <w:t>COVID</w:t>
      </w:r>
      <w:r w:rsidRPr="00092ED7">
        <w:rPr>
          <w:rFonts w:eastAsia="Times New Roman" w:cs="Times New Roman"/>
          <w:color w:val="000000"/>
          <w:szCs w:val="24"/>
          <w:lang w:val="sr-Cyrl-CS"/>
        </w:rPr>
        <w:t xml:space="preserve">-19, али и касније. (више у области </w:t>
      </w:r>
      <w:r w:rsidRPr="00092ED7">
        <w:rPr>
          <w:rFonts w:eastAsia="Times New Roman" w:cs="Times New Roman"/>
          <w:i/>
          <w:color w:val="000000"/>
          <w:szCs w:val="24"/>
          <w:lang w:val="sr-Cyrl-CS"/>
        </w:rPr>
        <w:t>Систем</w:t>
      </w:r>
      <w:r w:rsidRPr="00092ED7">
        <w:rPr>
          <w:rFonts w:eastAsia="Times New Roman" w:cs="Times New Roman"/>
          <w:color w:val="000000"/>
          <w:szCs w:val="24"/>
          <w:lang w:val="sr-Cyrl-CS"/>
        </w:rPr>
        <w:t xml:space="preserve"> з</w:t>
      </w:r>
      <w:r w:rsidRPr="00092ED7">
        <w:rPr>
          <w:rFonts w:eastAsia="Times New Roman" w:cs="Times New Roman"/>
          <w:i/>
          <w:color w:val="000000"/>
          <w:szCs w:val="24"/>
          <w:lang w:val="sr-Cyrl-CS"/>
        </w:rPr>
        <w:t>дравствене заштите</w:t>
      </w:r>
      <w:r w:rsidRPr="00092ED7">
        <w:rPr>
          <w:rFonts w:eastAsia="Times New Roman" w:cs="Times New Roman"/>
          <w:color w:val="000000"/>
          <w:szCs w:val="24"/>
          <w:lang w:val="sr-Cyrl-CS"/>
        </w:rPr>
        <w:t xml:space="preserve">, стр. </w:t>
      </w:r>
      <w:r w:rsidR="00F51079" w:rsidRPr="00092ED7">
        <w:rPr>
          <w:rFonts w:eastAsia="Times New Roman" w:cs="Times New Roman"/>
          <w:color w:val="000000"/>
          <w:szCs w:val="24"/>
          <w:lang w:val="sr-Cyrl-CS"/>
        </w:rPr>
        <w:t>162</w:t>
      </w:r>
      <w:r w:rsidRPr="00092ED7">
        <w:rPr>
          <w:rFonts w:eastAsia="Times New Roman" w:cs="Times New Roman"/>
          <w:color w:val="000000"/>
          <w:szCs w:val="24"/>
          <w:lang w:val="sr-Cyrl-CS"/>
        </w:rPr>
        <w:t>)</w:t>
      </w:r>
    </w:p>
    <w:p w14:paraId="6D9B6DFE" w14:textId="77777777" w:rsidR="00BA1B20" w:rsidRDefault="00BA1B20">
      <w:pPr>
        <w:spacing w:after="160" w:line="259" w:lineRule="auto"/>
        <w:jc w:val="left"/>
        <w:rPr>
          <w:rFonts w:eastAsia="Times New Roman" w:cs="Times New Roman"/>
          <w:b/>
          <w:bCs/>
          <w:szCs w:val="24"/>
          <w:lang w:val="sr-Cyrl-CS"/>
        </w:rPr>
      </w:pPr>
      <w:r>
        <w:rPr>
          <w:rFonts w:eastAsia="Times New Roman" w:cs="Times New Roman"/>
          <w:b/>
          <w:bCs/>
          <w:szCs w:val="24"/>
          <w:lang w:val="sr-Cyrl-CS"/>
        </w:rPr>
        <w:br w:type="page"/>
      </w:r>
    </w:p>
    <w:p w14:paraId="0FD09D49" w14:textId="36B234AC"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б) Реформе</w:t>
      </w:r>
    </w:p>
    <w:p w14:paraId="512EC126" w14:textId="77777777" w:rsidR="00D210F0" w:rsidRPr="00092ED7" w:rsidRDefault="00D210F0" w:rsidP="00D210F0">
      <w:pPr>
        <w:rPr>
          <w:rFonts w:cs="Times New Roman"/>
          <w:bCs/>
          <w:szCs w:val="24"/>
          <w:lang w:val="sr-Cyrl-CS"/>
        </w:rPr>
      </w:pPr>
      <w:r w:rsidRPr="00092ED7">
        <w:rPr>
          <w:rFonts w:cs="Times New Roman"/>
          <w:b/>
          <w:bCs/>
          <w:szCs w:val="24"/>
          <w:u w:val="single"/>
          <w:lang w:val="sr-Cyrl-CS"/>
        </w:rPr>
        <w:t>СТРУКТУРНА РЕФОРМА 13</w:t>
      </w:r>
      <w:r w:rsidRPr="00092ED7">
        <w:rPr>
          <w:rFonts w:cs="Times New Roman"/>
          <w:b/>
          <w:bCs/>
          <w:szCs w:val="24"/>
          <w:lang w:val="sr-Cyrl-CS"/>
        </w:rPr>
        <w:t xml:space="preserve">: </w:t>
      </w:r>
      <w:r w:rsidRPr="00092ED7">
        <w:rPr>
          <w:rFonts w:cs="Times New Roman"/>
          <w:bCs/>
          <w:smallCaps/>
          <w:szCs w:val="24"/>
          <w:lang w:val="sr-Cyrl-CS"/>
        </w:rPr>
        <w:t>РАЗВОЈ И УНАПРЕЂЕЊЕ НАЦИОНАЛНЕ ИНФОРМАЦИОНО-КОМУНИКАЦИОНЕ ИНФРАСТРУКТУРЕ</w:t>
      </w:r>
    </w:p>
    <w:p w14:paraId="09B4C186" w14:textId="77777777" w:rsidR="00D210F0" w:rsidRPr="00092ED7" w:rsidRDefault="00D210F0" w:rsidP="00071952">
      <w:pPr>
        <w:widowControl w:val="0"/>
        <w:numPr>
          <w:ilvl w:val="0"/>
          <w:numId w:val="41"/>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7670E8AD" w14:textId="3A26A183" w:rsidR="005F5D34" w:rsidRPr="00092ED7" w:rsidRDefault="005F5D34" w:rsidP="00191E06">
      <w:pPr>
        <w:widowControl w:val="0"/>
        <w:spacing w:after="60"/>
        <w:rPr>
          <w:rFonts w:cs="Times New Roman"/>
          <w:i/>
          <w:iCs/>
          <w:szCs w:val="24"/>
          <w:lang w:val="sr-Cyrl-CS"/>
        </w:rPr>
      </w:pPr>
      <w:r w:rsidRPr="00092ED7">
        <w:rPr>
          <w:rFonts w:cs="Times New Roman"/>
          <w:szCs w:val="24"/>
          <w:lang w:val="sr-Cyrl-CS"/>
        </w:rPr>
        <w:t xml:space="preserve">Најважнији циљеви ове структурне реформе су развој широкопојасних мрежа за приступ, израда детаљних мапа доступности услуга широкопојасног приступа у Републици Србији и побољшање услова образовања и повећање коришћења сервиса електронске управе. Реализацијом ове структурне реформе кроз </w:t>
      </w:r>
      <w:r w:rsidR="00813CC2" w:rsidRPr="00092ED7">
        <w:rPr>
          <w:rFonts w:cs="Times New Roman"/>
          <w:szCs w:val="24"/>
          <w:lang w:val="sr-Cyrl-CS"/>
        </w:rPr>
        <w:t>„</w:t>
      </w:r>
      <w:r w:rsidRPr="00092ED7">
        <w:rPr>
          <w:rFonts w:cs="Times New Roman"/>
          <w:i/>
          <w:iCs/>
          <w:szCs w:val="24"/>
          <w:lang w:val="sr-Cyrl-CS"/>
        </w:rPr>
        <w:t>Пројекат изградње широкопојасне комуникационе инфраструктуре у руралним пределима Републике Србије</w:t>
      </w:r>
      <w:r w:rsidR="003C6666" w:rsidRPr="00092ED7">
        <w:rPr>
          <w:rFonts w:cs="Times New Roman"/>
          <w:i/>
          <w:szCs w:val="24"/>
          <w:lang w:val="sr-Cyrl-CS"/>
        </w:rPr>
        <w:t>”</w:t>
      </w:r>
      <w:r w:rsidRPr="00092ED7">
        <w:rPr>
          <w:rFonts w:cs="Times New Roman"/>
          <w:szCs w:val="24"/>
          <w:lang w:val="sr-Cyrl-CS"/>
        </w:rPr>
        <w:t xml:space="preserve"> унапредиће се широкопојасна комуникациона инфраструктура изградњом недостајуће приступне инфраструктуре у руралним насељима и повезивање јавних установа (пре свега основних школа) и домаћинстава на широкопојасну мрежу до 2025. године. Путем </w:t>
      </w:r>
      <w:r w:rsidR="00813CC2" w:rsidRPr="00092ED7">
        <w:rPr>
          <w:rFonts w:cs="Times New Roman"/>
          <w:szCs w:val="24"/>
          <w:lang w:val="sr-Cyrl-CS"/>
        </w:rPr>
        <w:t>„</w:t>
      </w:r>
      <w:r w:rsidRPr="00092ED7">
        <w:rPr>
          <w:rFonts w:cs="Times New Roman"/>
          <w:i/>
          <w:iCs/>
          <w:szCs w:val="24"/>
          <w:lang w:val="sr-Cyrl-CS"/>
        </w:rPr>
        <w:t>Пројекта повезане школе</w:t>
      </w:r>
      <w:r w:rsidR="003C6666" w:rsidRPr="00092ED7">
        <w:rPr>
          <w:rFonts w:cs="Times New Roman"/>
          <w:i/>
          <w:szCs w:val="24"/>
          <w:lang w:val="sr-Cyrl-CS"/>
        </w:rPr>
        <w:t>”</w:t>
      </w:r>
      <w:r w:rsidRPr="00092ED7">
        <w:rPr>
          <w:rFonts w:cs="Times New Roman"/>
          <w:szCs w:val="24"/>
          <w:lang w:val="sr-Cyrl-CS"/>
        </w:rPr>
        <w:t>, који је у завршној фази, омогућиће се потпуна дигитализација образовног система, укључујући дигиталне учионице и дигитална наставна средства, а тиме ће се створити предуслови за потпуно савремени приступ образовању.</w:t>
      </w:r>
    </w:p>
    <w:p w14:paraId="649B1B1F" w14:textId="77777777" w:rsidR="00D210F0" w:rsidRPr="00092ED7" w:rsidRDefault="00D210F0" w:rsidP="00071952">
      <w:pPr>
        <w:widowControl w:val="0"/>
        <w:numPr>
          <w:ilvl w:val="0"/>
          <w:numId w:val="41"/>
        </w:numPr>
        <w:spacing w:before="120"/>
        <w:ind w:left="425" w:hanging="425"/>
        <w:rPr>
          <w:rFonts w:cs="Times New Roman"/>
          <w:b/>
          <w:bCs/>
          <w:szCs w:val="24"/>
          <w:lang w:val="sr-Cyrl-CS"/>
        </w:rPr>
      </w:pPr>
      <w:r w:rsidRPr="00092ED7">
        <w:rPr>
          <w:rFonts w:cs="Times New Roman"/>
          <w:b/>
          <w:bCs/>
          <w:szCs w:val="24"/>
          <w:lang w:val="sr-Cyrl-CS"/>
        </w:rPr>
        <w:t>Планиране активности по годинама</w:t>
      </w:r>
    </w:p>
    <w:tbl>
      <w:tblPr>
        <w:tblW w:w="9188" w:type="dxa"/>
        <w:tblLayout w:type="fixed"/>
        <w:tblCellMar>
          <w:left w:w="0" w:type="dxa"/>
          <w:right w:w="0" w:type="dxa"/>
        </w:tblCellMar>
        <w:tblLook w:val="04A0" w:firstRow="1" w:lastRow="0" w:firstColumn="1" w:lastColumn="0" w:noHBand="0" w:noVBand="1"/>
      </w:tblPr>
      <w:tblGrid>
        <w:gridCol w:w="425"/>
        <w:gridCol w:w="4385"/>
        <w:gridCol w:w="372"/>
        <w:gridCol w:w="373"/>
        <w:gridCol w:w="372"/>
        <w:gridCol w:w="373"/>
        <w:gridCol w:w="372"/>
        <w:gridCol w:w="373"/>
        <w:gridCol w:w="373"/>
        <w:gridCol w:w="372"/>
        <w:gridCol w:w="373"/>
        <w:gridCol w:w="372"/>
        <w:gridCol w:w="373"/>
        <w:gridCol w:w="280"/>
      </w:tblGrid>
      <w:tr w:rsidR="00D210F0" w:rsidRPr="00092ED7" w14:paraId="743153FA" w14:textId="77777777" w:rsidTr="00AE4362">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2D6C7238" w14:textId="77777777" w:rsidR="00D210F0" w:rsidRPr="00092ED7" w:rsidRDefault="00D210F0" w:rsidP="00D210F0">
            <w:pPr>
              <w:spacing w:after="0"/>
              <w:rPr>
                <w:sz w:val="20"/>
                <w:szCs w:val="20"/>
                <w:lang w:val="sr-Cyrl-CS"/>
              </w:rPr>
            </w:pPr>
            <w:r w:rsidRPr="00092ED7">
              <w:rPr>
                <w:rFonts w:cs="Times New Roman"/>
                <w:b/>
                <w:bCs/>
                <w:color w:val="000000"/>
                <w:sz w:val="20"/>
                <w:szCs w:val="20"/>
                <w:lang w:val="sr-Cyrl-CS"/>
              </w:rPr>
              <w:t>РБ</w:t>
            </w:r>
          </w:p>
        </w:tc>
        <w:tc>
          <w:tcPr>
            <w:tcW w:w="4385"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34668EC8" w14:textId="77777777" w:rsidR="00D210F0" w:rsidRPr="00092ED7" w:rsidRDefault="00D210F0" w:rsidP="00D210F0">
            <w:pPr>
              <w:spacing w:after="0"/>
              <w:rPr>
                <w:rFonts w:cs="Times New Roman"/>
                <w:b/>
                <w:bCs/>
                <w:color w:val="000000"/>
                <w:sz w:val="20"/>
                <w:szCs w:val="20"/>
                <w:lang w:val="sr-Cyrl-CS"/>
              </w:rPr>
            </w:pPr>
            <w:r w:rsidRPr="00092ED7">
              <w:rPr>
                <w:rFonts w:cs="Times New Roman"/>
                <w:b/>
                <w:bCs/>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5D807096"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236C13D8"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398"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044207C9"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4AF999C2" w14:textId="77777777" w:rsidTr="00AE4362">
        <w:trPr>
          <w:trHeight w:val="315"/>
        </w:trPr>
        <w:tc>
          <w:tcPr>
            <w:tcW w:w="425" w:type="dxa"/>
            <w:vMerge/>
            <w:tcBorders>
              <w:left w:val="single" w:sz="8" w:space="0" w:color="auto"/>
              <w:bottom w:val="single" w:sz="8" w:space="0" w:color="000000"/>
              <w:right w:val="nil"/>
            </w:tcBorders>
            <w:shd w:val="clear" w:color="000000" w:fill="BDD6EE"/>
            <w:vAlign w:val="center"/>
            <w:hideMark/>
          </w:tcPr>
          <w:p w14:paraId="236F933C" w14:textId="77777777" w:rsidR="00D210F0" w:rsidRPr="00092ED7" w:rsidRDefault="00D210F0" w:rsidP="00D210F0">
            <w:pPr>
              <w:spacing w:after="0"/>
              <w:jc w:val="center"/>
              <w:rPr>
                <w:rFonts w:cs="Times New Roman"/>
                <w:b/>
                <w:bCs/>
                <w:color w:val="000000"/>
                <w:sz w:val="20"/>
                <w:szCs w:val="20"/>
                <w:lang w:val="sr-Cyrl-CS"/>
              </w:rPr>
            </w:pPr>
          </w:p>
        </w:tc>
        <w:tc>
          <w:tcPr>
            <w:tcW w:w="4385"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0A70308E" w14:textId="77777777" w:rsidR="00D210F0" w:rsidRPr="00092ED7" w:rsidRDefault="00D210F0" w:rsidP="00D210F0">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D035D3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51B4E6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39BE6AB"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EECDD6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FF6837F"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F1F7920"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576A03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2EDEEF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CF488E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C34578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F0F124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280"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03C78F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374377AC" w14:textId="77777777" w:rsidTr="00AE4362">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648C953F" w14:textId="77777777" w:rsidR="00D210F0" w:rsidRPr="00092ED7" w:rsidRDefault="00D210F0" w:rsidP="00D210F0">
            <w:pPr>
              <w:spacing w:after="0"/>
              <w:jc w:val="center"/>
              <w:rPr>
                <w:rFonts w:cs="Times New Roman"/>
                <w:bCs/>
                <w:sz w:val="18"/>
                <w:szCs w:val="18"/>
                <w:lang w:val="sr-Cyrl-CS"/>
              </w:rPr>
            </w:pPr>
            <w:r w:rsidRPr="00092ED7">
              <w:rPr>
                <w:rFonts w:cs="Times New Roman"/>
                <w:bCs/>
                <w:sz w:val="18"/>
                <w:szCs w:val="18"/>
                <w:lang w:val="sr-Cyrl-CS"/>
              </w:rPr>
              <w:t>1.</w:t>
            </w:r>
          </w:p>
        </w:tc>
        <w:tc>
          <w:tcPr>
            <w:tcW w:w="438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00466FB3" w14:textId="770EF760" w:rsidR="00D210F0" w:rsidRPr="00092ED7" w:rsidRDefault="00D210F0" w:rsidP="00D210F0">
            <w:pPr>
              <w:spacing w:after="0"/>
              <w:ind w:right="222"/>
              <w:rPr>
                <w:sz w:val="20"/>
                <w:szCs w:val="20"/>
                <w:lang w:val="sr-Cyrl-CS"/>
              </w:rPr>
            </w:pPr>
            <w:r w:rsidRPr="00092ED7">
              <w:rPr>
                <w:rFonts w:eastAsia="Times New Roman" w:cs="Times New Roman"/>
                <w:color w:val="000000"/>
                <w:sz w:val="20"/>
                <w:szCs w:val="20"/>
                <w:lang w:val="sr-Cyrl-CS"/>
              </w:rPr>
              <w:t>Повезивање установа образовања и културе на</w:t>
            </w:r>
            <w:r w:rsidR="00D46029" w:rsidRPr="00092ED7">
              <w:rPr>
                <w:rFonts w:cs="Times New Roman"/>
                <w:sz w:val="20"/>
                <w:lang w:val="sr-Cyrl-CS"/>
              </w:rPr>
              <w:t xml:space="preserve"> Академску мрежу Републике Србије (у даљем тексту: АМРЕС мрежа</w:t>
            </w:r>
            <w:r w:rsidR="00B92325" w:rsidRPr="00092ED7">
              <w:rPr>
                <w:rFonts w:cs="Times New Roman"/>
                <w:sz w:val="20"/>
                <w:lang w:val="sr-Cyrl-CS"/>
              </w:rPr>
              <w:t xml:space="preserve"> </w:t>
            </w:r>
            <w:r w:rsidR="00B92325" w:rsidRPr="00092ED7">
              <w:rPr>
                <w:rFonts w:eastAsia="Times New Roman" w:cs="Times New Roman"/>
                <w:color w:val="000000"/>
                <w:sz w:val="20"/>
                <w:szCs w:val="20"/>
                <w:lang w:val="sr-Cyrl-CS"/>
              </w:rPr>
              <w:t>(унапређење квалитета и брзине)</w:t>
            </w:r>
            <w:r w:rsidR="00D46029" w:rsidRPr="00092ED7">
              <w:rPr>
                <w:rFonts w:cs="Times New Roman"/>
                <w:sz w:val="20"/>
                <w:lang w:val="sr-Cyrl-CS"/>
              </w:rPr>
              <w:t>)</w:t>
            </w:r>
            <w:r w:rsidRPr="00092ED7">
              <w:rPr>
                <w:rFonts w:eastAsia="Times New Roman" w:cs="Times New Roman"/>
                <w:color w:val="000000"/>
                <w:sz w:val="20"/>
                <w:szCs w:val="20"/>
                <w:lang w:val="sr-Cyrl-CS"/>
              </w:rPr>
              <w:t xml:space="preserve"> </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937E964"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101601E" w14:textId="77777777" w:rsidR="00D210F0" w:rsidRPr="00092ED7" w:rsidRDefault="00D210F0" w:rsidP="00D210F0">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CD14F5F"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4DE9546" w14:textId="77777777" w:rsidR="00D210F0" w:rsidRPr="00092ED7" w:rsidRDefault="00D210F0" w:rsidP="00D210F0">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A118D3F"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E649C88"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4D5BD96" w14:textId="77777777" w:rsidR="00D210F0" w:rsidRPr="00092ED7" w:rsidRDefault="00D210F0" w:rsidP="00D210F0">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6D6F576"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F93A522" w14:textId="77777777" w:rsidR="00D210F0" w:rsidRPr="00092ED7" w:rsidRDefault="00D210F0" w:rsidP="00D210F0">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E32C718"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D0CB0F8" w14:textId="77777777" w:rsidR="00D210F0" w:rsidRPr="00092ED7" w:rsidRDefault="00D210F0" w:rsidP="00D210F0">
            <w:pPr>
              <w:spacing w:after="0"/>
              <w:rPr>
                <w:rFonts w:cs="Times New Roman"/>
                <w:color w:val="000000"/>
                <w:sz w:val="18"/>
                <w:szCs w:val="18"/>
                <w:lang w:val="sr-Cyrl-CS"/>
              </w:rPr>
            </w:pPr>
          </w:p>
        </w:tc>
        <w:tc>
          <w:tcPr>
            <w:tcW w:w="28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AEDFE5A" w14:textId="77777777" w:rsidR="00D210F0" w:rsidRPr="00092ED7" w:rsidRDefault="00D210F0" w:rsidP="00D210F0">
            <w:pPr>
              <w:spacing w:after="0"/>
              <w:rPr>
                <w:rFonts w:cs="Times New Roman"/>
                <w:color w:val="000000"/>
                <w:sz w:val="18"/>
                <w:szCs w:val="18"/>
                <w:lang w:val="sr-Cyrl-CS"/>
              </w:rPr>
            </w:pPr>
          </w:p>
        </w:tc>
      </w:tr>
      <w:tr w:rsidR="00D210F0" w:rsidRPr="00092ED7" w14:paraId="20126183" w14:textId="77777777" w:rsidTr="00AE4362">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3252C512" w14:textId="77777777" w:rsidR="00D210F0" w:rsidRPr="00092ED7" w:rsidRDefault="00D210F0" w:rsidP="00D210F0">
            <w:pPr>
              <w:spacing w:after="0"/>
              <w:jc w:val="center"/>
              <w:rPr>
                <w:rFonts w:cs="Times New Roman"/>
                <w:bCs/>
                <w:sz w:val="18"/>
                <w:szCs w:val="18"/>
                <w:lang w:val="sr-Cyrl-CS"/>
              </w:rPr>
            </w:pPr>
            <w:r w:rsidRPr="00092ED7">
              <w:rPr>
                <w:rFonts w:cs="Times New Roman"/>
                <w:bCs/>
                <w:sz w:val="18"/>
                <w:szCs w:val="18"/>
                <w:lang w:val="sr-Cyrl-CS"/>
              </w:rPr>
              <w:t>2.</w:t>
            </w:r>
          </w:p>
        </w:tc>
        <w:tc>
          <w:tcPr>
            <w:tcW w:w="4385"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2C5F173C" w14:textId="62D8E5FA" w:rsidR="00D210F0" w:rsidRPr="00092ED7" w:rsidRDefault="00D210F0" w:rsidP="00D210F0">
            <w:pPr>
              <w:spacing w:after="0"/>
              <w:ind w:right="222"/>
              <w:rPr>
                <w:sz w:val="20"/>
                <w:szCs w:val="20"/>
                <w:lang w:val="sr-Cyrl-CS"/>
              </w:rPr>
            </w:pPr>
            <w:r w:rsidRPr="00092ED7">
              <w:rPr>
                <w:rFonts w:cs="Times New Roman"/>
                <w:sz w:val="20"/>
                <w:szCs w:val="20"/>
                <w:lang w:val="sr-Cyrl-CS"/>
              </w:rPr>
              <w:t>Активности на унапређењу информационо-комуникационе инфраструктуре у свим основним и средњим школама у Р</w:t>
            </w:r>
            <w:r w:rsidR="00F66084" w:rsidRPr="00092ED7">
              <w:rPr>
                <w:rFonts w:cs="Times New Roman"/>
                <w:sz w:val="20"/>
                <w:szCs w:val="20"/>
                <w:lang w:val="sr-Cyrl-CS"/>
              </w:rPr>
              <w:t xml:space="preserve">епублици </w:t>
            </w:r>
            <w:r w:rsidRPr="00092ED7">
              <w:rPr>
                <w:rFonts w:cs="Times New Roman"/>
                <w:sz w:val="20"/>
                <w:szCs w:val="20"/>
                <w:lang w:val="sr-Cyrl-CS"/>
              </w:rPr>
              <w:t>С</w:t>
            </w:r>
            <w:r w:rsidR="00F66084" w:rsidRPr="00092ED7">
              <w:rPr>
                <w:rFonts w:cs="Times New Roman"/>
                <w:sz w:val="20"/>
                <w:szCs w:val="20"/>
                <w:lang w:val="sr-Cyrl-CS"/>
              </w:rPr>
              <w:t>рцији</w:t>
            </w:r>
            <w:r w:rsidRPr="00092ED7">
              <w:rPr>
                <w:rFonts w:eastAsia="Times New Roman" w:cs="Times New Roman"/>
                <w:color w:val="000000"/>
                <w:sz w:val="20"/>
                <w:szCs w:val="20"/>
                <w:lang w:val="sr-Cyrl-CS"/>
              </w:rPr>
              <w:t xml:space="preserve"> – „Повезане школе</w:t>
            </w:r>
            <w:r w:rsidR="00814682" w:rsidRPr="00092ED7">
              <w:rPr>
                <w:rFonts w:eastAsia="Times New Roman" w:cs="Times New Roman"/>
                <w:color w:val="000000"/>
                <w:sz w:val="20"/>
                <w:szCs w:val="20"/>
                <w:lang w:val="sr-Cyrl-CS"/>
              </w:rPr>
              <w:t>ˮ</w:t>
            </w:r>
            <w:r w:rsidRPr="00092ED7">
              <w:rPr>
                <w:rFonts w:eastAsia="Times New Roman" w:cs="Times New Roman"/>
                <w:color w:val="000000"/>
                <w:sz w:val="20"/>
                <w:szCs w:val="20"/>
                <w:lang w:val="sr-Cyrl-CS"/>
              </w:rPr>
              <w:t xml:space="preserve"> – фаза 3</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70B2E84"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3044FFF" w14:textId="77777777" w:rsidR="00D210F0" w:rsidRPr="00092ED7" w:rsidRDefault="00D210F0" w:rsidP="00D210F0">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77DE5DE"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3E855A1" w14:textId="77777777" w:rsidR="00D210F0" w:rsidRPr="00092ED7" w:rsidRDefault="00D210F0" w:rsidP="00D210F0">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329F57A"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BBB2A0D"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64921AC" w14:textId="77777777" w:rsidR="00D210F0" w:rsidRPr="00092ED7" w:rsidRDefault="00D210F0" w:rsidP="00D210F0">
            <w:pPr>
              <w:spacing w:after="0"/>
              <w:rPr>
                <w:rFonts w:cs="Times New Roman"/>
                <w:color w:val="000000"/>
                <w:sz w:val="18"/>
                <w:szCs w:val="18"/>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3E9D7B28"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A8A85CC" w14:textId="77777777" w:rsidR="00D210F0" w:rsidRPr="00092ED7" w:rsidRDefault="00D210F0" w:rsidP="00D210F0">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F3BBBE6"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1A449C2" w14:textId="77777777" w:rsidR="00D210F0" w:rsidRPr="00092ED7" w:rsidRDefault="00D210F0" w:rsidP="00D210F0">
            <w:pPr>
              <w:spacing w:after="0"/>
              <w:rPr>
                <w:rFonts w:cs="Times New Roman"/>
                <w:color w:val="000000"/>
                <w:sz w:val="18"/>
                <w:szCs w:val="18"/>
                <w:lang w:val="sr-Cyrl-CS"/>
              </w:rPr>
            </w:pPr>
          </w:p>
        </w:tc>
        <w:tc>
          <w:tcPr>
            <w:tcW w:w="280"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6AE8432" w14:textId="77777777" w:rsidR="00D210F0" w:rsidRPr="00092ED7" w:rsidRDefault="00D210F0" w:rsidP="00D210F0">
            <w:pPr>
              <w:spacing w:after="0"/>
              <w:rPr>
                <w:rFonts w:cs="Times New Roman"/>
                <w:color w:val="000000"/>
                <w:sz w:val="18"/>
                <w:szCs w:val="18"/>
                <w:lang w:val="sr-Cyrl-CS"/>
              </w:rPr>
            </w:pPr>
          </w:p>
        </w:tc>
      </w:tr>
      <w:tr w:rsidR="00D210F0" w:rsidRPr="00092ED7" w14:paraId="2403992F" w14:textId="77777777" w:rsidTr="00AE4362">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7C338F11" w14:textId="3B76A75F" w:rsidR="00D210F0" w:rsidRPr="00092ED7" w:rsidRDefault="00F66084" w:rsidP="00D210F0">
            <w:pPr>
              <w:spacing w:after="0"/>
              <w:jc w:val="center"/>
              <w:rPr>
                <w:rFonts w:cs="Times New Roman"/>
                <w:bCs/>
                <w:sz w:val="18"/>
                <w:szCs w:val="18"/>
                <w:lang w:val="sr-Cyrl-CS"/>
              </w:rPr>
            </w:pPr>
            <w:r w:rsidRPr="00092ED7">
              <w:rPr>
                <w:rFonts w:cs="Times New Roman"/>
                <w:bCs/>
                <w:sz w:val="18"/>
                <w:szCs w:val="18"/>
                <w:lang w:val="sr-Cyrl-CS"/>
              </w:rPr>
              <w:t>?</w:t>
            </w:r>
            <w:r w:rsidR="00D210F0" w:rsidRPr="00092ED7">
              <w:rPr>
                <w:rFonts w:cs="Times New Roman"/>
                <w:bCs/>
                <w:sz w:val="18"/>
                <w:szCs w:val="18"/>
                <w:lang w:val="sr-Cyrl-CS"/>
              </w:rPr>
              <w:t>3.</w:t>
            </w:r>
          </w:p>
        </w:tc>
        <w:tc>
          <w:tcPr>
            <w:tcW w:w="438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61046D05" w14:textId="04E2FAB3" w:rsidR="00D210F0" w:rsidRPr="00092ED7" w:rsidRDefault="00D210F0" w:rsidP="00D210F0">
            <w:pPr>
              <w:spacing w:after="0"/>
              <w:ind w:right="222"/>
              <w:rPr>
                <w:sz w:val="20"/>
                <w:szCs w:val="20"/>
                <w:lang w:val="sr-Cyrl-CS"/>
              </w:rPr>
            </w:pPr>
            <w:r w:rsidRPr="00092ED7">
              <w:rPr>
                <w:rFonts w:cs="Times New Roman"/>
                <w:sz w:val="20"/>
                <w:szCs w:val="20"/>
                <w:lang w:val="sr-Cyrl-CS"/>
              </w:rPr>
              <w:t>П</w:t>
            </w:r>
            <w:r w:rsidRPr="00092ED7">
              <w:rPr>
                <w:rFonts w:cs="Times New Roman"/>
                <w:iCs/>
                <w:sz w:val="20"/>
                <w:szCs w:val="20"/>
                <w:lang w:val="sr-Cyrl-CS"/>
              </w:rPr>
              <w:t xml:space="preserve">рипрема и изградња оптичке широкопојасне мреже у руралним областима </w:t>
            </w:r>
            <w:r w:rsidR="00F66084" w:rsidRPr="00092ED7">
              <w:rPr>
                <w:rFonts w:cs="Times New Roman"/>
                <w:iCs/>
                <w:sz w:val="20"/>
                <w:szCs w:val="20"/>
                <w:lang w:val="sr-Cyrl-CS"/>
              </w:rPr>
              <w:t xml:space="preserve">Републике </w:t>
            </w:r>
            <w:r w:rsidRPr="00092ED7">
              <w:rPr>
                <w:rFonts w:cs="Times New Roman"/>
                <w:iCs/>
                <w:sz w:val="20"/>
                <w:szCs w:val="20"/>
                <w:lang w:val="sr-Cyrl-CS"/>
              </w:rPr>
              <w:t>Србије – фазе 1 и 2</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1D73DC0"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9689590" w14:textId="77777777" w:rsidR="00D210F0" w:rsidRPr="00092ED7" w:rsidRDefault="00D210F0" w:rsidP="00D210F0">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C3E9299"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78AEDE6" w14:textId="77777777" w:rsidR="00D210F0" w:rsidRPr="00092ED7" w:rsidRDefault="00D210F0" w:rsidP="00D210F0">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7D53CD6"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A8BC4FE"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F1129CC" w14:textId="77777777" w:rsidR="00D210F0" w:rsidRPr="00092ED7" w:rsidRDefault="00D210F0" w:rsidP="00D210F0">
            <w:pPr>
              <w:spacing w:after="0"/>
              <w:rPr>
                <w:rFonts w:cs="Times New Roman"/>
                <w:color w:val="000000"/>
                <w:sz w:val="18"/>
                <w:szCs w:val="18"/>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07D7C09"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90C21BC" w14:textId="77777777" w:rsidR="00D210F0" w:rsidRPr="00092ED7" w:rsidRDefault="00D210F0" w:rsidP="00D210F0">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177198B"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11BAC2F" w14:textId="77777777" w:rsidR="00D210F0" w:rsidRPr="00092ED7" w:rsidRDefault="00D210F0" w:rsidP="00D210F0">
            <w:pPr>
              <w:spacing w:after="0"/>
              <w:rPr>
                <w:rFonts w:cs="Times New Roman"/>
                <w:color w:val="000000"/>
                <w:sz w:val="18"/>
                <w:szCs w:val="18"/>
                <w:lang w:val="sr-Cyrl-CS"/>
              </w:rPr>
            </w:pPr>
          </w:p>
        </w:tc>
        <w:tc>
          <w:tcPr>
            <w:tcW w:w="280"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3DA953E0" w14:textId="77777777" w:rsidR="00D210F0" w:rsidRPr="00092ED7" w:rsidRDefault="00D210F0" w:rsidP="00D210F0">
            <w:pPr>
              <w:spacing w:after="0"/>
              <w:rPr>
                <w:rFonts w:cs="Times New Roman"/>
                <w:color w:val="000000"/>
                <w:sz w:val="18"/>
                <w:szCs w:val="18"/>
                <w:lang w:val="sr-Cyrl-CS"/>
              </w:rPr>
            </w:pPr>
          </w:p>
        </w:tc>
      </w:tr>
      <w:tr w:rsidR="00D210F0" w:rsidRPr="00092ED7" w14:paraId="49F14C06" w14:textId="77777777" w:rsidTr="00AE4362">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39186DA0" w14:textId="77777777" w:rsidR="00D210F0" w:rsidRPr="00092ED7" w:rsidRDefault="00D210F0" w:rsidP="00D210F0">
            <w:pPr>
              <w:spacing w:after="0"/>
              <w:jc w:val="center"/>
              <w:rPr>
                <w:rFonts w:cs="Times New Roman"/>
                <w:bCs/>
                <w:sz w:val="18"/>
                <w:szCs w:val="18"/>
                <w:lang w:val="sr-Cyrl-CS"/>
              </w:rPr>
            </w:pPr>
            <w:r w:rsidRPr="00092ED7">
              <w:rPr>
                <w:rFonts w:cs="Times New Roman"/>
                <w:bCs/>
                <w:sz w:val="18"/>
                <w:szCs w:val="18"/>
                <w:lang w:val="sr-Cyrl-CS"/>
              </w:rPr>
              <w:t>4.</w:t>
            </w:r>
          </w:p>
        </w:tc>
        <w:tc>
          <w:tcPr>
            <w:tcW w:w="4385" w:type="dxa"/>
            <w:tcBorders>
              <w:top w:val="single" w:sz="4" w:space="0" w:color="auto"/>
              <w:left w:val="single" w:sz="8" w:space="0" w:color="auto"/>
              <w:bottom w:val="single" w:sz="4" w:space="0" w:color="auto"/>
              <w:right w:val="nil"/>
            </w:tcBorders>
            <w:shd w:val="clear" w:color="auto" w:fill="auto"/>
            <w:noWrap/>
            <w:tcMar>
              <w:top w:w="15" w:type="dxa"/>
              <w:left w:w="15" w:type="dxa"/>
              <w:bottom w:w="0" w:type="dxa"/>
              <w:right w:w="15" w:type="dxa"/>
            </w:tcMar>
          </w:tcPr>
          <w:p w14:paraId="79326CE3" w14:textId="588E59C8" w:rsidR="00D210F0" w:rsidRPr="00092ED7" w:rsidRDefault="00D210F0" w:rsidP="00D210F0">
            <w:pPr>
              <w:spacing w:after="0"/>
              <w:ind w:right="222"/>
              <w:rPr>
                <w:sz w:val="20"/>
                <w:szCs w:val="20"/>
                <w:lang w:val="sr-Cyrl-CS"/>
              </w:rPr>
            </w:pPr>
            <w:r w:rsidRPr="00092ED7">
              <w:rPr>
                <w:rFonts w:cs="Times New Roman"/>
                <w:sz w:val="20"/>
                <w:szCs w:val="20"/>
                <w:lang w:val="sr-Cyrl-CS"/>
              </w:rPr>
              <w:t>П</w:t>
            </w:r>
            <w:r w:rsidRPr="00092ED7">
              <w:rPr>
                <w:rFonts w:cs="Times New Roman"/>
                <w:iCs/>
                <w:sz w:val="20"/>
                <w:szCs w:val="20"/>
                <w:lang w:val="sr-Cyrl-CS"/>
              </w:rPr>
              <w:t xml:space="preserve">рипрема и изградња оптичке широкопојасне мреже у руралним областима </w:t>
            </w:r>
            <w:r w:rsidR="00F66084" w:rsidRPr="00092ED7">
              <w:rPr>
                <w:rFonts w:cs="Times New Roman"/>
                <w:iCs/>
                <w:sz w:val="20"/>
                <w:szCs w:val="20"/>
                <w:lang w:val="sr-Cyrl-CS"/>
              </w:rPr>
              <w:t xml:space="preserve">Републике </w:t>
            </w:r>
            <w:r w:rsidRPr="00092ED7">
              <w:rPr>
                <w:rFonts w:cs="Times New Roman"/>
                <w:iCs/>
                <w:sz w:val="20"/>
                <w:szCs w:val="20"/>
                <w:lang w:val="sr-Cyrl-CS"/>
              </w:rPr>
              <w:t xml:space="preserve">Србије – фаза 3 </w:t>
            </w:r>
          </w:p>
        </w:tc>
        <w:tc>
          <w:tcPr>
            <w:tcW w:w="372"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E883189"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9E10BFD" w14:textId="77777777" w:rsidR="00D210F0" w:rsidRPr="00092ED7" w:rsidRDefault="00D210F0" w:rsidP="00D210F0">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995E417"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65C37E0" w14:textId="77777777" w:rsidR="00D210F0" w:rsidRPr="00092ED7" w:rsidRDefault="00D210F0" w:rsidP="00D210F0">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AD8470C"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62A5373"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0D0568A" w14:textId="77777777" w:rsidR="00D210F0" w:rsidRPr="00092ED7" w:rsidRDefault="00D210F0" w:rsidP="00D210F0">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394DE66"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124C8F8" w14:textId="77777777" w:rsidR="00D210F0" w:rsidRPr="00092ED7" w:rsidRDefault="00D210F0" w:rsidP="00D210F0">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B3EAABC"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E28C392" w14:textId="77777777" w:rsidR="00D210F0" w:rsidRPr="00092ED7" w:rsidRDefault="00D210F0" w:rsidP="00D210F0">
            <w:pPr>
              <w:spacing w:after="0"/>
              <w:rPr>
                <w:rFonts w:cs="Times New Roman"/>
                <w:color w:val="000000"/>
                <w:sz w:val="18"/>
                <w:szCs w:val="18"/>
                <w:lang w:val="sr-Cyrl-CS"/>
              </w:rPr>
            </w:pPr>
          </w:p>
        </w:tc>
        <w:tc>
          <w:tcPr>
            <w:tcW w:w="28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CE36046" w14:textId="77777777" w:rsidR="00D210F0" w:rsidRPr="00092ED7" w:rsidRDefault="00D210F0" w:rsidP="00D210F0">
            <w:pPr>
              <w:spacing w:after="0"/>
              <w:rPr>
                <w:rFonts w:cs="Times New Roman"/>
                <w:color w:val="000000"/>
                <w:sz w:val="18"/>
                <w:szCs w:val="18"/>
                <w:lang w:val="sr-Cyrl-CS"/>
              </w:rPr>
            </w:pPr>
          </w:p>
        </w:tc>
      </w:tr>
    </w:tbl>
    <w:p w14:paraId="48FE5FEA" w14:textId="77777777" w:rsidR="00D210F0" w:rsidRPr="00092ED7" w:rsidRDefault="00D210F0" w:rsidP="00071952">
      <w:pPr>
        <w:widowControl w:val="0"/>
        <w:numPr>
          <w:ilvl w:val="0"/>
          <w:numId w:val="41"/>
        </w:numPr>
        <w:spacing w:before="120"/>
        <w:ind w:left="425" w:hanging="425"/>
        <w:rPr>
          <w:rFonts w:cs="Times New Roman"/>
          <w:b/>
          <w:bCs/>
          <w:szCs w:val="24"/>
          <w:lang w:val="sr-Cyrl-CS"/>
        </w:rPr>
      </w:pPr>
      <w:r w:rsidRPr="00092ED7">
        <w:rPr>
          <w:rFonts w:cs="Times New Roman"/>
          <w:b/>
          <w:bCs/>
          <w:szCs w:val="24"/>
          <w:lang w:val="sr-Cyrl-CS"/>
        </w:rPr>
        <w:t>Индикатори ризика</w:t>
      </w:r>
    </w:p>
    <w:tbl>
      <w:tblPr>
        <w:tblStyle w:val="TableGrid"/>
        <w:tblW w:w="9214" w:type="dxa"/>
        <w:tblInd w:w="-5" w:type="dxa"/>
        <w:tblLayout w:type="fixed"/>
        <w:tblLook w:val="04A0" w:firstRow="1" w:lastRow="0" w:firstColumn="1" w:lastColumn="0" w:noHBand="0" w:noVBand="1"/>
      </w:tblPr>
      <w:tblGrid>
        <w:gridCol w:w="4111"/>
        <w:gridCol w:w="1701"/>
        <w:gridCol w:w="1701"/>
        <w:gridCol w:w="1701"/>
      </w:tblGrid>
      <w:tr w:rsidR="00D210F0" w:rsidRPr="00092ED7" w14:paraId="419668C5" w14:textId="77777777" w:rsidTr="00BA1B20">
        <w:trPr>
          <w:cnfStyle w:val="100000000000" w:firstRow="1" w:lastRow="0" w:firstColumn="0" w:lastColumn="0" w:oddVBand="0" w:evenVBand="0" w:oddHBand="0" w:evenHBand="0" w:firstRowFirstColumn="0" w:firstRowLastColumn="0" w:lastRowFirstColumn="0" w:lastRowLastColumn="0"/>
          <w:trHeight w:val="353"/>
        </w:trPr>
        <w:tc>
          <w:tcPr>
            <w:tcW w:w="4111" w:type="dxa"/>
          </w:tcPr>
          <w:p w14:paraId="61B276C3" w14:textId="77777777" w:rsidR="00D210F0" w:rsidRPr="00092ED7" w:rsidRDefault="00D210F0" w:rsidP="00C429AB">
            <w:pPr>
              <w:spacing w:before="0" w:after="0"/>
              <w:ind w:left="113" w:right="113"/>
              <w:jc w:val="center"/>
              <w:rPr>
                <w:sz w:val="20"/>
                <w:lang w:val="sr-Cyrl-CS"/>
              </w:rPr>
            </w:pPr>
            <w:r w:rsidRPr="00092ED7">
              <w:rPr>
                <w:rFonts w:cs="Times New Roman"/>
                <w:sz w:val="20"/>
                <w:lang w:val="sr-Cyrl-CS"/>
              </w:rPr>
              <w:t>Показатељ</w:t>
            </w:r>
          </w:p>
        </w:tc>
        <w:tc>
          <w:tcPr>
            <w:tcW w:w="1701" w:type="dxa"/>
          </w:tcPr>
          <w:p w14:paraId="1683001E" w14:textId="77777777" w:rsidR="00D210F0" w:rsidRPr="00092ED7" w:rsidRDefault="00D210F0" w:rsidP="00C429AB">
            <w:pPr>
              <w:spacing w:before="0" w:after="0"/>
              <w:ind w:left="113" w:right="113"/>
              <w:jc w:val="center"/>
              <w:rPr>
                <w:sz w:val="20"/>
                <w:lang w:val="sr-Cyrl-CS"/>
              </w:rPr>
            </w:pPr>
            <w:r w:rsidRPr="00092ED7">
              <w:rPr>
                <w:rFonts w:cs="Times New Roman"/>
                <w:sz w:val="20"/>
                <w:lang w:val="sr-Cyrl-CS"/>
              </w:rPr>
              <w:t>Почетна вредност</w:t>
            </w:r>
          </w:p>
        </w:tc>
        <w:tc>
          <w:tcPr>
            <w:tcW w:w="1701" w:type="dxa"/>
          </w:tcPr>
          <w:p w14:paraId="3AA83A3E" w14:textId="77777777" w:rsidR="00D210F0" w:rsidRPr="00092ED7" w:rsidRDefault="00D210F0" w:rsidP="00C429AB">
            <w:pPr>
              <w:spacing w:before="0" w:after="0"/>
              <w:ind w:left="113" w:right="113"/>
              <w:jc w:val="center"/>
              <w:rPr>
                <w:sz w:val="20"/>
                <w:lang w:val="sr-Cyrl-CS"/>
              </w:rPr>
            </w:pPr>
            <w:r w:rsidRPr="00092ED7">
              <w:rPr>
                <w:rFonts w:cs="Times New Roman"/>
                <w:sz w:val="20"/>
                <w:lang w:val="sr-Cyrl-CS"/>
              </w:rPr>
              <w:t>Међурезултат</w:t>
            </w:r>
          </w:p>
        </w:tc>
        <w:tc>
          <w:tcPr>
            <w:tcW w:w="1701" w:type="dxa"/>
          </w:tcPr>
          <w:p w14:paraId="62CF30F7" w14:textId="77777777" w:rsidR="00D210F0" w:rsidRPr="00092ED7" w:rsidRDefault="00D210F0" w:rsidP="00C429AB">
            <w:pPr>
              <w:spacing w:before="0" w:after="0"/>
              <w:ind w:left="113" w:right="113"/>
              <w:jc w:val="center"/>
              <w:rPr>
                <w:sz w:val="20"/>
                <w:lang w:val="sr-Cyrl-CS"/>
              </w:rPr>
            </w:pPr>
            <w:r w:rsidRPr="00092ED7">
              <w:rPr>
                <w:rFonts w:cs="Times New Roman"/>
                <w:sz w:val="20"/>
                <w:lang w:val="sr-Cyrl-CS"/>
              </w:rPr>
              <w:t>Циљна вредност</w:t>
            </w:r>
          </w:p>
        </w:tc>
      </w:tr>
      <w:tr w:rsidR="00D210F0" w:rsidRPr="00092ED7" w14:paraId="6AB5DC5B" w14:textId="77777777" w:rsidTr="00BA1B20">
        <w:tc>
          <w:tcPr>
            <w:tcW w:w="4111" w:type="dxa"/>
          </w:tcPr>
          <w:p w14:paraId="423E1CC4" w14:textId="77777777" w:rsidR="00D210F0" w:rsidRPr="00092ED7" w:rsidRDefault="00D210F0" w:rsidP="00C429AB">
            <w:pPr>
              <w:spacing w:before="0" w:after="0"/>
              <w:ind w:left="113" w:right="113"/>
              <w:rPr>
                <w:sz w:val="20"/>
                <w:lang w:val="sr-Cyrl-CS"/>
              </w:rPr>
            </w:pPr>
            <w:r w:rsidRPr="00092ED7">
              <w:rPr>
                <w:rFonts w:cs="Times New Roman"/>
                <w:sz w:val="20"/>
                <w:lang w:val="sr-Cyrl-CS"/>
              </w:rPr>
              <w:t>Број руралних насеља којима је омогућен приступ широкопојасном интернету</w:t>
            </w:r>
          </w:p>
        </w:tc>
        <w:tc>
          <w:tcPr>
            <w:tcW w:w="1701" w:type="dxa"/>
          </w:tcPr>
          <w:p w14:paraId="63E264D1" w14:textId="77777777" w:rsidR="00D210F0" w:rsidRPr="00092ED7" w:rsidRDefault="00D210F0" w:rsidP="00C429AB">
            <w:pPr>
              <w:spacing w:before="0" w:after="0"/>
              <w:ind w:left="113" w:right="113"/>
              <w:jc w:val="center"/>
              <w:rPr>
                <w:rFonts w:cs="Times New Roman"/>
                <w:sz w:val="20"/>
                <w:lang w:val="sr-Cyrl-CS"/>
              </w:rPr>
            </w:pPr>
            <w:r w:rsidRPr="00092ED7">
              <w:rPr>
                <w:rFonts w:cs="Times New Roman"/>
                <w:sz w:val="20"/>
                <w:lang w:val="sr-Cyrl-CS"/>
              </w:rPr>
              <w:t>0</w:t>
            </w:r>
            <w:r w:rsidR="001515BF" w:rsidRPr="00092ED7">
              <w:rPr>
                <w:rFonts w:cs="Times New Roman"/>
                <w:sz w:val="20"/>
                <w:lang w:val="sr-Cyrl-CS"/>
              </w:rPr>
              <w:t xml:space="preserve"> </w:t>
            </w:r>
            <w:r w:rsidR="008723CF" w:rsidRPr="00092ED7">
              <w:rPr>
                <w:rFonts w:cs="Times New Roman"/>
                <w:sz w:val="20"/>
                <w:lang w:val="sr-Cyrl-CS"/>
              </w:rPr>
              <w:t>(2022</w:t>
            </w:r>
            <w:r w:rsidRPr="00092ED7">
              <w:rPr>
                <w:rFonts w:cs="Times New Roman"/>
                <w:sz w:val="20"/>
                <w:lang w:val="sr-Cyrl-CS"/>
              </w:rPr>
              <w:t>)</w:t>
            </w:r>
          </w:p>
        </w:tc>
        <w:tc>
          <w:tcPr>
            <w:tcW w:w="1701" w:type="dxa"/>
          </w:tcPr>
          <w:p w14:paraId="7F42890D" w14:textId="77777777" w:rsidR="00D210F0" w:rsidRPr="00092ED7" w:rsidRDefault="008723CF" w:rsidP="00C429AB">
            <w:pPr>
              <w:spacing w:before="0" w:after="0"/>
              <w:ind w:left="113" w:right="113"/>
              <w:jc w:val="center"/>
              <w:rPr>
                <w:rFonts w:cs="Times New Roman"/>
                <w:sz w:val="20"/>
                <w:lang w:val="sr-Cyrl-CS"/>
              </w:rPr>
            </w:pPr>
            <w:r w:rsidRPr="00092ED7">
              <w:rPr>
                <w:rFonts w:cs="Times New Roman"/>
                <w:sz w:val="20"/>
                <w:lang w:val="sr-Cyrl-CS"/>
              </w:rPr>
              <w:t xml:space="preserve">250 </w:t>
            </w:r>
            <w:r w:rsidR="00D210F0" w:rsidRPr="00092ED7">
              <w:rPr>
                <w:rFonts w:cs="Times New Roman"/>
                <w:sz w:val="20"/>
                <w:lang w:val="sr-Cyrl-CS"/>
              </w:rPr>
              <w:t>(2023)</w:t>
            </w:r>
          </w:p>
        </w:tc>
        <w:tc>
          <w:tcPr>
            <w:tcW w:w="1701" w:type="dxa"/>
          </w:tcPr>
          <w:p w14:paraId="3690C3D7" w14:textId="77777777" w:rsidR="00D210F0" w:rsidRPr="00092ED7" w:rsidRDefault="008723CF" w:rsidP="00C429AB">
            <w:pPr>
              <w:spacing w:before="0" w:after="0"/>
              <w:ind w:left="113" w:right="113"/>
              <w:jc w:val="center"/>
              <w:rPr>
                <w:rFonts w:cs="Times New Roman"/>
                <w:sz w:val="20"/>
                <w:lang w:val="sr-Cyrl-CS"/>
              </w:rPr>
            </w:pPr>
            <w:r w:rsidRPr="00092ED7">
              <w:rPr>
                <w:rFonts w:cs="Times New Roman"/>
                <w:sz w:val="20"/>
                <w:lang w:val="sr-Cyrl-CS"/>
              </w:rPr>
              <w:t xml:space="preserve">1000 </w:t>
            </w:r>
            <w:r w:rsidR="00D210F0" w:rsidRPr="00092ED7">
              <w:rPr>
                <w:rFonts w:cs="Times New Roman"/>
                <w:sz w:val="20"/>
                <w:lang w:val="sr-Cyrl-CS"/>
              </w:rPr>
              <w:t>(2025)</w:t>
            </w:r>
          </w:p>
        </w:tc>
      </w:tr>
      <w:tr w:rsidR="00D210F0" w:rsidRPr="00092ED7" w14:paraId="02366CC4" w14:textId="77777777" w:rsidTr="00BA1B20">
        <w:tc>
          <w:tcPr>
            <w:tcW w:w="4111" w:type="dxa"/>
          </w:tcPr>
          <w:p w14:paraId="5DD37350" w14:textId="77777777" w:rsidR="00D210F0" w:rsidRPr="00092ED7" w:rsidRDefault="008723CF" w:rsidP="00C429AB">
            <w:pPr>
              <w:spacing w:before="0" w:after="0"/>
              <w:ind w:left="113" w:right="113"/>
              <w:rPr>
                <w:sz w:val="20"/>
                <w:lang w:val="sr-Cyrl-CS"/>
              </w:rPr>
            </w:pPr>
            <w:r w:rsidRPr="00092ED7">
              <w:rPr>
                <w:rFonts w:cs="Times New Roman"/>
                <w:sz w:val="20"/>
                <w:lang w:val="sr-Cyrl-CS"/>
              </w:rPr>
              <w:t>Број школских објеката у којима је изграђена бежична локална рачунарска мрежа</w:t>
            </w:r>
          </w:p>
        </w:tc>
        <w:tc>
          <w:tcPr>
            <w:tcW w:w="1701" w:type="dxa"/>
          </w:tcPr>
          <w:p w14:paraId="13FB9F41" w14:textId="77777777" w:rsidR="00D210F0" w:rsidRPr="00092ED7" w:rsidRDefault="008723CF" w:rsidP="00C429AB">
            <w:pPr>
              <w:spacing w:before="0" w:after="0"/>
              <w:ind w:left="113" w:right="113"/>
              <w:jc w:val="center"/>
              <w:rPr>
                <w:sz w:val="20"/>
                <w:lang w:val="sr-Cyrl-CS"/>
              </w:rPr>
            </w:pPr>
            <w:r w:rsidRPr="00092ED7">
              <w:rPr>
                <w:rFonts w:cs="Times New Roman"/>
                <w:sz w:val="20"/>
                <w:lang w:val="sr-Cyrl-CS"/>
              </w:rPr>
              <w:t xml:space="preserve">0 </w:t>
            </w:r>
            <w:r w:rsidR="00D210F0" w:rsidRPr="00092ED7">
              <w:rPr>
                <w:rFonts w:cs="Times New Roman"/>
                <w:sz w:val="20"/>
                <w:lang w:val="sr-Cyrl-CS"/>
              </w:rPr>
              <w:t>(</w:t>
            </w:r>
            <w:r w:rsidRPr="00092ED7">
              <w:rPr>
                <w:rFonts w:cs="Times New Roman"/>
                <w:sz w:val="20"/>
                <w:lang w:val="sr-Cyrl-CS"/>
              </w:rPr>
              <w:t>2018</w:t>
            </w:r>
            <w:r w:rsidR="00D210F0" w:rsidRPr="00092ED7">
              <w:rPr>
                <w:rFonts w:cs="Times New Roman"/>
                <w:sz w:val="20"/>
                <w:lang w:val="sr-Cyrl-CS"/>
              </w:rPr>
              <w:t>)</w:t>
            </w:r>
          </w:p>
        </w:tc>
        <w:tc>
          <w:tcPr>
            <w:tcW w:w="1701" w:type="dxa"/>
          </w:tcPr>
          <w:p w14:paraId="37193643" w14:textId="77777777" w:rsidR="00D210F0" w:rsidRPr="00092ED7" w:rsidRDefault="008723CF" w:rsidP="00C429AB">
            <w:pPr>
              <w:spacing w:before="0" w:after="0"/>
              <w:ind w:left="113" w:right="113"/>
              <w:jc w:val="center"/>
              <w:rPr>
                <w:sz w:val="20"/>
                <w:lang w:val="sr-Cyrl-CS"/>
              </w:rPr>
            </w:pPr>
            <w:r w:rsidRPr="00092ED7">
              <w:rPr>
                <w:rFonts w:cs="Times New Roman"/>
                <w:sz w:val="20"/>
                <w:lang w:val="sr-Cyrl-CS"/>
              </w:rPr>
              <w:t>1900</w:t>
            </w:r>
            <w:r w:rsidR="00D210F0" w:rsidRPr="00092ED7">
              <w:rPr>
                <w:rFonts w:cs="Times New Roman"/>
                <w:sz w:val="20"/>
                <w:lang w:val="sr-Cyrl-CS"/>
              </w:rPr>
              <w:t xml:space="preserve"> (2023)</w:t>
            </w:r>
          </w:p>
        </w:tc>
        <w:tc>
          <w:tcPr>
            <w:tcW w:w="1701" w:type="dxa"/>
          </w:tcPr>
          <w:p w14:paraId="5D438447" w14:textId="77777777" w:rsidR="00D210F0" w:rsidRPr="00092ED7" w:rsidRDefault="008723CF" w:rsidP="00C429AB">
            <w:pPr>
              <w:spacing w:before="0" w:after="0"/>
              <w:ind w:left="113" w:right="113"/>
              <w:jc w:val="center"/>
              <w:rPr>
                <w:rFonts w:cs="Times New Roman"/>
                <w:sz w:val="20"/>
                <w:lang w:val="sr-Cyrl-CS"/>
              </w:rPr>
            </w:pPr>
            <w:r w:rsidRPr="00092ED7">
              <w:rPr>
                <w:rFonts w:cs="Times New Roman"/>
                <w:sz w:val="20"/>
                <w:lang w:val="sr-Cyrl-CS"/>
              </w:rPr>
              <w:t>1900 (2025)</w:t>
            </w:r>
          </w:p>
        </w:tc>
      </w:tr>
      <w:tr w:rsidR="00275B59" w:rsidRPr="00092ED7" w14:paraId="0E128964" w14:textId="77777777" w:rsidTr="00BA1B20">
        <w:tc>
          <w:tcPr>
            <w:tcW w:w="4111" w:type="dxa"/>
          </w:tcPr>
          <w:p w14:paraId="7CF74DED" w14:textId="763F4AFC" w:rsidR="00275B59" w:rsidRPr="00092ED7" w:rsidDel="002F0F47" w:rsidRDefault="00275B59" w:rsidP="00460F4E">
            <w:pPr>
              <w:spacing w:before="0" w:after="0"/>
              <w:ind w:left="113" w:right="113"/>
              <w:rPr>
                <w:rFonts w:cs="Times New Roman"/>
                <w:sz w:val="20"/>
                <w:lang w:val="sr-Cyrl-CS"/>
              </w:rPr>
            </w:pPr>
            <w:r w:rsidRPr="00092ED7">
              <w:rPr>
                <w:rFonts w:cs="Times New Roman"/>
                <w:sz w:val="20"/>
                <w:lang w:val="sr-Cyrl-CS"/>
              </w:rPr>
              <w:t>Број школских објеката повезаних на</w:t>
            </w:r>
            <w:r w:rsidR="006E4DE0" w:rsidRPr="00092ED7">
              <w:rPr>
                <w:rFonts w:cs="Times New Roman"/>
                <w:sz w:val="20"/>
                <w:lang w:val="sr-Cyrl-CS"/>
              </w:rPr>
              <w:t xml:space="preserve"> </w:t>
            </w:r>
            <w:r w:rsidRPr="00092ED7">
              <w:rPr>
                <w:rFonts w:cs="Times New Roman"/>
                <w:sz w:val="20"/>
                <w:lang w:val="sr-Cyrl-CS"/>
              </w:rPr>
              <w:t>АМРЕС</w:t>
            </w:r>
            <w:r w:rsidR="006E4DE0" w:rsidRPr="00092ED7">
              <w:rPr>
                <w:rFonts w:cs="Times New Roman"/>
                <w:sz w:val="20"/>
                <w:lang w:val="sr-Cyrl-CS"/>
              </w:rPr>
              <w:t xml:space="preserve"> мреж</w:t>
            </w:r>
            <w:r w:rsidR="00B92325" w:rsidRPr="00092ED7">
              <w:rPr>
                <w:rFonts w:cs="Times New Roman"/>
                <w:sz w:val="20"/>
                <w:lang w:val="sr-Cyrl-CS"/>
              </w:rPr>
              <w:t xml:space="preserve">у </w:t>
            </w:r>
            <w:r w:rsidR="00B92325" w:rsidRPr="00092ED7">
              <w:rPr>
                <w:rFonts w:eastAsia="Times New Roman" w:cs="Times New Roman"/>
                <w:color w:val="000000"/>
                <w:sz w:val="20"/>
                <w:lang w:val="sr-Cyrl-CS"/>
              </w:rPr>
              <w:t>(унапређење квалитета и брзине</w:t>
            </w:r>
            <w:r w:rsidR="006E4DE0" w:rsidRPr="00092ED7">
              <w:rPr>
                <w:rFonts w:cs="Times New Roman"/>
                <w:sz w:val="20"/>
                <w:lang w:val="sr-Cyrl-CS"/>
              </w:rPr>
              <w:t>)</w:t>
            </w:r>
          </w:p>
        </w:tc>
        <w:tc>
          <w:tcPr>
            <w:tcW w:w="1701" w:type="dxa"/>
          </w:tcPr>
          <w:p w14:paraId="36757C2E" w14:textId="77777777" w:rsidR="00275B59" w:rsidRPr="00092ED7" w:rsidDel="002F0F47" w:rsidRDefault="00275B59" w:rsidP="00251168">
            <w:pPr>
              <w:spacing w:before="0" w:after="0"/>
              <w:ind w:left="113" w:right="113"/>
              <w:jc w:val="center"/>
              <w:rPr>
                <w:rFonts w:cs="Times New Roman"/>
                <w:sz w:val="20"/>
                <w:lang w:val="sr-Cyrl-CS"/>
              </w:rPr>
            </w:pPr>
            <w:r w:rsidRPr="00092ED7">
              <w:rPr>
                <w:rFonts w:cs="Times New Roman"/>
                <w:sz w:val="20"/>
                <w:lang w:val="sr-Cyrl-CS"/>
              </w:rPr>
              <w:t>1700 (2021)</w:t>
            </w:r>
          </w:p>
        </w:tc>
        <w:tc>
          <w:tcPr>
            <w:tcW w:w="1701" w:type="dxa"/>
          </w:tcPr>
          <w:p w14:paraId="5429BDA9" w14:textId="77777777" w:rsidR="00275B59" w:rsidRPr="00092ED7" w:rsidDel="002F0F47" w:rsidRDefault="00275B59" w:rsidP="00251168">
            <w:pPr>
              <w:spacing w:before="0" w:after="0"/>
              <w:ind w:left="113" w:right="113"/>
              <w:jc w:val="center"/>
              <w:rPr>
                <w:rFonts w:cs="Times New Roman"/>
                <w:sz w:val="20"/>
                <w:lang w:val="sr-Cyrl-CS"/>
              </w:rPr>
            </w:pPr>
            <w:r w:rsidRPr="00092ED7">
              <w:rPr>
                <w:rFonts w:cs="Times New Roman"/>
                <w:sz w:val="20"/>
                <w:lang w:val="sr-Cyrl-CS"/>
              </w:rPr>
              <w:t>4000 (2023)</w:t>
            </w:r>
          </w:p>
        </w:tc>
        <w:tc>
          <w:tcPr>
            <w:tcW w:w="1701" w:type="dxa"/>
          </w:tcPr>
          <w:p w14:paraId="605DEB23" w14:textId="77777777" w:rsidR="00275B59" w:rsidRPr="00092ED7" w:rsidRDefault="00275B59" w:rsidP="00251168">
            <w:pPr>
              <w:spacing w:before="0" w:after="0"/>
              <w:ind w:left="113" w:right="113"/>
              <w:jc w:val="center"/>
              <w:rPr>
                <w:rFonts w:cs="Times New Roman"/>
                <w:sz w:val="20"/>
                <w:lang w:val="sr-Cyrl-CS"/>
              </w:rPr>
            </w:pPr>
            <w:r w:rsidRPr="00092ED7">
              <w:rPr>
                <w:rFonts w:cs="Times New Roman"/>
                <w:sz w:val="20"/>
                <w:lang w:val="sr-Cyrl-CS"/>
              </w:rPr>
              <w:t>4000 (2025)</w:t>
            </w:r>
          </w:p>
        </w:tc>
      </w:tr>
    </w:tbl>
    <w:p w14:paraId="782D757A" w14:textId="77777777" w:rsidR="00D210F0" w:rsidRPr="00092ED7" w:rsidRDefault="00D210F0" w:rsidP="00071952">
      <w:pPr>
        <w:widowControl w:val="0"/>
        <w:numPr>
          <w:ilvl w:val="0"/>
          <w:numId w:val="41"/>
        </w:numPr>
        <w:spacing w:before="120"/>
        <w:ind w:left="425" w:hanging="425"/>
        <w:rPr>
          <w:rFonts w:cs="Times New Roman"/>
          <w:b/>
          <w:bCs/>
          <w:szCs w:val="24"/>
          <w:lang w:val="sr-Cyrl-CS"/>
        </w:rPr>
      </w:pPr>
      <w:r w:rsidRPr="00092ED7">
        <w:rPr>
          <w:rFonts w:cs="Times New Roman"/>
          <w:b/>
          <w:szCs w:val="24"/>
          <w:lang w:val="sr-Cyrl-CS"/>
        </w:rPr>
        <w:t>Oчекивани утицај на конкурентност</w:t>
      </w:r>
    </w:p>
    <w:p w14:paraId="0300B359" w14:textId="77777777" w:rsidR="00813CC2" w:rsidRPr="00092ED7" w:rsidRDefault="00F14A72" w:rsidP="00191E06">
      <w:pPr>
        <w:widowControl w:val="0"/>
        <w:spacing w:after="60"/>
        <w:rPr>
          <w:rFonts w:cs="Times New Roman"/>
          <w:szCs w:val="24"/>
          <w:lang w:val="sr-Cyrl-CS"/>
        </w:rPr>
      </w:pPr>
      <w:r w:rsidRPr="00092ED7">
        <w:rPr>
          <w:rFonts w:cs="Times New Roman"/>
          <w:szCs w:val="24"/>
          <w:lang w:val="sr-Cyrl-CS"/>
        </w:rPr>
        <w:t>Позитиван ефекат реализације реформе огледа се кроз развој руралних области, повезивање привредних региона, развој индустријских зона, као и повећање употребе нових технологија и иновација у пословању и образовању. Развој информационе-комуникационе инфраструктуре је база развоја дигиталне економије чиме се стварају предуслови за брже, сигурније и ефикасније пословање привредних субјеката што доводи до повећања конкурентности свих учесника у сфери пословања.</w:t>
      </w:r>
    </w:p>
    <w:p w14:paraId="4CED11B5" w14:textId="77777777" w:rsidR="00D210F0" w:rsidRPr="00092ED7" w:rsidRDefault="00D210F0" w:rsidP="00813CC2">
      <w:pPr>
        <w:widowControl w:val="0"/>
        <w:numPr>
          <w:ilvl w:val="0"/>
          <w:numId w:val="41"/>
        </w:numPr>
        <w:spacing w:before="120"/>
        <w:ind w:left="425" w:hanging="425"/>
        <w:rPr>
          <w:rFonts w:cs="Times New Roman"/>
          <w:b/>
          <w:szCs w:val="24"/>
          <w:lang w:val="sr-Cyrl-CS"/>
        </w:rPr>
      </w:pPr>
      <w:r w:rsidRPr="00092ED7">
        <w:rPr>
          <w:rFonts w:cs="Times New Roman"/>
          <w:b/>
          <w:szCs w:val="24"/>
          <w:lang w:val="sr-Cyrl-CS"/>
        </w:rPr>
        <w:t>Процењени трошкови спровођења структурне реформе и предвиђени извори њиховог финансирања</w:t>
      </w:r>
    </w:p>
    <w:p w14:paraId="3DCD2552" w14:textId="5A9EA8AB" w:rsidR="007750E3" w:rsidRPr="00092ED7" w:rsidRDefault="007750E3" w:rsidP="00191E06">
      <w:pPr>
        <w:widowControl w:val="0"/>
        <w:spacing w:after="60"/>
        <w:rPr>
          <w:rFonts w:cs="Times New Roman"/>
          <w:iCs/>
          <w:szCs w:val="24"/>
          <w:lang w:val="sr-Cyrl-CS"/>
        </w:rPr>
      </w:pPr>
      <w:r w:rsidRPr="00092ED7">
        <w:rPr>
          <w:rFonts w:cs="Times New Roman"/>
          <w:iCs/>
          <w:szCs w:val="24"/>
          <w:lang w:val="sr-Cyrl-CS"/>
        </w:rPr>
        <w:t>У 2023. години за повезивање установа образовања и културе на АМРЕС</w:t>
      </w:r>
      <w:r w:rsidR="00B92325" w:rsidRPr="00092ED7">
        <w:rPr>
          <w:rFonts w:cs="Times New Roman"/>
          <w:iCs/>
          <w:szCs w:val="24"/>
          <w:lang w:val="sr-Cyrl-CS"/>
        </w:rPr>
        <w:t xml:space="preserve"> мрежу</w:t>
      </w:r>
      <w:r w:rsidRPr="00092ED7">
        <w:rPr>
          <w:rFonts w:cs="Times New Roman"/>
          <w:iCs/>
          <w:szCs w:val="24"/>
          <w:lang w:val="sr-Cyrl-CS"/>
        </w:rPr>
        <w:t xml:space="preserve"> </w:t>
      </w:r>
      <w:r w:rsidRPr="00092ED7">
        <w:rPr>
          <w:rFonts w:eastAsia="Times New Roman" w:cs="Times New Roman"/>
          <w:color w:val="000000"/>
          <w:szCs w:val="24"/>
          <w:lang w:val="sr-Cyrl-CS"/>
        </w:rPr>
        <w:t xml:space="preserve">(унапређење квалитета и брзине) </w:t>
      </w:r>
      <w:r w:rsidRPr="00092ED7">
        <w:rPr>
          <w:rFonts w:cs="Times New Roman"/>
          <w:iCs/>
          <w:szCs w:val="24"/>
          <w:lang w:val="sr-Cyrl-CS"/>
        </w:rPr>
        <w:t xml:space="preserve">биће обезбеђено 1.952.663 евра буџетских средстава, за реализацију пројекта „Повезане школе”- </w:t>
      </w:r>
      <w:r w:rsidR="00460F4E" w:rsidRPr="00092ED7">
        <w:rPr>
          <w:rFonts w:cs="Times New Roman"/>
          <w:iCs/>
          <w:szCs w:val="24"/>
          <w:lang w:val="sr-Cyrl-CS"/>
        </w:rPr>
        <w:t xml:space="preserve">фаза 3 биће издвојено </w:t>
      </w:r>
      <w:r w:rsidR="005701C0" w:rsidRPr="00092ED7">
        <w:rPr>
          <w:rFonts w:cs="Times New Roman"/>
          <w:iCs/>
          <w:szCs w:val="24"/>
          <w:lang w:val="sr-Cyrl-CS"/>
        </w:rPr>
        <w:t xml:space="preserve">пет </w:t>
      </w:r>
      <w:r w:rsidRPr="00092ED7">
        <w:rPr>
          <w:rFonts w:cs="Times New Roman"/>
          <w:iCs/>
          <w:szCs w:val="24"/>
          <w:lang w:val="sr-Cyrl-CS"/>
        </w:rPr>
        <w:t>милиона евра из пројектног зајма. Активности на припреми и изградњи оптичке широкопојасне мреже у руралним областима – фазе 1 и 2 финансираће се у износу од 84.800.000 евра из пројектног зајма и финансијске помоћи ЕУ (WBIF грант). Активности на припреми и изградњи оптичке широкопојасне мреже у руралним областима – фаза 3 финансираће се из пројектног зајма и финансијске помоћи ЕУ у износу од 15 милиона евра.</w:t>
      </w:r>
    </w:p>
    <w:p w14:paraId="021DA019" w14:textId="77777777" w:rsidR="007750E3" w:rsidRPr="00092ED7" w:rsidRDefault="007750E3" w:rsidP="00191E06">
      <w:pPr>
        <w:widowControl w:val="0"/>
        <w:spacing w:after="60"/>
        <w:rPr>
          <w:rFonts w:cs="Times New Roman"/>
          <w:iCs/>
          <w:szCs w:val="24"/>
          <w:lang w:val="sr-Cyrl-CS"/>
        </w:rPr>
      </w:pPr>
      <w:r w:rsidRPr="00092ED7">
        <w:rPr>
          <w:rFonts w:cs="Times New Roman"/>
          <w:iCs/>
          <w:szCs w:val="24"/>
          <w:lang w:val="sr-Cyrl-CS"/>
        </w:rPr>
        <w:t xml:space="preserve">У 2024. години планирана су буџетска средства у износу од 2.207.734 евра за повезивање установа образовања и културе на АМРЕС мрежу </w:t>
      </w:r>
      <w:r w:rsidRPr="00092ED7">
        <w:rPr>
          <w:rFonts w:eastAsia="Times New Roman" w:cs="Times New Roman"/>
          <w:color w:val="000000"/>
          <w:szCs w:val="24"/>
          <w:lang w:val="sr-Cyrl-CS"/>
        </w:rPr>
        <w:t>(унапређење квалитета и брзине)</w:t>
      </w:r>
      <w:r w:rsidRPr="00092ED7">
        <w:rPr>
          <w:rFonts w:cs="Times New Roman"/>
          <w:iCs/>
          <w:szCs w:val="24"/>
          <w:lang w:val="sr-Cyrl-CS"/>
        </w:rPr>
        <w:t>. Активности на припреми и изградњи оптичке широкопојасне мреже у руралним областима – фазе 1 и 2 финансираће се из пројектног зајма и финансијске помоћи ЕУ у износу од 49.000.000 евра. Активности на припреми и изградњи оптичке широкопојасне мреже у руралним областима – фаза 3 финансираће се из пројектног зајма и финансијске помоћи ЕУ у износу од 77.500.000 евра.</w:t>
      </w:r>
    </w:p>
    <w:p w14:paraId="45938260" w14:textId="77777777" w:rsidR="00FB05B7" w:rsidRPr="00092ED7" w:rsidRDefault="007750E3" w:rsidP="00191E06">
      <w:pPr>
        <w:widowControl w:val="0"/>
        <w:spacing w:after="60"/>
        <w:rPr>
          <w:rFonts w:cs="Times New Roman"/>
          <w:iCs/>
          <w:szCs w:val="24"/>
          <w:lang w:val="sr-Cyrl-CS"/>
        </w:rPr>
      </w:pPr>
      <w:r w:rsidRPr="00092ED7">
        <w:rPr>
          <w:rFonts w:cs="Times New Roman"/>
          <w:iCs/>
          <w:szCs w:val="24"/>
          <w:lang w:val="sr-Cyrl-CS"/>
        </w:rPr>
        <w:t xml:space="preserve">У 2025. години планирана су буџетска средства у износу од 2.207.734 евра за повезивање установа образовања и културе на АМРЕС мрежу </w:t>
      </w:r>
      <w:r w:rsidRPr="00092ED7">
        <w:rPr>
          <w:rFonts w:eastAsia="Times New Roman" w:cs="Times New Roman"/>
          <w:color w:val="000000"/>
          <w:szCs w:val="24"/>
          <w:lang w:val="sr-Cyrl-CS"/>
        </w:rPr>
        <w:t>(унапређење квалитета и брзине)</w:t>
      </w:r>
      <w:r w:rsidRPr="00092ED7">
        <w:rPr>
          <w:rFonts w:cs="Times New Roman"/>
          <w:iCs/>
          <w:szCs w:val="24"/>
          <w:lang w:val="sr-Cyrl-CS"/>
        </w:rPr>
        <w:t>. Активности на припреми и изградњи оптичке широкопојасне мреже у руралним областима – фаза 3 финансираће се из пројектног зајма и финансијске помоћи ЕУ у износу од 92.500.000 евра.</w:t>
      </w:r>
    </w:p>
    <w:p w14:paraId="46FD658F" w14:textId="77777777" w:rsidR="00D210F0" w:rsidRPr="00092ED7" w:rsidRDefault="00D210F0" w:rsidP="00071952">
      <w:pPr>
        <w:widowControl w:val="0"/>
        <w:numPr>
          <w:ilvl w:val="0"/>
          <w:numId w:val="41"/>
        </w:numPr>
        <w:spacing w:before="120"/>
        <w:ind w:left="425" w:hanging="425"/>
        <w:rPr>
          <w:rFonts w:cs="Times New Roman"/>
          <w:b/>
          <w:szCs w:val="24"/>
          <w:lang w:val="sr-Cyrl-CS"/>
        </w:rPr>
      </w:pPr>
      <w:r w:rsidRPr="00092ED7">
        <w:rPr>
          <w:rFonts w:cs="Times New Roman"/>
          <w:b/>
          <w:szCs w:val="24"/>
          <w:lang w:val="sr-Cyrl-CS"/>
        </w:rPr>
        <w:t>Очекивани утицај на социјалне циљеве, као што су запосленост, смањење сиромаштва, родна равноправност и приступ здравственој заштити</w:t>
      </w:r>
    </w:p>
    <w:p w14:paraId="022DF0C6" w14:textId="14352772" w:rsidR="00F14A72" w:rsidRPr="00092ED7" w:rsidRDefault="00D50025" w:rsidP="00191E06">
      <w:pPr>
        <w:widowControl w:val="0"/>
        <w:tabs>
          <w:tab w:val="left" w:pos="2550"/>
        </w:tabs>
        <w:spacing w:after="60"/>
        <w:rPr>
          <w:rFonts w:eastAsia="Times New Roman" w:cs="Times New Roman"/>
          <w:color w:val="000000"/>
          <w:szCs w:val="24"/>
          <w:lang w:val="sr-Cyrl-CS"/>
        </w:rPr>
      </w:pPr>
      <w:r w:rsidRPr="00092ED7">
        <w:rPr>
          <w:rFonts w:cs="Times New Roman"/>
          <w:szCs w:val="24"/>
          <w:lang w:val="sr-Cyrl-CS"/>
        </w:rPr>
        <w:t xml:space="preserve">Изградња широкопојасних комуникационих мрежа ствара услове за несметани рад преко интернета и пораст броја радних места у практично свим секторима, укључујући и сектор информационе˗комуникационе технологије. Подизање нивоа знања, компетенција и вештина у области информационо-комуникационих технологија доприноси могућностима запошљавања у ИТ области, али и другим областима у којима долази до увођења или повећања коришћења нових технологија у пословању, водећи рачуна о смањењу родног јаза у овим областима. Обезбеђењем широкопојасног приступа нове генерације смањиле би се регионалне разлике између руралних и градских и приградских насеља и омогућио би се уједначен развој свих региона Републике Србије што би дало подршку </w:t>
      </w:r>
      <w:r w:rsidR="006E44CA" w:rsidRPr="00092ED7">
        <w:rPr>
          <w:lang w:val="sr-Cyrl-CS"/>
        </w:rPr>
        <w:t>мерама за смањење депопулације</w:t>
      </w:r>
      <w:r w:rsidR="00A53F13" w:rsidRPr="00092ED7">
        <w:rPr>
          <w:lang w:val="sr-Cyrl-CS"/>
        </w:rPr>
        <w:t xml:space="preserve"> </w:t>
      </w:r>
      <w:r w:rsidRPr="00092ED7">
        <w:rPr>
          <w:rFonts w:cs="Times New Roman"/>
          <w:szCs w:val="24"/>
          <w:lang w:val="sr-Cyrl-CS"/>
        </w:rPr>
        <w:t>руралних средина и утицало би на смањење сиромаштва.</w:t>
      </w:r>
    </w:p>
    <w:p w14:paraId="377A9CE5" w14:textId="77777777" w:rsidR="00D210F0" w:rsidRPr="00092ED7" w:rsidRDefault="00D210F0" w:rsidP="00071952">
      <w:pPr>
        <w:widowControl w:val="0"/>
        <w:numPr>
          <w:ilvl w:val="0"/>
          <w:numId w:val="41"/>
        </w:numPr>
        <w:spacing w:before="120"/>
        <w:ind w:left="425" w:hanging="425"/>
        <w:rPr>
          <w:rFonts w:cs="Times New Roman"/>
          <w:b/>
          <w:szCs w:val="24"/>
          <w:lang w:val="sr-Cyrl-CS"/>
        </w:rPr>
      </w:pPr>
      <w:r w:rsidRPr="00092ED7">
        <w:rPr>
          <w:rFonts w:cs="Times New Roman"/>
          <w:b/>
          <w:szCs w:val="24"/>
          <w:lang w:val="sr-Cyrl-CS"/>
        </w:rPr>
        <w:t>Очекивани утицај на животну средину и климатске промене</w:t>
      </w:r>
    </w:p>
    <w:p w14:paraId="75E1C32C" w14:textId="706C115E" w:rsidR="00BA1B20" w:rsidRDefault="0092730B" w:rsidP="0092730B">
      <w:pPr>
        <w:widowControl w:val="0"/>
        <w:tabs>
          <w:tab w:val="left" w:pos="360"/>
        </w:tabs>
        <w:spacing w:after="60"/>
        <w:rPr>
          <w:rFonts w:eastAsia="Times New Roman" w:cs="Times New Roman"/>
          <w:color w:val="000000"/>
          <w:szCs w:val="24"/>
          <w:lang w:val="sr-Cyrl-CS"/>
        </w:rPr>
      </w:pPr>
      <w:r w:rsidRPr="00092ED7">
        <w:rPr>
          <w:rFonts w:eastAsia="Times New Roman" w:cs="Times New Roman"/>
          <w:color w:val="000000"/>
          <w:szCs w:val="24"/>
          <w:lang w:val="sr-Cyrl-CS"/>
        </w:rPr>
        <w:t xml:space="preserve">Спровођење пројектних активности омогућиће повезивање објеката јавне намене, а нарочито установа образовања, и унапређење сервиса електронске управе. Дигитализацијом </w:t>
      </w:r>
      <w:r w:rsidR="009E45BB" w:rsidRPr="00092ED7">
        <w:rPr>
          <w:rFonts w:eastAsia="Times New Roman" w:cs="Times New Roman"/>
          <w:color w:val="000000"/>
          <w:szCs w:val="24"/>
          <w:lang w:val="sr-Cyrl-CS"/>
        </w:rPr>
        <w:t xml:space="preserve">се </w:t>
      </w:r>
      <w:r w:rsidRPr="00092ED7">
        <w:rPr>
          <w:rFonts w:eastAsia="Times New Roman" w:cs="Times New Roman"/>
          <w:color w:val="000000"/>
          <w:szCs w:val="24"/>
          <w:lang w:val="sr-Cyrl-CS"/>
        </w:rPr>
        <w:t>чува</w:t>
      </w:r>
      <w:r w:rsidR="009E45BB" w:rsidRPr="00092ED7">
        <w:rPr>
          <w:rFonts w:eastAsia="Times New Roman" w:cs="Times New Roman"/>
          <w:color w:val="000000"/>
          <w:szCs w:val="24"/>
          <w:lang w:val="sr-Cyrl-CS"/>
        </w:rPr>
        <w:t xml:space="preserve"> </w:t>
      </w:r>
      <w:r w:rsidRPr="00092ED7">
        <w:rPr>
          <w:rFonts w:eastAsia="Times New Roman" w:cs="Times New Roman"/>
          <w:color w:val="000000"/>
          <w:szCs w:val="24"/>
          <w:lang w:val="sr-Cyrl-CS"/>
        </w:rPr>
        <w:t>животни простор и животн</w:t>
      </w:r>
      <w:r w:rsidR="009E45BB" w:rsidRPr="00092ED7">
        <w:rPr>
          <w:rFonts w:eastAsia="Times New Roman" w:cs="Times New Roman"/>
          <w:color w:val="000000"/>
          <w:szCs w:val="24"/>
          <w:lang w:val="sr-Cyrl-CS"/>
        </w:rPr>
        <w:t>а</w:t>
      </w:r>
      <w:r w:rsidRPr="00092ED7">
        <w:rPr>
          <w:rFonts w:eastAsia="Times New Roman" w:cs="Times New Roman"/>
          <w:color w:val="000000"/>
          <w:szCs w:val="24"/>
          <w:lang w:val="sr-Cyrl-CS"/>
        </w:rPr>
        <w:t xml:space="preserve"> средин</w:t>
      </w:r>
      <w:r w:rsidR="009E45BB" w:rsidRPr="00092ED7">
        <w:rPr>
          <w:rFonts w:eastAsia="Times New Roman" w:cs="Times New Roman"/>
          <w:color w:val="000000"/>
          <w:szCs w:val="24"/>
          <w:lang w:val="sr-Cyrl-CS"/>
        </w:rPr>
        <w:t>а</w:t>
      </w:r>
      <w:r w:rsidRPr="00092ED7">
        <w:rPr>
          <w:rFonts w:eastAsia="Times New Roman" w:cs="Times New Roman"/>
          <w:color w:val="000000"/>
          <w:szCs w:val="24"/>
          <w:lang w:val="sr-Cyrl-CS"/>
        </w:rPr>
        <w:t xml:space="preserve">. </w:t>
      </w:r>
      <w:r w:rsidR="00D210F0" w:rsidRPr="00092ED7">
        <w:rPr>
          <w:rFonts w:eastAsia="Times New Roman" w:cs="Times New Roman"/>
          <w:color w:val="000000"/>
          <w:szCs w:val="24"/>
          <w:lang w:val="sr-Cyrl-CS"/>
        </w:rPr>
        <w:t>Изградња планиране комуникационе инфраструктуре не представља опасност по здравље људи и нема</w:t>
      </w:r>
      <w:r w:rsidRPr="00092ED7">
        <w:rPr>
          <w:rFonts w:eastAsia="Times New Roman" w:cs="Times New Roman"/>
          <w:color w:val="000000"/>
          <w:szCs w:val="24"/>
          <w:lang w:val="sr-Cyrl-CS"/>
        </w:rPr>
        <w:t xml:space="preserve"> негативан</w:t>
      </w:r>
      <w:r w:rsidR="00D210F0" w:rsidRPr="00092ED7">
        <w:rPr>
          <w:rFonts w:eastAsia="Times New Roman" w:cs="Times New Roman"/>
          <w:color w:val="000000"/>
          <w:szCs w:val="24"/>
          <w:lang w:val="sr-Cyrl-CS"/>
        </w:rPr>
        <w:t xml:space="preserve"> утицај на животн</w:t>
      </w:r>
      <w:r w:rsidR="00E63AE6" w:rsidRPr="00092ED7">
        <w:rPr>
          <w:rFonts w:eastAsia="Times New Roman" w:cs="Times New Roman"/>
          <w:color w:val="000000"/>
          <w:szCs w:val="24"/>
          <w:lang w:val="sr-Cyrl-CS"/>
        </w:rPr>
        <w:t>у</w:t>
      </w:r>
      <w:r w:rsidR="00D210F0" w:rsidRPr="00092ED7">
        <w:rPr>
          <w:rFonts w:eastAsia="Times New Roman" w:cs="Times New Roman"/>
          <w:color w:val="000000"/>
          <w:szCs w:val="24"/>
          <w:lang w:val="sr-Cyrl-CS"/>
        </w:rPr>
        <w:t xml:space="preserve"> средин</w:t>
      </w:r>
      <w:r w:rsidR="00E63AE6" w:rsidRPr="00092ED7">
        <w:rPr>
          <w:rFonts w:eastAsia="Times New Roman" w:cs="Times New Roman"/>
          <w:color w:val="000000"/>
          <w:szCs w:val="24"/>
          <w:lang w:val="sr-Cyrl-CS"/>
        </w:rPr>
        <w:t>у</w:t>
      </w:r>
      <w:r w:rsidRPr="00092ED7">
        <w:rPr>
          <w:rFonts w:eastAsia="Times New Roman" w:cs="Times New Roman"/>
          <w:color w:val="000000"/>
          <w:szCs w:val="24"/>
          <w:lang w:val="sr-Cyrl-CS"/>
        </w:rPr>
        <w:t>, као</w:t>
      </w:r>
      <w:r w:rsidR="00E63AE6" w:rsidRPr="00092ED7">
        <w:rPr>
          <w:rFonts w:eastAsia="Times New Roman" w:cs="Times New Roman"/>
          <w:color w:val="000000"/>
          <w:szCs w:val="24"/>
          <w:lang w:val="sr-Cyrl-CS"/>
        </w:rPr>
        <w:t xml:space="preserve"> </w:t>
      </w:r>
      <w:r w:rsidR="00814682" w:rsidRPr="00092ED7">
        <w:rPr>
          <w:rFonts w:eastAsia="Times New Roman" w:cs="Times New Roman"/>
          <w:color w:val="000000"/>
          <w:szCs w:val="24"/>
          <w:lang w:val="sr-Cyrl-CS"/>
        </w:rPr>
        <w:t>н</w:t>
      </w:r>
      <w:r w:rsidR="00E63AE6" w:rsidRPr="00092ED7">
        <w:rPr>
          <w:rFonts w:eastAsia="Times New Roman" w:cs="Times New Roman"/>
          <w:color w:val="000000"/>
          <w:szCs w:val="24"/>
          <w:lang w:val="sr-Cyrl-CS"/>
        </w:rPr>
        <w:t>и</w:t>
      </w:r>
      <w:r w:rsidRPr="00092ED7">
        <w:rPr>
          <w:rFonts w:eastAsia="Times New Roman" w:cs="Times New Roman"/>
          <w:color w:val="000000"/>
          <w:szCs w:val="24"/>
          <w:lang w:val="sr-Cyrl-CS"/>
        </w:rPr>
        <w:t xml:space="preserve"> на</w:t>
      </w:r>
      <w:r w:rsidR="00E63AE6" w:rsidRPr="00092ED7">
        <w:rPr>
          <w:rFonts w:eastAsia="Times New Roman" w:cs="Times New Roman"/>
          <w:color w:val="000000"/>
          <w:szCs w:val="24"/>
          <w:lang w:val="sr-Cyrl-CS"/>
        </w:rPr>
        <w:t xml:space="preserve"> климатске промене</w:t>
      </w:r>
      <w:r w:rsidR="00D210F0" w:rsidRPr="00092ED7">
        <w:rPr>
          <w:rFonts w:eastAsia="Times New Roman" w:cs="Times New Roman"/>
          <w:color w:val="000000"/>
          <w:szCs w:val="24"/>
          <w:lang w:val="sr-Cyrl-CS"/>
        </w:rPr>
        <w:t>.</w:t>
      </w:r>
      <w:r w:rsidR="00F1218E" w:rsidRPr="00092ED7">
        <w:rPr>
          <w:rFonts w:eastAsia="Times New Roman" w:cs="Times New Roman"/>
          <w:color w:val="000000"/>
          <w:szCs w:val="24"/>
          <w:lang w:val="sr-Cyrl-CS"/>
        </w:rPr>
        <w:t xml:space="preserve"> </w:t>
      </w:r>
    </w:p>
    <w:p w14:paraId="7CE331AA" w14:textId="77777777" w:rsidR="00BA1B20" w:rsidRDefault="00BA1B20">
      <w:pPr>
        <w:spacing w:after="160" w:line="259" w:lineRule="auto"/>
        <w:jc w:val="left"/>
        <w:rPr>
          <w:rFonts w:eastAsia="Times New Roman" w:cs="Times New Roman"/>
          <w:color w:val="000000"/>
          <w:szCs w:val="24"/>
          <w:lang w:val="sr-Cyrl-CS"/>
        </w:rPr>
      </w:pPr>
      <w:r>
        <w:rPr>
          <w:rFonts w:eastAsia="Times New Roman" w:cs="Times New Roman"/>
          <w:color w:val="000000"/>
          <w:szCs w:val="24"/>
          <w:lang w:val="sr-Cyrl-CS"/>
        </w:rPr>
        <w:br w:type="page"/>
      </w:r>
    </w:p>
    <w:p w14:paraId="710978DA" w14:textId="77777777" w:rsidR="00D210F0" w:rsidRPr="00092ED7" w:rsidRDefault="00D210F0" w:rsidP="00071952">
      <w:pPr>
        <w:widowControl w:val="0"/>
        <w:numPr>
          <w:ilvl w:val="0"/>
          <w:numId w:val="41"/>
        </w:numPr>
        <w:spacing w:before="120"/>
        <w:rPr>
          <w:rFonts w:cs="Times New Roman"/>
          <w:b/>
          <w:szCs w:val="24"/>
          <w:lang w:val="sr-Cyrl-CS"/>
        </w:rPr>
      </w:pPr>
      <w:r w:rsidRPr="00092ED7">
        <w:rPr>
          <w:rFonts w:cs="Times New Roman"/>
          <w:b/>
          <w:szCs w:val="24"/>
          <w:lang w:val="sr-Cyrl-CS"/>
        </w:rPr>
        <w:t>Потенцијални ризици</w:t>
      </w:r>
    </w:p>
    <w:tbl>
      <w:tblPr>
        <w:tblStyle w:val="TableGrid"/>
        <w:tblW w:w="9209" w:type="dxa"/>
        <w:jc w:val="center"/>
        <w:tblLayout w:type="fixed"/>
        <w:tblLook w:val="04A0" w:firstRow="1" w:lastRow="0" w:firstColumn="1" w:lastColumn="0" w:noHBand="0" w:noVBand="1"/>
      </w:tblPr>
      <w:tblGrid>
        <w:gridCol w:w="3114"/>
        <w:gridCol w:w="2126"/>
        <w:gridCol w:w="3969"/>
      </w:tblGrid>
      <w:tr w:rsidR="00D210F0" w:rsidRPr="00092ED7" w14:paraId="78175560" w14:textId="77777777" w:rsidTr="00BA1B20">
        <w:trPr>
          <w:cnfStyle w:val="100000000000" w:firstRow="1" w:lastRow="0" w:firstColumn="0" w:lastColumn="0" w:oddVBand="0" w:evenVBand="0" w:oddHBand="0" w:evenHBand="0" w:firstRowFirstColumn="0" w:firstRowLastColumn="0" w:lastRowFirstColumn="0" w:lastRowLastColumn="0"/>
          <w:jc w:val="center"/>
        </w:trPr>
        <w:tc>
          <w:tcPr>
            <w:tcW w:w="3114" w:type="dxa"/>
          </w:tcPr>
          <w:p w14:paraId="136E256E" w14:textId="77777777" w:rsidR="00D210F0" w:rsidRPr="00092ED7" w:rsidRDefault="00D210F0" w:rsidP="00C429AB">
            <w:pPr>
              <w:spacing w:before="0" w:after="0"/>
              <w:ind w:left="113" w:right="113"/>
              <w:jc w:val="center"/>
              <w:rPr>
                <w:sz w:val="20"/>
                <w:lang w:val="sr-Cyrl-CS"/>
              </w:rPr>
            </w:pPr>
            <w:r w:rsidRPr="00092ED7">
              <w:rPr>
                <w:rFonts w:cs="Times New Roman"/>
                <w:sz w:val="20"/>
                <w:lang w:val="sr-Cyrl-CS"/>
              </w:rPr>
              <w:t>Ризик</w:t>
            </w:r>
          </w:p>
        </w:tc>
        <w:tc>
          <w:tcPr>
            <w:tcW w:w="2126" w:type="dxa"/>
          </w:tcPr>
          <w:p w14:paraId="039EA589" w14:textId="77777777" w:rsidR="00D210F0" w:rsidRPr="00092ED7" w:rsidRDefault="00D210F0" w:rsidP="00C429AB">
            <w:pPr>
              <w:spacing w:before="0" w:after="0"/>
              <w:ind w:left="113" w:right="113"/>
              <w:jc w:val="center"/>
              <w:rPr>
                <w:sz w:val="20"/>
                <w:lang w:val="sr-Cyrl-CS"/>
              </w:rPr>
            </w:pPr>
            <w:r w:rsidRPr="00092ED7">
              <w:rPr>
                <w:rFonts w:cs="Times New Roman"/>
                <w:sz w:val="20"/>
                <w:lang w:val="sr-Cyrl-CS"/>
              </w:rPr>
              <w:t>Вероватноћа за остваривање ризика</w:t>
            </w:r>
          </w:p>
        </w:tc>
        <w:tc>
          <w:tcPr>
            <w:tcW w:w="3969" w:type="dxa"/>
          </w:tcPr>
          <w:p w14:paraId="78413190" w14:textId="77777777" w:rsidR="00D210F0" w:rsidRPr="00092ED7" w:rsidRDefault="00D210F0" w:rsidP="00C429AB">
            <w:pPr>
              <w:spacing w:before="0" w:after="0"/>
              <w:ind w:left="113" w:right="113"/>
              <w:jc w:val="center"/>
              <w:rPr>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25F177C8" w14:textId="77777777" w:rsidTr="00BA1B20">
        <w:trPr>
          <w:jc w:val="center"/>
        </w:trPr>
        <w:tc>
          <w:tcPr>
            <w:tcW w:w="3114" w:type="dxa"/>
            <w:vAlign w:val="top"/>
          </w:tcPr>
          <w:p w14:paraId="32332BA7" w14:textId="77777777" w:rsidR="00D210F0" w:rsidRPr="00092ED7" w:rsidRDefault="00D210F0" w:rsidP="00757D8D">
            <w:pPr>
              <w:spacing w:before="0" w:after="0"/>
              <w:ind w:left="113" w:right="113"/>
              <w:rPr>
                <w:sz w:val="20"/>
                <w:lang w:val="sr-Cyrl-CS"/>
              </w:rPr>
            </w:pPr>
            <w:r w:rsidRPr="00092ED7">
              <w:rPr>
                <w:rFonts w:eastAsia="Times New Roman" w:cs="Times New Roman"/>
                <w:sz w:val="20"/>
                <w:lang w:val="sr-Cyrl-CS"/>
              </w:rPr>
              <w:t>Неправовремено проналажење стабилних извора финансирања</w:t>
            </w:r>
          </w:p>
        </w:tc>
        <w:tc>
          <w:tcPr>
            <w:tcW w:w="2126" w:type="dxa"/>
            <w:vAlign w:val="top"/>
          </w:tcPr>
          <w:p w14:paraId="701E6F2C" w14:textId="77777777" w:rsidR="00D210F0" w:rsidRPr="00092ED7" w:rsidRDefault="00D210F0" w:rsidP="00757D8D">
            <w:pPr>
              <w:spacing w:before="0" w:after="0"/>
              <w:ind w:left="113" w:right="113"/>
              <w:jc w:val="center"/>
              <w:rPr>
                <w:sz w:val="20"/>
                <w:lang w:val="sr-Cyrl-CS"/>
              </w:rPr>
            </w:pPr>
            <w:r w:rsidRPr="00092ED7">
              <w:rPr>
                <w:rFonts w:cs="Times New Roman"/>
                <w:sz w:val="20"/>
                <w:lang w:val="sr-Cyrl-CS"/>
              </w:rPr>
              <w:t>Висока</w:t>
            </w:r>
          </w:p>
        </w:tc>
        <w:tc>
          <w:tcPr>
            <w:tcW w:w="3969" w:type="dxa"/>
          </w:tcPr>
          <w:p w14:paraId="5A9BCC17" w14:textId="77777777" w:rsidR="00D210F0" w:rsidRPr="00092ED7" w:rsidRDefault="00D210F0" w:rsidP="00C429AB">
            <w:pPr>
              <w:spacing w:before="0" w:after="0"/>
              <w:ind w:left="113" w:right="113"/>
              <w:rPr>
                <w:sz w:val="20"/>
                <w:lang w:val="sr-Cyrl-CS"/>
              </w:rPr>
            </w:pPr>
            <w:r w:rsidRPr="00092ED7">
              <w:rPr>
                <w:rFonts w:cs="Times New Roman"/>
                <w:sz w:val="20"/>
                <w:lang w:val="sr-Cyrl-CS"/>
              </w:rPr>
              <w:t>Благовремено планирање и аплицирање код међународних финансијских институција</w:t>
            </w:r>
            <w:r w:rsidR="00D47BD8" w:rsidRPr="00092ED7">
              <w:rPr>
                <w:rFonts w:cs="Times New Roman"/>
                <w:sz w:val="20"/>
                <w:lang w:val="sr-Cyrl-CS"/>
              </w:rPr>
              <w:t>.</w:t>
            </w:r>
          </w:p>
        </w:tc>
      </w:tr>
      <w:tr w:rsidR="00D210F0" w:rsidRPr="00092ED7" w14:paraId="6D457A44" w14:textId="77777777" w:rsidTr="00BA1B20">
        <w:trPr>
          <w:jc w:val="center"/>
        </w:trPr>
        <w:tc>
          <w:tcPr>
            <w:tcW w:w="3114" w:type="dxa"/>
            <w:vAlign w:val="top"/>
          </w:tcPr>
          <w:p w14:paraId="3B8CFCF0" w14:textId="77777777" w:rsidR="00D210F0" w:rsidRPr="00092ED7" w:rsidRDefault="00D210F0" w:rsidP="00757D8D">
            <w:pPr>
              <w:spacing w:before="0" w:after="0"/>
              <w:ind w:left="113" w:right="113"/>
              <w:rPr>
                <w:sz w:val="20"/>
                <w:lang w:val="sr-Cyrl-CS"/>
              </w:rPr>
            </w:pPr>
            <w:r w:rsidRPr="00092ED7">
              <w:rPr>
                <w:rFonts w:eastAsia="Times New Roman" w:cs="Times New Roman"/>
                <w:sz w:val="20"/>
                <w:lang w:val="sr-Cyrl-CS"/>
              </w:rPr>
              <w:t>Низак ниво сарадње оператора у погледу достављања података о доступности широкопојасних сервиса</w:t>
            </w:r>
          </w:p>
        </w:tc>
        <w:tc>
          <w:tcPr>
            <w:tcW w:w="2126" w:type="dxa"/>
            <w:vAlign w:val="top"/>
          </w:tcPr>
          <w:p w14:paraId="2AD04F64" w14:textId="77777777" w:rsidR="00D210F0" w:rsidRPr="00092ED7" w:rsidRDefault="00D210F0" w:rsidP="00757D8D">
            <w:pPr>
              <w:spacing w:before="0" w:after="0"/>
              <w:ind w:left="113" w:right="113"/>
              <w:jc w:val="center"/>
              <w:rPr>
                <w:sz w:val="20"/>
                <w:lang w:val="sr-Cyrl-CS"/>
              </w:rPr>
            </w:pPr>
            <w:r w:rsidRPr="00092ED7">
              <w:rPr>
                <w:rFonts w:cs="Times New Roman"/>
                <w:sz w:val="20"/>
                <w:lang w:val="sr-Cyrl-CS"/>
              </w:rPr>
              <w:t>Ниска</w:t>
            </w:r>
          </w:p>
        </w:tc>
        <w:tc>
          <w:tcPr>
            <w:tcW w:w="3969" w:type="dxa"/>
          </w:tcPr>
          <w:p w14:paraId="14827EC1" w14:textId="77777777" w:rsidR="00D210F0" w:rsidRPr="00092ED7" w:rsidRDefault="00D210F0" w:rsidP="00C429AB">
            <w:pPr>
              <w:spacing w:before="0" w:after="0"/>
              <w:ind w:left="113" w:right="113"/>
              <w:rPr>
                <w:sz w:val="20"/>
                <w:lang w:val="sr-Cyrl-CS"/>
              </w:rPr>
            </w:pPr>
            <w:r w:rsidRPr="00092ED7">
              <w:rPr>
                <w:rFonts w:cs="Times New Roman"/>
                <w:sz w:val="20"/>
                <w:lang w:val="sr-Cyrl-CS"/>
              </w:rPr>
              <w:t xml:space="preserve">Ангажовање добављача ради онлајн и теренског прикупљања података у руралним областима / доношење регулативе која утврђује обавезу оператора да достављају податке </w:t>
            </w:r>
            <w:r w:rsidR="00BE7331" w:rsidRPr="00092ED7">
              <w:rPr>
                <w:rFonts w:cs="Times New Roman"/>
                <w:sz w:val="20"/>
                <w:lang w:val="sr-Cyrl-CS"/>
              </w:rPr>
              <w:t>м</w:t>
            </w:r>
            <w:r w:rsidRPr="00092ED7">
              <w:rPr>
                <w:rFonts w:cs="Times New Roman"/>
                <w:sz w:val="20"/>
                <w:lang w:val="sr-Cyrl-CS"/>
              </w:rPr>
              <w:t>инистарству</w:t>
            </w:r>
            <w:r w:rsidR="00D47BD8" w:rsidRPr="00092ED7">
              <w:rPr>
                <w:rFonts w:cs="Times New Roman"/>
                <w:sz w:val="20"/>
                <w:lang w:val="sr-Cyrl-CS"/>
              </w:rPr>
              <w:t>.</w:t>
            </w:r>
          </w:p>
        </w:tc>
      </w:tr>
      <w:tr w:rsidR="00D210F0" w:rsidRPr="00092ED7" w14:paraId="6A3105BF" w14:textId="77777777" w:rsidTr="00BA1B20">
        <w:trPr>
          <w:jc w:val="center"/>
        </w:trPr>
        <w:tc>
          <w:tcPr>
            <w:tcW w:w="3114" w:type="dxa"/>
            <w:vAlign w:val="top"/>
          </w:tcPr>
          <w:p w14:paraId="1D707FD6" w14:textId="77777777" w:rsidR="00D210F0" w:rsidRPr="00092ED7" w:rsidRDefault="00D210F0" w:rsidP="00757D8D">
            <w:pPr>
              <w:spacing w:before="0" w:after="0"/>
              <w:ind w:left="113" w:right="113"/>
              <w:rPr>
                <w:sz w:val="20"/>
                <w:lang w:val="sr-Cyrl-CS"/>
              </w:rPr>
            </w:pPr>
            <w:r w:rsidRPr="00092ED7">
              <w:rPr>
                <w:rFonts w:eastAsia="Times New Roman" w:cs="Times New Roman"/>
                <w:sz w:val="20"/>
                <w:lang w:val="sr-Cyrl-CS"/>
              </w:rPr>
              <w:t>Недовољна заинтересованост оператора за заједничку изградњу инфраструктуре</w:t>
            </w:r>
          </w:p>
        </w:tc>
        <w:tc>
          <w:tcPr>
            <w:tcW w:w="2126" w:type="dxa"/>
            <w:vAlign w:val="top"/>
          </w:tcPr>
          <w:p w14:paraId="7FE4F567" w14:textId="77777777" w:rsidR="00D210F0" w:rsidRPr="00092ED7" w:rsidRDefault="00D210F0" w:rsidP="00757D8D">
            <w:pPr>
              <w:spacing w:before="0" w:after="0"/>
              <w:ind w:left="113" w:right="113"/>
              <w:jc w:val="center"/>
              <w:rPr>
                <w:sz w:val="20"/>
                <w:lang w:val="sr-Cyrl-CS"/>
              </w:rPr>
            </w:pPr>
            <w:r w:rsidRPr="00092ED7">
              <w:rPr>
                <w:rFonts w:cs="Times New Roman"/>
                <w:sz w:val="20"/>
                <w:lang w:val="sr-Cyrl-CS"/>
              </w:rPr>
              <w:t>Висока</w:t>
            </w:r>
          </w:p>
        </w:tc>
        <w:tc>
          <w:tcPr>
            <w:tcW w:w="3969" w:type="dxa"/>
          </w:tcPr>
          <w:p w14:paraId="0DA76742" w14:textId="77777777" w:rsidR="00D210F0" w:rsidRPr="00092ED7" w:rsidRDefault="00D210F0" w:rsidP="00C429AB">
            <w:pPr>
              <w:spacing w:before="0" w:after="0"/>
              <w:ind w:left="113" w:right="113"/>
              <w:rPr>
                <w:sz w:val="20"/>
                <w:lang w:val="sr-Cyrl-CS"/>
              </w:rPr>
            </w:pPr>
            <w:r w:rsidRPr="00092ED7">
              <w:rPr>
                <w:rFonts w:cs="Times New Roman"/>
                <w:sz w:val="20"/>
                <w:lang w:val="sr-Cyrl-CS"/>
              </w:rPr>
              <w:t>Повећање удела министарства у финансирању заједничке изградње инфраструктуре</w:t>
            </w:r>
            <w:r w:rsidR="00D47BD8" w:rsidRPr="00092ED7">
              <w:rPr>
                <w:rFonts w:cs="Times New Roman"/>
                <w:sz w:val="20"/>
                <w:lang w:val="sr-Cyrl-CS"/>
              </w:rPr>
              <w:t>.</w:t>
            </w:r>
          </w:p>
        </w:tc>
      </w:tr>
      <w:tr w:rsidR="00D210F0" w:rsidRPr="00092ED7" w14:paraId="167BDF96" w14:textId="77777777" w:rsidTr="00BA1B20">
        <w:trPr>
          <w:jc w:val="center"/>
        </w:trPr>
        <w:tc>
          <w:tcPr>
            <w:tcW w:w="3114" w:type="dxa"/>
            <w:vAlign w:val="top"/>
          </w:tcPr>
          <w:p w14:paraId="75B6681F" w14:textId="77777777" w:rsidR="00D210F0" w:rsidRPr="00092ED7" w:rsidRDefault="00D210F0" w:rsidP="00757D8D">
            <w:pPr>
              <w:spacing w:before="0" w:after="0"/>
              <w:ind w:left="113" w:right="113"/>
              <w:rPr>
                <w:sz w:val="20"/>
                <w:lang w:val="sr-Cyrl-CS"/>
              </w:rPr>
            </w:pPr>
            <w:r w:rsidRPr="00092ED7">
              <w:rPr>
                <w:rFonts w:eastAsia="Times New Roman" w:cs="Times New Roman"/>
                <w:sz w:val="20"/>
                <w:lang w:val="sr-Cyrl-CS"/>
              </w:rPr>
              <w:t>Благовремено исходовање потребних грађевинских дозвола</w:t>
            </w:r>
          </w:p>
        </w:tc>
        <w:tc>
          <w:tcPr>
            <w:tcW w:w="2126" w:type="dxa"/>
            <w:vAlign w:val="top"/>
          </w:tcPr>
          <w:p w14:paraId="71C55123" w14:textId="77777777" w:rsidR="00D210F0" w:rsidRPr="00092ED7" w:rsidRDefault="00D210F0" w:rsidP="00757D8D">
            <w:pPr>
              <w:spacing w:before="0" w:after="0"/>
              <w:ind w:left="113" w:right="113"/>
              <w:jc w:val="center"/>
              <w:rPr>
                <w:sz w:val="20"/>
                <w:lang w:val="sr-Cyrl-CS"/>
              </w:rPr>
            </w:pPr>
            <w:r w:rsidRPr="00092ED7">
              <w:rPr>
                <w:rFonts w:cs="Times New Roman"/>
                <w:sz w:val="20"/>
                <w:lang w:val="sr-Cyrl-CS"/>
              </w:rPr>
              <w:t>Висока</w:t>
            </w:r>
          </w:p>
        </w:tc>
        <w:tc>
          <w:tcPr>
            <w:tcW w:w="3969" w:type="dxa"/>
          </w:tcPr>
          <w:p w14:paraId="39C6B0DD" w14:textId="35FB887B" w:rsidR="00D210F0" w:rsidRPr="00092ED7" w:rsidRDefault="00D210F0" w:rsidP="00833B80">
            <w:pPr>
              <w:spacing w:before="0" w:after="0"/>
              <w:ind w:left="113" w:right="113"/>
              <w:rPr>
                <w:sz w:val="20"/>
                <w:lang w:val="sr-Cyrl-CS"/>
              </w:rPr>
            </w:pPr>
            <w:r w:rsidRPr="00092ED7">
              <w:rPr>
                <w:rFonts w:cs="Times New Roman"/>
                <w:sz w:val="20"/>
                <w:lang w:val="sr-Cyrl-CS"/>
              </w:rPr>
              <w:t xml:space="preserve">Ангажовање консултанта за координацију са другим државним органима и </w:t>
            </w:r>
            <w:r w:rsidR="00A03723" w:rsidRPr="00092ED7">
              <w:rPr>
                <w:rFonts w:cs="Times New Roman"/>
                <w:sz w:val="20"/>
                <w:lang w:val="sr-Cyrl-CS"/>
              </w:rPr>
              <w:t>ЈЛС</w:t>
            </w:r>
            <w:r w:rsidR="00D47BD8" w:rsidRPr="00092ED7">
              <w:rPr>
                <w:rFonts w:cs="Times New Roman"/>
                <w:sz w:val="20"/>
                <w:lang w:val="sr-Cyrl-CS"/>
              </w:rPr>
              <w:t>.</w:t>
            </w:r>
          </w:p>
        </w:tc>
      </w:tr>
    </w:tbl>
    <w:p w14:paraId="293D340B" w14:textId="77777777" w:rsidR="00D210F0" w:rsidRPr="00092ED7" w:rsidRDefault="00D210F0" w:rsidP="00D210F0">
      <w:pPr>
        <w:spacing w:before="360"/>
        <w:rPr>
          <w:rFonts w:cs="Times New Roman"/>
          <w:bCs/>
          <w:szCs w:val="24"/>
          <w:lang w:val="sr-Cyrl-CS"/>
        </w:rPr>
      </w:pPr>
      <w:r w:rsidRPr="00092ED7">
        <w:rPr>
          <w:rFonts w:cs="Times New Roman"/>
          <w:b/>
          <w:bCs/>
          <w:szCs w:val="24"/>
          <w:u w:val="single"/>
          <w:lang w:val="sr-Cyrl-CS"/>
        </w:rPr>
        <w:t>СТРУКТУРНА РЕФОРМА 14</w:t>
      </w:r>
      <w:r w:rsidRPr="00092ED7">
        <w:rPr>
          <w:rFonts w:cs="Times New Roman"/>
          <w:b/>
          <w:bCs/>
          <w:szCs w:val="24"/>
          <w:lang w:val="sr-Cyrl-CS"/>
        </w:rPr>
        <w:t xml:space="preserve">: </w:t>
      </w:r>
      <w:r w:rsidRPr="00092ED7">
        <w:rPr>
          <w:rFonts w:cs="Times New Roman"/>
          <w:bCs/>
          <w:szCs w:val="24"/>
          <w:lang w:val="sr-Cyrl-CS"/>
        </w:rPr>
        <w:t>УСПОСТАВЉАЊЕ ИНФРАСТРУКТУРЕ И ОКРУЖЕЊА ЗА КРЕИРАЊЕ И ПРИМЕНУ ИНОВАТИВНИХ ИТ РЕШЕЊА</w:t>
      </w:r>
    </w:p>
    <w:p w14:paraId="2C024677" w14:textId="77777777" w:rsidR="00D210F0" w:rsidRPr="00092ED7" w:rsidRDefault="00D210F0" w:rsidP="00071952">
      <w:pPr>
        <w:widowControl w:val="0"/>
        <w:numPr>
          <w:ilvl w:val="0"/>
          <w:numId w:val="30"/>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6E560D1B" w14:textId="78A76F45" w:rsidR="00D210F0" w:rsidRPr="00092ED7" w:rsidRDefault="00B64601" w:rsidP="008A6DAE">
      <w:pPr>
        <w:widowControl w:val="0"/>
        <w:spacing w:after="60"/>
        <w:rPr>
          <w:rFonts w:eastAsia="Times New Roman" w:cs="Times New Roman"/>
          <w:b/>
          <w:bCs/>
          <w:szCs w:val="24"/>
          <w:lang w:val="sr-Cyrl-CS"/>
        </w:rPr>
      </w:pPr>
      <w:r w:rsidRPr="00092ED7">
        <w:rPr>
          <w:rFonts w:eastAsia="Times New Roman" w:cs="Times New Roman"/>
          <w:szCs w:val="24"/>
          <w:lang w:val="sr-Cyrl-CS"/>
        </w:rPr>
        <w:t xml:space="preserve">Програм дигитализације спроводи се највећим делом кроз Пројекат </w:t>
      </w:r>
      <w:r w:rsidRPr="00092ED7">
        <w:rPr>
          <w:rFonts w:eastAsia="Times New Roman" w:cs="Times New Roman"/>
          <w:i/>
          <w:iCs/>
          <w:szCs w:val="24"/>
          <w:lang w:val="sr-Cyrl-CS"/>
        </w:rPr>
        <w:t>„Србија на дохват руке – Дигитална трансформација за развој</w:t>
      </w:r>
      <w:r w:rsidR="00E90CB7" w:rsidRPr="00092ED7">
        <w:rPr>
          <w:rFonts w:cs="Times New Roman"/>
          <w:i/>
          <w:szCs w:val="24"/>
          <w:lang w:val="sr-Cyrl-CS"/>
        </w:rPr>
        <w:t>”</w:t>
      </w:r>
      <w:r w:rsidRPr="00092ED7">
        <w:rPr>
          <w:rFonts w:eastAsia="Times New Roman" w:cs="Times New Roman"/>
          <w:szCs w:val="24"/>
          <w:lang w:val="sr-Cyrl-CS"/>
        </w:rPr>
        <w:t xml:space="preserve">, који укључује и подршку за реализацију великих инфраструктурних пројеката. Предложена реформа садржи две компоненте: Пројекат </w:t>
      </w:r>
      <w:r w:rsidRPr="00092ED7">
        <w:rPr>
          <w:rFonts w:eastAsia="Times New Roman" w:cs="Times New Roman"/>
          <w:i/>
          <w:szCs w:val="24"/>
          <w:lang w:val="sr-Cyrl-CS"/>
        </w:rPr>
        <w:t>Smart City</w:t>
      </w:r>
      <w:r w:rsidRPr="00092ED7">
        <w:rPr>
          <w:rFonts w:eastAsia="Times New Roman" w:cs="Times New Roman"/>
          <w:szCs w:val="24"/>
          <w:lang w:val="sr-Cyrl-CS"/>
        </w:rPr>
        <w:t xml:space="preserve"> и Фазу 3 – „Иновациони дистрикт</w:t>
      </w:r>
      <w:r w:rsidR="001E2457" w:rsidRPr="00092ED7">
        <w:rPr>
          <w:rFonts w:cs="Times New Roman"/>
          <w:szCs w:val="24"/>
          <w:lang w:val="sr-Cyrl-CS"/>
        </w:rPr>
        <w:t>”</w:t>
      </w:r>
      <w:r w:rsidRPr="00092ED7">
        <w:rPr>
          <w:rFonts w:eastAsia="Times New Roman" w:cs="Times New Roman"/>
          <w:szCs w:val="24"/>
          <w:lang w:val="sr-Cyrl-CS"/>
        </w:rPr>
        <w:t xml:space="preserve"> у оквиру ДДЦ. Реализација пројекта </w:t>
      </w:r>
      <w:r w:rsidRPr="00092ED7">
        <w:rPr>
          <w:rFonts w:eastAsia="Times New Roman" w:cs="Times New Roman"/>
          <w:i/>
          <w:szCs w:val="24"/>
          <w:lang w:val="sr-Cyrl-CS"/>
        </w:rPr>
        <w:t>Smart City</w:t>
      </w:r>
      <w:r w:rsidRPr="00092ED7">
        <w:rPr>
          <w:rFonts w:eastAsia="Times New Roman" w:cs="Times New Roman"/>
          <w:szCs w:val="24"/>
          <w:lang w:val="sr-Cyrl-CS"/>
        </w:rPr>
        <w:t xml:space="preserve"> омогућиће боље и квалитетније функционисање </w:t>
      </w:r>
      <w:r w:rsidR="00A03723" w:rsidRPr="00092ED7">
        <w:rPr>
          <w:rFonts w:eastAsia="Times New Roman" w:cs="Times New Roman"/>
          <w:szCs w:val="24"/>
          <w:lang w:val="sr-Cyrl-CS"/>
        </w:rPr>
        <w:t>ЈЛС</w:t>
      </w:r>
      <w:r w:rsidRPr="00092ED7">
        <w:rPr>
          <w:rFonts w:eastAsia="Times New Roman" w:cs="Times New Roman"/>
          <w:szCs w:val="24"/>
          <w:lang w:val="sr-Cyrl-CS"/>
        </w:rPr>
        <w:t xml:space="preserve"> употребом иновативних ИТ решења. Паметне сензорске мреже и предиктивни управљачки алгоритми су алати који ће трансформисати урбане средине у атрактивније и одрживије, привлачније за иновативну привреду и инвестиције, уз повећање квалитета живота грађана. Предност ће имати она решења која ће се бавити социјалном инклузијом и заштитом животне средине и која ће утицати на свеобухватни друштвено-економски раст. „Иновациони дистрикт</w:t>
      </w:r>
      <w:r w:rsidR="00BC3948" w:rsidRPr="00092ED7">
        <w:rPr>
          <w:rFonts w:cs="Times New Roman"/>
          <w:szCs w:val="24"/>
          <w:lang w:val="sr-Cyrl-CS"/>
        </w:rPr>
        <w:t>”</w:t>
      </w:r>
      <w:r w:rsidRPr="00092ED7">
        <w:rPr>
          <w:rFonts w:eastAsia="Times New Roman" w:cs="Times New Roman"/>
          <w:szCs w:val="24"/>
          <w:lang w:val="sr-Cyrl-CS"/>
        </w:rPr>
        <w:t xml:space="preserve"> као трећа фаза пројекта изградње ДДЦ (прве две фазе пројекта које су подразумевале изградњу два </w:t>
      </w:r>
      <w:r w:rsidR="00D91CC9" w:rsidRPr="00092ED7">
        <w:rPr>
          <w:rFonts w:eastAsia="Times New Roman" w:cs="Times New Roman"/>
          <w:szCs w:val="24"/>
          <w:lang w:val="sr-Cyrl-CS"/>
        </w:rPr>
        <w:t xml:space="preserve">одвојена </w:t>
      </w:r>
      <w:r w:rsidRPr="00092ED7">
        <w:rPr>
          <w:rFonts w:eastAsia="Times New Roman" w:cs="Times New Roman"/>
          <w:szCs w:val="24"/>
          <w:lang w:val="sr-Cyrl-CS"/>
        </w:rPr>
        <w:t>објекта, инсталацију клауд технологије и платформе за вештачку интелигенцију као и осталих капацитета су завршене) је тренутно у фази планирања, а подразумева и изградњу објекта на 3,5 хектара површине. „Иновациони дистрикт</w:t>
      </w:r>
      <w:r w:rsidR="00BC3948" w:rsidRPr="00092ED7">
        <w:rPr>
          <w:rFonts w:cs="Times New Roman"/>
          <w:szCs w:val="24"/>
          <w:lang w:val="sr-Cyrl-CS"/>
        </w:rPr>
        <w:t>”</w:t>
      </w:r>
      <w:r w:rsidRPr="00092ED7">
        <w:rPr>
          <w:rFonts w:eastAsia="Times New Roman" w:cs="Times New Roman"/>
          <w:szCs w:val="24"/>
          <w:lang w:val="sr-Cyrl-CS"/>
        </w:rPr>
        <w:t xml:space="preserve"> ће омогућити развој ученика и студената, пружити могућност да тестирају и промовишу своје идеје, да се повезују са домаћим и страним привредним субјектима који већ користе или ће у будућности користити капацитете ДДЦ (клауд, AI платформа, итд.). Са друге стране, привредним субјектима ће бити омогућено да дођу до нових идеја и решења и да се упознају са потенцијалом талентованих ученика и студената. </w:t>
      </w:r>
    </w:p>
    <w:p w14:paraId="7641C8C1" w14:textId="77777777" w:rsidR="00D210F0" w:rsidRPr="00092ED7" w:rsidRDefault="00D210F0" w:rsidP="00071952">
      <w:pPr>
        <w:widowControl w:val="0"/>
        <w:numPr>
          <w:ilvl w:val="0"/>
          <w:numId w:val="30"/>
        </w:numPr>
        <w:spacing w:before="120"/>
        <w:ind w:left="425" w:hanging="425"/>
        <w:rPr>
          <w:rFonts w:cs="Times New Roman"/>
          <w:b/>
          <w:smallCaps/>
          <w:szCs w:val="24"/>
          <w:lang w:val="sr-Cyrl-CS"/>
        </w:rPr>
      </w:pPr>
      <w:r w:rsidRPr="00092ED7">
        <w:rPr>
          <w:rFonts w:cs="Times New Roman"/>
          <w:b/>
          <w:bCs/>
          <w:szCs w:val="24"/>
          <w:lang w:val="sr-Cyrl-CS"/>
        </w:rPr>
        <w:t>Планиране активности по годинама</w:t>
      </w:r>
    </w:p>
    <w:tbl>
      <w:tblPr>
        <w:tblW w:w="9204" w:type="dxa"/>
        <w:jc w:val="center"/>
        <w:tblLayout w:type="fixed"/>
        <w:tblCellMar>
          <w:left w:w="0" w:type="dxa"/>
          <w:right w:w="0" w:type="dxa"/>
        </w:tblCellMar>
        <w:tblLook w:val="04A0" w:firstRow="1" w:lastRow="0" w:firstColumn="1" w:lastColumn="0" w:noHBand="0" w:noVBand="1"/>
      </w:tblPr>
      <w:tblGrid>
        <w:gridCol w:w="416"/>
        <w:gridCol w:w="4394"/>
        <w:gridCol w:w="366"/>
        <w:gridCol w:w="367"/>
        <w:gridCol w:w="366"/>
        <w:gridCol w:w="369"/>
        <w:gridCol w:w="366"/>
        <w:gridCol w:w="367"/>
        <w:gridCol w:w="367"/>
        <w:gridCol w:w="368"/>
        <w:gridCol w:w="367"/>
        <w:gridCol w:w="366"/>
        <w:gridCol w:w="367"/>
        <w:gridCol w:w="358"/>
      </w:tblGrid>
      <w:tr w:rsidR="00D210F0" w:rsidRPr="00092ED7" w14:paraId="3FF5578A" w14:textId="77777777" w:rsidTr="00E44EF2">
        <w:trPr>
          <w:trHeight w:val="291"/>
          <w:jc w:val="center"/>
        </w:trPr>
        <w:tc>
          <w:tcPr>
            <w:tcW w:w="416" w:type="dxa"/>
            <w:vMerge w:val="restart"/>
            <w:tcBorders>
              <w:top w:val="single" w:sz="8" w:space="0" w:color="auto"/>
              <w:left w:val="single" w:sz="8" w:space="0" w:color="auto"/>
              <w:bottom w:val="single" w:sz="8" w:space="0" w:color="000000"/>
              <w:right w:val="nil"/>
            </w:tcBorders>
            <w:shd w:val="clear" w:color="auto" w:fill="BDD6EE"/>
            <w:tcMar>
              <w:top w:w="15" w:type="dxa"/>
              <w:left w:w="15" w:type="dxa"/>
              <w:bottom w:w="0" w:type="dxa"/>
              <w:right w:w="15" w:type="dxa"/>
            </w:tcMar>
            <w:vAlign w:val="center"/>
            <w:hideMark/>
          </w:tcPr>
          <w:p w14:paraId="54BF8F5F"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РБ</w:t>
            </w:r>
          </w:p>
        </w:tc>
        <w:tc>
          <w:tcPr>
            <w:tcW w:w="4394"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53EC01B5" w14:textId="77777777" w:rsidR="00D210F0" w:rsidRPr="00092ED7" w:rsidRDefault="00D210F0" w:rsidP="00D210F0">
            <w:pPr>
              <w:spacing w:after="0"/>
              <w:rPr>
                <w:rFonts w:cs="Times New Roman"/>
                <w:b/>
                <w:bCs/>
                <w:color w:val="000000"/>
                <w:sz w:val="20"/>
                <w:szCs w:val="20"/>
                <w:lang w:val="sr-Cyrl-CS" w:eastAsia="sr-Cyrl-CS" w:bidi="sr-Cyrl-CS"/>
              </w:rPr>
            </w:pPr>
            <w:r w:rsidRPr="00092ED7">
              <w:rPr>
                <w:rFonts w:cs="Times New Roman"/>
                <w:b/>
                <w:bCs/>
                <w:sz w:val="20"/>
                <w:szCs w:val="20"/>
                <w:lang w:val="sr-Cyrl-CS"/>
              </w:rPr>
              <w:t>Планиране активности</w:t>
            </w:r>
          </w:p>
        </w:tc>
        <w:tc>
          <w:tcPr>
            <w:tcW w:w="1468"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200A6090"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68"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92725B1"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58"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DDDC5AC"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6D354148" w14:textId="77777777" w:rsidTr="00E44EF2">
        <w:trPr>
          <w:trHeight w:val="291"/>
          <w:jc w:val="center"/>
        </w:trPr>
        <w:tc>
          <w:tcPr>
            <w:tcW w:w="416" w:type="dxa"/>
            <w:vMerge/>
            <w:tcBorders>
              <w:top w:val="single" w:sz="8" w:space="0" w:color="auto"/>
              <w:left w:val="single" w:sz="8" w:space="0" w:color="auto"/>
              <w:bottom w:val="single" w:sz="8" w:space="0" w:color="000000"/>
              <w:right w:val="nil"/>
            </w:tcBorders>
            <w:vAlign w:val="center"/>
            <w:hideMark/>
          </w:tcPr>
          <w:p w14:paraId="422C0CF1" w14:textId="77777777" w:rsidR="00D210F0" w:rsidRPr="00092ED7" w:rsidRDefault="00D210F0" w:rsidP="00D210F0">
            <w:pPr>
              <w:spacing w:after="0"/>
              <w:rPr>
                <w:rFonts w:cs="Times New Roman"/>
                <w:b/>
                <w:bCs/>
                <w:color w:val="000000"/>
                <w:sz w:val="20"/>
                <w:szCs w:val="20"/>
                <w:lang w:val="sr-Cyrl-CS"/>
              </w:rPr>
            </w:pPr>
          </w:p>
        </w:tc>
        <w:tc>
          <w:tcPr>
            <w:tcW w:w="4394"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2EF96227" w14:textId="77777777" w:rsidR="00D210F0" w:rsidRPr="00092ED7" w:rsidRDefault="00D210F0" w:rsidP="00D210F0">
            <w:pPr>
              <w:spacing w:after="0"/>
              <w:rPr>
                <w:rFonts w:cs="Times New Roman"/>
                <w:b/>
                <w:bCs/>
                <w:color w:val="000000"/>
                <w:sz w:val="20"/>
                <w:szCs w:val="20"/>
                <w:lang w:val="sr-Cyrl-CS" w:eastAsia="sr-Cyrl-CS" w:bidi="sr-Cyrl-CS"/>
              </w:rPr>
            </w:pPr>
          </w:p>
        </w:tc>
        <w:tc>
          <w:tcPr>
            <w:tcW w:w="366"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0373B8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1F356D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6"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F57B47F"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9"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62B45B0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66"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C15152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FD94B71"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E2FF27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8"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0756C7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3CFC62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6"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4F1E90F"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F86E04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58"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7457F3E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170B4866" w14:textId="77777777" w:rsidTr="00E44EF2">
        <w:trPr>
          <w:trHeight w:val="277"/>
          <w:jc w:val="center"/>
        </w:trPr>
        <w:tc>
          <w:tcPr>
            <w:tcW w:w="416"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2F1648F0" w14:textId="77777777" w:rsidR="00D210F0" w:rsidRPr="00092ED7" w:rsidRDefault="00D210F0" w:rsidP="00D210F0">
            <w:pPr>
              <w:spacing w:after="0"/>
              <w:jc w:val="center"/>
              <w:rPr>
                <w:rFonts w:cs="Times New Roman"/>
                <w:b/>
                <w:sz w:val="20"/>
                <w:szCs w:val="20"/>
                <w:lang w:val="sr-Cyrl-CS"/>
              </w:rPr>
            </w:pPr>
            <w:r w:rsidRPr="00092ED7">
              <w:rPr>
                <w:rFonts w:cs="Times New Roman"/>
                <w:b/>
                <w:sz w:val="20"/>
                <w:szCs w:val="20"/>
                <w:lang w:val="sr-Cyrl-CS"/>
              </w:rPr>
              <w:t>1.</w:t>
            </w:r>
          </w:p>
        </w:tc>
        <w:tc>
          <w:tcPr>
            <w:tcW w:w="4394" w:type="dxa"/>
            <w:tcBorders>
              <w:top w:val="single" w:sz="4" w:space="0" w:color="auto"/>
              <w:left w:val="single" w:sz="8" w:space="0" w:color="auto"/>
              <w:bottom w:val="single" w:sz="4" w:space="0" w:color="auto"/>
              <w:right w:val="nil"/>
            </w:tcBorders>
            <w:tcMar>
              <w:top w:w="15" w:type="dxa"/>
              <w:left w:w="15" w:type="dxa"/>
              <w:bottom w:w="0" w:type="dxa"/>
              <w:right w:w="15" w:type="dxa"/>
            </w:tcMar>
          </w:tcPr>
          <w:p w14:paraId="04F8FAAE" w14:textId="77777777" w:rsidR="00D210F0" w:rsidRPr="00092ED7" w:rsidRDefault="00736556" w:rsidP="00D210F0">
            <w:pPr>
              <w:spacing w:after="0"/>
              <w:rPr>
                <w:rFonts w:eastAsia="Times New Roman" w:cs="Times New Roman"/>
                <w:sz w:val="20"/>
                <w:szCs w:val="20"/>
                <w:lang w:val="sr-Cyrl-CS"/>
              </w:rPr>
            </w:pPr>
            <w:r w:rsidRPr="00092ED7">
              <w:rPr>
                <w:rFonts w:eastAsia="Times New Roman" w:cs="Times New Roman"/>
                <w:sz w:val="20"/>
                <w:szCs w:val="20"/>
                <w:lang w:val="sr-Cyrl-CS"/>
              </w:rPr>
              <w:t xml:space="preserve">Спровођење Јавног позива на годишњој основи за градове/ЈЛС за учешће у пројекту </w:t>
            </w:r>
            <w:r w:rsidRPr="00092ED7">
              <w:rPr>
                <w:rFonts w:eastAsia="Times New Roman" w:cs="Times New Roman"/>
                <w:i/>
                <w:sz w:val="20"/>
                <w:szCs w:val="20"/>
                <w:lang w:val="sr-Cyrl-CS"/>
              </w:rPr>
              <w:t>Smart City</w:t>
            </w:r>
            <w:r w:rsidRPr="00092ED7">
              <w:rPr>
                <w:rFonts w:eastAsia="Times New Roman" w:cs="Times New Roman"/>
                <w:sz w:val="20"/>
                <w:szCs w:val="20"/>
                <w:lang w:val="sr-Cyrl-CS"/>
              </w:rPr>
              <w:t>, у партнерству са привредом и академском заједницом</w:t>
            </w:r>
          </w:p>
        </w:tc>
        <w:tc>
          <w:tcPr>
            <w:tcW w:w="36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EB5905E"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67057F6" w14:textId="77777777" w:rsidR="00D210F0" w:rsidRPr="00092ED7" w:rsidRDefault="00D210F0" w:rsidP="00D210F0">
            <w:pPr>
              <w:spacing w:after="0"/>
              <w:rPr>
                <w:rFonts w:cs="Times New Roman"/>
                <w:color w:val="000000"/>
                <w:sz w:val="20"/>
                <w:szCs w:val="20"/>
                <w:lang w:val="sr-Cyrl-CS"/>
              </w:rPr>
            </w:pPr>
          </w:p>
        </w:tc>
        <w:tc>
          <w:tcPr>
            <w:tcW w:w="366"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EEB7532"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9FBF0AE" w14:textId="77777777" w:rsidR="00D210F0" w:rsidRPr="00092ED7" w:rsidRDefault="00D210F0" w:rsidP="00D210F0">
            <w:pPr>
              <w:spacing w:after="0"/>
              <w:rPr>
                <w:rFonts w:cs="Times New Roman"/>
                <w:color w:val="000000"/>
                <w:sz w:val="20"/>
                <w:szCs w:val="20"/>
                <w:lang w:val="sr-Cyrl-CS"/>
              </w:rPr>
            </w:pPr>
          </w:p>
        </w:tc>
        <w:tc>
          <w:tcPr>
            <w:tcW w:w="366"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14D242C"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771611C"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3A740B2"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269B81E"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CC92D5E" w14:textId="77777777" w:rsidR="00D210F0" w:rsidRPr="00092ED7" w:rsidRDefault="00D210F0" w:rsidP="00D210F0">
            <w:pPr>
              <w:spacing w:after="0"/>
              <w:rPr>
                <w:rFonts w:cs="Times New Roman"/>
                <w:color w:val="000000"/>
                <w:sz w:val="20"/>
                <w:szCs w:val="20"/>
                <w:lang w:val="sr-Cyrl-CS"/>
              </w:rPr>
            </w:pPr>
          </w:p>
        </w:tc>
        <w:tc>
          <w:tcPr>
            <w:tcW w:w="366"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CDE3A26"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469BD31" w14:textId="77777777" w:rsidR="00D210F0" w:rsidRPr="00092ED7" w:rsidRDefault="00D210F0" w:rsidP="00D210F0">
            <w:pPr>
              <w:spacing w:after="0"/>
              <w:rPr>
                <w:rFonts w:cs="Times New Roman"/>
                <w:color w:val="000000"/>
                <w:sz w:val="20"/>
                <w:szCs w:val="20"/>
                <w:lang w:val="sr-Cyrl-CS"/>
              </w:rPr>
            </w:pPr>
          </w:p>
        </w:tc>
        <w:tc>
          <w:tcPr>
            <w:tcW w:w="358"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78BBE2C" w14:textId="77777777" w:rsidR="00D210F0" w:rsidRPr="00092ED7" w:rsidRDefault="00D210F0" w:rsidP="00D210F0">
            <w:pPr>
              <w:spacing w:after="0"/>
              <w:rPr>
                <w:rFonts w:cs="Times New Roman"/>
                <w:color w:val="000000"/>
                <w:sz w:val="20"/>
                <w:szCs w:val="20"/>
                <w:lang w:val="sr-Cyrl-CS"/>
              </w:rPr>
            </w:pPr>
          </w:p>
        </w:tc>
      </w:tr>
      <w:tr w:rsidR="00BE2B7C" w:rsidRPr="00092ED7" w14:paraId="1339172A" w14:textId="77777777" w:rsidTr="00736556">
        <w:trPr>
          <w:trHeight w:val="277"/>
          <w:jc w:val="center"/>
        </w:trPr>
        <w:tc>
          <w:tcPr>
            <w:tcW w:w="416"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26E51D30" w14:textId="77777777" w:rsidR="00D210F0" w:rsidRPr="00092ED7" w:rsidRDefault="00D210F0" w:rsidP="00D210F0">
            <w:pPr>
              <w:spacing w:after="0"/>
              <w:jc w:val="center"/>
              <w:rPr>
                <w:rFonts w:cs="Times New Roman"/>
                <w:b/>
                <w:sz w:val="20"/>
                <w:szCs w:val="20"/>
                <w:lang w:val="sr-Cyrl-CS"/>
              </w:rPr>
            </w:pPr>
            <w:r w:rsidRPr="00092ED7">
              <w:rPr>
                <w:rFonts w:cs="Times New Roman"/>
                <w:b/>
                <w:sz w:val="20"/>
                <w:szCs w:val="20"/>
                <w:lang w:val="sr-Cyrl-CS"/>
              </w:rPr>
              <w:t>2.</w:t>
            </w:r>
          </w:p>
        </w:tc>
        <w:tc>
          <w:tcPr>
            <w:tcW w:w="4394" w:type="dxa"/>
            <w:tcBorders>
              <w:top w:val="single" w:sz="4" w:space="0" w:color="auto"/>
              <w:left w:val="single" w:sz="8" w:space="0" w:color="auto"/>
              <w:bottom w:val="single" w:sz="4" w:space="0" w:color="auto"/>
              <w:right w:val="nil"/>
            </w:tcBorders>
            <w:tcMar>
              <w:top w:w="15" w:type="dxa"/>
              <w:left w:w="15" w:type="dxa"/>
              <w:bottom w:w="0" w:type="dxa"/>
              <w:right w:w="15" w:type="dxa"/>
            </w:tcMar>
          </w:tcPr>
          <w:p w14:paraId="3E9D93C1" w14:textId="2E077569" w:rsidR="00D210F0" w:rsidRPr="00092ED7" w:rsidRDefault="00736556" w:rsidP="00460F4E">
            <w:pPr>
              <w:spacing w:after="0"/>
              <w:rPr>
                <w:rFonts w:eastAsia="Times New Roman" w:cs="Times New Roman"/>
                <w:sz w:val="20"/>
                <w:szCs w:val="20"/>
                <w:lang w:val="sr-Cyrl-CS"/>
              </w:rPr>
            </w:pPr>
            <w:r w:rsidRPr="00092ED7">
              <w:rPr>
                <w:rFonts w:eastAsia="Times New Roman" w:cs="Times New Roman"/>
                <w:sz w:val="20"/>
                <w:szCs w:val="20"/>
                <w:lang w:val="sr-Cyrl-CS"/>
              </w:rPr>
              <w:t xml:space="preserve">Фаза 3 Иновациони дистрикт – Пројектовање и изградња објекта 3 </w:t>
            </w:r>
            <w:r w:rsidR="005701C0" w:rsidRPr="00092ED7">
              <w:rPr>
                <w:rFonts w:eastAsia="Times New Roman" w:cs="Times New Roman"/>
                <w:sz w:val="20"/>
                <w:szCs w:val="20"/>
                <w:lang w:val="sr-Cyrl-CS"/>
              </w:rPr>
              <w:t>ДДЦ</w:t>
            </w:r>
          </w:p>
        </w:tc>
        <w:tc>
          <w:tcPr>
            <w:tcW w:w="36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3A1A5F"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6127E62" w14:textId="77777777" w:rsidR="00D210F0" w:rsidRPr="00092ED7" w:rsidRDefault="00D210F0" w:rsidP="00D210F0">
            <w:pPr>
              <w:spacing w:after="0"/>
              <w:rPr>
                <w:rFonts w:cs="Times New Roman"/>
                <w:color w:val="000000"/>
                <w:sz w:val="20"/>
                <w:szCs w:val="20"/>
                <w:lang w:val="sr-Cyrl-CS"/>
              </w:rPr>
            </w:pPr>
          </w:p>
        </w:tc>
        <w:tc>
          <w:tcPr>
            <w:tcW w:w="366"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E876792"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B9D0A14" w14:textId="77777777" w:rsidR="00D210F0" w:rsidRPr="00092ED7" w:rsidRDefault="00D210F0" w:rsidP="00D210F0">
            <w:pPr>
              <w:spacing w:after="0"/>
              <w:rPr>
                <w:rFonts w:cs="Times New Roman"/>
                <w:color w:val="000000"/>
                <w:sz w:val="20"/>
                <w:szCs w:val="20"/>
                <w:lang w:val="sr-Cyrl-CS"/>
              </w:rPr>
            </w:pPr>
          </w:p>
        </w:tc>
        <w:tc>
          <w:tcPr>
            <w:tcW w:w="366"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2988A63"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101F21A"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B185C5"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F65A47E"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9644C04" w14:textId="77777777" w:rsidR="00D210F0" w:rsidRPr="00092ED7" w:rsidRDefault="00D210F0" w:rsidP="00D210F0">
            <w:pPr>
              <w:spacing w:after="0"/>
              <w:rPr>
                <w:rFonts w:cs="Times New Roman"/>
                <w:color w:val="000000"/>
                <w:sz w:val="20"/>
                <w:szCs w:val="20"/>
                <w:lang w:val="sr-Cyrl-CS"/>
              </w:rPr>
            </w:pPr>
          </w:p>
        </w:tc>
        <w:tc>
          <w:tcPr>
            <w:tcW w:w="366"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7C511EA"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4D1D64" w14:textId="77777777" w:rsidR="00D210F0" w:rsidRPr="00092ED7" w:rsidRDefault="00D210F0" w:rsidP="00D210F0">
            <w:pPr>
              <w:spacing w:after="0"/>
              <w:rPr>
                <w:rFonts w:cs="Times New Roman"/>
                <w:color w:val="000000"/>
                <w:sz w:val="20"/>
                <w:szCs w:val="20"/>
                <w:lang w:val="sr-Cyrl-CS"/>
              </w:rPr>
            </w:pPr>
          </w:p>
        </w:tc>
        <w:tc>
          <w:tcPr>
            <w:tcW w:w="358"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F6D67EF" w14:textId="77777777" w:rsidR="00D210F0" w:rsidRPr="00092ED7" w:rsidRDefault="00D210F0" w:rsidP="00D210F0">
            <w:pPr>
              <w:spacing w:after="0"/>
              <w:rPr>
                <w:rFonts w:cs="Times New Roman"/>
                <w:color w:val="000000"/>
                <w:sz w:val="20"/>
                <w:szCs w:val="20"/>
                <w:lang w:val="sr-Cyrl-CS"/>
              </w:rPr>
            </w:pPr>
          </w:p>
        </w:tc>
      </w:tr>
    </w:tbl>
    <w:p w14:paraId="760571EE" w14:textId="77777777" w:rsidR="00BA1B20" w:rsidRDefault="00BA1B20" w:rsidP="00BA1B20">
      <w:pPr>
        <w:widowControl w:val="0"/>
        <w:spacing w:before="120"/>
        <w:rPr>
          <w:rFonts w:cs="Times New Roman"/>
          <w:b/>
          <w:bCs/>
          <w:szCs w:val="24"/>
          <w:lang w:val="sr-Cyrl-CS"/>
        </w:rPr>
      </w:pPr>
    </w:p>
    <w:p w14:paraId="103A69D9" w14:textId="1AE24889" w:rsidR="00D210F0" w:rsidRPr="00092ED7" w:rsidRDefault="00D210F0" w:rsidP="00071952">
      <w:pPr>
        <w:widowControl w:val="0"/>
        <w:numPr>
          <w:ilvl w:val="0"/>
          <w:numId w:val="30"/>
        </w:numPr>
        <w:spacing w:before="120"/>
        <w:ind w:left="425" w:hanging="425"/>
        <w:rPr>
          <w:rFonts w:cs="Times New Roman"/>
          <w:b/>
          <w:bCs/>
          <w:szCs w:val="24"/>
          <w:lang w:val="sr-Cyrl-CS"/>
        </w:rPr>
      </w:pPr>
      <w:r w:rsidRPr="00092ED7">
        <w:rPr>
          <w:rFonts w:cs="Times New Roman"/>
          <w:b/>
          <w:bCs/>
          <w:szCs w:val="24"/>
          <w:lang w:val="sr-Cyrl-CS"/>
        </w:rPr>
        <w:t>Индикатори ризика</w:t>
      </w:r>
    </w:p>
    <w:tbl>
      <w:tblPr>
        <w:tblStyle w:val="TableGrid"/>
        <w:tblW w:w="9209" w:type="dxa"/>
        <w:jc w:val="center"/>
        <w:tblLayout w:type="fixed"/>
        <w:tblLook w:val="04A0" w:firstRow="1" w:lastRow="0" w:firstColumn="1" w:lastColumn="0" w:noHBand="0" w:noVBand="1"/>
      </w:tblPr>
      <w:tblGrid>
        <w:gridCol w:w="3685"/>
        <w:gridCol w:w="1980"/>
        <w:gridCol w:w="1702"/>
        <w:gridCol w:w="1842"/>
      </w:tblGrid>
      <w:tr w:rsidR="00D210F0" w:rsidRPr="00092ED7" w14:paraId="44F148F0" w14:textId="77777777" w:rsidTr="00E44EF2">
        <w:trPr>
          <w:cnfStyle w:val="100000000000" w:firstRow="1" w:lastRow="0" w:firstColumn="0" w:lastColumn="0" w:oddVBand="0" w:evenVBand="0" w:oddHBand="0" w:evenHBand="0" w:firstRowFirstColumn="0" w:firstRowLastColumn="0" w:lastRowFirstColumn="0" w:lastRowLastColumn="0"/>
          <w:trHeight w:val="358"/>
          <w:jc w:val="center"/>
        </w:trPr>
        <w:tc>
          <w:tcPr>
            <w:tcW w:w="3685" w:type="dxa"/>
            <w:tcBorders>
              <w:top w:val="single" w:sz="4" w:space="0" w:color="auto"/>
              <w:left w:val="single" w:sz="4" w:space="0" w:color="auto"/>
              <w:bottom w:val="single" w:sz="4" w:space="0" w:color="auto"/>
              <w:right w:val="single" w:sz="4" w:space="0" w:color="auto"/>
            </w:tcBorders>
          </w:tcPr>
          <w:p w14:paraId="2BFB572A" w14:textId="77777777" w:rsidR="00D210F0" w:rsidRPr="00092ED7" w:rsidRDefault="00D210F0" w:rsidP="00C429AB">
            <w:pPr>
              <w:spacing w:before="0" w:after="0"/>
              <w:ind w:left="113" w:right="113"/>
              <w:jc w:val="center"/>
              <w:rPr>
                <w:rFonts w:cs="Times New Roman"/>
                <w:sz w:val="20"/>
                <w:lang w:val="sr-Cyrl-CS"/>
              </w:rPr>
            </w:pPr>
            <w:r w:rsidRPr="00092ED7">
              <w:rPr>
                <w:rFonts w:cs="Times New Roman"/>
                <w:sz w:val="20"/>
                <w:lang w:val="sr-Cyrl-CS"/>
              </w:rPr>
              <w:t>Показатељ</w:t>
            </w:r>
          </w:p>
        </w:tc>
        <w:tc>
          <w:tcPr>
            <w:tcW w:w="1980" w:type="dxa"/>
            <w:tcBorders>
              <w:top w:val="single" w:sz="4" w:space="0" w:color="auto"/>
              <w:left w:val="single" w:sz="4" w:space="0" w:color="auto"/>
              <w:bottom w:val="single" w:sz="4" w:space="0" w:color="auto"/>
              <w:right w:val="single" w:sz="4" w:space="0" w:color="auto"/>
            </w:tcBorders>
            <w:hideMark/>
          </w:tcPr>
          <w:p w14:paraId="644BBBF9"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Почетна вредност</w:t>
            </w:r>
            <w:r w:rsidR="00736556" w:rsidRPr="00092ED7">
              <w:rPr>
                <w:rFonts w:cs="Times New Roman"/>
                <w:sz w:val="20"/>
                <w:lang w:val="sr-Cyrl-CS"/>
              </w:rPr>
              <w:t xml:space="preserve"> (2021)</w:t>
            </w:r>
          </w:p>
        </w:tc>
        <w:tc>
          <w:tcPr>
            <w:tcW w:w="1702" w:type="dxa"/>
            <w:tcBorders>
              <w:top w:val="single" w:sz="4" w:space="0" w:color="auto"/>
              <w:left w:val="single" w:sz="4" w:space="0" w:color="auto"/>
              <w:bottom w:val="single" w:sz="4" w:space="0" w:color="auto"/>
              <w:right w:val="single" w:sz="4" w:space="0" w:color="auto"/>
            </w:tcBorders>
            <w:hideMark/>
          </w:tcPr>
          <w:p w14:paraId="487737DE"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Међурезултат</w:t>
            </w:r>
            <w:r w:rsidR="00E44EF2" w:rsidRPr="00092ED7">
              <w:rPr>
                <w:rFonts w:cs="Times New Roman"/>
                <w:sz w:val="20"/>
                <w:lang w:val="sr-Cyrl-CS"/>
              </w:rPr>
              <w:t xml:space="preserve"> </w:t>
            </w:r>
            <w:r w:rsidR="00E44EF2" w:rsidRPr="00092ED7">
              <w:rPr>
                <w:rFonts w:eastAsia="Times New Roman" w:cs="Times New Roman"/>
                <w:sz w:val="20"/>
                <w:lang w:val="sr-Cyrl-CS"/>
              </w:rPr>
              <w:t>(2024)</w:t>
            </w:r>
          </w:p>
        </w:tc>
        <w:tc>
          <w:tcPr>
            <w:tcW w:w="1842" w:type="dxa"/>
            <w:tcBorders>
              <w:top w:val="single" w:sz="4" w:space="0" w:color="auto"/>
              <w:left w:val="single" w:sz="4" w:space="0" w:color="auto"/>
              <w:bottom w:val="single" w:sz="4" w:space="0" w:color="auto"/>
              <w:right w:val="single" w:sz="4" w:space="0" w:color="auto"/>
            </w:tcBorders>
            <w:hideMark/>
          </w:tcPr>
          <w:p w14:paraId="20A71585"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Циљна вредност</w:t>
            </w:r>
            <w:r w:rsidR="00E44EF2" w:rsidRPr="00092ED7">
              <w:rPr>
                <w:rFonts w:cs="Times New Roman"/>
                <w:sz w:val="20"/>
                <w:lang w:val="sr-Cyrl-CS"/>
              </w:rPr>
              <w:t xml:space="preserve"> </w:t>
            </w:r>
            <w:r w:rsidR="00E44EF2" w:rsidRPr="00092ED7">
              <w:rPr>
                <w:rFonts w:eastAsia="Times New Roman" w:cs="Times New Roman"/>
                <w:sz w:val="20"/>
                <w:lang w:val="sr-Cyrl-CS"/>
              </w:rPr>
              <w:t>(2025)</w:t>
            </w:r>
          </w:p>
        </w:tc>
      </w:tr>
      <w:tr w:rsidR="00D210F0" w:rsidRPr="00092ED7" w14:paraId="6DC5B728" w14:textId="77777777" w:rsidTr="00E44EF2">
        <w:trPr>
          <w:trHeight w:val="20"/>
          <w:jc w:val="center"/>
        </w:trPr>
        <w:tc>
          <w:tcPr>
            <w:tcW w:w="3685" w:type="dxa"/>
            <w:tcBorders>
              <w:top w:val="single" w:sz="4" w:space="0" w:color="auto"/>
              <w:left w:val="single" w:sz="4" w:space="0" w:color="auto"/>
              <w:bottom w:val="single" w:sz="4" w:space="0" w:color="auto"/>
              <w:right w:val="single" w:sz="4" w:space="0" w:color="auto"/>
            </w:tcBorders>
            <w:hideMark/>
          </w:tcPr>
          <w:p w14:paraId="7787ECCF" w14:textId="77777777" w:rsidR="00D210F0" w:rsidRPr="00092ED7" w:rsidRDefault="00D210F0" w:rsidP="00C429AB">
            <w:pPr>
              <w:spacing w:before="0" w:after="0"/>
              <w:ind w:left="113" w:right="113"/>
              <w:rPr>
                <w:rFonts w:cs="Times New Roman"/>
                <w:b/>
                <w:sz w:val="20"/>
                <w:lang w:val="sr-Cyrl-CS"/>
              </w:rPr>
            </w:pPr>
            <w:r w:rsidRPr="00092ED7">
              <w:rPr>
                <w:rFonts w:eastAsia="Times New Roman" w:cs="Times New Roman"/>
                <w:sz w:val="20"/>
                <w:lang w:val="sr-Cyrl-CS"/>
              </w:rPr>
              <w:t xml:space="preserve">Број реализованих решења за паметне градове (кумулатив) </w:t>
            </w:r>
          </w:p>
        </w:tc>
        <w:tc>
          <w:tcPr>
            <w:tcW w:w="1980" w:type="dxa"/>
            <w:tcBorders>
              <w:top w:val="single" w:sz="4" w:space="0" w:color="auto"/>
              <w:left w:val="single" w:sz="4" w:space="0" w:color="auto"/>
              <w:bottom w:val="single" w:sz="4" w:space="0" w:color="auto"/>
              <w:right w:val="single" w:sz="4" w:space="0" w:color="auto"/>
            </w:tcBorders>
            <w:hideMark/>
          </w:tcPr>
          <w:p w14:paraId="3494C84C" w14:textId="77777777" w:rsidR="00D210F0" w:rsidRPr="00092ED7" w:rsidRDefault="00D210F0" w:rsidP="00736556">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 xml:space="preserve">0 </w:t>
            </w:r>
          </w:p>
        </w:tc>
        <w:tc>
          <w:tcPr>
            <w:tcW w:w="1702" w:type="dxa"/>
            <w:tcBorders>
              <w:top w:val="single" w:sz="4" w:space="0" w:color="auto"/>
              <w:left w:val="single" w:sz="4" w:space="0" w:color="auto"/>
              <w:bottom w:val="single" w:sz="4" w:space="0" w:color="auto"/>
              <w:right w:val="single" w:sz="4" w:space="0" w:color="auto"/>
            </w:tcBorders>
            <w:hideMark/>
          </w:tcPr>
          <w:p w14:paraId="4AD4D244" w14:textId="77777777" w:rsidR="00D210F0" w:rsidRPr="00092ED7" w:rsidRDefault="00D210F0" w:rsidP="00E44EF2">
            <w:pPr>
              <w:spacing w:before="0" w:after="0"/>
              <w:ind w:left="113" w:right="113"/>
              <w:jc w:val="center"/>
              <w:rPr>
                <w:rFonts w:cs="Times New Roman"/>
                <w:b/>
                <w:sz w:val="20"/>
                <w:lang w:val="sr-Cyrl-CS"/>
              </w:rPr>
            </w:pPr>
            <w:r w:rsidRPr="00092ED7">
              <w:rPr>
                <w:rFonts w:eastAsia="Times New Roman" w:cs="Times New Roman"/>
                <w:sz w:val="20"/>
                <w:lang w:val="sr-Cyrl-CS"/>
              </w:rPr>
              <w:t>2</w:t>
            </w:r>
          </w:p>
        </w:tc>
        <w:tc>
          <w:tcPr>
            <w:tcW w:w="1842" w:type="dxa"/>
            <w:tcBorders>
              <w:top w:val="single" w:sz="4" w:space="0" w:color="auto"/>
              <w:left w:val="single" w:sz="4" w:space="0" w:color="auto"/>
              <w:bottom w:val="single" w:sz="4" w:space="0" w:color="auto"/>
              <w:right w:val="single" w:sz="4" w:space="0" w:color="auto"/>
            </w:tcBorders>
            <w:hideMark/>
          </w:tcPr>
          <w:p w14:paraId="61935F8E" w14:textId="77777777" w:rsidR="00D210F0" w:rsidRPr="00092ED7" w:rsidRDefault="00D210F0" w:rsidP="00E44EF2">
            <w:pPr>
              <w:spacing w:before="0" w:after="0"/>
              <w:ind w:left="113" w:right="113"/>
              <w:jc w:val="center"/>
              <w:rPr>
                <w:rFonts w:cs="Times New Roman"/>
                <w:b/>
                <w:sz w:val="20"/>
                <w:lang w:val="sr-Cyrl-CS"/>
              </w:rPr>
            </w:pPr>
            <w:r w:rsidRPr="00092ED7">
              <w:rPr>
                <w:rFonts w:eastAsia="Times New Roman" w:cs="Times New Roman"/>
                <w:sz w:val="20"/>
                <w:lang w:val="sr-Cyrl-CS"/>
              </w:rPr>
              <w:t>3</w:t>
            </w:r>
          </w:p>
        </w:tc>
      </w:tr>
      <w:tr w:rsidR="00D210F0" w:rsidRPr="00092ED7" w14:paraId="450E5044" w14:textId="77777777" w:rsidTr="00E44EF2">
        <w:trPr>
          <w:trHeight w:val="20"/>
          <w:jc w:val="center"/>
        </w:trPr>
        <w:tc>
          <w:tcPr>
            <w:tcW w:w="3685" w:type="dxa"/>
            <w:tcBorders>
              <w:top w:val="single" w:sz="4" w:space="0" w:color="auto"/>
              <w:left w:val="single" w:sz="4" w:space="0" w:color="auto"/>
              <w:bottom w:val="single" w:sz="4" w:space="0" w:color="auto"/>
              <w:right w:val="single" w:sz="4" w:space="0" w:color="auto"/>
            </w:tcBorders>
            <w:hideMark/>
          </w:tcPr>
          <w:p w14:paraId="55105AF0" w14:textId="742628D3" w:rsidR="00D210F0" w:rsidRPr="00092ED7" w:rsidRDefault="00D210F0" w:rsidP="00C429AB">
            <w:pPr>
              <w:spacing w:before="0" w:after="0"/>
              <w:ind w:left="113" w:right="113"/>
              <w:rPr>
                <w:rFonts w:cs="Times New Roman"/>
                <w:b/>
                <w:sz w:val="20"/>
                <w:lang w:val="sr-Cyrl-CS"/>
              </w:rPr>
            </w:pPr>
            <w:r w:rsidRPr="00092ED7">
              <w:rPr>
                <w:rFonts w:eastAsia="Times New Roman" w:cs="Times New Roman"/>
                <w:sz w:val="20"/>
                <w:lang w:val="sr-Cyrl-CS"/>
              </w:rPr>
              <w:t>Број образовних институција и привредних субјеката која користе капацитете „Иновационог дистрикта</w:t>
            </w:r>
            <w:r w:rsidR="0015547E" w:rsidRPr="00092ED7">
              <w:rPr>
                <w:rFonts w:cs="Times New Roman"/>
                <w:sz w:val="20"/>
                <w:lang w:val="sr-Cyrl-CS"/>
              </w:rPr>
              <w:t>”</w:t>
            </w:r>
          </w:p>
        </w:tc>
        <w:tc>
          <w:tcPr>
            <w:tcW w:w="1980" w:type="dxa"/>
            <w:tcBorders>
              <w:top w:val="single" w:sz="4" w:space="0" w:color="auto"/>
              <w:left w:val="single" w:sz="4" w:space="0" w:color="auto"/>
              <w:bottom w:val="single" w:sz="4" w:space="0" w:color="auto"/>
              <w:right w:val="single" w:sz="4" w:space="0" w:color="auto"/>
            </w:tcBorders>
            <w:hideMark/>
          </w:tcPr>
          <w:p w14:paraId="6F7D881E" w14:textId="77777777" w:rsidR="00D210F0" w:rsidRPr="00092ED7" w:rsidRDefault="00D210F0" w:rsidP="00736556">
            <w:pPr>
              <w:spacing w:before="0" w:after="0"/>
              <w:ind w:left="113" w:right="113"/>
              <w:jc w:val="center"/>
              <w:rPr>
                <w:rFonts w:cs="Times New Roman"/>
                <w:b/>
                <w:sz w:val="20"/>
                <w:lang w:val="sr-Cyrl-CS"/>
              </w:rPr>
            </w:pPr>
            <w:r w:rsidRPr="00092ED7">
              <w:rPr>
                <w:rFonts w:eastAsia="Times New Roman" w:cs="Times New Roman"/>
                <w:sz w:val="20"/>
                <w:lang w:val="sr-Cyrl-CS"/>
              </w:rPr>
              <w:t xml:space="preserve">0 </w:t>
            </w:r>
          </w:p>
        </w:tc>
        <w:tc>
          <w:tcPr>
            <w:tcW w:w="1702" w:type="dxa"/>
            <w:tcBorders>
              <w:top w:val="single" w:sz="4" w:space="0" w:color="auto"/>
              <w:left w:val="single" w:sz="4" w:space="0" w:color="auto"/>
              <w:bottom w:val="single" w:sz="4" w:space="0" w:color="auto"/>
              <w:right w:val="single" w:sz="4" w:space="0" w:color="auto"/>
            </w:tcBorders>
            <w:hideMark/>
          </w:tcPr>
          <w:p w14:paraId="3DDBEC6C" w14:textId="77777777" w:rsidR="00D210F0" w:rsidRPr="00092ED7" w:rsidRDefault="00E44EF2" w:rsidP="00E44EF2">
            <w:pPr>
              <w:spacing w:before="0" w:after="0"/>
              <w:ind w:left="113" w:right="113"/>
              <w:jc w:val="center"/>
              <w:rPr>
                <w:rFonts w:cs="Times New Roman"/>
                <w:b/>
                <w:sz w:val="20"/>
                <w:lang w:val="sr-Cyrl-CS"/>
              </w:rPr>
            </w:pPr>
            <w:r w:rsidRPr="00092ED7">
              <w:rPr>
                <w:rFonts w:eastAsia="Times New Roman" w:cs="Times New Roman"/>
                <w:sz w:val="20"/>
                <w:lang w:val="sr-Cyrl-CS"/>
              </w:rPr>
              <w:t>0</w:t>
            </w:r>
          </w:p>
        </w:tc>
        <w:tc>
          <w:tcPr>
            <w:tcW w:w="1842" w:type="dxa"/>
            <w:tcBorders>
              <w:top w:val="single" w:sz="4" w:space="0" w:color="auto"/>
              <w:left w:val="single" w:sz="4" w:space="0" w:color="auto"/>
              <w:bottom w:val="single" w:sz="4" w:space="0" w:color="auto"/>
              <w:right w:val="single" w:sz="4" w:space="0" w:color="auto"/>
            </w:tcBorders>
            <w:hideMark/>
          </w:tcPr>
          <w:p w14:paraId="3909B916" w14:textId="77777777" w:rsidR="00D210F0" w:rsidRPr="00092ED7" w:rsidRDefault="00E44EF2" w:rsidP="00E44EF2">
            <w:pPr>
              <w:spacing w:before="0" w:after="0"/>
              <w:ind w:left="113" w:right="113"/>
              <w:jc w:val="center"/>
              <w:rPr>
                <w:rFonts w:cs="Times New Roman"/>
                <w:b/>
                <w:sz w:val="20"/>
                <w:lang w:val="sr-Cyrl-CS"/>
              </w:rPr>
            </w:pPr>
            <w:r w:rsidRPr="00092ED7">
              <w:rPr>
                <w:rFonts w:eastAsia="Times New Roman" w:cs="Times New Roman"/>
                <w:sz w:val="20"/>
                <w:lang w:val="sr-Cyrl-CS"/>
              </w:rPr>
              <w:t>10</w:t>
            </w:r>
          </w:p>
        </w:tc>
      </w:tr>
    </w:tbl>
    <w:p w14:paraId="512A2149" w14:textId="77777777" w:rsidR="00D210F0" w:rsidRPr="00092ED7" w:rsidRDefault="00D210F0" w:rsidP="00071952">
      <w:pPr>
        <w:widowControl w:val="0"/>
        <w:numPr>
          <w:ilvl w:val="0"/>
          <w:numId w:val="30"/>
        </w:numPr>
        <w:spacing w:before="120"/>
        <w:ind w:left="425" w:hanging="425"/>
        <w:rPr>
          <w:rFonts w:cs="Times New Roman"/>
          <w:b/>
          <w:bCs/>
          <w:szCs w:val="24"/>
          <w:lang w:val="sr-Cyrl-CS"/>
        </w:rPr>
      </w:pPr>
      <w:r w:rsidRPr="00092ED7">
        <w:rPr>
          <w:b/>
          <w:szCs w:val="24"/>
          <w:lang w:val="sr-Cyrl-CS"/>
        </w:rPr>
        <w:t>Oчекивани утицај на конкурентност</w:t>
      </w:r>
    </w:p>
    <w:p w14:paraId="584BCC87" w14:textId="100DAB9C" w:rsidR="00BE7331" w:rsidRPr="00092ED7" w:rsidRDefault="002102A7" w:rsidP="008A6DAE">
      <w:pPr>
        <w:widowControl w:val="0"/>
        <w:spacing w:after="60"/>
        <w:rPr>
          <w:rFonts w:eastAsia="Times New Roman" w:cs="Times New Roman"/>
          <w:color w:val="000000" w:themeColor="text1"/>
          <w:szCs w:val="24"/>
          <w:lang w:val="sr-Cyrl-CS"/>
        </w:rPr>
      </w:pPr>
      <w:r w:rsidRPr="00092ED7">
        <w:rPr>
          <w:rFonts w:eastAsia="Times New Roman" w:cs="Times New Roman"/>
          <w:color w:val="000000" w:themeColor="text1"/>
          <w:szCs w:val="24"/>
          <w:lang w:val="sr-Cyrl-CS"/>
        </w:rPr>
        <w:t>Све активности ове реформе усмерене су на стварање стимулативног окружења за развој иновативних ИТ решења путем неопходне техничке инфраструктуре</w:t>
      </w:r>
      <w:r w:rsidR="003F4432" w:rsidRPr="00092ED7">
        <w:rPr>
          <w:rFonts w:eastAsia="Times New Roman" w:cs="Times New Roman"/>
          <w:color w:val="000000" w:themeColor="text1"/>
          <w:szCs w:val="24"/>
          <w:lang w:val="sr-Cyrl-CS"/>
        </w:rPr>
        <w:t>,</w:t>
      </w:r>
      <w:r w:rsidRPr="00092ED7">
        <w:rPr>
          <w:rFonts w:eastAsia="Times New Roman" w:cs="Times New Roman"/>
          <w:color w:val="000000" w:themeColor="text1"/>
          <w:szCs w:val="24"/>
          <w:lang w:val="sr-Cyrl-CS"/>
        </w:rPr>
        <w:t xml:space="preserve"> </w:t>
      </w:r>
      <w:r w:rsidR="003F4432" w:rsidRPr="00092ED7">
        <w:rPr>
          <w:rFonts w:eastAsia="Times New Roman" w:cs="Times New Roman"/>
          <w:color w:val="000000" w:themeColor="text1"/>
          <w:szCs w:val="24"/>
          <w:lang w:val="sr-Cyrl-CS"/>
        </w:rPr>
        <w:t>што</w:t>
      </w:r>
      <w:r w:rsidRPr="00092ED7">
        <w:rPr>
          <w:rFonts w:eastAsia="Times New Roman" w:cs="Times New Roman"/>
          <w:color w:val="000000" w:themeColor="text1"/>
          <w:szCs w:val="24"/>
          <w:lang w:val="sr-Cyrl-CS"/>
        </w:rPr>
        <w:t xml:space="preserve"> има значајан утицај на конкурентност у овој области, обзиром да је технолошки напредак неминован, а ИТ услуге и производи повећавају свој удео у БДП-у, из године у годину.</w:t>
      </w:r>
      <w:r w:rsidR="00B72A28" w:rsidRPr="00092ED7">
        <w:rPr>
          <w:rFonts w:eastAsia="Times New Roman" w:cs="Times New Roman"/>
          <w:color w:val="000000" w:themeColor="text1"/>
          <w:szCs w:val="24"/>
          <w:lang w:val="sr-Cyrl-CS"/>
        </w:rPr>
        <w:t xml:space="preserve"> </w:t>
      </w:r>
      <w:r w:rsidRPr="00092ED7">
        <w:rPr>
          <w:rFonts w:eastAsia="Times New Roman" w:cs="Times New Roman"/>
          <w:color w:val="000000" w:themeColor="text1"/>
          <w:szCs w:val="24"/>
          <w:lang w:val="sr-Cyrl-CS"/>
        </w:rPr>
        <w:t>Све активности предвиђене овом мером имају за циљ да обезбеде неопходну техничку инфрастуктуру, али и да створе стимулативно окружење за развој иновативних ИТ решења. Извоз ИТ услуга и производа у претходној години износио је 1,5 милијарди евра. Процене су да ће тај сектор ускоро имати удео у БДП-у у висини од око 10%, и да ће престићи пољопривредни сектор.</w:t>
      </w:r>
    </w:p>
    <w:p w14:paraId="6EF23D2B" w14:textId="77777777" w:rsidR="00D210F0" w:rsidRPr="00092ED7" w:rsidRDefault="00D210F0" w:rsidP="00BE7331">
      <w:pPr>
        <w:widowControl w:val="0"/>
        <w:numPr>
          <w:ilvl w:val="0"/>
          <w:numId w:val="30"/>
        </w:numPr>
        <w:spacing w:before="120"/>
        <w:ind w:left="425" w:hanging="425"/>
        <w:rPr>
          <w:b/>
          <w:szCs w:val="24"/>
          <w:lang w:val="sr-Cyrl-CS"/>
        </w:rPr>
      </w:pPr>
      <w:r w:rsidRPr="00092ED7">
        <w:rPr>
          <w:b/>
          <w:szCs w:val="24"/>
          <w:lang w:val="sr-Cyrl-CS"/>
        </w:rPr>
        <w:t>Процењени трошкови спровођења структурне реформе и предвиђени извори њиховог финансирања</w:t>
      </w:r>
    </w:p>
    <w:p w14:paraId="5E218A90" w14:textId="52CB1D1A" w:rsidR="00C178AA" w:rsidRPr="00092ED7" w:rsidRDefault="00C178AA" w:rsidP="00BA1B20">
      <w:pPr>
        <w:widowControl w:val="0"/>
        <w:spacing w:after="60"/>
        <w:rPr>
          <w:rFonts w:eastAsia="Times New Roman" w:cs="Times New Roman"/>
          <w:color w:val="000000" w:themeColor="text1"/>
          <w:szCs w:val="24"/>
          <w:lang w:val="sr-Cyrl-CS"/>
        </w:rPr>
      </w:pPr>
      <w:r w:rsidRPr="00092ED7">
        <w:rPr>
          <w:rFonts w:eastAsia="Times New Roman" w:cs="Times New Roman"/>
          <w:color w:val="000000" w:themeColor="text1"/>
          <w:szCs w:val="24"/>
          <w:lang w:val="sr-Cyrl-CS"/>
        </w:rPr>
        <w:t>За реализацију пројекта Smart City, који је почео у 2022. години, укупно планирана средства износе 13,79 милиона евра, по годинама: 1,29 милиона евра за 2023, 6,25 милиона евра за 2024. и 6,25 милиона евра за 2025. годину. За реализацију пројекта „Фаза 3 Иновациони дистрикт</w:t>
      </w:r>
      <w:r w:rsidR="003F69E2" w:rsidRPr="00092ED7">
        <w:rPr>
          <w:rFonts w:cs="Times New Roman"/>
          <w:szCs w:val="24"/>
          <w:lang w:val="sr-Cyrl-CS"/>
        </w:rPr>
        <w:t>”</w:t>
      </w:r>
      <w:r w:rsidRPr="00092ED7">
        <w:rPr>
          <w:rFonts w:eastAsia="Times New Roman" w:cs="Times New Roman"/>
          <w:color w:val="000000" w:themeColor="text1"/>
          <w:szCs w:val="24"/>
          <w:lang w:val="sr-Cyrl-CS"/>
        </w:rPr>
        <w:t xml:space="preserve"> </w:t>
      </w:r>
      <w:r w:rsidR="005701C0" w:rsidRPr="00092ED7">
        <w:rPr>
          <w:rFonts w:eastAsia="Times New Roman" w:cs="Times New Roman"/>
          <w:color w:val="000000" w:themeColor="text1"/>
          <w:szCs w:val="24"/>
          <w:lang w:val="sr-Cyrl-CS"/>
        </w:rPr>
        <w:t>ДДЦ</w:t>
      </w:r>
      <w:r w:rsidRPr="00092ED7">
        <w:rPr>
          <w:rFonts w:eastAsia="Times New Roman" w:cs="Times New Roman"/>
          <w:color w:val="000000" w:themeColor="text1"/>
          <w:szCs w:val="24"/>
          <w:lang w:val="sr-Cyrl-CS"/>
        </w:rPr>
        <w:t xml:space="preserve">, који ће започети у 2023. години, и чија ће реализација трајати до краја 2025. године, планирана су укупна средства у износу од </w:t>
      </w:r>
      <w:r w:rsidR="00FD4C33" w:rsidRPr="00092ED7">
        <w:rPr>
          <w:lang w:val="sr-Cyrl-CS"/>
        </w:rPr>
        <w:t xml:space="preserve">22,95 </w:t>
      </w:r>
      <w:r w:rsidRPr="00092ED7">
        <w:rPr>
          <w:rFonts w:eastAsia="Times New Roman" w:cs="Times New Roman"/>
          <w:color w:val="000000" w:themeColor="text1"/>
          <w:szCs w:val="24"/>
          <w:lang w:val="sr-Cyrl-CS"/>
        </w:rPr>
        <w:t xml:space="preserve">милиона евра, по годинама: 6,29 милиона евра за 2023, </w:t>
      </w:r>
      <w:r w:rsidR="00FD4C33" w:rsidRPr="00092ED7">
        <w:rPr>
          <w:lang w:val="sr-Cyrl-CS"/>
        </w:rPr>
        <w:t xml:space="preserve">5,83 </w:t>
      </w:r>
      <w:r w:rsidRPr="00092ED7">
        <w:rPr>
          <w:rFonts w:eastAsia="Times New Roman" w:cs="Times New Roman"/>
          <w:color w:val="000000" w:themeColor="text1"/>
          <w:szCs w:val="24"/>
          <w:lang w:val="sr-Cyrl-CS"/>
        </w:rPr>
        <w:t>милиона евра за 2024. и 10,83 милиона евра за 2025. годину. Извор финансирања за оба пројекта и све планиране активности је буџет Р</w:t>
      </w:r>
      <w:r w:rsidR="005701C0" w:rsidRPr="00092ED7">
        <w:rPr>
          <w:rFonts w:eastAsia="Times New Roman" w:cs="Times New Roman"/>
          <w:color w:val="000000" w:themeColor="text1"/>
          <w:szCs w:val="24"/>
          <w:lang w:val="sr-Cyrl-CS"/>
        </w:rPr>
        <w:t xml:space="preserve">епублике </w:t>
      </w:r>
      <w:r w:rsidRPr="00092ED7">
        <w:rPr>
          <w:rFonts w:eastAsia="Times New Roman" w:cs="Times New Roman"/>
          <w:color w:val="000000" w:themeColor="text1"/>
          <w:szCs w:val="24"/>
          <w:lang w:val="sr-Cyrl-CS"/>
        </w:rPr>
        <w:t>С</w:t>
      </w:r>
      <w:r w:rsidR="005701C0" w:rsidRPr="00092ED7">
        <w:rPr>
          <w:rFonts w:eastAsia="Times New Roman" w:cs="Times New Roman"/>
          <w:color w:val="000000" w:themeColor="text1"/>
          <w:szCs w:val="24"/>
          <w:lang w:val="sr-Cyrl-CS"/>
        </w:rPr>
        <w:t>рбије</w:t>
      </w:r>
      <w:r w:rsidRPr="00092ED7">
        <w:rPr>
          <w:rFonts w:eastAsia="Times New Roman" w:cs="Times New Roman"/>
          <w:color w:val="000000" w:themeColor="text1"/>
          <w:szCs w:val="24"/>
          <w:lang w:val="sr-Cyrl-CS"/>
        </w:rPr>
        <w:t>. Две су базне године – 2018. и 2022.</w:t>
      </w:r>
    </w:p>
    <w:p w14:paraId="47CD9E8A" w14:textId="77777777" w:rsidR="00D210F0" w:rsidRPr="00092ED7" w:rsidRDefault="00D210F0" w:rsidP="00BA1B20">
      <w:pPr>
        <w:widowControl w:val="0"/>
        <w:numPr>
          <w:ilvl w:val="0"/>
          <w:numId w:val="30"/>
        </w:numPr>
        <w:spacing w:before="120"/>
        <w:ind w:left="425" w:hanging="425"/>
        <w:rPr>
          <w:b/>
          <w:szCs w:val="24"/>
          <w:lang w:val="sr-Cyrl-CS"/>
        </w:rPr>
      </w:pPr>
      <w:r w:rsidRPr="00092ED7">
        <w:rPr>
          <w:b/>
          <w:szCs w:val="24"/>
          <w:lang w:val="sr-Cyrl-CS"/>
        </w:rPr>
        <w:t>Очекивани утицај на социјалне циљеве, као што су запосленост, смањење сиромаштва, родна равноправност и приступ здравственој заштити</w:t>
      </w:r>
    </w:p>
    <w:p w14:paraId="3647E103" w14:textId="77777777" w:rsidR="00D06BBD" w:rsidRPr="00092ED7" w:rsidRDefault="00D50025" w:rsidP="00BA1B20">
      <w:pPr>
        <w:widowControl w:val="0"/>
        <w:spacing w:after="60"/>
        <w:rPr>
          <w:rFonts w:eastAsia="Times New Roman" w:cs="Times New Roman"/>
          <w:color w:val="000000" w:themeColor="text1"/>
          <w:szCs w:val="24"/>
          <w:lang w:val="sr-Cyrl-CS"/>
        </w:rPr>
      </w:pPr>
      <w:r w:rsidRPr="00092ED7">
        <w:rPr>
          <w:rFonts w:eastAsia="Times New Roman" w:cs="Times New Roman"/>
          <w:color w:val="000000" w:themeColor="text1"/>
          <w:szCs w:val="24"/>
          <w:lang w:val="sr-Cyrl-CS"/>
        </w:rPr>
        <w:t>Реформа ствара услове за повећање обима посла и запослености, посебно у области ИТ услуга и производа јер директно утиче на развој талената ученика и студената који своје идеје и знање могу да пласирају на тржишту и да се адекватно запосле. Самим тим, ова реформа на индиректан начин утуче и на смањење сиромаштва, пре свега кроз смањење незапослености поменутих категорија. Кроз јачање конкурентности и примену иновативних решења утиче се и на квалитет живота. Мера позитивно утиче на родну равноправност.</w:t>
      </w:r>
    </w:p>
    <w:p w14:paraId="7E8FF180" w14:textId="77777777" w:rsidR="00D210F0" w:rsidRPr="00092ED7" w:rsidRDefault="00D210F0" w:rsidP="00BA1B20">
      <w:pPr>
        <w:widowControl w:val="0"/>
        <w:numPr>
          <w:ilvl w:val="0"/>
          <w:numId w:val="30"/>
        </w:numPr>
        <w:spacing w:before="120"/>
        <w:ind w:left="425" w:hanging="425"/>
        <w:rPr>
          <w:rFonts w:cs="Times New Roman"/>
          <w:b/>
          <w:szCs w:val="24"/>
          <w:lang w:val="sr-Cyrl-CS"/>
        </w:rPr>
      </w:pPr>
      <w:r w:rsidRPr="00092ED7">
        <w:rPr>
          <w:rFonts w:cs="Times New Roman"/>
          <w:b/>
          <w:szCs w:val="24"/>
          <w:lang w:val="sr-Cyrl-CS"/>
        </w:rPr>
        <w:t>Очекивани утицај на животну средину и климатске промене</w:t>
      </w:r>
    </w:p>
    <w:p w14:paraId="7330AB4A" w14:textId="152213F0" w:rsidR="00BA1B20" w:rsidRDefault="00F1218E" w:rsidP="00BA1B20">
      <w:pPr>
        <w:widowControl w:val="0"/>
        <w:tabs>
          <w:tab w:val="left" w:pos="360"/>
        </w:tabs>
        <w:spacing w:after="60"/>
        <w:rPr>
          <w:rFonts w:eastAsia="Times New Roman" w:cs="Times New Roman"/>
          <w:szCs w:val="24"/>
          <w:lang w:val="sr-Cyrl-CS"/>
        </w:rPr>
      </w:pPr>
      <w:r w:rsidRPr="00092ED7">
        <w:rPr>
          <w:rFonts w:eastAsia="Times New Roman" w:cs="Times New Roman"/>
          <w:szCs w:val="24"/>
          <w:lang w:val="sr-Cyrl-CS"/>
        </w:rPr>
        <w:t xml:space="preserve">Предност ће имати она </w:t>
      </w:r>
      <w:r w:rsidR="00067265" w:rsidRPr="00092ED7">
        <w:rPr>
          <w:rFonts w:eastAsia="Times New Roman" w:cs="Times New Roman"/>
          <w:szCs w:val="24"/>
          <w:lang w:val="sr-Cyrl-CS"/>
        </w:rPr>
        <w:t xml:space="preserve">иновативна ИТ </w:t>
      </w:r>
      <w:r w:rsidRPr="00092ED7">
        <w:rPr>
          <w:rFonts w:eastAsia="Times New Roman" w:cs="Times New Roman"/>
          <w:szCs w:val="24"/>
          <w:lang w:val="sr-Cyrl-CS"/>
        </w:rPr>
        <w:t xml:space="preserve">решења која ће се бавити заштитом животне средине и која ће утицати на свеобухватни друштвено-економски раст. </w:t>
      </w:r>
    </w:p>
    <w:p w14:paraId="576394CF" w14:textId="77777777" w:rsidR="00BA1B20" w:rsidRDefault="00BA1B20">
      <w:pPr>
        <w:spacing w:after="160" w:line="259" w:lineRule="auto"/>
        <w:jc w:val="left"/>
        <w:rPr>
          <w:rFonts w:eastAsia="Times New Roman" w:cs="Times New Roman"/>
          <w:szCs w:val="24"/>
          <w:lang w:val="sr-Cyrl-CS"/>
        </w:rPr>
      </w:pPr>
      <w:r>
        <w:rPr>
          <w:rFonts w:eastAsia="Times New Roman" w:cs="Times New Roman"/>
          <w:szCs w:val="24"/>
          <w:lang w:val="sr-Cyrl-CS"/>
        </w:rPr>
        <w:br w:type="page"/>
      </w:r>
    </w:p>
    <w:p w14:paraId="2D283663" w14:textId="77777777" w:rsidR="00D210F0" w:rsidRPr="00092ED7" w:rsidRDefault="00D210F0" w:rsidP="00071952">
      <w:pPr>
        <w:widowControl w:val="0"/>
        <w:numPr>
          <w:ilvl w:val="0"/>
          <w:numId w:val="30"/>
        </w:numPr>
        <w:spacing w:before="120"/>
        <w:ind w:left="425" w:hanging="425"/>
        <w:rPr>
          <w:rFonts w:cs="Times New Roman"/>
          <w:b/>
          <w:szCs w:val="24"/>
          <w:lang w:val="sr-Cyrl-CS"/>
        </w:rPr>
      </w:pPr>
      <w:r w:rsidRPr="00092ED7">
        <w:rPr>
          <w:rFonts w:cs="Times New Roman"/>
          <w:b/>
          <w:szCs w:val="24"/>
          <w:lang w:val="sr-Cyrl-CS"/>
        </w:rPr>
        <w:t>Потенцијални ризици</w:t>
      </w:r>
    </w:p>
    <w:tbl>
      <w:tblPr>
        <w:tblStyle w:val="TableGrid"/>
        <w:tblW w:w="9067" w:type="dxa"/>
        <w:tblLayout w:type="fixed"/>
        <w:tblLook w:val="04A0" w:firstRow="1" w:lastRow="0" w:firstColumn="1" w:lastColumn="0" w:noHBand="0" w:noVBand="1"/>
      </w:tblPr>
      <w:tblGrid>
        <w:gridCol w:w="2830"/>
        <w:gridCol w:w="1985"/>
        <w:gridCol w:w="4252"/>
      </w:tblGrid>
      <w:tr w:rsidR="00D210F0" w:rsidRPr="00092ED7" w14:paraId="2780BE28" w14:textId="77777777" w:rsidTr="00BA1B20">
        <w:trPr>
          <w:cnfStyle w:val="100000000000" w:firstRow="1" w:lastRow="0" w:firstColumn="0" w:lastColumn="0" w:oddVBand="0" w:evenVBand="0" w:oddHBand="0" w:evenHBand="0" w:firstRowFirstColumn="0" w:firstRowLastColumn="0" w:lastRowFirstColumn="0" w:lastRowLastColumn="0"/>
          <w:trHeight w:val="479"/>
        </w:trPr>
        <w:tc>
          <w:tcPr>
            <w:tcW w:w="2830" w:type="dxa"/>
            <w:tcBorders>
              <w:top w:val="single" w:sz="4" w:space="0" w:color="auto"/>
              <w:left w:val="single" w:sz="4" w:space="0" w:color="auto"/>
              <w:bottom w:val="single" w:sz="4" w:space="0" w:color="auto"/>
              <w:right w:val="single" w:sz="4" w:space="0" w:color="auto"/>
            </w:tcBorders>
            <w:hideMark/>
          </w:tcPr>
          <w:p w14:paraId="7ABB3B38"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1985" w:type="dxa"/>
            <w:tcBorders>
              <w:top w:val="single" w:sz="4" w:space="0" w:color="auto"/>
              <w:left w:val="single" w:sz="4" w:space="0" w:color="auto"/>
              <w:bottom w:val="single" w:sz="4" w:space="0" w:color="auto"/>
              <w:right w:val="single" w:sz="4" w:space="0" w:color="auto"/>
            </w:tcBorders>
            <w:hideMark/>
          </w:tcPr>
          <w:p w14:paraId="7BDBC994"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4252" w:type="dxa"/>
            <w:tcBorders>
              <w:top w:val="single" w:sz="4" w:space="0" w:color="auto"/>
              <w:left w:val="single" w:sz="4" w:space="0" w:color="auto"/>
              <w:bottom w:val="single" w:sz="4" w:space="0" w:color="auto"/>
              <w:right w:val="single" w:sz="4" w:space="0" w:color="auto"/>
            </w:tcBorders>
            <w:hideMark/>
          </w:tcPr>
          <w:p w14:paraId="39D124E2"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7D8DF98E" w14:textId="77777777" w:rsidTr="00BA1B20">
        <w:trPr>
          <w:trHeight w:val="20"/>
        </w:trPr>
        <w:tc>
          <w:tcPr>
            <w:tcW w:w="2830" w:type="dxa"/>
            <w:tcBorders>
              <w:top w:val="single" w:sz="4" w:space="0" w:color="auto"/>
              <w:left w:val="single" w:sz="4" w:space="0" w:color="auto"/>
              <w:bottom w:val="single" w:sz="4" w:space="0" w:color="auto"/>
              <w:right w:val="single" w:sz="4" w:space="0" w:color="auto"/>
            </w:tcBorders>
            <w:vAlign w:val="top"/>
            <w:hideMark/>
          </w:tcPr>
          <w:p w14:paraId="110BC606" w14:textId="77777777" w:rsidR="00D210F0" w:rsidRPr="00092ED7" w:rsidRDefault="00D210F0" w:rsidP="00757D8D">
            <w:pPr>
              <w:spacing w:before="0" w:after="0"/>
              <w:ind w:left="113" w:right="113"/>
              <w:rPr>
                <w:rFonts w:cs="Times New Roman"/>
                <w:b/>
                <w:sz w:val="20"/>
                <w:lang w:val="sr-Cyrl-CS"/>
              </w:rPr>
            </w:pPr>
            <w:r w:rsidRPr="00092ED7">
              <w:rPr>
                <w:rFonts w:eastAsia="Times New Roman" w:cs="Times New Roman"/>
                <w:sz w:val="20"/>
                <w:lang w:val="sr-Cyrl-CS"/>
              </w:rPr>
              <w:t>Потешкоће у набавци потребне опреме</w:t>
            </w:r>
          </w:p>
        </w:tc>
        <w:tc>
          <w:tcPr>
            <w:tcW w:w="1985" w:type="dxa"/>
            <w:tcBorders>
              <w:top w:val="single" w:sz="4" w:space="0" w:color="auto"/>
              <w:left w:val="single" w:sz="4" w:space="0" w:color="auto"/>
              <w:bottom w:val="single" w:sz="4" w:space="0" w:color="auto"/>
              <w:right w:val="single" w:sz="4" w:space="0" w:color="auto"/>
            </w:tcBorders>
            <w:vAlign w:val="top"/>
            <w:hideMark/>
          </w:tcPr>
          <w:p w14:paraId="0BB87E38" w14:textId="77777777" w:rsidR="00D210F0" w:rsidRPr="00092ED7" w:rsidRDefault="00D210F0" w:rsidP="00757D8D">
            <w:pPr>
              <w:spacing w:before="0" w:after="0"/>
              <w:ind w:left="113" w:right="113"/>
              <w:jc w:val="center"/>
              <w:rPr>
                <w:rFonts w:cs="Times New Roman"/>
                <w:b/>
                <w:sz w:val="20"/>
                <w:lang w:val="sr-Cyrl-CS"/>
              </w:rPr>
            </w:pPr>
            <w:r w:rsidRPr="00092ED7">
              <w:rPr>
                <w:rFonts w:eastAsia="Times New Roman" w:cs="Times New Roman"/>
                <w:sz w:val="20"/>
                <w:lang w:val="sr-Cyrl-CS"/>
              </w:rPr>
              <w:t>Ниска</w:t>
            </w:r>
          </w:p>
        </w:tc>
        <w:tc>
          <w:tcPr>
            <w:tcW w:w="4252" w:type="dxa"/>
            <w:tcBorders>
              <w:top w:val="single" w:sz="4" w:space="0" w:color="auto"/>
              <w:left w:val="single" w:sz="4" w:space="0" w:color="auto"/>
              <w:bottom w:val="single" w:sz="4" w:space="0" w:color="auto"/>
              <w:right w:val="single" w:sz="4" w:space="0" w:color="auto"/>
            </w:tcBorders>
            <w:vAlign w:val="top"/>
            <w:hideMark/>
          </w:tcPr>
          <w:p w14:paraId="3FCEDA00" w14:textId="777D4773" w:rsidR="00D210F0" w:rsidRPr="00092ED7" w:rsidRDefault="00D210F0" w:rsidP="00757D8D">
            <w:pPr>
              <w:spacing w:before="0" w:after="0"/>
              <w:ind w:left="113" w:right="113"/>
              <w:rPr>
                <w:rFonts w:eastAsia="Times New Roman" w:cs="Times New Roman"/>
                <w:sz w:val="20"/>
                <w:lang w:val="sr-Cyrl-CS"/>
              </w:rPr>
            </w:pPr>
            <w:r w:rsidRPr="00092ED7">
              <w:rPr>
                <w:rFonts w:eastAsia="Times New Roman" w:cs="Times New Roman"/>
                <w:sz w:val="20"/>
                <w:lang w:val="sr-Cyrl-CS"/>
              </w:rPr>
              <w:t xml:space="preserve">Поштовање уговорних одредаба и процедура набавки. Поновно покретање производње код иностраних добављача и несметана дистрибуција опреме до места испоруке зависиће од пандемије </w:t>
            </w:r>
            <w:r w:rsidR="00B94430" w:rsidRPr="00092ED7">
              <w:rPr>
                <w:rFonts w:eastAsia="Times New Roman" w:cs="Times New Roman"/>
                <w:bCs/>
                <w:iCs/>
                <w:sz w:val="20"/>
                <w:lang w:val="sr-Cyrl-CS"/>
              </w:rPr>
              <w:t>COVID</w:t>
            </w:r>
            <w:r w:rsidR="00B94430" w:rsidRPr="00092ED7" w:rsidDel="00B94430">
              <w:rPr>
                <w:rFonts w:eastAsia="Times New Roman" w:cs="Times New Roman"/>
                <w:sz w:val="20"/>
                <w:lang w:val="sr-Cyrl-CS"/>
              </w:rPr>
              <w:t xml:space="preserve"> </w:t>
            </w:r>
            <w:r w:rsidRPr="00092ED7">
              <w:rPr>
                <w:rFonts w:eastAsia="Times New Roman" w:cs="Times New Roman"/>
                <w:sz w:val="20"/>
                <w:lang w:val="sr-Cyrl-CS"/>
              </w:rPr>
              <w:t>-19</w:t>
            </w:r>
            <w:r w:rsidR="00D47BD8" w:rsidRPr="00092ED7">
              <w:rPr>
                <w:rFonts w:eastAsia="Times New Roman" w:cs="Times New Roman"/>
                <w:sz w:val="20"/>
                <w:lang w:val="sr-Cyrl-CS"/>
              </w:rPr>
              <w:t>.</w:t>
            </w:r>
          </w:p>
        </w:tc>
      </w:tr>
      <w:tr w:rsidR="00D210F0" w:rsidRPr="00092ED7" w14:paraId="61AF07F8" w14:textId="77777777" w:rsidTr="00BA1B20">
        <w:trPr>
          <w:trHeight w:val="20"/>
        </w:trPr>
        <w:tc>
          <w:tcPr>
            <w:tcW w:w="2830" w:type="dxa"/>
            <w:tcBorders>
              <w:top w:val="single" w:sz="4" w:space="0" w:color="auto"/>
              <w:left w:val="single" w:sz="4" w:space="0" w:color="auto"/>
              <w:bottom w:val="single" w:sz="4" w:space="0" w:color="auto"/>
              <w:right w:val="single" w:sz="4" w:space="0" w:color="auto"/>
            </w:tcBorders>
            <w:vAlign w:val="top"/>
            <w:hideMark/>
          </w:tcPr>
          <w:p w14:paraId="4AABA855" w14:textId="77777777" w:rsidR="00D210F0" w:rsidRPr="00092ED7" w:rsidRDefault="00D210F0" w:rsidP="00757D8D">
            <w:pPr>
              <w:spacing w:before="0" w:after="0"/>
              <w:ind w:left="113" w:right="113"/>
              <w:rPr>
                <w:rFonts w:cs="Times New Roman"/>
                <w:sz w:val="20"/>
                <w:lang w:val="sr-Cyrl-CS"/>
              </w:rPr>
            </w:pPr>
            <w:r w:rsidRPr="00092ED7">
              <w:rPr>
                <w:rFonts w:eastAsia="Times New Roman" w:cs="Times New Roman"/>
                <w:sz w:val="20"/>
                <w:lang w:val="sr-Cyrl-CS"/>
              </w:rPr>
              <w:t>Дуготрајни инсталацијски радови и спремност извођача послова за</w:t>
            </w:r>
            <w:r w:rsidRPr="00092ED7">
              <w:rPr>
                <w:rFonts w:cs="Times New Roman"/>
                <w:sz w:val="20"/>
                <w:lang w:val="sr-Cyrl-CS"/>
              </w:rPr>
              <w:t xml:space="preserve"> </w:t>
            </w:r>
            <w:r w:rsidRPr="00092ED7">
              <w:rPr>
                <w:rFonts w:eastAsia="Times New Roman" w:cs="Times New Roman"/>
                <w:sz w:val="20"/>
                <w:lang w:val="sr-Cyrl-CS"/>
              </w:rPr>
              <w:t>друге кораке процеса</w:t>
            </w:r>
          </w:p>
        </w:tc>
        <w:tc>
          <w:tcPr>
            <w:tcW w:w="1985" w:type="dxa"/>
            <w:tcBorders>
              <w:top w:val="single" w:sz="4" w:space="0" w:color="auto"/>
              <w:left w:val="single" w:sz="4" w:space="0" w:color="auto"/>
              <w:bottom w:val="single" w:sz="4" w:space="0" w:color="auto"/>
              <w:right w:val="single" w:sz="4" w:space="0" w:color="auto"/>
            </w:tcBorders>
            <w:vAlign w:val="top"/>
            <w:hideMark/>
          </w:tcPr>
          <w:p w14:paraId="3665A683" w14:textId="77777777" w:rsidR="00D210F0" w:rsidRPr="00092ED7" w:rsidRDefault="00D210F0" w:rsidP="00757D8D">
            <w:pPr>
              <w:spacing w:before="0" w:after="0"/>
              <w:ind w:left="113" w:right="113"/>
              <w:jc w:val="center"/>
              <w:rPr>
                <w:rFonts w:cs="Times New Roman"/>
                <w:b/>
                <w:sz w:val="20"/>
                <w:lang w:val="sr-Cyrl-CS"/>
              </w:rPr>
            </w:pPr>
            <w:r w:rsidRPr="00092ED7">
              <w:rPr>
                <w:rFonts w:eastAsia="Times New Roman" w:cs="Times New Roman"/>
                <w:sz w:val="20"/>
                <w:lang w:val="sr-Cyrl-CS"/>
              </w:rPr>
              <w:t>Ниска</w:t>
            </w:r>
          </w:p>
        </w:tc>
        <w:tc>
          <w:tcPr>
            <w:tcW w:w="4252" w:type="dxa"/>
            <w:tcBorders>
              <w:top w:val="single" w:sz="4" w:space="0" w:color="auto"/>
              <w:left w:val="single" w:sz="4" w:space="0" w:color="auto"/>
              <w:bottom w:val="single" w:sz="4" w:space="0" w:color="auto"/>
              <w:right w:val="single" w:sz="4" w:space="0" w:color="auto"/>
            </w:tcBorders>
            <w:vAlign w:val="top"/>
            <w:hideMark/>
          </w:tcPr>
          <w:p w14:paraId="74B1BD10" w14:textId="77777777" w:rsidR="00D210F0" w:rsidRPr="00092ED7" w:rsidRDefault="00D210F0" w:rsidP="00757D8D">
            <w:pPr>
              <w:spacing w:before="0" w:after="0"/>
              <w:ind w:left="113" w:right="113"/>
              <w:rPr>
                <w:rFonts w:eastAsia="Times New Roman" w:cs="Times New Roman"/>
                <w:sz w:val="20"/>
                <w:lang w:val="sr-Cyrl-CS"/>
              </w:rPr>
            </w:pPr>
            <w:r w:rsidRPr="00092ED7">
              <w:rPr>
                <w:rFonts w:eastAsia="Times New Roman" w:cs="Times New Roman"/>
                <w:sz w:val="20"/>
                <w:lang w:val="sr-Cyrl-CS"/>
              </w:rPr>
              <w:t>Појачано праћење спровођења планираних активности у складу са предвиђеним роковима</w:t>
            </w:r>
            <w:r w:rsidR="00D47BD8" w:rsidRPr="00092ED7">
              <w:rPr>
                <w:rFonts w:eastAsia="Times New Roman" w:cs="Times New Roman"/>
                <w:sz w:val="20"/>
                <w:lang w:val="sr-Cyrl-CS"/>
              </w:rPr>
              <w:t>.</w:t>
            </w:r>
          </w:p>
        </w:tc>
      </w:tr>
    </w:tbl>
    <w:p w14:paraId="12D1AA5C" w14:textId="77777777" w:rsidR="00D210F0" w:rsidRPr="00092ED7" w:rsidRDefault="00D210F0" w:rsidP="00D210F0">
      <w:pPr>
        <w:spacing w:before="360"/>
        <w:rPr>
          <w:rFonts w:cs="Times New Roman"/>
          <w:b/>
          <w:bCs/>
          <w:szCs w:val="24"/>
          <w:lang w:val="sr-Cyrl-CS"/>
        </w:rPr>
      </w:pPr>
      <w:r w:rsidRPr="00092ED7">
        <w:rPr>
          <w:rFonts w:cs="Times New Roman"/>
          <w:b/>
          <w:bCs/>
          <w:szCs w:val="24"/>
          <w:u w:val="single"/>
          <w:lang w:val="sr-Cyrl-CS"/>
        </w:rPr>
        <w:t>СТРУКТУРНА РЕФОРМА 15</w:t>
      </w:r>
      <w:r w:rsidRPr="00092ED7">
        <w:rPr>
          <w:rFonts w:cs="Times New Roman"/>
          <w:b/>
          <w:bCs/>
          <w:szCs w:val="24"/>
          <w:lang w:val="sr-Cyrl-CS"/>
        </w:rPr>
        <w:t xml:space="preserve">: </w:t>
      </w:r>
      <w:r w:rsidRPr="00092ED7">
        <w:rPr>
          <w:rFonts w:cs="Times New Roman"/>
          <w:szCs w:val="24"/>
          <w:lang w:val="sr-Cyrl-CS"/>
        </w:rPr>
        <w:t>ПОДРШКА РАЗВОЈУ ТАЛЕНАТА И КРЕАТИВНИХ ИНДУСТРИЈА ОСНИВАЊЕМ МУЛТИФУНКЦИОНАЛНОГ ИНОВАТИВНО-КРЕАТИВНОГ ЦЕНТРА ЛОЖИОНИЦА</w:t>
      </w:r>
    </w:p>
    <w:p w14:paraId="1081492A" w14:textId="77777777" w:rsidR="00D210F0" w:rsidRPr="00092ED7" w:rsidRDefault="00D210F0" w:rsidP="00071952">
      <w:pPr>
        <w:widowControl w:val="0"/>
        <w:numPr>
          <w:ilvl w:val="0"/>
          <w:numId w:val="31"/>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4AE09D82" w14:textId="0769C19D" w:rsidR="00D210F0" w:rsidRPr="00092ED7" w:rsidRDefault="00D210F0" w:rsidP="008A6DAE">
      <w:pPr>
        <w:widowControl w:val="0"/>
        <w:spacing w:after="60"/>
        <w:rPr>
          <w:rFonts w:cs="Times New Roman"/>
          <w:szCs w:val="24"/>
          <w:lang w:val="sr-Cyrl-CS"/>
        </w:rPr>
      </w:pPr>
      <w:r w:rsidRPr="00092ED7">
        <w:rPr>
          <w:rFonts w:cs="Times New Roman"/>
          <w:szCs w:val="24"/>
          <w:lang w:val="sr-Cyrl-CS"/>
        </w:rPr>
        <w:t>Циљ мере је успостављање јединственог простора осмишљеног тако да пружи сву неопходну (техничку) подршку развоју талената и креативних индустрија. Овај будући мултифункционални центар пројектован је тако да омогући: локално и интернационално умрежавање, едукације кроз преношење знања, презентовање примера добре праксе и могућност тестирања својих идеја и решења, као и њихову презентацију заинтересованим привредним субјектима, појединцима, групама и организацијама. Концептом урбане ревитализације који подразумева реконструкцију постојеће зграде Ложионице са водоторњем и изградњу нове анекс пословне зграде као део целине „Београда на води</w:t>
      </w:r>
      <w:r w:rsidR="003F69E2" w:rsidRPr="00092ED7">
        <w:rPr>
          <w:rFonts w:cs="Times New Roman"/>
          <w:szCs w:val="24"/>
          <w:lang w:val="sr-Cyrl-CS"/>
        </w:rPr>
        <w:t>”</w:t>
      </w:r>
      <w:r w:rsidRPr="00092ED7">
        <w:rPr>
          <w:rFonts w:cs="Times New Roman"/>
          <w:szCs w:val="24"/>
          <w:lang w:val="sr-Cyrl-CS"/>
        </w:rPr>
        <w:t xml:space="preserve">, створиће се јавни мултифункционални простор посвећен промовисању иновативности и стваралаштва са могућношћу повезивања и реализације одрживих пословних идеја, док ће анекс пословна зграда бити намењена ИТ индустрији. Осим радова на реконструкцији, планира </w:t>
      </w:r>
      <w:r w:rsidR="00E63AE6" w:rsidRPr="00092ED7">
        <w:rPr>
          <w:rFonts w:cs="Times New Roman"/>
          <w:szCs w:val="24"/>
          <w:lang w:val="sr-Cyrl-CS"/>
        </w:rPr>
        <w:t xml:space="preserve">се </w:t>
      </w:r>
      <w:r w:rsidRPr="00092ED7">
        <w:rPr>
          <w:rFonts w:cs="Times New Roman"/>
          <w:szCs w:val="24"/>
          <w:lang w:val="sr-Cyrl-CS"/>
        </w:rPr>
        <w:t xml:space="preserve">и покретање програма подршке професионалним удружењима и образовних програма за професионалце из области креативних индустрија, затим покретање талент хаба – образовних програма за основце и средњошколце, као и успостављање инкубатора за креативне индустрије. Наратив наслеђа и асоцијација на авангардност железнице у периоду њене изградње у </w:t>
      </w:r>
      <w:r w:rsidR="005701C0" w:rsidRPr="00092ED7">
        <w:rPr>
          <w:rFonts w:cs="Times New Roman"/>
          <w:szCs w:val="24"/>
          <w:lang w:val="sr-Cyrl-CS"/>
        </w:rPr>
        <w:t xml:space="preserve">Републици </w:t>
      </w:r>
      <w:r w:rsidRPr="00092ED7">
        <w:rPr>
          <w:rFonts w:cs="Times New Roman"/>
          <w:szCs w:val="24"/>
          <w:lang w:val="sr-Cyrl-CS"/>
        </w:rPr>
        <w:t>Србији поред тога што доприносе аутентичности објекта истовремено пружају и значајан потенцијал за његово брендирање на националном, регионалном и глобалном нивоу.</w:t>
      </w:r>
    </w:p>
    <w:p w14:paraId="2607687C" w14:textId="77777777" w:rsidR="00D210F0" w:rsidRPr="00092ED7" w:rsidRDefault="00D210F0" w:rsidP="00071952">
      <w:pPr>
        <w:widowControl w:val="0"/>
        <w:numPr>
          <w:ilvl w:val="0"/>
          <w:numId w:val="31"/>
        </w:numPr>
        <w:spacing w:before="120"/>
        <w:ind w:left="425" w:hanging="425"/>
        <w:rPr>
          <w:rFonts w:cs="Times New Roman"/>
          <w:b/>
          <w:smallCaps/>
          <w:lang w:val="sr-Cyrl-CS"/>
        </w:rPr>
      </w:pPr>
      <w:r w:rsidRPr="00092ED7">
        <w:rPr>
          <w:rFonts w:cs="Times New Roman"/>
          <w:b/>
          <w:bCs/>
          <w:szCs w:val="24"/>
          <w:lang w:val="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425"/>
        <w:gridCol w:w="4243"/>
        <w:gridCol w:w="372"/>
        <w:gridCol w:w="373"/>
        <w:gridCol w:w="372"/>
        <w:gridCol w:w="373"/>
        <w:gridCol w:w="372"/>
        <w:gridCol w:w="373"/>
        <w:gridCol w:w="373"/>
        <w:gridCol w:w="372"/>
        <w:gridCol w:w="373"/>
        <w:gridCol w:w="372"/>
        <w:gridCol w:w="373"/>
        <w:gridCol w:w="373"/>
      </w:tblGrid>
      <w:tr w:rsidR="00D210F0" w:rsidRPr="00092ED7" w14:paraId="1E181D1E" w14:textId="77777777" w:rsidTr="00E44EF2">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054011E0"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РБ</w:t>
            </w:r>
          </w:p>
        </w:tc>
        <w:tc>
          <w:tcPr>
            <w:tcW w:w="4243"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05FA7407" w14:textId="77777777" w:rsidR="00D210F0" w:rsidRPr="00092ED7" w:rsidRDefault="00D210F0" w:rsidP="00D210F0">
            <w:pPr>
              <w:spacing w:after="0"/>
              <w:rPr>
                <w:rFonts w:cs="Times New Roman"/>
                <w:b/>
                <w:bCs/>
                <w:color w:val="000000"/>
                <w:sz w:val="20"/>
                <w:szCs w:val="20"/>
                <w:lang w:val="sr-Cyrl-CS"/>
              </w:rPr>
            </w:pPr>
            <w:r w:rsidRPr="00092ED7">
              <w:rPr>
                <w:rFonts w:cs="Times New Roman"/>
                <w:b/>
                <w:bCs/>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441E61D"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1F25E1DF"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0B56DAE4"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32DCB5D8" w14:textId="77777777" w:rsidTr="00E44EF2">
        <w:trPr>
          <w:trHeight w:val="315"/>
        </w:trPr>
        <w:tc>
          <w:tcPr>
            <w:tcW w:w="425" w:type="dxa"/>
            <w:vMerge/>
            <w:tcBorders>
              <w:left w:val="single" w:sz="8" w:space="0" w:color="auto"/>
              <w:bottom w:val="single" w:sz="8" w:space="0" w:color="000000"/>
              <w:right w:val="nil"/>
            </w:tcBorders>
            <w:shd w:val="clear" w:color="000000" w:fill="BDD6EE"/>
            <w:vAlign w:val="center"/>
            <w:hideMark/>
          </w:tcPr>
          <w:p w14:paraId="1E21DBE5" w14:textId="77777777" w:rsidR="00D210F0" w:rsidRPr="00092ED7" w:rsidRDefault="00D210F0" w:rsidP="00D210F0">
            <w:pPr>
              <w:spacing w:after="0"/>
              <w:jc w:val="center"/>
              <w:rPr>
                <w:rFonts w:cs="Times New Roman"/>
                <w:b/>
                <w:bCs/>
                <w:color w:val="000000"/>
                <w:sz w:val="20"/>
                <w:szCs w:val="20"/>
                <w:lang w:val="sr-Cyrl-CS"/>
              </w:rPr>
            </w:pPr>
          </w:p>
        </w:tc>
        <w:tc>
          <w:tcPr>
            <w:tcW w:w="4243"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13FDAB6C" w14:textId="77777777" w:rsidR="00D210F0" w:rsidRPr="00092ED7" w:rsidRDefault="00D210F0" w:rsidP="00D210F0">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5A60FC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EB8DC7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4EF0638"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00CE5A4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76A17A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C1A54E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9383B8E"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D51B50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29AA80F"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22E0B1B"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B6D0BD5"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16BE27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3F8E83A9" w14:textId="77777777" w:rsidTr="00B640AF">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5838F08A"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1.</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B70CC81" w14:textId="77777777" w:rsidR="00D210F0" w:rsidRPr="00092ED7" w:rsidRDefault="00D210F0" w:rsidP="00E44EF2">
            <w:pPr>
              <w:spacing w:after="0"/>
              <w:ind w:right="122"/>
              <w:rPr>
                <w:rFonts w:cs="Times New Roman"/>
                <w:sz w:val="20"/>
                <w:szCs w:val="20"/>
                <w:lang w:val="sr-Cyrl-CS"/>
              </w:rPr>
            </w:pPr>
            <w:r w:rsidRPr="00092ED7">
              <w:rPr>
                <w:rFonts w:cs="Times New Roman"/>
                <w:sz w:val="20"/>
                <w:szCs w:val="20"/>
                <w:lang w:val="sr-Cyrl-CS"/>
              </w:rPr>
              <w:t>Реконструкција објекта Ложионица са водоторњем и изградња анекс пословне зграде</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16239B1"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04C2A6B"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5043305"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D263316"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D82BEE3"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E1F9E2"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73C30C4"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B2784A0"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617DB85"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C4D5EA6"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F34DE45"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3A3FE059" w14:textId="77777777" w:rsidR="00D210F0" w:rsidRPr="00092ED7" w:rsidRDefault="00D210F0" w:rsidP="00D210F0">
            <w:pPr>
              <w:spacing w:after="0"/>
              <w:rPr>
                <w:rFonts w:cs="Times New Roman"/>
                <w:color w:val="000000"/>
                <w:sz w:val="20"/>
                <w:szCs w:val="20"/>
                <w:lang w:val="sr-Cyrl-CS"/>
              </w:rPr>
            </w:pPr>
          </w:p>
        </w:tc>
      </w:tr>
      <w:tr w:rsidR="00D210F0" w:rsidRPr="00092ED7" w14:paraId="47D42C40" w14:textId="77777777" w:rsidTr="00B640AF">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95DAF41"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2.</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A1927AD" w14:textId="391428A7" w:rsidR="00D210F0" w:rsidRPr="00092ED7" w:rsidRDefault="0096044C" w:rsidP="0096044C">
            <w:pPr>
              <w:rPr>
                <w:rFonts w:cs="Times New Roman"/>
                <w:sz w:val="20"/>
                <w:szCs w:val="20"/>
                <w:lang w:val="sr-Cyrl-CS"/>
              </w:rPr>
            </w:pPr>
            <w:r w:rsidRPr="00092ED7">
              <w:rPr>
                <w:rFonts w:cs="Times New Roman"/>
                <w:sz w:val="20"/>
                <w:szCs w:val="20"/>
                <w:lang w:val="sr-Cyrl-CS"/>
              </w:rPr>
              <w:t xml:space="preserve">Пружање подршке развоју професионалних удружења, образовних програма из области креативних индустрија, талент хаба (образовних програма за основце и средњошколце), инкубатора за креативне индустрије и </w:t>
            </w:r>
            <w:r w:rsidR="007044BF" w:rsidRPr="00092ED7">
              <w:rPr>
                <w:rFonts w:cs="Times New Roman"/>
                <w:sz w:val="20"/>
                <w:szCs w:val="20"/>
                <w:lang w:val="sr-Cyrl-CS"/>
              </w:rPr>
              <w:t>G</w:t>
            </w:r>
            <w:r w:rsidRPr="00092ED7">
              <w:rPr>
                <w:rFonts w:cs="Times New Roman"/>
                <w:sz w:val="20"/>
                <w:szCs w:val="20"/>
                <w:lang w:val="sr-Cyrl-CS"/>
              </w:rPr>
              <w:t>ov</w:t>
            </w:r>
            <w:r w:rsidR="007044BF" w:rsidRPr="00092ED7">
              <w:rPr>
                <w:rFonts w:cs="Times New Roman"/>
                <w:sz w:val="20"/>
                <w:szCs w:val="20"/>
                <w:lang w:val="sr-Cyrl-CS"/>
              </w:rPr>
              <w:t>T</w:t>
            </w:r>
            <w:r w:rsidRPr="00092ED7">
              <w:rPr>
                <w:rFonts w:cs="Times New Roman"/>
                <w:sz w:val="20"/>
                <w:szCs w:val="20"/>
                <w:lang w:val="sr-Cyrl-CS"/>
              </w:rPr>
              <w:t>ech хаба опремањем објекта „Ложионица</w:t>
            </w:r>
            <w:r w:rsidR="003F69E2" w:rsidRPr="00092ED7">
              <w:rPr>
                <w:rFonts w:cs="Times New Roman"/>
                <w:sz w:val="20"/>
                <w:szCs w:val="20"/>
                <w:lang w:val="sr-Cyrl-CS"/>
              </w:rPr>
              <w:t>”</w:t>
            </w: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2141A99"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84D3812"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56CF83C"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07BECA3"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D32170F"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5AB7F3A"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F3CB9AC"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7ABE103"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7E40EA6"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312D8FC"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51B1DDA"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C551A05" w14:textId="77777777" w:rsidR="00D210F0" w:rsidRPr="00092ED7" w:rsidRDefault="00D210F0" w:rsidP="00D210F0">
            <w:pPr>
              <w:spacing w:after="0"/>
              <w:rPr>
                <w:rFonts w:cs="Times New Roman"/>
                <w:color w:val="000000"/>
                <w:sz w:val="20"/>
                <w:szCs w:val="20"/>
                <w:lang w:val="sr-Cyrl-CS"/>
              </w:rPr>
            </w:pPr>
          </w:p>
        </w:tc>
      </w:tr>
    </w:tbl>
    <w:p w14:paraId="0CEFCCC3" w14:textId="77777777" w:rsidR="00BA1B20" w:rsidRDefault="00BA1B20" w:rsidP="00BA1B20">
      <w:pPr>
        <w:widowControl w:val="0"/>
        <w:spacing w:before="120"/>
        <w:rPr>
          <w:rFonts w:cs="Times New Roman"/>
          <w:b/>
          <w:bCs/>
          <w:szCs w:val="24"/>
          <w:lang w:val="sr-Cyrl-CS"/>
        </w:rPr>
      </w:pPr>
    </w:p>
    <w:p w14:paraId="31B26573" w14:textId="2250B300" w:rsidR="00D210F0" w:rsidRPr="00092ED7" w:rsidRDefault="00D210F0" w:rsidP="00071952">
      <w:pPr>
        <w:widowControl w:val="0"/>
        <w:numPr>
          <w:ilvl w:val="0"/>
          <w:numId w:val="31"/>
        </w:numPr>
        <w:spacing w:before="120"/>
        <w:ind w:left="425" w:hanging="425"/>
        <w:rPr>
          <w:rFonts w:cs="Times New Roman"/>
          <w:b/>
          <w:bCs/>
          <w:szCs w:val="24"/>
          <w:lang w:val="sr-Cyrl-CS"/>
        </w:rPr>
      </w:pPr>
      <w:r w:rsidRPr="00092ED7">
        <w:rPr>
          <w:rFonts w:cs="Times New Roman"/>
          <w:b/>
          <w:bCs/>
          <w:szCs w:val="24"/>
          <w:lang w:val="sr-Cyrl-CS"/>
        </w:rPr>
        <w:t>Индикатори ризика</w:t>
      </w:r>
    </w:p>
    <w:tbl>
      <w:tblPr>
        <w:tblStyle w:val="TableGrid"/>
        <w:tblW w:w="9209" w:type="dxa"/>
        <w:tblLayout w:type="fixed"/>
        <w:tblLook w:val="04A0" w:firstRow="1" w:lastRow="0" w:firstColumn="1" w:lastColumn="0" w:noHBand="0" w:noVBand="1"/>
      </w:tblPr>
      <w:tblGrid>
        <w:gridCol w:w="3685"/>
        <w:gridCol w:w="1980"/>
        <w:gridCol w:w="1702"/>
        <w:gridCol w:w="1842"/>
      </w:tblGrid>
      <w:tr w:rsidR="00D210F0" w:rsidRPr="00092ED7" w14:paraId="0B90EE96" w14:textId="77777777" w:rsidTr="00E44EF2">
        <w:trPr>
          <w:cnfStyle w:val="100000000000" w:firstRow="1" w:lastRow="0" w:firstColumn="0" w:lastColumn="0" w:oddVBand="0" w:evenVBand="0" w:oddHBand="0" w:evenHBand="0" w:firstRowFirstColumn="0" w:firstRowLastColumn="0" w:lastRowFirstColumn="0" w:lastRowLastColumn="0"/>
          <w:trHeight w:val="283"/>
        </w:trPr>
        <w:tc>
          <w:tcPr>
            <w:tcW w:w="3685" w:type="dxa"/>
          </w:tcPr>
          <w:p w14:paraId="23EAAA38"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Показатељ</w:t>
            </w:r>
          </w:p>
        </w:tc>
        <w:tc>
          <w:tcPr>
            <w:tcW w:w="1980" w:type="dxa"/>
          </w:tcPr>
          <w:p w14:paraId="7C90FE15"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Почетна вредност</w:t>
            </w:r>
            <w:r w:rsidR="00E44EF2" w:rsidRPr="00092ED7">
              <w:rPr>
                <w:rFonts w:cs="Times New Roman"/>
                <w:sz w:val="20"/>
                <w:lang w:val="sr-Cyrl-CS"/>
              </w:rPr>
              <w:t xml:space="preserve"> </w:t>
            </w:r>
            <w:r w:rsidR="00E44EF2" w:rsidRPr="00092ED7">
              <w:rPr>
                <w:rFonts w:eastAsia="Times New Roman" w:cs="Times New Roman"/>
                <w:sz w:val="20"/>
                <w:lang w:val="sr-Cyrl-CS"/>
              </w:rPr>
              <w:t>(2021)</w:t>
            </w:r>
          </w:p>
        </w:tc>
        <w:tc>
          <w:tcPr>
            <w:tcW w:w="1702" w:type="dxa"/>
          </w:tcPr>
          <w:p w14:paraId="6170605E"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Међурезултат</w:t>
            </w:r>
            <w:r w:rsidR="00E44EF2" w:rsidRPr="00092ED7">
              <w:rPr>
                <w:rFonts w:cs="Times New Roman"/>
                <w:sz w:val="20"/>
                <w:lang w:val="sr-Cyrl-CS"/>
              </w:rPr>
              <w:t xml:space="preserve"> </w:t>
            </w:r>
            <w:r w:rsidR="00E44EF2" w:rsidRPr="00092ED7">
              <w:rPr>
                <w:rFonts w:eastAsia="Times New Roman" w:cs="Times New Roman"/>
                <w:sz w:val="20"/>
                <w:lang w:val="sr-Cyrl-CS"/>
              </w:rPr>
              <w:t>(2024)</w:t>
            </w:r>
          </w:p>
        </w:tc>
        <w:tc>
          <w:tcPr>
            <w:tcW w:w="1842" w:type="dxa"/>
          </w:tcPr>
          <w:p w14:paraId="2F2DCFFD"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Циљна вредност</w:t>
            </w:r>
            <w:r w:rsidR="00E44EF2" w:rsidRPr="00092ED7">
              <w:rPr>
                <w:rFonts w:cs="Times New Roman"/>
                <w:sz w:val="20"/>
                <w:lang w:val="sr-Cyrl-CS"/>
              </w:rPr>
              <w:t xml:space="preserve"> </w:t>
            </w:r>
            <w:r w:rsidR="00E44EF2" w:rsidRPr="00092ED7">
              <w:rPr>
                <w:rFonts w:eastAsia="Times New Roman" w:cs="Times New Roman"/>
                <w:sz w:val="20"/>
                <w:lang w:val="sr-Cyrl-CS"/>
              </w:rPr>
              <w:t>(2025)</w:t>
            </w:r>
          </w:p>
        </w:tc>
      </w:tr>
      <w:tr w:rsidR="00D210F0" w:rsidRPr="00092ED7" w14:paraId="2ABAE7F4" w14:textId="77777777" w:rsidTr="00E44EF2">
        <w:trPr>
          <w:trHeight w:val="283"/>
        </w:trPr>
        <w:tc>
          <w:tcPr>
            <w:tcW w:w="3685" w:type="dxa"/>
          </w:tcPr>
          <w:p w14:paraId="521DA385" w14:textId="7F355B07" w:rsidR="00D210F0" w:rsidRPr="00092ED7" w:rsidRDefault="00D8424B" w:rsidP="00C429AB">
            <w:pPr>
              <w:spacing w:before="0" w:after="0"/>
              <w:ind w:left="113" w:right="113"/>
              <w:jc w:val="left"/>
              <w:rPr>
                <w:rFonts w:eastAsia="Times New Roman" w:cs="Times New Roman"/>
                <w:sz w:val="20"/>
                <w:lang w:val="sr-Cyrl-CS"/>
              </w:rPr>
            </w:pPr>
            <w:r w:rsidRPr="00092ED7">
              <w:rPr>
                <w:rFonts w:eastAsia="Times New Roman" w:cs="Times New Roman"/>
                <w:sz w:val="20"/>
                <w:lang w:val="sr-Cyrl-CS"/>
              </w:rPr>
              <w:t xml:space="preserve">Број нових иновативних предузећа у инкубатору за </w:t>
            </w:r>
            <w:r w:rsidR="003F4432" w:rsidRPr="00092ED7">
              <w:rPr>
                <w:rFonts w:eastAsia="Times New Roman" w:cs="Times New Roman"/>
                <w:sz w:val="20"/>
                <w:lang w:val="sr-Cyrl-CS"/>
              </w:rPr>
              <w:t>креативне индустрије</w:t>
            </w:r>
          </w:p>
        </w:tc>
        <w:tc>
          <w:tcPr>
            <w:tcW w:w="1980" w:type="dxa"/>
          </w:tcPr>
          <w:p w14:paraId="5616F38A" w14:textId="77777777" w:rsidR="00D210F0" w:rsidRPr="00092ED7" w:rsidRDefault="00D210F0" w:rsidP="00E44EF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0</w:t>
            </w:r>
          </w:p>
        </w:tc>
        <w:tc>
          <w:tcPr>
            <w:tcW w:w="1702" w:type="dxa"/>
          </w:tcPr>
          <w:p w14:paraId="4989E740" w14:textId="77777777" w:rsidR="00D210F0" w:rsidRPr="00092ED7" w:rsidRDefault="00E44EF2" w:rsidP="00E44EF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2</w:t>
            </w:r>
          </w:p>
        </w:tc>
        <w:tc>
          <w:tcPr>
            <w:tcW w:w="1842" w:type="dxa"/>
          </w:tcPr>
          <w:p w14:paraId="4A794E3A" w14:textId="77777777" w:rsidR="00D210F0" w:rsidRPr="00092ED7" w:rsidRDefault="00D210F0" w:rsidP="00E44EF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10</w:t>
            </w:r>
          </w:p>
        </w:tc>
      </w:tr>
      <w:tr w:rsidR="00D210F0" w:rsidRPr="00092ED7" w14:paraId="4673D9EB" w14:textId="77777777" w:rsidTr="00E44EF2">
        <w:trPr>
          <w:trHeight w:val="283"/>
        </w:trPr>
        <w:tc>
          <w:tcPr>
            <w:tcW w:w="3685" w:type="dxa"/>
          </w:tcPr>
          <w:p w14:paraId="5F615028" w14:textId="77777777" w:rsidR="00D210F0" w:rsidRPr="00092ED7" w:rsidRDefault="00D8424B" w:rsidP="00C429AB">
            <w:pPr>
              <w:spacing w:before="0" w:after="0"/>
              <w:ind w:left="113" w:right="113"/>
              <w:jc w:val="left"/>
              <w:rPr>
                <w:rFonts w:eastAsia="Times New Roman" w:cs="Times New Roman"/>
                <w:sz w:val="20"/>
                <w:lang w:val="sr-Cyrl-CS"/>
              </w:rPr>
            </w:pPr>
            <w:r w:rsidRPr="00092ED7">
              <w:rPr>
                <w:rFonts w:eastAsia="Times New Roman" w:cs="Times New Roman"/>
                <w:sz w:val="20"/>
                <w:lang w:val="sr-Cyrl-CS"/>
              </w:rPr>
              <w:t>Број нових иновативних предузећа у GovTech хабу</w:t>
            </w:r>
          </w:p>
        </w:tc>
        <w:tc>
          <w:tcPr>
            <w:tcW w:w="1980" w:type="dxa"/>
          </w:tcPr>
          <w:p w14:paraId="334D0A8A" w14:textId="77777777" w:rsidR="00D210F0" w:rsidRPr="00092ED7" w:rsidRDefault="00D210F0" w:rsidP="00C429AB">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0</w:t>
            </w:r>
          </w:p>
        </w:tc>
        <w:tc>
          <w:tcPr>
            <w:tcW w:w="1702" w:type="dxa"/>
          </w:tcPr>
          <w:p w14:paraId="2D9A1B36" w14:textId="77777777" w:rsidR="00D210F0" w:rsidRPr="00092ED7" w:rsidRDefault="00E44EF2" w:rsidP="00E44EF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1</w:t>
            </w:r>
          </w:p>
        </w:tc>
        <w:tc>
          <w:tcPr>
            <w:tcW w:w="1842" w:type="dxa"/>
          </w:tcPr>
          <w:p w14:paraId="0C12C09C" w14:textId="77777777" w:rsidR="00D210F0" w:rsidRPr="00092ED7" w:rsidRDefault="00D210F0" w:rsidP="00E44EF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5</w:t>
            </w:r>
          </w:p>
        </w:tc>
      </w:tr>
    </w:tbl>
    <w:p w14:paraId="657BDD84" w14:textId="77777777" w:rsidR="00D210F0" w:rsidRPr="00092ED7" w:rsidRDefault="00D210F0" w:rsidP="00071952">
      <w:pPr>
        <w:widowControl w:val="0"/>
        <w:numPr>
          <w:ilvl w:val="0"/>
          <w:numId w:val="31"/>
        </w:numPr>
        <w:spacing w:before="120"/>
        <w:ind w:left="425" w:hanging="425"/>
        <w:rPr>
          <w:rFonts w:cs="Times New Roman"/>
          <w:b/>
          <w:bCs/>
          <w:szCs w:val="24"/>
          <w:lang w:val="sr-Cyrl-CS"/>
        </w:rPr>
      </w:pPr>
      <w:r w:rsidRPr="00092ED7">
        <w:rPr>
          <w:rFonts w:cs="Times New Roman"/>
          <w:b/>
          <w:szCs w:val="24"/>
          <w:lang w:val="sr-Cyrl-CS"/>
        </w:rPr>
        <w:t>Oчекивани утицај на конкурентност</w:t>
      </w:r>
    </w:p>
    <w:p w14:paraId="5BEE064A" w14:textId="77777777" w:rsidR="00D210F0" w:rsidRPr="00092ED7" w:rsidRDefault="00D210F0" w:rsidP="008A6DAE">
      <w:pPr>
        <w:widowControl w:val="0"/>
        <w:tabs>
          <w:tab w:val="left" w:pos="360"/>
        </w:tabs>
        <w:spacing w:after="60"/>
        <w:rPr>
          <w:rFonts w:cs="Times New Roman"/>
          <w:b/>
          <w:bCs/>
          <w:szCs w:val="24"/>
          <w:lang w:val="sr-Cyrl-CS"/>
        </w:rPr>
      </w:pPr>
      <w:r w:rsidRPr="00092ED7">
        <w:rPr>
          <w:rFonts w:cs="Times New Roman"/>
          <w:iCs/>
          <w:szCs w:val="24"/>
          <w:lang w:val="sr-Cyrl-CS"/>
        </w:rPr>
        <w:t>Ова структурна реформа ће највећи утицај имати на повећање конкурентности домаћих извозних производа из области креативних индустрија. Кроз рад са појединцима и компанијама на развоју и презентацији производа, Ложионица ће повећати конкурентност домаћих производа на страном тржишту, али уједно и допринети јачању домаћег тржишта креативних индустрија и привлачењу страних инвестиција у овој области.</w:t>
      </w:r>
    </w:p>
    <w:p w14:paraId="55742FF4" w14:textId="77777777" w:rsidR="00D210F0" w:rsidRPr="00092ED7" w:rsidRDefault="00D210F0" w:rsidP="00071952">
      <w:pPr>
        <w:widowControl w:val="0"/>
        <w:numPr>
          <w:ilvl w:val="0"/>
          <w:numId w:val="31"/>
        </w:numPr>
        <w:spacing w:before="120"/>
        <w:ind w:left="425" w:hanging="425"/>
        <w:rPr>
          <w:rFonts w:cs="Times New Roman"/>
          <w:b/>
          <w:bCs/>
          <w:szCs w:val="24"/>
          <w:lang w:val="sr-Cyrl-CS"/>
        </w:rPr>
      </w:pPr>
      <w:r w:rsidRPr="00092ED7">
        <w:rPr>
          <w:rFonts w:cs="Times New Roman"/>
          <w:b/>
          <w:szCs w:val="24"/>
          <w:lang w:val="sr-Cyrl-CS"/>
        </w:rPr>
        <w:t>Процењени трошкови спровођења структурне реформе и предвиђени извори њиховог финансирања</w:t>
      </w:r>
    </w:p>
    <w:p w14:paraId="65609322" w14:textId="6D924FAF" w:rsidR="00A978F7" w:rsidRPr="00092ED7" w:rsidRDefault="00A978F7" w:rsidP="008A6DAE">
      <w:pPr>
        <w:widowControl w:val="0"/>
        <w:tabs>
          <w:tab w:val="left" w:pos="270"/>
          <w:tab w:val="left" w:pos="360"/>
        </w:tabs>
        <w:spacing w:after="60"/>
        <w:rPr>
          <w:rFonts w:cs="Times New Roman"/>
          <w:b/>
          <w:bCs/>
          <w:szCs w:val="24"/>
          <w:lang w:val="sr-Cyrl-CS"/>
        </w:rPr>
      </w:pPr>
      <w:r w:rsidRPr="00092ED7">
        <w:rPr>
          <w:rFonts w:eastAsia="Times New Roman" w:cs="Times New Roman"/>
          <w:color w:val="000000" w:themeColor="text1"/>
          <w:szCs w:val="24"/>
          <w:lang w:val="sr-Cyrl-CS"/>
        </w:rPr>
        <w:t xml:space="preserve">За реализацију мере, која је започела у 2022. години, укупна планирана средства износе 62,5 милиона евра, по годинама: </w:t>
      </w:r>
      <w:r w:rsidR="00E20CC4" w:rsidRPr="00092ED7">
        <w:rPr>
          <w:lang w:val="sr-Cyrl-CS"/>
        </w:rPr>
        <w:t xml:space="preserve">15,42 </w:t>
      </w:r>
      <w:r w:rsidRPr="00092ED7">
        <w:rPr>
          <w:rFonts w:eastAsia="Times New Roman" w:cs="Times New Roman"/>
          <w:color w:val="000000" w:themeColor="text1"/>
          <w:szCs w:val="24"/>
          <w:lang w:val="sr-Cyrl-CS"/>
        </w:rPr>
        <w:t xml:space="preserve">милиона евра за 2023. годину, </w:t>
      </w:r>
      <w:r w:rsidR="00E20CC4" w:rsidRPr="00092ED7">
        <w:rPr>
          <w:lang w:val="sr-Cyrl-CS"/>
        </w:rPr>
        <w:t xml:space="preserve">27,08 </w:t>
      </w:r>
      <w:r w:rsidRPr="00092ED7">
        <w:rPr>
          <w:rFonts w:eastAsia="Times New Roman" w:cs="Times New Roman"/>
          <w:color w:val="000000" w:themeColor="text1"/>
          <w:szCs w:val="24"/>
          <w:lang w:val="sr-Cyrl-CS"/>
        </w:rPr>
        <w:t>милиона евра за 2024. и 20 милиона евра за 2025. годину. Извор финансирања за овај пројекат, односно све планиране активности је буџет Р</w:t>
      </w:r>
      <w:r w:rsidR="005701C0" w:rsidRPr="00092ED7">
        <w:rPr>
          <w:rFonts w:eastAsia="Times New Roman" w:cs="Times New Roman"/>
          <w:color w:val="000000" w:themeColor="text1"/>
          <w:szCs w:val="24"/>
          <w:lang w:val="sr-Cyrl-CS"/>
        </w:rPr>
        <w:t xml:space="preserve">епублике </w:t>
      </w:r>
      <w:r w:rsidRPr="00092ED7">
        <w:rPr>
          <w:rFonts w:eastAsia="Times New Roman" w:cs="Times New Roman"/>
          <w:color w:val="000000" w:themeColor="text1"/>
          <w:szCs w:val="24"/>
          <w:lang w:val="sr-Cyrl-CS"/>
        </w:rPr>
        <w:t>С</w:t>
      </w:r>
      <w:r w:rsidR="005701C0" w:rsidRPr="00092ED7">
        <w:rPr>
          <w:rFonts w:eastAsia="Times New Roman" w:cs="Times New Roman"/>
          <w:color w:val="000000" w:themeColor="text1"/>
          <w:szCs w:val="24"/>
          <w:lang w:val="sr-Cyrl-CS"/>
        </w:rPr>
        <w:t>рбије</w:t>
      </w:r>
      <w:r w:rsidRPr="00092ED7">
        <w:rPr>
          <w:rFonts w:eastAsia="Times New Roman" w:cs="Times New Roman"/>
          <w:color w:val="000000" w:themeColor="text1"/>
          <w:szCs w:val="24"/>
          <w:lang w:val="sr-Cyrl-CS"/>
        </w:rPr>
        <w:t xml:space="preserve">. </w:t>
      </w:r>
    </w:p>
    <w:p w14:paraId="44F963FB" w14:textId="77777777" w:rsidR="00D210F0" w:rsidRPr="00092ED7" w:rsidRDefault="00D210F0" w:rsidP="00071952">
      <w:pPr>
        <w:widowControl w:val="0"/>
        <w:numPr>
          <w:ilvl w:val="0"/>
          <w:numId w:val="31"/>
        </w:numPr>
        <w:spacing w:before="120"/>
        <w:ind w:left="425" w:hanging="425"/>
        <w:rPr>
          <w:rFonts w:cs="Times New Roman"/>
          <w:b/>
          <w:szCs w:val="24"/>
          <w:lang w:val="sr-Cyrl-CS"/>
        </w:rPr>
      </w:pPr>
      <w:r w:rsidRPr="00092ED7">
        <w:rPr>
          <w:rFonts w:cs="Times New Roman"/>
          <w:b/>
          <w:szCs w:val="24"/>
          <w:lang w:val="sr-Cyrl-CS"/>
        </w:rPr>
        <w:t>Очекивани утицај на социјалне циљеве, као што су запосленост, смањење сиромаштва, родна равноправност и приступ здравственој заштити</w:t>
      </w:r>
    </w:p>
    <w:p w14:paraId="2E7D6BDA" w14:textId="77777777" w:rsidR="00D210F0" w:rsidRPr="00092ED7" w:rsidRDefault="00D50025" w:rsidP="008A6DAE">
      <w:pPr>
        <w:widowControl w:val="0"/>
        <w:tabs>
          <w:tab w:val="left" w:pos="360"/>
        </w:tabs>
        <w:spacing w:after="60"/>
        <w:rPr>
          <w:rFonts w:cs="Times New Roman"/>
          <w:b/>
          <w:szCs w:val="24"/>
          <w:lang w:val="sr-Cyrl-CS"/>
        </w:rPr>
      </w:pPr>
      <w:r w:rsidRPr="00092ED7">
        <w:rPr>
          <w:rFonts w:eastAsia="Times New Roman" w:cs="Times New Roman"/>
          <w:color w:val="000000" w:themeColor="text1"/>
          <w:szCs w:val="24"/>
          <w:lang w:val="sr-Cyrl-CS"/>
        </w:rPr>
        <w:t xml:space="preserve">Структурна реформа има позитиван утицај на стварање нових производа и услуга, развој талената, социјалних и економских мрежа односно умрежавање, регионално истраживање и иновативне моделе организације, што на директан начин може утицати на повећање запослености. Кроз јачање конкурентности домаћих компанија и примену иновативних решења, посредно се утиче и на квалитет живота грађана, односно на смањење сиромаштва. </w:t>
      </w:r>
      <w:r w:rsidR="00D210F0" w:rsidRPr="00092ED7">
        <w:rPr>
          <w:rFonts w:eastAsia="Times New Roman" w:cs="Times New Roman"/>
          <w:color w:val="000000" w:themeColor="text1"/>
          <w:szCs w:val="24"/>
          <w:lang w:val="sr-Cyrl-CS"/>
        </w:rPr>
        <w:t xml:space="preserve"> Мера је неутрална у смислу родне равноправности.</w:t>
      </w:r>
    </w:p>
    <w:p w14:paraId="1C9F519B" w14:textId="77777777" w:rsidR="00D210F0" w:rsidRPr="00092ED7" w:rsidRDefault="00D210F0" w:rsidP="00071952">
      <w:pPr>
        <w:widowControl w:val="0"/>
        <w:numPr>
          <w:ilvl w:val="0"/>
          <w:numId w:val="31"/>
        </w:numPr>
        <w:spacing w:before="120"/>
        <w:ind w:left="425" w:hanging="425"/>
        <w:rPr>
          <w:rFonts w:cs="Times New Roman"/>
          <w:b/>
          <w:szCs w:val="24"/>
          <w:lang w:val="sr-Cyrl-CS"/>
        </w:rPr>
      </w:pPr>
      <w:r w:rsidRPr="00092ED7">
        <w:rPr>
          <w:rFonts w:cs="Times New Roman"/>
          <w:b/>
          <w:szCs w:val="24"/>
          <w:lang w:val="sr-Cyrl-CS"/>
        </w:rPr>
        <w:t>Очекивани утицај на животну средину и климатске промене</w:t>
      </w:r>
    </w:p>
    <w:p w14:paraId="270A5EC2" w14:textId="77777777" w:rsidR="00D210F0" w:rsidRPr="00092ED7" w:rsidRDefault="00D210F0" w:rsidP="00D210F0">
      <w:pPr>
        <w:widowControl w:val="0"/>
        <w:tabs>
          <w:tab w:val="left" w:pos="360"/>
        </w:tabs>
        <w:spacing w:after="60"/>
        <w:rPr>
          <w:rFonts w:cs="Times New Roman"/>
          <w:b/>
          <w:szCs w:val="24"/>
          <w:lang w:val="sr-Cyrl-CS"/>
        </w:rPr>
      </w:pPr>
      <w:r w:rsidRPr="00092ED7">
        <w:rPr>
          <w:rFonts w:eastAsia="Calibri" w:cs="Times New Roman"/>
          <w:szCs w:val="24"/>
          <w:lang w:val="sr-Cyrl-CS"/>
        </w:rPr>
        <w:t>Утицај на животну средину</w:t>
      </w:r>
      <w:r w:rsidR="00E63AE6" w:rsidRPr="00092ED7">
        <w:rPr>
          <w:rFonts w:eastAsia="Calibri" w:cs="Times New Roman"/>
          <w:szCs w:val="24"/>
          <w:lang w:val="sr-Cyrl-CS"/>
        </w:rPr>
        <w:t xml:space="preserve"> и климатске промене</w:t>
      </w:r>
      <w:r w:rsidRPr="00092ED7">
        <w:rPr>
          <w:rFonts w:eastAsia="Calibri" w:cs="Times New Roman"/>
          <w:szCs w:val="24"/>
          <w:lang w:val="sr-Cyrl-CS"/>
        </w:rPr>
        <w:t xml:space="preserve"> је неутралан.</w:t>
      </w:r>
    </w:p>
    <w:p w14:paraId="53E1FBD6" w14:textId="77777777" w:rsidR="00D210F0" w:rsidRPr="00092ED7" w:rsidRDefault="00D210F0" w:rsidP="00071952">
      <w:pPr>
        <w:widowControl w:val="0"/>
        <w:numPr>
          <w:ilvl w:val="0"/>
          <w:numId w:val="31"/>
        </w:numPr>
        <w:spacing w:before="120"/>
        <w:ind w:left="425" w:hanging="425"/>
        <w:rPr>
          <w:rFonts w:cs="Times New Roman"/>
          <w:b/>
          <w:szCs w:val="24"/>
          <w:lang w:val="sr-Cyrl-CS"/>
        </w:rPr>
      </w:pPr>
      <w:r w:rsidRPr="00092ED7">
        <w:rPr>
          <w:rFonts w:cs="Times New Roman"/>
          <w:b/>
          <w:szCs w:val="24"/>
          <w:lang w:val="sr-Cyrl-CS"/>
        </w:rPr>
        <w:t>Потенцијални ризици</w:t>
      </w:r>
    </w:p>
    <w:tbl>
      <w:tblPr>
        <w:tblStyle w:val="TableGrid"/>
        <w:tblW w:w="9067" w:type="dxa"/>
        <w:jc w:val="center"/>
        <w:tblLayout w:type="fixed"/>
        <w:tblLook w:val="04A0" w:firstRow="1" w:lastRow="0" w:firstColumn="1" w:lastColumn="0" w:noHBand="0" w:noVBand="1"/>
      </w:tblPr>
      <w:tblGrid>
        <w:gridCol w:w="3515"/>
        <w:gridCol w:w="2098"/>
        <w:gridCol w:w="3454"/>
      </w:tblGrid>
      <w:tr w:rsidR="00D210F0" w:rsidRPr="00092ED7" w14:paraId="57677720" w14:textId="77777777" w:rsidTr="00E44EF2">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1F8725E6" w14:textId="77777777" w:rsidR="00D210F0" w:rsidRPr="00092ED7" w:rsidRDefault="00D210F0" w:rsidP="00836984">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2098" w:type="dxa"/>
          </w:tcPr>
          <w:p w14:paraId="1EC5A446" w14:textId="77777777" w:rsidR="00D210F0" w:rsidRPr="00092ED7" w:rsidRDefault="00D210F0" w:rsidP="00836984">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454" w:type="dxa"/>
          </w:tcPr>
          <w:p w14:paraId="1F3BE25B" w14:textId="77777777" w:rsidR="00D210F0" w:rsidRPr="00092ED7" w:rsidRDefault="00D210F0" w:rsidP="00836984">
            <w:pPr>
              <w:spacing w:before="0" w:after="0"/>
              <w:ind w:left="113" w:right="113"/>
              <w:jc w:val="center"/>
              <w:rPr>
                <w:rFonts w:cs="Times New Roman"/>
                <w:b w:val="0"/>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0EF85605" w14:textId="77777777" w:rsidTr="008A6DAE">
        <w:trPr>
          <w:jc w:val="center"/>
        </w:trPr>
        <w:tc>
          <w:tcPr>
            <w:tcW w:w="3515" w:type="dxa"/>
          </w:tcPr>
          <w:p w14:paraId="3751FE10" w14:textId="77777777" w:rsidR="00D210F0" w:rsidRPr="00092ED7" w:rsidRDefault="00D210F0" w:rsidP="00836984">
            <w:pPr>
              <w:spacing w:before="0" w:after="0"/>
              <w:ind w:left="113" w:right="113"/>
              <w:rPr>
                <w:rFonts w:eastAsia="Times New Roman" w:cs="Times New Roman"/>
                <w:sz w:val="20"/>
                <w:lang w:val="sr-Cyrl-CS"/>
              </w:rPr>
            </w:pPr>
            <w:r w:rsidRPr="00092ED7">
              <w:rPr>
                <w:rFonts w:eastAsia="Times New Roman" w:cs="Times New Roman"/>
                <w:sz w:val="20"/>
                <w:lang w:val="sr-Cyrl-CS"/>
              </w:rPr>
              <w:t>Дуготрајни инсталацијски радови и спремност извођача посла за друге кораке процеса</w:t>
            </w:r>
          </w:p>
        </w:tc>
        <w:tc>
          <w:tcPr>
            <w:tcW w:w="2098" w:type="dxa"/>
            <w:vAlign w:val="top"/>
          </w:tcPr>
          <w:p w14:paraId="5F8C73D1" w14:textId="77777777" w:rsidR="00D210F0" w:rsidRPr="00092ED7" w:rsidRDefault="00D210F0" w:rsidP="008A6DAE">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Ниска</w:t>
            </w:r>
          </w:p>
        </w:tc>
        <w:tc>
          <w:tcPr>
            <w:tcW w:w="3454" w:type="dxa"/>
          </w:tcPr>
          <w:p w14:paraId="2A44081F" w14:textId="77777777" w:rsidR="00D210F0" w:rsidRPr="00092ED7" w:rsidRDefault="00D210F0" w:rsidP="00836984">
            <w:pPr>
              <w:spacing w:before="0" w:after="0"/>
              <w:ind w:left="113" w:right="113"/>
              <w:rPr>
                <w:rFonts w:eastAsia="Times New Roman" w:cs="Times New Roman"/>
                <w:sz w:val="20"/>
                <w:lang w:val="sr-Cyrl-CS"/>
              </w:rPr>
            </w:pPr>
            <w:r w:rsidRPr="00092ED7">
              <w:rPr>
                <w:rFonts w:eastAsia="Times New Roman" w:cs="Times New Roman"/>
                <w:sz w:val="20"/>
                <w:lang w:val="sr-Cyrl-CS"/>
              </w:rPr>
              <w:t>Појачано праћење спровођења планираних активности у складу са предвиђеним роковима</w:t>
            </w:r>
            <w:r w:rsidR="00D47BD8" w:rsidRPr="00092ED7">
              <w:rPr>
                <w:rFonts w:eastAsia="Times New Roman" w:cs="Times New Roman"/>
                <w:sz w:val="20"/>
                <w:lang w:val="sr-Cyrl-CS"/>
              </w:rPr>
              <w:t>.</w:t>
            </w:r>
          </w:p>
        </w:tc>
      </w:tr>
      <w:tr w:rsidR="00D210F0" w:rsidRPr="00092ED7" w14:paraId="439C20CB" w14:textId="77777777" w:rsidTr="008A6DAE">
        <w:trPr>
          <w:jc w:val="center"/>
        </w:trPr>
        <w:tc>
          <w:tcPr>
            <w:tcW w:w="3515" w:type="dxa"/>
          </w:tcPr>
          <w:p w14:paraId="6808BF9A" w14:textId="77777777" w:rsidR="00D210F0" w:rsidRPr="00092ED7" w:rsidRDefault="00D210F0" w:rsidP="00836984">
            <w:pPr>
              <w:spacing w:before="0" w:after="0"/>
              <w:ind w:left="113" w:right="113"/>
              <w:rPr>
                <w:rFonts w:eastAsia="Times New Roman" w:cs="Times New Roman"/>
                <w:sz w:val="20"/>
                <w:lang w:val="sr-Cyrl-CS"/>
              </w:rPr>
            </w:pPr>
            <w:r w:rsidRPr="00092ED7">
              <w:rPr>
                <w:rFonts w:eastAsia="Times New Roman" w:cs="Times New Roman"/>
                <w:sz w:val="20"/>
                <w:lang w:val="sr-Cyrl-CS"/>
              </w:rPr>
              <w:t>Потешкоће у исходовању неопходних дозвола</w:t>
            </w:r>
          </w:p>
        </w:tc>
        <w:tc>
          <w:tcPr>
            <w:tcW w:w="2098" w:type="dxa"/>
            <w:vAlign w:val="top"/>
          </w:tcPr>
          <w:p w14:paraId="32AB6338" w14:textId="77777777" w:rsidR="00D210F0" w:rsidRPr="00092ED7" w:rsidRDefault="00D210F0" w:rsidP="008A6DAE">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Ниска</w:t>
            </w:r>
          </w:p>
        </w:tc>
        <w:tc>
          <w:tcPr>
            <w:tcW w:w="3454" w:type="dxa"/>
          </w:tcPr>
          <w:p w14:paraId="740A20E0" w14:textId="77777777" w:rsidR="00D210F0" w:rsidRPr="00092ED7" w:rsidRDefault="00D210F0" w:rsidP="00836984">
            <w:pPr>
              <w:spacing w:before="0" w:after="0"/>
              <w:ind w:left="113" w:right="113"/>
              <w:rPr>
                <w:rFonts w:eastAsia="Times New Roman" w:cs="Times New Roman"/>
                <w:sz w:val="20"/>
                <w:lang w:val="sr-Cyrl-CS"/>
              </w:rPr>
            </w:pPr>
            <w:r w:rsidRPr="00092ED7">
              <w:rPr>
                <w:rFonts w:eastAsia="Times New Roman" w:cs="Times New Roman"/>
                <w:sz w:val="20"/>
                <w:lang w:val="sr-Cyrl-CS"/>
              </w:rPr>
              <w:t>Поштовање законских одредаба и процедура. Добро временско планирање.</w:t>
            </w:r>
          </w:p>
        </w:tc>
      </w:tr>
    </w:tbl>
    <w:p w14:paraId="57A2E97B" w14:textId="77777777" w:rsidR="00D210F0" w:rsidRPr="00092ED7" w:rsidRDefault="00D210F0" w:rsidP="00BA1B20">
      <w:pPr>
        <w:keepNext/>
        <w:keepLines/>
        <w:shd w:val="clear" w:color="auto" w:fill="D9D9D9" w:themeFill="background1" w:themeFillShade="D9"/>
        <w:spacing w:before="480"/>
        <w:outlineLvl w:val="2"/>
        <w:rPr>
          <w:rFonts w:eastAsiaTheme="majorEastAsia" w:cstheme="majorBidi"/>
          <w:b/>
          <w:shd w:val="clear" w:color="auto" w:fill="D9D9D9" w:themeFill="background1" w:themeFillShade="D9"/>
          <w:lang w:val="sr-Cyrl-CS"/>
        </w:rPr>
      </w:pPr>
      <w:bookmarkStart w:id="71" w:name="_Toc93385980"/>
      <w:bookmarkStart w:id="72" w:name="_Toc124174811"/>
      <w:bookmarkStart w:id="73" w:name="_Toc126218630"/>
      <w:r w:rsidRPr="00092ED7">
        <w:rPr>
          <w:rFonts w:eastAsiaTheme="majorEastAsia" w:cstheme="majorBidi"/>
          <w:b/>
          <w:lang w:val="sr-Cyrl-CS"/>
        </w:rPr>
        <w:t>5.2.4. Област ПОСЛОВНО ОКРУЖЕЊЕ И СМАЊЕЊЕ СИВЕ ЕКОНОМИЈЕ</w:t>
      </w:r>
      <w:bookmarkEnd w:id="71"/>
      <w:bookmarkEnd w:id="72"/>
      <w:bookmarkEnd w:id="73"/>
    </w:p>
    <w:p w14:paraId="1FE3F671" w14:textId="77777777" w:rsidR="00D210F0" w:rsidRPr="00092ED7" w:rsidRDefault="00D210F0" w:rsidP="00D210F0">
      <w:pPr>
        <w:widowControl w:val="0"/>
        <w:spacing w:after="60"/>
        <w:rPr>
          <w:rFonts w:cs="Times New Roman"/>
          <w:noProof/>
          <w:szCs w:val="24"/>
          <w:lang w:val="sr-Cyrl-CS"/>
        </w:rPr>
      </w:pPr>
      <w:r w:rsidRPr="00092ED7">
        <w:rPr>
          <w:rFonts w:cs="Times New Roman"/>
          <w:noProof/>
          <w:szCs w:val="24"/>
          <w:lang w:val="sr-Cyrl-CS"/>
        </w:rPr>
        <w:t xml:space="preserve">Ова област и релевантне реформе анализирани су у одељку 5.1. под </w:t>
      </w:r>
      <w:r w:rsidRPr="00092ED7">
        <w:rPr>
          <w:rFonts w:cs="Times New Roman"/>
          <w:i/>
          <w:noProof/>
          <w:szCs w:val="24"/>
          <w:lang w:val="sr-Cyrl-CS"/>
        </w:rPr>
        <w:t>Кључним изазовом број 2. Унапређење пословног амбијента повољнијег за инвестиције</w:t>
      </w:r>
      <w:r w:rsidRPr="00092ED7">
        <w:rPr>
          <w:rFonts w:cs="Times New Roman"/>
          <w:noProof/>
          <w:szCs w:val="24"/>
          <w:lang w:val="sr-Cyrl-CS"/>
        </w:rPr>
        <w:t>.</w:t>
      </w:r>
    </w:p>
    <w:p w14:paraId="07720FF7" w14:textId="77777777" w:rsidR="00D210F0" w:rsidRPr="00092ED7" w:rsidRDefault="00D210F0" w:rsidP="00D210F0">
      <w:pPr>
        <w:keepNext/>
        <w:keepLines/>
        <w:shd w:val="clear" w:color="auto" w:fill="D9D9D9" w:themeFill="background1" w:themeFillShade="D9"/>
        <w:spacing w:before="360"/>
        <w:outlineLvl w:val="2"/>
        <w:rPr>
          <w:rFonts w:eastAsiaTheme="majorEastAsia" w:cstheme="majorBidi"/>
          <w:b/>
          <w:shd w:val="clear" w:color="auto" w:fill="D9D9D9" w:themeFill="background1" w:themeFillShade="D9"/>
          <w:lang w:val="sr-Cyrl-CS"/>
        </w:rPr>
      </w:pPr>
      <w:bookmarkStart w:id="74" w:name="_Toc93385981"/>
      <w:bookmarkStart w:id="75" w:name="_Toc124174812"/>
      <w:bookmarkStart w:id="76" w:name="_Toc126218631"/>
      <w:r w:rsidRPr="00092ED7">
        <w:rPr>
          <w:rFonts w:eastAsiaTheme="majorEastAsia" w:cstheme="majorBidi"/>
          <w:b/>
          <w:lang w:val="sr-Cyrl-CS"/>
        </w:rPr>
        <w:t>5.2.5. Област ИСТРАЖИВАЊЕ, РАЗВОЈ И ИНОВАЦИЈЕ</w:t>
      </w:r>
      <w:bookmarkEnd w:id="74"/>
      <w:bookmarkEnd w:id="75"/>
      <w:bookmarkEnd w:id="76"/>
    </w:p>
    <w:p w14:paraId="3DDB3213" w14:textId="2107EF54" w:rsidR="00D210F0" w:rsidRPr="00092ED7" w:rsidRDefault="00D210F0" w:rsidP="00D210F0">
      <w:pPr>
        <w:spacing w:before="120"/>
        <w:rPr>
          <w:rFonts w:cs="Times New Roman"/>
          <w:szCs w:val="24"/>
          <w:lang w:val="sr-Cyrl-CS"/>
        </w:rPr>
      </w:pPr>
      <w:r w:rsidRPr="00092ED7">
        <w:rPr>
          <w:rFonts w:eastAsia="Times New Roman" w:cs="Times New Roman"/>
          <w:b/>
          <w:szCs w:val="24"/>
          <w:lang w:val="sr-Cyrl-CS"/>
        </w:rPr>
        <w:t xml:space="preserve">а) Анализа главних </w:t>
      </w:r>
      <w:r w:rsidR="00515D4D" w:rsidRPr="00092ED7">
        <w:rPr>
          <w:rFonts w:eastAsia="Times New Roman" w:cs="Times New Roman"/>
          <w:b/>
          <w:szCs w:val="24"/>
          <w:lang w:val="sr-Cyrl-CS"/>
        </w:rPr>
        <w:t>изазова</w:t>
      </w:r>
    </w:p>
    <w:p w14:paraId="1D1CD759" w14:textId="3F42B394" w:rsidR="00D210F0" w:rsidRPr="00092ED7" w:rsidRDefault="00D210F0" w:rsidP="00D210F0">
      <w:pPr>
        <w:widowControl w:val="0"/>
        <w:spacing w:after="60"/>
        <w:rPr>
          <w:rFonts w:eastAsia="Times New Roman" w:cs="Times New Roman"/>
          <w:b/>
          <w:szCs w:val="24"/>
          <w:lang w:val="sr-Cyrl-CS"/>
        </w:rPr>
      </w:pPr>
      <w:r w:rsidRPr="00092ED7">
        <w:rPr>
          <w:rFonts w:eastAsia="Times New Roman" w:cs="Times New Roman"/>
          <w:b/>
          <w:szCs w:val="24"/>
          <w:lang w:val="sr-Cyrl-CS"/>
        </w:rPr>
        <w:t xml:space="preserve">Иновациони екосистем у Републици Србији у значајној мери је унапређен, а у прилог томе говоре подаци међународних индекса иновативности на којима </w:t>
      </w:r>
      <w:r w:rsidR="005701C0" w:rsidRPr="00092ED7">
        <w:rPr>
          <w:rFonts w:eastAsia="Times New Roman" w:cs="Times New Roman"/>
          <w:b/>
          <w:szCs w:val="24"/>
          <w:lang w:val="sr-Cyrl-CS"/>
        </w:rPr>
        <w:t xml:space="preserve">Република </w:t>
      </w:r>
      <w:r w:rsidRPr="00092ED7">
        <w:rPr>
          <w:rFonts w:eastAsia="Times New Roman" w:cs="Times New Roman"/>
          <w:b/>
          <w:szCs w:val="24"/>
          <w:lang w:val="sr-Cyrl-CS"/>
        </w:rPr>
        <w:t>Србија генерално напредује.</w:t>
      </w:r>
    </w:p>
    <w:p w14:paraId="767E4001" w14:textId="77777777" w:rsidR="00D210F0" w:rsidRPr="00092ED7" w:rsidRDefault="00D210F0" w:rsidP="00D210F0">
      <w:pPr>
        <w:widowControl w:val="0"/>
        <w:spacing w:after="60"/>
        <w:rPr>
          <w:rFonts w:eastAsia="Times New Roman" w:cs="Times New Roman"/>
          <w:szCs w:val="24"/>
          <w:lang w:val="sr-Cyrl-CS"/>
        </w:rPr>
      </w:pPr>
      <w:r w:rsidRPr="00092ED7">
        <w:rPr>
          <w:rFonts w:eastAsia="Times New Roman" w:cs="Times New Roman"/>
          <w:szCs w:val="24"/>
          <w:lang w:val="sr-Cyrl-CS"/>
        </w:rPr>
        <w:t xml:space="preserve">Република Србија виђена је као </w:t>
      </w:r>
      <w:r w:rsidRPr="00092ED7">
        <w:rPr>
          <w:rFonts w:eastAsia="Times New Roman" w:cs="Times New Roman"/>
          <w:b/>
          <w:szCs w:val="24"/>
          <w:lang w:val="sr-Cyrl-CS"/>
        </w:rPr>
        <w:t>иноватор у успону</w:t>
      </w:r>
      <w:r w:rsidRPr="00092ED7">
        <w:rPr>
          <w:rFonts w:eastAsia="Times New Roman" w:cs="Times New Roman"/>
          <w:szCs w:val="24"/>
          <w:lang w:val="sr-Cyrl-CS"/>
        </w:rPr>
        <w:t xml:space="preserve"> (</w:t>
      </w:r>
      <w:r w:rsidRPr="00092ED7">
        <w:rPr>
          <w:rFonts w:eastAsia="Times New Roman" w:cs="Times New Roman"/>
          <w:i/>
          <w:szCs w:val="24"/>
          <w:lang w:val="sr-Cyrl-CS"/>
        </w:rPr>
        <w:t>emerging innovator</w:t>
      </w:r>
      <w:r w:rsidRPr="00092ED7">
        <w:rPr>
          <w:rFonts w:eastAsia="Times New Roman" w:cs="Times New Roman"/>
          <w:szCs w:val="24"/>
          <w:lang w:val="sr-Cyrl-CS"/>
        </w:rPr>
        <w:t>) мерено сумарним индексом иновативности</w:t>
      </w:r>
      <w:r w:rsidRPr="00092ED7">
        <w:rPr>
          <w:rStyle w:val="FootnoteReference"/>
          <w:rFonts w:cs="Times New Roman"/>
          <w:szCs w:val="24"/>
          <w:lang w:val="sr-Cyrl-CS"/>
        </w:rPr>
        <w:footnoteReference w:id="118"/>
      </w:r>
      <w:r w:rsidRPr="00092ED7">
        <w:rPr>
          <w:rFonts w:eastAsia="Times New Roman" w:cs="Times New Roman"/>
          <w:szCs w:val="24"/>
          <w:lang w:val="sr-Cyrl-CS"/>
        </w:rPr>
        <w:t xml:space="preserve"> (</w:t>
      </w:r>
      <w:r w:rsidRPr="00092ED7">
        <w:rPr>
          <w:rFonts w:eastAsia="Times New Roman" w:cs="Times New Roman"/>
          <w:i/>
          <w:szCs w:val="24"/>
          <w:lang w:val="sr-Cyrl-CS"/>
        </w:rPr>
        <w:t>European Innovation Scoreboard 2022</w:t>
      </w:r>
      <w:r w:rsidRPr="00092ED7">
        <w:rPr>
          <w:rStyle w:val="FootnoteReference"/>
          <w:rFonts w:cs="Times New Roman"/>
          <w:i/>
          <w:szCs w:val="24"/>
          <w:lang w:val="sr-Cyrl-CS"/>
        </w:rPr>
        <w:footnoteReference w:id="119"/>
      </w:r>
      <w:r w:rsidRPr="00092ED7">
        <w:rPr>
          <w:rFonts w:eastAsia="Times New Roman" w:cs="Times New Roman"/>
          <w:szCs w:val="24"/>
          <w:lang w:val="sr-Cyrl-CS"/>
        </w:rPr>
        <w:t xml:space="preserve">), који износи 61,8 у односу на просек ЕУ у 2022. години. Индекс иновативности за Републику Србију је повећан за 15,6 п.п. у периоду 2015-2022. (у односу на резултате ЕУ у 2015), што је више од повећања овог индекса за ЕУ који износи 9,9 п.п. у истом временском периоду, чиме </w:t>
      </w:r>
      <w:r w:rsidRPr="00092ED7">
        <w:rPr>
          <w:rFonts w:eastAsia="Times New Roman" w:cs="Times New Roman"/>
          <w:b/>
          <w:szCs w:val="24"/>
          <w:lang w:val="sr-Cyrl-CS"/>
        </w:rPr>
        <w:t>разлика у перформансама Републике Србије у односу на просек ЕУ постаје све мања</w:t>
      </w:r>
      <w:r w:rsidRPr="00092ED7">
        <w:rPr>
          <w:rFonts w:eastAsia="Times New Roman" w:cs="Times New Roman"/>
          <w:szCs w:val="24"/>
          <w:lang w:val="sr-Cyrl-CS"/>
        </w:rPr>
        <w:t>.</w:t>
      </w:r>
    </w:p>
    <w:p w14:paraId="646A5BED" w14:textId="30FC6AAB" w:rsidR="00D210F0" w:rsidRPr="00092ED7" w:rsidRDefault="00D210F0" w:rsidP="00D210F0">
      <w:pPr>
        <w:widowControl w:val="0"/>
        <w:spacing w:after="60"/>
        <w:rPr>
          <w:rFonts w:eastAsia="Times New Roman" w:cs="Times New Roman"/>
          <w:szCs w:val="24"/>
          <w:lang w:val="sr-Cyrl-CS"/>
        </w:rPr>
      </w:pPr>
      <w:r w:rsidRPr="00092ED7">
        <w:rPr>
          <w:rFonts w:eastAsia="Times New Roman" w:cs="Times New Roman"/>
          <w:szCs w:val="24"/>
          <w:lang w:val="sr-Cyrl-CS"/>
        </w:rPr>
        <w:t>Република Србија се налази на 55. месту, од 132 земље, мерено глобалним индексом иновативности</w:t>
      </w:r>
      <w:r w:rsidRPr="00092ED7">
        <w:rPr>
          <w:rStyle w:val="FootnoteReference"/>
          <w:rFonts w:cs="Times New Roman"/>
          <w:szCs w:val="24"/>
          <w:lang w:val="sr-Cyrl-CS"/>
        </w:rPr>
        <w:footnoteReference w:id="120"/>
      </w:r>
      <w:r w:rsidRPr="00092ED7">
        <w:rPr>
          <w:rFonts w:eastAsia="Times New Roman" w:cs="Times New Roman"/>
          <w:szCs w:val="24"/>
          <w:lang w:val="sr-Cyrl-CS"/>
        </w:rPr>
        <w:t xml:space="preserve"> (</w:t>
      </w:r>
      <w:r w:rsidRPr="00092ED7">
        <w:rPr>
          <w:rFonts w:eastAsia="Times New Roman" w:cs="Times New Roman"/>
          <w:i/>
          <w:szCs w:val="24"/>
          <w:lang w:val="sr-Cyrl-CS"/>
        </w:rPr>
        <w:t>The Global Innovation Index 2022</w:t>
      </w:r>
      <w:r w:rsidRPr="00092ED7">
        <w:rPr>
          <w:rStyle w:val="FootnoteReference"/>
          <w:rFonts w:cs="Times New Roman"/>
          <w:i/>
          <w:szCs w:val="24"/>
          <w:lang w:val="sr-Cyrl-CS"/>
        </w:rPr>
        <w:footnoteReference w:id="121"/>
      </w:r>
      <w:r w:rsidRPr="00092ED7">
        <w:rPr>
          <w:rFonts w:eastAsia="Times New Roman" w:cs="Times New Roman"/>
          <w:szCs w:val="24"/>
          <w:lang w:val="sr-Cyrl-CS"/>
        </w:rPr>
        <w:t xml:space="preserve">) у извештају за 2022. годину. У односу на претходну годину, бележи се пад за једно место. Међутим, </w:t>
      </w:r>
      <w:r w:rsidR="005701C0" w:rsidRPr="00092ED7">
        <w:rPr>
          <w:rFonts w:eastAsia="Times New Roman" w:cs="Times New Roman"/>
          <w:szCs w:val="24"/>
          <w:lang w:val="sr-Cyrl-CS"/>
        </w:rPr>
        <w:t xml:space="preserve">Република </w:t>
      </w:r>
      <w:r w:rsidRPr="00092ED7">
        <w:rPr>
          <w:rFonts w:eastAsia="Times New Roman" w:cs="Times New Roman"/>
          <w:szCs w:val="24"/>
          <w:lang w:val="sr-Cyrl-CS"/>
        </w:rPr>
        <w:t xml:space="preserve">Србија је на 32. месту у Европи, од 39 земаља, што је </w:t>
      </w:r>
      <w:r w:rsidR="00F17635" w:rsidRPr="00092ED7">
        <w:rPr>
          <w:rFonts w:eastAsia="Times New Roman" w:cs="Times New Roman"/>
          <w:szCs w:val="24"/>
          <w:lang w:val="sr-Cyrl-CS"/>
        </w:rPr>
        <w:t xml:space="preserve">добар резултат имајући у виду да </w:t>
      </w:r>
      <w:r w:rsidRPr="00092ED7">
        <w:rPr>
          <w:rFonts w:eastAsia="Times New Roman" w:cs="Times New Roman"/>
          <w:szCs w:val="24"/>
          <w:lang w:val="sr-Cyrl-CS"/>
        </w:rPr>
        <w:t xml:space="preserve">је </w:t>
      </w:r>
      <w:r w:rsidR="00F17635" w:rsidRPr="00092ED7">
        <w:rPr>
          <w:rFonts w:eastAsia="Times New Roman" w:cs="Times New Roman"/>
          <w:szCs w:val="24"/>
          <w:lang w:val="sr-Cyrl-CS"/>
        </w:rPr>
        <w:t xml:space="preserve">то </w:t>
      </w:r>
      <w:r w:rsidRPr="00092ED7">
        <w:rPr>
          <w:rFonts w:eastAsia="Times New Roman" w:cs="Times New Roman"/>
          <w:szCs w:val="24"/>
          <w:lang w:val="sr-Cyrl-CS"/>
        </w:rPr>
        <w:t xml:space="preserve">део света са највећом концентрацијом земаља са високоразвијеним иновационим екосистемима – 15 глобалних иновационих лидера долази одавде. </w:t>
      </w:r>
      <w:r w:rsidRPr="00092ED7">
        <w:rPr>
          <w:rFonts w:eastAsia="Times New Roman" w:cs="Times New Roman"/>
          <w:b/>
          <w:szCs w:val="24"/>
          <w:lang w:val="sr-Cyrl-CS"/>
        </w:rPr>
        <w:t>У категорији земаља са вишим средњим нивоом дохотка</w:t>
      </w:r>
      <w:r w:rsidRPr="00092ED7">
        <w:rPr>
          <w:rFonts w:eastAsia="Times New Roman" w:cs="Times New Roman"/>
          <w:szCs w:val="24"/>
          <w:lang w:val="sr-Cyrl-CS"/>
        </w:rPr>
        <w:t xml:space="preserve"> (</w:t>
      </w:r>
      <w:r w:rsidRPr="00092ED7">
        <w:rPr>
          <w:rFonts w:eastAsia="Times New Roman" w:cs="Times New Roman"/>
          <w:i/>
          <w:szCs w:val="24"/>
          <w:lang w:val="sr-Cyrl-CS"/>
        </w:rPr>
        <w:t>upper middle-income</w:t>
      </w:r>
      <w:r w:rsidRPr="00092ED7">
        <w:rPr>
          <w:rFonts w:eastAsia="Times New Roman" w:cs="Times New Roman"/>
          <w:szCs w:val="24"/>
          <w:lang w:val="sr-Cyrl-CS"/>
        </w:rPr>
        <w:t xml:space="preserve">), коју чине 36 земаља, </w:t>
      </w:r>
      <w:r w:rsidR="009D7689" w:rsidRPr="00092ED7">
        <w:rPr>
          <w:rFonts w:eastAsia="Times New Roman" w:cs="Times New Roman"/>
          <w:szCs w:val="24"/>
          <w:lang w:val="sr-Cyrl-CS"/>
        </w:rPr>
        <w:t xml:space="preserve">Република </w:t>
      </w:r>
      <w:r w:rsidRPr="00092ED7">
        <w:rPr>
          <w:rFonts w:eastAsia="Times New Roman" w:cs="Times New Roman"/>
          <w:b/>
          <w:szCs w:val="24"/>
          <w:lang w:val="sr-Cyrl-CS"/>
        </w:rPr>
        <w:t xml:space="preserve">Србија је у </w:t>
      </w:r>
      <w:r w:rsidR="009D7689" w:rsidRPr="00092ED7">
        <w:rPr>
          <w:rFonts w:eastAsia="Times New Roman" w:cs="Times New Roman"/>
          <w:b/>
          <w:szCs w:val="24"/>
          <w:lang w:val="sr-Cyrl-CS"/>
        </w:rPr>
        <w:t>првих</w:t>
      </w:r>
      <w:r w:rsidRPr="00092ED7">
        <w:rPr>
          <w:rFonts w:eastAsia="Times New Roman" w:cs="Times New Roman"/>
          <w:b/>
          <w:szCs w:val="24"/>
          <w:lang w:val="sr-Cyrl-CS"/>
        </w:rPr>
        <w:t xml:space="preserve"> </w:t>
      </w:r>
      <w:r w:rsidR="009D7689" w:rsidRPr="00092ED7">
        <w:rPr>
          <w:rFonts w:eastAsia="Times New Roman" w:cs="Times New Roman"/>
          <w:b/>
          <w:szCs w:val="24"/>
          <w:lang w:val="sr-Cyrl-CS"/>
        </w:rPr>
        <w:t>десет</w:t>
      </w:r>
      <w:r w:rsidRPr="00092ED7">
        <w:rPr>
          <w:rFonts w:eastAsia="Times New Roman" w:cs="Times New Roman"/>
          <w:b/>
          <w:szCs w:val="24"/>
          <w:lang w:val="sr-Cyrl-CS"/>
        </w:rPr>
        <w:t xml:space="preserve"> земаља</w:t>
      </w:r>
      <w:r w:rsidRPr="00092ED7">
        <w:rPr>
          <w:rFonts w:eastAsia="Times New Roman" w:cs="Times New Roman"/>
          <w:szCs w:val="24"/>
          <w:lang w:val="sr-Cyrl-CS"/>
        </w:rPr>
        <w:t>.</w:t>
      </w:r>
    </w:p>
    <w:p w14:paraId="5F556CC9" w14:textId="77777777" w:rsidR="00D210F0" w:rsidRPr="00092ED7" w:rsidRDefault="00D210F0" w:rsidP="00D210F0">
      <w:pPr>
        <w:widowControl w:val="0"/>
        <w:spacing w:after="60"/>
        <w:rPr>
          <w:rFonts w:eastAsia="Times New Roman" w:cs="Times New Roman"/>
          <w:b/>
          <w:szCs w:val="24"/>
          <w:lang w:val="sr-Cyrl-CS"/>
        </w:rPr>
      </w:pPr>
      <w:r w:rsidRPr="00092ED7">
        <w:rPr>
          <w:rFonts w:eastAsia="Times New Roman" w:cs="Times New Roman"/>
          <w:b/>
          <w:szCs w:val="24"/>
          <w:lang w:val="sr-Cyrl-CS"/>
        </w:rPr>
        <w:t>Реформе научно-истраживачког и иновационог система у Републици Србији</w:t>
      </w:r>
      <w:r w:rsidRPr="00092ED7">
        <w:rPr>
          <w:rFonts w:eastAsia="Times New Roman" w:cs="Times New Roman"/>
          <w:szCs w:val="24"/>
          <w:lang w:val="sr-Cyrl-CS"/>
        </w:rPr>
        <w:t xml:space="preserve"> претходних година, подржане су усвајањем релевантног законодавног оквира</w:t>
      </w:r>
      <w:r w:rsidRPr="00092ED7">
        <w:rPr>
          <w:rStyle w:val="FootnoteReference"/>
          <w:rFonts w:cs="Times New Roman"/>
          <w:szCs w:val="24"/>
          <w:lang w:val="sr-Cyrl-CS"/>
        </w:rPr>
        <w:footnoteReference w:id="122"/>
      </w:r>
      <w:r w:rsidRPr="00092ED7">
        <w:rPr>
          <w:rFonts w:eastAsia="Times New Roman" w:cs="Times New Roman"/>
          <w:szCs w:val="24"/>
          <w:lang w:val="sr-Cyrl-CS"/>
        </w:rPr>
        <w:t>, стратегија и акционих планова</w:t>
      </w:r>
      <w:r w:rsidRPr="00092ED7">
        <w:rPr>
          <w:rStyle w:val="FootnoteReference"/>
          <w:rFonts w:cs="Times New Roman"/>
          <w:szCs w:val="24"/>
          <w:lang w:val="sr-Cyrl-CS"/>
        </w:rPr>
        <w:footnoteReference w:id="123"/>
      </w:r>
      <w:r w:rsidRPr="00092ED7">
        <w:rPr>
          <w:rFonts w:eastAsia="Times New Roman" w:cs="Times New Roman"/>
          <w:szCs w:val="24"/>
          <w:lang w:val="sr-Cyrl-CS"/>
        </w:rPr>
        <w:t xml:space="preserve">. Препознате </w:t>
      </w:r>
      <w:r w:rsidRPr="00092ED7">
        <w:rPr>
          <w:rFonts w:eastAsia="Times New Roman" w:cs="Times New Roman"/>
          <w:b/>
          <w:szCs w:val="24"/>
          <w:lang w:val="sr-Cyrl-CS"/>
        </w:rPr>
        <w:t>слабости и претње</w:t>
      </w:r>
      <w:r w:rsidRPr="00092ED7">
        <w:rPr>
          <w:rFonts w:eastAsia="Times New Roman" w:cs="Times New Roman"/>
          <w:szCs w:val="24"/>
          <w:lang w:val="sr-Cyrl-CS"/>
        </w:rPr>
        <w:t xml:space="preserve"> у овом домену, </w:t>
      </w:r>
      <w:r w:rsidRPr="00092ED7">
        <w:rPr>
          <w:rFonts w:eastAsia="Times New Roman" w:cs="Times New Roman"/>
          <w:b/>
          <w:szCs w:val="24"/>
          <w:lang w:val="sr-Cyrl-CS"/>
        </w:rPr>
        <w:t>отклањају се променом система финансирања науке и истраживања, значајним улагањима у научно-истраживачку инфраструктуру, као и већом оријентисаношћу научних истраживања ка привреди.</w:t>
      </w:r>
    </w:p>
    <w:p w14:paraId="6B3B451E" w14:textId="77777777" w:rsidR="00D210F0" w:rsidRPr="00092ED7" w:rsidRDefault="00D210F0" w:rsidP="00D210F0">
      <w:pPr>
        <w:widowControl w:val="0"/>
        <w:spacing w:after="60"/>
        <w:rPr>
          <w:rFonts w:eastAsia="Times New Roman" w:cs="Times New Roman"/>
          <w:szCs w:val="24"/>
          <w:lang w:val="sr-Cyrl-CS"/>
        </w:rPr>
      </w:pPr>
      <w:r w:rsidRPr="00092ED7">
        <w:rPr>
          <w:rFonts w:eastAsia="Times New Roman" w:cs="Times New Roman"/>
          <w:b/>
          <w:szCs w:val="24"/>
          <w:lang w:val="sr-Cyrl-CS"/>
        </w:rPr>
        <w:t xml:space="preserve">Средства за интеграцију истраживачке мреже Републике Србије у европске и глобалне мреже и даље су недовољна, иако се последњих година повећавају улагања у истраживање и развој. </w:t>
      </w:r>
      <w:r w:rsidRPr="00092ED7">
        <w:rPr>
          <w:rFonts w:eastAsia="Times New Roman" w:cs="Times New Roman"/>
          <w:szCs w:val="24"/>
          <w:lang w:val="sr-Cyrl-CS"/>
        </w:rPr>
        <w:t>Укупна издвајања за науку у Републици Србији износила су 0,99%</w:t>
      </w:r>
      <w:r w:rsidRPr="00092ED7">
        <w:rPr>
          <w:rStyle w:val="FootnoteReference"/>
          <w:rFonts w:cs="Times New Roman"/>
          <w:szCs w:val="24"/>
          <w:lang w:val="sr-Cyrl-CS"/>
        </w:rPr>
        <w:footnoteReference w:id="124"/>
      </w:r>
      <w:r w:rsidRPr="00092ED7">
        <w:rPr>
          <w:rFonts w:eastAsia="Times New Roman" w:cs="Times New Roman"/>
          <w:szCs w:val="24"/>
          <w:lang w:val="sr-Cyrl-CS"/>
        </w:rPr>
        <w:t xml:space="preserve"> БДП-а у 2021. (за 0,08 п.п. више у односу на претходну годину) и дупло су нижа од просека у ЕУ-27 (2,</w:t>
      </w:r>
      <w:r w:rsidR="008A6DAE" w:rsidRPr="00092ED7">
        <w:rPr>
          <w:rFonts w:eastAsia="Times New Roman" w:cs="Times New Roman"/>
          <w:szCs w:val="24"/>
          <w:lang w:val="sr-Cyrl-CS"/>
        </w:rPr>
        <w:t>27</w:t>
      </w:r>
      <w:r w:rsidRPr="00092ED7">
        <w:rPr>
          <w:rFonts w:eastAsia="Times New Roman" w:cs="Times New Roman"/>
          <w:szCs w:val="24"/>
          <w:lang w:val="sr-Cyrl-CS"/>
        </w:rPr>
        <w:t>%</w:t>
      </w:r>
      <w:r w:rsidRPr="00092ED7">
        <w:rPr>
          <w:rStyle w:val="FootnoteReference"/>
          <w:rFonts w:cs="Times New Roman"/>
          <w:szCs w:val="24"/>
          <w:lang w:val="sr-Cyrl-CS"/>
        </w:rPr>
        <w:footnoteReference w:id="125"/>
      </w:r>
      <w:r w:rsidRPr="00092ED7">
        <w:rPr>
          <w:rFonts w:eastAsia="Times New Roman" w:cs="Times New Roman"/>
          <w:szCs w:val="24"/>
          <w:lang w:val="sr-Cyrl-CS"/>
        </w:rPr>
        <w:t xml:space="preserve"> БДП у </w:t>
      </w:r>
      <w:r w:rsidR="008A6DAE" w:rsidRPr="00092ED7">
        <w:rPr>
          <w:rFonts w:eastAsia="Times New Roman" w:cs="Times New Roman"/>
          <w:szCs w:val="24"/>
          <w:lang w:val="sr-Cyrl-CS"/>
        </w:rPr>
        <w:t>2021</w:t>
      </w:r>
      <w:r w:rsidRPr="00092ED7">
        <w:rPr>
          <w:rFonts w:eastAsia="Times New Roman" w:cs="Times New Roman"/>
          <w:szCs w:val="24"/>
          <w:lang w:val="sr-Cyrl-CS"/>
        </w:rPr>
        <w:t xml:space="preserve">). Улагања пословног сектора износе 0,45% БДП-а што је знатно испод просека ЕУ-27 (1,5% БДП у </w:t>
      </w:r>
      <w:r w:rsidR="008A6DAE" w:rsidRPr="00092ED7">
        <w:rPr>
          <w:rFonts w:eastAsia="Times New Roman" w:cs="Times New Roman"/>
          <w:szCs w:val="24"/>
          <w:lang w:val="sr-Cyrl-CS"/>
        </w:rPr>
        <w:t>2021</w:t>
      </w:r>
      <w:r w:rsidRPr="00092ED7">
        <w:rPr>
          <w:rFonts w:eastAsia="Times New Roman" w:cs="Times New Roman"/>
          <w:szCs w:val="24"/>
          <w:lang w:val="sr-Cyrl-CS"/>
        </w:rPr>
        <w:t>).</w:t>
      </w:r>
    </w:p>
    <w:p w14:paraId="5BD77187" w14:textId="1E79EC25" w:rsidR="00D210F0" w:rsidRPr="00092ED7" w:rsidRDefault="00D210F0" w:rsidP="00BA1B20">
      <w:pPr>
        <w:spacing w:after="60" w:line="238" w:lineRule="auto"/>
        <w:rPr>
          <w:rFonts w:eastAsia="Times New Roman" w:cs="Times New Roman"/>
          <w:szCs w:val="24"/>
          <w:lang w:val="sr-Cyrl-CS"/>
        </w:rPr>
      </w:pPr>
      <w:r w:rsidRPr="00092ED7">
        <w:rPr>
          <w:rFonts w:eastAsia="Times New Roman" w:cs="Times New Roman"/>
          <w:b/>
          <w:szCs w:val="24"/>
          <w:lang w:val="sr-Cyrl-CS"/>
        </w:rPr>
        <w:t>Отворене су и бројне могућности институцијама и компанијама у Републици Србији за учествовање у програму Хоризонт Европа</w:t>
      </w:r>
      <w:r w:rsidRPr="00092ED7">
        <w:rPr>
          <w:rStyle w:val="FootnoteReference"/>
          <w:rFonts w:cs="Times New Roman"/>
          <w:szCs w:val="24"/>
          <w:lang w:val="sr-Cyrl-CS"/>
        </w:rPr>
        <w:footnoteReference w:id="126"/>
      </w:r>
      <w:r w:rsidRPr="00092ED7">
        <w:rPr>
          <w:rFonts w:eastAsia="Times New Roman" w:cs="Times New Roman"/>
          <w:b/>
          <w:szCs w:val="24"/>
          <w:lang w:val="sr-Cyrl-CS"/>
        </w:rPr>
        <w:t xml:space="preserve"> и другим програмима ЕУ (EUREKA </w:t>
      </w:r>
      <w:r w:rsidRPr="00092ED7">
        <w:rPr>
          <w:rFonts w:eastAsia="Times New Roman" w:cs="Times New Roman"/>
          <w:szCs w:val="24"/>
          <w:lang w:val="sr-Cyrl-CS"/>
        </w:rPr>
        <w:t>и</w:t>
      </w:r>
      <w:r w:rsidRPr="00092ED7">
        <w:rPr>
          <w:rFonts w:eastAsia="Times New Roman" w:cs="Times New Roman"/>
          <w:b/>
          <w:szCs w:val="24"/>
          <w:lang w:val="sr-Cyrl-CS"/>
        </w:rPr>
        <w:t xml:space="preserve"> COST). </w:t>
      </w:r>
      <w:r w:rsidRPr="00092ED7">
        <w:rPr>
          <w:rFonts w:eastAsia="Times New Roman" w:cs="Times New Roman"/>
          <w:szCs w:val="24"/>
          <w:lang w:val="sr-Cyrl-CS"/>
        </w:rPr>
        <w:t xml:space="preserve">Хоризонт Европа пружа бројне могућности за борбу против климатских промена, дигитализацију Европе и остваривање УН циљева одрживог развоја, као што су одговорна потрошња и производња и подстицање раста и конкурентности. Од почетка реализације програма Хоризонт Европа, </w:t>
      </w:r>
      <w:r w:rsidR="003E6C6B" w:rsidRPr="00092ED7">
        <w:rPr>
          <w:rFonts w:eastAsia="Times New Roman" w:cs="Times New Roman"/>
          <w:szCs w:val="24"/>
          <w:lang w:val="sr-Cyrl-CS"/>
        </w:rPr>
        <w:t xml:space="preserve">161 </w:t>
      </w:r>
      <w:r w:rsidRPr="00092ED7">
        <w:rPr>
          <w:rFonts w:eastAsia="Times New Roman" w:cs="Times New Roman"/>
          <w:szCs w:val="24"/>
          <w:lang w:val="sr-Cyrl-CS"/>
        </w:rPr>
        <w:t>институциј</w:t>
      </w:r>
      <w:r w:rsidR="00CF3C6C" w:rsidRPr="00092ED7">
        <w:rPr>
          <w:rFonts w:eastAsia="Times New Roman" w:cs="Times New Roman"/>
          <w:szCs w:val="24"/>
          <w:lang w:val="sr-Cyrl-CS"/>
        </w:rPr>
        <w:t>а</w:t>
      </w:r>
      <w:r w:rsidRPr="00092ED7">
        <w:rPr>
          <w:rFonts w:eastAsia="Times New Roman" w:cs="Times New Roman"/>
          <w:szCs w:val="24"/>
          <w:lang w:val="sr-Cyrl-CS"/>
        </w:rPr>
        <w:t>/организациј</w:t>
      </w:r>
      <w:r w:rsidR="00CF3C6C" w:rsidRPr="00092ED7">
        <w:rPr>
          <w:rFonts w:eastAsia="Times New Roman" w:cs="Times New Roman"/>
          <w:szCs w:val="24"/>
          <w:lang w:val="sr-Cyrl-CS"/>
        </w:rPr>
        <w:t>а</w:t>
      </w:r>
      <w:r w:rsidRPr="00092ED7">
        <w:rPr>
          <w:rFonts w:eastAsia="Times New Roman" w:cs="Times New Roman"/>
          <w:szCs w:val="24"/>
          <w:lang w:val="sr-Cyrl-CS"/>
        </w:rPr>
        <w:t xml:space="preserve"> из Републике Србије </w:t>
      </w:r>
      <w:r w:rsidR="00CF3C6C" w:rsidRPr="00092ED7">
        <w:rPr>
          <w:rFonts w:eastAsia="Times New Roman" w:cs="Times New Roman"/>
          <w:szCs w:val="24"/>
          <w:lang w:val="sr-Cyrl-CS"/>
        </w:rPr>
        <w:t xml:space="preserve">је </w:t>
      </w:r>
      <w:r w:rsidRPr="00092ED7">
        <w:rPr>
          <w:rFonts w:eastAsia="Times New Roman" w:cs="Times New Roman"/>
          <w:szCs w:val="24"/>
          <w:lang w:val="sr-Cyrl-CS"/>
        </w:rPr>
        <w:t>добил</w:t>
      </w:r>
      <w:r w:rsidR="00CF3C6C" w:rsidRPr="00092ED7">
        <w:rPr>
          <w:rFonts w:eastAsia="Times New Roman" w:cs="Times New Roman"/>
          <w:szCs w:val="24"/>
          <w:lang w:val="sr-Cyrl-CS"/>
        </w:rPr>
        <w:t>а</w:t>
      </w:r>
      <w:r w:rsidRPr="00092ED7">
        <w:rPr>
          <w:rFonts w:eastAsia="Times New Roman" w:cs="Times New Roman"/>
          <w:szCs w:val="24"/>
          <w:lang w:val="sr-Cyrl-CS"/>
        </w:rPr>
        <w:t xml:space="preserve"> финансирање за </w:t>
      </w:r>
      <w:r w:rsidR="003E6C6B" w:rsidRPr="00092ED7">
        <w:rPr>
          <w:rFonts w:eastAsia="Times New Roman" w:cs="Times New Roman"/>
          <w:szCs w:val="24"/>
          <w:lang w:val="sr-Cyrl-CS"/>
        </w:rPr>
        <w:t xml:space="preserve">128 </w:t>
      </w:r>
      <w:r w:rsidRPr="00092ED7">
        <w:rPr>
          <w:rFonts w:eastAsia="Times New Roman" w:cs="Times New Roman"/>
          <w:szCs w:val="24"/>
          <w:lang w:val="sr-Cyrl-CS"/>
        </w:rPr>
        <w:t xml:space="preserve">пројекта са укупним буџетом од </w:t>
      </w:r>
      <w:r w:rsidR="003E6C6B" w:rsidRPr="00092ED7">
        <w:rPr>
          <w:rFonts w:eastAsia="Times New Roman" w:cs="Times New Roman"/>
          <w:szCs w:val="24"/>
          <w:lang w:val="sr-Cyrl-CS"/>
        </w:rPr>
        <w:t xml:space="preserve">41,58 </w:t>
      </w:r>
      <w:r w:rsidRPr="00092ED7">
        <w:rPr>
          <w:rFonts w:eastAsia="Times New Roman" w:cs="Times New Roman"/>
          <w:szCs w:val="24"/>
          <w:lang w:val="sr-Cyrl-CS"/>
        </w:rPr>
        <w:t xml:space="preserve">милиона евра, док је стопа успеха </w:t>
      </w:r>
      <w:r w:rsidR="003E6C6B" w:rsidRPr="00092ED7">
        <w:rPr>
          <w:rFonts w:eastAsia="Times New Roman" w:cs="Times New Roman"/>
          <w:szCs w:val="24"/>
          <w:lang w:val="sr-Cyrl-CS"/>
        </w:rPr>
        <w:t>20,69</w:t>
      </w:r>
      <w:r w:rsidRPr="00092ED7">
        <w:rPr>
          <w:rFonts w:eastAsia="Times New Roman" w:cs="Times New Roman"/>
          <w:szCs w:val="24"/>
          <w:lang w:val="sr-Cyrl-CS"/>
        </w:rPr>
        <w:t>%.</w:t>
      </w:r>
    </w:p>
    <w:p w14:paraId="732B3BF4" w14:textId="69A222AA"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b/>
          <w:szCs w:val="24"/>
          <w:lang w:val="sr-Cyrl-CS"/>
        </w:rPr>
        <w:t>Уведен комбиновани институционално-пројектни модел финансирања омогућио је вишегодишње планирање активности научноистраживачких институција.</w:t>
      </w:r>
      <w:r w:rsidRPr="00092ED7">
        <w:rPr>
          <w:rFonts w:eastAsia="Times New Roman" w:cs="Times New Roman"/>
          <w:szCs w:val="24"/>
          <w:lang w:val="sr-Cyrl-CS"/>
        </w:rPr>
        <w:t xml:space="preserve"> Подршка научноистраживачкој делатности се пружа кроз активности</w:t>
      </w:r>
      <w:r w:rsidRPr="00092ED7">
        <w:rPr>
          <w:rFonts w:eastAsia="Times New Roman" w:cs="Times New Roman"/>
          <w:b/>
          <w:szCs w:val="24"/>
          <w:lang w:val="sr-Cyrl-CS"/>
        </w:rPr>
        <w:t xml:space="preserve"> Фонда за науку</w:t>
      </w:r>
      <w:r w:rsidRPr="00092ED7">
        <w:rPr>
          <w:rFonts w:eastAsia="Times New Roman" w:cs="Times New Roman"/>
          <w:szCs w:val="24"/>
          <w:lang w:val="sr-Cyrl-CS"/>
        </w:rPr>
        <w:t xml:space="preserve"> који</w:t>
      </w:r>
      <w:r w:rsidRPr="00092ED7">
        <w:rPr>
          <w:rFonts w:eastAsia="Times New Roman" w:cs="Times New Roman"/>
          <w:b/>
          <w:szCs w:val="24"/>
          <w:lang w:val="sr-Cyrl-CS"/>
        </w:rPr>
        <w:t xml:space="preserve"> управља компетитивним пројектним позивима</w:t>
      </w:r>
      <w:r w:rsidRPr="00092ED7">
        <w:rPr>
          <w:rFonts w:eastAsia="Times New Roman" w:cs="Times New Roman"/>
          <w:szCs w:val="24"/>
          <w:lang w:val="sr-Cyrl-CS"/>
        </w:rPr>
        <w:t xml:space="preserve"> на основу који</w:t>
      </w:r>
      <w:r w:rsidR="00497A1F" w:rsidRPr="00092ED7">
        <w:rPr>
          <w:rFonts w:eastAsia="Times New Roman" w:cs="Times New Roman"/>
          <w:szCs w:val="24"/>
          <w:lang w:val="sr-Cyrl-CS"/>
        </w:rPr>
        <w:t>х</w:t>
      </w:r>
      <w:r w:rsidRPr="00092ED7">
        <w:rPr>
          <w:rFonts w:eastAsia="Times New Roman" w:cs="Times New Roman"/>
          <w:szCs w:val="24"/>
          <w:lang w:val="sr-Cyrl-CS"/>
        </w:rPr>
        <w:t xml:space="preserve"> је до сада подржано 282 пројекта на којима учествује 1.737 истраживача, са 74,5 милиона евра. Фонд за науку тренутно спроводи реализацију </w:t>
      </w:r>
      <w:r w:rsidR="006C154D" w:rsidRPr="00092ED7">
        <w:rPr>
          <w:rFonts w:eastAsia="Times New Roman" w:cs="Times New Roman"/>
          <w:szCs w:val="24"/>
          <w:lang w:val="sr-Cyrl-CS"/>
        </w:rPr>
        <w:t>осам</w:t>
      </w:r>
      <w:r w:rsidRPr="00092ED7">
        <w:rPr>
          <w:rFonts w:eastAsia="Times New Roman" w:cs="Times New Roman"/>
          <w:szCs w:val="24"/>
          <w:lang w:val="sr-Cyrl-CS"/>
        </w:rPr>
        <w:t xml:space="preserve"> програма, од којих је </w:t>
      </w:r>
      <w:r w:rsidR="006C154D" w:rsidRPr="00092ED7">
        <w:rPr>
          <w:rFonts w:eastAsia="Times New Roman" w:cs="Times New Roman"/>
          <w:szCs w:val="24"/>
          <w:lang w:val="sr-Cyrl-CS"/>
        </w:rPr>
        <w:t>пет</w:t>
      </w:r>
      <w:r w:rsidRPr="00092ED7">
        <w:rPr>
          <w:rFonts w:eastAsia="Times New Roman" w:cs="Times New Roman"/>
          <w:szCs w:val="24"/>
          <w:lang w:val="sr-Cyrl-CS"/>
        </w:rPr>
        <w:t xml:space="preserve"> у фази имплементације, а </w:t>
      </w:r>
      <w:r w:rsidR="006C154D" w:rsidRPr="00092ED7">
        <w:rPr>
          <w:rFonts w:eastAsia="Times New Roman" w:cs="Times New Roman"/>
          <w:szCs w:val="24"/>
          <w:lang w:val="sr-Cyrl-CS"/>
        </w:rPr>
        <w:t>три</w:t>
      </w:r>
      <w:r w:rsidRPr="00092ED7">
        <w:rPr>
          <w:rFonts w:eastAsia="Times New Roman" w:cs="Times New Roman"/>
          <w:szCs w:val="24"/>
          <w:lang w:val="sr-Cyrl-CS"/>
        </w:rPr>
        <w:t xml:space="preserve"> у фази административне провере и евалуације предлога пројеката</w:t>
      </w:r>
      <w:r w:rsidRPr="00092ED7">
        <w:rPr>
          <w:rStyle w:val="FootnoteReference"/>
          <w:rFonts w:cs="Times New Roman"/>
          <w:szCs w:val="24"/>
          <w:lang w:val="sr-Cyrl-CS"/>
        </w:rPr>
        <w:footnoteReference w:id="127"/>
      </w:r>
      <w:r w:rsidRPr="00092ED7">
        <w:rPr>
          <w:rFonts w:eastAsia="Times New Roman" w:cs="Times New Roman"/>
          <w:szCs w:val="24"/>
          <w:lang w:val="sr-Cyrl-CS"/>
        </w:rPr>
        <w:t>: П</w:t>
      </w:r>
      <w:r w:rsidRPr="00092ED7">
        <w:rPr>
          <w:rFonts w:eastAsia="Times New Roman" w:cs="Times New Roman"/>
          <w:i/>
          <w:szCs w:val="24"/>
          <w:lang w:val="sr-Cyrl-CS"/>
        </w:rPr>
        <w:t>рограм за изврсне пројекте младих истраживача</w:t>
      </w:r>
      <w:r w:rsidRPr="00092ED7">
        <w:rPr>
          <w:rFonts w:eastAsia="Times New Roman" w:cs="Times New Roman"/>
          <w:szCs w:val="24"/>
          <w:lang w:val="sr-Cyrl-CS"/>
        </w:rPr>
        <w:t xml:space="preserve"> (ПРОМИС) - 59 пројеката oсновних и примењених истраживања укупне вредности око 9 милиона евра; </w:t>
      </w:r>
      <w:r w:rsidRPr="00092ED7">
        <w:rPr>
          <w:rFonts w:eastAsia="Times New Roman" w:cs="Times New Roman"/>
          <w:i/>
          <w:szCs w:val="24"/>
          <w:lang w:val="sr-Cyrl-CS"/>
        </w:rPr>
        <w:t>Програм за развој пројеката из области вештачке интелигенције</w:t>
      </w:r>
      <w:r w:rsidRPr="00092ED7">
        <w:rPr>
          <w:rFonts w:eastAsia="Times New Roman" w:cs="Times New Roman"/>
          <w:szCs w:val="24"/>
          <w:lang w:val="sr-Cyrl-CS"/>
        </w:rPr>
        <w:t xml:space="preserve"> - 12 пројеката вредности 2,2 милиона евра; </w:t>
      </w:r>
      <w:r w:rsidRPr="00092ED7">
        <w:rPr>
          <w:rFonts w:eastAsia="Times New Roman" w:cs="Times New Roman"/>
          <w:i/>
          <w:szCs w:val="24"/>
          <w:lang w:val="sr-Cyrl-CS"/>
        </w:rPr>
        <w:t>Програм сарадње српске науке са дијаспором</w:t>
      </w:r>
      <w:r w:rsidRPr="00092ED7">
        <w:rPr>
          <w:rFonts w:eastAsia="Times New Roman" w:cs="Times New Roman"/>
          <w:szCs w:val="24"/>
          <w:lang w:val="sr-Cyrl-CS"/>
        </w:rPr>
        <w:t xml:space="preserve"> - 92 пројекта вредности 798 хиљада евра; </w:t>
      </w:r>
      <w:r w:rsidRPr="00092ED7">
        <w:rPr>
          <w:rFonts w:eastAsia="Times New Roman" w:cs="Times New Roman"/>
          <w:i/>
          <w:szCs w:val="24"/>
          <w:lang w:val="sr-Cyrl-CS"/>
        </w:rPr>
        <w:t xml:space="preserve">Специјални програм истраживања </w:t>
      </w:r>
      <w:r w:rsidR="00497A1F" w:rsidRPr="00092ED7">
        <w:rPr>
          <w:rFonts w:eastAsia="Times New Roman" w:cs="Times New Roman"/>
          <w:i/>
          <w:szCs w:val="24"/>
          <w:lang w:val="sr-Cyrl-CS"/>
        </w:rPr>
        <w:t>COVID</w:t>
      </w:r>
      <w:r w:rsidRPr="00092ED7">
        <w:rPr>
          <w:rFonts w:eastAsia="Times New Roman" w:cs="Times New Roman"/>
          <w:i/>
          <w:szCs w:val="24"/>
          <w:lang w:val="sr-Cyrl-CS"/>
        </w:rPr>
        <w:t>-19</w:t>
      </w:r>
      <w:r w:rsidRPr="00092ED7">
        <w:rPr>
          <w:rFonts w:eastAsia="Times New Roman" w:cs="Times New Roman"/>
          <w:szCs w:val="24"/>
          <w:lang w:val="sr-Cyrl-CS"/>
        </w:rPr>
        <w:t xml:space="preserve"> - 14 пројеката вредности око 2 милиона евра; </w:t>
      </w:r>
      <w:r w:rsidRPr="00092ED7">
        <w:rPr>
          <w:rFonts w:eastAsia="Times New Roman" w:cs="Times New Roman"/>
          <w:i/>
          <w:szCs w:val="24"/>
          <w:lang w:val="sr-Cyrl-CS"/>
        </w:rPr>
        <w:t>Програм ИДЕЈЕ</w:t>
      </w:r>
      <w:r w:rsidRPr="00092ED7">
        <w:rPr>
          <w:rFonts w:eastAsia="Times New Roman" w:cs="Times New Roman"/>
          <w:szCs w:val="24"/>
          <w:lang w:val="sr-Cyrl-CS"/>
        </w:rPr>
        <w:t xml:space="preserve"> - 105 пројеката (1.064 истраживача) вредности 30 милиона евра. За </w:t>
      </w:r>
      <w:r w:rsidRPr="00092ED7">
        <w:rPr>
          <w:rFonts w:eastAsia="Times New Roman" w:cs="Times New Roman"/>
          <w:i/>
          <w:szCs w:val="24"/>
          <w:lang w:val="sr-Cyrl-CS"/>
        </w:rPr>
        <w:t>Програм ИДЕНТИТЕТИ</w:t>
      </w:r>
      <w:r w:rsidRPr="00092ED7">
        <w:rPr>
          <w:rFonts w:eastAsia="Times New Roman" w:cs="Times New Roman"/>
          <w:szCs w:val="24"/>
          <w:lang w:val="sr-Cyrl-CS"/>
        </w:rPr>
        <w:t>, намењен развоју научних истраживања из области друштвено–хуманистичких наука, у току је прва фаза евалуације предлога пројеката</w:t>
      </w:r>
      <w:r w:rsidRPr="00092ED7">
        <w:rPr>
          <w:rStyle w:val="FootnoteReference"/>
          <w:rFonts w:cs="Times New Roman"/>
          <w:szCs w:val="24"/>
          <w:lang w:val="sr-Cyrl-CS"/>
        </w:rPr>
        <w:footnoteReference w:id="128"/>
      </w:r>
      <w:r w:rsidRPr="00092ED7">
        <w:rPr>
          <w:rFonts w:eastAsia="Times New Roman" w:cs="Times New Roman"/>
          <w:szCs w:val="24"/>
          <w:lang w:val="sr-Cyrl-CS"/>
        </w:rPr>
        <w:t xml:space="preserve">, док су за </w:t>
      </w:r>
      <w:r w:rsidRPr="00092ED7">
        <w:rPr>
          <w:rFonts w:eastAsia="Times New Roman" w:cs="Times New Roman"/>
          <w:i/>
          <w:szCs w:val="24"/>
          <w:lang w:val="sr-Cyrl-CS"/>
        </w:rPr>
        <w:t>Програм ПРИЗМА</w:t>
      </w:r>
      <w:r w:rsidRPr="00092ED7">
        <w:rPr>
          <w:rStyle w:val="FootnoteReference"/>
          <w:rFonts w:cs="Times New Roman"/>
          <w:szCs w:val="24"/>
          <w:lang w:val="sr-Cyrl-CS"/>
        </w:rPr>
        <w:footnoteReference w:id="129"/>
      </w:r>
      <w:r w:rsidRPr="00092ED7">
        <w:rPr>
          <w:rFonts w:eastAsia="Times New Roman" w:cs="Times New Roman"/>
          <w:szCs w:val="24"/>
          <w:lang w:val="sr-Cyrl-CS"/>
        </w:rPr>
        <w:t xml:space="preserve"> и </w:t>
      </w:r>
      <w:r w:rsidRPr="00092ED7">
        <w:rPr>
          <w:rFonts w:eastAsia="Times New Roman" w:cs="Times New Roman"/>
          <w:i/>
          <w:szCs w:val="24"/>
          <w:lang w:val="sr-Cyrl-CS"/>
        </w:rPr>
        <w:t>Зелени програм сарадње науке и привреде</w:t>
      </w:r>
      <w:r w:rsidRPr="00092ED7">
        <w:rPr>
          <w:rStyle w:val="FootnoteReference"/>
          <w:rFonts w:cs="Times New Roman"/>
          <w:szCs w:val="24"/>
          <w:lang w:val="sr-Cyrl-CS"/>
        </w:rPr>
        <w:footnoteReference w:id="130"/>
      </w:r>
      <w:r w:rsidRPr="00092ED7">
        <w:rPr>
          <w:rFonts w:eastAsia="Times New Roman" w:cs="Times New Roman"/>
          <w:szCs w:val="24"/>
          <w:lang w:val="sr-Cyrl-CS"/>
        </w:rPr>
        <w:t xml:space="preserve"> у току административне провере предлога пројеката.</w:t>
      </w:r>
    </w:p>
    <w:p w14:paraId="5CA7FFC4" w14:textId="3F86DE65"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b/>
          <w:szCs w:val="24"/>
          <w:lang w:val="sr-Cyrl-CS"/>
        </w:rPr>
        <w:t>Стварање иновација, јачање везе између науке и привреде, оснивање нових и оснаживање постојећих предузећа са иновативним потенцијалом,</w:t>
      </w:r>
      <w:r w:rsidRPr="00092ED7">
        <w:rPr>
          <w:rFonts w:eastAsia="Times New Roman" w:cs="Times New Roman"/>
          <w:szCs w:val="24"/>
          <w:lang w:val="sr-Cyrl-CS"/>
        </w:rPr>
        <w:t xml:space="preserve"> различитим финансијским инструментима</w:t>
      </w:r>
      <w:r w:rsidRPr="00092ED7">
        <w:rPr>
          <w:rFonts w:eastAsia="Times New Roman" w:cs="Times New Roman"/>
          <w:b/>
          <w:szCs w:val="24"/>
          <w:lang w:val="sr-Cyrl-CS"/>
        </w:rPr>
        <w:t xml:space="preserve"> подржава Фонд за иновациону делатност.</w:t>
      </w:r>
      <w:r w:rsidRPr="00092ED7">
        <w:rPr>
          <w:rFonts w:eastAsia="Times New Roman" w:cs="Times New Roman"/>
          <w:szCs w:val="24"/>
          <w:lang w:val="sr-Cyrl-CS"/>
        </w:rPr>
        <w:t xml:space="preserve"> Од оснивања до сада, више од 1.</w:t>
      </w:r>
      <w:r w:rsidR="00EF2F8F" w:rsidRPr="00092ED7">
        <w:rPr>
          <w:rFonts w:eastAsia="Times New Roman" w:cs="Times New Roman"/>
          <w:szCs w:val="24"/>
          <w:lang w:val="sr-Cyrl-CS"/>
        </w:rPr>
        <w:t xml:space="preserve">465 </w:t>
      </w:r>
      <w:r w:rsidRPr="00092ED7">
        <w:rPr>
          <w:rFonts w:eastAsia="Times New Roman" w:cs="Times New Roman"/>
          <w:szCs w:val="24"/>
          <w:lang w:val="sr-Cyrl-CS"/>
        </w:rPr>
        <w:t>пројеката је финансирано са 60</w:t>
      </w:r>
      <w:r w:rsidR="00EF2F8F" w:rsidRPr="00092ED7">
        <w:rPr>
          <w:rFonts w:eastAsia="Times New Roman" w:cs="Times New Roman"/>
          <w:szCs w:val="24"/>
          <w:lang w:val="sr-Cyrl-CS"/>
        </w:rPr>
        <w:t>,6</w:t>
      </w:r>
      <w:r w:rsidRPr="00092ED7">
        <w:rPr>
          <w:rFonts w:eastAsia="Times New Roman" w:cs="Times New Roman"/>
          <w:szCs w:val="24"/>
          <w:lang w:val="sr-Cyrl-CS"/>
        </w:rPr>
        <w:t xml:space="preserve"> милиона евра</w:t>
      </w:r>
      <w:r w:rsidRPr="00092ED7">
        <w:rPr>
          <w:rStyle w:val="FootnoteReference"/>
          <w:rFonts w:cs="Times New Roman"/>
          <w:szCs w:val="24"/>
          <w:lang w:val="sr-Cyrl-CS"/>
        </w:rPr>
        <w:footnoteReference w:id="131"/>
      </w:r>
      <w:r w:rsidRPr="00092ED7">
        <w:rPr>
          <w:rFonts w:eastAsia="Times New Roman" w:cs="Times New Roman"/>
          <w:szCs w:val="24"/>
          <w:lang w:val="sr-Cyrl-CS"/>
        </w:rPr>
        <w:t>. Одобрено је: 50 милиона евра за 351 иновативни пројекат; 4,</w:t>
      </w:r>
      <w:r w:rsidR="00EF2F8F" w:rsidRPr="00092ED7">
        <w:rPr>
          <w:rFonts w:eastAsia="Times New Roman" w:cs="Times New Roman"/>
          <w:szCs w:val="24"/>
          <w:lang w:val="sr-Cyrl-CS"/>
        </w:rPr>
        <w:t xml:space="preserve">4 </w:t>
      </w:r>
      <w:r w:rsidRPr="00092ED7">
        <w:rPr>
          <w:rFonts w:eastAsia="Times New Roman" w:cs="Times New Roman"/>
          <w:szCs w:val="24"/>
          <w:lang w:val="sr-Cyrl-CS"/>
        </w:rPr>
        <w:t xml:space="preserve">милиона евра за </w:t>
      </w:r>
      <w:r w:rsidR="00EF2F8F" w:rsidRPr="00092ED7">
        <w:rPr>
          <w:rFonts w:eastAsia="Times New Roman" w:cs="Times New Roman"/>
          <w:szCs w:val="24"/>
          <w:lang w:val="sr-Cyrl-CS"/>
        </w:rPr>
        <w:t xml:space="preserve">907 </w:t>
      </w:r>
      <w:r w:rsidRPr="00092ED7">
        <w:rPr>
          <w:rFonts w:eastAsia="Times New Roman" w:cs="Times New Roman"/>
          <w:szCs w:val="24"/>
          <w:lang w:val="sr-Cyrl-CS"/>
        </w:rPr>
        <w:t>иновациона ваучера; 0,</w:t>
      </w:r>
      <w:r w:rsidR="00EF2F8F" w:rsidRPr="00092ED7">
        <w:rPr>
          <w:rFonts w:eastAsia="Times New Roman" w:cs="Times New Roman"/>
          <w:szCs w:val="24"/>
          <w:lang w:val="sr-Cyrl-CS"/>
        </w:rPr>
        <w:t>9</w:t>
      </w:r>
      <w:r w:rsidRPr="00092ED7">
        <w:rPr>
          <w:rFonts w:eastAsia="Times New Roman" w:cs="Times New Roman"/>
          <w:szCs w:val="24"/>
          <w:lang w:val="sr-Cyrl-CS"/>
        </w:rPr>
        <w:t xml:space="preserve"> милиона евра за подршку 27 стартапа у најранијој фази развоја; </w:t>
      </w:r>
      <w:r w:rsidR="00564BDA" w:rsidRPr="00092ED7">
        <w:rPr>
          <w:rFonts w:eastAsia="Times New Roman" w:cs="Times New Roman"/>
          <w:szCs w:val="24"/>
          <w:lang w:val="sr-Cyrl-CS"/>
        </w:rPr>
        <w:t xml:space="preserve">два </w:t>
      </w:r>
      <w:r w:rsidRPr="00092ED7">
        <w:rPr>
          <w:rFonts w:eastAsia="Times New Roman" w:cs="Times New Roman"/>
          <w:szCs w:val="24"/>
          <w:lang w:val="sr-Cyrl-CS"/>
        </w:rPr>
        <w:t xml:space="preserve">милиона евра за 19 стартапа учесника акцелератора Катапулт; 2,8 милиона евра подршке за </w:t>
      </w:r>
      <w:r w:rsidR="00EF2F8F" w:rsidRPr="00092ED7">
        <w:rPr>
          <w:rFonts w:eastAsia="Times New Roman" w:cs="Times New Roman"/>
          <w:szCs w:val="24"/>
          <w:lang w:val="sr-Cyrl-CS"/>
        </w:rPr>
        <w:t xml:space="preserve">149 </w:t>
      </w:r>
      <w:r w:rsidRPr="00092ED7">
        <w:rPr>
          <w:rFonts w:eastAsia="Times New Roman" w:cs="Times New Roman"/>
          <w:szCs w:val="24"/>
          <w:lang w:val="sr-Cyrl-CS"/>
        </w:rPr>
        <w:t>пројекат</w:t>
      </w:r>
      <w:r w:rsidR="00EF2F8F" w:rsidRPr="00092ED7">
        <w:rPr>
          <w:rFonts w:eastAsia="Times New Roman" w:cs="Times New Roman"/>
          <w:szCs w:val="24"/>
          <w:lang w:val="sr-Cyrl-CS"/>
        </w:rPr>
        <w:t>а</w:t>
      </w:r>
      <w:r w:rsidRPr="00092ED7">
        <w:rPr>
          <w:rFonts w:eastAsia="Times New Roman" w:cs="Times New Roman"/>
          <w:szCs w:val="24"/>
          <w:lang w:val="sr-Cyrl-CS"/>
        </w:rPr>
        <w:t xml:space="preserve"> трансфера технологије; 0,5 милиона евра за 12 пројеката за решења у борби против пандемије.</w:t>
      </w:r>
    </w:p>
    <w:p w14:paraId="340BF36C" w14:textId="77777777"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b/>
          <w:szCs w:val="24"/>
          <w:lang w:val="sr-Cyrl-CS"/>
        </w:rPr>
        <w:t>Улагањем у иновациону инфраструктуру шири се мрежа научно-технолошки паркова</w:t>
      </w:r>
      <w:r w:rsidRPr="00092ED7">
        <w:rPr>
          <w:rFonts w:eastAsia="Times New Roman" w:cs="Times New Roman"/>
          <w:szCs w:val="24"/>
          <w:lang w:val="sr-Cyrl-CS"/>
        </w:rPr>
        <w:t xml:space="preserve"> који пружају инфраструктурну и стручну подршку иновационој делатности. Иноваторима су на располагању лабораторије за развој производа, мрежа ментора, окружење високотехнолошких компанија, повезивање са потенцијалним партнерима и инвеститорима, размена знања и друга неопходна помоћ за бржи развој у четири најсавременија научно-технолошка парка у Београду, Новом Саду, Нишу и Чачку.</w:t>
      </w:r>
    </w:p>
    <w:p w14:paraId="49863B51" w14:textId="0C18CA73"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b/>
          <w:szCs w:val="24"/>
          <w:lang w:val="sr-Cyrl-CS"/>
        </w:rPr>
        <w:t xml:space="preserve">Истраживачко-развојни институт за вештачку интелигенцију Србије, </w:t>
      </w:r>
      <w:r w:rsidRPr="00092ED7">
        <w:rPr>
          <w:rFonts w:eastAsia="Times New Roman" w:cs="Times New Roman"/>
          <w:szCs w:val="24"/>
          <w:lang w:val="sr-Cyrl-CS"/>
        </w:rPr>
        <w:t xml:space="preserve">који је у потпуности оперативан, тежи да </w:t>
      </w:r>
      <w:r w:rsidRPr="00092ED7">
        <w:rPr>
          <w:rFonts w:eastAsia="Times New Roman" w:cs="Times New Roman"/>
          <w:b/>
          <w:szCs w:val="24"/>
          <w:lang w:val="sr-Cyrl-CS"/>
        </w:rPr>
        <w:t>споји науку и привреду</w:t>
      </w:r>
      <w:r w:rsidRPr="00092ED7">
        <w:rPr>
          <w:rFonts w:eastAsia="Times New Roman" w:cs="Times New Roman"/>
          <w:szCs w:val="24"/>
          <w:lang w:val="sr-Cyrl-CS"/>
        </w:rPr>
        <w:t xml:space="preserve"> и допринесе развоју и трансферу технологије из домена вештачке интелигенције и машинског учења у Републици Србији. Како би унапредил</w:t>
      </w:r>
      <w:r w:rsidR="00497A1F" w:rsidRPr="00092ED7">
        <w:rPr>
          <w:rFonts w:eastAsia="Times New Roman" w:cs="Times New Roman"/>
          <w:szCs w:val="24"/>
          <w:lang w:val="sr-Cyrl-CS"/>
        </w:rPr>
        <w:t>о</w:t>
      </w:r>
      <w:r w:rsidRPr="00092ED7">
        <w:rPr>
          <w:rFonts w:eastAsia="Times New Roman" w:cs="Times New Roman"/>
          <w:szCs w:val="24"/>
          <w:lang w:val="sr-Cyrl-CS"/>
        </w:rPr>
        <w:t xml:space="preserve"> јавно здравље у </w:t>
      </w:r>
      <w:r w:rsidR="00564BDA" w:rsidRPr="00092ED7">
        <w:rPr>
          <w:rFonts w:eastAsia="Times New Roman" w:cs="Times New Roman"/>
          <w:szCs w:val="24"/>
          <w:lang w:val="sr-Cyrl-CS"/>
        </w:rPr>
        <w:t xml:space="preserve">Републици </w:t>
      </w:r>
      <w:r w:rsidRPr="00092ED7">
        <w:rPr>
          <w:rFonts w:eastAsia="Times New Roman" w:cs="Times New Roman"/>
          <w:szCs w:val="24"/>
          <w:lang w:val="sr-Cyrl-CS"/>
        </w:rPr>
        <w:t>Србији, истраживања и примену вештачке интелигенције у медицини спроводиће заједно са Институтом за јавно здравље Србије „Др Милан Јовановић Батут</w:t>
      </w:r>
      <w:r w:rsidR="00086E58" w:rsidRPr="00092ED7">
        <w:rPr>
          <w:rFonts w:cs="Times New Roman"/>
          <w:szCs w:val="24"/>
          <w:lang w:val="sr-Cyrl-CS"/>
        </w:rPr>
        <w:t>”</w:t>
      </w:r>
      <w:r w:rsidRPr="00092ED7">
        <w:rPr>
          <w:rFonts w:eastAsia="Times New Roman" w:cs="Times New Roman"/>
          <w:szCs w:val="24"/>
          <w:lang w:val="sr-Cyrl-CS"/>
        </w:rPr>
        <w:t xml:space="preserve">. Покренута је и сарадња са компанијама </w:t>
      </w:r>
      <w:r w:rsidRPr="00092ED7">
        <w:rPr>
          <w:rFonts w:eastAsia="Times New Roman" w:cs="Times New Roman"/>
          <w:i/>
          <w:szCs w:val="24"/>
          <w:lang w:val="sr-Cyrl-CS"/>
        </w:rPr>
        <w:t>Continental Automotive Serbia</w:t>
      </w:r>
      <w:r w:rsidRPr="00092ED7">
        <w:rPr>
          <w:rFonts w:eastAsia="Times New Roman" w:cs="Times New Roman"/>
          <w:szCs w:val="24"/>
          <w:lang w:val="sr-Cyrl-CS"/>
        </w:rPr>
        <w:t xml:space="preserve"> (развој најиновативнијих технологија за аутомобилску индустрију) и </w:t>
      </w:r>
      <w:r w:rsidRPr="00092ED7">
        <w:rPr>
          <w:rFonts w:eastAsia="Times New Roman" w:cs="Times New Roman"/>
          <w:i/>
          <w:szCs w:val="24"/>
          <w:lang w:val="sr-Cyrl-CS"/>
        </w:rPr>
        <w:t xml:space="preserve">NTT Data </w:t>
      </w:r>
      <w:r w:rsidRPr="00092ED7">
        <w:rPr>
          <w:rFonts w:eastAsia="Times New Roman" w:cs="Times New Roman"/>
          <w:szCs w:val="24"/>
          <w:lang w:val="sr-Cyrl-CS"/>
        </w:rPr>
        <w:t xml:space="preserve">(глобални иноватор ИТ и пословних услуга). Потписан је уговор о сарадњи са </w:t>
      </w:r>
      <w:r w:rsidR="00727AFD" w:rsidRPr="00092ED7">
        <w:rPr>
          <w:rFonts w:eastAsia="Times New Roman" w:cs="Times New Roman"/>
          <w:szCs w:val="24"/>
          <w:lang w:val="sr-Cyrl-CS"/>
        </w:rPr>
        <w:t>г</w:t>
      </w:r>
      <w:r w:rsidRPr="00092ED7">
        <w:rPr>
          <w:rFonts w:eastAsia="Times New Roman" w:cs="Times New Roman"/>
          <w:szCs w:val="24"/>
          <w:lang w:val="sr-Cyrl-CS"/>
        </w:rPr>
        <w:t xml:space="preserve">радом Београдом, који има за циљ заједнички рад на развојним пројектима. Такође, у </w:t>
      </w:r>
      <w:r w:rsidR="00282877" w:rsidRPr="00092ED7">
        <w:rPr>
          <w:rFonts w:eastAsia="Times New Roman" w:cs="Times New Roman"/>
          <w:color w:val="000000" w:themeColor="text1"/>
          <w:szCs w:val="24"/>
          <w:lang w:val="sr-Cyrl-CS"/>
        </w:rPr>
        <w:t>ДДЦ</w:t>
      </w:r>
      <w:r w:rsidR="00282877" w:rsidRPr="00092ED7">
        <w:rPr>
          <w:rFonts w:eastAsia="Times New Roman" w:cs="Times New Roman"/>
          <w:szCs w:val="24"/>
          <w:lang w:val="sr-Cyrl-CS"/>
        </w:rPr>
        <w:t xml:space="preserve"> </w:t>
      </w:r>
      <w:r w:rsidRPr="00092ED7">
        <w:rPr>
          <w:rFonts w:eastAsia="Times New Roman" w:cs="Times New Roman"/>
          <w:szCs w:val="24"/>
          <w:lang w:val="sr-Cyrl-CS"/>
        </w:rPr>
        <w:t xml:space="preserve">у Крагујевцу почела је са радом </w:t>
      </w:r>
      <w:r w:rsidRPr="00092ED7">
        <w:rPr>
          <w:rFonts w:eastAsia="Times New Roman" w:cs="Times New Roman"/>
          <w:b/>
          <w:szCs w:val="24"/>
          <w:lang w:val="sr-Cyrl-CS"/>
        </w:rPr>
        <w:t>Национална платформа за вештачку интелигенцију</w:t>
      </w:r>
      <w:r w:rsidRPr="00092ED7">
        <w:rPr>
          <w:rStyle w:val="FootnoteReference"/>
          <w:rFonts w:cs="Times New Roman"/>
          <w:b/>
          <w:szCs w:val="24"/>
          <w:lang w:val="sr-Cyrl-CS"/>
        </w:rPr>
        <w:footnoteReference w:id="132"/>
      </w:r>
      <w:r w:rsidRPr="00092ED7">
        <w:rPr>
          <w:rFonts w:eastAsia="Times New Roman" w:cs="Times New Roman"/>
          <w:szCs w:val="24"/>
          <w:lang w:val="sr-Cyrl-CS"/>
        </w:rPr>
        <w:t xml:space="preserve"> децембра 2021. године.</w:t>
      </w:r>
    </w:p>
    <w:p w14:paraId="3D9E7E66" w14:textId="2E1B4677"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b/>
          <w:szCs w:val="24"/>
          <w:lang w:val="sr-Cyrl-CS"/>
        </w:rPr>
        <w:t>Центар за четврту индустријску револуцију у Републици Србији основан</w:t>
      </w:r>
      <w:r w:rsidRPr="00092ED7">
        <w:rPr>
          <w:rStyle w:val="FootnoteReference"/>
          <w:rFonts w:cs="Times New Roman"/>
          <w:b/>
          <w:szCs w:val="24"/>
          <w:lang w:val="sr-Cyrl-CS"/>
        </w:rPr>
        <w:footnoteReference w:id="133"/>
      </w:r>
      <w:r w:rsidRPr="00092ED7">
        <w:rPr>
          <w:rFonts w:eastAsia="Times New Roman" w:cs="Times New Roman"/>
          <w:b/>
          <w:szCs w:val="24"/>
          <w:lang w:val="sr-Cyrl-CS"/>
        </w:rPr>
        <w:t xml:space="preserve"> је </w:t>
      </w:r>
      <w:r w:rsidR="00497A1F" w:rsidRPr="00092ED7">
        <w:rPr>
          <w:rFonts w:eastAsia="Times New Roman" w:cs="Times New Roman"/>
          <w:b/>
          <w:szCs w:val="24"/>
          <w:lang w:val="sr-Cyrl-CS"/>
        </w:rPr>
        <w:t xml:space="preserve">у </w:t>
      </w:r>
      <w:r w:rsidRPr="00092ED7">
        <w:rPr>
          <w:rFonts w:eastAsia="Times New Roman" w:cs="Times New Roman"/>
          <w:b/>
          <w:szCs w:val="24"/>
          <w:lang w:val="sr-Cyrl-CS"/>
        </w:rPr>
        <w:t>мај</w:t>
      </w:r>
      <w:r w:rsidR="00497A1F" w:rsidRPr="00092ED7">
        <w:rPr>
          <w:rFonts w:eastAsia="Times New Roman" w:cs="Times New Roman"/>
          <w:b/>
          <w:szCs w:val="24"/>
          <w:lang w:val="sr-Cyrl-CS"/>
        </w:rPr>
        <w:t>у</w:t>
      </w:r>
      <w:r w:rsidRPr="00092ED7">
        <w:rPr>
          <w:rFonts w:eastAsia="Times New Roman" w:cs="Times New Roman"/>
          <w:b/>
          <w:szCs w:val="24"/>
          <w:lang w:val="sr-Cyrl-CS"/>
        </w:rPr>
        <w:t xml:space="preserve"> 2022. године</w:t>
      </w:r>
      <w:r w:rsidRPr="00092ED7">
        <w:rPr>
          <w:rFonts w:eastAsia="Times New Roman" w:cs="Times New Roman"/>
          <w:szCs w:val="24"/>
          <w:lang w:val="sr-Cyrl-CS"/>
        </w:rPr>
        <w:t xml:space="preserve"> са фокусом у две приоритетне области - биотехнологији и вештачкој интелигенцији у здравству. Овај Центар омогућиће да се фундаментална истраживања у области биотехнологије, молекуларне биологије и медицине користе за развој привреде.</w:t>
      </w:r>
    </w:p>
    <w:p w14:paraId="0463DF15" w14:textId="77777777"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b/>
          <w:szCs w:val="24"/>
          <w:lang w:val="sr-Cyrl-CS"/>
        </w:rPr>
        <w:t>Република Србија постала је члан европске организације за рачунарство високих перформанси (</w:t>
      </w:r>
      <w:r w:rsidRPr="00092ED7">
        <w:rPr>
          <w:rFonts w:eastAsia="Times New Roman" w:cs="Times New Roman"/>
          <w:b/>
          <w:i/>
          <w:szCs w:val="24"/>
          <w:lang w:val="sr-Cyrl-CS"/>
        </w:rPr>
        <w:t>EuroHPC JU</w:t>
      </w:r>
      <w:r w:rsidRPr="00092ED7">
        <w:rPr>
          <w:rFonts w:eastAsia="Times New Roman" w:cs="Times New Roman"/>
          <w:b/>
          <w:szCs w:val="24"/>
          <w:lang w:val="sr-Cyrl-CS"/>
        </w:rPr>
        <w:t>)</w:t>
      </w:r>
      <w:r w:rsidRPr="00092ED7">
        <w:rPr>
          <w:rFonts w:eastAsia="Times New Roman" w:cs="Times New Roman"/>
          <w:szCs w:val="24"/>
          <w:lang w:val="sr-Cyrl-CS"/>
        </w:rPr>
        <w:t xml:space="preserve"> 2022. године, која окупља чланице Европске уније, европске земље, као и приватне партнере са циљем развоја еко-система суперрачунарства у Европи. Прикључивање овој иницијативи омогућава научној и истраживачкој заједници, да користи ресурсе ове организације, као и </w:t>
      </w:r>
      <w:r w:rsidR="00E63AE6" w:rsidRPr="00092ED7">
        <w:rPr>
          <w:rFonts w:eastAsia="Times New Roman" w:cs="Times New Roman"/>
          <w:szCs w:val="24"/>
          <w:lang w:val="sr-Cyrl-CS"/>
        </w:rPr>
        <w:t xml:space="preserve">да </w:t>
      </w:r>
      <w:r w:rsidRPr="00092ED7">
        <w:rPr>
          <w:rFonts w:eastAsia="Times New Roman" w:cs="Times New Roman"/>
          <w:szCs w:val="24"/>
          <w:lang w:val="sr-Cyrl-CS"/>
        </w:rPr>
        <w:t>учествује у новим пројектима са циљем даљег развоја вештачке интелигенције и суперрачунарства.</w:t>
      </w:r>
    </w:p>
    <w:p w14:paraId="0671DBCF" w14:textId="77777777" w:rsidR="00D210F0" w:rsidRPr="00092ED7" w:rsidRDefault="00D210F0" w:rsidP="00BA1B20">
      <w:pPr>
        <w:widowControl w:val="0"/>
        <w:spacing w:after="60" w:line="238" w:lineRule="auto"/>
        <w:rPr>
          <w:rFonts w:eastAsia="Calibri" w:cs="Times New Roman"/>
          <w:szCs w:val="24"/>
          <w:lang w:val="sr-Cyrl-CS"/>
        </w:rPr>
      </w:pPr>
      <w:r w:rsidRPr="00092ED7">
        <w:rPr>
          <w:rFonts w:eastAsia="Calibri" w:cs="Times New Roman"/>
          <w:b/>
          <w:szCs w:val="24"/>
          <w:lang w:val="sr-Cyrl-CS"/>
        </w:rPr>
        <w:t>Изградњом БИО4</w:t>
      </w:r>
      <w:r w:rsidRPr="00092ED7">
        <w:rPr>
          <w:rStyle w:val="FootnoteReference"/>
          <w:rFonts w:eastAsia="Calibri" w:cs="Times New Roman"/>
          <w:b/>
          <w:szCs w:val="24"/>
          <w:lang w:val="sr-Cyrl-CS"/>
        </w:rPr>
        <w:footnoteReference w:id="134"/>
      </w:r>
      <w:r w:rsidRPr="00092ED7">
        <w:rPr>
          <w:rFonts w:eastAsia="Calibri" w:cs="Times New Roman"/>
          <w:b/>
          <w:szCs w:val="24"/>
          <w:lang w:val="sr-Cyrl-CS"/>
        </w:rPr>
        <w:t xml:space="preserve"> Кампуса Београд постаје</w:t>
      </w:r>
      <w:r w:rsidRPr="00092ED7">
        <w:rPr>
          <w:rFonts w:eastAsia="Calibri" w:cs="Times New Roman"/>
          <w:szCs w:val="24"/>
          <w:lang w:val="sr-Cyrl-CS"/>
        </w:rPr>
        <w:t xml:space="preserve"> </w:t>
      </w:r>
      <w:r w:rsidRPr="00092ED7">
        <w:rPr>
          <w:rFonts w:eastAsia="Calibri" w:cs="Times New Roman"/>
          <w:b/>
          <w:szCs w:val="24"/>
          <w:lang w:val="sr-Cyrl-CS"/>
        </w:rPr>
        <w:t xml:space="preserve">препознатљива тачка истраживања и развоја Југоисточне Европе. </w:t>
      </w:r>
      <w:r w:rsidRPr="00092ED7">
        <w:rPr>
          <w:rFonts w:eastAsia="Calibri" w:cs="Times New Roman"/>
          <w:szCs w:val="24"/>
          <w:lang w:val="sr-Cyrl-CS"/>
        </w:rPr>
        <w:t>Идејно решење израђено је током 2022. године, док се почетак градње очекује у 2023. години. БИО4 Кампус ће омогућити бржу и ефикаснију транзицију здравственог система ка модернoj, иновативној дијагностици и третманима, базираним на подацима и најновијим научним сазнањима. У Кампусу ће бити смештена четири факултета, девет научних института, екстензија Научно-технолошког парка Београд и истраживачко-развојни центри домаћих и страних компанија. У току су преговори са још неколико институција које су потенцијални станари Кампуса.</w:t>
      </w:r>
    </w:p>
    <w:p w14:paraId="590A49FF" w14:textId="1127C5A8" w:rsidR="00D210F0" w:rsidRPr="00092ED7" w:rsidRDefault="00D210F0" w:rsidP="00BA1B20">
      <w:pPr>
        <w:widowControl w:val="0"/>
        <w:spacing w:after="60" w:line="238" w:lineRule="auto"/>
        <w:rPr>
          <w:rFonts w:eastAsia="Times New Roman" w:cs="Times New Roman"/>
          <w:b/>
          <w:szCs w:val="24"/>
          <w:lang w:val="sr-Cyrl-CS"/>
        </w:rPr>
      </w:pPr>
      <w:r w:rsidRPr="00092ED7">
        <w:rPr>
          <w:rFonts w:cs="Times New Roman"/>
          <w:szCs w:val="24"/>
          <w:lang w:val="sr-Cyrl-CS"/>
        </w:rPr>
        <w:t xml:space="preserve">Успостављање </w:t>
      </w:r>
      <w:r w:rsidRPr="00092ED7">
        <w:rPr>
          <w:rFonts w:cs="Times New Roman"/>
          <w:b/>
          <w:szCs w:val="24"/>
          <w:lang w:val="sr-Cyrl-CS"/>
        </w:rPr>
        <w:t>свеобухватног информационог система науке еНаука</w:t>
      </w:r>
      <w:r w:rsidRPr="00092ED7">
        <w:rPr>
          <w:rFonts w:cs="Times New Roman"/>
          <w:szCs w:val="24"/>
          <w:lang w:val="sr-Cyrl-CS"/>
        </w:rPr>
        <w:t xml:space="preserve"> започето је у децембру 2021. године. Систем ће омогућити већу видљивост и доступност научних резултата и истраживачке инфраструктуре академској и привредној заједници у националним и међународним оквирима. Дефинисан је кључни оквир за успостављање будућег информационог система, утврђени су модели процедура акредитације научно-истраживачких организација и процедура избора у научна звања, које спроводе надлежн</w:t>
      </w:r>
      <w:r w:rsidR="00EB68B5" w:rsidRPr="00092ED7">
        <w:rPr>
          <w:rFonts w:cs="Times New Roman"/>
          <w:szCs w:val="24"/>
          <w:lang w:val="sr-Cyrl-CS"/>
        </w:rPr>
        <w:t>и</w:t>
      </w:r>
      <w:r w:rsidRPr="00092ED7">
        <w:rPr>
          <w:rFonts w:cs="Times New Roman"/>
          <w:szCs w:val="24"/>
          <w:lang w:val="sr-Cyrl-CS"/>
        </w:rPr>
        <w:t xml:space="preserve"> </w:t>
      </w:r>
      <w:r w:rsidR="00EB68B5" w:rsidRPr="00092ED7">
        <w:rPr>
          <w:rFonts w:cs="Times New Roman"/>
          <w:szCs w:val="24"/>
          <w:lang w:val="sr-Cyrl-CS"/>
        </w:rPr>
        <w:t>органи</w:t>
      </w:r>
      <w:r w:rsidRPr="00092ED7">
        <w:rPr>
          <w:rFonts w:cs="Times New Roman"/>
          <w:szCs w:val="24"/>
          <w:lang w:val="sr-Cyrl-CS"/>
        </w:rPr>
        <w:t>, као и изглед и садржај Регистра научноистраживачких организација и Регистра истраживача. Спроводе се активности прибављања података о одг</w:t>
      </w:r>
      <w:r w:rsidR="00282877" w:rsidRPr="00092ED7">
        <w:rPr>
          <w:rFonts w:cs="Times New Roman"/>
          <w:szCs w:val="24"/>
          <w:lang w:val="sr-Cyrl-CS"/>
        </w:rPr>
        <w:t>о</w:t>
      </w:r>
      <w:r w:rsidRPr="00092ED7">
        <w:rPr>
          <w:rFonts w:cs="Times New Roman"/>
          <w:szCs w:val="24"/>
          <w:lang w:val="sr-Cyrl-CS"/>
        </w:rPr>
        <w:t xml:space="preserve">ворним лицима </w:t>
      </w:r>
      <w:r w:rsidR="00282877" w:rsidRPr="00092ED7">
        <w:rPr>
          <w:rFonts w:cs="Times New Roman"/>
          <w:szCs w:val="24"/>
          <w:lang w:val="sr-Cyrl-CS"/>
        </w:rPr>
        <w:t xml:space="preserve">научно истраживачких организација </w:t>
      </w:r>
      <w:r w:rsidRPr="00092ED7">
        <w:rPr>
          <w:rFonts w:cs="Times New Roman"/>
          <w:szCs w:val="24"/>
          <w:lang w:val="sr-Cyrl-CS"/>
        </w:rPr>
        <w:t>и др. Тим извођача активно ради на унапређењу функционалности.</w:t>
      </w:r>
    </w:p>
    <w:p w14:paraId="7AC5A582" w14:textId="27C0A5AC" w:rsidR="00D210F0" w:rsidRPr="00092ED7" w:rsidRDefault="00D210F0" w:rsidP="00BA1B20">
      <w:pPr>
        <w:spacing w:after="60" w:line="238" w:lineRule="auto"/>
        <w:rPr>
          <w:rFonts w:eastAsia="Times New Roman" w:cs="Times New Roman"/>
          <w:szCs w:val="24"/>
          <w:lang w:val="sr-Cyrl-CS"/>
        </w:rPr>
      </w:pPr>
      <w:r w:rsidRPr="00092ED7">
        <w:rPr>
          <w:rFonts w:eastAsia="Times New Roman" w:cs="Times New Roman"/>
          <w:szCs w:val="24"/>
          <w:lang w:val="sr-Cyrl-CS"/>
        </w:rPr>
        <w:t xml:space="preserve">Унапређењe оквира за пословање стартапа подразумева, између осталих активности, и </w:t>
      </w:r>
      <w:r w:rsidRPr="00092ED7">
        <w:rPr>
          <w:rFonts w:eastAsia="Times New Roman" w:cs="Times New Roman"/>
          <w:b/>
          <w:szCs w:val="24"/>
          <w:lang w:val="sr-Cyrl-CS"/>
        </w:rPr>
        <w:t>успостављање Регистра субјеката националног иновационог система</w:t>
      </w:r>
      <w:r w:rsidRPr="00092ED7">
        <w:rPr>
          <w:rFonts w:eastAsia="Times New Roman" w:cs="Times New Roman"/>
          <w:szCs w:val="24"/>
          <w:lang w:val="sr-Cyrl-CS"/>
        </w:rPr>
        <w:t xml:space="preserve"> који ће водити Фонд за иновациону делатност. Функција овог регистра јесте вођење евиденције субјеката националног иновационог система, као и олакшано финансирање иновационе делатности, спровођење економских подстицајних мера и стимулативних процедура и поступака. </w:t>
      </w:r>
      <w:r w:rsidR="00735583" w:rsidRPr="00092ED7">
        <w:rPr>
          <w:rFonts w:eastAsia="Times New Roman" w:cs="Times New Roman"/>
          <w:szCs w:val="24"/>
          <w:lang w:val="sr-Cyrl-CS"/>
        </w:rPr>
        <w:t xml:space="preserve">Уговорена је израда </w:t>
      </w:r>
      <w:r w:rsidRPr="00092ED7">
        <w:rPr>
          <w:rFonts w:eastAsia="Times New Roman" w:cs="Times New Roman"/>
          <w:szCs w:val="24"/>
          <w:lang w:val="sr-Cyrl-CS"/>
        </w:rPr>
        <w:t xml:space="preserve">софтверског решења за регистар </w:t>
      </w:r>
      <w:r w:rsidR="00735583" w:rsidRPr="00092ED7">
        <w:rPr>
          <w:rFonts w:eastAsia="Times New Roman" w:cs="Times New Roman"/>
          <w:szCs w:val="24"/>
          <w:lang w:val="sr-Cyrl-CS"/>
        </w:rPr>
        <w:t>која се очекује у другој половини 2023. године</w:t>
      </w:r>
      <w:r w:rsidRPr="00092ED7">
        <w:rPr>
          <w:rFonts w:eastAsia="Times New Roman" w:cs="Times New Roman"/>
          <w:szCs w:val="24"/>
          <w:lang w:val="sr-Cyrl-CS"/>
        </w:rPr>
        <w:t>.</w:t>
      </w:r>
      <w:r w:rsidR="006D5549" w:rsidRPr="00092ED7">
        <w:rPr>
          <w:rFonts w:eastAsia="Times New Roman" w:cs="Times New Roman"/>
          <w:szCs w:val="24"/>
          <w:lang w:val="sr-Cyrl-CS"/>
        </w:rPr>
        <w:t xml:space="preserve"> Према подацима Стартап Џинома (eng. </w:t>
      </w:r>
      <w:r w:rsidR="006D5549" w:rsidRPr="00092ED7">
        <w:rPr>
          <w:rFonts w:eastAsia="Times New Roman" w:cs="Times New Roman"/>
          <w:i/>
          <w:szCs w:val="24"/>
          <w:lang w:val="sr-Cyrl-CS"/>
        </w:rPr>
        <w:t>Startup Genome</w:t>
      </w:r>
      <w:r w:rsidR="006D5549" w:rsidRPr="00092ED7">
        <w:rPr>
          <w:rFonts w:eastAsia="Times New Roman" w:cs="Times New Roman"/>
          <w:szCs w:val="24"/>
          <w:lang w:val="sr-Cyrl-CS"/>
        </w:rPr>
        <w:t>) из 2022. године, вредност стартап екосистема у Београду и Новом Саду је процењена на 677 милиона долара. Према запажању Стартап Џинома процењена вредност би могла бити и до три пута виша од наведене.</w:t>
      </w:r>
    </w:p>
    <w:p w14:paraId="0B6B5F52" w14:textId="3DD67CAC" w:rsidR="00D210F0" w:rsidRPr="00092ED7" w:rsidRDefault="00D210F0" w:rsidP="00B640AF">
      <w:pPr>
        <w:rPr>
          <w:rFonts w:cs="Times New Roman"/>
          <w:szCs w:val="24"/>
          <w:lang w:val="sr-Cyrl-CS"/>
        </w:rPr>
      </w:pPr>
      <w:r w:rsidRPr="00092ED7">
        <w:rPr>
          <w:rFonts w:eastAsia="Times New Roman" w:cs="Times New Roman"/>
          <w:b/>
          <w:szCs w:val="24"/>
          <w:lang w:val="sr-Cyrl-CS"/>
        </w:rPr>
        <w:t>Иако је оријентисаност научних истраживања ка привреди релативно ниска,</w:t>
      </w:r>
      <w:r w:rsidRPr="00092ED7">
        <w:rPr>
          <w:rFonts w:eastAsia="Times New Roman" w:cs="Times New Roman"/>
          <w:szCs w:val="24"/>
          <w:lang w:val="sr-Cyrl-CS"/>
        </w:rPr>
        <w:t xml:space="preserve"> сарадња академске заједнице са привредним сектором у Републици Србији одвија се кроз непрекидан дијалог са свим заинтересованим странама и институцијама које имплементирају мере из </w:t>
      </w:r>
      <w:r w:rsidRPr="00092ED7">
        <w:rPr>
          <w:rFonts w:eastAsia="Times New Roman" w:cs="Times New Roman"/>
          <w:i/>
          <w:szCs w:val="24"/>
          <w:lang w:val="sr-Cyrl-CS"/>
        </w:rPr>
        <w:t>Стратегије паметне специјализације у Републици Србији за период од 2020. до 2027. године</w:t>
      </w:r>
      <w:r w:rsidRPr="00092ED7">
        <w:rPr>
          <w:rFonts w:eastAsia="Times New Roman" w:cs="Times New Roman"/>
          <w:szCs w:val="24"/>
          <w:lang w:val="sr-Cyrl-CS"/>
        </w:rPr>
        <w:t xml:space="preserve"> </w:t>
      </w:r>
      <w:r w:rsidR="00282877" w:rsidRPr="00092ED7">
        <w:rPr>
          <w:rFonts w:cs="Times New Roman"/>
          <w:szCs w:val="24"/>
          <w:lang w:val="sr-Cyrl-CS"/>
        </w:rPr>
        <w:t xml:space="preserve">(„Службени гласник РС”, број 21/20), </w:t>
      </w:r>
      <w:r w:rsidRPr="00092ED7">
        <w:rPr>
          <w:rFonts w:eastAsia="Times New Roman" w:cs="Times New Roman"/>
          <w:szCs w:val="24"/>
          <w:lang w:val="sr-Cyrl-CS"/>
        </w:rPr>
        <w:t xml:space="preserve">односно </w:t>
      </w:r>
      <w:r w:rsidRPr="00092ED7">
        <w:rPr>
          <w:rFonts w:eastAsia="Times New Roman" w:cs="Times New Roman"/>
          <w:i/>
          <w:szCs w:val="24"/>
          <w:lang w:val="sr-Cyrl-CS"/>
        </w:rPr>
        <w:t>Акционог плана за период од 2021. до 2022. године</w:t>
      </w:r>
      <w:r w:rsidR="00282877" w:rsidRPr="00092ED7">
        <w:rPr>
          <w:rFonts w:eastAsia="Times New Roman" w:cs="Times New Roman"/>
          <w:i/>
          <w:szCs w:val="24"/>
          <w:lang w:val="sr-Cyrl-CS"/>
        </w:rPr>
        <w:t>,</w:t>
      </w:r>
      <w:r w:rsidRPr="00092ED7">
        <w:rPr>
          <w:rFonts w:eastAsia="Times New Roman" w:cs="Times New Roman"/>
          <w:szCs w:val="24"/>
          <w:lang w:val="sr-Cyrl-CS"/>
        </w:rPr>
        <w:t xml:space="preserve"> за спровођење</w:t>
      </w:r>
      <w:r w:rsidR="00282877" w:rsidRPr="00092ED7">
        <w:rPr>
          <w:rFonts w:eastAsia="Times New Roman" w:cs="Times New Roman"/>
          <w:i/>
          <w:szCs w:val="24"/>
          <w:lang w:val="sr-Cyrl-CS"/>
        </w:rPr>
        <w:t xml:space="preserve"> Стратегије паметне специјализације у Републици Србији за период од 2020. до 2027. године </w:t>
      </w:r>
      <w:r w:rsidR="00282877" w:rsidRPr="00092ED7">
        <w:rPr>
          <w:rFonts w:cs="Times New Roman"/>
          <w:szCs w:val="24"/>
          <w:lang w:val="sr-Cyrl-CS"/>
        </w:rPr>
        <w:t>(„Службени гласник РС”, број 42/2</w:t>
      </w:r>
      <w:r w:rsidR="001E5441" w:rsidRPr="00092ED7">
        <w:rPr>
          <w:rFonts w:cs="Times New Roman"/>
          <w:szCs w:val="24"/>
          <w:lang w:val="sr-Cyrl-CS"/>
        </w:rPr>
        <w:t>1</w:t>
      </w:r>
      <w:r w:rsidR="00282877" w:rsidRPr="00092ED7">
        <w:rPr>
          <w:rFonts w:cs="Times New Roman"/>
          <w:szCs w:val="24"/>
          <w:lang w:val="sr-Cyrl-CS"/>
        </w:rPr>
        <w:t>).</w:t>
      </w:r>
    </w:p>
    <w:p w14:paraId="31348044" w14:textId="77777777" w:rsidR="00D210F0" w:rsidRPr="00092ED7" w:rsidRDefault="00D210F0" w:rsidP="00D210F0">
      <w:pPr>
        <w:widowControl w:val="0"/>
        <w:spacing w:after="60"/>
        <w:rPr>
          <w:rFonts w:eastAsia="Times New Roman" w:cs="Times New Roman"/>
          <w:szCs w:val="24"/>
          <w:lang w:val="sr-Cyrl-CS"/>
        </w:rPr>
      </w:pPr>
      <w:r w:rsidRPr="00092ED7">
        <w:rPr>
          <w:rFonts w:eastAsia="Times New Roman" w:cs="Times New Roman"/>
          <w:b/>
          <w:szCs w:val="24"/>
          <w:lang w:val="sr-Cyrl-CS"/>
        </w:rPr>
        <w:t xml:space="preserve">И даље постоји недостатак људских ресурса у области истраживања и развоја, што ограничава економски раст и иновативност. </w:t>
      </w:r>
      <w:r w:rsidRPr="00092ED7">
        <w:rPr>
          <w:rFonts w:eastAsia="Times New Roman" w:cs="Times New Roman"/>
          <w:szCs w:val="24"/>
          <w:lang w:val="sr-Cyrl-CS"/>
        </w:rPr>
        <w:t>У Републици Србији има 3.510 запослених на пословима истраживања и развоја</w:t>
      </w:r>
      <w:r w:rsidRPr="00092ED7">
        <w:rPr>
          <w:rFonts w:eastAsia="Times New Roman" w:cs="Times New Roman"/>
          <w:szCs w:val="24"/>
          <w:vertAlign w:val="superscript"/>
          <w:lang w:val="sr-Cyrl-CS"/>
        </w:rPr>
        <w:footnoteReference w:id="135"/>
      </w:r>
      <w:r w:rsidRPr="00092ED7">
        <w:rPr>
          <w:rFonts w:eastAsia="Times New Roman" w:cs="Times New Roman"/>
          <w:szCs w:val="24"/>
          <w:lang w:val="sr-Cyrl-CS"/>
        </w:rPr>
        <w:t xml:space="preserve"> на милион становника у 2021. години, док њихово учешће у регистрованој запослености износи 1,05%, што је мање када се пореди са просеком ЕУ-27 од 1,</w:t>
      </w:r>
      <w:r w:rsidR="00943F16" w:rsidRPr="00092ED7">
        <w:rPr>
          <w:rFonts w:eastAsia="Times New Roman" w:cs="Times New Roman"/>
          <w:szCs w:val="24"/>
          <w:lang w:val="sr-Cyrl-CS"/>
        </w:rPr>
        <w:t>62</w:t>
      </w:r>
      <w:r w:rsidRPr="00092ED7">
        <w:rPr>
          <w:rFonts w:eastAsia="Times New Roman" w:cs="Times New Roman"/>
          <w:szCs w:val="24"/>
          <w:lang w:val="sr-Cyrl-CS"/>
        </w:rPr>
        <w:t>%</w:t>
      </w:r>
      <w:r w:rsidRPr="00092ED7">
        <w:rPr>
          <w:rStyle w:val="FootnoteReference"/>
          <w:rFonts w:cs="Times New Roman"/>
          <w:szCs w:val="24"/>
          <w:lang w:val="sr-Cyrl-CS"/>
        </w:rPr>
        <w:footnoteReference w:id="136"/>
      </w:r>
      <w:r w:rsidRPr="00092ED7">
        <w:rPr>
          <w:rFonts w:eastAsia="Times New Roman" w:cs="Times New Roman"/>
          <w:szCs w:val="24"/>
          <w:lang w:val="sr-Cyrl-CS"/>
        </w:rPr>
        <w:t xml:space="preserve"> у </w:t>
      </w:r>
      <w:r w:rsidR="00943F16" w:rsidRPr="00092ED7">
        <w:rPr>
          <w:rFonts w:eastAsia="Times New Roman" w:cs="Times New Roman"/>
          <w:szCs w:val="24"/>
          <w:lang w:val="sr-Cyrl-CS"/>
        </w:rPr>
        <w:t>2021</w:t>
      </w:r>
      <w:r w:rsidRPr="00092ED7">
        <w:rPr>
          <w:rFonts w:eastAsia="Times New Roman" w:cs="Times New Roman"/>
          <w:szCs w:val="24"/>
          <w:lang w:val="sr-Cyrl-CS"/>
        </w:rPr>
        <w:t>. години. Науком се бави 16.962 истраживача (52,3% су жене), што представља учешће од 70,7% у укупном броју запослених на пословима истраживања и развоја. У пословном сектору запослено је само 10,4%</w:t>
      </w:r>
      <w:r w:rsidRPr="00092ED7">
        <w:rPr>
          <w:rStyle w:val="FootnoteReference"/>
          <w:rFonts w:cs="Times New Roman"/>
          <w:szCs w:val="24"/>
          <w:lang w:val="sr-Cyrl-CS"/>
        </w:rPr>
        <w:footnoteReference w:id="137"/>
      </w:r>
      <w:r w:rsidRPr="00092ED7">
        <w:rPr>
          <w:rFonts w:eastAsia="Times New Roman" w:cs="Times New Roman"/>
          <w:szCs w:val="24"/>
          <w:lang w:val="sr-Cyrl-CS"/>
        </w:rPr>
        <w:t xml:space="preserve"> истраживача. Нерегулисана реинтеграција истраживача повратника један је од разлога ниске конкурентности Републике Србије у области науке.</w:t>
      </w:r>
    </w:p>
    <w:p w14:paraId="46298260" w14:textId="77777777" w:rsidR="00E85B43" w:rsidRPr="00092ED7" w:rsidRDefault="00E85B43" w:rsidP="00E85B43">
      <w:pPr>
        <w:widowControl w:val="0"/>
        <w:spacing w:after="60"/>
        <w:rPr>
          <w:rFonts w:eastAsia="Times New Roman" w:cs="Times New Roman"/>
          <w:szCs w:val="24"/>
          <w:lang w:val="sr-Cyrl-CS"/>
        </w:rPr>
      </w:pPr>
    </w:p>
    <w:p w14:paraId="417B7644"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б) Реформе</w:t>
      </w:r>
    </w:p>
    <w:p w14:paraId="3874DCEE" w14:textId="77777777" w:rsidR="00D210F0" w:rsidRPr="00092ED7" w:rsidRDefault="00D210F0" w:rsidP="00D210F0">
      <w:pPr>
        <w:spacing w:before="120"/>
        <w:rPr>
          <w:rFonts w:cs="Times New Roman"/>
          <w:smallCaps/>
          <w:szCs w:val="24"/>
          <w:lang w:val="sr-Cyrl-CS"/>
        </w:rPr>
      </w:pPr>
      <w:r w:rsidRPr="00092ED7">
        <w:rPr>
          <w:rFonts w:cs="Times New Roman"/>
          <w:b/>
          <w:bCs/>
          <w:szCs w:val="24"/>
          <w:u w:val="single"/>
          <w:lang w:val="sr-Cyrl-CS"/>
        </w:rPr>
        <w:t>СТРУКТУРНА РЕФОРМА 16</w:t>
      </w:r>
      <w:r w:rsidRPr="00092ED7">
        <w:rPr>
          <w:rFonts w:cs="Times New Roman"/>
          <w:b/>
          <w:bCs/>
          <w:szCs w:val="24"/>
          <w:lang w:val="sr-Cyrl-CS"/>
        </w:rPr>
        <w:t xml:space="preserve">: </w:t>
      </w:r>
      <w:r w:rsidRPr="00092ED7">
        <w:rPr>
          <w:rFonts w:cs="Times New Roman"/>
          <w:szCs w:val="24"/>
          <w:lang w:val="sr-Cyrl-CS"/>
        </w:rPr>
        <w:t>РАЗВОЈ СТАРТАП ЕКОСИСТЕМА</w:t>
      </w:r>
    </w:p>
    <w:p w14:paraId="764C6236" w14:textId="77777777" w:rsidR="00D210F0" w:rsidRPr="00092ED7" w:rsidRDefault="00D210F0" w:rsidP="00071952">
      <w:pPr>
        <w:widowControl w:val="0"/>
        <w:numPr>
          <w:ilvl w:val="0"/>
          <w:numId w:val="32"/>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6B60A3F5" w14:textId="259B94F5" w:rsidR="00D210F0" w:rsidRPr="00092ED7" w:rsidRDefault="00D210F0" w:rsidP="00B640AF">
      <w:pPr>
        <w:rPr>
          <w:i/>
          <w:iCs/>
          <w:lang w:val="sr-Cyrl-CS"/>
        </w:rPr>
      </w:pPr>
      <w:r w:rsidRPr="00092ED7">
        <w:rPr>
          <w:rFonts w:eastAsia="Times New Roman" w:cs="Times New Roman"/>
          <w:szCs w:val="24"/>
          <w:lang w:val="sr-Cyrl-CS"/>
        </w:rPr>
        <w:t xml:space="preserve">Стартапи, као посебна врста иновативних микро, малих и средњих предузећа са потенцијалом брзог и великог раста, имају вишеструко позитиван утицај, како на економију, тако и на друштво у ком се оснивају и развијају и као такви су творци нових пословних модела 21. века. </w:t>
      </w:r>
      <w:r w:rsidR="004B72CD" w:rsidRPr="00092ED7">
        <w:rPr>
          <w:i/>
          <w:iCs/>
          <w:lang w:val="sr-Cyrl-CS"/>
        </w:rPr>
        <w:t>Стратегија развоја стартап екосистема Републике Србије за период од 2021. до 2025. године</w:t>
      </w:r>
      <w:r w:rsidR="004B72CD" w:rsidRPr="00092ED7">
        <w:rPr>
          <w:lang w:val="sr-Cyrl-CS"/>
        </w:rPr>
        <w:t xml:space="preserve"> („Службени гласник РС</w:t>
      </w:r>
      <w:r w:rsidR="004B72CD" w:rsidRPr="00092ED7">
        <w:rPr>
          <w:szCs w:val="24"/>
          <w:lang w:val="sr-Cyrl-CS"/>
        </w:rPr>
        <w:t xml:space="preserve">”, број 125/21) </w:t>
      </w:r>
      <w:r w:rsidR="004B72CD" w:rsidRPr="00092ED7">
        <w:rPr>
          <w:i/>
          <w:iCs/>
          <w:szCs w:val="24"/>
          <w:lang w:val="sr-Cyrl-CS"/>
        </w:rPr>
        <w:t xml:space="preserve">и Акциони план за период од 31. децембра 2022. године за реализацију Стратегије </w:t>
      </w:r>
      <w:r w:rsidR="004B72CD" w:rsidRPr="00092ED7">
        <w:rPr>
          <w:i/>
          <w:iCs/>
          <w:lang w:val="sr-Cyrl-CS"/>
        </w:rPr>
        <w:t>развоја стартап екосистема Републике Србије за период од 2021. до 2025. године</w:t>
      </w:r>
      <w:r w:rsidR="004B72CD" w:rsidRPr="00092ED7">
        <w:rPr>
          <w:lang w:val="sr-Cyrl-CS"/>
        </w:rPr>
        <w:t xml:space="preserve"> (05 Број: 023-12110/2021-1 од 23. децембра 2021. године)</w:t>
      </w:r>
      <w:r w:rsidRPr="00092ED7">
        <w:rPr>
          <w:rFonts w:eastAsia="Times New Roman" w:cs="Times New Roman"/>
          <w:szCs w:val="24"/>
          <w:lang w:val="sr-Cyrl-CS"/>
        </w:rPr>
        <w:t xml:space="preserve">, уз друге стратегије и </w:t>
      </w:r>
      <w:r w:rsidRPr="00092ED7">
        <w:rPr>
          <w:rFonts w:eastAsia="Times New Roman" w:cs="Times New Roman"/>
          <w:i/>
          <w:szCs w:val="24"/>
          <w:lang w:val="sr-Cyrl-CS"/>
        </w:rPr>
        <w:t>Закон о иновационој делатности</w:t>
      </w:r>
      <w:r w:rsidR="005B484F" w:rsidRPr="00092ED7">
        <w:rPr>
          <w:rFonts w:eastAsia="Times New Roman" w:cs="Times New Roman"/>
          <w:i/>
          <w:szCs w:val="24"/>
          <w:lang w:val="sr-Cyrl-CS"/>
        </w:rPr>
        <w:t xml:space="preserve"> </w:t>
      </w:r>
      <w:r w:rsidR="005B484F" w:rsidRPr="00092ED7">
        <w:rPr>
          <w:rFonts w:cs="Times New Roman"/>
          <w:szCs w:val="24"/>
          <w:lang w:val="sr-Cyrl-CS"/>
        </w:rPr>
        <w:t>(„Службени гласник РС”, број 129/21)</w:t>
      </w:r>
      <w:r w:rsidR="00497A1F" w:rsidRPr="00092ED7">
        <w:rPr>
          <w:rFonts w:cs="Times New Roman"/>
          <w:szCs w:val="24"/>
          <w:lang w:val="sr-Cyrl-CS"/>
        </w:rPr>
        <w:t xml:space="preserve"> </w:t>
      </w:r>
      <w:r w:rsidRPr="00092ED7">
        <w:rPr>
          <w:rFonts w:eastAsia="Times New Roman" w:cs="Times New Roman"/>
          <w:szCs w:val="24"/>
          <w:lang w:val="sr-Cyrl-CS"/>
        </w:rPr>
        <w:t xml:space="preserve">доводе до унапређења оквира за пословање стартапа. Фонд за иновациону делатност више од </w:t>
      </w:r>
      <w:r w:rsidR="00497A1F" w:rsidRPr="00092ED7">
        <w:rPr>
          <w:rFonts w:eastAsia="Times New Roman" w:cs="Times New Roman"/>
          <w:szCs w:val="24"/>
          <w:lang w:val="sr-Cyrl-CS"/>
        </w:rPr>
        <w:t xml:space="preserve">десет </w:t>
      </w:r>
      <w:r w:rsidRPr="00092ED7">
        <w:rPr>
          <w:rFonts w:eastAsia="Times New Roman" w:cs="Times New Roman"/>
          <w:szCs w:val="24"/>
          <w:lang w:val="sr-Cyrl-CS"/>
        </w:rPr>
        <w:t>година успешно пружа подршку развоју привредног сектора кроз различите програме.</w:t>
      </w:r>
    </w:p>
    <w:p w14:paraId="757ECF08" w14:textId="449DF0D9" w:rsidR="00BA1B20" w:rsidRDefault="00D210F0" w:rsidP="00D210F0">
      <w:pPr>
        <w:widowControl w:val="0"/>
        <w:spacing w:after="60"/>
        <w:rPr>
          <w:rFonts w:cs="Times New Roman"/>
          <w:szCs w:val="24"/>
          <w:lang w:val="sr-Cyrl-CS"/>
        </w:rPr>
      </w:pPr>
      <w:r w:rsidRPr="00092ED7">
        <w:rPr>
          <w:rFonts w:eastAsia="Times New Roman" w:cs="Times New Roman"/>
          <w:szCs w:val="24"/>
          <w:lang w:val="sr-Cyrl-CS"/>
        </w:rPr>
        <w:t xml:space="preserve">Током претходног периода успешно је спроведен позив </w:t>
      </w:r>
      <w:r w:rsidR="001028F8" w:rsidRPr="00092ED7">
        <w:rPr>
          <w:rFonts w:eastAsia="Times New Roman" w:cs="Times New Roman"/>
          <w:szCs w:val="24"/>
          <w:lang w:val="sr-Cyrl-CS"/>
        </w:rPr>
        <w:t xml:space="preserve">Фонда за иновациону делатност </w:t>
      </w:r>
      <w:r w:rsidRPr="00092ED7">
        <w:rPr>
          <w:rFonts w:eastAsia="Times New Roman" w:cs="Times New Roman"/>
          <w:szCs w:val="24"/>
          <w:lang w:val="sr-Cyrl-CS"/>
        </w:rPr>
        <w:t>за суфинансирање фондова предузетничког капитала и инвестиција „пословних анђела</w:t>
      </w:r>
      <w:r w:rsidR="00086E58" w:rsidRPr="00092ED7">
        <w:rPr>
          <w:rFonts w:cs="Times New Roman"/>
          <w:szCs w:val="24"/>
          <w:lang w:val="sr-Cyrl-CS"/>
        </w:rPr>
        <w:t>”</w:t>
      </w:r>
      <w:r w:rsidRPr="00092ED7">
        <w:rPr>
          <w:rFonts w:eastAsia="Times New Roman" w:cs="Times New Roman"/>
          <w:szCs w:val="24"/>
          <w:lang w:val="sr-Cyrl-CS"/>
        </w:rPr>
        <w:t xml:space="preserve">, и одабрана су два тима која ће бити подржана. </w:t>
      </w:r>
      <w:r w:rsidR="00534DDE" w:rsidRPr="00092ED7">
        <w:rPr>
          <w:rFonts w:eastAsia="Times New Roman" w:cs="Times New Roman"/>
          <w:szCs w:val="24"/>
          <w:lang w:val="sr-Cyrl-CS"/>
        </w:rPr>
        <w:t xml:space="preserve">Уговорена је израда </w:t>
      </w:r>
      <w:r w:rsidRPr="00092ED7">
        <w:rPr>
          <w:rFonts w:eastAsia="Times New Roman" w:cs="Times New Roman"/>
          <w:szCs w:val="24"/>
          <w:lang w:val="sr-Cyrl-CS"/>
        </w:rPr>
        <w:t>софтверског решења и припремљен</w:t>
      </w:r>
      <w:r w:rsidR="004E365A" w:rsidRPr="00092ED7">
        <w:rPr>
          <w:rFonts w:eastAsia="Times New Roman" w:cs="Times New Roman"/>
          <w:szCs w:val="24"/>
          <w:lang w:val="sr-Cyrl-CS"/>
        </w:rPr>
        <w:t xml:space="preserve"> је </w:t>
      </w:r>
      <w:r w:rsidRPr="00092ED7">
        <w:rPr>
          <w:rFonts w:eastAsia="Times New Roman" w:cs="Times New Roman"/>
          <w:szCs w:val="24"/>
          <w:lang w:val="sr-Cyrl-CS"/>
        </w:rPr>
        <w:t xml:space="preserve">оквир за успостављање Регистра субјеката националног иновационог система. Урађена је компаративна анализа како би се нашло право решење за екосистем у </w:t>
      </w:r>
      <w:r w:rsidR="00564BDA" w:rsidRPr="00092ED7">
        <w:rPr>
          <w:rFonts w:eastAsia="Times New Roman" w:cs="Times New Roman"/>
          <w:szCs w:val="24"/>
          <w:lang w:val="sr-Cyrl-CS"/>
        </w:rPr>
        <w:t xml:space="preserve">Републици </w:t>
      </w:r>
      <w:r w:rsidRPr="00092ED7">
        <w:rPr>
          <w:rFonts w:eastAsia="Times New Roman" w:cs="Times New Roman"/>
          <w:szCs w:val="24"/>
          <w:lang w:val="sr-Cyrl-CS"/>
        </w:rPr>
        <w:t xml:space="preserve">Србији и направљена је подлога на основу које ће се ући у имплементацију GovTech програма. </w:t>
      </w:r>
      <w:r w:rsidR="00995A1B" w:rsidRPr="00092ED7">
        <w:rPr>
          <w:rFonts w:eastAsia="Times New Roman" w:cs="Times New Roman"/>
          <w:szCs w:val="24"/>
          <w:lang w:val="sr-Cyrl-CS"/>
        </w:rPr>
        <w:t xml:space="preserve">Сачињени </w:t>
      </w:r>
      <w:r w:rsidRPr="00092ED7">
        <w:rPr>
          <w:rFonts w:eastAsia="Times New Roman" w:cs="Times New Roman"/>
          <w:szCs w:val="24"/>
          <w:lang w:val="sr-Cyrl-CS"/>
        </w:rPr>
        <w:t xml:space="preserve">су и планови и програм обука за државне службенике које треба да буду спроведене током </w:t>
      </w:r>
      <w:r w:rsidR="00995A1B" w:rsidRPr="00092ED7">
        <w:rPr>
          <w:rFonts w:eastAsia="Times New Roman" w:cs="Times New Roman"/>
          <w:szCs w:val="24"/>
          <w:lang w:val="sr-Cyrl-CS"/>
        </w:rPr>
        <w:t xml:space="preserve">2023. </w:t>
      </w:r>
      <w:r w:rsidRPr="00092ED7">
        <w:rPr>
          <w:rFonts w:eastAsia="Times New Roman" w:cs="Times New Roman"/>
          <w:szCs w:val="24"/>
          <w:lang w:val="sr-Cyrl-CS"/>
        </w:rPr>
        <w:t>године.</w:t>
      </w:r>
      <w:r w:rsidRPr="00092ED7">
        <w:rPr>
          <w:rFonts w:cs="Times New Roman"/>
          <w:szCs w:val="24"/>
          <w:lang w:val="sr-Cyrl-CS"/>
        </w:rPr>
        <w:t xml:space="preserve"> </w:t>
      </w:r>
    </w:p>
    <w:p w14:paraId="7A2D982F" w14:textId="77777777" w:rsidR="00BA1B20" w:rsidRDefault="00BA1B20">
      <w:pPr>
        <w:spacing w:after="160" w:line="259" w:lineRule="auto"/>
        <w:jc w:val="left"/>
        <w:rPr>
          <w:rFonts w:cs="Times New Roman"/>
          <w:szCs w:val="24"/>
          <w:lang w:val="sr-Cyrl-CS"/>
        </w:rPr>
      </w:pPr>
      <w:r>
        <w:rPr>
          <w:rFonts w:cs="Times New Roman"/>
          <w:szCs w:val="24"/>
          <w:lang w:val="sr-Cyrl-CS"/>
        </w:rPr>
        <w:br w:type="page"/>
      </w:r>
    </w:p>
    <w:p w14:paraId="1CD96ECD" w14:textId="77777777" w:rsidR="00D210F0" w:rsidRPr="00092ED7" w:rsidRDefault="00D210F0" w:rsidP="00071952">
      <w:pPr>
        <w:widowControl w:val="0"/>
        <w:numPr>
          <w:ilvl w:val="0"/>
          <w:numId w:val="32"/>
        </w:numPr>
        <w:spacing w:before="120"/>
        <w:ind w:left="425" w:hanging="425"/>
        <w:rPr>
          <w:rFonts w:cs="Times New Roman"/>
          <w:b/>
          <w:smallCaps/>
          <w:lang w:val="sr-Cyrl-CS"/>
        </w:rPr>
      </w:pPr>
      <w:r w:rsidRPr="00092ED7">
        <w:rPr>
          <w:rFonts w:cs="Times New Roman"/>
          <w:b/>
          <w:bCs/>
          <w:szCs w:val="24"/>
          <w:lang w:val="sr-Cyrl-CS"/>
        </w:rPr>
        <w:t>Планиране активности по годинама</w:t>
      </w:r>
    </w:p>
    <w:tbl>
      <w:tblPr>
        <w:tblW w:w="9096" w:type="dxa"/>
        <w:tblLayout w:type="fixed"/>
        <w:tblCellMar>
          <w:left w:w="0" w:type="dxa"/>
          <w:right w:w="0" w:type="dxa"/>
        </w:tblCellMar>
        <w:tblLook w:val="04A0" w:firstRow="1" w:lastRow="0" w:firstColumn="1" w:lastColumn="0" w:noHBand="0" w:noVBand="1"/>
      </w:tblPr>
      <w:tblGrid>
        <w:gridCol w:w="421"/>
        <w:gridCol w:w="4247"/>
        <w:gridCol w:w="369"/>
        <w:gridCol w:w="370"/>
        <w:gridCol w:w="368"/>
        <w:gridCol w:w="370"/>
        <w:gridCol w:w="368"/>
        <w:gridCol w:w="369"/>
        <w:gridCol w:w="369"/>
        <w:gridCol w:w="369"/>
        <w:gridCol w:w="369"/>
        <w:gridCol w:w="368"/>
        <w:gridCol w:w="369"/>
        <w:gridCol w:w="370"/>
      </w:tblGrid>
      <w:tr w:rsidR="00D210F0" w:rsidRPr="00092ED7" w14:paraId="0A5E15CF" w14:textId="77777777" w:rsidTr="00B57FE8">
        <w:trPr>
          <w:trHeight w:val="321"/>
        </w:trPr>
        <w:tc>
          <w:tcPr>
            <w:tcW w:w="421" w:type="dxa"/>
            <w:vMerge w:val="restart"/>
            <w:tcBorders>
              <w:top w:val="single" w:sz="8" w:space="0" w:color="auto"/>
              <w:left w:val="single" w:sz="8" w:space="0" w:color="auto"/>
              <w:bottom w:val="single" w:sz="8" w:space="0" w:color="000000"/>
              <w:right w:val="nil"/>
            </w:tcBorders>
            <w:shd w:val="clear" w:color="auto" w:fill="BDD6EE"/>
            <w:tcMar>
              <w:top w:w="15" w:type="dxa"/>
              <w:left w:w="15" w:type="dxa"/>
              <w:bottom w:w="0" w:type="dxa"/>
              <w:right w:w="15" w:type="dxa"/>
            </w:tcMar>
            <w:vAlign w:val="center"/>
            <w:hideMark/>
          </w:tcPr>
          <w:p w14:paraId="5C7C82EA" w14:textId="77777777" w:rsidR="00D210F0" w:rsidRPr="00092ED7" w:rsidRDefault="00D210F0" w:rsidP="00D210F0">
            <w:pPr>
              <w:spacing w:after="0"/>
              <w:rPr>
                <w:rFonts w:cs="Times New Roman"/>
                <w:sz w:val="20"/>
                <w:szCs w:val="20"/>
                <w:lang w:val="sr-Cyrl-CS"/>
              </w:rPr>
            </w:pPr>
            <w:r w:rsidRPr="00092ED7">
              <w:rPr>
                <w:rFonts w:cs="Times New Roman"/>
                <w:b/>
                <w:bCs/>
                <w:color w:val="000000"/>
                <w:sz w:val="20"/>
                <w:szCs w:val="20"/>
                <w:lang w:val="sr-Cyrl-CS"/>
              </w:rPr>
              <w:t>РБ</w:t>
            </w:r>
          </w:p>
        </w:tc>
        <w:tc>
          <w:tcPr>
            <w:tcW w:w="4247"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2FB7400C" w14:textId="77777777" w:rsidR="00D210F0" w:rsidRPr="00092ED7" w:rsidRDefault="00D210F0" w:rsidP="00D210F0">
            <w:pPr>
              <w:spacing w:after="0"/>
              <w:rPr>
                <w:rFonts w:cs="Times New Roman"/>
                <w:sz w:val="20"/>
                <w:szCs w:val="20"/>
                <w:lang w:val="sr-Cyrl-CS"/>
              </w:rPr>
            </w:pPr>
            <w:r w:rsidRPr="00092ED7">
              <w:rPr>
                <w:rFonts w:cs="Times New Roman"/>
                <w:b/>
                <w:bCs/>
                <w:color w:val="000000"/>
                <w:sz w:val="20"/>
                <w:szCs w:val="20"/>
                <w:lang w:val="sr-Cyrl-CS"/>
              </w:rPr>
              <w:t>Планиране активности</w:t>
            </w:r>
          </w:p>
        </w:tc>
        <w:tc>
          <w:tcPr>
            <w:tcW w:w="1477"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2420DB90"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75"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1B93D691"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76"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119B3572"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65A53BB4" w14:textId="77777777" w:rsidTr="00B57FE8">
        <w:trPr>
          <w:trHeight w:val="321"/>
        </w:trPr>
        <w:tc>
          <w:tcPr>
            <w:tcW w:w="421" w:type="dxa"/>
            <w:vMerge/>
            <w:tcBorders>
              <w:top w:val="single" w:sz="8" w:space="0" w:color="auto"/>
              <w:left w:val="single" w:sz="8" w:space="0" w:color="auto"/>
              <w:bottom w:val="single" w:sz="8" w:space="0" w:color="000000"/>
              <w:right w:val="nil"/>
            </w:tcBorders>
            <w:vAlign w:val="center"/>
            <w:hideMark/>
          </w:tcPr>
          <w:p w14:paraId="56774CF0" w14:textId="77777777" w:rsidR="00D210F0" w:rsidRPr="00092ED7" w:rsidRDefault="00D210F0" w:rsidP="00D210F0">
            <w:pPr>
              <w:spacing w:after="0"/>
              <w:rPr>
                <w:rFonts w:cs="Times New Roman"/>
                <w:sz w:val="20"/>
                <w:szCs w:val="20"/>
                <w:lang w:val="sr-Cyrl-CS" w:eastAsia="sr-Cyrl-CS" w:bidi="sr-Cyrl-CS"/>
              </w:rPr>
            </w:pPr>
          </w:p>
        </w:tc>
        <w:tc>
          <w:tcPr>
            <w:tcW w:w="4247"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39CF6981" w14:textId="77777777" w:rsidR="00D210F0" w:rsidRPr="00092ED7" w:rsidRDefault="00D210F0" w:rsidP="00D210F0">
            <w:pPr>
              <w:spacing w:after="0"/>
              <w:rPr>
                <w:rFonts w:cs="Times New Roman"/>
                <w:sz w:val="20"/>
                <w:szCs w:val="20"/>
                <w:lang w:val="sr-Cyrl-CS" w:eastAsia="sr-Cyrl-CS" w:bidi="sr-Cyrl-CS"/>
              </w:rPr>
            </w:pPr>
          </w:p>
        </w:tc>
        <w:tc>
          <w:tcPr>
            <w:tcW w:w="369"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50F5D4B"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0"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97AE183"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A2A1B3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0"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C62981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D70BFE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9"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97E16AB"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9"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538889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9"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14DD0D68"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69"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F580EB1"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0389A2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9"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67FB68B"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0"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C8AD8A0"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r>
      <w:tr w:rsidR="00D210F0" w:rsidRPr="00092ED7" w14:paraId="38BE46DE" w14:textId="77777777" w:rsidTr="00B57FE8">
        <w:trPr>
          <w:trHeight w:val="526"/>
        </w:trPr>
        <w:tc>
          <w:tcPr>
            <w:tcW w:w="421"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0EF05078"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1.</w:t>
            </w:r>
          </w:p>
        </w:tc>
        <w:tc>
          <w:tcPr>
            <w:tcW w:w="4247"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344BCA89"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Успостављање Регистра субјеката националног иновационог система</w:t>
            </w:r>
          </w:p>
        </w:tc>
        <w:tc>
          <w:tcPr>
            <w:tcW w:w="369"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AA5B36C"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1E12548"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55FF5F9"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D6C41D9"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1D270D5B"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E3828A2"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B7BC11E"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5AC75E3"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4336513"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2B95B0C"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BE6D0B2"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0E127BC" w14:textId="77777777" w:rsidR="00D210F0" w:rsidRPr="00092ED7" w:rsidRDefault="00D210F0" w:rsidP="00D210F0">
            <w:pPr>
              <w:spacing w:after="0"/>
              <w:rPr>
                <w:rFonts w:cs="Times New Roman"/>
                <w:color w:val="000000"/>
                <w:sz w:val="18"/>
                <w:szCs w:val="18"/>
                <w:lang w:val="sr-Cyrl-CS"/>
              </w:rPr>
            </w:pPr>
          </w:p>
        </w:tc>
      </w:tr>
      <w:tr w:rsidR="00D210F0" w:rsidRPr="00092ED7" w14:paraId="67E4BB8F" w14:textId="77777777" w:rsidTr="00B57FE8">
        <w:trPr>
          <w:trHeight w:val="306"/>
        </w:trPr>
        <w:tc>
          <w:tcPr>
            <w:tcW w:w="421" w:type="dxa"/>
            <w:tcBorders>
              <w:top w:val="nil"/>
              <w:left w:val="single" w:sz="8" w:space="0" w:color="auto"/>
              <w:bottom w:val="single" w:sz="4" w:space="0" w:color="auto"/>
              <w:right w:val="nil"/>
            </w:tcBorders>
            <w:tcMar>
              <w:top w:w="15" w:type="dxa"/>
              <w:left w:w="15" w:type="dxa"/>
              <w:bottom w:w="0" w:type="dxa"/>
              <w:right w:w="15" w:type="dxa"/>
            </w:tcMar>
            <w:hideMark/>
          </w:tcPr>
          <w:p w14:paraId="76B177E1"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2.</w:t>
            </w:r>
          </w:p>
        </w:tc>
        <w:tc>
          <w:tcPr>
            <w:tcW w:w="4247" w:type="dxa"/>
            <w:tcBorders>
              <w:top w:val="nil"/>
              <w:left w:val="single" w:sz="8" w:space="0" w:color="auto"/>
              <w:bottom w:val="single" w:sz="4" w:space="0" w:color="auto"/>
              <w:right w:val="single" w:sz="4" w:space="0" w:color="auto"/>
            </w:tcBorders>
            <w:tcMar>
              <w:top w:w="15" w:type="dxa"/>
              <w:left w:w="15" w:type="dxa"/>
              <w:bottom w:w="0" w:type="dxa"/>
              <w:right w:w="15" w:type="dxa"/>
            </w:tcMar>
            <w:hideMark/>
          </w:tcPr>
          <w:p w14:paraId="1150ECA6"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Припрема и реализација обука за рад са стартапима за државне службенике</w:t>
            </w:r>
          </w:p>
        </w:tc>
        <w:tc>
          <w:tcPr>
            <w:tcW w:w="369"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8936429"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9765A26"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C6D5B2A"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8" w:space="0" w:color="auto"/>
            </w:tcBorders>
            <w:tcMar>
              <w:top w:w="15" w:type="dxa"/>
              <w:left w:w="15" w:type="dxa"/>
              <w:bottom w:w="0" w:type="dxa"/>
              <w:right w:w="15" w:type="dxa"/>
            </w:tcMar>
          </w:tcPr>
          <w:p w14:paraId="1A4F41BD"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tcMar>
              <w:top w:w="15" w:type="dxa"/>
              <w:left w:w="15" w:type="dxa"/>
              <w:bottom w:w="0" w:type="dxa"/>
              <w:right w:w="15" w:type="dxa"/>
            </w:tcMar>
          </w:tcPr>
          <w:p w14:paraId="6D999D37"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tcMar>
              <w:top w:w="15" w:type="dxa"/>
              <w:left w:w="15" w:type="dxa"/>
              <w:bottom w:w="0" w:type="dxa"/>
              <w:right w:w="15" w:type="dxa"/>
            </w:tcMar>
          </w:tcPr>
          <w:p w14:paraId="3931319B"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tcMar>
              <w:top w:w="15" w:type="dxa"/>
              <w:left w:w="15" w:type="dxa"/>
              <w:bottom w:w="0" w:type="dxa"/>
              <w:right w:w="15" w:type="dxa"/>
            </w:tcMar>
          </w:tcPr>
          <w:p w14:paraId="2F48CD11"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8" w:space="0" w:color="auto"/>
            </w:tcBorders>
            <w:tcMar>
              <w:top w:w="15" w:type="dxa"/>
              <w:left w:w="15" w:type="dxa"/>
              <w:bottom w:w="0" w:type="dxa"/>
              <w:right w:w="15" w:type="dxa"/>
            </w:tcMar>
          </w:tcPr>
          <w:p w14:paraId="16EFE324"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tcMar>
              <w:top w:w="15" w:type="dxa"/>
              <w:left w:w="15" w:type="dxa"/>
              <w:bottom w:w="0" w:type="dxa"/>
              <w:right w:w="15" w:type="dxa"/>
            </w:tcMar>
          </w:tcPr>
          <w:p w14:paraId="0BE98704"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tcMar>
              <w:top w:w="15" w:type="dxa"/>
              <w:left w:w="15" w:type="dxa"/>
              <w:bottom w:w="0" w:type="dxa"/>
              <w:right w:w="15" w:type="dxa"/>
            </w:tcMar>
          </w:tcPr>
          <w:p w14:paraId="18ED5B01"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tcMar>
              <w:top w:w="15" w:type="dxa"/>
              <w:left w:w="15" w:type="dxa"/>
              <w:bottom w:w="0" w:type="dxa"/>
              <w:right w:w="15" w:type="dxa"/>
            </w:tcMar>
          </w:tcPr>
          <w:p w14:paraId="64C8F1D4"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8" w:space="0" w:color="auto"/>
            </w:tcBorders>
            <w:tcMar>
              <w:top w:w="15" w:type="dxa"/>
              <w:left w:w="15" w:type="dxa"/>
              <w:bottom w:w="0" w:type="dxa"/>
              <w:right w:w="15" w:type="dxa"/>
            </w:tcMar>
          </w:tcPr>
          <w:p w14:paraId="0BF24243" w14:textId="77777777" w:rsidR="00D210F0" w:rsidRPr="00092ED7" w:rsidRDefault="00D210F0" w:rsidP="00D210F0">
            <w:pPr>
              <w:spacing w:after="0"/>
              <w:rPr>
                <w:rFonts w:cs="Times New Roman"/>
                <w:color w:val="000000"/>
                <w:sz w:val="18"/>
                <w:szCs w:val="18"/>
                <w:lang w:val="sr-Cyrl-CS"/>
              </w:rPr>
            </w:pPr>
          </w:p>
        </w:tc>
      </w:tr>
      <w:tr w:rsidR="00EF67D6" w:rsidRPr="00092ED7" w14:paraId="215AEF91" w14:textId="77777777" w:rsidTr="006D5549">
        <w:trPr>
          <w:trHeight w:val="306"/>
        </w:trPr>
        <w:tc>
          <w:tcPr>
            <w:tcW w:w="421" w:type="dxa"/>
            <w:tcBorders>
              <w:top w:val="nil"/>
              <w:left w:val="single" w:sz="8" w:space="0" w:color="auto"/>
              <w:bottom w:val="single" w:sz="4" w:space="0" w:color="auto"/>
              <w:right w:val="single" w:sz="8" w:space="0" w:color="auto"/>
            </w:tcBorders>
            <w:tcMar>
              <w:top w:w="15" w:type="dxa"/>
              <w:left w:w="15" w:type="dxa"/>
              <w:bottom w:w="0" w:type="dxa"/>
              <w:right w:w="15" w:type="dxa"/>
            </w:tcMar>
            <w:hideMark/>
          </w:tcPr>
          <w:p w14:paraId="4CFC5822"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3.</w:t>
            </w:r>
          </w:p>
        </w:tc>
        <w:tc>
          <w:tcPr>
            <w:tcW w:w="4247" w:type="dxa"/>
            <w:tcBorders>
              <w:top w:val="nil"/>
              <w:left w:val="nil"/>
              <w:bottom w:val="single" w:sz="4" w:space="0" w:color="auto"/>
              <w:right w:val="nil"/>
            </w:tcBorders>
            <w:tcMar>
              <w:top w:w="15" w:type="dxa"/>
              <w:left w:w="15" w:type="dxa"/>
              <w:bottom w:w="0" w:type="dxa"/>
              <w:right w:w="15" w:type="dxa"/>
            </w:tcMar>
            <w:hideMark/>
          </w:tcPr>
          <w:p w14:paraId="07CDDB82"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Имплементација GovTech програма</w:t>
            </w:r>
          </w:p>
        </w:tc>
        <w:tc>
          <w:tcPr>
            <w:tcW w:w="369"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F6AC4D1"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0D87C7"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81EAEE4"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C283340"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D42F098"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C14E8F6"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939F505"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F797784"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1EACD5B"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7D5040F"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20991C8"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42A99CB" w14:textId="77777777" w:rsidR="00D210F0" w:rsidRPr="00092ED7" w:rsidRDefault="00D210F0" w:rsidP="00D210F0">
            <w:pPr>
              <w:spacing w:after="0"/>
              <w:rPr>
                <w:rFonts w:cs="Times New Roman"/>
                <w:color w:val="000000"/>
                <w:sz w:val="18"/>
                <w:szCs w:val="18"/>
                <w:lang w:val="sr-Cyrl-CS"/>
              </w:rPr>
            </w:pPr>
          </w:p>
        </w:tc>
      </w:tr>
      <w:tr w:rsidR="00EF67D6" w:rsidRPr="00092ED7" w14:paraId="550DC766" w14:textId="77777777" w:rsidTr="006D5549">
        <w:trPr>
          <w:trHeight w:val="306"/>
        </w:trPr>
        <w:tc>
          <w:tcPr>
            <w:tcW w:w="421"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hideMark/>
          </w:tcPr>
          <w:p w14:paraId="38A55A07"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4.</w:t>
            </w:r>
          </w:p>
        </w:tc>
        <w:tc>
          <w:tcPr>
            <w:tcW w:w="4247" w:type="dxa"/>
            <w:tcBorders>
              <w:top w:val="single" w:sz="4" w:space="0" w:color="auto"/>
              <w:left w:val="nil"/>
              <w:bottom w:val="single" w:sz="4" w:space="0" w:color="auto"/>
              <w:right w:val="single" w:sz="8" w:space="0" w:color="auto"/>
            </w:tcBorders>
            <w:noWrap/>
            <w:tcMar>
              <w:top w:w="15" w:type="dxa"/>
              <w:left w:w="15" w:type="dxa"/>
              <w:bottom w:w="0" w:type="dxa"/>
              <w:right w:w="15" w:type="dxa"/>
            </w:tcMar>
            <w:hideMark/>
          </w:tcPr>
          <w:p w14:paraId="3A7B9BE7" w14:textId="77777777" w:rsidR="00D210F0" w:rsidRPr="00092ED7" w:rsidRDefault="00D210F0" w:rsidP="00D210F0">
            <w:pPr>
              <w:spacing w:after="0"/>
              <w:ind w:right="222"/>
              <w:rPr>
                <w:rFonts w:cs="Times New Roman"/>
                <w:sz w:val="20"/>
                <w:szCs w:val="20"/>
                <w:lang w:val="sr-Cyrl-CS"/>
              </w:rPr>
            </w:pPr>
            <w:r w:rsidRPr="00092ED7">
              <w:rPr>
                <w:rFonts w:cs="Times New Roman"/>
                <w:color w:val="000000"/>
                <w:sz w:val="20"/>
                <w:szCs w:val="20"/>
                <w:lang w:val="sr-Cyrl-CS"/>
              </w:rPr>
              <w:t xml:space="preserve">Повезивање </w:t>
            </w:r>
            <w:r w:rsidR="0011557F" w:rsidRPr="00092ED7">
              <w:rPr>
                <w:rFonts w:cs="Times New Roman"/>
                <w:color w:val="000000"/>
                <w:sz w:val="20"/>
                <w:szCs w:val="20"/>
                <w:lang w:val="sr-Cyrl-CS"/>
              </w:rPr>
              <w:t xml:space="preserve">домаћих </w:t>
            </w:r>
            <w:r w:rsidRPr="00092ED7">
              <w:rPr>
                <w:rFonts w:cs="Times New Roman"/>
                <w:color w:val="000000"/>
                <w:sz w:val="20"/>
                <w:szCs w:val="20"/>
                <w:lang w:val="sr-Cyrl-CS"/>
              </w:rPr>
              <w:t>актера стартап екосистема са међународним, са посебним фокусом на менторе и инвеститоре</w:t>
            </w: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318D332"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A6AFCAE"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56C7F0B"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E52AF0D"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5124856"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96DD114"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4FAAAD4"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F787A8E"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C027705"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59CE80F"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F7F8135"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98CAE76" w14:textId="77777777" w:rsidR="00D210F0" w:rsidRPr="00092ED7" w:rsidRDefault="00D210F0" w:rsidP="00D210F0">
            <w:pPr>
              <w:spacing w:after="0"/>
              <w:rPr>
                <w:rFonts w:cs="Times New Roman"/>
                <w:color w:val="000000"/>
                <w:sz w:val="18"/>
                <w:szCs w:val="18"/>
                <w:lang w:val="sr-Cyrl-CS"/>
              </w:rPr>
            </w:pPr>
          </w:p>
        </w:tc>
      </w:tr>
      <w:tr w:rsidR="00D210F0" w:rsidRPr="00092ED7" w14:paraId="2D90F825" w14:textId="77777777" w:rsidTr="00943F16">
        <w:trPr>
          <w:trHeight w:val="306"/>
        </w:trPr>
        <w:tc>
          <w:tcPr>
            <w:tcW w:w="421" w:type="dxa"/>
            <w:tcBorders>
              <w:top w:val="nil"/>
              <w:left w:val="single" w:sz="8" w:space="0" w:color="auto"/>
              <w:bottom w:val="single" w:sz="4" w:space="0" w:color="auto"/>
              <w:right w:val="nil"/>
            </w:tcBorders>
            <w:tcMar>
              <w:top w:w="15" w:type="dxa"/>
              <w:left w:w="15" w:type="dxa"/>
              <w:bottom w:w="0" w:type="dxa"/>
              <w:right w:w="15" w:type="dxa"/>
            </w:tcMar>
            <w:hideMark/>
          </w:tcPr>
          <w:p w14:paraId="0CA7686D"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5.</w:t>
            </w:r>
          </w:p>
        </w:tc>
        <w:tc>
          <w:tcPr>
            <w:tcW w:w="4247" w:type="dxa"/>
            <w:tcBorders>
              <w:top w:val="nil"/>
              <w:left w:val="single" w:sz="8" w:space="0" w:color="auto"/>
              <w:bottom w:val="single" w:sz="4" w:space="0" w:color="auto"/>
              <w:right w:val="nil"/>
            </w:tcBorders>
            <w:tcMar>
              <w:top w:w="15" w:type="dxa"/>
              <w:left w:w="15" w:type="dxa"/>
              <w:bottom w:w="0" w:type="dxa"/>
              <w:right w:w="15" w:type="dxa"/>
            </w:tcMar>
            <w:hideMark/>
          </w:tcPr>
          <w:p w14:paraId="0D5DE54F" w14:textId="77777777" w:rsidR="00D210F0" w:rsidRPr="00092ED7" w:rsidRDefault="00D210F0" w:rsidP="00D210F0">
            <w:pPr>
              <w:spacing w:after="0"/>
              <w:ind w:right="222"/>
              <w:rPr>
                <w:rFonts w:cs="Times New Roman"/>
                <w:sz w:val="20"/>
                <w:szCs w:val="20"/>
                <w:lang w:val="sr-Cyrl-CS"/>
              </w:rPr>
            </w:pPr>
            <w:r w:rsidRPr="00092ED7">
              <w:rPr>
                <w:rFonts w:cs="Times New Roman"/>
                <w:color w:val="000000"/>
                <w:sz w:val="20"/>
                <w:szCs w:val="20"/>
                <w:lang w:val="sr-Cyrl-CS"/>
              </w:rPr>
              <w:t>Оснаживање стартапова за привлачење инвестиција кроз укључивање у програм акцелерације Фонда за иновациону делатност (SAIGE</w:t>
            </w:r>
            <w:r w:rsidR="00C53E50" w:rsidRPr="00092ED7">
              <w:rPr>
                <w:rFonts w:cs="Times New Roman"/>
                <w:color w:val="000000"/>
                <w:sz w:val="20"/>
                <w:szCs w:val="20"/>
                <w:lang w:val="sr-Cyrl-CS"/>
              </w:rPr>
              <w:t xml:space="preserve"> пројекат</w:t>
            </w:r>
            <w:r w:rsidRPr="00092ED7">
              <w:rPr>
                <w:rFonts w:cs="Times New Roman"/>
                <w:color w:val="000000"/>
                <w:sz w:val="20"/>
                <w:szCs w:val="20"/>
                <w:lang w:val="sr-Cyrl-CS"/>
              </w:rPr>
              <w:t>)</w:t>
            </w:r>
          </w:p>
        </w:tc>
        <w:tc>
          <w:tcPr>
            <w:tcW w:w="369"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632B4A7"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2496A45"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57EBFB9"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A8DC9D7"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C850855"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69D8CCE"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52F9247"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D0B86A9"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tcMar>
              <w:top w:w="15" w:type="dxa"/>
              <w:left w:w="15" w:type="dxa"/>
              <w:bottom w:w="0" w:type="dxa"/>
              <w:right w:w="15" w:type="dxa"/>
            </w:tcMar>
          </w:tcPr>
          <w:p w14:paraId="2E39C535"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tcMar>
              <w:top w:w="15" w:type="dxa"/>
              <w:left w:w="15" w:type="dxa"/>
              <w:bottom w:w="0" w:type="dxa"/>
              <w:right w:w="15" w:type="dxa"/>
            </w:tcMar>
          </w:tcPr>
          <w:p w14:paraId="794F447D"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tcMar>
              <w:top w:w="15" w:type="dxa"/>
              <w:left w:w="15" w:type="dxa"/>
              <w:bottom w:w="0" w:type="dxa"/>
              <w:right w:w="15" w:type="dxa"/>
            </w:tcMar>
          </w:tcPr>
          <w:p w14:paraId="71035F20"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8" w:space="0" w:color="auto"/>
            </w:tcBorders>
            <w:tcMar>
              <w:top w:w="15" w:type="dxa"/>
              <w:left w:w="15" w:type="dxa"/>
              <w:bottom w:w="0" w:type="dxa"/>
              <w:right w:w="15" w:type="dxa"/>
            </w:tcMar>
          </w:tcPr>
          <w:p w14:paraId="2965483C" w14:textId="77777777" w:rsidR="00D210F0" w:rsidRPr="00092ED7" w:rsidRDefault="00D210F0" w:rsidP="00D210F0">
            <w:pPr>
              <w:spacing w:after="0"/>
              <w:rPr>
                <w:rFonts w:cs="Times New Roman"/>
                <w:color w:val="000000"/>
                <w:sz w:val="18"/>
                <w:szCs w:val="18"/>
                <w:lang w:val="sr-Cyrl-CS"/>
              </w:rPr>
            </w:pPr>
          </w:p>
        </w:tc>
      </w:tr>
      <w:tr w:rsidR="00D210F0" w:rsidRPr="00092ED7" w14:paraId="433E8081" w14:textId="77777777" w:rsidTr="00943F16">
        <w:trPr>
          <w:trHeight w:val="306"/>
        </w:trPr>
        <w:tc>
          <w:tcPr>
            <w:tcW w:w="421"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2D8C6ED2"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6.</w:t>
            </w:r>
          </w:p>
        </w:tc>
        <w:tc>
          <w:tcPr>
            <w:tcW w:w="4247"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7F843DC9"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Развој екосистема за стартапе у области биотехнологије</w:t>
            </w:r>
          </w:p>
        </w:tc>
        <w:tc>
          <w:tcPr>
            <w:tcW w:w="369"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F433D83"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19B76E0"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42C3043"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E445FB9"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018E677"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64E4E28"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5190FCE"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D7FF8F3"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17E5513"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69288BB"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9424B5"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4510520" w14:textId="77777777" w:rsidR="00D210F0" w:rsidRPr="00092ED7" w:rsidRDefault="00D210F0" w:rsidP="00D210F0">
            <w:pPr>
              <w:spacing w:after="0"/>
              <w:rPr>
                <w:rFonts w:cs="Times New Roman"/>
                <w:color w:val="000000"/>
                <w:sz w:val="18"/>
                <w:szCs w:val="18"/>
                <w:lang w:val="sr-Cyrl-CS"/>
              </w:rPr>
            </w:pPr>
          </w:p>
        </w:tc>
      </w:tr>
    </w:tbl>
    <w:p w14:paraId="4FD4B392" w14:textId="77777777" w:rsidR="00D210F0" w:rsidRPr="00092ED7" w:rsidRDefault="00D210F0" w:rsidP="00071952">
      <w:pPr>
        <w:widowControl w:val="0"/>
        <w:numPr>
          <w:ilvl w:val="0"/>
          <w:numId w:val="32"/>
        </w:numPr>
        <w:spacing w:before="120"/>
        <w:ind w:left="425" w:hanging="425"/>
        <w:rPr>
          <w:rFonts w:cs="Times New Roman"/>
          <w:b/>
          <w:bCs/>
          <w:szCs w:val="24"/>
          <w:lang w:val="sr-Cyrl-CS"/>
        </w:rPr>
      </w:pPr>
      <w:r w:rsidRPr="00092ED7">
        <w:rPr>
          <w:rFonts w:cs="Times New Roman"/>
          <w:b/>
          <w:bCs/>
          <w:szCs w:val="24"/>
          <w:lang w:val="sr-Cyrl-CS"/>
        </w:rPr>
        <w:t>Индикатори ризика</w:t>
      </w:r>
    </w:p>
    <w:tbl>
      <w:tblPr>
        <w:tblStyle w:val="TableGrid"/>
        <w:tblW w:w="8982" w:type="dxa"/>
        <w:tblInd w:w="85" w:type="dxa"/>
        <w:tblLayout w:type="fixed"/>
        <w:tblLook w:val="04A0" w:firstRow="1" w:lastRow="0" w:firstColumn="1" w:lastColumn="0" w:noHBand="0" w:noVBand="1"/>
      </w:tblPr>
      <w:tblGrid>
        <w:gridCol w:w="3685"/>
        <w:gridCol w:w="1765"/>
        <w:gridCol w:w="1766"/>
        <w:gridCol w:w="1766"/>
      </w:tblGrid>
      <w:tr w:rsidR="00D210F0" w:rsidRPr="00092ED7" w14:paraId="49DCDE90" w14:textId="77777777" w:rsidTr="00B57FE8">
        <w:trPr>
          <w:cnfStyle w:val="100000000000" w:firstRow="1" w:lastRow="0" w:firstColumn="0" w:lastColumn="0" w:oddVBand="0" w:evenVBand="0" w:oddHBand="0" w:evenHBand="0" w:firstRowFirstColumn="0" w:firstRowLastColumn="0" w:lastRowFirstColumn="0" w:lastRowLastColumn="0"/>
          <w:trHeight w:val="378"/>
        </w:trPr>
        <w:tc>
          <w:tcPr>
            <w:tcW w:w="3685" w:type="dxa"/>
            <w:tcBorders>
              <w:top w:val="single" w:sz="4" w:space="0" w:color="auto"/>
              <w:left w:val="single" w:sz="4" w:space="0" w:color="auto"/>
              <w:bottom w:val="single" w:sz="4" w:space="0" w:color="auto"/>
              <w:right w:val="single" w:sz="4" w:space="0" w:color="auto"/>
            </w:tcBorders>
          </w:tcPr>
          <w:p w14:paraId="2DF9D8A8" w14:textId="77777777" w:rsidR="00D210F0" w:rsidRPr="00092ED7" w:rsidRDefault="00D210F0" w:rsidP="00B57FE8">
            <w:pPr>
              <w:spacing w:before="0" w:after="0"/>
              <w:ind w:left="113" w:right="113"/>
              <w:jc w:val="center"/>
              <w:rPr>
                <w:sz w:val="20"/>
                <w:lang w:val="sr-Cyrl-CS"/>
              </w:rPr>
            </w:pPr>
            <w:r w:rsidRPr="00092ED7">
              <w:rPr>
                <w:rFonts w:cs="Times New Roman"/>
                <w:sz w:val="20"/>
                <w:lang w:val="sr-Cyrl-CS"/>
              </w:rPr>
              <w:t>Показатељ</w:t>
            </w:r>
          </w:p>
        </w:tc>
        <w:tc>
          <w:tcPr>
            <w:tcW w:w="1765" w:type="dxa"/>
            <w:tcBorders>
              <w:top w:val="single" w:sz="4" w:space="0" w:color="auto"/>
              <w:left w:val="single" w:sz="4" w:space="0" w:color="auto"/>
              <w:bottom w:val="single" w:sz="4" w:space="0" w:color="auto"/>
              <w:right w:val="single" w:sz="4" w:space="0" w:color="auto"/>
            </w:tcBorders>
          </w:tcPr>
          <w:p w14:paraId="64F97F18" w14:textId="77777777" w:rsidR="00D210F0" w:rsidRPr="00092ED7" w:rsidRDefault="00D210F0" w:rsidP="00B57FE8">
            <w:pPr>
              <w:spacing w:before="0" w:after="0"/>
              <w:ind w:left="113" w:right="113"/>
              <w:jc w:val="center"/>
              <w:rPr>
                <w:sz w:val="20"/>
                <w:lang w:val="sr-Cyrl-CS"/>
              </w:rPr>
            </w:pPr>
            <w:r w:rsidRPr="00092ED7">
              <w:rPr>
                <w:rFonts w:cs="Times New Roman"/>
                <w:sz w:val="20"/>
                <w:lang w:val="sr-Cyrl-CS"/>
              </w:rPr>
              <w:t>Почетна вредност</w:t>
            </w:r>
          </w:p>
        </w:tc>
        <w:tc>
          <w:tcPr>
            <w:tcW w:w="1766" w:type="dxa"/>
            <w:tcBorders>
              <w:top w:val="single" w:sz="4" w:space="0" w:color="auto"/>
              <w:left w:val="single" w:sz="4" w:space="0" w:color="auto"/>
              <w:bottom w:val="single" w:sz="4" w:space="0" w:color="auto"/>
              <w:right w:val="single" w:sz="4" w:space="0" w:color="auto"/>
            </w:tcBorders>
          </w:tcPr>
          <w:p w14:paraId="528DA24B" w14:textId="77777777" w:rsidR="00D210F0" w:rsidRPr="00092ED7" w:rsidRDefault="00D210F0" w:rsidP="00B57FE8">
            <w:pPr>
              <w:spacing w:before="0" w:after="0"/>
              <w:ind w:left="113" w:right="113"/>
              <w:jc w:val="center"/>
              <w:rPr>
                <w:sz w:val="20"/>
                <w:lang w:val="sr-Cyrl-CS"/>
              </w:rPr>
            </w:pPr>
            <w:r w:rsidRPr="00092ED7">
              <w:rPr>
                <w:rFonts w:cs="Times New Roman"/>
                <w:sz w:val="20"/>
                <w:lang w:val="sr-Cyrl-CS"/>
              </w:rPr>
              <w:t>Међурезултат</w:t>
            </w:r>
          </w:p>
        </w:tc>
        <w:tc>
          <w:tcPr>
            <w:tcW w:w="1766" w:type="dxa"/>
            <w:tcBorders>
              <w:top w:val="single" w:sz="4" w:space="0" w:color="auto"/>
              <w:left w:val="single" w:sz="4" w:space="0" w:color="auto"/>
              <w:bottom w:val="single" w:sz="4" w:space="0" w:color="auto"/>
              <w:right w:val="single" w:sz="4" w:space="0" w:color="auto"/>
            </w:tcBorders>
          </w:tcPr>
          <w:p w14:paraId="1E980AA3" w14:textId="77777777" w:rsidR="00D210F0" w:rsidRPr="00092ED7" w:rsidRDefault="00D210F0" w:rsidP="00B57FE8">
            <w:pPr>
              <w:spacing w:before="0" w:after="0"/>
              <w:ind w:left="113" w:right="113"/>
              <w:jc w:val="center"/>
              <w:rPr>
                <w:sz w:val="20"/>
                <w:lang w:val="sr-Cyrl-CS"/>
              </w:rPr>
            </w:pPr>
            <w:r w:rsidRPr="00092ED7">
              <w:rPr>
                <w:rFonts w:cs="Times New Roman"/>
                <w:sz w:val="20"/>
                <w:lang w:val="sr-Cyrl-CS"/>
              </w:rPr>
              <w:t>Циљна вредност</w:t>
            </w:r>
          </w:p>
        </w:tc>
      </w:tr>
      <w:tr w:rsidR="00D210F0" w:rsidRPr="00092ED7" w14:paraId="579D6810" w14:textId="77777777" w:rsidTr="00B57FE8">
        <w:tc>
          <w:tcPr>
            <w:tcW w:w="3685" w:type="dxa"/>
            <w:tcBorders>
              <w:top w:val="single" w:sz="4" w:space="0" w:color="auto"/>
              <w:left w:val="single" w:sz="4" w:space="0" w:color="auto"/>
              <w:bottom w:val="single" w:sz="4" w:space="0" w:color="auto"/>
              <w:right w:val="single" w:sz="4" w:space="0" w:color="auto"/>
            </w:tcBorders>
          </w:tcPr>
          <w:p w14:paraId="395321DD" w14:textId="77777777" w:rsidR="00D210F0" w:rsidRPr="00092ED7" w:rsidRDefault="00D210F0" w:rsidP="00B57FE8">
            <w:pPr>
              <w:spacing w:before="0" w:after="0"/>
              <w:ind w:left="113" w:right="113"/>
              <w:rPr>
                <w:sz w:val="20"/>
                <w:lang w:val="sr-Cyrl-CS"/>
              </w:rPr>
            </w:pPr>
            <w:r w:rsidRPr="00092ED7">
              <w:rPr>
                <w:rFonts w:eastAsia="Times New Roman" w:cs="Times New Roman"/>
                <w:sz w:val="20"/>
                <w:lang w:val="sr-Cyrl-CS"/>
              </w:rPr>
              <w:t>Број стартапа који су регистровани кроз новоосновани Регистар</w:t>
            </w:r>
          </w:p>
        </w:tc>
        <w:tc>
          <w:tcPr>
            <w:tcW w:w="1765" w:type="dxa"/>
            <w:tcBorders>
              <w:top w:val="single" w:sz="4" w:space="0" w:color="auto"/>
              <w:left w:val="single" w:sz="4" w:space="0" w:color="auto"/>
              <w:bottom w:val="single" w:sz="4" w:space="0" w:color="auto"/>
              <w:right w:val="single" w:sz="4" w:space="0" w:color="auto"/>
            </w:tcBorders>
            <w:hideMark/>
          </w:tcPr>
          <w:p w14:paraId="4546F62C" w14:textId="77777777" w:rsidR="00D210F0" w:rsidRPr="00092ED7" w:rsidRDefault="00D210F0" w:rsidP="00B57FE8">
            <w:pPr>
              <w:spacing w:before="0" w:after="0"/>
              <w:ind w:left="113" w:right="113"/>
              <w:jc w:val="center"/>
              <w:rPr>
                <w:rFonts w:cs="Times New Roman"/>
                <w:b/>
                <w:sz w:val="20"/>
                <w:lang w:val="sr-Cyrl-CS"/>
              </w:rPr>
            </w:pPr>
            <w:r w:rsidRPr="00092ED7">
              <w:rPr>
                <w:rFonts w:eastAsia="Times New Roman" w:cs="Times New Roman"/>
                <w:sz w:val="20"/>
                <w:lang w:val="sr-Cyrl-CS"/>
              </w:rPr>
              <w:t>0 (</w:t>
            </w:r>
            <w:r w:rsidR="00A84662" w:rsidRPr="00092ED7">
              <w:rPr>
                <w:rFonts w:eastAsia="Times New Roman" w:cs="Times New Roman"/>
                <w:sz w:val="20"/>
                <w:lang w:val="sr-Cyrl-CS"/>
              </w:rPr>
              <w:t>2020</w:t>
            </w:r>
            <w:r w:rsidRPr="00092ED7">
              <w:rPr>
                <w:rFonts w:eastAsia="Times New Roman" w:cs="Times New Roman"/>
                <w:sz w:val="20"/>
                <w:lang w:val="sr-Cyrl-CS"/>
              </w:rPr>
              <w:t>)</w:t>
            </w:r>
          </w:p>
        </w:tc>
        <w:tc>
          <w:tcPr>
            <w:tcW w:w="1766" w:type="dxa"/>
            <w:tcBorders>
              <w:top w:val="single" w:sz="4" w:space="0" w:color="auto"/>
              <w:left w:val="single" w:sz="4" w:space="0" w:color="auto"/>
              <w:bottom w:val="single" w:sz="4" w:space="0" w:color="auto"/>
              <w:right w:val="single" w:sz="4" w:space="0" w:color="auto"/>
            </w:tcBorders>
            <w:hideMark/>
          </w:tcPr>
          <w:p w14:paraId="4E5EDC7C" w14:textId="77777777" w:rsidR="00D210F0" w:rsidRPr="00092ED7" w:rsidRDefault="00D210F0" w:rsidP="00B57FE8">
            <w:pPr>
              <w:spacing w:before="0" w:after="0"/>
              <w:ind w:left="113" w:right="113"/>
              <w:jc w:val="center"/>
              <w:rPr>
                <w:rFonts w:cs="Times New Roman"/>
                <w:b/>
                <w:sz w:val="20"/>
                <w:lang w:val="sr-Cyrl-CS"/>
              </w:rPr>
            </w:pPr>
            <w:r w:rsidRPr="00092ED7">
              <w:rPr>
                <w:rFonts w:eastAsia="Times New Roman" w:cs="Times New Roman"/>
                <w:sz w:val="20"/>
                <w:lang w:val="sr-Cyrl-CS"/>
              </w:rPr>
              <w:t>300 (2023)</w:t>
            </w:r>
          </w:p>
        </w:tc>
        <w:tc>
          <w:tcPr>
            <w:tcW w:w="1766" w:type="dxa"/>
            <w:tcBorders>
              <w:top w:val="single" w:sz="4" w:space="0" w:color="auto"/>
              <w:left w:val="single" w:sz="4" w:space="0" w:color="auto"/>
              <w:bottom w:val="single" w:sz="4" w:space="0" w:color="auto"/>
              <w:right w:val="single" w:sz="4" w:space="0" w:color="auto"/>
            </w:tcBorders>
            <w:hideMark/>
          </w:tcPr>
          <w:p w14:paraId="283D6D78" w14:textId="77777777" w:rsidR="00D210F0" w:rsidRPr="00092ED7" w:rsidRDefault="00D210F0" w:rsidP="00B57FE8">
            <w:pPr>
              <w:spacing w:before="0" w:after="0"/>
              <w:ind w:left="113" w:right="113"/>
              <w:jc w:val="center"/>
              <w:rPr>
                <w:rFonts w:cs="Times New Roman"/>
                <w:b/>
                <w:sz w:val="20"/>
                <w:lang w:val="sr-Cyrl-CS"/>
              </w:rPr>
            </w:pPr>
            <w:r w:rsidRPr="00092ED7">
              <w:rPr>
                <w:rFonts w:eastAsia="Times New Roman" w:cs="Times New Roman"/>
                <w:sz w:val="20"/>
                <w:lang w:val="sr-Cyrl-CS"/>
              </w:rPr>
              <w:t>700 (2025)</w:t>
            </w:r>
          </w:p>
        </w:tc>
      </w:tr>
      <w:tr w:rsidR="00D210F0" w:rsidRPr="00092ED7" w14:paraId="4BB27EB8" w14:textId="77777777" w:rsidTr="00B57FE8">
        <w:tc>
          <w:tcPr>
            <w:tcW w:w="3685" w:type="dxa"/>
            <w:tcBorders>
              <w:top w:val="single" w:sz="4" w:space="0" w:color="auto"/>
              <w:left w:val="single" w:sz="4" w:space="0" w:color="auto"/>
              <w:bottom w:val="single" w:sz="4" w:space="0" w:color="auto"/>
              <w:right w:val="single" w:sz="4" w:space="0" w:color="auto"/>
            </w:tcBorders>
            <w:hideMark/>
          </w:tcPr>
          <w:p w14:paraId="4CAE14FD" w14:textId="07BC3168" w:rsidR="00D210F0" w:rsidRPr="00092ED7" w:rsidRDefault="00D210F0" w:rsidP="00B57FE8">
            <w:pPr>
              <w:spacing w:before="0" w:after="0"/>
              <w:ind w:left="113" w:right="113"/>
              <w:rPr>
                <w:sz w:val="20"/>
                <w:lang w:val="sr-Cyrl-CS"/>
              </w:rPr>
            </w:pPr>
            <w:r w:rsidRPr="00092ED7">
              <w:rPr>
                <w:rFonts w:eastAsia="Times New Roman" w:cs="Times New Roman"/>
                <w:sz w:val="20"/>
                <w:lang w:val="sr-Cyrl-CS"/>
              </w:rPr>
              <w:t xml:space="preserve">Износ финансијске подршке коју су остварили стартапи у </w:t>
            </w:r>
            <w:r w:rsidR="00564BDA" w:rsidRPr="00092ED7">
              <w:rPr>
                <w:rFonts w:eastAsia="Times New Roman" w:cs="Times New Roman"/>
                <w:sz w:val="20"/>
                <w:lang w:val="sr-Cyrl-CS"/>
              </w:rPr>
              <w:t xml:space="preserve">Републици </w:t>
            </w:r>
            <w:r w:rsidRPr="00092ED7">
              <w:rPr>
                <w:rFonts w:eastAsia="Times New Roman" w:cs="Times New Roman"/>
                <w:sz w:val="20"/>
                <w:lang w:val="sr-Cyrl-CS"/>
              </w:rPr>
              <w:t>Србији</w:t>
            </w:r>
          </w:p>
        </w:tc>
        <w:tc>
          <w:tcPr>
            <w:tcW w:w="1765" w:type="dxa"/>
            <w:tcBorders>
              <w:top w:val="single" w:sz="4" w:space="0" w:color="auto"/>
              <w:left w:val="single" w:sz="4" w:space="0" w:color="auto"/>
              <w:bottom w:val="single" w:sz="4" w:space="0" w:color="auto"/>
              <w:right w:val="single" w:sz="4" w:space="0" w:color="auto"/>
            </w:tcBorders>
            <w:hideMark/>
          </w:tcPr>
          <w:p w14:paraId="4D680C52" w14:textId="77A0FEE9" w:rsidR="00D210F0" w:rsidRPr="00092ED7" w:rsidRDefault="00000000" w:rsidP="00B57FE8">
            <w:pPr>
              <w:spacing w:before="0" w:after="0"/>
              <w:ind w:left="113" w:right="113"/>
              <w:jc w:val="center"/>
              <w:rPr>
                <w:rFonts w:cs="Times New Roman"/>
                <w:b/>
                <w:sz w:val="20"/>
                <w:highlight w:val="yellow"/>
                <w:lang w:val="sr-Cyrl-CS"/>
              </w:rPr>
            </w:pPr>
            <w:sdt>
              <w:sdtPr>
                <w:rPr>
                  <w:sz w:val="20"/>
                  <w:lang w:val="sr-Cyrl-CS"/>
                </w:rPr>
                <w:tag w:val="goog_rdk_8"/>
                <w:id w:val="590737552"/>
              </w:sdtPr>
              <w:sdtContent/>
            </w:sdt>
            <w:r w:rsidR="00D210F0" w:rsidRPr="00092ED7">
              <w:rPr>
                <w:rFonts w:eastAsia="Times New Roman" w:cs="Times New Roman"/>
                <w:sz w:val="20"/>
                <w:lang w:val="sr-Cyrl-CS"/>
              </w:rPr>
              <w:t>23 милиона ЕУР (2020)</w:t>
            </w:r>
          </w:p>
        </w:tc>
        <w:tc>
          <w:tcPr>
            <w:tcW w:w="1766" w:type="dxa"/>
            <w:tcBorders>
              <w:top w:val="single" w:sz="4" w:space="0" w:color="auto"/>
              <w:left w:val="single" w:sz="4" w:space="0" w:color="auto"/>
              <w:bottom w:val="single" w:sz="4" w:space="0" w:color="auto"/>
              <w:right w:val="single" w:sz="4" w:space="0" w:color="auto"/>
            </w:tcBorders>
            <w:hideMark/>
          </w:tcPr>
          <w:p w14:paraId="2BAD7A89" w14:textId="77777777" w:rsidR="00D210F0" w:rsidRPr="00092ED7" w:rsidRDefault="00D210F0" w:rsidP="00B57FE8">
            <w:pPr>
              <w:spacing w:before="0" w:after="0"/>
              <w:ind w:left="113" w:right="113"/>
              <w:jc w:val="center"/>
              <w:rPr>
                <w:rFonts w:cs="Times New Roman"/>
                <w:b/>
                <w:sz w:val="20"/>
                <w:lang w:val="sr-Cyrl-CS"/>
              </w:rPr>
            </w:pPr>
            <w:r w:rsidRPr="00092ED7">
              <w:rPr>
                <w:rFonts w:eastAsia="Times New Roman" w:cs="Times New Roman"/>
                <w:sz w:val="20"/>
                <w:lang w:val="sr-Cyrl-CS"/>
              </w:rPr>
              <w:t>40 милиона ЕУР (2022)</w:t>
            </w:r>
          </w:p>
        </w:tc>
        <w:tc>
          <w:tcPr>
            <w:tcW w:w="1766" w:type="dxa"/>
            <w:tcBorders>
              <w:top w:val="single" w:sz="4" w:space="0" w:color="auto"/>
              <w:left w:val="single" w:sz="4" w:space="0" w:color="auto"/>
              <w:bottom w:val="single" w:sz="4" w:space="0" w:color="auto"/>
              <w:right w:val="single" w:sz="4" w:space="0" w:color="auto"/>
            </w:tcBorders>
            <w:hideMark/>
          </w:tcPr>
          <w:p w14:paraId="39429DF4" w14:textId="77777777" w:rsidR="00D210F0" w:rsidRPr="00092ED7" w:rsidRDefault="00D210F0" w:rsidP="00B57FE8">
            <w:pPr>
              <w:spacing w:before="0" w:after="0"/>
              <w:ind w:left="113" w:right="113"/>
              <w:jc w:val="center"/>
              <w:rPr>
                <w:rFonts w:cs="Times New Roman"/>
                <w:b/>
                <w:sz w:val="20"/>
                <w:lang w:val="sr-Cyrl-CS"/>
              </w:rPr>
            </w:pPr>
            <w:r w:rsidRPr="00092ED7">
              <w:rPr>
                <w:rFonts w:eastAsia="Times New Roman" w:cs="Times New Roman"/>
                <w:sz w:val="20"/>
                <w:lang w:val="sr-Cyrl-CS"/>
              </w:rPr>
              <w:t>80 милиона ЕУР (</w:t>
            </w:r>
            <w:r w:rsidR="00A84662" w:rsidRPr="00092ED7">
              <w:rPr>
                <w:rFonts w:eastAsia="Times New Roman" w:cs="Times New Roman"/>
                <w:sz w:val="20"/>
                <w:lang w:val="sr-Cyrl-CS"/>
              </w:rPr>
              <w:t>2025</w:t>
            </w:r>
            <w:r w:rsidRPr="00092ED7">
              <w:rPr>
                <w:rFonts w:eastAsia="Times New Roman" w:cs="Times New Roman"/>
                <w:sz w:val="20"/>
                <w:lang w:val="sr-Cyrl-CS"/>
              </w:rPr>
              <w:t>)</w:t>
            </w:r>
          </w:p>
        </w:tc>
      </w:tr>
      <w:tr w:rsidR="007D40F0" w:rsidRPr="00092ED7" w14:paraId="22E465D8" w14:textId="77777777" w:rsidTr="007D40F0">
        <w:trPr>
          <w:trHeight w:val="467"/>
        </w:trPr>
        <w:tc>
          <w:tcPr>
            <w:tcW w:w="3685" w:type="dxa"/>
            <w:tcBorders>
              <w:top w:val="single" w:sz="4" w:space="0" w:color="auto"/>
              <w:left w:val="single" w:sz="4" w:space="0" w:color="auto"/>
              <w:bottom w:val="single" w:sz="4" w:space="0" w:color="auto"/>
              <w:right w:val="single" w:sz="4" w:space="0" w:color="auto"/>
            </w:tcBorders>
          </w:tcPr>
          <w:p w14:paraId="19B433F6" w14:textId="77777777" w:rsidR="007D40F0" w:rsidRPr="00092ED7" w:rsidRDefault="007D40F0" w:rsidP="007D40F0">
            <w:pPr>
              <w:spacing w:before="0" w:after="0"/>
              <w:ind w:left="113" w:right="113"/>
              <w:rPr>
                <w:rFonts w:eastAsia="Times New Roman" w:cs="Times New Roman"/>
                <w:sz w:val="20"/>
                <w:lang w:val="sr-Cyrl-CS"/>
              </w:rPr>
            </w:pPr>
            <w:r w:rsidRPr="00092ED7">
              <w:rPr>
                <w:rFonts w:eastAsia="Times New Roman" w:cs="Times New Roman"/>
                <w:sz w:val="20"/>
                <w:lang w:val="sr-Cyrl-CS"/>
              </w:rPr>
              <w:t>Вредност стартап екосистема (eng. Startup Genome)</w:t>
            </w:r>
          </w:p>
        </w:tc>
        <w:tc>
          <w:tcPr>
            <w:tcW w:w="1765" w:type="dxa"/>
            <w:tcBorders>
              <w:top w:val="single" w:sz="4" w:space="0" w:color="auto"/>
              <w:left w:val="single" w:sz="4" w:space="0" w:color="auto"/>
              <w:bottom w:val="single" w:sz="4" w:space="0" w:color="auto"/>
              <w:right w:val="single" w:sz="4" w:space="0" w:color="auto"/>
            </w:tcBorders>
          </w:tcPr>
          <w:p w14:paraId="313A130C" w14:textId="77777777" w:rsidR="007D40F0" w:rsidRPr="00092ED7" w:rsidRDefault="007D40F0" w:rsidP="007D40F0">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502 милиона УСД (2020)</w:t>
            </w:r>
          </w:p>
        </w:tc>
        <w:tc>
          <w:tcPr>
            <w:tcW w:w="1766" w:type="dxa"/>
            <w:tcBorders>
              <w:top w:val="single" w:sz="4" w:space="0" w:color="auto"/>
              <w:left w:val="single" w:sz="4" w:space="0" w:color="auto"/>
              <w:bottom w:val="single" w:sz="4" w:space="0" w:color="auto"/>
              <w:right w:val="single" w:sz="4" w:space="0" w:color="auto"/>
            </w:tcBorders>
          </w:tcPr>
          <w:p w14:paraId="1BF9936C" w14:textId="77777777" w:rsidR="007D40F0" w:rsidRPr="00092ED7" w:rsidRDefault="007D40F0" w:rsidP="007D40F0">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677 милиона УСД (2022)</w:t>
            </w:r>
          </w:p>
        </w:tc>
        <w:tc>
          <w:tcPr>
            <w:tcW w:w="1766" w:type="dxa"/>
            <w:tcBorders>
              <w:top w:val="single" w:sz="4" w:space="0" w:color="auto"/>
              <w:left w:val="single" w:sz="4" w:space="0" w:color="auto"/>
              <w:bottom w:val="single" w:sz="4" w:space="0" w:color="auto"/>
              <w:right w:val="single" w:sz="4" w:space="0" w:color="auto"/>
            </w:tcBorders>
          </w:tcPr>
          <w:p w14:paraId="50994477" w14:textId="77777777" w:rsidR="007D40F0" w:rsidRPr="00092ED7" w:rsidRDefault="007D40F0" w:rsidP="007D40F0">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800 милиона УСД (2025)</w:t>
            </w:r>
          </w:p>
        </w:tc>
      </w:tr>
    </w:tbl>
    <w:p w14:paraId="2F23D66D" w14:textId="77777777" w:rsidR="00D210F0" w:rsidRPr="00092ED7" w:rsidRDefault="00D210F0" w:rsidP="00071952">
      <w:pPr>
        <w:widowControl w:val="0"/>
        <w:numPr>
          <w:ilvl w:val="0"/>
          <w:numId w:val="32"/>
        </w:numPr>
        <w:spacing w:before="120"/>
        <w:ind w:left="425" w:hanging="425"/>
        <w:rPr>
          <w:rFonts w:cs="Times New Roman"/>
          <w:b/>
          <w:bCs/>
          <w:szCs w:val="24"/>
          <w:lang w:val="sr-Cyrl-CS"/>
        </w:rPr>
      </w:pPr>
      <w:r w:rsidRPr="00092ED7">
        <w:rPr>
          <w:b/>
          <w:szCs w:val="24"/>
          <w:lang w:val="sr-Cyrl-CS"/>
        </w:rPr>
        <w:t>Oчекивани утицај на конкурентност</w:t>
      </w:r>
    </w:p>
    <w:p w14:paraId="0CE5EDF7" w14:textId="77777777" w:rsidR="00D210F0" w:rsidRPr="00092ED7" w:rsidRDefault="00D210F0" w:rsidP="00943F16">
      <w:pPr>
        <w:widowControl w:val="0"/>
        <w:spacing w:after="60"/>
        <w:rPr>
          <w:rFonts w:eastAsia="Times New Roman" w:cs="Times New Roman"/>
          <w:szCs w:val="24"/>
          <w:lang w:val="sr-Cyrl-CS"/>
        </w:rPr>
      </w:pPr>
      <w:r w:rsidRPr="00092ED7">
        <w:rPr>
          <w:rFonts w:eastAsia="Times New Roman" w:cs="Times New Roman"/>
          <w:szCs w:val="24"/>
          <w:lang w:val="sr-Cyrl-CS"/>
        </w:rPr>
        <w:t>Повећање броја стартапа стимулише привредни раст, повећава извоз и БДП, и ствара радна места потребна за развој економије засноване на знању.</w:t>
      </w:r>
      <w:r w:rsidR="00181C36" w:rsidRPr="00092ED7">
        <w:rPr>
          <w:rFonts w:eastAsia="Times New Roman" w:cs="Times New Roman"/>
          <w:szCs w:val="24"/>
          <w:lang w:val="sr-Cyrl-CS"/>
        </w:rPr>
        <w:t xml:space="preserve"> Реформом се подстичу јавне и приватне инвестиције у овој области, омогућава развој домаћег тржишта предузетничког капитала (eng. </w:t>
      </w:r>
      <w:r w:rsidR="00181C36" w:rsidRPr="00092ED7">
        <w:rPr>
          <w:rFonts w:eastAsia="Times New Roman" w:cs="Times New Roman"/>
          <w:i/>
          <w:szCs w:val="24"/>
          <w:lang w:val="sr-Cyrl-CS"/>
        </w:rPr>
        <w:t>venture capital</w:t>
      </w:r>
      <w:r w:rsidR="00181C36" w:rsidRPr="00092ED7">
        <w:rPr>
          <w:rFonts w:eastAsia="Times New Roman" w:cs="Times New Roman"/>
          <w:szCs w:val="24"/>
          <w:lang w:val="sr-Cyrl-CS"/>
        </w:rPr>
        <w:t>), развој високотехнолошке предузетничке културе и подизањe предузетничких капацитета кроз образовне програме и јачање капацитета организација подршке.</w:t>
      </w:r>
    </w:p>
    <w:p w14:paraId="6BE6D274" w14:textId="77777777" w:rsidR="00D210F0" w:rsidRPr="00092ED7" w:rsidRDefault="00D210F0" w:rsidP="00071952">
      <w:pPr>
        <w:widowControl w:val="0"/>
        <w:numPr>
          <w:ilvl w:val="0"/>
          <w:numId w:val="32"/>
        </w:numPr>
        <w:spacing w:before="120"/>
        <w:ind w:left="425" w:hanging="425"/>
        <w:rPr>
          <w:rFonts w:cs="Times New Roman"/>
          <w:b/>
          <w:bCs/>
          <w:szCs w:val="24"/>
          <w:lang w:val="sr-Cyrl-CS"/>
        </w:rPr>
      </w:pPr>
      <w:r w:rsidRPr="00092ED7">
        <w:rPr>
          <w:b/>
          <w:szCs w:val="24"/>
          <w:lang w:val="sr-Cyrl-CS"/>
        </w:rPr>
        <w:t>Процењени трошкови спровођења структурне реформе и предвиђени извори њиховог финансирања</w:t>
      </w:r>
    </w:p>
    <w:p w14:paraId="11248F0D" w14:textId="1B2A0E96" w:rsidR="00BA1B20" w:rsidRDefault="00D8385F" w:rsidP="00943F16">
      <w:pPr>
        <w:widowControl w:val="0"/>
        <w:spacing w:after="60"/>
        <w:rPr>
          <w:rFonts w:eastAsia="Times New Roman" w:cs="Times New Roman"/>
          <w:szCs w:val="24"/>
          <w:lang w:val="sr-Cyrl-CS"/>
        </w:rPr>
      </w:pPr>
      <w:r w:rsidRPr="00092ED7">
        <w:rPr>
          <w:rFonts w:eastAsia="Times New Roman" w:cs="Times New Roman"/>
          <w:szCs w:val="24"/>
          <w:lang w:val="sr-Cyrl-CS"/>
        </w:rPr>
        <w:t xml:space="preserve">У буџету Фонда за иновациону делатност, за активности 4, 5. и 6. обезбеђена су средства из ИПА 2018 и ИПА 2019 у износима од више од 12 милиона евра за 2023, више од 12 милиона евра за 2024, као и </w:t>
      </w:r>
      <w:r w:rsidR="00564BDA" w:rsidRPr="00092ED7">
        <w:rPr>
          <w:rFonts w:eastAsia="Times New Roman" w:cs="Times New Roman"/>
          <w:szCs w:val="24"/>
          <w:lang w:val="sr-Cyrl-CS"/>
        </w:rPr>
        <w:t xml:space="preserve">девет </w:t>
      </w:r>
      <w:r w:rsidRPr="00092ED7">
        <w:rPr>
          <w:rFonts w:eastAsia="Times New Roman" w:cs="Times New Roman"/>
          <w:szCs w:val="24"/>
          <w:lang w:val="sr-Cyrl-CS"/>
        </w:rPr>
        <w:t xml:space="preserve">милиона евра за 2025. годину за подршку иновативним компанијама којима се подстиче идентификација, развој, унапређење и сарадња. У буџету </w:t>
      </w:r>
      <w:r w:rsidR="001028F8" w:rsidRPr="00092ED7">
        <w:rPr>
          <w:rFonts w:eastAsia="Times New Roman" w:cs="Times New Roman"/>
          <w:szCs w:val="24"/>
          <w:lang w:val="sr-Cyrl-CS"/>
        </w:rPr>
        <w:t>Фонда за иновациону делатност</w:t>
      </w:r>
      <w:r w:rsidRPr="00092ED7">
        <w:rPr>
          <w:rFonts w:eastAsia="Times New Roman" w:cs="Times New Roman"/>
          <w:szCs w:val="24"/>
          <w:lang w:val="sr-Cyrl-CS"/>
        </w:rPr>
        <w:t xml:space="preserve"> ће бити обезбеђена и средства</w:t>
      </w:r>
      <w:r w:rsidR="00497A1F" w:rsidRPr="00092ED7">
        <w:rPr>
          <w:rFonts w:eastAsia="Times New Roman" w:cs="Times New Roman"/>
          <w:szCs w:val="24"/>
          <w:lang w:val="sr-Cyrl-CS"/>
        </w:rPr>
        <w:t xml:space="preserve"> </w:t>
      </w:r>
      <w:r w:rsidRPr="00092ED7">
        <w:rPr>
          <w:rFonts w:eastAsia="Times New Roman" w:cs="Times New Roman"/>
          <w:szCs w:val="24"/>
          <w:lang w:val="sr-Cyrl-CS"/>
        </w:rPr>
        <w:t xml:space="preserve">за подршку фондовима предузетничког капитала и других приватних инвестиција. Такође, биће обезбеђена и средства за финансирање Програма Акцелерације из зајма Светске банке (Пројекат акцелерације иновација и подстицање раста предузетништва у Републици Србији – Пројекат </w:t>
      </w:r>
      <w:r w:rsidR="00E54271" w:rsidRPr="00092ED7">
        <w:rPr>
          <w:rFonts w:eastAsia="Times New Roman" w:cs="Times New Roman"/>
          <w:szCs w:val="24"/>
          <w:lang w:val="sr-Cyrl-CS"/>
        </w:rPr>
        <w:t>SAIGE</w:t>
      </w:r>
      <w:r w:rsidRPr="00092ED7">
        <w:rPr>
          <w:rFonts w:eastAsia="Times New Roman" w:cs="Times New Roman"/>
          <w:szCs w:val="24"/>
          <w:lang w:val="sr-Cyrl-CS"/>
        </w:rPr>
        <w:t>) у износу</w:t>
      </w:r>
      <w:r w:rsidR="002D07A1" w:rsidRPr="00092ED7">
        <w:rPr>
          <w:rFonts w:eastAsia="Times New Roman" w:cs="Times New Roman"/>
          <w:szCs w:val="24"/>
          <w:lang w:val="sr-Cyrl-CS"/>
        </w:rPr>
        <w:t xml:space="preserve"> од</w:t>
      </w:r>
      <w:r w:rsidRPr="00092ED7">
        <w:rPr>
          <w:rFonts w:eastAsia="Times New Roman" w:cs="Times New Roman"/>
          <w:szCs w:val="24"/>
          <w:lang w:val="sr-Cyrl-CS"/>
        </w:rPr>
        <w:t xml:space="preserve"> </w:t>
      </w:r>
      <w:r w:rsidR="00564BDA" w:rsidRPr="00092ED7">
        <w:rPr>
          <w:rFonts w:eastAsia="Times New Roman" w:cs="Times New Roman"/>
          <w:szCs w:val="24"/>
          <w:lang w:val="sr-Cyrl-CS"/>
        </w:rPr>
        <w:t xml:space="preserve">седам </w:t>
      </w:r>
      <w:r w:rsidRPr="00092ED7">
        <w:rPr>
          <w:rFonts w:eastAsia="Times New Roman" w:cs="Times New Roman"/>
          <w:szCs w:val="24"/>
          <w:lang w:val="sr-Cyrl-CS"/>
        </w:rPr>
        <w:t>милиона евра.</w:t>
      </w:r>
    </w:p>
    <w:p w14:paraId="377E3EE0" w14:textId="77777777" w:rsidR="00BA1B20" w:rsidRDefault="00BA1B20">
      <w:pPr>
        <w:spacing w:after="160" w:line="259" w:lineRule="auto"/>
        <w:jc w:val="left"/>
        <w:rPr>
          <w:rFonts w:eastAsia="Times New Roman" w:cs="Times New Roman"/>
          <w:szCs w:val="24"/>
          <w:lang w:val="sr-Cyrl-CS"/>
        </w:rPr>
      </w:pPr>
      <w:r>
        <w:rPr>
          <w:rFonts w:eastAsia="Times New Roman" w:cs="Times New Roman"/>
          <w:szCs w:val="24"/>
          <w:lang w:val="sr-Cyrl-CS"/>
        </w:rPr>
        <w:br w:type="page"/>
      </w:r>
    </w:p>
    <w:p w14:paraId="42909035" w14:textId="77777777" w:rsidR="00D210F0" w:rsidRPr="00092ED7" w:rsidRDefault="00D210F0" w:rsidP="005D4434">
      <w:pPr>
        <w:widowControl w:val="0"/>
        <w:numPr>
          <w:ilvl w:val="0"/>
          <w:numId w:val="32"/>
        </w:numPr>
        <w:spacing w:before="120"/>
        <w:ind w:left="425" w:hanging="425"/>
        <w:rPr>
          <w:b/>
          <w:szCs w:val="24"/>
          <w:lang w:val="sr-Cyrl-CS"/>
        </w:rPr>
      </w:pPr>
      <w:r w:rsidRPr="00092ED7">
        <w:rPr>
          <w:b/>
          <w:szCs w:val="24"/>
          <w:lang w:val="sr-Cyrl-CS"/>
        </w:rPr>
        <w:t>Очекивани утицај на социјалне циљеве, као што су запосленост, смањење сиромаштва, родна равноправност и приступ здравственој заштити</w:t>
      </w:r>
    </w:p>
    <w:p w14:paraId="3EF91AB8" w14:textId="77777777" w:rsidR="00D210F0" w:rsidRPr="00092ED7" w:rsidRDefault="001A656D" w:rsidP="00943F16">
      <w:pPr>
        <w:pStyle w:val="ListParagraph"/>
        <w:widowControl w:val="0"/>
        <w:spacing w:after="60" w:line="240" w:lineRule="auto"/>
        <w:ind w:left="0"/>
        <w:contextualSpacing w:val="0"/>
        <w:rPr>
          <w:rFonts w:eastAsia="Times New Roman" w:cs="Times New Roman"/>
          <w:sz w:val="24"/>
          <w:szCs w:val="24"/>
          <w:lang w:val="sr-Cyrl-CS" w:eastAsia="en-US"/>
        </w:rPr>
      </w:pPr>
      <w:r w:rsidRPr="00092ED7">
        <w:rPr>
          <w:rFonts w:eastAsia="Times New Roman" w:cs="Times New Roman"/>
          <w:sz w:val="24"/>
          <w:szCs w:val="24"/>
          <w:lang w:val="sr-Cyrl-CS" w:eastAsia="en-US"/>
        </w:rPr>
        <w:t>Имплементацијом структурне реформе стварају се нова тржишта која генеришу нове послове, нарочито за предузетне, младе и образоване људе, а улагањем у стартапе креира се људски капитал са компетенцијама и вештинама потребним за модерну економију засновању на знању и иновацијама, што на директан начин утиче на повећање запослености, смањење сиромаштва и позитивно утиче на родну равноправност.</w:t>
      </w:r>
      <w:r w:rsidR="00D210F0" w:rsidRPr="00092ED7">
        <w:rPr>
          <w:rFonts w:eastAsia="Times New Roman" w:cs="Times New Roman"/>
          <w:sz w:val="24"/>
          <w:szCs w:val="24"/>
          <w:lang w:val="sr-Cyrl-CS" w:eastAsia="en-US"/>
        </w:rPr>
        <w:t xml:space="preserve"> Ова структур</w:t>
      </w:r>
      <w:r w:rsidR="00E63AE6" w:rsidRPr="00092ED7">
        <w:rPr>
          <w:rFonts w:eastAsia="Times New Roman" w:cs="Times New Roman"/>
          <w:sz w:val="24"/>
          <w:szCs w:val="24"/>
          <w:lang w:val="sr-Cyrl-CS" w:eastAsia="en-US"/>
        </w:rPr>
        <w:t>на</w:t>
      </w:r>
      <w:r w:rsidR="00D210F0" w:rsidRPr="00092ED7">
        <w:rPr>
          <w:rFonts w:eastAsia="Times New Roman" w:cs="Times New Roman"/>
          <w:sz w:val="24"/>
          <w:szCs w:val="24"/>
          <w:lang w:val="sr-Cyrl-CS" w:eastAsia="en-US"/>
        </w:rPr>
        <w:t xml:space="preserve"> реформа је родно неутрална. </w:t>
      </w:r>
    </w:p>
    <w:p w14:paraId="7582DA09" w14:textId="77777777" w:rsidR="00D210F0" w:rsidRPr="00092ED7" w:rsidRDefault="00D210F0" w:rsidP="00071952">
      <w:pPr>
        <w:widowControl w:val="0"/>
        <w:numPr>
          <w:ilvl w:val="0"/>
          <w:numId w:val="32"/>
        </w:numPr>
        <w:spacing w:before="120"/>
        <w:ind w:left="425" w:hanging="425"/>
        <w:rPr>
          <w:rFonts w:cs="Times New Roman"/>
          <w:b/>
          <w:szCs w:val="24"/>
          <w:lang w:val="sr-Cyrl-CS"/>
        </w:rPr>
      </w:pPr>
      <w:r w:rsidRPr="00092ED7">
        <w:rPr>
          <w:rFonts w:cs="Times New Roman"/>
          <w:b/>
          <w:szCs w:val="24"/>
          <w:lang w:val="sr-Cyrl-CS"/>
        </w:rPr>
        <w:t>Очекивани утицај на животну средину и климатске промене</w:t>
      </w:r>
    </w:p>
    <w:p w14:paraId="37F37944" w14:textId="77777777" w:rsidR="00D210F0" w:rsidRPr="00092ED7" w:rsidRDefault="00D210F0" w:rsidP="00943F16">
      <w:pPr>
        <w:widowControl w:val="0"/>
        <w:spacing w:after="60"/>
        <w:rPr>
          <w:rFonts w:cs="Times New Roman"/>
          <w:szCs w:val="24"/>
          <w:lang w:val="sr-Cyrl-CS"/>
        </w:rPr>
      </w:pPr>
      <w:r w:rsidRPr="00092ED7">
        <w:rPr>
          <w:rFonts w:eastAsia="Times New Roman" w:cs="Times New Roman"/>
          <w:szCs w:val="24"/>
          <w:lang w:val="sr-Cyrl-CS"/>
        </w:rPr>
        <w:t>Реализација ове реформске мере неће имати негативан утицаj на животну средину и климатске промене</w:t>
      </w:r>
      <w:r w:rsidRPr="00092ED7">
        <w:rPr>
          <w:rFonts w:cs="Times New Roman"/>
          <w:szCs w:val="24"/>
          <w:lang w:val="sr-Cyrl-CS"/>
        </w:rPr>
        <w:t>.</w:t>
      </w:r>
    </w:p>
    <w:p w14:paraId="127FF20F" w14:textId="77777777" w:rsidR="00D210F0" w:rsidRPr="00092ED7" w:rsidRDefault="00D210F0" w:rsidP="00071952">
      <w:pPr>
        <w:widowControl w:val="0"/>
        <w:numPr>
          <w:ilvl w:val="0"/>
          <w:numId w:val="32"/>
        </w:numPr>
        <w:spacing w:before="120"/>
        <w:ind w:left="425" w:hanging="425"/>
        <w:rPr>
          <w:rFonts w:cs="Times New Roman"/>
          <w:b/>
          <w:szCs w:val="24"/>
          <w:lang w:val="sr-Cyrl-CS"/>
        </w:rPr>
      </w:pPr>
      <w:r w:rsidRPr="00092ED7">
        <w:rPr>
          <w:rFonts w:cs="Times New Roman"/>
          <w:b/>
          <w:szCs w:val="24"/>
          <w:lang w:val="sr-Cyrl-CS"/>
        </w:rPr>
        <w:t>Потенцијални ризици</w:t>
      </w:r>
    </w:p>
    <w:tbl>
      <w:tblPr>
        <w:tblStyle w:val="TableGrid"/>
        <w:tblW w:w="9209" w:type="dxa"/>
        <w:jc w:val="center"/>
        <w:tblLayout w:type="fixed"/>
        <w:tblLook w:val="04A0" w:firstRow="1" w:lastRow="0" w:firstColumn="1" w:lastColumn="0" w:noHBand="0" w:noVBand="1"/>
      </w:tblPr>
      <w:tblGrid>
        <w:gridCol w:w="3681"/>
        <w:gridCol w:w="1984"/>
        <w:gridCol w:w="3544"/>
      </w:tblGrid>
      <w:tr w:rsidR="00D210F0" w:rsidRPr="00092ED7" w14:paraId="506D6DC2" w14:textId="77777777" w:rsidTr="00BA1B20">
        <w:trPr>
          <w:cnfStyle w:val="100000000000" w:firstRow="1" w:lastRow="0" w:firstColumn="0" w:lastColumn="0" w:oddVBand="0" w:evenVBand="0" w:oddHBand="0" w:evenHBand="0" w:firstRowFirstColumn="0" w:firstRowLastColumn="0" w:lastRowFirstColumn="0" w:lastRowLastColumn="0"/>
          <w:jc w:val="center"/>
        </w:trPr>
        <w:tc>
          <w:tcPr>
            <w:tcW w:w="3681" w:type="dxa"/>
            <w:tcBorders>
              <w:top w:val="single" w:sz="4" w:space="0" w:color="auto"/>
              <w:left w:val="single" w:sz="4" w:space="0" w:color="auto"/>
              <w:bottom w:val="single" w:sz="4" w:space="0" w:color="auto"/>
              <w:right w:val="single" w:sz="4" w:space="0" w:color="auto"/>
            </w:tcBorders>
            <w:hideMark/>
          </w:tcPr>
          <w:p w14:paraId="5175E072"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1984" w:type="dxa"/>
            <w:tcBorders>
              <w:top w:val="single" w:sz="4" w:space="0" w:color="auto"/>
              <w:left w:val="single" w:sz="4" w:space="0" w:color="auto"/>
              <w:bottom w:val="single" w:sz="4" w:space="0" w:color="auto"/>
              <w:right w:val="single" w:sz="4" w:space="0" w:color="auto"/>
            </w:tcBorders>
          </w:tcPr>
          <w:p w14:paraId="32305BB1"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544" w:type="dxa"/>
            <w:tcBorders>
              <w:top w:val="single" w:sz="4" w:space="0" w:color="auto"/>
              <w:left w:val="single" w:sz="4" w:space="0" w:color="auto"/>
              <w:bottom w:val="single" w:sz="4" w:space="0" w:color="auto"/>
              <w:right w:val="single" w:sz="4" w:space="0" w:color="auto"/>
            </w:tcBorders>
          </w:tcPr>
          <w:p w14:paraId="043A6CD2"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1B292F3C" w14:textId="77777777" w:rsidTr="00BA1B20">
        <w:trPr>
          <w:jc w:val="center"/>
        </w:trPr>
        <w:tc>
          <w:tcPr>
            <w:tcW w:w="3681" w:type="dxa"/>
            <w:tcBorders>
              <w:top w:val="single" w:sz="4" w:space="0" w:color="auto"/>
              <w:left w:val="single" w:sz="4" w:space="0" w:color="auto"/>
              <w:bottom w:val="single" w:sz="4" w:space="0" w:color="auto"/>
              <w:right w:val="single" w:sz="4" w:space="0" w:color="auto"/>
            </w:tcBorders>
            <w:vAlign w:val="top"/>
            <w:hideMark/>
          </w:tcPr>
          <w:p w14:paraId="11189188" w14:textId="77777777" w:rsidR="00D210F0" w:rsidRPr="00092ED7" w:rsidRDefault="00D210F0" w:rsidP="00757D8D">
            <w:pPr>
              <w:spacing w:before="0" w:after="0"/>
              <w:ind w:left="113" w:right="113"/>
              <w:rPr>
                <w:rFonts w:cs="Times New Roman"/>
                <w:b/>
                <w:sz w:val="20"/>
                <w:lang w:val="sr-Cyrl-CS"/>
              </w:rPr>
            </w:pPr>
            <w:r w:rsidRPr="00092ED7">
              <w:rPr>
                <w:rFonts w:eastAsia="Times New Roman" w:cs="Times New Roman"/>
                <w:sz w:val="20"/>
                <w:lang w:val="sr-Cyrl-CS"/>
              </w:rPr>
              <w:t>Недовољно интересовање стартапа за упис у регистар</w:t>
            </w:r>
          </w:p>
        </w:tc>
        <w:tc>
          <w:tcPr>
            <w:tcW w:w="1984" w:type="dxa"/>
            <w:tcBorders>
              <w:top w:val="single" w:sz="4" w:space="0" w:color="auto"/>
              <w:left w:val="single" w:sz="4" w:space="0" w:color="auto"/>
              <w:bottom w:val="single" w:sz="4" w:space="0" w:color="auto"/>
              <w:right w:val="single" w:sz="4" w:space="0" w:color="auto"/>
            </w:tcBorders>
            <w:vAlign w:val="top"/>
          </w:tcPr>
          <w:p w14:paraId="7693D104" w14:textId="77777777" w:rsidR="00D210F0" w:rsidRPr="00092ED7" w:rsidRDefault="00D210F0" w:rsidP="00757D8D">
            <w:pPr>
              <w:spacing w:before="0" w:after="0"/>
              <w:ind w:left="113" w:right="113"/>
              <w:jc w:val="center"/>
              <w:rPr>
                <w:sz w:val="20"/>
                <w:lang w:val="sr-Cyrl-CS"/>
              </w:rPr>
            </w:pPr>
            <w:r w:rsidRPr="00092ED7">
              <w:rPr>
                <w:rFonts w:eastAsia="Times New Roman" w:cs="Times New Roman"/>
                <w:sz w:val="20"/>
                <w:lang w:val="sr-Cyrl-CS"/>
              </w:rPr>
              <w:t>Ниска</w:t>
            </w:r>
          </w:p>
        </w:tc>
        <w:tc>
          <w:tcPr>
            <w:tcW w:w="3544" w:type="dxa"/>
            <w:tcBorders>
              <w:top w:val="single" w:sz="4" w:space="0" w:color="auto"/>
              <w:left w:val="single" w:sz="4" w:space="0" w:color="auto"/>
              <w:bottom w:val="single" w:sz="4" w:space="0" w:color="auto"/>
              <w:right w:val="single" w:sz="4" w:space="0" w:color="auto"/>
            </w:tcBorders>
            <w:vAlign w:val="top"/>
          </w:tcPr>
          <w:p w14:paraId="1FC672A7" w14:textId="77777777" w:rsidR="00D210F0" w:rsidRPr="00092ED7" w:rsidRDefault="00D210F0" w:rsidP="00757D8D">
            <w:pPr>
              <w:spacing w:before="0" w:after="0"/>
              <w:ind w:left="113" w:right="113"/>
              <w:rPr>
                <w:sz w:val="20"/>
                <w:lang w:val="sr-Cyrl-CS"/>
              </w:rPr>
            </w:pPr>
            <w:r w:rsidRPr="00092ED7">
              <w:rPr>
                <w:rFonts w:eastAsia="Times New Roman" w:cs="Times New Roman"/>
                <w:sz w:val="20"/>
                <w:lang w:val="sr-Cyrl-CS"/>
              </w:rPr>
              <w:t>Континуирана комуникација са стартапима како би се постигао жељени ефекат</w:t>
            </w:r>
            <w:r w:rsidR="00D47BD8" w:rsidRPr="00092ED7">
              <w:rPr>
                <w:rFonts w:eastAsia="Times New Roman" w:cs="Times New Roman"/>
                <w:sz w:val="20"/>
                <w:lang w:val="sr-Cyrl-CS"/>
              </w:rPr>
              <w:t>.</w:t>
            </w:r>
          </w:p>
        </w:tc>
      </w:tr>
      <w:tr w:rsidR="00D210F0" w:rsidRPr="00092ED7" w14:paraId="3E923684" w14:textId="77777777" w:rsidTr="00BA1B20">
        <w:trPr>
          <w:jc w:val="center"/>
        </w:trPr>
        <w:tc>
          <w:tcPr>
            <w:tcW w:w="3681" w:type="dxa"/>
            <w:tcBorders>
              <w:top w:val="single" w:sz="4" w:space="0" w:color="auto"/>
              <w:left w:val="single" w:sz="4" w:space="0" w:color="auto"/>
              <w:bottom w:val="single" w:sz="4" w:space="0" w:color="auto"/>
              <w:right w:val="single" w:sz="4" w:space="0" w:color="auto"/>
            </w:tcBorders>
            <w:vAlign w:val="top"/>
          </w:tcPr>
          <w:p w14:paraId="1605DDFA" w14:textId="77777777" w:rsidR="00D210F0" w:rsidRPr="00092ED7" w:rsidRDefault="00D210F0" w:rsidP="00757D8D">
            <w:pPr>
              <w:spacing w:before="0" w:after="0"/>
              <w:ind w:left="113" w:right="113"/>
              <w:rPr>
                <w:sz w:val="20"/>
                <w:lang w:val="sr-Cyrl-CS"/>
              </w:rPr>
            </w:pPr>
            <w:r w:rsidRPr="00092ED7">
              <w:rPr>
                <w:rFonts w:eastAsia="Times New Roman" w:cs="Times New Roman"/>
                <w:sz w:val="20"/>
                <w:lang w:val="sr-Cyrl-CS"/>
              </w:rPr>
              <w:t>Недовољна заинтересованост стартапа за учешће у програмима подршке</w:t>
            </w:r>
          </w:p>
        </w:tc>
        <w:tc>
          <w:tcPr>
            <w:tcW w:w="1984" w:type="dxa"/>
            <w:tcBorders>
              <w:top w:val="single" w:sz="4" w:space="0" w:color="auto"/>
              <w:left w:val="single" w:sz="4" w:space="0" w:color="auto"/>
              <w:bottom w:val="single" w:sz="4" w:space="0" w:color="auto"/>
              <w:right w:val="single" w:sz="4" w:space="0" w:color="auto"/>
            </w:tcBorders>
            <w:vAlign w:val="top"/>
          </w:tcPr>
          <w:p w14:paraId="7A2176BD" w14:textId="77777777" w:rsidR="00D210F0" w:rsidRPr="00092ED7" w:rsidRDefault="00D210F0" w:rsidP="00757D8D">
            <w:pPr>
              <w:spacing w:before="0" w:after="0"/>
              <w:ind w:left="113" w:right="113"/>
              <w:jc w:val="center"/>
              <w:rPr>
                <w:sz w:val="20"/>
                <w:lang w:val="sr-Cyrl-CS"/>
              </w:rPr>
            </w:pPr>
            <w:r w:rsidRPr="00092ED7">
              <w:rPr>
                <w:rFonts w:eastAsia="Times New Roman" w:cs="Times New Roman"/>
                <w:sz w:val="20"/>
                <w:lang w:val="sr-Cyrl-CS"/>
              </w:rPr>
              <w:t>Ниска</w:t>
            </w:r>
          </w:p>
        </w:tc>
        <w:tc>
          <w:tcPr>
            <w:tcW w:w="3544" w:type="dxa"/>
            <w:tcBorders>
              <w:top w:val="single" w:sz="4" w:space="0" w:color="auto"/>
              <w:left w:val="single" w:sz="4" w:space="0" w:color="auto"/>
              <w:bottom w:val="single" w:sz="4" w:space="0" w:color="auto"/>
              <w:right w:val="single" w:sz="4" w:space="0" w:color="auto"/>
            </w:tcBorders>
            <w:vAlign w:val="top"/>
          </w:tcPr>
          <w:p w14:paraId="70D53654" w14:textId="77777777" w:rsidR="00D210F0" w:rsidRPr="00092ED7" w:rsidRDefault="00D210F0" w:rsidP="00757D8D">
            <w:pPr>
              <w:spacing w:before="0" w:after="0"/>
              <w:ind w:left="113" w:right="113"/>
              <w:rPr>
                <w:sz w:val="20"/>
                <w:lang w:val="sr-Cyrl-CS"/>
              </w:rPr>
            </w:pPr>
            <w:r w:rsidRPr="00092ED7">
              <w:rPr>
                <w:rFonts w:eastAsia="Times New Roman" w:cs="Times New Roman"/>
                <w:sz w:val="20"/>
                <w:lang w:val="sr-Cyrl-CS"/>
              </w:rPr>
              <w:t>Интензивна промоција подршке</w:t>
            </w:r>
            <w:r w:rsidR="00D47BD8" w:rsidRPr="00092ED7">
              <w:rPr>
                <w:rFonts w:eastAsia="Times New Roman" w:cs="Times New Roman"/>
                <w:sz w:val="20"/>
                <w:lang w:val="sr-Cyrl-CS"/>
              </w:rPr>
              <w:t>.</w:t>
            </w:r>
          </w:p>
        </w:tc>
      </w:tr>
    </w:tbl>
    <w:p w14:paraId="0A42457E" w14:textId="77777777" w:rsidR="00D210F0" w:rsidRPr="00092ED7" w:rsidRDefault="00D210F0" w:rsidP="00D210F0">
      <w:pPr>
        <w:spacing w:before="360"/>
        <w:rPr>
          <w:rFonts w:cs="Times New Roman"/>
          <w:b/>
          <w:bCs/>
          <w:szCs w:val="24"/>
          <w:lang w:val="sr-Cyrl-CS"/>
        </w:rPr>
      </w:pPr>
      <w:r w:rsidRPr="00092ED7">
        <w:rPr>
          <w:rFonts w:cs="Times New Roman"/>
          <w:b/>
          <w:bCs/>
          <w:szCs w:val="24"/>
          <w:u w:val="single"/>
          <w:lang w:val="sr-Cyrl-CS"/>
        </w:rPr>
        <w:t>СТРУКТУРНА РЕФОРМА 17</w:t>
      </w:r>
      <w:r w:rsidRPr="00092ED7">
        <w:rPr>
          <w:rFonts w:cs="Times New Roman"/>
          <w:b/>
          <w:bCs/>
          <w:szCs w:val="24"/>
          <w:lang w:val="sr-Cyrl-CS"/>
        </w:rPr>
        <w:t xml:space="preserve">: </w:t>
      </w:r>
      <w:r w:rsidRPr="00092ED7">
        <w:rPr>
          <w:rFonts w:cs="Times New Roman"/>
          <w:szCs w:val="24"/>
          <w:lang w:val="sr-Cyrl-CS"/>
        </w:rPr>
        <w:t>СТВАРАЊЕ УСЛОВА ЗА РАЗВОЈ БИОНАУКА И БИОЕКОНОМИЈЕ КРОЗ ИЗГРАДЊУ БИО4 КАМПУСА</w:t>
      </w:r>
    </w:p>
    <w:p w14:paraId="2B709697" w14:textId="77777777" w:rsidR="00D210F0" w:rsidRPr="00092ED7" w:rsidRDefault="00D210F0" w:rsidP="00071952">
      <w:pPr>
        <w:widowControl w:val="0"/>
        <w:numPr>
          <w:ilvl w:val="0"/>
          <w:numId w:val="33"/>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194DF1F4" w14:textId="6FF3F4D3" w:rsidR="00D210F0" w:rsidRPr="00092ED7" w:rsidRDefault="00D210F0" w:rsidP="00943F16">
      <w:pPr>
        <w:widowControl w:val="0"/>
        <w:tabs>
          <w:tab w:val="left" w:pos="180"/>
          <w:tab w:val="left" w:pos="360"/>
        </w:tabs>
        <w:spacing w:after="60"/>
        <w:rPr>
          <w:rFonts w:eastAsia="Times New Roman" w:cs="Times New Roman"/>
          <w:szCs w:val="24"/>
          <w:lang w:val="sr-Cyrl-CS"/>
        </w:rPr>
      </w:pPr>
      <w:r w:rsidRPr="00092ED7">
        <w:rPr>
          <w:rFonts w:eastAsia="Times New Roman" w:cs="Times New Roman"/>
          <w:szCs w:val="24"/>
          <w:lang w:val="sr-Cyrl-CS"/>
        </w:rPr>
        <w:t>Реформа има за циљ пружање подршке интензивираном развоју у областима биотехнологије, биомедицине, биоинформатике и биодиверзитета</w:t>
      </w:r>
      <w:r w:rsidRPr="00092ED7">
        <w:rPr>
          <w:szCs w:val="24"/>
          <w:lang w:val="sr-Cyrl-CS"/>
        </w:rPr>
        <w:t xml:space="preserve"> </w:t>
      </w:r>
      <w:r w:rsidRPr="00092ED7">
        <w:rPr>
          <w:rFonts w:eastAsia="Times New Roman" w:cs="Times New Roman"/>
          <w:szCs w:val="24"/>
          <w:lang w:val="sr-Cyrl-CS"/>
        </w:rPr>
        <w:t>(</w:t>
      </w:r>
      <w:r w:rsidR="00564BDA" w:rsidRPr="00092ED7">
        <w:rPr>
          <w:rFonts w:eastAsia="Times New Roman" w:cs="Times New Roman"/>
          <w:szCs w:val="24"/>
          <w:lang w:val="sr-Cyrl-CS"/>
        </w:rPr>
        <w:t xml:space="preserve">у даљем тексту: </w:t>
      </w:r>
      <w:r w:rsidRPr="00092ED7">
        <w:rPr>
          <w:rFonts w:cs="Times New Roman"/>
          <w:szCs w:val="24"/>
          <w:lang w:val="sr-Cyrl-CS"/>
        </w:rPr>
        <w:t>БИО4). Подразумева изградњу БИО4</w:t>
      </w:r>
      <w:r w:rsidRPr="00092ED7">
        <w:rPr>
          <w:rFonts w:eastAsia="Times New Roman" w:cs="Times New Roman"/>
          <w:szCs w:val="24"/>
          <w:lang w:val="sr-Cyrl-CS"/>
        </w:rPr>
        <w:t xml:space="preserve"> кампуса, који ће бити први овакав кампус у ширем региону и препозната тачка на глобалној мапи развоја у овој области. Изградњом овог кампуса биће створена прилика за концентрацију стручњака, мултидисциплинарних експертиза најмодернијих технологија и инфраструктуре (факултети, институти, научно-технолошки парк итд) у областима биотехнологије, биомедицине, биоинформатике и биодиверзитета.</w:t>
      </w:r>
    </w:p>
    <w:p w14:paraId="5E47E1F9" w14:textId="1B847121" w:rsidR="00BA1B20" w:rsidRDefault="00D210F0" w:rsidP="00047167">
      <w:pPr>
        <w:widowControl w:val="0"/>
        <w:spacing w:after="60"/>
        <w:rPr>
          <w:rFonts w:eastAsia="Times New Roman" w:cs="Times New Roman"/>
          <w:color w:val="000000" w:themeColor="text1"/>
          <w:szCs w:val="24"/>
          <w:lang w:val="sr-Cyrl-CS"/>
        </w:rPr>
      </w:pPr>
      <w:r w:rsidRPr="00092ED7">
        <w:rPr>
          <w:rFonts w:eastAsia="Times New Roman" w:cs="Times New Roman"/>
          <w:color w:val="000000" w:themeColor="text1"/>
          <w:szCs w:val="24"/>
          <w:lang w:val="sr-Cyrl-CS"/>
        </w:rPr>
        <w:t xml:space="preserve">Током претходног периода </w:t>
      </w:r>
      <w:r w:rsidR="00D20607" w:rsidRPr="00092ED7">
        <w:rPr>
          <w:rFonts w:eastAsia="Times New Roman" w:cs="Times New Roman"/>
          <w:color w:val="000000" w:themeColor="text1"/>
          <w:szCs w:val="24"/>
          <w:lang w:val="sr-Cyrl-CS"/>
        </w:rPr>
        <w:t xml:space="preserve">припремљено </w:t>
      </w:r>
      <w:r w:rsidRPr="00092ED7">
        <w:rPr>
          <w:rFonts w:eastAsia="Times New Roman" w:cs="Times New Roman"/>
          <w:color w:val="000000" w:themeColor="text1"/>
          <w:szCs w:val="24"/>
          <w:lang w:val="sr-Cyrl-CS"/>
        </w:rPr>
        <w:t xml:space="preserve">је идејно решење </w:t>
      </w:r>
      <w:r w:rsidR="00D20607" w:rsidRPr="00092ED7">
        <w:rPr>
          <w:rFonts w:eastAsia="Times New Roman" w:cs="Times New Roman"/>
          <w:color w:val="000000" w:themeColor="text1"/>
          <w:szCs w:val="24"/>
          <w:lang w:val="sr-Cyrl-CS"/>
        </w:rPr>
        <w:t xml:space="preserve">за кампус </w:t>
      </w:r>
      <w:r w:rsidRPr="00092ED7">
        <w:rPr>
          <w:rFonts w:eastAsia="Times New Roman" w:cs="Times New Roman"/>
          <w:color w:val="000000" w:themeColor="text1"/>
          <w:szCs w:val="24"/>
          <w:lang w:val="sr-Cyrl-CS"/>
        </w:rPr>
        <w:t xml:space="preserve">и ради се на финализацији пројектно-техничке документације. Док се не изгради инфраструктура, БИО4 кампус се користи као платформа за повезивање са различитим партнерима, у држави и глобално, стога је, </w:t>
      </w:r>
      <w:r w:rsidR="00172EDF" w:rsidRPr="00092ED7">
        <w:rPr>
          <w:rFonts w:eastAsia="Times New Roman" w:cs="Times New Roman"/>
          <w:color w:val="000000" w:themeColor="text1"/>
          <w:szCs w:val="24"/>
          <w:lang w:val="sr-Cyrl-CS"/>
        </w:rPr>
        <w:t xml:space="preserve">како </w:t>
      </w:r>
      <w:r w:rsidRPr="00092ED7">
        <w:rPr>
          <w:rFonts w:eastAsia="Times New Roman" w:cs="Times New Roman"/>
          <w:color w:val="000000" w:themeColor="text1"/>
          <w:szCs w:val="24"/>
          <w:lang w:val="sr-Cyrl-CS"/>
        </w:rPr>
        <w:t>у претходном периоду</w:t>
      </w:r>
      <w:r w:rsidR="00172EDF" w:rsidRPr="00092ED7">
        <w:rPr>
          <w:rFonts w:eastAsia="Times New Roman" w:cs="Times New Roman"/>
          <w:color w:val="000000" w:themeColor="text1"/>
          <w:szCs w:val="24"/>
          <w:lang w:val="sr-Cyrl-CS"/>
        </w:rPr>
        <w:t xml:space="preserve"> тако и у наредном</w:t>
      </w:r>
      <w:r w:rsidRPr="00092ED7">
        <w:rPr>
          <w:rFonts w:eastAsia="Times New Roman" w:cs="Times New Roman"/>
          <w:color w:val="000000" w:themeColor="text1"/>
          <w:szCs w:val="24"/>
          <w:lang w:val="sr-Cyrl-CS"/>
        </w:rPr>
        <w:t xml:space="preserve">, </w:t>
      </w:r>
      <w:r w:rsidR="00172EDF" w:rsidRPr="00092ED7">
        <w:rPr>
          <w:rFonts w:eastAsia="Times New Roman" w:cs="Times New Roman"/>
          <w:color w:val="000000" w:themeColor="text1"/>
          <w:szCs w:val="24"/>
          <w:lang w:val="sr-Cyrl-CS"/>
        </w:rPr>
        <w:t xml:space="preserve">посебан приоритет </w:t>
      </w:r>
      <w:r w:rsidRPr="00092ED7">
        <w:rPr>
          <w:rFonts w:eastAsia="Times New Roman" w:cs="Times New Roman"/>
          <w:color w:val="000000" w:themeColor="text1"/>
          <w:szCs w:val="24"/>
          <w:lang w:val="sr-Cyrl-CS"/>
        </w:rPr>
        <w:t>повезивање са међународном истраживачком и пословном заједницом у овим областима.</w:t>
      </w:r>
      <w:r w:rsidRPr="00092ED7">
        <w:rPr>
          <w:szCs w:val="24"/>
          <w:lang w:val="sr-Cyrl-CS"/>
        </w:rPr>
        <w:t xml:space="preserve"> </w:t>
      </w:r>
      <w:r w:rsidRPr="00092ED7">
        <w:rPr>
          <w:rFonts w:eastAsia="Times New Roman" w:cs="Times New Roman"/>
          <w:color w:val="000000" w:themeColor="text1"/>
          <w:szCs w:val="24"/>
          <w:lang w:val="sr-Cyrl-CS"/>
        </w:rPr>
        <w:t xml:space="preserve">Упоредо са успостављањем </w:t>
      </w:r>
      <w:r w:rsidRPr="00092ED7">
        <w:rPr>
          <w:rFonts w:cs="Times New Roman"/>
          <w:szCs w:val="24"/>
          <w:lang w:val="sr-Cyrl-CS"/>
        </w:rPr>
        <w:t>БИО4</w:t>
      </w:r>
      <w:r w:rsidRPr="00092ED7">
        <w:rPr>
          <w:rFonts w:eastAsia="Times New Roman" w:cs="Times New Roman"/>
          <w:color w:val="000000" w:themeColor="text1"/>
          <w:szCs w:val="24"/>
          <w:lang w:val="sr-Cyrl-CS"/>
        </w:rPr>
        <w:t xml:space="preserve"> кампуса, интензивно се ради на трансформацији пословања и креирању планова реформи научно-истраживачких института, као и подизању њихових капацитета, будући да </w:t>
      </w:r>
      <w:r w:rsidR="00C270BD" w:rsidRPr="00092ED7">
        <w:rPr>
          <w:rFonts w:eastAsia="Times New Roman" w:cs="Times New Roman"/>
          <w:color w:val="000000" w:themeColor="text1"/>
          <w:szCs w:val="24"/>
          <w:lang w:val="sr-Cyrl-CS"/>
        </w:rPr>
        <w:t xml:space="preserve">је </w:t>
      </w:r>
      <w:r w:rsidRPr="00092ED7">
        <w:rPr>
          <w:rFonts w:eastAsia="Times New Roman" w:cs="Times New Roman"/>
          <w:color w:val="000000" w:themeColor="text1"/>
          <w:szCs w:val="24"/>
          <w:lang w:val="sr-Cyrl-CS"/>
        </w:rPr>
        <w:t xml:space="preserve">њихова улога у будућем функционисању </w:t>
      </w:r>
      <w:r w:rsidRPr="00092ED7">
        <w:rPr>
          <w:rFonts w:cs="Times New Roman"/>
          <w:szCs w:val="24"/>
          <w:lang w:val="sr-Cyrl-CS"/>
        </w:rPr>
        <w:t>БИО4</w:t>
      </w:r>
      <w:r w:rsidRPr="00092ED7">
        <w:rPr>
          <w:rFonts w:eastAsia="Times New Roman" w:cs="Times New Roman"/>
          <w:color w:val="000000" w:themeColor="text1"/>
          <w:szCs w:val="24"/>
          <w:lang w:val="sr-Cyrl-CS"/>
        </w:rPr>
        <w:t xml:space="preserve"> кампуса</w:t>
      </w:r>
      <w:r w:rsidR="00C270BD" w:rsidRPr="00092ED7">
        <w:rPr>
          <w:rFonts w:eastAsia="Times New Roman" w:cs="Times New Roman"/>
          <w:color w:val="000000" w:themeColor="text1"/>
          <w:szCs w:val="24"/>
          <w:lang w:val="sr-Cyrl-CS"/>
        </w:rPr>
        <w:t xml:space="preserve"> кључна</w:t>
      </w:r>
      <w:r w:rsidRPr="00092ED7">
        <w:rPr>
          <w:rFonts w:eastAsia="Times New Roman" w:cs="Times New Roman"/>
          <w:color w:val="000000" w:themeColor="text1"/>
          <w:szCs w:val="24"/>
          <w:lang w:val="sr-Cyrl-CS"/>
        </w:rPr>
        <w:t>.</w:t>
      </w:r>
    </w:p>
    <w:p w14:paraId="42F4C6C5" w14:textId="77777777" w:rsidR="00BA1B20" w:rsidRDefault="00BA1B20">
      <w:pPr>
        <w:spacing w:after="160" w:line="259" w:lineRule="auto"/>
        <w:jc w:val="left"/>
        <w:rPr>
          <w:rFonts w:eastAsia="Times New Roman" w:cs="Times New Roman"/>
          <w:color w:val="000000" w:themeColor="text1"/>
          <w:szCs w:val="24"/>
          <w:lang w:val="sr-Cyrl-CS"/>
        </w:rPr>
      </w:pPr>
      <w:r>
        <w:rPr>
          <w:rFonts w:eastAsia="Times New Roman" w:cs="Times New Roman"/>
          <w:color w:val="000000" w:themeColor="text1"/>
          <w:szCs w:val="24"/>
          <w:lang w:val="sr-Cyrl-CS"/>
        </w:rPr>
        <w:br w:type="page"/>
      </w:r>
    </w:p>
    <w:p w14:paraId="06B5007A" w14:textId="77777777" w:rsidR="00D210F0" w:rsidRPr="00092ED7" w:rsidRDefault="00D210F0" w:rsidP="00071952">
      <w:pPr>
        <w:widowControl w:val="0"/>
        <w:numPr>
          <w:ilvl w:val="0"/>
          <w:numId w:val="33"/>
        </w:numPr>
        <w:spacing w:before="120"/>
        <w:ind w:left="425" w:hanging="425"/>
        <w:rPr>
          <w:rFonts w:cs="Times New Roman"/>
          <w:b/>
          <w:smallCaps/>
          <w:lang w:val="sr-Cyrl-CS"/>
        </w:rPr>
      </w:pPr>
      <w:r w:rsidRPr="00092ED7">
        <w:rPr>
          <w:rFonts w:cs="Times New Roman"/>
          <w:b/>
          <w:bCs/>
          <w:szCs w:val="24"/>
          <w:lang w:val="sr-Cyrl-CS"/>
        </w:rPr>
        <w:t>Планиране активности по годинама</w:t>
      </w:r>
    </w:p>
    <w:tbl>
      <w:tblPr>
        <w:tblW w:w="9062" w:type="dxa"/>
        <w:tblLayout w:type="fixed"/>
        <w:tblCellMar>
          <w:left w:w="0" w:type="dxa"/>
          <w:right w:w="0" w:type="dxa"/>
        </w:tblCellMar>
        <w:tblLook w:val="04A0" w:firstRow="1" w:lastRow="0" w:firstColumn="1" w:lastColumn="0" w:noHBand="0" w:noVBand="1"/>
      </w:tblPr>
      <w:tblGrid>
        <w:gridCol w:w="417"/>
        <w:gridCol w:w="4251"/>
        <w:gridCol w:w="366"/>
        <w:gridCol w:w="367"/>
        <w:gridCol w:w="365"/>
        <w:gridCol w:w="368"/>
        <w:gridCol w:w="365"/>
        <w:gridCol w:w="366"/>
        <w:gridCol w:w="366"/>
        <w:gridCol w:w="367"/>
        <w:gridCol w:w="366"/>
        <w:gridCol w:w="365"/>
        <w:gridCol w:w="366"/>
        <w:gridCol w:w="367"/>
      </w:tblGrid>
      <w:tr w:rsidR="00D210F0" w:rsidRPr="00092ED7" w14:paraId="15239291" w14:textId="77777777" w:rsidTr="00B57FE8">
        <w:trPr>
          <w:trHeight w:val="310"/>
        </w:trPr>
        <w:tc>
          <w:tcPr>
            <w:tcW w:w="417" w:type="dxa"/>
            <w:vMerge w:val="restart"/>
            <w:tcBorders>
              <w:top w:val="single" w:sz="8" w:space="0" w:color="auto"/>
              <w:left w:val="single" w:sz="8" w:space="0" w:color="auto"/>
              <w:bottom w:val="single" w:sz="8" w:space="0" w:color="000000"/>
              <w:right w:val="nil"/>
            </w:tcBorders>
            <w:shd w:val="clear" w:color="auto" w:fill="BDD6EE"/>
            <w:tcMar>
              <w:top w:w="15" w:type="dxa"/>
              <w:left w:w="15" w:type="dxa"/>
              <w:bottom w:w="0" w:type="dxa"/>
              <w:right w:w="15" w:type="dxa"/>
            </w:tcMar>
            <w:vAlign w:val="center"/>
            <w:hideMark/>
          </w:tcPr>
          <w:p w14:paraId="68DFF4D3" w14:textId="77777777" w:rsidR="00D210F0" w:rsidRPr="00092ED7" w:rsidRDefault="00D210F0" w:rsidP="00B57FE8">
            <w:pPr>
              <w:spacing w:after="0"/>
              <w:rPr>
                <w:rFonts w:cs="Times New Roman"/>
                <w:sz w:val="20"/>
                <w:szCs w:val="20"/>
                <w:lang w:val="sr-Cyrl-CS"/>
              </w:rPr>
            </w:pPr>
            <w:r w:rsidRPr="00092ED7">
              <w:rPr>
                <w:rFonts w:cs="Times New Roman"/>
                <w:b/>
                <w:bCs/>
                <w:color w:val="000000"/>
                <w:sz w:val="20"/>
                <w:szCs w:val="20"/>
                <w:lang w:val="sr-Cyrl-CS"/>
              </w:rPr>
              <w:t>РБ</w:t>
            </w:r>
          </w:p>
        </w:tc>
        <w:tc>
          <w:tcPr>
            <w:tcW w:w="4251"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72C03ECE" w14:textId="77777777" w:rsidR="00D210F0" w:rsidRPr="00092ED7" w:rsidRDefault="00D210F0" w:rsidP="00B57FE8">
            <w:pPr>
              <w:spacing w:after="0"/>
              <w:rPr>
                <w:rFonts w:cs="Times New Roman"/>
                <w:sz w:val="20"/>
                <w:szCs w:val="20"/>
                <w:lang w:val="sr-Cyrl-CS"/>
              </w:rPr>
            </w:pPr>
            <w:r w:rsidRPr="00092ED7">
              <w:rPr>
                <w:rFonts w:cs="Times New Roman"/>
                <w:b/>
                <w:bCs/>
                <w:color w:val="000000"/>
                <w:sz w:val="20"/>
                <w:szCs w:val="20"/>
                <w:lang w:val="sr-Cyrl-CS"/>
              </w:rPr>
              <w:t>Планиране активности</w:t>
            </w:r>
          </w:p>
        </w:tc>
        <w:tc>
          <w:tcPr>
            <w:tcW w:w="1466"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54366437" w14:textId="77777777" w:rsidR="00D210F0" w:rsidRPr="00092ED7" w:rsidRDefault="00D210F0" w:rsidP="00B57FE8">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64"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5AF63BA" w14:textId="77777777" w:rsidR="00D210F0" w:rsidRPr="00092ED7" w:rsidRDefault="00D210F0" w:rsidP="00B57FE8">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64"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491B6ED" w14:textId="77777777" w:rsidR="00D210F0" w:rsidRPr="00092ED7" w:rsidRDefault="00D210F0" w:rsidP="00B57FE8">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1FBCABD7" w14:textId="77777777" w:rsidTr="00B57FE8">
        <w:trPr>
          <w:trHeight w:val="310"/>
        </w:trPr>
        <w:tc>
          <w:tcPr>
            <w:tcW w:w="417" w:type="dxa"/>
            <w:vMerge/>
            <w:tcBorders>
              <w:top w:val="single" w:sz="8" w:space="0" w:color="auto"/>
              <w:left w:val="single" w:sz="8" w:space="0" w:color="auto"/>
              <w:bottom w:val="single" w:sz="8" w:space="0" w:color="000000"/>
              <w:right w:val="nil"/>
            </w:tcBorders>
            <w:vAlign w:val="center"/>
            <w:hideMark/>
          </w:tcPr>
          <w:p w14:paraId="10BA90E2" w14:textId="77777777" w:rsidR="00D210F0" w:rsidRPr="00092ED7" w:rsidRDefault="00D210F0" w:rsidP="00B57FE8">
            <w:pPr>
              <w:spacing w:after="0"/>
              <w:rPr>
                <w:rFonts w:cs="Times New Roman"/>
                <w:sz w:val="20"/>
                <w:szCs w:val="20"/>
                <w:lang w:val="sr-Cyrl-CS" w:eastAsia="sr-Cyrl-CS" w:bidi="sr-Cyrl-CS"/>
              </w:rPr>
            </w:pPr>
          </w:p>
        </w:tc>
        <w:tc>
          <w:tcPr>
            <w:tcW w:w="4251"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6054D729" w14:textId="77777777" w:rsidR="00D210F0" w:rsidRPr="00092ED7" w:rsidRDefault="00D210F0" w:rsidP="00B57FE8">
            <w:pPr>
              <w:spacing w:after="0"/>
              <w:rPr>
                <w:rFonts w:cs="Times New Roman"/>
                <w:sz w:val="20"/>
                <w:szCs w:val="20"/>
                <w:lang w:val="sr-Cyrl-CS" w:eastAsia="sr-Cyrl-CS" w:bidi="sr-Cyrl-CS"/>
              </w:rPr>
            </w:pPr>
          </w:p>
        </w:tc>
        <w:tc>
          <w:tcPr>
            <w:tcW w:w="366"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1CF2E6A"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4346F46"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65"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A9DB74F"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68"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F8E1450"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c>
          <w:tcPr>
            <w:tcW w:w="365"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8AE06E4"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66"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74B641F"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66"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24CC684"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67"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466873D8"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c>
          <w:tcPr>
            <w:tcW w:w="366"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03100A8"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65"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2F3090B"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66"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0AEC6EF"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67"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6C1293CA"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r>
      <w:tr w:rsidR="00D210F0" w:rsidRPr="00092ED7" w14:paraId="3B3CBDAF" w14:textId="77777777" w:rsidTr="00B57FE8">
        <w:trPr>
          <w:trHeight w:val="295"/>
        </w:trPr>
        <w:tc>
          <w:tcPr>
            <w:tcW w:w="417"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24190989" w14:textId="77777777" w:rsidR="00D210F0" w:rsidRPr="00092ED7" w:rsidRDefault="00D210F0" w:rsidP="00B57FE8">
            <w:pPr>
              <w:spacing w:after="0"/>
              <w:jc w:val="center"/>
              <w:rPr>
                <w:rFonts w:cs="Times New Roman"/>
                <w:b/>
                <w:sz w:val="20"/>
                <w:szCs w:val="20"/>
                <w:lang w:val="sr-Cyrl-CS"/>
              </w:rPr>
            </w:pPr>
            <w:r w:rsidRPr="00092ED7">
              <w:rPr>
                <w:rFonts w:cs="Times New Roman"/>
                <w:b/>
                <w:sz w:val="20"/>
                <w:szCs w:val="20"/>
                <w:lang w:val="sr-Cyrl-CS"/>
              </w:rPr>
              <w:t>1.</w:t>
            </w:r>
          </w:p>
        </w:tc>
        <w:tc>
          <w:tcPr>
            <w:tcW w:w="4251"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6F8F899C" w14:textId="77777777" w:rsidR="00D210F0" w:rsidRPr="00092ED7" w:rsidRDefault="00D210F0" w:rsidP="00B57FE8">
            <w:pPr>
              <w:spacing w:after="0"/>
              <w:ind w:right="210"/>
              <w:rPr>
                <w:rFonts w:cs="Times New Roman"/>
                <w:sz w:val="20"/>
                <w:szCs w:val="20"/>
                <w:lang w:val="sr-Cyrl-CS"/>
              </w:rPr>
            </w:pPr>
            <w:r w:rsidRPr="00092ED7">
              <w:rPr>
                <w:rFonts w:cs="Times New Roman"/>
                <w:sz w:val="20"/>
                <w:szCs w:val="20"/>
                <w:lang w:val="sr-Cyrl-CS"/>
              </w:rPr>
              <w:t xml:space="preserve">Припрема </w:t>
            </w:r>
            <w:r w:rsidR="00C97C81" w:rsidRPr="00092ED7">
              <w:rPr>
                <w:rFonts w:cs="Times New Roman"/>
                <w:sz w:val="20"/>
                <w:szCs w:val="20"/>
                <w:lang w:val="sr-Cyrl-CS"/>
              </w:rPr>
              <w:t xml:space="preserve">пројектно-техничке </w:t>
            </w:r>
            <w:r w:rsidRPr="00092ED7">
              <w:rPr>
                <w:rFonts w:cs="Times New Roman"/>
                <w:sz w:val="20"/>
                <w:szCs w:val="20"/>
                <w:lang w:val="sr-Cyrl-CS"/>
              </w:rPr>
              <w:t>документације за изградњу БИО4 кампуса и обезбеђивање извора финансирања изградње</w:t>
            </w:r>
          </w:p>
        </w:tc>
        <w:tc>
          <w:tcPr>
            <w:tcW w:w="36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09F1264"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19175C0"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45EFE1F" w14:textId="77777777" w:rsidR="00D210F0" w:rsidRPr="00092ED7" w:rsidRDefault="00D210F0" w:rsidP="00B57FE8">
            <w:pPr>
              <w:spacing w:after="0"/>
              <w:rPr>
                <w:rFonts w:cs="Times New Roman"/>
                <w:color w:val="000000"/>
                <w:sz w:val="18"/>
                <w:szCs w:val="18"/>
                <w:lang w:val="sr-Cyrl-CS"/>
              </w:rPr>
            </w:pPr>
          </w:p>
        </w:tc>
        <w:tc>
          <w:tcPr>
            <w:tcW w:w="368"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B47CE05"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CB758B9"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0D3B947"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577AD3C"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B3DCBD7"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CC1A017"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B2779E9"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47C942C"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A4D1C20" w14:textId="77777777" w:rsidR="00D210F0" w:rsidRPr="00092ED7" w:rsidRDefault="00D210F0" w:rsidP="00B57FE8">
            <w:pPr>
              <w:spacing w:after="0"/>
              <w:rPr>
                <w:rFonts w:cs="Times New Roman"/>
                <w:color w:val="000000"/>
                <w:sz w:val="18"/>
                <w:szCs w:val="18"/>
                <w:lang w:val="sr-Cyrl-CS"/>
              </w:rPr>
            </w:pPr>
          </w:p>
        </w:tc>
      </w:tr>
      <w:tr w:rsidR="00D210F0" w:rsidRPr="00092ED7" w14:paraId="0AE6D62D" w14:textId="77777777" w:rsidTr="00CB66AD">
        <w:trPr>
          <w:trHeight w:val="295"/>
        </w:trPr>
        <w:tc>
          <w:tcPr>
            <w:tcW w:w="417" w:type="dxa"/>
            <w:tcBorders>
              <w:top w:val="nil"/>
              <w:left w:val="single" w:sz="8" w:space="0" w:color="auto"/>
              <w:bottom w:val="single" w:sz="4" w:space="0" w:color="auto"/>
              <w:right w:val="nil"/>
            </w:tcBorders>
            <w:tcMar>
              <w:top w:w="15" w:type="dxa"/>
              <w:left w:w="15" w:type="dxa"/>
              <w:bottom w:w="0" w:type="dxa"/>
              <w:right w:w="15" w:type="dxa"/>
            </w:tcMar>
            <w:hideMark/>
          </w:tcPr>
          <w:p w14:paraId="2445B60C" w14:textId="77777777" w:rsidR="00D210F0" w:rsidRPr="00092ED7" w:rsidRDefault="00D210F0" w:rsidP="00B57FE8">
            <w:pPr>
              <w:spacing w:after="0"/>
              <w:jc w:val="center"/>
              <w:rPr>
                <w:rFonts w:cs="Times New Roman"/>
                <w:b/>
                <w:sz w:val="20"/>
                <w:szCs w:val="20"/>
                <w:lang w:val="sr-Cyrl-CS"/>
              </w:rPr>
            </w:pPr>
            <w:r w:rsidRPr="00092ED7">
              <w:rPr>
                <w:rFonts w:cs="Times New Roman"/>
                <w:b/>
                <w:sz w:val="20"/>
                <w:szCs w:val="20"/>
                <w:lang w:val="sr-Cyrl-CS"/>
              </w:rPr>
              <w:t>2.</w:t>
            </w:r>
          </w:p>
        </w:tc>
        <w:tc>
          <w:tcPr>
            <w:tcW w:w="4251" w:type="dxa"/>
            <w:tcBorders>
              <w:top w:val="nil"/>
              <w:left w:val="single" w:sz="8" w:space="0" w:color="auto"/>
              <w:bottom w:val="single" w:sz="4" w:space="0" w:color="auto"/>
              <w:right w:val="single" w:sz="4" w:space="0" w:color="auto"/>
            </w:tcBorders>
            <w:tcMar>
              <w:top w:w="15" w:type="dxa"/>
              <w:left w:w="15" w:type="dxa"/>
              <w:bottom w:w="0" w:type="dxa"/>
              <w:right w:w="15" w:type="dxa"/>
            </w:tcMar>
            <w:hideMark/>
          </w:tcPr>
          <w:p w14:paraId="2165AB2D" w14:textId="77777777" w:rsidR="00D210F0" w:rsidRPr="00092ED7" w:rsidRDefault="00D210F0" w:rsidP="00B57FE8">
            <w:pPr>
              <w:spacing w:after="0"/>
              <w:ind w:right="210"/>
              <w:rPr>
                <w:rFonts w:cs="Times New Roman"/>
                <w:sz w:val="20"/>
                <w:szCs w:val="20"/>
                <w:lang w:val="sr-Cyrl-CS"/>
              </w:rPr>
            </w:pPr>
            <w:r w:rsidRPr="00092ED7">
              <w:rPr>
                <w:rFonts w:cs="Times New Roman"/>
                <w:sz w:val="20"/>
                <w:szCs w:val="20"/>
                <w:lang w:val="sr-Cyrl-CS"/>
              </w:rPr>
              <w:t>Изградња БИО4 кампуса, укључујући припрему спецификације и набавку потребне опреме</w:t>
            </w:r>
          </w:p>
        </w:tc>
        <w:tc>
          <w:tcPr>
            <w:tcW w:w="366"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4649565" w14:textId="77777777" w:rsidR="00D210F0" w:rsidRPr="00092ED7" w:rsidRDefault="00D210F0" w:rsidP="00B57FE8">
            <w:pPr>
              <w:spacing w:after="0"/>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1C41870" w14:textId="77777777" w:rsidR="00D210F0" w:rsidRPr="00092ED7" w:rsidRDefault="00D210F0" w:rsidP="00B57FE8">
            <w:pPr>
              <w:spacing w:after="0"/>
              <w:rPr>
                <w:rFonts w:cs="Times New Roman"/>
                <w:color w:val="000000"/>
                <w:sz w:val="18"/>
                <w:szCs w:val="18"/>
                <w:lang w:val="sr-Cyrl-CS"/>
              </w:rPr>
            </w:pPr>
          </w:p>
        </w:tc>
        <w:tc>
          <w:tcPr>
            <w:tcW w:w="365"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AEA44DF" w14:textId="77777777" w:rsidR="00D210F0" w:rsidRPr="00092ED7" w:rsidRDefault="00D210F0" w:rsidP="00B57FE8">
            <w:pPr>
              <w:spacing w:after="0"/>
              <w:rPr>
                <w:rFonts w:cs="Times New Roman"/>
                <w:color w:val="000000"/>
                <w:sz w:val="18"/>
                <w:szCs w:val="18"/>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8610418" w14:textId="77777777" w:rsidR="00D210F0" w:rsidRPr="00092ED7" w:rsidRDefault="00D210F0" w:rsidP="00B57FE8">
            <w:pPr>
              <w:spacing w:after="0"/>
              <w:rPr>
                <w:rFonts w:cs="Times New Roman"/>
                <w:color w:val="000000"/>
                <w:sz w:val="18"/>
                <w:szCs w:val="18"/>
                <w:lang w:val="sr-Cyrl-CS"/>
              </w:rPr>
            </w:pPr>
          </w:p>
        </w:tc>
        <w:tc>
          <w:tcPr>
            <w:tcW w:w="365"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CE6C178" w14:textId="77777777" w:rsidR="00D210F0" w:rsidRPr="00092ED7" w:rsidRDefault="00D210F0" w:rsidP="00B57FE8">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B98EDA4" w14:textId="77777777" w:rsidR="00D210F0" w:rsidRPr="00092ED7" w:rsidRDefault="00D210F0" w:rsidP="00B57FE8">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4E16646" w14:textId="77777777" w:rsidR="00D210F0" w:rsidRPr="00092ED7" w:rsidRDefault="00D210F0" w:rsidP="00B57FE8">
            <w:pPr>
              <w:spacing w:after="0"/>
              <w:rPr>
                <w:rFonts w:cs="Times New Roman"/>
                <w:color w:val="000000"/>
                <w:sz w:val="18"/>
                <w:szCs w:val="18"/>
                <w:lang w:val="sr-Cyrl-CS"/>
              </w:rPr>
            </w:pPr>
          </w:p>
        </w:tc>
        <w:tc>
          <w:tcPr>
            <w:tcW w:w="367"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61D6006" w14:textId="77777777" w:rsidR="00D210F0" w:rsidRPr="00092ED7" w:rsidRDefault="00D210F0" w:rsidP="00B57FE8">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FF9A2CB" w14:textId="77777777" w:rsidR="00D210F0" w:rsidRPr="00092ED7" w:rsidRDefault="00D210F0" w:rsidP="00B57FE8">
            <w:pPr>
              <w:spacing w:after="0"/>
              <w:rPr>
                <w:rFonts w:cs="Times New Roman"/>
                <w:color w:val="000000"/>
                <w:sz w:val="18"/>
                <w:szCs w:val="18"/>
                <w:lang w:val="sr-Cyrl-CS"/>
              </w:rPr>
            </w:pPr>
          </w:p>
        </w:tc>
        <w:tc>
          <w:tcPr>
            <w:tcW w:w="365"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6E70CB3" w14:textId="77777777" w:rsidR="00D210F0" w:rsidRPr="00092ED7" w:rsidRDefault="00D210F0" w:rsidP="00B57FE8">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8DF2FC2" w14:textId="77777777" w:rsidR="00D210F0" w:rsidRPr="00092ED7" w:rsidRDefault="00D210F0" w:rsidP="00B57FE8">
            <w:pPr>
              <w:spacing w:after="0"/>
              <w:rPr>
                <w:rFonts w:cs="Times New Roman"/>
                <w:color w:val="000000"/>
                <w:sz w:val="18"/>
                <w:szCs w:val="18"/>
                <w:lang w:val="sr-Cyrl-CS"/>
              </w:rPr>
            </w:pPr>
          </w:p>
        </w:tc>
        <w:tc>
          <w:tcPr>
            <w:tcW w:w="367" w:type="dxa"/>
            <w:tcBorders>
              <w:top w:val="nil"/>
              <w:left w:val="nil"/>
              <w:bottom w:val="single" w:sz="4" w:space="0" w:color="auto"/>
              <w:right w:val="single" w:sz="8" w:space="0" w:color="auto"/>
            </w:tcBorders>
            <w:tcMar>
              <w:top w:w="15" w:type="dxa"/>
              <w:left w:w="15" w:type="dxa"/>
              <w:bottom w:w="0" w:type="dxa"/>
              <w:right w:w="15" w:type="dxa"/>
            </w:tcMar>
          </w:tcPr>
          <w:p w14:paraId="4537DB5A" w14:textId="77777777" w:rsidR="00D210F0" w:rsidRPr="00092ED7" w:rsidRDefault="00D210F0" w:rsidP="00B57FE8">
            <w:pPr>
              <w:spacing w:after="0"/>
              <w:rPr>
                <w:rFonts w:cs="Times New Roman"/>
                <w:color w:val="000000"/>
                <w:sz w:val="18"/>
                <w:szCs w:val="18"/>
                <w:lang w:val="sr-Cyrl-CS"/>
              </w:rPr>
            </w:pPr>
          </w:p>
        </w:tc>
      </w:tr>
      <w:tr w:rsidR="00D210F0" w:rsidRPr="00092ED7" w14:paraId="724E17C4" w14:textId="77777777" w:rsidTr="00CB66AD">
        <w:trPr>
          <w:trHeight w:val="295"/>
        </w:trPr>
        <w:tc>
          <w:tcPr>
            <w:tcW w:w="417" w:type="dxa"/>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hideMark/>
          </w:tcPr>
          <w:p w14:paraId="54B344F4" w14:textId="77777777" w:rsidR="00D210F0" w:rsidRPr="00092ED7" w:rsidRDefault="00D210F0" w:rsidP="00B57FE8">
            <w:pPr>
              <w:spacing w:after="0"/>
              <w:jc w:val="center"/>
              <w:rPr>
                <w:rFonts w:cs="Times New Roman"/>
                <w:b/>
                <w:sz w:val="20"/>
                <w:szCs w:val="20"/>
                <w:lang w:val="sr-Cyrl-CS"/>
              </w:rPr>
            </w:pPr>
            <w:r w:rsidRPr="00092ED7">
              <w:rPr>
                <w:rFonts w:cs="Times New Roman"/>
                <w:b/>
                <w:sz w:val="20"/>
                <w:szCs w:val="20"/>
                <w:lang w:val="sr-Cyrl-CS"/>
              </w:rPr>
              <w:t>3.</w:t>
            </w:r>
          </w:p>
        </w:tc>
        <w:tc>
          <w:tcPr>
            <w:tcW w:w="42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C691EDA" w14:textId="77777777" w:rsidR="00D210F0" w:rsidRPr="00092ED7" w:rsidRDefault="00D210F0" w:rsidP="00B57FE8">
            <w:pPr>
              <w:spacing w:after="0"/>
              <w:ind w:right="210"/>
              <w:rPr>
                <w:rFonts w:cs="Times New Roman"/>
                <w:sz w:val="20"/>
                <w:szCs w:val="20"/>
                <w:lang w:val="sr-Cyrl-CS"/>
              </w:rPr>
            </w:pPr>
            <w:r w:rsidRPr="00092ED7">
              <w:rPr>
                <w:rFonts w:cs="Times New Roman"/>
                <w:color w:val="000000"/>
                <w:sz w:val="20"/>
                <w:szCs w:val="20"/>
                <w:lang w:val="sr-Cyrl-CS"/>
              </w:rPr>
              <w:t>Повезивање корисника БИО4 кампуса са међународним научним и корпоративним партнерима</w:t>
            </w:r>
          </w:p>
        </w:tc>
        <w:tc>
          <w:tcPr>
            <w:tcW w:w="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7D185B5"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C035BF9"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7EC5CE3" w14:textId="77777777" w:rsidR="00D210F0" w:rsidRPr="00092ED7" w:rsidRDefault="00D210F0" w:rsidP="00B57FE8">
            <w:pPr>
              <w:spacing w:after="0"/>
              <w:rPr>
                <w:rFonts w:cs="Times New Roman"/>
                <w:color w:val="000000"/>
                <w:sz w:val="18"/>
                <w:szCs w:val="18"/>
                <w:lang w:val="sr-Cyrl-CS"/>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1B44D01"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CFADF5B"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F575E2E"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5C4E66D"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DC8A3A9"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53B6FD8"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43EAF6D"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3DCA91C"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3508012" w14:textId="77777777" w:rsidR="00D210F0" w:rsidRPr="00092ED7" w:rsidRDefault="00D210F0" w:rsidP="00B57FE8">
            <w:pPr>
              <w:spacing w:after="0"/>
              <w:rPr>
                <w:rFonts w:cs="Times New Roman"/>
                <w:color w:val="000000"/>
                <w:sz w:val="18"/>
                <w:szCs w:val="18"/>
                <w:lang w:val="sr-Cyrl-CS"/>
              </w:rPr>
            </w:pPr>
          </w:p>
        </w:tc>
      </w:tr>
      <w:tr w:rsidR="00D210F0" w:rsidRPr="00092ED7" w14:paraId="4EE16CBA" w14:textId="77777777" w:rsidTr="00127FE8">
        <w:trPr>
          <w:trHeight w:val="295"/>
        </w:trPr>
        <w:tc>
          <w:tcPr>
            <w:tcW w:w="417" w:type="dxa"/>
            <w:tcBorders>
              <w:top w:val="nil"/>
              <w:left w:val="single" w:sz="8" w:space="0" w:color="auto"/>
              <w:bottom w:val="single" w:sz="4" w:space="0" w:color="auto"/>
              <w:right w:val="nil"/>
            </w:tcBorders>
            <w:tcMar>
              <w:top w:w="15" w:type="dxa"/>
              <w:left w:w="15" w:type="dxa"/>
              <w:bottom w:w="0" w:type="dxa"/>
              <w:right w:w="15" w:type="dxa"/>
            </w:tcMar>
            <w:hideMark/>
          </w:tcPr>
          <w:p w14:paraId="38F2A354" w14:textId="77777777" w:rsidR="00D210F0" w:rsidRPr="00092ED7" w:rsidRDefault="00D210F0" w:rsidP="00B57FE8">
            <w:pPr>
              <w:spacing w:after="0"/>
              <w:jc w:val="center"/>
              <w:rPr>
                <w:rFonts w:cs="Times New Roman"/>
                <w:b/>
                <w:sz w:val="20"/>
                <w:szCs w:val="20"/>
                <w:lang w:val="sr-Cyrl-CS"/>
              </w:rPr>
            </w:pPr>
            <w:r w:rsidRPr="00092ED7">
              <w:rPr>
                <w:rFonts w:cs="Times New Roman"/>
                <w:b/>
                <w:sz w:val="20"/>
                <w:szCs w:val="20"/>
                <w:lang w:val="sr-Cyrl-CS"/>
              </w:rPr>
              <w:t>4.</w:t>
            </w:r>
          </w:p>
        </w:tc>
        <w:tc>
          <w:tcPr>
            <w:tcW w:w="4251" w:type="dxa"/>
            <w:tcBorders>
              <w:top w:val="nil"/>
              <w:left w:val="single" w:sz="8" w:space="0" w:color="auto"/>
              <w:bottom w:val="single" w:sz="4" w:space="0" w:color="auto"/>
              <w:right w:val="nil"/>
            </w:tcBorders>
            <w:tcMar>
              <w:top w:w="15" w:type="dxa"/>
              <w:left w:w="15" w:type="dxa"/>
              <w:bottom w:w="0" w:type="dxa"/>
              <w:right w:w="15" w:type="dxa"/>
            </w:tcMar>
            <w:hideMark/>
          </w:tcPr>
          <w:p w14:paraId="4F70A15C" w14:textId="77777777" w:rsidR="00D210F0" w:rsidRPr="00092ED7" w:rsidRDefault="00D210F0" w:rsidP="00B57FE8">
            <w:pPr>
              <w:spacing w:after="0"/>
              <w:ind w:right="210"/>
              <w:rPr>
                <w:rFonts w:cs="Times New Roman"/>
                <w:sz w:val="20"/>
                <w:szCs w:val="20"/>
                <w:lang w:val="sr-Cyrl-CS"/>
              </w:rPr>
            </w:pPr>
            <w:r w:rsidRPr="00092ED7">
              <w:rPr>
                <w:rFonts w:cs="Times New Roman"/>
                <w:sz w:val="20"/>
                <w:szCs w:val="20"/>
                <w:lang w:val="sr-Cyrl-CS"/>
              </w:rPr>
              <w:t>Спровођење планова трансформације научно-истраживачких института (чланице БИО4 кампуса)</w:t>
            </w:r>
          </w:p>
        </w:tc>
        <w:tc>
          <w:tcPr>
            <w:tcW w:w="366"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EEB2A14" w14:textId="77777777" w:rsidR="00D210F0" w:rsidRPr="00092ED7" w:rsidRDefault="00D210F0" w:rsidP="00B57FE8">
            <w:pPr>
              <w:spacing w:after="0"/>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EBA0B13" w14:textId="77777777" w:rsidR="00D210F0" w:rsidRPr="00092ED7" w:rsidRDefault="00D210F0" w:rsidP="00B57FE8">
            <w:pPr>
              <w:spacing w:after="0"/>
              <w:rPr>
                <w:rFonts w:cs="Times New Roman"/>
                <w:color w:val="000000"/>
                <w:sz w:val="18"/>
                <w:szCs w:val="18"/>
                <w:lang w:val="sr-Cyrl-CS"/>
              </w:rPr>
            </w:pPr>
          </w:p>
        </w:tc>
        <w:tc>
          <w:tcPr>
            <w:tcW w:w="365"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478829" w14:textId="77777777" w:rsidR="00D210F0" w:rsidRPr="00092ED7" w:rsidRDefault="00D210F0" w:rsidP="00B57FE8">
            <w:pPr>
              <w:spacing w:after="0"/>
              <w:rPr>
                <w:rFonts w:cs="Times New Roman"/>
                <w:color w:val="000000"/>
                <w:sz w:val="18"/>
                <w:szCs w:val="18"/>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D3F3F78" w14:textId="77777777" w:rsidR="00D210F0" w:rsidRPr="00092ED7" w:rsidRDefault="00D210F0" w:rsidP="00B57FE8">
            <w:pPr>
              <w:spacing w:after="0"/>
              <w:rPr>
                <w:rFonts w:cs="Times New Roman"/>
                <w:color w:val="000000"/>
                <w:sz w:val="18"/>
                <w:szCs w:val="18"/>
                <w:lang w:val="sr-Cyrl-CS"/>
              </w:rPr>
            </w:pPr>
          </w:p>
        </w:tc>
        <w:tc>
          <w:tcPr>
            <w:tcW w:w="365"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E72CFBC" w14:textId="77777777" w:rsidR="00D210F0" w:rsidRPr="00092ED7" w:rsidRDefault="00D210F0" w:rsidP="00B57FE8">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59843C6" w14:textId="77777777" w:rsidR="00D210F0" w:rsidRPr="00092ED7" w:rsidRDefault="00D210F0" w:rsidP="00B57FE8">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D6CF305" w14:textId="77777777" w:rsidR="00D210F0" w:rsidRPr="00092ED7" w:rsidRDefault="00D210F0" w:rsidP="00B57FE8">
            <w:pPr>
              <w:spacing w:after="0"/>
              <w:rPr>
                <w:rFonts w:cs="Times New Roman"/>
                <w:color w:val="000000"/>
                <w:sz w:val="18"/>
                <w:szCs w:val="18"/>
                <w:lang w:val="sr-Cyrl-CS"/>
              </w:rPr>
            </w:pPr>
          </w:p>
        </w:tc>
        <w:tc>
          <w:tcPr>
            <w:tcW w:w="367"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7B3FCD5" w14:textId="77777777" w:rsidR="00D210F0" w:rsidRPr="00092ED7" w:rsidRDefault="00D210F0" w:rsidP="00B57FE8">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EF72E27" w14:textId="77777777" w:rsidR="00D210F0" w:rsidRPr="00092ED7" w:rsidRDefault="00D210F0" w:rsidP="00B57FE8">
            <w:pPr>
              <w:spacing w:after="0"/>
              <w:rPr>
                <w:rFonts w:cs="Times New Roman"/>
                <w:color w:val="000000"/>
                <w:sz w:val="18"/>
                <w:szCs w:val="18"/>
                <w:lang w:val="sr-Cyrl-CS"/>
              </w:rPr>
            </w:pPr>
          </w:p>
        </w:tc>
        <w:tc>
          <w:tcPr>
            <w:tcW w:w="365"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BB25F8B" w14:textId="77777777" w:rsidR="00D210F0" w:rsidRPr="00092ED7" w:rsidRDefault="00D210F0" w:rsidP="00B57FE8">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5081503" w14:textId="77777777" w:rsidR="00D210F0" w:rsidRPr="00092ED7" w:rsidRDefault="00D210F0" w:rsidP="00B57FE8">
            <w:pPr>
              <w:spacing w:after="0"/>
              <w:rPr>
                <w:rFonts w:cs="Times New Roman"/>
                <w:color w:val="000000"/>
                <w:sz w:val="18"/>
                <w:szCs w:val="18"/>
                <w:lang w:val="sr-Cyrl-CS"/>
              </w:rPr>
            </w:pPr>
          </w:p>
        </w:tc>
        <w:tc>
          <w:tcPr>
            <w:tcW w:w="367"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21AF2CD" w14:textId="77777777" w:rsidR="00D210F0" w:rsidRPr="00092ED7" w:rsidRDefault="00D210F0" w:rsidP="00B57FE8">
            <w:pPr>
              <w:spacing w:after="0"/>
              <w:rPr>
                <w:rFonts w:cs="Times New Roman"/>
                <w:color w:val="000000"/>
                <w:sz w:val="18"/>
                <w:szCs w:val="18"/>
                <w:lang w:val="sr-Cyrl-CS"/>
              </w:rPr>
            </w:pPr>
          </w:p>
        </w:tc>
      </w:tr>
      <w:tr w:rsidR="00D210F0" w:rsidRPr="00092ED7" w14:paraId="780AE97A" w14:textId="77777777" w:rsidTr="00127FE8">
        <w:trPr>
          <w:trHeight w:val="295"/>
        </w:trPr>
        <w:tc>
          <w:tcPr>
            <w:tcW w:w="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3914F5A3" w14:textId="77777777" w:rsidR="00D210F0" w:rsidRPr="00092ED7" w:rsidRDefault="00D210F0" w:rsidP="00B57FE8">
            <w:pPr>
              <w:spacing w:after="0"/>
              <w:jc w:val="center"/>
              <w:rPr>
                <w:rFonts w:cs="Times New Roman"/>
                <w:b/>
                <w:sz w:val="20"/>
                <w:szCs w:val="20"/>
                <w:lang w:val="sr-Cyrl-CS"/>
              </w:rPr>
            </w:pPr>
            <w:r w:rsidRPr="00092ED7">
              <w:rPr>
                <w:rFonts w:cs="Times New Roman"/>
                <w:b/>
                <w:sz w:val="20"/>
                <w:szCs w:val="20"/>
                <w:lang w:val="sr-Cyrl-CS"/>
              </w:rPr>
              <w:t>5.</w:t>
            </w:r>
          </w:p>
        </w:tc>
        <w:tc>
          <w:tcPr>
            <w:tcW w:w="42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74202E6D" w14:textId="740FA5D7" w:rsidR="00D210F0" w:rsidRPr="00092ED7" w:rsidRDefault="00D210F0" w:rsidP="00B57FE8">
            <w:pPr>
              <w:spacing w:after="0"/>
              <w:ind w:right="210"/>
              <w:rPr>
                <w:rFonts w:cs="Times New Roman"/>
                <w:sz w:val="20"/>
                <w:szCs w:val="20"/>
                <w:lang w:val="sr-Cyrl-CS"/>
              </w:rPr>
            </w:pPr>
            <w:r w:rsidRPr="00092ED7">
              <w:rPr>
                <w:rFonts w:cs="Times New Roman"/>
                <w:sz w:val="20"/>
                <w:szCs w:val="20"/>
                <w:lang w:val="sr-Cyrl-CS"/>
              </w:rPr>
              <w:t>Припрема и усвајање Акционог плана за Стратегију паметне специјализације за период 2023-2025</w:t>
            </w:r>
            <w:r w:rsidR="00497A1F" w:rsidRPr="00092ED7">
              <w:rPr>
                <w:rFonts w:cs="Times New Roman"/>
                <w:sz w:val="20"/>
                <w:szCs w:val="20"/>
                <w:lang w:val="sr-Cyrl-CS"/>
              </w:rPr>
              <w:t>.</w:t>
            </w:r>
          </w:p>
        </w:tc>
        <w:tc>
          <w:tcPr>
            <w:tcW w:w="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1A1FEFE"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EBFFF43"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6B06E86" w14:textId="77777777" w:rsidR="00D210F0" w:rsidRPr="00092ED7" w:rsidRDefault="00D210F0" w:rsidP="00B57FE8">
            <w:pPr>
              <w:spacing w:after="0"/>
              <w:rPr>
                <w:rFonts w:cs="Times New Roman"/>
                <w:color w:val="000000"/>
                <w:sz w:val="18"/>
                <w:szCs w:val="18"/>
                <w:lang w:val="sr-Cyrl-CS"/>
              </w:rPr>
            </w:pPr>
          </w:p>
        </w:tc>
        <w:tc>
          <w:tcPr>
            <w:tcW w:w="3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98D0BEE"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30F9009"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7159CA8"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327CEBE"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9333692"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CC1804A"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6637D62"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1CE0506"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7A38AA7" w14:textId="77777777" w:rsidR="00D210F0" w:rsidRPr="00092ED7" w:rsidRDefault="00D210F0" w:rsidP="00B57FE8">
            <w:pPr>
              <w:spacing w:after="0"/>
              <w:rPr>
                <w:rFonts w:cs="Times New Roman"/>
                <w:color w:val="000000"/>
                <w:sz w:val="18"/>
                <w:szCs w:val="18"/>
                <w:lang w:val="sr-Cyrl-CS"/>
              </w:rPr>
            </w:pPr>
          </w:p>
        </w:tc>
      </w:tr>
    </w:tbl>
    <w:p w14:paraId="55ABF218" w14:textId="77777777" w:rsidR="00D210F0" w:rsidRPr="00092ED7" w:rsidRDefault="00D210F0" w:rsidP="00071952">
      <w:pPr>
        <w:widowControl w:val="0"/>
        <w:numPr>
          <w:ilvl w:val="0"/>
          <w:numId w:val="33"/>
        </w:numPr>
        <w:spacing w:before="120"/>
        <w:ind w:left="425" w:hanging="425"/>
        <w:rPr>
          <w:rFonts w:cs="Times New Roman"/>
          <w:b/>
          <w:bCs/>
          <w:szCs w:val="24"/>
          <w:lang w:val="sr-Cyrl-CS"/>
        </w:rPr>
      </w:pPr>
      <w:r w:rsidRPr="00092ED7">
        <w:rPr>
          <w:rFonts w:cs="Times New Roman"/>
          <w:b/>
          <w:bCs/>
          <w:szCs w:val="24"/>
          <w:lang w:val="sr-Cyrl-CS"/>
        </w:rPr>
        <w:t>Индикатори ризика</w:t>
      </w:r>
    </w:p>
    <w:tbl>
      <w:tblPr>
        <w:tblStyle w:val="TableGrid"/>
        <w:tblW w:w="9072" w:type="dxa"/>
        <w:tblInd w:w="-5" w:type="dxa"/>
        <w:tblLayout w:type="fixed"/>
        <w:tblLook w:val="04A0" w:firstRow="1" w:lastRow="0" w:firstColumn="1" w:lastColumn="0" w:noHBand="0" w:noVBand="1"/>
      </w:tblPr>
      <w:tblGrid>
        <w:gridCol w:w="4111"/>
        <w:gridCol w:w="1748"/>
        <w:gridCol w:w="1512"/>
        <w:gridCol w:w="1701"/>
      </w:tblGrid>
      <w:tr w:rsidR="00D210F0" w:rsidRPr="00092ED7" w14:paraId="2767335B" w14:textId="77777777" w:rsidTr="00B57FE8">
        <w:trPr>
          <w:cnfStyle w:val="100000000000" w:firstRow="1" w:lastRow="0" w:firstColumn="0" w:lastColumn="0" w:oddVBand="0" w:evenVBand="0" w:oddHBand="0" w:evenHBand="0" w:firstRowFirstColumn="0" w:firstRowLastColumn="0" w:lastRowFirstColumn="0" w:lastRowLastColumn="0"/>
        </w:trPr>
        <w:tc>
          <w:tcPr>
            <w:tcW w:w="4111" w:type="dxa"/>
            <w:tcBorders>
              <w:top w:val="single" w:sz="4" w:space="0" w:color="auto"/>
              <w:left w:val="single" w:sz="4" w:space="0" w:color="auto"/>
              <w:bottom w:val="single" w:sz="4" w:space="0" w:color="auto"/>
              <w:right w:val="single" w:sz="4" w:space="0" w:color="auto"/>
            </w:tcBorders>
          </w:tcPr>
          <w:p w14:paraId="40735777" w14:textId="77777777" w:rsidR="00D210F0" w:rsidRPr="00092ED7" w:rsidRDefault="00D210F0" w:rsidP="00B57FE8">
            <w:pPr>
              <w:spacing w:before="0" w:after="0"/>
              <w:ind w:left="113" w:right="113"/>
              <w:jc w:val="center"/>
              <w:rPr>
                <w:sz w:val="20"/>
                <w:lang w:val="sr-Cyrl-CS"/>
              </w:rPr>
            </w:pPr>
            <w:r w:rsidRPr="00092ED7">
              <w:rPr>
                <w:rFonts w:cs="Times New Roman"/>
                <w:sz w:val="20"/>
                <w:lang w:val="sr-Cyrl-CS"/>
              </w:rPr>
              <w:t>Показатељ</w:t>
            </w:r>
          </w:p>
        </w:tc>
        <w:tc>
          <w:tcPr>
            <w:tcW w:w="1748" w:type="dxa"/>
            <w:tcBorders>
              <w:top w:val="single" w:sz="4" w:space="0" w:color="auto"/>
              <w:left w:val="single" w:sz="4" w:space="0" w:color="auto"/>
              <w:bottom w:val="single" w:sz="4" w:space="0" w:color="auto"/>
              <w:right w:val="single" w:sz="4" w:space="0" w:color="auto"/>
            </w:tcBorders>
            <w:hideMark/>
          </w:tcPr>
          <w:p w14:paraId="23EF346B"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Почетна вредност</w:t>
            </w:r>
            <w:r w:rsidR="00B57FE8" w:rsidRPr="00092ED7">
              <w:rPr>
                <w:rFonts w:cs="Times New Roman"/>
                <w:sz w:val="20"/>
                <w:lang w:val="sr-Cyrl-CS"/>
              </w:rPr>
              <w:t xml:space="preserve"> </w:t>
            </w:r>
            <w:r w:rsidRPr="00092ED7">
              <w:rPr>
                <w:rFonts w:cs="Times New Roman"/>
                <w:sz w:val="20"/>
                <w:lang w:val="sr-Cyrl-CS"/>
              </w:rPr>
              <w:t>(2020)</w:t>
            </w:r>
          </w:p>
        </w:tc>
        <w:tc>
          <w:tcPr>
            <w:tcW w:w="1512" w:type="dxa"/>
            <w:tcBorders>
              <w:top w:val="single" w:sz="4" w:space="0" w:color="auto"/>
              <w:left w:val="single" w:sz="4" w:space="0" w:color="auto"/>
              <w:bottom w:val="single" w:sz="4" w:space="0" w:color="auto"/>
              <w:right w:val="single" w:sz="4" w:space="0" w:color="auto"/>
            </w:tcBorders>
            <w:hideMark/>
          </w:tcPr>
          <w:p w14:paraId="2ABAAB96"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Међурезултат</w:t>
            </w:r>
            <w:r w:rsidR="00B57FE8" w:rsidRPr="00092ED7">
              <w:rPr>
                <w:rFonts w:cs="Times New Roman"/>
                <w:sz w:val="20"/>
                <w:lang w:val="sr-Cyrl-CS"/>
              </w:rPr>
              <w:t xml:space="preserve"> </w:t>
            </w:r>
            <w:r w:rsidRPr="00092ED7">
              <w:rPr>
                <w:rFonts w:cs="Times New Roman"/>
                <w:sz w:val="20"/>
                <w:lang w:val="sr-Cyrl-CS"/>
              </w:rPr>
              <w:t>(2024)</w:t>
            </w:r>
          </w:p>
        </w:tc>
        <w:tc>
          <w:tcPr>
            <w:tcW w:w="1701" w:type="dxa"/>
            <w:tcBorders>
              <w:top w:val="single" w:sz="4" w:space="0" w:color="auto"/>
              <w:left w:val="single" w:sz="4" w:space="0" w:color="auto"/>
              <w:bottom w:val="single" w:sz="4" w:space="0" w:color="auto"/>
              <w:right w:val="single" w:sz="4" w:space="0" w:color="auto"/>
            </w:tcBorders>
            <w:hideMark/>
          </w:tcPr>
          <w:p w14:paraId="5655749B"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Циљна вредност</w:t>
            </w:r>
            <w:r w:rsidR="00B57FE8" w:rsidRPr="00092ED7">
              <w:rPr>
                <w:rFonts w:cs="Times New Roman"/>
                <w:sz w:val="20"/>
                <w:lang w:val="sr-Cyrl-CS"/>
              </w:rPr>
              <w:t xml:space="preserve"> </w:t>
            </w:r>
            <w:r w:rsidRPr="00092ED7">
              <w:rPr>
                <w:rFonts w:cs="Times New Roman"/>
                <w:sz w:val="20"/>
                <w:lang w:val="sr-Cyrl-CS"/>
              </w:rPr>
              <w:t>(2026)</w:t>
            </w:r>
          </w:p>
        </w:tc>
      </w:tr>
      <w:tr w:rsidR="00D210F0" w:rsidRPr="00092ED7" w14:paraId="5B6A1E3F" w14:textId="77777777" w:rsidTr="00B57FE8">
        <w:tc>
          <w:tcPr>
            <w:tcW w:w="4111" w:type="dxa"/>
            <w:tcBorders>
              <w:top w:val="single" w:sz="4" w:space="0" w:color="auto"/>
              <w:left w:val="single" w:sz="4" w:space="0" w:color="auto"/>
              <w:bottom w:val="single" w:sz="4" w:space="0" w:color="auto"/>
              <w:right w:val="single" w:sz="4" w:space="0" w:color="auto"/>
            </w:tcBorders>
            <w:hideMark/>
          </w:tcPr>
          <w:p w14:paraId="3D29E3C1" w14:textId="77777777" w:rsidR="00D210F0" w:rsidRPr="00092ED7" w:rsidRDefault="00D210F0" w:rsidP="00B57FE8">
            <w:pPr>
              <w:spacing w:before="0" w:after="0"/>
              <w:ind w:left="113" w:right="113"/>
              <w:rPr>
                <w:sz w:val="20"/>
                <w:lang w:val="sr-Cyrl-CS"/>
              </w:rPr>
            </w:pPr>
            <w:r w:rsidRPr="00092ED7">
              <w:rPr>
                <w:rFonts w:eastAsia="Times New Roman" w:cs="Times New Roman"/>
                <w:sz w:val="20"/>
                <w:lang w:val="sr-Cyrl-CS"/>
              </w:rPr>
              <w:t>Број институција корисника БИО4 Кампуса</w:t>
            </w:r>
          </w:p>
        </w:tc>
        <w:tc>
          <w:tcPr>
            <w:tcW w:w="1748" w:type="dxa"/>
            <w:tcBorders>
              <w:top w:val="single" w:sz="4" w:space="0" w:color="auto"/>
              <w:left w:val="single" w:sz="4" w:space="0" w:color="auto"/>
              <w:bottom w:val="single" w:sz="4" w:space="0" w:color="auto"/>
              <w:right w:val="single" w:sz="4" w:space="0" w:color="auto"/>
            </w:tcBorders>
            <w:hideMark/>
          </w:tcPr>
          <w:p w14:paraId="0B1337B6" w14:textId="77777777" w:rsidR="00D210F0" w:rsidRPr="00092ED7" w:rsidRDefault="00D210F0" w:rsidP="00B57FE8">
            <w:pPr>
              <w:spacing w:before="0" w:after="0"/>
              <w:ind w:left="113" w:right="113"/>
              <w:jc w:val="center"/>
              <w:rPr>
                <w:rFonts w:cs="Times New Roman"/>
                <w:sz w:val="20"/>
                <w:lang w:val="sr-Cyrl-CS"/>
              </w:rPr>
            </w:pPr>
            <w:r w:rsidRPr="00092ED7">
              <w:rPr>
                <w:rFonts w:cs="Times New Roman"/>
                <w:sz w:val="20"/>
                <w:lang w:val="sr-Cyrl-CS"/>
              </w:rPr>
              <w:t>0</w:t>
            </w:r>
          </w:p>
        </w:tc>
        <w:tc>
          <w:tcPr>
            <w:tcW w:w="1512" w:type="dxa"/>
            <w:tcBorders>
              <w:top w:val="single" w:sz="4" w:space="0" w:color="auto"/>
              <w:left w:val="single" w:sz="4" w:space="0" w:color="auto"/>
              <w:bottom w:val="single" w:sz="4" w:space="0" w:color="auto"/>
              <w:right w:val="single" w:sz="4" w:space="0" w:color="auto"/>
            </w:tcBorders>
            <w:hideMark/>
          </w:tcPr>
          <w:p w14:paraId="7B4CF75D" w14:textId="77777777" w:rsidR="00D210F0" w:rsidRPr="00092ED7" w:rsidRDefault="00D210F0" w:rsidP="00B57FE8">
            <w:pPr>
              <w:spacing w:before="0" w:after="0"/>
              <w:ind w:left="113" w:right="113"/>
              <w:jc w:val="center"/>
              <w:rPr>
                <w:rFonts w:cs="Times New Roman"/>
                <w:sz w:val="20"/>
                <w:lang w:val="sr-Cyrl-CS"/>
              </w:rPr>
            </w:pPr>
            <w:r w:rsidRPr="00092ED7">
              <w:rPr>
                <w:rFonts w:cs="Times New Roman"/>
                <w:sz w:val="20"/>
                <w:lang w:val="sr-Cyrl-CS"/>
              </w:rPr>
              <w:t>8</w:t>
            </w:r>
          </w:p>
        </w:tc>
        <w:tc>
          <w:tcPr>
            <w:tcW w:w="1701" w:type="dxa"/>
            <w:tcBorders>
              <w:top w:val="single" w:sz="4" w:space="0" w:color="auto"/>
              <w:left w:val="single" w:sz="4" w:space="0" w:color="auto"/>
              <w:bottom w:val="single" w:sz="4" w:space="0" w:color="auto"/>
              <w:right w:val="single" w:sz="4" w:space="0" w:color="auto"/>
            </w:tcBorders>
            <w:hideMark/>
          </w:tcPr>
          <w:p w14:paraId="52BA981B" w14:textId="77777777" w:rsidR="00D210F0" w:rsidRPr="00092ED7" w:rsidRDefault="00D210F0" w:rsidP="00B57FE8">
            <w:pPr>
              <w:spacing w:before="0" w:after="0"/>
              <w:ind w:left="113" w:right="113"/>
              <w:jc w:val="center"/>
              <w:rPr>
                <w:rFonts w:cs="Times New Roman"/>
                <w:sz w:val="20"/>
                <w:lang w:val="sr-Cyrl-CS"/>
              </w:rPr>
            </w:pPr>
            <w:r w:rsidRPr="00092ED7">
              <w:rPr>
                <w:rFonts w:cs="Times New Roman"/>
                <w:sz w:val="20"/>
                <w:lang w:val="sr-Cyrl-CS"/>
              </w:rPr>
              <w:t>12</w:t>
            </w:r>
          </w:p>
        </w:tc>
      </w:tr>
      <w:tr w:rsidR="00D210F0" w:rsidRPr="00092ED7" w14:paraId="7C6566EF" w14:textId="77777777" w:rsidTr="00B57FE8">
        <w:tc>
          <w:tcPr>
            <w:tcW w:w="4111" w:type="dxa"/>
            <w:tcBorders>
              <w:top w:val="single" w:sz="4" w:space="0" w:color="auto"/>
              <w:left w:val="single" w:sz="4" w:space="0" w:color="auto"/>
              <w:bottom w:val="single" w:sz="4" w:space="0" w:color="auto"/>
              <w:right w:val="single" w:sz="4" w:space="0" w:color="auto"/>
            </w:tcBorders>
            <w:hideMark/>
          </w:tcPr>
          <w:p w14:paraId="111739F2" w14:textId="77777777" w:rsidR="00D210F0" w:rsidRPr="00092ED7" w:rsidRDefault="00D210F0" w:rsidP="00B57FE8">
            <w:pPr>
              <w:spacing w:before="0" w:after="0"/>
              <w:ind w:left="113" w:right="113"/>
              <w:rPr>
                <w:sz w:val="20"/>
                <w:lang w:val="sr-Cyrl-CS"/>
              </w:rPr>
            </w:pPr>
            <w:r w:rsidRPr="00092ED7">
              <w:rPr>
                <w:rFonts w:eastAsia="Times New Roman" w:cs="Times New Roman"/>
                <w:sz w:val="20"/>
                <w:lang w:val="sr-Cyrl-CS"/>
              </w:rPr>
              <w:t>Број компанија које имају истраживачка одељења у Кампусу (правно регулисано)</w:t>
            </w:r>
          </w:p>
        </w:tc>
        <w:tc>
          <w:tcPr>
            <w:tcW w:w="1748" w:type="dxa"/>
            <w:tcBorders>
              <w:top w:val="single" w:sz="4" w:space="0" w:color="auto"/>
              <w:left w:val="single" w:sz="4" w:space="0" w:color="auto"/>
              <w:bottom w:val="single" w:sz="4" w:space="0" w:color="auto"/>
              <w:right w:val="single" w:sz="4" w:space="0" w:color="auto"/>
            </w:tcBorders>
            <w:hideMark/>
          </w:tcPr>
          <w:p w14:paraId="4316B156" w14:textId="77777777" w:rsidR="00D210F0" w:rsidRPr="00092ED7" w:rsidRDefault="00D210F0" w:rsidP="00B57FE8">
            <w:pPr>
              <w:spacing w:before="0" w:after="0"/>
              <w:ind w:left="113" w:right="113"/>
              <w:jc w:val="center"/>
              <w:rPr>
                <w:rFonts w:cs="Times New Roman"/>
                <w:sz w:val="20"/>
                <w:lang w:val="sr-Cyrl-CS"/>
              </w:rPr>
            </w:pPr>
            <w:r w:rsidRPr="00092ED7">
              <w:rPr>
                <w:rFonts w:cs="Times New Roman"/>
                <w:sz w:val="20"/>
                <w:lang w:val="sr-Cyrl-CS"/>
              </w:rPr>
              <w:t>0</w:t>
            </w:r>
          </w:p>
        </w:tc>
        <w:tc>
          <w:tcPr>
            <w:tcW w:w="1512" w:type="dxa"/>
            <w:tcBorders>
              <w:top w:val="single" w:sz="4" w:space="0" w:color="auto"/>
              <w:left w:val="single" w:sz="4" w:space="0" w:color="auto"/>
              <w:bottom w:val="single" w:sz="4" w:space="0" w:color="auto"/>
              <w:right w:val="single" w:sz="4" w:space="0" w:color="auto"/>
            </w:tcBorders>
            <w:hideMark/>
          </w:tcPr>
          <w:p w14:paraId="589E0177" w14:textId="77777777" w:rsidR="00D210F0" w:rsidRPr="00092ED7" w:rsidRDefault="00D210F0" w:rsidP="00B57FE8">
            <w:pPr>
              <w:spacing w:before="0" w:after="0"/>
              <w:ind w:left="113" w:right="113"/>
              <w:jc w:val="center"/>
              <w:rPr>
                <w:rFonts w:cs="Times New Roman"/>
                <w:sz w:val="20"/>
                <w:lang w:val="sr-Cyrl-CS"/>
              </w:rPr>
            </w:pPr>
            <w:r w:rsidRPr="00092ED7">
              <w:rPr>
                <w:rFonts w:cs="Times New Roman"/>
                <w:sz w:val="20"/>
                <w:lang w:val="sr-Cyrl-CS"/>
              </w:rPr>
              <w:t>5</w:t>
            </w:r>
          </w:p>
        </w:tc>
        <w:tc>
          <w:tcPr>
            <w:tcW w:w="1701" w:type="dxa"/>
            <w:tcBorders>
              <w:top w:val="single" w:sz="4" w:space="0" w:color="auto"/>
              <w:left w:val="single" w:sz="4" w:space="0" w:color="auto"/>
              <w:bottom w:val="single" w:sz="4" w:space="0" w:color="auto"/>
              <w:right w:val="single" w:sz="4" w:space="0" w:color="auto"/>
            </w:tcBorders>
            <w:hideMark/>
          </w:tcPr>
          <w:p w14:paraId="40AB082C" w14:textId="77777777" w:rsidR="00D210F0" w:rsidRPr="00092ED7" w:rsidRDefault="00D210F0" w:rsidP="00B57FE8">
            <w:pPr>
              <w:spacing w:before="0" w:after="0"/>
              <w:ind w:left="113" w:right="113"/>
              <w:jc w:val="center"/>
              <w:rPr>
                <w:rFonts w:cs="Times New Roman"/>
                <w:sz w:val="20"/>
                <w:lang w:val="sr-Cyrl-CS"/>
              </w:rPr>
            </w:pPr>
            <w:r w:rsidRPr="00092ED7">
              <w:rPr>
                <w:rFonts w:cs="Times New Roman"/>
                <w:sz w:val="20"/>
                <w:lang w:val="sr-Cyrl-CS"/>
              </w:rPr>
              <w:t>7</w:t>
            </w:r>
          </w:p>
        </w:tc>
      </w:tr>
      <w:tr w:rsidR="00C97C81" w:rsidRPr="00092ED7" w14:paraId="16C51E2D" w14:textId="77777777" w:rsidTr="00B57FE8">
        <w:tc>
          <w:tcPr>
            <w:tcW w:w="4111" w:type="dxa"/>
            <w:tcBorders>
              <w:top w:val="single" w:sz="4" w:space="0" w:color="auto"/>
              <w:left w:val="single" w:sz="4" w:space="0" w:color="auto"/>
              <w:bottom w:val="single" w:sz="4" w:space="0" w:color="auto"/>
              <w:right w:val="single" w:sz="4" w:space="0" w:color="auto"/>
            </w:tcBorders>
          </w:tcPr>
          <w:p w14:paraId="592ACEB1" w14:textId="77777777" w:rsidR="00C97C81" w:rsidRPr="00092ED7" w:rsidRDefault="00C97C81" w:rsidP="00C97C81">
            <w:pPr>
              <w:spacing w:before="0" w:after="0"/>
              <w:ind w:left="113" w:right="113"/>
              <w:rPr>
                <w:rFonts w:eastAsia="Times New Roman" w:cs="Times New Roman"/>
                <w:sz w:val="20"/>
                <w:lang w:val="sr-Cyrl-CS"/>
              </w:rPr>
            </w:pPr>
            <w:r w:rsidRPr="00092ED7">
              <w:rPr>
                <w:rFonts w:eastAsia="Times New Roman" w:cs="Times New Roman"/>
                <w:sz w:val="20"/>
                <w:lang w:val="sr-Cyrl-CS"/>
              </w:rPr>
              <w:t>Број потписаних споразума између истраживачких институција/факултета</w:t>
            </w:r>
          </w:p>
        </w:tc>
        <w:tc>
          <w:tcPr>
            <w:tcW w:w="1748" w:type="dxa"/>
            <w:tcBorders>
              <w:top w:val="single" w:sz="4" w:space="0" w:color="auto"/>
              <w:left w:val="single" w:sz="4" w:space="0" w:color="auto"/>
              <w:bottom w:val="single" w:sz="4" w:space="0" w:color="auto"/>
              <w:right w:val="single" w:sz="4" w:space="0" w:color="auto"/>
            </w:tcBorders>
          </w:tcPr>
          <w:p w14:paraId="5A483D7B" w14:textId="77777777" w:rsidR="00C97C81" w:rsidRPr="00092ED7" w:rsidRDefault="00C97C81" w:rsidP="00C97C81">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0</w:t>
            </w:r>
          </w:p>
        </w:tc>
        <w:tc>
          <w:tcPr>
            <w:tcW w:w="1512" w:type="dxa"/>
            <w:tcBorders>
              <w:top w:val="single" w:sz="4" w:space="0" w:color="auto"/>
              <w:left w:val="single" w:sz="4" w:space="0" w:color="auto"/>
              <w:bottom w:val="single" w:sz="4" w:space="0" w:color="auto"/>
              <w:right w:val="single" w:sz="4" w:space="0" w:color="auto"/>
            </w:tcBorders>
          </w:tcPr>
          <w:p w14:paraId="206B8814" w14:textId="77777777" w:rsidR="00C97C81" w:rsidRPr="00092ED7" w:rsidRDefault="00C97C81" w:rsidP="00C97C81">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20</w:t>
            </w:r>
          </w:p>
        </w:tc>
        <w:tc>
          <w:tcPr>
            <w:tcW w:w="1701" w:type="dxa"/>
            <w:tcBorders>
              <w:top w:val="single" w:sz="4" w:space="0" w:color="auto"/>
              <w:left w:val="single" w:sz="4" w:space="0" w:color="auto"/>
              <w:bottom w:val="single" w:sz="4" w:space="0" w:color="auto"/>
              <w:right w:val="single" w:sz="4" w:space="0" w:color="auto"/>
            </w:tcBorders>
          </w:tcPr>
          <w:p w14:paraId="58502C6C" w14:textId="77777777" w:rsidR="00C97C81" w:rsidRPr="00092ED7" w:rsidRDefault="00C97C81" w:rsidP="00C97C81">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50</w:t>
            </w:r>
          </w:p>
        </w:tc>
      </w:tr>
      <w:tr w:rsidR="00C97C81" w:rsidRPr="00092ED7" w14:paraId="25372941" w14:textId="77777777" w:rsidTr="00B57FE8">
        <w:tc>
          <w:tcPr>
            <w:tcW w:w="4111" w:type="dxa"/>
            <w:tcBorders>
              <w:top w:val="single" w:sz="4" w:space="0" w:color="auto"/>
              <w:left w:val="single" w:sz="4" w:space="0" w:color="auto"/>
              <w:bottom w:val="single" w:sz="4" w:space="0" w:color="auto"/>
              <w:right w:val="single" w:sz="4" w:space="0" w:color="auto"/>
            </w:tcBorders>
          </w:tcPr>
          <w:p w14:paraId="23237041" w14:textId="77777777" w:rsidR="00C97C81" w:rsidRPr="00092ED7" w:rsidRDefault="00C97C81" w:rsidP="00C97C81">
            <w:pPr>
              <w:spacing w:before="0" w:after="0"/>
              <w:ind w:left="113" w:right="113"/>
              <w:rPr>
                <w:rFonts w:eastAsia="Times New Roman" w:cs="Times New Roman"/>
                <w:sz w:val="20"/>
                <w:lang w:val="sr-Cyrl-CS"/>
              </w:rPr>
            </w:pPr>
            <w:r w:rsidRPr="00092ED7">
              <w:rPr>
                <w:rFonts w:eastAsia="Times New Roman" w:cs="Times New Roman"/>
                <w:sz w:val="20"/>
                <w:lang w:val="sr-Cyrl-CS"/>
              </w:rPr>
              <w:t>Број потписаних уговора са индустијом</w:t>
            </w:r>
          </w:p>
        </w:tc>
        <w:tc>
          <w:tcPr>
            <w:tcW w:w="1748" w:type="dxa"/>
            <w:tcBorders>
              <w:top w:val="single" w:sz="4" w:space="0" w:color="auto"/>
              <w:left w:val="single" w:sz="4" w:space="0" w:color="auto"/>
              <w:bottom w:val="single" w:sz="4" w:space="0" w:color="auto"/>
              <w:right w:val="single" w:sz="4" w:space="0" w:color="auto"/>
            </w:tcBorders>
          </w:tcPr>
          <w:p w14:paraId="2196212B" w14:textId="77777777" w:rsidR="00C97C81" w:rsidRPr="00092ED7" w:rsidRDefault="00C97C81" w:rsidP="00C97C81">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0</w:t>
            </w:r>
          </w:p>
        </w:tc>
        <w:tc>
          <w:tcPr>
            <w:tcW w:w="1512" w:type="dxa"/>
            <w:tcBorders>
              <w:top w:val="single" w:sz="4" w:space="0" w:color="auto"/>
              <w:left w:val="single" w:sz="4" w:space="0" w:color="auto"/>
              <w:bottom w:val="single" w:sz="4" w:space="0" w:color="auto"/>
              <w:right w:val="single" w:sz="4" w:space="0" w:color="auto"/>
            </w:tcBorders>
          </w:tcPr>
          <w:p w14:paraId="178320E7" w14:textId="77777777" w:rsidR="00C97C81" w:rsidRPr="00092ED7" w:rsidRDefault="00C97C81" w:rsidP="00C97C81">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5</w:t>
            </w:r>
          </w:p>
        </w:tc>
        <w:tc>
          <w:tcPr>
            <w:tcW w:w="1701" w:type="dxa"/>
            <w:tcBorders>
              <w:top w:val="single" w:sz="4" w:space="0" w:color="auto"/>
              <w:left w:val="single" w:sz="4" w:space="0" w:color="auto"/>
              <w:bottom w:val="single" w:sz="4" w:space="0" w:color="auto"/>
              <w:right w:val="single" w:sz="4" w:space="0" w:color="auto"/>
            </w:tcBorders>
          </w:tcPr>
          <w:p w14:paraId="1C91ECD3" w14:textId="77777777" w:rsidR="00C97C81" w:rsidRPr="00092ED7" w:rsidRDefault="00C97C81" w:rsidP="00C97C81">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20</w:t>
            </w:r>
          </w:p>
        </w:tc>
      </w:tr>
    </w:tbl>
    <w:p w14:paraId="50366AD8" w14:textId="77777777" w:rsidR="00D210F0" w:rsidRPr="00092ED7" w:rsidRDefault="00D210F0" w:rsidP="00071952">
      <w:pPr>
        <w:widowControl w:val="0"/>
        <w:numPr>
          <w:ilvl w:val="0"/>
          <w:numId w:val="33"/>
        </w:numPr>
        <w:spacing w:before="120"/>
        <w:ind w:left="425" w:hanging="425"/>
        <w:rPr>
          <w:rFonts w:cs="Times New Roman"/>
          <w:b/>
          <w:bCs/>
          <w:szCs w:val="24"/>
          <w:lang w:val="sr-Cyrl-CS"/>
        </w:rPr>
      </w:pPr>
      <w:r w:rsidRPr="00092ED7">
        <w:rPr>
          <w:b/>
          <w:szCs w:val="24"/>
          <w:lang w:val="sr-Cyrl-CS"/>
        </w:rPr>
        <w:t>Oчекивани утицај на конкурентност</w:t>
      </w:r>
    </w:p>
    <w:p w14:paraId="52ADBE34" w14:textId="26C8E266" w:rsidR="00D210F0" w:rsidRPr="00092ED7" w:rsidRDefault="00D210F0" w:rsidP="00943F16">
      <w:pPr>
        <w:widowControl w:val="0"/>
        <w:spacing w:after="60"/>
        <w:rPr>
          <w:rFonts w:eastAsia="Times New Roman" w:cs="Times New Roman"/>
          <w:szCs w:val="24"/>
          <w:lang w:val="sr-Cyrl-CS"/>
        </w:rPr>
      </w:pPr>
      <w:r w:rsidRPr="00092ED7">
        <w:rPr>
          <w:rFonts w:eastAsia="Times New Roman" w:cs="Times New Roman"/>
          <w:szCs w:val="24"/>
          <w:lang w:val="sr-Cyrl-CS"/>
        </w:rPr>
        <w:t xml:space="preserve">Процењено је да ће тржиште БИО4 области у свету вредети од два до четири трилиона америчких долара у следеће две деценије и важно је да </w:t>
      </w:r>
      <w:r w:rsidR="00564BDA" w:rsidRPr="00092ED7">
        <w:rPr>
          <w:rFonts w:eastAsia="Times New Roman" w:cs="Times New Roman"/>
          <w:szCs w:val="24"/>
          <w:lang w:val="sr-Cyrl-CS"/>
        </w:rPr>
        <w:t xml:space="preserve">Република </w:t>
      </w:r>
      <w:r w:rsidRPr="00092ED7">
        <w:rPr>
          <w:rFonts w:eastAsia="Times New Roman" w:cs="Times New Roman"/>
          <w:szCs w:val="24"/>
          <w:lang w:val="sr-Cyrl-CS"/>
        </w:rPr>
        <w:t>Србија на том тржишту буде активан учесник. И</w:t>
      </w:r>
      <w:r w:rsidRPr="00092ED7">
        <w:rPr>
          <w:rFonts w:cs="Times New Roman"/>
          <w:szCs w:val="24"/>
          <w:lang w:val="sr-Cyrl-CS"/>
        </w:rPr>
        <w:t>мајући у виду да се оваквим Кампусом отварају бројне могућности за учествовање у различитим националним и светским пројектима, број истраживача, домаћих и међународних, као и број компанија у поменутим областима, показ</w:t>
      </w:r>
      <w:r w:rsidR="00992C92" w:rsidRPr="00092ED7">
        <w:rPr>
          <w:rFonts w:cs="Times New Roman"/>
          <w:szCs w:val="24"/>
          <w:lang w:val="sr-Cyrl-CS"/>
        </w:rPr>
        <w:t>а</w:t>
      </w:r>
      <w:r w:rsidRPr="00092ED7">
        <w:rPr>
          <w:rFonts w:cs="Times New Roman"/>
          <w:szCs w:val="24"/>
          <w:lang w:val="sr-Cyrl-CS"/>
        </w:rPr>
        <w:t xml:space="preserve">ће атрактивност </w:t>
      </w:r>
      <w:r w:rsidR="00564BDA" w:rsidRPr="00092ED7">
        <w:rPr>
          <w:rFonts w:cs="Times New Roman"/>
          <w:szCs w:val="24"/>
          <w:lang w:val="sr-Cyrl-CS"/>
        </w:rPr>
        <w:t xml:space="preserve">Република </w:t>
      </w:r>
      <w:r w:rsidRPr="00092ED7">
        <w:rPr>
          <w:rFonts w:cs="Times New Roman"/>
          <w:szCs w:val="24"/>
          <w:lang w:val="sr-Cyrl-CS"/>
        </w:rPr>
        <w:t xml:space="preserve">Србије као дестинације за истраживање и развој у области која представља спој бионаука и ИТ технологија. </w:t>
      </w:r>
      <w:r w:rsidRPr="00092ED7">
        <w:rPr>
          <w:rFonts w:eastAsia="Times New Roman" w:cs="Times New Roman"/>
          <w:szCs w:val="24"/>
          <w:lang w:val="sr-Cyrl-CS"/>
        </w:rPr>
        <w:t xml:space="preserve">Такође, </w:t>
      </w:r>
      <w:r w:rsidR="00E85B43" w:rsidRPr="00092ED7">
        <w:rPr>
          <w:rFonts w:eastAsia="Times New Roman" w:cs="Times New Roman"/>
          <w:szCs w:val="24"/>
          <w:lang w:val="sr-Cyrl-CS"/>
        </w:rPr>
        <w:t xml:space="preserve">процењује се да ће </w:t>
      </w:r>
      <w:r w:rsidRPr="00092ED7">
        <w:rPr>
          <w:rFonts w:eastAsia="Times New Roman" w:cs="Times New Roman"/>
          <w:szCs w:val="24"/>
          <w:lang w:val="sr-Cyrl-CS"/>
        </w:rPr>
        <w:t>биотехнологија у областима фармације, пољопривреде и производње хране, енергетских решења, као и заштите животне средине поста</w:t>
      </w:r>
      <w:r w:rsidR="00E85B43" w:rsidRPr="00092ED7">
        <w:rPr>
          <w:rFonts w:eastAsia="Times New Roman" w:cs="Times New Roman"/>
          <w:szCs w:val="24"/>
          <w:lang w:val="sr-Cyrl-CS"/>
        </w:rPr>
        <w:t>ти</w:t>
      </w:r>
      <w:r w:rsidRPr="00092ED7">
        <w:rPr>
          <w:rFonts w:eastAsia="Times New Roman" w:cs="Times New Roman"/>
          <w:szCs w:val="24"/>
          <w:lang w:val="sr-Cyrl-CS"/>
        </w:rPr>
        <w:t xml:space="preserve"> изузетно потентна привредна грана кроз транслацију знања и открића у лабораторијама у производе и услуге. </w:t>
      </w:r>
    </w:p>
    <w:p w14:paraId="6E66B3A5" w14:textId="77777777" w:rsidR="00D210F0" w:rsidRPr="00092ED7" w:rsidRDefault="00D210F0" w:rsidP="00071952">
      <w:pPr>
        <w:widowControl w:val="0"/>
        <w:numPr>
          <w:ilvl w:val="0"/>
          <w:numId w:val="33"/>
        </w:numPr>
        <w:spacing w:before="120"/>
        <w:ind w:left="425" w:hanging="425"/>
        <w:rPr>
          <w:rFonts w:cs="Times New Roman"/>
          <w:b/>
          <w:bCs/>
          <w:szCs w:val="24"/>
          <w:lang w:val="sr-Cyrl-CS"/>
        </w:rPr>
      </w:pPr>
      <w:r w:rsidRPr="00092ED7">
        <w:rPr>
          <w:rFonts w:cs="Times New Roman"/>
          <w:b/>
          <w:szCs w:val="24"/>
          <w:lang w:val="sr-Cyrl-CS"/>
        </w:rPr>
        <w:t>Процењени трошкови спровођења структурне реформе и предвиђени извори њиховог финансирања</w:t>
      </w:r>
    </w:p>
    <w:p w14:paraId="7506AA36" w14:textId="437A4DDB" w:rsidR="00D8385F" w:rsidRDefault="00D8385F" w:rsidP="00943F16">
      <w:pPr>
        <w:widowControl w:val="0"/>
        <w:spacing w:after="60"/>
        <w:rPr>
          <w:rFonts w:eastAsia="Times New Roman" w:cs="Times New Roman"/>
          <w:szCs w:val="24"/>
          <w:lang w:val="sr-Cyrl-CS"/>
        </w:rPr>
      </w:pPr>
      <w:r w:rsidRPr="00092ED7">
        <w:rPr>
          <w:rFonts w:cs="Times New Roman"/>
          <w:szCs w:val="24"/>
          <w:lang w:val="sr-Cyrl-CS"/>
        </w:rPr>
        <w:t>Средства за финализацију пројектно-техничке документације обезбеђена су из буџета Канцеларије за управљање јавним улагањима у 2022. годин</w:t>
      </w:r>
      <w:r w:rsidR="0001548A" w:rsidRPr="00092ED7">
        <w:rPr>
          <w:rFonts w:cs="Times New Roman"/>
          <w:szCs w:val="24"/>
          <w:lang w:val="sr-Cyrl-CS"/>
        </w:rPr>
        <w:t>и</w:t>
      </w:r>
      <w:r w:rsidRPr="00092ED7">
        <w:rPr>
          <w:rFonts w:cs="Times New Roman"/>
          <w:szCs w:val="24"/>
          <w:lang w:val="sr-Cyrl-CS"/>
        </w:rPr>
        <w:t>, и износила су 4</w:t>
      </w:r>
      <w:r w:rsidR="00BC7FFA" w:rsidRPr="00092ED7">
        <w:rPr>
          <w:rFonts w:cs="Times New Roman"/>
          <w:szCs w:val="24"/>
          <w:lang w:val="sr-Cyrl-CS"/>
        </w:rPr>
        <w:t>,</w:t>
      </w:r>
      <w:r w:rsidRPr="00092ED7">
        <w:rPr>
          <w:rFonts w:cs="Times New Roman"/>
          <w:szCs w:val="24"/>
          <w:lang w:val="sr-Cyrl-CS"/>
        </w:rPr>
        <w:t xml:space="preserve">5 милиона евра. </w:t>
      </w:r>
      <w:r w:rsidR="003C32EE" w:rsidRPr="00092ED7">
        <w:rPr>
          <w:rFonts w:cs="Times New Roman"/>
          <w:szCs w:val="24"/>
          <w:lang w:val="sr-Cyrl-CS"/>
        </w:rPr>
        <w:t>Процењена вредност пројекта је 300 милиона евра, а изградња ће бити финансирана из кредита</w:t>
      </w:r>
      <w:r w:rsidRPr="00092ED7">
        <w:rPr>
          <w:rFonts w:cs="Times New Roman"/>
          <w:szCs w:val="24"/>
          <w:lang w:val="sr-Cyrl-CS"/>
        </w:rPr>
        <w:t xml:space="preserve">, док су средства за </w:t>
      </w:r>
      <w:r w:rsidRPr="00092ED7">
        <w:rPr>
          <w:rFonts w:eastAsia="Times New Roman" w:cs="Times New Roman"/>
          <w:szCs w:val="24"/>
          <w:lang w:val="sr-Cyrl-CS"/>
        </w:rPr>
        <w:t xml:space="preserve">израду планова трансформације научно-истраживачких института и њихову реализацију обезбеђена из зајма Светске банке (Пројекат акцелерације иновација и подстицање раста предузетништва - Пројекат SAIGE) у износу од </w:t>
      </w:r>
      <w:r w:rsidR="00564BDA" w:rsidRPr="00092ED7">
        <w:rPr>
          <w:rFonts w:eastAsia="Times New Roman" w:cs="Times New Roman"/>
          <w:szCs w:val="24"/>
          <w:lang w:val="sr-Cyrl-CS"/>
        </w:rPr>
        <w:t xml:space="preserve">осам </w:t>
      </w:r>
      <w:r w:rsidRPr="00092ED7">
        <w:rPr>
          <w:rFonts w:eastAsia="Times New Roman" w:cs="Times New Roman"/>
          <w:szCs w:val="24"/>
          <w:lang w:val="sr-Cyrl-CS"/>
        </w:rPr>
        <w:t>милиона евра.</w:t>
      </w:r>
    </w:p>
    <w:p w14:paraId="46099FAD" w14:textId="7A3F96DF" w:rsidR="00BA1B20" w:rsidRDefault="00BA1B20" w:rsidP="00943F16">
      <w:pPr>
        <w:widowControl w:val="0"/>
        <w:spacing w:after="60"/>
        <w:rPr>
          <w:rFonts w:cs="Times New Roman"/>
          <w:szCs w:val="24"/>
          <w:lang w:val="sr-Cyrl-CS"/>
        </w:rPr>
      </w:pPr>
    </w:p>
    <w:p w14:paraId="748BDFD8" w14:textId="77777777" w:rsidR="00BA1B20" w:rsidRPr="00092ED7" w:rsidRDefault="00BA1B20" w:rsidP="00943F16">
      <w:pPr>
        <w:widowControl w:val="0"/>
        <w:spacing w:after="60"/>
        <w:rPr>
          <w:rFonts w:cs="Times New Roman"/>
          <w:szCs w:val="24"/>
          <w:lang w:val="sr-Cyrl-CS"/>
        </w:rPr>
      </w:pPr>
    </w:p>
    <w:p w14:paraId="1BBCE1C4" w14:textId="77777777" w:rsidR="00D210F0" w:rsidRPr="00092ED7" w:rsidRDefault="00D210F0" w:rsidP="00071952">
      <w:pPr>
        <w:widowControl w:val="0"/>
        <w:numPr>
          <w:ilvl w:val="0"/>
          <w:numId w:val="33"/>
        </w:numPr>
        <w:spacing w:before="120"/>
        <w:ind w:left="425" w:hanging="425"/>
        <w:rPr>
          <w:rFonts w:cs="Times New Roman"/>
          <w:b/>
          <w:szCs w:val="24"/>
          <w:lang w:val="sr-Cyrl-CS"/>
        </w:rPr>
      </w:pPr>
      <w:r w:rsidRPr="00092ED7">
        <w:rPr>
          <w:rFonts w:cs="Times New Roman"/>
          <w:b/>
          <w:szCs w:val="24"/>
          <w:lang w:val="sr-Cyrl-CS"/>
        </w:rPr>
        <w:t>Очекивани утицај на социјалне циљеве, као што су запосленост, смањење сиромаштва, родна равноправност и приступ здравственој заштити</w:t>
      </w:r>
    </w:p>
    <w:p w14:paraId="382DD154" w14:textId="380B2703" w:rsidR="00D210F0" w:rsidRPr="00092ED7" w:rsidRDefault="00D210F0" w:rsidP="00943F16">
      <w:pPr>
        <w:widowControl w:val="0"/>
        <w:spacing w:after="60"/>
        <w:rPr>
          <w:szCs w:val="24"/>
          <w:lang w:val="sr-Cyrl-CS"/>
        </w:rPr>
      </w:pPr>
      <w:r w:rsidRPr="00092ED7">
        <w:rPr>
          <w:rFonts w:eastAsia="Times New Roman" w:cs="Times New Roman"/>
          <w:szCs w:val="24"/>
          <w:lang w:val="sr-Cyrl-CS"/>
        </w:rPr>
        <w:t>Имплементација планираних активности ће унапредити квалитет здравствене заштите и омогућити бржу и квалитетнију транзицију здравственог система у правцу модерне, иновативне дијагностике и лечења заснованих на подацима и најновијим научним сазнањима.</w:t>
      </w:r>
      <w:r w:rsidRPr="00092ED7">
        <w:rPr>
          <w:szCs w:val="24"/>
          <w:lang w:val="sr-Cyrl-CS"/>
        </w:rPr>
        <w:t xml:space="preserve"> </w:t>
      </w:r>
      <w:r w:rsidRPr="00092ED7">
        <w:rPr>
          <w:rFonts w:eastAsia="Times New Roman" w:cs="Times New Roman"/>
          <w:szCs w:val="24"/>
          <w:lang w:val="sr-Cyrl-CS"/>
        </w:rPr>
        <w:t>Омогућиће развој нових биолошких лекова и препарата за фармацеутску и прехрамбену индустрију за заштиту животне средине и очување биодиверзитета (</w:t>
      </w:r>
      <w:r w:rsidR="005B484F" w:rsidRPr="00092ED7">
        <w:rPr>
          <w:rFonts w:eastAsia="Times New Roman" w:cs="Times New Roman"/>
          <w:szCs w:val="24"/>
          <w:lang w:val="sr-Cyrl-CS"/>
        </w:rPr>
        <w:t>Циљеви одрживог развоја (у даљем тексту: (ЦО</w:t>
      </w:r>
      <w:r w:rsidR="002D07A1" w:rsidRPr="00092ED7">
        <w:rPr>
          <w:rFonts w:eastAsia="Times New Roman" w:cs="Times New Roman"/>
          <w:szCs w:val="24"/>
          <w:lang w:val="sr-Cyrl-CS"/>
        </w:rPr>
        <w:t>Р</w:t>
      </w:r>
      <w:r w:rsidR="005B484F" w:rsidRPr="00092ED7">
        <w:rPr>
          <w:rFonts w:eastAsia="Times New Roman" w:cs="Times New Roman"/>
          <w:szCs w:val="24"/>
          <w:lang w:val="sr-Cyrl-CS"/>
        </w:rPr>
        <w:t xml:space="preserve">) </w:t>
      </w:r>
      <w:r w:rsidRPr="00092ED7">
        <w:rPr>
          <w:rFonts w:eastAsia="Times New Roman" w:cs="Times New Roman"/>
          <w:szCs w:val="24"/>
          <w:lang w:val="sr-Cyrl-CS"/>
        </w:rPr>
        <w:t>2, 3, 12, 15). Отвара се могућност за запошљавање високо квалификоване радне снаге, а спречава њихов одлазак из земље. Присуство факултета и института омогућиће квалитетније образовање у складу са брзим глобалним променама (</w:t>
      </w:r>
      <w:r w:rsidR="005B484F" w:rsidRPr="00092ED7">
        <w:rPr>
          <w:rFonts w:eastAsia="Times New Roman" w:cs="Times New Roman"/>
          <w:szCs w:val="24"/>
          <w:lang w:val="sr-Cyrl-CS"/>
        </w:rPr>
        <w:t>ЦОР</w:t>
      </w:r>
      <w:r w:rsidRPr="00092ED7">
        <w:rPr>
          <w:rFonts w:eastAsia="Times New Roman" w:cs="Times New Roman"/>
          <w:szCs w:val="24"/>
          <w:lang w:val="sr-Cyrl-CS"/>
        </w:rPr>
        <w:t>, развој иновација (</w:t>
      </w:r>
      <w:r w:rsidR="005B484F" w:rsidRPr="00092ED7">
        <w:rPr>
          <w:rFonts w:eastAsia="Times New Roman" w:cs="Times New Roman"/>
          <w:szCs w:val="24"/>
          <w:lang w:val="sr-Cyrl-CS"/>
        </w:rPr>
        <w:t xml:space="preserve">ЦОР </w:t>
      </w:r>
      <w:r w:rsidRPr="00092ED7">
        <w:rPr>
          <w:rFonts w:eastAsia="Times New Roman" w:cs="Times New Roman"/>
          <w:szCs w:val="24"/>
          <w:lang w:val="sr-Cyrl-CS"/>
        </w:rPr>
        <w:t>9). У спровођењу реформске реформе водиће се рачуна о родној равноправности.</w:t>
      </w:r>
    </w:p>
    <w:p w14:paraId="50C45509" w14:textId="77777777" w:rsidR="00D210F0" w:rsidRPr="00092ED7" w:rsidRDefault="00D210F0" w:rsidP="00071952">
      <w:pPr>
        <w:widowControl w:val="0"/>
        <w:numPr>
          <w:ilvl w:val="0"/>
          <w:numId w:val="33"/>
        </w:numPr>
        <w:spacing w:before="120"/>
        <w:ind w:left="425" w:hanging="425"/>
        <w:rPr>
          <w:rFonts w:cs="Times New Roman"/>
          <w:b/>
          <w:szCs w:val="24"/>
          <w:lang w:val="sr-Cyrl-CS"/>
        </w:rPr>
      </w:pPr>
      <w:r w:rsidRPr="00092ED7">
        <w:rPr>
          <w:rFonts w:cs="Times New Roman"/>
          <w:b/>
          <w:szCs w:val="24"/>
          <w:lang w:val="sr-Cyrl-CS"/>
        </w:rPr>
        <w:t>Очекивани утицај на животну средину и климатске промене</w:t>
      </w:r>
    </w:p>
    <w:p w14:paraId="16FF2C17" w14:textId="77777777" w:rsidR="00D210F0" w:rsidRPr="00092ED7" w:rsidRDefault="00D210F0" w:rsidP="009A533F">
      <w:pPr>
        <w:widowControl w:val="0"/>
        <w:spacing w:after="60"/>
        <w:rPr>
          <w:szCs w:val="24"/>
          <w:lang w:val="sr-Cyrl-CS"/>
        </w:rPr>
      </w:pPr>
      <w:r w:rsidRPr="00092ED7">
        <w:rPr>
          <w:rFonts w:eastAsia="Times New Roman" w:cs="Times New Roman"/>
          <w:szCs w:val="24"/>
          <w:lang w:val="sr-Cyrl-CS"/>
        </w:rPr>
        <w:t>Приликом изградње објеката и спровођења планова трансформације института водиће се рачуна о животној средини и енергетској ефикасности (зелена градња). Експерти у оквиру БИО4 кампуса ће се бавити очувањем биодиверзитета, развојем зелених технологија и еколошки прихватљивих препарата за пољопривреду и прехрамбену индустрију и фармацију, и праћењу утицаја климатских промена (Центар за одрживост и животну средину у оквиру Кампуса), уз примену вештачке интелигенције. Током градње примениће се јединствени ЕУ принципи који омогућавају унапређење здравља и добробити (</w:t>
      </w:r>
      <w:r w:rsidRPr="00092ED7">
        <w:rPr>
          <w:rFonts w:eastAsia="Times New Roman" w:cs="Times New Roman"/>
          <w:i/>
          <w:szCs w:val="24"/>
          <w:lang w:val="sr-Cyrl-CS"/>
        </w:rPr>
        <w:t>well-being</w:t>
      </w:r>
      <w:r w:rsidRPr="00092ED7">
        <w:rPr>
          <w:rFonts w:eastAsia="Times New Roman" w:cs="Times New Roman"/>
          <w:szCs w:val="24"/>
          <w:lang w:val="sr-Cyrl-CS"/>
        </w:rPr>
        <w:t xml:space="preserve">) људи који бораве у БИО4. Примениће се алати за урбано планирање </w:t>
      </w:r>
      <w:r w:rsidRPr="00092ED7">
        <w:rPr>
          <w:rFonts w:eastAsia="Times New Roman" w:cs="Times New Roman"/>
          <w:i/>
          <w:szCs w:val="24"/>
          <w:lang w:val="sr-Cyrl-CS"/>
        </w:rPr>
        <w:t>Blue Green</w:t>
      </w:r>
      <w:r w:rsidRPr="00092ED7">
        <w:rPr>
          <w:szCs w:val="24"/>
          <w:lang w:val="sr-Cyrl-CS"/>
        </w:rPr>
        <w:t xml:space="preserve"> </w:t>
      </w:r>
      <w:r w:rsidRPr="00092ED7">
        <w:rPr>
          <w:rFonts w:eastAsia="Times New Roman" w:cs="Times New Roman"/>
          <w:szCs w:val="24"/>
          <w:lang w:val="sr-Cyrl-CS"/>
        </w:rPr>
        <w:t>решења са фокусом на водене потенцијале (плава решења укључујући дренажу, канализацију) и на вегетацију (зелена решења односно функционална вегетација) како би се усвојила решења базирана на принципима природе.</w:t>
      </w:r>
    </w:p>
    <w:p w14:paraId="564B1E75" w14:textId="77777777" w:rsidR="00D210F0" w:rsidRPr="00092ED7" w:rsidRDefault="00D210F0" w:rsidP="00071952">
      <w:pPr>
        <w:widowControl w:val="0"/>
        <w:numPr>
          <w:ilvl w:val="0"/>
          <w:numId w:val="33"/>
        </w:numPr>
        <w:spacing w:before="120"/>
        <w:ind w:left="425" w:hanging="425"/>
        <w:rPr>
          <w:rFonts w:cs="Times New Roman"/>
          <w:b/>
          <w:szCs w:val="24"/>
          <w:lang w:val="sr-Cyrl-CS"/>
        </w:rPr>
      </w:pPr>
      <w:r w:rsidRPr="00092ED7">
        <w:rPr>
          <w:rFonts w:cs="Times New Roman"/>
          <w:b/>
          <w:szCs w:val="24"/>
          <w:lang w:val="sr-Cyrl-CS"/>
        </w:rPr>
        <w:t>Потенцијални ризици</w:t>
      </w:r>
    </w:p>
    <w:tbl>
      <w:tblPr>
        <w:tblStyle w:val="TableGrid"/>
        <w:tblW w:w="9067" w:type="dxa"/>
        <w:jc w:val="center"/>
        <w:tblLayout w:type="fixed"/>
        <w:tblLook w:val="04A0" w:firstRow="1" w:lastRow="0" w:firstColumn="1" w:lastColumn="0" w:noHBand="0" w:noVBand="1"/>
      </w:tblPr>
      <w:tblGrid>
        <w:gridCol w:w="3256"/>
        <w:gridCol w:w="2126"/>
        <w:gridCol w:w="3685"/>
      </w:tblGrid>
      <w:tr w:rsidR="00D210F0" w:rsidRPr="00092ED7" w14:paraId="4121C4FD" w14:textId="77777777" w:rsidTr="00BA1B20">
        <w:trPr>
          <w:cnfStyle w:val="100000000000" w:firstRow="1" w:lastRow="0" w:firstColumn="0" w:lastColumn="0" w:oddVBand="0" w:evenVBand="0" w:oddHBand="0" w:evenHBand="0" w:firstRowFirstColumn="0" w:firstRowLastColumn="0" w:lastRowFirstColumn="0" w:lastRowLastColumn="0"/>
          <w:trHeight w:val="227"/>
          <w:jc w:val="center"/>
        </w:trPr>
        <w:tc>
          <w:tcPr>
            <w:tcW w:w="3256" w:type="dxa"/>
            <w:tcBorders>
              <w:top w:val="single" w:sz="4" w:space="0" w:color="auto"/>
              <w:left w:val="single" w:sz="4" w:space="0" w:color="auto"/>
              <w:bottom w:val="single" w:sz="4" w:space="0" w:color="auto"/>
              <w:right w:val="single" w:sz="4" w:space="0" w:color="auto"/>
            </w:tcBorders>
            <w:hideMark/>
          </w:tcPr>
          <w:p w14:paraId="1ADC5FDF" w14:textId="77777777" w:rsidR="00D210F0" w:rsidRPr="00092ED7" w:rsidRDefault="00D210F0" w:rsidP="00BA1B20">
            <w:pPr>
              <w:spacing w:before="0" w:after="0" w:line="238" w:lineRule="auto"/>
              <w:ind w:left="113" w:right="113"/>
              <w:jc w:val="center"/>
              <w:rPr>
                <w:rFonts w:cs="Times New Roman"/>
                <w:b w:val="0"/>
                <w:sz w:val="20"/>
                <w:lang w:val="sr-Cyrl-CS"/>
              </w:rPr>
            </w:pPr>
            <w:r w:rsidRPr="00092ED7">
              <w:rPr>
                <w:rFonts w:cs="Times New Roman"/>
                <w:sz w:val="20"/>
                <w:lang w:val="sr-Cyrl-CS"/>
              </w:rPr>
              <w:t>Ризик</w:t>
            </w:r>
          </w:p>
        </w:tc>
        <w:tc>
          <w:tcPr>
            <w:tcW w:w="2126" w:type="dxa"/>
            <w:tcBorders>
              <w:top w:val="single" w:sz="4" w:space="0" w:color="auto"/>
              <w:left w:val="single" w:sz="4" w:space="0" w:color="auto"/>
              <w:bottom w:val="single" w:sz="4" w:space="0" w:color="auto"/>
              <w:right w:val="single" w:sz="4" w:space="0" w:color="auto"/>
            </w:tcBorders>
            <w:hideMark/>
          </w:tcPr>
          <w:p w14:paraId="1356C109" w14:textId="77777777" w:rsidR="00D210F0" w:rsidRPr="00092ED7" w:rsidRDefault="00D210F0" w:rsidP="00BA1B20">
            <w:pPr>
              <w:spacing w:before="0" w:after="0" w:line="238" w:lineRule="auto"/>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685" w:type="dxa"/>
            <w:tcBorders>
              <w:top w:val="single" w:sz="4" w:space="0" w:color="auto"/>
              <w:left w:val="single" w:sz="4" w:space="0" w:color="auto"/>
              <w:bottom w:val="single" w:sz="4" w:space="0" w:color="auto"/>
              <w:right w:val="single" w:sz="4" w:space="0" w:color="auto"/>
            </w:tcBorders>
            <w:hideMark/>
          </w:tcPr>
          <w:p w14:paraId="023833A4" w14:textId="77777777" w:rsidR="00D210F0" w:rsidRPr="00092ED7" w:rsidRDefault="00D210F0" w:rsidP="00BA1B20">
            <w:pPr>
              <w:spacing w:before="0" w:after="0" w:line="238" w:lineRule="auto"/>
              <w:ind w:left="113" w:right="113"/>
              <w:jc w:val="center"/>
              <w:rPr>
                <w:rFonts w:cs="Times New Roman"/>
                <w:b w:val="0"/>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1C005AEA" w14:textId="77777777" w:rsidTr="00BA1B20">
        <w:trPr>
          <w:trHeight w:val="227"/>
          <w:jc w:val="center"/>
        </w:trPr>
        <w:tc>
          <w:tcPr>
            <w:tcW w:w="3256" w:type="dxa"/>
            <w:tcBorders>
              <w:top w:val="single" w:sz="4" w:space="0" w:color="auto"/>
              <w:left w:val="single" w:sz="4" w:space="0" w:color="auto"/>
              <w:bottom w:val="single" w:sz="4" w:space="0" w:color="auto"/>
              <w:right w:val="single" w:sz="4" w:space="0" w:color="auto"/>
            </w:tcBorders>
          </w:tcPr>
          <w:p w14:paraId="478EF069" w14:textId="77777777" w:rsidR="00D210F0" w:rsidRPr="00092ED7" w:rsidRDefault="00D210F0" w:rsidP="00BA1B20">
            <w:pPr>
              <w:spacing w:before="0" w:after="0" w:line="238" w:lineRule="auto"/>
              <w:ind w:left="113" w:right="113"/>
              <w:rPr>
                <w:sz w:val="20"/>
                <w:lang w:val="sr-Cyrl-CS"/>
              </w:rPr>
            </w:pPr>
            <w:r w:rsidRPr="00092ED7">
              <w:rPr>
                <w:rFonts w:eastAsia="Times New Roman" w:cs="Times New Roman"/>
                <w:sz w:val="20"/>
                <w:lang w:val="sr-Cyrl-CS"/>
              </w:rPr>
              <w:t>Кашњење у припреми пројектне документације</w:t>
            </w:r>
          </w:p>
        </w:tc>
        <w:tc>
          <w:tcPr>
            <w:tcW w:w="2126" w:type="dxa"/>
            <w:tcBorders>
              <w:top w:val="single" w:sz="4" w:space="0" w:color="auto"/>
              <w:left w:val="single" w:sz="4" w:space="0" w:color="auto"/>
              <w:bottom w:val="single" w:sz="4" w:space="0" w:color="auto"/>
              <w:right w:val="single" w:sz="4" w:space="0" w:color="auto"/>
            </w:tcBorders>
            <w:vAlign w:val="top"/>
          </w:tcPr>
          <w:p w14:paraId="51A9B619" w14:textId="77777777" w:rsidR="00D210F0" w:rsidRPr="00092ED7" w:rsidRDefault="00D210F0" w:rsidP="00BA1B20">
            <w:pPr>
              <w:spacing w:before="0" w:after="0" w:line="238" w:lineRule="auto"/>
              <w:ind w:left="113" w:right="113"/>
              <w:jc w:val="center"/>
              <w:rPr>
                <w:sz w:val="20"/>
                <w:lang w:val="sr-Cyrl-CS"/>
              </w:rPr>
            </w:pPr>
            <w:r w:rsidRPr="00092ED7">
              <w:rPr>
                <w:rFonts w:cs="Times New Roman"/>
                <w:sz w:val="20"/>
                <w:lang w:val="sr-Cyrl-CS"/>
              </w:rPr>
              <w:t>Ниска</w:t>
            </w:r>
          </w:p>
        </w:tc>
        <w:tc>
          <w:tcPr>
            <w:tcW w:w="3685" w:type="dxa"/>
            <w:tcBorders>
              <w:top w:val="single" w:sz="4" w:space="0" w:color="auto"/>
              <w:left w:val="single" w:sz="4" w:space="0" w:color="auto"/>
              <w:bottom w:val="single" w:sz="4" w:space="0" w:color="auto"/>
              <w:right w:val="single" w:sz="4" w:space="0" w:color="auto"/>
            </w:tcBorders>
          </w:tcPr>
          <w:p w14:paraId="76BBC1A2" w14:textId="77777777" w:rsidR="00D210F0" w:rsidRPr="00092ED7" w:rsidRDefault="00D210F0" w:rsidP="00BA1B20">
            <w:pPr>
              <w:spacing w:before="0" w:after="0" w:line="238" w:lineRule="auto"/>
              <w:ind w:left="113" w:right="113"/>
              <w:rPr>
                <w:sz w:val="20"/>
                <w:lang w:val="sr-Cyrl-CS"/>
              </w:rPr>
            </w:pPr>
            <w:r w:rsidRPr="00092ED7">
              <w:rPr>
                <w:rFonts w:eastAsia="Times New Roman" w:cs="Times New Roman"/>
                <w:sz w:val="20"/>
                <w:lang w:val="sr-Cyrl-CS"/>
              </w:rPr>
              <w:t>Ефикасно планирање свих активности и повезивање актера</w:t>
            </w:r>
            <w:r w:rsidR="00CB66AD" w:rsidRPr="00092ED7">
              <w:rPr>
                <w:rFonts w:eastAsia="Times New Roman" w:cs="Times New Roman"/>
                <w:sz w:val="20"/>
                <w:lang w:val="sr-Cyrl-CS"/>
              </w:rPr>
              <w:t>.</w:t>
            </w:r>
          </w:p>
        </w:tc>
      </w:tr>
      <w:tr w:rsidR="00D210F0" w:rsidRPr="00092ED7" w14:paraId="584D4D63" w14:textId="77777777" w:rsidTr="00BA1B20">
        <w:trPr>
          <w:trHeight w:val="227"/>
          <w:jc w:val="center"/>
        </w:trPr>
        <w:tc>
          <w:tcPr>
            <w:tcW w:w="3256" w:type="dxa"/>
            <w:tcBorders>
              <w:top w:val="single" w:sz="4" w:space="0" w:color="auto"/>
              <w:left w:val="single" w:sz="4" w:space="0" w:color="auto"/>
              <w:bottom w:val="single" w:sz="4" w:space="0" w:color="auto"/>
              <w:right w:val="single" w:sz="4" w:space="0" w:color="auto"/>
            </w:tcBorders>
            <w:hideMark/>
          </w:tcPr>
          <w:p w14:paraId="54AC8E9C" w14:textId="77777777" w:rsidR="00D210F0" w:rsidRPr="00092ED7" w:rsidRDefault="00D210F0" w:rsidP="00BA1B20">
            <w:pPr>
              <w:spacing w:before="0" w:after="0" w:line="238" w:lineRule="auto"/>
              <w:ind w:left="113" w:right="113"/>
              <w:rPr>
                <w:rFonts w:cs="Times New Roman"/>
                <w:b/>
                <w:sz w:val="20"/>
                <w:lang w:val="sr-Cyrl-CS"/>
              </w:rPr>
            </w:pPr>
            <w:r w:rsidRPr="00092ED7">
              <w:rPr>
                <w:rFonts w:eastAsia="Times New Roman" w:cs="Times New Roman"/>
                <w:sz w:val="20"/>
                <w:lang w:val="sr-Cyrl-CS"/>
              </w:rPr>
              <w:t>Непоштовање рокова у реализацији планираних активности и изградњи</w:t>
            </w:r>
          </w:p>
        </w:tc>
        <w:tc>
          <w:tcPr>
            <w:tcW w:w="2126" w:type="dxa"/>
            <w:tcBorders>
              <w:top w:val="single" w:sz="4" w:space="0" w:color="auto"/>
              <w:left w:val="single" w:sz="4" w:space="0" w:color="auto"/>
              <w:bottom w:val="single" w:sz="4" w:space="0" w:color="auto"/>
              <w:right w:val="single" w:sz="4" w:space="0" w:color="auto"/>
            </w:tcBorders>
            <w:vAlign w:val="top"/>
          </w:tcPr>
          <w:p w14:paraId="7AE7DB13" w14:textId="77777777" w:rsidR="00D210F0" w:rsidRPr="00092ED7" w:rsidRDefault="00D210F0" w:rsidP="00BA1B20">
            <w:pPr>
              <w:spacing w:before="0" w:after="0" w:line="238" w:lineRule="auto"/>
              <w:ind w:left="113" w:right="113"/>
              <w:jc w:val="center"/>
              <w:rPr>
                <w:rFonts w:cs="Times New Roman"/>
                <w:sz w:val="20"/>
                <w:lang w:val="sr-Cyrl-CS"/>
              </w:rPr>
            </w:pPr>
            <w:r w:rsidRPr="00092ED7">
              <w:rPr>
                <w:rFonts w:cs="Times New Roman"/>
                <w:sz w:val="20"/>
                <w:lang w:val="sr-Cyrl-CS"/>
              </w:rPr>
              <w:t>Средња</w:t>
            </w:r>
          </w:p>
        </w:tc>
        <w:tc>
          <w:tcPr>
            <w:tcW w:w="3685" w:type="dxa"/>
            <w:tcBorders>
              <w:top w:val="single" w:sz="4" w:space="0" w:color="auto"/>
              <w:left w:val="single" w:sz="4" w:space="0" w:color="auto"/>
              <w:bottom w:val="single" w:sz="4" w:space="0" w:color="auto"/>
              <w:right w:val="single" w:sz="4" w:space="0" w:color="auto"/>
            </w:tcBorders>
          </w:tcPr>
          <w:p w14:paraId="2BCC5107" w14:textId="77777777" w:rsidR="00D210F0" w:rsidRPr="00092ED7" w:rsidRDefault="00D210F0" w:rsidP="00BA1B20">
            <w:pPr>
              <w:spacing w:before="0" w:after="0" w:line="238" w:lineRule="auto"/>
              <w:ind w:left="113" w:right="113"/>
              <w:rPr>
                <w:sz w:val="20"/>
                <w:lang w:val="sr-Cyrl-CS"/>
              </w:rPr>
            </w:pPr>
            <w:r w:rsidRPr="00092ED7">
              <w:rPr>
                <w:rFonts w:eastAsia="Times New Roman" w:cs="Times New Roman"/>
                <w:sz w:val="20"/>
                <w:lang w:val="sr-Cyrl-CS"/>
              </w:rPr>
              <w:t>Стално праћење напретка и идентификовање потенцијалних уских грла</w:t>
            </w:r>
            <w:r w:rsidR="00D47BD8" w:rsidRPr="00092ED7">
              <w:rPr>
                <w:rFonts w:eastAsia="Times New Roman" w:cs="Times New Roman"/>
                <w:sz w:val="20"/>
                <w:lang w:val="sr-Cyrl-CS"/>
              </w:rPr>
              <w:t>.</w:t>
            </w:r>
          </w:p>
        </w:tc>
      </w:tr>
      <w:tr w:rsidR="00D210F0" w:rsidRPr="00092ED7" w14:paraId="0EFE8230" w14:textId="77777777" w:rsidTr="00BA1B20">
        <w:trPr>
          <w:trHeight w:val="227"/>
          <w:jc w:val="center"/>
        </w:trPr>
        <w:tc>
          <w:tcPr>
            <w:tcW w:w="3256" w:type="dxa"/>
            <w:tcBorders>
              <w:top w:val="single" w:sz="4" w:space="0" w:color="auto"/>
              <w:left w:val="single" w:sz="4" w:space="0" w:color="auto"/>
              <w:bottom w:val="single" w:sz="4" w:space="0" w:color="auto"/>
              <w:right w:val="single" w:sz="4" w:space="0" w:color="auto"/>
            </w:tcBorders>
          </w:tcPr>
          <w:p w14:paraId="289EB29F" w14:textId="77777777" w:rsidR="00D210F0" w:rsidRPr="00092ED7" w:rsidRDefault="00D210F0" w:rsidP="00BA1B20">
            <w:pPr>
              <w:spacing w:before="0" w:after="0" w:line="238" w:lineRule="auto"/>
              <w:ind w:left="113" w:right="113"/>
              <w:rPr>
                <w:sz w:val="20"/>
                <w:lang w:val="sr-Cyrl-CS"/>
              </w:rPr>
            </w:pPr>
            <w:r w:rsidRPr="00092ED7">
              <w:rPr>
                <w:rFonts w:cs="Times New Roman"/>
                <w:sz w:val="20"/>
                <w:lang w:val="sr-Cyrl-CS"/>
              </w:rPr>
              <w:t>Недовољна заинтересованост институција и компанија да буду део БИО4 кампуса</w:t>
            </w:r>
          </w:p>
        </w:tc>
        <w:tc>
          <w:tcPr>
            <w:tcW w:w="2126" w:type="dxa"/>
            <w:tcBorders>
              <w:top w:val="single" w:sz="4" w:space="0" w:color="auto"/>
              <w:left w:val="single" w:sz="4" w:space="0" w:color="auto"/>
              <w:bottom w:val="single" w:sz="4" w:space="0" w:color="auto"/>
              <w:right w:val="single" w:sz="4" w:space="0" w:color="auto"/>
            </w:tcBorders>
            <w:vAlign w:val="top"/>
          </w:tcPr>
          <w:p w14:paraId="6B374790" w14:textId="77777777" w:rsidR="00D210F0" w:rsidRPr="00092ED7" w:rsidRDefault="00D210F0" w:rsidP="00BA1B20">
            <w:pPr>
              <w:spacing w:before="0" w:after="0" w:line="238" w:lineRule="auto"/>
              <w:ind w:left="113" w:right="113"/>
              <w:jc w:val="center"/>
              <w:rPr>
                <w:sz w:val="20"/>
                <w:lang w:val="sr-Cyrl-CS"/>
              </w:rPr>
            </w:pPr>
            <w:r w:rsidRPr="00092ED7">
              <w:rPr>
                <w:rFonts w:cs="Times New Roman"/>
                <w:sz w:val="20"/>
                <w:lang w:val="sr-Cyrl-CS"/>
              </w:rPr>
              <w:t>Ниска</w:t>
            </w:r>
          </w:p>
        </w:tc>
        <w:tc>
          <w:tcPr>
            <w:tcW w:w="3685" w:type="dxa"/>
            <w:tcBorders>
              <w:top w:val="single" w:sz="4" w:space="0" w:color="auto"/>
              <w:left w:val="single" w:sz="4" w:space="0" w:color="auto"/>
              <w:bottom w:val="single" w:sz="4" w:space="0" w:color="auto"/>
              <w:right w:val="single" w:sz="4" w:space="0" w:color="auto"/>
            </w:tcBorders>
          </w:tcPr>
          <w:p w14:paraId="42C15C4B" w14:textId="77777777" w:rsidR="00D210F0" w:rsidRPr="00092ED7" w:rsidRDefault="00D210F0" w:rsidP="00BA1B20">
            <w:pPr>
              <w:spacing w:before="0" w:after="0" w:line="238" w:lineRule="auto"/>
              <w:ind w:left="113" w:right="113"/>
              <w:rPr>
                <w:sz w:val="20"/>
                <w:lang w:val="sr-Cyrl-CS"/>
              </w:rPr>
            </w:pPr>
            <w:r w:rsidRPr="00092ED7">
              <w:rPr>
                <w:rFonts w:cs="Times New Roman"/>
                <w:sz w:val="20"/>
                <w:lang w:val="sr-Cyrl-CS"/>
              </w:rPr>
              <w:t>Промоција и остваривање партнерстава кроз заједничке активности</w:t>
            </w:r>
            <w:r w:rsidR="00D47BD8" w:rsidRPr="00092ED7">
              <w:rPr>
                <w:rFonts w:cs="Times New Roman"/>
                <w:sz w:val="20"/>
                <w:lang w:val="sr-Cyrl-CS"/>
              </w:rPr>
              <w:t>.</w:t>
            </w:r>
          </w:p>
        </w:tc>
      </w:tr>
    </w:tbl>
    <w:p w14:paraId="54D53637" w14:textId="77777777" w:rsidR="00D210F0" w:rsidRPr="00092ED7" w:rsidRDefault="00D210F0" w:rsidP="00BA1B20">
      <w:pPr>
        <w:keepNext/>
        <w:keepLines/>
        <w:shd w:val="clear" w:color="auto" w:fill="D9D9D9" w:themeFill="background1" w:themeFillShade="D9"/>
        <w:spacing w:before="240"/>
        <w:outlineLvl w:val="2"/>
        <w:rPr>
          <w:rFonts w:eastAsiaTheme="majorEastAsia" w:cstheme="majorBidi"/>
          <w:b/>
          <w:lang w:val="sr-Cyrl-CS"/>
        </w:rPr>
      </w:pPr>
      <w:bookmarkStart w:id="77" w:name="_Toc93385982"/>
      <w:bookmarkStart w:id="78" w:name="_Toc124174813"/>
      <w:bookmarkStart w:id="79" w:name="_Toc126218632"/>
      <w:r w:rsidRPr="00092ED7">
        <w:rPr>
          <w:rFonts w:eastAsiaTheme="majorEastAsia" w:cstheme="majorBidi"/>
          <w:b/>
          <w:lang w:val="sr-Cyrl-CS"/>
        </w:rPr>
        <w:t>5.2.6. Област РЕФОРМЕ У ОБЛАСТИ ЕКОНОМСКИХ ИНТЕГРАЦИЈА</w:t>
      </w:r>
      <w:bookmarkEnd w:id="77"/>
      <w:bookmarkEnd w:id="78"/>
      <w:bookmarkEnd w:id="79"/>
    </w:p>
    <w:p w14:paraId="128DC076" w14:textId="1EE48053" w:rsidR="00D210F0" w:rsidRPr="00092ED7" w:rsidRDefault="00D210F0" w:rsidP="00D210F0">
      <w:pPr>
        <w:rPr>
          <w:rFonts w:eastAsia="Times New Roman" w:cs="Times New Roman"/>
          <w:b/>
          <w:bCs/>
          <w:color w:val="000000"/>
          <w:szCs w:val="24"/>
          <w:lang w:val="sr-Cyrl-CS"/>
        </w:rPr>
      </w:pPr>
      <w:r w:rsidRPr="00092ED7">
        <w:rPr>
          <w:rFonts w:eastAsia="Times New Roman" w:cs="Times New Roman"/>
          <w:b/>
          <w:bCs/>
          <w:color w:val="000000"/>
          <w:szCs w:val="24"/>
          <w:lang w:val="sr-Cyrl-CS"/>
        </w:rPr>
        <w:t xml:space="preserve">а) Анализа главних </w:t>
      </w:r>
      <w:r w:rsidR="00515D4D" w:rsidRPr="00092ED7">
        <w:rPr>
          <w:rFonts w:eastAsia="Times New Roman" w:cs="Times New Roman"/>
          <w:b/>
          <w:bCs/>
          <w:color w:val="000000"/>
          <w:szCs w:val="24"/>
          <w:lang w:val="sr-Cyrl-CS"/>
        </w:rPr>
        <w:t>изазова</w:t>
      </w:r>
    </w:p>
    <w:p w14:paraId="631D3898" w14:textId="49ADA174" w:rsidR="00D210F0" w:rsidRPr="00092ED7" w:rsidRDefault="00D210F0" w:rsidP="00D210F0">
      <w:pPr>
        <w:widowControl w:val="0"/>
        <w:spacing w:after="60"/>
        <w:rPr>
          <w:rFonts w:eastAsia="Times New Roman" w:cs="Times New Roman"/>
          <w:bCs/>
          <w:color w:val="000000"/>
          <w:szCs w:val="24"/>
          <w:lang w:val="sr-Cyrl-CS"/>
        </w:rPr>
      </w:pPr>
      <w:r w:rsidRPr="00092ED7">
        <w:rPr>
          <w:rFonts w:eastAsia="Times New Roman" w:cs="Times New Roman"/>
          <w:b/>
          <w:bCs/>
          <w:color w:val="000000"/>
          <w:szCs w:val="24"/>
          <w:lang w:val="sr-Cyrl-CS"/>
        </w:rPr>
        <w:t xml:space="preserve">Република Србија није у потпуности интегрисана у међународни економски систем </w:t>
      </w:r>
      <w:r w:rsidR="00862B63" w:rsidRPr="00092ED7">
        <w:rPr>
          <w:rFonts w:eastAsia="Times New Roman" w:cs="Times New Roman"/>
          <w:b/>
          <w:bCs/>
          <w:color w:val="000000"/>
          <w:szCs w:val="24"/>
          <w:lang w:val="sr-Cyrl-CS"/>
        </w:rPr>
        <w:t xml:space="preserve">с обзиром да </w:t>
      </w:r>
      <w:r w:rsidRPr="00092ED7">
        <w:rPr>
          <w:rFonts w:eastAsia="Times New Roman" w:cs="Times New Roman"/>
          <w:b/>
          <w:bCs/>
          <w:color w:val="000000"/>
          <w:szCs w:val="24"/>
          <w:lang w:val="sr-Cyrl-CS"/>
        </w:rPr>
        <w:t>још увек није приступила Светској трговинској организацији (</w:t>
      </w:r>
      <w:r w:rsidR="00564BDA" w:rsidRPr="00092ED7">
        <w:rPr>
          <w:rFonts w:eastAsia="Times New Roman" w:cs="Times New Roman"/>
          <w:b/>
          <w:bCs/>
          <w:color w:val="000000"/>
          <w:szCs w:val="24"/>
          <w:lang w:val="sr-Cyrl-CS"/>
        </w:rPr>
        <w:t xml:space="preserve">у даљем тексту: </w:t>
      </w:r>
      <w:r w:rsidRPr="00092ED7">
        <w:rPr>
          <w:rFonts w:eastAsia="Times New Roman" w:cs="Times New Roman"/>
          <w:b/>
          <w:bCs/>
          <w:color w:val="000000"/>
          <w:szCs w:val="24"/>
          <w:lang w:val="sr-Cyrl-CS"/>
        </w:rPr>
        <w:t xml:space="preserve">СТО). </w:t>
      </w:r>
      <w:r w:rsidRPr="00092ED7">
        <w:rPr>
          <w:rFonts w:eastAsia="Times New Roman" w:cs="Times New Roman"/>
          <w:bCs/>
          <w:color w:val="000000"/>
          <w:szCs w:val="24"/>
          <w:lang w:val="sr-Cyrl-CS"/>
        </w:rPr>
        <w:t>У оквиру мултилатералне компоненте приступања (системска питања) преостало је једино отворено питање забране спољнотрговинског промета производа од генетички модификованих организама (</w:t>
      </w:r>
      <w:r w:rsidR="0001548A" w:rsidRPr="00092ED7">
        <w:rPr>
          <w:rFonts w:eastAsia="Times New Roman" w:cs="Times New Roman"/>
          <w:bCs/>
          <w:color w:val="000000"/>
          <w:szCs w:val="24"/>
          <w:lang w:val="sr-Cyrl-CS"/>
        </w:rPr>
        <w:t xml:space="preserve">у даљем тексту: </w:t>
      </w:r>
      <w:r w:rsidRPr="00092ED7">
        <w:rPr>
          <w:rFonts w:eastAsia="Times New Roman" w:cs="Times New Roman"/>
          <w:bCs/>
          <w:color w:val="000000"/>
          <w:szCs w:val="24"/>
          <w:lang w:val="sr-Cyrl-CS"/>
        </w:rPr>
        <w:t xml:space="preserve">ГМО) и доношење </w:t>
      </w:r>
      <w:r w:rsidR="00101672" w:rsidRPr="00092ED7">
        <w:rPr>
          <w:rFonts w:eastAsia="Times New Roman" w:cs="Times New Roman"/>
          <w:bCs/>
          <w:color w:val="000000"/>
          <w:szCs w:val="24"/>
          <w:lang w:val="sr-Cyrl-CS"/>
        </w:rPr>
        <w:t>з</w:t>
      </w:r>
      <w:r w:rsidRPr="00092ED7">
        <w:rPr>
          <w:rFonts w:eastAsia="Times New Roman" w:cs="Times New Roman"/>
          <w:bCs/>
          <w:color w:val="000000"/>
          <w:szCs w:val="24"/>
          <w:lang w:val="sr-Cyrl-CS"/>
        </w:rPr>
        <w:t>акона о изменама и допунама Закона о генетички модификованим организмима („Сл</w:t>
      </w:r>
      <w:r w:rsidR="0006024A" w:rsidRPr="00092ED7">
        <w:rPr>
          <w:rFonts w:eastAsia="Times New Roman" w:cs="Times New Roman"/>
          <w:bCs/>
          <w:color w:val="000000"/>
          <w:szCs w:val="24"/>
          <w:lang w:val="sr-Cyrl-CS"/>
        </w:rPr>
        <w:t>ужбени</w:t>
      </w:r>
      <w:r w:rsidR="0011016A" w:rsidRPr="00092ED7">
        <w:rPr>
          <w:rFonts w:eastAsia="Times New Roman" w:cs="Times New Roman"/>
          <w:bCs/>
          <w:color w:val="000000"/>
          <w:szCs w:val="24"/>
          <w:lang w:val="sr-Cyrl-CS"/>
        </w:rPr>
        <w:t xml:space="preserve"> гласник РС</w:t>
      </w:r>
      <w:r w:rsidR="00D7265D" w:rsidRPr="00092ED7">
        <w:rPr>
          <w:rFonts w:cs="Times New Roman"/>
          <w:szCs w:val="24"/>
          <w:lang w:val="sr-Cyrl-CS"/>
        </w:rPr>
        <w:t>”</w:t>
      </w:r>
      <w:r w:rsidR="0011016A" w:rsidRPr="00092ED7">
        <w:rPr>
          <w:rFonts w:eastAsia="Times New Roman" w:cs="Times New Roman"/>
          <w:bCs/>
          <w:color w:val="000000"/>
          <w:szCs w:val="24"/>
          <w:lang w:val="sr-Cyrl-CS"/>
        </w:rPr>
        <w:t>, бр</w:t>
      </w:r>
      <w:r w:rsidR="0006024A" w:rsidRPr="00092ED7">
        <w:rPr>
          <w:rFonts w:eastAsia="Times New Roman" w:cs="Times New Roman"/>
          <w:bCs/>
          <w:color w:val="000000"/>
          <w:szCs w:val="24"/>
          <w:lang w:val="sr-Cyrl-CS"/>
        </w:rPr>
        <w:t>ој</w:t>
      </w:r>
      <w:r w:rsidRPr="00092ED7">
        <w:rPr>
          <w:rFonts w:eastAsia="Times New Roman" w:cs="Times New Roman"/>
          <w:bCs/>
          <w:color w:val="000000"/>
          <w:szCs w:val="24"/>
          <w:lang w:val="sr-Cyrl-CS"/>
        </w:rPr>
        <w:t xml:space="preserve"> 41/09), што представља једну од препрека за окончање процеса приступања СТО. Истовремено, преостало је и да се оконча  неколико билатералних преговора о приступу тржишту у оквиру СТО, који се воде са појединим државама чланицама организације, међу којима су и Русија и Украјина, што представља отежавајућу околност. </w:t>
      </w:r>
    </w:p>
    <w:p w14:paraId="7311153A" w14:textId="0254FBD7" w:rsidR="00D210F0" w:rsidRPr="00092ED7" w:rsidRDefault="00D210F0" w:rsidP="00BA1B20">
      <w:pPr>
        <w:widowControl w:val="0"/>
        <w:spacing w:after="60" w:line="238" w:lineRule="auto"/>
        <w:rPr>
          <w:rFonts w:eastAsia="Times New Roman" w:cs="Times New Roman"/>
          <w:bCs/>
          <w:color w:val="000000"/>
          <w:szCs w:val="24"/>
          <w:lang w:val="sr-Cyrl-CS"/>
        </w:rPr>
      </w:pPr>
      <w:r w:rsidRPr="00092ED7">
        <w:rPr>
          <w:rFonts w:eastAsia="Times New Roman" w:cs="Times New Roman"/>
          <w:b/>
          <w:bCs/>
          <w:color w:val="000000"/>
          <w:szCs w:val="24"/>
          <w:lang w:val="sr-Cyrl-CS"/>
        </w:rPr>
        <w:t>Регионална сарадња представља један од приоритета Републике Србије, као основа за економски раст и одржање и повећање стабилности. Заснована је</w:t>
      </w:r>
      <w:r w:rsidR="001B40EF" w:rsidRPr="00092ED7">
        <w:rPr>
          <w:rFonts w:eastAsia="Times New Roman" w:cs="Times New Roman"/>
          <w:b/>
          <w:bCs/>
          <w:color w:val="000000"/>
          <w:szCs w:val="24"/>
          <w:lang w:val="sr-Cyrl-CS"/>
        </w:rPr>
        <w:t>, између осталог</w:t>
      </w:r>
      <w:r w:rsidR="00260A38" w:rsidRPr="00092ED7">
        <w:rPr>
          <w:rFonts w:eastAsia="Times New Roman" w:cs="Times New Roman"/>
          <w:b/>
          <w:bCs/>
          <w:color w:val="000000"/>
          <w:szCs w:val="24"/>
          <w:lang w:val="sr-Cyrl-CS"/>
        </w:rPr>
        <w:t>,</w:t>
      </w:r>
      <w:r w:rsidR="001B40EF" w:rsidRPr="00092ED7">
        <w:rPr>
          <w:rFonts w:eastAsia="Times New Roman" w:cs="Times New Roman"/>
          <w:b/>
          <w:bCs/>
          <w:color w:val="000000"/>
          <w:szCs w:val="24"/>
          <w:lang w:val="sr-Cyrl-CS"/>
        </w:rPr>
        <w:t xml:space="preserve"> и</w:t>
      </w:r>
      <w:r w:rsidRPr="00092ED7">
        <w:rPr>
          <w:rFonts w:eastAsia="Times New Roman" w:cs="Times New Roman"/>
          <w:b/>
          <w:bCs/>
          <w:color w:val="000000"/>
          <w:szCs w:val="24"/>
          <w:lang w:val="sr-Cyrl-CS"/>
        </w:rPr>
        <w:t xml:space="preserve"> на Споразуму о слободној трговини у Централној Европи (</w:t>
      </w:r>
      <w:r w:rsidR="00E63AE6" w:rsidRPr="00092ED7">
        <w:rPr>
          <w:rFonts w:eastAsia="Times New Roman"/>
          <w:b/>
          <w:bCs/>
          <w:color w:val="000000"/>
          <w:szCs w:val="24"/>
          <w:lang w:val="sr-Cyrl-CS"/>
        </w:rPr>
        <w:t>CEFTA</w:t>
      </w:r>
      <w:r w:rsidRPr="00092ED7">
        <w:rPr>
          <w:rFonts w:eastAsia="Times New Roman" w:cs="Times New Roman"/>
          <w:b/>
          <w:bCs/>
          <w:color w:val="000000"/>
          <w:szCs w:val="24"/>
          <w:lang w:val="sr-Cyrl-CS"/>
        </w:rPr>
        <w:t xml:space="preserve">). </w:t>
      </w:r>
      <w:r w:rsidRPr="00092ED7">
        <w:rPr>
          <w:rFonts w:eastAsia="Times New Roman" w:cs="Times New Roman"/>
          <w:bCs/>
          <w:color w:val="000000"/>
          <w:szCs w:val="24"/>
          <w:lang w:val="sr-Cyrl-CS"/>
        </w:rPr>
        <w:t>Сталан напредак и продубљивање регионалне сарадње, посебно кроз регионалне иницијативе и надгра</w:t>
      </w:r>
      <w:r w:rsidR="00992C92" w:rsidRPr="00092ED7">
        <w:rPr>
          <w:rFonts w:eastAsia="Times New Roman" w:cs="Times New Roman"/>
          <w:bCs/>
          <w:color w:val="000000"/>
          <w:szCs w:val="24"/>
          <w:lang w:val="sr-Cyrl-CS"/>
        </w:rPr>
        <w:t>д</w:t>
      </w:r>
      <w:r w:rsidRPr="00092ED7">
        <w:rPr>
          <w:rFonts w:eastAsia="Times New Roman" w:cs="Times New Roman"/>
          <w:bCs/>
          <w:color w:val="000000"/>
          <w:szCs w:val="24"/>
          <w:lang w:val="sr-Cyrl-CS"/>
        </w:rPr>
        <w:t xml:space="preserve">њу </w:t>
      </w:r>
      <w:r w:rsidR="00E63AE6" w:rsidRPr="00092ED7">
        <w:rPr>
          <w:rFonts w:eastAsia="Times New Roman"/>
          <w:bCs/>
          <w:color w:val="000000"/>
          <w:szCs w:val="24"/>
          <w:lang w:val="sr-Cyrl-CS"/>
        </w:rPr>
        <w:t>CEFTA</w:t>
      </w:r>
      <w:r w:rsidRPr="00092ED7">
        <w:rPr>
          <w:rFonts w:eastAsia="Times New Roman" w:cs="Times New Roman"/>
          <w:bCs/>
          <w:color w:val="000000"/>
          <w:szCs w:val="24"/>
          <w:lang w:val="sr-Cyrl-CS"/>
        </w:rPr>
        <w:t xml:space="preserve">, доприноси и интеграцији овог дела Европе у Европску унију. Имплементацијом </w:t>
      </w:r>
      <w:r w:rsidRPr="00092ED7">
        <w:rPr>
          <w:rFonts w:eastAsia="Times New Roman" w:cs="Times New Roman"/>
          <w:bCs/>
          <w:i/>
          <w:color w:val="000000"/>
          <w:szCs w:val="24"/>
          <w:lang w:val="sr-Cyrl-CS"/>
        </w:rPr>
        <w:t>Вишегодишњег акционог плана за развој Регионалног економског простора</w:t>
      </w:r>
      <w:r w:rsidRPr="00092ED7">
        <w:rPr>
          <w:rFonts w:eastAsia="Times New Roman" w:cs="Times New Roman"/>
          <w:bCs/>
          <w:color w:val="000000"/>
          <w:szCs w:val="24"/>
          <w:lang w:val="sr-Cyrl-CS"/>
        </w:rPr>
        <w:t xml:space="preserve"> (MAP REA) изједначене су цена роминга мобилног саобраћаја свих оператера мобилних мрежа са ценама у националном саобраћају </w:t>
      </w:r>
      <w:r w:rsidR="00564BDA" w:rsidRPr="00092ED7">
        <w:rPr>
          <w:rFonts w:eastAsia="Times New Roman" w:cs="Times New Roman"/>
          <w:bCs/>
          <w:color w:val="000000"/>
          <w:szCs w:val="24"/>
          <w:lang w:val="sr-Cyrl-CS"/>
        </w:rPr>
        <w:t xml:space="preserve">Републике </w:t>
      </w:r>
      <w:r w:rsidRPr="00092ED7">
        <w:rPr>
          <w:rFonts w:eastAsia="Times New Roman" w:cs="Times New Roman"/>
          <w:bCs/>
          <w:color w:val="000000"/>
          <w:szCs w:val="24"/>
          <w:lang w:val="sr-Cyrl-CS"/>
        </w:rPr>
        <w:t xml:space="preserve">Србије, Црне Горе, Босне и Херцеговине, </w:t>
      </w:r>
      <w:r w:rsidR="00A97937" w:rsidRPr="00092ED7">
        <w:rPr>
          <w:rFonts w:eastAsia="Times New Roman" w:cs="Times New Roman"/>
          <w:bCs/>
          <w:color w:val="000000"/>
          <w:szCs w:val="24"/>
          <w:lang w:val="sr-Cyrl-CS"/>
        </w:rPr>
        <w:t xml:space="preserve">Републике </w:t>
      </w:r>
      <w:r w:rsidRPr="00092ED7">
        <w:rPr>
          <w:rFonts w:eastAsia="Times New Roman" w:cs="Times New Roman"/>
          <w:bCs/>
          <w:color w:val="000000"/>
          <w:szCs w:val="24"/>
          <w:lang w:val="sr-Cyrl-CS"/>
        </w:rPr>
        <w:t xml:space="preserve">Северне Македоније и </w:t>
      </w:r>
      <w:r w:rsidR="00A97937" w:rsidRPr="00092ED7">
        <w:rPr>
          <w:rFonts w:eastAsia="Times New Roman" w:cs="Times New Roman"/>
          <w:bCs/>
          <w:color w:val="000000"/>
          <w:szCs w:val="24"/>
          <w:lang w:val="sr-Cyrl-CS"/>
        </w:rPr>
        <w:t xml:space="preserve">Републике </w:t>
      </w:r>
      <w:r w:rsidRPr="00092ED7">
        <w:rPr>
          <w:rFonts w:eastAsia="Times New Roman" w:cs="Times New Roman"/>
          <w:bCs/>
          <w:color w:val="000000"/>
          <w:szCs w:val="24"/>
          <w:lang w:val="sr-Cyrl-CS"/>
        </w:rPr>
        <w:t xml:space="preserve">Албаније од 1. јула 2021. године. </w:t>
      </w:r>
      <w:r w:rsidRPr="00092ED7">
        <w:rPr>
          <w:rFonts w:eastAsia="Times New Roman" w:cs="Times New Roman"/>
          <w:bCs/>
          <w:i/>
          <w:color w:val="000000"/>
          <w:szCs w:val="24"/>
          <w:lang w:val="sr-Cyrl-CS"/>
        </w:rPr>
        <w:t>Акциони план за Заједничко регионално тржиште у оквирима Берлинског процеса</w:t>
      </w:r>
      <w:r w:rsidRPr="00092ED7">
        <w:rPr>
          <w:rFonts w:eastAsia="Times New Roman" w:cs="Times New Roman"/>
          <w:bCs/>
          <w:color w:val="000000"/>
          <w:szCs w:val="24"/>
          <w:lang w:val="sr-Cyrl-CS"/>
        </w:rPr>
        <w:t xml:space="preserve"> је усвојен на Самиту Западног Балкана у Софији 10. новембра 2020. Предвиђене су бројне активности које треба да се реализују до краја 2024. године у областима: а) унапређења четири слободе (кроз споразуме за узајамно признавање, уклањањем препрека и смањењем трошкова и времена кретања робе, услуга, капитала и људи), б) побољшања атрактивности региона за инвестирање (кроз кампању за промоцију регионалних инвестиција, развијање регионалних смерница и процедура за механизме скрининга), в) интегрисање Западног Балкана у пан-eвропски дигитални простор (усклађивањем са принципима и праксом Јединственог дигиталног тржишта ЕУ, сарадњoм у области приступа заштити података, узајамног признавања електронских потписа) и г) унапређења развоја индустријске базе и иновационе инфраструктуре (подржавањем предузетништва младих, стартап предузећа и предузећа у раној фази оснивања, увођењем механизама за пренос знања из дијаспоре, подстицањем зеленог и женског предузетништва). </w:t>
      </w:r>
    </w:p>
    <w:p w14:paraId="7168557E" w14:textId="1D3C8309"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bCs/>
          <w:i/>
          <w:color w:val="000000"/>
          <w:szCs w:val="24"/>
          <w:lang w:val="sr-Cyrl-CS"/>
        </w:rPr>
        <w:t>Заједничка иницијатива „Мини Шенген</w:t>
      </w:r>
      <w:r w:rsidR="00C758DF" w:rsidRPr="00092ED7">
        <w:rPr>
          <w:rFonts w:eastAsia="Times New Roman" w:cs="Times New Roman"/>
          <w:bCs/>
          <w:i/>
          <w:color w:val="000000"/>
          <w:szCs w:val="24"/>
          <w:lang w:val="sr-Cyrl-CS"/>
        </w:rPr>
        <w:t>ˮ</w:t>
      </w:r>
      <w:r w:rsidRPr="00092ED7">
        <w:rPr>
          <w:rFonts w:eastAsia="Times New Roman" w:cs="Times New Roman"/>
          <w:bCs/>
          <w:i/>
          <w:color w:val="000000"/>
          <w:szCs w:val="24"/>
          <w:lang w:val="sr-Cyrl-CS"/>
        </w:rPr>
        <w:t xml:space="preserve"> </w:t>
      </w:r>
      <w:r w:rsidR="00564BDA" w:rsidRPr="00092ED7">
        <w:rPr>
          <w:rFonts w:eastAsia="Times New Roman" w:cs="Times New Roman"/>
          <w:bCs/>
          <w:color w:val="000000"/>
          <w:szCs w:val="24"/>
          <w:lang w:val="sr-Cyrl-CS"/>
        </w:rPr>
        <w:t xml:space="preserve">Републике </w:t>
      </w:r>
      <w:r w:rsidRPr="00092ED7">
        <w:rPr>
          <w:rFonts w:eastAsia="Times New Roman" w:cs="Times New Roman"/>
          <w:bCs/>
          <w:color w:val="000000"/>
          <w:szCs w:val="24"/>
          <w:lang w:val="sr-Cyrl-CS"/>
        </w:rPr>
        <w:t xml:space="preserve">Србије, </w:t>
      </w:r>
      <w:r w:rsidR="00A97937" w:rsidRPr="00092ED7">
        <w:rPr>
          <w:rFonts w:eastAsia="Times New Roman" w:cs="Times New Roman"/>
          <w:bCs/>
          <w:color w:val="000000"/>
          <w:szCs w:val="24"/>
          <w:lang w:val="sr-Cyrl-CS"/>
        </w:rPr>
        <w:t xml:space="preserve">Републике </w:t>
      </w:r>
      <w:r w:rsidRPr="00092ED7">
        <w:rPr>
          <w:rFonts w:eastAsia="Times New Roman" w:cs="Times New Roman"/>
          <w:bCs/>
          <w:color w:val="000000"/>
          <w:szCs w:val="24"/>
          <w:lang w:val="sr-Cyrl-CS"/>
        </w:rPr>
        <w:t xml:space="preserve">Албаније и </w:t>
      </w:r>
      <w:r w:rsidR="00A97937" w:rsidRPr="00092ED7">
        <w:rPr>
          <w:rFonts w:eastAsia="Times New Roman" w:cs="Times New Roman"/>
          <w:bCs/>
          <w:color w:val="000000"/>
          <w:szCs w:val="24"/>
          <w:lang w:val="sr-Cyrl-CS"/>
        </w:rPr>
        <w:t xml:space="preserve">Републике </w:t>
      </w:r>
      <w:r w:rsidRPr="00092ED7">
        <w:rPr>
          <w:rFonts w:eastAsia="Times New Roman" w:cs="Times New Roman"/>
          <w:bCs/>
          <w:color w:val="000000"/>
          <w:szCs w:val="24"/>
          <w:lang w:val="sr-Cyrl-CS"/>
        </w:rPr>
        <w:t xml:space="preserve">Северне Македоније потписана у октобру 2019. у Новом Саду, предвиђа унапређење међусобне економске интеграције кроз слободно кретање људи, робе, услуга и капитала, путовање уз личну карту, запослење са потврдом о квалификацијама, признавање диплома у региону, бољу сарадњу у борби против организованог криминала и помоћ у случају природних непогода. На Форуму за регионалну економску сарадњу у Скопљу у јулу 2021. године, промењено је име иницијативе у </w:t>
      </w:r>
      <w:r w:rsidRPr="00092ED7">
        <w:rPr>
          <w:rFonts w:eastAsia="Times New Roman" w:cs="Times New Roman"/>
          <w:b/>
          <w:bCs/>
          <w:i/>
          <w:color w:val="000000"/>
          <w:szCs w:val="24"/>
          <w:lang w:val="sr-Cyrl-CS"/>
        </w:rPr>
        <w:t>„Отворени Балкан</w:t>
      </w:r>
      <w:r w:rsidR="00C758DF" w:rsidRPr="00092ED7">
        <w:rPr>
          <w:rFonts w:eastAsia="Times New Roman" w:cs="Times New Roman"/>
          <w:b/>
          <w:bCs/>
          <w:i/>
          <w:color w:val="000000"/>
          <w:szCs w:val="24"/>
          <w:lang w:val="sr-Cyrl-CS"/>
        </w:rPr>
        <w:t>ˮ</w:t>
      </w:r>
      <w:r w:rsidRPr="00092ED7">
        <w:rPr>
          <w:rFonts w:eastAsia="Times New Roman" w:cs="Times New Roman"/>
          <w:bCs/>
          <w:color w:val="000000"/>
          <w:szCs w:val="24"/>
          <w:lang w:val="sr-Cyrl-CS"/>
        </w:rPr>
        <w:t xml:space="preserve"> и потписани су меморандуми о сарадњи у заштити од катастрофа, </w:t>
      </w:r>
      <w:r w:rsidRPr="00092ED7">
        <w:rPr>
          <w:rFonts w:eastAsia="Times New Roman" w:cs="Times New Roman"/>
          <w:szCs w:val="24"/>
          <w:lang w:val="sr-Cyrl-CS"/>
        </w:rPr>
        <w:t>олакшању увоза, извоза и кретања робе и слоб</w:t>
      </w:r>
      <w:r w:rsidRPr="00092ED7">
        <w:rPr>
          <w:rFonts w:eastAsia="Times New Roman" w:cs="Times New Roman"/>
          <w:bCs/>
          <w:color w:val="000000"/>
          <w:szCs w:val="24"/>
          <w:lang w:val="sr-Cyrl-CS"/>
        </w:rPr>
        <w:t>одном приступу тржишту рада на Западном Балкану. У</w:t>
      </w:r>
      <w:r w:rsidRPr="00092ED7">
        <w:rPr>
          <w:rFonts w:eastAsia="Times New Roman" w:cs="Times New Roman"/>
          <w:szCs w:val="24"/>
          <w:lang w:val="sr-Cyrl-CS"/>
        </w:rPr>
        <w:t xml:space="preserve">спостављање режима слободног кретања на територији </w:t>
      </w:r>
      <w:r w:rsidR="00AA7059" w:rsidRPr="00092ED7">
        <w:rPr>
          <w:rFonts w:eastAsia="Times New Roman" w:cs="Times New Roman"/>
          <w:szCs w:val="24"/>
          <w:lang w:val="sr-Cyrl-CS"/>
        </w:rPr>
        <w:t xml:space="preserve">Републике </w:t>
      </w:r>
      <w:r w:rsidRPr="00092ED7">
        <w:rPr>
          <w:rFonts w:eastAsia="Times New Roman" w:cs="Times New Roman"/>
          <w:szCs w:val="24"/>
          <w:lang w:val="sr-Cyrl-CS"/>
        </w:rPr>
        <w:t xml:space="preserve">Србије, </w:t>
      </w:r>
      <w:r w:rsidRPr="00092ED7">
        <w:rPr>
          <w:rFonts w:eastAsia="Times New Roman" w:cs="Times New Roman"/>
          <w:bCs/>
          <w:color w:val="000000"/>
          <w:szCs w:val="24"/>
          <w:lang w:val="sr-Cyrl-CS"/>
        </w:rPr>
        <w:t xml:space="preserve">Северне </w:t>
      </w:r>
      <w:r w:rsidRPr="00092ED7">
        <w:rPr>
          <w:rFonts w:eastAsia="Times New Roman" w:cs="Times New Roman"/>
          <w:szCs w:val="24"/>
          <w:lang w:val="sr-Cyrl-CS"/>
        </w:rPr>
        <w:t xml:space="preserve">Македоније и Албаније без граница планирано је </w:t>
      </w:r>
      <w:r w:rsidRPr="00092ED7">
        <w:rPr>
          <w:rFonts w:eastAsia="Times New Roman" w:cs="Times New Roman"/>
          <w:bCs/>
          <w:color w:val="000000"/>
          <w:szCs w:val="24"/>
          <w:lang w:val="sr-Cyrl-CS"/>
        </w:rPr>
        <w:t>од 1. јануара 2023.</w:t>
      </w:r>
      <w:r w:rsidRPr="00092ED7">
        <w:rPr>
          <w:rFonts w:eastAsia="Times New Roman" w:cs="Times New Roman"/>
          <w:szCs w:val="24"/>
          <w:lang w:val="sr-Cyrl-CS"/>
        </w:rPr>
        <w:t xml:space="preserve"> На састанку у Тирани одржаном 21. децембра 2021. потписан је читав низ споразума везаних за радно ангажовање и слободан приступ тржишту рада, интегрисање система електронских услуга, унапређење фитосанитарне инспекције и ветерине, узајамно признавање одобрења овлашћених привредних субјеката за сигурност и безбедности и сарадњу акредитационих тела. На самиту у Северној Македонији 7. и 8. јуна 2022. године потписан је споразум у области признавања диплома и научних признања издатих у високошколским установама и другим овлашћеним институцијама и меморандуми о сарадњи пореских управа, као и сарадњи у области културе и туризма. Самиту су први пут присуствовали и представници Црне Горе и </w:t>
      </w:r>
      <w:r w:rsidRPr="00092ED7">
        <w:rPr>
          <w:rFonts w:eastAsia="Times New Roman" w:cs="Times New Roman"/>
          <w:bCs/>
          <w:color w:val="000000"/>
          <w:szCs w:val="24"/>
          <w:lang w:val="sr-Cyrl-CS"/>
        </w:rPr>
        <w:t>Босне и Херцеговине</w:t>
      </w:r>
      <w:r w:rsidRPr="00092ED7">
        <w:rPr>
          <w:rFonts w:eastAsia="Times New Roman" w:cs="Times New Roman"/>
          <w:szCs w:val="24"/>
          <w:lang w:val="sr-Cyrl-CS"/>
        </w:rPr>
        <w:t xml:space="preserve"> као посматрачи.</w:t>
      </w:r>
    </w:p>
    <w:p w14:paraId="4AA4B3B1" w14:textId="1A4238CF" w:rsidR="00D210F0" w:rsidRPr="00092ED7" w:rsidRDefault="00D210F0" w:rsidP="00BA1B20">
      <w:pPr>
        <w:spacing w:after="60" w:line="238" w:lineRule="auto"/>
        <w:rPr>
          <w:rFonts w:eastAsia="Times New Roman"/>
          <w:szCs w:val="24"/>
          <w:lang w:val="sr-Cyrl-CS"/>
        </w:rPr>
      </w:pPr>
      <w:r w:rsidRPr="00092ED7">
        <w:rPr>
          <w:rFonts w:eastAsia="Times New Roman" w:cs="Times New Roman"/>
          <w:b/>
          <w:bCs/>
          <w:color w:val="000000"/>
          <w:szCs w:val="24"/>
          <w:lang w:val="sr-Cyrl-CS"/>
        </w:rPr>
        <w:t xml:space="preserve">Након што је појава пандемије изазвала поремећаје на међународном тржишту и смањила кретање људи и размену роба између држава, побољшање епидемиолошке ситуације је утицало на повећање тржишне активности. </w:t>
      </w:r>
      <w:r w:rsidRPr="00092ED7">
        <w:rPr>
          <w:rFonts w:eastAsia="Times New Roman" w:cs="Times New Roman"/>
          <w:bCs/>
          <w:color w:val="000000"/>
          <w:szCs w:val="24"/>
          <w:lang w:val="sr-Cyrl-CS"/>
        </w:rPr>
        <w:t xml:space="preserve">Укупна спољнотрговинска робна размена </w:t>
      </w:r>
      <w:r w:rsidR="00AA7059" w:rsidRPr="00092ED7">
        <w:rPr>
          <w:rFonts w:eastAsia="Times New Roman" w:cs="Times New Roman"/>
          <w:bCs/>
          <w:color w:val="000000"/>
          <w:szCs w:val="24"/>
          <w:lang w:val="sr-Cyrl-CS"/>
        </w:rPr>
        <w:t xml:space="preserve">Републике </w:t>
      </w:r>
      <w:r w:rsidRPr="00092ED7">
        <w:rPr>
          <w:rFonts w:eastAsia="Times New Roman" w:cs="Times New Roman"/>
          <w:bCs/>
          <w:color w:val="000000"/>
          <w:szCs w:val="24"/>
          <w:lang w:val="sr-Cyrl-CS"/>
        </w:rPr>
        <w:t>Србије је повећана за 25,5% у 2021. години (50,2 милијарди евра)</w:t>
      </w:r>
      <w:r w:rsidRPr="00092ED7">
        <w:rPr>
          <w:rStyle w:val="FootnoteReference"/>
          <w:rFonts w:eastAsia="Times New Roman" w:cs="Times New Roman"/>
          <w:bCs/>
          <w:color w:val="000000"/>
          <w:szCs w:val="24"/>
          <w:lang w:val="sr-Cyrl-CS"/>
        </w:rPr>
        <w:footnoteReference w:id="138"/>
      </w:r>
      <w:r w:rsidRPr="00092ED7">
        <w:rPr>
          <w:rFonts w:eastAsia="Times New Roman" w:cs="Times New Roman"/>
          <w:bCs/>
          <w:color w:val="000000"/>
          <w:szCs w:val="24"/>
          <w:lang w:val="sr-Cyrl-CS"/>
        </w:rPr>
        <w:t xml:space="preserve">. </w:t>
      </w:r>
      <w:r w:rsidRPr="00092ED7">
        <w:rPr>
          <w:rFonts w:eastAsia="Times New Roman" w:cs="Times New Roman"/>
          <w:color w:val="000000"/>
          <w:szCs w:val="24"/>
          <w:lang w:val="sr-Cyrl-CS"/>
        </w:rPr>
        <w:t xml:space="preserve">Извоз од 21,6 милијарде евра у 2021. години, бележи раст за 26,8% мг, док је увоз порастао за 24,6% (28,6 милијарде евра). </w:t>
      </w:r>
      <w:r w:rsidRPr="00092ED7">
        <w:rPr>
          <w:rFonts w:eastAsia="Times New Roman" w:cs="Times New Roman"/>
          <w:bCs/>
          <w:color w:val="000000"/>
          <w:szCs w:val="24"/>
          <w:lang w:val="sr-Cyrl-CS"/>
        </w:rPr>
        <w:t>Пораст укупне спољнотрговинске робне размене Републике Србије прати повећање спољнотрговинског дефицита</w:t>
      </w:r>
      <w:r w:rsidRPr="00092ED7">
        <w:rPr>
          <w:rFonts w:eastAsia="Times New Roman" w:cs="Times New Roman"/>
          <w:color w:val="000000"/>
          <w:szCs w:val="24"/>
          <w:lang w:val="sr-Cyrl-CS"/>
        </w:rPr>
        <w:t xml:space="preserve"> (6,98 милијарди евра) за 18,2% мг, а извозом је покривено 75,6% увоза у 2021. години, што је на нивоу претходне године (74,3%). Широка дисперзивност извоза обезбеђена је диверсификацијом СДИ у велики број сектора који производе разменљива добра.</w:t>
      </w:r>
      <w:r w:rsidRPr="00092ED7">
        <w:rPr>
          <w:rFonts w:eastAsia="Times New Roman"/>
          <w:color w:val="000000"/>
          <w:szCs w:val="24"/>
          <w:lang w:val="sr-Cyrl-CS"/>
        </w:rPr>
        <w:t xml:space="preserve"> На значајан опоравак спољнотрговинске размене указују и већи извоз </w:t>
      </w:r>
      <w:r w:rsidR="00AA7059" w:rsidRPr="00092ED7">
        <w:rPr>
          <w:rFonts w:eastAsia="Times New Roman"/>
          <w:color w:val="000000"/>
          <w:szCs w:val="24"/>
          <w:lang w:val="sr-Cyrl-CS"/>
        </w:rPr>
        <w:t xml:space="preserve">Републике </w:t>
      </w:r>
      <w:r w:rsidRPr="00092ED7">
        <w:rPr>
          <w:rFonts w:eastAsia="Times New Roman"/>
          <w:color w:val="000000"/>
          <w:szCs w:val="24"/>
          <w:lang w:val="sr-Cyrl-CS"/>
        </w:rPr>
        <w:t xml:space="preserve">Србије за 28,2% мг и увоз за 38,8% мг током осам месеци 2022. </w:t>
      </w:r>
      <w:r w:rsidRPr="00092ED7">
        <w:rPr>
          <w:rFonts w:eastAsia="Times New Roman"/>
          <w:szCs w:val="24"/>
          <w:lang w:val="sr-Cyrl-CS"/>
        </w:rPr>
        <w:t xml:space="preserve">(17,5 </w:t>
      </w:r>
      <w:r w:rsidRPr="00092ED7">
        <w:rPr>
          <w:rFonts w:eastAsia="Times New Roman" w:cs="Times New Roman"/>
          <w:szCs w:val="24"/>
          <w:lang w:val="sr-Cyrl-CS"/>
        </w:rPr>
        <w:t>милијарди евра и 24,9 милијарди евра, респективно)</w:t>
      </w:r>
      <w:r w:rsidRPr="00092ED7">
        <w:rPr>
          <w:rFonts w:eastAsia="Times New Roman"/>
          <w:szCs w:val="24"/>
          <w:lang w:val="sr-Cyrl-CS"/>
        </w:rPr>
        <w:t>, у односу на исти период 2021.</w:t>
      </w:r>
      <w:r w:rsidRPr="00092ED7">
        <w:rPr>
          <w:rStyle w:val="FootnoteReference"/>
          <w:rFonts w:eastAsia="Times New Roman"/>
          <w:szCs w:val="24"/>
          <w:lang w:val="sr-Cyrl-CS"/>
        </w:rPr>
        <w:footnoteReference w:id="139"/>
      </w:r>
      <w:r w:rsidRPr="00092ED7">
        <w:rPr>
          <w:rFonts w:eastAsia="Times New Roman"/>
          <w:szCs w:val="24"/>
          <w:lang w:val="sr-Cyrl-CS"/>
        </w:rPr>
        <w:t xml:space="preserve"> </w:t>
      </w:r>
      <w:r w:rsidRPr="00092ED7">
        <w:rPr>
          <w:rFonts w:eastAsia="Times New Roman"/>
          <w:color w:val="000000"/>
          <w:szCs w:val="24"/>
          <w:lang w:val="sr-Cyrl-CS"/>
        </w:rPr>
        <w:t>године</w:t>
      </w:r>
      <w:r w:rsidRPr="00092ED7">
        <w:rPr>
          <w:rFonts w:eastAsia="Times New Roman"/>
          <w:szCs w:val="24"/>
          <w:lang w:val="sr-Cyrl-CS"/>
        </w:rPr>
        <w:t>.</w:t>
      </w:r>
    </w:p>
    <w:p w14:paraId="2B8E5CF3" w14:textId="77777777" w:rsidR="00D210F0" w:rsidRPr="00092ED7" w:rsidRDefault="00D210F0" w:rsidP="00BA1B20">
      <w:pPr>
        <w:spacing w:after="60" w:line="238" w:lineRule="auto"/>
        <w:rPr>
          <w:rFonts w:eastAsia="Times New Roman" w:cs="Times New Roman"/>
          <w:szCs w:val="24"/>
          <w:lang w:val="sr-Cyrl-CS"/>
        </w:rPr>
      </w:pPr>
      <w:r w:rsidRPr="00092ED7">
        <w:rPr>
          <w:rFonts w:eastAsia="Times New Roman" w:cs="Times New Roman"/>
          <w:b/>
          <w:szCs w:val="24"/>
          <w:lang w:val="sr-Cyrl-CS"/>
        </w:rPr>
        <w:t>Дефицит текућег рачуна платног биланса износио је 4,3% БДП у 2021. и виши је за 21,5%</w:t>
      </w:r>
      <w:r w:rsidRPr="00092ED7">
        <w:rPr>
          <w:rFonts w:eastAsia="Times New Roman" w:cs="Times New Roman"/>
          <w:szCs w:val="24"/>
          <w:lang w:val="sr-Cyrl-CS"/>
        </w:rPr>
        <w:t xml:space="preserve"> највише због повећања дефицита робне размене за 14% и повећања дефицита примарног дохотка за 43,1%</w:t>
      </w:r>
      <w:r w:rsidRPr="00092ED7">
        <w:rPr>
          <w:rStyle w:val="FootnoteReference"/>
          <w:rFonts w:eastAsia="Times New Roman" w:cs="Times New Roman"/>
          <w:szCs w:val="24"/>
          <w:lang w:val="sr-Cyrl-CS"/>
        </w:rPr>
        <w:footnoteReference w:id="140"/>
      </w:r>
      <w:r w:rsidRPr="00092ED7">
        <w:rPr>
          <w:rFonts w:eastAsia="Times New Roman" w:cs="Times New Roman"/>
          <w:szCs w:val="24"/>
          <w:lang w:val="sr-Cyrl-CS"/>
        </w:rPr>
        <w:t>. Текући дефицит је у пуној мери био покривен нето приливом СДИ (3,6 милијарде евра).</w:t>
      </w:r>
    </w:p>
    <w:p w14:paraId="0F90B357" w14:textId="2D663C36" w:rsidR="00D210F0" w:rsidRPr="00092ED7" w:rsidRDefault="00D210F0" w:rsidP="00BA1B20">
      <w:pPr>
        <w:widowControl w:val="0"/>
        <w:spacing w:after="60" w:line="238" w:lineRule="auto"/>
        <w:rPr>
          <w:rFonts w:eastAsia="Times New Roman"/>
          <w:szCs w:val="24"/>
          <w:lang w:val="sr-Cyrl-CS"/>
        </w:rPr>
      </w:pPr>
      <w:r w:rsidRPr="00092ED7">
        <w:rPr>
          <w:rFonts w:eastAsia="Times New Roman" w:cs="Times New Roman"/>
          <w:b/>
          <w:bCs/>
          <w:color w:val="000000"/>
          <w:szCs w:val="24"/>
          <w:lang w:val="sr-Cyrl-CS"/>
        </w:rPr>
        <w:t xml:space="preserve">Најважнији спољнотрговински </w:t>
      </w:r>
      <w:r w:rsidRPr="00092ED7">
        <w:rPr>
          <w:rFonts w:eastAsia="Times New Roman" w:cs="Times New Roman"/>
          <w:b/>
          <w:bCs/>
          <w:szCs w:val="24"/>
          <w:lang w:val="sr-Cyrl-CS"/>
        </w:rPr>
        <w:t xml:space="preserve">партнери </w:t>
      </w:r>
      <w:r w:rsidR="00AA7059" w:rsidRPr="00092ED7">
        <w:rPr>
          <w:rFonts w:eastAsia="Times New Roman" w:cs="Times New Roman"/>
          <w:b/>
          <w:bCs/>
          <w:szCs w:val="24"/>
          <w:lang w:val="sr-Cyrl-CS"/>
        </w:rPr>
        <w:t xml:space="preserve">Републике </w:t>
      </w:r>
      <w:r w:rsidRPr="00092ED7">
        <w:rPr>
          <w:rFonts w:eastAsia="Times New Roman" w:cs="Times New Roman"/>
          <w:b/>
          <w:bCs/>
          <w:szCs w:val="24"/>
          <w:lang w:val="sr-Cyrl-CS"/>
        </w:rPr>
        <w:t xml:space="preserve">Србије су они са којима Република Србија има потписане споразуме о слободној трговини </w:t>
      </w:r>
      <w:r w:rsidRPr="00092ED7">
        <w:rPr>
          <w:rFonts w:eastAsia="Times New Roman" w:cs="Times New Roman"/>
          <w:szCs w:val="24"/>
          <w:lang w:val="sr-Cyrl-CS"/>
        </w:rPr>
        <w:t xml:space="preserve">(ЕУ-27, </w:t>
      </w:r>
      <w:r w:rsidR="00E63AE6" w:rsidRPr="00092ED7">
        <w:rPr>
          <w:rFonts w:eastAsia="Times New Roman"/>
          <w:bCs/>
          <w:color w:val="000000"/>
          <w:szCs w:val="24"/>
          <w:lang w:val="sr-Cyrl-CS"/>
        </w:rPr>
        <w:t>CEFTA</w:t>
      </w:r>
      <w:r w:rsidRPr="00092ED7">
        <w:rPr>
          <w:rFonts w:eastAsia="Times New Roman" w:cs="Times New Roman"/>
          <w:szCs w:val="24"/>
          <w:lang w:val="sr-Cyrl-CS"/>
        </w:rPr>
        <w:t xml:space="preserve">, </w:t>
      </w:r>
      <w:r w:rsidR="00E63AE6" w:rsidRPr="00092ED7">
        <w:rPr>
          <w:rFonts w:eastAsia="Times New Roman"/>
          <w:szCs w:val="24"/>
          <w:lang w:val="sr-Cyrl-CS"/>
        </w:rPr>
        <w:t>EFTA</w:t>
      </w:r>
      <w:r w:rsidRPr="00092ED7">
        <w:rPr>
          <w:rFonts w:eastAsia="Times New Roman" w:cs="Times New Roman"/>
          <w:szCs w:val="24"/>
          <w:lang w:val="sr-Cyrl-CS"/>
        </w:rPr>
        <w:t xml:space="preserve">,  </w:t>
      </w:r>
      <w:r w:rsidR="0034625C" w:rsidRPr="00092ED7">
        <w:rPr>
          <w:rFonts w:eastAsia="Times New Roman" w:cs="Times New Roman"/>
          <w:szCs w:val="24"/>
          <w:lang w:val="sr-Cyrl-CS"/>
        </w:rPr>
        <w:t xml:space="preserve">Евроазијска економска унија и </w:t>
      </w:r>
      <w:r w:rsidR="005B484F" w:rsidRPr="00092ED7">
        <w:rPr>
          <w:rFonts w:eastAsia="Times New Roman" w:cs="Times New Roman"/>
          <w:szCs w:val="24"/>
          <w:lang w:val="sr-Cyrl-CS"/>
        </w:rPr>
        <w:t xml:space="preserve">Република </w:t>
      </w:r>
      <w:r w:rsidR="0034625C" w:rsidRPr="00092ED7">
        <w:rPr>
          <w:rFonts w:eastAsia="Times New Roman" w:cs="Times New Roman"/>
          <w:szCs w:val="24"/>
          <w:lang w:val="sr-Cyrl-CS"/>
        </w:rPr>
        <w:t>Турска</w:t>
      </w:r>
      <w:r w:rsidRPr="00092ED7">
        <w:rPr>
          <w:rFonts w:eastAsia="Times New Roman" w:cs="Times New Roman"/>
          <w:szCs w:val="24"/>
          <w:lang w:val="sr-Cyrl-CS"/>
        </w:rPr>
        <w:t>)</w:t>
      </w:r>
      <w:r w:rsidRPr="00092ED7">
        <w:rPr>
          <w:rFonts w:eastAsia="Times New Roman" w:cs="Times New Roman"/>
          <w:bCs/>
          <w:szCs w:val="24"/>
          <w:lang w:val="sr-Cyrl-CS"/>
        </w:rPr>
        <w:t>.</w:t>
      </w:r>
      <w:r w:rsidRPr="00092ED7">
        <w:rPr>
          <w:rFonts w:eastAsia="Times New Roman" w:cs="Times New Roman"/>
          <w:b/>
          <w:bCs/>
          <w:szCs w:val="24"/>
          <w:lang w:val="sr-Cyrl-CS"/>
        </w:rPr>
        <w:t xml:space="preserve"> </w:t>
      </w:r>
      <w:r w:rsidRPr="00092ED7">
        <w:rPr>
          <w:rFonts w:eastAsia="Times New Roman" w:cs="Times New Roman"/>
          <w:szCs w:val="24"/>
          <w:lang w:val="sr-Cyrl-CS"/>
        </w:rPr>
        <w:t>Применом ових споразума достигнут је висок степен либерализације спољне трговине Републике Србије, тако да се у 2021. години око 80% укупне размене Републике Србије са светом обављало са партнерима са којима су потписани споразуми о слободној трговини, а скоро 87% извоза Републике Србије се пласира управо на ова тржишта. Током осам месеци 2022. ова учешћа су врло слична, 79% укупне размене Републике Србије била је размена са партнерима са којима су потписани споразуми о слободној трговини, односно 86,5% укупног извоза Републике Србије пласирано је на та тржишта.</w:t>
      </w:r>
    </w:p>
    <w:p w14:paraId="3D3CDB02" w14:textId="0AF01B89"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b/>
          <w:color w:val="000000"/>
          <w:szCs w:val="24"/>
          <w:lang w:val="sr-Cyrl-CS"/>
        </w:rPr>
        <w:t>Са земљама чланицама ЕУ-27 одвијало се 60,3% укупне размене Републике Србије у 2021. години</w:t>
      </w:r>
      <w:r w:rsidRPr="00092ED7">
        <w:rPr>
          <w:rFonts w:eastAsia="Times New Roman" w:cs="Times New Roman"/>
          <w:color w:val="000000"/>
          <w:szCs w:val="24"/>
          <w:lang w:val="sr-Cyrl-CS"/>
        </w:rPr>
        <w:t>. Извоз у ЕУ повећан је за 2,87 милијарде евра у 2021. години или 25,9% мг, уз пад трговинског дефицита од 1,1% мг. Током осам месеци 2022. године, учешће ЕУ у укупној размени Републике Србије износи 58,5% (24,8 милијарди евра), што је за 28,3% више у односу на исти период 2021. године</w:t>
      </w:r>
      <w:r w:rsidRPr="00092ED7">
        <w:rPr>
          <w:rStyle w:val="FootnoteReference"/>
          <w:rFonts w:eastAsia="Times New Roman" w:cs="Times New Roman"/>
          <w:color w:val="000000"/>
          <w:szCs w:val="24"/>
          <w:lang w:val="sr-Cyrl-CS"/>
        </w:rPr>
        <w:footnoteReference w:id="141"/>
      </w:r>
      <w:r w:rsidRPr="00092ED7">
        <w:rPr>
          <w:rFonts w:eastAsia="Times New Roman" w:cs="Times New Roman"/>
          <w:color w:val="000000"/>
          <w:szCs w:val="24"/>
          <w:lang w:val="sr-Cyrl-CS"/>
        </w:rPr>
        <w:t xml:space="preserve">. Због бржег раста увоза (30,1%) од извоза (26,1%) у истом периоду је повећан трговински дефицит у размени са ЕУ за 54,5% мг (2,26 милијарди евра). </w:t>
      </w:r>
      <w:r w:rsidRPr="00092ED7">
        <w:rPr>
          <w:rFonts w:eastAsia="Times New Roman" w:cs="Times New Roman"/>
          <w:b/>
          <w:szCs w:val="24"/>
          <w:lang w:val="sr-Cyrl-CS"/>
        </w:rPr>
        <w:t>Последице увођења</w:t>
      </w:r>
      <w:r w:rsidRPr="00092ED7">
        <w:rPr>
          <w:rFonts w:eastAsia="Times New Roman" w:cs="Times New Roman"/>
          <w:szCs w:val="24"/>
          <w:lang w:val="sr-Cyrl-CS"/>
        </w:rPr>
        <w:t xml:space="preserve"> </w:t>
      </w:r>
      <w:r w:rsidRPr="00092ED7">
        <w:rPr>
          <w:rFonts w:eastAsia="Times New Roman" w:cs="Times New Roman"/>
          <w:b/>
          <w:szCs w:val="24"/>
          <w:lang w:val="sr-Cyrl-CS"/>
        </w:rPr>
        <w:t>заштитних мера</w:t>
      </w:r>
      <w:r w:rsidRPr="00092ED7">
        <w:rPr>
          <w:rFonts w:eastAsia="Times New Roman" w:cs="Times New Roman"/>
          <w:szCs w:val="24"/>
          <w:lang w:val="sr-Cyrl-CS"/>
        </w:rPr>
        <w:t xml:space="preserve"> (</w:t>
      </w:r>
      <w:r w:rsidRPr="00092ED7">
        <w:rPr>
          <w:rFonts w:eastAsia="Times New Roman" w:cs="Times New Roman"/>
          <w:b/>
          <w:szCs w:val="24"/>
          <w:lang w:val="sr-Cyrl-CS"/>
        </w:rPr>
        <w:t>квота за увоз</w:t>
      </w:r>
      <w:r w:rsidRPr="00092ED7">
        <w:rPr>
          <w:rFonts w:eastAsia="Times New Roman" w:cs="Times New Roman"/>
          <w:szCs w:val="24"/>
          <w:lang w:val="sr-Cyrl-CS"/>
        </w:rPr>
        <w:t>) од стране ЕУ у јануару 2019. на одређене групе производа од челика и гвожђа на период од три године, и пада међународне тражње за овим производима услед пандемије, још увек се осећају. Извоз гвожђа и челика из Републике Србије у ЕУ током 2021. смањен је количински за 6% мг, али је услед пораста цене вредносно извоз порастао за 68% мг, а увоз за 46% мг</w:t>
      </w:r>
      <w:r w:rsidRPr="00092ED7">
        <w:rPr>
          <w:rStyle w:val="FootnoteReference"/>
          <w:rFonts w:eastAsia="Times New Roman" w:cs="Times New Roman"/>
          <w:szCs w:val="24"/>
          <w:lang w:val="sr-Cyrl-CS"/>
        </w:rPr>
        <w:footnoteReference w:id="142"/>
      </w:r>
      <w:r w:rsidRPr="00092ED7">
        <w:rPr>
          <w:rFonts w:eastAsia="Times New Roman" w:cs="Times New Roman"/>
          <w:szCs w:val="24"/>
          <w:lang w:val="sr-Cyrl-CS"/>
        </w:rPr>
        <w:t xml:space="preserve">. У првих шест месеци 2022. године извоз челика у ЕУ је услед веће цене вредносно повећан за 59,4%. Европска унија је повећала </w:t>
      </w:r>
      <w:r w:rsidR="00AA7059" w:rsidRPr="00092ED7">
        <w:rPr>
          <w:rFonts w:eastAsia="Times New Roman" w:cs="Times New Roman"/>
          <w:szCs w:val="24"/>
          <w:lang w:val="sr-Cyrl-CS"/>
        </w:rPr>
        <w:t xml:space="preserve">Републици </w:t>
      </w:r>
      <w:r w:rsidRPr="00092ED7">
        <w:rPr>
          <w:rFonts w:eastAsia="Times New Roman" w:cs="Times New Roman"/>
          <w:szCs w:val="24"/>
          <w:lang w:val="sr-Cyrl-CS"/>
        </w:rPr>
        <w:t xml:space="preserve">Србији квоте за извоз појединих врста челика за скоро 30%. </w:t>
      </w:r>
      <w:r w:rsidR="008B3A44" w:rsidRPr="00092ED7">
        <w:rPr>
          <w:rFonts w:eastAsia="Times New Roman" w:cs="Times New Roman"/>
          <w:szCs w:val="24"/>
          <w:lang w:val="sr-Cyrl-CS"/>
        </w:rPr>
        <w:t xml:space="preserve">Увођење </w:t>
      </w:r>
      <w:r w:rsidRPr="00092ED7">
        <w:rPr>
          <w:rFonts w:eastAsia="Times New Roman" w:cs="Times New Roman"/>
          <w:szCs w:val="24"/>
          <w:lang w:val="sr-Cyrl-CS"/>
        </w:rPr>
        <w:t xml:space="preserve">нове регулативе контроле емисије угљен-диоксида (декарбонизација) </w:t>
      </w:r>
      <w:r w:rsidR="008B3A44" w:rsidRPr="00092ED7">
        <w:rPr>
          <w:rFonts w:eastAsia="Times New Roman" w:cs="Times New Roman"/>
          <w:szCs w:val="24"/>
          <w:lang w:val="sr-Cyrl-CS"/>
        </w:rPr>
        <w:t xml:space="preserve">у ЕУ </w:t>
      </w:r>
      <w:r w:rsidRPr="00092ED7">
        <w:rPr>
          <w:rFonts w:eastAsia="Times New Roman" w:cs="Times New Roman"/>
          <w:szCs w:val="24"/>
          <w:lang w:val="sr-Cyrl-CS"/>
        </w:rPr>
        <w:t xml:space="preserve">могу негативно утицати на извоз ових производа у наредном периоду. </w:t>
      </w:r>
    </w:p>
    <w:p w14:paraId="62AAC3BA" w14:textId="77777777"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szCs w:val="24"/>
          <w:lang w:val="sr-Cyrl-CS"/>
        </w:rPr>
        <w:t xml:space="preserve">Наш други по важности партнер јесу </w:t>
      </w:r>
      <w:r w:rsidRPr="00092ED7">
        <w:rPr>
          <w:rFonts w:eastAsia="Times New Roman" w:cs="Times New Roman"/>
          <w:b/>
          <w:szCs w:val="24"/>
          <w:lang w:val="sr-Cyrl-CS"/>
        </w:rPr>
        <w:t xml:space="preserve">стране </w:t>
      </w:r>
      <w:r w:rsidR="00E63AE6" w:rsidRPr="00092ED7">
        <w:rPr>
          <w:rFonts w:eastAsia="Times New Roman"/>
          <w:b/>
          <w:bCs/>
          <w:color w:val="000000"/>
          <w:szCs w:val="24"/>
          <w:lang w:val="sr-Cyrl-CS"/>
        </w:rPr>
        <w:t>CEFTA</w:t>
      </w:r>
      <w:r w:rsidRPr="00092ED7">
        <w:rPr>
          <w:rFonts w:eastAsia="Times New Roman" w:cs="Times New Roman"/>
          <w:szCs w:val="24"/>
          <w:lang w:val="sr-Cyrl-CS"/>
        </w:rPr>
        <w:t xml:space="preserve">, са којима је остварен </w:t>
      </w:r>
      <w:r w:rsidRPr="00092ED7">
        <w:rPr>
          <w:rFonts w:eastAsia="Times New Roman" w:cs="Times New Roman"/>
          <w:b/>
          <w:szCs w:val="24"/>
          <w:lang w:val="sr-Cyrl-CS"/>
        </w:rPr>
        <w:t>суфицит</w:t>
      </w:r>
      <w:r w:rsidRPr="00092ED7">
        <w:rPr>
          <w:rFonts w:eastAsia="Times New Roman" w:cs="Times New Roman"/>
          <w:szCs w:val="24"/>
          <w:lang w:val="sr-Cyrl-CS"/>
        </w:rPr>
        <w:t xml:space="preserve"> у размени од </w:t>
      </w:r>
      <w:r w:rsidRPr="00092ED7">
        <w:rPr>
          <w:rFonts w:eastAsia="Times New Roman" w:cs="Times New Roman"/>
          <w:b/>
          <w:szCs w:val="24"/>
          <w:lang w:val="sr-Cyrl-CS"/>
        </w:rPr>
        <w:t xml:space="preserve">2,1 милијарде евра </w:t>
      </w:r>
      <w:r w:rsidRPr="00092ED7">
        <w:rPr>
          <w:rFonts w:eastAsia="Times New Roman" w:cs="Times New Roman"/>
          <w:szCs w:val="24"/>
          <w:lang w:val="sr-Cyrl-CS"/>
        </w:rPr>
        <w:t>у 2021. години, већи за 16,4% у односу на 2020. годину и резултат је углавном извоза: нафте и нафтних деривата, житарица и производа од њих, гвожђа и челика, електричних машина и апарата, као и пића</w:t>
      </w:r>
      <w:r w:rsidRPr="00092ED7">
        <w:rPr>
          <w:rStyle w:val="FootnoteReference"/>
          <w:rFonts w:eastAsia="Times New Roman" w:cs="Times New Roman"/>
          <w:szCs w:val="24"/>
          <w:lang w:val="sr-Cyrl-CS"/>
        </w:rPr>
        <w:footnoteReference w:id="143"/>
      </w:r>
      <w:r w:rsidRPr="00092ED7">
        <w:rPr>
          <w:rFonts w:eastAsia="Times New Roman" w:cs="Times New Roman"/>
          <w:szCs w:val="24"/>
          <w:lang w:val="sr-Cyrl-CS"/>
        </w:rPr>
        <w:t>.</w:t>
      </w:r>
    </w:p>
    <w:p w14:paraId="4C2394E8" w14:textId="43B4DE66" w:rsidR="00D210F0" w:rsidRPr="00092ED7" w:rsidRDefault="00D210F0" w:rsidP="00D210F0">
      <w:pPr>
        <w:widowControl w:val="0"/>
        <w:spacing w:after="60"/>
        <w:rPr>
          <w:rFonts w:eastAsia="Times New Roman"/>
          <w:szCs w:val="24"/>
          <w:lang w:val="sr-Cyrl-CS"/>
        </w:rPr>
      </w:pPr>
      <w:r w:rsidRPr="00092ED7">
        <w:rPr>
          <w:rFonts w:eastAsia="Times New Roman"/>
          <w:szCs w:val="24"/>
          <w:lang w:val="sr-Cyrl-CS"/>
        </w:rPr>
        <w:t xml:space="preserve">Споразум о слободној трговини Републике Србије са земљама чланицама Евроазијске економске уније (Русија, </w:t>
      </w:r>
      <w:r w:rsidR="00F7461A" w:rsidRPr="00092ED7">
        <w:rPr>
          <w:rFonts w:eastAsia="Times New Roman"/>
          <w:szCs w:val="24"/>
          <w:lang w:val="sr-Cyrl-CS"/>
        </w:rPr>
        <w:t xml:space="preserve">Република </w:t>
      </w:r>
      <w:r w:rsidRPr="00092ED7">
        <w:rPr>
          <w:rFonts w:eastAsia="Times New Roman"/>
          <w:szCs w:val="24"/>
          <w:lang w:val="sr-Cyrl-CS"/>
        </w:rPr>
        <w:t xml:space="preserve">Белорусија, </w:t>
      </w:r>
      <w:r w:rsidR="00F7461A" w:rsidRPr="00092ED7">
        <w:rPr>
          <w:rFonts w:eastAsia="Times New Roman"/>
          <w:szCs w:val="24"/>
          <w:lang w:val="sr-Cyrl-CS"/>
        </w:rPr>
        <w:t xml:space="preserve">Република </w:t>
      </w:r>
      <w:r w:rsidRPr="00092ED7">
        <w:rPr>
          <w:rFonts w:eastAsia="Times New Roman"/>
          <w:szCs w:val="24"/>
          <w:lang w:val="sr-Cyrl-CS"/>
        </w:rPr>
        <w:t xml:space="preserve">Казахстан, </w:t>
      </w:r>
      <w:r w:rsidR="00F7461A" w:rsidRPr="00092ED7">
        <w:rPr>
          <w:rFonts w:eastAsia="Times New Roman"/>
          <w:szCs w:val="24"/>
          <w:lang w:val="sr-Cyrl-CS"/>
        </w:rPr>
        <w:t xml:space="preserve">Република </w:t>
      </w:r>
      <w:r w:rsidRPr="00092ED7">
        <w:rPr>
          <w:rFonts w:eastAsia="Times New Roman"/>
          <w:szCs w:val="24"/>
          <w:lang w:val="sr-Cyrl-CS"/>
        </w:rPr>
        <w:t>Јерменија и Киргистан) ступио је на снагу крајем јуна 2021. године. Споразум о партнерству, трговини и сарадњи између Владе Републике Србије и Владе Уједињеног Краљевства Велике Британије и Северне Ирске, као и пратеће заједничке декларације, ратификоване су у периоду јун-јул 2021. године.</w:t>
      </w:r>
    </w:p>
    <w:p w14:paraId="0C14560F"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б) Реформе</w:t>
      </w:r>
    </w:p>
    <w:p w14:paraId="033645C2" w14:textId="77777777" w:rsidR="00D210F0" w:rsidRPr="00092ED7" w:rsidRDefault="00D210F0" w:rsidP="00D210F0">
      <w:pPr>
        <w:spacing w:before="120"/>
        <w:rPr>
          <w:rFonts w:cs="Times New Roman"/>
          <w:szCs w:val="24"/>
          <w:lang w:val="sr-Cyrl-CS"/>
        </w:rPr>
      </w:pPr>
      <w:r w:rsidRPr="00092ED7">
        <w:rPr>
          <w:rFonts w:cs="Times New Roman"/>
          <w:b/>
          <w:bCs/>
          <w:szCs w:val="24"/>
          <w:u w:val="single"/>
          <w:lang w:val="sr-Cyrl-CS"/>
        </w:rPr>
        <w:t>СТРУКТУРНА РЕФОРМА 18</w:t>
      </w:r>
      <w:r w:rsidRPr="00092ED7">
        <w:rPr>
          <w:rFonts w:cs="Times New Roman"/>
          <w:b/>
          <w:bCs/>
          <w:szCs w:val="24"/>
          <w:lang w:val="sr-Cyrl-CS"/>
        </w:rPr>
        <w:t xml:space="preserve">: </w:t>
      </w:r>
      <w:r w:rsidRPr="00092ED7">
        <w:rPr>
          <w:rFonts w:cs="Times New Roman"/>
          <w:szCs w:val="24"/>
          <w:lang w:val="sr-Cyrl-CS"/>
        </w:rPr>
        <w:t>УНАПРЕЂЕЊЕ УСЛОВА И УКЛАЊАЊЕ ПРЕПРЕКА ТРГОВИНИ</w:t>
      </w:r>
    </w:p>
    <w:p w14:paraId="541EE1D1" w14:textId="77777777" w:rsidR="00D210F0" w:rsidRPr="00092ED7" w:rsidRDefault="00D210F0" w:rsidP="00071952">
      <w:pPr>
        <w:widowControl w:val="0"/>
        <w:numPr>
          <w:ilvl w:val="0"/>
          <w:numId w:val="34"/>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3FC9ED90" w14:textId="450859D4" w:rsidR="00D210F0" w:rsidRPr="00092ED7" w:rsidRDefault="00D210F0" w:rsidP="009D4C3F">
      <w:pPr>
        <w:spacing w:after="60"/>
        <w:rPr>
          <w:rFonts w:eastAsia="Calibri" w:cs="Times New Roman"/>
          <w:szCs w:val="24"/>
          <w:lang w:val="sr-Cyrl-CS"/>
        </w:rPr>
      </w:pPr>
      <w:r w:rsidRPr="00092ED7">
        <w:rPr>
          <w:rFonts w:eastAsia="Calibri" w:cs="Times New Roman"/>
          <w:szCs w:val="24"/>
          <w:lang w:val="sr-Cyrl-CS"/>
        </w:rPr>
        <w:t xml:space="preserve">Циљ реформе је интензивирање, унапређење, диверсификација и даљи раст спољне трговине Републике Србије како на регионалном, тако и на глобалном нивоу. Активности су усмерене и на јачање конкурентности домаћих компанија ради припреме за чланство у ЕУ и лакшег укључивања у тржишну утакмицу која постоји на јединственом европском тржишту. Такође, реформом се посебно унапређује регионална сарадња. Република Србија наставља активности усмерене ка остварењу чланства у СТО, а односе се на решавање питања постојеће забране спољнотрговинског промета ГМО производа у Републици Србији и окончање отворених билатералних преговора са појединим чланицама СТО, који су додатно отежани актуелном ситуацијом у међународним односима. У циљу даље трговинске интеграције у региону, предвиђене Акционим планом </w:t>
      </w:r>
      <w:r w:rsidR="005B484F" w:rsidRPr="00092ED7">
        <w:rPr>
          <w:rFonts w:eastAsia="Calibri" w:cs="Times New Roman"/>
          <w:szCs w:val="24"/>
          <w:lang w:val="sr-Cyrl-CS"/>
        </w:rPr>
        <w:t>за заједничко регионално тржиште</w:t>
      </w:r>
      <w:r w:rsidRPr="00092ED7">
        <w:rPr>
          <w:rFonts w:eastAsia="Calibri" w:cs="Times New Roman"/>
          <w:szCs w:val="24"/>
          <w:lang w:val="sr-Cyrl-CS"/>
        </w:rPr>
        <w:t xml:space="preserve">, спроводиће се активности на имплементацији обавеза из </w:t>
      </w:r>
      <w:r w:rsidR="00E63AE6" w:rsidRPr="00092ED7">
        <w:rPr>
          <w:bCs/>
          <w:szCs w:val="24"/>
          <w:lang w:val="sr-Cyrl-CS"/>
        </w:rPr>
        <w:t>CEFTA</w:t>
      </w:r>
      <w:r w:rsidR="00CB66AD" w:rsidRPr="00092ED7">
        <w:rPr>
          <w:bCs/>
          <w:szCs w:val="24"/>
          <w:lang w:val="sr-Cyrl-CS"/>
        </w:rPr>
        <w:t xml:space="preserve"> </w:t>
      </w:r>
      <w:r w:rsidRPr="00092ED7">
        <w:rPr>
          <w:rFonts w:eastAsia="Calibri" w:cs="Times New Roman"/>
          <w:szCs w:val="24"/>
          <w:lang w:val="sr-Cyrl-CS"/>
        </w:rPr>
        <w:t xml:space="preserve">Додатног протокола 5, </w:t>
      </w:r>
      <w:r w:rsidR="00E63AE6" w:rsidRPr="00092ED7">
        <w:rPr>
          <w:bCs/>
          <w:szCs w:val="24"/>
          <w:lang w:val="sr-Cyrl-CS"/>
        </w:rPr>
        <w:t>CEFTA</w:t>
      </w:r>
      <w:r w:rsidR="00CB66AD" w:rsidRPr="00092ED7">
        <w:rPr>
          <w:bCs/>
          <w:szCs w:val="24"/>
          <w:lang w:val="sr-Cyrl-CS"/>
        </w:rPr>
        <w:t xml:space="preserve"> </w:t>
      </w:r>
      <w:r w:rsidRPr="00092ED7">
        <w:rPr>
          <w:rFonts w:eastAsia="Calibri" w:cs="Times New Roman"/>
          <w:szCs w:val="24"/>
          <w:lang w:val="sr-Cyrl-CS"/>
        </w:rPr>
        <w:t xml:space="preserve">Додатног протокола 6 и наставку преговора о </w:t>
      </w:r>
      <w:r w:rsidR="00E63AE6" w:rsidRPr="00092ED7">
        <w:rPr>
          <w:bCs/>
          <w:szCs w:val="24"/>
          <w:lang w:val="sr-Cyrl-CS"/>
        </w:rPr>
        <w:t>CEFTA</w:t>
      </w:r>
      <w:r w:rsidR="00CB66AD" w:rsidRPr="00092ED7">
        <w:rPr>
          <w:bCs/>
          <w:szCs w:val="24"/>
          <w:lang w:val="sr-Cyrl-CS"/>
        </w:rPr>
        <w:t xml:space="preserve"> </w:t>
      </w:r>
      <w:r w:rsidRPr="00092ED7">
        <w:rPr>
          <w:rFonts w:eastAsia="Calibri" w:cs="Times New Roman"/>
          <w:szCs w:val="24"/>
          <w:lang w:val="sr-Cyrl-CS"/>
        </w:rPr>
        <w:t xml:space="preserve">Додатном протоколу 7. Пандемија условила је да се одређене активности, посебно оне везане за преговоре, временски редефинишу и прилагоде новонасталим околностима. У оквиру </w:t>
      </w:r>
      <w:r w:rsidR="00870CB7" w:rsidRPr="00092ED7">
        <w:rPr>
          <w:rFonts w:eastAsia="Calibri" w:cs="Times New Roman"/>
          <w:szCs w:val="24"/>
          <w:lang w:val="sr-Cyrl-CS"/>
        </w:rPr>
        <w:t>рада Националног координационог тела за олакшавање трговине (</w:t>
      </w:r>
      <w:r w:rsidR="00AA7059" w:rsidRPr="00092ED7">
        <w:rPr>
          <w:rFonts w:eastAsia="Calibri" w:cs="Times New Roman"/>
          <w:szCs w:val="24"/>
          <w:lang w:val="sr-Cyrl-CS"/>
        </w:rPr>
        <w:t xml:space="preserve">у даљем тексту: </w:t>
      </w:r>
      <w:r w:rsidR="00870CB7" w:rsidRPr="00092ED7">
        <w:rPr>
          <w:rFonts w:eastAsia="Calibri" w:cs="Times New Roman"/>
          <w:szCs w:val="24"/>
          <w:lang w:val="sr-Cyrl-CS"/>
        </w:rPr>
        <w:t>НКТОТ)</w:t>
      </w:r>
      <w:r w:rsidRPr="00092ED7">
        <w:rPr>
          <w:rFonts w:eastAsia="Calibri" w:cs="Times New Roman"/>
          <w:szCs w:val="24"/>
          <w:lang w:val="sr-Cyrl-CS"/>
        </w:rPr>
        <w:t xml:space="preserve">, а уз учешће приватног сектора, </w:t>
      </w:r>
      <w:r w:rsidR="008B3A44" w:rsidRPr="00092ED7">
        <w:rPr>
          <w:rFonts w:eastAsia="Calibri" w:cs="Times New Roman"/>
          <w:szCs w:val="24"/>
          <w:lang w:val="sr-Cyrl-CS"/>
        </w:rPr>
        <w:t xml:space="preserve">наставиће се са </w:t>
      </w:r>
      <w:r w:rsidR="006C154D" w:rsidRPr="00092ED7">
        <w:rPr>
          <w:rFonts w:eastAsia="Calibri" w:cs="Times New Roman"/>
          <w:szCs w:val="24"/>
          <w:lang w:val="sr-Cyrl-CS"/>
        </w:rPr>
        <w:t xml:space="preserve">спровођењем </w:t>
      </w:r>
      <w:r w:rsidRPr="00092ED7">
        <w:rPr>
          <w:rFonts w:eastAsia="Calibri" w:cs="Times New Roman"/>
          <w:szCs w:val="24"/>
          <w:lang w:val="sr-Cyrl-CS"/>
        </w:rPr>
        <w:t>Акционог плана за 2022-2023</w:t>
      </w:r>
      <w:r w:rsidR="00C758DF" w:rsidRPr="00092ED7">
        <w:rPr>
          <w:rFonts w:eastAsia="Calibri" w:cs="Times New Roman"/>
          <w:szCs w:val="24"/>
          <w:lang w:val="sr-Cyrl-CS"/>
        </w:rPr>
        <w:t>.</w:t>
      </w:r>
      <w:r w:rsidRPr="00092ED7">
        <w:rPr>
          <w:rFonts w:eastAsia="Calibri" w:cs="Times New Roman"/>
          <w:szCs w:val="24"/>
          <w:lang w:val="sr-Cyrl-CS"/>
        </w:rPr>
        <w:t xml:space="preserve"> у циљу уклањања препрека трговини, посебно техничких и фитосанитарних мера, као и олакшавању царинских процедура. Структурна реформа је пренета из претходне године, пре свега имајући у виду да предвиђене активности подразумевају дужи временски оквир за спровођење (постизање договора, усаглашавање регионалних иницијатива и споразума, ратификација и спровођење договореног).</w:t>
      </w:r>
    </w:p>
    <w:p w14:paraId="40AB879A" w14:textId="77777777" w:rsidR="00D210F0" w:rsidRPr="00092ED7" w:rsidRDefault="00D210F0" w:rsidP="00071952">
      <w:pPr>
        <w:widowControl w:val="0"/>
        <w:numPr>
          <w:ilvl w:val="0"/>
          <w:numId w:val="34"/>
        </w:numPr>
        <w:spacing w:before="120"/>
        <w:ind w:left="425" w:hanging="425"/>
        <w:rPr>
          <w:rFonts w:cs="Times New Roman"/>
          <w:b/>
          <w:smallCaps/>
          <w:lang w:val="sr-Cyrl-CS"/>
        </w:rPr>
      </w:pPr>
      <w:r w:rsidRPr="00092ED7">
        <w:rPr>
          <w:rFonts w:cs="Times New Roman"/>
          <w:b/>
          <w:bCs/>
          <w:szCs w:val="24"/>
          <w:lang w:val="sr-Cyrl-CS"/>
        </w:rPr>
        <w:t>Планиране активности по годинама</w:t>
      </w:r>
    </w:p>
    <w:tbl>
      <w:tblPr>
        <w:tblW w:w="9131" w:type="dxa"/>
        <w:tblLayout w:type="fixed"/>
        <w:tblCellMar>
          <w:left w:w="0" w:type="dxa"/>
          <w:right w:w="0" w:type="dxa"/>
        </w:tblCellMar>
        <w:tblLook w:val="04A0" w:firstRow="1" w:lastRow="0" w:firstColumn="1" w:lastColumn="0" w:noHBand="0" w:noVBand="1"/>
      </w:tblPr>
      <w:tblGrid>
        <w:gridCol w:w="413"/>
        <w:gridCol w:w="4397"/>
        <w:gridCol w:w="363"/>
        <w:gridCol w:w="364"/>
        <w:gridCol w:w="363"/>
        <w:gridCol w:w="367"/>
        <w:gridCol w:w="363"/>
        <w:gridCol w:w="364"/>
        <w:gridCol w:w="364"/>
        <w:gridCol w:w="368"/>
        <w:gridCol w:w="366"/>
        <w:gridCol w:w="363"/>
        <w:gridCol w:w="364"/>
        <w:gridCol w:w="312"/>
      </w:tblGrid>
      <w:tr w:rsidR="00D210F0" w:rsidRPr="00092ED7" w14:paraId="64AF3FC3" w14:textId="77777777" w:rsidTr="00B57FE8">
        <w:trPr>
          <w:trHeight w:val="315"/>
        </w:trPr>
        <w:tc>
          <w:tcPr>
            <w:tcW w:w="413"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0F7DF411"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РБ</w:t>
            </w:r>
          </w:p>
        </w:tc>
        <w:tc>
          <w:tcPr>
            <w:tcW w:w="4397"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6E08F0D6" w14:textId="77777777" w:rsidR="00D210F0" w:rsidRPr="00092ED7" w:rsidRDefault="00D210F0" w:rsidP="00D210F0">
            <w:pPr>
              <w:spacing w:after="0"/>
              <w:jc w:val="left"/>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457"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680C3894"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59"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37E362E7"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05"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2956094B"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38C8DEC6" w14:textId="77777777" w:rsidTr="00B57FE8">
        <w:trPr>
          <w:trHeight w:val="315"/>
        </w:trPr>
        <w:tc>
          <w:tcPr>
            <w:tcW w:w="413" w:type="dxa"/>
            <w:vMerge/>
            <w:tcBorders>
              <w:left w:val="single" w:sz="8" w:space="0" w:color="auto"/>
              <w:bottom w:val="single" w:sz="8" w:space="0" w:color="000000"/>
              <w:right w:val="nil"/>
            </w:tcBorders>
            <w:shd w:val="clear" w:color="000000" w:fill="BDD6EE"/>
            <w:vAlign w:val="center"/>
            <w:hideMark/>
          </w:tcPr>
          <w:p w14:paraId="322DFA8D" w14:textId="77777777" w:rsidR="00D210F0" w:rsidRPr="00092ED7" w:rsidRDefault="00D210F0" w:rsidP="00D210F0">
            <w:pPr>
              <w:spacing w:after="0"/>
              <w:jc w:val="center"/>
              <w:rPr>
                <w:rFonts w:cs="Times New Roman"/>
                <w:b/>
                <w:bCs/>
                <w:color w:val="000000"/>
                <w:sz w:val="20"/>
                <w:szCs w:val="20"/>
                <w:lang w:val="sr-Cyrl-CS"/>
              </w:rPr>
            </w:pPr>
          </w:p>
        </w:tc>
        <w:tc>
          <w:tcPr>
            <w:tcW w:w="4397"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28F1BD7A" w14:textId="77777777" w:rsidR="00D210F0" w:rsidRPr="00092ED7" w:rsidRDefault="00D210F0" w:rsidP="00D210F0">
            <w:pPr>
              <w:spacing w:after="0"/>
              <w:rPr>
                <w:rFonts w:cs="Times New Roman"/>
                <w:b/>
                <w:bCs/>
                <w:color w:val="000000"/>
                <w:sz w:val="20"/>
                <w:szCs w:val="20"/>
                <w:lang w:val="sr-Cyrl-CS"/>
              </w:rPr>
            </w:pPr>
          </w:p>
        </w:tc>
        <w:tc>
          <w:tcPr>
            <w:tcW w:w="363"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CFECB6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4"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5CD552E"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14992B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7"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1E8F2C03"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6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598304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4"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A80EEAE"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4"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F516FC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8"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23A6569"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c>
          <w:tcPr>
            <w:tcW w:w="366"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5513C7F"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6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88A9554"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64"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78F6C0A"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1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6430A222"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r>
      <w:tr w:rsidR="00D210F0" w:rsidRPr="00092ED7" w14:paraId="636A5C31" w14:textId="77777777" w:rsidTr="00B640AF">
        <w:trPr>
          <w:trHeight w:val="716"/>
        </w:trPr>
        <w:tc>
          <w:tcPr>
            <w:tcW w:w="41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0D172567"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1.</w:t>
            </w:r>
          </w:p>
        </w:tc>
        <w:tc>
          <w:tcPr>
            <w:tcW w:w="4397"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4C02A13B" w14:textId="77777777" w:rsidR="00D210F0" w:rsidRPr="00092ED7" w:rsidRDefault="00D210F0" w:rsidP="00D210F0">
            <w:pPr>
              <w:spacing w:after="0"/>
              <w:ind w:right="209"/>
              <w:rPr>
                <w:rFonts w:cs="Times New Roman"/>
                <w:sz w:val="20"/>
                <w:szCs w:val="20"/>
                <w:lang w:val="sr-Cyrl-CS"/>
              </w:rPr>
            </w:pPr>
            <w:r w:rsidRPr="00092ED7">
              <w:rPr>
                <w:rFonts w:cs="Times New Roman"/>
                <w:sz w:val="20"/>
                <w:szCs w:val="20"/>
                <w:lang w:val="sr-Cyrl-CS"/>
              </w:rPr>
              <w:t>Преговори о приступању СТО - билатерални преговори, усвајање прописа усаглашаних са СТО правилима и принципима</w:t>
            </w:r>
          </w:p>
        </w:tc>
        <w:tc>
          <w:tcPr>
            <w:tcW w:w="363"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BF032D9" w14:textId="77777777" w:rsidR="00D210F0" w:rsidRPr="00092ED7" w:rsidRDefault="00D210F0" w:rsidP="00D210F0">
            <w:pPr>
              <w:spacing w:after="0"/>
              <w:rPr>
                <w:rFonts w:cs="Times New Roman"/>
                <w:color w:val="000000"/>
                <w:sz w:val="20"/>
                <w:szCs w:val="20"/>
                <w:lang w:val="sr-Cyrl-CS"/>
              </w:rPr>
            </w:pPr>
          </w:p>
        </w:tc>
        <w:tc>
          <w:tcPr>
            <w:tcW w:w="364"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8DB5D36" w14:textId="77777777" w:rsidR="00D210F0" w:rsidRPr="00092ED7" w:rsidRDefault="00D210F0" w:rsidP="00D210F0">
            <w:pPr>
              <w:spacing w:after="0"/>
              <w:rPr>
                <w:rFonts w:cs="Times New Roman"/>
                <w:color w:val="000000"/>
                <w:sz w:val="20"/>
                <w:szCs w:val="20"/>
                <w:lang w:val="sr-Cyrl-CS"/>
              </w:rPr>
            </w:pPr>
          </w:p>
        </w:tc>
        <w:tc>
          <w:tcPr>
            <w:tcW w:w="36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293CB2A"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AE5EF56" w14:textId="77777777" w:rsidR="00D210F0" w:rsidRPr="00092ED7" w:rsidRDefault="00D210F0" w:rsidP="00D210F0">
            <w:pPr>
              <w:spacing w:after="0"/>
              <w:rPr>
                <w:rFonts w:cs="Times New Roman"/>
                <w:color w:val="000000"/>
                <w:sz w:val="20"/>
                <w:szCs w:val="20"/>
                <w:lang w:val="sr-Cyrl-CS"/>
              </w:rPr>
            </w:pPr>
          </w:p>
        </w:tc>
        <w:tc>
          <w:tcPr>
            <w:tcW w:w="36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21B915B" w14:textId="77777777" w:rsidR="00D210F0" w:rsidRPr="00092ED7" w:rsidRDefault="00D210F0" w:rsidP="00D210F0">
            <w:pPr>
              <w:spacing w:after="0"/>
              <w:rPr>
                <w:rFonts w:cs="Times New Roman"/>
                <w:color w:val="000000"/>
                <w:sz w:val="20"/>
                <w:szCs w:val="20"/>
                <w:lang w:val="sr-Cyrl-CS"/>
              </w:rPr>
            </w:pPr>
          </w:p>
        </w:tc>
        <w:tc>
          <w:tcPr>
            <w:tcW w:w="364"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6A4251B" w14:textId="77777777" w:rsidR="00D210F0" w:rsidRPr="00092ED7" w:rsidRDefault="00D210F0" w:rsidP="00D210F0">
            <w:pPr>
              <w:spacing w:after="0"/>
              <w:rPr>
                <w:rFonts w:cs="Times New Roman"/>
                <w:color w:val="000000"/>
                <w:sz w:val="20"/>
                <w:szCs w:val="20"/>
                <w:lang w:val="sr-Cyrl-CS"/>
              </w:rPr>
            </w:pPr>
          </w:p>
        </w:tc>
        <w:tc>
          <w:tcPr>
            <w:tcW w:w="364"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2303681"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EA7C774" w14:textId="77777777" w:rsidR="00D210F0" w:rsidRPr="00092ED7" w:rsidRDefault="00D210F0" w:rsidP="00D210F0">
            <w:pPr>
              <w:spacing w:after="0"/>
              <w:rPr>
                <w:rFonts w:cs="Times New Roman"/>
                <w:color w:val="000000"/>
                <w:sz w:val="18"/>
                <w:szCs w:val="18"/>
                <w:lang w:val="sr-Cyrl-CS"/>
              </w:rPr>
            </w:pPr>
          </w:p>
        </w:tc>
        <w:tc>
          <w:tcPr>
            <w:tcW w:w="36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59BB01F" w14:textId="77777777" w:rsidR="00D210F0" w:rsidRPr="00092ED7" w:rsidRDefault="00D210F0" w:rsidP="00D210F0">
            <w:pPr>
              <w:spacing w:after="0"/>
              <w:rPr>
                <w:rFonts w:cs="Times New Roman"/>
                <w:color w:val="000000"/>
                <w:sz w:val="18"/>
                <w:szCs w:val="18"/>
                <w:lang w:val="sr-Cyrl-CS"/>
              </w:rPr>
            </w:pPr>
          </w:p>
        </w:tc>
        <w:tc>
          <w:tcPr>
            <w:tcW w:w="36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0C035DB" w14:textId="77777777" w:rsidR="00D210F0" w:rsidRPr="00092ED7" w:rsidRDefault="00D210F0" w:rsidP="00D210F0">
            <w:pPr>
              <w:spacing w:after="0"/>
              <w:rPr>
                <w:rFonts w:cs="Times New Roman"/>
                <w:color w:val="000000"/>
                <w:sz w:val="18"/>
                <w:szCs w:val="18"/>
                <w:lang w:val="sr-Cyrl-CS"/>
              </w:rPr>
            </w:pPr>
          </w:p>
        </w:tc>
        <w:tc>
          <w:tcPr>
            <w:tcW w:w="36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28DEECED" w14:textId="77777777" w:rsidR="00D210F0" w:rsidRPr="00092ED7" w:rsidRDefault="00D210F0" w:rsidP="00D210F0">
            <w:pPr>
              <w:spacing w:after="0"/>
              <w:rPr>
                <w:rFonts w:cs="Times New Roman"/>
                <w:color w:val="000000"/>
                <w:sz w:val="18"/>
                <w:szCs w:val="18"/>
                <w:lang w:val="sr-Cyrl-CS"/>
              </w:rPr>
            </w:pPr>
          </w:p>
        </w:tc>
        <w:tc>
          <w:tcPr>
            <w:tcW w:w="31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0B33F5D3" w14:textId="77777777" w:rsidR="00D210F0" w:rsidRPr="00092ED7" w:rsidRDefault="00D210F0" w:rsidP="00D210F0">
            <w:pPr>
              <w:spacing w:after="0"/>
              <w:rPr>
                <w:rFonts w:cs="Times New Roman"/>
                <w:color w:val="000000"/>
                <w:sz w:val="18"/>
                <w:szCs w:val="18"/>
                <w:lang w:val="sr-Cyrl-CS"/>
              </w:rPr>
            </w:pPr>
          </w:p>
        </w:tc>
      </w:tr>
      <w:tr w:rsidR="00D210F0" w:rsidRPr="00092ED7" w14:paraId="0B557F1D" w14:textId="77777777" w:rsidTr="00B640AF">
        <w:trPr>
          <w:trHeight w:val="300"/>
        </w:trPr>
        <w:tc>
          <w:tcPr>
            <w:tcW w:w="41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25FBB04"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2.</w:t>
            </w:r>
          </w:p>
        </w:tc>
        <w:tc>
          <w:tcPr>
            <w:tcW w:w="43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D963B8E" w14:textId="77777777" w:rsidR="00D210F0" w:rsidRPr="00092ED7" w:rsidRDefault="00D210F0" w:rsidP="00D210F0">
            <w:pPr>
              <w:spacing w:after="0"/>
              <w:ind w:right="209"/>
              <w:rPr>
                <w:rFonts w:eastAsia="Calibri" w:cs="Times New Roman"/>
                <w:sz w:val="20"/>
                <w:szCs w:val="20"/>
                <w:lang w:val="sr-Cyrl-CS"/>
              </w:rPr>
            </w:pPr>
            <w:r w:rsidRPr="00092ED7">
              <w:rPr>
                <w:rFonts w:eastAsia="Calibri" w:cs="Times New Roman"/>
                <w:sz w:val="20"/>
                <w:szCs w:val="20"/>
                <w:lang w:val="sr-Cyrl-CS"/>
              </w:rPr>
              <w:t xml:space="preserve">АП ЗРТ </w:t>
            </w:r>
            <w:r w:rsidR="00CB66AD" w:rsidRPr="00092ED7">
              <w:rPr>
                <w:rFonts w:eastAsia="Calibri" w:cs="Times New Roman"/>
                <w:sz w:val="20"/>
                <w:szCs w:val="20"/>
                <w:lang w:val="sr-Cyrl-CS"/>
              </w:rPr>
              <w:t>–</w:t>
            </w:r>
            <w:r w:rsidRPr="00092ED7">
              <w:rPr>
                <w:rFonts w:eastAsia="Calibri" w:cs="Times New Roman"/>
                <w:sz w:val="20"/>
                <w:szCs w:val="20"/>
                <w:lang w:val="sr-Cyrl-CS"/>
              </w:rPr>
              <w:t xml:space="preserve"> </w:t>
            </w:r>
            <w:r w:rsidR="00E63AE6" w:rsidRPr="00092ED7">
              <w:rPr>
                <w:bCs/>
                <w:sz w:val="20"/>
                <w:szCs w:val="20"/>
                <w:lang w:val="sr-Cyrl-CS"/>
              </w:rPr>
              <w:t>CEFTA</w:t>
            </w:r>
            <w:r w:rsidR="00CB66AD" w:rsidRPr="00092ED7">
              <w:rPr>
                <w:bCs/>
                <w:sz w:val="20"/>
                <w:szCs w:val="20"/>
                <w:lang w:val="sr-Cyrl-CS"/>
              </w:rPr>
              <w:t xml:space="preserve"> </w:t>
            </w:r>
            <w:r w:rsidRPr="00092ED7">
              <w:rPr>
                <w:rFonts w:eastAsia="Calibri" w:cs="Times New Roman"/>
                <w:sz w:val="20"/>
                <w:szCs w:val="20"/>
                <w:lang w:val="sr-Cyrl-CS"/>
              </w:rPr>
              <w:t>- Имплементација Додатног протокола 5 о олакшавању трговинe</w:t>
            </w:r>
          </w:p>
        </w:tc>
        <w:tc>
          <w:tcPr>
            <w:tcW w:w="3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7778BC7" w14:textId="77777777" w:rsidR="00D210F0" w:rsidRPr="00092ED7" w:rsidRDefault="00D210F0" w:rsidP="00D210F0">
            <w:pPr>
              <w:spacing w:after="0"/>
              <w:rPr>
                <w:rFonts w:cs="Times New Roman"/>
                <w:color w:val="000000"/>
                <w:sz w:val="20"/>
                <w:szCs w:val="20"/>
                <w:lang w:val="sr-Cyrl-CS"/>
              </w:rPr>
            </w:pPr>
          </w:p>
        </w:tc>
        <w:tc>
          <w:tcPr>
            <w:tcW w:w="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03A564A" w14:textId="77777777" w:rsidR="00D210F0" w:rsidRPr="00092ED7" w:rsidRDefault="00D210F0" w:rsidP="00D210F0">
            <w:pPr>
              <w:spacing w:after="0"/>
              <w:rPr>
                <w:rFonts w:cs="Times New Roman"/>
                <w:color w:val="000000"/>
                <w:sz w:val="20"/>
                <w:szCs w:val="20"/>
                <w:lang w:val="sr-Cyrl-CS"/>
              </w:rPr>
            </w:pPr>
          </w:p>
        </w:tc>
        <w:tc>
          <w:tcPr>
            <w:tcW w:w="3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90D3E9C"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C27A577" w14:textId="77777777" w:rsidR="00D210F0" w:rsidRPr="00092ED7" w:rsidRDefault="00D210F0" w:rsidP="00D210F0">
            <w:pPr>
              <w:spacing w:after="0"/>
              <w:rPr>
                <w:rFonts w:cs="Times New Roman"/>
                <w:color w:val="000000"/>
                <w:sz w:val="20"/>
                <w:szCs w:val="20"/>
                <w:lang w:val="sr-Cyrl-CS"/>
              </w:rPr>
            </w:pPr>
          </w:p>
        </w:tc>
        <w:tc>
          <w:tcPr>
            <w:tcW w:w="3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80381F4" w14:textId="77777777" w:rsidR="00D210F0" w:rsidRPr="00092ED7" w:rsidRDefault="00D210F0" w:rsidP="00D210F0">
            <w:pPr>
              <w:spacing w:after="0"/>
              <w:rPr>
                <w:rFonts w:cs="Times New Roman"/>
                <w:color w:val="000000"/>
                <w:sz w:val="20"/>
                <w:szCs w:val="20"/>
                <w:lang w:val="sr-Cyrl-CS"/>
              </w:rPr>
            </w:pPr>
          </w:p>
        </w:tc>
        <w:tc>
          <w:tcPr>
            <w:tcW w:w="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99D1834" w14:textId="77777777" w:rsidR="00D210F0" w:rsidRPr="00092ED7" w:rsidRDefault="00D210F0" w:rsidP="00D210F0">
            <w:pPr>
              <w:spacing w:after="0"/>
              <w:rPr>
                <w:rFonts w:cs="Times New Roman"/>
                <w:color w:val="000000"/>
                <w:sz w:val="20"/>
                <w:szCs w:val="20"/>
                <w:lang w:val="sr-Cyrl-CS"/>
              </w:rPr>
            </w:pPr>
          </w:p>
        </w:tc>
        <w:tc>
          <w:tcPr>
            <w:tcW w:w="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AB63CF5"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C4D7A70" w14:textId="77777777" w:rsidR="00D210F0" w:rsidRPr="00092ED7" w:rsidRDefault="00D210F0" w:rsidP="00D210F0">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35F090E" w14:textId="77777777" w:rsidR="00D210F0" w:rsidRPr="00092ED7" w:rsidRDefault="00D210F0" w:rsidP="00D210F0">
            <w:pPr>
              <w:spacing w:after="0"/>
              <w:rPr>
                <w:rFonts w:cs="Times New Roman"/>
                <w:color w:val="000000"/>
                <w:sz w:val="18"/>
                <w:szCs w:val="18"/>
                <w:lang w:val="sr-Cyrl-CS"/>
              </w:rPr>
            </w:pPr>
          </w:p>
        </w:tc>
        <w:tc>
          <w:tcPr>
            <w:tcW w:w="3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FEB4D5B" w14:textId="77777777" w:rsidR="00D210F0" w:rsidRPr="00092ED7" w:rsidRDefault="00D210F0" w:rsidP="00D210F0">
            <w:pPr>
              <w:spacing w:after="0"/>
              <w:rPr>
                <w:rFonts w:cs="Times New Roman"/>
                <w:color w:val="000000"/>
                <w:sz w:val="18"/>
                <w:szCs w:val="18"/>
                <w:lang w:val="sr-Cyrl-CS"/>
              </w:rPr>
            </w:pPr>
          </w:p>
        </w:tc>
        <w:tc>
          <w:tcPr>
            <w:tcW w:w="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1036BDC" w14:textId="77777777" w:rsidR="00D210F0" w:rsidRPr="00092ED7" w:rsidRDefault="00D210F0" w:rsidP="00D210F0">
            <w:pPr>
              <w:spacing w:after="0"/>
              <w:rPr>
                <w:rFonts w:cs="Times New Roman"/>
                <w:color w:val="000000"/>
                <w:sz w:val="18"/>
                <w:szCs w:val="18"/>
                <w:lang w:val="sr-Cyrl-CS"/>
              </w:rPr>
            </w:pPr>
          </w:p>
        </w:tc>
        <w:tc>
          <w:tcPr>
            <w:tcW w:w="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B4D9B8F" w14:textId="77777777" w:rsidR="00D210F0" w:rsidRPr="00092ED7" w:rsidRDefault="00D210F0" w:rsidP="00D210F0">
            <w:pPr>
              <w:spacing w:after="0"/>
              <w:rPr>
                <w:rFonts w:cs="Times New Roman"/>
                <w:color w:val="000000"/>
                <w:sz w:val="18"/>
                <w:szCs w:val="18"/>
                <w:lang w:val="sr-Cyrl-CS"/>
              </w:rPr>
            </w:pPr>
          </w:p>
        </w:tc>
      </w:tr>
      <w:tr w:rsidR="00D210F0" w:rsidRPr="00092ED7" w14:paraId="056AD676" w14:textId="77777777" w:rsidTr="00B57FE8">
        <w:trPr>
          <w:trHeight w:val="300"/>
        </w:trPr>
        <w:tc>
          <w:tcPr>
            <w:tcW w:w="413"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69FA3DEB"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3.</w:t>
            </w:r>
          </w:p>
        </w:tc>
        <w:tc>
          <w:tcPr>
            <w:tcW w:w="4397" w:type="dxa"/>
            <w:tcBorders>
              <w:top w:val="nil"/>
              <w:left w:val="nil"/>
              <w:bottom w:val="single" w:sz="4" w:space="0" w:color="auto"/>
              <w:right w:val="nil"/>
            </w:tcBorders>
            <w:shd w:val="clear" w:color="auto" w:fill="auto"/>
            <w:tcMar>
              <w:top w:w="15" w:type="dxa"/>
              <w:left w:w="15" w:type="dxa"/>
              <w:bottom w:w="0" w:type="dxa"/>
              <w:right w:w="15" w:type="dxa"/>
            </w:tcMar>
          </w:tcPr>
          <w:p w14:paraId="40265E07" w14:textId="77777777" w:rsidR="00D210F0" w:rsidRPr="00092ED7" w:rsidRDefault="00D210F0" w:rsidP="00D210F0">
            <w:pPr>
              <w:spacing w:after="0"/>
              <w:ind w:right="209"/>
              <w:rPr>
                <w:rFonts w:eastAsia="Calibri" w:cs="Times New Roman"/>
                <w:sz w:val="20"/>
                <w:szCs w:val="20"/>
                <w:lang w:val="sr-Cyrl-CS"/>
              </w:rPr>
            </w:pPr>
            <w:r w:rsidRPr="00092ED7">
              <w:rPr>
                <w:rFonts w:eastAsia="Calibri" w:cs="Times New Roman"/>
                <w:sz w:val="20"/>
                <w:szCs w:val="20"/>
                <w:lang w:val="sr-Cyrl-CS"/>
              </w:rPr>
              <w:t xml:space="preserve">АП ЗРТ - </w:t>
            </w:r>
            <w:r w:rsidR="00E63AE6" w:rsidRPr="00092ED7">
              <w:rPr>
                <w:bCs/>
                <w:sz w:val="20"/>
                <w:szCs w:val="20"/>
                <w:lang w:val="sr-Cyrl-CS"/>
              </w:rPr>
              <w:t>CEFTA</w:t>
            </w:r>
            <w:r w:rsidRPr="00092ED7">
              <w:rPr>
                <w:rFonts w:eastAsia="Calibri" w:cs="Times New Roman"/>
                <w:sz w:val="20"/>
                <w:szCs w:val="20"/>
                <w:lang w:val="sr-Cyrl-CS"/>
              </w:rPr>
              <w:t>: Имплементација Додатног протокола 6 о трговини услугама</w:t>
            </w:r>
          </w:p>
        </w:tc>
        <w:tc>
          <w:tcPr>
            <w:tcW w:w="363"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AF1FD79"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095D702" w14:textId="77777777" w:rsidR="00D210F0" w:rsidRPr="00092ED7" w:rsidRDefault="00D210F0" w:rsidP="00D210F0">
            <w:pPr>
              <w:spacing w:after="0"/>
              <w:rPr>
                <w:rFonts w:cs="Times New Roman"/>
                <w:color w:val="000000"/>
                <w:sz w:val="20"/>
                <w:szCs w:val="20"/>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F664F94"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307B12A" w14:textId="77777777" w:rsidR="00D210F0" w:rsidRPr="00092ED7" w:rsidRDefault="00D210F0" w:rsidP="00D210F0">
            <w:pPr>
              <w:spacing w:after="0"/>
              <w:rPr>
                <w:rFonts w:cs="Times New Roman"/>
                <w:color w:val="000000"/>
                <w:sz w:val="20"/>
                <w:szCs w:val="20"/>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9246E46"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5A7615A"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14E7F14"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B6E03BF" w14:textId="77777777" w:rsidR="00D210F0" w:rsidRPr="00092ED7" w:rsidRDefault="00D210F0" w:rsidP="00D210F0">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6929C4A" w14:textId="77777777" w:rsidR="00D210F0" w:rsidRPr="00092ED7" w:rsidRDefault="00D210F0" w:rsidP="00D210F0">
            <w:pPr>
              <w:spacing w:after="0"/>
              <w:rPr>
                <w:rFonts w:cs="Times New Roman"/>
                <w:color w:val="000000"/>
                <w:sz w:val="18"/>
                <w:szCs w:val="18"/>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1829DEC" w14:textId="77777777" w:rsidR="00D210F0" w:rsidRPr="00092ED7" w:rsidRDefault="00D210F0" w:rsidP="00D210F0">
            <w:pPr>
              <w:spacing w:after="0"/>
              <w:rPr>
                <w:rFonts w:cs="Times New Roman"/>
                <w:color w:val="000000"/>
                <w:sz w:val="18"/>
                <w:szCs w:val="18"/>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AF134D0" w14:textId="77777777" w:rsidR="00D210F0" w:rsidRPr="00092ED7" w:rsidRDefault="00D210F0" w:rsidP="00D210F0">
            <w:pPr>
              <w:spacing w:after="0"/>
              <w:rPr>
                <w:rFonts w:cs="Times New Roman"/>
                <w:color w:val="000000"/>
                <w:sz w:val="18"/>
                <w:szCs w:val="18"/>
                <w:lang w:val="sr-Cyrl-CS"/>
              </w:rPr>
            </w:pPr>
          </w:p>
        </w:tc>
        <w:tc>
          <w:tcPr>
            <w:tcW w:w="31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283CD61" w14:textId="77777777" w:rsidR="00D210F0" w:rsidRPr="00092ED7" w:rsidRDefault="00D210F0" w:rsidP="00D210F0">
            <w:pPr>
              <w:spacing w:after="0"/>
              <w:rPr>
                <w:rFonts w:cs="Times New Roman"/>
                <w:color w:val="000000"/>
                <w:sz w:val="18"/>
                <w:szCs w:val="18"/>
                <w:lang w:val="sr-Cyrl-CS"/>
              </w:rPr>
            </w:pPr>
          </w:p>
        </w:tc>
      </w:tr>
      <w:tr w:rsidR="00D210F0" w:rsidRPr="00092ED7" w14:paraId="579B7BDD" w14:textId="77777777" w:rsidTr="00B57FE8">
        <w:trPr>
          <w:trHeight w:val="300"/>
        </w:trPr>
        <w:tc>
          <w:tcPr>
            <w:tcW w:w="413"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6EB226A2"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4.</w:t>
            </w:r>
          </w:p>
        </w:tc>
        <w:tc>
          <w:tcPr>
            <w:tcW w:w="4397" w:type="dxa"/>
            <w:tcBorders>
              <w:top w:val="nil"/>
              <w:left w:val="nil"/>
              <w:bottom w:val="single" w:sz="4" w:space="0" w:color="auto"/>
              <w:right w:val="nil"/>
            </w:tcBorders>
            <w:shd w:val="clear" w:color="auto" w:fill="auto"/>
            <w:tcMar>
              <w:top w:w="15" w:type="dxa"/>
              <w:left w:w="15" w:type="dxa"/>
              <w:bottom w:w="0" w:type="dxa"/>
              <w:right w:w="15" w:type="dxa"/>
            </w:tcMar>
          </w:tcPr>
          <w:p w14:paraId="438116C7" w14:textId="77777777" w:rsidR="00D210F0" w:rsidRPr="00092ED7" w:rsidRDefault="00D210F0" w:rsidP="00D210F0">
            <w:pPr>
              <w:spacing w:after="0"/>
              <w:ind w:right="209"/>
              <w:rPr>
                <w:rFonts w:eastAsia="Calibri" w:cs="Times New Roman"/>
                <w:sz w:val="20"/>
                <w:szCs w:val="20"/>
                <w:lang w:val="sr-Cyrl-CS"/>
              </w:rPr>
            </w:pPr>
            <w:r w:rsidRPr="00092ED7">
              <w:rPr>
                <w:rFonts w:eastAsia="Calibri" w:cs="Times New Roman"/>
                <w:sz w:val="20"/>
                <w:szCs w:val="20"/>
                <w:lang w:val="sr-Cyrl-CS"/>
              </w:rPr>
              <w:t xml:space="preserve">АП ЗРТ – </w:t>
            </w:r>
            <w:r w:rsidR="00E63AE6" w:rsidRPr="00092ED7">
              <w:rPr>
                <w:bCs/>
                <w:sz w:val="20"/>
                <w:szCs w:val="20"/>
                <w:lang w:val="sr-Cyrl-CS"/>
              </w:rPr>
              <w:t>CEFTA</w:t>
            </w:r>
            <w:r w:rsidRPr="00092ED7">
              <w:rPr>
                <w:rFonts w:eastAsia="Calibri" w:cs="Times New Roman"/>
                <w:sz w:val="20"/>
                <w:szCs w:val="20"/>
                <w:lang w:val="sr-Cyrl-CS"/>
              </w:rPr>
              <w:t>: Усвајање и имплементација Додатног протокола 7 о решавању спорова</w:t>
            </w:r>
          </w:p>
        </w:tc>
        <w:tc>
          <w:tcPr>
            <w:tcW w:w="363"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A53A8EF"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684AE19" w14:textId="77777777" w:rsidR="00D210F0" w:rsidRPr="00092ED7" w:rsidRDefault="00D210F0" w:rsidP="00D210F0">
            <w:pPr>
              <w:spacing w:after="0"/>
              <w:rPr>
                <w:rFonts w:cs="Times New Roman"/>
                <w:color w:val="000000"/>
                <w:sz w:val="20"/>
                <w:szCs w:val="20"/>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179D52"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3FB1B05" w14:textId="77777777" w:rsidR="00D210F0" w:rsidRPr="00092ED7" w:rsidRDefault="00D210F0" w:rsidP="00D210F0">
            <w:pPr>
              <w:spacing w:after="0"/>
              <w:rPr>
                <w:rFonts w:cs="Times New Roman"/>
                <w:color w:val="000000"/>
                <w:sz w:val="20"/>
                <w:szCs w:val="20"/>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3486C8E"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C793FFA"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2984319"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652D16E" w14:textId="77777777" w:rsidR="00D210F0" w:rsidRPr="00092ED7" w:rsidRDefault="00D210F0" w:rsidP="00D210F0">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239170C" w14:textId="77777777" w:rsidR="00D210F0" w:rsidRPr="00092ED7" w:rsidRDefault="00D210F0" w:rsidP="00D210F0">
            <w:pPr>
              <w:spacing w:after="0"/>
              <w:rPr>
                <w:rFonts w:cs="Times New Roman"/>
                <w:color w:val="000000"/>
                <w:sz w:val="18"/>
                <w:szCs w:val="18"/>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335CFAB" w14:textId="77777777" w:rsidR="00D210F0" w:rsidRPr="00092ED7" w:rsidRDefault="00D210F0" w:rsidP="00D210F0">
            <w:pPr>
              <w:spacing w:after="0"/>
              <w:rPr>
                <w:rFonts w:cs="Times New Roman"/>
                <w:color w:val="000000"/>
                <w:sz w:val="18"/>
                <w:szCs w:val="18"/>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26CC8B0" w14:textId="77777777" w:rsidR="00D210F0" w:rsidRPr="00092ED7" w:rsidRDefault="00D210F0" w:rsidP="00D210F0">
            <w:pPr>
              <w:spacing w:after="0"/>
              <w:rPr>
                <w:rFonts w:cs="Times New Roman"/>
                <w:color w:val="000000"/>
                <w:sz w:val="18"/>
                <w:szCs w:val="18"/>
                <w:lang w:val="sr-Cyrl-CS"/>
              </w:rPr>
            </w:pPr>
          </w:p>
        </w:tc>
        <w:tc>
          <w:tcPr>
            <w:tcW w:w="31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25BD231" w14:textId="77777777" w:rsidR="00D210F0" w:rsidRPr="00092ED7" w:rsidRDefault="00D210F0" w:rsidP="00D210F0">
            <w:pPr>
              <w:spacing w:after="0"/>
              <w:rPr>
                <w:rFonts w:cs="Times New Roman"/>
                <w:color w:val="000000"/>
                <w:sz w:val="18"/>
                <w:szCs w:val="18"/>
                <w:lang w:val="sr-Cyrl-CS"/>
              </w:rPr>
            </w:pPr>
          </w:p>
        </w:tc>
      </w:tr>
      <w:tr w:rsidR="00D210F0" w:rsidRPr="00092ED7" w14:paraId="12AEB064" w14:textId="77777777" w:rsidTr="00B57FE8">
        <w:trPr>
          <w:trHeight w:val="300"/>
        </w:trPr>
        <w:tc>
          <w:tcPr>
            <w:tcW w:w="413"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02EBB3DE"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5.</w:t>
            </w:r>
          </w:p>
        </w:tc>
        <w:tc>
          <w:tcPr>
            <w:tcW w:w="4397" w:type="dxa"/>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tcPr>
          <w:p w14:paraId="275FF250" w14:textId="77777777" w:rsidR="00D210F0" w:rsidRPr="00092ED7" w:rsidRDefault="00D210F0" w:rsidP="00D210F0">
            <w:pPr>
              <w:spacing w:after="0"/>
              <w:ind w:right="209"/>
              <w:rPr>
                <w:rFonts w:cs="Times New Roman"/>
                <w:sz w:val="20"/>
                <w:szCs w:val="20"/>
                <w:lang w:val="sr-Cyrl-CS"/>
              </w:rPr>
            </w:pPr>
            <w:r w:rsidRPr="00092ED7">
              <w:rPr>
                <w:rFonts w:cs="Times New Roman"/>
                <w:sz w:val="20"/>
                <w:szCs w:val="20"/>
                <w:lang w:val="sr-Cyrl-CS"/>
              </w:rPr>
              <w:t>Спровођење активности дефинисаних Акционим плановима за 2022</w:t>
            </w:r>
            <w:r w:rsidR="00E63AE6" w:rsidRPr="00092ED7">
              <w:rPr>
                <w:rFonts w:cs="Times New Roman"/>
                <w:sz w:val="20"/>
                <w:szCs w:val="20"/>
                <w:lang w:val="sr-Cyrl-CS"/>
              </w:rPr>
              <w:t>.</w:t>
            </w:r>
            <w:r w:rsidRPr="00092ED7">
              <w:rPr>
                <w:rFonts w:cs="Times New Roman"/>
                <w:sz w:val="20"/>
                <w:szCs w:val="20"/>
                <w:lang w:val="sr-Cyrl-CS"/>
              </w:rPr>
              <w:t xml:space="preserve"> и 2023</w:t>
            </w:r>
            <w:r w:rsidR="00E63AE6" w:rsidRPr="00092ED7">
              <w:rPr>
                <w:rFonts w:cs="Times New Roman"/>
                <w:sz w:val="20"/>
                <w:szCs w:val="20"/>
                <w:lang w:val="sr-Cyrl-CS"/>
              </w:rPr>
              <w:t>.</w:t>
            </w:r>
            <w:r w:rsidRPr="00092ED7">
              <w:rPr>
                <w:rFonts w:cs="Times New Roman"/>
                <w:sz w:val="20"/>
                <w:szCs w:val="20"/>
                <w:lang w:val="sr-Cyrl-CS"/>
              </w:rPr>
              <w:t xml:space="preserve"> у оквиру НКТОТ и усвајање Акционих планова НКТОТ за 2024</w:t>
            </w:r>
            <w:r w:rsidR="00CB66AD" w:rsidRPr="00092ED7">
              <w:rPr>
                <w:rFonts w:cs="Times New Roman"/>
                <w:sz w:val="20"/>
                <w:szCs w:val="20"/>
                <w:lang w:val="sr-Cyrl-CS"/>
              </w:rPr>
              <w:t>.</w:t>
            </w:r>
            <w:r w:rsidRPr="00092ED7">
              <w:rPr>
                <w:rFonts w:cs="Times New Roman"/>
                <w:sz w:val="20"/>
                <w:szCs w:val="20"/>
                <w:lang w:val="sr-Cyrl-CS"/>
              </w:rPr>
              <w:t xml:space="preserve"> и 2025. и њихово спровођењe</w:t>
            </w: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6DFB66A"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F65D8B2" w14:textId="77777777" w:rsidR="00D210F0" w:rsidRPr="00092ED7" w:rsidRDefault="00D210F0" w:rsidP="00D210F0">
            <w:pPr>
              <w:spacing w:after="0"/>
              <w:rPr>
                <w:rFonts w:cs="Times New Roman"/>
                <w:color w:val="000000"/>
                <w:sz w:val="20"/>
                <w:szCs w:val="20"/>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1371CDA"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A5A9829" w14:textId="77777777" w:rsidR="00D210F0" w:rsidRPr="00092ED7" w:rsidRDefault="00D210F0" w:rsidP="00D210F0">
            <w:pPr>
              <w:spacing w:after="0"/>
              <w:rPr>
                <w:rFonts w:cs="Times New Roman"/>
                <w:color w:val="000000"/>
                <w:sz w:val="20"/>
                <w:szCs w:val="20"/>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08C22E0"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B22DE3D"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3B4B589"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6A5076A" w14:textId="77777777" w:rsidR="00D210F0" w:rsidRPr="00092ED7" w:rsidRDefault="00D210F0" w:rsidP="00D210F0">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41A1B4A" w14:textId="77777777" w:rsidR="00D210F0" w:rsidRPr="00092ED7" w:rsidRDefault="00D210F0" w:rsidP="00D210F0">
            <w:pPr>
              <w:spacing w:after="0"/>
              <w:rPr>
                <w:rFonts w:cs="Times New Roman"/>
                <w:color w:val="000000"/>
                <w:sz w:val="18"/>
                <w:szCs w:val="18"/>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895BF0D" w14:textId="77777777" w:rsidR="00D210F0" w:rsidRPr="00092ED7" w:rsidRDefault="00D210F0" w:rsidP="00D210F0">
            <w:pPr>
              <w:spacing w:after="0"/>
              <w:rPr>
                <w:rFonts w:cs="Times New Roman"/>
                <w:color w:val="000000"/>
                <w:sz w:val="18"/>
                <w:szCs w:val="18"/>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3CF0F0A" w14:textId="77777777" w:rsidR="00D210F0" w:rsidRPr="00092ED7" w:rsidRDefault="00D210F0" w:rsidP="00D210F0">
            <w:pPr>
              <w:spacing w:after="0"/>
              <w:rPr>
                <w:rFonts w:cs="Times New Roman"/>
                <w:color w:val="000000"/>
                <w:sz w:val="18"/>
                <w:szCs w:val="18"/>
                <w:lang w:val="sr-Cyrl-CS"/>
              </w:rPr>
            </w:pPr>
          </w:p>
        </w:tc>
        <w:tc>
          <w:tcPr>
            <w:tcW w:w="31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980F11C" w14:textId="77777777" w:rsidR="00D210F0" w:rsidRPr="00092ED7" w:rsidRDefault="00D210F0" w:rsidP="00D210F0">
            <w:pPr>
              <w:spacing w:after="0"/>
              <w:rPr>
                <w:rFonts w:cs="Times New Roman"/>
                <w:color w:val="000000"/>
                <w:sz w:val="18"/>
                <w:szCs w:val="18"/>
                <w:lang w:val="sr-Cyrl-CS"/>
              </w:rPr>
            </w:pPr>
          </w:p>
        </w:tc>
      </w:tr>
    </w:tbl>
    <w:p w14:paraId="52B1B169" w14:textId="77777777" w:rsidR="00D210F0" w:rsidRPr="00092ED7" w:rsidRDefault="00D210F0" w:rsidP="00071952">
      <w:pPr>
        <w:widowControl w:val="0"/>
        <w:numPr>
          <w:ilvl w:val="0"/>
          <w:numId w:val="34"/>
        </w:numPr>
        <w:spacing w:before="120"/>
        <w:ind w:left="425" w:hanging="425"/>
        <w:rPr>
          <w:rFonts w:cs="Times New Roman"/>
          <w:b/>
          <w:bCs/>
          <w:szCs w:val="24"/>
          <w:lang w:val="sr-Cyrl-CS"/>
        </w:rPr>
      </w:pPr>
      <w:r w:rsidRPr="00092ED7">
        <w:rPr>
          <w:rFonts w:cs="Times New Roman"/>
          <w:b/>
          <w:bCs/>
          <w:szCs w:val="24"/>
          <w:lang w:val="sr-Cyrl-CS"/>
        </w:rPr>
        <w:t>Индикатори ризика</w:t>
      </w:r>
    </w:p>
    <w:tbl>
      <w:tblPr>
        <w:tblStyle w:val="TableGrid"/>
        <w:tblW w:w="9072" w:type="dxa"/>
        <w:tblInd w:w="-5" w:type="dxa"/>
        <w:tblLayout w:type="fixed"/>
        <w:tblLook w:val="04A0" w:firstRow="1" w:lastRow="0" w:firstColumn="1" w:lastColumn="0" w:noHBand="0" w:noVBand="1"/>
      </w:tblPr>
      <w:tblGrid>
        <w:gridCol w:w="3685"/>
        <w:gridCol w:w="1795"/>
        <w:gridCol w:w="1796"/>
        <w:gridCol w:w="1796"/>
      </w:tblGrid>
      <w:tr w:rsidR="00D210F0" w:rsidRPr="00092ED7" w14:paraId="3F0B99BB" w14:textId="77777777" w:rsidTr="00B57FE8">
        <w:trPr>
          <w:cnfStyle w:val="100000000000" w:firstRow="1" w:lastRow="0" w:firstColumn="0" w:lastColumn="0" w:oddVBand="0" w:evenVBand="0" w:oddHBand="0" w:evenHBand="0" w:firstRowFirstColumn="0" w:firstRowLastColumn="0" w:lastRowFirstColumn="0" w:lastRowLastColumn="0"/>
        </w:trPr>
        <w:tc>
          <w:tcPr>
            <w:tcW w:w="3685" w:type="dxa"/>
            <w:tcBorders>
              <w:top w:val="single" w:sz="4" w:space="0" w:color="auto"/>
              <w:left w:val="single" w:sz="4" w:space="0" w:color="auto"/>
              <w:bottom w:val="single" w:sz="4" w:space="0" w:color="auto"/>
              <w:right w:val="single" w:sz="4" w:space="0" w:color="auto"/>
            </w:tcBorders>
            <w:hideMark/>
          </w:tcPr>
          <w:p w14:paraId="05EFF51F"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Показатељ</w:t>
            </w:r>
          </w:p>
        </w:tc>
        <w:tc>
          <w:tcPr>
            <w:tcW w:w="1795" w:type="dxa"/>
            <w:tcBorders>
              <w:top w:val="single" w:sz="4" w:space="0" w:color="auto"/>
              <w:left w:val="single" w:sz="4" w:space="0" w:color="auto"/>
              <w:bottom w:val="single" w:sz="4" w:space="0" w:color="auto"/>
              <w:right w:val="single" w:sz="4" w:space="0" w:color="auto"/>
            </w:tcBorders>
            <w:hideMark/>
          </w:tcPr>
          <w:p w14:paraId="619B4FEC"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Почетна вредност (2019)</w:t>
            </w:r>
          </w:p>
        </w:tc>
        <w:tc>
          <w:tcPr>
            <w:tcW w:w="1796" w:type="dxa"/>
            <w:tcBorders>
              <w:top w:val="single" w:sz="4" w:space="0" w:color="auto"/>
              <w:left w:val="single" w:sz="4" w:space="0" w:color="auto"/>
              <w:bottom w:val="single" w:sz="4" w:space="0" w:color="auto"/>
              <w:right w:val="single" w:sz="4" w:space="0" w:color="auto"/>
            </w:tcBorders>
            <w:hideMark/>
          </w:tcPr>
          <w:p w14:paraId="1E55EA47"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Међурезултат (2022)</w:t>
            </w:r>
          </w:p>
        </w:tc>
        <w:tc>
          <w:tcPr>
            <w:tcW w:w="1796" w:type="dxa"/>
            <w:tcBorders>
              <w:top w:val="single" w:sz="4" w:space="0" w:color="auto"/>
              <w:left w:val="single" w:sz="4" w:space="0" w:color="auto"/>
              <w:bottom w:val="single" w:sz="4" w:space="0" w:color="auto"/>
              <w:right w:val="single" w:sz="4" w:space="0" w:color="auto"/>
            </w:tcBorders>
            <w:hideMark/>
          </w:tcPr>
          <w:p w14:paraId="61095B97"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Циљна вредност (2025)</w:t>
            </w:r>
          </w:p>
        </w:tc>
      </w:tr>
      <w:tr w:rsidR="00D210F0" w:rsidRPr="00092ED7" w14:paraId="02A114C7" w14:textId="77777777" w:rsidTr="00B57FE8">
        <w:tc>
          <w:tcPr>
            <w:tcW w:w="3685" w:type="dxa"/>
            <w:tcBorders>
              <w:top w:val="single" w:sz="4" w:space="0" w:color="auto"/>
              <w:left w:val="single" w:sz="4" w:space="0" w:color="auto"/>
              <w:bottom w:val="single" w:sz="4" w:space="0" w:color="auto"/>
              <w:right w:val="single" w:sz="4" w:space="0" w:color="auto"/>
            </w:tcBorders>
            <w:hideMark/>
          </w:tcPr>
          <w:p w14:paraId="3B1567A9" w14:textId="14E0313D" w:rsidR="00D210F0" w:rsidRPr="00092ED7" w:rsidRDefault="00870CB7" w:rsidP="00B57FE8">
            <w:pPr>
              <w:spacing w:before="0" w:after="0"/>
              <w:ind w:left="113" w:right="113"/>
              <w:rPr>
                <w:rFonts w:cs="Times New Roman"/>
                <w:bCs/>
                <w:sz w:val="20"/>
                <w:lang w:val="sr-Cyrl-CS"/>
              </w:rPr>
            </w:pPr>
            <w:r w:rsidRPr="00092ED7">
              <w:rPr>
                <w:rFonts w:cs="Times New Roman"/>
                <w:bCs/>
                <w:sz w:val="20"/>
                <w:lang w:val="sr-Cyrl-CS"/>
              </w:rPr>
              <w:t xml:space="preserve">Обим </w:t>
            </w:r>
            <w:r w:rsidR="00D210F0" w:rsidRPr="00092ED7">
              <w:rPr>
                <w:rFonts w:cs="Times New Roman"/>
                <w:bCs/>
                <w:sz w:val="20"/>
                <w:lang w:val="sr-Cyrl-CS"/>
              </w:rPr>
              <w:t xml:space="preserve">спољне трговине </w:t>
            </w:r>
            <w:r w:rsidR="00AA7059" w:rsidRPr="00092ED7">
              <w:rPr>
                <w:rFonts w:cs="Times New Roman"/>
                <w:bCs/>
                <w:sz w:val="20"/>
                <w:lang w:val="sr-Cyrl-CS"/>
              </w:rPr>
              <w:t xml:space="preserve">Републике </w:t>
            </w:r>
            <w:r w:rsidR="00D210F0" w:rsidRPr="00092ED7">
              <w:rPr>
                <w:rFonts w:cs="Times New Roman"/>
                <w:bCs/>
                <w:sz w:val="20"/>
                <w:lang w:val="sr-Cyrl-CS"/>
              </w:rPr>
              <w:t>Србије – свет</w:t>
            </w:r>
          </w:p>
        </w:tc>
        <w:tc>
          <w:tcPr>
            <w:tcW w:w="1795" w:type="dxa"/>
            <w:tcBorders>
              <w:top w:val="single" w:sz="4" w:space="0" w:color="auto"/>
              <w:left w:val="single" w:sz="4" w:space="0" w:color="auto"/>
              <w:bottom w:val="single" w:sz="4" w:space="0" w:color="auto"/>
              <w:right w:val="single" w:sz="4" w:space="0" w:color="auto"/>
            </w:tcBorders>
            <w:hideMark/>
          </w:tcPr>
          <w:p w14:paraId="3F36983C" w14:textId="77777777" w:rsidR="00D210F0" w:rsidRPr="00092ED7" w:rsidRDefault="00D210F0" w:rsidP="00B57FE8">
            <w:pPr>
              <w:spacing w:before="0" w:after="0"/>
              <w:ind w:left="113" w:right="113"/>
              <w:jc w:val="center"/>
              <w:rPr>
                <w:rFonts w:cs="Times New Roman"/>
                <w:bCs/>
                <w:sz w:val="20"/>
                <w:lang w:val="sr-Cyrl-CS"/>
              </w:rPr>
            </w:pPr>
            <w:r w:rsidRPr="00092ED7">
              <w:rPr>
                <w:rFonts w:cs="Times New Roman"/>
                <w:bCs/>
                <w:sz w:val="20"/>
                <w:lang w:val="sr-Cyrl-CS"/>
              </w:rPr>
              <w:t>41,4 милијарде евра</w:t>
            </w:r>
          </w:p>
        </w:tc>
        <w:tc>
          <w:tcPr>
            <w:tcW w:w="1796" w:type="dxa"/>
            <w:tcBorders>
              <w:top w:val="single" w:sz="4" w:space="0" w:color="auto"/>
              <w:left w:val="single" w:sz="4" w:space="0" w:color="auto"/>
              <w:bottom w:val="single" w:sz="4" w:space="0" w:color="auto"/>
              <w:right w:val="single" w:sz="4" w:space="0" w:color="auto"/>
            </w:tcBorders>
            <w:hideMark/>
          </w:tcPr>
          <w:p w14:paraId="2C7B0778" w14:textId="77777777" w:rsidR="00D210F0" w:rsidRPr="00092ED7" w:rsidRDefault="00D210F0" w:rsidP="00B57FE8">
            <w:pPr>
              <w:spacing w:before="0" w:after="0"/>
              <w:ind w:left="113" w:right="113"/>
              <w:jc w:val="center"/>
              <w:rPr>
                <w:rFonts w:cs="Times New Roman"/>
                <w:bCs/>
                <w:sz w:val="20"/>
                <w:lang w:val="sr-Cyrl-CS"/>
              </w:rPr>
            </w:pPr>
            <w:r w:rsidRPr="00092ED7">
              <w:rPr>
                <w:rFonts w:cs="Times New Roman"/>
                <w:bCs/>
                <w:sz w:val="20"/>
                <w:lang w:val="sr-Cyrl-CS"/>
              </w:rPr>
              <w:t>62 милијарде евра</w:t>
            </w:r>
            <w:r w:rsidRPr="00092ED7">
              <w:rPr>
                <w:rFonts w:cs="Times New Roman"/>
                <w:bCs/>
                <w:sz w:val="20"/>
                <w:vertAlign w:val="superscript"/>
                <w:lang w:val="sr-Cyrl-CS"/>
              </w:rPr>
              <w:footnoteReference w:id="144"/>
            </w:r>
          </w:p>
        </w:tc>
        <w:tc>
          <w:tcPr>
            <w:tcW w:w="1796" w:type="dxa"/>
            <w:tcBorders>
              <w:top w:val="single" w:sz="4" w:space="0" w:color="auto"/>
              <w:left w:val="single" w:sz="4" w:space="0" w:color="auto"/>
              <w:bottom w:val="single" w:sz="4" w:space="0" w:color="auto"/>
              <w:right w:val="single" w:sz="4" w:space="0" w:color="auto"/>
            </w:tcBorders>
            <w:hideMark/>
          </w:tcPr>
          <w:p w14:paraId="06DA5FFD" w14:textId="77777777" w:rsidR="00D210F0" w:rsidRPr="00092ED7" w:rsidRDefault="00D210F0" w:rsidP="00B57FE8">
            <w:pPr>
              <w:spacing w:before="0" w:after="0"/>
              <w:ind w:left="113" w:right="113"/>
              <w:jc w:val="center"/>
              <w:rPr>
                <w:rFonts w:cs="Times New Roman"/>
                <w:bCs/>
                <w:sz w:val="20"/>
                <w:lang w:val="sr-Cyrl-CS"/>
              </w:rPr>
            </w:pPr>
            <w:r w:rsidRPr="00092ED7">
              <w:rPr>
                <w:rFonts w:cs="Times New Roman"/>
                <w:bCs/>
                <w:sz w:val="20"/>
                <w:lang w:val="sr-Cyrl-CS"/>
              </w:rPr>
              <w:t>80 милијарди евра</w:t>
            </w:r>
          </w:p>
        </w:tc>
      </w:tr>
      <w:tr w:rsidR="00D210F0" w:rsidRPr="00092ED7" w14:paraId="1D66887C" w14:textId="77777777" w:rsidTr="00B57FE8">
        <w:tc>
          <w:tcPr>
            <w:tcW w:w="3685" w:type="dxa"/>
            <w:tcBorders>
              <w:top w:val="single" w:sz="4" w:space="0" w:color="auto"/>
              <w:left w:val="single" w:sz="4" w:space="0" w:color="auto"/>
              <w:bottom w:val="single" w:sz="4" w:space="0" w:color="auto"/>
              <w:right w:val="single" w:sz="4" w:space="0" w:color="auto"/>
            </w:tcBorders>
            <w:hideMark/>
          </w:tcPr>
          <w:p w14:paraId="78A6BBAE" w14:textId="77777777" w:rsidR="00D210F0" w:rsidRPr="00092ED7" w:rsidRDefault="00D210F0" w:rsidP="00B57FE8">
            <w:pPr>
              <w:spacing w:before="0" w:after="0"/>
              <w:ind w:left="113" w:right="113"/>
              <w:rPr>
                <w:rFonts w:cs="Times New Roman"/>
                <w:b/>
                <w:sz w:val="20"/>
                <w:lang w:val="sr-Cyrl-CS"/>
              </w:rPr>
            </w:pPr>
            <w:r w:rsidRPr="00092ED7">
              <w:rPr>
                <w:rFonts w:cs="Times New Roman"/>
                <w:sz w:val="20"/>
                <w:lang w:val="sr-Cyrl-CS"/>
              </w:rPr>
              <w:t>Оцена о испуњености мера за олакшавање трговине коју је Република Србија добила према УН глобалном прегледу о дигиталном и одрживом олакшавању трговине</w:t>
            </w:r>
            <w:r w:rsidRPr="00092ED7">
              <w:rPr>
                <w:rFonts w:cs="Times New Roman"/>
                <w:sz w:val="20"/>
                <w:vertAlign w:val="superscript"/>
                <w:lang w:val="sr-Cyrl-CS"/>
              </w:rPr>
              <w:footnoteReference w:id="145"/>
            </w:r>
          </w:p>
        </w:tc>
        <w:tc>
          <w:tcPr>
            <w:tcW w:w="1795" w:type="dxa"/>
            <w:tcBorders>
              <w:top w:val="single" w:sz="4" w:space="0" w:color="auto"/>
              <w:left w:val="single" w:sz="4" w:space="0" w:color="auto"/>
              <w:bottom w:val="single" w:sz="4" w:space="0" w:color="auto"/>
              <w:right w:val="single" w:sz="4" w:space="0" w:color="auto"/>
            </w:tcBorders>
            <w:hideMark/>
          </w:tcPr>
          <w:p w14:paraId="2F7AF48E" w14:textId="77777777" w:rsidR="00D210F0" w:rsidRPr="00092ED7" w:rsidRDefault="00D210F0" w:rsidP="00B57FE8">
            <w:pPr>
              <w:spacing w:before="0" w:after="0"/>
              <w:ind w:left="113" w:right="113"/>
              <w:jc w:val="center"/>
              <w:rPr>
                <w:rFonts w:cs="Times New Roman"/>
                <w:bCs/>
                <w:sz w:val="20"/>
                <w:lang w:val="sr-Cyrl-CS"/>
              </w:rPr>
            </w:pPr>
            <w:r w:rsidRPr="00092ED7">
              <w:rPr>
                <w:rFonts w:cs="Times New Roman"/>
                <w:bCs/>
                <w:sz w:val="20"/>
                <w:lang w:val="sr-Cyrl-CS"/>
              </w:rPr>
              <w:t>61,3%</w:t>
            </w:r>
          </w:p>
        </w:tc>
        <w:tc>
          <w:tcPr>
            <w:tcW w:w="1796" w:type="dxa"/>
            <w:tcBorders>
              <w:top w:val="single" w:sz="4" w:space="0" w:color="auto"/>
              <w:left w:val="single" w:sz="4" w:space="0" w:color="auto"/>
              <w:bottom w:val="single" w:sz="4" w:space="0" w:color="auto"/>
              <w:right w:val="single" w:sz="4" w:space="0" w:color="auto"/>
            </w:tcBorders>
            <w:hideMark/>
          </w:tcPr>
          <w:p w14:paraId="1B04BD2F" w14:textId="77777777" w:rsidR="00D210F0" w:rsidRPr="00092ED7" w:rsidRDefault="00D210F0" w:rsidP="00B57FE8">
            <w:pPr>
              <w:spacing w:before="0" w:after="0"/>
              <w:ind w:left="113" w:right="113"/>
              <w:jc w:val="center"/>
              <w:rPr>
                <w:rFonts w:cs="Times New Roman"/>
                <w:bCs/>
                <w:sz w:val="20"/>
                <w:lang w:val="sr-Cyrl-CS"/>
              </w:rPr>
            </w:pPr>
            <w:r w:rsidRPr="00092ED7">
              <w:rPr>
                <w:rFonts w:cs="Times New Roman"/>
                <w:bCs/>
                <w:sz w:val="20"/>
                <w:lang w:val="sr-Cyrl-CS"/>
              </w:rPr>
              <w:t>72,4% (2021)</w:t>
            </w:r>
            <w:r w:rsidRPr="00092ED7">
              <w:rPr>
                <w:rFonts w:cs="Times New Roman"/>
                <w:bCs/>
                <w:sz w:val="20"/>
                <w:vertAlign w:val="superscript"/>
                <w:lang w:val="sr-Cyrl-CS"/>
              </w:rPr>
              <w:footnoteReference w:id="146"/>
            </w:r>
          </w:p>
        </w:tc>
        <w:tc>
          <w:tcPr>
            <w:tcW w:w="1796" w:type="dxa"/>
            <w:tcBorders>
              <w:top w:val="single" w:sz="4" w:space="0" w:color="auto"/>
              <w:left w:val="single" w:sz="4" w:space="0" w:color="auto"/>
              <w:bottom w:val="single" w:sz="4" w:space="0" w:color="auto"/>
              <w:right w:val="single" w:sz="4" w:space="0" w:color="auto"/>
            </w:tcBorders>
            <w:hideMark/>
          </w:tcPr>
          <w:p w14:paraId="1FDA867F" w14:textId="77777777" w:rsidR="00D210F0" w:rsidRPr="00092ED7" w:rsidRDefault="00D210F0" w:rsidP="00B57FE8">
            <w:pPr>
              <w:spacing w:before="0" w:after="0"/>
              <w:ind w:left="113" w:right="113"/>
              <w:jc w:val="center"/>
              <w:rPr>
                <w:rFonts w:cs="Times New Roman"/>
                <w:bCs/>
                <w:sz w:val="20"/>
                <w:lang w:val="sr-Cyrl-CS"/>
              </w:rPr>
            </w:pPr>
            <w:r w:rsidRPr="00092ED7">
              <w:rPr>
                <w:rFonts w:cs="Times New Roman"/>
                <w:bCs/>
                <w:sz w:val="20"/>
                <w:lang w:val="sr-Cyrl-CS"/>
              </w:rPr>
              <w:t>78%</w:t>
            </w:r>
          </w:p>
        </w:tc>
      </w:tr>
    </w:tbl>
    <w:p w14:paraId="018EC86E" w14:textId="77777777" w:rsidR="00D210F0" w:rsidRPr="00092ED7" w:rsidRDefault="00D210F0" w:rsidP="00071952">
      <w:pPr>
        <w:widowControl w:val="0"/>
        <w:numPr>
          <w:ilvl w:val="0"/>
          <w:numId w:val="34"/>
        </w:numPr>
        <w:spacing w:before="120"/>
        <w:ind w:left="425" w:hanging="425"/>
        <w:rPr>
          <w:rFonts w:cs="Times New Roman"/>
          <w:b/>
          <w:bCs/>
          <w:szCs w:val="24"/>
          <w:lang w:val="sr-Cyrl-CS"/>
        </w:rPr>
      </w:pPr>
      <w:r w:rsidRPr="00092ED7">
        <w:rPr>
          <w:b/>
          <w:szCs w:val="24"/>
          <w:lang w:val="sr-Cyrl-CS"/>
        </w:rPr>
        <w:t>Oчекивани утицај на конкурентност</w:t>
      </w:r>
    </w:p>
    <w:p w14:paraId="5DABCD18" w14:textId="77777777" w:rsidR="00D210F0" w:rsidRPr="00092ED7" w:rsidRDefault="00D210F0" w:rsidP="009D4C3F">
      <w:pPr>
        <w:tabs>
          <w:tab w:val="left" w:pos="360"/>
        </w:tabs>
        <w:spacing w:after="60"/>
        <w:rPr>
          <w:rFonts w:cs="Times New Roman"/>
          <w:b/>
          <w:bCs/>
          <w:szCs w:val="24"/>
          <w:lang w:val="sr-Cyrl-CS"/>
        </w:rPr>
      </w:pPr>
      <w:r w:rsidRPr="00092ED7">
        <w:rPr>
          <w:rFonts w:eastAsia="Calibri" w:cs="Times New Roman"/>
          <w:szCs w:val="24"/>
          <w:lang w:val="sr-Cyrl-CS"/>
        </w:rPr>
        <w:t xml:space="preserve">Ступање у чланство СТО, унапређење трговине кроз примену </w:t>
      </w:r>
      <w:r w:rsidR="00E63AE6" w:rsidRPr="00092ED7">
        <w:rPr>
          <w:bCs/>
          <w:szCs w:val="24"/>
          <w:lang w:val="sr-Cyrl-CS"/>
        </w:rPr>
        <w:t>CEFTA</w:t>
      </w:r>
      <w:r w:rsidR="00CB66AD" w:rsidRPr="00092ED7">
        <w:rPr>
          <w:bCs/>
          <w:szCs w:val="24"/>
          <w:lang w:val="sr-Cyrl-CS"/>
        </w:rPr>
        <w:t xml:space="preserve"> </w:t>
      </w:r>
      <w:r w:rsidRPr="00092ED7">
        <w:rPr>
          <w:rFonts w:eastAsia="Calibri" w:cs="Times New Roman"/>
          <w:szCs w:val="24"/>
          <w:lang w:val="sr-Cyrl-CS"/>
        </w:rPr>
        <w:t>додатних протокола, као и активности НКТОТ на плану олакшања трговине имаће значајан утицај на уклањање трговинских баријера, а самим тим и на повећање конкурентности српских предузећа на регионалном тржишту, као и на раст и даљи развој српске економије. Позитиван утицај на конкурентност се огледа, између осталог, и на смањење трошкова обављања спољнотрговинског промета робе, скраћење временског оквира за обављање процедура на граничним прелазима, као и међусобно признавање исправа и наставак усклађивања са ЕУ регулативом у области слободног протока робе.</w:t>
      </w:r>
    </w:p>
    <w:p w14:paraId="22E80736" w14:textId="77777777" w:rsidR="00D210F0" w:rsidRPr="00092ED7" w:rsidRDefault="00D210F0" w:rsidP="00071952">
      <w:pPr>
        <w:widowControl w:val="0"/>
        <w:numPr>
          <w:ilvl w:val="0"/>
          <w:numId w:val="34"/>
        </w:numPr>
        <w:spacing w:before="120"/>
        <w:ind w:left="425" w:hanging="425"/>
        <w:rPr>
          <w:rFonts w:cs="Times New Roman"/>
          <w:b/>
          <w:bCs/>
          <w:szCs w:val="24"/>
          <w:lang w:val="sr-Cyrl-CS"/>
        </w:rPr>
      </w:pPr>
      <w:r w:rsidRPr="00092ED7">
        <w:rPr>
          <w:b/>
          <w:szCs w:val="24"/>
          <w:lang w:val="sr-Cyrl-CS"/>
        </w:rPr>
        <w:t>Процењени трошкови спровођења структурне реформе и предвиђени извори њиховог финансирања</w:t>
      </w:r>
    </w:p>
    <w:p w14:paraId="3A695A5D" w14:textId="77777777" w:rsidR="00D8385F" w:rsidRPr="00092ED7" w:rsidRDefault="00D8385F" w:rsidP="009D4C3F">
      <w:pPr>
        <w:tabs>
          <w:tab w:val="left" w:pos="360"/>
        </w:tabs>
        <w:spacing w:after="60"/>
        <w:rPr>
          <w:rFonts w:eastAsia="Times New Roman" w:cs="Times New Roman"/>
          <w:color w:val="000000"/>
          <w:szCs w:val="24"/>
          <w:lang w:val="sr-Cyrl-CS"/>
        </w:rPr>
      </w:pPr>
      <w:r w:rsidRPr="00092ED7">
        <w:rPr>
          <w:rFonts w:cs="Times New Roman"/>
          <w:szCs w:val="24"/>
          <w:lang w:val="sr-Cyrl-CS"/>
        </w:rPr>
        <w:t xml:space="preserve">Спровођење наведених активности утицало је на буџет само у делу који се односи на повећање броја службеника који се баве овим пословима, у односу на 2019. годину која се узима као базна година. С тим у вези, планирано је додатно запошљавање два нова службеника у 2020. години и то је испуњено у потпуности. Обезбеђена су додатна средства за помоћ у реализацији планираних активности </w:t>
      </w:r>
      <w:r w:rsidRPr="00092ED7">
        <w:rPr>
          <w:rFonts w:cs="Times New Roman"/>
          <w:bCs/>
          <w:szCs w:val="24"/>
          <w:lang w:val="sr-Cyrl-CS"/>
        </w:rPr>
        <w:t>из донације</w:t>
      </w:r>
      <w:r w:rsidRPr="00092ED7">
        <w:rPr>
          <w:rFonts w:cs="Times New Roman"/>
          <w:szCs w:val="24"/>
          <w:lang w:val="sr-Cyrl-CS"/>
        </w:rPr>
        <w:t xml:space="preserve">  и то за период од 2022-2024. У том смислу, у 2023. и 2024. години планирано је да се утроши преостали износ помоћи и то 55 хиљада евра. Средства ће бити утрошена на унапређење капацитета у области трговинске политике, којима ће се, хоризонтално, подстаћи ефикасније спровођење наведених активности.</w:t>
      </w:r>
    </w:p>
    <w:p w14:paraId="76BC8104" w14:textId="77777777" w:rsidR="00D210F0" w:rsidRPr="00092ED7" w:rsidRDefault="00D210F0" w:rsidP="00071952">
      <w:pPr>
        <w:widowControl w:val="0"/>
        <w:numPr>
          <w:ilvl w:val="0"/>
          <w:numId w:val="34"/>
        </w:numPr>
        <w:spacing w:before="120"/>
        <w:ind w:left="425" w:hanging="425"/>
        <w:rPr>
          <w:rFonts w:cs="Times New Roman"/>
          <w:b/>
          <w:szCs w:val="24"/>
          <w:lang w:val="sr-Cyrl-CS"/>
        </w:rPr>
      </w:pPr>
      <w:r w:rsidRPr="00092ED7">
        <w:rPr>
          <w:rFonts w:cs="Times New Roman"/>
          <w:b/>
          <w:szCs w:val="24"/>
          <w:lang w:val="sr-Cyrl-CS"/>
        </w:rPr>
        <w:t>Очекивани утицај на социјалне циљеве, као што су запосленост, смањење сиромаштва, родна равноправност и приступ здравственој заштити</w:t>
      </w:r>
    </w:p>
    <w:p w14:paraId="38AE717C" w14:textId="77777777" w:rsidR="00D210F0" w:rsidRPr="00092ED7" w:rsidRDefault="00727B17" w:rsidP="009D4C3F">
      <w:pPr>
        <w:spacing w:after="60"/>
        <w:rPr>
          <w:lang w:val="sr-Cyrl-CS"/>
        </w:rPr>
      </w:pPr>
      <w:r w:rsidRPr="00092ED7">
        <w:rPr>
          <w:rFonts w:eastAsia="Calibri" w:cs="Times New Roman"/>
          <w:szCs w:val="24"/>
          <w:lang w:val="sr-Cyrl-CS"/>
        </w:rPr>
        <w:t>Структурна реформа има позитиван утицај на пораст запошљавања кроз укључивање локалног тржишта у тржишну европску утакмицу, што ће на индиректан начин утицати и на смањење сиромаштва. Позитивно утиче на остваривање принципа родне равноправности, док је по питању приступа здравственој заштити неутрална.</w:t>
      </w:r>
    </w:p>
    <w:p w14:paraId="174485C7" w14:textId="77777777" w:rsidR="00D210F0" w:rsidRPr="00092ED7" w:rsidRDefault="00D210F0" w:rsidP="00071952">
      <w:pPr>
        <w:widowControl w:val="0"/>
        <w:numPr>
          <w:ilvl w:val="0"/>
          <w:numId w:val="34"/>
        </w:numPr>
        <w:spacing w:before="120"/>
        <w:ind w:left="425" w:hanging="425"/>
        <w:rPr>
          <w:rFonts w:cs="Times New Roman"/>
          <w:b/>
          <w:szCs w:val="24"/>
          <w:lang w:val="sr-Cyrl-CS"/>
        </w:rPr>
      </w:pPr>
      <w:r w:rsidRPr="00092ED7">
        <w:rPr>
          <w:rFonts w:cs="Times New Roman"/>
          <w:b/>
          <w:szCs w:val="24"/>
          <w:lang w:val="sr-Cyrl-CS"/>
        </w:rPr>
        <w:t>Очекивани утицај на животну средину и климатске промене</w:t>
      </w:r>
    </w:p>
    <w:p w14:paraId="3ACCF411" w14:textId="2088AC34" w:rsidR="00BA1B20" w:rsidRDefault="00D210F0" w:rsidP="009D4C3F">
      <w:pPr>
        <w:tabs>
          <w:tab w:val="left" w:pos="360"/>
        </w:tabs>
        <w:spacing w:after="60"/>
        <w:rPr>
          <w:rFonts w:eastAsia="Calibri" w:cs="Times New Roman"/>
          <w:szCs w:val="24"/>
          <w:lang w:val="sr-Cyrl-CS"/>
        </w:rPr>
      </w:pPr>
      <w:r w:rsidRPr="00092ED7">
        <w:rPr>
          <w:rFonts w:eastAsia="Calibri" w:cs="Times New Roman"/>
          <w:szCs w:val="24"/>
          <w:lang w:val="sr-Cyrl-CS"/>
        </w:rPr>
        <w:t>Структурна реформа је неутрална у смислу утицаја на животну средину и климатске промене.</w:t>
      </w:r>
    </w:p>
    <w:p w14:paraId="3642FF50" w14:textId="77777777" w:rsidR="00BA1B20" w:rsidRDefault="00BA1B20">
      <w:pPr>
        <w:spacing w:after="160" w:line="259" w:lineRule="auto"/>
        <w:jc w:val="left"/>
        <w:rPr>
          <w:rFonts w:eastAsia="Calibri" w:cs="Times New Roman"/>
          <w:szCs w:val="24"/>
          <w:lang w:val="sr-Cyrl-CS"/>
        </w:rPr>
      </w:pPr>
      <w:r>
        <w:rPr>
          <w:rFonts w:eastAsia="Calibri" w:cs="Times New Roman"/>
          <w:szCs w:val="24"/>
          <w:lang w:val="sr-Cyrl-CS"/>
        </w:rPr>
        <w:br w:type="page"/>
      </w:r>
    </w:p>
    <w:p w14:paraId="63BC02AC" w14:textId="77777777" w:rsidR="00D210F0" w:rsidRPr="00092ED7" w:rsidRDefault="00D210F0" w:rsidP="00071952">
      <w:pPr>
        <w:widowControl w:val="0"/>
        <w:numPr>
          <w:ilvl w:val="0"/>
          <w:numId w:val="34"/>
        </w:numPr>
        <w:spacing w:before="120"/>
        <w:ind w:left="425" w:hanging="425"/>
        <w:rPr>
          <w:rFonts w:cs="Times New Roman"/>
          <w:b/>
          <w:szCs w:val="24"/>
          <w:lang w:val="sr-Cyrl-CS"/>
        </w:rPr>
      </w:pPr>
      <w:r w:rsidRPr="00092ED7">
        <w:rPr>
          <w:rFonts w:cs="Times New Roman"/>
          <w:b/>
          <w:szCs w:val="24"/>
          <w:lang w:val="sr-Cyrl-CS"/>
        </w:rPr>
        <w:t>Потенцијални ризици</w:t>
      </w:r>
    </w:p>
    <w:tbl>
      <w:tblPr>
        <w:tblStyle w:val="TableGrid"/>
        <w:tblW w:w="9067" w:type="dxa"/>
        <w:jc w:val="center"/>
        <w:tblLayout w:type="fixed"/>
        <w:tblLook w:val="04A0" w:firstRow="1" w:lastRow="0" w:firstColumn="1" w:lastColumn="0" w:noHBand="0" w:noVBand="1"/>
      </w:tblPr>
      <w:tblGrid>
        <w:gridCol w:w="3964"/>
        <w:gridCol w:w="1932"/>
        <w:gridCol w:w="3171"/>
      </w:tblGrid>
      <w:tr w:rsidR="00D210F0" w:rsidRPr="00092ED7" w14:paraId="4DCDA5CD" w14:textId="77777777" w:rsidTr="00BA1B20">
        <w:trPr>
          <w:cnfStyle w:val="100000000000" w:firstRow="1" w:lastRow="0" w:firstColumn="0" w:lastColumn="0" w:oddVBand="0" w:evenVBand="0" w:oddHBand="0" w:evenHBand="0" w:firstRowFirstColumn="0" w:firstRowLastColumn="0" w:lastRowFirstColumn="0" w:lastRowLastColumn="0"/>
          <w:jc w:val="center"/>
        </w:trPr>
        <w:tc>
          <w:tcPr>
            <w:tcW w:w="3964" w:type="dxa"/>
            <w:tcBorders>
              <w:top w:val="single" w:sz="4" w:space="0" w:color="auto"/>
              <w:left w:val="single" w:sz="4" w:space="0" w:color="auto"/>
              <w:bottom w:val="single" w:sz="4" w:space="0" w:color="auto"/>
              <w:right w:val="single" w:sz="4" w:space="0" w:color="auto"/>
            </w:tcBorders>
            <w:hideMark/>
          </w:tcPr>
          <w:p w14:paraId="3EBF59CD"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1932" w:type="dxa"/>
            <w:tcBorders>
              <w:top w:val="single" w:sz="4" w:space="0" w:color="auto"/>
              <w:left w:val="single" w:sz="4" w:space="0" w:color="auto"/>
              <w:bottom w:val="single" w:sz="4" w:space="0" w:color="auto"/>
              <w:right w:val="single" w:sz="4" w:space="0" w:color="auto"/>
            </w:tcBorders>
            <w:hideMark/>
          </w:tcPr>
          <w:p w14:paraId="4DE4D4BB"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171" w:type="dxa"/>
            <w:tcBorders>
              <w:top w:val="single" w:sz="4" w:space="0" w:color="auto"/>
              <w:left w:val="single" w:sz="4" w:space="0" w:color="auto"/>
              <w:bottom w:val="single" w:sz="4" w:space="0" w:color="auto"/>
              <w:right w:val="single" w:sz="4" w:space="0" w:color="auto"/>
            </w:tcBorders>
            <w:hideMark/>
          </w:tcPr>
          <w:p w14:paraId="5EC1D9CE"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739478E6" w14:textId="77777777" w:rsidTr="00BA1B20">
        <w:trPr>
          <w:jc w:val="center"/>
        </w:trPr>
        <w:tc>
          <w:tcPr>
            <w:tcW w:w="3964" w:type="dxa"/>
            <w:tcBorders>
              <w:top w:val="single" w:sz="4" w:space="0" w:color="auto"/>
              <w:left w:val="single" w:sz="4" w:space="0" w:color="auto"/>
              <w:bottom w:val="single" w:sz="4" w:space="0" w:color="auto"/>
              <w:right w:val="single" w:sz="4" w:space="0" w:color="auto"/>
            </w:tcBorders>
            <w:vAlign w:val="top"/>
          </w:tcPr>
          <w:p w14:paraId="655E8DE0" w14:textId="1129F121" w:rsidR="00D210F0" w:rsidRPr="00092ED7" w:rsidRDefault="00D210F0" w:rsidP="00757D8D">
            <w:pPr>
              <w:spacing w:before="0" w:after="0"/>
              <w:ind w:left="113" w:right="113"/>
              <w:rPr>
                <w:rFonts w:eastAsia="Calibri" w:cs="Times New Roman"/>
                <w:sz w:val="20"/>
                <w:lang w:val="sr-Cyrl-CS"/>
              </w:rPr>
            </w:pPr>
            <w:r w:rsidRPr="00092ED7">
              <w:rPr>
                <w:rFonts w:eastAsia="Calibri" w:cs="Times New Roman"/>
                <w:sz w:val="20"/>
                <w:lang w:val="sr-Cyrl-CS"/>
              </w:rPr>
              <w:t>Криза услед актуелне геополитичке ситуације у свету - потенцијално увођење ванредних трговинских мера од стране најзначајнијих спољнотрговинских партнера, као и са стране Р</w:t>
            </w:r>
            <w:r w:rsidR="00AA7059" w:rsidRPr="00092ED7">
              <w:rPr>
                <w:rFonts w:eastAsia="Calibri" w:cs="Times New Roman"/>
                <w:sz w:val="20"/>
                <w:lang w:val="sr-Cyrl-CS"/>
              </w:rPr>
              <w:t xml:space="preserve">епублике </w:t>
            </w:r>
            <w:r w:rsidRPr="00092ED7">
              <w:rPr>
                <w:rFonts w:eastAsia="Calibri" w:cs="Times New Roman"/>
                <w:sz w:val="20"/>
                <w:lang w:val="sr-Cyrl-CS"/>
              </w:rPr>
              <w:t>С</w:t>
            </w:r>
            <w:r w:rsidR="00AA7059" w:rsidRPr="00092ED7">
              <w:rPr>
                <w:rFonts w:eastAsia="Calibri" w:cs="Times New Roman"/>
                <w:sz w:val="20"/>
                <w:lang w:val="sr-Cyrl-CS"/>
              </w:rPr>
              <w:t>рбије</w:t>
            </w:r>
            <w:r w:rsidRPr="00092ED7">
              <w:rPr>
                <w:rFonts w:eastAsia="Calibri" w:cs="Times New Roman"/>
                <w:sz w:val="20"/>
                <w:lang w:val="sr-Cyrl-CS"/>
              </w:rPr>
              <w:t xml:space="preserve"> </w:t>
            </w:r>
          </w:p>
        </w:tc>
        <w:tc>
          <w:tcPr>
            <w:tcW w:w="1932" w:type="dxa"/>
            <w:tcBorders>
              <w:top w:val="single" w:sz="4" w:space="0" w:color="auto"/>
              <w:left w:val="single" w:sz="4" w:space="0" w:color="auto"/>
              <w:bottom w:val="single" w:sz="4" w:space="0" w:color="auto"/>
              <w:right w:val="single" w:sz="4" w:space="0" w:color="auto"/>
            </w:tcBorders>
            <w:vAlign w:val="top"/>
          </w:tcPr>
          <w:p w14:paraId="7775B37F" w14:textId="77777777" w:rsidR="00D210F0" w:rsidRPr="00092ED7" w:rsidRDefault="00D210F0" w:rsidP="00757D8D">
            <w:pPr>
              <w:spacing w:before="0" w:after="0"/>
              <w:ind w:left="113" w:right="113"/>
              <w:jc w:val="center"/>
              <w:rPr>
                <w:rFonts w:cs="Times New Roman"/>
                <w:bCs/>
                <w:sz w:val="20"/>
                <w:lang w:val="sr-Cyrl-CS"/>
              </w:rPr>
            </w:pPr>
            <w:r w:rsidRPr="00092ED7">
              <w:rPr>
                <w:rFonts w:cs="Times New Roman"/>
                <w:bCs/>
                <w:sz w:val="20"/>
                <w:lang w:val="sr-Cyrl-CS"/>
              </w:rPr>
              <w:t>Средња</w:t>
            </w:r>
          </w:p>
        </w:tc>
        <w:tc>
          <w:tcPr>
            <w:tcW w:w="3171" w:type="dxa"/>
            <w:tcBorders>
              <w:top w:val="single" w:sz="4" w:space="0" w:color="auto"/>
              <w:left w:val="single" w:sz="4" w:space="0" w:color="auto"/>
              <w:bottom w:val="single" w:sz="4" w:space="0" w:color="auto"/>
              <w:right w:val="single" w:sz="4" w:space="0" w:color="auto"/>
            </w:tcBorders>
          </w:tcPr>
          <w:p w14:paraId="79740944" w14:textId="77777777" w:rsidR="00D210F0" w:rsidRPr="00092ED7" w:rsidRDefault="00D210F0" w:rsidP="00B57FE8">
            <w:pPr>
              <w:spacing w:before="0" w:after="0"/>
              <w:ind w:left="113" w:right="113"/>
              <w:rPr>
                <w:rFonts w:cs="Times New Roman"/>
                <w:b/>
                <w:sz w:val="20"/>
                <w:lang w:val="sr-Cyrl-CS"/>
              </w:rPr>
            </w:pPr>
            <w:r w:rsidRPr="00092ED7">
              <w:rPr>
                <w:rFonts w:eastAsia="Calibri" w:cs="Times New Roman"/>
                <w:sz w:val="20"/>
                <w:lang w:val="sr-Cyrl-CS"/>
              </w:rPr>
              <w:t>Координација са најважнијим трговинским партнерима у циљу амортизације негативних ефеката потенцијалних трговинских ограничења.</w:t>
            </w:r>
          </w:p>
        </w:tc>
      </w:tr>
      <w:tr w:rsidR="00D210F0" w:rsidRPr="00092ED7" w14:paraId="23AD4A1C" w14:textId="77777777" w:rsidTr="00BA1B20">
        <w:trPr>
          <w:jc w:val="center"/>
        </w:trPr>
        <w:tc>
          <w:tcPr>
            <w:tcW w:w="3964" w:type="dxa"/>
            <w:tcBorders>
              <w:top w:val="single" w:sz="4" w:space="0" w:color="auto"/>
              <w:left w:val="single" w:sz="4" w:space="0" w:color="auto"/>
              <w:bottom w:val="single" w:sz="4" w:space="0" w:color="auto"/>
              <w:right w:val="single" w:sz="4" w:space="0" w:color="auto"/>
            </w:tcBorders>
            <w:vAlign w:val="top"/>
          </w:tcPr>
          <w:p w14:paraId="21EF11DB" w14:textId="77777777" w:rsidR="00D210F0" w:rsidRPr="00092ED7" w:rsidRDefault="00D210F0" w:rsidP="00757D8D">
            <w:pPr>
              <w:spacing w:before="0" w:after="0"/>
              <w:ind w:left="113" w:right="113"/>
              <w:rPr>
                <w:rFonts w:eastAsia="Calibri" w:cs="Times New Roman"/>
                <w:sz w:val="20"/>
                <w:lang w:val="sr-Cyrl-CS"/>
              </w:rPr>
            </w:pPr>
            <w:r w:rsidRPr="00092ED7">
              <w:rPr>
                <w:rFonts w:eastAsia="Calibri" w:cs="Times New Roman"/>
                <w:sz w:val="20"/>
                <w:lang w:val="sr-Cyrl-CS"/>
              </w:rPr>
              <w:t>Приступање СТО подразумева мултилатералне преговоре, па окончање процеса зависи и од других учесника (чланица СТО, при чему су поједине директно укључене у актуелну ситуацију у Украјини)</w:t>
            </w:r>
          </w:p>
        </w:tc>
        <w:tc>
          <w:tcPr>
            <w:tcW w:w="1932" w:type="dxa"/>
            <w:tcBorders>
              <w:top w:val="single" w:sz="4" w:space="0" w:color="auto"/>
              <w:left w:val="single" w:sz="4" w:space="0" w:color="auto"/>
              <w:bottom w:val="single" w:sz="4" w:space="0" w:color="auto"/>
              <w:right w:val="single" w:sz="4" w:space="0" w:color="auto"/>
            </w:tcBorders>
            <w:vAlign w:val="top"/>
          </w:tcPr>
          <w:p w14:paraId="6B8CD39A" w14:textId="77777777" w:rsidR="00D210F0" w:rsidRPr="00092ED7" w:rsidRDefault="00D210F0" w:rsidP="00757D8D">
            <w:pPr>
              <w:spacing w:before="0" w:after="0"/>
              <w:ind w:left="113" w:right="113"/>
              <w:jc w:val="center"/>
              <w:rPr>
                <w:rFonts w:cs="Times New Roman"/>
                <w:b/>
                <w:sz w:val="20"/>
                <w:lang w:val="sr-Cyrl-CS"/>
              </w:rPr>
            </w:pPr>
            <w:r w:rsidRPr="00092ED7">
              <w:rPr>
                <w:rFonts w:eastAsia="Calibri" w:cs="Times New Roman"/>
                <w:sz w:val="20"/>
                <w:lang w:val="sr-Cyrl-CS"/>
              </w:rPr>
              <w:t>Висока</w:t>
            </w:r>
          </w:p>
        </w:tc>
        <w:tc>
          <w:tcPr>
            <w:tcW w:w="3171" w:type="dxa"/>
            <w:tcBorders>
              <w:top w:val="single" w:sz="4" w:space="0" w:color="auto"/>
              <w:left w:val="single" w:sz="4" w:space="0" w:color="auto"/>
              <w:bottom w:val="single" w:sz="4" w:space="0" w:color="auto"/>
              <w:right w:val="single" w:sz="4" w:space="0" w:color="auto"/>
            </w:tcBorders>
          </w:tcPr>
          <w:p w14:paraId="149E9B02" w14:textId="77777777" w:rsidR="00D210F0" w:rsidRPr="00092ED7" w:rsidRDefault="00D210F0" w:rsidP="00B57FE8">
            <w:pPr>
              <w:spacing w:before="0" w:after="0"/>
              <w:ind w:left="113" w:right="113"/>
              <w:rPr>
                <w:rFonts w:cs="Times New Roman"/>
                <w:b/>
                <w:sz w:val="20"/>
                <w:lang w:val="sr-Cyrl-CS"/>
              </w:rPr>
            </w:pPr>
            <w:r w:rsidRPr="00092ED7">
              <w:rPr>
                <w:rFonts w:eastAsia="Calibri" w:cs="Times New Roman"/>
                <w:sz w:val="20"/>
                <w:lang w:val="sr-Cyrl-CS"/>
              </w:rPr>
              <w:t xml:space="preserve">Затварање билатералних преговора са чланицама СТО. С тим у вези, доношење закона о ГМО олакшаће билатералне преговоре са неким чланицама СТО. </w:t>
            </w:r>
          </w:p>
        </w:tc>
      </w:tr>
      <w:tr w:rsidR="00D210F0" w:rsidRPr="00092ED7" w14:paraId="1976AF10" w14:textId="77777777" w:rsidTr="00BA1B20">
        <w:trPr>
          <w:jc w:val="center"/>
        </w:trPr>
        <w:tc>
          <w:tcPr>
            <w:tcW w:w="3964" w:type="dxa"/>
            <w:tcBorders>
              <w:top w:val="single" w:sz="4" w:space="0" w:color="auto"/>
              <w:left w:val="single" w:sz="4" w:space="0" w:color="auto"/>
              <w:bottom w:val="single" w:sz="4" w:space="0" w:color="auto"/>
              <w:right w:val="single" w:sz="4" w:space="0" w:color="auto"/>
            </w:tcBorders>
            <w:vAlign w:val="top"/>
          </w:tcPr>
          <w:p w14:paraId="4A00D85B" w14:textId="77777777" w:rsidR="00D210F0" w:rsidRPr="00092ED7" w:rsidRDefault="00D210F0" w:rsidP="00757D8D">
            <w:pPr>
              <w:spacing w:before="0" w:after="0"/>
              <w:rPr>
                <w:rFonts w:eastAsia="Calibri" w:cs="Times New Roman"/>
                <w:sz w:val="20"/>
                <w:lang w:val="sr-Cyrl-CS"/>
              </w:rPr>
            </w:pPr>
            <w:r w:rsidRPr="00092ED7">
              <w:rPr>
                <w:rFonts w:eastAsia="Calibri" w:cs="Times New Roman"/>
                <w:sz w:val="20"/>
                <w:lang w:val="sr-Cyrl-CS"/>
              </w:rPr>
              <w:t>Увођење заштитних мера ЕУ (на одређене производе од челика)</w:t>
            </w:r>
          </w:p>
        </w:tc>
        <w:tc>
          <w:tcPr>
            <w:tcW w:w="1932" w:type="dxa"/>
            <w:tcBorders>
              <w:top w:val="single" w:sz="4" w:space="0" w:color="auto"/>
              <w:left w:val="single" w:sz="4" w:space="0" w:color="auto"/>
              <w:bottom w:val="single" w:sz="4" w:space="0" w:color="auto"/>
              <w:right w:val="single" w:sz="4" w:space="0" w:color="auto"/>
            </w:tcBorders>
            <w:vAlign w:val="top"/>
          </w:tcPr>
          <w:p w14:paraId="1D790024" w14:textId="77777777" w:rsidR="00D210F0" w:rsidRPr="00092ED7" w:rsidRDefault="00D210F0" w:rsidP="00757D8D">
            <w:pPr>
              <w:spacing w:before="0" w:after="0"/>
              <w:jc w:val="center"/>
              <w:rPr>
                <w:rFonts w:cs="Times New Roman"/>
                <w:b/>
                <w:sz w:val="20"/>
                <w:lang w:val="sr-Cyrl-CS"/>
              </w:rPr>
            </w:pPr>
            <w:r w:rsidRPr="00092ED7">
              <w:rPr>
                <w:rFonts w:eastAsia="Calibri" w:cs="Times New Roman"/>
                <w:sz w:val="20"/>
                <w:lang w:val="sr-Cyrl-CS"/>
              </w:rPr>
              <w:t>Висока</w:t>
            </w:r>
          </w:p>
        </w:tc>
        <w:tc>
          <w:tcPr>
            <w:tcW w:w="3171" w:type="dxa"/>
            <w:tcBorders>
              <w:top w:val="single" w:sz="4" w:space="0" w:color="auto"/>
              <w:left w:val="single" w:sz="4" w:space="0" w:color="auto"/>
              <w:bottom w:val="single" w:sz="4" w:space="0" w:color="auto"/>
              <w:right w:val="single" w:sz="4" w:space="0" w:color="auto"/>
            </w:tcBorders>
          </w:tcPr>
          <w:p w14:paraId="460719D4" w14:textId="2731D79E" w:rsidR="00D210F0" w:rsidRPr="00092ED7" w:rsidRDefault="00D210F0" w:rsidP="00B57FE8">
            <w:pPr>
              <w:spacing w:before="0" w:after="0"/>
              <w:rPr>
                <w:rFonts w:eastAsia="Calibri" w:cs="Times New Roman"/>
                <w:sz w:val="20"/>
                <w:lang w:val="sr-Cyrl-CS"/>
              </w:rPr>
            </w:pPr>
            <w:r w:rsidRPr="00092ED7">
              <w:rPr>
                <w:rFonts w:eastAsia="Calibri" w:cs="Times New Roman"/>
                <w:sz w:val="20"/>
                <w:lang w:val="sr-Cyrl-CS"/>
              </w:rPr>
              <w:t xml:space="preserve">Активности на искључивању </w:t>
            </w:r>
            <w:r w:rsidR="00C758DF" w:rsidRPr="00092ED7">
              <w:rPr>
                <w:rFonts w:eastAsia="Calibri" w:cs="Times New Roman"/>
                <w:sz w:val="20"/>
                <w:lang w:val="sr-Cyrl-CS"/>
              </w:rPr>
              <w:t xml:space="preserve">Републике </w:t>
            </w:r>
            <w:r w:rsidRPr="00092ED7">
              <w:rPr>
                <w:rFonts w:eastAsia="Calibri" w:cs="Times New Roman"/>
                <w:sz w:val="20"/>
                <w:lang w:val="sr-Cyrl-CS"/>
              </w:rPr>
              <w:t>Србије са листе земаља на које се примењују ЕУ заштитне мере.</w:t>
            </w:r>
          </w:p>
        </w:tc>
      </w:tr>
    </w:tbl>
    <w:p w14:paraId="7926B281" w14:textId="77777777" w:rsidR="00D210F0" w:rsidRPr="00092ED7" w:rsidRDefault="00D210F0" w:rsidP="00D210F0">
      <w:pPr>
        <w:keepNext/>
        <w:keepLines/>
        <w:shd w:val="clear" w:color="auto" w:fill="D9D9D9" w:themeFill="background1" w:themeFillShade="D9"/>
        <w:spacing w:before="360"/>
        <w:outlineLvl w:val="2"/>
        <w:rPr>
          <w:rFonts w:eastAsiaTheme="majorEastAsia" w:cstheme="majorBidi"/>
          <w:b/>
          <w:bCs/>
          <w:i/>
          <w:lang w:val="sr-Cyrl-CS"/>
        </w:rPr>
      </w:pPr>
      <w:bookmarkStart w:id="80" w:name="_Toc124174814"/>
      <w:bookmarkStart w:id="81" w:name="_Toc126218633"/>
      <w:r w:rsidRPr="00092ED7">
        <w:rPr>
          <w:rFonts w:eastAsiaTheme="majorEastAsia" w:cstheme="majorBidi"/>
          <w:b/>
          <w:lang w:val="sr-Cyrl-CS"/>
        </w:rPr>
        <w:t>5.2.7. Област РЕФОРМА ТРЖИШТА ЕНЕРГЕТИКЕ</w:t>
      </w:r>
      <w:bookmarkEnd w:id="80"/>
      <w:bookmarkEnd w:id="81"/>
    </w:p>
    <w:p w14:paraId="5C9AF9D2" w14:textId="77777777" w:rsidR="00D210F0" w:rsidRPr="00092ED7" w:rsidRDefault="00D210F0" w:rsidP="00D210F0">
      <w:pPr>
        <w:spacing w:before="120"/>
        <w:rPr>
          <w:rFonts w:eastAsia="Times New Roman" w:cs="Times New Roman"/>
          <w:szCs w:val="24"/>
          <w:lang w:val="sr-Cyrl-CS"/>
        </w:rPr>
      </w:pPr>
      <w:r w:rsidRPr="00092ED7">
        <w:rPr>
          <w:rFonts w:cs="Times New Roman"/>
          <w:noProof/>
          <w:szCs w:val="24"/>
          <w:lang w:val="sr-Cyrl-CS"/>
        </w:rPr>
        <w:t xml:space="preserve">Ова област и релевантне реформе анализирани су у одељку 5.1. под </w:t>
      </w:r>
      <w:r w:rsidRPr="00092ED7">
        <w:rPr>
          <w:rFonts w:cs="Times New Roman"/>
          <w:i/>
          <w:noProof/>
          <w:szCs w:val="24"/>
          <w:lang w:val="sr-Cyrl-CS"/>
        </w:rPr>
        <w:t>Кључним изазовом број 3. Озелењавање енергетског сектора и потпуно отварање енергетског тржишта</w:t>
      </w:r>
      <w:r w:rsidRPr="00092ED7">
        <w:rPr>
          <w:rFonts w:cs="Times New Roman"/>
          <w:noProof/>
          <w:szCs w:val="24"/>
          <w:lang w:val="sr-Cyrl-CS"/>
        </w:rPr>
        <w:t>.</w:t>
      </w:r>
    </w:p>
    <w:p w14:paraId="406EC9FA" w14:textId="77777777" w:rsidR="00D210F0" w:rsidRPr="00092ED7" w:rsidRDefault="00D210F0" w:rsidP="00D210F0">
      <w:pPr>
        <w:keepNext/>
        <w:keepLines/>
        <w:shd w:val="clear" w:color="auto" w:fill="D9D9D9" w:themeFill="background1" w:themeFillShade="D9"/>
        <w:spacing w:before="360"/>
        <w:outlineLvl w:val="2"/>
        <w:rPr>
          <w:rFonts w:eastAsiaTheme="majorEastAsia" w:cstheme="majorBidi"/>
          <w:b/>
          <w:bCs/>
          <w:i/>
          <w:lang w:val="sr-Cyrl-CS"/>
        </w:rPr>
      </w:pPr>
      <w:bookmarkStart w:id="82" w:name="_Toc124174815"/>
      <w:bookmarkStart w:id="83" w:name="_Toc126218634"/>
      <w:r w:rsidRPr="00092ED7">
        <w:rPr>
          <w:rFonts w:eastAsiaTheme="majorEastAsia" w:cstheme="majorBidi"/>
          <w:b/>
          <w:lang w:val="sr-Cyrl-CS"/>
        </w:rPr>
        <w:t>5.2.8. Област РЕФОРМА ТРЖИШТА ТРАНСПОРТА</w:t>
      </w:r>
      <w:bookmarkEnd w:id="82"/>
      <w:bookmarkEnd w:id="83"/>
    </w:p>
    <w:p w14:paraId="754749BE" w14:textId="70393354" w:rsidR="00D210F0" w:rsidRPr="00092ED7" w:rsidRDefault="00D210F0" w:rsidP="00D210F0">
      <w:pPr>
        <w:spacing w:before="120"/>
        <w:rPr>
          <w:rFonts w:eastAsia="Times New Roman" w:cs="Times New Roman"/>
          <w:szCs w:val="24"/>
          <w:lang w:val="sr-Cyrl-CS"/>
        </w:rPr>
      </w:pPr>
      <w:r w:rsidRPr="00092ED7">
        <w:rPr>
          <w:rFonts w:eastAsia="Times New Roman" w:cs="Times New Roman"/>
          <w:b/>
          <w:szCs w:val="24"/>
          <w:lang w:val="sr-Cyrl-CS"/>
        </w:rPr>
        <w:t xml:space="preserve">а) Анализа главних </w:t>
      </w:r>
      <w:r w:rsidR="00515D4D" w:rsidRPr="00092ED7">
        <w:rPr>
          <w:rFonts w:eastAsia="Times New Roman" w:cs="Times New Roman"/>
          <w:b/>
          <w:szCs w:val="24"/>
          <w:lang w:val="sr-Cyrl-CS"/>
        </w:rPr>
        <w:t>изазова</w:t>
      </w:r>
    </w:p>
    <w:p w14:paraId="4AE4FAA1" w14:textId="5D7309DC" w:rsidR="00D210F0" w:rsidRPr="00092ED7" w:rsidRDefault="00D210F0" w:rsidP="00D210F0">
      <w:pPr>
        <w:spacing w:after="60"/>
        <w:rPr>
          <w:rFonts w:eastAsia="Calibri" w:cs="Times New Roman"/>
          <w:szCs w:val="24"/>
          <w:lang w:val="sr-Cyrl-CS"/>
        </w:rPr>
      </w:pPr>
      <w:r w:rsidRPr="00092ED7">
        <w:rPr>
          <w:rFonts w:eastAsia="Calibri" w:cs="Times New Roman"/>
          <w:b/>
          <w:szCs w:val="24"/>
          <w:lang w:val="sr-Cyrl-CS"/>
        </w:rPr>
        <w:t xml:space="preserve">У области транспорта постоји </w:t>
      </w:r>
      <w:r w:rsidR="003051FE" w:rsidRPr="00092ED7">
        <w:rPr>
          <w:rFonts w:eastAsia="Calibri" w:cs="Times New Roman"/>
          <w:b/>
          <w:szCs w:val="24"/>
          <w:lang w:val="sr-Cyrl-CS"/>
        </w:rPr>
        <w:t xml:space="preserve">добра </w:t>
      </w:r>
      <w:r w:rsidRPr="00092ED7">
        <w:rPr>
          <w:rFonts w:eastAsia="Calibri" w:cs="Times New Roman"/>
          <w:b/>
          <w:szCs w:val="24"/>
          <w:lang w:val="sr-Cyrl-CS"/>
        </w:rPr>
        <w:t xml:space="preserve">усаглашеност са правним тековинама ЕУ. </w:t>
      </w:r>
      <w:r w:rsidRPr="00092ED7">
        <w:rPr>
          <w:rFonts w:eastAsia="Calibri" w:cs="Times New Roman"/>
          <w:szCs w:val="24"/>
          <w:lang w:val="sr-Cyrl-CS"/>
        </w:rPr>
        <w:t>Потребно је усвојити свеобухватну стратегију развоја саобраћаја и општи мастер план, стратегију интелигентних транспортних система и акциони план, поједноставити процедуре на граничним прелазима, успоставити планове одржавања железничке и путне инфраструктуре засноване на процењеним трошковима, унапредити ниво безбедности и квалитет инстраструктуре у саобраћају, ојачати институционалне капацитете и успоставити комбиновани/интермодални транспорт.</w:t>
      </w:r>
    </w:p>
    <w:p w14:paraId="4D6FCF06" w14:textId="77777777" w:rsidR="00D210F0" w:rsidRPr="00092ED7" w:rsidRDefault="00D210F0" w:rsidP="00D210F0">
      <w:pPr>
        <w:spacing w:after="60"/>
        <w:rPr>
          <w:rFonts w:eastAsia="Calibri" w:cs="Times New Roman"/>
          <w:b/>
          <w:szCs w:val="24"/>
          <w:lang w:val="sr-Cyrl-CS"/>
        </w:rPr>
      </w:pPr>
      <w:r w:rsidRPr="00092ED7">
        <w:rPr>
          <w:rFonts w:eastAsia="Calibri" w:cs="Times New Roman"/>
          <w:szCs w:val="24"/>
          <w:lang w:val="sr-Cyrl-CS"/>
        </w:rPr>
        <w:t xml:space="preserve">С тим у вези, у претходном периоду је започета </w:t>
      </w:r>
      <w:r w:rsidRPr="00092ED7">
        <w:rPr>
          <w:rFonts w:eastAsia="Calibri" w:cs="Times New Roman"/>
          <w:b/>
          <w:szCs w:val="24"/>
          <w:lang w:val="sr-Cyrl-CS"/>
        </w:rPr>
        <w:t xml:space="preserve">израда </w:t>
      </w:r>
      <w:r w:rsidRPr="00092ED7">
        <w:rPr>
          <w:rFonts w:eastAsia="Calibri" w:cs="Times New Roman"/>
          <w:b/>
          <w:i/>
          <w:szCs w:val="24"/>
          <w:lang w:val="sr-Cyrl-CS"/>
        </w:rPr>
        <w:t>Националне стратегије развоја саобраћаја за период 2023-2030. године</w:t>
      </w:r>
      <w:r w:rsidRPr="00092ED7">
        <w:rPr>
          <w:rFonts w:eastAsia="Calibri" w:cs="Times New Roman"/>
          <w:szCs w:val="24"/>
          <w:lang w:val="sr-Cyrl-CS"/>
        </w:rPr>
        <w:t xml:space="preserve"> у оквиру Пројекта унапређења трговине</w:t>
      </w:r>
      <w:r w:rsidR="00B34232" w:rsidRPr="00092ED7">
        <w:rPr>
          <w:rFonts w:eastAsia="Calibri" w:cs="Times New Roman"/>
          <w:szCs w:val="24"/>
          <w:lang w:val="sr-Cyrl-CS"/>
        </w:rPr>
        <w:t xml:space="preserve"> и саобраћаја</w:t>
      </w:r>
      <w:r w:rsidRPr="00092ED7">
        <w:rPr>
          <w:rFonts w:eastAsia="Calibri" w:cs="Times New Roman"/>
          <w:szCs w:val="24"/>
          <w:lang w:val="sr-Cyrl-CS"/>
        </w:rPr>
        <w:t xml:space="preserve"> </w:t>
      </w:r>
      <w:r w:rsidR="00B34232" w:rsidRPr="00092ED7">
        <w:rPr>
          <w:rFonts w:eastAsia="Calibri" w:cs="Times New Roman"/>
          <w:szCs w:val="24"/>
          <w:lang w:val="sr-Cyrl-CS"/>
        </w:rPr>
        <w:t>Западног Балкана</w:t>
      </w:r>
      <w:r w:rsidRPr="00092ED7">
        <w:rPr>
          <w:rFonts w:eastAsia="Calibri" w:cs="Times New Roman"/>
          <w:szCs w:val="24"/>
          <w:lang w:val="sr-Cyrl-CS"/>
        </w:rPr>
        <w:t xml:space="preserve">. У склопу ових активности, биће припремљена и </w:t>
      </w:r>
      <w:r w:rsidRPr="00092ED7">
        <w:rPr>
          <w:rFonts w:eastAsia="Calibri" w:cs="Times New Roman"/>
          <w:b/>
          <w:i/>
          <w:szCs w:val="24"/>
          <w:lang w:val="sr-Cyrl-CS"/>
        </w:rPr>
        <w:t xml:space="preserve">Национална </w:t>
      </w:r>
      <w:r w:rsidR="00B34232" w:rsidRPr="00092ED7">
        <w:rPr>
          <w:rFonts w:eastAsia="Calibri" w:cs="Times New Roman"/>
          <w:b/>
          <w:i/>
          <w:szCs w:val="24"/>
          <w:lang w:val="sr-Cyrl-CS"/>
        </w:rPr>
        <w:t>стратегија</w:t>
      </w:r>
      <w:r w:rsidR="00B34232" w:rsidRPr="00092ED7">
        <w:rPr>
          <w:rFonts w:eastAsia="Calibri" w:cs="Times New Roman"/>
          <w:szCs w:val="24"/>
          <w:lang w:val="sr-Cyrl-CS"/>
        </w:rPr>
        <w:t xml:space="preserve"> </w:t>
      </w:r>
      <w:r w:rsidR="00B34232" w:rsidRPr="00092ED7">
        <w:rPr>
          <w:rFonts w:eastAsia="Calibri" w:cs="Times New Roman"/>
          <w:b/>
          <w:i/>
          <w:szCs w:val="24"/>
          <w:lang w:val="sr-Cyrl-CS"/>
        </w:rPr>
        <w:t xml:space="preserve">паметног саобраћајног система </w:t>
      </w:r>
      <w:r w:rsidR="00B34232" w:rsidRPr="00092ED7">
        <w:rPr>
          <w:rFonts w:eastAsia="Calibri" w:cs="Times New Roman"/>
          <w:i/>
          <w:szCs w:val="24"/>
          <w:lang w:val="sr-Cyrl-CS"/>
        </w:rPr>
        <w:t>(ITS стратегија)</w:t>
      </w:r>
      <w:r w:rsidR="00B34232" w:rsidRPr="00092ED7">
        <w:rPr>
          <w:rFonts w:eastAsia="Calibri" w:cs="Times New Roman"/>
          <w:szCs w:val="24"/>
          <w:lang w:val="sr-Cyrl-CS"/>
        </w:rPr>
        <w:t xml:space="preserve"> </w:t>
      </w:r>
      <w:r w:rsidRPr="00092ED7">
        <w:rPr>
          <w:rFonts w:eastAsia="Calibri" w:cs="Times New Roman"/>
          <w:szCs w:val="24"/>
          <w:lang w:val="sr-Cyrl-CS"/>
        </w:rPr>
        <w:t>која ће поред друмског обухватити и железнички саобраћај</w:t>
      </w:r>
      <w:r w:rsidR="00B34232" w:rsidRPr="00092ED7">
        <w:rPr>
          <w:rFonts w:eastAsia="Calibri" w:cs="Times New Roman"/>
          <w:szCs w:val="24"/>
          <w:lang w:val="sr-Cyrl-CS"/>
        </w:rPr>
        <w:t>,</w:t>
      </w:r>
      <w:r w:rsidRPr="00092ED7">
        <w:rPr>
          <w:rFonts w:eastAsia="Calibri" w:cs="Times New Roman"/>
          <w:szCs w:val="24"/>
          <w:lang w:val="sr-Cyrl-CS"/>
        </w:rPr>
        <w:t xml:space="preserve"> у смислу имплементације савремених </w:t>
      </w:r>
      <w:r w:rsidR="00B34232" w:rsidRPr="00092ED7">
        <w:rPr>
          <w:rFonts w:eastAsia="Calibri" w:cs="Times New Roman"/>
          <w:szCs w:val="24"/>
          <w:lang w:val="sr-Cyrl-CS"/>
        </w:rPr>
        <w:t xml:space="preserve">ITS </w:t>
      </w:r>
      <w:r w:rsidRPr="00092ED7">
        <w:rPr>
          <w:rFonts w:eastAsia="Calibri" w:cs="Times New Roman"/>
          <w:szCs w:val="24"/>
          <w:lang w:val="sr-Cyrl-CS"/>
        </w:rPr>
        <w:t xml:space="preserve">технологија и иновација. Припрема адекватне секторске стратегије, а нарочито израда </w:t>
      </w:r>
      <w:r w:rsidR="00B34232" w:rsidRPr="00092ED7">
        <w:rPr>
          <w:rFonts w:eastAsia="Calibri" w:cs="Times New Roman"/>
          <w:szCs w:val="24"/>
          <w:lang w:val="sr-Cyrl-CS"/>
        </w:rPr>
        <w:t>ITS</w:t>
      </w:r>
      <w:r w:rsidRPr="00092ED7">
        <w:rPr>
          <w:rFonts w:eastAsia="Calibri" w:cs="Times New Roman"/>
          <w:szCs w:val="24"/>
          <w:lang w:val="sr-Cyrl-CS"/>
        </w:rPr>
        <w:t xml:space="preserve"> </w:t>
      </w:r>
      <w:r w:rsidR="00B34232" w:rsidRPr="00092ED7">
        <w:rPr>
          <w:rFonts w:eastAsia="Calibri" w:cs="Times New Roman"/>
          <w:szCs w:val="24"/>
          <w:lang w:val="sr-Cyrl-CS"/>
        </w:rPr>
        <w:t xml:space="preserve">стратегије </w:t>
      </w:r>
      <w:r w:rsidRPr="00092ED7">
        <w:rPr>
          <w:rFonts w:eastAsia="Calibri" w:cs="Times New Roman"/>
          <w:szCs w:val="24"/>
          <w:lang w:val="sr-Cyrl-CS"/>
        </w:rPr>
        <w:t>ће довести до стварања одговарајућег правног оквира за даље унапређење инфраструктурних капацитета, али и безбедности саобраћајног система у целини.</w:t>
      </w:r>
    </w:p>
    <w:p w14:paraId="5565FF88" w14:textId="1F6DEAD9" w:rsidR="00D210F0" w:rsidRPr="00092ED7" w:rsidRDefault="00D210F0" w:rsidP="00D210F0">
      <w:pPr>
        <w:spacing w:after="60"/>
        <w:rPr>
          <w:rFonts w:eastAsia="Calibri" w:cs="Times New Roman"/>
          <w:bCs/>
          <w:szCs w:val="24"/>
          <w:lang w:val="sr-Cyrl-CS"/>
        </w:rPr>
      </w:pPr>
      <w:r w:rsidRPr="00092ED7">
        <w:rPr>
          <w:rFonts w:eastAsia="Calibri" w:cs="Times New Roman"/>
          <w:b/>
          <w:bCs/>
          <w:szCs w:val="24"/>
          <w:lang w:val="sr-Cyrl-CS"/>
        </w:rPr>
        <w:t xml:space="preserve">Потребно је довршити реконструкцију постојећих и изградити нове деонице путева. </w:t>
      </w:r>
      <w:r w:rsidRPr="00092ED7">
        <w:rPr>
          <w:rFonts w:eastAsia="Calibri" w:cs="Times New Roman"/>
          <w:bCs/>
          <w:szCs w:val="24"/>
          <w:lang w:val="sr-Cyrl-CS"/>
        </w:rPr>
        <w:t>Реализација инфраструктурних пројеката у великој мери зависи од дужине трајања поступака експропријације и ефикасности рада катастра непокретности.</w:t>
      </w:r>
      <w:r w:rsidRPr="00092ED7">
        <w:rPr>
          <w:rFonts w:eastAsia="Calibri" w:cs="Times New Roman"/>
          <w:b/>
          <w:bCs/>
          <w:szCs w:val="24"/>
          <w:lang w:val="sr-Cyrl-CS"/>
        </w:rPr>
        <w:t xml:space="preserve"> </w:t>
      </w:r>
      <w:r w:rsidRPr="00092ED7">
        <w:rPr>
          <w:rFonts w:eastAsia="Calibri" w:cs="Times New Roman"/>
          <w:bCs/>
          <w:szCs w:val="24"/>
          <w:lang w:val="sr-Cyrl-CS"/>
        </w:rPr>
        <w:t xml:space="preserve">У оквиру аутопута Рума-Шабац-Лозница почели су радови на изградњи саобраћајнице Шабац-Лозница дужине 55 </w:t>
      </w:r>
      <w:r w:rsidR="00C758DF" w:rsidRPr="00092ED7">
        <w:rPr>
          <w:rFonts w:eastAsia="Calibri" w:cs="Times New Roman"/>
          <w:bCs/>
          <w:szCs w:val="24"/>
          <w:lang w:val="sr-Cyrl-CS"/>
        </w:rPr>
        <w:t>km</w:t>
      </w:r>
      <w:r w:rsidRPr="00092ED7">
        <w:rPr>
          <w:rFonts w:eastAsia="Calibri" w:cs="Times New Roman"/>
          <w:bCs/>
          <w:szCs w:val="24"/>
          <w:lang w:val="sr-Cyrl-CS"/>
        </w:rPr>
        <w:t xml:space="preserve">, а планиран је завршетак радова до краја септембра 2024. У току су радови на релацији деонице Појате-Крушевац у оквиру Моравског коридора (Појате-Прељина 109,6 </w:t>
      </w:r>
      <w:r w:rsidR="00C758DF" w:rsidRPr="00092ED7">
        <w:rPr>
          <w:rFonts w:eastAsia="Calibri" w:cs="Times New Roman"/>
          <w:bCs/>
          <w:szCs w:val="24"/>
          <w:lang w:val="sr-Cyrl-CS"/>
        </w:rPr>
        <w:t>km</w:t>
      </w:r>
      <w:r w:rsidRPr="00092ED7">
        <w:rPr>
          <w:rFonts w:eastAsia="Calibri" w:cs="Times New Roman"/>
          <w:bCs/>
          <w:szCs w:val="24"/>
          <w:lang w:val="sr-Cyrl-CS"/>
        </w:rPr>
        <w:t xml:space="preserve">), а завршетак целог пројекта је планиран до марта 2024. Настављена је изградња аутопута Београд-Сарајево (деоница Сремска Рача-Кузмин 18 </w:t>
      </w:r>
      <w:r w:rsidR="00C758DF" w:rsidRPr="00092ED7">
        <w:rPr>
          <w:rFonts w:eastAsia="Calibri" w:cs="Times New Roman"/>
          <w:bCs/>
          <w:szCs w:val="24"/>
          <w:lang w:val="sr-Cyrl-CS"/>
        </w:rPr>
        <w:t>km</w:t>
      </w:r>
      <w:r w:rsidRPr="00092ED7">
        <w:rPr>
          <w:rFonts w:eastAsia="Calibri" w:cs="Times New Roman"/>
          <w:bCs/>
          <w:szCs w:val="24"/>
          <w:lang w:val="sr-Cyrl-CS"/>
        </w:rPr>
        <w:t>), а тренутно се одвијају радови на мосту преко реке Саве дужине од 1,3 км. Започети су радови на изградњи деонице 1 (Жежељев мост - петља за Е-75 – Парагово) Фрушкогорског коридора. Завршена је изградња сектора Б5 у оквиру Обилазнице око Београда и планиран је завршетак радова на свим секторима до краја марта 2023. Ова обилазница ће значајно допринети смањењу фреквенције теретног саобраћаја и смањењу загађености ваздуха у Београду. У плану је изградња наставка Обилазнице - Сектора Ц, од Бубањ Потока до Винче и Панчева. Отпочели су радови на изградњи обилазнице око Новог Сада са мостом преко Дунава, а планиран завршетак је током 2024. године. Планирана је изградња модерног ауто-пута Београд-Темишвар што ће допринети повећању прекограничне сарадње у области транспорта.</w:t>
      </w:r>
    </w:p>
    <w:p w14:paraId="4508E2E4" w14:textId="4C996C40" w:rsidR="00D210F0" w:rsidRPr="00092ED7" w:rsidRDefault="00D210F0" w:rsidP="00D210F0">
      <w:pPr>
        <w:spacing w:after="60"/>
        <w:rPr>
          <w:rFonts w:eastAsia="Calibri" w:cs="Times New Roman"/>
          <w:bCs/>
          <w:szCs w:val="24"/>
          <w:lang w:val="sr-Cyrl-CS"/>
        </w:rPr>
      </w:pPr>
      <w:r w:rsidRPr="00092ED7">
        <w:rPr>
          <w:rFonts w:eastAsia="Calibri" w:cs="Times New Roman"/>
          <w:b/>
          <w:bCs/>
          <w:szCs w:val="24"/>
          <w:lang w:val="sr-Cyrl-CS"/>
        </w:rPr>
        <w:t>Комунална инфраструктура је застарела и неопходна су додатна улагања.</w:t>
      </w:r>
      <w:r w:rsidRPr="00092ED7">
        <w:rPr>
          <w:rFonts w:eastAsia="Calibri" w:cs="Times New Roman"/>
          <w:bCs/>
          <w:szCs w:val="24"/>
          <w:lang w:val="sr-Cyrl-CS"/>
        </w:rPr>
        <w:t xml:space="preserve"> Изграђено је укупно 160 </w:t>
      </w:r>
      <w:r w:rsidR="00C758DF" w:rsidRPr="00092ED7">
        <w:rPr>
          <w:rFonts w:eastAsia="Calibri" w:cs="Times New Roman"/>
          <w:bCs/>
          <w:szCs w:val="24"/>
          <w:lang w:val="sr-Cyrl-CS"/>
        </w:rPr>
        <w:t xml:space="preserve">km </w:t>
      </w:r>
      <w:r w:rsidRPr="00092ED7">
        <w:rPr>
          <w:rFonts w:eastAsia="Calibri" w:cs="Times New Roman"/>
          <w:bCs/>
          <w:szCs w:val="24"/>
          <w:lang w:val="sr-Cyrl-CS"/>
        </w:rPr>
        <w:t xml:space="preserve">нове канализационе инфраструктуре у првој половини 2022. године, док се очекује укупно 300 </w:t>
      </w:r>
      <w:r w:rsidR="00C758DF" w:rsidRPr="00092ED7">
        <w:rPr>
          <w:rFonts w:eastAsia="Calibri" w:cs="Times New Roman"/>
          <w:bCs/>
          <w:szCs w:val="24"/>
          <w:lang w:val="sr-Cyrl-CS"/>
        </w:rPr>
        <w:t xml:space="preserve">km </w:t>
      </w:r>
      <w:r w:rsidRPr="00092ED7">
        <w:rPr>
          <w:rFonts w:eastAsia="Calibri" w:cs="Times New Roman"/>
          <w:bCs/>
          <w:szCs w:val="24"/>
          <w:lang w:val="sr-Cyrl-CS"/>
        </w:rPr>
        <w:t>нове канализационе инфраструктуре и 4 постројења за прераду отпадних вода до краја 2022. године. Настављена је реализација пројекта „Чиста Србија</w:t>
      </w:r>
      <w:r w:rsidR="00C758DF" w:rsidRPr="00092ED7">
        <w:rPr>
          <w:rFonts w:eastAsia="Calibri" w:cs="Times New Roman"/>
          <w:bCs/>
          <w:szCs w:val="24"/>
          <w:lang w:val="sr-Cyrl-CS"/>
        </w:rPr>
        <w:t>ˮ</w:t>
      </w:r>
      <w:r w:rsidRPr="00092ED7">
        <w:rPr>
          <w:rFonts w:eastAsia="Calibri" w:cs="Times New Roman"/>
          <w:bCs/>
          <w:szCs w:val="24"/>
          <w:lang w:val="sr-Cyrl-CS"/>
        </w:rPr>
        <w:t xml:space="preserve"> и очекује се да највећи део радова буде завршен до краја 2023. године. Планирана је изградња 7.000 </w:t>
      </w:r>
      <w:r w:rsidR="00C758DF" w:rsidRPr="00092ED7">
        <w:rPr>
          <w:rFonts w:eastAsia="Calibri" w:cs="Times New Roman"/>
          <w:bCs/>
          <w:szCs w:val="24"/>
          <w:lang w:val="sr-Cyrl-CS"/>
        </w:rPr>
        <w:t xml:space="preserve">km </w:t>
      </w:r>
      <w:r w:rsidRPr="00092ED7">
        <w:rPr>
          <w:rFonts w:eastAsia="Calibri" w:cs="Times New Roman"/>
          <w:bCs/>
          <w:szCs w:val="24"/>
          <w:lang w:val="sr-Cyrl-CS"/>
        </w:rPr>
        <w:t>канализационе инфраструктуре и изградња више од 500 постројења за пречишћавање отпадних вода у наредних пет година.</w:t>
      </w:r>
    </w:p>
    <w:p w14:paraId="00F5208B" w14:textId="523C1554" w:rsidR="00D210F0" w:rsidRPr="00092ED7" w:rsidRDefault="00D210F0" w:rsidP="00D210F0">
      <w:pPr>
        <w:spacing w:after="60"/>
        <w:rPr>
          <w:rFonts w:eastAsia="Calibri" w:cs="Times New Roman"/>
          <w:bCs/>
          <w:szCs w:val="24"/>
          <w:lang w:val="sr-Cyrl-CS"/>
        </w:rPr>
      </w:pPr>
      <w:r w:rsidRPr="00092ED7">
        <w:rPr>
          <w:rFonts w:eastAsia="Calibri" w:cs="Times New Roman"/>
          <w:b/>
          <w:bCs/>
          <w:szCs w:val="24"/>
          <w:lang w:val="sr-Cyrl-CS"/>
        </w:rPr>
        <w:t>Неопходно је ускладити цену путарине</w:t>
      </w:r>
      <w:r w:rsidRPr="00092ED7">
        <w:rPr>
          <w:rFonts w:cs="Times New Roman"/>
          <w:b/>
          <w:bCs/>
          <w:szCs w:val="24"/>
          <w:lang w:val="sr-Cyrl-CS"/>
        </w:rPr>
        <w:t xml:space="preserve"> </w:t>
      </w:r>
      <w:r w:rsidRPr="00092ED7">
        <w:rPr>
          <w:rFonts w:eastAsia="Calibri" w:cs="Times New Roman"/>
          <w:b/>
          <w:bCs/>
          <w:szCs w:val="24"/>
          <w:lang w:val="sr-Cyrl-CS"/>
        </w:rPr>
        <w:t>тако да одговара трошковима потребним за изградњу и одржавање путне инфраструктуре и повећати пропусну моћ наплатних станица</w:t>
      </w:r>
      <w:r w:rsidRPr="00092ED7">
        <w:rPr>
          <w:rFonts w:eastAsia="Calibri" w:cs="Times New Roman"/>
          <w:bCs/>
          <w:szCs w:val="24"/>
          <w:lang w:val="sr-Cyrl-CS"/>
        </w:rPr>
        <w:t>. Прелазак на нов систем редовног одржавања путева заснованог на учинку је у току. Наплата путарине у Репубици Србији се спроводи у оквиру 66 наплатних станица, на дужини од 830 километара ауто-путева. У току је пројекат проширења 26 наплатних станица, у циљу повећања капацитета и несметаног проласка возила кроз наплатне станице. У експанзији је број корисника електронске наплате путарине (преко 420.000 активних корисника ТАГ-уређаја и више од 250 дистрибутивних места). Приходи од путарина су повећани за 28,2% мг, док је број возила у друмском саобраћају већи за 13,7 милиона (раст од 14,22% мг) у 2021.</w:t>
      </w:r>
      <w:r w:rsidRPr="00092ED7">
        <w:rPr>
          <w:rFonts w:eastAsia="Calibri" w:cs="Times New Roman"/>
          <w:bCs/>
          <w:szCs w:val="24"/>
          <w:vertAlign w:val="superscript"/>
          <w:lang w:val="sr-Cyrl-CS"/>
        </w:rPr>
        <w:footnoteReference w:id="147"/>
      </w:r>
      <w:r w:rsidRPr="00092ED7">
        <w:rPr>
          <w:rFonts w:eastAsia="Calibri" w:cs="Times New Roman"/>
          <w:bCs/>
          <w:szCs w:val="24"/>
          <w:lang w:val="sr-Cyrl-CS"/>
        </w:rPr>
        <w:t xml:space="preserve"> години. Број електронских наплата путарина је повећан за 28,86% мг у 2021. Остварен је већи обим путничких (раст од 12,2% мг) и нетотонских километара (раст од 30,6% мг) у друмском саобраћају у 2021.</w:t>
      </w:r>
      <w:r w:rsidRPr="00092ED7">
        <w:rPr>
          <w:rFonts w:eastAsia="Calibri" w:cs="Times New Roman"/>
          <w:bCs/>
          <w:szCs w:val="24"/>
          <w:vertAlign w:val="superscript"/>
          <w:lang w:val="sr-Cyrl-CS"/>
        </w:rPr>
        <w:footnoteReference w:id="148"/>
      </w:r>
      <w:r w:rsidRPr="00092ED7">
        <w:rPr>
          <w:rFonts w:eastAsia="Calibri" w:cs="Times New Roman"/>
          <w:bCs/>
          <w:szCs w:val="24"/>
          <w:lang w:val="sr-Cyrl-CS"/>
        </w:rPr>
        <w:t xml:space="preserve"> Укупан број путничких возила која су ушла у </w:t>
      </w:r>
      <w:r w:rsidR="00AA7059" w:rsidRPr="00092ED7">
        <w:rPr>
          <w:rFonts w:eastAsia="Calibri" w:cs="Times New Roman"/>
          <w:bCs/>
          <w:szCs w:val="24"/>
          <w:lang w:val="sr-Cyrl-CS"/>
        </w:rPr>
        <w:t xml:space="preserve">Републику </w:t>
      </w:r>
      <w:r w:rsidRPr="00092ED7">
        <w:rPr>
          <w:rFonts w:eastAsia="Calibri" w:cs="Times New Roman"/>
          <w:bCs/>
          <w:szCs w:val="24"/>
          <w:lang w:val="sr-Cyrl-CS"/>
        </w:rPr>
        <w:t xml:space="preserve">Србију већи је за 46,1% мг, а излаз путничких возила из </w:t>
      </w:r>
      <w:r w:rsidR="00AA7059" w:rsidRPr="00092ED7">
        <w:rPr>
          <w:rFonts w:eastAsia="Calibri" w:cs="Times New Roman"/>
          <w:bCs/>
          <w:szCs w:val="24"/>
          <w:lang w:val="sr-Cyrl-CS"/>
        </w:rPr>
        <w:t xml:space="preserve">Републике </w:t>
      </w:r>
      <w:r w:rsidRPr="00092ED7">
        <w:rPr>
          <w:rFonts w:eastAsia="Calibri" w:cs="Times New Roman"/>
          <w:bCs/>
          <w:szCs w:val="24"/>
          <w:lang w:val="sr-Cyrl-CS"/>
        </w:rPr>
        <w:t>Србије је повећан за 51,1% мг у 2021. (раст улаза за 5,1% мг и раст излаза за 25,3% у Q1 2022)</w:t>
      </w:r>
      <w:r w:rsidRPr="00092ED7">
        <w:rPr>
          <w:rFonts w:eastAsia="Calibri" w:cs="Times New Roman"/>
          <w:bCs/>
          <w:szCs w:val="24"/>
          <w:vertAlign w:val="superscript"/>
          <w:lang w:val="sr-Cyrl-CS"/>
        </w:rPr>
        <w:footnoteReference w:id="149"/>
      </w:r>
      <w:r w:rsidRPr="00092ED7">
        <w:rPr>
          <w:rFonts w:eastAsia="Calibri" w:cs="Times New Roman"/>
          <w:bCs/>
          <w:szCs w:val="24"/>
          <w:lang w:val="sr-Cyrl-CS"/>
        </w:rPr>
        <w:t xml:space="preserve">. У наредном периоду потребно је остварити већи степен регионалне сарадње у погледу интероперабилности електронске наплате путарина. </w:t>
      </w:r>
    </w:p>
    <w:p w14:paraId="56EE348F" w14:textId="65785D1C" w:rsidR="00D210F0" w:rsidRPr="00092ED7" w:rsidRDefault="00D210F0" w:rsidP="00D210F0">
      <w:pPr>
        <w:spacing w:after="60"/>
        <w:rPr>
          <w:rFonts w:eastAsia="Calibri" w:cs="Times New Roman"/>
          <w:bCs/>
          <w:szCs w:val="24"/>
          <w:lang w:val="sr-Cyrl-CS"/>
        </w:rPr>
      </w:pPr>
      <w:r w:rsidRPr="00092ED7">
        <w:rPr>
          <w:rFonts w:eastAsia="Calibri" w:cs="Times New Roman"/>
          <w:b/>
          <w:szCs w:val="24"/>
          <w:lang w:val="sr-Cyrl-CS"/>
        </w:rPr>
        <w:t>Развој путничког и теретног железничког саобраћаја су ограничени услед постојања застареле железничке мреже.</w:t>
      </w:r>
      <w:r w:rsidRPr="00092ED7">
        <w:rPr>
          <w:rFonts w:eastAsia="Calibri" w:cs="Times New Roman"/>
          <w:szCs w:val="24"/>
          <w:lang w:val="sr-Cyrl-CS"/>
        </w:rPr>
        <w:t xml:space="preserve"> У циљу развоја и унапређења железничке мреже потребно је: </w:t>
      </w:r>
      <w:r w:rsidRPr="00092ED7">
        <w:rPr>
          <w:rFonts w:eastAsia="Calibri" w:cs="Times New Roman"/>
          <w:bCs/>
          <w:szCs w:val="24"/>
          <w:lang w:val="sr-Cyrl-CS"/>
        </w:rPr>
        <w:t xml:space="preserve">повећати степен електрификације пруга, остварити веће осовинско оптерећење на мрежи, омогућити обављање саобраћаја на мрежи при брзини већој од 100 </w:t>
      </w:r>
      <w:r w:rsidR="00C758DF" w:rsidRPr="00092ED7">
        <w:rPr>
          <w:rFonts w:eastAsia="Calibri" w:cs="Times New Roman"/>
          <w:bCs/>
          <w:szCs w:val="24"/>
          <w:lang w:val="sr-Cyrl-CS"/>
        </w:rPr>
        <w:t>km</w:t>
      </w:r>
      <w:r w:rsidRPr="00092ED7">
        <w:rPr>
          <w:rFonts w:eastAsia="Calibri" w:cs="Times New Roman"/>
          <w:bCs/>
          <w:szCs w:val="24"/>
          <w:lang w:val="sr-Cyrl-CS"/>
        </w:rPr>
        <w:t>/</w:t>
      </w:r>
      <w:r w:rsidR="00C758DF" w:rsidRPr="00092ED7">
        <w:rPr>
          <w:rFonts w:eastAsia="Calibri" w:cs="Times New Roman"/>
          <w:bCs/>
          <w:szCs w:val="24"/>
          <w:lang w:val="sr-Cyrl-CS"/>
        </w:rPr>
        <w:t>h</w:t>
      </w:r>
      <w:r w:rsidRPr="00092ED7">
        <w:rPr>
          <w:rFonts w:eastAsia="Calibri" w:cs="Times New Roman"/>
          <w:bCs/>
          <w:szCs w:val="24"/>
          <w:lang w:val="sr-Cyrl-CS"/>
        </w:rPr>
        <w:t xml:space="preserve"> и унапредити управљање имовином железнице. Унапређење процеса издавања дозвола за машиновође и сертификата о безбедности за железничка предузећа, уз додатно јачање механизама узајамног признавања железничких возила би допринело даљем отварању и либерализацији железничког тржишта.</w:t>
      </w:r>
      <w:r w:rsidRPr="00092ED7">
        <w:rPr>
          <w:rFonts w:eastAsia="Calibri" w:cs="Times New Roman"/>
          <w:szCs w:val="24"/>
          <w:lang w:val="sr-Cyrl-CS"/>
        </w:rPr>
        <w:t xml:space="preserve"> Потребно је усвојити план примене Европског система управљања железничким саобраћајем уз даље усклађивање Изјаве о мрежи. </w:t>
      </w:r>
      <w:r w:rsidRPr="00092ED7">
        <w:rPr>
          <w:rFonts w:eastAsia="Calibri" w:cs="Times New Roman"/>
          <w:bCs/>
          <w:szCs w:val="24"/>
          <w:lang w:val="sr-Cyrl-CS"/>
        </w:rPr>
        <w:t xml:space="preserve">У већој мери је потребно користити капацитете железничког саобраћаја, што би допринело очувању животне средине и спровођењу процеса зелене </w:t>
      </w:r>
      <w:r w:rsidR="00757D8D" w:rsidRPr="00092ED7">
        <w:rPr>
          <w:rFonts w:eastAsia="Calibri" w:cs="Times New Roman"/>
          <w:bCs/>
          <w:szCs w:val="24"/>
          <w:lang w:val="sr-Cyrl-CS"/>
        </w:rPr>
        <w:t>транзиције.</w:t>
      </w:r>
    </w:p>
    <w:p w14:paraId="0B633768" w14:textId="3E16B07D" w:rsidR="00D210F0" w:rsidRPr="00092ED7" w:rsidRDefault="00D210F0" w:rsidP="00D210F0">
      <w:pPr>
        <w:spacing w:after="60"/>
        <w:rPr>
          <w:rFonts w:eastAsia="Calibri" w:cs="Times New Roman"/>
          <w:bCs/>
          <w:szCs w:val="24"/>
          <w:lang w:val="sr-Cyrl-CS"/>
        </w:rPr>
      </w:pPr>
      <w:r w:rsidRPr="00092ED7">
        <w:rPr>
          <w:rFonts w:eastAsia="Calibri" w:cs="Times New Roman"/>
          <w:bCs/>
          <w:szCs w:val="24"/>
          <w:lang w:val="sr-Cyrl-CS"/>
        </w:rPr>
        <w:t xml:space="preserve">Укупна дужина железничке мреже у </w:t>
      </w:r>
      <w:r w:rsidR="00670890" w:rsidRPr="00092ED7">
        <w:rPr>
          <w:rFonts w:eastAsia="Calibri" w:cs="Times New Roman"/>
          <w:bCs/>
          <w:szCs w:val="24"/>
          <w:lang w:val="sr-Cyrl-CS"/>
        </w:rPr>
        <w:t xml:space="preserve">Републици </w:t>
      </w:r>
      <w:r w:rsidRPr="00092ED7">
        <w:rPr>
          <w:rFonts w:eastAsia="Calibri" w:cs="Times New Roman"/>
          <w:bCs/>
          <w:szCs w:val="24"/>
          <w:lang w:val="sr-Cyrl-CS"/>
        </w:rPr>
        <w:t xml:space="preserve">Србији износи 3.348,1 </w:t>
      </w:r>
      <w:r w:rsidR="00C758DF" w:rsidRPr="00092ED7">
        <w:rPr>
          <w:rFonts w:eastAsia="Calibri" w:cs="Times New Roman"/>
          <w:bCs/>
          <w:szCs w:val="24"/>
          <w:lang w:val="sr-Cyrl-CS"/>
        </w:rPr>
        <w:t xml:space="preserve">km </w:t>
      </w:r>
      <w:r w:rsidRPr="00092ED7">
        <w:rPr>
          <w:rFonts w:eastAsia="Calibri" w:cs="Times New Roman"/>
          <w:bCs/>
          <w:szCs w:val="24"/>
          <w:lang w:val="sr-Cyrl-CS"/>
        </w:rPr>
        <w:t xml:space="preserve">(електрифицирано 1.273,7 </w:t>
      </w:r>
      <w:r w:rsidR="00C758DF" w:rsidRPr="00092ED7">
        <w:rPr>
          <w:rFonts w:eastAsia="Calibri" w:cs="Times New Roman"/>
          <w:bCs/>
          <w:szCs w:val="24"/>
          <w:lang w:val="sr-Cyrl-CS"/>
        </w:rPr>
        <w:t>km</w:t>
      </w:r>
      <w:r w:rsidRPr="00092ED7">
        <w:rPr>
          <w:rFonts w:eastAsia="Calibri" w:cs="Times New Roman"/>
          <w:bCs/>
          <w:szCs w:val="24"/>
          <w:lang w:val="sr-Cyrl-CS"/>
        </w:rPr>
        <w:t>)</w:t>
      </w:r>
      <w:r w:rsidRPr="00092ED7">
        <w:rPr>
          <w:rFonts w:eastAsia="Calibri" w:cs="Times New Roman"/>
          <w:bCs/>
          <w:szCs w:val="24"/>
          <w:vertAlign w:val="superscript"/>
          <w:lang w:val="sr-Cyrl-CS"/>
        </w:rPr>
        <w:footnoteReference w:id="150"/>
      </w:r>
      <w:r w:rsidRPr="00092ED7">
        <w:rPr>
          <w:rFonts w:eastAsia="Calibri" w:cs="Times New Roman"/>
          <w:bCs/>
          <w:szCs w:val="24"/>
          <w:lang w:val="sr-Cyrl-CS"/>
        </w:rPr>
        <w:t>. Превоз на јавној железничкој инфраструктури обављало је 14 железничких превозника у 2021. Највећи удео у броју реализованих траса имају „Србија Воз</w:t>
      </w:r>
      <w:r w:rsidR="00C6216A" w:rsidRPr="00092ED7">
        <w:rPr>
          <w:rFonts w:cs="Times New Roman"/>
          <w:szCs w:val="24"/>
          <w:lang w:val="sr-Cyrl-CS"/>
        </w:rPr>
        <w:t>”</w:t>
      </w:r>
      <w:r w:rsidRPr="00092ED7">
        <w:rPr>
          <w:rFonts w:eastAsia="Calibri" w:cs="Times New Roman"/>
          <w:bCs/>
          <w:szCs w:val="24"/>
          <w:lang w:val="sr-Cyrl-CS"/>
        </w:rPr>
        <w:t xml:space="preserve"> а.д. (59,9%) и „Србија Карго</w:t>
      </w:r>
      <w:r w:rsidR="00C6216A" w:rsidRPr="00092ED7">
        <w:rPr>
          <w:rFonts w:cs="Times New Roman"/>
          <w:szCs w:val="24"/>
          <w:lang w:val="sr-Cyrl-CS"/>
        </w:rPr>
        <w:t>”</w:t>
      </w:r>
      <w:r w:rsidRPr="00092ED7">
        <w:rPr>
          <w:rFonts w:eastAsia="Calibri" w:cs="Times New Roman"/>
          <w:bCs/>
          <w:szCs w:val="24"/>
          <w:lang w:val="sr-Cyrl-CS"/>
        </w:rPr>
        <w:t xml:space="preserve"> а.д. (28,8%), док приватни превозници имају удео од 11,3%</w:t>
      </w:r>
      <w:r w:rsidRPr="00092ED7">
        <w:rPr>
          <w:rFonts w:eastAsia="Calibri" w:cs="Times New Roman"/>
          <w:bCs/>
          <w:szCs w:val="24"/>
          <w:vertAlign w:val="superscript"/>
          <w:lang w:val="sr-Cyrl-CS"/>
        </w:rPr>
        <w:footnoteReference w:id="151"/>
      </w:r>
      <w:r w:rsidRPr="00092ED7">
        <w:rPr>
          <w:rFonts w:eastAsia="Calibri" w:cs="Times New Roman"/>
          <w:bCs/>
          <w:szCs w:val="24"/>
          <w:lang w:val="sr-Cyrl-CS"/>
        </w:rPr>
        <w:t xml:space="preserve">. Остварено је 191 милион путничких </w:t>
      </w:r>
      <w:r w:rsidR="00C758DF" w:rsidRPr="00092ED7">
        <w:rPr>
          <w:rFonts w:eastAsia="Calibri" w:cs="Times New Roman"/>
          <w:bCs/>
          <w:szCs w:val="24"/>
          <w:lang w:val="sr-Cyrl-CS"/>
        </w:rPr>
        <w:t xml:space="preserve">km </w:t>
      </w:r>
      <w:r w:rsidRPr="00092ED7">
        <w:rPr>
          <w:rFonts w:eastAsia="Calibri" w:cs="Times New Roman"/>
          <w:bCs/>
          <w:szCs w:val="24"/>
          <w:lang w:val="sr-Cyrl-CS"/>
        </w:rPr>
        <w:t xml:space="preserve">(раст од 21,7% мг) и 2,9 милијарде нетотонских </w:t>
      </w:r>
      <w:r w:rsidR="00C758DF" w:rsidRPr="00092ED7">
        <w:rPr>
          <w:rFonts w:eastAsia="Calibri" w:cs="Times New Roman"/>
          <w:bCs/>
          <w:szCs w:val="24"/>
          <w:lang w:val="sr-Cyrl-CS"/>
        </w:rPr>
        <w:t xml:space="preserve">km </w:t>
      </w:r>
      <w:r w:rsidRPr="00092ED7">
        <w:rPr>
          <w:rFonts w:eastAsia="Calibri" w:cs="Times New Roman"/>
          <w:bCs/>
          <w:szCs w:val="24"/>
          <w:lang w:val="sr-Cyrl-CS"/>
        </w:rPr>
        <w:t>(раст од 6,5% мг) у железничком саобраћају у 2021.</w:t>
      </w:r>
      <w:r w:rsidRPr="00092ED7">
        <w:rPr>
          <w:rFonts w:eastAsia="Calibri" w:cs="Times New Roman"/>
          <w:bCs/>
          <w:szCs w:val="24"/>
          <w:vertAlign w:val="superscript"/>
          <w:lang w:val="sr-Cyrl-CS"/>
        </w:rPr>
        <w:footnoteReference w:id="152"/>
      </w:r>
      <w:r w:rsidRPr="00092ED7">
        <w:rPr>
          <w:rFonts w:eastAsia="Calibri" w:cs="Times New Roman"/>
          <w:szCs w:val="24"/>
          <w:lang w:val="sr-Cyrl-CS"/>
        </w:rPr>
        <w:t xml:space="preserve"> </w:t>
      </w:r>
      <w:r w:rsidRPr="00092ED7">
        <w:rPr>
          <w:rFonts w:eastAsia="Calibri" w:cs="Times New Roman"/>
          <w:bCs/>
          <w:szCs w:val="24"/>
          <w:lang w:val="sr-Cyrl-CS"/>
        </w:rPr>
        <w:t>У</w:t>
      </w:r>
      <w:r w:rsidR="00FE7C38" w:rsidRPr="00092ED7">
        <w:rPr>
          <w:rFonts w:eastAsia="Calibri" w:cs="Times New Roman"/>
          <w:bCs/>
          <w:szCs w:val="24"/>
          <w:lang w:val="sr-Cyrl-CS"/>
        </w:rPr>
        <w:t xml:space="preserve"> 2021. години је у</w:t>
      </w:r>
      <w:r w:rsidRPr="00092ED7">
        <w:rPr>
          <w:rFonts w:eastAsia="Calibri" w:cs="Times New Roman"/>
          <w:bCs/>
          <w:szCs w:val="24"/>
          <w:lang w:val="sr-Cyrl-CS"/>
        </w:rPr>
        <w:t xml:space="preserve">купно реконструисано и изграђено </w:t>
      </w:r>
      <w:r w:rsidR="00FE7C38" w:rsidRPr="00092ED7">
        <w:rPr>
          <w:rFonts w:eastAsia="Calibri" w:cs="Times New Roman"/>
          <w:bCs/>
          <w:szCs w:val="24"/>
          <w:lang w:val="sr-Cyrl-CS"/>
        </w:rPr>
        <w:t xml:space="preserve">86 </w:t>
      </w:r>
      <w:r w:rsidR="00C758DF" w:rsidRPr="00092ED7">
        <w:rPr>
          <w:rFonts w:eastAsia="Calibri" w:cs="Times New Roman"/>
          <w:bCs/>
          <w:szCs w:val="24"/>
          <w:lang w:val="sr-Cyrl-CS"/>
        </w:rPr>
        <w:t xml:space="preserve">km </w:t>
      </w:r>
      <w:r w:rsidRPr="00092ED7">
        <w:rPr>
          <w:rFonts w:eastAsia="Calibri" w:cs="Times New Roman"/>
          <w:bCs/>
          <w:szCs w:val="24"/>
          <w:lang w:val="sr-Cyrl-CS"/>
        </w:rPr>
        <w:t xml:space="preserve">регионалних и локалних пруга, </w:t>
      </w:r>
      <w:r w:rsidR="00FE7C38" w:rsidRPr="00092ED7">
        <w:rPr>
          <w:rFonts w:eastAsia="Calibri" w:cs="Times New Roman"/>
          <w:bCs/>
          <w:szCs w:val="24"/>
          <w:lang w:val="sr-Cyrl-CS"/>
        </w:rPr>
        <w:t xml:space="preserve">док су у 2022. години завршени радови који се тичу реконструкције и изградње 52 </w:t>
      </w:r>
      <w:r w:rsidR="00C758DF" w:rsidRPr="00092ED7">
        <w:rPr>
          <w:rFonts w:eastAsia="Calibri" w:cs="Times New Roman"/>
          <w:bCs/>
          <w:szCs w:val="24"/>
          <w:lang w:val="sr-Cyrl-CS"/>
        </w:rPr>
        <w:t xml:space="preserve">km </w:t>
      </w:r>
      <w:r w:rsidR="00FE7C38" w:rsidRPr="00092ED7">
        <w:rPr>
          <w:rFonts w:eastAsia="Calibri" w:cs="Times New Roman"/>
          <w:bCs/>
          <w:szCs w:val="24"/>
          <w:lang w:val="sr-Cyrl-CS"/>
        </w:rPr>
        <w:t xml:space="preserve">регионалних и око 143 </w:t>
      </w:r>
      <w:r w:rsidR="00C758DF" w:rsidRPr="00092ED7">
        <w:rPr>
          <w:rFonts w:eastAsia="Calibri" w:cs="Times New Roman"/>
          <w:bCs/>
          <w:szCs w:val="24"/>
          <w:lang w:val="sr-Cyrl-CS"/>
        </w:rPr>
        <w:t xml:space="preserve">km </w:t>
      </w:r>
      <w:r w:rsidR="00FE7C38" w:rsidRPr="00092ED7">
        <w:rPr>
          <w:rFonts w:eastAsia="Calibri" w:cs="Times New Roman"/>
          <w:bCs/>
          <w:szCs w:val="24"/>
          <w:lang w:val="sr-Cyrl-CS"/>
        </w:rPr>
        <w:t>магистралних пруга.</w:t>
      </w:r>
    </w:p>
    <w:p w14:paraId="78514D78" w14:textId="602F7443" w:rsidR="00D210F0" w:rsidRPr="00092ED7" w:rsidRDefault="00D210F0" w:rsidP="00D210F0">
      <w:pPr>
        <w:spacing w:after="60"/>
        <w:rPr>
          <w:rFonts w:eastAsia="Calibri" w:cs="Times New Roman"/>
          <w:bCs/>
          <w:szCs w:val="24"/>
          <w:lang w:val="sr-Cyrl-CS"/>
        </w:rPr>
      </w:pPr>
      <w:r w:rsidRPr="00092ED7">
        <w:rPr>
          <w:rFonts w:eastAsia="Calibri" w:cs="Times New Roman"/>
          <w:bCs/>
          <w:szCs w:val="24"/>
          <w:lang w:val="sr-Cyrl-CS"/>
        </w:rPr>
        <w:t xml:space="preserve">Завршени су радови на брзој прузи Београд-Нови Сад, а возови су пуштени у саобраћај од 19. марта 2022. године. Окончани су радови на модернизацији пруге Јајинци-Мала Крсна дужине 68,8 </w:t>
      </w:r>
      <w:r w:rsidR="00C758DF" w:rsidRPr="00092ED7">
        <w:rPr>
          <w:rFonts w:eastAsia="Calibri" w:cs="Times New Roman"/>
          <w:bCs/>
          <w:szCs w:val="24"/>
          <w:lang w:val="sr-Cyrl-CS"/>
        </w:rPr>
        <w:t xml:space="preserve">km </w:t>
      </w:r>
      <w:r w:rsidRPr="00092ED7">
        <w:rPr>
          <w:rFonts w:eastAsia="Calibri" w:cs="Times New Roman"/>
          <w:bCs/>
          <w:szCs w:val="24"/>
          <w:lang w:val="sr-Cyrl-CS"/>
        </w:rPr>
        <w:t xml:space="preserve">и комерцијални саобраћај се одвија од 22. јуна 2022. У току су радови на прузи Нови Сад-Суботица-Хоргош (107,4 </w:t>
      </w:r>
      <w:r w:rsidR="00C758DF" w:rsidRPr="00092ED7">
        <w:rPr>
          <w:rFonts w:eastAsia="Calibri" w:cs="Times New Roman"/>
          <w:bCs/>
          <w:szCs w:val="24"/>
          <w:lang w:val="sr-Cyrl-CS"/>
        </w:rPr>
        <w:t>km</w:t>
      </w:r>
      <w:r w:rsidRPr="00092ED7">
        <w:rPr>
          <w:rFonts w:eastAsia="Calibri" w:cs="Times New Roman"/>
          <w:bCs/>
          <w:szCs w:val="24"/>
          <w:lang w:val="sr-Cyrl-CS"/>
        </w:rPr>
        <w:t xml:space="preserve">), а планиран завршетак је до априла 2024. године. Деоница Суботица-Хоргош </w:t>
      </w:r>
      <w:r w:rsidR="00FE7C38" w:rsidRPr="00092ED7">
        <w:rPr>
          <w:rFonts w:eastAsia="Calibri" w:cs="Times New Roman"/>
          <w:bCs/>
          <w:szCs w:val="24"/>
          <w:lang w:val="sr-Cyrl-CS"/>
        </w:rPr>
        <w:t>је завршена у августу 2022. године</w:t>
      </w:r>
      <w:r w:rsidRPr="00092ED7">
        <w:rPr>
          <w:rFonts w:eastAsia="Calibri" w:cs="Times New Roman"/>
          <w:bCs/>
          <w:szCs w:val="24"/>
          <w:lang w:val="sr-Cyrl-CS"/>
        </w:rPr>
        <w:t xml:space="preserve">. Планирана је реконструкција 55 железничких станица у 2022. године. Како би се </w:t>
      </w:r>
      <w:r w:rsidR="00FE7C38" w:rsidRPr="00092ED7">
        <w:rPr>
          <w:rFonts w:eastAsia="Calibri" w:cs="Times New Roman"/>
          <w:bCs/>
          <w:szCs w:val="24"/>
          <w:lang w:val="sr-Cyrl-CS"/>
        </w:rPr>
        <w:t xml:space="preserve">омогућио </w:t>
      </w:r>
      <w:r w:rsidRPr="00092ED7">
        <w:rPr>
          <w:rFonts w:eastAsia="Calibri" w:cs="Times New Roman"/>
          <w:bCs/>
          <w:szCs w:val="24"/>
          <w:lang w:val="sr-Cyrl-CS"/>
        </w:rPr>
        <w:t xml:space="preserve">даљи развој железничке инфраструктуре, планирано је демонтирање и уклањање око 435 </w:t>
      </w:r>
      <w:r w:rsidR="00C758DF" w:rsidRPr="00092ED7">
        <w:rPr>
          <w:rFonts w:eastAsia="Calibri" w:cs="Times New Roman"/>
          <w:bCs/>
          <w:szCs w:val="24"/>
          <w:lang w:val="sr-Cyrl-CS"/>
        </w:rPr>
        <w:t xml:space="preserve">km </w:t>
      </w:r>
      <w:r w:rsidRPr="00092ED7">
        <w:rPr>
          <w:rFonts w:eastAsia="Calibri" w:cs="Times New Roman"/>
          <w:bCs/>
          <w:szCs w:val="24"/>
          <w:lang w:val="sr-Cyrl-CS"/>
        </w:rPr>
        <w:t>старих пруга у Републици Србији.</w:t>
      </w:r>
    </w:p>
    <w:p w14:paraId="6215F9BD" w14:textId="395E498A" w:rsidR="00D210F0" w:rsidRPr="00092ED7" w:rsidRDefault="00D210F0" w:rsidP="00D210F0">
      <w:pPr>
        <w:spacing w:after="60"/>
        <w:rPr>
          <w:rFonts w:eastAsia="Calibri" w:cs="Times New Roman"/>
          <w:bCs/>
          <w:szCs w:val="24"/>
          <w:lang w:val="sr-Cyrl-CS"/>
        </w:rPr>
      </w:pPr>
      <w:r w:rsidRPr="00092ED7">
        <w:rPr>
          <w:rFonts w:eastAsia="Calibri" w:cs="Times New Roman"/>
          <w:bCs/>
          <w:szCs w:val="24"/>
          <w:lang w:val="sr-Cyrl-CS"/>
        </w:rPr>
        <w:t xml:space="preserve">Усвојен је </w:t>
      </w:r>
      <w:r w:rsidRPr="00092ED7">
        <w:rPr>
          <w:rFonts w:eastAsia="Calibri" w:cs="Times New Roman"/>
          <w:bCs/>
          <w:i/>
          <w:szCs w:val="24"/>
          <w:lang w:val="sr-Cyrl-CS"/>
        </w:rPr>
        <w:t>Закон о метроу и градској железници</w:t>
      </w:r>
      <w:r w:rsidRPr="00092ED7">
        <w:rPr>
          <w:rFonts w:eastAsia="Calibri" w:cs="Times New Roman"/>
          <w:bCs/>
          <w:szCs w:val="24"/>
          <w:lang w:val="sr-Cyrl-CS"/>
        </w:rPr>
        <w:t xml:space="preserve"> („Службени гласник РС</w:t>
      </w:r>
      <w:r w:rsidR="00D7265D" w:rsidRPr="00092ED7">
        <w:rPr>
          <w:rFonts w:cs="Times New Roman"/>
          <w:szCs w:val="24"/>
          <w:lang w:val="sr-Cyrl-CS"/>
        </w:rPr>
        <w:t>”</w:t>
      </w:r>
      <w:r w:rsidRPr="00092ED7">
        <w:rPr>
          <w:rFonts w:eastAsia="Calibri" w:cs="Times New Roman"/>
          <w:bCs/>
          <w:szCs w:val="24"/>
          <w:lang w:val="sr-Cyrl-CS"/>
        </w:rPr>
        <w:t>, број 52/21) као правни оквир за успостављање метро система и потписан је Меморандум о разумевању за пројекат „Београдски метро</w:t>
      </w:r>
      <w:r w:rsidR="00BD7A11" w:rsidRPr="00092ED7">
        <w:rPr>
          <w:rFonts w:cs="Times New Roman"/>
          <w:szCs w:val="24"/>
          <w:lang w:val="sr-Cyrl-CS"/>
        </w:rPr>
        <w:t>”</w:t>
      </w:r>
      <w:r w:rsidRPr="00092ED7">
        <w:rPr>
          <w:rFonts w:eastAsia="Calibri" w:cs="Times New Roman"/>
          <w:bCs/>
          <w:szCs w:val="24"/>
          <w:lang w:val="sr-Cyrl-CS"/>
        </w:rPr>
        <w:t xml:space="preserve">. Предвиђено је да прва линија метроа буде завршена до 2028. године, док је планирани рок завршетка целог пројекта предвиђен до 2033. године. Београдски метро ће у систем враћати до 20% енергије, што је посебно важно са аспекта заштите животне средине. Планирано је да прва линија метроа има 28 возова са по </w:t>
      </w:r>
      <w:r w:rsidR="00670890" w:rsidRPr="00092ED7">
        <w:rPr>
          <w:rFonts w:eastAsia="Calibri" w:cs="Times New Roman"/>
          <w:bCs/>
          <w:szCs w:val="24"/>
          <w:lang w:val="sr-Cyrl-CS"/>
        </w:rPr>
        <w:t xml:space="preserve">три </w:t>
      </w:r>
      <w:r w:rsidRPr="00092ED7">
        <w:rPr>
          <w:rFonts w:eastAsia="Calibri" w:cs="Times New Roman"/>
          <w:bCs/>
          <w:szCs w:val="24"/>
          <w:lang w:val="sr-Cyrl-CS"/>
        </w:rPr>
        <w:t xml:space="preserve">вагона који ће превозити 435 људи. </w:t>
      </w:r>
    </w:p>
    <w:p w14:paraId="001ABF53" w14:textId="77429671" w:rsidR="00D210F0" w:rsidRPr="00092ED7" w:rsidRDefault="00D210F0" w:rsidP="00D210F0">
      <w:pPr>
        <w:spacing w:after="60"/>
        <w:rPr>
          <w:rFonts w:eastAsia="Calibri" w:cs="Times New Roman"/>
          <w:b/>
          <w:szCs w:val="24"/>
          <w:lang w:val="sr-Cyrl-CS"/>
        </w:rPr>
      </w:pPr>
      <w:r w:rsidRPr="00092ED7">
        <w:rPr>
          <w:rFonts w:eastAsia="Calibri" w:cs="Times New Roman"/>
          <w:b/>
          <w:bCs/>
          <w:szCs w:val="24"/>
          <w:lang w:val="sr-Cyrl-CS"/>
        </w:rPr>
        <w:t xml:space="preserve">Неопходно је олакшати процедуре на граничним прелазима, унапредити безбедност саобраћаја и јачати капацитете инспекцијских служби. </w:t>
      </w:r>
      <w:r w:rsidRPr="00092ED7">
        <w:rPr>
          <w:rFonts w:eastAsia="Calibri" w:cs="Times New Roman"/>
          <w:bCs/>
          <w:szCs w:val="24"/>
          <w:lang w:val="sr-Cyrl-CS"/>
        </w:rPr>
        <w:t>Број саобраћајних незгода повећан је за 12,8% мг, док је број настрадалих лица већи за 11,4% мг у 2021.</w:t>
      </w:r>
      <w:r w:rsidRPr="00092ED7">
        <w:rPr>
          <w:rFonts w:eastAsia="Calibri" w:cs="Times New Roman"/>
          <w:bCs/>
          <w:szCs w:val="24"/>
          <w:vertAlign w:val="superscript"/>
          <w:lang w:val="sr-Cyrl-CS"/>
        </w:rPr>
        <w:footnoteReference w:id="153"/>
      </w:r>
      <w:r w:rsidRPr="00092ED7">
        <w:rPr>
          <w:rFonts w:eastAsia="Calibri" w:cs="Times New Roman"/>
          <w:bCs/>
          <w:szCs w:val="24"/>
          <w:lang w:val="sr-Cyrl-CS"/>
        </w:rPr>
        <w:t xml:space="preserve"> години. Процењује се да је у 30% смртних исхода на путевима до незгоде дошло због тога што је саобраћајна сигнализација уништена или украдена.</w:t>
      </w:r>
      <w:r w:rsidRPr="00092ED7">
        <w:rPr>
          <w:rFonts w:eastAsia="Calibri" w:cs="Times New Roman"/>
          <w:szCs w:val="24"/>
          <w:lang w:val="sr-Cyrl-CS"/>
        </w:rPr>
        <w:t xml:space="preserve"> </w:t>
      </w:r>
      <w:r w:rsidRPr="00092ED7">
        <w:rPr>
          <w:rFonts w:eastAsia="Calibri" w:cs="Times New Roman"/>
          <w:bCs/>
          <w:szCs w:val="24"/>
          <w:lang w:val="sr-Cyrl-CS"/>
        </w:rPr>
        <w:t>Присутно је повећање саобраћајне сигнализације, нарочито у зонама образовних установа и на местима означеним као ,,црне рупе</w:t>
      </w:r>
      <w:r w:rsidR="00B2638E" w:rsidRPr="00092ED7">
        <w:rPr>
          <w:rFonts w:cs="Times New Roman"/>
          <w:szCs w:val="24"/>
          <w:lang w:val="sr-Cyrl-CS"/>
        </w:rPr>
        <w:t>”</w:t>
      </w:r>
      <w:r w:rsidRPr="00092ED7">
        <w:rPr>
          <w:rFonts w:eastAsia="Calibri" w:cs="Times New Roman"/>
          <w:bCs/>
          <w:szCs w:val="24"/>
          <w:lang w:val="sr-Cyrl-CS"/>
        </w:rPr>
        <w:t>.</w:t>
      </w:r>
      <w:r w:rsidRPr="00092ED7">
        <w:rPr>
          <w:rFonts w:eastAsia="Calibri" w:cs="Times New Roman"/>
          <w:szCs w:val="24"/>
          <w:lang w:val="sr-Cyrl-CS"/>
        </w:rPr>
        <w:t xml:space="preserve"> Технички преглед возила је унапређен усвајањем </w:t>
      </w:r>
      <w:r w:rsidRPr="00092ED7">
        <w:rPr>
          <w:rFonts w:eastAsia="Calibri" w:cs="Times New Roman"/>
          <w:i/>
          <w:szCs w:val="24"/>
          <w:lang w:val="sr-Cyrl-CS"/>
        </w:rPr>
        <w:t>Правилника о безбедносним седиштима</w:t>
      </w:r>
      <w:r w:rsidRPr="00092ED7">
        <w:rPr>
          <w:rFonts w:eastAsia="Calibri" w:cs="Times New Roman"/>
          <w:szCs w:val="24"/>
          <w:lang w:val="sr-Cyrl-CS"/>
        </w:rPr>
        <w:t xml:space="preserve"> („Сл</w:t>
      </w:r>
      <w:r w:rsidR="00683A1C" w:rsidRPr="00092ED7">
        <w:rPr>
          <w:rFonts w:eastAsia="Calibri" w:cs="Times New Roman"/>
          <w:szCs w:val="24"/>
          <w:lang w:val="sr-Cyrl-CS"/>
        </w:rPr>
        <w:t>ужбени</w:t>
      </w:r>
      <w:r w:rsidRPr="00092ED7">
        <w:rPr>
          <w:rFonts w:eastAsia="Calibri" w:cs="Times New Roman"/>
          <w:szCs w:val="24"/>
          <w:lang w:val="sr-Cyrl-CS"/>
        </w:rPr>
        <w:t xml:space="preserve"> гласник</w:t>
      </w:r>
      <w:r w:rsidR="0011016A" w:rsidRPr="00092ED7">
        <w:rPr>
          <w:rFonts w:eastAsia="Calibri" w:cs="Times New Roman"/>
          <w:szCs w:val="24"/>
          <w:lang w:val="sr-Cyrl-CS"/>
        </w:rPr>
        <w:t xml:space="preserve"> РС</w:t>
      </w:r>
      <w:r w:rsidR="00683A1C" w:rsidRPr="00092ED7">
        <w:rPr>
          <w:rFonts w:cs="Times New Roman"/>
          <w:szCs w:val="24"/>
          <w:lang w:val="sr-Cyrl-CS"/>
        </w:rPr>
        <w:t>”</w:t>
      </w:r>
      <w:r w:rsidR="0011016A" w:rsidRPr="00092ED7">
        <w:rPr>
          <w:rFonts w:eastAsia="Calibri" w:cs="Times New Roman"/>
          <w:szCs w:val="24"/>
          <w:lang w:val="sr-Cyrl-CS"/>
        </w:rPr>
        <w:t>, бр</w:t>
      </w:r>
      <w:r w:rsidR="00683A1C" w:rsidRPr="00092ED7">
        <w:rPr>
          <w:rFonts w:eastAsia="Calibri" w:cs="Times New Roman"/>
          <w:szCs w:val="24"/>
          <w:lang w:val="sr-Cyrl-CS"/>
        </w:rPr>
        <w:t>ој</w:t>
      </w:r>
      <w:r w:rsidRPr="00092ED7">
        <w:rPr>
          <w:rFonts w:eastAsia="Calibri" w:cs="Times New Roman"/>
          <w:szCs w:val="24"/>
          <w:lang w:val="sr-Cyrl-CS"/>
        </w:rPr>
        <w:t xml:space="preserve"> 126/20) и </w:t>
      </w:r>
      <w:r w:rsidRPr="00092ED7">
        <w:rPr>
          <w:rFonts w:eastAsia="Calibri" w:cs="Times New Roman"/>
          <w:i/>
          <w:szCs w:val="24"/>
          <w:lang w:val="sr-Cyrl-CS"/>
        </w:rPr>
        <w:t>Правилника о техничком прегледу возила</w:t>
      </w:r>
      <w:r w:rsidRPr="00092ED7">
        <w:rPr>
          <w:rFonts w:eastAsia="Calibri" w:cs="Times New Roman"/>
          <w:szCs w:val="24"/>
          <w:lang w:val="sr-Cyrl-CS"/>
        </w:rPr>
        <w:t xml:space="preserve"> („Сл</w:t>
      </w:r>
      <w:r w:rsidR="00683A1C" w:rsidRPr="00092ED7">
        <w:rPr>
          <w:rFonts w:eastAsia="Calibri" w:cs="Times New Roman"/>
          <w:szCs w:val="24"/>
          <w:lang w:val="sr-Cyrl-CS"/>
        </w:rPr>
        <w:t>ужбени</w:t>
      </w:r>
      <w:r w:rsidRPr="00092ED7">
        <w:rPr>
          <w:rFonts w:eastAsia="Calibri" w:cs="Times New Roman"/>
          <w:szCs w:val="24"/>
          <w:lang w:val="sr-Cyrl-CS"/>
        </w:rPr>
        <w:t xml:space="preserve"> гласник</w:t>
      </w:r>
      <w:r w:rsidR="0011016A" w:rsidRPr="00092ED7">
        <w:rPr>
          <w:rFonts w:eastAsia="Calibri" w:cs="Times New Roman"/>
          <w:szCs w:val="24"/>
          <w:lang w:val="sr-Cyrl-CS"/>
        </w:rPr>
        <w:t xml:space="preserve"> РС</w:t>
      </w:r>
      <w:r w:rsidR="00683A1C" w:rsidRPr="00092ED7">
        <w:rPr>
          <w:rFonts w:cs="Times New Roman"/>
          <w:szCs w:val="24"/>
          <w:lang w:val="sr-Cyrl-CS"/>
        </w:rPr>
        <w:t>”</w:t>
      </w:r>
      <w:r w:rsidR="0011016A" w:rsidRPr="00092ED7">
        <w:rPr>
          <w:rFonts w:eastAsia="Calibri" w:cs="Times New Roman"/>
          <w:szCs w:val="24"/>
          <w:lang w:val="sr-Cyrl-CS"/>
        </w:rPr>
        <w:t>, бр.</w:t>
      </w:r>
      <w:r w:rsidRPr="00092ED7">
        <w:rPr>
          <w:rFonts w:eastAsia="Calibri" w:cs="Times New Roman"/>
          <w:szCs w:val="24"/>
          <w:lang w:val="sr-Cyrl-CS"/>
        </w:rPr>
        <w:t xml:space="preserve"> 31/18, 70/18 </w:t>
      </w:r>
      <w:r w:rsidR="00CD2D87" w:rsidRPr="00092ED7">
        <w:rPr>
          <w:rFonts w:eastAsia="Calibri" w:cs="Times New Roman"/>
          <w:szCs w:val="24"/>
          <w:lang w:val="sr-Cyrl-CS"/>
        </w:rPr>
        <w:t xml:space="preserve">и </w:t>
      </w:r>
      <w:r w:rsidRPr="00092ED7">
        <w:rPr>
          <w:rFonts w:eastAsia="Calibri" w:cs="Times New Roman"/>
          <w:szCs w:val="24"/>
          <w:lang w:val="sr-Cyrl-CS"/>
        </w:rPr>
        <w:t xml:space="preserve">62/22). </w:t>
      </w:r>
      <w:r w:rsidRPr="00092ED7">
        <w:rPr>
          <w:rFonts w:eastAsia="Calibri" w:cs="Times New Roman"/>
          <w:bCs/>
          <w:szCs w:val="24"/>
          <w:lang w:val="sr-Cyrl-CS"/>
        </w:rPr>
        <w:t xml:space="preserve">Започета је реализација пројекта модернизације граничног прелаза Хоргош, а планирани завршетак радова је у другој половини 2023. године. У току је израда </w:t>
      </w:r>
      <w:r w:rsidR="00F50058" w:rsidRPr="00092ED7">
        <w:rPr>
          <w:rFonts w:eastAsia="Calibri" w:cs="Times New Roman"/>
          <w:bCs/>
          <w:i/>
          <w:szCs w:val="24"/>
          <w:lang w:val="sr-Cyrl-CS"/>
        </w:rPr>
        <w:t>с</w:t>
      </w:r>
      <w:r w:rsidRPr="00092ED7">
        <w:rPr>
          <w:rFonts w:eastAsia="Calibri" w:cs="Times New Roman"/>
          <w:bCs/>
          <w:i/>
          <w:szCs w:val="24"/>
          <w:lang w:val="sr-Cyrl-CS"/>
        </w:rPr>
        <w:t>тратегије безбедности саобраћаја од 2022. до 2030. године</w:t>
      </w:r>
      <w:r w:rsidRPr="00092ED7">
        <w:rPr>
          <w:rFonts w:eastAsia="Calibri" w:cs="Times New Roman"/>
          <w:bCs/>
          <w:szCs w:val="24"/>
          <w:lang w:val="sr-Cyrl-CS"/>
        </w:rPr>
        <w:t>. У наредних годину дана планирано је постављање опреме за осигурање на 35 путних прелаза, што ће допринети повећању безбедности на прелазу пута преко железничке пруге.</w:t>
      </w:r>
      <w:r w:rsidRPr="00092ED7">
        <w:rPr>
          <w:rFonts w:eastAsia="Calibri" w:cs="Times New Roman"/>
          <w:b/>
          <w:szCs w:val="24"/>
          <w:lang w:val="sr-Cyrl-CS"/>
        </w:rPr>
        <w:t xml:space="preserve"> </w:t>
      </w:r>
      <w:r w:rsidRPr="00092ED7">
        <w:rPr>
          <w:rFonts w:eastAsia="Calibri" w:cs="Times New Roman"/>
          <w:szCs w:val="24"/>
          <w:lang w:val="sr-Cyrl-CS"/>
        </w:rPr>
        <w:t xml:space="preserve">Неопходно је у наредном периоду усвојити нови закон о безбедности саобраћаја на путевима и наставити са уговарањем одржавања путева заснованом на учинку. </w:t>
      </w:r>
      <w:r w:rsidRPr="00092ED7">
        <w:rPr>
          <w:rFonts w:eastAsia="Calibri" w:cs="Times New Roman"/>
          <w:bCs/>
          <w:szCs w:val="24"/>
          <w:lang w:val="sr-Cyrl-CS"/>
        </w:rPr>
        <w:t>Потребно је проширити капацитете Дирекције за железнице као регулаторног тела и тела надлежног за безбедност железничког саобраћаја. Присутна су кашњења у успостављању: методологије за обрачун накнада за приступ колосеку, новог модела за одређивање цена за приступ железничкој инфраструктури и ИТС-а у свим видовима саобраћаја.</w:t>
      </w:r>
    </w:p>
    <w:p w14:paraId="1D2A89B4" w14:textId="311A4BEF" w:rsidR="00D210F0" w:rsidRPr="00092ED7" w:rsidRDefault="00D210F0" w:rsidP="00D210F0">
      <w:pPr>
        <w:spacing w:after="60"/>
        <w:rPr>
          <w:rFonts w:eastAsia="Calibri" w:cs="Times New Roman"/>
          <w:szCs w:val="24"/>
          <w:lang w:val="sr-Cyrl-CS"/>
        </w:rPr>
      </w:pPr>
      <w:r w:rsidRPr="00092ED7">
        <w:rPr>
          <w:rFonts w:eastAsia="Calibri" w:cs="Times New Roman"/>
          <w:b/>
          <w:szCs w:val="24"/>
          <w:lang w:val="sr-Cyrl-CS"/>
        </w:rPr>
        <w:t xml:space="preserve">Потребно је успоставити и јачати капацитете комбинованог/интермодалног транспорта. </w:t>
      </w:r>
      <w:r w:rsidRPr="00092ED7">
        <w:rPr>
          <w:rFonts w:eastAsia="Calibri" w:cs="Times New Roman"/>
          <w:szCs w:val="24"/>
          <w:lang w:val="sr-Cyrl-CS"/>
        </w:rPr>
        <w:t>Започета је изградња Интермодалног терминала у Батајници у септембру 2020. Планирана је изградња приступних друмских и железничких саобраћајница, површина за складиштење и маневрисање и административног објекта. Финансијска средства су обезбеђена кроз подршку путем ИПА пројеката и из буџета Р</w:t>
      </w:r>
      <w:r w:rsidR="00670890" w:rsidRPr="00092ED7">
        <w:rPr>
          <w:rFonts w:eastAsia="Calibri" w:cs="Times New Roman"/>
          <w:szCs w:val="24"/>
          <w:lang w:val="sr-Cyrl-CS"/>
        </w:rPr>
        <w:t xml:space="preserve">епублике </w:t>
      </w:r>
      <w:r w:rsidRPr="00092ED7">
        <w:rPr>
          <w:rFonts w:eastAsia="Calibri" w:cs="Times New Roman"/>
          <w:szCs w:val="24"/>
          <w:lang w:val="sr-Cyrl-CS"/>
        </w:rPr>
        <w:t>С</w:t>
      </w:r>
      <w:r w:rsidR="00670890" w:rsidRPr="00092ED7">
        <w:rPr>
          <w:rFonts w:eastAsia="Calibri" w:cs="Times New Roman"/>
          <w:szCs w:val="24"/>
          <w:lang w:val="sr-Cyrl-CS"/>
        </w:rPr>
        <w:t>рбије</w:t>
      </w:r>
      <w:r w:rsidRPr="00092ED7">
        <w:rPr>
          <w:rFonts w:eastAsia="Calibri" w:cs="Times New Roman"/>
          <w:szCs w:val="24"/>
          <w:lang w:val="sr-Cyrl-CS"/>
        </w:rPr>
        <w:t>. Неопходно је у наредном периоду интензивирати радове на овом терминалу и усвојити техничке спецификације за интероперабилност.</w:t>
      </w:r>
    </w:p>
    <w:p w14:paraId="03F17ADD" w14:textId="45C6932A" w:rsidR="00D210F0" w:rsidRPr="00092ED7" w:rsidRDefault="00D210F0" w:rsidP="00D210F0">
      <w:pPr>
        <w:spacing w:after="60"/>
        <w:rPr>
          <w:rFonts w:eastAsia="Calibri" w:cs="Times New Roman"/>
          <w:bCs/>
          <w:szCs w:val="24"/>
          <w:lang w:val="sr-Cyrl-CS"/>
        </w:rPr>
      </w:pPr>
      <w:r w:rsidRPr="00092ED7">
        <w:rPr>
          <w:rFonts w:eastAsia="Calibri" w:cs="Times New Roman"/>
          <w:b/>
          <w:szCs w:val="24"/>
          <w:lang w:val="sr-Cyrl-CS"/>
        </w:rPr>
        <w:t xml:space="preserve">Остварен је висок степен усклађености са правним тековинама ЕУ у областима поморског транспорта и транспорта унутрашњим водним путевима. </w:t>
      </w:r>
      <w:r w:rsidRPr="00092ED7">
        <w:rPr>
          <w:rFonts w:eastAsia="Calibri" w:cs="Times New Roman"/>
          <w:szCs w:val="24"/>
          <w:lang w:val="sr-Cyrl-CS"/>
        </w:rPr>
        <w:t xml:space="preserve">Потенцијал водног саобраћаја није у потпуности искоришћен и потребно је остварити већу интероперабилност са железничким и друмским саобраћајем. </w:t>
      </w:r>
      <w:r w:rsidRPr="00092ED7">
        <w:rPr>
          <w:rFonts w:eastAsia="Calibri" w:cs="Times New Roman"/>
          <w:bCs/>
          <w:szCs w:val="24"/>
          <w:lang w:val="sr-Cyrl-CS"/>
        </w:rPr>
        <w:t xml:space="preserve">У циљу јачања регионалне сарадње потребно је извршити хармонизацију лучких тарифа и превазићи административне баријере. Усвојен је </w:t>
      </w:r>
      <w:r w:rsidRPr="00092ED7">
        <w:rPr>
          <w:rFonts w:eastAsia="Calibri" w:cs="Times New Roman"/>
          <w:bCs/>
          <w:i/>
          <w:szCs w:val="24"/>
          <w:lang w:val="sr-Cyrl-CS"/>
        </w:rPr>
        <w:t>Правилник о минималним лучким тарифама</w:t>
      </w:r>
      <w:r w:rsidRPr="00092ED7">
        <w:rPr>
          <w:rFonts w:eastAsia="Calibri" w:cs="Times New Roman"/>
          <w:bCs/>
          <w:szCs w:val="24"/>
          <w:lang w:val="sr-Cyrl-CS"/>
        </w:rPr>
        <w:t xml:space="preserve"> (</w:t>
      </w:r>
      <w:r w:rsidRPr="00092ED7">
        <w:rPr>
          <w:rFonts w:eastAsia="Calibri" w:cs="Times New Roman"/>
          <w:szCs w:val="24"/>
          <w:lang w:val="sr-Cyrl-CS"/>
        </w:rPr>
        <w:t>„Сл</w:t>
      </w:r>
      <w:r w:rsidR="008A4C08" w:rsidRPr="00092ED7">
        <w:rPr>
          <w:rFonts w:eastAsia="Calibri" w:cs="Times New Roman"/>
          <w:szCs w:val="24"/>
          <w:lang w:val="sr-Cyrl-CS"/>
        </w:rPr>
        <w:t>ужбени</w:t>
      </w:r>
      <w:r w:rsidRPr="00092ED7">
        <w:rPr>
          <w:rFonts w:eastAsia="Calibri" w:cs="Times New Roman"/>
          <w:szCs w:val="24"/>
          <w:lang w:val="sr-Cyrl-CS"/>
        </w:rPr>
        <w:t xml:space="preserve"> гласник</w:t>
      </w:r>
      <w:r w:rsidR="0011016A" w:rsidRPr="00092ED7">
        <w:rPr>
          <w:rFonts w:eastAsia="Calibri" w:cs="Times New Roman"/>
          <w:szCs w:val="24"/>
          <w:lang w:val="sr-Cyrl-CS"/>
        </w:rPr>
        <w:t xml:space="preserve"> РС</w:t>
      </w:r>
      <w:r w:rsidR="008A4C08" w:rsidRPr="00092ED7">
        <w:rPr>
          <w:rFonts w:cs="Times New Roman"/>
          <w:szCs w:val="24"/>
          <w:lang w:val="sr-Cyrl-CS"/>
        </w:rPr>
        <w:t>”</w:t>
      </w:r>
      <w:r w:rsidR="0011016A" w:rsidRPr="00092ED7">
        <w:rPr>
          <w:rFonts w:eastAsia="Calibri" w:cs="Times New Roman"/>
          <w:szCs w:val="24"/>
          <w:lang w:val="sr-Cyrl-CS"/>
        </w:rPr>
        <w:t>, бр</w:t>
      </w:r>
      <w:r w:rsidR="008A4C08" w:rsidRPr="00092ED7">
        <w:rPr>
          <w:rFonts w:eastAsia="Calibri" w:cs="Times New Roman"/>
          <w:szCs w:val="24"/>
          <w:lang w:val="sr-Cyrl-CS"/>
        </w:rPr>
        <w:t>ој</w:t>
      </w:r>
      <w:r w:rsidRPr="00092ED7">
        <w:rPr>
          <w:rFonts w:eastAsia="Calibri" w:cs="Times New Roman"/>
          <w:szCs w:val="24"/>
          <w:lang w:val="sr-Cyrl-CS"/>
        </w:rPr>
        <w:t xml:space="preserve"> </w:t>
      </w:r>
      <w:r w:rsidRPr="00092ED7">
        <w:rPr>
          <w:rFonts w:eastAsia="Calibri" w:cs="Times New Roman"/>
          <w:bCs/>
          <w:szCs w:val="24"/>
          <w:lang w:val="sr-Cyrl-CS"/>
        </w:rPr>
        <w:t>29/22) којим се утврђују минималне таксе које лучки оператери наплаћују за одређене врсте услуга и терета. Укупан обим превоза терета на унутрашњим водним путевима у Републици Србији износи 15,9 милиона тона у 2021. што представља раст од 3,2% у односу на 2020.</w:t>
      </w:r>
      <w:r w:rsidRPr="00092ED7">
        <w:rPr>
          <w:rFonts w:eastAsia="Calibri" w:cs="Times New Roman"/>
          <w:bCs/>
          <w:szCs w:val="24"/>
          <w:vertAlign w:val="superscript"/>
          <w:lang w:val="sr-Cyrl-CS"/>
        </w:rPr>
        <w:footnoteReference w:id="154"/>
      </w:r>
      <w:r w:rsidRPr="00092ED7">
        <w:rPr>
          <w:rFonts w:eastAsia="Calibri" w:cs="Times New Roman"/>
          <w:bCs/>
          <w:szCs w:val="24"/>
          <w:lang w:val="sr-Cyrl-CS"/>
        </w:rPr>
        <w:t xml:space="preserve"> Најчешће претоварена врста терета јесу шљунак, песак и камени агрегати, који заједно чине 30,9% претовара. Расту обима претовара је највише допринело повећање пословне активности у сектору грађевинарства.</w:t>
      </w:r>
      <w:r w:rsidRPr="00092ED7">
        <w:rPr>
          <w:rFonts w:eastAsia="Times New Roman" w:cs="Times New Roman"/>
          <w:bCs/>
          <w:szCs w:val="24"/>
          <w:lang w:val="sr-Cyrl-CS"/>
        </w:rPr>
        <w:t xml:space="preserve"> </w:t>
      </w:r>
      <w:r w:rsidRPr="00092ED7">
        <w:rPr>
          <w:rFonts w:eastAsia="Calibri" w:cs="Times New Roman"/>
          <w:bCs/>
          <w:szCs w:val="24"/>
          <w:lang w:val="sr-Cyrl-CS"/>
        </w:rPr>
        <w:t xml:space="preserve">Настављена је примена </w:t>
      </w:r>
      <w:r w:rsidR="008C00EF" w:rsidRPr="00092ED7">
        <w:rPr>
          <w:rFonts w:eastAsia="Calibri" w:cs="Times New Roman"/>
          <w:bCs/>
          <w:szCs w:val="24"/>
          <w:lang w:val="sr-Cyrl-CS"/>
        </w:rPr>
        <w:t xml:space="preserve">речног </w:t>
      </w:r>
      <w:r w:rsidR="006C457F" w:rsidRPr="00092ED7">
        <w:rPr>
          <w:rFonts w:eastAsia="Calibri" w:cs="Times New Roman"/>
          <w:bCs/>
          <w:szCs w:val="24"/>
          <w:lang w:val="sr-Cyrl-CS"/>
        </w:rPr>
        <w:t>информационог система (Р</w:t>
      </w:r>
      <w:r w:rsidRPr="00092ED7">
        <w:rPr>
          <w:rFonts w:eastAsia="Calibri" w:cs="Times New Roman"/>
          <w:bCs/>
          <w:szCs w:val="24"/>
          <w:lang w:val="sr-Cyrl-CS"/>
        </w:rPr>
        <w:t>ИС</w:t>
      </w:r>
      <w:r w:rsidR="006C457F" w:rsidRPr="00092ED7">
        <w:rPr>
          <w:rFonts w:eastAsia="Calibri" w:cs="Times New Roman"/>
          <w:bCs/>
          <w:szCs w:val="24"/>
          <w:lang w:val="sr-Cyrl-CS"/>
        </w:rPr>
        <w:t>)</w:t>
      </w:r>
      <w:r w:rsidRPr="00092ED7">
        <w:rPr>
          <w:rFonts w:eastAsia="Calibri" w:cs="Times New Roman"/>
          <w:bCs/>
          <w:szCs w:val="24"/>
          <w:lang w:val="sr-Cyrl-CS"/>
        </w:rPr>
        <w:t xml:space="preserve">, као и активно учешће у оквиру стратегијa ЕУ за развој Дунавског региона и Јадранско-јонског региона. </w:t>
      </w:r>
    </w:p>
    <w:p w14:paraId="62032230" w14:textId="50926E9A" w:rsidR="00D210F0" w:rsidRPr="00092ED7" w:rsidRDefault="00D210F0" w:rsidP="00D210F0">
      <w:pPr>
        <w:spacing w:after="60"/>
        <w:rPr>
          <w:rFonts w:eastAsia="Times New Roman" w:cs="Times New Roman"/>
          <w:bCs/>
          <w:szCs w:val="24"/>
          <w:lang w:val="sr-Cyrl-CS"/>
        </w:rPr>
      </w:pPr>
      <w:r w:rsidRPr="00092ED7">
        <w:rPr>
          <w:rFonts w:eastAsia="Times New Roman" w:cs="Times New Roman"/>
          <w:b/>
          <w:bCs/>
          <w:szCs w:val="24"/>
          <w:lang w:val="sr-Cyrl-CS"/>
        </w:rPr>
        <w:t>Застарели постојећи инфраструктурни капацитети у области унутрашњег водног транспорта ограничавају брзину претовара у српским лукама и ниво конкурентности српске робе на иностраном тржишту</w:t>
      </w:r>
      <w:r w:rsidRPr="00092ED7">
        <w:rPr>
          <w:rFonts w:eastAsia="Times New Roman" w:cs="Times New Roman"/>
          <w:bCs/>
          <w:szCs w:val="24"/>
          <w:lang w:val="sr-Cyrl-CS"/>
        </w:rPr>
        <w:t>, али се континуирано унапређују</w:t>
      </w:r>
      <w:r w:rsidRPr="00092ED7">
        <w:rPr>
          <w:rFonts w:eastAsia="Times New Roman" w:cs="Times New Roman"/>
          <w:b/>
          <w:bCs/>
          <w:szCs w:val="24"/>
          <w:lang w:val="sr-Cyrl-CS"/>
        </w:rPr>
        <w:t>.</w:t>
      </w:r>
      <w:r w:rsidRPr="00092ED7">
        <w:rPr>
          <w:rFonts w:eastAsia="Times New Roman" w:cs="Times New Roman"/>
          <w:bCs/>
          <w:szCs w:val="24"/>
          <w:lang w:val="sr-Cyrl-CS"/>
        </w:rPr>
        <w:t xml:space="preserve"> Неопходно је наставити инвестирање у инфра и супраструктуру којом ће се обезбедити услови за прихват и услуживање потреба појединачних пловила, уз обезбеђивање чартера (</w:t>
      </w:r>
      <w:r w:rsidRPr="00092ED7">
        <w:rPr>
          <w:rFonts w:eastAsia="Times New Roman" w:cs="Times New Roman"/>
          <w:bCs/>
          <w:i/>
          <w:szCs w:val="24"/>
          <w:lang w:val="sr-Cyrl-CS"/>
        </w:rPr>
        <w:t>rent-a-boat</w:t>
      </w:r>
      <w:r w:rsidRPr="00092ED7">
        <w:rPr>
          <w:rFonts w:eastAsia="Times New Roman" w:cs="Times New Roman"/>
          <w:bCs/>
          <w:szCs w:val="24"/>
          <w:lang w:val="sr-Cyrl-CS"/>
        </w:rPr>
        <w:t xml:space="preserve"> сервис).</w:t>
      </w:r>
      <w:r w:rsidRPr="00092ED7">
        <w:rPr>
          <w:rFonts w:eastAsia="Calibri" w:cs="Times New Roman"/>
          <w:bCs/>
          <w:szCs w:val="24"/>
          <w:lang w:val="sr-Cyrl-CS"/>
        </w:rPr>
        <w:t xml:space="preserve"> </w:t>
      </w:r>
      <w:r w:rsidRPr="00092ED7">
        <w:rPr>
          <w:rFonts w:eastAsia="Times New Roman" w:cs="Times New Roman"/>
          <w:bCs/>
          <w:szCs w:val="24"/>
          <w:lang w:val="sr-Cyrl-CS"/>
        </w:rPr>
        <w:t>Потребно је унапређење лучких капацитета и њихово укључивање у Трансевропску транспортну мрежу (ТЕН-Т) речних лука. Отворено је међународно путничко пристаниште у Костолцу</w:t>
      </w:r>
      <w:r w:rsidRPr="00092ED7">
        <w:rPr>
          <w:rFonts w:eastAsia="Times New Roman" w:cs="Times New Roman"/>
          <w:bCs/>
          <w:szCs w:val="24"/>
          <w:vertAlign w:val="superscript"/>
          <w:lang w:val="sr-Cyrl-CS"/>
        </w:rPr>
        <w:footnoteReference w:id="155"/>
      </w:r>
      <w:r w:rsidRPr="00092ED7">
        <w:rPr>
          <w:rFonts w:eastAsia="Times New Roman" w:cs="Times New Roman"/>
          <w:bCs/>
          <w:szCs w:val="24"/>
          <w:lang w:val="sr-Cyrl-CS"/>
        </w:rPr>
        <w:t xml:space="preserve">. Успостављено је лучко пристаниште у Бољевцима у складу са </w:t>
      </w:r>
      <w:r w:rsidRPr="00092ED7">
        <w:rPr>
          <w:rFonts w:eastAsia="Times New Roman" w:cs="Times New Roman"/>
          <w:bCs/>
          <w:i/>
          <w:szCs w:val="24"/>
          <w:lang w:val="sr-Cyrl-CS"/>
        </w:rPr>
        <w:t>Уредбом о утврђивању лучког подручја пристаништa за посебне намене за претовар нафте и нафтних деривата у Бољевцима</w:t>
      </w:r>
      <w:r w:rsidRPr="00092ED7">
        <w:rPr>
          <w:rFonts w:eastAsia="Times New Roman" w:cs="Times New Roman"/>
          <w:bCs/>
          <w:szCs w:val="24"/>
          <w:lang w:val="sr-Cyrl-CS"/>
        </w:rPr>
        <w:t xml:space="preserve"> (</w:t>
      </w:r>
      <w:r w:rsidRPr="00092ED7">
        <w:rPr>
          <w:rFonts w:eastAsia="Calibri" w:cs="Times New Roman"/>
          <w:szCs w:val="24"/>
          <w:lang w:val="sr-Cyrl-CS"/>
        </w:rPr>
        <w:t>„Сл</w:t>
      </w:r>
      <w:r w:rsidR="00065DF9" w:rsidRPr="00092ED7">
        <w:rPr>
          <w:rFonts w:eastAsia="Calibri" w:cs="Times New Roman"/>
          <w:szCs w:val="24"/>
          <w:lang w:val="sr-Cyrl-CS"/>
        </w:rPr>
        <w:t>ужбени</w:t>
      </w:r>
      <w:r w:rsidRPr="00092ED7">
        <w:rPr>
          <w:rFonts w:eastAsia="Calibri" w:cs="Times New Roman"/>
          <w:szCs w:val="24"/>
          <w:lang w:val="sr-Cyrl-CS"/>
        </w:rPr>
        <w:t xml:space="preserve"> гласник</w:t>
      </w:r>
      <w:r w:rsidR="0011016A" w:rsidRPr="00092ED7">
        <w:rPr>
          <w:rFonts w:eastAsia="Calibri" w:cs="Times New Roman"/>
          <w:szCs w:val="24"/>
          <w:lang w:val="sr-Cyrl-CS"/>
        </w:rPr>
        <w:t xml:space="preserve"> РС</w:t>
      </w:r>
      <w:r w:rsidR="00065DF9" w:rsidRPr="00092ED7">
        <w:rPr>
          <w:rFonts w:cs="Times New Roman"/>
          <w:szCs w:val="24"/>
          <w:lang w:val="sr-Cyrl-CS"/>
        </w:rPr>
        <w:t>”</w:t>
      </w:r>
      <w:r w:rsidR="0011016A" w:rsidRPr="00092ED7">
        <w:rPr>
          <w:rFonts w:eastAsia="Calibri" w:cs="Times New Roman"/>
          <w:szCs w:val="24"/>
          <w:lang w:val="sr-Cyrl-CS"/>
        </w:rPr>
        <w:t>, бр</w:t>
      </w:r>
      <w:r w:rsidR="00065DF9" w:rsidRPr="00092ED7">
        <w:rPr>
          <w:rFonts w:eastAsia="Calibri" w:cs="Times New Roman"/>
          <w:szCs w:val="24"/>
          <w:lang w:val="sr-Cyrl-CS"/>
        </w:rPr>
        <w:t>ој</w:t>
      </w:r>
      <w:r w:rsidRPr="00092ED7">
        <w:rPr>
          <w:rFonts w:eastAsia="Times New Roman" w:cs="Times New Roman"/>
          <w:bCs/>
          <w:szCs w:val="24"/>
          <w:lang w:val="sr-Cyrl-CS"/>
        </w:rPr>
        <w:t xml:space="preserve"> 77/22). Обезбеђена су финансијска средства за потребе реконструкциј</w:t>
      </w:r>
      <w:r w:rsidR="00023A81" w:rsidRPr="00092ED7">
        <w:rPr>
          <w:rFonts w:eastAsia="Times New Roman" w:cs="Times New Roman"/>
          <w:bCs/>
          <w:szCs w:val="24"/>
          <w:lang w:val="sr-Cyrl-CS"/>
        </w:rPr>
        <w:t>е</w:t>
      </w:r>
      <w:r w:rsidRPr="00092ED7">
        <w:rPr>
          <w:rFonts w:eastAsia="Times New Roman" w:cs="Times New Roman"/>
          <w:bCs/>
          <w:szCs w:val="24"/>
          <w:lang w:val="sr-Cyrl-CS"/>
        </w:rPr>
        <w:t xml:space="preserve"> преводнице Ђердап 2 (60% кредит ЕИБ и 40% </w:t>
      </w:r>
      <w:r w:rsidR="00E63AE6" w:rsidRPr="00092ED7">
        <w:rPr>
          <w:rFonts w:eastAsia="Times New Roman"/>
          <w:bCs/>
          <w:szCs w:val="24"/>
          <w:lang w:val="sr-Cyrl-CS"/>
        </w:rPr>
        <w:t>CEF</w:t>
      </w:r>
      <w:r w:rsidRPr="00092ED7">
        <w:rPr>
          <w:rFonts w:eastAsia="Times New Roman" w:cs="Times New Roman"/>
          <w:bCs/>
          <w:szCs w:val="24"/>
          <w:lang w:val="sr-Cyrl-CS"/>
        </w:rPr>
        <w:t xml:space="preserve"> фонд - </w:t>
      </w:r>
      <w:r w:rsidRPr="00092ED7">
        <w:rPr>
          <w:rFonts w:eastAsia="Times New Roman" w:cs="Times New Roman"/>
          <w:bCs/>
          <w:i/>
          <w:szCs w:val="24"/>
          <w:lang w:val="sr-Cyrl-CS"/>
        </w:rPr>
        <w:t>Connecting Europe Facility Fund</w:t>
      </w:r>
      <w:r w:rsidRPr="00092ED7">
        <w:rPr>
          <w:rFonts w:eastAsia="Times New Roman" w:cs="Times New Roman"/>
          <w:bCs/>
          <w:szCs w:val="24"/>
          <w:lang w:val="sr-Cyrl-CS"/>
        </w:rPr>
        <w:t>). У оквиру пројекта „Уклањање потопљене немачке флоте из Другог светског рата из Дунава</w:t>
      </w:r>
      <w:r w:rsidR="00027678" w:rsidRPr="00092ED7">
        <w:rPr>
          <w:rFonts w:cs="Times New Roman"/>
          <w:szCs w:val="24"/>
          <w:lang w:val="sr-Cyrl-CS"/>
        </w:rPr>
        <w:t>”</w:t>
      </w:r>
      <w:r w:rsidRPr="00092ED7">
        <w:rPr>
          <w:rFonts w:eastAsia="Times New Roman" w:cs="Times New Roman"/>
          <w:bCs/>
          <w:szCs w:val="24"/>
          <w:lang w:val="sr-Cyrl-CS"/>
        </w:rPr>
        <w:t xml:space="preserve"> завршена је израда документације и обезбеђена су финансијска средства (кредит ЕИБ и бесповратна средства </w:t>
      </w:r>
      <w:r w:rsidR="00911637" w:rsidRPr="00092ED7">
        <w:rPr>
          <w:rFonts w:eastAsia="Times New Roman" w:cs="Times New Roman"/>
          <w:bCs/>
          <w:szCs w:val="24"/>
          <w:lang w:val="sr-Cyrl-CS"/>
        </w:rPr>
        <w:t>WBIF</w:t>
      </w:r>
      <w:r w:rsidRPr="00092ED7">
        <w:rPr>
          <w:rFonts w:eastAsia="Times New Roman" w:cs="Times New Roman"/>
          <w:bCs/>
          <w:szCs w:val="24"/>
          <w:lang w:val="sr-Cyrl-CS"/>
        </w:rPr>
        <w:t>), док се тренутно врши избор извођача радова. Започели су радови на модернизацији луке Нови Сад, што ће омогућити повећање капацитета за складиштење робе. У току је изградња марине у Великом Градишту</w:t>
      </w:r>
      <w:r w:rsidRPr="00092ED7">
        <w:rPr>
          <w:rFonts w:eastAsia="Times New Roman" w:cs="Times New Roman"/>
          <w:bCs/>
          <w:szCs w:val="24"/>
          <w:vertAlign w:val="superscript"/>
          <w:lang w:val="sr-Cyrl-CS"/>
        </w:rPr>
        <w:footnoteReference w:id="156"/>
      </w:r>
      <w:r w:rsidRPr="00092ED7">
        <w:rPr>
          <w:rFonts w:eastAsia="Times New Roman" w:cs="Times New Roman"/>
          <w:bCs/>
          <w:szCs w:val="24"/>
          <w:lang w:val="sr-Cyrl-CS"/>
        </w:rPr>
        <w:t>.</w:t>
      </w:r>
      <w:r w:rsidRPr="00092ED7">
        <w:rPr>
          <w:lang w:val="sr-Cyrl-CS"/>
        </w:rPr>
        <w:t xml:space="preserve"> </w:t>
      </w:r>
      <w:r w:rsidRPr="00092ED7">
        <w:rPr>
          <w:rFonts w:eastAsia="Times New Roman" w:cs="Times New Roman"/>
          <w:bCs/>
          <w:szCs w:val="24"/>
          <w:lang w:val="sr-Cyrl-CS"/>
        </w:rPr>
        <w:t>Почетак радова на реконструкцији Луке Београд се очекује крајем 2023. године. Планиран је почетак реализације пројекта „Унапређење услова за превођење бродова у оквиру бране на Тиси</w:t>
      </w:r>
      <w:r w:rsidR="00027678" w:rsidRPr="00092ED7">
        <w:rPr>
          <w:rFonts w:cs="Times New Roman"/>
          <w:szCs w:val="24"/>
          <w:lang w:val="sr-Cyrl-CS"/>
        </w:rPr>
        <w:t>”</w:t>
      </w:r>
      <w:r w:rsidRPr="00092ED7">
        <w:rPr>
          <w:rFonts w:eastAsia="Times New Roman" w:cs="Times New Roman"/>
          <w:bCs/>
          <w:szCs w:val="24"/>
          <w:lang w:val="sr-Cyrl-CS"/>
        </w:rPr>
        <w:t xml:space="preserve">, чиме ће се повећати транспорт робе на релацији </w:t>
      </w:r>
      <w:r w:rsidR="00E527B3" w:rsidRPr="00092ED7">
        <w:rPr>
          <w:rFonts w:eastAsia="Times New Roman" w:cs="Times New Roman"/>
          <w:bCs/>
          <w:szCs w:val="24"/>
          <w:lang w:val="sr-Cyrl-CS"/>
        </w:rPr>
        <w:t xml:space="preserve">Република </w:t>
      </w:r>
      <w:r w:rsidRPr="00092ED7">
        <w:rPr>
          <w:rFonts w:eastAsia="Times New Roman" w:cs="Times New Roman"/>
          <w:bCs/>
          <w:szCs w:val="24"/>
          <w:lang w:val="sr-Cyrl-CS"/>
        </w:rPr>
        <w:t>Србија-Мађарска. Планирана је израда пилот студије, односно мастерпланова за развој лука у Прахову, Бачкој Паланци и Богојеву.</w:t>
      </w:r>
    </w:p>
    <w:p w14:paraId="2D43643B" w14:textId="4CF2D936" w:rsidR="00D210F0" w:rsidRPr="00092ED7" w:rsidRDefault="00D210F0" w:rsidP="00D210F0">
      <w:pPr>
        <w:spacing w:after="60"/>
        <w:rPr>
          <w:rFonts w:eastAsia="Calibri" w:cs="Times New Roman"/>
          <w:bCs/>
          <w:szCs w:val="24"/>
          <w:lang w:val="sr-Cyrl-CS"/>
        </w:rPr>
      </w:pPr>
      <w:r w:rsidRPr="00092ED7">
        <w:rPr>
          <w:rFonts w:eastAsia="Calibri" w:cs="Times New Roman"/>
          <w:b/>
          <w:bCs/>
          <w:szCs w:val="24"/>
          <w:lang w:val="sr-Cyrl-CS"/>
        </w:rPr>
        <w:t>У области ваздухопловства достигнут је добар ниво усклађености са правним тековинама ЕУ</w:t>
      </w:r>
      <w:r w:rsidRPr="00092ED7">
        <w:rPr>
          <w:rFonts w:eastAsia="Calibri" w:cs="Times New Roman"/>
          <w:bCs/>
          <w:szCs w:val="24"/>
          <w:lang w:val="sr-Cyrl-CS"/>
        </w:rPr>
        <w:t>. Оперативни су међународни аеродроми ,,Никола Тесла</w:t>
      </w:r>
      <w:r w:rsidR="00027678" w:rsidRPr="00092ED7">
        <w:rPr>
          <w:rFonts w:cs="Times New Roman"/>
          <w:szCs w:val="24"/>
          <w:lang w:val="sr-Cyrl-CS"/>
        </w:rPr>
        <w:t>”</w:t>
      </w:r>
      <w:r w:rsidRPr="00092ED7">
        <w:rPr>
          <w:rFonts w:eastAsia="Calibri" w:cs="Times New Roman"/>
          <w:bCs/>
          <w:szCs w:val="24"/>
          <w:lang w:val="sr-Cyrl-CS"/>
        </w:rPr>
        <w:t xml:space="preserve"> у Београду, ,,Константин Велики</w:t>
      </w:r>
      <w:r w:rsidR="005866A9" w:rsidRPr="00092ED7">
        <w:rPr>
          <w:rFonts w:cs="Times New Roman"/>
          <w:szCs w:val="24"/>
          <w:lang w:val="sr-Cyrl-CS"/>
        </w:rPr>
        <w:t>”</w:t>
      </w:r>
      <w:r w:rsidRPr="00092ED7">
        <w:rPr>
          <w:rFonts w:eastAsia="Calibri" w:cs="Times New Roman"/>
          <w:bCs/>
          <w:szCs w:val="24"/>
          <w:lang w:val="sr-Cyrl-CS"/>
        </w:rPr>
        <w:t xml:space="preserve"> у Нишу и ,,Морава</w:t>
      </w:r>
      <w:r w:rsidR="00027678" w:rsidRPr="00092ED7">
        <w:rPr>
          <w:rFonts w:cs="Times New Roman"/>
          <w:szCs w:val="24"/>
          <w:lang w:val="sr-Cyrl-CS"/>
        </w:rPr>
        <w:t>”</w:t>
      </w:r>
      <w:r w:rsidRPr="00092ED7">
        <w:rPr>
          <w:rFonts w:eastAsia="Calibri" w:cs="Times New Roman"/>
          <w:bCs/>
          <w:szCs w:val="24"/>
          <w:lang w:val="sr-Cyrl-CS"/>
        </w:rPr>
        <w:t xml:space="preserve"> код Краљева. Изводе се радови на модернизацији аеродрома „Никола Тесла</w:t>
      </w:r>
      <w:r w:rsidR="00027678" w:rsidRPr="00092ED7">
        <w:rPr>
          <w:rFonts w:cs="Times New Roman"/>
          <w:szCs w:val="24"/>
          <w:lang w:val="sr-Cyrl-CS"/>
        </w:rPr>
        <w:t>”</w:t>
      </w:r>
      <w:r w:rsidRPr="00092ED7">
        <w:rPr>
          <w:rFonts w:eastAsia="Calibri" w:cs="Times New Roman"/>
          <w:bCs/>
          <w:szCs w:val="24"/>
          <w:lang w:val="sr-Cyrl-CS"/>
        </w:rPr>
        <w:t xml:space="preserve"> у Београду, што ће допринети повећању годишњег капацитета са 6 мил</w:t>
      </w:r>
      <w:r w:rsidR="00FD7510" w:rsidRPr="00092ED7">
        <w:rPr>
          <w:rFonts w:eastAsia="Calibri" w:cs="Times New Roman"/>
          <w:bCs/>
          <w:szCs w:val="24"/>
          <w:lang w:val="sr-Cyrl-CS"/>
        </w:rPr>
        <w:t>иона</w:t>
      </w:r>
      <w:r w:rsidRPr="00092ED7">
        <w:rPr>
          <w:rFonts w:eastAsia="Calibri" w:cs="Times New Roman"/>
          <w:bCs/>
          <w:szCs w:val="24"/>
          <w:lang w:val="sr-Cyrl-CS"/>
        </w:rPr>
        <w:t xml:space="preserve"> на скоро 14 мил</w:t>
      </w:r>
      <w:r w:rsidR="00FD7510" w:rsidRPr="00092ED7">
        <w:rPr>
          <w:rFonts w:eastAsia="Calibri" w:cs="Times New Roman"/>
          <w:bCs/>
          <w:szCs w:val="24"/>
          <w:lang w:val="sr-Cyrl-CS"/>
        </w:rPr>
        <w:t>иона</w:t>
      </w:r>
      <w:r w:rsidRPr="00092ED7">
        <w:rPr>
          <w:rFonts w:eastAsia="Calibri" w:cs="Times New Roman"/>
          <w:bCs/>
          <w:szCs w:val="24"/>
          <w:lang w:val="sr-Cyrl-CS"/>
        </w:rPr>
        <w:t xml:space="preserve"> путника годишње. Изграђена је нова топлана на београдском аеродрому, што ће омогућити смањење емисије CO</w:t>
      </w:r>
      <w:r w:rsidRPr="00092ED7">
        <w:rPr>
          <w:rFonts w:eastAsia="Calibri" w:cs="Times New Roman"/>
          <w:bCs/>
          <w:szCs w:val="24"/>
          <w:vertAlign w:val="subscript"/>
          <w:lang w:val="sr-Cyrl-CS"/>
        </w:rPr>
        <w:t>2</w:t>
      </w:r>
      <w:r w:rsidRPr="00092ED7">
        <w:rPr>
          <w:rFonts w:eastAsia="Calibri" w:cs="Times New Roman"/>
          <w:bCs/>
          <w:szCs w:val="24"/>
          <w:lang w:val="sr-Cyrl-CS"/>
        </w:rPr>
        <w:t xml:space="preserve"> за 3.000 тона</w:t>
      </w:r>
      <w:r w:rsidRPr="00092ED7">
        <w:rPr>
          <w:rFonts w:eastAsia="Calibri" w:cs="Times New Roman"/>
          <w:bCs/>
          <w:szCs w:val="24"/>
          <w:vertAlign w:val="superscript"/>
          <w:lang w:val="sr-Cyrl-CS"/>
        </w:rPr>
        <w:footnoteReference w:id="157"/>
      </w:r>
      <w:r w:rsidRPr="00092ED7">
        <w:rPr>
          <w:rFonts w:eastAsia="Calibri" w:cs="Times New Roman"/>
          <w:bCs/>
          <w:szCs w:val="24"/>
          <w:lang w:val="sr-Cyrl-CS"/>
        </w:rPr>
        <w:t>. Започета је изградња нове терминалне зграде на аеродрому „Константин Велики</w:t>
      </w:r>
      <w:r w:rsidR="00027678" w:rsidRPr="00092ED7">
        <w:rPr>
          <w:rFonts w:cs="Times New Roman"/>
          <w:szCs w:val="24"/>
          <w:lang w:val="sr-Cyrl-CS"/>
        </w:rPr>
        <w:t>”</w:t>
      </w:r>
      <w:r w:rsidRPr="00092ED7">
        <w:rPr>
          <w:rFonts w:eastAsia="Calibri" w:cs="Times New Roman"/>
          <w:bCs/>
          <w:szCs w:val="24"/>
          <w:lang w:val="sr-Cyrl-CS"/>
        </w:rPr>
        <w:t xml:space="preserve"> у Нишу, што ће повећати годишњи капацитет на</w:t>
      </w:r>
      <w:r w:rsidR="0011016A" w:rsidRPr="00092ED7">
        <w:rPr>
          <w:rFonts w:eastAsia="Calibri" w:cs="Times New Roman"/>
          <w:bCs/>
          <w:szCs w:val="24"/>
          <w:lang w:val="sr-Cyrl-CS"/>
        </w:rPr>
        <w:t xml:space="preserve"> 1,5 милиона</w:t>
      </w:r>
      <w:r w:rsidRPr="00092ED7">
        <w:rPr>
          <w:rFonts w:eastAsia="Calibri" w:cs="Times New Roman"/>
          <w:bCs/>
          <w:szCs w:val="24"/>
          <w:lang w:val="sr-Cyrl-CS"/>
        </w:rPr>
        <w:t xml:space="preserve"> путника, омогућити већи број летова и убрзати прекограничне процедуре. На аеродрому ,,Никола Тесла</w:t>
      </w:r>
      <w:r w:rsidR="00027678" w:rsidRPr="00092ED7">
        <w:rPr>
          <w:rFonts w:cs="Times New Roman"/>
          <w:szCs w:val="24"/>
          <w:lang w:val="sr-Cyrl-CS"/>
        </w:rPr>
        <w:t>”</w:t>
      </w:r>
      <w:r w:rsidRPr="00092ED7">
        <w:rPr>
          <w:rFonts w:eastAsia="Calibri" w:cs="Times New Roman"/>
          <w:bCs/>
          <w:szCs w:val="24"/>
          <w:lang w:val="sr-Cyrl-CS"/>
        </w:rPr>
        <w:t xml:space="preserve"> у Београду број путника је повећан за 73% мг, а број комерцијалних летова је већи за 45% мг у 2021.</w:t>
      </w:r>
      <w:r w:rsidRPr="00092ED7">
        <w:rPr>
          <w:rFonts w:eastAsia="Calibri" w:cs="Times New Roman"/>
          <w:bCs/>
          <w:szCs w:val="24"/>
          <w:vertAlign w:val="superscript"/>
          <w:lang w:val="sr-Cyrl-CS"/>
        </w:rPr>
        <w:footnoteReference w:id="158"/>
      </w:r>
      <w:r w:rsidRPr="00092ED7">
        <w:rPr>
          <w:rFonts w:eastAsia="Calibri" w:cs="Times New Roman"/>
          <w:bCs/>
          <w:szCs w:val="24"/>
          <w:lang w:val="sr-Cyrl-CS"/>
        </w:rPr>
        <w:t xml:space="preserve"> години, док </w:t>
      </w:r>
      <w:r w:rsidR="00525258" w:rsidRPr="00092ED7">
        <w:rPr>
          <w:rFonts w:eastAsia="Calibri" w:cs="Times New Roman"/>
          <w:bCs/>
          <w:szCs w:val="24"/>
          <w:lang w:val="sr-Cyrl-CS"/>
        </w:rPr>
        <w:t xml:space="preserve">се </w:t>
      </w:r>
      <w:r w:rsidRPr="00092ED7">
        <w:rPr>
          <w:rFonts w:eastAsia="Calibri" w:cs="Times New Roman"/>
          <w:bCs/>
          <w:szCs w:val="24"/>
          <w:lang w:val="sr-Cyrl-CS"/>
        </w:rPr>
        <w:t xml:space="preserve">у </w:t>
      </w:r>
      <w:r w:rsidR="00525258" w:rsidRPr="00092ED7">
        <w:rPr>
          <w:rFonts w:eastAsia="Calibri" w:cs="Times New Roman"/>
          <w:bCs/>
          <w:szCs w:val="24"/>
          <w:lang w:val="sr-Cyrl-CS"/>
        </w:rPr>
        <w:t xml:space="preserve">периоду јануар-септембар </w:t>
      </w:r>
      <w:r w:rsidRPr="00092ED7">
        <w:rPr>
          <w:rFonts w:eastAsia="Calibri" w:cs="Times New Roman"/>
          <w:bCs/>
          <w:szCs w:val="24"/>
          <w:lang w:val="sr-Cyrl-CS"/>
        </w:rPr>
        <w:t xml:space="preserve">2022. </w:t>
      </w:r>
      <w:r w:rsidR="00525258" w:rsidRPr="00092ED7">
        <w:rPr>
          <w:rFonts w:eastAsia="Calibri" w:cs="Times New Roman"/>
          <w:bCs/>
          <w:szCs w:val="24"/>
          <w:lang w:val="sr-Cyrl-CS"/>
        </w:rPr>
        <w:t xml:space="preserve">године </w:t>
      </w:r>
      <w:r w:rsidRPr="00092ED7">
        <w:rPr>
          <w:rFonts w:eastAsia="Calibri" w:cs="Times New Roman"/>
          <w:bCs/>
          <w:szCs w:val="24"/>
          <w:lang w:val="sr-Cyrl-CS"/>
        </w:rPr>
        <w:t>бележи</w:t>
      </w:r>
      <w:r w:rsidR="00525258" w:rsidRPr="00092ED7">
        <w:rPr>
          <w:rFonts w:eastAsia="Calibri" w:cs="Times New Roman"/>
          <w:bCs/>
          <w:szCs w:val="24"/>
          <w:vertAlign w:val="superscript"/>
          <w:lang w:val="sr-Cyrl-CS"/>
        </w:rPr>
        <w:footnoteReference w:id="159"/>
      </w:r>
      <w:r w:rsidRPr="00092ED7">
        <w:rPr>
          <w:rFonts w:eastAsia="Calibri" w:cs="Times New Roman"/>
          <w:bCs/>
          <w:szCs w:val="24"/>
          <w:lang w:val="sr-Cyrl-CS"/>
        </w:rPr>
        <w:t xml:space="preserve"> повећање броја путника за </w:t>
      </w:r>
      <w:r w:rsidR="00525258" w:rsidRPr="00092ED7">
        <w:rPr>
          <w:rFonts w:eastAsia="Calibri" w:cs="Times New Roman"/>
          <w:bCs/>
          <w:szCs w:val="24"/>
          <w:lang w:val="sr-Cyrl-CS"/>
        </w:rPr>
        <w:t>71% мг (4,2 милиона путника)</w:t>
      </w:r>
      <w:r w:rsidRPr="00092ED7">
        <w:rPr>
          <w:rFonts w:eastAsia="Calibri" w:cs="Times New Roman"/>
          <w:bCs/>
          <w:szCs w:val="24"/>
          <w:lang w:val="sr-Cyrl-CS"/>
        </w:rPr>
        <w:t xml:space="preserve"> и раст броја летова за </w:t>
      </w:r>
      <w:r w:rsidR="00525258" w:rsidRPr="00092ED7">
        <w:rPr>
          <w:rFonts w:eastAsia="Calibri" w:cs="Times New Roman"/>
          <w:bCs/>
          <w:szCs w:val="24"/>
          <w:lang w:val="sr-Cyrl-CS"/>
        </w:rPr>
        <w:t>37</w:t>
      </w:r>
      <w:r w:rsidRPr="00092ED7">
        <w:rPr>
          <w:rFonts w:eastAsia="Calibri" w:cs="Times New Roman"/>
          <w:bCs/>
          <w:szCs w:val="24"/>
          <w:lang w:val="sr-Cyrl-CS"/>
        </w:rPr>
        <w:t>% мг</w:t>
      </w:r>
      <w:r w:rsidR="00525258" w:rsidRPr="00092ED7">
        <w:rPr>
          <w:rFonts w:eastAsia="Calibri" w:cs="Times New Roman"/>
          <w:bCs/>
          <w:szCs w:val="24"/>
          <w:lang w:val="sr-Cyrl-CS"/>
        </w:rPr>
        <w:t xml:space="preserve"> (више од 49 хиљада полетања и слетања)</w:t>
      </w:r>
      <w:r w:rsidRPr="00092ED7">
        <w:rPr>
          <w:rFonts w:eastAsia="Calibri" w:cs="Times New Roman"/>
          <w:bCs/>
          <w:szCs w:val="24"/>
          <w:lang w:val="sr-Cyrl-CS"/>
        </w:rPr>
        <w:t>. На Аеродрому ,,Константин Велики</w:t>
      </w:r>
      <w:r w:rsidR="005866A9" w:rsidRPr="00092ED7">
        <w:rPr>
          <w:rFonts w:cs="Times New Roman"/>
          <w:szCs w:val="24"/>
          <w:lang w:val="sr-Cyrl-CS"/>
        </w:rPr>
        <w:t>”</w:t>
      </w:r>
      <w:r w:rsidRPr="00092ED7">
        <w:rPr>
          <w:rFonts w:eastAsia="Calibri" w:cs="Times New Roman"/>
          <w:bCs/>
          <w:szCs w:val="24"/>
          <w:lang w:val="sr-Cyrl-CS"/>
        </w:rPr>
        <w:t xml:space="preserve"> у Нишу смањен је број путника за 5,1% мг и забележен пад превезене робе за 40,5% мг у 2021.</w:t>
      </w:r>
      <w:r w:rsidRPr="00092ED7">
        <w:rPr>
          <w:rFonts w:eastAsia="Calibri" w:cs="Times New Roman"/>
          <w:bCs/>
          <w:szCs w:val="24"/>
          <w:vertAlign w:val="superscript"/>
          <w:lang w:val="sr-Cyrl-CS"/>
        </w:rPr>
        <w:t xml:space="preserve"> </w:t>
      </w:r>
      <w:r w:rsidRPr="00092ED7">
        <w:rPr>
          <w:rFonts w:eastAsia="Calibri" w:cs="Times New Roman"/>
          <w:bCs/>
          <w:szCs w:val="24"/>
          <w:vertAlign w:val="superscript"/>
          <w:lang w:val="sr-Cyrl-CS"/>
        </w:rPr>
        <w:footnoteReference w:id="160"/>
      </w:r>
      <w:r w:rsidRPr="00092ED7">
        <w:rPr>
          <w:rFonts w:eastAsia="Calibri" w:cs="Times New Roman"/>
          <w:bCs/>
          <w:szCs w:val="24"/>
          <w:vertAlign w:val="superscript"/>
          <w:lang w:val="sr-Cyrl-CS"/>
        </w:rPr>
        <w:t xml:space="preserve"> </w:t>
      </w:r>
      <w:r w:rsidRPr="00092ED7">
        <w:rPr>
          <w:rFonts w:eastAsia="Calibri" w:cs="Times New Roman"/>
          <w:bCs/>
          <w:szCs w:val="24"/>
          <w:lang w:val="sr-Cyrl-CS"/>
        </w:rPr>
        <w:t>године, док је у периоду јануар-јун 2022. године остварен раст броја путника за</w:t>
      </w:r>
      <w:r w:rsidRPr="00092ED7">
        <w:rPr>
          <w:rFonts w:eastAsia="Calibri" w:cs="Times New Roman"/>
          <w:bCs/>
          <w:szCs w:val="24"/>
          <w:vertAlign w:val="superscript"/>
          <w:lang w:val="sr-Cyrl-CS"/>
        </w:rPr>
        <w:t xml:space="preserve"> </w:t>
      </w:r>
      <w:r w:rsidRPr="00092ED7">
        <w:rPr>
          <w:rFonts w:eastAsia="Calibri" w:cs="Times New Roman"/>
          <w:bCs/>
          <w:szCs w:val="24"/>
          <w:lang w:val="sr-Cyrl-CS"/>
        </w:rPr>
        <w:t>6,9 пута и пад превезене робе за 68,7% мг.</w:t>
      </w:r>
    </w:p>
    <w:p w14:paraId="0D68E847"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б) Реформе</w:t>
      </w:r>
    </w:p>
    <w:p w14:paraId="0CA3B227" w14:textId="77777777" w:rsidR="00D210F0" w:rsidRPr="00092ED7" w:rsidRDefault="00D210F0" w:rsidP="00D210F0">
      <w:pPr>
        <w:spacing w:before="120"/>
        <w:rPr>
          <w:rFonts w:cs="Times New Roman"/>
          <w:szCs w:val="24"/>
          <w:lang w:val="sr-Cyrl-CS"/>
        </w:rPr>
      </w:pPr>
      <w:r w:rsidRPr="00092ED7">
        <w:rPr>
          <w:rFonts w:cs="Times New Roman"/>
          <w:b/>
          <w:bCs/>
          <w:szCs w:val="24"/>
          <w:u w:val="single"/>
          <w:lang w:val="sr-Cyrl-CS"/>
        </w:rPr>
        <w:t>СТРУКТУРНА РЕФОРМА 19</w:t>
      </w:r>
      <w:r w:rsidRPr="00092ED7">
        <w:rPr>
          <w:rFonts w:cs="Times New Roman"/>
          <w:b/>
          <w:bCs/>
          <w:szCs w:val="24"/>
          <w:lang w:val="sr-Cyrl-CS"/>
        </w:rPr>
        <w:t xml:space="preserve">: </w:t>
      </w:r>
      <w:r w:rsidRPr="00092ED7">
        <w:rPr>
          <w:rFonts w:cs="Times New Roman"/>
          <w:smallCaps/>
          <w:szCs w:val="24"/>
          <w:lang w:val="sr-Cyrl-CS"/>
        </w:rPr>
        <w:t>УНАПРЕЂЕЊЕ ЕФИКАСНОСТИ И БЕЗБЕДНОСТИ У ЖЕЛЕЗНИЧКОМ САОБРАЋАЈУ</w:t>
      </w:r>
    </w:p>
    <w:p w14:paraId="7EF64B25" w14:textId="77777777" w:rsidR="00D210F0" w:rsidRPr="00092ED7" w:rsidRDefault="00D210F0" w:rsidP="00071952">
      <w:pPr>
        <w:widowControl w:val="0"/>
        <w:numPr>
          <w:ilvl w:val="0"/>
          <w:numId w:val="35"/>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49ADC77F" w14:textId="109B336A" w:rsidR="00D210F0" w:rsidRPr="00092ED7" w:rsidRDefault="00D210F0" w:rsidP="00296994">
      <w:pPr>
        <w:spacing w:after="60"/>
        <w:rPr>
          <w:rFonts w:cs="Times New Roman"/>
          <w:lang w:val="sr-Cyrl-CS"/>
        </w:rPr>
      </w:pPr>
      <w:r w:rsidRPr="00092ED7">
        <w:rPr>
          <w:rFonts w:cs="Times New Roman"/>
          <w:lang w:val="sr-Cyrl-CS"/>
        </w:rPr>
        <w:t>Активности на реформи железничког сектора Република Србија интензивно спроводи од 2015. године, почев од оснивања нових железничких предузећа, успостављања законодавног оквира, отварања тржишта, унапређења пословања предузећа, решавања питања дугова и вишка имовине, оптимизације броја запослених и рационализације мреже.</w:t>
      </w:r>
      <w:r w:rsidR="00FE7C38" w:rsidRPr="00092ED7">
        <w:rPr>
          <w:rFonts w:cs="Times New Roman"/>
          <w:lang w:val="sr-Cyrl-CS"/>
        </w:rPr>
        <w:t xml:space="preserve"> Паралелно се улажу и напори у стварање услова за трајно одрживо пословање предузећа, даље отварање тржишта и унапређења услуга у складу са ЕУ прописима, стандардима и праксом. Унапређује се железничка инфраструктура кроз пројекте реконструкције, модернизације и изградње пруга и других капацитета, а у складу са програмом јавне железничке инфраструктуре (у току је припрема планског документа</w:t>
      </w:r>
      <w:r w:rsidR="002A640D" w:rsidRPr="00092ED7">
        <w:rPr>
          <w:rFonts w:cs="Times New Roman"/>
          <w:lang w:val="sr-Cyrl-CS"/>
        </w:rPr>
        <w:t xml:space="preserve"> за наредни период</w:t>
      </w:r>
      <w:r w:rsidR="00FE7C38" w:rsidRPr="00092ED7">
        <w:rPr>
          <w:rFonts w:cs="Times New Roman"/>
          <w:lang w:val="sr-Cyrl-CS"/>
        </w:rPr>
        <w:t>).</w:t>
      </w:r>
    </w:p>
    <w:p w14:paraId="2ACB331F" w14:textId="43C0B5A9" w:rsidR="00D210F0" w:rsidRPr="00092ED7" w:rsidRDefault="00D210F0" w:rsidP="00296994">
      <w:pPr>
        <w:spacing w:after="60"/>
        <w:rPr>
          <w:rFonts w:cs="Times New Roman"/>
          <w:lang w:val="sr-Cyrl-CS"/>
        </w:rPr>
      </w:pPr>
      <w:r w:rsidRPr="00092ED7">
        <w:rPr>
          <w:rFonts w:cs="Times New Roman"/>
          <w:lang w:val="sr-Cyrl-CS"/>
        </w:rPr>
        <w:t xml:space="preserve">Главне активности у наредном периоду, с обзиром да су у завршној фази усаглашавање закона са IV пакетом железничких ЕУ прописа и доношење нове Методологије за обрачун цене приступа железничкој инфраструктури, су: 1) примена нове Методологије за обрачун цене приступа железничкој инфраструктури, што има за циљ обрачун цена приступа које су засноване на стварним трошковима чиме ће се омогућити предвидљивије тржиште железничких услуга, 2) </w:t>
      </w:r>
      <w:r w:rsidR="00FE7C38" w:rsidRPr="00092ED7">
        <w:rPr>
          <w:rFonts w:cs="Times New Roman"/>
          <w:lang w:val="sr-Cyrl-CS"/>
        </w:rPr>
        <w:t xml:space="preserve">подизање нивоа безбедности на путним прелазима што ће имати за циљ </w:t>
      </w:r>
      <w:r w:rsidRPr="00092ED7">
        <w:rPr>
          <w:rFonts w:cs="Times New Roman"/>
          <w:lang w:val="sr-Cyrl-CS"/>
        </w:rPr>
        <w:t>унапређење без</w:t>
      </w:r>
      <w:r w:rsidR="00FE7C38" w:rsidRPr="00092ED7">
        <w:rPr>
          <w:rFonts w:cs="Times New Roman"/>
          <w:lang w:val="sr-Cyrl-CS"/>
        </w:rPr>
        <w:t>бедности железничког саобраћаја</w:t>
      </w:r>
      <w:r w:rsidRPr="00092ED7">
        <w:rPr>
          <w:rFonts w:cs="Times New Roman"/>
          <w:lang w:val="sr-Cyrl-CS"/>
        </w:rPr>
        <w:t xml:space="preserve"> </w:t>
      </w:r>
      <w:r w:rsidR="00FE7C38" w:rsidRPr="00092ED7">
        <w:rPr>
          <w:rFonts w:cs="Times New Roman"/>
          <w:lang w:val="sr-Cyrl-CS"/>
        </w:rPr>
        <w:t>односно</w:t>
      </w:r>
      <w:r w:rsidR="00E527B3" w:rsidRPr="00092ED7">
        <w:rPr>
          <w:rFonts w:cs="Times New Roman"/>
          <w:lang w:val="sr-Cyrl-CS"/>
        </w:rPr>
        <w:t xml:space="preserve"> </w:t>
      </w:r>
      <w:r w:rsidR="00FE7C38" w:rsidRPr="00092ED7">
        <w:rPr>
          <w:rFonts w:cs="Times New Roman"/>
          <w:lang w:val="sr-Cyrl-CS"/>
        </w:rPr>
        <w:t xml:space="preserve">смањење </w:t>
      </w:r>
      <w:r w:rsidRPr="00092ED7">
        <w:rPr>
          <w:rFonts w:cs="Times New Roman"/>
          <w:lang w:val="sr-Cyrl-CS"/>
        </w:rPr>
        <w:t xml:space="preserve">броја саобраћајних незгода и 3) </w:t>
      </w:r>
      <w:r w:rsidR="00FE7C38" w:rsidRPr="00092ED7">
        <w:rPr>
          <w:rFonts w:cs="Times New Roman"/>
          <w:lang w:val="sr-Cyrl-CS"/>
        </w:rPr>
        <w:t xml:space="preserve">стварање услова за </w:t>
      </w:r>
      <w:r w:rsidRPr="00092ED7">
        <w:rPr>
          <w:rFonts w:cs="Times New Roman"/>
          <w:lang w:val="sr-Cyrl-CS"/>
        </w:rPr>
        <w:t xml:space="preserve">унапређење ефикасности </w:t>
      </w:r>
      <w:r w:rsidR="00FE7C38" w:rsidRPr="00092ED7">
        <w:rPr>
          <w:rFonts w:cs="Times New Roman"/>
          <w:lang w:val="sr-Cyrl-CS"/>
        </w:rPr>
        <w:t xml:space="preserve">железничког </w:t>
      </w:r>
      <w:r w:rsidRPr="00092ED7">
        <w:rPr>
          <w:rFonts w:cs="Times New Roman"/>
          <w:lang w:val="sr-Cyrl-CS"/>
        </w:rPr>
        <w:t xml:space="preserve">путничког саобраћаја кроз унапређени уговорни однос, нове услуге, промотивне активности и унапређење ефикасности пословања (продајне мреже, енергетске ефикасности, управљања ресурсима). </w:t>
      </w:r>
    </w:p>
    <w:p w14:paraId="5074F9E3" w14:textId="3AA0154C" w:rsidR="00D210F0" w:rsidRDefault="00D210F0" w:rsidP="00296994">
      <w:pPr>
        <w:tabs>
          <w:tab w:val="left" w:pos="180"/>
          <w:tab w:val="left" w:pos="360"/>
        </w:tabs>
        <w:spacing w:after="60"/>
        <w:rPr>
          <w:rFonts w:cs="Times New Roman"/>
          <w:lang w:val="sr-Cyrl-CS"/>
        </w:rPr>
      </w:pPr>
      <w:r w:rsidRPr="00092ED7">
        <w:rPr>
          <w:rFonts w:cs="Times New Roman"/>
          <w:lang w:val="sr-Cyrl-CS"/>
        </w:rPr>
        <w:t>Сва улагања у железницу директно доприносе спровођењу Европског зеленог договора, с обзиром на све техничке одлике и еколошку повољност овог вида превоза.</w:t>
      </w:r>
    </w:p>
    <w:p w14:paraId="2A5DC520" w14:textId="61D3874F" w:rsidR="00BA1B20" w:rsidRDefault="00BA1B20" w:rsidP="00296994">
      <w:pPr>
        <w:tabs>
          <w:tab w:val="left" w:pos="180"/>
          <w:tab w:val="left" w:pos="360"/>
        </w:tabs>
        <w:spacing w:after="60"/>
        <w:rPr>
          <w:rFonts w:cs="Times New Roman"/>
          <w:lang w:val="sr-Cyrl-CS"/>
        </w:rPr>
      </w:pPr>
    </w:p>
    <w:p w14:paraId="0AFAD4DE" w14:textId="77777777" w:rsidR="00BA1B20" w:rsidRPr="00092ED7" w:rsidRDefault="00BA1B20" w:rsidP="00296994">
      <w:pPr>
        <w:tabs>
          <w:tab w:val="left" w:pos="180"/>
          <w:tab w:val="left" w:pos="360"/>
        </w:tabs>
        <w:spacing w:after="60"/>
        <w:rPr>
          <w:rFonts w:cs="Times New Roman"/>
          <w:lang w:val="sr-Cyrl-CS"/>
        </w:rPr>
      </w:pPr>
    </w:p>
    <w:p w14:paraId="32A35A33" w14:textId="77777777" w:rsidR="00D210F0" w:rsidRPr="00092ED7" w:rsidRDefault="00D210F0" w:rsidP="00071952">
      <w:pPr>
        <w:widowControl w:val="0"/>
        <w:numPr>
          <w:ilvl w:val="0"/>
          <w:numId w:val="35"/>
        </w:numPr>
        <w:spacing w:before="120"/>
        <w:ind w:left="425" w:hanging="425"/>
        <w:rPr>
          <w:rFonts w:cs="Times New Roman"/>
          <w:b/>
          <w:smallCaps/>
          <w:lang w:val="sr-Cyrl-CS"/>
        </w:rPr>
      </w:pPr>
      <w:r w:rsidRPr="00092ED7">
        <w:rPr>
          <w:rFonts w:cs="Times New Roman"/>
          <w:b/>
          <w:bCs/>
          <w:szCs w:val="24"/>
          <w:lang w:val="sr-Cyrl-CS"/>
        </w:rPr>
        <w:t>Планиране активности по годинама</w:t>
      </w:r>
    </w:p>
    <w:tbl>
      <w:tblPr>
        <w:tblW w:w="9084" w:type="dxa"/>
        <w:tblLayout w:type="fixed"/>
        <w:tblCellMar>
          <w:left w:w="0" w:type="dxa"/>
          <w:right w:w="0" w:type="dxa"/>
        </w:tblCellMar>
        <w:tblLook w:val="04A0" w:firstRow="1" w:lastRow="0" w:firstColumn="1" w:lastColumn="0" w:noHBand="0" w:noVBand="1"/>
      </w:tblPr>
      <w:tblGrid>
        <w:gridCol w:w="420"/>
        <w:gridCol w:w="4248"/>
        <w:gridCol w:w="368"/>
        <w:gridCol w:w="369"/>
        <w:gridCol w:w="367"/>
        <w:gridCol w:w="369"/>
        <w:gridCol w:w="367"/>
        <w:gridCol w:w="368"/>
        <w:gridCol w:w="368"/>
        <w:gridCol w:w="368"/>
        <w:gridCol w:w="368"/>
        <w:gridCol w:w="367"/>
        <w:gridCol w:w="368"/>
        <w:gridCol w:w="369"/>
      </w:tblGrid>
      <w:tr w:rsidR="00D210F0" w:rsidRPr="00092ED7" w14:paraId="7C737904" w14:textId="77777777" w:rsidTr="006944C5">
        <w:trPr>
          <w:trHeight w:val="310"/>
        </w:trPr>
        <w:tc>
          <w:tcPr>
            <w:tcW w:w="420" w:type="dxa"/>
            <w:vMerge w:val="restart"/>
            <w:tcBorders>
              <w:top w:val="single" w:sz="8" w:space="0" w:color="auto"/>
              <w:left w:val="single" w:sz="8" w:space="0" w:color="auto"/>
              <w:bottom w:val="single" w:sz="8" w:space="0" w:color="000000"/>
              <w:right w:val="nil"/>
            </w:tcBorders>
            <w:shd w:val="clear" w:color="auto" w:fill="BDD6EE"/>
            <w:tcMar>
              <w:top w:w="15" w:type="dxa"/>
              <w:left w:w="15" w:type="dxa"/>
              <w:bottom w:w="0" w:type="dxa"/>
              <w:right w:w="15" w:type="dxa"/>
            </w:tcMar>
            <w:vAlign w:val="center"/>
            <w:hideMark/>
          </w:tcPr>
          <w:p w14:paraId="3FC81D1C" w14:textId="77777777" w:rsidR="00D210F0" w:rsidRPr="00092ED7" w:rsidRDefault="00D210F0" w:rsidP="00D210F0">
            <w:pPr>
              <w:spacing w:after="0"/>
              <w:jc w:val="center"/>
              <w:rPr>
                <w:rFonts w:cs="Times New Roman"/>
                <w:sz w:val="20"/>
                <w:szCs w:val="20"/>
                <w:lang w:val="sr-Cyrl-CS"/>
              </w:rPr>
            </w:pPr>
            <w:r w:rsidRPr="00092ED7">
              <w:rPr>
                <w:rFonts w:cs="Times New Roman"/>
                <w:b/>
                <w:bCs/>
                <w:color w:val="000000"/>
                <w:sz w:val="20"/>
                <w:szCs w:val="20"/>
                <w:lang w:val="sr-Cyrl-CS"/>
              </w:rPr>
              <w:t>РБ</w:t>
            </w:r>
          </w:p>
        </w:tc>
        <w:tc>
          <w:tcPr>
            <w:tcW w:w="4248"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7B11990E" w14:textId="77777777" w:rsidR="00D210F0" w:rsidRPr="00092ED7" w:rsidRDefault="00D210F0" w:rsidP="00D210F0">
            <w:pPr>
              <w:spacing w:after="0"/>
              <w:jc w:val="left"/>
              <w:rPr>
                <w:rFonts w:cs="Times New Roman"/>
                <w:sz w:val="20"/>
                <w:szCs w:val="20"/>
                <w:lang w:val="sr-Cyrl-CS"/>
              </w:rPr>
            </w:pPr>
            <w:r w:rsidRPr="00092ED7">
              <w:rPr>
                <w:rFonts w:cs="Times New Roman"/>
                <w:b/>
                <w:bCs/>
                <w:color w:val="000000"/>
                <w:sz w:val="20"/>
                <w:szCs w:val="20"/>
                <w:lang w:val="sr-Cyrl-CS"/>
              </w:rPr>
              <w:t>Планиране активности</w:t>
            </w:r>
          </w:p>
        </w:tc>
        <w:tc>
          <w:tcPr>
            <w:tcW w:w="1473"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6D299EC7"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71"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0BD1953"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72"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218167AF"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5F290F92" w14:textId="77777777" w:rsidTr="006944C5">
        <w:trPr>
          <w:trHeight w:val="310"/>
        </w:trPr>
        <w:tc>
          <w:tcPr>
            <w:tcW w:w="420" w:type="dxa"/>
            <w:vMerge/>
            <w:tcBorders>
              <w:top w:val="single" w:sz="8" w:space="0" w:color="auto"/>
              <w:left w:val="single" w:sz="8" w:space="0" w:color="auto"/>
              <w:bottom w:val="single" w:sz="8" w:space="0" w:color="000000"/>
              <w:right w:val="nil"/>
            </w:tcBorders>
            <w:vAlign w:val="center"/>
            <w:hideMark/>
          </w:tcPr>
          <w:p w14:paraId="74F6837D" w14:textId="77777777" w:rsidR="00D210F0" w:rsidRPr="00092ED7" w:rsidRDefault="00D210F0" w:rsidP="00D210F0">
            <w:pPr>
              <w:spacing w:after="0"/>
              <w:rPr>
                <w:rFonts w:cs="Times New Roman"/>
                <w:sz w:val="20"/>
                <w:szCs w:val="20"/>
                <w:lang w:val="sr-Cyrl-CS" w:eastAsia="sr-Cyrl-CS" w:bidi="sr-Cyrl-CS"/>
              </w:rPr>
            </w:pPr>
          </w:p>
        </w:tc>
        <w:tc>
          <w:tcPr>
            <w:tcW w:w="4248"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301F4820" w14:textId="77777777" w:rsidR="00D210F0" w:rsidRPr="00092ED7" w:rsidRDefault="00D210F0" w:rsidP="00D210F0">
            <w:pPr>
              <w:spacing w:after="0"/>
              <w:rPr>
                <w:rFonts w:cs="Times New Roman"/>
                <w:sz w:val="20"/>
                <w:szCs w:val="20"/>
                <w:lang w:val="sr-Cyrl-CS" w:eastAsia="sr-Cyrl-CS" w:bidi="sr-Cyrl-CS"/>
              </w:rPr>
            </w:pPr>
          </w:p>
        </w:tc>
        <w:tc>
          <w:tcPr>
            <w:tcW w:w="368"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B1EB4E3"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9"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40E4A53"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3460E2B"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9"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419A746B"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D70FCD1"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29FD6D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902963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8"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349326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A1EF69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0E653D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F2B7BA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9"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232BA7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207D36E4" w14:textId="77777777" w:rsidTr="00DD04E8">
        <w:trPr>
          <w:trHeight w:val="296"/>
        </w:trPr>
        <w:tc>
          <w:tcPr>
            <w:tcW w:w="420"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45473CCA" w14:textId="77777777" w:rsidR="00D210F0" w:rsidRPr="00092ED7" w:rsidRDefault="00D210F0" w:rsidP="00DD04E8">
            <w:pPr>
              <w:spacing w:after="0"/>
              <w:jc w:val="center"/>
              <w:rPr>
                <w:rFonts w:cs="Times New Roman"/>
                <w:sz w:val="20"/>
                <w:szCs w:val="20"/>
                <w:lang w:val="sr-Cyrl-CS"/>
              </w:rPr>
            </w:pPr>
            <w:r w:rsidRPr="00092ED7">
              <w:rPr>
                <w:rFonts w:cs="Times New Roman"/>
                <w:sz w:val="20"/>
                <w:szCs w:val="20"/>
                <w:lang w:val="sr-Cyrl-CS"/>
              </w:rPr>
              <w:t>1.</w:t>
            </w:r>
          </w:p>
        </w:tc>
        <w:tc>
          <w:tcPr>
            <w:tcW w:w="4248"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58F3E8AC" w14:textId="77777777" w:rsidR="00D210F0" w:rsidRPr="00092ED7" w:rsidRDefault="00D210F0" w:rsidP="00D210F0">
            <w:pPr>
              <w:spacing w:after="0"/>
              <w:rPr>
                <w:rFonts w:cs="Times New Roman"/>
                <w:sz w:val="20"/>
                <w:szCs w:val="20"/>
                <w:lang w:val="sr-Cyrl-CS"/>
              </w:rPr>
            </w:pPr>
            <w:r w:rsidRPr="00092ED7">
              <w:rPr>
                <w:rFonts w:cs="Times New Roman"/>
                <w:sz w:val="20"/>
                <w:szCs w:val="20"/>
                <w:lang w:val="sr-Cyrl-CS"/>
              </w:rPr>
              <w:t>Примена нове Методологије за обрачун цене приступа железничкој инфраструктури</w:t>
            </w:r>
          </w:p>
        </w:tc>
        <w:tc>
          <w:tcPr>
            <w:tcW w:w="368" w:type="dxa"/>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14:paraId="2031FFC7"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92E4159"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E8DB4D2"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D5EACB0"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413B1F5"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29ECB8F"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0F418B3"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F644626"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4E3DF58"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4FC0E02"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4B230CE"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hideMark/>
          </w:tcPr>
          <w:p w14:paraId="63070CA6" w14:textId="77777777" w:rsidR="00D210F0" w:rsidRPr="00092ED7" w:rsidRDefault="00D210F0" w:rsidP="00D210F0">
            <w:pPr>
              <w:spacing w:after="0"/>
              <w:rPr>
                <w:rFonts w:cs="Times New Roman"/>
                <w:color w:val="000000"/>
                <w:sz w:val="20"/>
                <w:szCs w:val="20"/>
                <w:lang w:val="sr-Cyrl-CS"/>
              </w:rPr>
            </w:pPr>
            <w:r w:rsidRPr="00092ED7">
              <w:rPr>
                <w:rFonts w:cs="Times New Roman"/>
                <w:color w:val="000000"/>
                <w:sz w:val="20"/>
                <w:szCs w:val="20"/>
                <w:lang w:val="sr-Cyrl-CS"/>
              </w:rPr>
              <w:t> </w:t>
            </w:r>
          </w:p>
        </w:tc>
      </w:tr>
      <w:tr w:rsidR="00D210F0" w:rsidRPr="00092ED7" w14:paraId="77B8D257" w14:textId="77777777" w:rsidTr="00DD04E8">
        <w:trPr>
          <w:trHeight w:val="296"/>
        </w:trPr>
        <w:tc>
          <w:tcPr>
            <w:tcW w:w="420" w:type="dxa"/>
            <w:tcBorders>
              <w:top w:val="nil"/>
              <w:left w:val="single" w:sz="8" w:space="0" w:color="auto"/>
              <w:bottom w:val="single" w:sz="4" w:space="0" w:color="auto"/>
              <w:right w:val="nil"/>
            </w:tcBorders>
            <w:tcMar>
              <w:top w:w="15" w:type="dxa"/>
              <w:left w:w="15" w:type="dxa"/>
              <w:bottom w:w="0" w:type="dxa"/>
              <w:right w:w="15" w:type="dxa"/>
            </w:tcMar>
            <w:hideMark/>
          </w:tcPr>
          <w:p w14:paraId="7EAF8298" w14:textId="77777777" w:rsidR="00D210F0" w:rsidRPr="00092ED7" w:rsidRDefault="00D210F0" w:rsidP="00DD04E8">
            <w:pPr>
              <w:spacing w:after="0"/>
              <w:jc w:val="center"/>
              <w:rPr>
                <w:rFonts w:cs="Times New Roman"/>
                <w:sz w:val="20"/>
                <w:szCs w:val="20"/>
                <w:lang w:val="sr-Cyrl-CS"/>
              </w:rPr>
            </w:pPr>
            <w:r w:rsidRPr="00092ED7">
              <w:rPr>
                <w:rFonts w:cs="Times New Roman"/>
                <w:sz w:val="20"/>
                <w:szCs w:val="20"/>
                <w:lang w:val="sr-Cyrl-CS"/>
              </w:rPr>
              <w:t>2.</w:t>
            </w:r>
          </w:p>
        </w:tc>
        <w:tc>
          <w:tcPr>
            <w:tcW w:w="4248" w:type="dxa"/>
            <w:tcBorders>
              <w:top w:val="nil"/>
              <w:left w:val="single" w:sz="8" w:space="0" w:color="auto"/>
              <w:bottom w:val="single" w:sz="4" w:space="0" w:color="auto"/>
              <w:right w:val="single" w:sz="4" w:space="0" w:color="auto"/>
            </w:tcBorders>
            <w:tcMar>
              <w:top w:w="15" w:type="dxa"/>
              <w:left w:w="15" w:type="dxa"/>
              <w:bottom w:w="0" w:type="dxa"/>
              <w:right w:w="15" w:type="dxa"/>
            </w:tcMar>
            <w:hideMark/>
          </w:tcPr>
          <w:p w14:paraId="2E320325" w14:textId="77777777" w:rsidR="00D210F0" w:rsidRPr="00092ED7" w:rsidRDefault="00317DB5" w:rsidP="00D210F0">
            <w:pPr>
              <w:spacing w:after="0"/>
              <w:rPr>
                <w:rFonts w:cs="Times New Roman"/>
                <w:sz w:val="20"/>
                <w:szCs w:val="20"/>
                <w:lang w:val="sr-Cyrl-CS"/>
              </w:rPr>
            </w:pPr>
            <w:r w:rsidRPr="00092ED7">
              <w:rPr>
                <w:rFonts w:cs="Times New Roman"/>
                <w:sz w:val="20"/>
                <w:szCs w:val="20"/>
                <w:lang w:val="sr-Cyrl-CS"/>
              </w:rPr>
              <w:t>Подизање нивоа безбедности на путним прелазима</w:t>
            </w:r>
          </w:p>
        </w:tc>
        <w:tc>
          <w:tcPr>
            <w:tcW w:w="368"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FAF7B15"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A11A9E6"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2AFAB28"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845E5C4"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C8C4793"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CA2B529"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90CA8CE"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5B4C88C"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37E50F2"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FF3FC3A"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E200C44"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hideMark/>
          </w:tcPr>
          <w:p w14:paraId="5E838CAE" w14:textId="77777777" w:rsidR="00D210F0" w:rsidRPr="00092ED7" w:rsidRDefault="00D210F0" w:rsidP="00D210F0">
            <w:pPr>
              <w:spacing w:after="0"/>
              <w:rPr>
                <w:rFonts w:cs="Times New Roman"/>
                <w:color w:val="000000"/>
                <w:sz w:val="20"/>
                <w:szCs w:val="20"/>
                <w:lang w:val="sr-Cyrl-CS"/>
              </w:rPr>
            </w:pPr>
            <w:r w:rsidRPr="00092ED7">
              <w:rPr>
                <w:rFonts w:cs="Times New Roman"/>
                <w:color w:val="000000"/>
                <w:sz w:val="20"/>
                <w:szCs w:val="20"/>
                <w:lang w:val="sr-Cyrl-CS"/>
              </w:rPr>
              <w:t> </w:t>
            </w:r>
          </w:p>
        </w:tc>
      </w:tr>
      <w:tr w:rsidR="00BE2B7C" w:rsidRPr="00092ED7" w14:paraId="0F231C73" w14:textId="77777777" w:rsidTr="00DD04E8">
        <w:trPr>
          <w:trHeight w:val="296"/>
        </w:trPr>
        <w:tc>
          <w:tcPr>
            <w:tcW w:w="420" w:type="dxa"/>
            <w:tcBorders>
              <w:top w:val="nil"/>
              <w:left w:val="single" w:sz="8" w:space="0" w:color="auto"/>
              <w:bottom w:val="single" w:sz="4" w:space="0" w:color="auto"/>
              <w:right w:val="single" w:sz="8" w:space="0" w:color="auto"/>
            </w:tcBorders>
            <w:tcMar>
              <w:top w:w="15" w:type="dxa"/>
              <w:left w:w="15" w:type="dxa"/>
              <w:bottom w:w="0" w:type="dxa"/>
              <w:right w:w="15" w:type="dxa"/>
            </w:tcMar>
            <w:hideMark/>
          </w:tcPr>
          <w:p w14:paraId="086A395D" w14:textId="77777777" w:rsidR="00D210F0" w:rsidRPr="00092ED7" w:rsidRDefault="00D210F0" w:rsidP="00DD04E8">
            <w:pPr>
              <w:spacing w:after="0"/>
              <w:jc w:val="center"/>
              <w:rPr>
                <w:rFonts w:cs="Times New Roman"/>
                <w:sz w:val="20"/>
                <w:szCs w:val="20"/>
                <w:lang w:val="sr-Cyrl-CS"/>
              </w:rPr>
            </w:pPr>
            <w:r w:rsidRPr="00092ED7">
              <w:rPr>
                <w:rFonts w:cs="Times New Roman"/>
                <w:sz w:val="20"/>
                <w:szCs w:val="20"/>
                <w:lang w:val="sr-Cyrl-CS"/>
              </w:rPr>
              <w:t>3.</w:t>
            </w:r>
          </w:p>
        </w:tc>
        <w:tc>
          <w:tcPr>
            <w:tcW w:w="4248" w:type="dxa"/>
            <w:tcBorders>
              <w:top w:val="nil"/>
              <w:left w:val="nil"/>
              <w:bottom w:val="single" w:sz="4" w:space="0" w:color="auto"/>
              <w:right w:val="nil"/>
            </w:tcBorders>
            <w:tcMar>
              <w:top w:w="15" w:type="dxa"/>
              <w:left w:w="15" w:type="dxa"/>
              <w:bottom w:w="0" w:type="dxa"/>
              <w:right w:w="15" w:type="dxa"/>
            </w:tcMar>
            <w:hideMark/>
          </w:tcPr>
          <w:p w14:paraId="6E274BAC" w14:textId="77777777" w:rsidR="00D210F0" w:rsidRPr="00092ED7" w:rsidRDefault="00317DB5" w:rsidP="00D210F0">
            <w:pPr>
              <w:spacing w:after="0"/>
              <w:rPr>
                <w:rFonts w:cs="Times New Roman"/>
                <w:sz w:val="20"/>
                <w:szCs w:val="20"/>
                <w:lang w:val="sr-Cyrl-CS"/>
              </w:rPr>
            </w:pPr>
            <w:r w:rsidRPr="00092ED7">
              <w:rPr>
                <w:rFonts w:cs="Times New Roman"/>
                <w:sz w:val="20"/>
                <w:szCs w:val="20"/>
                <w:lang w:val="sr-Cyrl-CS"/>
              </w:rPr>
              <w:t>Стварање услова за унапређење ефикасности железничког путничког саобраћаја</w:t>
            </w:r>
          </w:p>
        </w:tc>
        <w:tc>
          <w:tcPr>
            <w:tcW w:w="368"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48EE9BC"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9A9D300"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3106AA8"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7D8B00F"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EE70133"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F25BB85"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597CDC9"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BBE6438"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217AE21"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1801681"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9EC4FFE"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59C5AA4C" w14:textId="77777777" w:rsidR="00D210F0" w:rsidRPr="00092ED7" w:rsidRDefault="00D210F0" w:rsidP="00D210F0">
            <w:pPr>
              <w:spacing w:after="0"/>
              <w:rPr>
                <w:rFonts w:cs="Times New Roman"/>
                <w:color w:val="000000"/>
                <w:sz w:val="20"/>
                <w:szCs w:val="20"/>
                <w:lang w:val="sr-Cyrl-CS"/>
              </w:rPr>
            </w:pPr>
            <w:r w:rsidRPr="00092ED7">
              <w:rPr>
                <w:rFonts w:cs="Times New Roman"/>
                <w:color w:val="000000"/>
                <w:sz w:val="20"/>
                <w:szCs w:val="20"/>
                <w:lang w:val="sr-Cyrl-CS"/>
              </w:rPr>
              <w:t> </w:t>
            </w:r>
          </w:p>
        </w:tc>
      </w:tr>
    </w:tbl>
    <w:p w14:paraId="51071E66" w14:textId="77777777" w:rsidR="00D210F0" w:rsidRPr="00092ED7" w:rsidRDefault="00D210F0" w:rsidP="00071952">
      <w:pPr>
        <w:widowControl w:val="0"/>
        <w:numPr>
          <w:ilvl w:val="0"/>
          <w:numId w:val="35"/>
        </w:numPr>
        <w:spacing w:before="120"/>
        <w:ind w:left="425" w:hanging="425"/>
        <w:rPr>
          <w:rFonts w:cs="Times New Roman"/>
          <w:b/>
          <w:bCs/>
          <w:szCs w:val="24"/>
          <w:lang w:val="sr-Cyrl-CS"/>
        </w:rPr>
      </w:pPr>
      <w:r w:rsidRPr="00092ED7">
        <w:rPr>
          <w:rFonts w:cs="Times New Roman"/>
          <w:b/>
          <w:bCs/>
          <w:szCs w:val="24"/>
          <w:lang w:val="sr-Cyrl-CS"/>
        </w:rPr>
        <w:t>Индикатори ризика</w:t>
      </w:r>
    </w:p>
    <w:tbl>
      <w:tblPr>
        <w:tblStyle w:val="TableGrid"/>
        <w:tblW w:w="9072" w:type="dxa"/>
        <w:tblInd w:w="-5" w:type="dxa"/>
        <w:tblLayout w:type="fixed"/>
        <w:tblLook w:val="04A0" w:firstRow="1" w:lastRow="0" w:firstColumn="1" w:lastColumn="0" w:noHBand="0" w:noVBand="1"/>
      </w:tblPr>
      <w:tblGrid>
        <w:gridCol w:w="3685"/>
        <w:gridCol w:w="1795"/>
        <w:gridCol w:w="1796"/>
        <w:gridCol w:w="1796"/>
      </w:tblGrid>
      <w:tr w:rsidR="00D210F0" w:rsidRPr="00092ED7" w14:paraId="00E8E641" w14:textId="77777777" w:rsidTr="006944C5">
        <w:trPr>
          <w:cnfStyle w:val="100000000000" w:firstRow="1" w:lastRow="0" w:firstColumn="0" w:lastColumn="0" w:oddVBand="0" w:evenVBand="0" w:oddHBand="0" w:evenHBand="0" w:firstRowFirstColumn="0" w:firstRowLastColumn="0" w:lastRowFirstColumn="0" w:lastRowLastColumn="0"/>
        </w:trPr>
        <w:tc>
          <w:tcPr>
            <w:tcW w:w="3685" w:type="dxa"/>
            <w:tcBorders>
              <w:top w:val="single" w:sz="4" w:space="0" w:color="auto"/>
              <w:left w:val="single" w:sz="4" w:space="0" w:color="auto"/>
              <w:bottom w:val="single" w:sz="4" w:space="0" w:color="auto"/>
              <w:right w:val="single" w:sz="4" w:space="0" w:color="auto"/>
            </w:tcBorders>
            <w:hideMark/>
          </w:tcPr>
          <w:p w14:paraId="192618DB" w14:textId="77777777" w:rsidR="00D210F0" w:rsidRPr="00092ED7" w:rsidRDefault="00D210F0" w:rsidP="006944C5">
            <w:pPr>
              <w:spacing w:before="0" w:after="0"/>
              <w:ind w:left="113" w:right="113"/>
              <w:jc w:val="center"/>
              <w:rPr>
                <w:rFonts w:cs="Times New Roman"/>
                <w:b w:val="0"/>
                <w:sz w:val="20"/>
                <w:lang w:val="sr-Cyrl-CS"/>
              </w:rPr>
            </w:pPr>
            <w:r w:rsidRPr="00092ED7">
              <w:rPr>
                <w:rFonts w:cs="Times New Roman"/>
                <w:sz w:val="20"/>
                <w:lang w:val="sr-Cyrl-CS"/>
              </w:rPr>
              <w:t>Показатељ</w:t>
            </w:r>
          </w:p>
        </w:tc>
        <w:tc>
          <w:tcPr>
            <w:tcW w:w="1795" w:type="dxa"/>
            <w:tcBorders>
              <w:top w:val="single" w:sz="4" w:space="0" w:color="auto"/>
              <w:left w:val="single" w:sz="4" w:space="0" w:color="auto"/>
              <w:bottom w:val="single" w:sz="4" w:space="0" w:color="auto"/>
              <w:right w:val="single" w:sz="4" w:space="0" w:color="auto"/>
            </w:tcBorders>
          </w:tcPr>
          <w:p w14:paraId="65944F51"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Почетна вредност (2016)</w:t>
            </w:r>
          </w:p>
        </w:tc>
        <w:tc>
          <w:tcPr>
            <w:tcW w:w="1796" w:type="dxa"/>
            <w:tcBorders>
              <w:top w:val="single" w:sz="4" w:space="0" w:color="auto"/>
              <w:left w:val="single" w:sz="4" w:space="0" w:color="auto"/>
              <w:bottom w:val="single" w:sz="4" w:space="0" w:color="auto"/>
              <w:right w:val="single" w:sz="4" w:space="0" w:color="auto"/>
            </w:tcBorders>
            <w:hideMark/>
          </w:tcPr>
          <w:p w14:paraId="05B3B464"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Међурезултат (2021)</w:t>
            </w:r>
            <w:r w:rsidR="000B5B0F" w:rsidRPr="00092ED7">
              <w:rPr>
                <w:rFonts w:cs="Times New Roman"/>
                <w:sz w:val="20"/>
                <w:lang w:val="sr-Cyrl-CS"/>
              </w:rPr>
              <w:t>*</w:t>
            </w:r>
          </w:p>
        </w:tc>
        <w:tc>
          <w:tcPr>
            <w:tcW w:w="1796" w:type="dxa"/>
            <w:tcBorders>
              <w:top w:val="single" w:sz="4" w:space="0" w:color="auto"/>
              <w:left w:val="single" w:sz="4" w:space="0" w:color="auto"/>
              <w:bottom w:val="single" w:sz="4" w:space="0" w:color="auto"/>
              <w:right w:val="single" w:sz="4" w:space="0" w:color="auto"/>
            </w:tcBorders>
          </w:tcPr>
          <w:p w14:paraId="5A1C0B43"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Циљна вредност (</w:t>
            </w:r>
            <w:r w:rsidR="000B5B0F" w:rsidRPr="00092ED7">
              <w:rPr>
                <w:rFonts w:cs="Times New Roman"/>
                <w:sz w:val="20"/>
                <w:lang w:val="sr-Cyrl-CS"/>
              </w:rPr>
              <w:t>2025</w:t>
            </w:r>
            <w:r w:rsidRPr="00092ED7">
              <w:rPr>
                <w:rFonts w:cs="Times New Roman"/>
                <w:sz w:val="20"/>
                <w:lang w:val="sr-Cyrl-CS"/>
              </w:rPr>
              <w:t>)</w:t>
            </w:r>
          </w:p>
        </w:tc>
      </w:tr>
      <w:tr w:rsidR="00D210F0" w:rsidRPr="00092ED7" w14:paraId="073727A7" w14:textId="77777777" w:rsidTr="006944C5">
        <w:trPr>
          <w:trHeight w:val="283"/>
        </w:trPr>
        <w:tc>
          <w:tcPr>
            <w:tcW w:w="3685" w:type="dxa"/>
            <w:tcBorders>
              <w:top w:val="single" w:sz="4" w:space="0" w:color="auto"/>
              <w:left w:val="single" w:sz="4" w:space="0" w:color="auto"/>
              <w:bottom w:val="single" w:sz="4" w:space="0" w:color="auto"/>
              <w:right w:val="single" w:sz="4" w:space="0" w:color="auto"/>
            </w:tcBorders>
          </w:tcPr>
          <w:p w14:paraId="01D60816" w14:textId="77777777" w:rsidR="00D210F0" w:rsidRPr="00092ED7" w:rsidRDefault="00D210F0" w:rsidP="006944C5">
            <w:pPr>
              <w:spacing w:before="0" w:after="0"/>
              <w:ind w:left="113" w:right="113"/>
              <w:jc w:val="left"/>
              <w:rPr>
                <w:rFonts w:cs="Times New Roman"/>
                <w:bCs/>
                <w:sz w:val="20"/>
                <w:lang w:val="sr-Cyrl-CS"/>
              </w:rPr>
            </w:pPr>
            <w:r w:rsidRPr="00092ED7">
              <w:rPr>
                <w:rFonts w:cs="Times New Roman"/>
                <w:bCs/>
                <w:sz w:val="20"/>
                <w:lang w:val="sr-Cyrl-CS"/>
              </w:rPr>
              <w:t>Количина превезене робе</w:t>
            </w:r>
          </w:p>
        </w:tc>
        <w:tc>
          <w:tcPr>
            <w:tcW w:w="1795" w:type="dxa"/>
            <w:tcBorders>
              <w:top w:val="single" w:sz="4" w:space="0" w:color="auto"/>
              <w:left w:val="single" w:sz="4" w:space="0" w:color="auto"/>
              <w:bottom w:val="single" w:sz="4" w:space="0" w:color="auto"/>
              <w:right w:val="single" w:sz="4" w:space="0" w:color="auto"/>
            </w:tcBorders>
            <w:hideMark/>
          </w:tcPr>
          <w:p w14:paraId="0B00D783"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11.896.000</w:t>
            </w:r>
          </w:p>
        </w:tc>
        <w:tc>
          <w:tcPr>
            <w:tcW w:w="1796" w:type="dxa"/>
            <w:tcBorders>
              <w:top w:val="single" w:sz="4" w:space="0" w:color="auto"/>
              <w:left w:val="single" w:sz="4" w:space="0" w:color="auto"/>
              <w:bottom w:val="single" w:sz="4" w:space="0" w:color="auto"/>
              <w:right w:val="single" w:sz="4" w:space="0" w:color="auto"/>
            </w:tcBorders>
            <w:hideMark/>
          </w:tcPr>
          <w:p w14:paraId="3A587F50"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9.337.300</w:t>
            </w:r>
          </w:p>
        </w:tc>
        <w:tc>
          <w:tcPr>
            <w:tcW w:w="1796" w:type="dxa"/>
            <w:tcBorders>
              <w:top w:val="single" w:sz="4" w:space="0" w:color="auto"/>
              <w:left w:val="single" w:sz="4" w:space="0" w:color="auto"/>
              <w:bottom w:val="single" w:sz="4" w:space="0" w:color="auto"/>
              <w:right w:val="single" w:sz="4" w:space="0" w:color="auto"/>
            </w:tcBorders>
            <w:hideMark/>
          </w:tcPr>
          <w:p w14:paraId="7018EC89"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13.070.200</w:t>
            </w:r>
          </w:p>
        </w:tc>
      </w:tr>
      <w:tr w:rsidR="00D210F0" w:rsidRPr="00092ED7" w14:paraId="2D50CB43" w14:textId="77777777" w:rsidTr="006944C5">
        <w:trPr>
          <w:trHeight w:val="283"/>
        </w:trPr>
        <w:tc>
          <w:tcPr>
            <w:tcW w:w="3685" w:type="dxa"/>
            <w:tcBorders>
              <w:top w:val="single" w:sz="4" w:space="0" w:color="auto"/>
              <w:left w:val="single" w:sz="4" w:space="0" w:color="auto"/>
              <w:bottom w:val="single" w:sz="4" w:space="0" w:color="auto"/>
              <w:right w:val="single" w:sz="4" w:space="0" w:color="auto"/>
            </w:tcBorders>
          </w:tcPr>
          <w:p w14:paraId="69F8EA16" w14:textId="77777777" w:rsidR="00D210F0" w:rsidRPr="00092ED7" w:rsidRDefault="00D210F0" w:rsidP="006944C5">
            <w:pPr>
              <w:spacing w:before="0" w:after="0"/>
              <w:ind w:left="113" w:right="113"/>
              <w:jc w:val="left"/>
              <w:rPr>
                <w:rFonts w:cs="Times New Roman"/>
                <w:sz w:val="20"/>
                <w:lang w:val="sr-Cyrl-CS"/>
              </w:rPr>
            </w:pPr>
            <w:r w:rsidRPr="00092ED7">
              <w:rPr>
                <w:rFonts w:cs="Times New Roman"/>
                <w:bCs/>
                <w:sz w:val="20"/>
                <w:lang w:val="sr-Cyrl-CS"/>
              </w:rPr>
              <w:t>Број превезених путника</w:t>
            </w:r>
          </w:p>
        </w:tc>
        <w:tc>
          <w:tcPr>
            <w:tcW w:w="1795" w:type="dxa"/>
            <w:tcBorders>
              <w:top w:val="single" w:sz="4" w:space="0" w:color="auto"/>
              <w:left w:val="single" w:sz="4" w:space="0" w:color="auto"/>
              <w:bottom w:val="single" w:sz="4" w:space="0" w:color="auto"/>
              <w:right w:val="single" w:sz="4" w:space="0" w:color="auto"/>
            </w:tcBorders>
            <w:hideMark/>
          </w:tcPr>
          <w:p w14:paraId="0D394595"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6.092.000</w:t>
            </w:r>
          </w:p>
        </w:tc>
        <w:tc>
          <w:tcPr>
            <w:tcW w:w="1796" w:type="dxa"/>
            <w:tcBorders>
              <w:top w:val="single" w:sz="4" w:space="0" w:color="auto"/>
              <w:left w:val="single" w:sz="4" w:space="0" w:color="auto"/>
              <w:bottom w:val="single" w:sz="4" w:space="0" w:color="auto"/>
              <w:right w:val="single" w:sz="4" w:space="0" w:color="auto"/>
            </w:tcBorders>
            <w:hideMark/>
          </w:tcPr>
          <w:p w14:paraId="692F14B5"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sz w:val="20"/>
                <w:lang w:val="sr-Cyrl-CS"/>
              </w:rPr>
              <w:t>2.777.309</w:t>
            </w:r>
          </w:p>
        </w:tc>
        <w:tc>
          <w:tcPr>
            <w:tcW w:w="1796" w:type="dxa"/>
            <w:tcBorders>
              <w:top w:val="single" w:sz="4" w:space="0" w:color="auto"/>
              <w:left w:val="single" w:sz="4" w:space="0" w:color="auto"/>
              <w:bottom w:val="single" w:sz="4" w:space="0" w:color="auto"/>
              <w:right w:val="single" w:sz="4" w:space="0" w:color="auto"/>
            </w:tcBorders>
            <w:hideMark/>
          </w:tcPr>
          <w:p w14:paraId="4E3A4AB4"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6.701.200</w:t>
            </w:r>
          </w:p>
        </w:tc>
      </w:tr>
      <w:tr w:rsidR="00D210F0" w:rsidRPr="00092ED7" w14:paraId="64B5FE1F" w14:textId="77777777" w:rsidTr="006944C5">
        <w:trPr>
          <w:trHeight w:val="283"/>
        </w:trPr>
        <w:tc>
          <w:tcPr>
            <w:tcW w:w="3685" w:type="dxa"/>
            <w:tcBorders>
              <w:top w:val="single" w:sz="4" w:space="0" w:color="auto"/>
              <w:left w:val="single" w:sz="4" w:space="0" w:color="auto"/>
              <w:bottom w:val="single" w:sz="4" w:space="0" w:color="auto"/>
              <w:right w:val="single" w:sz="4" w:space="0" w:color="auto"/>
            </w:tcBorders>
          </w:tcPr>
          <w:p w14:paraId="0F928416" w14:textId="77777777" w:rsidR="00D210F0" w:rsidRPr="00092ED7" w:rsidRDefault="00D210F0" w:rsidP="006944C5">
            <w:pPr>
              <w:spacing w:before="0" w:after="0"/>
              <w:ind w:left="113" w:right="113"/>
              <w:jc w:val="left"/>
              <w:rPr>
                <w:rFonts w:cs="Times New Roman"/>
                <w:sz w:val="20"/>
                <w:lang w:val="sr-Cyrl-CS"/>
              </w:rPr>
            </w:pPr>
            <w:r w:rsidRPr="00092ED7">
              <w:rPr>
                <w:rFonts w:cs="Times New Roman"/>
                <w:bCs/>
                <w:sz w:val="20"/>
                <w:lang w:val="sr-Cyrl-CS"/>
              </w:rPr>
              <w:t>Број железничких несрећа</w:t>
            </w:r>
          </w:p>
        </w:tc>
        <w:tc>
          <w:tcPr>
            <w:tcW w:w="1795" w:type="dxa"/>
            <w:tcBorders>
              <w:top w:val="single" w:sz="4" w:space="0" w:color="auto"/>
              <w:left w:val="single" w:sz="4" w:space="0" w:color="auto"/>
              <w:bottom w:val="single" w:sz="4" w:space="0" w:color="auto"/>
              <w:right w:val="single" w:sz="4" w:space="0" w:color="auto"/>
            </w:tcBorders>
            <w:hideMark/>
          </w:tcPr>
          <w:p w14:paraId="02E2030F"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253</w:t>
            </w:r>
            <w:r w:rsidR="000B5B0F" w:rsidRPr="00092ED7">
              <w:rPr>
                <w:rFonts w:cs="Times New Roman"/>
                <w:bCs/>
                <w:sz w:val="20"/>
                <w:lang w:val="sr-Cyrl-CS"/>
              </w:rPr>
              <w:t>**</w:t>
            </w:r>
          </w:p>
        </w:tc>
        <w:tc>
          <w:tcPr>
            <w:tcW w:w="1796" w:type="dxa"/>
            <w:tcBorders>
              <w:top w:val="single" w:sz="4" w:space="0" w:color="auto"/>
              <w:left w:val="single" w:sz="4" w:space="0" w:color="auto"/>
              <w:bottom w:val="single" w:sz="4" w:space="0" w:color="auto"/>
              <w:right w:val="single" w:sz="4" w:space="0" w:color="auto"/>
            </w:tcBorders>
            <w:hideMark/>
          </w:tcPr>
          <w:p w14:paraId="339BF95E"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254</w:t>
            </w:r>
          </w:p>
        </w:tc>
        <w:tc>
          <w:tcPr>
            <w:tcW w:w="1796" w:type="dxa"/>
            <w:tcBorders>
              <w:top w:val="single" w:sz="4" w:space="0" w:color="auto"/>
              <w:left w:val="single" w:sz="4" w:space="0" w:color="auto"/>
              <w:bottom w:val="single" w:sz="4" w:space="0" w:color="auto"/>
              <w:right w:val="single" w:sz="4" w:space="0" w:color="auto"/>
            </w:tcBorders>
            <w:hideMark/>
          </w:tcPr>
          <w:p w14:paraId="01BA575B"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150</w:t>
            </w:r>
          </w:p>
        </w:tc>
      </w:tr>
      <w:tr w:rsidR="00D210F0" w:rsidRPr="00092ED7" w14:paraId="22EE233E" w14:textId="77777777" w:rsidTr="006944C5">
        <w:tc>
          <w:tcPr>
            <w:tcW w:w="3685" w:type="dxa"/>
            <w:tcBorders>
              <w:top w:val="single" w:sz="4" w:space="0" w:color="auto"/>
              <w:left w:val="single" w:sz="4" w:space="0" w:color="auto"/>
              <w:bottom w:val="single" w:sz="4" w:space="0" w:color="auto"/>
              <w:right w:val="single" w:sz="4" w:space="0" w:color="auto"/>
            </w:tcBorders>
          </w:tcPr>
          <w:p w14:paraId="34E2D0B8" w14:textId="77777777" w:rsidR="00D210F0" w:rsidRPr="00092ED7" w:rsidRDefault="00D210F0" w:rsidP="006944C5">
            <w:pPr>
              <w:spacing w:before="0" w:after="0"/>
              <w:ind w:left="113" w:right="113"/>
              <w:jc w:val="left"/>
              <w:rPr>
                <w:rFonts w:cs="Times New Roman"/>
                <w:sz w:val="20"/>
                <w:lang w:val="sr-Cyrl-CS"/>
              </w:rPr>
            </w:pPr>
            <w:r w:rsidRPr="00092ED7">
              <w:rPr>
                <w:rFonts w:cs="Times New Roman"/>
                <w:bCs/>
                <w:sz w:val="20"/>
                <w:lang w:val="sr-Cyrl-CS"/>
              </w:rPr>
              <w:t>Километри реконструисаних (обновљених) пруга (кумулативно од 2015. год</w:t>
            </w:r>
            <w:r w:rsidR="008077CF" w:rsidRPr="00092ED7">
              <w:rPr>
                <w:rFonts w:cs="Times New Roman"/>
                <w:bCs/>
                <w:sz w:val="20"/>
                <w:lang w:val="sr-Cyrl-CS"/>
              </w:rPr>
              <w:t>ине</w:t>
            </w:r>
            <w:r w:rsidRPr="00092ED7">
              <w:rPr>
                <w:rFonts w:cs="Times New Roman"/>
                <w:bCs/>
                <w:sz w:val="20"/>
                <w:lang w:val="sr-Cyrl-CS"/>
              </w:rPr>
              <w:t>)</w:t>
            </w:r>
          </w:p>
        </w:tc>
        <w:tc>
          <w:tcPr>
            <w:tcW w:w="1795" w:type="dxa"/>
            <w:tcBorders>
              <w:top w:val="single" w:sz="4" w:space="0" w:color="auto"/>
              <w:left w:val="single" w:sz="4" w:space="0" w:color="auto"/>
              <w:bottom w:val="single" w:sz="4" w:space="0" w:color="auto"/>
              <w:right w:val="single" w:sz="4" w:space="0" w:color="auto"/>
            </w:tcBorders>
            <w:hideMark/>
          </w:tcPr>
          <w:p w14:paraId="7C6DEB12"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36,3</w:t>
            </w:r>
          </w:p>
        </w:tc>
        <w:tc>
          <w:tcPr>
            <w:tcW w:w="1796" w:type="dxa"/>
            <w:tcBorders>
              <w:top w:val="single" w:sz="4" w:space="0" w:color="auto"/>
              <w:left w:val="single" w:sz="4" w:space="0" w:color="auto"/>
              <w:bottom w:val="single" w:sz="4" w:space="0" w:color="auto"/>
              <w:right w:val="single" w:sz="4" w:space="0" w:color="auto"/>
            </w:tcBorders>
            <w:hideMark/>
          </w:tcPr>
          <w:p w14:paraId="1FE015A4"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1030</w:t>
            </w:r>
          </w:p>
        </w:tc>
        <w:tc>
          <w:tcPr>
            <w:tcW w:w="1796" w:type="dxa"/>
            <w:tcBorders>
              <w:top w:val="single" w:sz="4" w:space="0" w:color="auto"/>
              <w:left w:val="single" w:sz="4" w:space="0" w:color="auto"/>
              <w:bottom w:val="single" w:sz="4" w:space="0" w:color="auto"/>
              <w:right w:val="single" w:sz="4" w:space="0" w:color="auto"/>
            </w:tcBorders>
            <w:hideMark/>
          </w:tcPr>
          <w:p w14:paraId="72AAF10B"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1.092,3</w:t>
            </w:r>
          </w:p>
        </w:tc>
      </w:tr>
    </w:tbl>
    <w:p w14:paraId="24CAB8E6" w14:textId="77777777" w:rsidR="000B5B0F" w:rsidRPr="00092ED7" w:rsidRDefault="000B5B0F" w:rsidP="00A67EE8">
      <w:pPr>
        <w:tabs>
          <w:tab w:val="left" w:pos="360"/>
        </w:tabs>
        <w:spacing w:after="0"/>
        <w:contextualSpacing/>
        <w:rPr>
          <w:rFonts w:cs="Times New Roman"/>
          <w:bCs/>
          <w:sz w:val="16"/>
          <w:szCs w:val="16"/>
          <w:lang w:val="sr-Cyrl-CS"/>
        </w:rPr>
      </w:pPr>
      <w:r w:rsidRPr="00092ED7">
        <w:rPr>
          <w:rFonts w:cs="Times New Roman"/>
          <w:bCs/>
          <w:sz w:val="16"/>
          <w:szCs w:val="16"/>
          <w:lang w:val="sr-Cyrl-CS"/>
        </w:rPr>
        <w:t xml:space="preserve">* Разлог погоршања појединих индикатора резултата у 2021. години су Ковид мере, али и велики број инфрастуктурних радова на железничкој мрежи пруга у Републици Србији. </w:t>
      </w:r>
    </w:p>
    <w:p w14:paraId="10240BF3" w14:textId="77777777" w:rsidR="000B5B0F" w:rsidRPr="00092ED7" w:rsidRDefault="000B5B0F" w:rsidP="00A67EE8">
      <w:pPr>
        <w:tabs>
          <w:tab w:val="left" w:pos="360"/>
        </w:tabs>
        <w:spacing w:after="0"/>
        <w:contextualSpacing/>
        <w:rPr>
          <w:rFonts w:cs="Times New Roman"/>
          <w:bCs/>
          <w:sz w:val="16"/>
          <w:szCs w:val="16"/>
          <w:lang w:val="sr-Cyrl-CS"/>
        </w:rPr>
      </w:pPr>
      <w:r w:rsidRPr="00092ED7">
        <w:rPr>
          <w:rFonts w:cs="Times New Roman"/>
          <w:bCs/>
          <w:sz w:val="16"/>
          <w:szCs w:val="16"/>
          <w:lang w:val="sr-Cyrl-CS"/>
        </w:rPr>
        <w:t>** Податак за 2017. годину, имајући у виду да су се пре 2017. године ванредни догађаји класификовали на другачији начин.</w:t>
      </w:r>
    </w:p>
    <w:p w14:paraId="51EB2C30" w14:textId="77777777" w:rsidR="00D210F0" w:rsidRPr="00092ED7" w:rsidRDefault="00D210F0" w:rsidP="00071952">
      <w:pPr>
        <w:widowControl w:val="0"/>
        <w:numPr>
          <w:ilvl w:val="0"/>
          <w:numId w:val="35"/>
        </w:numPr>
        <w:spacing w:before="120"/>
        <w:ind w:left="425" w:hanging="425"/>
        <w:rPr>
          <w:rFonts w:cs="Times New Roman"/>
          <w:b/>
          <w:bCs/>
          <w:szCs w:val="24"/>
          <w:lang w:val="sr-Cyrl-CS"/>
        </w:rPr>
      </w:pPr>
      <w:r w:rsidRPr="00092ED7">
        <w:rPr>
          <w:b/>
          <w:szCs w:val="24"/>
          <w:lang w:val="sr-Cyrl-CS"/>
        </w:rPr>
        <w:t>Oчекивани утицај на конкурентност</w:t>
      </w:r>
    </w:p>
    <w:p w14:paraId="460B0F25" w14:textId="77777777" w:rsidR="00D210F0" w:rsidRPr="00092ED7" w:rsidRDefault="00D210F0" w:rsidP="00757D8D">
      <w:pPr>
        <w:spacing w:after="60"/>
        <w:rPr>
          <w:rFonts w:cs="Times New Roman"/>
          <w:lang w:val="sr-Cyrl-CS"/>
        </w:rPr>
      </w:pPr>
      <w:r w:rsidRPr="00092ED7">
        <w:rPr>
          <w:rFonts w:cs="Times New Roman"/>
          <w:lang w:val="sr-Cyrl-CS"/>
        </w:rPr>
        <w:t xml:space="preserve">Реформа железничког сектора за коначан циљ има повећање конкурентности, не само унутар железничког сектора, где ће се цене транспортне услуге формирати искључиво како диктирају понуда и потражња, већ и повећање конкуретности железнице у односу на друге видове саобраћаја. </w:t>
      </w:r>
    </w:p>
    <w:p w14:paraId="3150D2E3" w14:textId="77777777" w:rsidR="00D210F0" w:rsidRPr="00092ED7" w:rsidRDefault="00D210F0" w:rsidP="00757D8D">
      <w:pPr>
        <w:spacing w:after="60"/>
        <w:rPr>
          <w:rFonts w:cs="Times New Roman"/>
          <w:lang w:val="sr-Cyrl-CS"/>
        </w:rPr>
      </w:pPr>
      <w:r w:rsidRPr="00092ED7">
        <w:rPr>
          <w:rFonts w:cs="Times New Roman"/>
          <w:lang w:val="sr-Cyrl-CS"/>
        </w:rPr>
        <w:t xml:space="preserve">Досадашњом реформом омогућено постојање отвореног тржишта на националном нивоу на коме тренутно, поред двa државнa, активно послује и 14 приватних железничких превозника, а очекује се даљи раст њиховог броја. </w:t>
      </w:r>
    </w:p>
    <w:p w14:paraId="04B71D25" w14:textId="77777777" w:rsidR="00D210F0" w:rsidRPr="00092ED7" w:rsidRDefault="00D210F0" w:rsidP="00757D8D">
      <w:pPr>
        <w:spacing w:after="60"/>
        <w:rPr>
          <w:rFonts w:cs="Times New Roman"/>
          <w:lang w:val="sr-Cyrl-CS"/>
        </w:rPr>
      </w:pPr>
      <w:r w:rsidRPr="00092ED7">
        <w:rPr>
          <w:rFonts w:cs="Times New Roman"/>
          <w:lang w:val="sr-Cyrl-CS"/>
        </w:rPr>
        <w:t xml:space="preserve">И даље се ради на повећању ефикасности реструктурираних предузећа, али имајући у виду садашњи степен развоја тржишта, корисници железничких услуга у теретном саобраћају већ имају </w:t>
      </w:r>
      <w:r w:rsidR="008C00EF" w:rsidRPr="00092ED7">
        <w:rPr>
          <w:rFonts w:cs="Times New Roman"/>
          <w:lang w:val="sr-Cyrl-CS"/>
        </w:rPr>
        <w:t xml:space="preserve">корист </w:t>
      </w:r>
      <w:r w:rsidRPr="00092ED7">
        <w:rPr>
          <w:rFonts w:cs="Times New Roman"/>
          <w:lang w:val="sr-Cyrl-CS"/>
        </w:rPr>
        <w:t xml:space="preserve">у смислу избора превозника. </w:t>
      </w:r>
    </w:p>
    <w:p w14:paraId="7FE5BD46" w14:textId="77777777" w:rsidR="00D210F0" w:rsidRPr="00092ED7" w:rsidRDefault="00D210F0" w:rsidP="00757D8D">
      <w:pPr>
        <w:tabs>
          <w:tab w:val="left" w:pos="360"/>
        </w:tabs>
        <w:spacing w:after="60"/>
        <w:rPr>
          <w:rFonts w:cs="Times New Roman"/>
          <w:lang w:val="sr-Cyrl-CS"/>
        </w:rPr>
      </w:pPr>
      <w:r w:rsidRPr="00092ED7">
        <w:rPr>
          <w:rFonts w:cs="Times New Roman"/>
          <w:lang w:val="sr-Cyrl-CS"/>
        </w:rPr>
        <w:t xml:space="preserve">Поред тога, инвестиције у капиталне пројекте утичу на раст индустријске производње, запошљавање домаће привреде, смањење броја незапослених и на раст БДП-а. </w:t>
      </w:r>
    </w:p>
    <w:p w14:paraId="2B9B2669" w14:textId="77777777" w:rsidR="00D210F0" w:rsidRPr="00092ED7" w:rsidRDefault="00D210F0" w:rsidP="00071952">
      <w:pPr>
        <w:widowControl w:val="0"/>
        <w:numPr>
          <w:ilvl w:val="0"/>
          <w:numId w:val="35"/>
        </w:numPr>
        <w:spacing w:before="120"/>
        <w:ind w:left="425" w:hanging="425"/>
        <w:rPr>
          <w:rFonts w:cs="Times New Roman"/>
          <w:b/>
          <w:bCs/>
          <w:szCs w:val="24"/>
          <w:lang w:val="sr-Cyrl-CS"/>
        </w:rPr>
      </w:pPr>
      <w:r w:rsidRPr="00092ED7">
        <w:rPr>
          <w:b/>
          <w:szCs w:val="24"/>
          <w:lang w:val="sr-Cyrl-CS"/>
        </w:rPr>
        <w:t>Процењени трошкови спровођења структурне реформе и предвиђени извори њиховог финансирања</w:t>
      </w:r>
    </w:p>
    <w:p w14:paraId="7A1D46E8" w14:textId="62EA073D" w:rsidR="00D8385F" w:rsidRPr="00092ED7" w:rsidRDefault="00D8385F" w:rsidP="00757D8D">
      <w:pPr>
        <w:tabs>
          <w:tab w:val="left" w:pos="7112"/>
        </w:tabs>
        <w:spacing w:after="60"/>
        <w:rPr>
          <w:rFonts w:cs="Times New Roman"/>
          <w:lang w:val="sr-Cyrl-CS"/>
        </w:rPr>
      </w:pPr>
      <w:r w:rsidRPr="00092ED7">
        <w:rPr>
          <w:rFonts w:cs="Times New Roman"/>
          <w:lang w:val="sr-Cyrl-CS"/>
        </w:rPr>
        <w:t>Процењени трошкови спровођења структурне реформе се, између осталног, односе на процењену вредност рада додатно ангажованих лица (добра и услуге) за активности примене Методологије за обрачун цене приступа за период 2023-2025</w:t>
      </w:r>
      <w:r w:rsidR="00E527B3" w:rsidRPr="00092ED7">
        <w:rPr>
          <w:rFonts w:cs="Times New Roman"/>
          <w:lang w:val="sr-Cyrl-CS"/>
        </w:rPr>
        <w:t>.</w:t>
      </w:r>
      <w:r w:rsidRPr="00092ED7">
        <w:rPr>
          <w:rFonts w:cs="Times New Roman"/>
          <w:lang w:val="sr-Cyrl-CS"/>
        </w:rPr>
        <w:t xml:space="preserve"> у укупном износу од 4.515 евра (рачунајући и 1.250 евра које је Дирекција за железнице проценила као износ потребан за ангажовање консул</w:t>
      </w:r>
      <w:r w:rsidR="00E527B3" w:rsidRPr="00092ED7">
        <w:rPr>
          <w:rFonts w:cs="Times New Roman"/>
          <w:lang w:val="sr-Cyrl-CS"/>
        </w:rPr>
        <w:t>т</w:t>
      </w:r>
      <w:r w:rsidRPr="00092ED7">
        <w:rPr>
          <w:rFonts w:cs="Times New Roman"/>
          <w:lang w:val="sr-Cyrl-CS"/>
        </w:rPr>
        <w:t>анта). Процењено је да је за спровођење ове активности потребно додатно ангажовати једно лице у Дирекцији за железнице, почев од трећег квартала 2023. године, односно у тој години издвојити 653 евра (1.306 евра/годишње), што укупно са трошком ангажовања консултанта у 2023. години чини 1.903 евра. У 2024. и 2025. години је за ову активност планиран само трошак додатно ангажованог лица у Дирекцији за железнице и он износи 1.306 евра за сваку годину.</w:t>
      </w:r>
    </w:p>
    <w:p w14:paraId="50363E66" w14:textId="77777777" w:rsidR="00D8385F" w:rsidRPr="00092ED7" w:rsidRDefault="00D8385F" w:rsidP="00757D8D">
      <w:pPr>
        <w:tabs>
          <w:tab w:val="left" w:pos="7112"/>
        </w:tabs>
        <w:spacing w:after="60"/>
        <w:rPr>
          <w:rFonts w:cs="Times New Roman"/>
          <w:lang w:val="sr-Cyrl-CS"/>
        </w:rPr>
      </w:pPr>
      <w:r w:rsidRPr="00092ED7">
        <w:rPr>
          <w:rFonts w:cs="Times New Roman"/>
          <w:lang w:val="sr-Cyrl-CS"/>
        </w:rPr>
        <w:t xml:space="preserve">Обезбеђена су и средства из кредита Светске банке за модернизацију путних прелаза у износу 10,9 милиона евра (радови се очекују током 2023. и 2024. године по 50% – односи се на 58 путних прелаза), док је </w:t>
      </w:r>
      <w:r w:rsidRPr="00092ED7">
        <w:rPr>
          <w:lang w:val="sr-Cyrl-CS"/>
        </w:rPr>
        <w:t xml:space="preserve">EBRD </w:t>
      </w:r>
      <w:r w:rsidRPr="00092ED7">
        <w:rPr>
          <w:rFonts w:cs="Times New Roman"/>
          <w:lang w:val="sr-Cyrl-CS"/>
        </w:rPr>
        <w:t>одобрио пренамену преосталих средстава из постојећег кредита (10 милиона евра) за финансирање радова на унапређењу осигурања на 33 путна прелаза (по 33% у 2022, 2023. и 2024). Уговор за извођење радова је потписан у априлу 2022. године и у току је реализација уговорних обавеза.</w:t>
      </w:r>
      <w:r w:rsidRPr="00092ED7" w:rsidDel="00913981">
        <w:rPr>
          <w:rFonts w:cs="Times New Roman"/>
          <w:lang w:val="sr-Cyrl-CS"/>
        </w:rPr>
        <w:t xml:space="preserve"> </w:t>
      </w:r>
    </w:p>
    <w:p w14:paraId="4C049C4E" w14:textId="77777777" w:rsidR="00D8385F" w:rsidRPr="00092ED7" w:rsidRDefault="00D8385F" w:rsidP="00757D8D">
      <w:pPr>
        <w:tabs>
          <w:tab w:val="left" w:pos="7112"/>
        </w:tabs>
        <w:spacing w:after="60"/>
        <w:rPr>
          <w:rFonts w:cs="Times New Roman"/>
          <w:lang w:val="sr-Cyrl-CS"/>
        </w:rPr>
      </w:pPr>
      <w:r w:rsidRPr="00092ED7">
        <w:rPr>
          <w:rFonts w:cs="Times New Roman"/>
          <w:lang w:val="sr-Cyrl-CS"/>
        </w:rPr>
        <w:t xml:space="preserve">Поред тога, са Светском банком и Француском агенцијом за развој потписани су споразуми о зајму за Пројекат Модернизација железничког сектора у Србији – прва фаза обухвата компоненту унапређења 150-200 путних прелаза у износу од 22 милиона евра (реализација се очекује током 2023. и 2024. године – остатак до 2026. године и стога је овај износ расподељен по 25% на 2023, 2024, 2025. и 2026. годину). </w:t>
      </w:r>
    </w:p>
    <w:p w14:paraId="67ED4096" w14:textId="5E2661DD" w:rsidR="00D8385F" w:rsidRPr="00092ED7" w:rsidRDefault="00D8385F" w:rsidP="00757D8D">
      <w:pPr>
        <w:tabs>
          <w:tab w:val="left" w:pos="7112"/>
        </w:tabs>
        <w:spacing w:after="60"/>
        <w:rPr>
          <w:rFonts w:cs="Times New Roman"/>
          <w:lang w:val="sr-Cyrl-CS"/>
        </w:rPr>
      </w:pPr>
      <w:r w:rsidRPr="00092ED7">
        <w:rPr>
          <w:rFonts w:cs="Times New Roman"/>
          <w:lang w:val="sr-Cyrl-CS"/>
        </w:rPr>
        <w:t xml:space="preserve">Што се тиче додатно запослених лица за сповођење активности које се тичу подизања нивоа безбедности на путним прелазима, процена је да се за спровођење ове активности потребно додатно ангажовати </w:t>
      </w:r>
      <w:r w:rsidR="00E527B3" w:rsidRPr="00092ED7">
        <w:rPr>
          <w:rFonts w:cs="Times New Roman"/>
          <w:lang w:val="sr-Cyrl-CS"/>
        </w:rPr>
        <w:t xml:space="preserve">два </w:t>
      </w:r>
      <w:r w:rsidRPr="00092ED7">
        <w:rPr>
          <w:rFonts w:cs="Times New Roman"/>
          <w:lang w:val="sr-Cyrl-CS"/>
        </w:rPr>
        <w:t xml:space="preserve">лица у Министарству грађевинарства, саобраћаја и инфраструктуре и </w:t>
      </w:r>
      <w:r w:rsidR="00E527B3" w:rsidRPr="00092ED7">
        <w:rPr>
          <w:rFonts w:cs="Times New Roman"/>
          <w:lang w:val="sr-Cyrl-CS"/>
        </w:rPr>
        <w:t xml:space="preserve">четири </w:t>
      </w:r>
      <w:r w:rsidRPr="00092ED7">
        <w:rPr>
          <w:rFonts w:cs="Times New Roman"/>
          <w:lang w:val="sr-Cyrl-CS"/>
        </w:rPr>
        <w:t>лица у Дирекцији за железнице, што укупно на годишњем нивоу представља трошак од 47.034 евра.</w:t>
      </w:r>
    </w:p>
    <w:p w14:paraId="13D3BC0C" w14:textId="2B35D319" w:rsidR="00D8385F" w:rsidRPr="00092ED7" w:rsidRDefault="00D8385F" w:rsidP="00757D8D">
      <w:pPr>
        <w:spacing w:after="60"/>
        <w:rPr>
          <w:rFonts w:cs="Times New Roman"/>
          <w:lang w:val="sr-Cyrl-CS"/>
        </w:rPr>
      </w:pPr>
      <w:r w:rsidRPr="00092ED7">
        <w:rPr>
          <w:rFonts w:cs="Times New Roman"/>
          <w:lang w:val="sr-Cyrl-CS"/>
        </w:rPr>
        <w:t>У вези са унапређењем ефикасности путничког саобраћаја, планира се повећање надокнаде за обавезу јавног превоза у путничком саобраћају у 2023. години из буџета Републике Србије од 3</w:t>
      </w:r>
      <w:r w:rsidR="00A6728C" w:rsidRPr="00092ED7">
        <w:rPr>
          <w:rFonts w:cs="Times New Roman"/>
          <w:lang w:val="sr-Cyrl-CS"/>
        </w:rPr>
        <w:t xml:space="preserve"> </w:t>
      </w:r>
      <w:r w:rsidRPr="00092ED7">
        <w:rPr>
          <w:rFonts w:cs="Times New Roman"/>
          <w:lang w:val="sr-Cyrl-CS"/>
        </w:rPr>
        <w:t>милионa евра (остали трошкови ове активности не спадају у додатне).</w:t>
      </w:r>
    </w:p>
    <w:p w14:paraId="3CE1CE02" w14:textId="77777777" w:rsidR="00D210F0" w:rsidRPr="00092ED7" w:rsidRDefault="00D210F0" w:rsidP="00071952">
      <w:pPr>
        <w:widowControl w:val="0"/>
        <w:numPr>
          <w:ilvl w:val="0"/>
          <w:numId w:val="35"/>
        </w:numPr>
        <w:spacing w:before="120"/>
        <w:ind w:left="425" w:hanging="425"/>
        <w:rPr>
          <w:rFonts w:cs="Times New Roman"/>
          <w:b/>
          <w:szCs w:val="24"/>
          <w:lang w:val="sr-Cyrl-CS"/>
        </w:rPr>
      </w:pPr>
      <w:r w:rsidRPr="00092ED7">
        <w:rPr>
          <w:rFonts w:cs="Times New Roman"/>
          <w:b/>
          <w:szCs w:val="24"/>
          <w:lang w:val="sr-Cyrl-CS"/>
        </w:rPr>
        <w:t>Очекивани утицај на социјалне циљеве, као што су запосленост, смањење сиромаштва, родна равноправност и приступ здравственој заштити</w:t>
      </w:r>
    </w:p>
    <w:p w14:paraId="3DA8FEAA" w14:textId="77777777" w:rsidR="00D210F0" w:rsidRPr="00092ED7" w:rsidRDefault="00DB1BC3" w:rsidP="00757D8D">
      <w:pPr>
        <w:spacing w:after="60"/>
        <w:rPr>
          <w:rFonts w:cs="Times New Roman"/>
          <w:lang w:val="sr-Cyrl-CS"/>
        </w:rPr>
      </w:pPr>
      <w:r w:rsidRPr="00092ED7">
        <w:rPr>
          <w:rFonts w:cs="Times New Roman"/>
          <w:lang w:val="sr-Cyrl-CS"/>
        </w:rPr>
        <w:t>Имплементација структурне реформе доприноси повећању броја запослених код учесника и корисника услуга у железничком саобраћају, што директно утиче на смањење сиромаштва. Поред тога, утиче и на конкуретност железничког саобраћаја у односу на друге видове саобраћаја, те директно утиће на родну равноправност смањујући родни јаз са аспекта физичке мобилности жена и мушкараца.</w:t>
      </w:r>
      <w:r w:rsidR="00D210F0" w:rsidRPr="00092ED7">
        <w:rPr>
          <w:rFonts w:cs="Times New Roman"/>
          <w:lang w:val="sr-Cyrl-CS"/>
        </w:rPr>
        <w:t xml:space="preserve"> </w:t>
      </w:r>
    </w:p>
    <w:p w14:paraId="173E94BB" w14:textId="77777777" w:rsidR="00D210F0" w:rsidRPr="00092ED7" w:rsidRDefault="00D210F0" w:rsidP="00071952">
      <w:pPr>
        <w:widowControl w:val="0"/>
        <w:numPr>
          <w:ilvl w:val="0"/>
          <w:numId w:val="35"/>
        </w:numPr>
        <w:spacing w:before="120"/>
        <w:rPr>
          <w:rFonts w:cs="Times New Roman"/>
          <w:b/>
          <w:szCs w:val="24"/>
          <w:lang w:val="sr-Cyrl-CS"/>
        </w:rPr>
      </w:pPr>
      <w:r w:rsidRPr="00092ED7">
        <w:rPr>
          <w:rFonts w:cs="Times New Roman"/>
          <w:b/>
          <w:szCs w:val="24"/>
          <w:lang w:val="sr-Cyrl-CS"/>
        </w:rPr>
        <w:t>Очекивани утицај на животну средину и климатске промене</w:t>
      </w:r>
    </w:p>
    <w:p w14:paraId="56DC7CA9" w14:textId="4AF02BEA" w:rsidR="00D210F0" w:rsidRPr="00092ED7" w:rsidRDefault="00D210F0" w:rsidP="00D210F0">
      <w:pPr>
        <w:tabs>
          <w:tab w:val="left" w:pos="360"/>
        </w:tabs>
        <w:spacing w:after="60"/>
        <w:rPr>
          <w:rFonts w:eastAsia="Calibri" w:cs="Times New Roman"/>
          <w:sz w:val="22"/>
          <w:lang w:val="sr-Cyrl-CS" w:eastAsia="sr-Cyrl-CS" w:bidi="sr-Cyrl-CS"/>
        </w:rPr>
      </w:pPr>
      <w:r w:rsidRPr="00092ED7">
        <w:rPr>
          <w:rFonts w:eastAsia="Calibri" w:cs="Times New Roman"/>
          <w:szCs w:val="24"/>
          <w:lang w:val="sr-Cyrl-CS" w:eastAsia="sr-Cyrl-CS" w:bidi="sr-Cyrl-CS"/>
        </w:rPr>
        <w:t>Унапређењем железнице као транспортног система, остварује се позитиван утицај на животну средину, имајући у виду да се железница сматра еколошки повољним, чак и „најчистијим</w:t>
      </w:r>
      <w:r w:rsidR="001305E1" w:rsidRPr="00092ED7">
        <w:rPr>
          <w:rFonts w:cs="Times New Roman"/>
          <w:szCs w:val="24"/>
          <w:lang w:val="sr-Cyrl-CS"/>
        </w:rPr>
        <w:t>”</w:t>
      </w:r>
      <w:r w:rsidRPr="00092ED7">
        <w:rPr>
          <w:rFonts w:eastAsia="Calibri" w:cs="Times New Roman"/>
          <w:szCs w:val="24"/>
          <w:lang w:val="sr-Cyrl-CS" w:eastAsia="sr-Cyrl-CS" w:bidi="sr-Cyrl-CS"/>
        </w:rPr>
        <w:t xml:space="preserve"> видом превоза.</w:t>
      </w:r>
      <w:r w:rsidRPr="00092ED7">
        <w:rPr>
          <w:rFonts w:eastAsia="Calibri" w:cs="Times New Roman"/>
          <w:sz w:val="22"/>
          <w:lang w:val="sr-Cyrl-CS" w:eastAsia="sr-Cyrl-CS" w:bidi="sr-Cyrl-CS"/>
        </w:rPr>
        <w:t xml:space="preserve"> </w:t>
      </w:r>
      <w:r w:rsidR="00AE3094" w:rsidRPr="00092ED7">
        <w:rPr>
          <w:rFonts w:eastAsia="Calibri" w:cs="Times New Roman"/>
          <w:szCs w:val="24"/>
          <w:lang w:val="sr-Cyrl-CS" w:eastAsia="sr-Cyrl-CS" w:bidi="sr-Cyrl-CS"/>
        </w:rPr>
        <w:t xml:space="preserve">Ова карактеристика железнице последица је њених техничко-експлоатационих карактеристика, тј. да је за одређени утрошак енергије могуће превести већу количину робе и путника у односу на друге конкурентне видове превоза, али и због употребе електричне енергије као погонског горива. Из свих ових разлога повећање удела железнице на тржишту транспортних услуга директно доприноси остварењу циљева </w:t>
      </w:r>
      <w:r w:rsidR="00AE3094" w:rsidRPr="00092ED7">
        <w:rPr>
          <w:rFonts w:eastAsia="Calibri" w:cs="Times New Roman"/>
          <w:i/>
          <w:szCs w:val="24"/>
          <w:lang w:val="sr-Cyrl-CS" w:eastAsia="sr-Cyrl-CS" w:bidi="sr-Cyrl-CS"/>
        </w:rPr>
        <w:t>Green Deal-а</w:t>
      </w:r>
      <w:r w:rsidR="00AE3094" w:rsidRPr="00092ED7">
        <w:rPr>
          <w:rFonts w:eastAsia="Calibri" w:cs="Times New Roman"/>
          <w:sz w:val="22"/>
          <w:lang w:val="sr-Cyrl-CS" w:eastAsia="sr-Cyrl-CS" w:bidi="sr-Cyrl-CS"/>
        </w:rPr>
        <w:t>.</w:t>
      </w:r>
    </w:p>
    <w:p w14:paraId="63A7381C" w14:textId="77777777" w:rsidR="00D210F0" w:rsidRPr="00092ED7" w:rsidRDefault="00D210F0" w:rsidP="00071952">
      <w:pPr>
        <w:widowControl w:val="0"/>
        <w:numPr>
          <w:ilvl w:val="0"/>
          <w:numId w:val="35"/>
        </w:numPr>
        <w:spacing w:before="120"/>
        <w:rPr>
          <w:rFonts w:cs="Times New Roman"/>
          <w:b/>
          <w:szCs w:val="24"/>
          <w:lang w:val="sr-Cyrl-CS"/>
        </w:rPr>
      </w:pPr>
      <w:r w:rsidRPr="00092ED7">
        <w:rPr>
          <w:rFonts w:cs="Times New Roman"/>
          <w:b/>
          <w:szCs w:val="24"/>
          <w:lang w:val="sr-Cyrl-CS"/>
        </w:rPr>
        <w:t>Потенцијални ризици</w:t>
      </w:r>
    </w:p>
    <w:tbl>
      <w:tblPr>
        <w:tblStyle w:val="TableGrid"/>
        <w:tblW w:w="9209" w:type="dxa"/>
        <w:jc w:val="center"/>
        <w:tblLayout w:type="fixed"/>
        <w:tblLook w:val="04A0" w:firstRow="1" w:lastRow="0" w:firstColumn="1" w:lastColumn="0" w:noHBand="0" w:noVBand="1"/>
      </w:tblPr>
      <w:tblGrid>
        <w:gridCol w:w="3256"/>
        <w:gridCol w:w="2357"/>
        <w:gridCol w:w="3596"/>
      </w:tblGrid>
      <w:tr w:rsidR="00D210F0" w:rsidRPr="00092ED7" w14:paraId="45F48E39" w14:textId="77777777" w:rsidTr="00BA1B20">
        <w:trPr>
          <w:cnfStyle w:val="100000000000" w:firstRow="1" w:lastRow="0" w:firstColumn="0" w:lastColumn="0" w:oddVBand="0" w:evenVBand="0" w:oddHBand="0" w:evenHBand="0" w:firstRowFirstColumn="0" w:firstRowLastColumn="0" w:lastRowFirstColumn="0" w:lastRowLastColumn="0"/>
          <w:jc w:val="center"/>
        </w:trPr>
        <w:tc>
          <w:tcPr>
            <w:tcW w:w="3256" w:type="dxa"/>
            <w:tcBorders>
              <w:top w:val="single" w:sz="4" w:space="0" w:color="auto"/>
              <w:left w:val="single" w:sz="4" w:space="0" w:color="auto"/>
              <w:bottom w:val="single" w:sz="4" w:space="0" w:color="auto"/>
              <w:right w:val="single" w:sz="4" w:space="0" w:color="auto"/>
            </w:tcBorders>
          </w:tcPr>
          <w:p w14:paraId="21206669" w14:textId="77777777" w:rsidR="00D210F0" w:rsidRPr="00092ED7" w:rsidRDefault="00D210F0" w:rsidP="006944C5">
            <w:pPr>
              <w:spacing w:before="0" w:after="0"/>
              <w:ind w:left="113" w:right="113"/>
              <w:jc w:val="center"/>
              <w:rPr>
                <w:sz w:val="20"/>
                <w:lang w:val="sr-Cyrl-CS"/>
              </w:rPr>
            </w:pPr>
            <w:r w:rsidRPr="00092ED7">
              <w:rPr>
                <w:rFonts w:cs="Times New Roman"/>
                <w:sz w:val="20"/>
                <w:lang w:val="sr-Cyrl-CS"/>
              </w:rPr>
              <w:t>Ризик</w:t>
            </w:r>
          </w:p>
        </w:tc>
        <w:tc>
          <w:tcPr>
            <w:tcW w:w="2357" w:type="dxa"/>
            <w:tcBorders>
              <w:top w:val="single" w:sz="4" w:space="0" w:color="auto"/>
              <w:left w:val="single" w:sz="4" w:space="0" w:color="auto"/>
              <w:bottom w:val="single" w:sz="4" w:space="0" w:color="auto"/>
              <w:right w:val="single" w:sz="4" w:space="0" w:color="auto"/>
            </w:tcBorders>
          </w:tcPr>
          <w:p w14:paraId="7305949F" w14:textId="77777777" w:rsidR="00D210F0" w:rsidRPr="00092ED7" w:rsidRDefault="00D210F0" w:rsidP="006944C5">
            <w:pPr>
              <w:spacing w:before="0" w:after="0"/>
              <w:ind w:left="113" w:right="113"/>
              <w:jc w:val="center"/>
              <w:rPr>
                <w:sz w:val="20"/>
                <w:lang w:val="sr-Cyrl-CS"/>
              </w:rPr>
            </w:pPr>
            <w:r w:rsidRPr="00092ED7">
              <w:rPr>
                <w:rFonts w:cs="Times New Roman"/>
                <w:sz w:val="20"/>
                <w:lang w:val="sr-Cyrl-CS"/>
              </w:rPr>
              <w:t>Вероватноћа за остваривање ризика</w:t>
            </w:r>
          </w:p>
        </w:tc>
        <w:tc>
          <w:tcPr>
            <w:tcW w:w="3596" w:type="dxa"/>
            <w:tcBorders>
              <w:top w:val="single" w:sz="4" w:space="0" w:color="auto"/>
              <w:left w:val="single" w:sz="4" w:space="0" w:color="auto"/>
              <w:bottom w:val="single" w:sz="4" w:space="0" w:color="auto"/>
              <w:right w:val="single" w:sz="4" w:space="0" w:color="auto"/>
            </w:tcBorders>
          </w:tcPr>
          <w:p w14:paraId="382386BB" w14:textId="77777777" w:rsidR="00D210F0" w:rsidRPr="00092ED7" w:rsidRDefault="00D210F0" w:rsidP="006944C5">
            <w:pPr>
              <w:spacing w:before="0" w:after="0"/>
              <w:ind w:left="113" w:right="113"/>
              <w:jc w:val="center"/>
              <w:rPr>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758BC38F" w14:textId="77777777" w:rsidTr="00BA1B20">
        <w:trPr>
          <w:jc w:val="center"/>
        </w:trPr>
        <w:tc>
          <w:tcPr>
            <w:tcW w:w="3256" w:type="dxa"/>
            <w:tcBorders>
              <w:top w:val="single" w:sz="4" w:space="0" w:color="auto"/>
              <w:left w:val="single" w:sz="4" w:space="0" w:color="auto"/>
              <w:bottom w:val="single" w:sz="4" w:space="0" w:color="auto"/>
              <w:right w:val="single" w:sz="4" w:space="0" w:color="auto"/>
            </w:tcBorders>
            <w:vAlign w:val="top"/>
          </w:tcPr>
          <w:p w14:paraId="5200F5D3" w14:textId="77777777" w:rsidR="00D210F0" w:rsidRPr="00092ED7" w:rsidRDefault="00D210F0" w:rsidP="00757D8D">
            <w:pPr>
              <w:spacing w:before="0" w:after="0"/>
              <w:ind w:left="113" w:right="113"/>
              <w:rPr>
                <w:rFonts w:cs="Times New Roman"/>
                <w:bCs/>
                <w:sz w:val="20"/>
                <w:lang w:val="sr-Cyrl-CS"/>
              </w:rPr>
            </w:pPr>
            <w:r w:rsidRPr="00092ED7">
              <w:rPr>
                <w:rFonts w:cs="Times New Roman"/>
                <w:bCs/>
                <w:sz w:val="20"/>
                <w:lang w:val="sr-Cyrl-CS"/>
              </w:rPr>
              <w:t xml:space="preserve">Губитак робе и путника као последица великог обима радова на инфраструктури </w:t>
            </w:r>
          </w:p>
        </w:tc>
        <w:tc>
          <w:tcPr>
            <w:tcW w:w="2357" w:type="dxa"/>
            <w:tcBorders>
              <w:top w:val="single" w:sz="4" w:space="0" w:color="auto"/>
              <w:left w:val="single" w:sz="4" w:space="0" w:color="auto"/>
              <w:bottom w:val="single" w:sz="4" w:space="0" w:color="auto"/>
              <w:right w:val="single" w:sz="4" w:space="0" w:color="auto"/>
            </w:tcBorders>
            <w:vAlign w:val="top"/>
            <w:hideMark/>
          </w:tcPr>
          <w:p w14:paraId="09E386AF" w14:textId="77777777" w:rsidR="00D210F0" w:rsidRPr="00092ED7" w:rsidRDefault="00D210F0" w:rsidP="00757D8D">
            <w:pPr>
              <w:spacing w:before="0" w:after="0"/>
              <w:ind w:left="113" w:right="113"/>
              <w:jc w:val="center"/>
              <w:rPr>
                <w:rFonts w:cs="Times New Roman"/>
                <w:bCs/>
                <w:sz w:val="20"/>
                <w:lang w:val="sr-Cyrl-CS"/>
              </w:rPr>
            </w:pPr>
            <w:r w:rsidRPr="00092ED7">
              <w:rPr>
                <w:rFonts w:cs="Times New Roman"/>
                <w:bCs/>
                <w:sz w:val="20"/>
                <w:lang w:val="sr-Cyrl-CS"/>
              </w:rPr>
              <w:t>Висока</w:t>
            </w:r>
          </w:p>
        </w:tc>
        <w:tc>
          <w:tcPr>
            <w:tcW w:w="3596" w:type="dxa"/>
            <w:tcBorders>
              <w:top w:val="single" w:sz="4" w:space="0" w:color="auto"/>
              <w:left w:val="single" w:sz="4" w:space="0" w:color="auto"/>
              <w:bottom w:val="single" w:sz="4" w:space="0" w:color="auto"/>
              <w:right w:val="single" w:sz="4" w:space="0" w:color="auto"/>
            </w:tcBorders>
            <w:hideMark/>
          </w:tcPr>
          <w:p w14:paraId="78B291AE" w14:textId="30A1D462" w:rsidR="00D210F0" w:rsidRPr="00092ED7" w:rsidRDefault="00D210F0" w:rsidP="006944C5">
            <w:pPr>
              <w:spacing w:before="0" w:after="0"/>
              <w:ind w:left="113" w:right="113"/>
              <w:rPr>
                <w:rFonts w:cs="Times New Roman"/>
                <w:bCs/>
                <w:sz w:val="20"/>
                <w:lang w:val="sr-Cyrl-CS"/>
              </w:rPr>
            </w:pPr>
            <w:r w:rsidRPr="00092ED7">
              <w:rPr>
                <w:rFonts w:cs="Times New Roman"/>
                <w:bCs/>
                <w:sz w:val="20"/>
                <w:lang w:val="sr-Cyrl-CS"/>
              </w:rPr>
              <w:t xml:space="preserve">Ефикаснија </w:t>
            </w:r>
            <w:r w:rsidR="00A6728C" w:rsidRPr="00092ED7">
              <w:rPr>
                <w:rFonts w:cs="Times New Roman"/>
                <w:bCs/>
                <w:sz w:val="20"/>
                <w:lang w:val="sr-Cyrl-CS"/>
              </w:rPr>
              <w:t xml:space="preserve">реализација пројеката од стране </w:t>
            </w:r>
            <w:r w:rsidR="005A4017" w:rsidRPr="00092ED7">
              <w:rPr>
                <w:rFonts w:cstheme="minorHAnsi"/>
                <w:sz w:val="20"/>
                <w:lang w:val="sr-Cyrl-CS"/>
              </w:rPr>
              <w:t>„Инфраструктура железнице Србије” а.д Београд</w:t>
            </w:r>
            <w:r w:rsidRPr="00092ED7">
              <w:rPr>
                <w:rFonts w:cs="Times New Roman"/>
                <w:bCs/>
                <w:sz w:val="20"/>
                <w:lang w:val="sr-Cyrl-CS"/>
              </w:rPr>
              <w:t>, обезбеђивање алтернативних превозних праваца и уклањање свих препрека како би се обављао саобраћај без застоја, додатне активности за унапређење путничког саобраћаја.</w:t>
            </w:r>
          </w:p>
        </w:tc>
      </w:tr>
    </w:tbl>
    <w:p w14:paraId="0DDA2ED4" w14:textId="77777777" w:rsidR="00D210F0" w:rsidRPr="00092ED7" w:rsidRDefault="00D210F0" w:rsidP="00D210F0">
      <w:pPr>
        <w:keepNext/>
        <w:keepLines/>
        <w:shd w:val="clear" w:color="auto" w:fill="D9D9D9"/>
        <w:spacing w:before="360"/>
        <w:outlineLvl w:val="2"/>
        <w:rPr>
          <w:rFonts w:eastAsia="Times New Roman" w:cs="Times New Roman"/>
          <w:b/>
          <w:noProof/>
          <w:szCs w:val="24"/>
          <w:shd w:val="clear" w:color="auto" w:fill="D9D9D9"/>
          <w:lang w:val="sr-Cyrl-CS"/>
        </w:rPr>
      </w:pPr>
      <w:bookmarkStart w:id="84" w:name="_Toc93385985"/>
      <w:bookmarkStart w:id="85" w:name="_Toc124174816"/>
      <w:bookmarkStart w:id="86" w:name="_Toc126218635"/>
      <w:r w:rsidRPr="00092ED7">
        <w:rPr>
          <w:rFonts w:eastAsia="Times New Roman" w:cs="Times New Roman"/>
          <w:b/>
          <w:noProof/>
          <w:szCs w:val="24"/>
          <w:lang w:val="sr-Cyrl-CS"/>
        </w:rPr>
        <w:t>5.2.9. Област ПОЉОПРИВРЕДА, ИНДУСТРИЈА И УСЛУГЕ</w:t>
      </w:r>
      <w:bookmarkEnd w:id="84"/>
      <w:bookmarkEnd w:id="85"/>
      <w:bookmarkEnd w:id="86"/>
    </w:p>
    <w:p w14:paraId="06432175" w14:textId="7AD194EF" w:rsidR="00D210F0" w:rsidRPr="00092ED7" w:rsidRDefault="00D210F0" w:rsidP="00D210F0">
      <w:pPr>
        <w:spacing w:before="120"/>
        <w:rPr>
          <w:rFonts w:eastAsia="Calibri" w:cs="Times New Roman"/>
          <w:noProof/>
          <w:szCs w:val="24"/>
          <w:lang w:val="sr-Cyrl-CS"/>
        </w:rPr>
      </w:pPr>
      <w:r w:rsidRPr="00092ED7">
        <w:rPr>
          <w:rFonts w:eastAsia="Calibri" w:cs="Times New Roman"/>
          <w:b/>
          <w:noProof/>
          <w:szCs w:val="24"/>
          <w:lang w:val="sr-Cyrl-CS"/>
        </w:rPr>
        <w:t xml:space="preserve">а) Анализа главних </w:t>
      </w:r>
      <w:r w:rsidR="00515D4D" w:rsidRPr="00092ED7">
        <w:rPr>
          <w:rFonts w:eastAsia="Calibri" w:cs="Times New Roman"/>
          <w:b/>
          <w:noProof/>
          <w:szCs w:val="24"/>
          <w:lang w:val="sr-Cyrl-CS"/>
        </w:rPr>
        <w:t>изазова</w:t>
      </w:r>
    </w:p>
    <w:p w14:paraId="58673FF2" w14:textId="77777777" w:rsidR="00D210F0" w:rsidRPr="00092ED7" w:rsidRDefault="00D210F0" w:rsidP="00D210F0">
      <w:pPr>
        <w:spacing w:after="60"/>
        <w:rPr>
          <w:rFonts w:eastAsia="Times New Roman" w:cs="Times New Roman"/>
          <w:noProof/>
          <w:szCs w:val="24"/>
          <w:lang w:val="sr-Cyrl-CS"/>
        </w:rPr>
      </w:pPr>
      <w:r w:rsidRPr="00092ED7">
        <w:rPr>
          <w:rFonts w:eastAsia="Calibri" w:cs="Times New Roman"/>
          <w:b/>
          <w:noProof/>
          <w:szCs w:val="24"/>
          <w:lang w:val="sr-Cyrl-CS"/>
        </w:rPr>
        <w:t>Релативно високо учешће БДВ сектора пољопривреде, шумарства и рибарства и производње прехрамбених производа у укупном БДП</w:t>
      </w:r>
      <w:r w:rsidRPr="00092ED7">
        <w:rPr>
          <w:rFonts w:eastAsia="Calibri" w:cs="Times New Roman"/>
          <w:noProof/>
          <w:szCs w:val="24"/>
          <w:lang w:val="sr-Cyrl-CS"/>
        </w:rPr>
        <w:t xml:space="preserve"> Републике Србије (6,3% и 2,4% у 2020. и 6,5% и 2,3% у 2021. години) </w:t>
      </w:r>
      <w:r w:rsidRPr="00092ED7">
        <w:rPr>
          <w:rFonts w:eastAsia="Times New Roman" w:cs="Times New Roman"/>
          <w:noProof/>
          <w:szCs w:val="24"/>
          <w:lang w:val="sr-Cyrl-CS"/>
        </w:rPr>
        <w:t>делимично је одраз повољних природних услова (географска позиција, природна богатства, климатски фактор) и ресурса за пољопривредну производњу (коришћено пољопривредно земљиште чини око 40% територије), али и последица ниског технолошког нивоа остатка привреде. Пољопривредни потенцијал није у потпуности искоришћен услед недовољне технолошке развијености у свим пољопривредним гранама и слабе насељености руралног подручја. Са друге стране, уочава се да је у односу на пре пет година, приход спољнотрговинске размене у пољопривреди вишеструко увећан, што је директно допринело расту БДП</w:t>
      </w:r>
      <w:r w:rsidRPr="00092ED7">
        <w:rPr>
          <w:rStyle w:val="FootnoteReference"/>
          <w:rFonts w:cs="Times New Roman"/>
          <w:noProof/>
          <w:szCs w:val="24"/>
          <w:lang w:val="sr-Cyrl-CS"/>
        </w:rPr>
        <w:footnoteReference w:id="161"/>
      </w:r>
      <w:r w:rsidRPr="00092ED7">
        <w:rPr>
          <w:rFonts w:eastAsia="Times New Roman" w:cs="Times New Roman"/>
          <w:noProof/>
          <w:szCs w:val="24"/>
          <w:lang w:val="sr-Cyrl-CS"/>
        </w:rPr>
        <w:t>.</w:t>
      </w:r>
      <w:r w:rsidRPr="00092ED7">
        <w:rPr>
          <w:rFonts w:eastAsia="Times New Roman" w:cs="Times New Roman"/>
          <w:b/>
          <w:noProof/>
          <w:szCs w:val="24"/>
          <w:lang w:val="sr-Cyrl-CS"/>
        </w:rPr>
        <w:t xml:space="preserve"> </w:t>
      </w:r>
      <w:r w:rsidRPr="00092ED7">
        <w:rPr>
          <w:rFonts w:eastAsia="Times New Roman" w:cs="Times New Roman"/>
          <w:noProof/>
          <w:szCs w:val="24"/>
          <w:lang w:val="sr-Cyrl-CS"/>
        </w:rPr>
        <w:t>У пољопривреди ради око 12,3% укупног броја запослених у 2021. години</w:t>
      </w:r>
      <w:r w:rsidRPr="00092ED7">
        <w:rPr>
          <w:rFonts w:eastAsia="Times New Roman" w:cs="Times New Roman"/>
          <w:b/>
          <w:noProof/>
          <w:szCs w:val="24"/>
          <w:lang w:val="sr-Cyrl-CS"/>
        </w:rPr>
        <w:t xml:space="preserve"> </w:t>
      </w:r>
      <w:r w:rsidRPr="00092ED7">
        <w:rPr>
          <w:rFonts w:eastAsia="Times New Roman" w:cs="Times New Roman"/>
          <w:noProof/>
          <w:szCs w:val="24"/>
          <w:lang w:val="sr-Cyrl-CS"/>
        </w:rPr>
        <w:t>(213,4 хиљада формално запослених, али и 212,9 хиљада неформално запослених)</w:t>
      </w:r>
      <w:r w:rsidRPr="00092ED7">
        <w:rPr>
          <w:rFonts w:eastAsia="Times New Roman" w:cs="Times New Roman"/>
          <w:noProof/>
          <w:vertAlign w:val="superscript"/>
          <w:lang w:val="sr-Cyrl-CS"/>
        </w:rPr>
        <w:footnoteReference w:id="162"/>
      </w:r>
      <w:r w:rsidRPr="00092ED7">
        <w:rPr>
          <w:rFonts w:eastAsia="Times New Roman" w:cs="Times New Roman"/>
          <w:noProof/>
          <w:szCs w:val="24"/>
          <w:lang w:val="sr-Cyrl-CS"/>
        </w:rPr>
        <w:t>. Због посебних карактеристика и услова сезонског рада у сектору пољопривреде, шумарства и рибарства, нови закон омогућава поједностављен начин радног ангажовања лица и плаћања пореза и доприноса за рад на пословима који су сезонског карактера.</w:t>
      </w:r>
    </w:p>
    <w:p w14:paraId="0C0D1AD5" w14:textId="01854949" w:rsidR="00D210F0" w:rsidRPr="00092ED7" w:rsidRDefault="00D210F0" w:rsidP="00D210F0">
      <w:pPr>
        <w:suppressAutoHyphens/>
        <w:autoSpaceDN w:val="0"/>
        <w:spacing w:after="60"/>
        <w:textAlignment w:val="baseline"/>
        <w:rPr>
          <w:rFonts w:eastAsia="SimSun" w:cs="Mangal"/>
          <w:kern w:val="3"/>
          <w:szCs w:val="24"/>
          <w:lang w:val="sr-Cyrl-CS" w:eastAsia="zh-CN" w:bidi="hi-IN"/>
        </w:rPr>
      </w:pPr>
      <w:r w:rsidRPr="00092ED7">
        <w:rPr>
          <w:rFonts w:eastAsia="SimSun" w:cs="Mangal"/>
          <w:kern w:val="3"/>
          <w:szCs w:val="24"/>
          <w:lang w:val="sr-Cyrl-CS" w:eastAsia="zh-CN" w:bidi="hi-IN"/>
        </w:rPr>
        <w:t xml:space="preserve">Остварена </w:t>
      </w:r>
      <w:r w:rsidRPr="00092ED7">
        <w:rPr>
          <w:rFonts w:eastAsia="SimSun" w:cs="Mangal"/>
          <w:b/>
          <w:bCs/>
          <w:kern w:val="3"/>
          <w:szCs w:val="24"/>
          <w:lang w:val="sr-Cyrl-CS" w:eastAsia="zh-CN" w:bidi="hi-IN"/>
        </w:rPr>
        <w:t>вредност извоза пољопривредно-прехрамбених производа</w:t>
      </w:r>
      <w:r w:rsidRPr="00092ED7">
        <w:rPr>
          <w:rFonts w:eastAsia="SimSun" w:cs="Mangal"/>
          <w:kern w:val="3"/>
          <w:szCs w:val="24"/>
          <w:lang w:val="sr-Cyrl-CS" w:eastAsia="zh-CN" w:bidi="hi-IN"/>
        </w:rPr>
        <w:t xml:space="preserve"> износила је близу </w:t>
      </w:r>
      <w:r w:rsidRPr="00092ED7">
        <w:rPr>
          <w:rFonts w:eastAsia="SimSun" w:cs="Mangal"/>
          <w:b/>
          <w:bCs/>
          <w:kern w:val="3"/>
          <w:szCs w:val="24"/>
          <w:lang w:val="sr-Cyrl-CS" w:eastAsia="zh-CN" w:bidi="hi-IN"/>
        </w:rPr>
        <w:t>4,2 млрд.</w:t>
      </w:r>
      <w:r w:rsidRPr="00092ED7">
        <w:rPr>
          <w:rFonts w:eastAsia="SimSun" w:cs="Mangal"/>
          <w:kern w:val="3"/>
          <w:szCs w:val="24"/>
          <w:lang w:val="sr-Cyrl-CS" w:eastAsia="zh-CN" w:bidi="hi-IN"/>
        </w:rPr>
        <w:t xml:space="preserve"> </w:t>
      </w:r>
      <w:r w:rsidRPr="00092ED7">
        <w:rPr>
          <w:rFonts w:eastAsia="SimSun" w:cs="Mangal"/>
          <w:b/>
          <w:bCs/>
          <w:kern w:val="3"/>
          <w:szCs w:val="24"/>
          <w:lang w:val="sr-Cyrl-CS" w:eastAsia="zh-CN" w:bidi="hi-IN"/>
        </w:rPr>
        <w:t>евра у 2021.</w:t>
      </w:r>
      <w:r w:rsidRPr="00092ED7">
        <w:rPr>
          <w:rFonts w:eastAsia="SimSun" w:cs="Mangal"/>
          <w:kern w:val="3"/>
          <w:szCs w:val="24"/>
          <w:lang w:val="sr-Cyrl-CS" w:eastAsia="zh-CN" w:bidi="hi-IN"/>
        </w:rPr>
        <w:t xml:space="preserve"> </w:t>
      </w:r>
      <w:r w:rsidRPr="00092ED7">
        <w:rPr>
          <w:rFonts w:eastAsia="SimSun" w:cs="Mangal"/>
          <w:b/>
          <w:kern w:val="3"/>
          <w:szCs w:val="24"/>
          <w:lang w:val="sr-Cyrl-CS" w:eastAsia="zh-CN" w:bidi="hi-IN"/>
        </w:rPr>
        <w:t xml:space="preserve">години (петина укупног извоза </w:t>
      </w:r>
      <w:r w:rsidR="00670890" w:rsidRPr="00092ED7">
        <w:rPr>
          <w:rFonts w:eastAsia="SimSun" w:cs="Mangal"/>
          <w:b/>
          <w:kern w:val="3"/>
          <w:szCs w:val="24"/>
          <w:lang w:val="sr-Cyrl-CS" w:eastAsia="zh-CN" w:bidi="hi-IN"/>
        </w:rPr>
        <w:t xml:space="preserve">Републике </w:t>
      </w:r>
      <w:r w:rsidRPr="00092ED7">
        <w:rPr>
          <w:rFonts w:eastAsia="SimSun" w:cs="Mangal"/>
          <w:b/>
          <w:kern w:val="3"/>
          <w:szCs w:val="24"/>
          <w:lang w:val="sr-Cyrl-CS" w:eastAsia="zh-CN" w:bidi="hi-IN"/>
        </w:rPr>
        <w:t xml:space="preserve">Србије) </w:t>
      </w:r>
      <w:r w:rsidRPr="00092ED7">
        <w:rPr>
          <w:rFonts w:eastAsia="SimSun" w:cs="Mangal"/>
          <w:kern w:val="3"/>
          <w:szCs w:val="24"/>
          <w:lang w:val="sr-Cyrl-CS" w:eastAsia="zh-CN" w:bidi="hi-IN"/>
        </w:rPr>
        <w:t>и за 15,9% је већа од остварене вредности извоза у 2020. години</w:t>
      </w:r>
      <w:r w:rsidRPr="00092ED7">
        <w:rPr>
          <w:rStyle w:val="FootnoteReference"/>
          <w:rFonts w:eastAsia="SimSun" w:cs="Mangal"/>
          <w:kern w:val="3"/>
          <w:szCs w:val="24"/>
          <w:lang w:val="sr-Cyrl-CS" w:eastAsia="zh-CN" w:bidi="hi-IN"/>
        </w:rPr>
        <w:footnoteReference w:id="163"/>
      </w:r>
      <w:r w:rsidRPr="00092ED7">
        <w:rPr>
          <w:rFonts w:eastAsia="SimSun" w:cs="Mangal"/>
          <w:kern w:val="3"/>
          <w:szCs w:val="24"/>
          <w:lang w:val="sr-Cyrl-CS" w:eastAsia="zh-CN" w:bidi="hi-IN"/>
        </w:rPr>
        <w:t xml:space="preserve">, односно 36% у односу на петогодишњи просек (2016–2020). Истовремено, остварена вредност </w:t>
      </w:r>
      <w:r w:rsidRPr="00092ED7">
        <w:rPr>
          <w:rFonts w:eastAsia="SimSun" w:cs="Mangal"/>
          <w:b/>
          <w:kern w:val="3"/>
          <w:szCs w:val="24"/>
          <w:lang w:val="sr-Cyrl-CS" w:eastAsia="zh-CN" w:bidi="hi-IN"/>
        </w:rPr>
        <w:t xml:space="preserve">увоза </w:t>
      </w:r>
      <w:r w:rsidRPr="00092ED7">
        <w:rPr>
          <w:rFonts w:eastAsia="SimSun" w:cs="Mangal"/>
          <w:kern w:val="3"/>
          <w:szCs w:val="24"/>
          <w:lang w:val="sr-Cyrl-CS" w:eastAsia="zh-CN" w:bidi="hi-IN"/>
        </w:rPr>
        <w:t xml:space="preserve">пољопривредно-прехрамбених производа износила је око </w:t>
      </w:r>
      <w:r w:rsidRPr="00092ED7">
        <w:rPr>
          <w:rFonts w:eastAsia="SimSun" w:cs="Mangal"/>
          <w:b/>
          <w:kern w:val="3"/>
          <w:szCs w:val="24"/>
          <w:lang w:val="sr-Cyrl-CS" w:eastAsia="zh-CN" w:bidi="hi-IN"/>
        </w:rPr>
        <w:t>2,5 млрд. евра</w:t>
      </w:r>
      <w:r w:rsidRPr="00092ED7">
        <w:rPr>
          <w:rFonts w:eastAsia="SimSun" w:cs="Mangal"/>
          <w:kern w:val="3"/>
          <w:szCs w:val="24"/>
          <w:lang w:val="sr-Cyrl-CS" w:eastAsia="zh-CN" w:bidi="hi-IN"/>
        </w:rPr>
        <w:t xml:space="preserve">, што је више за 8,6% мг, а 37,1% више у односу на петогодишњи просек. </w:t>
      </w:r>
      <w:r w:rsidRPr="00092ED7">
        <w:rPr>
          <w:rFonts w:eastAsia="SimSun" w:cs="Mangal"/>
          <w:b/>
          <w:bCs/>
          <w:kern w:val="3"/>
          <w:szCs w:val="24"/>
          <w:lang w:val="sr-Cyrl-CS" w:eastAsia="zh-CN" w:bidi="hi-IN"/>
        </w:rPr>
        <w:t>Тренд раста суфицита</w:t>
      </w:r>
      <w:r w:rsidRPr="00092ED7">
        <w:rPr>
          <w:rFonts w:eastAsia="SimSun" w:cs="Mangal"/>
          <w:kern w:val="3"/>
          <w:szCs w:val="24"/>
          <w:lang w:val="sr-Cyrl-CS" w:eastAsia="zh-CN" w:bidi="hi-IN"/>
        </w:rPr>
        <w:t xml:space="preserve"> у размени пољопривредно-прехрамбених производа настављен је и током 2021. године, уз остварену вредност од око 1,8 млрд. евра, што је до сада највећи остварен суфицит у размени (у односу на 2016. годину већи је за 22%). Степен покривености увоза извозом ових производа износио је 172,9% у 2021. </w:t>
      </w:r>
      <w:r w:rsidRPr="00092ED7">
        <w:rPr>
          <w:rFonts w:cs="Times New Roman"/>
          <w:szCs w:val="24"/>
          <w:lang w:val="sr-Cyrl-CS"/>
        </w:rPr>
        <w:t xml:space="preserve">Упркос повећању удела прерађених производа у претходних </w:t>
      </w:r>
      <w:r w:rsidR="009611D5" w:rsidRPr="00092ED7">
        <w:rPr>
          <w:rFonts w:cs="Times New Roman"/>
          <w:szCs w:val="24"/>
          <w:lang w:val="sr-Cyrl-CS"/>
        </w:rPr>
        <w:t xml:space="preserve">десет </w:t>
      </w:r>
      <w:r w:rsidRPr="00092ED7">
        <w:rPr>
          <w:rFonts w:cs="Times New Roman"/>
          <w:szCs w:val="24"/>
          <w:lang w:val="sr-Cyrl-CS"/>
        </w:rPr>
        <w:t xml:space="preserve">година, </w:t>
      </w:r>
      <w:r w:rsidRPr="00092ED7">
        <w:rPr>
          <w:rFonts w:cs="Times New Roman"/>
          <w:b/>
          <w:bCs/>
          <w:szCs w:val="24"/>
          <w:lang w:val="sr-Cyrl-CS"/>
        </w:rPr>
        <w:t xml:space="preserve">у постојећој структури извоза и даље доминирају примарни </w:t>
      </w:r>
      <w:r w:rsidRPr="00092ED7">
        <w:rPr>
          <w:rFonts w:cs="Times New Roman"/>
          <w:bCs/>
          <w:szCs w:val="24"/>
          <w:lang w:val="sr-Cyrl-CS"/>
        </w:rPr>
        <w:t>пољопривредно-прехрамбени производи</w:t>
      </w:r>
      <w:r w:rsidRPr="00092ED7">
        <w:rPr>
          <w:rFonts w:cs="Times New Roman"/>
          <w:b/>
          <w:bCs/>
          <w:szCs w:val="24"/>
          <w:lang w:val="sr-Cyrl-CS"/>
        </w:rPr>
        <w:t xml:space="preserve"> са око 70% </w:t>
      </w:r>
      <w:r w:rsidRPr="00092ED7">
        <w:rPr>
          <w:rFonts w:cs="Times New Roman"/>
          <w:bCs/>
          <w:szCs w:val="24"/>
          <w:lang w:val="sr-Cyrl-CS"/>
        </w:rPr>
        <w:t>(петогодишњи просек)</w:t>
      </w:r>
      <w:r w:rsidRPr="00092ED7">
        <w:rPr>
          <w:rStyle w:val="FootnoteReference"/>
          <w:rFonts w:cs="Times New Roman"/>
          <w:szCs w:val="24"/>
          <w:lang w:val="sr-Cyrl-CS"/>
        </w:rPr>
        <w:footnoteReference w:id="164"/>
      </w:r>
      <w:r w:rsidRPr="00092ED7">
        <w:rPr>
          <w:rFonts w:cs="Times New Roman"/>
          <w:bCs/>
          <w:szCs w:val="24"/>
          <w:lang w:val="sr-Cyrl-CS"/>
        </w:rPr>
        <w:t>.</w:t>
      </w:r>
    </w:p>
    <w:p w14:paraId="6DCB10C7" w14:textId="71591B81" w:rsidR="00D210F0" w:rsidRPr="00092ED7" w:rsidRDefault="00D210F0" w:rsidP="00D210F0">
      <w:pPr>
        <w:spacing w:after="60"/>
        <w:rPr>
          <w:rFonts w:eastAsia="Calibri" w:cs="Times New Roman"/>
          <w:noProof/>
          <w:szCs w:val="24"/>
          <w:lang w:val="sr-Cyrl-CS"/>
        </w:rPr>
      </w:pPr>
      <w:r w:rsidRPr="00092ED7">
        <w:rPr>
          <w:rFonts w:eastAsia="Calibri" w:cs="Times New Roman"/>
          <w:b/>
          <w:noProof/>
          <w:szCs w:val="24"/>
          <w:lang w:val="sr-Cyrl-CS"/>
        </w:rPr>
        <w:t xml:space="preserve">Eкономска слабост највећег броја пољопривредних субјеката </w:t>
      </w:r>
      <w:r w:rsidRPr="00092ED7">
        <w:rPr>
          <w:rFonts w:eastAsia="Calibri" w:cs="Times New Roman"/>
          <w:noProof/>
          <w:szCs w:val="24"/>
          <w:lang w:val="sr-Cyrl-CS"/>
        </w:rPr>
        <w:t>(газдинстава и других правних облика)</w:t>
      </w:r>
      <w:r w:rsidRPr="00092ED7">
        <w:rPr>
          <w:rFonts w:eastAsia="Calibri" w:cs="Times New Roman"/>
          <w:b/>
          <w:noProof/>
          <w:szCs w:val="24"/>
          <w:lang w:val="sr-Cyrl-CS"/>
        </w:rPr>
        <w:t xml:space="preserve"> уз ниску техничко-технолошку опремљеност, главни су изазови на путу повећања приноса у пољопривреди</w:t>
      </w:r>
      <w:r w:rsidRPr="00092ED7">
        <w:rPr>
          <w:rFonts w:eastAsia="Calibri" w:cs="Times New Roman"/>
          <w:noProof/>
          <w:szCs w:val="24"/>
          <w:lang w:val="sr-Cyrl-CS"/>
        </w:rPr>
        <w:t>. Највећи број газдинстава је мале или средње величине и практикује екстензивну производњу, без специјализоване производње у одређеном сектору. Газдинства до 5 ha чине 71,47% укупног броја, док је просечна површина коришћеног пољопривредног земљишта на нивоу Републике Србије 6,16 ha</w:t>
      </w:r>
      <w:r w:rsidRPr="00092ED7">
        <w:rPr>
          <w:rFonts w:eastAsia="Calibri" w:cs="Times New Roman"/>
          <w:noProof/>
          <w:vertAlign w:val="superscript"/>
          <w:lang w:val="sr-Cyrl-CS"/>
        </w:rPr>
        <w:footnoteReference w:id="165"/>
      </w:r>
      <w:r w:rsidRPr="00092ED7">
        <w:rPr>
          <w:rFonts w:eastAsia="Calibri" w:cs="Times New Roman"/>
          <w:noProof/>
          <w:szCs w:val="24"/>
          <w:lang w:val="sr-Cyrl-CS"/>
        </w:rPr>
        <w:t xml:space="preserve">. Фарме таквог просека су премале да би биле конкурентне, како за директну продају на европском тржишту, тако и за продају сировина за прераду. </w:t>
      </w:r>
      <w:r w:rsidRPr="00092ED7">
        <w:rPr>
          <w:rFonts w:cs="Times New Roman"/>
          <w:lang w:val="sr-Cyrl-CS"/>
        </w:rPr>
        <w:t>Постојеће мере подршке малим газдинствима за достизање националних стандарда нису перманентне и нису прилагођење малим газдинствима, а добар део газдинства није ни обухваћен мерама националне подршке</w:t>
      </w:r>
      <w:r w:rsidRPr="00092ED7">
        <w:rPr>
          <w:rStyle w:val="FootnoteReference"/>
          <w:rFonts w:cs="Times New Roman"/>
          <w:lang w:val="sr-Cyrl-CS"/>
        </w:rPr>
        <w:footnoteReference w:id="166"/>
      </w:r>
      <w:r w:rsidRPr="00092ED7">
        <w:rPr>
          <w:rFonts w:eastAsia="Calibri" w:cs="Times New Roman"/>
          <w:noProof/>
          <w:szCs w:val="24"/>
          <w:lang w:val="sr-Cyrl-CS"/>
        </w:rPr>
        <w:t xml:space="preserve">. Процес комасације, који је уређен </w:t>
      </w:r>
      <w:r w:rsidRPr="00092ED7">
        <w:rPr>
          <w:rFonts w:eastAsia="Calibri" w:cs="Times New Roman"/>
          <w:i/>
          <w:noProof/>
          <w:szCs w:val="24"/>
          <w:lang w:val="sr-Cyrl-CS"/>
        </w:rPr>
        <w:t>Законом о пољопривредном земљишту</w:t>
      </w:r>
      <w:r w:rsidRPr="00092ED7">
        <w:rPr>
          <w:rFonts w:eastAsia="Calibri" w:cs="Times New Roman"/>
          <w:noProof/>
          <w:szCs w:val="24"/>
          <w:lang w:val="sr-Cyrl-CS"/>
        </w:rPr>
        <w:t xml:space="preserve"> („Сл</w:t>
      </w:r>
      <w:r w:rsidR="00027678" w:rsidRPr="00092ED7">
        <w:rPr>
          <w:rFonts w:eastAsia="Calibri" w:cs="Times New Roman"/>
          <w:noProof/>
          <w:szCs w:val="24"/>
          <w:lang w:val="sr-Cyrl-CS"/>
        </w:rPr>
        <w:t>ужбени</w:t>
      </w:r>
      <w:r w:rsidRPr="00092ED7">
        <w:rPr>
          <w:rFonts w:eastAsia="Calibri" w:cs="Times New Roman"/>
          <w:noProof/>
          <w:szCs w:val="24"/>
          <w:lang w:val="sr-Cyrl-CS"/>
        </w:rPr>
        <w:t xml:space="preserve"> гласник РС</w:t>
      </w:r>
      <w:r w:rsidR="00027678" w:rsidRPr="00092ED7">
        <w:rPr>
          <w:rFonts w:cs="Times New Roman"/>
          <w:szCs w:val="24"/>
          <w:lang w:val="sr-Cyrl-CS"/>
        </w:rPr>
        <w:t>”</w:t>
      </w:r>
      <w:r w:rsidRPr="00092ED7">
        <w:rPr>
          <w:rFonts w:eastAsia="Calibri" w:cs="Times New Roman"/>
          <w:noProof/>
          <w:szCs w:val="24"/>
          <w:lang w:val="sr-Cyrl-CS"/>
        </w:rPr>
        <w:t xml:space="preserve">, бр. 62/06, 65/08 - др. закон, 41/09, 112/15, 80/17 и 95/18 - др. закон) </w:t>
      </w:r>
      <w:r w:rsidR="00830B48" w:rsidRPr="00092ED7">
        <w:rPr>
          <w:rFonts w:eastAsia="Calibri" w:cs="Times New Roman"/>
          <w:noProof/>
          <w:szCs w:val="24"/>
          <w:lang w:val="sr-Cyrl-CS"/>
        </w:rPr>
        <w:t>ни</w:t>
      </w:r>
      <w:r w:rsidRPr="00092ED7">
        <w:rPr>
          <w:rFonts w:eastAsia="Calibri" w:cs="Times New Roman"/>
          <w:noProof/>
          <w:szCs w:val="24"/>
          <w:lang w:val="sr-Cyrl-CS"/>
        </w:rPr>
        <w:t xml:space="preserve">је </w:t>
      </w:r>
      <w:r w:rsidR="00830B48" w:rsidRPr="00092ED7">
        <w:rPr>
          <w:rFonts w:eastAsia="Calibri" w:cs="Times New Roman"/>
          <w:noProof/>
          <w:szCs w:val="24"/>
          <w:lang w:val="sr-Cyrl-CS"/>
        </w:rPr>
        <w:t xml:space="preserve">довољно </w:t>
      </w:r>
      <w:r w:rsidRPr="00092ED7">
        <w:rPr>
          <w:rFonts w:eastAsia="Calibri" w:cs="Times New Roman"/>
          <w:noProof/>
          <w:szCs w:val="24"/>
          <w:lang w:val="sr-Cyrl-CS"/>
        </w:rPr>
        <w:t xml:space="preserve">ефикасан. Просечно трајање поступка од усвајања програма комасације од стране скупштине ЈЛС до увођења власника у посед за комасациона подручја износи око </w:t>
      </w:r>
      <w:r w:rsidR="00670890" w:rsidRPr="00092ED7">
        <w:rPr>
          <w:rFonts w:eastAsia="Calibri" w:cs="Times New Roman"/>
          <w:noProof/>
          <w:szCs w:val="24"/>
          <w:lang w:val="sr-Cyrl-CS"/>
        </w:rPr>
        <w:t xml:space="preserve">три </w:t>
      </w:r>
      <w:r w:rsidRPr="00092ED7">
        <w:rPr>
          <w:rFonts w:eastAsia="Calibri" w:cs="Times New Roman"/>
          <w:noProof/>
          <w:szCs w:val="24"/>
          <w:lang w:val="sr-Cyrl-CS"/>
        </w:rPr>
        <w:t xml:space="preserve"> године и </w:t>
      </w:r>
      <w:r w:rsidR="00670890" w:rsidRPr="00092ED7">
        <w:rPr>
          <w:rFonts w:eastAsia="Calibri" w:cs="Times New Roman"/>
          <w:noProof/>
          <w:szCs w:val="24"/>
          <w:lang w:val="sr-Cyrl-CS"/>
        </w:rPr>
        <w:t>четири</w:t>
      </w:r>
      <w:r w:rsidRPr="00092ED7">
        <w:rPr>
          <w:rFonts w:eastAsia="Calibri" w:cs="Times New Roman"/>
          <w:noProof/>
          <w:szCs w:val="24"/>
          <w:lang w:val="sr-Cyrl-CS"/>
        </w:rPr>
        <w:t xml:space="preserve"> месеца</w:t>
      </w:r>
      <w:r w:rsidRPr="00092ED7">
        <w:rPr>
          <w:rFonts w:eastAsia="Calibri" w:cs="Times New Roman"/>
          <w:noProof/>
          <w:vertAlign w:val="superscript"/>
          <w:lang w:val="sr-Cyrl-CS"/>
        </w:rPr>
        <w:footnoteReference w:id="167"/>
      </w:r>
      <w:r w:rsidRPr="00092ED7">
        <w:rPr>
          <w:rFonts w:eastAsia="Calibri" w:cs="Times New Roman"/>
          <w:noProof/>
          <w:szCs w:val="24"/>
          <w:lang w:val="sr-Cyrl-CS"/>
        </w:rPr>
        <w:t>. Због уситњених поседа, значајан удео обрадивог земљишта остаје необрађен, што одвраћа инвестиције у пољопривреду, кочи раст продуктивности и отежава запошљавање (усвајање нових закона</w:t>
      </w:r>
      <w:r w:rsidRPr="00092ED7">
        <w:rPr>
          <w:rFonts w:eastAsia="Calibri" w:cs="Times New Roman"/>
          <w:i/>
          <w:noProof/>
          <w:szCs w:val="24"/>
          <w:lang w:val="sr-Cyrl-CS"/>
        </w:rPr>
        <w:t xml:space="preserve"> о пољопривредном земљишту</w:t>
      </w:r>
      <w:r w:rsidRPr="00092ED7">
        <w:rPr>
          <w:rFonts w:eastAsia="Calibri" w:cs="Times New Roman"/>
          <w:noProof/>
          <w:szCs w:val="24"/>
          <w:lang w:val="sr-Cyrl-CS"/>
        </w:rPr>
        <w:t xml:space="preserve"> и </w:t>
      </w:r>
      <w:r w:rsidRPr="00092ED7">
        <w:rPr>
          <w:rFonts w:eastAsia="Calibri" w:cs="Times New Roman"/>
          <w:i/>
          <w:noProof/>
          <w:szCs w:val="24"/>
          <w:lang w:val="sr-Cyrl-CS"/>
        </w:rPr>
        <w:t>о комасацији</w:t>
      </w:r>
      <w:r w:rsidRPr="00092ED7">
        <w:rPr>
          <w:rFonts w:eastAsia="Calibri" w:cs="Times New Roman"/>
          <w:noProof/>
          <w:szCs w:val="24"/>
          <w:lang w:val="sr-Cyrl-CS"/>
        </w:rPr>
        <w:t xml:space="preserve"> очекује се до краја 2023. године). Нето прилив СДИ у пољопривреду кумулативно је износио 470,5 милиона евра у периоду 2015-2021. године, односно 2,2% укупног прилива СДИ у Републику Србију у истом периоду, што показује да овај сектор није довољно привлачан за стране инвеститоре</w:t>
      </w:r>
      <w:r w:rsidRPr="00092ED7">
        <w:rPr>
          <w:rStyle w:val="FootnoteReference"/>
          <w:rFonts w:eastAsia="Calibri" w:cs="Times New Roman"/>
          <w:noProof/>
          <w:szCs w:val="24"/>
          <w:lang w:val="sr-Cyrl-CS"/>
        </w:rPr>
        <w:footnoteReference w:id="168"/>
      </w:r>
      <w:r w:rsidRPr="00092ED7">
        <w:rPr>
          <w:rFonts w:eastAsia="Calibri" w:cs="Times New Roman"/>
          <w:noProof/>
          <w:szCs w:val="24"/>
          <w:lang w:val="sr-Cyrl-CS"/>
        </w:rPr>
        <w:t>. Ефикаснијој расподели и коришћењу пољопривредног земљишта и транспарентости у додели уговора за коришћење треба да допринесе развијен ИТ систем за локалне самоуправе</w:t>
      </w:r>
      <w:r w:rsidRPr="00092ED7">
        <w:rPr>
          <w:rStyle w:val="FootnoteReference"/>
          <w:rFonts w:eastAsia="Calibri" w:cs="Times New Roman"/>
          <w:noProof/>
          <w:szCs w:val="24"/>
          <w:lang w:val="sr-Cyrl-CS"/>
        </w:rPr>
        <w:footnoteReference w:id="169"/>
      </w:r>
      <w:r w:rsidRPr="00092ED7">
        <w:rPr>
          <w:rFonts w:eastAsia="Calibri" w:cs="Times New Roman"/>
          <w:noProof/>
          <w:szCs w:val="24"/>
          <w:lang w:val="sr-Cyrl-CS"/>
        </w:rPr>
        <w:t>.</w:t>
      </w:r>
    </w:p>
    <w:p w14:paraId="224F935D" w14:textId="1F26414C" w:rsidR="00D210F0" w:rsidRPr="00092ED7" w:rsidRDefault="00D210F0" w:rsidP="00D210F0">
      <w:pPr>
        <w:spacing w:after="60"/>
        <w:rPr>
          <w:rFonts w:eastAsia="Calibri" w:cs="Times New Roman"/>
          <w:noProof/>
          <w:szCs w:val="24"/>
          <w:lang w:val="sr-Cyrl-CS"/>
        </w:rPr>
      </w:pPr>
      <w:r w:rsidRPr="00092ED7">
        <w:rPr>
          <w:rFonts w:eastAsia="Calibri" w:cs="Times New Roman"/>
          <w:b/>
          <w:noProof/>
          <w:szCs w:val="24"/>
          <w:lang w:val="sr-Cyrl-CS"/>
        </w:rPr>
        <w:t>Самосталан рад без тенденције ка удруживању, недовољан ниво инвестиција у пољопривреду и фрагментисан тржишни ланац ограничавају развој пољопривредне делатности.</w:t>
      </w:r>
      <w:r w:rsidRPr="00092ED7">
        <w:rPr>
          <w:rFonts w:eastAsia="Calibri" w:cs="Times New Roman"/>
          <w:noProof/>
          <w:szCs w:val="24"/>
          <w:lang w:val="sr-Cyrl-CS"/>
        </w:rPr>
        <w:t xml:space="preserve"> </w:t>
      </w:r>
      <w:r w:rsidR="00047167" w:rsidRPr="00092ED7">
        <w:rPr>
          <w:rFonts w:eastAsia="Calibri" w:cs="Times New Roman"/>
          <w:noProof/>
          <w:szCs w:val="24"/>
          <w:lang w:val="sr-Cyrl-CS"/>
        </w:rPr>
        <w:t xml:space="preserve">Тржишни ланац на домаћем тржишту је тренутно веома фрагментисан и недовољно организован, како у области производње, тако и у делу прераде, са недостатком организационе структуре за пружање одговарајуће логистичке подршке. </w:t>
      </w:r>
      <w:r w:rsidRPr="00092ED7">
        <w:rPr>
          <w:rFonts w:eastAsia="Calibri" w:cs="Times New Roman"/>
          <w:noProof/>
          <w:szCs w:val="24"/>
          <w:lang w:val="sr-Cyrl-CS"/>
        </w:rPr>
        <w:t xml:space="preserve">Неопходно је подржати инвестиције у секторима где Република Србија има компаративне предности (сектори производње воћа, поврћа, сточарства), унапредити менаџмент у пословању и пружити адекватну логистичку подршку, уз пуну примену </w:t>
      </w:r>
      <w:r w:rsidRPr="00092ED7">
        <w:rPr>
          <w:rFonts w:eastAsia="Calibri" w:cs="Times New Roman"/>
          <w:i/>
          <w:noProof/>
          <w:szCs w:val="24"/>
          <w:lang w:val="sr-Cyrl-CS"/>
        </w:rPr>
        <w:t>Закона о уређењу тржишта пољопривредних производа</w:t>
      </w:r>
      <w:r w:rsidRPr="00092ED7">
        <w:rPr>
          <w:rFonts w:eastAsia="Calibri" w:cs="Times New Roman"/>
          <w:noProof/>
          <w:szCs w:val="24"/>
          <w:lang w:val="sr-Cyrl-CS"/>
        </w:rPr>
        <w:t xml:space="preserve"> („Сл</w:t>
      </w:r>
      <w:r w:rsidR="00474698" w:rsidRPr="00092ED7">
        <w:rPr>
          <w:rFonts w:eastAsia="Calibri" w:cs="Times New Roman"/>
          <w:noProof/>
          <w:szCs w:val="24"/>
          <w:lang w:val="sr-Cyrl-CS"/>
        </w:rPr>
        <w:t>ужбени</w:t>
      </w:r>
      <w:r w:rsidRPr="00092ED7">
        <w:rPr>
          <w:rFonts w:eastAsia="Calibri" w:cs="Times New Roman"/>
          <w:noProof/>
          <w:szCs w:val="24"/>
          <w:lang w:val="sr-Cyrl-CS"/>
        </w:rPr>
        <w:t xml:space="preserve"> гласник РС</w:t>
      </w:r>
      <w:r w:rsidR="00474698" w:rsidRPr="00092ED7">
        <w:rPr>
          <w:rFonts w:cs="Times New Roman"/>
          <w:szCs w:val="24"/>
          <w:lang w:val="sr-Cyrl-CS"/>
        </w:rPr>
        <w:t>”</w:t>
      </w:r>
      <w:r w:rsidRPr="00092ED7">
        <w:rPr>
          <w:rFonts w:eastAsia="Calibri" w:cs="Times New Roman"/>
          <w:noProof/>
          <w:szCs w:val="24"/>
          <w:lang w:val="sr-Cyrl-CS"/>
        </w:rPr>
        <w:t>, бр</w:t>
      </w:r>
      <w:r w:rsidR="00474698" w:rsidRPr="00092ED7">
        <w:rPr>
          <w:rFonts w:eastAsia="Calibri" w:cs="Times New Roman"/>
          <w:noProof/>
          <w:szCs w:val="24"/>
          <w:lang w:val="sr-Cyrl-CS"/>
        </w:rPr>
        <w:t>ој</w:t>
      </w:r>
      <w:r w:rsidRPr="00092ED7">
        <w:rPr>
          <w:rFonts w:eastAsia="Calibri" w:cs="Times New Roman"/>
          <w:noProof/>
          <w:szCs w:val="24"/>
          <w:lang w:val="sr-Cyrl-CS"/>
        </w:rPr>
        <w:t xml:space="preserve"> 67/21).</w:t>
      </w:r>
    </w:p>
    <w:p w14:paraId="61D50E01" w14:textId="02812798" w:rsidR="00D210F0" w:rsidRPr="00092ED7" w:rsidRDefault="00D210F0" w:rsidP="00D210F0">
      <w:pPr>
        <w:spacing w:after="60"/>
        <w:rPr>
          <w:rFonts w:eastAsia="Calibri" w:cs="Times New Roman"/>
          <w:noProof/>
          <w:szCs w:val="24"/>
          <w:lang w:val="sr-Cyrl-CS"/>
        </w:rPr>
      </w:pPr>
      <w:r w:rsidRPr="00092ED7">
        <w:rPr>
          <w:rFonts w:eastAsia="Calibri" w:cs="Times New Roman"/>
          <w:b/>
          <w:noProof/>
          <w:szCs w:val="24"/>
          <w:lang w:val="sr-Cyrl-CS"/>
        </w:rPr>
        <w:t xml:space="preserve">Смањење броја сеоског становништва и исељавање младих последица је лошег економског положаја руралног становништва и неповољних инфраструктурних услова. </w:t>
      </w:r>
      <w:r w:rsidRPr="00092ED7">
        <w:rPr>
          <w:rFonts w:eastAsia="Calibri" w:cs="Times New Roman"/>
          <w:noProof/>
          <w:szCs w:val="24"/>
          <w:lang w:val="sr-Cyrl-CS"/>
        </w:rPr>
        <w:t xml:space="preserve">Комасација мора бити пропраћена и изградњом пољопривредне инфраструктуре, путева и мреже за наводњавање и одводњавање. На територији Републике Србије само 63% општинских путева сматра се савременим путевима (путеви прекривени асфалтом, бетоном и коцкама). Најповољнија ситуација је у Средњобанатском округу (98,5% општинских путева су савремени путеви), а најнеповољнија у Пчињском округу где само 31,1% општинских путева спада у категорију савремених путева. За меру </w:t>
      </w:r>
      <w:r w:rsidRPr="00092ED7">
        <w:rPr>
          <w:rFonts w:eastAsia="Calibri" w:cs="Times New Roman"/>
          <w:i/>
          <w:noProof/>
          <w:szCs w:val="24"/>
          <w:lang w:val="sr-Cyrl-CS"/>
        </w:rPr>
        <w:t>Унапређење и развој руралне инфраструктуре</w:t>
      </w:r>
      <w:r w:rsidRPr="00092ED7">
        <w:rPr>
          <w:rFonts w:eastAsia="Calibri" w:cs="Times New Roman"/>
          <w:noProof/>
          <w:szCs w:val="24"/>
          <w:lang w:val="sr-Cyrl-CS"/>
        </w:rPr>
        <w:t xml:space="preserve"> расписана су два јавна позива</w:t>
      </w:r>
      <w:r w:rsidRPr="00092ED7">
        <w:rPr>
          <w:rStyle w:val="FootnoteReference"/>
          <w:rFonts w:eastAsia="Calibri" w:cs="Times New Roman"/>
          <w:i/>
          <w:noProof/>
          <w:szCs w:val="24"/>
          <w:lang w:val="sr-Cyrl-CS"/>
        </w:rPr>
        <w:footnoteReference w:id="170"/>
      </w:r>
      <w:r w:rsidRPr="00092ED7">
        <w:rPr>
          <w:rFonts w:eastAsia="Calibri" w:cs="Times New Roman"/>
          <w:noProof/>
          <w:szCs w:val="24"/>
          <w:lang w:val="sr-Cyrl-CS"/>
        </w:rPr>
        <w:t xml:space="preserve"> током 2021.</w:t>
      </w:r>
      <w:r w:rsidRPr="00092ED7">
        <w:rPr>
          <w:rStyle w:val="FootnoteReference"/>
          <w:rFonts w:eastAsia="Calibri" w:cs="Times New Roman"/>
          <w:noProof/>
          <w:szCs w:val="24"/>
          <w:lang w:val="sr-Cyrl-CS"/>
        </w:rPr>
        <w:footnoteReference w:id="171"/>
      </w:r>
      <w:r w:rsidRPr="00092ED7">
        <w:rPr>
          <w:rFonts w:eastAsia="Calibri" w:cs="Times New Roman"/>
          <w:noProof/>
          <w:szCs w:val="24"/>
          <w:lang w:val="sr-Cyrl-CS"/>
        </w:rPr>
        <w:t xml:space="preserve"> и 2022.</w:t>
      </w:r>
      <w:r w:rsidRPr="00092ED7">
        <w:rPr>
          <w:rStyle w:val="FootnoteReference"/>
          <w:rFonts w:eastAsia="Calibri" w:cs="Times New Roman"/>
          <w:noProof/>
          <w:szCs w:val="24"/>
          <w:lang w:val="sr-Cyrl-CS"/>
        </w:rPr>
        <w:footnoteReference w:id="172"/>
      </w:r>
      <w:r w:rsidRPr="00092ED7">
        <w:rPr>
          <w:rFonts w:eastAsia="Calibri" w:cs="Times New Roman"/>
          <w:noProof/>
          <w:szCs w:val="24"/>
          <w:lang w:val="sr-Cyrl-CS"/>
        </w:rPr>
        <w:t xml:space="preserve"> године финансирана из националног буџета – исплаћена су средства у износу од 542,5 милиона динара за 36 одобрен</w:t>
      </w:r>
      <w:r w:rsidR="00CE53B0" w:rsidRPr="00092ED7">
        <w:rPr>
          <w:rFonts w:eastAsia="Calibri" w:cs="Times New Roman"/>
          <w:noProof/>
          <w:szCs w:val="24"/>
          <w:lang w:val="sr-Cyrl-CS"/>
        </w:rPr>
        <w:t>их</w:t>
      </w:r>
      <w:r w:rsidRPr="00092ED7">
        <w:rPr>
          <w:rFonts w:eastAsia="Calibri" w:cs="Times New Roman"/>
          <w:noProof/>
          <w:szCs w:val="24"/>
          <w:lang w:val="sr-Cyrl-CS"/>
        </w:rPr>
        <w:t xml:space="preserve"> захтева.</w:t>
      </w:r>
    </w:p>
    <w:p w14:paraId="4587378C" w14:textId="346286C6" w:rsidR="00D210F0" w:rsidRPr="00092ED7" w:rsidRDefault="00D210F0" w:rsidP="00D210F0">
      <w:pPr>
        <w:spacing w:after="60"/>
        <w:rPr>
          <w:rFonts w:eastAsia="Calibri" w:cs="Times New Roman"/>
          <w:noProof/>
          <w:szCs w:val="24"/>
          <w:lang w:val="sr-Cyrl-CS"/>
        </w:rPr>
      </w:pPr>
      <w:r w:rsidRPr="00092ED7">
        <w:rPr>
          <w:rFonts w:eastAsia="Calibri" w:cs="Times New Roman"/>
          <w:noProof/>
          <w:szCs w:val="24"/>
          <w:lang w:val="sr-Cyrl-CS"/>
        </w:rPr>
        <w:t xml:space="preserve">Треба убрзати припреме за акредитацију </w:t>
      </w:r>
      <w:r w:rsidRPr="00092ED7">
        <w:rPr>
          <w:rFonts w:eastAsia="Calibri" w:cs="Times New Roman"/>
          <w:i/>
          <w:noProof/>
          <w:szCs w:val="24"/>
          <w:lang w:val="sr-Cyrl-CS"/>
        </w:rPr>
        <w:t>Мере 6 ИПАРД III програма – Инвестиције у руралну јавну инфраструктуру</w:t>
      </w:r>
      <w:r w:rsidRPr="00092ED7">
        <w:rPr>
          <w:rFonts w:eastAsia="Calibri" w:cs="Times New Roman"/>
          <w:noProof/>
          <w:szCs w:val="24"/>
          <w:lang w:val="sr-Cyrl-CS"/>
        </w:rPr>
        <w:t>, уз увећавање средстава на националном нивоу. Код спровођења националних мера подршке руралном развоју, као и код акредитованих ИПАРД мера које се тренутно спроводе, млади пољопривредници (физичко лице, млађе од 40 година на дан подношења захтева за одобравање пројекта) имају предност приликом бодовања и рангирања пројеката/корисника. Осим тога, у оквиру ИПАРД III Програма, млади пољопривредници моћи ће да остварe увећану јавну подршку до 70% у односу на остале кориснике, код којих је јавна подршка до 60% укупних прихватљивих трошкова инвестиције. Највећа промена је забележена у обиму националних средстава пласираних у подстицаје за диверзификацију дохотка и унапређење квалитета живота у руралним подручјима, захваљујући динамичном расту подршке младима у 2020. години. Пољопривредници морају бити уписани у Регистар пољопривредних газдинстава (</w:t>
      </w:r>
      <w:r w:rsidR="00670890" w:rsidRPr="00092ED7">
        <w:rPr>
          <w:rFonts w:eastAsia="Calibri" w:cs="Times New Roman"/>
          <w:noProof/>
          <w:szCs w:val="24"/>
          <w:lang w:val="sr-Cyrl-CS"/>
        </w:rPr>
        <w:t xml:space="preserve">у даљем тексту: </w:t>
      </w:r>
      <w:r w:rsidRPr="00092ED7">
        <w:rPr>
          <w:rFonts w:eastAsia="Calibri" w:cs="Times New Roman"/>
          <w:noProof/>
          <w:szCs w:val="24"/>
          <w:lang w:val="sr-Cyrl-CS"/>
        </w:rPr>
        <w:t>РПГ) и морају да се налазе у активном статусу како би могли да конкуришу за средства из националних субвенција или из ИПАРД фонда. Тренутно је у РПГ уписано 424.266 активних пољопривредних газдинстава</w:t>
      </w:r>
      <w:r w:rsidRPr="00092ED7">
        <w:rPr>
          <w:rStyle w:val="FootnoteReference"/>
          <w:rFonts w:eastAsia="Calibri" w:cs="Times New Roman"/>
          <w:noProof/>
          <w:szCs w:val="24"/>
          <w:lang w:val="sr-Cyrl-CS"/>
        </w:rPr>
        <w:footnoteReference w:id="173"/>
      </w:r>
      <w:r w:rsidRPr="00092ED7">
        <w:rPr>
          <w:rFonts w:eastAsia="Calibri" w:cs="Times New Roman"/>
          <w:noProof/>
          <w:szCs w:val="24"/>
          <w:lang w:val="sr-Cyrl-CS"/>
        </w:rPr>
        <w:t xml:space="preserve"> (</w:t>
      </w:r>
      <w:r w:rsidR="00670890" w:rsidRPr="00092ED7">
        <w:rPr>
          <w:rFonts w:eastAsia="Calibri" w:cs="Times New Roman"/>
          <w:noProof/>
          <w:szCs w:val="24"/>
          <w:lang w:val="sr-Cyrl-CS"/>
        </w:rPr>
        <w:t xml:space="preserve">у даљем тексту: </w:t>
      </w:r>
      <w:r w:rsidRPr="00092ED7">
        <w:rPr>
          <w:rFonts w:eastAsia="Calibri" w:cs="Times New Roman"/>
          <w:noProof/>
          <w:szCs w:val="24"/>
          <w:lang w:val="sr-Cyrl-CS"/>
        </w:rPr>
        <w:t xml:space="preserve">ПГ) од чега је 420.294 регистровано у статусу породичног ПГ чији је носилац физичко лице, док само 3.962 регистрованих ПГ има статус правног лица. Овакав однос указује на неповољан пословни амбијент за развој пољопривредне делатности. За меру </w:t>
      </w:r>
      <w:r w:rsidRPr="00092ED7">
        <w:rPr>
          <w:rFonts w:eastAsia="Calibri" w:cs="Times New Roman"/>
          <w:i/>
          <w:noProof/>
          <w:szCs w:val="24"/>
          <w:lang w:val="sr-Cyrl-CS"/>
        </w:rPr>
        <w:t>Унапређење економских активности на селу кроз подршку непољопривредним активностима</w:t>
      </w:r>
      <w:r w:rsidRPr="00092ED7">
        <w:rPr>
          <w:rStyle w:val="FootnoteReference"/>
          <w:rFonts w:eastAsia="Calibri" w:cs="Times New Roman"/>
          <w:i/>
          <w:noProof/>
          <w:szCs w:val="24"/>
          <w:lang w:val="sr-Cyrl-CS"/>
        </w:rPr>
        <w:footnoteReference w:id="174"/>
      </w:r>
      <w:r w:rsidRPr="00092ED7">
        <w:rPr>
          <w:rFonts w:eastAsia="Calibri" w:cs="Times New Roman"/>
          <w:noProof/>
          <w:szCs w:val="24"/>
          <w:lang w:val="sr-Cyrl-CS"/>
        </w:rPr>
        <w:t xml:space="preserve"> расписан је конкурс</w:t>
      </w:r>
      <w:r w:rsidRPr="00092ED7">
        <w:rPr>
          <w:rStyle w:val="FootnoteReference"/>
          <w:rFonts w:eastAsia="Calibri" w:cs="Times New Roman"/>
          <w:noProof/>
          <w:szCs w:val="24"/>
          <w:lang w:val="sr-Cyrl-CS"/>
        </w:rPr>
        <w:footnoteReference w:id="175"/>
      </w:r>
      <w:r w:rsidRPr="00092ED7">
        <w:rPr>
          <w:rFonts w:eastAsia="Calibri" w:cs="Times New Roman"/>
          <w:noProof/>
          <w:szCs w:val="24"/>
          <w:lang w:val="sr-Cyrl-CS"/>
        </w:rPr>
        <w:t xml:space="preserve"> током 2021. године финансиран из националног буџета – реализација је у току (закључно са 30.</w:t>
      </w:r>
      <w:r w:rsidR="00FD7510" w:rsidRPr="00092ED7">
        <w:rPr>
          <w:rFonts w:eastAsia="Calibri" w:cs="Times New Roman"/>
          <w:noProof/>
          <w:szCs w:val="24"/>
          <w:lang w:val="sr-Cyrl-CS"/>
        </w:rPr>
        <w:t xml:space="preserve"> новембром</w:t>
      </w:r>
      <w:r w:rsidR="00FC0AC2" w:rsidRPr="00092ED7">
        <w:rPr>
          <w:rFonts w:eastAsia="Calibri" w:cs="Times New Roman"/>
          <w:noProof/>
          <w:szCs w:val="24"/>
          <w:lang w:val="sr-Cyrl-CS"/>
        </w:rPr>
        <w:t xml:space="preserve"> </w:t>
      </w:r>
      <w:r w:rsidRPr="00092ED7">
        <w:rPr>
          <w:rFonts w:eastAsia="Calibri" w:cs="Times New Roman"/>
          <w:noProof/>
          <w:szCs w:val="24"/>
          <w:lang w:val="sr-Cyrl-CS"/>
        </w:rPr>
        <w:t xml:space="preserve">2022. године); поднет је 171 захтев – обрађено 72 захтева, од чега је усвојено 62 захтева за финансирање са одобреним средствима у износу од 99,3 милиона динара. </w:t>
      </w:r>
    </w:p>
    <w:p w14:paraId="6F6AC103" w14:textId="77777777" w:rsidR="00D210F0" w:rsidRPr="00092ED7" w:rsidRDefault="00D210F0" w:rsidP="00D210F0">
      <w:pPr>
        <w:spacing w:after="60"/>
        <w:rPr>
          <w:rFonts w:eastAsia="Calibri" w:cs="Times New Roman"/>
          <w:noProof/>
          <w:szCs w:val="24"/>
          <w:lang w:val="sr-Cyrl-CS"/>
        </w:rPr>
      </w:pPr>
      <w:r w:rsidRPr="00092ED7">
        <w:rPr>
          <w:rFonts w:eastAsia="Calibri" w:cs="Times New Roman"/>
          <w:b/>
          <w:noProof/>
          <w:szCs w:val="24"/>
          <w:lang w:val="sr-Cyrl-CS"/>
        </w:rPr>
        <w:t>Учешће наводњаваних површина је ниско и износи око 4,6%</w:t>
      </w:r>
      <w:r w:rsidRPr="00092ED7">
        <w:rPr>
          <w:rFonts w:eastAsia="Calibri" w:cs="Times New Roman"/>
          <w:b/>
          <w:noProof/>
          <w:szCs w:val="24"/>
          <w:vertAlign w:val="superscript"/>
          <w:lang w:val="sr-Cyrl-CS"/>
        </w:rPr>
        <w:footnoteReference w:id="176"/>
      </w:r>
      <w:r w:rsidRPr="00092ED7">
        <w:rPr>
          <w:rFonts w:eastAsia="Calibri" w:cs="Times New Roman"/>
          <w:b/>
          <w:noProof/>
          <w:szCs w:val="24"/>
          <w:lang w:val="sr-Cyrl-CS"/>
        </w:rPr>
        <w:t xml:space="preserve"> укупне површине коришћеног пољопривредног земљишта </w:t>
      </w:r>
      <w:r w:rsidRPr="00092ED7">
        <w:rPr>
          <w:rFonts w:eastAsia="Calibri" w:cs="Times New Roman"/>
          <w:noProof/>
          <w:szCs w:val="24"/>
          <w:lang w:val="sr-Cyrl-CS"/>
        </w:rPr>
        <w:t>(7-8% у Европи). Кроз започете и планиране инвестиционе пројекте стварају се услови за наводњавање око 100.000 ha додатних површина пољопривредног земљишта. Набавка система за наводњавање за пољопривредна газдинства је подржана кроз националне мере подршке руралном развоју и ИПАРД програм.</w:t>
      </w:r>
    </w:p>
    <w:p w14:paraId="6D7B710B" w14:textId="77777777" w:rsidR="00D210F0" w:rsidRPr="00092ED7" w:rsidRDefault="00D210F0" w:rsidP="00D210F0">
      <w:pPr>
        <w:spacing w:after="60"/>
        <w:rPr>
          <w:rFonts w:eastAsia="Calibri" w:cs="Times New Roman"/>
          <w:noProof/>
          <w:szCs w:val="24"/>
          <w:lang w:val="sr-Cyrl-CS"/>
        </w:rPr>
      </w:pPr>
      <w:r w:rsidRPr="00092ED7">
        <w:rPr>
          <w:rFonts w:eastAsia="Calibri" w:cs="Times New Roman"/>
          <w:b/>
          <w:noProof/>
          <w:szCs w:val="24"/>
          <w:lang w:val="sr-Cyrl-CS"/>
        </w:rPr>
        <w:t>Недовољно ефикасни механизми за борбу против суша и других временских непогода умањују приносе у односу на потенцијале</w:t>
      </w:r>
      <w:r w:rsidRPr="00092ED7">
        <w:rPr>
          <w:rFonts w:eastAsia="Calibri" w:cs="Times New Roman"/>
          <w:noProof/>
          <w:szCs w:val="24"/>
          <w:lang w:val="sr-Cyrl-CS"/>
        </w:rPr>
        <w:t>. Да би се смањиле штете које настају услед елементарних непогода, Влада субвенционише премије осигурања. Обим опредељених средстава за ову меру се годинама повећавао. Број осигураних газдинстава је порастао од 2006. године са 2.594 на 29.707</w:t>
      </w:r>
      <w:r w:rsidRPr="00092ED7">
        <w:rPr>
          <w:rFonts w:eastAsia="Calibri" w:cs="Times New Roman"/>
          <w:lang w:val="sr-Cyrl-CS"/>
        </w:rPr>
        <w:t xml:space="preserve"> </w:t>
      </w:r>
      <w:r w:rsidRPr="00092ED7">
        <w:rPr>
          <w:rFonts w:eastAsia="Calibri" w:cs="Times New Roman"/>
          <w:noProof/>
          <w:szCs w:val="24"/>
          <w:lang w:val="sr-Cyrl-CS"/>
        </w:rPr>
        <w:t>поднетих захтева (</w:t>
      </w:r>
      <w:r w:rsidRPr="00092ED7">
        <w:rPr>
          <w:rFonts w:eastAsia="Calibri" w:cs="Times New Roman"/>
          <w:lang w:val="sr-Cyrl-CS"/>
        </w:rPr>
        <w:t xml:space="preserve">28.576 </w:t>
      </w:r>
      <w:r w:rsidRPr="00092ED7">
        <w:rPr>
          <w:rFonts w:eastAsia="Calibri" w:cs="Times New Roman"/>
          <w:noProof/>
          <w:szCs w:val="24"/>
          <w:lang w:val="sr-Cyrl-CS"/>
        </w:rPr>
        <w:t xml:space="preserve">захтева за осигурање биљне производње, односно </w:t>
      </w:r>
      <w:r w:rsidRPr="00092ED7">
        <w:rPr>
          <w:rFonts w:eastAsia="Calibri" w:cs="Times New Roman"/>
          <w:lang w:val="sr-Cyrl-CS"/>
        </w:rPr>
        <w:t>1.131</w:t>
      </w:r>
      <w:r w:rsidR="00FD7510" w:rsidRPr="00092ED7">
        <w:rPr>
          <w:rFonts w:eastAsia="Calibri" w:cs="Times New Roman"/>
          <w:lang w:val="sr-Cyrl-CS"/>
        </w:rPr>
        <w:t xml:space="preserve"> </w:t>
      </w:r>
      <w:r w:rsidRPr="00092ED7">
        <w:rPr>
          <w:rFonts w:eastAsia="Calibri" w:cs="Times New Roman"/>
          <w:noProof/>
          <w:szCs w:val="24"/>
          <w:lang w:val="sr-Cyrl-CS"/>
        </w:rPr>
        <w:t>захтев за осигурање животиња) у 2021. када је исплаћено близу 2,8 мил</w:t>
      </w:r>
      <w:r w:rsidR="00FD7510" w:rsidRPr="00092ED7">
        <w:rPr>
          <w:rFonts w:eastAsia="Calibri" w:cs="Times New Roman"/>
          <w:noProof/>
          <w:szCs w:val="24"/>
          <w:lang w:val="sr-Cyrl-CS"/>
        </w:rPr>
        <w:t>иона</w:t>
      </w:r>
      <w:r w:rsidRPr="00092ED7">
        <w:rPr>
          <w:rFonts w:eastAsia="Calibri" w:cs="Times New Roman"/>
          <w:noProof/>
          <w:szCs w:val="24"/>
          <w:lang w:val="sr-Cyrl-CS"/>
        </w:rPr>
        <w:t xml:space="preserve"> евра.</w:t>
      </w:r>
    </w:p>
    <w:p w14:paraId="33ACB4FF" w14:textId="2FD8974F" w:rsidR="00D210F0" w:rsidRPr="00092ED7" w:rsidRDefault="00D210F0" w:rsidP="00D210F0">
      <w:pPr>
        <w:spacing w:after="60"/>
        <w:rPr>
          <w:rFonts w:eastAsia="Calibri" w:cs="Times New Roman"/>
          <w:noProof/>
          <w:szCs w:val="24"/>
          <w:lang w:val="sr-Cyrl-CS"/>
        </w:rPr>
      </w:pPr>
      <w:r w:rsidRPr="00092ED7">
        <w:rPr>
          <w:rFonts w:eastAsia="Times New Roman" w:cs="Times New Roman"/>
          <w:b/>
          <w:bCs/>
          <w:szCs w:val="24"/>
          <w:lang w:val="sr-Cyrl-CS" w:eastAsia="en-GB"/>
        </w:rPr>
        <w:t>Ограничен број особа које су ангажоване и обучене у Управи за аграрна плаћања довео је до спорије обраде захтева</w:t>
      </w:r>
      <w:r w:rsidRPr="00092ED7">
        <w:rPr>
          <w:rFonts w:eastAsia="Times New Roman" w:cs="Times New Roman"/>
          <w:b/>
          <w:szCs w:val="24"/>
          <w:lang w:val="sr-Cyrl-CS" w:eastAsia="en-GB"/>
        </w:rPr>
        <w:t xml:space="preserve">, а процес обраде додатно је успорен због подношења непотпуних захтева од стране корисника, </w:t>
      </w:r>
      <w:r w:rsidR="006C3D11" w:rsidRPr="00092ED7">
        <w:rPr>
          <w:rFonts w:eastAsia="Times New Roman" w:cs="Times New Roman"/>
          <w:b/>
          <w:szCs w:val="24"/>
          <w:lang w:val="sr-Cyrl-CS" w:eastAsia="en-GB"/>
        </w:rPr>
        <w:t xml:space="preserve">као и </w:t>
      </w:r>
      <w:r w:rsidRPr="00092ED7">
        <w:rPr>
          <w:rFonts w:eastAsia="Times New Roman" w:cs="Times New Roman"/>
          <w:b/>
          <w:szCs w:val="24"/>
          <w:lang w:val="sr-Cyrl-CS" w:eastAsia="en-GB"/>
        </w:rPr>
        <w:t>због комплексних административних процедура</w:t>
      </w:r>
      <w:r w:rsidRPr="00092ED7">
        <w:rPr>
          <w:rFonts w:eastAsia="Times New Roman" w:cs="Times New Roman"/>
          <w:szCs w:val="24"/>
          <w:lang w:val="sr-Cyrl-CS" w:eastAsia="en-GB"/>
        </w:rPr>
        <w:t>. Од почетка спровођења ИПАРД II програма бележи се велико интересовање пољопривредника чему сведочи податак да је закључно са 20. октобром 2022. године</w:t>
      </w:r>
      <w:r w:rsidR="00047167" w:rsidRPr="00092ED7">
        <w:rPr>
          <w:rFonts w:eastAsia="Times New Roman" w:cs="Times New Roman"/>
          <w:szCs w:val="24"/>
          <w:lang w:val="sr-Cyrl-CS" w:eastAsia="en-GB"/>
        </w:rPr>
        <w:t>,</w:t>
      </w:r>
      <w:r w:rsidRPr="00092ED7">
        <w:rPr>
          <w:rFonts w:eastAsia="Times New Roman" w:cs="Times New Roman"/>
          <w:szCs w:val="24"/>
          <w:lang w:val="sr-Cyrl-CS" w:eastAsia="en-GB"/>
        </w:rPr>
        <w:t xml:space="preserve"> у оквиру 13 објављених јавних позива</w:t>
      </w:r>
      <w:r w:rsidR="00047167" w:rsidRPr="00092ED7">
        <w:rPr>
          <w:rFonts w:eastAsia="Times New Roman" w:cs="Times New Roman"/>
          <w:szCs w:val="24"/>
          <w:lang w:val="sr-Cyrl-CS" w:eastAsia="en-GB"/>
        </w:rPr>
        <w:t>,</w:t>
      </w:r>
      <w:r w:rsidRPr="00092ED7">
        <w:rPr>
          <w:rFonts w:eastAsia="Times New Roman" w:cs="Times New Roman"/>
          <w:szCs w:val="24"/>
          <w:lang w:val="sr-Cyrl-CS" w:eastAsia="en-GB"/>
        </w:rPr>
        <w:t xml:space="preserve"> поднето 3.178 захтева, од чега је одобрено 1.105 пројеката у износу од 99,7 милиона евра, а исплаћено 600 пројеката корисника у износу од 29,4 милиона евра доприноса ЕУ. </w:t>
      </w:r>
      <w:r w:rsidRPr="00092ED7">
        <w:rPr>
          <w:rFonts w:eastAsia="Calibri" w:cs="Times New Roman"/>
          <w:noProof/>
          <w:szCs w:val="24"/>
          <w:lang w:val="sr-Cyrl-CS"/>
        </w:rPr>
        <w:t xml:space="preserve">Као и до сада, </w:t>
      </w:r>
      <w:r w:rsidRPr="00092ED7">
        <w:rPr>
          <w:rFonts w:eastAsia="Calibri" w:cs="Times New Roman"/>
          <w:i/>
          <w:noProof/>
          <w:szCs w:val="24"/>
          <w:lang w:val="sr-Cyrl-CS"/>
        </w:rPr>
        <w:t>Мера 1 - Инвестиције у физичку имовину пољопривредних газдинстава за набавку нових трактора</w:t>
      </w:r>
      <w:r w:rsidRPr="00092ED7">
        <w:rPr>
          <w:rFonts w:eastAsia="Calibri" w:cs="Times New Roman"/>
          <w:noProof/>
          <w:szCs w:val="24"/>
          <w:lang w:val="sr-Cyrl-CS"/>
        </w:rPr>
        <w:t xml:space="preserve"> има највећи одзив. Недовољна апсорпција средстава из ИПАРД II програма до краја његовог трајања, може да доведе до повраћаја неискоришћених средстава у буџет ЕУ. Постоје велика кашњења у испоруци опреме и машина, јер су ланци снабдевања успорени као последица пандемије, недостатка радне снаге и материјала, инфлације, несташице енергената и др. </w:t>
      </w:r>
    </w:p>
    <w:p w14:paraId="03A87A2D" w14:textId="77777777" w:rsidR="00D210F0" w:rsidRPr="00092ED7" w:rsidRDefault="00D210F0" w:rsidP="00D210F0">
      <w:pPr>
        <w:spacing w:after="60"/>
        <w:rPr>
          <w:rFonts w:eastAsia="Calibri" w:cs="Times New Roman"/>
          <w:noProof/>
          <w:szCs w:val="24"/>
          <w:lang w:val="sr-Cyrl-CS"/>
        </w:rPr>
      </w:pPr>
      <w:r w:rsidRPr="00092ED7">
        <w:rPr>
          <w:rFonts w:eastAsia="Calibri" w:cs="Times New Roman"/>
          <w:b/>
          <w:noProof/>
          <w:szCs w:val="24"/>
          <w:lang w:val="sr-Cyrl-CS"/>
        </w:rPr>
        <w:t>Будући правни оквир у области пољопривреде у Републици Србији укључиће циљеве и активности</w:t>
      </w:r>
      <w:r w:rsidRPr="00092ED7">
        <w:rPr>
          <w:rFonts w:eastAsia="Calibri" w:cs="Times New Roman"/>
          <w:noProof/>
          <w:szCs w:val="24"/>
          <w:lang w:val="sr-Cyrl-CS"/>
        </w:rPr>
        <w:t xml:space="preserve"> </w:t>
      </w:r>
      <w:r w:rsidRPr="00092ED7">
        <w:rPr>
          <w:rFonts w:eastAsia="Calibri" w:cs="Times New Roman"/>
          <w:b/>
          <w:noProof/>
          <w:szCs w:val="24"/>
          <w:lang w:val="sr-Cyrl-CS"/>
        </w:rPr>
        <w:t>Европског зеленог договора</w:t>
      </w:r>
      <w:r w:rsidRPr="00092ED7">
        <w:rPr>
          <w:rFonts w:eastAsia="Calibri" w:cs="Times New Roman"/>
          <w:noProof/>
          <w:szCs w:val="24"/>
          <w:lang w:val="sr-Cyrl-CS"/>
        </w:rPr>
        <w:t xml:space="preserve"> (</w:t>
      </w:r>
      <w:r w:rsidRPr="00092ED7">
        <w:rPr>
          <w:rFonts w:eastAsia="Calibri" w:cs="Times New Roman"/>
          <w:i/>
          <w:noProof/>
          <w:szCs w:val="24"/>
          <w:lang w:val="sr-Cyrl-CS"/>
        </w:rPr>
        <w:t>The European Green Deal)</w:t>
      </w:r>
      <w:r w:rsidRPr="00092ED7">
        <w:rPr>
          <w:rFonts w:eastAsia="Calibri" w:cs="Times New Roman"/>
          <w:noProof/>
          <w:szCs w:val="24"/>
          <w:lang w:val="sr-Cyrl-CS"/>
        </w:rPr>
        <w:t>, у смислу успостављања праведног, здравог и еколошки прихватљивог тржишног ланца прехрамбених производа, а кроз активности смањења употребе пестицида, вештачког ђубрива и антибиотика, као и смањења ризика њиховог коришћења с једне стране, и унапређења заштите животне средине и очувања биодиверзитета, с друге стране. У складу са овим планом је и ИПАРД III програм за Републику Србију усвојен од стране ЕК Спроведбеном одлуком број C (2022) 1537 од 9.</w:t>
      </w:r>
      <w:r w:rsidR="00471226" w:rsidRPr="00092ED7">
        <w:rPr>
          <w:rFonts w:eastAsia="Calibri" w:cs="Times New Roman"/>
          <w:noProof/>
          <w:szCs w:val="24"/>
          <w:lang w:val="sr-Cyrl-CS"/>
        </w:rPr>
        <w:t xml:space="preserve"> марта</w:t>
      </w:r>
      <w:r w:rsidR="00CB66AD" w:rsidRPr="00092ED7">
        <w:rPr>
          <w:rFonts w:eastAsia="Calibri" w:cs="Times New Roman"/>
          <w:noProof/>
          <w:szCs w:val="24"/>
          <w:lang w:val="sr-Cyrl-CS"/>
        </w:rPr>
        <w:t xml:space="preserve"> </w:t>
      </w:r>
      <w:r w:rsidRPr="00092ED7">
        <w:rPr>
          <w:rFonts w:eastAsia="Calibri" w:cs="Times New Roman"/>
          <w:noProof/>
          <w:szCs w:val="24"/>
          <w:lang w:val="sr-Cyrl-CS"/>
        </w:rPr>
        <w:t xml:space="preserve">2022. године. Све инвестиције у механизацију и опрему које су предмет подршке морају да задовоље стандарде који се тичу емисије штетних гасова. Планирано је поједностављење и дигитализација седам административних поступака до краја 2023. године. </w:t>
      </w:r>
      <w:r w:rsidRPr="00092ED7">
        <w:rPr>
          <w:rFonts w:eastAsia="Times New Roman" w:cs="Times New Roman"/>
          <w:szCs w:val="24"/>
          <w:lang w:val="sr-Cyrl-CS" w:eastAsia="en-GB"/>
        </w:rPr>
        <w:t xml:space="preserve">Уведена су и авансна плаћања како би се повећала искоришћеност средстава, </w:t>
      </w:r>
      <w:r w:rsidR="00296994" w:rsidRPr="00092ED7">
        <w:rPr>
          <w:rFonts w:eastAsia="Times New Roman" w:cs="Times New Roman"/>
          <w:szCs w:val="24"/>
          <w:lang w:val="sr-Cyrl-CS" w:eastAsia="en-GB"/>
        </w:rPr>
        <w:t>а</w:t>
      </w:r>
      <w:r w:rsidR="00D65B6D" w:rsidRPr="00092ED7">
        <w:rPr>
          <w:rFonts w:eastAsia="Times New Roman" w:cs="Times New Roman"/>
          <w:szCs w:val="24"/>
          <w:lang w:val="sr-Cyrl-CS" w:eastAsia="en-GB"/>
        </w:rPr>
        <w:t xml:space="preserve"> за</w:t>
      </w:r>
      <w:r w:rsidRPr="00092ED7">
        <w:rPr>
          <w:rFonts w:eastAsia="Times New Roman" w:cs="Times New Roman"/>
          <w:szCs w:val="24"/>
          <w:lang w:val="sr-Cyrl-CS" w:eastAsia="en-GB"/>
        </w:rPr>
        <w:t xml:space="preserve"> износ аванса тражи</w:t>
      </w:r>
      <w:r w:rsidR="00296994" w:rsidRPr="00092ED7">
        <w:rPr>
          <w:rFonts w:eastAsia="Times New Roman" w:cs="Times New Roman"/>
          <w:szCs w:val="24"/>
          <w:lang w:val="sr-Cyrl-CS" w:eastAsia="en-GB"/>
        </w:rPr>
        <w:t xml:space="preserve"> се</w:t>
      </w:r>
      <w:r w:rsidRPr="00092ED7">
        <w:rPr>
          <w:rFonts w:eastAsia="Times New Roman" w:cs="Times New Roman"/>
          <w:szCs w:val="24"/>
          <w:lang w:val="sr-Cyrl-CS" w:eastAsia="en-GB"/>
        </w:rPr>
        <w:t xml:space="preserve"> средство обезбеђења </w:t>
      </w:r>
      <w:r w:rsidR="00D65B6D" w:rsidRPr="00092ED7">
        <w:rPr>
          <w:rFonts w:eastAsia="Times New Roman" w:cs="Times New Roman"/>
          <w:szCs w:val="24"/>
          <w:lang w:val="sr-Cyrl-CS" w:eastAsia="en-GB"/>
        </w:rPr>
        <w:t xml:space="preserve">од стране </w:t>
      </w:r>
      <w:r w:rsidRPr="00092ED7">
        <w:rPr>
          <w:rFonts w:eastAsia="Times New Roman" w:cs="Times New Roman"/>
          <w:szCs w:val="24"/>
          <w:lang w:val="sr-Cyrl-CS" w:eastAsia="en-GB"/>
        </w:rPr>
        <w:t>пословне банке.</w:t>
      </w:r>
    </w:p>
    <w:p w14:paraId="7163B429" w14:textId="7AC7D970" w:rsidR="00047167" w:rsidRPr="00092ED7" w:rsidRDefault="00D210F0" w:rsidP="00D210F0">
      <w:pPr>
        <w:spacing w:after="60"/>
        <w:rPr>
          <w:rFonts w:eastAsia="Times New Roman" w:cs="Times New Roman"/>
          <w:lang w:val="sr-Cyrl-CS" w:eastAsia="en-GB"/>
        </w:rPr>
      </w:pPr>
      <w:r w:rsidRPr="00092ED7">
        <w:rPr>
          <w:rFonts w:eastAsia="Times New Roman" w:cs="Times New Roman"/>
          <w:b/>
          <w:bCs/>
          <w:lang w:val="sr-Cyrl-CS" w:eastAsia="en-GB"/>
        </w:rPr>
        <w:t>Контрола у процесу управљања средствима за заштиту биља</w:t>
      </w:r>
      <w:r w:rsidRPr="00092ED7">
        <w:rPr>
          <w:rFonts w:eastAsia="Times New Roman" w:cs="Times New Roman"/>
          <w:lang w:val="sr-Cyrl-CS" w:eastAsia="en-GB"/>
        </w:rPr>
        <w:t xml:space="preserve"> је недовољна</w:t>
      </w:r>
      <w:r w:rsidRPr="00092ED7">
        <w:rPr>
          <w:rFonts w:eastAsia="Times New Roman" w:cs="Times New Roman"/>
          <w:b/>
          <w:bCs/>
          <w:lang w:val="sr-Cyrl-CS" w:eastAsia="en-GB"/>
        </w:rPr>
        <w:t>, уз недостатак специфичних знања и слабе обучености пољопривредника за примену средстава за заштиту биља</w:t>
      </w:r>
      <w:r w:rsidRPr="00092ED7">
        <w:rPr>
          <w:rStyle w:val="FootnoteReference"/>
          <w:rFonts w:cs="Times New Roman"/>
          <w:b/>
          <w:lang w:val="sr-Cyrl-CS" w:eastAsia="en-GB"/>
        </w:rPr>
        <w:footnoteReference w:id="177"/>
      </w:r>
      <w:r w:rsidRPr="00092ED7">
        <w:rPr>
          <w:rFonts w:eastAsia="Times New Roman" w:cs="Times New Roman"/>
          <w:lang w:val="sr-Cyrl-CS" w:eastAsia="en-GB"/>
        </w:rPr>
        <w:t>. У Републици Србији је регистровано 1.263 средства за заштиту биља</w:t>
      </w:r>
      <w:r w:rsidRPr="00092ED7">
        <w:rPr>
          <w:rStyle w:val="FootnoteReference"/>
          <w:rFonts w:cs="Times New Roman"/>
          <w:lang w:val="sr-Cyrl-CS" w:eastAsia="en-GB"/>
        </w:rPr>
        <w:footnoteReference w:id="178"/>
      </w:r>
      <w:r w:rsidRPr="00092ED7">
        <w:rPr>
          <w:rFonts w:eastAsia="Times New Roman" w:cs="Times New Roman"/>
          <w:lang w:val="sr-Cyrl-CS" w:eastAsia="en-GB"/>
        </w:rPr>
        <w:t xml:space="preserve">. Контрола присуства ових средстава у прехрамбеним производима се обавља на годишњем нивоу у складу са </w:t>
      </w:r>
      <w:r w:rsidR="006C3D11" w:rsidRPr="00092ED7">
        <w:rPr>
          <w:rFonts w:eastAsia="Times New Roman" w:cs="Times New Roman"/>
          <w:lang w:val="sr-Cyrl-CS" w:eastAsia="en-GB"/>
        </w:rPr>
        <w:t>п</w:t>
      </w:r>
      <w:r w:rsidRPr="00092ED7">
        <w:rPr>
          <w:rFonts w:eastAsia="Times New Roman" w:cs="Times New Roman"/>
          <w:lang w:val="sr-Cyrl-CS" w:eastAsia="en-GB"/>
        </w:rPr>
        <w:t>равилником</w:t>
      </w:r>
      <w:r w:rsidRPr="00092ED7">
        <w:rPr>
          <w:lang w:val="sr-Cyrl-CS"/>
        </w:rPr>
        <w:t xml:space="preserve"> </w:t>
      </w:r>
      <w:r w:rsidRPr="00092ED7">
        <w:rPr>
          <w:rFonts w:eastAsia="Times New Roman" w:cs="Times New Roman"/>
          <w:lang w:val="sr-Cyrl-CS" w:eastAsia="en-GB"/>
        </w:rPr>
        <w:t xml:space="preserve">о </w:t>
      </w:r>
      <w:r w:rsidR="006C3D11" w:rsidRPr="00092ED7">
        <w:rPr>
          <w:rFonts w:eastAsia="Times New Roman" w:cs="Times New Roman"/>
          <w:lang w:val="sr-Cyrl-CS" w:eastAsia="en-GB"/>
        </w:rPr>
        <w:t>г</w:t>
      </w:r>
      <w:r w:rsidRPr="00092ED7">
        <w:rPr>
          <w:rFonts w:eastAsia="Times New Roman" w:cs="Times New Roman"/>
          <w:lang w:val="sr-Cyrl-CS" w:eastAsia="en-GB"/>
        </w:rPr>
        <w:t xml:space="preserve">одишњем програму пострегистрационе контроле средстава за заштиту биља, а на основу </w:t>
      </w:r>
      <w:r w:rsidRPr="00092ED7">
        <w:rPr>
          <w:rFonts w:eastAsia="Times New Roman" w:cs="Times New Roman"/>
          <w:i/>
          <w:lang w:val="sr-Cyrl-CS" w:eastAsia="en-GB"/>
        </w:rPr>
        <w:t>Закона о средствима за заштиту биља</w:t>
      </w:r>
      <w:r w:rsidRPr="00092ED7">
        <w:rPr>
          <w:rFonts w:eastAsia="Times New Roman" w:cs="Times New Roman"/>
          <w:lang w:val="sr-Cyrl-CS" w:eastAsia="en-GB"/>
        </w:rPr>
        <w:t xml:space="preserve"> </w:t>
      </w:r>
      <w:r w:rsidRPr="00092ED7">
        <w:rPr>
          <w:rFonts w:eastAsia="Calibri" w:cs="Times New Roman"/>
          <w:noProof/>
          <w:szCs w:val="24"/>
          <w:lang w:val="sr-Cyrl-CS"/>
        </w:rPr>
        <w:t>(„Сл</w:t>
      </w:r>
      <w:r w:rsidR="00CE3B79" w:rsidRPr="00092ED7">
        <w:rPr>
          <w:rFonts w:eastAsia="Calibri" w:cs="Times New Roman"/>
          <w:noProof/>
          <w:szCs w:val="24"/>
          <w:lang w:val="sr-Cyrl-CS"/>
        </w:rPr>
        <w:t>ужбени</w:t>
      </w:r>
      <w:r w:rsidRPr="00092ED7">
        <w:rPr>
          <w:rFonts w:eastAsia="Calibri" w:cs="Times New Roman"/>
          <w:noProof/>
          <w:szCs w:val="24"/>
          <w:lang w:val="sr-Cyrl-CS"/>
        </w:rPr>
        <w:t xml:space="preserve"> гласник РС</w:t>
      </w:r>
      <w:r w:rsidR="00CE3B79" w:rsidRPr="00092ED7">
        <w:rPr>
          <w:rFonts w:cs="Times New Roman"/>
          <w:szCs w:val="24"/>
          <w:lang w:val="sr-Cyrl-CS"/>
        </w:rPr>
        <w:t>”</w:t>
      </w:r>
      <w:r w:rsidRPr="00092ED7">
        <w:rPr>
          <w:rFonts w:eastAsia="Calibri" w:cs="Times New Roman"/>
          <w:noProof/>
          <w:szCs w:val="24"/>
          <w:lang w:val="sr-Cyrl-CS"/>
        </w:rPr>
        <w:t>, бр</w:t>
      </w:r>
      <w:r w:rsidR="006C3D11" w:rsidRPr="00092ED7">
        <w:rPr>
          <w:rFonts w:eastAsia="Calibri" w:cs="Times New Roman"/>
          <w:noProof/>
          <w:szCs w:val="24"/>
          <w:lang w:val="sr-Cyrl-CS"/>
        </w:rPr>
        <w:t>.</w:t>
      </w:r>
      <w:r w:rsidRPr="00092ED7">
        <w:rPr>
          <w:rFonts w:eastAsia="Calibri" w:cs="Times New Roman"/>
          <w:noProof/>
          <w:szCs w:val="24"/>
          <w:lang w:val="sr-Cyrl-CS"/>
        </w:rPr>
        <w:t xml:space="preserve"> </w:t>
      </w:r>
      <w:r w:rsidR="006C3D11" w:rsidRPr="00092ED7">
        <w:rPr>
          <w:rFonts w:eastAsia="Calibri" w:cs="Times New Roman"/>
          <w:noProof/>
          <w:szCs w:val="24"/>
          <w:lang w:val="sr-Cyrl-CS"/>
        </w:rPr>
        <w:t xml:space="preserve">41/09 и </w:t>
      </w:r>
      <w:r w:rsidRPr="00092ED7">
        <w:rPr>
          <w:rFonts w:eastAsia="Calibri" w:cs="Times New Roman"/>
          <w:noProof/>
          <w:szCs w:val="24"/>
          <w:lang w:val="sr-Cyrl-CS"/>
        </w:rPr>
        <w:t>17/19)</w:t>
      </w:r>
      <w:r w:rsidRPr="00092ED7">
        <w:rPr>
          <w:rFonts w:eastAsia="Times New Roman" w:cs="Times New Roman"/>
          <w:lang w:val="sr-Cyrl-CS" w:eastAsia="en-GB"/>
        </w:rPr>
        <w:t>. Од 2.442 анализирана узорка увезених средстава за заштиту и исхрану биља од стране граничне фитосанитарне инспекције, 13 узорака (0,5%) није испунило дефинисане границе максимално дозвољених количина средстава за заштиту и исхрану биља у прехрамбеним производима</w:t>
      </w:r>
      <w:r w:rsidRPr="00092ED7">
        <w:rPr>
          <w:rStyle w:val="FootnoteReference"/>
          <w:rFonts w:cs="Times New Roman"/>
          <w:lang w:val="sr-Cyrl-CS" w:eastAsia="en-GB"/>
        </w:rPr>
        <w:footnoteReference w:id="179"/>
      </w:r>
      <w:r w:rsidRPr="00092ED7">
        <w:rPr>
          <w:rFonts w:eastAsia="Times New Roman" w:cs="Times New Roman"/>
          <w:lang w:val="sr-Cyrl-CS" w:eastAsia="en-GB"/>
        </w:rPr>
        <w:t>.</w:t>
      </w:r>
    </w:p>
    <w:p w14:paraId="1903825B" w14:textId="77777777" w:rsidR="00D210F0" w:rsidRPr="00092ED7" w:rsidRDefault="00D210F0" w:rsidP="00D210F0">
      <w:pPr>
        <w:spacing w:after="60"/>
        <w:rPr>
          <w:rFonts w:cs="Times New Roman"/>
          <w:lang w:val="sr-Cyrl-CS"/>
        </w:rPr>
      </w:pPr>
      <w:r w:rsidRPr="00092ED7">
        <w:rPr>
          <w:rFonts w:cs="Times New Roman"/>
          <w:b/>
          <w:lang w:val="sr-Cyrl-CS"/>
        </w:rPr>
        <w:t xml:space="preserve">Поремећаји на глобалном тржишту </w:t>
      </w:r>
      <w:r w:rsidR="00A332FD" w:rsidRPr="00092ED7">
        <w:rPr>
          <w:rFonts w:cs="Times New Roman"/>
          <w:b/>
          <w:lang w:val="sr-Cyrl-CS"/>
        </w:rPr>
        <w:t>пољопривредних производа и инпута у пољопривредној производњи</w:t>
      </w:r>
      <w:r w:rsidR="00A332FD" w:rsidRPr="00092ED7">
        <w:rPr>
          <w:rFonts w:cs="Times New Roman"/>
          <w:lang w:val="sr-Cyrl-CS"/>
        </w:rPr>
        <w:t xml:space="preserve"> </w:t>
      </w:r>
      <w:r w:rsidRPr="00092ED7">
        <w:rPr>
          <w:rFonts w:cs="Times New Roman"/>
          <w:lang w:val="sr-Cyrl-CS"/>
        </w:rPr>
        <w:t xml:space="preserve">услед </w:t>
      </w:r>
      <w:r w:rsidR="00CF7989" w:rsidRPr="00092ED7">
        <w:rPr>
          <w:rFonts w:cs="Times New Roman"/>
          <w:lang w:val="sr-Cyrl-CS"/>
        </w:rPr>
        <w:t xml:space="preserve">конфликта </w:t>
      </w:r>
      <w:r w:rsidRPr="00092ED7">
        <w:rPr>
          <w:rFonts w:cs="Times New Roman"/>
          <w:lang w:val="sr-Cyrl-CS"/>
        </w:rPr>
        <w:t>у Украјини</w:t>
      </w:r>
      <w:r w:rsidR="00A332FD" w:rsidRPr="00092ED7">
        <w:rPr>
          <w:rFonts w:cs="Times New Roman"/>
          <w:szCs w:val="24"/>
          <w:lang w:val="sr-Cyrl-CS"/>
        </w:rPr>
        <w:t xml:space="preserve"> указују на значај сектора пољопривреде и посебно обезбеђивања прехрамбене сигурности.</w:t>
      </w:r>
      <w:r w:rsidRPr="00092ED7">
        <w:rPr>
          <w:rFonts w:cs="Times New Roman"/>
          <w:lang w:val="sr-Cyrl-CS"/>
        </w:rPr>
        <w:t xml:space="preserve"> </w:t>
      </w:r>
      <w:r w:rsidR="00A332FD" w:rsidRPr="00092ED7">
        <w:rPr>
          <w:rFonts w:cs="Times New Roman"/>
          <w:lang w:val="sr-Cyrl-CS"/>
        </w:rPr>
        <w:t>Ч</w:t>
      </w:r>
      <w:r w:rsidRPr="00092ED7">
        <w:rPr>
          <w:rFonts w:cs="Times New Roman"/>
          <w:lang w:val="sr-Cyrl-CS"/>
        </w:rPr>
        <w:t>ињениц</w:t>
      </w:r>
      <w:r w:rsidR="00A332FD" w:rsidRPr="00092ED7">
        <w:rPr>
          <w:rFonts w:cs="Times New Roman"/>
          <w:lang w:val="sr-Cyrl-CS"/>
        </w:rPr>
        <w:t>е</w:t>
      </w:r>
      <w:r w:rsidRPr="00092ED7">
        <w:rPr>
          <w:rFonts w:cs="Times New Roman"/>
          <w:lang w:val="sr-Cyrl-CS"/>
        </w:rPr>
        <w:t xml:space="preserve"> да су Русија и Украјина главни произвођачи основних пољопривредних производа (пре свега пшенице, кукуруза и сунцокретовог уља) и да је Русија највећи светски извозник ђубрива, врше притисак на пораст цена основних пољопривредних инпута (ђубрива и горива)</w:t>
      </w:r>
      <w:r w:rsidR="00047167" w:rsidRPr="00092ED7">
        <w:rPr>
          <w:rFonts w:cs="Times New Roman"/>
          <w:lang w:val="sr-Cyrl-CS"/>
        </w:rPr>
        <w:t xml:space="preserve"> и пораст цена хране</w:t>
      </w:r>
      <w:r w:rsidR="00A332FD" w:rsidRPr="00092ED7">
        <w:rPr>
          <w:rFonts w:cs="Times New Roman"/>
          <w:lang w:val="sr-Cyrl-CS"/>
        </w:rPr>
        <w:t xml:space="preserve"> на глобалном нивоу</w:t>
      </w:r>
      <w:r w:rsidRPr="00092ED7">
        <w:rPr>
          <w:rFonts w:cs="Times New Roman"/>
          <w:lang w:val="sr-Cyrl-CS"/>
        </w:rPr>
        <w:t>.</w:t>
      </w:r>
    </w:p>
    <w:p w14:paraId="36ACA178" w14:textId="77777777" w:rsidR="00D210F0" w:rsidRPr="00092ED7" w:rsidRDefault="00D210F0" w:rsidP="00D210F0">
      <w:pPr>
        <w:spacing w:after="60"/>
        <w:rPr>
          <w:rFonts w:eastAsia="Calibri" w:cs="Times New Roman"/>
          <w:noProof/>
          <w:szCs w:val="24"/>
          <w:lang w:val="sr-Cyrl-CS"/>
        </w:rPr>
      </w:pPr>
      <w:r w:rsidRPr="00092ED7">
        <w:rPr>
          <w:rFonts w:eastAsia="Calibri" w:cs="Times New Roman"/>
          <w:b/>
          <w:noProof/>
          <w:szCs w:val="24"/>
          <w:lang w:val="sr-Cyrl-CS"/>
        </w:rPr>
        <w:t>Индустријска производња је одржала ниво у условима пандемије, без обзира на н</w:t>
      </w:r>
      <w:r w:rsidRPr="00092ED7">
        <w:rPr>
          <w:rFonts w:eastAsia="Calibri" w:cs="Times New Roman"/>
          <w:b/>
          <w:bCs/>
          <w:noProof/>
          <w:szCs w:val="24"/>
          <w:lang w:val="sr-Cyrl-CS"/>
        </w:rPr>
        <w:t>едостатак сировина из увоза, прекид трговинских ланаца и смањење тражње</w:t>
      </w:r>
      <w:r w:rsidRPr="00092ED7">
        <w:rPr>
          <w:rFonts w:eastAsia="Calibri" w:cs="Times New Roman"/>
          <w:b/>
          <w:noProof/>
          <w:szCs w:val="24"/>
          <w:lang w:val="sr-Cyrl-CS"/>
        </w:rPr>
        <w:t xml:space="preserve"> </w:t>
      </w:r>
      <w:r w:rsidRPr="00092ED7">
        <w:rPr>
          <w:rFonts w:eastAsia="Calibri" w:cs="Times New Roman"/>
          <w:noProof/>
          <w:szCs w:val="24"/>
          <w:lang w:val="sr-Cyrl-CS"/>
        </w:rPr>
        <w:t>(мг раст индустрије 6,3%, прерађивачке индустрије 5,5% у 2021. години)</w:t>
      </w:r>
      <w:r w:rsidRPr="00092ED7">
        <w:rPr>
          <w:rStyle w:val="FootnoteReference"/>
          <w:rFonts w:eastAsia="Calibri" w:cs="Times New Roman"/>
          <w:noProof/>
          <w:szCs w:val="24"/>
          <w:lang w:val="sr-Cyrl-CS"/>
        </w:rPr>
        <w:footnoteReference w:id="180"/>
      </w:r>
      <w:r w:rsidRPr="00092ED7">
        <w:rPr>
          <w:rFonts w:eastAsia="Calibri" w:cs="Times New Roman"/>
          <w:noProof/>
          <w:szCs w:val="24"/>
          <w:lang w:val="sr-Cyrl-CS"/>
        </w:rPr>
        <w:t>. Учешће индустрије у стварању укупног БДВ износило је 21,7% у 2021.</w:t>
      </w:r>
      <w:r w:rsidRPr="00092ED7">
        <w:rPr>
          <w:rStyle w:val="FootnoteReference"/>
          <w:rFonts w:eastAsia="Calibri" w:cs="Times New Roman"/>
          <w:noProof/>
          <w:szCs w:val="24"/>
          <w:lang w:val="sr-Cyrl-CS"/>
        </w:rPr>
        <w:footnoteReference w:id="181"/>
      </w:r>
      <w:r w:rsidRPr="00092ED7">
        <w:rPr>
          <w:rFonts w:eastAsia="Calibri" w:cs="Times New Roman"/>
          <w:noProof/>
          <w:szCs w:val="24"/>
          <w:lang w:val="sr-Cyrl-CS"/>
        </w:rPr>
        <w:t xml:space="preserve"> године. Опоравку индустрије допринеле су и СДИ у прерађивачку индустрију (38,3% укупних СДИ у 2021. години)</w:t>
      </w:r>
      <w:r w:rsidRPr="00092ED7">
        <w:rPr>
          <w:rStyle w:val="FootnoteReference"/>
          <w:rFonts w:eastAsia="Calibri" w:cs="Times New Roman"/>
          <w:noProof/>
          <w:szCs w:val="24"/>
          <w:lang w:val="sr-Cyrl-CS"/>
        </w:rPr>
        <w:footnoteReference w:id="182"/>
      </w:r>
      <w:r w:rsidRPr="00092ED7">
        <w:rPr>
          <w:rFonts w:eastAsia="Calibri" w:cs="Times New Roman"/>
          <w:noProof/>
          <w:szCs w:val="24"/>
          <w:lang w:val="sr-Cyrl-CS"/>
        </w:rPr>
        <w:t>.</w:t>
      </w:r>
      <w:r w:rsidRPr="00092ED7">
        <w:rPr>
          <w:rFonts w:eastAsia="Calibri" w:cs="Times New Roman"/>
          <w:lang w:val="sr-Cyrl-CS"/>
        </w:rPr>
        <w:t xml:space="preserve"> </w:t>
      </w:r>
      <w:r w:rsidRPr="00092ED7">
        <w:rPr>
          <w:rFonts w:eastAsia="Calibri" w:cs="Times New Roman"/>
          <w:noProof/>
          <w:szCs w:val="24"/>
          <w:lang w:val="sr-Cyrl-CS"/>
        </w:rPr>
        <w:t>Упркос ризику да криза произведе озбиљне поремећаје на тржишту рада, запосленост у прерађивачкој индустрији је очувана и повећана за 3,7% у 2021. години</w:t>
      </w:r>
      <w:r w:rsidRPr="00092ED7">
        <w:rPr>
          <w:rStyle w:val="FootnoteReference"/>
          <w:rFonts w:eastAsia="Calibri" w:cs="Times New Roman"/>
          <w:noProof/>
          <w:szCs w:val="24"/>
          <w:lang w:val="sr-Cyrl-CS"/>
        </w:rPr>
        <w:footnoteReference w:id="183"/>
      </w:r>
      <w:r w:rsidRPr="00092ED7">
        <w:rPr>
          <w:rFonts w:eastAsia="Calibri" w:cs="Times New Roman"/>
          <w:noProof/>
          <w:szCs w:val="24"/>
          <w:lang w:val="sr-Cyrl-CS"/>
        </w:rPr>
        <w:t>, а такав тренд је настављен и у 2022. години када је у другом кварталу забележен раст од 0,7% (3.523 лица) у односу на просек из 2021. године</w:t>
      </w:r>
      <w:r w:rsidRPr="00092ED7">
        <w:rPr>
          <w:rStyle w:val="FootnoteReference"/>
          <w:rFonts w:eastAsia="Calibri" w:cs="Times New Roman"/>
          <w:noProof/>
          <w:szCs w:val="24"/>
          <w:lang w:val="sr-Cyrl-CS"/>
        </w:rPr>
        <w:footnoteReference w:id="184"/>
      </w:r>
      <w:r w:rsidRPr="00092ED7">
        <w:rPr>
          <w:rFonts w:eastAsia="Calibri" w:cs="Times New Roman"/>
          <w:noProof/>
          <w:szCs w:val="24"/>
          <w:lang w:val="sr-Cyrl-CS"/>
        </w:rPr>
        <w:t>. Извоз прерађивачке индустрије је повећан за 26,1% мг у периоду јануар-јун 2022</w:t>
      </w:r>
      <w:r w:rsidRPr="00092ED7">
        <w:rPr>
          <w:rStyle w:val="FootnoteReference"/>
          <w:rFonts w:eastAsia="Calibri" w:cs="Times New Roman"/>
          <w:noProof/>
          <w:szCs w:val="24"/>
          <w:lang w:val="sr-Cyrl-CS"/>
        </w:rPr>
        <w:footnoteReference w:id="185"/>
      </w:r>
      <w:r w:rsidRPr="00092ED7">
        <w:rPr>
          <w:rFonts w:eastAsia="Calibri" w:cs="Times New Roman"/>
          <w:noProof/>
          <w:szCs w:val="24"/>
          <w:lang w:val="sr-Cyrl-CS"/>
        </w:rPr>
        <w:t xml:space="preserve">. </w:t>
      </w:r>
    </w:p>
    <w:p w14:paraId="17BB4C37" w14:textId="116EF94E" w:rsidR="00D210F0" w:rsidRPr="00092ED7" w:rsidRDefault="00D210F0" w:rsidP="00D210F0">
      <w:pPr>
        <w:widowControl w:val="0"/>
        <w:suppressAutoHyphens/>
        <w:autoSpaceDN w:val="0"/>
        <w:spacing w:after="60"/>
        <w:textAlignment w:val="baseline"/>
        <w:rPr>
          <w:rFonts w:eastAsia="SimSun" w:cs="Mangal"/>
          <w:kern w:val="3"/>
          <w:szCs w:val="24"/>
          <w:lang w:val="sr-Cyrl-CS" w:eastAsia="zh-CN" w:bidi="hi-IN"/>
        </w:rPr>
      </w:pPr>
      <w:r w:rsidRPr="00092ED7">
        <w:rPr>
          <w:rFonts w:eastAsia="SimSun" w:cs="Mangal"/>
          <w:b/>
          <w:kern w:val="3"/>
          <w:szCs w:val="24"/>
          <w:lang w:val="sr-Cyrl-CS" w:eastAsia="zh-CN" w:bidi="hi-IN"/>
        </w:rPr>
        <w:t xml:space="preserve">Приступ финансирању </w:t>
      </w:r>
      <w:r w:rsidR="005A4017" w:rsidRPr="00092ED7">
        <w:rPr>
          <w:rFonts w:eastAsia="SimSun" w:cs="Mangal"/>
          <w:b/>
          <w:kern w:val="3"/>
          <w:szCs w:val="24"/>
          <w:lang w:val="sr-Cyrl-CS" w:eastAsia="zh-CN" w:bidi="hi-IN"/>
        </w:rPr>
        <w:t xml:space="preserve">малих, средњих предузећа и предузетника (у даљем тексту: </w:t>
      </w:r>
      <w:r w:rsidRPr="00092ED7">
        <w:rPr>
          <w:rFonts w:eastAsia="SimSun" w:cs="Mangal"/>
          <w:b/>
          <w:kern w:val="3"/>
          <w:szCs w:val="24"/>
          <w:lang w:val="sr-Cyrl-CS" w:eastAsia="zh-CN" w:bidi="hi-IN"/>
        </w:rPr>
        <w:t>МСПП</w:t>
      </w:r>
      <w:r w:rsidR="005A4017" w:rsidRPr="00092ED7">
        <w:rPr>
          <w:rFonts w:eastAsia="SimSun" w:cs="Mangal"/>
          <w:b/>
          <w:kern w:val="3"/>
          <w:szCs w:val="24"/>
          <w:lang w:val="sr-Cyrl-CS" w:eastAsia="zh-CN" w:bidi="hi-IN"/>
        </w:rPr>
        <w:t>)</w:t>
      </w:r>
      <w:r w:rsidRPr="00092ED7">
        <w:rPr>
          <w:rFonts w:eastAsia="SimSun" w:cs="Mangal"/>
          <w:b/>
          <w:kern w:val="3"/>
          <w:szCs w:val="24"/>
          <w:lang w:val="sr-Cyrl-CS" w:eastAsia="zh-CN" w:bidi="hi-IN"/>
        </w:rPr>
        <w:t xml:space="preserve"> из године у годину се побољшава</w:t>
      </w:r>
      <w:r w:rsidRPr="00092ED7">
        <w:rPr>
          <w:rFonts w:eastAsia="SimSun" w:cs="Mangal"/>
          <w:kern w:val="3"/>
          <w:szCs w:val="24"/>
          <w:lang w:val="sr-Cyrl-CS" w:eastAsia="zh-CN" w:bidi="hi-IN"/>
        </w:rPr>
        <w:t xml:space="preserve">. Правни оквир у области финансирања унапређен је доношењем </w:t>
      </w:r>
      <w:r w:rsidRPr="00092ED7">
        <w:rPr>
          <w:rFonts w:eastAsia="SimSun" w:cs="Mangal"/>
          <w:i/>
          <w:kern w:val="3"/>
          <w:szCs w:val="24"/>
          <w:lang w:val="sr-Cyrl-CS" w:eastAsia="zh-CN" w:bidi="hi-IN"/>
        </w:rPr>
        <w:t>Закона о отвореним инвестиционим фондовима са јавном понудом</w:t>
      </w:r>
      <w:r w:rsidR="00467D0D" w:rsidRPr="00092ED7">
        <w:rPr>
          <w:rFonts w:eastAsia="SimSun" w:cs="Mangal"/>
          <w:kern w:val="3"/>
          <w:szCs w:val="24"/>
          <w:lang w:val="sr-Cyrl-CS" w:eastAsia="zh-CN" w:bidi="hi-IN"/>
        </w:rPr>
        <w:t xml:space="preserve"> („Сл</w:t>
      </w:r>
      <w:r w:rsidR="00013417" w:rsidRPr="00092ED7">
        <w:rPr>
          <w:rFonts w:eastAsia="SimSun" w:cs="Mangal"/>
          <w:kern w:val="3"/>
          <w:szCs w:val="24"/>
          <w:lang w:val="sr-Cyrl-CS" w:eastAsia="zh-CN" w:bidi="hi-IN"/>
        </w:rPr>
        <w:t>ужбени</w:t>
      </w:r>
      <w:r w:rsidRPr="00092ED7">
        <w:rPr>
          <w:rFonts w:eastAsia="SimSun" w:cs="Mangal"/>
          <w:kern w:val="3"/>
          <w:szCs w:val="24"/>
          <w:lang w:val="sr-Cyrl-CS" w:eastAsia="zh-CN" w:bidi="hi-IN"/>
        </w:rPr>
        <w:t xml:space="preserve"> гласник РС</w:t>
      </w:r>
      <w:r w:rsidR="00013417" w:rsidRPr="00092ED7">
        <w:rPr>
          <w:rFonts w:cs="Times New Roman"/>
          <w:szCs w:val="24"/>
          <w:lang w:val="sr-Cyrl-CS"/>
        </w:rPr>
        <w:t>”</w:t>
      </w:r>
      <w:r w:rsidRPr="00092ED7">
        <w:rPr>
          <w:rFonts w:eastAsia="SimSun" w:cs="Mangal"/>
          <w:kern w:val="3"/>
          <w:szCs w:val="24"/>
          <w:lang w:val="sr-Cyrl-CS" w:eastAsia="zh-CN" w:bidi="hi-IN"/>
        </w:rPr>
        <w:t>, бр</w:t>
      </w:r>
      <w:r w:rsidR="00013417" w:rsidRPr="00092ED7">
        <w:rPr>
          <w:rFonts w:eastAsia="SimSun" w:cs="Mangal"/>
          <w:kern w:val="3"/>
          <w:szCs w:val="24"/>
          <w:lang w:val="sr-Cyrl-CS" w:eastAsia="zh-CN" w:bidi="hi-IN"/>
        </w:rPr>
        <w:t>ој</w:t>
      </w:r>
      <w:r w:rsidRPr="00092ED7">
        <w:rPr>
          <w:rFonts w:eastAsia="SimSun" w:cs="Mangal"/>
          <w:kern w:val="3"/>
          <w:szCs w:val="24"/>
          <w:lang w:val="sr-Cyrl-CS" w:eastAsia="zh-CN" w:bidi="hi-IN"/>
        </w:rPr>
        <w:t xml:space="preserve"> 73/19) и </w:t>
      </w:r>
      <w:r w:rsidRPr="00092ED7">
        <w:rPr>
          <w:rFonts w:eastAsia="SimSun" w:cs="Mangal"/>
          <w:i/>
          <w:kern w:val="3"/>
          <w:szCs w:val="24"/>
          <w:lang w:val="sr-Cyrl-CS" w:eastAsia="zh-CN" w:bidi="hi-IN"/>
        </w:rPr>
        <w:t>Закона о алтернативним инвестиционим фондовима</w:t>
      </w:r>
      <w:r w:rsidRPr="00092ED7">
        <w:rPr>
          <w:rFonts w:eastAsia="SimSun" w:cs="Mangal"/>
          <w:kern w:val="3"/>
          <w:szCs w:val="24"/>
          <w:lang w:val="sr-Cyrl-CS" w:eastAsia="zh-CN" w:bidi="hi-IN"/>
        </w:rPr>
        <w:t xml:space="preserve"> („Сл</w:t>
      </w:r>
      <w:r w:rsidR="00013417" w:rsidRPr="00092ED7">
        <w:rPr>
          <w:rFonts w:eastAsia="SimSun" w:cs="Mangal"/>
          <w:kern w:val="3"/>
          <w:szCs w:val="24"/>
          <w:lang w:val="sr-Cyrl-CS" w:eastAsia="zh-CN" w:bidi="hi-IN"/>
        </w:rPr>
        <w:t>ужбени</w:t>
      </w:r>
      <w:r w:rsidRPr="00092ED7">
        <w:rPr>
          <w:rFonts w:eastAsia="SimSun" w:cs="Mangal"/>
          <w:kern w:val="3"/>
          <w:szCs w:val="24"/>
          <w:lang w:val="sr-Cyrl-CS" w:eastAsia="zh-CN" w:bidi="hi-IN"/>
        </w:rPr>
        <w:t xml:space="preserve"> гласник РС</w:t>
      </w:r>
      <w:r w:rsidR="00013417" w:rsidRPr="00092ED7">
        <w:rPr>
          <w:rFonts w:cs="Times New Roman"/>
          <w:szCs w:val="24"/>
          <w:lang w:val="sr-Cyrl-CS"/>
        </w:rPr>
        <w:t>”</w:t>
      </w:r>
      <w:r w:rsidRPr="00092ED7">
        <w:rPr>
          <w:rFonts w:eastAsia="SimSun" w:cs="Mangal"/>
          <w:kern w:val="3"/>
          <w:szCs w:val="24"/>
          <w:lang w:val="sr-Cyrl-CS" w:eastAsia="zh-CN" w:bidi="hi-IN"/>
        </w:rPr>
        <w:t>, бр</w:t>
      </w:r>
      <w:r w:rsidR="00013417" w:rsidRPr="00092ED7">
        <w:rPr>
          <w:rFonts w:eastAsia="SimSun" w:cs="Mangal"/>
          <w:kern w:val="3"/>
          <w:szCs w:val="24"/>
          <w:lang w:val="sr-Cyrl-CS" w:eastAsia="zh-CN" w:bidi="hi-IN"/>
        </w:rPr>
        <w:t>ој</w:t>
      </w:r>
      <w:r w:rsidRPr="00092ED7">
        <w:rPr>
          <w:rFonts w:eastAsia="SimSun" w:cs="Mangal"/>
          <w:kern w:val="3"/>
          <w:szCs w:val="24"/>
          <w:lang w:val="sr-Cyrl-CS" w:eastAsia="zh-CN" w:bidi="hi-IN"/>
        </w:rPr>
        <w:t xml:space="preserve"> 73/19), којима се омогућавају алтернативни извори финансирања</w:t>
      </w:r>
      <w:r w:rsidRPr="00092ED7">
        <w:rPr>
          <w:rFonts w:eastAsia="SimSun" w:cs="Mangal"/>
          <w:kern w:val="3"/>
          <w:szCs w:val="24"/>
          <w:vertAlign w:val="superscript"/>
          <w:lang w:val="sr-Cyrl-CS" w:eastAsia="zh-CN" w:bidi="hi-IN"/>
        </w:rPr>
        <w:footnoteReference w:id="186"/>
      </w:r>
      <w:r w:rsidRPr="00092ED7">
        <w:rPr>
          <w:rFonts w:eastAsia="SimSun" w:cs="Mangal"/>
          <w:kern w:val="3"/>
          <w:szCs w:val="24"/>
          <w:lang w:val="sr-Cyrl-CS" w:eastAsia="zh-CN" w:bidi="hi-IN"/>
        </w:rPr>
        <w:t xml:space="preserve">. Успостављено </w:t>
      </w:r>
      <w:r w:rsidRPr="00092ED7">
        <w:rPr>
          <w:rFonts w:eastAsia="SimSun" w:cs="Mangal"/>
          <w:color w:val="000000"/>
          <w:kern w:val="3"/>
          <w:szCs w:val="24"/>
          <w:lang w:val="sr-Cyrl-CS" w:eastAsia="zh-CN" w:bidi="hi-IN"/>
        </w:rPr>
        <w:t xml:space="preserve">је системско праћење кредитирања МСПП на месечном нивоу од 2017. године, које показује константно побољшање услова финансирања МСПП (ниже каматне стопе, дужа рочност кредита, већи обим кредита). Побољшани услови финансирања довели су до веће конкурентности сектора МСПП, чија је продуктивност (однос БДВ по запосленом) већа за 31% у 2020. у односу на 2015. годину. </w:t>
      </w:r>
      <w:r w:rsidRPr="00092ED7">
        <w:rPr>
          <w:rFonts w:eastAsia="Times New Roman" w:cs="Times New Roman"/>
          <w:szCs w:val="24"/>
          <w:lang w:val="sr-Cyrl-CS"/>
        </w:rPr>
        <w:t xml:space="preserve">Увођењем мера подршке привреди у борби против кризе </w:t>
      </w:r>
      <w:r w:rsidR="00B94430" w:rsidRPr="00092ED7">
        <w:rPr>
          <w:rFonts w:eastAsia="Times New Roman" w:cs="Times New Roman"/>
          <w:szCs w:val="24"/>
          <w:lang w:val="sr-Cyrl-CS"/>
        </w:rPr>
        <w:t xml:space="preserve">изазване </w:t>
      </w:r>
      <w:r w:rsidR="008561A5" w:rsidRPr="00092ED7">
        <w:rPr>
          <w:rFonts w:eastAsia="Times New Roman" w:cs="Times New Roman"/>
          <w:szCs w:val="24"/>
          <w:lang w:val="sr-Cyrl-CS"/>
        </w:rPr>
        <w:t xml:space="preserve">пандемијом </w:t>
      </w:r>
      <w:r w:rsidR="00B94430" w:rsidRPr="00092ED7">
        <w:rPr>
          <w:rFonts w:eastAsia="Times New Roman" w:cs="Times New Roman"/>
          <w:bCs/>
          <w:iCs/>
          <w:szCs w:val="24"/>
          <w:lang w:val="sr-Cyrl-CS"/>
        </w:rPr>
        <w:t>COVID</w:t>
      </w:r>
      <w:r w:rsidR="00B94430" w:rsidRPr="00092ED7">
        <w:rPr>
          <w:rFonts w:eastAsia="Times New Roman" w:cs="Times New Roman"/>
          <w:szCs w:val="24"/>
          <w:lang w:val="sr-Cyrl-CS"/>
        </w:rPr>
        <w:t>-19</w:t>
      </w:r>
      <w:r w:rsidRPr="00092ED7">
        <w:rPr>
          <w:rFonts w:eastAsia="Times New Roman" w:cs="Times New Roman"/>
          <w:szCs w:val="24"/>
          <w:lang w:val="sr-Cyrl-CS"/>
        </w:rPr>
        <w:t xml:space="preserve"> олакшано је пословање, омогућено задржавање запослених радника и опстанак МСПП. Ради подршке привредних субјеката, нарочито МСПП, континуирано се спроводе програми финансијске подршке, а када је у питању повећање нивоа коришћења стандарда у производњи и организацији пословања, сертификацији производа и система менаџмента донета је </w:t>
      </w:r>
      <w:r w:rsidRPr="00092ED7">
        <w:rPr>
          <w:rFonts w:eastAsia="Times New Roman" w:cs="Times New Roman"/>
          <w:i/>
          <w:szCs w:val="24"/>
          <w:lang w:val="sr-Cyrl-CS"/>
        </w:rPr>
        <w:t>Уредба о утврђивању Програма финансијске подршке - Коришћењем стандарда до конкурентнијих производа</w:t>
      </w:r>
      <w:r w:rsidRPr="00092ED7">
        <w:rPr>
          <w:rFonts w:eastAsia="Times New Roman" w:cs="Times New Roman"/>
          <w:szCs w:val="24"/>
          <w:lang w:val="sr-Cyrl-CS"/>
        </w:rPr>
        <w:t xml:space="preserve"> </w:t>
      </w:r>
      <w:r w:rsidRPr="00092ED7">
        <w:rPr>
          <w:rFonts w:eastAsia="SimSun" w:cs="Mangal"/>
          <w:color w:val="000000"/>
          <w:kern w:val="3"/>
          <w:szCs w:val="24"/>
          <w:lang w:val="sr-Cyrl-CS" w:eastAsia="zh-CN" w:bidi="hi-IN"/>
        </w:rPr>
        <w:t>(„Сл</w:t>
      </w:r>
      <w:r w:rsidR="00B20035" w:rsidRPr="00092ED7">
        <w:rPr>
          <w:rFonts w:eastAsia="SimSun" w:cs="Mangal"/>
          <w:color w:val="000000"/>
          <w:kern w:val="3"/>
          <w:szCs w:val="24"/>
          <w:lang w:val="sr-Cyrl-CS" w:eastAsia="zh-CN" w:bidi="hi-IN"/>
        </w:rPr>
        <w:t>ужбени</w:t>
      </w:r>
      <w:r w:rsidRPr="00092ED7">
        <w:rPr>
          <w:rFonts w:eastAsia="SimSun" w:cs="Mangal"/>
          <w:color w:val="000000"/>
          <w:kern w:val="3"/>
          <w:szCs w:val="24"/>
          <w:lang w:val="sr-Cyrl-CS" w:eastAsia="zh-CN" w:bidi="hi-IN"/>
        </w:rPr>
        <w:t xml:space="preserve"> гласник РС</w:t>
      </w:r>
      <w:r w:rsidR="00B20035" w:rsidRPr="00092ED7">
        <w:rPr>
          <w:rFonts w:cs="Times New Roman"/>
          <w:szCs w:val="24"/>
          <w:lang w:val="sr-Cyrl-CS"/>
        </w:rPr>
        <w:t>”</w:t>
      </w:r>
      <w:r w:rsidRPr="00092ED7">
        <w:rPr>
          <w:rFonts w:eastAsia="SimSun" w:cs="Mangal"/>
          <w:color w:val="000000"/>
          <w:kern w:val="3"/>
          <w:szCs w:val="24"/>
          <w:lang w:val="sr-Cyrl-CS" w:eastAsia="zh-CN" w:bidi="hi-IN"/>
        </w:rPr>
        <w:t>, бр</w:t>
      </w:r>
      <w:r w:rsidR="00B20035" w:rsidRPr="00092ED7">
        <w:rPr>
          <w:rFonts w:eastAsia="SimSun" w:cs="Mangal"/>
          <w:color w:val="000000"/>
          <w:kern w:val="3"/>
          <w:szCs w:val="24"/>
          <w:lang w:val="sr-Cyrl-CS" w:eastAsia="zh-CN" w:bidi="hi-IN"/>
        </w:rPr>
        <w:t>ој</w:t>
      </w:r>
      <w:r w:rsidRPr="00092ED7">
        <w:rPr>
          <w:rFonts w:eastAsia="SimSun" w:cs="Mangal"/>
          <w:color w:val="000000"/>
          <w:kern w:val="3"/>
          <w:szCs w:val="24"/>
          <w:lang w:val="sr-Cyrl-CS" w:eastAsia="zh-CN" w:bidi="hi-IN"/>
        </w:rPr>
        <w:t xml:space="preserve"> </w:t>
      </w:r>
      <w:r w:rsidRPr="00092ED7">
        <w:rPr>
          <w:rFonts w:eastAsia="Times New Roman" w:cs="Times New Roman"/>
          <w:szCs w:val="24"/>
          <w:lang w:val="sr-Cyrl-CS"/>
        </w:rPr>
        <w:t xml:space="preserve">12/22). </w:t>
      </w:r>
      <w:r w:rsidRPr="00092ED7">
        <w:rPr>
          <w:rFonts w:eastAsia="SimSun" w:cs="Mangal"/>
          <w:color w:val="000000"/>
          <w:kern w:val="3"/>
          <w:szCs w:val="24"/>
          <w:lang w:val="sr-Cyrl-CS" w:eastAsia="zh-CN" w:bidi="hi-IN"/>
        </w:rPr>
        <w:t xml:space="preserve">Применом нове </w:t>
      </w:r>
      <w:r w:rsidRPr="00092ED7">
        <w:rPr>
          <w:rFonts w:eastAsia="SimSun" w:cs="Mangal"/>
          <w:i/>
          <w:color w:val="000000"/>
          <w:kern w:val="3"/>
          <w:szCs w:val="24"/>
          <w:lang w:val="sr-Cyrl-CS" w:eastAsia="zh-CN" w:bidi="hi-IN"/>
        </w:rPr>
        <w:t>Стратегије индустријске политике Републике Србије од 2021</w:t>
      </w:r>
      <w:r w:rsidR="006C3D11" w:rsidRPr="00092ED7">
        <w:rPr>
          <w:rFonts w:eastAsia="SimSun" w:cs="Mangal"/>
          <w:i/>
          <w:color w:val="000000"/>
          <w:kern w:val="3"/>
          <w:szCs w:val="24"/>
          <w:lang w:val="sr-Cyrl-CS" w:eastAsia="zh-CN" w:bidi="hi-IN"/>
        </w:rPr>
        <w:t xml:space="preserve"> до </w:t>
      </w:r>
      <w:r w:rsidRPr="00092ED7">
        <w:rPr>
          <w:rFonts w:eastAsia="SimSun" w:cs="Mangal"/>
          <w:i/>
          <w:color w:val="000000"/>
          <w:kern w:val="3"/>
          <w:szCs w:val="24"/>
          <w:lang w:val="sr-Cyrl-CS" w:eastAsia="zh-CN" w:bidi="hi-IN"/>
        </w:rPr>
        <w:t>2030. године</w:t>
      </w:r>
      <w:r w:rsidR="006C3D11" w:rsidRPr="00092ED7">
        <w:rPr>
          <w:rFonts w:eastAsia="SimSun" w:cs="Mangal"/>
          <w:i/>
          <w:color w:val="000000"/>
          <w:kern w:val="3"/>
          <w:szCs w:val="24"/>
          <w:lang w:val="sr-Cyrl-CS" w:eastAsia="zh-CN" w:bidi="hi-IN"/>
        </w:rPr>
        <w:t xml:space="preserve"> </w:t>
      </w:r>
      <w:r w:rsidR="006C3D11" w:rsidRPr="00092ED7">
        <w:rPr>
          <w:rFonts w:eastAsia="SimSun" w:cs="Mangal"/>
          <w:color w:val="000000"/>
          <w:kern w:val="3"/>
          <w:szCs w:val="24"/>
          <w:lang w:val="sr-Cyrl-CS" w:eastAsia="zh-CN" w:bidi="hi-IN"/>
        </w:rPr>
        <w:t xml:space="preserve">(„Службени гласник РС”, број 35/20) </w:t>
      </w:r>
      <w:r w:rsidRPr="00092ED7">
        <w:rPr>
          <w:rFonts w:eastAsia="SimSun" w:cs="Mangal"/>
          <w:color w:val="000000"/>
          <w:kern w:val="3"/>
          <w:szCs w:val="24"/>
          <w:lang w:val="sr-Cyrl-CS" w:eastAsia="zh-CN" w:bidi="hi-IN"/>
        </w:rPr>
        <w:t xml:space="preserve">и </w:t>
      </w:r>
      <w:r w:rsidRPr="00092ED7">
        <w:rPr>
          <w:rFonts w:eastAsia="SimSun" w:cs="Mangal"/>
          <w:i/>
          <w:color w:val="000000"/>
          <w:kern w:val="3"/>
          <w:szCs w:val="24"/>
          <w:lang w:val="sr-Cyrl-CS" w:eastAsia="zh-CN" w:bidi="hi-IN"/>
        </w:rPr>
        <w:t>Акционог плана</w:t>
      </w:r>
      <w:r w:rsidRPr="00092ED7">
        <w:rPr>
          <w:rFonts w:eastAsia="SimSun" w:cs="Mangal"/>
          <w:color w:val="000000"/>
          <w:kern w:val="3"/>
          <w:szCs w:val="24"/>
          <w:lang w:val="sr-Cyrl-CS" w:eastAsia="zh-CN" w:bidi="hi-IN"/>
        </w:rPr>
        <w:t xml:space="preserve"> </w:t>
      </w:r>
      <w:r w:rsidRPr="00092ED7">
        <w:rPr>
          <w:rFonts w:eastAsia="SimSun" w:cs="Mangal"/>
          <w:i/>
          <w:color w:val="000000"/>
          <w:kern w:val="3"/>
          <w:szCs w:val="24"/>
          <w:lang w:val="sr-Cyrl-CS" w:eastAsia="zh-CN" w:bidi="hi-IN"/>
        </w:rPr>
        <w:t xml:space="preserve">за спровођење </w:t>
      </w:r>
      <w:r w:rsidR="006C3D11" w:rsidRPr="00092ED7">
        <w:rPr>
          <w:rFonts w:eastAsia="SimSun" w:cs="Mangal"/>
          <w:i/>
          <w:color w:val="000000"/>
          <w:kern w:val="3"/>
          <w:szCs w:val="24"/>
          <w:lang w:val="sr-Cyrl-CS" w:eastAsia="zh-CN" w:bidi="hi-IN"/>
        </w:rPr>
        <w:t xml:space="preserve">Стратегије индустријске политике Републике Србије од 2021 до 2030. године, </w:t>
      </w:r>
      <w:r w:rsidRPr="00092ED7">
        <w:rPr>
          <w:rFonts w:eastAsia="SimSun" w:cs="Mangal"/>
          <w:i/>
          <w:color w:val="000000"/>
          <w:kern w:val="3"/>
          <w:szCs w:val="24"/>
          <w:lang w:val="sr-Cyrl-CS" w:eastAsia="zh-CN" w:bidi="hi-IN"/>
        </w:rPr>
        <w:t>за период од 2021</w:t>
      </w:r>
      <w:r w:rsidR="006C3D11" w:rsidRPr="00092ED7">
        <w:rPr>
          <w:rFonts w:eastAsia="SimSun" w:cs="Mangal"/>
          <w:i/>
          <w:color w:val="000000"/>
          <w:kern w:val="3"/>
          <w:szCs w:val="24"/>
          <w:lang w:val="sr-Cyrl-CS" w:eastAsia="zh-CN" w:bidi="hi-IN"/>
        </w:rPr>
        <w:t xml:space="preserve">. до </w:t>
      </w:r>
      <w:r w:rsidRPr="00092ED7">
        <w:rPr>
          <w:rFonts w:eastAsia="SimSun" w:cs="Mangal"/>
          <w:i/>
          <w:color w:val="000000"/>
          <w:kern w:val="3"/>
          <w:szCs w:val="24"/>
          <w:lang w:val="sr-Cyrl-CS" w:eastAsia="zh-CN" w:bidi="hi-IN"/>
        </w:rPr>
        <w:t xml:space="preserve">2023. </w:t>
      </w:r>
      <w:r w:rsidR="006C3D11" w:rsidRPr="00092ED7">
        <w:rPr>
          <w:rFonts w:eastAsia="SimSun" w:cs="Mangal"/>
          <w:i/>
          <w:color w:val="000000"/>
          <w:kern w:val="3"/>
          <w:szCs w:val="24"/>
          <w:lang w:val="sr-Cyrl-CS" w:eastAsia="zh-CN" w:bidi="hi-IN"/>
        </w:rPr>
        <w:t xml:space="preserve">године </w:t>
      </w:r>
      <w:r w:rsidR="00467D0D" w:rsidRPr="00092ED7">
        <w:rPr>
          <w:rFonts w:eastAsia="SimSun" w:cs="Mangal"/>
          <w:color w:val="000000"/>
          <w:kern w:val="3"/>
          <w:szCs w:val="24"/>
          <w:lang w:val="sr-Cyrl-CS" w:eastAsia="zh-CN" w:bidi="hi-IN"/>
        </w:rPr>
        <w:t>(„Сл</w:t>
      </w:r>
      <w:r w:rsidR="00B20035" w:rsidRPr="00092ED7">
        <w:rPr>
          <w:rFonts w:eastAsia="SimSun" w:cs="Mangal"/>
          <w:color w:val="000000"/>
          <w:kern w:val="3"/>
          <w:szCs w:val="24"/>
          <w:lang w:val="sr-Cyrl-CS" w:eastAsia="zh-CN" w:bidi="hi-IN"/>
        </w:rPr>
        <w:t>ужбени</w:t>
      </w:r>
      <w:r w:rsidRPr="00092ED7">
        <w:rPr>
          <w:rFonts w:eastAsia="SimSun" w:cs="Mangal"/>
          <w:color w:val="000000"/>
          <w:kern w:val="3"/>
          <w:szCs w:val="24"/>
          <w:lang w:val="sr-Cyrl-CS" w:eastAsia="zh-CN" w:bidi="hi-IN"/>
        </w:rPr>
        <w:t xml:space="preserve"> гласник РС</w:t>
      </w:r>
      <w:r w:rsidR="00B20035" w:rsidRPr="00092ED7">
        <w:rPr>
          <w:rFonts w:cs="Times New Roman"/>
          <w:szCs w:val="24"/>
          <w:lang w:val="sr-Cyrl-CS"/>
        </w:rPr>
        <w:t>”</w:t>
      </w:r>
      <w:r w:rsidRPr="00092ED7">
        <w:rPr>
          <w:rFonts w:eastAsia="SimSun" w:cs="Mangal"/>
          <w:color w:val="000000"/>
          <w:kern w:val="3"/>
          <w:szCs w:val="24"/>
          <w:lang w:val="sr-Cyrl-CS" w:eastAsia="zh-CN" w:bidi="hi-IN"/>
        </w:rPr>
        <w:t>, бр</w:t>
      </w:r>
      <w:r w:rsidR="00B20035" w:rsidRPr="00092ED7">
        <w:rPr>
          <w:rFonts w:eastAsia="SimSun" w:cs="Mangal"/>
          <w:color w:val="000000"/>
          <w:kern w:val="3"/>
          <w:szCs w:val="24"/>
          <w:lang w:val="sr-Cyrl-CS" w:eastAsia="zh-CN" w:bidi="hi-IN"/>
        </w:rPr>
        <w:t>ој</w:t>
      </w:r>
      <w:r w:rsidRPr="00092ED7">
        <w:rPr>
          <w:rFonts w:eastAsia="SimSun" w:cs="Mangal"/>
          <w:color w:val="000000"/>
          <w:kern w:val="3"/>
          <w:szCs w:val="24"/>
          <w:lang w:val="sr-Cyrl-CS" w:eastAsia="zh-CN" w:bidi="hi-IN"/>
        </w:rPr>
        <w:t xml:space="preserve"> 37/21) даље ће се унапређивати конкурентност домаће индустрије, пре свега у сектору МСПП. Такође, применом нове </w:t>
      </w:r>
      <w:r w:rsidR="006C3D11" w:rsidRPr="00092ED7">
        <w:rPr>
          <w:rFonts w:eastAsia="SimSun" w:cs="Mangal"/>
          <w:i/>
          <w:color w:val="000000"/>
          <w:kern w:val="3"/>
          <w:szCs w:val="24"/>
          <w:lang w:val="sr-Cyrl-CS" w:eastAsia="zh-CN" w:bidi="hi-IN"/>
        </w:rPr>
        <w:t>с</w:t>
      </w:r>
      <w:r w:rsidRPr="00092ED7">
        <w:rPr>
          <w:rFonts w:eastAsia="SimSun" w:cs="Mangal"/>
          <w:i/>
          <w:color w:val="000000"/>
          <w:kern w:val="3"/>
          <w:szCs w:val="24"/>
          <w:lang w:val="sr-Cyrl-CS" w:eastAsia="zh-CN" w:bidi="hi-IN"/>
        </w:rPr>
        <w:t xml:space="preserve">тратегије за развој </w:t>
      </w:r>
      <w:r w:rsidR="00046034" w:rsidRPr="00092ED7">
        <w:rPr>
          <w:rFonts w:eastAsia="SimSun" w:cs="Mangal"/>
          <w:i/>
          <w:color w:val="000000"/>
          <w:kern w:val="3"/>
          <w:szCs w:val="24"/>
          <w:lang w:val="sr-Cyrl-CS" w:eastAsia="zh-CN" w:bidi="hi-IN"/>
        </w:rPr>
        <w:t>МСПП</w:t>
      </w:r>
      <w:r w:rsidR="00C57921" w:rsidRPr="00092ED7">
        <w:rPr>
          <w:rFonts w:eastAsia="SimSun" w:cs="Mangal"/>
          <w:i/>
          <w:color w:val="000000"/>
          <w:kern w:val="3"/>
          <w:szCs w:val="24"/>
          <w:lang w:val="sr-Cyrl-CS" w:eastAsia="zh-CN" w:bidi="hi-IN"/>
        </w:rPr>
        <w:t xml:space="preserve"> </w:t>
      </w:r>
      <w:r w:rsidR="00046034" w:rsidRPr="00092ED7">
        <w:rPr>
          <w:rFonts w:eastAsia="SimSun" w:cs="Mangal"/>
          <w:i/>
          <w:color w:val="000000"/>
          <w:kern w:val="3"/>
          <w:szCs w:val="24"/>
          <w:lang w:val="sr-Cyrl-CS" w:eastAsia="zh-CN" w:bidi="hi-IN"/>
        </w:rPr>
        <w:t xml:space="preserve">за период од </w:t>
      </w:r>
      <w:r w:rsidRPr="00092ED7">
        <w:rPr>
          <w:rFonts w:eastAsia="SimSun" w:cs="Mangal"/>
          <w:i/>
          <w:color w:val="000000"/>
          <w:kern w:val="3"/>
          <w:szCs w:val="24"/>
          <w:lang w:val="sr-Cyrl-CS" w:eastAsia="zh-CN" w:bidi="hi-IN"/>
        </w:rPr>
        <w:t>2023-</w:t>
      </w:r>
      <w:r w:rsidRPr="00092ED7">
        <w:rPr>
          <w:rFonts w:eastAsia="SimSun" w:cs="Mangal"/>
          <w:i/>
          <w:kern w:val="3"/>
          <w:szCs w:val="24"/>
          <w:lang w:val="sr-Cyrl-CS" w:eastAsia="zh-CN" w:bidi="hi-IN"/>
        </w:rPr>
        <w:t>2027</w:t>
      </w:r>
      <w:r w:rsidR="00046034" w:rsidRPr="00092ED7">
        <w:rPr>
          <w:rFonts w:eastAsia="SimSun" w:cs="Mangal"/>
          <w:i/>
          <w:kern w:val="3"/>
          <w:szCs w:val="24"/>
          <w:lang w:val="sr-Cyrl-CS" w:eastAsia="zh-CN" w:bidi="hi-IN"/>
        </w:rPr>
        <w:t>. године</w:t>
      </w:r>
      <w:r w:rsidRPr="00092ED7">
        <w:rPr>
          <w:rFonts w:eastAsia="SimSun" w:cs="Mangal"/>
          <w:i/>
          <w:kern w:val="3"/>
          <w:szCs w:val="24"/>
          <w:lang w:val="sr-Cyrl-CS" w:eastAsia="zh-CN" w:bidi="hi-IN"/>
        </w:rPr>
        <w:t xml:space="preserve"> </w:t>
      </w:r>
      <w:r w:rsidRPr="00092ED7">
        <w:rPr>
          <w:rFonts w:eastAsia="SimSun" w:cs="Mangal"/>
          <w:kern w:val="3"/>
          <w:szCs w:val="24"/>
          <w:lang w:val="sr-Cyrl-CS" w:eastAsia="zh-CN" w:bidi="hi-IN"/>
        </w:rPr>
        <w:t>(која је у изради) радиће се на побољшању приступа финансирању.</w:t>
      </w:r>
    </w:p>
    <w:p w14:paraId="0767A8BC" w14:textId="77777777" w:rsidR="00D210F0" w:rsidRPr="00092ED7" w:rsidRDefault="00D210F0" w:rsidP="00D210F0">
      <w:pPr>
        <w:widowControl w:val="0"/>
        <w:suppressAutoHyphens/>
        <w:autoSpaceDN w:val="0"/>
        <w:spacing w:after="60"/>
        <w:textAlignment w:val="baseline"/>
        <w:rPr>
          <w:rFonts w:eastAsia="SimSun" w:cs="Mangal"/>
          <w:kern w:val="3"/>
          <w:szCs w:val="24"/>
          <w:lang w:val="sr-Cyrl-CS" w:eastAsia="zh-CN" w:bidi="hi-IN"/>
        </w:rPr>
      </w:pPr>
      <w:r w:rsidRPr="00092ED7">
        <w:rPr>
          <w:rFonts w:eastAsia="SimSun" w:cs="Mangal"/>
          <w:b/>
          <w:kern w:val="3"/>
          <w:szCs w:val="24"/>
          <w:lang w:val="sr-Cyrl-CS" w:eastAsia="zh-CN" w:bidi="hi-IN"/>
        </w:rPr>
        <w:t>Услужни сектор (укључујући и грађевинарство) са доминантним учешћем у БДП у 2021. години (57,5%) био је највише погођен пандемијом током 2020. године.</w:t>
      </w:r>
      <w:r w:rsidRPr="00092ED7">
        <w:rPr>
          <w:rFonts w:eastAsia="SimSun" w:cs="Mangal"/>
          <w:kern w:val="3"/>
          <w:szCs w:val="24"/>
          <w:lang w:val="sr-Cyrl-CS" w:eastAsia="zh-CN" w:bidi="hi-IN"/>
        </w:rPr>
        <w:t xml:space="preserve"> </w:t>
      </w:r>
      <w:r w:rsidRPr="00092ED7">
        <w:rPr>
          <w:rFonts w:eastAsia="SimSun" w:cs="Times New Roman"/>
          <w:noProof/>
          <w:kern w:val="3"/>
          <w:szCs w:val="24"/>
          <w:lang w:val="sr-Cyrl-CS" w:eastAsia="zh-CN" w:bidi="hi-IN"/>
        </w:rPr>
        <w:t>Сектор</w:t>
      </w:r>
      <w:r w:rsidRPr="00092ED7">
        <w:rPr>
          <w:rFonts w:eastAsia="SimSun" w:cs="Mangal"/>
          <w:kern w:val="3"/>
          <w:szCs w:val="24"/>
          <w:lang w:val="sr-Cyrl-CS" w:eastAsia="zh-CN" w:bidi="hi-IN"/>
        </w:rPr>
        <w:t xml:space="preserve"> услуга, којег карактеришу позитивна кретања у 2021. години, бележи позитиван допринос расту БДП од 3,3 п</w:t>
      </w:r>
      <w:r w:rsidR="00520295" w:rsidRPr="00092ED7">
        <w:rPr>
          <w:rFonts w:eastAsia="SimSun" w:cs="Mangal"/>
          <w:kern w:val="3"/>
          <w:szCs w:val="24"/>
          <w:lang w:val="sr-Cyrl-CS" w:eastAsia="zh-CN" w:bidi="hi-IN"/>
        </w:rPr>
        <w:t>.</w:t>
      </w:r>
      <w:r w:rsidRPr="00092ED7">
        <w:rPr>
          <w:rFonts w:eastAsia="SimSun" w:cs="Mangal"/>
          <w:kern w:val="3"/>
          <w:szCs w:val="24"/>
          <w:lang w:val="sr-Cyrl-CS" w:eastAsia="zh-CN" w:bidi="hi-IN"/>
        </w:rPr>
        <w:t>п</w:t>
      </w:r>
      <w:r w:rsidR="00520295" w:rsidRPr="00092ED7">
        <w:rPr>
          <w:rFonts w:eastAsia="SimSun" w:cs="Mangal"/>
          <w:kern w:val="3"/>
          <w:szCs w:val="24"/>
          <w:lang w:val="sr-Cyrl-CS" w:eastAsia="zh-CN" w:bidi="hi-IN"/>
        </w:rPr>
        <w:t>.</w:t>
      </w:r>
      <w:r w:rsidRPr="00092ED7">
        <w:rPr>
          <w:rFonts w:eastAsia="SimSun" w:cs="Mangal"/>
          <w:kern w:val="3"/>
          <w:szCs w:val="24"/>
          <w:lang w:val="sr-Cyrl-CS" w:eastAsia="zh-CN" w:bidi="hi-IN"/>
        </w:rPr>
        <w:t xml:space="preserve"> у првом кварталу 2022. године, пре свега услед раста трговине, саобраћаја и услуга смештаја и исхране. Остварен је р</w:t>
      </w:r>
      <w:r w:rsidRPr="00092ED7">
        <w:rPr>
          <w:rFonts w:eastAsia="SimSun" w:cs="Times New Roman"/>
          <w:noProof/>
          <w:kern w:val="3"/>
          <w:szCs w:val="24"/>
          <w:lang w:val="sr-Cyrl-CS" w:eastAsia="zh-CN" w:bidi="hi-IN"/>
        </w:rPr>
        <w:t xml:space="preserve">екордан трговински суфицит услужног сектора од око 1,4 млрд. евра у 2021. години (раст од 29% мг). </w:t>
      </w:r>
      <w:r w:rsidRPr="00092ED7">
        <w:rPr>
          <w:rFonts w:eastAsia="SimSun" w:cs="Mangal"/>
          <w:kern w:val="3"/>
          <w:szCs w:val="24"/>
          <w:lang w:val="sr-Cyrl-CS" w:eastAsia="zh-CN" w:bidi="hi-IN"/>
        </w:rPr>
        <w:t>Раст извоза услуга током осам месеци 2022. од 38,8% мг праћен је растом готово свих услужних делатности, при чему је извоз туристичких и ИКТ услуга, обезбедио најзначајнији позитиван допринос (раст од 51,8% и 43,1% мг, респективно)</w:t>
      </w:r>
      <w:r w:rsidRPr="00092ED7">
        <w:rPr>
          <w:rStyle w:val="FootnoteReference"/>
          <w:rFonts w:eastAsia="SimSun" w:cs="Mangal"/>
          <w:kern w:val="3"/>
          <w:szCs w:val="24"/>
          <w:lang w:val="sr-Cyrl-CS" w:eastAsia="zh-CN" w:bidi="hi-IN"/>
        </w:rPr>
        <w:footnoteReference w:id="187"/>
      </w:r>
      <w:r w:rsidRPr="00092ED7">
        <w:rPr>
          <w:rFonts w:eastAsia="SimSun" w:cs="Mangal"/>
          <w:kern w:val="3"/>
          <w:szCs w:val="24"/>
          <w:lang w:val="sr-Cyrl-CS" w:eastAsia="zh-CN" w:bidi="hi-IN"/>
        </w:rPr>
        <w:t xml:space="preserve">. </w:t>
      </w:r>
    </w:p>
    <w:p w14:paraId="2EC0E41A" w14:textId="695EE59F" w:rsidR="00D210F0" w:rsidRPr="00092ED7" w:rsidRDefault="00D210F0" w:rsidP="00D210F0">
      <w:pPr>
        <w:spacing w:after="60"/>
        <w:rPr>
          <w:rFonts w:eastAsia="Calibri" w:cs="Times New Roman"/>
          <w:b/>
          <w:noProof/>
          <w:szCs w:val="24"/>
          <w:lang w:val="sr-Cyrl-CS"/>
        </w:rPr>
      </w:pPr>
      <w:r w:rsidRPr="00092ED7">
        <w:rPr>
          <w:rFonts w:eastAsia="Calibri" w:cs="Times New Roman"/>
          <w:b/>
          <w:noProof/>
          <w:szCs w:val="24"/>
          <w:lang w:val="sr-Cyrl-CS"/>
        </w:rPr>
        <w:t xml:space="preserve">Подстицаји туристичком сектору, улагања у инфраструктуру и брза вакцинација, утицали су на брз опоравак у сектору туризма након пандемије. </w:t>
      </w:r>
      <w:r w:rsidRPr="00092ED7">
        <w:rPr>
          <w:rFonts w:eastAsia="SimSun" w:cs="Times New Roman"/>
          <w:noProof/>
          <w:kern w:val="3"/>
          <w:szCs w:val="24"/>
          <w:lang w:val="sr-Cyrl-CS" w:eastAsia="zh-CN" w:bidi="hi-IN"/>
        </w:rPr>
        <w:t xml:space="preserve">Девизни прилив од туризма износио је 1,6 млрд. </w:t>
      </w:r>
      <w:r w:rsidR="00D8670D" w:rsidRPr="00092ED7">
        <w:rPr>
          <w:rFonts w:eastAsia="SimSun" w:cs="Times New Roman"/>
          <w:noProof/>
          <w:kern w:val="3"/>
          <w:szCs w:val="24"/>
          <w:lang w:val="sr-Cyrl-CS" w:eastAsia="zh-CN" w:bidi="hi-IN"/>
        </w:rPr>
        <w:t xml:space="preserve">евра </w:t>
      </w:r>
      <w:r w:rsidRPr="00092ED7">
        <w:rPr>
          <w:rFonts w:eastAsia="SimSun" w:cs="Times New Roman"/>
          <w:noProof/>
          <w:kern w:val="3"/>
          <w:szCs w:val="24"/>
          <w:lang w:val="sr-Cyrl-CS" w:eastAsia="zh-CN" w:bidi="hi-IN"/>
        </w:rPr>
        <w:t xml:space="preserve">у 2021. години, што је пораст од 47,2% у односу на 2020. годину и </w:t>
      </w:r>
      <w:r w:rsidRPr="00092ED7">
        <w:rPr>
          <w:rFonts w:eastAsia="SimSun" w:cs="Times New Roman"/>
          <w:b/>
          <w:noProof/>
          <w:kern w:val="3"/>
          <w:szCs w:val="24"/>
          <w:lang w:val="sr-Cyrl-CS" w:eastAsia="zh-CN" w:bidi="hi-IN"/>
        </w:rPr>
        <w:t>више за 11,2% од рекордне 2019. године</w:t>
      </w:r>
      <w:r w:rsidRPr="00092ED7">
        <w:rPr>
          <w:rFonts w:eastAsia="SimSun" w:cs="Times New Roman"/>
          <w:noProof/>
          <w:kern w:val="3"/>
          <w:szCs w:val="24"/>
          <w:lang w:val="sr-Cyrl-CS" w:eastAsia="zh-CN" w:bidi="hi-IN"/>
        </w:rPr>
        <w:t xml:space="preserve"> (1,4 млрд. </w:t>
      </w:r>
      <w:r w:rsidR="00D8670D" w:rsidRPr="00092ED7">
        <w:rPr>
          <w:rFonts w:eastAsia="SimSun" w:cs="Times New Roman"/>
          <w:noProof/>
          <w:kern w:val="3"/>
          <w:szCs w:val="24"/>
          <w:lang w:val="sr-Cyrl-CS" w:eastAsia="zh-CN" w:bidi="hi-IN"/>
        </w:rPr>
        <w:t>евра</w:t>
      </w:r>
      <w:r w:rsidRPr="00092ED7">
        <w:rPr>
          <w:rFonts w:eastAsia="SimSun" w:cs="Times New Roman"/>
          <w:noProof/>
          <w:kern w:val="3"/>
          <w:szCs w:val="24"/>
          <w:lang w:val="sr-Cyrl-CS" w:eastAsia="zh-CN" w:bidi="hi-IN"/>
        </w:rPr>
        <w:t>)</w:t>
      </w:r>
      <w:r w:rsidRPr="00092ED7">
        <w:rPr>
          <w:rStyle w:val="FootnoteReference"/>
          <w:rFonts w:eastAsia="SimSun" w:cs="Mangal"/>
          <w:kern w:val="3"/>
          <w:szCs w:val="24"/>
          <w:lang w:val="sr-Cyrl-CS" w:eastAsia="zh-CN" w:bidi="hi-IN"/>
        </w:rPr>
        <w:footnoteReference w:id="188"/>
      </w:r>
      <w:r w:rsidRPr="00092ED7">
        <w:rPr>
          <w:rFonts w:eastAsia="SimSun" w:cs="Times New Roman"/>
          <w:noProof/>
          <w:kern w:val="3"/>
          <w:szCs w:val="24"/>
          <w:lang w:val="sr-Cyrl-CS" w:eastAsia="zh-CN" w:bidi="hi-IN"/>
        </w:rPr>
        <w:t xml:space="preserve">. </w:t>
      </w:r>
      <w:r w:rsidRPr="00092ED7">
        <w:rPr>
          <w:rFonts w:eastAsia="SimSun" w:cs="Mangal"/>
          <w:kern w:val="3"/>
          <w:szCs w:val="24"/>
          <w:lang w:val="sr-Cyrl-CS" w:eastAsia="zh-CN" w:bidi="hi-IN"/>
        </w:rPr>
        <w:t>Туристичке дестинације</w:t>
      </w:r>
      <w:r w:rsidRPr="00092ED7">
        <w:rPr>
          <w:rFonts w:eastAsia="SimSun" w:cs="Times New Roman"/>
          <w:noProof/>
          <w:kern w:val="3"/>
          <w:szCs w:val="24"/>
          <w:lang w:val="sr-Cyrl-CS" w:eastAsia="zh-CN" w:bidi="hi-IN"/>
        </w:rPr>
        <w:t xml:space="preserve"> је посетило преко 870 хиљада страних туриста у 2021. (раст од 95,5% мг), који су остварили више од 2,4 мил. ноћења (раст од 92,1% мг).</w:t>
      </w:r>
      <w:r w:rsidRPr="00092ED7">
        <w:rPr>
          <w:rFonts w:eastAsia="Calibri" w:cs="Times New Roman"/>
          <w:noProof/>
          <w:szCs w:val="24"/>
          <w:lang w:val="sr-Cyrl-CS"/>
        </w:rPr>
        <w:t xml:space="preserve"> Подстицај развоја домаћег туризма спроводи се </w:t>
      </w:r>
      <w:r w:rsidR="008C00EF" w:rsidRPr="00092ED7">
        <w:rPr>
          <w:rFonts w:eastAsia="Calibri" w:cs="Times New Roman"/>
          <w:noProof/>
          <w:szCs w:val="24"/>
          <w:lang w:val="sr-Cyrl-CS"/>
        </w:rPr>
        <w:t xml:space="preserve">и </w:t>
      </w:r>
      <w:r w:rsidRPr="00092ED7">
        <w:rPr>
          <w:rFonts w:eastAsia="Calibri" w:cs="Times New Roman"/>
          <w:noProof/>
          <w:szCs w:val="24"/>
          <w:lang w:val="sr-Cyrl-CS"/>
        </w:rPr>
        <w:t>кроз доделу ваучера за субвенционисано коришћење услуга смештаја у угоститељским објектима на територији Републике Србије</w:t>
      </w:r>
      <w:r w:rsidR="00047167" w:rsidRPr="00092ED7">
        <w:rPr>
          <w:rFonts w:eastAsia="Calibri" w:cs="Times New Roman"/>
          <w:noProof/>
          <w:szCs w:val="24"/>
          <w:lang w:val="sr-Cyrl-CS"/>
        </w:rPr>
        <w:t>,</w:t>
      </w:r>
      <w:r w:rsidR="000D7482" w:rsidRPr="00092ED7">
        <w:rPr>
          <w:rFonts w:eastAsia="Calibri" w:cs="Times New Roman"/>
          <w:noProof/>
          <w:szCs w:val="24"/>
          <w:lang w:val="sr-Cyrl-CS"/>
        </w:rPr>
        <w:t xml:space="preserve"> </w:t>
      </w:r>
      <w:r w:rsidR="005C06F7" w:rsidRPr="00092ED7">
        <w:rPr>
          <w:rFonts w:eastAsia="Calibri" w:cs="Times New Roman"/>
          <w:noProof/>
          <w:szCs w:val="24"/>
          <w:lang w:val="sr-Cyrl-CS"/>
        </w:rPr>
        <w:t>и</w:t>
      </w:r>
      <w:r w:rsidRPr="00092ED7">
        <w:rPr>
          <w:rFonts w:eastAsia="Calibri" w:cs="Times New Roman"/>
          <w:noProof/>
          <w:szCs w:val="24"/>
          <w:lang w:val="sr-Cyrl-CS"/>
        </w:rPr>
        <w:t>здато је 150.000</w:t>
      </w:r>
      <w:r w:rsidRPr="00092ED7">
        <w:rPr>
          <w:rStyle w:val="FootnoteReference"/>
          <w:rFonts w:eastAsia="Calibri" w:cs="Times New Roman"/>
          <w:noProof/>
          <w:szCs w:val="24"/>
          <w:lang w:val="sr-Cyrl-CS"/>
        </w:rPr>
        <w:footnoteReference w:id="189"/>
      </w:r>
      <w:r w:rsidRPr="00092ED7">
        <w:rPr>
          <w:rFonts w:eastAsia="Calibri" w:cs="Times New Roman"/>
          <w:noProof/>
          <w:szCs w:val="24"/>
          <w:lang w:val="sr-Cyrl-CS"/>
        </w:rPr>
        <w:t xml:space="preserve"> ваучера вредности 5.000 динара (око 43 евра по ваучеру) током 2021. године</w:t>
      </w:r>
      <w:r w:rsidR="005C06F7" w:rsidRPr="00092ED7">
        <w:rPr>
          <w:rFonts w:eastAsia="Calibri" w:cs="Times New Roman"/>
          <w:noProof/>
          <w:szCs w:val="24"/>
          <w:lang w:val="sr-Cyrl-CS"/>
        </w:rPr>
        <w:t>. Током 2022. године издато је 100.000 ваучера у вредности од 5.000 динара (око 43 евра по ваучеру), 100.000 ваучера у вредности од 10.000 динара (око 85 евра по ваучеру)</w:t>
      </w:r>
      <w:r w:rsidRPr="00092ED7">
        <w:rPr>
          <w:rFonts w:eastAsia="Calibri" w:cs="Times New Roman"/>
          <w:noProof/>
          <w:szCs w:val="24"/>
          <w:lang w:val="sr-Cyrl-CS"/>
        </w:rPr>
        <w:t xml:space="preserve"> и </w:t>
      </w:r>
      <w:r w:rsidR="005C06F7" w:rsidRPr="00092ED7">
        <w:rPr>
          <w:rFonts w:eastAsia="Calibri" w:cs="Times New Roman"/>
          <w:noProof/>
          <w:szCs w:val="24"/>
          <w:lang w:val="sr-Cyrl-CS"/>
        </w:rPr>
        <w:t>2</w:t>
      </w:r>
      <w:r w:rsidRPr="00092ED7">
        <w:rPr>
          <w:rFonts w:eastAsia="Calibri" w:cs="Times New Roman"/>
          <w:noProof/>
          <w:szCs w:val="24"/>
          <w:lang w:val="sr-Cyrl-CS"/>
        </w:rPr>
        <w:t xml:space="preserve">00.000 ваучера </w:t>
      </w:r>
      <w:r w:rsidR="005C06F7" w:rsidRPr="00092ED7">
        <w:rPr>
          <w:rFonts w:eastAsia="Calibri" w:cs="Times New Roman"/>
          <w:noProof/>
          <w:szCs w:val="24"/>
          <w:lang w:val="sr-Cyrl-CS"/>
        </w:rPr>
        <w:t xml:space="preserve">у </w:t>
      </w:r>
      <w:r w:rsidRPr="00092ED7">
        <w:rPr>
          <w:rFonts w:eastAsia="Calibri" w:cs="Times New Roman"/>
          <w:noProof/>
          <w:szCs w:val="24"/>
          <w:lang w:val="sr-Cyrl-CS"/>
        </w:rPr>
        <w:t xml:space="preserve">вредности </w:t>
      </w:r>
      <w:r w:rsidR="005C06F7" w:rsidRPr="00092ED7">
        <w:rPr>
          <w:rFonts w:eastAsia="Calibri" w:cs="Times New Roman"/>
          <w:noProof/>
          <w:szCs w:val="24"/>
          <w:lang w:val="sr-Cyrl-CS"/>
        </w:rPr>
        <w:t xml:space="preserve">од </w:t>
      </w:r>
      <w:r w:rsidRPr="00092ED7">
        <w:rPr>
          <w:rFonts w:eastAsia="Calibri" w:cs="Times New Roman"/>
          <w:noProof/>
          <w:szCs w:val="24"/>
          <w:lang w:val="sr-Cyrl-CS"/>
        </w:rPr>
        <w:t>15.000 динара (око 1</w:t>
      </w:r>
      <w:r w:rsidR="005C06F7" w:rsidRPr="00092ED7">
        <w:rPr>
          <w:rFonts w:eastAsia="Calibri" w:cs="Times New Roman"/>
          <w:noProof/>
          <w:szCs w:val="24"/>
          <w:lang w:val="sr-Cyrl-CS"/>
        </w:rPr>
        <w:t>28</w:t>
      </w:r>
      <w:r w:rsidRPr="00092ED7">
        <w:rPr>
          <w:rFonts w:eastAsia="Calibri" w:cs="Times New Roman"/>
          <w:noProof/>
          <w:szCs w:val="24"/>
          <w:lang w:val="sr-Cyrl-CS"/>
        </w:rPr>
        <w:t xml:space="preserve"> евра по ваучеру). </w:t>
      </w:r>
      <w:r w:rsidR="006B2217" w:rsidRPr="00092ED7">
        <w:rPr>
          <w:rFonts w:eastAsia="Calibri" w:cs="Times New Roman"/>
          <w:noProof/>
          <w:szCs w:val="24"/>
          <w:lang w:val="sr-Cyrl-CS"/>
        </w:rPr>
        <w:t>За обрачунавање је узет средњи курс евра на дан 11.</w:t>
      </w:r>
      <w:r w:rsidR="00CE53B0" w:rsidRPr="00092ED7">
        <w:rPr>
          <w:rFonts w:eastAsia="Calibri" w:cs="Times New Roman"/>
          <w:noProof/>
          <w:szCs w:val="24"/>
          <w:lang w:val="sr-Cyrl-CS"/>
        </w:rPr>
        <w:t xml:space="preserve"> јануара </w:t>
      </w:r>
      <w:r w:rsidR="006B2217" w:rsidRPr="00092ED7">
        <w:rPr>
          <w:rFonts w:eastAsia="Calibri" w:cs="Times New Roman"/>
          <w:noProof/>
          <w:szCs w:val="24"/>
          <w:lang w:val="sr-Cyrl-CS"/>
        </w:rPr>
        <w:t xml:space="preserve">2023. године. </w:t>
      </w:r>
      <w:r w:rsidRPr="00092ED7">
        <w:rPr>
          <w:rFonts w:eastAsia="Calibri" w:cs="Times New Roman"/>
          <w:noProof/>
          <w:szCs w:val="24"/>
          <w:lang w:val="sr-Cyrl-CS"/>
        </w:rPr>
        <w:t>Број домаћих туриста (преко 1,7 милиона) је већи за 25,2% мг са остварених 5,7 милиона ноћења (раст од 16,1% мг) у 2021. години.</w:t>
      </w:r>
    </w:p>
    <w:p w14:paraId="38FB8EF0" w14:textId="77777777" w:rsidR="00D210F0" w:rsidRPr="00092ED7" w:rsidRDefault="00D210F0" w:rsidP="00D210F0">
      <w:pPr>
        <w:spacing w:after="60"/>
        <w:rPr>
          <w:rFonts w:eastAsia="Calibri" w:cs="Times New Roman"/>
          <w:noProof/>
          <w:szCs w:val="24"/>
          <w:lang w:val="sr-Cyrl-CS"/>
        </w:rPr>
      </w:pPr>
      <w:r w:rsidRPr="00092ED7">
        <w:rPr>
          <w:rFonts w:eastAsia="Times New Roman" w:cs="Times New Roman"/>
          <w:b/>
          <w:noProof/>
          <w:szCs w:val="24"/>
          <w:lang w:val="sr-Cyrl-CS"/>
        </w:rPr>
        <w:t>У условима ограниченог кретања током трајања ванредног стања због пандемије, е-трговинa je током 2020. године нарочито добила на значају</w:t>
      </w:r>
      <w:r w:rsidRPr="00092ED7">
        <w:rPr>
          <w:rFonts w:eastAsia="Times New Roman" w:cs="Times New Roman"/>
          <w:noProof/>
          <w:szCs w:val="24"/>
          <w:lang w:val="sr-Cyrl-CS"/>
        </w:rPr>
        <w:t>, а тај тренд се наставља и у 2021. години. Реализовано је 30,9 милиона трансакција употребом платни</w:t>
      </w:r>
      <w:r w:rsidR="00D8670D" w:rsidRPr="00092ED7">
        <w:rPr>
          <w:rFonts w:eastAsia="Times New Roman" w:cs="Times New Roman"/>
          <w:noProof/>
          <w:szCs w:val="24"/>
          <w:lang w:val="sr-Cyrl-CS"/>
        </w:rPr>
        <w:t>х</w:t>
      </w:r>
      <w:r w:rsidRPr="00092ED7">
        <w:rPr>
          <w:rFonts w:eastAsia="Times New Roman" w:cs="Times New Roman"/>
          <w:noProof/>
          <w:szCs w:val="24"/>
          <w:lang w:val="sr-Cyrl-CS"/>
        </w:rPr>
        <w:t xml:space="preserve"> картица преко интернета за куповину роба и услуга у одабраним валутама из корпе валута којима је обављена куповина роба и услуга преко интернета, што је</w:t>
      </w:r>
      <w:r w:rsidRPr="00092ED7">
        <w:rPr>
          <w:rFonts w:eastAsia="Times New Roman" w:cs="Times New Roman"/>
          <w:b/>
          <w:noProof/>
          <w:szCs w:val="24"/>
          <w:lang w:val="sr-Cyrl-CS"/>
        </w:rPr>
        <w:t xml:space="preserve"> </w:t>
      </w:r>
      <w:r w:rsidRPr="00092ED7">
        <w:rPr>
          <w:rFonts w:eastAsia="Times New Roman" w:cs="Times New Roman"/>
          <w:noProof/>
          <w:szCs w:val="24"/>
          <w:lang w:val="sr-Cyrl-CS"/>
        </w:rPr>
        <w:t>за 52,8% више него 2020. године, при чему су динарске трансакције платним картицама повећане za 59,6% мг (на 22,6 милиона трансакција у 2021. са 14,2 милиона у 2020. години)</w:t>
      </w:r>
      <w:r w:rsidRPr="00092ED7">
        <w:rPr>
          <w:rStyle w:val="FootnoteReference"/>
          <w:rFonts w:cs="Times New Roman"/>
          <w:noProof/>
          <w:szCs w:val="24"/>
          <w:lang w:val="sr-Cyrl-CS"/>
        </w:rPr>
        <w:footnoteReference w:id="190"/>
      </w:r>
      <w:r w:rsidRPr="00092ED7">
        <w:rPr>
          <w:rFonts w:eastAsia="Times New Roman" w:cs="Times New Roman"/>
          <w:noProof/>
          <w:szCs w:val="24"/>
          <w:lang w:val="sr-Cyrl-CS"/>
        </w:rPr>
        <w:t xml:space="preserve">. Истовремено, </w:t>
      </w:r>
      <w:r w:rsidRPr="00092ED7">
        <w:rPr>
          <w:rFonts w:eastAsia="Times New Roman" w:cs="Times New Roman"/>
          <w:b/>
          <w:noProof/>
          <w:szCs w:val="24"/>
          <w:lang w:val="sr-Cyrl-CS"/>
        </w:rPr>
        <w:t>смањен је број приговора потрошача на онлајн куповину</w:t>
      </w:r>
      <w:r w:rsidRPr="00092ED7">
        <w:rPr>
          <w:rFonts w:eastAsia="Times New Roman" w:cs="Times New Roman"/>
          <w:noProof/>
          <w:szCs w:val="24"/>
          <w:lang w:val="sr-Cyrl-CS"/>
        </w:rPr>
        <w:t xml:space="preserve"> (1.673 у 2021. наспрам 1.877 у 2020. години)</w:t>
      </w:r>
      <w:r w:rsidRPr="00092ED7">
        <w:rPr>
          <w:rStyle w:val="FootnoteReference"/>
          <w:rFonts w:cs="Times New Roman"/>
          <w:noProof/>
          <w:szCs w:val="24"/>
          <w:lang w:val="sr-Cyrl-CS"/>
        </w:rPr>
        <w:footnoteReference w:id="191"/>
      </w:r>
      <w:r w:rsidRPr="00092ED7">
        <w:rPr>
          <w:rFonts w:eastAsia="Times New Roman" w:cs="Times New Roman"/>
          <w:noProof/>
          <w:szCs w:val="24"/>
          <w:lang w:val="sr-Cyrl-CS"/>
        </w:rPr>
        <w:t xml:space="preserve">. </w:t>
      </w:r>
      <w:r w:rsidRPr="00092ED7">
        <w:rPr>
          <w:rFonts w:eastAsia="Calibri" w:cs="Times New Roman"/>
          <w:noProof/>
          <w:szCs w:val="24"/>
          <w:lang w:val="sr-Cyrl-CS"/>
        </w:rPr>
        <w:t xml:space="preserve">Позитивне тенденције е-трговине настављене су и током првог тромесечја 2022. године (9,6 милиона трансакција куповине роба и услуга на интернету извршених платним картицама, што је раст од 31,3% мг). </w:t>
      </w:r>
      <w:r w:rsidRPr="00092ED7">
        <w:rPr>
          <w:rFonts w:eastAsia="Calibri" w:cs="Times New Roman"/>
          <w:b/>
          <w:noProof/>
          <w:szCs w:val="24"/>
          <w:lang w:val="sr-Cyrl-CS"/>
        </w:rPr>
        <w:t>Повећао се и укупан број виртуелних продајних места</w:t>
      </w:r>
      <w:r w:rsidRPr="00092ED7">
        <w:rPr>
          <w:rFonts w:eastAsia="Calibri" w:cs="Times New Roman"/>
          <w:noProof/>
          <w:szCs w:val="24"/>
          <w:lang w:val="sr-Cyrl-CS"/>
        </w:rPr>
        <w:t xml:space="preserve"> којих је било укупно 2.774 на крају 2021. (2.013 на крају 2020. године), односно 2.858 виртуелних продајних места на крају првог тромесечја 2022.</w:t>
      </w:r>
      <w:r w:rsidRPr="00092ED7">
        <w:rPr>
          <w:rFonts w:eastAsia="Calibri" w:cs="Times New Roman"/>
          <w:noProof/>
          <w:szCs w:val="24"/>
          <w:vertAlign w:val="superscript"/>
          <w:lang w:val="sr-Cyrl-CS"/>
        </w:rPr>
        <w:footnoteReference w:id="192"/>
      </w:r>
      <w:r w:rsidRPr="00092ED7">
        <w:rPr>
          <w:rFonts w:eastAsia="Calibri" w:cs="Times New Roman"/>
          <w:noProof/>
          <w:szCs w:val="24"/>
          <w:lang w:val="sr-Cyrl-CS"/>
        </w:rPr>
        <w:t xml:space="preserve"> године.</w:t>
      </w:r>
    </w:p>
    <w:p w14:paraId="25A770B2"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б) Реформе</w:t>
      </w:r>
    </w:p>
    <w:p w14:paraId="239B1889" w14:textId="77777777" w:rsidR="00D210F0" w:rsidRPr="00092ED7" w:rsidRDefault="00D210F0" w:rsidP="00D210F0">
      <w:pPr>
        <w:spacing w:before="120"/>
        <w:rPr>
          <w:rFonts w:cs="Times New Roman"/>
          <w:szCs w:val="24"/>
          <w:lang w:val="sr-Cyrl-CS"/>
        </w:rPr>
      </w:pPr>
      <w:r w:rsidRPr="00092ED7">
        <w:rPr>
          <w:rFonts w:cs="Times New Roman"/>
          <w:b/>
          <w:bCs/>
          <w:szCs w:val="24"/>
          <w:u w:val="single"/>
          <w:lang w:val="sr-Cyrl-CS"/>
        </w:rPr>
        <w:t>СТРУКТУРНА РЕФОРМА 20</w:t>
      </w:r>
      <w:r w:rsidRPr="00092ED7">
        <w:rPr>
          <w:rFonts w:cs="Times New Roman"/>
          <w:b/>
          <w:bCs/>
          <w:szCs w:val="24"/>
          <w:lang w:val="sr-Cyrl-CS"/>
        </w:rPr>
        <w:t xml:space="preserve">: </w:t>
      </w:r>
      <w:r w:rsidRPr="00092ED7">
        <w:rPr>
          <w:rFonts w:cs="Times New Roman"/>
          <w:smallCaps/>
          <w:szCs w:val="24"/>
          <w:lang w:val="sr-Cyrl-CS"/>
        </w:rPr>
        <w:t xml:space="preserve">УНАПРЕЂЕЊЕ КОНКУРЕНТНОСТИ </w:t>
      </w:r>
      <w:r w:rsidRPr="00092ED7">
        <w:rPr>
          <w:rFonts w:cs="Times New Roman"/>
          <w:bCs/>
          <w:smallCaps/>
          <w:szCs w:val="24"/>
          <w:lang w:val="sr-Cyrl-CS"/>
        </w:rPr>
        <w:t>ПОЉОПРИВРЕДЕ</w:t>
      </w:r>
    </w:p>
    <w:p w14:paraId="1008F845" w14:textId="77777777" w:rsidR="00D210F0" w:rsidRPr="00092ED7" w:rsidRDefault="00D210F0" w:rsidP="00071952">
      <w:pPr>
        <w:widowControl w:val="0"/>
        <w:numPr>
          <w:ilvl w:val="0"/>
          <w:numId w:val="36"/>
        </w:numPr>
        <w:spacing w:before="120"/>
        <w:rPr>
          <w:rFonts w:cs="Times New Roman"/>
          <w:b/>
          <w:bCs/>
          <w:szCs w:val="24"/>
          <w:lang w:val="sr-Cyrl-CS"/>
        </w:rPr>
      </w:pPr>
      <w:r w:rsidRPr="00092ED7">
        <w:rPr>
          <w:rFonts w:cs="Times New Roman"/>
          <w:b/>
          <w:bCs/>
          <w:szCs w:val="24"/>
          <w:lang w:val="sr-Cyrl-CS"/>
        </w:rPr>
        <w:t>Опис структурне реформе</w:t>
      </w:r>
    </w:p>
    <w:p w14:paraId="432920E5" w14:textId="5F25D1DC" w:rsidR="00D210F0" w:rsidRPr="00092ED7" w:rsidRDefault="00D210F0" w:rsidP="00D210F0">
      <w:pPr>
        <w:spacing w:after="60"/>
        <w:rPr>
          <w:rFonts w:eastAsia="Times New Roman" w:cs="Times New Roman"/>
          <w:szCs w:val="24"/>
          <w:lang w:val="sr-Cyrl-CS"/>
        </w:rPr>
      </w:pPr>
      <w:r w:rsidRPr="00092ED7">
        <w:rPr>
          <w:rFonts w:eastAsia="Times New Roman" w:cs="Times New Roman"/>
          <w:szCs w:val="24"/>
          <w:lang w:val="sr-Cyrl-CS"/>
        </w:rPr>
        <w:t xml:space="preserve">Циљ ове реформе је раст конкурентности пољопривредног и прехрамбеног сектора у Републици Србији. Реформа </w:t>
      </w:r>
      <w:r w:rsidRPr="00092ED7">
        <w:rPr>
          <w:rFonts w:eastAsia="Times New Roman" w:cs="Times New Roman"/>
          <w:spacing w:val="-3"/>
          <w:szCs w:val="24"/>
          <w:lang w:val="sr-Cyrl-CS"/>
        </w:rPr>
        <w:t xml:space="preserve">обухвата </w:t>
      </w:r>
      <w:r w:rsidRPr="00092ED7">
        <w:rPr>
          <w:rFonts w:eastAsia="Times New Roman" w:cs="Times New Roman"/>
          <w:szCs w:val="24"/>
          <w:lang w:val="sr-Cyrl-CS"/>
        </w:rPr>
        <w:t>(1) унапређење инфраструктуре у руралним подручјима; (2) успостављање</w:t>
      </w:r>
      <w:r w:rsidRPr="00092ED7">
        <w:rPr>
          <w:rFonts w:eastAsia="Times New Roman" w:cs="Times New Roman"/>
          <w:spacing w:val="-6"/>
          <w:szCs w:val="24"/>
          <w:lang w:val="sr-Cyrl-CS"/>
        </w:rPr>
        <w:t xml:space="preserve"> </w:t>
      </w:r>
      <w:r w:rsidRPr="00092ED7">
        <w:rPr>
          <w:rFonts w:eastAsia="Times New Roman" w:cs="Times New Roman"/>
          <w:szCs w:val="24"/>
          <w:lang w:val="sr-Cyrl-CS"/>
        </w:rPr>
        <w:t>регулаторног</w:t>
      </w:r>
      <w:r w:rsidRPr="00092ED7">
        <w:rPr>
          <w:rFonts w:eastAsia="Times New Roman" w:cs="Times New Roman"/>
          <w:spacing w:val="-6"/>
          <w:szCs w:val="24"/>
          <w:lang w:val="sr-Cyrl-CS"/>
        </w:rPr>
        <w:t xml:space="preserve"> </w:t>
      </w:r>
      <w:r w:rsidRPr="00092ED7">
        <w:rPr>
          <w:rFonts w:eastAsia="Times New Roman" w:cs="Times New Roman"/>
          <w:szCs w:val="24"/>
          <w:lang w:val="sr-Cyrl-CS"/>
        </w:rPr>
        <w:t>оквира</w:t>
      </w:r>
      <w:r w:rsidRPr="00092ED7">
        <w:rPr>
          <w:rFonts w:eastAsia="Times New Roman" w:cs="Times New Roman"/>
          <w:spacing w:val="-6"/>
          <w:szCs w:val="24"/>
          <w:lang w:val="sr-Cyrl-CS"/>
        </w:rPr>
        <w:t xml:space="preserve"> </w:t>
      </w:r>
      <w:r w:rsidRPr="00092ED7">
        <w:rPr>
          <w:rFonts w:eastAsia="Times New Roman" w:cs="Times New Roman"/>
          <w:szCs w:val="24"/>
          <w:lang w:val="sr-Cyrl-CS"/>
        </w:rPr>
        <w:t>за</w:t>
      </w:r>
      <w:r w:rsidRPr="00092ED7">
        <w:rPr>
          <w:rFonts w:eastAsia="Times New Roman" w:cs="Times New Roman"/>
          <w:spacing w:val="-6"/>
          <w:szCs w:val="24"/>
          <w:lang w:val="sr-Cyrl-CS"/>
        </w:rPr>
        <w:t xml:space="preserve"> </w:t>
      </w:r>
      <w:r w:rsidRPr="00092ED7">
        <w:rPr>
          <w:rFonts w:eastAsia="Times New Roman" w:cs="Times New Roman"/>
          <w:szCs w:val="24"/>
          <w:lang w:val="sr-Cyrl-CS"/>
        </w:rPr>
        <w:t>процес</w:t>
      </w:r>
      <w:r w:rsidRPr="00092ED7">
        <w:rPr>
          <w:rFonts w:eastAsia="Times New Roman" w:cs="Times New Roman"/>
          <w:spacing w:val="-6"/>
          <w:szCs w:val="24"/>
          <w:lang w:val="sr-Cyrl-CS"/>
        </w:rPr>
        <w:t xml:space="preserve"> </w:t>
      </w:r>
      <w:r w:rsidRPr="00092ED7">
        <w:rPr>
          <w:rFonts w:eastAsia="Times New Roman" w:cs="Times New Roman"/>
          <w:szCs w:val="24"/>
          <w:lang w:val="sr-Cyrl-CS"/>
        </w:rPr>
        <w:t>комасације;</w:t>
      </w:r>
      <w:r w:rsidRPr="00092ED7">
        <w:rPr>
          <w:rFonts w:eastAsia="Times New Roman" w:cs="Times New Roman"/>
          <w:spacing w:val="-6"/>
          <w:szCs w:val="24"/>
          <w:lang w:val="sr-Cyrl-CS"/>
        </w:rPr>
        <w:t xml:space="preserve"> </w:t>
      </w:r>
      <w:r w:rsidRPr="00092ED7">
        <w:rPr>
          <w:rFonts w:eastAsia="Times New Roman" w:cs="Times New Roman"/>
          <w:szCs w:val="24"/>
          <w:lang w:val="sr-Cyrl-CS"/>
        </w:rPr>
        <w:t xml:space="preserve">(3) уређење правног оквира у области тржишта пољопривредних производа, шема квалитета за пољопривредне и прехрамбене производе и органске производње, </w:t>
      </w:r>
      <w:r w:rsidRPr="00092ED7">
        <w:rPr>
          <w:rFonts w:eastAsia="Times New Roman" w:cs="Times New Roman"/>
          <w:spacing w:val="-5"/>
          <w:szCs w:val="24"/>
          <w:lang w:val="sr-Cyrl-CS"/>
        </w:rPr>
        <w:t xml:space="preserve">како </w:t>
      </w:r>
      <w:r w:rsidRPr="00092ED7">
        <w:rPr>
          <w:rFonts w:eastAsia="Times New Roman" w:cs="Times New Roman"/>
          <w:szCs w:val="24"/>
          <w:lang w:val="sr-Cyrl-CS"/>
        </w:rPr>
        <w:t xml:space="preserve">би се створили услови за унапређење конкурентности у свим секторима производње; (4) унапређење капацитета ресорног министарства кроз дигитализацију и </w:t>
      </w:r>
      <w:r w:rsidRPr="00092ED7">
        <w:rPr>
          <w:rFonts w:eastAsia="Times New Roman" w:cs="Times New Roman"/>
          <w:spacing w:val="-3"/>
          <w:szCs w:val="24"/>
          <w:lang w:val="sr-Cyrl-CS"/>
        </w:rPr>
        <w:t xml:space="preserve">аутоматизацију </w:t>
      </w:r>
      <w:r w:rsidRPr="00092ED7">
        <w:rPr>
          <w:rFonts w:eastAsia="Times New Roman" w:cs="Times New Roman"/>
          <w:szCs w:val="24"/>
          <w:lang w:val="sr-Cyrl-CS"/>
        </w:rPr>
        <w:t>система финансијске подршке</w:t>
      </w:r>
      <w:r w:rsidRPr="00092ED7">
        <w:rPr>
          <w:rFonts w:eastAsia="Times New Roman" w:cs="Times New Roman"/>
          <w:spacing w:val="-30"/>
          <w:szCs w:val="24"/>
          <w:lang w:val="sr-Cyrl-CS"/>
        </w:rPr>
        <w:t xml:space="preserve"> </w:t>
      </w:r>
      <w:r w:rsidRPr="00092ED7">
        <w:rPr>
          <w:rFonts w:eastAsia="Times New Roman" w:cs="Times New Roman"/>
          <w:szCs w:val="24"/>
          <w:lang w:val="sr-Cyrl-CS"/>
        </w:rPr>
        <w:t>пољопривредницима</w:t>
      </w:r>
      <w:r w:rsidRPr="00092ED7">
        <w:rPr>
          <w:rFonts w:eastAsia="Times New Roman" w:cs="Times New Roman"/>
          <w:spacing w:val="-10"/>
          <w:szCs w:val="24"/>
          <w:lang w:val="sr-Cyrl-CS"/>
        </w:rPr>
        <w:t xml:space="preserve"> </w:t>
      </w:r>
      <w:r w:rsidRPr="00092ED7">
        <w:rPr>
          <w:rFonts w:eastAsia="Times New Roman" w:cs="Times New Roman"/>
          <w:szCs w:val="24"/>
          <w:lang w:val="sr-Cyrl-CS"/>
        </w:rPr>
        <w:t>уз</w:t>
      </w:r>
      <w:r w:rsidRPr="00092ED7">
        <w:rPr>
          <w:rFonts w:eastAsia="Times New Roman" w:cs="Times New Roman"/>
          <w:spacing w:val="-10"/>
          <w:szCs w:val="24"/>
          <w:lang w:val="sr-Cyrl-CS"/>
        </w:rPr>
        <w:t xml:space="preserve"> </w:t>
      </w:r>
      <w:r w:rsidRPr="00092ED7">
        <w:rPr>
          <w:rFonts w:eastAsia="Times New Roman" w:cs="Times New Roman"/>
          <w:szCs w:val="24"/>
          <w:lang w:val="sr-Cyrl-CS"/>
        </w:rPr>
        <w:t>олакшан</w:t>
      </w:r>
      <w:r w:rsidRPr="00092ED7">
        <w:rPr>
          <w:rFonts w:eastAsia="Times New Roman" w:cs="Times New Roman"/>
          <w:spacing w:val="-10"/>
          <w:szCs w:val="24"/>
          <w:lang w:val="sr-Cyrl-CS"/>
        </w:rPr>
        <w:t xml:space="preserve"> </w:t>
      </w:r>
      <w:r w:rsidRPr="00092ED7">
        <w:rPr>
          <w:rFonts w:eastAsia="Times New Roman" w:cs="Times New Roman"/>
          <w:szCs w:val="24"/>
          <w:lang w:val="sr-Cyrl-CS"/>
        </w:rPr>
        <w:t>приступ</w:t>
      </w:r>
      <w:r w:rsidRPr="00092ED7">
        <w:rPr>
          <w:rFonts w:eastAsia="Times New Roman" w:cs="Times New Roman"/>
          <w:spacing w:val="-10"/>
          <w:szCs w:val="24"/>
          <w:lang w:val="sr-Cyrl-CS"/>
        </w:rPr>
        <w:t xml:space="preserve"> </w:t>
      </w:r>
      <w:r w:rsidRPr="00092ED7">
        <w:rPr>
          <w:rFonts w:eastAsia="Times New Roman" w:cs="Times New Roman"/>
          <w:szCs w:val="24"/>
          <w:lang w:val="sr-Cyrl-CS"/>
        </w:rPr>
        <w:t>расположивим</w:t>
      </w:r>
      <w:r w:rsidRPr="00092ED7">
        <w:rPr>
          <w:rFonts w:eastAsia="Times New Roman" w:cs="Times New Roman"/>
          <w:spacing w:val="-10"/>
          <w:szCs w:val="24"/>
          <w:lang w:val="sr-Cyrl-CS"/>
        </w:rPr>
        <w:t xml:space="preserve"> </w:t>
      </w:r>
      <w:r w:rsidRPr="00092ED7">
        <w:rPr>
          <w:rFonts w:eastAsia="Times New Roman" w:cs="Times New Roman"/>
          <w:szCs w:val="24"/>
          <w:lang w:val="sr-Cyrl-CS"/>
        </w:rPr>
        <w:t>подстицајима.</w:t>
      </w:r>
      <w:r w:rsidRPr="00092ED7">
        <w:rPr>
          <w:rFonts w:eastAsia="Times New Roman" w:cs="Times New Roman"/>
          <w:spacing w:val="-10"/>
          <w:szCs w:val="24"/>
          <w:lang w:val="sr-Cyrl-CS"/>
        </w:rPr>
        <w:t xml:space="preserve"> </w:t>
      </w:r>
      <w:r w:rsidRPr="00092ED7">
        <w:rPr>
          <w:rFonts w:eastAsia="Times New Roman" w:cs="Times New Roman"/>
          <w:szCs w:val="24"/>
          <w:lang w:val="sr-Cyrl-CS"/>
        </w:rPr>
        <w:t>Кроз</w:t>
      </w:r>
      <w:r w:rsidRPr="00092ED7">
        <w:rPr>
          <w:rFonts w:eastAsia="Times New Roman" w:cs="Times New Roman"/>
          <w:spacing w:val="-10"/>
          <w:szCs w:val="24"/>
          <w:lang w:val="sr-Cyrl-CS"/>
        </w:rPr>
        <w:t xml:space="preserve"> </w:t>
      </w:r>
      <w:r w:rsidRPr="00092ED7">
        <w:rPr>
          <w:rFonts w:eastAsia="Times New Roman" w:cs="Times New Roman"/>
          <w:szCs w:val="24"/>
          <w:lang w:val="sr-Cyrl-CS"/>
        </w:rPr>
        <w:t>успостављање</w:t>
      </w:r>
      <w:r w:rsidRPr="00092ED7">
        <w:rPr>
          <w:rFonts w:eastAsia="Times New Roman" w:cs="Times New Roman"/>
          <w:spacing w:val="-10"/>
          <w:szCs w:val="24"/>
          <w:lang w:val="sr-Cyrl-CS"/>
        </w:rPr>
        <w:t xml:space="preserve"> </w:t>
      </w:r>
      <w:r w:rsidRPr="00092ED7">
        <w:rPr>
          <w:rFonts w:eastAsia="Times New Roman" w:cs="Times New Roman"/>
          <w:szCs w:val="24"/>
          <w:lang w:val="sr-Cyrl-CS"/>
        </w:rPr>
        <w:t>новог</w:t>
      </w:r>
      <w:r w:rsidRPr="00092ED7">
        <w:rPr>
          <w:rFonts w:eastAsia="Times New Roman" w:cs="Times New Roman"/>
          <w:spacing w:val="-10"/>
          <w:szCs w:val="24"/>
          <w:lang w:val="sr-Cyrl-CS"/>
        </w:rPr>
        <w:t xml:space="preserve"> </w:t>
      </w:r>
      <w:r w:rsidRPr="00092ED7">
        <w:rPr>
          <w:rFonts w:eastAsia="Times New Roman" w:cs="Times New Roman"/>
          <w:szCs w:val="24"/>
          <w:lang w:val="sr-Cyrl-CS"/>
        </w:rPr>
        <w:t>Регистра пољопривредних газдинастава (РГП), Система за идентификацију земљишних парцела (</w:t>
      </w:r>
      <w:r w:rsidRPr="00092ED7">
        <w:rPr>
          <w:rFonts w:eastAsia="Times New Roman" w:cs="Times New Roman"/>
          <w:i/>
          <w:szCs w:val="24"/>
          <w:lang w:val="sr-Cyrl-CS"/>
        </w:rPr>
        <w:t xml:space="preserve">Land Parcel Identification System </w:t>
      </w:r>
      <w:r w:rsidRPr="00092ED7">
        <w:rPr>
          <w:rFonts w:eastAsia="Times New Roman" w:cs="Times New Roman"/>
          <w:szCs w:val="24"/>
          <w:lang w:val="sr-Cyrl-CS"/>
        </w:rPr>
        <w:t>- LPIS) и других елемената интегрисаног система</w:t>
      </w:r>
      <w:r w:rsidRPr="00092ED7">
        <w:rPr>
          <w:rFonts w:eastAsia="Times New Roman" w:cs="Times New Roman"/>
          <w:spacing w:val="-39"/>
          <w:szCs w:val="24"/>
          <w:lang w:val="sr-Cyrl-CS"/>
        </w:rPr>
        <w:t xml:space="preserve"> </w:t>
      </w:r>
      <w:r w:rsidRPr="00092ED7">
        <w:rPr>
          <w:rFonts w:eastAsia="Times New Roman" w:cs="Times New Roman"/>
          <w:szCs w:val="24"/>
          <w:lang w:val="sr-Cyrl-CS"/>
        </w:rPr>
        <w:t>управљања и контроле (</w:t>
      </w:r>
      <w:r w:rsidRPr="00092ED7">
        <w:rPr>
          <w:rFonts w:eastAsia="Times New Roman" w:cs="Times New Roman"/>
          <w:i/>
          <w:szCs w:val="24"/>
          <w:lang w:val="sr-Cyrl-CS"/>
        </w:rPr>
        <w:t xml:space="preserve">Integrated Administrative Control System </w:t>
      </w:r>
      <w:r w:rsidR="008561A5" w:rsidRPr="00092ED7">
        <w:rPr>
          <w:rFonts w:eastAsia="Times New Roman" w:cs="Times New Roman"/>
          <w:szCs w:val="24"/>
          <w:lang w:val="sr-Cyrl-CS"/>
        </w:rPr>
        <w:t>–</w:t>
      </w:r>
      <w:r w:rsidRPr="00092ED7">
        <w:rPr>
          <w:rFonts w:eastAsia="Times New Roman" w:cs="Times New Roman"/>
          <w:szCs w:val="24"/>
          <w:lang w:val="sr-Cyrl-CS"/>
        </w:rPr>
        <w:t xml:space="preserve"> IACS</w:t>
      </w:r>
      <w:r w:rsidR="008561A5" w:rsidRPr="00092ED7">
        <w:rPr>
          <w:rFonts w:eastAsia="Times New Roman" w:cs="Times New Roman"/>
          <w:szCs w:val="24"/>
          <w:lang w:val="sr-Cyrl-CS"/>
        </w:rPr>
        <w:t xml:space="preserve"> (у даљем тексту: IACS</w:t>
      </w:r>
      <w:r w:rsidRPr="00092ED7">
        <w:rPr>
          <w:rFonts w:eastAsia="Times New Roman" w:cs="Times New Roman"/>
          <w:szCs w:val="24"/>
          <w:lang w:val="sr-Cyrl-CS"/>
        </w:rPr>
        <w:t>) успоставиће се</w:t>
      </w:r>
      <w:r w:rsidRPr="00092ED7">
        <w:rPr>
          <w:rFonts w:eastAsia="Times New Roman" w:cs="Times New Roman"/>
          <w:spacing w:val="-26"/>
          <w:szCs w:val="24"/>
          <w:lang w:val="sr-Cyrl-CS"/>
        </w:rPr>
        <w:t xml:space="preserve"> </w:t>
      </w:r>
      <w:r w:rsidRPr="00092ED7">
        <w:rPr>
          <w:rFonts w:eastAsia="Times New Roman" w:cs="Times New Roman"/>
          <w:szCs w:val="24"/>
          <w:lang w:val="sr-Cyrl-CS"/>
        </w:rPr>
        <w:t xml:space="preserve">функционални IACS и </w:t>
      </w:r>
      <w:r w:rsidRPr="00092ED7">
        <w:rPr>
          <w:rFonts w:eastAsia="Times New Roman" w:cs="Times New Roman"/>
          <w:spacing w:val="-3"/>
          <w:szCs w:val="24"/>
          <w:lang w:val="sr-Cyrl-CS"/>
        </w:rPr>
        <w:t xml:space="preserve">аутоматизација </w:t>
      </w:r>
      <w:r w:rsidRPr="00092ED7">
        <w:rPr>
          <w:rFonts w:eastAsia="Times New Roman" w:cs="Times New Roman"/>
          <w:szCs w:val="24"/>
          <w:lang w:val="sr-Cyrl-CS"/>
        </w:rPr>
        <w:t xml:space="preserve">поступка подношења захтева и исплате подстицаја до краја 2026. године чиме ће се допринети убрзању процеса подношења захтева, контроле и добијању подстицаја у пољопривреди, а све у складу са Акционим планом </w:t>
      </w:r>
      <w:r w:rsidRPr="00092ED7">
        <w:rPr>
          <w:rFonts w:eastAsia="Times New Roman" w:cs="Times New Roman"/>
          <w:spacing w:val="-3"/>
          <w:szCs w:val="24"/>
          <w:lang w:val="sr-Cyrl-CS"/>
        </w:rPr>
        <w:t xml:space="preserve">Републике </w:t>
      </w:r>
      <w:r w:rsidRPr="00092ED7">
        <w:rPr>
          <w:rFonts w:eastAsia="Times New Roman" w:cs="Times New Roman"/>
          <w:szCs w:val="24"/>
          <w:lang w:val="sr-Cyrl-CS"/>
        </w:rPr>
        <w:t xml:space="preserve">Србије за </w:t>
      </w:r>
      <w:r w:rsidRPr="00092ED7">
        <w:rPr>
          <w:rFonts w:eastAsia="Times New Roman" w:cs="Times New Roman"/>
          <w:spacing w:val="-3"/>
          <w:szCs w:val="24"/>
          <w:lang w:val="sr-Cyrl-CS"/>
        </w:rPr>
        <w:t xml:space="preserve">ПГ11 </w:t>
      </w:r>
      <w:r w:rsidRPr="00092ED7">
        <w:rPr>
          <w:rFonts w:eastAsia="Times New Roman" w:cs="Times New Roman"/>
          <w:szCs w:val="24"/>
          <w:lang w:val="sr-Cyrl-CS"/>
        </w:rPr>
        <w:t xml:space="preserve">- Пољопривреда и рурални развој. Реформа </w:t>
      </w:r>
      <w:r w:rsidRPr="00092ED7">
        <w:rPr>
          <w:rFonts w:eastAsia="Times New Roman" w:cs="Times New Roman"/>
          <w:spacing w:val="-3"/>
          <w:szCs w:val="24"/>
          <w:lang w:val="sr-Cyrl-CS"/>
        </w:rPr>
        <w:t xml:space="preserve">обухвата </w:t>
      </w:r>
      <w:r w:rsidRPr="00092ED7">
        <w:rPr>
          <w:rFonts w:eastAsia="Times New Roman" w:cs="Times New Roman"/>
          <w:szCs w:val="24"/>
          <w:lang w:val="sr-Cyrl-CS"/>
        </w:rPr>
        <w:t>и дигитализацију поступка вршења стручног надзора</w:t>
      </w:r>
      <w:r w:rsidRPr="00092ED7">
        <w:rPr>
          <w:rFonts w:eastAsia="Times New Roman" w:cs="Times New Roman"/>
          <w:spacing w:val="-14"/>
          <w:szCs w:val="24"/>
          <w:lang w:val="sr-Cyrl-CS"/>
        </w:rPr>
        <w:t xml:space="preserve"> </w:t>
      </w:r>
      <w:r w:rsidRPr="00092ED7">
        <w:rPr>
          <w:rFonts w:eastAsia="Times New Roman" w:cs="Times New Roman"/>
          <w:szCs w:val="24"/>
          <w:lang w:val="sr-Cyrl-CS"/>
        </w:rPr>
        <w:t>над</w:t>
      </w:r>
      <w:r w:rsidRPr="00092ED7">
        <w:rPr>
          <w:rFonts w:eastAsia="Times New Roman" w:cs="Times New Roman"/>
          <w:spacing w:val="34"/>
          <w:szCs w:val="24"/>
          <w:lang w:val="sr-Cyrl-CS"/>
        </w:rPr>
        <w:t xml:space="preserve"> </w:t>
      </w:r>
      <w:r w:rsidRPr="00092ED7">
        <w:rPr>
          <w:rFonts w:eastAsia="Times New Roman" w:cs="Times New Roman"/>
          <w:szCs w:val="24"/>
          <w:lang w:val="sr-Cyrl-CS"/>
        </w:rPr>
        <w:t>геодетско-техничким</w:t>
      </w:r>
      <w:r w:rsidRPr="00092ED7">
        <w:rPr>
          <w:rFonts w:eastAsia="Times New Roman" w:cs="Times New Roman"/>
          <w:spacing w:val="-14"/>
          <w:szCs w:val="24"/>
          <w:lang w:val="sr-Cyrl-CS"/>
        </w:rPr>
        <w:t xml:space="preserve"> </w:t>
      </w:r>
      <w:r w:rsidRPr="00092ED7">
        <w:rPr>
          <w:rFonts w:eastAsia="Times New Roman" w:cs="Times New Roman"/>
          <w:szCs w:val="24"/>
          <w:lang w:val="sr-Cyrl-CS"/>
        </w:rPr>
        <w:t>радовима</w:t>
      </w:r>
      <w:r w:rsidRPr="00092ED7">
        <w:rPr>
          <w:rFonts w:eastAsia="Times New Roman" w:cs="Times New Roman"/>
          <w:spacing w:val="-14"/>
          <w:szCs w:val="24"/>
          <w:lang w:val="sr-Cyrl-CS"/>
        </w:rPr>
        <w:t xml:space="preserve"> </w:t>
      </w:r>
      <w:r w:rsidRPr="00092ED7">
        <w:rPr>
          <w:rFonts w:eastAsia="Times New Roman" w:cs="Times New Roman"/>
          <w:szCs w:val="24"/>
          <w:lang w:val="sr-Cyrl-CS"/>
        </w:rPr>
        <w:t>у</w:t>
      </w:r>
      <w:r w:rsidRPr="00092ED7">
        <w:rPr>
          <w:rFonts w:eastAsia="Times New Roman" w:cs="Times New Roman"/>
          <w:spacing w:val="-14"/>
          <w:szCs w:val="24"/>
          <w:lang w:val="sr-Cyrl-CS"/>
        </w:rPr>
        <w:t xml:space="preserve"> </w:t>
      </w:r>
      <w:r w:rsidRPr="00092ED7">
        <w:rPr>
          <w:rFonts w:eastAsia="Times New Roman" w:cs="Times New Roman"/>
          <w:szCs w:val="24"/>
          <w:lang w:val="sr-Cyrl-CS"/>
        </w:rPr>
        <w:t>поступку</w:t>
      </w:r>
      <w:r w:rsidRPr="00092ED7">
        <w:rPr>
          <w:rFonts w:eastAsia="Times New Roman" w:cs="Times New Roman"/>
          <w:spacing w:val="-14"/>
          <w:szCs w:val="24"/>
          <w:lang w:val="sr-Cyrl-CS"/>
        </w:rPr>
        <w:t xml:space="preserve"> </w:t>
      </w:r>
      <w:r w:rsidRPr="00092ED7">
        <w:rPr>
          <w:rFonts w:eastAsia="Times New Roman" w:cs="Times New Roman"/>
          <w:szCs w:val="24"/>
          <w:lang w:val="sr-Cyrl-CS"/>
        </w:rPr>
        <w:t>комасације</w:t>
      </w:r>
      <w:r w:rsidRPr="00092ED7">
        <w:rPr>
          <w:rFonts w:eastAsia="Times New Roman" w:cs="Times New Roman"/>
          <w:spacing w:val="-14"/>
          <w:szCs w:val="24"/>
          <w:lang w:val="sr-Cyrl-CS"/>
        </w:rPr>
        <w:t xml:space="preserve"> </w:t>
      </w:r>
      <w:r w:rsidRPr="00092ED7">
        <w:rPr>
          <w:rFonts w:eastAsia="Times New Roman" w:cs="Times New Roman"/>
          <w:szCs w:val="24"/>
          <w:lang w:val="sr-Cyrl-CS"/>
        </w:rPr>
        <w:t>и</w:t>
      </w:r>
      <w:r w:rsidRPr="00092ED7">
        <w:rPr>
          <w:rFonts w:eastAsia="Times New Roman" w:cs="Times New Roman"/>
          <w:spacing w:val="-14"/>
          <w:szCs w:val="24"/>
          <w:lang w:val="sr-Cyrl-CS"/>
        </w:rPr>
        <w:t xml:space="preserve"> </w:t>
      </w:r>
      <w:r w:rsidRPr="00092ED7">
        <w:rPr>
          <w:rFonts w:eastAsia="Times New Roman" w:cs="Times New Roman"/>
          <w:szCs w:val="24"/>
          <w:lang w:val="sr-Cyrl-CS"/>
        </w:rPr>
        <w:t>доношење</w:t>
      </w:r>
      <w:r w:rsidRPr="00092ED7">
        <w:rPr>
          <w:rFonts w:eastAsia="Times New Roman" w:cs="Times New Roman"/>
          <w:spacing w:val="-14"/>
          <w:szCs w:val="24"/>
          <w:lang w:val="sr-Cyrl-CS"/>
        </w:rPr>
        <w:t xml:space="preserve"> </w:t>
      </w:r>
      <w:r w:rsidRPr="00092ED7">
        <w:rPr>
          <w:rFonts w:eastAsia="Times New Roman" w:cs="Times New Roman"/>
          <w:spacing w:val="-3"/>
          <w:szCs w:val="24"/>
          <w:lang w:val="sr-Cyrl-CS"/>
        </w:rPr>
        <w:t>подзаконског</w:t>
      </w:r>
      <w:r w:rsidRPr="00092ED7">
        <w:rPr>
          <w:rFonts w:eastAsia="Times New Roman" w:cs="Times New Roman"/>
          <w:spacing w:val="3"/>
          <w:szCs w:val="24"/>
          <w:lang w:val="sr-Cyrl-CS"/>
        </w:rPr>
        <w:t xml:space="preserve"> </w:t>
      </w:r>
      <w:r w:rsidRPr="00092ED7">
        <w:rPr>
          <w:rFonts w:eastAsia="Times New Roman" w:cs="Times New Roman"/>
          <w:szCs w:val="24"/>
          <w:lang w:val="sr-Cyrl-CS"/>
        </w:rPr>
        <w:t>акта.</w:t>
      </w:r>
    </w:p>
    <w:p w14:paraId="1BDFC304" w14:textId="6763C264" w:rsidR="00D210F0" w:rsidRDefault="00D210F0" w:rsidP="00D210F0">
      <w:pPr>
        <w:spacing w:after="60"/>
        <w:rPr>
          <w:rFonts w:eastAsia="Times New Roman" w:cs="Times New Roman"/>
          <w:szCs w:val="24"/>
          <w:lang w:val="sr-Cyrl-CS"/>
        </w:rPr>
      </w:pPr>
    </w:p>
    <w:p w14:paraId="79255D47" w14:textId="332817CC" w:rsidR="00BA1B20" w:rsidRDefault="00BA1B20" w:rsidP="00D210F0">
      <w:pPr>
        <w:spacing w:after="60"/>
        <w:rPr>
          <w:rFonts w:eastAsia="Times New Roman" w:cs="Times New Roman"/>
          <w:szCs w:val="24"/>
          <w:lang w:val="sr-Cyrl-CS"/>
        </w:rPr>
      </w:pPr>
    </w:p>
    <w:p w14:paraId="2425B245" w14:textId="77777777" w:rsidR="00BA1B20" w:rsidRPr="00092ED7" w:rsidRDefault="00BA1B20" w:rsidP="00D210F0">
      <w:pPr>
        <w:spacing w:after="60"/>
        <w:rPr>
          <w:rFonts w:eastAsia="Times New Roman" w:cs="Times New Roman"/>
          <w:szCs w:val="24"/>
          <w:lang w:val="sr-Cyrl-CS"/>
        </w:rPr>
      </w:pPr>
    </w:p>
    <w:p w14:paraId="7249316A" w14:textId="77777777" w:rsidR="00D210F0" w:rsidRPr="00092ED7" w:rsidRDefault="00D210F0" w:rsidP="0032051C">
      <w:pPr>
        <w:widowControl w:val="0"/>
        <w:numPr>
          <w:ilvl w:val="0"/>
          <w:numId w:val="36"/>
        </w:numPr>
        <w:spacing w:before="120" w:after="80"/>
        <w:rPr>
          <w:rFonts w:cs="Times New Roman"/>
          <w:b/>
          <w:smallCaps/>
          <w:lang w:val="sr-Cyrl-CS"/>
        </w:rPr>
      </w:pPr>
      <w:r w:rsidRPr="00092ED7">
        <w:rPr>
          <w:rFonts w:cs="Times New Roman"/>
          <w:b/>
          <w:bCs/>
          <w:szCs w:val="24"/>
          <w:lang w:val="sr-Cyrl-CS"/>
        </w:rPr>
        <w:t>Планиране активности по годинама</w:t>
      </w:r>
    </w:p>
    <w:tbl>
      <w:tblPr>
        <w:tblW w:w="9084" w:type="dxa"/>
        <w:tblLayout w:type="fixed"/>
        <w:tblCellMar>
          <w:left w:w="0" w:type="dxa"/>
          <w:right w:w="0" w:type="dxa"/>
        </w:tblCellMar>
        <w:tblLook w:val="04A0" w:firstRow="1" w:lastRow="0" w:firstColumn="1" w:lastColumn="0" w:noHBand="0" w:noVBand="1"/>
      </w:tblPr>
      <w:tblGrid>
        <w:gridCol w:w="420"/>
        <w:gridCol w:w="4248"/>
        <w:gridCol w:w="368"/>
        <w:gridCol w:w="369"/>
        <w:gridCol w:w="367"/>
        <w:gridCol w:w="369"/>
        <w:gridCol w:w="367"/>
        <w:gridCol w:w="368"/>
        <w:gridCol w:w="368"/>
        <w:gridCol w:w="368"/>
        <w:gridCol w:w="368"/>
        <w:gridCol w:w="367"/>
        <w:gridCol w:w="368"/>
        <w:gridCol w:w="369"/>
      </w:tblGrid>
      <w:tr w:rsidR="00D210F0" w:rsidRPr="00092ED7" w14:paraId="2FF4053B" w14:textId="77777777" w:rsidTr="006944C5">
        <w:trPr>
          <w:trHeight w:val="317"/>
        </w:trPr>
        <w:tc>
          <w:tcPr>
            <w:tcW w:w="420" w:type="dxa"/>
            <w:vMerge w:val="restart"/>
            <w:tcBorders>
              <w:top w:val="single" w:sz="8" w:space="0" w:color="auto"/>
              <w:left w:val="single" w:sz="8" w:space="0" w:color="auto"/>
              <w:bottom w:val="single" w:sz="8" w:space="0" w:color="000000"/>
              <w:right w:val="nil"/>
            </w:tcBorders>
            <w:shd w:val="clear" w:color="auto" w:fill="BDD6EE"/>
            <w:tcMar>
              <w:top w:w="15" w:type="dxa"/>
              <w:left w:w="15" w:type="dxa"/>
              <w:bottom w:w="0" w:type="dxa"/>
              <w:right w:w="15" w:type="dxa"/>
            </w:tcMar>
            <w:vAlign w:val="center"/>
            <w:hideMark/>
          </w:tcPr>
          <w:p w14:paraId="7CF99BDA" w14:textId="77777777" w:rsidR="00D210F0" w:rsidRPr="00092ED7" w:rsidRDefault="00D210F0" w:rsidP="0032051C">
            <w:pPr>
              <w:spacing w:after="0" w:line="235" w:lineRule="auto"/>
              <w:rPr>
                <w:lang w:val="sr-Cyrl-CS"/>
              </w:rPr>
            </w:pPr>
            <w:r w:rsidRPr="00092ED7">
              <w:rPr>
                <w:rFonts w:cs="Times New Roman"/>
                <w:b/>
                <w:bCs/>
                <w:color w:val="000000"/>
                <w:sz w:val="20"/>
                <w:szCs w:val="20"/>
                <w:lang w:val="sr-Cyrl-CS"/>
              </w:rPr>
              <w:t>РБ</w:t>
            </w:r>
          </w:p>
        </w:tc>
        <w:tc>
          <w:tcPr>
            <w:tcW w:w="4248"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0EDCED37" w14:textId="77777777" w:rsidR="00D210F0" w:rsidRPr="00092ED7" w:rsidRDefault="00D210F0" w:rsidP="0032051C">
            <w:pPr>
              <w:spacing w:after="0" w:line="235" w:lineRule="auto"/>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473"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C850390" w14:textId="77777777" w:rsidR="00D210F0" w:rsidRPr="00092ED7" w:rsidRDefault="00D210F0" w:rsidP="0032051C">
            <w:pPr>
              <w:spacing w:after="0" w:line="235" w:lineRule="auto"/>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71"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25E68813" w14:textId="77777777" w:rsidR="00D210F0" w:rsidRPr="00092ED7" w:rsidRDefault="00D210F0" w:rsidP="0032051C">
            <w:pPr>
              <w:spacing w:after="0" w:line="235" w:lineRule="auto"/>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72"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17FF15CD" w14:textId="77777777" w:rsidR="00D210F0" w:rsidRPr="00092ED7" w:rsidRDefault="00D210F0" w:rsidP="0032051C">
            <w:pPr>
              <w:spacing w:after="0" w:line="235" w:lineRule="auto"/>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1AE46315" w14:textId="77777777" w:rsidTr="006944C5">
        <w:trPr>
          <w:trHeight w:val="317"/>
        </w:trPr>
        <w:tc>
          <w:tcPr>
            <w:tcW w:w="420" w:type="dxa"/>
            <w:vMerge/>
            <w:tcBorders>
              <w:top w:val="single" w:sz="8" w:space="0" w:color="auto"/>
              <w:left w:val="single" w:sz="8" w:space="0" w:color="auto"/>
              <w:bottom w:val="single" w:sz="8" w:space="0" w:color="000000"/>
              <w:right w:val="nil"/>
            </w:tcBorders>
            <w:vAlign w:val="center"/>
            <w:hideMark/>
          </w:tcPr>
          <w:p w14:paraId="3F798545" w14:textId="77777777" w:rsidR="00D210F0" w:rsidRPr="00092ED7" w:rsidRDefault="00D210F0" w:rsidP="0032051C">
            <w:pPr>
              <w:spacing w:after="0" w:line="235" w:lineRule="auto"/>
              <w:rPr>
                <w:lang w:val="sr-Cyrl-CS" w:eastAsia="sr-Cyrl-CS" w:bidi="sr-Cyrl-CS"/>
              </w:rPr>
            </w:pPr>
          </w:p>
        </w:tc>
        <w:tc>
          <w:tcPr>
            <w:tcW w:w="4248"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33FA83EE" w14:textId="77777777" w:rsidR="00D210F0" w:rsidRPr="00092ED7" w:rsidRDefault="00D210F0" w:rsidP="0032051C">
            <w:pPr>
              <w:spacing w:after="0" w:line="235" w:lineRule="auto"/>
              <w:rPr>
                <w:rFonts w:cs="Times New Roman"/>
                <w:b/>
                <w:bCs/>
                <w:color w:val="000000"/>
                <w:sz w:val="20"/>
                <w:szCs w:val="20"/>
                <w:lang w:val="sr-Cyrl-CS" w:eastAsia="sr-Cyrl-CS" w:bidi="sr-Cyrl-CS"/>
              </w:rPr>
            </w:pPr>
          </w:p>
        </w:tc>
        <w:tc>
          <w:tcPr>
            <w:tcW w:w="368"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CA40F76"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69"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CF1FF14"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AD37A9B"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69"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7E136C10"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Q4</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A25A742"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18E7C26"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23D8A3B"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68"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DECDDC3"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Q4</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3046412"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A7FE567"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790523F"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69"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6B00CB6"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Q4</w:t>
            </w:r>
          </w:p>
        </w:tc>
      </w:tr>
      <w:tr w:rsidR="00D210F0" w:rsidRPr="00092ED7" w14:paraId="4C2D53B8" w14:textId="77777777" w:rsidTr="006944C5">
        <w:trPr>
          <w:trHeight w:val="302"/>
        </w:trPr>
        <w:tc>
          <w:tcPr>
            <w:tcW w:w="420"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46B9E29D" w14:textId="77777777" w:rsidR="00D210F0" w:rsidRPr="00092ED7" w:rsidRDefault="00D210F0" w:rsidP="0032051C">
            <w:pPr>
              <w:spacing w:after="0" w:line="235" w:lineRule="auto"/>
              <w:jc w:val="center"/>
              <w:rPr>
                <w:rFonts w:cs="Times New Roman"/>
                <w:sz w:val="20"/>
                <w:szCs w:val="20"/>
                <w:lang w:val="sr-Cyrl-CS"/>
              </w:rPr>
            </w:pPr>
            <w:r w:rsidRPr="00092ED7">
              <w:rPr>
                <w:rFonts w:cs="Times New Roman"/>
                <w:sz w:val="20"/>
                <w:szCs w:val="20"/>
                <w:lang w:val="sr-Cyrl-CS"/>
              </w:rPr>
              <w:t>1.</w:t>
            </w:r>
          </w:p>
        </w:tc>
        <w:tc>
          <w:tcPr>
            <w:tcW w:w="4248" w:type="dxa"/>
            <w:tcBorders>
              <w:top w:val="single" w:sz="4" w:space="0" w:color="auto"/>
              <w:left w:val="single" w:sz="8" w:space="0" w:color="auto"/>
              <w:bottom w:val="single" w:sz="4" w:space="0" w:color="auto"/>
              <w:right w:val="nil"/>
            </w:tcBorders>
            <w:tcMar>
              <w:top w:w="15" w:type="dxa"/>
              <w:left w:w="15" w:type="dxa"/>
              <w:bottom w:w="0" w:type="dxa"/>
              <w:right w:w="15" w:type="dxa"/>
            </w:tcMar>
          </w:tcPr>
          <w:p w14:paraId="64376D89" w14:textId="77777777" w:rsidR="00D210F0" w:rsidRPr="00092ED7" w:rsidRDefault="00A96FED" w:rsidP="0032051C">
            <w:pPr>
              <w:spacing w:after="0" w:line="235" w:lineRule="auto"/>
              <w:ind w:right="210"/>
              <w:rPr>
                <w:rFonts w:cs="Times New Roman"/>
                <w:sz w:val="20"/>
                <w:szCs w:val="20"/>
                <w:lang w:val="sr-Cyrl-CS"/>
              </w:rPr>
            </w:pPr>
            <w:r w:rsidRPr="00092ED7">
              <w:rPr>
                <w:rFonts w:cs="Times New Roman"/>
                <w:sz w:val="20"/>
                <w:szCs w:val="20"/>
                <w:lang w:val="sr-Cyrl-CS"/>
              </w:rPr>
              <w:t>Усвајање закона и подзаконских аката у областима органске производње, шема квалитета за пољопривредне и прехрамбене производе; усвајање подзаконских аката на основу Закона о уређењу тржишта пољопривредних производа</w:t>
            </w:r>
          </w:p>
        </w:tc>
        <w:tc>
          <w:tcPr>
            <w:tcW w:w="368"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D720C11"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B45C636"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ED1DDE3"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9"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439FFE4"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01AB108"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B066CA0"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082258B"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8"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BE72328"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D3C9151"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79FBDD1"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642029F"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9"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D6B65CD" w14:textId="77777777" w:rsidR="00D210F0" w:rsidRPr="00092ED7" w:rsidRDefault="00D210F0" w:rsidP="0032051C">
            <w:pPr>
              <w:spacing w:after="0" w:line="235" w:lineRule="auto"/>
              <w:rPr>
                <w:rFonts w:cs="Times New Roman"/>
                <w:color w:val="000000"/>
                <w:sz w:val="18"/>
                <w:szCs w:val="18"/>
                <w:highlight w:val="yellow"/>
                <w:lang w:val="sr-Cyrl-CS"/>
              </w:rPr>
            </w:pPr>
          </w:p>
        </w:tc>
      </w:tr>
      <w:tr w:rsidR="00D210F0" w:rsidRPr="00092ED7" w14:paraId="4052BFF8" w14:textId="77777777" w:rsidTr="006944C5">
        <w:trPr>
          <w:trHeight w:val="302"/>
        </w:trPr>
        <w:tc>
          <w:tcPr>
            <w:tcW w:w="42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1F1A991" w14:textId="77777777" w:rsidR="00D210F0" w:rsidRPr="00092ED7" w:rsidRDefault="00D210F0" w:rsidP="0032051C">
            <w:pPr>
              <w:spacing w:after="0" w:line="235" w:lineRule="auto"/>
              <w:jc w:val="center"/>
              <w:rPr>
                <w:rFonts w:cs="Times New Roman"/>
                <w:sz w:val="20"/>
                <w:szCs w:val="20"/>
                <w:lang w:val="sr-Cyrl-CS" w:eastAsia="sr-Cyrl-CS" w:bidi="sr-Cyrl-CS"/>
              </w:rPr>
            </w:pPr>
            <w:r w:rsidRPr="00092ED7">
              <w:rPr>
                <w:rFonts w:cs="Times New Roman"/>
                <w:sz w:val="20"/>
                <w:szCs w:val="20"/>
                <w:lang w:val="sr-Cyrl-CS"/>
              </w:rPr>
              <w:t>2.</w:t>
            </w:r>
          </w:p>
        </w:tc>
        <w:tc>
          <w:tcPr>
            <w:tcW w:w="4248" w:type="dxa"/>
            <w:tcBorders>
              <w:top w:val="nil"/>
              <w:left w:val="nil"/>
              <w:bottom w:val="single" w:sz="4" w:space="0" w:color="auto"/>
              <w:right w:val="nil"/>
            </w:tcBorders>
            <w:tcMar>
              <w:top w:w="15" w:type="dxa"/>
              <w:left w:w="15" w:type="dxa"/>
              <w:bottom w:w="0" w:type="dxa"/>
              <w:right w:w="15" w:type="dxa"/>
            </w:tcMar>
          </w:tcPr>
          <w:p w14:paraId="2F02CC7C" w14:textId="77777777" w:rsidR="00D210F0" w:rsidRPr="00092ED7" w:rsidRDefault="00D210F0" w:rsidP="0032051C">
            <w:pPr>
              <w:spacing w:after="0" w:line="235" w:lineRule="auto"/>
              <w:ind w:right="210"/>
              <w:rPr>
                <w:sz w:val="20"/>
                <w:szCs w:val="20"/>
                <w:lang w:val="sr-Cyrl-CS"/>
              </w:rPr>
            </w:pPr>
            <w:r w:rsidRPr="00092ED7">
              <w:rPr>
                <w:rFonts w:cs="Times New Roman"/>
                <w:sz w:val="20"/>
                <w:szCs w:val="20"/>
                <w:lang w:val="sr-Cyrl-CS"/>
              </w:rPr>
              <w:t>Спровођење јавног позива за  националну меру Унапређење руралне инфраструктуре (2023. година) и усвајање подзаконских аката (2024. година), објављивање и спровођење јавног позива за ИПАРД меру Инвестиције у руралну јавну инфраструктуру (2025. година)</w:t>
            </w:r>
          </w:p>
        </w:tc>
        <w:tc>
          <w:tcPr>
            <w:tcW w:w="368" w:type="dxa"/>
            <w:tcBorders>
              <w:top w:val="nil"/>
              <w:left w:val="single" w:sz="8" w:space="0" w:color="auto"/>
              <w:bottom w:val="single" w:sz="4" w:space="0" w:color="auto"/>
              <w:right w:val="single" w:sz="4" w:space="0" w:color="auto"/>
            </w:tcBorders>
            <w:tcMar>
              <w:top w:w="15" w:type="dxa"/>
              <w:left w:w="15" w:type="dxa"/>
              <w:bottom w:w="0" w:type="dxa"/>
              <w:right w:w="15" w:type="dxa"/>
            </w:tcMar>
          </w:tcPr>
          <w:p w14:paraId="196B7C5B"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tcMar>
              <w:top w:w="15" w:type="dxa"/>
              <w:left w:w="15" w:type="dxa"/>
              <w:bottom w:w="0" w:type="dxa"/>
              <w:right w:w="15" w:type="dxa"/>
            </w:tcMar>
          </w:tcPr>
          <w:p w14:paraId="4B8E683A"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141699D"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57D7F22"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tcMar>
              <w:top w:w="15" w:type="dxa"/>
              <w:left w:w="15" w:type="dxa"/>
              <w:bottom w:w="0" w:type="dxa"/>
              <w:right w:w="15" w:type="dxa"/>
            </w:tcMar>
          </w:tcPr>
          <w:p w14:paraId="2A82FFB0"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tcMar>
              <w:top w:w="15" w:type="dxa"/>
              <w:left w:w="15" w:type="dxa"/>
              <w:bottom w:w="0" w:type="dxa"/>
              <w:right w:w="15" w:type="dxa"/>
            </w:tcMar>
          </w:tcPr>
          <w:p w14:paraId="7E97CF96"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tcMar>
              <w:top w:w="15" w:type="dxa"/>
              <w:left w:w="15" w:type="dxa"/>
              <w:bottom w:w="0" w:type="dxa"/>
              <w:right w:w="15" w:type="dxa"/>
            </w:tcMar>
          </w:tcPr>
          <w:p w14:paraId="2103A6BA"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4200384"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tcMar>
              <w:top w:w="15" w:type="dxa"/>
              <w:left w:w="15" w:type="dxa"/>
              <w:bottom w:w="0" w:type="dxa"/>
              <w:right w:w="15" w:type="dxa"/>
            </w:tcMar>
          </w:tcPr>
          <w:p w14:paraId="7B339F8A"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tcMar>
              <w:top w:w="15" w:type="dxa"/>
              <w:left w:w="15" w:type="dxa"/>
              <w:bottom w:w="0" w:type="dxa"/>
              <w:right w:w="15" w:type="dxa"/>
            </w:tcMar>
          </w:tcPr>
          <w:p w14:paraId="067C6101"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CA21E2E"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26CBB1B" w14:textId="77777777" w:rsidR="00D210F0" w:rsidRPr="00092ED7" w:rsidRDefault="00D210F0" w:rsidP="0032051C">
            <w:pPr>
              <w:spacing w:after="0" w:line="235" w:lineRule="auto"/>
              <w:rPr>
                <w:rFonts w:cs="Times New Roman"/>
                <w:color w:val="000000"/>
                <w:sz w:val="18"/>
                <w:szCs w:val="18"/>
                <w:lang w:val="sr-Cyrl-CS"/>
              </w:rPr>
            </w:pPr>
          </w:p>
        </w:tc>
      </w:tr>
      <w:tr w:rsidR="00576076" w:rsidRPr="00092ED7" w14:paraId="62A97EAA" w14:textId="77777777" w:rsidTr="00CF5A5F">
        <w:trPr>
          <w:trHeight w:val="302"/>
        </w:trPr>
        <w:tc>
          <w:tcPr>
            <w:tcW w:w="4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419B59AC" w14:textId="77777777" w:rsidR="00D210F0" w:rsidRPr="00092ED7" w:rsidRDefault="00D210F0" w:rsidP="0032051C">
            <w:pPr>
              <w:spacing w:after="0" w:line="235" w:lineRule="auto"/>
              <w:jc w:val="center"/>
              <w:rPr>
                <w:rFonts w:cs="Times New Roman"/>
                <w:sz w:val="20"/>
                <w:szCs w:val="20"/>
                <w:lang w:val="sr-Cyrl-CS"/>
              </w:rPr>
            </w:pPr>
            <w:r w:rsidRPr="00092ED7">
              <w:rPr>
                <w:rFonts w:cs="Times New Roman"/>
                <w:sz w:val="20"/>
                <w:szCs w:val="20"/>
                <w:lang w:val="sr-Cyrl-CS"/>
              </w:rPr>
              <w:t>3.</w:t>
            </w:r>
          </w:p>
        </w:tc>
        <w:tc>
          <w:tcPr>
            <w:tcW w:w="424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FCBE762" w14:textId="1397137E" w:rsidR="00D210F0" w:rsidRPr="00092ED7" w:rsidRDefault="00A96FED" w:rsidP="0032051C">
            <w:pPr>
              <w:spacing w:after="0" w:line="235" w:lineRule="auto"/>
              <w:ind w:right="210"/>
              <w:rPr>
                <w:rFonts w:cs="Times New Roman"/>
                <w:color w:val="000000" w:themeColor="text1"/>
                <w:sz w:val="20"/>
                <w:szCs w:val="20"/>
                <w:lang w:val="sr-Cyrl-CS"/>
              </w:rPr>
            </w:pPr>
            <w:r w:rsidRPr="00092ED7">
              <w:rPr>
                <w:rFonts w:cs="Times New Roman"/>
                <w:sz w:val="20"/>
                <w:szCs w:val="20"/>
                <w:lang w:val="sr-Cyrl-CS"/>
              </w:rPr>
              <w:t xml:space="preserve">Припрема и усвајање </w:t>
            </w:r>
            <w:r w:rsidR="00D166B0" w:rsidRPr="00092ED7">
              <w:rPr>
                <w:rFonts w:cs="Times New Roman"/>
                <w:sz w:val="20"/>
                <w:szCs w:val="20"/>
                <w:lang w:val="sr-Cyrl-CS"/>
              </w:rPr>
              <w:t>з</w:t>
            </w:r>
            <w:r w:rsidRPr="00092ED7">
              <w:rPr>
                <w:rFonts w:cs="Times New Roman"/>
                <w:sz w:val="20"/>
                <w:szCs w:val="20"/>
                <w:lang w:val="sr-Cyrl-CS"/>
              </w:rPr>
              <w:t xml:space="preserve">акона о комасацији и </w:t>
            </w:r>
            <w:r w:rsidR="00D166B0" w:rsidRPr="00092ED7">
              <w:rPr>
                <w:rFonts w:cs="Times New Roman"/>
                <w:sz w:val="20"/>
                <w:szCs w:val="20"/>
                <w:lang w:val="sr-Cyrl-CS"/>
              </w:rPr>
              <w:t>з</w:t>
            </w:r>
            <w:r w:rsidRPr="00092ED7">
              <w:rPr>
                <w:rFonts w:cs="Times New Roman"/>
                <w:sz w:val="20"/>
                <w:szCs w:val="20"/>
                <w:lang w:val="sr-Cyrl-CS"/>
              </w:rPr>
              <w:t>акона о пољопривредном земљишту; доношење подзаконских аката у области комасације и вршења стручног надзора у поступцима комасације</w:t>
            </w:r>
            <w:r w:rsidRPr="00092ED7">
              <w:rPr>
                <w:rFonts w:cs="Times New Roman"/>
                <w:color w:val="000000" w:themeColor="text1"/>
                <w:sz w:val="20"/>
                <w:szCs w:val="20"/>
                <w:lang w:val="sr-Cyrl-CS"/>
              </w:rPr>
              <w:t xml:space="preserve"> и спровођење пилот комасација</w:t>
            </w:r>
          </w:p>
        </w:tc>
        <w:tc>
          <w:tcPr>
            <w:tcW w:w="368" w:type="dxa"/>
            <w:tcBorders>
              <w:top w:val="nil"/>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C789AE1"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9DA8261"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EC89881"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08F81D3"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C746A3F"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91CD0A0"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17C4685"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7AA1F3B"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47CD5C7"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42207BC"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88FAC57"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AD32E72" w14:textId="77777777" w:rsidR="00D210F0" w:rsidRPr="00092ED7" w:rsidRDefault="00D210F0" w:rsidP="0032051C">
            <w:pPr>
              <w:spacing w:after="0" w:line="235" w:lineRule="auto"/>
              <w:rPr>
                <w:rFonts w:cs="Times New Roman"/>
                <w:color w:val="000000"/>
                <w:sz w:val="18"/>
                <w:szCs w:val="18"/>
                <w:lang w:val="sr-Cyrl-CS"/>
              </w:rPr>
            </w:pPr>
          </w:p>
        </w:tc>
      </w:tr>
      <w:tr w:rsidR="00D210F0" w:rsidRPr="00092ED7" w14:paraId="2D7D441C" w14:textId="77777777" w:rsidTr="006944C5">
        <w:trPr>
          <w:trHeight w:val="302"/>
        </w:trPr>
        <w:tc>
          <w:tcPr>
            <w:tcW w:w="4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1B6D22E4" w14:textId="77777777" w:rsidR="00D210F0" w:rsidRPr="00092ED7" w:rsidRDefault="00D210F0" w:rsidP="0032051C">
            <w:pPr>
              <w:spacing w:after="0" w:line="235" w:lineRule="auto"/>
              <w:jc w:val="center"/>
              <w:rPr>
                <w:rFonts w:cs="Times New Roman"/>
                <w:sz w:val="20"/>
                <w:szCs w:val="20"/>
                <w:lang w:val="sr-Cyrl-CS"/>
              </w:rPr>
            </w:pPr>
            <w:r w:rsidRPr="00092ED7">
              <w:rPr>
                <w:rFonts w:cs="Times New Roman"/>
                <w:sz w:val="20"/>
                <w:szCs w:val="20"/>
                <w:lang w:val="sr-Cyrl-CS"/>
              </w:rPr>
              <w:t>4.</w:t>
            </w:r>
          </w:p>
        </w:tc>
        <w:tc>
          <w:tcPr>
            <w:tcW w:w="42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4E04438" w14:textId="77777777" w:rsidR="00D210F0" w:rsidRPr="00092ED7" w:rsidRDefault="00D210F0" w:rsidP="0032051C">
            <w:pPr>
              <w:spacing w:after="0" w:line="235" w:lineRule="auto"/>
              <w:ind w:right="210"/>
              <w:rPr>
                <w:sz w:val="20"/>
                <w:szCs w:val="20"/>
                <w:lang w:val="sr-Cyrl-CS"/>
              </w:rPr>
            </w:pPr>
            <w:r w:rsidRPr="00092ED7">
              <w:rPr>
                <w:rFonts w:cs="Times New Roman"/>
                <w:sz w:val="20"/>
                <w:szCs w:val="20"/>
                <w:lang w:val="sr-Cyrl-CS"/>
              </w:rPr>
              <w:t>Имплементација информационог система за подршку спровођења стручног надзора у спровођењу комасације - контролни модул и модул интеграције за повезивање са информационим системом катастра непокретности и обука запослених на спровођењу стручног надзора</w:t>
            </w: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6AA5E571"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9601CBA"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73B155C"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30AF6C20"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54D3CB49"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5C2A8A2E"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6703FEAB"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1F4DDEE8"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tcMar>
              <w:top w:w="15" w:type="dxa"/>
              <w:left w:w="15" w:type="dxa"/>
              <w:bottom w:w="0" w:type="dxa"/>
              <w:right w:w="15" w:type="dxa"/>
            </w:tcMar>
            <w:vAlign w:val="center"/>
          </w:tcPr>
          <w:p w14:paraId="096D3CA2"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tcMar>
              <w:top w:w="15" w:type="dxa"/>
              <w:left w:w="15" w:type="dxa"/>
              <w:bottom w:w="0" w:type="dxa"/>
              <w:right w:w="15" w:type="dxa"/>
            </w:tcMar>
            <w:vAlign w:val="center"/>
          </w:tcPr>
          <w:p w14:paraId="3EBBB7DE"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tcMar>
              <w:top w:w="15" w:type="dxa"/>
              <w:left w:w="15" w:type="dxa"/>
              <w:bottom w:w="0" w:type="dxa"/>
              <w:right w:w="15" w:type="dxa"/>
            </w:tcMar>
            <w:vAlign w:val="center"/>
          </w:tcPr>
          <w:p w14:paraId="42898F26"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324573EE" w14:textId="77777777" w:rsidR="00D210F0" w:rsidRPr="00092ED7" w:rsidRDefault="00D210F0" w:rsidP="0032051C">
            <w:pPr>
              <w:spacing w:after="0" w:line="235" w:lineRule="auto"/>
              <w:rPr>
                <w:rFonts w:cs="Times New Roman"/>
                <w:color w:val="000000"/>
                <w:sz w:val="18"/>
                <w:szCs w:val="18"/>
                <w:lang w:val="sr-Cyrl-CS"/>
              </w:rPr>
            </w:pPr>
          </w:p>
        </w:tc>
      </w:tr>
      <w:tr w:rsidR="00D210F0" w:rsidRPr="00092ED7" w14:paraId="68F08FA9" w14:textId="77777777" w:rsidTr="006944C5">
        <w:trPr>
          <w:trHeight w:val="302"/>
        </w:trPr>
        <w:tc>
          <w:tcPr>
            <w:tcW w:w="4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39AAA70F" w14:textId="77777777" w:rsidR="00D210F0" w:rsidRPr="00092ED7" w:rsidRDefault="00D210F0" w:rsidP="0032051C">
            <w:pPr>
              <w:spacing w:after="0" w:line="235" w:lineRule="auto"/>
              <w:jc w:val="center"/>
              <w:rPr>
                <w:rFonts w:cs="Times New Roman"/>
                <w:sz w:val="20"/>
                <w:szCs w:val="20"/>
                <w:lang w:val="sr-Cyrl-CS"/>
              </w:rPr>
            </w:pPr>
            <w:r w:rsidRPr="00092ED7">
              <w:rPr>
                <w:rFonts w:cs="Times New Roman"/>
                <w:sz w:val="20"/>
                <w:szCs w:val="20"/>
                <w:lang w:val="sr-Cyrl-CS"/>
              </w:rPr>
              <w:t>5.</w:t>
            </w:r>
          </w:p>
        </w:tc>
        <w:tc>
          <w:tcPr>
            <w:tcW w:w="42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2D7CFD3" w14:textId="77777777" w:rsidR="00D210F0" w:rsidRPr="00092ED7" w:rsidRDefault="00D210F0" w:rsidP="0032051C">
            <w:pPr>
              <w:spacing w:after="0" w:line="235" w:lineRule="auto"/>
              <w:ind w:right="210"/>
              <w:rPr>
                <w:sz w:val="20"/>
                <w:szCs w:val="20"/>
                <w:lang w:val="sr-Cyrl-CS"/>
              </w:rPr>
            </w:pPr>
            <w:r w:rsidRPr="00092ED7">
              <w:rPr>
                <w:rFonts w:eastAsia="Times New Roman" w:cs="Times New Roman"/>
                <w:sz w:val="20"/>
                <w:szCs w:val="20"/>
                <w:lang w:val="sr-Cyrl-CS"/>
              </w:rPr>
              <w:t>Јачање капацитета и обука запослених у Управи за аграрна плаћања</w:t>
            </w: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0C4CC8A4"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8BA0022"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12A42046"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3D76E416"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151904D9"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BDBBF09"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383CC40A"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0E399292"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51B8A3D5"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33721672"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3AD3D4C1"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6B95B293" w14:textId="77777777" w:rsidR="00D210F0" w:rsidRPr="00092ED7" w:rsidRDefault="00D210F0" w:rsidP="0032051C">
            <w:pPr>
              <w:spacing w:after="0" w:line="235" w:lineRule="auto"/>
              <w:rPr>
                <w:rFonts w:cs="Times New Roman"/>
                <w:color w:val="000000"/>
                <w:sz w:val="18"/>
                <w:szCs w:val="18"/>
                <w:lang w:val="sr-Cyrl-CS"/>
              </w:rPr>
            </w:pPr>
          </w:p>
        </w:tc>
      </w:tr>
      <w:tr w:rsidR="00D210F0" w:rsidRPr="00092ED7" w14:paraId="57C3A591" w14:textId="77777777" w:rsidTr="006944C5">
        <w:trPr>
          <w:trHeight w:val="302"/>
        </w:trPr>
        <w:tc>
          <w:tcPr>
            <w:tcW w:w="4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6FC433B6" w14:textId="77777777" w:rsidR="00D210F0" w:rsidRPr="00092ED7" w:rsidRDefault="00D210F0" w:rsidP="0032051C">
            <w:pPr>
              <w:spacing w:after="0" w:line="235" w:lineRule="auto"/>
              <w:jc w:val="center"/>
              <w:rPr>
                <w:rFonts w:cs="Times New Roman"/>
                <w:sz w:val="20"/>
                <w:szCs w:val="20"/>
                <w:lang w:val="sr-Cyrl-CS"/>
              </w:rPr>
            </w:pPr>
            <w:r w:rsidRPr="00092ED7">
              <w:rPr>
                <w:rFonts w:cs="Times New Roman"/>
                <w:sz w:val="20"/>
                <w:szCs w:val="20"/>
                <w:lang w:val="sr-Cyrl-CS"/>
              </w:rPr>
              <w:t>6.</w:t>
            </w:r>
          </w:p>
        </w:tc>
        <w:tc>
          <w:tcPr>
            <w:tcW w:w="42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5500CDD8" w14:textId="77777777" w:rsidR="00D210F0" w:rsidRPr="00092ED7" w:rsidRDefault="00D210F0" w:rsidP="0032051C">
            <w:pPr>
              <w:spacing w:after="0" w:line="235" w:lineRule="auto"/>
              <w:ind w:right="210"/>
              <w:rPr>
                <w:sz w:val="20"/>
                <w:szCs w:val="20"/>
                <w:lang w:val="sr-Cyrl-CS"/>
              </w:rPr>
            </w:pPr>
            <w:r w:rsidRPr="00092ED7">
              <w:rPr>
                <w:rFonts w:eastAsia="Times New Roman" w:cs="Times New Roman"/>
                <w:sz w:val="20"/>
                <w:szCs w:val="20"/>
                <w:lang w:val="sr-Cyrl-CS"/>
              </w:rPr>
              <w:t>Израда софтвера за базе РПГ и LPIS, повезивање са Регистром животиња и израда преосталих елемената IACS</w:t>
            </w: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1AE5B3B5"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92BF13B"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25D25368"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10D670B6"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0DAEA4E0"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FF7E609"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6440DE1B"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27958EF2"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2F99AB4A"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354CF366"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64226EC3"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18001F76" w14:textId="77777777" w:rsidR="00D210F0" w:rsidRPr="00092ED7" w:rsidRDefault="00D210F0" w:rsidP="0032051C">
            <w:pPr>
              <w:spacing w:after="0" w:line="235" w:lineRule="auto"/>
              <w:rPr>
                <w:rFonts w:cs="Times New Roman"/>
                <w:color w:val="000000"/>
                <w:sz w:val="18"/>
                <w:szCs w:val="18"/>
                <w:lang w:val="sr-Cyrl-CS"/>
              </w:rPr>
            </w:pPr>
          </w:p>
        </w:tc>
      </w:tr>
    </w:tbl>
    <w:p w14:paraId="07B39242" w14:textId="77777777" w:rsidR="00D210F0" w:rsidRPr="00092ED7" w:rsidRDefault="00D210F0" w:rsidP="0032051C">
      <w:pPr>
        <w:widowControl w:val="0"/>
        <w:numPr>
          <w:ilvl w:val="0"/>
          <w:numId w:val="36"/>
        </w:numPr>
        <w:spacing w:before="120" w:after="80"/>
        <w:rPr>
          <w:rFonts w:cs="Times New Roman"/>
          <w:b/>
          <w:bCs/>
          <w:szCs w:val="24"/>
          <w:lang w:val="sr-Cyrl-CS"/>
        </w:rPr>
      </w:pPr>
      <w:r w:rsidRPr="00092ED7">
        <w:rPr>
          <w:rFonts w:cs="Times New Roman"/>
          <w:b/>
          <w:bCs/>
          <w:szCs w:val="24"/>
          <w:lang w:val="sr-Cyrl-CS"/>
        </w:rPr>
        <w:t>Индикатори ризика</w:t>
      </w:r>
    </w:p>
    <w:tbl>
      <w:tblPr>
        <w:tblStyle w:val="TableGrid"/>
        <w:tblW w:w="9072" w:type="dxa"/>
        <w:tblInd w:w="-5" w:type="dxa"/>
        <w:tblLayout w:type="fixed"/>
        <w:tblLook w:val="04A0" w:firstRow="1" w:lastRow="0" w:firstColumn="1" w:lastColumn="0" w:noHBand="0" w:noVBand="1"/>
      </w:tblPr>
      <w:tblGrid>
        <w:gridCol w:w="3686"/>
        <w:gridCol w:w="1795"/>
        <w:gridCol w:w="1795"/>
        <w:gridCol w:w="1796"/>
      </w:tblGrid>
      <w:tr w:rsidR="00D210F0" w:rsidRPr="00092ED7" w14:paraId="2C3BEE4E" w14:textId="77777777" w:rsidTr="0032051C">
        <w:trPr>
          <w:cnfStyle w:val="100000000000" w:firstRow="1" w:lastRow="0" w:firstColumn="0" w:lastColumn="0" w:oddVBand="0" w:evenVBand="0" w:oddHBand="0" w:evenHBand="0" w:firstRowFirstColumn="0" w:firstRowLastColumn="0" w:lastRowFirstColumn="0" w:lastRowLastColumn="0"/>
        </w:trPr>
        <w:tc>
          <w:tcPr>
            <w:tcW w:w="3686" w:type="dxa"/>
            <w:tcBorders>
              <w:top w:val="single" w:sz="4" w:space="0" w:color="auto"/>
              <w:left w:val="single" w:sz="4" w:space="0" w:color="auto"/>
              <w:bottom w:val="single" w:sz="4" w:space="0" w:color="auto"/>
              <w:right w:val="single" w:sz="4" w:space="0" w:color="auto"/>
            </w:tcBorders>
          </w:tcPr>
          <w:p w14:paraId="0EFE94A5" w14:textId="77777777" w:rsidR="00D210F0" w:rsidRPr="00092ED7" w:rsidRDefault="00D210F0" w:rsidP="0032051C">
            <w:pPr>
              <w:spacing w:before="0" w:after="0" w:line="235" w:lineRule="auto"/>
              <w:ind w:left="113" w:right="113"/>
              <w:jc w:val="center"/>
              <w:rPr>
                <w:sz w:val="20"/>
                <w:lang w:val="sr-Cyrl-CS"/>
              </w:rPr>
            </w:pPr>
            <w:r w:rsidRPr="00092ED7">
              <w:rPr>
                <w:rFonts w:cs="Times New Roman"/>
                <w:sz w:val="20"/>
                <w:lang w:val="sr-Cyrl-CS"/>
              </w:rPr>
              <w:t>Показатељ</w:t>
            </w:r>
          </w:p>
        </w:tc>
        <w:tc>
          <w:tcPr>
            <w:tcW w:w="1795" w:type="dxa"/>
            <w:tcBorders>
              <w:top w:val="single" w:sz="4" w:space="0" w:color="auto"/>
              <w:left w:val="single" w:sz="4" w:space="0" w:color="auto"/>
              <w:bottom w:val="single" w:sz="4" w:space="0" w:color="auto"/>
              <w:right w:val="single" w:sz="4" w:space="0" w:color="auto"/>
            </w:tcBorders>
            <w:hideMark/>
          </w:tcPr>
          <w:p w14:paraId="579926ED" w14:textId="77777777" w:rsidR="00D210F0" w:rsidRPr="00092ED7" w:rsidRDefault="00D210F0" w:rsidP="0032051C">
            <w:pPr>
              <w:spacing w:before="0" w:after="0" w:line="235" w:lineRule="auto"/>
              <w:ind w:left="113" w:right="113"/>
              <w:jc w:val="center"/>
              <w:rPr>
                <w:rFonts w:cs="Times New Roman"/>
                <w:b w:val="0"/>
                <w:sz w:val="20"/>
                <w:lang w:val="sr-Cyrl-CS"/>
              </w:rPr>
            </w:pPr>
            <w:r w:rsidRPr="00092ED7">
              <w:rPr>
                <w:rFonts w:cs="Times New Roman"/>
                <w:sz w:val="20"/>
                <w:lang w:val="sr-Cyrl-CS"/>
              </w:rPr>
              <w:t>Почетна вредност (2019)</w:t>
            </w:r>
          </w:p>
        </w:tc>
        <w:tc>
          <w:tcPr>
            <w:tcW w:w="1795" w:type="dxa"/>
            <w:tcBorders>
              <w:top w:val="single" w:sz="4" w:space="0" w:color="auto"/>
              <w:left w:val="single" w:sz="4" w:space="0" w:color="auto"/>
              <w:bottom w:val="single" w:sz="4" w:space="0" w:color="auto"/>
              <w:right w:val="single" w:sz="4" w:space="0" w:color="auto"/>
            </w:tcBorders>
            <w:hideMark/>
          </w:tcPr>
          <w:p w14:paraId="297739A6" w14:textId="77777777" w:rsidR="00D210F0" w:rsidRPr="00092ED7" w:rsidRDefault="00D210F0" w:rsidP="0032051C">
            <w:pPr>
              <w:spacing w:before="0" w:after="0" w:line="235" w:lineRule="auto"/>
              <w:ind w:left="113" w:right="113"/>
              <w:jc w:val="center"/>
              <w:rPr>
                <w:rFonts w:cs="Times New Roman"/>
                <w:b w:val="0"/>
                <w:sz w:val="20"/>
                <w:lang w:val="sr-Cyrl-CS"/>
              </w:rPr>
            </w:pPr>
            <w:r w:rsidRPr="00092ED7">
              <w:rPr>
                <w:rFonts w:cs="Times New Roman"/>
                <w:sz w:val="20"/>
                <w:lang w:val="sr-Cyrl-CS"/>
              </w:rPr>
              <w:t>Међурезултат (2021)</w:t>
            </w:r>
          </w:p>
        </w:tc>
        <w:tc>
          <w:tcPr>
            <w:tcW w:w="1796" w:type="dxa"/>
            <w:tcBorders>
              <w:top w:val="single" w:sz="4" w:space="0" w:color="auto"/>
              <w:left w:val="single" w:sz="4" w:space="0" w:color="auto"/>
              <w:bottom w:val="single" w:sz="4" w:space="0" w:color="auto"/>
              <w:right w:val="single" w:sz="4" w:space="0" w:color="auto"/>
            </w:tcBorders>
            <w:hideMark/>
          </w:tcPr>
          <w:p w14:paraId="5DEB7031" w14:textId="77777777" w:rsidR="00D210F0" w:rsidRPr="00092ED7" w:rsidRDefault="00D210F0" w:rsidP="0032051C">
            <w:pPr>
              <w:spacing w:before="0" w:after="0" w:line="235" w:lineRule="auto"/>
              <w:ind w:left="113" w:right="113"/>
              <w:jc w:val="center"/>
              <w:rPr>
                <w:rFonts w:cs="Times New Roman"/>
                <w:b w:val="0"/>
                <w:sz w:val="20"/>
                <w:lang w:val="sr-Cyrl-CS"/>
              </w:rPr>
            </w:pPr>
            <w:r w:rsidRPr="00092ED7">
              <w:rPr>
                <w:rFonts w:cs="Times New Roman"/>
                <w:sz w:val="20"/>
                <w:lang w:val="sr-Cyrl-CS"/>
              </w:rPr>
              <w:t>Циљна вредност (2024)</w:t>
            </w:r>
          </w:p>
        </w:tc>
      </w:tr>
      <w:tr w:rsidR="00D210F0" w:rsidRPr="00092ED7" w14:paraId="177A7506" w14:textId="77777777" w:rsidTr="0032051C">
        <w:tc>
          <w:tcPr>
            <w:tcW w:w="3686" w:type="dxa"/>
            <w:tcBorders>
              <w:top w:val="single" w:sz="4" w:space="0" w:color="auto"/>
              <w:left w:val="single" w:sz="4" w:space="0" w:color="auto"/>
              <w:bottom w:val="single" w:sz="4" w:space="0" w:color="auto"/>
              <w:right w:val="single" w:sz="4" w:space="0" w:color="auto"/>
            </w:tcBorders>
            <w:hideMark/>
          </w:tcPr>
          <w:p w14:paraId="1231EC66" w14:textId="77777777" w:rsidR="00D210F0" w:rsidRPr="00092ED7" w:rsidRDefault="00D210F0" w:rsidP="0032051C">
            <w:pPr>
              <w:spacing w:before="0" w:after="0" w:line="235" w:lineRule="auto"/>
              <w:ind w:left="113" w:right="113"/>
              <w:jc w:val="left"/>
              <w:rPr>
                <w:sz w:val="20"/>
                <w:lang w:val="sr-Cyrl-CS"/>
              </w:rPr>
            </w:pPr>
            <w:r w:rsidRPr="00092ED7">
              <w:rPr>
                <w:rFonts w:cs="Times New Roman"/>
                <w:sz w:val="20"/>
                <w:lang w:val="sr-Cyrl-CS"/>
              </w:rPr>
              <w:t>БДВ пољопривреде, у милијардама евра</w:t>
            </w:r>
          </w:p>
        </w:tc>
        <w:tc>
          <w:tcPr>
            <w:tcW w:w="1795" w:type="dxa"/>
            <w:tcBorders>
              <w:top w:val="single" w:sz="4" w:space="0" w:color="auto"/>
              <w:left w:val="single" w:sz="4" w:space="0" w:color="auto"/>
              <w:bottom w:val="single" w:sz="4" w:space="0" w:color="auto"/>
              <w:right w:val="single" w:sz="4" w:space="0" w:color="auto"/>
            </w:tcBorders>
            <w:hideMark/>
          </w:tcPr>
          <w:p w14:paraId="2046B22A" w14:textId="77777777" w:rsidR="00D210F0" w:rsidRPr="00092ED7" w:rsidRDefault="00D210F0" w:rsidP="0032051C">
            <w:pPr>
              <w:spacing w:before="0" w:after="0" w:line="235" w:lineRule="auto"/>
              <w:ind w:left="113" w:right="113"/>
              <w:jc w:val="center"/>
              <w:rPr>
                <w:rFonts w:cs="Times New Roman"/>
                <w:sz w:val="20"/>
                <w:lang w:val="sr-Cyrl-CS"/>
              </w:rPr>
            </w:pPr>
            <w:r w:rsidRPr="00092ED7">
              <w:rPr>
                <w:rFonts w:cs="Times New Roman"/>
                <w:sz w:val="20"/>
                <w:lang w:val="sr-Cyrl-CS"/>
              </w:rPr>
              <w:t>2,7</w:t>
            </w:r>
          </w:p>
        </w:tc>
        <w:tc>
          <w:tcPr>
            <w:tcW w:w="1795" w:type="dxa"/>
            <w:tcBorders>
              <w:top w:val="single" w:sz="4" w:space="0" w:color="auto"/>
              <w:left w:val="single" w:sz="4" w:space="0" w:color="auto"/>
              <w:bottom w:val="single" w:sz="4" w:space="0" w:color="auto"/>
              <w:right w:val="single" w:sz="4" w:space="0" w:color="auto"/>
            </w:tcBorders>
            <w:hideMark/>
          </w:tcPr>
          <w:p w14:paraId="532DB612" w14:textId="77777777" w:rsidR="00D210F0" w:rsidRPr="00092ED7" w:rsidRDefault="00D210F0" w:rsidP="0032051C">
            <w:pPr>
              <w:spacing w:before="0" w:after="0" w:line="235" w:lineRule="auto"/>
              <w:ind w:left="113" w:right="113"/>
              <w:jc w:val="center"/>
              <w:rPr>
                <w:rFonts w:cs="Times New Roman"/>
                <w:sz w:val="20"/>
                <w:lang w:val="sr-Cyrl-CS"/>
              </w:rPr>
            </w:pPr>
            <w:r w:rsidRPr="00092ED7">
              <w:rPr>
                <w:rFonts w:cs="Times New Roman"/>
                <w:sz w:val="20"/>
                <w:lang w:val="sr-Cyrl-CS"/>
              </w:rPr>
              <w:t>3,4</w:t>
            </w:r>
          </w:p>
        </w:tc>
        <w:tc>
          <w:tcPr>
            <w:tcW w:w="1796" w:type="dxa"/>
            <w:tcBorders>
              <w:top w:val="single" w:sz="4" w:space="0" w:color="auto"/>
              <w:left w:val="single" w:sz="4" w:space="0" w:color="auto"/>
              <w:bottom w:val="single" w:sz="4" w:space="0" w:color="auto"/>
              <w:right w:val="single" w:sz="4" w:space="0" w:color="auto"/>
            </w:tcBorders>
            <w:hideMark/>
          </w:tcPr>
          <w:p w14:paraId="1BAEAEF4" w14:textId="77777777" w:rsidR="00D210F0" w:rsidRPr="00092ED7" w:rsidRDefault="00D210F0" w:rsidP="0032051C">
            <w:pPr>
              <w:spacing w:before="0" w:after="0" w:line="235" w:lineRule="auto"/>
              <w:ind w:left="113" w:right="113"/>
              <w:jc w:val="center"/>
              <w:rPr>
                <w:rFonts w:cs="Times New Roman"/>
                <w:sz w:val="20"/>
                <w:lang w:val="sr-Cyrl-CS"/>
              </w:rPr>
            </w:pPr>
            <w:r w:rsidRPr="00092ED7">
              <w:rPr>
                <w:rFonts w:cs="Times New Roman"/>
                <w:sz w:val="20"/>
                <w:lang w:val="sr-Cyrl-CS"/>
              </w:rPr>
              <w:t>3,8</w:t>
            </w:r>
          </w:p>
        </w:tc>
      </w:tr>
      <w:tr w:rsidR="00D210F0" w:rsidRPr="00092ED7" w14:paraId="6EA74523" w14:textId="77777777" w:rsidTr="0032051C">
        <w:tc>
          <w:tcPr>
            <w:tcW w:w="3686" w:type="dxa"/>
            <w:tcBorders>
              <w:top w:val="single" w:sz="4" w:space="0" w:color="auto"/>
              <w:left w:val="single" w:sz="4" w:space="0" w:color="auto"/>
              <w:bottom w:val="single" w:sz="4" w:space="0" w:color="auto"/>
              <w:right w:val="single" w:sz="4" w:space="0" w:color="auto"/>
            </w:tcBorders>
            <w:hideMark/>
          </w:tcPr>
          <w:p w14:paraId="4FE82B5D" w14:textId="7A5B37B4" w:rsidR="00D210F0" w:rsidRPr="00092ED7" w:rsidRDefault="00D210F0" w:rsidP="0032051C">
            <w:pPr>
              <w:spacing w:before="0" w:after="0" w:line="235" w:lineRule="auto"/>
              <w:ind w:left="113" w:right="113"/>
              <w:jc w:val="left"/>
              <w:rPr>
                <w:sz w:val="20"/>
                <w:lang w:val="sr-Cyrl-CS"/>
              </w:rPr>
            </w:pPr>
            <w:r w:rsidRPr="00092ED7">
              <w:rPr>
                <w:rFonts w:cs="Times New Roman"/>
                <w:sz w:val="20"/>
                <w:lang w:val="sr-Cyrl-CS"/>
              </w:rPr>
              <w:t xml:space="preserve">Учешће </w:t>
            </w:r>
            <w:r w:rsidR="00A96FED" w:rsidRPr="00092ED7">
              <w:rPr>
                <w:rFonts w:cs="Times New Roman"/>
                <w:sz w:val="20"/>
                <w:lang w:val="sr-Cyrl-CS"/>
              </w:rPr>
              <w:t xml:space="preserve">вредности </w:t>
            </w:r>
            <w:r w:rsidRPr="00092ED7">
              <w:rPr>
                <w:rFonts w:cs="Times New Roman"/>
                <w:sz w:val="20"/>
                <w:lang w:val="sr-Cyrl-CS"/>
              </w:rPr>
              <w:t xml:space="preserve">пољопривредно-прехрамбених производа у </w:t>
            </w:r>
            <w:r w:rsidR="00A96FED" w:rsidRPr="00092ED7">
              <w:rPr>
                <w:rFonts w:cs="Times New Roman"/>
                <w:sz w:val="20"/>
                <w:lang w:val="sr-Cyrl-CS"/>
              </w:rPr>
              <w:t>вредности укупног извоза</w:t>
            </w:r>
          </w:p>
        </w:tc>
        <w:tc>
          <w:tcPr>
            <w:tcW w:w="1795" w:type="dxa"/>
            <w:tcBorders>
              <w:top w:val="single" w:sz="4" w:space="0" w:color="auto"/>
              <w:left w:val="single" w:sz="4" w:space="0" w:color="auto"/>
              <w:bottom w:val="single" w:sz="4" w:space="0" w:color="auto"/>
              <w:right w:val="single" w:sz="4" w:space="0" w:color="auto"/>
            </w:tcBorders>
            <w:hideMark/>
          </w:tcPr>
          <w:p w14:paraId="18D473DE" w14:textId="77777777" w:rsidR="00D210F0" w:rsidRPr="00092ED7" w:rsidRDefault="00D210F0" w:rsidP="0032051C">
            <w:pPr>
              <w:spacing w:before="0" w:after="0" w:line="235" w:lineRule="auto"/>
              <w:ind w:left="113" w:right="113"/>
              <w:jc w:val="center"/>
              <w:rPr>
                <w:rFonts w:cs="Times New Roman"/>
                <w:sz w:val="20"/>
                <w:lang w:val="sr-Cyrl-CS"/>
              </w:rPr>
            </w:pPr>
            <w:r w:rsidRPr="00092ED7">
              <w:rPr>
                <w:rFonts w:cs="Times New Roman"/>
                <w:sz w:val="20"/>
                <w:lang w:val="sr-Cyrl-CS"/>
              </w:rPr>
              <w:t>18,5%</w:t>
            </w:r>
          </w:p>
        </w:tc>
        <w:tc>
          <w:tcPr>
            <w:tcW w:w="1795" w:type="dxa"/>
            <w:tcBorders>
              <w:top w:val="single" w:sz="4" w:space="0" w:color="auto"/>
              <w:left w:val="single" w:sz="4" w:space="0" w:color="auto"/>
              <w:bottom w:val="single" w:sz="4" w:space="0" w:color="auto"/>
              <w:right w:val="single" w:sz="4" w:space="0" w:color="auto"/>
            </w:tcBorders>
            <w:hideMark/>
          </w:tcPr>
          <w:p w14:paraId="296DC066" w14:textId="77777777" w:rsidR="00D210F0" w:rsidRPr="00092ED7" w:rsidRDefault="00D210F0" w:rsidP="0032051C">
            <w:pPr>
              <w:spacing w:before="0" w:after="0" w:line="235" w:lineRule="auto"/>
              <w:ind w:left="113" w:right="113"/>
              <w:jc w:val="center"/>
              <w:rPr>
                <w:rFonts w:cs="Times New Roman"/>
                <w:sz w:val="20"/>
                <w:lang w:val="sr-Cyrl-CS"/>
              </w:rPr>
            </w:pPr>
            <w:r w:rsidRPr="00092ED7">
              <w:rPr>
                <w:rFonts w:cs="Times New Roman"/>
                <w:sz w:val="20"/>
                <w:lang w:val="sr-Cyrl-CS"/>
              </w:rPr>
              <w:t xml:space="preserve">19,4% </w:t>
            </w:r>
          </w:p>
        </w:tc>
        <w:tc>
          <w:tcPr>
            <w:tcW w:w="1796" w:type="dxa"/>
            <w:tcBorders>
              <w:top w:val="single" w:sz="4" w:space="0" w:color="auto"/>
              <w:left w:val="single" w:sz="4" w:space="0" w:color="auto"/>
              <w:bottom w:val="single" w:sz="4" w:space="0" w:color="auto"/>
              <w:right w:val="single" w:sz="4" w:space="0" w:color="auto"/>
            </w:tcBorders>
            <w:hideMark/>
          </w:tcPr>
          <w:p w14:paraId="727ADE18" w14:textId="77777777" w:rsidR="00D210F0" w:rsidRPr="00092ED7" w:rsidRDefault="00D210F0" w:rsidP="0032051C">
            <w:pPr>
              <w:spacing w:before="0" w:after="0" w:line="235" w:lineRule="auto"/>
              <w:ind w:left="113" w:right="113"/>
              <w:jc w:val="center"/>
              <w:rPr>
                <w:rFonts w:cs="Times New Roman"/>
                <w:sz w:val="20"/>
                <w:lang w:val="sr-Cyrl-CS"/>
              </w:rPr>
            </w:pPr>
            <w:r w:rsidRPr="00092ED7">
              <w:rPr>
                <w:rFonts w:cs="Times New Roman"/>
                <w:sz w:val="20"/>
                <w:lang w:val="sr-Cyrl-CS"/>
              </w:rPr>
              <w:t>19%</w:t>
            </w:r>
          </w:p>
        </w:tc>
      </w:tr>
    </w:tbl>
    <w:p w14:paraId="22144AD3" w14:textId="77777777" w:rsidR="00D210F0" w:rsidRPr="00092ED7" w:rsidRDefault="00D210F0" w:rsidP="0032051C">
      <w:pPr>
        <w:widowControl w:val="0"/>
        <w:numPr>
          <w:ilvl w:val="0"/>
          <w:numId w:val="36"/>
        </w:numPr>
        <w:spacing w:before="120" w:after="80"/>
        <w:rPr>
          <w:rFonts w:cs="Times New Roman"/>
          <w:b/>
          <w:bCs/>
          <w:szCs w:val="24"/>
          <w:lang w:val="sr-Cyrl-CS"/>
        </w:rPr>
      </w:pPr>
      <w:r w:rsidRPr="00092ED7">
        <w:rPr>
          <w:b/>
          <w:szCs w:val="24"/>
          <w:lang w:val="sr-Cyrl-CS"/>
        </w:rPr>
        <w:t>Oчекивани утицај на конкурентност</w:t>
      </w:r>
    </w:p>
    <w:p w14:paraId="7F8744E9" w14:textId="77777777" w:rsidR="00D210F0" w:rsidRPr="00092ED7" w:rsidRDefault="00D210F0" w:rsidP="00A332FD">
      <w:pPr>
        <w:spacing w:after="60"/>
        <w:rPr>
          <w:rFonts w:eastAsia="Times New Roman" w:cs="Times New Roman"/>
          <w:szCs w:val="24"/>
          <w:lang w:val="sr-Cyrl-CS"/>
        </w:rPr>
      </w:pPr>
      <w:r w:rsidRPr="00092ED7">
        <w:rPr>
          <w:rFonts w:eastAsia="Times New Roman" w:cs="Times New Roman"/>
          <w:spacing w:val="-5"/>
          <w:szCs w:val="24"/>
          <w:lang w:val="sr-Cyrl-CS"/>
        </w:rPr>
        <w:t xml:space="preserve">Како </w:t>
      </w:r>
      <w:r w:rsidRPr="00092ED7">
        <w:rPr>
          <w:rFonts w:eastAsia="Times New Roman" w:cs="Times New Roman"/>
          <w:szCs w:val="24"/>
          <w:lang w:val="sr-Cyrl-CS"/>
        </w:rPr>
        <w:t xml:space="preserve">би се спровеле инвестиције </w:t>
      </w:r>
      <w:r w:rsidRPr="00092ED7">
        <w:rPr>
          <w:rFonts w:eastAsia="Times New Roman" w:cs="Times New Roman"/>
          <w:spacing w:val="-4"/>
          <w:szCs w:val="24"/>
          <w:lang w:val="sr-Cyrl-CS"/>
        </w:rPr>
        <w:t xml:space="preserve">које </w:t>
      </w:r>
      <w:r w:rsidRPr="00092ED7">
        <w:rPr>
          <w:rFonts w:eastAsia="Times New Roman" w:cs="Times New Roman"/>
          <w:szCs w:val="24"/>
          <w:lang w:val="sr-Cyrl-CS"/>
        </w:rPr>
        <w:t xml:space="preserve">доприносе развоју конкурентности у руралним подручјима, потребно је обезбедити одговарајућу инфраструктуру </w:t>
      </w:r>
      <w:r w:rsidRPr="00092ED7">
        <w:rPr>
          <w:rFonts w:eastAsia="Times New Roman" w:cs="Times New Roman"/>
          <w:spacing w:val="-4"/>
          <w:szCs w:val="24"/>
          <w:lang w:val="sr-Cyrl-CS"/>
        </w:rPr>
        <w:t xml:space="preserve">која </w:t>
      </w:r>
      <w:r w:rsidRPr="00092ED7">
        <w:rPr>
          <w:rFonts w:eastAsia="Times New Roman" w:cs="Times New Roman"/>
          <w:szCs w:val="24"/>
          <w:lang w:val="sr-Cyrl-CS"/>
        </w:rPr>
        <w:t>ће допринети квантитативном</w:t>
      </w:r>
      <w:r w:rsidRPr="00092ED7">
        <w:rPr>
          <w:rFonts w:eastAsia="Times New Roman" w:cs="Times New Roman"/>
          <w:spacing w:val="-9"/>
          <w:szCs w:val="24"/>
          <w:lang w:val="sr-Cyrl-CS"/>
        </w:rPr>
        <w:t xml:space="preserve"> </w:t>
      </w:r>
      <w:r w:rsidRPr="00092ED7">
        <w:rPr>
          <w:rFonts w:eastAsia="Times New Roman" w:cs="Times New Roman"/>
          <w:szCs w:val="24"/>
          <w:lang w:val="sr-Cyrl-CS"/>
        </w:rPr>
        <w:t>и</w:t>
      </w:r>
      <w:r w:rsidRPr="00092ED7">
        <w:rPr>
          <w:rFonts w:eastAsia="Times New Roman" w:cs="Times New Roman"/>
          <w:spacing w:val="-8"/>
          <w:szCs w:val="24"/>
          <w:lang w:val="sr-Cyrl-CS"/>
        </w:rPr>
        <w:t xml:space="preserve"> </w:t>
      </w:r>
      <w:r w:rsidRPr="00092ED7">
        <w:rPr>
          <w:rFonts w:eastAsia="Times New Roman" w:cs="Times New Roman"/>
          <w:szCs w:val="24"/>
          <w:lang w:val="sr-Cyrl-CS"/>
        </w:rPr>
        <w:t>квалитативном</w:t>
      </w:r>
      <w:r w:rsidRPr="00092ED7">
        <w:rPr>
          <w:rFonts w:eastAsia="Times New Roman" w:cs="Times New Roman"/>
          <w:spacing w:val="-9"/>
          <w:szCs w:val="24"/>
          <w:lang w:val="sr-Cyrl-CS"/>
        </w:rPr>
        <w:t xml:space="preserve"> </w:t>
      </w:r>
      <w:r w:rsidRPr="00092ED7">
        <w:rPr>
          <w:rFonts w:eastAsia="Times New Roman" w:cs="Times New Roman"/>
          <w:szCs w:val="24"/>
          <w:lang w:val="sr-Cyrl-CS"/>
        </w:rPr>
        <w:t>развоју</w:t>
      </w:r>
      <w:r w:rsidRPr="00092ED7">
        <w:rPr>
          <w:rFonts w:eastAsia="Times New Roman" w:cs="Times New Roman"/>
          <w:spacing w:val="-9"/>
          <w:szCs w:val="24"/>
          <w:lang w:val="sr-Cyrl-CS"/>
        </w:rPr>
        <w:t xml:space="preserve"> </w:t>
      </w:r>
      <w:r w:rsidRPr="00092ED7">
        <w:rPr>
          <w:rFonts w:eastAsia="Times New Roman" w:cs="Times New Roman"/>
          <w:szCs w:val="24"/>
          <w:lang w:val="sr-Cyrl-CS"/>
        </w:rPr>
        <w:t>прерадних</w:t>
      </w:r>
      <w:r w:rsidRPr="00092ED7">
        <w:rPr>
          <w:rFonts w:eastAsia="Times New Roman" w:cs="Times New Roman"/>
          <w:spacing w:val="-9"/>
          <w:szCs w:val="24"/>
          <w:lang w:val="sr-Cyrl-CS"/>
        </w:rPr>
        <w:t xml:space="preserve"> </w:t>
      </w:r>
      <w:r w:rsidRPr="00092ED7">
        <w:rPr>
          <w:rFonts w:eastAsia="Times New Roman" w:cs="Times New Roman"/>
          <w:szCs w:val="24"/>
          <w:lang w:val="sr-Cyrl-CS"/>
        </w:rPr>
        <w:t>погона</w:t>
      </w:r>
      <w:r w:rsidRPr="00092ED7">
        <w:rPr>
          <w:rFonts w:eastAsia="Times New Roman" w:cs="Times New Roman"/>
          <w:spacing w:val="-9"/>
          <w:szCs w:val="24"/>
          <w:lang w:val="sr-Cyrl-CS"/>
        </w:rPr>
        <w:t xml:space="preserve"> </w:t>
      </w:r>
      <w:r w:rsidRPr="00092ED7">
        <w:rPr>
          <w:rFonts w:eastAsia="Times New Roman" w:cs="Times New Roman"/>
          <w:szCs w:val="24"/>
          <w:lang w:val="sr-Cyrl-CS"/>
        </w:rPr>
        <w:t>и</w:t>
      </w:r>
      <w:r w:rsidRPr="00092ED7">
        <w:rPr>
          <w:rFonts w:eastAsia="Times New Roman" w:cs="Times New Roman"/>
          <w:spacing w:val="-8"/>
          <w:szCs w:val="24"/>
          <w:lang w:val="sr-Cyrl-CS"/>
        </w:rPr>
        <w:t xml:space="preserve"> </w:t>
      </w:r>
      <w:r w:rsidRPr="00092ED7">
        <w:rPr>
          <w:rFonts w:eastAsia="Times New Roman" w:cs="Times New Roman"/>
          <w:spacing w:val="-4"/>
          <w:szCs w:val="24"/>
          <w:lang w:val="sr-Cyrl-CS"/>
        </w:rPr>
        <w:t>која</w:t>
      </w:r>
      <w:r w:rsidRPr="00092ED7">
        <w:rPr>
          <w:rFonts w:eastAsia="Times New Roman" w:cs="Times New Roman"/>
          <w:spacing w:val="-9"/>
          <w:szCs w:val="24"/>
          <w:lang w:val="sr-Cyrl-CS"/>
        </w:rPr>
        <w:t xml:space="preserve"> </w:t>
      </w:r>
      <w:r w:rsidRPr="00092ED7">
        <w:rPr>
          <w:rFonts w:eastAsia="Times New Roman" w:cs="Times New Roman"/>
          <w:szCs w:val="24"/>
          <w:lang w:val="sr-Cyrl-CS"/>
        </w:rPr>
        <w:t>омогућава</w:t>
      </w:r>
      <w:r w:rsidRPr="00092ED7">
        <w:rPr>
          <w:rFonts w:eastAsia="Times New Roman" w:cs="Times New Roman"/>
          <w:spacing w:val="-9"/>
          <w:szCs w:val="24"/>
          <w:lang w:val="sr-Cyrl-CS"/>
        </w:rPr>
        <w:t xml:space="preserve"> </w:t>
      </w:r>
      <w:r w:rsidRPr="00092ED7">
        <w:rPr>
          <w:rFonts w:eastAsia="Times New Roman" w:cs="Times New Roman"/>
          <w:szCs w:val="24"/>
          <w:lang w:val="sr-Cyrl-CS"/>
        </w:rPr>
        <w:t>изградњу</w:t>
      </w:r>
      <w:r w:rsidRPr="00092ED7">
        <w:rPr>
          <w:rFonts w:eastAsia="Times New Roman" w:cs="Times New Roman"/>
          <w:spacing w:val="-9"/>
          <w:szCs w:val="24"/>
          <w:lang w:val="sr-Cyrl-CS"/>
        </w:rPr>
        <w:t xml:space="preserve"> </w:t>
      </w:r>
      <w:r w:rsidRPr="00092ED7">
        <w:rPr>
          <w:rFonts w:eastAsia="Times New Roman" w:cs="Times New Roman"/>
          <w:szCs w:val="24"/>
          <w:lang w:val="sr-Cyrl-CS"/>
        </w:rPr>
        <w:t xml:space="preserve">нових складишних и прерадних капацитета. Развијање шема квалитета за пољопривредне и прехрамбене производе ће омогућити произвођачима да своје производе са заштићеним ознакама географског порекла заштите и на </w:t>
      </w:r>
      <w:r w:rsidRPr="00092ED7">
        <w:rPr>
          <w:rFonts w:eastAsia="Times New Roman" w:cs="Times New Roman"/>
          <w:spacing w:val="-3"/>
          <w:szCs w:val="24"/>
          <w:lang w:val="sr-Cyrl-CS"/>
        </w:rPr>
        <w:t xml:space="preserve">нивоу </w:t>
      </w:r>
      <w:r w:rsidRPr="00092ED7">
        <w:rPr>
          <w:rFonts w:eastAsia="Times New Roman" w:cs="Times New Roman"/>
          <w:spacing w:val="-14"/>
          <w:szCs w:val="24"/>
          <w:lang w:val="sr-Cyrl-CS"/>
        </w:rPr>
        <w:t xml:space="preserve">ЕУ. </w:t>
      </w:r>
      <w:r w:rsidRPr="00092ED7">
        <w:rPr>
          <w:rFonts w:eastAsia="Times New Roman" w:cs="Times New Roman"/>
          <w:szCs w:val="24"/>
          <w:lang w:val="sr-Cyrl-CS"/>
        </w:rPr>
        <w:t xml:space="preserve">Поред препознатљивости, производи ће бити стандардизовани и ценовно конкурентни. </w:t>
      </w:r>
      <w:r w:rsidRPr="00092ED7">
        <w:rPr>
          <w:rFonts w:eastAsia="Times New Roman" w:cs="Times New Roman"/>
          <w:spacing w:val="-3"/>
          <w:szCs w:val="24"/>
          <w:lang w:val="sr-Cyrl-CS"/>
        </w:rPr>
        <w:t xml:space="preserve">Такође, </w:t>
      </w:r>
      <w:r w:rsidRPr="00092ED7">
        <w:rPr>
          <w:rFonts w:eastAsia="Times New Roman" w:cs="Times New Roman"/>
          <w:szCs w:val="24"/>
          <w:lang w:val="sr-Cyrl-CS"/>
        </w:rPr>
        <w:t>увођење међународних стандарда</w:t>
      </w:r>
      <w:r w:rsidRPr="00092ED7">
        <w:rPr>
          <w:rFonts w:eastAsia="Times New Roman" w:cs="Times New Roman"/>
          <w:spacing w:val="-15"/>
          <w:szCs w:val="24"/>
          <w:lang w:val="sr-Cyrl-CS"/>
        </w:rPr>
        <w:t xml:space="preserve"> </w:t>
      </w:r>
      <w:r w:rsidRPr="00092ED7">
        <w:rPr>
          <w:rFonts w:eastAsia="Times New Roman" w:cs="Times New Roman"/>
          <w:szCs w:val="24"/>
          <w:lang w:val="sr-Cyrl-CS"/>
        </w:rPr>
        <w:t>у</w:t>
      </w:r>
      <w:r w:rsidRPr="00092ED7">
        <w:rPr>
          <w:rFonts w:eastAsia="Times New Roman" w:cs="Times New Roman"/>
          <w:spacing w:val="-15"/>
          <w:szCs w:val="24"/>
          <w:lang w:val="sr-Cyrl-CS"/>
        </w:rPr>
        <w:t xml:space="preserve"> </w:t>
      </w:r>
      <w:r w:rsidRPr="00092ED7">
        <w:rPr>
          <w:rFonts w:eastAsia="Times New Roman" w:cs="Times New Roman"/>
          <w:szCs w:val="24"/>
          <w:lang w:val="sr-Cyrl-CS"/>
        </w:rPr>
        <w:t>органску</w:t>
      </w:r>
      <w:r w:rsidRPr="00092ED7">
        <w:rPr>
          <w:rFonts w:eastAsia="Times New Roman" w:cs="Times New Roman"/>
          <w:spacing w:val="-15"/>
          <w:szCs w:val="24"/>
          <w:lang w:val="sr-Cyrl-CS"/>
        </w:rPr>
        <w:t xml:space="preserve"> </w:t>
      </w:r>
      <w:r w:rsidRPr="00092ED7">
        <w:rPr>
          <w:rFonts w:eastAsia="Times New Roman" w:cs="Times New Roman"/>
          <w:szCs w:val="24"/>
          <w:lang w:val="sr-Cyrl-CS"/>
        </w:rPr>
        <w:t>производњу</w:t>
      </w:r>
      <w:r w:rsidRPr="00092ED7">
        <w:rPr>
          <w:rFonts w:eastAsia="Times New Roman" w:cs="Times New Roman"/>
          <w:spacing w:val="-15"/>
          <w:szCs w:val="24"/>
          <w:lang w:val="sr-Cyrl-CS"/>
        </w:rPr>
        <w:t xml:space="preserve"> </w:t>
      </w:r>
      <w:r w:rsidRPr="00092ED7">
        <w:rPr>
          <w:rFonts w:eastAsia="Times New Roman" w:cs="Times New Roman"/>
          <w:szCs w:val="24"/>
          <w:lang w:val="sr-Cyrl-CS"/>
        </w:rPr>
        <w:t>директно</w:t>
      </w:r>
      <w:r w:rsidRPr="00092ED7">
        <w:rPr>
          <w:rFonts w:eastAsia="Times New Roman" w:cs="Times New Roman"/>
          <w:spacing w:val="-14"/>
          <w:szCs w:val="24"/>
          <w:lang w:val="sr-Cyrl-CS"/>
        </w:rPr>
        <w:t xml:space="preserve"> </w:t>
      </w:r>
      <w:r w:rsidRPr="00092ED7">
        <w:rPr>
          <w:rFonts w:eastAsia="Times New Roman" w:cs="Times New Roman"/>
          <w:szCs w:val="24"/>
          <w:lang w:val="sr-Cyrl-CS"/>
        </w:rPr>
        <w:t>ће</w:t>
      </w:r>
      <w:r w:rsidRPr="00092ED7">
        <w:rPr>
          <w:rFonts w:eastAsia="Times New Roman" w:cs="Times New Roman"/>
          <w:spacing w:val="-15"/>
          <w:szCs w:val="24"/>
          <w:lang w:val="sr-Cyrl-CS"/>
        </w:rPr>
        <w:t xml:space="preserve"> </w:t>
      </w:r>
      <w:r w:rsidRPr="00092ED7">
        <w:rPr>
          <w:rFonts w:eastAsia="Times New Roman" w:cs="Times New Roman"/>
          <w:szCs w:val="24"/>
          <w:lang w:val="sr-Cyrl-CS"/>
        </w:rPr>
        <w:t>утицати</w:t>
      </w:r>
      <w:r w:rsidRPr="00092ED7">
        <w:rPr>
          <w:rFonts w:eastAsia="Times New Roman" w:cs="Times New Roman"/>
          <w:spacing w:val="-14"/>
          <w:szCs w:val="24"/>
          <w:lang w:val="sr-Cyrl-CS"/>
        </w:rPr>
        <w:t xml:space="preserve"> </w:t>
      </w:r>
      <w:r w:rsidRPr="00092ED7">
        <w:rPr>
          <w:rFonts w:eastAsia="Times New Roman" w:cs="Times New Roman"/>
          <w:szCs w:val="24"/>
          <w:lang w:val="sr-Cyrl-CS"/>
        </w:rPr>
        <w:t>на</w:t>
      </w:r>
      <w:r w:rsidRPr="00092ED7">
        <w:rPr>
          <w:rFonts w:eastAsia="Times New Roman" w:cs="Times New Roman"/>
          <w:spacing w:val="-15"/>
          <w:szCs w:val="24"/>
          <w:lang w:val="sr-Cyrl-CS"/>
        </w:rPr>
        <w:t xml:space="preserve"> </w:t>
      </w:r>
      <w:r w:rsidRPr="00092ED7">
        <w:rPr>
          <w:rFonts w:eastAsia="Times New Roman" w:cs="Times New Roman"/>
          <w:szCs w:val="24"/>
          <w:lang w:val="sr-Cyrl-CS"/>
        </w:rPr>
        <w:t>повећање</w:t>
      </w:r>
      <w:r w:rsidRPr="00092ED7">
        <w:rPr>
          <w:rFonts w:eastAsia="Times New Roman" w:cs="Times New Roman"/>
          <w:spacing w:val="-15"/>
          <w:szCs w:val="24"/>
          <w:lang w:val="sr-Cyrl-CS"/>
        </w:rPr>
        <w:t xml:space="preserve"> </w:t>
      </w:r>
      <w:r w:rsidRPr="00092ED7">
        <w:rPr>
          <w:rFonts w:eastAsia="Times New Roman" w:cs="Times New Roman"/>
          <w:szCs w:val="24"/>
          <w:lang w:val="sr-Cyrl-CS"/>
        </w:rPr>
        <w:t>конкурентности</w:t>
      </w:r>
      <w:r w:rsidRPr="00092ED7">
        <w:rPr>
          <w:rFonts w:eastAsia="Times New Roman" w:cs="Times New Roman"/>
          <w:spacing w:val="-15"/>
          <w:szCs w:val="24"/>
          <w:lang w:val="sr-Cyrl-CS"/>
        </w:rPr>
        <w:t xml:space="preserve"> </w:t>
      </w:r>
      <w:r w:rsidRPr="00092ED7">
        <w:rPr>
          <w:rFonts w:eastAsia="Times New Roman" w:cs="Times New Roman"/>
          <w:szCs w:val="24"/>
          <w:lang w:val="sr-Cyrl-CS"/>
        </w:rPr>
        <w:t xml:space="preserve">произвођача, </w:t>
      </w:r>
      <w:r w:rsidRPr="00092ED7">
        <w:rPr>
          <w:rFonts w:eastAsia="Times New Roman" w:cs="Times New Roman"/>
          <w:spacing w:val="-5"/>
          <w:szCs w:val="24"/>
          <w:lang w:val="sr-Cyrl-CS"/>
        </w:rPr>
        <w:t xml:space="preserve">како </w:t>
      </w:r>
      <w:r w:rsidRPr="00092ED7">
        <w:rPr>
          <w:rFonts w:eastAsia="Times New Roman" w:cs="Times New Roman"/>
          <w:szCs w:val="24"/>
          <w:lang w:val="sr-Cyrl-CS"/>
        </w:rPr>
        <w:t xml:space="preserve">на домаћем </w:t>
      </w:r>
      <w:r w:rsidRPr="00092ED7">
        <w:rPr>
          <w:rFonts w:eastAsia="Times New Roman" w:cs="Times New Roman"/>
          <w:spacing w:val="-3"/>
          <w:szCs w:val="24"/>
          <w:lang w:val="sr-Cyrl-CS"/>
        </w:rPr>
        <w:t xml:space="preserve">тако </w:t>
      </w:r>
      <w:r w:rsidRPr="00092ED7">
        <w:rPr>
          <w:rFonts w:eastAsia="Times New Roman" w:cs="Times New Roman"/>
          <w:szCs w:val="24"/>
          <w:lang w:val="sr-Cyrl-CS"/>
        </w:rPr>
        <w:t xml:space="preserve">и на страном </w:t>
      </w:r>
      <w:r w:rsidRPr="00092ED7">
        <w:rPr>
          <w:rFonts w:eastAsia="Times New Roman" w:cs="Times New Roman"/>
          <w:spacing w:val="-4"/>
          <w:szCs w:val="24"/>
          <w:lang w:val="sr-Cyrl-CS"/>
        </w:rPr>
        <w:t xml:space="preserve">тржишту. </w:t>
      </w:r>
      <w:r w:rsidRPr="00092ED7">
        <w:rPr>
          <w:rFonts w:eastAsia="Times New Roman" w:cs="Times New Roman"/>
          <w:szCs w:val="24"/>
          <w:lang w:val="sr-Cyrl-CS"/>
        </w:rPr>
        <w:t>Повећање вредности пољопривредних производа директно утиче на повећање извоза и</w:t>
      </w:r>
      <w:r w:rsidRPr="00092ED7">
        <w:rPr>
          <w:rFonts w:eastAsia="Times New Roman" w:cs="Times New Roman"/>
          <w:spacing w:val="-20"/>
          <w:szCs w:val="24"/>
          <w:lang w:val="sr-Cyrl-CS"/>
        </w:rPr>
        <w:t xml:space="preserve"> </w:t>
      </w:r>
      <w:r w:rsidRPr="00092ED7">
        <w:rPr>
          <w:rFonts w:eastAsia="Times New Roman" w:cs="Times New Roman"/>
          <w:spacing w:val="-3"/>
          <w:szCs w:val="24"/>
          <w:lang w:val="sr-Cyrl-CS"/>
        </w:rPr>
        <w:t>БДП.</w:t>
      </w:r>
      <w:r w:rsidR="00E85B43" w:rsidRPr="00092ED7">
        <w:rPr>
          <w:rFonts w:eastAsia="Calibri" w:cs="Times New Roman"/>
          <w:bCs/>
          <w:szCs w:val="24"/>
          <w:lang w:val="sr-Cyrl-CS"/>
        </w:rPr>
        <w:t xml:space="preserve"> Достизање европских стандарда и подизање конкурентности у пољопривреди, смањиће варијабилност производње овог сектора изазвану агрометеоролошким условима.</w:t>
      </w:r>
    </w:p>
    <w:p w14:paraId="036B8AB2" w14:textId="77777777" w:rsidR="00D210F0" w:rsidRPr="00092ED7" w:rsidRDefault="00D210F0" w:rsidP="00A332FD">
      <w:pPr>
        <w:spacing w:after="60"/>
        <w:rPr>
          <w:rFonts w:eastAsia="Times New Roman" w:cs="Times New Roman"/>
          <w:szCs w:val="24"/>
          <w:lang w:val="sr-Cyrl-CS"/>
        </w:rPr>
      </w:pPr>
      <w:r w:rsidRPr="00092ED7">
        <w:rPr>
          <w:rFonts w:eastAsia="Times New Roman" w:cs="Times New Roman"/>
          <w:szCs w:val="24"/>
          <w:lang w:val="sr-Cyrl-CS"/>
        </w:rPr>
        <w:t>Ефикаснијим</w:t>
      </w:r>
      <w:r w:rsidRPr="00092ED7">
        <w:rPr>
          <w:rFonts w:eastAsia="Times New Roman" w:cs="Times New Roman"/>
          <w:spacing w:val="-6"/>
          <w:szCs w:val="24"/>
          <w:lang w:val="sr-Cyrl-CS"/>
        </w:rPr>
        <w:t xml:space="preserve"> </w:t>
      </w:r>
      <w:r w:rsidRPr="00092ED7">
        <w:rPr>
          <w:rFonts w:eastAsia="Times New Roman" w:cs="Times New Roman"/>
          <w:szCs w:val="24"/>
          <w:lang w:val="sr-Cyrl-CS"/>
        </w:rPr>
        <w:t>спровођењем</w:t>
      </w:r>
      <w:r w:rsidRPr="00092ED7">
        <w:rPr>
          <w:rFonts w:eastAsia="Times New Roman" w:cs="Times New Roman"/>
          <w:spacing w:val="-6"/>
          <w:szCs w:val="24"/>
          <w:lang w:val="sr-Cyrl-CS"/>
        </w:rPr>
        <w:t xml:space="preserve"> </w:t>
      </w:r>
      <w:r w:rsidRPr="00092ED7">
        <w:rPr>
          <w:rFonts w:eastAsia="Times New Roman" w:cs="Times New Roman"/>
          <w:szCs w:val="24"/>
          <w:lang w:val="sr-Cyrl-CS"/>
        </w:rPr>
        <w:t>процеса</w:t>
      </w:r>
      <w:r w:rsidRPr="00092ED7">
        <w:rPr>
          <w:rFonts w:eastAsia="Times New Roman" w:cs="Times New Roman"/>
          <w:spacing w:val="-6"/>
          <w:szCs w:val="24"/>
          <w:lang w:val="sr-Cyrl-CS"/>
        </w:rPr>
        <w:t xml:space="preserve"> </w:t>
      </w:r>
      <w:r w:rsidRPr="00092ED7">
        <w:rPr>
          <w:rFonts w:eastAsia="Times New Roman" w:cs="Times New Roman"/>
          <w:szCs w:val="24"/>
          <w:lang w:val="sr-Cyrl-CS"/>
        </w:rPr>
        <w:t>комасације</w:t>
      </w:r>
      <w:r w:rsidRPr="00092ED7">
        <w:rPr>
          <w:rFonts w:eastAsia="Times New Roman" w:cs="Times New Roman"/>
          <w:spacing w:val="-6"/>
          <w:szCs w:val="24"/>
          <w:lang w:val="sr-Cyrl-CS"/>
        </w:rPr>
        <w:t xml:space="preserve"> </w:t>
      </w:r>
      <w:r w:rsidRPr="00092ED7">
        <w:rPr>
          <w:rFonts w:eastAsia="Times New Roman" w:cs="Times New Roman"/>
          <w:szCs w:val="24"/>
          <w:lang w:val="sr-Cyrl-CS"/>
        </w:rPr>
        <w:t>очекује</w:t>
      </w:r>
      <w:r w:rsidRPr="00092ED7">
        <w:rPr>
          <w:rFonts w:eastAsia="Times New Roman" w:cs="Times New Roman"/>
          <w:spacing w:val="-6"/>
          <w:szCs w:val="24"/>
          <w:lang w:val="sr-Cyrl-CS"/>
        </w:rPr>
        <w:t xml:space="preserve"> </w:t>
      </w:r>
      <w:r w:rsidRPr="00092ED7">
        <w:rPr>
          <w:rFonts w:eastAsia="Times New Roman" w:cs="Times New Roman"/>
          <w:szCs w:val="24"/>
          <w:lang w:val="sr-Cyrl-CS"/>
        </w:rPr>
        <w:t>се</w:t>
      </w:r>
      <w:r w:rsidRPr="00092ED7">
        <w:rPr>
          <w:rFonts w:eastAsia="Times New Roman" w:cs="Times New Roman"/>
          <w:spacing w:val="-6"/>
          <w:szCs w:val="24"/>
          <w:lang w:val="sr-Cyrl-CS"/>
        </w:rPr>
        <w:t xml:space="preserve"> </w:t>
      </w:r>
      <w:r w:rsidRPr="00092ED7">
        <w:rPr>
          <w:rFonts w:eastAsia="Times New Roman" w:cs="Times New Roman"/>
          <w:szCs w:val="24"/>
          <w:lang w:val="sr-Cyrl-CS"/>
        </w:rPr>
        <w:t>укрупњавање</w:t>
      </w:r>
      <w:r w:rsidRPr="00092ED7">
        <w:rPr>
          <w:rFonts w:eastAsia="Times New Roman" w:cs="Times New Roman"/>
          <w:spacing w:val="-6"/>
          <w:szCs w:val="24"/>
          <w:lang w:val="sr-Cyrl-CS"/>
        </w:rPr>
        <w:t xml:space="preserve"> </w:t>
      </w:r>
      <w:r w:rsidRPr="00092ED7">
        <w:rPr>
          <w:rFonts w:eastAsia="Times New Roman" w:cs="Times New Roman"/>
          <w:szCs w:val="24"/>
          <w:lang w:val="sr-Cyrl-CS"/>
        </w:rPr>
        <w:t>земљишта,</w:t>
      </w:r>
      <w:r w:rsidRPr="00092ED7">
        <w:rPr>
          <w:rFonts w:eastAsia="Times New Roman" w:cs="Times New Roman"/>
          <w:spacing w:val="-6"/>
          <w:szCs w:val="24"/>
          <w:lang w:val="sr-Cyrl-CS"/>
        </w:rPr>
        <w:t xml:space="preserve"> </w:t>
      </w:r>
      <w:r w:rsidRPr="00092ED7">
        <w:rPr>
          <w:rFonts w:eastAsia="Times New Roman" w:cs="Times New Roman"/>
          <w:szCs w:val="24"/>
          <w:lang w:val="sr-Cyrl-CS"/>
        </w:rPr>
        <w:t>формирање парцела правилног облика, погодних за приступ механизацији, уређење инфраструктуре, ефикасније давање у закуп државног пољопривредног земљишта што ће се одразити на повећање пољопривредне производње</w:t>
      </w:r>
      <w:r w:rsidR="00177413" w:rsidRPr="00092ED7">
        <w:rPr>
          <w:rFonts w:eastAsia="Times New Roman" w:cs="Times New Roman"/>
          <w:szCs w:val="24"/>
          <w:lang w:val="sr-Cyrl-CS"/>
        </w:rPr>
        <w:t>, конкурентност</w:t>
      </w:r>
      <w:r w:rsidRPr="00092ED7">
        <w:rPr>
          <w:rFonts w:eastAsia="Times New Roman" w:cs="Times New Roman"/>
          <w:szCs w:val="24"/>
          <w:lang w:val="sr-Cyrl-CS"/>
        </w:rPr>
        <w:t xml:space="preserve"> и раст</w:t>
      </w:r>
      <w:r w:rsidRPr="00092ED7">
        <w:rPr>
          <w:rFonts w:eastAsia="Times New Roman" w:cs="Times New Roman"/>
          <w:spacing w:val="-33"/>
          <w:szCs w:val="24"/>
          <w:lang w:val="sr-Cyrl-CS"/>
        </w:rPr>
        <w:t xml:space="preserve"> </w:t>
      </w:r>
      <w:r w:rsidRPr="00092ED7">
        <w:rPr>
          <w:rFonts w:eastAsia="Times New Roman" w:cs="Times New Roman"/>
          <w:szCs w:val="24"/>
          <w:lang w:val="sr-Cyrl-CS"/>
        </w:rPr>
        <w:t>БДП-а.</w:t>
      </w:r>
    </w:p>
    <w:p w14:paraId="4FB47F71" w14:textId="77777777" w:rsidR="00D210F0" w:rsidRPr="00092ED7" w:rsidRDefault="00D210F0" w:rsidP="00A332FD">
      <w:pPr>
        <w:tabs>
          <w:tab w:val="left" w:pos="360"/>
        </w:tabs>
        <w:spacing w:after="60"/>
        <w:rPr>
          <w:rFonts w:cs="Times New Roman"/>
          <w:b/>
          <w:bCs/>
          <w:szCs w:val="24"/>
          <w:lang w:val="sr-Cyrl-CS"/>
        </w:rPr>
      </w:pPr>
      <w:r w:rsidRPr="00092ED7">
        <w:rPr>
          <w:rFonts w:eastAsia="Times New Roman" w:cs="Times New Roman"/>
          <w:szCs w:val="24"/>
          <w:lang w:val="sr-Cyrl-CS"/>
        </w:rPr>
        <w:t xml:space="preserve">Побољшањем ликвидности </w:t>
      </w:r>
      <w:r w:rsidRPr="00092ED7">
        <w:rPr>
          <w:rFonts w:cs="Times New Roman"/>
          <w:szCs w:val="24"/>
          <w:lang w:val="sr-Cyrl-CS"/>
        </w:rPr>
        <w:t>укупног ланца вредности примарне пољопривредне производње – прераде</w:t>
      </w:r>
      <w:r w:rsidRPr="00092ED7">
        <w:rPr>
          <w:rFonts w:eastAsia="Times New Roman" w:cs="Times New Roman"/>
          <w:szCs w:val="24"/>
          <w:lang w:val="sr-Cyrl-CS"/>
        </w:rPr>
        <w:t xml:space="preserve"> утиче се на могућност инвестирања у основна средства што утиче на конкурентност пољопривреде, a посредно може да доведе до увећања инвестиционе кредитне подршке.</w:t>
      </w:r>
    </w:p>
    <w:p w14:paraId="5A89F568" w14:textId="77777777" w:rsidR="00D210F0" w:rsidRPr="00092ED7" w:rsidRDefault="00D210F0" w:rsidP="0032051C">
      <w:pPr>
        <w:widowControl w:val="0"/>
        <w:numPr>
          <w:ilvl w:val="0"/>
          <w:numId w:val="36"/>
        </w:numPr>
        <w:spacing w:before="120" w:after="80"/>
        <w:rPr>
          <w:rFonts w:cs="Times New Roman"/>
          <w:b/>
          <w:bCs/>
          <w:szCs w:val="24"/>
          <w:lang w:val="sr-Cyrl-CS"/>
        </w:rPr>
      </w:pPr>
      <w:r w:rsidRPr="00092ED7">
        <w:rPr>
          <w:b/>
          <w:szCs w:val="24"/>
          <w:lang w:val="sr-Cyrl-CS"/>
        </w:rPr>
        <w:t>Процењени трошкови спровођења структурне реформе и предвиђени извори њиховог финансирања</w:t>
      </w:r>
    </w:p>
    <w:p w14:paraId="79986B13" w14:textId="62CF9FF9" w:rsidR="008A6476" w:rsidRPr="00092ED7" w:rsidRDefault="008A6476" w:rsidP="00D030D6">
      <w:pPr>
        <w:spacing w:after="60"/>
        <w:rPr>
          <w:rFonts w:cs="Times New Roman"/>
          <w:lang w:val="sr-Cyrl-CS"/>
        </w:rPr>
      </w:pPr>
      <w:r w:rsidRPr="00092ED7">
        <w:rPr>
          <w:rFonts w:cs="Times New Roman"/>
          <w:lang w:val="sr-Cyrl-CS"/>
        </w:rPr>
        <w:t>А</w:t>
      </w:r>
      <w:r w:rsidR="008C00EF" w:rsidRPr="00092ED7">
        <w:rPr>
          <w:rFonts w:cs="Times New Roman"/>
          <w:lang w:val="sr-Cyrl-CS"/>
        </w:rPr>
        <w:t>ктивност</w:t>
      </w:r>
      <w:r w:rsidRPr="00092ED7">
        <w:rPr>
          <w:rFonts w:cs="Times New Roman"/>
          <w:lang w:val="sr-Cyrl-CS"/>
        </w:rPr>
        <w:t xml:space="preserve"> 1: Процењени трошкови везани за имплементацију захтева и мера уређења тржишта на основу Закона о уређењу тржишта пољопривредних производа, у периоду 2023-2025. године планирано је да износе око 2,4 милиона евра. Део ових трошкова je обезбеђен кроз ИПА пројекте. Кроз један ИПА пројекат</w:t>
      </w:r>
      <w:r w:rsidR="00A332FD" w:rsidRPr="00092ED7">
        <w:rPr>
          <w:rFonts w:cs="Times New Roman"/>
          <w:lang w:val="sr-Cyrl-CS"/>
        </w:rPr>
        <w:t xml:space="preserve"> </w:t>
      </w:r>
      <w:r w:rsidRPr="00092ED7">
        <w:rPr>
          <w:rFonts w:cs="Times New Roman"/>
          <w:lang w:val="sr-Cyrl-CS"/>
        </w:rPr>
        <w:t>обезбеђена су средства за едукације, израду правилника и информисање пољопривредника, у 2023. години у износу од 732.500 евра, а у 2024. години у износу од 180.000 евра. Кроз други ИПА пројекат обезбеђена су средства за едукације, у 2023. години у износу од 250.001 евра. Процењени трошкови за субвенције корисницима мера уређења тржишта износе по 375.758 евра у 2023, 2024. и 2025. години (извор финансирања: буџет</w:t>
      </w:r>
      <w:r w:rsidR="008561A5" w:rsidRPr="00092ED7">
        <w:rPr>
          <w:rFonts w:cs="Times New Roman"/>
          <w:lang w:val="sr-Cyrl-CS"/>
        </w:rPr>
        <w:t xml:space="preserve"> Републике Србије</w:t>
      </w:r>
      <w:r w:rsidRPr="00092ED7">
        <w:rPr>
          <w:rFonts w:cs="Times New Roman"/>
          <w:lang w:val="sr-Cyrl-CS"/>
        </w:rPr>
        <w:t>). За израду Регистра трговаца у 2023. години планиран је износ од 146.250 евра (извор финансирања: буџет</w:t>
      </w:r>
      <w:r w:rsidR="008561A5" w:rsidRPr="00092ED7">
        <w:rPr>
          <w:rFonts w:cs="Times New Roman"/>
          <w:lang w:val="sr-Cyrl-CS"/>
        </w:rPr>
        <w:t xml:space="preserve"> Републике Србије</w:t>
      </w:r>
      <w:r w:rsidRPr="00092ED7">
        <w:rPr>
          <w:rFonts w:cs="Times New Roman"/>
          <w:lang w:val="sr-Cyrl-CS"/>
        </w:rPr>
        <w:t xml:space="preserve">). </w:t>
      </w:r>
    </w:p>
    <w:p w14:paraId="67509F00" w14:textId="3F6EDC9C" w:rsidR="008A6476" w:rsidRPr="00092ED7" w:rsidRDefault="008A6476" w:rsidP="00D030D6">
      <w:pPr>
        <w:spacing w:after="60"/>
        <w:rPr>
          <w:rFonts w:cs="Times New Roman"/>
          <w:lang w:val="sr-Cyrl-CS"/>
        </w:rPr>
      </w:pPr>
      <w:r w:rsidRPr="00092ED7">
        <w:rPr>
          <w:rFonts w:cs="Times New Roman"/>
          <w:lang w:val="sr-Cyrl-CS"/>
        </w:rPr>
        <w:t xml:space="preserve">Усвајање и спровођење </w:t>
      </w:r>
      <w:r w:rsidR="00D166B0" w:rsidRPr="00092ED7">
        <w:rPr>
          <w:rFonts w:cs="Times New Roman"/>
          <w:lang w:val="sr-Cyrl-CS"/>
        </w:rPr>
        <w:t>з</w:t>
      </w:r>
      <w:r w:rsidRPr="00092ED7">
        <w:rPr>
          <w:rFonts w:cs="Times New Roman"/>
          <w:lang w:val="sr-Cyrl-CS"/>
        </w:rPr>
        <w:t xml:space="preserve">акона о шемама квалитета за пољопривредне и прехрамбене производе и </w:t>
      </w:r>
      <w:r w:rsidR="00D166B0" w:rsidRPr="00092ED7">
        <w:rPr>
          <w:rFonts w:cs="Times New Roman"/>
          <w:lang w:val="sr-Cyrl-CS"/>
        </w:rPr>
        <w:t>з</w:t>
      </w:r>
      <w:r w:rsidRPr="00092ED7">
        <w:rPr>
          <w:rFonts w:cs="Times New Roman"/>
          <w:lang w:val="sr-Cyrl-CS"/>
        </w:rPr>
        <w:t>акона о органској производњи</w:t>
      </w:r>
      <w:r w:rsidRPr="00092ED7">
        <w:rPr>
          <w:rFonts w:cs="Times New Roman"/>
          <w:b/>
          <w:lang w:val="sr-Cyrl-CS"/>
        </w:rPr>
        <w:t xml:space="preserve"> </w:t>
      </w:r>
      <w:r w:rsidRPr="00092ED7">
        <w:rPr>
          <w:rFonts w:cs="Times New Roman"/>
          <w:lang w:val="sr-Cyrl-CS"/>
        </w:rPr>
        <w:t>у 2023. години, подразумева одређене трошкове везане за едукације и информативне кампање, у износу од 85.372 евра (извор финансирања: ФАО пројекат).</w:t>
      </w:r>
    </w:p>
    <w:p w14:paraId="1AF0C0CF" w14:textId="5452294D" w:rsidR="008A6476" w:rsidRPr="00092ED7" w:rsidRDefault="008A6476" w:rsidP="00D030D6">
      <w:pPr>
        <w:spacing w:after="60"/>
        <w:rPr>
          <w:rFonts w:cs="Times New Roman"/>
          <w:lang w:val="sr-Cyrl-CS"/>
        </w:rPr>
      </w:pPr>
      <w:r w:rsidRPr="00092ED7">
        <w:rPr>
          <w:rFonts w:cs="Times New Roman"/>
          <w:lang w:val="sr-Cyrl-CS"/>
        </w:rPr>
        <w:t>А</w:t>
      </w:r>
      <w:r w:rsidR="008C00EF" w:rsidRPr="00092ED7">
        <w:rPr>
          <w:rFonts w:cs="Times New Roman"/>
          <w:lang w:val="sr-Cyrl-CS"/>
        </w:rPr>
        <w:t>ктивност</w:t>
      </w:r>
      <w:r w:rsidRPr="00092ED7">
        <w:rPr>
          <w:rFonts w:cs="Times New Roman"/>
          <w:lang w:val="sr-Cyrl-CS"/>
        </w:rPr>
        <w:t xml:space="preserve"> 2:</w:t>
      </w:r>
      <w:r w:rsidRPr="00092ED7">
        <w:rPr>
          <w:rFonts w:cs="Times New Roman"/>
          <w:b/>
          <w:lang w:val="sr-Cyrl-CS"/>
        </w:rPr>
        <w:t xml:space="preserve"> </w:t>
      </w:r>
      <w:r w:rsidRPr="00092ED7">
        <w:rPr>
          <w:rFonts w:cs="Times New Roman"/>
          <w:lang w:val="sr-Cyrl-CS"/>
        </w:rPr>
        <w:t xml:space="preserve">За унапређење руралне инфраструктуре, укупно процењена средства за исплату субвенција из </w:t>
      </w:r>
      <w:r w:rsidR="00D166B0" w:rsidRPr="00092ED7">
        <w:rPr>
          <w:rFonts w:cs="Times New Roman"/>
          <w:lang w:val="sr-Cyrl-CS"/>
        </w:rPr>
        <w:t xml:space="preserve">буџета Републике Србије </w:t>
      </w:r>
      <w:r w:rsidRPr="00092ED7">
        <w:rPr>
          <w:rFonts w:cs="Times New Roman"/>
          <w:lang w:val="sr-Cyrl-CS"/>
        </w:rPr>
        <w:t>и буџета А</w:t>
      </w:r>
      <w:r w:rsidR="00D166B0" w:rsidRPr="00092ED7">
        <w:rPr>
          <w:rFonts w:cs="Times New Roman"/>
          <w:lang w:val="sr-Cyrl-CS"/>
        </w:rPr>
        <w:t>утономне покрајине Војводине</w:t>
      </w:r>
      <w:r w:rsidRPr="00092ED7">
        <w:rPr>
          <w:rFonts w:cs="Times New Roman"/>
          <w:lang w:val="sr-Cyrl-CS"/>
        </w:rPr>
        <w:t>/</w:t>
      </w:r>
      <w:r w:rsidR="00D166B0" w:rsidRPr="00092ED7">
        <w:rPr>
          <w:rFonts w:cs="Times New Roman"/>
          <w:lang w:val="sr-Cyrl-CS"/>
        </w:rPr>
        <w:t xml:space="preserve">буџета </w:t>
      </w:r>
      <w:r w:rsidRPr="00092ED7">
        <w:rPr>
          <w:rFonts w:cs="Times New Roman"/>
          <w:lang w:val="sr-Cyrl-CS"/>
        </w:rPr>
        <w:t>ЈЛС  износе: у 2023. години: 5.482.041 евра (буџет</w:t>
      </w:r>
      <w:r w:rsidR="00D166B0" w:rsidRPr="00092ED7">
        <w:rPr>
          <w:rFonts w:cs="Times New Roman"/>
          <w:lang w:val="sr-Cyrl-CS"/>
        </w:rPr>
        <w:t xml:space="preserve"> Републике Србије</w:t>
      </w:r>
      <w:r w:rsidRPr="00092ED7">
        <w:rPr>
          <w:rFonts w:cs="Times New Roman"/>
          <w:lang w:val="sr-Cyrl-CS"/>
        </w:rPr>
        <w:t xml:space="preserve">: 4.246.833; буџет </w:t>
      </w:r>
      <w:r w:rsidR="00D166B0" w:rsidRPr="00092ED7">
        <w:rPr>
          <w:rFonts w:cs="Times New Roman"/>
          <w:lang w:val="sr-Cyrl-CS"/>
        </w:rPr>
        <w:t>Аутономне покрајине Војводине/буџет ЈЛС</w:t>
      </w:r>
      <w:r w:rsidRPr="00092ED7">
        <w:rPr>
          <w:rFonts w:cs="Times New Roman"/>
          <w:lang w:val="sr-Cyrl-CS"/>
        </w:rPr>
        <w:t>: 1.235.208); у 2024. години: 5.482.041 евра (буџет</w:t>
      </w:r>
      <w:r w:rsidR="00D166B0" w:rsidRPr="00092ED7">
        <w:rPr>
          <w:rFonts w:cs="Times New Roman"/>
          <w:lang w:val="sr-Cyrl-CS"/>
        </w:rPr>
        <w:t xml:space="preserve"> Републике Србије</w:t>
      </w:r>
      <w:r w:rsidRPr="00092ED7">
        <w:rPr>
          <w:rFonts w:cs="Times New Roman"/>
          <w:lang w:val="sr-Cyrl-CS"/>
        </w:rPr>
        <w:t xml:space="preserve">: 4.246.833; буџет </w:t>
      </w:r>
      <w:r w:rsidR="00D166B0" w:rsidRPr="00092ED7">
        <w:rPr>
          <w:rFonts w:cs="Times New Roman"/>
          <w:lang w:val="sr-Cyrl-CS"/>
        </w:rPr>
        <w:t>Аутономне покрајине Војводине/буџет ЈЛС</w:t>
      </w:r>
      <w:r w:rsidRPr="00092ED7">
        <w:rPr>
          <w:rFonts w:cs="Times New Roman"/>
          <w:lang w:val="sr-Cyrl-CS"/>
        </w:rPr>
        <w:t>: 1.235.208) и у 2025. години: 5.906.724 евра (буџет</w:t>
      </w:r>
      <w:r w:rsidR="00D166B0" w:rsidRPr="00092ED7">
        <w:rPr>
          <w:rFonts w:cs="Times New Roman"/>
          <w:lang w:val="sr-Cyrl-CS"/>
        </w:rPr>
        <w:t xml:space="preserve"> Републике Србије</w:t>
      </w:r>
      <w:r w:rsidRPr="00092ED7">
        <w:rPr>
          <w:rFonts w:cs="Times New Roman"/>
          <w:lang w:val="sr-Cyrl-CS"/>
        </w:rPr>
        <w:t xml:space="preserve">: 4.671.516; буџет </w:t>
      </w:r>
      <w:r w:rsidR="00D166B0" w:rsidRPr="00092ED7">
        <w:rPr>
          <w:rFonts w:cs="Times New Roman"/>
          <w:lang w:val="sr-Cyrl-CS"/>
        </w:rPr>
        <w:t>Аутономне покрајине Војводине/буџет ЈЛС</w:t>
      </w:r>
      <w:r w:rsidRPr="00092ED7">
        <w:rPr>
          <w:rFonts w:cs="Times New Roman"/>
          <w:lang w:val="sr-Cyrl-CS"/>
        </w:rPr>
        <w:t xml:space="preserve">: 1.235.208). </w:t>
      </w:r>
    </w:p>
    <w:p w14:paraId="212177B4" w14:textId="77777777" w:rsidR="008A6476" w:rsidRPr="00092ED7" w:rsidRDefault="008A6476" w:rsidP="00D030D6">
      <w:pPr>
        <w:spacing w:after="60"/>
        <w:rPr>
          <w:rFonts w:cs="Times New Roman"/>
          <w:lang w:val="sr-Cyrl-CS"/>
        </w:rPr>
      </w:pPr>
      <w:r w:rsidRPr="00092ED7">
        <w:rPr>
          <w:rFonts w:cs="Times New Roman"/>
          <w:lang w:val="sr-Cyrl-CS"/>
        </w:rPr>
        <w:t xml:space="preserve">Укупно процењена средства </w:t>
      </w:r>
      <w:r w:rsidRPr="00092ED7">
        <w:rPr>
          <w:rFonts w:cs="Times New Roman"/>
          <w:bCs/>
          <w:lang w:val="sr-Cyrl-CS"/>
        </w:rPr>
        <w:t xml:space="preserve">за исплату субвенција </w:t>
      </w:r>
      <w:r w:rsidRPr="00092ED7">
        <w:rPr>
          <w:rFonts w:cs="Times New Roman"/>
          <w:lang w:val="sr-Cyrl-CS"/>
        </w:rPr>
        <w:t>корисницима ИПАРД програма спровођењем Мере 6</w:t>
      </w:r>
      <w:r w:rsidRPr="00092ED7">
        <w:rPr>
          <w:rFonts w:cs="Times New Roman"/>
          <w:bCs/>
          <w:lang w:val="sr-Cyrl-CS"/>
        </w:rPr>
        <w:t>, износе: у 2024. години: 11.186.666,67 евра (</w:t>
      </w:r>
      <w:r w:rsidRPr="00092ED7">
        <w:rPr>
          <w:rFonts w:cs="Times New Roman"/>
          <w:lang w:val="sr-Cyrl-CS"/>
        </w:rPr>
        <w:t>средстава финансијске помоћи ЕУ: 8.390.000; буџет: 2.796.666,67) и у 2025. години: 15.120.000 евра (средстава финансијске помоћи ЕУ: 11.340.000; буџет: 3.780.000).</w:t>
      </w:r>
    </w:p>
    <w:p w14:paraId="1BF9F834" w14:textId="08BCFFFE" w:rsidR="008A6476" w:rsidRPr="00092ED7" w:rsidRDefault="008A6476" w:rsidP="00D030D6">
      <w:pPr>
        <w:spacing w:after="60"/>
        <w:rPr>
          <w:rFonts w:cs="Times New Roman"/>
          <w:lang w:val="sr-Cyrl-CS"/>
        </w:rPr>
      </w:pPr>
      <w:r w:rsidRPr="00092ED7">
        <w:rPr>
          <w:rFonts w:cs="Times New Roman"/>
          <w:lang w:val="sr-Cyrl-CS"/>
        </w:rPr>
        <w:t>А</w:t>
      </w:r>
      <w:r w:rsidR="008C00EF" w:rsidRPr="00092ED7">
        <w:rPr>
          <w:rFonts w:cs="Times New Roman"/>
          <w:lang w:val="sr-Cyrl-CS"/>
        </w:rPr>
        <w:t>ктивност</w:t>
      </w:r>
      <w:r w:rsidRPr="00092ED7">
        <w:rPr>
          <w:rFonts w:cs="Times New Roman"/>
          <w:lang w:val="sr-Cyrl-CS"/>
        </w:rPr>
        <w:t xml:space="preserve"> 3: Имајући у виду да је основ за даље спровођење ове активности усвајање законског оквира, односно доношење новог </w:t>
      </w:r>
      <w:r w:rsidR="00D166B0" w:rsidRPr="00092ED7">
        <w:rPr>
          <w:rFonts w:cs="Times New Roman"/>
          <w:lang w:val="sr-Cyrl-CS"/>
        </w:rPr>
        <w:t>з</w:t>
      </w:r>
      <w:r w:rsidRPr="00092ED7">
        <w:rPr>
          <w:rFonts w:cs="Times New Roman"/>
          <w:lang w:val="sr-Cyrl-CS"/>
        </w:rPr>
        <w:t xml:space="preserve">акона о комасацији и </w:t>
      </w:r>
      <w:r w:rsidR="00D166B0" w:rsidRPr="00092ED7">
        <w:rPr>
          <w:rFonts w:cs="Times New Roman"/>
          <w:lang w:val="sr-Cyrl-CS"/>
        </w:rPr>
        <w:t>з</w:t>
      </w:r>
      <w:r w:rsidRPr="00092ED7">
        <w:rPr>
          <w:rFonts w:cs="Times New Roman"/>
          <w:lang w:val="sr-Cyrl-CS"/>
        </w:rPr>
        <w:t xml:space="preserve">акона о пољопривредном земљишту, потенцијално запошљавање пет нових службеника у 2023. години, односно њихове плате у износу од 52.260 евра биће финансиране из буџета. У </w:t>
      </w:r>
      <w:r w:rsidRPr="00092ED7">
        <w:rPr>
          <w:rFonts w:cs="Times New Roman"/>
          <w:bCs/>
          <w:lang w:val="sr-Cyrl-CS"/>
        </w:rPr>
        <w:t>2024.</w:t>
      </w:r>
      <w:r w:rsidRPr="00092ED7">
        <w:rPr>
          <w:rFonts w:cs="Times New Roman"/>
          <w:lang w:val="sr-Cyrl-CS"/>
        </w:rPr>
        <w:t xml:space="preserve"> години средства у укупном износу од </w:t>
      </w:r>
      <w:r w:rsidRPr="00092ED7">
        <w:rPr>
          <w:rFonts w:cs="Times New Roman"/>
          <w:bCs/>
          <w:lang w:val="sr-Cyrl-CS"/>
        </w:rPr>
        <w:t>902.260</w:t>
      </w:r>
      <w:r w:rsidRPr="00092ED7">
        <w:rPr>
          <w:rFonts w:cs="Times New Roman"/>
          <w:lang w:val="sr-Cyrl-CS"/>
        </w:rPr>
        <w:t xml:space="preserve"> евра предвиђена су за плате (извор финансирања: буџет, износ: 52.260), ангажовање стручњака у изради подзаконских аката, обуку и набавку канцеларијске опреме, услуге превођења (извор финансирања: тек треба да се утврди, износ: 250.000), набавку сервера и развој мрежне инфраструктуре (извор финансирања: тек треба да се утврди, износ: 600.000). </w:t>
      </w:r>
      <w:r w:rsidRPr="00092ED7">
        <w:rPr>
          <w:rFonts w:cs="Times New Roman"/>
          <w:bCs/>
          <w:lang w:val="sr-Cyrl-CS"/>
        </w:rPr>
        <w:t>У 2025.</w:t>
      </w:r>
      <w:r w:rsidRPr="00092ED7">
        <w:rPr>
          <w:rFonts w:cs="Times New Roman"/>
          <w:lang w:val="sr-Cyrl-CS"/>
        </w:rPr>
        <w:t xml:space="preserve"> години средства у укупном износу од </w:t>
      </w:r>
      <w:r w:rsidRPr="00092ED7">
        <w:rPr>
          <w:rFonts w:cs="Times New Roman"/>
          <w:bCs/>
          <w:lang w:val="sr-Cyrl-CS"/>
        </w:rPr>
        <w:t>1,95</w:t>
      </w:r>
      <w:r w:rsidRPr="00092ED7">
        <w:rPr>
          <w:rFonts w:cs="Times New Roman"/>
          <w:lang w:val="sr-Cyrl-CS"/>
        </w:rPr>
        <w:t xml:space="preserve"> милиона евра су предвиђена за плате (извор финансирања: буџет, износ: 52.260), обуку и набавку канцеларијске</w:t>
      </w:r>
      <w:r w:rsidRPr="00092ED7">
        <w:rPr>
          <w:lang w:val="sr-Cyrl-CS"/>
        </w:rPr>
        <w:t xml:space="preserve"> </w:t>
      </w:r>
      <w:r w:rsidRPr="00092ED7">
        <w:rPr>
          <w:rFonts w:cs="Times New Roman"/>
          <w:lang w:val="sr-Cyrl-CS"/>
        </w:rPr>
        <w:t>опреме (извор финансирања: ИПА, износ: 50.000), развој софтвера (извор финансирања: ИПА, износ: 600.000) и спровођење пилот комасације (извор финансирања: буџет, износ: 1.250.000).</w:t>
      </w:r>
    </w:p>
    <w:p w14:paraId="5FB3A520" w14:textId="07118E91" w:rsidR="008A6476" w:rsidRPr="00092ED7" w:rsidRDefault="008A6476" w:rsidP="00D030D6">
      <w:pPr>
        <w:spacing w:after="60"/>
        <w:rPr>
          <w:rFonts w:cs="Times New Roman"/>
          <w:lang w:val="sr-Cyrl-CS"/>
        </w:rPr>
      </w:pPr>
      <w:r w:rsidRPr="00092ED7">
        <w:rPr>
          <w:rFonts w:cs="Times New Roman"/>
          <w:lang w:val="sr-Cyrl-CS"/>
        </w:rPr>
        <w:t>А</w:t>
      </w:r>
      <w:r w:rsidR="008C00EF" w:rsidRPr="00092ED7">
        <w:rPr>
          <w:rFonts w:cs="Times New Roman"/>
          <w:lang w:val="sr-Cyrl-CS"/>
        </w:rPr>
        <w:t>ктивност</w:t>
      </w:r>
      <w:r w:rsidRPr="00092ED7">
        <w:rPr>
          <w:rFonts w:cs="Times New Roman"/>
          <w:lang w:val="sr-Cyrl-CS"/>
        </w:rPr>
        <w:t xml:space="preserve"> 4: Процењени трошкови </w:t>
      </w:r>
      <w:r w:rsidR="008561A5" w:rsidRPr="00092ED7">
        <w:rPr>
          <w:rFonts w:cs="Times New Roman"/>
          <w:lang w:val="sr-Cyrl-CS"/>
        </w:rPr>
        <w:t>Републичког геодетског завода</w:t>
      </w:r>
      <w:r w:rsidRPr="00092ED7">
        <w:rPr>
          <w:rFonts w:cs="Times New Roman"/>
          <w:lang w:val="sr-Cyrl-CS"/>
        </w:rPr>
        <w:t xml:space="preserve"> за потребе имплементације информационог система за подршку у спровођењу стручног надзора у поступку комасације (контролни модул и модул интеграције за повезивање са информационим системом катастра непокретности и обуке запослених на спровођењу стручног надзора) у 2023. години износе око 900.000 евра, а у 2024. години око 750.000 евра. За ове активности извор финансирања </w:t>
      </w:r>
      <w:r w:rsidR="009E0881" w:rsidRPr="00092ED7">
        <w:rPr>
          <w:rFonts w:cs="Times New Roman"/>
          <w:lang w:val="sr-Cyrl-CS"/>
        </w:rPr>
        <w:t xml:space="preserve">ће бити </w:t>
      </w:r>
      <w:r w:rsidR="009E0881" w:rsidRPr="00092ED7">
        <w:rPr>
          <w:lang w:val="sr-Cyrl-CS"/>
        </w:rPr>
        <w:t>кредит Светске банке</w:t>
      </w:r>
      <w:r w:rsidRPr="00092ED7">
        <w:rPr>
          <w:rFonts w:cs="Times New Roman"/>
          <w:lang w:val="sr-Cyrl-CS"/>
        </w:rPr>
        <w:t>.</w:t>
      </w:r>
    </w:p>
    <w:p w14:paraId="09D2AC59" w14:textId="3AA44896" w:rsidR="008A6476" w:rsidRPr="00092ED7" w:rsidRDefault="008A6476" w:rsidP="00D030D6">
      <w:pPr>
        <w:spacing w:after="60"/>
        <w:rPr>
          <w:rFonts w:cs="Times New Roman"/>
          <w:lang w:val="sr-Cyrl-CS"/>
        </w:rPr>
      </w:pPr>
      <w:r w:rsidRPr="00092ED7">
        <w:rPr>
          <w:rFonts w:cs="Times New Roman"/>
          <w:lang w:val="sr-Cyrl-CS"/>
        </w:rPr>
        <w:t>А</w:t>
      </w:r>
      <w:r w:rsidR="008C00EF" w:rsidRPr="00092ED7">
        <w:rPr>
          <w:rFonts w:cs="Times New Roman"/>
          <w:lang w:val="sr-Cyrl-CS"/>
        </w:rPr>
        <w:t>ктивност</w:t>
      </w:r>
      <w:r w:rsidRPr="00092ED7">
        <w:rPr>
          <w:rFonts w:cs="Times New Roman"/>
          <w:lang w:val="sr-Cyrl-CS"/>
        </w:rPr>
        <w:t xml:space="preserve"> 5 и 6: У току 2023. године планирани су капитални расходи у укупном износу од 1.250.000 евра, а извор финансирања је кредит Светске банке, и то: израда новог РПГ и LPIS софтвера, повезивање LPIS, Регистра животиња и РПГ; израда Апликације за подношење захтева за директна плаћања</w:t>
      </w:r>
      <w:r w:rsidR="00A01A11" w:rsidRPr="00092ED7">
        <w:rPr>
          <w:rFonts w:cs="Times New Roman"/>
          <w:lang w:val="sr-Cyrl-CS"/>
        </w:rPr>
        <w:t>,</w:t>
      </w:r>
      <w:r w:rsidRPr="00092ED7">
        <w:rPr>
          <w:rFonts w:cs="Times New Roman"/>
          <w:lang w:val="sr-Cyrl-CS"/>
        </w:rPr>
        <w:t xml:space="preserve"> ДМС</w:t>
      </w:r>
      <w:r w:rsidR="00A01A11" w:rsidRPr="00092ED7">
        <w:rPr>
          <w:rFonts w:cs="Times New Roman"/>
          <w:lang w:val="sr-Cyrl-CS"/>
        </w:rPr>
        <w:t xml:space="preserve"> и повезивање са писарницом</w:t>
      </w:r>
      <w:r w:rsidRPr="00092ED7">
        <w:rPr>
          <w:rFonts w:cs="Times New Roman"/>
          <w:lang w:val="sr-Cyrl-CS"/>
        </w:rPr>
        <w:t xml:space="preserve">. Током 2023. - 2025. године ће се радити на изради преосталих делова елемената IACS (осим АМS). Извор финансирања ће бити ИПА 2021, а укупна вредност пројекта је 3,79 милиона евра. Од овог износа планирани трошкови за израду софтвера су 1.765.000 евра (у 2024. години: 375.000, у 2025. години: 1.390.000). Преостали износ од 2.025.000 евра (у 2023. години 25.000, у 2024. години 1.000.000 и у 2025. години 1.000.000) се односи на добра и услуге (консултанстске услуге за израду техничке спецификације, обуке запослених и израду правног оквира за успостављање IACS - прве фазе). </w:t>
      </w:r>
    </w:p>
    <w:p w14:paraId="722A7F23" w14:textId="77777777" w:rsidR="008A6476" w:rsidRPr="00092ED7" w:rsidRDefault="008A6476" w:rsidP="00D030D6">
      <w:pPr>
        <w:spacing w:after="60"/>
        <w:rPr>
          <w:rFonts w:cs="Times New Roman"/>
          <w:lang w:val="sr-Cyrl-CS"/>
        </w:rPr>
      </w:pPr>
      <w:r w:rsidRPr="00092ED7">
        <w:rPr>
          <w:rFonts w:cs="Times New Roman"/>
          <w:lang w:val="sr-Cyrl-CS"/>
        </w:rPr>
        <w:t>За јачање институционалних и административних капацитета у периоду од 2023. до 2025. године планирани су расходи у износу од 1.056.260 евра, извор финансирања: буџет (у 2023. години 159.285, у 2024. години 372.695 и у 2025. години 524.280), а из кредита Светске банке за ангажовање консултаната 259.833,33 евра (у 2023. години 117.500, а у 2024. години 142.333,33).</w:t>
      </w:r>
    </w:p>
    <w:p w14:paraId="635C5361" w14:textId="77777777" w:rsidR="00D210F0" w:rsidRPr="00092ED7" w:rsidRDefault="00D210F0" w:rsidP="00071952">
      <w:pPr>
        <w:widowControl w:val="0"/>
        <w:numPr>
          <w:ilvl w:val="0"/>
          <w:numId w:val="36"/>
        </w:numPr>
        <w:spacing w:before="120"/>
        <w:rPr>
          <w:rFonts w:cs="Times New Roman"/>
          <w:b/>
          <w:szCs w:val="24"/>
          <w:lang w:val="sr-Cyrl-CS"/>
        </w:rPr>
      </w:pPr>
      <w:r w:rsidRPr="00092ED7">
        <w:rPr>
          <w:rFonts w:cs="Times New Roman"/>
          <w:b/>
          <w:szCs w:val="24"/>
          <w:lang w:val="sr-Cyrl-CS"/>
        </w:rPr>
        <w:t>Очекивани утицај на социјалне циљеве, као што су запосленост, смањење сиромаштва, родна равноправност и приступ здравственој заштити</w:t>
      </w:r>
    </w:p>
    <w:p w14:paraId="67F79F34" w14:textId="47970307" w:rsidR="00D210F0" w:rsidRPr="00092ED7" w:rsidRDefault="00D210F0" w:rsidP="00D210F0">
      <w:pPr>
        <w:spacing w:after="60"/>
        <w:rPr>
          <w:rFonts w:cs="Times New Roman"/>
          <w:szCs w:val="24"/>
          <w:lang w:val="sr-Cyrl-CS"/>
        </w:rPr>
      </w:pPr>
      <w:r w:rsidRPr="00092ED7">
        <w:rPr>
          <w:rFonts w:cs="Times New Roman"/>
          <w:szCs w:val="24"/>
          <w:lang w:val="sr-Cyrl-CS"/>
        </w:rPr>
        <w:t>Структурна реформа директно утиче на повећан обим запошљавања и смањење сиромаштва локалног становништва и доприноси појави нових правних лица у областима производње, прераде и промета пољопривредних производа, па тако и запослености. Развијањем руралне инфраструктуре, физичким и правним лицима се омогућава развијање сопствених послова, односно њихово самозапошљавање и запошљавање локалног становништва</w:t>
      </w:r>
      <w:r w:rsidR="00B825FF" w:rsidRPr="00092ED7">
        <w:rPr>
          <w:rFonts w:cs="Times New Roman"/>
          <w:szCs w:val="24"/>
          <w:lang w:val="sr-Cyrl-CS"/>
        </w:rPr>
        <w:t>, као и</w:t>
      </w:r>
      <w:r w:rsidR="00D55425" w:rsidRPr="00092ED7">
        <w:rPr>
          <w:rFonts w:cs="Times New Roman"/>
          <w:szCs w:val="24"/>
          <w:lang w:val="sr-Cyrl-CS"/>
        </w:rPr>
        <w:t xml:space="preserve"> равномернији регионални развој</w:t>
      </w:r>
      <w:r w:rsidRPr="00092ED7">
        <w:rPr>
          <w:rFonts w:cs="Times New Roman"/>
          <w:szCs w:val="24"/>
          <w:lang w:val="sr-Cyrl-CS"/>
        </w:rPr>
        <w:t>.</w:t>
      </w:r>
      <w:r w:rsidRPr="00092ED7">
        <w:rPr>
          <w:rFonts w:eastAsia="Times New Roman" w:cs="Times New Roman"/>
          <w:szCs w:val="24"/>
          <w:lang w:val="sr-Cyrl-CS"/>
        </w:rPr>
        <w:t xml:space="preserve"> Применом Закона о уређењу тржишта пољопривредних производа</w:t>
      </w:r>
      <w:r w:rsidRPr="00092ED7">
        <w:rPr>
          <w:rFonts w:eastAsia="Times New Roman" w:cs="Times New Roman"/>
          <w:i/>
          <w:szCs w:val="24"/>
          <w:lang w:val="sr-Cyrl-CS"/>
        </w:rPr>
        <w:t xml:space="preserve"> </w:t>
      </w:r>
      <w:r w:rsidRPr="00092ED7">
        <w:rPr>
          <w:rFonts w:eastAsia="Times New Roman" w:cs="Times New Roman"/>
          <w:szCs w:val="24"/>
          <w:lang w:val="sr-Cyrl-CS"/>
        </w:rPr>
        <w:t xml:space="preserve">омогућава се правно уређен наступ свих субјеката на тржишту што ће директно допринети појави нових правних лица у областима производње, прераде и промета пољопривредних производа, па </w:t>
      </w:r>
      <w:r w:rsidRPr="00092ED7">
        <w:rPr>
          <w:rFonts w:eastAsia="Times New Roman" w:cs="Times New Roman"/>
          <w:spacing w:val="-3"/>
          <w:szCs w:val="24"/>
          <w:lang w:val="sr-Cyrl-CS"/>
        </w:rPr>
        <w:t xml:space="preserve">тако </w:t>
      </w:r>
      <w:r w:rsidRPr="00092ED7">
        <w:rPr>
          <w:rFonts w:eastAsia="Times New Roman" w:cs="Times New Roman"/>
          <w:szCs w:val="24"/>
          <w:lang w:val="sr-Cyrl-CS"/>
        </w:rPr>
        <w:t xml:space="preserve">и </w:t>
      </w:r>
      <w:r w:rsidR="005860F2" w:rsidRPr="00092ED7">
        <w:rPr>
          <w:rFonts w:eastAsia="Times New Roman" w:cs="Times New Roman"/>
          <w:szCs w:val="24"/>
          <w:lang w:val="sr-Cyrl-CS"/>
        </w:rPr>
        <w:t xml:space="preserve">повећању </w:t>
      </w:r>
      <w:r w:rsidRPr="00092ED7">
        <w:rPr>
          <w:rFonts w:eastAsia="Times New Roman" w:cs="Times New Roman"/>
          <w:szCs w:val="24"/>
          <w:lang w:val="sr-Cyrl-CS"/>
        </w:rPr>
        <w:t xml:space="preserve">запослености. Применом </w:t>
      </w:r>
      <w:r w:rsidR="009439C1" w:rsidRPr="00092ED7">
        <w:rPr>
          <w:rFonts w:eastAsia="Times New Roman" w:cs="Times New Roman"/>
          <w:szCs w:val="24"/>
          <w:lang w:val="sr-Cyrl-CS"/>
        </w:rPr>
        <w:t>з</w:t>
      </w:r>
      <w:r w:rsidRPr="00092ED7">
        <w:rPr>
          <w:rFonts w:eastAsia="Times New Roman" w:cs="Times New Roman"/>
          <w:szCs w:val="24"/>
          <w:lang w:val="sr-Cyrl-CS"/>
        </w:rPr>
        <w:t>акона о шемама квалитета за пољопривредне и прехрамбене производе</w:t>
      </w:r>
      <w:r w:rsidRPr="00092ED7">
        <w:rPr>
          <w:rFonts w:eastAsia="Times New Roman" w:cs="Times New Roman"/>
          <w:i/>
          <w:szCs w:val="24"/>
          <w:lang w:val="sr-Cyrl-CS"/>
        </w:rPr>
        <w:t xml:space="preserve"> </w:t>
      </w:r>
      <w:r w:rsidRPr="00092ED7">
        <w:rPr>
          <w:rFonts w:eastAsia="Times New Roman" w:cs="Times New Roman"/>
          <w:szCs w:val="24"/>
          <w:lang w:val="sr-Cyrl-CS"/>
        </w:rPr>
        <w:t>допринеће се бољој уређености система заштите ознака географског порекла пољопривредних и прехрамбених</w:t>
      </w:r>
      <w:r w:rsidRPr="00092ED7">
        <w:rPr>
          <w:rFonts w:eastAsia="Times New Roman" w:cs="Times New Roman"/>
          <w:spacing w:val="24"/>
          <w:szCs w:val="24"/>
          <w:lang w:val="sr-Cyrl-CS"/>
        </w:rPr>
        <w:t xml:space="preserve"> </w:t>
      </w:r>
      <w:r w:rsidRPr="00092ED7">
        <w:rPr>
          <w:rFonts w:eastAsia="Times New Roman" w:cs="Times New Roman"/>
          <w:szCs w:val="24"/>
          <w:lang w:val="sr-Cyrl-CS"/>
        </w:rPr>
        <w:t>производа</w:t>
      </w:r>
      <w:r w:rsidRPr="00092ED7">
        <w:rPr>
          <w:rFonts w:eastAsia="Times New Roman" w:cs="Times New Roman"/>
          <w:spacing w:val="24"/>
          <w:szCs w:val="24"/>
          <w:lang w:val="sr-Cyrl-CS"/>
        </w:rPr>
        <w:t xml:space="preserve"> </w:t>
      </w:r>
      <w:r w:rsidRPr="00092ED7">
        <w:rPr>
          <w:rFonts w:eastAsia="Times New Roman" w:cs="Times New Roman"/>
          <w:szCs w:val="24"/>
          <w:lang w:val="sr-Cyrl-CS"/>
        </w:rPr>
        <w:t>што</w:t>
      </w:r>
      <w:r w:rsidRPr="00092ED7">
        <w:rPr>
          <w:rFonts w:eastAsia="Times New Roman" w:cs="Times New Roman"/>
          <w:spacing w:val="24"/>
          <w:szCs w:val="24"/>
          <w:lang w:val="sr-Cyrl-CS"/>
        </w:rPr>
        <w:t xml:space="preserve"> </w:t>
      </w:r>
      <w:r w:rsidRPr="00092ED7">
        <w:rPr>
          <w:rFonts w:eastAsia="Times New Roman" w:cs="Times New Roman"/>
          <w:szCs w:val="24"/>
          <w:lang w:val="sr-Cyrl-CS"/>
        </w:rPr>
        <w:t>ће</w:t>
      </w:r>
      <w:r w:rsidRPr="00092ED7">
        <w:rPr>
          <w:rFonts w:eastAsia="Times New Roman" w:cs="Times New Roman"/>
          <w:spacing w:val="24"/>
          <w:szCs w:val="24"/>
          <w:lang w:val="sr-Cyrl-CS"/>
        </w:rPr>
        <w:t xml:space="preserve"> </w:t>
      </w:r>
      <w:r w:rsidRPr="00092ED7">
        <w:rPr>
          <w:rFonts w:eastAsia="Times New Roman" w:cs="Times New Roman"/>
          <w:szCs w:val="24"/>
          <w:lang w:val="sr-Cyrl-CS"/>
        </w:rPr>
        <w:t>подстаћи</w:t>
      </w:r>
      <w:r w:rsidRPr="00092ED7">
        <w:rPr>
          <w:rFonts w:eastAsia="Times New Roman" w:cs="Times New Roman"/>
          <w:spacing w:val="24"/>
          <w:szCs w:val="24"/>
          <w:lang w:val="sr-Cyrl-CS"/>
        </w:rPr>
        <w:t xml:space="preserve"> </w:t>
      </w:r>
      <w:r w:rsidRPr="00092ED7">
        <w:rPr>
          <w:rFonts w:eastAsia="Times New Roman" w:cs="Times New Roman"/>
          <w:szCs w:val="24"/>
          <w:lang w:val="sr-Cyrl-CS"/>
        </w:rPr>
        <w:t>нове</w:t>
      </w:r>
      <w:r w:rsidRPr="00092ED7">
        <w:rPr>
          <w:rFonts w:eastAsia="Times New Roman" w:cs="Times New Roman"/>
          <w:spacing w:val="24"/>
          <w:szCs w:val="24"/>
          <w:lang w:val="sr-Cyrl-CS"/>
        </w:rPr>
        <w:t xml:space="preserve"> </w:t>
      </w:r>
      <w:r w:rsidRPr="00092ED7">
        <w:rPr>
          <w:rFonts w:eastAsia="Times New Roman" w:cs="Times New Roman"/>
          <w:szCs w:val="24"/>
          <w:lang w:val="sr-Cyrl-CS"/>
        </w:rPr>
        <w:t>произвођаче</w:t>
      </w:r>
      <w:r w:rsidRPr="00092ED7">
        <w:rPr>
          <w:rFonts w:eastAsia="Times New Roman" w:cs="Times New Roman"/>
          <w:spacing w:val="24"/>
          <w:szCs w:val="24"/>
          <w:lang w:val="sr-Cyrl-CS"/>
        </w:rPr>
        <w:t xml:space="preserve"> </w:t>
      </w:r>
      <w:r w:rsidRPr="00092ED7">
        <w:rPr>
          <w:rFonts w:eastAsia="Times New Roman" w:cs="Times New Roman"/>
          <w:szCs w:val="24"/>
          <w:lang w:val="sr-Cyrl-CS"/>
        </w:rPr>
        <w:t>да</w:t>
      </w:r>
      <w:r w:rsidRPr="00092ED7">
        <w:rPr>
          <w:rFonts w:eastAsia="Times New Roman" w:cs="Times New Roman"/>
          <w:spacing w:val="24"/>
          <w:szCs w:val="24"/>
          <w:lang w:val="sr-Cyrl-CS"/>
        </w:rPr>
        <w:t xml:space="preserve"> </w:t>
      </w:r>
      <w:r w:rsidRPr="00092ED7">
        <w:rPr>
          <w:rFonts w:eastAsia="Times New Roman" w:cs="Times New Roman"/>
          <w:szCs w:val="24"/>
          <w:lang w:val="sr-Cyrl-CS"/>
        </w:rPr>
        <w:t>уђу</w:t>
      </w:r>
      <w:r w:rsidRPr="00092ED7">
        <w:rPr>
          <w:rFonts w:eastAsia="Times New Roman" w:cs="Times New Roman"/>
          <w:spacing w:val="24"/>
          <w:szCs w:val="24"/>
          <w:lang w:val="sr-Cyrl-CS"/>
        </w:rPr>
        <w:t xml:space="preserve"> </w:t>
      </w:r>
      <w:r w:rsidRPr="00092ED7">
        <w:rPr>
          <w:rFonts w:eastAsia="Times New Roman" w:cs="Times New Roman"/>
          <w:szCs w:val="24"/>
          <w:lang w:val="sr-Cyrl-CS"/>
        </w:rPr>
        <w:t>у</w:t>
      </w:r>
      <w:r w:rsidRPr="00092ED7">
        <w:rPr>
          <w:rFonts w:eastAsia="Times New Roman" w:cs="Times New Roman"/>
          <w:spacing w:val="24"/>
          <w:szCs w:val="24"/>
          <w:lang w:val="sr-Cyrl-CS"/>
        </w:rPr>
        <w:t xml:space="preserve"> </w:t>
      </w:r>
      <w:r w:rsidRPr="00092ED7">
        <w:rPr>
          <w:rFonts w:eastAsia="Times New Roman" w:cs="Times New Roman"/>
          <w:szCs w:val="24"/>
          <w:lang w:val="sr-Cyrl-CS"/>
        </w:rPr>
        <w:t>систем</w:t>
      </w:r>
      <w:r w:rsidRPr="00092ED7">
        <w:rPr>
          <w:rFonts w:eastAsia="Times New Roman" w:cs="Times New Roman"/>
          <w:spacing w:val="24"/>
          <w:szCs w:val="24"/>
          <w:lang w:val="sr-Cyrl-CS"/>
        </w:rPr>
        <w:t xml:space="preserve"> </w:t>
      </w:r>
      <w:r w:rsidRPr="00092ED7">
        <w:rPr>
          <w:rFonts w:eastAsia="Times New Roman" w:cs="Times New Roman"/>
          <w:szCs w:val="24"/>
          <w:lang w:val="sr-Cyrl-CS"/>
        </w:rPr>
        <w:t>заштите ознака</w:t>
      </w:r>
      <w:r w:rsidRPr="00092ED7">
        <w:rPr>
          <w:rFonts w:eastAsia="Times New Roman" w:cs="Times New Roman"/>
          <w:spacing w:val="-12"/>
          <w:szCs w:val="24"/>
          <w:lang w:val="sr-Cyrl-CS"/>
        </w:rPr>
        <w:t xml:space="preserve"> </w:t>
      </w:r>
      <w:r w:rsidRPr="00092ED7">
        <w:rPr>
          <w:rFonts w:eastAsia="Times New Roman" w:cs="Times New Roman"/>
          <w:szCs w:val="24"/>
          <w:lang w:val="sr-Cyrl-CS"/>
        </w:rPr>
        <w:t>географског</w:t>
      </w:r>
      <w:r w:rsidRPr="00092ED7">
        <w:rPr>
          <w:rFonts w:eastAsia="Times New Roman" w:cs="Times New Roman"/>
          <w:spacing w:val="-12"/>
          <w:szCs w:val="24"/>
          <w:lang w:val="sr-Cyrl-CS"/>
        </w:rPr>
        <w:t xml:space="preserve"> </w:t>
      </w:r>
      <w:r w:rsidRPr="00092ED7">
        <w:rPr>
          <w:rFonts w:eastAsia="Times New Roman" w:cs="Times New Roman"/>
          <w:szCs w:val="24"/>
          <w:lang w:val="sr-Cyrl-CS"/>
        </w:rPr>
        <w:t>порекла</w:t>
      </w:r>
      <w:r w:rsidRPr="00092ED7">
        <w:rPr>
          <w:rFonts w:eastAsia="Times New Roman" w:cs="Times New Roman"/>
          <w:spacing w:val="-12"/>
          <w:szCs w:val="24"/>
          <w:lang w:val="sr-Cyrl-CS"/>
        </w:rPr>
        <w:t xml:space="preserve"> </w:t>
      </w:r>
      <w:r w:rsidRPr="00092ED7">
        <w:rPr>
          <w:rFonts w:eastAsia="Times New Roman" w:cs="Times New Roman"/>
          <w:szCs w:val="24"/>
          <w:lang w:val="sr-Cyrl-CS"/>
        </w:rPr>
        <w:t>и</w:t>
      </w:r>
      <w:r w:rsidRPr="00092ED7">
        <w:rPr>
          <w:rFonts w:eastAsia="Times New Roman" w:cs="Times New Roman"/>
          <w:spacing w:val="-12"/>
          <w:szCs w:val="24"/>
          <w:lang w:val="sr-Cyrl-CS"/>
        </w:rPr>
        <w:t xml:space="preserve"> </w:t>
      </w:r>
      <w:r w:rsidRPr="00092ED7">
        <w:rPr>
          <w:rFonts w:eastAsia="Times New Roman" w:cs="Times New Roman"/>
          <w:szCs w:val="24"/>
          <w:lang w:val="sr-Cyrl-CS"/>
        </w:rPr>
        <w:t>да</w:t>
      </w:r>
      <w:r w:rsidRPr="00092ED7">
        <w:rPr>
          <w:rFonts w:eastAsia="Times New Roman" w:cs="Times New Roman"/>
          <w:spacing w:val="-12"/>
          <w:szCs w:val="24"/>
          <w:lang w:val="sr-Cyrl-CS"/>
        </w:rPr>
        <w:t xml:space="preserve"> </w:t>
      </w:r>
      <w:r w:rsidRPr="00092ED7">
        <w:rPr>
          <w:rFonts w:eastAsia="Times New Roman" w:cs="Times New Roman"/>
          <w:szCs w:val="24"/>
          <w:lang w:val="sr-Cyrl-CS"/>
        </w:rPr>
        <w:t>се</w:t>
      </w:r>
      <w:r w:rsidRPr="00092ED7">
        <w:rPr>
          <w:rFonts w:eastAsia="Times New Roman" w:cs="Times New Roman"/>
          <w:spacing w:val="-12"/>
          <w:szCs w:val="24"/>
          <w:lang w:val="sr-Cyrl-CS"/>
        </w:rPr>
        <w:t xml:space="preserve"> </w:t>
      </w:r>
      <w:r w:rsidRPr="00092ED7">
        <w:rPr>
          <w:rFonts w:eastAsia="Times New Roman" w:cs="Times New Roman"/>
          <w:spacing w:val="-6"/>
          <w:szCs w:val="24"/>
          <w:lang w:val="sr-Cyrl-CS"/>
        </w:rPr>
        <w:t>удружују.</w:t>
      </w:r>
      <w:r w:rsidRPr="00092ED7">
        <w:rPr>
          <w:rFonts w:eastAsia="Times New Roman" w:cs="Times New Roman"/>
          <w:spacing w:val="-12"/>
          <w:szCs w:val="24"/>
          <w:lang w:val="sr-Cyrl-CS"/>
        </w:rPr>
        <w:t xml:space="preserve"> </w:t>
      </w:r>
      <w:r w:rsidRPr="00092ED7">
        <w:rPr>
          <w:rFonts w:eastAsia="Times New Roman" w:cs="Times New Roman"/>
          <w:szCs w:val="24"/>
          <w:lang w:val="sr-Cyrl-CS"/>
        </w:rPr>
        <w:t>Корист</w:t>
      </w:r>
      <w:r w:rsidRPr="00092ED7">
        <w:rPr>
          <w:rFonts w:eastAsia="Times New Roman" w:cs="Times New Roman"/>
          <w:spacing w:val="-12"/>
          <w:szCs w:val="24"/>
          <w:lang w:val="sr-Cyrl-CS"/>
        </w:rPr>
        <w:t xml:space="preserve"> </w:t>
      </w:r>
      <w:r w:rsidRPr="00092ED7">
        <w:rPr>
          <w:rFonts w:eastAsia="Times New Roman" w:cs="Times New Roman"/>
          <w:spacing w:val="-4"/>
          <w:szCs w:val="24"/>
          <w:lang w:val="sr-Cyrl-CS"/>
        </w:rPr>
        <w:t>од</w:t>
      </w:r>
      <w:r w:rsidRPr="00092ED7">
        <w:rPr>
          <w:rFonts w:eastAsia="Times New Roman" w:cs="Times New Roman"/>
          <w:spacing w:val="-12"/>
          <w:szCs w:val="24"/>
          <w:lang w:val="sr-Cyrl-CS"/>
        </w:rPr>
        <w:t xml:space="preserve"> </w:t>
      </w:r>
      <w:r w:rsidRPr="00092ED7">
        <w:rPr>
          <w:rFonts w:eastAsia="Times New Roman" w:cs="Times New Roman"/>
          <w:szCs w:val="24"/>
          <w:lang w:val="sr-Cyrl-CS"/>
        </w:rPr>
        <w:t>органске</w:t>
      </w:r>
      <w:r w:rsidRPr="00092ED7">
        <w:rPr>
          <w:rFonts w:eastAsia="Times New Roman" w:cs="Times New Roman"/>
          <w:spacing w:val="-12"/>
          <w:szCs w:val="24"/>
          <w:lang w:val="sr-Cyrl-CS"/>
        </w:rPr>
        <w:t xml:space="preserve"> </w:t>
      </w:r>
      <w:r w:rsidRPr="00092ED7">
        <w:rPr>
          <w:rFonts w:eastAsia="Times New Roman" w:cs="Times New Roman"/>
          <w:szCs w:val="24"/>
          <w:lang w:val="sr-Cyrl-CS"/>
        </w:rPr>
        <w:t>производње</w:t>
      </w:r>
      <w:r w:rsidRPr="00092ED7">
        <w:rPr>
          <w:rFonts w:eastAsia="Times New Roman" w:cs="Times New Roman"/>
          <w:spacing w:val="-12"/>
          <w:szCs w:val="24"/>
          <w:lang w:val="sr-Cyrl-CS"/>
        </w:rPr>
        <w:t xml:space="preserve"> </w:t>
      </w:r>
      <w:r w:rsidRPr="00092ED7">
        <w:rPr>
          <w:rFonts w:eastAsia="Times New Roman" w:cs="Times New Roman"/>
          <w:szCs w:val="24"/>
          <w:lang w:val="sr-Cyrl-CS"/>
        </w:rPr>
        <w:t>могу</w:t>
      </w:r>
      <w:r w:rsidRPr="00092ED7">
        <w:rPr>
          <w:rFonts w:eastAsia="Times New Roman" w:cs="Times New Roman"/>
          <w:spacing w:val="-12"/>
          <w:szCs w:val="24"/>
          <w:lang w:val="sr-Cyrl-CS"/>
        </w:rPr>
        <w:t xml:space="preserve"> </w:t>
      </w:r>
      <w:r w:rsidRPr="00092ED7">
        <w:rPr>
          <w:rFonts w:eastAsia="Times New Roman" w:cs="Times New Roman"/>
          <w:szCs w:val="24"/>
          <w:lang w:val="sr-Cyrl-CS"/>
        </w:rPr>
        <w:t xml:space="preserve">имати рурална подручја у </w:t>
      </w:r>
      <w:r w:rsidRPr="00092ED7">
        <w:rPr>
          <w:rFonts w:eastAsia="Times New Roman" w:cs="Times New Roman"/>
          <w:spacing w:val="-3"/>
          <w:szCs w:val="24"/>
          <w:lang w:val="sr-Cyrl-CS"/>
        </w:rPr>
        <w:t xml:space="preserve">којима </w:t>
      </w:r>
      <w:r w:rsidRPr="00092ED7">
        <w:rPr>
          <w:rFonts w:eastAsia="Times New Roman" w:cs="Times New Roman"/>
          <w:szCs w:val="24"/>
          <w:lang w:val="sr-Cyrl-CS"/>
        </w:rPr>
        <w:t xml:space="preserve">је висока стопа незапослености, а </w:t>
      </w:r>
      <w:r w:rsidRPr="00092ED7">
        <w:rPr>
          <w:rFonts w:eastAsia="Times New Roman" w:cs="Times New Roman"/>
          <w:spacing w:val="-4"/>
          <w:szCs w:val="24"/>
          <w:lang w:val="sr-Cyrl-CS"/>
        </w:rPr>
        <w:t xml:space="preserve">која </w:t>
      </w:r>
      <w:r w:rsidRPr="00092ED7">
        <w:rPr>
          <w:rFonts w:eastAsia="Times New Roman" w:cs="Times New Roman"/>
          <w:szCs w:val="24"/>
          <w:lang w:val="sr-Cyrl-CS"/>
        </w:rPr>
        <w:t>имају повољне услове за</w:t>
      </w:r>
      <w:r w:rsidRPr="00092ED7">
        <w:rPr>
          <w:rFonts w:eastAsia="Times New Roman" w:cs="Times New Roman"/>
          <w:spacing w:val="-11"/>
          <w:szCs w:val="24"/>
          <w:lang w:val="sr-Cyrl-CS"/>
        </w:rPr>
        <w:t xml:space="preserve"> </w:t>
      </w:r>
      <w:r w:rsidRPr="00092ED7">
        <w:rPr>
          <w:rFonts w:eastAsia="Times New Roman" w:cs="Times New Roman"/>
          <w:szCs w:val="24"/>
          <w:lang w:val="sr-Cyrl-CS"/>
        </w:rPr>
        <w:t>производњу</w:t>
      </w:r>
      <w:r w:rsidRPr="00092ED7">
        <w:rPr>
          <w:rFonts w:eastAsia="Times New Roman" w:cs="Times New Roman"/>
          <w:spacing w:val="-11"/>
          <w:szCs w:val="24"/>
          <w:lang w:val="sr-Cyrl-CS"/>
        </w:rPr>
        <w:t xml:space="preserve"> </w:t>
      </w:r>
      <w:r w:rsidRPr="00092ED7">
        <w:rPr>
          <w:rFonts w:eastAsia="Times New Roman" w:cs="Times New Roman"/>
          <w:szCs w:val="24"/>
          <w:lang w:val="sr-Cyrl-CS"/>
        </w:rPr>
        <w:t>органске</w:t>
      </w:r>
      <w:r w:rsidRPr="00092ED7">
        <w:rPr>
          <w:rFonts w:eastAsia="Times New Roman" w:cs="Times New Roman"/>
          <w:spacing w:val="-11"/>
          <w:szCs w:val="24"/>
          <w:lang w:val="sr-Cyrl-CS"/>
        </w:rPr>
        <w:t xml:space="preserve"> </w:t>
      </w:r>
      <w:r w:rsidRPr="00092ED7">
        <w:rPr>
          <w:rFonts w:eastAsia="Times New Roman" w:cs="Times New Roman"/>
          <w:szCs w:val="24"/>
          <w:lang w:val="sr-Cyrl-CS"/>
        </w:rPr>
        <w:t>хране.</w:t>
      </w:r>
      <w:r w:rsidRPr="00092ED7">
        <w:rPr>
          <w:rFonts w:eastAsia="Times New Roman" w:cs="Times New Roman"/>
          <w:spacing w:val="-11"/>
          <w:szCs w:val="24"/>
          <w:lang w:val="sr-Cyrl-CS"/>
        </w:rPr>
        <w:t xml:space="preserve"> </w:t>
      </w:r>
      <w:r w:rsidRPr="00092ED7">
        <w:rPr>
          <w:rFonts w:eastAsia="Times New Roman" w:cs="Times New Roman"/>
          <w:spacing w:val="-4"/>
          <w:szCs w:val="24"/>
          <w:lang w:val="sr-Cyrl-CS"/>
        </w:rPr>
        <w:t>Увећањем</w:t>
      </w:r>
      <w:r w:rsidRPr="00092ED7">
        <w:rPr>
          <w:rFonts w:eastAsia="Times New Roman" w:cs="Times New Roman"/>
          <w:spacing w:val="-11"/>
          <w:szCs w:val="24"/>
          <w:lang w:val="sr-Cyrl-CS"/>
        </w:rPr>
        <w:t xml:space="preserve"> </w:t>
      </w:r>
      <w:r w:rsidRPr="00092ED7">
        <w:rPr>
          <w:rFonts w:eastAsia="Times New Roman" w:cs="Times New Roman"/>
          <w:szCs w:val="24"/>
          <w:lang w:val="sr-Cyrl-CS"/>
        </w:rPr>
        <w:t>ефикасности</w:t>
      </w:r>
      <w:r w:rsidRPr="00092ED7">
        <w:rPr>
          <w:rFonts w:eastAsia="Times New Roman" w:cs="Times New Roman"/>
          <w:spacing w:val="-11"/>
          <w:szCs w:val="24"/>
          <w:lang w:val="sr-Cyrl-CS"/>
        </w:rPr>
        <w:t xml:space="preserve"> </w:t>
      </w:r>
      <w:r w:rsidRPr="00092ED7">
        <w:rPr>
          <w:rFonts w:eastAsia="Times New Roman" w:cs="Times New Roman"/>
          <w:szCs w:val="24"/>
          <w:lang w:val="sr-Cyrl-CS"/>
        </w:rPr>
        <w:t>у</w:t>
      </w:r>
      <w:r w:rsidRPr="00092ED7">
        <w:rPr>
          <w:rFonts w:eastAsia="Times New Roman" w:cs="Times New Roman"/>
          <w:spacing w:val="-11"/>
          <w:szCs w:val="24"/>
          <w:lang w:val="sr-Cyrl-CS"/>
        </w:rPr>
        <w:t xml:space="preserve"> </w:t>
      </w:r>
      <w:r w:rsidRPr="00092ED7">
        <w:rPr>
          <w:rFonts w:eastAsia="Times New Roman" w:cs="Times New Roman"/>
          <w:szCs w:val="24"/>
          <w:lang w:val="sr-Cyrl-CS"/>
        </w:rPr>
        <w:t>исплати</w:t>
      </w:r>
      <w:r w:rsidRPr="00092ED7">
        <w:rPr>
          <w:rFonts w:eastAsia="Times New Roman" w:cs="Times New Roman"/>
          <w:spacing w:val="-11"/>
          <w:szCs w:val="24"/>
          <w:lang w:val="sr-Cyrl-CS"/>
        </w:rPr>
        <w:t xml:space="preserve"> </w:t>
      </w:r>
      <w:r w:rsidRPr="00092ED7">
        <w:rPr>
          <w:rFonts w:eastAsia="Times New Roman" w:cs="Times New Roman"/>
          <w:szCs w:val="24"/>
          <w:lang w:val="sr-Cyrl-CS"/>
        </w:rPr>
        <w:t>подршке</w:t>
      </w:r>
      <w:r w:rsidRPr="00092ED7">
        <w:rPr>
          <w:rFonts w:eastAsia="Times New Roman" w:cs="Times New Roman"/>
          <w:spacing w:val="-11"/>
          <w:szCs w:val="24"/>
          <w:lang w:val="sr-Cyrl-CS"/>
        </w:rPr>
        <w:t xml:space="preserve"> </w:t>
      </w:r>
      <w:r w:rsidRPr="00092ED7">
        <w:rPr>
          <w:rFonts w:eastAsia="Times New Roman" w:cs="Times New Roman"/>
          <w:szCs w:val="24"/>
          <w:lang w:val="sr-Cyrl-CS"/>
        </w:rPr>
        <w:t>пољопривредној производњи и увећањем ефективности у планирању мера пољопривредне политике доприноси се убрзавању кретања роба и услуга у пољопривреди што ће допринети увећању запослености и смањењу сиромаштва. Олакшани приступ мерама подршке пољопривредној</w:t>
      </w:r>
      <w:r w:rsidRPr="00092ED7">
        <w:rPr>
          <w:rFonts w:eastAsia="Times New Roman" w:cs="Times New Roman"/>
          <w:spacing w:val="-6"/>
          <w:szCs w:val="24"/>
          <w:lang w:val="sr-Cyrl-CS"/>
        </w:rPr>
        <w:t xml:space="preserve"> </w:t>
      </w:r>
      <w:r w:rsidRPr="00092ED7">
        <w:rPr>
          <w:rFonts w:eastAsia="Times New Roman" w:cs="Times New Roman"/>
          <w:szCs w:val="24"/>
          <w:lang w:val="sr-Cyrl-CS"/>
        </w:rPr>
        <w:t>производњи</w:t>
      </w:r>
      <w:r w:rsidRPr="00092ED7">
        <w:rPr>
          <w:rFonts w:eastAsia="Times New Roman" w:cs="Times New Roman"/>
          <w:spacing w:val="-6"/>
          <w:szCs w:val="24"/>
          <w:lang w:val="sr-Cyrl-CS"/>
        </w:rPr>
        <w:t xml:space="preserve"> </w:t>
      </w:r>
      <w:r w:rsidRPr="00092ED7">
        <w:rPr>
          <w:rFonts w:eastAsia="Times New Roman" w:cs="Times New Roman"/>
          <w:szCs w:val="24"/>
          <w:lang w:val="sr-Cyrl-CS"/>
        </w:rPr>
        <w:t>доприноси</w:t>
      </w:r>
      <w:r w:rsidRPr="00092ED7">
        <w:rPr>
          <w:rFonts w:eastAsia="Times New Roman" w:cs="Times New Roman"/>
          <w:spacing w:val="-6"/>
          <w:szCs w:val="24"/>
          <w:lang w:val="sr-Cyrl-CS"/>
        </w:rPr>
        <w:t xml:space="preserve"> </w:t>
      </w:r>
      <w:r w:rsidRPr="00092ED7">
        <w:rPr>
          <w:rFonts w:eastAsia="Times New Roman" w:cs="Times New Roman"/>
          <w:szCs w:val="24"/>
          <w:lang w:val="sr-Cyrl-CS"/>
        </w:rPr>
        <w:t>једнаким</w:t>
      </w:r>
      <w:r w:rsidRPr="00092ED7">
        <w:rPr>
          <w:rFonts w:eastAsia="Times New Roman" w:cs="Times New Roman"/>
          <w:spacing w:val="-6"/>
          <w:szCs w:val="24"/>
          <w:lang w:val="sr-Cyrl-CS"/>
        </w:rPr>
        <w:t xml:space="preserve"> </w:t>
      </w:r>
      <w:r w:rsidRPr="00092ED7">
        <w:rPr>
          <w:rFonts w:eastAsia="Times New Roman" w:cs="Times New Roman"/>
          <w:szCs w:val="24"/>
          <w:lang w:val="sr-Cyrl-CS"/>
        </w:rPr>
        <w:t>условима</w:t>
      </w:r>
      <w:r w:rsidRPr="00092ED7">
        <w:rPr>
          <w:rFonts w:eastAsia="Times New Roman" w:cs="Times New Roman"/>
          <w:spacing w:val="-6"/>
          <w:szCs w:val="24"/>
          <w:lang w:val="sr-Cyrl-CS"/>
        </w:rPr>
        <w:t xml:space="preserve"> </w:t>
      </w:r>
      <w:r w:rsidRPr="00092ED7">
        <w:rPr>
          <w:rFonts w:eastAsia="Times New Roman" w:cs="Times New Roman"/>
          <w:szCs w:val="24"/>
          <w:lang w:val="sr-Cyrl-CS"/>
        </w:rPr>
        <w:t>пословања</w:t>
      </w:r>
      <w:r w:rsidRPr="00092ED7">
        <w:rPr>
          <w:rFonts w:eastAsia="Times New Roman" w:cs="Times New Roman"/>
          <w:spacing w:val="-6"/>
          <w:szCs w:val="24"/>
          <w:lang w:val="sr-Cyrl-CS"/>
        </w:rPr>
        <w:t xml:space="preserve"> </w:t>
      </w:r>
      <w:r w:rsidRPr="00092ED7">
        <w:rPr>
          <w:rFonts w:eastAsia="Times New Roman" w:cs="Times New Roman"/>
          <w:szCs w:val="24"/>
          <w:lang w:val="sr-Cyrl-CS"/>
        </w:rPr>
        <w:t>између</w:t>
      </w:r>
      <w:r w:rsidRPr="00092ED7">
        <w:rPr>
          <w:rFonts w:eastAsia="Times New Roman" w:cs="Times New Roman"/>
          <w:spacing w:val="-6"/>
          <w:szCs w:val="24"/>
          <w:lang w:val="sr-Cyrl-CS"/>
        </w:rPr>
        <w:t xml:space="preserve"> </w:t>
      </w:r>
      <w:r w:rsidRPr="00092ED7">
        <w:rPr>
          <w:rFonts w:eastAsia="Times New Roman" w:cs="Times New Roman"/>
          <w:szCs w:val="24"/>
          <w:lang w:val="sr-Cyrl-CS"/>
        </w:rPr>
        <w:t>свих</w:t>
      </w:r>
      <w:r w:rsidRPr="00092ED7">
        <w:rPr>
          <w:rFonts w:eastAsia="Times New Roman" w:cs="Times New Roman"/>
          <w:spacing w:val="-6"/>
          <w:szCs w:val="24"/>
          <w:lang w:val="sr-Cyrl-CS"/>
        </w:rPr>
        <w:t xml:space="preserve"> </w:t>
      </w:r>
      <w:r w:rsidRPr="00092ED7">
        <w:rPr>
          <w:rFonts w:eastAsia="Times New Roman" w:cs="Times New Roman"/>
          <w:szCs w:val="24"/>
          <w:lang w:val="sr-Cyrl-CS"/>
        </w:rPr>
        <w:t>актера</w:t>
      </w:r>
      <w:r w:rsidRPr="00092ED7">
        <w:rPr>
          <w:rFonts w:eastAsia="Times New Roman" w:cs="Times New Roman"/>
          <w:spacing w:val="-6"/>
          <w:szCs w:val="24"/>
          <w:lang w:val="sr-Cyrl-CS"/>
        </w:rPr>
        <w:t xml:space="preserve"> </w:t>
      </w:r>
      <w:r w:rsidRPr="00092ED7">
        <w:rPr>
          <w:rFonts w:eastAsia="Times New Roman" w:cs="Times New Roman"/>
          <w:szCs w:val="24"/>
          <w:lang w:val="sr-Cyrl-CS"/>
        </w:rPr>
        <w:t xml:space="preserve">на </w:t>
      </w:r>
      <w:r w:rsidRPr="00092ED7">
        <w:rPr>
          <w:rFonts w:eastAsia="Times New Roman" w:cs="Times New Roman"/>
          <w:spacing w:val="-4"/>
          <w:szCs w:val="24"/>
          <w:lang w:val="sr-Cyrl-CS"/>
        </w:rPr>
        <w:t xml:space="preserve">тржишту. </w:t>
      </w:r>
      <w:r w:rsidRPr="00092ED7">
        <w:rPr>
          <w:rFonts w:eastAsia="Times New Roman" w:cs="Times New Roman"/>
          <w:szCs w:val="24"/>
          <w:lang w:val="sr-Cyrl-CS"/>
        </w:rPr>
        <w:t xml:space="preserve">Очекује се да структурна реформа има неутрални утицај на родни </w:t>
      </w:r>
      <w:r w:rsidRPr="00092ED7">
        <w:rPr>
          <w:rFonts w:eastAsia="Times New Roman" w:cs="Times New Roman"/>
          <w:spacing w:val="-4"/>
          <w:szCs w:val="24"/>
          <w:lang w:val="sr-Cyrl-CS"/>
        </w:rPr>
        <w:t xml:space="preserve">аспект, </w:t>
      </w:r>
      <w:r w:rsidRPr="00092ED7">
        <w:rPr>
          <w:rFonts w:eastAsia="Times New Roman" w:cs="Times New Roman"/>
          <w:szCs w:val="24"/>
          <w:lang w:val="sr-Cyrl-CS"/>
        </w:rPr>
        <w:t>али се</w:t>
      </w:r>
      <w:r w:rsidRPr="00092ED7">
        <w:rPr>
          <w:rFonts w:eastAsia="Times New Roman" w:cs="Times New Roman"/>
          <w:spacing w:val="-7"/>
          <w:szCs w:val="24"/>
          <w:lang w:val="sr-Cyrl-CS"/>
        </w:rPr>
        <w:t xml:space="preserve"> </w:t>
      </w:r>
      <w:r w:rsidRPr="00092ED7">
        <w:rPr>
          <w:rFonts w:eastAsia="Times New Roman" w:cs="Times New Roman"/>
          <w:spacing w:val="-3"/>
          <w:szCs w:val="24"/>
          <w:lang w:val="sr-Cyrl-CS"/>
        </w:rPr>
        <w:t>након</w:t>
      </w:r>
      <w:r w:rsidRPr="00092ED7">
        <w:rPr>
          <w:rFonts w:eastAsia="Times New Roman" w:cs="Times New Roman"/>
          <w:spacing w:val="-7"/>
          <w:szCs w:val="24"/>
          <w:lang w:val="sr-Cyrl-CS"/>
        </w:rPr>
        <w:t xml:space="preserve"> </w:t>
      </w:r>
      <w:r w:rsidRPr="00092ED7">
        <w:rPr>
          <w:rFonts w:eastAsia="Times New Roman" w:cs="Times New Roman"/>
          <w:szCs w:val="24"/>
          <w:lang w:val="sr-Cyrl-CS"/>
        </w:rPr>
        <w:t>спроведеног</w:t>
      </w:r>
      <w:r w:rsidRPr="00092ED7">
        <w:rPr>
          <w:rFonts w:eastAsia="Times New Roman" w:cs="Times New Roman"/>
          <w:spacing w:val="-7"/>
          <w:szCs w:val="24"/>
          <w:lang w:val="sr-Cyrl-CS"/>
        </w:rPr>
        <w:t xml:space="preserve"> </w:t>
      </w:r>
      <w:r w:rsidRPr="00092ED7">
        <w:rPr>
          <w:rFonts w:eastAsia="Times New Roman" w:cs="Times New Roman"/>
          <w:szCs w:val="24"/>
          <w:lang w:val="sr-Cyrl-CS"/>
        </w:rPr>
        <w:t>поступка</w:t>
      </w:r>
      <w:r w:rsidRPr="00092ED7">
        <w:rPr>
          <w:rFonts w:eastAsia="Times New Roman" w:cs="Times New Roman"/>
          <w:spacing w:val="-7"/>
          <w:szCs w:val="24"/>
          <w:lang w:val="sr-Cyrl-CS"/>
        </w:rPr>
        <w:t xml:space="preserve"> </w:t>
      </w:r>
      <w:r w:rsidRPr="00092ED7">
        <w:rPr>
          <w:rFonts w:eastAsia="Times New Roman" w:cs="Times New Roman"/>
          <w:szCs w:val="24"/>
          <w:lang w:val="sr-Cyrl-CS"/>
        </w:rPr>
        <w:t>комасације</w:t>
      </w:r>
      <w:r w:rsidRPr="00092ED7">
        <w:rPr>
          <w:rFonts w:eastAsia="Times New Roman" w:cs="Times New Roman"/>
          <w:spacing w:val="-7"/>
          <w:szCs w:val="24"/>
          <w:lang w:val="sr-Cyrl-CS"/>
        </w:rPr>
        <w:t xml:space="preserve"> </w:t>
      </w:r>
      <w:r w:rsidRPr="00092ED7">
        <w:rPr>
          <w:rFonts w:eastAsia="Times New Roman" w:cs="Times New Roman"/>
          <w:spacing w:val="-3"/>
          <w:szCs w:val="24"/>
          <w:lang w:val="sr-Cyrl-CS"/>
        </w:rPr>
        <w:t>може</w:t>
      </w:r>
      <w:r w:rsidRPr="00092ED7">
        <w:rPr>
          <w:rFonts w:eastAsia="Times New Roman" w:cs="Times New Roman"/>
          <w:spacing w:val="-7"/>
          <w:szCs w:val="24"/>
          <w:lang w:val="sr-Cyrl-CS"/>
        </w:rPr>
        <w:t xml:space="preserve"> </w:t>
      </w:r>
      <w:r w:rsidRPr="00092ED7">
        <w:rPr>
          <w:rFonts w:eastAsia="Times New Roman" w:cs="Times New Roman"/>
          <w:szCs w:val="24"/>
          <w:lang w:val="sr-Cyrl-CS"/>
        </w:rPr>
        <w:t>успоставити</w:t>
      </w:r>
      <w:r w:rsidRPr="00092ED7">
        <w:rPr>
          <w:rFonts w:eastAsia="Times New Roman" w:cs="Times New Roman"/>
          <w:spacing w:val="-7"/>
          <w:szCs w:val="24"/>
          <w:lang w:val="sr-Cyrl-CS"/>
        </w:rPr>
        <w:t xml:space="preserve"> </w:t>
      </w:r>
      <w:r w:rsidRPr="00092ED7">
        <w:rPr>
          <w:rFonts w:eastAsia="Times New Roman" w:cs="Times New Roman"/>
          <w:szCs w:val="24"/>
          <w:lang w:val="sr-Cyrl-CS"/>
        </w:rPr>
        <w:t>механизам</w:t>
      </w:r>
      <w:r w:rsidRPr="00092ED7">
        <w:rPr>
          <w:rFonts w:eastAsia="Times New Roman" w:cs="Times New Roman"/>
          <w:spacing w:val="-7"/>
          <w:szCs w:val="24"/>
          <w:lang w:val="sr-Cyrl-CS"/>
        </w:rPr>
        <w:t xml:space="preserve"> </w:t>
      </w:r>
      <w:r w:rsidRPr="00092ED7">
        <w:rPr>
          <w:rFonts w:eastAsia="Times New Roman" w:cs="Times New Roman"/>
          <w:szCs w:val="24"/>
          <w:lang w:val="sr-Cyrl-CS"/>
        </w:rPr>
        <w:t>за</w:t>
      </w:r>
      <w:r w:rsidRPr="00092ED7">
        <w:rPr>
          <w:rFonts w:eastAsia="Times New Roman" w:cs="Times New Roman"/>
          <w:spacing w:val="-7"/>
          <w:szCs w:val="24"/>
          <w:lang w:val="sr-Cyrl-CS"/>
        </w:rPr>
        <w:t xml:space="preserve"> </w:t>
      </w:r>
      <w:r w:rsidRPr="00092ED7">
        <w:rPr>
          <w:rFonts w:eastAsia="Times New Roman" w:cs="Times New Roman"/>
          <w:szCs w:val="24"/>
          <w:lang w:val="sr-Cyrl-CS"/>
        </w:rPr>
        <w:t>уступање</w:t>
      </w:r>
      <w:r w:rsidRPr="00092ED7">
        <w:rPr>
          <w:rFonts w:eastAsia="Times New Roman" w:cs="Times New Roman"/>
          <w:spacing w:val="-7"/>
          <w:szCs w:val="24"/>
          <w:lang w:val="sr-Cyrl-CS"/>
        </w:rPr>
        <w:t xml:space="preserve"> </w:t>
      </w:r>
      <w:r w:rsidRPr="00092ED7">
        <w:rPr>
          <w:rFonts w:eastAsia="Times New Roman" w:cs="Times New Roman"/>
          <w:szCs w:val="24"/>
          <w:lang w:val="sr-Cyrl-CS"/>
        </w:rPr>
        <w:t>неискоришћеног земљишта младима и</w:t>
      </w:r>
      <w:r w:rsidRPr="00092ED7">
        <w:rPr>
          <w:rFonts w:eastAsia="Times New Roman" w:cs="Times New Roman"/>
          <w:spacing w:val="-19"/>
          <w:szCs w:val="24"/>
          <w:lang w:val="sr-Cyrl-CS"/>
        </w:rPr>
        <w:t xml:space="preserve"> </w:t>
      </w:r>
      <w:r w:rsidRPr="00092ED7">
        <w:rPr>
          <w:rFonts w:eastAsia="Times New Roman" w:cs="Times New Roman"/>
          <w:szCs w:val="24"/>
          <w:lang w:val="sr-Cyrl-CS"/>
        </w:rPr>
        <w:t>женама.</w:t>
      </w:r>
      <w:r w:rsidRPr="00092ED7">
        <w:rPr>
          <w:rFonts w:cs="Times New Roman"/>
          <w:szCs w:val="24"/>
          <w:lang w:val="sr-Cyrl-CS"/>
        </w:rPr>
        <w:t xml:space="preserve"> </w:t>
      </w:r>
    </w:p>
    <w:p w14:paraId="21A38E78" w14:textId="77777777" w:rsidR="00D210F0" w:rsidRPr="00092ED7" w:rsidRDefault="00D210F0" w:rsidP="00071952">
      <w:pPr>
        <w:widowControl w:val="0"/>
        <w:numPr>
          <w:ilvl w:val="0"/>
          <w:numId w:val="36"/>
        </w:numPr>
        <w:spacing w:before="120"/>
        <w:rPr>
          <w:rFonts w:cs="Times New Roman"/>
          <w:b/>
          <w:szCs w:val="24"/>
          <w:lang w:val="sr-Cyrl-CS"/>
        </w:rPr>
      </w:pPr>
      <w:r w:rsidRPr="00092ED7">
        <w:rPr>
          <w:rFonts w:cs="Times New Roman"/>
          <w:b/>
          <w:szCs w:val="24"/>
          <w:lang w:val="sr-Cyrl-CS"/>
        </w:rPr>
        <w:t>Очекивани утицај на животну средину и климатске промене</w:t>
      </w:r>
    </w:p>
    <w:p w14:paraId="1A9D5FBF" w14:textId="77777777" w:rsidR="00D210F0" w:rsidRPr="00092ED7" w:rsidRDefault="00D210F0" w:rsidP="00D210F0">
      <w:pPr>
        <w:spacing w:after="60"/>
        <w:rPr>
          <w:rFonts w:eastAsia="Times New Roman" w:cs="Times New Roman"/>
          <w:szCs w:val="24"/>
          <w:lang w:val="sr-Cyrl-CS"/>
        </w:rPr>
      </w:pPr>
      <w:r w:rsidRPr="00092ED7">
        <w:rPr>
          <w:rFonts w:eastAsia="Times New Roman" w:cs="Times New Roman"/>
          <w:szCs w:val="24"/>
          <w:lang w:val="sr-Cyrl-CS"/>
        </w:rPr>
        <w:t>Убрзавањем</w:t>
      </w:r>
      <w:r w:rsidRPr="00092ED7">
        <w:rPr>
          <w:rFonts w:eastAsia="Times New Roman" w:cs="Times New Roman"/>
          <w:spacing w:val="-6"/>
          <w:szCs w:val="24"/>
          <w:lang w:val="sr-Cyrl-CS"/>
        </w:rPr>
        <w:t xml:space="preserve"> </w:t>
      </w:r>
      <w:r w:rsidRPr="00092ED7">
        <w:rPr>
          <w:rFonts w:eastAsia="Times New Roman" w:cs="Times New Roman"/>
          <w:szCs w:val="24"/>
          <w:lang w:val="sr-Cyrl-CS"/>
        </w:rPr>
        <w:t>поступака</w:t>
      </w:r>
      <w:r w:rsidRPr="00092ED7">
        <w:rPr>
          <w:rFonts w:eastAsia="Times New Roman" w:cs="Times New Roman"/>
          <w:spacing w:val="-6"/>
          <w:szCs w:val="24"/>
          <w:lang w:val="sr-Cyrl-CS"/>
        </w:rPr>
        <w:t xml:space="preserve"> </w:t>
      </w:r>
      <w:r w:rsidRPr="00092ED7">
        <w:rPr>
          <w:rFonts w:eastAsia="Times New Roman" w:cs="Times New Roman"/>
          <w:szCs w:val="24"/>
          <w:lang w:val="sr-Cyrl-CS"/>
        </w:rPr>
        <w:t>комасације</w:t>
      </w:r>
      <w:r w:rsidRPr="00092ED7">
        <w:rPr>
          <w:rFonts w:eastAsia="Times New Roman" w:cs="Times New Roman"/>
          <w:spacing w:val="-6"/>
          <w:szCs w:val="24"/>
          <w:lang w:val="sr-Cyrl-CS"/>
        </w:rPr>
        <w:t xml:space="preserve"> </w:t>
      </w:r>
      <w:r w:rsidRPr="00092ED7">
        <w:rPr>
          <w:rFonts w:eastAsia="Times New Roman" w:cs="Times New Roman"/>
          <w:szCs w:val="24"/>
          <w:lang w:val="sr-Cyrl-CS"/>
        </w:rPr>
        <w:t>стварају</w:t>
      </w:r>
      <w:r w:rsidRPr="00092ED7">
        <w:rPr>
          <w:rFonts w:eastAsia="Times New Roman" w:cs="Times New Roman"/>
          <w:spacing w:val="-6"/>
          <w:szCs w:val="24"/>
          <w:lang w:val="sr-Cyrl-CS"/>
        </w:rPr>
        <w:t xml:space="preserve"> </w:t>
      </w:r>
      <w:r w:rsidRPr="00092ED7">
        <w:rPr>
          <w:rFonts w:eastAsia="Times New Roman" w:cs="Times New Roman"/>
          <w:szCs w:val="24"/>
          <w:lang w:val="sr-Cyrl-CS"/>
        </w:rPr>
        <w:t>се</w:t>
      </w:r>
      <w:r w:rsidRPr="00092ED7">
        <w:rPr>
          <w:rFonts w:eastAsia="Times New Roman" w:cs="Times New Roman"/>
          <w:spacing w:val="-6"/>
          <w:szCs w:val="24"/>
          <w:lang w:val="sr-Cyrl-CS"/>
        </w:rPr>
        <w:t xml:space="preserve"> </w:t>
      </w:r>
      <w:r w:rsidRPr="00092ED7">
        <w:rPr>
          <w:rFonts w:eastAsia="Times New Roman" w:cs="Times New Roman"/>
          <w:szCs w:val="24"/>
          <w:lang w:val="sr-Cyrl-CS"/>
        </w:rPr>
        <w:t>услови</w:t>
      </w:r>
      <w:r w:rsidRPr="00092ED7">
        <w:rPr>
          <w:rFonts w:eastAsia="Times New Roman" w:cs="Times New Roman"/>
          <w:spacing w:val="-6"/>
          <w:szCs w:val="24"/>
          <w:lang w:val="sr-Cyrl-CS"/>
        </w:rPr>
        <w:t xml:space="preserve"> </w:t>
      </w:r>
      <w:r w:rsidRPr="00092ED7">
        <w:rPr>
          <w:rFonts w:eastAsia="Times New Roman" w:cs="Times New Roman"/>
          <w:szCs w:val="24"/>
          <w:lang w:val="sr-Cyrl-CS"/>
        </w:rPr>
        <w:t>за</w:t>
      </w:r>
      <w:r w:rsidRPr="00092ED7">
        <w:rPr>
          <w:rFonts w:eastAsia="Times New Roman" w:cs="Times New Roman"/>
          <w:spacing w:val="-6"/>
          <w:szCs w:val="24"/>
          <w:lang w:val="sr-Cyrl-CS"/>
        </w:rPr>
        <w:t xml:space="preserve"> </w:t>
      </w:r>
      <w:r w:rsidRPr="00092ED7">
        <w:rPr>
          <w:rFonts w:eastAsia="Times New Roman" w:cs="Times New Roman"/>
          <w:szCs w:val="24"/>
          <w:lang w:val="sr-Cyrl-CS"/>
        </w:rPr>
        <w:t>укрупњавање</w:t>
      </w:r>
      <w:r w:rsidRPr="00092ED7">
        <w:rPr>
          <w:rFonts w:eastAsia="Times New Roman" w:cs="Times New Roman"/>
          <w:spacing w:val="-6"/>
          <w:szCs w:val="24"/>
          <w:lang w:val="sr-Cyrl-CS"/>
        </w:rPr>
        <w:t xml:space="preserve"> </w:t>
      </w:r>
      <w:r w:rsidRPr="00092ED7">
        <w:rPr>
          <w:rFonts w:eastAsia="Times New Roman" w:cs="Times New Roman"/>
          <w:szCs w:val="24"/>
          <w:lang w:val="sr-Cyrl-CS"/>
        </w:rPr>
        <w:t>катастарских</w:t>
      </w:r>
      <w:r w:rsidRPr="00092ED7">
        <w:rPr>
          <w:rFonts w:eastAsia="Times New Roman" w:cs="Times New Roman"/>
          <w:spacing w:val="-6"/>
          <w:szCs w:val="24"/>
          <w:lang w:val="sr-Cyrl-CS"/>
        </w:rPr>
        <w:t xml:space="preserve"> </w:t>
      </w:r>
      <w:r w:rsidRPr="00092ED7">
        <w:rPr>
          <w:rFonts w:eastAsia="Times New Roman" w:cs="Times New Roman"/>
          <w:szCs w:val="24"/>
          <w:lang w:val="sr-Cyrl-CS"/>
        </w:rPr>
        <w:t>парцела, спречавање поремећаја природних функција земљишта, као и очување квалитета пољопривредног земљишта. Изградњом система за одводњавање упоредо са комасацијом</w:t>
      </w:r>
      <w:r w:rsidRPr="00092ED7">
        <w:rPr>
          <w:rFonts w:eastAsia="Times New Roman" w:cs="Times New Roman"/>
          <w:spacing w:val="-5"/>
          <w:szCs w:val="24"/>
          <w:lang w:val="sr-Cyrl-CS"/>
        </w:rPr>
        <w:t xml:space="preserve"> </w:t>
      </w:r>
      <w:r w:rsidRPr="00092ED7">
        <w:rPr>
          <w:rFonts w:eastAsia="Times New Roman" w:cs="Times New Roman"/>
          <w:szCs w:val="24"/>
          <w:lang w:val="sr-Cyrl-CS"/>
        </w:rPr>
        <w:t>ствара</w:t>
      </w:r>
      <w:r w:rsidRPr="00092ED7">
        <w:rPr>
          <w:rFonts w:eastAsia="Times New Roman" w:cs="Times New Roman"/>
          <w:spacing w:val="-5"/>
          <w:szCs w:val="24"/>
          <w:lang w:val="sr-Cyrl-CS"/>
        </w:rPr>
        <w:t xml:space="preserve"> </w:t>
      </w:r>
      <w:r w:rsidRPr="00092ED7">
        <w:rPr>
          <w:rFonts w:eastAsia="Times New Roman" w:cs="Times New Roman"/>
          <w:szCs w:val="24"/>
          <w:lang w:val="sr-Cyrl-CS"/>
        </w:rPr>
        <w:t>се</w:t>
      </w:r>
      <w:r w:rsidRPr="00092ED7">
        <w:rPr>
          <w:rFonts w:eastAsia="Times New Roman" w:cs="Times New Roman"/>
          <w:spacing w:val="-5"/>
          <w:szCs w:val="24"/>
          <w:lang w:val="sr-Cyrl-CS"/>
        </w:rPr>
        <w:t xml:space="preserve"> </w:t>
      </w:r>
      <w:r w:rsidRPr="00092ED7">
        <w:rPr>
          <w:rFonts w:eastAsia="Times New Roman" w:cs="Times New Roman"/>
          <w:szCs w:val="24"/>
          <w:lang w:val="sr-Cyrl-CS"/>
        </w:rPr>
        <w:t>повољан</w:t>
      </w:r>
      <w:r w:rsidRPr="00092ED7">
        <w:rPr>
          <w:rFonts w:eastAsia="Times New Roman" w:cs="Times New Roman"/>
          <w:spacing w:val="-5"/>
          <w:szCs w:val="24"/>
          <w:lang w:val="sr-Cyrl-CS"/>
        </w:rPr>
        <w:t xml:space="preserve"> </w:t>
      </w:r>
      <w:r w:rsidRPr="00092ED7">
        <w:rPr>
          <w:rFonts w:eastAsia="Times New Roman" w:cs="Times New Roman"/>
          <w:szCs w:val="24"/>
          <w:lang w:val="sr-Cyrl-CS"/>
        </w:rPr>
        <w:t>водно-ваздушни</w:t>
      </w:r>
      <w:r w:rsidRPr="00092ED7">
        <w:rPr>
          <w:rFonts w:eastAsia="Times New Roman" w:cs="Times New Roman"/>
          <w:spacing w:val="-5"/>
          <w:szCs w:val="24"/>
          <w:lang w:val="sr-Cyrl-CS"/>
        </w:rPr>
        <w:t xml:space="preserve"> </w:t>
      </w:r>
      <w:r w:rsidRPr="00092ED7">
        <w:rPr>
          <w:rFonts w:eastAsia="Times New Roman" w:cs="Times New Roman"/>
          <w:szCs w:val="24"/>
          <w:lang w:val="sr-Cyrl-CS"/>
        </w:rPr>
        <w:t>режим</w:t>
      </w:r>
      <w:r w:rsidRPr="00092ED7">
        <w:rPr>
          <w:rFonts w:eastAsia="Times New Roman" w:cs="Times New Roman"/>
          <w:spacing w:val="-5"/>
          <w:szCs w:val="24"/>
          <w:lang w:val="sr-Cyrl-CS"/>
        </w:rPr>
        <w:t xml:space="preserve"> </w:t>
      </w:r>
      <w:r w:rsidRPr="00092ED7">
        <w:rPr>
          <w:rFonts w:eastAsia="Times New Roman" w:cs="Times New Roman"/>
          <w:szCs w:val="24"/>
          <w:lang w:val="sr-Cyrl-CS"/>
        </w:rPr>
        <w:t>земљишта,</w:t>
      </w:r>
      <w:r w:rsidRPr="00092ED7">
        <w:rPr>
          <w:rFonts w:eastAsia="Times New Roman" w:cs="Times New Roman"/>
          <w:spacing w:val="-5"/>
          <w:szCs w:val="24"/>
          <w:lang w:val="sr-Cyrl-CS"/>
        </w:rPr>
        <w:t xml:space="preserve"> </w:t>
      </w:r>
      <w:r w:rsidRPr="00092ED7">
        <w:rPr>
          <w:rFonts w:eastAsia="Times New Roman" w:cs="Times New Roman"/>
          <w:szCs w:val="24"/>
          <w:lang w:val="sr-Cyrl-CS"/>
        </w:rPr>
        <w:t>што</w:t>
      </w:r>
      <w:r w:rsidRPr="00092ED7">
        <w:rPr>
          <w:rFonts w:eastAsia="Times New Roman" w:cs="Times New Roman"/>
          <w:spacing w:val="-5"/>
          <w:szCs w:val="24"/>
          <w:lang w:val="sr-Cyrl-CS"/>
        </w:rPr>
        <w:t xml:space="preserve"> </w:t>
      </w:r>
      <w:r w:rsidRPr="00092ED7">
        <w:rPr>
          <w:rFonts w:eastAsia="Times New Roman" w:cs="Times New Roman"/>
          <w:szCs w:val="24"/>
          <w:lang w:val="sr-Cyrl-CS"/>
        </w:rPr>
        <w:t>доводи</w:t>
      </w:r>
      <w:r w:rsidRPr="00092ED7">
        <w:rPr>
          <w:rFonts w:eastAsia="Times New Roman" w:cs="Times New Roman"/>
          <w:spacing w:val="-5"/>
          <w:szCs w:val="24"/>
          <w:lang w:val="sr-Cyrl-CS"/>
        </w:rPr>
        <w:t xml:space="preserve"> </w:t>
      </w:r>
      <w:r w:rsidRPr="00092ED7">
        <w:rPr>
          <w:rFonts w:eastAsia="Times New Roman" w:cs="Times New Roman"/>
          <w:szCs w:val="24"/>
          <w:lang w:val="sr-Cyrl-CS"/>
        </w:rPr>
        <w:t>до</w:t>
      </w:r>
      <w:r w:rsidRPr="00092ED7">
        <w:rPr>
          <w:rFonts w:eastAsia="Times New Roman" w:cs="Times New Roman"/>
          <w:spacing w:val="-5"/>
          <w:szCs w:val="24"/>
          <w:lang w:val="sr-Cyrl-CS"/>
        </w:rPr>
        <w:t xml:space="preserve"> </w:t>
      </w:r>
      <w:r w:rsidRPr="00092ED7">
        <w:rPr>
          <w:rFonts w:eastAsia="Times New Roman" w:cs="Times New Roman"/>
          <w:szCs w:val="24"/>
          <w:lang w:val="sr-Cyrl-CS"/>
        </w:rPr>
        <w:t>спречавања</w:t>
      </w:r>
      <w:r w:rsidRPr="00092ED7">
        <w:rPr>
          <w:rFonts w:eastAsia="Times New Roman" w:cs="Times New Roman"/>
          <w:spacing w:val="-5"/>
          <w:szCs w:val="24"/>
          <w:lang w:val="sr-Cyrl-CS"/>
        </w:rPr>
        <w:t xml:space="preserve"> </w:t>
      </w:r>
      <w:r w:rsidRPr="00092ED7">
        <w:rPr>
          <w:rFonts w:eastAsia="Times New Roman" w:cs="Times New Roman"/>
          <w:szCs w:val="24"/>
          <w:lang w:val="sr-Cyrl-CS"/>
        </w:rPr>
        <w:t xml:space="preserve">неповољног утицаја задржавања </w:t>
      </w:r>
      <w:r w:rsidRPr="00092ED7">
        <w:rPr>
          <w:rFonts w:eastAsia="Times New Roman" w:cs="Times New Roman"/>
          <w:spacing w:val="-3"/>
          <w:szCs w:val="24"/>
          <w:lang w:val="sr-Cyrl-CS"/>
        </w:rPr>
        <w:t xml:space="preserve">воде </w:t>
      </w:r>
      <w:r w:rsidRPr="00092ED7">
        <w:rPr>
          <w:rFonts w:eastAsia="Times New Roman" w:cs="Times New Roman"/>
          <w:szCs w:val="24"/>
          <w:lang w:val="sr-Cyrl-CS"/>
        </w:rPr>
        <w:t xml:space="preserve">у пољопривредном земљишту и смањења плодности земљишта. </w:t>
      </w:r>
      <w:r w:rsidRPr="00092ED7">
        <w:rPr>
          <w:rFonts w:eastAsia="Times New Roman" w:cs="Times New Roman"/>
          <w:spacing w:val="-3"/>
          <w:szCs w:val="24"/>
          <w:lang w:val="sr-Cyrl-CS"/>
        </w:rPr>
        <w:t xml:space="preserve">Такође, </w:t>
      </w:r>
      <w:r w:rsidRPr="00092ED7">
        <w:rPr>
          <w:rFonts w:eastAsia="Times New Roman" w:cs="Times New Roman"/>
          <w:szCs w:val="24"/>
          <w:lang w:val="sr-Cyrl-CS"/>
        </w:rPr>
        <w:t xml:space="preserve">осигураће се транспарентност поступка комасације и јавни приступ информацијама о животној средини на комасационом </w:t>
      </w:r>
      <w:r w:rsidRPr="00092ED7">
        <w:rPr>
          <w:rFonts w:eastAsia="Times New Roman" w:cs="Times New Roman"/>
          <w:spacing w:val="-41"/>
          <w:szCs w:val="24"/>
          <w:lang w:val="sr-Cyrl-CS"/>
        </w:rPr>
        <w:t xml:space="preserve"> </w:t>
      </w:r>
      <w:r w:rsidRPr="00092ED7">
        <w:rPr>
          <w:rFonts w:eastAsia="Times New Roman" w:cs="Times New Roman"/>
          <w:spacing w:val="-4"/>
          <w:szCs w:val="24"/>
          <w:lang w:val="sr-Cyrl-CS"/>
        </w:rPr>
        <w:t>подручју.</w:t>
      </w:r>
    </w:p>
    <w:p w14:paraId="226EE72C" w14:textId="77777777" w:rsidR="00D210F0" w:rsidRPr="00092ED7" w:rsidRDefault="00D210F0" w:rsidP="00D210F0">
      <w:pPr>
        <w:spacing w:after="60"/>
        <w:rPr>
          <w:rFonts w:eastAsia="Times New Roman" w:cs="Times New Roman"/>
          <w:szCs w:val="24"/>
          <w:lang w:val="sr-Cyrl-CS"/>
        </w:rPr>
      </w:pPr>
      <w:r w:rsidRPr="00092ED7">
        <w:rPr>
          <w:rFonts w:eastAsia="Times New Roman" w:cs="Times New Roman"/>
          <w:spacing w:val="-3"/>
          <w:szCs w:val="24"/>
          <w:lang w:val="sr-Cyrl-CS"/>
        </w:rPr>
        <w:t>Унапређења</w:t>
      </w:r>
      <w:r w:rsidRPr="00092ED7">
        <w:rPr>
          <w:rFonts w:eastAsia="Times New Roman" w:cs="Times New Roman"/>
          <w:spacing w:val="-12"/>
          <w:szCs w:val="24"/>
          <w:lang w:val="sr-Cyrl-CS"/>
        </w:rPr>
        <w:t xml:space="preserve"> </w:t>
      </w:r>
      <w:r w:rsidRPr="00092ED7">
        <w:rPr>
          <w:rFonts w:eastAsia="Times New Roman" w:cs="Times New Roman"/>
          <w:szCs w:val="24"/>
          <w:lang w:val="sr-Cyrl-CS"/>
        </w:rPr>
        <w:t>руралне</w:t>
      </w:r>
      <w:r w:rsidRPr="00092ED7">
        <w:rPr>
          <w:rFonts w:eastAsia="Times New Roman" w:cs="Times New Roman"/>
          <w:spacing w:val="-12"/>
          <w:szCs w:val="24"/>
          <w:lang w:val="sr-Cyrl-CS"/>
        </w:rPr>
        <w:t xml:space="preserve"> </w:t>
      </w:r>
      <w:r w:rsidRPr="00092ED7">
        <w:rPr>
          <w:rFonts w:eastAsia="Times New Roman" w:cs="Times New Roman"/>
          <w:szCs w:val="24"/>
          <w:lang w:val="sr-Cyrl-CS"/>
        </w:rPr>
        <w:t>инфраструктуре</w:t>
      </w:r>
      <w:r w:rsidRPr="00092ED7">
        <w:rPr>
          <w:rFonts w:eastAsia="Times New Roman" w:cs="Times New Roman"/>
          <w:spacing w:val="-12"/>
          <w:szCs w:val="24"/>
          <w:lang w:val="sr-Cyrl-CS"/>
        </w:rPr>
        <w:t xml:space="preserve"> </w:t>
      </w:r>
      <w:r w:rsidRPr="00092ED7">
        <w:rPr>
          <w:rFonts w:eastAsia="Times New Roman" w:cs="Times New Roman"/>
          <w:szCs w:val="24"/>
          <w:lang w:val="sr-Cyrl-CS"/>
        </w:rPr>
        <w:t>доприноси</w:t>
      </w:r>
      <w:r w:rsidRPr="00092ED7">
        <w:rPr>
          <w:rFonts w:eastAsia="Times New Roman" w:cs="Times New Roman"/>
          <w:spacing w:val="-12"/>
          <w:szCs w:val="24"/>
          <w:lang w:val="sr-Cyrl-CS"/>
        </w:rPr>
        <w:t xml:space="preserve"> </w:t>
      </w:r>
      <w:r w:rsidRPr="00092ED7">
        <w:rPr>
          <w:rFonts w:eastAsia="Times New Roman" w:cs="Times New Roman"/>
          <w:szCs w:val="24"/>
          <w:lang w:val="sr-Cyrl-CS"/>
        </w:rPr>
        <w:t>очувању</w:t>
      </w:r>
      <w:r w:rsidRPr="00092ED7">
        <w:rPr>
          <w:rFonts w:eastAsia="Times New Roman" w:cs="Times New Roman"/>
          <w:spacing w:val="-12"/>
          <w:szCs w:val="24"/>
          <w:lang w:val="sr-Cyrl-CS"/>
        </w:rPr>
        <w:t xml:space="preserve"> </w:t>
      </w:r>
      <w:r w:rsidRPr="00092ED7">
        <w:rPr>
          <w:rFonts w:eastAsia="Times New Roman" w:cs="Times New Roman"/>
          <w:szCs w:val="24"/>
          <w:lang w:val="sr-Cyrl-CS"/>
        </w:rPr>
        <w:t>животне</w:t>
      </w:r>
      <w:r w:rsidRPr="00092ED7">
        <w:rPr>
          <w:rFonts w:eastAsia="Times New Roman" w:cs="Times New Roman"/>
          <w:spacing w:val="-12"/>
          <w:szCs w:val="24"/>
          <w:lang w:val="sr-Cyrl-CS"/>
        </w:rPr>
        <w:t xml:space="preserve"> </w:t>
      </w:r>
      <w:r w:rsidRPr="00092ED7">
        <w:rPr>
          <w:rFonts w:eastAsia="Times New Roman" w:cs="Times New Roman"/>
          <w:szCs w:val="24"/>
          <w:lang w:val="sr-Cyrl-CS"/>
        </w:rPr>
        <w:t>средине,</w:t>
      </w:r>
      <w:r w:rsidRPr="00092ED7">
        <w:rPr>
          <w:rFonts w:eastAsia="Times New Roman" w:cs="Times New Roman"/>
          <w:spacing w:val="-12"/>
          <w:szCs w:val="24"/>
          <w:lang w:val="sr-Cyrl-CS"/>
        </w:rPr>
        <w:t xml:space="preserve"> </w:t>
      </w:r>
      <w:r w:rsidRPr="00092ED7">
        <w:rPr>
          <w:rFonts w:eastAsia="Times New Roman" w:cs="Times New Roman"/>
          <w:szCs w:val="24"/>
          <w:lang w:val="sr-Cyrl-CS"/>
        </w:rPr>
        <w:t>с</w:t>
      </w:r>
      <w:r w:rsidRPr="00092ED7">
        <w:rPr>
          <w:rFonts w:eastAsia="Times New Roman" w:cs="Times New Roman"/>
          <w:spacing w:val="-12"/>
          <w:szCs w:val="24"/>
          <w:lang w:val="sr-Cyrl-CS"/>
        </w:rPr>
        <w:t xml:space="preserve"> </w:t>
      </w:r>
      <w:r w:rsidRPr="00092ED7">
        <w:rPr>
          <w:rFonts w:eastAsia="Times New Roman" w:cs="Times New Roman"/>
          <w:szCs w:val="24"/>
          <w:lang w:val="sr-Cyrl-CS"/>
        </w:rPr>
        <w:t>обзиром на то</w:t>
      </w:r>
      <w:r w:rsidRPr="00092ED7">
        <w:rPr>
          <w:rFonts w:eastAsia="Times New Roman" w:cs="Times New Roman"/>
          <w:spacing w:val="-12"/>
          <w:szCs w:val="24"/>
          <w:lang w:val="sr-Cyrl-CS"/>
        </w:rPr>
        <w:t xml:space="preserve"> </w:t>
      </w:r>
      <w:r w:rsidRPr="00092ED7">
        <w:rPr>
          <w:rFonts w:eastAsia="Times New Roman" w:cs="Times New Roman"/>
          <w:szCs w:val="24"/>
          <w:lang w:val="sr-Cyrl-CS"/>
        </w:rPr>
        <w:t>да су</w:t>
      </w:r>
      <w:r w:rsidRPr="00092ED7">
        <w:rPr>
          <w:rFonts w:eastAsia="Times New Roman" w:cs="Times New Roman"/>
          <w:spacing w:val="-11"/>
          <w:szCs w:val="24"/>
          <w:lang w:val="sr-Cyrl-CS"/>
        </w:rPr>
        <w:t xml:space="preserve"> </w:t>
      </w:r>
      <w:r w:rsidRPr="00092ED7">
        <w:rPr>
          <w:rFonts w:eastAsia="Times New Roman" w:cs="Times New Roman"/>
          <w:szCs w:val="24"/>
          <w:lang w:val="sr-Cyrl-CS"/>
        </w:rPr>
        <w:t>предвиђене</w:t>
      </w:r>
      <w:r w:rsidRPr="00092ED7">
        <w:rPr>
          <w:rFonts w:eastAsia="Times New Roman" w:cs="Times New Roman"/>
          <w:spacing w:val="-11"/>
          <w:szCs w:val="24"/>
          <w:lang w:val="sr-Cyrl-CS"/>
        </w:rPr>
        <w:t xml:space="preserve"> </w:t>
      </w:r>
      <w:r w:rsidRPr="00092ED7">
        <w:rPr>
          <w:rFonts w:eastAsia="Times New Roman" w:cs="Times New Roman"/>
          <w:szCs w:val="24"/>
          <w:lang w:val="sr-Cyrl-CS"/>
        </w:rPr>
        <w:t>за</w:t>
      </w:r>
      <w:r w:rsidRPr="00092ED7">
        <w:rPr>
          <w:rFonts w:eastAsia="Times New Roman" w:cs="Times New Roman"/>
          <w:spacing w:val="-11"/>
          <w:szCs w:val="24"/>
          <w:lang w:val="sr-Cyrl-CS"/>
        </w:rPr>
        <w:t xml:space="preserve"> </w:t>
      </w:r>
      <w:r w:rsidRPr="00092ED7">
        <w:rPr>
          <w:rFonts w:eastAsia="Times New Roman" w:cs="Times New Roman"/>
          <w:szCs w:val="24"/>
          <w:lang w:val="sr-Cyrl-CS"/>
        </w:rPr>
        <w:t>финансирање</w:t>
      </w:r>
      <w:r w:rsidRPr="00092ED7">
        <w:rPr>
          <w:rFonts w:eastAsia="Times New Roman" w:cs="Times New Roman"/>
          <w:spacing w:val="-11"/>
          <w:szCs w:val="24"/>
          <w:lang w:val="sr-Cyrl-CS"/>
        </w:rPr>
        <w:t xml:space="preserve"> </w:t>
      </w:r>
      <w:r w:rsidRPr="00092ED7">
        <w:rPr>
          <w:rFonts w:eastAsia="Times New Roman" w:cs="Times New Roman"/>
          <w:szCs w:val="24"/>
          <w:lang w:val="sr-Cyrl-CS"/>
        </w:rPr>
        <w:t>инвестиције</w:t>
      </w:r>
      <w:r w:rsidRPr="00092ED7">
        <w:rPr>
          <w:rFonts w:eastAsia="Times New Roman" w:cs="Times New Roman"/>
          <w:spacing w:val="-11"/>
          <w:szCs w:val="24"/>
          <w:lang w:val="sr-Cyrl-CS"/>
        </w:rPr>
        <w:t xml:space="preserve"> </w:t>
      </w:r>
      <w:r w:rsidRPr="00092ED7">
        <w:rPr>
          <w:rFonts w:eastAsia="Times New Roman" w:cs="Times New Roman"/>
          <w:spacing w:val="-4"/>
          <w:szCs w:val="24"/>
          <w:lang w:val="sr-Cyrl-CS"/>
        </w:rPr>
        <w:t>које</w:t>
      </w:r>
      <w:r w:rsidRPr="00092ED7">
        <w:rPr>
          <w:rFonts w:eastAsia="Times New Roman" w:cs="Times New Roman"/>
          <w:spacing w:val="-11"/>
          <w:szCs w:val="24"/>
          <w:lang w:val="sr-Cyrl-CS"/>
        </w:rPr>
        <w:t xml:space="preserve"> </w:t>
      </w:r>
      <w:r w:rsidRPr="00092ED7">
        <w:rPr>
          <w:rFonts w:eastAsia="Times New Roman" w:cs="Times New Roman"/>
          <w:szCs w:val="24"/>
          <w:lang w:val="sr-Cyrl-CS"/>
        </w:rPr>
        <w:t>се,</w:t>
      </w:r>
      <w:r w:rsidRPr="00092ED7">
        <w:rPr>
          <w:rFonts w:eastAsia="Times New Roman" w:cs="Times New Roman"/>
          <w:spacing w:val="-11"/>
          <w:szCs w:val="24"/>
          <w:lang w:val="sr-Cyrl-CS"/>
        </w:rPr>
        <w:t xml:space="preserve"> </w:t>
      </w:r>
      <w:r w:rsidRPr="00092ED7">
        <w:rPr>
          <w:rFonts w:eastAsia="Times New Roman" w:cs="Times New Roman"/>
          <w:szCs w:val="24"/>
          <w:lang w:val="sr-Cyrl-CS"/>
        </w:rPr>
        <w:t>између</w:t>
      </w:r>
      <w:r w:rsidRPr="00092ED7">
        <w:rPr>
          <w:rFonts w:eastAsia="Times New Roman" w:cs="Times New Roman"/>
          <w:spacing w:val="-11"/>
          <w:szCs w:val="24"/>
          <w:lang w:val="sr-Cyrl-CS"/>
        </w:rPr>
        <w:t xml:space="preserve"> </w:t>
      </w:r>
      <w:r w:rsidRPr="00092ED7">
        <w:rPr>
          <w:rFonts w:eastAsia="Times New Roman" w:cs="Times New Roman"/>
          <w:spacing w:val="-3"/>
          <w:szCs w:val="24"/>
          <w:lang w:val="sr-Cyrl-CS"/>
        </w:rPr>
        <w:t>осталог,</w:t>
      </w:r>
      <w:r w:rsidRPr="00092ED7">
        <w:rPr>
          <w:rFonts w:eastAsia="Times New Roman" w:cs="Times New Roman"/>
          <w:spacing w:val="-11"/>
          <w:szCs w:val="24"/>
          <w:lang w:val="sr-Cyrl-CS"/>
        </w:rPr>
        <w:t xml:space="preserve"> </w:t>
      </w:r>
      <w:r w:rsidRPr="00092ED7">
        <w:rPr>
          <w:rFonts w:eastAsia="Times New Roman" w:cs="Times New Roman"/>
          <w:szCs w:val="24"/>
          <w:lang w:val="sr-Cyrl-CS"/>
        </w:rPr>
        <w:t>односе</w:t>
      </w:r>
      <w:r w:rsidRPr="00092ED7">
        <w:rPr>
          <w:rFonts w:eastAsia="Times New Roman" w:cs="Times New Roman"/>
          <w:spacing w:val="-11"/>
          <w:szCs w:val="24"/>
          <w:lang w:val="sr-Cyrl-CS"/>
        </w:rPr>
        <w:t xml:space="preserve"> </w:t>
      </w:r>
      <w:r w:rsidRPr="00092ED7">
        <w:rPr>
          <w:rFonts w:eastAsia="Times New Roman" w:cs="Times New Roman"/>
          <w:szCs w:val="24"/>
          <w:lang w:val="sr-Cyrl-CS"/>
        </w:rPr>
        <w:t>и</w:t>
      </w:r>
      <w:r w:rsidRPr="00092ED7">
        <w:rPr>
          <w:rFonts w:eastAsia="Times New Roman" w:cs="Times New Roman"/>
          <w:spacing w:val="-11"/>
          <w:szCs w:val="24"/>
          <w:lang w:val="sr-Cyrl-CS"/>
        </w:rPr>
        <w:t xml:space="preserve"> </w:t>
      </w:r>
      <w:r w:rsidRPr="00092ED7">
        <w:rPr>
          <w:rFonts w:eastAsia="Times New Roman" w:cs="Times New Roman"/>
          <w:szCs w:val="24"/>
          <w:lang w:val="sr-Cyrl-CS"/>
        </w:rPr>
        <w:t>на</w:t>
      </w:r>
      <w:r w:rsidRPr="00092ED7">
        <w:rPr>
          <w:rFonts w:eastAsia="Times New Roman" w:cs="Times New Roman"/>
          <w:spacing w:val="-11"/>
          <w:szCs w:val="24"/>
          <w:lang w:val="sr-Cyrl-CS"/>
        </w:rPr>
        <w:t xml:space="preserve"> </w:t>
      </w:r>
      <w:r w:rsidRPr="00092ED7">
        <w:rPr>
          <w:rFonts w:eastAsia="Times New Roman" w:cs="Times New Roman"/>
          <w:szCs w:val="24"/>
          <w:lang w:val="sr-Cyrl-CS"/>
        </w:rPr>
        <w:t>изградњу постројења</w:t>
      </w:r>
      <w:r w:rsidRPr="00092ED7">
        <w:rPr>
          <w:rFonts w:eastAsia="Times New Roman" w:cs="Times New Roman"/>
          <w:spacing w:val="-15"/>
          <w:szCs w:val="24"/>
          <w:lang w:val="sr-Cyrl-CS"/>
        </w:rPr>
        <w:t xml:space="preserve"> </w:t>
      </w:r>
      <w:r w:rsidRPr="00092ED7">
        <w:rPr>
          <w:rFonts w:eastAsia="Times New Roman" w:cs="Times New Roman"/>
          <w:szCs w:val="24"/>
          <w:lang w:val="sr-Cyrl-CS"/>
        </w:rPr>
        <w:t>за</w:t>
      </w:r>
      <w:r w:rsidRPr="00092ED7">
        <w:rPr>
          <w:rFonts w:eastAsia="Times New Roman" w:cs="Times New Roman"/>
          <w:spacing w:val="-15"/>
          <w:szCs w:val="24"/>
          <w:lang w:val="sr-Cyrl-CS"/>
        </w:rPr>
        <w:t xml:space="preserve"> </w:t>
      </w:r>
      <w:r w:rsidRPr="00092ED7">
        <w:rPr>
          <w:rFonts w:eastAsia="Times New Roman" w:cs="Times New Roman"/>
          <w:szCs w:val="24"/>
          <w:lang w:val="sr-Cyrl-CS"/>
        </w:rPr>
        <w:t>пречишћавање</w:t>
      </w:r>
      <w:r w:rsidRPr="00092ED7">
        <w:rPr>
          <w:rFonts w:eastAsia="Times New Roman" w:cs="Times New Roman"/>
          <w:spacing w:val="-15"/>
          <w:szCs w:val="24"/>
          <w:lang w:val="sr-Cyrl-CS"/>
        </w:rPr>
        <w:t xml:space="preserve"> </w:t>
      </w:r>
      <w:r w:rsidRPr="00092ED7">
        <w:rPr>
          <w:rFonts w:eastAsia="Times New Roman" w:cs="Times New Roman"/>
          <w:szCs w:val="24"/>
          <w:lang w:val="sr-Cyrl-CS"/>
        </w:rPr>
        <w:t>отпадних</w:t>
      </w:r>
      <w:r w:rsidRPr="00092ED7">
        <w:rPr>
          <w:rFonts w:eastAsia="Times New Roman" w:cs="Times New Roman"/>
          <w:spacing w:val="-15"/>
          <w:szCs w:val="24"/>
          <w:lang w:val="sr-Cyrl-CS"/>
        </w:rPr>
        <w:t xml:space="preserve"> </w:t>
      </w:r>
      <w:r w:rsidRPr="00092ED7">
        <w:rPr>
          <w:rFonts w:eastAsia="Times New Roman" w:cs="Times New Roman"/>
          <w:spacing w:val="-3"/>
          <w:szCs w:val="24"/>
          <w:lang w:val="sr-Cyrl-CS"/>
        </w:rPr>
        <w:t>вода</w:t>
      </w:r>
      <w:r w:rsidRPr="00092ED7">
        <w:rPr>
          <w:rFonts w:eastAsia="Times New Roman" w:cs="Times New Roman"/>
          <w:spacing w:val="-15"/>
          <w:szCs w:val="24"/>
          <w:lang w:val="sr-Cyrl-CS"/>
        </w:rPr>
        <w:t xml:space="preserve"> </w:t>
      </w:r>
      <w:r w:rsidRPr="00092ED7">
        <w:rPr>
          <w:rFonts w:eastAsia="Times New Roman" w:cs="Times New Roman"/>
          <w:szCs w:val="24"/>
          <w:lang w:val="sr-Cyrl-CS"/>
        </w:rPr>
        <w:t>и</w:t>
      </w:r>
      <w:r w:rsidRPr="00092ED7">
        <w:rPr>
          <w:rFonts w:eastAsia="Times New Roman" w:cs="Times New Roman"/>
          <w:spacing w:val="-15"/>
          <w:szCs w:val="24"/>
          <w:lang w:val="sr-Cyrl-CS"/>
        </w:rPr>
        <w:t xml:space="preserve"> </w:t>
      </w:r>
      <w:r w:rsidRPr="00092ED7">
        <w:rPr>
          <w:rFonts w:eastAsia="Times New Roman" w:cs="Times New Roman"/>
          <w:szCs w:val="24"/>
          <w:lang w:val="sr-Cyrl-CS"/>
        </w:rPr>
        <w:t>управљање</w:t>
      </w:r>
      <w:r w:rsidRPr="00092ED7">
        <w:rPr>
          <w:rFonts w:eastAsia="Times New Roman" w:cs="Times New Roman"/>
          <w:spacing w:val="-15"/>
          <w:szCs w:val="24"/>
          <w:lang w:val="sr-Cyrl-CS"/>
        </w:rPr>
        <w:t xml:space="preserve"> </w:t>
      </w:r>
      <w:r w:rsidRPr="00092ED7">
        <w:rPr>
          <w:rFonts w:eastAsia="Times New Roman" w:cs="Times New Roman"/>
          <w:szCs w:val="24"/>
          <w:lang w:val="sr-Cyrl-CS"/>
        </w:rPr>
        <w:t>отпадом.</w:t>
      </w:r>
      <w:r w:rsidRPr="00092ED7">
        <w:rPr>
          <w:rFonts w:eastAsia="Times New Roman" w:cs="Times New Roman"/>
          <w:spacing w:val="-15"/>
          <w:szCs w:val="24"/>
          <w:lang w:val="sr-Cyrl-CS"/>
        </w:rPr>
        <w:t xml:space="preserve"> </w:t>
      </w:r>
      <w:r w:rsidRPr="00092ED7">
        <w:rPr>
          <w:rFonts w:eastAsia="Times New Roman" w:cs="Times New Roman"/>
          <w:szCs w:val="24"/>
          <w:lang w:val="sr-Cyrl-CS"/>
        </w:rPr>
        <w:t>Органска</w:t>
      </w:r>
      <w:r w:rsidRPr="00092ED7">
        <w:rPr>
          <w:rFonts w:eastAsia="Times New Roman" w:cs="Times New Roman"/>
          <w:spacing w:val="-15"/>
          <w:szCs w:val="24"/>
          <w:lang w:val="sr-Cyrl-CS"/>
        </w:rPr>
        <w:t xml:space="preserve"> </w:t>
      </w:r>
      <w:r w:rsidRPr="00092ED7">
        <w:rPr>
          <w:rFonts w:eastAsia="Times New Roman" w:cs="Times New Roman"/>
          <w:szCs w:val="24"/>
          <w:lang w:val="sr-Cyrl-CS"/>
        </w:rPr>
        <w:t xml:space="preserve">производња заснива се на </w:t>
      </w:r>
      <w:r w:rsidRPr="00092ED7">
        <w:rPr>
          <w:rFonts w:eastAsia="Times New Roman" w:cs="Times New Roman"/>
          <w:spacing w:val="-3"/>
          <w:szCs w:val="24"/>
          <w:lang w:val="sr-Cyrl-CS"/>
        </w:rPr>
        <w:t xml:space="preserve">„холистичком” </w:t>
      </w:r>
      <w:r w:rsidRPr="00092ED7">
        <w:rPr>
          <w:rFonts w:eastAsia="Times New Roman" w:cs="Times New Roman"/>
          <w:szCs w:val="24"/>
          <w:lang w:val="sr-Cyrl-CS"/>
        </w:rPr>
        <w:t xml:space="preserve">систему производње </w:t>
      </w:r>
      <w:r w:rsidRPr="00092ED7">
        <w:rPr>
          <w:rFonts w:eastAsia="Times New Roman" w:cs="Times New Roman"/>
          <w:spacing w:val="-4"/>
          <w:szCs w:val="24"/>
          <w:lang w:val="sr-Cyrl-CS"/>
        </w:rPr>
        <w:t xml:space="preserve">који </w:t>
      </w:r>
      <w:r w:rsidRPr="00092ED7">
        <w:rPr>
          <w:rFonts w:eastAsia="Times New Roman" w:cs="Times New Roman"/>
          <w:szCs w:val="24"/>
          <w:lang w:val="sr-Cyrl-CS"/>
        </w:rPr>
        <w:t xml:space="preserve">промовише и </w:t>
      </w:r>
      <w:r w:rsidRPr="00092ED7">
        <w:rPr>
          <w:rFonts w:eastAsia="Times New Roman" w:cs="Times New Roman"/>
          <w:spacing w:val="-3"/>
          <w:szCs w:val="24"/>
          <w:lang w:val="sr-Cyrl-CS"/>
        </w:rPr>
        <w:t xml:space="preserve">јача </w:t>
      </w:r>
      <w:r w:rsidRPr="00092ED7">
        <w:rPr>
          <w:rFonts w:eastAsia="Times New Roman" w:cs="Times New Roman"/>
          <w:szCs w:val="24"/>
          <w:lang w:val="sr-Cyrl-CS"/>
        </w:rPr>
        <w:t xml:space="preserve">агроекосистем, здравље, укључујући и биодиверзитет, биолошке циклусе, као и земљиште. Највећа </w:t>
      </w:r>
      <w:r w:rsidRPr="00092ED7">
        <w:rPr>
          <w:rFonts w:eastAsia="Times New Roman" w:cs="Times New Roman"/>
          <w:spacing w:val="-5"/>
          <w:szCs w:val="24"/>
          <w:lang w:val="sr-Cyrl-CS"/>
        </w:rPr>
        <w:t>ко</w:t>
      </w:r>
      <w:r w:rsidRPr="00092ED7">
        <w:rPr>
          <w:rFonts w:eastAsia="Times New Roman" w:cs="Times New Roman"/>
          <w:szCs w:val="24"/>
          <w:lang w:val="sr-Cyrl-CS"/>
        </w:rPr>
        <w:t xml:space="preserve">рист органске проиводње је у </w:t>
      </w:r>
      <w:r w:rsidRPr="00092ED7">
        <w:rPr>
          <w:rFonts w:eastAsia="Times New Roman" w:cs="Times New Roman"/>
          <w:spacing w:val="-3"/>
          <w:szCs w:val="24"/>
          <w:lang w:val="sr-Cyrl-CS"/>
        </w:rPr>
        <w:t xml:space="preserve">томе </w:t>
      </w:r>
      <w:r w:rsidRPr="00092ED7">
        <w:rPr>
          <w:rFonts w:eastAsia="Times New Roman" w:cs="Times New Roman"/>
          <w:szCs w:val="24"/>
          <w:lang w:val="sr-Cyrl-CS"/>
        </w:rPr>
        <w:t>да доприноси одрживом коришћењу и очувању природних</w:t>
      </w:r>
      <w:r w:rsidRPr="00092ED7">
        <w:rPr>
          <w:rFonts w:eastAsia="Times New Roman" w:cs="Times New Roman"/>
          <w:spacing w:val="-4"/>
          <w:szCs w:val="24"/>
          <w:lang w:val="sr-Cyrl-CS"/>
        </w:rPr>
        <w:t xml:space="preserve"> </w:t>
      </w:r>
      <w:r w:rsidRPr="00092ED7">
        <w:rPr>
          <w:rFonts w:eastAsia="Times New Roman" w:cs="Times New Roman"/>
          <w:szCs w:val="24"/>
          <w:lang w:val="sr-Cyrl-CS"/>
        </w:rPr>
        <w:t>ресурса.</w:t>
      </w:r>
    </w:p>
    <w:p w14:paraId="13A75316" w14:textId="77777777" w:rsidR="00D210F0" w:rsidRPr="00092ED7" w:rsidRDefault="00D210F0" w:rsidP="00D210F0">
      <w:pPr>
        <w:spacing w:after="60"/>
        <w:rPr>
          <w:rFonts w:eastAsia="Times New Roman" w:cs="Times New Roman"/>
          <w:szCs w:val="24"/>
          <w:lang w:val="sr-Cyrl-CS"/>
        </w:rPr>
      </w:pPr>
      <w:r w:rsidRPr="00092ED7">
        <w:rPr>
          <w:rFonts w:eastAsia="Times New Roman" w:cs="Times New Roman"/>
          <w:szCs w:val="24"/>
          <w:lang w:val="sr-Cyrl-CS"/>
        </w:rPr>
        <w:t xml:space="preserve">Успостављањем IACS стварају се услови за примену правила </w:t>
      </w:r>
      <w:r w:rsidR="005860F2" w:rsidRPr="00092ED7">
        <w:rPr>
          <w:rFonts w:eastAsia="Times New Roman" w:cs="Times New Roman"/>
          <w:szCs w:val="24"/>
          <w:lang w:val="sr-Cyrl-CS"/>
        </w:rPr>
        <w:t xml:space="preserve">Заједничке пољопривредне политике </w:t>
      </w:r>
      <w:r w:rsidRPr="00092ED7">
        <w:rPr>
          <w:rFonts w:eastAsia="Times New Roman" w:cs="Times New Roman"/>
          <w:szCs w:val="24"/>
          <w:lang w:val="sr-Cyrl-CS"/>
        </w:rPr>
        <w:t>и провере усаглашености</w:t>
      </w:r>
      <w:r w:rsidRPr="00092ED7">
        <w:rPr>
          <w:rFonts w:eastAsia="Times New Roman" w:cs="Times New Roman"/>
          <w:spacing w:val="-9"/>
          <w:szCs w:val="24"/>
          <w:lang w:val="sr-Cyrl-CS"/>
        </w:rPr>
        <w:t xml:space="preserve"> </w:t>
      </w:r>
      <w:r w:rsidRPr="00092ED7">
        <w:rPr>
          <w:rFonts w:eastAsia="Times New Roman" w:cs="Times New Roman"/>
          <w:szCs w:val="24"/>
          <w:lang w:val="sr-Cyrl-CS"/>
        </w:rPr>
        <w:t>са</w:t>
      </w:r>
      <w:r w:rsidRPr="00092ED7">
        <w:rPr>
          <w:rFonts w:eastAsia="Times New Roman" w:cs="Times New Roman"/>
          <w:spacing w:val="-9"/>
          <w:szCs w:val="24"/>
          <w:lang w:val="sr-Cyrl-CS"/>
        </w:rPr>
        <w:t xml:space="preserve"> </w:t>
      </w:r>
      <w:r w:rsidRPr="00092ED7">
        <w:rPr>
          <w:rFonts w:eastAsia="Times New Roman" w:cs="Times New Roman"/>
          <w:szCs w:val="24"/>
          <w:lang w:val="sr-Cyrl-CS"/>
        </w:rPr>
        <w:t>еколошким</w:t>
      </w:r>
      <w:r w:rsidRPr="00092ED7">
        <w:rPr>
          <w:rFonts w:eastAsia="Times New Roman" w:cs="Times New Roman"/>
          <w:spacing w:val="-9"/>
          <w:szCs w:val="24"/>
          <w:lang w:val="sr-Cyrl-CS"/>
        </w:rPr>
        <w:t xml:space="preserve"> </w:t>
      </w:r>
      <w:r w:rsidRPr="00092ED7">
        <w:rPr>
          <w:rFonts w:eastAsia="Times New Roman" w:cs="Times New Roman"/>
          <w:szCs w:val="24"/>
          <w:lang w:val="sr-Cyrl-CS"/>
        </w:rPr>
        <w:t>захтевима</w:t>
      </w:r>
      <w:r w:rsidRPr="00092ED7">
        <w:rPr>
          <w:rFonts w:eastAsia="Times New Roman" w:cs="Times New Roman"/>
          <w:spacing w:val="-9"/>
          <w:szCs w:val="24"/>
          <w:lang w:val="sr-Cyrl-CS"/>
        </w:rPr>
        <w:t xml:space="preserve"> </w:t>
      </w:r>
      <w:r w:rsidRPr="00092ED7">
        <w:rPr>
          <w:rFonts w:eastAsia="Times New Roman" w:cs="Times New Roman"/>
          <w:szCs w:val="24"/>
          <w:lang w:val="sr-Cyrl-CS"/>
        </w:rPr>
        <w:t>за</w:t>
      </w:r>
      <w:r w:rsidRPr="00092ED7">
        <w:rPr>
          <w:rFonts w:eastAsia="Times New Roman" w:cs="Times New Roman"/>
          <w:spacing w:val="-9"/>
          <w:szCs w:val="24"/>
          <w:lang w:val="sr-Cyrl-CS"/>
        </w:rPr>
        <w:t xml:space="preserve"> </w:t>
      </w:r>
      <w:r w:rsidRPr="00092ED7">
        <w:rPr>
          <w:rFonts w:eastAsia="Times New Roman" w:cs="Times New Roman"/>
          <w:szCs w:val="24"/>
          <w:lang w:val="sr-Cyrl-CS"/>
        </w:rPr>
        <w:t>исплату</w:t>
      </w:r>
      <w:r w:rsidRPr="00092ED7">
        <w:rPr>
          <w:rFonts w:eastAsia="Times New Roman" w:cs="Times New Roman"/>
          <w:spacing w:val="-9"/>
          <w:szCs w:val="24"/>
          <w:lang w:val="sr-Cyrl-CS"/>
        </w:rPr>
        <w:t xml:space="preserve"> </w:t>
      </w:r>
      <w:r w:rsidRPr="00092ED7">
        <w:rPr>
          <w:rFonts w:eastAsia="Times New Roman" w:cs="Times New Roman"/>
          <w:szCs w:val="24"/>
          <w:lang w:val="sr-Cyrl-CS"/>
        </w:rPr>
        <w:t>подстицаја</w:t>
      </w:r>
      <w:r w:rsidRPr="00092ED7">
        <w:rPr>
          <w:rFonts w:eastAsia="Times New Roman" w:cs="Times New Roman"/>
          <w:spacing w:val="-9"/>
          <w:szCs w:val="24"/>
          <w:lang w:val="sr-Cyrl-CS"/>
        </w:rPr>
        <w:t xml:space="preserve"> </w:t>
      </w:r>
      <w:r w:rsidRPr="00092ED7">
        <w:rPr>
          <w:rFonts w:eastAsia="Times New Roman" w:cs="Times New Roman"/>
          <w:szCs w:val="24"/>
          <w:lang w:val="sr-Cyrl-CS"/>
        </w:rPr>
        <w:t>као</w:t>
      </w:r>
      <w:r w:rsidRPr="00092ED7">
        <w:rPr>
          <w:rFonts w:eastAsia="Times New Roman" w:cs="Times New Roman"/>
          <w:spacing w:val="-9"/>
          <w:szCs w:val="24"/>
          <w:lang w:val="sr-Cyrl-CS"/>
        </w:rPr>
        <w:t xml:space="preserve"> </w:t>
      </w:r>
      <w:r w:rsidRPr="00092ED7">
        <w:rPr>
          <w:rFonts w:eastAsia="Times New Roman" w:cs="Times New Roman"/>
          <w:szCs w:val="24"/>
          <w:lang w:val="sr-Cyrl-CS"/>
        </w:rPr>
        <w:t>и</w:t>
      </w:r>
      <w:r w:rsidRPr="00092ED7">
        <w:rPr>
          <w:rFonts w:eastAsia="Times New Roman" w:cs="Times New Roman"/>
          <w:spacing w:val="-9"/>
          <w:szCs w:val="24"/>
          <w:lang w:val="sr-Cyrl-CS"/>
        </w:rPr>
        <w:t xml:space="preserve"> </w:t>
      </w:r>
      <w:r w:rsidRPr="00092ED7">
        <w:rPr>
          <w:rFonts w:eastAsia="Times New Roman" w:cs="Times New Roman"/>
          <w:szCs w:val="24"/>
          <w:lang w:val="sr-Cyrl-CS"/>
        </w:rPr>
        <w:t>плаћања</w:t>
      </w:r>
      <w:r w:rsidRPr="00092ED7">
        <w:rPr>
          <w:rFonts w:eastAsia="Times New Roman" w:cs="Times New Roman"/>
          <w:spacing w:val="-9"/>
          <w:szCs w:val="24"/>
          <w:lang w:val="sr-Cyrl-CS"/>
        </w:rPr>
        <w:t xml:space="preserve"> </w:t>
      </w:r>
      <w:r w:rsidRPr="00092ED7">
        <w:rPr>
          <w:rFonts w:eastAsia="Times New Roman" w:cs="Times New Roman"/>
          <w:szCs w:val="24"/>
          <w:lang w:val="sr-Cyrl-CS"/>
        </w:rPr>
        <w:t>по</w:t>
      </w:r>
      <w:r w:rsidRPr="00092ED7">
        <w:rPr>
          <w:rFonts w:eastAsia="Times New Roman" w:cs="Times New Roman"/>
          <w:spacing w:val="-9"/>
          <w:szCs w:val="24"/>
          <w:lang w:val="sr-Cyrl-CS"/>
        </w:rPr>
        <w:t xml:space="preserve"> </w:t>
      </w:r>
      <w:r w:rsidRPr="00092ED7">
        <w:rPr>
          <w:rFonts w:eastAsia="Times New Roman" w:cs="Times New Roman"/>
          <w:szCs w:val="24"/>
          <w:lang w:val="sr-Cyrl-CS"/>
        </w:rPr>
        <w:t>основу</w:t>
      </w:r>
      <w:r w:rsidRPr="00092ED7">
        <w:rPr>
          <w:rFonts w:eastAsia="Times New Roman" w:cs="Times New Roman"/>
          <w:spacing w:val="-9"/>
          <w:szCs w:val="24"/>
          <w:lang w:val="sr-Cyrl-CS"/>
        </w:rPr>
        <w:t xml:space="preserve"> </w:t>
      </w:r>
      <w:r w:rsidRPr="00092ED7">
        <w:rPr>
          <w:rFonts w:eastAsia="Times New Roman" w:cs="Times New Roman"/>
          <w:szCs w:val="24"/>
          <w:lang w:val="sr-Cyrl-CS"/>
        </w:rPr>
        <w:t>подстицаја</w:t>
      </w:r>
      <w:r w:rsidRPr="00092ED7">
        <w:rPr>
          <w:rFonts w:eastAsia="Times New Roman" w:cs="Times New Roman"/>
          <w:spacing w:val="-7"/>
          <w:szCs w:val="24"/>
          <w:lang w:val="sr-Cyrl-CS"/>
        </w:rPr>
        <w:t xml:space="preserve"> </w:t>
      </w:r>
      <w:r w:rsidRPr="00092ED7">
        <w:rPr>
          <w:rFonts w:eastAsia="Times New Roman" w:cs="Times New Roman"/>
          <w:szCs w:val="24"/>
          <w:lang w:val="sr-Cyrl-CS"/>
        </w:rPr>
        <w:t>за</w:t>
      </w:r>
      <w:r w:rsidRPr="00092ED7">
        <w:rPr>
          <w:rFonts w:eastAsia="Times New Roman" w:cs="Times New Roman"/>
          <w:spacing w:val="-7"/>
          <w:szCs w:val="24"/>
          <w:lang w:val="sr-Cyrl-CS"/>
        </w:rPr>
        <w:t xml:space="preserve"> </w:t>
      </w:r>
      <w:r w:rsidRPr="00092ED7">
        <w:rPr>
          <w:rFonts w:eastAsia="Times New Roman" w:cs="Times New Roman"/>
          <w:spacing w:val="-3"/>
          <w:szCs w:val="24"/>
          <w:lang w:val="sr-Cyrl-CS"/>
        </w:rPr>
        <w:t>еколошке</w:t>
      </w:r>
      <w:r w:rsidRPr="00092ED7">
        <w:rPr>
          <w:rFonts w:eastAsia="Times New Roman" w:cs="Times New Roman"/>
          <w:spacing w:val="-7"/>
          <w:szCs w:val="24"/>
          <w:lang w:val="sr-Cyrl-CS"/>
        </w:rPr>
        <w:t xml:space="preserve"> </w:t>
      </w:r>
      <w:r w:rsidRPr="00092ED7">
        <w:rPr>
          <w:rFonts w:eastAsia="Times New Roman" w:cs="Times New Roman"/>
          <w:szCs w:val="24"/>
          <w:lang w:val="sr-Cyrl-CS"/>
        </w:rPr>
        <w:t>мере</w:t>
      </w:r>
      <w:r w:rsidRPr="00092ED7">
        <w:rPr>
          <w:rFonts w:eastAsia="Times New Roman" w:cs="Times New Roman"/>
          <w:spacing w:val="-7"/>
          <w:szCs w:val="24"/>
          <w:lang w:val="sr-Cyrl-CS"/>
        </w:rPr>
        <w:t xml:space="preserve"> </w:t>
      </w:r>
      <w:r w:rsidRPr="00092ED7">
        <w:rPr>
          <w:rFonts w:eastAsia="Times New Roman" w:cs="Times New Roman"/>
          <w:szCs w:val="24"/>
          <w:lang w:val="sr-Cyrl-CS"/>
        </w:rPr>
        <w:t>чиме</w:t>
      </w:r>
      <w:r w:rsidRPr="00092ED7">
        <w:rPr>
          <w:rFonts w:eastAsia="Times New Roman" w:cs="Times New Roman"/>
          <w:spacing w:val="-7"/>
          <w:szCs w:val="24"/>
          <w:lang w:val="sr-Cyrl-CS"/>
        </w:rPr>
        <w:t xml:space="preserve"> </w:t>
      </w:r>
      <w:r w:rsidRPr="00092ED7">
        <w:rPr>
          <w:rFonts w:eastAsia="Times New Roman" w:cs="Times New Roman"/>
          <w:szCs w:val="24"/>
          <w:lang w:val="sr-Cyrl-CS"/>
        </w:rPr>
        <w:t>ће</w:t>
      </w:r>
      <w:r w:rsidRPr="00092ED7">
        <w:rPr>
          <w:rFonts w:eastAsia="Times New Roman" w:cs="Times New Roman"/>
          <w:spacing w:val="-7"/>
          <w:szCs w:val="24"/>
          <w:lang w:val="sr-Cyrl-CS"/>
        </w:rPr>
        <w:t xml:space="preserve"> </w:t>
      </w:r>
      <w:r w:rsidRPr="00092ED7">
        <w:rPr>
          <w:rFonts w:eastAsia="Times New Roman" w:cs="Times New Roman"/>
          <w:szCs w:val="24"/>
          <w:lang w:val="sr-Cyrl-CS"/>
        </w:rPr>
        <w:t>се</w:t>
      </w:r>
      <w:r w:rsidRPr="00092ED7">
        <w:rPr>
          <w:rFonts w:eastAsia="Times New Roman" w:cs="Times New Roman"/>
          <w:spacing w:val="-7"/>
          <w:szCs w:val="24"/>
          <w:lang w:val="sr-Cyrl-CS"/>
        </w:rPr>
        <w:t xml:space="preserve"> </w:t>
      </w:r>
      <w:r w:rsidRPr="00092ED7">
        <w:rPr>
          <w:rFonts w:eastAsia="Times New Roman" w:cs="Times New Roman"/>
          <w:szCs w:val="24"/>
          <w:lang w:val="sr-Cyrl-CS"/>
        </w:rPr>
        <w:t>допринети</w:t>
      </w:r>
      <w:r w:rsidRPr="00092ED7">
        <w:rPr>
          <w:rFonts w:eastAsia="Times New Roman" w:cs="Times New Roman"/>
          <w:spacing w:val="-7"/>
          <w:szCs w:val="24"/>
          <w:lang w:val="sr-Cyrl-CS"/>
        </w:rPr>
        <w:t xml:space="preserve"> </w:t>
      </w:r>
      <w:r w:rsidRPr="00092ED7">
        <w:rPr>
          <w:rFonts w:eastAsia="Times New Roman" w:cs="Times New Roman"/>
          <w:spacing w:val="-3"/>
          <w:szCs w:val="24"/>
          <w:lang w:val="sr-Cyrl-CS"/>
        </w:rPr>
        <w:t>озелењавању,</w:t>
      </w:r>
      <w:r w:rsidRPr="00092ED7">
        <w:rPr>
          <w:rFonts w:eastAsia="Times New Roman" w:cs="Times New Roman"/>
          <w:spacing w:val="-7"/>
          <w:szCs w:val="24"/>
          <w:lang w:val="sr-Cyrl-CS"/>
        </w:rPr>
        <w:t xml:space="preserve"> </w:t>
      </w:r>
      <w:r w:rsidRPr="00092ED7">
        <w:rPr>
          <w:rFonts w:eastAsia="Times New Roman" w:cs="Times New Roman"/>
          <w:szCs w:val="24"/>
          <w:lang w:val="sr-Cyrl-CS"/>
        </w:rPr>
        <w:t>инвестирању</w:t>
      </w:r>
      <w:r w:rsidRPr="00092ED7">
        <w:rPr>
          <w:rFonts w:eastAsia="Times New Roman" w:cs="Times New Roman"/>
          <w:spacing w:val="-7"/>
          <w:szCs w:val="24"/>
          <w:lang w:val="sr-Cyrl-CS"/>
        </w:rPr>
        <w:t xml:space="preserve"> </w:t>
      </w:r>
      <w:r w:rsidRPr="00092ED7">
        <w:rPr>
          <w:rFonts w:eastAsia="Times New Roman" w:cs="Times New Roman"/>
          <w:szCs w:val="24"/>
          <w:lang w:val="sr-Cyrl-CS"/>
        </w:rPr>
        <w:t>у</w:t>
      </w:r>
      <w:r w:rsidRPr="00092ED7">
        <w:rPr>
          <w:rFonts w:eastAsia="Times New Roman" w:cs="Times New Roman"/>
          <w:spacing w:val="-7"/>
          <w:szCs w:val="24"/>
          <w:lang w:val="sr-Cyrl-CS"/>
        </w:rPr>
        <w:t xml:space="preserve"> </w:t>
      </w:r>
      <w:r w:rsidRPr="00092ED7">
        <w:rPr>
          <w:rFonts w:eastAsia="Times New Roman" w:cs="Times New Roman"/>
          <w:szCs w:val="24"/>
          <w:lang w:val="sr-Cyrl-CS"/>
        </w:rPr>
        <w:t>смањење</w:t>
      </w:r>
      <w:r w:rsidRPr="00092ED7">
        <w:rPr>
          <w:rFonts w:eastAsia="Times New Roman" w:cs="Times New Roman"/>
          <w:spacing w:val="-7"/>
          <w:szCs w:val="24"/>
          <w:lang w:val="sr-Cyrl-CS"/>
        </w:rPr>
        <w:t xml:space="preserve"> </w:t>
      </w:r>
      <w:r w:rsidRPr="00092ED7">
        <w:rPr>
          <w:rFonts w:eastAsia="Times New Roman" w:cs="Times New Roman"/>
          <w:szCs w:val="24"/>
          <w:lang w:val="sr-Cyrl-CS"/>
        </w:rPr>
        <w:t>ефеката стаклене баште у пољопривреди, ефективно доприносећи захтевима Европског зеленог договора.</w:t>
      </w:r>
    </w:p>
    <w:p w14:paraId="152B2D24" w14:textId="77777777" w:rsidR="00D210F0" w:rsidRPr="00092ED7" w:rsidRDefault="00D210F0" w:rsidP="00071952">
      <w:pPr>
        <w:widowControl w:val="0"/>
        <w:numPr>
          <w:ilvl w:val="0"/>
          <w:numId w:val="36"/>
        </w:numPr>
        <w:spacing w:before="120"/>
        <w:rPr>
          <w:rFonts w:cs="Times New Roman"/>
          <w:b/>
          <w:szCs w:val="24"/>
          <w:lang w:val="sr-Cyrl-CS"/>
        </w:rPr>
      </w:pPr>
      <w:r w:rsidRPr="00092ED7">
        <w:rPr>
          <w:rFonts w:cs="Times New Roman"/>
          <w:b/>
          <w:szCs w:val="24"/>
          <w:lang w:val="sr-Cyrl-CS"/>
        </w:rPr>
        <w:t>Потенцијални ризици</w:t>
      </w:r>
    </w:p>
    <w:tbl>
      <w:tblPr>
        <w:tblStyle w:val="TableGrid"/>
        <w:tblW w:w="9072" w:type="dxa"/>
        <w:jc w:val="center"/>
        <w:tblLayout w:type="fixed"/>
        <w:tblLook w:val="04A0" w:firstRow="1" w:lastRow="0" w:firstColumn="1" w:lastColumn="0" w:noHBand="0" w:noVBand="1"/>
      </w:tblPr>
      <w:tblGrid>
        <w:gridCol w:w="3491"/>
        <w:gridCol w:w="2098"/>
        <w:gridCol w:w="3483"/>
      </w:tblGrid>
      <w:tr w:rsidR="00D210F0" w:rsidRPr="00092ED7" w14:paraId="5DF3DE81" w14:textId="77777777" w:rsidTr="006944C5">
        <w:trPr>
          <w:cnfStyle w:val="100000000000" w:firstRow="1" w:lastRow="0" w:firstColumn="0" w:lastColumn="0" w:oddVBand="0" w:evenVBand="0" w:oddHBand="0" w:evenHBand="0" w:firstRowFirstColumn="0" w:firstRowLastColumn="0" w:lastRowFirstColumn="0" w:lastRowLastColumn="0"/>
          <w:jc w:val="center"/>
        </w:trPr>
        <w:tc>
          <w:tcPr>
            <w:tcW w:w="3491" w:type="dxa"/>
            <w:tcBorders>
              <w:top w:val="single" w:sz="4" w:space="0" w:color="auto"/>
              <w:left w:val="single" w:sz="4" w:space="0" w:color="auto"/>
              <w:bottom w:val="single" w:sz="4" w:space="0" w:color="auto"/>
              <w:right w:val="single" w:sz="4" w:space="0" w:color="auto"/>
            </w:tcBorders>
          </w:tcPr>
          <w:p w14:paraId="346F6FC2"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Ризик</w:t>
            </w:r>
          </w:p>
        </w:tc>
        <w:tc>
          <w:tcPr>
            <w:tcW w:w="2098" w:type="dxa"/>
            <w:tcBorders>
              <w:top w:val="single" w:sz="4" w:space="0" w:color="auto"/>
              <w:left w:val="single" w:sz="4" w:space="0" w:color="auto"/>
              <w:bottom w:val="single" w:sz="4" w:space="0" w:color="auto"/>
              <w:right w:val="single" w:sz="4" w:space="0" w:color="auto"/>
            </w:tcBorders>
          </w:tcPr>
          <w:p w14:paraId="321F295D"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Вероватноћа за остваривање ризика</w:t>
            </w:r>
          </w:p>
        </w:tc>
        <w:tc>
          <w:tcPr>
            <w:tcW w:w="3483" w:type="dxa"/>
            <w:tcBorders>
              <w:top w:val="single" w:sz="4" w:space="0" w:color="auto"/>
              <w:left w:val="single" w:sz="4" w:space="0" w:color="auto"/>
              <w:bottom w:val="single" w:sz="4" w:space="0" w:color="auto"/>
              <w:right w:val="single" w:sz="4" w:space="0" w:color="auto"/>
            </w:tcBorders>
          </w:tcPr>
          <w:p w14:paraId="70829DFD"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06ACD9A5" w14:textId="77777777" w:rsidTr="00D030D6">
        <w:trPr>
          <w:jc w:val="center"/>
        </w:trPr>
        <w:tc>
          <w:tcPr>
            <w:tcW w:w="3491" w:type="dxa"/>
            <w:tcBorders>
              <w:top w:val="single" w:sz="4" w:space="0" w:color="auto"/>
              <w:left w:val="single" w:sz="4" w:space="0" w:color="auto"/>
              <w:bottom w:val="single" w:sz="4" w:space="0" w:color="auto"/>
              <w:right w:val="single" w:sz="4" w:space="0" w:color="auto"/>
            </w:tcBorders>
            <w:vAlign w:val="top"/>
          </w:tcPr>
          <w:p w14:paraId="6FABF4C5" w14:textId="77777777" w:rsidR="00D210F0" w:rsidRPr="00092ED7" w:rsidRDefault="00D210F0" w:rsidP="00D030D6">
            <w:pPr>
              <w:spacing w:before="0" w:after="0"/>
              <w:ind w:left="113" w:right="113"/>
              <w:rPr>
                <w:rFonts w:cs="Times New Roman"/>
                <w:sz w:val="20"/>
                <w:lang w:val="sr-Cyrl-CS"/>
              </w:rPr>
            </w:pPr>
            <w:r w:rsidRPr="00092ED7">
              <w:rPr>
                <w:rFonts w:cs="Times New Roman"/>
                <w:sz w:val="20"/>
                <w:lang w:val="sr-Cyrl-CS"/>
              </w:rPr>
              <w:t>Неусвајање закона и кашњење са усвајањем подзаконских аката</w:t>
            </w:r>
          </w:p>
        </w:tc>
        <w:tc>
          <w:tcPr>
            <w:tcW w:w="2098" w:type="dxa"/>
            <w:tcBorders>
              <w:top w:val="single" w:sz="4" w:space="0" w:color="auto"/>
              <w:left w:val="single" w:sz="4" w:space="0" w:color="auto"/>
              <w:bottom w:val="single" w:sz="4" w:space="0" w:color="auto"/>
              <w:right w:val="single" w:sz="4" w:space="0" w:color="auto"/>
            </w:tcBorders>
            <w:vAlign w:val="top"/>
          </w:tcPr>
          <w:p w14:paraId="32DA17B6" w14:textId="77777777" w:rsidR="00D210F0" w:rsidRPr="00092ED7" w:rsidRDefault="00D210F0" w:rsidP="00D030D6">
            <w:pPr>
              <w:spacing w:before="0" w:after="0"/>
              <w:ind w:left="113" w:right="113"/>
              <w:jc w:val="center"/>
              <w:rPr>
                <w:rFonts w:cs="Times New Roman"/>
                <w:sz w:val="20"/>
                <w:lang w:val="sr-Cyrl-CS"/>
              </w:rPr>
            </w:pPr>
            <w:r w:rsidRPr="00092ED7">
              <w:rPr>
                <w:rFonts w:cs="Times New Roman"/>
                <w:sz w:val="20"/>
                <w:lang w:val="sr-Cyrl-CS"/>
              </w:rPr>
              <w:t>Средња</w:t>
            </w:r>
          </w:p>
        </w:tc>
        <w:tc>
          <w:tcPr>
            <w:tcW w:w="3483" w:type="dxa"/>
            <w:tcBorders>
              <w:top w:val="single" w:sz="4" w:space="0" w:color="auto"/>
              <w:left w:val="single" w:sz="4" w:space="0" w:color="auto"/>
              <w:bottom w:val="single" w:sz="4" w:space="0" w:color="auto"/>
              <w:right w:val="single" w:sz="4" w:space="0" w:color="auto"/>
            </w:tcBorders>
          </w:tcPr>
          <w:p w14:paraId="73CC7B8E"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 xml:space="preserve">Пољопривредна политика креирана на начин да подржава мере из Закона о подстицајима у пољопривреди и руралном развоју. </w:t>
            </w:r>
          </w:p>
        </w:tc>
      </w:tr>
      <w:tr w:rsidR="00D210F0" w:rsidRPr="00092ED7" w14:paraId="4D466D7A" w14:textId="77777777" w:rsidTr="00D030D6">
        <w:trPr>
          <w:jc w:val="center"/>
        </w:trPr>
        <w:tc>
          <w:tcPr>
            <w:tcW w:w="3491" w:type="dxa"/>
            <w:tcBorders>
              <w:top w:val="single" w:sz="4" w:space="0" w:color="auto"/>
              <w:left w:val="single" w:sz="4" w:space="0" w:color="auto"/>
              <w:bottom w:val="single" w:sz="4" w:space="0" w:color="auto"/>
              <w:right w:val="single" w:sz="4" w:space="0" w:color="auto"/>
            </w:tcBorders>
            <w:vAlign w:val="top"/>
          </w:tcPr>
          <w:p w14:paraId="30264783" w14:textId="77777777" w:rsidR="00D210F0" w:rsidRPr="00092ED7" w:rsidRDefault="00D210F0" w:rsidP="00D030D6">
            <w:pPr>
              <w:spacing w:before="0" w:after="0"/>
              <w:ind w:left="113" w:right="113"/>
              <w:rPr>
                <w:rFonts w:cs="Times New Roman"/>
                <w:sz w:val="20"/>
                <w:lang w:val="sr-Cyrl-CS"/>
              </w:rPr>
            </w:pPr>
            <w:r w:rsidRPr="00092ED7">
              <w:rPr>
                <w:rFonts w:cs="Times New Roman"/>
                <w:sz w:val="20"/>
                <w:lang w:val="sr-Cyrl-CS"/>
              </w:rPr>
              <w:t>Велики број заинтересованих лица за решавање имовинско- правних односа и сложеност поступака њиховог решавања</w:t>
            </w:r>
          </w:p>
        </w:tc>
        <w:tc>
          <w:tcPr>
            <w:tcW w:w="2098" w:type="dxa"/>
            <w:tcBorders>
              <w:top w:val="single" w:sz="4" w:space="0" w:color="auto"/>
              <w:left w:val="single" w:sz="4" w:space="0" w:color="auto"/>
              <w:bottom w:val="single" w:sz="4" w:space="0" w:color="auto"/>
              <w:right w:val="single" w:sz="4" w:space="0" w:color="auto"/>
            </w:tcBorders>
            <w:vAlign w:val="top"/>
          </w:tcPr>
          <w:p w14:paraId="47924BC0" w14:textId="77777777" w:rsidR="00D210F0" w:rsidRPr="00092ED7" w:rsidRDefault="00D210F0" w:rsidP="00D030D6">
            <w:pPr>
              <w:spacing w:before="0" w:after="0"/>
              <w:ind w:left="113" w:right="113"/>
              <w:jc w:val="center"/>
              <w:rPr>
                <w:rFonts w:cs="Times New Roman"/>
                <w:sz w:val="20"/>
                <w:lang w:val="sr-Cyrl-CS"/>
              </w:rPr>
            </w:pPr>
            <w:r w:rsidRPr="00092ED7">
              <w:rPr>
                <w:rFonts w:cs="Times New Roman"/>
                <w:sz w:val="20"/>
                <w:lang w:val="sr-Cyrl-CS"/>
              </w:rPr>
              <w:t>Висока</w:t>
            </w:r>
          </w:p>
        </w:tc>
        <w:tc>
          <w:tcPr>
            <w:tcW w:w="3483" w:type="dxa"/>
            <w:tcBorders>
              <w:top w:val="single" w:sz="4" w:space="0" w:color="auto"/>
              <w:left w:val="single" w:sz="4" w:space="0" w:color="auto"/>
              <w:bottom w:val="single" w:sz="4" w:space="0" w:color="auto"/>
              <w:right w:val="single" w:sz="4" w:space="0" w:color="auto"/>
            </w:tcBorders>
          </w:tcPr>
          <w:p w14:paraId="5270D273"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Спровођење јавних расправа, округлих столова и други начини за обавештавање заинтересованих страна у поступку усвајања регулаторног оквира</w:t>
            </w:r>
            <w:r w:rsidR="00D47BD8" w:rsidRPr="00092ED7">
              <w:rPr>
                <w:rFonts w:cs="Times New Roman"/>
                <w:sz w:val="20"/>
                <w:lang w:val="sr-Cyrl-CS"/>
              </w:rPr>
              <w:t>.</w:t>
            </w:r>
          </w:p>
        </w:tc>
      </w:tr>
      <w:tr w:rsidR="00D210F0" w:rsidRPr="00092ED7" w14:paraId="643C93F4" w14:textId="77777777" w:rsidTr="00D030D6">
        <w:trPr>
          <w:jc w:val="center"/>
        </w:trPr>
        <w:tc>
          <w:tcPr>
            <w:tcW w:w="3491" w:type="dxa"/>
            <w:tcBorders>
              <w:top w:val="single" w:sz="4" w:space="0" w:color="auto"/>
              <w:left w:val="single" w:sz="4" w:space="0" w:color="auto"/>
              <w:bottom w:val="single" w:sz="4" w:space="0" w:color="auto"/>
              <w:right w:val="single" w:sz="4" w:space="0" w:color="auto"/>
            </w:tcBorders>
            <w:vAlign w:val="top"/>
          </w:tcPr>
          <w:p w14:paraId="21E2CA26" w14:textId="77777777" w:rsidR="00D210F0" w:rsidRPr="00092ED7" w:rsidRDefault="00D210F0" w:rsidP="00D030D6">
            <w:pPr>
              <w:spacing w:before="0" w:after="0"/>
              <w:ind w:left="113" w:right="113"/>
              <w:rPr>
                <w:rFonts w:cs="Times New Roman"/>
                <w:sz w:val="20"/>
                <w:lang w:val="sr-Cyrl-CS"/>
              </w:rPr>
            </w:pPr>
            <w:r w:rsidRPr="00092ED7">
              <w:rPr>
                <w:rFonts w:cs="Times New Roman"/>
                <w:sz w:val="20"/>
                <w:lang w:val="sr-Cyrl-CS"/>
              </w:rPr>
              <w:t>Необезбеђена средства за надоградњу регистра животиња</w:t>
            </w:r>
          </w:p>
        </w:tc>
        <w:tc>
          <w:tcPr>
            <w:tcW w:w="2098" w:type="dxa"/>
            <w:tcBorders>
              <w:top w:val="single" w:sz="4" w:space="0" w:color="auto"/>
              <w:left w:val="single" w:sz="4" w:space="0" w:color="auto"/>
              <w:bottom w:val="single" w:sz="4" w:space="0" w:color="auto"/>
              <w:right w:val="single" w:sz="4" w:space="0" w:color="auto"/>
            </w:tcBorders>
            <w:vAlign w:val="top"/>
          </w:tcPr>
          <w:p w14:paraId="1471CBB4" w14:textId="4B8165C7" w:rsidR="00D210F0" w:rsidRPr="00092ED7" w:rsidRDefault="003C2774" w:rsidP="00D030D6">
            <w:pPr>
              <w:spacing w:before="0" w:after="0"/>
              <w:ind w:left="113" w:right="113"/>
              <w:jc w:val="center"/>
              <w:rPr>
                <w:rFonts w:cs="Times New Roman"/>
                <w:sz w:val="20"/>
                <w:lang w:val="sr-Cyrl-CS"/>
              </w:rPr>
            </w:pPr>
            <w:r w:rsidRPr="00092ED7">
              <w:rPr>
                <w:rFonts w:cs="Times New Roman"/>
                <w:sz w:val="20"/>
                <w:lang w:val="sr-Cyrl-CS"/>
              </w:rPr>
              <w:t>Висока</w:t>
            </w:r>
          </w:p>
        </w:tc>
        <w:tc>
          <w:tcPr>
            <w:tcW w:w="3483" w:type="dxa"/>
            <w:tcBorders>
              <w:top w:val="single" w:sz="4" w:space="0" w:color="auto"/>
              <w:left w:val="single" w:sz="4" w:space="0" w:color="auto"/>
              <w:bottom w:val="single" w:sz="4" w:space="0" w:color="auto"/>
              <w:right w:val="single" w:sz="4" w:space="0" w:color="auto"/>
            </w:tcBorders>
          </w:tcPr>
          <w:p w14:paraId="6CA07F32"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Планира се споразум са Управом за ветерину у делу надоградње регистра животиња са праћењем тока реализације спровођења надоградње регистра и дефиниса</w:t>
            </w:r>
            <w:r w:rsidR="00D8670D" w:rsidRPr="00092ED7">
              <w:rPr>
                <w:rFonts w:cs="Times New Roman"/>
                <w:sz w:val="20"/>
                <w:lang w:val="sr-Cyrl-CS"/>
              </w:rPr>
              <w:t>ним</w:t>
            </w:r>
            <w:r w:rsidRPr="00092ED7">
              <w:rPr>
                <w:rFonts w:cs="Times New Roman"/>
                <w:sz w:val="20"/>
                <w:lang w:val="sr-Cyrl-CS"/>
              </w:rPr>
              <w:t xml:space="preserve"> међуроковима.</w:t>
            </w:r>
          </w:p>
        </w:tc>
      </w:tr>
      <w:tr w:rsidR="00D210F0" w:rsidRPr="00092ED7" w14:paraId="630A5E64" w14:textId="77777777" w:rsidTr="005860F2">
        <w:trPr>
          <w:jc w:val="center"/>
        </w:trPr>
        <w:tc>
          <w:tcPr>
            <w:tcW w:w="3491" w:type="dxa"/>
            <w:tcBorders>
              <w:top w:val="single" w:sz="4" w:space="0" w:color="auto"/>
              <w:left w:val="single" w:sz="4" w:space="0" w:color="auto"/>
              <w:bottom w:val="single" w:sz="4" w:space="0" w:color="auto"/>
              <w:right w:val="single" w:sz="4" w:space="0" w:color="auto"/>
            </w:tcBorders>
            <w:vAlign w:val="top"/>
          </w:tcPr>
          <w:p w14:paraId="0304DBF9" w14:textId="77777777" w:rsidR="00D210F0" w:rsidRPr="00092ED7" w:rsidRDefault="00D210F0" w:rsidP="00D030D6">
            <w:pPr>
              <w:spacing w:before="0" w:after="0"/>
              <w:ind w:left="113" w:right="113"/>
              <w:rPr>
                <w:rFonts w:cs="Times New Roman"/>
                <w:sz w:val="20"/>
                <w:lang w:val="sr-Cyrl-CS"/>
              </w:rPr>
            </w:pPr>
            <w:r w:rsidRPr="00092ED7">
              <w:rPr>
                <w:rFonts w:cs="Times New Roman"/>
                <w:sz w:val="20"/>
                <w:lang w:val="sr-Cyrl-CS"/>
              </w:rPr>
              <w:t>Непотпуно и/или неблаговремено преузимање података из Управе за трезор и касно или неуспешно спроведена набавка/конкурс за израду LPIS/РПГ софтвера, као и могуће жалбе на сам поступак</w:t>
            </w:r>
          </w:p>
        </w:tc>
        <w:tc>
          <w:tcPr>
            <w:tcW w:w="2098" w:type="dxa"/>
            <w:tcBorders>
              <w:top w:val="single" w:sz="4" w:space="0" w:color="auto"/>
              <w:left w:val="single" w:sz="4" w:space="0" w:color="auto"/>
              <w:bottom w:val="single" w:sz="4" w:space="0" w:color="auto"/>
              <w:right w:val="single" w:sz="4" w:space="0" w:color="auto"/>
            </w:tcBorders>
            <w:vAlign w:val="top"/>
          </w:tcPr>
          <w:p w14:paraId="6C779B3F" w14:textId="77777777" w:rsidR="00D210F0" w:rsidRPr="00092ED7" w:rsidRDefault="00D210F0" w:rsidP="00D030D6">
            <w:pPr>
              <w:spacing w:before="0" w:after="0"/>
              <w:ind w:left="113" w:right="113"/>
              <w:jc w:val="center"/>
              <w:rPr>
                <w:rFonts w:cs="Times New Roman"/>
                <w:sz w:val="20"/>
                <w:lang w:val="sr-Cyrl-CS"/>
              </w:rPr>
            </w:pPr>
            <w:r w:rsidRPr="00092ED7">
              <w:rPr>
                <w:rFonts w:cs="Times New Roman"/>
                <w:sz w:val="20"/>
                <w:lang w:val="sr-Cyrl-CS"/>
              </w:rPr>
              <w:t>Средња</w:t>
            </w:r>
          </w:p>
        </w:tc>
        <w:tc>
          <w:tcPr>
            <w:tcW w:w="3483" w:type="dxa"/>
            <w:tcBorders>
              <w:top w:val="single" w:sz="4" w:space="0" w:color="auto"/>
              <w:left w:val="single" w:sz="4" w:space="0" w:color="auto"/>
              <w:bottom w:val="single" w:sz="4" w:space="0" w:color="auto"/>
              <w:right w:val="single" w:sz="4" w:space="0" w:color="auto"/>
            </w:tcBorders>
            <w:vAlign w:val="top"/>
          </w:tcPr>
          <w:p w14:paraId="438BBE25" w14:textId="77777777" w:rsidR="00D210F0" w:rsidRPr="00092ED7" w:rsidRDefault="00D210F0" w:rsidP="005860F2">
            <w:pPr>
              <w:spacing w:before="0" w:after="0"/>
              <w:ind w:left="113" w:right="113"/>
              <w:rPr>
                <w:rFonts w:cs="Times New Roman"/>
                <w:sz w:val="20"/>
                <w:lang w:val="sr-Cyrl-CS"/>
              </w:rPr>
            </w:pPr>
            <w:r w:rsidRPr="00092ED7">
              <w:rPr>
                <w:rFonts w:cs="Times New Roman"/>
                <w:sz w:val="20"/>
                <w:lang w:val="sr-Cyrl-CS"/>
              </w:rPr>
              <w:t>Дефинисање тачно одређених рокова са експертима и њихово праћење за израду техничке спецификације за РПГ софтвер и за израду техничке спецификације за LPIS/РПГсофтвер.</w:t>
            </w:r>
          </w:p>
        </w:tc>
      </w:tr>
      <w:tr w:rsidR="00D210F0" w:rsidRPr="00092ED7" w14:paraId="2B06E7AF" w14:textId="77777777" w:rsidTr="00D030D6">
        <w:trPr>
          <w:jc w:val="center"/>
        </w:trPr>
        <w:tc>
          <w:tcPr>
            <w:tcW w:w="3491" w:type="dxa"/>
            <w:tcBorders>
              <w:top w:val="single" w:sz="4" w:space="0" w:color="auto"/>
              <w:left w:val="single" w:sz="4" w:space="0" w:color="auto"/>
              <w:bottom w:val="single" w:sz="4" w:space="0" w:color="auto"/>
              <w:right w:val="single" w:sz="4" w:space="0" w:color="auto"/>
            </w:tcBorders>
            <w:vAlign w:val="top"/>
            <w:hideMark/>
          </w:tcPr>
          <w:p w14:paraId="430532D4" w14:textId="77777777" w:rsidR="00D210F0" w:rsidRPr="00092ED7" w:rsidRDefault="00D210F0" w:rsidP="00D030D6">
            <w:pPr>
              <w:spacing w:before="0" w:after="0"/>
              <w:ind w:left="113" w:right="113"/>
              <w:rPr>
                <w:rFonts w:cs="Times New Roman"/>
                <w:sz w:val="20"/>
                <w:lang w:val="sr-Cyrl-CS"/>
              </w:rPr>
            </w:pPr>
            <w:r w:rsidRPr="00092ED7">
              <w:rPr>
                <w:rFonts w:cs="Times New Roman"/>
                <w:sz w:val="20"/>
                <w:lang w:val="sr-Cyrl-CS"/>
              </w:rPr>
              <w:t>Немогућност запошљавања недостајућег кадра/изостанак одобрења за запошљавање</w:t>
            </w:r>
          </w:p>
        </w:tc>
        <w:tc>
          <w:tcPr>
            <w:tcW w:w="2098" w:type="dxa"/>
            <w:tcBorders>
              <w:top w:val="single" w:sz="4" w:space="0" w:color="auto"/>
              <w:left w:val="single" w:sz="4" w:space="0" w:color="auto"/>
              <w:bottom w:val="single" w:sz="4" w:space="0" w:color="auto"/>
              <w:right w:val="single" w:sz="4" w:space="0" w:color="auto"/>
            </w:tcBorders>
            <w:vAlign w:val="top"/>
          </w:tcPr>
          <w:p w14:paraId="397BC795" w14:textId="77777777" w:rsidR="00D210F0" w:rsidRPr="00092ED7" w:rsidRDefault="00D210F0" w:rsidP="00D030D6">
            <w:pPr>
              <w:spacing w:before="0" w:after="0"/>
              <w:ind w:left="113" w:right="113"/>
              <w:jc w:val="center"/>
              <w:rPr>
                <w:rFonts w:cs="Times New Roman"/>
                <w:sz w:val="20"/>
                <w:lang w:val="sr-Cyrl-CS"/>
              </w:rPr>
            </w:pPr>
            <w:r w:rsidRPr="00092ED7">
              <w:rPr>
                <w:rFonts w:cs="Times New Roman"/>
                <w:sz w:val="20"/>
                <w:lang w:val="sr-Cyrl-CS"/>
              </w:rPr>
              <w:t>Средња</w:t>
            </w:r>
          </w:p>
        </w:tc>
        <w:tc>
          <w:tcPr>
            <w:tcW w:w="3483" w:type="dxa"/>
            <w:tcBorders>
              <w:top w:val="single" w:sz="4" w:space="0" w:color="auto"/>
              <w:left w:val="single" w:sz="4" w:space="0" w:color="auto"/>
              <w:bottom w:val="single" w:sz="4" w:space="0" w:color="auto"/>
              <w:right w:val="single" w:sz="4" w:space="0" w:color="auto"/>
            </w:tcBorders>
          </w:tcPr>
          <w:p w14:paraId="5CA46D6D"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Систематизовати и попунити радна места различитих образовних профила.</w:t>
            </w:r>
          </w:p>
        </w:tc>
      </w:tr>
    </w:tbl>
    <w:p w14:paraId="42F2EC6E" w14:textId="77777777" w:rsidR="00D210F0" w:rsidRPr="00092ED7" w:rsidRDefault="00D210F0" w:rsidP="00D210F0">
      <w:pPr>
        <w:spacing w:before="360"/>
        <w:rPr>
          <w:rFonts w:cs="Times New Roman"/>
          <w:szCs w:val="24"/>
          <w:lang w:val="sr-Cyrl-CS"/>
        </w:rPr>
      </w:pPr>
      <w:r w:rsidRPr="00092ED7">
        <w:rPr>
          <w:rFonts w:cs="Times New Roman"/>
          <w:b/>
          <w:bCs/>
          <w:szCs w:val="24"/>
          <w:u w:val="single"/>
          <w:lang w:val="sr-Cyrl-CS"/>
        </w:rPr>
        <w:t>СТРУКТУРНА РЕФОРМА 21</w:t>
      </w:r>
      <w:r w:rsidRPr="00092ED7">
        <w:rPr>
          <w:rFonts w:cs="Times New Roman"/>
          <w:b/>
          <w:bCs/>
          <w:szCs w:val="24"/>
          <w:lang w:val="sr-Cyrl-CS"/>
        </w:rPr>
        <w:t xml:space="preserve">: </w:t>
      </w:r>
      <w:r w:rsidRPr="00092ED7">
        <w:rPr>
          <w:rFonts w:cs="Times New Roman"/>
          <w:szCs w:val="24"/>
          <w:lang w:val="sr-Cyrl-CS"/>
        </w:rPr>
        <w:t>УНАПРЕЂЕЊЕ СТРАТЕШКОГ ОКВИРА ИНФРАСТРУКТУРЕ КВАЛИТЕТА</w:t>
      </w:r>
      <w:r w:rsidR="001D63D0" w:rsidRPr="00092ED7">
        <w:rPr>
          <w:rFonts w:cs="Times New Roman"/>
          <w:szCs w:val="24"/>
          <w:lang w:val="sr-Cyrl-CS"/>
        </w:rPr>
        <w:t xml:space="preserve"> И ИНТЕГРАЦИЈЕ У ЈЕДИНСТВЕНО ТРЖИШТЕ ЕУ</w:t>
      </w:r>
    </w:p>
    <w:p w14:paraId="7C651937" w14:textId="77777777" w:rsidR="00D210F0" w:rsidRPr="00092ED7" w:rsidRDefault="00D210F0" w:rsidP="00071952">
      <w:pPr>
        <w:widowControl w:val="0"/>
        <w:numPr>
          <w:ilvl w:val="0"/>
          <w:numId w:val="38"/>
        </w:numPr>
        <w:spacing w:before="120"/>
        <w:rPr>
          <w:rFonts w:cs="Times New Roman"/>
          <w:b/>
          <w:bCs/>
          <w:szCs w:val="24"/>
          <w:lang w:val="sr-Cyrl-CS"/>
        </w:rPr>
      </w:pPr>
      <w:r w:rsidRPr="00092ED7">
        <w:rPr>
          <w:rFonts w:cs="Times New Roman"/>
          <w:b/>
          <w:bCs/>
          <w:szCs w:val="24"/>
          <w:lang w:val="sr-Cyrl-CS"/>
        </w:rPr>
        <w:t>Опис структурне реформе</w:t>
      </w:r>
    </w:p>
    <w:p w14:paraId="4D854A57" w14:textId="11F48857" w:rsidR="00D210F0" w:rsidRPr="00092ED7" w:rsidRDefault="00D210F0" w:rsidP="00D210F0">
      <w:pPr>
        <w:spacing w:after="60"/>
        <w:rPr>
          <w:rFonts w:eastAsia="Times New Roman" w:cs="Times New Roman"/>
          <w:szCs w:val="24"/>
          <w:lang w:val="sr-Cyrl-CS"/>
        </w:rPr>
      </w:pPr>
      <w:r w:rsidRPr="00092ED7">
        <w:rPr>
          <w:rFonts w:eastAsia="Times New Roman" w:cs="Times New Roman"/>
          <w:szCs w:val="24"/>
          <w:lang w:val="sr-Cyrl-CS"/>
        </w:rPr>
        <w:t xml:space="preserve">Циљ структурне реформе је да допринесе јачању конкурентности, безбедности и квалитета производа унапређењем стратешког оквира у области инфраструктуре квалитета. Реформа обухвата две компоненте: </w:t>
      </w:r>
      <w:r w:rsidR="002E61FD" w:rsidRPr="00092ED7">
        <w:rPr>
          <w:rFonts w:eastAsia="Times New Roman" w:cs="Times New Roman"/>
          <w:szCs w:val="24"/>
          <w:lang w:val="sr-Cyrl-CS"/>
        </w:rPr>
        <w:t xml:space="preserve">прва </w:t>
      </w:r>
      <w:r w:rsidRPr="00092ED7">
        <w:rPr>
          <w:rFonts w:eastAsia="Times New Roman" w:cs="Times New Roman"/>
          <w:szCs w:val="24"/>
          <w:lang w:val="sr-Cyrl-CS"/>
        </w:rPr>
        <w:t xml:space="preserve">компонента подразумева израду нове </w:t>
      </w:r>
      <w:r w:rsidR="00CB0950" w:rsidRPr="00092ED7">
        <w:rPr>
          <w:rFonts w:eastAsia="Times New Roman" w:cs="Times New Roman"/>
          <w:i/>
          <w:szCs w:val="24"/>
          <w:lang w:val="sr-Cyrl-CS"/>
        </w:rPr>
        <w:t>с</w:t>
      </w:r>
      <w:r w:rsidRPr="00092ED7">
        <w:rPr>
          <w:rFonts w:eastAsia="Times New Roman" w:cs="Times New Roman"/>
          <w:i/>
          <w:szCs w:val="24"/>
          <w:lang w:val="sr-Cyrl-CS"/>
        </w:rPr>
        <w:t>тратегије инфраструктуре квалитета Републике Србије за период 2024-2030. године</w:t>
      </w:r>
      <w:r w:rsidRPr="00092ED7">
        <w:rPr>
          <w:rFonts w:eastAsia="Times New Roman" w:cs="Times New Roman"/>
          <w:szCs w:val="24"/>
          <w:lang w:val="sr-Cyrl-CS"/>
        </w:rPr>
        <w:t xml:space="preserve">, која представља неопходан кровни документ у даљем развоју конкурентности производа на домаћем и иностраном тржишту, као и израду </w:t>
      </w:r>
      <w:r w:rsidR="00CB0950" w:rsidRPr="00092ED7">
        <w:rPr>
          <w:rFonts w:eastAsia="Times New Roman" w:cs="Times New Roman"/>
          <w:i/>
          <w:szCs w:val="24"/>
          <w:lang w:val="sr-Cyrl-CS"/>
        </w:rPr>
        <w:t>а</w:t>
      </w:r>
      <w:r w:rsidRPr="00092ED7">
        <w:rPr>
          <w:rFonts w:eastAsia="Times New Roman" w:cs="Times New Roman"/>
          <w:i/>
          <w:szCs w:val="24"/>
          <w:lang w:val="sr-Cyrl-CS"/>
        </w:rPr>
        <w:t xml:space="preserve">кционог плана за спровођење </w:t>
      </w:r>
      <w:r w:rsidR="00CB0950" w:rsidRPr="00092ED7">
        <w:rPr>
          <w:rFonts w:eastAsia="Times New Roman" w:cs="Times New Roman"/>
          <w:i/>
          <w:szCs w:val="24"/>
          <w:lang w:val="sr-Cyrl-CS"/>
        </w:rPr>
        <w:t>те с</w:t>
      </w:r>
      <w:r w:rsidRPr="00092ED7">
        <w:rPr>
          <w:rFonts w:eastAsia="Times New Roman" w:cs="Times New Roman"/>
          <w:i/>
          <w:szCs w:val="24"/>
          <w:lang w:val="sr-Cyrl-CS"/>
        </w:rPr>
        <w:t>тратегије за 2024. и 2025. годину</w:t>
      </w:r>
      <w:r w:rsidRPr="00092ED7">
        <w:rPr>
          <w:rFonts w:eastAsia="Times New Roman" w:cs="Times New Roman"/>
          <w:szCs w:val="24"/>
          <w:lang w:val="sr-Cyrl-CS"/>
        </w:rPr>
        <w:t xml:space="preserve">. Друга компонента се односи на реализацију </w:t>
      </w:r>
      <w:r w:rsidR="00CB0950" w:rsidRPr="00092ED7">
        <w:rPr>
          <w:rFonts w:eastAsia="Times New Roman" w:cs="Times New Roman"/>
          <w:szCs w:val="24"/>
          <w:lang w:val="sr-Cyrl-CS"/>
        </w:rPr>
        <w:t>а</w:t>
      </w:r>
      <w:r w:rsidRPr="00092ED7">
        <w:rPr>
          <w:rFonts w:eastAsia="Times New Roman" w:cs="Times New Roman"/>
          <w:szCs w:val="24"/>
          <w:lang w:val="sr-Cyrl-CS"/>
        </w:rPr>
        <w:t>кционог плана и обухвата стварање услова за пуну интеграцију Републике Србије у јединствено тржиште ЕУ за три групе индустријских производа (електрични и електронски производи,</w:t>
      </w:r>
      <w:r w:rsidR="00A6728C" w:rsidRPr="00092ED7">
        <w:rPr>
          <w:rFonts w:eastAsia="Times New Roman" w:cs="Times New Roman"/>
          <w:szCs w:val="24"/>
          <w:lang w:val="sr-Cyrl-CS"/>
        </w:rPr>
        <w:t xml:space="preserve"> машине и лична заштитна опрема</w:t>
      </w:r>
      <w:r w:rsidRPr="00092ED7">
        <w:rPr>
          <w:rFonts w:eastAsia="Times New Roman" w:cs="Times New Roman"/>
          <w:szCs w:val="24"/>
          <w:lang w:val="sr-Cyrl-CS"/>
        </w:rPr>
        <w:t>), што подразумева пуну примену техничких прописа и стандарда усаглашених са ЕУ, развијену мрежу акредитованих тела за оцењивање усаглашености и ефикасан надзор над применом техничких прописа. Тиме би били остварени сви предуслови за потписивање Споразума о оцењивању усаглашености и прихватању индустријских производа између Републике Србије и ЕУ (</w:t>
      </w:r>
      <w:r w:rsidR="002E61FD" w:rsidRPr="00092ED7">
        <w:rPr>
          <w:rFonts w:eastAsia="Times New Roman" w:cs="Times New Roman"/>
          <w:i/>
          <w:szCs w:val="24"/>
          <w:lang w:val="sr-Cyrl-CS"/>
        </w:rPr>
        <w:t>Agreement on Conformity Assessment and Acceptance of Industrial Products</w:t>
      </w:r>
      <w:r w:rsidR="00E85CD3" w:rsidRPr="00092ED7">
        <w:rPr>
          <w:rFonts w:eastAsia="Times New Roman" w:cs="Times New Roman"/>
          <w:i/>
          <w:szCs w:val="24"/>
          <w:lang w:val="sr-Cyrl-CS"/>
        </w:rPr>
        <w:t>,</w:t>
      </w:r>
      <w:r w:rsidR="002E61FD" w:rsidRPr="00092ED7">
        <w:rPr>
          <w:rFonts w:eastAsia="Times New Roman" w:cs="Times New Roman"/>
          <w:szCs w:val="24"/>
          <w:lang w:val="sr-Cyrl-CS"/>
        </w:rPr>
        <w:t xml:space="preserve"> </w:t>
      </w:r>
      <w:r w:rsidR="00A15328" w:rsidRPr="00092ED7">
        <w:rPr>
          <w:rFonts w:eastAsia="Times New Roman" w:cs="Times New Roman"/>
          <w:szCs w:val="24"/>
          <w:lang w:val="sr-Cyrl-CS"/>
        </w:rPr>
        <w:t>у даљем тексту:</w:t>
      </w:r>
      <w:r w:rsidR="00A6728C" w:rsidRPr="00092ED7">
        <w:rPr>
          <w:rFonts w:eastAsia="Times New Roman" w:cs="Times New Roman"/>
          <w:szCs w:val="24"/>
          <w:lang w:val="sr-Cyrl-CS"/>
        </w:rPr>
        <w:t xml:space="preserve"> </w:t>
      </w:r>
      <w:r w:rsidR="002E61FD" w:rsidRPr="00092ED7">
        <w:rPr>
          <w:rFonts w:eastAsia="Times New Roman"/>
          <w:szCs w:val="24"/>
          <w:lang w:val="sr-Cyrl-CS"/>
        </w:rPr>
        <w:t>ACAA</w:t>
      </w:r>
      <w:r w:rsidR="002E61FD" w:rsidRPr="00092ED7">
        <w:rPr>
          <w:rFonts w:eastAsia="Times New Roman" w:cs="Times New Roman"/>
          <w:szCs w:val="24"/>
          <w:lang w:val="sr-Cyrl-CS"/>
        </w:rPr>
        <w:t xml:space="preserve"> с</w:t>
      </w:r>
      <w:r w:rsidRPr="00092ED7">
        <w:rPr>
          <w:rFonts w:eastAsia="Times New Roman" w:cs="Times New Roman"/>
          <w:szCs w:val="24"/>
          <w:lang w:val="sr-Cyrl-CS"/>
        </w:rPr>
        <w:t xml:space="preserve">поразум) за идентификоване групе производа. Заокружујући унапређени систем </w:t>
      </w:r>
      <w:r w:rsidR="00CB0950" w:rsidRPr="00092ED7">
        <w:rPr>
          <w:rFonts w:eastAsia="Times New Roman" w:cs="Times New Roman"/>
          <w:szCs w:val="24"/>
          <w:lang w:val="sr-Cyrl-CS"/>
        </w:rPr>
        <w:t>инфраструктуре квалитета</w:t>
      </w:r>
      <w:r w:rsidR="00CB0950" w:rsidRPr="00092ED7" w:rsidDel="00CB0950">
        <w:rPr>
          <w:rFonts w:eastAsia="Times New Roman" w:cs="Times New Roman"/>
          <w:szCs w:val="24"/>
          <w:lang w:val="sr-Cyrl-CS"/>
        </w:rPr>
        <w:t xml:space="preserve"> </w:t>
      </w:r>
      <w:r w:rsidRPr="00092ED7">
        <w:rPr>
          <w:rFonts w:eastAsia="Times New Roman" w:cs="Times New Roman"/>
          <w:szCs w:val="24"/>
          <w:lang w:val="sr-Cyrl-CS"/>
        </w:rPr>
        <w:t>, Република Србија ће бити значајно ближа стандардима ЕУ у овој области,</w:t>
      </w:r>
      <w:r w:rsidR="002E61FD" w:rsidRPr="00092ED7" w:rsidDel="00665192">
        <w:rPr>
          <w:rFonts w:eastAsia="Times New Roman" w:cs="Times New Roman"/>
          <w:szCs w:val="24"/>
          <w:lang w:val="sr-Cyrl-CS"/>
        </w:rPr>
        <w:t xml:space="preserve"> </w:t>
      </w:r>
      <w:r w:rsidRPr="00092ED7">
        <w:rPr>
          <w:rFonts w:eastAsia="Times New Roman" w:cs="Times New Roman"/>
          <w:szCs w:val="24"/>
          <w:lang w:val="sr-Cyrl-CS"/>
        </w:rPr>
        <w:t>што ће позитивно утицати на: домаће привреднике који ће производити, увозити и извозити производе без техничких препрека; потрошаче који ће имати приступ квалитетним и безбедним производима; органе државне управе који ће вршити надзор над применом техничких прописа на једноставнији и ефикаснији начин. Структурна реформа има упориште у Стратегији индустријске политике Републике Србије 2021-2030. године, као и</w:t>
      </w:r>
      <w:r w:rsidRPr="00092ED7">
        <w:rPr>
          <w:szCs w:val="24"/>
          <w:lang w:val="sr-Cyrl-CS"/>
        </w:rPr>
        <w:t xml:space="preserve"> </w:t>
      </w:r>
      <w:r w:rsidRPr="00092ED7">
        <w:rPr>
          <w:rFonts w:eastAsia="Times New Roman" w:cs="Times New Roman"/>
          <w:szCs w:val="24"/>
          <w:lang w:val="sr-Cyrl-CS"/>
        </w:rPr>
        <w:t>Националном програму за усвајање правних тековина ЕУ (НПАА)</w:t>
      </w:r>
      <w:r w:rsidR="00B825FF" w:rsidRPr="00092ED7">
        <w:rPr>
          <w:rFonts w:eastAsia="Times New Roman" w:cs="Times New Roman"/>
          <w:szCs w:val="24"/>
          <w:lang w:val="sr-Cyrl-CS"/>
        </w:rPr>
        <w:t xml:space="preserve"> и преговарачком поглављу 1. Слободно кретање робе</w:t>
      </w:r>
      <w:r w:rsidRPr="00092ED7">
        <w:rPr>
          <w:rFonts w:eastAsia="Times New Roman" w:cs="Times New Roman"/>
          <w:szCs w:val="24"/>
          <w:lang w:val="sr-Cyrl-CS"/>
        </w:rPr>
        <w:t>.</w:t>
      </w:r>
    </w:p>
    <w:p w14:paraId="0D81D316" w14:textId="77777777" w:rsidR="00D210F0" w:rsidRPr="00092ED7" w:rsidRDefault="00D210F0" w:rsidP="00071952">
      <w:pPr>
        <w:widowControl w:val="0"/>
        <w:numPr>
          <w:ilvl w:val="0"/>
          <w:numId w:val="38"/>
        </w:numPr>
        <w:spacing w:before="120"/>
        <w:rPr>
          <w:rFonts w:cs="Times New Roman"/>
          <w:b/>
          <w:smallCaps/>
          <w:lang w:val="sr-Cyrl-CS"/>
        </w:rPr>
      </w:pPr>
      <w:r w:rsidRPr="00092ED7">
        <w:rPr>
          <w:rFonts w:cs="Times New Roman"/>
          <w:b/>
          <w:bCs/>
          <w:szCs w:val="24"/>
          <w:lang w:val="sr-Cyrl-CS"/>
        </w:rPr>
        <w:t>Планиране активности по годинама</w:t>
      </w:r>
    </w:p>
    <w:tbl>
      <w:tblPr>
        <w:tblW w:w="9127" w:type="dxa"/>
        <w:tblLayout w:type="fixed"/>
        <w:tblCellMar>
          <w:left w:w="0" w:type="dxa"/>
          <w:right w:w="0" w:type="dxa"/>
        </w:tblCellMar>
        <w:tblLook w:val="04A0" w:firstRow="1" w:lastRow="0" w:firstColumn="1" w:lastColumn="0" w:noHBand="0" w:noVBand="1"/>
      </w:tblPr>
      <w:tblGrid>
        <w:gridCol w:w="409"/>
        <w:gridCol w:w="4401"/>
        <w:gridCol w:w="359"/>
        <w:gridCol w:w="360"/>
        <w:gridCol w:w="360"/>
        <w:gridCol w:w="360"/>
        <w:gridCol w:w="359"/>
        <w:gridCol w:w="360"/>
        <w:gridCol w:w="360"/>
        <w:gridCol w:w="360"/>
        <w:gridCol w:w="359"/>
        <w:gridCol w:w="360"/>
        <w:gridCol w:w="360"/>
        <w:gridCol w:w="360"/>
      </w:tblGrid>
      <w:tr w:rsidR="00D210F0" w:rsidRPr="00092ED7" w14:paraId="5AE68C7D" w14:textId="77777777" w:rsidTr="00127FE8">
        <w:trPr>
          <w:trHeight w:val="283"/>
        </w:trPr>
        <w:tc>
          <w:tcPr>
            <w:tcW w:w="409" w:type="dxa"/>
            <w:vMerge w:val="restart"/>
            <w:tcBorders>
              <w:top w:val="single" w:sz="4" w:space="0" w:color="auto"/>
              <w:left w:val="single" w:sz="4" w:space="0" w:color="auto"/>
              <w:bottom w:val="single" w:sz="4" w:space="0" w:color="auto"/>
              <w:right w:val="single" w:sz="4" w:space="0" w:color="auto"/>
            </w:tcBorders>
            <w:shd w:val="clear" w:color="000000" w:fill="BDD6EE"/>
            <w:tcMar>
              <w:top w:w="15" w:type="dxa"/>
              <w:left w:w="15" w:type="dxa"/>
              <w:bottom w:w="0" w:type="dxa"/>
              <w:right w:w="15" w:type="dxa"/>
            </w:tcMar>
            <w:vAlign w:val="center"/>
            <w:hideMark/>
          </w:tcPr>
          <w:p w14:paraId="488BA08C" w14:textId="77777777" w:rsidR="00D210F0" w:rsidRPr="00092ED7" w:rsidRDefault="00D210F0" w:rsidP="00D210F0">
            <w:pPr>
              <w:spacing w:after="0"/>
              <w:rPr>
                <w:rFonts w:cs="Times New Roman"/>
                <w:sz w:val="20"/>
                <w:szCs w:val="20"/>
                <w:lang w:val="sr-Cyrl-CS"/>
              </w:rPr>
            </w:pPr>
            <w:r w:rsidRPr="00092ED7">
              <w:rPr>
                <w:rFonts w:cs="Times New Roman"/>
                <w:b/>
                <w:bCs/>
                <w:color w:val="000000"/>
                <w:sz w:val="20"/>
                <w:szCs w:val="20"/>
                <w:lang w:val="sr-Cyrl-CS"/>
              </w:rPr>
              <w:t>РБ</w:t>
            </w:r>
          </w:p>
        </w:tc>
        <w:tc>
          <w:tcPr>
            <w:tcW w:w="4401"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F9B057C" w14:textId="77777777" w:rsidR="00D210F0" w:rsidRPr="00092ED7" w:rsidRDefault="00D210F0" w:rsidP="00D210F0">
            <w:pPr>
              <w:spacing w:after="0"/>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439" w:type="dxa"/>
            <w:gridSpan w:val="4"/>
            <w:tcBorders>
              <w:top w:val="single" w:sz="8" w:space="0" w:color="auto"/>
              <w:left w:val="single" w:sz="4"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692E2BBA"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39"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2B507BED"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39"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9AF0884"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0B7FDFCD" w14:textId="77777777" w:rsidTr="00127FE8">
        <w:trPr>
          <w:trHeight w:val="283"/>
        </w:trPr>
        <w:tc>
          <w:tcPr>
            <w:tcW w:w="409" w:type="dxa"/>
            <w:vMerge/>
            <w:tcBorders>
              <w:top w:val="single" w:sz="4" w:space="0" w:color="auto"/>
              <w:left w:val="single" w:sz="4" w:space="0" w:color="auto"/>
              <w:bottom w:val="single" w:sz="4" w:space="0" w:color="auto"/>
              <w:right w:val="single" w:sz="4" w:space="0" w:color="auto"/>
            </w:tcBorders>
            <w:shd w:val="clear" w:color="000000" w:fill="BDD6EE"/>
            <w:vAlign w:val="center"/>
            <w:hideMark/>
          </w:tcPr>
          <w:p w14:paraId="59A87DC3" w14:textId="77777777" w:rsidR="00D210F0" w:rsidRPr="00092ED7" w:rsidRDefault="00D210F0" w:rsidP="00D210F0">
            <w:pPr>
              <w:spacing w:after="0"/>
              <w:jc w:val="center"/>
              <w:rPr>
                <w:rFonts w:cs="Times New Roman"/>
                <w:b/>
                <w:bCs/>
                <w:color w:val="000000"/>
                <w:sz w:val="20"/>
                <w:szCs w:val="20"/>
                <w:lang w:val="sr-Cyrl-CS"/>
              </w:rPr>
            </w:pPr>
          </w:p>
        </w:tc>
        <w:tc>
          <w:tcPr>
            <w:tcW w:w="4401"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ED8053" w14:textId="77777777" w:rsidR="00D210F0" w:rsidRPr="00092ED7" w:rsidRDefault="00D210F0" w:rsidP="00D210F0">
            <w:pPr>
              <w:spacing w:after="0"/>
              <w:rPr>
                <w:rFonts w:cs="Times New Roman"/>
                <w:b/>
                <w:bCs/>
                <w:color w:val="000000"/>
                <w:sz w:val="20"/>
                <w:szCs w:val="20"/>
                <w:lang w:val="sr-Cyrl-CS"/>
              </w:rPr>
            </w:pPr>
          </w:p>
        </w:tc>
        <w:tc>
          <w:tcPr>
            <w:tcW w:w="35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560CBD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D79C3B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356029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5AD72A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5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A13714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6EE05D1"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461E5E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ABE0451"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5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6B88E31"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1339D75"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42C590F"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4618032"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r>
      <w:tr w:rsidR="00D210F0" w:rsidRPr="00092ED7" w14:paraId="4075E252" w14:textId="77777777" w:rsidTr="00127FE8">
        <w:trPr>
          <w:trHeight w:val="340"/>
        </w:trPr>
        <w:tc>
          <w:tcPr>
            <w:tcW w:w="409"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43B96296"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1.</w:t>
            </w:r>
          </w:p>
        </w:tc>
        <w:tc>
          <w:tcPr>
            <w:tcW w:w="4401"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3A07E74A" w14:textId="5EB62A1C" w:rsidR="00D210F0" w:rsidRPr="00092ED7" w:rsidRDefault="00D210F0" w:rsidP="006944C5">
            <w:pPr>
              <w:spacing w:after="0"/>
              <w:ind w:right="209"/>
              <w:rPr>
                <w:rFonts w:cs="Times New Roman"/>
                <w:sz w:val="20"/>
                <w:szCs w:val="20"/>
                <w:lang w:val="sr-Cyrl-CS"/>
              </w:rPr>
            </w:pPr>
            <w:r w:rsidRPr="00092ED7">
              <w:rPr>
                <w:rFonts w:cs="Times New Roman"/>
                <w:sz w:val="20"/>
                <w:szCs w:val="20"/>
                <w:lang w:val="sr-Cyrl-CS"/>
              </w:rPr>
              <w:t xml:space="preserve">Прелиминарна анализа и израда нове </w:t>
            </w:r>
            <w:r w:rsidR="00CB0950" w:rsidRPr="00092ED7">
              <w:rPr>
                <w:rFonts w:cs="Times New Roman"/>
                <w:sz w:val="20"/>
                <w:szCs w:val="20"/>
                <w:lang w:val="sr-Cyrl-CS"/>
              </w:rPr>
              <w:t>с</w:t>
            </w:r>
            <w:r w:rsidRPr="00092ED7">
              <w:rPr>
                <w:rFonts w:cs="Times New Roman"/>
                <w:sz w:val="20"/>
                <w:szCs w:val="20"/>
                <w:lang w:val="sr-Cyrl-CS"/>
              </w:rPr>
              <w:t xml:space="preserve">тратегије </w:t>
            </w:r>
            <w:r w:rsidR="00CB0950" w:rsidRPr="00092ED7">
              <w:rPr>
                <w:rFonts w:cs="Times New Roman"/>
                <w:sz w:val="20"/>
                <w:szCs w:val="20"/>
                <w:lang w:val="sr-Cyrl-CS"/>
              </w:rPr>
              <w:t>инфраструктуре квалитета</w:t>
            </w:r>
            <w:r w:rsidRPr="00092ED7">
              <w:rPr>
                <w:rFonts w:cs="Times New Roman"/>
                <w:sz w:val="20"/>
                <w:szCs w:val="20"/>
                <w:lang w:val="sr-Cyrl-CS"/>
              </w:rPr>
              <w:t xml:space="preserve"> 2024-2030</w:t>
            </w:r>
          </w:p>
        </w:tc>
        <w:tc>
          <w:tcPr>
            <w:tcW w:w="359"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C40D0B5"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D938CE4"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090D833"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FC30068" w14:textId="77777777" w:rsidR="00D210F0" w:rsidRPr="00092ED7" w:rsidRDefault="00D210F0" w:rsidP="00D210F0">
            <w:pPr>
              <w:spacing w:after="0"/>
              <w:rPr>
                <w:rFonts w:cs="Times New Roman"/>
                <w:color w:val="000000"/>
                <w:sz w:val="20"/>
                <w:szCs w:val="20"/>
                <w:lang w:val="sr-Cyrl-CS"/>
              </w:rPr>
            </w:pPr>
          </w:p>
        </w:tc>
        <w:tc>
          <w:tcPr>
            <w:tcW w:w="3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6F3747D"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24C8D008"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6E1769B"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528FFEE2" w14:textId="77777777" w:rsidR="00D210F0" w:rsidRPr="00092ED7" w:rsidRDefault="00D210F0" w:rsidP="00D210F0">
            <w:pPr>
              <w:spacing w:after="0"/>
              <w:rPr>
                <w:rFonts w:cs="Times New Roman"/>
                <w:color w:val="000000"/>
                <w:sz w:val="20"/>
                <w:szCs w:val="20"/>
                <w:lang w:val="sr-Cyrl-CS"/>
              </w:rPr>
            </w:pPr>
          </w:p>
        </w:tc>
        <w:tc>
          <w:tcPr>
            <w:tcW w:w="3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932177D"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1BC0C20" w14:textId="77777777" w:rsidR="00D210F0" w:rsidRPr="00092ED7" w:rsidRDefault="00D210F0" w:rsidP="00D210F0">
            <w:pPr>
              <w:spacing w:after="0"/>
              <w:rPr>
                <w:rFonts w:cs="Times New Roman"/>
                <w:color w:val="000000"/>
                <w:sz w:val="18"/>
                <w:szCs w:val="18"/>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629E8E2" w14:textId="77777777" w:rsidR="00D210F0" w:rsidRPr="00092ED7" w:rsidRDefault="00D210F0" w:rsidP="00D210F0">
            <w:pPr>
              <w:spacing w:after="0"/>
              <w:rPr>
                <w:rFonts w:cs="Times New Roman"/>
                <w:color w:val="000000"/>
                <w:sz w:val="18"/>
                <w:szCs w:val="18"/>
                <w:lang w:val="sr-Cyrl-CS"/>
              </w:rPr>
            </w:pPr>
          </w:p>
        </w:tc>
        <w:tc>
          <w:tcPr>
            <w:tcW w:w="360"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40D82E52" w14:textId="77777777" w:rsidR="00D210F0" w:rsidRPr="00092ED7" w:rsidRDefault="00D210F0" w:rsidP="00D210F0">
            <w:pPr>
              <w:spacing w:after="0"/>
              <w:rPr>
                <w:rFonts w:cs="Times New Roman"/>
                <w:color w:val="000000"/>
                <w:sz w:val="18"/>
                <w:szCs w:val="18"/>
                <w:lang w:val="sr-Cyrl-CS"/>
              </w:rPr>
            </w:pPr>
          </w:p>
        </w:tc>
      </w:tr>
      <w:tr w:rsidR="00053B2B" w:rsidRPr="00092ED7" w14:paraId="10D9DAE8" w14:textId="77777777" w:rsidTr="00053B2B">
        <w:trPr>
          <w:trHeight w:val="340"/>
        </w:trPr>
        <w:tc>
          <w:tcPr>
            <w:tcW w:w="409"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0578382A"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2.</w:t>
            </w:r>
          </w:p>
        </w:tc>
        <w:tc>
          <w:tcPr>
            <w:tcW w:w="4401" w:type="dxa"/>
            <w:tcBorders>
              <w:top w:val="nil"/>
              <w:left w:val="nil"/>
              <w:bottom w:val="single" w:sz="4" w:space="0" w:color="auto"/>
              <w:right w:val="nil"/>
            </w:tcBorders>
            <w:shd w:val="clear" w:color="auto" w:fill="auto"/>
            <w:tcMar>
              <w:top w:w="15" w:type="dxa"/>
              <w:left w:w="15" w:type="dxa"/>
              <w:bottom w:w="0" w:type="dxa"/>
              <w:right w:w="15" w:type="dxa"/>
            </w:tcMar>
          </w:tcPr>
          <w:p w14:paraId="700F4499" w14:textId="070140AE" w:rsidR="00D210F0" w:rsidRPr="00092ED7" w:rsidRDefault="00D210F0" w:rsidP="006944C5">
            <w:pPr>
              <w:spacing w:after="0"/>
              <w:ind w:right="209"/>
              <w:rPr>
                <w:rFonts w:cs="Times New Roman"/>
                <w:sz w:val="20"/>
                <w:szCs w:val="20"/>
                <w:lang w:val="sr-Cyrl-CS"/>
              </w:rPr>
            </w:pPr>
            <w:r w:rsidRPr="00092ED7">
              <w:rPr>
                <w:rFonts w:cs="Times New Roman"/>
                <w:sz w:val="20"/>
                <w:szCs w:val="20"/>
                <w:lang w:val="sr-Cyrl-CS"/>
              </w:rPr>
              <w:t xml:space="preserve">Израда </w:t>
            </w:r>
            <w:r w:rsidR="00CB0950" w:rsidRPr="00092ED7">
              <w:rPr>
                <w:rFonts w:cs="Times New Roman"/>
                <w:sz w:val="20"/>
                <w:szCs w:val="20"/>
                <w:lang w:val="sr-Cyrl-CS"/>
              </w:rPr>
              <w:t>а</w:t>
            </w:r>
            <w:r w:rsidRPr="00092ED7">
              <w:rPr>
                <w:rFonts w:cs="Times New Roman"/>
                <w:sz w:val="20"/>
                <w:szCs w:val="20"/>
                <w:lang w:val="sr-Cyrl-CS"/>
              </w:rPr>
              <w:t xml:space="preserve">кционог плана за спровођење </w:t>
            </w:r>
            <w:r w:rsidR="00CB0950" w:rsidRPr="00092ED7">
              <w:rPr>
                <w:rFonts w:cs="Times New Roman"/>
                <w:sz w:val="20"/>
                <w:szCs w:val="20"/>
                <w:lang w:val="sr-Cyrl-CS"/>
              </w:rPr>
              <w:t>с</w:t>
            </w:r>
            <w:r w:rsidRPr="00092ED7">
              <w:rPr>
                <w:rFonts w:cs="Times New Roman"/>
                <w:sz w:val="20"/>
                <w:szCs w:val="20"/>
                <w:lang w:val="sr-Cyrl-CS"/>
              </w:rPr>
              <w:t xml:space="preserve">тратегије </w:t>
            </w:r>
            <w:r w:rsidR="00CB0950" w:rsidRPr="00092ED7">
              <w:rPr>
                <w:rFonts w:cs="Times New Roman"/>
                <w:sz w:val="20"/>
                <w:szCs w:val="20"/>
                <w:lang w:val="sr-Cyrl-CS"/>
              </w:rPr>
              <w:t>инфраструктуре квалитета</w:t>
            </w:r>
            <w:r w:rsidRPr="00092ED7">
              <w:rPr>
                <w:rFonts w:cs="Times New Roman"/>
                <w:sz w:val="20"/>
                <w:szCs w:val="20"/>
                <w:lang w:val="sr-Cyrl-CS"/>
              </w:rPr>
              <w:t xml:space="preserve"> 2024-2030</w:t>
            </w:r>
            <w:r w:rsidR="00CB0950" w:rsidRPr="00092ED7">
              <w:rPr>
                <w:rFonts w:cs="Times New Roman"/>
                <w:sz w:val="20"/>
                <w:szCs w:val="20"/>
                <w:lang w:val="sr-Cyrl-CS"/>
              </w:rPr>
              <w:t>.</w:t>
            </w:r>
            <w:r w:rsidRPr="00092ED7">
              <w:rPr>
                <w:rFonts w:cs="Times New Roman"/>
                <w:sz w:val="20"/>
                <w:szCs w:val="20"/>
                <w:lang w:val="sr-Cyrl-CS"/>
              </w:rPr>
              <w:t xml:space="preserve"> за 2024. и 2025. годину</w:t>
            </w:r>
          </w:p>
        </w:tc>
        <w:tc>
          <w:tcPr>
            <w:tcW w:w="35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4C79B45"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89C58F1"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10CFC34"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A342AE2" w14:textId="77777777" w:rsidR="00D210F0" w:rsidRPr="00092ED7" w:rsidRDefault="00D210F0" w:rsidP="00D210F0">
            <w:pPr>
              <w:spacing w:after="0"/>
              <w:rPr>
                <w:rFonts w:cs="Times New Roman"/>
                <w:color w:val="000000"/>
                <w:sz w:val="20"/>
                <w:szCs w:val="20"/>
                <w:lang w:val="sr-Cyrl-CS"/>
              </w:rPr>
            </w:pPr>
          </w:p>
        </w:tc>
        <w:tc>
          <w:tcPr>
            <w:tcW w:w="35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E5E11B2"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9D99B3B"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C24D770"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3C69B596" w14:textId="77777777" w:rsidR="00D210F0" w:rsidRPr="00092ED7" w:rsidRDefault="00D210F0" w:rsidP="00D210F0">
            <w:pPr>
              <w:spacing w:after="0"/>
              <w:rPr>
                <w:rFonts w:cs="Times New Roman"/>
                <w:color w:val="000000"/>
                <w:sz w:val="20"/>
                <w:szCs w:val="20"/>
                <w:lang w:val="sr-Cyrl-CS"/>
              </w:rPr>
            </w:pPr>
          </w:p>
        </w:tc>
        <w:tc>
          <w:tcPr>
            <w:tcW w:w="35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E68036C"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7582E76" w14:textId="77777777" w:rsidR="00D210F0" w:rsidRPr="00092ED7" w:rsidRDefault="00D210F0" w:rsidP="00D210F0">
            <w:pPr>
              <w:spacing w:after="0"/>
              <w:rPr>
                <w:rFonts w:cs="Times New Roman"/>
                <w:color w:val="000000"/>
                <w:sz w:val="18"/>
                <w:szCs w:val="18"/>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CFB31BE" w14:textId="77777777" w:rsidR="00D210F0" w:rsidRPr="00092ED7" w:rsidRDefault="00D210F0" w:rsidP="00D210F0">
            <w:pPr>
              <w:spacing w:after="0"/>
              <w:rPr>
                <w:rFonts w:cs="Times New Roman"/>
                <w:color w:val="000000"/>
                <w:sz w:val="18"/>
                <w:szCs w:val="18"/>
                <w:lang w:val="sr-Cyrl-CS"/>
              </w:rPr>
            </w:pPr>
          </w:p>
        </w:tc>
        <w:tc>
          <w:tcPr>
            <w:tcW w:w="360"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5BB02DCC" w14:textId="77777777" w:rsidR="00D210F0" w:rsidRPr="00092ED7" w:rsidRDefault="00D210F0" w:rsidP="00D210F0">
            <w:pPr>
              <w:spacing w:after="0"/>
              <w:rPr>
                <w:rFonts w:cs="Times New Roman"/>
                <w:color w:val="000000"/>
                <w:sz w:val="18"/>
                <w:szCs w:val="18"/>
                <w:lang w:val="sr-Cyrl-CS"/>
              </w:rPr>
            </w:pPr>
          </w:p>
        </w:tc>
      </w:tr>
      <w:tr w:rsidR="00EF67D6" w:rsidRPr="00092ED7" w14:paraId="57EFDFB3" w14:textId="77777777" w:rsidTr="005860F2">
        <w:trPr>
          <w:trHeight w:val="567"/>
        </w:trPr>
        <w:tc>
          <w:tcPr>
            <w:tcW w:w="409"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10AFAA0F"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3.</w:t>
            </w:r>
          </w:p>
        </w:tc>
        <w:tc>
          <w:tcPr>
            <w:tcW w:w="4401" w:type="dxa"/>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tcPr>
          <w:p w14:paraId="3E1BC8A2" w14:textId="561B0CC1" w:rsidR="00D210F0" w:rsidRPr="00092ED7" w:rsidRDefault="00D210F0" w:rsidP="00CB0950">
            <w:pPr>
              <w:spacing w:after="0"/>
              <w:ind w:right="209"/>
              <w:rPr>
                <w:rFonts w:cs="Times New Roman"/>
                <w:color w:val="000000"/>
                <w:sz w:val="20"/>
                <w:szCs w:val="20"/>
                <w:lang w:val="sr-Cyrl-CS"/>
              </w:rPr>
            </w:pPr>
            <w:r w:rsidRPr="00092ED7">
              <w:rPr>
                <w:rFonts w:cs="Times New Roman"/>
                <w:color w:val="000000"/>
                <w:sz w:val="20"/>
                <w:szCs w:val="20"/>
                <w:lang w:val="sr-Cyrl-CS"/>
              </w:rPr>
              <w:t xml:space="preserve">Стварање услова за пуну интеграцију Републике Србије у јединствено тржиште ЕУ за три групе индустријских производа (електрични и електронски производи, машине и </w:t>
            </w:r>
            <w:r w:rsidR="00CB0950" w:rsidRPr="00092ED7">
              <w:rPr>
                <w:rFonts w:cs="Times New Roman"/>
                <w:color w:val="000000"/>
                <w:sz w:val="20"/>
                <w:szCs w:val="20"/>
                <w:lang w:val="sr-Cyrl-CS"/>
              </w:rPr>
              <w:t>лична заштитна опрема</w:t>
            </w:r>
            <w:r w:rsidRPr="00092ED7">
              <w:rPr>
                <w:rFonts w:cs="Times New Roman"/>
                <w:color w:val="000000"/>
                <w:sz w:val="20"/>
                <w:szCs w:val="20"/>
                <w:lang w:val="sr-Cyrl-CS"/>
              </w:rPr>
              <w:t xml:space="preserve">) </w:t>
            </w:r>
          </w:p>
        </w:tc>
        <w:tc>
          <w:tcPr>
            <w:tcW w:w="3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AECB7C2"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6525D33"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0CE518E"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161BA14F" w14:textId="77777777" w:rsidR="00D210F0" w:rsidRPr="00092ED7" w:rsidRDefault="00D210F0" w:rsidP="00D210F0">
            <w:pPr>
              <w:spacing w:after="0"/>
              <w:rPr>
                <w:rFonts w:cs="Times New Roman"/>
                <w:color w:val="000000"/>
                <w:sz w:val="20"/>
                <w:szCs w:val="20"/>
                <w:lang w:val="sr-Cyrl-CS"/>
              </w:rPr>
            </w:pPr>
          </w:p>
        </w:tc>
        <w:tc>
          <w:tcPr>
            <w:tcW w:w="35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D081CAE"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B4115E6"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AF21ED4"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59571AD" w14:textId="77777777" w:rsidR="00D210F0" w:rsidRPr="00092ED7" w:rsidRDefault="00D210F0" w:rsidP="00D210F0">
            <w:pPr>
              <w:spacing w:after="0"/>
              <w:rPr>
                <w:rFonts w:cs="Times New Roman"/>
                <w:color w:val="000000"/>
                <w:sz w:val="20"/>
                <w:szCs w:val="20"/>
                <w:lang w:val="sr-Cyrl-CS"/>
              </w:rPr>
            </w:pPr>
          </w:p>
        </w:tc>
        <w:tc>
          <w:tcPr>
            <w:tcW w:w="35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136B856"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B4AA7D0" w14:textId="77777777" w:rsidR="00D210F0" w:rsidRPr="00092ED7" w:rsidRDefault="00D210F0" w:rsidP="00D210F0">
            <w:pPr>
              <w:spacing w:after="0"/>
              <w:rPr>
                <w:rFonts w:cs="Times New Roman"/>
                <w:color w:val="000000"/>
                <w:sz w:val="18"/>
                <w:szCs w:val="18"/>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A14B7F8" w14:textId="77777777" w:rsidR="00D210F0" w:rsidRPr="00092ED7" w:rsidRDefault="00D210F0" w:rsidP="00D210F0">
            <w:pPr>
              <w:spacing w:after="0"/>
              <w:rPr>
                <w:rFonts w:cs="Times New Roman"/>
                <w:color w:val="000000"/>
                <w:sz w:val="18"/>
                <w:szCs w:val="18"/>
                <w:lang w:val="sr-Cyrl-CS"/>
              </w:rPr>
            </w:pPr>
          </w:p>
        </w:tc>
        <w:tc>
          <w:tcPr>
            <w:tcW w:w="360" w:type="dxa"/>
            <w:tcBorders>
              <w:top w:val="single" w:sz="4" w:space="0" w:color="auto"/>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47E28407" w14:textId="77777777" w:rsidR="00D210F0" w:rsidRPr="00092ED7" w:rsidRDefault="00D210F0" w:rsidP="00D210F0">
            <w:pPr>
              <w:spacing w:after="0"/>
              <w:rPr>
                <w:rFonts w:cs="Times New Roman"/>
                <w:color w:val="000000"/>
                <w:sz w:val="18"/>
                <w:szCs w:val="18"/>
                <w:lang w:val="sr-Cyrl-CS"/>
              </w:rPr>
            </w:pPr>
          </w:p>
        </w:tc>
      </w:tr>
      <w:tr w:rsidR="00D210F0" w:rsidRPr="00092ED7" w14:paraId="486FA67B" w14:textId="77777777" w:rsidTr="006944C5">
        <w:trPr>
          <w:trHeight w:val="567"/>
        </w:trPr>
        <w:tc>
          <w:tcPr>
            <w:tcW w:w="409"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2865CA18"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4.</w:t>
            </w:r>
          </w:p>
        </w:tc>
        <w:tc>
          <w:tcPr>
            <w:tcW w:w="4401" w:type="dxa"/>
            <w:tcBorders>
              <w:top w:val="single" w:sz="4" w:space="0" w:color="auto"/>
              <w:left w:val="single" w:sz="4" w:space="0" w:color="auto"/>
              <w:bottom w:val="single" w:sz="4" w:space="0" w:color="auto"/>
              <w:right w:val="single" w:sz="8" w:space="0" w:color="auto"/>
            </w:tcBorders>
            <w:shd w:val="clear" w:color="auto" w:fill="auto"/>
            <w:noWrap/>
            <w:tcMar>
              <w:top w:w="15" w:type="dxa"/>
              <w:left w:w="15" w:type="dxa"/>
              <w:bottom w:w="0" w:type="dxa"/>
              <w:right w:w="15" w:type="dxa"/>
            </w:tcMar>
          </w:tcPr>
          <w:p w14:paraId="6406BC0E" w14:textId="66C53522" w:rsidR="00D210F0" w:rsidRPr="00092ED7" w:rsidRDefault="00636729" w:rsidP="00CB0950">
            <w:pPr>
              <w:spacing w:after="0"/>
              <w:ind w:right="209"/>
              <w:rPr>
                <w:rFonts w:cs="Times New Roman"/>
                <w:color w:val="000000"/>
                <w:sz w:val="20"/>
                <w:szCs w:val="20"/>
                <w:lang w:val="sr-Cyrl-CS"/>
              </w:rPr>
            </w:pPr>
            <w:r w:rsidRPr="00092ED7">
              <w:rPr>
                <w:rFonts w:cs="Times New Roman"/>
                <w:color w:val="000000"/>
                <w:sz w:val="20"/>
                <w:szCs w:val="20"/>
                <w:lang w:val="sr-Cyrl-CS"/>
              </w:rPr>
              <w:t xml:space="preserve">Потписивање </w:t>
            </w:r>
            <w:r w:rsidR="002E61FD" w:rsidRPr="00092ED7">
              <w:rPr>
                <w:color w:val="000000"/>
                <w:sz w:val="20"/>
                <w:szCs w:val="20"/>
                <w:lang w:val="sr-Cyrl-CS"/>
              </w:rPr>
              <w:t>ACAA</w:t>
            </w:r>
            <w:r w:rsidRPr="00092ED7">
              <w:rPr>
                <w:rFonts w:cs="Times New Roman"/>
                <w:color w:val="000000"/>
                <w:sz w:val="20"/>
                <w:szCs w:val="20"/>
                <w:lang w:val="sr-Cyrl-CS"/>
              </w:rPr>
              <w:t xml:space="preserve"> </w:t>
            </w:r>
            <w:r w:rsidR="002E61FD" w:rsidRPr="00092ED7">
              <w:rPr>
                <w:rFonts w:cs="Times New Roman"/>
                <w:color w:val="000000"/>
                <w:sz w:val="20"/>
                <w:szCs w:val="20"/>
                <w:lang w:val="sr-Cyrl-CS"/>
              </w:rPr>
              <w:t>спораз</w:t>
            </w:r>
            <w:r w:rsidRPr="00092ED7">
              <w:rPr>
                <w:rFonts w:cs="Times New Roman"/>
                <w:color w:val="000000"/>
                <w:sz w:val="20"/>
                <w:szCs w:val="20"/>
                <w:lang w:val="sr-Cyrl-CS"/>
              </w:rPr>
              <w:t xml:space="preserve">ума </w:t>
            </w:r>
            <w:r w:rsidR="00D210F0" w:rsidRPr="00092ED7">
              <w:rPr>
                <w:rFonts w:cs="Times New Roman"/>
                <w:color w:val="000000"/>
                <w:sz w:val="20"/>
                <w:szCs w:val="20"/>
                <w:lang w:val="sr-Cyrl-CS"/>
              </w:rPr>
              <w:t xml:space="preserve">за идентификоване три групе индустријских производа (електрични и електронски производи, машине и </w:t>
            </w:r>
            <w:r w:rsidR="00CB0950" w:rsidRPr="00092ED7">
              <w:rPr>
                <w:rFonts w:cs="Times New Roman"/>
                <w:color w:val="000000"/>
                <w:sz w:val="20"/>
                <w:szCs w:val="20"/>
                <w:lang w:val="sr-Cyrl-CS"/>
              </w:rPr>
              <w:t>лична заштитна опрема</w:t>
            </w:r>
            <w:r w:rsidR="00D210F0" w:rsidRPr="00092ED7">
              <w:rPr>
                <w:rFonts w:cs="Times New Roman"/>
                <w:color w:val="000000"/>
                <w:sz w:val="20"/>
                <w:szCs w:val="20"/>
                <w:lang w:val="sr-Cyrl-CS"/>
              </w:rPr>
              <w:t xml:space="preserve">) </w:t>
            </w:r>
          </w:p>
        </w:tc>
        <w:tc>
          <w:tcPr>
            <w:tcW w:w="3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1694DE8"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FDEC1E7"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FC1A83D"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53600699" w14:textId="77777777" w:rsidR="00D210F0" w:rsidRPr="00092ED7" w:rsidRDefault="00D210F0" w:rsidP="00D210F0">
            <w:pPr>
              <w:spacing w:after="0"/>
              <w:rPr>
                <w:rFonts w:cs="Times New Roman"/>
                <w:color w:val="000000"/>
                <w:sz w:val="20"/>
                <w:szCs w:val="20"/>
                <w:lang w:val="sr-Cyrl-CS"/>
              </w:rPr>
            </w:pPr>
          </w:p>
        </w:tc>
        <w:tc>
          <w:tcPr>
            <w:tcW w:w="35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5E9FEA4"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CDA9200"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81FDB3A"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4929EFA6" w14:textId="77777777" w:rsidR="00D210F0" w:rsidRPr="00092ED7" w:rsidRDefault="00D210F0" w:rsidP="00D210F0">
            <w:pPr>
              <w:spacing w:after="0"/>
              <w:rPr>
                <w:rFonts w:cs="Times New Roman"/>
                <w:color w:val="000000"/>
                <w:sz w:val="20"/>
                <w:szCs w:val="20"/>
                <w:lang w:val="sr-Cyrl-CS"/>
              </w:rPr>
            </w:pPr>
          </w:p>
        </w:tc>
        <w:tc>
          <w:tcPr>
            <w:tcW w:w="35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8DB9A41"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BB99F7B" w14:textId="77777777" w:rsidR="00D210F0" w:rsidRPr="00092ED7" w:rsidRDefault="00D210F0" w:rsidP="00D210F0">
            <w:pPr>
              <w:spacing w:after="0"/>
              <w:rPr>
                <w:rFonts w:cs="Times New Roman"/>
                <w:color w:val="000000"/>
                <w:sz w:val="18"/>
                <w:szCs w:val="18"/>
                <w:lang w:val="sr-Cyrl-CS"/>
              </w:rPr>
            </w:pPr>
          </w:p>
        </w:tc>
        <w:tc>
          <w:tcPr>
            <w:tcW w:w="36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B2812CB" w14:textId="77777777" w:rsidR="00D210F0" w:rsidRPr="00092ED7" w:rsidRDefault="00D210F0" w:rsidP="00D210F0">
            <w:pPr>
              <w:spacing w:after="0"/>
              <w:rPr>
                <w:rFonts w:cs="Times New Roman"/>
                <w:color w:val="000000"/>
                <w:sz w:val="18"/>
                <w:szCs w:val="18"/>
                <w:lang w:val="sr-Cyrl-CS"/>
              </w:rPr>
            </w:pPr>
          </w:p>
        </w:tc>
        <w:tc>
          <w:tcPr>
            <w:tcW w:w="36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hideMark/>
          </w:tcPr>
          <w:p w14:paraId="3B65B8CF" w14:textId="77777777" w:rsidR="00D210F0" w:rsidRPr="00092ED7" w:rsidRDefault="00D210F0" w:rsidP="00D210F0">
            <w:pPr>
              <w:spacing w:after="0"/>
              <w:rPr>
                <w:rFonts w:cs="Times New Roman"/>
                <w:color w:val="000000"/>
                <w:sz w:val="18"/>
                <w:szCs w:val="18"/>
                <w:lang w:val="sr-Cyrl-CS"/>
              </w:rPr>
            </w:pPr>
          </w:p>
        </w:tc>
      </w:tr>
    </w:tbl>
    <w:p w14:paraId="1B9A439D" w14:textId="77777777" w:rsidR="0032051C" w:rsidRDefault="0032051C" w:rsidP="0032051C">
      <w:pPr>
        <w:widowControl w:val="0"/>
        <w:spacing w:before="120"/>
        <w:ind w:left="360"/>
        <w:rPr>
          <w:rFonts w:cs="Times New Roman"/>
          <w:b/>
          <w:bCs/>
          <w:szCs w:val="24"/>
          <w:lang w:val="sr-Cyrl-CS"/>
        </w:rPr>
      </w:pPr>
    </w:p>
    <w:p w14:paraId="66F383CF" w14:textId="77777777" w:rsidR="0032051C" w:rsidRDefault="0032051C">
      <w:pPr>
        <w:spacing w:after="160" w:line="259" w:lineRule="auto"/>
        <w:jc w:val="left"/>
        <w:rPr>
          <w:rFonts w:cs="Times New Roman"/>
          <w:b/>
          <w:bCs/>
          <w:szCs w:val="24"/>
          <w:lang w:val="sr-Cyrl-CS"/>
        </w:rPr>
      </w:pPr>
      <w:r>
        <w:rPr>
          <w:rFonts w:cs="Times New Roman"/>
          <w:b/>
          <w:bCs/>
          <w:szCs w:val="24"/>
          <w:lang w:val="sr-Cyrl-CS"/>
        </w:rPr>
        <w:br w:type="page"/>
      </w:r>
    </w:p>
    <w:p w14:paraId="7E5288E2" w14:textId="0820A200" w:rsidR="00D210F0" w:rsidRPr="00092ED7" w:rsidRDefault="00D210F0" w:rsidP="00071952">
      <w:pPr>
        <w:widowControl w:val="0"/>
        <w:numPr>
          <w:ilvl w:val="0"/>
          <w:numId w:val="38"/>
        </w:numPr>
        <w:spacing w:before="120"/>
        <w:rPr>
          <w:rFonts w:cs="Times New Roman"/>
          <w:b/>
          <w:bCs/>
          <w:szCs w:val="24"/>
          <w:lang w:val="sr-Cyrl-CS"/>
        </w:rPr>
      </w:pPr>
      <w:r w:rsidRPr="00092ED7">
        <w:rPr>
          <w:rFonts w:cs="Times New Roman"/>
          <w:b/>
          <w:bCs/>
          <w:szCs w:val="24"/>
          <w:lang w:val="sr-Cyrl-CS"/>
        </w:rPr>
        <w:t>Индикатори ризика</w:t>
      </w:r>
    </w:p>
    <w:tbl>
      <w:tblPr>
        <w:tblStyle w:val="TableGrid"/>
        <w:tblW w:w="9214" w:type="dxa"/>
        <w:tblInd w:w="-5" w:type="dxa"/>
        <w:tblLayout w:type="fixed"/>
        <w:tblLook w:val="04A0" w:firstRow="1" w:lastRow="0" w:firstColumn="1" w:lastColumn="0" w:noHBand="0" w:noVBand="1"/>
      </w:tblPr>
      <w:tblGrid>
        <w:gridCol w:w="3685"/>
        <w:gridCol w:w="1843"/>
        <w:gridCol w:w="1843"/>
        <w:gridCol w:w="1843"/>
      </w:tblGrid>
      <w:tr w:rsidR="00D210F0" w:rsidRPr="00092ED7" w14:paraId="52BC2616" w14:textId="77777777" w:rsidTr="006944C5">
        <w:trPr>
          <w:cnfStyle w:val="100000000000" w:firstRow="1" w:lastRow="0" w:firstColumn="0" w:lastColumn="0" w:oddVBand="0" w:evenVBand="0" w:oddHBand="0" w:evenHBand="0" w:firstRowFirstColumn="0" w:firstRowLastColumn="0" w:lastRowFirstColumn="0" w:lastRowLastColumn="0"/>
          <w:trHeight w:val="340"/>
        </w:trPr>
        <w:tc>
          <w:tcPr>
            <w:tcW w:w="3685" w:type="dxa"/>
          </w:tcPr>
          <w:p w14:paraId="3F5A3BE4"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Показатељ</w:t>
            </w:r>
          </w:p>
        </w:tc>
        <w:tc>
          <w:tcPr>
            <w:tcW w:w="1843" w:type="dxa"/>
          </w:tcPr>
          <w:p w14:paraId="03B861FD"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Почетна вредност</w:t>
            </w:r>
            <w:r w:rsidR="001D63D0" w:rsidRPr="00092ED7">
              <w:rPr>
                <w:rFonts w:cs="Times New Roman"/>
                <w:sz w:val="20"/>
                <w:lang w:val="sr-Cyrl-CS"/>
              </w:rPr>
              <w:t xml:space="preserve"> (2020)</w:t>
            </w:r>
          </w:p>
        </w:tc>
        <w:tc>
          <w:tcPr>
            <w:tcW w:w="1843" w:type="dxa"/>
          </w:tcPr>
          <w:p w14:paraId="5393D750"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Међурезултат</w:t>
            </w:r>
            <w:r w:rsidR="006944C5" w:rsidRPr="00092ED7">
              <w:rPr>
                <w:rFonts w:cs="Times New Roman"/>
                <w:sz w:val="20"/>
                <w:lang w:val="sr-Cyrl-CS"/>
              </w:rPr>
              <w:t xml:space="preserve"> (202</w:t>
            </w:r>
            <w:r w:rsidR="001D63D0" w:rsidRPr="00092ED7">
              <w:rPr>
                <w:rFonts w:cs="Times New Roman"/>
                <w:sz w:val="20"/>
                <w:lang w:val="sr-Cyrl-CS"/>
              </w:rPr>
              <w:t>4</w:t>
            </w:r>
            <w:r w:rsidR="006944C5" w:rsidRPr="00092ED7">
              <w:rPr>
                <w:rFonts w:cs="Times New Roman"/>
                <w:sz w:val="20"/>
                <w:lang w:val="sr-Cyrl-CS"/>
              </w:rPr>
              <w:t>)</w:t>
            </w:r>
          </w:p>
        </w:tc>
        <w:tc>
          <w:tcPr>
            <w:tcW w:w="1843" w:type="dxa"/>
          </w:tcPr>
          <w:p w14:paraId="69B7FEF0"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Циљна вредност</w:t>
            </w:r>
            <w:r w:rsidR="006944C5" w:rsidRPr="00092ED7">
              <w:rPr>
                <w:rFonts w:cs="Times New Roman"/>
                <w:sz w:val="20"/>
                <w:lang w:val="sr-Cyrl-CS"/>
              </w:rPr>
              <w:t xml:space="preserve"> (202</w:t>
            </w:r>
            <w:r w:rsidR="001D63D0" w:rsidRPr="00092ED7">
              <w:rPr>
                <w:rFonts w:cs="Times New Roman"/>
                <w:sz w:val="20"/>
                <w:lang w:val="sr-Cyrl-CS"/>
              </w:rPr>
              <w:t>6</w:t>
            </w:r>
            <w:r w:rsidR="006944C5" w:rsidRPr="00092ED7">
              <w:rPr>
                <w:rFonts w:cs="Times New Roman"/>
                <w:sz w:val="20"/>
                <w:lang w:val="sr-Cyrl-CS"/>
              </w:rPr>
              <w:t>)</w:t>
            </w:r>
          </w:p>
        </w:tc>
      </w:tr>
      <w:tr w:rsidR="00D210F0" w:rsidRPr="00092ED7" w14:paraId="25229531" w14:textId="77777777" w:rsidTr="006944C5">
        <w:tc>
          <w:tcPr>
            <w:tcW w:w="3685" w:type="dxa"/>
          </w:tcPr>
          <w:p w14:paraId="170DFF39"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Глобални индекс инфраструктуре квалитета (GQII index)</w:t>
            </w:r>
            <w:r w:rsidR="001D63D0" w:rsidRPr="00092ED7">
              <w:rPr>
                <w:rFonts w:cs="Times New Roman"/>
                <w:sz w:val="20"/>
                <w:lang w:val="sr-Cyrl-CS"/>
              </w:rPr>
              <w:t>*</w:t>
            </w:r>
          </w:p>
          <w:p w14:paraId="0F04F066" w14:textId="77777777" w:rsidR="00D210F0" w:rsidRPr="00092ED7" w:rsidRDefault="00D210F0" w:rsidP="006944C5">
            <w:pPr>
              <w:spacing w:before="0" w:after="0"/>
              <w:ind w:left="113" w:right="113"/>
              <w:rPr>
                <w:rFonts w:cs="Times New Roman"/>
                <w:i/>
                <w:sz w:val="20"/>
                <w:lang w:val="sr-Cyrl-CS"/>
              </w:rPr>
            </w:pPr>
            <w:r w:rsidRPr="00092ED7">
              <w:rPr>
                <w:rFonts w:cs="Times New Roman"/>
                <w:i/>
                <w:sz w:val="20"/>
                <w:lang w:val="sr-Cyrl-CS"/>
              </w:rPr>
              <w:t xml:space="preserve">Извор верификације: </w:t>
            </w:r>
            <w:hyperlink r:id="rId43" w:history="1">
              <w:r w:rsidRPr="00092ED7">
                <w:rPr>
                  <w:rFonts w:cs="Times New Roman"/>
                  <w:i/>
                  <w:color w:val="0563C1" w:themeColor="hyperlink"/>
                  <w:sz w:val="20"/>
                  <w:u w:val="single"/>
                  <w:lang w:val="sr-Cyrl-CS"/>
                </w:rPr>
                <w:t>https://gqii.org</w:t>
              </w:r>
            </w:hyperlink>
            <w:r w:rsidRPr="00092ED7">
              <w:rPr>
                <w:rFonts w:cs="Times New Roman"/>
                <w:i/>
                <w:sz w:val="20"/>
                <w:lang w:val="sr-Cyrl-CS"/>
              </w:rPr>
              <w:t xml:space="preserve"> </w:t>
            </w:r>
          </w:p>
        </w:tc>
        <w:tc>
          <w:tcPr>
            <w:tcW w:w="1843" w:type="dxa"/>
          </w:tcPr>
          <w:p w14:paraId="4B871F7E"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86</w:t>
            </w:r>
          </w:p>
          <w:p w14:paraId="19D00595" w14:textId="77777777" w:rsidR="00D210F0" w:rsidRPr="00092ED7" w:rsidRDefault="00D210F0" w:rsidP="006944C5">
            <w:pPr>
              <w:spacing w:before="0" w:after="0"/>
              <w:ind w:left="113" w:right="113"/>
              <w:jc w:val="center"/>
              <w:rPr>
                <w:rFonts w:cs="Times New Roman"/>
                <w:sz w:val="20"/>
                <w:lang w:val="sr-Cyrl-CS"/>
              </w:rPr>
            </w:pPr>
          </w:p>
        </w:tc>
        <w:tc>
          <w:tcPr>
            <w:tcW w:w="1843" w:type="dxa"/>
          </w:tcPr>
          <w:p w14:paraId="5C72F2AE" w14:textId="77777777" w:rsidR="00D210F0" w:rsidRPr="00092ED7" w:rsidRDefault="006944C5" w:rsidP="006944C5">
            <w:pPr>
              <w:spacing w:before="0" w:after="0"/>
              <w:ind w:left="113" w:right="113"/>
              <w:jc w:val="center"/>
              <w:rPr>
                <w:rFonts w:cs="Times New Roman"/>
                <w:sz w:val="20"/>
                <w:lang w:val="sr-Cyrl-CS"/>
              </w:rPr>
            </w:pPr>
            <w:r w:rsidRPr="00092ED7">
              <w:rPr>
                <w:rFonts w:cs="Times New Roman"/>
                <w:sz w:val="20"/>
                <w:lang w:val="sr-Cyrl-CS"/>
              </w:rPr>
              <w:t>87</w:t>
            </w:r>
          </w:p>
        </w:tc>
        <w:tc>
          <w:tcPr>
            <w:tcW w:w="1843" w:type="dxa"/>
          </w:tcPr>
          <w:p w14:paraId="40D4D6FA" w14:textId="77777777" w:rsidR="00251403" w:rsidRPr="00092ED7" w:rsidRDefault="00251403" w:rsidP="00251403">
            <w:pPr>
              <w:spacing w:after="0"/>
              <w:ind w:left="113" w:right="113"/>
              <w:jc w:val="center"/>
              <w:rPr>
                <w:rFonts w:cs="Times New Roman"/>
                <w:sz w:val="20"/>
                <w:lang w:val="sr-Cyrl-CS"/>
              </w:rPr>
            </w:pPr>
            <w:r w:rsidRPr="00092ED7">
              <w:rPr>
                <w:rFonts w:cs="Times New Roman"/>
                <w:sz w:val="20"/>
                <w:lang w:val="sr-Cyrl-CS"/>
              </w:rPr>
              <w:t>88</w:t>
            </w:r>
          </w:p>
          <w:p w14:paraId="4047FF86" w14:textId="77777777" w:rsidR="00D210F0" w:rsidRPr="00092ED7" w:rsidRDefault="00D210F0" w:rsidP="006944C5">
            <w:pPr>
              <w:spacing w:before="0" w:after="0"/>
              <w:ind w:left="113" w:right="113"/>
              <w:jc w:val="center"/>
              <w:rPr>
                <w:rFonts w:cs="Times New Roman"/>
                <w:sz w:val="20"/>
                <w:lang w:val="sr-Cyrl-CS"/>
              </w:rPr>
            </w:pPr>
          </w:p>
        </w:tc>
      </w:tr>
    </w:tbl>
    <w:p w14:paraId="3AC246A7" w14:textId="77777777" w:rsidR="001D63D0" w:rsidRPr="00092ED7" w:rsidRDefault="001D63D0" w:rsidP="00A67EE8">
      <w:pPr>
        <w:tabs>
          <w:tab w:val="left" w:pos="360"/>
        </w:tabs>
        <w:spacing w:after="0"/>
        <w:contextualSpacing/>
        <w:rPr>
          <w:rFonts w:cs="Times New Roman"/>
          <w:bCs/>
          <w:sz w:val="16"/>
          <w:szCs w:val="16"/>
          <w:lang w:val="sr-Cyrl-CS"/>
        </w:rPr>
      </w:pPr>
      <w:r w:rsidRPr="00092ED7">
        <w:rPr>
          <w:rFonts w:cs="Times New Roman"/>
          <w:bCs/>
          <w:sz w:val="16"/>
          <w:szCs w:val="16"/>
          <w:lang w:val="sr-Cyrl-CS"/>
        </w:rPr>
        <w:t>*GQII индекс je развијен на иницијативу Немачког националног метролошког института (Physikalisch Technische Bundesanstalt - PTB) и обухвата званичне податке националних тела за акредитацију, стандардизацију и метрологију, а показује степен развијености система инфраструктуре квалитета. На основу вредности овог индекса, врши се рангирање 184 економије, у зависности од висине индекса, односно развијености у овој области. Максимална вредност индекса је 100, и за почетну вредност је узета вредност за 2020. годину као доступан податак (за 2021. и 2022. годину нису доступни подаци).</w:t>
      </w:r>
    </w:p>
    <w:p w14:paraId="4A1D43F1" w14:textId="77777777" w:rsidR="00D210F0" w:rsidRPr="00092ED7" w:rsidRDefault="00D210F0" w:rsidP="00071952">
      <w:pPr>
        <w:widowControl w:val="0"/>
        <w:numPr>
          <w:ilvl w:val="0"/>
          <w:numId w:val="38"/>
        </w:numPr>
        <w:spacing w:before="120"/>
        <w:rPr>
          <w:rFonts w:cs="Times New Roman"/>
          <w:b/>
          <w:bCs/>
          <w:szCs w:val="24"/>
          <w:lang w:val="sr-Cyrl-CS"/>
        </w:rPr>
      </w:pPr>
      <w:r w:rsidRPr="00092ED7">
        <w:rPr>
          <w:rFonts w:cs="Times New Roman"/>
          <w:b/>
          <w:bCs/>
          <w:szCs w:val="24"/>
          <w:lang w:val="sr-Cyrl-CS"/>
        </w:rPr>
        <w:t>Oчекивани</w:t>
      </w:r>
      <w:r w:rsidRPr="00092ED7">
        <w:rPr>
          <w:b/>
          <w:szCs w:val="24"/>
          <w:lang w:val="sr-Cyrl-CS"/>
        </w:rPr>
        <w:t xml:space="preserve"> утицај на конкурентност</w:t>
      </w:r>
    </w:p>
    <w:p w14:paraId="5FC45522" w14:textId="77777777" w:rsidR="00D210F0" w:rsidRPr="00092ED7" w:rsidRDefault="00D210F0" w:rsidP="00D210F0">
      <w:pPr>
        <w:spacing w:after="60"/>
        <w:rPr>
          <w:rFonts w:cs="Times New Roman"/>
          <w:szCs w:val="24"/>
          <w:lang w:val="sr-Cyrl-CS"/>
        </w:rPr>
      </w:pPr>
      <w:r w:rsidRPr="00092ED7">
        <w:rPr>
          <w:rFonts w:cs="Times New Roman"/>
          <w:szCs w:val="24"/>
          <w:lang w:val="sr-Cyrl-CS"/>
        </w:rPr>
        <w:t xml:space="preserve">Реформа ће допринети повећању нивоа квалитета и безбедности домаћих индустријских производа (обухваћених Преговарачким поглављем 1 – </w:t>
      </w:r>
      <w:r w:rsidR="00FD7510" w:rsidRPr="00092ED7">
        <w:rPr>
          <w:rFonts w:cs="Times New Roman"/>
          <w:szCs w:val="24"/>
          <w:lang w:val="sr-Cyrl-CS"/>
        </w:rPr>
        <w:t>С</w:t>
      </w:r>
      <w:r w:rsidRPr="00092ED7">
        <w:rPr>
          <w:rFonts w:cs="Times New Roman"/>
          <w:szCs w:val="24"/>
          <w:lang w:val="sr-Cyrl-CS"/>
        </w:rPr>
        <w:t xml:space="preserve">лободно кретање робе), што ће допринети повећању нивоа конкурентности наведених производа на тржишту ЕУ, а тиме ће позитивно утицати и на пораст апсолутног износа извоза, и удела извоза индустријских производа у укупном извозу Републике Србије. </w:t>
      </w:r>
      <w:r w:rsidRPr="00092ED7">
        <w:rPr>
          <w:rFonts w:eastAsia="Times New Roman" w:cs="Times New Roman"/>
          <w:szCs w:val="24"/>
          <w:lang w:val="sr-Cyrl-CS"/>
        </w:rPr>
        <w:t>Реализацијом ове реформе створиће се услови за даљи развој и потпуно усаглашавање са прописима и правилима ЕУ у областима стандардизације, акредитације, метрологије и оцењивања усаглашености са захтевима стандарда односно техничких прописа</w:t>
      </w:r>
      <w:r w:rsidR="002E61FD" w:rsidRPr="00092ED7">
        <w:rPr>
          <w:rFonts w:eastAsia="Times New Roman" w:cs="Times New Roman"/>
          <w:szCs w:val="24"/>
          <w:lang w:val="sr-Cyrl-CS"/>
        </w:rPr>
        <w:t xml:space="preserve">. Реформа ће допринети и јачању </w:t>
      </w:r>
      <w:r w:rsidRPr="00092ED7">
        <w:rPr>
          <w:rFonts w:eastAsia="Times New Roman" w:cs="Times New Roman"/>
          <w:szCs w:val="24"/>
          <w:lang w:val="sr-Cyrl-CS"/>
        </w:rPr>
        <w:t>институција инфраструктуре квалитета са циљем одржавања њихове</w:t>
      </w:r>
      <w:r w:rsidRPr="00092ED7">
        <w:rPr>
          <w:szCs w:val="24"/>
          <w:lang w:val="sr-Cyrl-CS"/>
        </w:rPr>
        <w:t xml:space="preserve"> </w:t>
      </w:r>
      <w:r w:rsidRPr="00092ED7">
        <w:rPr>
          <w:rFonts w:eastAsia="Times New Roman" w:cs="Times New Roman"/>
          <w:szCs w:val="24"/>
          <w:lang w:val="sr-Cyrl-CS"/>
        </w:rPr>
        <w:t xml:space="preserve">европске и међународне репутације, </w:t>
      </w:r>
      <w:r w:rsidR="002E61FD" w:rsidRPr="00092ED7">
        <w:rPr>
          <w:rFonts w:eastAsia="Times New Roman" w:cs="Times New Roman"/>
          <w:szCs w:val="24"/>
          <w:lang w:val="sr-Cyrl-CS"/>
        </w:rPr>
        <w:t xml:space="preserve">јачању </w:t>
      </w:r>
      <w:r w:rsidRPr="00092ED7">
        <w:rPr>
          <w:rFonts w:eastAsia="Times New Roman" w:cs="Times New Roman"/>
          <w:szCs w:val="24"/>
          <w:lang w:val="sr-Cyrl-CS"/>
        </w:rPr>
        <w:t>капацитета министарстава надлежних за поједине техничке прописе</w:t>
      </w:r>
      <w:r w:rsidR="002E61FD" w:rsidRPr="00092ED7">
        <w:rPr>
          <w:rFonts w:eastAsia="Times New Roman" w:cs="Times New Roman"/>
          <w:szCs w:val="24"/>
          <w:lang w:val="sr-Cyrl-CS"/>
        </w:rPr>
        <w:t xml:space="preserve"> и</w:t>
      </w:r>
      <w:r w:rsidRPr="00092ED7">
        <w:rPr>
          <w:rFonts w:eastAsia="Times New Roman" w:cs="Times New Roman"/>
          <w:szCs w:val="24"/>
          <w:lang w:val="sr-Cyrl-CS"/>
        </w:rPr>
        <w:t xml:space="preserve"> тржишног надзора</w:t>
      </w:r>
      <w:r w:rsidR="002E61FD" w:rsidRPr="00092ED7">
        <w:rPr>
          <w:rFonts w:eastAsia="Times New Roman" w:cs="Times New Roman"/>
          <w:szCs w:val="24"/>
          <w:lang w:val="sr-Cyrl-CS"/>
        </w:rPr>
        <w:t>, али ће</w:t>
      </w:r>
      <w:r w:rsidRPr="00092ED7">
        <w:rPr>
          <w:rFonts w:eastAsia="Times New Roman" w:cs="Times New Roman"/>
          <w:szCs w:val="24"/>
          <w:lang w:val="sr-Cyrl-CS"/>
        </w:rPr>
        <w:t xml:space="preserve"> и </w:t>
      </w:r>
      <w:r w:rsidR="002E61FD" w:rsidRPr="00092ED7">
        <w:rPr>
          <w:rFonts w:eastAsia="Times New Roman" w:cs="Times New Roman"/>
          <w:szCs w:val="24"/>
          <w:lang w:val="sr-Cyrl-CS"/>
        </w:rPr>
        <w:t xml:space="preserve">утицати на </w:t>
      </w:r>
      <w:r w:rsidRPr="00092ED7">
        <w:rPr>
          <w:rFonts w:eastAsia="Times New Roman" w:cs="Times New Roman"/>
          <w:szCs w:val="24"/>
          <w:lang w:val="sr-Cyrl-CS"/>
        </w:rPr>
        <w:t>континуирано повећавање свести привредих субјеката и крајњих потрошача о значају примене техничких прописа и стандарда за достизање високог нивоа квалитета и безбедности производа пласираних на тржишту Републике Србије, што све заједно представља значајан предуслов за јачање конкурентности српске привреде.</w:t>
      </w:r>
    </w:p>
    <w:p w14:paraId="0A02D85D" w14:textId="77777777" w:rsidR="00D210F0" w:rsidRPr="00092ED7" w:rsidRDefault="00D210F0" w:rsidP="00071952">
      <w:pPr>
        <w:widowControl w:val="0"/>
        <w:numPr>
          <w:ilvl w:val="0"/>
          <w:numId w:val="38"/>
        </w:numPr>
        <w:spacing w:before="120"/>
        <w:rPr>
          <w:rFonts w:cs="Times New Roman"/>
          <w:b/>
          <w:bCs/>
          <w:szCs w:val="24"/>
          <w:lang w:val="sr-Cyrl-CS"/>
        </w:rPr>
      </w:pPr>
      <w:r w:rsidRPr="00092ED7">
        <w:rPr>
          <w:rFonts w:cs="Times New Roman"/>
          <w:b/>
          <w:bCs/>
          <w:szCs w:val="24"/>
          <w:lang w:val="sr-Cyrl-CS"/>
        </w:rPr>
        <w:t>Процењени</w:t>
      </w:r>
      <w:r w:rsidRPr="00092ED7">
        <w:rPr>
          <w:b/>
          <w:szCs w:val="24"/>
          <w:lang w:val="sr-Cyrl-CS"/>
        </w:rPr>
        <w:t xml:space="preserve"> трошкови спровођења структурне реформе и предвиђени извори њиховог финансирања</w:t>
      </w:r>
    </w:p>
    <w:p w14:paraId="2A33278D" w14:textId="77777777" w:rsidR="002E61FD" w:rsidRPr="00092ED7" w:rsidRDefault="002E61FD" w:rsidP="00D030D6">
      <w:pPr>
        <w:spacing w:after="60"/>
        <w:rPr>
          <w:rFonts w:cs="Times New Roman"/>
          <w:lang w:val="sr-Cyrl-CS"/>
        </w:rPr>
      </w:pPr>
      <w:r w:rsidRPr="00092ED7">
        <w:rPr>
          <w:rFonts w:cs="Times New Roman"/>
          <w:lang w:val="sr-Cyrl-CS"/>
        </w:rPr>
        <w:t>Укупна вредност структурне реформе за период 2023-2025. године износи 700,000 евра.</w:t>
      </w:r>
    </w:p>
    <w:p w14:paraId="078115CE" w14:textId="77777777" w:rsidR="002E61FD" w:rsidRPr="00092ED7" w:rsidRDefault="002E61FD" w:rsidP="00D030D6">
      <w:pPr>
        <w:spacing w:after="60"/>
        <w:rPr>
          <w:rFonts w:cs="Times New Roman"/>
          <w:lang w:val="sr-Cyrl-CS"/>
        </w:rPr>
      </w:pPr>
      <w:r w:rsidRPr="00092ED7">
        <w:rPr>
          <w:rFonts w:cs="Times New Roman"/>
          <w:lang w:val="sr-Cyrl-CS"/>
        </w:rPr>
        <w:t>Трошкови спровођења структурне реформе по активностима:</w:t>
      </w:r>
    </w:p>
    <w:p w14:paraId="7E2E418B" w14:textId="70233D76" w:rsidR="002E61FD" w:rsidRPr="00092ED7" w:rsidRDefault="002E61FD" w:rsidP="00053B2B">
      <w:pPr>
        <w:pStyle w:val="ListParagraph"/>
        <w:widowControl w:val="0"/>
        <w:numPr>
          <w:ilvl w:val="0"/>
          <w:numId w:val="53"/>
        </w:numPr>
        <w:spacing w:after="0" w:line="240" w:lineRule="auto"/>
        <w:rPr>
          <w:rFonts w:cs="Times New Roman"/>
          <w:sz w:val="24"/>
          <w:szCs w:val="24"/>
          <w:lang w:val="sr-Cyrl-CS"/>
        </w:rPr>
      </w:pPr>
      <w:r w:rsidRPr="00092ED7">
        <w:rPr>
          <w:rFonts w:cs="Times New Roman"/>
          <w:sz w:val="24"/>
          <w:szCs w:val="24"/>
          <w:lang w:val="sr-Cyrl-CS"/>
        </w:rPr>
        <w:t xml:space="preserve">Прелиминарна анализа и израда нове </w:t>
      </w:r>
      <w:r w:rsidR="00CB0950" w:rsidRPr="00092ED7">
        <w:rPr>
          <w:rFonts w:cs="Times New Roman"/>
          <w:sz w:val="24"/>
          <w:szCs w:val="24"/>
          <w:lang w:val="sr-Cyrl-CS"/>
        </w:rPr>
        <w:t>с</w:t>
      </w:r>
      <w:r w:rsidRPr="00092ED7">
        <w:rPr>
          <w:rFonts w:cs="Times New Roman"/>
          <w:sz w:val="24"/>
          <w:szCs w:val="24"/>
          <w:lang w:val="sr-Cyrl-CS"/>
        </w:rPr>
        <w:t xml:space="preserve">тратегије </w:t>
      </w:r>
      <w:r w:rsidR="00CB0950" w:rsidRPr="00092ED7">
        <w:rPr>
          <w:rFonts w:cs="Times New Roman"/>
          <w:sz w:val="24"/>
          <w:szCs w:val="24"/>
          <w:lang w:val="sr-Cyrl-CS"/>
        </w:rPr>
        <w:t>инфраструктуре квалитета</w:t>
      </w:r>
      <w:r w:rsidRPr="00092ED7">
        <w:rPr>
          <w:rFonts w:cs="Times New Roman"/>
          <w:sz w:val="24"/>
          <w:szCs w:val="24"/>
          <w:lang w:val="sr-Cyrl-CS"/>
        </w:rPr>
        <w:t xml:space="preserve"> 2024-2030: 300.000 евра, извор финансирања: ИПА 2019 – пројекат </w:t>
      </w:r>
      <w:r w:rsidRPr="00092ED7">
        <w:rPr>
          <w:rFonts w:eastAsia="Times New Roman" w:cs="Times New Roman"/>
          <w:sz w:val="24"/>
          <w:szCs w:val="24"/>
          <w:lang w:val="sr-Cyrl-CS" w:eastAsia="en-US"/>
        </w:rPr>
        <w:t xml:space="preserve">„EU4BE - </w:t>
      </w:r>
      <w:r w:rsidRPr="00092ED7">
        <w:rPr>
          <w:rFonts w:cs="Times New Roman"/>
          <w:sz w:val="24"/>
          <w:szCs w:val="24"/>
          <w:lang w:val="sr-Cyrl-CS"/>
        </w:rPr>
        <w:t xml:space="preserve">EU for Better Business Environment” који обухвата  пројекат </w:t>
      </w:r>
      <w:r w:rsidRPr="00092ED7">
        <w:rPr>
          <w:rFonts w:cs="Times New Roman"/>
          <w:i/>
          <w:iCs/>
          <w:sz w:val="24"/>
          <w:szCs w:val="24"/>
          <w:lang w:val="sr-Cyrl-CS"/>
        </w:rPr>
        <w:t>„Инфраструктура квалитета, фактори развоја конкурентности – припремне активности за унапређење стратешког и законодавног оквира</w:t>
      </w:r>
      <w:r w:rsidR="001305E1" w:rsidRPr="00092ED7">
        <w:rPr>
          <w:rFonts w:cs="Times New Roman"/>
          <w:i/>
          <w:sz w:val="24"/>
          <w:szCs w:val="24"/>
          <w:lang w:val="sr-Cyrl-CS"/>
        </w:rPr>
        <w:t>”</w:t>
      </w:r>
      <w:r w:rsidRPr="00092ED7">
        <w:rPr>
          <w:rFonts w:cs="Times New Roman"/>
          <w:i/>
          <w:iCs/>
          <w:sz w:val="24"/>
          <w:szCs w:val="24"/>
          <w:lang w:val="sr-Cyrl-CS"/>
        </w:rPr>
        <w:t xml:space="preserve"> -</w:t>
      </w:r>
      <w:r w:rsidRPr="00092ED7">
        <w:rPr>
          <w:rFonts w:cs="Times New Roman"/>
          <w:sz w:val="24"/>
          <w:szCs w:val="24"/>
          <w:lang w:val="sr-Cyrl-CS"/>
        </w:rPr>
        <w:t xml:space="preserve"> </w:t>
      </w:r>
      <w:r w:rsidRPr="00092ED7">
        <w:rPr>
          <w:rFonts w:cs="Times New Roman"/>
          <w:i/>
          <w:iCs/>
          <w:sz w:val="24"/>
          <w:szCs w:val="24"/>
          <w:lang w:val="sr-Cyrl-CS"/>
        </w:rPr>
        <w:t>„Quality Infrastructure, Competitiveness Development Factors - Preparatory Activities for Improving the Strategic and Legislative Framework</w:t>
      </w:r>
      <w:r w:rsidR="00291A46" w:rsidRPr="00092ED7">
        <w:rPr>
          <w:rFonts w:cs="Times New Roman"/>
          <w:i/>
          <w:sz w:val="24"/>
          <w:szCs w:val="24"/>
          <w:lang w:val="sr-Cyrl-CS"/>
        </w:rPr>
        <w:t>”</w:t>
      </w:r>
      <w:r w:rsidRPr="00092ED7">
        <w:rPr>
          <w:rFonts w:cs="Times New Roman"/>
          <w:i/>
          <w:iCs/>
          <w:sz w:val="24"/>
          <w:szCs w:val="24"/>
          <w:lang w:val="sr-Cyrl-CS"/>
        </w:rPr>
        <w:t xml:space="preserve">, </w:t>
      </w:r>
      <w:r w:rsidRPr="00092ED7">
        <w:rPr>
          <w:rFonts w:cs="Times New Roman"/>
          <w:iCs/>
          <w:sz w:val="24"/>
          <w:szCs w:val="24"/>
          <w:lang w:val="sr-Cyrl-CS"/>
        </w:rPr>
        <w:t xml:space="preserve">који </w:t>
      </w:r>
      <w:r w:rsidRPr="00092ED7">
        <w:rPr>
          <w:rFonts w:cs="Times New Roman"/>
          <w:sz w:val="24"/>
          <w:szCs w:val="24"/>
          <w:lang w:val="sr-Cyrl-CS"/>
        </w:rPr>
        <w:t>спроводи Светска банка;</w:t>
      </w:r>
    </w:p>
    <w:p w14:paraId="4F957D29" w14:textId="092DC09E" w:rsidR="002E61FD" w:rsidRPr="00092ED7" w:rsidRDefault="002E61FD" w:rsidP="00053B2B">
      <w:pPr>
        <w:pStyle w:val="ListParagraph"/>
        <w:widowControl w:val="0"/>
        <w:numPr>
          <w:ilvl w:val="0"/>
          <w:numId w:val="53"/>
        </w:numPr>
        <w:spacing w:after="0" w:line="240" w:lineRule="auto"/>
        <w:rPr>
          <w:rFonts w:cs="Times New Roman"/>
          <w:sz w:val="24"/>
          <w:szCs w:val="24"/>
          <w:lang w:val="sr-Cyrl-CS"/>
        </w:rPr>
      </w:pPr>
      <w:r w:rsidRPr="00092ED7">
        <w:rPr>
          <w:rFonts w:cs="Times New Roman"/>
          <w:sz w:val="24"/>
          <w:szCs w:val="24"/>
          <w:lang w:val="sr-Cyrl-CS"/>
        </w:rPr>
        <w:t xml:space="preserve">Израда </w:t>
      </w:r>
      <w:r w:rsidR="00CB0950" w:rsidRPr="00092ED7">
        <w:rPr>
          <w:rFonts w:cs="Times New Roman"/>
          <w:sz w:val="24"/>
          <w:szCs w:val="24"/>
          <w:lang w:val="sr-Cyrl-CS"/>
        </w:rPr>
        <w:t>а</w:t>
      </w:r>
      <w:r w:rsidRPr="00092ED7">
        <w:rPr>
          <w:rFonts w:cs="Times New Roman"/>
          <w:sz w:val="24"/>
          <w:szCs w:val="24"/>
          <w:lang w:val="sr-Cyrl-CS"/>
        </w:rPr>
        <w:t xml:space="preserve">кционог плана за спровођење </w:t>
      </w:r>
      <w:r w:rsidR="00CB0950" w:rsidRPr="00092ED7">
        <w:rPr>
          <w:rFonts w:cs="Times New Roman"/>
          <w:sz w:val="24"/>
          <w:szCs w:val="24"/>
          <w:lang w:val="sr-Cyrl-CS"/>
        </w:rPr>
        <w:t>с</w:t>
      </w:r>
      <w:r w:rsidRPr="00092ED7">
        <w:rPr>
          <w:rFonts w:cs="Times New Roman"/>
          <w:sz w:val="24"/>
          <w:szCs w:val="24"/>
          <w:lang w:val="sr-Cyrl-CS"/>
        </w:rPr>
        <w:t xml:space="preserve">тратегије </w:t>
      </w:r>
      <w:r w:rsidR="00CB0950" w:rsidRPr="00092ED7">
        <w:rPr>
          <w:rFonts w:cs="Times New Roman"/>
          <w:sz w:val="24"/>
          <w:szCs w:val="24"/>
          <w:lang w:val="sr-Cyrl-CS"/>
        </w:rPr>
        <w:t>инфраструктуре квалитета</w:t>
      </w:r>
      <w:r w:rsidRPr="00092ED7">
        <w:rPr>
          <w:rFonts w:cs="Times New Roman"/>
          <w:sz w:val="24"/>
          <w:szCs w:val="24"/>
          <w:lang w:val="sr-Cyrl-CS"/>
        </w:rPr>
        <w:t xml:space="preserve"> 2024-2030</w:t>
      </w:r>
      <w:r w:rsidR="00CB0950" w:rsidRPr="00092ED7">
        <w:rPr>
          <w:rFonts w:cs="Times New Roman"/>
          <w:sz w:val="24"/>
          <w:szCs w:val="24"/>
          <w:lang w:val="sr-Cyrl-CS"/>
        </w:rPr>
        <w:t>.</w:t>
      </w:r>
      <w:r w:rsidRPr="00092ED7">
        <w:rPr>
          <w:rFonts w:cs="Times New Roman"/>
          <w:sz w:val="24"/>
          <w:szCs w:val="24"/>
          <w:lang w:val="sr-Cyrl-CS"/>
        </w:rPr>
        <w:t xml:space="preserve"> за 2024. и 2025. годину: 150,000 евра, извор финансирања: буџет </w:t>
      </w:r>
      <w:r w:rsidR="00CB0950" w:rsidRPr="00092ED7">
        <w:rPr>
          <w:rFonts w:cs="Times New Roman"/>
          <w:sz w:val="24"/>
          <w:szCs w:val="24"/>
          <w:lang w:val="sr-Cyrl-CS"/>
        </w:rPr>
        <w:t xml:space="preserve">Републике Србије </w:t>
      </w:r>
      <w:r w:rsidRPr="00092ED7">
        <w:rPr>
          <w:rFonts w:cs="Times New Roman"/>
          <w:sz w:val="24"/>
          <w:szCs w:val="24"/>
          <w:lang w:val="sr-Cyrl-CS"/>
        </w:rPr>
        <w:t>и донаторска подршка (није још обезбеђено);</w:t>
      </w:r>
    </w:p>
    <w:p w14:paraId="34EF7DEA" w14:textId="1B64CB20" w:rsidR="002E61FD" w:rsidRPr="00092ED7" w:rsidRDefault="002E61FD" w:rsidP="00053B2B">
      <w:pPr>
        <w:pStyle w:val="ListParagraph"/>
        <w:widowControl w:val="0"/>
        <w:numPr>
          <w:ilvl w:val="0"/>
          <w:numId w:val="53"/>
        </w:numPr>
        <w:spacing w:after="0" w:line="240" w:lineRule="auto"/>
        <w:rPr>
          <w:rFonts w:cs="Times New Roman"/>
          <w:sz w:val="24"/>
          <w:szCs w:val="24"/>
          <w:lang w:val="sr-Cyrl-CS"/>
        </w:rPr>
      </w:pPr>
      <w:r w:rsidRPr="00092ED7">
        <w:rPr>
          <w:rFonts w:cs="Times New Roman"/>
          <w:sz w:val="24"/>
          <w:szCs w:val="24"/>
          <w:lang w:val="sr-Cyrl-CS"/>
        </w:rPr>
        <w:t xml:space="preserve">Стварање услова за пуну интеграцију Републике Србије у јединствено тржиште ЕУ за три групе индустријских производа (електрични и електронски производи, машине и </w:t>
      </w:r>
      <w:r w:rsidR="00CB0950" w:rsidRPr="00092ED7">
        <w:rPr>
          <w:rFonts w:cs="Times New Roman"/>
          <w:sz w:val="24"/>
          <w:szCs w:val="24"/>
          <w:lang w:val="sr-Cyrl-CS"/>
        </w:rPr>
        <w:t>личне заштитне опреме</w:t>
      </w:r>
      <w:r w:rsidRPr="00092ED7">
        <w:rPr>
          <w:rFonts w:cs="Times New Roman"/>
          <w:sz w:val="24"/>
          <w:szCs w:val="24"/>
          <w:lang w:val="sr-Cyrl-CS"/>
        </w:rPr>
        <w:t xml:space="preserve">): 250,000 евра, извор финансирања: буџет </w:t>
      </w:r>
      <w:r w:rsidR="00CB0950" w:rsidRPr="00092ED7">
        <w:rPr>
          <w:rFonts w:cs="Times New Roman"/>
          <w:sz w:val="24"/>
          <w:szCs w:val="24"/>
          <w:lang w:val="sr-Cyrl-CS"/>
        </w:rPr>
        <w:t xml:space="preserve">Републике Србије </w:t>
      </w:r>
      <w:r w:rsidRPr="00092ED7">
        <w:rPr>
          <w:rFonts w:cs="Times New Roman"/>
          <w:sz w:val="24"/>
          <w:szCs w:val="24"/>
          <w:lang w:val="sr-Cyrl-CS"/>
        </w:rPr>
        <w:t>и донаторска подршка (није још обезбеђено);</w:t>
      </w:r>
    </w:p>
    <w:p w14:paraId="62BE42B0" w14:textId="271483AD" w:rsidR="002E61FD" w:rsidRDefault="002E61FD" w:rsidP="00053B2B">
      <w:pPr>
        <w:pStyle w:val="ListParagraph"/>
        <w:widowControl w:val="0"/>
        <w:numPr>
          <w:ilvl w:val="0"/>
          <w:numId w:val="53"/>
        </w:numPr>
        <w:spacing w:after="0" w:line="240" w:lineRule="auto"/>
        <w:rPr>
          <w:rFonts w:cs="Times New Roman"/>
          <w:sz w:val="24"/>
          <w:szCs w:val="24"/>
          <w:lang w:val="sr-Cyrl-CS"/>
        </w:rPr>
      </w:pPr>
      <w:r w:rsidRPr="00092ED7">
        <w:rPr>
          <w:rFonts w:cs="Times New Roman"/>
          <w:sz w:val="24"/>
          <w:szCs w:val="24"/>
          <w:lang w:val="sr-Cyrl-CS"/>
        </w:rPr>
        <w:t xml:space="preserve">Потписивање </w:t>
      </w:r>
      <w:r w:rsidRPr="00092ED7">
        <w:rPr>
          <w:rFonts w:cs="Times New Roman"/>
          <w:i/>
          <w:iCs/>
          <w:sz w:val="24"/>
          <w:szCs w:val="24"/>
          <w:lang w:val="sr-Cyrl-CS"/>
        </w:rPr>
        <w:t>ACAA</w:t>
      </w:r>
      <w:r w:rsidRPr="00092ED7">
        <w:rPr>
          <w:rFonts w:cs="Times New Roman"/>
          <w:sz w:val="24"/>
          <w:szCs w:val="24"/>
          <w:lang w:val="sr-Cyrl-CS"/>
        </w:rPr>
        <w:t xml:space="preserve"> </w:t>
      </w:r>
      <w:r w:rsidR="00A15328" w:rsidRPr="00092ED7">
        <w:rPr>
          <w:rFonts w:cs="Times New Roman"/>
          <w:sz w:val="24"/>
          <w:szCs w:val="24"/>
          <w:lang w:val="sr-Cyrl-CS"/>
        </w:rPr>
        <w:t>с</w:t>
      </w:r>
      <w:r w:rsidRPr="00092ED7">
        <w:rPr>
          <w:rFonts w:cs="Times New Roman"/>
          <w:sz w:val="24"/>
          <w:szCs w:val="24"/>
          <w:lang w:val="sr-Cyrl-CS"/>
        </w:rPr>
        <w:t xml:space="preserve">поразума за идентификоване три групе индустријских производа (електрични и електронски производи, машине и </w:t>
      </w:r>
      <w:r w:rsidR="005B484F" w:rsidRPr="00092ED7">
        <w:rPr>
          <w:rFonts w:cs="Times New Roman"/>
          <w:sz w:val="24"/>
          <w:szCs w:val="24"/>
          <w:lang w:val="sr-Cyrl-CS"/>
        </w:rPr>
        <w:t>лична заштитна опрема</w:t>
      </w:r>
      <w:r w:rsidRPr="00092ED7">
        <w:rPr>
          <w:rFonts w:cs="Times New Roman"/>
          <w:sz w:val="24"/>
          <w:szCs w:val="24"/>
          <w:lang w:val="sr-Cyrl-CS"/>
        </w:rPr>
        <w:t>): за ову активност нису потребна финансијска средства.</w:t>
      </w:r>
    </w:p>
    <w:p w14:paraId="590C57C4" w14:textId="77777777" w:rsidR="0032051C" w:rsidRPr="0032051C" w:rsidRDefault="0032051C" w:rsidP="0032051C">
      <w:pPr>
        <w:widowControl w:val="0"/>
        <w:spacing w:after="0"/>
        <w:rPr>
          <w:rFonts w:cs="Times New Roman"/>
          <w:szCs w:val="24"/>
          <w:lang w:val="sr-Cyrl-CS"/>
        </w:rPr>
      </w:pPr>
    </w:p>
    <w:p w14:paraId="38113B1F" w14:textId="77777777" w:rsidR="00D210F0" w:rsidRPr="00092ED7" w:rsidRDefault="00D210F0" w:rsidP="00071952">
      <w:pPr>
        <w:widowControl w:val="0"/>
        <w:numPr>
          <w:ilvl w:val="0"/>
          <w:numId w:val="38"/>
        </w:numPr>
        <w:spacing w:before="120"/>
        <w:rPr>
          <w:rFonts w:cs="Times New Roman"/>
          <w:b/>
          <w:szCs w:val="24"/>
          <w:lang w:val="sr-Cyrl-CS"/>
        </w:rPr>
      </w:pPr>
      <w:r w:rsidRPr="00092ED7">
        <w:rPr>
          <w:rFonts w:cs="Times New Roman"/>
          <w:b/>
          <w:bCs/>
          <w:szCs w:val="24"/>
          <w:lang w:val="sr-Cyrl-CS"/>
        </w:rPr>
        <w:t>Очекивани</w:t>
      </w:r>
      <w:r w:rsidRPr="00092ED7">
        <w:rPr>
          <w:rFonts w:cs="Times New Roman"/>
          <w:b/>
          <w:szCs w:val="24"/>
          <w:lang w:val="sr-Cyrl-CS"/>
        </w:rPr>
        <w:t xml:space="preserve"> утицај на социјалне циљеве, као што су запосленост, смањење сиромаштва, родна равноправност и приступ здравственој заштити</w:t>
      </w:r>
    </w:p>
    <w:p w14:paraId="0815DE4B" w14:textId="6AF1D57C" w:rsidR="00D210F0" w:rsidRPr="00092ED7" w:rsidRDefault="00112925" w:rsidP="00D210F0">
      <w:pPr>
        <w:tabs>
          <w:tab w:val="left" w:pos="360"/>
        </w:tabs>
        <w:spacing w:after="60"/>
        <w:rPr>
          <w:rFonts w:cs="Times New Roman"/>
          <w:b/>
          <w:szCs w:val="24"/>
          <w:lang w:val="sr-Cyrl-CS"/>
        </w:rPr>
      </w:pPr>
      <w:r w:rsidRPr="00092ED7">
        <w:rPr>
          <w:rFonts w:cs="Times New Roman"/>
          <w:szCs w:val="24"/>
          <w:lang w:val="sr-Cyrl-CS"/>
        </w:rPr>
        <w:t>Имплементација ове структурне реформе је предуслов за јачање конкурентности српске привреде (повећање нивоа квалитета и безбедности домаћих индустријских производа), што кроз пораст извоза поменутих производа на тржиште ЕУ може имати директан утицај повећање запослености и смањење сиромаштва, као и индиректни позитиван утицај на остваривање принципа родне равноправности.</w:t>
      </w:r>
    </w:p>
    <w:p w14:paraId="49FDA868" w14:textId="77777777" w:rsidR="00D210F0" w:rsidRPr="00092ED7" w:rsidRDefault="00D210F0" w:rsidP="00071952">
      <w:pPr>
        <w:widowControl w:val="0"/>
        <w:numPr>
          <w:ilvl w:val="0"/>
          <w:numId w:val="38"/>
        </w:numPr>
        <w:spacing w:before="120"/>
        <w:rPr>
          <w:rFonts w:cs="Times New Roman"/>
          <w:b/>
          <w:szCs w:val="24"/>
          <w:lang w:val="sr-Cyrl-CS"/>
        </w:rPr>
      </w:pPr>
      <w:r w:rsidRPr="00092ED7">
        <w:rPr>
          <w:rFonts w:cs="Times New Roman"/>
          <w:b/>
          <w:bCs/>
          <w:szCs w:val="24"/>
          <w:lang w:val="sr-Cyrl-CS"/>
        </w:rPr>
        <w:t>Очекивани</w:t>
      </w:r>
      <w:r w:rsidRPr="00092ED7">
        <w:rPr>
          <w:rFonts w:cs="Times New Roman"/>
          <w:b/>
          <w:szCs w:val="24"/>
          <w:lang w:val="sr-Cyrl-CS"/>
        </w:rPr>
        <w:t xml:space="preserve"> утицај на животну средину и климатске промене</w:t>
      </w:r>
    </w:p>
    <w:p w14:paraId="23326A5C" w14:textId="77777777" w:rsidR="00D210F0" w:rsidRPr="00092ED7" w:rsidRDefault="00D210F0" w:rsidP="00D210F0">
      <w:pPr>
        <w:spacing w:after="60"/>
        <w:rPr>
          <w:rFonts w:cs="Times New Roman"/>
          <w:i/>
          <w:lang w:val="sr-Cyrl-CS"/>
        </w:rPr>
      </w:pPr>
      <w:r w:rsidRPr="00092ED7">
        <w:rPr>
          <w:rFonts w:cs="Times New Roman"/>
          <w:lang w:val="sr-Cyrl-CS"/>
        </w:rPr>
        <w:t>Структурна реформа има позитиван утицај на животну средину, јер њени резултати доприносе унапређењу техничких прописа и примене стандарда који укључују и захтеве заштите животне средине</w:t>
      </w:r>
      <w:r w:rsidRPr="00092ED7">
        <w:rPr>
          <w:rFonts w:cs="Times New Roman"/>
          <w:i/>
          <w:lang w:val="sr-Cyrl-CS"/>
        </w:rPr>
        <w:t xml:space="preserve"> </w:t>
      </w:r>
      <w:r w:rsidRPr="00092ED7">
        <w:rPr>
          <w:rFonts w:cs="Times New Roman"/>
          <w:lang w:val="sr-Cyrl-CS"/>
        </w:rPr>
        <w:t xml:space="preserve">(нпр. </w:t>
      </w:r>
      <w:r w:rsidR="002E61FD" w:rsidRPr="00092ED7">
        <w:rPr>
          <w:rFonts w:cs="Times New Roman"/>
          <w:lang w:val="sr-Cyrl-CS"/>
        </w:rPr>
        <w:t xml:space="preserve">SRPS ISO </w:t>
      </w:r>
      <w:r w:rsidRPr="00092ED7">
        <w:rPr>
          <w:rFonts w:cs="Times New Roman"/>
          <w:lang w:val="sr-Cyrl-CS"/>
        </w:rPr>
        <w:t xml:space="preserve">14001 - </w:t>
      </w:r>
      <w:r w:rsidR="002E61FD" w:rsidRPr="00092ED7">
        <w:rPr>
          <w:rFonts w:cs="Times New Roman"/>
          <w:lang w:val="sr-Cyrl-CS"/>
        </w:rPr>
        <w:t xml:space="preserve">Системи </w:t>
      </w:r>
      <w:r w:rsidRPr="00092ED7">
        <w:rPr>
          <w:rFonts w:cs="Times New Roman"/>
          <w:lang w:val="sr-Cyrl-CS"/>
        </w:rPr>
        <w:t xml:space="preserve">менаџмента </w:t>
      </w:r>
      <w:r w:rsidR="002E61FD" w:rsidRPr="00092ED7">
        <w:rPr>
          <w:rFonts w:cs="Times New Roman"/>
          <w:lang w:val="sr-Cyrl-CS"/>
        </w:rPr>
        <w:t>животном средином</w:t>
      </w:r>
      <w:r w:rsidRPr="00092ED7">
        <w:rPr>
          <w:rFonts w:cs="Times New Roman"/>
          <w:lang w:val="sr-Cyrl-CS"/>
        </w:rPr>
        <w:t xml:space="preserve">, </w:t>
      </w:r>
      <w:r w:rsidR="002E61FD" w:rsidRPr="00092ED7">
        <w:rPr>
          <w:rFonts w:cs="Times New Roman"/>
          <w:lang w:val="sr-Cyrl-CS"/>
        </w:rPr>
        <w:t>SRPS ISO</w:t>
      </w:r>
      <w:r w:rsidRPr="00092ED7">
        <w:rPr>
          <w:rFonts w:cs="Times New Roman"/>
          <w:lang w:val="sr-Cyrl-CS"/>
        </w:rPr>
        <w:t xml:space="preserve"> 50001 – Системи менаџмента енергијом), што ће омогућити привредним субјектима да повећају своју одговорност према животној средини</w:t>
      </w:r>
      <w:r w:rsidRPr="00092ED7">
        <w:rPr>
          <w:lang w:val="sr-Cyrl-CS"/>
        </w:rPr>
        <w:t>.</w:t>
      </w:r>
    </w:p>
    <w:p w14:paraId="60271753" w14:textId="77777777" w:rsidR="00D210F0" w:rsidRPr="00092ED7" w:rsidRDefault="00D210F0" w:rsidP="00071952">
      <w:pPr>
        <w:widowControl w:val="0"/>
        <w:numPr>
          <w:ilvl w:val="0"/>
          <w:numId w:val="38"/>
        </w:numPr>
        <w:spacing w:before="120"/>
        <w:rPr>
          <w:rFonts w:cs="Times New Roman"/>
          <w:b/>
          <w:szCs w:val="24"/>
          <w:lang w:val="sr-Cyrl-CS"/>
        </w:rPr>
      </w:pPr>
      <w:r w:rsidRPr="00092ED7">
        <w:rPr>
          <w:rFonts w:cs="Times New Roman"/>
          <w:b/>
          <w:bCs/>
          <w:szCs w:val="24"/>
          <w:lang w:val="sr-Cyrl-CS"/>
        </w:rPr>
        <w:t>Потенцијални</w:t>
      </w:r>
      <w:r w:rsidRPr="00092ED7">
        <w:rPr>
          <w:rFonts w:cs="Times New Roman"/>
          <w:b/>
          <w:szCs w:val="24"/>
          <w:lang w:val="sr-Cyrl-CS"/>
        </w:rPr>
        <w:t xml:space="preserve"> ризици</w:t>
      </w:r>
    </w:p>
    <w:tbl>
      <w:tblPr>
        <w:tblStyle w:val="TableGrid2"/>
        <w:tblW w:w="9067" w:type="dxa"/>
        <w:tblLayout w:type="fixed"/>
        <w:tblLook w:val="04A0" w:firstRow="1" w:lastRow="0" w:firstColumn="1" w:lastColumn="0" w:noHBand="0" w:noVBand="1"/>
      </w:tblPr>
      <w:tblGrid>
        <w:gridCol w:w="2948"/>
        <w:gridCol w:w="2098"/>
        <w:gridCol w:w="4021"/>
      </w:tblGrid>
      <w:tr w:rsidR="00D210F0" w:rsidRPr="00092ED7" w14:paraId="214B34C4" w14:textId="77777777" w:rsidTr="006944C5">
        <w:trPr>
          <w:cnfStyle w:val="100000000000" w:firstRow="1" w:lastRow="0" w:firstColumn="0" w:lastColumn="0" w:oddVBand="0" w:evenVBand="0" w:oddHBand="0" w:evenHBand="0" w:firstRowFirstColumn="0" w:firstRowLastColumn="0" w:lastRowFirstColumn="0" w:lastRowLastColumn="0"/>
        </w:trPr>
        <w:tc>
          <w:tcPr>
            <w:tcW w:w="2948" w:type="dxa"/>
          </w:tcPr>
          <w:p w14:paraId="56B6A511" w14:textId="77777777" w:rsidR="00D210F0" w:rsidRPr="00092ED7" w:rsidRDefault="00D210F0" w:rsidP="006944C5">
            <w:pPr>
              <w:spacing w:before="0" w:after="0"/>
              <w:ind w:left="113" w:right="113"/>
              <w:jc w:val="center"/>
              <w:rPr>
                <w:sz w:val="20"/>
                <w:lang w:val="sr-Cyrl-CS"/>
              </w:rPr>
            </w:pPr>
            <w:r w:rsidRPr="00092ED7">
              <w:rPr>
                <w:rFonts w:cs="Times New Roman"/>
                <w:sz w:val="20"/>
                <w:lang w:val="sr-Cyrl-CS"/>
              </w:rPr>
              <w:t>Ризик</w:t>
            </w:r>
          </w:p>
        </w:tc>
        <w:tc>
          <w:tcPr>
            <w:tcW w:w="2098" w:type="dxa"/>
          </w:tcPr>
          <w:p w14:paraId="37E755D1" w14:textId="77777777" w:rsidR="00D210F0" w:rsidRPr="00092ED7" w:rsidRDefault="00D210F0" w:rsidP="006944C5">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4021" w:type="dxa"/>
          </w:tcPr>
          <w:p w14:paraId="40D40832" w14:textId="77777777" w:rsidR="00D210F0" w:rsidRPr="00092ED7" w:rsidRDefault="00D210F0" w:rsidP="006944C5">
            <w:pPr>
              <w:spacing w:before="0" w:after="0"/>
              <w:ind w:left="113" w:right="113"/>
              <w:jc w:val="center"/>
              <w:rPr>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48C9BDF7" w14:textId="77777777" w:rsidTr="00D030D6">
        <w:tc>
          <w:tcPr>
            <w:tcW w:w="2948" w:type="dxa"/>
            <w:vAlign w:val="top"/>
          </w:tcPr>
          <w:p w14:paraId="5D340B6F" w14:textId="77777777" w:rsidR="00D210F0" w:rsidRPr="00092ED7" w:rsidRDefault="00D210F0" w:rsidP="00D030D6">
            <w:pPr>
              <w:spacing w:before="0" w:after="0"/>
              <w:ind w:left="113" w:right="113"/>
              <w:rPr>
                <w:sz w:val="20"/>
                <w:lang w:val="sr-Cyrl-CS"/>
              </w:rPr>
            </w:pPr>
            <w:r w:rsidRPr="00092ED7">
              <w:rPr>
                <w:rFonts w:cs="Times New Roman"/>
                <w:sz w:val="20"/>
                <w:lang w:val="sr-Cyrl-CS"/>
              </w:rPr>
              <w:t>Недостатак финансијских средстава</w:t>
            </w:r>
          </w:p>
        </w:tc>
        <w:tc>
          <w:tcPr>
            <w:tcW w:w="2098" w:type="dxa"/>
            <w:vAlign w:val="top"/>
          </w:tcPr>
          <w:p w14:paraId="30A77F10" w14:textId="77777777" w:rsidR="00D210F0" w:rsidRPr="00092ED7" w:rsidRDefault="00D210F0" w:rsidP="00D030D6">
            <w:pPr>
              <w:spacing w:before="0" w:after="0"/>
              <w:ind w:left="113" w:right="113"/>
              <w:jc w:val="center"/>
              <w:rPr>
                <w:sz w:val="20"/>
                <w:lang w:val="sr-Cyrl-CS"/>
              </w:rPr>
            </w:pPr>
            <w:r w:rsidRPr="00092ED7">
              <w:rPr>
                <w:rFonts w:cs="Times New Roman"/>
                <w:sz w:val="20"/>
                <w:lang w:val="sr-Cyrl-CS"/>
              </w:rPr>
              <w:t>Ниска</w:t>
            </w:r>
          </w:p>
        </w:tc>
        <w:tc>
          <w:tcPr>
            <w:tcW w:w="4021" w:type="dxa"/>
          </w:tcPr>
          <w:p w14:paraId="24C24535" w14:textId="22489A5E"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Проналажење алтернативних извора финансирања кроз међународне пројекте, донације</w:t>
            </w:r>
            <w:r w:rsidR="00A6728C" w:rsidRPr="00092ED7">
              <w:rPr>
                <w:rFonts w:cs="Times New Roman"/>
                <w:sz w:val="20"/>
                <w:lang w:val="sr-Cyrl-CS"/>
              </w:rPr>
              <w:t xml:space="preserve"> </w:t>
            </w:r>
            <w:r w:rsidRPr="00092ED7">
              <w:rPr>
                <w:rFonts w:cs="Times New Roman"/>
                <w:sz w:val="20"/>
                <w:lang w:val="sr-Cyrl-CS"/>
              </w:rPr>
              <w:t>и сл.</w:t>
            </w:r>
          </w:p>
          <w:p w14:paraId="4BE5C52A" w14:textId="06761AB3" w:rsidR="00D210F0" w:rsidRPr="00092ED7" w:rsidRDefault="00D210F0" w:rsidP="00CB0950">
            <w:pPr>
              <w:spacing w:before="0" w:after="0"/>
              <w:ind w:left="113" w:right="113"/>
              <w:rPr>
                <w:rFonts w:cs="Times New Roman"/>
                <w:sz w:val="20"/>
                <w:lang w:val="sr-Cyrl-CS"/>
              </w:rPr>
            </w:pPr>
            <w:r w:rsidRPr="00092ED7">
              <w:rPr>
                <w:rFonts w:cs="Times New Roman"/>
                <w:sz w:val="20"/>
                <w:lang w:val="sr-Cyrl-CS"/>
              </w:rPr>
              <w:t xml:space="preserve">Припрема </w:t>
            </w:r>
            <w:r w:rsidR="00CB0950" w:rsidRPr="00092ED7">
              <w:rPr>
                <w:rFonts w:cs="Times New Roman"/>
                <w:sz w:val="20"/>
                <w:lang w:val="sr-Cyrl-CS"/>
              </w:rPr>
              <w:t>с</w:t>
            </w:r>
            <w:r w:rsidRPr="00092ED7">
              <w:rPr>
                <w:rFonts w:cs="Times New Roman"/>
                <w:sz w:val="20"/>
                <w:lang w:val="sr-Cyrl-CS"/>
              </w:rPr>
              <w:t xml:space="preserve">тратегије и </w:t>
            </w:r>
            <w:r w:rsidR="00CB0950" w:rsidRPr="00092ED7">
              <w:rPr>
                <w:rFonts w:cs="Times New Roman"/>
                <w:sz w:val="20"/>
                <w:lang w:val="sr-Cyrl-CS"/>
              </w:rPr>
              <w:t xml:space="preserve">акционог плана </w:t>
            </w:r>
            <w:r w:rsidRPr="00092ED7">
              <w:rPr>
                <w:rFonts w:cs="Times New Roman"/>
                <w:sz w:val="20"/>
                <w:lang w:val="sr-Cyrl-CS"/>
              </w:rPr>
              <w:t>у оквиру постојећих ресурса надлежног органа</w:t>
            </w:r>
            <w:r w:rsidR="00D47BD8" w:rsidRPr="00092ED7">
              <w:rPr>
                <w:rFonts w:cs="Times New Roman"/>
                <w:sz w:val="20"/>
                <w:lang w:val="sr-Cyrl-CS"/>
              </w:rPr>
              <w:t>.</w:t>
            </w:r>
          </w:p>
        </w:tc>
      </w:tr>
      <w:tr w:rsidR="00D210F0" w:rsidRPr="00092ED7" w14:paraId="0E530B0E" w14:textId="77777777" w:rsidTr="00D030D6">
        <w:tc>
          <w:tcPr>
            <w:tcW w:w="2948" w:type="dxa"/>
            <w:vAlign w:val="top"/>
          </w:tcPr>
          <w:p w14:paraId="7E89812C" w14:textId="77777777" w:rsidR="00D210F0" w:rsidRPr="00092ED7" w:rsidRDefault="00D210F0" w:rsidP="00D030D6">
            <w:pPr>
              <w:spacing w:before="0" w:after="0"/>
              <w:ind w:left="113" w:right="113"/>
              <w:rPr>
                <w:sz w:val="20"/>
                <w:lang w:val="sr-Cyrl-CS"/>
              </w:rPr>
            </w:pPr>
            <w:r w:rsidRPr="00092ED7">
              <w:rPr>
                <w:rFonts w:cs="Times New Roman"/>
                <w:sz w:val="20"/>
                <w:lang w:val="sr-Cyrl-CS"/>
              </w:rPr>
              <w:t>Изостанак сарадње институција ИК и других заинтересованих страна</w:t>
            </w:r>
          </w:p>
        </w:tc>
        <w:tc>
          <w:tcPr>
            <w:tcW w:w="2098" w:type="dxa"/>
            <w:vAlign w:val="top"/>
          </w:tcPr>
          <w:p w14:paraId="7C2D6A05" w14:textId="77777777" w:rsidR="00D210F0" w:rsidRPr="00092ED7" w:rsidRDefault="00D210F0" w:rsidP="00D030D6">
            <w:pPr>
              <w:spacing w:before="0" w:after="0"/>
              <w:ind w:left="113" w:right="113"/>
              <w:jc w:val="center"/>
              <w:rPr>
                <w:sz w:val="20"/>
                <w:lang w:val="sr-Cyrl-CS"/>
              </w:rPr>
            </w:pPr>
            <w:r w:rsidRPr="00092ED7">
              <w:rPr>
                <w:rFonts w:cs="Times New Roman"/>
                <w:sz w:val="20"/>
                <w:lang w:val="sr-Cyrl-CS"/>
              </w:rPr>
              <w:t>Ниска</w:t>
            </w:r>
          </w:p>
        </w:tc>
        <w:tc>
          <w:tcPr>
            <w:tcW w:w="4021" w:type="dxa"/>
          </w:tcPr>
          <w:p w14:paraId="75493787"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Интензивне међуинституционалне и међуресорне консултације и сарадња;</w:t>
            </w:r>
          </w:p>
          <w:p w14:paraId="14E41DAC"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Формирање привременог радног тела за потребе спровођења реформе</w:t>
            </w:r>
            <w:r w:rsidR="00D47BD8" w:rsidRPr="00092ED7">
              <w:rPr>
                <w:rFonts w:cs="Times New Roman"/>
                <w:sz w:val="20"/>
                <w:lang w:val="sr-Cyrl-CS"/>
              </w:rPr>
              <w:t>.</w:t>
            </w:r>
          </w:p>
        </w:tc>
      </w:tr>
    </w:tbl>
    <w:p w14:paraId="22DBDB13" w14:textId="77777777" w:rsidR="00D210F0" w:rsidRPr="00092ED7" w:rsidRDefault="00D210F0" w:rsidP="00D210F0">
      <w:pPr>
        <w:keepNext/>
        <w:keepLines/>
        <w:shd w:val="clear" w:color="auto" w:fill="D9D9D9"/>
        <w:spacing w:before="360"/>
        <w:outlineLvl w:val="2"/>
        <w:rPr>
          <w:rFonts w:eastAsia="Times New Roman" w:cs="Times New Roman"/>
          <w:b/>
          <w:noProof/>
          <w:szCs w:val="24"/>
          <w:shd w:val="clear" w:color="auto" w:fill="D9D9D9"/>
          <w:lang w:val="sr-Cyrl-CS"/>
        </w:rPr>
      </w:pPr>
      <w:bookmarkStart w:id="87" w:name="_Toc93385986"/>
      <w:bookmarkStart w:id="88" w:name="_Toc124174817"/>
      <w:bookmarkStart w:id="89" w:name="_Toc126218636"/>
      <w:r w:rsidRPr="00092ED7">
        <w:rPr>
          <w:rFonts w:eastAsia="Times New Roman" w:cs="Times New Roman"/>
          <w:b/>
          <w:noProof/>
          <w:szCs w:val="24"/>
          <w:lang w:val="sr-Cyrl-CS"/>
        </w:rPr>
        <w:t>5.2.10. Област ОБРАЗОВАЊЕ И ВЕШТИНЕ</w:t>
      </w:r>
      <w:bookmarkEnd w:id="87"/>
      <w:bookmarkEnd w:id="88"/>
      <w:bookmarkEnd w:id="89"/>
    </w:p>
    <w:p w14:paraId="67702A36" w14:textId="77777777" w:rsidR="00D210F0" w:rsidRPr="00092ED7" w:rsidRDefault="00D210F0" w:rsidP="00D210F0">
      <w:pPr>
        <w:rPr>
          <w:rFonts w:eastAsia="Calibri" w:cs="Times New Roman"/>
          <w:noProof/>
          <w:szCs w:val="24"/>
          <w:lang w:val="sr-Cyrl-CS"/>
        </w:rPr>
      </w:pPr>
      <w:r w:rsidRPr="00092ED7">
        <w:rPr>
          <w:rFonts w:eastAsia="Calibri" w:cs="Times New Roman"/>
          <w:noProof/>
          <w:szCs w:val="24"/>
          <w:lang w:val="sr-Cyrl-CS"/>
        </w:rPr>
        <w:t xml:space="preserve">Препреке из ове области у вези са структурном реформом </w:t>
      </w:r>
      <w:r w:rsidRPr="00092ED7">
        <w:rPr>
          <w:rFonts w:eastAsia="Calibri" w:cs="Times New Roman"/>
          <w:i/>
          <w:noProof/>
          <w:szCs w:val="24"/>
          <w:lang w:val="sr-Cyrl-CS"/>
        </w:rPr>
        <w:t>2. Квалификације оријентисане према потребама тржишта рада</w:t>
      </w:r>
      <w:r w:rsidRPr="00092ED7">
        <w:rPr>
          <w:rFonts w:eastAsia="Calibri" w:cs="Times New Roman"/>
          <w:noProof/>
          <w:szCs w:val="24"/>
          <w:lang w:val="sr-Cyrl-CS"/>
        </w:rPr>
        <w:t xml:space="preserve"> анализиране су у одељку 5.1. под </w:t>
      </w:r>
      <w:r w:rsidRPr="00092ED7">
        <w:rPr>
          <w:rFonts w:eastAsia="Calibri" w:cs="Times New Roman"/>
          <w:i/>
          <w:noProof/>
          <w:szCs w:val="24"/>
          <w:lang w:val="sr-Cyrl-CS"/>
        </w:rPr>
        <w:t>Кључним изазовом број 1. Повећање запослености, посебно младих, жена и осетљивих група, и социјална заштита од сиромаштва.</w:t>
      </w:r>
    </w:p>
    <w:p w14:paraId="5510504D" w14:textId="0A4B99BB" w:rsidR="00D210F0" w:rsidRPr="00092ED7" w:rsidRDefault="00D210F0" w:rsidP="00D210F0">
      <w:pPr>
        <w:spacing w:before="120"/>
        <w:rPr>
          <w:rFonts w:eastAsia="Calibri" w:cs="Times New Roman"/>
          <w:szCs w:val="24"/>
          <w:lang w:val="sr-Cyrl-CS"/>
        </w:rPr>
      </w:pPr>
      <w:r w:rsidRPr="00092ED7">
        <w:rPr>
          <w:rFonts w:eastAsia="Calibri" w:cs="Times New Roman"/>
          <w:b/>
          <w:noProof/>
          <w:szCs w:val="24"/>
          <w:lang w:val="sr-Cyrl-CS"/>
        </w:rPr>
        <w:t xml:space="preserve">а) Анализа главних </w:t>
      </w:r>
      <w:r w:rsidR="00515D4D" w:rsidRPr="00092ED7">
        <w:rPr>
          <w:rFonts w:eastAsia="Calibri" w:cs="Times New Roman"/>
          <w:b/>
          <w:noProof/>
          <w:szCs w:val="24"/>
          <w:lang w:val="sr-Cyrl-CS"/>
        </w:rPr>
        <w:t>изазова</w:t>
      </w:r>
    </w:p>
    <w:p w14:paraId="6DE58F62" w14:textId="7BEAF68D" w:rsidR="00D210F0" w:rsidRPr="00092ED7" w:rsidRDefault="00D210F0" w:rsidP="00D210F0">
      <w:pPr>
        <w:spacing w:after="60"/>
        <w:rPr>
          <w:rFonts w:eastAsia="Calibri" w:cs="Times New Roman"/>
          <w:color w:val="000000"/>
          <w:szCs w:val="24"/>
          <w:lang w:val="sr-Cyrl-CS"/>
        </w:rPr>
      </w:pPr>
      <w:r w:rsidRPr="00092ED7">
        <w:rPr>
          <w:rFonts w:eastAsia="Calibri" w:cs="Times New Roman"/>
          <w:color w:val="000000"/>
          <w:szCs w:val="24"/>
          <w:lang w:val="sr-Cyrl-CS"/>
        </w:rPr>
        <w:t xml:space="preserve">Основ за </w:t>
      </w:r>
      <w:r w:rsidRPr="00092ED7">
        <w:rPr>
          <w:rFonts w:eastAsia="Calibri" w:cs="Times New Roman"/>
          <w:b/>
          <w:color w:val="000000"/>
          <w:szCs w:val="24"/>
          <w:lang w:val="sr-Cyrl-CS"/>
        </w:rPr>
        <w:t>системско унапређење образовања</w:t>
      </w:r>
      <w:r w:rsidRPr="00092ED7">
        <w:rPr>
          <w:rFonts w:eastAsia="Calibri" w:cs="Times New Roman"/>
          <w:color w:val="000000"/>
          <w:szCs w:val="24"/>
          <w:lang w:val="sr-Cyrl-CS"/>
        </w:rPr>
        <w:t xml:space="preserve"> представља </w:t>
      </w:r>
      <w:r w:rsidRPr="00092ED7">
        <w:rPr>
          <w:rFonts w:eastAsia="Calibri" w:cs="Times New Roman"/>
          <w:i/>
          <w:color w:val="000000"/>
          <w:szCs w:val="24"/>
          <w:lang w:val="sr-Cyrl-CS"/>
        </w:rPr>
        <w:t>Стратегија развоја образовања и васпитања у Републици Србији до 2030. године</w:t>
      </w:r>
      <w:r w:rsidRPr="00092ED7">
        <w:rPr>
          <w:rFonts w:eastAsia="Calibri" w:cs="Times New Roman"/>
          <w:color w:val="000000"/>
          <w:szCs w:val="24"/>
          <w:lang w:val="sr-Cyrl-CS"/>
        </w:rPr>
        <w:t xml:space="preserve"> са пратећим </w:t>
      </w:r>
      <w:r w:rsidRPr="00092ED7">
        <w:rPr>
          <w:rFonts w:eastAsia="Calibri" w:cs="Times New Roman"/>
          <w:i/>
          <w:color w:val="000000"/>
          <w:szCs w:val="24"/>
          <w:lang w:val="sr-Cyrl-CS"/>
        </w:rPr>
        <w:t xml:space="preserve">Акционим планом за период од 2021. до 2023. године </w:t>
      </w:r>
      <w:r w:rsidRPr="00092ED7">
        <w:rPr>
          <w:rFonts w:eastAsia="Calibri" w:cs="Times New Roman"/>
          <w:color w:val="000000"/>
          <w:szCs w:val="24"/>
          <w:lang w:val="sr-Cyrl-CS"/>
        </w:rPr>
        <w:t>(„Сл</w:t>
      </w:r>
      <w:r w:rsidR="00344F62" w:rsidRPr="00092ED7">
        <w:rPr>
          <w:rFonts w:eastAsia="Calibri" w:cs="Times New Roman"/>
          <w:color w:val="000000"/>
          <w:szCs w:val="24"/>
          <w:lang w:val="sr-Cyrl-CS"/>
        </w:rPr>
        <w:t>ужбени</w:t>
      </w:r>
      <w:r w:rsidR="00467D0D" w:rsidRPr="00092ED7">
        <w:rPr>
          <w:rFonts w:eastAsia="Calibri" w:cs="Times New Roman"/>
          <w:color w:val="000000"/>
          <w:szCs w:val="24"/>
          <w:lang w:val="sr-Cyrl-CS"/>
        </w:rPr>
        <w:t xml:space="preserve"> гласник РС</w:t>
      </w:r>
      <w:r w:rsidR="00344F62" w:rsidRPr="00092ED7">
        <w:rPr>
          <w:rFonts w:cs="Times New Roman"/>
          <w:szCs w:val="24"/>
          <w:lang w:val="sr-Cyrl-CS"/>
        </w:rPr>
        <w:t>”</w:t>
      </w:r>
      <w:r w:rsidR="00467D0D" w:rsidRPr="00092ED7">
        <w:rPr>
          <w:rFonts w:eastAsia="Calibri" w:cs="Times New Roman"/>
          <w:color w:val="000000"/>
          <w:szCs w:val="24"/>
          <w:lang w:val="sr-Cyrl-CS"/>
        </w:rPr>
        <w:t>, бр</w:t>
      </w:r>
      <w:r w:rsidR="00344F62" w:rsidRPr="00092ED7">
        <w:rPr>
          <w:rFonts w:eastAsia="Calibri" w:cs="Times New Roman"/>
          <w:color w:val="000000"/>
          <w:szCs w:val="24"/>
          <w:lang w:val="sr-Cyrl-CS"/>
        </w:rPr>
        <w:t>ој</w:t>
      </w:r>
      <w:r w:rsidRPr="00092ED7">
        <w:rPr>
          <w:rFonts w:eastAsia="Calibri" w:cs="Times New Roman"/>
          <w:color w:val="000000"/>
          <w:szCs w:val="24"/>
          <w:lang w:val="sr-Cyrl-CS"/>
        </w:rPr>
        <w:t xml:space="preserve"> 63/21). Стратегија представља план за наставак реформи које ће омогућити повећање обухвата образовањем деце на свим нивоима (пре свега код средњошколаца, </w:t>
      </w:r>
      <w:r w:rsidRPr="00092ED7">
        <w:rPr>
          <w:rFonts w:eastAsia="Calibri" w:cs="Times New Roman"/>
          <w:b/>
          <w:color w:val="000000"/>
          <w:szCs w:val="24"/>
          <w:lang w:val="sr-Cyrl-CS"/>
        </w:rPr>
        <w:t>обезбеђивањем услова за</w:t>
      </w:r>
      <w:r w:rsidRPr="00092ED7">
        <w:rPr>
          <w:rFonts w:eastAsia="Calibri" w:cs="Times New Roman"/>
          <w:color w:val="000000"/>
          <w:szCs w:val="24"/>
          <w:lang w:val="sr-Cyrl-CS"/>
        </w:rPr>
        <w:t xml:space="preserve"> </w:t>
      </w:r>
      <w:r w:rsidRPr="00092ED7">
        <w:rPr>
          <w:rFonts w:eastAsia="Calibri" w:cs="Times New Roman"/>
          <w:b/>
          <w:color w:val="000000"/>
          <w:szCs w:val="24"/>
          <w:lang w:val="sr-Cyrl-CS"/>
        </w:rPr>
        <w:t>увођење обавезног средњег образовања</w:t>
      </w:r>
      <w:r w:rsidRPr="00092ED7">
        <w:rPr>
          <w:rFonts w:eastAsia="Calibri" w:cs="Times New Roman"/>
          <w:b/>
          <w:color w:val="000000"/>
          <w:szCs w:val="24"/>
          <w:vertAlign w:val="superscript"/>
          <w:lang w:val="sr-Cyrl-CS"/>
        </w:rPr>
        <w:footnoteReference w:id="193"/>
      </w:r>
      <w:r w:rsidRPr="00092ED7">
        <w:rPr>
          <w:rFonts w:eastAsia="Calibri" w:cs="Times New Roman"/>
          <w:color w:val="000000"/>
          <w:szCs w:val="24"/>
          <w:lang w:val="sr-Cyrl-CS"/>
        </w:rPr>
        <w:t>), неосипање осетљивих група из образовних кругова, боља постигнућа ученика, квалитетнији програм (одговор образовног система на захтеве тржишта рада) и бољу подршку наставницима.</w:t>
      </w:r>
    </w:p>
    <w:p w14:paraId="1ABA94A5" w14:textId="2E4EFFB6" w:rsidR="00D210F0" w:rsidRPr="00092ED7" w:rsidRDefault="00D210F0" w:rsidP="00D210F0">
      <w:pPr>
        <w:spacing w:after="60"/>
        <w:rPr>
          <w:rFonts w:eastAsia="Calibri" w:cs="Times New Roman"/>
          <w:color w:val="000000"/>
          <w:szCs w:val="24"/>
          <w:lang w:val="sr-Cyrl-CS"/>
        </w:rPr>
      </w:pPr>
      <w:r w:rsidRPr="00092ED7">
        <w:rPr>
          <w:rFonts w:eastAsia="Calibri" w:cs="Times New Roman"/>
          <w:b/>
          <w:color w:val="000000"/>
          <w:szCs w:val="24"/>
          <w:lang w:val="sr-Cyrl-CS"/>
        </w:rPr>
        <w:t>Бележи се континуирано повећање обухвата деце у програмима предшколског васпитања и образовања</w:t>
      </w:r>
      <w:r w:rsidRPr="00092ED7">
        <w:rPr>
          <w:rFonts w:eastAsia="Calibri" w:cs="Times New Roman"/>
          <w:color w:val="000000"/>
          <w:szCs w:val="24"/>
          <w:lang w:val="sr-Cyrl-CS"/>
        </w:rPr>
        <w:t xml:space="preserve"> у Републици Србији. Број деце узраста од </w:t>
      </w:r>
      <w:r w:rsidR="007F5867" w:rsidRPr="00092ED7">
        <w:rPr>
          <w:rFonts w:eastAsia="Calibri" w:cs="Times New Roman"/>
          <w:color w:val="000000"/>
          <w:szCs w:val="24"/>
          <w:lang w:val="sr-Cyrl-CS"/>
        </w:rPr>
        <w:t xml:space="preserve">шест </w:t>
      </w:r>
      <w:r w:rsidRPr="00092ED7">
        <w:rPr>
          <w:rFonts w:eastAsia="Calibri" w:cs="Times New Roman"/>
          <w:color w:val="000000"/>
          <w:szCs w:val="24"/>
          <w:lang w:val="sr-Cyrl-CS"/>
        </w:rPr>
        <w:t xml:space="preserve">месеци до 6,5 година на овом нивоу образовања износио је 223.559 у школској 2021/2022 години. Међутим, </w:t>
      </w:r>
      <w:r w:rsidRPr="00092ED7">
        <w:rPr>
          <w:rFonts w:eastAsia="Calibri" w:cs="Times New Roman"/>
          <w:b/>
          <w:color w:val="000000"/>
          <w:szCs w:val="24"/>
          <w:lang w:val="sr-Cyrl-CS"/>
        </w:rPr>
        <w:t>обухват деце</w:t>
      </w:r>
      <w:r w:rsidRPr="00092ED7">
        <w:rPr>
          <w:rFonts w:eastAsia="Calibri" w:cs="Times New Roman"/>
          <w:color w:val="000000"/>
          <w:szCs w:val="24"/>
          <w:lang w:val="sr-Cyrl-CS"/>
        </w:rPr>
        <w:t xml:space="preserve"> предшколским васпитањем и образовањем и даље је </w:t>
      </w:r>
      <w:r w:rsidRPr="00092ED7">
        <w:rPr>
          <w:rFonts w:eastAsia="Calibri" w:cs="Times New Roman"/>
          <w:b/>
          <w:color w:val="000000"/>
          <w:szCs w:val="24"/>
          <w:lang w:val="sr-Cyrl-CS"/>
        </w:rPr>
        <w:t>низак</w:t>
      </w:r>
      <w:r w:rsidRPr="00092ED7">
        <w:rPr>
          <w:rFonts w:eastAsia="Calibri" w:cs="Times New Roman"/>
          <w:color w:val="000000"/>
          <w:szCs w:val="24"/>
          <w:lang w:val="sr-Cyrl-CS"/>
        </w:rPr>
        <w:t xml:space="preserve"> (58,6% у 2021/2022), а разлози су </w:t>
      </w:r>
      <w:r w:rsidRPr="00092ED7">
        <w:rPr>
          <w:rFonts w:eastAsia="Calibri" w:cs="Times New Roman"/>
          <w:b/>
          <w:color w:val="000000"/>
          <w:szCs w:val="24"/>
          <w:lang w:val="sr-Cyrl-CS"/>
        </w:rPr>
        <w:t>недовољни просторни капацитети и неједнака географска распоређеност</w:t>
      </w:r>
      <w:r w:rsidRPr="00092ED7">
        <w:rPr>
          <w:rFonts w:eastAsia="Calibri" w:cs="Times New Roman"/>
          <w:color w:val="000000"/>
          <w:szCs w:val="24"/>
          <w:lang w:val="sr-Cyrl-CS"/>
        </w:rPr>
        <w:t>. Обухват деце програмима предшколског васпитања и образовања је различит у зависности од узраста</w:t>
      </w:r>
      <w:r w:rsidRPr="00092ED7">
        <w:rPr>
          <w:rStyle w:val="FootnoteReference"/>
          <w:rFonts w:eastAsia="Calibri" w:cs="Times New Roman"/>
          <w:color w:val="000000"/>
          <w:szCs w:val="24"/>
          <w:lang w:val="sr-Cyrl-CS"/>
        </w:rPr>
        <w:footnoteReference w:id="194"/>
      </w:r>
      <w:r w:rsidRPr="00092ED7">
        <w:rPr>
          <w:rFonts w:eastAsia="Calibri" w:cs="Times New Roman"/>
          <w:color w:val="000000"/>
          <w:szCs w:val="24"/>
          <w:lang w:val="sr-Cyrl-CS"/>
        </w:rPr>
        <w:t xml:space="preserve">. Највећи обухват деце је у години пред полазак у школу. </w:t>
      </w:r>
      <w:r w:rsidRPr="00092ED7">
        <w:rPr>
          <w:rFonts w:eastAsia="Calibri" w:cs="Times New Roman"/>
          <w:b/>
          <w:bCs/>
          <w:color w:val="000000"/>
          <w:szCs w:val="24"/>
          <w:lang w:val="sr-Cyrl-CS"/>
        </w:rPr>
        <w:t>Обавезни припремни предшколски програм</w:t>
      </w:r>
      <w:r w:rsidRPr="00092ED7">
        <w:rPr>
          <w:rFonts w:eastAsia="Calibri" w:cs="Times New Roman"/>
          <w:color w:val="000000"/>
          <w:szCs w:val="24"/>
          <w:lang w:val="sr-Cyrl-CS"/>
        </w:rPr>
        <w:t xml:space="preserve">, за децу узраста од навршених 5,5 година до поласка у школу, похађало је 63,7 хиљада деце, што представља </w:t>
      </w:r>
      <w:r w:rsidRPr="00092ED7">
        <w:rPr>
          <w:rFonts w:eastAsia="Calibri" w:cs="Times New Roman"/>
          <w:b/>
          <w:bCs/>
          <w:color w:val="000000"/>
          <w:szCs w:val="24"/>
          <w:lang w:val="sr-Cyrl-CS"/>
        </w:rPr>
        <w:t>обухват од 97,8%</w:t>
      </w:r>
      <w:r w:rsidRPr="00092ED7">
        <w:rPr>
          <w:rStyle w:val="FootnoteReference"/>
          <w:rFonts w:eastAsia="Calibri" w:cs="Times New Roman"/>
          <w:color w:val="000000"/>
          <w:szCs w:val="24"/>
          <w:lang w:val="sr-Cyrl-CS"/>
        </w:rPr>
        <w:footnoteReference w:id="195"/>
      </w:r>
      <w:r w:rsidRPr="00092ED7">
        <w:rPr>
          <w:rFonts w:eastAsia="Calibri" w:cs="Times New Roman"/>
          <w:b/>
          <w:bCs/>
          <w:color w:val="000000"/>
          <w:szCs w:val="24"/>
          <w:lang w:val="sr-Cyrl-CS"/>
        </w:rPr>
        <w:t>.</w:t>
      </w:r>
    </w:p>
    <w:p w14:paraId="02E5431B" w14:textId="11C8EA17" w:rsidR="00D210F0" w:rsidRPr="00092ED7" w:rsidRDefault="00D210F0" w:rsidP="00D210F0">
      <w:pPr>
        <w:spacing w:after="60"/>
        <w:rPr>
          <w:rFonts w:eastAsia="Calibri" w:cs="Times New Roman"/>
          <w:b/>
          <w:color w:val="000000"/>
          <w:szCs w:val="24"/>
          <w:lang w:val="sr-Cyrl-CS"/>
        </w:rPr>
      </w:pPr>
      <w:r w:rsidRPr="00092ED7">
        <w:rPr>
          <w:rFonts w:eastAsia="Calibri" w:cs="Times New Roman"/>
          <w:b/>
          <w:color w:val="000000"/>
          <w:szCs w:val="24"/>
          <w:lang w:val="sr-Cyrl-CS"/>
        </w:rPr>
        <w:t xml:space="preserve">Популација ученика у основном образовању континуирано се смањује услед негативног демографског тренда становништва </w:t>
      </w:r>
      <w:r w:rsidR="007F5867" w:rsidRPr="00092ED7">
        <w:rPr>
          <w:rFonts w:eastAsia="Calibri" w:cs="Times New Roman"/>
          <w:b/>
          <w:color w:val="000000"/>
          <w:szCs w:val="24"/>
          <w:lang w:val="sr-Cyrl-CS"/>
        </w:rPr>
        <w:t xml:space="preserve">Републике </w:t>
      </w:r>
      <w:r w:rsidRPr="00092ED7">
        <w:rPr>
          <w:rFonts w:eastAsia="Calibri" w:cs="Times New Roman"/>
          <w:b/>
          <w:color w:val="000000"/>
          <w:szCs w:val="24"/>
          <w:lang w:val="sr-Cyrl-CS"/>
        </w:rPr>
        <w:t>Србије</w:t>
      </w:r>
      <w:r w:rsidRPr="00092ED7">
        <w:rPr>
          <w:rFonts w:eastAsia="Calibri" w:cs="Times New Roman"/>
          <w:b/>
          <w:szCs w:val="24"/>
          <w:lang w:val="sr-Cyrl-CS"/>
        </w:rPr>
        <w:t>.</w:t>
      </w:r>
      <w:r w:rsidRPr="00092ED7">
        <w:rPr>
          <w:rFonts w:ascii="Arial" w:hAnsi="Arial" w:cs="Arial"/>
          <w:b/>
          <w:bCs/>
          <w:sz w:val="23"/>
          <w:szCs w:val="23"/>
          <w:lang w:val="sr-Cyrl-CS"/>
        </w:rPr>
        <w:t xml:space="preserve"> </w:t>
      </w:r>
      <w:r w:rsidRPr="00092ED7">
        <w:rPr>
          <w:rFonts w:eastAsia="Calibri" w:cs="Times New Roman"/>
          <w:bCs/>
          <w:szCs w:val="24"/>
          <w:lang w:val="sr-Cyrl-CS"/>
        </w:rPr>
        <w:t xml:space="preserve">На </w:t>
      </w:r>
      <w:r w:rsidRPr="00092ED7">
        <w:rPr>
          <w:rFonts w:eastAsia="Calibri" w:cs="Times New Roman"/>
          <w:bCs/>
          <w:color w:val="000000"/>
          <w:szCs w:val="24"/>
          <w:lang w:val="sr-Cyrl-CS"/>
        </w:rPr>
        <w:t>почетку школске 2021/2022, у 3.219 редовних основних школа</w:t>
      </w:r>
      <w:r w:rsidRPr="00092ED7">
        <w:rPr>
          <w:rStyle w:val="FootnoteReference"/>
          <w:rFonts w:eastAsia="Calibri" w:cs="Times New Roman"/>
          <w:bCs/>
          <w:color w:val="000000"/>
          <w:szCs w:val="24"/>
          <w:lang w:val="sr-Cyrl-CS"/>
        </w:rPr>
        <w:footnoteReference w:id="196"/>
      </w:r>
      <w:r w:rsidRPr="00092ED7">
        <w:rPr>
          <w:rFonts w:eastAsia="Calibri" w:cs="Times New Roman"/>
          <w:bCs/>
          <w:color w:val="000000"/>
          <w:szCs w:val="24"/>
          <w:lang w:val="sr-Cyrl-CS"/>
        </w:rPr>
        <w:t xml:space="preserve"> иде </w:t>
      </w:r>
      <w:r w:rsidRPr="00092ED7">
        <w:rPr>
          <w:rFonts w:eastAsia="Calibri" w:cs="Times New Roman"/>
          <w:b/>
          <w:bCs/>
          <w:color w:val="000000"/>
          <w:szCs w:val="24"/>
          <w:lang w:val="sr-Cyrl-CS"/>
        </w:rPr>
        <w:t>507.374 ученика</w:t>
      </w:r>
      <w:r w:rsidRPr="00092ED7">
        <w:rPr>
          <w:rFonts w:eastAsia="Calibri" w:cs="Times New Roman"/>
          <w:bCs/>
          <w:color w:val="000000"/>
          <w:szCs w:val="24"/>
          <w:lang w:val="sr-Cyrl-CS"/>
        </w:rPr>
        <w:t>, а први разред уписало је 64.233 нових школараца</w:t>
      </w:r>
      <w:r w:rsidRPr="00092ED7">
        <w:rPr>
          <w:rStyle w:val="FootnoteReference"/>
          <w:rFonts w:eastAsia="Calibri" w:cs="Times New Roman"/>
          <w:bCs/>
          <w:color w:val="000000"/>
          <w:szCs w:val="24"/>
          <w:lang w:val="sr-Cyrl-CS"/>
        </w:rPr>
        <w:footnoteReference w:id="197"/>
      </w:r>
      <w:r w:rsidRPr="00092ED7">
        <w:rPr>
          <w:rFonts w:eastAsia="Calibri" w:cs="Times New Roman"/>
          <w:bCs/>
          <w:color w:val="000000"/>
          <w:szCs w:val="24"/>
          <w:lang w:val="sr-Cyrl-CS"/>
        </w:rPr>
        <w:t>.</w:t>
      </w:r>
      <w:r w:rsidRPr="00092ED7">
        <w:rPr>
          <w:rFonts w:eastAsia="Calibri" w:cs="Times New Roman"/>
          <w:color w:val="000000"/>
          <w:szCs w:val="24"/>
          <w:lang w:val="sr-Cyrl-CS"/>
        </w:rPr>
        <w:t xml:space="preserve"> И поред чињенице да је основно образовање обавезно, </w:t>
      </w:r>
      <w:r w:rsidRPr="00092ED7">
        <w:rPr>
          <w:rFonts w:eastAsia="Calibri" w:cs="Times New Roman"/>
          <w:b/>
          <w:color w:val="000000"/>
          <w:szCs w:val="24"/>
          <w:lang w:val="sr-Cyrl-CS"/>
        </w:rPr>
        <w:t>обухват деце и даље није потпун</w:t>
      </w:r>
      <w:r w:rsidRPr="00092ED7">
        <w:rPr>
          <w:rFonts w:eastAsia="Calibri" w:cs="Times New Roman"/>
          <w:b/>
          <w:color w:val="000000"/>
          <w:szCs w:val="24"/>
          <w:vertAlign w:val="superscript"/>
          <w:lang w:val="sr-Cyrl-CS"/>
        </w:rPr>
        <w:footnoteReference w:id="198"/>
      </w:r>
      <w:r w:rsidRPr="00092ED7">
        <w:rPr>
          <w:rFonts w:eastAsia="Calibri" w:cs="Times New Roman"/>
          <w:b/>
          <w:color w:val="000000"/>
          <w:szCs w:val="24"/>
          <w:lang w:val="sr-Cyrl-CS"/>
        </w:rPr>
        <w:t>.</w:t>
      </w:r>
    </w:p>
    <w:p w14:paraId="304C0906" w14:textId="77777777" w:rsidR="00D210F0" w:rsidRPr="00092ED7" w:rsidRDefault="00D210F0" w:rsidP="00D210F0">
      <w:pPr>
        <w:spacing w:after="60"/>
        <w:rPr>
          <w:rFonts w:eastAsia="Calibri" w:cs="Times New Roman"/>
          <w:color w:val="000000"/>
          <w:szCs w:val="24"/>
          <w:lang w:val="sr-Cyrl-CS"/>
        </w:rPr>
      </w:pPr>
      <w:r w:rsidRPr="00092ED7">
        <w:rPr>
          <w:rFonts w:eastAsia="Calibri" w:cs="Times New Roman"/>
          <w:color w:val="000000"/>
          <w:szCs w:val="24"/>
          <w:lang w:val="sr-Cyrl-CS"/>
        </w:rPr>
        <w:t xml:space="preserve">Редовне средње школе у школској 2021/2022 години похађало је </w:t>
      </w:r>
      <w:r w:rsidRPr="00092ED7">
        <w:rPr>
          <w:rFonts w:eastAsia="Calibri" w:cs="Times New Roman"/>
          <w:b/>
          <w:color w:val="000000"/>
          <w:szCs w:val="24"/>
          <w:lang w:val="sr-Cyrl-CS"/>
        </w:rPr>
        <w:t>243.756</w:t>
      </w:r>
      <w:r w:rsidRPr="00092ED7">
        <w:rPr>
          <w:rStyle w:val="FootnoteReference"/>
          <w:rFonts w:eastAsia="Calibri" w:cs="Times New Roman"/>
          <w:b/>
          <w:color w:val="000000"/>
          <w:szCs w:val="24"/>
          <w:lang w:val="sr-Cyrl-CS"/>
        </w:rPr>
        <w:footnoteReference w:id="199"/>
      </w:r>
      <w:r w:rsidRPr="00092ED7">
        <w:rPr>
          <w:rFonts w:eastAsia="Calibri" w:cs="Times New Roman"/>
          <w:b/>
          <w:color w:val="000000"/>
          <w:szCs w:val="24"/>
          <w:lang w:val="sr-Cyrl-CS"/>
        </w:rPr>
        <w:t xml:space="preserve"> </w:t>
      </w:r>
      <w:r w:rsidRPr="00092ED7">
        <w:rPr>
          <w:rFonts w:eastAsia="Calibri" w:cs="Times New Roman"/>
          <w:color w:val="000000"/>
          <w:szCs w:val="24"/>
          <w:lang w:val="sr-Cyrl-CS"/>
        </w:rPr>
        <w:t>ученика. Опште средње образовање–гимназију похађало је 27,6% ученика, док је средње стручно образовање похађа 72,4% ученика.</w:t>
      </w:r>
    </w:p>
    <w:p w14:paraId="7002F715" w14:textId="5845C566" w:rsidR="00D210F0" w:rsidRPr="00092ED7" w:rsidRDefault="00D210F0" w:rsidP="00D210F0">
      <w:pPr>
        <w:widowControl w:val="0"/>
        <w:spacing w:after="60"/>
        <w:rPr>
          <w:rFonts w:eastAsia="Calibri" w:cs="Times New Roman"/>
          <w:szCs w:val="24"/>
          <w:lang w:val="sr-Cyrl-CS"/>
        </w:rPr>
      </w:pPr>
      <w:r w:rsidRPr="00092ED7">
        <w:rPr>
          <w:rFonts w:eastAsia="Calibri" w:cs="Times New Roman"/>
          <w:szCs w:val="24"/>
          <w:lang w:val="sr-Cyrl-CS"/>
        </w:rPr>
        <w:t xml:space="preserve">Након две године организације наставе кроз непосредни образовно-васпитни рад и путем наставе на даљину, у свим основним и средњим школама у </w:t>
      </w:r>
      <w:r w:rsidR="007F5867" w:rsidRPr="00092ED7">
        <w:rPr>
          <w:rFonts w:eastAsia="Calibri" w:cs="Times New Roman"/>
          <w:szCs w:val="24"/>
          <w:lang w:val="sr-Cyrl-CS"/>
        </w:rPr>
        <w:t xml:space="preserve">Републици </w:t>
      </w:r>
      <w:r w:rsidRPr="00092ED7">
        <w:rPr>
          <w:rFonts w:eastAsia="Calibri" w:cs="Times New Roman"/>
          <w:szCs w:val="24"/>
          <w:lang w:val="sr-Cyrl-CS"/>
        </w:rPr>
        <w:t>Србији од 21. фебруара 2022. године ученици наставу похађају непосредно у учионицама.</w:t>
      </w:r>
    </w:p>
    <w:p w14:paraId="3CCDD18C" w14:textId="76CD6F5F" w:rsidR="00D210F0" w:rsidRPr="00092ED7" w:rsidRDefault="00D210F0" w:rsidP="00D210F0">
      <w:pPr>
        <w:widowControl w:val="0"/>
        <w:spacing w:after="60"/>
        <w:rPr>
          <w:rFonts w:eastAsia="Calibri" w:cs="Times New Roman"/>
          <w:szCs w:val="24"/>
          <w:lang w:val="sr-Cyrl-CS"/>
        </w:rPr>
      </w:pPr>
      <w:r w:rsidRPr="00092ED7">
        <w:rPr>
          <w:rFonts w:eastAsia="Calibri" w:cs="Times New Roman"/>
          <w:b/>
          <w:szCs w:val="24"/>
          <w:lang w:val="sr-Cyrl-CS"/>
        </w:rPr>
        <w:t>Универзитет у Београду већ десет година заузима позицију на Шангајској листи</w:t>
      </w:r>
      <w:r w:rsidRPr="00092ED7">
        <w:rPr>
          <w:rStyle w:val="FootnoteReference"/>
          <w:rFonts w:eastAsia="Calibri" w:cs="Times New Roman"/>
          <w:szCs w:val="24"/>
          <w:lang w:val="sr-Cyrl-CS"/>
        </w:rPr>
        <w:footnoteReference w:id="200"/>
      </w:r>
      <w:r w:rsidRPr="00092ED7">
        <w:rPr>
          <w:rFonts w:eastAsia="Calibri" w:cs="Times New Roman"/>
          <w:szCs w:val="24"/>
          <w:lang w:val="sr-Cyrl-CS"/>
        </w:rPr>
        <w:t xml:space="preserve"> најбољих универзитета. На најновијој листи пласиран је између 401. и 500. места од рангираних 1</w:t>
      </w:r>
      <w:r w:rsidR="002D4132" w:rsidRPr="00092ED7">
        <w:rPr>
          <w:rFonts w:eastAsia="Calibri" w:cs="Times New Roman"/>
          <w:szCs w:val="24"/>
          <w:lang w:val="sr-Cyrl-CS"/>
        </w:rPr>
        <w:t>.</w:t>
      </w:r>
      <w:r w:rsidRPr="00092ED7">
        <w:rPr>
          <w:rFonts w:eastAsia="Calibri" w:cs="Times New Roman"/>
          <w:szCs w:val="24"/>
          <w:lang w:val="sr-Cyrl-CS"/>
        </w:rPr>
        <w:t>000 универзитета на свету. Универзитет у Београду пласиран је међу првих петсто универзитета у 13 од укупно 54 научне области по којој се рангирају научна поља. Најбољи пласман остварен је у области науке о храни и технологији хране (између 51. и 75. места). На листи се налази и Универзитет у Новом Саду (901-1000).</w:t>
      </w:r>
    </w:p>
    <w:p w14:paraId="3EECB782" w14:textId="77777777" w:rsidR="00D210F0" w:rsidRPr="00092ED7" w:rsidRDefault="00D210F0" w:rsidP="00D210F0">
      <w:pPr>
        <w:widowControl w:val="0"/>
        <w:spacing w:after="60"/>
        <w:rPr>
          <w:rFonts w:eastAsia="Calibri" w:cs="Times New Roman"/>
          <w:color w:val="000000"/>
          <w:szCs w:val="24"/>
          <w:lang w:val="sr-Cyrl-CS"/>
        </w:rPr>
      </w:pPr>
      <w:r w:rsidRPr="00092ED7">
        <w:rPr>
          <w:rFonts w:eastAsia="Calibri" w:cs="Times New Roman"/>
          <w:b/>
          <w:color w:val="000000"/>
          <w:szCs w:val="24"/>
          <w:lang w:val="sr-Cyrl-CS"/>
        </w:rPr>
        <w:t>Јавни расходи за образовање износе 3,42% БДП</w:t>
      </w:r>
      <w:r w:rsidRPr="00092ED7">
        <w:rPr>
          <w:rFonts w:eastAsia="Calibri" w:cs="Times New Roman"/>
          <w:color w:val="000000"/>
          <w:szCs w:val="24"/>
          <w:lang w:val="sr-Cyrl-CS"/>
        </w:rPr>
        <w:t>-а у буџету Републике Србије за 2022. годину што чини ниво ових расхода стабилним у последњој деценији, али су испод просека јавних издвајања на нивоу ЕУ (који се крећу око 4,6% БДП). У укупним буџетским расходима, расходи за образовање учествују са 13,3%</w:t>
      </w:r>
      <w:r w:rsidRPr="00092ED7">
        <w:rPr>
          <w:rFonts w:eastAsia="Calibri" w:cs="Times New Roman"/>
          <w:color w:val="000000"/>
          <w:szCs w:val="24"/>
          <w:vertAlign w:val="superscript"/>
          <w:lang w:val="sr-Cyrl-CS"/>
        </w:rPr>
        <w:footnoteReference w:id="201"/>
      </w:r>
      <w:r w:rsidRPr="00092ED7">
        <w:rPr>
          <w:rFonts w:eastAsia="Calibri" w:cs="Times New Roman"/>
          <w:color w:val="000000"/>
          <w:szCs w:val="24"/>
          <w:lang w:val="sr-Cyrl-CS"/>
        </w:rPr>
        <w:t>.</w:t>
      </w:r>
    </w:p>
    <w:p w14:paraId="1A48D34A" w14:textId="5C7BB8D9" w:rsidR="00D210F0" w:rsidRPr="00092ED7" w:rsidRDefault="00D210F0" w:rsidP="00D210F0">
      <w:pPr>
        <w:widowControl w:val="0"/>
        <w:spacing w:after="60"/>
        <w:rPr>
          <w:rFonts w:eastAsia="Calibri" w:cs="Times New Roman"/>
          <w:szCs w:val="24"/>
          <w:lang w:val="sr-Cyrl-CS"/>
        </w:rPr>
      </w:pPr>
      <w:r w:rsidRPr="00092ED7">
        <w:rPr>
          <w:rFonts w:eastAsia="Calibri" w:cs="Times New Roman"/>
          <w:szCs w:val="24"/>
          <w:lang w:val="sr-Cyrl-CS"/>
        </w:rPr>
        <w:t xml:space="preserve">ЈИСП, најважнији пројекат у области дигитализације образовања, који је пуштен у продукцију 31. марта 2022. године, пружа основ за спровођење најзначајнијих реформи у овом сектору. ЈИСП омогућава увид у процес и квалитет образовања праћењем свих података у оквиру образовног система. Систем је такође повезан са тржиштем рада како би деца, млади и њихови родитељи тачно могли да знају, за сваки средњошколски профил и факултетски програм, колико брзо могу да очекују да ће наћи посао, колика је просечна дужина чекања на посао, са којом просечном платом се запошљавају, итд. На специјализованом </w:t>
      </w:r>
      <w:r w:rsidRPr="00092ED7">
        <w:rPr>
          <w:rFonts w:eastAsia="Calibri" w:cs="Times New Roman"/>
          <w:b/>
          <w:szCs w:val="24"/>
          <w:lang w:val="sr-Cyrl-CS"/>
        </w:rPr>
        <w:t>порталу отворених података на којем се налазе подаци из ЈИСП-а</w:t>
      </w:r>
      <w:r w:rsidRPr="00092ED7">
        <w:rPr>
          <w:rStyle w:val="FootnoteReference"/>
          <w:rFonts w:eastAsia="Calibri" w:cs="Times New Roman"/>
          <w:szCs w:val="24"/>
          <w:lang w:val="sr-Cyrl-CS"/>
        </w:rPr>
        <w:footnoteReference w:id="202"/>
      </w:r>
      <w:r w:rsidRPr="00092ED7">
        <w:rPr>
          <w:rFonts w:eastAsia="Calibri" w:cs="Times New Roman"/>
          <w:szCs w:val="24"/>
          <w:lang w:val="sr-Cyrl-CS"/>
        </w:rPr>
        <w:t xml:space="preserve"> </w:t>
      </w:r>
      <w:hyperlink r:id="rId44" w:history="1">
        <w:r w:rsidRPr="00092ED7">
          <w:rPr>
            <w:rStyle w:val="Hyperlink"/>
            <w:rFonts w:eastAsia="Calibri" w:cs="Times New Roman"/>
            <w:szCs w:val="24"/>
            <w:lang w:val="sr-Cyrl-CS"/>
          </w:rPr>
          <w:t>https://opendata.mpn.gov.rs/</w:t>
        </w:r>
      </w:hyperlink>
      <w:r w:rsidRPr="00092ED7">
        <w:rPr>
          <w:rFonts w:eastAsia="Calibri" w:cs="Times New Roman"/>
          <w:szCs w:val="24"/>
          <w:lang w:val="sr-Cyrl-CS"/>
        </w:rPr>
        <w:t xml:space="preserve">, објављени су и сви подаци о установама законом предвиђени да буду јавни. Сваки грађанин може да има увид у појединачне школе у </w:t>
      </w:r>
      <w:r w:rsidR="002D4132" w:rsidRPr="00092ED7">
        <w:rPr>
          <w:rFonts w:eastAsia="Calibri" w:cs="Times New Roman"/>
          <w:szCs w:val="24"/>
          <w:lang w:val="sr-Cyrl-CS"/>
        </w:rPr>
        <w:t xml:space="preserve">Републици </w:t>
      </w:r>
      <w:r w:rsidRPr="00092ED7">
        <w:rPr>
          <w:rFonts w:eastAsia="Calibri" w:cs="Times New Roman"/>
          <w:szCs w:val="24"/>
          <w:lang w:val="sr-Cyrl-CS"/>
        </w:rPr>
        <w:t>Србији, њихове инфраструктурне капацитете, број запослених, број група, одељења, ученика, студената, наставне планове и програме, итд.</w:t>
      </w:r>
    </w:p>
    <w:p w14:paraId="76DE8849" w14:textId="116F4549" w:rsidR="00D210F0" w:rsidRPr="00092ED7" w:rsidRDefault="00D210F0" w:rsidP="00D210F0">
      <w:pPr>
        <w:widowControl w:val="0"/>
        <w:spacing w:after="60"/>
        <w:rPr>
          <w:rFonts w:eastAsia="Calibri" w:cs="Times New Roman"/>
          <w:szCs w:val="24"/>
          <w:lang w:val="sr-Cyrl-CS"/>
        </w:rPr>
      </w:pPr>
      <w:r w:rsidRPr="00092ED7">
        <w:rPr>
          <w:rFonts w:eastAsia="Calibri" w:cs="Times New Roman"/>
          <w:szCs w:val="24"/>
          <w:lang w:val="sr-Cyrl-CS"/>
        </w:rPr>
        <w:t xml:space="preserve">Истраживање о </w:t>
      </w:r>
      <w:r w:rsidRPr="00092ED7">
        <w:rPr>
          <w:rFonts w:eastAsia="Calibri" w:cs="Times New Roman"/>
          <w:b/>
          <w:szCs w:val="24"/>
          <w:lang w:val="sr-Cyrl-CS"/>
        </w:rPr>
        <w:t>Континуираном стручном усавршавању и обукама</w:t>
      </w:r>
      <w:r w:rsidRPr="00092ED7">
        <w:rPr>
          <w:rStyle w:val="FootnoteReference"/>
          <w:rFonts w:eastAsia="Calibri" w:cs="Times New Roman"/>
          <w:szCs w:val="24"/>
          <w:lang w:val="sr-Cyrl-CS"/>
        </w:rPr>
        <w:footnoteReference w:id="203"/>
      </w:r>
      <w:r w:rsidRPr="00092ED7">
        <w:rPr>
          <w:rFonts w:eastAsia="Calibri" w:cs="Times New Roman"/>
          <w:b/>
          <w:szCs w:val="24"/>
          <w:lang w:val="sr-Cyrl-CS"/>
        </w:rPr>
        <w:t xml:space="preserve"> </w:t>
      </w:r>
      <w:r w:rsidRPr="00092ED7">
        <w:rPr>
          <w:rFonts w:eastAsia="Calibri" w:cs="Times New Roman"/>
          <w:szCs w:val="24"/>
          <w:lang w:val="sr-Cyrl-CS"/>
        </w:rPr>
        <w:t>(</w:t>
      </w:r>
      <w:r w:rsidR="007F5867" w:rsidRPr="00092ED7">
        <w:rPr>
          <w:rFonts w:eastAsia="Calibri" w:cs="Times New Roman"/>
          <w:szCs w:val="24"/>
          <w:lang w:val="sr-Cyrl-CS"/>
        </w:rPr>
        <w:t xml:space="preserve">у даљем тексту: </w:t>
      </w:r>
      <w:r w:rsidRPr="00092ED7">
        <w:rPr>
          <w:rFonts w:eastAsia="Calibri" w:cs="Times New Roman"/>
          <w:szCs w:val="24"/>
          <w:lang w:val="sr-Cyrl-CS"/>
        </w:rPr>
        <w:t>КСУО), спроведено је први пут у Републици Србији током 2021.</w:t>
      </w:r>
      <w:r w:rsidRPr="00092ED7">
        <w:rPr>
          <w:lang w:val="sr-Cyrl-CS"/>
        </w:rPr>
        <w:t xml:space="preserve"> </w:t>
      </w:r>
      <w:r w:rsidR="007F5867" w:rsidRPr="00092ED7">
        <w:rPr>
          <w:rFonts w:eastAsia="Calibri" w:cs="Times New Roman"/>
          <w:szCs w:val="24"/>
          <w:lang w:val="sr-Cyrl-CS"/>
        </w:rPr>
        <w:t xml:space="preserve">КСУО </w:t>
      </w:r>
      <w:r w:rsidRPr="00092ED7">
        <w:rPr>
          <w:rFonts w:eastAsia="Calibri" w:cs="Times New Roman"/>
          <w:szCs w:val="24"/>
          <w:lang w:val="sr-Cyrl-CS"/>
        </w:rPr>
        <w:t xml:space="preserve">се односи на мере или активности образовања и обуке које у целости, или бар делимично, финансира предузеће (директно или индиректно) и пружа упоредиве податке о стручној обуци у предузећима са најмање </w:t>
      </w:r>
      <w:r w:rsidR="002D4132" w:rsidRPr="00092ED7">
        <w:rPr>
          <w:rFonts w:eastAsia="Calibri" w:cs="Times New Roman"/>
          <w:szCs w:val="24"/>
          <w:lang w:val="sr-Cyrl-CS"/>
        </w:rPr>
        <w:t xml:space="preserve">десет </w:t>
      </w:r>
      <w:r w:rsidRPr="00092ED7">
        <w:rPr>
          <w:rFonts w:eastAsia="Calibri" w:cs="Times New Roman"/>
          <w:szCs w:val="24"/>
          <w:lang w:val="sr-Cyrl-CS"/>
        </w:rPr>
        <w:t xml:space="preserve">или више запослених лица која припадају одређеној групи привредне делатности. Према добијеним резултатима, </w:t>
      </w:r>
      <w:r w:rsidRPr="00092ED7">
        <w:rPr>
          <w:rFonts w:eastAsia="Calibri" w:cs="Times New Roman"/>
          <w:b/>
          <w:szCs w:val="24"/>
          <w:lang w:val="sr-Cyrl-CS"/>
        </w:rPr>
        <w:t>скоро половина предузећа у Републици Србији (49,2%)</w:t>
      </w:r>
      <w:r w:rsidRPr="00092ED7">
        <w:rPr>
          <w:rFonts w:eastAsia="Calibri" w:cs="Times New Roman"/>
          <w:szCs w:val="24"/>
          <w:lang w:val="sr-Cyrl-CS"/>
        </w:rPr>
        <w:t xml:space="preserve"> спроводи </w:t>
      </w:r>
      <w:r w:rsidRPr="00092ED7">
        <w:rPr>
          <w:rFonts w:eastAsia="Calibri" w:cs="Times New Roman"/>
          <w:b/>
          <w:szCs w:val="24"/>
          <w:lang w:val="sr-Cyrl-CS"/>
        </w:rPr>
        <w:t>неки облик континуираног стручног усавршавања за своје запослене</w:t>
      </w:r>
      <w:r w:rsidRPr="00092ED7">
        <w:rPr>
          <w:rFonts w:eastAsia="Calibri" w:cs="Times New Roman"/>
          <w:szCs w:val="24"/>
          <w:lang w:val="sr-Cyrl-CS"/>
        </w:rPr>
        <w:t xml:space="preserve">, док </w:t>
      </w:r>
      <w:r w:rsidRPr="00092ED7">
        <w:rPr>
          <w:rFonts w:eastAsia="Calibri" w:cs="Times New Roman"/>
          <w:b/>
          <w:szCs w:val="24"/>
          <w:lang w:val="sr-Cyrl-CS"/>
        </w:rPr>
        <w:t>40,8% предузећа учествује у КСУО</w:t>
      </w:r>
      <w:r w:rsidRPr="00092ED7">
        <w:rPr>
          <w:rStyle w:val="FootnoteReference"/>
          <w:rFonts w:eastAsia="Calibri" w:cs="Times New Roman"/>
          <w:szCs w:val="24"/>
          <w:lang w:val="sr-Cyrl-CS"/>
        </w:rPr>
        <w:footnoteReference w:id="204"/>
      </w:r>
      <w:r w:rsidRPr="00092ED7">
        <w:rPr>
          <w:rFonts w:eastAsia="Calibri" w:cs="Times New Roman"/>
          <w:b/>
          <w:szCs w:val="24"/>
          <w:lang w:val="sr-Cyrl-CS"/>
        </w:rPr>
        <w:t>.</w:t>
      </w:r>
    </w:p>
    <w:p w14:paraId="521F4085" w14:textId="77777777" w:rsidR="00D210F0" w:rsidRPr="00092ED7" w:rsidRDefault="00D210F0" w:rsidP="00D210F0">
      <w:pPr>
        <w:keepNext/>
        <w:keepLines/>
        <w:shd w:val="clear" w:color="auto" w:fill="D9D9D9" w:themeFill="background1" w:themeFillShade="D9"/>
        <w:spacing w:before="360"/>
        <w:outlineLvl w:val="2"/>
        <w:rPr>
          <w:rFonts w:eastAsiaTheme="majorEastAsia" w:cstheme="majorBidi"/>
          <w:b/>
          <w:bCs/>
          <w:i/>
          <w:lang w:val="sr-Cyrl-CS"/>
        </w:rPr>
      </w:pPr>
      <w:bookmarkStart w:id="90" w:name="_Toc124174818"/>
      <w:bookmarkStart w:id="91" w:name="_Toc126218637"/>
      <w:r w:rsidRPr="00092ED7">
        <w:rPr>
          <w:rFonts w:eastAsiaTheme="majorEastAsia" w:cstheme="majorBidi"/>
          <w:b/>
          <w:lang w:val="sr-Cyrl-CS"/>
        </w:rPr>
        <w:t>5.2.11. Област ЗАПОШЉАВАЊЕ И ТРЖИШТЕ РАДА</w:t>
      </w:r>
      <w:bookmarkEnd w:id="90"/>
      <w:bookmarkEnd w:id="91"/>
    </w:p>
    <w:p w14:paraId="13FB0CA7" w14:textId="77777777" w:rsidR="00D210F0" w:rsidRPr="00092ED7" w:rsidRDefault="00D210F0" w:rsidP="00D210F0">
      <w:pPr>
        <w:rPr>
          <w:rFonts w:eastAsia="Calibri" w:cs="Times New Roman"/>
          <w:noProof/>
          <w:szCs w:val="24"/>
          <w:lang w:val="sr-Cyrl-CS"/>
        </w:rPr>
      </w:pPr>
      <w:r w:rsidRPr="00092ED7">
        <w:rPr>
          <w:rFonts w:eastAsia="Calibri" w:cs="Times New Roman"/>
          <w:noProof/>
          <w:szCs w:val="24"/>
          <w:lang w:val="sr-Cyrl-CS"/>
        </w:rPr>
        <w:t xml:space="preserve">Препреке из ове области и релевантне структурне реформе анализиране су у одељку 5.1. под </w:t>
      </w:r>
      <w:r w:rsidRPr="00092ED7">
        <w:rPr>
          <w:rFonts w:eastAsia="Calibri" w:cs="Times New Roman"/>
          <w:i/>
          <w:noProof/>
          <w:szCs w:val="24"/>
          <w:lang w:val="sr-Cyrl-CS"/>
        </w:rPr>
        <w:t>Кључним изазовом број 1. Повећање запослености, посебно младих, жена и осетљивих група, и социјална заштита од сиромаштва.</w:t>
      </w:r>
    </w:p>
    <w:p w14:paraId="21213072" w14:textId="77777777" w:rsidR="00D210F0" w:rsidRPr="00092ED7" w:rsidRDefault="00D210F0" w:rsidP="00D210F0">
      <w:pPr>
        <w:keepNext/>
        <w:keepLines/>
        <w:shd w:val="clear" w:color="auto" w:fill="D9D9D9" w:themeFill="background1" w:themeFillShade="D9"/>
        <w:spacing w:before="360"/>
        <w:outlineLvl w:val="2"/>
        <w:rPr>
          <w:rFonts w:eastAsiaTheme="majorEastAsia" w:cstheme="majorBidi"/>
          <w:b/>
          <w:bCs/>
          <w:i/>
          <w:lang w:val="sr-Cyrl-CS"/>
        </w:rPr>
      </w:pPr>
      <w:bookmarkStart w:id="92" w:name="_Toc124174819"/>
      <w:bookmarkStart w:id="93" w:name="_Toc126218638"/>
      <w:r w:rsidRPr="00092ED7">
        <w:rPr>
          <w:rFonts w:eastAsiaTheme="majorEastAsia" w:cstheme="majorBidi"/>
          <w:b/>
          <w:lang w:val="sr-Cyrl-CS"/>
        </w:rPr>
        <w:t>5.2.12. Област СОЦИЈАЛНА ЗАШТИТА И ИНКЛУЗИЈА</w:t>
      </w:r>
      <w:bookmarkEnd w:id="92"/>
      <w:bookmarkEnd w:id="93"/>
    </w:p>
    <w:p w14:paraId="114C4DB9" w14:textId="77777777" w:rsidR="00D210F0" w:rsidRPr="00092ED7" w:rsidRDefault="00D210F0" w:rsidP="00D210F0">
      <w:pPr>
        <w:rPr>
          <w:rFonts w:eastAsia="Calibri" w:cs="Times New Roman"/>
          <w:noProof/>
          <w:szCs w:val="24"/>
          <w:lang w:val="sr-Cyrl-CS"/>
        </w:rPr>
      </w:pPr>
      <w:r w:rsidRPr="00092ED7">
        <w:rPr>
          <w:rFonts w:eastAsia="Calibri" w:cs="Times New Roman"/>
          <w:noProof/>
          <w:szCs w:val="24"/>
          <w:lang w:val="sr-Cyrl-CS"/>
        </w:rPr>
        <w:t xml:space="preserve">Препреке из ове области анализиране су у одељку 5.1. под </w:t>
      </w:r>
      <w:r w:rsidRPr="00092ED7">
        <w:rPr>
          <w:rFonts w:eastAsia="Calibri" w:cs="Times New Roman"/>
          <w:i/>
          <w:noProof/>
          <w:szCs w:val="24"/>
          <w:lang w:val="sr-Cyrl-CS"/>
        </w:rPr>
        <w:t>Кључним изазовом број 1. Повећање запослености, посебно младих, жена и осетљивих група, и социјална заштита од сиромаштва.</w:t>
      </w:r>
    </w:p>
    <w:p w14:paraId="374E708C" w14:textId="77777777" w:rsidR="00D210F0" w:rsidRPr="00092ED7" w:rsidRDefault="00D210F0" w:rsidP="00D210F0">
      <w:pPr>
        <w:keepNext/>
        <w:keepLines/>
        <w:shd w:val="clear" w:color="auto" w:fill="D9D9D9" w:themeFill="background1" w:themeFillShade="D9"/>
        <w:spacing w:before="360"/>
        <w:outlineLvl w:val="2"/>
        <w:rPr>
          <w:rFonts w:eastAsiaTheme="majorEastAsia" w:cstheme="majorBidi"/>
          <w:b/>
          <w:bCs/>
          <w:i/>
          <w:lang w:val="sr-Cyrl-CS"/>
        </w:rPr>
      </w:pPr>
      <w:bookmarkStart w:id="94" w:name="_Toc93385989"/>
      <w:bookmarkStart w:id="95" w:name="_Toc124174820"/>
      <w:bookmarkStart w:id="96" w:name="_Toc126218639"/>
      <w:r w:rsidRPr="00092ED7">
        <w:rPr>
          <w:rFonts w:eastAsiaTheme="majorEastAsia" w:cstheme="majorBidi"/>
          <w:b/>
          <w:lang w:val="sr-Cyrl-CS"/>
        </w:rPr>
        <w:t>5.2.13. Област СИСТЕМ ЗДРАВСТВЕНЕ ЗАШТИТЕ</w:t>
      </w:r>
      <w:bookmarkEnd w:id="94"/>
      <w:bookmarkEnd w:id="95"/>
      <w:bookmarkEnd w:id="96"/>
    </w:p>
    <w:p w14:paraId="5740897E" w14:textId="01A4851B" w:rsidR="00D210F0" w:rsidRPr="00092ED7" w:rsidRDefault="00D210F0" w:rsidP="00D210F0">
      <w:pPr>
        <w:spacing w:before="120"/>
        <w:rPr>
          <w:rFonts w:cs="Times New Roman"/>
          <w:b/>
          <w:noProof/>
          <w:szCs w:val="24"/>
          <w:lang w:val="sr-Cyrl-CS"/>
        </w:rPr>
      </w:pPr>
      <w:r w:rsidRPr="00092ED7">
        <w:rPr>
          <w:rFonts w:cs="Times New Roman"/>
          <w:b/>
          <w:noProof/>
          <w:szCs w:val="24"/>
          <w:lang w:val="sr-Cyrl-CS"/>
        </w:rPr>
        <w:t xml:space="preserve">а) Анализа главних </w:t>
      </w:r>
      <w:r w:rsidR="00313B37" w:rsidRPr="00092ED7">
        <w:rPr>
          <w:rFonts w:cs="Times New Roman"/>
          <w:b/>
          <w:noProof/>
          <w:szCs w:val="24"/>
          <w:lang w:val="sr-Cyrl-CS"/>
        </w:rPr>
        <w:t>изазова</w:t>
      </w:r>
    </w:p>
    <w:p w14:paraId="61E7906C" w14:textId="2D985CBB" w:rsidR="00D210F0" w:rsidRPr="00092ED7" w:rsidRDefault="00D210F0" w:rsidP="00D210F0">
      <w:pPr>
        <w:spacing w:after="60"/>
        <w:rPr>
          <w:szCs w:val="24"/>
          <w:lang w:val="sr-Cyrl-CS"/>
        </w:rPr>
      </w:pPr>
      <w:r w:rsidRPr="00092ED7">
        <w:rPr>
          <w:b/>
          <w:szCs w:val="24"/>
          <w:lang w:val="sr-Cyrl-CS"/>
        </w:rPr>
        <w:t xml:space="preserve">Здравствена заштита у Републици Србији обезбеђује се кроз систем обавезног здравственог осигурања који се спроводи у </w:t>
      </w:r>
      <w:r w:rsidRPr="00092ED7">
        <w:rPr>
          <w:szCs w:val="24"/>
          <w:lang w:val="sr-Cyrl-CS"/>
        </w:rPr>
        <w:t>РФЗО</w:t>
      </w:r>
      <w:r w:rsidRPr="00092ED7">
        <w:rPr>
          <w:b/>
          <w:szCs w:val="24"/>
          <w:lang w:val="sr-Cyrl-CS"/>
        </w:rPr>
        <w:t>.</w:t>
      </w:r>
      <w:r w:rsidRPr="00092ED7">
        <w:rPr>
          <w:szCs w:val="24"/>
          <w:lang w:val="sr-Cyrl-CS"/>
        </w:rPr>
        <w:t xml:space="preserve"> </w:t>
      </w:r>
      <w:r w:rsidRPr="00092ED7">
        <w:rPr>
          <w:rFonts w:cs="Times New Roman"/>
          <w:color w:val="000000"/>
          <w:szCs w:val="24"/>
          <w:shd w:val="clear" w:color="auto" w:fill="FFFFFF"/>
          <w:lang w:val="sr-Cyrl-CS"/>
        </w:rPr>
        <w:t>Главни извор финансирања обавезног здравственог осигурања представљају доприноси</w:t>
      </w:r>
      <w:r w:rsidRPr="00092ED7">
        <w:rPr>
          <w:rStyle w:val="FootnoteReference"/>
          <w:rFonts w:cs="Times New Roman"/>
          <w:color w:val="000000"/>
          <w:szCs w:val="24"/>
          <w:shd w:val="clear" w:color="auto" w:fill="FFFFFF"/>
          <w:lang w:val="sr-Cyrl-CS"/>
        </w:rPr>
        <w:footnoteReference w:id="205"/>
      </w:r>
      <w:r w:rsidRPr="00092ED7">
        <w:rPr>
          <w:rFonts w:cs="Times New Roman"/>
          <w:color w:val="000000"/>
          <w:szCs w:val="24"/>
          <w:shd w:val="clear" w:color="auto" w:fill="FFFFFF"/>
          <w:lang w:val="sr-Cyrl-CS"/>
        </w:rPr>
        <w:t xml:space="preserve"> осигураника и послодаваца или исплатилаца прихода, на чији терет се плаћа допринос, </w:t>
      </w:r>
      <w:r w:rsidRPr="00092ED7">
        <w:rPr>
          <w:rFonts w:cs="Times New Roman"/>
          <w:szCs w:val="24"/>
          <w:shd w:val="clear" w:color="auto" w:fill="FFFFFF"/>
          <w:lang w:val="sr-Cyrl-CS"/>
        </w:rPr>
        <w:t>по стопи од 10,3%</w:t>
      </w:r>
      <w:r w:rsidRPr="00092ED7">
        <w:rPr>
          <w:rStyle w:val="FootnoteReference"/>
          <w:rFonts w:cs="Times New Roman"/>
          <w:szCs w:val="24"/>
          <w:shd w:val="clear" w:color="auto" w:fill="FFFFFF"/>
          <w:lang w:val="sr-Cyrl-CS"/>
        </w:rPr>
        <w:footnoteReference w:id="206"/>
      </w:r>
      <w:r w:rsidRPr="00092ED7">
        <w:rPr>
          <w:rFonts w:cs="Times New Roman"/>
          <w:szCs w:val="24"/>
          <w:shd w:val="clear" w:color="auto" w:fill="FFFFFF"/>
          <w:lang w:val="sr-Cyrl-CS"/>
        </w:rPr>
        <w:t xml:space="preserve">. </w:t>
      </w:r>
      <w:r w:rsidRPr="00092ED7">
        <w:rPr>
          <w:b/>
          <w:szCs w:val="24"/>
          <w:lang w:val="sr-Cyrl-CS"/>
        </w:rPr>
        <w:t>Својство осигураног лица (обавезно здравствено осигурање) има</w:t>
      </w:r>
      <w:r w:rsidRPr="00092ED7">
        <w:rPr>
          <w:rFonts w:cs="Times New Roman"/>
          <w:b/>
          <w:color w:val="000000"/>
          <w:szCs w:val="24"/>
          <w:shd w:val="clear" w:color="auto" w:fill="FFFFFF"/>
          <w:lang w:val="sr-Cyrl-CS"/>
        </w:rPr>
        <w:t xml:space="preserve"> </w:t>
      </w:r>
      <w:r w:rsidRPr="00092ED7">
        <w:rPr>
          <w:b/>
          <w:szCs w:val="24"/>
          <w:lang w:val="sr-Cyrl-CS"/>
        </w:rPr>
        <w:t>99% становника</w:t>
      </w:r>
      <w:r w:rsidRPr="00092ED7">
        <w:rPr>
          <w:szCs w:val="24"/>
          <w:lang w:val="sr-Cyrl-CS"/>
        </w:rPr>
        <w:t>, док само 0,15% становништва има приватно здравствено осигурање, при чему је део становништва обухваћен и другим видовима добровољног допунског и додатног здравственог осигурања.</w:t>
      </w:r>
    </w:p>
    <w:p w14:paraId="0B9C5D6C" w14:textId="77777777" w:rsidR="00D210F0" w:rsidRPr="00092ED7" w:rsidRDefault="00D210F0" w:rsidP="00D210F0">
      <w:pPr>
        <w:spacing w:after="60"/>
        <w:rPr>
          <w:rFonts w:cs="Times New Roman"/>
          <w:noProof/>
          <w:szCs w:val="24"/>
          <w:lang w:val="sr-Cyrl-CS"/>
        </w:rPr>
      </w:pPr>
      <w:r w:rsidRPr="00092ED7">
        <w:rPr>
          <w:szCs w:val="24"/>
          <w:lang w:val="sr-Cyrl-CS"/>
        </w:rPr>
        <w:t>О</w:t>
      </w:r>
      <w:r w:rsidRPr="00092ED7">
        <w:rPr>
          <w:rFonts w:cs="Times New Roman"/>
          <w:color w:val="000000"/>
          <w:szCs w:val="24"/>
          <w:shd w:val="clear" w:color="auto" w:fill="FFFFFF"/>
          <w:lang w:val="sr-Cyrl-CS"/>
        </w:rPr>
        <w:t>сигурана лица имају право на накнаду зараде за време привремене спречености за рад (накнада за боловање)</w:t>
      </w:r>
      <w:r w:rsidRPr="00092ED7">
        <w:rPr>
          <w:rStyle w:val="FootnoteReference"/>
          <w:rFonts w:cs="Times New Roman"/>
          <w:color w:val="000000"/>
          <w:szCs w:val="24"/>
          <w:shd w:val="clear" w:color="auto" w:fill="FFFFFF"/>
          <w:lang w:val="sr-Cyrl-CS"/>
        </w:rPr>
        <w:footnoteReference w:id="207"/>
      </w:r>
      <w:r w:rsidRPr="00092ED7">
        <w:rPr>
          <w:rFonts w:cs="Times New Roman"/>
          <w:color w:val="000000"/>
          <w:szCs w:val="24"/>
          <w:shd w:val="clear" w:color="auto" w:fill="FFFFFF"/>
          <w:lang w:val="sr-Cyrl-CS"/>
        </w:rPr>
        <w:t>. Право на накнаду за боловање остварило је 154.062 осигураних лица</w:t>
      </w:r>
      <w:r w:rsidRPr="00092ED7">
        <w:rPr>
          <w:rStyle w:val="FootnoteReference"/>
          <w:rFonts w:cs="Times New Roman"/>
          <w:color w:val="000000"/>
          <w:szCs w:val="24"/>
          <w:shd w:val="clear" w:color="auto" w:fill="FFFFFF"/>
          <w:lang w:val="sr-Cyrl-CS"/>
        </w:rPr>
        <w:footnoteReference w:id="208"/>
      </w:r>
      <w:r w:rsidRPr="00092ED7">
        <w:rPr>
          <w:rFonts w:cs="Times New Roman"/>
          <w:color w:val="000000"/>
          <w:szCs w:val="24"/>
          <w:shd w:val="clear" w:color="auto" w:fill="FFFFFF"/>
          <w:lang w:val="sr-Cyrl-CS"/>
        </w:rPr>
        <w:t xml:space="preserve"> у 2021. години, а исплаћена средства у ове сврхе представљају 0,2%</w:t>
      </w:r>
      <w:r w:rsidRPr="00092ED7">
        <w:rPr>
          <w:rStyle w:val="FootnoteReference"/>
          <w:rFonts w:cs="Times New Roman"/>
          <w:color w:val="000000"/>
          <w:szCs w:val="24"/>
          <w:shd w:val="clear" w:color="auto" w:fill="FFFFFF"/>
          <w:lang w:val="sr-Cyrl-CS"/>
        </w:rPr>
        <w:footnoteReference w:id="209"/>
      </w:r>
      <w:r w:rsidRPr="00092ED7">
        <w:rPr>
          <w:rFonts w:cs="Times New Roman"/>
          <w:color w:val="000000"/>
          <w:szCs w:val="24"/>
          <w:shd w:val="clear" w:color="auto" w:fill="FFFFFF"/>
          <w:lang w:val="sr-Cyrl-CS"/>
        </w:rPr>
        <w:t xml:space="preserve"> БДП-а. У току је израда </w:t>
      </w:r>
      <w:r w:rsidRPr="00092ED7">
        <w:rPr>
          <w:rFonts w:cs="Times New Roman"/>
          <w:i/>
          <w:color w:val="000000"/>
          <w:szCs w:val="24"/>
          <w:shd w:val="clear" w:color="auto" w:fill="FFFFFF"/>
          <w:lang w:val="sr-Cyrl-CS"/>
        </w:rPr>
        <w:t>Нацрта закона о изменама и допунама Закона о здравственом осигурању</w:t>
      </w:r>
      <w:r w:rsidRPr="00092ED7">
        <w:rPr>
          <w:rFonts w:cs="Times New Roman"/>
          <w:color w:val="000000"/>
          <w:szCs w:val="24"/>
          <w:shd w:val="clear" w:color="auto" w:fill="FFFFFF"/>
          <w:lang w:val="sr-Cyrl-CS"/>
        </w:rPr>
        <w:t xml:space="preserve">, који, између осталог, проширује основе за </w:t>
      </w:r>
      <w:r w:rsidRPr="00092ED7">
        <w:rPr>
          <w:rFonts w:cs="Times New Roman"/>
          <w:b/>
          <w:color w:val="000000"/>
          <w:szCs w:val="24"/>
          <w:shd w:val="clear" w:color="auto" w:fill="FFFFFF"/>
          <w:lang w:val="sr-Cyrl-CS"/>
        </w:rPr>
        <w:t>остваривање права на накнаду зараде за време привремене спречености за рад.</w:t>
      </w:r>
      <w:r w:rsidRPr="00092ED7">
        <w:rPr>
          <w:rFonts w:cs="Times New Roman"/>
          <w:color w:val="000000"/>
          <w:szCs w:val="24"/>
          <w:shd w:val="clear" w:color="auto" w:fill="FFFFFF"/>
          <w:lang w:val="sr-Cyrl-CS"/>
        </w:rPr>
        <w:t xml:space="preserve"> Након његовог усвајања очекује </w:t>
      </w:r>
      <w:r w:rsidR="00BB0AF1" w:rsidRPr="00092ED7">
        <w:rPr>
          <w:rFonts w:cs="Times New Roman"/>
          <w:color w:val="000000"/>
          <w:szCs w:val="24"/>
          <w:shd w:val="clear" w:color="auto" w:fill="FFFFFF"/>
          <w:lang w:val="sr-Cyrl-CS"/>
        </w:rPr>
        <w:t xml:space="preserve">се </w:t>
      </w:r>
      <w:r w:rsidRPr="00092ED7">
        <w:rPr>
          <w:rFonts w:cs="Times New Roman"/>
          <w:color w:val="000000"/>
          <w:szCs w:val="24"/>
          <w:shd w:val="clear" w:color="auto" w:fill="FFFFFF"/>
          <w:lang w:val="sr-Cyrl-CS"/>
        </w:rPr>
        <w:t xml:space="preserve">да ово право </w:t>
      </w:r>
      <w:r w:rsidRPr="00092ED7">
        <w:rPr>
          <w:rFonts w:cs="Times New Roman"/>
          <w:b/>
          <w:color w:val="000000"/>
          <w:szCs w:val="24"/>
          <w:shd w:val="clear" w:color="auto" w:fill="FFFFFF"/>
          <w:lang w:val="sr-Cyrl-CS"/>
        </w:rPr>
        <w:t>остваре све жене због болести или компликација у вези са одржавањем трудноће, без обзира на основ осигурања</w:t>
      </w:r>
      <w:r w:rsidRPr="00092ED7">
        <w:rPr>
          <w:rFonts w:cs="Times New Roman"/>
          <w:color w:val="000000"/>
          <w:szCs w:val="24"/>
          <w:shd w:val="clear" w:color="auto" w:fill="FFFFFF"/>
          <w:lang w:val="sr-Cyrl-CS"/>
        </w:rPr>
        <w:t>.</w:t>
      </w:r>
    </w:p>
    <w:p w14:paraId="08B8B814" w14:textId="477A1E9A" w:rsidR="00D210F0" w:rsidRPr="00092ED7" w:rsidRDefault="00D210F0" w:rsidP="00D210F0">
      <w:pPr>
        <w:spacing w:after="60"/>
        <w:rPr>
          <w:rFonts w:cs="Times New Roman"/>
          <w:szCs w:val="24"/>
          <w:lang w:val="sr-Cyrl-CS"/>
        </w:rPr>
      </w:pPr>
      <w:r w:rsidRPr="00092ED7">
        <w:rPr>
          <w:rFonts w:cs="Times New Roman"/>
          <w:b/>
          <w:bCs/>
          <w:szCs w:val="24"/>
          <w:lang w:val="sr-Cyrl-CS"/>
        </w:rPr>
        <w:t xml:space="preserve">Финансирање система здравствене заштите у јавном сектору из доприноса је недовољно, </w:t>
      </w:r>
      <w:r w:rsidRPr="00092ED7">
        <w:rPr>
          <w:rFonts w:cs="Times New Roman"/>
          <w:bCs/>
          <w:szCs w:val="24"/>
          <w:lang w:val="sr-Cyrl-CS"/>
        </w:rPr>
        <w:t>па је финансијски подржано додатним финансирањем из републичког буџета и осталим изворима.</w:t>
      </w:r>
      <w:r w:rsidRPr="00092ED7">
        <w:rPr>
          <w:rFonts w:eastAsia="Times New Roman" w:cs="Times New Roman"/>
          <w:color w:val="202124"/>
          <w:szCs w:val="24"/>
          <w:lang w:val="sr-Cyrl-CS"/>
        </w:rPr>
        <w:t xml:space="preserve"> Укупни </w:t>
      </w:r>
      <w:r w:rsidRPr="00092ED7">
        <w:rPr>
          <w:rFonts w:eastAsia="Times New Roman" w:cs="Times New Roman"/>
          <w:b/>
          <w:color w:val="202124"/>
          <w:szCs w:val="24"/>
          <w:lang w:val="sr-Cyrl-CS"/>
        </w:rPr>
        <w:t>расходи за здравствену заштиту</w:t>
      </w:r>
      <w:r w:rsidRPr="00092ED7">
        <w:rPr>
          <w:rFonts w:eastAsia="Times New Roman" w:cs="Times New Roman"/>
          <w:color w:val="202124"/>
          <w:szCs w:val="24"/>
          <w:lang w:val="sr-Cyrl-CS"/>
        </w:rPr>
        <w:t xml:space="preserve"> износили су </w:t>
      </w:r>
      <w:r w:rsidRPr="00092ED7">
        <w:rPr>
          <w:rFonts w:eastAsia="Times New Roman" w:cs="Times New Roman"/>
          <w:b/>
          <w:color w:val="202124"/>
          <w:szCs w:val="24"/>
          <w:lang w:val="sr-Cyrl-CS"/>
        </w:rPr>
        <w:t>8,67% БДП-а у 2019</w:t>
      </w:r>
      <w:r w:rsidRPr="00092ED7">
        <w:rPr>
          <w:rFonts w:eastAsia="Times New Roman" w:cs="Times New Roman"/>
          <w:color w:val="202124"/>
          <w:szCs w:val="24"/>
          <w:lang w:val="sr-Cyrl-CS"/>
        </w:rPr>
        <w:t xml:space="preserve">. години, док су </w:t>
      </w:r>
      <w:r w:rsidRPr="00092ED7">
        <w:rPr>
          <w:rFonts w:eastAsia="Times New Roman" w:cs="Times New Roman"/>
          <w:b/>
          <w:color w:val="202124"/>
          <w:szCs w:val="24"/>
          <w:lang w:val="sr-Cyrl-CS"/>
        </w:rPr>
        <w:t>расходи по глави становника 641 УСД</w:t>
      </w:r>
      <w:r w:rsidRPr="00092ED7">
        <w:rPr>
          <w:rStyle w:val="FootnoteReference"/>
          <w:rFonts w:cs="Times New Roman"/>
          <w:b/>
          <w:color w:val="202124"/>
          <w:szCs w:val="24"/>
          <w:lang w:val="sr-Cyrl-CS"/>
        </w:rPr>
        <w:footnoteReference w:id="210"/>
      </w:r>
      <w:r w:rsidRPr="00092ED7">
        <w:rPr>
          <w:rFonts w:eastAsia="Times New Roman" w:cs="Times New Roman"/>
          <w:color w:val="202124"/>
          <w:szCs w:val="24"/>
          <w:lang w:val="sr-Cyrl-CS"/>
        </w:rPr>
        <w:t xml:space="preserve">. </w:t>
      </w:r>
      <w:r w:rsidRPr="00092ED7">
        <w:rPr>
          <w:rFonts w:cs="Times New Roman"/>
          <w:szCs w:val="24"/>
          <w:lang w:val="sr-Cyrl-CS"/>
        </w:rPr>
        <w:t xml:space="preserve">Пандемија </w:t>
      </w:r>
      <w:r w:rsidR="00B94430" w:rsidRPr="00092ED7">
        <w:rPr>
          <w:rFonts w:cs="Times New Roman"/>
          <w:bCs/>
          <w:iCs/>
          <w:szCs w:val="24"/>
          <w:lang w:val="sr-Cyrl-CS"/>
        </w:rPr>
        <w:t>COVID</w:t>
      </w:r>
      <w:r w:rsidRPr="00092ED7">
        <w:rPr>
          <w:rFonts w:cs="Times New Roman"/>
          <w:szCs w:val="24"/>
          <w:lang w:val="sr-Cyrl-CS"/>
        </w:rPr>
        <w:t>-19 утицала је на раст јавних расхода на нивоу опште државе у 2021. години, који су порасли 10,1% у односу на 2020. годину. На веће расходе у односу на оригинални план највише је утицало спровођење трећег пакета мера за подршку привреди и становништву у условима пандемије, расходи везани за директну борбу против пандемије, као и улагања у здравствени систем и повећање капацитета и опреме. Такође, бележи се и повећање броја лица ангажованих у здравственом систему и другим секторима који су учествовали у контроли епидемиолошке ситуације.</w:t>
      </w:r>
    </w:p>
    <w:p w14:paraId="317A8174" w14:textId="5439D368" w:rsidR="00D210F0" w:rsidRPr="00092ED7" w:rsidRDefault="00D210F0" w:rsidP="00D210F0">
      <w:pPr>
        <w:spacing w:after="60"/>
        <w:rPr>
          <w:rFonts w:cs="Times New Roman"/>
          <w:color w:val="000000"/>
          <w:szCs w:val="24"/>
          <w:shd w:val="clear" w:color="auto" w:fill="FFFFFF"/>
          <w:lang w:val="sr-Cyrl-CS"/>
        </w:rPr>
      </w:pPr>
      <w:r w:rsidRPr="00092ED7">
        <w:rPr>
          <w:rFonts w:cs="Times New Roman"/>
          <w:b/>
          <w:noProof/>
          <w:szCs w:val="24"/>
          <w:lang w:val="sr-Cyrl-CS"/>
        </w:rPr>
        <w:t>З</w:t>
      </w:r>
      <w:r w:rsidRPr="00092ED7">
        <w:rPr>
          <w:b/>
          <w:szCs w:val="24"/>
          <w:lang w:val="sr-Cyrl-CS"/>
        </w:rPr>
        <w:t>дравствена заштита</w:t>
      </w:r>
      <w:r w:rsidRPr="00092ED7">
        <w:rPr>
          <w:rFonts w:cs="Times New Roman"/>
          <w:b/>
          <w:color w:val="000000"/>
          <w:szCs w:val="24"/>
          <w:shd w:val="clear" w:color="auto" w:fill="FFFFFF"/>
          <w:lang w:val="sr-Cyrl-CS"/>
        </w:rPr>
        <w:t xml:space="preserve"> осигураних лица</w:t>
      </w:r>
      <w:r w:rsidRPr="00092ED7">
        <w:rPr>
          <w:b/>
          <w:szCs w:val="24"/>
          <w:lang w:val="sr-Cyrl-CS"/>
        </w:rPr>
        <w:t xml:space="preserve"> </w:t>
      </w:r>
      <w:r w:rsidRPr="00092ED7">
        <w:rPr>
          <w:rFonts w:cs="Times New Roman"/>
          <w:b/>
          <w:color w:val="000000"/>
          <w:szCs w:val="24"/>
          <w:shd w:val="clear" w:color="auto" w:fill="FFFFFF"/>
          <w:lang w:val="sr-Cyrl-CS"/>
        </w:rPr>
        <w:t>на примарном, секундарном и терцијарном нивоу</w:t>
      </w:r>
      <w:r w:rsidRPr="00092ED7">
        <w:rPr>
          <w:b/>
          <w:szCs w:val="24"/>
          <w:lang w:val="sr-Cyrl-CS"/>
        </w:rPr>
        <w:t xml:space="preserve"> остварује се у з</w:t>
      </w:r>
      <w:r w:rsidRPr="00092ED7">
        <w:rPr>
          <w:rFonts w:cs="Times New Roman"/>
          <w:b/>
          <w:color w:val="000000"/>
          <w:szCs w:val="24"/>
          <w:shd w:val="clear" w:color="auto" w:fill="FFFFFF"/>
          <w:lang w:val="sr-Cyrl-CS"/>
        </w:rPr>
        <w:t>дравственим установама у јавној својини</w:t>
      </w:r>
      <w:r w:rsidRPr="00092ED7">
        <w:rPr>
          <w:rFonts w:cs="Times New Roman"/>
          <w:color w:val="000000"/>
          <w:szCs w:val="24"/>
          <w:shd w:val="clear" w:color="auto" w:fill="FFFFFF"/>
          <w:lang w:val="sr-Cyrl-CS"/>
        </w:rPr>
        <w:t xml:space="preserve">, које су обухваћене </w:t>
      </w:r>
      <w:r w:rsidRPr="00092ED7">
        <w:rPr>
          <w:rFonts w:cs="Times New Roman"/>
          <w:i/>
          <w:color w:val="000000"/>
          <w:szCs w:val="24"/>
          <w:shd w:val="clear" w:color="auto" w:fill="FFFFFF"/>
          <w:lang w:val="sr-Cyrl-CS"/>
        </w:rPr>
        <w:t>Планом мреже здравствених установа</w:t>
      </w:r>
      <w:r w:rsidRPr="00092ED7">
        <w:rPr>
          <w:rStyle w:val="FootnoteReference"/>
          <w:rFonts w:cs="Times New Roman"/>
          <w:szCs w:val="24"/>
          <w:lang w:val="sr-Cyrl-CS"/>
        </w:rPr>
        <w:footnoteReference w:id="211"/>
      </w:r>
      <w:r w:rsidRPr="00092ED7">
        <w:rPr>
          <w:rFonts w:cs="Times New Roman"/>
          <w:color w:val="000000"/>
          <w:szCs w:val="24"/>
          <w:shd w:val="clear" w:color="auto" w:fill="FFFFFF"/>
          <w:lang w:val="sr-Cyrl-CS"/>
        </w:rPr>
        <w:t xml:space="preserve">. Укупан број здравствених установа износио је </w:t>
      </w:r>
      <w:r w:rsidRPr="00092ED7">
        <w:rPr>
          <w:rFonts w:cs="Times New Roman"/>
          <w:szCs w:val="24"/>
          <w:lang w:val="sr-Cyrl-CS"/>
        </w:rPr>
        <w:t>335</w:t>
      </w:r>
      <w:r w:rsidRPr="00092ED7">
        <w:rPr>
          <w:rStyle w:val="FootnoteReference"/>
          <w:rFonts w:cs="Times New Roman"/>
          <w:szCs w:val="24"/>
          <w:lang w:val="sr-Cyrl-CS"/>
        </w:rPr>
        <w:footnoteReference w:id="212"/>
      </w:r>
      <w:r w:rsidRPr="00092ED7">
        <w:rPr>
          <w:rFonts w:cs="Times New Roman"/>
          <w:szCs w:val="24"/>
          <w:lang w:val="sr-Cyrl-CS"/>
        </w:rPr>
        <w:t xml:space="preserve"> у 2021. години</w:t>
      </w:r>
      <w:r w:rsidRPr="00092ED7">
        <w:rPr>
          <w:rFonts w:cs="Times New Roman"/>
          <w:color w:val="000000"/>
          <w:szCs w:val="24"/>
          <w:shd w:val="clear" w:color="auto" w:fill="FFFFFF"/>
          <w:lang w:val="sr-Cyrl-CS"/>
        </w:rPr>
        <w:t>, у којима је запослено 105,3 хиљаде радника</w:t>
      </w:r>
      <w:r w:rsidRPr="00092ED7">
        <w:rPr>
          <w:rStyle w:val="FootnoteReference"/>
          <w:rFonts w:cs="Times New Roman"/>
          <w:color w:val="000000"/>
          <w:szCs w:val="24"/>
          <w:shd w:val="clear" w:color="auto" w:fill="FFFFFF"/>
          <w:lang w:val="sr-Cyrl-CS"/>
        </w:rPr>
        <w:footnoteReference w:id="213"/>
      </w:r>
      <w:r w:rsidRPr="00092ED7">
        <w:rPr>
          <w:rFonts w:cs="Times New Roman"/>
          <w:color w:val="000000"/>
          <w:szCs w:val="24"/>
          <w:shd w:val="clear" w:color="auto" w:fill="FFFFFF"/>
          <w:lang w:val="sr-Cyrl-CS"/>
        </w:rPr>
        <w:t xml:space="preserve">. </w:t>
      </w:r>
      <w:r w:rsidRPr="00092ED7">
        <w:rPr>
          <w:rFonts w:cs="Times New Roman"/>
          <w:color w:val="000000"/>
          <w:szCs w:val="24"/>
          <w:lang w:val="sr-Cyrl-CS"/>
        </w:rPr>
        <w:t>Број лекара на 1</w:t>
      </w:r>
      <w:r w:rsidR="002D4132" w:rsidRPr="00092ED7">
        <w:rPr>
          <w:rFonts w:cs="Times New Roman"/>
          <w:color w:val="000000"/>
          <w:szCs w:val="24"/>
          <w:lang w:val="sr-Cyrl-CS"/>
        </w:rPr>
        <w:t>.</w:t>
      </w:r>
      <w:r w:rsidRPr="00092ED7">
        <w:rPr>
          <w:rFonts w:cs="Times New Roman"/>
          <w:color w:val="000000"/>
          <w:szCs w:val="24"/>
          <w:lang w:val="sr-Cyrl-CS"/>
        </w:rPr>
        <w:t>000 становника износи 2,9</w:t>
      </w:r>
      <w:r w:rsidRPr="00092ED7">
        <w:rPr>
          <w:szCs w:val="24"/>
          <w:lang w:val="sr-Cyrl-CS"/>
        </w:rPr>
        <w:t xml:space="preserve">. </w:t>
      </w:r>
      <w:r w:rsidRPr="00092ED7">
        <w:rPr>
          <w:rFonts w:cs="Times New Roman"/>
          <w:color w:val="000000"/>
          <w:szCs w:val="24"/>
          <w:shd w:val="clear" w:color="auto" w:fill="FFFFFF"/>
          <w:lang w:val="sr-Cyrl-CS"/>
        </w:rPr>
        <w:t>У</w:t>
      </w:r>
      <w:r w:rsidRPr="00092ED7">
        <w:rPr>
          <w:rFonts w:cs="Times New Roman"/>
          <w:szCs w:val="24"/>
          <w:lang w:val="sr-Cyrl-CS"/>
        </w:rPr>
        <w:t>купан број болничких постеља износио је 42.611</w:t>
      </w:r>
      <w:r w:rsidRPr="00092ED7">
        <w:rPr>
          <w:rStyle w:val="FootnoteReference"/>
          <w:rFonts w:cs="Times New Roman"/>
          <w:szCs w:val="24"/>
          <w:lang w:val="sr-Cyrl-CS"/>
        </w:rPr>
        <w:footnoteReference w:id="214"/>
      </w:r>
      <w:r w:rsidRPr="00092ED7">
        <w:rPr>
          <w:rFonts w:cs="Times New Roman"/>
          <w:color w:val="000000"/>
          <w:szCs w:val="24"/>
          <w:shd w:val="clear" w:color="auto" w:fill="FFFFFF"/>
          <w:lang w:val="sr-Cyrl-CS"/>
        </w:rPr>
        <w:t>, односно 6,3 постеља на 1</w:t>
      </w:r>
      <w:r w:rsidR="002D4132" w:rsidRPr="00092ED7">
        <w:rPr>
          <w:rFonts w:cs="Times New Roman"/>
          <w:color w:val="000000"/>
          <w:szCs w:val="24"/>
          <w:shd w:val="clear" w:color="auto" w:fill="FFFFFF"/>
          <w:lang w:val="sr-Cyrl-CS"/>
        </w:rPr>
        <w:t>.</w:t>
      </w:r>
      <w:r w:rsidRPr="00092ED7">
        <w:rPr>
          <w:rFonts w:cs="Times New Roman"/>
          <w:color w:val="000000"/>
          <w:szCs w:val="24"/>
          <w:shd w:val="clear" w:color="auto" w:fill="FFFFFF"/>
          <w:lang w:val="sr-Cyrl-CS"/>
        </w:rPr>
        <w:t>000 становника. Просечна дужина лечења по једном болеснику износи 6,3 дана, а просечна заузетост болничких постеља 48,7%.</w:t>
      </w:r>
    </w:p>
    <w:p w14:paraId="43C4FCBB" w14:textId="77777777" w:rsidR="00D210F0" w:rsidRPr="00092ED7" w:rsidRDefault="00D210F0" w:rsidP="00D210F0">
      <w:pPr>
        <w:spacing w:after="60"/>
        <w:rPr>
          <w:rFonts w:cs="Times New Roman"/>
          <w:szCs w:val="24"/>
          <w:lang w:val="sr-Cyrl-CS"/>
        </w:rPr>
      </w:pPr>
      <w:r w:rsidRPr="00092ED7">
        <w:rPr>
          <w:rFonts w:cs="Times New Roman"/>
          <w:szCs w:val="24"/>
          <w:lang w:val="sr-Cyrl-CS"/>
        </w:rPr>
        <w:t xml:space="preserve">Број здравствених установа у приватној својини и приватна пракса последњих година показују растући тренд. Здравствених установа у приватној својини има 163 у 2021. години, док је укупан број приватне праксе 6.244. </w:t>
      </w:r>
      <w:r w:rsidRPr="00092ED7">
        <w:rPr>
          <w:szCs w:val="24"/>
          <w:lang w:val="sr-Cyrl-CS"/>
        </w:rPr>
        <w:t xml:space="preserve">У здравственим установама у приватној својини и приватној пракси ангажовано је </w:t>
      </w:r>
      <w:r w:rsidRPr="00092ED7">
        <w:rPr>
          <w:rFonts w:cs="Times New Roman"/>
          <w:szCs w:val="24"/>
          <w:lang w:val="sr-Cyrl-CS"/>
        </w:rPr>
        <w:t>3.678 лекара и око 5.000 медицинског и немедицинског особља. Процењује се да је око 7.000 консултаната (медицинско особље у јавном сектору) ангажовано у приватној пракси. Између приватних и јавних установа постоји неједнак квалитет пружања услуга</w:t>
      </w:r>
      <w:r w:rsidRPr="00092ED7">
        <w:rPr>
          <w:rStyle w:val="FootnoteReference"/>
          <w:rFonts w:cs="Times New Roman"/>
          <w:szCs w:val="24"/>
          <w:lang w:val="sr-Cyrl-CS"/>
        </w:rPr>
        <w:footnoteReference w:id="215"/>
      </w:r>
      <w:r w:rsidRPr="00092ED7">
        <w:rPr>
          <w:rFonts w:cs="Times New Roman"/>
          <w:szCs w:val="24"/>
          <w:lang w:val="sr-Cyrl-CS"/>
        </w:rPr>
        <w:t xml:space="preserve">. У приватним здравственим установама чекање на преглед пацијената је краће, што све више наводи пацијенте да се одлучују на </w:t>
      </w:r>
      <w:r w:rsidR="00C23826" w:rsidRPr="00092ED7">
        <w:rPr>
          <w:rFonts w:cs="Times New Roman"/>
          <w:szCs w:val="24"/>
          <w:lang w:val="sr-Cyrl-CS"/>
        </w:rPr>
        <w:t xml:space="preserve">овакав </w:t>
      </w:r>
      <w:r w:rsidR="00C103BB" w:rsidRPr="00092ED7">
        <w:rPr>
          <w:rFonts w:cs="Times New Roman"/>
          <w:szCs w:val="24"/>
          <w:lang w:val="sr-Cyrl-CS"/>
        </w:rPr>
        <w:t xml:space="preserve">вид </w:t>
      </w:r>
      <w:r w:rsidRPr="00092ED7">
        <w:rPr>
          <w:rFonts w:cs="Times New Roman"/>
          <w:szCs w:val="24"/>
          <w:lang w:val="sr-Cyrl-CS"/>
        </w:rPr>
        <w:t>преглед</w:t>
      </w:r>
      <w:r w:rsidR="00C103BB" w:rsidRPr="00092ED7">
        <w:rPr>
          <w:rFonts w:cs="Times New Roman"/>
          <w:szCs w:val="24"/>
          <w:lang w:val="sr-Cyrl-CS"/>
        </w:rPr>
        <w:t>а</w:t>
      </w:r>
      <w:r w:rsidRPr="00092ED7">
        <w:rPr>
          <w:rFonts w:cs="Times New Roman"/>
          <w:szCs w:val="24"/>
          <w:lang w:val="sr-Cyrl-CS"/>
        </w:rPr>
        <w:t xml:space="preserve">. Прегледи у приватним установама трају дуже, па се на тај начин лекари могу више посветити пацијентима, што углавном доводи и до бољих резултата код успостављања дијагнозе. </w:t>
      </w:r>
      <w:r w:rsidR="009E0076" w:rsidRPr="00092ED7">
        <w:rPr>
          <w:rFonts w:cs="Times New Roman"/>
          <w:b/>
          <w:szCs w:val="24"/>
          <w:lang w:val="sr-Cyrl-CS"/>
        </w:rPr>
        <w:t>В</w:t>
      </w:r>
      <w:r w:rsidRPr="00092ED7">
        <w:rPr>
          <w:rFonts w:cs="Times New Roman"/>
          <w:b/>
          <w:szCs w:val="24"/>
          <w:lang w:val="sr-Cyrl-CS"/>
        </w:rPr>
        <w:t xml:space="preserve">елики број становника нема могућности да </w:t>
      </w:r>
      <w:r w:rsidR="00663EA2" w:rsidRPr="00092ED7">
        <w:rPr>
          <w:rFonts w:cs="Times New Roman"/>
          <w:b/>
          <w:szCs w:val="24"/>
          <w:lang w:val="sr-Cyrl-CS"/>
        </w:rPr>
        <w:t xml:space="preserve">користи </w:t>
      </w:r>
      <w:r w:rsidRPr="00092ED7">
        <w:rPr>
          <w:rFonts w:cs="Times New Roman"/>
          <w:b/>
          <w:szCs w:val="24"/>
          <w:lang w:val="sr-Cyrl-CS"/>
        </w:rPr>
        <w:t>приватну здравствену заштиту</w:t>
      </w:r>
      <w:r w:rsidR="009E0076" w:rsidRPr="00092ED7">
        <w:rPr>
          <w:rFonts w:cs="Times New Roman"/>
          <w:b/>
          <w:szCs w:val="24"/>
          <w:lang w:val="sr-Cyrl-CS"/>
        </w:rPr>
        <w:t xml:space="preserve"> </w:t>
      </w:r>
      <w:r w:rsidR="009E0076" w:rsidRPr="00092ED7">
        <w:rPr>
          <w:rFonts w:cs="Times New Roman"/>
          <w:szCs w:val="24"/>
          <w:lang w:val="sr-Cyrl-CS"/>
        </w:rPr>
        <w:t>с обзиром на високе цене ових услуга</w:t>
      </w:r>
      <w:r w:rsidRPr="00092ED7">
        <w:rPr>
          <w:rFonts w:cs="Times New Roman"/>
          <w:szCs w:val="24"/>
          <w:lang w:val="sr-Cyrl-CS"/>
        </w:rPr>
        <w:t>.</w:t>
      </w:r>
    </w:p>
    <w:p w14:paraId="7720779C" w14:textId="77777777" w:rsidR="00D210F0" w:rsidRPr="00092ED7" w:rsidRDefault="00D210F0" w:rsidP="00D210F0">
      <w:pPr>
        <w:spacing w:after="60"/>
        <w:rPr>
          <w:rFonts w:cs="Times New Roman"/>
          <w:szCs w:val="24"/>
          <w:lang w:val="sr-Cyrl-CS"/>
        </w:rPr>
      </w:pPr>
      <w:r w:rsidRPr="00092ED7">
        <w:rPr>
          <w:rFonts w:eastAsia="Times New Roman" w:cs="Times New Roman"/>
          <w:b/>
          <w:color w:val="000000"/>
          <w:szCs w:val="24"/>
          <w:lang w:val="sr-Cyrl-CS"/>
        </w:rPr>
        <w:t>Само одређене здравствене услуге</w:t>
      </w:r>
      <w:r w:rsidRPr="00092ED7">
        <w:rPr>
          <w:rFonts w:eastAsia="Times New Roman" w:cs="Times New Roman"/>
          <w:color w:val="000000"/>
          <w:szCs w:val="24"/>
          <w:lang w:val="sr-Cyrl-CS"/>
        </w:rPr>
        <w:t xml:space="preserve"> </w:t>
      </w:r>
      <w:r w:rsidRPr="00092ED7">
        <w:rPr>
          <w:rFonts w:eastAsia="Times New Roman" w:cs="Times New Roman"/>
          <w:b/>
          <w:color w:val="000000"/>
          <w:szCs w:val="24"/>
          <w:lang w:val="sr-Cyrl-CS"/>
        </w:rPr>
        <w:t xml:space="preserve">осигурана лица могу да остваре </w:t>
      </w:r>
      <w:r w:rsidRPr="00092ED7">
        <w:rPr>
          <w:rFonts w:eastAsia="Times New Roman" w:cs="Times New Roman"/>
          <w:b/>
          <w:szCs w:val="24"/>
          <w:lang w:val="sr-Cyrl-CS"/>
        </w:rPr>
        <w:t xml:space="preserve">у здравственим установама у приватној својини и приватној пракси </w:t>
      </w:r>
      <w:r w:rsidRPr="00092ED7">
        <w:rPr>
          <w:rFonts w:eastAsia="Times New Roman" w:cs="Times New Roman"/>
          <w:b/>
          <w:color w:val="000000"/>
          <w:szCs w:val="24"/>
          <w:lang w:val="sr-Cyrl-CS"/>
        </w:rPr>
        <w:t xml:space="preserve">о трошку који се финансира из средстава </w:t>
      </w:r>
      <w:r w:rsidRPr="00092ED7">
        <w:rPr>
          <w:rFonts w:eastAsia="Times New Roman" w:cs="Times New Roman"/>
          <w:b/>
          <w:szCs w:val="24"/>
          <w:lang w:val="sr-Cyrl-CS"/>
        </w:rPr>
        <w:t>обавезног здравственог осигурања.</w:t>
      </w:r>
      <w:r w:rsidRPr="00092ED7">
        <w:rPr>
          <w:rFonts w:eastAsia="Times New Roman" w:cs="Times New Roman"/>
          <w:szCs w:val="24"/>
          <w:lang w:val="sr-Cyrl-CS"/>
        </w:rPr>
        <w:t xml:space="preserve"> То су услуге лечења неплодности, операције катаракте, хемодијализа</w:t>
      </w:r>
      <w:r w:rsidRPr="00092ED7">
        <w:rPr>
          <w:rFonts w:cs="Times New Roman"/>
          <w:szCs w:val="24"/>
          <w:lang w:val="sr-Cyrl-CS"/>
        </w:rPr>
        <w:t>, хипербарична терапија кисеоником, услуге у установама социјалне заштите, услуге у приватним апотекама, различите услуге у установама ван Плана мрежа здравствених установа</w:t>
      </w:r>
      <w:r w:rsidRPr="00092ED7">
        <w:rPr>
          <w:rStyle w:val="FootnoteReference"/>
          <w:rFonts w:cs="Times New Roman"/>
          <w:szCs w:val="24"/>
          <w:lang w:val="sr-Cyrl-CS"/>
        </w:rPr>
        <w:footnoteReference w:id="216"/>
      </w:r>
      <w:r w:rsidRPr="00092ED7">
        <w:rPr>
          <w:rFonts w:cs="Times New Roman"/>
          <w:szCs w:val="24"/>
          <w:lang w:val="sr-Cyrl-CS"/>
        </w:rPr>
        <w:t>.</w:t>
      </w:r>
    </w:p>
    <w:p w14:paraId="3399882B" w14:textId="167F430B" w:rsidR="00D210F0" w:rsidRPr="00092ED7" w:rsidRDefault="00D210F0" w:rsidP="00D210F0">
      <w:pPr>
        <w:spacing w:after="60"/>
        <w:rPr>
          <w:rFonts w:cs="Times New Roman"/>
          <w:color w:val="000000"/>
          <w:szCs w:val="24"/>
          <w:shd w:val="clear" w:color="auto" w:fill="FFFFFF"/>
          <w:lang w:val="sr-Cyrl-CS"/>
        </w:rPr>
      </w:pPr>
      <w:r w:rsidRPr="00092ED7">
        <w:rPr>
          <w:rFonts w:cs="Times New Roman"/>
          <w:b/>
          <w:color w:val="000000"/>
          <w:szCs w:val="24"/>
          <w:shd w:val="clear" w:color="auto" w:fill="FFFFFF"/>
          <w:lang w:val="sr-Cyrl-CS"/>
        </w:rPr>
        <w:t xml:space="preserve">Здравствени систем је успешно ублажио најгоре здравствене утицаје пандемије </w:t>
      </w:r>
      <w:r w:rsidRPr="00092ED7">
        <w:rPr>
          <w:rFonts w:cs="Times New Roman"/>
          <w:color w:val="000000"/>
          <w:szCs w:val="24"/>
          <w:shd w:val="clear" w:color="auto" w:fill="FFFFFF"/>
          <w:lang w:val="sr-Cyrl-CS"/>
        </w:rPr>
        <w:t>током првог таласа. Брзом реакцијом и правовременим епидемиолошким мерама, добро снабдевене државне болнице и висококвалификовано особље омогућили су држави да појача превенцију, дијагностику и лечење и обузда ширење и утицај вируса на здравље. Опрема за личну заштиту</w:t>
      </w:r>
      <w:r w:rsidR="006D08CC" w:rsidRPr="00092ED7">
        <w:rPr>
          <w:rFonts w:cs="Times New Roman"/>
          <w:color w:val="000000"/>
          <w:szCs w:val="24"/>
          <w:shd w:val="clear" w:color="auto" w:fill="FFFFFF"/>
          <w:lang w:val="sr-Cyrl-CS"/>
        </w:rPr>
        <w:t>, вакцине</w:t>
      </w:r>
      <w:r w:rsidRPr="00092ED7">
        <w:rPr>
          <w:rFonts w:cs="Times New Roman"/>
          <w:color w:val="000000"/>
          <w:szCs w:val="24"/>
          <w:shd w:val="clear" w:color="auto" w:fill="FFFFFF"/>
          <w:lang w:val="sr-Cyrl-CS"/>
        </w:rPr>
        <w:t xml:space="preserve"> и остало су брзо обезбеђени, а здравствени радници су прераспоређени у приоритетне службе.</w:t>
      </w:r>
    </w:p>
    <w:p w14:paraId="2409B410" w14:textId="25C92059" w:rsidR="00D210F0" w:rsidRPr="00092ED7" w:rsidRDefault="00D210F0" w:rsidP="00D210F0">
      <w:pPr>
        <w:spacing w:after="60"/>
        <w:rPr>
          <w:rFonts w:cs="Times New Roman"/>
          <w:color w:val="000000"/>
          <w:szCs w:val="24"/>
          <w:shd w:val="clear" w:color="auto" w:fill="FFFFFF"/>
          <w:lang w:val="sr-Cyrl-CS"/>
        </w:rPr>
      </w:pPr>
      <w:r w:rsidRPr="00092ED7">
        <w:rPr>
          <w:rFonts w:eastAsia="Times New Roman" w:cs="Times New Roman"/>
          <w:b/>
          <w:bCs/>
          <w:color w:val="000000"/>
          <w:szCs w:val="24"/>
          <w:lang w:val="sr-Cyrl-CS"/>
        </w:rPr>
        <w:t>Финансијско учешће осигураних лица у остваривању здравствене заштите из сопствених средстава је повећано</w:t>
      </w:r>
      <w:r w:rsidRPr="00092ED7">
        <w:rPr>
          <w:rFonts w:eastAsia="Times New Roman" w:cs="Times New Roman"/>
          <w:color w:val="000000"/>
          <w:szCs w:val="24"/>
          <w:lang w:val="sr-Cyrl-CS"/>
        </w:rPr>
        <w:t xml:space="preserve">. Непланирани трошкови повезани са </w:t>
      </w:r>
      <w:r w:rsidR="007F5867" w:rsidRPr="00092ED7">
        <w:rPr>
          <w:rFonts w:eastAsia="Times New Roman" w:cs="Times New Roman"/>
          <w:color w:val="000000"/>
          <w:szCs w:val="24"/>
          <w:lang w:val="sr-Cyrl-CS"/>
        </w:rPr>
        <w:t xml:space="preserve">пандемијом </w:t>
      </w:r>
      <w:r w:rsidRPr="00092ED7">
        <w:rPr>
          <w:rFonts w:eastAsia="Times New Roman" w:cs="Times New Roman"/>
          <w:color w:val="000000"/>
          <w:szCs w:val="24"/>
          <w:lang w:val="sr-Cyrl-CS"/>
        </w:rPr>
        <w:t xml:space="preserve">утичу на четвртину домаћинства са децом у </w:t>
      </w:r>
      <w:r w:rsidR="007F5867" w:rsidRPr="00092ED7">
        <w:rPr>
          <w:rFonts w:eastAsia="Times New Roman" w:cs="Times New Roman"/>
          <w:color w:val="000000"/>
          <w:szCs w:val="24"/>
          <w:lang w:val="sr-Cyrl-CS"/>
        </w:rPr>
        <w:t xml:space="preserve">Републици </w:t>
      </w:r>
      <w:r w:rsidRPr="00092ED7">
        <w:rPr>
          <w:rFonts w:eastAsia="Times New Roman" w:cs="Times New Roman"/>
          <w:color w:val="000000"/>
          <w:szCs w:val="24"/>
          <w:lang w:val="sr-Cyrl-CS"/>
        </w:rPr>
        <w:t>Србији,</w:t>
      </w:r>
      <w:r w:rsidRPr="00092ED7">
        <w:rPr>
          <w:lang w:val="sr-Cyrl-CS"/>
        </w:rPr>
        <w:t xml:space="preserve"> </w:t>
      </w:r>
      <w:r w:rsidRPr="00092ED7">
        <w:rPr>
          <w:rFonts w:eastAsia="Times New Roman" w:cs="Times New Roman"/>
          <w:color w:val="000000"/>
          <w:szCs w:val="24"/>
          <w:lang w:val="sr-Cyrl-CS"/>
        </w:rPr>
        <w:t>тако што је 77% њихових трошкова повезано са здрављем, резултат је истраживања UNICEF-а</w:t>
      </w:r>
      <w:r w:rsidRPr="00092ED7">
        <w:rPr>
          <w:rStyle w:val="FootnoteReference"/>
          <w:rFonts w:cs="Times New Roman"/>
          <w:color w:val="000000"/>
          <w:szCs w:val="24"/>
          <w:lang w:val="sr-Cyrl-CS"/>
        </w:rPr>
        <w:footnoteReference w:id="217"/>
      </w:r>
      <w:r w:rsidRPr="00092ED7">
        <w:rPr>
          <w:rFonts w:eastAsia="Times New Roman" w:cs="Times New Roman"/>
          <w:color w:val="000000"/>
          <w:szCs w:val="24"/>
          <w:lang w:val="sr-Cyrl-CS"/>
        </w:rPr>
        <w:t xml:space="preserve"> спроведеног почетком 2021. године. За време пандемије, здравствени систем у јавној својини обуставио је све процедуре које нису биле хитне, укључујући дијагностику и лечење. Последично, осигурана лица била су принуђења да се обрате здравственим установама у приватној својини (приватној пракси), што је повећало њихове трошкове лечења, или се нису обраћали за здравствену заштиту уопште, што је повећало ризик од здравствених проблема касније. Поред тога, велики број фармацеутских производа намењених за лечење вируса короне нису била обезбеђена из средстава обавезног здравственог осигурања што је такође подразумевало њихово финансирање из сопствених средстава грађана.</w:t>
      </w:r>
    </w:p>
    <w:p w14:paraId="234D8682" w14:textId="7F9B80E7" w:rsidR="00D210F0" w:rsidRPr="00092ED7" w:rsidRDefault="00D210F0" w:rsidP="00D210F0">
      <w:pPr>
        <w:spacing w:after="60"/>
        <w:rPr>
          <w:rFonts w:cs="Times New Roman"/>
          <w:color w:val="000000"/>
          <w:szCs w:val="24"/>
          <w:shd w:val="clear" w:color="auto" w:fill="FFFFFF"/>
          <w:lang w:val="sr-Cyrl-CS"/>
        </w:rPr>
      </w:pPr>
      <w:r w:rsidRPr="00092ED7">
        <w:rPr>
          <w:rFonts w:cs="Times New Roman"/>
          <w:b/>
          <w:color w:val="000000"/>
          <w:szCs w:val="24"/>
          <w:shd w:val="clear" w:color="auto" w:fill="FFFFFF"/>
          <w:lang w:val="sr-Cyrl-CS"/>
        </w:rPr>
        <w:t xml:space="preserve">За даљи напредак здравственог система </w:t>
      </w:r>
      <w:r w:rsidR="0079401D" w:rsidRPr="00092ED7">
        <w:rPr>
          <w:rFonts w:cs="Times New Roman"/>
          <w:b/>
          <w:color w:val="000000"/>
          <w:szCs w:val="24"/>
          <w:shd w:val="clear" w:color="auto" w:fill="FFFFFF"/>
          <w:lang w:val="sr-Cyrl-CS"/>
        </w:rPr>
        <w:t xml:space="preserve">Републике </w:t>
      </w:r>
      <w:r w:rsidRPr="00092ED7">
        <w:rPr>
          <w:rFonts w:cs="Times New Roman"/>
          <w:b/>
          <w:color w:val="000000"/>
          <w:szCs w:val="24"/>
          <w:shd w:val="clear" w:color="auto" w:fill="FFFFFF"/>
          <w:lang w:val="sr-Cyrl-CS"/>
        </w:rPr>
        <w:t>Србије</w:t>
      </w:r>
      <w:r w:rsidRPr="00092ED7">
        <w:rPr>
          <w:rFonts w:cs="Times New Roman"/>
          <w:color w:val="000000"/>
          <w:szCs w:val="24"/>
          <w:shd w:val="clear" w:color="auto" w:fill="FFFFFF"/>
          <w:lang w:val="sr-Cyrl-CS"/>
        </w:rPr>
        <w:t xml:space="preserve"> </w:t>
      </w:r>
      <w:r w:rsidR="00D2730E" w:rsidRPr="00092ED7">
        <w:rPr>
          <w:rFonts w:cs="Times New Roman"/>
          <w:b/>
          <w:color w:val="000000"/>
          <w:szCs w:val="24"/>
          <w:shd w:val="clear" w:color="auto" w:fill="FFFFFF"/>
          <w:lang w:val="sr-Cyrl-CS"/>
        </w:rPr>
        <w:t xml:space="preserve">улажу се </w:t>
      </w:r>
      <w:r w:rsidRPr="00092ED7">
        <w:rPr>
          <w:rFonts w:cs="Times New Roman"/>
          <w:b/>
          <w:color w:val="000000"/>
          <w:szCs w:val="24"/>
          <w:shd w:val="clear" w:color="auto" w:fill="FFFFFF"/>
          <w:lang w:val="sr-Cyrl-CS"/>
        </w:rPr>
        <w:t>додатна финансијска средства</w:t>
      </w:r>
      <w:r w:rsidRPr="00092ED7">
        <w:rPr>
          <w:rFonts w:cs="Times New Roman"/>
          <w:color w:val="000000"/>
          <w:szCs w:val="24"/>
          <w:shd w:val="clear" w:color="auto" w:fill="FFFFFF"/>
          <w:lang w:val="sr-Cyrl-CS"/>
        </w:rPr>
        <w:t xml:space="preserve"> у реконструкцију здравствених објеката и </w:t>
      </w:r>
      <w:r w:rsidRPr="00092ED7">
        <w:rPr>
          <w:rFonts w:cs="Times New Roman"/>
          <w:b/>
          <w:color w:val="000000"/>
          <w:szCs w:val="24"/>
          <w:shd w:val="clear" w:color="auto" w:fill="FFFFFF"/>
          <w:lang w:val="sr-Cyrl-CS"/>
        </w:rPr>
        <w:t>набавку најсавременије технике и технологије</w:t>
      </w:r>
      <w:r w:rsidRPr="00092ED7">
        <w:rPr>
          <w:rFonts w:cs="Times New Roman"/>
          <w:color w:val="000000"/>
          <w:szCs w:val="24"/>
          <w:shd w:val="clear" w:color="auto" w:fill="FFFFFF"/>
          <w:lang w:val="sr-Cyrl-CS"/>
        </w:rPr>
        <w:t xml:space="preserve"> из области медицинских наука, како би се обезбедили </w:t>
      </w:r>
      <w:r w:rsidRPr="00092ED7">
        <w:rPr>
          <w:rFonts w:cs="Times New Roman"/>
          <w:b/>
          <w:color w:val="000000"/>
          <w:szCs w:val="24"/>
          <w:shd w:val="clear" w:color="auto" w:fill="FFFFFF"/>
          <w:lang w:val="sr-Cyrl-CS"/>
        </w:rPr>
        <w:t>повољнији услови за рад</w:t>
      </w:r>
      <w:r w:rsidRPr="00092ED7">
        <w:rPr>
          <w:rFonts w:cs="Times New Roman"/>
          <w:color w:val="000000"/>
          <w:szCs w:val="24"/>
          <w:shd w:val="clear" w:color="auto" w:fill="FFFFFF"/>
          <w:lang w:val="sr-Cyrl-CS"/>
        </w:rPr>
        <w:t xml:space="preserve">, али и </w:t>
      </w:r>
      <w:r w:rsidRPr="00092ED7">
        <w:rPr>
          <w:rFonts w:cs="Times New Roman"/>
          <w:b/>
          <w:color w:val="000000"/>
          <w:szCs w:val="24"/>
          <w:shd w:val="clear" w:color="auto" w:fill="FFFFFF"/>
          <w:lang w:val="sr-Cyrl-CS"/>
        </w:rPr>
        <w:t>запошљавање младих стручњака</w:t>
      </w:r>
      <w:r w:rsidRPr="00092ED7">
        <w:rPr>
          <w:rFonts w:cs="Times New Roman"/>
          <w:color w:val="000000"/>
          <w:szCs w:val="24"/>
          <w:shd w:val="clear" w:color="auto" w:fill="FFFFFF"/>
          <w:lang w:val="sr-Cyrl-CS"/>
        </w:rPr>
        <w:t xml:space="preserve"> односно спречио њихов одлазак из земље.</w:t>
      </w:r>
    </w:p>
    <w:p w14:paraId="702DE1A5" w14:textId="73233212" w:rsidR="00D210F0" w:rsidRPr="00092ED7" w:rsidRDefault="00D210F0" w:rsidP="00D210F0">
      <w:pPr>
        <w:spacing w:after="60"/>
        <w:rPr>
          <w:rFonts w:eastAsia="Times New Roman" w:cs="Times New Roman"/>
          <w:szCs w:val="24"/>
          <w:lang w:val="sr-Cyrl-CS"/>
        </w:rPr>
      </w:pPr>
      <w:r w:rsidRPr="00092ED7">
        <w:rPr>
          <w:b/>
          <w:szCs w:val="24"/>
          <w:lang w:val="sr-Cyrl-CS"/>
        </w:rPr>
        <w:t xml:space="preserve">Као </w:t>
      </w:r>
      <w:r w:rsidRPr="00092ED7">
        <w:rPr>
          <w:rFonts w:eastAsia="Times New Roman" w:cs="Times New Roman"/>
          <w:b/>
          <w:color w:val="000000"/>
          <w:szCs w:val="24"/>
          <w:lang w:val="sr-Cyrl-CS"/>
        </w:rPr>
        <w:t xml:space="preserve">последица </w:t>
      </w:r>
      <w:r w:rsidRPr="00092ED7">
        <w:rPr>
          <w:b/>
          <w:szCs w:val="24"/>
          <w:lang w:val="sr-Cyrl-CS"/>
        </w:rPr>
        <w:t>ниских улагања у здравству деценијама уназад, опремљеност здравствених установа</w:t>
      </w:r>
      <w:r w:rsidRPr="00092ED7">
        <w:rPr>
          <w:rFonts w:eastAsia="Times New Roman" w:cs="Times New Roman"/>
          <w:color w:val="000000"/>
          <w:szCs w:val="24"/>
          <w:lang w:val="sr-Cyrl-CS"/>
        </w:rPr>
        <w:t xml:space="preserve"> </w:t>
      </w:r>
      <w:r w:rsidRPr="00092ED7">
        <w:rPr>
          <w:rFonts w:eastAsia="Times New Roman" w:cs="Times New Roman"/>
          <w:b/>
          <w:color w:val="000000"/>
          <w:szCs w:val="24"/>
          <w:lang w:val="sr-Cyrl-CS"/>
        </w:rPr>
        <w:t xml:space="preserve">у јавној својини дијагностичким медицинским апаратима је </w:t>
      </w:r>
      <w:r w:rsidRPr="00092ED7">
        <w:rPr>
          <w:b/>
          <w:szCs w:val="24"/>
          <w:lang w:val="sr-Cyrl-CS"/>
        </w:rPr>
        <w:t>недовољна.</w:t>
      </w:r>
      <w:r w:rsidRPr="00092ED7">
        <w:rPr>
          <w:szCs w:val="24"/>
          <w:lang w:val="sr-Cyrl-CS"/>
        </w:rPr>
        <w:t xml:space="preserve"> Међутим, то се последњих година мења. Набављено је </w:t>
      </w:r>
      <w:r w:rsidRPr="00092ED7">
        <w:rPr>
          <w:rFonts w:eastAsia="Times New Roman" w:cs="Times New Roman"/>
          <w:szCs w:val="24"/>
          <w:lang w:val="sr-Cyrl-CS"/>
        </w:rPr>
        <w:t xml:space="preserve">135 рендген апарата и 55 </w:t>
      </w:r>
      <w:r w:rsidR="0079401D" w:rsidRPr="00092ED7">
        <w:rPr>
          <w:rFonts w:eastAsia="Times New Roman" w:cs="Times New Roman"/>
          <w:szCs w:val="24"/>
          <w:lang w:val="sr-Cyrl-CS"/>
        </w:rPr>
        <w:t xml:space="preserve">CT </w:t>
      </w:r>
      <w:r w:rsidRPr="00092ED7">
        <w:rPr>
          <w:rFonts w:eastAsia="Times New Roman" w:cs="Times New Roman"/>
          <w:szCs w:val="24"/>
          <w:lang w:val="sr-Cyrl-CS"/>
        </w:rPr>
        <w:t>скенера</w:t>
      </w:r>
      <w:r w:rsidRPr="00092ED7">
        <w:rPr>
          <w:rFonts w:cs="Times New Roman"/>
          <w:szCs w:val="24"/>
          <w:lang w:val="sr-Cyrl-CS"/>
        </w:rPr>
        <w:t xml:space="preserve"> за 167 здравствених установа </w:t>
      </w:r>
      <w:r w:rsidRPr="00092ED7">
        <w:rPr>
          <w:rFonts w:eastAsia="Times New Roman" w:cs="Times New Roman"/>
          <w:szCs w:val="24"/>
          <w:lang w:val="sr-Cyrl-CS"/>
        </w:rPr>
        <w:t xml:space="preserve">и </w:t>
      </w:r>
      <w:r w:rsidR="0079401D" w:rsidRPr="00092ED7">
        <w:rPr>
          <w:rFonts w:eastAsia="Times New Roman" w:cs="Times New Roman"/>
          <w:szCs w:val="24"/>
          <w:lang w:val="sr-Cyrl-CS"/>
        </w:rPr>
        <w:t xml:space="preserve">четири </w:t>
      </w:r>
      <w:r w:rsidRPr="00092ED7">
        <w:rPr>
          <w:rFonts w:eastAsia="Times New Roman" w:cs="Times New Roman"/>
          <w:szCs w:val="24"/>
          <w:lang w:val="sr-Cyrl-CS"/>
        </w:rPr>
        <w:t>линеарна акцелератора најновије генерације са циљем замене дотрајалих уређаја у радиотерапијским центрима, у првој половини 2022. године. Обезбеђена је и едукација здравствених радника за коришћење напредних могућности ове дијагностике. Такође, набављено је и</w:t>
      </w:r>
      <w:r w:rsidRPr="00092ED7">
        <w:rPr>
          <w:szCs w:val="24"/>
          <w:lang w:val="sr-Cyrl-CS"/>
        </w:rPr>
        <w:t xml:space="preserve"> 329 санитетских возила за здравствене центре.</w:t>
      </w:r>
    </w:p>
    <w:p w14:paraId="2B366E87" w14:textId="28E25565" w:rsidR="00D210F0" w:rsidRPr="00092ED7" w:rsidRDefault="00D210F0" w:rsidP="00D210F0">
      <w:pPr>
        <w:spacing w:after="60"/>
        <w:rPr>
          <w:szCs w:val="24"/>
          <w:lang w:val="sr-Cyrl-CS"/>
        </w:rPr>
      </w:pPr>
      <w:r w:rsidRPr="00092ED7">
        <w:rPr>
          <w:b/>
          <w:szCs w:val="24"/>
          <w:lang w:val="sr-Cyrl-CS"/>
        </w:rPr>
        <w:t xml:space="preserve">Унапређује се инфаструктура у здравству. </w:t>
      </w:r>
      <w:r w:rsidRPr="00092ED7">
        <w:rPr>
          <w:szCs w:val="24"/>
          <w:lang w:val="sr-Cyrl-CS"/>
        </w:rPr>
        <w:t>Доградња и реконструкција Клиничког центра Србије</w:t>
      </w:r>
      <w:r w:rsidRPr="00092ED7">
        <w:rPr>
          <w:rStyle w:val="FootnoteReference"/>
          <w:szCs w:val="24"/>
          <w:lang w:val="sr-Cyrl-CS"/>
        </w:rPr>
        <w:footnoteReference w:id="218"/>
      </w:r>
      <w:r w:rsidRPr="00092ED7">
        <w:rPr>
          <w:szCs w:val="24"/>
          <w:lang w:val="sr-Cyrl-CS"/>
        </w:rPr>
        <w:t xml:space="preserve"> у Београду је окончана, </w:t>
      </w:r>
      <w:r w:rsidRPr="00092ED7">
        <w:rPr>
          <w:rFonts w:cs="Times New Roman"/>
          <w:szCs w:val="24"/>
          <w:lang w:val="sr-Cyrl-CS"/>
        </w:rPr>
        <w:t>у К</w:t>
      </w:r>
      <w:r w:rsidR="0079401D" w:rsidRPr="00092ED7">
        <w:rPr>
          <w:rFonts w:cs="Times New Roman"/>
          <w:szCs w:val="24"/>
          <w:lang w:val="sr-Cyrl-CS"/>
        </w:rPr>
        <w:t>линичком центру</w:t>
      </w:r>
      <w:r w:rsidRPr="00092ED7">
        <w:rPr>
          <w:rFonts w:cs="Times New Roman"/>
          <w:szCs w:val="24"/>
          <w:lang w:val="sr-Cyrl-CS"/>
        </w:rPr>
        <w:t xml:space="preserve"> </w:t>
      </w:r>
      <w:r w:rsidRPr="00092ED7">
        <w:rPr>
          <w:rFonts w:cs="Times New Roman"/>
          <w:szCs w:val="24"/>
          <w:shd w:val="clear" w:color="auto" w:fill="FFFFFF"/>
          <w:lang w:val="sr-Cyrl-CS"/>
        </w:rPr>
        <w:t>Војводине у Новом Саду завршена прва фаза изградње објекта</w:t>
      </w:r>
      <w:r w:rsidRPr="00092ED7">
        <w:rPr>
          <w:szCs w:val="24"/>
          <w:lang w:val="sr-Cyrl-CS"/>
        </w:rPr>
        <w:t>, док је реконструкција Клинике за инфективне и тропске болести „Проф. др Коста Тодоровић</w:t>
      </w:r>
      <w:r w:rsidR="00066F2C" w:rsidRPr="00092ED7">
        <w:rPr>
          <w:rFonts w:cs="Times New Roman"/>
          <w:szCs w:val="24"/>
          <w:lang w:val="sr-Cyrl-CS"/>
        </w:rPr>
        <w:t>”</w:t>
      </w:r>
      <w:r w:rsidRPr="00092ED7">
        <w:rPr>
          <w:szCs w:val="24"/>
          <w:lang w:val="sr-Cyrl-CS"/>
        </w:rPr>
        <w:t xml:space="preserve"> у току.</w:t>
      </w:r>
    </w:p>
    <w:p w14:paraId="623B06FC" w14:textId="674F18EA" w:rsidR="00D210F0" w:rsidRPr="00092ED7" w:rsidRDefault="00D210F0" w:rsidP="00D210F0">
      <w:pPr>
        <w:spacing w:after="60"/>
        <w:rPr>
          <w:szCs w:val="24"/>
          <w:lang w:val="sr-Cyrl-CS"/>
        </w:rPr>
      </w:pPr>
      <w:r w:rsidRPr="00092ED7">
        <w:rPr>
          <w:rFonts w:cs="Times New Roman"/>
          <w:b/>
          <w:bCs/>
          <w:color w:val="000000"/>
          <w:szCs w:val="24"/>
          <w:shd w:val="clear" w:color="auto" w:fill="FFFFFF"/>
          <w:lang w:val="sr-Cyrl-CS"/>
        </w:rPr>
        <w:t xml:space="preserve">Одлив медицинских кадрова из здравствених установа у иностранство или недостатак кадрова услед природног одласка лекара у пензију, представља изазов који је и даље присутан. </w:t>
      </w:r>
      <w:r w:rsidRPr="00092ED7">
        <w:rPr>
          <w:szCs w:val="24"/>
          <w:lang w:val="sr-Cyrl-CS"/>
        </w:rPr>
        <w:t>Настављена је реализација „Програма запошљавања најуспешнијих дипломаца медицинских факултета и средњих школа</w:t>
      </w:r>
      <w:r w:rsidR="00066F2C" w:rsidRPr="00092ED7">
        <w:rPr>
          <w:rFonts w:cs="Times New Roman"/>
          <w:szCs w:val="24"/>
          <w:lang w:val="sr-Cyrl-CS"/>
        </w:rPr>
        <w:t>”</w:t>
      </w:r>
      <w:r w:rsidRPr="00092ED7">
        <w:rPr>
          <w:szCs w:val="24"/>
          <w:lang w:val="sr-Cyrl-CS"/>
        </w:rPr>
        <w:t>, тако да је 630 дипломаца-лекара и 250 медицинских сестара добило запослење, као и прилику за бесплатно стручно усавршавање, у првој половини 2022. године.</w:t>
      </w:r>
    </w:p>
    <w:p w14:paraId="0D87D880" w14:textId="77777777" w:rsidR="00D210F0" w:rsidRPr="00092ED7" w:rsidRDefault="00D210F0" w:rsidP="00D210F0">
      <w:pPr>
        <w:spacing w:after="60"/>
        <w:rPr>
          <w:szCs w:val="24"/>
          <w:lang w:val="sr-Cyrl-CS"/>
        </w:rPr>
      </w:pPr>
      <w:r w:rsidRPr="00092ED7">
        <w:rPr>
          <w:rFonts w:cs="Times New Roman"/>
          <w:b/>
          <w:bCs/>
          <w:szCs w:val="24"/>
          <w:lang w:val="sr-Cyrl-CS"/>
        </w:rPr>
        <w:t>Број осигураних лица на листама чекања константно је у порасту.</w:t>
      </w:r>
      <w:r w:rsidRPr="00092ED7">
        <w:rPr>
          <w:rFonts w:eastAsia="Times New Roman" w:cs="Times New Roman"/>
          <w:color w:val="000000"/>
          <w:szCs w:val="24"/>
          <w:lang w:val="sr-Cyrl-CS"/>
        </w:rPr>
        <w:t xml:space="preserve"> </w:t>
      </w:r>
      <w:r w:rsidRPr="00092ED7">
        <w:rPr>
          <w:b/>
          <w:bCs/>
          <w:szCs w:val="24"/>
          <w:lang w:val="sr-Cyrl-CS"/>
        </w:rPr>
        <w:t>Јединствена листа чекања</w:t>
      </w:r>
      <w:r w:rsidRPr="00092ED7">
        <w:rPr>
          <w:szCs w:val="24"/>
          <w:lang w:val="sr-Cyrl-CS"/>
        </w:rPr>
        <w:t xml:space="preserve"> се за 26 здравствених услуга ажурира на дневној бази и објављује на сајту РФЗО</w:t>
      </w:r>
      <w:r w:rsidRPr="00092ED7">
        <w:rPr>
          <w:szCs w:val="24"/>
          <w:vertAlign w:val="superscript"/>
          <w:lang w:val="sr-Cyrl-CS"/>
        </w:rPr>
        <w:footnoteReference w:id="219"/>
      </w:r>
      <w:r w:rsidRPr="00092ED7">
        <w:rPr>
          <w:szCs w:val="24"/>
          <w:lang w:val="sr-Cyrl-CS"/>
        </w:rPr>
        <w:t xml:space="preserve">, а укупан број лица на овој листи је нешто више од </w:t>
      </w:r>
      <w:r w:rsidRPr="00092ED7">
        <w:rPr>
          <w:b/>
          <w:bCs/>
          <w:szCs w:val="24"/>
          <w:lang w:val="sr-Cyrl-CS"/>
        </w:rPr>
        <w:t>61 хиљаде</w:t>
      </w:r>
      <w:r w:rsidRPr="00092ED7">
        <w:rPr>
          <w:szCs w:val="24"/>
          <w:lang w:val="sr-Cyrl-CS"/>
        </w:rPr>
        <w:t xml:space="preserve"> крајем </w:t>
      </w:r>
      <w:r w:rsidRPr="00092ED7">
        <w:rPr>
          <w:b/>
          <w:bCs/>
          <w:szCs w:val="24"/>
          <w:lang w:val="sr-Cyrl-CS"/>
        </w:rPr>
        <w:t>октобра 2022</w:t>
      </w:r>
      <w:r w:rsidRPr="00092ED7">
        <w:rPr>
          <w:szCs w:val="24"/>
          <w:lang w:val="sr-Cyrl-CS"/>
        </w:rPr>
        <w:t>. године.</w:t>
      </w:r>
    </w:p>
    <w:p w14:paraId="2F897002" w14:textId="5D4082A2" w:rsidR="00D210F0" w:rsidRPr="00092ED7" w:rsidRDefault="00D210F0" w:rsidP="00D210F0">
      <w:pPr>
        <w:spacing w:after="60"/>
        <w:rPr>
          <w:szCs w:val="24"/>
          <w:lang w:val="sr-Cyrl-CS"/>
        </w:rPr>
      </w:pPr>
      <w:r w:rsidRPr="00092ED7">
        <w:rPr>
          <w:rFonts w:cs="Times New Roman"/>
          <w:b/>
          <w:noProof/>
          <w:szCs w:val="24"/>
          <w:lang w:val="sr-Cyrl-CS"/>
        </w:rPr>
        <w:t xml:space="preserve">Иако је институционални оквир система здравствене заштите који се односи на здравствене установе у јавној својини добро развијен, неопходан је његов даљи развој како би се осигурала одрживост и ефикасност. </w:t>
      </w:r>
      <w:r w:rsidRPr="00092ED7">
        <w:rPr>
          <w:bCs/>
          <w:szCs w:val="24"/>
          <w:lang w:val="sr-Cyrl-CS"/>
        </w:rPr>
        <w:t xml:space="preserve">Израда </w:t>
      </w:r>
      <w:r w:rsidRPr="00092ED7">
        <w:rPr>
          <w:bCs/>
          <w:i/>
          <w:szCs w:val="24"/>
          <w:lang w:val="sr-Cyrl-CS"/>
        </w:rPr>
        <w:t>Плана оптимизације мреже установа здравствене заштите (Мастерплан здравства)</w:t>
      </w:r>
      <w:r w:rsidRPr="00092ED7">
        <w:rPr>
          <w:bCs/>
          <w:szCs w:val="24"/>
          <w:lang w:val="sr-Cyrl-CS"/>
        </w:rPr>
        <w:t xml:space="preserve"> покренута је 2019. године, са циљем побољшања квалитета, приступачности и ефикасности здравствене заштите, уз значајне уштеде и повећање економске ефикасности националног здравственог буџета, по узору на најбоље међународне праксе уз уважавање ситуације на терену у </w:t>
      </w:r>
      <w:r w:rsidR="007F5867" w:rsidRPr="00092ED7">
        <w:rPr>
          <w:bCs/>
          <w:szCs w:val="24"/>
          <w:lang w:val="sr-Cyrl-CS"/>
        </w:rPr>
        <w:t xml:space="preserve">Републици </w:t>
      </w:r>
      <w:r w:rsidRPr="00092ED7">
        <w:rPr>
          <w:bCs/>
          <w:szCs w:val="24"/>
          <w:lang w:val="sr-Cyrl-CS"/>
        </w:rPr>
        <w:t>Србији.</w:t>
      </w:r>
      <w:r w:rsidRPr="00092ED7">
        <w:rPr>
          <w:rFonts w:cs="Times New Roman"/>
          <w:szCs w:val="24"/>
          <w:lang w:val="sr-Cyrl-CS"/>
        </w:rPr>
        <w:t xml:space="preserve"> Планира се оптимизација капацитета здравствених установа у јавној својини, односно </w:t>
      </w:r>
      <w:r w:rsidRPr="00092ED7">
        <w:rPr>
          <w:szCs w:val="24"/>
          <w:lang w:val="sr-Cyrl-CS"/>
        </w:rPr>
        <w:t>приближавање места пружања услуге пацијенту на примарном нивоу здравствене заштите, повећање ефикасности здравствених установа (побољшати инфраструктуру и обезбедити интероперабилност различитих нивоа здравствене заштите), као и побољшање квалитета здравствених услуга, уз одрживост здравственог система</w:t>
      </w:r>
      <w:r w:rsidRPr="00092ED7">
        <w:rPr>
          <w:rStyle w:val="FootnoteReference"/>
          <w:szCs w:val="24"/>
          <w:lang w:val="sr-Cyrl-CS"/>
        </w:rPr>
        <w:footnoteReference w:id="220"/>
      </w:r>
      <w:r w:rsidRPr="00092ED7">
        <w:rPr>
          <w:szCs w:val="24"/>
          <w:lang w:val="sr-Cyrl-CS"/>
        </w:rPr>
        <w:t>.</w:t>
      </w:r>
    </w:p>
    <w:p w14:paraId="469AB778" w14:textId="485F5948" w:rsidR="00D210F0" w:rsidRPr="00092ED7" w:rsidRDefault="00D210F0" w:rsidP="00D210F0">
      <w:pPr>
        <w:spacing w:after="60"/>
        <w:rPr>
          <w:rFonts w:cs="Times New Roman"/>
          <w:bCs/>
          <w:color w:val="000000"/>
          <w:szCs w:val="24"/>
          <w:lang w:val="sr-Cyrl-CS"/>
        </w:rPr>
      </w:pPr>
      <w:r w:rsidRPr="00092ED7">
        <w:rPr>
          <w:b/>
          <w:bCs/>
          <w:szCs w:val="24"/>
          <w:lang w:val="sr-Cyrl-CS"/>
        </w:rPr>
        <w:t xml:space="preserve">Систем здравствене заштите у целини се може унапредити </w:t>
      </w:r>
      <w:r w:rsidRPr="00092ED7">
        <w:rPr>
          <w:rFonts w:cs="Times New Roman"/>
          <w:b/>
          <w:bCs/>
          <w:color w:val="000000"/>
          <w:szCs w:val="24"/>
          <w:lang w:val="sr-Cyrl-CS"/>
        </w:rPr>
        <w:t xml:space="preserve">међусобним повезивањем свих здравствених установа софтверским решењима која ће омогућити брзу и безбедну размену података. </w:t>
      </w:r>
      <w:r w:rsidRPr="00092ED7">
        <w:rPr>
          <w:rFonts w:cs="Times New Roman"/>
          <w:bCs/>
          <w:color w:val="000000"/>
          <w:szCs w:val="24"/>
          <w:lang w:val="sr-Cyrl-CS"/>
        </w:rPr>
        <w:t xml:space="preserve">Усвојен је </w:t>
      </w:r>
      <w:r w:rsidRPr="00092ED7">
        <w:rPr>
          <w:rFonts w:cs="Times New Roman"/>
          <w:bCs/>
          <w:i/>
          <w:color w:val="000000"/>
          <w:szCs w:val="24"/>
          <w:lang w:val="sr-Cyrl-CS"/>
        </w:rPr>
        <w:t xml:space="preserve">Програм дигитализације </w:t>
      </w:r>
      <w:bookmarkStart w:id="97" w:name="_Hlk112671526"/>
      <w:r w:rsidRPr="00092ED7">
        <w:rPr>
          <w:rFonts w:cs="Times New Roman"/>
          <w:bCs/>
          <w:i/>
          <w:color w:val="000000"/>
          <w:szCs w:val="24"/>
          <w:lang w:val="sr-Cyrl-CS"/>
        </w:rPr>
        <w:t>у здравственом систему Републике Србије за период 2022.–2026. годин</w:t>
      </w:r>
      <w:bookmarkEnd w:id="97"/>
      <w:r w:rsidRPr="00092ED7">
        <w:rPr>
          <w:rFonts w:cs="Times New Roman"/>
          <w:bCs/>
          <w:i/>
          <w:color w:val="000000"/>
          <w:szCs w:val="24"/>
          <w:lang w:val="sr-Cyrl-CS"/>
        </w:rPr>
        <w:t>а</w:t>
      </w:r>
      <w:r w:rsidRPr="00092ED7">
        <w:rPr>
          <w:rFonts w:cs="Times New Roman"/>
          <w:bCs/>
          <w:color w:val="000000"/>
          <w:szCs w:val="24"/>
          <w:lang w:val="sr-Cyrl-CS"/>
        </w:rPr>
        <w:t xml:space="preserve"> у фебруару 2022. године, као и </w:t>
      </w:r>
      <w:r w:rsidRPr="00092ED7">
        <w:rPr>
          <w:rFonts w:cs="Times New Roman"/>
          <w:bCs/>
          <w:i/>
          <w:color w:val="000000"/>
          <w:szCs w:val="24"/>
          <w:lang w:val="sr-Cyrl-CS"/>
        </w:rPr>
        <w:t>Акциони план за период 2022.-2023. година</w:t>
      </w:r>
      <w:r w:rsidRPr="00092ED7">
        <w:rPr>
          <w:rFonts w:cs="Times New Roman"/>
          <w:bCs/>
          <w:color w:val="000000"/>
          <w:szCs w:val="24"/>
          <w:lang w:val="sr-Cyrl-CS"/>
        </w:rPr>
        <w:t xml:space="preserve"> за спровођење овог Програма у мају 2022. године. Сваки пацијент ће имати јединствени електронски здравствени картон</w:t>
      </w:r>
      <w:r w:rsidR="0079401D" w:rsidRPr="00092ED7">
        <w:rPr>
          <w:rFonts w:cs="Times New Roman"/>
          <w:bCs/>
          <w:color w:val="000000"/>
          <w:szCs w:val="24"/>
          <w:lang w:val="sr-Cyrl-CS"/>
        </w:rPr>
        <w:t xml:space="preserve"> (у даљем тексту: ЈЕЗК)</w:t>
      </w:r>
      <w:r w:rsidRPr="00092ED7">
        <w:rPr>
          <w:rFonts w:cs="Times New Roman"/>
          <w:bCs/>
          <w:color w:val="000000"/>
          <w:szCs w:val="24"/>
          <w:lang w:val="sr-Cyrl-CS"/>
        </w:rPr>
        <w:t>, у који ће моћи да приступе сви здравствени радници којима се пацијент обрати. Тиме се омогућава сагледавање комплетног здравственог стања сваког пацијента и скраћење пута ка коначној дијагностици, чиме се унапређују резултати лечења и повећава задовољство пацијента, као крајњег корисника здравствене заштите.</w:t>
      </w:r>
    </w:p>
    <w:p w14:paraId="387D6005" w14:textId="77777777" w:rsidR="00D210F0" w:rsidRPr="00092ED7" w:rsidRDefault="00D210F0" w:rsidP="00D210F0">
      <w:pPr>
        <w:spacing w:after="60"/>
        <w:rPr>
          <w:rFonts w:cs="Times New Roman"/>
          <w:bCs/>
          <w:color w:val="000000"/>
          <w:szCs w:val="24"/>
          <w:lang w:val="sr-Cyrl-CS"/>
        </w:rPr>
      </w:pPr>
      <w:r w:rsidRPr="00092ED7">
        <w:rPr>
          <w:szCs w:val="24"/>
          <w:lang w:val="sr-Cyrl-CS"/>
        </w:rPr>
        <w:t xml:space="preserve">До сада је на </w:t>
      </w:r>
      <w:r w:rsidRPr="00092ED7">
        <w:rPr>
          <w:b/>
          <w:szCs w:val="24"/>
          <w:lang w:val="sr-Cyrl-CS"/>
        </w:rPr>
        <w:t>е-Картон</w:t>
      </w:r>
      <w:r w:rsidRPr="00092ED7">
        <w:rPr>
          <w:szCs w:val="24"/>
          <w:lang w:val="sr-Cyrl-CS"/>
        </w:rPr>
        <w:t xml:space="preserve"> повезана 278 здравствена установа (од планираних 326). Пилот тестирање платформе </w:t>
      </w:r>
      <w:r w:rsidRPr="00092ED7">
        <w:rPr>
          <w:b/>
          <w:szCs w:val="24"/>
          <w:lang w:val="sr-Cyrl-CS"/>
        </w:rPr>
        <w:t>еБоловањ</w:t>
      </w:r>
      <w:r w:rsidRPr="00092ED7">
        <w:rPr>
          <w:szCs w:val="24"/>
          <w:lang w:val="sr-Cyrl-CS"/>
        </w:rPr>
        <w:t xml:space="preserve">е отпочело је у пар установа, након чега ће сервис бити у функцији у свим здравственим установама примарног нивоа здравствене заштите. Даљи развој иде у правцу успостављања централног система за прикупљање података из свих лабораторијских система и њихова дистрибуција. Такође, планира се и проширење имплементације </w:t>
      </w:r>
      <w:r w:rsidRPr="00092ED7">
        <w:rPr>
          <w:b/>
          <w:szCs w:val="24"/>
          <w:lang w:val="sr-Cyrl-CS"/>
        </w:rPr>
        <w:t>еРецепта</w:t>
      </w:r>
      <w:r w:rsidRPr="00092ED7">
        <w:rPr>
          <w:szCs w:val="24"/>
          <w:lang w:val="sr-Cyrl-CS"/>
        </w:rPr>
        <w:t xml:space="preserve"> за специјалисте, као и увођење система провере интеракције лекова и система подршке доношењу клиничких одлука. Започет је пројекат </w:t>
      </w:r>
      <w:r w:rsidRPr="00092ED7">
        <w:rPr>
          <w:rFonts w:eastAsia="Times New Roman" w:cs="Times New Roman"/>
          <w:szCs w:val="24"/>
          <w:lang w:val="sr-Cyrl-CS"/>
        </w:rPr>
        <w:t>интеграције приватног здравственог сектора у систем еРецепт, чиме ће се приватним здравственим установама омогућити да издају рецепте електронским путем.</w:t>
      </w:r>
    </w:p>
    <w:p w14:paraId="3CD96919"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б) Реформе</w:t>
      </w:r>
    </w:p>
    <w:p w14:paraId="7BA1B048" w14:textId="77777777" w:rsidR="00D210F0" w:rsidRPr="00092ED7" w:rsidRDefault="00D210F0" w:rsidP="00D210F0">
      <w:pPr>
        <w:spacing w:after="60"/>
        <w:rPr>
          <w:bCs/>
          <w:lang w:val="sr-Cyrl-CS"/>
        </w:rPr>
      </w:pPr>
      <w:r w:rsidRPr="00092ED7">
        <w:rPr>
          <w:b/>
          <w:bCs/>
          <w:u w:val="single"/>
          <w:lang w:val="sr-Cyrl-CS"/>
        </w:rPr>
        <w:t>СТРУКТУРНА РЕФОРМА 22</w:t>
      </w:r>
      <w:r w:rsidRPr="00092ED7">
        <w:rPr>
          <w:b/>
          <w:bCs/>
          <w:lang w:val="sr-Cyrl-CS"/>
        </w:rPr>
        <w:t xml:space="preserve">: </w:t>
      </w:r>
      <w:r w:rsidRPr="00092ED7">
        <w:rPr>
          <w:bCs/>
          <w:lang w:val="sr-Cyrl-CS"/>
        </w:rPr>
        <w:t>УНАПРЕЂЕЊЕ ЕФИКАСНОСТИ ЗДРАВСТВЕНОГ СИСТЕМА КРОЗ ДИГИТАЛИЗАЦИЈУ ПРОЦЕСА</w:t>
      </w:r>
    </w:p>
    <w:p w14:paraId="04F4AFF3" w14:textId="77777777" w:rsidR="00D210F0" w:rsidRPr="00092ED7" w:rsidRDefault="00D210F0" w:rsidP="00071952">
      <w:pPr>
        <w:widowControl w:val="0"/>
        <w:numPr>
          <w:ilvl w:val="0"/>
          <w:numId w:val="39"/>
        </w:numPr>
        <w:spacing w:before="120"/>
        <w:rPr>
          <w:rFonts w:cs="Times New Roman"/>
          <w:b/>
          <w:bCs/>
          <w:szCs w:val="24"/>
          <w:lang w:val="sr-Cyrl-CS"/>
        </w:rPr>
      </w:pPr>
      <w:r w:rsidRPr="00092ED7">
        <w:rPr>
          <w:rFonts w:cs="Times New Roman"/>
          <w:b/>
          <w:bCs/>
          <w:szCs w:val="24"/>
          <w:lang w:val="sr-Cyrl-CS"/>
        </w:rPr>
        <w:t>Опис структурне реформе</w:t>
      </w:r>
    </w:p>
    <w:p w14:paraId="3A0E9F12" w14:textId="3B634615" w:rsidR="00D210F0" w:rsidRDefault="008566C3" w:rsidP="00053B2B">
      <w:pPr>
        <w:spacing w:after="60"/>
        <w:rPr>
          <w:rFonts w:cs="Times New Roman"/>
          <w:lang w:val="sr-Cyrl-CS"/>
        </w:rPr>
      </w:pPr>
      <w:r w:rsidRPr="00092ED7">
        <w:rPr>
          <w:rFonts w:cs="Times New Roman"/>
          <w:lang w:val="sr-Cyrl-CS"/>
        </w:rPr>
        <w:t>Дигитализација у здравственом систему подразумева повећање ефикасности пружања здравствених услуга, виши квалитет дијагностике и лечења на свим нивоима здравствене заштите установа из Плана мреже</w:t>
      </w:r>
      <w:r w:rsidR="00D2730E" w:rsidRPr="00092ED7">
        <w:rPr>
          <w:lang w:val="sr-Cyrl-CS"/>
        </w:rPr>
        <w:t xml:space="preserve"> </w:t>
      </w:r>
      <w:r w:rsidR="00D2730E" w:rsidRPr="00092ED7">
        <w:rPr>
          <w:rFonts w:cs="Times New Roman"/>
          <w:lang w:val="sr-Cyrl-CS"/>
        </w:rPr>
        <w:t>здравствених установа</w:t>
      </w:r>
      <w:r w:rsidRPr="00092ED7">
        <w:rPr>
          <w:rFonts w:cs="Times New Roman"/>
          <w:lang w:val="sr-Cyrl-CS"/>
        </w:rPr>
        <w:t xml:space="preserve"> као и ауторизовани приступ обједињеним здравственим подацима на свим нивоима здравствене заштите установа, што је кључно за дијагностику и адекватно лечење пацијената. </w:t>
      </w:r>
      <w:r w:rsidR="0079401D" w:rsidRPr="00092ED7">
        <w:rPr>
          <w:rFonts w:cs="Times New Roman"/>
          <w:lang w:val="sr-Cyrl-CS"/>
        </w:rPr>
        <w:t xml:space="preserve">Путем </w:t>
      </w:r>
      <w:r w:rsidR="00D210F0" w:rsidRPr="00092ED7">
        <w:rPr>
          <w:rFonts w:cs="Times New Roman"/>
          <w:lang w:val="sr-Cyrl-CS"/>
        </w:rPr>
        <w:t xml:space="preserve">ЈЕЗК </w:t>
      </w:r>
      <w:r w:rsidR="0079401D" w:rsidRPr="00092ED7">
        <w:rPr>
          <w:rFonts w:cs="Times New Roman"/>
          <w:lang w:val="sr-Cyrl-CS"/>
        </w:rPr>
        <w:t xml:space="preserve">ће се </w:t>
      </w:r>
      <w:r w:rsidR="00D210F0" w:rsidRPr="00092ED7">
        <w:rPr>
          <w:rFonts w:cs="Times New Roman"/>
          <w:lang w:val="sr-Cyrl-CS"/>
        </w:rPr>
        <w:t>стандардизова</w:t>
      </w:r>
      <w:r w:rsidR="0079401D" w:rsidRPr="00092ED7">
        <w:rPr>
          <w:rFonts w:cs="Times New Roman"/>
          <w:lang w:val="sr-Cyrl-CS"/>
        </w:rPr>
        <w:t>ти</w:t>
      </w:r>
      <w:r w:rsidR="00D210F0" w:rsidRPr="00092ED7">
        <w:rPr>
          <w:rFonts w:cs="Times New Roman"/>
          <w:lang w:val="sr-Cyrl-CS"/>
        </w:rPr>
        <w:t xml:space="preserve"> основни извод медицинских података и аутоматизовати приступ, и тако ће се створити и услови за размену података између државног и приватног сектора.</w:t>
      </w:r>
    </w:p>
    <w:p w14:paraId="6A847A0E" w14:textId="77777777" w:rsidR="0032051C" w:rsidRPr="00092ED7" w:rsidRDefault="0032051C" w:rsidP="00053B2B">
      <w:pPr>
        <w:spacing w:after="60"/>
        <w:rPr>
          <w:rFonts w:cs="Times New Roman"/>
          <w:lang w:val="sr-Cyrl-CS"/>
        </w:rPr>
      </w:pPr>
    </w:p>
    <w:p w14:paraId="5DF94C4E" w14:textId="77777777" w:rsidR="00D210F0" w:rsidRPr="00092ED7" w:rsidRDefault="00D210F0" w:rsidP="000E6CF5">
      <w:pPr>
        <w:widowControl w:val="0"/>
        <w:spacing w:after="60"/>
        <w:rPr>
          <w:rFonts w:eastAsia="Times New Roman" w:cs="Times New Roman"/>
          <w:szCs w:val="24"/>
          <w:lang w:val="sr-Cyrl-CS"/>
        </w:rPr>
      </w:pPr>
      <w:r w:rsidRPr="00092ED7">
        <w:rPr>
          <w:rFonts w:eastAsia="Times New Roman" w:cs="Times New Roman"/>
          <w:szCs w:val="24"/>
          <w:lang w:val="sr-Cyrl-CS"/>
        </w:rPr>
        <w:t xml:space="preserve">Након имплементације ЈЕЗК, планирано је успостављање централне платформе за прикупљање података из свих лабораторијских система (како из установа из </w:t>
      </w:r>
      <w:r w:rsidR="00C23826" w:rsidRPr="00092ED7">
        <w:rPr>
          <w:rFonts w:eastAsia="Times New Roman" w:cs="Times New Roman"/>
          <w:szCs w:val="24"/>
          <w:lang w:val="sr-Cyrl-CS"/>
        </w:rPr>
        <w:t>П</w:t>
      </w:r>
      <w:r w:rsidRPr="00092ED7">
        <w:rPr>
          <w:rFonts w:eastAsia="Times New Roman" w:cs="Times New Roman"/>
          <w:szCs w:val="24"/>
          <w:lang w:val="sr-Cyrl-CS"/>
        </w:rPr>
        <w:t>лана мреже</w:t>
      </w:r>
      <w:r w:rsidR="00B45EE3" w:rsidRPr="00092ED7">
        <w:rPr>
          <w:rFonts w:cs="Times New Roman"/>
          <w:lang w:val="sr-Cyrl-CS"/>
        </w:rPr>
        <w:t xml:space="preserve"> здравствених установа,</w:t>
      </w:r>
      <w:r w:rsidRPr="00092ED7">
        <w:rPr>
          <w:rFonts w:eastAsia="Times New Roman" w:cs="Times New Roman"/>
          <w:szCs w:val="24"/>
          <w:lang w:val="sr-Cyrl-CS"/>
        </w:rPr>
        <w:t xml:space="preserve"> тако и из приватних установа) и њихова дистрибуција. </w:t>
      </w:r>
      <w:r w:rsidR="008566C3" w:rsidRPr="00092ED7">
        <w:rPr>
          <w:rFonts w:eastAsia="Times New Roman" w:cs="Times New Roman"/>
          <w:szCs w:val="24"/>
          <w:lang w:val="sr-Cyrl-CS"/>
        </w:rPr>
        <w:t xml:space="preserve">Имплементација пројекта еБоловање се очекује након измене </w:t>
      </w:r>
      <w:r w:rsidR="008566C3" w:rsidRPr="00092ED7">
        <w:rPr>
          <w:rFonts w:eastAsia="Times New Roman" w:cs="Times New Roman"/>
          <w:i/>
          <w:szCs w:val="24"/>
          <w:lang w:val="sr-Cyrl-CS"/>
        </w:rPr>
        <w:t>Закона о здравственом осигурању</w:t>
      </w:r>
      <w:r w:rsidR="008566C3" w:rsidRPr="00092ED7">
        <w:rPr>
          <w:rFonts w:eastAsia="Times New Roman" w:cs="Times New Roman"/>
          <w:szCs w:val="24"/>
          <w:lang w:val="sr-Cyrl-CS"/>
        </w:rPr>
        <w:t xml:space="preserve"> у 2023.</w:t>
      </w:r>
      <w:r w:rsidR="00E14B83" w:rsidRPr="00092ED7">
        <w:rPr>
          <w:rFonts w:eastAsia="Times New Roman" w:cs="Times New Roman"/>
          <w:szCs w:val="24"/>
          <w:lang w:val="sr-Cyrl-CS"/>
        </w:rPr>
        <w:t xml:space="preserve"> </w:t>
      </w:r>
      <w:r w:rsidR="008566C3" w:rsidRPr="00092ED7">
        <w:rPr>
          <w:rFonts w:eastAsia="Times New Roman" w:cs="Times New Roman"/>
          <w:szCs w:val="24"/>
          <w:lang w:val="sr-Cyrl-CS"/>
        </w:rPr>
        <w:t xml:space="preserve">години. </w:t>
      </w:r>
      <w:r w:rsidRPr="00092ED7">
        <w:rPr>
          <w:rFonts w:eastAsia="Times New Roman" w:cs="Times New Roman"/>
          <w:szCs w:val="24"/>
          <w:lang w:val="sr-Cyrl-CS"/>
        </w:rPr>
        <w:t>Такође, у плану је и проширење имплементације еРецепта за прописивање ампулираних лекова и помагала на примарном нивоу здравствене заштите, као и увођење система провере интеракције лекова и система подршке доношењу клиничких одлука. Поред наведеног, разматрају се могућности примене вештачке интелигенције над одређеним процесима искључиво у области радиологије, поготово мамографије због организованог скрининга за рак дојке, где би се применом овакве технологије постигла боља искоришћеност ресурса, јер би одређени део дијагностике - прво читање или маркирање одређених аномалија - радила вештачка интелигенција.</w:t>
      </w:r>
    </w:p>
    <w:p w14:paraId="3FF13336" w14:textId="77777777" w:rsidR="00D210F0" w:rsidRPr="00092ED7" w:rsidRDefault="00D210F0" w:rsidP="00071952">
      <w:pPr>
        <w:widowControl w:val="0"/>
        <w:numPr>
          <w:ilvl w:val="0"/>
          <w:numId w:val="39"/>
        </w:numPr>
        <w:spacing w:before="120"/>
        <w:rPr>
          <w:rFonts w:cs="Times New Roman"/>
          <w:b/>
          <w:smallCaps/>
          <w:lang w:val="sr-Cyrl-CS"/>
        </w:rPr>
      </w:pPr>
      <w:r w:rsidRPr="00092ED7">
        <w:rPr>
          <w:rFonts w:cs="Times New Roman"/>
          <w:b/>
          <w:bCs/>
          <w:szCs w:val="24"/>
          <w:lang w:val="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425"/>
        <w:gridCol w:w="4243"/>
        <w:gridCol w:w="372"/>
        <w:gridCol w:w="373"/>
        <w:gridCol w:w="372"/>
        <w:gridCol w:w="373"/>
        <w:gridCol w:w="372"/>
        <w:gridCol w:w="373"/>
        <w:gridCol w:w="373"/>
        <w:gridCol w:w="372"/>
        <w:gridCol w:w="373"/>
        <w:gridCol w:w="372"/>
        <w:gridCol w:w="373"/>
        <w:gridCol w:w="373"/>
      </w:tblGrid>
      <w:tr w:rsidR="00D210F0" w:rsidRPr="00092ED7" w14:paraId="32DFED84" w14:textId="77777777" w:rsidTr="0092798F">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23468785" w14:textId="77777777" w:rsidR="00D210F0" w:rsidRPr="00092ED7" w:rsidRDefault="00D210F0" w:rsidP="00D210F0">
            <w:pPr>
              <w:spacing w:after="0"/>
              <w:jc w:val="left"/>
              <w:rPr>
                <w:rFonts w:eastAsia="Calibri" w:cs="Times New Roman"/>
                <w:b/>
                <w:bCs/>
                <w:color w:val="000000"/>
                <w:sz w:val="20"/>
                <w:szCs w:val="20"/>
                <w:lang w:val="sr-Cyrl-CS"/>
              </w:rPr>
            </w:pPr>
            <w:r w:rsidRPr="00092ED7">
              <w:rPr>
                <w:rFonts w:eastAsia="Calibri" w:cs="Times New Roman"/>
                <w:b/>
                <w:bCs/>
                <w:color w:val="000000"/>
                <w:sz w:val="20"/>
                <w:szCs w:val="20"/>
                <w:lang w:val="sr-Cyrl-CS" w:eastAsia="sr-Cyrl-CS" w:bidi="sr-Cyrl-CS"/>
              </w:rPr>
              <w:t>РБ</w:t>
            </w:r>
          </w:p>
        </w:tc>
        <w:tc>
          <w:tcPr>
            <w:tcW w:w="4243" w:type="dxa"/>
            <w:vMerge w:val="restart"/>
            <w:tcBorders>
              <w:top w:val="single" w:sz="8" w:space="0" w:color="auto"/>
              <w:left w:val="single" w:sz="8" w:space="0" w:color="auto"/>
              <w:bottom w:val="single" w:sz="8" w:space="0" w:color="000000"/>
              <w:right w:val="nil"/>
            </w:tcBorders>
            <w:shd w:val="clear" w:color="000000" w:fill="BDD6EE"/>
            <w:tcMar>
              <w:top w:w="15" w:type="dxa"/>
              <w:left w:w="15" w:type="dxa"/>
              <w:bottom w:w="0" w:type="dxa"/>
              <w:right w:w="15" w:type="dxa"/>
            </w:tcMar>
            <w:vAlign w:val="center"/>
            <w:hideMark/>
          </w:tcPr>
          <w:p w14:paraId="63C9B82E" w14:textId="77777777" w:rsidR="00D210F0" w:rsidRPr="00092ED7" w:rsidRDefault="00D210F0" w:rsidP="00D210F0">
            <w:pPr>
              <w:widowControl w:val="0"/>
              <w:spacing w:after="0"/>
              <w:jc w:val="left"/>
              <w:rPr>
                <w:rFonts w:eastAsia="Calibri" w:cs="Times New Roman"/>
                <w:b/>
                <w:bCs/>
                <w:color w:val="000000"/>
                <w:sz w:val="20"/>
                <w:szCs w:val="20"/>
                <w:lang w:val="sr-Cyrl-CS" w:eastAsia="sr-Cyrl-CS" w:bidi="sr-Cyrl-CS"/>
              </w:rPr>
            </w:pPr>
            <w:r w:rsidRPr="00092ED7">
              <w:rPr>
                <w:rFonts w:eastAsia="Calibri" w:cs="Times New Roman"/>
                <w:b/>
                <w:bCs/>
                <w:color w:val="000000"/>
                <w:sz w:val="20"/>
                <w:szCs w:val="20"/>
                <w:lang w:val="sr-Cyrl-CS" w:eastAsia="sr-Cyrl-CS" w:bidi="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CABA5C3" w14:textId="77777777" w:rsidR="00D210F0" w:rsidRPr="00092ED7" w:rsidRDefault="00D210F0" w:rsidP="00D210F0">
            <w:pPr>
              <w:widowControl w:val="0"/>
              <w:spacing w:after="0"/>
              <w:jc w:val="center"/>
              <w:rPr>
                <w:rFonts w:eastAsia="Calibri" w:cs="Times New Roman"/>
                <w:b/>
                <w:bCs/>
                <w:color w:val="000000"/>
                <w:sz w:val="20"/>
                <w:szCs w:val="20"/>
                <w:lang w:val="sr-Cyrl-CS" w:eastAsia="sr-Cyrl-CS" w:bidi="sr-Cyrl-CS"/>
              </w:rPr>
            </w:pPr>
            <w:r w:rsidRPr="00092ED7">
              <w:rPr>
                <w:rFonts w:eastAsia="Calibri" w:cs="Times New Roman"/>
                <w:b/>
                <w:bCs/>
                <w:color w:val="000000"/>
                <w:sz w:val="20"/>
                <w:szCs w:val="20"/>
                <w:lang w:val="sr-Cyrl-CS" w:eastAsia="sr-Cyrl-CS" w:bidi="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002F6A4" w14:textId="77777777" w:rsidR="00D210F0" w:rsidRPr="00092ED7" w:rsidRDefault="00D210F0" w:rsidP="00D210F0">
            <w:pPr>
              <w:widowControl w:val="0"/>
              <w:spacing w:after="0"/>
              <w:jc w:val="center"/>
              <w:rPr>
                <w:rFonts w:eastAsia="Calibri" w:cs="Times New Roman"/>
                <w:b/>
                <w:bCs/>
                <w:color w:val="000000"/>
                <w:sz w:val="20"/>
                <w:szCs w:val="20"/>
                <w:lang w:val="sr-Cyrl-CS" w:eastAsia="sr-Cyrl-CS" w:bidi="sr-Cyrl-CS"/>
              </w:rPr>
            </w:pPr>
            <w:r w:rsidRPr="00092ED7">
              <w:rPr>
                <w:rFonts w:eastAsia="Calibri" w:cs="Times New Roman"/>
                <w:b/>
                <w:bCs/>
                <w:color w:val="000000"/>
                <w:sz w:val="20"/>
                <w:szCs w:val="20"/>
                <w:lang w:val="sr-Cyrl-CS" w:eastAsia="sr-Cyrl-CS" w:bidi="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3CBCD263" w14:textId="77777777" w:rsidR="00D210F0" w:rsidRPr="00092ED7" w:rsidRDefault="00D210F0" w:rsidP="00D210F0">
            <w:pPr>
              <w:widowControl w:val="0"/>
              <w:spacing w:after="0"/>
              <w:jc w:val="center"/>
              <w:rPr>
                <w:rFonts w:eastAsia="Calibri" w:cs="Times New Roman"/>
                <w:b/>
                <w:bCs/>
                <w:color w:val="000000"/>
                <w:sz w:val="20"/>
                <w:szCs w:val="20"/>
                <w:lang w:val="sr-Cyrl-CS" w:eastAsia="sr-Cyrl-CS" w:bidi="sr-Cyrl-CS"/>
              </w:rPr>
            </w:pPr>
            <w:r w:rsidRPr="00092ED7">
              <w:rPr>
                <w:rFonts w:eastAsia="Calibri" w:cs="Times New Roman"/>
                <w:b/>
                <w:bCs/>
                <w:color w:val="000000"/>
                <w:sz w:val="20"/>
                <w:szCs w:val="20"/>
                <w:lang w:val="sr-Cyrl-CS" w:eastAsia="sr-Cyrl-CS" w:bidi="sr-Cyrl-CS"/>
              </w:rPr>
              <w:t>2025</w:t>
            </w:r>
          </w:p>
        </w:tc>
      </w:tr>
      <w:tr w:rsidR="00D210F0" w:rsidRPr="00092ED7" w14:paraId="1151609C" w14:textId="77777777" w:rsidTr="0092798F">
        <w:trPr>
          <w:trHeight w:val="315"/>
        </w:trPr>
        <w:tc>
          <w:tcPr>
            <w:tcW w:w="425" w:type="dxa"/>
            <w:vMerge/>
            <w:tcBorders>
              <w:left w:val="single" w:sz="8" w:space="0" w:color="auto"/>
              <w:bottom w:val="single" w:sz="8" w:space="0" w:color="000000"/>
              <w:right w:val="nil"/>
            </w:tcBorders>
            <w:shd w:val="clear" w:color="000000" w:fill="BDD6EE"/>
            <w:vAlign w:val="center"/>
            <w:hideMark/>
          </w:tcPr>
          <w:p w14:paraId="53A7BAB7" w14:textId="77777777" w:rsidR="00D210F0" w:rsidRPr="00092ED7" w:rsidRDefault="00D210F0" w:rsidP="00D210F0">
            <w:pPr>
              <w:spacing w:after="0"/>
              <w:jc w:val="center"/>
              <w:rPr>
                <w:rFonts w:eastAsia="Calibri" w:cs="Times New Roman"/>
                <w:b/>
                <w:bCs/>
                <w:color w:val="000000"/>
                <w:sz w:val="21"/>
                <w:szCs w:val="21"/>
                <w:lang w:val="sr-Cyrl-CS" w:eastAsia="sr-Cyrl-CS" w:bidi="sr-Cyrl-CS"/>
              </w:rPr>
            </w:pPr>
          </w:p>
        </w:tc>
        <w:tc>
          <w:tcPr>
            <w:tcW w:w="4243" w:type="dxa"/>
            <w:vMerge/>
            <w:tcBorders>
              <w:top w:val="single" w:sz="8" w:space="0" w:color="auto"/>
              <w:left w:val="single" w:sz="8" w:space="0" w:color="auto"/>
              <w:bottom w:val="single" w:sz="8" w:space="0" w:color="000000"/>
              <w:right w:val="nil"/>
            </w:tcBorders>
            <w:vAlign w:val="center"/>
            <w:hideMark/>
          </w:tcPr>
          <w:p w14:paraId="64B2EF8C" w14:textId="77777777" w:rsidR="00D210F0" w:rsidRPr="00092ED7" w:rsidRDefault="00D210F0" w:rsidP="00D210F0">
            <w:pPr>
              <w:widowControl w:val="0"/>
              <w:spacing w:after="0"/>
              <w:jc w:val="left"/>
              <w:rPr>
                <w:rFonts w:eastAsia="Calibri" w:cs="Times New Roman"/>
                <w:b/>
                <w:bCs/>
                <w:color w:val="000000"/>
                <w:sz w:val="21"/>
                <w:szCs w:val="21"/>
                <w:lang w:val="sr-Cyrl-CS" w:eastAsia="sr-Cyrl-CS" w:bidi="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F9CAB5F"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867295C"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8AAA410"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564B42F"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36135A7"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3544BEA"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3F140C7"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94ED401"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0280FAB"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BEDDCC6"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F3B86F9"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9B5DFA4"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Q4</w:t>
            </w:r>
          </w:p>
        </w:tc>
      </w:tr>
      <w:tr w:rsidR="00D210F0" w:rsidRPr="00092ED7" w14:paraId="2B291865" w14:textId="77777777" w:rsidTr="0092798F">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79F405D4" w14:textId="77777777" w:rsidR="00D210F0" w:rsidRPr="00092ED7" w:rsidRDefault="00D210F0" w:rsidP="00D210F0">
            <w:pPr>
              <w:widowControl w:val="0"/>
              <w:spacing w:after="0"/>
              <w:jc w:val="left"/>
              <w:rPr>
                <w:rFonts w:eastAsia="Calibri" w:cs="Times New Roman"/>
                <w:bCs/>
                <w:sz w:val="18"/>
                <w:szCs w:val="18"/>
                <w:lang w:val="sr-Cyrl-CS" w:eastAsia="sr-Cyrl-CS" w:bidi="sr-Cyrl-CS"/>
              </w:rPr>
            </w:pPr>
            <w:r w:rsidRPr="00092ED7">
              <w:rPr>
                <w:rFonts w:eastAsia="Calibri" w:cs="Times New Roman"/>
                <w:bCs/>
                <w:sz w:val="18"/>
                <w:szCs w:val="18"/>
                <w:lang w:val="sr-Cyrl-CS" w:eastAsia="sr-Cyrl-CS" w:bidi="sr-Cyrl-CS"/>
              </w:rPr>
              <w:t>1.</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219088F5" w14:textId="77777777" w:rsidR="00D210F0" w:rsidRPr="00092ED7" w:rsidRDefault="00D210F0" w:rsidP="00D210F0">
            <w:pPr>
              <w:widowControl w:val="0"/>
              <w:spacing w:after="0"/>
              <w:jc w:val="left"/>
              <w:rPr>
                <w:rFonts w:eastAsia="Calibri" w:cs="Times New Roman"/>
                <w:sz w:val="18"/>
                <w:szCs w:val="18"/>
                <w:lang w:val="sr-Cyrl-CS" w:eastAsia="sr-Cyrl-CS" w:bidi="sr-Cyrl-CS"/>
              </w:rPr>
            </w:pPr>
            <w:r w:rsidRPr="00092ED7">
              <w:rPr>
                <w:rFonts w:eastAsia="Calibri" w:cs="Times New Roman"/>
                <w:sz w:val="18"/>
                <w:szCs w:val="18"/>
                <w:lang w:val="sr-Cyrl-CS" w:eastAsia="sr-Cyrl-CS" w:bidi="sr-Cyrl-CS"/>
              </w:rPr>
              <w:t>Успостављање Електронског медицинског досијеа (ЕМД)</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0E2EB0E"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C605FEF"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84D4A9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8333282"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F25932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F8ADE31"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D7AB911"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481AB504"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39F2D40"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C97BF13"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48A1909"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hideMark/>
          </w:tcPr>
          <w:p w14:paraId="70EF6601"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r w:rsidRPr="00092ED7">
              <w:rPr>
                <w:rFonts w:eastAsia="Calibri" w:cs="Times New Roman"/>
                <w:color w:val="000000"/>
                <w:sz w:val="18"/>
                <w:szCs w:val="18"/>
                <w:lang w:val="sr-Cyrl-CS" w:eastAsia="sr-Cyrl-CS" w:bidi="sr-Cyrl-CS"/>
              </w:rPr>
              <w:t> </w:t>
            </w:r>
          </w:p>
        </w:tc>
      </w:tr>
      <w:tr w:rsidR="00D210F0" w:rsidRPr="00092ED7" w14:paraId="7E78AA43" w14:textId="77777777" w:rsidTr="0092798F">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6299A10C" w14:textId="77777777" w:rsidR="00D210F0" w:rsidRPr="00092ED7" w:rsidRDefault="00D210F0" w:rsidP="00D210F0">
            <w:pPr>
              <w:widowControl w:val="0"/>
              <w:spacing w:after="0"/>
              <w:jc w:val="left"/>
              <w:rPr>
                <w:rFonts w:eastAsia="Calibri" w:cs="Times New Roman"/>
                <w:bCs/>
                <w:sz w:val="18"/>
                <w:szCs w:val="18"/>
                <w:lang w:val="sr-Cyrl-CS" w:eastAsia="sr-Cyrl-CS" w:bidi="sr-Cyrl-CS"/>
              </w:rPr>
            </w:pPr>
            <w:r w:rsidRPr="00092ED7">
              <w:rPr>
                <w:rFonts w:eastAsia="Calibri" w:cs="Times New Roman"/>
                <w:bCs/>
                <w:sz w:val="18"/>
                <w:szCs w:val="18"/>
                <w:lang w:val="sr-Cyrl-CS" w:eastAsia="sr-Cyrl-CS" w:bidi="sr-Cyrl-CS"/>
              </w:rPr>
              <w:t>2.</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3AC438B4" w14:textId="77777777" w:rsidR="00D210F0" w:rsidRPr="00092ED7" w:rsidRDefault="00D210F0" w:rsidP="00D210F0">
            <w:pPr>
              <w:widowControl w:val="0"/>
              <w:spacing w:after="0"/>
              <w:jc w:val="left"/>
              <w:rPr>
                <w:rFonts w:eastAsia="Calibri" w:cs="Times New Roman"/>
                <w:sz w:val="18"/>
                <w:szCs w:val="18"/>
                <w:lang w:val="sr-Cyrl-CS" w:eastAsia="sr-Cyrl-CS" w:bidi="sr-Cyrl-CS"/>
              </w:rPr>
            </w:pPr>
            <w:r w:rsidRPr="00092ED7">
              <w:rPr>
                <w:rFonts w:eastAsia="Calibri" w:cs="Times New Roman"/>
                <w:sz w:val="18"/>
                <w:szCs w:val="18"/>
                <w:lang w:val="sr-Cyrl-CS" w:eastAsia="sr-Cyrl-CS" w:bidi="sr-Cyrl-CS"/>
              </w:rPr>
              <w:t>Успостављање централне платформе за повезивање државних и приватних лабораторија  (еЛаб)</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4C02816"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ACE8D8A"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118ADCA"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AD0033D"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919015E"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F56548E"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DF6AA86"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AF88F7A"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CA5090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257EC84"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2196CC7"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146EECA1"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r w:rsidRPr="00092ED7">
              <w:rPr>
                <w:rFonts w:eastAsia="Calibri" w:cs="Times New Roman"/>
                <w:color w:val="000000"/>
                <w:sz w:val="18"/>
                <w:szCs w:val="18"/>
                <w:lang w:val="sr-Cyrl-CS" w:eastAsia="sr-Cyrl-CS" w:bidi="sr-Cyrl-CS"/>
              </w:rPr>
              <w:t> </w:t>
            </w:r>
          </w:p>
        </w:tc>
      </w:tr>
      <w:tr w:rsidR="00D210F0" w:rsidRPr="00092ED7" w14:paraId="617DF756" w14:textId="77777777" w:rsidTr="0092798F">
        <w:trPr>
          <w:trHeight w:val="300"/>
        </w:trPr>
        <w:tc>
          <w:tcPr>
            <w:tcW w:w="425"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7628BB02" w14:textId="77777777" w:rsidR="00D210F0" w:rsidRPr="00092ED7" w:rsidRDefault="00D210F0" w:rsidP="00D210F0">
            <w:pPr>
              <w:widowControl w:val="0"/>
              <w:spacing w:after="0"/>
              <w:jc w:val="left"/>
              <w:rPr>
                <w:rFonts w:eastAsia="Calibri" w:cs="Times New Roman"/>
                <w:bCs/>
                <w:sz w:val="18"/>
                <w:szCs w:val="18"/>
                <w:lang w:val="sr-Cyrl-CS" w:eastAsia="sr-Cyrl-CS" w:bidi="sr-Cyrl-CS"/>
              </w:rPr>
            </w:pPr>
            <w:r w:rsidRPr="00092ED7">
              <w:rPr>
                <w:rFonts w:eastAsia="Calibri" w:cs="Times New Roman"/>
                <w:bCs/>
                <w:sz w:val="18"/>
                <w:szCs w:val="18"/>
                <w:lang w:val="sr-Cyrl-CS" w:eastAsia="sr-Cyrl-CS" w:bidi="sr-Cyrl-CS"/>
              </w:rPr>
              <w:t>3.</w:t>
            </w:r>
          </w:p>
        </w:tc>
        <w:tc>
          <w:tcPr>
            <w:tcW w:w="4243" w:type="dxa"/>
            <w:tcBorders>
              <w:top w:val="nil"/>
              <w:left w:val="nil"/>
              <w:bottom w:val="single" w:sz="4" w:space="0" w:color="auto"/>
              <w:right w:val="nil"/>
            </w:tcBorders>
            <w:shd w:val="clear" w:color="auto" w:fill="auto"/>
            <w:tcMar>
              <w:top w:w="15" w:type="dxa"/>
              <w:left w:w="15" w:type="dxa"/>
              <w:bottom w:w="0" w:type="dxa"/>
              <w:right w:w="15" w:type="dxa"/>
            </w:tcMar>
          </w:tcPr>
          <w:p w14:paraId="139B2082" w14:textId="77777777" w:rsidR="00D210F0" w:rsidRPr="00092ED7" w:rsidRDefault="00D210F0" w:rsidP="00D210F0">
            <w:pPr>
              <w:widowControl w:val="0"/>
              <w:spacing w:after="0"/>
              <w:jc w:val="left"/>
              <w:rPr>
                <w:rFonts w:eastAsia="Calibri" w:cs="Times New Roman"/>
                <w:sz w:val="18"/>
                <w:szCs w:val="18"/>
                <w:lang w:val="sr-Cyrl-CS" w:eastAsia="sr-Cyrl-CS" w:bidi="sr-Cyrl-CS"/>
              </w:rPr>
            </w:pPr>
            <w:r w:rsidRPr="00092ED7">
              <w:rPr>
                <w:rFonts w:eastAsia="Calibri" w:cs="Times New Roman"/>
                <w:sz w:val="18"/>
                <w:szCs w:val="18"/>
                <w:lang w:val="sr-Cyrl-CS" w:eastAsia="sr-Cyrl-CS" w:bidi="sr-Cyrl-CS"/>
              </w:rPr>
              <w:t>Проширење еРецепта на помагала и ампулиране лекове</w:t>
            </w:r>
            <w:r w:rsidR="008566C3" w:rsidRPr="00092ED7">
              <w:rPr>
                <w:rFonts w:eastAsia="Calibri" w:cs="Times New Roman"/>
                <w:sz w:val="18"/>
                <w:szCs w:val="18"/>
                <w:lang w:val="sr-Cyrl-CS" w:eastAsia="sr-Cyrl-CS" w:bidi="sr-Cyrl-CS"/>
              </w:rPr>
              <w:t xml:space="preserve"> </w:t>
            </w:r>
            <w:r w:rsidR="008566C3" w:rsidRPr="00092ED7">
              <w:rPr>
                <w:rFonts w:cs="Times New Roman"/>
                <w:sz w:val="18"/>
                <w:szCs w:val="18"/>
                <w:lang w:val="sr-Cyrl-CS"/>
              </w:rPr>
              <w:t>на примарном нивоу здравствене заштите</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13ADA8B"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9DECCA2"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35D16ED"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5456527"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24667F4"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20ECCDD"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CD6103B"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5B39680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45877AF"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0F455AF"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887DDA4"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5F4E7F7E"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r w:rsidRPr="00092ED7">
              <w:rPr>
                <w:rFonts w:eastAsia="Calibri" w:cs="Times New Roman"/>
                <w:color w:val="000000"/>
                <w:sz w:val="18"/>
                <w:szCs w:val="18"/>
                <w:lang w:val="sr-Cyrl-CS" w:eastAsia="sr-Cyrl-CS" w:bidi="sr-Cyrl-CS"/>
              </w:rPr>
              <w:t> </w:t>
            </w:r>
          </w:p>
        </w:tc>
      </w:tr>
      <w:tr w:rsidR="00D210F0" w:rsidRPr="00092ED7" w14:paraId="2787B1F6" w14:textId="77777777" w:rsidTr="00EB6431">
        <w:trPr>
          <w:trHeight w:val="300"/>
        </w:trPr>
        <w:tc>
          <w:tcPr>
            <w:tcW w:w="425"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38869408" w14:textId="77777777" w:rsidR="00D210F0" w:rsidRPr="00092ED7" w:rsidRDefault="00D210F0" w:rsidP="00D210F0">
            <w:pPr>
              <w:widowControl w:val="0"/>
              <w:spacing w:after="0"/>
              <w:jc w:val="left"/>
              <w:rPr>
                <w:rFonts w:eastAsia="Calibri" w:cs="Times New Roman"/>
                <w:bCs/>
                <w:sz w:val="18"/>
                <w:szCs w:val="18"/>
                <w:lang w:val="sr-Cyrl-CS" w:eastAsia="sr-Cyrl-CS" w:bidi="sr-Cyrl-CS"/>
              </w:rPr>
            </w:pPr>
            <w:r w:rsidRPr="00092ED7">
              <w:rPr>
                <w:rFonts w:eastAsia="Calibri" w:cs="Times New Roman"/>
                <w:bCs/>
                <w:sz w:val="18"/>
                <w:szCs w:val="18"/>
                <w:lang w:val="sr-Cyrl-CS" w:eastAsia="sr-Cyrl-CS" w:bidi="sr-Cyrl-CS"/>
              </w:rPr>
              <w:t>4.</w:t>
            </w:r>
          </w:p>
        </w:tc>
        <w:tc>
          <w:tcPr>
            <w:tcW w:w="4243"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tcPr>
          <w:p w14:paraId="1DE9BF11"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r w:rsidRPr="00092ED7">
              <w:rPr>
                <w:rFonts w:eastAsia="Calibri" w:cs="Times New Roman"/>
                <w:sz w:val="18"/>
                <w:szCs w:val="18"/>
                <w:lang w:val="sr-Cyrl-CS" w:eastAsia="sr-Cyrl-CS" w:bidi="sr-Cyrl-CS"/>
              </w:rPr>
              <w:t>Имплементација система за проверу интеракције лекова и система подршке за доношење клиничких одлука</w:t>
            </w: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539F9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21DD7A4"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DE6977B"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24E088C"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6AACBE8"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15D7672"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995D439"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43FB5C42"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D0F29BE"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9C128BA"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244451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001B047C"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r w:rsidRPr="00092ED7">
              <w:rPr>
                <w:rFonts w:eastAsia="Calibri" w:cs="Times New Roman"/>
                <w:color w:val="000000"/>
                <w:sz w:val="18"/>
                <w:szCs w:val="18"/>
                <w:lang w:val="sr-Cyrl-CS" w:eastAsia="sr-Cyrl-CS" w:bidi="sr-Cyrl-CS"/>
              </w:rPr>
              <w:t> </w:t>
            </w:r>
          </w:p>
        </w:tc>
      </w:tr>
      <w:tr w:rsidR="00D210F0" w:rsidRPr="00092ED7" w14:paraId="67095F7D" w14:textId="77777777" w:rsidTr="00EB6431">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1BC2E497" w14:textId="77777777" w:rsidR="00D210F0" w:rsidRPr="00092ED7" w:rsidRDefault="00D210F0" w:rsidP="00D210F0">
            <w:pPr>
              <w:widowControl w:val="0"/>
              <w:spacing w:after="0"/>
              <w:jc w:val="left"/>
              <w:rPr>
                <w:rFonts w:eastAsia="Calibri" w:cs="Times New Roman"/>
                <w:bCs/>
                <w:sz w:val="18"/>
                <w:szCs w:val="18"/>
                <w:lang w:val="sr-Cyrl-CS" w:eastAsia="sr-Cyrl-CS" w:bidi="sr-Cyrl-CS"/>
              </w:rPr>
            </w:pPr>
            <w:r w:rsidRPr="00092ED7">
              <w:rPr>
                <w:rFonts w:eastAsia="Calibri" w:cs="Times New Roman"/>
                <w:bCs/>
                <w:sz w:val="18"/>
                <w:szCs w:val="18"/>
                <w:lang w:val="sr-Cyrl-CS" w:eastAsia="sr-Cyrl-CS" w:bidi="sr-Cyrl-CS"/>
              </w:rPr>
              <w:t>5.</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1EC83BE4" w14:textId="77777777" w:rsidR="00D210F0" w:rsidRPr="00092ED7" w:rsidRDefault="00D210F0" w:rsidP="00D210F0">
            <w:pPr>
              <w:widowControl w:val="0"/>
              <w:spacing w:after="0"/>
              <w:jc w:val="left"/>
              <w:rPr>
                <w:rFonts w:eastAsia="Calibri" w:cs="Times New Roman"/>
                <w:sz w:val="18"/>
                <w:szCs w:val="18"/>
                <w:lang w:val="sr-Cyrl-CS" w:eastAsia="sr-Cyrl-CS" w:bidi="sr-Cyrl-CS"/>
              </w:rPr>
            </w:pPr>
            <w:r w:rsidRPr="00092ED7">
              <w:rPr>
                <w:rFonts w:eastAsia="Calibri" w:cs="Times New Roman"/>
                <w:sz w:val="18"/>
                <w:szCs w:val="18"/>
                <w:lang w:val="sr-Cyrl-CS" w:eastAsia="sr-Cyrl-CS" w:bidi="sr-Cyrl-CS"/>
              </w:rPr>
              <w:t>Проширење еРецепта болнички лекови (Б и Ц Листа)</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02AE54CD"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4F7EE13"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675322F"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9131967"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CC26693"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8E5ED4B"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7CD328E"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619696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7ED328A"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1B8B2B9"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5AD2DD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hideMark/>
          </w:tcPr>
          <w:p w14:paraId="3FC44149"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r w:rsidRPr="00092ED7">
              <w:rPr>
                <w:rFonts w:eastAsia="Calibri" w:cs="Times New Roman"/>
                <w:color w:val="000000"/>
                <w:sz w:val="18"/>
                <w:szCs w:val="18"/>
                <w:lang w:val="sr-Cyrl-CS" w:eastAsia="sr-Cyrl-CS" w:bidi="sr-Cyrl-CS"/>
              </w:rPr>
              <w:t> </w:t>
            </w:r>
          </w:p>
        </w:tc>
      </w:tr>
      <w:tr w:rsidR="00D210F0" w:rsidRPr="00092ED7" w14:paraId="7746BC39" w14:textId="77777777" w:rsidTr="0092798F">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6DA133AC" w14:textId="77777777" w:rsidR="00D210F0" w:rsidRPr="00092ED7" w:rsidRDefault="00D210F0" w:rsidP="00D210F0">
            <w:pPr>
              <w:widowControl w:val="0"/>
              <w:spacing w:after="0"/>
              <w:jc w:val="left"/>
              <w:rPr>
                <w:rFonts w:eastAsia="Calibri" w:cs="Times New Roman"/>
                <w:bCs/>
                <w:sz w:val="18"/>
                <w:szCs w:val="18"/>
                <w:lang w:val="sr-Cyrl-CS" w:eastAsia="sr-Cyrl-CS" w:bidi="sr-Cyrl-CS"/>
              </w:rPr>
            </w:pPr>
            <w:r w:rsidRPr="00092ED7">
              <w:rPr>
                <w:rFonts w:eastAsia="Calibri" w:cs="Times New Roman"/>
                <w:bCs/>
                <w:sz w:val="18"/>
                <w:szCs w:val="18"/>
                <w:lang w:val="sr-Cyrl-CS" w:eastAsia="sr-Cyrl-CS" w:bidi="sr-Cyrl-CS"/>
              </w:rPr>
              <w:t>6.</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5C483196" w14:textId="77777777" w:rsidR="00D210F0" w:rsidRPr="00092ED7" w:rsidRDefault="00D210F0" w:rsidP="00D210F0">
            <w:pPr>
              <w:widowControl w:val="0"/>
              <w:spacing w:after="0"/>
              <w:jc w:val="left"/>
              <w:rPr>
                <w:rFonts w:eastAsia="Calibri" w:cs="Times New Roman"/>
                <w:sz w:val="18"/>
                <w:szCs w:val="18"/>
                <w:lang w:val="sr-Cyrl-CS" w:eastAsia="sr-Cyrl-CS" w:bidi="sr-Cyrl-CS"/>
              </w:rPr>
            </w:pPr>
            <w:r w:rsidRPr="00092ED7">
              <w:rPr>
                <w:rFonts w:eastAsia="Calibri" w:cs="Times New Roman"/>
                <w:sz w:val="18"/>
                <w:szCs w:val="18"/>
                <w:lang w:val="sr-Cyrl-CS" w:eastAsia="sr-Cyrl-CS" w:bidi="sr-Cyrl-CS"/>
              </w:rPr>
              <w:t xml:space="preserve">Примена вештачке интелигенције у радиологији (Скрининг рака дојке)  </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58A33B1B"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91F5F11"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38EC401"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7021003"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52D1F07"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F0C2483"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FE18EAE"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B2B81EE"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F243D5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C51D6B8"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AA73FF6"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0D4DA88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r w:rsidRPr="00092ED7">
              <w:rPr>
                <w:rFonts w:eastAsia="Calibri" w:cs="Times New Roman"/>
                <w:color w:val="000000"/>
                <w:sz w:val="18"/>
                <w:szCs w:val="18"/>
                <w:lang w:val="sr-Cyrl-CS" w:eastAsia="sr-Cyrl-CS" w:bidi="sr-Cyrl-CS"/>
              </w:rPr>
              <w:t> </w:t>
            </w:r>
          </w:p>
        </w:tc>
      </w:tr>
    </w:tbl>
    <w:p w14:paraId="6FAFC29A" w14:textId="77777777" w:rsidR="00D210F0" w:rsidRPr="00092ED7" w:rsidRDefault="00D210F0" w:rsidP="00071952">
      <w:pPr>
        <w:widowControl w:val="0"/>
        <w:numPr>
          <w:ilvl w:val="0"/>
          <w:numId w:val="39"/>
        </w:numPr>
        <w:spacing w:before="120"/>
        <w:rPr>
          <w:rFonts w:cs="Times New Roman"/>
          <w:b/>
          <w:bCs/>
          <w:szCs w:val="24"/>
          <w:lang w:val="sr-Cyrl-CS"/>
        </w:rPr>
      </w:pPr>
      <w:r w:rsidRPr="00092ED7">
        <w:rPr>
          <w:rFonts w:cs="Times New Roman"/>
          <w:b/>
          <w:bCs/>
          <w:szCs w:val="24"/>
          <w:lang w:val="sr-Cyrl-CS"/>
        </w:rPr>
        <w:t>Индикатори ризика</w:t>
      </w:r>
    </w:p>
    <w:tbl>
      <w:tblPr>
        <w:tblStyle w:val="TableGrid"/>
        <w:tblW w:w="9214" w:type="dxa"/>
        <w:tblInd w:w="-5" w:type="dxa"/>
        <w:tblLayout w:type="fixed"/>
        <w:tblLook w:val="04A0" w:firstRow="1" w:lastRow="0" w:firstColumn="1" w:lastColumn="0" w:noHBand="0" w:noVBand="1"/>
      </w:tblPr>
      <w:tblGrid>
        <w:gridCol w:w="4288"/>
        <w:gridCol w:w="1642"/>
        <w:gridCol w:w="1642"/>
        <w:gridCol w:w="1642"/>
      </w:tblGrid>
      <w:tr w:rsidR="00D210F0" w:rsidRPr="00092ED7" w14:paraId="7F628EE1" w14:textId="77777777" w:rsidTr="0092798F">
        <w:trPr>
          <w:cnfStyle w:val="100000000000" w:firstRow="1" w:lastRow="0" w:firstColumn="0" w:lastColumn="0" w:oddVBand="0" w:evenVBand="0" w:oddHBand="0" w:evenHBand="0" w:firstRowFirstColumn="0" w:firstRowLastColumn="0" w:lastRowFirstColumn="0" w:lastRowLastColumn="0"/>
          <w:trHeight w:val="472"/>
        </w:trPr>
        <w:tc>
          <w:tcPr>
            <w:tcW w:w="4288" w:type="dxa"/>
          </w:tcPr>
          <w:p w14:paraId="44C97D5D" w14:textId="77777777" w:rsidR="00D210F0" w:rsidRPr="00092ED7" w:rsidRDefault="00D210F0" w:rsidP="0092798F">
            <w:pPr>
              <w:widowControl w:val="0"/>
              <w:spacing w:before="0" w:after="0"/>
              <w:ind w:left="113" w:right="113"/>
              <w:jc w:val="center"/>
              <w:rPr>
                <w:rFonts w:eastAsia="Calibri" w:cs="Times New Roman"/>
                <w:b w:val="0"/>
                <w:sz w:val="20"/>
                <w:lang w:val="sr-Cyrl-CS" w:eastAsia="sr-Cyrl-CS" w:bidi="sr-Cyrl-CS"/>
              </w:rPr>
            </w:pPr>
            <w:r w:rsidRPr="00092ED7">
              <w:rPr>
                <w:rFonts w:eastAsia="Calibri" w:cs="Times New Roman"/>
                <w:sz w:val="20"/>
                <w:lang w:val="sr-Cyrl-CS" w:eastAsia="sr-Cyrl-CS" w:bidi="sr-Cyrl-CS"/>
              </w:rPr>
              <w:t>Показатељ</w:t>
            </w:r>
          </w:p>
        </w:tc>
        <w:tc>
          <w:tcPr>
            <w:tcW w:w="1642" w:type="dxa"/>
          </w:tcPr>
          <w:p w14:paraId="00DB3686" w14:textId="77777777" w:rsidR="00D210F0" w:rsidRPr="00092ED7" w:rsidRDefault="00D210F0" w:rsidP="0092798F">
            <w:pPr>
              <w:widowControl w:val="0"/>
              <w:spacing w:before="0" w:after="0"/>
              <w:ind w:left="113" w:right="113"/>
              <w:jc w:val="center"/>
              <w:rPr>
                <w:rFonts w:eastAsia="Calibri" w:cs="Times New Roman"/>
                <w:b w:val="0"/>
                <w:sz w:val="20"/>
                <w:lang w:val="sr-Cyrl-CS" w:eastAsia="sr-Cyrl-CS" w:bidi="sr-Cyrl-CS"/>
              </w:rPr>
            </w:pPr>
            <w:r w:rsidRPr="00092ED7">
              <w:rPr>
                <w:rFonts w:eastAsia="Calibri" w:cs="Times New Roman"/>
                <w:sz w:val="20"/>
                <w:lang w:val="sr-Cyrl-CS" w:eastAsia="sr-Cyrl-CS" w:bidi="sr-Cyrl-CS"/>
              </w:rPr>
              <w:t xml:space="preserve">Почетна вредност </w:t>
            </w:r>
            <w:r w:rsidR="0092798F" w:rsidRPr="00092ED7">
              <w:rPr>
                <w:rFonts w:eastAsia="Calibri" w:cs="Times New Roman"/>
                <w:sz w:val="20"/>
                <w:lang w:val="sr-Cyrl-CS" w:eastAsia="sr-Cyrl-CS" w:bidi="sr-Cyrl-CS"/>
              </w:rPr>
              <w:t>(202</w:t>
            </w:r>
            <w:r w:rsidR="00FB47ED" w:rsidRPr="00092ED7">
              <w:rPr>
                <w:rFonts w:eastAsia="Calibri" w:cs="Times New Roman"/>
                <w:sz w:val="20"/>
                <w:lang w:val="sr-Cyrl-CS" w:eastAsia="sr-Cyrl-CS" w:bidi="sr-Cyrl-CS"/>
              </w:rPr>
              <w:t>0</w:t>
            </w:r>
            <w:r w:rsidR="0092798F" w:rsidRPr="00092ED7">
              <w:rPr>
                <w:rFonts w:eastAsia="Calibri" w:cs="Times New Roman"/>
                <w:sz w:val="20"/>
                <w:lang w:val="sr-Cyrl-CS" w:eastAsia="sr-Cyrl-CS" w:bidi="sr-Cyrl-CS"/>
              </w:rPr>
              <w:t>)</w:t>
            </w:r>
          </w:p>
        </w:tc>
        <w:tc>
          <w:tcPr>
            <w:tcW w:w="1642" w:type="dxa"/>
          </w:tcPr>
          <w:p w14:paraId="74C76F12" w14:textId="77777777" w:rsidR="00D210F0" w:rsidRPr="00092ED7" w:rsidRDefault="00D210F0" w:rsidP="0092798F">
            <w:pPr>
              <w:widowControl w:val="0"/>
              <w:spacing w:before="0" w:after="0"/>
              <w:ind w:left="113" w:right="113"/>
              <w:jc w:val="center"/>
              <w:rPr>
                <w:rFonts w:eastAsia="Calibri" w:cs="Times New Roman"/>
                <w:b w:val="0"/>
                <w:sz w:val="20"/>
                <w:lang w:val="sr-Cyrl-CS" w:eastAsia="sr-Cyrl-CS" w:bidi="sr-Cyrl-CS"/>
              </w:rPr>
            </w:pPr>
            <w:r w:rsidRPr="00092ED7">
              <w:rPr>
                <w:rFonts w:eastAsia="Calibri" w:cs="Times New Roman"/>
                <w:sz w:val="20"/>
                <w:lang w:val="sr-Cyrl-CS" w:eastAsia="sr-Cyrl-CS" w:bidi="sr-Cyrl-CS"/>
              </w:rPr>
              <w:t xml:space="preserve">Међурезултат </w:t>
            </w:r>
            <w:r w:rsidR="0092798F" w:rsidRPr="00092ED7">
              <w:rPr>
                <w:rFonts w:eastAsia="Calibri" w:cs="Times New Roman"/>
                <w:sz w:val="20"/>
                <w:lang w:val="sr-Cyrl-CS" w:eastAsia="sr-Cyrl-CS" w:bidi="sr-Cyrl-CS"/>
              </w:rPr>
              <w:t>(2023)</w:t>
            </w:r>
          </w:p>
        </w:tc>
        <w:tc>
          <w:tcPr>
            <w:tcW w:w="1642" w:type="dxa"/>
          </w:tcPr>
          <w:p w14:paraId="21FCEED1" w14:textId="77777777" w:rsidR="00D210F0" w:rsidRPr="00092ED7" w:rsidRDefault="00D210F0" w:rsidP="0092798F">
            <w:pPr>
              <w:widowControl w:val="0"/>
              <w:spacing w:before="0" w:after="0"/>
              <w:ind w:left="113" w:right="113"/>
              <w:jc w:val="center"/>
              <w:rPr>
                <w:rFonts w:eastAsia="Calibri" w:cs="Times New Roman"/>
                <w:b w:val="0"/>
                <w:sz w:val="20"/>
                <w:lang w:val="sr-Cyrl-CS" w:eastAsia="sr-Cyrl-CS" w:bidi="sr-Cyrl-CS"/>
              </w:rPr>
            </w:pPr>
            <w:r w:rsidRPr="00092ED7">
              <w:rPr>
                <w:rFonts w:eastAsia="Calibri" w:cs="Times New Roman"/>
                <w:sz w:val="20"/>
                <w:lang w:val="sr-Cyrl-CS" w:eastAsia="sr-Cyrl-CS" w:bidi="sr-Cyrl-CS"/>
              </w:rPr>
              <w:t xml:space="preserve">Циљна вредност </w:t>
            </w:r>
            <w:r w:rsidR="0092798F" w:rsidRPr="00092ED7">
              <w:rPr>
                <w:rFonts w:eastAsia="Calibri" w:cs="Times New Roman"/>
                <w:sz w:val="20"/>
                <w:lang w:val="sr-Cyrl-CS" w:eastAsia="sr-Cyrl-CS" w:bidi="sr-Cyrl-CS"/>
              </w:rPr>
              <w:t>(2024)</w:t>
            </w:r>
          </w:p>
        </w:tc>
      </w:tr>
      <w:tr w:rsidR="00D210F0" w:rsidRPr="00092ED7" w14:paraId="3710E3BD" w14:textId="77777777" w:rsidTr="0092798F">
        <w:trPr>
          <w:trHeight w:val="488"/>
        </w:trPr>
        <w:tc>
          <w:tcPr>
            <w:tcW w:w="4288" w:type="dxa"/>
          </w:tcPr>
          <w:p w14:paraId="03104E78" w14:textId="77777777" w:rsidR="00D210F0" w:rsidRPr="00092ED7" w:rsidRDefault="00FB47ED" w:rsidP="0092798F">
            <w:pPr>
              <w:widowControl w:val="0"/>
              <w:spacing w:before="0" w:after="0"/>
              <w:ind w:left="113" w:right="113"/>
              <w:rPr>
                <w:rFonts w:eastAsia="Calibri" w:cs="Times New Roman"/>
                <w:bCs/>
                <w:sz w:val="20"/>
                <w:lang w:val="sr-Cyrl-CS" w:eastAsia="sr-Cyrl-CS" w:bidi="sr-Cyrl-CS"/>
              </w:rPr>
            </w:pPr>
            <w:r w:rsidRPr="00092ED7">
              <w:rPr>
                <w:rFonts w:cs="Times New Roman"/>
                <w:sz w:val="20"/>
                <w:lang w:val="sr-Cyrl-CS"/>
              </w:rPr>
              <w:t xml:space="preserve">Проценат установа из Плана мреже </w:t>
            </w:r>
            <w:r w:rsidR="00D210F0" w:rsidRPr="00092ED7">
              <w:rPr>
                <w:rFonts w:eastAsia="Calibri" w:cs="Times New Roman"/>
                <w:sz w:val="20"/>
                <w:lang w:val="sr-Cyrl-CS" w:eastAsia="sr-Cyrl-CS" w:bidi="sr-Cyrl-CS"/>
              </w:rPr>
              <w:t>које користе електронски медицински досије (кумулатив)</w:t>
            </w:r>
          </w:p>
        </w:tc>
        <w:tc>
          <w:tcPr>
            <w:tcW w:w="1642" w:type="dxa"/>
          </w:tcPr>
          <w:p w14:paraId="239F0778" w14:textId="77777777" w:rsidR="00D210F0" w:rsidRPr="00092ED7" w:rsidRDefault="0092798F"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0</w:t>
            </w:r>
          </w:p>
        </w:tc>
        <w:tc>
          <w:tcPr>
            <w:tcW w:w="1642" w:type="dxa"/>
          </w:tcPr>
          <w:p w14:paraId="26EE5114" w14:textId="77777777" w:rsidR="00D210F0" w:rsidRPr="00092ED7" w:rsidRDefault="00D210F0"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225</w:t>
            </w:r>
            <w:r w:rsidR="00FB47ED" w:rsidRPr="00092ED7">
              <w:rPr>
                <w:rFonts w:eastAsia="Calibri" w:cs="Times New Roman"/>
                <w:sz w:val="20"/>
                <w:lang w:val="sr-Cyrl-CS" w:eastAsia="sr-Cyrl-CS" w:bidi="sr-Cyrl-CS"/>
              </w:rPr>
              <w:t xml:space="preserve"> установа</w:t>
            </w:r>
            <w:r w:rsidR="00FB47ED" w:rsidRPr="00092ED7">
              <w:rPr>
                <w:rFonts w:eastAsia="Calibri" w:cs="Times New Roman"/>
                <w:sz w:val="20"/>
                <w:lang w:val="sr-Cyrl-CS" w:eastAsia="sr-Cyrl-CS" w:bidi="sr-Cyrl-CS"/>
              </w:rPr>
              <w:br/>
              <w:t>70%</w:t>
            </w:r>
          </w:p>
        </w:tc>
        <w:tc>
          <w:tcPr>
            <w:tcW w:w="1642" w:type="dxa"/>
          </w:tcPr>
          <w:p w14:paraId="1FA92583" w14:textId="77777777" w:rsidR="00D210F0" w:rsidRPr="00092ED7" w:rsidRDefault="00D210F0"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250</w:t>
            </w:r>
            <w:r w:rsidR="00FB47ED" w:rsidRPr="00092ED7">
              <w:rPr>
                <w:rFonts w:eastAsia="Calibri" w:cs="Times New Roman"/>
                <w:sz w:val="20"/>
                <w:lang w:val="sr-Cyrl-CS" w:eastAsia="sr-Cyrl-CS" w:bidi="sr-Cyrl-CS"/>
              </w:rPr>
              <w:t xml:space="preserve"> установа </w:t>
            </w:r>
            <w:r w:rsidR="00FB47ED" w:rsidRPr="00092ED7">
              <w:rPr>
                <w:rFonts w:eastAsia="Calibri" w:cs="Times New Roman"/>
                <w:sz w:val="20"/>
                <w:lang w:val="sr-Cyrl-CS" w:eastAsia="sr-Cyrl-CS" w:bidi="sr-Cyrl-CS"/>
              </w:rPr>
              <w:br/>
              <w:t>80%</w:t>
            </w:r>
          </w:p>
        </w:tc>
      </w:tr>
      <w:tr w:rsidR="00D210F0" w:rsidRPr="00092ED7" w14:paraId="18154DB2" w14:textId="77777777" w:rsidTr="0092798F">
        <w:trPr>
          <w:trHeight w:val="708"/>
        </w:trPr>
        <w:tc>
          <w:tcPr>
            <w:tcW w:w="4288" w:type="dxa"/>
          </w:tcPr>
          <w:p w14:paraId="1DFD98A3" w14:textId="77777777" w:rsidR="00D210F0" w:rsidRPr="00092ED7" w:rsidRDefault="00FB47ED" w:rsidP="00FB47ED">
            <w:pPr>
              <w:widowControl w:val="0"/>
              <w:spacing w:before="0" w:after="0"/>
              <w:ind w:left="113" w:right="113"/>
              <w:rPr>
                <w:rFonts w:eastAsia="Calibri" w:cs="Times New Roman"/>
                <w:b/>
                <w:sz w:val="20"/>
                <w:lang w:val="sr-Cyrl-CS" w:eastAsia="sr-Cyrl-CS" w:bidi="sr-Cyrl-CS"/>
              </w:rPr>
            </w:pPr>
            <w:r w:rsidRPr="00092ED7">
              <w:rPr>
                <w:rFonts w:cs="Times New Roman"/>
                <w:sz w:val="20"/>
                <w:lang w:val="sr-Cyrl-CS"/>
              </w:rPr>
              <w:t xml:space="preserve">Број одрађених снимака применом вештачке интелигенције у дијагностичким процедурама </w:t>
            </w:r>
            <w:r w:rsidR="00D210F0" w:rsidRPr="00092ED7">
              <w:rPr>
                <w:rFonts w:eastAsia="Calibri" w:cs="Times New Roman"/>
                <w:sz w:val="20"/>
                <w:lang w:val="sr-Cyrl-CS" w:eastAsia="sr-Cyrl-CS" w:bidi="sr-Cyrl-CS"/>
              </w:rPr>
              <w:t xml:space="preserve">(скрининг рака дојке) </w:t>
            </w:r>
          </w:p>
        </w:tc>
        <w:tc>
          <w:tcPr>
            <w:tcW w:w="1642" w:type="dxa"/>
          </w:tcPr>
          <w:p w14:paraId="24D569ED" w14:textId="77777777" w:rsidR="00D210F0" w:rsidRPr="00092ED7" w:rsidRDefault="0092798F"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0</w:t>
            </w:r>
          </w:p>
        </w:tc>
        <w:tc>
          <w:tcPr>
            <w:tcW w:w="1642" w:type="dxa"/>
          </w:tcPr>
          <w:p w14:paraId="2A4D723B" w14:textId="77777777" w:rsidR="00D210F0" w:rsidRPr="00092ED7" w:rsidRDefault="00D210F0"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100.000</w:t>
            </w:r>
            <w:r w:rsidR="00FB47ED" w:rsidRPr="00092ED7">
              <w:rPr>
                <w:rFonts w:eastAsia="Calibri" w:cs="Times New Roman"/>
                <w:sz w:val="20"/>
                <w:lang w:val="sr-Cyrl-CS" w:eastAsia="sr-Cyrl-CS" w:bidi="sr-Cyrl-CS"/>
              </w:rPr>
              <w:br/>
              <w:t>25%</w:t>
            </w:r>
          </w:p>
        </w:tc>
        <w:tc>
          <w:tcPr>
            <w:tcW w:w="1642" w:type="dxa"/>
          </w:tcPr>
          <w:p w14:paraId="7823FFB2" w14:textId="77777777" w:rsidR="00D210F0" w:rsidRPr="00092ED7" w:rsidRDefault="00D210F0"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200.000</w:t>
            </w:r>
            <w:r w:rsidR="00FB47ED" w:rsidRPr="00092ED7">
              <w:rPr>
                <w:rFonts w:eastAsia="Calibri" w:cs="Times New Roman"/>
                <w:sz w:val="20"/>
                <w:lang w:val="sr-Cyrl-CS" w:eastAsia="sr-Cyrl-CS" w:bidi="sr-Cyrl-CS"/>
              </w:rPr>
              <w:br/>
              <w:t>50%</w:t>
            </w:r>
          </w:p>
        </w:tc>
      </w:tr>
      <w:tr w:rsidR="00D210F0" w:rsidRPr="00092ED7" w14:paraId="504E07FB" w14:textId="77777777" w:rsidTr="0092798F">
        <w:trPr>
          <w:trHeight w:val="480"/>
        </w:trPr>
        <w:tc>
          <w:tcPr>
            <w:tcW w:w="4288" w:type="dxa"/>
          </w:tcPr>
          <w:p w14:paraId="04526D39" w14:textId="77777777" w:rsidR="00D210F0" w:rsidRPr="00092ED7" w:rsidRDefault="00FB47ED" w:rsidP="0092798F">
            <w:pPr>
              <w:widowControl w:val="0"/>
              <w:spacing w:before="0" w:after="0"/>
              <w:ind w:left="113" w:right="113"/>
              <w:rPr>
                <w:rFonts w:eastAsia="Calibri" w:cs="Times New Roman"/>
                <w:b/>
                <w:sz w:val="20"/>
                <w:lang w:val="sr-Cyrl-CS" w:eastAsia="sr-Cyrl-CS" w:bidi="sr-Cyrl-CS"/>
              </w:rPr>
            </w:pPr>
            <w:r w:rsidRPr="00092ED7">
              <w:rPr>
                <w:rFonts w:cs="Times New Roman"/>
                <w:sz w:val="20"/>
                <w:lang w:val="sr-Cyrl-CS"/>
              </w:rPr>
              <w:t>Број електронских рецепата који се примењују на помагала и ампулиране лекове на примарном нивоу здравствене заштите</w:t>
            </w:r>
          </w:p>
        </w:tc>
        <w:tc>
          <w:tcPr>
            <w:tcW w:w="1642" w:type="dxa"/>
          </w:tcPr>
          <w:p w14:paraId="6934E917" w14:textId="77777777" w:rsidR="00D210F0" w:rsidRPr="00092ED7" w:rsidRDefault="0092798F"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0</w:t>
            </w:r>
          </w:p>
        </w:tc>
        <w:tc>
          <w:tcPr>
            <w:tcW w:w="1642" w:type="dxa"/>
          </w:tcPr>
          <w:p w14:paraId="2DDEF8D7" w14:textId="77777777" w:rsidR="00D210F0" w:rsidRPr="00092ED7" w:rsidRDefault="0092798F"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158</w:t>
            </w:r>
            <w:r w:rsidR="00FB47ED" w:rsidRPr="00092ED7">
              <w:rPr>
                <w:rFonts w:eastAsia="Calibri" w:cs="Times New Roman"/>
                <w:sz w:val="20"/>
                <w:lang w:val="sr-Cyrl-CS" w:eastAsia="sr-Cyrl-CS" w:bidi="sr-Cyrl-CS"/>
              </w:rPr>
              <w:t xml:space="preserve"> од 158 установа</w:t>
            </w:r>
          </w:p>
        </w:tc>
        <w:tc>
          <w:tcPr>
            <w:tcW w:w="1642" w:type="dxa"/>
          </w:tcPr>
          <w:p w14:paraId="5DFD0FA5" w14:textId="77777777" w:rsidR="00D210F0" w:rsidRPr="00092ED7" w:rsidRDefault="0092798F"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158</w:t>
            </w:r>
            <w:r w:rsidR="00FB47ED" w:rsidRPr="00092ED7">
              <w:rPr>
                <w:rFonts w:eastAsia="Calibri" w:cs="Times New Roman"/>
                <w:sz w:val="20"/>
                <w:lang w:val="sr-Cyrl-CS" w:eastAsia="sr-Cyrl-CS" w:bidi="sr-Cyrl-CS"/>
              </w:rPr>
              <w:t xml:space="preserve"> од 158 установа</w:t>
            </w:r>
          </w:p>
        </w:tc>
      </w:tr>
    </w:tbl>
    <w:p w14:paraId="5C94F642" w14:textId="77777777" w:rsidR="00D210F0" w:rsidRPr="00092ED7" w:rsidRDefault="00D210F0" w:rsidP="00071952">
      <w:pPr>
        <w:widowControl w:val="0"/>
        <w:numPr>
          <w:ilvl w:val="0"/>
          <w:numId w:val="39"/>
        </w:numPr>
        <w:spacing w:before="120"/>
        <w:rPr>
          <w:rFonts w:cs="Times New Roman"/>
          <w:b/>
          <w:bCs/>
          <w:szCs w:val="24"/>
          <w:lang w:val="sr-Cyrl-CS"/>
        </w:rPr>
      </w:pPr>
      <w:r w:rsidRPr="00092ED7">
        <w:rPr>
          <w:rFonts w:cs="Times New Roman"/>
          <w:b/>
          <w:bCs/>
          <w:szCs w:val="24"/>
          <w:lang w:val="sr-Cyrl-CS"/>
        </w:rPr>
        <w:t>Oчекивани</w:t>
      </w:r>
      <w:r w:rsidRPr="00092ED7">
        <w:rPr>
          <w:b/>
          <w:szCs w:val="24"/>
          <w:lang w:val="sr-Cyrl-CS"/>
        </w:rPr>
        <w:t xml:space="preserve"> утицај на конкурентност</w:t>
      </w:r>
    </w:p>
    <w:p w14:paraId="59B82628" w14:textId="77777777" w:rsidR="00D210F0" w:rsidRPr="00092ED7" w:rsidRDefault="00D210F0" w:rsidP="000E6CF5">
      <w:pPr>
        <w:widowControl w:val="0"/>
        <w:spacing w:after="60"/>
        <w:rPr>
          <w:rFonts w:eastAsia="Times New Roman" w:cs="Times New Roman"/>
          <w:szCs w:val="24"/>
          <w:lang w:val="sr-Cyrl-CS"/>
        </w:rPr>
      </w:pPr>
      <w:r w:rsidRPr="00092ED7">
        <w:rPr>
          <w:rFonts w:eastAsia="Times New Roman" w:cs="Times New Roman"/>
          <w:szCs w:val="24"/>
          <w:lang w:val="sr-Cyrl-CS"/>
        </w:rPr>
        <w:t>Реализација ове реформе утиче на ефикасност здравственог система и квалитет здравствене заштите</w:t>
      </w:r>
      <w:r w:rsidR="006B7E63" w:rsidRPr="00092ED7">
        <w:rPr>
          <w:rFonts w:eastAsia="Times New Roman" w:cs="Times New Roman"/>
          <w:szCs w:val="24"/>
          <w:lang w:val="sr-Cyrl-CS"/>
        </w:rPr>
        <w:t xml:space="preserve"> који истовремено треба да допринесе ефикаснијем лечењу и бољем здравственом стању становништва и тиме мањем одсуству због боловања и већој продуктивности радне снаге</w:t>
      </w:r>
      <w:r w:rsidRPr="00092ED7">
        <w:rPr>
          <w:rFonts w:eastAsia="Times New Roman" w:cs="Times New Roman"/>
          <w:szCs w:val="24"/>
          <w:lang w:val="sr-Cyrl-CS"/>
        </w:rPr>
        <w:t>. Нема</w:t>
      </w:r>
      <w:r w:rsidR="006B7E63" w:rsidRPr="00092ED7">
        <w:rPr>
          <w:rFonts w:eastAsia="Times New Roman" w:cs="Times New Roman"/>
          <w:szCs w:val="24"/>
          <w:lang w:val="sr-Cyrl-CS"/>
        </w:rPr>
        <w:t xml:space="preserve"> директан</w:t>
      </w:r>
      <w:r w:rsidRPr="00092ED7">
        <w:rPr>
          <w:rFonts w:eastAsia="Times New Roman" w:cs="Times New Roman"/>
          <w:szCs w:val="24"/>
          <w:lang w:val="sr-Cyrl-CS"/>
        </w:rPr>
        <w:t xml:space="preserve"> утицај на конкурентност привреде, али доприноси значајним уштедама које могу бити усмерене на иновативна решења.</w:t>
      </w:r>
    </w:p>
    <w:p w14:paraId="089CA0C1" w14:textId="77777777" w:rsidR="00D210F0" w:rsidRPr="00092ED7" w:rsidRDefault="00D210F0" w:rsidP="00071952">
      <w:pPr>
        <w:widowControl w:val="0"/>
        <w:numPr>
          <w:ilvl w:val="0"/>
          <w:numId w:val="39"/>
        </w:numPr>
        <w:spacing w:before="120"/>
        <w:rPr>
          <w:rFonts w:cs="Times New Roman"/>
          <w:b/>
          <w:bCs/>
          <w:szCs w:val="24"/>
          <w:lang w:val="sr-Cyrl-CS"/>
        </w:rPr>
      </w:pPr>
      <w:r w:rsidRPr="00092ED7">
        <w:rPr>
          <w:rFonts w:cs="Times New Roman"/>
          <w:b/>
          <w:bCs/>
          <w:szCs w:val="24"/>
          <w:lang w:val="sr-Cyrl-CS"/>
        </w:rPr>
        <w:t>Процењени</w:t>
      </w:r>
      <w:r w:rsidRPr="00092ED7">
        <w:rPr>
          <w:b/>
          <w:szCs w:val="24"/>
          <w:lang w:val="sr-Cyrl-CS"/>
        </w:rPr>
        <w:t xml:space="preserve"> трошкови спровођења структурне реформе и предвиђени извори њиховог финансирања</w:t>
      </w:r>
    </w:p>
    <w:p w14:paraId="7BCFC5E1" w14:textId="540DEBF4" w:rsidR="00A56C7D" w:rsidRPr="00092ED7" w:rsidRDefault="00A56C7D" w:rsidP="000E6CF5">
      <w:pPr>
        <w:spacing w:after="60"/>
        <w:rPr>
          <w:rFonts w:eastAsia="Times New Roman" w:cs="Times New Roman"/>
          <w:szCs w:val="24"/>
          <w:lang w:val="sr-Cyrl-CS"/>
        </w:rPr>
      </w:pPr>
      <w:r w:rsidRPr="00092ED7">
        <w:rPr>
          <w:rFonts w:eastAsia="Times New Roman" w:cs="Times New Roman"/>
          <w:szCs w:val="24"/>
          <w:lang w:val="sr-Cyrl-CS"/>
        </w:rPr>
        <w:t>За 2023. годину, у буџету Р</w:t>
      </w:r>
      <w:r w:rsidR="008B1412" w:rsidRPr="00092ED7">
        <w:rPr>
          <w:rFonts w:eastAsia="Times New Roman" w:cs="Times New Roman"/>
          <w:szCs w:val="24"/>
          <w:lang w:val="sr-Cyrl-CS"/>
        </w:rPr>
        <w:t>епублике Србије</w:t>
      </w:r>
      <w:r w:rsidRPr="00092ED7">
        <w:rPr>
          <w:rFonts w:eastAsia="Times New Roman" w:cs="Times New Roman"/>
          <w:szCs w:val="24"/>
          <w:lang w:val="sr-Cyrl-CS"/>
        </w:rPr>
        <w:t>, су предвиђена средства од 12.500.000 евра за реализацију горе</w:t>
      </w:r>
      <w:r w:rsidR="00002CB1" w:rsidRPr="00092ED7">
        <w:rPr>
          <w:rFonts w:eastAsia="Times New Roman" w:cs="Times New Roman"/>
          <w:szCs w:val="24"/>
          <w:lang w:val="sr-Cyrl-CS"/>
        </w:rPr>
        <w:t xml:space="preserve"> </w:t>
      </w:r>
      <w:r w:rsidRPr="00092ED7">
        <w:rPr>
          <w:rFonts w:eastAsia="Times New Roman" w:cs="Times New Roman"/>
          <w:szCs w:val="24"/>
          <w:lang w:val="sr-Cyrl-CS"/>
        </w:rPr>
        <w:t xml:space="preserve">наведених активности као и за редовно одржавање постојећег система. Предвиђено је да половина новца буде потрошена на одржавање већ постојећег система а друга половина новца на следеће активности: </w:t>
      </w:r>
    </w:p>
    <w:p w14:paraId="6CE74AA9" w14:textId="6E0450CA" w:rsidR="00A56C7D" w:rsidRPr="00092ED7" w:rsidRDefault="00A56C7D" w:rsidP="00053B2B">
      <w:pPr>
        <w:pStyle w:val="ListParagraph"/>
        <w:numPr>
          <w:ilvl w:val="0"/>
          <w:numId w:val="54"/>
        </w:numPr>
        <w:spacing w:after="60" w:line="240" w:lineRule="auto"/>
        <w:rPr>
          <w:rFonts w:eastAsia="Times New Roman" w:cs="Times New Roman"/>
          <w:sz w:val="24"/>
          <w:szCs w:val="24"/>
          <w:lang w:val="sr-Cyrl-CS"/>
        </w:rPr>
      </w:pPr>
      <w:r w:rsidRPr="00092ED7">
        <w:rPr>
          <w:rFonts w:eastAsia="Times New Roman" w:cs="Times New Roman"/>
          <w:sz w:val="24"/>
          <w:szCs w:val="24"/>
          <w:lang w:val="sr-Cyrl-CS"/>
        </w:rPr>
        <w:t xml:space="preserve">Успостављање електронског медицинског досијеа – почетак пројекта планиран је за први квартал 2023. године а завршетак крајем 2023. године. Извор финансирања: буџет </w:t>
      </w:r>
      <w:r w:rsidR="003A0718" w:rsidRPr="00092ED7">
        <w:rPr>
          <w:rFonts w:eastAsia="Times New Roman" w:cs="Times New Roman"/>
          <w:sz w:val="24"/>
          <w:szCs w:val="24"/>
          <w:lang w:val="sr-Cyrl-CS"/>
        </w:rPr>
        <w:t>Републике Србије</w:t>
      </w:r>
      <w:r w:rsidRPr="00092ED7">
        <w:rPr>
          <w:rFonts w:eastAsia="Times New Roman" w:cs="Times New Roman"/>
          <w:sz w:val="24"/>
          <w:szCs w:val="24"/>
          <w:lang w:val="sr-Cyrl-CS"/>
        </w:rPr>
        <w:t>;</w:t>
      </w:r>
    </w:p>
    <w:p w14:paraId="00283467" w14:textId="369C5210" w:rsidR="00A56C7D" w:rsidRPr="00092ED7" w:rsidRDefault="00A56C7D" w:rsidP="00053B2B">
      <w:pPr>
        <w:pStyle w:val="ListParagraph"/>
        <w:numPr>
          <w:ilvl w:val="0"/>
          <w:numId w:val="54"/>
        </w:numPr>
        <w:spacing w:after="60" w:line="240" w:lineRule="auto"/>
        <w:rPr>
          <w:rFonts w:eastAsia="Times New Roman" w:cs="Times New Roman"/>
          <w:sz w:val="24"/>
          <w:szCs w:val="24"/>
          <w:lang w:val="sr-Cyrl-CS"/>
        </w:rPr>
      </w:pPr>
      <w:r w:rsidRPr="00092ED7">
        <w:rPr>
          <w:rFonts w:eastAsia="Times New Roman" w:cs="Times New Roman"/>
          <w:sz w:val="24"/>
          <w:szCs w:val="24"/>
          <w:lang w:val="sr-Cyrl-CS"/>
        </w:rPr>
        <w:t xml:space="preserve">Успостављање централне платформе за повезивање државних и приватних лабораторија еЛАБ – почетак пројекта планиран је за први квартал 2023. године а завршетак почетком 2024. године. Извор финансирања: буџет </w:t>
      </w:r>
      <w:r w:rsidR="008B1412" w:rsidRPr="00092ED7">
        <w:rPr>
          <w:rFonts w:eastAsia="Times New Roman" w:cs="Times New Roman"/>
          <w:sz w:val="24"/>
          <w:szCs w:val="24"/>
          <w:lang w:val="sr-Cyrl-CS"/>
        </w:rPr>
        <w:t>Републике Србије</w:t>
      </w:r>
      <w:r w:rsidRPr="00092ED7">
        <w:rPr>
          <w:rFonts w:eastAsia="Times New Roman" w:cs="Times New Roman"/>
          <w:sz w:val="24"/>
          <w:szCs w:val="24"/>
          <w:lang w:val="sr-Cyrl-CS"/>
        </w:rPr>
        <w:t>;</w:t>
      </w:r>
    </w:p>
    <w:p w14:paraId="216F0266" w14:textId="2BC00CCA" w:rsidR="00A56C7D" w:rsidRPr="00092ED7" w:rsidRDefault="00A56C7D" w:rsidP="00053B2B">
      <w:pPr>
        <w:pStyle w:val="ListParagraph"/>
        <w:numPr>
          <w:ilvl w:val="0"/>
          <w:numId w:val="54"/>
        </w:numPr>
        <w:spacing w:after="60" w:line="240" w:lineRule="auto"/>
        <w:ind w:left="357" w:hanging="357"/>
        <w:rPr>
          <w:rFonts w:eastAsia="Times New Roman" w:cs="Times New Roman"/>
          <w:sz w:val="24"/>
          <w:szCs w:val="24"/>
          <w:lang w:val="sr-Cyrl-CS"/>
        </w:rPr>
      </w:pPr>
      <w:r w:rsidRPr="00092ED7">
        <w:rPr>
          <w:rFonts w:eastAsia="Times New Roman" w:cs="Times New Roman"/>
          <w:sz w:val="24"/>
          <w:szCs w:val="24"/>
          <w:lang w:val="sr-Cyrl-CS"/>
        </w:rPr>
        <w:t xml:space="preserve">Проширење еРецепта на помагала и ампулиране лекове (медицинска терапеутска помагала) – проширење се односи само на установе примарне здравствене заштите. Почетак пројекта планиран је за први квартал 2023. године а завршетак крајем 2023. године. Извор финансирања: буџет </w:t>
      </w:r>
      <w:r w:rsidR="008B1412" w:rsidRPr="00092ED7">
        <w:rPr>
          <w:rFonts w:eastAsia="Times New Roman" w:cs="Times New Roman"/>
          <w:sz w:val="24"/>
          <w:szCs w:val="24"/>
          <w:lang w:val="sr-Cyrl-CS"/>
        </w:rPr>
        <w:t>Републике Србије</w:t>
      </w:r>
      <w:r w:rsidRPr="00092ED7">
        <w:rPr>
          <w:rFonts w:eastAsia="Times New Roman" w:cs="Times New Roman"/>
          <w:sz w:val="24"/>
          <w:szCs w:val="24"/>
          <w:lang w:val="sr-Cyrl-CS"/>
        </w:rPr>
        <w:t>;</w:t>
      </w:r>
    </w:p>
    <w:p w14:paraId="3ABBD8A0" w14:textId="3A8D1144" w:rsidR="00A56C7D" w:rsidRPr="00092ED7" w:rsidRDefault="00A56C7D" w:rsidP="00053B2B">
      <w:pPr>
        <w:pStyle w:val="ListParagraph"/>
        <w:numPr>
          <w:ilvl w:val="0"/>
          <w:numId w:val="54"/>
        </w:numPr>
        <w:spacing w:after="60" w:line="240" w:lineRule="auto"/>
        <w:rPr>
          <w:rFonts w:eastAsia="Times New Roman" w:cs="Times New Roman"/>
          <w:sz w:val="24"/>
          <w:szCs w:val="24"/>
          <w:lang w:val="sr-Cyrl-CS"/>
        </w:rPr>
      </w:pPr>
      <w:r w:rsidRPr="00092ED7">
        <w:rPr>
          <w:rFonts w:eastAsia="Times New Roman" w:cs="Times New Roman"/>
          <w:sz w:val="24"/>
          <w:szCs w:val="24"/>
          <w:lang w:val="sr-Cyrl-CS"/>
        </w:rPr>
        <w:t xml:space="preserve">Имплементација система за проверу интеракције лекова и система подршке за доношење клиничких одлука – почетак пројекта планиран је за </w:t>
      </w:r>
      <w:r w:rsidR="00362206" w:rsidRPr="00092ED7">
        <w:rPr>
          <w:rFonts w:eastAsia="Times New Roman" w:cs="Times New Roman"/>
          <w:sz w:val="24"/>
          <w:szCs w:val="24"/>
          <w:lang w:val="sr-Cyrl-CS"/>
        </w:rPr>
        <w:t xml:space="preserve">трећи </w:t>
      </w:r>
      <w:r w:rsidRPr="00092ED7">
        <w:rPr>
          <w:rFonts w:eastAsia="Times New Roman" w:cs="Times New Roman"/>
          <w:sz w:val="24"/>
          <w:szCs w:val="24"/>
          <w:lang w:val="sr-Cyrl-CS"/>
        </w:rPr>
        <w:t xml:space="preserve">квартал 2023. године а завршетак </w:t>
      </w:r>
      <w:r w:rsidR="00362206" w:rsidRPr="00092ED7">
        <w:rPr>
          <w:rFonts w:eastAsia="Times New Roman" w:cs="Times New Roman"/>
          <w:sz w:val="24"/>
          <w:szCs w:val="24"/>
          <w:lang w:val="sr-Cyrl-CS"/>
        </w:rPr>
        <w:t xml:space="preserve">за четврти квартал </w:t>
      </w:r>
      <w:r w:rsidRPr="00092ED7">
        <w:rPr>
          <w:rFonts w:eastAsia="Times New Roman" w:cs="Times New Roman"/>
          <w:sz w:val="24"/>
          <w:szCs w:val="24"/>
          <w:lang w:val="sr-Cyrl-CS"/>
        </w:rPr>
        <w:t xml:space="preserve">2024. године. </w:t>
      </w:r>
    </w:p>
    <w:p w14:paraId="5372449F" w14:textId="01B75E01" w:rsidR="00A56C7D" w:rsidRPr="00092ED7" w:rsidRDefault="00A56C7D" w:rsidP="00053B2B">
      <w:pPr>
        <w:pStyle w:val="ListParagraph"/>
        <w:numPr>
          <w:ilvl w:val="0"/>
          <w:numId w:val="54"/>
        </w:numPr>
        <w:spacing w:after="60" w:line="240" w:lineRule="auto"/>
        <w:ind w:left="357" w:hanging="357"/>
        <w:rPr>
          <w:rFonts w:eastAsia="Times New Roman" w:cs="Times New Roman"/>
          <w:sz w:val="24"/>
          <w:szCs w:val="24"/>
          <w:lang w:val="sr-Cyrl-CS"/>
        </w:rPr>
      </w:pPr>
      <w:r w:rsidRPr="00092ED7">
        <w:rPr>
          <w:rFonts w:eastAsia="Times New Roman" w:cs="Times New Roman"/>
          <w:sz w:val="24"/>
          <w:szCs w:val="24"/>
          <w:lang w:val="sr-Cyrl-CS"/>
        </w:rPr>
        <w:t xml:space="preserve">Проширење еРецепта болнички лекови (Б и Ц листа) – почетак пројекта планиран је крајем 2023. године а завршетак крајем 2025. године. Извор финансирања: буџет </w:t>
      </w:r>
      <w:r w:rsidR="008B1412" w:rsidRPr="00092ED7">
        <w:rPr>
          <w:rFonts w:eastAsia="Times New Roman" w:cs="Times New Roman"/>
          <w:sz w:val="24"/>
          <w:szCs w:val="24"/>
          <w:lang w:val="sr-Cyrl-CS"/>
        </w:rPr>
        <w:t>Републике Србије</w:t>
      </w:r>
      <w:r w:rsidRPr="00092ED7">
        <w:rPr>
          <w:rFonts w:eastAsia="Times New Roman" w:cs="Times New Roman"/>
          <w:sz w:val="24"/>
          <w:szCs w:val="24"/>
          <w:lang w:val="sr-Cyrl-CS"/>
        </w:rPr>
        <w:t>;</w:t>
      </w:r>
    </w:p>
    <w:p w14:paraId="61BF6113" w14:textId="729DFDD0" w:rsidR="00A56C7D" w:rsidRPr="00092ED7" w:rsidRDefault="00A56C7D" w:rsidP="000E6CF5">
      <w:pPr>
        <w:pStyle w:val="ListParagraph"/>
        <w:numPr>
          <w:ilvl w:val="0"/>
          <w:numId w:val="54"/>
        </w:numPr>
        <w:spacing w:after="60" w:line="240" w:lineRule="auto"/>
        <w:rPr>
          <w:sz w:val="24"/>
          <w:szCs w:val="24"/>
          <w:lang w:val="sr-Cyrl-CS"/>
        </w:rPr>
      </w:pPr>
      <w:r w:rsidRPr="00092ED7">
        <w:rPr>
          <w:rFonts w:eastAsia="Times New Roman" w:cs="Times New Roman"/>
          <w:sz w:val="24"/>
          <w:szCs w:val="24"/>
          <w:lang w:val="sr-Cyrl-CS"/>
        </w:rPr>
        <w:t xml:space="preserve">Примена вештачке интелигенције у радиологији (Скрининг рака дојке) – почетак пројекта планиран је почетком 2023. године а завршетак крајем 2025. године. Извор финансирања: буџет </w:t>
      </w:r>
      <w:r w:rsidR="008B1412" w:rsidRPr="00092ED7">
        <w:rPr>
          <w:rFonts w:eastAsia="Times New Roman" w:cs="Times New Roman"/>
          <w:sz w:val="24"/>
          <w:szCs w:val="24"/>
          <w:lang w:val="sr-Cyrl-CS"/>
        </w:rPr>
        <w:t>Републике Србије</w:t>
      </w:r>
      <w:r w:rsidRPr="00092ED7">
        <w:rPr>
          <w:rFonts w:eastAsia="Times New Roman" w:cs="Times New Roman"/>
          <w:sz w:val="24"/>
          <w:szCs w:val="24"/>
          <w:lang w:val="sr-Cyrl-CS"/>
        </w:rPr>
        <w:t>.</w:t>
      </w:r>
    </w:p>
    <w:p w14:paraId="05FC0387" w14:textId="77777777" w:rsidR="00D210F0" w:rsidRPr="00092ED7" w:rsidRDefault="00D210F0" w:rsidP="00071952">
      <w:pPr>
        <w:widowControl w:val="0"/>
        <w:numPr>
          <w:ilvl w:val="0"/>
          <w:numId w:val="39"/>
        </w:numPr>
        <w:spacing w:before="120"/>
        <w:rPr>
          <w:rFonts w:cs="Times New Roman"/>
          <w:b/>
          <w:szCs w:val="24"/>
          <w:lang w:val="sr-Cyrl-CS"/>
        </w:rPr>
      </w:pPr>
      <w:r w:rsidRPr="00092ED7">
        <w:rPr>
          <w:rFonts w:cs="Times New Roman"/>
          <w:b/>
          <w:bCs/>
          <w:szCs w:val="24"/>
          <w:lang w:val="sr-Cyrl-CS"/>
        </w:rPr>
        <w:t>Очекивани</w:t>
      </w:r>
      <w:r w:rsidRPr="00092ED7">
        <w:rPr>
          <w:rFonts w:cs="Times New Roman"/>
          <w:b/>
          <w:szCs w:val="24"/>
          <w:lang w:val="sr-Cyrl-CS"/>
        </w:rPr>
        <w:t xml:space="preserve"> утицај на социјалне циљеве, као што су запосленост, смањење сиромаштва, родна равноправност и приступ здравственој заштити</w:t>
      </w:r>
    </w:p>
    <w:p w14:paraId="301FFB8E" w14:textId="77777777" w:rsidR="00D210F0" w:rsidRPr="00092ED7" w:rsidRDefault="00D210F0" w:rsidP="00D210F0">
      <w:pPr>
        <w:widowControl w:val="0"/>
        <w:spacing w:after="60"/>
        <w:rPr>
          <w:rFonts w:eastAsia="Times New Roman" w:cs="Times New Roman"/>
          <w:szCs w:val="24"/>
          <w:lang w:val="sr-Cyrl-CS"/>
        </w:rPr>
      </w:pPr>
      <w:r w:rsidRPr="00092ED7">
        <w:rPr>
          <w:rFonts w:eastAsia="Times New Roman" w:cs="Times New Roman"/>
          <w:szCs w:val="24"/>
          <w:lang w:val="sr-Cyrl-CS"/>
        </w:rPr>
        <w:t>Имплементација планираних активности ће унапредити приступ здравственој заштити</w:t>
      </w:r>
      <w:r w:rsidR="005B3BCB" w:rsidRPr="00092ED7">
        <w:rPr>
          <w:rFonts w:eastAsia="Times New Roman" w:cs="Times New Roman"/>
          <w:szCs w:val="24"/>
          <w:lang w:val="sr-Cyrl-CS"/>
        </w:rPr>
        <w:t>,</w:t>
      </w:r>
      <w:r w:rsidRPr="00092ED7">
        <w:rPr>
          <w:rFonts w:eastAsia="Times New Roman" w:cs="Times New Roman"/>
          <w:szCs w:val="24"/>
          <w:lang w:val="sr-Cyrl-CS"/>
        </w:rPr>
        <w:t xml:space="preserve"> примарно коришћењем електронског медицинског досијеа и повећањем ефикасности, које ће бити видљиво кроз ефикасније лечење. Лекарима ће бити доступне све здравствене информације о пацијенту, а увезивањем лабораторија </w:t>
      </w:r>
      <w:r w:rsidR="005B3BCB" w:rsidRPr="00092ED7">
        <w:rPr>
          <w:rFonts w:eastAsia="Times New Roman" w:cs="Times New Roman"/>
          <w:szCs w:val="24"/>
          <w:lang w:val="sr-Cyrl-CS"/>
        </w:rPr>
        <w:t xml:space="preserve">(приватног и државног сектора) </w:t>
      </w:r>
      <w:r w:rsidRPr="00092ED7">
        <w:rPr>
          <w:rFonts w:eastAsia="Times New Roman" w:cs="Times New Roman"/>
          <w:szCs w:val="24"/>
          <w:lang w:val="sr-Cyrl-CS"/>
        </w:rPr>
        <w:t xml:space="preserve">омогућиће да се </w:t>
      </w:r>
      <w:r w:rsidR="005B3BCB" w:rsidRPr="00092ED7">
        <w:rPr>
          <w:rFonts w:eastAsia="Times New Roman" w:cs="Times New Roman"/>
          <w:szCs w:val="24"/>
          <w:lang w:val="sr-Cyrl-CS"/>
        </w:rPr>
        <w:t xml:space="preserve">анализе </w:t>
      </w:r>
      <w:r w:rsidRPr="00092ED7">
        <w:rPr>
          <w:rFonts w:eastAsia="Times New Roman" w:cs="Times New Roman"/>
          <w:szCs w:val="24"/>
          <w:lang w:val="sr-Cyrl-CS"/>
        </w:rPr>
        <w:t xml:space="preserve">не дуплирају и тиме </w:t>
      </w:r>
      <w:r w:rsidR="005B3BCB" w:rsidRPr="00092ED7">
        <w:rPr>
          <w:rFonts w:eastAsia="Times New Roman" w:cs="Times New Roman"/>
          <w:szCs w:val="24"/>
          <w:lang w:val="sr-Cyrl-CS"/>
        </w:rPr>
        <w:t xml:space="preserve">ће се </w:t>
      </w:r>
      <w:r w:rsidRPr="00092ED7">
        <w:rPr>
          <w:rFonts w:eastAsia="Times New Roman" w:cs="Times New Roman"/>
          <w:szCs w:val="24"/>
          <w:lang w:val="sr-Cyrl-CS"/>
        </w:rPr>
        <w:t>смањити трошкови</w:t>
      </w:r>
      <w:r w:rsidR="002D05EE" w:rsidRPr="00092ED7">
        <w:rPr>
          <w:rFonts w:eastAsia="Times New Roman" w:cs="Times New Roman"/>
          <w:szCs w:val="24"/>
          <w:lang w:val="sr-Cyrl-CS"/>
        </w:rPr>
        <w:t xml:space="preserve"> а</w:t>
      </w:r>
      <w:r w:rsidR="006B7E63" w:rsidRPr="00092ED7">
        <w:rPr>
          <w:rFonts w:eastAsia="Times New Roman" w:cs="Times New Roman"/>
          <w:szCs w:val="24"/>
          <w:lang w:val="sr-Cyrl-CS"/>
        </w:rPr>
        <w:t xml:space="preserve"> </w:t>
      </w:r>
      <w:r w:rsidR="002D05EE" w:rsidRPr="00092ED7">
        <w:rPr>
          <w:rFonts w:eastAsia="Times New Roman" w:cs="Times New Roman"/>
          <w:szCs w:val="24"/>
          <w:lang w:val="sr-Cyrl-CS"/>
        </w:rPr>
        <w:t xml:space="preserve">то </w:t>
      </w:r>
      <w:r w:rsidRPr="00092ED7">
        <w:rPr>
          <w:rFonts w:eastAsia="Times New Roman" w:cs="Times New Roman"/>
          <w:szCs w:val="24"/>
          <w:lang w:val="sr-Cyrl-CS"/>
        </w:rPr>
        <w:t>све утиче на ефикасност</w:t>
      </w:r>
      <w:r w:rsidR="002D05EE" w:rsidRPr="00092ED7">
        <w:rPr>
          <w:rFonts w:eastAsia="Times New Roman" w:cs="Times New Roman"/>
          <w:szCs w:val="24"/>
          <w:lang w:val="sr-Cyrl-CS"/>
        </w:rPr>
        <w:t>,</w:t>
      </w:r>
      <w:r w:rsidRPr="00092ED7">
        <w:rPr>
          <w:rFonts w:eastAsia="Times New Roman" w:cs="Times New Roman"/>
          <w:szCs w:val="24"/>
          <w:lang w:val="sr-Cyrl-CS"/>
        </w:rPr>
        <w:t xml:space="preserve"> бољу услугу</w:t>
      </w:r>
      <w:r w:rsidR="006B7E63" w:rsidRPr="00092ED7">
        <w:rPr>
          <w:rFonts w:eastAsia="Times New Roman" w:cs="Times New Roman"/>
          <w:szCs w:val="24"/>
          <w:lang w:val="sr-Cyrl-CS"/>
        </w:rPr>
        <w:t>, унапређено здравствено стање</w:t>
      </w:r>
      <w:r w:rsidRPr="00092ED7">
        <w:rPr>
          <w:rFonts w:eastAsia="Times New Roman" w:cs="Times New Roman"/>
          <w:szCs w:val="24"/>
          <w:lang w:val="sr-Cyrl-CS"/>
        </w:rPr>
        <w:t xml:space="preserve"> </w:t>
      </w:r>
      <w:r w:rsidR="002D05EE" w:rsidRPr="00092ED7">
        <w:rPr>
          <w:rFonts w:eastAsia="Times New Roman" w:cs="Times New Roman"/>
          <w:szCs w:val="24"/>
          <w:lang w:val="sr-Cyrl-CS"/>
        </w:rPr>
        <w:t xml:space="preserve">и на </w:t>
      </w:r>
      <w:r w:rsidRPr="00092ED7">
        <w:rPr>
          <w:rFonts w:eastAsia="Times New Roman" w:cs="Times New Roman"/>
          <w:szCs w:val="24"/>
          <w:lang w:val="sr-Cyrl-CS"/>
        </w:rPr>
        <w:t>за</w:t>
      </w:r>
      <w:r w:rsidR="002D05EE" w:rsidRPr="00092ED7">
        <w:rPr>
          <w:rFonts w:eastAsia="Times New Roman" w:cs="Times New Roman"/>
          <w:szCs w:val="24"/>
          <w:lang w:val="sr-Cyrl-CS"/>
        </w:rPr>
        <w:t>довољство</w:t>
      </w:r>
      <w:r w:rsidRPr="00092ED7">
        <w:rPr>
          <w:rFonts w:eastAsia="Times New Roman" w:cs="Times New Roman"/>
          <w:szCs w:val="24"/>
          <w:lang w:val="sr-Cyrl-CS"/>
        </w:rPr>
        <w:t xml:space="preserve"> грађан</w:t>
      </w:r>
      <w:r w:rsidR="002D05EE" w:rsidRPr="00092ED7">
        <w:rPr>
          <w:rFonts w:eastAsia="Times New Roman" w:cs="Times New Roman"/>
          <w:szCs w:val="24"/>
          <w:lang w:val="sr-Cyrl-CS"/>
        </w:rPr>
        <w:t>а</w:t>
      </w:r>
      <w:r w:rsidRPr="00092ED7">
        <w:rPr>
          <w:rFonts w:eastAsia="Times New Roman" w:cs="Times New Roman"/>
          <w:szCs w:val="24"/>
          <w:lang w:val="sr-Cyrl-CS"/>
        </w:rPr>
        <w:t>.</w:t>
      </w:r>
      <w:r w:rsidR="006B7E63" w:rsidRPr="00092ED7">
        <w:rPr>
          <w:rFonts w:eastAsia="Times New Roman" w:cs="Times New Roman"/>
          <w:szCs w:val="24"/>
          <w:lang w:val="sr-Cyrl-CS"/>
        </w:rPr>
        <w:t xml:space="preserve"> Реформа је родно неутрална.</w:t>
      </w:r>
    </w:p>
    <w:p w14:paraId="56024230" w14:textId="77777777" w:rsidR="00D210F0" w:rsidRPr="00092ED7" w:rsidRDefault="00D210F0" w:rsidP="00071952">
      <w:pPr>
        <w:widowControl w:val="0"/>
        <w:numPr>
          <w:ilvl w:val="0"/>
          <w:numId w:val="39"/>
        </w:numPr>
        <w:spacing w:before="120"/>
        <w:rPr>
          <w:rFonts w:cs="Times New Roman"/>
          <w:b/>
          <w:szCs w:val="24"/>
          <w:lang w:val="sr-Cyrl-CS"/>
        </w:rPr>
      </w:pPr>
      <w:r w:rsidRPr="00092ED7">
        <w:rPr>
          <w:rFonts w:cs="Times New Roman"/>
          <w:b/>
          <w:bCs/>
          <w:szCs w:val="24"/>
          <w:lang w:val="sr-Cyrl-CS"/>
        </w:rPr>
        <w:t>Очекивани</w:t>
      </w:r>
      <w:r w:rsidRPr="00092ED7">
        <w:rPr>
          <w:rFonts w:cs="Times New Roman"/>
          <w:b/>
          <w:szCs w:val="24"/>
          <w:lang w:val="sr-Cyrl-CS"/>
        </w:rPr>
        <w:t xml:space="preserve"> утицај на животну средину и климатске промене</w:t>
      </w:r>
    </w:p>
    <w:p w14:paraId="2FB20FD8" w14:textId="77777777" w:rsidR="00A85A7F" w:rsidRPr="00092ED7" w:rsidRDefault="002D05EE" w:rsidP="000E6CF5">
      <w:pPr>
        <w:spacing w:after="60"/>
        <w:rPr>
          <w:rFonts w:cs="Times New Roman"/>
          <w:szCs w:val="24"/>
          <w:lang w:val="sr-Cyrl-CS"/>
        </w:rPr>
      </w:pPr>
      <w:r w:rsidRPr="00092ED7">
        <w:rPr>
          <w:rFonts w:cs="Times New Roman"/>
          <w:szCs w:val="24"/>
          <w:lang w:val="sr-Cyrl-CS"/>
        </w:rPr>
        <w:t>Структурна реформа има веома јак и позитиван утицај на животну средину, услед преласка са папирног на електронско пословање. Знатно мање ће постојати потреба за штампањем и за коришћењем папира а то све веома утиче на заштиту животне средине. Дигитализацијом чувамо наш животни простор и животну средину.</w:t>
      </w:r>
      <w:r w:rsidR="002E5F64" w:rsidRPr="00092ED7">
        <w:rPr>
          <w:rFonts w:cs="Times New Roman"/>
          <w:szCs w:val="24"/>
          <w:lang w:val="sr-Cyrl-CS"/>
        </w:rPr>
        <w:t xml:space="preserve"> </w:t>
      </w:r>
    </w:p>
    <w:p w14:paraId="5D16943A" w14:textId="77777777" w:rsidR="00D210F0" w:rsidRPr="00092ED7" w:rsidRDefault="00D210F0" w:rsidP="00A85A7F">
      <w:pPr>
        <w:widowControl w:val="0"/>
        <w:numPr>
          <w:ilvl w:val="0"/>
          <w:numId w:val="39"/>
        </w:numPr>
        <w:spacing w:before="120"/>
        <w:rPr>
          <w:rFonts w:cs="Times New Roman"/>
          <w:b/>
          <w:bCs/>
          <w:szCs w:val="24"/>
          <w:lang w:val="sr-Cyrl-CS"/>
        </w:rPr>
      </w:pPr>
      <w:r w:rsidRPr="00092ED7">
        <w:rPr>
          <w:rFonts w:cs="Times New Roman"/>
          <w:b/>
          <w:bCs/>
          <w:szCs w:val="24"/>
          <w:lang w:val="sr-Cyrl-CS"/>
        </w:rPr>
        <w:t>Потенцијални ризици</w:t>
      </w:r>
    </w:p>
    <w:tbl>
      <w:tblPr>
        <w:tblStyle w:val="TableGrid1"/>
        <w:tblW w:w="9209" w:type="dxa"/>
        <w:jc w:val="center"/>
        <w:tblLayout w:type="fixed"/>
        <w:tblLook w:val="04A0" w:firstRow="1" w:lastRow="0" w:firstColumn="1" w:lastColumn="0" w:noHBand="0" w:noVBand="1"/>
      </w:tblPr>
      <w:tblGrid>
        <w:gridCol w:w="2390"/>
        <w:gridCol w:w="2835"/>
        <w:gridCol w:w="3984"/>
      </w:tblGrid>
      <w:tr w:rsidR="00D210F0" w:rsidRPr="00092ED7" w14:paraId="3E9FD58B" w14:textId="77777777" w:rsidTr="001632EC">
        <w:trPr>
          <w:jc w:val="center"/>
        </w:trPr>
        <w:tc>
          <w:tcPr>
            <w:tcW w:w="2390" w:type="dxa"/>
            <w:vAlign w:val="center"/>
          </w:tcPr>
          <w:p w14:paraId="46416F34" w14:textId="77777777" w:rsidR="00D210F0" w:rsidRPr="00092ED7" w:rsidRDefault="00D210F0" w:rsidP="0092798F">
            <w:pPr>
              <w:spacing w:after="0"/>
              <w:jc w:val="center"/>
              <w:rPr>
                <w:b/>
                <w:sz w:val="20"/>
                <w:szCs w:val="20"/>
              </w:rPr>
            </w:pPr>
            <w:r w:rsidRPr="00092ED7">
              <w:rPr>
                <w:b/>
                <w:sz w:val="20"/>
                <w:szCs w:val="20"/>
              </w:rPr>
              <w:t>Ризик</w:t>
            </w:r>
          </w:p>
        </w:tc>
        <w:tc>
          <w:tcPr>
            <w:tcW w:w="2835" w:type="dxa"/>
          </w:tcPr>
          <w:p w14:paraId="5753FA93" w14:textId="77777777" w:rsidR="00D210F0" w:rsidRPr="00092ED7" w:rsidRDefault="00D210F0" w:rsidP="0092798F">
            <w:pPr>
              <w:spacing w:after="0"/>
              <w:jc w:val="center"/>
              <w:rPr>
                <w:b/>
                <w:sz w:val="20"/>
                <w:szCs w:val="20"/>
              </w:rPr>
            </w:pPr>
            <w:r w:rsidRPr="00092ED7">
              <w:rPr>
                <w:b/>
                <w:sz w:val="20"/>
                <w:szCs w:val="20"/>
              </w:rPr>
              <w:t>Вероватноћа за остваривање ризика</w:t>
            </w:r>
          </w:p>
        </w:tc>
        <w:tc>
          <w:tcPr>
            <w:tcW w:w="3984" w:type="dxa"/>
          </w:tcPr>
          <w:p w14:paraId="4BC0CDB1" w14:textId="77777777" w:rsidR="00D210F0" w:rsidRPr="00092ED7" w:rsidRDefault="00D210F0" w:rsidP="0092798F">
            <w:pPr>
              <w:spacing w:after="0"/>
              <w:jc w:val="center"/>
              <w:rPr>
                <w:b/>
                <w:sz w:val="20"/>
                <w:szCs w:val="20"/>
              </w:rPr>
            </w:pPr>
            <w:r w:rsidRPr="00092ED7">
              <w:rPr>
                <w:b/>
                <w:sz w:val="20"/>
                <w:szCs w:val="20"/>
              </w:rPr>
              <w:t>Планиране активност за ублажавање негативних ефеката ризика</w:t>
            </w:r>
          </w:p>
        </w:tc>
      </w:tr>
      <w:tr w:rsidR="00D210F0" w:rsidRPr="00092ED7" w14:paraId="6989AF60" w14:textId="77777777" w:rsidTr="001632EC">
        <w:trPr>
          <w:jc w:val="center"/>
        </w:trPr>
        <w:tc>
          <w:tcPr>
            <w:tcW w:w="2390" w:type="dxa"/>
            <w:vAlign w:val="center"/>
          </w:tcPr>
          <w:p w14:paraId="14D011F6" w14:textId="77777777" w:rsidR="00D210F0" w:rsidRPr="00092ED7" w:rsidRDefault="00D210F0" w:rsidP="00D47BD8">
            <w:pPr>
              <w:spacing w:after="0"/>
              <w:rPr>
                <w:sz w:val="20"/>
                <w:szCs w:val="20"/>
              </w:rPr>
            </w:pPr>
            <w:r w:rsidRPr="00092ED7">
              <w:rPr>
                <w:sz w:val="20"/>
                <w:szCs w:val="20"/>
              </w:rPr>
              <w:t xml:space="preserve">Потенцијална неусаглашеност многобројних актера у процесу реализације комплексних пројеката </w:t>
            </w:r>
          </w:p>
        </w:tc>
        <w:tc>
          <w:tcPr>
            <w:tcW w:w="2835" w:type="dxa"/>
          </w:tcPr>
          <w:p w14:paraId="0D4DC364" w14:textId="77777777" w:rsidR="00D210F0" w:rsidRPr="00092ED7" w:rsidRDefault="00D210F0" w:rsidP="000E6CF5">
            <w:pPr>
              <w:spacing w:after="0"/>
              <w:jc w:val="center"/>
              <w:rPr>
                <w:sz w:val="20"/>
                <w:szCs w:val="20"/>
              </w:rPr>
            </w:pPr>
            <w:r w:rsidRPr="00092ED7">
              <w:rPr>
                <w:sz w:val="20"/>
                <w:szCs w:val="20"/>
              </w:rPr>
              <w:t>Ниска</w:t>
            </w:r>
          </w:p>
        </w:tc>
        <w:tc>
          <w:tcPr>
            <w:tcW w:w="3984" w:type="dxa"/>
          </w:tcPr>
          <w:p w14:paraId="7B4D8F91" w14:textId="77777777" w:rsidR="00D210F0" w:rsidRPr="00092ED7" w:rsidRDefault="00D210F0" w:rsidP="00EC2033">
            <w:pPr>
              <w:spacing w:after="0"/>
              <w:rPr>
                <w:sz w:val="20"/>
                <w:szCs w:val="20"/>
              </w:rPr>
            </w:pPr>
            <w:r w:rsidRPr="00092ED7">
              <w:rPr>
                <w:sz w:val="20"/>
                <w:szCs w:val="20"/>
              </w:rPr>
              <w:t>Креирање ефикасних механизама стратешке и тактичке координације у реализацији пројеката</w:t>
            </w:r>
            <w:r w:rsidR="00D47BD8" w:rsidRPr="00092ED7">
              <w:rPr>
                <w:sz w:val="20"/>
                <w:szCs w:val="20"/>
              </w:rPr>
              <w:t>.</w:t>
            </w:r>
            <w:r w:rsidRPr="00092ED7">
              <w:rPr>
                <w:sz w:val="20"/>
                <w:szCs w:val="20"/>
              </w:rPr>
              <w:t xml:space="preserve"> </w:t>
            </w:r>
          </w:p>
        </w:tc>
      </w:tr>
      <w:tr w:rsidR="00D210F0" w:rsidRPr="00092ED7" w14:paraId="7B2DEDF8" w14:textId="77777777" w:rsidTr="001632EC">
        <w:trPr>
          <w:jc w:val="center"/>
        </w:trPr>
        <w:tc>
          <w:tcPr>
            <w:tcW w:w="2390" w:type="dxa"/>
          </w:tcPr>
          <w:p w14:paraId="6219DFE6" w14:textId="321F1046" w:rsidR="00D210F0" w:rsidRPr="00092ED7" w:rsidRDefault="00D210F0" w:rsidP="00EC2033">
            <w:pPr>
              <w:spacing w:after="0"/>
              <w:rPr>
                <w:sz w:val="20"/>
                <w:szCs w:val="20"/>
              </w:rPr>
            </w:pPr>
            <w:r w:rsidRPr="00092ED7">
              <w:rPr>
                <w:sz w:val="20"/>
                <w:szCs w:val="20"/>
              </w:rPr>
              <w:t xml:space="preserve">Непредвидив ток пандемије </w:t>
            </w:r>
            <w:r w:rsidR="00B94430" w:rsidRPr="00092ED7">
              <w:rPr>
                <w:sz w:val="20"/>
                <w:szCs w:val="20"/>
              </w:rPr>
              <w:t>к</w:t>
            </w:r>
            <w:r w:rsidRPr="00092ED7">
              <w:rPr>
                <w:sz w:val="20"/>
                <w:szCs w:val="20"/>
              </w:rPr>
              <w:t>орона вируса</w:t>
            </w:r>
          </w:p>
        </w:tc>
        <w:tc>
          <w:tcPr>
            <w:tcW w:w="2835" w:type="dxa"/>
          </w:tcPr>
          <w:p w14:paraId="15AF5539" w14:textId="77777777" w:rsidR="00D210F0" w:rsidRPr="00092ED7" w:rsidRDefault="00D210F0" w:rsidP="000E6CF5">
            <w:pPr>
              <w:spacing w:after="0"/>
              <w:jc w:val="center"/>
              <w:rPr>
                <w:sz w:val="20"/>
                <w:szCs w:val="20"/>
              </w:rPr>
            </w:pPr>
            <w:r w:rsidRPr="00092ED7">
              <w:rPr>
                <w:sz w:val="20"/>
                <w:szCs w:val="20"/>
              </w:rPr>
              <w:t>Ниска</w:t>
            </w:r>
          </w:p>
        </w:tc>
        <w:tc>
          <w:tcPr>
            <w:tcW w:w="3984" w:type="dxa"/>
            <w:vAlign w:val="center"/>
          </w:tcPr>
          <w:p w14:paraId="026516F2" w14:textId="77777777" w:rsidR="00D210F0" w:rsidRPr="00092ED7" w:rsidRDefault="00D210F0" w:rsidP="00D47BD8">
            <w:pPr>
              <w:spacing w:after="0"/>
              <w:rPr>
                <w:sz w:val="20"/>
                <w:szCs w:val="20"/>
              </w:rPr>
            </w:pPr>
            <w:r w:rsidRPr="00092ED7">
              <w:rPr>
                <w:sz w:val="20"/>
                <w:szCs w:val="20"/>
              </w:rPr>
              <w:t>Правовремено преусмеравање ресурса у реализацију појединачних активности</w:t>
            </w:r>
            <w:r w:rsidR="00D47BD8" w:rsidRPr="00092ED7">
              <w:rPr>
                <w:sz w:val="20"/>
                <w:szCs w:val="20"/>
              </w:rPr>
              <w:t>.</w:t>
            </w:r>
          </w:p>
        </w:tc>
      </w:tr>
    </w:tbl>
    <w:p w14:paraId="2C0F3BCF" w14:textId="77777777" w:rsidR="00977F4F" w:rsidRPr="00092ED7" w:rsidRDefault="00977F4F" w:rsidP="00D030D6">
      <w:pPr>
        <w:keepNext/>
        <w:keepLines/>
        <w:spacing w:before="240" w:after="240"/>
        <w:outlineLvl w:val="0"/>
        <w:rPr>
          <w:rFonts w:eastAsia="Times New Roman"/>
          <w:b/>
          <w:w w:val="110"/>
          <w:sz w:val="26"/>
          <w:szCs w:val="26"/>
          <w:lang w:val="sr-Cyrl-CS"/>
        </w:rPr>
      </w:pPr>
      <w:bookmarkStart w:id="98" w:name="_Toc124174821"/>
      <w:bookmarkStart w:id="99" w:name="_Toc126218640"/>
      <w:bookmarkStart w:id="100" w:name="_Toc62554646"/>
      <w:r w:rsidRPr="00092ED7">
        <w:rPr>
          <w:rFonts w:eastAsia="Times New Roman" w:cs="Times New Roman"/>
          <w:b/>
          <w:bCs/>
          <w:szCs w:val="24"/>
          <w:lang w:val="sr-Cyrl-CS"/>
        </w:rPr>
        <w:t xml:space="preserve">5.3. </w:t>
      </w:r>
      <w:r w:rsidR="00EF67D6" w:rsidRPr="00092ED7">
        <w:rPr>
          <w:rFonts w:eastAsia="Times New Roman" w:cs="Times New Roman"/>
          <w:b/>
          <w:bCs/>
          <w:szCs w:val="24"/>
          <w:lang w:val="sr-Cyrl-CS"/>
        </w:rPr>
        <w:t>РЕЗИМЕ СТРУКТУРНИХ РЕФОРМИ</w:t>
      </w:r>
      <w:bookmarkEnd w:id="98"/>
      <w:bookmarkEnd w:id="99"/>
    </w:p>
    <w:tbl>
      <w:tblPr>
        <w:tblStyle w:val="TableGrid"/>
        <w:tblW w:w="9361" w:type="dxa"/>
        <w:tblInd w:w="-147" w:type="dxa"/>
        <w:tblLook w:val="04A0" w:firstRow="1" w:lastRow="0" w:firstColumn="1" w:lastColumn="0" w:noHBand="0" w:noVBand="1"/>
      </w:tblPr>
      <w:tblGrid>
        <w:gridCol w:w="579"/>
        <w:gridCol w:w="3981"/>
        <w:gridCol w:w="4801"/>
      </w:tblGrid>
      <w:tr w:rsidR="00F42759" w:rsidRPr="00092ED7" w14:paraId="54249AC7" w14:textId="77777777" w:rsidTr="001632EC">
        <w:trPr>
          <w:cnfStyle w:val="100000000000" w:firstRow="1" w:lastRow="0" w:firstColumn="0" w:lastColumn="0" w:oddVBand="0" w:evenVBand="0" w:oddHBand="0" w:evenHBand="0" w:firstRowFirstColumn="0" w:firstRowLastColumn="0" w:lastRowFirstColumn="0" w:lastRowLastColumn="0"/>
          <w:trHeight w:val="397"/>
        </w:trPr>
        <w:tc>
          <w:tcPr>
            <w:tcW w:w="9361" w:type="dxa"/>
            <w:gridSpan w:val="3"/>
            <w:shd w:val="clear" w:color="auto" w:fill="DEEAF6" w:themeFill="accent1" w:themeFillTint="33"/>
          </w:tcPr>
          <w:p w14:paraId="5F763037" w14:textId="77777777" w:rsidR="00F42759" w:rsidRPr="00092ED7" w:rsidRDefault="00F42759" w:rsidP="001632EC">
            <w:pPr>
              <w:spacing w:before="0" w:after="0"/>
              <w:ind w:left="113" w:right="113"/>
              <w:rPr>
                <w:rFonts w:cs="Times New Roman"/>
                <w:b w:val="0"/>
                <w:sz w:val="22"/>
                <w:szCs w:val="22"/>
                <w:lang w:val="sr-Cyrl-CS"/>
              </w:rPr>
            </w:pPr>
            <w:r w:rsidRPr="00092ED7">
              <w:rPr>
                <w:rFonts w:cs="Times New Roman"/>
                <w:sz w:val="22"/>
                <w:szCs w:val="22"/>
                <w:lang w:val="sr-Cyrl-CS"/>
              </w:rPr>
              <w:t>ТРИ КЉУЧНА ИЗАЗОВА ЗА КОНКУРЕНТНОСТ И ИНКЛУЗИВНИ РАСТ И ПОВЕЗАНЕ СТРУКТУРНЕ РЕФОРМЕ</w:t>
            </w:r>
          </w:p>
        </w:tc>
      </w:tr>
      <w:tr w:rsidR="00F42759" w:rsidRPr="00092ED7" w14:paraId="4A0DE118" w14:textId="77777777" w:rsidTr="001632EC">
        <w:trPr>
          <w:trHeight w:val="397"/>
        </w:trPr>
        <w:tc>
          <w:tcPr>
            <w:tcW w:w="9361" w:type="dxa"/>
            <w:gridSpan w:val="3"/>
            <w:shd w:val="clear" w:color="auto" w:fill="DEEAF6" w:themeFill="accent1" w:themeFillTint="33"/>
            <w:vAlign w:val="top"/>
          </w:tcPr>
          <w:p w14:paraId="1B52943E"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 xml:space="preserve">Кључни изазов број 1: </w:t>
            </w:r>
            <w:r w:rsidRPr="00092ED7">
              <w:rPr>
                <w:rFonts w:cs="Times New Roman"/>
                <w:b/>
                <w:bCs/>
                <w:i/>
                <w:iCs/>
                <w:sz w:val="22"/>
                <w:szCs w:val="22"/>
                <w:lang w:val="sr-Cyrl-CS"/>
              </w:rPr>
              <w:t>Повећање запослености, посебно младих, жена и осетљивих група и социјална заштита од сиромаштва</w:t>
            </w:r>
          </w:p>
        </w:tc>
      </w:tr>
      <w:tr w:rsidR="001632EC" w:rsidRPr="00092ED7" w14:paraId="1D5AD2D5" w14:textId="77777777" w:rsidTr="001632EC">
        <w:tc>
          <w:tcPr>
            <w:tcW w:w="579" w:type="dxa"/>
            <w:shd w:val="clear" w:color="auto" w:fill="DEEAF6" w:themeFill="accent1" w:themeFillTint="33"/>
            <w:vAlign w:val="top"/>
          </w:tcPr>
          <w:p w14:paraId="11813601"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25018780"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46B809C0" w14:textId="77777777" w:rsidR="00F42759" w:rsidRPr="00092ED7" w:rsidRDefault="00F42759" w:rsidP="001632EC">
            <w:pPr>
              <w:spacing w:before="0" w:after="0"/>
              <w:ind w:left="113" w:right="113"/>
              <w:jc w:val="left"/>
              <w:rPr>
                <w:rFonts w:cs="Times New Roman"/>
                <w:sz w:val="22"/>
                <w:szCs w:val="22"/>
                <w:lang w:val="sr-Cyrl-CS"/>
              </w:rPr>
            </w:pPr>
            <w:r w:rsidRPr="00092ED7">
              <w:rPr>
                <w:rFonts w:cs="Times New Roman"/>
                <w:b/>
                <w:sz w:val="22"/>
                <w:szCs w:val="22"/>
                <w:lang w:val="sr-Cyrl-CS"/>
              </w:rPr>
              <w:t>Опис структурне реформе</w:t>
            </w:r>
          </w:p>
        </w:tc>
      </w:tr>
      <w:tr w:rsidR="001632EC" w:rsidRPr="00092ED7" w14:paraId="0CFA4C87" w14:textId="77777777" w:rsidTr="001632EC">
        <w:trPr>
          <w:trHeight w:val="3425"/>
        </w:trPr>
        <w:tc>
          <w:tcPr>
            <w:tcW w:w="579" w:type="dxa"/>
            <w:vAlign w:val="top"/>
          </w:tcPr>
          <w:p w14:paraId="4057052E"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w:t>
            </w:r>
          </w:p>
        </w:tc>
        <w:tc>
          <w:tcPr>
            <w:tcW w:w="3981" w:type="dxa"/>
            <w:vAlign w:val="top"/>
          </w:tcPr>
          <w:p w14:paraId="656E7A58"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Успостављање оквира за увођење Гаранције за младе у Републици Србији</w:t>
            </w:r>
          </w:p>
        </w:tc>
        <w:tc>
          <w:tcPr>
            <w:tcW w:w="4801" w:type="dxa"/>
          </w:tcPr>
          <w:p w14:paraId="5A586A7E"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Реформа подразумева омогућавање младима квалитетне понуде за посао, наставак образовања, праксе или обуке у року од четири месеца од уласка у статус незапослености или напуштања/завршетка формалног образовања. На тај начин допринеће се олакшаној транзицији младих на тржиште рада и подстицаће се њихово запошљавање. Увођење Гаранције за младе подразумева низ реформи политика и иницијатива у областима образовања и обуке, запошљавања и тржишта рада, што захтева међусекторску сарадњу и координацију различитих сектора и социјалних партнера и организација цивилног друштва.</w:t>
            </w:r>
          </w:p>
        </w:tc>
      </w:tr>
      <w:tr w:rsidR="001632EC" w:rsidRPr="00092ED7" w14:paraId="4892314E" w14:textId="77777777" w:rsidTr="001632EC">
        <w:tc>
          <w:tcPr>
            <w:tcW w:w="579" w:type="dxa"/>
            <w:vAlign w:val="top"/>
          </w:tcPr>
          <w:p w14:paraId="795687F8"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2.</w:t>
            </w:r>
          </w:p>
        </w:tc>
        <w:tc>
          <w:tcPr>
            <w:tcW w:w="3981" w:type="dxa"/>
            <w:vAlign w:val="top"/>
          </w:tcPr>
          <w:p w14:paraId="07AB2664"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Реформа Фонда за младе таленте</w:t>
            </w:r>
          </w:p>
        </w:tc>
        <w:tc>
          <w:tcPr>
            <w:tcW w:w="4801" w:type="dxa"/>
          </w:tcPr>
          <w:p w14:paraId="4BEC7004"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Реформа подразумева успостављање ефикаснијег модела стипендирања и система за праћење и запошљавање стипендираних талената, пре свега у јавној управи, а потом и у привреди, у сарадњи са партнерима. Посебна пажња посветиће се изградњи алумни мреже и мреже партнера, како би се обезбедили додатни извори финансирања за програме Фонда за младе таленте.</w:t>
            </w:r>
          </w:p>
        </w:tc>
      </w:tr>
      <w:tr w:rsidR="001632EC" w:rsidRPr="00092ED7" w14:paraId="493E9518" w14:textId="77777777" w:rsidTr="001632EC">
        <w:tc>
          <w:tcPr>
            <w:tcW w:w="579" w:type="dxa"/>
            <w:vAlign w:val="top"/>
          </w:tcPr>
          <w:p w14:paraId="2B7A4DBC"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3.</w:t>
            </w:r>
          </w:p>
        </w:tc>
        <w:tc>
          <w:tcPr>
            <w:tcW w:w="3981" w:type="dxa"/>
            <w:vAlign w:val="top"/>
          </w:tcPr>
          <w:p w14:paraId="0E04FB51"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Квалификације оријентисане према потребама тржишта рада</w:t>
            </w:r>
          </w:p>
        </w:tc>
        <w:tc>
          <w:tcPr>
            <w:tcW w:w="4801" w:type="dxa"/>
          </w:tcPr>
          <w:p w14:paraId="702A19FB"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Реформа подразумева имплементацију дуалног образовања којим се обезбеђује ефикаснији одговор система образовања на потребе привреде и тржишта рада, технолошке промене и потребе за новим компетенцијама. Усмерена је на активности креирања дигиталне дуалне промотивне платформе за кључне учеснике у систему дуалног образовања, даље оснивање регионалних тренинг центара, као и активности унапређивања квалитета услуга каријерног вођења и саветовања (КВиС) у дуалном образовању.</w:t>
            </w:r>
          </w:p>
          <w:p w14:paraId="1A339DEF" w14:textId="77777777" w:rsidR="00F42759" w:rsidRPr="00092ED7" w:rsidRDefault="00F42759" w:rsidP="001632EC">
            <w:pPr>
              <w:spacing w:before="0" w:after="0"/>
              <w:ind w:left="113" w:right="113"/>
              <w:rPr>
                <w:rFonts w:cs="Times New Roman"/>
                <w:strike/>
                <w:sz w:val="22"/>
                <w:szCs w:val="22"/>
                <w:lang w:val="sr-Cyrl-CS"/>
              </w:rPr>
            </w:pPr>
            <w:r w:rsidRPr="00092ED7">
              <w:rPr>
                <w:rFonts w:cs="Times New Roman"/>
                <w:sz w:val="22"/>
                <w:szCs w:val="22"/>
                <w:lang w:val="sr-Cyrl-CS"/>
              </w:rPr>
              <w:t>Такође, реформа подразумева и даљи развој НОКС, кроз диверсификацију и унапређивање релевантности образовне понуде у систему високог образовања и целоживотног учења, као и обезбеђивање транспарентности система, упоредивости и препознатљивости квалификација стечених у Републици Србији са квалификацијама стеченим у другим државама.</w:t>
            </w:r>
          </w:p>
        </w:tc>
      </w:tr>
      <w:tr w:rsidR="001632EC" w:rsidRPr="00092ED7" w14:paraId="50B72F66" w14:textId="77777777" w:rsidTr="001632EC">
        <w:tc>
          <w:tcPr>
            <w:tcW w:w="579" w:type="dxa"/>
            <w:vAlign w:val="top"/>
          </w:tcPr>
          <w:p w14:paraId="00EA8733"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4.</w:t>
            </w:r>
          </w:p>
        </w:tc>
        <w:tc>
          <w:tcPr>
            <w:tcW w:w="3981" w:type="dxa"/>
            <w:vAlign w:val="top"/>
          </w:tcPr>
          <w:p w14:paraId="40515BF6"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Унапређење амбијента за подстицање, подршку и праћење циркуларних и економских миграција</w:t>
            </w:r>
          </w:p>
        </w:tc>
        <w:tc>
          <w:tcPr>
            <w:tcW w:w="4801" w:type="dxa"/>
          </w:tcPr>
          <w:p w14:paraId="0C41BB32" w14:textId="364ED2F9"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 xml:space="preserve">Реформа подразумева унапређење амбијента за привлачење радно способног становништва, подстицање циркуларних миграција и односа са дијаспором, јачање механизама за праћење миграторних токова и привлачење странаца да живе и раде у </w:t>
            </w:r>
            <w:r w:rsidR="0079401D" w:rsidRPr="00092ED7">
              <w:rPr>
                <w:rFonts w:cs="Times New Roman"/>
                <w:sz w:val="22"/>
                <w:szCs w:val="22"/>
                <w:lang w:val="sr-Cyrl-CS"/>
              </w:rPr>
              <w:t xml:space="preserve">Републици </w:t>
            </w:r>
            <w:r w:rsidRPr="00092ED7">
              <w:rPr>
                <w:rFonts w:cs="Times New Roman"/>
                <w:sz w:val="22"/>
                <w:szCs w:val="22"/>
                <w:lang w:val="sr-Cyrl-CS"/>
              </w:rPr>
              <w:t>Србији.</w:t>
            </w:r>
          </w:p>
        </w:tc>
      </w:tr>
      <w:tr w:rsidR="00F42759" w:rsidRPr="00092ED7" w14:paraId="5341BE19" w14:textId="77777777" w:rsidTr="001632EC">
        <w:trPr>
          <w:trHeight w:val="485"/>
        </w:trPr>
        <w:tc>
          <w:tcPr>
            <w:tcW w:w="9361" w:type="dxa"/>
            <w:gridSpan w:val="3"/>
            <w:shd w:val="clear" w:color="auto" w:fill="DEEAF6" w:themeFill="accent1" w:themeFillTint="33"/>
          </w:tcPr>
          <w:p w14:paraId="1EA24BC6"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b/>
                <w:sz w:val="22"/>
                <w:szCs w:val="22"/>
                <w:lang w:val="sr-Cyrl-CS"/>
              </w:rPr>
              <w:t xml:space="preserve">Кључни изазов број 2: </w:t>
            </w:r>
            <w:r w:rsidRPr="00092ED7">
              <w:rPr>
                <w:rFonts w:cs="Times New Roman"/>
                <w:b/>
                <w:i/>
                <w:iCs/>
                <w:sz w:val="22"/>
                <w:szCs w:val="22"/>
                <w:lang w:val="sr-Cyrl-CS"/>
              </w:rPr>
              <w:t>Упапређење пословног амбијента повољнијег за инвестиције</w:t>
            </w:r>
          </w:p>
        </w:tc>
      </w:tr>
      <w:tr w:rsidR="001632EC" w:rsidRPr="00092ED7" w14:paraId="346656B1" w14:textId="77777777" w:rsidTr="001632EC">
        <w:tc>
          <w:tcPr>
            <w:tcW w:w="579" w:type="dxa"/>
            <w:shd w:val="clear" w:color="auto" w:fill="DEEAF6" w:themeFill="accent1" w:themeFillTint="33"/>
          </w:tcPr>
          <w:p w14:paraId="1C26B6C0"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143DAC49"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1D071967"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4FDD4A8E" w14:textId="77777777" w:rsidTr="001632EC">
        <w:tc>
          <w:tcPr>
            <w:tcW w:w="579" w:type="dxa"/>
            <w:vAlign w:val="top"/>
          </w:tcPr>
          <w:p w14:paraId="551888B6"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5.</w:t>
            </w:r>
          </w:p>
        </w:tc>
        <w:tc>
          <w:tcPr>
            <w:tcW w:w="3981" w:type="dxa"/>
            <w:vAlign w:val="top"/>
          </w:tcPr>
          <w:p w14:paraId="294181BD"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Унапређење квалитета пружања јавних услуга кроз оптимизацију и дигитализацију административних поступака – е-Папир</w:t>
            </w:r>
          </w:p>
        </w:tc>
        <w:tc>
          <w:tcPr>
            <w:tcW w:w="4801" w:type="dxa"/>
          </w:tcPr>
          <w:p w14:paraId="511AFE69"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 xml:space="preserve">Реформа подразумева оптимизацију административних поступака за привреду и грађане (укидање непотребних или поједностављење и дигитализација административних поступака), као и развој Регистра административних поступака. Регистар представља </w:t>
            </w:r>
            <w:r w:rsidRPr="00092ED7">
              <w:rPr>
                <w:rFonts w:eastAsia="Times New Roman" w:cs="Times New Roman"/>
                <w:sz w:val="22"/>
                <w:szCs w:val="22"/>
                <w:lang w:val="sr-Cyrl-CS"/>
              </w:rPr>
              <w:t>јединствену електронску базу свих административних поступака и осталих услова пословања, које спроводе органи јавне управе, како би заинтересовани привредници и грађани могли једноставно и лако да буду информисани о свему што им је потребно да би остварили одређено право или испунили неку законску обавезу.</w:t>
            </w:r>
          </w:p>
          <w:p w14:paraId="139ED851" w14:textId="1FBE35A0" w:rsidR="00F42759" w:rsidRPr="00092ED7" w:rsidRDefault="00F42759" w:rsidP="008479FB">
            <w:pPr>
              <w:spacing w:before="0" w:after="0"/>
              <w:ind w:left="113" w:right="113"/>
              <w:rPr>
                <w:rFonts w:cs="Times New Roman"/>
                <w:sz w:val="22"/>
                <w:szCs w:val="22"/>
                <w:lang w:val="sr-Cyrl-CS"/>
              </w:rPr>
            </w:pPr>
            <w:r w:rsidRPr="00092ED7">
              <w:rPr>
                <w:rFonts w:cs="Times New Roman"/>
                <w:sz w:val="22"/>
                <w:szCs w:val="22"/>
                <w:lang w:val="sr-Cyrl-CS"/>
              </w:rPr>
              <w:t>Регистар представља и полазну основу за формирање ЈЕКТ.</w:t>
            </w:r>
          </w:p>
        </w:tc>
      </w:tr>
      <w:tr w:rsidR="001632EC" w:rsidRPr="00092ED7" w14:paraId="56B2BEC1" w14:textId="77777777" w:rsidTr="001632EC">
        <w:tc>
          <w:tcPr>
            <w:tcW w:w="579" w:type="dxa"/>
            <w:vAlign w:val="top"/>
          </w:tcPr>
          <w:p w14:paraId="77820D16"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6.</w:t>
            </w:r>
          </w:p>
        </w:tc>
        <w:tc>
          <w:tcPr>
            <w:tcW w:w="3981" w:type="dxa"/>
            <w:vAlign w:val="top"/>
          </w:tcPr>
          <w:p w14:paraId="533D0D96"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Одрживо и ефикасно управљање привредним субјектима у власништву Републике Србије</w:t>
            </w:r>
          </w:p>
        </w:tc>
        <w:tc>
          <w:tcPr>
            <w:tcW w:w="4801" w:type="dxa"/>
          </w:tcPr>
          <w:p w14:paraId="683F126D"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Реформа подразумева успостављање ефикаснијег надзора и система контроле пословања привредних субјеката у власништву Републике Србије. Остваривање власничких права државе над привредним субјектима у којима држава има удео, сходно смерницама OECD, треба да буде јасно идентификовано и, по могућству, централизовано.</w:t>
            </w:r>
          </w:p>
        </w:tc>
      </w:tr>
      <w:tr w:rsidR="001632EC" w:rsidRPr="00092ED7" w14:paraId="6F7F4FEB" w14:textId="77777777" w:rsidTr="001632EC">
        <w:tc>
          <w:tcPr>
            <w:tcW w:w="579" w:type="dxa"/>
            <w:vAlign w:val="top"/>
          </w:tcPr>
          <w:p w14:paraId="224CE62E"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7.</w:t>
            </w:r>
          </w:p>
        </w:tc>
        <w:tc>
          <w:tcPr>
            <w:tcW w:w="3981" w:type="dxa"/>
            <w:vAlign w:val="top"/>
          </w:tcPr>
          <w:p w14:paraId="7B27340C"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Развој домаћег тржишта капитала и обезбеђивање већег степена заштите инвеститора</w:t>
            </w:r>
          </w:p>
        </w:tc>
        <w:tc>
          <w:tcPr>
            <w:tcW w:w="4801" w:type="dxa"/>
          </w:tcPr>
          <w:p w14:paraId="2A049930"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Реформа подразумева развој финансијских института на тржишту капитала, повећање атрактивности домаћег тржишта за домаће и стране инвеститоре и активирање тржишта капитала у функцији економског раста, запошљавања и квалитетнијег живота грађана.</w:t>
            </w:r>
          </w:p>
          <w:p w14:paraId="0D757E6A"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Повећањем транспарентности и квалитета финансијских инструмената вратиће се поверење инвеститора у тржиште, а што ће последично позитивно утицати на повећање броја учесника на домаћем тржишту и на одржив економски раст.</w:t>
            </w:r>
          </w:p>
        </w:tc>
      </w:tr>
      <w:tr w:rsidR="00F42759" w:rsidRPr="00092ED7" w14:paraId="1A78396A" w14:textId="77777777" w:rsidTr="001632EC">
        <w:trPr>
          <w:trHeight w:val="530"/>
        </w:trPr>
        <w:tc>
          <w:tcPr>
            <w:tcW w:w="9361" w:type="dxa"/>
            <w:gridSpan w:val="3"/>
            <w:shd w:val="clear" w:color="auto" w:fill="DEEAF6" w:themeFill="accent1" w:themeFillTint="33"/>
            <w:vAlign w:val="top"/>
          </w:tcPr>
          <w:p w14:paraId="0229D90B" w14:textId="77777777" w:rsidR="00F42759" w:rsidRPr="00092ED7" w:rsidRDefault="00F42759" w:rsidP="001632EC">
            <w:pPr>
              <w:spacing w:before="0" w:after="0"/>
              <w:ind w:left="113" w:right="113"/>
              <w:rPr>
                <w:rFonts w:cs="Times New Roman"/>
                <w:i/>
                <w:iCs/>
                <w:sz w:val="22"/>
                <w:szCs w:val="22"/>
                <w:lang w:val="sr-Cyrl-CS"/>
              </w:rPr>
            </w:pPr>
            <w:r w:rsidRPr="00092ED7">
              <w:rPr>
                <w:rFonts w:cs="Times New Roman"/>
                <w:b/>
                <w:sz w:val="22"/>
                <w:szCs w:val="22"/>
                <w:lang w:val="sr-Cyrl-CS"/>
              </w:rPr>
              <w:t>Кључни изазов број 3:</w:t>
            </w:r>
            <w:r w:rsidRPr="00092ED7">
              <w:rPr>
                <w:rFonts w:cs="Times New Roman"/>
                <w:b/>
                <w:i/>
                <w:iCs/>
                <w:sz w:val="22"/>
                <w:szCs w:val="22"/>
                <w:lang w:val="sr-Cyrl-CS"/>
              </w:rPr>
              <w:t xml:space="preserve"> Озелењавање енергетског сектора и потпуно отварање енергетског тржишта</w:t>
            </w:r>
          </w:p>
        </w:tc>
      </w:tr>
      <w:tr w:rsidR="001632EC" w:rsidRPr="00092ED7" w14:paraId="00F0BECB" w14:textId="77777777" w:rsidTr="001632EC">
        <w:tc>
          <w:tcPr>
            <w:tcW w:w="579" w:type="dxa"/>
            <w:shd w:val="clear" w:color="auto" w:fill="DEEAF6" w:themeFill="accent1" w:themeFillTint="33"/>
          </w:tcPr>
          <w:p w14:paraId="113F56C1"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45EFD9EB"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1D87E1DE"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4A7DD092" w14:textId="77777777" w:rsidTr="001632EC">
        <w:tc>
          <w:tcPr>
            <w:tcW w:w="579" w:type="dxa"/>
            <w:vAlign w:val="top"/>
          </w:tcPr>
          <w:p w14:paraId="2ED42D9D"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8.</w:t>
            </w:r>
          </w:p>
        </w:tc>
        <w:tc>
          <w:tcPr>
            <w:tcW w:w="3981" w:type="dxa"/>
            <w:vAlign w:val="top"/>
          </w:tcPr>
          <w:p w14:paraId="1CE6BEE6"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Унапређење услова за повећање енергетске ефикасности кроз стварање услова за примену енергетског означавања и екодизајна, као и кроз подстицаје за унапређење енергетске ефикасности</w:t>
            </w:r>
          </w:p>
        </w:tc>
        <w:tc>
          <w:tcPr>
            <w:tcW w:w="4801" w:type="dxa"/>
          </w:tcPr>
          <w:p w14:paraId="5B363AE2"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Реформа подразумева унапређење енергетске ефикасности у Републици Србији. О</w:t>
            </w:r>
            <w:r w:rsidRPr="00092ED7">
              <w:rPr>
                <w:rFonts w:eastAsia="Calibri" w:cs="Times New Roman"/>
                <w:sz w:val="22"/>
                <w:szCs w:val="22"/>
                <w:lang w:val="sr-Cyrl-CS" w:eastAsia="sr-Cyrl-CS" w:bidi="sr-Cyrl-CS"/>
              </w:rPr>
              <w:t>бухватиће активности које доприносе спровођењу енергетског означавања производа и еко-дизајна кроз доношење техничких прописа у складу са Законом о енергетској ефикасности и рационалној употреби енергије и ЕУ регулативом. За спровођење ове реформе од великог је значаја да се ојачају капацитети тела која врше тржишни надзор над спровођењем ових прописа, као и да се подржи успостављање и развој капацитета тела за оцену усаглашености, па ће се структурна реформа фокусирати на то да се обезбеди техничка помоћ за изградњу капацитета укључујући пилот тестирања производа који се налазе на тржишту.</w:t>
            </w:r>
          </w:p>
        </w:tc>
      </w:tr>
      <w:tr w:rsidR="001632EC" w:rsidRPr="00092ED7" w14:paraId="64DA6F81" w14:textId="77777777" w:rsidTr="001632EC">
        <w:tc>
          <w:tcPr>
            <w:tcW w:w="579" w:type="dxa"/>
            <w:vAlign w:val="top"/>
          </w:tcPr>
          <w:p w14:paraId="57B758BD"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9.</w:t>
            </w:r>
          </w:p>
        </w:tc>
        <w:tc>
          <w:tcPr>
            <w:tcW w:w="3981" w:type="dxa"/>
            <w:vAlign w:val="top"/>
          </w:tcPr>
          <w:p w14:paraId="2FD4337C" w14:textId="50DC2017" w:rsidR="00F42759" w:rsidRPr="00092ED7" w:rsidRDefault="00F42759" w:rsidP="001632EC">
            <w:pPr>
              <w:spacing w:before="0" w:after="0"/>
              <w:ind w:left="113" w:right="113"/>
              <w:jc w:val="left"/>
              <w:rPr>
                <w:rFonts w:cs="Times New Roman"/>
                <w:b/>
                <w:bCs/>
                <w:sz w:val="22"/>
                <w:szCs w:val="22"/>
                <w:lang w:val="sr-Cyrl-CS"/>
              </w:rPr>
            </w:pPr>
            <w:r w:rsidRPr="00092ED7">
              <w:rPr>
                <w:rFonts w:cs="Times New Roman"/>
                <w:b/>
                <w:bCs/>
                <w:sz w:val="22"/>
                <w:szCs w:val="22"/>
                <w:lang w:val="sr-Cyrl-CS"/>
              </w:rPr>
              <w:t>Интеграција обновљивих извора електричне енергије кроз пројекат „Беогрид 2025</w:t>
            </w:r>
            <w:r w:rsidR="00B2255A" w:rsidRPr="00092ED7">
              <w:rPr>
                <w:rFonts w:cs="Times New Roman"/>
                <w:b/>
                <w:sz w:val="22"/>
                <w:szCs w:val="22"/>
                <w:lang w:val="sr-Cyrl-CS"/>
              </w:rPr>
              <w:t>”</w:t>
            </w:r>
          </w:p>
        </w:tc>
        <w:tc>
          <w:tcPr>
            <w:tcW w:w="4801" w:type="dxa"/>
          </w:tcPr>
          <w:p w14:paraId="7AC7FA4E" w14:textId="77777777" w:rsidR="00F42759" w:rsidRPr="00092ED7" w:rsidRDefault="00F42759" w:rsidP="001632EC">
            <w:pPr>
              <w:widowControl w:val="0"/>
              <w:spacing w:before="0" w:after="0"/>
              <w:ind w:left="113" w:right="113"/>
              <w:rPr>
                <w:rFonts w:eastAsia="Calibri" w:cs="Times New Roman"/>
                <w:sz w:val="22"/>
                <w:szCs w:val="22"/>
                <w:lang w:val="sr-Cyrl-CS" w:eastAsia="sr-Cyrl-CS" w:bidi="sr-Cyrl-CS"/>
              </w:rPr>
            </w:pPr>
            <w:r w:rsidRPr="00092ED7">
              <w:rPr>
                <w:rFonts w:cs="Times New Roman"/>
                <w:sz w:val="22"/>
                <w:szCs w:val="22"/>
                <w:lang w:val="sr-Cyrl-CS"/>
              </w:rPr>
              <w:t>Реформа подразумева интеграцију електричне енергије произведене из обновљивих извора енергије (ветроелектрана</w:t>
            </w:r>
            <w:r w:rsidRPr="00092ED7">
              <w:rPr>
                <w:rFonts w:eastAsia="Calibri" w:cs="Times New Roman"/>
                <w:sz w:val="22"/>
                <w:szCs w:val="22"/>
                <w:lang w:val="sr-Cyrl-CS" w:eastAsia="sr-Cyrl-CS" w:bidi="sr-Cyrl-CS"/>
              </w:rPr>
              <w:t xml:space="preserve"> које се налазе у региону Јужног Баната</w:t>
            </w:r>
            <w:r w:rsidRPr="00092ED7">
              <w:rPr>
                <w:rFonts w:cs="Times New Roman"/>
                <w:sz w:val="22"/>
                <w:szCs w:val="22"/>
                <w:lang w:val="sr-Cyrl-CS"/>
              </w:rPr>
              <w:t xml:space="preserve">) у преносни електроенергетски систем, </w:t>
            </w:r>
            <w:r w:rsidRPr="00092ED7">
              <w:rPr>
                <w:rFonts w:eastAsia="Calibri" w:cs="Times New Roman"/>
                <w:sz w:val="22"/>
                <w:szCs w:val="22"/>
                <w:lang w:val="sr-Cyrl-CS" w:eastAsia="sr-Cyrl-CS" w:bidi="sr-Cyrl-CS"/>
              </w:rPr>
              <w:t>као и растерећење Трафостанице Београд 5, која напаја електричном енергијом велики део Београда. Пројекат је део ширег пројекта Северни коридор (</w:t>
            </w:r>
            <w:r w:rsidRPr="00092ED7">
              <w:rPr>
                <w:rFonts w:eastAsia="Calibri" w:cs="Times New Roman"/>
                <w:i/>
                <w:sz w:val="22"/>
                <w:szCs w:val="22"/>
                <w:lang w:val="sr-Cyrl-CS" w:eastAsia="sr-Cyrl-CS" w:bidi="sr-Cyrl-CS"/>
              </w:rPr>
              <w:t>North CSE corridor</w:t>
            </w:r>
            <w:r w:rsidRPr="00092ED7">
              <w:rPr>
                <w:rFonts w:eastAsia="Calibri" w:cs="Times New Roman"/>
                <w:sz w:val="22"/>
                <w:szCs w:val="22"/>
                <w:lang w:val="sr-Cyrl-CS" w:eastAsia="sr-Cyrl-CS" w:bidi="sr-Cyrl-CS"/>
              </w:rPr>
              <w:t>), који, поред наведеног, обухвата и дуплирање постојећег интерконективног 400 kV далековода Ђердап 1 - Portile De Fier (Румунија).</w:t>
            </w:r>
          </w:p>
        </w:tc>
      </w:tr>
      <w:tr w:rsidR="001632EC" w:rsidRPr="00092ED7" w14:paraId="573507D7" w14:textId="77777777" w:rsidTr="001632EC">
        <w:tc>
          <w:tcPr>
            <w:tcW w:w="579" w:type="dxa"/>
            <w:vAlign w:val="top"/>
          </w:tcPr>
          <w:p w14:paraId="2AF49ABB"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10.</w:t>
            </w:r>
          </w:p>
        </w:tc>
        <w:tc>
          <w:tcPr>
            <w:tcW w:w="3981" w:type="dxa"/>
            <w:vAlign w:val="top"/>
          </w:tcPr>
          <w:p w14:paraId="04E0BCDF" w14:textId="77777777" w:rsidR="00F42759" w:rsidRPr="00092ED7" w:rsidRDefault="00F42759" w:rsidP="001632EC">
            <w:pPr>
              <w:spacing w:before="0" w:after="0"/>
              <w:ind w:left="113" w:right="113"/>
              <w:jc w:val="left"/>
              <w:rPr>
                <w:rFonts w:cs="Times New Roman"/>
                <w:b/>
                <w:bCs/>
                <w:sz w:val="22"/>
                <w:szCs w:val="22"/>
                <w:lang w:val="sr-Cyrl-CS"/>
              </w:rPr>
            </w:pPr>
            <w:r w:rsidRPr="00092ED7">
              <w:rPr>
                <w:rFonts w:cs="Times New Roman"/>
                <w:b/>
                <w:bCs/>
                <w:sz w:val="22"/>
                <w:szCs w:val="22"/>
                <w:lang w:val="sr-Cyrl-CS"/>
              </w:rPr>
              <w:t>Развој енергетског тржишта уз изградњу енергетске инфраструктуре</w:t>
            </w:r>
          </w:p>
        </w:tc>
        <w:tc>
          <w:tcPr>
            <w:tcW w:w="4801" w:type="dxa"/>
          </w:tcPr>
          <w:p w14:paraId="3CBA6EAF" w14:textId="77777777" w:rsidR="00F42759" w:rsidRPr="00092ED7" w:rsidRDefault="00F42759" w:rsidP="001632EC">
            <w:pPr>
              <w:widowControl w:val="0"/>
              <w:spacing w:before="0" w:after="0"/>
              <w:ind w:left="113" w:right="113"/>
              <w:rPr>
                <w:rFonts w:cs="Times New Roman"/>
                <w:sz w:val="22"/>
                <w:szCs w:val="22"/>
                <w:lang w:val="sr-Cyrl-CS"/>
              </w:rPr>
            </w:pPr>
            <w:r w:rsidRPr="00092ED7">
              <w:rPr>
                <w:rFonts w:cs="Times New Roman"/>
                <w:sz w:val="22"/>
                <w:szCs w:val="22"/>
                <w:lang w:val="sr-Cyrl-CS"/>
              </w:rPr>
              <w:t>Реформа подразумева изградњу нових интерконективних далековода: секција III - двоструки вод 400 kV ТС Бајина Башта–ТС Обреновац; секција IV - двосистемски 400 kV далековод ТС Бајина Башта - граница Црне Горе - граница БиХ. Део је Пројекта Трансбалкански коридор (I фаза) који за циљ има повећање преносног капацитета мреже Западне Србије, као и повећање сигурности и поузданости напајања електричном енергијом потрошача у Републици Србији.</w:t>
            </w:r>
          </w:p>
        </w:tc>
      </w:tr>
      <w:tr w:rsidR="00F42759" w:rsidRPr="00092ED7" w14:paraId="02BB8367" w14:textId="77777777" w:rsidTr="001632EC">
        <w:trPr>
          <w:trHeight w:val="441"/>
        </w:trPr>
        <w:tc>
          <w:tcPr>
            <w:tcW w:w="9361" w:type="dxa"/>
            <w:gridSpan w:val="3"/>
            <w:shd w:val="clear" w:color="auto" w:fill="DEEAF6" w:themeFill="accent1" w:themeFillTint="33"/>
          </w:tcPr>
          <w:p w14:paraId="287A9BE6" w14:textId="27C7E9A6" w:rsidR="00F42759" w:rsidRPr="00092ED7" w:rsidRDefault="00B02D4E" w:rsidP="001632EC">
            <w:pPr>
              <w:spacing w:before="0" w:after="0"/>
              <w:ind w:left="113" w:right="113"/>
              <w:jc w:val="left"/>
              <w:rPr>
                <w:rFonts w:cs="Times New Roman"/>
                <w:b/>
                <w:sz w:val="22"/>
                <w:szCs w:val="22"/>
                <w:lang w:val="sr-Cyrl-CS"/>
              </w:rPr>
            </w:pPr>
            <w:r w:rsidRPr="00092ED7">
              <w:rPr>
                <w:rFonts w:cs="Times New Roman"/>
                <w:b/>
                <w:sz w:val="22"/>
                <w:szCs w:val="22"/>
                <w:lang w:val="sr-Cyrl-CS"/>
              </w:rPr>
              <w:t xml:space="preserve">ИЗАЗОВИ </w:t>
            </w:r>
            <w:r w:rsidR="00F42759" w:rsidRPr="00092ED7">
              <w:rPr>
                <w:rFonts w:cs="Times New Roman"/>
                <w:b/>
                <w:sz w:val="22"/>
                <w:szCs w:val="22"/>
                <w:lang w:val="sr-Cyrl-CS"/>
              </w:rPr>
              <w:t>У ДРУГИМ ОБЛАСТИМА И ОДГОВАРАЈУЋЕ СТРУКТУРНЕ РЕФОРМЕ</w:t>
            </w:r>
          </w:p>
        </w:tc>
      </w:tr>
      <w:tr w:rsidR="00F42759" w:rsidRPr="00092ED7" w14:paraId="7078F97D" w14:textId="77777777" w:rsidTr="001632EC">
        <w:trPr>
          <w:trHeight w:val="440"/>
        </w:trPr>
        <w:tc>
          <w:tcPr>
            <w:tcW w:w="9361" w:type="dxa"/>
            <w:gridSpan w:val="3"/>
            <w:shd w:val="clear" w:color="auto" w:fill="DEEAF6" w:themeFill="accent1" w:themeFillTint="33"/>
          </w:tcPr>
          <w:p w14:paraId="6EACA669"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b/>
                <w:sz w:val="22"/>
                <w:szCs w:val="22"/>
                <w:lang w:val="sr-Cyrl-CS"/>
              </w:rPr>
              <w:t>Област 1: УПРАВЉАЊЕ ЈАВНИМ ФИНАНСИЈАМА</w:t>
            </w:r>
          </w:p>
        </w:tc>
      </w:tr>
      <w:tr w:rsidR="00F42759" w:rsidRPr="00092ED7" w14:paraId="08AC0E8D" w14:textId="77777777" w:rsidTr="001632EC">
        <w:tc>
          <w:tcPr>
            <w:tcW w:w="579" w:type="dxa"/>
            <w:shd w:val="clear" w:color="auto" w:fill="DEEAF6" w:themeFill="accent1" w:themeFillTint="33"/>
          </w:tcPr>
          <w:p w14:paraId="6C081E2E"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0E7AA899"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12A2BFFD"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F42759" w:rsidRPr="00092ED7" w14:paraId="53877543" w14:textId="77777777" w:rsidTr="001632EC">
        <w:tc>
          <w:tcPr>
            <w:tcW w:w="579" w:type="dxa"/>
            <w:vAlign w:val="top"/>
          </w:tcPr>
          <w:p w14:paraId="4BB6EF32"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11.</w:t>
            </w:r>
          </w:p>
        </w:tc>
        <w:tc>
          <w:tcPr>
            <w:tcW w:w="3981" w:type="dxa"/>
            <w:vAlign w:val="top"/>
          </w:tcPr>
          <w:p w14:paraId="44031EF1"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Трансформација Пореске управе</w:t>
            </w:r>
          </w:p>
        </w:tc>
        <w:tc>
          <w:tcPr>
            <w:tcW w:w="4801" w:type="dxa"/>
          </w:tcPr>
          <w:p w14:paraId="46C6CBDB" w14:textId="7ED68725" w:rsidR="00F42759" w:rsidRPr="00092ED7" w:rsidRDefault="00F42759" w:rsidP="009056F8">
            <w:pPr>
              <w:spacing w:before="0" w:after="0"/>
              <w:ind w:left="113" w:right="113"/>
              <w:rPr>
                <w:rFonts w:cs="Times New Roman"/>
                <w:sz w:val="22"/>
                <w:szCs w:val="22"/>
                <w:lang w:val="sr-Cyrl-CS"/>
              </w:rPr>
            </w:pPr>
            <w:r w:rsidRPr="00092ED7">
              <w:rPr>
                <w:rFonts w:cs="Times New Roman"/>
                <w:sz w:val="22"/>
                <w:szCs w:val="22"/>
                <w:lang w:val="sr-Cyrl-CS"/>
              </w:rPr>
              <w:t xml:space="preserve">Реформа подразумева реализацију </w:t>
            </w:r>
            <w:r w:rsidRPr="00092ED7">
              <w:rPr>
                <w:rFonts w:cs="Times New Roman"/>
                <w:i/>
                <w:sz w:val="22"/>
                <w:szCs w:val="22"/>
                <w:lang w:val="sr-Cyrl-CS"/>
              </w:rPr>
              <w:t>Програма трансформације Пореске управе за период 2021-2025. године</w:t>
            </w:r>
            <w:r w:rsidRPr="00092ED7">
              <w:rPr>
                <w:rFonts w:cs="Times New Roman"/>
                <w:sz w:val="22"/>
                <w:szCs w:val="22"/>
                <w:lang w:val="sr-Cyrl-CS"/>
              </w:rPr>
              <w:t xml:space="preserve">, који представља оквир и </w:t>
            </w:r>
            <w:r w:rsidRPr="00092ED7">
              <w:rPr>
                <w:rFonts w:cs="Times New Roman"/>
                <w:iCs/>
                <w:sz w:val="22"/>
                <w:szCs w:val="22"/>
                <w:lang w:val="sr-Cyrl-CS"/>
              </w:rPr>
              <w:t>дефинише пут који води до модерне и ефикасне Пореске управе 2025. године – институција која обезбеђује одрживе и предвидиве јавне финансије, тако да је присутна, доступна и интегрисана у природно окружење пореског обвезника; институција која артикулише интересе и потребе пословне заједнице ка</w:t>
            </w:r>
            <w:r w:rsidR="009056F8" w:rsidRPr="00092ED7">
              <w:rPr>
                <w:rFonts w:cs="Times New Roman"/>
                <w:iCs/>
                <w:sz w:val="22"/>
                <w:szCs w:val="22"/>
                <w:lang w:val="sr-Cyrl-CS"/>
              </w:rPr>
              <w:t xml:space="preserve"> Министарству финансија и Влади.</w:t>
            </w:r>
            <w:r w:rsidRPr="00092ED7">
              <w:rPr>
                <w:rFonts w:cs="Times New Roman"/>
                <w:iCs/>
                <w:sz w:val="22"/>
                <w:szCs w:val="22"/>
                <w:lang w:val="sr-Cyrl-CS"/>
              </w:rPr>
              <w:t xml:space="preserve"> Кроз рад са модерном Пореском управом, пореским обвезницима ће бити поједностављено испуњење пореских обавеза, што уз адекватно вођење пореске политике представља основни предуслов за раст добровољног поштовања пореских прописа, сузбијање сиве економије и здрав и конкурентан привредни развој у Републици Србији.</w:t>
            </w:r>
          </w:p>
        </w:tc>
      </w:tr>
      <w:tr w:rsidR="00F42759" w:rsidRPr="00092ED7" w14:paraId="3AB05F1B" w14:textId="77777777" w:rsidTr="001632EC">
        <w:trPr>
          <w:trHeight w:val="397"/>
        </w:trPr>
        <w:tc>
          <w:tcPr>
            <w:tcW w:w="9361" w:type="dxa"/>
            <w:gridSpan w:val="3"/>
            <w:shd w:val="clear" w:color="auto" w:fill="DEEAF6" w:themeFill="accent1" w:themeFillTint="33"/>
          </w:tcPr>
          <w:p w14:paraId="0EAA69FA" w14:textId="77777777" w:rsidR="00F42759" w:rsidRPr="00092ED7" w:rsidRDefault="00F42759" w:rsidP="001632EC">
            <w:pPr>
              <w:spacing w:before="0" w:after="0"/>
              <w:ind w:left="113" w:right="113"/>
              <w:rPr>
                <w:rFonts w:cs="Times New Roman"/>
                <w:b/>
                <w:sz w:val="22"/>
                <w:szCs w:val="22"/>
                <w:highlight w:val="green"/>
                <w:lang w:val="sr-Cyrl-CS"/>
              </w:rPr>
            </w:pPr>
            <w:r w:rsidRPr="00092ED7">
              <w:rPr>
                <w:rFonts w:cs="Times New Roman"/>
                <w:b/>
                <w:sz w:val="22"/>
                <w:szCs w:val="22"/>
                <w:lang w:val="sr-Cyrl-CS"/>
              </w:rPr>
              <w:t>Област 2: ЗЕЛЕНА ТРАНЗИЦИЈА</w:t>
            </w:r>
          </w:p>
        </w:tc>
      </w:tr>
      <w:tr w:rsidR="00F42759" w:rsidRPr="00092ED7" w14:paraId="203E229B" w14:textId="77777777" w:rsidTr="001632EC">
        <w:tc>
          <w:tcPr>
            <w:tcW w:w="579" w:type="dxa"/>
            <w:shd w:val="clear" w:color="auto" w:fill="DEEAF6" w:themeFill="accent1" w:themeFillTint="33"/>
          </w:tcPr>
          <w:p w14:paraId="1B3D6CFF"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1E8B327A"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5D1C42DE"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73D22A8F" w14:textId="77777777" w:rsidTr="001632EC">
        <w:tc>
          <w:tcPr>
            <w:tcW w:w="579" w:type="dxa"/>
            <w:vAlign w:val="top"/>
          </w:tcPr>
          <w:p w14:paraId="0AC253A0"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12.</w:t>
            </w:r>
          </w:p>
        </w:tc>
        <w:tc>
          <w:tcPr>
            <w:tcW w:w="3981" w:type="dxa"/>
            <w:vAlign w:val="top"/>
          </w:tcPr>
          <w:p w14:paraId="5C0EE742" w14:textId="77777777" w:rsidR="00F42759" w:rsidRPr="00092ED7" w:rsidRDefault="00F42759" w:rsidP="001632EC">
            <w:pPr>
              <w:spacing w:before="0" w:after="0"/>
              <w:ind w:left="113" w:right="113"/>
              <w:jc w:val="left"/>
              <w:rPr>
                <w:rFonts w:cs="Times New Roman"/>
                <w:b/>
                <w:bCs/>
                <w:sz w:val="22"/>
                <w:szCs w:val="22"/>
                <w:highlight w:val="green"/>
                <w:lang w:val="sr-Cyrl-CS"/>
              </w:rPr>
            </w:pPr>
            <w:r w:rsidRPr="00092ED7">
              <w:rPr>
                <w:rFonts w:cs="Times New Roman"/>
                <w:b/>
                <w:bCs/>
                <w:sz w:val="22"/>
                <w:szCs w:val="22"/>
                <w:lang w:val="sr-Cyrl-CS"/>
              </w:rPr>
              <w:t>Примена циркуларне економије у стварању повољног окружења за зелену транзицију</w:t>
            </w:r>
          </w:p>
        </w:tc>
        <w:tc>
          <w:tcPr>
            <w:tcW w:w="4801" w:type="dxa"/>
          </w:tcPr>
          <w:p w14:paraId="42CAA96A" w14:textId="154A62AC" w:rsidR="00F42759" w:rsidRPr="00092ED7" w:rsidRDefault="00F42759" w:rsidP="001632EC">
            <w:pPr>
              <w:spacing w:before="0" w:after="0"/>
              <w:ind w:left="113" w:right="113"/>
              <w:rPr>
                <w:rFonts w:cs="Times New Roman"/>
                <w:sz w:val="22"/>
                <w:szCs w:val="22"/>
                <w:highlight w:val="green"/>
                <w:lang w:val="sr-Cyrl-CS"/>
              </w:rPr>
            </w:pPr>
            <w:r w:rsidRPr="00092ED7">
              <w:rPr>
                <w:rFonts w:cs="Times New Roman"/>
                <w:sz w:val="22"/>
                <w:szCs w:val="22"/>
                <w:lang w:val="sr-Cyrl-CS"/>
              </w:rPr>
              <w:t xml:space="preserve">Реформа подразумева подршку привредним субјектима и локалним самоуправама у области циркуларне економије, унапређење сарадње пословне и академске заједнице и пружање подршке јавном сектору и привреди за успешну примену зелених јавних набавки у </w:t>
            </w:r>
            <w:r w:rsidR="007F5867" w:rsidRPr="00092ED7">
              <w:rPr>
                <w:rFonts w:cs="Times New Roman"/>
                <w:sz w:val="22"/>
                <w:lang w:val="sr-Cyrl-CS"/>
              </w:rPr>
              <w:t>Републици</w:t>
            </w:r>
            <w:r w:rsidR="007F5867" w:rsidRPr="00092ED7">
              <w:rPr>
                <w:rFonts w:cs="Times New Roman"/>
                <w:sz w:val="22"/>
                <w:szCs w:val="22"/>
                <w:lang w:val="sr-Cyrl-CS"/>
              </w:rPr>
              <w:t xml:space="preserve"> </w:t>
            </w:r>
            <w:r w:rsidRPr="00092ED7">
              <w:rPr>
                <w:rFonts w:cs="Times New Roman"/>
                <w:sz w:val="22"/>
                <w:szCs w:val="22"/>
                <w:lang w:val="sr-Cyrl-CS"/>
              </w:rPr>
              <w:t>Србији. Концепт циркуларне економије који повезује многе области, има за циљ покретање зелене привредне транзиције Републике Србије, уз ефикасно коришћење ресурса и енергије и очување и унапређење животне средине и здравља људи.</w:t>
            </w:r>
          </w:p>
        </w:tc>
      </w:tr>
      <w:tr w:rsidR="00F42759" w:rsidRPr="00092ED7" w14:paraId="02AB5162" w14:textId="77777777" w:rsidTr="001632EC">
        <w:trPr>
          <w:trHeight w:val="397"/>
        </w:trPr>
        <w:tc>
          <w:tcPr>
            <w:tcW w:w="9361" w:type="dxa"/>
            <w:gridSpan w:val="3"/>
            <w:shd w:val="clear" w:color="auto" w:fill="DEEAF6" w:themeFill="accent1" w:themeFillTint="33"/>
          </w:tcPr>
          <w:p w14:paraId="60B7B518" w14:textId="77777777" w:rsidR="00F42759" w:rsidRPr="00092ED7" w:rsidRDefault="00F42759" w:rsidP="001632EC">
            <w:pPr>
              <w:spacing w:before="0" w:after="0"/>
              <w:ind w:left="113" w:right="113"/>
              <w:rPr>
                <w:rFonts w:cs="Times New Roman"/>
                <w:b/>
                <w:sz w:val="22"/>
                <w:szCs w:val="22"/>
                <w:highlight w:val="green"/>
                <w:lang w:val="sr-Cyrl-CS"/>
              </w:rPr>
            </w:pPr>
            <w:r w:rsidRPr="00092ED7">
              <w:rPr>
                <w:rFonts w:cs="Times New Roman"/>
                <w:b/>
                <w:sz w:val="22"/>
                <w:szCs w:val="22"/>
                <w:lang w:val="sr-Cyrl-CS"/>
              </w:rPr>
              <w:t>Област 3: ДИГИТАЛНА ТРАНСФОРМАЦИЈА</w:t>
            </w:r>
          </w:p>
        </w:tc>
      </w:tr>
      <w:tr w:rsidR="00F42759" w:rsidRPr="00092ED7" w14:paraId="22B9031D" w14:textId="77777777" w:rsidTr="001632EC">
        <w:tc>
          <w:tcPr>
            <w:tcW w:w="579" w:type="dxa"/>
            <w:shd w:val="clear" w:color="auto" w:fill="DEEAF6" w:themeFill="accent1" w:themeFillTint="33"/>
          </w:tcPr>
          <w:p w14:paraId="015DD327"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077A3BA4"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774EBD17"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0342F35D" w14:textId="77777777" w:rsidTr="001632EC">
        <w:tc>
          <w:tcPr>
            <w:tcW w:w="579" w:type="dxa"/>
            <w:vAlign w:val="top"/>
          </w:tcPr>
          <w:p w14:paraId="2EB940D5"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13.</w:t>
            </w:r>
          </w:p>
        </w:tc>
        <w:tc>
          <w:tcPr>
            <w:tcW w:w="3981" w:type="dxa"/>
            <w:vAlign w:val="top"/>
          </w:tcPr>
          <w:p w14:paraId="13F9084B"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Развој и унапређење националне информационо-комуникационе инфраструктуре</w:t>
            </w:r>
          </w:p>
        </w:tc>
        <w:tc>
          <w:tcPr>
            <w:tcW w:w="4801" w:type="dxa"/>
          </w:tcPr>
          <w:p w14:paraId="53BFE1B6" w14:textId="77777777" w:rsidR="00F42759" w:rsidRPr="00092ED7" w:rsidRDefault="00F42759" w:rsidP="001632EC">
            <w:pPr>
              <w:tabs>
                <w:tab w:val="left" w:pos="1134"/>
              </w:tabs>
              <w:spacing w:before="0" w:after="0"/>
              <w:ind w:left="113" w:right="113"/>
              <w:rPr>
                <w:rFonts w:cs="Times New Roman"/>
                <w:sz w:val="22"/>
                <w:szCs w:val="22"/>
                <w:highlight w:val="green"/>
                <w:lang w:val="sr-Cyrl-CS"/>
              </w:rPr>
            </w:pPr>
            <w:r w:rsidRPr="00092ED7">
              <w:rPr>
                <w:rFonts w:cs="Times New Roman"/>
                <w:sz w:val="22"/>
                <w:szCs w:val="22"/>
                <w:lang w:val="sr-Cyrl-CS"/>
              </w:rPr>
              <w:t xml:space="preserve">Реформа подразумева развој широкопојасних мрежа за приступ, израду детаљних мапа доступности услуга широкопојасног приступа у Републици Србији и побољшање услова образовања и повећање коришћења сервиса електронске управе. Позитиван ефекат реализације реформе огледа се кроз </w:t>
            </w:r>
            <w:r w:rsidRPr="00092ED7">
              <w:rPr>
                <w:rFonts w:eastAsia="Times New Roman" w:cs="Times New Roman"/>
                <w:color w:val="000000"/>
                <w:sz w:val="22"/>
                <w:szCs w:val="22"/>
                <w:lang w:val="sr-Cyrl-CS"/>
              </w:rPr>
              <w:t>развој руралних области, повезивање привредних региона, развој индустријских зона, као и повећање употребе нових технологија и иновација у пословању и образовању.</w:t>
            </w:r>
          </w:p>
        </w:tc>
      </w:tr>
      <w:tr w:rsidR="001632EC" w:rsidRPr="00092ED7" w14:paraId="033F4959" w14:textId="77777777" w:rsidTr="001632EC">
        <w:tc>
          <w:tcPr>
            <w:tcW w:w="579" w:type="dxa"/>
            <w:vAlign w:val="top"/>
          </w:tcPr>
          <w:p w14:paraId="3A7EEE02"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14.</w:t>
            </w:r>
          </w:p>
        </w:tc>
        <w:tc>
          <w:tcPr>
            <w:tcW w:w="3981" w:type="dxa"/>
            <w:vAlign w:val="top"/>
          </w:tcPr>
          <w:p w14:paraId="327D978D"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Успостављање инфраструктуре и окружења за креирање и примену иновативних ИТ решења</w:t>
            </w:r>
          </w:p>
        </w:tc>
        <w:tc>
          <w:tcPr>
            <w:tcW w:w="4801" w:type="dxa"/>
          </w:tcPr>
          <w:p w14:paraId="172BB805" w14:textId="4E60D2D3"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 xml:space="preserve">Реформа подразумева: даљу реализацију пројекта </w:t>
            </w:r>
            <w:r w:rsidRPr="00092ED7">
              <w:rPr>
                <w:rFonts w:cs="Times New Roman"/>
                <w:i/>
                <w:sz w:val="22"/>
                <w:szCs w:val="22"/>
                <w:lang w:val="sr-Cyrl-CS"/>
              </w:rPr>
              <w:t xml:space="preserve">Smart City </w:t>
            </w:r>
            <w:r w:rsidRPr="00092ED7">
              <w:rPr>
                <w:rFonts w:cs="Times New Roman"/>
                <w:sz w:val="22"/>
                <w:szCs w:val="22"/>
                <w:lang w:val="sr-Cyrl-CS"/>
              </w:rPr>
              <w:t>- који ће омогућити боље и квалитетније функционисање јединица локалне самоуправе употребом иновативних ИТ решења; изградњу објекта „Иновациони дистрикт</w:t>
            </w:r>
            <w:r w:rsidR="000F68D4" w:rsidRPr="00092ED7">
              <w:rPr>
                <w:rFonts w:cs="Times New Roman"/>
                <w:sz w:val="22"/>
                <w:szCs w:val="22"/>
                <w:lang w:val="sr-Cyrl-CS"/>
              </w:rPr>
              <w:t>ˮ</w:t>
            </w:r>
            <w:r w:rsidRPr="00092ED7">
              <w:rPr>
                <w:rFonts w:cs="Times New Roman"/>
                <w:sz w:val="22"/>
                <w:szCs w:val="22"/>
                <w:lang w:val="sr-Cyrl-CS"/>
              </w:rPr>
              <w:t xml:space="preserve"> у оквиру </w:t>
            </w:r>
            <w:r w:rsidR="000F68D4" w:rsidRPr="00092ED7">
              <w:rPr>
                <w:rFonts w:cs="Times New Roman"/>
                <w:sz w:val="22"/>
                <w:szCs w:val="22"/>
                <w:lang w:val="sr-Cyrl-CS"/>
              </w:rPr>
              <w:t>ДДЦ</w:t>
            </w:r>
            <w:r w:rsidRPr="00092ED7">
              <w:rPr>
                <w:rFonts w:cs="Times New Roman"/>
                <w:sz w:val="22"/>
                <w:szCs w:val="22"/>
                <w:lang w:val="sr-Cyrl-CS"/>
              </w:rPr>
              <w:t xml:space="preserve"> у Крагујевцу - који ће омогућити развој ученика и студената, пружити им могућност да тестирају и промовишу своје идеје, повезују са домаћим и страним привредним субјектима који већ користе или ће у будућности користити капацитете ДДЦ (клауд, AI платформа, итд.), док ће привредним субјектима бити омогућено да дођу до нових идеја и решења и да се упознају са потенцијалом талентованих ученика и студената.</w:t>
            </w:r>
          </w:p>
        </w:tc>
      </w:tr>
      <w:tr w:rsidR="001632EC" w:rsidRPr="00092ED7" w14:paraId="2C488CA2" w14:textId="77777777" w:rsidTr="001632EC">
        <w:tc>
          <w:tcPr>
            <w:tcW w:w="579" w:type="dxa"/>
            <w:vAlign w:val="top"/>
          </w:tcPr>
          <w:p w14:paraId="2DED9148"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15.</w:t>
            </w:r>
          </w:p>
        </w:tc>
        <w:tc>
          <w:tcPr>
            <w:tcW w:w="3981" w:type="dxa"/>
            <w:vAlign w:val="top"/>
          </w:tcPr>
          <w:p w14:paraId="0DEB489C"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Подршка развоју талената и креативних индустрија оснивањем мултифункционалног иновативно-креативног центра Ложионица</w:t>
            </w:r>
          </w:p>
        </w:tc>
        <w:tc>
          <w:tcPr>
            <w:tcW w:w="4801" w:type="dxa"/>
          </w:tcPr>
          <w:p w14:paraId="164D3DCD" w14:textId="3B5B503C"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Реформа подразумева успостављање јединственог простора осмишљеног тако да пружи сву неопходну (техничку) подршку развоју талената и креативних индустрија тиме што ће омогућити: локално и интернационално умрежавање, едукацију кроз преношење знања, презентовање примера добре праксе и могућност тестирања идеја и решења, као и њихову презентацију заинтересованим привредним субјектима, појединцима, групама и организацијама. Нови јавни мултифункционални простор ће бити створен реконструкцијом постојеће зграде Ложионице са водоторњем и изградњом нове анекс пословне зграде као део целине „Београда на води</w:t>
            </w:r>
            <w:r w:rsidR="00E556FE" w:rsidRPr="00092ED7">
              <w:rPr>
                <w:rFonts w:cs="Times New Roman"/>
                <w:sz w:val="22"/>
                <w:szCs w:val="22"/>
                <w:lang w:val="sr-Cyrl-CS"/>
              </w:rPr>
              <w:t>”</w:t>
            </w:r>
            <w:r w:rsidRPr="00092ED7">
              <w:rPr>
                <w:rFonts w:cs="Times New Roman"/>
                <w:sz w:val="22"/>
                <w:szCs w:val="22"/>
                <w:lang w:val="sr-Cyrl-CS"/>
              </w:rPr>
              <w:t>. Oсим за промовисање иновативности и стваралаштва биће намењен и ИТ индустрији. Реформа предвиђа и покретање програма подршке професионалним удружењима и образовних програма за професионалце из области креативних индустрија, као и покретање талент хаба.</w:t>
            </w:r>
          </w:p>
        </w:tc>
      </w:tr>
      <w:tr w:rsidR="00F42759" w:rsidRPr="00092ED7" w14:paraId="222835FE" w14:textId="77777777" w:rsidTr="001632EC">
        <w:trPr>
          <w:trHeight w:val="397"/>
        </w:trPr>
        <w:tc>
          <w:tcPr>
            <w:tcW w:w="9361" w:type="dxa"/>
            <w:gridSpan w:val="3"/>
            <w:shd w:val="clear" w:color="auto" w:fill="DEEAF6" w:themeFill="accent1" w:themeFillTint="33"/>
          </w:tcPr>
          <w:p w14:paraId="7647EE4D"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Област 4: ПОСЛОВНО ОКРУЖЕЊЕ И СМАЊЕЊЕ СИВЕ ЕКОНОМИЈЕ</w:t>
            </w:r>
          </w:p>
          <w:p w14:paraId="408DFCCE" w14:textId="77777777" w:rsidR="00F42759" w:rsidRPr="00092ED7" w:rsidRDefault="00F42759" w:rsidP="001632EC">
            <w:pPr>
              <w:spacing w:before="0" w:after="0"/>
              <w:ind w:left="113" w:right="113"/>
              <w:rPr>
                <w:rFonts w:cs="Times New Roman"/>
                <w:b/>
                <w:sz w:val="22"/>
                <w:szCs w:val="22"/>
                <w:highlight w:val="green"/>
                <w:lang w:val="sr-Cyrl-CS"/>
              </w:rPr>
            </w:pPr>
            <w:r w:rsidRPr="00092ED7">
              <w:rPr>
                <w:rFonts w:cs="Times New Roman"/>
                <w:b/>
                <w:sz w:val="22"/>
                <w:szCs w:val="22"/>
                <w:lang w:val="sr-Cyrl-CS"/>
              </w:rPr>
              <w:t xml:space="preserve">Релевантне реформе из ове области представљене су у </w:t>
            </w:r>
            <w:r w:rsidRPr="00092ED7">
              <w:rPr>
                <w:rFonts w:cs="Times New Roman"/>
                <w:b/>
                <w:i/>
                <w:sz w:val="22"/>
                <w:szCs w:val="22"/>
                <w:lang w:val="sr-Cyrl-CS"/>
              </w:rPr>
              <w:t>Кључном изазову број 2. Унапређење пословног амбијента повољнијег за инвестиције</w:t>
            </w:r>
            <w:r w:rsidRPr="00092ED7">
              <w:rPr>
                <w:rFonts w:cs="Times New Roman"/>
                <w:b/>
                <w:sz w:val="22"/>
                <w:szCs w:val="22"/>
                <w:lang w:val="sr-Cyrl-CS"/>
              </w:rPr>
              <w:t>)</w:t>
            </w:r>
          </w:p>
        </w:tc>
      </w:tr>
      <w:tr w:rsidR="00F42759" w:rsidRPr="00092ED7" w14:paraId="12501F24" w14:textId="77777777" w:rsidTr="001632EC">
        <w:trPr>
          <w:trHeight w:val="397"/>
        </w:trPr>
        <w:tc>
          <w:tcPr>
            <w:tcW w:w="9361" w:type="dxa"/>
            <w:gridSpan w:val="3"/>
            <w:shd w:val="clear" w:color="auto" w:fill="DEEAF6" w:themeFill="accent1" w:themeFillTint="33"/>
          </w:tcPr>
          <w:p w14:paraId="7BAC0BDD" w14:textId="77777777" w:rsidR="00F42759" w:rsidRPr="00092ED7" w:rsidRDefault="00F42759" w:rsidP="001632EC">
            <w:pPr>
              <w:spacing w:before="0" w:after="0"/>
              <w:ind w:left="113" w:right="113"/>
              <w:rPr>
                <w:rFonts w:cs="Times New Roman"/>
                <w:b/>
                <w:sz w:val="22"/>
                <w:szCs w:val="22"/>
                <w:highlight w:val="green"/>
                <w:lang w:val="sr-Cyrl-CS"/>
              </w:rPr>
            </w:pPr>
            <w:r w:rsidRPr="00092ED7">
              <w:rPr>
                <w:rFonts w:cs="Times New Roman"/>
                <w:b/>
                <w:sz w:val="22"/>
                <w:szCs w:val="22"/>
                <w:lang w:val="sr-Cyrl-CS"/>
              </w:rPr>
              <w:t>Област 5: ИСТРАЖИВАЊЕ, РАВОЈ И ИНОВАЦИЈЕ</w:t>
            </w:r>
          </w:p>
        </w:tc>
      </w:tr>
      <w:tr w:rsidR="00F42759" w:rsidRPr="00092ED7" w14:paraId="0AD87F13" w14:textId="77777777" w:rsidTr="001632EC">
        <w:tc>
          <w:tcPr>
            <w:tcW w:w="579" w:type="dxa"/>
            <w:shd w:val="clear" w:color="auto" w:fill="DEEAF6" w:themeFill="accent1" w:themeFillTint="33"/>
          </w:tcPr>
          <w:p w14:paraId="26C75350"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47D3F67C"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29A3C565"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51CF3483" w14:textId="77777777" w:rsidTr="001632EC">
        <w:tc>
          <w:tcPr>
            <w:tcW w:w="579" w:type="dxa"/>
            <w:vAlign w:val="top"/>
          </w:tcPr>
          <w:p w14:paraId="2E8FA50A"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16.</w:t>
            </w:r>
          </w:p>
        </w:tc>
        <w:tc>
          <w:tcPr>
            <w:tcW w:w="3981" w:type="dxa"/>
            <w:vAlign w:val="top"/>
          </w:tcPr>
          <w:p w14:paraId="57BB3FC2"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Развој стартап екосистема</w:t>
            </w:r>
          </w:p>
        </w:tc>
        <w:tc>
          <w:tcPr>
            <w:tcW w:w="4801" w:type="dxa"/>
          </w:tcPr>
          <w:p w14:paraId="4589C81F" w14:textId="61B80B44" w:rsidR="00F42759" w:rsidRPr="00092ED7" w:rsidRDefault="00F42759" w:rsidP="001632EC">
            <w:pPr>
              <w:spacing w:before="0" w:after="0"/>
              <w:ind w:left="113" w:right="113"/>
              <w:rPr>
                <w:rFonts w:cs="Times New Roman"/>
                <w:sz w:val="22"/>
                <w:szCs w:val="22"/>
                <w:highlight w:val="green"/>
                <w:lang w:val="sr-Cyrl-CS" w:bidi="sr-Cyrl-CS"/>
              </w:rPr>
            </w:pPr>
            <w:r w:rsidRPr="00092ED7">
              <w:rPr>
                <w:rFonts w:cs="Times New Roman"/>
                <w:sz w:val="22"/>
                <w:szCs w:val="22"/>
                <w:lang w:val="sr-Cyrl-CS"/>
              </w:rPr>
              <w:t>Реформа подразумева стварање стимулативног окружења за развој стартапа који имају вишеструко позитиван утицај, како на економију, тако и на друштво у ком се оснивају и развијају и као такви су творци нових пословних модела 21</w:t>
            </w:r>
            <w:r w:rsidR="007F5867" w:rsidRPr="00092ED7">
              <w:rPr>
                <w:rFonts w:cs="Times New Roman"/>
                <w:sz w:val="22"/>
                <w:lang w:val="sr-Cyrl-CS"/>
              </w:rPr>
              <w:t>.</w:t>
            </w:r>
            <w:r w:rsidRPr="00092ED7">
              <w:rPr>
                <w:rFonts w:cs="Times New Roman"/>
                <w:sz w:val="22"/>
                <w:szCs w:val="22"/>
                <w:lang w:val="sr-Cyrl-CS"/>
              </w:rPr>
              <w:t xml:space="preserve"> века.</w:t>
            </w:r>
            <w:r w:rsidRPr="00092ED7">
              <w:rPr>
                <w:rFonts w:eastAsia="Times New Roman" w:cs="Times New Roman"/>
                <w:sz w:val="22"/>
                <w:szCs w:val="22"/>
                <w:lang w:val="sr-Cyrl-CS"/>
              </w:rPr>
              <w:t xml:space="preserve"> </w:t>
            </w:r>
            <w:r w:rsidRPr="00092ED7">
              <w:rPr>
                <w:rFonts w:cs="Times New Roman"/>
                <w:sz w:val="22"/>
                <w:szCs w:val="22"/>
                <w:lang w:val="sr-Cyrl-CS" w:bidi="sr-Cyrl-CS"/>
              </w:rPr>
              <w:t>Реформом се подстичу јавне и приватне инвестиције у овој области, омогућава развој домаћег тржишта предузетничког капитала, развој високотехнолошке предузетничке културе и подизањe предузетничких капацитета кроз образовне програме и јачање капацитета организација подршке.</w:t>
            </w:r>
          </w:p>
        </w:tc>
      </w:tr>
      <w:tr w:rsidR="001632EC" w:rsidRPr="00092ED7" w14:paraId="45E547F9" w14:textId="77777777" w:rsidTr="001632EC">
        <w:tc>
          <w:tcPr>
            <w:tcW w:w="579" w:type="dxa"/>
            <w:vAlign w:val="top"/>
          </w:tcPr>
          <w:p w14:paraId="151E6AF9"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17.</w:t>
            </w:r>
          </w:p>
        </w:tc>
        <w:tc>
          <w:tcPr>
            <w:tcW w:w="3981" w:type="dxa"/>
            <w:vAlign w:val="top"/>
          </w:tcPr>
          <w:p w14:paraId="4AFA7CB7"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Стварање услова за развој бионаука и биоекономије кроз изградњу БИО4 кампуса</w:t>
            </w:r>
          </w:p>
        </w:tc>
        <w:tc>
          <w:tcPr>
            <w:tcW w:w="4801" w:type="dxa"/>
          </w:tcPr>
          <w:p w14:paraId="068F6368" w14:textId="77777777" w:rsidR="00F42759" w:rsidRPr="00092ED7" w:rsidRDefault="00F42759" w:rsidP="001632EC">
            <w:pPr>
              <w:spacing w:before="0" w:after="0"/>
              <w:ind w:left="113" w:right="113"/>
              <w:rPr>
                <w:rFonts w:cs="Times New Roman"/>
                <w:sz w:val="22"/>
                <w:szCs w:val="22"/>
                <w:lang w:val="sr-Cyrl-CS" w:bidi="sr-Cyrl-CS"/>
              </w:rPr>
            </w:pPr>
            <w:r w:rsidRPr="00092ED7">
              <w:rPr>
                <w:rFonts w:cs="Times New Roman"/>
                <w:sz w:val="22"/>
                <w:szCs w:val="22"/>
                <w:lang w:val="sr-Cyrl-CS"/>
              </w:rPr>
              <w:t>Реформа подразумева пружање подршке интензивираном развоју у областима биотехнологије, биомедицине, биоинформатике и биодиверзитета (БИО4) кроз изградњу БИО4 кампуса, који ће бити први овакав кампус у ширем региону и препозната тачка на глобалној мапи развоја у овој области. Изградњом овог кампуса биће створена прилика за концентрацију стручњака, мултидисциплинарних експертиза најмодернијих технологија и инфраструктуре (факултети, институти, научно-технолошки парк итд) у наведеним областима.</w:t>
            </w:r>
          </w:p>
        </w:tc>
      </w:tr>
      <w:tr w:rsidR="00F42759" w:rsidRPr="00092ED7" w14:paraId="10D75570" w14:textId="77777777" w:rsidTr="001632EC">
        <w:trPr>
          <w:trHeight w:val="397"/>
        </w:trPr>
        <w:tc>
          <w:tcPr>
            <w:tcW w:w="9361" w:type="dxa"/>
            <w:gridSpan w:val="3"/>
            <w:shd w:val="clear" w:color="auto" w:fill="DEEAF6" w:themeFill="accent1" w:themeFillTint="33"/>
          </w:tcPr>
          <w:p w14:paraId="08070855" w14:textId="77777777" w:rsidR="00F42759" w:rsidRPr="00092ED7" w:rsidRDefault="00F42759" w:rsidP="001632EC">
            <w:pPr>
              <w:spacing w:before="0" w:after="0"/>
              <w:ind w:left="113" w:right="113"/>
              <w:rPr>
                <w:rFonts w:cs="Times New Roman"/>
                <w:b/>
                <w:sz w:val="22"/>
                <w:szCs w:val="22"/>
                <w:highlight w:val="green"/>
                <w:lang w:val="sr-Cyrl-CS"/>
              </w:rPr>
            </w:pPr>
            <w:bookmarkStart w:id="101" w:name="_Hlk116626577"/>
            <w:r w:rsidRPr="00092ED7">
              <w:rPr>
                <w:rFonts w:cs="Times New Roman"/>
                <w:b/>
                <w:sz w:val="22"/>
                <w:szCs w:val="22"/>
                <w:lang w:val="sr-Cyrl-CS"/>
              </w:rPr>
              <w:t>Област 6: РЕФОРМE У ОБЛАСТИ ЕКОНОМСКИХ ИНТЕГРАЦИЈА</w:t>
            </w:r>
          </w:p>
        </w:tc>
      </w:tr>
      <w:tr w:rsidR="00F42759" w:rsidRPr="00092ED7" w14:paraId="430F3EAD" w14:textId="77777777" w:rsidTr="001632EC">
        <w:tc>
          <w:tcPr>
            <w:tcW w:w="579" w:type="dxa"/>
            <w:shd w:val="clear" w:color="auto" w:fill="DEEAF6" w:themeFill="accent1" w:themeFillTint="33"/>
          </w:tcPr>
          <w:p w14:paraId="2FF551C7"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714EF996"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7DC9D577"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486F431C" w14:textId="77777777" w:rsidTr="001632EC">
        <w:tc>
          <w:tcPr>
            <w:tcW w:w="579" w:type="dxa"/>
            <w:vAlign w:val="top"/>
          </w:tcPr>
          <w:p w14:paraId="3AE443D9"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18.</w:t>
            </w:r>
          </w:p>
        </w:tc>
        <w:tc>
          <w:tcPr>
            <w:tcW w:w="3981" w:type="dxa"/>
            <w:vAlign w:val="top"/>
          </w:tcPr>
          <w:p w14:paraId="620B9CDE"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Унапређење услова и уклањање препрека трговини</w:t>
            </w:r>
          </w:p>
        </w:tc>
        <w:tc>
          <w:tcPr>
            <w:tcW w:w="4801" w:type="dxa"/>
          </w:tcPr>
          <w:p w14:paraId="728DE3F6" w14:textId="7384B65A" w:rsidR="00F42759" w:rsidRPr="00092ED7" w:rsidRDefault="00F42759" w:rsidP="000F68D4">
            <w:pPr>
              <w:spacing w:before="0" w:after="0"/>
              <w:ind w:left="113" w:right="113"/>
              <w:rPr>
                <w:rFonts w:eastAsia="Calibri" w:cs="Times New Roman"/>
                <w:sz w:val="22"/>
                <w:szCs w:val="22"/>
                <w:highlight w:val="green"/>
                <w:lang w:val="sr-Cyrl-CS"/>
              </w:rPr>
            </w:pPr>
            <w:r w:rsidRPr="00092ED7">
              <w:rPr>
                <w:rFonts w:cs="Times New Roman"/>
                <w:sz w:val="22"/>
                <w:szCs w:val="22"/>
                <w:lang w:val="sr-Cyrl-CS"/>
              </w:rPr>
              <w:t xml:space="preserve">Реформа подразумева </w:t>
            </w:r>
            <w:r w:rsidRPr="00092ED7">
              <w:rPr>
                <w:rFonts w:eastAsia="Calibri" w:cs="Times New Roman"/>
                <w:sz w:val="22"/>
                <w:szCs w:val="22"/>
                <w:lang w:val="sr-Cyrl-CS"/>
              </w:rPr>
              <w:t xml:space="preserve">наставак рада на интензивирању, унапређењу, диверсификацији и даљем расту спољне трговине </w:t>
            </w:r>
            <w:r w:rsidRPr="00092ED7">
              <w:rPr>
                <w:rFonts w:cs="Times New Roman"/>
                <w:sz w:val="22"/>
                <w:szCs w:val="22"/>
                <w:lang w:val="sr-Cyrl-CS" w:bidi="sr-Cyrl-CS"/>
              </w:rPr>
              <w:t xml:space="preserve">Републике Србије </w:t>
            </w:r>
            <w:r w:rsidRPr="00092ED7">
              <w:rPr>
                <w:rFonts w:eastAsia="Calibri" w:cs="Times New Roman"/>
                <w:sz w:val="22"/>
                <w:szCs w:val="22"/>
                <w:lang w:val="sr-Cyrl-CS"/>
              </w:rPr>
              <w:t xml:space="preserve">како на регионалном, тако и на глобалном нивоу. Активности су усмерене на јачање конкурентности домаћих компанија ради припреме за чланство у ЕУ и лакшег укључивања у тржишну утакмицу која постоји на јединственом европском тржишту. Реформа подразумева наставак </w:t>
            </w:r>
            <w:r w:rsidRPr="00092ED7">
              <w:rPr>
                <w:rFonts w:eastAsia="Calibri" w:cs="Times New Roman"/>
                <w:sz w:val="22"/>
                <w:szCs w:val="22"/>
                <w:lang w:val="sr-Cyrl-CS" w:eastAsia="sr-Cyrl-CS" w:bidi="sr-Cyrl-CS"/>
              </w:rPr>
              <w:t xml:space="preserve">активности везаних за процес приступања </w:t>
            </w:r>
            <w:r w:rsidR="000F68D4" w:rsidRPr="00092ED7">
              <w:rPr>
                <w:rFonts w:eastAsia="Calibri" w:cs="Times New Roman"/>
                <w:sz w:val="22"/>
                <w:szCs w:val="22"/>
                <w:lang w:val="sr-Cyrl-CS" w:eastAsia="sr-Cyrl-CS" w:bidi="sr-Cyrl-CS"/>
              </w:rPr>
              <w:t>СТО</w:t>
            </w:r>
            <w:r w:rsidRPr="00092ED7">
              <w:rPr>
                <w:rFonts w:eastAsia="Calibri" w:cs="Times New Roman"/>
                <w:sz w:val="22"/>
                <w:szCs w:val="22"/>
                <w:lang w:val="sr-Cyrl-CS"/>
              </w:rPr>
              <w:t xml:space="preserve">, као и спровођење активности предвиђених </w:t>
            </w:r>
            <w:r w:rsidRPr="00092ED7">
              <w:rPr>
                <w:rFonts w:eastAsia="Calibri" w:cs="Times New Roman"/>
                <w:i/>
                <w:sz w:val="22"/>
                <w:szCs w:val="22"/>
                <w:lang w:val="sr-Cyrl-CS"/>
              </w:rPr>
              <w:t>Акционим планом за Заједничко регионално тржиште</w:t>
            </w:r>
            <w:r w:rsidRPr="00092ED7">
              <w:rPr>
                <w:rFonts w:eastAsia="Calibri" w:cs="Times New Roman"/>
                <w:sz w:val="22"/>
                <w:szCs w:val="22"/>
                <w:lang w:val="sr-Cyrl-CS"/>
              </w:rPr>
              <w:t>.</w:t>
            </w:r>
          </w:p>
        </w:tc>
      </w:tr>
      <w:bookmarkEnd w:id="101"/>
      <w:tr w:rsidR="00F42759" w:rsidRPr="00092ED7" w14:paraId="22D9C724" w14:textId="77777777" w:rsidTr="001632EC">
        <w:trPr>
          <w:trHeight w:val="397"/>
        </w:trPr>
        <w:tc>
          <w:tcPr>
            <w:tcW w:w="9361" w:type="dxa"/>
            <w:gridSpan w:val="3"/>
            <w:shd w:val="clear" w:color="auto" w:fill="DEEAF6" w:themeFill="accent1" w:themeFillTint="33"/>
          </w:tcPr>
          <w:p w14:paraId="6F6E74FE"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Област 7: РЕФОРМА ТРЖИШТА ЕНЕРГЕТИКЕ</w:t>
            </w:r>
          </w:p>
          <w:p w14:paraId="7B8B1CB8"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 xml:space="preserve">Релевантне реформе из ове области представљене су у </w:t>
            </w:r>
            <w:r w:rsidRPr="00092ED7">
              <w:rPr>
                <w:rFonts w:cs="Times New Roman"/>
                <w:b/>
                <w:i/>
                <w:sz w:val="22"/>
                <w:szCs w:val="22"/>
                <w:lang w:val="sr-Cyrl-CS"/>
              </w:rPr>
              <w:t>Кључном изазову број 3. Озелењавање енергетског сектора и потпуно отварање енергетског тржишта</w:t>
            </w:r>
            <w:r w:rsidRPr="00092ED7">
              <w:rPr>
                <w:rFonts w:cs="Times New Roman"/>
                <w:b/>
                <w:sz w:val="22"/>
                <w:szCs w:val="22"/>
                <w:lang w:val="sr-Cyrl-CS"/>
              </w:rPr>
              <w:t>)</w:t>
            </w:r>
          </w:p>
        </w:tc>
      </w:tr>
      <w:tr w:rsidR="00F42759" w:rsidRPr="00092ED7" w14:paraId="4082F55C" w14:textId="77777777" w:rsidTr="001632EC">
        <w:trPr>
          <w:trHeight w:val="397"/>
        </w:trPr>
        <w:tc>
          <w:tcPr>
            <w:tcW w:w="9361" w:type="dxa"/>
            <w:gridSpan w:val="3"/>
            <w:shd w:val="clear" w:color="auto" w:fill="DEEAF6" w:themeFill="accent1" w:themeFillTint="33"/>
          </w:tcPr>
          <w:p w14:paraId="17B97324"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Област 8: РЕФОРМА ТРЖИШТА ТРАНСПОРТА</w:t>
            </w:r>
          </w:p>
        </w:tc>
      </w:tr>
      <w:tr w:rsidR="00F42759" w:rsidRPr="00092ED7" w14:paraId="7F73413D" w14:textId="77777777" w:rsidTr="001632EC">
        <w:tc>
          <w:tcPr>
            <w:tcW w:w="579" w:type="dxa"/>
            <w:shd w:val="clear" w:color="auto" w:fill="DEEAF6" w:themeFill="accent1" w:themeFillTint="33"/>
          </w:tcPr>
          <w:p w14:paraId="7B0B969F"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p>
          <w:p w14:paraId="069E478E"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р.б.</w:t>
            </w:r>
          </w:p>
        </w:tc>
        <w:tc>
          <w:tcPr>
            <w:tcW w:w="3981" w:type="dxa"/>
            <w:shd w:val="clear" w:color="auto" w:fill="DEEAF6" w:themeFill="accent1" w:themeFillTint="33"/>
          </w:tcPr>
          <w:p w14:paraId="012BB462"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04B3C402"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7DB88E8E" w14:textId="77777777" w:rsidTr="001632EC">
        <w:tc>
          <w:tcPr>
            <w:tcW w:w="579" w:type="dxa"/>
            <w:vAlign w:val="top"/>
          </w:tcPr>
          <w:p w14:paraId="039AB590"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19.</w:t>
            </w:r>
          </w:p>
        </w:tc>
        <w:tc>
          <w:tcPr>
            <w:tcW w:w="3981" w:type="dxa"/>
            <w:vAlign w:val="top"/>
          </w:tcPr>
          <w:p w14:paraId="6133F4DB"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Унапређење ефикасности и безбедности у железничком саобраћају</w:t>
            </w:r>
          </w:p>
        </w:tc>
        <w:tc>
          <w:tcPr>
            <w:tcW w:w="4801" w:type="dxa"/>
          </w:tcPr>
          <w:p w14:paraId="21456175" w14:textId="77777777" w:rsidR="00F42759" w:rsidRPr="00092ED7" w:rsidRDefault="00F42759" w:rsidP="001632EC">
            <w:pPr>
              <w:spacing w:before="0" w:after="0"/>
              <w:ind w:left="113" w:right="113"/>
              <w:rPr>
                <w:rFonts w:cs="Times New Roman"/>
                <w:sz w:val="22"/>
                <w:szCs w:val="22"/>
                <w:highlight w:val="green"/>
                <w:lang w:val="sr-Cyrl-CS"/>
              </w:rPr>
            </w:pPr>
            <w:r w:rsidRPr="00092ED7">
              <w:rPr>
                <w:rFonts w:cs="Times New Roman"/>
                <w:sz w:val="22"/>
                <w:szCs w:val="22"/>
                <w:lang w:val="sr-Cyrl-CS"/>
              </w:rPr>
              <w:t>Реформа подразумева даљу реконструкцију, модернизацију и изградњу железничке инфраструктуре и представља наставак активности из претходних година како би се у потпуности остварили предвиђени позитивни ефекти на ефикасност, безбедност, конкурентност и еколошку одрживост железничког сектора у Републици Србији. Главне активности у наредном периоду су: 1) примена нове Методологије за обрачун цене приступа железничкој инфраструктури, 2) подизање нивоа безбедности на путним прелазима, са циљем смањења броја саобраћајних незгода, и 3) унапређење ефикасности железничког путничког саобраћаја кроз унапређени уговорни однос, нове услуге, промотивне активности и унапређење ефикасности пословања.</w:t>
            </w:r>
          </w:p>
        </w:tc>
      </w:tr>
      <w:tr w:rsidR="00F42759" w:rsidRPr="00092ED7" w14:paraId="7678F99B" w14:textId="77777777" w:rsidTr="001632EC">
        <w:trPr>
          <w:trHeight w:val="397"/>
        </w:trPr>
        <w:tc>
          <w:tcPr>
            <w:tcW w:w="9361" w:type="dxa"/>
            <w:gridSpan w:val="3"/>
            <w:shd w:val="clear" w:color="auto" w:fill="DEEAF6" w:themeFill="accent1" w:themeFillTint="33"/>
          </w:tcPr>
          <w:p w14:paraId="2C41E19C"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Област 9: ПОЉОПРИВРЕДА, ИНДУСТРИЈА И УСЛУГЕ</w:t>
            </w:r>
          </w:p>
        </w:tc>
      </w:tr>
      <w:tr w:rsidR="00F42759" w:rsidRPr="00092ED7" w14:paraId="14B077EA" w14:textId="77777777" w:rsidTr="001632EC">
        <w:tc>
          <w:tcPr>
            <w:tcW w:w="579" w:type="dxa"/>
            <w:shd w:val="clear" w:color="auto" w:fill="DEEAF6" w:themeFill="accent1" w:themeFillTint="33"/>
          </w:tcPr>
          <w:p w14:paraId="1A0CAAA5"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72FB2ED1"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293FEE94"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18144733" w14:textId="77777777" w:rsidTr="001632EC">
        <w:tc>
          <w:tcPr>
            <w:tcW w:w="579" w:type="dxa"/>
            <w:vAlign w:val="top"/>
          </w:tcPr>
          <w:p w14:paraId="50F4FECF"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20.</w:t>
            </w:r>
          </w:p>
        </w:tc>
        <w:tc>
          <w:tcPr>
            <w:tcW w:w="3981" w:type="dxa"/>
            <w:vAlign w:val="top"/>
          </w:tcPr>
          <w:p w14:paraId="61E02AE2"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Унапређење конкурентности пољопривреде</w:t>
            </w:r>
          </w:p>
        </w:tc>
        <w:tc>
          <w:tcPr>
            <w:tcW w:w="4801" w:type="dxa"/>
            <w:vAlign w:val="top"/>
          </w:tcPr>
          <w:p w14:paraId="6FD9F837" w14:textId="77777777" w:rsidR="00F42759" w:rsidRPr="00092ED7" w:rsidRDefault="00F42759" w:rsidP="001632EC">
            <w:pPr>
              <w:spacing w:before="0" w:after="0"/>
              <w:ind w:left="113" w:right="113"/>
              <w:rPr>
                <w:rFonts w:cs="Times New Roman"/>
                <w:i/>
                <w:sz w:val="22"/>
                <w:szCs w:val="22"/>
                <w:highlight w:val="green"/>
                <w:lang w:val="sr-Cyrl-CS"/>
              </w:rPr>
            </w:pPr>
            <w:r w:rsidRPr="00092ED7">
              <w:rPr>
                <w:rFonts w:eastAsia="Calibri" w:cs="Times New Roman"/>
                <w:sz w:val="22"/>
                <w:szCs w:val="22"/>
                <w:lang w:val="sr-Cyrl-CS"/>
              </w:rPr>
              <w:t xml:space="preserve">Реформа подразумева: 1) </w:t>
            </w:r>
            <w:r w:rsidRPr="00092ED7">
              <w:rPr>
                <w:rFonts w:cs="Times New Roman"/>
                <w:color w:val="000000" w:themeColor="text1"/>
                <w:sz w:val="22"/>
                <w:szCs w:val="22"/>
                <w:lang w:val="sr-Cyrl-CS"/>
              </w:rPr>
              <w:t>унапређење инфраструктуре у руралним подручјима; 2) успостављање регулаторног оквира за процес комасације; 3) уређење правног оквира у области тржишта пољопривредних производа, шема квалитета за пољопривредне и прехрамбене производе и органску производњу, како би се створили услови за унапређење конкурентности у свим секторима производње; и 4) унапређење постојећих институционалних капацитета кроз дигитализацију и аутоматизацију система финансијске подршке пољопривредницима уз олакшан приступ расположивим подстицајима.</w:t>
            </w:r>
          </w:p>
        </w:tc>
      </w:tr>
      <w:tr w:rsidR="001632EC" w:rsidRPr="00092ED7" w14:paraId="129FA27A" w14:textId="77777777" w:rsidTr="001632EC">
        <w:tc>
          <w:tcPr>
            <w:tcW w:w="579" w:type="dxa"/>
            <w:vAlign w:val="top"/>
          </w:tcPr>
          <w:p w14:paraId="5CFC34AF"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21.</w:t>
            </w:r>
          </w:p>
        </w:tc>
        <w:tc>
          <w:tcPr>
            <w:tcW w:w="3981" w:type="dxa"/>
            <w:vAlign w:val="top"/>
          </w:tcPr>
          <w:p w14:paraId="527E1083"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Унапређење стратешког оквира инфраструктуре квалитета и интеграције у јединствено тржиште ЕУ</w:t>
            </w:r>
          </w:p>
        </w:tc>
        <w:tc>
          <w:tcPr>
            <w:tcW w:w="4801" w:type="dxa"/>
            <w:vAlign w:val="top"/>
          </w:tcPr>
          <w:p w14:paraId="494C63DB" w14:textId="561B4584" w:rsidR="00F42759" w:rsidRPr="00092ED7" w:rsidRDefault="00F42759" w:rsidP="001632EC">
            <w:pPr>
              <w:spacing w:before="0" w:after="0"/>
              <w:ind w:left="113" w:right="113"/>
              <w:rPr>
                <w:rFonts w:eastAsiaTheme="minorHAnsi" w:cs="Times New Roman"/>
                <w:sz w:val="22"/>
                <w:szCs w:val="22"/>
                <w:lang w:val="sr-Cyrl-CS"/>
              </w:rPr>
            </w:pPr>
            <w:r w:rsidRPr="00092ED7">
              <w:rPr>
                <w:rFonts w:cs="Times New Roman"/>
                <w:sz w:val="22"/>
                <w:szCs w:val="22"/>
                <w:lang w:val="sr-Cyrl-CS"/>
              </w:rPr>
              <w:t xml:space="preserve">Реформа подразумева припрему одговарајућих докумената јавних политика, а затим реализацију тако планираних активности, чиме ће се створити предуслови за потписивање </w:t>
            </w:r>
            <w:r w:rsidR="00E85CD3" w:rsidRPr="00092ED7">
              <w:rPr>
                <w:rFonts w:cs="Times New Roman"/>
                <w:sz w:val="22"/>
                <w:szCs w:val="22"/>
                <w:lang w:val="sr-Cyrl-CS"/>
              </w:rPr>
              <w:t>ACAA споразума</w:t>
            </w:r>
            <w:r w:rsidRPr="00092ED7">
              <w:rPr>
                <w:rFonts w:cs="Times New Roman"/>
                <w:sz w:val="22"/>
                <w:szCs w:val="22"/>
                <w:lang w:val="sr-Cyrl-CS"/>
              </w:rPr>
              <w:t xml:space="preserve"> за идентификоване групе производа. Реформа ће допринети да Република Србија буде значајно ближа стандардима ЕУ у овој области, што ће позитивно утицати на: домаће привреднике који ће производити, увозити и извозити производе без техничких препрека; потрошаче који ће имати приступ квалитетним и безбедним производима; органе државне управе који ће вршити надзор над применом техничких прописа на једноставнији и ефикаснији начин.</w:t>
            </w:r>
          </w:p>
        </w:tc>
      </w:tr>
      <w:tr w:rsidR="00F42759" w:rsidRPr="00092ED7" w14:paraId="0F8967CC" w14:textId="77777777" w:rsidTr="001632EC">
        <w:trPr>
          <w:trHeight w:val="397"/>
        </w:trPr>
        <w:tc>
          <w:tcPr>
            <w:tcW w:w="9361" w:type="dxa"/>
            <w:gridSpan w:val="3"/>
            <w:shd w:val="clear" w:color="auto" w:fill="DEEAF6" w:themeFill="accent1" w:themeFillTint="33"/>
          </w:tcPr>
          <w:p w14:paraId="1128D49A"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Област 10: ОБРАЗОВАЊЕ И ВЕШТИНЕ</w:t>
            </w:r>
          </w:p>
          <w:p w14:paraId="6670C6D9"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 xml:space="preserve">Релевантна реформа из ове области </w:t>
            </w:r>
            <w:r w:rsidRPr="00092ED7">
              <w:rPr>
                <w:rFonts w:cs="Times New Roman"/>
                <w:b/>
                <w:i/>
                <w:sz w:val="22"/>
                <w:szCs w:val="22"/>
                <w:lang w:val="sr-Cyrl-CS"/>
              </w:rPr>
              <w:t>Квалификације оријентисане према потребама тржишта рада</w:t>
            </w:r>
            <w:r w:rsidRPr="00092ED7">
              <w:rPr>
                <w:rFonts w:cs="Times New Roman"/>
                <w:b/>
                <w:sz w:val="22"/>
                <w:szCs w:val="22"/>
                <w:lang w:val="sr-Cyrl-CS"/>
              </w:rPr>
              <w:t xml:space="preserve"> представљена је у </w:t>
            </w:r>
            <w:r w:rsidRPr="00092ED7">
              <w:rPr>
                <w:rFonts w:cs="Times New Roman"/>
                <w:b/>
                <w:i/>
                <w:sz w:val="22"/>
                <w:szCs w:val="22"/>
                <w:lang w:val="sr-Cyrl-CS"/>
              </w:rPr>
              <w:t>Кључном изазову број 1. Повећање запослености, посебно младих, жена и осетљивих група, и социјална заштита од сиромаштва</w:t>
            </w:r>
          </w:p>
        </w:tc>
      </w:tr>
      <w:tr w:rsidR="00F42759" w:rsidRPr="00092ED7" w14:paraId="536F845C" w14:textId="77777777" w:rsidTr="001632EC">
        <w:trPr>
          <w:trHeight w:val="397"/>
        </w:trPr>
        <w:tc>
          <w:tcPr>
            <w:tcW w:w="9361" w:type="dxa"/>
            <w:gridSpan w:val="3"/>
            <w:shd w:val="clear" w:color="auto" w:fill="DEEAF6" w:themeFill="accent1" w:themeFillTint="33"/>
          </w:tcPr>
          <w:p w14:paraId="255FC558"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Област 11: ЗАПОШЉАВАЊЕ И ТРЖИШТЕ РАДА</w:t>
            </w:r>
          </w:p>
          <w:p w14:paraId="66227857"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 xml:space="preserve">Релевантне реформе из ове области представљене су у </w:t>
            </w:r>
            <w:r w:rsidRPr="00092ED7">
              <w:rPr>
                <w:rFonts w:cs="Times New Roman"/>
                <w:b/>
                <w:i/>
                <w:sz w:val="22"/>
                <w:szCs w:val="22"/>
                <w:lang w:val="sr-Cyrl-CS"/>
              </w:rPr>
              <w:t>Кључном изазову број 1. Повећање запослености, посебно младих, жена и осетљивих група, и социјална заштита од сиромаштва</w:t>
            </w:r>
          </w:p>
        </w:tc>
      </w:tr>
      <w:tr w:rsidR="00F42759" w:rsidRPr="00092ED7" w14:paraId="3D48DC5F" w14:textId="77777777" w:rsidTr="001632EC">
        <w:trPr>
          <w:trHeight w:val="397"/>
        </w:trPr>
        <w:tc>
          <w:tcPr>
            <w:tcW w:w="9361" w:type="dxa"/>
            <w:gridSpan w:val="3"/>
            <w:shd w:val="clear" w:color="auto" w:fill="DEEAF6" w:themeFill="accent1" w:themeFillTint="33"/>
          </w:tcPr>
          <w:p w14:paraId="7835A6B1"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 xml:space="preserve">Област 12: СОЦИЈАЛНА ЗАШТИТА И ИНКЛУЗИЈА (у оквиру </w:t>
            </w:r>
            <w:r w:rsidRPr="00092ED7">
              <w:rPr>
                <w:rFonts w:cs="Times New Roman"/>
                <w:b/>
                <w:i/>
                <w:sz w:val="22"/>
                <w:szCs w:val="22"/>
                <w:lang w:val="sr-Cyrl-CS"/>
              </w:rPr>
              <w:t>Кључног изазова брoj 1. Повећање запослености, посебно младих, жена и осетљивих група, и социјална заштита од сиромаштва</w:t>
            </w:r>
            <w:r w:rsidRPr="00092ED7">
              <w:rPr>
                <w:rFonts w:cs="Times New Roman"/>
                <w:b/>
                <w:sz w:val="22"/>
                <w:szCs w:val="22"/>
                <w:lang w:val="sr-Cyrl-CS"/>
              </w:rPr>
              <w:t>)</w:t>
            </w:r>
          </w:p>
        </w:tc>
      </w:tr>
      <w:tr w:rsidR="00F42759" w:rsidRPr="00092ED7" w14:paraId="050711AF" w14:textId="77777777" w:rsidTr="001632EC">
        <w:trPr>
          <w:trHeight w:val="397"/>
        </w:trPr>
        <w:tc>
          <w:tcPr>
            <w:tcW w:w="9361" w:type="dxa"/>
            <w:gridSpan w:val="3"/>
            <w:shd w:val="clear" w:color="auto" w:fill="DEEAF6" w:themeFill="accent1" w:themeFillTint="33"/>
          </w:tcPr>
          <w:p w14:paraId="2F3AFCF5"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Област 13: СИСТЕМ ЗДРАВСТВЕНЕ ЗАШТИТЕ</w:t>
            </w:r>
          </w:p>
        </w:tc>
      </w:tr>
      <w:tr w:rsidR="00F42759" w:rsidRPr="00092ED7" w14:paraId="03206911" w14:textId="77777777" w:rsidTr="001632EC">
        <w:tc>
          <w:tcPr>
            <w:tcW w:w="579" w:type="dxa"/>
            <w:shd w:val="clear" w:color="auto" w:fill="DEEAF6" w:themeFill="accent1" w:themeFillTint="33"/>
          </w:tcPr>
          <w:p w14:paraId="7B3E0F68"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16E208C3"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7876DD9B"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22EB8119" w14:textId="77777777" w:rsidTr="001632EC">
        <w:tc>
          <w:tcPr>
            <w:tcW w:w="579" w:type="dxa"/>
            <w:vAlign w:val="top"/>
          </w:tcPr>
          <w:p w14:paraId="0D6B5811"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22.</w:t>
            </w:r>
          </w:p>
        </w:tc>
        <w:tc>
          <w:tcPr>
            <w:tcW w:w="3981" w:type="dxa"/>
            <w:vAlign w:val="top"/>
          </w:tcPr>
          <w:p w14:paraId="6A1E4211" w14:textId="77777777" w:rsidR="00F42759" w:rsidRPr="00092ED7" w:rsidRDefault="00F42759" w:rsidP="001632EC">
            <w:pPr>
              <w:spacing w:before="0" w:after="0"/>
              <w:ind w:left="113" w:right="113"/>
              <w:jc w:val="left"/>
              <w:rPr>
                <w:rFonts w:cs="Times New Roman"/>
                <w:b/>
                <w:bCs/>
                <w:sz w:val="22"/>
                <w:szCs w:val="22"/>
                <w:highlight w:val="green"/>
                <w:lang w:val="sr-Cyrl-CS"/>
              </w:rPr>
            </w:pPr>
            <w:r w:rsidRPr="00092ED7">
              <w:rPr>
                <w:rFonts w:cs="Times New Roman"/>
                <w:b/>
                <w:bCs/>
                <w:sz w:val="22"/>
                <w:szCs w:val="22"/>
                <w:lang w:val="sr-Cyrl-CS"/>
              </w:rPr>
              <w:t>Унапређење ефикасности здравственог система кроз дигитализацију процеса</w:t>
            </w:r>
          </w:p>
        </w:tc>
        <w:tc>
          <w:tcPr>
            <w:tcW w:w="4801" w:type="dxa"/>
            <w:vAlign w:val="top"/>
          </w:tcPr>
          <w:p w14:paraId="25D9785E" w14:textId="77777777" w:rsidR="00F42759" w:rsidRPr="00092ED7" w:rsidRDefault="00F42759" w:rsidP="001632EC">
            <w:pPr>
              <w:widowControl w:val="0"/>
              <w:spacing w:before="0" w:after="0"/>
              <w:ind w:left="113" w:right="113"/>
              <w:rPr>
                <w:rFonts w:cs="Times New Roman"/>
                <w:sz w:val="22"/>
                <w:szCs w:val="22"/>
                <w:highlight w:val="green"/>
                <w:lang w:val="sr-Cyrl-CS"/>
              </w:rPr>
            </w:pPr>
            <w:r w:rsidRPr="00092ED7">
              <w:rPr>
                <w:rFonts w:cs="Times New Roman"/>
                <w:sz w:val="22"/>
                <w:szCs w:val="22"/>
                <w:lang w:val="sr-Cyrl-CS"/>
              </w:rPr>
              <w:t>Реформа подразумева: успостављање електронског медицинског досијеа (чиме се стварају услови за размену података између државног и приватног сектора); централне платформе за прикупљање података из свих лабораторијских система; проширење еРецепта на помагала и ампулиране лекове на примарном нивоу здравствене заштите, као и на болничке лекове (Б и Ц Листа); примену вештачке интелигенције над одређеним процесима искључиво у области радиологије (поготово мамографије због организованог скрининга за рак дојке). Дигитализација у здравственом систему повећава ефикасност пружања здравствених услуга и омогућава виши квалитет дијагностике и лечења на свим нивоима здравствене заштите установа из Плана мреже здравствених установа.</w:t>
            </w:r>
          </w:p>
        </w:tc>
      </w:tr>
    </w:tbl>
    <w:p w14:paraId="5B44D82A" w14:textId="77777777" w:rsidR="0032051C" w:rsidRPr="0032051C" w:rsidRDefault="0032051C" w:rsidP="0032051C">
      <w:pPr>
        <w:spacing w:after="0"/>
        <w:ind w:left="113" w:right="113"/>
        <w:rPr>
          <w:szCs w:val="24"/>
          <w:lang w:val="sr-Cyrl-CS"/>
        </w:rPr>
      </w:pPr>
      <w:bookmarkStart w:id="102" w:name="_Toc124174822"/>
      <w:bookmarkStart w:id="103" w:name="_Toc126218641"/>
    </w:p>
    <w:p w14:paraId="6C67A0FE" w14:textId="77777777" w:rsidR="0032051C" w:rsidRDefault="0032051C">
      <w:pPr>
        <w:spacing w:after="160" w:line="259" w:lineRule="auto"/>
        <w:jc w:val="left"/>
        <w:rPr>
          <w:rFonts w:eastAsia="Times New Roman"/>
          <w:b/>
          <w:w w:val="110"/>
          <w:sz w:val="26"/>
          <w:szCs w:val="26"/>
          <w:lang w:val="sr-Cyrl-CS"/>
        </w:rPr>
      </w:pPr>
      <w:r>
        <w:rPr>
          <w:rFonts w:eastAsia="Times New Roman"/>
          <w:b/>
          <w:w w:val="110"/>
          <w:sz w:val="26"/>
          <w:szCs w:val="26"/>
          <w:lang w:val="sr-Cyrl-CS"/>
        </w:rPr>
        <w:br w:type="page"/>
      </w:r>
    </w:p>
    <w:p w14:paraId="3FC4527B" w14:textId="7B2598E6" w:rsidR="00877844" w:rsidRPr="00092ED7" w:rsidRDefault="00877844" w:rsidP="001632EC">
      <w:pPr>
        <w:keepNext/>
        <w:keepLines/>
        <w:spacing w:before="240" w:after="240"/>
        <w:outlineLvl w:val="0"/>
        <w:rPr>
          <w:rFonts w:eastAsia="Times New Roman"/>
          <w:b/>
          <w:w w:val="110"/>
          <w:sz w:val="26"/>
          <w:szCs w:val="26"/>
          <w:lang w:val="sr-Cyrl-CS"/>
        </w:rPr>
      </w:pPr>
      <w:r w:rsidRPr="00092ED7">
        <w:rPr>
          <w:rFonts w:eastAsia="Times New Roman"/>
          <w:b/>
          <w:w w:val="110"/>
          <w:sz w:val="26"/>
          <w:szCs w:val="26"/>
          <w:lang w:val="sr-Cyrl-CS"/>
        </w:rPr>
        <w:t>6. ТРОШКОВИ И ФИНАНСИРАЊЕ СТРУКТУРНИХ РЕФОРМИ</w:t>
      </w:r>
      <w:bookmarkEnd w:id="100"/>
      <w:bookmarkEnd w:id="102"/>
      <w:bookmarkEnd w:id="103"/>
    </w:p>
    <w:p w14:paraId="699D0D93" w14:textId="6CA12D8D" w:rsidR="00591FF5" w:rsidRPr="00092ED7" w:rsidRDefault="00591FF5" w:rsidP="00D030D6">
      <w:pPr>
        <w:spacing w:after="60"/>
        <w:rPr>
          <w:szCs w:val="24"/>
          <w:lang w:val="sr-Cyrl-CS"/>
        </w:rPr>
      </w:pPr>
      <w:r w:rsidRPr="00092ED7">
        <w:rPr>
          <w:szCs w:val="24"/>
          <w:lang w:val="sr-Cyrl-CS"/>
        </w:rPr>
        <w:t xml:space="preserve">Додатни трошкови спровођења структурних реформи у периоду 2023-2025. година износе </w:t>
      </w:r>
      <w:r w:rsidR="006A2971" w:rsidRPr="00092ED7">
        <w:rPr>
          <w:szCs w:val="24"/>
          <w:lang w:val="sr-Cyrl-CS"/>
        </w:rPr>
        <w:t>1.130</w:t>
      </w:r>
      <w:r w:rsidR="0071510C" w:rsidRPr="00092ED7">
        <w:rPr>
          <w:szCs w:val="24"/>
          <w:lang w:val="sr-Cyrl-CS"/>
        </w:rPr>
        <w:t xml:space="preserve"> </w:t>
      </w:r>
      <w:r w:rsidRPr="00092ED7">
        <w:rPr>
          <w:szCs w:val="24"/>
          <w:lang w:val="sr-Cyrl-CS"/>
        </w:rPr>
        <w:t xml:space="preserve">милиона евра у односу на базну годину пре почетка сваке појединачне реформе. По годинама, додатни трошкови спровођења структурних реформи износе у 2023. години </w:t>
      </w:r>
      <w:r w:rsidR="00BE6D80" w:rsidRPr="00092ED7">
        <w:rPr>
          <w:szCs w:val="24"/>
          <w:lang w:val="sr-Cyrl-CS"/>
        </w:rPr>
        <w:t xml:space="preserve">349,3 </w:t>
      </w:r>
      <w:r w:rsidRPr="00092ED7">
        <w:rPr>
          <w:szCs w:val="24"/>
          <w:lang w:val="sr-Cyrl-CS"/>
        </w:rPr>
        <w:t xml:space="preserve">милиона евра, за 2024. годину укупно </w:t>
      </w:r>
      <w:r w:rsidR="00BE6D80" w:rsidRPr="00092ED7">
        <w:rPr>
          <w:szCs w:val="24"/>
          <w:lang w:val="sr-Cyrl-CS"/>
        </w:rPr>
        <w:t xml:space="preserve">417,2 </w:t>
      </w:r>
      <w:r w:rsidRPr="00092ED7">
        <w:rPr>
          <w:szCs w:val="24"/>
          <w:lang w:val="sr-Cyrl-CS"/>
        </w:rPr>
        <w:t xml:space="preserve">милиона евра и у 2025. години износе </w:t>
      </w:r>
      <w:r w:rsidR="00BE6D80" w:rsidRPr="00092ED7">
        <w:rPr>
          <w:szCs w:val="24"/>
          <w:lang w:val="sr-Cyrl-CS"/>
        </w:rPr>
        <w:t xml:space="preserve">363,4 </w:t>
      </w:r>
      <w:r w:rsidRPr="00092ED7">
        <w:rPr>
          <w:szCs w:val="24"/>
          <w:lang w:val="sr-Cyrl-CS"/>
        </w:rPr>
        <w:t xml:space="preserve">милиона евра. У периоду 2022-2024. година додатни трошкови спровођења структурних реформи износили су 872,9 милиона евра, тако да за период 2023-2025. година бележе раст од </w:t>
      </w:r>
      <w:r w:rsidR="00BE6D80" w:rsidRPr="00092ED7">
        <w:rPr>
          <w:szCs w:val="24"/>
          <w:lang w:val="sr-Cyrl-CS"/>
        </w:rPr>
        <w:t>29</w:t>
      </w:r>
      <w:r w:rsidRPr="00092ED7">
        <w:rPr>
          <w:szCs w:val="24"/>
          <w:lang w:val="sr-Cyrl-CS"/>
        </w:rPr>
        <w:t>%.</w:t>
      </w:r>
    </w:p>
    <w:p w14:paraId="491EB8E3" w14:textId="77777777" w:rsidR="00591FF5" w:rsidRPr="00092ED7" w:rsidRDefault="00591FF5" w:rsidP="00D030D6">
      <w:pPr>
        <w:spacing w:after="60"/>
        <w:rPr>
          <w:szCs w:val="24"/>
          <w:lang w:val="sr-Cyrl-CS"/>
        </w:rPr>
      </w:pPr>
      <w:r w:rsidRPr="00092ED7">
        <w:rPr>
          <w:szCs w:val="24"/>
          <w:lang w:val="sr-Cyrl-CS"/>
        </w:rPr>
        <w:t xml:space="preserve">Већина од 22 структурне реформе приказане у ЕРП 2023-2025 има административни карактер, док се пет структурних реформи, које захтевају највеће додатне трошкове финансирања (68% укупних додатних трошкова), налазе у категорији инфраструктурних мера. </w:t>
      </w:r>
    </w:p>
    <w:p w14:paraId="3AA7B94D" w14:textId="03B19AAC" w:rsidR="00591FF5" w:rsidRPr="00092ED7" w:rsidRDefault="00591FF5" w:rsidP="00D030D6">
      <w:pPr>
        <w:spacing w:after="60"/>
        <w:rPr>
          <w:szCs w:val="24"/>
          <w:lang w:val="sr-Cyrl-CS"/>
        </w:rPr>
      </w:pPr>
      <w:r w:rsidRPr="00092ED7">
        <w:rPr>
          <w:szCs w:val="24"/>
          <w:lang w:val="sr-Cyrl-CS"/>
        </w:rPr>
        <w:t xml:space="preserve">У структури трошкова реформских мера у наредном трогодишњем периоду, као и у претходном, доминирају капитални расходи са </w:t>
      </w:r>
      <w:r w:rsidR="00BE6D80" w:rsidRPr="00092ED7">
        <w:rPr>
          <w:szCs w:val="24"/>
          <w:lang w:val="sr-Cyrl-CS"/>
        </w:rPr>
        <w:t xml:space="preserve">621,1 </w:t>
      </w:r>
      <w:r w:rsidRPr="00092ED7">
        <w:rPr>
          <w:szCs w:val="24"/>
          <w:lang w:val="sr-Cyrl-CS"/>
        </w:rPr>
        <w:t xml:space="preserve">милиона евра (и учешћем од </w:t>
      </w:r>
      <w:r w:rsidR="00BE6D80" w:rsidRPr="00092ED7">
        <w:rPr>
          <w:szCs w:val="24"/>
          <w:lang w:val="sr-Cyrl-CS"/>
        </w:rPr>
        <w:t>54,9</w:t>
      </w:r>
      <w:r w:rsidRPr="00092ED7">
        <w:rPr>
          <w:szCs w:val="24"/>
          <w:lang w:val="sr-Cyrl-CS"/>
        </w:rPr>
        <w:t xml:space="preserve">% у укупним трошковима), док су добра и услуге са </w:t>
      </w:r>
      <w:r w:rsidR="00BE6D80" w:rsidRPr="00092ED7">
        <w:rPr>
          <w:szCs w:val="24"/>
          <w:lang w:val="sr-Cyrl-CS"/>
        </w:rPr>
        <w:t xml:space="preserve">408 </w:t>
      </w:r>
      <w:r w:rsidRPr="00092ED7">
        <w:rPr>
          <w:szCs w:val="24"/>
          <w:lang w:val="sr-Cyrl-CS"/>
        </w:rPr>
        <w:t xml:space="preserve">милиона евра (учешће </w:t>
      </w:r>
      <w:r w:rsidR="00BE6D80" w:rsidRPr="00092ED7">
        <w:rPr>
          <w:szCs w:val="24"/>
          <w:lang w:val="sr-Cyrl-CS"/>
        </w:rPr>
        <w:t>36,1</w:t>
      </w:r>
      <w:r w:rsidRPr="00092ED7">
        <w:rPr>
          <w:szCs w:val="24"/>
          <w:lang w:val="sr-Cyrl-CS"/>
        </w:rPr>
        <w:t xml:space="preserve">%) повећале своје учешће у структури трошкова у односу на претходни период. Субвенције и трансфери са </w:t>
      </w:r>
      <w:r w:rsidR="00BE6D80" w:rsidRPr="00092ED7">
        <w:rPr>
          <w:szCs w:val="24"/>
          <w:lang w:val="sr-Cyrl-CS"/>
        </w:rPr>
        <w:t xml:space="preserve">99,5 </w:t>
      </w:r>
      <w:r w:rsidRPr="00092ED7">
        <w:rPr>
          <w:szCs w:val="24"/>
          <w:lang w:val="sr-Cyrl-CS"/>
        </w:rPr>
        <w:t>милиона евра (</w:t>
      </w:r>
      <w:r w:rsidR="00BE6D80" w:rsidRPr="00092ED7">
        <w:rPr>
          <w:szCs w:val="24"/>
          <w:lang w:val="sr-Cyrl-CS"/>
        </w:rPr>
        <w:t>8,8</w:t>
      </w:r>
      <w:r w:rsidRPr="00092ED7">
        <w:rPr>
          <w:szCs w:val="24"/>
          <w:lang w:val="sr-Cyrl-CS"/>
        </w:rPr>
        <w:t xml:space="preserve">%) бележе смањење учешћа у односу на претходни период, као и плате са 1,3 милиона евра (и учешћем од </w:t>
      </w:r>
      <w:r w:rsidR="00BE6D80" w:rsidRPr="00092ED7">
        <w:rPr>
          <w:szCs w:val="24"/>
          <w:lang w:val="sr-Cyrl-CS"/>
        </w:rPr>
        <w:t>0,12</w:t>
      </w:r>
      <w:r w:rsidRPr="00092ED7">
        <w:rPr>
          <w:szCs w:val="24"/>
          <w:lang w:val="sr-Cyrl-CS"/>
        </w:rPr>
        <w:t>%).</w:t>
      </w:r>
    </w:p>
    <w:p w14:paraId="4F7C9AD6" w14:textId="3F1CCB55" w:rsidR="00591FF5" w:rsidRPr="00092ED7" w:rsidRDefault="00591FF5" w:rsidP="00D030D6">
      <w:pPr>
        <w:spacing w:after="60"/>
        <w:rPr>
          <w:szCs w:val="24"/>
          <w:lang w:val="sr-Cyrl-CS"/>
        </w:rPr>
      </w:pPr>
      <w:r w:rsidRPr="00092ED7">
        <w:rPr>
          <w:szCs w:val="24"/>
          <w:lang w:val="sr-Cyrl-CS"/>
        </w:rPr>
        <w:t xml:space="preserve">Посматрано са становишта извора финансирања у периоду 2023-2025. године, структура извора остала је непромењена у односу на претходни период. Кључни извор додатног финансирања структурних реформи чине средства пројектних кредита са </w:t>
      </w:r>
      <w:r w:rsidR="0059482B" w:rsidRPr="00092ED7">
        <w:rPr>
          <w:rFonts w:cs="Times New Roman"/>
          <w:szCs w:val="24"/>
          <w:lang w:val="sr-Cyrl-CS"/>
        </w:rPr>
        <w:t xml:space="preserve">716,2 </w:t>
      </w:r>
      <w:r w:rsidRPr="00092ED7">
        <w:rPr>
          <w:szCs w:val="24"/>
          <w:lang w:val="sr-Cyrl-CS"/>
        </w:rPr>
        <w:t xml:space="preserve">милиона евра (учешће од </w:t>
      </w:r>
      <w:r w:rsidR="00BE6D80" w:rsidRPr="00092ED7">
        <w:rPr>
          <w:szCs w:val="24"/>
          <w:lang w:val="sr-Cyrl-CS"/>
        </w:rPr>
        <w:t>63,3</w:t>
      </w:r>
      <w:r w:rsidRPr="00092ED7">
        <w:rPr>
          <w:szCs w:val="24"/>
          <w:lang w:val="sr-Cyrl-CS"/>
        </w:rPr>
        <w:t xml:space="preserve">% у укупним изворима финансирања), затим следе буџет централног нивоа са </w:t>
      </w:r>
      <w:r w:rsidR="00BE6D80" w:rsidRPr="00092ED7">
        <w:rPr>
          <w:szCs w:val="24"/>
          <w:lang w:val="sr-Cyrl-CS"/>
        </w:rPr>
        <w:t xml:space="preserve">267,6 </w:t>
      </w:r>
      <w:r w:rsidRPr="00092ED7">
        <w:rPr>
          <w:szCs w:val="24"/>
          <w:lang w:val="sr-Cyrl-CS"/>
        </w:rPr>
        <w:t xml:space="preserve">милиона евра </w:t>
      </w:r>
      <w:r w:rsidR="00BE6D80" w:rsidRPr="00092ED7">
        <w:rPr>
          <w:szCs w:val="24"/>
          <w:lang w:val="sr-Cyrl-CS"/>
        </w:rPr>
        <w:t>(и учешћем од 23,6%), ИПА средства са</w:t>
      </w:r>
      <w:r w:rsidRPr="00092ED7">
        <w:rPr>
          <w:szCs w:val="24"/>
          <w:lang w:val="sr-Cyrl-CS"/>
        </w:rPr>
        <w:t xml:space="preserve"> </w:t>
      </w:r>
      <w:r w:rsidR="00BE6D80" w:rsidRPr="00092ED7">
        <w:rPr>
          <w:szCs w:val="24"/>
          <w:lang w:val="sr-Cyrl-CS"/>
        </w:rPr>
        <w:t xml:space="preserve">71,3 </w:t>
      </w:r>
      <w:r w:rsidRPr="00092ED7">
        <w:rPr>
          <w:szCs w:val="24"/>
          <w:lang w:val="sr-Cyrl-CS"/>
        </w:rPr>
        <w:t>милиона евра (</w:t>
      </w:r>
      <w:r w:rsidR="00BE6D80" w:rsidRPr="00092ED7">
        <w:rPr>
          <w:szCs w:val="24"/>
          <w:lang w:val="sr-Cyrl-CS"/>
        </w:rPr>
        <w:t>6,3</w:t>
      </w:r>
      <w:r w:rsidRPr="00092ED7">
        <w:rPr>
          <w:szCs w:val="24"/>
          <w:lang w:val="sr-Cyrl-CS"/>
        </w:rPr>
        <w:t xml:space="preserve">%) и остале донације </w:t>
      </w:r>
      <w:r w:rsidR="0059482B" w:rsidRPr="00092ED7">
        <w:rPr>
          <w:rFonts w:cs="Times New Roman"/>
          <w:szCs w:val="24"/>
          <w:lang w:val="sr-Cyrl-CS"/>
        </w:rPr>
        <w:t>63,4</w:t>
      </w:r>
      <w:r w:rsidR="000325E2" w:rsidRPr="00092ED7">
        <w:rPr>
          <w:rFonts w:cs="Times New Roman"/>
          <w:szCs w:val="24"/>
          <w:lang w:val="sr-Cyrl-CS"/>
        </w:rPr>
        <w:t xml:space="preserve"> </w:t>
      </w:r>
      <w:r w:rsidRPr="00092ED7">
        <w:rPr>
          <w:szCs w:val="24"/>
          <w:lang w:val="sr-Cyrl-CS"/>
        </w:rPr>
        <w:t>милиона евра (</w:t>
      </w:r>
      <w:r w:rsidR="00BE6D80" w:rsidRPr="00092ED7">
        <w:rPr>
          <w:szCs w:val="24"/>
          <w:lang w:val="sr-Cyrl-CS"/>
        </w:rPr>
        <w:t>5,6</w:t>
      </w:r>
      <w:r w:rsidRPr="00092ED7">
        <w:rPr>
          <w:szCs w:val="24"/>
          <w:lang w:val="sr-Cyrl-CS"/>
        </w:rPr>
        <w:t xml:space="preserve">% свих расположивих извора), као и локални буџети са 8,5 милиона евра (0,7% учешћа). Други домаћи извори финансирања имају ниско учешће у укупном додатном финансирању структурних реформи у наредном трогодишњем периоду са </w:t>
      </w:r>
      <w:r w:rsidR="00BE6D80" w:rsidRPr="00092ED7">
        <w:rPr>
          <w:szCs w:val="24"/>
          <w:lang w:val="sr-Cyrl-CS"/>
        </w:rPr>
        <w:t xml:space="preserve">634,873 </w:t>
      </w:r>
      <w:r w:rsidRPr="00092ED7">
        <w:rPr>
          <w:szCs w:val="24"/>
          <w:lang w:val="sr-Cyrl-CS"/>
        </w:rPr>
        <w:t xml:space="preserve">евра или </w:t>
      </w:r>
      <w:r w:rsidR="00BE6D80" w:rsidRPr="00092ED7">
        <w:rPr>
          <w:szCs w:val="24"/>
          <w:lang w:val="sr-Cyrl-CS"/>
        </w:rPr>
        <w:t>0,06</w:t>
      </w:r>
      <w:r w:rsidRPr="00092ED7">
        <w:rPr>
          <w:szCs w:val="24"/>
          <w:lang w:val="sr-Cyrl-CS"/>
        </w:rPr>
        <w:t xml:space="preserve">% укупних средстава. Удео извора који треба тек да се утврде за финансирање структурних реформи је занемарљив и износи </w:t>
      </w:r>
      <w:r w:rsidR="00BE6D80" w:rsidRPr="00092ED7">
        <w:rPr>
          <w:szCs w:val="24"/>
          <w:lang w:val="sr-Cyrl-CS"/>
        </w:rPr>
        <w:t xml:space="preserve">2,25 </w:t>
      </w:r>
      <w:r w:rsidRPr="00092ED7">
        <w:rPr>
          <w:szCs w:val="24"/>
          <w:lang w:val="sr-Cyrl-CS"/>
        </w:rPr>
        <w:t xml:space="preserve">милиона евра или </w:t>
      </w:r>
      <w:r w:rsidR="00BE6D80" w:rsidRPr="00092ED7">
        <w:rPr>
          <w:szCs w:val="24"/>
          <w:lang w:val="sr-Cyrl-CS"/>
        </w:rPr>
        <w:t>0,2</w:t>
      </w:r>
      <w:r w:rsidRPr="00092ED7">
        <w:rPr>
          <w:szCs w:val="24"/>
          <w:lang w:val="sr-Cyrl-CS"/>
        </w:rPr>
        <w:t>% и односе се на финансирање структурних реформи у периоду 2024-2025. године, што је значајно ниже учешће у односу на ЕРП 2022-2024. година када је удео ових извора износио 22%.</w:t>
      </w:r>
    </w:p>
    <w:p w14:paraId="7A4CD1BD" w14:textId="77777777" w:rsidR="00591FF5" w:rsidRPr="00092ED7" w:rsidRDefault="00591FF5" w:rsidP="00D030D6">
      <w:pPr>
        <w:spacing w:after="60"/>
        <w:rPr>
          <w:szCs w:val="24"/>
          <w:lang w:val="sr-Cyrl-CS"/>
        </w:rPr>
      </w:pPr>
      <w:r w:rsidRPr="00092ED7">
        <w:rPr>
          <w:szCs w:val="24"/>
          <w:lang w:val="sr-Cyrl-CS"/>
        </w:rPr>
        <w:t xml:space="preserve">Финaнсиjскa срeдствa зa спрoвoђeњe структурних рeфoрми у 2023. гoдини плaнирaнa су у склaду сa Зaкoнoм o буџeту Републике Србије зa 2023. гoдину, средствима буџета и кредита, приливимa из дoнaциja или из других извoрa. </w:t>
      </w:r>
    </w:p>
    <w:p w14:paraId="7017433B" w14:textId="77777777" w:rsidR="00591FF5" w:rsidRPr="00092ED7" w:rsidRDefault="00591FF5" w:rsidP="00D030D6">
      <w:pPr>
        <w:spacing w:after="60"/>
        <w:rPr>
          <w:szCs w:val="24"/>
          <w:lang w:val="sr-Cyrl-CS"/>
        </w:rPr>
      </w:pPr>
      <w:r w:rsidRPr="00092ED7">
        <w:rPr>
          <w:szCs w:val="24"/>
          <w:lang w:val="sr-Cyrl-CS"/>
        </w:rPr>
        <w:t>Финaнсиjскa срeдствa из буџeтa Рeпубликe Србиje зa спрoвoђeњe структурних рeфoрми у 2024. и 2025. гoдини биће планирана у склaду сa дoдeљeним лимитимa зa нoсиoцe истих у тoку буџeтскe прoцeдурe. Због одржања фискалне стабилности, oбeзбeђивaњe дoдaтних финaнсиjских срeдстaвa зa спрoвoђeњe структурних рeфoрми у 2024. и 2025. гoдини је ограничено и мора бити у складу са билaнсним мoгућнoстима буџета.</w:t>
      </w:r>
    </w:p>
    <w:p w14:paraId="477B2D23" w14:textId="77777777" w:rsidR="00591FF5" w:rsidRPr="00092ED7" w:rsidRDefault="00591FF5" w:rsidP="00D030D6">
      <w:pPr>
        <w:spacing w:after="60"/>
        <w:rPr>
          <w:szCs w:val="24"/>
          <w:lang w:val="sr-Cyrl-CS"/>
        </w:rPr>
      </w:pPr>
      <w:r w:rsidRPr="00092ED7">
        <w:rPr>
          <w:szCs w:val="24"/>
          <w:lang w:val="sr-Cyrl-CS"/>
        </w:rPr>
        <w:t>Реализација структурних реформи зависиће од обезбеђености финансијских средстава у годишњим законима о буџету.</w:t>
      </w:r>
    </w:p>
    <w:p w14:paraId="5B7F778C" w14:textId="41BB9355" w:rsidR="00591FF5" w:rsidRPr="00092ED7" w:rsidRDefault="00591FF5" w:rsidP="00D030D6">
      <w:pPr>
        <w:spacing w:after="60"/>
        <w:rPr>
          <w:lang w:val="sr-Cyrl-CS"/>
        </w:rPr>
      </w:pPr>
      <w:r w:rsidRPr="00092ED7">
        <w:rPr>
          <w:szCs w:val="24"/>
          <w:lang w:val="sr-Cyrl-CS"/>
        </w:rPr>
        <w:t>Детаљне информације о додатним трошковима спровођења сваке појединачне структурне реформе на буџет и потенцијалном небуџетском финансирању приказан</w:t>
      </w:r>
      <w:r w:rsidR="00E85CD3" w:rsidRPr="00092ED7">
        <w:rPr>
          <w:szCs w:val="24"/>
          <w:lang w:val="sr-Cyrl-CS"/>
        </w:rPr>
        <w:t>е</w:t>
      </w:r>
      <w:r w:rsidRPr="00092ED7">
        <w:rPr>
          <w:szCs w:val="24"/>
          <w:lang w:val="sr-Cyrl-CS"/>
        </w:rPr>
        <w:t xml:space="preserve"> су у Табелaма 10а и 10б у прилогу.</w:t>
      </w:r>
    </w:p>
    <w:p w14:paraId="441A1BE9" w14:textId="77777777" w:rsidR="0051711E" w:rsidRPr="00092ED7" w:rsidRDefault="0051711E" w:rsidP="001632EC">
      <w:pPr>
        <w:keepNext/>
        <w:keepLines/>
        <w:spacing w:before="240" w:after="240"/>
        <w:outlineLvl w:val="0"/>
        <w:rPr>
          <w:rFonts w:eastAsia="Times New Roman"/>
          <w:b/>
          <w:w w:val="110"/>
          <w:sz w:val="26"/>
          <w:szCs w:val="26"/>
          <w:lang w:val="sr-Cyrl-CS"/>
        </w:rPr>
      </w:pPr>
      <w:bookmarkStart w:id="104" w:name="_Toc124174823"/>
      <w:bookmarkStart w:id="105" w:name="_Toc126218642"/>
      <w:r w:rsidRPr="00092ED7">
        <w:rPr>
          <w:rFonts w:eastAsia="Times New Roman"/>
          <w:b/>
          <w:w w:val="110"/>
          <w:sz w:val="26"/>
          <w:szCs w:val="26"/>
          <w:lang w:val="sr-Cyrl-CS"/>
        </w:rPr>
        <w:t>7. ИНСТИТУЦИОНАЛНА ПИТАЊА И УКЉУЧИВАЊЕ ЗАИНТЕРЕСОВАНИХ СТРАНА</w:t>
      </w:r>
      <w:bookmarkEnd w:id="104"/>
      <w:bookmarkEnd w:id="105"/>
      <w:r w:rsidRPr="00092ED7">
        <w:rPr>
          <w:rFonts w:eastAsia="Times New Roman"/>
          <w:b/>
          <w:w w:val="110"/>
          <w:sz w:val="26"/>
          <w:szCs w:val="26"/>
          <w:lang w:val="sr-Cyrl-CS"/>
        </w:rPr>
        <w:t xml:space="preserve"> </w:t>
      </w:r>
    </w:p>
    <w:p w14:paraId="38ADA29F" w14:textId="564C31D5" w:rsidR="0051711E" w:rsidRPr="00092ED7" w:rsidRDefault="0051711E" w:rsidP="00D030D6">
      <w:pPr>
        <w:spacing w:after="60"/>
        <w:ind w:right="153"/>
        <w:rPr>
          <w:rFonts w:eastAsia="Times New Roman" w:cs="Times New Roman"/>
          <w:szCs w:val="24"/>
          <w:lang w:val="sr-Cyrl-CS"/>
        </w:rPr>
      </w:pPr>
      <w:r w:rsidRPr="00092ED7">
        <w:rPr>
          <w:rFonts w:eastAsia="Times New Roman" w:cs="Times New Roman"/>
          <w:szCs w:val="24"/>
          <w:lang w:val="sr-Cyrl-CS"/>
        </w:rPr>
        <w:t xml:space="preserve">Република Србија има развијену структуру интерресорне координације израде </w:t>
      </w:r>
      <w:r w:rsidR="00E85CD3" w:rsidRPr="00092ED7">
        <w:rPr>
          <w:rFonts w:eastAsia="Times New Roman" w:cs="Times New Roman"/>
          <w:szCs w:val="24"/>
          <w:lang w:val="sr-Cyrl-CS"/>
        </w:rPr>
        <w:t>ЕРП</w:t>
      </w:r>
      <w:r w:rsidRPr="00092ED7">
        <w:rPr>
          <w:rFonts w:eastAsia="Times New Roman" w:cs="Times New Roman"/>
          <w:szCs w:val="24"/>
          <w:lang w:val="sr-Cyrl-CS"/>
        </w:rPr>
        <w:t xml:space="preserve">. За националног координатора и руководиоца Радне групе за израду и праћење спрoвођења ЕРП </w:t>
      </w:r>
      <w:r w:rsidR="00E85CD3" w:rsidRPr="00092ED7">
        <w:rPr>
          <w:rFonts w:eastAsia="Times New Roman" w:cs="Times New Roman"/>
          <w:szCs w:val="24"/>
          <w:lang w:val="sr-Cyrl-CS"/>
        </w:rPr>
        <w:t>З</w:t>
      </w:r>
      <w:r w:rsidRPr="00092ED7">
        <w:rPr>
          <w:rFonts w:eastAsia="Times New Roman" w:cs="Times New Roman"/>
          <w:szCs w:val="24"/>
          <w:lang w:val="sr-Cyrl-CS"/>
        </w:rPr>
        <w:t xml:space="preserve">акључком Владе </w:t>
      </w:r>
      <w:r w:rsidR="00C20622" w:rsidRPr="00092ED7">
        <w:rPr>
          <w:rFonts w:eastAsia="Times New Roman" w:cs="Times New Roman"/>
          <w:szCs w:val="24"/>
          <w:lang w:val="sr-Cyrl-CS"/>
        </w:rPr>
        <w:t xml:space="preserve">05 Број: 119-8012/2018 </w:t>
      </w:r>
      <w:r w:rsidRPr="00092ED7">
        <w:rPr>
          <w:rFonts w:eastAsia="Times New Roman" w:cs="Times New Roman"/>
          <w:szCs w:val="24"/>
          <w:lang w:val="sr-Cyrl-CS"/>
        </w:rPr>
        <w:t xml:space="preserve">од 28. августа 2018. године, и затим </w:t>
      </w:r>
      <w:r w:rsidR="00E85CD3" w:rsidRPr="00092ED7">
        <w:rPr>
          <w:rFonts w:eastAsia="Times New Roman" w:cs="Times New Roman"/>
          <w:szCs w:val="24"/>
          <w:lang w:val="sr-Cyrl-CS"/>
        </w:rPr>
        <w:t>З</w:t>
      </w:r>
      <w:r w:rsidRPr="00092ED7">
        <w:rPr>
          <w:rFonts w:eastAsia="Times New Roman" w:cs="Times New Roman"/>
          <w:szCs w:val="24"/>
          <w:lang w:val="sr-Cyrl-CS"/>
        </w:rPr>
        <w:t xml:space="preserve">акључком Владе </w:t>
      </w:r>
      <w:r w:rsidR="00C20622" w:rsidRPr="00092ED7">
        <w:rPr>
          <w:rFonts w:eastAsia="Times New Roman" w:cs="Times New Roman"/>
          <w:szCs w:val="24"/>
          <w:lang w:val="sr-Cyrl-CS"/>
        </w:rPr>
        <w:t xml:space="preserve">05 Број: 119-10722/2022 </w:t>
      </w:r>
      <w:r w:rsidRPr="00092ED7">
        <w:rPr>
          <w:rFonts w:eastAsia="Times New Roman" w:cs="Times New Roman"/>
          <w:szCs w:val="24"/>
          <w:lang w:val="sr-Cyrl-CS"/>
        </w:rPr>
        <w:t xml:space="preserve">од 22. децембра 2022, године именован је потпредседник Владе и министар финансија Синиша Мали. Решењем министра финансија је </w:t>
      </w:r>
      <w:r w:rsidR="002E04B5" w:rsidRPr="00092ED7">
        <w:rPr>
          <w:rFonts w:eastAsia="Times New Roman" w:cs="Times New Roman"/>
          <w:szCs w:val="24"/>
          <w:lang w:val="sr-Cyrl-CS"/>
        </w:rPr>
        <w:t>5</w:t>
      </w:r>
      <w:r w:rsidRPr="00092ED7">
        <w:rPr>
          <w:rFonts w:eastAsia="Times New Roman" w:cs="Times New Roman"/>
          <w:szCs w:val="24"/>
          <w:lang w:val="sr-Cyrl-CS"/>
        </w:rPr>
        <w:t>. јануара 2023. године иновирано чланство Радне групе за израду и праћење спровођења ЕРП у коју су именовани представници следећих институција:</w:t>
      </w:r>
    </w:p>
    <w:p w14:paraId="78447397"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 w:val="20"/>
          <w:szCs w:val="20"/>
          <w:lang w:val="sr-Cyrl-CS"/>
        </w:rPr>
      </w:pPr>
      <w:r w:rsidRPr="00092ED7">
        <w:rPr>
          <w:rFonts w:eastAsia="Times New Roman" w:cs="Times New Roman"/>
          <w:color w:val="000000"/>
          <w:spacing w:val="-5"/>
          <w:szCs w:val="24"/>
          <w:lang w:val="sr-Cyrl-CS"/>
        </w:rPr>
        <w:t>- Министарства финансија,</w:t>
      </w:r>
    </w:p>
    <w:p w14:paraId="75137325" w14:textId="77777777" w:rsidR="002E04B5" w:rsidRPr="00092ED7" w:rsidRDefault="002E04B5" w:rsidP="002E04B5">
      <w:pPr>
        <w:widowControl w:val="0"/>
        <w:autoSpaceDE w:val="0"/>
        <w:autoSpaceDN w:val="0"/>
        <w:adjustRightInd w:val="0"/>
        <w:spacing w:after="0"/>
        <w:contextualSpacing/>
        <w:jc w:val="left"/>
        <w:rPr>
          <w:rFonts w:eastAsiaTheme="minorEastAsia" w:cs="Times New Roman"/>
          <w:szCs w:val="24"/>
          <w:lang w:val="sr-Cyrl-CS"/>
        </w:rPr>
      </w:pPr>
      <w:r w:rsidRPr="00092ED7">
        <w:rPr>
          <w:rFonts w:eastAsiaTheme="minorEastAsia" w:cs="Times New Roman"/>
          <w:szCs w:val="24"/>
          <w:lang w:val="sr-Cyrl-CS"/>
        </w:rPr>
        <w:t>- Републичког секретаријата за јавне политике,</w:t>
      </w:r>
    </w:p>
    <w:p w14:paraId="0635460F"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Генералног секретаријата Владе,</w:t>
      </w:r>
    </w:p>
    <w:p w14:paraId="44CD6B6A"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Кабинета председника Владе,</w:t>
      </w:r>
    </w:p>
    <w:p w14:paraId="179EA3AB"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Народне банке Србије,</w:t>
      </w:r>
    </w:p>
    <w:p w14:paraId="3BF988A6"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унутрашње и спољне трговине,</w:t>
      </w:r>
    </w:p>
    <w:p w14:paraId="6EFC249D"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туризма и омладине,</w:t>
      </w:r>
    </w:p>
    <w:p w14:paraId="5A1592D8"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спољних послова,</w:t>
      </w:r>
    </w:p>
    <w:p w14:paraId="08AF5365"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привреде,</w:t>
      </w:r>
    </w:p>
    <w:p w14:paraId="491F04E2"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грађевинарства, саобраћаја и инфраструктуре,</w:t>
      </w:r>
    </w:p>
    <w:p w14:paraId="460B3EF9"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пољопривреде, шумарства и водопривреде,</w:t>
      </w:r>
    </w:p>
    <w:p w14:paraId="387BAD60"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заштите животне средине,</w:t>
      </w:r>
    </w:p>
    <w:p w14:paraId="7BB70A52"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рударства и енергетике,</w:t>
      </w:r>
    </w:p>
    <w:p w14:paraId="3813F2D0"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правде,</w:t>
      </w:r>
    </w:p>
    <w:p w14:paraId="7056D553"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Министарство информисања и телекомуникација,</w:t>
      </w:r>
    </w:p>
    <w:p w14:paraId="4E42C118"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просвете,</w:t>
      </w:r>
    </w:p>
    <w:p w14:paraId="71F69DF1"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Министарство науке, технолошког развоја и иновација,</w:t>
      </w:r>
    </w:p>
    <w:p w14:paraId="1D1619CB"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државне управе и локалне самоуправе,</w:t>
      </w:r>
    </w:p>
    <w:p w14:paraId="73E8424E"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за европске интеграције,</w:t>
      </w:r>
    </w:p>
    <w:p w14:paraId="3044A811"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за рад, запошљавање, борачка и социјална питања,</w:t>
      </w:r>
    </w:p>
    <w:p w14:paraId="54F06639"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за људска и мањинска права и друштвени дијалог,</w:t>
      </w:r>
    </w:p>
    <w:p w14:paraId="258E6E94" w14:textId="25E8EA37" w:rsidR="002E04B5" w:rsidRPr="00092ED7" w:rsidRDefault="002E04B5" w:rsidP="0046098B">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imes New Roman" w:cs="Times New Roman"/>
          <w:szCs w:val="20"/>
          <w:lang w:val="sr-Cyrl-CS"/>
        </w:rPr>
        <w:t xml:space="preserve">- Кабинета министра без портфеља задуженог за унапређење развоја недовољно </w:t>
      </w:r>
      <w:r w:rsidR="004B0EF7" w:rsidRPr="00092ED7">
        <w:rPr>
          <w:rFonts w:eastAsia="Times New Roman" w:cs="Times New Roman"/>
          <w:szCs w:val="20"/>
          <w:lang w:val="sr-Cyrl-CS"/>
        </w:rPr>
        <w:t xml:space="preserve"> </w:t>
      </w:r>
      <w:r w:rsidRPr="00092ED7">
        <w:rPr>
          <w:rFonts w:eastAsia="Times New Roman" w:cs="Times New Roman"/>
          <w:szCs w:val="20"/>
          <w:lang w:val="sr-Cyrl-CS"/>
        </w:rPr>
        <w:t>развијених општина</w:t>
      </w:r>
      <w:r w:rsidR="0046098B" w:rsidRPr="00092ED7">
        <w:rPr>
          <w:rFonts w:eastAsiaTheme="minorEastAsia" w:cs="Times New Roman"/>
          <w:szCs w:val="24"/>
          <w:lang w:val="sr-Cyrl-CS"/>
        </w:rPr>
        <w:t xml:space="preserve"> </w:t>
      </w:r>
      <w:r w:rsidR="0046098B" w:rsidRPr="00092ED7">
        <w:rPr>
          <w:rFonts w:eastAsia="Times New Roman" w:cs="Times New Roman"/>
          <w:szCs w:val="20"/>
          <w:lang w:val="sr-Cyrl-CS"/>
        </w:rPr>
        <w:t>на територији Републике Србије</w:t>
      </w:r>
      <w:r w:rsidRPr="00092ED7">
        <w:rPr>
          <w:rFonts w:eastAsiaTheme="minorEastAsia" w:cs="Times New Roman"/>
          <w:szCs w:val="24"/>
          <w:lang w:val="sr-Cyrl-CS"/>
        </w:rPr>
        <w:t>,</w:t>
      </w:r>
    </w:p>
    <w:p w14:paraId="6434DD62"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Републичког геодетског завода,</w:t>
      </w:r>
    </w:p>
    <w:p w14:paraId="5B1DEC97"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Канцеларије за јавне набавке,</w:t>
      </w:r>
    </w:p>
    <w:p w14:paraId="260A3D97"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Канцеларије за дуално образовање и Национални оквир квалификација,</w:t>
      </w:r>
    </w:p>
    <w:p w14:paraId="71E9906F"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Канцеларије за информационе технологије и електронску управу,</w:t>
      </w:r>
    </w:p>
    <w:p w14:paraId="2856F693"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Комисије за контролу државне помоћи,</w:t>
      </w:r>
    </w:p>
    <w:p w14:paraId="2B3E2FCF"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Националне службе за запошљавање,</w:t>
      </w:r>
    </w:p>
    <w:p w14:paraId="0BBCD9D7"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 w:val="20"/>
          <w:szCs w:val="20"/>
          <w:lang w:val="sr-Cyrl-CS"/>
        </w:rPr>
      </w:pPr>
      <w:r w:rsidRPr="00092ED7">
        <w:rPr>
          <w:rFonts w:eastAsiaTheme="minorEastAsia" w:cs="Times New Roman"/>
          <w:szCs w:val="24"/>
          <w:lang w:val="sr-Cyrl-CS"/>
        </w:rPr>
        <w:t>- Републичког завода за статистику.</w:t>
      </w:r>
    </w:p>
    <w:p w14:paraId="66FDC513" w14:textId="77777777" w:rsidR="0051711E" w:rsidRPr="00092ED7" w:rsidRDefault="0051711E" w:rsidP="002E04B5">
      <w:pPr>
        <w:spacing w:after="60"/>
        <w:ind w:right="155"/>
        <w:rPr>
          <w:rFonts w:eastAsia="Times New Roman" w:cs="Times New Roman"/>
          <w:szCs w:val="24"/>
          <w:lang w:val="sr-Cyrl-CS"/>
        </w:rPr>
      </w:pPr>
      <w:r w:rsidRPr="00092ED7">
        <w:rPr>
          <w:rFonts w:eastAsia="Times New Roman" w:cs="Times New Roman"/>
          <w:szCs w:val="24"/>
          <w:lang w:val="sr-Cyrl-CS"/>
        </w:rPr>
        <w:t>У складу са већ успостављеном праксом, први део документа који се односи на макро-фискални оквир  и у највећој мери се ослања на Фискалну стратегију за 2023. годину са пројекцијама за 2024. и 2025. годину, израдили су Министарство финансија и Народна банка Србије. Остала поглавља овог документа која се односе на структурне реформе израдили су надлежни ресори у координацији и сарадњи са Министарством финансија и Републичким секретаријатом за јавне политике.</w:t>
      </w:r>
    </w:p>
    <w:p w14:paraId="307E5E0B" w14:textId="3A60B8AD" w:rsidR="0051711E" w:rsidRPr="00092ED7" w:rsidRDefault="0051711E" w:rsidP="00D030D6">
      <w:pPr>
        <w:spacing w:after="60"/>
        <w:ind w:right="155"/>
        <w:rPr>
          <w:rFonts w:eastAsia="Times New Roman" w:cs="Times New Roman"/>
          <w:szCs w:val="24"/>
          <w:lang w:val="sr-Cyrl-CS"/>
        </w:rPr>
      </w:pPr>
      <w:r w:rsidRPr="00092ED7">
        <w:rPr>
          <w:rFonts w:eastAsia="Times New Roman" w:cs="Times New Roman"/>
          <w:szCs w:val="24"/>
          <w:lang w:val="sr-Cyrl-CS"/>
        </w:rPr>
        <w:t xml:space="preserve">Девети циклус израде ЕРП за период 2023-2025. године започет је одржавањем уводног  регионалног састанка 22. јуна 2022. године у организацији Европске комисије и уз подршку </w:t>
      </w:r>
      <w:r w:rsidRPr="00092ED7">
        <w:rPr>
          <w:rFonts w:cs="Times New Roman"/>
          <w:szCs w:val="24"/>
          <w:lang w:val="sr-Cyrl-CS"/>
        </w:rPr>
        <w:t>ЦЕФ-а из Љубљане.</w:t>
      </w:r>
      <w:r w:rsidRPr="00092ED7">
        <w:rPr>
          <w:rFonts w:eastAsia="Times New Roman" w:cs="Times New Roman"/>
          <w:szCs w:val="24"/>
          <w:lang w:val="sr-Cyrl-CS"/>
        </w:rPr>
        <w:t xml:space="preserve"> На састанку су представљене нове Смернице Европске комисије за израду ЕРП 2023-2025. и анализиран је претходни документ ЕРП како би се пре свега превазишли сви евентуални изазови у наредном циклусу. Претходно је током маја месесца одржан и састанак </w:t>
      </w:r>
      <w:r w:rsidR="009430BA" w:rsidRPr="00092ED7">
        <w:rPr>
          <w:rFonts w:cs="Times New Roman"/>
          <w:szCs w:val="24"/>
          <w:lang w:val="sr-Cyrl-CS"/>
        </w:rPr>
        <w:t>ECOFIN</w:t>
      </w:r>
      <w:r w:rsidRPr="00092ED7">
        <w:rPr>
          <w:rFonts w:eastAsia="Times New Roman" w:cs="Times New Roman"/>
          <w:szCs w:val="24"/>
          <w:lang w:val="sr-Cyrl-CS"/>
        </w:rPr>
        <w:t xml:space="preserve"> Савета, на ком су усвојени Заједнички закључци економског и финансијског дијалога између ЕУ и Западног Балкана и </w:t>
      </w:r>
      <w:r w:rsidR="00F51DA3" w:rsidRPr="00092ED7">
        <w:rPr>
          <w:rFonts w:eastAsia="Times New Roman" w:cs="Times New Roman"/>
          <w:szCs w:val="24"/>
          <w:lang w:val="sr-Cyrl-CS"/>
        </w:rPr>
        <w:t xml:space="preserve">Републике </w:t>
      </w:r>
      <w:r w:rsidRPr="00092ED7">
        <w:rPr>
          <w:rFonts w:eastAsia="Times New Roman" w:cs="Times New Roman"/>
          <w:szCs w:val="24"/>
          <w:lang w:val="sr-Cyrl-CS"/>
        </w:rPr>
        <w:t xml:space="preserve">Турске. </w:t>
      </w:r>
    </w:p>
    <w:p w14:paraId="7AEA944C" w14:textId="77777777" w:rsidR="0051711E" w:rsidRPr="00092ED7" w:rsidRDefault="0051711E" w:rsidP="00D030D6">
      <w:pPr>
        <w:spacing w:after="60"/>
        <w:ind w:right="155"/>
        <w:rPr>
          <w:rFonts w:cs="Times New Roman"/>
          <w:szCs w:val="24"/>
          <w:lang w:val="sr-Cyrl-CS"/>
        </w:rPr>
      </w:pPr>
      <w:r w:rsidRPr="00092ED7">
        <w:rPr>
          <w:rFonts w:cs="Times New Roman"/>
          <w:szCs w:val="24"/>
          <w:lang w:val="sr-Cyrl-CS"/>
        </w:rPr>
        <w:t xml:space="preserve">На националном уводном састанку који је одржан 29. јула 2022. године дискутовало се о резултатима постигнутим у претходном периоду, препорукама ЕКОФИН Савета, кључним новитетима из Смерница ЕК за израду новог документа ЕРП и даљим активностима у вези са новим циклусом израде документа, а учесници из надлежних институција су позвани да номинују предлоге структурних реформи. </w:t>
      </w:r>
    </w:p>
    <w:p w14:paraId="144832AE" w14:textId="065BEC00" w:rsidR="0051711E" w:rsidRPr="00092ED7" w:rsidRDefault="0051711E" w:rsidP="00D030D6">
      <w:pPr>
        <w:pStyle w:val="CommentText"/>
        <w:spacing w:after="60" w:line="240" w:lineRule="auto"/>
        <w:ind w:right="206"/>
        <w:rPr>
          <w:rFonts w:cs="Times New Roman"/>
          <w:sz w:val="24"/>
          <w:szCs w:val="24"/>
          <w:lang w:val="sr-Cyrl-CS"/>
        </w:rPr>
      </w:pPr>
      <w:r w:rsidRPr="00092ED7">
        <w:rPr>
          <w:rFonts w:cs="Times New Roman"/>
          <w:sz w:val="24"/>
          <w:szCs w:val="24"/>
          <w:lang w:val="sr-Cyrl-CS"/>
        </w:rPr>
        <w:t>Паралелно са овим активностима, текао је и рад на изради Фискалне стратегије за 2023. годину са пројекцијама за 2024. и 2025. годину, која је усвојена 2. јуна</w:t>
      </w:r>
      <w:r w:rsidR="00AB105C" w:rsidRPr="00092ED7">
        <w:rPr>
          <w:rFonts w:cs="Times New Roman"/>
          <w:sz w:val="24"/>
          <w:szCs w:val="24"/>
          <w:lang w:val="sr-Cyrl-CS"/>
        </w:rPr>
        <w:t xml:space="preserve"> 2022. године</w:t>
      </w:r>
      <w:r w:rsidRPr="00092ED7">
        <w:rPr>
          <w:rFonts w:cs="Times New Roman"/>
          <w:sz w:val="24"/>
          <w:szCs w:val="24"/>
          <w:lang w:val="sr-Cyrl-CS"/>
        </w:rPr>
        <w:t xml:space="preserve">, док је Ревидирана Фискална стратегија са пројекцијама за 2024. и 2025. годину усвојена </w:t>
      </w:r>
      <w:r w:rsidR="002E04B5" w:rsidRPr="00092ED7">
        <w:rPr>
          <w:rFonts w:cs="Times New Roman"/>
          <w:sz w:val="24"/>
          <w:szCs w:val="24"/>
          <w:lang w:val="sr-Cyrl-CS"/>
        </w:rPr>
        <w:t>17</w:t>
      </w:r>
      <w:r w:rsidRPr="00092ED7">
        <w:rPr>
          <w:rFonts w:cs="Times New Roman"/>
          <w:sz w:val="24"/>
          <w:szCs w:val="24"/>
          <w:lang w:val="sr-Cyrl-CS"/>
        </w:rPr>
        <w:t>. новембра</w:t>
      </w:r>
      <w:r w:rsidR="002E04B5" w:rsidRPr="00092ED7">
        <w:rPr>
          <w:rFonts w:cs="Times New Roman"/>
          <w:sz w:val="24"/>
          <w:szCs w:val="24"/>
          <w:lang w:val="sr-Cyrl-CS"/>
        </w:rPr>
        <w:t xml:space="preserve"> 2022</w:t>
      </w:r>
      <w:r w:rsidRPr="00092ED7">
        <w:rPr>
          <w:rFonts w:cs="Times New Roman"/>
          <w:sz w:val="24"/>
          <w:szCs w:val="24"/>
          <w:lang w:val="sr-Cyrl-CS"/>
        </w:rPr>
        <w:t xml:space="preserve">, а која представља основ за припрему одговарајућих поглавља ЕРП. </w:t>
      </w:r>
    </w:p>
    <w:p w14:paraId="30CCF57C" w14:textId="77777777" w:rsidR="0051711E" w:rsidRPr="00092ED7" w:rsidRDefault="0051711E" w:rsidP="00D030D6">
      <w:pPr>
        <w:spacing w:after="60"/>
        <w:ind w:right="155"/>
        <w:rPr>
          <w:rFonts w:cs="Times New Roman"/>
          <w:szCs w:val="24"/>
          <w:lang w:val="sr-Cyrl-CS"/>
        </w:rPr>
      </w:pPr>
      <w:r w:rsidRPr="00092ED7">
        <w:rPr>
          <w:rFonts w:cs="Times New Roman"/>
          <w:szCs w:val="24"/>
          <w:lang w:val="sr-Cyrl-CS"/>
        </w:rPr>
        <w:t xml:space="preserve">Након националног уводног састанка, </w:t>
      </w:r>
      <w:r w:rsidRPr="00092ED7">
        <w:rPr>
          <w:rFonts w:eastAsia="Times New Roman" w:cs="Times New Roman"/>
          <w:szCs w:val="24"/>
          <w:lang w:val="sr-Cyrl-CS"/>
        </w:rPr>
        <w:t xml:space="preserve">интензивирале су се активности на изради ЕРП 2023-2025: </w:t>
      </w:r>
      <w:r w:rsidRPr="00092ED7">
        <w:rPr>
          <w:rFonts w:cs="Times New Roman"/>
          <w:szCs w:val="24"/>
          <w:lang w:val="sr-Cyrl-CS"/>
        </w:rPr>
        <w:t>уследиле су активности на изради дијагностике стања по областима, достављању извештаја о реализацији структурних реформи, спровођењу ЕКОФИН препорука, као и номиновању и даљем унапређењу описа структурних реформи.</w:t>
      </w:r>
    </w:p>
    <w:p w14:paraId="41F25955" w14:textId="77777777" w:rsidR="0051711E" w:rsidRPr="00092ED7" w:rsidRDefault="0051711E" w:rsidP="00D030D6">
      <w:pPr>
        <w:spacing w:after="60"/>
        <w:ind w:right="155"/>
        <w:rPr>
          <w:rFonts w:cs="Times New Roman"/>
          <w:szCs w:val="24"/>
          <w:lang w:val="sr-Cyrl-CS"/>
        </w:rPr>
      </w:pPr>
      <w:r w:rsidRPr="00092ED7">
        <w:rPr>
          <w:rFonts w:cs="Times New Roman"/>
          <w:szCs w:val="24"/>
          <w:lang w:val="sr-Cyrl-CS"/>
        </w:rPr>
        <w:t>Прелиминарна листа структурних реформи, сачињена од 20 структурних реформи стављeна је на увид јавности путем веб-сајта Министарста финансија и Републичког секретаријата за јавне политике од 14. до 28. октобра 2022. године и све заинтересоване стране су биле позване да дају своје коментаре и сугестије.  На основу овог позива примљени су коментари Националног конвента о ЕУ и УНИЦЕФ-а.</w:t>
      </w:r>
    </w:p>
    <w:p w14:paraId="0959F011" w14:textId="77777777" w:rsidR="0051711E" w:rsidRPr="00092ED7" w:rsidRDefault="0051711E" w:rsidP="00D030D6">
      <w:pPr>
        <w:spacing w:after="60"/>
        <w:ind w:right="155"/>
        <w:rPr>
          <w:rFonts w:cs="Times New Roman"/>
          <w:szCs w:val="24"/>
          <w:lang w:val="sr-Cyrl-CS"/>
        </w:rPr>
      </w:pPr>
      <w:r w:rsidRPr="00092ED7">
        <w:rPr>
          <w:rFonts w:cs="Times New Roman"/>
          <w:szCs w:val="24"/>
          <w:lang w:val="sr-Cyrl-CS"/>
        </w:rPr>
        <w:t xml:space="preserve">Kонсултативни састанци са представницима Европске комисије, одржани су 21. новембра 2022. године у оквиру којих је дискутовано о кључним изазовима дефинисаним у првом нацрту ЕРП, који је претходно достављен Европској комисији. </w:t>
      </w:r>
    </w:p>
    <w:p w14:paraId="5A5B7C03" w14:textId="27A014F3" w:rsidR="0051711E" w:rsidRPr="00092ED7" w:rsidRDefault="0051711E" w:rsidP="00D030D6">
      <w:pPr>
        <w:spacing w:after="60"/>
        <w:ind w:right="155"/>
        <w:rPr>
          <w:rFonts w:cs="Times New Roman"/>
          <w:szCs w:val="24"/>
          <w:lang w:val="sr-Cyrl-CS"/>
        </w:rPr>
      </w:pPr>
      <w:r w:rsidRPr="00092ED7">
        <w:rPr>
          <w:rFonts w:cs="Times New Roman"/>
          <w:szCs w:val="24"/>
          <w:lang w:val="sr-Cyrl-CS"/>
        </w:rPr>
        <w:t>У оквиру деветог циклуса израде ЕРП организован је низ активности уз подршку регионалног ИПА пројекта „Боља интеграција структурних реформи у фискалне оквире – FISR</w:t>
      </w:r>
      <w:r w:rsidR="003A60A5" w:rsidRPr="00092ED7">
        <w:rPr>
          <w:rFonts w:cs="Times New Roman"/>
          <w:szCs w:val="24"/>
          <w:lang w:val="sr-Cyrl-CS"/>
        </w:rPr>
        <w:t xml:space="preserve"> </w:t>
      </w:r>
      <w:r w:rsidRPr="00092ED7">
        <w:rPr>
          <w:rFonts w:cs="Times New Roman"/>
          <w:szCs w:val="24"/>
          <w:lang w:val="sr-Cyrl-CS"/>
        </w:rPr>
        <w:t>2</w:t>
      </w:r>
      <w:r w:rsidR="009C5F53" w:rsidRPr="00092ED7">
        <w:rPr>
          <w:rFonts w:cs="Times New Roman"/>
          <w:szCs w:val="24"/>
          <w:lang w:val="sr-Cyrl-CS"/>
        </w:rPr>
        <w:t>”</w:t>
      </w:r>
      <w:r w:rsidRPr="00092ED7">
        <w:rPr>
          <w:rFonts w:cs="Times New Roman"/>
          <w:szCs w:val="24"/>
          <w:lang w:val="sr-Cyrl-CS"/>
        </w:rPr>
        <w:t xml:space="preserve"> који имплементира Центар за развој финансија (Сenter of Еxcellence in Finance - CEF, Словенија) и пројекта српско–немачке развојне сарадње „Реформа јавних финансија и Агенда 2030</w:t>
      </w:r>
      <w:r w:rsidR="009C5F53" w:rsidRPr="00092ED7">
        <w:rPr>
          <w:rFonts w:cs="Times New Roman"/>
          <w:szCs w:val="24"/>
          <w:lang w:val="sr-Cyrl-CS"/>
        </w:rPr>
        <w:t>”</w:t>
      </w:r>
      <w:r w:rsidRPr="00092ED7">
        <w:rPr>
          <w:rFonts w:cs="Times New Roman"/>
          <w:szCs w:val="24"/>
          <w:lang w:val="sr-Cyrl-CS"/>
        </w:rPr>
        <w:t xml:space="preserve"> који спроводи </w:t>
      </w:r>
      <w:r w:rsidR="005E36FC" w:rsidRPr="00092ED7">
        <w:rPr>
          <w:rFonts w:cs="Times New Roman"/>
          <w:szCs w:val="24"/>
          <w:lang w:val="sr-Cyrl-CS"/>
        </w:rPr>
        <w:t>ГИЗ</w:t>
      </w:r>
      <w:r w:rsidRPr="00092ED7">
        <w:rPr>
          <w:rFonts w:cs="Times New Roman"/>
          <w:szCs w:val="24"/>
          <w:lang w:val="sr-Cyrl-CS"/>
        </w:rPr>
        <w:t xml:space="preserve">. Организоване су  радионице на којима су обухваћене све кључне теме и изазови у актуелном циклусу израде ЕРП. На радионици </w:t>
      </w:r>
      <w:r w:rsidRPr="00092ED7">
        <w:rPr>
          <w:rFonts w:cs="Times New Roman"/>
          <w:i/>
          <w:szCs w:val="24"/>
          <w:lang w:val="sr-Cyrl-CS"/>
        </w:rPr>
        <w:t>Програмирање структурних реформи за ЕРП 2023- 2025.</w:t>
      </w:r>
      <w:r w:rsidRPr="00092ED7">
        <w:rPr>
          <w:rFonts w:cs="Times New Roman"/>
          <w:szCs w:val="24"/>
          <w:lang w:val="sr-Cyrl-CS"/>
        </w:rPr>
        <w:t xml:space="preserve"> одржаној 4</w:t>
      </w:r>
      <w:r w:rsidR="00E85CD3" w:rsidRPr="00092ED7">
        <w:rPr>
          <w:rFonts w:cs="Times New Roman"/>
          <w:szCs w:val="24"/>
          <w:lang w:val="sr-Cyrl-CS"/>
        </w:rPr>
        <w:t xml:space="preserve">. и </w:t>
      </w:r>
      <w:r w:rsidRPr="00092ED7">
        <w:rPr>
          <w:rFonts w:cs="Times New Roman"/>
          <w:szCs w:val="24"/>
          <w:lang w:val="sr-Cyrl-CS"/>
        </w:rPr>
        <w:t>5</w:t>
      </w:r>
      <w:r w:rsidR="00E85CD3" w:rsidRPr="00092ED7">
        <w:rPr>
          <w:rFonts w:cs="Times New Roman"/>
          <w:szCs w:val="24"/>
          <w:lang w:val="sr-Cyrl-CS"/>
        </w:rPr>
        <w:t>.</w:t>
      </w:r>
      <w:r w:rsidRPr="00092ED7">
        <w:rPr>
          <w:rFonts w:cs="Times New Roman"/>
          <w:szCs w:val="24"/>
          <w:lang w:val="sr-Cyrl-CS"/>
        </w:rPr>
        <w:t xml:space="preserve"> октобра 2022. године путем електронске платформе, представљена је анализа кључних изазова и структурних реформи по областима, разматране су кључне препоруке и приоритети за израду документа, изнете су оцене екперата предложених структурних реформи и дате смернице за њихово даље побољшање. У наставку је уследила и радионица одржана 29-30. новембра 2022. године у Врднику на којој је фокус био на обрачуну трошкова структурних реформи, као и на утврђивању кључних индикатора учинка за праћење </w:t>
      </w:r>
      <w:r w:rsidR="007E6FF6" w:rsidRPr="00092ED7">
        <w:rPr>
          <w:rFonts w:cs="Times New Roman"/>
          <w:szCs w:val="24"/>
          <w:lang w:val="sr-Cyrl-CS"/>
        </w:rPr>
        <w:t>структурних реформи</w:t>
      </w:r>
      <w:r w:rsidRPr="00092ED7">
        <w:rPr>
          <w:rFonts w:cs="Times New Roman"/>
          <w:szCs w:val="24"/>
          <w:lang w:val="sr-Cyrl-CS"/>
        </w:rPr>
        <w:t>. Осим тога, на радионици је представљена новина која се односи дигитализацију процеса израде ЕРП, те су учесници имају прилике да се упознају са алатима који су осмишљени да поједноставе и оптимизују израду овог документа и који би према плану, требало да им буду доступни почев од наредног циклуса.</w:t>
      </w:r>
    </w:p>
    <w:p w14:paraId="02B17601" w14:textId="77777777" w:rsidR="0051711E" w:rsidRPr="00092ED7" w:rsidRDefault="0051711E" w:rsidP="00D030D6">
      <w:pPr>
        <w:spacing w:after="60"/>
        <w:ind w:right="155"/>
        <w:rPr>
          <w:rFonts w:cs="Times New Roman"/>
          <w:szCs w:val="24"/>
          <w:lang w:val="sr-Cyrl-CS"/>
        </w:rPr>
      </w:pPr>
      <w:r w:rsidRPr="00092ED7">
        <w:rPr>
          <w:rFonts w:eastAsia="Times New Roman" w:cs="Times New Roman"/>
          <w:szCs w:val="24"/>
          <w:lang w:val="sr-Cyrl-CS"/>
        </w:rPr>
        <w:t>Рад на сегменту документа који се односи на финансијске ефекте ЕРП 2023-2025 је завршен у децембру, након што је почетком децембра 2022. усвојен Закон о буџету за 2023. годину.</w:t>
      </w:r>
    </w:p>
    <w:p w14:paraId="6D08C1F4" w14:textId="77777777" w:rsidR="0051711E" w:rsidRPr="00092ED7" w:rsidRDefault="0051711E" w:rsidP="00D030D6">
      <w:pPr>
        <w:spacing w:after="60"/>
        <w:rPr>
          <w:rFonts w:cs="Times New Roman"/>
          <w:szCs w:val="24"/>
          <w:lang w:val="sr-Cyrl-CS"/>
        </w:rPr>
      </w:pPr>
      <w:r w:rsidRPr="00092ED7">
        <w:rPr>
          <w:rFonts w:cs="Times New Roman"/>
          <w:szCs w:val="24"/>
          <w:lang w:val="sr-Cyrl-CS"/>
        </w:rPr>
        <w:t>Нацрт ЕРП 2023-2025 којим су предвиђене 22 структурне реформе стављен је на увид јавности објављивањем на веб-сајту Министарста финансија и Републичког секретаријата за јавне политике и портала Е- консултације од 12. до 26. децембра 2022. године. Све заинтересоване стране су биле позване да доставе своје коментаре и сугестије</w:t>
      </w:r>
      <w:r w:rsidRPr="00092ED7">
        <w:rPr>
          <w:rFonts w:eastAsia="Times New Roman" w:cs="Times New Roman"/>
          <w:szCs w:val="24"/>
          <w:lang w:val="sr-Cyrl-CS"/>
        </w:rPr>
        <w:t xml:space="preserve"> и на тај начин допринесу унапређењу документа.</w:t>
      </w:r>
      <w:r w:rsidRPr="00092ED7">
        <w:rPr>
          <w:rFonts w:cs="Times New Roman"/>
          <w:szCs w:val="24"/>
          <w:lang w:val="sr-Cyrl-CS"/>
        </w:rPr>
        <w:t xml:space="preserve"> У овом периоду примљени су коментари представника Националнох конвента о ЕУ и Привредне коморе Србије. </w:t>
      </w:r>
      <w:r w:rsidR="009B0935" w:rsidRPr="00092ED7">
        <w:rPr>
          <w:rFonts w:cs="Times New Roman"/>
          <w:szCs w:val="24"/>
          <w:lang w:val="sr-Cyrl-CS"/>
        </w:rPr>
        <w:t>Објављивање Нацрта документа пропраћено је чланцима како у писаним тако и у електронским медијима у Републици Србији.</w:t>
      </w:r>
    </w:p>
    <w:p w14:paraId="04059353" w14:textId="77777777" w:rsidR="0051711E" w:rsidRPr="00092ED7" w:rsidRDefault="0051711E" w:rsidP="00D030D6">
      <w:pPr>
        <w:spacing w:after="60"/>
        <w:rPr>
          <w:rFonts w:cs="Times New Roman"/>
          <w:szCs w:val="24"/>
          <w:lang w:val="sr-Cyrl-CS"/>
        </w:rPr>
      </w:pPr>
      <w:r w:rsidRPr="00092ED7">
        <w:rPr>
          <w:rFonts w:eastAsia="Times New Roman" w:cs="Times New Roman"/>
          <w:szCs w:val="24"/>
          <w:lang w:val="sr-Cyrl-CS"/>
        </w:rPr>
        <w:t xml:space="preserve">Завршне консултације са представницима </w:t>
      </w:r>
      <w:r w:rsidRPr="00092ED7">
        <w:rPr>
          <w:rFonts w:cs="Times New Roman"/>
          <w:szCs w:val="24"/>
          <w:lang w:val="sr-Cyrl-CS"/>
        </w:rPr>
        <w:t>цивилног друштва</w:t>
      </w:r>
      <w:r w:rsidRPr="00092ED7">
        <w:rPr>
          <w:rFonts w:eastAsia="Times New Roman" w:cs="Times New Roman"/>
          <w:szCs w:val="24"/>
          <w:lang w:val="sr-Cyrl-CS"/>
        </w:rPr>
        <w:t xml:space="preserve">, </w:t>
      </w:r>
      <w:r w:rsidRPr="00092ED7">
        <w:rPr>
          <w:rFonts w:cs="Times New Roman"/>
          <w:szCs w:val="24"/>
          <w:lang w:val="sr-Cyrl-CS"/>
        </w:rPr>
        <w:t xml:space="preserve">односно члановима међусекторске радне групе Националног конвента о Европској унији за праћење ЕРП, </w:t>
      </w:r>
      <w:r w:rsidRPr="00092ED7">
        <w:rPr>
          <w:rFonts w:eastAsia="Times New Roman" w:cs="Times New Roman"/>
          <w:szCs w:val="24"/>
          <w:lang w:val="sr-Cyrl-CS"/>
        </w:rPr>
        <w:t xml:space="preserve">одржане су </w:t>
      </w:r>
      <w:r w:rsidRPr="00092ED7">
        <w:rPr>
          <w:rFonts w:cs="Times New Roman"/>
          <w:szCs w:val="24"/>
          <w:lang w:val="sr-Cyrl-CS"/>
        </w:rPr>
        <w:t>26. децембра 2022. године.</w:t>
      </w:r>
      <w:r w:rsidRPr="00092ED7">
        <w:rPr>
          <w:szCs w:val="24"/>
          <w:lang w:val="sr-Cyrl-CS"/>
        </w:rPr>
        <w:t xml:space="preserve"> </w:t>
      </w:r>
      <w:r w:rsidRPr="00092ED7">
        <w:rPr>
          <w:rFonts w:cs="Times New Roman"/>
          <w:szCs w:val="24"/>
          <w:lang w:val="sr-Cyrl-CS"/>
        </w:rPr>
        <w:t xml:space="preserve">Национални конвент о Европској унији окупља преко 700 организација цивилног друштва и представља стално тело у оквиру којег се води тематски структурирана дебата о приступању Републике Србије Европској унији, тематски подељена по преговарачким поглављима и специјалним темама, између невладиних организација, стручњака, привреде, синдиката и професионалних удружења са једне стране и представника Владе, са друге стране и има веома важну улогу у овом процесу. Национални конвент је унутар својих структура оформио и механизам за мониторинг и евалуацију ЕРП, кроз посебну хоризонталну Радну групу за ЕРП и његове чланице активно учествују у овом процесу. </w:t>
      </w:r>
    </w:p>
    <w:p w14:paraId="64F18DEC" w14:textId="77777777" w:rsidR="0051711E" w:rsidRPr="00092ED7" w:rsidRDefault="0051711E" w:rsidP="00D030D6">
      <w:pPr>
        <w:spacing w:after="60"/>
        <w:rPr>
          <w:rFonts w:cs="Times New Roman"/>
          <w:szCs w:val="24"/>
          <w:lang w:val="sr-Cyrl-CS"/>
        </w:rPr>
      </w:pPr>
      <w:r w:rsidRPr="00092ED7">
        <w:rPr>
          <w:rFonts w:cs="Times New Roman"/>
          <w:szCs w:val="24"/>
          <w:lang w:val="sr-Cyrl-CS"/>
        </w:rPr>
        <w:t xml:space="preserve">Детаљан преглед коментара и сугестија свих заинтересованих страна у процесу израде ЕРП 2023-2025 дат је у Анексу 3 овог документа уз одговор надлежних институција. </w:t>
      </w:r>
      <w:r w:rsidRPr="00092ED7">
        <w:rPr>
          <w:rFonts w:eastAsia="Times New Roman" w:cs="Times New Roman"/>
          <w:szCs w:val="24"/>
          <w:lang w:val="sr-Cyrl-CS"/>
        </w:rPr>
        <w:t>Имајући у виду да је ЕРП преносни документ, те да је припрема континуирани процес, велики број примедаба заинтересованих страна из претходног циклуса узима се у обзир у актуелном циклусу израде ЕРП.</w:t>
      </w:r>
    </w:p>
    <w:p w14:paraId="21DE8E79" w14:textId="4350863E" w:rsidR="0051711E" w:rsidRPr="00092ED7" w:rsidRDefault="0051711E" w:rsidP="00D030D6">
      <w:pPr>
        <w:spacing w:after="60"/>
        <w:ind w:right="-46"/>
        <w:rPr>
          <w:rFonts w:cs="Times New Roman"/>
          <w:szCs w:val="24"/>
          <w:lang w:val="sr-Cyrl-CS"/>
        </w:rPr>
      </w:pPr>
      <w:r w:rsidRPr="00092ED7">
        <w:rPr>
          <w:rFonts w:cs="Times New Roman"/>
          <w:szCs w:val="24"/>
          <w:lang w:val="sr-Cyrl-CS"/>
        </w:rPr>
        <w:t>Након завршетка консултација са заинтересованим странама и комплетирања интерне процедуре, документ се усваја и доставља Европској комисији у предвиђеном року, односно до краја јануара 2023. године. ЕРП се затим даље разматра са представницима ЕУ институција и држава чланица у процесу Европски семестар лајт за Западни Балкан и</w:t>
      </w:r>
      <w:r w:rsidR="009056F8" w:rsidRPr="00092ED7">
        <w:rPr>
          <w:rFonts w:cs="Times New Roman"/>
          <w:szCs w:val="24"/>
          <w:lang w:val="sr-Cyrl-CS"/>
        </w:rPr>
        <w:t xml:space="preserve"> </w:t>
      </w:r>
      <w:r w:rsidR="00F51DA3" w:rsidRPr="00092ED7">
        <w:rPr>
          <w:rFonts w:cs="Times New Roman"/>
          <w:szCs w:val="24"/>
          <w:lang w:val="sr-Cyrl-CS"/>
        </w:rPr>
        <w:t xml:space="preserve">Републику </w:t>
      </w:r>
      <w:r w:rsidRPr="00092ED7">
        <w:rPr>
          <w:rFonts w:cs="Times New Roman"/>
          <w:szCs w:val="24"/>
          <w:lang w:val="sr-Cyrl-CS"/>
        </w:rPr>
        <w:t xml:space="preserve">Турску, а средином 2023. године се очекује започињање следећег (десетог) циклуса израде овог документа. </w:t>
      </w:r>
    </w:p>
    <w:p w14:paraId="720C7578" w14:textId="77777777" w:rsidR="00DB4DE7" w:rsidRPr="00092ED7" w:rsidRDefault="00DB4DE7" w:rsidP="00DB4DE7">
      <w:pPr>
        <w:keepNext/>
        <w:keepLines/>
        <w:spacing w:before="240" w:after="240"/>
        <w:outlineLvl w:val="0"/>
        <w:rPr>
          <w:rFonts w:eastAsia="Calibri" w:cs="Times New Roman"/>
          <w:b/>
          <w:sz w:val="28"/>
          <w:szCs w:val="28"/>
          <w:lang w:val="sr-Cyrl-CS"/>
        </w:rPr>
      </w:pPr>
      <w:bookmarkStart w:id="106" w:name="_Toc124174824"/>
      <w:bookmarkStart w:id="107" w:name="_Toc126218643"/>
      <w:r w:rsidRPr="00092ED7">
        <w:rPr>
          <w:rFonts w:eastAsia="Calibri" w:cs="Times New Roman"/>
          <w:b/>
          <w:sz w:val="28"/>
          <w:szCs w:val="28"/>
          <w:lang w:val="sr-Cyrl-CS"/>
        </w:rPr>
        <w:t xml:space="preserve">8. </w:t>
      </w:r>
      <w:bookmarkStart w:id="108" w:name="_Toc93385993"/>
      <w:r w:rsidRPr="00092ED7">
        <w:rPr>
          <w:rFonts w:eastAsia="Calibri" w:cs="Times New Roman"/>
          <w:b/>
          <w:sz w:val="28"/>
          <w:szCs w:val="28"/>
          <w:lang w:val="sr-Cyrl-CS"/>
        </w:rPr>
        <w:t>ПРИЛОЗИ</w:t>
      </w:r>
      <w:bookmarkEnd w:id="106"/>
      <w:bookmarkEnd w:id="107"/>
      <w:bookmarkEnd w:id="108"/>
    </w:p>
    <w:p w14:paraId="630381AA" w14:textId="77777777" w:rsidR="00DB4DE7" w:rsidRPr="00092ED7" w:rsidRDefault="00DB4DE7" w:rsidP="00D030D6">
      <w:pPr>
        <w:spacing w:after="60"/>
        <w:ind w:right="-45"/>
        <w:rPr>
          <w:rFonts w:eastAsia="Calibri" w:cs="Times New Roman"/>
          <w:b/>
          <w:sz w:val="28"/>
          <w:szCs w:val="28"/>
          <w:lang w:val="sr-Cyrl-CS"/>
        </w:rPr>
      </w:pPr>
      <w:r w:rsidRPr="00092ED7">
        <w:rPr>
          <w:rFonts w:eastAsia="Calibri" w:cs="Times New Roman"/>
          <w:lang w:val="sr-Cyrl-CS"/>
        </w:rPr>
        <w:t>Програм садржи Анексе 1 – 3, који чине његов саставни део. То су:</w:t>
      </w:r>
    </w:p>
    <w:p w14:paraId="18924761" w14:textId="77777777" w:rsidR="00DB4DE7" w:rsidRPr="00092ED7" w:rsidRDefault="00DB4DE7" w:rsidP="00D030D6">
      <w:pPr>
        <w:numPr>
          <w:ilvl w:val="0"/>
          <w:numId w:val="49"/>
        </w:numPr>
        <w:spacing w:after="60"/>
        <w:ind w:right="155"/>
        <w:contextualSpacing/>
        <w:jc w:val="left"/>
        <w:rPr>
          <w:rFonts w:eastAsia="MS PGothic" w:cs="Times New Roman"/>
          <w:szCs w:val="24"/>
          <w:lang w:val="sr-Cyrl-CS" w:eastAsia="ja-JP"/>
        </w:rPr>
      </w:pPr>
      <w:r w:rsidRPr="00092ED7">
        <w:rPr>
          <w:rFonts w:eastAsia="MS PGothic" w:cs="Times New Roman"/>
          <w:szCs w:val="24"/>
          <w:lang w:val="sr-Cyrl-CS" w:eastAsia="ja-JP"/>
        </w:rPr>
        <w:t>Анекс 1 – Табеле</w:t>
      </w:r>
      <w:r w:rsidR="003A60A5" w:rsidRPr="00092ED7">
        <w:rPr>
          <w:rFonts w:eastAsia="MS PGothic" w:cs="Times New Roman"/>
          <w:szCs w:val="24"/>
          <w:lang w:val="sr-Cyrl-CS" w:eastAsia="ja-JP"/>
        </w:rPr>
        <w:t xml:space="preserve"> 1-11</w:t>
      </w:r>
      <w:r w:rsidRPr="00092ED7">
        <w:rPr>
          <w:rFonts w:eastAsia="MS PGothic" w:cs="Times New Roman"/>
          <w:szCs w:val="24"/>
          <w:lang w:val="sr-Cyrl-CS" w:eastAsia="ja-JP"/>
        </w:rPr>
        <w:t>;</w:t>
      </w:r>
    </w:p>
    <w:p w14:paraId="3EC907F0" w14:textId="77777777" w:rsidR="00DB4DE7" w:rsidRPr="00092ED7" w:rsidRDefault="00DB4DE7" w:rsidP="00D030D6">
      <w:pPr>
        <w:numPr>
          <w:ilvl w:val="0"/>
          <w:numId w:val="49"/>
        </w:numPr>
        <w:spacing w:after="60"/>
        <w:ind w:right="155"/>
        <w:contextualSpacing/>
        <w:jc w:val="left"/>
        <w:rPr>
          <w:rFonts w:eastAsia="MS PGothic" w:cs="Times New Roman"/>
          <w:szCs w:val="24"/>
          <w:lang w:val="sr-Cyrl-CS" w:eastAsia="ja-JP"/>
        </w:rPr>
      </w:pPr>
      <w:r w:rsidRPr="00092ED7">
        <w:rPr>
          <w:rFonts w:eastAsia="MS PGothic" w:cs="Times New Roman"/>
          <w:szCs w:val="24"/>
          <w:lang w:val="sr-Cyrl-CS" w:eastAsia="ja-JP"/>
        </w:rPr>
        <w:t>Анекс 2 – Везе између реформских области и релевантних докумената јавних политика;</w:t>
      </w:r>
    </w:p>
    <w:p w14:paraId="414268C4" w14:textId="77777777" w:rsidR="00DB4DE7" w:rsidRPr="00092ED7" w:rsidRDefault="00DB4DE7" w:rsidP="00D030D6">
      <w:pPr>
        <w:numPr>
          <w:ilvl w:val="0"/>
          <w:numId w:val="49"/>
        </w:numPr>
        <w:spacing w:after="60"/>
        <w:ind w:left="1213" w:right="153" w:hanging="357"/>
        <w:jc w:val="left"/>
        <w:rPr>
          <w:rFonts w:eastAsia="MS PGothic" w:cs="Times New Roman"/>
          <w:szCs w:val="24"/>
          <w:lang w:val="sr-Cyrl-CS" w:eastAsia="ja-JP"/>
        </w:rPr>
      </w:pPr>
      <w:r w:rsidRPr="00092ED7">
        <w:rPr>
          <w:rFonts w:eastAsia="MS PGothic" w:cs="Times New Roman"/>
          <w:szCs w:val="24"/>
          <w:lang w:val="sr-Cyrl-CS" w:eastAsia="ja-JP"/>
        </w:rPr>
        <w:t>Анекс 3 – Екстерна контрибуција за ЕРП 2023-2025.</w:t>
      </w:r>
    </w:p>
    <w:p w14:paraId="0EF33561" w14:textId="4412CB75" w:rsidR="003A3205" w:rsidRPr="00092ED7" w:rsidRDefault="003A3205" w:rsidP="003A3205">
      <w:pPr>
        <w:spacing w:after="160" w:line="259" w:lineRule="auto"/>
        <w:jc w:val="left"/>
        <w:rPr>
          <w:rFonts w:eastAsia="Calibri" w:cs="Times New Roman"/>
          <w:b/>
          <w:sz w:val="28"/>
          <w:szCs w:val="28"/>
          <w:lang w:val="sr-Cyrl-CS"/>
        </w:rPr>
      </w:pPr>
      <w:bookmarkStart w:id="109" w:name="_Toc93385994"/>
      <w:bookmarkStart w:id="110" w:name="_Toc124174825"/>
    </w:p>
    <w:p w14:paraId="20142252" w14:textId="085CC52A" w:rsidR="001C0EF3" w:rsidRPr="00092ED7" w:rsidRDefault="001C0EF3" w:rsidP="003A3205">
      <w:pPr>
        <w:spacing w:after="160" w:line="259" w:lineRule="auto"/>
        <w:jc w:val="left"/>
        <w:rPr>
          <w:rFonts w:eastAsia="Calibri" w:cs="Times New Roman"/>
          <w:b/>
          <w:sz w:val="28"/>
          <w:szCs w:val="28"/>
          <w:lang w:val="sr-Cyrl-CS"/>
        </w:rPr>
      </w:pPr>
    </w:p>
    <w:p w14:paraId="6A048790" w14:textId="5C2CAF3C" w:rsidR="001C0EF3" w:rsidRPr="00092ED7" w:rsidRDefault="001C0EF3" w:rsidP="003A3205">
      <w:pPr>
        <w:spacing w:after="160" w:line="259" w:lineRule="auto"/>
        <w:jc w:val="left"/>
        <w:rPr>
          <w:rFonts w:eastAsia="Calibri" w:cs="Times New Roman"/>
          <w:b/>
          <w:sz w:val="28"/>
          <w:szCs w:val="28"/>
          <w:lang w:val="sr-Cyrl-CS"/>
        </w:rPr>
      </w:pPr>
    </w:p>
    <w:p w14:paraId="394B7128" w14:textId="1AA32EB0" w:rsidR="001C0EF3" w:rsidRPr="00092ED7" w:rsidRDefault="001C0EF3" w:rsidP="003A3205">
      <w:pPr>
        <w:spacing w:after="160" w:line="259" w:lineRule="auto"/>
        <w:jc w:val="left"/>
        <w:rPr>
          <w:rFonts w:eastAsia="Calibri" w:cs="Times New Roman"/>
          <w:b/>
          <w:sz w:val="28"/>
          <w:szCs w:val="28"/>
          <w:lang w:val="sr-Cyrl-CS"/>
        </w:rPr>
      </w:pPr>
    </w:p>
    <w:p w14:paraId="0142D482" w14:textId="5DEA39AC" w:rsidR="001C0EF3" w:rsidRPr="00092ED7" w:rsidRDefault="001C0EF3" w:rsidP="003A3205">
      <w:pPr>
        <w:spacing w:after="160" w:line="259" w:lineRule="auto"/>
        <w:jc w:val="left"/>
        <w:rPr>
          <w:rFonts w:eastAsia="Calibri" w:cs="Times New Roman"/>
          <w:b/>
          <w:sz w:val="28"/>
          <w:szCs w:val="28"/>
          <w:lang w:val="sr-Cyrl-CS"/>
        </w:rPr>
      </w:pPr>
    </w:p>
    <w:p w14:paraId="7DB370F8" w14:textId="77777777" w:rsidR="001C0EF3" w:rsidRPr="00092ED7" w:rsidRDefault="001C0EF3" w:rsidP="003A3205">
      <w:pPr>
        <w:spacing w:after="160" w:line="259" w:lineRule="auto"/>
        <w:jc w:val="left"/>
        <w:rPr>
          <w:rFonts w:eastAsia="Calibri" w:cs="Times New Roman"/>
          <w:b/>
          <w:sz w:val="28"/>
          <w:szCs w:val="28"/>
          <w:lang w:val="sr-Cyrl-CS"/>
        </w:rPr>
      </w:pPr>
    </w:p>
    <w:p w14:paraId="17DB4AC9" w14:textId="337447CC" w:rsidR="00DB4DE7" w:rsidRPr="00092ED7" w:rsidRDefault="00DB4DE7" w:rsidP="003A3205">
      <w:pPr>
        <w:spacing w:after="160" w:line="259" w:lineRule="auto"/>
        <w:jc w:val="left"/>
        <w:rPr>
          <w:rFonts w:eastAsia="Calibri" w:cs="Times New Roman"/>
          <w:b/>
          <w:sz w:val="28"/>
          <w:szCs w:val="28"/>
          <w:lang w:val="sr-Cyrl-CS"/>
        </w:rPr>
      </w:pPr>
      <w:r w:rsidRPr="00092ED7">
        <w:rPr>
          <w:rFonts w:eastAsia="Calibri" w:cs="Times New Roman"/>
          <w:b/>
          <w:sz w:val="28"/>
          <w:szCs w:val="28"/>
          <w:lang w:val="sr-Cyrl-CS"/>
        </w:rPr>
        <w:t>9. ЗАВРШНЕ ОДРЕДБЕ</w:t>
      </w:r>
      <w:bookmarkEnd w:id="109"/>
      <w:bookmarkEnd w:id="110"/>
    </w:p>
    <w:p w14:paraId="52D0C235" w14:textId="77777777" w:rsidR="00DB4DE7" w:rsidRPr="00092ED7" w:rsidRDefault="00DB4DE7" w:rsidP="00D030D6">
      <w:pPr>
        <w:spacing w:after="60"/>
        <w:ind w:right="153"/>
        <w:rPr>
          <w:rFonts w:eastAsia="Calibri" w:cs="Times New Roman"/>
          <w:lang w:val="sr-Cyrl-CS"/>
        </w:rPr>
      </w:pPr>
      <w:r w:rsidRPr="00092ED7">
        <w:rPr>
          <w:rFonts w:eastAsia="Calibri" w:cs="Times New Roman"/>
          <w:lang w:val="sr-Cyrl-CS"/>
        </w:rPr>
        <w:t xml:space="preserve">Овај програм објавити на интернет страници Владе, порталу е-Управa и интернет страници Министарства финансија, у року од седам радних дана од дана усвајања. </w:t>
      </w:r>
    </w:p>
    <w:p w14:paraId="6B0AB994" w14:textId="3AAAF752" w:rsidR="00DB4DE7" w:rsidRPr="00092ED7" w:rsidRDefault="00DB4DE7" w:rsidP="00DB4DE7">
      <w:pPr>
        <w:ind w:right="155"/>
        <w:rPr>
          <w:rFonts w:eastAsia="Calibri" w:cs="Times New Roman"/>
          <w:lang w:val="sr-Cyrl-CS"/>
        </w:rPr>
      </w:pPr>
    </w:p>
    <w:p w14:paraId="157E4F31" w14:textId="6D59DDEA" w:rsidR="00DB4DE7" w:rsidRPr="00B753EF" w:rsidRDefault="00DB4DE7" w:rsidP="00DB4DE7">
      <w:pPr>
        <w:ind w:right="155"/>
        <w:rPr>
          <w:rFonts w:eastAsia="Calibri" w:cs="Times New Roman"/>
          <w:lang w:val="sr-Latn-RS"/>
        </w:rPr>
      </w:pPr>
      <w:r w:rsidRPr="00092ED7">
        <w:rPr>
          <w:rFonts w:eastAsia="Calibri" w:cs="Times New Roman"/>
          <w:lang w:val="sr-Cyrl-CS"/>
        </w:rPr>
        <w:t>05 Број</w:t>
      </w:r>
      <w:r w:rsidR="00B753EF">
        <w:rPr>
          <w:rFonts w:eastAsia="Calibri" w:cs="Times New Roman"/>
          <w:lang w:val="sr-Latn-RS"/>
        </w:rPr>
        <w:t>: 4-548/2023</w:t>
      </w:r>
    </w:p>
    <w:p w14:paraId="29B0B7FC" w14:textId="10755178" w:rsidR="00DB4DE7" w:rsidRPr="00B753EF" w:rsidRDefault="00DB4DE7" w:rsidP="00DB4DE7">
      <w:pPr>
        <w:ind w:right="155"/>
        <w:rPr>
          <w:rFonts w:eastAsia="Calibri" w:cs="Times New Roman"/>
          <w:lang w:val="sr-Cyrl-RS"/>
        </w:rPr>
      </w:pPr>
      <w:r w:rsidRPr="00092ED7">
        <w:rPr>
          <w:rFonts w:eastAsia="Calibri" w:cs="Times New Roman"/>
          <w:lang w:val="sr-Cyrl-CS"/>
        </w:rPr>
        <w:t>У Београду,</w:t>
      </w:r>
      <w:r w:rsidR="00B753EF">
        <w:rPr>
          <w:rFonts w:eastAsia="Calibri" w:cs="Times New Roman"/>
          <w:lang w:val="sr-Latn-RS"/>
        </w:rPr>
        <w:t xml:space="preserve"> 26. </w:t>
      </w:r>
      <w:r w:rsidR="00B753EF">
        <w:rPr>
          <w:rFonts w:eastAsia="Calibri" w:cs="Times New Roman"/>
          <w:lang w:val="sr-Cyrl-RS"/>
        </w:rPr>
        <w:t>јануара 2023. године</w:t>
      </w:r>
    </w:p>
    <w:p w14:paraId="38F29ECE" w14:textId="10035670" w:rsidR="00DB4DE7" w:rsidRPr="00092ED7" w:rsidRDefault="00DB4DE7" w:rsidP="00DB4DE7">
      <w:pPr>
        <w:ind w:right="155"/>
        <w:rPr>
          <w:rFonts w:eastAsia="Calibri" w:cs="Times New Roman"/>
          <w:lang w:val="sr-Cyrl-CS"/>
        </w:rPr>
      </w:pPr>
    </w:p>
    <w:p w14:paraId="4EC31A07" w14:textId="77777777" w:rsidR="00DB4DE7" w:rsidRPr="00092ED7" w:rsidRDefault="00DB4DE7" w:rsidP="00DB4DE7">
      <w:pPr>
        <w:ind w:right="155"/>
        <w:rPr>
          <w:rFonts w:eastAsia="Calibri" w:cs="Times New Roman"/>
          <w:lang w:val="sr-Cyrl-CS"/>
        </w:rPr>
      </w:pPr>
    </w:p>
    <w:p w14:paraId="2DCA6C8A" w14:textId="77777777" w:rsidR="00DB4DE7" w:rsidRPr="00092ED7" w:rsidRDefault="00DB4DE7" w:rsidP="00DB4DE7">
      <w:pPr>
        <w:ind w:right="155"/>
        <w:rPr>
          <w:rFonts w:eastAsia="Calibri" w:cs="Times New Roman"/>
          <w:lang w:val="sr-Cyrl-CS"/>
        </w:rPr>
      </w:pPr>
    </w:p>
    <w:p w14:paraId="49B2B67C" w14:textId="77777777" w:rsidR="00DB4DE7" w:rsidRPr="00092ED7" w:rsidRDefault="00DB4DE7" w:rsidP="00DB4DE7">
      <w:pPr>
        <w:ind w:left="134" w:right="155"/>
        <w:jc w:val="center"/>
        <w:rPr>
          <w:rFonts w:eastAsia="Calibri" w:cs="Times New Roman"/>
          <w:lang w:val="sr-Cyrl-CS"/>
        </w:rPr>
      </w:pPr>
      <w:r w:rsidRPr="00092ED7">
        <w:rPr>
          <w:rFonts w:eastAsia="Calibri" w:cs="Times New Roman"/>
          <w:lang w:val="sr-Cyrl-CS"/>
        </w:rPr>
        <w:t>ВЛАДА</w:t>
      </w:r>
    </w:p>
    <w:p w14:paraId="287895B8" w14:textId="77777777" w:rsidR="00B753EF" w:rsidRPr="00A40D52" w:rsidRDefault="00B753EF" w:rsidP="00B753EF">
      <w:pPr>
        <w:pStyle w:val="1tekst"/>
        <w:spacing w:before="0" w:after="0"/>
        <w:ind w:hanging="26"/>
        <w:jc w:val="center"/>
        <w:rPr>
          <w:spacing w:val="40"/>
          <w:szCs w:val="24"/>
          <w:lang w:val="sr-Cyrl-CS"/>
        </w:rPr>
      </w:pPr>
    </w:p>
    <w:tbl>
      <w:tblPr>
        <w:tblW w:w="0" w:type="auto"/>
        <w:tblLayout w:type="fixed"/>
        <w:tblLook w:val="0000" w:firstRow="0" w:lastRow="0" w:firstColumn="0" w:lastColumn="0" w:noHBand="0" w:noVBand="0"/>
      </w:tblPr>
      <w:tblGrid>
        <w:gridCol w:w="4360"/>
        <w:gridCol w:w="4360"/>
      </w:tblGrid>
      <w:tr w:rsidR="00B753EF" w:rsidRPr="00A40D52" w14:paraId="4512FC1A" w14:textId="77777777" w:rsidTr="008F5C3A">
        <w:tc>
          <w:tcPr>
            <w:tcW w:w="4360" w:type="dxa"/>
          </w:tcPr>
          <w:p w14:paraId="35147F5F" w14:textId="77777777" w:rsidR="00B753EF" w:rsidRPr="00A40D52" w:rsidRDefault="00B753EF" w:rsidP="008F5C3A">
            <w:pPr>
              <w:jc w:val="center"/>
              <w:rPr>
                <w:lang w:val="sr-Cyrl-RS"/>
              </w:rPr>
            </w:pPr>
            <w:r w:rsidRPr="00A40D52">
              <w:rPr>
                <w:lang w:val="sr-Cyrl-RS"/>
              </w:rPr>
              <w:t>Тачност преписа оверава</w:t>
            </w:r>
          </w:p>
          <w:p w14:paraId="6E673CF2" w14:textId="77777777" w:rsidR="00B753EF" w:rsidRPr="00A40D52" w:rsidRDefault="00B753EF" w:rsidP="008F5C3A">
            <w:pPr>
              <w:jc w:val="center"/>
              <w:rPr>
                <w:lang w:val="sr-Cyrl-RS"/>
              </w:rPr>
            </w:pPr>
            <w:r w:rsidRPr="00A40D52">
              <w:rPr>
                <w:lang w:val="sr-Cyrl-RS"/>
              </w:rPr>
              <w:t xml:space="preserve">ГЕНЕРАЛНИ СЕКРЕТАР </w:t>
            </w:r>
          </w:p>
          <w:p w14:paraId="0999FD2A" w14:textId="77777777" w:rsidR="00B753EF" w:rsidRPr="00A40D52" w:rsidRDefault="00B753EF" w:rsidP="008F5C3A">
            <w:pPr>
              <w:jc w:val="center"/>
              <w:rPr>
                <w:lang w:val="sr-Cyrl-RS"/>
              </w:rPr>
            </w:pPr>
          </w:p>
          <w:p w14:paraId="7391E170" w14:textId="77777777" w:rsidR="00B753EF" w:rsidRPr="00A40D52" w:rsidRDefault="00B753EF" w:rsidP="008F5C3A">
            <w:pPr>
              <w:jc w:val="center"/>
              <w:rPr>
                <w:lang w:val="sr-Cyrl-RS"/>
              </w:rPr>
            </w:pPr>
          </w:p>
          <w:p w14:paraId="3E8273D5" w14:textId="77777777" w:rsidR="00B753EF" w:rsidRPr="00A40D52" w:rsidRDefault="00B753EF" w:rsidP="008F5C3A">
            <w:pPr>
              <w:jc w:val="center"/>
              <w:rPr>
                <w:lang w:val="ru-RU"/>
              </w:rPr>
            </w:pPr>
            <w:r w:rsidRPr="00A40D52">
              <w:rPr>
                <w:lang w:val="sr-Cyrl-RS"/>
              </w:rPr>
              <w:t>Новак Недић</w:t>
            </w:r>
          </w:p>
        </w:tc>
        <w:tc>
          <w:tcPr>
            <w:tcW w:w="4360" w:type="dxa"/>
          </w:tcPr>
          <w:p w14:paraId="2DA28CD2" w14:textId="77777777" w:rsidR="00B753EF" w:rsidRPr="00A40D52" w:rsidRDefault="00B753EF" w:rsidP="008F5C3A">
            <w:pPr>
              <w:jc w:val="center"/>
              <w:rPr>
                <w:lang w:val="ru-RU"/>
              </w:rPr>
            </w:pPr>
          </w:p>
          <w:p w14:paraId="500110FB" w14:textId="77777777" w:rsidR="00B753EF" w:rsidRPr="00A40D52" w:rsidRDefault="00B753EF" w:rsidP="008F5C3A">
            <w:pPr>
              <w:jc w:val="center"/>
              <w:rPr>
                <w:lang w:val="ru-RU"/>
              </w:rPr>
            </w:pPr>
            <w:r w:rsidRPr="00A40D52">
              <w:rPr>
                <w:lang w:val="ru-RU"/>
              </w:rPr>
              <w:t>ПРЕДСЕДНИК</w:t>
            </w:r>
          </w:p>
          <w:p w14:paraId="53F54BF8" w14:textId="77777777" w:rsidR="00B753EF" w:rsidRPr="00A40D52" w:rsidRDefault="00B753EF" w:rsidP="008F5C3A">
            <w:pPr>
              <w:rPr>
                <w:lang w:val="sr-Cyrl-CS"/>
              </w:rPr>
            </w:pPr>
          </w:p>
          <w:p w14:paraId="04703A52" w14:textId="77777777" w:rsidR="00B753EF" w:rsidRPr="00A40D52" w:rsidRDefault="00B753EF" w:rsidP="008F5C3A">
            <w:pPr>
              <w:rPr>
                <w:lang w:val="sr-Cyrl-CS"/>
              </w:rPr>
            </w:pPr>
          </w:p>
          <w:p w14:paraId="607A0B5E" w14:textId="77777777" w:rsidR="00B753EF" w:rsidRPr="00A40D52" w:rsidRDefault="00B753EF" w:rsidP="008F5C3A">
            <w:pPr>
              <w:pStyle w:val="Footer"/>
              <w:jc w:val="center"/>
              <w:rPr>
                <w:lang w:val="ru-RU"/>
              </w:rPr>
            </w:pPr>
            <w:r w:rsidRPr="00A40D52">
              <w:rPr>
                <w:lang w:val="ru-RU"/>
              </w:rPr>
              <w:t>Ана Брнабић, с.р.</w:t>
            </w:r>
          </w:p>
        </w:tc>
      </w:tr>
    </w:tbl>
    <w:p w14:paraId="045E3AF4" w14:textId="77777777" w:rsidR="00B753EF" w:rsidRPr="00A40D52" w:rsidRDefault="00B753EF" w:rsidP="00B753EF">
      <w:pPr>
        <w:rPr>
          <w:lang w:val="sr-Latn-CS"/>
        </w:rPr>
      </w:pPr>
    </w:p>
    <w:p w14:paraId="2E085D63" w14:textId="77777777" w:rsidR="00B753EF" w:rsidRPr="00A40D52" w:rsidRDefault="00B753EF" w:rsidP="00B753EF"/>
    <w:p w14:paraId="4F485FC2" w14:textId="77777777" w:rsidR="00906F21" w:rsidRPr="00092ED7" w:rsidRDefault="00906F21">
      <w:pPr>
        <w:spacing w:after="160" w:line="259" w:lineRule="auto"/>
        <w:jc w:val="left"/>
        <w:rPr>
          <w:rFonts w:eastAsia="Calibri" w:cs="Times New Roman"/>
          <w:lang w:val="sr-Cyrl-CS"/>
        </w:rPr>
      </w:pPr>
    </w:p>
    <w:p w14:paraId="268E81AD" w14:textId="77777777" w:rsidR="00906F21" w:rsidRPr="00092ED7" w:rsidRDefault="00906F21">
      <w:pPr>
        <w:spacing w:after="160" w:line="259" w:lineRule="auto"/>
        <w:jc w:val="left"/>
        <w:rPr>
          <w:rFonts w:eastAsia="Calibri" w:cs="Times New Roman"/>
          <w:lang w:val="sr-Cyrl-CS"/>
        </w:rPr>
        <w:sectPr w:rsidR="00906F21" w:rsidRPr="00092ED7" w:rsidSect="006C2ADE">
          <w:footerReference w:type="default" r:id="rId45"/>
          <w:footerReference w:type="first" r:id="rId46"/>
          <w:type w:val="continuous"/>
          <w:pgSz w:w="11906" w:h="16838" w:code="9"/>
          <w:pgMar w:top="1440" w:right="1440" w:bottom="1440" w:left="1440" w:header="720" w:footer="720" w:gutter="0"/>
          <w:pgNumType w:start="1"/>
          <w:cols w:space="720"/>
          <w:titlePg/>
          <w:docGrid w:linePitch="360"/>
        </w:sectPr>
      </w:pPr>
    </w:p>
    <w:p w14:paraId="4411886A" w14:textId="77777777" w:rsidR="008D7C20" w:rsidRPr="00092ED7" w:rsidRDefault="008D7C20" w:rsidP="008D7C20">
      <w:pPr>
        <w:keepNext/>
        <w:keepLines/>
        <w:spacing w:after="240"/>
        <w:outlineLvl w:val="0"/>
        <w:rPr>
          <w:rFonts w:eastAsia="Times New Roman"/>
          <w:b/>
          <w:w w:val="110"/>
          <w:szCs w:val="24"/>
          <w:lang w:val="sr-Cyrl-CS"/>
        </w:rPr>
      </w:pPr>
      <w:bookmarkStart w:id="111" w:name="_Toc124174826"/>
      <w:bookmarkStart w:id="112" w:name="_Toc126218644"/>
      <w:r w:rsidRPr="00092ED7">
        <w:rPr>
          <w:rFonts w:eastAsia="Times New Roman"/>
          <w:b/>
          <w:w w:val="110"/>
          <w:szCs w:val="24"/>
          <w:lang w:val="sr-Cyrl-CS"/>
        </w:rPr>
        <w:t>А</w:t>
      </w:r>
      <w:r w:rsidR="00CB5E8A" w:rsidRPr="00092ED7">
        <w:rPr>
          <w:rFonts w:eastAsia="Times New Roman"/>
          <w:b/>
          <w:w w:val="110"/>
          <w:szCs w:val="24"/>
          <w:lang w:val="sr-Cyrl-CS"/>
        </w:rPr>
        <w:t>некс</w:t>
      </w:r>
      <w:r w:rsidRPr="00092ED7">
        <w:rPr>
          <w:rFonts w:eastAsia="Times New Roman"/>
          <w:b/>
          <w:w w:val="110"/>
          <w:szCs w:val="24"/>
          <w:lang w:val="sr-Cyrl-CS"/>
        </w:rPr>
        <w:t xml:space="preserve"> 1 – Т</w:t>
      </w:r>
      <w:r w:rsidR="00CB5E8A" w:rsidRPr="00092ED7">
        <w:rPr>
          <w:rFonts w:eastAsia="Times New Roman"/>
          <w:b/>
          <w:w w:val="110"/>
          <w:szCs w:val="24"/>
          <w:lang w:val="sr-Cyrl-CS"/>
        </w:rPr>
        <w:t>абеле</w:t>
      </w:r>
      <w:r w:rsidR="00812992" w:rsidRPr="00092ED7">
        <w:rPr>
          <w:rFonts w:eastAsia="Times New Roman"/>
          <w:b/>
          <w:w w:val="110"/>
          <w:szCs w:val="24"/>
          <w:lang w:val="sr-Cyrl-CS"/>
        </w:rPr>
        <w:t xml:space="preserve"> 1-11</w:t>
      </w:r>
      <w:bookmarkEnd w:id="111"/>
      <w:bookmarkEnd w:id="112"/>
    </w:p>
    <w:p w14:paraId="6FAB17AE" w14:textId="77777777" w:rsidR="00906F21" w:rsidRPr="00092ED7" w:rsidRDefault="00906F21" w:rsidP="00D030D6">
      <w:pPr>
        <w:spacing w:after="60"/>
        <w:rPr>
          <w:rFonts w:cs="Times New Roman"/>
          <w:b/>
          <w:bCs/>
          <w:szCs w:val="24"/>
          <w:lang w:val="sr-Cyrl-CS"/>
        </w:rPr>
      </w:pPr>
    </w:p>
    <w:tbl>
      <w:tblPr>
        <w:tblW w:w="8199" w:type="dxa"/>
        <w:tblLook w:val="04A0" w:firstRow="1" w:lastRow="0" w:firstColumn="1" w:lastColumn="0" w:noHBand="0" w:noVBand="1"/>
      </w:tblPr>
      <w:tblGrid>
        <w:gridCol w:w="6000"/>
        <w:gridCol w:w="2199"/>
      </w:tblGrid>
      <w:tr w:rsidR="00247CBF" w:rsidRPr="00092ED7" w14:paraId="2CE766F1" w14:textId="77777777" w:rsidTr="00247CBF">
        <w:trPr>
          <w:trHeight w:val="293"/>
        </w:trPr>
        <w:tc>
          <w:tcPr>
            <w:tcW w:w="6000" w:type="dxa"/>
            <w:tcBorders>
              <w:top w:val="double" w:sz="6" w:space="0" w:color="auto"/>
              <w:left w:val="double" w:sz="6" w:space="0" w:color="auto"/>
              <w:bottom w:val="dotted" w:sz="4" w:space="0" w:color="auto"/>
              <w:right w:val="dotted" w:sz="4" w:space="0" w:color="auto"/>
            </w:tcBorders>
            <w:shd w:val="clear" w:color="auto" w:fill="auto"/>
            <w:noWrap/>
            <w:vAlign w:val="bottom"/>
            <w:hideMark/>
          </w:tcPr>
          <w:p w14:paraId="11B871D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Земља:</w:t>
            </w:r>
          </w:p>
        </w:tc>
        <w:tc>
          <w:tcPr>
            <w:tcW w:w="2199" w:type="dxa"/>
            <w:tcBorders>
              <w:top w:val="double" w:sz="6" w:space="0" w:color="auto"/>
              <w:left w:val="nil"/>
              <w:bottom w:val="dotted" w:sz="4" w:space="0" w:color="auto"/>
              <w:right w:val="double" w:sz="6" w:space="0" w:color="auto"/>
            </w:tcBorders>
            <w:shd w:val="clear" w:color="auto" w:fill="auto"/>
            <w:vAlign w:val="bottom"/>
            <w:hideMark/>
          </w:tcPr>
          <w:p w14:paraId="6BF4E44E"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353CE234" w14:textId="77777777" w:rsidTr="00247CBF">
        <w:trPr>
          <w:trHeight w:val="255"/>
        </w:trPr>
        <w:tc>
          <w:tcPr>
            <w:tcW w:w="6000" w:type="dxa"/>
            <w:tcBorders>
              <w:top w:val="nil"/>
              <w:left w:val="double" w:sz="6" w:space="0" w:color="auto"/>
              <w:bottom w:val="dotted" w:sz="4" w:space="0" w:color="auto"/>
              <w:right w:val="dotted" w:sz="4" w:space="0" w:color="auto"/>
            </w:tcBorders>
            <w:shd w:val="clear" w:color="auto" w:fill="auto"/>
            <w:noWrap/>
            <w:vAlign w:val="bottom"/>
            <w:hideMark/>
          </w:tcPr>
          <w:p w14:paraId="446506E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Година подношења (рок)</w:t>
            </w:r>
          </w:p>
        </w:tc>
        <w:tc>
          <w:tcPr>
            <w:tcW w:w="2199" w:type="dxa"/>
            <w:tcBorders>
              <w:top w:val="nil"/>
              <w:left w:val="nil"/>
              <w:bottom w:val="dotted" w:sz="4" w:space="0" w:color="auto"/>
              <w:right w:val="double" w:sz="6" w:space="0" w:color="auto"/>
            </w:tcBorders>
            <w:shd w:val="clear" w:color="auto" w:fill="auto"/>
            <w:noWrap/>
            <w:vAlign w:val="bottom"/>
            <w:hideMark/>
          </w:tcPr>
          <w:p w14:paraId="72C61C69" w14:textId="77777777" w:rsidR="00247CBF" w:rsidRPr="00092ED7" w:rsidRDefault="00247CBF" w:rsidP="00247CBF">
            <w:pPr>
              <w:spacing w:after="0"/>
              <w:jc w:val="center"/>
              <w:rPr>
                <w:sz w:val="20"/>
                <w:szCs w:val="20"/>
                <w:lang w:val="sr-Cyrl-CS"/>
              </w:rPr>
            </w:pPr>
            <w:r w:rsidRPr="00092ED7">
              <w:rPr>
                <w:sz w:val="20"/>
                <w:szCs w:val="20"/>
                <w:lang w:val="sr-Cyrl-CS"/>
              </w:rPr>
              <w:t>2023</w:t>
            </w:r>
          </w:p>
        </w:tc>
      </w:tr>
      <w:tr w:rsidR="00247CBF" w:rsidRPr="00092ED7" w14:paraId="0313069B" w14:textId="77777777" w:rsidTr="00247CBF">
        <w:trPr>
          <w:trHeight w:val="255"/>
        </w:trPr>
        <w:tc>
          <w:tcPr>
            <w:tcW w:w="6000" w:type="dxa"/>
            <w:tcBorders>
              <w:top w:val="nil"/>
              <w:left w:val="double" w:sz="6" w:space="0" w:color="auto"/>
              <w:bottom w:val="dotted" w:sz="4" w:space="0" w:color="auto"/>
              <w:right w:val="dotted" w:sz="4" w:space="0" w:color="auto"/>
            </w:tcBorders>
            <w:shd w:val="clear" w:color="auto" w:fill="auto"/>
            <w:noWrap/>
            <w:vAlign w:val="bottom"/>
            <w:hideMark/>
          </w:tcPr>
          <w:p w14:paraId="7BBEBAA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Цене претходне године (не = 0, да = 1)</w:t>
            </w:r>
          </w:p>
        </w:tc>
        <w:tc>
          <w:tcPr>
            <w:tcW w:w="2199" w:type="dxa"/>
            <w:tcBorders>
              <w:top w:val="nil"/>
              <w:left w:val="nil"/>
              <w:bottom w:val="dotted" w:sz="4" w:space="0" w:color="auto"/>
              <w:right w:val="double" w:sz="6" w:space="0" w:color="auto"/>
            </w:tcBorders>
            <w:shd w:val="clear" w:color="auto" w:fill="auto"/>
            <w:noWrap/>
            <w:vAlign w:val="bottom"/>
            <w:hideMark/>
          </w:tcPr>
          <w:p w14:paraId="5F0CA496" w14:textId="77777777" w:rsidR="00247CBF" w:rsidRPr="00092ED7" w:rsidRDefault="00247CBF" w:rsidP="00247CBF">
            <w:pPr>
              <w:spacing w:after="0"/>
              <w:jc w:val="center"/>
              <w:rPr>
                <w:sz w:val="20"/>
                <w:szCs w:val="20"/>
                <w:lang w:val="sr-Cyrl-CS"/>
              </w:rPr>
            </w:pPr>
            <w:r w:rsidRPr="00092ED7">
              <w:rPr>
                <w:sz w:val="20"/>
                <w:szCs w:val="20"/>
                <w:lang w:val="sr-Cyrl-CS"/>
              </w:rPr>
              <w:t>0</w:t>
            </w:r>
          </w:p>
        </w:tc>
      </w:tr>
      <w:tr w:rsidR="00247CBF" w:rsidRPr="00092ED7" w14:paraId="598BD62C" w14:textId="77777777" w:rsidTr="00247CBF">
        <w:trPr>
          <w:trHeight w:val="270"/>
        </w:trPr>
        <w:tc>
          <w:tcPr>
            <w:tcW w:w="6000" w:type="dxa"/>
            <w:tcBorders>
              <w:top w:val="nil"/>
              <w:left w:val="double" w:sz="6" w:space="0" w:color="auto"/>
              <w:bottom w:val="double" w:sz="6" w:space="0" w:color="auto"/>
              <w:right w:val="dotted" w:sz="4" w:space="0" w:color="auto"/>
            </w:tcBorders>
            <w:shd w:val="clear" w:color="auto" w:fill="auto"/>
            <w:vAlign w:val="bottom"/>
            <w:hideMark/>
          </w:tcPr>
          <w:p w14:paraId="0BF1224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Платни биланс-Подаци: Национална валута = 0, ЕУР = 1</w:t>
            </w:r>
          </w:p>
        </w:tc>
        <w:tc>
          <w:tcPr>
            <w:tcW w:w="2199" w:type="dxa"/>
            <w:tcBorders>
              <w:top w:val="nil"/>
              <w:left w:val="nil"/>
              <w:bottom w:val="double" w:sz="6" w:space="0" w:color="auto"/>
              <w:right w:val="double" w:sz="6" w:space="0" w:color="auto"/>
            </w:tcBorders>
            <w:shd w:val="clear" w:color="auto" w:fill="auto"/>
            <w:noWrap/>
            <w:vAlign w:val="bottom"/>
            <w:hideMark/>
          </w:tcPr>
          <w:p w14:paraId="3CBDD471" w14:textId="77777777" w:rsidR="00247CBF" w:rsidRPr="00092ED7" w:rsidRDefault="00247CBF" w:rsidP="00247CBF">
            <w:pPr>
              <w:spacing w:after="0"/>
              <w:jc w:val="center"/>
              <w:rPr>
                <w:sz w:val="20"/>
                <w:szCs w:val="20"/>
                <w:lang w:val="sr-Cyrl-CS"/>
              </w:rPr>
            </w:pPr>
            <w:r w:rsidRPr="00092ED7">
              <w:rPr>
                <w:sz w:val="20"/>
                <w:szCs w:val="20"/>
                <w:lang w:val="sr-Cyrl-CS"/>
              </w:rPr>
              <w:t>1</w:t>
            </w:r>
          </w:p>
        </w:tc>
      </w:tr>
    </w:tbl>
    <w:p w14:paraId="64A42C73" w14:textId="77777777" w:rsidR="00247CBF" w:rsidRPr="00092ED7" w:rsidRDefault="00247CBF" w:rsidP="00247CBF">
      <w:pPr>
        <w:rPr>
          <w:lang w:val="sr-Cyrl-CS"/>
        </w:rPr>
      </w:pPr>
    </w:p>
    <w:p w14:paraId="094A2926" w14:textId="77777777" w:rsidR="00247CBF" w:rsidRPr="00092ED7" w:rsidRDefault="00247CBF" w:rsidP="00247CBF">
      <w:pPr>
        <w:pStyle w:val="Heading3"/>
        <w:rPr>
          <w:rFonts w:ascii="Times New Roman" w:hAnsi="Times New Roman" w:cs="Times New Roman"/>
          <w:b/>
          <w:color w:val="auto"/>
          <w:sz w:val="20"/>
          <w:szCs w:val="20"/>
          <w:lang w:val="sr-Cyrl-CS"/>
        </w:rPr>
      </w:pPr>
      <w:bookmarkStart w:id="113" w:name="_Toc30499328"/>
      <w:bookmarkStart w:id="114" w:name="_Toc30754784"/>
      <w:bookmarkStart w:id="115" w:name="_Toc61953860"/>
      <w:bookmarkStart w:id="116" w:name="_Toc93385996"/>
      <w:bookmarkStart w:id="117" w:name="_Toc124174827"/>
      <w:bookmarkStart w:id="118" w:name="_Toc126218645"/>
      <w:r w:rsidRPr="00092ED7">
        <w:rPr>
          <w:rFonts w:ascii="Times New Roman" w:hAnsi="Times New Roman" w:cs="Times New Roman"/>
          <w:b/>
          <w:color w:val="auto"/>
          <w:sz w:val="20"/>
          <w:szCs w:val="20"/>
          <w:lang w:val="sr-Cyrl-CS"/>
        </w:rPr>
        <w:t>Табела 1: Макроекономски оквир</w:t>
      </w:r>
      <w:bookmarkEnd w:id="113"/>
      <w:bookmarkEnd w:id="114"/>
      <w:bookmarkEnd w:id="115"/>
      <w:bookmarkEnd w:id="116"/>
      <w:bookmarkEnd w:id="117"/>
      <w:bookmarkEnd w:id="118"/>
    </w:p>
    <w:tbl>
      <w:tblPr>
        <w:tblW w:w="14602" w:type="dxa"/>
        <w:tblInd w:w="-23" w:type="dxa"/>
        <w:tblLook w:val="04A0" w:firstRow="1" w:lastRow="0" w:firstColumn="1" w:lastColumn="0" w:noHBand="0" w:noVBand="1"/>
      </w:tblPr>
      <w:tblGrid>
        <w:gridCol w:w="23"/>
        <w:gridCol w:w="4372"/>
        <w:gridCol w:w="567"/>
        <w:gridCol w:w="680"/>
        <w:gridCol w:w="38"/>
        <w:gridCol w:w="729"/>
        <w:gridCol w:w="679"/>
        <w:gridCol w:w="82"/>
        <w:gridCol w:w="619"/>
        <w:gridCol w:w="8"/>
        <w:gridCol w:w="664"/>
        <w:gridCol w:w="128"/>
        <w:gridCol w:w="500"/>
        <w:gridCol w:w="24"/>
        <w:gridCol w:w="638"/>
        <w:gridCol w:w="342"/>
        <w:gridCol w:w="356"/>
        <w:gridCol w:w="40"/>
        <w:gridCol w:w="553"/>
        <w:gridCol w:w="552"/>
        <w:gridCol w:w="115"/>
        <w:gridCol w:w="56"/>
        <w:gridCol w:w="568"/>
        <w:gridCol w:w="636"/>
        <w:gridCol w:w="72"/>
        <w:gridCol w:w="57"/>
        <w:gridCol w:w="1139"/>
        <w:gridCol w:w="72"/>
        <w:gridCol w:w="261"/>
        <w:gridCol w:w="32"/>
      </w:tblGrid>
      <w:tr w:rsidR="00247CBF" w:rsidRPr="00092ED7" w14:paraId="52029C76" w14:textId="77777777" w:rsidTr="00247CBF">
        <w:trPr>
          <w:gridAfter w:val="3"/>
          <w:wAfter w:w="365" w:type="dxa"/>
          <w:trHeight w:val="285"/>
        </w:trPr>
        <w:tc>
          <w:tcPr>
            <w:tcW w:w="4962" w:type="dxa"/>
            <w:gridSpan w:val="3"/>
            <w:tcBorders>
              <w:top w:val="double" w:sz="6" w:space="0" w:color="auto"/>
              <w:left w:val="double" w:sz="6" w:space="0" w:color="auto"/>
              <w:bottom w:val="double" w:sz="6" w:space="0" w:color="auto"/>
              <w:right w:val="nil"/>
            </w:tcBorders>
            <w:shd w:val="clear" w:color="auto" w:fill="auto"/>
            <w:noWrap/>
            <w:vAlign w:val="bottom"/>
            <w:hideMark/>
          </w:tcPr>
          <w:p w14:paraId="7D194375"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1a: Расходна страна, сталне цене (млрд РСД/ЕУР)</w:t>
            </w:r>
          </w:p>
        </w:tc>
        <w:tc>
          <w:tcPr>
            <w:tcW w:w="1447" w:type="dxa"/>
            <w:gridSpan w:val="3"/>
            <w:tcBorders>
              <w:top w:val="double" w:sz="6" w:space="0" w:color="auto"/>
              <w:left w:val="single" w:sz="8" w:space="0" w:color="auto"/>
              <w:bottom w:val="double" w:sz="6" w:space="0" w:color="auto"/>
              <w:right w:val="single" w:sz="8" w:space="0" w:color="auto"/>
            </w:tcBorders>
            <w:shd w:val="clear" w:color="auto" w:fill="auto"/>
            <w:noWrap/>
            <w:vAlign w:val="bottom"/>
            <w:hideMark/>
          </w:tcPr>
          <w:p w14:paraId="4D3DE999" w14:textId="77777777" w:rsidR="00247CBF" w:rsidRPr="00092ED7" w:rsidRDefault="00247CBF" w:rsidP="00247CBF">
            <w:pPr>
              <w:spacing w:after="0"/>
              <w:jc w:val="center"/>
              <w:rPr>
                <w:sz w:val="20"/>
                <w:szCs w:val="20"/>
                <w:lang w:val="sr-Cyrl-CS"/>
              </w:rPr>
            </w:pPr>
            <w:r w:rsidRPr="00092ED7">
              <w:rPr>
                <w:sz w:val="20"/>
                <w:szCs w:val="20"/>
                <w:lang w:val="sr-Cyrl-CS"/>
              </w:rPr>
              <w:t>ESA шифра</w:t>
            </w:r>
          </w:p>
        </w:tc>
        <w:tc>
          <w:tcPr>
            <w:tcW w:w="1380" w:type="dxa"/>
            <w:gridSpan w:val="3"/>
            <w:tcBorders>
              <w:top w:val="double" w:sz="6" w:space="0" w:color="auto"/>
              <w:left w:val="nil"/>
              <w:bottom w:val="double" w:sz="6" w:space="0" w:color="auto"/>
              <w:right w:val="dashed" w:sz="4" w:space="0" w:color="auto"/>
            </w:tcBorders>
            <w:shd w:val="clear" w:color="auto" w:fill="auto"/>
            <w:noWrap/>
            <w:vAlign w:val="center"/>
            <w:hideMark/>
          </w:tcPr>
          <w:p w14:paraId="5B37636E" w14:textId="77777777" w:rsidR="00247CBF" w:rsidRPr="00092ED7" w:rsidRDefault="00247CBF" w:rsidP="00247CBF">
            <w:pPr>
              <w:spacing w:after="0"/>
              <w:jc w:val="right"/>
              <w:rPr>
                <w:b/>
                <w:bCs/>
                <w:sz w:val="20"/>
                <w:szCs w:val="20"/>
                <w:lang w:val="sr-Cyrl-CS"/>
              </w:rPr>
            </w:pPr>
            <w:r w:rsidRPr="00092ED7">
              <w:rPr>
                <w:b/>
                <w:bCs/>
                <w:sz w:val="20"/>
                <w:szCs w:val="20"/>
                <w:lang w:val="sr-Cyrl-CS"/>
              </w:rPr>
              <w:t>2020</w:t>
            </w:r>
          </w:p>
        </w:tc>
        <w:tc>
          <w:tcPr>
            <w:tcW w:w="1300" w:type="dxa"/>
            <w:gridSpan w:val="4"/>
            <w:tcBorders>
              <w:top w:val="double" w:sz="6" w:space="0" w:color="auto"/>
              <w:left w:val="nil"/>
              <w:bottom w:val="double" w:sz="6" w:space="0" w:color="auto"/>
              <w:right w:val="dashed" w:sz="4" w:space="0" w:color="auto"/>
            </w:tcBorders>
            <w:shd w:val="clear" w:color="auto" w:fill="auto"/>
            <w:noWrap/>
            <w:vAlign w:val="center"/>
            <w:hideMark/>
          </w:tcPr>
          <w:p w14:paraId="76EE4C6C" w14:textId="77777777" w:rsidR="00247CBF" w:rsidRPr="00092ED7" w:rsidRDefault="00247CBF" w:rsidP="00247CBF">
            <w:pPr>
              <w:spacing w:after="0"/>
              <w:jc w:val="right"/>
              <w:rPr>
                <w:b/>
                <w:bCs/>
                <w:sz w:val="20"/>
                <w:szCs w:val="20"/>
                <w:lang w:val="sr-Cyrl-CS"/>
              </w:rPr>
            </w:pPr>
            <w:r w:rsidRPr="00092ED7">
              <w:rPr>
                <w:b/>
                <w:bCs/>
                <w:sz w:val="20"/>
                <w:szCs w:val="20"/>
                <w:lang w:val="sr-Cyrl-CS"/>
              </w:rPr>
              <w:t>2021</w:t>
            </w:r>
          </w:p>
        </w:tc>
        <w:tc>
          <w:tcPr>
            <w:tcW w:w="1360" w:type="dxa"/>
            <w:gridSpan w:val="4"/>
            <w:tcBorders>
              <w:top w:val="double" w:sz="6" w:space="0" w:color="auto"/>
              <w:left w:val="nil"/>
              <w:bottom w:val="double" w:sz="6" w:space="0" w:color="auto"/>
              <w:right w:val="dashed" w:sz="4" w:space="0" w:color="auto"/>
            </w:tcBorders>
            <w:shd w:val="clear" w:color="auto" w:fill="auto"/>
            <w:noWrap/>
            <w:vAlign w:val="center"/>
            <w:hideMark/>
          </w:tcPr>
          <w:p w14:paraId="2EF6C6CB" w14:textId="77777777" w:rsidR="00247CBF" w:rsidRPr="00092ED7" w:rsidRDefault="00247CBF" w:rsidP="00247CBF">
            <w:pPr>
              <w:spacing w:after="0"/>
              <w:jc w:val="right"/>
              <w:rPr>
                <w:b/>
                <w:bCs/>
                <w:sz w:val="20"/>
                <w:szCs w:val="20"/>
                <w:lang w:val="sr-Cyrl-CS"/>
              </w:rPr>
            </w:pPr>
            <w:r w:rsidRPr="00092ED7">
              <w:rPr>
                <w:b/>
                <w:bCs/>
                <w:sz w:val="20"/>
                <w:szCs w:val="20"/>
                <w:lang w:val="sr-Cyrl-CS"/>
              </w:rPr>
              <w:t>2022</w:t>
            </w:r>
          </w:p>
        </w:tc>
        <w:tc>
          <w:tcPr>
            <w:tcW w:w="1260" w:type="dxa"/>
            <w:gridSpan w:val="4"/>
            <w:tcBorders>
              <w:top w:val="double" w:sz="6" w:space="0" w:color="auto"/>
              <w:left w:val="nil"/>
              <w:bottom w:val="double" w:sz="6" w:space="0" w:color="auto"/>
              <w:right w:val="dashed" w:sz="4" w:space="0" w:color="auto"/>
            </w:tcBorders>
            <w:shd w:val="clear" w:color="auto" w:fill="auto"/>
            <w:noWrap/>
            <w:vAlign w:val="center"/>
            <w:hideMark/>
          </w:tcPr>
          <w:p w14:paraId="4C352174" w14:textId="77777777" w:rsidR="00247CBF" w:rsidRPr="00092ED7" w:rsidRDefault="00247CBF" w:rsidP="00247CBF">
            <w:pPr>
              <w:spacing w:after="0"/>
              <w:jc w:val="right"/>
              <w:rPr>
                <w:b/>
                <w:bCs/>
                <w:sz w:val="20"/>
                <w:szCs w:val="20"/>
                <w:lang w:val="sr-Cyrl-CS"/>
              </w:rPr>
            </w:pPr>
            <w:r w:rsidRPr="00092ED7">
              <w:rPr>
                <w:b/>
                <w:bCs/>
                <w:sz w:val="20"/>
                <w:szCs w:val="20"/>
                <w:lang w:val="sr-Cyrl-CS"/>
              </w:rPr>
              <w:t>2023</w:t>
            </w:r>
          </w:p>
        </w:tc>
        <w:tc>
          <w:tcPr>
            <w:tcW w:w="1260" w:type="dxa"/>
            <w:gridSpan w:val="3"/>
            <w:tcBorders>
              <w:top w:val="double" w:sz="6" w:space="0" w:color="auto"/>
              <w:left w:val="nil"/>
              <w:bottom w:val="double" w:sz="6" w:space="0" w:color="auto"/>
              <w:right w:val="dashed" w:sz="4" w:space="0" w:color="auto"/>
            </w:tcBorders>
            <w:shd w:val="clear" w:color="auto" w:fill="auto"/>
            <w:noWrap/>
            <w:vAlign w:val="center"/>
            <w:hideMark/>
          </w:tcPr>
          <w:p w14:paraId="2D513276" w14:textId="77777777" w:rsidR="00247CBF" w:rsidRPr="00092ED7" w:rsidRDefault="00247CBF" w:rsidP="00247CBF">
            <w:pPr>
              <w:spacing w:after="0"/>
              <w:jc w:val="right"/>
              <w:rPr>
                <w:b/>
                <w:bCs/>
                <w:sz w:val="20"/>
                <w:szCs w:val="20"/>
                <w:lang w:val="sr-Cyrl-CS"/>
              </w:rPr>
            </w:pPr>
            <w:r w:rsidRPr="00092ED7">
              <w:rPr>
                <w:b/>
                <w:bCs/>
                <w:sz w:val="20"/>
                <w:szCs w:val="20"/>
                <w:lang w:val="sr-Cyrl-CS"/>
              </w:rPr>
              <w:t>2024</w:t>
            </w:r>
          </w:p>
        </w:tc>
        <w:tc>
          <w:tcPr>
            <w:tcW w:w="1268" w:type="dxa"/>
            <w:gridSpan w:val="3"/>
            <w:tcBorders>
              <w:top w:val="double" w:sz="6" w:space="0" w:color="auto"/>
              <w:left w:val="nil"/>
              <w:bottom w:val="double" w:sz="6" w:space="0" w:color="auto"/>
              <w:right w:val="double" w:sz="4" w:space="0" w:color="auto"/>
            </w:tcBorders>
            <w:shd w:val="clear" w:color="auto" w:fill="auto"/>
            <w:noWrap/>
            <w:vAlign w:val="center"/>
            <w:hideMark/>
          </w:tcPr>
          <w:p w14:paraId="1F09B21C" w14:textId="77777777" w:rsidR="00247CBF" w:rsidRPr="00092ED7" w:rsidRDefault="00247CBF" w:rsidP="00247CBF">
            <w:pPr>
              <w:spacing w:after="0"/>
              <w:jc w:val="right"/>
              <w:rPr>
                <w:b/>
                <w:bCs/>
                <w:sz w:val="20"/>
                <w:szCs w:val="20"/>
                <w:lang w:val="sr-Cyrl-CS"/>
              </w:rPr>
            </w:pPr>
            <w:r w:rsidRPr="00092ED7">
              <w:rPr>
                <w:b/>
                <w:bCs/>
                <w:sz w:val="20"/>
                <w:szCs w:val="20"/>
                <w:lang w:val="sr-Cyrl-CS"/>
              </w:rPr>
              <w:t>2025</w:t>
            </w:r>
          </w:p>
        </w:tc>
      </w:tr>
      <w:tr w:rsidR="00247CBF" w:rsidRPr="00092ED7" w14:paraId="111C9E2E" w14:textId="77777777" w:rsidTr="00247CBF">
        <w:trPr>
          <w:gridAfter w:val="3"/>
          <w:wAfter w:w="365" w:type="dxa"/>
          <w:trHeight w:val="270"/>
        </w:trPr>
        <w:tc>
          <w:tcPr>
            <w:tcW w:w="4962" w:type="dxa"/>
            <w:gridSpan w:val="3"/>
            <w:tcBorders>
              <w:top w:val="nil"/>
              <w:left w:val="double" w:sz="6" w:space="0" w:color="auto"/>
              <w:bottom w:val="dashed" w:sz="4" w:space="0" w:color="auto"/>
              <w:right w:val="nil"/>
            </w:tcBorders>
            <w:shd w:val="clear" w:color="auto" w:fill="auto"/>
            <w:noWrap/>
            <w:vAlign w:val="bottom"/>
            <w:hideMark/>
          </w:tcPr>
          <w:p w14:paraId="49392ED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БДП према тржишним ценама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31C79F84" w14:textId="77777777" w:rsidR="00247CBF" w:rsidRPr="00092ED7" w:rsidRDefault="00247CBF" w:rsidP="00247CBF">
            <w:pPr>
              <w:spacing w:after="0"/>
              <w:jc w:val="center"/>
              <w:rPr>
                <w:sz w:val="20"/>
                <w:szCs w:val="20"/>
                <w:lang w:val="sr-Cyrl-CS"/>
              </w:rPr>
            </w:pPr>
            <w:r w:rsidRPr="00092ED7">
              <w:rPr>
                <w:sz w:val="20"/>
                <w:szCs w:val="20"/>
                <w:lang w:val="sr-Cyrl-CS"/>
              </w:rPr>
              <w:t>B1*g</w:t>
            </w:r>
          </w:p>
        </w:tc>
        <w:tc>
          <w:tcPr>
            <w:tcW w:w="1380" w:type="dxa"/>
            <w:gridSpan w:val="3"/>
            <w:tcBorders>
              <w:top w:val="nil"/>
              <w:left w:val="dashed" w:sz="4" w:space="0" w:color="auto"/>
              <w:bottom w:val="dashed" w:sz="4" w:space="0" w:color="auto"/>
              <w:right w:val="dashed" w:sz="4" w:space="0" w:color="auto"/>
            </w:tcBorders>
            <w:shd w:val="clear" w:color="auto" w:fill="auto"/>
            <w:noWrap/>
            <w:vAlign w:val="center"/>
            <w:hideMark/>
          </w:tcPr>
          <w:p w14:paraId="523F4C84" w14:textId="77777777" w:rsidR="00247CBF" w:rsidRPr="00092ED7" w:rsidRDefault="00247CBF" w:rsidP="00247CBF">
            <w:pPr>
              <w:spacing w:after="0"/>
              <w:jc w:val="right"/>
              <w:rPr>
                <w:sz w:val="20"/>
                <w:szCs w:val="20"/>
                <w:lang w:val="sr-Cyrl-CS"/>
              </w:rPr>
            </w:pPr>
            <w:r w:rsidRPr="00092ED7">
              <w:rPr>
                <w:sz w:val="20"/>
                <w:szCs w:val="20"/>
                <w:lang w:val="sr-Cyrl-CS"/>
              </w:rPr>
              <w:t>4.918,7</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1673B51" w14:textId="77777777" w:rsidR="00247CBF" w:rsidRPr="00092ED7" w:rsidRDefault="00247CBF" w:rsidP="00247CBF">
            <w:pPr>
              <w:spacing w:after="0"/>
              <w:jc w:val="right"/>
              <w:rPr>
                <w:sz w:val="20"/>
                <w:szCs w:val="20"/>
                <w:lang w:val="sr-Cyrl-CS"/>
              </w:rPr>
            </w:pPr>
            <w:r w:rsidRPr="00092ED7">
              <w:rPr>
                <w:sz w:val="20"/>
                <w:szCs w:val="20"/>
                <w:lang w:val="sr-Cyrl-CS"/>
              </w:rPr>
              <w:t>5.290,0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505B8AAF" w14:textId="77777777" w:rsidR="00247CBF" w:rsidRPr="00092ED7" w:rsidRDefault="00247CBF" w:rsidP="00247CBF">
            <w:pPr>
              <w:spacing w:after="0"/>
              <w:jc w:val="right"/>
              <w:rPr>
                <w:sz w:val="20"/>
                <w:szCs w:val="20"/>
                <w:lang w:val="sr-Cyrl-CS"/>
              </w:rPr>
            </w:pPr>
            <w:r w:rsidRPr="00092ED7">
              <w:rPr>
                <w:sz w:val="20"/>
                <w:szCs w:val="20"/>
                <w:lang w:val="sr-Cyrl-CS"/>
              </w:rPr>
              <w:t>5.424,6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2E449DE" w14:textId="77777777" w:rsidR="00247CBF" w:rsidRPr="00092ED7" w:rsidRDefault="00247CBF" w:rsidP="00247CBF">
            <w:pPr>
              <w:spacing w:after="0"/>
              <w:jc w:val="right"/>
              <w:rPr>
                <w:sz w:val="20"/>
                <w:szCs w:val="20"/>
                <w:lang w:val="sr-Cyrl-CS"/>
              </w:rPr>
            </w:pPr>
            <w:r w:rsidRPr="00092ED7">
              <w:rPr>
                <w:sz w:val="20"/>
                <w:szCs w:val="20"/>
                <w:lang w:val="sr-Cyrl-CS"/>
              </w:rPr>
              <w:t>5.557,5</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6AF2B1DF" w14:textId="77777777" w:rsidR="00247CBF" w:rsidRPr="00092ED7" w:rsidRDefault="00247CBF" w:rsidP="00247CBF">
            <w:pPr>
              <w:spacing w:after="0"/>
              <w:jc w:val="right"/>
              <w:rPr>
                <w:sz w:val="20"/>
                <w:szCs w:val="20"/>
                <w:lang w:val="sr-Cyrl-CS"/>
              </w:rPr>
            </w:pPr>
            <w:r w:rsidRPr="00092ED7">
              <w:rPr>
                <w:sz w:val="20"/>
                <w:szCs w:val="20"/>
                <w:lang w:val="sr-Cyrl-CS"/>
              </w:rPr>
              <w:t>5.753,6</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B9EAB40" w14:textId="77777777" w:rsidR="00247CBF" w:rsidRPr="00092ED7" w:rsidRDefault="00247CBF" w:rsidP="00247CBF">
            <w:pPr>
              <w:spacing w:after="0"/>
              <w:jc w:val="right"/>
              <w:rPr>
                <w:sz w:val="20"/>
                <w:szCs w:val="20"/>
                <w:lang w:val="sr-Cyrl-CS"/>
              </w:rPr>
            </w:pPr>
            <w:r w:rsidRPr="00092ED7">
              <w:rPr>
                <w:sz w:val="20"/>
                <w:szCs w:val="20"/>
                <w:lang w:val="sr-Cyrl-CS"/>
              </w:rPr>
              <w:t>5.985,5</w:t>
            </w:r>
          </w:p>
        </w:tc>
      </w:tr>
      <w:tr w:rsidR="00247CBF" w:rsidRPr="00092ED7" w14:paraId="4DA26715"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11ECFBC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Приватна потрошња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4B844D3F" w14:textId="77777777" w:rsidR="00247CBF" w:rsidRPr="00092ED7" w:rsidRDefault="00247CBF" w:rsidP="00247CBF">
            <w:pPr>
              <w:spacing w:after="0"/>
              <w:jc w:val="center"/>
              <w:rPr>
                <w:sz w:val="20"/>
                <w:szCs w:val="20"/>
                <w:lang w:val="sr-Cyrl-CS"/>
              </w:rPr>
            </w:pPr>
            <w:r w:rsidRPr="00092ED7">
              <w:rPr>
                <w:sz w:val="20"/>
                <w:szCs w:val="20"/>
                <w:lang w:val="sr-Cyrl-CS"/>
              </w:rPr>
              <w:t>P3</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D945410" w14:textId="77777777" w:rsidR="00247CBF" w:rsidRPr="00092ED7" w:rsidRDefault="00247CBF" w:rsidP="00247CBF">
            <w:pPr>
              <w:spacing w:after="0"/>
              <w:jc w:val="right"/>
              <w:rPr>
                <w:sz w:val="20"/>
                <w:szCs w:val="20"/>
                <w:lang w:val="sr-Cyrl-CS"/>
              </w:rPr>
            </w:pPr>
            <w:r w:rsidRPr="00092ED7">
              <w:rPr>
                <w:sz w:val="20"/>
                <w:szCs w:val="20"/>
                <w:lang w:val="sr-Cyrl-CS"/>
              </w:rPr>
              <w:t>3.391,5</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E69AC0D" w14:textId="77777777" w:rsidR="00247CBF" w:rsidRPr="00092ED7" w:rsidRDefault="00247CBF" w:rsidP="00247CBF">
            <w:pPr>
              <w:spacing w:after="0"/>
              <w:jc w:val="right"/>
              <w:rPr>
                <w:sz w:val="20"/>
                <w:szCs w:val="20"/>
                <w:lang w:val="sr-Cyrl-CS"/>
              </w:rPr>
            </w:pPr>
            <w:r w:rsidRPr="00092ED7">
              <w:rPr>
                <w:sz w:val="20"/>
                <w:szCs w:val="20"/>
                <w:lang w:val="sr-Cyrl-CS"/>
              </w:rPr>
              <w:t>3.654,5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6FA3814" w14:textId="77777777" w:rsidR="00247CBF" w:rsidRPr="00092ED7" w:rsidRDefault="00247CBF" w:rsidP="00247CBF">
            <w:pPr>
              <w:spacing w:after="0"/>
              <w:jc w:val="right"/>
              <w:rPr>
                <w:sz w:val="20"/>
                <w:szCs w:val="20"/>
                <w:lang w:val="sr-Cyrl-CS"/>
              </w:rPr>
            </w:pPr>
            <w:r w:rsidRPr="00092ED7">
              <w:rPr>
                <w:sz w:val="20"/>
                <w:szCs w:val="20"/>
                <w:lang w:val="sr-Cyrl-CS"/>
              </w:rPr>
              <w:t>3.797,0</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8462A6F" w14:textId="77777777" w:rsidR="00247CBF" w:rsidRPr="00092ED7" w:rsidRDefault="00247CBF" w:rsidP="00247CBF">
            <w:pPr>
              <w:spacing w:after="0"/>
              <w:jc w:val="right"/>
              <w:rPr>
                <w:sz w:val="20"/>
                <w:szCs w:val="20"/>
                <w:lang w:val="sr-Cyrl-CS"/>
              </w:rPr>
            </w:pPr>
            <w:r w:rsidRPr="00092ED7">
              <w:rPr>
                <w:sz w:val="20"/>
                <w:szCs w:val="20"/>
                <w:lang w:val="sr-Cyrl-CS"/>
              </w:rPr>
              <w:t>3.893,4</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66D6D5FD" w14:textId="77777777" w:rsidR="00247CBF" w:rsidRPr="00092ED7" w:rsidRDefault="00247CBF" w:rsidP="00247CBF">
            <w:pPr>
              <w:spacing w:after="0"/>
              <w:jc w:val="right"/>
              <w:rPr>
                <w:sz w:val="20"/>
                <w:szCs w:val="20"/>
                <w:lang w:val="sr-Cyrl-CS"/>
              </w:rPr>
            </w:pPr>
            <w:r w:rsidRPr="00092ED7">
              <w:rPr>
                <w:sz w:val="20"/>
                <w:szCs w:val="20"/>
                <w:lang w:val="sr-Cyrl-CS"/>
              </w:rPr>
              <w:t>4.006,4</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ADC39CD" w14:textId="77777777" w:rsidR="00247CBF" w:rsidRPr="00092ED7" w:rsidRDefault="00247CBF" w:rsidP="00247CBF">
            <w:pPr>
              <w:spacing w:after="0"/>
              <w:jc w:val="right"/>
              <w:rPr>
                <w:sz w:val="20"/>
                <w:szCs w:val="20"/>
                <w:lang w:val="sr-Cyrl-CS"/>
              </w:rPr>
            </w:pPr>
            <w:r w:rsidRPr="00092ED7">
              <w:rPr>
                <w:sz w:val="20"/>
                <w:szCs w:val="20"/>
                <w:lang w:val="sr-Cyrl-CS"/>
              </w:rPr>
              <w:t>4.150,6</w:t>
            </w:r>
          </w:p>
        </w:tc>
      </w:tr>
      <w:tr w:rsidR="00247CBF" w:rsidRPr="00092ED7" w14:paraId="240F9699"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6A5962E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Државна потрошња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0233FC55" w14:textId="77777777" w:rsidR="00247CBF" w:rsidRPr="00092ED7" w:rsidRDefault="00247CBF" w:rsidP="00247CBF">
            <w:pPr>
              <w:spacing w:after="0"/>
              <w:jc w:val="center"/>
              <w:rPr>
                <w:sz w:val="20"/>
                <w:szCs w:val="20"/>
                <w:lang w:val="sr-Cyrl-CS"/>
              </w:rPr>
            </w:pPr>
            <w:r w:rsidRPr="00092ED7">
              <w:rPr>
                <w:sz w:val="20"/>
                <w:szCs w:val="20"/>
                <w:lang w:val="sr-Cyrl-CS"/>
              </w:rPr>
              <w:t>P3</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F63F623" w14:textId="77777777" w:rsidR="00247CBF" w:rsidRPr="00092ED7" w:rsidRDefault="00247CBF" w:rsidP="00247CBF">
            <w:pPr>
              <w:spacing w:after="0"/>
              <w:jc w:val="right"/>
              <w:rPr>
                <w:sz w:val="20"/>
                <w:szCs w:val="20"/>
                <w:lang w:val="sr-Cyrl-CS"/>
              </w:rPr>
            </w:pPr>
            <w:r w:rsidRPr="00092ED7">
              <w:rPr>
                <w:sz w:val="20"/>
                <w:szCs w:val="20"/>
                <w:lang w:val="sr-Cyrl-CS"/>
              </w:rPr>
              <w:t>792,7</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8E66B77" w14:textId="77777777" w:rsidR="00247CBF" w:rsidRPr="00092ED7" w:rsidRDefault="00247CBF" w:rsidP="00247CBF">
            <w:pPr>
              <w:spacing w:after="0"/>
              <w:jc w:val="right"/>
              <w:rPr>
                <w:sz w:val="20"/>
                <w:szCs w:val="20"/>
                <w:lang w:val="sr-Cyrl-CS"/>
              </w:rPr>
            </w:pPr>
            <w:r w:rsidRPr="00092ED7">
              <w:rPr>
                <w:sz w:val="20"/>
                <w:szCs w:val="20"/>
                <w:lang w:val="sr-Cyrl-CS"/>
              </w:rPr>
              <w:t>825,5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1AB5A167" w14:textId="77777777" w:rsidR="00247CBF" w:rsidRPr="00092ED7" w:rsidRDefault="00247CBF" w:rsidP="00247CBF">
            <w:pPr>
              <w:spacing w:after="0"/>
              <w:jc w:val="right"/>
              <w:rPr>
                <w:sz w:val="20"/>
                <w:szCs w:val="20"/>
                <w:lang w:val="sr-Cyrl-CS"/>
              </w:rPr>
            </w:pPr>
            <w:r w:rsidRPr="00092ED7">
              <w:rPr>
                <w:sz w:val="20"/>
                <w:szCs w:val="20"/>
                <w:lang w:val="sr-Cyrl-CS"/>
              </w:rPr>
              <w:t>828,9</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44FDB8D8" w14:textId="77777777" w:rsidR="00247CBF" w:rsidRPr="00092ED7" w:rsidRDefault="00247CBF" w:rsidP="00247CBF">
            <w:pPr>
              <w:spacing w:after="0"/>
              <w:jc w:val="right"/>
              <w:rPr>
                <w:sz w:val="20"/>
                <w:szCs w:val="20"/>
                <w:lang w:val="sr-Cyrl-CS"/>
              </w:rPr>
            </w:pPr>
            <w:r w:rsidRPr="00092ED7">
              <w:rPr>
                <w:sz w:val="20"/>
                <w:szCs w:val="20"/>
                <w:lang w:val="sr-Cyrl-CS"/>
              </w:rPr>
              <w:t>812,6</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54A91ACC" w14:textId="77777777" w:rsidR="00247CBF" w:rsidRPr="00092ED7" w:rsidRDefault="00247CBF" w:rsidP="00247CBF">
            <w:pPr>
              <w:spacing w:after="0"/>
              <w:jc w:val="right"/>
              <w:rPr>
                <w:sz w:val="20"/>
                <w:szCs w:val="20"/>
                <w:lang w:val="sr-Cyrl-CS"/>
              </w:rPr>
            </w:pPr>
            <w:r w:rsidRPr="00092ED7">
              <w:rPr>
                <w:sz w:val="20"/>
                <w:szCs w:val="20"/>
                <w:lang w:val="sr-Cyrl-CS"/>
              </w:rPr>
              <w:t>819,4</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675E643" w14:textId="77777777" w:rsidR="00247CBF" w:rsidRPr="00092ED7" w:rsidRDefault="00247CBF" w:rsidP="00247CBF">
            <w:pPr>
              <w:spacing w:after="0"/>
              <w:jc w:val="right"/>
              <w:rPr>
                <w:sz w:val="20"/>
                <w:szCs w:val="20"/>
                <w:lang w:val="sr-Cyrl-CS"/>
              </w:rPr>
            </w:pPr>
            <w:r w:rsidRPr="00092ED7">
              <w:rPr>
                <w:sz w:val="20"/>
                <w:szCs w:val="20"/>
                <w:lang w:val="sr-Cyrl-CS"/>
              </w:rPr>
              <w:t>826,0</w:t>
            </w:r>
          </w:p>
        </w:tc>
      </w:tr>
      <w:tr w:rsidR="00247CBF" w:rsidRPr="00092ED7" w14:paraId="31F7BCE4"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0511219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Бруто инвестиције у основна средства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7D430FB8" w14:textId="77777777" w:rsidR="00247CBF" w:rsidRPr="00092ED7" w:rsidRDefault="00247CBF" w:rsidP="00247CBF">
            <w:pPr>
              <w:spacing w:after="0"/>
              <w:jc w:val="center"/>
              <w:rPr>
                <w:sz w:val="20"/>
                <w:szCs w:val="20"/>
                <w:lang w:val="sr-Cyrl-CS"/>
              </w:rPr>
            </w:pPr>
            <w:r w:rsidRPr="00092ED7">
              <w:rPr>
                <w:sz w:val="20"/>
                <w:szCs w:val="20"/>
                <w:lang w:val="sr-Cyrl-CS"/>
              </w:rPr>
              <w:t>P51</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0BF12F0" w14:textId="77777777" w:rsidR="00247CBF" w:rsidRPr="00092ED7" w:rsidRDefault="00247CBF" w:rsidP="00247CBF">
            <w:pPr>
              <w:spacing w:after="0"/>
              <w:jc w:val="right"/>
              <w:rPr>
                <w:sz w:val="20"/>
                <w:szCs w:val="20"/>
                <w:lang w:val="sr-Cyrl-CS"/>
              </w:rPr>
            </w:pPr>
            <w:r w:rsidRPr="00092ED7">
              <w:rPr>
                <w:sz w:val="20"/>
                <w:szCs w:val="20"/>
                <w:lang w:val="sr-Cyrl-CS"/>
              </w:rPr>
              <w:t>1.109,0</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0D4635DE" w14:textId="77777777" w:rsidR="00247CBF" w:rsidRPr="00092ED7" w:rsidRDefault="00247CBF" w:rsidP="00247CBF">
            <w:pPr>
              <w:spacing w:after="0"/>
              <w:jc w:val="right"/>
              <w:rPr>
                <w:sz w:val="20"/>
                <w:szCs w:val="20"/>
                <w:lang w:val="sr-Cyrl-CS"/>
              </w:rPr>
            </w:pPr>
            <w:r w:rsidRPr="00092ED7">
              <w:rPr>
                <w:sz w:val="20"/>
                <w:szCs w:val="20"/>
                <w:lang w:val="sr-Cyrl-CS"/>
              </w:rPr>
              <w:t>1.285,0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598D2D5C" w14:textId="77777777" w:rsidR="00247CBF" w:rsidRPr="00092ED7" w:rsidRDefault="00247CBF" w:rsidP="00247CBF">
            <w:pPr>
              <w:spacing w:after="0"/>
              <w:jc w:val="right"/>
              <w:rPr>
                <w:sz w:val="20"/>
                <w:szCs w:val="20"/>
                <w:lang w:val="sr-Cyrl-CS"/>
              </w:rPr>
            </w:pPr>
            <w:r w:rsidRPr="00092ED7">
              <w:rPr>
                <w:sz w:val="20"/>
                <w:szCs w:val="20"/>
                <w:lang w:val="sr-Cyrl-CS"/>
              </w:rPr>
              <w:t>1.285,0</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812069B" w14:textId="77777777" w:rsidR="00247CBF" w:rsidRPr="00092ED7" w:rsidRDefault="00247CBF" w:rsidP="00247CBF">
            <w:pPr>
              <w:spacing w:after="0"/>
              <w:jc w:val="right"/>
              <w:rPr>
                <w:sz w:val="20"/>
                <w:szCs w:val="20"/>
                <w:lang w:val="sr-Cyrl-CS"/>
              </w:rPr>
            </w:pPr>
            <w:r w:rsidRPr="00092ED7">
              <w:rPr>
                <w:sz w:val="20"/>
                <w:szCs w:val="20"/>
                <w:lang w:val="sr-Cyrl-CS"/>
              </w:rPr>
              <w:t>1.315,9</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694162B" w14:textId="77777777" w:rsidR="00247CBF" w:rsidRPr="00092ED7" w:rsidRDefault="00247CBF" w:rsidP="00247CBF">
            <w:pPr>
              <w:spacing w:after="0"/>
              <w:jc w:val="right"/>
              <w:rPr>
                <w:sz w:val="20"/>
                <w:szCs w:val="20"/>
                <w:lang w:val="sr-Cyrl-CS"/>
              </w:rPr>
            </w:pPr>
            <w:r w:rsidRPr="00092ED7">
              <w:rPr>
                <w:sz w:val="20"/>
                <w:szCs w:val="20"/>
                <w:lang w:val="sr-Cyrl-CS"/>
              </w:rPr>
              <w:t>1.384,8</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A232963" w14:textId="77777777" w:rsidR="00247CBF" w:rsidRPr="00092ED7" w:rsidRDefault="00247CBF" w:rsidP="00247CBF">
            <w:pPr>
              <w:spacing w:after="0"/>
              <w:jc w:val="right"/>
              <w:rPr>
                <w:sz w:val="20"/>
                <w:szCs w:val="20"/>
                <w:lang w:val="sr-Cyrl-CS"/>
              </w:rPr>
            </w:pPr>
            <w:r w:rsidRPr="00092ED7">
              <w:rPr>
                <w:sz w:val="20"/>
                <w:szCs w:val="20"/>
                <w:lang w:val="sr-Cyrl-CS"/>
              </w:rPr>
              <w:t>1.465,1</w:t>
            </w:r>
          </w:p>
        </w:tc>
      </w:tr>
      <w:tr w:rsidR="00247CBF" w:rsidRPr="00092ED7" w14:paraId="12CB4B13"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08164F7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Домаћа тражња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5AF383DC" w14:textId="77777777" w:rsidR="00247CBF" w:rsidRPr="00092ED7" w:rsidRDefault="00247CBF" w:rsidP="00247CBF">
            <w:pPr>
              <w:spacing w:after="0"/>
              <w:jc w:val="center"/>
              <w:rPr>
                <w:sz w:val="20"/>
                <w:szCs w:val="20"/>
                <w:lang w:val="sr-Cyrl-CS"/>
              </w:rPr>
            </w:pPr>
            <w:r w:rsidRPr="00092ED7">
              <w:rPr>
                <w:sz w:val="20"/>
                <w:szCs w:val="20"/>
                <w:lang w:val="sr-Cyrl-CS"/>
              </w:rPr>
              <w:t> </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B1683E2" w14:textId="77777777" w:rsidR="00247CBF" w:rsidRPr="00092ED7" w:rsidRDefault="00247CBF" w:rsidP="00247CBF">
            <w:pPr>
              <w:spacing w:after="0"/>
              <w:jc w:val="right"/>
              <w:rPr>
                <w:sz w:val="20"/>
                <w:szCs w:val="20"/>
                <w:lang w:val="sr-Cyrl-CS"/>
              </w:rPr>
            </w:pPr>
            <w:r w:rsidRPr="00092ED7">
              <w:rPr>
                <w:sz w:val="20"/>
                <w:szCs w:val="20"/>
                <w:lang w:val="sr-Cyrl-CS"/>
              </w:rPr>
              <w:t>5.293,2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9CE63B2" w14:textId="77777777" w:rsidR="00247CBF" w:rsidRPr="00092ED7" w:rsidRDefault="00247CBF" w:rsidP="00247CBF">
            <w:pPr>
              <w:spacing w:after="0"/>
              <w:jc w:val="right"/>
              <w:rPr>
                <w:sz w:val="20"/>
                <w:szCs w:val="20"/>
                <w:lang w:val="sr-Cyrl-CS"/>
              </w:rPr>
            </w:pPr>
            <w:r w:rsidRPr="00092ED7">
              <w:rPr>
                <w:sz w:val="20"/>
                <w:szCs w:val="20"/>
                <w:lang w:val="sr-Cyrl-CS"/>
              </w:rPr>
              <w:t>5.765,0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3DD38166" w14:textId="77777777" w:rsidR="00247CBF" w:rsidRPr="00092ED7" w:rsidRDefault="00247CBF" w:rsidP="00247CBF">
            <w:pPr>
              <w:spacing w:after="0"/>
              <w:jc w:val="right"/>
              <w:rPr>
                <w:sz w:val="20"/>
                <w:szCs w:val="20"/>
                <w:lang w:val="sr-Cyrl-CS"/>
              </w:rPr>
            </w:pPr>
            <w:r w:rsidRPr="00092ED7">
              <w:rPr>
                <w:sz w:val="20"/>
                <w:szCs w:val="20"/>
                <w:lang w:val="sr-Cyrl-CS"/>
              </w:rPr>
              <w:t>5.910,9</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761808CF" w14:textId="77777777" w:rsidR="00247CBF" w:rsidRPr="00092ED7" w:rsidRDefault="00247CBF" w:rsidP="00247CBF">
            <w:pPr>
              <w:spacing w:after="0"/>
              <w:jc w:val="right"/>
              <w:rPr>
                <w:sz w:val="20"/>
                <w:szCs w:val="20"/>
                <w:lang w:val="sr-Cyrl-CS"/>
              </w:rPr>
            </w:pPr>
            <w:r w:rsidRPr="00092ED7">
              <w:rPr>
                <w:sz w:val="20"/>
                <w:szCs w:val="20"/>
                <w:lang w:val="sr-Cyrl-CS"/>
              </w:rPr>
              <w:t>6.021,9</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1316D67A" w14:textId="77777777" w:rsidR="00247CBF" w:rsidRPr="00092ED7" w:rsidRDefault="00247CBF" w:rsidP="00247CBF">
            <w:pPr>
              <w:spacing w:after="0"/>
              <w:jc w:val="right"/>
              <w:rPr>
                <w:sz w:val="20"/>
                <w:szCs w:val="20"/>
                <w:lang w:val="sr-Cyrl-CS"/>
              </w:rPr>
            </w:pPr>
            <w:r w:rsidRPr="00092ED7">
              <w:rPr>
                <w:sz w:val="20"/>
                <w:szCs w:val="20"/>
                <w:lang w:val="sr-Cyrl-CS"/>
              </w:rPr>
              <w:t>6.210,6</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6E2EC1BC" w14:textId="77777777" w:rsidR="00247CBF" w:rsidRPr="00092ED7" w:rsidRDefault="00247CBF" w:rsidP="00247CBF">
            <w:pPr>
              <w:spacing w:after="0"/>
              <w:jc w:val="right"/>
              <w:rPr>
                <w:sz w:val="20"/>
                <w:szCs w:val="20"/>
                <w:lang w:val="sr-Cyrl-CS"/>
              </w:rPr>
            </w:pPr>
            <w:r w:rsidRPr="00092ED7">
              <w:rPr>
                <w:sz w:val="20"/>
                <w:szCs w:val="20"/>
                <w:lang w:val="sr-Cyrl-CS"/>
              </w:rPr>
              <w:t>6.441,7</w:t>
            </w:r>
          </w:p>
        </w:tc>
      </w:tr>
      <w:tr w:rsidR="00247CBF" w:rsidRPr="00092ED7" w14:paraId="251CB1D0"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1C0BE27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6. Промене у залихама и нето набавка драгоцености</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0EFB7215" w14:textId="77777777" w:rsidR="00247CBF" w:rsidRPr="00092ED7" w:rsidRDefault="00247CBF" w:rsidP="00247CBF">
            <w:pPr>
              <w:spacing w:after="0"/>
              <w:jc w:val="center"/>
              <w:rPr>
                <w:sz w:val="20"/>
                <w:szCs w:val="20"/>
                <w:lang w:val="sr-Cyrl-CS"/>
              </w:rPr>
            </w:pPr>
            <w:r w:rsidRPr="00092ED7">
              <w:rPr>
                <w:sz w:val="20"/>
                <w:szCs w:val="20"/>
                <w:lang w:val="sr-Cyrl-CS"/>
              </w:rPr>
              <w:t>P52+P53</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F543F5B" w14:textId="77777777" w:rsidR="00247CBF" w:rsidRPr="00092ED7" w:rsidRDefault="00247CBF" w:rsidP="00247CBF">
            <w:pPr>
              <w:spacing w:after="0"/>
              <w:jc w:val="right"/>
              <w:rPr>
                <w:sz w:val="20"/>
                <w:szCs w:val="20"/>
                <w:lang w:val="sr-Cyrl-CS"/>
              </w:rPr>
            </w:pPr>
            <w:r w:rsidRPr="00092ED7">
              <w:rPr>
                <w:sz w:val="20"/>
                <w:szCs w:val="20"/>
                <w:lang w:val="sr-Cyrl-CS"/>
              </w:rPr>
              <w:t>171,5</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E0F7AF2" w14:textId="77777777" w:rsidR="00247CBF" w:rsidRPr="00092ED7" w:rsidRDefault="00247CBF" w:rsidP="00247CBF">
            <w:pPr>
              <w:spacing w:after="0"/>
              <w:jc w:val="right"/>
              <w:rPr>
                <w:sz w:val="20"/>
                <w:szCs w:val="20"/>
                <w:lang w:val="sr-Cyrl-CS"/>
              </w:rPr>
            </w:pPr>
            <w:r w:rsidRPr="00092ED7">
              <w:rPr>
                <w:sz w:val="20"/>
                <w:szCs w:val="20"/>
                <w:lang w:val="sr-Cyrl-CS"/>
              </w:rPr>
              <w:t>119,5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2EC7D89" w14:textId="77777777" w:rsidR="00247CBF" w:rsidRPr="00092ED7" w:rsidRDefault="00247CBF" w:rsidP="00247CBF">
            <w:pPr>
              <w:spacing w:after="0"/>
              <w:jc w:val="right"/>
              <w:rPr>
                <w:sz w:val="20"/>
                <w:szCs w:val="20"/>
                <w:lang w:val="sr-Cyrl-CS"/>
              </w:rPr>
            </w:pPr>
            <w:r w:rsidRPr="00092ED7">
              <w:rPr>
                <w:sz w:val="20"/>
                <w:szCs w:val="20"/>
                <w:lang w:val="sr-Cyrl-CS"/>
              </w:rPr>
              <w:t>198,5</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7598F8FC" w14:textId="77777777" w:rsidR="00247CBF" w:rsidRPr="00092ED7" w:rsidRDefault="00247CBF" w:rsidP="00247CBF">
            <w:pPr>
              <w:spacing w:after="0"/>
              <w:jc w:val="right"/>
              <w:rPr>
                <w:sz w:val="20"/>
                <w:szCs w:val="20"/>
                <w:lang w:val="sr-Cyrl-CS"/>
              </w:rPr>
            </w:pPr>
            <w:r w:rsidRPr="00092ED7">
              <w:rPr>
                <w:sz w:val="20"/>
                <w:szCs w:val="20"/>
                <w:lang w:val="sr-Cyrl-CS"/>
              </w:rPr>
              <w:t>216,1</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894E472" w14:textId="77777777" w:rsidR="00247CBF" w:rsidRPr="00092ED7" w:rsidRDefault="00247CBF" w:rsidP="00247CBF">
            <w:pPr>
              <w:spacing w:after="0"/>
              <w:jc w:val="right"/>
              <w:rPr>
                <w:sz w:val="20"/>
                <w:szCs w:val="20"/>
                <w:lang w:val="sr-Cyrl-CS"/>
              </w:rPr>
            </w:pPr>
            <w:r w:rsidRPr="00092ED7">
              <w:rPr>
                <w:sz w:val="20"/>
                <w:szCs w:val="20"/>
                <w:lang w:val="sr-Cyrl-CS"/>
              </w:rPr>
              <w:t>197,8</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30C977E" w14:textId="77777777" w:rsidR="00247CBF" w:rsidRPr="00092ED7" w:rsidRDefault="00247CBF" w:rsidP="00247CBF">
            <w:pPr>
              <w:spacing w:after="0"/>
              <w:jc w:val="right"/>
              <w:rPr>
                <w:sz w:val="20"/>
                <w:szCs w:val="20"/>
                <w:lang w:val="sr-Cyrl-CS"/>
              </w:rPr>
            </w:pPr>
            <w:r w:rsidRPr="00092ED7">
              <w:rPr>
                <w:sz w:val="20"/>
                <w:szCs w:val="20"/>
                <w:lang w:val="sr-Cyrl-CS"/>
              </w:rPr>
              <w:t>184,0</w:t>
            </w:r>
          </w:p>
        </w:tc>
      </w:tr>
      <w:tr w:rsidR="00247CBF" w:rsidRPr="00092ED7" w14:paraId="02AB07EA"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58DE47C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Извоз робе и услуга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6273DD74" w14:textId="77777777" w:rsidR="00247CBF" w:rsidRPr="00092ED7" w:rsidRDefault="00247CBF" w:rsidP="00247CBF">
            <w:pPr>
              <w:spacing w:after="0"/>
              <w:jc w:val="center"/>
              <w:rPr>
                <w:sz w:val="20"/>
                <w:szCs w:val="20"/>
                <w:lang w:val="sr-Cyrl-CS"/>
              </w:rPr>
            </w:pPr>
            <w:r w:rsidRPr="00092ED7">
              <w:rPr>
                <w:sz w:val="20"/>
                <w:szCs w:val="20"/>
                <w:lang w:val="sr-Cyrl-CS"/>
              </w:rPr>
              <w:t>P6</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2038E46" w14:textId="77777777" w:rsidR="00247CBF" w:rsidRPr="00092ED7" w:rsidRDefault="00247CBF" w:rsidP="00247CBF">
            <w:pPr>
              <w:spacing w:after="0"/>
              <w:jc w:val="right"/>
              <w:rPr>
                <w:sz w:val="20"/>
                <w:szCs w:val="20"/>
                <w:lang w:val="sr-Cyrl-CS"/>
              </w:rPr>
            </w:pPr>
            <w:r w:rsidRPr="00092ED7">
              <w:rPr>
                <w:sz w:val="20"/>
                <w:szCs w:val="20"/>
                <w:lang w:val="sr-Cyrl-CS"/>
              </w:rPr>
              <w:t>2.619,8</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D75D2D2" w14:textId="77777777" w:rsidR="00247CBF" w:rsidRPr="00092ED7" w:rsidRDefault="00247CBF" w:rsidP="00247CBF">
            <w:pPr>
              <w:spacing w:after="0"/>
              <w:jc w:val="right"/>
              <w:rPr>
                <w:sz w:val="20"/>
                <w:szCs w:val="20"/>
                <w:lang w:val="sr-Cyrl-CS"/>
              </w:rPr>
            </w:pPr>
            <w:r w:rsidRPr="00092ED7">
              <w:rPr>
                <w:sz w:val="20"/>
                <w:szCs w:val="20"/>
                <w:lang w:val="sr-Cyrl-CS"/>
              </w:rPr>
              <w:t>3.130,9</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1C258F65" w14:textId="77777777" w:rsidR="00247CBF" w:rsidRPr="00092ED7" w:rsidRDefault="00247CBF" w:rsidP="00247CBF">
            <w:pPr>
              <w:spacing w:after="0"/>
              <w:jc w:val="right"/>
              <w:rPr>
                <w:sz w:val="20"/>
                <w:szCs w:val="20"/>
                <w:lang w:val="sr-Cyrl-CS"/>
              </w:rPr>
            </w:pPr>
            <w:r w:rsidRPr="00092ED7">
              <w:rPr>
                <w:sz w:val="20"/>
                <w:szCs w:val="20"/>
                <w:lang w:val="sr-Cyrl-CS"/>
              </w:rPr>
              <w:t>3.516,0</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7FAC5A5" w14:textId="77777777" w:rsidR="00247CBF" w:rsidRPr="00092ED7" w:rsidRDefault="00247CBF" w:rsidP="00247CBF">
            <w:pPr>
              <w:spacing w:after="0"/>
              <w:jc w:val="right"/>
              <w:rPr>
                <w:sz w:val="20"/>
                <w:szCs w:val="20"/>
                <w:lang w:val="sr-Cyrl-CS"/>
              </w:rPr>
            </w:pPr>
            <w:r w:rsidRPr="00092ED7">
              <w:rPr>
                <w:sz w:val="20"/>
                <w:szCs w:val="20"/>
                <w:lang w:val="sr-Cyrl-CS"/>
              </w:rPr>
              <w:t>3.688,3</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1A7D2E60" w14:textId="77777777" w:rsidR="00247CBF" w:rsidRPr="00092ED7" w:rsidRDefault="00247CBF" w:rsidP="00247CBF">
            <w:pPr>
              <w:spacing w:after="0"/>
              <w:jc w:val="right"/>
              <w:rPr>
                <w:sz w:val="20"/>
                <w:szCs w:val="20"/>
                <w:lang w:val="sr-Cyrl-CS"/>
              </w:rPr>
            </w:pPr>
            <w:r w:rsidRPr="00092ED7">
              <w:rPr>
                <w:sz w:val="20"/>
                <w:szCs w:val="20"/>
                <w:lang w:val="sr-Cyrl-CS"/>
              </w:rPr>
              <w:t>4.012,9</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F68CDC6" w14:textId="77777777" w:rsidR="00247CBF" w:rsidRPr="00092ED7" w:rsidRDefault="00247CBF" w:rsidP="00247CBF">
            <w:pPr>
              <w:spacing w:after="0"/>
              <w:jc w:val="right"/>
              <w:rPr>
                <w:sz w:val="20"/>
                <w:szCs w:val="20"/>
                <w:lang w:val="sr-Cyrl-CS"/>
              </w:rPr>
            </w:pPr>
            <w:r w:rsidRPr="00092ED7">
              <w:rPr>
                <w:sz w:val="20"/>
                <w:szCs w:val="20"/>
                <w:lang w:val="sr-Cyrl-CS"/>
              </w:rPr>
              <w:t>4.438,3</w:t>
            </w:r>
          </w:p>
        </w:tc>
      </w:tr>
      <w:tr w:rsidR="00247CBF" w:rsidRPr="00092ED7" w14:paraId="1A06E491"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765B4D7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Увоз робе и услуга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27B77D37" w14:textId="77777777" w:rsidR="00247CBF" w:rsidRPr="00092ED7" w:rsidRDefault="00247CBF" w:rsidP="00247CBF">
            <w:pPr>
              <w:spacing w:after="0"/>
              <w:jc w:val="center"/>
              <w:rPr>
                <w:sz w:val="20"/>
                <w:szCs w:val="20"/>
                <w:lang w:val="sr-Cyrl-CS"/>
              </w:rPr>
            </w:pPr>
            <w:r w:rsidRPr="00092ED7">
              <w:rPr>
                <w:sz w:val="20"/>
                <w:szCs w:val="20"/>
                <w:lang w:val="sr-Cyrl-CS"/>
              </w:rPr>
              <w:t>P7</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54B6D30" w14:textId="77777777" w:rsidR="00247CBF" w:rsidRPr="00092ED7" w:rsidRDefault="00247CBF" w:rsidP="00247CBF">
            <w:pPr>
              <w:spacing w:after="0"/>
              <w:jc w:val="right"/>
              <w:rPr>
                <w:sz w:val="20"/>
                <w:szCs w:val="20"/>
                <w:lang w:val="sr-Cyrl-CS"/>
              </w:rPr>
            </w:pPr>
            <w:r w:rsidRPr="00092ED7">
              <w:rPr>
                <w:sz w:val="20"/>
                <w:szCs w:val="20"/>
                <w:lang w:val="sr-Cyrl-CS"/>
              </w:rPr>
              <w:t>3.165,9</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79A8ABD7" w14:textId="77777777" w:rsidR="00247CBF" w:rsidRPr="00092ED7" w:rsidRDefault="00247CBF" w:rsidP="00247CBF">
            <w:pPr>
              <w:spacing w:after="0"/>
              <w:jc w:val="right"/>
              <w:rPr>
                <w:sz w:val="20"/>
                <w:szCs w:val="20"/>
                <w:lang w:val="sr-Cyrl-CS"/>
              </w:rPr>
            </w:pPr>
            <w:r w:rsidRPr="00092ED7">
              <w:rPr>
                <w:sz w:val="20"/>
                <w:szCs w:val="20"/>
                <w:lang w:val="sr-Cyrl-CS"/>
              </w:rPr>
              <w:t>3.725,4</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56D55C67" w14:textId="77777777" w:rsidR="00247CBF" w:rsidRPr="00092ED7" w:rsidRDefault="00247CBF" w:rsidP="00247CBF">
            <w:pPr>
              <w:spacing w:after="0"/>
              <w:jc w:val="right"/>
              <w:rPr>
                <w:sz w:val="20"/>
                <w:szCs w:val="20"/>
                <w:lang w:val="sr-Cyrl-CS"/>
              </w:rPr>
            </w:pPr>
            <w:r w:rsidRPr="00092ED7">
              <w:rPr>
                <w:sz w:val="20"/>
                <w:szCs w:val="20"/>
                <w:lang w:val="sr-Cyrl-CS"/>
              </w:rPr>
              <w:t>4.200,8</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5246BAA7" w14:textId="77777777" w:rsidR="00247CBF" w:rsidRPr="00092ED7" w:rsidRDefault="00247CBF" w:rsidP="00247CBF">
            <w:pPr>
              <w:spacing w:after="0"/>
              <w:jc w:val="right"/>
              <w:rPr>
                <w:sz w:val="20"/>
                <w:szCs w:val="20"/>
                <w:lang w:val="sr-Cyrl-CS"/>
              </w:rPr>
            </w:pPr>
            <w:r w:rsidRPr="00092ED7">
              <w:rPr>
                <w:sz w:val="20"/>
                <w:szCs w:val="20"/>
                <w:lang w:val="sr-Cyrl-CS"/>
              </w:rPr>
              <w:t>4.368,8</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7E736D55" w14:textId="77777777" w:rsidR="00247CBF" w:rsidRPr="00092ED7" w:rsidRDefault="00247CBF" w:rsidP="00247CBF">
            <w:pPr>
              <w:spacing w:after="0"/>
              <w:jc w:val="right"/>
              <w:rPr>
                <w:sz w:val="20"/>
                <w:szCs w:val="20"/>
                <w:lang w:val="sr-Cyrl-CS"/>
              </w:rPr>
            </w:pPr>
            <w:r w:rsidRPr="00092ED7">
              <w:rPr>
                <w:sz w:val="20"/>
                <w:szCs w:val="20"/>
                <w:lang w:val="sr-Cyrl-CS"/>
              </w:rPr>
              <w:t>4.667,7</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2D365FD3" w14:textId="77777777" w:rsidR="00247CBF" w:rsidRPr="00092ED7" w:rsidRDefault="00247CBF" w:rsidP="00247CBF">
            <w:pPr>
              <w:spacing w:after="0"/>
              <w:jc w:val="right"/>
              <w:rPr>
                <w:sz w:val="20"/>
                <w:szCs w:val="20"/>
                <w:lang w:val="sr-Cyrl-CS"/>
              </w:rPr>
            </w:pPr>
            <w:r w:rsidRPr="00092ED7">
              <w:rPr>
                <w:sz w:val="20"/>
                <w:szCs w:val="20"/>
                <w:lang w:val="sr-Cyrl-CS"/>
              </w:rPr>
              <w:t>5.078,4</w:t>
            </w:r>
          </w:p>
        </w:tc>
      </w:tr>
      <w:tr w:rsidR="00247CBF" w:rsidRPr="00092ED7" w14:paraId="154FF19E" w14:textId="77777777" w:rsidTr="00247CBF">
        <w:trPr>
          <w:gridAfter w:val="3"/>
          <w:wAfter w:w="365" w:type="dxa"/>
          <w:trHeight w:val="255"/>
        </w:trPr>
        <w:tc>
          <w:tcPr>
            <w:tcW w:w="4962" w:type="dxa"/>
            <w:gridSpan w:val="3"/>
            <w:tcBorders>
              <w:top w:val="nil"/>
              <w:left w:val="double" w:sz="6" w:space="0" w:color="auto"/>
              <w:bottom w:val="single" w:sz="4" w:space="0" w:color="auto"/>
              <w:right w:val="nil"/>
            </w:tcBorders>
            <w:shd w:val="clear" w:color="auto" w:fill="auto"/>
            <w:noWrap/>
            <w:vAlign w:val="bottom"/>
            <w:hideMark/>
          </w:tcPr>
          <w:p w14:paraId="157B4A0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Нето извоз</w:t>
            </w:r>
          </w:p>
        </w:tc>
        <w:tc>
          <w:tcPr>
            <w:tcW w:w="1447" w:type="dxa"/>
            <w:gridSpan w:val="3"/>
            <w:tcBorders>
              <w:top w:val="nil"/>
              <w:left w:val="single" w:sz="8" w:space="0" w:color="auto"/>
              <w:bottom w:val="single" w:sz="4" w:space="0" w:color="auto"/>
              <w:right w:val="single" w:sz="8" w:space="0" w:color="auto"/>
            </w:tcBorders>
            <w:shd w:val="clear" w:color="auto" w:fill="auto"/>
            <w:noWrap/>
            <w:vAlign w:val="bottom"/>
            <w:hideMark/>
          </w:tcPr>
          <w:p w14:paraId="35D37643" w14:textId="77777777" w:rsidR="00247CBF" w:rsidRPr="00092ED7" w:rsidRDefault="00247CBF" w:rsidP="00247CBF">
            <w:pPr>
              <w:spacing w:after="0"/>
              <w:jc w:val="center"/>
              <w:rPr>
                <w:sz w:val="20"/>
                <w:szCs w:val="20"/>
                <w:lang w:val="sr-Cyrl-CS"/>
              </w:rPr>
            </w:pPr>
            <w:r w:rsidRPr="00092ED7">
              <w:rPr>
                <w:sz w:val="20"/>
                <w:szCs w:val="20"/>
                <w:lang w:val="sr-Cyrl-CS"/>
              </w:rPr>
              <w:t> </w:t>
            </w:r>
          </w:p>
        </w:tc>
        <w:tc>
          <w:tcPr>
            <w:tcW w:w="1380" w:type="dxa"/>
            <w:gridSpan w:val="3"/>
            <w:tcBorders>
              <w:top w:val="nil"/>
              <w:left w:val="nil"/>
              <w:bottom w:val="single" w:sz="4" w:space="0" w:color="auto"/>
              <w:right w:val="dashed" w:sz="4" w:space="0" w:color="auto"/>
            </w:tcBorders>
            <w:shd w:val="clear" w:color="auto" w:fill="auto"/>
            <w:noWrap/>
            <w:vAlign w:val="center"/>
            <w:hideMark/>
          </w:tcPr>
          <w:p w14:paraId="0C6CB705" w14:textId="77777777" w:rsidR="00247CBF" w:rsidRPr="00092ED7" w:rsidRDefault="00247CBF" w:rsidP="00247CBF">
            <w:pPr>
              <w:spacing w:after="0"/>
              <w:jc w:val="right"/>
              <w:rPr>
                <w:sz w:val="20"/>
                <w:szCs w:val="20"/>
                <w:lang w:val="sr-Cyrl-CS"/>
              </w:rPr>
            </w:pPr>
            <w:r w:rsidRPr="00092ED7">
              <w:rPr>
                <w:sz w:val="20"/>
                <w:szCs w:val="20"/>
                <w:lang w:val="sr-Cyrl-CS"/>
              </w:rPr>
              <w:t>-546,1</w:t>
            </w:r>
          </w:p>
        </w:tc>
        <w:tc>
          <w:tcPr>
            <w:tcW w:w="1300" w:type="dxa"/>
            <w:gridSpan w:val="4"/>
            <w:tcBorders>
              <w:top w:val="nil"/>
              <w:left w:val="nil"/>
              <w:bottom w:val="single" w:sz="4" w:space="0" w:color="auto"/>
              <w:right w:val="dashed" w:sz="4" w:space="0" w:color="auto"/>
            </w:tcBorders>
            <w:shd w:val="clear" w:color="auto" w:fill="auto"/>
            <w:noWrap/>
            <w:vAlign w:val="center"/>
            <w:hideMark/>
          </w:tcPr>
          <w:p w14:paraId="41B5E3A7" w14:textId="77777777" w:rsidR="00247CBF" w:rsidRPr="00092ED7" w:rsidRDefault="00247CBF" w:rsidP="00247CBF">
            <w:pPr>
              <w:spacing w:after="0"/>
              <w:jc w:val="right"/>
              <w:rPr>
                <w:sz w:val="20"/>
                <w:szCs w:val="20"/>
                <w:lang w:val="sr-Cyrl-CS"/>
              </w:rPr>
            </w:pPr>
            <w:r w:rsidRPr="00092ED7">
              <w:rPr>
                <w:sz w:val="20"/>
                <w:szCs w:val="20"/>
                <w:lang w:val="sr-Cyrl-CS"/>
              </w:rPr>
              <w:t>-594,5</w:t>
            </w:r>
          </w:p>
        </w:tc>
        <w:tc>
          <w:tcPr>
            <w:tcW w:w="1360" w:type="dxa"/>
            <w:gridSpan w:val="4"/>
            <w:tcBorders>
              <w:top w:val="nil"/>
              <w:left w:val="nil"/>
              <w:bottom w:val="single" w:sz="4" w:space="0" w:color="auto"/>
              <w:right w:val="dashed" w:sz="4" w:space="0" w:color="auto"/>
            </w:tcBorders>
            <w:shd w:val="clear" w:color="auto" w:fill="auto"/>
            <w:noWrap/>
            <w:vAlign w:val="center"/>
            <w:hideMark/>
          </w:tcPr>
          <w:p w14:paraId="79EB5747" w14:textId="77777777" w:rsidR="00247CBF" w:rsidRPr="00092ED7" w:rsidRDefault="00247CBF" w:rsidP="00247CBF">
            <w:pPr>
              <w:spacing w:after="0"/>
              <w:jc w:val="right"/>
              <w:rPr>
                <w:sz w:val="20"/>
                <w:szCs w:val="20"/>
                <w:lang w:val="sr-Cyrl-CS"/>
              </w:rPr>
            </w:pPr>
            <w:r w:rsidRPr="00092ED7">
              <w:rPr>
                <w:sz w:val="20"/>
                <w:szCs w:val="20"/>
                <w:lang w:val="sr-Cyrl-CS"/>
              </w:rPr>
              <w:t>-684,8</w:t>
            </w:r>
          </w:p>
        </w:tc>
        <w:tc>
          <w:tcPr>
            <w:tcW w:w="1260" w:type="dxa"/>
            <w:gridSpan w:val="4"/>
            <w:tcBorders>
              <w:top w:val="nil"/>
              <w:left w:val="nil"/>
              <w:bottom w:val="single" w:sz="4" w:space="0" w:color="auto"/>
              <w:right w:val="dashed" w:sz="4" w:space="0" w:color="auto"/>
            </w:tcBorders>
            <w:shd w:val="clear" w:color="auto" w:fill="auto"/>
            <w:noWrap/>
            <w:vAlign w:val="center"/>
            <w:hideMark/>
          </w:tcPr>
          <w:p w14:paraId="54804849" w14:textId="77777777" w:rsidR="00247CBF" w:rsidRPr="00092ED7" w:rsidRDefault="00247CBF" w:rsidP="00247CBF">
            <w:pPr>
              <w:spacing w:after="0"/>
              <w:jc w:val="right"/>
              <w:rPr>
                <w:sz w:val="20"/>
                <w:szCs w:val="20"/>
                <w:lang w:val="sr-Cyrl-CS"/>
              </w:rPr>
            </w:pPr>
            <w:r w:rsidRPr="00092ED7">
              <w:rPr>
                <w:sz w:val="20"/>
                <w:szCs w:val="20"/>
                <w:lang w:val="sr-Cyrl-CS"/>
              </w:rPr>
              <w:t>-680,5</w:t>
            </w:r>
          </w:p>
        </w:tc>
        <w:tc>
          <w:tcPr>
            <w:tcW w:w="1260" w:type="dxa"/>
            <w:gridSpan w:val="3"/>
            <w:tcBorders>
              <w:top w:val="nil"/>
              <w:left w:val="nil"/>
              <w:bottom w:val="single" w:sz="4" w:space="0" w:color="auto"/>
              <w:right w:val="dashed" w:sz="4" w:space="0" w:color="auto"/>
            </w:tcBorders>
            <w:shd w:val="clear" w:color="auto" w:fill="auto"/>
            <w:noWrap/>
            <w:vAlign w:val="center"/>
            <w:hideMark/>
          </w:tcPr>
          <w:p w14:paraId="5861FE59" w14:textId="77777777" w:rsidR="00247CBF" w:rsidRPr="00092ED7" w:rsidRDefault="00247CBF" w:rsidP="00247CBF">
            <w:pPr>
              <w:spacing w:after="0"/>
              <w:jc w:val="right"/>
              <w:rPr>
                <w:sz w:val="20"/>
                <w:szCs w:val="20"/>
                <w:lang w:val="sr-Cyrl-CS"/>
              </w:rPr>
            </w:pPr>
            <w:r w:rsidRPr="00092ED7">
              <w:rPr>
                <w:sz w:val="20"/>
                <w:szCs w:val="20"/>
                <w:lang w:val="sr-Cyrl-CS"/>
              </w:rPr>
              <w:t>-654,8</w:t>
            </w:r>
          </w:p>
        </w:tc>
        <w:tc>
          <w:tcPr>
            <w:tcW w:w="1268" w:type="dxa"/>
            <w:gridSpan w:val="3"/>
            <w:tcBorders>
              <w:top w:val="nil"/>
              <w:left w:val="nil"/>
              <w:bottom w:val="single" w:sz="4" w:space="0" w:color="auto"/>
              <w:right w:val="double" w:sz="4" w:space="0" w:color="auto"/>
            </w:tcBorders>
            <w:shd w:val="clear" w:color="auto" w:fill="auto"/>
            <w:noWrap/>
            <w:vAlign w:val="center"/>
            <w:hideMark/>
          </w:tcPr>
          <w:p w14:paraId="42677067" w14:textId="77777777" w:rsidR="00247CBF" w:rsidRPr="00092ED7" w:rsidRDefault="00247CBF" w:rsidP="00247CBF">
            <w:pPr>
              <w:spacing w:after="0"/>
              <w:jc w:val="right"/>
              <w:rPr>
                <w:sz w:val="20"/>
                <w:szCs w:val="20"/>
                <w:lang w:val="sr-Cyrl-CS"/>
              </w:rPr>
            </w:pPr>
            <w:r w:rsidRPr="00092ED7">
              <w:rPr>
                <w:sz w:val="20"/>
                <w:szCs w:val="20"/>
                <w:lang w:val="sr-Cyrl-CS"/>
              </w:rPr>
              <w:t>-640,2</w:t>
            </w:r>
          </w:p>
        </w:tc>
      </w:tr>
      <w:tr w:rsidR="00247CBF" w:rsidRPr="00092ED7" w14:paraId="395A1E98" w14:textId="77777777" w:rsidTr="00247CBF">
        <w:trPr>
          <w:gridAfter w:val="3"/>
          <w:wAfter w:w="365" w:type="dxa"/>
          <w:trHeight w:val="255"/>
        </w:trPr>
        <w:tc>
          <w:tcPr>
            <w:tcW w:w="4962" w:type="dxa"/>
            <w:gridSpan w:val="3"/>
            <w:tcBorders>
              <w:top w:val="nil"/>
              <w:left w:val="double" w:sz="6" w:space="0" w:color="auto"/>
              <w:bottom w:val="single" w:sz="4" w:space="0" w:color="auto"/>
              <w:right w:val="nil"/>
            </w:tcBorders>
            <w:shd w:val="clear" w:color="auto" w:fill="auto"/>
            <w:noWrap/>
            <w:vAlign w:val="bottom"/>
            <w:hideMark/>
          </w:tcPr>
          <w:p w14:paraId="36F4F7D7"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1a: Расходна страна, текуће цене (млрд РСД)</w:t>
            </w:r>
          </w:p>
        </w:tc>
        <w:tc>
          <w:tcPr>
            <w:tcW w:w="1447" w:type="dxa"/>
            <w:gridSpan w:val="3"/>
            <w:tcBorders>
              <w:top w:val="nil"/>
              <w:left w:val="single" w:sz="8" w:space="0" w:color="auto"/>
              <w:bottom w:val="single" w:sz="4" w:space="0" w:color="auto"/>
              <w:right w:val="single" w:sz="8" w:space="0" w:color="auto"/>
            </w:tcBorders>
            <w:shd w:val="clear" w:color="auto" w:fill="auto"/>
            <w:noWrap/>
            <w:vAlign w:val="bottom"/>
            <w:hideMark/>
          </w:tcPr>
          <w:p w14:paraId="6ED4CAD8" w14:textId="77777777" w:rsidR="00247CBF" w:rsidRPr="00092ED7" w:rsidRDefault="00247CBF" w:rsidP="00247CBF">
            <w:pPr>
              <w:spacing w:after="0"/>
              <w:jc w:val="center"/>
              <w:rPr>
                <w:sz w:val="20"/>
                <w:szCs w:val="20"/>
                <w:lang w:val="sr-Cyrl-CS"/>
              </w:rPr>
            </w:pPr>
            <w:r w:rsidRPr="00092ED7">
              <w:rPr>
                <w:sz w:val="20"/>
                <w:szCs w:val="20"/>
                <w:lang w:val="sr-Cyrl-CS"/>
              </w:rPr>
              <w:t> </w:t>
            </w:r>
          </w:p>
        </w:tc>
        <w:tc>
          <w:tcPr>
            <w:tcW w:w="1380" w:type="dxa"/>
            <w:gridSpan w:val="3"/>
            <w:tcBorders>
              <w:top w:val="nil"/>
              <w:left w:val="nil"/>
              <w:bottom w:val="single" w:sz="4" w:space="0" w:color="auto"/>
              <w:right w:val="dashed" w:sz="4" w:space="0" w:color="auto"/>
            </w:tcBorders>
            <w:shd w:val="clear" w:color="auto" w:fill="auto"/>
            <w:noWrap/>
            <w:vAlign w:val="center"/>
            <w:hideMark/>
          </w:tcPr>
          <w:p w14:paraId="7476B53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single" w:sz="4" w:space="0" w:color="auto"/>
              <w:right w:val="dashed" w:sz="4" w:space="0" w:color="auto"/>
            </w:tcBorders>
            <w:shd w:val="clear" w:color="auto" w:fill="auto"/>
            <w:noWrap/>
            <w:vAlign w:val="center"/>
            <w:hideMark/>
          </w:tcPr>
          <w:p w14:paraId="09128C1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single" w:sz="4" w:space="0" w:color="auto"/>
              <w:right w:val="dashed" w:sz="4" w:space="0" w:color="auto"/>
            </w:tcBorders>
            <w:shd w:val="clear" w:color="auto" w:fill="auto"/>
            <w:noWrap/>
            <w:vAlign w:val="center"/>
            <w:hideMark/>
          </w:tcPr>
          <w:p w14:paraId="2795467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single" w:sz="4" w:space="0" w:color="auto"/>
              <w:right w:val="dashed" w:sz="4" w:space="0" w:color="auto"/>
            </w:tcBorders>
            <w:shd w:val="clear" w:color="auto" w:fill="auto"/>
            <w:noWrap/>
            <w:vAlign w:val="center"/>
            <w:hideMark/>
          </w:tcPr>
          <w:p w14:paraId="24BD239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single" w:sz="4" w:space="0" w:color="auto"/>
              <w:right w:val="dashed" w:sz="4" w:space="0" w:color="auto"/>
            </w:tcBorders>
            <w:shd w:val="clear" w:color="auto" w:fill="auto"/>
            <w:noWrap/>
            <w:vAlign w:val="center"/>
            <w:hideMark/>
          </w:tcPr>
          <w:p w14:paraId="070B21F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single" w:sz="4" w:space="0" w:color="auto"/>
              <w:right w:val="double" w:sz="4" w:space="0" w:color="auto"/>
            </w:tcBorders>
            <w:shd w:val="clear" w:color="auto" w:fill="auto"/>
            <w:noWrap/>
            <w:vAlign w:val="center"/>
            <w:hideMark/>
          </w:tcPr>
          <w:p w14:paraId="5122A67E"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71B0E373"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5154797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БДП према тржишним ценама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30C5D388" w14:textId="77777777" w:rsidR="00247CBF" w:rsidRPr="00092ED7" w:rsidRDefault="00247CBF" w:rsidP="00247CBF">
            <w:pPr>
              <w:spacing w:after="0"/>
              <w:jc w:val="center"/>
              <w:rPr>
                <w:sz w:val="20"/>
                <w:szCs w:val="20"/>
                <w:lang w:val="sr-Cyrl-CS"/>
              </w:rPr>
            </w:pPr>
            <w:r w:rsidRPr="00092ED7">
              <w:rPr>
                <w:sz w:val="20"/>
                <w:szCs w:val="20"/>
                <w:lang w:val="sr-Cyrl-CS"/>
              </w:rPr>
              <w:t>B1*g</w:t>
            </w:r>
          </w:p>
        </w:tc>
        <w:tc>
          <w:tcPr>
            <w:tcW w:w="1380" w:type="dxa"/>
            <w:gridSpan w:val="3"/>
            <w:tcBorders>
              <w:top w:val="nil"/>
              <w:left w:val="dashed" w:sz="4" w:space="0" w:color="auto"/>
              <w:bottom w:val="dashed" w:sz="4" w:space="0" w:color="auto"/>
              <w:right w:val="dashed" w:sz="4" w:space="0" w:color="auto"/>
            </w:tcBorders>
            <w:shd w:val="clear" w:color="auto" w:fill="auto"/>
            <w:noWrap/>
            <w:vAlign w:val="center"/>
            <w:hideMark/>
          </w:tcPr>
          <w:p w14:paraId="3050CC71" w14:textId="77777777" w:rsidR="00247CBF" w:rsidRPr="00092ED7" w:rsidRDefault="00247CBF" w:rsidP="00247CBF">
            <w:pPr>
              <w:spacing w:after="0"/>
              <w:jc w:val="right"/>
              <w:rPr>
                <w:sz w:val="20"/>
                <w:szCs w:val="20"/>
                <w:lang w:val="sr-Cyrl-CS"/>
              </w:rPr>
            </w:pPr>
            <w:r w:rsidRPr="00092ED7">
              <w:rPr>
                <w:sz w:val="20"/>
                <w:szCs w:val="20"/>
                <w:lang w:val="sr-Cyrl-CS"/>
              </w:rPr>
              <w:t>5.504,4</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6BFE232" w14:textId="77777777" w:rsidR="00247CBF" w:rsidRPr="00092ED7" w:rsidRDefault="00247CBF" w:rsidP="00247CBF">
            <w:pPr>
              <w:spacing w:after="0"/>
              <w:jc w:val="right"/>
              <w:rPr>
                <w:sz w:val="20"/>
                <w:szCs w:val="20"/>
                <w:lang w:val="sr-Cyrl-CS"/>
              </w:rPr>
            </w:pPr>
            <w:r w:rsidRPr="00092ED7">
              <w:rPr>
                <w:sz w:val="20"/>
                <w:szCs w:val="20"/>
                <w:lang w:val="sr-Cyrl-CS"/>
              </w:rPr>
              <w:t>6.270,1</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A555528" w14:textId="77777777" w:rsidR="00247CBF" w:rsidRPr="00092ED7" w:rsidRDefault="00247CBF" w:rsidP="00247CBF">
            <w:pPr>
              <w:spacing w:after="0"/>
              <w:jc w:val="right"/>
              <w:rPr>
                <w:sz w:val="20"/>
                <w:szCs w:val="20"/>
                <w:lang w:val="sr-Cyrl-CS"/>
              </w:rPr>
            </w:pPr>
            <w:r w:rsidRPr="00092ED7">
              <w:rPr>
                <w:sz w:val="20"/>
                <w:szCs w:val="20"/>
                <w:lang w:val="sr-Cyrl-CS"/>
              </w:rPr>
              <w:t>7.082,5</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6B0B3D4" w14:textId="77777777" w:rsidR="00247CBF" w:rsidRPr="00092ED7" w:rsidRDefault="00247CBF" w:rsidP="00247CBF">
            <w:pPr>
              <w:spacing w:after="0"/>
              <w:jc w:val="right"/>
              <w:rPr>
                <w:sz w:val="20"/>
                <w:szCs w:val="20"/>
                <w:lang w:val="sr-Cyrl-CS"/>
              </w:rPr>
            </w:pPr>
            <w:r w:rsidRPr="00092ED7">
              <w:rPr>
                <w:sz w:val="20"/>
                <w:szCs w:val="20"/>
                <w:lang w:val="sr-Cyrl-CS"/>
              </w:rPr>
              <w:t>8.025,1</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63EF8CC0" w14:textId="77777777" w:rsidR="00247CBF" w:rsidRPr="00092ED7" w:rsidRDefault="00247CBF" w:rsidP="00247CBF">
            <w:pPr>
              <w:spacing w:after="0"/>
              <w:jc w:val="right"/>
              <w:rPr>
                <w:sz w:val="20"/>
                <w:szCs w:val="20"/>
                <w:lang w:val="sr-Cyrl-CS"/>
              </w:rPr>
            </w:pPr>
            <w:r w:rsidRPr="00092ED7">
              <w:rPr>
                <w:sz w:val="20"/>
                <w:szCs w:val="20"/>
                <w:lang w:val="sr-Cyrl-CS"/>
              </w:rPr>
              <w:t>8.776,3</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7F79F8D" w14:textId="77777777" w:rsidR="00247CBF" w:rsidRPr="00092ED7" w:rsidRDefault="00247CBF" w:rsidP="00247CBF">
            <w:pPr>
              <w:spacing w:after="0"/>
              <w:jc w:val="right"/>
              <w:rPr>
                <w:sz w:val="20"/>
                <w:szCs w:val="20"/>
                <w:lang w:val="sr-Cyrl-CS"/>
              </w:rPr>
            </w:pPr>
            <w:r w:rsidRPr="00092ED7">
              <w:rPr>
                <w:sz w:val="20"/>
                <w:szCs w:val="20"/>
                <w:lang w:val="sr-Cyrl-CS"/>
              </w:rPr>
              <w:t>9.519,4</w:t>
            </w:r>
          </w:p>
        </w:tc>
      </w:tr>
      <w:tr w:rsidR="00247CBF" w:rsidRPr="00092ED7" w14:paraId="4A2DAC3D"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2A129D1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Приватна потрошња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2721BEB2" w14:textId="77777777" w:rsidR="00247CBF" w:rsidRPr="00092ED7" w:rsidRDefault="00247CBF" w:rsidP="00247CBF">
            <w:pPr>
              <w:spacing w:after="0"/>
              <w:jc w:val="center"/>
              <w:rPr>
                <w:sz w:val="20"/>
                <w:szCs w:val="20"/>
                <w:lang w:val="sr-Cyrl-CS"/>
              </w:rPr>
            </w:pPr>
            <w:r w:rsidRPr="00092ED7">
              <w:rPr>
                <w:sz w:val="20"/>
                <w:szCs w:val="20"/>
                <w:lang w:val="sr-Cyrl-CS"/>
              </w:rPr>
              <w:t>P3</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49D7ABF" w14:textId="77777777" w:rsidR="00247CBF" w:rsidRPr="00092ED7" w:rsidRDefault="00247CBF" w:rsidP="00247CBF">
            <w:pPr>
              <w:spacing w:after="0"/>
              <w:jc w:val="right"/>
              <w:rPr>
                <w:sz w:val="20"/>
                <w:szCs w:val="20"/>
                <w:lang w:val="sr-Cyrl-CS"/>
              </w:rPr>
            </w:pPr>
            <w:r w:rsidRPr="00092ED7">
              <w:rPr>
                <w:sz w:val="20"/>
                <w:szCs w:val="20"/>
                <w:lang w:val="sr-Cyrl-CS"/>
              </w:rPr>
              <w:t>3.666,6</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87AC130" w14:textId="77777777" w:rsidR="00247CBF" w:rsidRPr="00092ED7" w:rsidRDefault="00247CBF" w:rsidP="00247CBF">
            <w:pPr>
              <w:spacing w:after="0"/>
              <w:jc w:val="right"/>
              <w:rPr>
                <w:sz w:val="20"/>
                <w:szCs w:val="20"/>
                <w:lang w:val="sr-Cyrl-CS"/>
              </w:rPr>
            </w:pPr>
            <w:r w:rsidRPr="00092ED7">
              <w:rPr>
                <w:sz w:val="20"/>
                <w:szCs w:val="20"/>
                <w:lang w:val="sr-Cyrl-CS"/>
              </w:rPr>
              <w:t>4.134,2</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58521312" w14:textId="77777777" w:rsidR="00247CBF" w:rsidRPr="00092ED7" w:rsidRDefault="00247CBF" w:rsidP="00247CBF">
            <w:pPr>
              <w:spacing w:after="0"/>
              <w:jc w:val="right"/>
              <w:rPr>
                <w:sz w:val="20"/>
                <w:szCs w:val="20"/>
                <w:lang w:val="sr-Cyrl-CS"/>
              </w:rPr>
            </w:pPr>
            <w:r w:rsidRPr="00092ED7">
              <w:rPr>
                <w:sz w:val="20"/>
                <w:szCs w:val="20"/>
                <w:lang w:val="sr-Cyrl-CS"/>
              </w:rPr>
              <w:t>4.795,8</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5FB28210" w14:textId="77777777" w:rsidR="00247CBF" w:rsidRPr="00092ED7" w:rsidRDefault="00247CBF" w:rsidP="00247CBF">
            <w:pPr>
              <w:spacing w:after="0"/>
              <w:jc w:val="right"/>
              <w:rPr>
                <w:sz w:val="20"/>
                <w:szCs w:val="20"/>
                <w:lang w:val="sr-Cyrl-CS"/>
              </w:rPr>
            </w:pPr>
            <w:r w:rsidRPr="00092ED7">
              <w:rPr>
                <w:sz w:val="20"/>
                <w:szCs w:val="20"/>
                <w:lang w:val="sr-Cyrl-CS"/>
              </w:rPr>
              <w:t>5.438,8</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5E348890" w14:textId="77777777" w:rsidR="00247CBF" w:rsidRPr="00092ED7" w:rsidRDefault="00247CBF" w:rsidP="00247CBF">
            <w:pPr>
              <w:spacing w:after="0"/>
              <w:jc w:val="right"/>
              <w:rPr>
                <w:sz w:val="20"/>
                <w:szCs w:val="20"/>
                <w:lang w:val="sr-Cyrl-CS"/>
              </w:rPr>
            </w:pPr>
            <w:r w:rsidRPr="00092ED7">
              <w:rPr>
                <w:sz w:val="20"/>
                <w:szCs w:val="20"/>
                <w:lang w:val="sr-Cyrl-CS"/>
              </w:rPr>
              <w:t>5.876,4</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2067D39B" w14:textId="77777777" w:rsidR="00247CBF" w:rsidRPr="00092ED7" w:rsidRDefault="00247CBF" w:rsidP="00247CBF">
            <w:pPr>
              <w:spacing w:after="0"/>
              <w:jc w:val="right"/>
              <w:rPr>
                <w:sz w:val="20"/>
                <w:szCs w:val="20"/>
                <w:lang w:val="sr-Cyrl-CS"/>
              </w:rPr>
            </w:pPr>
            <w:r w:rsidRPr="00092ED7">
              <w:rPr>
                <w:sz w:val="20"/>
                <w:szCs w:val="20"/>
                <w:lang w:val="sr-Cyrl-CS"/>
              </w:rPr>
              <w:t>6.301,0</w:t>
            </w:r>
          </w:p>
        </w:tc>
      </w:tr>
      <w:tr w:rsidR="00247CBF" w:rsidRPr="00092ED7" w14:paraId="5D2ABE1A"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55356C3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Државна потрошња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7D853B77" w14:textId="77777777" w:rsidR="00247CBF" w:rsidRPr="00092ED7" w:rsidRDefault="00247CBF" w:rsidP="00247CBF">
            <w:pPr>
              <w:spacing w:after="0"/>
              <w:jc w:val="center"/>
              <w:rPr>
                <w:sz w:val="20"/>
                <w:szCs w:val="20"/>
                <w:lang w:val="sr-Cyrl-CS"/>
              </w:rPr>
            </w:pPr>
            <w:r w:rsidRPr="00092ED7">
              <w:rPr>
                <w:sz w:val="20"/>
                <w:szCs w:val="20"/>
                <w:lang w:val="sr-Cyrl-CS"/>
              </w:rPr>
              <w:t>P3</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7B473AFD" w14:textId="77777777" w:rsidR="00247CBF" w:rsidRPr="00092ED7" w:rsidRDefault="00247CBF" w:rsidP="00247CBF">
            <w:pPr>
              <w:spacing w:after="0"/>
              <w:jc w:val="right"/>
              <w:rPr>
                <w:sz w:val="20"/>
                <w:szCs w:val="20"/>
                <w:lang w:val="sr-Cyrl-CS"/>
              </w:rPr>
            </w:pPr>
            <w:r w:rsidRPr="00092ED7">
              <w:rPr>
                <w:sz w:val="20"/>
                <w:szCs w:val="20"/>
                <w:lang w:val="sr-Cyrl-CS"/>
              </w:rPr>
              <w:t>962,2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76AEF85D" w14:textId="77777777" w:rsidR="00247CBF" w:rsidRPr="00092ED7" w:rsidRDefault="00247CBF" w:rsidP="00247CBF">
            <w:pPr>
              <w:spacing w:after="0"/>
              <w:jc w:val="right"/>
              <w:rPr>
                <w:sz w:val="20"/>
                <w:szCs w:val="20"/>
                <w:lang w:val="sr-Cyrl-CS"/>
              </w:rPr>
            </w:pPr>
            <w:r w:rsidRPr="00092ED7">
              <w:rPr>
                <w:sz w:val="20"/>
                <w:szCs w:val="20"/>
                <w:lang w:val="sr-Cyrl-CS"/>
              </w:rPr>
              <w:t>1.056,6</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317AFCC0" w14:textId="77777777" w:rsidR="00247CBF" w:rsidRPr="00092ED7" w:rsidRDefault="00247CBF" w:rsidP="00247CBF">
            <w:pPr>
              <w:spacing w:after="0"/>
              <w:jc w:val="right"/>
              <w:rPr>
                <w:sz w:val="20"/>
                <w:szCs w:val="20"/>
                <w:lang w:val="sr-Cyrl-CS"/>
              </w:rPr>
            </w:pPr>
            <w:r w:rsidRPr="00092ED7">
              <w:rPr>
                <w:sz w:val="20"/>
                <w:szCs w:val="20"/>
                <w:lang w:val="sr-Cyrl-CS"/>
              </w:rPr>
              <w:t>1.167,4</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563F1A0E" w14:textId="77777777" w:rsidR="00247CBF" w:rsidRPr="00092ED7" w:rsidRDefault="00247CBF" w:rsidP="00247CBF">
            <w:pPr>
              <w:spacing w:after="0"/>
              <w:jc w:val="right"/>
              <w:rPr>
                <w:sz w:val="20"/>
                <w:szCs w:val="20"/>
                <w:lang w:val="sr-Cyrl-CS"/>
              </w:rPr>
            </w:pPr>
            <w:r w:rsidRPr="00092ED7">
              <w:rPr>
                <w:sz w:val="20"/>
                <w:szCs w:val="20"/>
                <w:lang w:val="sr-Cyrl-CS"/>
              </w:rPr>
              <w:t>1.272,2</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DD76FCA" w14:textId="77777777" w:rsidR="00247CBF" w:rsidRPr="00092ED7" w:rsidRDefault="00247CBF" w:rsidP="00247CBF">
            <w:pPr>
              <w:spacing w:after="0"/>
              <w:jc w:val="right"/>
              <w:rPr>
                <w:sz w:val="20"/>
                <w:szCs w:val="20"/>
                <w:lang w:val="sr-Cyrl-CS"/>
              </w:rPr>
            </w:pPr>
            <w:r w:rsidRPr="00092ED7">
              <w:rPr>
                <w:sz w:val="20"/>
                <w:szCs w:val="20"/>
                <w:lang w:val="sr-Cyrl-CS"/>
              </w:rPr>
              <w:t>1.354,0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CE87704" w14:textId="77777777" w:rsidR="00247CBF" w:rsidRPr="00092ED7" w:rsidRDefault="00247CBF" w:rsidP="00247CBF">
            <w:pPr>
              <w:spacing w:after="0"/>
              <w:jc w:val="right"/>
              <w:rPr>
                <w:sz w:val="20"/>
                <w:szCs w:val="20"/>
                <w:lang w:val="sr-Cyrl-CS"/>
              </w:rPr>
            </w:pPr>
            <w:r w:rsidRPr="00092ED7">
              <w:rPr>
                <w:sz w:val="20"/>
                <w:szCs w:val="20"/>
                <w:lang w:val="sr-Cyrl-CS"/>
              </w:rPr>
              <w:t>1.441,8</w:t>
            </w:r>
          </w:p>
        </w:tc>
      </w:tr>
      <w:tr w:rsidR="00247CBF" w:rsidRPr="00092ED7" w14:paraId="7A147F9B"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4BCBC9A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Бруто инвестиције у основна средства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64030BB0" w14:textId="77777777" w:rsidR="00247CBF" w:rsidRPr="00092ED7" w:rsidRDefault="00247CBF" w:rsidP="00247CBF">
            <w:pPr>
              <w:spacing w:after="0"/>
              <w:jc w:val="center"/>
              <w:rPr>
                <w:sz w:val="20"/>
                <w:szCs w:val="20"/>
                <w:lang w:val="sr-Cyrl-CS"/>
              </w:rPr>
            </w:pPr>
            <w:r w:rsidRPr="00092ED7">
              <w:rPr>
                <w:sz w:val="20"/>
                <w:szCs w:val="20"/>
                <w:lang w:val="sr-Cyrl-CS"/>
              </w:rPr>
              <w:t>P51</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63E455D9" w14:textId="77777777" w:rsidR="00247CBF" w:rsidRPr="00092ED7" w:rsidRDefault="00247CBF" w:rsidP="00247CBF">
            <w:pPr>
              <w:spacing w:after="0"/>
              <w:jc w:val="right"/>
              <w:rPr>
                <w:sz w:val="20"/>
                <w:szCs w:val="20"/>
                <w:lang w:val="sr-Cyrl-CS"/>
              </w:rPr>
            </w:pPr>
            <w:r w:rsidRPr="00092ED7">
              <w:rPr>
                <w:sz w:val="20"/>
                <w:szCs w:val="20"/>
                <w:lang w:val="sr-Cyrl-CS"/>
              </w:rPr>
              <w:t>1.180,1</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49BE49C9" w14:textId="77777777" w:rsidR="00247CBF" w:rsidRPr="00092ED7" w:rsidRDefault="00247CBF" w:rsidP="00247CBF">
            <w:pPr>
              <w:spacing w:after="0"/>
              <w:jc w:val="right"/>
              <w:rPr>
                <w:sz w:val="20"/>
                <w:szCs w:val="20"/>
                <w:lang w:val="sr-Cyrl-CS"/>
              </w:rPr>
            </w:pPr>
            <w:r w:rsidRPr="00092ED7">
              <w:rPr>
                <w:sz w:val="20"/>
                <w:szCs w:val="20"/>
                <w:lang w:val="sr-Cyrl-CS"/>
              </w:rPr>
              <w:t>1.448,5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42189B3" w14:textId="77777777" w:rsidR="00247CBF" w:rsidRPr="00092ED7" w:rsidRDefault="00247CBF" w:rsidP="00247CBF">
            <w:pPr>
              <w:spacing w:after="0"/>
              <w:jc w:val="right"/>
              <w:rPr>
                <w:sz w:val="20"/>
                <w:szCs w:val="20"/>
                <w:lang w:val="sr-Cyrl-CS"/>
              </w:rPr>
            </w:pPr>
            <w:r w:rsidRPr="00092ED7">
              <w:rPr>
                <w:sz w:val="20"/>
                <w:szCs w:val="20"/>
                <w:lang w:val="sr-Cyrl-CS"/>
              </w:rPr>
              <w:t>1.657,6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35AC5E29" w14:textId="77777777" w:rsidR="00247CBF" w:rsidRPr="00092ED7" w:rsidRDefault="00247CBF" w:rsidP="00247CBF">
            <w:pPr>
              <w:spacing w:after="0"/>
              <w:jc w:val="right"/>
              <w:rPr>
                <w:sz w:val="20"/>
                <w:szCs w:val="20"/>
                <w:lang w:val="sr-Cyrl-CS"/>
              </w:rPr>
            </w:pPr>
            <w:r w:rsidRPr="00092ED7">
              <w:rPr>
                <w:sz w:val="20"/>
                <w:szCs w:val="20"/>
                <w:lang w:val="sr-Cyrl-CS"/>
              </w:rPr>
              <w:t>1.823,0</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0A52556" w14:textId="77777777" w:rsidR="00247CBF" w:rsidRPr="00092ED7" w:rsidRDefault="00247CBF" w:rsidP="00247CBF">
            <w:pPr>
              <w:spacing w:after="0"/>
              <w:jc w:val="right"/>
              <w:rPr>
                <w:sz w:val="20"/>
                <w:szCs w:val="20"/>
                <w:lang w:val="sr-Cyrl-CS"/>
              </w:rPr>
            </w:pPr>
            <w:r w:rsidRPr="00092ED7">
              <w:rPr>
                <w:sz w:val="20"/>
                <w:szCs w:val="20"/>
                <w:lang w:val="sr-Cyrl-CS"/>
              </w:rPr>
              <w:t>2.017,3</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A9610EF" w14:textId="77777777" w:rsidR="00247CBF" w:rsidRPr="00092ED7" w:rsidRDefault="00247CBF" w:rsidP="00247CBF">
            <w:pPr>
              <w:spacing w:after="0"/>
              <w:jc w:val="right"/>
              <w:rPr>
                <w:sz w:val="20"/>
                <w:szCs w:val="20"/>
                <w:lang w:val="sr-Cyrl-CS"/>
              </w:rPr>
            </w:pPr>
            <w:r w:rsidRPr="00092ED7">
              <w:rPr>
                <w:sz w:val="20"/>
                <w:szCs w:val="20"/>
                <w:lang w:val="sr-Cyrl-CS"/>
              </w:rPr>
              <w:t>2.220,5</w:t>
            </w:r>
          </w:p>
        </w:tc>
      </w:tr>
      <w:tr w:rsidR="00247CBF" w:rsidRPr="00092ED7" w14:paraId="4B80A137"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7F7054E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Домаћа тражња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1375AB23" w14:textId="77777777" w:rsidR="00247CBF" w:rsidRPr="00092ED7" w:rsidRDefault="00247CBF" w:rsidP="00247CBF">
            <w:pPr>
              <w:spacing w:after="0"/>
              <w:jc w:val="center"/>
              <w:rPr>
                <w:sz w:val="20"/>
                <w:szCs w:val="20"/>
                <w:lang w:val="sr-Cyrl-CS"/>
              </w:rPr>
            </w:pPr>
            <w:r w:rsidRPr="00092ED7">
              <w:rPr>
                <w:sz w:val="20"/>
                <w:szCs w:val="20"/>
                <w:lang w:val="sr-Cyrl-CS"/>
              </w:rPr>
              <w:t> </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4331E61" w14:textId="77777777" w:rsidR="00247CBF" w:rsidRPr="00092ED7" w:rsidRDefault="00247CBF" w:rsidP="00247CBF">
            <w:pPr>
              <w:spacing w:after="0"/>
              <w:jc w:val="right"/>
              <w:rPr>
                <w:sz w:val="20"/>
                <w:szCs w:val="20"/>
                <w:lang w:val="sr-Cyrl-CS"/>
              </w:rPr>
            </w:pPr>
            <w:r w:rsidRPr="00092ED7">
              <w:rPr>
                <w:sz w:val="20"/>
                <w:szCs w:val="20"/>
                <w:lang w:val="sr-Cyrl-CS"/>
              </w:rPr>
              <w:t>5.809,0</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8213FB6" w14:textId="77777777" w:rsidR="00247CBF" w:rsidRPr="00092ED7" w:rsidRDefault="00247CBF" w:rsidP="00247CBF">
            <w:pPr>
              <w:spacing w:after="0"/>
              <w:jc w:val="right"/>
              <w:rPr>
                <w:sz w:val="20"/>
                <w:szCs w:val="20"/>
                <w:lang w:val="sr-Cyrl-CS"/>
              </w:rPr>
            </w:pPr>
            <w:r w:rsidRPr="00092ED7">
              <w:rPr>
                <w:sz w:val="20"/>
                <w:szCs w:val="20"/>
                <w:lang w:val="sr-Cyrl-CS"/>
              </w:rPr>
              <w:t>6.639,2</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0E96061B" w14:textId="77777777" w:rsidR="00247CBF" w:rsidRPr="00092ED7" w:rsidRDefault="00247CBF" w:rsidP="00247CBF">
            <w:pPr>
              <w:spacing w:after="0"/>
              <w:jc w:val="right"/>
              <w:rPr>
                <w:sz w:val="20"/>
                <w:szCs w:val="20"/>
                <w:lang w:val="sr-Cyrl-CS"/>
              </w:rPr>
            </w:pPr>
            <w:r w:rsidRPr="00092ED7">
              <w:rPr>
                <w:sz w:val="20"/>
                <w:szCs w:val="20"/>
                <w:lang w:val="sr-Cyrl-CS"/>
              </w:rPr>
              <w:t>7.620,8</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C74FD3F" w14:textId="77777777" w:rsidR="00247CBF" w:rsidRPr="00092ED7" w:rsidRDefault="00247CBF" w:rsidP="00247CBF">
            <w:pPr>
              <w:spacing w:after="0"/>
              <w:jc w:val="right"/>
              <w:rPr>
                <w:sz w:val="20"/>
                <w:szCs w:val="20"/>
                <w:lang w:val="sr-Cyrl-CS"/>
              </w:rPr>
            </w:pPr>
            <w:r w:rsidRPr="00092ED7">
              <w:rPr>
                <w:sz w:val="20"/>
                <w:szCs w:val="20"/>
                <w:lang w:val="sr-Cyrl-CS"/>
              </w:rPr>
              <w:t>8.534,1</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1F241FA6" w14:textId="77777777" w:rsidR="00247CBF" w:rsidRPr="00092ED7" w:rsidRDefault="00247CBF" w:rsidP="00247CBF">
            <w:pPr>
              <w:spacing w:after="0"/>
              <w:jc w:val="right"/>
              <w:rPr>
                <w:sz w:val="20"/>
                <w:szCs w:val="20"/>
                <w:lang w:val="sr-Cyrl-CS"/>
              </w:rPr>
            </w:pPr>
            <w:r w:rsidRPr="00092ED7">
              <w:rPr>
                <w:sz w:val="20"/>
                <w:szCs w:val="20"/>
                <w:lang w:val="sr-Cyrl-CS"/>
              </w:rPr>
              <w:t>9.247,7</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7DEDAE7" w14:textId="77777777" w:rsidR="00247CBF" w:rsidRPr="00092ED7" w:rsidRDefault="00247CBF" w:rsidP="00247CBF">
            <w:pPr>
              <w:spacing w:after="0"/>
              <w:jc w:val="right"/>
              <w:rPr>
                <w:sz w:val="20"/>
                <w:szCs w:val="20"/>
                <w:lang w:val="sr-Cyrl-CS"/>
              </w:rPr>
            </w:pPr>
            <w:r w:rsidRPr="00092ED7">
              <w:rPr>
                <w:sz w:val="20"/>
                <w:szCs w:val="20"/>
                <w:lang w:val="sr-Cyrl-CS"/>
              </w:rPr>
              <w:t>9.963,3</w:t>
            </w:r>
          </w:p>
        </w:tc>
      </w:tr>
      <w:tr w:rsidR="00247CBF" w:rsidRPr="00092ED7" w14:paraId="587DE004"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20B597E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6. Промене у залихама и нето набавка драгоцености</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7190E8A8" w14:textId="77777777" w:rsidR="00247CBF" w:rsidRPr="00092ED7" w:rsidRDefault="00247CBF" w:rsidP="00247CBF">
            <w:pPr>
              <w:spacing w:after="0"/>
              <w:jc w:val="center"/>
              <w:rPr>
                <w:sz w:val="20"/>
                <w:szCs w:val="20"/>
                <w:lang w:val="sr-Cyrl-CS"/>
              </w:rPr>
            </w:pPr>
            <w:r w:rsidRPr="00092ED7">
              <w:rPr>
                <w:sz w:val="20"/>
                <w:szCs w:val="20"/>
                <w:lang w:val="sr-Cyrl-CS"/>
              </w:rPr>
              <w:t>P52+P53</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F3A6546" w14:textId="77777777" w:rsidR="00247CBF" w:rsidRPr="00092ED7" w:rsidRDefault="00247CBF" w:rsidP="00247CBF">
            <w:pPr>
              <w:spacing w:after="0"/>
              <w:jc w:val="right"/>
              <w:rPr>
                <w:sz w:val="20"/>
                <w:szCs w:val="20"/>
                <w:lang w:val="sr-Cyrl-CS"/>
              </w:rPr>
            </w:pPr>
            <w:r w:rsidRPr="00092ED7">
              <w:rPr>
                <w:sz w:val="20"/>
                <w:szCs w:val="20"/>
                <w:lang w:val="sr-Cyrl-CS"/>
              </w:rPr>
              <w:t>151,3</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E4C0C2A" w14:textId="77777777" w:rsidR="00247CBF" w:rsidRPr="00092ED7" w:rsidRDefault="00247CBF" w:rsidP="00247CBF">
            <w:pPr>
              <w:spacing w:after="0"/>
              <w:jc w:val="right"/>
              <w:rPr>
                <w:sz w:val="20"/>
                <w:szCs w:val="20"/>
                <w:lang w:val="sr-Cyrl-CS"/>
              </w:rPr>
            </w:pPr>
            <w:r w:rsidRPr="00092ED7">
              <w:rPr>
                <w:sz w:val="20"/>
                <w:szCs w:val="20"/>
                <w:lang w:val="sr-Cyrl-CS"/>
              </w:rPr>
              <w:t>119,7</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67B8A04" w14:textId="77777777" w:rsidR="00247CBF" w:rsidRPr="00092ED7" w:rsidRDefault="00247CBF" w:rsidP="00247CBF">
            <w:pPr>
              <w:spacing w:after="0"/>
              <w:jc w:val="right"/>
              <w:rPr>
                <w:sz w:val="20"/>
                <w:szCs w:val="20"/>
                <w:lang w:val="sr-Cyrl-CS"/>
              </w:rPr>
            </w:pPr>
            <w:r w:rsidRPr="00092ED7">
              <w:rPr>
                <w:sz w:val="20"/>
                <w:szCs w:val="20"/>
                <w:lang w:val="sr-Cyrl-CS"/>
              </w:rPr>
              <w:t>306,8</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C6A7E5D" w14:textId="77777777" w:rsidR="00247CBF" w:rsidRPr="00092ED7" w:rsidRDefault="00247CBF" w:rsidP="00247CBF">
            <w:pPr>
              <w:spacing w:after="0"/>
              <w:jc w:val="right"/>
              <w:rPr>
                <w:sz w:val="20"/>
                <w:szCs w:val="20"/>
                <w:lang w:val="sr-Cyrl-CS"/>
              </w:rPr>
            </w:pPr>
            <w:r w:rsidRPr="00092ED7">
              <w:rPr>
                <w:sz w:val="20"/>
                <w:szCs w:val="20"/>
                <w:lang w:val="sr-Cyrl-CS"/>
              </w:rPr>
              <w:t>336,0</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C7E977E" w14:textId="77777777" w:rsidR="00247CBF" w:rsidRPr="00092ED7" w:rsidRDefault="00247CBF" w:rsidP="00247CBF">
            <w:pPr>
              <w:spacing w:after="0"/>
              <w:jc w:val="right"/>
              <w:rPr>
                <w:sz w:val="20"/>
                <w:szCs w:val="20"/>
                <w:lang w:val="sr-Cyrl-CS"/>
              </w:rPr>
            </w:pPr>
            <w:r w:rsidRPr="00092ED7">
              <w:rPr>
                <w:sz w:val="20"/>
                <w:szCs w:val="20"/>
                <w:lang w:val="sr-Cyrl-CS"/>
              </w:rPr>
              <w:t>315,0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2F869138" w14:textId="77777777" w:rsidR="00247CBF" w:rsidRPr="00092ED7" w:rsidRDefault="00247CBF" w:rsidP="00247CBF">
            <w:pPr>
              <w:spacing w:after="0"/>
              <w:jc w:val="right"/>
              <w:rPr>
                <w:sz w:val="20"/>
                <w:szCs w:val="20"/>
                <w:lang w:val="sr-Cyrl-CS"/>
              </w:rPr>
            </w:pPr>
            <w:r w:rsidRPr="00092ED7">
              <w:rPr>
                <w:sz w:val="20"/>
                <w:szCs w:val="20"/>
                <w:lang w:val="sr-Cyrl-CS"/>
              </w:rPr>
              <w:t>296,6</w:t>
            </w:r>
          </w:p>
        </w:tc>
      </w:tr>
      <w:tr w:rsidR="00247CBF" w:rsidRPr="00092ED7" w14:paraId="05FB52B3"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7007EF0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Извоз робе и услуга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7B694610" w14:textId="77777777" w:rsidR="00247CBF" w:rsidRPr="00092ED7" w:rsidRDefault="00247CBF" w:rsidP="00247CBF">
            <w:pPr>
              <w:spacing w:after="0"/>
              <w:jc w:val="center"/>
              <w:rPr>
                <w:sz w:val="20"/>
                <w:szCs w:val="20"/>
                <w:lang w:val="sr-Cyrl-CS"/>
              </w:rPr>
            </w:pPr>
            <w:r w:rsidRPr="00092ED7">
              <w:rPr>
                <w:sz w:val="20"/>
                <w:szCs w:val="20"/>
                <w:lang w:val="sr-Cyrl-CS"/>
              </w:rPr>
              <w:t>P6</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0B1DD4F" w14:textId="77777777" w:rsidR="00247CBF" w:rsidRPr="00092ED7" w:rsidRDefault="00247CBF" w:rsidP="00247CBF">
            <w:pPr>
              <w:spacing w:after="0"/>
              <w:jc w:val="right"/>
              <w:rPr>
                <w:sz w:val="20"/>
                <w:szCs w:val="20"/>
                <w:lang w:val="sr-Cyrl-CS"/>
              </w:rPr>
            </w:pPr>
            <w:r w:rsidRPr="00092ED7">
              <w:rPr>
                <w:sz w:val="20"/>
                <w:szCs w:val="20"/>
                <w:lang w:val="sr-Cyrl-CS"/>
              </w:rPr>
              <w:t>2.654,2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1283DF2B" w14:textId="77777777" w:rsidR="00247CBF" w:rsidRPr="00092ED7" w:rsidRDefault="00247CBF" w:rsidP="00247CBF">
            <w:pPr>
              <w:spacing w:after="0"/>
              <w:jc w:val="right"/>
              <w:rPr>
                <w:sz w:val="20"/>
                <w:szCs w:val="20"/>
                <w:lang w:val="sr-Cyrl-CS"/>
              </w:rPr>
            </w:pPr>
            <w:r w:rsidRPr="00092ED7">
              <w:rPr>
                <w:sz w:val="20"/>
                <w:szCs w:val="20"/>
                <w:lang w:val="sr-Cyrl-CS"/>
              </w:rPr>
              <w:t>3.416,2</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68152253" w14:textId="77777777" w:rsidR="00247CBF" w:rsidRPr="00092ED7" w:rsidRDefault="00247CBF" w:rsidP="00247CBF">
            <w:pPr>
              <w:spacing w:after="0"/>
              <w:jc w:val="right"/>
              <w:rPr>
                <w:sz w:val="20"/>
                <w:szCs w:val="20"/>
                <w:lang w:val="sr-Cyrl-CS"/>
              </w:rPr>
            </w:pPr>
            <w:r w:rsidRPr="00092ED7">
              <w:rPr>
                <w:sz w:val="20"/>
                <w:szCs w:val="20"/>
                <w:lang w:val="sr-Cyrl-CS"/>
              </w:rPr>
              <w:t>4.327,8</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0DD2C2B7" w14:textId="77777777" w:rsidR="00247CBF" w:rsidRPr="00092ED7" w:rsidRDefault="00247CBF" w:rsidP="00247CBF">
            <w:pPr>
              <w:spacing w:after="0"/>
              <w:jc w:val="right"/>
              <w:rPr>
                <w:sz w:val="20"/>
                <w:szCs w:val="20"/>
                <w:lang w:val="sr-Cyrl-CS"/>
              </w:rPr>
            </w:pPr>
            <w:r w:rsidRPr="00092ED7">
              <w:rPr>
                <w:sz w:val="20"/>
                <w:szCs w:val="20"/>
                <w:lang w:val="sr-Cyrl-CS"/>
              </w:rPr>
              <w:t>4.872,5</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6984A3EB" w14:textId="77777777" w:rsidR="00247CBF" w:rsidRPr="00092ED7" w:rsidRDefault="00247CBF" w:rsidP="00247CBF">
            <w:pPr>
              <w:spacing w:after="0"/>
              <w:jc w:val="right"/>
              <w:rPr>
                <w:sz w:val="20"/>
                <w:szCs w:val="20"/>
                <w:lang w:val="sr-Cyrl-CS"/>
              </w:rPr>
            </w:pPr>
            <w:r w:rsidRPr="00092ED7">
              <w:rPr>
                <w:sz w:val="20"/>
                <w:szCs w:val="20"/>
                <w:lang w:val="sr-Cyrl-CS"/>
              </w:rPr>
              <w:t>5.538,8</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20916C7A" w14:textId="77777777" w:rsidR="00247CBF" w:rsidRPr="00092ED7" w:rsidRDefault="00247CBF" w:rsidP="00247CBF">
            <w:pPr>
              <w:spacing w:after="0"/>
              <w:jc w:val="right"/>
              <w:rPr>
                <w:sz w:val="20"/>
                <w:szCs w:val="20"/>
                <w:lang w:val="sr-Cyrl-CS"/>
              </w:rPr>
            </w:pPr>
            <w:r w:rsidRPr="00092ED7">
              <w:rPr>
                <w:sz w:val="20"/>
                <w:szCs w:val="20"/>
                <w:lang w:val="sr-Cyrl-CS"/>
              </w:rPr>
              <w:t>6.346,7</w:t>
            </w:r>
          </w:p>
        </w:tc>
      </w:tr>
      <w:tr w:rsidR="00247CBF" w:rsidRPr="00092ED7" w14:paraId="36E971F5"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15A0505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Увоз робе и услуга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423776CB" w14:textId="77777777" w:rsidR="00247CBF" w:rsidRPr="00092ED7" w:rsidRDefault="00247CBF" w:rsidP="00247CBF">
            <w:pPr>
              <w:spacing w:after="0"/>
              <w:jc w:val="center"/>
              <w:rPr>
                <w:sz w:val="20"/>
                <w:szCs w:val="20"/>
                <w:lang w:val="sr-Cyrl-CS"/>
              </w:rPr>
            </w:pPr>
            <w:r w:rsidRPr="00092ED7">
              <w:rPr>
                <w:sz w:val="20"/>
                <w:szCs w:val="20"/>
                <w:lang w:val="sr-Cyrl-CS"/>
              </w:rPr>
              <w:t>P7</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64D52B60" w14:textId="77777777" w:rsidR="00247CBF" w:rsidRPr="00092ED7" w:rsidRDefault="00247CBF" w:rsidP="00247CBF">
            <w:pPr>
              <w:spacing w:after="0"/>
              <w:jc w:val="right"/>
              <w:rPr>
                <w:sz w:val="20"/>
                <w:szCs w:val="20"/>
                <w:lang w:val="sr-Cyrl-CS"/>
              </w:rPr>
            </w:pPr>
            <w:r w:rsidRPr="00092ED7">
              <w:rPr>
                <w:sz w:val="20"/>
                <w:szCs w:val="20"/>
                <w:lang w:val="sr-Cyrl-CS"/>
              </w:rPr>
              <w:t>3.110,0</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0EDF5B6" w14:textId="77777777" w:rsidR="00247CBF" w:rsidRPr="00092ED7" w:rsidRDefault="00247CBF" w:rsidP="00247CBF">
            <w:pPr>
              <w:spacing w:after="0"/>
              <w:jc w:val="right"/>
              <w:rPr>
                <w:sz w:val="20"/>
                <w:szCs w:val="20"/>
                <w:lang w:val="sr-Cyrl-CS"/>
              </w:rPr>
            </w:pPr>
            <w:r w:rsidRPr="00092ED7">
              <w:rPr>
                <w:sz w:val="20"/>
                <w:szCs w:val="20"/>
                <w:lang w:val="sr-Cyrl-CS"/>
              </w:rPr>
              <w:t>3.905,0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3F84047" w14:textId="77777777" w:rsidR="00247CBF" w:rsidRPr="00092ED7" w:rsidRDefault="00247CBF" w:rsidP="00247CBF">
            <w:pPr>
              <w:spacing w:after="0"/>
              <w:jc w:val="right"/>
              <w:rPr>
                <w:sz w:val="20"/>
                <w:szCs w:val="20"/>
                <w:lang w:val="sr-Cyrl-CS"/>
              </w:rPr>
            </w:pPr>
            <w:r w:rsidRPr="00092ED7">
              <w:rPr>
                <w:sz w:val="20"/>
                <w:szCs w:val="20"/>
                <w:lang w:val="sr-Cyrl-CS"/>
              </w:rPr>
              <w:t>5.172,9</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05C6B29F" w14:textId="77777777" w:rsidR="00247CBF" w:rsidRPr="00092ED7" w:rsidRDefault="00247CBF" w:rsidP="00247CBF">
            <w:pPr>
              <w:spacing w:after="0"/>
              <w:jc w:val="right"/>
              <w:rPr>
                <w:sz w:val="20"/>
                <w:szCs w:val="20"/>
                <w:lang w:val="sr-Cyrl-CS"/>
              </w:rPr>
            </w:pPr>
            <w:r w:rsidRPr="00092ED7">
              <w:rPr>
                <w:sz w:val="20"/>
                <w:szCs w:val="20"/>
                <w:lang w:val="sr-Cyrl-CS"/>
              </w:rPr>
              <w:t>5.717,4</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2BF3489" w14:textId="77777777" w:rsidR="00247CBF" w:rsidRPr="00092ED7" w:rsidRDefault="00247CBF" w:rsidP="00247CBF">
            <w:pPr>
              <w:spacing w:after="0"/>
              <w:jc w:val="right"/>
              <w:rPr>
                <w:sz w:val="20"/>
                <w:szCs w:val="20"/>
                <w:lang w:val="sr-Cyrl-CS"/>
              </w:rPr>
            </w:pPr>
            <w:r w:rsidRPr="00092ED7">
              <w:rPr>
                <w:sz w:val="20"/>
                <w:szCs w:val="20"/>
                <w:lang w:val="sr-Cyrl-CS"/>
              </w:rPr>
              <w:t>6.325,2</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6C4F3D24" w14:textId="77777777" w:rsidR="00247CBF" w:rsidRPr="00092ED7" w:rsidRDefault="00247CBF" w:rsidP="00247CBF">
            <w:pPr>
              <w:spacing w:after="0"/>
              <w:jc w:val="right"/>
              <w:rPr>
                <w:sz w:val="20"/>
                <w:szCs w:val="20"/>
                <w:lang w:val="sr-Cyrl-CS"/>
              </w:rPr>
            </w:pPr>
            <w:r w:rsidRPr="00092ED7">
              <w:rPr>
                <w:sz w:val="20"/>
                <w:szCs w:val="20"/>
                <w:lang w:val="sr-Cyrl-CS"/>
              </w:rPr>
              <w:t>7.087,3</w:t>
            </w:r>
          </w:p>
        </w:tc>
      </w:tr>
      <w:tr w:rsidR="00247CBF" w:rsidRPr="00092ED7" w14:paraId="2B8C87ED" w14:textId="77777777" w:rsidTr="00247CBF">
        <w:trPr>
          <w:gridAfter w:val="3"/>
          <w:wAfter w:w="365" w:type="dxa"/>
          <w:trHeight w:val="255"/>
        </w:trPr>
        <w:tc>
          <w:tcPr>
            <w:tcW w:w="4962" w:type="dxa"/>
            <w:gridSpan w:val="3"/>
            <w:tcBorders>
              <w:top w:val="nil"/>
              <w:left w:val="double" w:sz="6" w:space="0" w:color="auto"/>
              <w:bottom w:val="nil"/>
              <w:right w:val="nil"/>
            </w:tcBorders>
            <w:shd w:val="clear" w:color="auto" w:fill="auto"/>
            <w:noWrap/>
            <w:vAlign w:val="bottom"/>
            <w:hideMark/>
          </w:tcPr>
          <w:p w14:paraId="34C5A2C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Нето извоз</w:t>
            </w:r>
          </w:p>
        </w:tc>
        <w:tc>
          <w:tcPr>
            <w:tcW w:w="1447" w:type="dxa"/>
            <w:gridSpan w:val="3"/>
            <w:tcBorders>
              <w:top w:val="nil"/>
              <w:left w:val="single" w:sz="8" w:space="0" w:color="auto"/>
              <w:bottom w:val="nil"/>
              <w:right w:val="single" w:sz="8" w:space="0" w:color="auto"/>
            </w:tcBorders>
            <w:shd w:val="clear" w:color="auto" w:fill="auto"/>
            <w:noWrap/>
            <w:vAlign w:val="bottom"/>
            <w:hideMark/>
          </w:tcPr>
          <w:p w14:paraId="1D02F09C" w14:textId="77777777" w:rsidR="00247CBF" w:rsidRPr="00092ED7" w:rsidRDefault="00247CBF" w:rsidP="00247CBF">
            <w:pPr>
              <w:spacing w:after="0"/>
              <w:jc w:val="center"/>
              <w:rPr>
                <w:sz w:val="20"/>
                <w:szCs w:val="20"/>
                <w:lang w:val="sr-Cyrl-CS"/>
              </w:rPr>
            </w:pPr>
            <w:r w:rsidRPr="00092ED7">
              <w:rPr>
                <w:sz w:val="20"/>
                <w:szCs w:val="20"/>
                <w:lang w:val="sr-Cyrl-CS"/>
              </w:rPr>
              <w:t> </w:t>
            </w:r>
          </w:p>
        </w:tc>
        <w:tc>
          <w:tcPr>
            <w:tcW w:w="1380" w:type="dxa"/>
            <w:gridSpan w:val="3"/>
            <w:tcBorders>
              <w:top w:val="nil"/>
              <w:left w:val="nil"/>
              <w:bottom w:val="nil"/>
              <w:right w:val="dashed" w:sz="4" w:space="0" w:color="auto"/>
            </w:tcBorders>
            <w:shd w:val="clear" w:color="auto" w:fill="auto"/>
            <w:noWrap/>
            <w:vAlign w:val="center"/>
            <w:hideMark/>
          </w:tcPr>
          <w:p w14:paraId="14D54041" w14:textId="77777777" w:rsidR="00247CBF" w:rsidRPr="00092ED7" w:rsidRDefault="00247CBF" w:rsidP="00247CBF">
            <w:pPr>
              <w:spacing w:after="0"/>
              <w:jc w:val="right"/>
              <w:rPr>
                <w:sz w:val="20"/>
                <w:szCs w:val="20"/>
                <w:lang w:val="sr-Cyrl-CS"/>
              </w:rPr>
            </w:pPr>
            <w:r w:rsidRPr="00092ED7">
              <w:rPr>
                <w:sz w:val="20"/>
                <w:szCs w:val="20"/>
                <w:lang w:val="sr-Cyrl-CS"/>
              </w:rPr>
              <w:t>-455,8</w:t>
            </w:r>
          </w:p>
        </w:tc>
        <w:tc>
          <w:tcPr>
            <w:tcW w:w="1300" w:type="dxa"/>
            <w:gridSpan w:val="4"/>
            <w:tcBorders>
              <w:top w:val="nil"/>
              <w:left w:val="nil"/>
              <w:bottom w:val="nil"/>
              <w:right w:val="dashed" w:sz="4" w:space="0" w:color="auto"/>
            </w:tcBorders>
            <w:shd w:val="clear" w:color="auto" w:fill="auto"/>
            <w:noWrap/>
            <w:vAlign w:val="center"/>
            <w:hideMark/>
          </w:tcPr>
          <w:p w14:paraId="540EBE33" w14:textId="77777777" w:rsidR="00247CBF" w:rsidRPr="00092ED7" w:rsidRDefault="00247CBF" w:rsidP="00247CBF">
            <w:pPr>
              <w:spacing w:after="0"/>
              <w:jc w:val="right"/>
              <w:rPr>
                <w:sz w:val="20"/>
                <w:szCs w:val="20"/>
                <w:lang w:val="sr-Cyrl-CS"/>
              </w:rPr>
            </w:pPr>
            <w:r w:rsidRPr="00092ED7">
              <w:rPr>
                <w:sz w:val="20"/>
                <w:szCs w:val="20"/>
                <w:lang w:val="sr-Cyrl-CS"/>
              </w:rPr>
              <w:t>-488,8</w:t>
            </w:r>
          </w:p>
        </w:tc>
        <w:tc>
          <w:tcPr>
            <w:tcW w:w="1360" w:type="dxa"/>
            <w:gridSpan w:val="4"/>
            <w:tcBorders>
              <w:top w:val="nil"/>
              <w:left w:val="nil"/>
              <w:bottom w:val="nil"/>
              <w:right w:val="dashed" w:sz="4" w:space="0" w:color="auto"/>
            </w:tcBorders>
            <w:shd w:val="clear" w:color="auto" w:fill="auto"/>
            <w:noWrap/>
            <w:vAlign w:val="center"/>
            <w:hideMark/>
          </w:tcPr>
          <w:p w14:paraId="54A39A65" w14:textId="77777777" w:rsidR="00247CBF" w:rsidRPr="00092ED7" w:rsidRDefault="00247CBF" w:rsidP="00247CBF">
            <w:pPr>
              <w:spacing w:after="0"/>
              <w:jc w:val="right"/>
              <w:rPr>
                <w:sz w:val="20"/>
                <w:szCs w:val="20"/>
                <w:lang w:val="sr-Cyrl-CS"/>
              </w:rPr>
            </w:pPr>
            <w:r w:rsidRPr="00092ED7">
              <w:rPr>
                <w:sz w:val="20"/>
                <w:szCs w:val="20"/>
                <w:lang w:val="sr-Cyrl-CS"/>
              </w:rPr>
              <w:t>-845,1</w:t>
            </w:r>
          </w:p>
        </w:tc>
        <w:tc>
          <w:tcPr>
            <w:tcW w:w="1260" w:type="dxa"/>
            <w:gridSpan w:val="4"/>
            <w:tcBorders>
              <w:top w:val="nil"/>
              <w:left w:val="nil"/>
              <w:bottom w:val="nil"/>
              <w:right w:val="dashed" w:sz="4" w:space="0" w:color="auto"/>
            </w:tcBorders>
            <w:shd w:val="clear" w:color="auto" w:fill="auto"/>
            <w:noWrap/>
            <w:vAlign w:val="center"/>
            <w:hideMark/>
          </w:tcPr>
          <w:p w14:paraId="2366F5CD" w14:textId="77777777" w:rsidR="00247CBF" w:rsidRPr="00092ED7" w:rsidRDefault="00247CBF" w:rsidP="00247CBF">
            <w:pPr>
              <w:spacing w:after="0"/>
              <w:jc w:val="right"/>
              <w:rPr>
                <w:sz w:val="20"/>
                <w:szCs w:val="20"/>
                <w:lang w:val="sr-Cyrl-CS"/>
              </w:rPr>
            </w:pPr>
            <w:r w:rsidRPr="00092ED7">
              <w:rPr>
                <w:sz w:val="20"/>
                <w:szCs w:val="20"/>
                <w:lang w:val="sr-Cyrl-CS"/>
              </w:rPr>
              <w:t>-845,0</w:t>
            </w:r>
          </w:p>
        </w:tc>
        <w:tc>
          <w:tcPr>
            <w:tcW w:w="1260" w:type="dxa"/>
            <w:gridSpan w:val="3"/>
            <w:tcBorders>
              <w:top w:val="nil"/>
              <w:left w:val="nil"/>
              <w:bottom w:val="nil"/>
              <w:right w:val="dashed" w:sz="4" w:space="0" w:color="auto"/>
            </w:tcBorders>
            <w:shd w:val="clear" w:color="auto" w:fill="auto"/>
            <w:noWrap/>
            <w:vAlign w:val="center"/>
            <w:hideMark/>
          </w:tcPr>
          <w:p w14:paraId="3FF07C89" w14:textId="77777777" w:rsidR="00247CBF" w:rsidRPr="00092ED7" w:rsidRDefault="00247CBF" w:rsidP="00247CBF">
            <w:pPr>
              <w:spacing w:after="0"/>
              <w:jc w:val="right"/>
              <w:rPr>
                <w:sz w:val="20"/>
                <w:szCs w:val="20"/>
                <w:lang w:val="sr-Cyrl-CS"/>
              </w:rPr>
            </w:pPr>
            <w:r w:rsidRPr="00092ED7">
              <w:rPr>
                <w:sz w:val="20"/>
                <w:szCs w:val="20"/>
                <w:lang w:val="sr-Cyrl-CS"/>
              </w:rPr>
              <w:t>-786,4</w:t>
            </w:r>
          </w:p>
        </w:tc>
        <w:tc>
          <w:tcPr>
            <w:tcW w:w="1268" w:type="dxa"/>
            <w:gridSpan w:val="3"/>
            <w:tcBorders>
              <w:top w:val="nil"/>
              <w:left w:val="nil"/>
              <w:bottom w:val="nil"/>
              <w:right w:val="double" w:sz="4" w:space="0" w:color="auto"/>
            </w:tcBorders>
            <w:shd w:val="clear" w:color="auto" w:fill="auto"/>
            <w:noWrap/>
            <w:vAlign w:val="center"/>
            <w:hideMark/>
          </w:tcPr>
          <w:p w14:paraId="07E65D0E" w14:textId="77777777" w:rsidR="00247CBF" w:rsidRPr="00092ED7" w:rsidRDefault="00247CBF" w:rsidP="00247CBF">
            <w:pPr>
              <w:spacing w:after="0"/>
              <w:jc w:val="right"/>
              <w:rPr>
                <w:sz w:val="20"/>
                <w:szCs w:val="20"/>
                <w:lang w:val="sr-Cyrl-CS"/>
              </w:rPr>
            </w:pPr>
            <w:r w:rsidRPr="00092ED7">
              <w:rPr>
                <w:sz w:val="20"/>
                <w:szCs w:val="20"/>
                <w:lang w:val="sr-Cyrl-CS"/>
              </w:rPr>
              <w:t>-740,6</w:t>
            </w:r>
          </w:p>
        </w:tc>
      </w:tr>
      <w:tr w:rsidR="00247CBF" w:rsidRPr="00092ED7" w14:paraId="53EE79E5" w14:textId="77777777" w:rsidTr="00247CBF">
        <w:trPr>
          <w:gridAfter w:val="3"/>
          <w:wAfter w:w="365" w:type="dxa"/>
          <w:trHeight w:val="255"/>
        </w:trPr>
        <w:tc>
          <w:tcPr>
            <w:tcW w:w="4962" w:type="dxa"/>
            <w:gridSpan w:val="3"/>
            <w:tcBorders>
              <w:top w:val="single" w:sz="4" w:space="0" w:color="auto"/>
              <w:left w:val="double" w:sz="6" w:space="0" w:color="auto"/>
              <w:bottom w:val="single" w:sz="4" w:space="0" w:color="auto"/>
              <w:right w:val="nil"/>
            </w:tcBorders>
            <w:shd w:val="clear" w:color="auto" w:fill="auto"/>
            <w:noWrap/>
            <w:vAlign w:val="center"/>
            <w:hideMark/>
          </w:tcPr>
          <w:p w14:paraId="49475E85"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1a: Девизни курс</w:t>
            </w:r>
          </w:p>
        </w:tc>
        <w:tc>
          <w:tcPr>
            <w:tcW w:w="1447" w:type="dxa"/>
            <w:gridSpan w:val="3"/>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20202D6" w14:textId="77777777" w:rsidR="00247CBF" w:rsidRPr="00092ED7" w:rsidRDefault="00247CBF" w:rsidP="00247CBF">
            <w:pPr>
              <w:spacing w:after="0"/>
              <w:jc w:val="center"/>
              <w:rPr>
                <w:sz w:val="20"/>
                <w:szCs w:val="20"/>
                <w:lang w:val="sr-Cyrl-CS"/>
              </w:rPr>
            </w:pPr>
            <w:r w:rsidRPr="00092ED7">
              <w:rPr>
                <w:sz w:val="20"/>
                <w:szCs w:val="20"/>
                <w:lang w:val="sr-Cyrl-CS"/>
              </w:rPr>
              <w:t> </w:t>
            </w:r>
          </w:p>
        </w:tc>
        <w:tc>
          <w:tcPr>
            <w:tcW w:w="1380" w:type="dxa"/>
            <w:gridSpan w:val="3"/>
            <w:tcBorders>
              <w:top w:val="single" w:sz="4" w:space="0" w:color="auto"/>
              <w:left w:val="nil"/>
              <w:bottom w:val="single" w:sz="4" w:space="0" w:color="auto"/>
              <w:right w:val="nil"/>
            </w:tcBorders>
            <w:shd w:val="clear" w:color="auto" w:fill="auto"/>
            <w:noWrap/>
            <w:vAlign w:val="center"/>
            <w:hideMark/>
          </w:tcPr>
          <w:p w14:paraId="3233A283"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single" w:sz="4" w:space="0" w:color="auto"/>
              <w:left w:val="nil"/>
              <w:bottom w:val="single" w:sz="4" w:space="0" w:color="auto"/>
              <w:right w:val="nil"/>
            </w:tcBorders>
            <w:shd w:val="clear" w:color="auto" w:fill="auto"/>
            <w:noWrap/>
            <w:vAlign w:val="center"/>
            <w:hideMark/>
          </w:tcPr>
          <w:p w14:paraId="01EE3C1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single" w:sz="4" w:space="0" w:color="auto"/>
              <w:left w:val="nil"/>
              <w:bottom w:val="single" w:sz="4" w:space="0" w:color="auto"/>
              <w:right w:val="nil"/>
            </w:tcBorders>
            <w:shd w:val="clear" w:color="auto" w:fill="auto"/>
            <w:noWrap/>
            <w:vAlign w:val="center"/>
            <w:hideMark/>
          </w:tcPr>
          <w:p w14:paraId="2B849A5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single" w:sz="4" w:space="0" w:color="auto"/>
              <w:left w:val="nil"/>
              <w:bottom w:val="single" w:sz="4" w:space="0" w:color="auto"/>
              <w:right w:val="nil"/>
            </w:tcBorders>
            <w:shd w:val="clear" w:color="auto" w:fill="auto"/>
            <w:noWrap/>
            <w:vAlign w:val="center"/>
            <w:hideMark/>
          </w:tcPr>
          <w:p w14:paraId="1922073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single" w:sz="4" w:space="0" w:color="auto"/>
              <w:left w:val="nil"/>
              <w:bottom w:val="single" w:sz="4" w:space="0" w:color="auto"/>
              <w:right w:val="nil"/>
            </w:tcBorders>
            <w:shd w:val="clear" w:color="auto" w:fill="auto"/>
            <w:noWrap/>
            <w:vAlign w:val="center"/>
            <w:hideMark/>
          </w:tcPr>
          <w:p w14:paraId="497B093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single" w:sz="4" w:space="0" w:color="auto"/>
              <w:left w:val="nil"/>
              <w:bottom w:val="single" w:sz="4" w:space="0" w:color="auto"/>
              <w:right w:val="double" w:sz="4" w:space="0" w:color="auto"/>
            </w:tcBorders>
            <w:shd w:val="clear" w:color="auto" w:fill="auto"/>
            <w:noWrap/>
            <w:vAlign w:val="center"/>
            <w:hideMark/>
          </w:tcPr>
          <w:p w14:paraId="101D6D15"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24A1B93D"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7EC73A0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Девизни курс РСД/ЕУР (годишњи просек)</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3C0A17B4" w14:textId="77777777" w:rsidR="00247CBF" w:rsidRPr="00092ED7" w:rsidRDefault="00247CBF" w:rsidP="00247CBF">
            <w:pPr>
              <w:spacing w:after="0"/>
              <w:jc w:val="center"/>
              <w:rPr>
                <w:sz w:val="20"/>
                <w:szCs w:val="20"/>
                <w:lang w:val="sr-Cyrl-CS"/>
              </w:rPr>
            </w:pPr>
            <w:r w:rsidRPr="00092ED7">
              <w:rPr>
                <w:sz w:val="20"/>
                <w:szCs w:val="20"/>
                <w:lang w:val="sr-Cyrl-CS"/>
              </w:rPr>
              <w:t>РСД/ЕУР</w:t>
            </w:r>
          </w:p>
        </w:tc>
        <w:tc>
          <w:tcPr>
            <w:tcW w:w="1380" w:type="dxa"/>
            <w:gridSpan w:val="3"/>
            <w:tcBorders>
              <w:top w:val="dashed" w:sz="4" w:space="0" w:color="auto"/>
              <w:left w:val="nil"/>
              <w:bottom w:val="dashed" w:sz="4" w:space="0" w:color="auto"/>
              <w:right w:val="dashed" w:sz="4" w:space="0" w:color="auto"/>
            </w:tcBorders>
            <w:shd w:val="clear" w:color="auto" w:fill="auto"/>
            <w:noWrap/>
            <w:vAlign w:val="center"/>
            <w:hideMark/>
          </w:tcPr>
          <w:p w14:paraId="6A3C234A" w14:textId="77777777" w:rsidR="00247CBF" w:rsidRPr="00092ED7" w:rsidRDefault="00247CBF" w:rsidP="00247CBF">
            <w:pPr>
              <w:spacing w:after="0"/>
              <w:jc w:val="right"/>
              <w:rPr>
                <w:sz w:val="20"/>
                <w:szCs w:val="20"/>
                <w:lang w:val="sr-Cyrl-CS"/>
              </w:rPr>
            </w:pPr>
            <w:r w:rsidRPr="00092ED7">
              <w:rPr>
                <w:sz w:val="20"/>
                <w:szCs w:val="20"/>
                <w:lang w:val="sr-Cyrl-CS"/>
              </w:rPr>
              <w:t>117,6</w:t>
            </w:r>
          </w:p>
        </w:tc>
        <w:tc>
          <w:tcPr>
            <w:tcW w:w="1300" w:type="dxa"/>
            <w:gridSpan w:val="4"/>
            <w:tcBorders>
              <w:top w:val="dashed" w:sz="4" w:space="0" w:color="auto"/>
              <w:left w:val="nil"/>
              <w:bottom w:val="dashed" w:sz="4" w:space="0" w:color="auto"/>
              <w:right w:val="dashed" w:sz="4" w:space="0" w:color="auto"/>
            </w:tcBorders>
            <w:shd w:val="clear" w:color="auto" w:fill="auto"/>
            <w:noWrap/>
            <w:vAlign w:val="center"/>
            <w:hideMark/>
          </w:tcPr>
          <w:p w14:paraId="2022B1FD" w14:textId="77777777" w:rsidR="00247CBF" w:rsidRPr="00092ED7" w:rsidRDefault="00247CBF" w:rsidP="00247CBF">
            <w:pPr>
              <w:spacing w:after="0"/>
              <w:jc w:val="right"/>
              <w:rPr>
                <w:sz w:val="20"/>
                <w:szCs w:val="20"/>
                <w:lang w:val="sr-Cyrl-CS"/>
              </w:rPr>
            </w:pPr>
            <w:r w:rsidRPr="00092ED7">
              <w:rPr>
                <w:sz w:val="20"/>
                <w:szCs w:val="20"/>
                <w:lang w:val="sr-Cyrl-CS"/>
              </w:rPr>
              <w:t>117,6</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6E130429" w14:textId="77777777" w:rsidR="00247CBF" w:rsidRPr="00092ED7" w:rsidRDefault="00247CBF" w:rsidP="00247CBF">
            <w:pPr>
              <w:spacing w:after="0"/>
              <w:jc w:val="right"/>
              <w:rPr>
                <w:sz w:val="20"/>
                <w:szCs w:val="20"/>
                <w:lang w:val="sr-Cyrl-CS"/>
              </w:rPr>
            </w:pPr>
            <w:r w:rsidRPr="00092ED7">
              <w:rPr>
                <w:sz w:val="20"/>
                <w:szCs w:val="20"/>
                <w:lang w:val="sr-Cyrl-CS"/>
              </w:rPr>
              <w:t>117,5</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A937D2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734F62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5D3AD08"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2E1E38B3" w14:textId="77777777" w:rsidTr="00247CBF">
        <w:trPr>
          <w:gridAfter w:val="3"/>
          <w:wAfter w:w="365" w:type="dxa"/>
          <w:trHeight w:val="270"/>
        </w:trPr>
        <w:tc>
          <w:tcPr>
            <w:tcW w:w="4962" w:type="dxa"/>
            <w:gridSpan w:val="3"/>
            <w:tcBorders>
              <w:top w:val="nil"/>
              <w:left w:val="double" w:sz="6" w:space="0" w:color="auto"/>
              <w:bottom w:val="single" w:sz="8" w:space="0" w:color="auto"/>
              <w:right w:val="nil"/>
            </w:tcBorders>
            <w:shd w:val="clear" w:color="auto" w:fill="auto"/>
            <w:noWrap/>
            <w:vAlign w:val="bottom"/>
            <w:hideMark/>
          </w:tcPr>
          <w:p w14:paraId="6B4C2EE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Девизни курс РСД/ЕУР (крај године)</w:t>
            </w:r>
          </w:p>
        </w:tc>
        <w:tc>
          <w:tcPr>
            <w:tcW w:w="1447" w:type="dxa"/>
            <w:gridSpan w:val="3"/>
            <w:tcBorders>
              <w:top w:val="nil"/>
              <w:left w:val="single" w:sz="8" w:space="0" w:color="auto"/>
              <w:bottom w:val="single" w:sz="8" w:space="0" w:color="auto"/>
              <w:right w:val="single" w:sz="8" w:space="0" w:color="auto"/>
            </w:tcBorders>
            <w:shd w:val="clear" w:color="auto" w:fill="auto"/>
            <w:noWrap/>
            <w:vAlign w:val="bottom"/>
            <w:hideMark/>
          </w:tcPr>
          <w:p w14:paraId="64AF3FC8" w14:textId="77777777" w:rsidR="00247CBF" w:rsidRPr="00092ED7" w:rsidRDefault="00247CBF" w:rsidP="00247CBF">
            <w:pPr>
              <w:spacing w:after="0"/>
              <w:jc w:val="center"/>
              <w:rPr>
                <w:sz w:val="20"/>
                <w:szCs w:val="20"/>
                <w:lang w:val="sr-Cyrl-CS"/>
              </w:rPr>
            </w:pPr>
            <w:r w:rsidRPr="00092ED7">
              <w:rPr>
                <w:sz w:val="20"/>
                <w:szCs w:val="20"/>
                <w:lang w:val="sr-Cyrl-CS"/>
              </w:rPr>
              <w:t>РСД/ЕУР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322ED7F7" w14:textId="77777777" w:rsidR="00247CBF" w:rsidRPr="00092ED7" w:rsidRDefault="00247CBF" w:rsidP="00247CBF">
            <w:pPr>
              <w:spacing w:after="0"/>
              <w:jc w:val="right"/>
              <w:rPr>
                <w:sz w:val="20"/>
                <w:szCs w:val="20"/>
                <w:lang w:val="sr-Cyrl-CS"/>
              </w:rPr>
            </w:pPr>
            <w:r w:rsidRPr="00092ED7">
              <w:rPr>
                <w:sz w:val="20"/>
                <w:szCs w:val="20"/>
                <w:lang w:val="sr-Cyrl-CS"/>
              </w:rPr>
              <w:t>117,6</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4A1FDF52" w14:textId="77777777" w:rsidR="00247CBF" w:rsidRPr="00092ED7" w:rsidRDefault="00247CBF" w:rsidP="00247CBF">
            <w:pPr>
              <w:spacing w:after="0"/>
              <w:jc w:val="right"/>
              <w:rPr>
                <w:sz w:val="20"/>
                <w:szCs w:val="20"/>
                <w:lang w:val="sr-Cyrl-CS"/>
              </w:rPr>
            </w:pPr>
            <w:r w:rsidRPr="00092ED7">
              <w:rPr>
                <w:sz w:val="20"/>
                <w:szCs w:val="20"/>
                <w:lang w:val="sr-Cyrl-CS"/>
              </w:rPr>
              <w:t>117,6</w:t>
            </w:r>
          </w:p>
        </w:tc>
        <w:tc>
          <w:tcPr>
            <w:tcW w:w="1360" w:type="dxa"/>
            <w:gridSpan w:val="4"/>
            <w:tcBorders>
              <w:top w:val="nil"/>
              <w:left w:val="nil"/>
              <w:bottom w:val="single" w:sz="8" w:space="0" w:color="auto"/>
              <w:right w:val="dashed" w:sz="4" w:space="0" w:color="auto"/>
            </w:tcBorders>
            <w:shd w:val="clear" w:color="auto" w:fill="auto"/>
            <w:noWrap/>
            <w:vAlign w:val="center"/>
            <w:hideMark/>
          </w:tcPr>
          <w:p w14:paraId="43C7164B" w14:textId="77777777" w:rsidR="00247CBF" w:rsidRPr="00092ED7" w:rsidRDefault="00247CBF" w:rsidP="00247CBF">
            <w:pPr>
              <w:spacing w:after="0"/>
              <w:jc w:val="right"/>
              <w:rPr>
                <w:sz w:val="20"/>
                <w:szCs w:val="20"/>
                <w:lang w:val="sr-Cyrl-CS"/>
              </w:rPr>
            </w:pPr>
            <w:r w:rsidRPr="00092ED7">
              <w:rPr>
                <w:sz w:val="20"/>
                <w:szCs w:val="20"/>
                <w:lang w:val="sr-Cyrl-CS"/>
              </w:rPr>
              <w:t>117,3</w:t>
            </w:r>
          </w:p>
        </w:tc>
        <w:tc>
          <w:tcPr>
            <w:tcW w:w="1260" w:type="dxa"/>
            <w:gridSpan w:val="4"/>
            <w:tcBorders>
              <w:top w:val="nil"/>
              <w:left w:val="nil"/>
              <w:bottom w:val="single" w:sz="8" w:space="0" w:color="auto"/>
              <w:right w:val="dashed" w:sz="4" w:space="0" w:color="auto"/>
            </w:tcBorders>
            <w:shd w:val="clear" w:color="auto" w:fill="auto"/>
            <w:noWrap/>
            <w:vAlign w:val="center"/>
            <w:hideMark/>
          </w:tcPr>
          <w:p w14:paraId="47AF1C5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single" w:sz="8" w:space="0" w:color="auto"/>
              <w:right w:val="dashed" w:sz="4" w:space="0" w:color="auto"/>
            </w:tcBorders>
            <w:shd w:val="clear" w:color="auto" w:fill="auto"/>
            <w:noWrap/>
            <w:vAlign w:val="center"/>
            <w:hideMark/>
          </w:tcPr>
          <w:p w14:paraId="23DF921F"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single" w:sz="8" w:space="0" w:color="auto"/>
              <w:right w:val="double" w:sz="4" w:space="0" w:color="auto"/>
            </w:tcBorders>
            <w:shd w:val="clear" w:color="auto" w:fill="auto"/>
            <w:noWrap/>
            <w:vAlign w:val="center"/>
            <w:hideMark/>
          </w:tcPr>
          <w:p w14:paraId="52F5788A"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08DEC80A" w14:textId="77777777" w:rsidTr="00247CBF">
        <w:trPr>
          <w:gridAfter w:val="3"/>
          <w:wAfter w:w="365" w:type="dxa"/>
          <w:trHeight w:val="270"/>
        </w:trPr>
        <w:tc>
          <w:tcPr>
            <w:tcW w:w="4962" w:type="dxa"/>
            <w:gridSpan w:val="3"/>
            <w:tcBorders>
              <w:top w:val="nil"/>
              <w:left w:val="double" w:sz="6" w:space="0" w:color="auto"/>
              <w:bottom w:val="single" w:sz="8" w:space="0" w:color="auto"/>
              <w:right w:val="nil"/>
            </w:tcBorders>
            <w:shd w:val="clear" w:color="auto" w:fill="auto"/>
            <w:noWrap/>
            <w:vAlign w:val="center"/>
            <w:hideMark/>
          </w:tcPr>
          <w:p w14:paraId="5871FA73"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Табела 1b:  Кретање цена</w:t>
            </w:r>
          </w:p>
        </w:tc>
        <w:tc>
          <w:tcPr>
            <w:tcW w:w="1447" w:type="dxa"/>
            <w:gridSpan w:val="3"/>
            <w:tcBorders>
              <w:top w:val="nil"/>
              <w:left w:val="single" w:sz="8" w:space="0" w:color="auto"/>
              <w:bottom w:val="single" w:sz="8" w:space="0" w:color="auto"/>
              <w:right w:val="single" w:sz="8" w:space="0" w:color="auto"/>
            </w:tcBorders>
            <w:shd w:val="clear" w:color="auto" w:fill="auto"/>
            <w:noWrap/>
            <w:vAlign w:val="bottom"/>
            <w:hideMark/>
          </w:tcPr>
          <w:p w14:paraId="27A1FC4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1380" w:type="dxa"/>
            <w:gridSpan w:val="3"/>
            <w:tcBorders>
              <w:top w:val="single" w:sz="8" w:space="0" w:color="auto"/>
              <w:left w:val="nil"/>
              <w:bottom w:val="single" w:sz="8" w:space="0" w:color="auto"/>
              <w:right w:val="nil"/>
            </w:tcBorders>
            <w:shd w:val="clear" w:color="auto" w:fill="auto"/>
            <w:noWrap/>
            <w:vAlign w:val="bottom"/>
            <w:hideMark/>
          </w:tcPr>
          <w:p w14:paraId="0C58C661"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300" w:type="dxa"/>
            <w:gridSpan w:val="4"/>
            <w:tcBorders>
              <w:top w:val="single" w:sz="8" w:space="0" w:color="auto"/>
              <w:left w:val="nil"/>
              <w:bottom w:val="single" w:sz="8" w:space="0" w:color="auto"/>
              <w:right w:val="nil"/>
            </w:tcBorders>
            <w:shd w:val="clear" w:color="auto" w:fill="auto"/>
            <w:noWrap/>
            <w:vAlign w:val="bottom"/>
            <w:hideMark/>
          </w:tcPr>
          <w:p w14:paraId="44BF37C0"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360" w:type="dxa"/>
            <w:gridSpan w:val="4"/>
            <w:tcBorders>
              <w:top w:val="nil"/>
              <w:left w:val="nil"/>
              <w:bottom w:val="single" w:sz="8" w:space="0" w:color="auto"/>
              <w:right w:val="nil"/>
            </w:tcBorders>
            <w:shd w:val="clear" w:color="auto" w:fill="auto"/>
            <w:noWrap/>
            <w:vAlign w:val="bottom"/>
            <w:hideMark/>
          </w:tcPr>
          <w:p w14:paraId="76CAA9A6"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260" w:type="dxa"/>
            <w:gridSpan w:val="4"/>
            <w:tcBorders>
              <w:top w:val="nil"/>
              <w:left w:val="nil"/>
              <w:bottom w:val="single" w:sz="8" w:space="0" w:color="auto"/>
              <w:right w:val="nil"/>
            </w:tcBorders>
            <w:shd w:val="clear" w:color="auto" w:fill="auto"/>
            <w:noWrap/>
            <w:vAlign w:val="bottom"/>
            <w:hideMark/>
          </w:tcPr>
          <w:p w14:paraId="57DB2A88"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260" w:type="dxa"/>
            <w:gridSpan w:val="3"/>
            <w:tcBorders>
              <w:top w:val="nil"/>
              <w:left w:val="nil"/>
              <w:bottom w:val="single" w:sz="8" w:space="0" w:color="auto"/>
              <w:right w:val="nil"/>
            </w:tcBorders>
            <w:shd w:val="clear" w:color="auto" w:fill="auto"/>
            <w:noWrap/>
            <w:vAlign w:val="bottom"/>
            <w:hideMark/>
          </w:tcPr>
          <w:p w14:paraId="0DFB8C89"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268" w:type="dxa"/>
            <w:gridSpan w:val="3"/>
            <w:tcBorders>
              <w:top w:val="nil"/>
              <w:left w:val="nil"/>
              <w:bottom w:val="single" w:sz="8" w:space="0" w:color="auto"/>
              <w:right w:val="double" w:sz="4" w:space="0" w:color="auto"/>
            </w:tcBorders>
            <w:shd w:val="clear" w:color="auto" w:fill="auto"/>
            <w:noWrap/>
            <w:vAlign w:val="bottom"/>
            <w:hideMark/>
          </w:tcPr>
          <w:p w14:paraId="064B112E"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r>
      <w:tr w:rsidR="00247CBF" w:rsidRPr="00092ED7" w14:paraId="27A982A5"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65ACCF3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Дефлатор БДП-а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31958768" w14:textId="77777777" w:rsidR="00247CBF" w:rsidRPr="00092ED7" w:rsidRDefault="00247CBF" w:rsidP="00247CBF">
            <w:pPr>
              <w:spacing w:after="0"/>
              <w:jc w:val="center"/>
              <w:rPr>
                <w:sz w:val="20"/>
                <w:szCs w:val="20"/>
                <w:lang w:val="sr-Cyrl-CS"/>
              </w:rPr>
            </w:pPr>
            <w:r w:rsidRPr="00092ED7">
              <w:rPr>
                <w:sz w:val="20"/>
                <w:szCs w:val="20"/>
                <w:lang w:val="sr-Cyrl-CS"/>
              </w:rPr>
              <w:t>Индекс</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0787D3E" w14:textId="77777777" w:rsidR="00247CBF" w:rsidRPr="00092ED7" w:rsidRDefault="00247CBF" w:rsidP="00247CBF">
            <w:pPr>
              <w:spacing w:after="0"/>
              <w:jc w:val="right"/>
              <w:rPr>
                <w:sz w:val="20"/>
                <w:szCs w:val="20"/>
                <w:lang w:val="sr-Cyrl-CS"/>
              </w:rPr>
            </w:pPr>
            <w:r w:rsidRPr="00092ED7">
              <w:rPr>
                <w:sz w:val="20"/>
                <w:szCs w:val="20"/>
                <w:lang w:val="sr-Cyrl-CS"/>
              </w:rPr>
              <w:t>111,9</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96992E8" w14:textId="77777777" w:rsidR="00247CBF" w:rsidRPr="00092ED7" w:rsidRDefault="00247CBF" w:rsidP="00247CBF">
            <w:pPr>
              <w:spacing w:after="0"/>
              <w:jc w:val="right"/>
              <w:rPr>
                <w:sz w:val="20"/>
                <w:szCs w:val="20"/>
                <w:lang w:val="sr-Cyrl-CS"/>
              </w:rPr>
            </w:pPr>
            <w:r w:rsidRPr="00092ED7">
              <w:rPr>
                <w:sz w:val="20"/>
                <w:szCs w:val="20"/>
                <w:lang w:val="sr-Cyrl-CS"/>
              </w:rPr>
              <w:t>118,5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235B0E4" w14:textId="77777777" w:rsidR="00247CBF" w:rsidRPr="00092ED7" w:rsidRDefault="00247CBF" w:rsidP="00247CBF">
            <w:pPr>
              <w:spacing w:after="0"/>
              <w:jc w:val="right"/>
              <w:rPr>
                <w:sz w:val="20"/>
                <w:szCs w:val="20"/>
                <w:lang w:val="sr-Cyrl-CS"/>
              </w:rPr>
            </w:pPr>
            <w:r w:rsidRPr="00092ED7">
              <w:rPr>
                <w:sz w:val="20"/>
                <w:szCs w:val="20"/>
                <w:lang w:val="sr-Cyrl-CS"/>
              </w:rPr>
              <w:t>130,6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00CFCFCE" w14:textId="77777777" w:rsidR="00247CBF" w:rsidRPr="00092ED7" w:rsidRDefault="00247CBF" w:rsidP="00247CBF">
            <w:pPr>
              <w:spacing w:after="0"/>
              <w:jc w:val="right"/>
              <w:rPr>
                <w:sz w:val="20"/>
                <w:szCs w:val="20"/>
                <w:lang w:val="sr-Cyrl-CS"/>
              </w:rPr>
            </w:pPr>
            <w:r w:rsidRPr="00092ED7">
              <w:rPr>
                <w:sz w:val="20"/>
                <w:szCs w:val="20"/>
                <w:lang w:val="sr-Cyrl-CS"/>
              </w:rPr>
              <w:t>144,4</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F63D56C" w14:textId="77777777" w:rsidR="00247CBF" w:rsidRPr="00092ED7" w:rsidRDefault="00247CBF" w:rsidP="00247CBF">
            <w:pPr>
              <w:spacing w:after="0"/>
              <w:jc w:val="right"/>
              <w:rPr>
                <w:sz w:val="20"/>
                <w:szCs w:val="20"/>
                <w:lang w:val="sr-Cyrl-CS"/>
              </w:rPr>
            </w:pPr>
            <w:r w:rsidRPr="00092ED7">
              <w:rPr>
                <w:sz w:val="20"/>
                <w:szCs w:val="20"/>
                <w:lang w:val="sr-Cyrl-CS"/>
              </w:rPr>
              <w:t>152,5</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3FF63ED" w14:textId="77777777" w:rsidR="00247CBF" w:rsidRPr="00092ED7" w:rsidRDefault="00247CBF" w:rsidP="00247CBF">
            <w:pPr>
              <w:spacing w:after="0"/>
              <w:jc w:val="right"/>
              <w:rPr>
                <w:sz w:val="20"/>
                <w:szCs w:val="20"/>
                <w:lang w:val="sr-Cyrl-CS"/>
              </w:rPr>
            </w:pPr>
            <w:r w:rsidRPr="00092ED7">
              <w:rPr>
                <w:sz w:val="20"/>
                <w:szCs w:val="20"/>
                <w:lang w:val="sr-Cyrl-CS"/>
              </w:rPr>
              <w:t>159,0</w:t>
            </w:r>
          </w:p>
        </w:tc>
      </w:tr>
      <w:tr w:rsidR="00247CBF" w:rsidRPr="00092ED7" w14:paraId="77E71C65"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2D05BE0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 Дефлатор приватне потрошње</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50589E7C" w14:textId="77777777" w:rsidR="00247CBF" w:rsidRPr="00092ED7" w:rsidRDefault="00247CBF" w:rsidP="00247CBF">
            <w:pPr>
              <w:spacing w:after="0"/>
              <w:jc w:val="center"/>
              <w:rPr>
                <w:sz w:val="20"/>
                <w:szCs w:val="20"/>
                <w:lang w:val="sr-Cyrl-CS"/>
              </w:rPr>
            </w:pPr>
            <w:r w:rsidRPr="00092ED7">
              <w:rPr>
                <w:sz w:val="20"/>
                <w:szCs w:val="20"/>
                <w:lang w:val="sr-Cyrl-CS"/>
              </w:rPr>
              <w:t>Индекс</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72C4E9DD" w14:textId="77777777" w:rsidR="00247CBF" w:rsidRPr="00092ED7" w:rsidRDefault="00247CBF" w:rsidP="00247CBF">
            <w:pPr>
              <w:spacing w:after="0"/>
              <w:jc w:val="right"/>
              <w:rPr>
                <w:sz w:val="20"/>
                <w:szCs w:val="20"/>
                <w:lang w:val="sr-Cyrl-CS"/>
              </w:rPr>
            </w:pPr>
            <w:r w:rsidRPr="00092ED7">
              <w:rPr>
                <w:sz w:val="20"/>
                <w:szCs w:val="20"/>
                <w:lang w:val="sr-Cyrl-CS"/>
              </w:rPr>
              <w:t>108,1</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074CB5EE" w14:textId="77777777" w:rsidR="00247CBF" w:rsidRPr="00092ED7" w:rsidRDefault="00247CBF" w:rsidP="00247CBF">
            <w:pPr>
              <w:spacing w:after="0"/>
              <w:jc w:val="right"/>
              <w:rPr>
                <w:sz w:val="20"/>
                <w:szCs w:val="20"/>
                <w:lang w:val="sr-Cyrl-CS"/>
              </w:rPr>
            </w:pPr>
            <w:r w:rsidRPr="00092ED7">
              <w:rPr>
                <w:sz w:val="20"/>
                <w:szCs w:val="20"/>
                <w:lang w:val="sr-Cyrl-CS"/>
              </w:rPr>
              <w:t>113,1</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4EC1BA4" w14:textId="77777777" w:rsidR="00247CBF" w:rsidRPr="00092ED7" w:rsidRDefault="00247CBF" w:rsidP="00247CBF">
            <w:pPr>
              <w:spacing w:after="0"/>
              <w:jc w:val="right"/>
              <w:rPr>
                <w:sz w:val="20"/>
                <w:szCs w:val="20"/>
                <w:lang w:val="sr-Cyrl-CS"/>
              </w:rPr>
            </w:pPr>
            <w:r w:rsidRPr="00092ED7">
              <w:rPr>
                <w:sz w:val="20"/>
                <w:szCs w:val="20"/>
                <w:lang w:val="sr-Cyrl-CS"/>
              </w:rPr>
              <w:t>126,3</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0ED348E" w14:textId="77777777" w:rsidR="00247CBF" w:rsidRPr="00092ED7" w:rsidRDefault="00247CBF" w:rsidP="00247CBF">
            <w:pPr>
              <w:spacing w:after="0"/>
              <w:jc w:val="right"/>
              <w:rPr>
                <w:sz w:val="20"/>
                <w:szCs w:val="20"/>
                <w:lang w:val="sr-Cyrl-CS"/>
              </w:rPr>
            </w:pPr>
            <w:r w:rsidRPr="00092ED7">
              <w:rPr>
                <w:sz w:val="20"/>
                <w:szCs w:val="20"/>
                <w:lang w:val="sr-Cyrl-CS"/>
              </w:rPr>
              <w:t>139,7</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7705D41E" w14:textId="77777777" w:rsidR="00247CBF" w:rsidRPr="00092ED7" w:rsidRDefault="00247CBF" w:rsidP="00247CBF">
            <w:pPr>
              <w:spacing w:after="0"/>
              <w:jc w:val="right"/>
              <w:rPr>
                <w:sz w:val="20"/>
                <w:szCs w:val="20"/>
                <w:lang w:val="sr-Cyrl-CS"/>
              </w:rPr>
            </w:pPr>
            <w:r w:rsidRPr="00092ED7">
              <w:rPr>
                <w:sz w:val="20"/>
                <w:szCs w:val="20"/>
                <w:lang w:val="sr-Cyrl-CS"/>
              </w:rPr>
              <w:t>146,7</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35A78D5E" w14:textId="77777777" w:rsidR="00247CBF" w:rsidRPr="00092ED7" w:rsidRDefault="00247CBF" w:rsidP="00247CBF">
            <w:pPr>
              <w:spacing w:after="0"/>
              <w:jc w:val="right"/>
              <w:rPr>
                <w:sz w:val="20"/>
                <w:szCs w:val="20"/>
                <w:lang w:val="sr-Cyrl-CS"/>
              </w:rPr>
            </w:pPr>
            <w:r w:rsidRPr="00092ED7">
              <w:rPr>
                <w:sz w:val="20"/>
                <w:szCs w:val="20"/>
                <w:lang w:val="sr-Cyrl-CS"/>
              </w:rPr>
              <w:t>151,8</w:t>
            </w:r>
          </w:p>
        </w:tc>
      </w:tr>
      <w:tr w:rsidR="00247CBF" w:rsidRPr="00092ED7" w14:paraId="58E87A57"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7839594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3. Хармонизовани индекс потрошачких цена (HICP)</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B240709" w14:textId="77777777" w:rsidR="00247CBF" w:rsidRPr="00092ED7" w:rsidRDefault="00247CBF" w:rsidP="00247CBF">
            <w:pPr>
              <w:spacing w:after="0"/>
              <w:jc w:val="center"/>
              <w:rPr>
                <w:sz w:val="20"/>
                <w:szCs w:val="20"/>
                <w:lang w:val="sr-Cyrl-CS"/>
              </w:rPr>
            </w:pPr>
            <w:r w:rsidRPr="00092ED7">
              <w:rPr>
                <w:sz w:val="20"/>
                <w:szCs w:val="20"/>
                <w:lang w:val="sr-Cyrl-CS"/>
              </w:rPr>
              <w:t>Индекс</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02ECE4B" w14:textId="77777777" w:rsidR="00247CBF" w:rsidRPr="00092ED7" w:rsidRDefault="00247CBF" w:rsidP="00247CBF">
            <w:pPr>
              <w:spacing w:after="0"/>
              <w:jc w:val="right"/>
              <w:rPr>
                <w:sz w:val="20"/>
                <w:szCs w:val="20"/>
                <w:lang w:val="sr-Cyrl-CS"/>
              </w:rPr>
            </w:pPr>
            <w:r w:rsidRPr="00092ED7">
              <w:rPr>
                <w:sz w:val="20"/>
                <w:szCs w:val="20"/>
                <w:lang w:val="sr-Cyrl-CS"/>
              </w:rPr>
              <w:t>100,0</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EACEDE8" w14:textId="77777777" w:rsidR="00247CBF" w:rsidRPr="00092ED7" w:rsidRDefault="00247CBF" w:rsidP="00247CBF">
            <w:pPr>
              <w:spacing w:after="0"/>
              <w:jc w:val="right"/>
              <w:rPr>
                <w:sz w:val="20"/>
                <w:szCs w:val="20"/>
                <w:lang w:val="sr-Cyrl-CS"/>
              </w:rPr>
            </w:pPr>
            <w:r w:rsidRPr="00092ED7">
              <w:rPr>
                <w:sz w:val="20"/>
                <w:szCs w:val="20"/>
                <w:lang w:val="sr-Cyrl-CS"/>
              </w:rPr>
              <w:t>104,0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B2FD53E" w14:textId="77777777" w:rsidR="00247CBF" w:rsidRPr="00092ED7" w:rsidRDefault="00247CBF" w:rsidP="00247CBF">
            <w:pPr>
              <w:spacing w:after="0"/>
              <w:jc w:val="right"/>
              <w:rPr>
                <w:sz w:val="20"/>
                <w:szCs w:val="20"/>
                <w:lang w:val="sr-Cyrl-CS"/>
              </w:rPr>
            </w:pPr>
            <w:r w:rsidRPr="00092ED7">
              <w:rPr>
                <w:sz w:val="20"/>
                <w:szCs w:val="20"/>
                <w:lang w:val="sr-Cyrl-CS"/>
              </w:rPr>
              <w:t>116,2</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5147DF1" w14:textId="77777777" w:rsidR="00247CBF" w:rsidRPr="00092ED7" w:rsidRDefault="00247CBF" w:rsidP="00247CBF">
            <w:pPr>
              <w:spacing w:after="0"/>
              <w:jc w:val="right"/>
              <w:rPr>
                <w:sz w:val="20"/>
                <w:szCs w:val="20"/>
                <w:lang w:val="sr-Cyrl-CS"/>
              </w:rPr>
            </w:pPr>
            <w:r w:rsidRPr="00092ED7">
              <w:rPr>
                <w:sz w:val="20"/>
                <w:szCs w:val="20"/>
                <w:lang w:val="sr-Cyrl-CS"/>
              </w:rPr>
              <w:t>130,7</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5E307F42" w14:textId="77777777" w:rsidR="00247CBF" w:rsidRPr="00092ED7" w:rsidRDefault="00247CBF" w:rsidP="00247CBF">
            <w:pPr>
              <w:spacing w:after="0"/>
              <w:jc w:val="right"/>
              <w:rPr>
                <w:sz w:val="20"/>
                <w:szCs w:val="20"/>
                <w:lang w:val="sr-Cyrl-CS"/>
              </w:rPr>
            </w:pPr>
            <w:r w:rsidRPr="00092ED7">
              <w:rPr>
                <w:sz w:val="20"/>
                <w:szCs w:val="20"/>
                <w:lang w:val="sr-Cyrl-CS"/>
              </w:rPr>
              <w:t>137,6</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58EF8B9" w14:textId="77777777" w:rsidR="00247CBF" w:rsidRPr="00092ED7" w:rsidRDefault="00247CBF" w:rsidP="00247CBF">
            <w:pPr>
              <w:spacing w:after="0"/>
              <w:jc w:val="right"/>
              <w:rPr>
                <w:sz w:val="20"/>
                <w:szCs w:val="20"/>
                <w:lang w:val="sr-Cyrl-CS"/>
              </w:rPr>
            </w:pPr>
            <w:r w:rsidRPr="00092ED7">
              <w:rPr>
                <w:sz w:val="20"/>
                <w:szCs w:val="20"/>
                <w:lang w:val="sr-Cyrl-CS"/>
              </w:rPr>
              <w:t>141,7</w:t>
            </w:r>
          </w:p>
        </w:tc>
      </w:tr>
      <w:tr w:rsidR="00247CBF" w:rsidRPr="00092ED7" w14:paraId="7FB7CC84"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69AA511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4. Индекс потрошачких цена (CPI)</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5F5D85D" w14:textId="77777777" w:rsidR="00247CBF" w:rsidRPr="00092ED7" w:rsidRDefault="00247CBF" w:rsidP="00247CBF">
            <w:pPr>
              <w:spacing w:after="0"/>
              <w:jc w:val="center"/>
              <w:rPr>
                <w:sz w:val="20"/>
                <w:szCs w:val="20"/>
                <w:lang w:val="sr-Cyrl-CS"/>
              </w:rPr>
            </w:pPr>
            <w:r w:rsidRPr="00092ED7">
              <w:rPr>
                <w:sz w:val="20"/>
                <w:szCs w:val="20"/>
                <w:lang w:val="sr-Cyrl-CS"/>
              </w:rPr>
              <w:t>Индекс</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037A4F0A" w14:textId="77777777" w:rsidR="00247CBF" w:rsidRPr="00092ED7" w:rsidRDefault="00247CBF" w:rsidP="00247CBF">
            <w:pPr>
              <w:spacing w:after="0"/>
              <w:jc w:val="right"/>
              <w:rPr>
                <w:sz w:val="20"/>
                <w:szCs w:val="20"/>
                <w:lang w:val="sr-Cyrl-CS"/>
              </w:rPr>
            </w:pPr>
            <w:r w:rsidRPr="00092ED7">
              <w:rPr>
                <w:sz w:val="20"/>
                <w:szCs w:val="20"/>
                <w:lang w:val="sr-Cyrl-CS"/>
              </w:rPr>
              <w:t>100,0</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0636F1A7" w14:textId="77777777" w:rsidR="00247CBF" w:rsidRPr="00092ED7" w:rsidRDefault="00247CBF" w:rsidP="00247CBF">
            <w:pPr>
              <w:spacing w:after="0"/>
              <w:jc w:val="right"/>
              <w:rPr>
                <w:sz w:val="20"/>
                <w:szCs w:val="20"/>
                <w:lang w:val="sr-Cyrl-CS"/>
              </w:rPr>
            </w:pPr>
            <w:r w:rsidRPr="00092ED7">
              <w:rPr>
                <w:sz w:val="20"/>
                <w:szCs w:val="20"/>
                <w:lang w:val="sr-Cyrl-CS"/>
              </w:rPr>
              <w:t>104,0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04E13DEE" w14:textId="77777777" w:rsidR="00247CBF" w:rsidRPr="00092ED7" w:rsidRDefault="00247CBF" w:rsidP="00247CBF">
            <w:pPr>
              <w:spacing w:after="0"/>
              <w:jc w:val="right"/>
              <w:rPr>
                <w:sz w:val="20"/>
                <w:szCs w:val="20"/>
                <w:lang w:val="sr-Cyrl-CS"/>
              </w:rPr>
            </w:pPr>
            <w:r w:rsidRPr="00092ED7">
              <w:rPr>
                <w:sz w:val="20"/>
                <w:szCs w:val="20"/>
                <w:lang w:val="sr-Cyrl-CS"/>
              </w:rPr>
              <w:t>116,5</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50119805" w14:textId="77777777" w:rsidR="00247CBF" w:rsidRPr="00092ED7" w:rsidRDefault="00247CBF" w:rsidP="00247CBF">
            <w:pPr>
              <w:spacing w:after="0"/>
              <w:jc w:val="right"/>
              <w:rPr>
                <w:sz w:val="20"/>
                <w:szCs w:val="20"/>
                <w:lang w:val="sr-Cyrl-CS"/>
              </w:rPr>
            </w:pPr>
            <w:r w:rsidRPr="00092ED7">
              <w:rPr>
                <w:sz w:val="20"/>
                <w:szCs w:val="20"/>
                <w:lang w:val="sr-Cyrl-CS"/>
              </w:rPr>
              <w:t>131,0</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E01D95F" w14:textId="77777777" w:rsidR="00247CBF" w:rsidRPr="00092ED7" w:rsidRDefault="00247CBF" w:rsidP="00247CBF">
            <w:pPr>
              <w:spacing w:after="0"/>
              <w:jc w:val="right"/>
              <w:rPr>
                <w:sz w:val="20"/>
                <w:szCs w:val="20"/>
                <w:lang w:val="sr-Cyrl-CS"/>
              </w:rPr>
            </w:pPr>
            <w:r w:rsidRPr="00092ED7">
              <w:rPr>
                <w:sz w:val="20"/>
                <w:szCs w:val="20"/>
                <w:lang w:val="sr-Cyrl-CS"/>
              </w:rPr>
              <w:t>138,0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37FCFE62" w14:textId="77777777" w:rsidR="00247CBF" w:rsidRPr="00092ED7" w:rsidRDefault="00247CBF" w:rsidP="00247CBF">
            <w:pPr>
              <w:spacing w:after="0"/>
              <w:jc w:val="right"/>
              <w:rPr>
                <w:sz w:val="20"/>
                <w:szCs w:val="20"/>
                <w:lang w:val="sr-Cyrl-CS"/>
              </w:rPr>
            </w:pPr>
            <w:r w:rsidRPr="00092ED7">
              <w:rPr>
                <w:sz w:val="20"/>
                <w:szCs w:val="20"/>
                <w:lang w:val="sr-Cyrl-CS"/>
              </w:rPr>
              <w:t>142,1</w:t>
            </w:r>
          </w:p>
        </w:tc>
      </w:tr>
      <w:tr w:rsidR="00247CBF" w:rsidRPr="00092ED7" w14:paraId="3B04C30C"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492DD8C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5. Дефлатор јавне потрошње</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7EE1B7EF" w14:textId="77777777" w:rsidR="00247CBF" w:rsidRPr="00092ED7" w:rsidRDefault="00247CBF" w:rsidP="00247CBF">
            <w:pPr>
              <w:spacing w:after="0"/>
              <w:jc w:val="center"/>
              <w:rPr>
                <w:sz w:val="20"/>
                <w:szCs w:val="20"/>
                <w:lang w:val="sr-Cyrl-CS"/>
              </w:rPr>
            </w:pPr>
            <w:r w:rsidRPr="00092ED7">
              <w:rPr>
                <w:sz w:val="20"/>
                <w:szCs w:val="20"/>
                <w:lang w:val="sr-Cyrl-CS"/>
              </w:rPr>
              <w:t>Индекс</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345A38C5" w14:textId="77777777" w:rsidR="00247CBF" w:rsidRPr="00092ED7" w:rsidRDefault="00247CBF" w:rsidP="00247CBF">
            <w:pPr>
              <w:spacing w:after="0"/>
              <w:jc w:val="right"/>
              <w:rPr>
                <w:sz w:val="20"/>
                <w:szCs w:val="20"/>
                <w:lang w:val="sr-Cyrl-CS"/>
              </w:rPr>
            </w:pPr>
            <w:r w:rsidRPr="00092ED7">
              <w:rPr>
                <w:sz w:val="20"/>
                <w:szCs w:val="20"/>
                <w:lang w:val="sr-Cyrl-CS"/>
              </w:rPr>
              <w:t>121,4</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0440BB9B" w14:textId="77777777" w:rsidR="00247CBF" w:rsidRPr="00092ED7" w:rsidRDefault="00247CBF" w:rsidP="00247CBF">
            <w:pPr>
              <w:spacing w:after="0"/>
              <w:jc w:val="right"/>
              <w:rPr>
                <w:sz w:val="20"/>
                <w:szCs w:val="20"/>
                <w:lang w:val="sr-Cyrl-CS"/>
              </w:rPr>
            </w:pPr>
            <w:r w:rsidRPr="00092ED7">
              <w:rPr>
                <w:sz w:val="20"/>
                <w:szCs w:val="20"/>
                <w:lang w:val="sr-Cyrl-CS"/>
              </w:rPr>
              <w:t>128,0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4269DB36" w14:textId="77777777" w:rsidR="00247CBF" w:rsidRPr="00092ED7" w:rsidRDefault="00247CBF" w:rsidP="00247CBF">
            <w:pPr>
              <w:spacing w:after="0"/>
              <w:jc w:val="right"/>
              <w:rPr>
                <w:sz w:val="20"/>
                <w:szCs w:val="20"/>
                <w:lang w:val="sr-Cyrl-CS"/>
              </w:rPr>
            </w:pPr>
            <w:r w:rsidRPr="00092ED7">
              <w:rPr>
                <w:sz w:val="20"/>
                <w:szCs w:val="20"/>
                <w:lang w:val="sr-Cyrl-CS"/>
              </w:rPr>
              <w:t>140,8</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720B7F68" w14:textId="77777777" w:rsidR="00247CBF" w:rsidRPr="00092ED7" w:rsidRDefault="00247CBF" w:rsidP="00247CBF">
            <w:pPr>
              <w:spacing w:after="0"/>
              <w:jc w:val="right"/>
              <w:rPr>
                <w:sz w:val="20"/>
                <w:szCs w:val="20"/>
                <w:lang w:val="sr-Cyrl-CS"/>
              </w:rPr>
            </w:pPr>
            <w:r w:rsidRPr="00092ED7">
              <w:rPr>
                <w:sz w:val="20"/>
                <w:szCs w:val="20"/>
                <w:lang w:val="sr-Cyrl-CS"/>
              </w:rPr>
              <w:t>156,6</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E239BFD" w14:textId="77777777" w:rsidR="00247CBF" w:rsidRPr="00092ED7" w:rsidRDefault="00247CBF" w:rsidP="00247CBF">
            <w:pPr>
              <w:spacing w:after="0"/>
              <w:jc w:val="right"/>
              <w:rPr>
                <w:sz w:val="20"/>
                <w:szCs w:val="20"/>
                <w:lang w:val="sr-Cyrl-CS"/>
              </w:rPr>
            </w:pPr>
            <w:r w:rsidRPr="00092ED7">
              <w:rPr>
                <w:sz w:val="20"/>
                <w:szCs w:val="20"/>
                <w:lang w:val="sr-Cyrl-CS"/>
              </w:rPr>
              <w:t>165,2</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723FF44" w14:textId="77777777" w:rsidR="00247CBF" w:rsidRPr="00092ED7" w:rsidRDefault="00247CBF" w:rsidP="00247CBF">
            <w:pPr>
              <w:spacing w:after="0"/>
              <w:jc w:val="right"/>
              <w:rPr>
                <w:sz w:val="20"/>
                <w:szCs w:val="20"/>
                <w:lang w:val="sr-Cyrl-CS"/>
              </w:rPr>
            </w:pPr>
            <w:r w:rsidRPr="00092ED7">
              <w:rPr>
                <w:sz w:val="20"/>
                <w:szCs w:val="20"/>
                <w:lang w:val="sr-Cyrl-CS"/>
              </w:rPr>
              <w:t>174,6</w:t>
            </w:r>
          </w:p>
        </w:tc>
      </w:tr>
      <w:tr w:rsidR="00247CBF" w:rsidRPr="00092ED7" w14:paraId="0334E47F"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40BB7A3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6. Дефлатор инвестиција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734BE45F" w14:textId="77777777" w:rsidR="00247CBF" w:rsidRPr="00092ED7" w:rsidRDefault="00247CBF" w:rsidP="00247CBF">
            <w:pPr>
              <w:spacing w:after="0"/>
              <w:jc w:val="center"/>
              <w:rPr>
                <w:sz w:val="20"/>
                <w:szCs w:val="20"/>
                <w:lang w:val="sr-Cyrl-CS"/>
              </w:rPr>
            </w:pPr>
            <w:r w:rsidRPr="00092ED7">
              <w:rPr>
                <w:sz w:val="20"/>
                <w:szCs w:val="20"/>
                <w:lang w:val="sr-Cyrl-CS"/>
              </w:rPr>
              <w:t>Индекс</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184F54A" w14:textId="77777777" w:rsidR="00247CBF" w:rsidRPr="00092ED7" w:rsidRDefault="00247CBF" w:rsidP="00247CBF">
            <w:pPr>
              <w:spacing w:after="0"/>
              <w:jc w:val="right"/>
              <w:rPr>
                <w:sz w:val="20"/>
                <w:szCs w:val="20"/>
                <w:lang w:val="sr-Cyrl-CS"/>
              </w:rPr>
            </w:pPr>
            <w:r w:rsidRPr="00092ED7">
              <w:rPr>
                <w:sz w:val="20"/>
                <w:szCs w:val="20"/>
                <w:lang w:val="sr-Cyrl-CS"/>
              </w:rPr>
              <w:t>106,4</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4C2FD90" w14:textId="77777777" w:rsidR="00247CBF" w:rsidRPr="00092ED7" w:rsidRDefault="00247CBF" w:rsidP="00247CBF">
            <w:pPr>
              <w:spacing w:after="0"/>
              <w:jc w:val="right"/>
              <w:rPr>
                <w:sz w:val="20"/>
                <w:szCs w:val="20"/>
                <w:lang w:val="sr-Cyrl-CS"/>
              </w:rPr>
            </w:pPr>
            <w:r w:rsidRPr="00092ED7">
              <w:rPr>
                <w:sz w:val="20"/>
                <w:szCs w:val="20"/>
                <w:lang w:val="sr-Cyrl-CS"/>
              </w:rPr>
              <w:t>112,7</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67864371" w14:textId="77777777" w:rsidR="00247CBF" w:rsidRPr="00092ED7" w:rsidRDefault="00247CBF" w:rsidP="00247CBF">
            <w:pPr>
              <w:spacing w:after="0"/>
              <w:jc w:val="right"/>
              <w:rPr>
                <w:sz w:val="20"/>
                <w:szCs w:val="20"/>
                <w:lang w:val="sr-Cyrl-CS"/>
              </w:rPr>
            </w:pPr>
            <w:r w:rsidRPr="00092ED7">
              <w:rPr>
                <w:sz w:val="20"/>
                <w:szCs w:val="20"/>
                <w:lang w:val="sr-Cyrl-CS"/>
              </w:rPr>
              <w:t>129,0</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4D646DB" w14:textId="77777777" w:rsidR="00247CBF" w:rsidRPr="00092ED7" w:rsidRDefault="00247CBF" w:rsidP="00247CBF">
            <w:pPr>
              <w:spacing w:after="0"/>
              <w:jc w:val="right"/>
              <w:rPr>
                <w:sz w:val="20"/>
                <w:szCs w:val="20"/>
                <w:lang w:val="sr-Cyrl-CS"/>
              </w:rPr>
            </w:pPr>
            <w:r w:rsidRPr="00092ED7">
              <w:rPr>
                <w:sz w:val="20"/>
                <w:szCs w:val="20"/>
                <w:lang w:val="sr-Cyrl-CS"/>
              </w:rPr>
              <w:t>138,5</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B68FC40" w14:textId="77777777" w:rsidR="00247CBF" w:rsidRPr="00092ED7" w:rsidRDefault="00247CBF" w:rsidP="00247CBF">
            <w:pPr>
              <w:spacing w:after="0"/>
              <w:jc w:val="right"/>
              <w:rPr>
                <w:sz w:val="20"/>
                <w:szCs w:val="20"/>
                <w:lang w:val="sr-Cyrl-CS"/>
              </w:rPr>
            </w:pPr>
            <w:r w:rsidRPr="00092ED7">
              <w:rPr>
                <w:sz w:val="20"/>
                <w:szCs w:val="20"/>
                <w:lang w:val="sr-Cyrl-CS"/>
              </w:rPr>
              <w:t>145,7</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15A2020A" w14:textId="77777777" w:rsidR="00247CBF" w:rsidRPr="00092ED7" w:rsidRDefault="00247CBF" w:rsidP="00247CBF">
            <w:pPr>
              <w:spacing w:after="0"/>
              <w:jc w:val="right"/>
              <w:rPr>
                <w:sz w:val="20"/>
                <w:szCs w:val="20"/>
                <w:lang w:val="sr-Cyrl-CS"/>
              </w:rPr>
            </w:pPr>
            <w:r w:rsidRPr="00092ED7">
              <w:rPr>
                <w:sz w:val="20"/>
                <w:szCs w:val="20"/>
                <w:lang w:val="sr-Cyrl-CS"/>
              </w:rPr>
              <w:t>151,6</w:t>
            </w:r>
          </w:p>
        </w:tc>
      </w:tr>
      <w:tr w:rsidR="00247CBF" w:rsidRPr="00092ED7" w14:paraId="5F9C7E57"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1F2E8BB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7. Дефлатор извозних цена (роба и услуге)</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57B2D26F" w14:textId="77777777" w:rsidR="00247CBF" w:rsidRPr="00092ED7" w:rsidRDefault="00247CBF" w:rsidP="00247CBF">
            <w:pPr>
              <w:spacing w:after="0"/>
              <w:jc w:val="center"/>
              <w:rPr>
                <w:sz w:val="20"/>
                <w:szCs w:val="20"/>
                <w:lang w:val="sr-Cyrl-CS"/>
              </w:rPr>
            </w:pPr>
            <w:r w:rsidRPr="00092ED7">
              <w:rPr>
                <w:sz w:val="20"/>
                <w:szCs w:val="20"/>
                <w:lang w:val="sr-Cyrl-CS"/>
              </w:rPr>
              <w:t>Индекс</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023FCCD6" w14:textId="77777777" w:rsidR="00247CBF" w:rsidRPr="00092ED7" w:rsidRDefault="00247CBF" w:rsidP="00247CBF">
            <w:pPr>
              <w:spacing w:after="0"/>
              <w:jc w:val="right"/>
              <w:rPr>
                <w:sz w:val="20"/>
                <w:szCs w:val="20"/>
                <w:lang w:val="sr-Cyrl-CS"/>
              </w:rPr>
            </w:pPr>
            <w:r w:rsidRPr="00092ED7">
              <w:rPr>
                <w:sz w:val="20"/>
                <w:szCs w:val="20"/>
                <w:lang w:val="sr-Cyrl-CS"/>
              </w:rPr>
              <w:t>101,3</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4A1DF6B" w14:textId="77777777" w:rsidR="00247CBF" w:rsidRPr="00092ED7" w:rsidRDefault="00247CBF" w:rsidP="00247CBF">
            <w:pPr>
              <w:spacing w:after="0"/>
              <w:jc w:val="right"/>
              <w:rPr>
                <w:sz w:val="20"/>
                <w:szCs w:val="20"/>
                <w:lang w:val="sr-Cyrl-CS"/>
              </w:rPr>
            </w:pPr>
            <w:r w:rsidRPr="00092ED7">
              <w:rPr>
                <w:sz w:val="20"/>
                <w:szCs w:val="20"/>
                <w:lang w:val="sr-Cyrl-CS"/>
              </w:rPr>
              <w:t>109,1</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3104F61F" w14:textId="77777777" w:rsidR="00247CBF" w:rsidRPr="00092ED7" w:rsidRDefault="00247CBF" w:rsidP="00247CBF">
            <w:pPr>
              <w:spacing w:after="0"/>
              <w:jc w:val="right"/>
              <w:rPr>
                <w:sz w:val="20"/>
                <w:szCs w:val="20"/>
                <w:lang w:val="sr-Cyrl-CS"/>
              </w:rPr>
            </w:pPr>
            <w:r w:rsidRPr="00092ED7">
              <w:rPr>
                <w:sz w:val="20"/>
                <w:szCs w:val="20"/>
                <w:lang w:val="sr-Cyrl-CS"/>
              </w:rPr>
              <w:t>123,1</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662E379" w14:textId="77777777" w:rsidR="00247CBF" w:rsidRPr="00092ED7" w:rsidRDefault="00247CBF" w:rsidP="00247CBF">
            <w:pPr>
              <w:spacing w:after="0"/>
              <w:jc w:val="right"/>
              <w:rPr>
                <w:sz w:val="20"/>
                <w:szCs w:val="20"/>
                <w:lang w:val="sr-Cyrl-CS"/>
              </w:rPr>
            </w:pPr>
            <w:r w:rsidRPr="00092ED7">
              <w:rPr>
                <w:sz w:val="20"/>
                <w:szCs w:val="20"/>
                <w:lang w:val="sr-Cyrl-CS"/>
              </w:rPr>
              <w:t>132,1</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ABD5520" w14:textId="77777777" w:rsidR="00247CBF" w:rsidRPr="00092ED7" w:rsidRDefault="00247CBF" w:rsidP="00247CBF">
            <w:pPr>
              <w:spacing w:after="0"/>
              <w:jc w:val="right"/>
              <w:rPr>
                <w:sz w:val="20"/>
                <w:szCs w:val="20"/>
                <w:lang w:val="sr-Cyrl-CS"/>
              </w:rPr>
            </w:pPr>
            <w:r w:rsidRPr="00092ED7">
              <w:rPr>
                <w:sz w:val="20"/>
                <w:szCs w:val="20"/>
                <w:lang w:val="sr-Cyrl-CS"/>
              </w:rPr>
              <w:t>138,0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C7780FF" w14:textId="77777777" w:rsidR="00247CBF" w:rsidRPr="00092ED7" w:rsidRDefault="00247CBF" w:rsidP="00247CBF">
            <w:pPr>
              <w:spacing w:after="0"/>
              <w:jc w:val="right"/>
              <w:rPr>
                <w:sz w:val="20"/>
                <w:szCs w:val="20"/>
                <w:lang w:val="sr-Cyrl-CS"/>
              </w:rPr>
            </w:pPr>
            <w:r w:rsidRPr="00092ED7">
              <w:rPr>
                <w:sz w:val="20"/>
                <w:szCs w:val="20"/>
                <w:lang w:val="sr-Cyrl-CS"/>
              </w:rPr>
              <w:t>143,0</w:t>
            </w:r>
          </w:p>
        </w:tc>
      </w:tr>
      <w:tr w:rsidR="00247CBF" w:rsidRPr="00092ED7" w14:paraId="391CA203" w14:textId="77777777" w:rsidTr="00247CBF">
        <w:trPr>
          <w:gridAfter w:val="3"/>
          <w:wAfter w:w="365" w:type="dxa"/>
          <w:trHeight w:val="270"/>
        </w:trPr>
        <w:tc>
          <w:tcPr>
            <w:tcW w:w="4962" w:type="dxa"/>
            <w:gridSpan w:val="3"/>
            <w:tcBorders>
              <w:top w:val="nil"/>
              <w:left w:val="double" w:sz="6" w:space="0" w:color="auto"/>
              <w:bottom w:val="dashed" w:sz="4" w:space="0" w:color="auto"/>
              <w:right w:val="nil"/>
            </w:tcBorders>
            <w:shd w:val="clear" w:color="auto" w:fill="auto"/>
            <w:vAlign w:val="center"/>
            <w:hideMark/>
          </w:tcPr>
          <w:p w14:paraId="11A7C94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8. Дефлатор увозних цена (роба и услуге)</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6CE1F51F" w14:textId="77777777" w:rsidR="00247CBF" w:rsidRPr="00092ED7" w:rsidRDefault="00247CBF" w:rsidP="00247CBF">
            <w:pPr>
              <w:spacing w:after="0"/>
              <w:jc w:val="center"/>
              <w:rPr>
                <w:sz w:val="20"/>
                <w:szCs w:val="20"/>
                <w:lang w:val="sr-Cyrl-CS"/>
              </w:rPr>
            </w:pPr>
            <w:r w:rsidRPr="00092ED7">
              <w:rPr>
                <w:sz w:val="20"/>
                <w:szCs w:val="20"/>
                <w:lang w:val="sr-Cyrl-CS"/>
              </w:rPr>
              <w:t>Индекс</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33858CEA" w14:textId="77777777" w:rsidR="00247CBF" w:rsidRPr="00092ED7" w:rsidRDefault="00247CBF" w:rsidP="00247CBF">
            <w:pPr>
              <w:spacing w:after="0"/>
              <w:jc w:val="right"/>
              <w:rPr>
                <w:sz w:val="20"/>
                <w:szCs w:val="20"/>
                <w:lang w:val="sr-Cyrl-CS"/>
              </w:rPr>
            </w:pPr>
            <w:r w:rsidRPr="00092ED7">
              <w:rPr>
                <w:sz w:val="20"/>
                <w:szCs w:val="20"/>
                <w:lang w:val="sr-Cyrl-CS"/>
              </w:rPr>
              <w:t>98,2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57BC127" w14:textId="77777777" w:rsidR="00247CBF" w:rsidRPr="00092ED7" w:rsidRDefault="00247CBF" w:rsidP="00247CBF">
            <w:pPr>
              <w:spacing w:after="0"/>
              <w:jc w:val="right"/>
              <w:rPr>
                <w:sz w:val="20"/>
                <w:szCs w:val="20"/>
                <w:lang w:val="sr-Cyrl-CS"/>
              </w:rPr>
            </w:pPr>
            <w:r w:rsidRPr="00092ED7">
              <w:rPr>
                <w:sz w:val="20"/>
                <w:szCs w:val="20"/>
                <w:lang w:val="sr-Cyrl-CS"/>
              </w:rPr>
              <w:t>104,8</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17ADCE56" w14:textId="77777777" w:rsidR="00247CBF" w:rsidRPr="00092ED7" w:rsidRDefault="00247CBF" w:rsidP="00247CBF">
            <w:pPr>
              <w:spacing w:after="0"/>
              <w:jc w:val="right"/>
              <w:rPr>
                <w:sz w:val="20"/>
                <w:szCs w:val="20"/>
                <w:lang w:val="sr-Cyrl-CS"/>
              </w:rPr>
            </w:pPr>
            <w:r w:rsidRPr="00092ED7">
              <w:rPr>
                <w:sz w:val="20"/>
                <w:szCs w:val="20"/>
                <w:lang w:val="sr-Cyrl-CS"/>
              </w:rPr>
              <w:t>123,1</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01D17291" w14:textId="77777777" w:rsidR="00247CBF" w:rsidRPr="00092ED7" w:rsidRDefault="00247CBF" w:rsidP="00247CBF">
            <w:pPr>
              <w:spacing w:after="0"/>
              <w:jc w:val="right"/>
              <w:rPr>
                <w:sz w:val="20"/>
                <w:szCs w:val="20"/>
                <w:lang w:val="sr-Cyrl-CS"/>
              </w:rPr>
            </w:pPr>
            <w:r w:rsidRPr="00092ED7">
              <w:rPr>
                <w:sz w:val="20"/>
                <w:szCs w:val="20"/>
                <w:lang w:val="sr-Cyrl-CS"/>
              </w:rPr>
              <w:t>130,9</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5B24D66D" w14:textId="77777777" w:rsidR="00247CBF" w:rsidRPr="00092ED7" w:rsidRDefault="00247CBF" w:rsidP="00247CBF">
            <w:pPr>
              <w:spacing w:after="0"/>
              <w:jc w:val="right"/>
              <w:rPr>
                <w:sz w:val="20"/>
                <w:szCs w:val="20"/>
                <w:lang w:val="sr-Cyrl-CS"/>
              </w:rPr>
            </w:pPr>
            <w:r w:rsidRPr="00092ED7">
              <w:rPr>
                <w:sz w:val="20"/>
                <w:szCs w:val="20"/>
                <w:lang w:val="sr-Cyrl-CS"/>
              </w:rPr>
              <w:t>135,5</w:t>
            </w:r>
          </w:p>
        </w:tc>
        <w:tc>
          <w:tcPr>
            <w:tcW w:w="1268" w:type="dxa"/>
            <w:gridSpan w:val="3"/>
            <w:tcBorders>
              <w:top w:val="nil"/>
              <w:left w:val="nil"/>
              <w:bottom w:val="single" w:sz="8" w:space="0" w:color="auto"/>
              <w:right w:val="double" w:sz="4" w:space="0" w:color="auto"/>
            </w:tcBorders>
            <w:shd w:val="clear" w:color="auto" w:fill="auto"/>
            <w:noWrap/>
            <w:vAlign w:val="center"/>
            <w:hideMark/>
          </w:tcPr>
          <w:p w14:paraId="2F4304D1" w14:textId="77777777" w:rsidR="00247CBF" w:rsidRPr="00092ED7" w:rsidRDefault="00247CBF" w:rsidP="00247CBF">
            <w:pPr>
              <w:spacing w:after="0"/>
              <w:jc w:val="right"/>
              <w:rPr>
                <w:sz w:val="20"/>
                <w:szCs w:val="20"/>
                <w:lang w:val="sr-Cyrl-CS"/>
              </w:rPr>
            </w:pPr>
            <w:r w:rsidRPr="00092ED7">
              <w:rPr>
                <w:sz w:val="20"/>
                <w:szCs w:val="20"/>
                <w:lang w:val="sr-Cyrl-CS"/>
              </w:rPr>
              <w:t>139,6</w:t>
            </w:r>
          </w:p>
        </w:tc>
      </w:tr>
      <w:tr w:rsidR="00247CBF" w:rsidRPr="00092ED7" w14:paraId="1822ADB8" w14:textId="77777777" w:rsidTr="00247CBF">
        <w:trPr>
          <w:gridAfter w:val="3"/>
          <w:wAfter w:w="365" w:type="dxa"/>
          <w:trHeight w:val="270"/>
        </w:trPr>
        <w:tc>
          <w:tcPr>
            <w:tcW w:w="4962" w:type="dxa"/>
            <w:gridSpan w:val="3"/>
            <w:tcBorders>
              <w:top w:val="single" w:sz="8" w:space="0" w:color="auto"/>
              <w:left w:val="double" w:sz="6" w:space="0" w:color="auto"/>
              <w:bottom w:val="single" w:sz="8" w:space="0" w:color="auto"/>
              <w:right w:val="nil"/>
            </w:tcBorders>
            <w:shd w:val="clear" w:color="auto" w:fill="auto"/>
            <w:noWrap/>
            <w:vAlign w:val="center"/>
            <w:hideMark/>
          </w:tcPr>
          <w:p w14:paraId="1A802FFF"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Табела 1c:  Кретања на тржишту рада</w:t>
            </w:r>
          </w:p>
        </w:tc>
        <w:tc>
          <w:tcPr>
            <w:tcW w:w="14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BE1A7C" w14:textId="77777777" w:rsidR="00247CBF" w:rsidRPr="00092ED7" w:rsidRDefault="00247CBF" w:rsidP="00247CBF">
            <w:pPr>
              <w:spacing w:after="0"/>
              <w:jc w:val="center"/>
              <w:rPr>
                <w:rFonts w:eastAsia="Times New Roman" w:cs="Times New Roman"/>
                <w:sz w:val="20"/>
                <w:szCs w:val="20"/>
                <w:lang w:val="sr-Cyrl-CS"/>
              </w:rPr>
            </w:pPr>
          </w:p>
        </w:tc>
        <w:tc>
          <w:tcPr>
            <w:tcW w:w="1380" w:type="dxa"/>
            <w:gridSpan w:val="3"/>
            <w:tcBorders>
              <w:top w:val="single" w:sz="8" w:space="0" w:color="auto"/>
              <w:left w:val="nil"/>
              <w:bottom w:val="single" w:sz="8" w:space="0" w:color="auto"/>
              <w:right w:val="nil"/>
            </w:tcBorders>
            <w:shd w:val="clear" w:color="auto" w:fill="auto"/>
            <w:noWrap/>
            <w:vAlign w:val="bottom"/>
            <w:hideMark/>
          </w:tcPr>
          <w:p w14:paraId="120AE084"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300" w:type="dxa"/>
            <w:gridSpan w:val="4"/>
            <w:tcBorders>
              <w:top w:val="single" w:sz="8" w:space="0" w:color="auto"/>
              <w:left w:val="nil"/>
              <w:bottom w:val="single" w:sz="8" w:space="0" w:color="auto"/>
              <w:right w:val="nil"/>
            </w:tcBorders>
            <w:shd w:val="clear" w:color="auto" w:fill="auto"/>
            <w:noWrap/>
            <w:vAlign w:val="bottom"/>
            <w:hideMark/>
          </w:tcPr>
          <w:p w14:paraId="4653D6C9"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360" w:type="dxa"/>
            <w:gridSpan w:val="4"/>
            <w:tcBorders>
              <w:top w:val="single" w:sz="8" w:space="0" w:color="auto"/>
              <w:left w:val="nil"/>
              <w:bottom w:val="single" w:sz="8" w:space="0" w:color="auto"/>
              <w:right w:val="nil"/>
            </w:tcBorders>
            <w:shd w:val="clear" w:color="auto" w:fill="auto"/>
            <w:noWrap/>
            <w:vAlign w:val="bottom"/>
            <w:hideMark/>
          </w:tcPr>
          <w:p w14:paraId="1963A4A7"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260" w:type="dxa"/>
            <w:gridSpan w:val="4"/>
            <w:tcBorders>
              <w:top w:val="single" w:sz="8" w:space="0" w:color="auto"/>
              <w:left w:val="nil"/>
              <w:bottom w:val="single" w:sz="8" w:space="0" w:color="auto"/>
              <w:right w:val="nil"/>
            </w:tcBorders>
            <w:shd w:val="clear" w:color="auto" w:fill="auto"/>
            <w:noWrap/>
            <w:vAlign w:val="bottom"/>
            <w:hideMark/>
          </w:tcPr>
          <w:p w14:paraId="1EB06706"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260" w:type="dxa"/>
            <w:gridSpan w:val="3"/>
            <w:tcBorders>
              <w:top w:val="single" w:sz="8" w:space="0" w:color="auto"/>
              <w:left w:val="nil"/>
              <w:bottom w:val="single" w:sz="8" w:space="0" w:color="auto"/>
              <w:right w:val="nil"/>
            </w:tcBorders>
            <w:shd w:val="clear" w:color="auto" w:fill="auto"/>
            <w:noWrap/>
            <w:vAlign w:val="bottom"/>
            <w:hideMark/>
          </w:tcPr>
          <w:p w14:paraId="706D082D"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268" w:type="dxa"/>
            <w:gridSpan w:val="3"/>
            <w:tcBorders>
              <w:top w:val="nil"/>
              <w:left w:val="nil"/>
              <w:bottom w:val="single" w:sz="8" w:space="0" w:color="auto"/>
              <w:right w:val="double" w:sz="4" w:space="0" w:color="auto"/>
            </w:tcBorders>
            <w:shd w:val="clear" w:color="auto" w:fill="auto"/>
            <w:noWrap/>
            <w:vAlign w:val="bottom"/>
            <w:hideMark/>
          </w:tcPr>
          <w:p w14:paraId="21DF8CA0"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r>
      <w:tr w:rsidR="00247CBF" w:rsidRPr="00092ED7" w14:paraId="63A3F204" w14:textId="77777777" w:rsidTr="00247CBF">
        <w:trPr>
          <w:gridAfter w:val="3"/>
          <w:wAfter w:w="365" w:type="dxa"/>
          <w:trHeight w:val="255"/>
        </w:trPr>
        <w:tc>
          <w:tcPr>
            <w:tcW w:w="4962" w:type="dxa"/>
            <w:gridSpan w:val="3"/>
            <w:tcBorders>
              <w:top w:val="dashed" w:sz="4" w:space="0" w:color="auto"/>
              <w:left w:val="double" w:sz="6" w:space="0" w:color="auto"/>
              <w:bottom w:val="dashed" w:sz="4" w:space="0" w:color="auto"/>
              <w:right w:val="nil"/>
            </w:tcBorders>
            <w:shd w:val="clear" w:color="auto" w:fill="auto"/>
            <w:hideMark/>
          </w:tcPr>
          <w:p w14:paraId="056F2C4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Становништво (у хиљадама)</w:t>
            </w:r>
          </w:p>
        </w:tc>
        <w:tc>
          <w:tcPr>
            <w:tcW w:w="1447" w:type="dxa"/>
            <w:gridSpan w:val="3"/>
            <w:tcBorders>
              <w:top w:val="dashed" w:sz="4" w:space="0" w:color="auto"/>
              <w:left w:val="single" w:sz="8" w:space="0" w:color="auto"/>
              <w:bottom w:val="dashed" w:sz="4" w:space="0" w:color="auto"/>
              <w:right w:val="single" w:sz="8" w:space="0" w:color="auto"/>
            </w:tcBorders>
            <w:shd w:val="clear" w:color="auto" w:fill="auto"/>
            <w:noWrap/>
            <w:vAlign w:val="center"/>
            <w:hideMark/>
          </w:tcPr>
          <w:p w14:paraId="1502A817" w14:textId="77777777" w:rsidR="00247CBF" w:rsidRPr="00092ED7" w:rsidRDefault="00247CBF" w:rsidP="00247CBF">
            <w:pPr>
              <w:spacing w:after="0"/>
              <w:jc w:val="center"/>
              <w:rPr>
                <w:sz w:val="20"/>
                <w:szCs w:val="20"/>
                <w:lang w:val="sr-Cyrl-CS"/>
              </w:rPr>
            </w:pPr>
            <w:r w:rsidRPr="00092ED7">
              <w:rPr>
                <w:sz w:val="20"/>
                <w:szCs w:val="20"/>
                <w:lang w:val="sr-Cyrl-CS"/>
              </w:rPr>
              <w:t>у хиљадама</w:t>
            </w:r>
          </w:p>
        </w:tc>
        <w:tc>
          <w:tcPr>
            <w:tcW w:w="1380" w:type="dxa"/>
            <w:gridSpan w:val="3"/>
            <w:tcBorders>
              <w:top w:val="dashed" w:sz="4" w:space="0" w:color="auto"/>
              <w:left w:val="nil"/>
              <w:bottom w:val="dashed" w:sz="4" w:space="0" w:color="auto"/>
              <w:right w:val="dashed" w:sz="4" w:space="0" w:color="auto"/>
            </w:tcBorders>
            <w:shd w:val="clear" w:color="auto" w:fill="auto"/>
            <w:noWrap/>
            <w:vAlign w:val="center"/>
            <w:hideMark/>
          </w:tcPr>
          <w:p w14:paraId="21F73D58" w14:textId="77777777" w:rsidR="00247CBF" w:rsidRPr="00092ED7" w:rsidRDefault="00247CBF" w:rsidP="00247CBF">
            <w:pPr>
              <w:spacing w:after="0"/>
              <w:jc w:val="right"/>
              <w:rPr>
                <w:sz w:val="20"/>
                <w:szCs w:val="20"/>
                <w:lang w:val="sr-Cyrl-CS"/>
              </w:rPr>
            </w:pPr>
            <w:r w:rsidRPr="00092ED7">
              <w:rPr>
                <w:sz w:val="20"/>
                <w:szCs w:val="20"/>
                <w:lang w:val="sr-Cyrl-CS"/>
              </w:rPr>
              <w:t>6.899</w:t>
            </w:r>
          </w:p>
        </w:tc>
        <w:tc>
          <w:tcPr>
            <w:tcW w:w="1300" w:type="dxa"/>
            <w:gridSpan w:val="4"/>
            <w:tcBorders>
              <w:top w:val="dashed" w:sz="4" w:space="0" w:color="auto"/>
              <w:left w:val="nil"/>
              <w:bottom w:val="dashed" w:sz="4" w:space="0" w:color="auto"/>
              <w:right w:val="dashed" w:sz="4" w:space="0" w:color="auto"/>
            </w:tcBorders>
            <w:shd w:val="clear" w:color="auto" w:fill="auto"/>
            <w:noWrap/>
            <w:vAlign w:val="center"/>
            <w:hideMark/>
          </w:tcPr>
          <w:p w14:paraId="24F91B48" w14:textId="77777777" w:rsidR="00247CBF" w:rsidRPr="00092ED7" w:rsidRDefault="00247CBF" w:rsidP="00247CBF">
            <w:pPr>
              <w:spacing w:after="0"/>
              <w:jc w:val="right"/>
              <w:rPr>
                <w:sz w:val="20"/>
                <w:szCs w:val="20"/>
                <w:lang w:val="sr-Cyrl-CS"/>
              </w:rPr>
            </w:pPr>
            <w:r w:rsidRPr="00092ED7">
              <w:rPr>
                <w:sz w:val="20"/>
                <w:szCs w:val="20"/>
                <w:lang w:val="sr-Cyrl-CS"/>
              </w:rPr>
              <w:t>6.834</w:t>
            </w:r>
          </w:p>
        </w:tc>
        <w:tc>
          <w:tcPr>
            <w:tcW w:w="1360" w:type="dxa"/>
            <w:gridSpan w:val="4"/>
            <w:tcBorders>
              <w:top w:val="dashed" w:sz="4" w:space="0" w:color="auto"/>
              <w:left w:val="nil"/>
              <w:bottom w:val="dashed" w:sz="4" w:space="0" w:color="auto"/>
              <w:right w:val="dashed" w:sz="4" w:space="0" w:color="auto"/>
            </w:tcBorders>
            <w:shd w:val="clear" w:color="auto" w:fill="auto"/>
            <w:noWrap/>
            <w:vAlign w:val="center"/>
            <w:hideMark/>
          </w:tcPr>
          <w:p w14:paraId="0398697C" w14:textId="77777777" w:rsidR="00247CBF" w:rsidRPr="00092ED7" w:rsidRDefault="00247CBF" w:rsidP="00247CBF">
            <w:pPr>
              <w:spacing w:after="0"/>
              <w:jc w:val="right"/>
              <w:rPr>
                <w:sz w:val="20"/>
                <w:szCs w:val="20"/>
                <w:lang w:val="sr-Cyrl-CS"/>
              </w:rPr>
            </w:pPr>
            <w:r w:rsidRPr="00092ED7">
              <w:rPr>
                <w:sz w:val="20"/>
                <w:szCs w:val="20"/>
                <w:lang w:val="sr-Cyrl-CS"/>
              </w:rPr>
              <w:t>6.800</w:t>
            </w:r>
          </w:p>
        </w:tc>
        <w:tc>
          <w:tcPr>
            <w:tcW w:w="1260" w:type="dxa"/>
            <w:gridSpan w:val="4"/>
            <w:tcBorders>
              <w:top w:val="dashed" w:sz="4" w:space="0" w:color="auto"/>
              <w:left w:val="nil"/>
              <w:bottom w:val="dashed" w:sz="4" w:space="0" w:color="auto"/>
              <w:right w:val="dashed" w:sz="4" w:space="0" w:color="auto"/>
            </w:tcBorders>
            <w:shd w:val="clear" w:color="auto" w:fill="auto"/>
            <w:noWrap/>
            <w:vAlign w:val="center"/>
            <w:hideMark/>
          </w:tcPr>
          <w:p w14:paraId="091362BD" w14:textId="77777777" w:rsidR="00247CBF" w:rsidRPr="00092ED7" w:rsidRDefault="00247CBF" w:rsidP="00247CBF">
            <w:pPr>
              <w:spacing w:after="0"/>
              <w:jc w:val="right"/>
              <w:rPr>
                <w:sz w:val="20"/>
                <w:szCs w:val="20"/>
                <w:lang w:val="sr-Cyrl-CS"/>
              </w:rPr>
            </w:pPr>
            <w:r w:rsidRPr="00092ED7">
              <w:rPr>
                <w:sz w:val="20"/>
                <w:szCs w:val="20"/>
                <w:lang w:val="sr-Cyrl-CS"/>
              </w:rPr>
              <w:t>6.780</w:t>
            </w:r>
          </w:p>
        </w:tc>
        <w:tc>
          <w:tcPr>
            <w:tcW w:w="1260" w:type="dxa"/>
            <w:gridSpan w:val="3"/>
            <w:tcBorders>
              <w:top w:val="dashed" w:sz="4" w:space="0" w:color="auto"/>
              <w:left w:val="nil"/>
              <w:bottom w:val="dashed" w:sz="4" w:space="0" w:color="auto"/>
              <w:right w:val="dashed" w:sz="4" w:space="0" w:color="auto"/>
            </w:tcBorders>
            <w:shd w:val="clear" w:color="auto" w:fill="auto"/>
            <w:noWrap/>
            <w:vAlign w:val="center"/>
            <w:hideMark/>
          </w:tcPr>
          <w:p w14:paraId="47BF91F9" w14:textId="77777777" w:rsidR="00247CBF" w:rsidRPr="00092ED7" w:rsidRDefault="00247CBF" w:rsidP="00247CBF">
            <w:pPr>
              <w:spacing w:after="0"/>
              <w:jc w:val="right"/>
              <w:rPr>
                <w:sz w:val="20"/>
                <w:szCs w:val="20"/>
                <w:lang w:val="sr-Cyrl-CS"/>
              </w:rPr>
            </w:pPr>
            <w:r w:rsidRPr="00092ED7">
              <w:rPr>
                <w:sz w:val="20"/>
                <w:szCs w:val="20"/>
                <w:lang w:val="sr-Cyrl-CS"/>
              </w:rPr>
              <w:t>6.759</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1B4FE8D5" w14:textId="77777777" w:rsidR="00247CBF" w:rsidRPr="00092ED7" w:rsidRDefault="00247CBF" w:rsidP="00247CBF">
            <w:pPr>
              <w:spacing w:after="0"/>
              <w:jc w:val="right"/>
              <w:rPr>
                <w:sz w:val="20"/>
                <w:szCs w:val="20"/>
                <w:lang w:val="sr-Cyrl-CS"/>
              </w:rPr>
            </w:pPr>
            <w:r w:rsidRPr="00092ED7">
              <w:rPr>
                <w:sz w:val="20"/>
                <w:szCs w:val="20"/>
                <w:lang w:val="sr-Cyrl-CS"/>
              </w:rPr>
              <w:t>6.739</w:t>
            </w:r>
          </w:p>
        </w:tc>
      </w:tr>
      <w:tr w:rsidR="00247CBF" w:rsidRPr="00092ED7" w14:paraId="57CF1872"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23887DF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3. Становништво радног узраста (број лица)[1]</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6551F88" w14:textId="77777777" w:rsidR="00247CBF" w:rsidRPr="00092ED7" w:rsidRDefault="00247CBF" w:rsidP="00247CBF">
            <w:pPr>
              <w:spacing w:after="0"/>
              <w:jc w:val="center"/>
              <w:rPr>
                <w:sz w:val="20"/>
                <w:szCs w:val="20"/>
                <w:lang w:val="sr-Cyrl-CS"/>
              </w:rPr>
            </w:pPr>
            <w:r w:rsidRPr="00092ED7">
              <w:rPr>
                <w:sz w:val="20"/>
                <w:szCs w:val="20"/>
                <w:lang w:val="sr-Cyrl-CS"/>
              </w:rPr>
              <w:t>у хиљадама</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AA78417" w14:textId="77777777" w:rsidR="00247CBF" w:rsidRPr="00092ED7" w:rsidRDefault="00247CBF" w:rsidP="00247CBF">
            <w:pPr>
              <w:spacing w:after="0"/>
              <w:jc w:val="right"/>
              <w:rPr>
                <w:sz w:val="20"/>
                <w:szCs w:val="20"/>
                <w:lang w:val="sr-Cyrl-CS"/>
              </w:rPr>
            </w:pPr>
            <w:r w:rsidRPr="00092ED7">
              <w:rPr>
                <w:sz w:val="20"/>
                <w:szCs w:val="20"/>
                <w:lang w:val="sr-Cyrl-CS"/>
              </w:rPr>
              <w:t>4.445</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17833E79" w14:textId="77777777" w:rsidR="00247CBF" w:rsidRPr="00092ED7" w:rsidRDefault="00247CBF" w:rsidP="00247CBF">
            <w:pPr>
              <w:spacing w:after="0"/>
              <w:jc w:val="right"/>
              <w:rPr>
                <w:sz w:val="20"/>
                <w:szCs w:val="20"/>
                <w:lang w:val="sr-Cyrl-CS"/>
              </w:rPr>
            </w:pPr>
            <w:r w:rsidRPr="00092ED7">
              <w:rPr>
                <w:sz w:val="20"/>
                <w:szCs w:val="20"/>
                <w:lang w:val="sr-Cyrl-CS"/>
              </w:rPr>
              <w:t>4.387</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10072D0" w14:textId="77777777" w:rsidR="00247CBF" w:rsidRPr="00092ED7" w:rsidRDefault="00247CBF" w:rsidP="00247CBF">
            <w:pPr>
              <w:spacing w:after="0"/>
              <w:jc w:val="right"/>
              <w:rPr>
                <w:sz w:val="20"/>
                <w:szCs w:val="20"/>
                <w:lang w:val="sr-Cyrl-CS"/>
              </w:rPr>
            </w:pPr>
            <w:r w:rsidRPr="00092ED7">
              <w:rPr>
                <w:sz w:val="20"/>
                <w:szCs w:val="20"/>
                <w:lang w:val="sr-Cyrl-CS"/>
              </w:rPr>
              <w:t>4.372</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9415AA6" w14:textId="77777777" w:rsidR="00247CBF" w:rsidRPr="00092ED7" w:rsidRDefault="00247CBF" w:rsidP="00247CBF">
            <w:pPr>
              <w:spacing w:after="0"/>
              <w:jc w:val="right"/>
              <w:rPr>
                <w:sz w:val="20"/>
                <w:szCs w:val="20"/>
                <w:lang w:val="sr-Cyrl-CS"/>
              </w:rPr>
            </w:pPr>
            <w:r w:rsidRPr="00092ED7">
              <w:rPr>
                <w:sz w:val="20"/>
                <w:szCs w:val="20"/>
                <w:lang w:val="sr-Cyrl-CS"/>
              </w:rPr>
              <w:t>4.373</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B3F57EA" w14:textId="77777777" w:rsidR="00247CBF" w:rsidRPr="00092ED7" w:rsidRDefault="00247CBF" w:rsidP="00247CBF">
            <w:pPr>
              <w:spacing w:after="0"/>
              <w:jc w:val="right"/>
              <w:rPr>
                <w:sz w:val="20"/>
                <w:szCs w:val="20"/>
                <w:lang w:val="sr-Cyrl-CS"/>
              </w:rPr>
            </w:pPr>
            <w:r w:rsidRPr="00092ED7">
              <w:rPr>
                <w:sz w:val="20"/>
                <w:szCs w:val="20"/>
                <w:lang w:val="sr-Cyrl-CS"/>
              </w:rPr>
              <w:t>4.360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81C7C08" w14:textId="77777777" w:rsidR="00247CBF" w:rsidRPr="00092ED7" w:rsidRDefault="00247CBF" w:rsidP="00247CBF">
            <w:pPr>
              <w:spacing w:after="0"/>
              <w:jc w:val="right"/>
              <w:rPr>
                <w:sz w:val="20"/>
                <w:szCs w:val="20"/>
                <w:lang w:val="sr-Cyrl-CS"/>
              </w:rPr>
            </w:pPr>
            <w:r w:rsidRPr="00092ED7">
              <w:rPr>
                <w:sz w:val="20"/>
                <w:szCs w:val="20"/>
                <w:lang w:val="sr-Cyrl-CS"/>
              </w:rPr>
              <w:t>4.374</w:t>
            </w:r>
          </w:p>
        </w:tc>
      </w:tr>
      <w:tr w:rsidR="00247CBF" w:rsidRPr="00092ED7" w14:paraId="0A3B09EE"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3EE9A994" w14:textId="77777777" w:rsidR="00247CBF" w:rsidRPr="00092ED7" w:rsidRDefault="00247CBF" w:rsidP="00247CBF">
            <w:pPr>
              <w:spacing w:after="0"/>
              <w:rPr>
                <w:rFonts w:eastAsia="Times New Roman" w:cs="Times New Roman"/>
                <w:sz w:val="20"/>
                <w:szCs w:val="20"/>
                <w:u w:val="single"/>
                <w:lang w:val="sr-Cyrl-CS"/>
              </w:rPr>
            </w:pPr>
            <w:r w:rsidRPr="00092ED7">
              <w:rPr>
                <w:rFonts w:eastAsia="Times New Roman" w:cs="Times New Roman"/>
                <w:sz w:val="20"/>
                <w:szCs w:val="20"/>
                <w:u w:val="single"/>
                <w:lang w:val="sr-Cyrl-CS"/>
              </w:rPr>
              <w:t>Укупна радна снага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251B5647" w14:textId="77777777" w:rsidR="00247CBF" w:rsidRPr="00092ED7" w:rsidRDefault="00247CBF" w:rsidP="00247CBF">
            <w:pPr>
              <w:spacing w:after="0"/>
              <w:jc w:val="center"/>
              <w:rPr>
                <w:sz w:val="20"/>
                <w:szCs w:val="20"/>
                <w:lang w:val="sr-Cyrl-CS"/>
              </w:rPr>
            </w:pPr>
            <w:r w:rsidRPr="00092ED7">
              <w:rPr>
                <w:sz w:val="20"/>
                <w:szCs w:val="20"/>
                <w:lang w:val="sr-Cyrl-CS"/>
              </w:rPr>
              <w:t>у хиљадама</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4C9AE86" w14:textId="77777777" w:rsidR="00247CBF" w:rsidRPr="00092ED7" w:rsidRDefault="00247CBF" w:rsidP="00247CBF">
            <w:pPr>
              <w:spacing w:after="0"/>
              <w:jc w:val="right"/>
              <w:rPr>
                <w:sz w:val="20"/>
                <w:szCs w:val="20"/>
                <w:lang w:val="sr-Cyrl-CS"/>
              </w:rPr>
            </w:pPr>
            <w:r w:rsidRPr="00092ED7">
              <w:rPr>
                <w:sz w:val="20"/>
                <w:szCs w:val="20"/>
                <w:lang w:val="sr-Cyrl-CS"/>
              </w:rPr>
              <w:t>2.952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838FE27" w14:textId="77777777" w:rsidR="00247CBF" w:rsidRPr="00092ED7" w:rsidRDefault="00247CBF" w:rsidP="00247CBF">
            <w:pPr>
              <w:spacing w:after="0"/>
              <w:jc w:val="right"/>
              <w:rPr>
                <w:sz w:val="20"/>
                <w:szCs w:val="20"/>
                <w:lang w:val="sr-Cyrl-CS"/>
              </w:rPr>
            </w:pPr>
            <w:r w:rsidRPr="00092ED7">
              <w:rPr>
                <w:sz w:val="20"/>
                <w:szCs w:val="20"/>
                <w:lang w:val="sr-Cyrl-CS"/>
              </w:rPr>
              <w:t>3.082</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6D7B1633" w14:textId="77777777" w:rsidR="00247CBF" w:rsidRPr="00092ED7" w:rsidRDefault="00247CBF" w:rsidP="00247CBF">
            <w:pPr>
              <w:spacing w:after="0"/>
              <w:jc w:val="right"/>
              <w:rPr>
                <w:sz w:val="20"/>
                <w:szCs w:val="20"/>
                <w:lang w:val="sr-Cyrl-CS"/>
              </w:rPr>
            </w:pPr>
            <w:r w:rsidRPr="00092ED7">
              <w:rPr>
                <w:sz w:val="20"/>
                <w:szCs w:val="20"/>
                <w:lang w:val="sr-Cyrl-CS"/>
              </w:rPr>
              <w:t>3.122</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60FA248" w14:textId="77777777" w:rsidR="00247CBF" w:rsidRPr="00092ED7" w:rsidRDefault="00247CBF" w:rsidP="00247CBF">
            <w:pPr>
              <w:spacing w:after="0"/>
              <w:jc w:val="right"/>
              <w:rPr>
                <w:sz w:val="20"/>
                <w:szCs w:val="20"/>
                <w:lang w:val="sr-Cyrl-CS"/>
              </w:rPr>
            </w:pPr>
            <w:r w:rsidRPr="00092ED7">
              <w:rPr>
                <w:sz w:val="20"/>
                <w:szCs w:val="20"/>
                <w:lang w:val="sr-Cyrl-CS"/>
              </w:rPr>
              <w:t>3.127</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0D17275" w14:textId="77777777" w:rsidR="00247CBF" w:rsidRPr="00092ED7" w:rsidRDefault="00247CBF" w:rsidP="00247CBF">
            <w:pPr>
              <w:spacing w:after="0"/>
              <w:jc w:val="right"/>
              <w:rPr>
                <w:sz w:val="20"/>
                <w:szCs w:val="20"/>
                <w:lang w:val="sr-Cyrl-CS"/>
              </w:rPr>
            </w:pPr>
            <w:r w:rsidRPr="00092ED7">
              <w:rPr>
                <w:sz w:val="20"/>
                <w:szCs w:val="20"/>
                <w:lang w:val="sr-Cyrl-CS"/>
              </w:rPr>
              <w:t>3.139</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3E20C53A" w14:textId="77777777" w:rsidR="00247CBF" w:rsidRPr="00092ED7" w:rsidRDefault="00247CBF" w:rsidP="00247CBF">
            <w:pPr>
              <w:spacing w:after="0"/>
              <w:jc w:val="right"/>
              <w:rPr>
                <w:sz w:val="20"/>
                <w:szCs w:val="20"/>
                <w:lang w:val="sr-Cyrl-CS"/>
              </w:rPr>
            </w:pPr>
            <w:r w:rsidRPr="00092ED7">
              <w:rPr>
                <w:sz w:val="20"/>
                <w:szCs w:val="20"/>
                <w:lang w:val="sr-Cyrl-CS"/>
              </w:rPr>
              <w:t>3.153</w:t>
            </w:r>
          </w:p>
        </w:tc>
      </w:tr>
      <w:tr w:rsidR="00247CBF" w:rsidRPr="00092ED7" w14:paraId="2C51838D"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15F8AA5C" w14:textId="77777777" w:rsidR="00247CBF" w:rsidRPr="00092ED7" w:rsidRDefault="00247CBF" w:rsidP="00247CBF">
            <w:pPr>
              <w:spacing w:after="0"/>
              <w:rPr>
                <w:rFonts w:eastAsia="Times New Roman" w:cs="Times New Roman"/>
                <w:sz w:val="20"/>
                <w:szCs w:val="20"/>
                <w:u w:val="single"/>
                <w:lang w:val="sr-Cyrl-CS"/>
              </w:rPr>
            </w:pPr>
            <w:r w:rsidRPr="00092ED7">
              <w:rPr>
                <w:rFonts w:eastAsia="Times New Roman" w:cs="Times New Roman"/>
                <w:sz w:val="20"/>
                <w:szCs w:val="20"/>
                <w:u w:val="single"/>
                <w:lang w:val="sr-Cyrl-CS"/>
              </w:rPr>
              <w:t>5. Запосленост, број лица [2]</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7FAC360D" w14:textId="77777777" w:rsidR="00247CBF" w:rsidRPr="00092ED7" w:rsidRDefault="00247CBF" w:rsidP="00247CBF">
            <w:pPr>
              <w:spacing w:after="0"/>
              <w:jc w:val="center"/>
              <w:rPr>
                <w:sz w:val="20"/>
                <w:szCs w:val="20"/>
                <w:lang w:val="sr-Cyrl-CS"/>
              </w:rPr>
            </w:pPr>
            <w:r w:rsidRPr="00092ED7">
              <w:rPr>
                <w:sz w:val="20"/>
                <w:szCs w:val="20"/>
                <w:lang w:val="sr-Cyrl-CS"/>
              </w:rPr>
              <w:t>у хиљадама</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0CA29E7E" w14:textId="77777777" w:rsidR="00247CBF" w:rsidRPr="00092ED7" w:rsidRDefault="00247CBF" w:rsidP="00247CBF">
            <w:pPr>
              <w:spacing w:after="0"/>
              <w:jc w:val="right"/>
              <w:rPr>
                <w:sz w:val="20"/>
                <w:szCs w:val="20"/>
                <w:lang w:val="sr-Cyrl-CS"/>
              </w:rPr>
            </w:pPr>
            <w:r w:rsidRPr="00092ED7">
              <w:rPr>
                <w:sz w:val="20"/>
                <w:szCs w:val="20"/>
                <w:lang w:val="sr-Cyrl-CS"/>
              </w:rPr>
              <w:t>2.654</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5A6EE5C" w14:textId="77777777" w:rsidR="00247CBF" w:rsidRPr="00092ED7" w:rsidRDefault="00247CBF" w:rsidP="00247CBF">
            <w:pPr>
              <w:spacing w:after="0"/>
              <w:jc w:val="right"/>
              <w:rPr>
                <w:sz w:val="20"/>
                <w:szCs w:val="20"/>
                <w:lang w:val="sr-Cyrl-CS"/>
              </w:rPr>
            </w:pPr>
            <w:r w:rsidRPr="00092ED7">
              <w:rPr>
                <w:sz w:val="20"/>
                <w:szCs w:val="20"/>
                <w:lang w:val="sr-Cyrl-CS"/>
              </w:rPr>
              <w:t>2.731</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00132E2C" w14:textId="77777777" w:rsidR="00247CBF" w:rsidRPr="00092ED7" w:rsidRDefault="00247CBF" w:rsidP="00247CBF">
            <w:pPr>
              <w:spacing w:after="0"/>
              <w:jc w:val="right"/>
              <w:rPr>
                <w:sz w:val="20"/>
                <w:szCs w:val="20"/>
                <w:lang w:val="sr-Cyrl-CS"/>
              </w:rPr>
            </w:pPr>
            <w:r w:rsidRPr="00092ED7">
              <w:rPr>
                <w:sz w:val="20"/>
                <w:szCs w:val="20"/>
                <w:lang w:val="sr-Cyrl-CS"/>
              </w:rPr>
              <w:t>2.813</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7ADEECED" w14:textId="77777777" w:rsidR="00247CBF" w:rsidRPr="00092ED7" w:rsidRDefault="00247CBF" w:rsidP="00247CBF">
            <w:pPr>
              <w:spacing w:after="0"/>
              <w:jc w:val="right"/>
              <w:rPr>
                <w:sz w:val="20"/>
                <w:szCs w:val="20"/>
                <w:lang w:val="sr-Cyrl-CS"/>
              </w:rPr>
            </w:pPr>
            <w:r w:rsidRPr="00092ED7">
              <w:rPr>
                <w:sz w:val="20"/>
                <w:szCs w:val="20"/>
                <w:lang w:val="sr-Cyrl-CS"/>
              </w:rPr>
              <w:t>2.829</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553440FA" w14:textId="77777777" w:rsidR="00247CBF" w:rsidRPr="00092ED7" w:rsidRDefault="00247CBF" w:rsidP="00247CBF">
            <w:pPr>
              <w:spacing w:after="0"/>
              <w:jc w:val="right"/>
              <w:rPr>
                <w:sz w:val="20"/>
                <w:szCs w:val="20"/>
                <w:lang w:val="sr-Cyrl-CS"/>
              </w:rPr>
            </w:pPr>
            <w:r w:rsidRPr="00092ED7">
              <w:rPr>
                <w:sz w:val="20"/>
                <w:szCs w:val="20"/>
                <w:lang w:val="sr-Cyrl-CS"/>
              </w:rPr>
              <w:t>2.858</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0AD8844" w14:textId="77777777" w:rsidR="00247CBF" w:rsidRPr="00092ED7" w:rsidRDefault="00247CBF" w:rsidP="00247CBF">
            <w:pPr>
              <w:spacing w:after="0"/>
              <w:jc w:val="right"/>
              <w:rPr>
                <w:sz w:val="20"/>
                <w:szCs w:val="20"/>
                <w:lang w:val="sr-Cyrl-CS"/>
              </w:rPr>
            </w:pPr>
            <w:r w:rsidRPr="00092ED7">
              <w:rPr>
                <w:sz w:val="20"/>
                <w:szCs w:val="20"/>
                <w:lang w:val="sr-Cyrl-CS"/>
              </w:rPr>
              <w:t>2.891</w:t>
            </w:r>
          </w:p>
        </w:tc>
      </w:tr>
      <w:tr w:rsidR="00247CBF" w:rsidRPr="00092ED7" w14:paraId="41051A77"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4E3092C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6. Запосленост, часови рада[3]</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387D0031" w14:textId="77777777" w:rsidR="00247CBF" w:rsidRPr="00092ED7" w:rsidRDefault="00247CBF" w:rsidP="00247CBF">
            <w:pPr>
              <w:spacing w:after="0"/>
              <w:jc w:val="center"/>
              <w:rPr>
                <w:sz w:val="20"/>
                <w:szCs w:val="20"/>
                <w:lang w:val="sr-Cyrl-CS"/>
              </w:rPr>
            </w:pPr>
            <w:r w:rsidRPr="00092ED7">
              <w:rPr>
                <w:sz w:val="20"/>
                <w:szCs w:val="20"/>
                <w:lang w:val="sr-Cyrl-CS"/>
              </w:rPr>
              <w:t>у хиљадама</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E7D2E5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1367B7F1"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0D08677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6758AE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65DCD5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79BD9F3"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1B1A37C7"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7BD5233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8. Запосленост у јавном сектору (број лица)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3AB5DD76" w14:textId="77777777" w:rsidR="00247CBF" w:rsidRPr="00092ED7" w:rsidRDefault="00247CBF" w:rsidP="00247CBF">
            <w:pPr>
              <w:spacing w:after="0"/>
              <w:jc w:val="center"/>
              <w:rPr>
                <w:sz w:val="20"/>
                <w:szCs w:val="20"/>
                <w:lang w:val="sr-Cyrl-CS"/>
              </w:rPr>
            </w:pPr>
            <w:r w:rsidRPr="00092ED7">
              <w:rPr>
                <w:sz w:val="20"/>
                <w:szCs w:val="20"/>
                <w:lang w:val="sr-Cyrl-CS"/>
              </w:rPr>
              <w:t>у хиљадама</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6DFDCCE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CAAE6B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03615C23"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49186EE6"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96352A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265EBF8"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6382BC3E" w14:textId="77777777" w:rsidTr="00247CBF">
        <w:trPr>
          <w:gridAfter w:val="3"/>
          <w:wAfter w:w="365" w:type="dxa"/>
          <w:trHeight w:val="270"/>
        </w:trPr>
        <w:tc>
          <w:tcPr>
            <w:tcW w:w="4962" w:type="dxa"/>
            <w:gridSpan w:val="3"/>
            <w:tcBorders>
              <w:top w:val="nil"/>
              <w:left w:val="double" w:sz="6" w:space="0" w:color="auto"/>
              <w:bottom w:val="nil"/>
              <w:right w:val="nil"/>
            </w:tcBorders>
            <w:shd w:val="clear" w:color="auto" w:fill="auto"/>
            <w:hideMark/>
          </w:tcPr>
          <w:p w14:paraId="57DA86F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13. Зараде и накнаде запосленима</w:t>
            </w:r>
          </w:p>
        </w:tc>
        <w:tc>
          <w:tcPr>
            <w:tcW w:w="1447" w:type="dxa"/>
            <w:gridSpan w:val="3"/>
            <w:tcBorders>
              <w:top w:val="nil"/>
              <w:left w:val="single" w:sz="8" w:space="0" w:color="auto"/>
              <w:bottom w:val="nil"/>
              <w:right w:val="single" w:sz="8" w:space="0" w:color="auto"/>
            </w:tcBorders>
            <w:shd w:val="clear" w:color="auto" w:fill="auto"/>
            <w:noWrap/>
            <w:vAlign w:val="center"/>
            <w:hideMark/>
          </w:tcPr>
          <w:p w14:paraId="75798381" w14:textId="77777777" w:rsidR="00247CBF" w:rsidRPr="00092ED7" w:rsidRDefault="00247CBF" w:rsidP="00247CBF">
            <w:pPr>
              <w:spacing w:after="0"/>
              <w:jc w:val="center"/>
              <w:rPr>
                <w:sz w:val="20"/>
                <w:szCs w:val="20"/>
                <w:lang w:val="sr-Cyrl-CS"/>
              </w:rPr>
            </w:pPr>
            <w:r w:rsidRPr="00092ED7">
              <w:rPr>
                <w:sz w:val="20"/>
                <w:szCs w:val="20"/>
                <w:lang w:val="sr-Cyrl-CS"/>
              </w:rPr>
              <w:t>млрд РСД</w:t>
            </w:r>
          </w:p>
        </w:tc>
        <w:tc>
          <w:tcPr>
            <w:tcW w:w="1380" w:type="dxa"/>
            <w:gridSpan w:val="3"/>
            <w:tcBorders>
              <w:top w:val="nil"/>
              <w:left w:val="nil"/>
              <w:bottom w:val="nil"/>
              <w:right w:val="dashed" w:sz="4" w:space="0" w:color="auto"/>
            </w:tcBorders>
            <w:shd w:val="clear" w:color="auto" w:fill="auto"/>
            <w:noWrap/>
            <w:vAlign w:val="center"/>
            <w:hideMark/>
          </w:tcPr>
          <w:p w14:paraId="51B6E5C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nil"/>
              <w:right w:val="dashed" w:sz="4" w:space="0" w:color="auto"/>
            </w:tcBorders>
            <w:shd w:val="clear" w:color="auto" w:fill="auto"/>
            <w:noWrap/>
            <w:vAlign w:val="center"/>
            <w:hideMark/>
          </w:tcPr>
          <w:p w14:paraId="7099A4C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nil"/>
              <w:right w:val="dashed" w:sz="4" w:space="0" w:color="auto"/>
            </w:tcBorders>
            <w:shd w:val="clear" w:color="auto" w:fill="auto"/>
            <w:noWrap/>
            <w:vAlign w:val="center"/>
            <w:hideMark/>
          </w:tcPr>
          <w:p w14:paraId="5153944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nil"/>
              <w:right w:val="dashed" w:sz="4" w:space="0" w:color="auto"/>
            </w:tcBorders>
            <w:shd w:val="clear" w:color="auto" w:fill="auto"/>
            <w:noWrap/>
            <w:vAlign w:val="center"/>
            <w:hideMark/>
          </w:tcPr>
          <w:p w14:paraId="0E6C38F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nil"/>
              <w:right w:val="dashed" w:sz="4" w:space="0" w:color="auto"/>
            </w:tcBorders>
            <w:shd w:val="clear" w:color="auto" w:fill="auto"/>
            <w:noWrap/>
            <w:vAlign w:val="center"/>
            <w:hideMark/>
          </w:tcPr>
          <w:p w14:paraId="68D14486"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nil"/>
              <w:right w:val="double" w:sz="4" w:space="0" w:color="auto"/>
            </w:tcBorders>
            <w:shd w:val="clear" w:color="auto" w:fill="auto"/>
            <w:noWrap/>
            <w:vAlign w:val="center"/>
            <w:hideMark/>
          </w:tcPr>
          <w:p w14:paraId="3F3EB3C1"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0BB229CE" w14:textId="77777777" w:rsidTr="00247CBF">
        <w:trPr>
          <w:gridAfter w:val="3"/>
          <w:wAfter w:w="365" w:type="dxa"/>
          <w:trHeight w:val="270"/>
        </w:trPr>
        <w:tc>
          <w:tcPr>
            <w:tcW w:w="4962" w:type="dxa"/>
            <w:gridSpan w:val="3"/>
            <w:tcBorders>
              <w:top w:val="single" w:sz="8" w:space="0" w:color="auto"/>
              <w:left w:val="double" w:sz="6" w:space="0" w:color="auto"/>
              <w:bottom w:val="single" w:sz="8" w:space="0" w:color="auto"/>
              <w:right w:val="nil"/>
            </w:tcBorders>
            <w:shd w:val="clear" w:color="auto" w:fill="auto"/>
            <w:noWrap/>
            <w:vAlign w:val="center"/>
            <w:hideMark/>
          </w:tcPr>
          <w:p w14:paraId="297C7B27"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Табела 1d:  Секторски биланси</w:t>
            </w:r>
          </w:p>
        </w:tc>
        <w:tc>
          <w:tcPr>
            <w:tcW w:w="14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8D5ED6" w14:textId="77777777" w:rsidR="00247CBF" w:rsidRPr="00092ED7" w:rsidRDefault="00247CBF" w:rsidP="00247CBF">
            <w:pPr>
              <w:spacing w:after="0"/>
              <w:jc w:val="center"/>
              <w:rPr>
                <w:sz w:val="20"/>
                <w:szCs w:val="20"/>
                <w:lang w:val="sr-Cyrl-CS"/>
              </w:rPr>
            </w:pPr>
          </w:p>
        </w:tc>
        <w:tc>
          <w:tcPr>
            <w:tcW w:w="1380" w:type="dxa"/>
            <w:gridSpan w:val="3"/>
            <w:tcBorders>
              <w:top w:val="single" w:sz="8" w:space="0" w:color="auto"/>
              <w:left w:val="nil"/>
              <w:bottom w:val="single" w:sz="8" w:space="0" w:color="auto"/>
              <w:right w:val="nil"/>
            </w:tcBorders>
            <w:shd w:val="clear" w:color="auto" w:fill="auto"/>
            <w:noWrap/>
            <w:vAlign w:val="center"/>
            <w:hideMark/>
          </w:tcPr>
          <w:p w14:paraId="757BFF25" w14:textId="77777777" w:rsidR="00247CBF" w:rsidRPr="00092ED7" w:rsidRDefault="00247CBF" w:rsidP="00247CBF">
            <w:pPr>
              <w:spacing w:after="0"/>
              <w:jc w:val="right"/>
              <w:rPr>
                <w:b/>
                <w:bCs/>
                <w:sz w:val="20"/>
                <w:szCs w:val="20"/>
                <w:lang w:val="sr-Cyrl-CS"/>
              </w:rPr>
            </w:pPr>
            <w:r w:rsidRPr="00092ED7">
              <w:rPr>
                <w:b/>
                <w:bCs/>
                <w:sz w:val="20"/>
                <w:szCs w:val="20"/>
                <w:lang w:val="sr-Cyrl-CS"/>
              </w:rPr>
              <w:t>2020</w:t>
            </w:r>
          </w:p>
        </w:tc>
        <w:tc>
          <w:tcPr>
            <w:tcW w:w="1300" w:type="dxa"/>
            <w:gridSpan w:val="4"/>
            <w:tcBorders>
              <w:top w:val="single" w:sz="8" w:space="0" w:color="auto"/>
              <w:left w:val="nil"/>
              <w:bottom w:val="single" w:sz="8" w:space="0" w:color="auto"/>
              <w:right w:val="nil"/>
            </w:tcBorders>
            <w:shd w:val="clear" w:color="auto" w:fill="auto"/>
            <w:noWrap/>
            <w:vAlign w:val="center"/>
            <w:hideMark/>
          </w:tcPr>
          <w:p w14:paraId="30F8329E" w14:textId="77777777" w:rsidR="00247CBF" w:rsidRPr="00092ED7" w:rsidRDefault="00247CBF" w:rsidP="00247CBF">
            <w:pPr>
              <w:spacing w:after="0"/>
              <w:jc w:val="right"/>
              <w:rPr>
                <w:b/>
                <w:bCs/>
                <w:sz w:val="20"/>
                <w:szCs w:val="20"/>
                <w:lang w:val="sr-Cyrl-CS"/>
              </w:rPr>
            </w:pPr>
            <w:r w:rsidRPr="00092ED7">
              <w:rPr>
                <w:b/>
                <w:bCs/>
                <w:sz w:val="20"/>
                <w:szCs w:val="20"/>
                <w:lang w:val="sr-Cyrl-CS"/>
              </w:rPr>
              <w:t>2021</w:t>
            </w:r>
          </w:p>
        </w:tc>
        <w:tc>
          <w:tcPr>
            <w:tcW w:w="1360" w:type="dxa"/>
            <w:gridSpan w:val="4"/>
            <w:tcBorders>
              <w:top w:val="single" w:sz="8" w:space="0" w:color="auto"/>
              <w:left w:val="nil"/>
              <w:bottom w:val="single" w:sz="8" w:space="0" w:color="auto"/>
              <w:right w:val="nil"/>
            </w:tcBorders>
            <w:shd w:val="clear" w:color="auto" w:fill="auto"/>
            <w:noWrap/>
            <w:vAlign w:val="center"/>
            <w:hideMark/>
          </w:tcPr>
          <w:p w14:paraId="3CBA9AC2" w14:textId="77777777" w:rsidR="00247CBF" w:rsidRPr="00092ED7" w:rsidRDefault="00247CBF" w:rsidP="00247CBF">
            <w:pPr>
              <w:spacing w:after="0"/>
              <w:jc w:val="right"/>
              <w:rPr>
                <w:b/>
                <w:bCs/>
                <w:sz w:val="20"/>
                <w:szCs w:val="20"/>
                <w:lang w:val="sr-Cyrl-CS"/>
              </w:rPr>
            </w:pPr>
            <w:r w:rsidRPr="00092ED7">
              <w:rPr>
                <w:b/>
                <w:bCs/>
                <w:sz w:val="20"/>
                <w:szCs w:val="20"/>
                <w:lang w:val="sr-Cyrl-CS"/>
              </w:rPr>
              <w:t>2022</w:t>
            </w:r>
          </w:p>
        </w:tc>
        <w:tc>
          <w:tcPr>
            <w:tcW w:w="1260" w:type="dxa"/>
            <w:gridSpan w:val="4"/>
            <w:tcBorders>
              <w:top w:val="single" w:sz="8" w:space="0" w:color="auto"/>
              <w:left w:val="nil"/>
              <w:bottom w:val="single" w:sz="8" w:space="0" w:color="auto"/>
              <w:right w:val="nil"/>
            </w:tcBorders>
            <w:shd w:val="clear" w:color="auto" w:fill="auto"/>
            <w:noWrap/>
            <w:vAlign w:val="center"/>
            <w:hideMark/>
          </w:tcPr>
          <w:p w14:paraId="5DCFE9A1" w14:textId="77777777" w:rsidR="00247CBF" w:rsidRPr="00092ED7" w:rsidRDefault="00247CBF" w:rsidP="00247CBF">
            <w:pPr>
              <w:spacing w:after="0"/>
              <w:jc w:val="right"/>
              <w:rPr>
                <w:b/>
                <w:bCs/>
                <w:sz w:val="20"/>
                <w:szCs w:val="20"/>
                <w:lang w:val="sr-Cyrl-CS"/>
              </w:rPr>
            </w:pPr>
            <w:r w:rsidRPr="00092ED7">
              <w:rPr>
                <w:b/>
                <w:bCs/>
                <w:sz w:val="20"/>
                <w:szCs w:val="20"/>
                <w:lang w:val="sr-Cyrl-CS"/>
              </w:rPr>
              <w:t>2023</w:t>
            </w:r>
          </w:p>
        </w:tc>
        <w:tc>
          <w:tcPr>
            <w:tcW w:w="1260" w:type="dxa"/>
            <w:gridSpan w:val="3"/>
            <w:tcBorders>
              <w:top w:val="single" w:sz="8" w:space="0" w:color="auto"/>
              <w:left w:val="nil"/>
              <w:bottom w:val="single" w:sz="8" w:space="0" w:color="auto"/>
              <w:right w:val="nil"/>
            </w:tcBorders>
            <w:shd w:val="clear" w:color="auto" w:fill="auto"/>
            <w:noWrap/>
            <w:vAlign w:val="center"/>
            <w:hideMark/>
          </w:tcPr>
          <w:p w14:paraId="0C42A793" w14:textId="77777777" w:rsidR="00247CBF" w:rsidRPr="00092ED7" w:rsidRDefault="00247CBF" w:rsidP="00247CBF">
            <w:pPr>
              <w:spacing w:after="0"/>
              <w:jc w:val="right"/>
              <w:rPr>
                <w:b/>
                <w:bCs/>
                <w:sz w:val="20"/>
                <w:szCs w:val="20"/>
                <w:lang w:val="sr-Cyrl-CS"/>
              </w:rPr>
            </w:pPr>
            <w:r w:rsidRPr="00092ED7">
              <w:rPr>
                <w:b/>
                <w:bCs/>
                <w:sz w:val="20"/>
                <w:szCs w:val="20"/>
                <w:lang w:val="sr-Cyrl-CS"/>
              </w:rPr>
              <w:t>2024</w:t>
            </w:r>
          </w:p>
        </w:tc>
        <w:tc>
          <w:tcPr>
            <w:tcW w:w="1268" w:type="dxa"/>
            <w:gridSpan w:val="3"/>
            <w:tcBorders>
              <w:top w:val="single" w:sz="8" w:space="0" w:color="auto"/>
              <w:left w:val="nil"/>
              <w:bottom w:val="single" w:sz="8" w:space="0" w:color="auto"/>
              <w:right w:val="double" w:sz="4" w:space="0" w:color="auto"/>
            </w:tcBorders>
            <w:shd w:val="clear" w:color="auto" w:fill="auto"/>
            <w:noWrap/>
            <w:vAlign w:val="center"/>
            <w:hideMark/>
          </w:tcPr>
          <w:p w14:paraId="74235CF5" w14:textId="77777777" w:rsidR="00247CBF" w:rsidRPr="00092ED7" w:rsidRDefault="00247CBF" w:rsidP="00247CBF">
            <w:pPr>
              <w:spacing w:after="0"/>
              <w:jc w:val="right"/>
              <w:rPr>
                <w:b/>
                <w:bCs/>
                <w:sz w:val="20"/>
                <w:szCs w:val="20"/>
                <w:lang w:val="sr-Cyrl-CS"/>
              </w:rPr>
            </w:pPr>
            <w:r w:rsidRPr="00092ED7">
              <w:rPr>
                <w:b/>
                <w:bCs/>
                <w:sz w:val="20"/>
                <w:szCs w:val="20"/>
                <w:lang w:val="sr-Cyrl-CS"/>
              </w:rPr>
              <w:t>2025</w:t>
            </w:r>
          </w:p>
        </w:tc>
      </w:tr>
      <w:tr w:rsidR="00247CBF" w:rsidRPr="00092ED7" w14:paraId="4CF32D30"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4CFA6E9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Нето дате/узете позајмице у односу на остатак света</w:t>
            </w:r>
          </w:p>
        </w:tc>
        <w:tc>
          <w:tcPr>
            <w:tcW w:w="1447" w:type="dxa"/>
            <w:gridSpan w:val="3"/>
            <w:tcBorders>
              <w:top w:val="dashed" w:sz="4" w:space="0" w:color="auto"/>
              <w:left w:val="single" w:sz="8" w:space="0" w:color="auto"/>
              <w:bottom w:val="dashed" w:sz="4" w:space="0" w:color="auto"/>
              <w:right w:val="single" w:sz="8" w:space="0" w:color="auto"/>
            </w:tcBorders>
            <w:shd w:val="clear" w:color="auto" w:fill="auto"/>
            <w:noWrap/>
            <w:vAlign w:val="center"/>
            <w:hideMark/>
          </w:tcPr>
          <w:p w14:paraId="3E7298BD"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1380" w:type="dxa"/>
            <w:gridSpan w:val="3"/>
            <w:tcBorders>
              <w:top w:val="nil"/>
              <w:left w:val="dashed" w:sz="4" w:space="0" w:color="auto"/>
              <w:bottom w:val="dashed" w:sz="4" w:space="0" w:color="auto"/>
              <w:right w:val="dashed" w:sz="4" w:space="0" w:color="auto"/>
            </w:tcBorders>
            <w:shd w:val="clear" w:color="auto" w:fill="auto"/>
            <w:noWrap/>
            <w:vAlign w:val="center"/>
            <w:hideMark/>
          </w:tcPr>
          <w:p w14:paraId="4D5A4F5E" w14:textId="77777777" w:rsidR="00247CBF" w:rsidRPr="00092ED7" w:rsidRDefault="00247CBF" w:rsidP="00247CBF">
            <w:pPr>
              <w:spacing w:after="0"/>
              <w:jc w:val="right"/>
              <w:rPr>
                <w:sz w:val="20"/>
                <w:szCs w:val="20"/>
                <w:lang w:val="sr-Cyrl-CS"/>
              </w:rPr>
            </w:pPr>
            <w:r w:rsidRPr="00092ED7">
              <w:rPr>
                <w:sz w:val="20"/>
                <w:szCs w:val="20"/>
                <w:lang w:val="sr-Cyrl-CS"/>
              </w:rPr>
              <w:t>-2,0</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1CA3B8A5" w14:textId="77777777" w:rsidR="00247CBF" w:rsidRPr="00092ED7" w:rsidRDefault="00247CBF" w:rsidP="00247CBF">
            <w:pPr>
              <w:spacing w:after="0"/>
              <w:jc w:val="right"/>
              <w:rPr>
                <w:sz w:val="20"/>
                <w:szCs w:val="20"/>
                <w:lang w:val="sr-Cyrl-CS"/>
              </w:rPr>
            </w:pPr>
            <w:r w:rsidRPr="00092ED7">
              <w:rPr>
                <w:sz w:val="20"/>
                <w:szCs w:val="20"/>
                <w:lang w:val="sr-Cyrl-CS"/>
              </w:rPr>
              <w:t>-2,3</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4FEF5035" w14:textId="77777777" w:rsidR="00247CBF" w:rsidRPr="00092ED7" w:rsidRDefault="00247CBF" w:rsidP="00247CBF">
            <w:pPr>
              <w:spacing w:after="0"/>
              <w:jc w:val="right"/>
              <w:rPr>
                <w:sz w:val="20"/>
                <w:szCs w:val="20"/>
                <w:lang w:val="sr-Cyrl-CS"/>
              </w:rPr>
            </w:pPr>
            <w:r w:rsidRPr="00092ED7">
              <w:rPr>
                <w:sz w:val="20"/>
                <w:szCs w:val="20"/>
                <w:lang w:val="sr-Cyrl-CS"/>
              </w:rPr>
              <w:t>-5,4</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AE4D8EC" w14:textId="77777777" w:rsidR="00247CBF" w:rsidRPr="00092ED7" w:rsidRDefault="00247CBF" w:rsidP="00247CBF">
            <w:pPr>
              <w:spacing w:after="0"/>
              <w:jc w:val="right"/>
              <w:rPr>
                <w:sz w:val="20"/>
                <w:szCs w:val="20"/>
                <w:lang w:val="sr-Cyrl-CS"/>
              </w:rPr>
            </w:pPr>
            <w:r w:rsidRPr="00092ED7">
              <w:rPr>
                <w:sz w:val="20"/>
                <w:szCs w:val="20"/>
                <w:lang w:val="sr-Cyrl-CS"/>
              </w:rPr>
              <w:t>-5,8</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28629D25" w14:textId="77777777" w:rsidR="00247CBF" w:rsidRPr="00092ED7" w:rsidRDefault="00247CBF" w:rsidP="00247CBF">
            <w:pPr>
              <w:spacing w:after="0"/>
              <w:jc w:val="right"/>
              <w:rPr>
                <w:sz w:val="20"/>
                <w:szCs w:val="20"/>
                <w:lang w:val="sr-Cyrl-CS"/>
              </w:rPr>
            </w:pPr>
            <w:r w:rsidRPr="00092ED7">
              <w:rPr>
                <w:sz w:val="20"/>
                <w:szCs w:val="20"/>
                <w:lang w:val="sr-Cyrl-CS"/>
              </w:rPr>
              <w:t>-5,0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6A334BE3" w14:textId="77777777" w:rsidR="00247CBF" w:rsidRPr="00092ED7" w:rsidRDefault="00247CBF" w:rsidP="00247CBF">
            <w:pPr>
              <w:spacing w:after="0"/>
              <w:jc w:val="right"/>
              <w:rPr>
                <w:sz w:val="20"/>
                <w:szCs w:val="20"/>
                <w:lang w:val="sr-Cyrl-CS"/>
              </w:rPr>
            </w:pPr>
            <w:r w:rsidRPr="00092ED7">
              <w:rPr>
                <w:sz w:val="20"/>
                <w:szCs w:val="20"/>
                <w:lang w:val="sr-Cyrl-CS"/>
              </w:rPr>
              <w:t>-4,8</w:t>
            </w:r>
          </w:p>
        </w:tc>
      </w:tr>
      <w:tr w:rsidR="00247CBF" w:rsidRPr="00092ED7" w14:paraId="6719489F"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28196F98" w14:textId="77777777" w:rsidR="00247CBF" w:rsidRPr="00092ED7" w:rsidRDefault="00247CBF" w:rsidP="00247CBF">
            <w:pPr>
              <w:spacing w:after="0"/>
              <w:rPr>
                <w:rFonts w:eastAsia="Times New Roman" w:cs="Times New Roman"/>
                <w:i/>
                <w:iCs/>
                <w:sz w:val="20"/>
                <w:szCs w:val="20"/>
                <w:lang w:val="sr-Cyrl-CS"/>
              </w:rPr>
            </w:pPr>
            <w:r w:rsidRPr="00092ED7">
              <w:rPr>
                <w:rFonts w:eastAsia="Times New Roman" w:cs="Times New Roman"/>
                <w:i/>
                <w:iCs/>
                <w:sz w:val="20"/>
                <w:szCs w:val="20"/>
                <w:lang w:val="sr-Cyrl-CS"/>
              </w:rPr>
              <w:t>од чега: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72DAD5EF" w14:textId="77777777" w:rsidR="00247CBF" w:rsidRPr="00092ED7" w:rsidRDefault="00247CBF" w:rsidP="00247CBF">
            <w:pPr>
              <w:spacing w:after="0"/>
              <w:jc w:val="center"/>
              <w:rPr>
                <w:sz w:val="16"/>
                <w:szCs w:val="16"/>
                <w:lang w:val="sr-Cyrl-CS"/>
              </w:rPr>
            </w:pP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04E291C"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18BF79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51A6C661"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0615659D"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7DE7DA80"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2B64F9E"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283C57BE"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5003EF00" w14:textId="77777777" w:rsidR="00247CBF" w:rsidRPr="00092ED7" w:rsidRDefault="00247CBF" w:rsidP="00247CBF">
            <w:pPr>
              <w:spacing w:after="0"/>
              <w:rPr>
                <w:rFonts w:eastAsia="Times New Roman" w:cs="Times New Roman"/>
                <w:i/>
                <w:iCs/>
                <w:sz w:val="20"/>
                <w:szCs w:val="20"/>
                <w:lang w:val="sr-Cyrl-CS"/>
              </w:rPr>
            </w:pPr>
            <w:r w:rsidRPr="00092ED7">
              <w:rPr>
                <w:rFonts w:eastAsia="Times New Roman" w:cs="Times New Roman"/>
                <w:i/>
                <w:iCs/>
                <w:sz w:val="20"/>
                <w:szCs w:val="20"/>
                <w:lang w:val="sr-Cyrl-CS"/>
              </w:rPr>
              <w:t>- Биланс робе и услуга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1F4BAC7"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64AE2DB9" w14:textId="77777777" w:rsidR="00247CBF" w:rsidRPr="00092ED7" w:rsidRDefault="00247CBF" w:rsidP="00247CBF">
            <w:pPr>
              <w:spacing w:after="0"/>
              <w:jc w:val="right"/>
              <w:rPr>
                <w:sz w:val="20"/>
                <w:szCs w:val="20"/>
                <w:lang w:val="sr-Cyrl-CS"/>
              </w:rPr>
            </w:pPr>
            <w:r w:rsidRPr="00092ED7">
              <w:rPr>
                <w:sz w:val="20"/>
                <w:szCs w:val="20"/>
                <w:lang w:val="sr-Cyrl-CS"/>
              </w:rPr>
              <w:t>-4,1</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091CEC59" w14:textId="77777777" w:rsidR="00247CBF" w:rsidRPr="00092ED7" w:rsidRDefault="00247CBF" w:rsidP="00247CBF">
            <w:pPr>
              <w:spacing w:after="0"/>
              <w:jc w:val="right"/>
              <w:rPr>
                <w:sz w:val="20"/>
                <w:szCs w:val="20"/>
                <w:lang w:val="sr-Cyrl-CS"/>
              </w:rPr>
            </w:pPr>
            <w:r w:rsidRPr="00092ED7">
              <w:rPr>
                <w:sz w:val="20"/>
                <w:szCs w:val="20"/>
                <w:lang w:val="sr-Cyrl-CS"/>
              </w:rPr>
              <w:t>-4,5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35A3D984" w14:textId="77777777" w:rsidR="00247CBF" w:rsidRPr="00092ED7" w:rsidRDefault="00247CBF" w:rsidP="00247CBF">
            <w:pPr>
              <w:spacing w:after="0"/>
              <w:jc w:val="right"/>
              <w:rPr>
                <w:sz w:val="20"/>
                <w:szCs w:val="20"/>
                <w:lang w:val="sr-Cyrl-CS"/>
              </w:rPr>
            </w:pPr>
            <w:r w:rsidRPr="00092ED7">
              <w:rPr>
                <w:sz w:val="20"/>
                <w:szCs w:val="20"/>
                <w:lang w:val="sr-Cyrl-CS"/>
              </w:rPr>
              <w:t>-7,4</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9DC65DB" w14:textId="77777777" w:rsidR="00247CBF" w:rsidRPr="00092ED7" w:rsidRDefault="00247CBF" w:rsidP="00247CBF">
            <w:pPr>
              <w:spacing w:after="0"/>
              <w:jc w:val="right"/>
              <w:rPr>
                <w:sz w:val="20"/>
                <w:szCs w:val="20"/>
                <w:lang w:val="sr-Cyrl-CS"/>
              </w:rPr>
            </w:pPr>
            <w:r w:rsidRPr="00092ED7">
              <w:rPr>
                <w:sz w:val="20"/>
                <w:szCs w:val="20"/>
                <w:lang w:val="sr-Cyrl-CS"/>
              </w:rPr>
              <w:t>-7,4</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73C78A5" w14:textId="77777777" w:rsidR="00247CBF" w:rsidRPr="00092ED7" w:rsidRDefault="00247CBF" w:rsidP="00247CBF">
            <w:pPr>
              <w:spacing w:after="0"/>
              <w:jc w:val="right"/>
              <w:rPr>
                <w:sz w:val="20"/>
                <w:szCs w:val="20"/>
                <w:lang w:val="sr-Cyrl-CS"/>
              </w:rPr>
            </w:pPr>
            <w:r w:rsidRPr="00092ED7">
              <w:rPr>
                <w:sz w:val="20"/>
                <w:szCs w:val="20"/>
                <w:lang w:val="sr-Cyrl-CS"/>
              </w:rPr>
              <w:t>-7,4</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5ED35F8" w14:textId="77777777" w:rsidR="00247CBF" w:rsidRPr="00092ED7" w:rsidRDefault="00247CBF" w:rsidP="00247CBF">
            <w:pPr>
              <w:spacing w:after="0"/>
              <w:jc w:val="right"/>
              <w:rPr>
                <w:sz w:val="20"/>
                <w:szCs w:val="20"/>
                <w:lang w:val="sr-Cyrl-CS"/>
              </w:rPr>
            </w:pPr>
            <w:r w:rsidRPr="00092ED7">
              <w:rPr>
                <w:sz w:val="20"/>
                <w:szCs w:val="20"/>
                <w:lang w:val="sr-Cyrl-CS"/>
              </w:rPr>
              <w:t>-7,4</w:t>
            </w:r>
          </w:p>
        </w:tc>
      </w:tr>
      <w:tr w:rsidR="00247CBF" w:rsidRPr="00092ED7" w14:paraId="32C70015"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2DFED630" w14:textId="77777777" w:rsidR="00247CBF" w:rsidRPr="00092ED7" w:rsidRDefault="00247CBF" w:rsidP="00247CBF">
            <w:pPr>
              <w:spacing w:after="0"/>
              <w:rPr>
                <w:rFonts w:eastAsia="Times New Roman" w:cs="Times New Roman"/>
                <w:i/>
                <w:iCs/>
                <w:sz w:val="20"/>
                <w:szCs w:val="20"/>
                <w:lang w:val="sr-Cyrl-CS"/>
              </w:rPr>
            </w:pPr>
            <w:r w:rsidRPr="00092ED7">
              <w:rPr>
                <w:rFonts w:eastAsia="Times New Roman" w:cs="Times New Roman"/>
                <w:i/>
                <w:iCs/>
                <w:sz w:val="20"/>
                <w:szCs w:val="20"/>
                <w:lang w:val="sr-Cyrl-CS"/>
              </w:rPr>
              <w:t>- Биланс примарног дохотка и трансфера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246BB1D3"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1380" w:type="dxa"/>
            <w:gridSpan w:val="3"/>
            <w:tcBorders>
              <w:top w:val="nil"/>
              <w:left w:val="dashed" w:sz="4" w:space="0" w:color="auto"/>
              <w:bottom w:val="dashed" w:sz="4" w:space="0" w:color="auto"/>
              <w:right w:val="dashed" w:sz="4" w:space="0" w:color="auto"/>
            </w:tcBorders>
            <w:shd w:val="clear" w:color="auto" w:fill="auto"/>
            <w:noWrap/>
            <w:vAlign w:val="center"/>
            <w:hideMark/>
          </w:tcPr>
          <w:p w14:paraId="5291C2F1" w14:textId="77777777" w:rsidR="00247CBF" w:rsidRPr="00092ED7" w:rsidRDefault="00247CBF" w:rsidP="00247CBF">
            <w:pPr>
              <w:spacing w:after="0"/>
              <w:jc w:val="right"/>
              <w:rPr>
                <w:sz w:val="20"/>
                <w:szCs w:val="20"/>
                <w:lang w:val="sr-Cyrl-CS"/>
              </w:rPr>
            </w:pPr>
            <w:r w:rsidRPr="00092ED7">
              <w:rPr>
                <w:sz w:val="20"/>
                <w:szCs w:val="20"/>
                <w:lang w:val="sr-Cyrl-CS"/>
              </w:rPr>
              <w:t>2,2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CF088D8" w14:textId="77777777" w:rsidR="00247CBF" w:rsidRPr="00092ED7" w:rsidRDefault="00247CBF" w:rsidP="00247CBF">
            <w:pPr>
              <w:spacing w:after="0"/>
              <w:jc w:val="right"/>
              <w:rPr>
                <w:sz w:val="20"/>
                <w:szCs w:val="20"/>
                <w:lang w:val="sr-Cyrl-CS"/>
              </w:rPr>
            </w:pPr>
            <w:r w:rsidRPr="00092ED7">
              <w:rPr>
                <w:sz w:val="20"/>
                <w:szCs w:val="20"/>
                <w:lang w:val="sr-Cyrl-CS"/>
              </w:rPr>
              <w:t>2,2</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2BE9285" w14:textId="77777777" w:rsidR="00247CBF" w:rsidRPr="00092ED7" w:rsidRDefault="00247CBF" w:rsidP="00247CBF">
            <w:pPr>
              <w:spacing w:after="0"/>
              <w:jc w:val="right"/>
              <w:rPr>
                <w:sz w:val="20"/>
                <w:szCs w:val="20"/>
                <w:lang w:val="sr-Cyrl-CS"/>
              </w:rPr>
            </w:pPr>
            <w:r w:rsidRPr="00092ED7">
              <w:rPr>
                <w:sz w:val="20"/>
                <w:szCs w:val="20"/>
                <w:lang w:val="sr-Cyrl-CS"/>
              </w:rPr>
              <w:t>2,0</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407E02C" w14:textId="77777777" w:rsidR="00247CBF" w:rsidRPr="00092ED7" w:rsidRDefault="00247CBF" w:rsidP="00247CBF">
            <w:pPr>
              <w:spacing w:after="0"/>
              <w:jc w:val="right"/>
              <w:rPr>
                <w:sz w:val="20"/>
                <w:szCs w:val="20"/>
                <w:lang w:val="sr-Cyrl-CS"/>
              </w:rPr>
            </w:pPr>
            <w:r w:rsidRPr="00092ED7">
              <w:rPr>
                <w:sz w:val="20"/>
                <w:szCs w:val="20"/>
                <w:lang w:val="sr-Cyrl-CS"/>
              </w:rPr>
              <w:t>1,6</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D2FA22C" w14:textId="77777777" w:rsidR="00247CBF" w:rsidRPr="00092ED7" w:rsidRDefault="00247CBF" w:rsidP="00247CBF">
            <w:pPr>
              <w:spacing w:after="0"/>
              <w:jc w:val="right"/>
              <w:rPr>
                <w:sz w:val="20"/>
                <w:szCs w:val="20"/>
                <w:lang w:val="sr-Cyrl-CS"/>
              </w:rPr>
            </w:pPr>
            <w:r w:rsidRPr="00092ED7">
              <w:rPr>
                <w:sz w:val="20"/>
                <w:szCs w:val="20"/>
                <w:lang w:val="sr-Cyrl-CS"/>
              </w:rPr>
              <w:t>2,4</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76D2F93" w14:textId="77777777" w:rsidR="00247CBF" w:rsidRPr="00092ED7" w:rsidRDefault="00247CBF" w:rsidP="00247CBF">
            <w:pPr>
              <w:spacing w:after="0"/>
              <w:jc w:val="right"/>
              <w:rPr>
                <w:sz w:val="20"/>
                <w:szCs w:val="20"/>
                <w:lang w:val="sr-Cyrl-CS"/>
              </w:rPr>
            </w:pPr>
            <w:r w:rsidRPr="00092ED7">
              <w:rPr>
                <w:sz w:val="20"/>
                <w:szCs w:val="20"/>
                <w:lang w:val="sr-Cyrl-CS"/>
              </w:rPr>
              <w:t>2,5</w:t>
            </w:r>
          </w:p>
        </w:tc>
      </w:tr>
      <w:tr w:rsidR="00247CBF" w:rsidRPr="00092ED7" w14:paraId="39460262" w14:textId="77777777" w:rsidTr="00247CBF">
        <w:trPr>
          <w:gridAfter w:val="3"/>
          <w:wAfter w:w="365" w:type="dxa"/>
          <w:trHeight w:val="270"/>
        </w:trPr>
        <w:tc>
          <w:tcPr>
            <w:tcW w:w="4962" w:type="dxa"/>
            <w:gridSpan w:val="3"/>
            <w:tcBorders>
              <w:top w:val="nil"/>
              <w:left w:val="double" w:sz="6" w:space="0" w:color="auto"/>
              <w:bottom w:val="dashed" w:sz="4" w:space="0" w:color="auto"/>
              <w:right w:val="nil"/>
            </w:tcBorders>
            <w:shd w:val="clear" w:color="auto" w:fill="auto"/>
            <w:vAlign w:val="center"/>
            <w:hideMark/>
          </w:tcPr>
          <w:p w14:paraId="175AEBD7" w14:textId="77777777" w:rsidR="00247CBF" w:rsidRPr="00092ED7" w:rsidRDefault="00247CBF" w:rsidP="00247CBF">
            <w:pPr>
              <w:spacing w:after="0"/>
              <w:rPr>
                <w:rFonts w:eastAsia="Times New Roman" w:cs="Times New Roman"/>
                <w:i/>
                <w:iCs/>
                <w:sz w:val="20"/>
                <w:szCs w:val="20"/>
                <w:lang w:val="sr-Cyrl-CS"/>
              </w:rPr>
            </w:pPr>
            <w:r w:rsidRPr="00092ED7">
              <w:rPr>
                <w:rFonts w:eastAsia="Times New Roman" w:cs="Times New Roman"/>
                <w:i/>
                <w:iCs/>
                <w:sz w:val="20"/>
                <w:szCs w:val="20"/>
                <w:lang w:val="sr-Cyrl-CS"/>
              </w:rPr>
              <w:t>- Биланс капиталних трансакција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16165227"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715A5ABC" w14:textId="77777777" w:rsidR="00247CBF" w:rsidRPr="00092ED7" w:rsidRDefault="00247CBF" w:rsidP="00247CBF">
            <w:pPr>
              <w:spacing w:after="0"/>
              <w:jc w:val="right"/>
              <w:rPr>
                <w:sz w:val="20"/>
                <w:szCs w:val="20"/>
                <w:lang w:val="sr-Cyrl-CS"/>
              </w:rPr>
            </w:pPr>
            <w:r w:rsidRPr="00092ED7">
              <w:rPr>
                <w:sz w:val="20"/>
                <w:szCs w:val="20"/>
                <w:lang w:val="sr-Cyrl-CS"/>
              </w:rPr>
              <w:t>0,0</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257E3D2" w14:textId="77777777" w:rsidR="00247CBF" w:rsidRPr="00092ED7" w:rsidRDefault="00247CBF" w:rsidP="00247CBF">
            <w:pPr>
              <w:spacing w:after="0"/>
              <w:jc w:val="right"/>
              <w:rPr>
                <w:sz w:val="20"/>
                <w:szCs w:val="20"/>
                <w:lang w:val="sr-Cyrl-CS"/>
              </w:rPr>
            </w:pPr>
            <w:r w:rsidRPr="00092ED7">
              <w:rPr>
                <w:sz w:val="20"/>
                <w:szCs w:val="20"/>
                <w:lang w:val="sr-Cyrl-CS"/>
              </w:rPr>
              <w:t>0,0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0CBBD23" w14:textId="77777777" w:rsidR="00247CBF" w:rsidRPr="00092ED7" w:rsidRDefault="00247CBF" w:rsidP="00247CBF">
            <w:pPr>
              <w:spacing w:after="0"/>
              <w:jc w:val="right"/>
              <w:rPr>
                <w:sz w:val="20"/>
                <w:szCs w:val="20"/>
                <w:lang w:val="sr-Cyrl-CS"/>
              </w:rPr>
            </w:pPr>
            <w:r w:rsidRPr="00092ED7">
              <w:rPr>
                <w:sz w:val="20"/>
                <w:szCs w:val="20"/>
                <w:lang w:val="sr-Cyrl-CS"/>
              </w:rPr>
              <w:t>0,0</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5323DD5A" w14:textId="77777777" w:rsidR="00247CBF" w:rsidRPr="00092ED7" w:rsidRDefault="00247CBF" w:rsidP="00247CBF">
            <w:pPr>
              <w:spacing w:after="0"/>
              <w:jc w:val="right"/>
              <w:rPr>
                <w:sz w:val="20"/>
                <w:szCs w:val="20"/>
                <w:lang w:val="sr-Cyrl-CS"/>
              </w:rPr>
            </w:pPr>
            <w:r w:rsidRPr="00092ED7">
              <w:rPr>
                <w:sz w:val="20"/>
                <w:szCs w:val="20"/>
                <w:lang w:val="sr-Cyrl-CS"/>
              </w:rPr>
              <w:t>0,0</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21EFA66E" w14:textId="77777777" w:rsidR="00247CBF" w:rsidRPr="00092ED7" w:rsidRDefault="00247CBF" w:rsidP="00247CBF">
            <w:pPr>
              <w:spacing w:after="0"/>
              <w:jc w:val="right"/>
              <w:rPr>
                <w:sz w:val="20"/>
                <w:szCs w:val="20"/>
                <w:lang w:val="sr-Cyrl-CS"/>
              </w:rPr>
            </w:pPr>
            <w:r w:rsidRPr="00092ED7">
              <w:rPr>
                <w:sz w:val="20"/>
                <w:szCs w:val="20"/>
                <w:lang w:val="sr-Cyrl-CS"/>
              </w:rPr>
              <w:t>0,0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1D0908C" w14:textId="77777777" w:rsidR="00247CBF" w:rsidRPr="00092ED7" w:rsidRDefault="00247CBF" w:rsidP="00247CBF">
            <w:pPr>
              <w:spacing w:after="0"/>
              <w:jc w:val="right"/>
              <w:rPr>
                <w:sz w:val="20"/>
                <w:szCs w:val="20"/>
                <w:lang w:val="sr-Cyrl-CS"/>
              </w:rPr>
            </w:pPr>
            <w:r w:rsidRPr="00092ED7">
              <w:rPr>
                <w:sz w:val="20"/>
                <w:szCs w:val="20"/>
                <w:lang w:val="sr-Cyrl-CS"/>
              </w:rPr>
              <w:t>0,0</w:t>
            </w:r>
          </w:p>
        </w:tc>
      </w:tr>
      <w:tr w:rsidR="00247CBF" w:rsidRPr="00092ED7" w14:paraId="112E43FC" w14:textId="77777777" w:rsidTr="00247CBF">
        <w:trPr>
          <w:gridAfter w:val="3"/>
          <w:wAfter w:w="365" w:type="dxa"/>
          <w:trHeight w:val="270"/>
        </w:trPr>
        <w:tc>
          <w:tcPr>
            <w:tcW w:w="4962" w:type="dxa"/>
            <w:gridSpan w:val="3"/>
            <w:tcBorders>
              <w:top w:val="single" w:sz="8" w:space="0" w:color="auto"/>
              <w:left w:val="double" w:sz="6" w:space="0" w:color="auto"/>
              <w:bottom w:val="single" w:sz="8" w:space="0" w:color="auto"/>
              <w:right w:val="nil"/>
            </w:tcBorders>
            <w:shd w:val="clear" w:color="auto" w:fill="auto"/>
            <w:noWrap/>
            <w:vAlign w:val="center"/>
            <w:hideMark/>
          </w:tcPr>
          <w:p w14:paraId="4DD633EF"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Табела 1e:  БДП, инвестиције и бруто додата вредност</w:t>
            </w:r>
          </w:p>
        </w:tc>
        <w:tc>
          <w:tcPr>
            <w:tcW w:w="14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93297F" w14:textId="77777777" w:rsidR="00247CBF" w:rsidRPr="00092ED7" w:rsidRDefault="00247CBF" w:rsidP="00247CBF">
            <w:pPr>
              <w:spacing w:after="0"/>
              <w:jc w:val="center"/>
              <w:rPr>
                <w:sz w:val="20"/>
                <w:szCs w:val="20"/>
                <w:lang w:val="sr-Cyrl-CS"/>
              </w:rPr>
            </w:pPr>
          </w:p>
        </w:tc>
        <w:tc>
          <w:tcPr>
            <w:tcW w:w="1380" w:type="dxa"/>
            <w:gridSpan w:val="3"/>
            <w:tcBorders>
              <w:top w:val="single" w:sz="8" w:space="0" w:color="auto"/>
              <w:left w:val="nil"/>
              <w:bottom w:val="single" w:sz="8" w:space="0" w:color="auto"/>
              <w:right w:val="nil"/>
            </w:tcBorders>
            <w:shd w:val="clear" w:color="auto" w:fill="auto"/>
            <w:noWrap/>
            <w:vAlign w:val="center"/>
            <w:hideMark/>
          </w:tcPr>
          <w:p w14:paraId="01ABC68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single" w:sz="8" w:space="0" w:color="auto"/>
              <w:left w:val="nil"/>
              <w:bottom w:val="single" w:sz="8" w:space="0" w:color="auto"/>
              <w:right w:val="nil"/>
            </w:tcBorders>
            <w:shd w:val="clear" w:color="auto" w:fill="auto"/>
            <w:noWrap/>
            <w:vAlign w:val="center"/>
            <w:hideMark/>
          </w:tcPr>
          <w:p w14:paraId="35EBF74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single" w:sz="8" w:space="0" w:color="auto"/>
              <w:left w:val="nil"/>
              <w:bottom w:val="single" w:sz="8" w:space="0" w:color="auto"/>
              <w:right w:val="nil"/>
            </w:tcBorders>
            <w:shd w:val="clear" w:color="auto" w:fill="auto"/>
            <w:noWrap/>
            <w:vAlign w:val="center"/>
            <w:hideMark/>
          </w:tcPr>
          <w:p w14:paraId="3879DDD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single" w:sz="8" w:space="0" w:color="auto"/>
              <w:left w:val="nil"/>
              <w:bottom w:val="single" w:sz="8" w:space="0" w:color="auto"/>
              <w:right w:val="nil"/>
            </w:tcBorders>
            <w:shd w:val="clear" w:color="auto" w:fill="auto"/>
            <w:noWrap/>
            <w:vAlign w:val="center"/>
            <w:hideMark/>
          </w:tcPr>
          <w:p w14:paraId="363FA44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single" w:sz="8" w:space="0" w:color="auto"/>
              <w:left w:val="nil"/>
              <w:bottom w:val="single" w:sz="8" w:space="0" w:color="auto"/>
              <w:right w:val="nil"/>
            </w:tcBorders>
            <w:shd w:val="clear" w:color="auto" w:fill="auto"/>
            <w:noWrap/>
            <w:vAlign w:val="center"/>
            <w:hideMark/>
          </w:tcPr>
          <w:p w14:paraId="428DC2E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single" w:sz="8" w:space="0" w:color="auto"/>
              <w:left w:val="nil"/>
              <w:bottom w:val="single" w:sz="8" w:space="0" w:color="auto"/>
              <w:right w:val="double" w:sz="4" w:space="0" w:color="auto"/>
            </w:tcBorders>
            <w:shd w:val="clear" w:color="auto" w:fill="auto"/>
            <w:noWrap/>
            <w:vAlign w:val="center"/>
            <w:hideMark/>
          </w:tcPr>
          <w:p w14:paraId="537A2D72"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5538AD51" w14:textId="77777777" w:rsidTr="00247CBF">
        <w:trPr>
          <w:gridAfter w:val="3"/>
          <w:wAfter w:w="365" w:type="dxa"/>
          <w:trHeight w:val="225"/>
        </w:trPr>
        <w:tc>
          <w:tcPr>
            <w:tcW w:w="4962" w:type="dxa"/>
            <w:gridSpan w:val="3"/>
            <w:tcBorders>
              <w:top w:val="dashed" w:sz="4" w:space="0" w:color="auto"/>
              <w:left w:val="double" w:sz="6" w:space="0" w:color="auto"/>
              <w:bottom w:val="dashed" w:sz="4" w:space="0" w:color="auto"/>
              <w:right w:val="nil"/>
            </w:tcBorders>
            <w:shd w:val="clear" w:color="auto" w:fill="auto"/>
            <w:vAlign w:val="bottom"/>
            <w:hideMark/>
          </w:tcPr>
          <w:p w14:paraId="36F2DEA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Пољопривреда</w:t>
            </w:r>
          </w:p>
        </w:tc>
        <w:tc>
          <w:tcPr>
            <w:tcW w:w="1447" w:type="dxa"/>
            <w:gridSpan w:val="3"/>
            <w:tcBorders>
              <w:top w:val="dashed" w:sz="4" w:space="0" w:color="auto"/>
              <w:left w:val="single" w:sz="8" w:space="0" w:color="auto"/>
              <w:bottom w:val="dashed" w:sz="4" w:space="0" w:color="auto"/>
              <w:right w:val="single" w:sz="8" w:space="0" w:color="auto"/>
            </w:tcBorders>
            <w:shd w:val="clear" w:color="auto" w:fill="auto"/>
            <w:vAlign w:val="center"/>
            <w:hideMark/>
          </w:tcPr>
          <w:p w14:paraId="1E54B125" w14:textId="77777777" w:rsidR="00247CBF" w:rsidRPr="00092ED7" w:rsidRDefault="00247CBF" w:rsidP="00247CBF">
            <w:pPr>
              <w:spacing w:after="0"/>
              <w:jc w:val="center"/>
              <w:rPr>
                <w:sz w:val="20"/>
                <w:szCs w:val="20"/>
                <w:lang w:val="sr-Cyrl-CS"/>
              </w:rPr>
            </w:pPr>
            <w:r w:rsidRPr="00092ED7">
              <w:rPr>
                <w:sz w:val="20"/>
                <w:szCs w:val="20"/>
                <w:lang w:val="sr-Cyrl-CS"/>
              </w:rPr>
              <w:t>сталне цене</w:t>
            </w:r>
          </w:p>
        </w:tc>
        <w:tc>
          <w:tcPr>
            <w:tcW w:w="1380" w:type="dxa"/>
            <w:gridSpan w:val="3"/>
            <w:tcBorders>
              <w:top w:val="dashed" w:sz="4" w:space="0" w:color="auto"/>
              <w:left w:val="nil"/>
              <w:bottom w:val="dashed" w:sz="4" w:space="0" w:color="auto"/>
              <w:right w:val="dashed" w:sz="4" w:space="0" w:color="auto"/>
            </w:tcBorders>
            <w:shd w:val="clear" w:color="auto" w:fill="auto"/>
            <w:noWrap/>
            <w:vAlign w:val="center"/>
            <w:hideMark/>
          </w:tcPr>
          <w:p w14:paraId="321C9150" w14:textId="77777777" w:rsidR="00247CBF" w:rsidRPr="00092ED7" w:rsidRDefault="00247CBF" w:rsidP="00247CBF">
            <w:pPr>
              <w:spacing w:after="0"/>
              <w:jc w:val="right"/>
              <w:rPr>
                <w:sz w:val="20"/>
                <w:szCs w:val="20"/>
                <w:lang w:val="sr-Cyrl-CS"/>
              </w:rPr>
            </w:pPr>
            <w:r w:rsidRPr="00092ED7">
              <w:rPr>
                <w:sz w:val="20"/>
                <w:szCs w:val="20"/>
                <w:lang w:val="sr-Cyrl-CS"/>
              </w:rPr>
              <w:t>319,5</w:t>
            </w:r>
          </w:p>
        </w:tc>
        <w:tc>
          <w:tcPr>
            <w:tcW w:w="1300" w:type="dxa"/>
            <w:gridSpan w:val="4"/>
            <w:tcBorders>
              <w:top w:val="dashed" w:sz="4" w:space="0" w:color="auto"/>
              <w:left w:val="nil"/>
              <w:bottom w:val="dashed" w:sz="4" w:space="0" w:color="auto"/>
              <w:right w:val="dashed" w:sz="4" w:space="0" w:color="auto"/>
            </w:tcBorders>
            <w:shd w:val="clear" w:color="auto" w:fill="auto"/>
            <w:noWrap/>
            <w:vAlign w:val="center"/>
            <w:hideMark/>
          </w:tcPr>
          <w:p w14:paraId="0CFF7EBC" w14:textId="77777777" w:rsidR="00247CBF" w:rsidRPr="00092ED7" w:rsidRDefault="00247CBF" w:rsidP="00247CBF">
            <w:pPr>
              <w:spacing w:after="0"/>
              <w:jc w:val="right"/>
              <w:rPr>
                <w:sz w:val="20"/>
                <w:szCs w:val="20"/>
                <w:lang w:val="sr-Cyrl-CS"/>
              </w:rPr>
            </w:pPr>
            <w:r w:rsidRPr="00092ED7">
              <w:rPr>
                <w:sz w:val="20"/>
                <w:szCs w:val="20"/>
                <w:lang w:val="sr-Cyrl-CS"/>
              </w:rPr>
              <w:t>301,4</w:t>
            </w:r>
          </w:p>
        </w:tc>
        <w:tc>
          <w:tcPr>
            <w:tcW w:w="1360" w:type="dxa"/>
            <w:gridSpan w:val="4"/>
            <w:tcBorders>
              <w:top w:val="dashed" w:sz="4" w:space="0" w:color="auto"/>
              <w:left w:val="nil"/>
              <w:bottom w:val="dashed" w:sz="4" w:space="0" w:color="auto"/>
              <w:right w:val="dashed" w:sz="4" w:space="0" w:color="auto"/>
            </w:tcBorders>
            <w:shd w:val="clear" w:color="auto" w:fill="auto"/>
            <w:noWrap/>
            <w:vAlign w:val="center"/>
            <w:hideMark/>
          </w:tcPr>
          <w:p w14:paraId="40ADAF83" w14:textId="77777777" w:rsidR="00247CBF" w:rsidRPr="00092ED7" w:rsidRDefault="00247CBF" w:rsidP="00247CBF">
            <w:pPr>
              <w:spacing w:after="0"/>
              <w:jc w:val="right"/>
              <w:rPr>
                <w:sz w:val="20"/>
                <w:szCs w:val="20"/>
                <w:lang w:val="sr-Cyrl-CS"/>
              </w:rPr>
            </w:pPr>
            <w:r w:rsidRPr="00092ED7">
              <w:rPr>
                <w:sz w:val="20"/>
                <w:szCs w:val="20"/>
                <w:lang w:val="sr-Cyrl-CS"/>
              </w:rPr>
              <w:t>277,4</w:t>
            </w:r>
          </w:p>
        </w:tc>
        <w:tc>
          <w:tcPr>
            <w:tcW w:w="1260" w:type="dxa"/>
            <w:gridSpan w:val="4"/>
            <w:tcBorders>
              <w:top w:val="dashed" w:sz="4" w:space="0" w:color="auto"/>
              <w:left w:val="nil"/>
              <w:bottom w:val="dashed" w:sz="4" w:space="0" w:color="auto"/>
              <w:right w:val="dashed" w:sz="4" w:space="0" w:color="auto"/>
            </w:tcBorders>
            <w:shd w:val="clear" w:color="auto" w:fill="auto"/>
            <w:noWrap/>
            <w:vAlign w:val="center"/>
            <w:hideMark/>
          </w:tcPr>
          <w:p w14:paraId="62331DCA" w14:textId="77777777" w:rsidR="00247CBF" w:rsidRPr="00092ED7" w:rsidRDefault="00247CBF" w:rsidP="00247CBF">
            <w:pPr>
              <w:spacing w:after="0"/>
              <w:jc w:val="right"/>
              <w:rPr>
                <w:sz w:val="20"/>
                <w:szCs w:val="20"/>
                <w:lang w:val="sr-Cyrl-CS"/>
              </w:rPr>
            </w:pPr>
            <w:r w:rsidRPr="00092ED7">
              <w:rPr>
                <w:sz w:val="20"/>
                <w:szCs w:val="20"/>
                <w:lang w:val="sr-Cyrl-CS"/>
              </w:rPr>
              <w:t>296,4</w:t>
            </w:r>
          </w:p>
        </w:tc>
        <w:tc>
          <w:tcPr>
            <w:tcW w:w="1260" w:type="dxa"/>
            <w:gridSpan w:val="3"/>
            <w:tcBorders>
              <w:top w:val="dashed" w:sz="4" w:space="0" w:color="auto"/>
              <w:left w:val="nil"/>
              <w:bottom w:val="dashed" w:sz="4" w:space="0" w:color="auto"/>
              <w:right w:val="dashed" w:sz="4" w:space="0" w:color="auto"/>
            </w:tcBorders>
            <w:shd w:val="clear" w:color="auto" w:fill="auto"/>
            <w:noWrap/>
            <w:vAlign w:val="center"/>
            <w:hideMark/>
          </w:tcPr>
          <w:p w14:paraId="5E0AA91F" w14:textId="77777777" w:rsidR="00247CBF" w:rsidRPr="00092ED7" w:rsidRDefault="00247CBF" w:rsidP="00247CBF">
            <w:pPr>
              <w:spacing w:after="0"/>
              <w:jc w:val="right"/>
              <w:rPr>
                <w:sz w:val="20"/>
                <w:szCs w:val="20"/>
                <w:lang w:val="sr-Cyrl-CS"/>
              </w:rPr>
            </w:pPr>
            <w:r w:rsidRPr="00092ED7">
              <w:rPr>
                <w:sz w:val="20"/>
                <w:szCs w:val="20"/>
                <w:lang w:val="sr-Cyrl-CS"/>
              </w:rPr>
              <w:t>299,1</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5A06E2D3" w14:textId="77777777" w:rsidR="00247CBF" w:rsidRPr="00092ED7" w:rsidRDefault="00247CBF" w:rsidP="00247CBF">
            <w:pPr>
              <w:spacing w:after="0"/>
              <w:jc w:val="right"/>
              <w:rPr>
                <w:sz w:val="20"/>
                <w:szCs w:val="20"/>
                <w:lang w:val="sr-Cyrl-CS"/>
              </w:rPr>
            </w:pPr>
            <w:r w:rsidRPr="00092ED7">
              <w:rPr>
                <w:sz w:val="20"/>
                <w:szCs w:val="20"/>
                <w:lang w:val="sr-Cyrl-CS"/>
              </w:rPr>
              <w:t>299,1</w:t>
            </w:r>
          </w:p>
        </w:tc>
      </w:tr>
      <w:tr w:rsidR="00247CBF" w:rsidRPr="00092ED7" w14:paraId="091E78D4" w14:textId="77777777" w:rsidTr="00247CBF">
        <w:trPr>
          <w:gridAfter w:val="3"/>
          <w:wAfter w:w="365" w:type="dxa"/>
          <w:trHeight w:val="225"/>
        </w:trPr>
        <w:tc>
          <w:tcPr>
            <w:tcW w:w="4962" w:type="dxa"/>
            <w:gridSpan w:val="3"/>
            <w:tcBorders>
              <w:top w:val="nil"/>
              <w:left w:val="double" w:sz="6" w:space="0" w:color="auto"/>
              <w:bottom w:val="dashed" w:sz="4" w:space="0" w:color="auto"/>
              <w:right w:val="nil"/>
            </w:tcBorders>
            <w:shd w:val="clear" w:color="auto" w:fill="auto"/>
            <w:vAlign w:val="bottom"/>
            <w:hideMark/>
          </w:tcPr>
          <w:p w14:paraId="7A5DCF2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 Индустрија (осим грађевинарства)</w:t>
            </w:r>
          </w:p>
        </w:tc>
        <w:tc>
          <w:tcPr>
            <w:tcW w:w="1447" w:type="dxa"/>
            <w:gridSpan w:val="3"/>
            <w:tcBorders>
              <w:top w:val="nil"/>
              <w:left w:val="single" w:sz="8" w:space="0" w:color="auto"/>
              <w:bottom w:val="dashed" w:sz="4" w:space="0" w:color="auto"/>
              <w:right w:val="single" w:sz="8" w:space="0" w:color="auto"/>
            </w:tcBorders>
            <w:shd w:val="clear" w:color="auto" w:fill="auto"/>
            <w:vAlign w:val="center"/>
            <w:hideMark/>
          </w:tcPr>
          <w:p w14:paraId="7BE0ACA8" w14:textId="77777777" w:rsidR="00247CBF" w:rsidRPr="00092ED7" w:rsidRDefault="00247CBF" w:rsidP="00247CBF">
            <w:pPr>
              <w:spacing w:after="0"/>
              <w:jc w:val="center"/>
              <w:rPr>
                <w:sz w:val="20"/>
                <w:szCs w:val="20"/>
                <w:lang w:val="sr-Cyrl-CS"/>
              </w:rPr>
            </w:pPr>
            <w:r w:rsidRPr="00092ED7">
              <w:rPr>
                <w:sz w:val="20"/>
                <w:szCs w:val="20"/>
                <w:lang w:val="sr-Cyrl-CS"/>
              </w:rPr>
              <w:t>сталне цене</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754CB0B9" w14:textId="77777777" w:rsidR="00247CBF" w:rsidRPr="00092ED7" w:rsidRDefault="00247CBF" w:rsidP="00247CBF">
            <w:pPr>
              <w:spacing w:after="0"/>
              <w:jc w:val="right"/>
              <w:rPr>
                <w:sz w:val="20"/>
                <w:szCs w:val="20"/>
                <w:lang w:val="sr-Cyrl-CS"/>
              </w:rPr>
            </w:pPr>
            <w:r w:rsidRPr="00092ED7">
              <w:rPr>
                <w:sz w:val="20"/>
                <w:szCs w:val="20"/>
                <w:lang w:val="sr-Cyrl-CS"/>
              </w:rPr>
              <w:t>1.013,8</w:t>
            </w:r>
          </w:p>
        </w:tc>
        <w:tc>
          <w:tcPr>
            <w:tcW w:w="1300" w:type="dxa"/>
            <w:gridSpan w:val="4"/>
            <w:tcBorders>
              <w:top w:val="nil"/>
              <w:left w:val="nil"/>
              <w:bottom w:val="dashed" w:sz="4" w:space="0" w:color="auto"/>
              <w:right w:val="dashed" w:sz="4" w:space="0" w:color="auto"/>
            </w:tcBorders>
            <w:shd w:val="clear" w:color="auto" w:fill="auto"/>
            <w:vAlign w:val="center"/>
            <w:hideMark/>
          </w:tcPr>
          <w:p w14:paraId="1A24A79D" w14:textId="77777777" w:rsidR="00247CBF" w:rsidRPr="00092ED7" w:rsidRDefault="00247CBF" w:rsidP="00247CBF">
            <w:pPr>
              <w:spacing w:after="0"/>
              <w:jc w:val="right"/>
              <w:rPr>
                <w:sz w:val="20"/>
                <w:szCs w:val="20"/>
                <w:lang w:val="sr-Cyrl-CS"/>
              </w:rPr>
            </w:pPr>
            <w:r w:rsidRPr="00092ED7">
              <w:rPr>
                <w:sz w:val="20"/>
                <w:szCs w:val="20"/>
                <w:lang w:val="sr-Cyrl-CS"/>
              </w:rPr>
              <w:t>1.077,8</w:t>
            </w:r>
          </w:p>
        </w:tc>
        <w:tc>
          <w:tcPr>
            <w:tcW w:w="1360" w:type="dxa"/>
            <w:gridSpan w:val="4"/>
            <w:tcBorders>
              <w:top w:val="nil"/>
              <w:left w:val="nil"/>
              <w:bottom w:val="dashed" w:sz="4" w:space="0" w:color="auto"/>
              <w:right w:val="dashed" w:sz="4" w:space="0" w:color="auto"/>
            </w:tcBorders>
            <w:shd w:val="clear" w:color="auto" w:fill="auto"/>
            <w:vAlign w:val="center"/>
            <w:hideMark/>
          </w:tcPr>
          <w:p w14:paraId="0B3EF600" w14:textId="77777777" w:rsidR="00247CBF" w:rsidRPr="00092ED7" w:rsidRDefault="00247CBF" w:rsidP="00247CBF">
            <w:pPr>
              <w:spacing w:after="0"/>
              <w:jc w:val="right"/>
              <w:rPr>
                <w:sz w:val="20"/>
                <w:szCs w:val="20"/>
                <w:lang w:val="sr-Cyrl-CS"/>
              </w:rPr>
            </w:pPr>
            <w:r w:rsidRPr="00092ED7">
              <w:rPr>
                <w:sz w:val="20"/>
                <w:szCs w:val="20"/>
                <w:lang w:val="sr-Cyrl-CS"/>
              </w:rPr>
              <w:t>1.091,8</w:t>
            </w:r>
          </w:p>
        </w:tc>
        <w:tc>
          <w:tcPr>
            <w:tcW w:w="1260" w:type="dxa"/>
            <w:gridSpan w:val="4"/>
            <w:tcBorders>
              <w:top w:val="nil"/>
              <w:left w:val="nil"/>
              <w:bottom w:val="dashed" w:sz="4" w:space="0" w:color="auto"/>
              <w:right w:val="dashed" w:sz="4" w:space="0" w:color="auto"/>
            </w:tcBorders>
            <w:shd w:val="clear" w:color="auto" w:fill="auto"/>
            <w:vAlign w:val="center"/>
            <w:hideMark/>
          </w:tcPr>
          <w:p w14:paraId="097007D0" w14:textId="77777777" w:rsidR="00247CBF" w:rsidRPr="00092ED7" w:rsidRDefault="00247CBF" w:rsidP="00247CBF">
            <w:pPr>
              <w:spacing w:after="0"/>
              <w:jc w:val="right"/>
              <w:rPr>
                <w:sz w:val="20"/>
                <w:szCs w:val="20"/>
                <w:lang w:val="sr-Cyrl-CS"/>
              </w:rPr>
            </w:pPr>
            <w:r w:rsidRPr="00092ED7">
              <w:rPr>
                <w:sz w:val="20"/>
                <w:szCs w:val="20"/>
                <w:lang w:val="sr-Cyrl-CS"/>
              </w:rPr>
              <w:t>1.103,8</w:t>
            </w:r>
          </w:p>
        </w:tc>
        <w:tc>
          <w:tcPr>
            <w:tcW w:w="1260" w:type="dxa"/>
            <w:gridSpan w:val="3"/>
            <w:tcBorders>
              <w:top w:val="nil"/>
              <w:left w:val="nil"/>
              <w:bottom w:val="dashed" w:sz="4" w:space="0" w:color="auto"/>
              <w:right w:val="dashed" w:sz="4" w:space="0" w:color="auto"/>
            </w:tcBorders>
            <w:shd w:val="clear" w:color="auto" w:fill="auto"/>
            <w:vAlign w:val="center"/>
            <w:hideMark/>
          </w:tcPr>
          <w:p w14:paraId="29E877AD" w14:textId="77777777" w:rsidR="00247CBF" w:rsidRPr="00092ED7" w:rsidRDefault="00247CBF" w:rsidP="00247CBF">
            <w:pPr>
              <w:spacing w:after="0"/>
              <w:jc w:val="right"/>
              <w:rPr>
                <w:sz w:val="20"/>
                <w:szCs w:val="20"/>
                <w:lang w:val="sr-Cyrl-CS"/>
              </w:rPr>
            </w:pPr>
            <w:r w:rsidRPr="00092ED7">
              <w:rPr>
                <w:sz w:val="20"/>
                <w:szCs w:val="20"/>
                <w:lang w:val="sr-Cyrl-CS"/>
              </w:rPr>
              <w:t>1.143,6</w:t>
            </w:r>
          </w:p>
        </w:tc>
        <w:tc>
          <w:tcPr>
            <w:tcW w:w="1268" w:type="dxa"/>
            <w:gridSpan w:val="3"/>
            <w:tcBorders>
              <w:top w:val="nil"/>
              <w:left w:val="nil"/>
              <w:bottom w:val="dashed" w:sz="4" w:space="0" w:color="auto"/>
              <w:right w:val="double" w:sz="4" w:space="0" w:color="auto"/>
            </w:tcBorders>
            <w:shd w:val="clear" w:color="auto" w:fill="auto"/>
            <w:vAlign w:val="center"/>
            <w:hideMark/>
          </w:tcPr>
          <w:p w14:paraId="5643FBC4" w14:textId="77777777" w:rsidR="00247CBF" w:rsidRPr="00092ED7" w:rsidRDefault="00247CBF" w:rsidP="00247CBF">
            <w:pPr>
              <w:spacing w:after="0"/>
              <w:jc w:val="right"/>
              <w:rPr>
                <w:sz w:val="20"/>
                <w:szCs w:val="20"/>
                <w:lang w:val="sr-Cyrl-CS"/>
              </w:rPr>
            </w:pPr>
            <w:r w:rsidRPr="00092ED7">
              <w:rPr>
                <w:sz w:val="20"/>
                <w:szCs w:val="20"/>
                <w:lang w:val="sr-Cyrl-CS"/>
              </w:rPr>
              <w:t>1.205,3</w:t>
            </w:r>
          </w:p>
        </w:tc>
      </w:tr>
      <w:tr w:rsidR="00247CBF" w:rsidRPr="00092ED7" w14:paraId="5B6B28A0" w14:textId="77777777" w:rsidTr="00247CBF">
        <w:trPr>
          <w:gridAfter w:val="3"/>
          <w:wAfter w:w="365" w:type="dxa"/>
          <w:trHeight w:val="225"/>
        </w:trPr>
        <w:tc>
          <w:tcPr>
            <w:tcW w:w="4962" w:type="dxa"/>
            <w:gridSpan w:val="3"/>
            <w:tcBorders>
              <w:top w:val="nil"/>
              <w:left w:val="double" w:sz="6" w:space="0" w:color="auto"/>
              <w:bottom w:val="dashed" w:sz="4" w:space="0" w:color="auto"/>
              <w:right w:val="nil"/>
            </w:tcBorders>
            <w:shd w:val="clear" w:color="auto" w:fill="auto"/>
            <w:vAlign w:val="bottom"/>
            <w:hideMark/>
          </w:tcPr>
          <w:p w14:paraId="710E22B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3. Грађевинарство</w:t>
            </w:r>
          </w:p>
        </w:tc>
        <w:tc>
          <w:tcPr>
            <w:tcW w:w="1447" w:type="dxa"/>
            <w:gridSpan w:val="3"/>
            <w:tcBorders>
              <w:top w:val="nil"/>
              <w:left w:val="single" w:sz="8" w:space="0" w:color="auto"/>
              <w:bottom w:val="dashed" w:sz="4" w:space="0" w:color="auto"/>
              <w:right w:val="single" w:sz="8" w:space="0" w:color="auto"/>
            </w:tcBorders>
            <w:shd w:val="clear" w:color="auto" w:fill="auto"/>
            <w:vAlign w:val="center"/>
            <w:hideMark/>
          </w:tcPr>
          <w:p w14:paraId="46560405" w14:textId="77777777" w:rsidR="00247CBF" w:rsidRPr="00092ED7" w:rsidRDefault="00247CBF" w:rsidP="00247CBF">
            <w:pPr>
              <w:spacing w:after="0"/>
              <w:jc w:val="center"/>
              <w:rPr>
                <w:sz w:val="20"/>
                <w:szCs w:val="20"/>
                <w:lang w:val="sr-Cyrl-CS"/>
              </w:rPr>
            </w:pPr>
            <w:r w:rsidRPr="00092ED7">
              <w:rPr>
                <w:sz w:val="20"/>
                <w:szCs w:val="20"/>
                <w:lang w:val="sr-Cyrl-CS"/>
              </w:rPr>
              <w:t>сталне цене</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6CE5094F" w14:textId="77777777" w:rsidR="00247CBF" w:rsidRPr="00092ED7" w:rsidRDefault="00247CBF" w:rsidP="00247CBF">
            <w:pPr>
              <w:spacing w:after="0"/>
              <w:jc w:val="right"/>
              <w:rPr>
                <w:sz w:val="20"/>
                <w:szCs w:val="20"/>
                <w:lang w:val="sr-Cyrl-CS"/>
              </w:rPr>
            </w:pPr>
            <w:r w:rsidRPr="00092ED7">
              <w:rPr>
                <w:sz w:val="20"/>
                <w:szCs w:val="20"/>
                <w:lang w:val="sr-Cyrl-CS"/>
              </w:rPr>
              <w:t>263,2</w:t>
            </w:r>
          </w:p>
        </w:tc>
        <w:tc>
          <w:tcPr>
            <w:tcW w:w="1300" w:type="dxa"/>
            <w:gridSpan w:val="4"/>
            <w:tcBorders>
              <w:top w:val="nil"/>
              <w:left w:val="nil"/>
              <w:bottom w:val="dashed" w:sz="4" w:space="0" w:color="auto"/>
              <w:right w:val="dashed" w:sz="4" w:space="0" w:color="auto"/>
            </w:tcBorders>
            <w:shd w:val="clear" w:color="auto" w:fill="auto"/>
            <w:vAlign w:val="center"/>
            <w:hideMark/>
          </w:tcPr>
          <w:p w14:paraId="29A2FF35" w14:textId="77777777" w:rsidR="00247CBF" w:rsidRPr="00092ED7" w:rsidRDefault="00247CBF" w:rsidP="00247CBF">
            <w:pPr>
              <w:spacing w:after="0"/>
              <w:jc w:val="right"/>
              <w:rPr>
                <w:sz w:val="20"/>
                <w:szCs w:val="20"/>
                <w:lang w:val="sr-Cyrl-CS"/>
              </w:rPr>
            </w:pPr>
            <w:r w:rsidRPr="00092ED7">
              <w:rPr>
                <w:sz w:val="20"/>
                <w:szCs w:val="20"/>
                <w:lang w:val="sr-Cyrl-CS"/>
              </w:rPr>
              <w:t>309,6</w:t>
            </w:r>
          </w:p>
        </w:tc>
        <w:tc>
          <w:tcPr>
            <w:tcW w:w="1360" w:type="dxa"/>
            <w:gridSpan w:val="4"/>
            <w:tcBorders>
              <w:top w:val="nil"/>
              <w:left w:val="nil"/>
              <w:bottom w:val="dashed" w:sz="4" w:space="0" w:color="auto"/>
              <w:right w:val="dashed" w:sz="4" w:space="0" w:color="auto"/>
            </w:tcBorders>
            <w:shd w:val="clear" w:color="auto" w:fill="auto"/>
            <w:vAlign w:val="center"/>
            <w:hideMark/>
          </w:tcPr>
          <w:p w14:paraId="6D25501F" w14:textId="77777777" w:rsidR="00247CBF" w:rsidRPr="00092ED7" w:rsidRDefault="00247CBF" w:rsidP="00247CBF">
            <w:pPr>
              <w:spacing w:after="0"/>
              <w:jc w:val="right"/>
              <w:rPr>
                <w:sz w:val="20"/>
                <w:szCs w:val="20"/>
                <w:lang w:val="sr-Cyrl-CS"/>
              </w:rPr>
            </w:pPr>
            <w:r w:rsidRPr="00092ED7">
              <w:rPr>
                <w:sz w:val="20"/>
                <w:szCs w:val="20"/>
                <w:lang w:val="sr-Cyrl-CS"/>
              </w:rPr>
              <w:t>282,6</w:t>
            </w:r>
          </w:p>
        </w:tc>
        <w:tc>
          <w:tcPr>
            <w:tcW w:w="1260" w:type="dxa"/>
            <w:gridSpan w:val="4"/>
            <w:tcBorders>
              <w:top w:val="nil"/>
              <w:left w:val="nil"/>
              <w:bottom w:val="dashed" w:sz="4" w:space="0" w:color="auto"/>
              <w:right w:val="dashed" w:sz="4" w:space="0" w:color="auto"/>
            </w:tcBorders>
            <w:shd w:val="clear" w:color="auto" w:fill="auto"/>
            <w:vAlign w:val="center"/>
            <w:hideMark/>
          </w:tcPr>
          <w:p w14:paraId="4B7F941F" w14:textId="77777777" w:rsidR="00247CBF" w:rsidRPr="00092ED7" w:rsidRDefault="00247CBF" w:rsidP="00247CBF">
            <w:pPr>
              <w:spacing w:after="0"/>
              <w:jc w:val="right"/>
              <w:rPr>
                <w:sz w:val="20"/>
                <w:szCs w:val="20"/>
                <w:lang w:val="sr-Cyrl-CS"/>
              </w:rPr>
            </w:pPr>
            <w:r w:rsidRPr="00092ED7">
              <w:rPr>
                <w:sz w:val="20"/>
                <w:szCs w:val="20"/>
                <w:lang w:val="sr-Cyrl-CS"/>
              </w:rPr>
              <w:t>285,1</w:t>
            </w:r>
          </w:p>
        </w:tc>
        <w:tc>
          <w:tcPr>
            <w:tcW w:w="1260" w:type="dxa"/>
            <w:gridSpan w:val="3"/>
            <w:tcBorders>
              <w:top w:val="nil"/>
              <w:left w:val="nil"/>
              <w:bottom w:val="dashed" w:sz="4" w:space="0" w:color="auto"/>
              <w:right w:val="dashed" w:sz="4" w:space="0" w:color="auto"/>
            </w:tcBorders>
            <w:shd w:val="clear" w:color="auto" w:fill="auto"/>
            <w:vAlign w:val="center"/>
            <w:hideMark/>
          </w:tcPr>
          <w:p w14:paraId="78624199" w14:textId="77777777" w:rsidR="00247CBF" w:rsidRPr="00092ED7" w:rsidRDefault="00247CBF" w:rsidP="00247CBF">
            <w:pPr>
              <w:spacing w:after="0"/>
              <w:jc w:val="right"/>
              <w:rPr>
                <w:sz w:val="20"/>
                <w:szCs w:val="20"/>
                <w:lang w:val="sr-Cyrl-CS"/>
              </w:rPr>
            </w:pPr>
            <w:r w:rsidRPr="00092ED7">
              <w:rPr>
                <w:sz w:val="20"/>
                <w:szCs w:val="20"/>
                <w:lang w:val="sr-Cyrl-CS"/>
              </w:rPr>
              <w:t>299,9</w:t>
            </w:r>
          </w:p>
        </w:tc>
        <w:tc>
          <w:tcPr>
            <w:tcW w:w="1268" w:type="dxa"/>
            <w:gridSpan w:val="3"/>
            <w:tcBorders>
              <w:top w:val="nil"/>
              <w:left w:val="nil"/>
              <w:bottom w:val="dashed" w:sz="4" w:space="0" w:color="auto"/>
              <w:right w:val="double" w:sz="4" w:space="0" w:color="auto"/>
            </w:tcBorders>
            <w:shd w:val="clear" w:color="auto" w:fill="auto"/>
            <w:vAlign w:val="center"/>
            <w:hideMark/>
          </w:tcPr>
          <w:p w14:paraId="6C7B90B4" w14:textId="77777777" w:rsidR="00247CBF" w:rsidRPr="00092ED7" w:rsidRDefault="00247CBF" w:rsidP="00247CBF">
            <w:pPr>
              <w:spacing w:after="0"/>
              <w:jc w:val="right"/>
              <w:rPr>
                <w:sz w:val="20"/>
                <w:szCs w:val="20"/>
                <w:lang w:val="sr-Cyrl-CS"/>
              </w:rPr>
            </w:pPr>
            <w:r w:rsidRPr="00092ED7">
              <w:rPr>
                <w:sz w:val="20"/>
                <w:szCs w:val="20"/>
                <w:lang w:val="sr-Cyrl-CS"/>
              </w:rPr>
              <w:t>317,6</w:t>
            </w:r>
          </w:p>
        </w:tc>
      </w:tr>
      <w:tr w:rsidR="00247CBF" w:rsidRPr="00092ED7" w14:paraId="0BDDCC4C" w14:textId="77777777" w:rsidTr="00247CBF">
        <w:trPr>
          <w:gridAfter w:val="3"/>
          <w:wAfter w:w="365" w:type="dxa"/>
          <w:trHeight w:val="225"/>
        </w:trPr>
        <w:tc>
          <w:tcPr>
            <w:tcW w:w="4962" w:type="dxa"/>
            <w:gridSpan w:val="3"/>
            <w:tcBorders>
              <w:top w:val="nil"/>
              <w:left w:val="double" w:sz="6" w:space="0" w:color="auto"/>
              <w:bottom w:val="single" w:sz="4" w:space="0" w:color="auto"/>
              <w:right w:val="nil"/>
            </w:tcBorders>
            <w:shd w:val="clear" w:color="auto" w:fill="auto"/>
            <w:vAlign w:val="bottom"/>
            <w:hideMark/>
          </w:tcPr>
          <w:p w14:paraId="390256D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4. Услуге</w:t>
            </w:r>
          </w:p>
        </w:tc>
        <w:tc>
          <w:tcPr>
            <w:tcW w:w="1447" w:type="dxa"/>
            <w:gridSpan w:val="3"/>
            <w:tcBorders>
              <w:top w:val="nil"/>
              <w:left w:val="single" w:sz="8" w:space="0" w:color="auto"/>
              <w:bottom w:val="single" w:sz="4" w:space="0" w:color="auto"/>
              <w:right w:val="single" w:sz="8" w:space="0" w:color="auto"/>
            </w:tcBorders>
            <w:shd w:val="clear" w:color="auto" w:fill="auto"/>
            <w:vAlign w:val="center"/>
            <w:hideMark/>
          </w:tcPr>
          <w:p w14:paraId="29CB6D33" w14:textId="77777777" w:rsidR="00247CBF" w:rsidRPr="00092ED7" w:rsidRDefault="00247CBF" w:rsidP="00247CBF">
            <w:pPr>
              <w:spacing w:after="0"/>
              <w:jc w:val="center"/>
              <w:rPr>
                <w:sz w:val="20"/>
                <w:szCs w:val="20"/>
                <w:lang w:val="sr-Cyrl-CS"/>
              </w:rPr>
            </w:pPr>
            <w:r w:rsidRPr="00092ED7">
              <w:rPr>
                <w:sz w:val="20"/>
                <w:szCs w:val="20"/>
                <w:lang w:val="sr-Cyrl-CS"/>
              </w:rPr>
              <w:t>сталне цене</w:t>
            </w:r>
          </w:p>
        </w:tc>
        <w:tc>
          <w:tcPr>
            <w:tcW w:w="1380" w:type="dxa"/>
            <w:gridSpan w:val="3"/>
            <w:tcBorders>
              <w:top w:val="nil"/>
              <w:left w:val="nil"/>
              <w:bottom w:val="single" w:sz="4" w:space="0" w:color="auto"/>
              <w:right w:val="dashed" w:sz="4" w:space="0" w:color="auto"/>
            </w:tcBorders>
            <w:shd w:val="clear" w:color="auto" w:fill="auto"/>
            <w:noWrap/>
            <w:vAlign w:val="center"/>
            <w:hideMark/>
          </w:tcPr>
          <w:p w14:paraId="7C28FC3D" w14:textId="77777777" w:rsidR="00247CBF" w:rsidRPr="00092ED7" w:rsidRDefault="00247CBF" w:rsidP="00247CBF">
            <w:pPr>
              <w:spacing w:after="0"/>
              <w:jc w:val="right"/>
              <w:rPr>
                <w:sz w:val="20"/>
                <w:szCs w:val="20"/>
                <w:lang w:val="sr-Cyrl-CS"/>
              </w:rPr>
            </w:pPr>
            <w:r w:rsidRPr="00092ED7">
              <w:rPr>
                <w:sz w:val="20"/>
                <w:szCs w:val="20"/>
                <w:lang w:val="sr-Cyrl-CS"/>
              </w:rPr>
              <w:t>2.489,1</w:t>
            </w:r>
          </w:p>
        </w:tc>
        <w:tc>
          <w:tcPr>
            <w:tcW w:w="1300" w:type="dxa"/>
            <w:gridSpan w:val="4"/>
            <w:tcBorders>
              <w:top w:val="nil"/>
              <w:left w:val="nil"/>
              <w:bottom w:val="single" w:sz="4" w:space="0" w:color="auto"/>
              <w:right w:val="dashed" w:sz="4" w:space="0" w:color="auto"/>
            </w:tcBorders>
            <w:shd w:val="clear" w:color="auto" w:fill="auto"/>
            <w:vAlign w:val="center"/>
            <w:hideMark/>
          </w:tcPr>
          <w:p w14:paraId="4B61B1A3" w14:textId="77777777" w:rsidR="00247CBF" w:rsidRPr="00092ED7" w:rsidRDefault="00247CBF" w:rsidP="00247CBF">
            <w:pPr>
              <w:spacing w:after="0"/>
              <w:jc w:val="right"/>
              <w:rPr>
                <w:sz w:val="20"/>
                <w:szCs w:val="20"/>
                <w:lang w:val="sr-Cyrl-CS"/>
              </w:rPr>
            </w:pPr>
            <w:r w:rsidRPr="00092ED7">
              <w:rPr>
                <w:sz w:val="20"/>
                <w:szCs w:val="20"/>
                <w:lang w:val="sr-Cyrl-CS"/>
              </w:rPr>
              <w:t>2.696,8</w:t>
            </w:r>
          </w:p>
        </w:tc>
        <w:tc>
          <w:tcPr>
            <w:tcW w:w="1360" w:type="dxa"/>
            <w:gridSpan w:val="4"/>
            <w:tcBorders>
              <w:top w:val="nil"/>
              <w:left w:val="nil"/>
              <w:bottom w:val="single" w:sz="4" w:space="0" w:color="auto"/>
              <w:right w:val="dashed" w:sz="4" w:space="0" w:color="auto"/>
            </w:tcBorders>
            <w:shd w:val="clear" w:color="auto" w:fill="auto"/>
            <w:vAlign w:val="center"/>
            <w:hideMark/>
          </w:tcPr>
          <w:p w14:paraId="7DE88F41" w14:textId="77777777" w:rsidR="00247CBF" w:rsidRPr="00092ED7" w:rsidRDefault="00247CBF" w:rsidP="00247CBF">
            <w:pPr>
              <w:spacing w:after="0"/>
              <w:jc w:val="right"/>
              <w:rPr>
                <w:sz w:val="20"/>
                <w:szCs w:val="20"/>
                <w:lang w:val="sr-Cyrl-CS"/>
              </w:rPr>
            </w:pPr>
            <w:r w:rsidRPr="00092ED7">
              <w:rPr>
                <w:sz w:val="20"/>
                <w:szCs w:val="20"/>
                <w:lang w:val="sr-Cyrl-CS"/>
              </w:rPr>
              <w:t>2.826,3</w:t>
            </w:r>
          </w:p>
        </w:tc>
        <w:tc>
          <w:tcPr>
            <w:tcW w:w="1260" w:type="dxa"/>
            <w:gridSpan w:val="4"/>
            <w:tcBorders>
              <w:top w:val="nil"/>
              <w:left w:val="nil"/>
              <w:bottom w:val="single" w:sz="4" w:space="0" w:color="auto"/>
              <w:right w:val="dashed" w:sz="4" w:space="0" w:color="auto"/>
            </w:tcBorders>
            <w:shd w:val="clear" w:color="auto" w:fill="auto"/>
            <w:vAlign w:val="center"/>
            <w:hideMark/>
          </w:tcPr>
          <w:p w14:paraId="5DCCB708" w14:textId="77777777" w:rsidR="00247CBF" w:rsidRPr="00092ED7" w:rsidRDefault="00247CBF" w:rsidP="00247CBF">
            <w:pPr>
              <w:spacing w:after="0"/>
              <w:jc w:val="right"/>
              <w:rPr>
                <w:sz w:val="20"/>
                <w:szCs w:val="20"/>
                <w:lang w:val="sr-Cyrl-CS"/>
              </w:rPr>
            </w:pPr>
            <w:r w:rsidRPr="00092ED7">
              <w:rPr>
                <w:sz w:val="20"/>
                <w:szCs w:val="20"/>
                <w:lang w:val="sr-Cyrl-CS"/>
              </w:rPr>
              <w:t>2.899,8</w:t>
            </w:r>
          </w:p>
        </w:tc>
        <w:tc>
          <w:tcPr>
            <w:tcW w:w="1260" w:type="dxa"/>
            <w:gridSpan w:val="3"/>
            <w:tcBorders>
              <w:top w:val="nil"/>
              <w:left w:val="nil"/>
              <w:bottom w:val="single" w:sz="4" w:space="0" w:color="auto"/>
              <w:right w:val="dashed" w:sz="4" w:space="0" w:color="auto"/>
            </w:tcBorders>
            <w:shd w:val="clear" w:color="auto" w:fill="auto"/>
            <w:vAlign w:val="center"/>
            <w:hideMark/>
          </w:tcPr>
          <w:p w14:paraId="1196A904" w14:textId="77777777" w:rsidR="00247CBF" w:rsidRPr="00092ED7" w:rsidRDefault="00247CBF" w:rsidP="00247CBF">
            <w:pPr>
              <w:spacing w:after="0"/>
              <w:jc w:val="right"/>
              <w:rPr>
                <w:sz w:val="20"/>
                <w:szCs w:val="20"/>
                <w:lang w:val="sr-Cyrl-CS"/>
              </w:rPr>
            </w:pPr>
            <w:r w:rsidRPr="00092ED7">
              <w:rPr>
                <w:sz w:val="20"/>
                <w:szCs w:val="20"/>
                <w:lang w:val="sr-Cyrl-CS"/>
              </w:rPr>
              <w:t>3.009,9</w:t>
            </w:r>
          </w:p>
        </w:tc>
        <w:tc>
          <w:tcPr>
            <w:tcW w:w="1268" w:type="dxa"/>
            <w:gridSpan w:val="3"/>
            <w:tcBorders>
              <w:top w:val="nil"/>
              <w:left w:val="nil"/>
              <w:bottom w:val="single" w:sz="4" w:space="0" w:color="auto"/>
              <w:right w:val="double" w:sz="4" w:space="0" w:color="auto"/>
            </w:tcBorders>
            <w:shd w:val="clear" w:color="auto" w:fill="auto"/>
            <w:vAlign w:val="center"/>
            <w:hideMark/>
          </w:tcPr>
          <w:p w14:paraId="5BDEC2A3" w14:textId="77777777" w:rsidR="00247CBF" w:rsidRPr="00092ED7" w:rsidRDefault="00247CBF" w:rsidP="00247CBF">
            <w:pPr>
              <w:spacing w:after="0"/>
              <w:jc w:val="right"/>
              <w:rPr>
                <w:sz w:val="20"/>
                <w:szCs w:val="20"/>
                <w:lang w:val="sr-Cyrl-CS"/>
              </w:rPr>
            </w:pPr>
            <w:r w:rsidRPr="00092ED7">
              <w:rPr>
                <w:sz w:val="20"/>
                <w:szCs w:val="20"/>
                <w:lang w:val="sr-Cyrl-CS"/>
              </w:rPr>
              <w:t>3.130,3</w:t>
            </w:r>
          </w:p>
        </w:tc>
      </w:tr>
      <w:tr w:rsidR="00247CBF" w:rsidRPr="00092ED7" w14:paraId="5AE9B7D3"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bottom"/>
            <w:hideMark/>
          </w:tcPr>
          <w:p w14:paraId="56F3345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Пољопривреда</w:t>
            </w:r>
          </w:p>
        </w:tc>
        <w:tc>
          <w:tcPr>
            <w:tcW w:w="1447" w:type="dxa"/>
            <w:gridSpan w:val="3"/>
            <w:tcBorders>
              <w:top w:val="nil"/>
              <w:left w:val="single" w:sz="8" w:space="0" w:color="auto"/>
              <w:bottom w:val="dashed" w:sz="4" w:space="0" w:color="auto"/>
              <w:right w:val="single" w:sz="8" w:space="0" w:color="auto"/>
            </w:tcBorders>
            <w:shd w:val="clear" w:color="auto" w:fill="auto"/>
            <w:vAlign w:val="center"/>
            <w:hideMark/>
          </w:tcPr>
          <w:p w14:paraId="4B2C8277" w14:textId="77777777" w:rsidR="00247CBF" w:rsidRPr="00092ED7" w:rsidRDefault="00247CBF" w:rsidP="00247CBF">
            <w:pPr>
              <w:spacing w:after="0"/>
              <w:jc w:val="center"/>
              <w:rPr>
                <w:sz w:val="20"/>
                <w:szCs w:val="20"/>
                <w:lang w:val="sr-Cyrl-CS"/>
              </w:rPr>
            </w:pPr>
            <w:r w:rsidRPr="00092ED7">
              <w:rPr>
                <w:sz w:val="20"/>
                <w:szCs w:val="20"/>
                <w:lang w:val="sr-Cyrl-CS"/>
              </w:rPr>
              <w:t>текуће цене</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0595EF4B" w14:textId="77777777" w:rsidR="00247CBF" w:rsidRPr="00092ED7" w:rsidRDefault="00247CBF" w:rsidP="00247CBF">
            <w:pPr>
              <w:spacing w:after="0"/>
              <w:jc w:val="right"/>
              <w:rPr>
                <w:sz w:val="20"/>
                <w:szCs w:val="20"/>
                <w:lang w:val="sr-Cyrl-CS"/>
              </w:rPr>
            </w:pPr>
            <w:r w:rsidRPr="00092ED7">
              <w:rPr>
                <w:sz w:val="20"/>
                <w:szCs w:val="20"/>
                <w:lang w:val="sr-Cyrl-CS"/>
              </w:rPr>
              <w:t>349,2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409BE7A" w14:textId="77777777" w:rsidR="00247CBF" w:rsidRPr="00092ED7" w:rsidRDefault="00247CBF" w:rsidP="00247CBF">
            <w:pPr>
              <w:spacing w:after="0"/>
              <w:jc w:val="right"/>
              <w:rPr>
                <w:sz w:val="20"/>
                <w:szCs w:val="20"/>
                <w:lang w:val="sr-Cyrl-CS"/>
              </w:rPr>
            </w:pPr>
            <w:r w:rsidRPr="00092ED7">
              <w:rPr>
                <w:sz w:val="20"/>
                <w:szCs w:val="20"/>
                <w:lang w:val="sr-Cyrl-CS"/>
              </w:rPr>
              <w:t>394,6</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64DD2AE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3C4D9C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1E3A806"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15B1A3E8"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421D12F0"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bottom"/>
            <w:hideMark/>
          </w:tcPr>
          <w:p w14:paraId="533E018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 Индустрија (осим грађевинарства)</w:t>
            </w:r>
          </w:p>
        </w:tc>
        <w:tc>
          <w:tcPr>
            <w:tcW w:w="1447" w:type="dxa"/>
            <w:gridSpan w:val="3"/>
            <w:tcBorders>
              <w:top w:val="nil"/>
              <w:left w:val="single" w:sz="8" w:space="0" w:color="auto"/>
              <w:bottom w:val="dashed" w:sz="4" w:space="0" w:color="auto"/>
              <w:right w:val="single" w:sz="8" w:space="0" w:color="auto"/>
            </w:tcBorders>
            <w:shd w:val="clear" w:color="auto" w:fill="auto"/>
            <w:vAlign w:val="center"/>
            <w:hideMark/>
          </w:tcPr>
          <w:p w14:paraId="0CCC8244" w14:textId="77777777" w:rsidR="00247CBF" w:rsidRPr="00092ED7" w:rsidRDefault="00247CBF" w:rsidP="00247CBF">
            <w:pPr>
              <w:spacing w:after="0"/>
              <w:jc w:val="center"/>
              <w:rPr>
                <w:sz w:val="20"/>
                <w:szCs w:val="20"/>
                <w:lang w:val="sr-Cyrl-CS"/>
              </w:rPr>
            </w:pPr>
            <w:r w:rsidRPr="00092ED7">
              <w:rPr>
                <w:sz w:val="20"/>
                <w:szCs w:val="20"/>
                <w:lang w:val="sr-Cyrl-CS"/>
              </w:rPr>
              <w:t>текуће цене</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CAE1A5C" w14:textId="77777777" w:rsidR="00247CBF" w:rsidRPr="00092ED7" w:rsidRDefault="00247CBF" w:rsidP="00247CBF">
            <w:pPr>
              <w:spacing w:after="0"/>
              <w:jc w:val="right"/>
              <w:rPr>
                <w:sz w:val="20"/>
                <w:szCs w:val="20"/>
                <w:lang w:val="sr-Cyrl-CS"/>
              </w:rPr>
            </w:pPr>
            <w:r w:rsidRPr="00092ED7">
              <w:rPr>
                <w:sz w:val="20"/>
                <w:szCs w:val="20"/>
                <w:lang w:val="sr-Cyrl-CS"/>
              </w:rPr>
              <w:t>1.071,1</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E3602FA" w14:textId="77777777" w:rsidR="00247CBF" w:rsidRPr="00092ED7" w:rsidRDefault="00247CBF" w:rsidP="00247CBF">
            <w:pPr>
              <w:spacing w:after="0"/>
              <w:jc w:val="right"/>
              <w:rPr>
                <w:sz w:val="20"/>
                <w:szCs w:val="20"/>
                <w:lang w:val="sr-Cyrl-CS"/>
              </w:rPr>
            </w:pPr>
            <w:r w:rsidRPr="00092ED7">
              <w:rPr>
                <w:sz w:val="20"/>
                <w:szCs w:val="20"/>
                <w:lang w:val="sr-Cyrl-CS"/>
              </w:rPr>
              <w:t>1.191,3</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591D1C91"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4CDDC82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73548C6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D9C595E"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4DD5BF12"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bottom"/>
            <w:hideMark/>
          </w:tcPr>
          <w:p w14:paraId="706C45F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3. Грађевинарство</w:t>
            </w:r>
          </w:p>
        </w:tc>
        <w:tc>
          <w:tcPr>
            <w:tcW w:w="1447" w:type="dxa"/>
            <w:gridSpan w:val="3"/>
            <w:tcBorders>
              <w:top w:val="nil"/>
              <w:left w:val="single" w:sz="8" w:space="0" w:color="auto"/>
              <w:bottom w:val="dashed" w:sz="4" w:space="0" w:color="auto"/>
              <w:right w:val="single" w:sz="8" w:space="0" w:color="auto"/>
            </w:tcBorders>
            <w:shd w:val="clear" w:color="auto" w:fill="auto"/>
            <w:vAlign w:val="center"/>
            <w:hideMark/>
          </w:tcPr>
          <w:p w14:paraId="04C5318F" w14:textId="77777777" w:rsidR="00247CBF" w:rsidRPr="00092ED7" w:rsidRDefault="00247CBF" w:rsidP="00247CBF">
            <w:pPr>
              <w:spacing w:after="0"/>
              <w:jc w:val="center"/>
              <w:rPr>
                <w:sz w:val="20"/>
                <w:szCs w:val="20"/>
                <w:lang w:val="sr-Cyrl-CS"/>
              </w:rPr>
            </w:pPr>
            <w:r w:rsidRPr="00092ED7">
              <w:rPr>
                <w:sz w:val="20"/>
                <w:szCs w:val="20"/>
                <w:lang w:val="sr-Cyrl-CS"/>
              </w:rPr>
              <w:t>текуће цене</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C0AF52C" w14:textId="77777777" w:rsidR="00247CBF" w:rsidRPr="00092ED7" w:rsidRDefault="00247CBF" w:rsidP="00247CBF">
            <w:pPr>
              <w:spacing w:after="0"/>
              <w:jc w:val="right"/>
              <w:rPr>
                <w:sz w:val="20"/>
                <w:szCs w:val="20"/>
                <w:lang w:val="sr-Cyrl-CS"/>
              </w:rPr>
            </w:pPr>
            <w:r w:rsidRPr="00092ED7">
              <w:rPr>
                <w:sz w:val="20"/>
                <w:szCs w:val="20"/>
                <w:lang w:val="sr-Cyrl-CS"/>
              </w:rPr>
              <w:t>299,6</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B6C51A1" w14:textId="77777777" w:rsidR="00247CBF" w:rsidRPr="00092ED7" w:rsidRDefault="00247CBF" w:rsidP="00247CBF">
            <w:pPr>
              <w:spacing w:after="0"/>
              <w:jc w:val="right"/>
              <w:rPr>
                <w:sz w:val="20"/>
                <w:szCs w:val="20"/>
                <w:lang w:val="sr-Cyrl-CS"/>
              </w:rPr>
            </w:pPr>
            <w:r w:rsidRPr="00092ED7">
              <w:rPr>
                <w:sz w:val="20"/>
                <w:szCs w:val="20"/>
                <w:lang w:val="sr-Cyrl-CS"/>
              </w:rPr>
              <w:t>376,1</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3584739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35543E0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7BDD67C3"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7E2AB62"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2BB7C93A" w14:textId="77777777" w:rsidTr="00247CBF">
        <w:trPr>
          <w:gridAfter w:val="3"/>
          <w:wAfter w:w="365" w:type="dxa"/>
          <w:trHeight w:val="270"/>
        </w:trPr>
        <w:tc>
          <w:tcPr>
            <w:tcW w:w="4962" w:type="dxa"/>
            <w:gridSpan w:val="3"/>
            <w:tcBorders>
              <w:top w:val="nil"/>
              <w:left w:val="double" w:sz="6" w:space="0" w:color="auto"/>
              <w:bottom w:val="dashed" w:sz="4" w:space="0" w:color="auto"/>
              <w:right w:val="nil"/>
            </w:tcBorders>
            <w:shd w:val="clear" w:color="auto" w:fill="auto"/>
            <w:vAlign w:val="bottom"/>
            <w:hideMark/>
          </w:tcPr>
          <w:p w14:paraId="1C0FE1B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4. Услуге</w:t>
            </w:r>
          </w:p>
        </w:tc>
        <w:tc>
          <w:tcPr>
            <w:tcW w:w="1447" w:type="dxa"/>
            <w:gridSpan w:val="3"/>
            <w:tcBorders>
              <w:top w:val="nil"/>
              <w:left w:val="single" w:sz="8" w:space="0" w:color="auto"/>
              <w:bottom w:val="dashed" w:sz="4" w:space="0" w:color="auto"/>
              <w:right w:val="single" w:sz="8" w:space="0" w:color="auto"/>
            </w:tcBorders>
            <w:shd w:val="clear" w:color="auto" w:fill="auto"/>
            <w:vAlign w:val="center"/>
            <w:hideMark/>
          </w:tcPr>
          <w:p w14:paraId="28540573" w14:textId="77777777" w:rsidR="00247CBF" w:rsidRPr="00092ED7" w:rsidRDefault="00247CBF" w:rsidP="00247CBF">
            <w:pPr>
              <w:spacing w:after="0"/>
              <w:jc w:val="center"/>
              <w:rPr>
                <w:sz w:val="20"/>
                <w:szCs w:val="20"/>
                <w:lang w:val="sr-Cyrl-CS"/>
              </w:rPr>
            </w:pPr>
            <w:r w:rsidRPr="00092ED7">
              <w:rPr>
                <w:sz w:val="20"/>
                <w:szCs w:val="20"/>
                <w:lang w:val="sr-Cyrl-CS"/>
              </w:rPr>
              <w:t>текуће цене</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3A61D4EF" w14:textId="77777777" w:rsidR="00247CBF" w:rsidRPr="00092ED7" w:rsidRDefault="00247CBF" w:rsidP="00247CBF">
            <w:pPr>
              <w:spacing w:after="0"/>
              <w:jc w:val="right"/>
              <w:rPr>
                <w:sz w:val="20"/>
                <w:szCs w:val="20"/>
                <w:lang w:val="sr-Cyrl-CS"/>
              </w:rPr>
            </w:pPr>
            <w:r w:rsidRPr="00092ED7">
              <w:rPr>
                <w:sz w:val="20"/>
                <w:szCs w:val="20"/>
                <w:lang w:val="sr-Cyrl-CS"/>
              </w:rPr>
              <w:t>2.854,4</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632AB97" w14:textId="77777777" w:rsidR="00247CBF" w:rsidRPr="00092ED7" w:rsidRDefault="00247CBF" w:rsidP="00247CBF">
            <w:pPr>
              <w:spacing w:after="0"/>
              <w:jc w:val="right"/>
              <w:rPr>
                <w:sz w:val="20"/>
                <w:szCs w:val="20"/>
                <w:lang w:val="sr-Cyrl-CS"/>
              </w:rPr>
            </w:pPr>
            <w:r w:rsidRPr="00092ED7">
              <w:rPr>
                <w:sz w:val="20"/>
                <w:szCs w:val="20"/>
                <w:lang w:val="sr-Cyrl-CS"/>
              </w:rPr>
              <w:t>3.222,1</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0EDA6B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8223CD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4849C9C"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6E78CF5B"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3C7EF6BF" w14:textId="77777777" w:rsidTr="00247CBF">
        <w:trPr>
          <w:gridAfter w:val="3"/>
          <w:wAfter w:w="365" w:type="dxa"/>
          <w:trHeight w:val="270"/>
        </w:trPr>
        <w:tc>
          <w:tcPr>
            <w:tcW w:w="4962" w:type="dxa"/>
            <w:gridSpan w:val="3"/>
            <w:tcBorders>
              <w:top w:val="single" w:sz="8" w:space="0" w:color="auto"/>
              <w:left w:val="double" w:sz="6" w:space="0" w:color="auto"/>
              <w:bottom w:val="single" w:sz="8" w:space="0" w:color="auto"/>
              <w:right w:val="nil"/>
            </w:tcBorders>
            <w:shd w:val="clear" w:color="auto" w:fill="auto"/>
            <w:noWrap/>
            <w:vAlign w:val="center"/>
            <w:hideMark/>
          </w:tcPr>
          <w:p w14:paraId="44AF7097"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Табела 1f:  Кретања у екстерном сектору</w:t>
            </w:r>
          </w:p>
        </w:tc>
        <w:tc>
          <w:tcPr>
            <w:tcW w:w="1447"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7F256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1380" w:type="dxa"/>
            <w:gridSpan w:val="3"/>
            <w:tcBorders>
              <w:top w:val="single" w:sz="8" w:space="0" w:color="auto"/>
              <w:left w:val="nil"/>
              <w:bottom w:val="single" w:sz="8" w:space="0" w:color="auto"/>
              <w:right w:val="nil"/>
            </w:tcBorders>
            <w:shd w:val="clear" w:color="auto" w:fill="auto"/>
            <w:noWrap/>
            <w:vAlign w:val="center"/>
            <w:hideMark/>
          </w:tcPr>
          <w:p w14:paraId="3DC9A985" w14:textId="77777777" w:rsidR="00247CBF" w:rsidRPr="00092ED7" w:rsidRDefault="00247CBF" w:rsidP="00247CBF">
            <w:pPr>
              <w:spacing w:after="0"/>
              <w:jc w:val="right"/>
              <w:rPr>
                <w:b/>
                <w:bCs/>
                <w:sz w:val="20"/>
                <w:szCs w:val="20"/>
                <w:lang w:val="sr-Cyrl-CS"/>
              </w:rPr>
            </w:pPr>
            <w:r w:rsidRPr="00092ED7">
              <w:rPr>
                <w:b/>
                <w:bCs/>
                <w:sz w:val="20"/>
                <w:szCs w:val="20"/>
                <w:lang w:val="sr-Cyrl-CS"/>
              </w:rPr>
              <w:t>2020</w:t>
            </w:r>
          </w:p>
        </w:tc>
        <w:tc>
          <w:tcPr>
            <w:tcW w:w="1300" w:type="dxa"/>
            <w:gridSpan w:val="4"/>
            <w:tcBorders>
              <w:top w:val="single" w:sz="8" w:space="0" w:color="auto"/>
              <w:left w:val="nil"/>
              <w:bottom w:val="single" w:sz="8" w:space="0" w:color="auto"/>
              <w:right w:val="nil"/>
            </w:tcBorders>
            <w:shd w:val="clear" w:color="auto" w:fill="auto"/>
            <w:noWrap/>
            <w:vAlign w:val="center"/>
            <w:hideMark/>
          </w:tcPr>
          <w:p w14:paraId="7C791E64" w14:textId="77777777" w:rsidR="00247CBF" w:rsidRPr="00092ED7" w:rsidRDefault="00247CBF" w:rsidP="00247CBF">
            <w:pPr>
              <w:spacing w:after="0"/>
              <w:jc w:val="right"/>
              <w:rPr>
                <w:b/>
                <w:bCs/>
                <w:sz w:val="20"/>
                <w:szCs w:val="20"/>
                <w:lang w:val="sr-Cyrl-CS"/>
              </w:rPr>
            </w:pPr>
            <w:r w:rsidRPr="00092ED7">
              <w:rPr>
                <w:b/>
                <w:bCs/>
                <w:sz w:val="20"/>
                <w:szCs w:val="20"/>
                <w:lang w:val="sr-Cyrl-CS"/>
              </w:rPr>
              <w:t>2021</w:t>
            </w:r>
          </w:p>
        </w:tc>
        <w:tc>
          <w:tcPr>
            <w:tcW w:w="1360" w:type="dxa"/>
            <w:gridSpan w:val="4"/>
            <w:tcBorders>
              <w:top w:val="single" w:sz="8" w:space="0" w:color="auto"/>
              <w:left w:val="nil"/>
              <w:bottom w:val="single" w:sz="8" w:space="0" w:color="auto"/>
              <w:right w:val="nil"/>
            </w:tcBorders>
            <w:shd w:val="clear" w:color="auto" w:fill="auto"/>
            <w:noWrap/>
            <w:vAlign w:val="center"/>
            <w:hideMark/>
          </w:tcPr>
          <w:p w14:paraId="4D8FE2AE" w14:textId="77777777" w:rsidR="00247CBF" w:rsidRPr="00092ED7" w:rsidRDefault="00247CBF" w:rsidP="00247CBF">
            <w:pPr>
              <w:spacing w:after="0"/>
              <w:jc w:val="right"/>
              <w:rPr>
                <w:b/>
                <w:bCs/>
                <w:sz w:val="20"/>
                <w:szCs w:val="20"/>
                <w:lang w:val="sr-Cyrl-CS"/>
              </w:rPr>
            </w:pPr>
            <w:r w:rsidRPr="00092ED7">
              <w:rPr>
                <w:b/>
                <w:bCs/>
                <w:sz w:val="20"/>
                <w:szCs w:val="20"/>
                <w:lang w:val="sr-Cyrl-CS"/>
              </w:rPr>
              <w:t>2022</w:t>
            </w:r>
          </w:p>
        </w:tc>
        <w:tc>
          <w:tcPr>
            <w:tcW w:w="1260" w:type="dxa"/>
            <w:gridSpan w:val="4"/>
            <w:tcBorders>
              <w:top w:val="single" w:sz="8" w:space="0" w:color="auto"/>
              <w:left w:val="nil"/>
              <w:bottom w:val="single" w:sz="8" w:space="0" w:color="auto"/>
              <w:right w:val="nil"/>
            </w:tcBorders>
            <w:shd w:val="clear" w:color="auto" w:fill="auto"/>
            <w:noWrap/>
            <w:vAlign w:val="center"/>
            <w:hideMark/>
          </w:tcPr>
          <w:p w14:paraId="23F80CE5" w14:textId="77777777" w:rsidR="00247CBF" w:rsidRPr="00092ED7" w:rsidRDefault="00247CBF" w:rsidP="00247CBF">
            <w:pPr>
              <w:spacing w:after="0"/>
              <w:jc w:val="right"/>
              <w:rPr>
                <w:b/>
                <w:bCs/>
                <w:sz w:val="20"/>
                <w:szCs w:val="20"/>
                <w:lang w:val="sr-Cyrl-CS"/>
              </w:rPr>
            </w:pPr>
            <w:r w:rsidRPr="00092ED7">
              <w:rPr>
                <w:b/>
                <w:bCs/>
                <w:sz w:val="20"/>
                <w:szCs w:val="20"/>
                <w:lang w:val="sr-Cyrl-CS"/>
              </w:rPr>
              <w:t>2023</w:t>
            </w:r>
          </w:p>
        </w:tc>
        <w:tc>
          <w:tcPr>
            <w:tcW w:w="1260" w:type="dxa"/>
            <w:gridSpan w:val="3"/>
            <w:tcBorders>
              <w:top w:val="single" w:sz="8" w:space="0" w:color="auto"/>
              <w:left w:val="nil"/>
              <w:bottom w:val="single" w:sz="8" w:space="0" w:color="auto"/>
              <w:right w:val="nil"/>
            </w:tcBorders>
            <w:shd w:val="clear" w:color="auto" w:fill="auto"/>
            <w:noWrap/>
            <w:vAlign w:val="center"/>
            <w:hideMark/>
          </w:tcPr>
          <w:p w14:paraId="7E13854E" w14:textId="77777777" w:rsidR="00247CBF" w:rsidRPr="00092ED7" w:rsidRDefault="00247CBF" w:rsidP="00247CBF">
            <w:pPr>
              <w:spacing w:after="0"/>
              <w:jc w:val="right"/>
              <w:rPr>
                <w:b/>
                <w:bCs/>
                <w:sz w:val="20"/>
                <w:szCs w:val="20"/>
                <w:lang w:val="sr-Cyrl-CS"/>
              </w:rPr>
            </w:pPr>
            <w:r w:rsidRPr="00092ED7">
              <w:rPr>
                <w:b/>
                <w:bCs/>
                <w:sz w:val="20"/>
                <w:szCs w:val="20"/>
                <w:lang w:val="sr-Cyrl-CS"/>
              </w:rPr>
              <w:t>2024</w:t>
            </w:r>
          </w:p>
        </w:tc>
        <w:tc>
          <w:tcPr>
            <w:tcW w:w="1268" w:type="dxa"/>
            <w:gridSpan w:val="3"/>
            <w:tcBorders>
              <w:top w:val="single" w:sz="8" w:space="0" w:color="auto"/>
              <w:left w:val="nil"/>
              <w:bottom w:val="single" w:sz="8" w:space="0" w:color="auto"/>
              <w:right w:val="double" w:sz="4" w:space="0" w:color="auto"/>
            </w:tcBorders>
            <w:shd w:val="clear" w:color="auto" w:fill="auto"/>
            <w:noWrap/>
            <w:vAlign w:val="center"/>
            <w:hideMark/>
          </w:tcPr>
          <w:p w14:paraId="4DEDF28D" w14:textId="77777777" w:rsidR="00247CBF" w:rsidRPr="00092ED7" w:rsidRDefault="00247CBF" w:rsidP="00247CBF">
            <w:pPr>
              <w:spacing w:after="0"/>
              <w:jc w:val="right"/>
              <w:rPr>
                <w:b/>
                <w:bCs/>
                <w:sz w:val="20"/>
                <w:szCs w:val="20"/>
                <w:lang w:val="sr-Cyrl-CS"/>
              </w:rPr>
            </w:pPr>
            <w:r w:rsidRPr="00092ED7">
              <w:rPr>
                <w:b/>
                <w:bCs/>
                <w:sz w:val="20"/>
                <w:szCs w:val="20"/>
                <w:lang w:val="sr-Cyrl-CS"/>
              </w:rPr>
              <w:t>2025</w:t>
            </w:r>
          </w:p>
        </w:tc>
      </w:tr>
      <w:tr w:rsidR="00247CBF" w:rsidRPr="00092ED7" w14:paraId="2A07C19F" w14:textId="77777777" w:rsidTr="00247CBF">
        <w:trPr>
          <w:gridAfter w:val="3"/>
          <w:wAfter w:w="365" w:type="dxa"/>
          <w:trHeight w:val="255"/>
        </w:trPr>
        <w:tc>
          <w:tcPr>
            <w:tcW w:w="4962" w:type="dxa"/>
            <w:gridSpan w:val="3"/>
            <w:tcBorders>
              <w:top w:val="dashed" w:sz="4" w:space="0" w:color="auto"/>
              <w:left w:val="double" w:sz="6" w:space="0" w:color="auto"/>
              <w:bottom w:val="dashed" w:sz="4" w:space="0" w:color="auto"/>
              <w:right w:val="nil"/>
            </w:tcBorders>
            <w:shd w:val="clear" w:color="auto" w:fill="auto"/>
            <w:hideMark/>
          </w:tcPr>
          <w:p w14:paraId="6DCCC9F6" w14:textId="77777777" w:rsidR="00247CBF" w:rsidRPr="00092ED7" w:rsidRDefault="00247CBF" w:rsidP="00247CBF">
            <w:pPr>
              <w:spacing w:after="0"/>
              <w:jc w:val="left"/>
              <w:rPr>
                <w:sz w:val="20"/>
                <w:szCs w:val="20"/>
                <w:lang w:val="sr-Cyrl-CS"/>
              </w:rPr>
            </w:pPr>
            <w:r w:rsidRPr="00092ED7">
              <w:rPr>
                <w:sz w:val="20"/>
                <w:szCs w:val="20"/>
                <w:lang w:val="sr-Cyrl-CS"/>
              </w:rPr>
              <w:t>2. Извоз робе</w:t>
            </w:r>
          </w:p>
        </w:tc>
        <w:tc>
          <w:tcPr>
            <w:tcW w:w="1447" w:type="dxa"/>
            <w:gridSpan w:val="3"/>
            <w:tcBorders>
              <w:top w:val="dashed" w:sz="4" w:space="0" w:color="auto"/>
              <w:left w:val="single" w:sz="8" w:space="0" w:color="auto"/>
              <w:bottom w:val="dashed" w:sz="4" w:space="0" w:color="auto"/>
              <w:right w:val="single" w:sz="8" w:space="0" w:color="auto"/>
            </w:tcBorders>
            <w:shd w:val="clear" w:color="auto" w:fill="auto"/>
            <w:noWrap/>
            <w:vAlign w:val="center"/>
            <w:hideMark/>
          </w:tcPr>
          <w:p w14:paraId="646CD4A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dashed" w:sz="4" w:space="0" w:color="auto"/>
              <w:left w:val="nil"/>
              <w:bottom w:val="dashed" w:sz="4" w:space="0" w:color="auto"/>
              <w:right w:val="dashed" w:sz="4" w:space="0" w:color="auto"/>
            </w:tcBorders>
            <w:shd w:val="clear" w:color="auto" w:fill="auto"/>
            <w:noWrap/>
            <w:vAlign w:val="center"/>
            <w:hideMark/>
          </w:tcPr>
          <w:p w14:paraId="3E2624D7" w14:textId="77777777" w:rsidR="00247CBF" w:rsidRPr="00092ED7" w:rsidRDefault="00247CBF" w:rsidP="00247CBF">
            <w:pPr>
              <w:spacing w:after="0"/>
              <w:jc w:val="right"/>
              <w:rPr>
                <w:sz w:val="20"/>
                <w:szCs w:val="20"/>
                <w:lang w:val="sr-Cyrl-CS"/>
              </w:rPr>
            </w:pPr>
            <w:r w:rsidRPr="00092ED7">
              <w:rPr>
                <w:sz w:val="20"/>
                <w:szCs w:val="20"/>
                <w:lang w:val="sr-Cyrl-CS"/>
              </w:rPr>
              <w:t>16,1</w:t>
            </w:r>
          </w:p>
        </w:tc>
        <w:tc>
          <w:tcPr>
            <w:tcW w:w="1300" w:type="dxa"/>
            <w:gridSpan w:val="4"/>
            <w:tcBorders>
              <w:top w:val="dashed" w:sz="4" w:space="0" w:color="auto"/>
              <w:left w:val="nil"/>
              <w:bottom w:val="dashed" w:sz="4" w:space="0" w:color="auto"/>
              <w:right w:val="dashed" w:sz="4" w:space="0" w:color="auto"/>
            </w:tcBorders>
            <w:shd w:val="clear" w:color="auto" w:fill="auto"/>
            <w:noWrap/>
            <w:vAlign w:val="center"/>
            <w:hideMark/>
          </w:tcPr>
          <w:p w14:paraId="58602BB6" w14:textId="77777777" w:rsidR="00247CBF" w:rsidRPr="00092ED7" w:rsidRDefault="00247CBF" w:rsidP="00247CBF">
            <w:pPr>
              <w:spacing w:after="0"/>
              <w:jc w:val="right"/>
              <w:rPr>
                <w:sz w:val="20"/>
                <w:szCs w:val="20"/>
                <w:lang w:val="sr-Cyrl-CS"/>
              </w:rPr>
            </w:pPr>
            <w:r w:rsidRPr="00092ED7">
              <w:rPr>
                <w:sz w:val="20"/>
                <w:szCs w:val="20"/>
                <w:lang w:val="sr-Cyrl-CS"/>
              </w:rPr>
              <w:t>20,8</w:t>
            </w:r>
          </w:p>
        </w:tc>
        <w:tc>
          <w:tcPr>
            <w:tcW w:w="1360" w:type="dxa"/>
            <w:gridSpan w:val="4"/>
            <w:tcBorders>
              <w:top w:val="dashed" w:sz="4" w:space="0" w:color="auto"/>
              <w:left w:val="nil"/>
              <w:bottom w:val="dashed" w:sz="4" w:space="0" w:color="auto"/>
              <w:right w:val="dashed" w:sz="4" w:space="0" w:color="auto"/>
            </w:tcBorders>
            <w:shd w:val="clear" w:color="auto" w:fill="auto"/>
            <w:noWrap/>
            <w:vAlign w:val="center"/>
            <w:hideMark/>
          </w:tcPr>
          <w:p w14:paraId="7C79DCA0" w14:textId="77777777" w:rsidR="00247CBF" w:rsidRPr="00092ED7" w:rsidRDefault="00247CBF" w:rsidP="00247CBF">
            <w:pPr>
              <w:spacing w:after="0"/>
              <w:jc w:val="right"/>
              <w:rPr>
                <w:sz w:val="20"/>
                <w:szCs w:val="20"/>
                <w:lang w:val="sr-Cyrl-CS"/>
              </w:rPr>
            </w:pPr>
            <w:r w:rsidRPr="00092ED7">
              <w:rPr>
                <w:sz w:val="20"/>
                <w:szCs w:val="20"/>
                <w:lang w:val="sr-Cyrl-CS"/>
              </w:rPr>
              <w:t>28,5</w:t>
            </w:r>
          </w:p>
        </w:tc>
        <w:tc>
          <w:tcPr>
            <w:tcW w:w="1260" w:type="dxa"/>
            <w:gridSpan w:val="4"/>
            <w:tcBorders>
              <w:top w:val="dashed" w:sz="4" w:space="0" w:color="auto"/>
              <w:left w:val="nil"/>
              <w:bottom w:val="dashed" w:sz="4" w:space="0" w:color="auto"/>
              <w:right w:val="dashed" w:sz="4" w:space="0" w:color="auto"/>
            </w:tcBorders>
            <w:shd w:val="clear" w:color="auto" w:fill="auto"/>
            <w:noWrap/>
            <w:vAlign w:val="center"/>
            <w:hideMark/>
          </w:tcPr>
          <w:p w14:paraId="6A11DB76" w14:textId="77777777" w:rsidR="00247CBF" w:rsidRPr="00092ED7" w:rsidRDefault="00247CBF" w:rsidP="00247CBF">
            <w:pPr>
              <w:spacing w:after="0"/>
              <w:jc w:val="right"/>
              <w:rPr>
                <w:sz w:val="20"/>
                <w:szCs w:val="20"/>
                <w:lang w:val="sr-Cyrl-CS"/>
              </w:rPr>
            </w:pPr>
            <w:r w:rsidRPr="00092ED7">
              <w:rPr>
                <w:sz w:val="20"/>
                <w:szCs w:val="20"/>
                <w:lang w:val="sr-Cyrl-CS"/>
              </w:rPr>
              <w:t>33,0</w:t>
            </w:r>
          </w:p>
        </w:tc>
        <w:tc>
          <w:tcPr>
            <w:tcW w:w="1260" w:type="dxa"/>
            <w:gridSpan w:val="3"/>
            <w:tcBorders>
              <w:top w:val="dashed" w:sz="4" w:space="0" w:color="auto"/>
              <w:left w:val="nil"/>
              <w:bottom w:val="dashed" w:sz="4" w:space="0" w:color="auto"/>
              <w:right w:val="dashed" w:sz="4" w:space="0" w:color="auto"/>
            </w:tcBorders>
            <w:shd w:val="clear" w:color="auto" w:fill="auto"/>
            <w:noWrap/>
            <w:vAlign w:val="center"/>
            <w:hideMark/>
          </w:tcPr>
          <w:p w14:paraId="4A1D2917" w14:textId="77777777" w:rsidR="00247CBF" w:rsidRPr="00092ED7" w:rsidRDefault="00247CBF" w:rsidP="00247CBF">
            <w:pPr>
              <w:spacing w:after="0"/>
              <w:jc w:val="right"/>
              <w:rPr>
                <w:sz w:val="20"/>
                <w:szCs w:val="20"/>
                <w:lang w:val="sr-Cyrl-CS"/>
              </w:rPr>
            </w:pPr>
            <w:r w:rsidRPr="00092ED7">
              <w:rPr>
                <w:sz w:val="20"/>
                <w:szCs w:val="20"/>
                <w:lang w:val="sr-Cyrl-CS"/>
              </w:rPr>
              <w:t>35,9</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5BBE2E6C" w14:textId="77777777" w:rsidR="00247CBF" w:rsidRPr="00092ED7" w:rsidRDefault="00247CBF" w:rsidP="00247CBF">
            <w:pPr>
              <w:spacing w:after="0"/>
              <w:jc w:val="right"/>
              <w:rPr>
                <w:sz w:val="20"/>
                <w:szCs w:val="20"/>
                <w:lang w:val="sr-Cyrl-CS"/>
              </w:rPr>
            </w:pPr>
            <w:r w:rsidRPr="00092ED7">
              <w:rPr>
                <w:sz w:val="20"/>
                <w:szCs w:val="20"/>
                <w:lang w:val="sr-Cyrl-CS"/>
              </w:rPr>
              <w:t>39,5</w:t>
            </w:r>
          </w:p>
        </w:tc>
      </w:tr>
      <w:tr w:rsidR="00247CBF" w:rsidRPr="00092ED7" w14:paraId="4F9C111E"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069BC92E" w14:textId="77777777" w:rsidR="00247CBF" w:rsidRPr="00092ED7" w:rsidRDefault="00247CBF" w:rsidP="00247CBF">
            <w:pPr>
              <w:spacing w:after="0"/>
              <w:rPr>
                <w:sz w:val="20"/>
                <w:szCs w:val="20"/>
                <w:lang w:val="sr-Cyrl-CS"/>
              </w:rPr>
            </w:pPr>
            <w:r w:rsidRPr="00092ED7">
              <w:rPr>
                <w:sz w:val="20"/>
                <w:szCs w:val="20"/>
                <w:lang w:val="sr-Cyrl-CS"/>
              </w:rPr>
              <w:t>3. Увоз робе</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2181AA1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066675DE" w14:textId="77777777" w:rsidR="00247CBF" w:rsidRPr="00092ED7" w:rsidRDefault="00247CBF" w:rsidP="00247CBF">
            <w:pPr>
              <w:spacing w:after="0"/>
              <w:jc w:val="right"/>
              <w:rPr>
                <w:sz w:val="20"/>
                <w:szCs w:val="20"/>
                <w:lang w:val="sr-Cyrl-CS"/>
              </w:rPr>
            </w:pPr>
            <w:r w:rsidRPr="00092ED7">
              <w:rPr>
                <w:sz w:val="20"/>
                <w:szCs w:val="20"/>
                <w:lang w:val="sr-Cyrl-CS"/>
              </w:rPr>
              <w:t>21,3</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3C48CC2" w14:textId="77777777" w:rsidR="00247CBF" w:rsidRPr="00092ED7" w:rsidRDefault="00247CBF" w:rsidP="00247CBF">
            <w:pPr>
              <w:spacing w:after="0"/>
              <w:jc w:val="right"/>
              <w:rPr>
                <w:sz w:val="20"/>
                <w:szCs w:val="20"/>
                <w:lang w:val="sr-Cyrl-CS"/>
              </w:rPr>
            </w:pPr>
            <w:r w:rsidRPr="00092ED7">
              <w:rPr>
                <w:sz w:val="20"/>
                <w:szCs w:val="20"/>
                <w:lang w:val="sr-Cyrl-CS"/>
              </w:rPr>
              <w:t>26,7</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4658B06A" w14:textId="77777777" w:rsidR="00247CBF" w:rsidRPr="00092ED7" w:rsidRDefault="00247CBF" w:rsidP="00247CBF">
            <w:pPr>
              <w:spacing w:after="0"/>
              <w:jc w:val="right"/>
              <w:rPr>
                <w:sz w:val="20"/>
                <w:szCs w:val="20"/>
                <w:lang w:val="sr-Cyrl-CS"/>
              </w:rPr>
            </w:pPr>
            <w:r w:rsidRPr="00092ED7">
              <w:rPr>
                <w:sz w:val="20"/>
                <w:szCs w:val="20"/>
                <w:lang w:val="sr-Cyrl-CS"/>
              </w:rPr>
              <w:t>37,4</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5374A65A" w14:textId="77777777" w:rsidR="00247CBF" w:rsidRPr="00092ED7" w:rsidRDefault="00247CBF" w:rsidP="00247CBF">
            <w:pPr>
              <w:spacing w:after="0"/>
              <w:jc w:val="right"/>
              <w:rPr>
                <w:sz w:val="20"/>
                <w:szCs w:val="20"/>
                <w:lang w:val="sr-Cyrl-CS"/>
              </w:rPr>
            </w:pPr>
            <w:r w:rsidRPr="00092ED7">
              <w:rPr>
                <w:sz w:val="20"/>
                <w:szCs w:val="20"/>
                <w:lang w:val="sr-Cyrl-CS"/>
              </w:rPr>
              <w:t>41,9</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D1EAE5A" w14:textId="77777777" w:rsidR="00247CBF" w:rsidRPr="00092ED7" w:rsidRDefault="00247CBF" w:rsidP="00247CBF">
            <w:pPr>
              <w:spacing w:after="0"/>
              <w:jc w:val="right"/>
              <w:rPr>
                <w:sz w:val="20"/>
                <w:szCs w:val="20"/>
                <w:lang w:val="sr-Cyrl-CS"/>
              </w:rPr>
            </w:pPr>
            <w:r w:rsidRPr="00092ED7">
              <w:rPr>
                <w:sz w:val="20"/>
                <w:szCs w:val="20"/>
                <w:lang w:val="sr-Cyrl-CS"/>
              </w:rPr>
              <w:t>44,4</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D137C80" w14:textId="77777777" w:rsidR="00247CBF" w:rsidRPr="00092ED7" w:rsidRDefault="00247CBF" w:rsidP="00247CBF">
            <w:pPr>
              <w:spacing w:after="0"/>
              <w:jc w:val="right"/>
              <w:rPr>
                <w:sz w:val="20"/>
                <w:szCs w:val="20"/>
                <w:lang w:val="sr-Cyrl-CS"/>
              </w:rPr>
            </w:pPr>
            <w:r w:rsidRPr="00092ED7">
              <w:rPr>
                <w:sz w:val="20"/>
                <w:szCs w:val="20"/>
                <w:lang w:val="sr-Cyrl-CS"/>
              </w:rPr>
              <w:t>48,4</w:t>
            </w:r>
          </w:p>
        </w:tc>
      </w:tr>
      <w:tr w:rsidR="00247CBF" w:rsidRPr="00092ED7" w14:paraId="6A263F82"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314984D7" w14:textId="77777777" w:rsidR="00247CBF" w:rsidRPr="00092ED7" w:rsidRDefault="00247CBF" w:rsidP="00247CBF">
            <w:pPr>
              <w:spacing w:after="0"/>
              <w:rPr>
                <w:sz w:val="20"/>
                <w:szCs w:val="20"/>
                <w:lang w:val="sr-Cyrl-CS"/>
              </w:rPr>
            </w:pPr>
            <w:r w:rsidRPr="00092ED7">
              <w:rPr>
                <w:sz w:val="20"/>
                <w:szCs w:val="20"/>
                <w:lang w:val="sr-Cyrl-CS"/>
              </w:rPr>
              <w:t>4. Спољнотрговински биланс</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6C79F6E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E012095" w14:textId="77777777" w:rsidR="00247CBF" w:rsidRPr="00092ED7" w:rsidRDefault="00247CBF" w:rsidP="00247CBF">
            <w:pPr>
              <w:spacing w:after="0"/>
              <w:jc w:val="right"/>
              <w:rPr>
                <w:sz w:val="20"/>
                <w:szCs w:val="20"/>
                <w:lang w:val="sr-Cyrl-CS"/>
              </w:rPr>
            </w:pPr>
            <w:r w:rsidRPr="00092ED7">
              <w:rPr>
                <w:sz w:val="20"/>
                <w:szCs w:val="20"/>
                <w:lang w:val="sr-Cyrl-CS"/>
              </w:rPr>
              <w:t>-5,2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C4BBDEF" w14:textId="77777777" w:rsidR="00247CBF" w:rsidRPr="00092ED7" w:rsidRDefault="00247CBF" w:rsidP="00247CBF">
            <w:pPr>
              <w:spacing w:after="0"/>
              <w:jc w:val="right"/>
              <w:rPr>
                <w:sz w:val="20"/>
                <w:szCs w:val="20"/>
                <w:lang w:val="sr-Cyrl-CS"/>
              </w:rPr>
            </w:pPr>
            <w:r w:rsidRPr="00092ED7">
              <w:rPr>
                <w:sz w:val="20"/>
                <w:szCs w:val="20"/>
                <w:lang w:val="sr-Cyrl-CS"/>
              </w:rPr>
              <w:t>-5,9</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0C25070" w14:textId="77777777" w:rsidR="00247CBF" w:rsidRPr="00092ED7" w:rsidRDefault="00247CBF" w:rsidP="00247CBF">
            <w:pPr>
              <w:spacing w:after="0"/>
              <w:jc w:val="right"/>
              <w:rPr>
                <w:sz w:val="20"/>
                <w:szCs w:val="20"/>
                <w:lang w:val="sr-Cyrl-CS"/>
              </w:rPr>
            </w:pPr>
            <w:r w:rsidRPr="00092ED7">
              <w:rPr>
                <w:sz w:val="20"/>
                <w:szCs w:val="20"/>
                <w:lang w:val="sr-Cyrl-CS"/>
              </w:rPr>
              <w:t>-8,9</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994D7FD" w14:textId="77777777" w:rsidR="00247CBF" w:rsidRPr="00092ED7" w:rsidRDefault="00247CBF" w:rsidP="00247CBF">
            <w:pPr>
              <w:spacing w:after="0"/>
              <w:jc w:val="right"/>
              <w:rPr>
                <w:sz w:val="20"/>
                <w:szCs w:val="20"/>
                <w:lang w:val="sr-Cyrl-CS"/>
              </w:rPr>
            </w:pPr>
            <w:r w:rsidRPr="00092ED7">
              <w:rPr>
                <w:sz w:val="20"/>
                <w:szCs w:val="20"/>
                <w:lang w:val="sr-Cyrl-CS"/>
              </w:rPr>
              <w:t>-8,9</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E2EF621" w14:textId="77777777" w:rsidR="00247CBF" w:rsidRPr="00092ED7" w:rsidRDefault="00247CBF" w:rsidP="00247CBF">
            <w:pPr>
              <w:spacing w:after="0"/>
              <w:jc w:val="right"/>
              <w:rPr>
                <w:sz w:val="20"/>
                <w:szCs w:val="20"/>
                <w:lang w:val="sr-Cyrl-CS"/>
              </w:rPr>
            </w:pPr>
            <w:r w:rsidRPr="00092ED7">
              <w:rPr>
                <w:sz w:val="20"/>
                <w:szCs w:val="20"/>
                <w:lang w:val="sr-Cyrl-CS"/>
              </w:rPr>
              <w:t>-8,5</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3AA51513" w14:textId="77777777" w:rsidR="00247CBF" w:rsidRPr="00092ED7" w:rsidRDefault="00247CBF" w:rsidP="00247CBF">
            <w:pPr>
              <w:spacing w:after="0"/>
              <w:jc w:val="right"/>
              <w:rPr>
                <w:sz w:val="20"/>
                <w:szCs w:val="20"/>
                <w:lang w:val="sr-Cyrl-CS"/>
              </w:rPr>
            </w:pPr>
            <w:r w:rsidRPr="00092ED7">
              <w:rPr>
                <w:sz w:val="20"/>
                <w:szCs w:val="20"/>
                <w:lang w:val="sr-Cyrl-CS"/>
              </w:rPr>
              <w:t>-8,9</w:t>
            </w:r>
          </w:p>
        </w:tc>
      </w:tr>
      <w:tr w:rsidR="00247CBF" w:rsidRPr="00092ED7" w14:paraId="28666017"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585F549D" w14:textId="77777777" w:rsidR="00247CBF" w:rsidRPr="00092ED7" w:rsidRDefault="00247CBF" w:rsidP="00247CBF">
            <w:pPr>
              <w:spacing w:after="0"/>
              <w:rPr>
                <w:sz w:val="20"/>
                <w:szCs w:val="20"/>
                <w:lang w:val="sr-Cyrl-CS"/>
              </w:rPr>
            </w:pPr>
            <w:r w:rsidRPr="00092ED7">
              <w:rPr>
                <w:sz w:val="20"/>
                <w:szCs w:val="20"/>
                <w:lang w:val="sr-Cyrl-CS"/>
              </w:rPr>
              <w:t>5. Извоз услуга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5C3DE49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D76B790" w14:textId="77777777" w:rsidR="00247CBF" w:rsidRPr="00092ED7" w:rsidRDefault="00247CBF" w:rsidP="00247CBF">
            <w:pPr>
              <w:spacing w:after="0"/>
              <w:jc w:val="right"/>
              <w:rPr>
                <w:sz w:val="20"/>
                <w:szCs w:val="20"/>
                <w:lang w:val="sr-Cyrl-CS"/>
              </w:rPr>
            </w:pPr>
            <w:r w:rsidRPr="00092ED7">
              <w:rPr>
                <w:sz w:val="20"/>
                <w:szCs w:val="20"/>
                <w:lang w:val="sr-Cyrl-CS"/>
              </w:rPr>
              <w:t>6,2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E6CF92F" w14:textId="77777777" w:rsidR="00247CBF" w:rsidRPr="00092ED7" w:rsidRDefault="00247CBF" w:rsidP="00247CBF">
            <w:pPr>
              <w:spacing w:after="0"/>
              <w:jc w:val="right"/>
              <w:rPr>
                <w:sz w:val="20"/>
                <w:szCs w:val="20"/>
                <w:lang w:val="sr-Cyrl-CS"/>
              </w:rPr>
            </w:pPr>
            <w:r w:rsidRPr="00092ED7">
              <w:rPr>
                <w:sz w:val="20"/>
                <w:szCs w:val="20"/>
                <w:lang w:val="sr-Cyrl-CS"/>
              </w:rPr>
              <w:t>7,8</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15A0732B" w14:textId="77777777" w:rsidR="00247CBF" w:rsidRPr="00092ED7" w:rsidRDefault="00247CBF" w:rsidP="00247CBF">
            <w:pPr>
              <w:spacing w:after="0"/>
              <w:jc w:val="right"/>
              <w:rPr>
                <w:sz w:val="20"/>
                <w:szCs w:val="20"/>
                <w:lang w:val="sr-Cyrl-CS"/>
              </w:rPr>
            </w:pPr>
            <w:r w:rsidRPr="00092ED7">
              <w:rPr>
                <w:sz w:val="20"/>
                <w:szCs w:val="20"/>
                <w:lang w:val="sr-Cyrl-CS"/>
              </w:rPr>
              <w:t>10,8</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476EEC19" w14:textId="77777777" w:rsidR="00247CBF" w:rsidRPr="00092ED7" w:rsidRDefault="00247CBF" w:rsidP="00247CBF">
            <w:pPr>
              <w:spacing w:after="0"/>
              <w:jc w:val="right"/>
              <w:rPr>
                <w:sz w:val="20"/>
                <w:szCs w:val="20"/>
                <w:lang w:val="sr-Cyrl-CS"/>
              </w:rPr>
            </w:pPr>
            <w:r w:rsidRPr="00092ED7">
              <w:rPr>
                <w:sz w:val="20"/>
                <w:szCs w:val="20"/>
                <w:lang w:val="sr-Cyrl-CS"/>
              </w:rPr>
              <w:t>12,4</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5644CC2" w14:textId="77777777" w:rsidR="00247CBF" w:rsidRPr="00092ED7" w:rsidRDefault="00247CBF" w:rsidP="00247CBF">
            <w:pPr>
              <w:spacing w:after="0"/>
              <w:jc w:val="right"/>
              <w:rPr>
                <w:sz w:val="20"/>
                <w:szCs w:val="20"/>
                <w:lang w:val="sr-Cyrl-CS"/>
              </w:rPr>
            </w:pPr>
            <w:r w:rsidRPr="00092ED7">
              <w:rPr>
                <w:sz w:val="20"/>
                <w:szCs w:val="20"/>
                <w:lang w:val="sr-Cyrl-CS"/>
              </w:rPr>
              <w:t>13,4</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3E16180" w14:textId="77777777" w:rsidR="00247CBF" w:rsidRPr="00092ED7" w:rsidRDefault="00247CBF" w:rsidP="00247CBF">
            <w:pPr>
              <w:spacing w:after="0"/>
              <w:jc w:val="right"/>
              <w:rPr>
                <w:sz w:val="20"/>
                <w:szCs w:val="20"/>
                <w:lang w:val="sr-Cyrl-CS"/>
              </w:rPr>
            </w:pPr>
            <w:r w:rsidRPr="00092ED7">
              <w:rPr>
                <w:sz w:val="20"/>
                <w:szCs w:val="20"/>
                <w:lang w:val="sr-Cyrl-CS"/>
              </w:rPr>
              <w:t>14,7</w:t>
            </w:r>
          </w:p>
        </w:tc>
      </w:tr>
      <w:tr w:rsidR="00247CBF" w:rsidRPr="00092ED7" w14:paraId="7730CE63"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7A811E1B" w14:textId="77777777" w:rsidR="00247CBF" w:rsidRPr="00092ED7" w:rsidRDefault="00247CBF" w:rsidP="00247CBF">
            <w:pPr>
              <w:spacing w:after="0"/>
              <w:rPr>
                <w:sz w:val="20"/>
                <w:szCs w:val="20"/>
                <w:lang w:val="sr-Cyrl-CS"/>
              </w:rPr>
            </w:pPr>
            <w:r w:rsidRPr="00092ED7">
              <w:rPr>
                <w:sz w:val="20"/>
                <w:szCs w:val="20"/>
                <w:lang w:val="sr-Cyrl-CS"/>
              </w:rPr>
              <w:t>6. Увоз услуга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66CE42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A7966D6" w14:textId="77777777" w:rsidR="00247CBF" w:rsidRPr="00092ED7" w:rsidRDefault="00247CBF" w:rsidP="00247CBF">
            <w:pPr>
              <w:spacing w:after="0"/>
              <w:jc w:val="right"/>
              <w:rPr>
                <w:sz w:val="20"/>
                <w:szCs w:val="20"/>
                <w:lang w:val="sr-Cyrl-CS"/>
              </w:rPr>
            </w:pPr>
            <w:r w:rsidRPr="00092ED7">
              <w:rPr>
                <w:sz w:val="20"/>
                <w:szCs w:val="20"/>
                <w:lang w:val="sr-Cyrl-CS"/>
              </w:rPr>
              <w:t>5,1</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7E6B0232" w14:textId="77777777" w:rsidR="00247CBF" w:rsidRPr="00092ED7" w:rsidRDefault="00247CBF" w:rsidP="00247CBF">
            <w:pPr>
              <w:spacing w:after="0"/>
              <w:jc w:val="right"/>
              <w:rPr>
                <w:sz w:val="20"/>
                <w:szCs w:val="20"/>
                <w:lang w:val="sr-Cyrl-CS"/>
              </w:rPr>
            </w:pPr>
            <w:r w:rsidRPr="00092ED7">
              <w:rPr>
                <w:sz w:val="20"/>
                <w:szCs w:val="20"/>
                <w:lang w:val="sr-Cyrl-CS"/>
              </w:rPr>
              <w:t>6,4</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6A402BED" w14:textId="77777777" w:rsidR="00247CBF" w:rsidRPr="00092ED7" w:rsidRDefault="00247CBF" w:rsidP="00247CBF">
            <w:pPr>
              <w:spacing w:after="0"/>
              <w:jc w:val="right"/>
              <w:rPr>
                <w:sz w:val="20"/>
                <w:szCs w:val="20"/>
                <w:lang w:val="sr-Cyrl-CS"/>
              </w:rPr>
            </w:pPr>
            <w:r w:rsidRPr="00092ED7">
              <w:rPr>
                <w:sz w:val="20"/>
                <w:szCs w:val="20"/>
                <w:lang w:val="sr-Cyrl-CS"/>
              </w:rPr>
              <w:t>9,2</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3AE2155D" w14:textId="77777777" w:rsidR="00247CBF" w:rsidRPr="00092ED7" w:rsidRDefault="00247CBF" w:rsidP="00247CBF">
            <w:pPr>
              <w:spacing w:after="0"/>
              <w:jc w:val="right"/>
              <w:rPr>
                <w:sz w:val="20"/>
                <w:szCs w:val="20"/>
                <w:lang w:val="sr-Cyrl-CS"/>
              </w:rPr>
            </w:pPr>
            <w:r w:rsidRPr="00092ED7">
              <w:rPr>
                <w:sz w:val="20"/>
                <w:szCs w:val="20"/>
                <w:lang w:val="sr-Cyrl-CS"/>
              </w:rPr>
              <w:t>11,0</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E5A6AB4" w14:textId="77777777" w:rsidR="00247CBF" w:rsidRPr="00092ED7" w:rsidRDefault="00247CBF" w:rsidP="00247CBF">
            <w:pPr>
              <w:spacing w:after="0"/>
              <w:jc w:val="right"/>
              <w:rPr>
                <w:sz w:val="20"/>
                <w:szCs w:val="20"/>
                <w:lang w:val="sr-Cyrl-CS"/>
              </w:rPr>
            </w:pPr>
            <w:r w:rsidRPr="00092ED7">
              <w:rPr>
                <w:sz w:val="20"/>
                <w:szCs w:val="20"/>
                <w:lang w:val="sr-Cyrl-CS"/>
              </w:rPr>
              <w:t>11,8</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3DBC2DAB" w14:textId="77777777" w:rsidR="00247CBF" w:rsidRPr="00092ED7" w:rsidRDefault="00247CBF" w:rsidP="00247CBF">
            <w:pPr>
              <w:spacing w:after="0"/>
              <w:jc w:val="right"/>
              <w:rPr>
                <w:sz w:val="20"/>
                <w:szCs w:val="20"/>
                <w:lang w:val="sr-Cyrl-CS"/>
              </w:rPr>
            </w:pPr>
            <w:r w:rsidRPr="00092ED7">
              <w:rPr>
                <w:sz w:val="20"/>
                <w:szCs w:val="20"/>
                <w:lang w:val="sr-Cyrl-CS"/>
              </w:rPr>
              <w:t>13,0</w:t>
            </w:r>
          </w:p>
        </w:tc>
      </w:tr>
      <w:tr w:rsidR="00247CBF" w:rsidRPr="00092ED7" w14:paraId="339A3216"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266AA0EE" w14:textId="77777777" w:rsidR="00247CBF" w:rsidRPr="00092ED7" w:rsidRDefault="00247CBF" w:rsidP="00247CBF">
            <w:pPr>
              <w:spacing w:after="0"/>
              <w:rPr>
                <w:sz w:val="20"/>
                <w:szCs w:val="20"/>
                <w:lang w:val="sr-Cyrl-CS"/>
              </w:rPr>
            </w:pPr>
            <w:r w:rsidRPr="00092ED7">
              <w:rPr>
                <w:sz w:val="20"/>
                <w:szCs w:val="20"/>
                <w:lang w:val="sr-Cyrl-CS"/>
              </w:rPr>
              <w:t>7. Биланс услуга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63AC92C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dashed" w:sz="4" w:space="0" w:color="auto"/>
              <w:bottom w:val="dashed" w:sz="4" w:space="0" w:color="auto"/>
              <w:right w:val="dashed" w:sz="4" w:space="0" w:color="auto"/>
            </w:tcBorders>
            <w:shd w:val="clear" w:color="auto" w:fill="auto"/>
            <w:noWrap/>
            <w:vAlign w:val="center"/>
            <w:hideMark/>
          </w:tcPr>
          <w:p w14:paraId="6E874DE7" w14:textId="77777777" w:rsidR="00247CBF" w:rsidRPr="00092ED7" w:rsidRDefault="00247CBF" w:rsidP="00247CBF">
            <w:pPr>
              <w:spacing w:after="0"/>
              <w:jc w:val="right"/>
              <w:rPr>
                <w:sz w:val="20"/>
                <w:szCs w:val="20"/>
                <w:lang w:val="sr-Cyrl-CS"/>
              </w:rPr>
            </w:pPr>
            <w:r w:rsidRPr="00092ED7">
              <w:rPr>
                <w:sz w:val="20"/>
                <w:szCs w:val="20"/>
                <w:lang w:val="sr-Cyrl-CS"/>
              </w:rPr>
              <w:t>1,1</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7C49BEA" w14:textId="77777777" w:rsidR="00247CBF" w:rsidRPr="00092ED7" w:rsidRDefault="00247CBF" w:rsidP="00247CBF">
            <w:pPr>
              <w:spacing w:after="0"/>
              <w:jc w:val="right"/>
              <w:rPr>
                <w:sz w:val="20"/>
                <w:szCs w:val="20"/>
                <w:lang w:val="sr-Cyrl-CS"/>
              </w:rPr>
            </w:pPr>
            <w:r w:rsidRPr="00092ED7">
              <w:rPr>
                <w:sz w:val="20"/>
                <w:szCs w:val="20"/>
                <w:lang w:val="sr-Cyrl-CS"/>
              </w:rPr>
              <w:t>1,4</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C9E49BC" w14:textId="77777777" w:rsidR="00247CBF" w:rsidRPr="00092ED7" w:rsidRDefault="00247CBF" w:rsidP="00247CBF">
            <w:pPr>
              <w:spacing w:after="0"/>
              <w:jc w:val="right"/>
              <w:rPr>
                <w:sz w:val="20"/>
                <w:szCs w:val="20"/>
                <w:lang w:val="sr-Cyrl-CS"/>
              </w:rPr>
            </w:pPr>
            <w:r w:rsidRPr="00092ED7">
              <w:rPr>
                <w:sz w:val="20"/>
                <w:szCs w:val="20"/>
                <w:lang w:val="sr-Cyrl-CS"/>
              </w:rPr>
              <w:t>1,6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4F7F7016" w14:textId="77777777" w:rsidR="00247CBF" w:rsidRPr="00092ED7" w:rsidRDefault="00247CBF" w:rsidP="00247CBF">
            <w:pPr>
              <w:spacing w:after="0"/>
              <w:jc w:val="right"/>
              <w:rPr>
                <w:sz w:val="20"/>
                <w:szCs w:val="20"/>
                <w:lang w:val="sr-Cyrl-CS"/>
              </w:rPr>
            </w:pPr>
            <w:r w:rsidRPr="00092ED7">
              <w:rPr>
                <w:sz w:val="20"/>
                <w:szCs w:val="20"/>
                <w:lang w:val="sr-Cyrl-CS"/>
              </w:rPr>
              <w:t>1,4</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66FBDE12" w14:textId="77777777" w:rsidR="00247CBF" w:rsidRPr="00092ED7" w:rsidRDefault="00247CBF" w:rsidP="00247CBF">
            <w:pPr>
              <w:spacing w:after="0"/>
              <w:jc w:val="right"/>
              <w:rPr>
                <w:sz w:val="20"/>
                <w:szCs w:val="20"/>
                <w:lang w:val="sr-Cyrl-CS"/>
              </w:rPr>
            </w:pPr>
            <w:r w:rsidRPr="00092ED7">
              <w:rPr>
                <w:sz w:val="20"/>
                <w:szCs w:val="20"/>
                <w:lang w:val="sr-Cyrl-CS"/>
              </w:rPr>
              <w:t>1,6</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67834FD3" w14:textId="77777777" w:rsidR="00247CBF" w:rsidRPr="00092ED7" w:rsidRDefault="00247CBF" w:rsidP="00247CBF">
            <w:pPr>
              <w:spacing w:after="0"/>
              <w:jc w:val="right"/>
              <w:rPr>
                <w:sz w:val="20"/>
                <w:szCs w:val="20"/>
                <w:lang w:val="sr-Cyrl-CS"/>
              </w:rPr>
            </w:pPr>
            <w:r w:rsidRPr="00092ED7">
              <w:rPr>
                <w:sz w:val="20"/>
                <w:szCs w:val="20"/>
                <w:lang w:val="sr-Cyrl-CS"/>
              </w:rPr>
              <w:t>1,7</w:t>
            </w:r>
          </w:p>
        </w:tc>
      </w:tr>
      <w:tr w:rsidR="00247CBF" w:rsidRPr="00092ED7" w14:paraId="48B0AB09"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3D804711" w14:textId="77777777" w:rsidR="00247CBF" w:rsidRPr="00092ED7" w:rsidRDefault="00247CBF" w:rsidP="00247CBF">
            <w:pPr>
              <w:spacing w:after="0"/>
              <w:rPr>
                <w:sz w:val="20"/>
                <w:szCs w:val="20"/>
                <w:lang w:val="sr-Cyrl-CS"/>
              </w:rPr>
            </w:pPr>
            <w:r w:rsidRPr="00092ED7">
              <w:rPr>
                <w:sz w:val="20"/>
                <w:szCs w:val="20"/>
                <w:lang w:val="sr-Cyrl-CS"/>
              </w:rPr>
              <w:t>8. Нето примљене камате из иностранства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7D331F2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D4016E8" w14:textId="77777777" w:rsidR="00247CBF" w:rsidRPr="00092ED7" w:rsidRDefault="00247CBF" w:rsidP="00247CBF">
            <w:pPr>
              <w:spacing w:after="0"/>
              <w:jc w:val="right"/>
              <w:rPr>
                <w:sz w:val="20"/>
                <w:szCs w:val="20"/>
                <w:lang w:val="sr-Cyrl-CS"/>
              </w:rPr>
            </w:pPr>
            <w:r w:rsidRPr="00092ED7">
              <w:rPr>
                <w:sz w:val="20"/>
                <w:szCs w:val="20"/>
                <w:lang w:val="sr-Cyrl-CS"/>
              </w:rPr>
              <w:t>-0,6</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0EBB8B0A" w14:textId="77777777" w:rsidR="00247CBF" w:rsidRPr="00092ED7" w:rsidRDefault="00247CBF" w:rsidP="00247CBF">
            <w:pPr>
              <w:spacing w:after="0"/>
              <w:jc w:val="right"/>
              <w:rPr>
                <w:sz w:val="20"/>
                <w:szCs w:val="20"/>
                <w:lang w:val="sr-Cyrl-CS"/>
              </w:rPr>
            </w:pPr>
            <w:r w:rsidRPr="00092ED7">
              <w:rPr>
                <w:sz w:val="20"/>
                <w:szCs w:val="20"/>
                <w:lang w:val="sr-Cyrl-CS"/>
              </w:rPr>
              <w:t>-0,6</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4BD1C06B" w14:textId="77777777" w:rsidR="00247CBF" w:rsidRPr="00092ED7" w:rsidRDefault="00247CBF" w:rsidP="00247CBF">
            <w:pPr>
              <w:spacing w:after="0"/>
              <w:jc w:val="right"/>
              <w:rPr>
                <w:sz w:val="20"/>
                <w:szCs w:val="20"/>
                <w:lang w:val="sr-Cyrl-CS"/>
              </w:rPr>
            </w:pPr>
            <w:r w:rsidRPr="00092ED7">
              <w:rPr>
                <w:sz w:val="20"/>
                <w:szCs w:val="20"/>
                <w:lang w:val="sr-Cyrl-CS"/>
              </w:rPr>
              <w:t>-0,6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48CFB524" w14:textId="77777777" w:rsidR="00247CBF" w:rsidRPr="00092ED7" w:rsidRDefault="00247CBF" w:rsidP="00247CBF">
            <w:pPr>
              <w:spacing w:after="0"/>
              <w:jc w:val="right"/>
              <w:rPr>
                <w:sz w:val="20"/>
                <w:szCs w:val="20"/>
                <w:lang w:val="sr-Cyrl-CS"/>
              </w:rPr>
            </w:pPr>
            <w:r w:rsidRPr="00092ED7">
              <w:rPr>
                <w:sz w:val="20"/>
                <w:szCs w:val="20"/>
                <w:lang w:val="sr-Cyrl-CS"/>
              </w:rPr>
              <w:t>-0,5</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636511F9" w14:textId="77777777" w:rsidR="00247CBF" w:rsidRPr="00092ED7" w:rsidRDefault="00247CBF" w:rsidP="00247CBF">
            <w:pPr>
              <w:spacing w:after="0"/>
              <w:jc w:val="right"/>
              <w:rPr>
                <w:sz w:val="20"/>
                <w:szCs w:val="20"/>
                <w:lang w:val="sr-Cyrl-CS"/>
              </w:rPr>
            </w:pPr>
            <w:r w:rsidRPr="00092ED7">
              <w:rPr>
                <w:sz w:val="20"/>
                <w:szCs w:val="20"/>
                <w:lang w:val="sr-Cyrl-CS"/>
              </w:rPr>
              <w:t>-0,7</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376F6CE0" w14:textId="77777777" w:rsidR="00247CBF" w:rsidRPr="00092ED7" w:rsidRDefault="00247CBF" w:rsidP="00247CBF">
            <w:pPr>
              <w:spacing w:after="0"/>
              <w:jc w:val="right"/>
              <w:rPr>
                <w:sz w:val="20"/>
                <w:szCs w:val="20"/>
                <w:lang w:val="sr-Cyrl-CS"/>
              </w:rPr>
            </w:pPr>
            <w:r w:rsidRPr="00092ED7">
              <w:rPr>
                <w:sz w:val="20"/>
                <w:szCs w:val="20"/>
                <w:lang w:val="sr-Cyrl-CS"/>
              </w:rPr>
              <w:t>-0,8</w:t>
            </w:r>
          </w:p>
        </w:tc>
      </w:tr>
      <w:tr w:rsidR="00247CBF" w:rsidRPr="00092ED7" w14:paraId="0C0F5EC8"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3C9E540F" w14:textId="77777777" w:rsidR="00247CBF" w:rsidRPr="00092ED7" w:rsidRDefault="00247CBF" w:rsidP="00247CBF">
            <w:pPr>
              <w:spacing w:after="0"/>
              <w:rPr>
                <w:sz w:val="20"/>
                <w:szCs w:val="20"/>
                <w:lang w:val="sr-Cyrl-CS"/>
              </w:rPr>
            </w:pPr>
            <w:r w:rsidRPr="00092ED7">
              <w:rPr>
                <w:sz w:val="20"/>
                <w:szCs w:val="20"/>
                <w:lang w:val="sr-Cyrl-CS"/>
              </w:rPr>
              <w:t xml:space="preserve">9. Остали нето факторски приход из иностранства </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210B8A7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2CC7204" w14:textId="77777777" w:rsidR="00247CBF" w:rsidRPr="00092ED7" w:rsidRDefault="00247CBF" w:rsidP="00247CBF">
            <w:pPr>
              <w:spacing w:after="0"/>
              <w:jc w:val="right"/>
              <w:rPr>
                <w:sz w:val="20"/>
                <w:szCs w:val="20"/>
                <w:lang w:val="sr-Cyrl-CS"/>
              </w:rPr>
            </w:pPr>
            <w:r w:rsidRPr="00092ED7">
              <w:rPr>
                <w:sz w:val="20"/>
                <w:szCs w:val="20"/>
                <w:lang w:val="sr-Cyrl-CS"/>
              </w:rPr>
              <w:t>-0,9</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083EDB6C" w14:textId="77777777" w:rsidR="00247CBF" w:rsidRPr="00092ED7" w:rsidRDefault="00247CBF" w:rsidP="00247CBF">
            <w:pPr>
              <w:spacing w:after="0"/>
              <w:jc w:val="right"/>
              <w:rPr>
                <w:sz w:val="20"/>
                <w:szCs w:val="20"/>
                <w:lang w:val="sr-Cyrl-CS"/>
              </w:rPr>
            </w:pPr>
            <w:r w:rsidRPr="00092ED7">
              <w:rPr>
                <w:sz w:val="20"/>
                <w:szCs w:val="20"/>
                <w:lang w:val="sr-Cyrl-CS"/>
              </w:rPr>
              <w:t>-1,5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6E747B26" w14:textId="77777777" w:rsidR="00247CBF" w:rsidRPr="00092ED7" w:rsidRDefault="00247CBF" w:rsidP="00247CBF">
            <w:pPr>
              <w:spacing w:after="0"/>
              <w:jc w:val="right"/>
              <w:rPr>
                <w:sz w:val="20"/>
                <w:szCs w:val="20"/>
                <w:lang w:val="sr-Cyrl-CS"/>
              </w:rPr>
            </w:pPr>
            <w:r w:rsidRPr="00092ED7">
              <w:rPr>
                <w:sz w:val="20"/>
                <w:szCs w:val="20"/>
                <w:lang w:val="sr-Cyrl-CS"/>
              </w:rPr>
              <w:t>-2,4</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05A5547F" w14:textId="77777777" w:rsidR="00247CBF" w:rsidRPr="00092ED7" w:rsidRDefault="00247CBF" w:rsidP="00247CBF">
            <w:pPr>
              <w:spacing w:after="0"/>
              <w:jc w:val="right"/>
              <w:rPr>
                <w:sz w:val="20"/>
                <w:szCs w:val="20"/>
                <w:lang w:val="sr-Cyrl-CS"/>
              </w:rPr>
            </w:pPr>
            <w:r w:rsidRPr="00092ED7">
              <w:rPr>
                <w:sz w:val="20"/>
                <w:szCs w:val="20"/>
                <w:lang w:val="sr-Cyrl-CS"/>
              </w:rPr>
              <w:t>-3,0</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2A750FF" w14:textId="77777777" w:rsidR="00247CBF" w:rsidRPr="00092ED7" w:rsidRDefault="00247CBF" w:rsidP="00247CBF">
            <w:pPr>
              <w:spacing w:after="0"/>
              <w:jc w:val="right"/>
              <w:rPr>
                <w:sz w:val="20"/>
                <w:szCs w:val="20"/>
                <w:lang w:val="sr-Cyrl-CS"/>
              </w:rPr>
            </w:pPr>
            <w:r w:rsidRPr="00092ED7">
              <w:rPr>
                <w:sz w:val="20"/>
                <w:szCs w:val="20"/>
                <w:lang w:val="sr-Cyrl-CS"/>
              </w:rPr>
              <w:t>-2,5</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7DB1DB4" w14:textId="77777777" w:rsidR="00247CBF" w:rsidRPr="00092ED7" w:rsidRDefault="00247CBF" w:rsidP="00247CBF">
            <w:pPr>
              <w:spacing w:after="0"/>
              <w:jc w:val="right"/>
              <w:rPr>
                <w:sz w:val="20"/>
                <w:szCs w:val="20"/>
                <w:lang w:val="sr-Cyrl-CS"/>
              </w:rPr>
            </w:pPr>
            <w:r w:rsidRPr="00092ED7">
              <w:rPr>
                <w:sz w:val="20"/>
                <w:szCs w:val="20"/>
                <w:lang w:val="sr-Cyrl-CS"/>
              </w:rPr>
              <w:t>-2,4</w:t>
            </w:r>
          </w:p>
        </w:tc>
      </w:tr>
      <w:tr w:rsidR="00247CBF" w:rsidRPr="00092ED7" w14:paraId="395B8DA6"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44B3D0B5" w14:textId="77777777" w:rsidR="00247CBF" w:rsidRPr="00092ED7" w:rsidRDefault="00247CBF" w:rsidP="00247CBF">
            <w:pPr>
              <w:spacing w:after="0"/>
              <w:rPr>
                <w:sz w:val="20"/>
                <w:szCs w:val="20"/>
                <w:lang w:val="sr-Cyrl-CS"/>
              </w:rPr>
            </w:pPr>
            <w:r w:rsidRPr="00092ED7">
              <w:rPr>
                <w:sz w:val="20"/>
                <w:szCs w:val="20"/>
                <w:lang w:val="sr-Cyrl-CS"/>
              </w:rPr>
              <w:t>10. Текући трансфери</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15A967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B4BC7A5" w14:textId="77777777" w:rsidR="00247CBF" w:rsidRPr="00092ED7" w:rsidRDefault="00247CBF" w:rsidP="00247CBF">
            <w:pPr>
              <w:spacing w:after="0"/>
              <w:jc w:val="right"/>
              <w:rPr>
                <w:sz w:val="20"/>
                <w:szCs w:val="20"/>
                <w:lang w:val="sr-Cyrl-CS"/>
              </w:rPr>
            </w:pPr>
            <w:r w:rsidRPr="00092ED7">
              <w:rPr>
                <w:sz w:val="20"/>
                <w:szCs w:val="20"/>
                <w:lang w:val="sr-Cyrl-CS"/>
              </w:rPr>
              <w:t>3,6</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536F26A" w14:textId="77777777" w:rsidR="00247CBF" w:rsidRPr="00092ED7" w:rsidRDefault="00247CBF" w:rsidP="00247CBF">
            <w:pPr>
              <w:spacing w:after="0"/>
              <w:jc w:val="right"/>
              <w:rPr>
                <w:sz w:val="20"/>
                <w:szCs w:val="20"/>
                <w:lang w:val="sr-Cyrl-CS"/>
              </w:rPr>
            </w:pPr>
            <w:r w:rsidRPr="00092ED7">
              <w:rPr>
                <w:sz w:val="20"/>
                <w:szCs w:val="20"/>
                <w:lang w:val="sr-Cyrl-CS"/>
              </w:rPr>
              <w:t>4,3</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17FE8E73" w14:textId="77777777" w:rsidR="00247CBF" w:rsidRPr="00092ED7" w:rsidRDefault="00247CBF" w:rsidP="00247CBF">
            <w:pPr>
              <w:spacing w:after="0"/>
              <w:jc w:val="right"/>
              <w:rPr>
                <w:sz w:val="20"/>
                <w:szCs w:val="20"/>
                <w:lang w:val="sr-Cyrl-CS"/>
              </w:rPr>
            </w:pPr>
            <w:r w:rsidRPr="00092ED7">
              <w:rPr>
                <w:sz w:val="20"/>
                <w:szCs w:val="20"/>
                <w:lang w:val="sr-Cyrl-CS"/>
              </w:rPr>
              <w:t>4,9</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BAB7F43" w14:textId="77777777" w:rsidR="00247CBF" w:rsidRPr="00092ED7" w:rsidRDefault="00247CBF" w:rsidP="00247CBF">
            <w:pPr>
              <w:spacing w:after="0"/>
              <w:jc w:val="right"/>
              <w:rPr>
                <w:sz w:val="20"/>
                <w:szCs w:val="20"/>
                <w:lang w:val="sr-Cyrl-CS"/>
              </w:rPr>
            </w:pPr>
            <w:r w:rsidRPr="00092ED7">
              <w:rPr>
                <w:sz w:val="20"/>
                <w:szCs w:val="20"/>
                <w:lang w:val="sr-Cyrl-CS"/>
              </w:rPr>
              <w:t>5,1</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1D3DEAA2" w14:textId="77777777" w:rsidR="00247CBF" w:rsidRPr="00092ED7" w:rsidRDefault="00247CBF" w:rsidP="00247CBF">
            <w:pPr>
              <w:spacing w:after="0"/>
              <w:jc w:val="right"/>
              <w:rPr>
                <w:sz w:val="20"/>
                <w:szCs w:val="20"/>
                <w:lang w:val="sr-Cyrl-CS"/>
              </w:rPr>
            </w:pPr>
            <w:r w:rsidRPr="00092ED7">
              <w:rPr>
                <w:sz w:val="20"/>
                <w:szCs w:val="20"/>
                <w:lang w:val="sr-Cyrl-CS"/>
              </w:rPr>
              <w:t>5,2</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6B5F12A7" w14:textId="77777777" w:rsidR="00247CBF" w:rsidRPr="00092ED7" w:rsidRDefault="00247CBF" w:rsidP="00247CBF">
            <w:pPr>
              <w:spacing w:after="0"/>
              <w:jc w:val="right"/>
              <w:rPr>
                <w:sz w:val="20"/>
                <w:szCs w:val="20"/>
                <w:lang w:val="sr-Cyrl-CS"/>
              </w:rPr>
            </w:pPr>
            <w:r w:rsidRPr="00092ED7">
              <w:rPr>
                <w:sz w:val="20"/>
                <w:szCs w:val="20"/>
                <w:lang w:val="sr-Cyrl-CS"/>
              </w:rPr>
              <w:t>5,6</w:t>
            </w:r>
          </w:p>
        </w:tc>
      </w:tr>
      <w:tr w:rsidR="00247CBF" w:rsidRPr="00092ED7" w14:paraId="0FC500FE"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0855F240" w14:textId="77777777" w:rsidR="00247CBF" w:rsidRPr="00092ED7" w:rsidRDefault="00247CBF" w:rsidP="00247CBF">
            <w:pPr>
              <w:spacing w:after="0"/>
              <w:rPr>
                <w:i/>
                <w:iCs/>
                <w:sz w:val="20"/>
                <w:szCs w:val="20"/>
                <w:lang w:val="sr-Cyrl-CS"/>
              </w:rPr>
            </w:pPr>
            <w:r w:rsidRPr="00092ED7">
              <w:rPr>
                <w:i/>
                <w:iCs/>
                <w:sz w:val="20"/>
                <w:szCs w:val="20"/>
                <w:lang w:val="sr-Cyrl-CS"/>
              </w:rPr>
              <w:t xml:space="preserve">11. Од чега </w:t>
            </w:r>
            <w:r w:rsidRPr="00092ED7">
              <w:rPr>
                <w:sz w:val="20"/>
                <w:szCs w:val="20"/>
                <w:lang w:val="sr-Cyrl-CS"/>
              </w:rPr>
              <w:t>из ЕУ</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643B25A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C20CF3C" w14:textId="77777777" w:rsidR="00247CBF" w:rsidRPr="00092ED7" w:rsidRDefault="00247CBF" w:rsidP="00247CBF">
            <w:pPr>
              <w:spacing w:after="0"/>
              <w:jc w:val="right"/>
              <w:rPr>
                <w:i/>
                <w:iCs/>
                <w:sz w:val="20"/>
                <w:szCs w:val="20"/>
                <w:lang w:val="sr-Cyrl-CS"/>
              </w:rPr>
            </w:pPr>
            <w:r w:rsidRPr="00092ED7">
              <w:rPr>
                <w:i/>
                <w:iCs/>
                <w:sz w:val="20"/>
                <w:szCs w:val="20"/>
                <w:lang w:val="sr-Cyrl-CS"/>
              </w:rPr>
              <w:t>2,4</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1BB20E4" w14:textId="77777777" w:rsidR="00247CBF" w:rsidRPr="00092ED7" w:rsidRDefault="00247CBF" w:rsidP="00247CBF">
            <w:pPr>
              <w:spacing w:after="0"/>
              <w:jc w:val="right"/>
              <w:rPr>
                <w:i/>
                <w:iCs/>
                <w:sz w:val="20"/>
                <w:szCs w:val="20"/>
                <w:lang w:val="sr-Cyrl-CS"/>
              </w:rPr>
            </w:pPr>
            <w:r w:rsidRPr="00092ED7">
              <w:rPr>
                <w:i/>
                <w:iCs/>
                <w:sz w:val="20"/>
                <w:szCs w:val="20"/>
                <w:lang w:val="sr-Cyrl-CS"/>
              </w:rPr>
              <w:t>2,7</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2E99A7B" w14:textId="77777777" w:rsidR="00247CBF" w:rsidRPr="00092ED7" w:rsidRDefault="00247CBF" w:rsidP="00247CBF">
            <w:pPr>
              <w:spacing w:after="0"/>
              <w:jc w:val="right"/>
              <w:rPr>
                <w:i/>
                <w:iCs/>
                <w:sz w:val="20"/>
                <w:szCs w:val="20"/>
                <w:lang w:val="sr-Cyrl-CS"/>
              </w:rPr>
            </w:pPr>
            <w:r w:rsidRPr="00092ED7">
              <w:rPr>
                <w:i/>
                <w:iCs/>
                <w:sz w:val="20"/>
                <w:szCs w:val="20"/>
                <w:lang w:val="sr-Cyrl-CS"/>
              </w:rPr>
              <w:t>3,5</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76D81761" w14:textId="77777777" w:rsidR="00247CBF" w:rsidRPr="00092ED7" w:rsidRDefault="00247CBF" w:rsidP="00247CBF">
            <w:pPr>
              <w:spacing w:after="0"/>
              <w:jc w:val="right"/>
              <w:rPr>
                <w:i/>
                <w:iCs/>
                <w:sz w:val="20"/>
                <w:szCs w:val="20"/>
                <w:lang w:val="sr-Cyrl-CS"/>
              </w:rPr>
            </w:pPr>
            <w:r w:rsidRPr="00092ED7">
              <w:rPr>
                <w:i/>
                <w:iCs/>
                <w:sz w:val="20"/>
                <w:szCs w:val="20"/>
                <w:lang w:val="sr-Cyrl-CS"/>
              </w:rPr>
              <w:t>3,6</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5B05D501" w14:textId="77777777" w:rsidR="00247CBF" w:rsidRPr="00092ED7" w:rsidRDefault="00247CBF" w:rsidP="00247CBF">
            <w:pPr>
              <w:spacing w:after="0"/>
              <w:jc w:val="right"/>
              <w:rPr>
                <w:i/>
                <w:iCs/>
                <w:sz w:val="20"/>
                <w:szCs w:val="20"/>
                <w:lang w:val="sr-Cyrl-CS"/>
              </w:rPr>
            </w:pPr>
            <w:r w:rsidRPr="00092ED7">
              <w:rPr>
                <w:i/>
                <w:iCs/>
                <w:sz w:val="20"/>
                <w:szCs w:val="20"/>
                <w:lang w:val="sr-Cyrl-CS"/>
              </w:rPr>
              <w:t>3,6</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9C96F71" w14:textId="77777777" w:rsidR="00247CBF" w:rsidRPr="00092ED7" w:rsidRDefault="00247CBF" w:rsidP="00247CBF">
            <w:pPr>
              <w:spacing w:after="0"/>
              <w:jc w:val="right"/>
              <w:rPr>
                <w:i/>
                <w:iCs/>
                <w:sz w:val="20"/>
                <w:szCs w:val="20"/>
                <w:lang w:val="sr-Cyrl-CS"/>
              </w:rPr>
            </w:pPr>
            <w:r w:rsidRPr="00092ED7">
              <w:rPr>
                <w:i/>
                <w:iCs/>
                <w:sz w:val="20"/>
                <w:szCs w:val="20"/>
                <w:lang w:val="sr-Cyrl-CS"/>
              </w:rPr>
              <w:t>3,9</w:t>
            </w:r>
          </w:p>
        </w:tc>
      </w:tr>
      <w:tr w:rsidR="00247CBF" w:rsidRPr="00092ED7" w14:paraId="027F7435"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13C3D9EE" w14:textId="77777777" w:rsidR="00247CBF" w:rsidRPr="00092ED7" w:rsidRDefault="00247CBF" w:rsidP="00247CBF">
            <w:pPr>
              <w:spacing w:after="0"/>
              <w:rPr>
                <w:sz w:val="20"/>
                <w:szCs w:val="20"/>
                <w:lang w:val="sr-Cyrl-CS"/>
              </w:rPr>
            </w:pPr>
            <w:r w:rsidRPr="00092ED7">
              <w:rPr>
                <w:sz w:val="20"/>
                <w:szCs w:val="20"/>
                <w:lang w:val="sr-Cyrl-CS"/>
              </w:rPr>
              <w:t>12. Биланс текућих трансакција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5B8C482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FB86E43" w14:textId="77777777" w:rsidR="00247CBF" w:rsidRPr="00092ED7" w:rsidRDefault="00247CBF" w:rsidP="00247CBF">
            <w:pPr>
              <w:spacing w:after="0"/>
              <w:jc w:val="right"/>
              <w:rPr>
                <w:sz w:val="20"/>
                <w:szCs w:val="20"/>
                <w:lang w:val="sr-Cyrl-CS"/>
              </w:rPr>
            </w:pPr>
            <w:r w:rsidRPr="00092ED7">
              <w:rPr>
                <w:sz w:val="20"/>
                <w:szCs w:val="20"/>
                <w:lang w:val="sr-Cyrl-CS"/>
              </w:rPr>
              <w:t>-1,9</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16ACA5E" w14:textId="77777777" w:rsidR="00247CBF" w:rsidRPr="00092ED7" w:rsidRDefault="00247CBF" w:rsidP="00247CBF">
            <w:pPr>
              <w:spacing w:after="0"/>
              <w:jc w:val="right"/>
              <w:rPr>
                <w:sz w:val="20"/>
                <w:szCs w:val="20"/>
                <w:lang w:val="sr-Cyrl-CS"/>
              </w:rPr>
            </w:pPr>
            <w:r w:rsidRPr="00092ED7">
              <w:rPr>
                <w:sz w:val="20"/>
                <w:szCs w:val="20"/>
                <w:lang w:val="sr-Cyrl-CS"/>
              </w:rPr>
              <w:t>-2,3</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08E263AD" w14:textId="77777777" w:rsidR="00247CBF" w:rsidRPr="00092ED7" w:rsidRDefault="00247CBF" w:rsidP="00247CBF">
            <w:pPr>
              <w:spacing w:after="0"/>
              <w:jc w:val="right"/>
              <w:rPr>
                <w:sz w:val="20"/>
                <w:szCs w:val="20"/>
                <w:lang w:val="sr-Cyrl-CS"/>
              </w:rPr>
            </w:pPr>
            <w:r w:rsidRPr="00092ED7">
              <w:rPr>
                <w:sz w:val="20"/>
                <w:szCs w:val="20"/>
                <w:lang w:val="sr-Cyrl-CS"/>
              </w:rPr>
              <w:t>-5,4</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70168A0F" w14:textId="77777777" w:rsidR="00247CBF" w:rsidRPr="00092ED7" w:rsidRDefault="00247CBF" w:rsidP="00247CBF">
            <w:pPr>
              <w:spacing w:after="0"/>
              <w:jc w:val="right"/>
              <w:rPr>
                <w:sz w:val="20"/>
                <w:szCs w:val="20"/>
                <w:lang w:val="sr-Cyrl-CS"/>
              </w:rPr>
            </w:pPr>
            <w:r w:rsidRPr="00092ED7">
              <w:rPr>
                <w:sz w:val="20"/>
                <w:szCs w:val="20"/>
                <w:lang w:val="sr-Cyrl-CS"/>
              </w:rPr>
              <w:t>-5,8</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2BBB53B7" w14:textId="77777777" w:rsidR="00247CBF" w:rsidRPr="00092ED7" w:rsidRDefault="00247CBF" w:rsidP="00247CBF">
            <w:pPr>
              <w:spacing w:after="0"/>
              <w:jc w:val="right"/>
              <w:rPr>
                <w:sz w:val="20"/>
                <w:szCs w:val="20"/>
                <w:lang w:val="sr-Cyrl-CS"/>
              </w:rPr>
            </w:pPr>
            <w:r w:rsidRPr="00092ED7">
              <w:rPr>
                <w:sz w:val="20"/>
                <w:szCs w:val="20"/>
                <w:lang w:val="sr-Cyrl-CS"/>
              </w:rPr>
              <w:t>-5,0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C876D78" w14:textId="77777777" w:rsidR="00247CBF" w:rsidRPr="00092ED7" w:rsidRDefault="00247CBF" w:rsidP="00247CBF">
            <w:pPr>
              <w:spacing w:after="0"/>
              <w:jc w:val="right"/>
              <w:rPr>
                <w:sz w:val="20"/>
                <w:szCs w:val="20"/>
                <w:lang w:val="sr-Cyrl-CS"/>
              </w:rPr>
            </w:pPr>
            <w:r w:rsidRPr="00092ED7">
              <w:rPr>
                <w:sz w:val="20"/>
                <w:szCs w:val="20"/>
                <w:lang w:val="sr-Cyrl-CS"/>
              </w:rPr>
              <w:t>-4,8</w:t>
            </w:r>
          </w:p>
        </w:tc>
      </w:tr>
      <w:tr w:rsidR="00247CBF" w:rsidRPr="00092ED7" w14:paraId="138EACFD"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6E99C009" w14:textId="77777777" w:rsidR="00247CBF" w:rsidRPr="00092ED7" w:rsidRDefault="00247CBF" w:rsidP="00247CBF">
            <w:pPr>
              <w:spacing w:after="0"/>
              <w:rPr>
                <w:sz w:val="20"/>
                <w:szCs w:val="20"/>
                <w:lang w:val="sr-Cyrl-CS"/>
              </w:rPr>
            </w:pPr>
            <w:r w:rsidRPr="00092ED7">
              <w:rPr>
                <w:sz w:val="20"/>
                <w:szCs w:val="20"/>
                <w:lang w:val="sr-Cyrl-CS"/>
              </w:rPr>
              <w:t>13. Капитални и финансијски рачун</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1B690E9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8625276" w14:textId="77777777" w:rsidR="00247CBF" w:rsidRPr="00092ED7" w:rsidRDefault="00247CBF" w:rsidP="00247CBF">
            <w:pPr>
              <w:spacing w:after="0"/>
              <w:jc w:val="right"/>
              <w:rPr>
                <w:sz w:val="20"/>
                <w:szCs w:val="20"/>
                <w:lang w:val="sr-Cyrl-CS"/>
              </w:rPr>
            </w:pPr>
            <w:r w:rsidRPr="00092ED7">
              <w:rPr>
                <w:sz w:val="20"/>
                <w:szCs w:val="20"/>
                <w:lang w:val="sr-Cyrl-CS"/>
              </w:rPr>
              <w:t>2,1</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F023FE6" w14:textId="77777777" w:rsidR="00247CBF" w:rsidRPr="00092ED7" w:rsidRDefault="00247CBF" w:rsidP="00247CBF">
            <w:pPr>
              <w:spacing w:after="0"/>
              <w:jc w:val="right"/>
              <w:rPr>
                <w:sz w:val="20"/>
                <w:szCs w:val="20"/>
                <w:lang w:val="sr-Cyrl-CS"/>
              </w:rPr>
            </w:pPr>
            <w:r w:rsidRPr="00092ED7">
              <w:rPr>
                <w:sz w:val="20"/>
                <w:szCs w:val="20"/>
                <w:lang w:val="sr-Cyrl-CS"/>
              </w:rPr>
              <w:t>2,1</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45A3BE2" w14:textId="77777777" w:rsidR="00247CBF" w:rsidRPr="00092ED7" w:rsidRDefault="00247CBF" w:rsidP="00247CBF">
            <w:pPr>
              <w:spacing w:after="0"/>
              <w:jc w:val="right"/>
              <w:rPr>
                <w:sz w:val="20"/>
                <w:szCs w:val="20"/>
                <w:lang w:val="sr-Cyrl-CS"/>
              </w:rPr>
            </w:pPr>
            <w:r w:rsidRPr="00092ED7">
              <w:rPr>
                <w:sz w:val="20"/>
                <w:szCs w:val="20"/>
                <w:lang w:val="sr-Cyrl-CS"/>
              </w:rPr>
              <w:t>4,6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44B84B6E" w14:textId="77777777" w:rsidR="00247CBF" w:rsidRPr="00092ED7" w:rsidRDefault="00247CBF" w:rsidP="00247CBF">
            <w:pPr>
              <w:spacing w:after="0"/>
              <w:jc w:val="right"/>
              <w:rPr>
                <w:sz w:val="20"/>
                <w:szCs w:val="20"/>
                <w:lang w:val="sr-Cyrl-CS"/>
              </w:rPr>
            </w:pPr>
            <w:r w:rsidRPr="00092ED7">
              <w:rPr>
                <w:sz w:val="20"/>
                <w:szCs w:val="20"/>
                <w:lang w:val="sr-Cyrl-CS"/>
              </w:rPr>
              <w:t>2,8</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6D329E63" w14:textId="77777777" w:rsidR="00247CBF" w:rsidRPr="00092ED7" w:rsidRDefault="00247CBF" w:rsidP="00247CBF">
            <w:pPr>
              <w:spacing w:after="0"/>
              <w:jc w:val="right"/>
              <w:rPr>
                <w:sz w:val="20"/>
                <w:szCs w:val="20"/>
                <w:lang w:val="sr-Cyrl-CS"/>
              </w:rPr>
            </w:pPr>
            <w:r w:rsidRPr="00092ED7">
              <w:rPr>
                <w:sz w:val="20"/>
                <w:szCs w:val="20"/>
                <w:lang w:val="sr-Cyrl-CS"/>
              </w:rPr>
              <w:t>3,1</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9F33D97" w14:textId="77777777" w:rsidR="00247CBF" w:rsidRPr="00092ED7" w:rsidRDefault="00247CBF" w:rsidP="00247CBF">
            <w:pPr>
              <w:spacing w:after="0"/>
              <w:jc w:val="right"/>
              <w:rPr>
                <w:sz w:val="20"/>
                <w:szCs w:val="20"/>
                <w:lang w:val="sr-Cyrl-CS"/>
              </w:rPr>
            </w:pPr>
            <w:r w:rsidRPr="00092ED7">
              <w:rPr>
                <w:sz w:val="20"/>
                <w:szCs w:val="20"/>
                <w:lang w:val="sr-Cyrl-CS"/>
              </w:rPr>
              <w:t>2,9</w:t>
            </w:r>
          </w:p>
        </w:tc>
      </w:tr>
      <w:tr w:rsidR="00247CBF" w:rsidRPr="00092ED7" w14:paraId="3A92FD8B" w14:textId="77777777" w:rsidTr="00247CBF">
        <w:trPr>
          <w:gridAfter w:val="3"/>
          <w:wAfter w:w="365" w:type="dxa"/>
          <w:trHeight w:val="240"/>
        </w:trPr>
        <w:tc>
          <w:tcPr>
            <w:tcW w:w="4962" w:type="dxa"/>
            <w:gridSpan w:val="3"/>
            <w:tcBorders>
              <w:top w:val="nil"/>
              <w:left w:val="double" w:sz="6" w:space="0" w:color="auto"/>
              <w:bottom w:val="dashed" w:sz="4" w:space="0" w:color="auto"/>
              <w:right w:val="nil"/>
            </w:tcBorders>
            <w:shd w:val="clear" w:color="auto" w:fill="auto"/>
            <w:hideMark/>
          </w:tcPr>
          <w:p w14:paraId="638F254C" w14:textId="77777777" w:rsidR="00247CBF" w:rsidRPr="00092ED7" w:rsidRDefault="00247CBF" w:rsidP="00247CBF">
            <w:pPr>
              <w:spacing w:after="0"/>
              <w:rPr>
                <w:i/>
                <w:iCs/>
                <w:sz w:val="20"/>
                <w:szCs w:val="20"/>
                <w:lang w:val="sr-Cyrl-CS"/>
              </w:rPr>
            </w:pPr>
            <w:r w:rsidRPr="00092ED7">
              <w:rPr>
                <w:i/>
                <w:iCs/>
                <w:sz w:val="20"/>
                <w:szCs w:val="20"/>
                <w:lang w:val="sr-Cyrl-CS"/>
              </w:rPr>
              <w:t>14. Од чега: Нето стране директне инвестиције</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0596C81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04865739" w14:textId="77777777" w:rsidR="00247CBF" w:rsidRPr="00092ED7" w:rsidRDefault="00247CBF" w:rsidP="00247CBF">
            <w:pPr>
              <w:spacing w:after="0"/>
              <w:jc w:val="right"/>
              <w:rPr>
                <w:i/>
                <w:iCs/>
                <w:sz w:val="20"/>
                <w:szCs w:val="20"/>
                <w:lang w:val="sr-Cyrl-CS"/>
              </w:rPr>
            </w:pPr>
            <w:r w:rsidRPr="00092ED7">
              <w:rPr>
                <w:i/>
                <w:iCs/>
                <w:sz w:val="20"/>
                <w:szCs w:val="20"/>
                <w:lang w:val="sr-Cyrl-CS"/>
              </w:rPr>
              <w:t>2,9</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0CCE2C6" w14:textId="77777777" w:rsidR="00247CBF" w:rsidRPr="00092ED7" w:rsidRDefault="00247CBF" w:rsidP="00247CBF">
            <w:pPr>
              <w:spacing w:after="0"/>
              <w:jc w:val="right"/>
              <w:rPr>
                <w:i/>
                <w:iCs/>
                <w:sz w:val="20"/>
                <w:szCs w:val="20"/>
                <w:lang w:val="sr-Cyrl-CS"/>
              </w:rPr>
            </w:pPr>
            <w:r w:rsidRPr="00092ED7">
              <w:rPr>
                <w:i/>
                <w:iCs/>
                <w:sz w:val="20"/>
                <w:szCs w:val="20"/>
                <w:lang w:val="sr-Cyrl-CS"/>
              </w:rPr>
              <w:t>3,7</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3F24A131" w14:textId="77777777" w:rsidR="00247CBF" w:rsidRPr="00092ED7" w:rsidRDefault="00247CBF" w:rsidP="00247CBF">
            <w:pPr>
              <w:spacing w:after="0"/>
              <w:jc w:val="right"/>
              <w:rPr>
                <w:i/>
                <w:iCs/>
                <w:sz w:val="20"/>
                <w:szCs w:val="20"/>
                <w:lang w:val="sr-Cyrl-CS"/>
              </w:rPr>
            </w:pPr>
            <w:r w:rsidRPr="00092ED7">
              <w:rPr>
                <w:i/>
                <w:iCs/>
                <w:sz w:val="20"/>
                <w:szCs w:val="20"/>
                <w:lang w:val="sr-Cyrl-CS"/>
              </w:rPr>
              <w:t>3,6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7B48B7C7" w14:textId="77777777" w:rsidR="00247CBF" w:rsidRPr="00092ED7" w:rsidRDefault="00247CBF" w:rsidP="00247CBF">
            <w:pPr>
              <w:spacing w:after="0"/>
              <w:jc w:val="right"/>
              <w:rPr>
                <w:i/>
                <w:iCs/>
                <w:sz w:val="20"/>
                <w:szCs w:val="20"/>
                <w:lang w:val="sr-Cyrl-CS"/>
              </w:rPr>
            </w:pPr>
            <w:r w:rsidRPr="00092ED7">
              <w:rPr>
                <w:i/>
                <w:iCs/>
                <w:sz w:val="20"/>
                <w:szCs w:val="20"/>
                <w:lang w:val="sr-Cyrl-CS"/>
              </w:rPr>
              <w:t>3,5</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2FBF4B79" w14:textId="77777777" w:rsidR="00247CBF" w:rsidRPr="00092ED7" w:rsidRDefault="00247CBF" w:rsidP="00247CBF">
            <w:pPr>
              <w:spacing w:after="0"/>
              <w:jc w:val="right"/>
              <w:rPr>
                <w:i/>
                <w:iCs/>
                <w:sz w:val="20"/>
                <w:szCs w:val="20"/>
                <w:lang w:val="sr-Cyrl-CS"/>
              </w:rPr>
            </w:pPr>
            <w:r w:rsidRPr="00092ED7">
              <w:rPr>
                <w:i/>
                <w:iCs/>
                <w:sz w:val="20"/>
                <w:szCs w:val="20"/>
                <w:lang w:val="sr-Cyrl-CS"/>
              </w:rPr>
              <w:t>3,9</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8BF364D" w14:textId="77777777" w:rsidR="00247CBF" w:rsidRPr="00092ED7" w:rsidRDefault="00247CBF" w:rsidP="00247CBF">
            <w:pPr>
              <w:spacing w:after="0"/>
              <w:jc w:val="right"/>
              <w:rPr>
                <w:i/>
                <w:iCs/>
                <w:sz w:val="20"/>
                <w:szCs w:val="20"/>
                <w:lang w:val="sr-Cyrl-CS"/>
              </w:rPr>
            </w:pPr>
            <w:r w:rsidRPr="00092ED7">
              <w:rPr>
                <w:i/>
                <w:iCs/>
                <w:sz w:val="20"/>
                <w:szCs w:val="20"/>
                <w:lang w:val="sr-Cyrl-CS"/>
              </w:rPr>
              <w:t>4,3</w:t>
            </w:r>
          </w:p>
        </w:tc>
      </w:tr>
      <w:tr w:rsidR="00247CBF" w:rsidRPr="00092ED7" w14:paraId="54F93024"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3415819B" w14:textId="77777777" w:rsidR="00247CBF" w:rsidRPr="00092ED7" w:rsidRDefault="00247CBF" w:rsidP="00247CBF">
            <w:pPr>
              <w:spacing w:after="0"/>
              <w:jc w:val="left"/>
              <w:rPr>
                <w:i/>
                <w:iCs/>
                <w:sz w:val="20"/>
                <w:szCs w:val="20"/>
                <w:lang w:val="sr-Cyrl-CS"/>
              </w:rPr>
            </w:pPr>
            <w:r w:rsidRPr="00092ED7">
              <w:rPr>
                <w:i/>
                <w:iCs/>
                <w:sz w:val="20"/>
                <w:szCs w:val="20"/>
                <w:lang w:val="sr-Cyrl-CS"/>
              </w:rPr>
              <w:t>14.a Од чега: Нето стране директне инвестиције (Equity)</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3819F56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6E8E91B" w14:textId="77777777" w:rsidR="00247CBF" w:rsidRPr="00092ED7" w:rsidRDefault="00247CBF" w:rsidP="00247CBF">
            <w:pPr>
              <w:spacing w:after="0"/>
              <w:jc w:val="right"/>
              <w:rPr>
                <w:i/>
                <w:iCs/>
                <w:sz w:val="20"/>
                <w:szCs w:val="20"/>
                <w:lang w:val="sr-Cyrl-CS"/>
              </w:rPr>
            </w:pPr>
            <w:r w:rsidRPr="00092ED7">
              <w:rPr>
                <w:i/>
                <w:iCs/>
                <w:sz w:val="20"/>
                <w:szCs w:val="20"/>
                <w:lang w:val="sr-Cyrl-CS"/>
              </w:rPr>
              <w:t>1,6</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4043857A" w14:textId="77777777" w:rsidR="00247CBF" w:rsidRPr="00092ED7" w:rsidRDefault="00247CBF" w:rsidP="00247CBF">
            <w:pPr>
              <w:spacing w:after="0"/>
              <w:jc w:val="right"/>
              <w:rPr>
                <w:i/>
                <w:iCs/>
                <w:sz w:val="20"/>
                <w:szCs w:val="20"/>
                <w:lang w:val="sr-Cyrl-CS"/>
              </w:rPr>
            </w:pPr>
            <w:r w:rsidRPr="00092ED7">
              <w:rPr>
                <w:i/>
                <w:iCs/>
                <w:sz w:val="20"/>
                <w:szCs w:val="20"/>
                <w:lang w:val="sr-Cyrl-CS"/>
              </w:rPr>
              <w:t>2,5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9647CE6" w14:textId="77777777" w:rsidR="00247CBF" w:rsidRPr="00092ED7" w:rsidRDefault="00247CBF" w:rsidP="00247CBF">
            <w:pPr>
              <w:spacing w:after="0"/>
              <w:jc w:val="right"/>
              <w:rPr>
                <w:i/>
                <w:iCs/>
                <w:sz w:val="20"/>
                <w:szCs w:val="20"/>
                <w:lang w:val="sr-Cyrl-CS"/>
              </w:rPr>
            </w:pPr>
            <w:r w:rsidRPr="00092ED7">
              <w:rPr>
                <w:i/>
                <w:iCs/>
                <w:sz w:val="20"/>
                <w:szCs w:val="20"/>
                <w:lang w:val="sr-Cyrl-CS"/>
              </w:rPr>
              <w:t>2,3</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F186CC2" w14:textId="77777777" w:rsidR="00247CBF" w:rsidRPr="00092ED7" w:rsidRDefault="00247CBF" w:rsidP="00247CBF">
            <w:pPr>
              <w:spacing w:after="0"/>
              <w:jc w:val="right"/>
              <w:rPr>
                <w:i/>
                <w:iCs/>
                <w:sz w:val="20"/>
                <w:szCs w:val="20"/>
                <w:lang w:val="sr-Cyrl-CS"/>
              </w:rPr>
            </w:pPr>
            <w:r w:rsidRPr="00092ED7">
              <w:rPr>
                <w:i/>
                <w:iCs/>
                <w:sz w:val="20"/>
                <w:szCs w:val="20"/>
                <w:lang w:val="sr-Cyrl-CS"/>
              </w:rPr>
              <w:t>2,5</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71102DB" w14:textId="77777777" w:rsidR="00247CBF" w:rsidRPr="00092ED7" w:rsidRDefault="00247CBF" w:rsidP="00247CBF">
            <w:pPr>
              <w:spacing w:after="0"/>
              <w:jc w:val="right"/>
              <w:rPr>
                <w:i/>
                <w:iCs/>
                <w:sz w:val="20"/>
                <w:szCs w:val="20"/>
                <w:lang w:val="sr-Cyrl-CS"/>
              </w:rPr>
            </w:pPr>
            <w:r w:rsidRPr="00092ED7">
              <w:rPr>
                <w:i/>
                <w:iCs/>
                <w:sz w:val="20"/>
                <w:szCs w:val="20"/>
                <w:lang w:val="sr-Cyrl-CS"/>
              </w:rPr>
              <w:t>2,9</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32A73DC3" w14:textId="77777777" w:rsidR="00247CBF" w:rsidRPr="00092ED7" w:rsidRDefault="00247CBF" w:rsidP="00247CBF">
            <w:pPr>
              <w:spacing w:after="0"/>
              <w:jc w:val="right"/>
              <w:rPr>
                <w:i/>
                <w:iCs/>
                <w:sz w:val="20"/>
                <w:szCs w:val="20"/>
                <w:lang w:val="sr-Cyrl-CS"/>
              </w:rPr>
            </w:pPr>
            <w:r w:rsidRPr="00092ED7">
              <w:rPr>
                <w:i/>
                <w:iCs/>
                <w:sz w:val="20"/>
                <w:szCs w:val="20"/>
                <w:lang w:val="sr-Cyrl-CS"/>
              </w:rPr>
              <w:t>3,3</w:t>
            </w:r>
          </w:p>
        </w:tc>
      </w:tr>
      <w:tr w:rsidR="00247CBF" w:rsidRPr="00092ED7" w14:paraId="21158795"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76B8A7CC" w14:textId="77777777" w:rsidR="00247CBF" w:rsidRPr="00092ED7" w:rsidRDefault="00247CBF" w:rsidP="00247CBF">
            <w:pPr>
              <w:spacing w:after="0"/>
              <w:rPr>
                <w:i/>
                <w:iCs/>
                <w:sz w:val="20"/>
                <w:szCs w:val="20"/>
                <w:lang w:val="sr-Cyrl-CS"/>
              </w:rPr>
            </w:pPr>
            <w:r w:rsidRPr="00092ED7">
              <w:rPr>
                <w:i/>
                <w:iCs/>
                <w:sz w:val="20"/>
                <w:szCs w:val="20"/>
                <w:lang w:val="sr-Cyrl-CS"/>
              </w:rPr>
              <w:t>15. Од чега: Портфолио инвестиције</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250A2B5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22D16DA" w14:textId="77777777" w:rsidR="00247CBF" w:rsidRPr="00092ED7" w:rsidRDefault="00247CBF" w:rsidP="00247CBF">
            <w:pPr>
              <w:spacing w:after="0"/>
              <w:jc w:val="right"/>
              <w:rPr>
                <w:i/>
                <w:iCs/>
                <w:sz w:val="20"/>
                <w:szCs w:val="20"/>
                <w:lang w:val="sr-Cyrl-CS"/>
              </w:rPr>
            </w:pPr>
            <w:r w:rsidRPr="00092ED7">
              <w:rPr>
                <w:i/>
                <w:iCs/>
                <w:sz w:val="20"/>
                <w:szCs w:val="20"/>
                <w:lang w:val="sr-Cyrl-CS"/>
              </w:rPr>
              <w:t>1,6</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6D25ACC" w14:textId="77777777" w:rsidR="00247CBF" w:rsidRPr="00092ED7" w:rsidRDefault="00247CBF" w:rsidP="00247CBF">
            <w:pPr>
              <w:spacing w:after="0"/>
              <w:jc w:val="right"/>
              <w:rPr>
                <w:i/>
                <w:iCs/>
                <w:sz w:val="20"/>
                <w:szCs w:val="20"/>
                <w:lang w:val="sr-Cyrl-CS"/>
              </w:rPr>
            </w:pPr>
            <w:r w:rsidRPr="00092ED7">
              <w:rPr>
                <w:i/>
                <w:iCs/>
                <w:sz w:val="20"/>
                <w:szCs w:val="20"/>
                <w:lang w:val="sr-Cyrl-CS"/>
              </w:rPr>
              <w:t>1,6</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EF22764" w14:textId="77777777" w:rsidR="00247CBF" w:rsidRPr="00092ED7" w:rsidRDefault="00247CBF" w:rsidP="00247CBF">
            <w:pPr>
              <w:spacing w:after="0"/>
              <w:jc w:val="right"/>
              <w:rPr>
                <w:i/>
                <w:iCs/>
                <w:sz w:val="20"/>
                <w:szCs w:val="20"/>
                <w:lang w:val="sr-Cyrl-CS"/>
              </w:rPr>
            </w:pPr>
            <w:r w:rsidRPr="00092ED7">
              <w:rPr>
                <w:i/>
                <w:iCs/>
                <w:sz w:val="20"/>
                <w:szCs w:val="20"/>
                <w:lang w:val="sr-Cyrl-CS"/>
              </w:rPr>
              <w:t>0,0</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ADDF4A8" w14:textId="77777777" w:rsidR="00247CBF" w:rsidRPr="00092ED7" w:rsidRDefault="00247CBF" w:rsidP="00247CBF">
            <w:pPr>
              <w:spacing w:after="0"/>
              <w:jc w:val="right"/>
              <w:rPr>
                <w:i/>
                <w:iCs/>
                <w:sz w:val="20"/>
                <w:szCs w:val="20"/>
                <w:lang w:val="sr-Cyrl-CS"/>
              </w:rPr>
            </w:pPr>
            <w:r w:rsidRPr="00092ED7">
              <w:rPr>
                <w:i/>
                <w:iCs/>
                <w:sz w:val="20"/>
                <w:szCs w:val="20"/>
                <w:lang w:val="sr-Cyrl-CS"/>
              </w:rPr>
              <w:t>0,7</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FFF95E4" w14:textId="77777777" w:rsidR="00247CBF" w:rsidRPr="00092ED7" w:rsidRDefault="00247CBF" w:rsidP="00247CBF">
            <w:pPr>
              <w:spacing w:after="0"/>
              <w:jc w:val="right"/>
              <w:rPr>
                <w:i/>
                <w:iCs/>
                <w:sz w:val="20"/>
                <w:szCs w:val="20"/>
                <w:lang w:val="sr-Cyrl-CS"/>
              </w:rPr>
            </w:pPr>
            <w:r w:rsidRPr="00092ED7">
              <w:rPr>
                <w:i/>
                <w:iCs/>
                <w:sz w:val="20"/>
                <w:szCs w:val="20"/>
                <w:lang w:val="sr-Cyrl-CS"/>
              </w:rPr>
              <w:t>1,2</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1B2622E6" w14:textId="77777777" w:rsidR="00247CBF" w:rsidRPr="00092ED7" w:rsidRDefault="00247CBF" w:rsidP="00247CBF">
            <w:pPr>
              <w:spacing w:after="0"/>
              <w:jc w:val="right"/>
              <w:rPr>
                <w:i/>
                <w:iCs/>
                <w:sz w:val="20"/>
                <w:szCs w:val="20"/>
                <w:lang w:val="sr-Cyrl-CS"/>
              </w:rPr>
            </w:pPr>
            <w:r w:rsidRPr="00092ED7">
              <w:rPr>
                <w:i/>
                <w:iCs/>
                <w:sz w:val="20"/>
                <w:szCs w:val="20"/>
                <w:lang w:val="sr-Cyrl-CS"/>
              </w:rPr>
              <w:t>0,3</w:t>
            </w:r>
          </w:p>
        </w:tc>
      </w:tr>
      <w:tr w:rsidR="00247CBF" w:rsidRPr="00092ED7" w14:paraId="252631D3"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51FF112E" w14:textId="77777777" w:rsidR="00247CBF" w:rsidRPr="00092ED7" w:rsidRDefault="00247CBF" w:rsidP="00247CBF">
            <w:pPr>
              <w:spacing w:after="0"/>
              <w:rPr>
                <w:i/>
                <w:iCs/>
                <w:sz w:val="20"/>
                <w:szCs w:val="20"/>
                <w:lang w:val="sr-Cyrl-CS"/>
              </w:rPr>
            </w:pPr>
            <w:r w:rsidRPr="00092ED7">
              <w:rPr>
                <w:i/>
                <w:iCs/>
                <w:sz w:val="20"/>
                <w:szCs w:val="20"/>
                <w:lang w:val="sr-Cyrl-CS"/>
              </w:rPr>
              <w:t>15.a Од чега: Нето-портфолио инвестиције (Equity)</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142F87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141BBA7" w14:textId="77777777" w:rsidR="00247CBF" w:rsidRPr="00092ED7" w:rsidRDefault="00247CBF" w:rsidP="00247CBF">
            <w:pPr>
              <w:spacing w:after="0"/>
              <w:jc w:val="right"/>
              <w:rPr>
                <w:i/>
                <w:iCs/>
                <w:sz w:val="20"/>
                <w:szCs w:val="20"/>
                <w:lang w:val="sr-Cyrl-CS"/>
              </w:rPr>
            </w:pPr>
            <w:r w:rsidRPr="00092ED7">
              <w:rPr>
                <w:i/>
                <w:iCs/>
                <w:sz w:val="20"/>
                <w:szCs w:val="20"/>
                <w:lang w:val="sr-Cyrl-CS"/>
              </w:rPr>
              <w:t>0,0</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11C8BCC7" w14:textId="77777777" w:rsidR="00247CBF" w:rsidRPr="00092ED7" w:rsidRDefault="00247CBF" w:rsidP="00247CBF">
            <w:pPr>
              <w:spacing w:after="0"/>
              <w:jc w:val="right"/>
              <w:rPr>
                <w:i/>
                <w:iCs/>
                <w:sz w:val="20"/>
                <w:szCs w:val="20"/>
                <w:lang w:val="sr-Cyrl-CS"/>
              </w:rPr>
            </w:pPr>
            <w:r w:rsidRPr="00092ED7">
              <w:rPr>
                <w:i/>
                <w:iCs/>
                <w:sz w:val="20"/>
                <w:szCs w:val="20"/>
                <w:lang w:val="sr-Cyrl-CS"/>
              </w:rPr>
              <w:t>0,0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5CFEE03A" w14:textId="77777777" w:rsidR="00247CBF" w:rsidRPr="00092ED7" w:rsidRDefault="00247CBF" w:rsidP="00247CBF">
            <w:pPr>
              <w:spacing w:after="0"/>
              <w:jc w:val="right"/>
              <w:rPr>
                <w:i/>
                <w:iCs/>
                <w:sz w:val="20"/>
                <w:szCs w:val="20"/>
                <w:lang w:val="sr-Cyrl-CS"/>
              </w:rPr>
            </w:pPr>
            <w:r w:rsidRPr="00092ED7">
              <w:rPr>
                <w:i/>
                <w:iCs/>
                <w:sz w:val="20"/>
                <w:szCs w:val="20"/>
                <w:lang w:val="sr-Cyrl-CS"/>
              </w:rPr>
              <w:t>0,0</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38ED0B47" w14:textId="77777777" w:rsidR="00247CBF" w:rsidRPr="00092ED7" w:rsidRDefault="00247CBF" w:rsidP="00247CBF">
            <w:pPr>
              <w:spacing w:after="0"/>
              <w:jc w:val="right"/>
              <w:rPr>
                <w:i/>
                <w:iCs/>
                <w:sz w:val="20"/>
                <w:szCs w:val="20"/>
                <w:lang w:val="sr-Cyrl-CS"/>
              </w:rPr>
            </w:pPr>
            <w:r w:rsidRPr="00092ED7">
              <w:rPr>
                <w:i/>
                <w:iCs/>
                <w:sz w:val="20"/>
                <w:szCs w:val="20"/>
                <w:lang w:val="sr-Cyrl-CS"/>
              </w:rPr>
              <w:t>0,0</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78D68672" w14:textId="77777777" w:rsidR="00247CBF" w:rsidRPr="00092ED7" w:rsidRDefault="00247CBF" w:rsidP="00247CBF">
            <w:pPr>
              <w:spacing w:after="0"/>
              <w:jc w:val="right"/>
              <w:rPr>
                <w:i/>
                <w:iCs/>
                <w:sz w:val="20"/>
                <w:szCs w:val="20"/>
                <w:lang w:val="sr-Cyrl-CS"/>
              </w:rPr>
            </w:pPr>
            <w:r w:rsidRPr="00092ED7">
              <w:rPr>
                <w:i/>
                <w:iCs/>
                <w:sz w:val="20"/>
                <w:szCs w:val="20"/>
                <w:lang w:val="sr-Cyrl-CS"/>
              </w:rPr>
              <w:t>0,0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8F0B395" w14:textId="77777777" w:rsidR="00247CBF" w:rsidRPr="00092ED7" w:rsidRDefault="00247CBF" w:rsidP="00247CBF">
            <w:pPr>
              <w:spacing w:after="0"/>
              <w:jc w:val="right"/>
              <w:rPr>
                <w:i/>
                <w:iCs/>
                <w:sz w:val="20"/>
                <w:szCs w:val="20"/>
                <w:lang w:val="sr-Cyrl-CS"/>
              </w:rPr>
            </w:pPr>
            <w:r w:rsidRPr="00092ED7">
              <w:rPr>
                <w:i/>
                <w:iCs/>
                <w:sz w:val="20"/>
                <w:szCs w:val="20"/>
                <w:lang w:val="sr-Cyrl-CS"/>
              </w:rPr>
              <w:t>0,0</w:t>
            </w:r>
          </w:p>
        </w:tc>
      </w:tr>
      <w:tr w:rsidR="00247CBF" w:rsidRPr="00092ED7" w14:paraId="689E6B9D"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45522533" w14:textId="77777777" w:rsidR="00247CBF" w:rsidRPr="00092ED7" w:rsidRDefault="00247CBF" w:rsidP="00247CBF">
            <w:pPr>
              <w:spacing w:after="0"/>
              <w:rPr>
                <w:sz w:val="20"/>
                <w:szCs w:val="20"/>
                <w:lang w:val="sr-Cyrl-CS"/>
              </w:rPr>
            </w:pPr>
            <w:r w:rsidRPr="00092ED7">
              <w:rPr>
                <w:sz w:val="20"/>
                <w:szCs w:val="20"/>
                <w:lang w:val="sr-Cyrl-CS"/>
              </w:rPr>
              <w:t>16. Девизне резерве</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7B69DC2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730DBEE" w14:textId="77777777" w:rsidR="00247CBF" w:rsidRPr="00092ED7" w:rsidRDefault="00247CBF" w:rsidP="00247CBF">
            <w:pPr>
              <w:spacing w:after="0"/>
              <w:jc w:val="right"/>
              <w:rPr>
                <w:sz w:val="20"/>
                <w:szCs w:val="20"/>
                <w:lang w:val="sr-Cyrl-CS"/>
              </w:rPr>
            </w:pPr>
            <w:r w:rsidRPr="00092ED7">
              <w:rPr>
                <w:sz w:val="20"/>
                <w:szCs w:val="20"/>
                <w:lang w:val="sr-Cyrl-CS"/>
              </w:rPr>
              <w:t>13,5</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1871FFD2" w14:textId="77777777" w:rsidR="00247CBF" w:rsidRPr="00092ED7" w:rsidRDefault="00247CBF" w:rsidP="00247CBF">
            <w:pPr>
              <w:spacing w:after="0"/>
              <w:jc w:val="right"/>
              <w:rPr>
                <w:sz w:val="20"/>
                <w:szCs w:val="20"/>
                <w:lang w:val="sr-Cyrl-CS"/>
              </w:rPr>
            </w:pPr>
            <w:r w:rsidRPr="00092ED7">
              <w:rPr>
                <w:sz w:val="20"/>
                <w:szCs w:val="20"/>
                <w:lang w:val="sr-Cyrl-CS"/>
              </w:rPr>
              <w:t>16,5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686FE444" w14:textId="77777777" w:rsidR="00247CBF" w:rsidRPr="00092ED7" w:rsidRDefault="00247CBF" w:rsidP="00247CBF">
            <w:pPr>
              <w:spacing w:after="0"/>
              <w:jc w:val="right"/>
              <w:rPr>
                <w:sz w:val="20"/>
                <w:szCs w:val="20"/>
                <w:lang w:val="sr-Cyrl-CS"/>
              </w:rPr>
            </w:pPr>
            <w:r w:rsidRPr="00092ED7">
              <w:rPr>
                <w:sz w:val="20"/>
                <w:szCs w:val="20"/>
                <w:lang w:val="sr-Cyrl-CS"/>
              </w:rPr>
              <w:t>18,1</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79501C3" w14:textId="77777777" w:rsidR="00247CBF" w:rsidRPr="00092ED7" w:rsidRDefault="00247CBF" w:rsidP="00247CBF">
            <w:pPr>
              <w:spacing w:after="0"/>
              <w:jc w:val="right"/>
              <w:rPr>
                <w:sz w:val="20"/>
                <w:szCs w:val="20"/>
                <w:lang w:val="sr-Cyrl-CS"/>
              </w:rPr>
            </w:pPr>
            <w:r w:rsidRPr="00092ED7">
              <w:rPr>
                <w:sz w:val="20"/>
                <w:szCs w:val="20"/>
                <w:lang w:val="sr-Cyrl-CS"/>
              </w:rPr>
              <w:t>18,1</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1A714F63" w14:textId="77777777" w:rsidR="00247CBF" w:rsidRPr="00092ED7" w:rsidRDefault="00247CBF" w:rsidP="00247CBF">
            <w:pPr>
              <w:spacing w:after="0"/>
              <w:jc w:val="right"/>
              <w:rPr>
                <w:sz w:val="20"/>
                <w:szCs w:val="20"/>
                <w:lang w:val="sr-Cyrl-CS"/>
              </w:rPr>
            </w:pPr>
            <w:r w:rsidRPr="00092ED7">
              <w:rPr>
                <w:sz w:val="20"/>
                <w:szCs w:val="20"/>
                <w:lang w:val="sr-Cyrl-CS"/>
              </w:rPr>
              <w:t>18,5</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7FF4FA0" w14:textId="77777777" w:rsidR="00247CBF" w:rsidRPr="00092ED7" w:rsidRDefault="00247CBF" w:rsidP="00247CBF">
            <w:pPr>
              <w:spacing w:after="0"/>
              <w:jc w:val="right"/>
              <w:rPr>
                <w:sz w:val="20"/>
                <w:szCs w:val="20"/>
                <w:lang w:val="sr-Cyrl-CS"/>
              </w:rPr>
            </w:pPr>
            <w:r w:rsidRPr="00092ED7">
              <w:rPr>
                <w:sz w:val="20"/>
                <w:szCs w:val="20"/>
                <w:lang w:val="sr-Cyrl-CS"/>
              </w:rPr>
              <w:t>19,0</w:t>
            </w:r>
          </w:p>
        </w:tc>
      </w:tr>
      <w:tr w:rsidR="00247CBF" w:rsidRPr="00092ED7" w14:paraId="482359C2"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2093529C" w14:textId="77777777" w:rsidR="00247CBF" w:rsidRPr="00092ED7" w:rsidRDefault="00247CBF" w:rsidP="00247CBF">
            <w:pPr>
              <w:spacing w:after="0"/>
              <w:rPr>
                <w:sz w:val="20"/>
                <w:szCs w:val="20"/>
                <w:lang w:val="sr-Cyrl-CS"/>
              </w:rPr>
            </w:pPr>
            <w:r w:rsidRPr="00092ED7">
              <w:rPr>
                <w:sz w:val="20"/>
                <w:szCs w:val="20"/>
                <w:lang w:val="sr-Cyrl-CS"/>
              </w:rPr>
              <w:t>17. Нето спољни дуг</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ED4E5B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87D7C6A" w14:textId="77777777" w:rsidR="00247CBF" w:rsidRPr="00092ED7" w:rsidRDefault="00247CBF" w:rsidP="00247CBF">
            <w:pPr>
              <w:spacing w:after="0"/>
              <w:jc w:val="right"/>
              <w:rPr>
                <w:sz w:val="20"/>
                <w:szCs w:val="20"/>
                <w:lang w:val="sr-Cyrl-CS"/>
              </w:rPr>
            </w:pPr>
            <w:r w:rsidRPr="00092ED7">
              <w:rPr>
                <w:sz w:val="20"/>
                <w:szCs w:val="20"/>
                <w:lang w:val="sr-Cyrl-CS"/>
              </w:rPr>
              <w:t>16,8</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11ACDAA" w14:textId="77777777" w:rsidR="00247CBF" w:rsidRPr="00092ED7" w:rsidRDefault="00247CBF" w:rsidP="00247CBF">
            <w:pPr>
              <w:spacing w:after="0"/>
              <w:jc w:val="right"/>
              <w:rPr>
                <w:sz w:val="20"/>
                <w:szCs w:val="20"/>
                <w:lang w:val="sr-Cyrl-CS"/>
              </w:rPr>
            </w:pPr>
            <w:r w:rsidRPr="00092ED7">
              <w:rPr>
                <w:sz w:val="20"/>
                <w:szCs w:val="20"/>
                <w:lang w:val="sr-Cyrl-CS"/>
              </w:rPr>
              <w:t>16,9</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5C50E6D2" w14:textId="77777777" w:rsidR="00247CBF" w:rsidRPr="00092ED7" w:rsidRDefault="00247CBF" w:rsidP="00247CBF">
            <w:pPr>
              <w:spacing w:after="0"/>
              <w:jc w:val="right"/>
              <w:rPr>
                <w:sz w:val="20"/>
                <w:szCs w:val="20"/>
                <w:lang w:val="sr-Cyrl-CS"/>
              </w:rPr>
            </w:pPr>
            <w:r w:rsidRPr="00092ED7">
              <w:rPr>
                <w:sz w:val="20"/>
                <w:szCs w:val="20"/>
                <w:lang w:val="sr-Cyrl-CS"/>
              </w:rPr>
              <w:t>17,2</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6B3EDFE" w14:textId="77777777" w:rsidR="00247CBF" w:rsidRPr="00092ED7" w:rsidRDefault="00247CBF" w:rsidP="00247CBF">
            <w:pPr>
              <w:spacing w:after="0"/>
              <w:jc w:val="right"/>
              <w:rPr>
                <w:sz w:val="20"/>
                <w:szCs w:val="20"/>
                <w:lang w:val="sr-Cyrl-CS"/>
              </w:rPr>
            </w:pPr>
            <w:r w:rsidRPr="00092ED7">
              <w:rPr>
                <w:sz w:val="20"/>
                <w:szCs w:val="20"/>
                <w:lang w:val="sr-Cyrl-CS"/>
              </w:rPr>
              <w:t>17,5</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5FBDEBBC" w14:textId="77777777" w:rsidR="00247CBF" w:rsidRPr="00092ED7" w:rsidRDefault="00247CBF" w:rsidP="00247CBF">
            <w:pPr>
              <w:spacing w:after="0"/>
              <w:jc w:val="right"/>
              <w:rPr>
                <w:sz w:val="20"/>
                <w:szCs w:val="20"/>
                <w:lang w:val="sr-Cyrl-CS"/>
              </w:rPr>
            </w:pPr>
            <w:r w:rsidRPr="00092ED7">
              <w:rPr>
                <w:sz w:val="20"/>
                <w:szCs w:val="20"/>
                <w:lang w:val="sr-Cyrl-CS"/>
              </w:rPr>
              <w:t>18,0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1409698F" w14:textId="77777777" w:rsidR="00247CBF" w:rsidRPr="00092ED7" w:rsidRDefault="00247CBF" w:rsidP="00247CBF">
            <w:pPr>
              <w:spacing w:after="0"/>
              <w:jc w:val="right"/>
              <w:rPr>
                <w:sz w:val="20"/>
                <w:szCs w:val="20"/>
                <w:lang w:val="sr-Cyrl-CS"/>
              </w:rPr>
            </w:pPr>
            <w:r w:rsidRPr="00092ED7">
              <w:rPr>
                <w:sz w:val="20"/>
                <w:szCs w:val="20"/>
                <w:lang w:val="sr-Cyrl-CS"/>
              </w:rPr>
              <w:t>18,0</w:t>
            </w:r>
          </w:p>
        </w:tc>
      </w:tr>
      <w:tr w:rsidR="00247CBF" w:rsidRPr="00092ED7" w14:paraId="1A1B82A2"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0F3733E8" w14:textId="77777777" w:rsidR="00247CBF" w:rsidRPr="00092ED7" w:rsidRDefault="00247CBF" w:rsidP="00247CBF">
            <w:pPr>
              <w:spacing w:after="0"/>
              <w:rPr>
                <w:i/>
                <w:iCs/>
                <w:sz w:val="20"/>
                <w:szCs w:val="20"/>
                <w:lang w:val="sr-Cyrl-CS"/>
              </w:rPr>
            </w:pPr>
            <w:r w:rsidRPr="00092ED7">
              <w:rPr>
                <w:i/>
                <w:iCs/>
                <w:sz w:val="20"/>
                <w:szCs w:val="20"/>
                <w:lang w:val="sr-Cyrl-CS"/>
              </w:rPr>
              <w:t>18. Од чега: деноминовано у страним валутама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53CF093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8A2980B" w14:textId="77777777" w:rsidR="00247CBF" w:rsidRPr="00092ED7" w:rsidRDefault="00247CBF" w:rsidP="00247CBF">
            <w:pPr>
              <w:spacing w:after="0"/>
              <w:jc w:val="right"/>
              <w:rPr>
                <w:i/>
                <w:iCs/>
                <w:sz w:val="20"/>
                <w:szCs w:val="20"/>
                <w:lang w:val="sr-Cyrl-CS"/>
              </w:rPr>
            </w:pPr>
            <w:r w:rsidRPr="00092ED7">
              <w:rPr>
                <w:i/>
                <w:iCs/>
                <w:sz w:val="20"/>
                <w:szCs w:val="20"/>
                <w:lang w:val="sr-Cyrl-CS"/>
              </w:rPr>
              <w:t>14,8</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0AFB5E4" w14:textId="77777777" w:rsidR="00247CBF" w:rsidRPr="00092ED7" w:rsidRDefault="00247CBF" w:rsidP="00247CBF">
            <w:pPr>
              <w:spacing w:after="0"/>
              <w:jc w:val="right"/>
              <w:rPr>
                <w:i/>
                <w:iCs/>
                <w:sz w:val="20"/>
                <w:szCs w:val="20"/>
                <w:lang w:val="sr-Cyrl-CS"/>
              </w:rPr>
            </w:pPr>
            <w:r w:rsidRPr="00092ED7">
              <w:rPr>
                <w:i/>
                <w:iCs/>
                <w:sz w:val="20"/>
                <w:szCs w:val="20"/>
                <w:lang w:val="sr-Cyrl-CS"/>
              </w:rPr>
              <w:t>15,3</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0FE1A1C8" w14:textId="77777777" w:rsidR="00247CBF" w:rsidRPr="00092ED7" w:rsidRDefault="00247CBF" w:rsidP="00247CBF">
            <w:pPr>
              <w:spacing w:after="0"/>
              <w:jc w:val="right"/>
              <w:rPr>
                <w:i/>
                <w:iCs/>
                <w:sz w:val="20"/>
                <w:szCs w:val="20"/>
                <w:lang w:val="sr-Cyrl-CS"/>
              </w:rPr>
            </w:pPr>
            <w:r w:rsidRPr="00092ED7">
              <w:rPr>
                <w:i/>
                <w:iCs/>
                <w:sz w:val="20"/>
                <w:szCs w:val="20"/>
                <w:lang w:val="sr-Cyrl-CS"/>
              </w:rPr>
              <w:t>15,6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5E0820BD" w14:textId="77777777" w:rsidR="00247CBF" w:rsidRPr="00092ED7" w:rsidRDefault="00247CBF" w:rsidP="00247CBF">
            <w:pPr>
              <w:spacing w:after="0"/>
              <w:jc w:val="right"/>
              <w:rPr>
                <w:i/>
                <w:iCs/>
                <w:sz w:val="20"/>
                <w:szCs w:val="20"/>
                <w:lang w:val="sr-Cyrl-CS"/>
              </w:rPr>
            </w:pPr>
            <w:r w:rsidRPr="00092ED7">
              <w:rPr>
                <w:i/>
                <w:iCs/>
                <w:sz w:val="20"/>
                <w:szCs w:val="20"/>
                <w:lang w:val="sr-Cyrl-CS"/>
              </w:rPr>
              <w:t>15,9</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78DCDD81" w14:textId="77777777" w:rsidR="00247CBF" w:rsidRPr="00092ED7" w:rsidRDefault="00247CBF" w:rsidP="00247CBF">
            <w:pPr>
              <w:spacing w:after="0"/>
              <w:jc w:val="right"/>
              <w:rPr>
                <w:i/>
                <w:iCs/>
                <w:sz w:val="20"/>
                <w:szCs w:val="20"/>
                <w:lang w:val="sr-Cyrl-CS"/>
              </w:rPr>
            </w:pPr>
            <w:r w:rsidRPr="00092ED7">
              <w:rPr>
                <w:i/>
                <w:iCs/>
                <w:sz w:val="20"/>
                <w:szCs w:val="20"/>
                <w:lang w:val="sr-Cyrl-CS"/>
              </w:rPr>
              <w:t>16,5</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C2A9ED1" w14:textId="77777777" w:rsidR="00247CBF" w:rsidRPr="00092ED7" w:rsidRDefault="00247CBF" w:rsidP="00247CBF">
            <w:pPr>
              <w:spacing w:after="0"/>
              <w:jc w:val="right"/>
              <w:rPr>
                <w:i/>
                <w:iCs/>
                <w:sz w:val="20"/>
                <w:szCs w:val="20"/>
                <w:lang w:val="sr-Cyrl-CS"/>
              </w:rPr>
            </w:pPr>
            <w:r w:rsidRPr="00092ED7">
              <w:rPr>
                <w:i/>
                <w:iCs/>
                <w:sz w:val="20"/>
                <w:szCs w:val="20"/>
                <w:lang w:val="sr-Cyrl-CS"/>
              </w:rPr>
              <w:t>16,7</w:t>
            </w:r>
          </w:p>
        </w:tc>
      </w:tr>
      <w:tr w:rsidR="00247CBF" w:rsidRPr="00092ED7" w14:paraId="2966D31C"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2C6F3800" w14:textId="77777777" w:rsidR="00247CBF" w:rsidRPr="00092ED7" w:rsidRDefault="00247CBF" w:rsidP="00247CBF">
            <w:pPr>
              <w:spacing w:after="0"/>
              <w:rPr>
                <w:i/>
                <w:iCs/>
                <w:sz w:val="20"/>
                <w:szCs w:val="20"/>
                <w:lang w:val="sr-Cyrl-CS"/>
              </w:rPr>
            </w:pPr>
            <w:r w:rsidRPr="00092ED7">
              <w:rPr>
                <w:i/>
                <w:iCs/>
                <w:sz w:val="20"/>
                <w:szCs w:val="20"/>
                <w:lang w:val="sr-Cyrl-CS"/>
              </w:rPr>
              <w:t>19. Од чега: јавни</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1C425D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CECEB79" w14:textId="77777777" w:rsidR="00247CBF" w:rsidRPr="00092ED7" w:rsidRDefault="00247CBF" w:rsidP="00247CBF">
            <w:pPr>
              <w:spacing w:after="0"/>
              <w:jc w:val="right"/>
              <w:rPr>
                <w:i/>
                <w:iCs/>
                <w:sz w:val="20"/>
                <w:szCs w:val="20"/>
                <w:lang w:val="sr-Cyrl-CS"/>
              </w:rPr>
            </w:pPr>
            <w:r w:rsidRPr="00092ED7">
              <w:rPr>
                <w:i/>
                <w:iCs/>
                <w:sz w:val="20"/>
                <w:szCs w:val="20"/>
                <w:lang w:val="sr-Cyrl-CS"/>
              </w:rPr>
              <w:t>5,5</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48123B2D" w14:textId="77777777" w:rsidR="00247CBF" w:rsidRPr="00092ED7" w:rsidRDefault="00247CBF" w:rsidP="00247CBF">
            <w:pPr>
              <w:spacing w:after="0"/>
              <w:jc w:val="right"/>
              <w:rPr>
                <w:i/>
                <w:iCs/>
                <w:sz w:val="20"/>
                <w:szCs w:val="20"/>
                <w:lang w:val="sr-Cyrl-CS"/>
              </w:rPr>
            </w:pPr>
            <w:r w:rsidRPr="00092ED7">
              <w:rPr>
                <w:i/>
                <w:iCs/>
                <w:sz w:val="20"/>
                <w:szCs w:val="20"/>
                <w:lang w:val="sr-Cyrl-CS"/>
              </w:rPr>
              <w:t>6,1</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E750C5A" w14:textId="77777777" w:rsidR="00247CBF" w:rsidRPr="00092ED7" w:rsidRDefault="00247CBF" w:rsidP="00247CBF">
            <w:pPr>
              <w:spacing w:after="0"/>
              <w:jc w:val="right"/>
              <w:rPr>
                <w:i/>
                <w:iCs/>
                <w:sz w:val="20"/>
                <w:szCs w:val="20"/>
                <w:lang w:val="sr-Cyrl-CS"/>
              </w:rPr>
            </w:pPr>
            <w:r w:rsidRPr="00092ED7">
              <w:rPr>
                <w:i/>
                <w:iCs/>
                <w:sz w:val="20"/>
                <w:szCs w:val="20"/>
                <w:lang w:val="sr-Cyrl-CS"/>
              </w:rPr>
              <w:t>6,1</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B67E52F" w14:textId="77777777" w:rsidR="00247CBF" w:rsidRPr="00092ED7" w:rsidRDefault="00247CBF" w:rsidP="00247CBF">
            <w:pPr>
              <w:spacing w:after="0"/>
              <w:jc w:val="right"/>
              <w:rPr>
                <w:i/>
                <w:iCs/>
                <w:sz w:val="20"/>
                <w:szCs w:val="20"/>
                <w:lang w:val="sr-Cyrl-CS"/>
              </w:rPr>
            </w:pPr>
            <w:r w:rsidRPr="00092ED7">
              <w:rPr>
                <w:i/>
                <w:iCs/>
                <w:sz w:val="20"/>
                <w:szCs w:val="20"/>
                <w:lang w:val="sr-Cyrl-CS"/>
              </w:rPr>
              <w:t>6,1</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BD02C18" w14:textId="77777777" w:rsidR="00247CBF" w:rsidRPr="00092ED7" w:rsidRDefault="00247CBF" w:rsidP="00247CBF">
            <w:pPr>
              <w:spacing w:after="0"/>
              <w:jc w:val="right"/>
              <w:rPr>
                <w:i/>
                <w:iCs/>
                <w:sz w:val="20"/>
                <w:szCs w:val="20"/>
                <w:lang w:val="sr-Cyrl-CS"/>
              </w:rPr>
            </w:pPr>
            <w:r w:rsidRPr="00092ED7">
              <w:rPr>
                <w:i/>
                <w:iCs/>
                <w:sz w:val="20"/>
                <w:szCs w:val="20"/>
                <w:lang w:val="sr-Cyrl-CS"/>
              </w:rPr>
              <w:t>6,2</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C385D79" w14:textId="77777777" w:rsidR="00247CBF" w:rsidRPr="00092ED7" w:rsidRDefault="00247CBF" w:rsidP="00247CBF">
            <w:pPr>
              <w:spacing w:after="0"/>
              <w:jc w:val="right"/>
              <w:rPr>
                <w:i/>
                <w:iCs/>
                <w:sz w:val="20"/>
                <w:szCs w:val="20"/>
                <w:lang w:val="sr-Cyrl-CS"/>
              </w:rPr>
            </w:pPr>
            <w:r w:rsidRPr="00092ED7">
              <w:rPr>
                <w:i/>
                <w:iCs/>
                <w:sz w:val="20"/>
                <w:szCs w:val="20"/>
                <w:lang w:val="sr-Cyrl-CS"/>
              </w:rPr>
              <w:t>6,3</w:t>
            </w:r>
          </w:p>
        </w:tc>
      </w:tr>
      <w:tr w:rsidR="00247CBF" w:rsidRPr="00092ED7" w14:paraId="24E71B17"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68BD9F14" w14:textId="77777777" w:rsidR="00247CBF" w:rsidRPr="00092ED7" w:rsidRDefault="00247CBF" w:rsidP="00247CBF">
            <w:pPr>
              <w:spacing w:after="0"/>
              <w:rPr>
                <w:i/>
                <w:iCs/>
                <w:sz w:val="20"/>
                <w:szCs w:val="20"/>
                <w:lang w:val="sr-Cyrl-CS"/>
              </w:rPr>
            </w:pPr>
            <w:r w:rsidRPr="00092ED7">
              <w:rPr>
                <w:i/>
                <w:iCs/>
                <w:sz w:val="20"/>
                <w:szCs w:val="20"/>
                <w:lang w:val="sr-Cyrl-CS"/>
              </w:rPr>
              <w:t>20. Од чега: отплата камата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D8CAE2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9024A51" w14:textId="77777777" w:rsidR="00247CBF" w:rsidRPr="00092ED7" w:rsidRDefault="00247CBF" w:rsidP="00247CBF">
            <w:pPr>
              <w:spacing w:after="0"/>
              <w:jc w:val="right"/>
              <w:rPr>
                <w:i/>
                <w:iCs/>
                <w:sz w:val="20"/>
                <w:szCs w:val="20"/>
                <w:lang w:val="sr-Cyrl-CS"/>
              </w:rPr>
            </w:pPr>
            <w:r w:rsidRPr="00092ED7">
              <w:rPr>
                <w:i/>
                <w:iCs/>
                <w:sz w:val="20"/>
                <w:szCs w:val="20"/>
                <w:lang w:val="sr-Cyrl-CS"/>
              </w:rPr>
              <w:t>0,6</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7E9BCB9" w14:textId="77777777" w:rsidR="00247CBF" w:rsidRPr="00092ED7" w:rsidRDefault="00247CBF" w:rsidP="00247CBF">
            <w:pPr>
              <w:spacing w:after="0"/>
              <w:jc w:val="right"/>
              <w:rPr>
                <w:i/>
                <w:iCs/>
                <w:sz w:val="20"/>
                <w:szCs w:val="20"/>
                <w:lang w:val="sr-Cyrl-CS"/>
              </w:rPr>
            </w:pPr>
            <w:r w:rsidRPr="00092ED7">
              <w:rPr>
                <w:i/>
                <w:iCs/>
                <w:sz w:val="20"/>
                <w:szCs w:val="20"/>
                <w:lang w:val="sr-Cyrl-CS"/>
              </w:rPr>
              <w:t>0,6</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3CF9E0FF" w14:textId="77777777" w:rsidR="00247CBF" w:rsidRPr="00092ED7" w:rsidRDefault="00247CBF" w:rsidP="00247CBF">
            <w:pPr>
              <w:spacing w:after="0"/>
              <w:jc w:val="right"/>
              <w:rPr>
                <w:i/>
                <w:iCs/>
                <w:sz w:val="20"/>
                <w:szCs w:val="20"/>
                <w:lang w:val="sr-Cyrl-CS"/>
              </w:rPr>
            </w:pPr>
            <w:r w:rsidRPr="00092ED7">
              <w:rPr>
                <w:i/>
                <w:iCs/>
                <w:sz w:val="20"/>
                <w:szCs w:val="20"/>
                <w:lang w:val="sr-Cyrl-CS"/>
              </w:rPr>
              <w:t>0,6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59395DAB" w14:textId="77777777" w:rsidR="00247CBF" w:rsidRPr="00092ED7" w:rsidRDefault="00247CBF" w:rsidP="00247CBF">
            <w:pPr>
              <w:spacing w:after="0"/>
              <w:jc w:val="right"/>
              <w:rPr>
                <w:i/>
                <w:iCs/>
                <w:sz w:val="20"/>
                <w:szCs w:val="20"/>
                <w:lang w:val="sr-Cyrl-CS"/>
              </w:rPr>
            </w:pPr>
            <w:r w:rsidRPr="00092ED7">
              <w:rPr>
                <w:i/>
                <w:iCs/>
                <w:sz w:val="20"/>
                <w:szCs w:val="20"/>
                <w:lang w:val="sr-Cyrl-CS"/>
              </w:rPr>
              <w:t>0,5</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8CB4A75" w14:textId="77777777" w:rsidR="00247CBF" w:rsidRPr="00092ED7" w:rsidRDefault="00247CBF" w:rsidP="00247CBF">
            <w:pPr>
              <w:spacing w:after="0"/>
              <w:jc w:val="right"/>
              <w:rPr>
                <w:i/>
                <w:iCs/>
                <w:sz w:val="20"/>
                <w:szCs w:val="20"/>
                <w:lang w:val="sr-Cyrl-CS"/>
              </w:rPr>
            </w:pPr>
            <w:r w:rsidRPr="00092ED7">
              <w:rPr>
                <w:i/>
                <w:iCs/>
                <w:sz w:val="20"/>
                <w:szCs w:val="20"/>
                <w:lang w:val="sr-Cyrl-CS"/>
              </w:rPr>
              <w:t>0,7</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9F41C1A" w14:textId="77777777" w:rsidR="00247CBF" w:rsidRPr="00092ED7" w:rsidRDefault="00247CBF" w:rsidP="00247CBF">
            <w:pPr>
              <w:spacing w:after="0"/>
              <w:jc w:val="right"/>
              <w:rPr>
                <w:i/>
                <w:iCs/>
                <w:sz w:val="20"/>
                <w:szCs w:val="20"/>
                <w:lang w:val="sr-Cyrl-CS"/>
              </w:rPr>
            </w:pPr>
            <w:r w:rsidRPr="00092ED7">
              <w:rPr>
                <w:i/>
                <w:iCs/>
                <w:sz w:val="20"/>
                <w:szCs w:val="20"/>
                <w:lang w:val="sr-Cyrl-CS"/>
              </w:rPr>
              <w:t>0,8</w:t>
            </w:r>
          </w:p>
        </w:tc>
      </w:tr>
      <w:tr w:rsidR="00247CBF" w:rsidRPr="00092ED7" w14:paraId="25DBBB2C" w14:textId="77777777" w:rsidTr="00247CBF">
        <w:trPr>
          <w:gridAfter w:val="3"/>
          <w:wAfter w:w="365" w:type="dxa"/>
          <w:trHeight w:val="255"/>
        </w:trPr>
        <w:tc>
          <w:tcPr>
            <w:tcW w:w="4962" w:type="dxa"/>
            <w:gridSpan w:val="3"/>
            <w:tcBorders>
              <w:top w:val="nil"/>
              <w:left w:val="double" w:sz="6" w:space="0" w:color="auto"/>
              <w:bottom w:val="single" w:sz="4" w:space="0" w:color="auto"/>
              <w:right w:val="nil"/>
            </w:tcBorders>
            <w:shd w:val="clear" w:color="auto" w:fill="auto"/>
            <w:hideMark/>
          </w:tcPr>
          <w:p w14:paraId="51070EC1" w14:textId="77777777" w:rsidR="00247CBF" w:rsidRPr="00092ED7" w:rsidRDefault="00247CBF" w:rsidP="00247CBF">
            <w:pPr>
              <w:spacing w:after="0"/>
              <w:rPr>
                <w:i/>
                <w:iCs/>
                <w:sz w:val="20"/>
                <w:szCs w:val="20"/>
                <w:lang w:val="sr-Cyrl-CS"/>
              </w:rPr>
            </w:pPr>
            <w:r w:rsidRPr="00092ED7">
              <w:rPr>
                <w:i/>
                <w:iCs/>
                <w:sz w:val="20"/>
                <w:szCs w:val="20"/>
                <w:lang w:val="sr-Cyrl-CS"/>
              </w:rPr>
              <w:t>21. Од чега: доспело за отплату</w:t>
            </w:r>
          </w:p>
        </w:tc>
        <w:tc>
          <w:tcPr>
            <w:tcW w:w="1447" w:type="dxa"/>
            <w:gridSpan w:val="3"/>
            <w:tcBorders>
              <w:top w:val="nil"/>
              <w:left w:val="single" w:sz="8" w:space="0" w:color="auto"/>
              <w:bottom w:val="single" w:sz="4" w:space="0" w:color="auto"/>
              <w:right w:val="single" w:sz="8" w:space="0" w:color="auto"/>
            </w:tcBorders>
            <w:shd w:val="clear" w:color="auto" w:fill="auto"/>
            <w:noWrap/>
            <w:vAlign w:val="center"/>
            <w:hideMark/>
          </w:tcPr>
          <w:p w14:paraId="16CDF44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single" w:sz="4" w:space="0" w:color="auto"/>
              <w:right w:val="dashed" w:sz="4" w:space="0" w:color="auto"/>
            </w:tcBorders>
            <w:shd w:val="clear" w:color="auto" w:fill="auto"/>
            <w:noWrap/>
            <w:vAlign w:val="center"/>
            <w:hideMark/>
          </w:tcPr>
          <w:p w14:paraId="76222747" w14:textId="77777777" w:rsidR="00247CBF" w:rsidRPr="00092ED7" w:rsidRDefault="00247CBF" w:rsidP="00247CBF">
            <w:pPr>
              <w:spacing w:after="0"/>
              <w:jc w:val="right"/>
              <w:rPr>
                <w:i/>
                <w:iCs/>
                <w:sz w:val="20"/>
                <w:szCs w:val="20"/>
                <w:lang w:val="sr-Cyrl-CS"/>
              </w:rPr>
            </w:pPr>
            <w:r w:rsidRPr="00092ED7">
              <w:rPr>
                <w:i/>
                <w:iCs/>
                <w:sz w:val="20"/>
                <w:szCs w:val="20"/>
                <w:lang w:val="sr-Cyrl-CS"/>
              </w:rPr>
              <w:t>4,5</w:t>
            </w:r>
          </w:p>
        </w:tc>
        <w:tc>
          <w:tcPr>
            <w:tcW w:w="1300" w:type="dxa"/>
            <w:gridSpan w:val="4"/>
            <w:tcBorders>
              <w:top w:val="nil"/>
              <w:left w:val="nil"/>
              <w:bottom w:val="single" w:sz="4" w:space="0" w:color="auto"/>
              <w:right w:val="dashed" w:sz="4" w:space="0" w:color="auto"/>
            </w:tcBorders>
            <w:shd w:val="clear" w:color="auto" w:fill="auto"/>
            <w:noWrap/>
            <w:vAlign w:val="center"/>
            <w:hideMark/>
          </w:tcPr>
          <w:p w14:paraId="1749D1EC" w14:textId="77777777" w:rsidR="00247CBF" w:rsidRPr="00092ED7" w:rsidRDefault="00247CBF" w:rsidP="00247CBF">
            <w:pPr>
              <w:spacing w:after="0"/>
              <w:jc w:val="right"/>
              <w:rPr>
                <w:i/>
                <w:iCs/>
                <w:sz w:val="20"/>
                <w:szCs w:val="20"/>
                <w:lang w:val="sr-Cyrl-CS"/>
              </w:rPr>
            </w:pPr>
            <w:r w:rsidRPr="00092ED7">
              <w:rPr>
                <w:i/>
                <w:iCs/>
                <w:sz w:val="20"/>
                <w:szCs w:val="20"/>
                <w:lang w:val="sr-Cyrl-CS"/>
              </w:rPr>
              <w:t>4,3</w:t>
            </w:r>
          </w:p>
        </w:tc>
        <w:tc>
          <w:tcPr>
            <w:tcW w:w="1360" w:type="dxa"/>
            <w:gridSpan w:val="4"/>
            <w:tcBorders>
              <w:top w:val="nil"/>
              <w:left w:val="nil"/>
              <w:bottom w:val="single" w:sz="4" w:space="0" w:color="auto"/>
              <w:right w:val="dashed" w:sz="4" w:space="0" w:color="auto"/>
            </w:tcBorders>
            <w:shd w:val="clear" w:color="auto" w:fill="auto"/>
            <w:noWrap/>
            <w:vAlign w:val="center"/>
            <w:hideMark/>
          </w:tcPr>
          <w:p w14:paraId="0606F96B" w14:textId="77777777" w:rsidR="00247CBF" w:rsidRPr="00092ED7" w:rsidRDefault="00247CBF" w:rsidP="00247CBF">
            <w:pPr>
              <w:spacing w:after="0"/>
              <w:jc w:val="right"/>
              <w:rPr>
                <w:i/>
                <w:iCs/>
                <w:sz w:val="20"/>
                <w:szCs w:val="20"/>
                <w:lang w:val="sr-Cyrl-CS"/>
              </w:rPr>
            </w:pPr>
            <w:r w:rsidRPr="00092ED7">
              <w:rPr>
                <w:i/>
                <w:iCs/>
                <w:sz w:val="20"/>
                <w:szCs w:val="20"/>
                <w:lang w:val="sr-Cyrl-CS"/>
              </w:rPr>
              <w:t>4,8</w:t>
            </w:r>
          </w:p>
        </w:tc>
        <w:tc>
          <w:tcPr>
            <w:tcW w:w="1260" w:type="dxa"/>
            <w:gridSpan w:val="4"/>
            <w:tcBorders>
              <w:top w:val="nil"/>
              <w:left w:val="nil"/>
              <w:bottom w:val="single" w:sz="4" w:space="0" w:color="auto"/>
              <w:right w:val="dashed" w:sz="4" w:space="0" w:color="auto"/>
            </w:tcBorders>
            <w:shd w:val="clear" w:color="auto" w:fill="auto"/>
            <w:noWrap/>
            <w:vAlign w:val="center"/>
            <w:hideMark/>
          </w:tcPr>
          <w:p w14:paraId="549B3791" w14:textId="77777777" w:rsidR="00247CBF" w:rsidRPr="00092ED7" w:rsidRDefault="00247CBF" w:rsidP="00247CBF">
            <w:pPr>
              <w:spacing w:after="0"/>
              <w:jc w:val="right"/>
              <w:rPr>
                <w:i/>
                <w:iCs/>
                <w:sz w:val="20"/>
                <w:szCs w:val="20"/>
                <w:lang w:val="sr-Cyrl-CS"/>
              </w:rPr>
            </w:pPr>
            <w:r w:rsidRPr="00092ED7">
              <w:rPr>
                <w:i/>
                <w:iCs/>
                <w:sz w:val="20"/>
                <w:szCs w:val="20"/>
                <w:lang w:val="sr-Cyrl-CS"/>
              </w:rPr>
              <w:t>4,7</w:t>
            </w:r>
          </w:p>
        </w:tc>
        <w:tc>
          <w:tcPr>
            <w:tcW w:w="1260" w:type="dxa"/>
            <w:gridSpan w:val="3"/>
            <w:tcBorders>
              <w:top w:val="nil"/>
              <w:left w:val="nil"/>
              <w:bottom w:val="single" w:sz="4" w:space="0" w:color="auto"/>
              <w:right w:val="dashed" w:sz="4" w:space="0" w:color="auto"/>
            </w:tcBorders>
            <w:shd w:val="clear" w:color="auto" w:fill="auto"/>
            <w:noWrap/>
            <w:vAlign w:val="center"/>
            <w:hideMark/>
          </w:tcPr>
          <w:p w14:paraId="61AF8A45" w14:textId="77777777" w:rsidR="00247CBF" w:rsidRPr="00092ED7" w:rsidRDefault="00247CBF" w:rsidP="00247CBF">
            <w:pPr>
              <w:spacing w:after="0"/>
              <w:jc w:val="right"/>
              <w:rPr>
                <w:i/>
                <w:iCs/>
                <w:sz w:val="20"/>
                <w:szCs w:val="20"/>
                <w:lang w:val="sr-Cyrl-CS"/>
              </w:rPr>
            </w:pPr>
            <w:r w:rsidRPr="00092ED7">
              <w:rPr>
                <w:i/>
                <w:iCs/>
                <w:sz w:val="20"/>
                <w:szCs w:val="20"/>
                <w:lang w:val="sr-Cyrl-CS"/>
              </w:rPr>
              <w:t>5,5</w:t>
            </w:r>
          </w:p>
        </w:tc>
        <w:tc>
          <w:tcPr>
            <w:tcW w:w="1268" w:type="dxa"/>
            <w:gridSpan w:val="3"/>
            <w:tcBorders>
              <w:top w:val="nil"/>
              <w:left w:val="nil"/>
              <w:bottom w:val="single" w:sz="4" w:space="0" w:color="auto"/>
              <w:right w:val="double" w:sz="4" w:space="0" w:color="auto"/>
            </w:tcBorders>
            <w:shd w:val="clear" w:color="auto" w:fill="auto"/>
            <w:noWrap/>
            <w:vAlign w:val="center"/>
            <w:hideMark/>
          </w:tcPr>
          <w:p w14:paraId="265855AE" w14:textId="77777777" w:rsidR="00247CBF" w:rsidRPr="00092ED7" w:rsidRDefault="00247CBF" w:rsidP="00247CBF">
            <w:pPr>
              <w:spacing w:after="0"/>
              <w:jc w:val="right"/>
              <w:rPr>
                <w:i/>
                <w:iCs/>
                <w:sz w:val="20"/>
                <w:szCs w:val="20"/>
                <w:lang w:val="sr-Cyrl-CS"/>
              </w:rPr>
            </w:pPr>
            <w:r w:rsidRPr="00092ED7">
              <w:rPr>
                <w:i/>
                <w:iCs/>
                <w:sz w:val="20"/>
                <w:szCs w:val="20"/>
                <w:lang w:val="sr-Cyrl-CS"/>
              </w:rPr>
              <w:t>4,8</w:t>
            </w:r>
          </w:p>
        </w:tc>
      </w:tr>
      <w:tr w:rsidR="00247CBF" w:rsidRPr="00092ED7" w14:paraId="281C7194" w14:textId="77777777" w:rsidTr="00247CBF">
        <w:trPr>
          <w:gridAfter w:val="3"/>
          <w:wAfter w:w="365" w:type="dxa"/>
          <w:trHeight w:val="255"/>
        </w:trPr>
        <w:tc>
          <w:tcPr>
            <w:tcW w:w="4962" w:type="dxa"/>
            <w:gridSpan w:val="3"/>
            <w:tcBorders>
              <w:top w:val="single" w:sz="4" w:space="0" w:color="auto"/>
              <w:left w:val="double" w:sz="6" w:space="0" w:color="auto"/>
              <w:bottom w:val="dashed" w:sz="4" w:space="0" w:color="auto"/>
              <w:right w:val="nil"/>
            </w:tcBorders>
            <w:shd w:val="clear" w:color="auto" w:fill="auto"/>
            <w:hideMark/>
          </w:tcPr>
          <w:p w14:paraId="79A83AFB" w14:textId="77777777" w:rsidR="00247CBF" w:rsidRPr="00092ED7" w:rsidRDefault="00247CBF" w:rsidP="00247CBF">
            <w:pPr>
              <w:spacing w:after="0"/>
              <w:jc w:val="left"/>
              <w:rPr>
                <w:sz w:val="20"/>
                <w:szCs w:val="20"/>
                <w:lang w:val="sr-Cyrl-CS"/>
              </w:rPr>
            </w:pPr>
            <w:r w:rsidRPr="00092ED7">
              <w:rPr>
                <w:sz w:val="20"/>
                <w:szCs w:val="20"/>
                <w:lang w:val="sr-Cyrl-CS"/>
              </w:rPr>
              <w:t>22. Нето страна штедња</w:t>
            </w:r>
          </w:p>
        </w:tc>
        <w:tc>
          <w:tcPr>
            <w:tcW w:w="1447" w:type="dxa"/>
            <w:gridSpan w:val="3"/>
            <w:tcBorders>
              <w:top w:val="single" w:sz="4" w:space="0" w:color="auto"/>
              <w:left w:val="single" w:sz="8" w:space="0" w:color="auto"/>
              <w:bottom w:val="dashed" w:sz="4" w:space="0" w:color="auto"/>
              <w:right w:val="single" w:sz="8" w:space="0" w:color="auto"/>
            </w:tcBorders>
            <w:shd w:val="clear" w:color="auto" w:fill="auto"/>
            <w:noWrap/>
            <w:vAlign w:val="center"/>
            <w:hideMark/>
          </w:tcPr>
          <w:p w14:paraId="45EBB1A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single" w:sz="4" w:space="0" w:color="auto"/>
              <w:left w:val="nil"/>
              <w:bottom w:val="dashed" w:sz="4" w:space="0" w:color="auto"/>
              <w:right w:val="dashed" w:sz="4" w:space="0" w:color="auto"/>
            </w:tcBorders>
            <w:shd w:val="clear" w:color="auto" w:fill="auto"/>
            <w:noWrap/>
            <w:vAlign w:val="center"/>
            <w:hideMark/>
          </w:tcPr>
          <w:p w14:paraId="7E0A76D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single" w:sz="4" w:space="0" w:color="auto"/>
              <w:left w:val="nil"/>
              <w:bottom w:val="dashed" w:sz="4" w:space="0" w:color="auto"/>
              <w:right w:val="dashed" w:sz="4" w:space="0" w:color="auto"/>
            </w:tcBorders>
            <w:shd w:val="clear" w:color="auto" w:fill="auto"/>
            <w:noWrap/>
            <w:vAlign w:val="center"/>
            <w:hideMark/>
          </w:tcPr>
          <w:p w14:paraId="727DA131"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single" w:sz="4" w:space="0" w:color="auto"/>
              <w:left w:val="nil"/>
              <w:bottom w:val="dashed" w:sz="4" w:space="0" w:color="auto"/>
              <w:right w:val="dashed" w:sz="4" w:space="0" w:color="auto"/>
            </w:tcBorders>
            <w:shd w:val="clear" w:color="auto" w:fill="auto"/>
            <w:noWrap/>
            <w:vAlign w:val="center"/>
            <w:hideMark/>
          </w:tcPr>
          <w:p w14:paraId="589DD08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single" w:sz="4" w:space="0" w:color="auto"/>
              <w:left w:val="nil"/>
              <w:bottom w:val="dashed" w:sz="4" w:space="0" w:color="auto"/>
              <w:right w:val="dashed" w:sz="4" w:space="0" w:color="auto"/>
            </w:tcBorders>
            <w:shd w:val="clear" w:color="auto" w:fill="auto"/>
            <w:noWrap/>
            <w:vAlign w:val="center"/>
            <w:hideMark/>
          </w:tcPr>
          <w:p w14:paraId="3954E0DF"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single" w:sz="4" w:space="0" w:color="auto"/>
              <w:left w:val="nil"/>
              <w:bottom w:val="dashed" w:sz="4" w:space="0" w:color="auto"/>
              <w:right w:val="dashed" w:sz="4" w:space="0" w:color="auto"/>
            </w:tcBorders>
            <w:shd w:val="clear" w:color="auto" w:fill="auto"/>
            <w:noWrap/>
            <w:vAlign w:val="center"/>
            <w:hideMark/>
          </w:tcPr>
          <w:p w14:paraId="0843961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single" w:sz="4" w:space="0" w:color="auto"/>
              <w:left w:val="nil"/>
              <w:bottom w:val="dashed" w:sz="4" w:space="0" w:color="auto"/>
              <w:right w:val="double" w:sz="4" w:space="0" w:color="auto"/>
            </w:tcBorders>
            <w:shd w:val="clear" w:color="auto" w:fill="auto"/>
            <w:noWrap/>
            <w:vAlign w:val="center"/>
            <w:hideMark/>
          </w:tcPr>
          <w:p w14:paraId="23E1CA59"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37F00E28"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663E0BE9" w14:textId="77777777" w:rsidR="00247CBF" w:rsidRPr="00092ED7" w:rsidRDefault="00247CBF" w:rsidP="00247CBF">
            <w:pPr>
              <w:spacing w:after="0"/>
              <w:rPr>
                <w:sz w:val="20"/>
                <w:szCs w:val="20"/>
                <w:lang w:val="sr-Cyrl-CS"/>
              </w:rPr>
            </w:pPr>
            <w:r w:rsidRPr="00092ED7">
              <w:rPr>
                <w:sz w:val="20"/>
                <w:szCs w:val="20"/>
                <w:lang w:val="sr-Cyrl-CS"/>
              </w:rPr>
              <w:t>23. Домаћа приватна штедња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755BDEF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60862E41"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16A9632F"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B4EC74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840F53F"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F0D39BF"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96D0F49"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762C20FA"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0F5BD593" w14:textId="77777777" w:rsidR="00247CBF" w:rsidRPr="00092ED7" w:rsidRDefault="00247CBF" w:rsidP="00247CBF">
            <w:pPr>
              <w:spacing w:after="0"/>
              <w:rPr>
                <w:sz w:val="20"/>
                <w:szCs w:val="20"/>
                <w:lang w:val="sr-Cyrl-CS"/>
              </w:rPr>
            </w:pPr>
            <w:r w:rsidRPr="00092ED7">
              <w:rPr>
                <w:sz w:val="20"/>
                <w:szCs w:val="20"/>
                <w:lang w:val="sr-Cyrl-CS"/>
              </w:rPr>
              <w:t xml:space="preserve">24. Домаће приватне инвестиције </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511D0EF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62D4EEA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1DD4685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8B3AC1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FDEE4ED"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5010C7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4485685"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745D0867"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15FA0FE8" w14:textId="77777777" w:rsidR="00247CBF" w:rsidRPr="00092ED7" w:rsidRDefault="00247CBF" w:rsidP="00247CBF">
            <w:pPr>
              <w:spacing w:after="0"/>
              <w:rPr>
                <w:sz w:val="20"/>
                <w:szCs w:val="20"/>
                <w:lang w:val="sr-Cyrl-CS"/>
              </w:rPr>
            </w:pPr>
            <w:r w:rsidRPr="00092ED7">
              <w:rPr>
                <w:sz w:val="20"/>
                <w:szCs w:val="20"/>
                <w:lang w:val="sr-Cyrl-CS"/>
              </w:rPr>
              <w:t>25. Домаћа јавна штедња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3540FF2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988C2F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EAC9B7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ED4988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CECD973"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155ED92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2BDBF33"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0E351731" w14:textId="77777777" w:rsidTr="00247CBF">
        <w:trPr>
          <w:gridAfter w:val="3"/>
          <w:wAfter w:w="365" w:type="dxa"/>
          <w:trHeight w:val="270"/>
        </w:trPr>
        <w:tc>
          <w:tcPr>
            <w:tcW w:w="4962" w:type="dxa"/>
            <w:gridSpan w:val="3"/>
            <w:tcBorders>
              <w:top w:val="nil"/>
              <w:left w:val="double" w:sz="6" w:space="0" w:color="auto"/>
              <w:bottom w:val="double" w:sz="6" w:space="0" w:color="auto"/>
              <w:right w:val="nil"/>
            </w:tcBorders>
            <w:shd w:val="clear" w:color="auto" w:fill="auto"/>
            <w:hideMark/>
          </w:tcPr>
          <w:p w14:paraId="30184171" w14:textId="77777777" w:rsidR="00247CBF" w:rsidRPr="00092ED7" w:rsidRDefault="00247CBF" w:rsidP="00247CBF">
            <w:pPr>
              <w:spacing w:after="0"/>
              <w:rPr>
                <w:sz w:val="20"/>
                <w:szCs w:val="20"/>
                <w:lang w:val="sr-Cyrl-CS"/>
              </w:rPr>
            </w:pPr>
            <w:r w:rsidRPr="00092ED7">
              <w:rPr>
                <w:sz w:val="20"/>
                <w:szCs w:val="20"/>
                <w:lang w:val="sr-Cyrl-CS"/>
              </w:rPr>
              <w:t xml:space="preserve">26. Домаће јавне инвестиције </w:t>
            </w:r>
          </w:p>
        </w:tc>
        <w:tc>
          <w:tcPr>
            <w:tcW w:w="1447" w:type="dxa"/>
            <w:gridSpan w:val="3"/>
            <w:tcBorders>
              <w:top w:val="nil"/>
              <w:left w:val="single" w:sz="8" w:space="0" w:color="auto"/>
              <w:bottom w:val="double" w:sz="6" w:space="0" w:color="auto"/>
              <w:right w:val="single" w:sz="8" w:space="0" w:color="auto"/>
            </w:tcBorders>
            <w:shd w:val="clear" w:color="auto" w:fill="auto"/>
            <w:noWrap/>
            <w:vAlign w:val="center"/>
            <w:hideMark/>
          </w:tcPr>
          <w:p w14:paraId="2D9366C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ouble" w:sz="6" w:space="0" w:color="auto"/>
              <w:right w:val="dashed" w:sz="4" w:space="0" w:color="auto"/>
            </w:tcBorders>
            <w:shd w:val="clear" w:color="auto" w:fill="auto"/>
            <w:noWrap/>
            <w:vAlign w:val="center"/>
            <w:hideMark/>
          </w:tcPr>
          <w:p w14:paraId="0ADB2BF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double" w:sz="6" w:space="0" w:color="auto"/>
              <w:right w:val="dashed" w:sz="4" w:space="0" w:color="auto"/>
            </w:tcBorders>
            <w:shd w:val="clear" w:color="auto" w:fill="auto"/>
            <w:noWrap/>
            <w:vAlign w:val="center"/>
            <w:hideMark/>
          </w:tcPr>
          <w:p w14:paraId="1531D79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double" w:sz="6" w:space="0" w:color="auto"/>
              <w:right w:val="dashed" w:sz="4" w:space="0" w:color="auto"/>
            </w:tcBorders>
            <w:shd w:val="clear" w:color="auto" w:fill="auto"/>
            <w:noWrap/>
            <w:vAlign w:val="center"/>
            <w:hideMark/>
          </w:tcPr>
          <w:p w14:paraId="34281B7D"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ouble" w:sz="6" w:space="0" w:color="auto"/>
              <w:right w:val="dashed" w:sz="4" w:space="0" w:color="auto"/>
            </w:tcBorders>
            <w:shd w:val="clear" w:color="auto" w:fill="auto"/>
            <w:noWrap/>
            <w:vAlign w:val="center"/>
            <w:hideMark/>
          </w:tcPr>
          <w:p w14:paraId="01B3524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ouble" w:sz="6" w:space="0" w:color="auto"/>
              <w:right w:val="dashed" w:sz="4" w:space="0" w:color="auto"/>
            </w:tcBorders>
            <w:shd w:val="clear" w:color="auto" w:fill="auto"/>
            <w:noWrap/>
            <w:vAlign w:val="center"/>
            <w:hideMark/>
          </w:tcPr>
          <w:p w14:paraId="5767DBF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ouble" w:sz="6" w:space="0" w:color="auto"/>
              <w:right w:val="double" w:sz="4" w:space="0" w:color="auto"/>
            </w:tcBorders>
            <w:shd w:val="clear" w:color="auto" w:fill="auto"/>
            <w:noWrap/>
            <w:vAlign w:val="center"/>
            <w:hideMark/>
          </w:tcPr>
          <w:p w14:paraId="466E3D5E"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5C2BFEB1" w14:textId="77777777" w:rsidTr="00247CBF">
        <w:trPr>
          <w:gridAfter w:val="3"/>
          <w:wAfter w:w="365" w:type="dxa"/>
          <w:trHeight w:val="240"/>
        </w:trPr>
        <w:tc>
          <w:tcPr>
            <w:tcW w:w="4962" w:type="dxa"/>
            <w:gridSpan w:val="3"/>
            <w:tcBorders>
              <w:top w:val="nil"/>
              <w:left w:val="nil"/>
              <w:bottom w:val="nil"/>
              <w:right w:val="nil"/>
            </w:tcBorders>
            <w:shd w:val="clear" w:color="auto" w:fill="auto"/>
            <w:noWrap/>
            <w:hideMark/>
          </w:tcPr>
          <w:p w14:paraId="25C776B0"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[1] Узрасна група 15-64 године</w:t>
            </w:r>
          </w:p>
        </w:tc>
        <w:tc>
          <w:tcPr>
            <w:tcW w:w="1447" w:type="dxa"/>
            <w:gridSpan w:val="3"/>
            <w:tcBorders>
              <w:top w:val="nil"/>
              <w:left w:val="nil"/>
              <w:bottom w:val="nil"/>
              <w:right w:val="nil"/>
            </w:tcBorders>
            <w:shd w:val="clear" w:color="auto" w:fill="auto"/>
            <w:noWrap/>
            <w:vAlign w:val="bottom"/>
            <w:hideMark/>
          </w:tcPr>
          <w:p w14:paraId="70210724"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 </w:t>
            </w:r>
          </w:p>
        </w:tc>
        <w:tc>
          <w:tcPr>
            <w:tcW w:w="1380" w:type="dxa"/>
            <w:gridSpan w:val="3"/>
            <w:tcBorders>
              <w:top w:val="nil"/>
              <w:left w:val="nil"/>
              <w:bottom w:val="nil"/>
              <w:right w:val="nil"/>
            </w:tcBorders>
            <w:shd w:val="clear" w:color="auto" w:fill="auto"/>
            <w:noWrap/>
            <w:vAlign w:val="bottom"/>
            <w:hideMark/>
          </w:tcPr>
          <w:p w14:paraId="3E1BDBAD"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300" w:type="dxa"/>
            <w:gridSpan w:val="4"/>
            <w:tcBorders>
              <w:top w:val="nil"/>
              <w:left w:val="nil"/>
              <w:bottom w:val="nil"/>
              <w:right w:val="nil"/>
            </w:tcBorders>
            <w:shd w:val="clear" w:color="auto" w:fill="auto"/>
            <w:noWrap/>
            <w:vAlign w:val="bottom"/>
            <w:hideMark/>
          </w:tcPr>
          <w:p w14:paraId="4DC74F64"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360" w:type="dxa"/>
            <w:gridSpan w:val="4"/>
            <w:tcBorders>
              <w:top w:val="nil"/>
              <w:left w:val="nil"/>
              <w:bottom w:val="nil"/>
              <w:right w:val="nil"/>
            </w:tcBorders>
            <w:shd w:val="clear" w:color="auto" w:fill="auto"/>
            <w:noWrap/>
            <w:vAlign w:val="bottom"/>
            <w:hideMark/>
          </w:tcPr>
          <w:p w14:paraId="723D9D78"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0" w:type="dxa"/>
            <w:gridSpan w:val="4"/>
            <w:tcBorders>
              <w:top w:val="nil"/>
              <w:left w:val="nil"/>
              <w:bottom w:val="nil"/>
              <w:right w:val="nil"/>
            </w:tcBorders>
            <w:shd w:val="clear" w:color="auto" w:fill="auto"/>
            <w:noWrap/>
            <w:vAlign w:val="bottom"/>
            <w:hideMark/>
          </w:tcPr>
          <w:p w14:paraId="40CF053F"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0" w:type="dxa"/>
            <w:gridSpan w:val="3"/>
            <w:tcBorders>
              <w:top w:val="nil"/>
              <w:left w:val="nil"/>
              <w:bottom w:val="nil"/>
              <w:right w:val="nil"/>
            </w:tcBorders>
            <w:shd w:val="clear" w:color="auto" w:fill="auto"/>
            <w:noWrap/>
            <w:vAlign w:val="bottom"/>
            <w:hideMark/>
          </w:tcPr>
          <w:p w14:paraId="61091714"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8" w:type="dxa"/>
            <w:gridSpan w:val="3"/>
            <w:tcBorders>
              <w:top w:val="double" w:sz="6" w:space="0" w:color="auto"/>
              <w:left w:val="nil"/>
              <w:bottom w:val="nil"/>
            </w:tcBorders>
            <w:shd w:val="clear" w:color="auto" w:fill="auto"/>
            <w:noWrap/>
            <w:vAlign w:val="bottom"/>
            <w:hideMark/>
          </w:tcPr>
          <w:p w14:paraId="34C74843"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3FFDF9F3" w14:textId="77777777" w:rsidTr="00247CBF">
        <w:trPr>
          <w:gridAfter w:val="3"/>
          <w:wAfter w:w="365" w:type="dxa"/>
          <w:trHeight w:val="153"/>
        </w:trPr>
        <w:tc>
          <w:tcPr>
            <w:tcW w:w="6409" w:type="dxa"/>
            <w:gridSpan w:val="6"/>
            <w:tcBorders>
              <w:top w:val="nil"/>
              <w:left w:val="nil"/>
              <w:bottom w:val="nil"/>
              <w:right w:val="nil"/>
            </w:tcBorders>
            <w:shd w:val="clear" w:color="auto" w:fill="auto"/>
            <w:noWrap/>
            <w:hideMark/>
          </w:tcPr>
          <w:p w14:paraId="1ED6A9AA"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[2] Запослено становништво, према дефиницији из Анкете о радној снази </w:t>
            </w:r>
          </w:p>
        </w:tc>
        <w:tc>
          <w:tcPr>
            <w:tcW w:w="1380" w:type="dxa"/>
            <w:gridSpan w:val="3"/>
            <w:tcBorders>
              <w:top w:val="nil"/>
              <w:left w:val="nil"/>
              <w:bottom w:val="nil"/>
              <w:right w:val="nil"/>
            </w:tcBorders>
            <w:shd w:val="clear" w:color="auto" w:fill="auto"/>
            <w:noWrap/>
            <w:vAlign w:val="bottom"/>
            <w:hideMark/>
          </w:tcPr>
          <w:p w14:paraId="2C379EAC"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300" w:type="dxa"/>
            <w:gridSpan w:val="4"/>
            <w:tcBorders>
              <w:top w:val="nil"/>
              <w:left w:val="nil"/>
              <w:bottom w:val="nil"/>
              <w:right w:val="nil"/>
            </w:tcBorders>
            <w:shd w:val="clear" w:color="auto" w:fill="auto"/>
            <w:noWrap/>
            <w:vAlign w:val="bottom"/>
            <w:hideMark/>
          </w:tcPr>
          <w:p w14:paraId="6CCF0400"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360" w:type="dxa"/>
            <w:gridSpan w:val="4"/>
            <w:tcBorders>
              <w:top w:val="nil"/>
              <w:left w:val="nil"/>
              <w:bottom w:val="nil"/>
              <w:right w:val="nil"/>
            </w:tcBorders>
            <w:shd w:val="clear" w:color="auto" w:fill="auto"/>
            <w:noWrap/>
            <w:vAlign w:val="bottom"/>
            <w:hideMark/>
          </w:tcPr>
          <w:p w14:paraId="5CD953D5"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0" w:type="dxa"/>
            <w:gridSpan w:val="4"/>
            <w:tcBorders>
              <w:top w:val="nil"/>
              <w:left w:val="nil"/>
              <w:bottom w:val="nil"/>
              <w:right w:val="nil"/>
            </w:tcBorders>
            <w:shd w:val="clear" w:color="auto" w:fill="auto"/>
            <w:noWrap/>
            <w:vAlign w:val="bottom"/>
            <w:hideMark/>
          </w:tcPr>
          <w:p w14:paraId="1871F882"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0" w:type="dxa"/>
            <w:gridSpan w:val="3"/>
            <w:tcBorders>
              <w:top w:val="nil"/>
              <w:left w:val="nil"/>
              <w:bottom w:val="nil"/>
              <w:right w:val="nil"/>
            </w:tcBorders>
            <w:shd w:val="clear" w:color="auto" w:fill="auto"/>
            <w:noWrap/>
            <w:vAlign w:val="bottom"/>
            <w:hideMark/>
          </w:tcPr>
          <w:p w14:paraId="67575CCE"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8" w:type="dxa"/>
            <w:gridSpan w:val="3"/>
            <w:tcBorders>
              <w:top w:val="nil"/>
              <w:left w:val="nil"/>
              <w:bottom w:val="nil"/>
              <w:right w:val="nil"/>
            </w:tcBorders>
            <w:shd w:val="clear" w:color="auto" w:fill="auto"/>
            <w:noWrap/>
            <w:vAlign w:val="bottom"/>
            <w:hideMark/>
          </w:tcPr>
          <w:p w14:paraId="1D9032EA"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35F386D2" w14:textId="77777777" w:rsidTr="00247CBF">
        <w:trPr>
          <w:gridAfter w:val="3"/>
          <w:wAfter w:w="365" w:type="dxa"/>
          <w:trHeight w:val="225"/>
        </w:trPr>
        <w:tc>
          <w:tcPr>
            <w:tcW w:w="4962" w:type="dxa"/>
            <w:gridSpan w:val="3"/>
            <w:tcBorders>
              <w:top w:val="nil"/>
              <w:left w:val="nil"/>
              <w:bottom w:val="nil"/>
              <w:right w:val="nil"/>
            </w:tcBorders>
            <w:shd w:val="clear" w:color="auto" w:fill="auto"/>
            <w:hideMark/>
          </w:tcPr>
          <w:p w14:paraId="0D6AA8EF"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[3] Дефиниција према националним рачунима</w:t>
            </w:r>
          </w:p>
        </w:tc>
        <w:tc>
          <w:tcPr>
            <w:tcW w:w="1447" w:type="dxa"/>
            <w:gridSpan w:val="3"/>
            <w:tcBorders>
              <w:top w:val="nil"/>
              <w:left w:val="nil"/>
              <w:bottom w:val="nil"/>
              <w:right w:val="nil"/>
            </w:tcBorders>
            <w:shd w:val="clear" w:color="auto" w:fill="auto"/>
            <w:noWrap/>
            <w:vAlign w:val="bottom"/>
            <w:hideMark/>
          </w:tcPr>
          <w:p w14:paraId="4FDFA181"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 </w:t>
            </w:r>
          </w:p>
        </w:tc>
        <w:tc>
          <w:tcPr>
            <w:tcW w:w="1380" w:type="dxa"/>
            <w:gridSpan w:val="3"/>
            <w:tcBorders>
              <w:top w:val="nil"/>
              <w:left w:val="nil"/>
              <w:bottom w:val="nil"/>
              <w:right w:val="nil"/>
            </w:tcBorders>
            <w:shd w:val="clear" w:color="auto" w:fill="auto"/>
            <w:noWrap/>
            <w:vAlign w:val="bottom"/>
            <w:hideMark/>
          </w:tcPr>
          <w:p w14:paraId="5143B30B"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300" w:type="dxa"/>
            <w:gridSpan w:val="4"/>
            <w:tcBorders>
              <w:top w:val="nil"/>
              <w:left w:val="nil"/>
              <w:bottom w:val="nil"/>
              <w:right w:val="nil"/>
            </w:tcBorders>
            <w:shd w:val="clear" w:color="auto" w:fill="auto"/>
            <w:noWrap/>
            <w:vAlign w:val="bottom"/>
            <w:hideMark/>
          </w:tcPr>
          <w:p w14:paraId="2D389D64"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360" w:type="dxa"/>
            <w:gridSpan w:val="4"/>
            <w:tcBorders>
              <w:top w:val="nil"/>
              <w:left w:val="nil"/>
              <w:bottom w:val="nil"/>
              <w:right w:val="nil"/>
            </w:tcBorders>
            <w:shd w:val="clear" w:color="auto" w:fill="auto"/>
            <w:noWrap/>
            <w:vAlign w:val="bottom"/>
            <w:hideMark/>
          </w:tcPr>
          <w:p w14:paraId="6FFACA7C"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0" w:type="dxa"/>
            <w:gridSpan w:val="4"/>
            <w:tcBorders>
              <w:top w:val="nil"/>
              <w:left w:val="nil"/>
              <w:bottom w:val="nil"/>
              <w:right w:val="nil"/>
            </w:tcBorders>
            <w:shd w:val="clear" w:color="auto" w:fill="auto"/>
            <w:noWrap/>
            <w:vAlign w:val="bottom"/>
            <w:hideMark/>
          </w:tcPr>
          <w:p w14:paraId="0336E9FE"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0" w:type="dxa"/>
            <w:gridSpan w:val="3"/>
            <w:tcBorders>
              <w:top w:val="nil"/>
              <w:left w:val="nil"/>
              <w:bottom w:val="nil"/>
              <w:right w:val="nil"/>
            </w:tcBorders>
            <w:shd w:val="clear" w:color="auto" w:fill="auto"/>
            <w:noWrap/>
            <w:vAlign w:val="bottom"/>
            <w:hideMark/>
          </w:tcPr>
          <w:p w14:paraId="6CBB5AF6"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8" w:type="dxa"/>
            <w:gridSpan w:val="3"/>
            <w:tcBorders>
              <w:top w:val="nil"/>
              <w:left w:val="nil"/>
              <w:bottom w:val="nil"/>
              <w:right w:val="nil"/>
            </w:tcBorders>
            <w:shd w:val="clear" w:color="auto" w:fill="auto"/>
            <w:noWrap/>
            <w:vAlign w:val="bottom"/>
            <w:hideMark/>
          </w:tcPr>
          <w:p w14:paraId="6A9D7738"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237CC727" w14:textId="77777777" w:rsidTr="00247CBF">
        <w:trPr>
          <w:gridAfter w:val="2"/>
          <w:wAfter w:w="293" w:type="dxa"/>
          <w:trHeight w:val="285"/>
        </w:trPr>
        <w:tc>
          <w:tcPr>
            <w:tcW w:w="4962" w:type="dxa"/>
            <w:gridSpan w:val="3"/>
            <w:tcBorders>
              <w:top w:val="double" w:sz="6" w:space="0" w:color="auto"/>
              <w:left w:val="double" w:sz="6" w:space="0" w:color="auto"/>
              <w:bottom w:val="double" w:sz="6" w:space="0" w:color="auto"/>
              <w:right w:val="nil"/>
            </w:tcBorders>
            <w:shd w:val="clear" w:color="auto" w:fill="auto"/>
            <w:noWrap/>
            <w:vAlign w:val="center"/>
            <w:hideMark/>
          </w:tcPr>
          <w:p w14:paraId="5A87FA35"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Табела 1g: Индикатори одрживости</w:t>
            </w:r>
          </w:p>
        </w:tc>
        <w:tc>
          <w:tcPr>
            <w:tcW w:w="1447" w:type="dxa"/>
            <w:gridSpan w:val="3"/>
            <w:tcBorders>
              <w:top w:val="double" w:sz="6" w:space="0" w:color="auto"/>
              <w:left w:val="single" w:sz="8" w:space="0" w:color="auto"/>
              <w:bottom w:val="double" w:sz="6" w:space="0" w:color="auto"/>
              <w:right w:val="single" w:sz="8" w:space="0" w:color="auto"/>
            </w:tcBorders>
            <w:shd w:val="clear" w:color="auto" w:fill="auto"/>
            <w:noWrap/>
            <w:vAlign w:val="center"/>
            <w:hideMark/>
          </w:tcPr>
          <w:p w14:paraId="2D96ADE1" w14:textId="77777777" w:rsidR="00247CBF" w:rsidRPr="00092ED7" w:rsidRDefault="00247CBF" w:rsidP="00247CBF">
            <w:pPr>
              <w:spacing w:after="0"/>
              <w:jc w:val="center"/>
              <w:rPr>
                <w:sz w:val="20"/>
                <w:szCs w:val="20"/>
                <w:lang w:val="sr-Cyrl-CS"/>
              </w:rPr>
            </w:pPr>
            <w:r w:rsidRPr="00092ED7">
              <w:rPr>
                <w:sz w:val="20"/>
                <w:szCs w:val="20"/>
                <w:lang w:val="sr-Cyrl-CS"/>
              </w:rPr>
              <w:t>Димензија</w:t>
            </w:r>
          </w:p>
        </w:tc>
        <w:tc>
          <w:tcPr>
            <w:tcW w:w="1388" w:type="dxa"/>
            <w:gridSpan w:val="4"/>
            <w:tcBorders>
              <w:top w:val="double" w:sz="6" w:space="0" w:color="auto"/>
              <w:left w:val="nil"/>
              <w:bottom w:val="double" w:sz="6" w:space="0" w:color="auto"/>
            </w:tcBorders>
            <w:shd w:val="clear" w:color="auto" w:fill="auto"/>
            <w:noWrap/>
            <w:vAlign w:val="center"/>
            <w:hideMark/>
          </w:tcPr>
          <w:p w14:paraId="0899566D" w14:textId="77777777" w:rsidR="00247CBF" w:rsidRPr="00092ED7" w:rsidRDefault="00247CBF" w:rsidP="00247CBF">
            <w:pPr>
              <w:spacing w:after="0"/>
              <w:jc w:val="right"/>
              <w:rPr>
                <w:b/>
                <w:bCs/>
                <w:sz w:val="20"/>
                <w:szCs w:val="20"/>
                <w:lang w:val="sr-Cyrl-CS"/>
              </w:rPr>
            </w:pPr>
            <w:r w:rsidRPr="00092ED7">
              <w:rPr>
                <w:b/>
                <w:bCs/>
                <w:sz w:val="20"/>
                <w:szCs w:val="20"/>
                <w:lang w:val="sr-Cyrl-CS"/>
              </w:rPr>
              <w:t>2017</w:t>
            </w:r>
          </w:p>
        </w:tc>
        <w:tc>
          <w:tcPr>
            <w:tcW w:w="1316" w:type="dxa"/>
            <w:gridSpan w:val="4"/>
            <w:tcBorders>
              <w:top w:val="double" w:sz="6" w:space="0" w:color="auto"/>
              <w:bottom w:val="double" w:sz="6" w:space="0" w:color="auto"/>
            </w:tcBorders>
            <w:shd w:val="clear" w:color="auto" w:fill="auto"/>
            <w:noWrap/>
            <w:vAlign w:val="center"/>
            <w:hideMark/>
          </w:tcPr>
          <w:p w14:paraId="7D954439" w14:textId="77777777" w:rsidR="00247CBF" w:rsidRPr="00092ED7" w:rsidRDefault="00247CBF" w:rsidP="00247CBF">
            <w:pPr>
              <w:spacing w:after="0"/>
              <w:jc w:val="right"/>
              <w:rPr>
                <w:b/>
                <w:bCs/>
                <w:sz w:val="20"/>
                <w:szCs w:val="20"/>
                <w:lang w:val="sr-Cyrl-CS"/>
              </w:rPr>
            </w:pPr>
            <w:r w:rsidRPr="00092ED7">
              <w:rPr>
                <w:b/>
                <w:bCs/>
                <w:sz w:val="20"/>
                <w:szCs w:val="20"/>
                <w:lang w:val="sr-Cyrl-CS"/>
              </w:rPr>
              <w:t>2018</w:t>
            </w:r>
          </w:p>
        </w:tc>
        <w:tc>
          <w:tcPr>
            <w:tcW w:w="1376" w:type="dxa"/>
            <w:gridSpan w:val="4"/>
            <w:tcBorders>
              <w:top w:val="double" w:sz="6" w:space="0" w:color="auto"/>
              <w:bottom w:val="double" w:sz="6" w:space="0" w:color="auto"/>
            </w:tcBorders>
            <w:shd w:val="clear" w:color="auto" w:fill="auto"/>
            <w:noWrap/>
            <w:vAlign w:val="center"/>
            <w:hideMark/>
          </w:tcPr>
          <w:p w14:paraId="62673A7D" w14:textId="77777777" w:rsidR="00247CBF" w:rsidRPr="00092ED7" w:rsidRDefault="00247CBF" w:rsidP="00247CBF">
            <w:pPr>
              <w:spacing w:after="0"/>
              <w:jc w:val="right"/>
              <w:rPr>
                <w:b/>
                <w:bCs/>
                <w:sz w:val="20"/>
                <w:szCs w:val="20"/>
                <w:lang w:val="sr-Cyrl-CS"/>
              </w:rPr>
            </w:pPr>
            <w:r w:rsidRPr="00092ED7">
              <w:rPr>
                <w:b/>
                <w:bCs/>
                <w:sz w:val="20"/>
                <w:szCs w:val="20"/>
                <w:lang w:val="sr-Cyrl-CS"/>
              </w:rPr>
              <w:t>2019</w:t>
            </w:r>
          </w:p>
        </w:tc>
        <w:tc>
          <w:tcPr>
            <w:tcW w:w="1276" w:type="dxa"/>
            <w:gridSpan w:val="4"/>
            <w:tcBorders>
              <w:top w:val="double" w:sz="6" w:space="0" w:color="auto"/>
              <w:bottom w:val="double" w:sz="6" w:space="0" w:color="auto"/>
            </w:tcBorders>
            <w:shd w:val="clear" w:color="auto" w:fill="auto"/>
            <w:noWrap/>
            <w:vAlign w:val="center"/>
            <w:hideMark/>
          </w:tcPr>
          <w:p w14:paraId="2D3BA9F3" w14:textId="77777777" w:rsidR="00247CBF" w:rsidRPr="00092ED7" w:rsidRDefault="00247CBF" w:rsidP="00247CBF">
            <w:pPr>
              <w:spacing w:after="0"/>
              <w:jc w:val="right"/>
              <w:rPr>
                <w:b/>
                <w:bCs/>
                <w:sz w:val="20"/>
                <w:szCs w:val="20"/>
                <w:lang w:val="sr-Cyrl-CS"/>
              </w:rPr>
            </w:pPr>
            <w:r w:rsidRPr="00092ED7">
              <w:rPr>
                <w:b/>
                <w:bCs/>
                <w:sz w:val="20"/>
                <w:szCs w:val="20"/>
                <w:lang w:val="sr-Cyrl-CS"/>
              </w:rPr>
              <w:t>2020</w:t>
            </w:r>
          </w:p>
        </w:tc>
        <w:tc>
          <w:tcPr>
            <w:tcW w:w="1276" w:type="dxa"/>
            <w:gridSpan w:val="3"/>
            <w:tcBorders>
              <w:top w:val="double" w:sz="6" w:space="0" w:color="auto"/>
              <w:bottom w:val="double" w:sz="6" w:space="0" w:color="auto"/>
            </w:tcBorders>
            <w:shd w:val="clear" w:color="auto" w:fill="auto"/>
            <w:noWrap/>
            <w:vAlign w:val="center"/>
            <w:hideMark/>
          </w:tcPr>
          <w:p w14:paraId="64F38F44" w14:textId="77777777" w:rsidR="00247CBF" w:rsidRPr="00092ED7" w:rsidRDefault="00247CBF" w:rsidP="00247CBF">
            <w:pPr>
              <w:spacing w:after="0"/>
              <w:jc w:val="right"/>
              <w:rPr>
                <w:b/>
                <w:bCs/>
                <w:sz w:val="20"/>
                <w:szCs w:val="20"/>
                <w:lang w:val="sr-Cyrl-CS"/>
              </w:rPr>
            </w:pPr>
            <w:r w:rsidRPr="00092ED7">
              <w:rPr>
                <w:b/>
                <w:bCs/>
                <w:sz w:val="20"/>
                <w:szCs w:val="20"/>
                <w:lang w:val="sr-Cyrl-CS"/>
              </w:rPr>
              <w:t>2021</w:t>
            </w:r>
          </w:p>
        </w:tc>
        <w:tc>
          <w:tcPr>
            <w:tcW w:w="1268" w:type="dxa"/>
            <w:gridSpan w:val="3"/>
            <w:tcBorders>
              <w:top w:val="double" w:sz="6" w:space="0" w:color="auto"/>
              <w:bottom w:val="double" w:sz="6" w:space="0" w:color="auto"/>
              <w:right w:val="double" w:sz="6" w:space="0" w:color="auto"/>
            </w:tcBorders>
            <w:shd w:val="clear" w:color="auto" w:fill="auto"/>
            <w:noWrap/>
            <w:vAlign w:val="center"/>
            <w:hideMark/>
          </w:tcPr>
          <w:p w14:paraId="6ECC022F" w14:textId="77777777" w:rsidR="00247CBF" w:rsidRPr="00092ED7" w:rsidRDefault="00247CBF" w:rsidP="00247CBF">
            <w:pPr>
              <w:spacing w:after="0"/>
              <w:jc w:val="right"/>
              <w:rPr>
                <w:b/>
                <w:bCs/>
                <w:sz w:val="20"/>
                <w:szCs w:val="20"/>
                <w:lang w:val="sr-Cyrl-CS"/>
              </w:rPr>
            </w:pPr>
            <w:r w:rsidRPr="00092ED7">
              <w:rPr>
                <w:b/>
                <w:bCs/>
                <w:sz w:val="20"/>
                <w:szCs w:val="20"/>
                <w:lang w:val="sr-Cyrl-CS"/>
              </w:rPr>
              <w:t>2022</w:t>
            </w:r>
          </w:p>
        </w:tc>
      </w:tr>
      <w:tr w:rsidR="004B0AC2" w:rsidRPr="00092ED7" w14:paraId="55F0C83A" w14:textId="77777777" w:rsidTr="004B0AC2">
        <w:trPr>
          <w:gridAfter w:val="2"/>
          <w:wAfter w:w="293" w:type="dxa"/>
          <w:trHeight w:val="315"/>
        </w:trPr>
        <w:tc>
          <w:tcPr>
            <w:tcW w:w="4962" w:type="dxa"/>
            <w:gridSpan w:val="3"/>
            <w:tcBorders>
              <w:top w:val="nil"/>
              <w:left w:val="double" w:sz="6" w:space="0" w:color="auto"/>
              <w:bottom w:val="dotted" w:sz="4" w:space="0" w:color="auto"/>
              <w:right w:val="single" w:sz="8" w:space="0" w:color="auto"/>
            </w:tcBorders>
            <w:shd w:val="clear" w:color="auto" w:fill="auto"/>
            <w:hideMark/>
          </w:tcPr>
          <w:p w14:paraId="04F0E33C"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 xml:space="preserve">1. Биланс текућих трансакција [1] </w:t>
            </w:r>
          </w:p>
        </w:tc>
        <w:tc>
          <w:tcPr>
            <w:tcW w:w="1447" w:type="dxa"/>
            <w:gridSpan w:val="3"/>
            <w:tcBorders>
              <w:top w:val="nil"/>
              <w:left w:val="nil"/>
              <w:bottom w:val="dotted" w:sz="4" w:space="0" w:color="auto"/>
              <w:right w:val="single" w:sz="8" w:space="0" w:color="auto"/>
            </w:tcBorders>
            <w:shd w:val="clear" w:color="auto" w:fill="auto"/>
            <w:vAlign w:val="center"/>
            <w:hideMark/>
          </w:tcPr>
          <w:p w14:paraId="284A33E3"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1388" w:type="dxa"/>
            <w:gridSpan w:val="4"/>
            <w:tcBorders>
              <w:top w:val="nil"/>
              <w:left w:val="nil"/>
              <w:bottom w:val="dashed" w:sz="4" w:space="0" w:color="auto"/>
              <w:right w:val="dashed" w:sz="4" w:space="0" w:color="auto"/>
            </w:tcBorders>
            <w:shd w:val="clear" w:color="auto" w:fill="auto"/>
            <w:noWrap/>
            <w:vAlign w:val="center"/>
            <w:hideMark/>
          </w:tcPr>
          <w:p w14:paraId="41B5630E" w14:textId="77777777" w:rsidR="00247CBF" w:rsidRPr="00092ED7" w:rsidRDefault="00247CBF" w:rsidP="00247CBF">
            <w:pPr>
              <w:spacing w:after="0"/>
              <w:jc w:val="right"/>
              <w:rPr>
                <w:sz w:val="20"/>
                <w:szCs w:val="20"/>
                <w:lang w:val="sr-Cyrl-CS"/>
              </w:rPr>
            </w:pPr>
            <w:r w:rsidRPr="00092ED7">
              <w:rPr>
                <w:sz w:val="20"/>
                <w:szCs w:val="20"/>
                <w:lang w:val="sr-Cyrl-CS"/>
              </w:rPr>
              <w:t>-2,1</w:t>
            </w:r>
          </w:p>
        </w:tc>
        <w:tc>
          <w:tcPr>
            <w:tcW w:w="1316" w:type="dxa"/>
            <w:gridSpan w:val="4"/>
            <w:tcBorders>
              <w:top w:val="nil"/>
              <w:left w:val="nil"/>
              <w:bottom w:val="dashed" w:sz="4" w:space="0" w:color="auto"/>
              <w:right w:val="dashed" w:sz="4" w:space="0" w:color="auto"/>
            </w:tcBorders>
            <w:shd w:val="clear" w:color="auto" w:fill="auto"/>
            <w:noWrap/>
            <w:vAlign w:val="center"/>
            <w:hideMark/>
          </w:tcPr>
          <w:p w14:paraId="66A5F6E3" w14:textId="77777777" w:rsidR="00247CBF" w:rsidRPr="00092ED7" w:rsidRDefault="00247CBF" w:rsidP="00247CBF">
            <w:pPr>
              <w:spacing w:after="0"/>
              <w:jc w:val="right"/>
              <w:rPr>
                <w:sz w:val="20"/>
                <w:szCs w:val="20"/>
                <w:lang w:val="sr-Cyrl-CS"/>
              </w:rPr>
            </w:pPr>
            <w:r w:rsidRPr="00092ED7">
              <w:rPr>
                <w:sz w:val="20"/>
                <w:szCs w:val="20"/>
                <w:lang w:val="sr-Cyrl-CS"/>
              </w:rPr>
              <w:t>-2,1</w:t>
            </w:r>
          </w:p>
        </w:tc>
        <w:tc>
          <w:tcPr>
            <w:tcW w:w="1376" w:type="dxa"/>
            <w:gridSpan w:val="4"/>
            <w:tcBorders>
              <w:top w:val="nil"/>
              <w:left w:val="nil"/>
              <w:bottom w:val="dashed" w:sz="4" w:space="0" w:color="auto"/>
              <w:right w:val="dashed" w:sz="4" w:space="0" w:color="auto"/>
            </w:tcBorders>
            <w:shd w:val="clear" w:color="auto" w:fill="auto"/>
            <w:noWrap/>
            <w:vAlign w:val="center"/>
            <w:hideMark/>
          </w:tcPr>
          <w:p w14:paraId="07FD4466" w14:textId="77777777" w:rsidR="00247CBF" w:rsidRPr="00092ED7" w:rsidRDefault="00247CBF" w:rsidP="00247CBF">
            <w:pPr>
              <w:spacing w:after="0"/>
              <w:jc w:val="right"/>
              <w:rPr>
                <w:sz w:val="20"/>
                <w:szCs w:val="20"/>
                <w:lang w:val="sr-Cyrl-CS"/>
              </w:rPr>
            </w:pPr>
            <w:r w:rsidRPr="00092ED7">
              <w:rPr>
                <w:sz w:val="20"/>
                <w:szCs w:val="20"/>
                <w:lang w:val="sr-Cyrl-CS"/>
              </w:rPr>
              <w:t>-3,2</w:t>
            </w:r>
          </w:p>
        </w:tc>
        <w:tc>
          <w:tcPr>
            <w:tcW w:w="1276" w:type="dxa"/>
            <w:gridSpan w:val="4"/>
            <w:tcBorders>
              <w:top w:val="nil"/>
              <w:left w:val="nil"/>
              <w:bottom w:val="dashed" w:sz="4" w:space="0" w:color="auto"/>
              <w:right w:val="dashed" w:sz="4" w:space="0" w:color="auto"/>
            </w:tcBorders>
            <w:shd w:val="clear" w:color="auto" w:fill="auto"/>
            <w:noWrap/>
            <w:vAlign w:val="center"/>
            <w:hideMark/>
          </w:tcPr>
          <w:p w14:paraId="1A35C00B" w14:textId="77777777" w:rsidR="00247CBF" w:rsidRPr="00092ED7" w:rsidRDefault="00247CBF" w:rsidP="00247CBF">
            <w:pPr>
              <w:spacing w:after="0"/>
              <w:jc w:val="right"/>
              <w:rPr>
                <w:sz w:val="20"/>
                <w:szCs w:val="20"/>
                <w:lang w:val="sr-Cyrl-CS"/>
              </w:rPr>
            </w:pPr>
            <w:r w:rsidRPr="00092ED7">
              <w:rPr>
                <w:sz w:val="20"/>
                <w:szCs w:val="20"/>
                <w:lang w:val="sr-Cyrl-CS"/>
              </w:rPr>
              <w:t>-1,9</w:t>
            </w:r>
          </w:p>
        </w:tc>
        <w:tc>
          <w:tcPr>
            <w:tcW w:w="1276" w:type="dxa"/>
            <w:gridSpan w:val="3"/>
            <w:tcBorders>
              <w:top w:val="nil"/>
              <w:left w:val="nil"/>
              <w:bottom w:val="dashed" w:sz="4" w:space="0" w:color="auto"/>
              <w:right w:val="dashed" w:sz="4" w:space="0" w:color="auto"/>
            </w:tcBorders>
            <w:shd w:val="clear" w:color="auto" w:fill="auto"/>
            <w:noWrap/>
            <w:vAlign w:val="center"/>
            <w:hideMark/>
          </w:tcPr>
          <w:p w14:paraId="1B15284F" w14:textId="77777777" w:rsidR="00247CBF" w:rsidRPr="00092ED7" w:rsidRDefault="00247CBF" w:rsidP="00247CBF">
            <w:pPr>
              <w:spacing w:after="0"/>
              <w:jc w:val="right"/>
              <w:rPr>
                <w:sz w:val="20"/>
                <w:szCs w:val="20"/>
                <w:lang w:val="sr-Cyrl-CS"/>
              </w:rPr>
            </w:pPr>
            <w:r w:rsidRPr="00092ED7">
              <w:rPr>
                <w:sz w:val="20"/>
                <w:szCs w:val="20"/>
                <w:lang w:val="sr-Cyrl-CS"/>
              </w:rPr>
              <w:t>-2,3</w:t>
            </w:r>
          </w:p>
        </w:tc>
        <w:tc>
          <w:tcPr>
            <w:tcW w:w="1268" w:type="dxa"/>
            <w:gridSpan w:val="3"/>
            <w:tcBorders>
              <w:top w:val="nil"/>
              <w:left w:val="nil"/>
              <w:bottom w:val="dashed" w:sz="4" w:space="0" w:color="auto"/>
              <w:right w:val="double" w:sz="6" w:space="0" w:color="auto"/>
            </w:tcBorders>
            <w:shd w:val="clear" w:color="auto" w:fill="auto"/>
            <w:noWrap/>
            <w:vAlign w:val="center"/>
            <w:hideMark/>
          </w:tcPr>
          <w:p w14:paraId="15B82F06" w14:textId="77777777" w:rsidR="00247CBF" w:rsidRPr="00092ED7" w:rsidRDefault="00247CBF" w:rsidP="00247CBF">
            <w:pPr>
              <w:spacing w:after="0"/>
              <w:jc w:val="right"/>
              <w:rPr>
                <w:sz w:val="20"/>
                <w:szCs w:val="20"/>
                <w:lang w:val="sr-Cyrl-CS"/>
              </w:rPr>
            </w:pPr>
            <w:r w:rsidRPr="00092ED7">
              <w:rPr>
                <w:sz w:val="20"/>
                <w:szCs w:val="20"/>
                <w:lang w:val="sr-Cyrl-CS"/>
              </w:rPr>
              <w:t>-3,0</w:t>
            </w:r>
          </w:p>
        </w:tc>
      </w:tr>
      <w:tr w:rsidR="004B0AC2" w:rsidRPr="00092ED7" w14:paraId="6EF52906" w14:textId="77777777" w:rsidTr="004B0AC2">
        <w:trPr>
          <w:gridAfter w:val="2"/>
          <w:wAfter w:w="293" w:type="dxa"/>
          <w:trHeight w:val="315"/>
        </w:trPr>
        <w:tc>
          <w:tcPr>
            <w:tcW w:w="4962" w:type="dxa"/>
            <w:gridSpan w:val="3"/>
            <w:tcBorders>
              <w:top w:val="nil"/>
              <w:left w:val="double" w:sz="6" w:space="0" w:color="auto"/>
              <w:bottom w:val="dotted" w:sz="4" w:space="0" w:color="auto"/>
              <w:right w:val="single" w:sz="8" w:space="0" w:color="auto"/>
            </w:tcBorders>
            <w:shd w:val="clear" w:color="auto" w:fill="auto"/>
            <w:hideMark/>
          </w:tcPr>
          <w:p w14:paraId="113E4B1D" w14:textId="77777777" w:rsidR="00247CBF" w:rsidRPr="00092ED7" w:rsidRDefault="00247CBF" w:rsidP="00247CBF">
            <w:pPr>
              <w:spacing w:after="0"/>
              <w:ind w:firstLineChars="100" w:firstLine="200"/>
              <w:rPr>
                <w:sz w:val="20"/>
                <w:szCs w:val="20"/>
                <w:lang w:val="sr-Cyrl-CS"/>
              </w:rPr>
            </w:pPr>
            <w:r w:rsidRPr="00092ED7">
              <w:rPr>
                <w:sz w:val="20"/>
                <w:szCs w:val="20"/>
                <w:lang w:val="sr-Cyrl-CS"/>
              </w:rPr>
              <w:t>2. Нето међународна инвестициона позиција [2]</w:t>
            </w:r>
          </w:p>
        </w:tc>
        <w:tc>
          <w:tcPr>
            <w:tcW w:w="1447" w:type="dxa"/>
            <w:gridSpan w:val="3"/>
            <w:tcBorders>
              <w:top w:val="nil"/>
              <w:left w:val="nil"/>
              <w:bottom w:val="dotted" w:sz="4" w:space="0" w:color="auto"/>
              <w:right w:val="single" w:sz="8" w:space="0" w:color="auto"/>
            </w:tcBorders>
            <w:shd w:val="clear" w:color="auto" w:fill="auto"/>
            <w:vAlign w:val="center"/>
            <w:hideMark/>
          </w:tcPr>
          <w:p w14:paraId="1DD45C8C"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1388" w:type="dxa"/>
            <w:gridSpan w:val="4"/>
            <w:tcBorders>
              <w:top w:val="nil"/>
              <w:left w:val="nil"/>
              <w:bottom w:val="dashed" w:sz="4" w:space="0" w:color="auto"/>
              <w:right w:val="dashed" w:sz="4" w:space="0" w:color="auto"/>
            </w:tcBorders>
            <w:shd w:val="clear" w:color="auto" w:fill="auto"/>
            <w:noWrap/>
            <w:vAlign w:val="center"/>
            <w:hideMark/>
          </w:tcPr>
          <w:p w14:paraId="76EF257F" w14:textId="77777777" w:rsidR="00247CBF" w:rsidRPr="00092ED7" w:rsidRDefault="00247CBF" w:rsidP="00247CBF">
            <w:pPr>
              <w:spacing w:after="0"/>
              <w:jc w:val="right"/>
              <w:rPr>
                <w:sz w:val="20"/>
                <w:szCs w:val="20"/>
                <w:lang w:val="sr-Cyrl-CS"/>
              </w:rPr>
            </w:pPr>
            <w:r w:rsidRPr="00092ED7">
              <w:rPr>
                <w:sz w:val="20"/>
                <w:szCs w:val="20"/>
                <w:lang w:val="sr-Cyrl-CS"/>
              </w:rPr>
              <w:t>-35,6</w:t>
            </w:r>
          </w:p>
        </w:tc>
        <w:tc>
          <w:tcPr>
            <w:tcW w:w="1316" w:type="dxa"/>
            <w:gridSpan w:val="4"/>
            <w:tcBorders>
              <w:top w:val="nil"/>
              <w:left w:val="nil"/>
              <w:bottom w:val="dashed" w:sz="4" w:space="0" w:color="auto"/>
              <w:right w:val="dashed" w:sz="4" w:space="0" w:color="auto"/>
            </w:tcBorders>
            <w:shd w:val="clear" w:color="auto" w:fill="auto"/>
            <w:noWrap/>
            <w:vAlign w:val="center"/>
            <w:hideMark/>
          </w:tcPr>
          <w:p w14:paraId="4F7E73A5" w14:textId="77777777" w:rsidR="00247CBF" w:rsidRPr="00092ED7" w:rsidRDefault="00247CBF" w:rsidP="00247CBF">
            <w:pPr>
              <w:spacing w:after="0"/>
              <w:jc w:val="right"/>
              <w:rPr>
                <w:sz w:val="20"/>
                <w:szCs w:val="20"/>
                <w:lang w:val="sr-Cyrl-CS"/>
              </w:rPr>
            </w:pPr>
            <w:r w:rsidRPr="00092ED7">
              <w:rPr>
                <w:sz w:val="20"/>
                <w:szCs w:val="20"/>
                <w:lang w:val="sr-Cyrl-CS"/>
              </w:rPr>
              <w:t>-37,6</w:t>
            </w:r>
          </w:p>
        </w:tc>
        <w:tc>
          <w:tcPr>
            <w:tcW w:w="1376" w:type="dxa"/>
            <w:gridSpan w:val="4"/>
            <w:tcBorders>
              <w:top w:val="nil"/>
              <w:left w:val="nil"/>
              <w:bottom w:val="dashed" w:sz="4" w:space="0" w:color="auto"/>
              <w:right w:val="dashed" w:sz="4" w:space="0" w:color="auto"/>
            </w:tcBorders>
            <w:shd w:val="clear" w:color="auto" w:fill="auto"/>
            <w:noWrap/>
            <w:vAlign w:val="center"/>
            <w:hideMark/>
          </w:tcPr>
          <w:p w14:paraId="41275A2E" w14:textId="77777777" w:rsidR="00247CBF" w:rsidRPr="00092ED7" w:rsidRDefault="00247CBF" w:rsidP="00247CBF">
            <w:pPr>
              <w:spacing w:after="0"/>
              <w:jc w:val="right"/>
              <w:rPr>
                <w:sz w:val="20"/>
                <w:szCs w:val="20"/>
                <w:lang w:val="sr-Cyrl-CS"/>
              </w:rPr>
            </w:pPr>
            <w:r w:rsidRPr="00092ED7">
              <w:rPr>
                <w:sz w:val="20"/>
                <w:szCs w:val="20"/>
                <w:lang w:val="sr-Cyrl-CS"/>
              </w:rPr>
              <w:t>-40,5</w:t>
            </w:r>
          </w:p>
        </w:tc>
        <w:tc>
          <w:tcPr>
            <w:tcW w:w="1276" w:type="dxa"/>
            <w:gridSpan w:val="4"/>
            <w:tcBorders>
              <w:top w:val="nil"/>
              <w:left w:val="nil"/>
              <w:bottom w:val="dashed" w:sz="4" w:space="0" w:color="auto"/>
              <w:right w:val="dashed" w:sz="4" w:space="0" w:color="auto"/>
            </w:tcBorders>
            <w:shd w:val="clear" w:color="auto" w:fill="auto"/>
            <w:noWrap/>
            <w:vAlign w:val="center"/>
            <w:hideMark/>
          </w:tcPr>
          <w:p w14:paraId="1DBB7D5D" w14:textId="77777777" w:rsidR="00247CBF" w:rsidRPr="00092ED7" w:rsidRDefault="00247CBF" w:rsidP="00247CBF">
            <w:pPr>
              <w:spacing w:after="0"/>
              <w:jc w:val="right"/>
              <w:rPr>
                <w:sz w:val="20"/>
                <w:szCs w:val="20"/>
                <w:lang w:val="sr-Cyrl-CS"/>
              </w:rPr>
            </w:pPr>
            <w:r w:rsidRPr="00092ED7">
              <w:rPr>
                <w:sz w:val="20"/>
                <w:szCs w:val="20"/>
                <w:lang w:val="sr-Cyrl-CS"/>
              </w:rPr>
              <w:t>-42,3</w:t>
            </w:r>
          </w:p>
        </w:tc>
        <w:tc>
          <w:tcPr>
            <w:tcW w:w="1276" w:type="dxa"/>
            <w:gridSpan w:val="3"/>
            <w:tcBorders>
              <w:top w:val="nil"/>
              <w:left w:val="nil"/>
              <w:bottom w:val="dashed" w:sz="4" w:space="0" w:color="auto"/>
              <w:right w:val="dashed" w:sz="4" w:space="0" w:color="auto"/>
            </w:tcBorders>
            <w:shd w:val="clear" w:color="auto" w:fill="auto"/>
            <w:noWrap/>
            <w:vAlign w:val="center"/>
            <w:hideMark/>
          </w:tcPr>
          <w:p w14:paraId="3CC52CC8" w14:textId="77777777" w:rsidR="00247CBF" w:rsidRPr="00092ED7" w:rsidRDefault="00247CBF" w:rsidP="00247CBF">
            <w:pPr>
              <w:spacing w:after="0"/>
              <w:jc w:val="right"/>
              <w:rPr>
                <w:sz w:val="20"/>
                <w:szCs w:val="20"/>
                <w:lang w:val="sr-Cyrl-CS"/>
              </w:rPr>
            </w:pPr>
            <w:r w:rsidRPr="00092ED7">
              <w:rPr>
                <w:sz w:val="20"/>
                <w:szCs w:val="20"/>
                <w:lang w:val="sr-Cyrl-CS"/>
              </w:rPr>
              <w:t>-44,3</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7353BFE2" w14:textId="77777777" w:rsidR="00247CBF" w:rsidRPr="00092ED7" w:rsidRDefault="00247CBF" w:rsidP="00247CBF">
            <w:pPr>
              <w:spacing w:after="0"/>
              <w:jc w:val="right"/>
              <w:rPr>
                <w:sz w:val="20"/>
                <w:szCs w:val="20"/>
                <w:lang w:val="sr-Cyrl-CS"/>
              </w:rPr>
            </w:pPr>
            <w:r w:rsidRPr="00092ED7">
              <w:rPr>
                <w:sz w:val="20"/>
                <w:szCs w:val="20"/>
                <w:lang w:val="sr-Cyrl-CS"/>
              </w:rPr>
              <w:t>-47,0</w:t>
            </w:r>
          </w:p>
        </w:tc>
      </w:tr>
      <w:tr w:rsidR="004B0AC2" w:rsidRPr="00092ED7" w14:paraId="22BD5074" w14:textId="77777777" w:rsidTr="004B0AC2">
        <w:trPr>
          <w:gridAfter w:val="2"/>
          <w:wAfter w:w="293" w:type="dxa"/>
          <w:trHeight w:val="480"/>
        </w:trPr>
        <w:tc>
          <w:tcPr>
            <w:tcW w:w="4962" w:type="dxa"/>
            <w:gridSpan w:val="3"/>
            <w:tcBorders>
              <w:top w:val="nil"/>
              <w:left w:val="double" w:sz="6" w:space="0" w:color="auto"/>
              <w:bottom w:val="dotted" w:sz="4" w:space="0" w:color="auto"/>
              <w:right w:val="single" w:sz="8" w:space="0" w:color="auto"/>
            </w:tcBorders>
            <w:shd w:val="clear" w:color="auto" w:fill="auto"/>
            <w:hideMark/>
          </w:tcPr>
          <w:p w14:paraId="4E33C8FC" w14:textId="77777777" w:rsidR="00247CBF" w:rsidRPr="00092ED7" w:rsidRDefault="00247CBF" w:rsidP="00247CBF">
            <w:pPr>
              <w:spacing w:after="0"/>
              <w:ind w:firstLineChars="100" w:firstLine="200"/>
              <w:rPr>
                <w:sz w:val="20"/>
                <w:szCs w:val="20"/>
                <w:lang w:val="sr-Cyrl-CS"/>
              </w:rPr>
            </w:pPr>
            <w:r w:rsidRPr="00092ED7">
              <w:rPr>
                <w:sz w:val="20"/>
                <w:szCs w:val="20"/>
                <w:lang w:val="sr-Cyrl-CS"/>
              </w:rPr>
              <w:t>3. Удели на извозним тржиштима</w:t>
            </w:r>
          </w:p>
        </w:tc>
        <w:tc>
          <w:tcPr>
            <w:tcW w:w="1447" w:type="dxa"/>
            <w:gridSpan w:val="3"/>
            <w:tcBorders>
              <w:top w:val="nil"/>
              <w:left w:val="nil"/>
              <w:bottom w:val="dotted" w:sz="4" w:space="0" w:color="auto"/>
              <w:right w:val="single" w:sz="8" w:space="0" w:color="auto"/>
            </w:tcBorders>
            <w:shd w:val="clear" w:color="auto" w:fill="auto"/>
            <w:vAlign w:val="center"/>
            <w:hideMark/>
          </w:tcPr>
          <w:p w14:paraId="33B2447D" w14:textId="77777777" w:rsidR="00247CBF" w:rsidRPr="00092ED7" w:rsidRDefault="00247CBF" w:rsidP="00247CBF">
            <w:pPr>
              <w:spacing w:after="0"/>
              <w:jc w:val="center"/>
              <w:rPr>
                <w:sz w:val="18"/>
                <w:szCs w:val="18"/>
                <w:lang w:val="sr-Cyrl-CS"/>
              </w:rPr>
            </w:pPr>
            <w:r w:rsidRPr="00092ED7">
              <w:rPr>
                <w:sz w:val="18"/>
                <w:szCs w:val="18"/>
                <w:lang w:val="sr-Cyrl-CS"/>
              </w:rPr>
              <w:t>% укупног извозног тржишта</w:t>
            </w:r>
          </w:p>
        </w:tc>
        <w:tc>
          <w:tcPr>
            <w:tcW w:w="1388" w:type="dxa"/>
            <w:gridSpan w:val="4"/>
            <w:tcBorders>
              <w:top w:val="nil"/>
              <w:left w:val="nil"/>
              <w:bottom w:val="dashed" w:sz="4" w:space="0" w:color="auto"/>
              <w:right w:val="dashed" w:sz="4" w:space="0" w:color="auto"/>
            </w:tcBorders>
            <w:shd w:val="clear" w:color="auto" w:fill="auto"/>
            <w:noWrap/>
            <w:vAlign w:val="center"/>
            <w:hideMark/>
          </w:tcPr>
          <w:p w14:paraId="58FA3A30"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16" w:type="dxa"/>
            <w:gridSpan w:val="4"/>
            <w:tcBorders>
              <w:top w:val="nil"/>
              <w:left w:val="nil"/>
              <w:bottom w:val="dashed" w:sz="4" w:space="0" w:color="auto"/>
              <w:right w:val="dashed" w:sz="4" w:space="0" w:color="auto"/>
            </w:tcBorders>
            <w:shd w:val="clear" w:color="auto" w:fill="auto"/>
            <w:noWrap/>
            <w:vAlign w:val="center"/>
            <w:hideMark/>
          </w:tcPr>
          <w:p w14:paraId="129727E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76" w:type="dxa"/>
            <w:gridSpan w:val="4"/>
            <w:tcBorders>
              <w:top w:val="nil"/>
              <w:left w:val="nil"/>
              <w:bottom w:val="dashed" w:sz="4" w:space="0" w:color="auto"/>
              <w:right w:val="dashed" w:sz="4" w:space="0" w:color="auto"/>
            </w:tcBorders>
            <w:shd w:val="clear" w:color="auto" w:fill="auto"/>
            <w:noWrap/>
            <w:vAlign w:val="center"/>
            <w:hideMark/>
          </w:tcPr>
          <w:p w14:paraId="4BE32C1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76" w:type="dxa"/>
            <w:gridSpan w:val="4"/>
            <w:tcBorders>
              <w:top w:val="nil"/>
              <w:left w:val="nil"/>
              <w:bottom w:val="dashed" w:sz="4" w:space="0" w:color="auto"/>
              <w:right w:val="dashed" w:sz="4" w:space="0" w:color="auto"/>
            </w:tcBorders>
            <w:shd w:val="clear" w:color="auto" w:fill="auto"/>
            <w:noWrap/>
            <w:vAlign w:val="center"/>
            <w:hideMark/>
          </w:tcPr>
          <w:p w14:paraId="651FB11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76" w:type="dxa"/>
            <w:gridSpan w:val="3"/>
            <w:tcBorders>
              <w:top w:val="nil"/>
              <w:left w:val="nil"/>
              <w:bottom w:val="dashed" w:sz="4" w:space="0" w:color="auto"/>
              <w:right w:val="dashed" w:sz="4" w:space="0" w:color="auto"/>
            </w:tcBorders>
            <w:shd w:val="clear" w:color="auto" w:fill="auto"/>
            <w:noWrap/>
            <w:vAlign w:val="center"/>
            <w:hideMark/>
          </w:tcPr>
          <w:p w14:paraId="0BD9C2C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3C123D10"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4B0AC2" w:rsidRPr="00092ED7" w14:paraId="07D798AA" w14:textId="77777777" w:rsidTr="004B0AC2">
        <w:trPr>
          <w:gridAfter w:val="2"/>
          <w:wAfter w:w="293" w:type="dxa"/>
          <w:trHeight w:val="255"/>
        </w:trPr>
        <w:tc>
          <w:tcPr>
            <w:tcW w:w="4962" w:type="dxa"/>
            <w:gridSpan w:val="3"/>
            <w:tcBorders>
              <w:top w:val="nil"/>
              <w:left w:val="double" w:sz="6" w:space="0" w:color="auto"/>
              <w:bottom w:val="dotted" w:sz="4" w:space="0" w:color="auto"/>
              <w:right w:val="single" w:sz="8" w:space="0" w:color="auto"/>
            </w:tcBorders>
            <w:shd w:val="clear" w:color="auto" w:fill="auto"/>
            <w:hideMark/>
          </w:tcPr>
          <w:p w14:paraId="53C42A1C" w14:textId="77777777" w:rsidR="00247CBF" w:rsidRPr="00092ED7" w:rsidRDefault="00247CBF" w:rsidP="00247CBF">
            <w:pPr>
              <w:spacing w:after="0"/>
              <w:ind w:firstLineChars="100" w:firstLine="200"/>
              <w:rPr>
                <w:sz w:val="20"/>
                <w:szCs w:val="20"/>
                <w:lang w:val="sr-Cyrl-CS"/>
              </w:rPr>
            </w:pPr>
            <w:r w:rsidRPr="00092ED7">
              <w:rPr>
                <w:sz w:val="20"/>
                <w:szCs w:val="20"/>
                <w:lang w:val="sr-Cyrl-CS"/>
              </w:rPr>
              <w:t>4. Реални ефективни девизни курс [1]</w:t>
            </w:r>
          </w:p>
        </w:tc>
        <w:tc>
          <w:tcPr>
            <w:tcW w:w="1447" w:type="dxa"/>
            <w:gridSpan w:val="3"/>
            <w:tcBorders>
              <w:top w:val="nil"/>
              <w:left w:val="nil"/>
              <w:bottom w:val="dotted" w:sz="4" w:space="0" w:color="auto"/>
              <w:right w:val="single" w:sz="8" w:space="0" w:color="auto"/>
            </w:tcBorders>
            <w:shd w:val="clear" w:color="auto" w:fill="auto"/>
            <w:vAlign w:val="center"/>
            <w:hideMark/>
          </w:tcPr>
          <w:p w14:paraId="27906850" w14:textId="77777777" w:rsidR="00247CBF" w:rsidRPr="00092ED7" w:rsidRDefault="00247CBF" w:rsidP="00247CBF">
            <w:pPr>
              <w:spacing w:after="0"/>
              <w:jc w:val="center"/>
              <w:rPr>
                <w:sz w:val="18"/>
                <w:szCs w:val="18"/>
                <w:lang w:val="sr-Cyrl-CS"/>
              </w:rPr>
            </w:pPr>
            <w:r w:rsidRPr="00092ED7">
              <w:rPr>
                <w:sz w:val="18"/>
                <w:szCs w:val="18"/>
                <w:lang w:val="sr-Cyrl-CS"/>
              </w:rPr>
              <w:t>Индекс</w:t>
            </w:r>
          </w:p>
        </w:tc>
        <w:tc>
          <w:tcPr>
            <w:tcW w:w="1388" w:type="dxa"/>
            <w:gridSpan w:val="4"/>
            <w:tcBorders>
              <w:top w:val="nil"/>
              <w:left w:val="nil"/>
              <w:bottom w:val="dashed" w:sz="4" w:space="0" w:color="auto"/>
              <w:right w:val="dashed" w:sz="4" w:space="0" w:color="auto"/>
            </w:tcBorders>
            <w:shd w:val="clear" w:color="auto" w:fill="auto"/>
            <w:noWrap/>
            <w:vAlign w:val="center"/>
            <w:hideMark/>
          </w:tcPr>
          <w:p w14:paraId="69FE8D5E" w14:textId="77777777" w:rsidR="00247CBF" w:rsidRPr="00092ED7" w:rsidRDefault="00247CBF" w:rsidP="00247CBF">
            <w:pPr>
              <w:spacing w:after="0"/>
              <w:jc w:val="right"/>
              <w:rPr>
                <w:sz w:val="20"/>
                <w:szCs w:val="20"/>
                <w:lang w:val="sr-Cyrl-CS"/>
              </w:rPr>
            </w:pPr>
            <w:r w:rsidRPr="00092ED7">
              <w:rPr>
                <w:sz w:val="20"/>
                <w:szCs w:val="20"/>
                <w:lang w:val="sr-Cyrl-CS"/>
              </w:rPr>
              <w:t>118,7</w:t>
            </w:r>
          </w:p>
        </w:tc>
        <w:tc>
          <w:tcPr>
            <w:tcW w:w="1316" w:type="dxa"/>
            <w:gridSpan w:val="4"/>
            <w:tcBorders>
              <w:top w:val="nil"/>
              <w:left w:val="nil"/>
              <w:bottom w:val="dashed" w:sz="4" w:space="0" w:color="auto"/>
              <w:right w:val="dashed" w:sz="4" w:space="0" w:color="auto"/>
            </w:tcBorders>
            <w:shd w:val="clear" w:color="auto" w:fill="auto"/>
            <w:noWrap/>
            <w:vAlign w:val="center"/>
            <w:hideMark/>
          </w:tcPr>
          <w:p w14:paraId="658233DA" w14:textId="77777777" w:rsidR="00247CBF" w:rsidRPr="00092ED7" w:rsidRDefault="00247CBF" w:rsidP="00247CBF">
            <w:pPr>
              <w:spacing w:after="0"/>
              <w:jc w:val="right"/>
              <w:rPr>
                <w:sz w:val="20"/>
                <w:szCs w:val="20"/>
                <w:lang w:val="sr-Cyrl-CS"/>
              </w:rPr>
            </w:pPr>
            <w:r w:rsidRPr="00092ED7">
              <w:rPr>
                <w:sz w:val="20"/>
                <w:szCs w:val="20"/>
                <w:lang w:val="sr-Cyrl-CS"/>
              </w:rPr>
              <w:t>123,0</w:t>
            </w:r>
          </w:p>
        </w:tc>
        <w:tc>
          <w:tcPr>
            <w:tcW w:w="1376" w:type="dxa"/>
            <w:gridSpan w:val="4"/>
            <w:tcBorders>
              <w:top w:val="nil"/>
              <w:left w:val="nil"/>
              <w:bottom w:val="dashed" w:sz="4" w:space="0" w:color="auto"/>
              <w:right w:val="dashed" w:sz="4" w:space="0" w:color="auto"/>
            </w:tcBorders>
            <w:shd w:val="clear" w:color="auto" w:fill="auto"/>
            <w:noWrap/>
            <w:vAlign w:val="center"/>
            <w:hideMark/>
          </w:tcPr>
          <w:p w14:paraId="4F0C10D4" w14:textId="77777777" w:rsidR="00247CBF" w:rsidRPr="00092ED7" w:rsidRDefault="00247CBF" w:rsidP="00247CBF">
            <w:pPr>
              <w:spacing w:after="0"/>
              <w:jc w:val="right"/>
              <w:rPr>
                <w:sz w:val="20"/>
                <w:szCs w:val="20"/>
                <w:lang w:val="sr-Cyrl-CS"/>
              </w:rPr>
            </w:pPr>
            <w:r w:rsidRPr="00092ED7">
              <w:rPr>
                <w:sz w:val="20"/>
                <w:szCs w:val="20"/>
                <w:lang w:val="sr-Cyrl-CS"/>
              </w:rPr>
              <w:t>122,8</w:t>
            </w:r>
          </w:p>
        </w:tc>
        <w:tc>
          <w:tcPr>
            <w:tcW w:w="1276" w:type="dxa"/>
            <w:gridSpan w:val="4"/>
            <w:tcBorders>
              <w:top w:val="nil"/>
              <w:left w:val="nil"/>
              <w:bottom w:val="dashed" w:sz="4" w:space="0" w:color="auto"/>
              <w:right w:val="dashed" w:sz="4" w:space="0" w:color="auto"/>
            </w:tcBorders>
            <w:shd w:val="clear" w:color="auto" w:fill="auto"/>
            <w:noWrap/>
            <w:vAlign w:val="center"/>
            <w:hideMark/>
          </w:tcPr>
          <w:p w14:paraId="1CEE7EAB" w14:textId="77777777" w:rsidR="00247CBF" w:rsidRPr="00092ED7" w:rsidRDefault="00247CBF" w:rsidP="00247CBF">
            <w:pPr>
              <w:spacing w:after="0"/>
              <w:jc w:val="right"/>
              <w:rPr>
                <w:sz w:val="20"/>
                <w:szCs w:val="20"/>
                <w:lang w:val="sr-Cyrl-CS"/>
              </w:rPr>
            </w:pPr>
            <w:r w:rsidRPr="00092ED7">
              <w:rPr>
                <w:sz w:val="20"/>
                <w:szCs w:val="20"/>
                <w:lang w:val="sr-Cyrl-CS"/>
              </w:rPr>
              <w:t>124,9</w:t>
            </w:r>
          </w:p>
        </w:tc>
        <w:tc>
          <w:tcPr>
            <w:tcW w:w="1276" w:type="dxa"/>
            <w:gridSpan w:val="3"/>
            <w:tcBorders>
              <w:top w:val="nil"/>
              <w:left w:val="nil"/>
              <w:bottom w:val="dashed" w:sz="4" w:space="0" w:color="auto"/>
              <w:right w:val="dashed" w:sz="4" w:space="0" w:color="auto"/>
            </w:tcBorders>
            <w:shd w:val="clear" w:color="auto" w:fill="auto"/>
            <w:noWrap/>
            <w:vAlign w:val="center"/>
            <w:hideMark/>
          </w:tcPr>
          <w:p w14:paraId="047E1DF2" w14:textId="77777777" w:rsidR="00247CBF" w:rsidRPr="00092ED7" w:rsidRDefault="00247CBF" w:rsidP="00247CBF">
            <w:pPr>
              <w:spacing w:after="0"/>
              <w:jc w:val="right"/>
              <w:rPr>
                <w:sz w:val="20"/>
                <w:szCs w:val="20"/>
                <w:lang w:val="sr-Cyrl-CS"/>
              </w:rPr>
            </w:pPr>
            <w:r w:rsidRPr="00092ED7">
              <w:rPr>
                <w:sz w:val="20"/>
                <w:szCs w:val="20"/>
                <w:lang w:val="sr-Cyrl-CS"/>
              </w:rPr>
              <w:t>127,1</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754F8CC0" w14:textId="77777777" w:rsidR="00247CBF" w:rsidRPr="00092ED7" w:rsidRDefault="00247CBF" w:rsidP="00247CBF">
            <w:pPr>
              <w:spacing w:after="0"/>
              <w:jc w:val="right"/>
              <w:rPr>
                <w:sz w:val="20"/>
                <w:szCs w:val="20"/>
                <w:lang w:val="sr-Cyrl-CS"/>
              </w:rPr>
            </w:pPr>
            <w:r w:rsidRPr="00092ED7">
              <w:rPr>
                <w:sz w:val="20"/>
                <w:szCs w:val="20"/>
                <w:lang w:val="sr-Cyrl-CS"/>
              </w:rPr>
              <w:t>127,6</w:t>
            </w:r>
          </w:p>
        </w:tc>
      </w:tr>
      <w:tr w:rsidR="004B0AC2" w:rsidRPr="00092ED7" w14:paraId="7B1CA3F8" w14:textId="77777777" w:rsidTr="004B0AC2">
        <w:trPr>
          <w:gridAfter w:val="2"/>
          <w:wAfter w:w="293" w:type="dxa"/>
          <w:trHeight w:val="255"/>
        </w:trPr>
        <w:tc>
          <w:tcPr>
            <w:tcW w:w="4962" w:type="dxa"/>
            <w:gridSpan w:val="3"/>
            <w:tcBorders>
              <w:top w:val="nil"/>
              <w:left w:val="double" w:sz="6" w:space="0" w:color="auto"/>
              <w:bottom w:val="dotted" w:sz="4" w:space="0" w:color="auto"/>
              <w:right w:val="single" w:sz="8" w:space="0" w:color="auto"/>
            </w:tcBorders>
            <w:shd w:val="clear" w:color="auto" w:fill="auto"/>
            <w:hideMark/>
          </w:tcPr>
          <w:p w14:paraId="75086F6C" w14:textId="77777777" w:rsidR="00247CBF" w:rsidRPr="00092ED7" w:rsidRDefault="00247CBF" w:rsidP="00247CBF">
            <w:pPr>
              <w:spacing w:after="0"/>
              <w:ind w:firstLineChars="100" w:firstLine="200"/>
              <w:rPr>
                <w:sz w:val="20"/>
                <w:szCs w:val="20"/>
                <w:lang w:val="sr-Cyrl-CS"/>
              </w:rPr>
            </w:pPr>
            <w:r w:rsidRPr="00092ED7">
              <w:rPr>
                <w:sz w:val="20"/>
                <w:szCs w:val="20"/>
                <w:lang w:val="sr-Cyrl-CS"/>
              </w:rPr>
              <w:t>5. Номинални јединични трошкови рада</w:t>
            </w:r>
          </w:p>
        </w:tc>
        <w:tc>
          <w:tcPr>
            <w:tcW w:w="1447" w:type="dxa"/>
            <w:gridSpan w:val="3"/>
            <w:tcBorders>
              <w:top w:val="nil"/>
              <w:left w:val="nil"/>
              <w:bottom w:val="dotted" w:sz="4" w:space="0" w:color="auto"/>
              <w:right w:val="single" w:sz="8" w:space="0" w:color="auto"/>
            </w:tcBorders>
            <w:shd w:val="clear" w:color="auto" w:fill="auto"/>
            <w:vAlign w:val="center"/>
            <w:hideMark/>
          </w:tcPr>
          <w:p w14:paraId="5FA76EE1" w14:textId="77777777" w:rsidR="00247CBF" w:rsidRPr="00092ED7" w:rsidRDefault="00247CBF" w:rsidP="00247CBF">
            <w:pPr>
              <w:spacing w:after="0"/>
              <w:jc w:val="center"/>
              <w:rPr>
                <w:sz w:val="18"/>
                <w:szCs w:val="18"/>
                <w:lang w:val="sr-Cyrl-CS"/>
              </w:rPr>
            </w:pPr>
            <w:r w:rsidRPr="00092ED7">
              <w:rPr>
                <w:sz w:val="18"/>
                <w:szCs w:val="18"/>
                <w:lang w:val="sr-Cyrl-CS"/>
              </w:rPr>
              <w:t>Индекс</w:t>
            </w:r>
          </w:p>
        </w:tc>
        <w:tc>
          <w:tcPr>
            <w:tcW w:w="1388" w:type="dxa"/>
            <w:gridSpan w:val="4"/>
            <w:tcBorders>
              <w:top w:val="nil"/>
              <w:left w:val="nil"/>
              <w:bottom w:val="dashed" w:sz="4" w:space="0" w:color="auto"/>
              <w:right w:val="dashed" w:sz="4" w:space="0" w:color="auto"/>
            </w:tcBorders>
            <w:shd w:val="clear" w:color="auto" w:fill="auto"/>
            <w:noWrap/>
            <w:vAlign w:val="center"/>
            <w:hideMark/>
          </w:tcPr>
          <w:p w14:paraId="3555964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16" w:type="dxa"/>
            <w:gridSpan w:val="4"/>
            <w:tcBorders>
              <w:top w:val="nil"/>
              <w:left w:val="nil"/>
              <w:bottom w:val="dashed" w:sz="4" w:space="0" w:color="auto"/>
              <w:right w:val="dashed" w:sz="4" w:space="0" w:color="auto"/>
            </w:tcBorders>
            <w:shd w:val="clear" w:color="auto" w:fill="auto"/>
            <w:noWrap/>
            <w:vAlign w:val="center"/>
            <w:hideMark/>
          </w:tcPr>
          <w:p w14:paraId="2F72711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76" w:type="dxa"/>
            <w:gridSpan w:val="4"/>
            <w:tcBorders>
              <w:top w:val="nil"/>
              <w:left w:val="nil"/>
              <w:bottom w:val="dashed" w:sz="4" w:space="0" w:color="auto"/>
              <w:right w:val="dashed" w:sz="4" w:space="0" w:color="auto"/>
            </w:tcBorders>
            <w:shd w:val="clear" w:color="auto" w:fill="auto"/>
            <w:noWrap/>
            <w:vAlign w:val="center"/>
            <w:hideMark/>
          </w:tcPr>
          <w:p w14:paraId="546956A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76" w:type="dxa"/>
            <w:gridSpan w:val="4"/>
            <w:tcBorders>
              <w:top w:val="nil"/>
              <w:left w:val="nil"/>
              <w:bottom w:val="dashed" w:sz="4" w:space="0" w:color="auto"/>
              <w:right w:val="dashed" w:sz="4" w:space="0" w:color="auto"/>
            </w:tcBorders>
            <w:shd w:val="clear" w:color="auto" w:fill="auto"/>
            <w:noWrap/>
            <w:vAlign w:val="center"/>
            <w:hideMark/>
          </w:tcPr>
          <w:p w14:paraId="682DE93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76" w:type="dxa"/>
            <w:gridSpan w:val="3"/>
            <w:tcBorders>
              <w:top w:val="nil"/>
              <w:left w:val="nil"/>
              <w:bottom w:val="dashed" w:sz="4" w:space="0" w:color="auto"/>
              <w:right w:val="dashed" w:sz="4" w:space="0" w:color="auto"/>
            </w:tcBorders>
            <w:shd w:val="clear" w:color="auto" w:fill="auto"/>
            <w:noWrap/>
            <w:vAlign w:val="center"/>
            <w:hideMark/>
          </w:tcPr>
          <w:p w14:paraId="44596ED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35FE62AF"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4B0AC2" w:rsidRPr="00092ED7" w14:paraId="4F9904D9" w14:textId="77777777" w:rsidTr="004B0AC2">
        <w:trPr>
          <w:gridAfter w:val="2"/>
          <w:wAfter w:w="293" w:type="dxa"/>
          <w:trHeight w:val="255"/>
        </w:trPr>
        <w:tc>
          <w:tcPr>
            <w:tcW w:w="4962" w:type="dxa"/>
            <w:gridSpan w:val="3"/>
            <w:tcBorders>
              <w:top w:val="nil"/>
              <w:left w:val="double" w:sz="6" w:space="0" w:color="auto"/>
              <w:bottom w:val="dotted" w:sz="4" w:space="0" w:color="auto"/>
              <w:right w:val="single" w:sz="8" w:space="0" w:color="auto"/>
            </w:tcBorders>
            <w:shd w:val="clear" w:color="auto" w:fill="auto"/>
            <w:hideMark/>
          </w:tcPr>
          <w:p w14:paraId="14CB5D7A" w14:textId="77777777" w:rsidR="00247CBF" w:rsidRPr="00092ED7" w:rsidRDefault="00247CBF" w:rsidP="00247CBF">
            <w:pPr>
              <w:spacing w:after="0"/>
              <w:ind w:firstLineChars="100" w:firstLine="200"/>
              <w:rPr>
                <w:sz w:val="20"/>
                <w:szCs w:val="20"/>
                <w:lang w:val="sr-Cyrl-CS"/>
              </w:rPr>
            </w:pPr>
            <w:r w:rsidRPr="00092ED7">
              <w:rPr>
                <w:sz w:val="20"/>
                <w:szCs w:val="20"/>
                <w:lang w:val="sr-Cyrl-CS"/>
              </w:rPr>
              <w:t>6. Кредити приватном сектору - промена [1]</w:t>
            </w:r>
          </w:p>
        </w:tc>
        <w:tc>
          <w:tcPr>
            <w:tcW w:w="1447" w:type="dxa"/>
            <w:gridSpan w:val="3"/>
            <w:tcBorders>
              <w:top w:val="nil"/>
              <w:left w:val="nil"/>
              <w:bottom w:val="dotted" w:sz="4" w:space="0" w:color="auto"/>
              <w:right w:val="single" w:sz="8" w:space="0" w:color="auto"/>
            </w:tcBorders>
            <w:shd w:val="clear" w:color="auto" w:fill="auto"/>
            <w:vAlign w:val="center"/>
            <w:hideMark/>
          </w:tcPr>
          <w:p w14:paraId="58CDD8E0" w14:textId="77777777" w:rsidR="00247CBF" w:rsidRPr="00092ED7" w:rsidRDefault="00247CBF" w:rsidP="00247CBF">
            <w:pPr>
              <w:spacing w:after="0"/>
              <w:jc w:val="center"/>
              <w:rPr>
                <w:sz w:val="18"/>
                <w:szCs w:val="18"/>
                <w:lang w:val="sr-Cyrl-CS"/>
              </w:rPr>
            </w:pPr>
            <w:r w:rsidRPr="00092ED7">
              <w:rPr>
                <w:sz w:val="18"/>
                <w:szCs w:val="18"/>
                <w:lang w:val="sr-Cyrl-CS"/>
              </w:rPr>
              <w:t>млрд РСД</w:t>
            </w:r>
          </w:p>
        </w:tc>
        <w:tc>
          <w:tcPr>
            <w:tcW w:w="1388" w:type="dxa"/>
            <w:gridSpan w:val="4"/>
            <w:tcBorders>
              <w:top w:val="nil"/>
              <w:left w:val="nil"/>
              <w:bottom w:val="dashed" w:sz="4" w:space="0" w:color="auto"/>
              <w:right w:val="dashed" w:sz="4" w:space="0" w:color="auto"/>
            </w:tcBorders>
            <w:shd w:val="clear" w:color="auto" w:fill="auto"/>
            <w:noWrap/>
            <w:vAlign w:val="center"/>
            <w:hideMark/>
          </w:tcPr>
          <w:p w14:paraId="6C05F51F" w14:textId="77777777" w:rsidR="00247CBF" w:rsidRPr="00092ED7" w:rsidRDefault="00247CBF" w:rsidP="00247CBF">
            <w:pPr>
              <w:spacing w:after="0"/>
              <w:jc w:val="right"/>
              <w:rPr>
                <w:sz w:val="20"/>
                <w:szCs w:val="20"/>
                <w:lang w:val="sr-Cyrl-CS"/>
              </w:rPr>
            </w:pPr>
            <w:r w:rsidRPr="00092ED7">
              <w:rPr>
                <w:sz w:val="20"/>
                <w:szCs w:val="20"/>
                <w:lang w:val="sr-Cyrl-CS"/>
              </w:rPr>
              <w:t>77,8</w:t>
            </w:r>
          </w:p>
        </w:tc>
        <w:tc>
          <w:tcPr>
            <w:tcW w:w="1316" w:type="dxa"/>
            <w:gridSpan w:val="4"/>
            <w:tcBorders>
              <w:top w:val="nil"/>
              <w:left w:val="nil"/>
              <w:bottom w:val="dashed" w:sz="4" w:space="0" w:color="auto"/>
              <w:right w:val="dashed" w:sz="4" w:space="0" w:color="auto"/>
            </w:tcBorders>
            <w:shd w:val="clear" w:color="auto" w:fill="auto"/>
            <w:noWrap/>
            <w:vAlign w:val="center"/>
            <w:hideMark/>
          </w:tcPr>
          <w:p w14:paraId="3B9987BE" w14:textId="77777777" w:rsidR="00247CBF" w:rsidRPr="00092ED7" w:rsidRDefault="00247CBF" w:rsidP="00247CBF">
            <w:pPr>
              <w:spacing w:after="0"/>
              <w:jc w:val="right"/>
              <w:rPr>
                <w:sz w:val="20"/>
                <w:szCs w:val="20"/>
                <w:lang w:val="sr-Cyrl-CS"/>
              </w:rPr>
            </w:pPr>
            <w:r w:rsidRPr="00092ED7">
              <w:rPr>
                <w:sz w:val="20"/>
                <w:szCs w:val="20"/>
                <w:lang w:val="sr-Cyrl-CS"/>
              </w:rPr>
              <w:t>185,1</w:t>
            </w:r>
          </w:p>
        </w:tc>
        <w:tc>
          <w:tcPr>
            <w:tcW w:w="1376" w:type="dxa"/>
            <w:gridSpan w:val="4"/>
            <w:tcBorders>
              <w:top w:val="nil"/>
              <w:left w:val="nil"/>
              <w:bottom w:val="dashed" w:sz="4" w:space="0" w:color="auto"/>
              <w:right w:val="dashed" w:sz="4" w:space="0" w:color="auto"/>
            </w:tcBorders>
            <w:shd w:val="clear" w:color="auto" w:fill="auto"/>
            <w:noWrap/>
            <w:vAlign w:val="center"/>
            <w:hideMark/>
          </w:tcPr>
          <w:p w14:paraId="0BF96A01" w14:textId="77777777" w:rsidR="00247CBF" w:rsidRPr="00092ED7" w:rsidRDefault="00247CBF" w:rsidP="00247CBF">
            <w:pPr>
              <w:spacing w:after="0"/>
              <w:jc w:val="right"/>
              <w:rPr>
                <w:sz w:val="20"/>
                <w:szCs w:val="20"/>
                <w:lang w:val="sr-Cyrl-CS"/>
              </w:rPr>
            </w:pPr>
            <w:r w:rsidRPr="00092ED7">
              <w:rPr>
                <w:sz w:val="20"/>
                <w:szCs w:val="20"/>
                <w:lang w:val="sr-Cyrl-CS"/>
              </w:rPr>
              <w:t>178,4</w:t>
            </w:r>
          </w:p>
        </w:tc>
        <w:tc>
          <w:tcPr>
            <w:tcW w:w="1276" w:type="dxa"/>
            <w:gridSpan w:val="4"/>
            <w:tcBorders>
              <w:top w:val="nil"/>
              <w:left w:val="nil"/>
              <w:bottom w:val="dashed" w:sz="4" w:space="0" w:color="auto"/>
              <w:right w:val="dashed" w:sz="4" w:space="0" w:color="auto"/>
            </w:tcBorders>
            <w:shd w:val="clear" w:color="auto" w:fill="auto"/>
            <w:noWrap/>
            <w:vAlign w:val="center"/>
            <w:hideMark/>
          </w:tcPr>
          <w:p w14:paraId="7A646401" w14:textId="77777777" w:rsidR="00247CBF" w:rsidRPr="00092ED7" w:rsidRDefault="00247CBF" w:rsidP="00247CBF">
            <w:pPr>
              <w:spacing w:after="0"/>
              <w:jc w:val="right"/>
              <w:rPr>
                <w:sz w:val="20"/>
                <w:szCs w:val="20"/>
                <w:lang w:val="sr-Cyrl-CS"/>
              </w:rPr>
            </w:pPr>
            <w:r w:rsidRPr="00092ED7">
              <w:rPr>
                <w:sz w:val="20"/>
                <w:szCs w:val="20"/>
                <w:lang w:val="sr-Cyrl-CS"/>
              </w:rPr>
              <w:t>219,4</w:t>
            </w:r>
          </w:p>
        </w:tc>
        <w:tc>
          <w:tcPr>
            <w:tcW w:w="1276" w:type="dxa"/>
            <w:gridSpan w:val="3"/>
            <w:tcBorders>
              <w:top w:val="nil"/>
              <w:left w:val="nil"/>
              <w:bottom w:val="dashed" w:sz="4" w:space="0" w:color="auto"/>
              <w:right w:val="dashed" w:sz="4" w:space="0" w:color="auto"/>
            </w:tcBorders>
            <w:shd w:val="clear" w:color="auto" w:fill="auto"/>
            <w:noWrap/>
            <w:vAlign w:val="center"/>
            <w:hideMark/>
          </w:tcPr>
          <w:p w14:paraId="785D6AAD" w14:textId="77777777" w:rsidR="00247CBF" w:rsidRPr="00092ED7" w:rsidRDefault="00247CBF" w:rsidP="00247CBF">
            <w:pPr>
              <w:spacing w:after="0"/>
              <w:jc w:val="right"/>
              <w:rPr>
                <w:sz w:val="20"/>
                <w:szCs w:val="20"/>
                <w:lang w:val="sr-Cyrl-CS"/>
              </w:rPr>
            </w:pPr>
            <w:r w:rsidRPr="00092ED7">
              <w:rPr>
                <w:sz w:val="20"/>
                <w:szCs w:val="20"/>
                <w:lang w:val="sr-Cyrl-CS"/>
              </w:rPr>
              <w:t>222,9</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32D279D7" w14:textId="77777777" w:rsidR="00247CBF" w:rsidRPr="00092ED7" w:rsidRDefault="00247CBF" w:rsidP="00247CBF">
            <w:pPr>
              <w:spacing w:after="0"/>
              <w:jc w:val="right"/>
              <w:rPr>
                <w:sz w:val="20"/>
                <w:szCs w:val="20"/>
                <w:lang w:val="sr-Cyrl-CS"/>
              </w:rPr>
            </w:pPr>
            <w:r w:rsidRPr="00092ED7">
              <w:rPr>
                <w:sz w:val="20"/>
                <w:szCs w:val="20"/>
                <w:lang w:val="sr-Cyrl-CS"/>
              </w:rPr>
              <w:t>157,3</w:t>
            </w:r>
          </w:p>
        </w:tc>
      </w:tr>
      <w:tr w:rsidR="004B0AC2" w:rsidRPr="00092ED7" w14:paraId="666AABEF" w14:textId="77777777" w:rsidTr="004B0AC2">
        <w:trPr>
          <w:gridAfter w:val="2"/>
          <w:wAfter w:w="293" w:type="dxa"/>
          <w:trHeight w:val="255"/>
        </w:trPr>
        <w:tc>
          <w:tcPr>
            <w:tcW w:w="4962" w:type="dxa"/>
            <w:gridSpan w:val="3"/>
            <w:tcBorders>
              <w:top w:val="nil"/>
              <w:left w:val="double" w:sz="6" w:space="0" w:color="auto"/>
              <w:bottom w:val="dotted" w:sz="4" w:space="0" w:color="auto"/>
              <w:right w:val="single" w:sz="8" w:space="0" w:color="auto"/>
            </w:tcBorders>
            <w:shd w:val="clear" w:color="auto" w:fill="auto"/>
            <w:hideMark/>
          </w:tcPr>
          <w:p w14:paraId="3C5BC735" w14:textId="77777777" w:rsidR="00247CBF" w:rsidRPr="00092ED7" w:rsidRDefault="00247CBF" w:rsidP="00247CBF">
            <w:pPr>
              <w:spacing w:after="0"/>
              <w:ind w:firstLineChars="100" w:firstLine="200"/>
              <w:rPr>
                <w:sz w:val="20"/>
                <w:szCs w:val="20"/>
                <w:lang w:val="sr-Cyrl-CS"/>
              </w:rPr>
            </w:pPr>
            <w:r w:rsidRPr="00092ED7">
              <w:rPr>
                <w:sz w:val="20"/>
                <w:szCs w:val="20"/>
                <w:lang w:val="sr-Cyrl-CS"/>
              </w:rPr>
              <w:t>7. Дуг приватног сектора [3]</w:t>
            </w:r>
          </w:p>
        </w:tc>
        <w:tc>
          <w:tcPr>
            <w:tcW w:w="1447" w:type="dxa"/>
            <w:gridSpan w:val="3"/>
            <w:tcBorders>
              <w:top w:val="nil"/>
              <w:left w:val="nil"/>
              <w:bottom w:val="dotted" w:sz="4" w:space="0" w:color="auto"/>
              <w:right w:val="single" w:sz="8" w:space="0" w:color="auto"/>
            </w:tcBorders>
            <w:shd w:val="clear" w:color="auto" w:fill="auto"/>
            <w:vAlign w:val="center"/>
            <w:hideMark/>
          </w:tcPr>
          <w:p w14:paraId="27F615F2" w14:textId="77777777" w:rsidR="00247CBF" w:rsidRPr="00092ED7" w:rsidRDefault="00247CBF" w:rsidP="00247CBF">
            <w:pPr>
              <w:spacing w:after="0"/>
              <w:jc w:val="center"/>
              <w:rPr>
                <w:sz w:val="18"/>
                <w:szCs w:val="18"/>
                <w:lang w:val="sr-Cyrl-CS"/>
              </w:rPr>
            </w:pPr>
            <w:r w:rsidRPr="00092ED7">
              <w:rPr>
                <w:sz w:val="18"/>
                <w:szCs w:val="18"/>
                <w:lang w:val="sr-Cyrl-CS"/>
              </w:rPr>
              <w:t>млрд РСД</w:t>
            </w:r>
          </w:p>
        </w:tc>
        <w:tc>
          <w:tcPr>
            <w:tcW w:w="1388" w:type="dxa"/>
            <w:gridSpan w:val="4"/>
            <w:tcBorders>
              <w:top w:val="nil"/>
              <w:left w:val="nil"/>
              <w:bottom w:val="dashed" w:sz="4" w:space="0" w:color="auto"/>
              <w:right w:val="dashed" w:sz="4" w:space="0" w:color="auto"/>
            </w:tcBorders>
            <w:shd w:val="clear" w:color="auto" w:fill="auto"/>
            <w:noWrap/>
            <w:vAlign w:val="center"/>
            <w:hideMark/>
          </w:tcPr>
          <w:p w14:paraId="26B4A8A7" w14:textId="77777777" w:rsidR="00247CBF" w:rsidRPr="00092ED7" w:rsidRDefault="00247CBF" w:rsidP="00247CBF">
            <w:pPr>
              <w:spacing w:after="0"/>
              <w:jc w:val="right"/>
              <w:rPr>
                <w:sz w:val="20"/>
                <w:szCs w:val="20"/>
                <w:lang w:val="sr-Cyrl-CS"/>
              </w:rPr>
            </w:pPr>
            <w:r w:rsidRPr="00092ED7">
              <w:rPr>
                <w:sz w:val="20"/>
                <w:szCs w:val="20"/>
                <w:lang w:val="sr-Cyrl-CS"/>
              </w:rPr>
              <w:t>1.904,6</w:t>
            </w:r>
          </w:p>
        </w:tc>
        <w:tc>
          <w:tcPr>
            <w:tcW w:w="1316" w:type="dxa"/>
            <w:gridSpan w:val="4"/>
            <w:tcBorders>
              <w:top w:val="nil"/>
              <w:left w:val="nil"/>
              <w:bottom w:val="dashed" w:sz="4" w:space="0" w:color="auto"/>
              <w:right w:val="dashed" w:sz="4" w:space="0" w:color="auto"/>
            </w:tcBorders>
            <w:shd w:val="clear" w:color="auto" w:fill="auto"/>
            <w:noWrap/>
            <w:vAlign w:val="center"/>
            <w:hideMark/>
          </w:tcPr>
          <w:p w14:paraId="7BB6C9EF" w14:textId="77777777" w:rsidR="00247CBF" w:rsidRPr="00092ED7" w:rsidRDefault="00247CBF" w:rsidP="00247CBF">
            <w:pPr>
              <w:spacing w:after="0"/>
              <w:jc w:val="right"/>
              <w:rPr>
                <w:sz w:val="20"/>
                <w:szCs w:val="20"/>
                <w:lang w:val="sr-Cyrl-CS"/>
              </w:rPr>
            </w:pPr>
            <w:r w:rsidRPr="00092ED7">
              <w:rPr>
                <w:sz w:val="20"/>
                <w:szCs w:val="20"/>
                <w:lang w:val="sr-Cyrl-CS"/>
              </w:rPr>
              <w:t>2.089,6</w:t>
            </w:r>
          </w:p>
        </w:tc>
        <w:tc>
          <w:tcPr>
            <w:tcW w:w="1376" w:type="dxa"/>
            <w:gridSpan w:val="4"/>
            <w:tcBorders>
              <w:top w:val="nil"/>
              <w:left w:val="nil"/>
              <w:bottom w:val="dashed" w:sz="4" w:space="0" w:color="auto"/>
              <w:right w:val="dashed" w:sz="4" w:space="0" w:color="auto"/>
            </w:tcBorders>
            <w:shd w:val="clear" w:color="auto" w:fill="auto"/>
            <w:noWrap/>
            <w:vAlign w:val="center"/>
            <w:hideMark/>
          </w:tcPr>
          <w:p w14:paraId="2E6DC9AA" w14:textId="77777777" w:rsidR="00247CBF" w:rsidRPr="00092ED7" w:rsidRDefault="00247CBF" w:rsidP="00247CBF">
            <w:pPr>
              <w:spacing w:after="0"/>
              <w:jc w:val="right"/>
              <w:rPr>
                <w:sz w:val="20"/>
                <w:szCs w:val="20"/>
                <w:lang w:val="sr-Cyrl-CS"/>
              </w:rPr>
            </w:pPr>
            <w:r w:rsidRPr="00092ED7">
              <w:rPr>
                <w:sz w:val="20"/>
                <w:szCs w:val="20"/>
                <w:lang w:val="sr-Cyrl-CS"/>
              </w:rPr>
              <w:t>2.268,1</w:t>
            </w:r>
          </w:p>
        </w:tc>
        <w:tc>
          <w:tcPr>
            <w:tcW w:w="1276" w:type="dxa"/>
            <w:gridSpan w:val="4"/>
            <w:tcBorders>
              <w:top w:val="nil"/>
              <w:left w:val="nil"/>
              <w:bottom w:val="dashed" w:sz="4" w:space="0" w:color="auto"/>
              <w:right w:val="dashed" w:sz="4" w:space="0" w:color="auto"/>
            </w:tcBorders>
            <w:shd w:val="clear" w:color="auto" w:fill="auto"/>
            <w:noWrap/>
            <w:vAlign w:val="center"/>
            <w:hideMark/>
          </w:tcPr>
          <w:p w14:paraId="44DE51B4" w14:textId="77777777" w:rsidR="00247CBF" w:rsidRPr="00092ED7" w:rsidRDefault="00247CBF" w:rsidP="00247CBF">
            <w:pPr>
              <w:spacing w:after="0"/>
              <w:jc w:val="right"/>
              <w:rPr>
                <w:sz w:val="20"/>
                <w:szCs w:val="20"/>
                <w:lang w:val="sr-Cyrl-CS"/>
              </w:rPr>
            </w:pPr>
            <w:r w:rsidRPr="00092ED7">
              <w:rPr>
                <w:sz w:val="20"/>
                <w:szCs w:val="20"/>
                <w:lang w:val="sr-Cyrl-CS"/>
              </w:rPr>
              <w:t>2.487,4</w:t>
            </w:r>
          </w:p>
        </w:tc>
        <w:tc>
          <w:tcPr>
            <w:tcW w:w="1276" w:type="dxa"/>
            <w:gridSpan w:val="3"/>
            <w:tcBorders>
              <w:top w:val="nil"/>
              <w:left w:val="nil"/>
              <w:bottom w:val="dashed" w:sz="4" w:space="0" w:color="auto"/>
              <w:right w:val="dashed" w:sz="4" w:space="0" w:color="auto"/>
            </w:tcBorders>
            <w:shd w:val="clear" w:color="auto" w:fill="auto"/>
            <w:noWrap/>
            <w:vAlign w:val="center"/>
            <w:hideMark/>
          </w:tcPr>
          <w:p w14:paraId="1FF14327" w14:textId="77777777" w:rsidR="00247CBF" w:rsidRPr="00092ED7" w:rsidRDefault="00247CBF" w:rsidP="00247CBF">
            <w:pPr>
              <w:spacing w:after="0"/>
              <w:jc w:val="right"/>
              <w:rPr>
                <w:sz w:val="20"/>
                <w:szCs w:val="20"/>
                <w:lang w:val="sr-Cyrl-CS"/>
              </w:rPr>
            </w:pPr>
            <w:r w:rsidRPr="00092ED7">
              <w:rPr>
                <w:sz w:val="20"/>
                <w:szCs w:val="20"/>
                <w:lang w:val="sr-Cyrl-CS"/>
              </w:rPr>
              <w:t>2.710,4</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05AA0411" w14:textId="77777777" w:rsidR="00247CBF" w:rsidRPr="00092ED7" w:rsidRDefault="00247CBF" w:rsidP="00247CBF">
            <w:pPr>
              <w:spacing w:after="0"/>
              <w:jc w:val="right"/>
              <w:rPr>
                <w:sz w:val="20"/>
                <w:szCs w:val="20"/>
                <w:lang w:val="sr-Cyrl-CS"/>
              </w:rPr>
            </w:pPr>
            <w:r w:rsidRPr="00092ED7">
              <w:rPr>
                <w:sz w:val="20"/>
                <w:szCs w:val="20"/>
                <w:lang w:val="sr-Cyrl-CS"/>
              </w:rPr>
              <w:t>2.867,7</w:t>
            </w:r>
          </w:p>
        </w:tc>
      </w:tr>
      <w:tr w:rsidR="00247CBF" w:rsidRPr="00092ED7" w14:paraId="788D9D0C" w14:textId="77777777" w:rsidTr="00247CBF">
        <w:trPr>
          <w:gridAfter w:val="2"/>
          <w:wAfter w:w="293" w:type="dxa"/>
          <w:trHeight w:val="270"/>
        </w:trPr>
        <w:tc>
          <w:tcPr>
            <w:tcW w:w="4962" w:type="dxa"/>
            <w:gridSpan w:val="3"/>
            <w:tcBorders>
              <w:top w:val="nil"/>
              <w:left w:val="double" w:sz="6" w:space="0" w:color="auto"/>
              <w:bottom w:val="double" w:sz="6" w:space="0" w:color="auto"/>
              <w:right w:val="single" w:sz="8" w:space="0" w:color="auto"/>
            </w:tcBorders>
            <w:shd w:val="clear" w:color="auto" w:fill="auto"/>
            <w:hideMark/>
          </w:tcPr>
          <w:p w14:paraId="2552CCAA" w14:textId="77777777" w:rsidR="00247CBF" w:rsidRPr="00092ED7" w:rsidRDefault="00247CBF" w:rsidP="00247CBF">
            <w:pPr>
              <w:spacing w:after="0"/>
              <w:ind w:firstLineChars="100" w:firstLine="200"/>
              <w:rPr>
                <w:sz w:val="20"/>
                <w:szCs w:val="20"/>
                <w:lang w:val="sr-Cyrl-CS"/>
              </w:rPr>
            </w:pPr>
            <w:r w:rsidRPr="00092ED7">
              <w:rPr>
                <w:sz w:val="20"/>
                <w:szCs w:val="20"/>
                <w:lang w:val="sr-Cyrl-CS"/>
              </w:rPr>
              <w:t>8. Дуг општег нивоа државе</w:t>
            </w:r>
          </w:p>
        </w:tc>
        <w:tc>
          <w:tcPr>
            <w:tcW w:w="1447" w:type="dxa"/>
            <w:gridSpan w:val="3"/>
            <w:tcBorders>
              <w:top w:val="dashed" w:sz="4" w:space="0" w:color="auto"/>
              <w:left w:val="nil"/>
              <w:bottom w:val="double" w:sz="6" w:space="0" w:color="auto"/>
              <w:right w:val="single" w:sz="8" w:space="0" w:color="auto"/>
            </w:tcBorders>
            <w:shd w:val="clear" w:color="auto" w:fill="auto"/>
            <w:noWrap/>
            <w:vAlign w:val="center"/>
            <w:hideMark/>
          </w:tcPr>
          <w:p w14:paraId="74824B41" w14:textId="77777777" w:rsidR="00247CBF" w:rsidRPr="00092ED7" w:rsidRDefault="00247CBF" w:rsidP="00247CBF">
            <w:pPr>
              <w:spacing w:after="0"/>
              <w:jc w:val="center"/>
              <w:rPr>
                <w:sz w:val="18"/>
                <w:szCs w:val="18"/>
                <w:lang w:val="sr-Cyrl-CS"/>
              </w:rPr>
            </w:pPr>
            <w:r w:rsidRPr="00092ED7">
              <w:rPr>
                <w:sz w:val="18"/>
                <w:szCs w:val="18"/>
                <w:lang w:val="sr-Cyrl-CS"/>
              </w:rPr>
              <w:t>млрд РСД</w:t>
            </w:r>
          </w:p>
        </w:tc>
        <w:tc>
          <w:tcPr>
            <w:tcW w:w="1388" w:type="dxa"/>
            <w:gridSpan w:val="4"/>
            <w:tcBorders>
              <w:top w:val="nil"/>
              <w:left w:val="nil"/>
              <w:bottom w:val="double" w:sz="6" w:space="0" w:color="auto"/>
              <w:right w:val="dashed" w:sz="4" w:space="0" w:color="auto"/>
            </w:tcBorders>
            <w:shd w:val="clear" w:color="auto" w:fill="auto"/>
            <w:noWrap/>
            <w:vAlign w:val="center"/>
            <w:hideMark/>
          </w:tcPr>
          <w:p w14:paraId="458DF0FA" w14:textId="77777777" w:rsidR="00247CBF" w:rsidRPr="00092ED7" w:rsidRDefault="00247CBF" w:rsidP="00247CBF">
            <w:pPr>
              <w:spacing w:after="0"/>
              <w:jc w:val="right"/>
              <w:rPr>
                <w:sz w:val="20"/>
                <w:szCs w:val="20"/>
                <w:lang w:val="sr-Cyrl-CS"/>
              </w:rPr>
            </w:pPr>
            <w:r w:rsidRPr="00092ED7">
              <w:rPr>
                <w:sz w:val="20"/>
                <w:szCs w:val="20"/>
                <w:lang w:val="sr-Cyrl-CS"/>
              </w:rPr>
              <w:t>2.790,5</w:t>
            </w:r>
          </w:p>
        </w:tc>
        <w:tc>
          <w:tcPr>
            <w:tcW w:w="1316" w:type="dxa"/>
            <w:gridSpan w:val="4"/>
            <w:tcBorders>
              <w:top w:val="nil"/>
              <w:left w:val="nil"/>
              <w:bottom w:val="double" w:sz="6" w:space="0" w:color="auto"/>
              <w:right w:val="dashed" w:sz="4" w:space="0" w:color="auto"/>
            </w:tcBorders>
            <w:shd w:val="clear" w:color="auto" w:fill="auto"/>
            <w:noWrap/>
            <w:vAlign w:val="center"/>
            <w:hideMark/>
          </w:tcPr>
          <w:p w14:paraId="7162841A" w14:textId="77777777" w:rsidR="00247CBF" w:rsidRPr="00092ED7" w:rsidRDefault="00247CBF" w:rsidP="00247CBF">
            <w:pPr>
              <w:spacing w:after="0"/>
              <w:jc w:val="right"/>
              <w:rPr>
                <w:sz w:val="20"/>
                <w:szCs w:val="20"/>
                <w:lang w:val="sr-Cyrl-CS"/>
              </w:rPr>
            </w:pPr>
            <w:r w:rsidRPr="00092ED7">
              <w:rPr>
                <w:sz w:val="20"/>
                <w:szCs w:val="20"/>
                <w:lang w:val="sr-Cyrl-CS"/>
              </w:rPr>
              <w:t>2.757,3</w:t>
            </w:r>
          </w:p>
        </w:tc>
        <w:tc>
          <w:tcPr>
            <w:tcW w:w="1376" w:type="dxa"/>
            <w:gridSpan w:val="4"/>
            <w:tcBorders>
              <w:top w:val="nil"/>
              <w:left w:val="nil"/>
              <w:bottom w:val="double" w:sz="6" w:space="0" w:color="auto"/>
              <w:right w:val="dashed" w:sz="4" w:space="0" w:color="auto"/>
            </w:tcBorders>
            <w:shd w:val="clear" w:color="auto" w:fill="auto"/>
            <w:noWrap/>
            <w:vAlign w:val="center"/>
            <w:hideMark/>
          </w:tcPr>
          <w:p w14:paraId="6B72DF1D" w14:textId="77777777" w:rsidR="00247CBF" w:rsidRPr="00092ED7" w:rsidRDefault="00247CBF" w:rsidP="00247CBF">
            <w:pPr>
              <w:spacing w:after="0"/>
              <w:jc w:val="right"/>
              <w:rPr>
                <w:sz w:val="20"/>
                <w:szCs w:val="20"/>
                <w:lang w:val="sr-Cyrl-CS"/>
              </w:rPr>
            </w:pPr>
            <w:r w:rsidRPr="00092ED7">
              <w:rPr>
                <w:sz w:val="20"/>
                <w:szCs w:val="20"/>
                <w:lang w:val="sr-Cyrl-CS"/>
              </w:rPr>
              <w:t>2.864,0</w:t>
            </w:r>
          </w:p>
        </w:tc>
        <w:tc>
          <w:tcPr>
            <w:tcW w:w="1276" w:type="dxa"/>
            <w:gridSpan w:val="4"/>
            <w:tcBorders>
              <w:top w:val="nil"/>
              <w:left w:val="nil"/>
              <w:bottom w:val="double" w:sz="6" w:space="0" w:color="auto"/>
              <w:right w:val="dashed" w:sz="4" w:space="0" w:color="auto"/>
            </w:tcBorders>
            <w:shd w:val="clear" w:color="auto" w:fill="auto"/>
            <w:noWrap/>
            <w:vAlign w:val="center"/>
            <w:hideMark/>
          </w:tcPr>
          <w:p w14:paraId="30E65D89" w14:textId="77777777" w:rsidR="00247CBF" w:rsidRPr="00092ED7" w:rsidRDefault="00247CBF" w:rsidP="00247CBF">
            <w:pPr>
              <w:spacing w:after="0"/>
              <w:jc w:val="right"/>
              <w:rPr>
                <w:sz w:val="20"/>
                <w:szCs w:val="20"/>
                <w:lang w:val="sr-Cyrl-CS"/>
              </w:rPr>
            </w:pPr>
            <w:r w:rsidRPr="00092ED7">
              <w:rPr>
                <w:sz w:val="20"/>
                <w:szCs w:val="20"/>
                <w:lang w:val="sr-Cyrl-CS"/>
              </w:rPr>
              <w:t>3.181,2</w:t>
            </w:r>
          </w:p>
        </w:tc>
        <w:tc>
          <w:tcPr>
            <w:tcW w:w="1276" w:type="dxa"/>
            <w:gridSpan w:val="3"/>
            <w:tcBorders>
              <w:top w:val="nil"/>
              <w:left w:val="nil"/>
              <w:bottom w:val="double" w:sz="6" w:space="0" w:color="auto"/>
              <w:right w:val="dashed" w:sz="4" w:space="0" w:color="auto"/>
            </w:tcBorders>
            <w:shd w:val="clear" w:color="auto" w:fill="auto"/>
            <w:noWrap/>
            <w:vAlign w:val="center"/>
            <w:hideMark/>
          </w:tcPr>
          <w:p w14:paraId="109F304E" w14:textId="77777777" w:rsidR="00247CBF" w:rsidRPr="00092ED7" w:rsidRDefault="00247CBF" w:rsidP="00247CBF">
            <w:pPr>
              <w:spacing w:after="0"/>
              <w:jc w:val="right"/>
              <w:rPr>
                <w:sz w:val="20"/>
                <w:szCs w:val="20"/>
                <w:lang w:val="sr-Cyrl-CS"/>
              </w:rPr>
            </w:pPr>
            <w:r w:rsidRPr="00092ED7">
              <w:rPr>
                <w:sz w:val="20"/>
                <w:szCs w:val="20"/>
                <w:lang w:val="sr-Cyrl-CS"/>
              </w:rPr>
              <w:t>3.581,8</w:t>
            </w:r>
          </w:p>
        </w:tc>
        <w:tc>
          <w:tcPr>
            <w:tcW w:w="1268" w:type="dxa"/>
            <w:gridSpan w:val="3"/>
            <w:tcBorders>
              <w:top w:val="nil"/>
              <w:left w:val="nil"/>
              <w:bottom w:val="double" w:sz="6" w:space="0" w:color="auto"/>
              <w:right w:val="double" w:sz="6" w:space="0" w:color="auto"/>
            </w:tcBorders>
            <w:shd w:val="clear" w:color="auto" w:fill="auto"/>
            <w:noWrap/>
            <w:vAlign w:val="center"/>
            <w:hideMark/>
          </w:tcPr>
          <w:p w14:paraId="460CEA84" w14:textId="77777777" w:rsidR="00247CBF" w:rsidRPr="00092ED7" w:rsidRDefault="00247CBF" w:rsidP="00247CBF">
            <w:pPr>
              <w:spacing w:after="0"/>
              <w:jc w:val="right"/>
              <w:rPr>
                <w:sz w:val="20"/>
                <w:szCs w:val="20"/>
                <w:lang w:val="sr-Cyrl-CS"/>
              </w:rPr>
            </w:pPr>
            <w:r w:rsidRPr="00092ED7">
              <w:rPr>
                <w:sz w:val="20"/>
                <w:szCs w:val="20"/>
                <w:lang w:val="sr-Cyrl-CS"/>
              </w:rPr>
              <w:t>4.030,6</w:t>
            </w:r>
          </w:p>
        </w:tc>
      </w:tr>
      <w:tr w:rsidR="00247CBF" w:rsidRPr="00092ED7" w14:paraId="61B5F712" w14:textId="77777777" w:rsidTr="00247CBF">
        <w:trPr>
          <w:gridAfter w:val="2"/>
          <w:wAfter w:w="293" w:type="dxa"/>
          <w:trHeight w:val="270"/>
        </w:trPr>
        <w:tc>
          <w:tcPr>
            <w:tcW w:w="4962" w:type="dxa"/>
            <w:gridSpan w:val="3"/>
            <w:tcBorders>
              <w:top w:val="nil"/>
              <w:left w:val="double" w:sz="6" w:space="0" w:color="auto"/>
              <w:bottom w:val="dotted" w:sz="4" w:space="0" w:color="auto"/>
              <w:right w:val="single" w:sz="8" w:space="0" w:color="auto"/>
            </w:tcBorders>
            <w:shd w:val="clear" w:color="auto" w:fill="auto"/>
            <w:hideMark/>
          </w:tcPr>
          <w:p w14:paraId="6BCEC00E"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информативно: БДП у текућим тржишним ценама</w:t>
            </w:r>
          </w:p>
        </w:tc>
        <w:tc>
          <w:tcPr>
            <w:tcW w:w="1447" w:type="dxa"/>
            <w:gridSpan w:val="3"/>
            <w:tcBorders>
              <w:top w:val="nil"/>
              <w:left w:val="nil"/>
              <w:bottom w:val="dotted" w:sz="4" w:space="0" w:color="auto"/>
              <w:right w:val="single" w:sz="8" w:space="0" w:color="auto"/>
            </w:tcBorders>
            <w:shd w:val="clear" w:color="auto" w:fill="auto"/>
            <w:vAlign w:val="center"/>
            <w:hideMark/>
          </w:tcPr>
          <w:p w14:paraId="75AACC19" w14:textId="77777777" w:rsidR="00247CBF" w:rsidRPr="00092ED7" w:rsidRDefault="00247CBF" w:rsidP="00247CBF">
            <w:pPr>
              <w:spacing w:after="0"/>
              <w:jc w:val="center"/>
              <w:rPr>
                <w:sz w:val="18"/>
                <w:szCs w:val="18"/>
                <w:lang w:val="sr-Cyrl-CS"/>
              </w:rPr>
            </w:pPr>
            <w:r w:rsidRPr="00092ED7">
              <w:rPr>
                <w:sz w:val="18"/>
                <w:szCs w:val="18"/>
                <w:lang w:val="sr-Cyrl-CS"/>
              </w:rPr>
              <w:t>млрд РСД</w:t>
            </w:r>
          </w:p>
        </w:tc>
        <w:tc>
          <w:tcPr>
            <w:tcW w:w="1388" w:type="dxa"/>
            <w:gridSpan w:val="4"/>
            <w:tcBorders>
              <w:top w:val="dashed" w:sz="4" w:space="0" w:color="auto"/>
              <w:left w:val="nil"/>
              <w:bottom w:val="dashed" w:sz="4" w:space="0" w:color="auto"/>
              <w:right w:val="dashed" w:sz="4" w:space="0" w:color="auto"/>
            </w:tcBorders>
            <w:shd w:val="clear" w:color="auto" w:fill="auto"/>
            <w:noWrap/>
            <w:vAlign w:val="center"/>
            <w:hideMark/>
          </w:tcPr>
          <w:p w14:paraId="3464D464" w14:textId="77777777" w:rsidR="00247CBF" w:rsidRPr="00092ED7" w:rsidRDefault="00247CBF" w:rsidP="00247CBF">
            <w:pPr>
              <w:spacing w:after="0"/>
              <w:jc w:val="right"/>
              <w:rPr>
                <w:sz w:val="20"/>
                <w:szCs w:val="20"/>
                <w:lang w:val="sr-Cyrl-CS"/>
              </w:rPr>
            </w:pPr>
            <w:r w:rsidRPr="00092ED7">
              <w:rPr>
                <w:sz w:val="20"/>
                <w:szCs w:val="20"/>
                <w:lang w:val="sr-Cyrl-CS"/>
              </w:rPr>
              <w:t>4.760,7</w:t>
            </w:r>
          </w:p>
        </w:tc>
        <w:tc>
          <w:tcPr>
            <w:tcW w:w="1316" w:type="dxa"/>
            <w:gridSpan w:val="4"/>
            <w:tcBorders>
              <w:top w:val="dashed" w:sz="4" w:space="0" w:color="auto"/>
              <w:left w:val="nil"/>
              <w:bottom w:val="dashed" w:sz="4" w:space="0" w:color="auto"/>
              <w:right w:val="dashed" w:sz="4" w:space="0" w:color="auto"/>
            </w:tcBorders>
            <w:shd w:val="clear" w:color="auto" w:fill="auto"/>
            <w:noWrap/>
            <w:vAlign w:val="center"/>
            <w:hideMark/>
          </w:tcPr>
          <w:p w14:paraId="1B34DD2B" w14:textId="77777777" w:rsidR="00247CBF" w:rsidRPr="00092ED7" w:rsidRDefault="00247CBF" w:rsidP="00247CBF">
            <w:pPr>
              <w:spacing w:after="0"/>
              <w:jc w:val="right"/>
              <w:rPr>
                <w:sz w:val="20"/>
                <w:szCs w:val="20"/>
                <w:lang w:val="sr-Cyrl-CS"/>
              </w:rPr>
            </w:pPr>
            <w:r w:rsidRPr="00092ED7">
              <w:rPr>
                <w:sz w:val="20"/>
                <w:szCs w:val="20"/>
                <w:lang w:val="sr-Cyrl-CS"/>
              </w:rPr>
              <w:t>5.072,9</w:t>
            </w:r>
          </w:p>
        </w:tc>
        <w:tc>
          <w:tcPr>
            <w:tcW w:w="1376" w:type="dxa"/>
            <w:gridSpan w:val="4"/>
            <w:tcBorders>
              <w:top w:val="dashed" w:sz="4" w:space="0" w:color="auto"/>
              <w:left w:val="nil"/>
              <w:bottom w:val="dashed" w:sz="4" w:space="0" w:color="auto"/>
              <w:right w:val="dashed" w:sz="4" w:space="0" w:color="auto"/>
            </w:tcBorders>
            <w:shd w:val="clear" w:color="auto" w:fill="auto"/>
            <w:noWrap/>
            <w:vAlign w:val="center"/>
            <w:hideMark/>
          </w:tcPr>
          <w:p w14:paraId="5615701E" w14:textId="77777777" w:rsidR="00247CBF" w:rsidRPr="00092ED7" w:rsidRDefault="00247CBF" w:rsidP="00247CBF">
            <w:pPr>
              <w:spacing w:after="0"/>
              <w:jc w:val="right"/>
              <w:rPr>
                <w:sz w:val="20"/>
                <w:szCs w:val="20"/>
                <w:lang w:val="sr-Cyrl-CS"/>
              </w:rPr>
            </w:pPr>
            <w:r w:rsidRPr="00092ED7">
              <w:rPr>
                <w:sz w:val="20"/>
                <w:szCs w:val="20"/>
                <w:lang w:val="sr-Cyrl-CS"/>
              </w:rPr>
              <w:t>5.421,9</w:t>
            </w:r>
          </w:p>
        </w:tc>
        <w:tc>
          <w:tcPr>
            <w:tcW w:w="1276" w:type="dxa"/>
            <w:gridSpan w:val="4"/>
            <w:tcBorders>
              <w:top w:val="dashed" w:sz="4" w:space="0" w:color="auto"/>
              <w:left w:val="nil"/>
              <w:bottom w:val="dashed" w:sz="4" w:space="0" w:color="auto"/>
              <w:right w:val="dashed" w:sz="4" w:space="0" w:color="auto"/>
            </w:tcBorders>
            <w:shd w:val="clear" w:color="auto" w:fill="auto"/>
            <w:noWrap/>
            <w:vAlign w:val="center"/>
            <w:hideMark/>
          </w:tcPr>
          <w:p w14:paraId="0F7B2344" w14:textId="77777777" w:rsidR="00247CBF" w:rsidRPr="00092ED7" w:rsidRDefault="00247CBF" w:rsidP="00247CBF">
            <w:pPr>
              <w:spacing w:after="0"/>
              <w:jc w:val="right"/>
              <w:rPr>
                <w:sz w:val="20"/>
                <w:szCs w:val="20"/>
                <w:lang w:val="sr-Cyrl-CS"/>
              </w:rPr>
            </w:pPr>
            <w:r w:rsidRPr="00092ED7">
              <w:rPr>
                <w:sz w:val="20"/>
                <w:szCs w:val="20"/>
                <w:lang w:val="sr-Cyrl-CS"/>
              </w:rPr>
              <w:t>5.504,4</w:t>
            </w:r>
          </w:p>
        </w:tc>
        <w:tc>
          <w:tcPr>
            <w:tcW w:w="1276" w:type="dxa"/>
            <w:gridSpan w:val="3"/>
            <w:tcBorders>
              <w:top w:val="dashed" w:sz="4" w:space="0" w:color="auto"/>
              <w:left w:val="nil"/>
              <w:bottom w:val="dashed" w:sz="4" w:space="0" w:color="auto"/>
              <w:right w:val="dashed" w:sz="4" w:space="0" w:color="auto"/>
            </w:tcBorders>
            <w:shd w:val="clear" w:color="auto" w:fill="auto"/>
            <w:noWrap/>
            <w:vAlign w:val="center"/>
            <w:hideMark/>
          </w:tcPr>
          <w:p w14:paraId="02049E8E" w14:textId="77777777" w:rsidR="00247CBF" w:rsidRPr="00092ED7" w:rsidRDefault="00247CBF" w:rsidP="00247CBF">
            <w:pPr>
              <w:spacing w:after="0"/>
              <w:jc w:val="right"/>
              <w:rPr>
                <w:sz w:val="20"/>
                <w:szCs w:val="20"/>
                <w:lang w:val="sr-Cyrl-CS"/>
              </w:rPr>
            </w:pPr>
            <w:r w:rsidRPr="00092ED7">
              <w:rPr>
                <w:sz w:val="20"/>
                <w:szCs w:val="20"/>
                <w:lang w:val="sr-Cyrl-CS"/>
              </w:rPr>
              <w:t>6.270,1</w:t>
            </w:r>
          </w:p>
        </w:tc>
        <w:tc>
          <w:tcPr>
            <w:tcW w:w="1268" w:type="dxa"/>
            <w:gridSpan w:val="3"/>
            <w:tcBorders>
              <w:top w:val="dashed" w:sz="4" w:space="0" w:color="auto"/>
              <w:left w:val="nil"/>
              <w:bottom w:val="dashed" w:sz="4" w:space="0" w:color="auto"/>
              <w:right w:val="double" w:sz="6" w:space="0" w:color="auto"/>
            </w:tcBorders>
            <w:shd w:val="clear" w:color="auto" w:fill="auto"/>
            <w:noWrap/>
            <w:vAlign w:val="center"/>
            <w:hideMark/>
          </w:tcPr>
          <w:p w14:paraId="06435F91" w14:textId="77777777" w:rsidR="00247CBF" w:rsidRPr="00092ED7" w:rsidRDefault="00247CBF" w:rsidP="00247CBF">
            <w:pPr>
              <w:spacing w:after="0"/>
              <w:jc w:val="right"/>
              <w:rPr>
                <w:sz w:val="20"/>
                <w:szCs w:val="20"/>
                <w:lang w:val="sr-Cyrl-CS"/>
              </w:rPr>
            </w:pPr>
            <w:r w:rsidRPr="00092ED7">
              <w:rPr>
                <w:sz w:val="20"/>
                <w:szCs w:val="20"/>
                <w:lang w:val="sr-Cyrl-CS"/>
              </w:rPr>
              <w:t>7.082,5</w:t>
            </w:r>
          </w:p>
        </w:tc>
      </w:tr>
      <w:tr w:rsidR="00247CBF" w:rsidRPr="00092ED7" w14:paraId="7530B5E8" w14:textId="77777777" w:rsidTr="00247CBF">
        <w:trPr>
          <w:gridAfter w:val="2"/>
          <w:wAfter w:w="293" w:type="dxa"/>
          <w:trHeight w:val="270"/>
        </w:trPr>
        <w:tc>
          <w:tcPr>
            <w:tcW w:w="4962" w:type="dxa"/>
            <w:gridSpan w:val="3"/>
            <w:tcBorders>
              <w:top w:val="nil"/>
              <w:left w:val="double" w:sz="6" w:space="0" w:color="auto"/>
              <w:bottom w:val="double" w:sz="6" w:space="0" w:color="auto"/>
              <w:right w:val="single" w:sz="8" w:space="0" w:color="auto"/>
            </w:tcBorders>
            <w:shd w:val="clear" w:color="auto" w:fill="auto"/>
            <w:hideMark/>
          </w:tcPr>
          <w:p w14:paraId="1CD4639F"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информативно: Девизни курс (годишњи просек)</w:t>
            </w:r>
          </w:p>
        </w:tc>
        <w:tc>
          <w:tcPr>
            <w:tcW w:w="1447" w:type="dxa"/>
            <w:gridSpan w:val="3"/>
            <w:tcBorders>
              <w:top w:val="dashed" w:sz="4" w:space="0" w:color="auto"/>
              <w:left w:val="nil"/>
              <w:bottom w:val="double" w:sz="6" w:space="0" w:color="auto"/>
              <w:right w:val="single" w:sz="8" w:space="0" w:color="auto"/>
            </w:tcBorders>
            <w:shd w:val="clear" w:color="auto" w:fill="auto"/>
            <w:noWrap/>
            <w:vAlign w:val="center"/>
            <w:hideMark/>
          </w:tcPr>
          <w:p w14:paraId="1AFE7925" w14:textId="77777777" w:rsidR="00247CBF" w:rsidRPr="00092ED7" w:rsidRDefault="00247CBF" w:rsidP="00247CBF">
            <w:pPr>
              <w:spacing w:after="0"/>
              <w:jc w:val="center"/>
              <w:rPr>
                <w:sz w:val="18"/>
                <w:szCs w:val="18"/>
                <w:lang w:val="sr-Cyrl-CS"/>
              </w:rPr>
            </w:pPr>
            <w:r w:rsidRPr="00092ED7">
              <w:rPr>
                <w:sz w:val="18"/>
                <w:szCs w:val="18"/>
                <w:lang w:val="sr-Cyrl-CS"/>
              </w:rPr>
              <w:t>РСД/ЕУР</w:t>
            </w:r>
          </w:p>
        </w:tc>
        <w:tc>
          <w:tcPr>
            <w:tcW w:w="1388" w:type="dxa"/>
            <w:gridSpan w:val="4"/>
            <w:tcBorders>
              <w:top w:val="nil"/>
              <w:left w:val="nil"/>
              <w:bottom w:val="double" w:sz="6" w:space="0" w:color="auto"/>
              <w:right w:val="dashed" w:sz="4" w:space="0" w:color="auto"/>
            </w:tcBorders>
            <w:shd w:val="clear" w:color="auto" w:fill="auto"/>
            <w:noWrap/>
            <w:vAlign w:val="center"/>
            <w:hideMark/>
          </w:tcPr>
          <w:p w14:paraId="2F7A44A1" w14:textId="77777777" w:rsidR="00247CBF" w:rsidRPr="00092ED7" w:rsidRDefault="00247CBF" w:rsidP="00247CBF">
            <w:pPr>
              <w:spacing w:after="0"/>
              <w:jc w:val="right"/>
              <w:rPr>
                <w:sz w:val="20"/>
                <w:szCs w:val="20"/>
                <w:lang w:val="sr-Cyrl-CS"/>
              </w:rPr>
            </w:pPr>
            <w:r w:rsidRPr="00092ED7">
              <w:rPr>
                <w:sz w:val="20"/>
                <w:szCs w:val="20"/>
                <w:lang w:val="sr-Cyrl-CS"/>
              </w:rPr>
              <w:t>121,3</w:t>
            </w:r>
          </w:p>
        </w:tc>
        <w:tc>
          <w:tcPr>
            <w:tcW w:w="1316" w:type="dxa"/>
            <w:gridSpan w:val="4"/>
            <w:tcBorders>
              <w:top w:val="nil"/>
              <w:left w:val="nil"/>
              <w:bottom w:val="double" w:sz="6" w:space="0" w:color="auto"/>
              <w:right w:val="dashed" w:sz="4" w:space="0" w:color="auto"/>
            </w:tcBorders>
            <w:shd w:val="clear" w:color="auto" w:fill="auto"/>
            <w:noWrap/>
            <w:vAlign w:val="center"/>
            <w:hideMark/>
          </w:tcPr>
          <w:p w14:paraId="00A79335" w14:textId="77777777" w:rsidR="00247CBF" w:rsidRPr="00092ED7" w:rsidRDefault="00247CBF" w:rsidP="00247CBF">
            <w:pPr>
              <w:spacing w:after="0"/>
              <w:jc w:val="right"/>
              <w:rPr>
                <w:sz w:val="20"/>
                <w:szCs w:val="20"/>
                <w:lang w:val="sr-Cyrl-CS"/>
              </w:rPr>
            </w:pPr>
            <w:r w:rsidRPr="00092ED7">
              <w:rPr>
                <w:sz w:val="20"/>
                <w:szCs w:val="20"/>
                <w:lang w:val="sr-Cyrl-CS"/>
              </w:rPr>
              <w:t>118,3</w:t>
            </w:r>
          </w:p>
        </w:tc>
        <w:tc>
          <w:tcPr>
            <w:tcW w:w="1376" w:type="dxa"/>
            <w:gridSpan w:val="4"/>
            <w:tcBorders>
              <w:top w:val="nil"/>
              <w:left w:val="nil"/>
              <w:bottom w:val="double" w:sz="6" w:space="0" w:color="auto"/>
              <w:right w:val="dashed" w:sz="4" w:space="0" w:color="auto"/>
            </w:tcBorders>
            <w:shd w:val="clear" w:color="auto" w:fill="auto"/>
            <w:noWrap/>
            <w:vAlign w:val="center"/>
            <w:hideMark/>
          </w:tcPr>
          <w:p w14:paraId="37C70D01" w14:textId="77777777" w:rsidR="00247CBF" w:rsidRPr="00092ED7" w:rsidRDefault="00247CBF" w:rsidP="00247CBF">
            <w:pPr>
              <w:spacing w:after="0"/>
              <w:jc w:val="right"/>
              <w:rPr>
                <w:sz w:val="20"/>
                <w:szCs w:val="20"/>
                <w:lang w:val="sr-Cyrl-CS"/>
              </w:rPr>
            </w:pPr>
            <w:r w:rsidRPr="00092ED7">
              <w:rPr>
                <w:sz w:val="20"/>
                <w:szCs w:val="20"/>
                <w:lang w:val="sr-Cyrl-CS"/>
              </w:rPr>
              <w:t>117,9</w:t>
            </w:r>
          </w:p>
        </w:tc>
        <w:tc>
          <w:tcPr>
            <w:tcW w:w="1276" w:type="dxa"/>
            <w:gridSpan w:val="4"/>
            <w:tcBorders>
              <w:top w:val="nil"/>
              <w:left w:val="nil"/>
              <w:bottom w:val="double" w:sz="6" w:space="0" w:color="auto"/>
              <w:right w:val="dashed" w:sz="4" w:space="0" w:color="auto"/>
            </w:tcBorders>
            <w:shd w:val="clear" w:color="auto" w:fill="auto"/>
            <w:noWrap/>
            <w:vAlign w:val="center"/>
            <w:hideMark/>
          </w:tcPr>
          <w:p w14:paraId="6A4AB468" w14:textId="77777777" w:rsidR="00247CBF" w:rsidRPr="00092ED7" w:rsidRDefault="00247CBF" w:rsidP="00247CBF">
            <w:pPr>
              <w:spacing w:after="0"/>
              <w:jc w:val="right"/>
              <w:rPr>
                <w:sz w:val="20"/>
                <w:szCs w:val="20"/>
                <w:lang w:val="sr-Cyrl-CS"/>
              </w:rPr>
            </w:pPr>
            <w:r w:rsidRPr="00092ED7">
              <w:rPr>
                <w:sz w:val="20"/>
                <w:szCs w:val="20"/>
                <w:lang w:val="sr-Cyrl-CS"/>
              </w:rPr>
              <w:t>117,6</w:t>
            </w:r>
          </w:p>
        </w:tc>
        <w:tc>
          <w:tcPr>
            <w:tcW w:w="1276" w:type="dxa"/>
            <w:gridSpan w:val="3"/>
            <w:tcBorders>
              <w:top w:val="nil"/>
              <w:left w:val="nil"/>
              <w:bottom w:val="double" w:sz="6" w:space="0" w:color="auto"/>
              <w:right w:val="dashed" w:sz="4" w:space="0" w:color="auto"/>
            </w:tcBorders>
            <w:shd w:val="clear" w:color="auto" w:fill="auto"/>
            <w:noWrap/>
            <w:vAlign w:val="center"/>
            <w:hideMark/>
          </w:tcPr>
          <w:p w14:paraId="4EF7E54E" w14:textId="77777777" w:rsidR="00247CBF" w:rsidRPr="00092ED7" w:rsidRDefault="00247CBF" w:rsidP="00247CBF">
            <w:pPr>
              <w:spacing w:after="0"/>
              <w:jc w:val="right"/>
              <w:rPr>
                <w:sz w:val="20"/>
                <w:szCs w:val="20"/>
                <w:lang w:val="sr-Cyrl-CS"/>
              </w:rPr>
            </w:pPr>
            <w:r w:rsidRPr="00092ED7">
              <w:rPr>
                <w:sz w:val="20"/>
                <w:szCs w:val="20"/>
                <w:lang w:val="sr-Cyrl-CS"/>
              </w:rPr>
              <w:t>117,6</w:t>
            </w:r>
          </w:p>
        </w:tc>
        <w:tc>
          <w:tcPr>
            <w:tcW w:w="1268" w:type="dxa"/>
            <w:gridSpan w:val="3"/>
            <w:tcBorders>
              <w:top w:val="nil"/>
              <w:left w:val="nil"/>
              <w:bottom w:val="double" w:sz="6" w:space="0" w:color="auto"/>
              <w:right w:val="double" w:sz="6" w:space="0" w:color="auto"/>
            </w:tcBorders>
            <w:shd w:val="clear" w:color="auto" w:fill="auto"/>
            <w:noWrap/>
            <w:vAlign w:val="center"/>
            <w:hideMark/>
          </w:tcPr>
          <w:p w14:paraId="1724ADEA" w14:textId="77777777" w:rsidR="00247CBF" w:rsidRPr="00092ED7" w:rsidRDefault="00247CBF" w:rsidP="00247CBF">
            <w:pPr>
              <w:spacing w:after="0"/>
              <w:jc w:val="right"/>
              <w:rPr>
                <w:sz w:val="20"/>
                <w:szCs w:val="20"/>
                <w:lang w:val="sr-Cyrl-CS"/>
              </w:rPr>
            </w:pPr>
            <w:r w:rsidRPr="00092ED7">
              <w:rPr>
                <w:sz w:val="20"/>
                <w:szCs w:val="20"/>
                <w:lang w:val="sr-Cyrl-CS"/>
              </w:rPr>
              <w:t>117,5</w:t>
            </w:r>
          </w:p>
        </w:tc>
      </w:tr>
      <w:tr w:rsidR="00247CBF" w:rsidRPr="00092ED7" w14:paraId="723AF472" w14:textId="77777777" w:rsidTr="00247CBF">
        <w:trPr>
          <w:gridAfter w:val="2"/>
          <w:wAfter w:w="293" w:type="dxa"/>
          <w:trHeight w:val="270"/>
        </w:trPr>
        <w:tc>
          <w:tcPr>
            <w:tcW w:w="4962" w:type="dxa"/>
            <w:gridSpan w:val="3"/>
            <w:tcBorders>
              <w:top w:val="nil"/>
              <w:left w:val="nil"/>
              <w:bottom w:val="nil"/>
              <w:right w:val="nil"/>
            </w:tcBorders>
            <w:shd w:val="clear" w:color="000000" w:fill="FFFFFF"/>
            <w:noWrap/>
            <w:vAlign w:val="center"/>
            <w:hideMark/>
          </w:tcPr>
          <w:p w14:paraId="68BF858E" w14:textId="77777777" w:rsidR="00247CBF" w:rsidRPr="00092ED7" w:rsidRDefault="00247CBF" w:rsidP="00247CBF">
            <w:pPr>
              <w:spacing w:after="0"/>
              <w:jc w:val="left"/>
              <w:rPr>
                <w:sz w:val="16"/>
                <w:szCs w:val="16"/>
                <w:lang w:val="sr-Cyrl-CS"/>
              </w:rPr>
            </w:pPr>
            <w:r w:rsidRPr="00092ED7">
              <w:rPr>
                <w:sz w:val="16"/>
                <w:szCs w:val="16"/>
                <w:lang w:val="sr-Cyrl-CS"/>
              </w:rPr>
              <w:t>[1] јануар-октобар 2022.</w:t>
            </w:r>
          </w:p>
        </w:tc>
        <w:tc>
          <w:tcPr>
            <w:tcW w:w="1447" w:type="dxa"/>
            <w:gridSpan w:val="3"/>
            <w:tcBorders>
              <w:top w:val="nil"/>
              <w:left w:val="nil"/>
              <w:bottom w:val="nil"/>
              <w:right w:val="nil"/>
            </w:tcBorders>
            <w:shd w:val="clear" w:color="000000" w:fill="FFFFFF"/>
            <w:noWrap/>
            <w:vAlign w:val="bottom"/>
          </w:tcPr>
          <w:p w14:paraId="16739798" w14:textId="77777777" w:rsidR="00247CBF" w:rsidRPr="00092ED7" w:rsidRDefault="00247CBF" w:rsidP="00247CBF">
            <w:pPr>
              <w:spacing w:after="0"/>
              <w:jc w:val="center"/>
              <w:rPr>
                <w:rFonts w:eastAsia="Times New Roman" w:cs="Times New Roman"/>
                <w:sz w:val="16"/>
                <w:szCs w:val="16"/>
                <w:lang w:val="sr-Cyrl-CS"/>
              </w:rPr>
            </w:pPr>
          </w:p>
        </w:tc>
        <w:tc>
          <w:tcPr>
            <w:tcW w:w="1388" w:type="dxa"/>
            <w:gridSpan w:val="4"/>
            <w:tcBorders>
              <w:top w:val="nil"/>
              <w:left w:val="nil"/>
              <w:bottom w:val="nil"/>
              <w:right w:val="nil"/>
            </w:tcBorders>
            <w:shd w:val="clear" w:color="000000" w:fill="FFFFFF"/>
            <w:noWrap/>
            <w:vAlign w:val="bottom"/>
          </w:tcPr>
          <w:p w14:paraId="6B8B511F" w14:textId="77777777" w:rsidR="00247CBF" w:rsidRPr="00092ED7" w:rsidRDefault="00247CBF" w:rsidP="00247CBF">
            <w:pPr>
              <w:spacing w:after="0"/>
              <w:jc w:val="center"/>
              <w:rPr>
                <w:rFonts w:eastAsia="Times New Roman" w:cs="Times New Roman"/>
                <w:sz w:val="16"/>
                <w:szCs w:val="16"/>
                <w:lang w:val="sr-Cyrl-CS"/>
              </w:rPr>
            </w:pPr>
          </w:p>
        </w:tc>
        <w:tc>
          <w:tcPr>
            <w:tcW w:w="1316" w:type="dxa"/>
            <w:gridSpan w:val="4"/>
            <w:tcBorders>
              <w:top w:val="nil"/>
              <w:left w:val="nil"/>
              <w:bottom w:val="nil"/>
              <w:right w:val="nil"/>
            </w:tcBorders>
            <w:shd w:val="clear" w:color="000000" w:fill="FFFFFF"/>
            <w:noWrap/>
            <w:vAlign w:val="bottom"/>
          </w:tcPr>
          <w:p w14:paraId="5AB40739" w14:textId="77777777" w:rsidR="00247CBF" w:rsidRPr="00092ED7" w:rsidRDefault="00247CBF" w:rsidP="00247CBF">
            <w:pPr>
              <w:spacing w:after="0"/>
              <w:jc w:val="center"/>
              <w:rPr>
                <w:rFonts w:eastAsia="Times New Roman" w:cs="Times New Roman"/>
                <w:sz w:val="16"/>
                <w:szCs w:val="16"/>
                <w:lang w:val="sr-Cyrl-CS"/>
              </w:rPr>
            </w:pPr>
          </w:p>
        </w:tc>
        <w:tc>
          <w:tcPr>
            <w:tcW w:w="1376" w:type="dxa"/>
            <w:gridSpan w:val="4"/>
            <w:tcBorders>
              <w:top w:val="nil"/>
              <w:left w:val="nil"/>
              <w:bottom w:val="nil"/>
              <w:right w:val="nil"/>
            </w:tcBorders>
            <w:shd w:val="clear" w:color="000000" w:fill="FFFFFF"/>
            <w:noWrap/>
            <w:vAlign w:val="bottom"/>
          </w:tcPr>
          <w:p w14:paraId="47860460" w14:textId="77777777" w:rsidR="00247CBF" w:rsidRPr="00092ED7" w:rsidRDefault="00247CBF" w:rsidP="00247CBF">
            <w:pPr>
              <w:spacing w:after="0"/>
              <w:jc w:val="center"/>
              <w:rPr>
                <w:rFonts w:eastAsia="Times New Roman" w:cs="Times New Roman"/>
                <w:sz w:val="16"/>
                <w:szCs w:val="16"/>
                <w:lang w:val="sr-Cyrl-CS"/>
              </w:rPr>
            </w:pPr>
          </w:p>
        </w:tc>
        <w:tc>
          <w:tcPr>
            <w:tcW w:w="1276" w:type="dxa"/>
            <w:gridSpan w:val="4"/>
            <w:tcBorders>
              <w:top w:val="nil"/>
              <w:left w:val="nil"/>
              <w:bottom w:val="nil"/>
              <w:right w:val="nil"/>
            </w:tcBorders>
            <w:shd w:val="clear" w:color="000000" w:fill="FFFFFF"/>
            <w:noWrap/>
            <w:vAlign w:val="bottom"/>
          </w:tcPr>
          <w:p w14:paraId="7B62BB93" w14:textId="77777777" w:rsidR="00247CBF" w:rsidRPr="00092ED7" w:rsidRDefault="00247CBF" w:rsidP="00247CBF">
            <w:pPr>
              <w:spacing w:after="0"/>
              <w:jc w:val="center"/>
              <w:rPr>
                <w:rFonts w:eastAsia="Times New Roman" w:cs="Times New Roman"/>
                <w:sz w:val="16"/>
                <w:szCs w:val="16"/>
                <w:lang w:val="sr-Cyrl-CS"/>
              </w:rPr>
            </w:pPr>
          </w:p>
        </w:tc>
        <w:tc>
          <w:tcPr>
            <w:tcW w:w="1276" w:type="dxa"/>
            <w:gridSpan w:val="3"/>
            <w:tcBorders>
              <w:top w:val="nil"/>
              <w:left w:val="nil"/>
              <w:bottom w:val="nil"/>
              <w:right w:val="nil"/>
            </w:tcBorders>
            <w:shd w:val="clear" w:color="000000" w:fill="FFFFFF"/>
            <w:noWrap/>
            <w:vAlign w:val="bottom"/>
          </w:tcPr>
          <w:p w14:paraId="15C2FB67" w14:textId="77777777" w:rsidR="00247CBF" w:rsidRPr="00092ED7" w:rsidRDefault="00247CBF" w:rsidP="00247CBF">
            <w:pPr>
              <w:spacing w:after="0"/>
              <w:jc w:val="center"/>
              <w:rPr>
                <w:rFonts w:eastAsia="Times New Roman" w:cs="Times New Roman"/>
                <w:sz w:val="16"/>
                <w:szCs w:val="16"/>
                <w:lang w:val="sr-Cyrl-CS"/>
              </w:rPr>
            </w:pPr>
          </w:p>
        </w:tc>
        <w:tc>
          <w:tcPr>
            <w:tcW w:w="1268" w:type="dxa"/>
            <w:gridSpan w:val="3"/>
            <w:tcBorders>
              <w:top w:val="nil"/>
              <w:left w:val="nil"/>
              <w:bottom w:val="nil"/>
              <w:right w:val="nil"/>
            </w:tcBorders>
            <w:shd w:val="clear" w:color="000000" w:fill="FFFFFF"/>
            <w:noWrap/>
            <w:vAlign w:val="bottom"/>
          </w:tcPr>
          <w:p w14:paraId="743361C7" w14:textId="77777777" w:rsidR="00247CBF" w:rsidRPr="00092ED7" w:rsidRDefault="00247CBF" w:rsidP="00247CBF">
            <w:pPr>
              <w:spacing w:after="0"/>
              <w:jc w:val="center"/>
              <w:rPr>
                <w:rFonts w:eastAsia="Times New Roman" w:cs="Times New Roman"/>
                <w:sz w:val="16"/>
                <w:szCs w:val="16"/>
                <w:lang w:val="sr-Cyrl-CS"/>
              </w:rPr>
            </w:pPr>
          </w:p>
        </w:tc>
      </w:tr>
      <w:tr w:rsidR="00247CBF" w:rsidRPr="00092ED7" w14:paraId="01B36EAA" w14:textId="77777777" w:rsidTr="00247CBF">
        <w:trPr>
          <w:gridAfter w:val="2"/>
          <w:wAfter w:w="293" w:type="dxa"/>
          <w:trHeight w:val="255"/>
        </w:trPr>
        <w:tc>
          <w:tcPr>
            <w:tcW w:w="4962" w:type="dxa"/>
            <w:gridSpan w:val="3"/>
            <w:tcBorders>
              <w:top w:val="nil"/>
              <w:left w:val="nil"/>
              <w:bottom w:val="nil"/>
              <w:right w:val="nil"/>
            </w:tcBorders>
            <w:shd w:val="clear" w:color="000000" w:fill="FFFFFF"/>
            <w:noWrap/>
            <w:vAlign w:val="center"/>
            <w:hideMark/>
          </w:tcPr>
          <w:p w14:paraId="5AC09BA5" w14:textId="77777777" w:rsidR="00247CBF" w:rsidRPr="00092ED7" w:rsidRDefault="00247CBF" w:rsidP="00247CBF">
            <w:pPr>
              <w:spacing w:after="0"/>
              <w:jc w:val="left"/>
              <w:rPr>
                <w:sz w:val="16"/>
                <w:szCs w:val="16"/>
                <w:lang w:val="sr-Cyrl-CS"/>
              </w:rPr>
            </w:pPr>
            <w:r w:rsidRPr="00092ED7">
              <w:rPr>
                <w:sz w:val="16"/>
                <w:szCs w:val="16"/>
                <w:lang w:val="sr-Cyrl-CS"/>
              </w:rPr>
              <w:t>[2] крај јуна 2022.</w:t>
            </w:r>
          </w:p>
        </w:tc>
        <w:tc>
          <w:tcPr>
            <w:tcW w:w="1447" w:type="dxa"/>
            <w:gridSpan w:val="3"/>
            <w:tcBorders>
              <w:top w:val="nil"/>
              <w:left w:val="nil"/>
              <w:bottom w:val="nil"/>
              <w:right w:val="nil"/>
            </w:tcBorders>
            <w:shd w:val="clear" w:color="000000" w:fill="FFFFFF"/>
            <w:noWrap/>
            <w:vAlign w:val="bottom"/>
          </w:tcPr>
          <w:p w14:paraId="2A1FE7E1" w14:textId="77777777" w:rsidR="00247CBF" w:rsidRPr="00092ED7" w:rsidRDefault="00247CBF" w:rsidP="00247CBF">
            <w:pPr>
              <w:spacing w:after="0"/>
              <w:jc w:val="center"/>
              <w:rPr>
                <w:rFonts w:eastAsia="Times New Roman" w:cs="Times New Roman"/>
                <w:sz w:val="16"/>
                <w:szCs w:val="16"/>
                <w:lang w:val="sr-Cyrl-CS"/>
              </w:rPr>
            </w:pPr>
          </w:p>
        </w:tc>
        <w:tc>
          <w:tcPr>
            <w:tcW w:w="1388" w:type="dxa"/>
            <w:gridSpan w:val="4"/>
            <w:tcBorders>
              <w:top w:val="nil"/>
              <w:left w:val="nil"/>
              <w:bottom w:val="nil"/>
              <w:right w:val="nil"/>
            </w:tcBorders>
            <w:shd w:val="clear" w:color="000000" w:fill="FFFFFF"/>
            <w:noWrap/>
            <w:vAlign w:val="bottom"/>
          </w:tcPr>
          <w:p w14:paraId="250F5B89" w14:textId="77777777" w:rsidR="00247CBF" w:rsidRPr="00092ED7" w:rsidRDefault="00247CBF" w:rsidP="00247CBF">
            <w:pPr>
              <w:spacing w:after="0"/>
              <w:jc w:val="center"/>
              <w:rPr>
                <w:rFonts w:eastAsia="Times New Roman" w:cs="Times New Roman"/>
                <w:sz w:val="16"/>
                <w:szCs w:val="16"/>
                <w:lang w:val="sr-Cyrl-CS"/>
              </w:rPr>
            </w:pPr>
          </w:p>
        </w:tc>
        <w:tc>
          <w:tcPr>
            <w:tcW w:w="1316" w:type="dxa"/>
            <w:gridSpan w:val="4"/>
            <w:tcBorders>
              <w:top w:val="nil"/>
              <w:left w:val="nil"/>
              <w:bottom w:val="nil"/>
              <w:right w:val="nil"/>
            </w:tcBorders>
            <w:shd w:val="clear" w:color="000000" w:fill="FFFFFF"/>
            <w:noWrap/>
            <w:vAlign w:val="bottom"/>
          </w:tcPr>
          <w:p w14:paraId="59376478" w14:textId="77777777" w:rsidR="00247CBF" w:rsidRPr="00092ED7" w:rsidRDefault="00247CBF" w:rsidP="00247CBF">
            <w:pPr>
              <w:spacing w:after="0"/>
              <w:jc w:val="center"/>
              <w:rPr>
                <w:rFonts w:eastAsia="Times New Roman" w:cs="Times New Roman"/>
                <w:sz w:val="16"/>
                <w:szCs w:val="16"/>
                <w:lang w:val="sr-Cyrl-CS"/>
              </w:rPr>
            </w:pPr>
          </w:p>
        </w:tc>
        <w:tc>
          <w:tcPr>
            <w:tcW w:w="1376" w:type="dxa"/>
            <w:gridSpan w:val="4"/>
            <w:tcBorders>
              <w:top w:val="nil"/>
              <w:left w:val="nil"/>
              <w:bottom w:val="nil"/>
              <w:right w:val="nil"/>
            </w:tcBorders>
            <w:shd w:val="clear" w:color="000000" w:fill="FFFFFF"/>
            <w:noWrap/>
            <w:vAlign w:val="bottom"/>
          </w:tcPr>
          <w:p w14:paraId="3D16374C" w14:textId="77777777" w:rsidR="00247CBF" w:rsidRPr="00092ED7" w:rsidRDefault="00247CBF" w:rsidP="00247CBF">
            <w:pPr>
              <w:spacing w:after="0"/>
              <w:jc w:val="center"/>
              <w:rPr>
                <w:rFonts w:eastAsia="Times New Roman" w:cs="Times New Roman"/>
                <w:sz w:val="16"/>
                <w:szCs w:val="16"/>
                <w:lang w:val="sr-Cyrl-CS"/>
              </w:rPr>
            </w:pPr>
          </w:p>
        </w:tc>
        <w:tc>
          <w:tcPr>
            <w:tcW w:w="1276" w:type="dxa"/>
            <w:gridSpan w:val="4"/>
            <w:tcBorders>
              <w:top w:val="nil"/>
              <w:left w:val="nil"/>
              <w:bottom w:val="nil"/>
              <w:right w:val="nil"/>
            </w:tcBorders>
            <w:shd w:val="clear" w:color="000000" w:fill="FFFFFF"/>
            <w:noWrap/>
            <w:vAlign w:val="bottom"/>
          </w:tcPr>
          <w:p w14:paraId="18542113" w14:textId="77777777" w:rsidR="00247CBF" w:rsidRPr="00092ED7" w:rsidRDefault="00247CBF" w:rsidP="00247CBF">
            <w:pPr>
              <w:spacing w:after="0"/>
              <w:jc w:val="center"/>
              <w:rPr>
                <w:rFonts w:eastAsia="Times New Roman" w:cs="Times New Roman"/>
                <w:sz w:val="16"/>
                <w:szCs w:val="16"/>
                <w:lang w:val="sr-Cyrl-CS"/>
              </w:rPr>
            </w:pPr>
          </w:p>
        </w:tc>
        <w:tc>
          <w:tcPr>
            <w:tcW w:w="1276" w:type="dxa"/>
            <w:gridSpan w:val="3"/>
            <w:tcBorders>
              <w:top w:val="nil"/>
              <w:left w:val="nil"/>
              <w:bottom w:val="nil"/>
              <w:right w:val="nil"/>
            </w:tcBorders>
            <w:shd w:val="clear" w:color="000000" w:fill="FFFFFF"/>
            <w:noWrap/>
            <w:vAlign w:val="bottom"/>
          </w:tcPr>
          <w:p w14:paraId="6E858DCC" w14:textId="77777777" w:rsidR="00247CBF" w:rsidRPr="00092ED7" w:rsidRDefault="00247CBF" w:rsidP="00247CBF">
            <w:pPr>
              <w:spacing w:after="0"/>
              <w:jc w:val="center"/>
              <w:rPr>
                <w:rFonts w:eastAsia="Times New Roman" w:cs="Times New Roman"/>
                <w:sz w:val="16"/>
                <w:szCs w:val="16"/>
                <w:lang w:val="sr-Cyrl-CS"/>
              </w:rPr>
            </w:pPr>
          </w:p>
        </w:tc>
        <w:tc>
          <w:tcPr>
            <w:tcW w:w="1268" w:type="dxa"/>
            <w:gridSpan w:val="3"/>
            <w:tcBorders>
              <w:top w:val="nil"/>
              <w:left w:val="nil"/>
              <w:bottom w:val="nil"/>
              <w:right w:val="nil"/>
            </w:tcBorders>
            <w:shd w:val="clear" w:color="000000" w:fill="FFFFFF"/>
            <w:noWrap/>
            <w:vAlign w:val="bottom"/>
          </w:tcPr>
          <w:p w14:paraId="149DB848" w14:textId="77777777" w:rsidR="00247CBF" w:rsidRPr="00092ED7" w:rsidRDefault="00247CBF" w:rsidP="00247CBF">
            <w:pPr>
              <w:spacing w:after="0"/>
              <w:jc w:val="center"/>
              <w:rPr>
                <w:rFonts w:eastAsia="Times New Roman" w:cs="Times New Roman"/>
                <w:sz w:val="16"/>
                <w:szCs w:val="16"/>
                <w:lang w:val="sr-Cyrl-CS"/>
              </w:rPr>
            </w:pPr>
          </w:p>
        </w:tc>
      </w:tr>
      <w:tr w:rsidR="00247CBF" w:rsidRPr="00092ED7" w14:paraId="28ABA569" w14:textId="77777777" w:rsidTr="00247CBF">
        <w:trPr>
          <w:gridAfter w:val="2"/>
          <w:wAfter w:w="293" w:type="dxa"/>
          <w:trHeight w:val="200"/>
        </w:trPr>
        <w:tc>
          <w:tcPr>
            <w:tcW w:w="4962" w:type="dxa"/>
            <w:gridSpan w:val="3"/>
            <w:tcBorders>
              <w:top w:val="nil"/>
              <w:left w:val="nil"/>
              <w:bottom w:val="nil"/>
              <w:right w:val="nil"/>
            </w:tcBorders>
            <w:shd w:val="clear" w:color="000000" w:fill="FFFFFF"/>
            <w:vAlign w:val="center"/>
            <w:hideMark/>
          </w:tcPr>
          <w:p w14:paraId="5BA90E54" w14:textId="77777777" w:rsidR="00247CBF" w:rsidRPr="00092ED7" w:rsidRDefault="00247CBF" w:rsidP="00247CBF">
            <w:pPr>
              <w:spacing w:after="0"/>
              <w:jc w:val="left"/>
              <w:rPr>
                <w:sz w:val="16"/>
                <w:szCs w:val="16"/>
                <w:lang w:val="sr-Cyrl-CS"/>
              </w:rPr>
            </w:pPr>
            <w:r w:rsidRPr="00092ED7">
              <w:rPr>
                <w:sz w:val="16"/>
                <w:szCs w:val="16"/>
                <w:lang w:val="sr-Cyrl-CS"/>
              </w:rPr>
              <w:t>[3] крај октобра 2022.</w:t>
            </w:r>
          </w:p>
        </w:tc>
        <w:tc>
          <w:tcPr>
            <w:tcW w:w="1447" w:type="dxa"/>
            <w:gridSpan w:val="3"/>
            <w:tcBorders>
              <w:top w:val="nil"/>
              <w:left w:val="nil"/>
              <w:bottom w:val="nil"/>
              <w:right w:val="nil"/>
            </w:tcBorders>
            <w:shd w:val="clear" w:color="000000" w:fill="FFFFFF"/>
            <w:noWrap/>
            <w:vAlign w:val="bottom"/>
          </w:tcPr>
          <w:p w14:paraId="7F978A8D" w14:textId="77777777" w:rsidR="00247CBF" w:rsidRPr="00092ED7" w:rsidRDefault="00247CBF" w:rsidP="00247CBF">
            <w:pPr>
              <w:spacing w:after="0"/>
              <w:jc w:val="center"/>
              <w:rPr>
                <w:rFonts w:eastAsia="Times New Roman" w:cs="Times New Roman"/>
                <w:sz w:val="16"/>
                <w:szCs w:val="16"/>
                <w:lang w:val="sr-Cyrl-CS"/>
              </w:rPr>
            </w:pPr>
          </w:p>
        </w:tc>
        <w:tc>
          <w:tcPr>
            <w:tcW w:w="1388" w:type="dxa"/>
            <w:gridSpan w:val="4"/>
            <w:tcBorders>
              <w:top w:val="nil"/>
              <w:left w:val="nil"/>
              <w:bottom w:val="nil"/>
              <w:right w:val="nil"/>
            </w:tcBorders>
            <w:shd w:val="clear" w:color="000000" w:fill="FFFFFF"/>
            <w:noWrap/>
            <w:vAlign w:val="bottom"/>
          </w:tcPr>
          <w:p w14:paraId="73AB327D" w14:textId="77777777" w:rsidR="00247CBF" w:rsidRPr="00092ED7" w:rsidRDefault="00247CBF" w:rsidP="00247CBF">
            <w:pPr>
              <w:spacing w:after="0"/>
              <w:jc w:val="right"/>
              <w:rPr>
                <w:rFonts w:eastAsia="Times New Roman" w:cs="Times New Roman"/>
                <w:sz w:val="16"/>
                <w:szCs w:val="16"/>
                <w:lang w:val="sr-Cyrl-CS"/>
              </w:rPr>
            </w:pPr>
          </w:p>
        </w:tc>
        <w:tc>
          <w:tcPr>
            <w:tcW w:w="1316" w:type="dxa"/>
            <w:gridSpan w:val="4"/>
            <w:tcBorders>
              <w:top w:val="nil"/>
              <w:left w:val="nil"/>
              <w:bottom w:val="nil"/>
              <w:right w:val="nil"/>
            </w:tcBorders>
            <w:shd w:val="clear" w:color="000000" w:fill="FFFFFF"/>
            <w:noWrap/>
            <w:vAlign w:val="bottom"/>
          </w:tcPr>
          <w:p w14:paraId="09BCDB93" w14:textId="77777777" w:rsidR="00247CBF" w:rsidRPr="00092ED7" w:rsidRDefault="00247CBF" w:rsidP="00247CBF">
            <w:pPr>
              <w:spacing w:after="0"/>
              <w:jc w:val="right"/>
              <w:rPr>
                <w:rFonts w:eastAsia="Times New Roman" w:cs="Times New Roman"/>
                <w:sz w:val="16"/>
                <w:szCs w:val="16"/>
                <w:lang w:val="sr-Cyrl-CS"/>
              </w:rPr>
            </w:pPr>
          </w:p>
        </w:tc>
        <w:tc>
          <w:tcPr>
            <w:tcW w:w="1376" w:type="dxa"/>
            <w:gridSpan w:val="4"/>
            <w:tcBorders>
              <w:top w:val="nil"/>
              <w:left w:val="nil"/>
              <w:bottom w:val="nil"/>
              <w:right w:val="nil"/>
            </w:tcBorders>
            <w:shd w:val="clear" w:color="000000" w:fill="FFFFFF"/>
            <w:noWrap/>
            <w:vAlign w:val="bottom"/>
          </w:tcPr>
          <w:p w14:paraId="2D405B1D" w14:textId="77777777" w:rsidR="00247CBF" w:rsidRPr="00092ED7" w:rsidRDefault="00247CBF" w:rsidP="00247CBF">
            <w:pPr>
              <w:spacing w:after="0"/>
              <w:jc w:val="right"/>
              <w:rPr>
                <w:rFonts w:eastAsia="Times New Roman" w:cs="Times New Roman"/>
                <w:sz w:val="16"/>
                <w:szCs w:val="16"/>
                <w:lang w:val="sr-Cyrl-CS"/>
              </w:rPr>
            </w:pPr>
          </w:p>
        </w:tc>
        <w:tc>
          <w:tcPr>
            <w:tcW w:w="1276" w:type="dxa"/>
            <w:gridSpan w:val="4"/>
            <w:tcBorders>
              <w:top w:val="nil"/>
              <w:left w:val="nil"/>
              <w:bottom w:val="nil"/>
              <w:right w:val="nil"/>
            </w:tcBorders>
            <w:shd w:val="clear" w:color="000000" w:fill="FFFFFF"/>
            <w:noWrap/>
            <w:vAlign w:val="bottom"/>
          </w:tcPr>
          <w:p w14:paraId="18F430AB" w14:textId="77777777" w:rsidR="00247CBF" w:rsidRPr="00092ED7" w:rsidRDefault="00247CBF" w:rsidP="00247CBF">
            <w:pPr>
              <w:spacing w:after="0"/>
              <w:jc w:val="right"/>
              <w:rPr>
                <w:rFonts w:eastAsia="Times New Roman" w:cs="Times New Roman"/>
                <w:sz w:val="16"/>
                <w:szCs w:val="16"/>
                <w:lang w:val="sr-Cyrl-CS"/>
              </w:rPr>
            </w:pPr>
          </w:p>
        </w:tc>
        <w:tc>
          <w:tcPr>
            <w:tcW w:w="1276" w:type="dxa"/>
            <w:gridSpan w:val="3"/>
            <w:tcBorders>
              <w:top w:val="nil"/>
              <w:left w:val="nil"/>
              <w:bottom w:val="nil"/>
              <w:right w:val="nil"/>
            </w:tcBorders>
            <w:shd w:val="clear" w:color="000000" w:fill="FFFFFF"/>
            <w:noWrap/>
            <w:vAlign w:val="bottom"/>
          </w:tcPr>
          <w:p w14:paraId="6AFBCE62" w14:textId="77777777" w:rsidR="00247CBF" w:rsidRPr="00092ED7" w:rsidRDefault="00247CBF" w:rsidP="00247CBF">
            <w:pPr>
              <w:spacing w:after="0"/>
              <w:jc w:val="right"/>
              <w:rPr>
                <w:rFonts w:eastAsia="Times New Roman" w:cs="Times New Roman"/>
                <w:sz w:val="16"/>
                <w:szCs w:val="16"/>
                <w:lang w:val="sr-Cyrl-CS"/>
              </w:rPr>
            </w:pPr>
          </w:p>
        </w:tc>
        <w:tc>
          <w:tcPr>
            <w:tcW w:w="1268" w:type="dxa"/>
            <w:gridSpan w:val="3"/>
            <w:tcBorders>
              <w:top w:val="nil"/>
              <w:left w:val="nil"/>
              <w:bottom w:val="nil"/>
              <w:right w:val="nil"/>
            </w:tcBorders>
            <w:shd w:val="clear" w:color="000000" w:fill="FFFFFF"/>
            <w:noWrap/>
            <w:vAlign w:val="bottom"/>
          </w:tcPr>
          <w:p w14:paraId="592983A1" w14:textId="77777777" w:rsidR="00247CBF" w:rsidRPr="00092ED7" w:rsidRDefault="00247CBF" w:rsidP="00247CBF">
            <w:pPr>
              <w:spacing w:after="0"/>
              <w:jc w:val="right"/>
              <w:rPr>
                <w:rFonts w:eastAsia="Times New Roman" w:cs="Times New Roman"/>
                <w:sz w:val="16"/>
                <w:szCs w:val="16"/>
                <w:lang w:val="sr-Cyrl-CS"/>
              </w:rPr>
            </w:pPr>
          </w:p>
        </w:tc>
      </w:tr>
      <w:tr w:rsidR="00247CBF" w:rsidRPr="00092ED7" w14:paraId="79BC6848" w14:textId="77777777" w:rsidTr="00247CBF">
        <w:trPr>
          <w:gridAfter w:val="1"/>
          <w:wAfter w:w="32" w:type="dxa"/>
          <w:trHeight w:val="435"/>
        </w:trPr>
        <w:tc>
          <w:tcPr>
            <w:tcW w:w="5680" w:type="dxa"/>
            <w:gridSpan w:val="5"/>
            <w:tcBorders>
              <w:top w:val="nil"/>
              <w:left w:val="nil"/>
              <w:bottom w:val="nil"/>
              <w:right w:val="nil"/>
            </w:tcBorders>
            <w:shd w:val="clear" w:color="000000" w:fill="FFFFFF"/>
            <w:noWrap/>
            <w:vAlign w:val="bottom"/>
            <w:hideMark/>
          </w:tcPr>
          <w:p w14:paraId="5BF57287"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1a: Макроекономски оквир</w:t>
            </w:r>
          </w:p>
        </w:tc>
        <w:tc>
          <w:tcPr>
            <w:tcW w:w="1490" w:type="dxa"/>
            <w:gridSpan w:val="3"/>
            <w:tcBorders>
              <w:top w:val="nil"/>
              <w:left w:val="nil"/>
              <w:bottom w:val="nil"/>
              <w:right w:val="nil"/>
            </w:tcBorders>
            <w:shd w:val="clear" w:color="000000" w:fill="FFFFFF"/>
            <w:noWrap/>
            <w:vAlign w:val="bottom"/>
            <w:hideMark/>
          </w:tcPr>
          <w:p w14:paraId="7237868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1291" w:type="dxa"/>
            <w:gridSpan w:val="3"/>
            <w:tcBorders>
              <w:top w:val="nil"/>
              <w:left w:val="nil"/>
              <w:bottom w:val="nil"/>
              <w:right w:val="nil"/>
            </w:tcBorders>
            <w:shd w:val="clear" w:color="000000" w:fill="FFFFFF"/>
            <w:noWrap/>
            <w:vAlign w:val="bottom"/>
            <w:hideMark/>
          </w:tcPr>
          <w:p w14:paraId="5730A89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1290" w:type="dxa"/>
            <w:gridSpan w:val="4"/>
            <w:tcBorders>
              <w:top w:val="nil"/>
              <w:left w:val="nil"/>
              <w:bottom w:val="nil"/>
              <w:right w:val="nil"/>
            </w:tcBorders>
            <w:shd w:val="clear" w:color="000000" w:fill="FFFFFF"/>
            <w:noWrap/>
            <w:vAlign w:val="bottom"/>
            <w:hideMark/>
          </w:tcPr>
          <w:p w14:paraId="00C0372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1291" w:type="dxa"/>
            <w:gridSpan w:val="4"/>
            <w:tcBorders>
              <w:top w:val="nil"/>
              <w:left w:val="nil"/>
              <w:bottom w:val="nil"/>
              <w:right w:val="nil"/>
            </w:tcBorders>
            <w:shd w:val="clear" w:color="000000" w:fill="FFFFFF"/>
            <w:noWrap/>
            <w:vAlign w:val="bottom"/>
            <w:hideMark/>
          </w:tcPr>
          <w:p w14:paraId="69113AB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1291" w:type="dxa"/>
            <w:gridSpan w:val="4"/>
            <w:tcBorders>
              <w:top w:val="nil"/>
              <w:left w:val="nil"/>
              <w:bottom w:val="nil"/>
              <w:right w:val="nil"/>
            </w:tcBorders>
            <w:shd w:val="clear" w:color="000000" w:fill="FFFFFF"/>
            <w:noWrap/>
            <w:vAlign w:val="bottom"/>
            <w:hideMark/>
          </w:tcPr>
          <w:p w14:paraId="5505A2D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2237" w:type="dxa"/>
            <w:gridSpan w:val="6"/>
            <w:tcBorders>
              <w:top w:val="nil"/>
              <w:left w:val="nil"/>
              <w:bottom w:val="nil"/>
              <w:right w:val="nil"/>
            </w:tcBorders>
            <w:shd w:val="clear" w:color="000000" w:fill="FFFFFF"/>
            <w:noWrap/>
            <w:vAlign w:val="bottom"/>
            <w:hideMark/>
          </w:tcPr>
          <w:p w14:paraId="5445182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141D7CD0" w14:textId="77777777" w:rsidTr="00247CBF">
        <w:trPr>
          <w:gridBefore w:val="1"/>
          <w:wBefore w:w="23" w:type="dxa"/>
          <w:trHeight w:val="215"/>
        </w:trPr>
        <w:tc>
          <w:tcPr>
            <w:tcW w:w="4372" w:type="dxa"/>
            <w:vMerge w:val="restart"/>
            <w:tcBorders>
              <w:top w:val="double" w:sz="6" w:space="0" w:color="auto"/>
              <w:left w:val="double" w:sz="6" w:space="0" w:color="auto"/>
              <w:bottom w:val="dotted" w:sz="4" w:space="0" w:color="000000"/>
              <w:right w:val="dotted" w:sz="4" w:space="0" w:color="auto"/>
            </w:tcBorders>
            <w:shd w:val="clear" w:color="000000" w:fill="FFFFFF"/>
            <w:vAlign w:val="center"/>
            <w:hideMark/>
          </w:tcPr>
          <w:p w14:paraId="4BF9835F" w14:textId="77777777" w:rsidR="00247CBF" w:rsidRPr="00092ED7" w:rsidRDefault="00247CBF" w:rsidP="00247CBF">
            <w:pPr>
              <w:spacing w:after="0"/>
              <w:jc w:val="left"/>
              <w:rPr>
                <w:sz w:val="20"/>
                <w:szCs w:val="20"/>
                <w:lang w:val="sr-Cyrl-CS"/>
              </w:rPr>
            </w:pPr>
            <w:r w:rsidRPr="00092ED7">
              <w:rPr>
                <w:sz w:val="20"/>
                <w:szCs w:val="20"/>
                <w:lang w:val="sr-Cyrl-CS"/>
              </w:rPr>
              <w:t>У процентима, уколико није другачије наведено</w:t>
            </w:r>
          </w:p>
        </w:tc>
        <w:tc>
          <w:tcPr>
            <w:tcW w:w="1247" w:type="dxa"/>
            <w:gridSpan w:val="2"/>
            <w:vMerge w:val="restart"/>
            <w:tcBorders>
              <w:top w:val="double" w:sz="6" w:space="0" w:color="auto"/>
              <w:left w:val="dotted" w:sz="4" w:space="0" w:color="auto"/>
              <w:bottom w:val="dotted" w:sz="4" w:space="0" w:color="000000"/>
              <w:right w:val="single" w:sz="8" w:space="0" w:color="auto"/>
            </w:tcBorders>
            <w:shd w:val="clear" w:color="000000" w:fill="FFFFFF"/>
            <w:vAlign w:val="center"/>
            <w:hideMark/>
          </w:tcPr>
          <w:p w14:paraId="3E31BF09" w14:textId="77777777" w:rsidR="00247CBF" w:rsidRPr="00092ED7" w:rsidRDefault="00247CBF" w:rsidP="00247CBF">
            <w:pPr>
              <w:spacing w:after="0"/>
              <w:jc w:val="center"/>
              <w:rPr>
                <w:sz w:val="20"/>
                <w:szCs w:val="20"/>
                <w:lang w:val="sr-Cyrl-CS"/>
              </w:rPr>
            </w:pPr>
            <w:r w:rsidRPr="00092ED7">
              <w:rPr>
                <w:sz w:val="20"/>
                <w:szCs w:val="20"/>
                <w:lang w:val="sr-Cyrl-CS"/>
              </w:rPr>
              <w:t>ESA шифра</w:t>
            </w:r>
          </w:p>
        </w:tc>
        <w:tc>
          <w:tcPr>
            <w:tcW w:w="1446" w:type="dxa"/>
            <w:gridSpan w:val="3"/>
            <w:tcBorders>
              <w:top w:val="double" w:sz="6" w:space="0" w:color="auto"/>
              <w:left w:val="nil"/>
              <w:bottom w:val="nil"/>
              <w:right w:val="single" w:sz="8" w:space="0" w:color="auto"/>
            </w:tcBorders>
            <w:shd w:val="clear" w:color="000000" w:fill="FFFFFF"/>
            <w:vAlign w:val="center"/>
            <w:hideMark/>
          </w:tcPr>
          <w:p w14:paraId="157A88D9"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1501" w:type="dxa"/>
            <w:gridSpan w:val="5"/>
            <w:tcBorders>
              <w:top w:val="double" w:sz="6" w:space="0" w:color="auto"/>
              <w:left w:val="nil"/>
              <w:bottom w:val="nil"/>
              <w:right w:val="dotted" w:sz="4" w:space="0" w:color="auto"/>
            </w:tcBorders>
            <w:shd w:val="clear" w:color="000000" w:fill="FFFFFF"/>
            <w:vAlign w:val="center"/>
            <w:hideMark/>
          </w:tcPr>
          <w:p w14:paraId="18E0B8BD"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1504" w:type="dxa"/>
            <w:gridSpan w:val="4"/>
            <w:tcBorders>
              <w:top w:val="double" w:sz="6" w:space="0" w:color="auto"/>
              <w:left w:val="nil"/>
              <w:bottom w:val="nil"/>
              <w:right w:val="dotted" w:sz="4" w:space="0" w:color="auto"/>
            </w:tcBorders>
            <w:shd w:val="clear" w:color="000000" w:fill="FFFFFF"/>
            <w:vAlign w:val="center"/>
            <w:hideMark/>
          </w:tcPr>
          <w:p w14:paraId="001BDE37"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1501" w:type="dxa"/>
            <w:gridSpan w:val="4"/>
            <w:tcBorders>
              <w:top w:val="double" w:sz="6" w:space="0" w:color="auto"/>
              <w:left w:val="nil"/>
              <w:bottom w:val="nil"/>
              <w:right w:val="dotted" w:sz="4" w:space="0" w:color="auto"/>
            </w:tcBorders>
            <w:shd w:val="clear" w:color="000000" w:fill="FFFFFF"/>
            <w:vAlign w:val="center"/>
            <w:hideMark/>
          </w:tcPr>
          <w:p w14:paraId="48289642"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1504" w:type="dxa"/>
            <w:gridSpan w:val="6"/>
            <w:tcBorders>
              <w:top w:val="double" w:sz="6" w:space="0" w:color="auto"/>
              <w:left w:val="nil"/>
              <w:bottom w:val="nil"/>
              <w:right w:val="dotted" w:sz="4" w:space="0" w:color="auto"/>
            </w:tcBorders>
            <w:shd w:val="clear" w:color="000000" w:fill="FFFFFF"/>
            <w:vAlign w:val="center"/>
            <w:hideMark/>
          </w:tcPr>
          <w:p w14:paraId="5819373F"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1504" w:type="dxa"/>
            <w:gridSpan w:val="4"/>
            <w:tcBorders>
              <w:top w:val="double" w:sz="6" w:space="0" w:color="auto"/>
              <w:left w:val="nil"/>
              <w:bottom w:val="nil"/>
              <w:right w:val="double" w:sz="6" w:space="0" w:color="auto"/>
            </w:tcBorders>
            <w:shd w:val="clear" w:color="000000" w:fill="FFFFFF"/>
            <w:vAlign w:val="center"/>
            <w:hideMark/>
          </w:tcPr>
          <w:p w14:paraId="5A6948DF"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r>
      <w:tr w:rsidR="00247CBF" w:rsidRPr="00092ED7" w14:paraId="29DD0C63" w14:textId="77777777" w:rsidTr="00247CBF">
        <w:trPr>
          <w:gridBefore w:val="1"/>
          <w:wBefore w:w="23" w:type="dxa"/>
          <w:trHeight w:val="25"/>
        </w:trPr>
        <w:tc>
          <w:tcPr>
            <w:tcW w:w="4372" w:type="dxa"/>
            <w:vMerge/>
            <w:tcBorders>
              <w:top w:val="double" w:sz="6" w:space="0" w:color="auto"/>
              <w:left w:val="double" w:sz="6" w:space="0" w:color="auto"/>
              <w:bottom w:val="double" w:sz="4" w:space="0" w:color="auto"/>
              <w:right w:val="dotted" w:sz="4" w:space="0" w:color="auto"/>
            </w:tcBorders>
            <w:vAlign w:val="center"/>
            <w:hideMark/>
          </w:tcPr>
          <w:p w14:paraId="4A49FD52" w14:textId="77777777" w:rsidR="00247CBF" w:rsidRPr="00092ED7" w:rsidRDefault="00247CBF" w:rsidP="00247CBF">
            <w:pPr>
              <w:spacing w:after="0"/>
              <w:jc w:val="left"/>
              <w:rPr>
                <w:rFonts w:eastAsia="Times New Roman" w:cs="Times New Roman"/>
                <w:sz w:val="20"/>
                <w:szCs w:val="20"/>
                <w:lang w:val="sr-Cyrl-CS"/>
              </w:rPr>
            </w:pPr>
          </w:p>
        </w:tc>
        <w:tc>
          <w:tcPr>
            <w:tcW w:w="1247" w:type="dxa"/>
            <w:gridSpan w:val="2"/>
            <w:vMerge/>
            <w:tcBorders>
              <w:top w:val="double" w:sz="6" w:space="0" w:color="auto"/>
              <w:left w:val="dotted" w:sz="4" w:space="0" w:color="auto"/>
              <w:bottom w:val="double" w:sz="4" w:space="0" w:color="auto"/>
              <w:right w:val="single" w:sz="8" w:space="0" w:color="auto"/>
            </w:tcBorders>
            <w:vAlign w:val="center"/>
            <w:hideMark/>
          </w:tcPr>
          <w:p w14:paraId="138810C1" w14:textId="77777777" w:rsidR="00247CBF" w:rsidRPr="00092ED7" w:rsidRDefault="00247CBF" w:rsidP="00247CBF">
            <w:pPr>
              <w:spacing w:after="0"/>
              <w:jc w:val="center"/>
              <w:rPr>
                <w:rFonts w:eastAsia="Times New Roman" w:cs="Times New Roman"/>
                <w:sz w:val="20"/>
                <w:szCs w:val="20"/>
                <w:lang w:val="sr-Cyrl-CS"/>
              </w:rPr>
            </w:pPr>
          </w:p>
        </w:tc>
        <w:tc>
          <w:tcPr>
            <w:tcW w:w="1446" w:type="dxa"/>
            <w:gridSpan w:val="3"/>
            <w:tcBorders>
              <w:top w:val="nil"/>
              <w:left w:val="nil"/>
              <w:bottom w:val="double" w:sz="4" w:space="0" w:color="auto"/>
              <w:right w:val="single" w:sz="8" w:space="0" w:color="auto"/>
            </w:tcBorders>
            <w:shd w:val="clear" w:color="000000" w:fill="FFFFFF"/>
            <w:vAlign w:val="center"/>
            <w:hideMark/>
          </w:tcPr>
          <w:p w14:paraId="65F7670C" w14:textId="77777777" w:rsidR="00247CBF" w:rsidRPr="00092ED7" w:rsidRDefault="00247CBF" w:rsidP="00247CBF">
            <w:pPr>
              <w:spacing w:after="0"/>
              <w:jc w:val="center"/>
              <w:rPr>
                <w:rFonts w:eastAsia="Times New Roman" w:cs="Times New Roman"/>
                <w:sz w:val="20"/>
                <w:szCs w:val="20"/>
                <w:lang w:val="sr-Cyrl-CS"/>
              </w:rPr>
            </w:pPr>
            <w:r w:rsidRPr="00092ED7">
              <w:rPr>
                <w:sz w:val="20"/>
                <w:szCs w:val="20"/>
                <w:lang w:val="sr-Cyrl-CS"/>
              </w:rPr>
              <w:t>2021</w:t>
            </w:r>
          </w:p>
        </w:tc>
        <w:tc>
          <w:tcPr>
            <w:tcW w:w="1501" w:type="dxa"/>
            <w:gridSpan w:val="5"/>
            <w:tcBorders>
              <w:top w:val="nil"/>
              <w:left w:val="nil"/>
              <w:bottom w:val="double" w:sz="6" w:space="0" w:color="auto"/>
              <w:right w:val="dotted" w:sz="4" w:space="0" w:color="auto"/>
            </w:tcBorders>
            <w:shd w:val="clear" w:color="000000" w:fill="FFFFFF"/>
            <w:vAlign w:val="center"/>
            <w:hideMark/>
          </w:tcPr>
          <w:p w14:paraId="5F391445" w14:textId="77777777" w:rsidR="00247CBF" w:rsidRPr="00092ED7" w:rsidRDefault="00247CBF" w:rsidP="00247CBF">
            <w:pPr>
              <w:spacing w:after="0"/>
              <w:jc w:val="center"/>
              <w:rPr>
                <w:rFonts w:eastAsia="Times New Roman" w:cs="Times New Roman"/>
                <w:sz w:val="20"/>
                <w:szCs w:val="20"/>
                <w:lang w:val="sr-Cyrl-CS"/>
              </w:rPr>
            </w:pPr>
            <w:r w:rsidRPr="00092ED7">
              <w:rPr>
                <w:sz w:val="20"/>
                <w:szCs w:val="20"/>
                <w:lang w:val="sr-Cyrl-CS"/>
              </w:rPr>
              <w:t>2021</w:t>
            </w:r>
          </w:p>
        </w:tc>
        <w:tc>
          <w:tcPr>
            <w:tcW w:w="1504" w:type="dxa"/>
            <w:gridSpan w:val="4"/>
            <w:tcBorders>
              <w:top w:val="nil"/>
              <w:left w:val="nil"/>
              <w:bottom w:val="double" w:sz="6" w:space="0" w:color="auto"/>
              <w:right w:val="dotted" w:sz="4" w:space="0" w:color="auto"/>
            </w:tcBorders>
            <w:shd w:val="clear" w:color="000000" w:fill="FFFFFF"/>
            <w:vAlign w:val="center"/>
            <w:hideMark/>
          </w:tcPr>
          <w:p w14:paraId="2BCB7DE6" w14:textId="77777777" w:rsidR="00247CBF" w:rsidRPr="00092ED7" w:rsidRDefault="00247CBF" w:rsidP="00247CBF">
            <w:pPr>
              <w:spacing w:after="0"/>
              <w:jc w:val="center"/>
              <w:rPr>
                <w:rFonts w:eastAsia="Times New Roman" w:cs="Times New Roman"/>
                <w:sz w:val="20"/>
                <w:szCs w:val="20"/>
                <w:lang w:val="sr-Cyrl-CS"/>
              </w:rPr>
            </w:pPr>
            <w:r w:rsidRPr="00092ED7">
              <w:rPr>
                <w:sz w:val="20"/>
                <w:szCs w:val="20"/>
                <w:lang w:val="sr-Cyrl-CS"/>
              </w:rPr>
              <w:t>2022</w:t>
            </w:r>
          </w:p>
        </w:tc>
        <w:tc>
          <w:tcPr>
            <w:tcW w:w="1501" w:type="dxa"/>
            <w:gridSpan w:val="4"/>
            <w:tcBorders>
              <w:top w:val="nil"/>
              <w:left w:val="nil"/>
              <w:bottom w:val="double" w:sz="6" w:space="0" w:color="auto"/>
              <w:right w:val="dotted" w:sz="4" w:space="0" w:color="auto"/>
            </w:tcBorders>
            <w:shd w:val="clear" w:color="000000" w:fill="FFFFFF"/>
            <w:vAlign w:val="center"/>
            <w:hideMark/>
          </w:tcPr>
          <w:p w14:paraId="38A9AA6F" w14:textId="77777777" w:rsidR="00247CBF" w:rsidRPr="00092ED7" w:rsidRDefault="00247CBF" w:rsidP="00247CBF">
            <w:pPr>
              <w:spacing w:after="0"/>
              <w:jc w:val="center"/>
              <w:rPr>
                <w:rFonts w:eastAsia="Times New Roman" w:cs="Times New Roman"/>
                <w:sz w:val="20"/>
                <w:szCs w:val="20"/>
                <w:lang w:val="sr-Cyrl-CS"/>
              </w:rPr>
            </w:pPr>
            <w:r w:rsidRPr="00092ED7">
              <w:rPr>
                <w:sz w:val="20"/>
                <w:szCs w:val="20"/>
                <w:lang w:val="sr-Cyrl-CS"/>
              </w:rPr>
              <w:t>2023</w:t>
            </w:r>
          </w:p>
        </w:tc>
        <w:tc>
          <w:tcPr>
            <w:tcW w:w="1504" w:type="dxa"/>
            <w:gridSpan w:val="6"/>
            <w:tcBorders>
              <w:top w:val="nil"/>
              <w:left w:val="nil"/>
              <w:bottom w:val="double" w:sz="6" w:space="0" w:color="auto"/>
              <w:right w:val="dotted" w:sz="4" w:space="0" w:color="auto"/>
            </w:tcBorders>
            <w:shd w:val="clear" w:color="000000" w:fill="FFFFFF"/>
            <w:vAlign w:val="center"/>
            <w:hideMark/>
          </w:tcPr>
          <w:p w14:paraId="5FFC41E8" w14:textId="77777777" w:rsidR="00247CBF" w:rsidRPr="00092ED7" w:rsidRDefault="00247CBF" w:rsidP="00247CBF">
            <w:pPr>
              <w:spacing w:after="0"/>
              <w:jc w:val="center"/>
              <w:rPr>
                <w:rFonts w:eastAsia="Times New Roman" w:cs="Times New Roman"/>
                <w:sz w:val="20"/>
                <w:szCs w:val="20"/>
                <w:lang w:val="sr-Cyrl-CS"/>
              </w:rPr>
            </w:pPr>
            <w:r w:rsidRPr="00092ED7">
              <w:rPr>
                <w:sz w:val="20"/>
                <w:szCs w:val="20"/>
                <w:lang w:val="sr-Cyrl-CS"/>
              </w:rPr>
              <w:t>2024</w:t>
            </w:r>
          </w:p>
        </w:tc>
        <w:tc>
          <w:tcPr>
            <w:tcW w:w="1504" w:type="dxa"/>
            <w:gridSpan w:val="4"/>
            <w:tcBorders>
              <w:top w:val="nil"/>
              <w:left w:val="nil"/>
              <w:bottom w:val="double" w:sz="6" w:space="0" w:color="auto"/>
              <w:right w:val="double" w:sz="6" w:space="0" w:color="auto"/>
            </w:tcBorders>
            <w:shd w:val="clear" w:color="000000" w:fill="FFFFFF"/>
            <w:vAlign w:val="center"/>
            <w:hideMark/>
          </w:tcPr>
          <w:p w14:paraId="6B795C76" w14:textId="77777777" w:rsidR="00247CBF" w:rsidRPr="00092ED7" w:rsidRDefault="00247CBF" w:rsidP="00247CBF">
            <w:pPr>
              <w:spacing w:after="0"/>
              <w:jc w:val="center"/>
              <w:rPr>
                <w:rFonts w:eastAsia="Times New Roman" w:cs="Times New Roman"/>
                <w:sz w:val="20"/>
                <w:szCs w:val="20"/>
                <w:lang w:val="sr-Cyrl-CS"/>
              </w:rPr>
            </w:pPr>
            <w:r w:rsidRPr="00092ED7">
              <w:rPr>
                <w:sz w:val="20"/>
                <w:szCs w:val="20"/>
                <w:lang w:val="sr-Cyrl-CS"/>
              </w:rPr>
              <w:t>2025</w:t>
            </w:r>
          </w:p>
        </w:tc>
      </w:tr>
      <w:tr w:rsidR="00247CBF" w:rsidRPr="00092ED7" w14:paraId="5D4671A2" w14:textId="77777777" w:rsidTr="00247CBF">
        <w:trPr>
          <w:gridBefore w:val="1"/>
          <w:wBefore w:w="23" w:type="dxa"/>
          <w:trHeight w:val="379"/>
        </w:trPr>
        <w:tc>
          <w:tcPr>
            <w:tcW w:w="4372" w:type="dxa"/>
            <w:tcBorders>
              <w:top w:val="double" w:sz="4" w:space="0" w:color="auto"/>
              <w:left w:val="double" w:sz="6" w:space="0" w:color="auto"/>
              <w:bottom w:val="single" w:sz="8" w:space="0" w:color="auto"/>
              <w:right w:val="dotted" w:sz="4" w:space="0" w:color="auto"/>
            </w:tcBorders>
            <w:shd w:val="clear" w:color="000000" w:fill="FFFFFF"/>
            <w:vAlign w:val="bottom"/>
            <w:hideMark/>
          </w:tcPr>
          <w:p w14:paraId="2030ECA3"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w:t>
            </w:r>
          </w:p>
        </w:tc>
        <w:tc>
          <w:tcPr>
            <w:tcW w:w="1247" w:type="dxa"/>
            <w:gridSpan w:val="2"/>
            <w:tcBorders>
              <w:top w:val="double" w:sz="4" w:space="0" w:color="auto"/>
              <w:left w:val="nil"/>
              <w:bottom w:val="single" w:sz="8" w:space="0" w:color="auto"/>
              <w:right w:val="single" w:sz="8" w:space="0" w:color="auto"/>
            </w:tcBorders>
            <w:shd w:val="clear" w:color="000000" w:fill="FFFFFF"/>
            <w:vAlign w:val="bottom"/>
            <w:hideMark/>
          </w:tcPr>
          <w:p w14:paraId="0FF2E55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1446" w:type="dxa"/>
            <w:gridSpan w:val="3"/>
            <w:tcBorders>
              <w:top w:val="double" w:sz="4" w:space="0" w:color="auto"/>
              <w:left w:val="nil"/>
              <w:bottom w:val="single" w:sz="8" w:space="0" w:color="auto"/>
              <w:right w:val="single" w:sz="8" w:space="0" w:color="auto"/>
            </w:tcBorders>
            <w:shd w:val="clear" w:color="000000" w:fill="FFFFFF"/>
            <w:vAlign w:val="bottom"/>
            <w:hideMark/>
          </w:tcPr>
          <w:p w14:paraId="7453D519"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 xml:space="preserve">Ниво  </w:t>
            </w:r>
          </w:p>
          <w:p w14:paraId="4F231246"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(млрд ЕУР)</w:t>
            </w:r>
          </w:p>
        </w:tc>
        <w:tc>
          <w:tcPr>
            <w:tcW w:w="7514" w:type="dxa"/>
            <w:gridSpan w:val="23"/>
            <w:tcBorders>
              <w:top w:val="double" w:sz="6" w:space="0" w:color="auto"/>
              <w:left w:val="nil"/>
              <w:bottom w:val="single" w:sz="8" w:space="0" w:color="auto"/>
              <w:right w:val="double" w:sz="6" w:space="0" w:color="000000"/>
            </w:tcBorders>
            <w:shd w:val="clear" w:color="000000" w:fill="FFFFFF"/>
            <w:vAlign w:val="center"/>
            <w:hideMark/>
          </w:tcPr>
          <w:p w14:paraId="0F80DA61"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Стопа промене</w:t>
            </w:r>
          </w:p>
        </w:tc>
      </w:tr>
      <w:tr w:rsidR="00247CBF" w:rsidRPr="00092ED7" w14:paraId="0F2482C7" w14:textId="77777777" w:rsidTr="00247CBF">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72824F1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Реални БДП према тржишним ценама</w:t>
            </w:r>
            <w:r w:rsidRPr="00092ED7">
              <w:rPr>
                <w:rFonts w:eastAsia="Times New Roman" w:cs="Times New Roman"/>
                <w:b/>
                <w:bCs/>
                <w:sz w:val="20"/>
                <w:szCs w:val="20"/>
                <w:lang w:val="sr-Cyrl-CS"/>
              </w:rPr>
              <w:t xml:space="preserve"> </w:t>
            </w:r>
          </w:p>
        </w:tc>
        <w:tc>
          <w:tcPr>
            <w:tcW w:w="1247" w:type="dxa"/>
            <w:gridSpan w:val="2"/>
            <w:tcBorders>
              <w:top w:val="nil"/>
              <w:left w:val="nil"/>
              <w:bottom w:val="dotted" w:sz="4" w:space="0" w:color="auto"/>
              <w:right w:val="single" w:sz="8" w:space="0" w:color="auto"/>
            </w:tcBorders>
            <w:shd w:val="clear" w:color="000000" w:fill="FFFFFF"/>
            <w:vAlign w:val="center"/>
            <w:hideMark/>
          </w:tcPr>
          <w:p w14:paraId="0C21B74C" w14:textId="77777777" w:rsidR="00247CBF" w:rsidRPr="00092ED7" w:rsidRDefault="00247CBF" w:rsidP="00247CBF">
            <w:pPr>
              <w:spacing w:after="0"/>
              <w:jc w:val="center"/>
              <w:rPr>
                <w:sz w:val="20"/>
                <w:szCs w:val="20"/>
                <w:lang w:val="sr-Cyrl-CS"/>
              </w:rPr>
            </w:pPr>
            <w:r w:rsidRPr="00092ED7">
              <w:rPr>
                <w:sz w:val="20"/>
                <w:szCs w:val="20"/>
                <w:lang w:val="sr-Cyrl-CS"/>
              </w:rPr>
              <w:t>B1*g</w:t>
            </w:r>
          </w:p>
        </w:tc>
        <w:tc>
          <w:tcPr>
            <w:tcW w:w="1446" w:type="dxa"/>
            <w:gridSpan w:val="3"/>
            <w:tcBorders>
              <w:top w:val="nil"/>
              <w:left w:val="nil"/>
              <w:bottom w:val="dotted" w:sz="4" w:space="0" w:color="auto"/>
              <w:right w:val="single" w:sz="8" w:space="0" w:color="auto"/>
            </w:tcBorders>
            <w:shd w:val="clear" w:color="000000" w:fill="FFFFFF"/>
            <w:vAlign w:val="center"/>
            <w:hideMark/>
          </w:tcPr>
          <w:p w14:paraId="04819516" w14:textId="77777777" w:rsidR="00247CBF" w:rsidRPr="00092ED7" w:rsidRDefault="00247CBF" w:rsidP="00247CBF">
            <w:pPr>
              <w:spacing w:after="0"/>
              <w:jc w:val="right"/>
              <w:rPr>
                <w:sz w:val="20"/>
                <w:szCs w:val="20"/>
                <w:lang w:val="sr-Cyrl-CS"/>
              </w:rPr>
            </w:pPr>
            <w:r w:rsidRPr="00092ED7">
              <w:rPr>
                <w:sz w:val="20"/>
                <w:szCs w:val="20"/>
                <w:lang w:val="sr-Cyrl-CS"/>
              </w:rPr>
              <w:t>45,0</w:t>
            </w:r>
          </w:p>
        </w:tc>
        <w:tc>
          <w:tcPr>
            <w:tcW w:w="1501" w:type="dxa"/>
            <w:gridSpan w:val="5"/>
            <w:tcBorders>
              <w:top w:val="nil"/>
              <w:left w:val="nil"/>
              <w:bottom w:val="dotted" w:sz="4" w:space="0" w:color="auto"/>
              <w:right w:val="dotted" w:sz="4" w:space="0" w:color="auto"/>
            </w:tcBorders>
            <w:shd w:val="clear" w:color="000000" w:fill="FFFFFF"/>
            <w:vAlign w:val="center"/>
            <w:hideMark/>
          </w:tcPr>
          <w:p w14:paraId="7A41227D" w14:textId="77777777" w:rsidR="00247CBF" w:rsidRPr="00092ED7" w:rsidRDefault="00247CBF" w:rsidP="00247CBF">
            <w:pPr>
              <w:spacing w:after="0"/>
              <w:jc w:val="right"/>
              <w:rPr>
                <w:sz w:val="20"/>
                <w:szCs w:val="20"/>
                <w:lang w:val="sr-Cyrl-CS"/>
              </w:rPr>
            </w:pPr>
            <w:r w:rsidRPr="00092ED7">
              <w:rPr>
                <w:sz w:val="20"/>
                <w:szCs w:val="20"/>
                <w:lang w:val="sr-Cyrl-CS"/>
              </w:rPr>
              <w:t>7,5</w:t>
            </w:r>
          </w:p>
        </w:tc>
        <w:tc>
          <w:tcPr>
            <w:tcW w:w="1504" w:type="dxa"/>
            <w:gridSpan w:val="4"/>
            <w:tcBorders>
              <w:top w:val="nil"/>
              <w:left w:val="nil"/>
              <w:bottom w:val="dotted" w:sz="4" w:space="0" w:color="auto"/>
              <w:right w:val="dotted" w:sz="4" w:space="0" w:color="auto"/>
            </w:tcBorders>
            <w:shd w:val="clear" w:color="000000" w:fill="FFFFFF"/>
            <w:vAlign w:val="center"/>
            <w:hideMark/>
          </w:tcPr>
          <w:p w14:paraId="2FD509C6" w14:textId="77777777" w:rsidR="00247CBF" w:rsidRPr="00092ED7" w:rsidRDefault="00247CBF" w:rsidP="00247CBF">
            <w:pPr>
              <w:spacing w:after="0"/>
              <w:jc w:val="right"/>
              <w:rPr>
                <w:sz w:val="20"/>
                <w:szCs w:val="20"/>
                <w:lang w:val="sr-Cyrl-CS"/>
              </w:rPr>
            </w:pPr>
            <w:r w:rsidRPr="00092ED7">
              <w:rPr>
                <w:sz w:val="20"/>
                <w:szCs w:val="20"/>
                <w:lang w:val="sr-Cyrl-CS"/>
              </w:rPr>
              <w:t>2,5</w:t>
            </w:r>
          </w:p>
        </w:tc>
        <w:tc>
          <w:tcPr>
            <w:tcW w:w="1501" w:type="dxa"/>
            <w:gridSpan w:val="4"/>
            <w:tcBorders>
              <w:top w:val="nil"/>
              <w:left w:val="nil"/>
              <w:bottom w:val="dotted" w:sz="4" w:space="0" w:color="auto"/>
              <w:right w:val="dotted" w:sz="4" w:space="0" w:color="auto"/>
            </w:tcBorders>
            <w:shd w:val="clear" w:color="000000" w:fill="FFFFFF"/>
            <w:vAlign w:val="center"/>
            <w:hideMark/>
          </w:tcPr>
          <w:p w14:paraId="1AE4CE38" w14:textId="77777777" w:rsidR="00247CBF" w:rsidRPr="00092ED7" w:rsidRDefault="00247CBF" w:rsidP="00247CBF">
            <w:pPr>
              <w:spacing w:after="0"/>
              <w:jc w:val="right"/>
              <w:rPr>
                <w:sz w:val="20"/>
                <w:szCs w:val="20"/>
                <w:lang w:val="sr-Cyrl-CS"/>
              </w:rPr>
            </w:pPr>
            <w:r w:rsidRPr="00092ED7">
              <w:rPr>
                <w:sz w:val="20"/>
                <w:szCs w:val="20"/>
                <w:lang w:val="sr-Cyrl-CS"/>
              </w:rPr>
              <w:t>2,5</w:t>
            </w:r>
          </w:p>
        </w:tc>
        <w:tc>
          <w:tcPr>
            <w:tcW w:w="1504" w:type="dxa"/>
            <w:gridSpan w:val="6"/>
            <w:tcBorders>
              <w:top w:val="nil"/>
              <w:left w:val="nil"/>
              <w:bottom w:val="dotted" w:sz="4" w:space="0" w:color="auto"/>
              <w:right w:val="dotted" w:sz="4" w:space="0" w:color="auto"/>
            </w:tcBorders>
            <w:shd w:val="clear" w:color="000000" w:fill="FFFFFF"/>
            <w:vAlign w:val="center"/>
            <w:hideMark/>
          </w:tcPr>
          <w:p w14:paraId="56C7F34A" w14:textId="77777777" w:rsidR="00247CBF" w:rsidRPr="00092ED7" w:rsidRDefault="00247CBF" w:rsidP="00247CBF">
            <w:pPr>
              <w:spacing w:after="0"/>
              <w:jc w:val="right"/>
              <w:rPr>
                <w:sz w:val="20"/>
                <w:szCs w:val="20"/>
                <w:lang w:val="sr-Cyrl-CS"/>
              </w:rPr>
            </w:pPr>
            <w:r w:rsidRPr="00092ED7">
              <w:rPr>
                <w:sz w:val="20"/>
                <w:szCs w:val="20"/>
                <w:lang w:val="sr-Cyrl-CS"/>
              </w:rPr>
              <w:t>3,5</w:t>
            </w:r>
          </w:p>
        </w:tc>
        <w:tc>
          <w:tcPr>
            <w:tcW w:w="1504" w:type="dxa"/>
            <w:gridSpan w:val="4"/>
            <w:tcBorders>
              <w:top w:val="nil"/>
              <w:left w:val="nil"/>
              <w:bottom w:val="dotted" w:sz="4" w:space="0" w:color="auto"/>
              <w:right w:val="double" w:sz="6" w:space="0" w:color="auto"/>
            </w:tcBorders>
            <w:shd w:val="clear" w:color="000000" w:fill="FFFFFF"/>
            <w:vAlign w:val="center"/>
            <w:hideMark/>
          </w:tcPr>
          <w:p w14:paraId="4FCD3985" w14:textId="77777777" w:rsidR="00247CBF" w:rsidRPr="00092ED7" w:rsidRDefault="00247CBF" w:rsidP="00247CBF">
            <w:pPr>
              <w:spacing w:after="0"/>
              <w:jc w:val="right"/>
              <w:rPr>
                <w:sz w:val="20"/>
                <w:szCs w:val="20"/>
                <w:lang w:val="sr-Cyrl-CS"/>
              </w:rPr>
            </w:pPr>
            <w:r w:rsidRPr="00092ED7">
              <w:rPr>
                <w:sz w:val="20"/>
                <w:szCs w:val="20"/>
                <w:lang w:val="sr-Cyrl-CS"/>
              </w:rPr>
              <w:t>4,0</w:t>
            </w:r>
          </w:p>
        </w:tc>
      </w:tr>
      <w:tr w:rsidR="00247CBF" w:rsidRPr="00092ED7" w14:paraId="655C18DC" w14:textId="77777777" w:rsidTr="00247CBF">
        <w:trPr>
          <w:gridBefore w:val="1"/>
          <w:wBefore w:w="23" w:type="dxa"/>
          <w:trHeight w:val="319"/>
        </w:trPr>
        <w:tc>
          <w:tcPr>
            <w:tcW w:w="4372" w:type="dxa"/>
            <w:tcBorders>
              <w:top w:val="nil"/>
              <w:left w:val="double" w:sz="6" w:space="0" w:color="auto"/>
              <w:bottom w:val="single" w:sz="8" w:space="0" w:color="auto"/>
              <w:right w:val="dotted" w:sz="4" w:space="0" w:color="auto"/>
            </w:tcBorders>
            <w:shd w:val="clear" w:color="000000" w:fill="FFFFFF"/>
            <w:vAlign w:val="bottom"/>
            <w:hideMark/>
          </w:tcPr>
          <w:p w14:paraId="06B9CF8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 Текући БДП према тржишним ценама</w:t>
            </w:r>
          </w:p>
        </w:tc>
        <w:tc>
          <w:tcPr>
            <w:tcW w:w="1247" w:type="dxa"/>
            <w:gridSpan w:val="2"/>
            <w:tcBorders>
              <w:top w:val="nil"/>
              <w:left w:val="nil"/>
              <w:bottom w:val="single" w:sz="8" w:space="0" w:color="auto"/>
              <w:right w:val="single" w:sz="8" w:space="0" w:color="auto"/>
            </w:tcBorders>
            <w:shd w:val="clear" w:color="000000" w:fill="FFFFFF"/>
            <w:vAlign w:val="center"/>
            <w:hideMark/>
          </w:tcPr>
          <w:p w14:paraId="215A5F15" w14:textId="77777777" w:rsidR="00247CBF" w:rsidRPr="00092ED7" w:rsidRDefault="00247CBF" w:rsidP="00247CBF">
            <w:pPr>
              <w:spacing w:after="0"/>
              <w:jc w:val="center"/>
              <w:rPr>
                <w:sz w:val="20"/>
                <w:szCs w:val="20"/>
                <w:lang w:val="sr-Cyrl-CS"/>
              </w:rPr>
            </w:pPr>
            <w:r w:rsidRPr="00092ED7">
              <w:rPr>
                <w:sz w:val="20"/>
                <w:szCs w:val="20"/>
                <w:lang w:val="sr-Cyrl-CS"/>
              </w:rPr>
              <w:t>B1*g</w:t>
            </w:r>
          </w:p>
        </w:tc>
        <w:tc>
          <w:tcPr>
            <w:tcW w:w="1446" w:type="dxa"/>
            <w:gridSpan w:val="3"/>
            <w:tcBorders>
              <w:top w:val="nil"/>
              <w:left w:val="nil"/>
              <w:bottom w:val="single" w:sz="8" w:space="0" w:color="auto"/>
              <w:right w:val="single" w:sz="8" w:space="0" w:color="auto"/>
            </w:tcBorders>
            <w:shd w:val="clear" w:color="000000" w:fill="FFFFFF"/>
            <w:vAlign w:val="center"/>
            <w:hideMark/>
          </w:tcPr>
          <w:p w14:paraId="22FE6C97" w14:textId="77777777" w:rsidR="00247CBF" w:rsidRPr="00092ED7" w:rsidRDefault="00247CBF" w:rsidP="00247CBF">
            <w:pPr>
              <w:spacing w:after="0"/>
              <w:jc w:val="right"/>
              <w:rPr>
                <w:sz w:val="20"/>
                <w:szCs w:val="20"/>
                <w:lang w:val="sr-Cyrl-CS"/>
              </w:rPr>
            </w:pPr>
            <w:r w:rsidRPr="00092ED7">
              <w:rPr>
                <w:sz w:val="20"/>
                <w:szCs w:val="20"/>
                <w:lang w:val="sr-Cyrl-CS"/>
              </w:rPr>
              <w:t>53,3</w:t>
            </w:r>
          </w:p>
        </w:tc>
        <w:tc>
          <w:tcPr>
            <w:tcW w:w="1501" w:type="dxa"/>
            <w:gridSpan w:val="5"/>
            <w:tcBorders>
              <w:top w:val="nil"/>
              <w:left w:val="nil"/>
              <w:bottom w:val="single" w:sz="8" w:space="0" w:color="auto"/>
              <w:right w:val="dotted" w:sz="4" w:space="0" w:color="auto"/>
            </w:tcBorders>
            <w:shd w:val="clear" w:color="000000" w:fill="FFFFFF"/>
            <w:vAlign w:val="center"/>
            <w:hideMark/>
          </w:tcPr>
          <w:p w14:paraId="1598AD08" w14:textId="77777777" w:rsidR="00247CBF" w:rsidRPr="00092ED7" w:rsidRDefault="00247CBF" w:rsidP="00247CBF">
            <w:pPr>
              <w:spacing w:after="0"/>
              <w:jc w:val="right"/>
              <w:rPr>
                <w:sz w:val="20"/>
                <w:szCs w:val="20"/>
                <w:lang w:val="sr-Cyrl-CS"/>
              </w:rPr>
            </w:pPr>
            <w:r w:rsidRPr="00092ED7">
              <w:rPr>
                <w:sz w:val="20"/>
                <w:szCs w:val="20"/>
                <w:lang w:val="sr-Cyrl-CS"/>
              </w:rPr>
              <w:t>13,9</w:t>
            </w:r>
          </w:p>
        </w:tc>
        <w:tc>
          <w:tcPr>
            <w:tcW w:w="1504" w:type="dxa"/>
            <w:gridSpan w:val="4"/>
            <w:tcBorders>
              <w:top w:val="nil"/>
              <w:left w:val="nil"/>
              <w:bottom w:val="single" w:sz="8" w:space="0" w:color="auto"/>
              <w:right w:val="dotted" w:sz="4" w:space="0" w:color="auto"/>
            </w:tcBorders>
            <w:shd w:val="clear" w:color="000000" w:fill="FFFFFF"/>
            <w:vAlign w:val="center"/>
            <w:hideMark/>
          </w:tcPr>
          <w:p w14:paraId="1D32CD05" w14:textId="77777777" w:rsidR="00247CBF" w:rsidRPr="00092ED7" w:rsidRDefault="00247CBF" w:rsidP="00247CBF">
            <w:pPr>
              <w:spacing w:after="0"/>
              <w:jc w:val="right"/>
              <w:rPr>
                <w:sz w:val="20"/>
                <w:szCs w:val="20"/>
                <w:lang w:val="sr-Cyrl-CS"/>
              </w:rPr>
            </w:pPr>
            <w:r w:rsidRPr="00092ED7">
              <w:rPr>
                <w:sz w:val="20"/>
                <w:szCs w:val="20"/>
                <w:lang w:val="sr-Cyrl-CS"/>
              </w:rPr>
              <w:t>13,0</w:t>
            </w:r>
          </w:p>
        </w:tc>
        <w:tc>
          <w:tcPr>
            <w:tcW w:w="1501" w:type="dxa"/>
            <w:gridSpan w:val="4"/>
            <w:tcBorders>
              <w:top w:val="nil"/>
              <w:left w:val="nil"/>
              <w:bottom w:val="single" w:sz="8" w:space="0" w:color="auto"/>
              <w:right w:val="dotted" w:sz="4" w:space="0" w:color="auto"/>
            </w:tcBorders>
            <w:shd w:val="clear" w:color="000000" w:fill="FFFFFF"/>
            <w:vAlign w:val="center"/>
            <w:hideMark/>
          </w:tcPr>
          <w:p w14:paraId="40F00CBD" w14:textId="77777777" w:rsidR="00247CBF" w:rsidRPr="00092ED7" w:rsidRDefault="00247CBF" w:rsidP="00247CBF">
            <w:pPr>
              <w:spacing w:after="0"/>
              <w:jc w:val="right"/>
              <w:rPr>
                <w:sz w:val="20"/>
                <w:szCs w:val="20"/>
                <w:lang w:val="sr-Cyrl-CS"/>
              </w:rPr>
            </w:pPr>
            <w:r w:rsidRPr="00092ED7">
              <w:rPr>
                <w:sz w:val="20"/>
                <w:szCs w:val="20"/>
                <w:lang w:val="sr-Cyrl-CS"/>
              </w:rPr>
              <w:t>13,3</w:t>
            </w:r>
          </w:p>
        </w:tc>
        <w:tc>
          <w:tcPr>
            <w:tcW w:w="1504" w:type="dxa"/>
            <w:gridSpan w:val="6"/>
            <w:tcBorders>
              <w:top w:val="nil"/>
              <w:left w:val="nil"/>
              <w:bottom w:val="single" w:sz="8" w:space="0" w:color="auto"/>
              <w:right w:val="dotted" w:sz="4" w:space="0" w:color="auto"/>
            </w:tcBorders>
            <w:shd w:val="clear" w:color="000000" w:fill="FFFFFF"/>
            <w:vAlign w:val="center"/>
            <w:hideMark/>
          </w:tcPr>
          <w:p w14:paraId="542572EB" w14:textId="77777777" w:rsidR="00247CBF" w:rsidRPr="00092ED7" w:rsidRDefault="00247CBF" w:rsidP="00247CBF">
            <w:pPr>
              <w:spacing w:after="0"/>
              <w:jc w:val="right"/>
              <w:rPr>
                <w:sz w:val="20"/>
                <w:szCs w:val="20"/>
                <w:lang w:val="sr-Cyrl-CS"/>
              </w:rPr>
            </w:pPr>
            <w:r w:rsidRPr="00092ED7">
              <w:rPr>
                <w:sz w:val="20"/>
                <w:szCs w:val="20"/>
                <w:lang w:val="sr-Cyrl-CS"/>
              </w:rPr>
              <w:t>9,4</w:t>
            </w:r>
          </w:p>
        </w:tc>
        <w:tc>
          <w:tcPr>
            <w:tcW w:w="1504" w:type="dxa"/>
            <w:gridSpan w:val="4"/>
            <w:tcBorders>
              <w:top w:val="nil"/>
              <w:left w:val="nil"/>
              <w:bottom w:val="single" w:sz="8" w:space="0" w:color="auto"/>
              <w:right w:val="double" w:sz="6" w:space="0" w:color="auto"/>
            </w:tcBorders>
            <w:shd w:val="clear" w:color="000000" w:fill="FFFFFF"/>
            <w:vAlign w:val="center"/>
            <w:hideMark/>
          </w:tcPr>
          <w:p w14:paraId="3BB68D6B" w14:textId="77777777" w:rsidR="00247CBF" w:rsidRPr="00092ED7" w:rsidRDefault="00247CBF" w:rsidP="00247CBF">
            <w:pPr>
              <w:spacing w:after="0"/>
              <w:jc w:val="right"/>
              <w:rPr>
                <w:sz w:val="20"/>
                <w:szCs w:val="20"/>
                <w:lang w:val="sr-Cyrl-CS"/>
              </w:rPr>
            </w:pPr>
            <w:r w:rsidRPr="00092ED7">
              <w:rPr>
                <w:sz w:val="20"/>
                <w:szCs w:val="20"/>
                <w:lang w:val="sr-Cyrl-CS"/>
              </w:rPr>
              <w:t>8,5</w:t>
            </w:r>
          </w:p>
        </w:tc>
      </w:tr>
      <w:tr w:rsidR="00247CBF" w:rsidRPr="00092ED7" w14:paraId="47F1F4ED" w14:textId="77777777" w:rsidTr="00247CBF">
        <w:trPr>
          <w:gridBefore w:val="1"/>
          <w:wBefore w:w="23" w:type="dxa"/>
          <w:trHeight w:val="319"/>
        </w:trPr>
        <w:tc>
          <w:tcPr>
            <w:tcW w:w="14579" w:type="dxa"/>
            <w:gridSpan w:val="29"/>
            <w:tcBorders>
              <w:top w:val="single" w:sz="8" w:space="0" w:color="auto"/>
              <w:left w:val="double" w:sz="6" w:space="0" w:color="auto"/>
              <w:bottom w:val="single" w:sz="8" w:space="0" w:color="auto"/>
              <w:right w:val="double" w:sz="6" w:space="0" w:color="000000"/>
            </w:tcBorders>
            <w:shd w:val="clear" w:color="000000" w:fill="FFFFFF"/>
            <w:vAlign w:val="bottom"/>
            <w:hideMark/>
          </w:tcPr>
          <w:p w14:paraId="1932ABB5"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Компоненте реалног БДП</w:t>
            </w:r>
          </w:p>
        </w:tc>
      </w:tr>
      <w:tr w:rsidR="00247CBF" w:rsidRPr="00092ED7" w14:paraId="280FAE5D" w14:textId="77777777" w:rsidTr="00247CBF">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284E0E7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3. Приватна потрошња</w:t>
            </w:r>
          </w:p>
        </w:tc>
        <w:tc>
          <w:tcPr>
            <w:tcW w:w="1247" w:type="dxa"/>
            <w:gridSpan w:val="2"/>
            <w:tcBorders>
              <w:top w:val="nil"/>
              <w:left w:val="nil"/>
              <w:bottom w:val="dotted" w:sz="4" w:space="0" w:color="auto"/>
              <w:right w:val="single" w:sz="8" w:space="0" w:color="auto"/>
            </w:tcBorders>
            <w:shd w:val="clear" w:color="000000" w:fill="FFFFFF"/>
            <w:vAlign w:val="center"/>
            <w:hideMark/>
          </w:tcPr>
          <w:p w14:paraId="558D3043" w14:textId="77777777" w:rsidR="00247CBF" w:rsidRPr="00092ED7" w:rsidRDefault="00247CBF" w:rsidP="00247CBF">
            <w:pPr>
              <w:spacing w:after="0"/>
              <w:jc w:val="center"/>
              <w:rPr>
                <w:sz w:val="20"/>
                <w:szCs w:val="20"/>
                <w:lang w:val="sr-Cyrl-CS"/>
              </w:rPr>
            </w:pPr>
            <w:r w:rsidRPr="00092ED7">
              <w:rPr>
                <w:sz w:val="20"/>
                <w:szCs w:val="20"/>
                <w:lang w:val="sr-Cyrl-CS"/>
              </w:rPr>
              <w:t>P3</w:t>
            </w:r>
          </w:p>
        </w:tc>
        <w:tc>
          <w:tcPr>
            <w:tcW w:w="1446" w:type="dxa"/>
            <w:gridSpan w:val="3"/>
            <w:tcBorders>
              <w:top w:val="nil"/>
              <w:left w:val="nil"/>
              <w:bottom w:val="dotted" w:sz="4" w:space="0" w:color="auto"/>
              <w:right w:val="single" w:sz="8" w:space="0" w:color="auto"/>
            </w:tcBorders>
            <w:shd w:val="clear" w:color="000000" w:fill="FFFFFF"/>
            <w:vAlign w:val="center"/>
            <w:hideMark/>
          </w:tcPr>
          <w:p w14:paraId="2481560E" w14:textId="77777777" w:rsidR="00247CBF" w:rsidRPr="00092ED7" w:rsidRDefault="00247CBF" w:rsidP="00247CBF">
            <w:pPr>
              <w:spacing w:after="0"/>
              <w:jc w:val="right"/>
              <w:rPr>
                <w:sz w:val="20"/>
                <w:szCs w:val="20"/>
                <w:lang w:val="sr-Cyrl-CS"/>
              </w:rPr>
            </w:pPr>
            <w:r w:rsidRPr="00092ED7">
              <w:rPr>
                <w:sz w:val="20"/>
                <w:szCs w:val="20"/>
                <w:lang w:val="sr-Cyrl-CS"/>
              </w:rPr>
              <w:t>31,1</w:t>
            </w:r>
          </w:p>
        </w:tc>
        <w:tc>
          <w:tcPr>
            <w:tcW w:w="1501" w:type="dxa"/>
            <w:gridSpan w:val="5"/>
            <w:tcBorders>
              <w:top w:val="nil"/>
              <w:left w:val="nil"/>
              <w:bottom w:val="dotted" w:sz="4" w:space="0" w:color="auto"/>
              <w:right w:val="dotted" w:sz="4" w:space="0" w:color="auto"/>
            </w:tcBorders>
            <w:shd w:val="clear" w:color="000000" w:fill="FFFFFF"/>
            <w:vAlign w:val="center"/>
            <w:hideMark/>
          </w:tcPr>
          <w:p w14:paraId="10CF1727" w14:textId="77777777" w:rsidR="00247CBF" w:rsidRPr="00092ED7" w:rsidRDefault="00247CBF" w:rsidP="00247CBF">
            <w:pPr>
              <w:spacing w:after="0"/>
              <w:jc w:val="right"/>
              <w:rPr>
                <w:sz w:val="20"/>
                <w:szCs w:val="20"/>
                <w:lang w:val="sr-Cyrl-CS"/>
              </w:rPr>
            </w:pPr>
            <w:r w:rsidRPr="00092ED7">
              <w:rPr>
                <w:sz w:val="20"/>
                <w:szCs w:val="20"/>
                <w:lang w:val="sr-Cyrl-CS"/>
              </w:rPr>
              <w:t>7,8</w:t>
            </w:r>
          </w:p>
        </w:tc>
        <w:tc>
          <w:tcPr>
            <w:tcW w:w="1504" w:type="dxa"/>
            <w:gridSpan w:val="4"/>
            <w:tcBorders>
              <w:top w:val="nil"/>
              <w:left w:val="nil"/>
              <w:bottom w:val="dotted" w:sz="4" w:space="0" w:color="auto"/>
              <w:right w:val="dotted" w:sz="4" w:space="0" w:color="auto"/>
            </w:tcBorders>
            <w:shd w:val="clear" w:color="000000" w:fill="FFFFFF"/>
            <w:vAlign w:val="center"/>
            <w:hideMark/>
          </w:tcPr>
          <w:p w14:paraId="73B7F241" w14:textId="77777777" w:rsidR="00247CBF" w:rsidRPr="00092ED7" w:rsidRDefault="00247CBF" w:rsidP="00247CBF">
            <w:pPr>
              <w:spacing w:after="0"/>
              <w:jc w:val="right"/>
              <w:rPr>
                <w:sz w:val="20"/>
                <w:szCs w:val="20"/>
                <w:lang w:val="sr-Cyrl-CS"/>
              </w:rPr>
            </w:pPr>
            <w:r w:rsidRPr="00092ED7">
              <w:rPr>
                <w:sz w:val="20"/>
                <w:szCs w:val="20"/>
                <w:lang w:val="sr-Cyrl-CS"/>
              </w:rPr>
              <w:t>3,9</w:t>
            </w:r>
          </w:p>
        </w:tc>
        <w:tc>
          <w:tcPr>
            <w:tcW w:w="1501" w:type="dxa"/>
            <w:gridSpan w:val="4"/>
            <w:tcBorders>
              <w:top w:val="nil"/>
              <w:left w:val="nil"/>
              <w:bottom w:val="dotted" w:sz="4" w:space="0" w:color="auto"/>
              <w:right w:val="dotted" w:sz="4" w:space="0" w:color="auto"/>
            </w:tcBorders>
            <w:shd w:val="clear" w:color="000000" w:fill="FFFFFF"/>
            <w:vAlign w:val="center"/>
            <w:hideMark/>
          </w:tcPr>
          <w:p w14:paraId="72D5A591" w14:textId="77777777" w:rsidR="00247CBF" w:rsidRPr="00092ED7" w:rsidRDefault="00247CBF" w:rsidP="00247CBF">
            <w:pPr>
              <w:spacing w:after="0"/>
              <w:jc w:val="right"/>
              <w:rPr>
                <w:sz w:val="20"/>
                <w:szCs w:val="20"/>
                <w:lang w:val="sr-Cyrl-CS"/>
              </w:rPr>
            </w:pPr>
            <w:r w:rsidRPr="00092ED7">
              <w:rPr>
                <w:sz w:val="20"/>
                <w:szCs w:val="20"/>
                <w:lang w:val="sr-Cyrl-CS"/>
              </w:rPr>
              <w:t>2,5</w:t>
            </w:r>
          </w:p>
        </w:tc>
        <w:tc>
          <w:tcPr>
            <w:tcW w:w="1504" w:type="dxa"/>
            <w:gridSpan w:val="6"/>
            <w:tcBorders>
              <w:top w:val="nil"/>
              <w:left w:val="nil"/>
              <w:bottom w:val="dotted" w:sz="4" w:space="0" w:color="auto"/>
              <w:right w:val="dotted" w:sz="4" w:space="0" w:color="auto"/>
            </w:tcBorders>
            <w:shd w:val="clear" w:color="000000" w:fill="FFFFFF"/>
            <w:vAlign w:val="center"/>
            <w:hideMark/>
          </w:tcPr>
          <w:p w14:paraId="093D928E" w14:textId="77777777" w:rsidR="00247CBF" w:rsidRPr="00092ED7" w:rsidRDefault="00247CBF" w:rsidP="00247CBF">
            <w:pPr>
              <w:spacing w:after="0"/>
              <w:jc w:val="right"/>
              <w:rPr>
                <w:sz w:val="20"/>
                <w:szCs w:val="20"/>
                <w:lang w:val="sr-Cyrl-CS"/>
              </w:rPr>
            </w:pPr>
            <w:r w:rsidRPr="00092ED7">
              <w:rPr>
                <w:sz w:val="20"/>
                <w:szCs w:val="20"/>
                <w:lang w:val="sr-Cyrl-CS"/>
              </w:rPr>
              <w:t>2,9</w:t>
            </w:r>
          </w:p>
        </w:tc>
        <w:tc>
          <w:tcPr>
            <w:tcW w:w="1504" w:type="dxa"/>
            <w:gridSpan w:val="4"/>
            <w:tcBorders>
              <w:top w:val="nil"/>
              <w:left w:val="nil"/>
              <w:bottom w:val="dotted" w:sz="4" w:space="0" w:color="auto"/>
              <w:right w:val="double" w:sz="6" w:space="0" w:color="auto"/>
            </w:tcBorders>
            <w:shd w:val="clear" w:color="000000" w:fill="FFFFFF"/>
            <w:vAlign w:val="center"/>
            <w:hideMark/>
          </w:tcPr>
          <w:p w14:paraId="1A2C1433" w14:textId="77777777" w:rsidR="00247CBF" w:rsidRPr="00092ED7" w:rsidRDefault="00247CBF" w:rsidP="00247CBF">
            <w:pPr>
              <w:spacing w:after="0"/>
              <w:jc w:val="right"/>
              <w:rPr>
                <w:sz w:val="20"/>
                <w:szCs w:val="20"/>
                <w:lang w:val="sr-Cyrl-CS"/>
              </w:rPr>
            </w:pPr>
            <w:r w:rsidRPr="00092ED7">
              <w:rPr>
                <w:sz w:val="20"/>
                <w:szCs w:val="20"/>
                <w:lang w:val="sr-Cyrl-CS"/>
              </w:rPr>
              <w:t>3,6</w:t>
            </w:r>
          </w:p>
        </w:tc>
      </w:tr>
      <w:tr w:rsidR="00247CBF" w:rsidRPr="00092ED7" w14:paraId="37B029D2" w14:textId="77777777" w:rsidTr="00247CBF">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7CA0E45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4. Државна потрошња</w:t>
            </w:r>
          </w:p>
        </w:tc>
        <w:tc>
          <w:tcPr>
            <w:tcW w:w="1247" w:type="dxa"/>
            <w:gridSpan w:val="2"/>
            <w:tcBorders>
              <w:top w:val="nil"/>
              <w:left w:val="nil"/>
              <w:bottom w:val="dotted" w:sz="4" w:space="0" w:color="auto"/>
              <w:right w:val="single" w:sz="8" w:space="0" w:color="auto"/>
            </w:tcBorders>
            <w:shd w:val="clear" w:color="000000" w:fill="FFFFFF"/>
            <w:vAlign w:val="center"/>
            <w:hideMark/>
          </w:tcPr>
          <w:p w14:paraId="43651DDF" w14:textId="77777777" w:rsidR="00247CBF" w:rsidRPr="00092ED7" w:rsidRDefault="00247CBF" w:rsidP="00247CBF">
            <w:pPr>
              <w:spacing w:after="0"/>
              <w:jc w:val="center"/>
              <w:rPr>
                <w:sz w:val="20"/>
                <w:szCs w:val="20"/>
                <w:lang w:val="sr-Cyrl-CS"/>
              </w:rPr>
            </w:pPr>
            <w:r w:rsidRPr="00092ED7">
              <w:rPr>
                <w:sz w:val="20"/>
                <w:szCs w:val="20"/>
                <w:lang w:val="sr-Cyrl-CS"/>
              </w:rPr>
              <w:t>P3</w:t>
            </w:r>
          </w:p>
        </w:tc>
        <w:tc>
          <w:tcPr>
            <w:tcW w:w="1446" w:type="dxa"/>
            <w:gridSpan w:val="3"/>
            <w:tcBorders>
              <w:top w:val="nil"/>
              <w:left w:val="nil"/>
              <w:bottom w:val="dotted" w:sz="4" w:space="0" w:color="auto"/>
              <w:right w:val="single" w:sz="8" w:space="0" w:color="auto"/>
            </w:tcBorders>
            <w:shd w:val="clear" w:color="000000" w:fill="FFFFFF"/>
            <w:vAlign w:val="center"/>
            <w:hideMark/>
          </w:tcPr>
          <w:p w14:paraId="1937D173" w14:textId="77777777" w:rsidR="00247CBF" w:rsidRPr="00092ED7" w:rsidRDefault="00247CBF" w:rsidP="00247CBF">
            <w:pPr>
              <w:spacing w:after="0"/>
              <w:jc w:val="right"/>
              <w:rPr>
                <w:sz w:val="20"/>
                <w:szCs w:val="20"/>
                <w:lang w:val="sr-Cyrl-CS"/>
              </w:rPr>
            </w:pPr>
            <w:r w:rsidRPr="00092ED7">
              <w:rPr>
                <w:sz w:val="20"/>
                <w:szCs w:val="20"/>
                <w:lang w:val="sr-Cyrl-CS"/>
              </w:rPr>
              <w:t>7,0</w:t>
            </w:r>
          </w:p>
        </w:tc>
        <w:tc>
          <w:tcPr>
            <w:tcW w:w="1501" w:type="dxa"/>
            <w:gridSpan w:val="5"/>
            <w:tcBorders>
              <w:top w:val="nil"/>
              <w:left w:val="nil"/>
              <w:bottom w:val="dotted" w:sz="4" w:space="0" w:color="auto"/>
              <w:right w:val="dotted" w:sz="4" w:space="0" w:color="auto"/>
            </w:tcBorders>
            <w:shd w:val="clear" w:color="000000" w:fill="FFFFFF"/>
            <w:vAlign w:val="center"/>
            <w:hideMark/>
          </w:tcPr>
          <w:p w14:paraId="0D6AEFAA" w14:textId="77777777" w:rsidR="00247CBF" w:rsidRPr="00092ED7" w:rsidRDefault="00247CBF" w:rsidP="00247CBF">
            <w:pPr>
              <w:spacing w:after="0"/>
              <w:jc w:val="right"/>
              <w:rPr>
                <w:sz w:val="20"/>
                <w:szCs w:val="20"/>
                <w:lang w:val="sr-Cyrl-CS"/>
              </w:rPr>
            </w:pPr>
            <w:r w:rsidRPr="00092ED7">
              <w:rPr>
                <w:sz w:val="20"/>
                <w:szCs w:val="20"/>
                <w:lang w:val="sr-Cyrl-CS"/>
              </w:rPr>
              <w:t>4,1</w:t>
            </w:r>
          </w:p>
        </w:tc>
        <w:tc>
          <w:tcPr>
            <w:tcW w:w="1504" w:type="dxa"/>
            <w:gridSpan w:val="4"/>
            <w:tcBorders>
              <w:top w:val="nil"/>
              <w:left w:val="nil"/>
              <w:bottom w:val="dotted" w:sz="4" w:space="0" w:color="auto"/>
              <w:right w:val="dotted" w:sz="4" w:space="0" w:color="auto"/>
            </w:tcBorders>
            <w:shd w:val="clear" w:color="000000" w:fill="FFFFFF"/>
            <w:vAlign w:val="center"/>
            <w:hideMark/>
          </w:tcPr>
          <w:p w14:paraId="5A78F9CA" w14:textId="77777777" w:rsidR="00247CBF" w:rsidRPr="00092ED7" w:rsidRDefault="00247CBF" w:rsidP="00247CBF">
            <w:pPr>
              <w:spacing w:after="0"/>
              <w:jc w:val="right"/>
              <w:rPr>
                <w:sz w:val="20"/>
                <w:szCs w:val="20"/>
                <w:lang w:val="sr-Cyrl-CS"/>
              </w:rPr>
            </w:pPr>
            <w:r w:rsidRPr="00092ED7">
              <w:rPr>
                <w:sz w:val="20"/>
                <w:szCs w:val="20"/>
                <w:lang w:val="sr-Cyrl-CS"/>
              </w:rPr>
              <w:t>0,4</w:t>
            </w:r>
          </w:p>
        </w:tc>
        <w:tc>
          <w:tcPr>
            <w:tcW w:w="1501" w:type="dxa"/>
            <w:gridSpan w:val="4"/>
            <w:tcBorders>
              <w:top w:val="nil"/>
              <w:left w:val="nil"/>
              <w:bottom w:val="dotted" w:sz="4" w:space="0" w:color="auto"/>
              <w:right w:val="dotted" w:sz="4" w:space="0" w:color="auto"/>
            </w:tcBorders>
            <w:shd w:val="clear" w:color="000000" w:fill="FFFFFF"/>
            <w:vAlign w:val="center"/>
            <w:hideMark/>
          </w:tcPr>
          <w:p w14:paraId="6E139A97" w14:textId="77777777" w:rsidR="00247CBF" w:rsidRPr="00092ED7" w:rsidRDefault="00247CBF" w:rsidP="00247CBF">
            <w:pPr>
              <w:spacing w:after="0"/>
              <w:jc w:val="right"/>
              <w:rPr>
                <w:sz w:val="20"/>
                <w:szCs w:val="20"/>
                <w:lang w:val="sr-Cyrl-CS"/>
              </w:rPr>
            </w:pPr>
            <w:r w:rsidRPr="00092ED7">
              <w:rPr>
                <w:sz w:val="20"/>
                <w:szCs w:val="20"/>
                <w:lang w:val="sr-Cyrl-CS"/>
              </w:rPr>
              <w:t>-2,0</w:t>
            </w:r>
          </w:p>
        </w:tc>
        <w:tc>
          <w:tcPr>
            <w:tcW w:w="1504" w:type="dxa"/>
            <w:gridSpan w:val="6"/>
            <w:tcBorders>
              <w:top w:val="nil"/>
              <w:left w:val="nil"/>
              <w:bottom w:val="dotted" w:sz="4" w:space="0" w:color="auto"/>
              <w:right w:val="dotted" w:sz="4" w:space="0" w:color="auto"/>
            </w:tcBorders>
            <w:shd w:val="clear" w:color="000000" w:fill="FFFFFF"/>
            <w:vAlign w:val="center"/>
            <w:hideMark/>
          </w:tcPr>
          <w:p w14:paraId="011E7564" w14:textId="77777777" w:rsidR="00247CBF" w:rsidRPr="00092ED7" w:rsidRDefault="00247CBF" w:rsidP="00247CBF">
            <w:pPr>
              <w:spacing w:after="0"/>
              <w:jc w:val="right"/>
              <w:rPr>
                <w:sz w:val="20"/>
                <w:szCs w:val="20"/>
                <w:lang w:val="sr-Cyrl-CS"/>
              </w:rPr>
            </w:pPr>
            <w:r w:rsidRPr="00092ED7">
              <w:rPr>
                <w:sz w:val="20"/>
                <w:szCs w:val="20"/>
                <w:lang w:val="sr-Cyrl-CS"/>
              </w:rPr>
              <w:t>0,8</w:t>
            </w:r>
          </w:p>
        </w:tc>
        <w:tc>
          <w:tcPr>
            <w:tcW w:w="1504" w:type="dxa"/>
            <w:gridSpan w:val="4"/>
            <w:tcBorders>
              <w:top w:val="nil"/>
              <w:left w:val="nil"/>
              <w:bottom w:val="dotted" w:sz="4" w:space="0" w:color="auto"/>
              <w:right w:val="double" w:sz="6" w:space="0" w:color="auto"/>
            </w:tcBorders>
            <w:shd w:val="clear" w:color="000000" w:fill="FFFFFF"/>
            <w:vAlign w:val="center"/>
            <w:hideMark/>
          </w:tcPr>
          <w:p w14:paraId="088A2B6A" w14:textId="77777777" w:rsidR="00247CBF" w:rsidRPr="00092ED7" w:rsidRDefault="00247CBF" w:rsidP="00247CBF">
            <w:pPr>
              <w:spacing w:after="0"/>
              <w:jc w:val="right"/>
              <w:rPr>
                <w:sz w:val="20"/>
                <w:szCs w:val="20"/>
                <w:lang w:val="sr-Cyrl-CS"/>
              </w:rPr>
            </w:pPr>
            <w:r w:rsidRPr="00092ED7">
              <w:rPr>
                <w:sz w:val="20"/>
                <w:szCs w:val="20"/>
                <w:lang w:val="sr-Cyrl-CS"/>
              </w:rPr>
              <w:t>0,8</w:t>
            </w:r>
          </w:p>
        </w:tc>
      </w:tr>
      <w:tr w:rsidR="00247CBF" w:rsidRPr="00092ED7" w14:paraId="0925B43A" w14:textId="77777777" w:rsidTr="00247CBF">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7C4137F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5. Бруто инвестиције у основна средства</w:t>
            </w:r>
          </w:p>
        </w:tc>
        <w:tc>
          <w:tcPr>
            <w:tcW w:w="1247" w:type="dxa"/>
            <w:gridSpan w:val="2"/>
            <w:tcBorders>
              <w:top w:val="nil"/>
              <w:left w:val="nil"/>
              <w:bottom w:val="dotted" w:sz="4" w:space="0" w:color="auto"/>
              <w:right w:val="single" w:sz="8" w:space="0" w:color="auto"/>
            </w:tcBorders>
            <w:shd w:val="clear" w:color="000000" w:fill="FFFFFF"/>
            <w:vAlign w:val="center"/>
            <w:hideMark/>
          </w:tcPr>
          <w:p w14:paraId="6D0DCD35" w14:textId="77777777" w:rsidR="00247CBF" w:rsidRPr="00092ED7" w:rsidRDefault="00247CBF" w:rsidP="00247CBF">
            <w:pPr>
              <w:spacing w:after="0"/>
              <w:jc w:val="center"/>
              <w:rPr>
                <w:sz w:val="20"/>
                <w:szCs w:val="20"/>
                <w:lang w:val="sr-Cyrl-CS"/>
              </w:rPr>
            </w:pPr>
            <w:r w:rsidRPr="00092ED7">
              <w:rPr>
                <w:sz w:val="20"/>
                <w:szCs w:val="20"/>
                <w:lang w:val="sr-Cyrl-CS"/>
              </w:rPr>
              <w:t>P51</w:t>
            </w:r>
          </w:p>
        </w:tc>
        <w:tc>
          <w:tcPr>
            <w:tcW w:w="1446" w:type="dxa"/>
            <w:gridSpan w:val="3"/>
            <w:tcBorders>
              <w:top w:val="nil"/>
              <w:left w:val="nil"/>
              <w:bottom w:val="dotted" w:sz="4" w:space="0" w:color="auto"/>
              <w:right w:val="single" w:sz="8" w:space="0" w:color="auto"/>
            </w:tcBorders>
            <w:shd w:val="clear" w:color="000000" w:fill="FFFFFF"/>
            <w:vAlign w:val="center"/>
            <w:hideMark/>
          </w:tcPr>
          <w:p w14:paraId="45866476" w14:textId="77777777" w:rsidR="00247CBF" w:rsidRPr="00092ED7" w:rsidRDefault="00247CBF" w:rsidP="00247CBF">
            <w:pPr>
              <w:spacing w:after="0"/>
              <w:jc w:val="right"/>
              <w:rPr>
                <w:sz w:val="20"/>
                <w:szCs w:val="20"/>
                <w:lang w:val="sr-Cyrl-CS"/>
              </w:rPr>
            </w:pPr>
            <w:r w:rsidRPr="00092ED7">
              <w:rPr>
                <w:sz w:val="20"/>
                <w:szCs w:val="20"/>
                <w:lang w:val="sr-Cyrl-CS"/>
              </w:rPr>
              <w:t>10,9</w:t>
            </w:r>
          </w:p>
        </w:tc>
        <w:tc>
          <w:tcPr>
            <w:tcW w:w="1501" w:type="dxa"/>
            <w:gridSpan w:val="5"/>
            <w:tcBorders>
              <w:top w:val="nil"/>
              <w:left w:val="nil"/>
              <w:bottom w:val="dotted" w:sz="4" w:space="0" w:color="auto"/>
              <w:right w:val="dotted" w:sz="4" w:space="0" w:color="auto"/>
            </w:tcBorders>
            <w:shd w:val="clear" w:color="000000" w:fill="FFFFFF"/>
            <w:vAlign w:val="center"/>
            <w:hideMark/>
          </w:tcPr>
          <w:p w14:paraId="4FC8E699" w14:textId="77777777" w:rsidR="00247CBF" w:rsidRPr="00092ED7" w:rsidRDefault="00247CBF" w:rsidP="00247CBF">
            <w:pPr>
              <w:spacing w:after="0"/>
              <w:jc w:val="right"/>
              <w:rPr>
                <w:sz w:val="20"/>
                <w:szCs w:val="20"/>
                <w:lang w:val="sr-Cyrl-CS"/>
              </w:rPr>
            </w:pPr>
            <w:r w:rsidRPr="00092ED7">
              <w:rPr>
                <w:sz w:val="20"/>
                <w:szCs w:val="20"/>
                <w:lang w:val="sr-Cyrl-CS"/>
              </w:rPr>
              <w:t>15,9</w:t>
            </w:r>
          </w:p>
        </w:tc>
        <w:tc>
          <w:tcPr>
            <w:tcW w:w="1504" w:type="dxa"/>
            <w:gridSpan w:val="4"/>
            <w:tcBorders>
              <w:top w:val="nil"/>
              <w:left w:val="nil"/>
              <w:bottom w:val="dotted" w:sz="4" w:space="0" w:color="auto"/>
              <w:right w:val="dotted" w:sz="4" w:space="0" w:color="auto"/>
            </w:tcBorders>
            <w:shd w:val="clear" w:color="000000" w:fill="FFFFFF"/>
            <w:vAlign w:val="center"/>
            <w:hideMark/>
          </w:tcPr>
          <w:p w14:paraId="69434C5A" w14:textId="77777777" w:rsidR="00247CBF" w:rsidRPr="00092ED7" w:rsidRDefault="00247CBF" w:rsidP="00247CBF">
            <w:pPr>
              <w:spacing w:after="0"/>
              <w:jc w:val="right"/>
              <w:rPr>
                <w:sz w:val="20"/>
                <w:szCs w:val="20"/>
                <w:lang w:val="sr-Cyrl-CS"/>
              </w:rPr>
            </w:pPr>
            <w:r w:rsidRPr="00092ED7">
              <w:rPr>
                <w:sz w:val="20"/>
                <w:szCs w:val="20"/>
                <w:lang w:val="sr-Cyrl-CS"/>
              </w:rPr>
              <w:t>0,0</w:t>
            </w:r>
          </w:p>
        </w:tc>
        <w:tc>
          <w:tcPr>
            <w:tcW w:w="1501" w:type="dxa"/>
            <w:gridSpan w:val="4"/>
            <w:tcBorders>
              <w:top w:val="nil"/>
              <w:left w:val="nil"/>
              <w:bottom w:val="dotted" w:sz="4" w:space="0" w:color="auto"/>
              <w:right w:val="dotted" w:sz="4" w:space="0" w:color="auto"/>
            </w:tcBorders>
            <w:shd w:val="clear" w:color="000000" w:fill="FFFFFF"/>
            <w:vAlign w:val="center"/>
            <w:hideMark/>
          </w:tcPr>
          <w:p w14:paraId="55D5118E" w14:textId="77777777" w:rsidR="00247CBF" w:rsidRPr="00092ED7" w:rsidRDefault="00247CBF" w:rsidP="00247CBF">
            <w:pPr>
              <w:spacing w:after="0"/>
              <w:jc w:val="right"/>
              <w:rPr>
                <w:sz w:val="20"/>
                <w:szCs w:val="20"/>
                <w:lang w:val="sr-Cyrl-CS"/>
              </w:rPr>
            </w:pPr>
            <w:r w:rsidRPr="00092ED7">
              <w:rPr>
                <w:sz w:val="20"/>
                <w:szCs w:val="20"/>
                <w:lang w:val="sr-Cyrl-CS"/>
              </w:rPr>
              <w:t>2,4</w:t>
            </w:r>
          </w:p>
        </w:tc>
        <w:tc>
          <w:tcPr>
            <w:tcW w:w="1504" w:type="dxa"/>
            <w:gridSpan w:val="6"/>
            <w:tcBorders>
              <w:top w:val="nil"/>
              <w:left w:val="nil"/>
              <w:bottom w:val="dotted" w:sz="4" w:space="0" w:color="auto"/>
              <w:right w:val="dotted" w:sz="4" w:space="0" w:color="auto"/>
            </w:tcBorders>
            <w:shd w:val="clear" w:color="000000" w:fill="FFFFFF"/>
            <w:vAlign w:val="center"/>
            <w:hideMark/>
          </w:tcPr>
          <w:p w14:paraId="6A0F4DE6" w14:textId="77777777" w:rsidR="00247CBF" w:rsidRPr="00092ED7" w:rsidRDefault="00247CBF" w:rsidP="00247CBF">
            <w:pPr>
              <w:spacing w:after="0"/>
              <w:jc w:val="right"/>
              <w:rPr>
                <w:sz w:val="20"/>
                <w:szCs w:val="20"/>
                <w:lang w:val="sr-Cyrl-CS"/>
              </w:rPr>
            </w:pPr>
            <w:r w:rsidRPr="00092ED7">
              <w:rPr>
                <w:sz w:val="20"/>
                <w:szCs w:val="20"/>
                <w:lang w:val="sr-Cyrl-CS"/>
              </w:rPr>
              <w:t>5,2</w:t>
            </w:r>
          </w:p>
        </w:tc>
        <w:tc>
          <w:tcPr>
            <w:tcW w:w="1504" w:type="dxa"/>
            <w:gridSpan w:val="4"/>
            <w:tcBorders>
              <w:top w:val="nil"/>
              <w:left w:val="nil"/>
              <w:bottom w:val="dotted" w:sz="4" w:space="0" w:color="auto"/>
              <w:right w:val="double" w:sz="6" w:space="0" w:color="auto"/>
            </w:tcBorders>
            <w:shd w:val="clear" w:color="000000" w:fill="FFFFFF"/>
            <w:vAlign w:val="center"/>
            <w:hideMark/>
          </w:tcPr>
          <w:p w14:paraId="682C5E2C" w14:textId="77777777" w:rsidR="00247CBF" w:rsidRPr="00092ED7" w:rsidRDefault="00247CBF" w:rsidP="00247CBF">
            <w:pPr>
              <w:spacing w:after="0"/>
              <w:jc w:val="right"/>
              <w:rPr>
                <w:sz w:val="20"/>
                <w:szCs w:val="20"/>
                <w:lang w:val="sr-Cyrl-CS"/>
              </w:rPr>
            </w:pPr>
            <w:r w:rsidRPr="00092ED7">
              <w:rPr>
                <w:sz w:val="20"/>
                <w:szCs w:val="20"/>
                <w:lang w:val="sr-Cyrl-CS"/>
              </w:rPr>
              <w:t>5,8</w:t>
            </w:r>
          </w:p>
        </w:tc>
      </w:tr>
      <w:tr w:rsidR="00247CBF" w:rsidRPr="00092ED7" w14:paraId="35BDB9CB" w14:textId="77777777" w:rsidTr="00247CBF">
        <w:trPr>
          <w:gridBefore w:val="1"/>
          <w:wBefore w:w="23" w:type="dxa"/>
          <w:trHeight w:val="480"/>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067FBA5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6. Промене у залихама и нето набавка драгоцености (% БДП-а)</w:t>
            </w:r>
          </w:p>
        </w:tc>
        <w:tc>
          <w:tcPr>
            <w:tcW w:w="1247" w:type="dxa"/>
            <w:gridSpan w:val="2"/>
            <w:tcBorders>
              <w:top w:val="nil"/>
              <w:left w:val="nil"/>
              <w:bottom w:val="dotted" w:sz="4" w:space="0" w:color="auto"/>
              <w:right w:val="single" w:sz="8" w:space="0" w:color="auto"/>
            </w:tcBorders>
            <w:shd w:val="clear" w:color="000000" w:fill="FFFFFF"/>
            <w:vAlign w:val="center"/>
            <w:hideMark/>
          </w:tcPr>
          <w:p w14:paraId="6D1B4D1A" w14:textId="77777777" w:rsidR="00247CBF" w:rsidRPr="00092ED7" w:rsidRDefault="00247CBF" w:rsidP="00247CBF">
            <w:pPr>
              <w:spacing w:after="0"/>
              <w:jc w:val="center"/>
              <w:rPr>
                <w:sz w:val="20"/>
                <w:szCs w:val="20"/>
                <w:lang w:val="sr-Cyrl-CS"/>
              </w:rPr>
            </w:pPr>
            <w:r w:rsidRPr="00092ED7">
              <w:rPr>
                <w:sz w:val="20"/>
                <w:szCs w:val="20"/>
                <w:lang w:val="sr-Cyrl-CS"/>
              </w:rPr>
              <w:t>P52+P53</w:t>
            </w:r>
          </w:p>
        </w:tc>
        <w:tc>
          <w:tcPr>
            <w:tcW w:w="1446" w:type="dxa"/>
            <w:gridSpan w:val="3"/>
            <w:tcBorders>
              <w:top w:val="nil"/>
              <w:left w:val="nil"/>
              <w:bottom w:val="dotted" w:sz="4" w:space="0" w:color="auto"/>
              <w:right w:val="single" w:sz="8" w:space="0" w:color="auto"/>
            </w:tcBorders>
            <w:shd w:val="clear" w:color="000000" w:fill="FFFFFF"/>
            <w:vAlign w:val="center"/>
            <w:hideMark/>
          </w:tcPr>
          <w:p w14:paraId="4B69C792" w14:textId="77777777" w:rsidR="00247CBF" w:rsidRPr="00092ED7" w:rsidRDefault="00247CBF" w:rsidP="00247CBF">
            <w:pPr>
              <w:spacing w:after="0"/>
              <w:jc w:val="right"/>
              <w:rPr>
                <w:sz w:val="20"/>
                <w:szCs w:val="20"/>
                <w:lang w:val="sr-Cyrl-CS"/>
              </w:rPr>
            </w:pPr>
            <w:r w:rsidRPr="00092ED7">
              <w:rPr>
                <w:sz w:val="20"/>
                <w:szCs w:val="20"/>
                <w:lang w:val="sr-Cyrl-CS"/>
              </w:rPr>
              <w:t>1,0</w:t>
            </w:r>
          </w:p>
        </w:tc>
        <w:tc>
          <w:tcPr>
            <w:tcW w:w="1501" w:type="dxa"/>
            <w:gridSpan w:val="5"/>
            <w:tcBorders>
              <w:top w:val="nil"/>
              <w:left w:val="nil"/>
              <w:bottom w:val="dotted" w:sz="4" w:space="0" w:color="auto"/>
              <w:right w:val="dotted" w:sz="4" w:space="0" w:color="auto"/>
            </w:tcBorders>
            <w:shd w:val="clear" w:color="000000" w:fill="FFFFFF"/>
            <w:vAlign w:val="center"/>
            <w:hideMark/>
          </w:tcPr>
          <w:p w14:paraId="3419FFE3" w14:textId="77777777" w:rsidR="00247CBF" w:rsidRPr="00092ED7" w:rsidRDefault="00247CBF" w:rsidP="00247CBF">
            <w:pPr>
              <w:spacing w:after="0"/>
              <w:jc w:val="right"/>
              <w:rPr>
                <w:sz w:val="20"/>
                <w:szCs w:val="20"/>
                <w:lang w:val="sr-Cyrl-CS"/>
              </w:rPr>
            </w:pPr>
            <w:r w:rsidRPr="00092ED7">
              <w:rPr>
                <w:sz w:val="20"/>
                <w:szCs w:val="20"/>
                <w:lang w:val="sr-Cyrl-CS"/>
              </w:rPr>
              <w:t>2,3</w:t>
            </w:r>
          </w:p>
        </w:tc>
        <w:tc>
          <w:tcPr>
            <w:tcW w:w="1504" w:type="dxa"/>
            <w:gridSpan w:val="4"/>
            <w:tcBorders>
              <w:top w:val="nil"/>
              <w:left w:val="nil"/>
              <w:bottom w:val="dotted" w:sz="4" w:space="0" w:color="auto"/>
              <w:right w:val="dotted" w:sz="4" w:space="0" w:color="auto"/>
            </w:tcBorders>
            <w:shd w:val="clear" w:color="auto" w:fill="auto"/>
            <w:vAlign w:val="center"/>
            <w:hideMark/>
          </w:tcPr>
          <w:p w14:paraId="647A64C1" w14:textId="77777777" w:rsidR="00247CBF" w:rsidRPr="00092ED7" w:rsidRDefault="00247CBF" w:rsidP="00247CBF">
            <w:pPr>
              <w:spacing w:after="0"/>
              <w:jc w:val="right"/>
              <w:rPr>
                <w:sz w:val="20"/>
                <w:szCs w:val="20"/>
                <w:lang w:val="sr-Cyrl-CS"/>
              </w:rPr>
            </w:pPr>
            <w:r w:rsidRPr="00092ED7">
              <w:rPr>
                <w:sz w:val="20"/>
                <w:szCs w:val="20"/>
                <w:lang w:val="sr-Cyrl-CS"/>
              </w:rPr>
              <w:t>3,7</w:t>
            </w:r>
          </w:p>
        </w:tc>
        <w:tc>
          <w:tcPr>
            <w:tcW w:w="1501" w:type="dxa"/>
            <w:gridSpan w:val="4"/>
            <w:tcBorders>
              <w:top w:val="nil"/>
              <w:left w:val="nil"/>
              <w:bottom w:val="dotted" w:sz="4" w:space="0" w:color="auto"/>
              <w:right w:val="dotted" w:sz="4" w:space="0" w:color="auto"/>
            </w:tcBorders>
            <w:shd w:val="clear" w:color="auto" w:fill="auto"/>
            <w:vAlign w:val="center"/>
            <w:hideMark/>
          </w:tcPr>
          <w:p w14:paraId="46783048" w14:textId="77777777" w:rsidR="00247CBF" w:rsidRPr="00092ED7" w:rsidRDefault="00247CBF" w:rsidP="00247CBF">
            <w:pPr>
              <w:spacing w:after="0"/>
              <w:jc w:val="right"/>
              <w:rPr>
                <w:sz w:val="20"/>
                <w:szCs w:val="20"/>
                <w:lang w:val="sr-Cyrl-CS"/>
              </w:rPr>
            </w:pPr>
            <w:r w:rsidRPr="00092ED7">
              <w:rPr>
                <w:sz w:val="20"/>
                <w:szCs w:val="20"/>
                <w:lang w:val="sr-Cyrl-CS"/>
              </w:rPr>
              <w:t>3,9</w:t>
            </w:r>
          </w:p>
        </w:tc>
        <w:tc>
          <w:tcPr>
            <w:tcW w:w="1504" w:type="dxa"/>
            <w:gridSpan w:val="6"/>
            <w:tcBorders>
              <w:top w:val="nil"/>
              <w:left w:val="nil"/>
              <w:bottom w:val="dotted" w:sz="4" w:space="0" w:color="auto"/>
              <w:right w:val="dotted" w:sz="4" w:space="0" w:color="auto"/>
            </w:tcBorders>
            <w:shd w:val="clear" w:color="000000" w:fill="FFFFFF"/>
            <w:vAlign w:val="center"/>
            <w:hideMark/>
          </w:tcPr>
          <w:p w14:paraId="0BE110C7" w14:textId="77777777" w:rsidR="00247CBF" w:rsidRPr="00092ED7" w:rsidRDefault="00247CBF" w:rsidP="00247CBF">
            <w:pPr>
              <w:spacing w:after="0"/>
              <w:jc w:val="right"/>
              <w:rPr>
                <w:sz w:val="20"/>
                <w:szCs w:val="20"/>
                <w:lang w:val="sr-Cyrl-CS"/>
              </w:rPr>
            </w:pPr>
            <w:r w:rsidRPr="00092ED7">
              <w:rPr>
                <w:sz w:val="20"/>
                <w:szCs w:val="20"/>
                <w:lang w:val="sr-Cyrl-CS"/>
              </w:rPr>
              <w:t>3,4</w:t>
            </w:r>
          </w:p>
        </w:tc>
        <w:tc>
          <w:tcPr>
            <w:tcW w:w="1504" w:type="dxa"/>
            <w:gridSpan w:val="4"/>
            <w:tcBorders>
              <w:top w:val="nil"/>
              <w:left w:val="nil"/>
              <w:bottom w:val="dotted" w:sz="4" w:space="0" w:color="auto"/>
              <w:right w:val="double" w:sz="6" w:space="0" w:color="auto"/>
            </w:tcBorders>
            <w:shd w:val="clear" w:color="000000" w:fill="FFFFFF"/>
            <w:vAlign w:val="center"/>
            <w:hideMark/>
          </w:tcPr>
          <w:p w14:paraId="544D54DE" w14:textId="77777777" w:rsidR="00247CBF" w:rsidRPr="00092ED7" w:rsidRDefault="00247CBF" w:rsidP="00247CBF">
            <w:pPr>
              <w:spacing w:after="0"/>
              <w:jc w:val="right"/>
              <w:rPr>
                <w:sz w:val="20"/>
                <w:szCs w:val="20"/>
                <w:lang w:val="sr-Cyrl-CS"/>
              </w:rPr>
            </w:pPr>
            <w:r w:rsidRPr="00092ED7">
              <w:rPr>
                <w:sz w:val="20"/>
                <w:szCs w:val="20"/>
                <w:lang w:val="sr-Cyrl-CS"/>
              </w:rPr>
              <w:t>3,1</w:t>
            </w:r>
          </w:p>
        </w:tc>
      </w:tr>
      <w:tr w:rsidR="00247CBF" w:rsidRPr="00092ED7" w14:paraId="42554B90" w14:textId="77777777" w:rsidTr="00247CBF">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4A8D5ED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7. Извоз робе и услуга</w:t>
            </w:r>
          </w:p>
        </w:tc>
        <w:tc>
          <w:tcPr>
            <w:tcW w:w="1247" w:type="dxa"/>
            <w:gridSpan w:val="2"/>
            <w:tcBorders>
              <w:top w:val="nil"/>
              <w:left w:val="nil"/>
              <w:bottom w:val="dotted" w:sz="4" w:space="0" w:color="auto"/>
              <w:right w:val="single" w:sz="8" w:space="0" w:color="auto"/>
            </w:tcBorders>
            <w:shd w:val="clear" w:color="000000" w:fill="FFFFFF"/>
            <w:vAlign w:val="center"/>
            <w:hideMark/>
          </w:tcPr>
          <w:p w14:paraId="2C7D0E04" w14:textId="77777777" w:rsidR="00247CBF" w:rsidRPr="00092ED7" w:rsidRDefault="00247CBF" w:rsidP="00247CBF">
            <w:pPr>
              <w:spacing w:after="0"/>
              <w:jc w:val="center"/>
              <w:rPr>
                <w:sz w:val="20"/>
                <w:szCs w:val="20"/>
                <w:lang w:val="sr-Cyrl-CS"/>
              </w:rPr>
            </w:pPr>
            <w:r w:rsidRPr="00092ED7">
              <w:rPr>
                <w:sz w:val="20"/>
                <w:szCs w:val="20"/>
                <w:lang w:val="sr-Cyrl-CS"/>
              </w:rPr>
              <w:t>P6</w:t>
            </w:r>
          </w:p>
        </w:tc>
        <w:tc>
          <w:tcPr>
            <w:tcW w:w="1446" w:type="dxa"/>
            <w:gridSpan w:val="3"/>
            <w:tcBorders>
              <w:top w:val="nil"/>
              <w:left w:val="nil"/>
              <w:bottom w:val="dotted" w:sz="4" w:space="0" w:color="auto"/>
              <w:right w:val="single" w:sz="8" w:space="0" w:color="auto"/>
            </w:tcBorders>
            <w:shd w:val="clear" w:color="000000" w:fill="FFFFFF"/>
            <w:vAlign w:val="center"/>
            <w:hideMark/>
          </w:tcPr>
          <w:p w14:paraId="548F7F1A" w14:textId="77777777" w:rsidR="00247CBF" w:rsidRPr="00092ED7" w:rsidRDefault="00247CBF" w:rsidP="00247CBF">
            <w:pPr>
              <w:spacing w:after="0"/>
              <w:jc w:val="right"/>
              <w:rPr>
                <w:sz w:val="20"/>
                <w:szCs w:val="20"/>
                <w:lang w:val="sr-Cyrl-CS"/>
              </w:rPr>
            </w:pPr>
            <w:r w:rsidRPr="00092ED7">
              <w:rPr>
                <w:sz w:val="20"/>
                <w:szCs w:val="20"/>
                <w:lang w:val="sr-Cyrl-CS"/>
              </w:rPr>
              <w:t>26,6</w:t>
            </w:r>
          </w:p>
        </w:tc>
        <w:tc>
          <w:tcPr>
            <w:tcW w:w="1501" w:type="dxa"/>
            <w:gridSpan w:val="5"/>
            <w:tcBorders>
              <w:top w:val="nil"/>
              <w:left w:val="nil"/>
              <w:bottom w:val="dotted" w:sz="4" w:space="0" w:color="auto"/>
              <w:right w:val="dotted" w:sz="4" w:space="0" w:color="auto"/>
            </w:tcBorders>
            <w:shd w:val="clear" w:color="000000" w:fill="FFFFFF"/>
            <w:vAlign w:val="center"/>
            <w:hideMark/>
          </w:tcPr>
          <w:p w14:paraId="200BE582" w14:textId="77777777" w:rsidR="00247CBF" w:rsidRPr="00092ED7" w:rsidRDefault="00247CBF" w:rsidP="00247CBF">
            <w:pPr>
              <w:spacing w:after="0"/>
              <w:jc w:val="right"/>
              <w:rPr>
                <w:sz w:val="20"/>
                <w:szCs w:val="20"/>
                <w:lang w:val="sr-Cyrl-CS"/>
              </w:rPr>
            </w:pPr>
            <w:r w:rsidRPr="00092ED7">
              <w:rPr>
                <w:sz w:val="20"/>
                <w:szCs w:val="20"/>
                <w:lang w:val="sr-Cyrl-CS"/>
              </w:rPr>
              <w:t>19,5</w:t>
            </w:r>
          </w:p>
        </w:tc>
        <w:tc>
          <w:tcPr>
            <w:tcW w:w="1504" w:type="dxa"/>
            <w:gridSpan w:val="4"/>
            <w:tcBorders>
              <w:top w:val="nil"/>
              <w:left w:val="nil"/>
              <w:bottom w:val="dotted" w:sz="4" w:space="0" w:color="auto"/>
              <w:right w:val="dotted" w:sz="4" w:space="0" w:color="auto"/>
            </w:tcBorders>
            <w:shd w:val="clear" w:color="000000" w:fill="FFFFFF"/>
            <w:vAlign w:val="center"/>
            <w:hideMark/>
          </w:tcPr>
          <w:p w14:paraId="037076A2" w14:textId="77777777" w:rsidR="00247CBF" w:rsidRPr="00092ED7" w:rsidRDefault="00247CBF" w:rsidP="00247CBF">
            <w:pPr>
              <w:spacing w:after="0"/>
              <w:jc w:val="right"/>
              <w:rPr>
                <w:sz w:val="20"/>
                <w:szCs w:val="20"/>
                <w:lang w:val="sr-Cyrl-CS"/>
              </w:rPr>
            </w:pPr>
            <w:r w:rsidRPr="00092ED7">
              <w:rPr>
                <w:sz w:val="20"/>
                <w:szCs w:val="20"/>
                <w:lang w:val="sr-Cyrl-CS"/>
              </w:rPr>
              <w:t>12,3</w:t>
            </w:r>
          </w:p>
        </w:tc>
        <w:tc>
          <w:tcPr>
            <w:tcW w:w="1501" w:type="dxa"/>
            <w:gridSpan w:val="4"/>
            <w:tcBorders>
              <w:top w:val="nil"/>
              <w:left w:val="nil"/>
              <w:bottom w:val="dotted" w:sz="4" w:space="0" w:color="auto"/>
              <w:right w:val="dotted" w:sz="4" w:space="0" w:color="auto"/>
            </w:tcBorders>
            <w:shd w:val="clear" w:color="000000" w:fill="FFFFFF"/>
            <w:vAlign w:val="center"/>
            <w:hideMark/>
          </w:tcPr>
          <w:p w14:paraId="0C83E67E" w14:textId="77777777" w:rsidR="00247CBF" w:rsidRPr="00092ED7" w:rsidRDefault="00247CBF" w:rsidP="00247CBF">
            <w:pPr>
              <w:spacing w:after="0"/>
              <w:jc w:val="right"/>
              <w:rPr>
                <w:sz w:val="20"/>
                <w:szCs w:val="20"/>
                <w:lang w:val="sr-Cyrl-CS"/>
              </w:rPr>
            </w:pPr>
            <w:r w:rsidRPr="00092ED7">
              <w:rPr>
                <w:sz w:val="20"/>
                <w:szCs w:val="20"/>
                <w:lang w:val="sr-Cyrl-CS"/>
              </w:rPr>
              <w:t>4,9</w:t>
            </w:r>
          </w:p>
        </w:tc>
        <w:tc>
          <w:tcPr>
            <w:tcW w:w="1504" w:type="dxa"/>
            <w:gridSpan w:val="6"/>
            <w:tcBorders>
              <w:top w:val="nil"/>
              <w:left w:val="nil"/>
              <w:bottom w:val="dotted" w:sz="4" w:space="0" w:color="auto"/>
              <w:right w:val="dotted" w:sz="4" w:space="0" w:color="auto"/>
            </w:tcBorders>
            <w:shd w:val="clear" w:color="000000" w:fill="FFFFFF"/>
            <w:vAlign w:val="center"/>
            <w:hideMark/>
          </w:tcPr>
          <w:p w14:paraId="3B2E27BF" w14:textId="77777777" w:rsidR="00247CBF" w:rsidRPr="00092ED7" w:rsidRDefault="00247CBF" w:rsidP="00247CBF">
            <w:pPr>
              <w:spacing w:after="0"/>
              <w:jc w:val="right"/>
              <w:rPr>
                <w:sz w:val="20"/>
                <w:szCs w:val="20"/>
                <w:lang w:val="sr-Cyrl-CS"/>
              </w:rPr>
            </w:pPr>
            <w:r w:rsidRPr="00092ED7">
              <w:rPr>
                <w:sz w:val="20"/>
                <w:szCs w:val="20"/>
                <w:lang w:val="sr-Cyrl-CS"/>
              </w:rPr>
              <w:t>8,8</w:t>
            </w:r>
          </w:p>
        </w:tc>
        <w:tc>
          <w:tcPr>
            <w:tcW w:w="1504" w:type="dxa"/>
            <w:gridSpan w:val="4"/>
            <w:tcBorders>
              <w:top w:val="nil"/>
              <w:left w:val="nil"/>
              <w:bottom w:val="dotted" w:sz="4" w:space="0" w:color="auto"/>
              <w:right w:val="double" w:sz="6" w:space="0" w:color="auto"/>
            </w:tcBorders>
            <w:shd w:val="clear" w:color="000000" w:fill="FFFFFF"/>
            <w:vAlign w:val="center"/>
            <w:hideMark/>
          </w:tcPr>
          <w:p w14:paraId="74B79829" w14:textId="77777777" w:rsidR="00247CBF" w:rsidRPr="00092ED7" w:rsidRDefault="00247CBF" w:rsidP="00247CBF">
            <w:pPr>
              <w:spacing w:after="0"/>
              <w:jc w:val="right"/>
              <w:rPr>
                <w:sz w:val="20"/>
                <w:szCs w:val="20"/>
                <w:lang w:val="sr-Cyrl-CS"/>
              </w:rPr>
            </w:pPr>
            <w:r w:rsidRPr="00092ED7">
              <w:rPr>
                <w:sz w:val="20"/>
                <w:szCs w:val="20"/>
                <w:lang w:val="sr-Cyrl-CS"/>
              </w:rPr>
              <w:t>10,6</w:t>
            </w:r>
          </w:p>
        </w:tc>
      </w:tr>
      <w:tr w:rsidR="00247CBF" w:rsidRPr="00092ED7" w14:paraId="765AA06E" w14:textId="77777777" w:rsidTr="00247CBF">
        <w:trPr>
          <w:gridBefore w:val="1"/>
          <w:wBefore w:w="23" w:type="dxa"/>
          <w:trHeight w:val="319"/>
        </w:trPr>
        <w:tc>
          <w:tcPr>
            <w:tcW w:w="4372" w:type="dxa"/>
            <w:tcBorders>
              <w:top w:val="nil"/>
              <w:left w:val="double" w:sz="6" w:space="0" w:color="auto"/>
              <w:bottom w:val="single" w:sz="8" w:space="0" w:color="auto"/>
              <w:right w:val="dotted" w:sz="4" w:space="0" w:color="auto"/>
            </w:tcBorders>
            <w:shd w:val="clear" w:color="000000" w:fill="FFFFFF"/>
            <w:vAlign w:val="bottom"/>
            <w:hideMark/>
          </w:tcPr>
          <w:p w14:paraId="5D40B81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8. Увоз робе и услуга</w:t>
            </w:r>
          </w:p>
        </w:tc>
        <w:tc>
          <w:tcPr>
            <w:tcW w:w="1247" w:type="dxa"/>
            <w:gridSpan w:val="2"/>
            <w:tcBorders>
              <w:top w:val="nil"/>
              <w:left w:val="nil"/>
              <w:bottom w:val="single" w:sz="8" w:space="0" w:color="auto"/>
              <w:right w:val="single" w:sz="8" w:space="0" w:color="auto"/>
            </w:tcBorders>
            <w:shd w:val="clear" w:color="000000" w:fill="FFFFFF"/>
            <w:vAlign w:val="center"/>
            <w:hideMark/>
          </w:tcPr>
          <w:p w14:paraId="16E32FF6" w14:textId="77777777" w:rsidR="00247CBF" w:rsidRPr="00092ED7" w:rsidRDefault="00247CBF" w:rsidP="00247CBF">
            <w:pPr>
              <w:spacing w:after="0"/>
              <w:jc w:val="center"/>
              <w:rPr>
                <w:sz w:val="20"/>
                <w:szCs w:val="20"/>
                <w:lang w:val="sr-Cyrl-CS"/>
              </w:rPr>
            </w:pPr>
            <w:r w:rsidRPr="00092ED7">
              <w:rPr>
                <w:sz w:val="20"/>
                <w:szCs w:val="20"/>
                <w:lang w:val="sr-Cyrl-CS"/>
              </w:rPr>
              <w:t>P7</w:t>
            </w:r>
          </w:p>
        </w:tc>
        <w:tc>
          <w:tcPr>
            <w:tcW w:w="1446" w:type="dxa"/>
            <w:gridSpan w:val="3"/>
            <w:tcBorders>
              <w:top w:val="nil"/>
              <w:left w:val="nil"/>
              <w:bottom w:val="single" w:sz="8" w:space="0" w:color="auto"/>
              <w:right w:val="single" w:sz="8" w:space="0" w:color="auto"/>
            </w:tcBorders>
            <w:shd w:val="clear" w:color="000000" w:fill="FFFFFF"/>
            <w:vAlign w:val="center"/>
            <w:hideMark/>
          </w:tcPr>
          <w:p w14:paraId="24B3AF89" w14:textId="77777777" w:rsidR="00247CBF" w:rsidRPr="00092ED7" w:rsidRDefault="00247CBF" w:rsidP="00247CBF">
            <w:pPr>
              <w:spacing w:after="0"/>
              <w:jc w:val="right"/>
              <w:rPr>
                <w:sz w:val="20"/>
                <w:szCs w:val="20"/>
                <w:lang w:val="sr-Cyrl-CS"/>
              </w:rPr>
            </w:pPr>
            <w:r w:rsidRPr="00092ED7">
              <w:rPr>
                <w:sz w:val="20"/>
                <w:szCs w:val="20"/>
                <w:lang w:val="sr-Cyrl-CS"/>
              </w:rPr>
              <w:t>31,7</w:t>
            </w:r>
          </w:p>
        </w:tc>
        <w:tc>
          <w:tcPr>
            <w:tcW w:w="1501" w:type="dxa"/>
            <w:gridSpan w:val="5"/>
            <w:tcBorders>
              <w:top w:val="nil"/>
              <w:left w:val="nil"/>
              <w:bottom w:val="single" w:sz="8" w:space="0" w:color="auto"/>
              <w:right w:val="dotted" w:sz="4" w:space="0" w:color="auto"/>
            </w:tcBorders>
            <w:shd w:val="clear" w:color="000000" w:fill="FFFFFF"/>
            <w:vAlign w:val="center"/>
            <w:hideMark/>
          </w:tcPr>
          <w:p w14:paraId="1C61D2F8" w14:textId="77777777" w:rsidR="00247CBF" w:rsidRPr="00092ED7" w:rsidRDefault="00247CBF" w:rsidP="00247CBF">
            <w:pPr>
              <w:spacing w:after="0"/>
              <w:jc w:val="right"/>
              <w:rPr>
                <w:sz w:val="20"/>
                <w:szCs w:val="20"/>
                <w:lang w:val="sr-Cyrl-CS"/>
              </w:rPr>
            </w:pPr>
            <w:r w:rsidRPr="00092ED7">
              <w:rPr>
                <w:sz w:val="20"/>
                <w:szCs w:val="20"/>
                <w:lang w:val="sr-Cyrl-CS"/>
              </w:rPr>
              <w:t>17,7</w:t>
            </w:r>
          </w:p>
        </w:tc>
        <w:tc>
          <w:tcPr>
            <w:tcW w:w="1504" w:type="dxa"/>
            <w:gridSpan w:val="4"/>
            <w:tcBorders>
              <w:top w:val="nil"/>
              <w:left w:val="nil"/>
              <w:bottom w:val="single" w:sz="8" w:space="0" w:color="auto"/>
              <w:right w:val="dotted" w:sz="4" w:space="0" w:color="auto"/>
            </w:tcBorders>
            <w:shd w:val="clear" w:color="000000" w:fill="FFFFFF"/>
            <w:vAlign w:val="center"/>
            <w:hideMark/>
          </w:tcPr>
          <w:p w14:paraId="6FE73069" w14:textId="77777777" w:rsidR="00247CBF" w:rsidRPr="00092ED7" w:rsidRDefault="00247CBF" w:rsidP="00247CBF">
            <w:pPr>
              <w:spacing w:after="0"/>
              <w:jc w:val="right"/>
              <w:rPr>
                <w:sz w:val="20"/>
                <w:szCs w:val="20"/>
                <w:lang w:val="sr-Cyrl-CS"/>
              </w:rPr>
            </w:pPr>
            <w:r w:rsidRPr="00092ED7">
              <w:rPr>
                <w:sz w:val="20"/>
                <w:szCs w:val="20"/>
                <w:lang w:val="sr-Cyrl-CS"/>
              </w:rPr>
              <w:t>12,8</w:t>
            </w:r>
          </w:p>
        </w:tc>
        <w:tc>
          <w:tcPr>
            <w:tcW w:w="1501" w:type="dxa"/>
            <w:gridSpan w:val="4"/>
            <w:tcBorders>
              <w:top w:val="nil"/>
              <w:left w:val="nil"/>
              <w:bottom w:val="single" w:sz="8" w:space="0" w:color="auto"/>
              <w:right w:val="dotted" w:sz="4" w:space="0" w:color="auto"/>
            </w:tcBorders>
            <w:shd w:val="clear" w:color="000000" w:fill="FFFFFF"/>
            <w:vAlign w:val="center"/>
            <w:hideMark/>
          </w:tcPr>
          <w:p w14:paraId="13390E74" w14:textId="77777777" w:rsidR="00247CBF" w:rsidRPr="00092ED7" w:rsidRDefault="00247CBF" w:rsidP="00247CBF">
            <w:pPr>
              <w:spacing w:after="0"/>
              <w:jc w:val="right"/>
              <w:rPr>
                <w:sz w:val="20"/>
                <w:szCs w:val="20"/>
                <w:lang w:val="sr-Cyrl-CS"/>
              </w:rPr>
            </w:pPr>
            <w:r w:rsidRPr="00092ED7">
              <w:rPr>
                <w:sz w:val="20"/>
                <w:szCs w:val="20"/>
                <w:lang w:val="sr-Cyrl-CS"/>
              </w:rPr>
              <w:t>4,0</w:t>
            </w:r>
          </w:p>
        </w:tc>
        <w:tc>
          <w:tcPr>
            <w:tcW w:w="1504" w:type="dxa"/>
            <w:gridSpan w:val="6"/>
            <w:tcBorders>
              <w:top w:val="nil"/>
              <w:left w:val="nil"/>
              <w:bottom w:val="single" w:sz="8" w:space="0" w:color="auto"/>
              <w:right w:val="dotted" w:sz="4" w:space="0" w:color="auto"/>
            </w:tcBorders>
            <w:shd w:val="clear" w:color="000000" w:fill="FFFFFF"/>
            <w:vAlign w:val="center"/>
            <w:hideMark/>
          </w:tcPr>
          <w:p w14:paraId="0EEC379C" w14:textId="77777777" w:rsidR="00247CBF" w:rsidRPr="00092ED7" w:rsidRDefault="00247CBF" w:rsidP="00247CBF">
            <w:pPr>
              <w:spacing w:after="0"/>
              <w:jc w:val="right"/>
              <w:rPr>
                <w:sz w:val="20"/>
                <w:szCs w:val="20"/>
                <w:lang w:val="sr-Cyrl-CS"/>
              </w:rPr>
            </w:pPr>
            <w:r w:rsidRPr="00092ED7">
              <w:rPr>
                <w:sz w:val="20"/>
                <w:szCs w:val="20"/>
                <w:lang w:val="sr-Cyrl-CS"/>
              </w:rPr>
              <w:t>6,8</w:t>
            </w:r>
          </w:p>
        </w:tc>
        <w:tc>
          <w:tcPr>
            <w:tcW w:w="1504" w:type="dxa"/>
            <w:gridSpan w:val="4"/>
            <w:tcBorders>
              <w:top w:val="nil"/>
              <w:left w:val="nil"/>
              <w:bottom w:val="single" w:sz="8" w:space="0" w:color="auto"/>
              <w:right w:val="double" w:sz="6" w:space="0" w:color="auto"/>
            </w:tcBorders>
            <w:shd w:val="clear" w:color="000000" w:fill="FFFFFF"/>
            <w:vAlign w:val="center"/>
            <w:hideMark/>
          </w:tcPr>
          <w:p w14:paraId="171E0962" w14:textId="77777777" w:rsidR="00247CBF" w:rsidRPr="00092ED7" w:rsidRDefault="00247CBF" w:rsidP="00247CBF">
            <w:pPr>
              <w:spacing w:after="0"/>
              <w:jc w:val="right"/>
              <w:rPr>
                <w:sz w:val="20"/>
                <w:szCs w:val="20"/>
                <w:lang w:val="sr-Cyrl-CS"/>
              </w:rPr>
            </w:pPr>
            <w:r w:rsidRPr="00092ED7">
              <w:rPr>
                <w:sz w:val="20"/>
                <w:szCs w:val="20"/>
                <w:lang w:val="sr-Cyrl-CS"/>
              </w:rPr>
              <w:t>8,8</w:t>
            </w:r>
          </w:p>
        </w:tc>
      </w:tr>
      <w:tr w:rsidR="00247CBF" w:rsidRPr="00092ED7" w14:paraId="0BF717BC" w14:textId="77777777" w:rsidTr="00247CBF">
        <w:trPr>
          <w:gridBefore w:val="1"/>
          <w:wBefore w:w="23" w:type="dxa"/>
          <w:trHeight w:val="319"/>
        </w:trPr>
        <w:tc>
          <w:tcPr>
            <w:tcW w:w="14579" w:type="dxa"/>
            <w:gridSpan w:val="29"/>
            <w:tcBorders>
              <w:top w:val="single" w:sz="8" w:space="0" w:color="auto"/>
              <w:left w:val="double" w:sz="6" w:space="0" w:color="auto"/>
              <w:bottom w:val="single" w:sz="8" w:space="0" w:color="auto"/>
              <w:right w:val="double" w:sz="6" w:space="0" w:color="000000"/>
            </w:tcBorders>
            <w:shd w:val="clear" w:color="000000" w:fill="FFFFFF"/>
            <w:vAlign w:val="bottom"/>
            <w:hideMark/>
          </w:tcPr>
          <w:p w14:paraId="0DC9A622"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Допринос реалном расту БДП</w:t>
            </w:r>
          </w:p>
        </w:tc>
      </w:tr>
      <w:tr w:rsidR="00247CBF" w:rsidRPr="00092ED7" w14:paraId="730FBA4F" w14:textId="77777777" w:rsidTr="00247CBF">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21562F5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9. Финална домаћа тражња</w:t>
            </w:r>
          </w:p>
        </w:tc>
        <w:tc>
          <w:tcPr>
            <w:tcW w:w="1247" w:type="dxa"/>
            <w:gridSpan w:val="2"/>
            <w:tcBorders>
              <w:top w:val="nil"/>
              <w:left w:val="nil"/>
              <w:bottom w:val="dotted" w:sz="4" w:space="0" w:color="auto"/>
              <w:right w:val="single" w:sz="8" w:space="0" w:color="auto"/>
            </w:tcBorders>
            <w:shd w:val="clear" w:color="000000" w:fill="FFFFFF"/>
            <w:vAlign w:val="center"/>
            <w:hideMark/>
          </w:tcPr>
          <w:p w14:paraId="0261C364" w14:textId="77777777" w:rsidR="00247CBF" w:rsidRPr="00092ED7" w:rsidRDefault="00247CBF" w:rsidP="00247CBF">
            <w:pPr>
              <w:spacing w:after="0"/>
              <w:jc w:val="center"/>
              <w:rPr>
                <w:sz w:val="20"/>
                <w:szCs w:val="20"/>
                <w:lang w:val="sr-Cyrl-CS"/>
              </w:rPr>
            </w:pPr>
          </w:p>
        </w:tc>
        <w:tc>
          <w:tcPr>
            <w:tcW w:w="1446" w:type="dxa"/>
            <w:gridSpan w:val="3"/>
            <w:tcBorders>
              <w:top w:val="nil"/>
              <w:left w:val="nil"/>
              <w:bottom w:val="dotted" w:sz="4" w:space="0" w:color="auto"/>
              <w:right w:val="single" w:sz="8" w:space="0" w:color="auto"/>
            </w:tcBorders>
            <w:shd w:val="clear" w:color="000000" w:fill="FFFFFF"/>
            <w:vAlign w:val="center"/>
            <w:hideMark/>
          </w:tcPr>
          <w:p w14:paraId="7B91970F" w14:textId="77777777" w:rsidR="00247CBF" w:rsidRPr="00092ED7" w:rsidRDefault="00247CBF" w:rsidP="00247CBF">
            <w:pPr>
              <w:spacing w:after="0"/>
              <w:jc w:val="right"/>
              <w:rPr>
                <w:sz w:val="20"/>
                <w:szCs w:val="20"/>
                <w:lang w:val="sr-Cyrl-CS"/>
              </w:rPr>
            </w:pPr>
            <w:r w:rsidRPr="00092ED7">
              <w:rPr>
                <w:sz w:val="20"/>
                <w:szCs w:val="20"/>
                <w:lang w:val="sr-Cyrl-CS"/>
              </w:rPr>
              <w:t>49,0</w:t>
            </w:r>
          </w:p>
        </w:tc>
        <w:tc>
          <w:tcPr>
            <w:tcW w:w="1501" w:type="dxa"/>
            <w:gridSpan w:val="5"/>
            <w:tcBorders>
              <w:top w:val="nil"/>
              <w:left w:val="nil"/>
              <w:bottom w:val="dotted" w:sz="4" w:space="0" w:color="auto"/>
              <w:right w:val="dotted" w:sz="4" w:space="0" w:color="auto"/>
            </w:tcBorders>
            <w:shd w:val="clear" w:color="000000" w:fill="FFFFFF"/>
            <w:vAlign w:val="center"/>
            <w:hideMark/>
          </w:tcPr>
          <w:p w14:paraId="1B5D2273" w14:textId="77777777" w:rsidR="00247CBF" w:rsidRPr="00092ED7" w:rsidRDefault="00247CBF" w:rsidP="00247CBF">
            <w:pPr>
              <w:spacing w:after="0"/>
              <w:jc w:val="right"/>
              <w:rPr>
                <w:sz w:val="20"/>
                <w:szCs w:val="20"/>
                <w:lang w:val="sr-Cyrl-CS"/>
              </w:rPr>
            </w:pPr>
            <w:r w:rsidRPr="00092ED7">
              <w:rPr>
                <w:sz w:val="20"/>
                <w:szCs w:val="20"/>
                <w:lang w:val="sr-Cyrl-CS"/>
              </w:rPr>
              <w:t>9,6</w:t>
            </w:r>
          </w:p>
        </w:tc>
        <w:tc>
          <w:tcPr>
            <w:tcW w:w="1504" w:type="dxa"/>
            <w:gridSpan w:val="4"/>
            <w:tcBorders>
              <w:top w:val="nil"/>
              <w:left w:val="nil"/>
              <w:bottom w:val="dotted" w:sz="4" w:space="0" w:color="auto"/>
              <w:right w:val="dotted" w:sz="4" w:space="0" w:color="auto"/>
            </w:tcBorders>
            <w:shd w:val="clear" w:color="000000" w:fill="FFFFFF"/>
            <w:vAlign w:val="center"/>
            <w:hideMark/>
          </w:tcPr>
          <w:p w14:paraId="5EFF53E4" w14:textId="77777777" w:rsidR="00247CBF" w:rsidRPr="00092ED7" w:rsidRDefault="00247CBF" w:rsidP="00247CBF">
            <w:pPr>
              <w:spacing w:after="0"/>
              <w:jc w:val="right"/>
              <w:rPr>
                <w:sz w:val="20"/>
                <w:szCs w:val="20"/>
                <w:lang w:val="sr-Cyrl-CS"/>
              </w:rPr>
            </w:pPr>
            <w:r w:rsidRPr="00092ED7">
              <w:rPr>
                <w:sz w:val="20"/>
                <w:szCs w:val="20"/>
                <w:lang w:val="sr-Cyrl-CS"/>
              </w:rPr>
              <w:t>2,8</w:t>
            </w:r>
          </w:p>
        </w:tc>
        <w:tc>
          <w:tcPr>
            <w:tcW w:w="1501" w:type="dxa"/>
            <w:gridSpan w:val="4"/>
            <w:tcBorders>
              <w:top w:val="nil"/>
              <w:left w:val="nil"/>
              <w:bottom w:val="dotted" w:sz="4" w:space="0" w:color="auto"/>
              <w:right w:val="dotted" w:sz="4" w:space="0" w:color="auto"/>
            </w:tcBorders>
            <w:shd w:val="clear" w:color="000000" w:fill="FFFFFF"/>
            <w:vAlign w:val="center"/>
            <w:hideMark/>
          </w:tcPr>
          <w:p w14:paraId="044241ED" w14:textId="77777777" w:rsidR="00247CBF" w:rsidRPr="00092ED7" w:rsidRDefault="00247CBF" w:rsidP="00247CBF">
            <w:pPr>
              <w:spacing w:after="0"/>
              <w:jc w:val="right"/>
              <w:rPr>
                <w:sz w:val="20"/>
                <w:szCs w:val="20"/>
                <w:lang w:val="sr-Cyrl-CS"/>
              </w:rPr>
            </w:pPr>
            <w:r w:rsidRPr="00092ED7">
              <w:rPr>
                <w:sz w:val="20"/>
                <w:szCs w:val="20"/>
                <w:lang w:val="sr-Cyrl-CS"/>
              </w:rPr>
              <w:t>2,0</w:t>
            </w:r>
          </w:p>
        </w:tc>
        <w:tc>
          <w:tcPr>
            <w:tcW w:w="1504" w:type="dxa"/>
            <w:gridSpan w:val="6"/>
            <w:tcBorders>
              <w:top w:val="nil"/>
              <w:left w:val="nil"/>
              <w:bottom w:val="dotted" w:sz="4" w:space="0" w:color="auto"/>
              <w:right w:val="dotted" w:sz="4" w:space="0" w:color="auto"/>
            </w:tcBorders>
            <w:shd w:val="clear" w:color="000000" w:fill="FFFFFF"/>
            <w:vAlign w:val="center"/>
            <w:hideMark/>
          </w:tcPr>
          <w:p w14:paraId="7CE7CA61" w14:textId="77777777" w:rsidR="00247CBF" w:rsidRPr="00092ED7" w:rsidRDefault="00247CBF" w:rsidP="00247CBF">
            <w:pPr>
              <w:spacing w:after="0"/>
              <w:jc w:val="right"/>
              <w:rPr>
                <w:sz w:val="20"/>
                <w:szCs w:val="20"/>
                <w:lang w:val="sr-Cyrl-CS"/>
              </w:rPr>
            </w:pPr>
            <w:r w:rsidRPr="00092ED7">
              <w:rPr>
                <w:sz w:val="20"/>
                <w:szCs w:val="20"/>
                <w:lang w:val="sr-Cyrl-CS"/>
              </w:rPr>
              <w:t>3,4</w:t>
            </w:r>
          </w:p>
        </w:tc>
        <w:tc>
          <w:tcPr>
            <w:tcW w:w="1504" w:type="dxa"/>
            <w:gridSpan w:val="4"/>
            <w:tcBorders>
              <w:top w:val="nil"/>
              <w:left w:val="nil"/>
              <w:bottom w:val="dotted" w:sz="4" w:space="0" w:color="auto"/>
              <w:right w:val="double" w:sz="6" w:space="0" w:color="auto"/>
            </w:tcBorders>
            <w:shd w:val="clear" w:color="000000" w:fill="FFFFFF"/>
            <w:vAlign w:val="center"/>
            <w:hideMark/>
          </w:tcPr>
          <w:p w14:paraId="634BEEA9" w14:textId="77777777" w:rsidR="00247CBF" w:rsidRPr="00092ED7" w:rsidRDefault="00247CBF" w:rsidP="00247CBF">
            <w:pPr>
              <w:spacing w:after="0"/>
              <w:jc w:val="right"/>
              <w:rPr>
                <w:sz w:val="20"/>
                <w:szCs w:val="20"/>
                <w:lang w:val="sr-Cyrl-CS"/>
              </w:rPr>
            </w:pPr>
            <w:r w:rsidRPr="00092ED7">
              <w:rPr>
                <w:sz w:val="20"/>
                <w:szCs w:val="20"/>
                <w:lang w:val="sr-Cyrl-CS"/>
              </w:rPr>
              <w:t>4,0</w:t>
            </w:r>
          </w:p>
        </w:tc>
      </w:tr>
      <w:tr w:rsidR="00247CBF" w:rsidRPr="00092ED7" w14:paraId="2CD2053F" w14:textId="77777777" w:rsidTr="00247CBF">
        <w:trPr>
          <w:gridBefore w:val="1"/>
          <w:wBefore w:w="23" w:type="dxa"/>
          <w:trHeight w:val="477"/>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3D6B5EA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xml:space="preserve">10. Промене у залихама и нето набавка драгоцености </w:t>
            </w:r>
          </w:p>
        </w:tc>
        <w:tc>
          <w:tcPr>
            <w:tcW w:w="1247" w:type="dxa"/>
            <w:gridSpan w:val="2"/>
            <w:tcBorders>
              <w:top w:val="nil"/>
              <w:left w:val="nil"/>
              <w:bottom w:val="dotted" w:sz="4" w:space="0" w:color="auto"/>
              <w:right w:val="single" w:sz="8" w:space="0" w:color="auto"/>
            </w:tcBorders>
            <w:shd w:val="clear" w:color="000000" w:fill="FFFFFF"/>
            <w:vAlign w:val="center"/>
            <w:hideMark/>
          </w:tcPr>
          <w:p w14:paraId="5B1A6975" w14:textId="77777777" w:rsidR="00247CBF" w:rsidRPr="00092ED7" w:rsidRDefault="00247CBF" w:rsidP="00247CBF">
            <w:pPr>
              <w:spacing w:after="0"/>
              <w:jc w:val="center"/>
              <w:rPr>
                <w:sz w:val="20"/>
                <w:szCs w:val="20"/>
                <w:lang w:val="sr-Cyrl-CS"/>
              </w:rPr>
            </w:pPr>
            <w:r w:rsidRPr="00092ED7">
              <w:rPr>
                <w:sz w:val="20"/>
                <w:szCs w:val="20"/>
                <w:lang w:val="sr-Cyrl-CS"/>
              </w:rPr>
              <w:t>P52+P53</w:t>
            </w:r>
          </w:p>
        </w:tc>
        <w:tc>
          <w:tcPr>
            <w:tcW w:w="1446" w:type="dxa"/>
            <w:gridSpan w:val="3"/>
            <w:tcBorders>
              <w:top w:val="nil"/>
              <w:left w:val="nil"/>
              <w:bottom w:val="dotted" w:sz="4" w:space="0" w:color="auto"/>
              <w:right w:val="single" w:sz="8" w:space="0" w:color="auto"/>
            </w:tcBorders>
            <w:shd w:val="clear" w:color="000000" w:fill="FFFFFF"/>
            <w:vAlign w:val="center"/>
            <w:hideMark/>
          </w:tcPr>
          <w:p w14:paraId="1F4C89F8" w14:textId="77777777" w:rsidR="00247CBF" w:rsidRPr="00092ED7" w:rsidRDefault="00247CBF" w:rsidP="00247CBF">
            <w:pPr>
              <w:spacing w:after="0"/>
              <w:jc w:val="right"/>
              <w:rPr>
                <w:sz w:val="20"/>
                <w:szCs w:val="20"/>
                <w:lang w:val="sr-Cyrl-CS"/>
              </w:rPr>
            </w:pPr>
            <w:r w:rsidRPr="00092ED7">
              <w:rPr>
                <w:sz w:val="20"/>
                <w:szCs w:val="20"/>
                <w:lang w:val="sr-Cyrl-CS"/>
              </w:rPr>
              <w:t>1,0</w:t>
            </w:r>
          </w:p>
        </w:tc>
        <w:tc>
          <w:tcPr>
            <w:tcW w:w="1501" w:type="dxa"/>
            <w:gridSpan w:val="5"/>
            <w:tcBorders>
              <w:top w:val="nil"/>
              <w:left w:val="nil"/>
              <w:bottom w:val="dotted" w:sz="4" w:space="0" w:color="auto"/>
              <w:right w:val="dotted" w:sz="4" w:space="0" w:color="auto"/>
            </w:tcBorders>
            <w:shd w:val="clear" w:color="000000" w:fill="FFFFFF"/>
            <w:vAlign w:val="center"/>
            <w:hideMark/>
          </w:tcPr>
          <w:p w14:paraId="5655A81D" w14:textId="77777777" w:rsidR="00247CBF" w:rsidRPr="00092ED7" w:rsidRDefault="00247CBF" w:rsidP="00247CBF">
            <w:pPr>
              <w:spacing w:after="0"/>
              <w:jc w:val="right"/>
              <w:rPr>
                <w:sz w:val="20"/>
                <w:szCs w:val="20"/>
                <w:lang w:val="sr-Cyrl-CS"/>
              </w:rPr>
            </w:pPr>
            <w:r w:rsidRPr="00092ED7">
              <w:rPr>
                <w:sz w:val="20"/>
                <w:szCs w:val="20"/>
                <w:lang w:val="sr-Cyrl-CS"/>
              </w:rPr>
              <w:t>-1,1</w:t>
            </w:r>
          </w:p>
        </w:tc>
        <w:tc>
          <w:tcPr>
            <w:tcW w:w="1504" w:type="dxa"/>
            <w:gridSpan w:val="4"/>
            <w:tcBorders>
              <w:top w:val="nil"/>
              <w:left w:val="nil"/>
              <w:bottom w:val="dotted" w:sz="4" w:space="0" w:color="auto"/>
              <w:right w:val="dotted" w:sz="4" w:space="0" w:color="auto"/>
            </w:tcBorders>
            <w:shd w:val="clear" w:color="000000" w:fill="FFFFFF"/>
            <w:vAlign w:val="center"/>
            <w:hideMark/>
          </w:tcPr>
          <w:p w14:paraId="2F1F4324" w14:textId="77777777" w:rsidR="00247CBF" w:rsidRPr="00092ED7" w:rsidRDefault="00247CBF" w:rsidP="00247CBF">
            <w:pPr>
              <w:spacing w:after="0"/>
              <w:jc w:val="right"/>
              <w:rPr>
                <w:sz w:val="20"/>
                <w:szCs w:val="20"/>
                <w:lang w:val="sr-Cyrl-CS"/>
              </w:rPr>
            </w:pPr>
            <w:r w:rsidRPr="00092ED7">
              <w:rPr>
                <w:sz w:val="20"/>
                <w:szCs w:val="20"/>
                <w:lang w:val="sr-Cyrl-CS"/>
              </w:rPr>
              <w:t>1,5</w:t>
            </w:r>
          </w:p>
        </w:tc>
        <w:tc>
          <w:tcPr>
            <w:tcW w:w="1501" w:type="dxa"/>
            <w:gridSpan w:val="4"/>
            <w:tcBorders>
              <w:top w:val="nil"/>
              <w:left w:val="nil"/>
              <w:bottom w:val="dotted" w:sz="4" w:space="0" w:color="auto"/>
              <w:right w:val="dotted" w:sz="4" w:space="0" w:color="auto"/>
            </w:tcBorders>
            <w:shd w:val="clear" w:color="000000" w:fill="FFFFFF"/>
            <w:vAlign w:val="center"/>
            <w:hideMark/>
          </w:tcPr>
          <w:p w14:paraId="5D5F976A" w14:textId="77777777" w:rsidR="00247CBF" w:rsidRPr="00092ED7" w:rsidRDefault="00247CBF" w:rsidP="00247CBF">
            <w:pPr>
              <w:spacing w:after="0"/>
              <w:jc w:val="right"/>
              <w:rPr>
                <w:sz w:val="20"/>
                <w:szCs w:val="20"/>
                <w:lang w:val="sr-Cyrl-CS"/>
              </w:rPr>
            </w:pPr>
            <w:r w:rsidRPr="00092ED7">
              <w:rPr>
                <w:sz w:val="20"/>
                <w:szCs w:val="20"/>
                <w:lang w:val="sr-Cyrl-CS"/>
              </w:rPr>
              <w:t>0,3</w:t>
            </w:r>
          </w:p>
        </w:tc>
        <w:tc>
          <w:tcPr>
            <w:tcW w:w="1504" w:type="dxa"/>
            <w:gridSpan w:val="6"/>
            <w:tcBorders>
              <w:top w:val="nil"/>
              <w:left w:val="nil"/>
              <w:bottom w:val="dotted" w:sz="4" w:space="0" w:color="auto"/>
              <w:right w:val="dotted" w:sz="4" w:space="0" w:color="auto"/>
            </w:tcBorders>
            <w:shd w:val="clear" w:color="000000" w:fill="FFFFFF"/>
            <w:vAlign w:val="center"/>
            <w:hideMark/>
          </w:tcPr>
          <w:p w14:paraId="3740A775" w14:textId="77777777" w:rsidR="00247CBF" w:rsidRPr="00092ED7" w:rsidRDefault="00247CBF" w:rsidP="00247CBF">
            <w:pPr>
              <w:spacing w:after="0"/>
              <w:jc w:val="right"/>
              <w:rPr>
                <w:sz w:val="20"/>
                <w:szCs w:val="20"/>
                <w:lang w:val="sr-Cyrl-CS"/>
              </w:rPr>
            </w:pPr>
            <w:r w:rsidRPr="00092ED7">
              <w:rPr>
                <w:sz w:val="20"/>
                <w:szCs w:val="20"/>
                <w:lang w:val="sr-Cyrl-CS"/>
              </w:rPr>
              <w:t>-0,3</w:t>
            </w:r>
          </w:p>
        </w:tc>
        <w:tc>
          <w:tcPr>
            <w:tcW w:w="1504" w:type="dxa"/>
            <w:gridSpan w:val="4"/>
            <w:tcBorders>
              <w:top w:val="nil"/>
              <w:left w:val="nil"/>
              <w:bottom w:val="dotted" w:sz="4" w:space="0" w:color="auto"/>
              <w:right w:val="double" w:sz="6" w:space="0" w:color="auto"/>
            </w:tcBorders>
            <w:shd w:val="clear" w:color="000000" w:fill="FFFFFF"/>
            <w:vAlign w:val="center"/>
            <w:hideMark/>
          </w:tcPr>
          <w:p w14:paraId="46650733" w14:textId="77777777" w:rsidR="00247CBF" w:rsidRPr="00092ED7" w:rsidRDefault="00247CBF" w:rsidP="00247CBF">
            <w:pPr>
              <w:spacing w:after="0"/>
              <w:jc w:val="right"/>
              <w:rPr>
                <w:sz w:val="20"/>
                <w:szCs w:val="20"/>
                <w:lang w:val="sr-Cyrl-CS"/>
              </w:rPr>
            </w:pPr>
            <w:r w:rsidRPr="00092ED7">
              <w:rPr>
                <w:sz w:val="20"/>
                <w:szCs w:val="20"/>
                <w:lang w:val="sr-Cyrl-CS"/>
              </w:rPr>
              <w:t>-0,2</w:t>
            </w:r>
          </w:p>
        </w:tc>
      </w:tr>
      <w:tr w:rsidR="00247CBF" w:rsidRPr="00092ED7" w14:paraId="70DA19B4" w14:textId="77777777" w:rsidTr="00247CBF">
        <w:trPr>
          <w:gridBefore w:val="1"/>
          <w:wBefore w:w="23" w:type="dxa"/>
          <w:trHeight w:val="274"/>
        </w:trPr>
        <w:tc>
          <w:tcPr>
            <w:tcW w:w="4372" w:type="dxa"/>
            <w:tcBorders>
              <w:top w:val="nil"/>
              <w:left w:val="double" w:sz="6" w:space="0" w:color="auto"/>
              <w:bottom w:val="double" w:sz="6" w:space="0" w:color="auto"/>
              <w:right w:val="dotted" w:sz="4" w:space="0" w:color="auto"/>
            </w:tcBorders>
            <w:shd w:val="clear" w:color="000000" w:fill="FFFFFF"/>
            <w:vAlign w:val="bottom"/>
            <w:hideMark/>
          </w:tcPr>
          <w:p w14:paraId="102013F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11. Спољнотрговински биланс робе и услуга</w:t>
            </w:r>
          </w:p>
        </w:tc>
        <w:tc>
          <w:tcPr>
            <w:tcW w:w="1247" w:type="dxa"/>
            <w:gridSpan w:val="2"/>
            <w:tcBorders>
              <w:top w:val="nil"/>
              <w:left w:val="nil"/>
              <w:bottom w:val="double" w:sz="6" w:space="0" w:color="auto"/>
              <w:right w:val="single" w:sz="8" w:space="0" w:color="auto"/>
            </w:tcBorders>
            <w:shd w:val="clear" w:color="000000" w:fill="FFFFFF"/>
            <w:vAlign w:val="center"/>
            <w:hideMark/>
          </w:tcPr>
          <w:p w14:paraId="39A98DB1" w14:textId="77777777" w:rsidR="00247CBF" w:rsidRPr="00092ED7" w:rsidRDefault="00247CBF" w:rsidP="00247CBF">
            <w:pPr>
              <w:spacing w:after="0"/>
              <w:jc w:val="center"/>
              <w:rPr>
                <w:sz w:val="20"/>
                <w:szCs w:val="20"/>
                <w:lang w:val="sr-Cyrl-CS"/>
              </w:rPr>
            </w:pPr>
            <w:r w:rsidRPr="00092ED7">
              <w:rPr>
                <w:sz w:val="20"/>
                <w:szCs w:val="20"/>
                <w:lang w:val="sr-Cyrl-CS"/>
              </w:rPr>
              <w:t>B11</w:t>
            </w:r>
          </w:p>
        </w:tc>
        <w:tc>
          <w:tcPr>
            <w:tcW w:w="1446" w:type="dxa"/>
            <w:gridSpan w:val="3"/>
            <w:tcBorders>
              <w:top w:val="nil"/>
              <w:left w:val="nil"/>
              <w:bottom w:val="double" w:sz="6" w:space="0" w:color="auto"/>
              <w:right w:val="single" w:sz="8" w:space="0" w:color="auto"/>
            </w:tcBorders>
            <w:shd w:val="clear" w:color="000000" w:fill="FFFFFF"/>
            <w:vAlign w:val="center"/>
            <w:hideMark/>
          </w:tcPr>
          <w:p w14:paraId="38AD9F49" w14:textId="77777777" w:rsidR="00247CBF" w:rsidRPr="00092ED7" w:rsidRDefault="00247CBF" w:rsidP="00247CBF">
            <w:pPr>
              <w:spacing w:after="0"/>
              <w:jc w:val="right"/>
              <w:rPr>
                <w:sz w:val="20"/>
                <w:szCs w:val="20"/>
                <w:lang w:val="sr-Cyrl-CS"/>
              </w:rPr>
            </w:pPr>
            <w:r w:rsidRPr="00092ED7">
              <w:rPr>
                <w:sz w:val="20"/>
                <w:szCs w:val="20"/>
                <w:lang w:val="sr-Cyrl-CS"/>
              </w:rPr>
              <w:t>-5,1</w:t>
            </w:r>
          </w:p>
        </w:tc>
        <w:tc>
          <w:tcPr>
            <w:tcW w:w="1501" w:type="dxa"/>
            <w:gridSpan w:val="5"/>
            <w:tcBorders>
              <w:top w:val="nil"/>
              <w:left w:val="nil"/>
              <w:bottom w:val="double" w:sz="6" w:space="0" w:color="auto"/>
              <w:right w:val="dotted" w:sz="4" w:space="0" w:color="auto"/>
            </w:tcBorders>
            <w:shd w:val="clear" w:color="000000" w:fill="FFFFFF"/>
            <w:vAlign w:val="center"/>
            <w:hideMark/>
          </w:tcPr>
          <w:p w14:paraId="77C48124" w14:textId="77777777" w:rsidR="00247CBF" w:rsidRPr="00092ED7" w:rsidRDefault="00247CBF" w:rsidP="00247CBF">
            <w:pPr>
              <w:spacing w:after="0"/>
              <w:jc w:val="right"/>
              <w:rPr>
                <w:sz w:val="20"/>
                <w:szCs w:val="20"/>
                <w:lang w:val="sr-Cyrl-CS"/>
              </w:rPr>
            </w:pPr>
            <w:r w:rsidRPr="00092ED7">
              <w:rPr>
                <w:sz w:val="20"/>
                <w:szCs w:val="20"/>
                <w:lang w:val="sr-Cyrl-CS"/>
              </w:rPr>
              <w:t>-1,0</w:t>
            </w:r>
          </w:p>
        </w:tc>
        <w:tc>
          <w:tcPr>
            <w:tcW w:w="1504" w:type="dxa"/>
            <w:gridSpan w:val="4"/>
            <w:tcBorders>
              <w:top w:val="nil"/>
              <w:left w:val="nil"/>
              <w:bottom w:val="double" w:sz="6" w:space="0" w:color="auto"/>
              <w:right w:val="dotted" w:sz="4" w:space="0" w:color="auto"/>
            </w:tcBorders>
            <w:shd w:val="clear" w:color="000000" w:fill="FFFFFF"/>
            <w:vAlign w:val="center"/>
            <w:hideMark/>
          </w:tcPr>
          <w:p w14:paraId="489B492C" w14:textId="77777777" w:rsidR="00247CBF" w:rsidRPr="00092ED7" w:rsidRDefault="00247CBF" w:rsidP="00247CBF">
            <w:pPr>
              <w:spacing w:after="0"/>
              <w:jc w:val="right"/>
              <w:rPr>
                <w:sz w:val="20"/>
                <w:szCs w:val="20"/>
                <w:lang w:val="sr-Cyrl-CS"/>
              </w:rPr>
            </w:pPr>
            <w:r w:rsidRPr="00092ED7">
              <w:rPr>
                <w:sz w:val="20"/>
                <w:szCs w:val="20"/>
                <w:lang w:val="sr-Cyrl-CS"/>
              </w:rPr>
              <w:t>-1,7</w:t>
            </w:r>
          </w:p>
        </w:tc>
        <w:tc>
          <w:tcPr>
            <w:tcW w:w="1501" w:type="dxa"/>
            <w:gridSpan w:val="4"/>
            <w:tcBorders>
              <w:top w:val="nil"/>
              <w:left w:val="nil"/>
              <w:bottom w:val="double" w:sz="6" w:space="0" w:color="auto"/>
              <w:right w:val="dotted" w:sz="4" w:space="0" w:color="auto"/>
            </w:tcBorders>
            <w:shd w:val="clear" w:color="000000" w:fill="FFFFFF"/>
            <w:vAlign w:val="center"/>
            <w:hideMark/>
          </w:tcPr>
          <w:p w14:paraId="08530A02" w14:textId="77777777" w:rsidR="00247CBF" w:rsidRPr="00092ED7" w:rsidRDefault="00247CBF" w:rsidP="00247CBF">
            <w:pPr>
              <w:spacing w:after="0"/>
              <w:jc w:val="right"/>
              <w:rPr>
                <w:sz w:val="20"/>
                <w:szCs w:val="20"/>
                <w:lang w:val="sr-Cyrl-CS"/>
              </w:rPr>
            </w:pPr>
            <w:r w:rsidRPr="00092ED7">
              <w:rPr>
                <w:sz w:val="20"/>
                <w:szCs w:val="20"/>
                <w:lang w:val="sr-Cyrl-CS"/>
              </w:rPr>
              <w:t>0,1</w:t>
            </w:r>
          </w:p>
        </w:tc>
        <w:tc>
          <w:tcPr>
            <w:tcW w:w="1504" w:type="dxa"/>
            <w:gridSpan w:val="6"/>
            <w:tcBorders>
              <w:top w:val="nil"/>
              <w:left w:val="nil"/>
              <w:bottom w:val="double" w:sz="6" w:space="0" w:color="auto"/>
              <w:right w:val="dotted" w:sz="4" w:space="0" w:color="auto"/>
            </w:tcBorders>
            <w:shd w:val="clear" w:color="000000" w:fill="FFFFFF"/>
            <w:vAlign w:val="center"/>
            <w:hideMark/>
          </w:tcPr>
          <w:p w14:paraId="74B3AD37" w14:textId="77777777" w:rsidR="00247CBF" w:rsidRPr="00092ED7" w:rsidRDefault="00247CBF" w:rsidP="00247CBF">
            <w:pPr>
              <w:spacing w:after="0"/>
              <w:jc w:val="right"/>
              <w:rPr>
                <w:sz w:val="20"/>
                <w:szCs w:val="20"/>
                <w:lang w:val="sr-Cyrl-CS"/>
              </w:rPr>
            </w:pPr>
            <w:r w:rsidRPr="00092ED7">
              <w:rPr>
                <w:sz w:val="20"/>
                <w:szCs w:val="20"/>
                <w:lang w:val="sr-Cyrl-CS"/>
              </w:rPr>
              <w:t>0,5</w:t>
            </w:r>
          </w:p>
        </w:tc>
        <w:tc>
          <w:tcPr>
            <w:tcW w:w="1504" w:type="dxa"/>
            <w:gridSpan w:val="4"/>
            <w:tcBorders>
              <w:top w:val="nil"/>
              <w:left w:val="nil"/>
              <w:bottom w:val="double" w:sz="6" w:space="0" w:color="auto"/>
              <w:right w:val="double" w:sz="6" w:space="0" w:color="auto"/>
            </w:tcBorders>
            <w:shd w:val="clear" w:color="000000" w:fill="FFFFFF"/>
            <w:vAlign w:val="center"/>
            <w:hideMark/>
          </w:tcPr>
          <w:p w14:paraId="2C09038E" w14:textId="77777777" w:rsidR="00247CBF" w:rsidRPr="00092ED7" w:rsidRDefault="00247CBF" w:rsidP="00247CBF">
            <w:pPr>
              <w:spacing w:after="0"/>
              <w:jc w:val="right"/>
              <w:rPr>
                <w:sz w:val="20"/>
                <w:szCs w:val="20"/>
                <w:lang w:val="sr-Cyrl-CS"/>
              </w:rPr>
            </w:pPr>
            <w:r w:rsidRPr="00092ED7">
              <w:rPr>
                <w:sz w:val="20"/>
                <w:szCs w:val="20"/>
                <w:lang w:val="sr-Cyrl-CS"/>
              </w:rPr>
              <w:t>0,3</w:t>
            </w:r>
          </w:p>
        </w:tc>
      </w:tr>
    </w:tbl>
    <w:p w14:paraId="7A18F44A" w14:textId="77777777" w:rsidR="00247CBF" w:rsidRPr="00092ED7" w:rsidRDefault="00247CBF" w:rsidP="00247CBF">
      <w:pPr>
        <w:rPr>
          <w:rFonts w:cs="Times New Roman"/>
          <w:lang w:val="sr-Cyrl-CS"/>
        </w:rPr>
      </w:pPr>
      <w:r w:rsidRPr="00092ED7">
        <w:rPr>
          <w:rFonts w:cs="Times New Roman"/>
          <w:lang w:val="sr-Cyrl-CS"/>
        </w:rPr>
        <w:br w:type="page"/>
      </w:r>
    </w:p>
    <w:tbl>
      <w:tblPr>
        <w:tblW w:w="5011" w:type="pct"/>
        <w:tblLook w:val="04A0" w:firstRow="1" w:lastRow="0" w:firstColumn="1" w:lastColumn="0" w:noHBand="0" w:noVBand="1"/>
      </w:tblPr>
      <w:tblGrid>
        <w:gridCol w:w="24"/>
        <w:gridCol w:w="5058"/>
        <w:gridCol w:w="23"/>
        <w:gridCol w:w="1419"/>
        <w:gridCol w:w="1378"/>
        <w:gridCol w:w="237"/>
        <w:gridCol w:w="1142"/>
        <w:gridCol w:w="473"/>
        <w:gridCol w:w="905"/>
        <w:gridCol w:w="710"/>
        <w:gridCol w:w="669"/>
        <w:gridCol w:w="946"/>
        <w:gridCol w:w="1592"/>
        <w:gridCol w:w="26"/>
      </w:tblGrid>
      <w:tr w:rsidR="00247CBF" w:rsidRPr="00092ED7" w14:paraId="6DF72F69" w14:textId="77777777" w:rsidTr="00247CBF">
        <w:trPr>
          <w:gridAfter w:val="1"/>
          <w:wAfter w:w="9" w:type="pct"/>
          <w:trHeight w:val="319"/>
        </w:trPr>
        <w:tc>
          <w:tcPr>
            <w:tcW w:w="1740" w:type="pct"/>
            <w:gridSpan w:val="2"/>
            <w:tcBorders>
              <w:top w:val="nil"/>
              <w:left w:val="nil"/>
              <w:bottom w:val="nil"/>
              <w:right w:val="nil"/>
            </w:tcBorders>
            <w:shd w:val="clear" w:color="000000" w:fill="FFFFFF"/>
            <w:noWrap/>
            <w:vAlign w:val="center"/>
            <w:hideMark/>
          </w:tcPr>
          <w:p w14:paraId="2A60BC49"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1b: Кретање цена</w:t>
            </w:r>
          </w:p>
        </w:tc>
        <w:tc>
          <w:tcPr>
            <w:tcW w:w="494" w:type="pct"/>
            <w:gridSpan w:val="2"/>
            <w:tcBorders>
              <w:top w:val="nil"/>
              <w:left w:val="nil"/>
              <w:bottom w:val="nil"/>
              <w:right w:val="nil"/>
            </w:tcBorders>
            <w:shd w:val="clear" w:color="000000" w:fill="FFFFFF"/>
            <w:noWrap/>
            <w:vAlign w:val="center"/>
            <w:hideMark/>
          </w:tcPr>
          <w:p w14:paraId="5C240AAB"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472" w:type="pct"/>
            <w:tcBorders>
              <w:top w:val="nil"/>
              <w:left w:val="nil"/>
              <w:bottom w:val="double" w:sz="6" w:space="0" w:color="auto"/>
              <w:right w:val="nil"/>
            </w:tcBorders>
            <w:shd w:val="clear" w:color="000000" w:fill="FFFFFF"/>
            <w:noWrap/>
            <w:vAlign w:val="center"/>
            <w:hideMark/>
          </w:tcPr>
          <w:p w14:paraId="6DBA2D4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72" w:type="pct"/>
            <w:gridSpan w:val="2"/>
            <w:tcBorders>
              <w:top w:val="nil"/>
              <w:left w:val="nil"/>
              <w:bottom w:val="double" w:sz="6" w:space="0" w:color="auto"/>
              <w:right w:val="nil"/>
            </w:tcBorders>
            <w:shd w:val="clear" w:color="000000" w:fill="FFFFFF"/>
            <w:noWrap/>
            <w:vAlign w:val="center"/>
            <w:hideMark/>
          </w:tcPr>
          <w:p w14:paraId="1A67802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72" w:type="pct"/>
            <w:gridSpan w:val="2"/>
            <w:tcBorders>
              <w:top w:val="nil"/>
              <w:left w:val="nil"/>
              <w:bottom w:val="double" w:sz="6" w:space="0" w:color="auto"/>
              <w:right w:val="nil"/>
            </w:tcBorders>
            <w:shd w:val="clear" w:color="000000" w:fill="FFFFFF"/>
            <w:noWrap/>
            <w:vAlign w:val="center"/>
            <w:hideMark/>
          </w:tcPr>
          <w:p w14:paraId="0FACABD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72" w:type="pct"/>
            <w:gridSpan w:val="2"/>
            <w:tcBorders>
              <w:top w:val="nil"/>
              <w:left w:val="nil"/>
              <w:bottom w:val="double" w:sz="6" w:space="0" w:color="auto"/>
              <w:right w:val="nil"/>
            </w:tcBorders>
            <w:shd w:val="clear" w:color="000000" w:fill="FFFFFF"/>
            <w:noWrap/>
            <w:vAlign w:val="center"/>
            <w:hideMark/>
          </w:tcPr>
          <w:p w14:paraId="6E49361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869" w:type="pct"/>
            <w:gridSpan w:val="2"/>
            <w:tcBorders>
              <w:top w:val="nil"/>
              <w:left w:val="nil"/>
              <w:bottom w:val="double" w:sz="6" w:space="0" w:color="auto"/>
              <w:right w:val="nil"/>
            </w:tcBorders>
            <w:shd w:val="clear" w:color="000000" w:fill="FFFFFF"/>
            <w:noWrap/>
            <w:vAlign w:val="center"/>
            <w:hideMark/>
          </w:tcPr>
          <w:p w14:paraId="09ADDCAB"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4277C7E7" w14:textId="77777777" w:rsidTr="00247CBF">
        <w:trPr>
          <w:gridBefore w:val="1"/>
          <w:wBefore w:w="8" w:type="pct"/>
          <w:trHeight w:val="199"/>
        </w:trPr>
        <w:tc>
          <w:tcPr>
            <w:tcW w:w="1740" w:type="pct"/>
            <w:gridSpan w:val="2"/>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14:paraId="3EE2BE3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Процентуалне промене, годишњи просек</w:t>
            </w:r>
          </w:p>
        </w:tc>
        <w:tc>
          <w:tcPr>
            <w:tcW w:w="486" w:type="pct"/>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1BA718C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ESA шифра</w:t>
            </w:r>
          </w:p>
        </w:tc>
        <w:tc>
          <w:tcPr>
            <w:tcW w:w="553" w:type="pct"/>
            <w:gridSpan w:val="2"/>
            <w:tcBorders>
              <w:top w:val="double" w:sz="6" w:space="0" w:color="auto"/>
              <w:left w:val="nil"/>
              <w:bottom w:val="nil"/>
              <w:right w:val="dotted" w:sz="4" w:space="0" w:color="auto"/>
            </w:tcBorders>
            <w:shd w:val="clear" w:color="000000" w:fill="FFFFFF"/>
            <w:vAlign w:val="center"/>
            <w:hideMark/>
          </w:tcPr>
          <w:p w14:paraId="746E1588"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553" w:type="pct"/>
            <w:gridSpan w:val="2"/>
            <w:tcBorders>
              <w:top w:val="double" w:sz="6" w:space="0" w:color="auto"/>
              <w:left w:val="nil"/>
              <w:bottom w:val="nil"/>
              <w:right w:val="dotted" w:sz="4" w:space="0" w:color="auto"/>
            </w:tcBorders>
            <w:shd w:val="clear" w:color="000000" w:fill="FFFFFF"/>
            <w:vAlign w:val="center"/>
            <w:hideMark/>
          </w:tcPr>
          <w:p w14:paraId="3E3CE5B0"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553" w:type="pct"/>
            <w:gridSpan w:val="2"/>
            <w:tcBorders>
              <w:top w:val="double" w:sz="6" w:space="0" w:color="auto"/>
              <w:left w:val="nil"/>
              <w:bottom w:val="nil"/>
              <w:right w:val="dotted" w:sz="4" w:space="0" w:color="auto"/>
            </w:tcBorders>
            <w:shd w:val="clear" w:color="000000" w:fill="FFFFFF"/>
            <w:vAlign w:val="center"/>
            <w:hideMark/>
          </w:tcPr>
          <w:p w14:paraId="41445E57"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553" w:type="pct"/>
            <w:gridSpan w:val="2"/>
            <w:tcBorders>
              <w:top w:val="double" w:sz="6" w:space="0" w:color="auto"/>
              <w:left w:val="nil"/>
              <w:bottom w:val="nil"/>
              <w:right w:val="dotted" w:sz="4" w:space="0" w:color="auto"/>
            </w:tcBorders>
            <w:shd w:val="clear" w:color="000000" w:fill="FFFFFF"/>
            <w:vAlign w:val="center"/>
            <w:hideMark/>
          </w:tcPr>
          <w:p w14:paraId="76E3FB6E"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554" w:type="pct"/>
            <w:gridSpan w:val="2"/>
            <w:tcBorders>
              <w:top w:val="double" w:sz="6" w:space="0" w:color="auto"/>
              <w:left w:val="nil"/>
              <w:bottom w:val="nil"/>
              <w:right w:val="double" w:sz="6" w:space="0" w:color="auto"/>
            </w:tcBorders>
            <w:shd w:val="clear" w:color="000000" w:fill="FFFFFF"/>
            <w:vAlign w:val="center"/>
            <w:hideMark/>
          </w:tcPr>
          <w:p w14:paraId="2331A446"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r>
      <w:tr w:rsidR="00247CBF" w:rsidRPr="00092ED7" w14:paraId="013A1607" w14:textId="77777777" w:rsidTr="00247CBF">
        <w:trPr>
          <w:gridBefore w:val="1"/>
          <w:wBefore w:w="8" w:type="pct"/>
          <w:trHeight w:val="25"/>
        </w:trPr>
        <w:tc>
          <w:tcPr>
            <w:tcW w:w="1740" w:type="pct"/>
            <w:gridSpan w:val="2"/>
            <w:vMerge/>
            <w:tcBorders>
              <w:top w:val="double" w:sz="6" w:space="0" w:color="auto"/>
              <w:left w:val="double" w:sz="6" w:space="0" w:color="auto"/>
              <w:bottom w:val="single" w:sz="8" w:space="0" w:color="000000"/>
              <w:right w:val="dotted" w:sz="4" w:space="0" w:color="auto"/>
            </w:tcBorders>
            <w:vAlign w:val="center"/>
            <w:hideMark/>
          </w:tcPr>
          <w:p w14:paraId="083CC4C9" w14:textId="77777777" w:rsidR="00247CBF" w:rsidRPr="00092ED7" w:rsidRDefault="00247CBF" w:rsidP="00247CBF">
            <w:pPr>
              <w:spacing w:after="0"/>
              <w:rPr>
                <w:rFonts w:eastAsia="Times New Roman" w:cs="Times New Roman"/>
                <w:sz w:val="20"/>
                <w:szCs w:val="20"/>
                <w:lang w:val="sr-Cyrl-CS"/>
              </w:rPr>
            </w:pPr>
          </w:p>
        </w:tc>
        <w:tc>
          <w:tcPr>
            <w:tcW w:w="486" w:type="pct"/>
            <w:vMerge/>
            <w:tcBorders>
              <w:top w:val="double" w:sz="6" w:space="0" w:color="auto"/>
              <w:left w:val="dotted" w:sz="4" w:space="0" w:color="auto"/>
              <w:bottom w:val="single" w:sz="8" w:space="0" w:color="000000"/>
              <w:right w:val="single" w:sz="8" w:space="0" w:color="auto"/>
            </w:tcBorders>
            <w:vAlign w:val="center"/>
            <w:hideMark/>
          </w:tcPr>
          <w:p w14:paraId="1E55FAA9" w14:textId="77777777" w:rsidR="00247CBF" w:rsidRPr="00092ED7" w:rsidRDefault="00247CBF" w:rsidP="00247CBF">
            <w:pPr>
              <w:spacing w:after="0"/>
              <w:rPr>
                <w:rFonts w:eastAsia="Times New Roman" w:cs="Times New Roman"/>
                <w:sz w:val="20"/>
                <w:szCs w:val="20"/>
                <w:lang w:val="sr-Cyrl-CS"/>
              </w:rPr>
            </w:pPr>
          </w:p>
        </w:tc>
        <w:tc>
          <w:tcPr>
            <w:tcW w:w="553" w:type="pct"/>
            <w:gridSpan w:val="2"/>
            <w:tcBorders>
              <w:top w:val="nil"/>
              <w:left w:val="nil"/>
              <w:bottom w:val="single" w:sz="8" w:space="0" w:color="auto"/>
              <w:right w:val="dotted" w:sz="4" w:space="0" w:color="auto"/>
            </w:tcBorders>
            <w:shd w:val="clear" w:color="000000" w:fill="FFFFFF"/>
            <w:vAlign w:val="center"/>
            <w:hideMark/>
          </w:tcPr>
          <w:p w14:paraId="637DDC3D" w14:textId="77777777" w:rsidR="00247CBF" w:rsidRPr="00092ED7" w:rsidRDefault="00247CBF" w:rsidP="00247CBF">
            <w:pPr>
              <w:spacing w:after="0"/>
              <w:jc w:val="center"/>
              <w:rPr>
                <w:sz w:val="20"/>
                <w:szCs w:val="20"/>
                <w:lang w:val="sr-Cyrl-CS"/>
              </w:rPr>
            </w:pPr>
            <w:r w:rsidRPr="00092ED7">
              <w:rPr>
                <w:sz w:val="20"/>
                <w:szCs w:val="20"/>
                <w:lang w:val="sr-Cyrl-CS"/>
              </w:rPr>
              <w:t>2021</w:t>
            </w:r>
          </w:p>
        </w:tc>
        <w:tc>
          <w:tcPr>
            <w:tcW w:w="553" w:type="pct"/>
            <w:gridSpan w:val="2"/>
            <w:tcBorders>
              <w:top w:val="nil"/>
              <w:left w:val="nil"/>
              <w:bottom w:val="single" w:sz="8" w:space="0" w:color="auto"/>
              <w:right w:val="dotted" w:sz="4" w:space="0" w:color="auto"/>
            </w:tcBorders>
            <w:shd w:val="clear" w:color="000000" w:fill="FFFFFF"/>
            <w:vAlign w:val="center"/>
            <w:hideMark/>
          </w:tcPr>
          <w:p w14:paraId="6E770EDD" w14:textId="77777777" w:rsidR="00247CBF" w:rsidRPr="00092ED7" w:rsidRDefault="00247CBF" w:rsidP="00247CBF">
            <w:pPr>
              <w:spacing w:after="0"/>
              <w:jc w:val="center"/>
              <w:rPr>
                <w:sz w:val="20"/>
                <w:szCs w:val="20"/>
                <w:lang w:val="sr-Cyrl-CS"/>
              </w:rPr>
            </w:pPr>
            <w:r w:rsidRPr="00092ED7">
              <w:rPr>
                <w:sz w:val="20"/>
                <w:szCs w:val="20"/>
                <w:lang w:val="sr-Cyrl-CS"/>
              </w:rPr>
              <w:t>2022</w:t>
            </w:r>
          </w:p>
        </w:tc>
        <w:tc>
          <w:tcPr>
            <w:tcW w:w="553" w:type="pct"/>
            <w:gridSpan w:val="2"/>
            <w:tcBorders>
              <w:top w:val="nil"/>
              <w:left w:val="nil"/>
              <w:bottom w:val="single" w:sz="8" w:space="0" w:color="auto"/>
              <w:right w:val="dotted" w:sz="4" w:space="0" w:color="auto"/>
            </w:tcBorders>
            <w:shd w:val="clear" w:color="000000" w:fill="FFFFFF"/>
            <w:vAlign w:val="center"/>
            <w:hideMark/>
          </w:tcPr>
          <w:p w14:paraId="6882140B" w14:textId="77777777" w:rsidR="00247CBF" w:rsidRPr="00092ED7" w:rsidRDefault="00247CBF" w:rsidP="00247CBF">
            <w:pPr>
              <w:spacing w:after="0"/>
              <w:jc w:val="center"/>
              <w:rPr>
                <w:sz w:val="20"/>
                <w:szCs w:val="20"/>
                <w:lang w:val="sr-Cyrl-CS"/>
              </w:rPr>
            </w:pPr>
            <w:r w:rsidRPr="00092ED7">
              <w:rPr>
                <w:sz w:val="20"/>
                <w:szCs w:val="20"/>
                <w:lang w:val="sr-Cyrl-CS"/>
              </w:rPr>
              <w:t>2023</w:t>
            </w:r>
          </w:p>
        </w:tc>
        <w:tc>
          <w:tcPr>
            <w:tcW w:w="553" w:type="pct"/>
            <w:gridSpan w:val="2"/>
            <w:tcBorders>
              <w:top w:val="nil"/>
              <w:left w:val="nil"/>
              <w:bottom w:val="single" w:sz="8" w:space="0" w:color="auto"/>
              <w:right w:val="dotted" w:sz="4" w:space="0" w:color="auto"/>
            </w:tcBorders>
            <w:shd w:val="clear" w:color="000000" w:fill="FFFFFF"/>
            <w:vAlign w:val="center"/>
            <w:hideMark/>
          </w:tcPr>
          <w:p w14:paraId="6147C93A" w14:textId="77777777" w:rsidR="00247CBF" w:rsidRPr="00092ED7" w:rsidRDefault="00247CBF" w:rsidP="00247CBF">
            <w:pPr>
              <w:spacing w:after="0"/>
              <w:jc w:val="center"/>
              <w:rPr>
                <w:sz w:val="20"/>
                <w:szCs w:val="20"/>
                <w:lang w:val="sr-Cyrl-CS"/>
              </w:rPr>
            </w:pPr>
            <w:r w:rsidRPr="00092ED7">
              <w:rPr>
                <w:sz w:val="20"/>
                <w:szCs w:val="20"/>
                <w:lang w:val="sr-Cyrl-CS"/>
              </w:rPr>
              <w:t>2024</w:t>
            </w:r>
          </w:p>
        </w:tc>
        <w:tc>
          <w:tcPr>
            <w:tcW w:w="554" w:type="pct"/>
            <w:gridSpan w:val="2"/>
            <w:tcBorders>
              <w:top w:val="nil"/>
              <w:left w:val="nil"/>
              <w:bottom w:val="single" w:sz="8" w:space="0" w:color="auto"/>
              <w:right w:val="double" w:sz="6" w:space="0" w:color="auto"/>
            </w:tcBorders>
            <w:shd w:val="clear" w:color="000000" w:fill="FFFFFF"/>
            <w:vAlign w:val="center"/>
            <w:hideMark/>
          </w:tcPr>
          <w:p w14:paraId="19FFB11B" w14:textId="77777777" w:rsidR="00247CBF" w:rsidRPr="00092ED7" w:rsidRDefault="00247CBF" w:rsidP="00247CBF">
            <w:pPr>
              <w:spacing w:after="0"/>
              <w:jc w:val="center"/>
              <w:rPr>
                <w:sz w:val="20"/>
                <w:szCs w:val="20"/>
                <w:lang w:val="sr-Cyrl-CS"/>
              </w:rPr>
            </w:pPr>
            <w:r w:rsidRPr="00092ED7">
              <w:rPr>
                <w:sz w:val="20"/>
                <w:szCs w:val="20"/>
                <w:lang w:val="sr-Cyrl-CS"/>
              </w:rPr>
              <w:t>2025</w:t>
            </w:r>
          </w:p>
        </w:tc>
      </w:tr>
      <w:tr w:rsidR="00247CBF" w:rsidRPr="00092ED7" w14:paraId="0F787A82" w14:textId="77777777" w:rsidTr="00247CBF">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2C6BCD6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Дефлатор БДП-а</w:t>
            </w:r>
          </w:p>
        </w:tc>
        <w:tc>
          <w:tcPr>
            <w:tcW w:w="486" w:type="pct"/>
            <w:tcBorders>
              <w:top w:val="nil"/>
              <w:left w:val="nil"/>
              <w:bottom w:val="dotted" w:sz="4" w:space="0" w:color="auto"/>
              <w:right w:val="single" w:sz="8" w:space="0" w:color="auto"/>
            </w:tcBorders>
            <w:shd w:val="clear" w:color="000000" w:fill="FFFFFF"/>
            <w:vAlign w:val="center"/>
            <w:hideMark/>
          </w:tcPr>
          <w:p w14:paraId="3EB2DCF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6ED446E2" w14:textId="77777777" w:rsidR="00247CBF" w:rsidRPr="00092ED7" w:rsidRDefault="00247CBF" w:rsidP="00247CBF">
            <w:pPr>
              <w:spacing w:after="0"/>
              <w:jc w:val="center"/>
              <w:rPr>
                <w:sz w:val="20"/>
                <w:szCs w:val="20"/>
                <w:lang w:val="sr-Cyrl-CS"/>
              </w:rPr>
            </w:pPr>
            <w:r w:rsidRPr="00092ED7">
              <w:rPr>
                <w:sz w:val="20"/>
                <w:szCs w:val="20"/>
                <w:lang w:val="sr-Cyrl-CS"/>
              </w:rPr>
              <w:t>5,9</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60B04F60" w14:textId="77777777" w:rsidR="00247CBF" w:rsidRPr="00092ED7" w:rsidRDefault="00247CBF" w:rsidP="00247CBF">
            <w:pPr>
              <w:spacing w:after="0"/>
              <w:jc w:val="center"/>
              <w:rPr>
                <w:sz w:val="20"/>
                <w:szCs w:val="20"/>
                <w:lang w:val="sr-Cyrl-CS"/>
              </w:rPr>
            </w:pPr>
            <w:r w:rsidRPr="00092ED7">
              <w:rPr>
                <w:sz w:val="20"/>
                <w:szCs w:val="20"/>
                <w:lang w:val="sr-Cyrl-CS"/>
              </w:rPr>
              <w:t>10,2</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66E1F8B4" w14:textId="77777777" w:rsidR="00247CBF" w:rsidRPr="00092ED7" w:rsidRDefault="00247CBF" w:rsidP="00247CBF">
            <w:pPr>
              <w:spacing w:after="0"/>
              <w:jc w:val="center"/>
              <w:rPr>
                <w:sz w:val="20"/>
                <w:szCs w:val="20"/>
                <w:lang w:val="sr-Cyrl-CS"/>
              </w:rPr>
            </w:pPr>
            <w:r w:rsidRPr="00092ED7">
              <w:rPr>
                <w:sz w:val="20"/>
                <w:szCs w:val="20"/>
                <w:lang w:val="sr-Cyrl-CS"/>
              </w:rPr>
              <w:t>10,6</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060F01A3" w14:textId="77777777" w:rsidR="00247CBF" w:rsidRPr="00092ED7" w:rsidRDefault="00247CBF" w:rsidP="00247CBF">
            <w:pPr>
              <w:spacing w:after="0"/>
              <w:jc w:val="center"/>
              <w:rPr>
                <w:sz w:val="20"/>
                <w:szCs w:val="20"/>
                <w:lang w:val="sr-Cyrl-CS"/>
              </w:rPr>
            </w:pPr>
            <w:r w:rsidRPr="00092ED7">
              <w:rPr>
                <w:sz w:val="20"/>
                <w:szCs w:val="20"/>
                <w:lang w:val="sr-Cyrl-CS"/>
              </w:rPr>
              <w:t>5,6</w:t>
            </w:r>
          </w:p>
        </w:tc>
        <w:tc>
          <w:tcPr>
            <w:tcW w:w="554" w:type="pct"/>
            <w:gridSpan w:val="2"/>
            <w:tcBorders>
              <w:top w:val="nil"/>
              <w:left w:val="nil"/>
              <w:bottom w:val="dotted" w:sz="4" w:space="0" w:color="auto"/>
              <w:right w:val="double" w:sz="6" w:space="0" w:color="auto"/>
            </w:tcBorders>
            <w:shd w:val="clear" w:color="000000" w:fill="FFFFFF"/>
            <w:vAlign w:val="center"/>
            <w:hideMark/>
          </w:tcPr>
          <w:p w14:paraId="08BE8171" w14:textId="77777777" w:rsidR="00247CBF" w:rsidRPr="00092ED7" w:rsidRDefault="00247CBF" w:rsidP="00247CBF">
            <w:pPr>
              <w:spacing w:after="0"/>
              <w:jc w:val="center"/>
              <w:rPr>
                <w:sz w:val="20"/>
                <w:szCs w:val="20"/>
                <w:lang w:val="sr-Cyrl-CS"/>
              </w:rPr>
            </w:pPr>
            <w:r w:rsidRPr="00092ED7">
              <w:rPr>
                <w:sz w:val="20"/>
                <w:szCs w:val="20"/>
                <w:lang w:val="sr-Cyrl-CS"/>
              </w:rPr>
              <w:t>4,3</w:t>
            </w:r>
          </w:p>
        </w:tc>
      </w:tr>
      <w:tr w:rsidR="00247CBF" w:rsidRPr="00092ED7" w14:paraId="230BBBE0" w14:textId="77777777" w:rsidTr="00247CBF">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1C00986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 Дефлатор приватне потрошње</w:t>
            </w:r>
          </w:p>
        </w:tc>
        <w:tc>
          <w:tcPr>
            <w:tcW w:w="486" w:type="pct"/>
            <w:tcBorders>
              <w:top w:val="nil"/>
              <w:left w:val="nil"/>
              <w:bottom w:val="dotted" w:sz="4" w:space="0" w:color="auto"/>
              <w:right w:val="single" w:sz="8" w:space="0" w:color="auto"/>
            </w:tcBorders>
            <w:shd w:val="clear" w:color="000000" w:fill="FFFFFF"/>
            <w:vAlign w:val="center"/>
            <w:hideMark/>
          </w:tcPr>
          <w:p w14:paraId="5DE2A23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5A7533A6" w14:textId="77777777" w:rsidR="00247CBF" w:rsidRPr="00092ED7" w:rsidRDefault="00247CBF" w:rsidP="00247CBF">
            <w:pPr>
              <w:spacing w:after="0"/>
              <w:jc w:val="center"/>
              <w:rPr>
                <w:sz w:val="20"/>
                <w:szCs w:val="20"/>
                <w:lang w:val="sr-Cyrl-CS"/>
              </w:rPr>
            </w:pPr>
            <w:r w:rsidRPr="00092ED7">
              <w:rPr>
                <w:sz w:val="20"/>
                <w:szCs w:val="20"/>
                <w:lang w:val="sr-Cyrl-CS"/>
              </w:rPr>
              <w:t>4,6</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5D4B5F30" w14:textId="77777777" w:rsidR="00247CBF" w:rsidRPr="00092ED7" w:rsidRDefault="00247CBF" w:rsidP="00247CBF">
            <w:pPr>
              <w:spacing w:after="0"/>
              <w:jc w:val="center"/>
              <w:rPr>
                <w:sz w:val="20"/>
                <w:szCs w:val="20"/>
                <w:lang w:val="sr-Cyrl-CS"/>
              </w:rPr>
            </w:pPr>
            <w:r w:rsidRPr="00092ED7">
              <w:rPr>
                <w:sz w:val="20"/>
                <w:szCs w:val="20"/>
                <w:lang w:val="sr-Cyrl-CS"/>
              </w:rPr>
              <w:t>11,6</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2F8FA641" w14:textId="77777777" w:rsidR="00247CBF" w:rsidRPr="00092ED7" w:rsidRDefault="00247CBF" w:rsidP="00247CBF">
            <w:pPr>
              <w:spacing w:after="0"/>
              <w:jc w:val="center"/>
              <w:rPr>
                <w:sz w:val="20"/>
                <w:szCs w:val="20"/>
                <w:lang w:val="sr-Cyrl-CS"/>
              </w:rPr>
            </w:pPr>
            <w:r w:rsidRPr="00092ED7">
              <w:rPr>
                <w:sz w:val="20"/>
                <w:szCs w:val="20"/>
                <w:lang w:val="sr-Cyrl-CS"/>
              </w:rPr>
              <w:t>10,6</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34E9E215" w14:textId="77777777" w:rsidR="00247CBF" w:rsidRPr="00092ED7" w:rsidRDefault="00247CBF" w:rsidP="00247CBF">
            <w:pPr>
              <w:spacing w:after="0"/>
              <w:jc w:val="center"/>
              <w:rPr>
                <w:sz w:val="20"/>
                <w:szCs w:val="20"/>
                <w:lang w:val="sr-Cyrl-CS"/>
              </w:rPr>
            </w:pPr>
            <w:r w:rsidRPr="00092ED7">
              <w:rPr>
                <w:sz w:val="20"/>
                <w:szCs w:val="20"/>
                <w:lang w:val="sr-Cyrl-CS"/>
              </w:rPr>
              <w:t>5,0</w:t>
            </w:r>
          </w:p>
        </w:tc>
        <w:tc>
          <w:tcPr>
            <w:tcW w:w="554" w:type="pct"/>
            <w:gridSpan w:val="2"/>
            <w:tcBorders>
              <w:top w:val="nil"/>
              <w:left w:val="nil"/>
              <w:bottom w:val="dotted" w:sz="4" w:space="0" w:color="auto"/>
              <w:right w:val="double" w:sz="6" w:space="0" w:color="auto"/>
            </w:tcBorders>
            <w:shd w:val="clear" w:color="000000" w:fill="FFFFFF"/>
            <w:vAlign w:val="center"/>
            <w:hideMark/>
          </w:tcPr>
          <w:p w14:paraId="0B930AA3" w14:textId="77777777" w:rsidR="00247CBF" w:rsidRPr="00092ED7" w:rsidRDefault="00247CBF" w:rsidP="00247CBF">
            <w:pPr>
              <w:spacing w:after="0"/>
              <w:jc w:val="center"/>
              <w:rPr>
                <w:sz w:val="20"/>
                <w:szCs w:val="20"/>
                <w:lang w:val="sr-Cyrl-CS"/>
              </w:rPr>
            </w:pPr>
            <w:r w:rsidRPr="00092ED7">
              <w:rPr>
                <w:sz w:val="20"/>
                <w:szCs w:val="20"/>
                <w:lang w:val="sr-Cyrl-CS"/>
              </w:rPr>
              <w:t>3,5</w:t>
            </w:r>
          </w:p>
        </w:tc>
      </w:tr>
      <w:tr w:rsidR="00247CBF" w:rsidRPr="00092ED7" w14:paraId="5A3E9DE1" w14:textId="77777777" w:rsidTr="00247CBF">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14333DB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3. Хармонизовани индекс потрошачких цена (HICP)</w:t>
            </w:r>
          </w:p>
        </w:tc>
        <w:tc>
          <w:tcPr>
            <w:tcW w:w="486" w:type="pct"/>
            <w:tcBorders>
              <w:top w:val="nil"/>
              <w:left w:val="nil"/>
              <w:bottom w:val="dotted" w:sz="4" w:space="0" w:color="auto"/>
              <w:right w:val="single" w:sz="8" w:space="0" w:color="auto"/>
            </w:tcBorders>
            <w:shd w:val="clear" w:color="000000" w:fill="FFFFFF"/>
            <w:vAlign w:val="center"/>
            <w:hideMark/>
          </w:tcPr>
          <w:p w14:paraId="0CD472C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4D44CE9B" w14:textId="77777777" w:rsidR="00247CBF" w:rsidRPr="00092ED7" w:rsidRDefault="00247CBF" w:rsidP="00247CBF">
            <w:pPr>
              <w:spacing w:after="0"/>
              <w:jc w:val="center"/>
              <w:rPr>
                <w:sz w:val="20"/>
                <w:szCs w:val="20"/>
                <w:lang w:val="sr-Cyrl-CS"/>
              </w:rPr>
            </w:pPr>
            <w:r w:rsidRPr="00092ED7">
              <w:rPr>
                <w:sz w:val="20"/>
                <w:szCs w:val="20"/>
                <w:lang w:val="sr-Cyrl-CS"/>
              </w:rPr>
              <w:t>4,0</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63B6E99F" w14:textId="77777777" w:rsidR="00247CBF" w:rsidRPr="00092ED7" w:rsidRDefault="00247CBF" w:rsidP="00247CBF">
            <w:pPr>
              <w:spacing w:after="0"/>
              <w:jc w:val="center"/>
              <w:rPr>
                <w:sz w:val="20"/>
                <w:szCs w:val="20"/>
                <w:lang w:val="sr-Cyrl-CS"/>
              </w:rPr>
            </w:pPr>
            <w:r w:rsidRPr="00092ED7">
              <w:rPr>
                <w:sz w:val="20"/>
                <w:szCs w:val="20"/>
                <w:lang w:val="sr-Cyrl-CS"/>
              </w:rPr>
              <w:t>11,7</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7B2D6661" w14:textId="77777777" w:rsidR="00247CBF" w:rsidRPr="00092ED7" w:rsidRDefault="00247CBF" w:rsidP="00247CBF">
            <w:pPr>
              <w:spacing w:after="0"/>
              <w:jc w:val="center"/>
              <w:rPr>
                <w:sz w:val="20"/>
                <w:szCs w:val="20"/>
                <w:lang w:val="sr-Cyrl-CS"/>
              </w:rPr>
            </w:pPr>
            <w:r w:rsidRPr="00092ED7">
              <w:rPr>
                <w:sz w:val="20"/>
                <w:szCs w:val="20"/>
                <w:lang w:val="sr-Cyrl-CS"/>
              </w:rPr>
              <w:t>12,5</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17BD8D7A" w14:textId="77777777" w:rsidR="00247CBF" w:rsidRPr="00092ED7" w:rsidRDefault="00247CBF" w:rsidP="00247CBF">
            <w:pPr>
              <w:spacing w:after="0"/>
              <w:jc w:val="center"/>
              <w:rPr>
                <w:sz w:val="20"/>
                <w:szCs w:val="20"/>
                <w:lang w:val="sr-Cyrl-CS"/>
              </w:rPr>
            </w:pPr>
            <w:r w:rsidRPr="00092ED7">
              <w:rPr>
                <w:sz w:val="20"/>
                <w:szCs w:val="20"/>
                <w:lang w:val="sr-Cyrl-CS"/>
              </w:rPr>
              <w:t>5,3</w:t>
            </w:r>
          </w:p>
        </w:tc>
        <w:tc>
          <w:tcPr>
            <w:tcW w:w="554" w:type="pct"/>
            <w:gridSpan w:val="2"/>
            <w:tcBorders>
              <w:top w:val="nil"/>
              <w:left w:val="nil"/>
              <w:bottom w:val="dotted" w:sz="4" w:space="0" w:color="auto"/>
              <w:right w:val="double" w:sz="6" w:space="0" w:color="auto"/>
            </w:tcBorders>
            <w:shd w:val="clear" w:color="000000" w:fill="FFFFFF"/>
            <w:vAlign w:val="center"/>
            <w:hideMark/>
          </w:tcPr>
          <w:p w14:paraId="5DE94D12" w14:textId="77777777" w:rsidR="00247CBF" w:rsidRPr="00092ED7" w:rsidRDefault="00247CBF" w:rsidP="00247CBF">
            <w:pPr>
              <w:spacing w:after="0"/>
              <w:jc w:val="center"/>
              <w:rPr>
                <w:sz w:val="20"/>
                <w:szCs w:val="20"/>
                <w:lang w:val="sr-Cyrl-CS"/>
              </w:rPr>
            </w:pPr>
            <w:r w:rsidRPr="00092ED7">
              <w:rPr>
                <w:sz w:val="20"/>
                <w:szCs w:val="20"/>
                <w:lang w:val="sr-Cyrl-CS"/>
              </w:rPr>
              <w:t>3,0</w:t>
            </w:r>
          </w:p>
        </w:tc>
      </w:tr>
      <w:tr w:rsidR="00247CBF" w:rsidRPr="00092ED7" w14:paraId="2C490652" w14:textId="77777777" w:rsidTr="00247CBF">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2F3BA19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4. Промена индекса потрошачких цена (CPI)</w:t>
            </w:r>
          </w:p>
        </w:tc>
        <w:tc>
          <w:tcPr>
            <w:tcW w:w="486" w:type="pct"/>
            <w:tcBorders>
              <w:top w:val="nil"/>
              <w:left w:val="nil"/>
              <w:bottom w:val="dotted" w:sz="4" w:space="0" w:color="auto"/>
              <w:right w:val="single" w:sz="8" w:space="0" w:color="auto"/>
            </w:tcBorders>
            <w:shd w:val="clear" w:color="000000" w:fill="FFFFFF"/>
            <w:vAlign w:val="center"/>
            <w:hideMark/>
          </w:tcPr>
          <w:p w14:paraId="1DB4254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230710CD" w14:textId="77777777" w:rsidR="00247CBF" w:rsidRPr="00092ED7" w:rsidRDefault="00247CBF" w:rsidP="00247CBF">
            <w:pPr>
              <w:spacing w:after="0"/>
              <w:jc w:val="center"/>
              <w:rPr>
                <w:sz w:val="20"/>
                <w:szCs w:val="20"/>
                <w:lang w:val="sr-Cyrl-CS"/>
              </w:rPr>
            </w:pPr>
            <w:r w:rsidRPr="00092ED7">
              <w:rPr>
                <w:sz w:val="20"/>
                <w:szCs w:val="20"/>
                <w:lang w:val="sr-Cyrl-CS"/>
              </w:rPr>
              <w:t>4,0</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611C538D" w14:textId="77777777" w:rsidR="00247CBF" w:rsidRPr="00092ED7" w:rsidRDefault="00247CBF" w:rsidP="00247CBF">
            <w:pPr>
              <w:spacing w:after="0"/>
              <w:jc w:val="center"/>
              <w:rPr>
                <w:sz w:val="20"/>
                <w:szCs w:val="20"/>
                <w:lang w:val="sr-Cyrl-CS"/>
              </w:rPr>
            </w:pPr>
            <w:r w:rsidRPr="00092ED7">
              <w:rPr>
                <w:sz w:val="20"/>
                <w:szCs w:val="20"/>
                <w:lang w:val="sr-Cyrl-CS"/>
              </w:rPr>
              <w:t>12,0</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16BE2237" w14:textId="77777777" w:rsidR="00247CBF" w:rsidRPr="00092ED7" w:rsidRDefault="00247CBF" w:rsidP="00247CBF">
            <w:pPr>
              <w:spacing w:after="0"/>
              <w:jc w:val="center"/>
              <w:rPr>
                <w:sz w:val="20"/>
                <w:szCs w:val="20"/>
                <w:lang w:val="sr-Cyrl-CS"/>
              </w:rPr>
            </w:pPr>
            <w:r w:rsidRPr="00092ED7">
              <w:rPr>
                <w:sz w:val="20"/>
                <w:szCs w:val="20"/>
                <w:lang w:val="sr-Cyrl-CS"/>
              </w:rPr>
              <w:t>12,5</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1733513A" w14:textId="77777777" w:rsidR="00247CBF" w:rsidRPr="00092ED7" w:rsidRDefault="00247CBF" w:rsidP="00247CBF">
            <w:pPr>
              <w:spacing w:after="0"/>
              <w:jc w:val="center"/>
              <w:rPr>
                <w:sz w:val="20"/>
                <w:szCs w:val="20"/>
                <w:lang w:val="sr-Cyrl-CS"/>
              </w:rPr>
            </w:pPr>
            <w:r w:rsidRPr="00092ED7">
              <w:rPr>
                <w:sz w:val="20"/>
                <w:szCs w:val="20"/>
                <w:lang w:val="sr-Cyrl-CS"/>
              </w:rPr>
              <w:t>5,3</w:t>
            </w:r>
          </w:p>
        </w:tc>
        <w:tc>
          <w:tcPr>
            <w:tcW w:w="554" w:type="pct"/>
            <w:gridSpan w:val="2"/>
            <w:tcBorders>
              <w:top w:val="nil"/>
              <w:left w:val="nil"/>
              <w:bottom w:val="dotted" w:sz="4" w:space="0" w:color="auto"/>
              <w:right w:val="double" w:sz="6" w:space="0" w:color="auto"/>
            </w:tcBorders>
            <w:shd w:val="clear" w:color="000000" w:fill="FFFFFF"/>
            <w:vAlign w:val="center"/>
            <w:hideMark/>
          </w:tcPr>
          <w:p w14:paraId="26BFEF38" w14:textId="77777777" w:rsidR="00247CBF" w:rsidRPr="00092ED7" w:rsidRDefault="00247CBF" w:rsidP="00247CBF">
            <w:pPr>
              <w:spacing w:after="0"/>
              <w:jc w:val="center"/>
              <w:rPr>
                <w:sz w:val="20"/>
                <w:szCs w:val="20"/>
                <w:lang w:val="sr-Cyrl-CS"/>
              </w:rPr>
            </w:pPr>
            <w:r w:rsidRPr="00092ED7">
              <w:rPr>
                <w:sz w:val="20"/>
                <w:szCs w:val="20"/>
                <w:lang w:val="sr-Cyrl-CS"/>
              </w:rPr>
              <w:t>3,0</w:t>
            </w:r>
          </w:p>
        </w:tc>
      </w:tr>
      <w:tr w:rsidR="00247CBF" w:rsidRPr="00092ED7" w14:paraId="4C37124C" w14:textId="77777777" w:rsidTr="00247CBF">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08843C8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5. Дефлатор јавне потрошње</w:t>
            </w:r>
          </w:p>
        </w:tc>
        <w:tc>
          <w:tcPr>
            <w:tcW w:w="486" w:type="pct"/>
            <w:tcBorders>
              <w:top w:val="nil"/>
              <w:left w:val="nil"/>
              <w:bottom w:val="dotted" w:sz="4" w:space="0" w:color="auto"/>
              <w:right w:val="single" w:sz="8" w:space="0" w:color="auto"/>
            </w:tcBorders>
            <w:shd w:val="clear" w:color="000000" w:fill="FFFFFF"/>
            <w:vAlign w:val="center"/>
            <w:hideMark/>
          </w:tcPr>
          <w:p w14:paraId="5411C3A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488ADC1E" w14:textId="77777777" w:rsidR="00247CBF" w:rsidRPr="00092ED7" w:rsidRDefault="00247CBF" w:rsidP="00247CBF">
            <w:pPr>
              <w:spacing w:after="0"/>
              <w:jc w:val="center"/>
              <w:rPr>
                <w:sz w:val="20"/>
                <w:szCs w:val="20"/>
                <w:lang w:val="sr-Cyrl-CS"/>
              </w:rPr>
            </w:pPr>
            <w:r w:rsidRPr="00092ED7">
              <w:rPr>
                <w:sz w:val="20"/>
                <w:szCs w:val="20"/>
                <w:lang w:val="sr-Cyrl-CS"/>
              </w:rPr>
              <w:t>5,4</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122B4291" w14:textId="77777777" w:rsidR="00247CBF" w:rsidRPr="00092ED7" w:rsidRDefault="00247CBF" w:rsidP="00247CBF">
            <w:pPr>
              <w:spacing w:after="0"/>
              <w:jc w:val="center"/>
              <w:rPr>
                <w:sz w:val="20"/>
                <w:szCs w:val="20"/>
                <w:lang w:val="sr-Cyrl-CS"/>
              </w:rPr>
            </w:pPr>
            <w:r w:rsidRPr="00092ED7">
              <w:rPr>
                <w:sz w:val="20"/>
                <w:szCs w:val="20"/>
                <w:lang w:val="sr-Cyrl-CS"/>
              </w:rPr>
              <w:t>10,0</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20A57C16" w14:textId="77777777" w:rsidR="00247CBF" w:rsidRPr="00092ED7" w:rsidRDefault="00247CBF" w:rsidP="00247CBF">
            <w:pPr>
              <w:spacing w:after="0"/>
              <w:jc w:val="center"/>
              <w:rPr>
                <w:sz w:val="20"/>
                <w:szCs w:val="20"/>
                <w:lang w:val="sr-Cyrl-CS"/>
              </w:rPr>
            </w:pPr>
            <w:r w:rsidRPr="00092ED7">
              <w:rPr>
                <w:sz w:val="20"/>
                <w:szCs w:val="20"/>
                <w:lang w:val="sr-Cyrl-CS"/>
              </w:rPr>
              <w:t>11,2</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07960F71" w14:textId="77777777" w:rsidR="00247CBF" w:rsidRPr="00092ED7" w:rsidRDefault="00247CBF" w:rsidP="00247CBF">
            <w:pPr>
              <w:spacing w:after="0"/>
              <w:jc w:val="center"/>
              <w:rPr>
                <w:sz w:val="20"/>
                <w:szCs w:val="20"/>
                <w:lang w:val="sr-Cyrl-CS"/>
              </w:rPr>
            </w:pPr>
            <w:r w:rsidRPr="00092ED7">
              <w:rPr>
                <w:sz w:val="20"/>
                <w:szCs w:val="20"/>
                <w:lang w:val="sr-Cyrl-CS"/>
              </w:rPr>
              <w:t>5,5</w:t>
            </w:r>
          </w:p>
        </w:tc>
        <w:tc>
          <w:tcPr>
            <w:tcW w:w="554" w:type="pct"/>
            <w:gridSpan w:val="2"/>
            <w:tcBorders>
              <w:top w:val="nil"/>
              <w:left w:val="nil"/>
              <w:bottom w:val="dotted" w:sz="4" w:space="0" w:color="auto"/>
              <w:right w:val="double" w:sz="6" w:space="0" w:color="auto"/>
            </w:tcBorders>
            <w:shd w:val="clear" w:color="000000" w:fill="FFFFFF"/>
            <w:vAlign w:val="center"/>
            <w:hideMark/>
          </w:tcPr>
          <w:p w14:paraId="22DB256A" w14:textId="77777777" w:rsidR="00247CBF" w:rsidRPr="00092ED7" w:rsidRDefault="00247CBF" w:rsidP="00247CBF">
            <w:pPr>
              <w:spacing w:after="0"/>
              <w:jc w:val="center"/>
              <w:rPr>
                <w:sz w:val="20"/>
                <w:szCs w:val="20"/>
                <w:lang w:val="sr-Cyrl-CS"/>
              </w:rPr>
            </w:pPr>
            <w:r w:rsidRPr="00092ED7">
              <w:rPr>
                <w:sz w:val="20"/>
                <w:szCs w:val="20"/>
                <w:lang w:val="sr-Cyrl-CS"/>
              </w:rPr>
              <w:t>5,6</w:t>
            </w:r>
          </w:p>
        </w:tc>
      </w:tr>
      <w:tr w:rsidR="00247CBF" w:rsidRPr="00092ED7" w14:paraId="21932BC1" w14:textId="77777777" w:rsidTr="00247CBF">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77C5CFB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6. Дефлатор инвестиција</w:t>
            </w:r>
          </w:p>
        </w:tc>
        <w:tc>
          <w:tcPr>
            <w:tcW w:w="486" w:type="pct"/>
            <w:tcBorders>
              <w:top w:val="nil"/>
              <w:left w:val="nil"/>
              <w:bottom w:val="dotted" w:sz="4" w:space="0" w:color="auto"/>
              <w:right w:val="single" w:sz="8" w:space="0" w:color="auto"/>
            </w:tcBorders>
            <w:shd w:val="clear" w:color="000000" w:fill="FFFFFF"/>
            <w:vAlign w:val="center"/>
            <w:hideMark/>
          </w:tcPr>
          <w:p w14:paraId="7ABD8A3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546C8D24" w14:textId="77777777" w:rsidR="00247CBF" w:rsidRPr="00092ED7" w:rsidRDefault="00247CBF" w:rsidP="00247CBF">
            <w:pPr>
              <w:spacing w:after="0"/>
              <w:jc w:val="center"/>
              <w:rPr>
                <w:sz w:val="20"/>
                <w:szCs w:val="20"/>
                <w:lang w:val="sr-Cyrl-CS"/>
              </w:rPr>
            </w:pPr>
            <w:r w:rsidRPr="00092ED7">
              <w:rPr>
                <w:sz w:val="20"/>
                <w:szCs w:val="20"/>
                <w:lang w:val="sr-Cyrl-CS"/>
              </w:rPr>
              <w:t>5,9</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636F6F39" w14:textId="77777777" w:rsidR="00247CBF" w:rsidRPr="00092ED7" w:rsidRDefault="00247CBF" w:rsidP="00247CBF">
            <w:pPr>
              <w:spacing w:after="0"/>
              <w:jc w:val="center"/>
              <w:rPr>
                <w:sz w:val="20"/>
                <w:szCs w:val="20"/>
                <w:lang w:val="sr-Cyrl-CS"/>
              </w:rPr>
            </w:pPr>
            <w:r w:rsidRPr="00092ED7">
              <w:rPr>
                <w:sz w:val="20"/>
                <w:szCs w:val="20"/>
                <w:lang w:val="sr-Cyrl-CS"/>
              </w:rPr>
              <w:t>14,4</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450AD30B" w14:textId="77777777" w:rsidR="00247CBF" w:rsidRPr="00092ED7" w:rsidRDefault="00247CBF" w:rsidP="00247CBF">
            <w:pPr>
              <w:spacing w:after="0"/>
              <w:jc w:val="center"/>
              <w:rPr>
                <w:sz w:val="20"/>
                <w:szCs w:val="20"/>
                <w:lang w:val="sr-Cyrl-CS"/>
              </w:rPr>
            </w:pPr>
            <w:r w:rsidRPr="00092ED7">
              <w:rPr>
                <w:sz w:val="20"/>
                <w:szCs w:val="20"/>
                <w:lang w:val="sr-Cyrl-CS"/>
              </w:rPr>
              <w:t>7,4</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4B4F3811" w14:textId="77777777" w:rsidR="00247CBF" w:rsidRPr="00092ED7" w:rsidRDefault="00247CBF" w:rsidP="00247CBF">
            <w:pPr>
              <w:spacing w:after="0"/>
              <w:jc w:val="center"/>
              <w:rPr>
                <w:sz w:val="20"/>
                <w:szCs w:val="20"/>
                <w:lang w:val="sr-Cyrl-CS"/>
              </w:rPr>
            </w:pPr>
            <w:r w:rsidRPr="00092ED7">
              <w:rPr>
                <w:sz w:val="20"/>
                <w:szCs w:val="20"/>
                <w:lang w:val="sr-Cyrl-CS"/>
              </w:rPr>
              <w:t>5,1</w:t>
            </w:r>
          </w:p>
        </w:tc>
        <w:tc>
          <w:tcPr>
            <w:tcW w:w="554" w:type="pct"/>
            <w:gridSpan w:val="2"/>
            <w:tcBorders>
              <w:top w:val="nil"/>
              <w:left w:val="nil"/>
              <w:bottom w:val="dotted" w:sz="4" w:space="0" w:color="auto"/>
              <w:right w:val="double" w:sz="6" w:space="0" w:color="auto"/>
            </w:tcBorders>
            <w:shd w:val="clear" w:color="000000" w:fill="FFFFFF"/>
            <w:vAlign w:val="center"/>
            <w:hideMark/>
          </w:tcPr>
          <w:p w14:paraId="3926D3AB" w14:textId="77777777" w:rsidR="00247CBF" w:rsidRPr="00092ED7" w:rsidRDefault="00247CBF" w:rsidP="00247CBF">
            <w:pPr>
              <w:spacing w:after="0"/>
              <w:jc w:val="center"/>
              <w:rPr>
                <w:sz w:val="20"/>
                <w:szCs w:val="20"/>
                <w:lang w:val="sr-Cyrl-CS"/>
              </w:rPr>
            </w:pPr>
            <w:r w:rsidRPr="00092ED7">
              <w:rPr>
                <w:sz w:val="20"/>
                <w:szCs w:val="20"/>
                <w:lang w:val="sr-Cyrl-CS"/>
              </w:rPr>
              <w:t>4,0</w:t>
            </w:r>
          </w:p>
        </w:tc>
      </w:tr>
      <w:tr w:rsidR="00247CBF" w:rsidRPr="00092ED7" w14:paraId="2675A23A" w14:textId="77777777" w:rsidTr="00247CBF">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26023C6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7. Дефлатор извозних цена (роба и услуге)</w:t>
            </w:r>
          </w:p>
        </w:tc>
        <w:tc>
          <w:tcPr>
            <w:tcW w:w="486" w:type="pct"/>
            <w:tcBorders>
              <w:top w:val="nil"/>
              <w:left w:val="nil"/>
              <w:bottom w:val="dotted" w:sz="4" w:space="0" w:color="auto"/>
              <w:right w:val="single" w:sz="8" w:space="0" w:color="auto"/>
            </w:tcBorders>
            <w:shd w:val="clear" w:color="000000" w:fill="FFFFFF"/>
            <w:vAlign w:val="center"/>
            <w:hideMark/>
          </w:tcPr>
          <w:p w14:paraId="3ED49C4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7D7C2D9A" w14:textId="77777777" w:rsidR="00247CBF" w:rsidRPr="00092ED7" w:rsidRDefault="00247CBF" w:rsidP="00247CBF">
            <w:pPr>
              <w:spacing w:after="0"/>
              <w:jc w:val="center"/>
              <w:rPr>
                <w:sz w:val="20"/>
                <w:szCs w:val="20"/>
                <w:lang w:val="sr-Cyrl-CS"/>
              </w:rPr>
            </w:pPr>
            <w:r w:rsidRPr="00092ED7">
              <w:rPr>
                <w:sz w:val="20"/>
                <w:szCs w:val="20"/>
                <w:lang w:val="sr-Cyrl-CS"/>
              </w:rPr>
              <w:t>7,7</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1FEE56AC" w14:textId="77777777" w:rsidR="00247CBF" w:rsidRPr="00092ED7" w:rsidRDefault="00247CBF" w:rsidP="00247CBF">
            <w:pPr>
              <w:spacing w:after="0"/>
              <w:jc w:val="center"/>
              <w:rPr>
                <w:sz w:val="20"/>
                <w:szCs w:val="20"/>
                <w:lang w:val="sr-Cyrl-CS"/>
              </w:rPr>
            </w:pPr>
            <w:r w:rsidRPr="00092ED7">
              <w:rPr>
                <w:sz w:val="20"/>
                <w:szCs w:val="20"/>
                <w:lang w:val="sr-Cyrl-CS"/>
              </w:rPr>
              <w:t>12,8</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157FC35A" w14:textId="77777777" w:rsidR="00247CBF" w:rsidRPr="00092ED7" w:rsidRDefault="00247CBF" w:rsidP="00247CBF">
            <w:pPr>
              <w:spacing w:after="0"/>
              <w:jc w:val="center"/>
              <w:rPr>
                <w:sz w:val="20"/>
                <w:szCs w:val="20"/>
                <w:lang w:val="sr-Cyrl-CS"/>
              </w:rPr>
            </w:pPr>
            <w:r w:rsidRPr="00092ED7">
              <w:rPr>
                <w:sz w:val="20"/>
                <w:szCs w:val="20"/>
                <w:lang w:val="sr-Cyrl-CS"/>
              </w:rPr>
              <w:t>7,3</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61761661" w14:textId="77777777" w:rsidR="00247CBF" w:rsidRPr="00092ED7" w:rsidRDefault="00247CBF" w:rsidP="00247CBF">
            <w:pPr>
              <w:spacing w:after="0"/>
              <w:jc w:val="center"/>
              <w:rPr>
                <w:sz w:val="20"/>
                <w:szCs w:val="20"/>
                <w:lang w:val="sr-Cyrl-CS"/>
              </w:rPr>
            </w:pPr>
            <w:r w:rsidRPr="00092ED7">
              <w:rPr>
                <w:sz w:val="20"/>
                <w:szCs w:val="20"/>
                <w:lang w:val="sr-Cyrl-CS"/>
              </w:rPr>
              <w:t>4,5</w:t>
            </w:r>
          </w:p>
        </w:tc>
        <w:tc>
          <w:tcPr>
            <w:tcW w:w="554" w:type="pct"/>
            <w:gridSpan w:val="2"/>
            <w:tcBorders>
              <w:top w:val="nil"/>
              <w:left w:val="nil"/>
              <w:bottom w:val="dotted" w:sz="4" w:space="0" w:color="auto"/>
              <w:right w:val="double" w:sz="6" w:space="0" w:color="auto"/>
            </w:tcBorders>
            <w:shd w:val="clear" w:color="000000" w:fill="FFFFFF"/>
            <w:vAlign w:val="center"/>
            <w:hideMark/>
          </w:tcPr>
          <w:p w14:paraId="0A457A68" w14:textId="77777777" w:rsidR="00247CBF" w:rsidRPr="00092ED7" w:rsidRDefault="00247CBF" w:rsidP="00247CBF">
            <w:pPr>
              <w:spacing w:after="0"/>
              <w:jc w:val="center"/>
              <w:rPr>
                <w:sz w:val="20"/>
                <w:szCs w:val="20"/>
                <w:lang w:val="sr-Cyrl-CS"/>
              </w:rPr>
            </w:pPr>
            <w:r w:rsidRPr="00092ED7">
              <w:rPr>
                <w:sz w:val="20"/>
                <w:szCs w:val="20"/>
                <w:lang w:val="sr-Cyrl-CS"/>
              </w:rPr>
              <w:t>3,6</w:t>
            </w:r>
          </w:p>
        </w:tc>
      </w:tr>
      <w:tr w:rsidR="00247CBF" w:rsidRPr="00092ED7" w14:paraId="18FBDDF8" w14:textId="77777777" w:rsidTr="00247CBF">
        <w:trPr>
          <w:gridBefore w:val="1"/>
          <w:wBefore w:w="8" w:type="pct"/>
          <w:trHeight w:val="304"/>
        </w:trPr>
        <w:tc>
          <w:tcPr>
            <w:tcW w:w="1740" w:type="pct"/>
            <w:gridSpan w:val="2"/>
            <w:tcBorders>
              <w:top w:val="nil"/>
              <w:left w:val="double" w:sz="6" w:space="0" w:color="auto"/>
              <w:bottom w:val="double" w:sz="6" w:space="0" w:color="auto"/>
              <w:right w:val="dotted" w:sz="4" w:space="0" w:color="auto"/>
            </w:tcBorders>
            <w:shd w:val="clear" w:color="000000" w:fill="FFFFFF"/>
            <w:vAlign w:val="center"/>
            <w:hideMark/>
          </w:tcPr>
          <w:p w14:paraId="09DD58A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8. Дефлатор увозних цена (роба и услуге)</w:t>
            </w:r>
          </w:p>
        </w:tc>
        <w:tc>
          <w:tcPr>
            <w:tcW w:w="486" w:type="pct"/>
            <w:tcBorders>
              <w:top w:val="nil"/>
              <w:left w:val="nil"/>
              <w:bottom w:val="double" w:sz="6" w:space="0" w:color="auto"/>
              <w:right w:val="single" w:sz="8" w:space="0" w:color="auto"/>
            </w:tcBorders>
            <w:shd w:val="clear" w:color="000000" w:fill="FFFFFF"/>
            <w:vAlign w:val="center"/>
            <w:hideMark/>
          </w:tcPr>
          <w:p w14:paraId="0B9DA58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53" w:type="pct"/>
            <w:gridSpan w:val="2"/>
            <w:tcBorders>
              <w:top w:val="nil"/>
              <w:left w:val="nil"/>
              <w:bottom w:val="double" w:sz="6" w:space="0" w:color="auto"/>
              <w:right w:val="dotted" w:sz="4" w:space="0" w:color="auto"/>
            </w:tcBorders>
            <w:shd w:val="clear" w:color="000000" w:fill="FFFFFF"/>
            <w:vAlign w:val="center"/>
            <w:hideMark/>
          </w:tcPr>
          <w:p w14:paraId="39E3F6BF" w14:textId="77777777" w:rsidR="00247CBF" w:rsidRPr="00092ED7" w:rsidRDefault="00247CBF" w:rsidP="00247CBF">
            <w:pPr>
              <w:spacing w:after="0"/>
              <w:jc w:val="center"/>
              <w:rPr>
                <w:sz w:val="20"/>
                <w:szCs w:val="20"/>
                <w:lang w:val="sr-Cyrl-CS"/>
              </w:rPr>
            </w:pPr>
            <w:r w:rsidRPr="00092ED7">
              <w:rPr>
                <w:sz w:val="20"/>
                <w:szCs w:val="20"/>
                <w:lang w:val="sr-Cyrl-CS"/>
              </w:rPr>
              <w:t>6,7</w:t>
            </w:r>
          </w:p>
        </w:tc>
        <w:tc>
          <w:tcPr>
            <w:tcW w:w="553" w:type="pct"/>
            <w:gridSpan w:val="2"/>
            <w:tcBorders>
              <w:top w:val="nil"/>
              <w:left w:val="nil"/>
              <w:bottom w:val="double" w:sz="6" w:space="0" w:color="auto"/>
              <w:right w:val="dotted" w:sz="4" w:space="0" w:color="auto"/>
            </w:tcBorders>
            <w:shd w:val="clear" w:color="000000" w:fill="FFFFFF"/>
            <w:vAlign w:val="center"/>
            <w:hideMark/>
          </w:tcPr>
          <w:p w14:paraId="797DDAE5" w14:textId="77777777" w:rsidR="00247CBF" w:rsidRPr="00092ED7" w:rsidRDefault="00247CBF" w:rsidP="00247CBF">
            <w:pPr>
              <w:spacing w:after="0"/>
              <w:jc w:val="center"/>
              <w:rPr>
                <w:sz w:val="20"/>
                <w:szCs w:val="20"/>
                <w:lang w:val="sr-Cyrl-CS"/>
              </w:rPr>
            </w:pPr>
            <w:r w:rsidRPr="00092ED7">
              <w:rPr>
                <w:sz w:val="20"/>
                <w:szCs w:val="20"/>
                <w:lang w:val="sr-Cyrl-CS"/>
              </w:rPr>
              <w:t>17,5</w:t>
            </w:r>
          </w:p>
        </w:tc>
        <w:tc>
          <w:tcPr>
            <w:tcW w:w="553" w:type="pct"/>
            <w:gridSpan w:val="2"/>
            <w:tcBorders>
              <w:top w:val="nil"/>
              <w:left w:val="nil"/>
              <w:bottom w:val="double" w:sz="6" w:space="0" w:color="auto"/>
              <w:right w:val="dotted" w:sz="4" w:space="0" w:color="auto"/>
            </w:tcBorders>
            <w:shd w:val="clear" w:color="000000" w:fill="FFFFFF"/>
            <w:vAlign w:val="center"/>
            <w:hideMark/>
          </w:tcPr>
          <w:p w14:paraId="6C437767" w14:textId="77777777" w:rsidR="00247CBF" w:rsidRPr="00092ED7" w:rsidRDefault="00247CBF" w:rsidP="00247CBF">
            <w:pPr>
              <w:spacing w:after="0"/>
              <w:jc w:val="center"/>
              <w:rPr>
                <w:sz w:val="20"/>
                <w:szCs w:val="20"/>
                <w:lang w:val="sr-Cyrl-CS"/>
              </w:rPr>
            </w:pPr>
            <w:r w:rsidRPr="00092ED7">
              <w:rPr>
                <w:sz w:val="20"/>
                <w:szCs w:val="20"/>
                <w:lang w:val="sr-Cyrl-CS"/>
              </w:rPr>
              <w:t>6,3</w:t>
            </w:r>
          </w:p>
        </w:tc>
        <w:tc>
          <w:tcPr>
            <w:tcW w:w="553" w:type="pct"/>
            <w:gridSpan w:val="2"/>
            <w:tcBorders>
              <w:top w:val="nil"/>
              <w:left w:val="nil"/>
              <w:bottom w:val="double" w:sz="6" w:space="0" w:color="auto"/>
              <w:right w:val="dotted" w:sz="4" w:space="0" w:color="auto"/>
            </w:tcBorders>
            <w:shd w:val="clear" w:color="000000" w:fill="FFFFFF"/>
            <w:vAlign w:val="center"/>
            <w:hideMark/>
          </w:tcPr>
          <w:p w14:paraId="7348A021" w14:textId="77777777" w:rsidR="00247CBF" w:rsidRPr="00092ED7" w:rsidRDefault="00247CBF" w:rsidP="00247CBF">
            <w:pPr>
              <w:spacing w:after="0"/>
              <w:jc w:val="center"/>
              <w:rPr>
                <w:sz w:val="20"/>
                <w:szCs w:val="20"/>
                <w:lang w:val="sr-Cyrl-CS"/>
              </w:rPr>
            </w:pPr>
            <w:r w:rsidRPr="00092ED7">
              <w:rPr>
                <w:sz w:val="20"/>
                <w:szCs w:val="20"/>
                <w:lang w:val="sr-Cyrl-CS"/>
              </w:rPr>
              <w:t>3,5</w:t>
            </w:r>
          </w:p>
        </w:tc>
        <w:tc>
          <w:tcPr>
            <w:tcW w:w="554" w:type="pct"/>
            <w:gridSpan w:val="2"/>
            <w:tcBorders>
              <w:top w:val="nil"/>
              <w:left w:val="nil"/>
              <w:bottom w:val="double" w:sz="6" w:space="0" w:color="auto"/>
              <w:right w:val="double" w:sz="6" w:space="0" w:color="auto"/>
            </w:tcBorders>
            <w:shd w:val="clear" w:color="000000" w:fill="FFFFFF"/>
            <w:vAlign w:val="center"/>
            <w:hideMark/>
          </w:tcPr>
          <w:p w14:paraId="4433F99D" w14:textId="77777777" w:rsidR="00247CBF" w:rsidRPr="00092ED7" w:rsidRDefault="00247CBF" w:rsidP="00247CBF">
            <w:pPr>
              <w:spacing w:after="0"/>
              <w:jc w:val="center"/>
              <w:rPr>
                <w:sz w:val="20"/>
                <w:szCs w:val="20"/>
                <w:lang w:val="sr-Cyrl-CS"/>
              </w:rPr>
            </w:pPr>
            <w:r w:rsidRPr="00092ED7">
              <w:rPr>
                <w:sz w:val="20"/>
                <w:szCs w:val="20"/>
                <w:lang w:val="sr-Cyrl-CS"/>
              </w:rPr>
              <w:t>3,0</w:t>
            </w:r>
          </w:p>
        </w:tc>
      </w:tr>
    </w:tbl>
    <w:p w14:paraId="117F3615" w14:textId="77777777" w:rsidR="00247CBF" w:rsidRPr="00092ED7" w:rsidRDefault="00247CBF" w:rsidP="00247CBF">
      <w:pPr>
        <w:rPr>
          <w:rFonts w:cs="Times New Roman"/>
          <w:lang w:val="sr-Cyrl-CS"/>
        </w:rPr>
      </w:pPr>
    </w:p>
    <w:p w14:paraId="584A85F0" w14:textId="77777777" w:rsidR="00247CBF" w:rsidRPr="00092ED7" w:rsidRDefault="00247CBF" w:rsidP="00247CBF">
      <w:pPr>
        <w:spacing w:after="160" w:line="259" w:lineRule="auto"/>
        <w:rPr>
          <w:rFonts w:cs="Times New Roman"/>
          <w:lang w:val="sr-Cyrl-CS"/>
        </w:rPr>
      </w:pPr>
      <w:r w:rsidRPr="00092ED7">
        <w:rPr>
          <w:rFonts w:cs="Times New Roman"/>
          <w:lang w:val="sr-Cyrl-CS"/>
        </w:rPr>
        <w:br w:type="page"/>
      </w:r>
    </w:p>
    <w:tbl>
      <w:tblPr>
        <w:tblW w:w="5011" w:type="pct"/>
        <w:tblLook w:val="04A0" w:firstRow="1" w:lastRow="0" w:firstColumn="1" w:lastColumn="0" w:noHBand="0" w:noVBand="1"/>
      </w:tblPr>
      <w:tblGrid>
        <w:gridCol w:w="24"/>
        <w:gridCol w:w="5788"/>
        <w:gridCol w:w="1133"/>
        <w:gridCol w:w="55"/>
        <w:gridCol w:w="1221"/>
        <w:gridCol w:w="120"/>
        <w:gridCol w:w="23"/>
        <w:gridCol w:w="1133"/>
        <w:gridCol w:w="187"/>
        <w:gridCol w:w="239"/>
        <w:gridCol w:w="689"/>
        <w:gridCol w:w="161"/>
        <w:gridCol w:w="283"/>
        <w:gridCol w:w="485"/>
        <w:gridCol w:w="365"/>
        <w:gridCol w:w="143"/>
        <w:gridCol w:w="421"/>
        <w:gridCol w:w="713"/>
        <w:gridCol w:w="143"/>
        <w:gridCol w:w="1241"/>
        <w:gridCol w:w="35"/>
      </w:tblGrid>
      <w:tr w:rsidR="00247CBF" w:rsidRPr="00092ED7" w14:paraId="4E9B3060" w14:textId="77777777" w:rsidTr="00247CBF">
        <w:trPr>
          <w:gridAfter w:val="1"/>
          <w:wAfter w:w="12" w:type="pct"/>
          <w:trHeight w:val="315"/>
        </w:trPr>
        <w:tc>
          <w:tcPr>
            <w:tcW w:w="2397" w:type="pct"/>
            <w:gridSpan w:val="4"/>
            <w:tcBorders>
              <w:top w:val="nil"/>
              <w:left w:val="nil"/>
              <w:bottom w:val="nil"/>
              <w:right w:val="nil"/>
            </w:tcBorders>
            <w:shd w:val="clear" w:color="000000" w:fill="FFFFFF"/>
            <w:noWrap/>
            <w:vAlign w:val="center"/>
            <w:hideMark/>
          </w:tcPr>
          <w:p w14:paraId="3E013EE0"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1c: Кретања на тржишту рада</w:t>
            </w:r>
          </w:p>
        </w:tc>
        <w:tc>
          <w:tcPr>
            <w:tcW w:w="459" w:type="pct"/>
            <w:gridSpan w:val="2"/>
            <w:tcBorders>
              <w:top w:val="nil"/>
              <w:left w:val="nil"/>
              <w:bottom w:val="double" w:sz="6" w:space="0" w:color="auto"/>
              <w:right w:val="nil"/>
            </w:tcBorders>
            <w:shd w:val="clear" w:color="000000" w:fill="FFFFFF"/>
            <w:noWrap/>
            <w:vAlign w:val="center"/>
            <w:hideMark/>
          </w:tcPr>
          <w:p w14:paraId="50D5E66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60" w:type="pct"/>
            <w:gridSpan w:val="3"/>
            <w:tcBorders>
              <w:top w:val="nil"/>
              <w:left w:val="nil"/>
              <w:bottom w:val="double" w:sz="6" w:space="0" w:color="auto"/>
              <w:right w:val="nil"/>
            </w:tcBorders>
            <w:shd w:val="clear" w:color="000000" w:fill="FFFFFF"/>
            <w:noWrap/>
            <w:vAlign w:val="center"/>
            <w:hideMark/>
          </w:tcPr>
          <w:p w14:paraId="38F5AF4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18" w:type="pct"/>
            <w:gridSpan w:val="2"/>
            <w:tcBorders>
              <w:top w:val="nil"/>
              <w:left w:val="nil"/>
              <w:bottom w:val="double" w:sz="6" w:space="0" w:color="auto"/>
              <w:right w:val="nil"/>
            </w:tcBorders>
            <w:shd w:val="clear" w:color="000000" w:fill="FFFFFF"/>
            <w:noWrap/>
            <w:vAlign w:val="center"/>
            <w:hideMark/>
          </w:tcPr>
          <w:p w14:paraId="4451FBC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18" w:type="pct"/>
            <w:gridSpan w:val="3"/>
            <w:tcBorders>
              <w:top w:val="nil"/>
              <w:left w:val="nil"/>
              <w:bottom w:val="double" w:sz="6" w:space="0" w:color="auto"/>
              <w:right w:val="nil"/>
            </w:tcBorders>
            <w:shd w:val="clear" w:color="000000" w:fill="FFFFFF"/>
            <w:noWrap/>
            <w:vAlign w:val="center"/>
            <w:hideMark/>
          </w:tcPr>
          <w:p w14:paraId="1835CC7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18" w:type="pct"/>
            <w:gridSpan w:val="3"/>
            <w:tcBorders>
              <w:top w:val="nil"/>
              <w:left w:val="nil"/>
              <w:bottom w:val="double" w:sz="6" w:space="0" w:color="auto"/>
              <w:right w:val="nil"/>
            </w:tcBorders>
            <w:shd w:val="clear" w:color="000000" w:fill="FFFFFF"/>
            <w:noWrap/>
            <w:vAlign w:val="center"/>
            <w:hideMark/>
          </w:tcPr>
          <w:p w14:paraId="62F2387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718" w:type="pct"/>
            <w:gridSpan w:val="3"/>
            <w:tcBorders>
              <w:top w:val="nil"/>
              <w:left w:val="nil"/>
              <w:bottom w:val="double" w:sz="6" w:space="0" w:color="auto"/>
              <w:right w:val="nil"/>
            </w:tcBorders>
            <w:shd w:val="clear" w:color="000000" w:fill="FFFFFF"/>
            <w:noWrap/>
            <w:vAlign w:val="center"/>
            <w:hideMark/>
          </w:tcPr>
          <w:p w14:paraId="016D066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096EB945" w14:textId="77777777" w:rsidTr="00247CBF">
        <w:trPr>
          <w:gridBefore w:val="1"/>
          <w:wBefore w:w="8" w:type="pct"/>
          <w:trHeight w:val="141"/>
        </w:trPr>
        <w:tc>
          <w:tcPr>
            <w:tcW w:w="1982" w:type="pct"/>
            <w:vMerge w:val="restart"/>
            <w:tcBorders>
              <w:top w:val="double" w:sz="6" w:space="0" w:color="auto"/>
              <w:left w:val="double" w:sz="6" w:space="0" w:color="auto"/>
              <w:bottom w:val="nil"/>
              <w:right w:val="nil"/>
            </w:tcBorders>
            <w:shd w:val="clear" w:color="000000" w:fill="FFFFFF"/>
            <w:vAlign w:val="center"/>
            <w:hideMark/>
          </w:tcPr>
          <w:p w14:paraId="329BAAF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388" w:type="pct"/>
            <w:tcBorders>
              <w:top w:val="double" w:sz="6" w:space="0" w:color="auto"/>
              <w:left w:val="single" w:sz="4" w:space="0" w:color="auto"/>
              <w:bottom w:val="nil"/>
              <w:right w:val="single" w:sz="4" w:space="0" w:color="auto"/>
            </w:tcBorders>
            <w:shd w:val="clear" w:color="000000" w:fill="FFFFFF"/>
            <w:vAlign w:val="center"/>
            <w:hideMark/>
          </w:tcPr>
          <w:p w14:paraId="18FBA89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ESA</w:t>
            </w:r>
          </w:p>
        </w:tc>
        <w:tc>
          <w:tcPr>
            <w:tcW w:w="437" w:type="pct"/>
            <w:gridSpan w:val="2"/>
            <w:vMerge w:val="restart"/>
            <w:tcBorders>
              <w:top w:val="double" w:sz="6" w:space="0" w:color="auto"/>
              <w:left w:val="nil"/>
              <w:right w:val="single" w:sz="4" w:space="0" w:color="auto"/>
            </w:tcBorders>
            <w:shd w:val="clear" w:color="000000" w:fill="FFFFFF"/>
            <w:vAlign w:val="center"/>
            <w:hideMark/>
          </w:tcPr>
          <w:p w14:paraId="097F8C4A" w14:textId="77777777" w:rsidR="00247CBF" w:rsidRPr="00092ED7" w:rsidRDefault="00247CBF" w:rsidP="00247CBF">
            <w:pPr>
              <w:spacing w:after="0"/>
              <w:jc w:val="center"/>
              <w:rPr>
                <w:sz w:val="20"/>
                <w:lang w:val="sr-Cyrl-CS"/>
              </w:rPr>
            </w:pPr>
            <w:r w:rsidRPr="00092ED7">
              <w:rPr>
                <w:sz w:val="20"/>
                <w:lang w:val="sr-Cyrl-CS"/>
              </w:rPr>
              <w:t>Година</w:t>
            </w:r>
          </w:p>
          <w:p w14:paraId="7D35A7C7" w14:textId="77777777" w:rsidR="00247CBF" w:rsidRPr="00092ED7" w:rsidRDefault="00247CBF" w:rsidP="00247CBF">
            <w:pPr>
              <w:spacing w:after="0"/>
              <w:jc w:val="center"/>
              <w:rPr>
                <w:sz w:val="20"/>
                <w:lang w:val="sr-Cyrl-CS"/>
              </w:rPr>
            </w:pPr>
            <w:r w:rsidRPr="00092ED7">
              <w:rPr>
                <w:sz w:val="20"/>
                <w:lang w:val="sr-Cyrl-CS"/>
              </w:rPr>
              <w:t>2021</w:t>
            </w:r>
          </w:p>
        </w:tc>
        <w:tc>
          <w:tcPr>
            <w:tcW w:w="437" w:type="pct"/>
            <w:gridSpan w:val="3"/>
            <w:vMerge w:val="restart"/>
            <w:tcBorders>
              <w:top w:val="double" w:sz="6" w:space="0" w:color="auto"/>
              <w:left w:val="nil"/>
              <w:right w:val="dotted" w:sz="4" w:space="0" w:color="auto"/>
            </w:tcBorders>
            <w:shd w:val="clear" w:color="000000" w:fill="FFFFFF"/>
            <w:vAlign w:val="center"/>
            <w:hideMark/>
          </w:tcPr>
          <w:p w14:paraId="0E7286A4" w14:textId="77777777" w:rsidR="00247CBF" w:rsidRPr="00092ED7" w:rsidRDefault="00247CBF" w:rsidP="00247CBF">
            <w:pPr>
              <w:spacing w:after="0"/>
              <w:jc w:val="center"/>
              <w:rPr>
                <w:sz w:val="20"/>
                <w:lang w:val="sr-Cyrl-CS"/>
              </w:rPr>
            </w:pPr>
            <w:r w:rsidRPr="00092ED7">
              <w:rPr>
                <w:sz w:val="20"/>
                <w:lang w:val="sr-Cyrl-CS"/>
              </w:rPr>
              <w:t>Година</w:t>
            </w:r>
          </w:p>
          <w:p w14:paraId="5AA3F31B" w14:textId="77777777" w:rsidR="00247CBF" w:rsidRPr="00092ED7" w:rsidRDefault="00247CBF" w:rsidP="00247CBF">
            <w:pPr>
              <w:spacing w:after="0"/>
              <w:jc w:val="center"/>
              <w:rPr>
                <w:sz w:val="20"/>
                <w:lang w:val="sr-Cyrl-CS"/>
              </w:rPr>
            </w:pPr>
            <w:r w:rsidRPr="00092ED7">
              <w:rPr>
                <w:sz w:val="20"/>
                <w:lang w:val="sr-Cyrl-CS"/>
              </w:rPr>
              <w:t>2021</w:t>
            </w:r>
          </w:p>
        </w:tc>
        <w:tc>
          <w:tcPr>
            <w:tcW w:w="437" w:type="pct"/>
            <w:gridSpan w:val="4"/>
            <w:vMerge w:val="restart"/>
            <w:tcBorders>
              <w:top w:val="double" w:sz="6" w:space="0" w:color="auto"/>
              <w:left w:val="nil"/>
              <w:right w:val="dotted" w:sz="4" w:space="0" w:color="auto"/>
            </w:tcBorders>
            <w:shd w:val="clear" w:color="000000" w:fill="FFFFFF"/>
            <w:vAlign w:val="center"/>
            <w:hideMark/>
          </w:tcPr>
          <w:p w14:paraId="5EB22F1E" w14:textId="77777777" w:rsidR="00247CBF" w:rsidRPr="00092ED7" w:rsidRDefault="00247CBF" w:rsidP="00247CBF">
            <w:pPr>
              <w:spacing w:after="0"/>
              <w:jc w:val="center"/>
              <w:rPr>
                <w:sz w:val="20"/>
                <w:lang w:val="sr-Cyrl-CS"/>
              </w:rPr>
            </w:pPr>
            <w:r w:rsidRPr="00092ED7">
              <w:rPr>
                <w:sz w:val="20"/>
                <w:lang w:val="sr-Cyrl-CS"/>
              </w:rPr>
              <w:t>Година</w:t>
            </w:r>
          </w:p>
          <w:p w14:paraId="74C689B5" w14:textId="77777777" w:rsidR="00247CBF" w:rsidRPr="00092ED7" w:rsidRDefault="00247CBF" w:rsidP="00247CBF">
            <w:pPr>
              <w:spacing w:after="0"/>
              <w:jc w:val="center"/>
              <w:rPr>
                <w:sz w:val="20"/>
                <w:lang w:val="sr-Cyrl-CS"/>
              </w:rPr>
            </w:pPr>
            <w:r w:rsidRPr="00092ED7">
              <w:rPr>
                <w:sz w:val="20"/>
                <w:lang w:val="sr-Cyrl-CS"/>
              </w:rPr>
              <w:t>2022</w:t>
            </w:r>
          </w:p>
        </w:tc>
        <w:tc>
          <w:tcPr>
            <w:tcW w:w="437" w:type="pct"/>
            <w:gridSpan w:val="4"/>
            <w:vMerge w:val="restart"/>
            <w:tcBorders>
              <w:top w:val="double" w:sz="6" w:space="0" w:color="auto"/>
              <w:left w:val="nil"/>
              <w:right w:val="dotted" w:sz="4" w:space="0" w:color="auto"/>
            </w:tcBorders>
            <w:shd w:val="clear" w:color="000000" w:fill="FFFFFF"/>
            <w:vAlign w:val="center"/>
            <w:hideMark/>
          </w:tcPr>
          <w:p w14:paraId="7F9DCF99" w14:textId="77777777" w:rsidR="00247CBF" w:rsidRPr="00092ED7" w:rsidRDefault="00247CBF" w:rsidP="00247CBF">
            <w:pPr>
              <w:spacing w:after="0"/>
              <w:jc w:val="center"/>
              <w:rPr>
                <w:sz w:val="20"/>
                <w:lang w:val="sr-Cyrl-CS"/>
              </w:rPr>
            </w:pPr>
            <w:r w:rsidRPr="00092ED7">
              <w:rPr>
                <w:sz w:val="20"/>
                <w:lang w:val="sr-Cyrl-CS"/>
              </w:rPr>
              <w:t>Година</w:t>
            </w:r>
          </w:p>
          <w:p w14:paraId="643221AE" w14:textId="77777777" w:rsidR="00247CBF" w:rsidRPr="00092ED7" w:rsidRDefault="00247CBF" w:rsidP="00247CBF">
            <w:pPr>
              <w:spacing w:after="0"/>
              <w:jc w:val="center"/>
              <w:rPr>
                <w:sz w:val="20"/>
                <w:lang w:val="sr-Cyrl-CS"/>
              </w:rPr>
            </w:pPr>
            <w:r w:rsidRPr="00092ED7">
              <w:rPr>
                <w:sz w:val="20"/>
                <w:lang w:val="sr-Cyrl-CS"/>
              </w:rPr>
              <w:t>2023</w:t>
            </w:r>
          </w:p>
        </w:tc>
        <w:tc>
          <w:tcPr>
            <w:tcW w:w="437" w:type="pct"/>
            <w:gridSpan w:val="3"/>
            <w:vMerge w:val="restart"/>
            <w:tcBorders>
              <w:top w:val="double" w:sz="6" w:space="0" w:color="auto"/>
              <w:left w:val="nil"/>
              <w:right w:val="dotted" w:sz="4" w:space="0" w:color="auto"/>
            </w:tcBorders>
            <w:shd w:val="clear" w:color="000000" w:fill="FFFFFF"/>
            <w:vAlign w:val="center"/>
            <w:hideMark/>
          </w:tcPr>
          <w:p w14:paraId="72430F36" w14:textId="77777777" w:rsidR="00247CBF" w:rsidRPr="00092ED7" w:rsidRDefault="00247CBF" w:rsidP="00247CBF">
            <w:pPr>
              <w:spacing w:after="0"/>
              <w:jc w:val="center"/>
              <w:rPr>
                <w:sz w:val="20"/>
                <w:lang w:val="sr-Cyrl-CS"/>
              </w:rPr>
            </w:pPr>
            <w:r w:rsidRPr="00092ED7">
              <w:rPr>
                <w:sz w:val="20"/>
                <w:lang w:val="sr-Cyrl-CS"/>
              </w:rPr>
              <w:t>Година</w:t>
            </w:r>
          </w:p>
          <w:p w14:paraId="11AB8641" w14:textId="77777777" w:rsidR="00247CBF" w:rsidRPr="00092ED7" w:rsidRDefault="00247CBF" w:rsidP="00247CBF">
            <w:pPr>
              <w:spacing w:after="0"/>
              <w:jc w:val="center"/>
              <w:rPr>
                <w:sz w:val="20"/>
                <w:lang w:val="sr-Cyrl-CS"/>
              </w:rPr>
            </w:pPr>
            <w:r w:rsidRPr="00092ED7">
              <w:rPr>
                <w:sz w:val="20"/>
                <w:lang w:val="sr-Cyrl-CS"/>
              </w:rPr>
              <w:t>2024</w:t>
            </w:r>
          </w:p>
        </w:tc>
        <w:tc>
          <w:tcPr>
            <w:tcW w:w="437" w:type="pct"/>
            <w:gridSpan w:val="2"/>
            <w:vMerge w:val="restart"/>
            <w:tcBorders>
              <w:top w:val="double" w:sz="6" w:space="0" w:color="auto"/>
              <w:left w:val="nil"/>
              <w:right w:val="double" w:sz="6" w:space="0" w:color="auto"/>
            </w:tcBorders>
            <w:shd w:val="clear" w:color="000000" w:fill="FFFFFF"/>
            <w:vAlign w:val="center"/>
            <w:hideMark/>
          </w:tcPr>
          <w:p w14:paraId="7C4A13FF" w14:textId="77777777" w:rsidR="00247CBF" w:rsidRPr="00092ED7" w:rsidRDefault="00247CBF" w:rsidP="00247CBF">
            <w:pPr>
              <w:spacing w:after="0"/>
              <w:jc w:val="center"/>
              <w:rPr>
                <w:sz w:val="20"/>
                <w:lang w:val="sr-Cyrl-CS"/>
              </w:rPr>
            </w:pPr>
            <w:r w:rsidRPr="00092ED7">
              <w:rPr>
                <w:sz w:val="20"/>
                <w:lang w:val="sr-Cyrl-CS"/>
              </w:rPr>
              <w:t>Година</w:t>
            </w:r>
          </w:p>
          <w:p w14:paraId="40EE1A2B" w14:textId="77777777" w:rsidR="00247CBF" w:rsidRPr="00092ED7" w:rsidRDefault="00247CBF" w:rsidP="00247CBF">
            <w:pPr>
              <w:spacing w:after="0"/>
              <w:jc w:val="center"/>
              <w:rPr>
                <w:sz w:val="20"/>
                <w:lang w:val="sr-Cyrl-CS"/>
              </w:rPr>
            </w:pPr>
            <w:r w:rsidRPr="00092ED7">
              <w:rPr>
                <w:sz w:val="20"/>
                <w:lang w:val="sr-Cyrl-CS"/>
              </w:rPr>
              <w:t>2025</w:t>
            </w:r>
          </w:p>
        </w:tc>
      </w:tr>
      <w:tr w:rsidR="00247CBF" w:rsidRPr="00092ED7" w14:paraId="27DCDBD9" w14:textId="77777777" w:rsidTr="00247CBF">
        <w:trPr>
          <w:gridBefore w:val="1"/>
          <w:wBefore w:w="8" w:type="pct"/>
          <w:trHeight w:val="25"/>
        </w:trPr>
        <w:tc>
          <w:tcPr>
            <w:tcW w:w="1982" w:type="pct"/>
            <w:vMerge/>
            <w:tcBorders>
              <w:top w:val="double" w:sz="6" w:space="0" w:color="auto"/>
              <w:left w:val="double" w:sz="6" w:space="0" w:color="auto"/>
              <w:bottom w:val="nil"/>
              <w:right w:val="nil"/>
            </w:tcBorders>
            <w:vAlign w:val="center"/>
            <w:hideMark/>
          </w:tcPr>
          <w:p w14:paraId="77C630C7" w14:textId="77777777" w:rsidR="00247CBF" w:rsidRPr="00092ED7" w:rsidRDefault="00247CBF" w:rsidP="00247CBF">
            <w:pPr>
              <w:spacing w:after="0"/>
              <w:rPr>
                <w:rFonts w:eastAsia="Times New Roman" w:cs="Times New Roman"/>
                <w:sz w:val="20"/>
                <w:szCs w:val="20"/>
                <w:lang w:val="sr-Cyrl-CS"/>
              </w:rPr>
            </w:pPr>
          </w:p>
        </w:tc>
        <w:tc>
          <w:tcPr>
            <w:tcW w:w="388" w:type="pct"/>
            <w:tcBorders>
              <w:top w:val="nil"/>
              <w:left w:val="single" w:sz="4" w:space="0" w:color="auto"/>
              <w:bottom w:val="nil"/>
              <w:right w:val="single" w:sz="4" w:space="0" w:color="auto"/>
            </w:tcBorders>
            <w:shd w:val="clear" w:color="000000" w:fill="FFFFFF"/>
            <w:vAlign w:val="center"/>
            <w:hideMark/>
          </w:tcPr>
          <w:p w14:paraId="094A42A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шифра</w:t>
            </w:r>
          </w:p>
        </w:tc>
        <w:tc>
          <w:tcPr>
            <w:tcW w:w="437" w:type="pct"/>
            <w:gridSpan w:val="2"/>
            <w:vMerge/>
            <w:tcBorders>
              <w:left w:val="nil"/>
              <w:bottom w:val="dotted" w:sz="4" w:space="0" w:color="auto"/>
              <w:right w:val="single" w:sz="4" w:space="0" w:color="auto"/>
            </w:tcBorders>
            <w:shd w:val="clear" w:color="000000" w:fill="FFFFFF"/>
            <w:vAlign w:val="center"/>
            <w:hideMark/>
          </w:tcPr>
          <w:p w14:paraId="00EB93A1" w14:textId="77777777" w:rsidR="00247CBF" w:rsidRPr="00092ED7" w:rsidRDefault="00247CBF" w:rsidP="00247CBF">
            <w:pPr>
              <w:spacing w:after="0"/>
              <w:jc w:val="center"/>
              <w:rPr>
                <w:sz w:val="20"/>
                <w:lang w:val="sr-Cyrl-CS"/>
              </w:rPr>
            </w:pPr>
          </w:p>
        </w:tc>
        <w:tc>
          <w:tcPr>
            <w:tcW w:w="437" w:type="pct"/>
            <w:gridSpan w:val="3"/>
            <w:vMerge/>
            <w:tcBorders>
              <w:left w:val="nil"/>
              <w:bottom w:val="dotted" w:sz="4" w:space="0" w:color="auto"/>
              <w:right w:val="dotted" w:sz="4" w:space="0" w:color="auto"/>
            </w:tcBorders>
            <w:shd w:val="clear" w:color="000000" w:fill="FFFFFF"/>
            <w:vAlign w:val="center"/>
            <w:hideMark/>
          </w:tcPr>
          <w:p w14:paraId="688B393D" w14:textId="77777777" w:rsidR="00247CBF" w:rsidRPr="00092ED7" w:rsidRDefault="00247CBF" w:rsidP="00247CBF">
            <w:pPr>
              <w:spacing w:after="0"/>
              <w:jc w:val="center"/>
              <w:rPr>
                <w:sz w:val="20"/>
                <w:lang w:val="sr-Cyrl-CS"/>
              </w:rPr>
            </w:pPr>
          </w:p>
        </w:tc>
        <w:tc>
          <w:tcPr>
            <w:tcW w:w="437" w:type="pct"/>
            <w:gridSpan w:val="4"/>
            <w:vMerge/>
            <w:tcBorders>
              <w:left w:val="nil"/>
              <w:bottom w:val="dotted" w:sz="4" w:space="0" w:color="auto"/>
              <w:right w:val="dotted" w:sz="4" w:space="0" w:color="auto"/>
            </w:tcBorders>
            <w:shd w:val="clear" w:color="000000" w:fill="FFFFFF"/>
            <w:vAlign w:val="center"/>
            <w:hideMark/>
          </w:tcPr>
          <w:p w14:paraId="401FCA61" w14:textId="77777777" w:rsidR="00247CBF" w:rsidRPr="00092ED7" w:rsidRDefault="00247CBF" w:rsidP="00247CBF">
            <w:pPr>
              <w:spacing w:after="0"/>
              <w:jc w:val="center"/>
              <w:rPr>
                <w:sz w:val="20"/>
                <w:lang w:val="sr-Cyrl-CS"/>
              </w:rPr>
            </w:pPr>
          </w:p>
        </w:tc>
        <w:tc>
          <w:tcPr>
            <w:tcW w:w="437" w:type="pct"/>
            <w:gridSpan w:val="4"/>
            <w:vMerge/>
            <w:tcBorders>
              <w:left w:val="nil"/>
              <w:bottom w:val="dotted" w:sz="4" w:space="0" w:color="auto"/>
              <w:right w:val="dotted" w:sz="4" w:space="0" w:color="auto"/>
            </w:tcBorders>
            <w:shd w:val="clear" w:color="000000" w:fill="FFFFFF"/>
            <w:vAlign w:val="center"/>
            <w:hideMark/>
          </w:tcPr>
          <w:p w14:paraId="1EA3BBCA" w14:textId="77777777" w:rsidR="00247CBF" w:rsidRPr="00092ED7" w:rsidRDefault="00247CBF" w:rsidP="00247CBF">
            <w:pPr>
              <w:spacing w:after="0"/>
              <w:jc w:val="center"/>
              <w:rPr>
                <w:sz w:val="20"/>
                <w:lang w:val="sr-Cyrl-CS"/>
              </w:rPr>
            </w:pPr>
          </w:p>
        </w:tc>
        <w:tc>
          <w:tcPr>
            <w:tcW w:w="437" w:type="pct"/>
            <w:gridSpan w:val="3"/>
            <w:vMerge/>
            <w:tcBorders>
              <w:left w:val="nil"/>
              <w:bottom w:val="dotted" w:sz="4" w:space="0" w:color="auto"/>
              <w:right w:val="dotted" w:sz="4" w:space="0" w:color="auto"/>
            </w:tcBorders>
            <w:shd w:val="clear" w:color="000000" w:fill="FFFFFF"/>
            <w:vAlign w:val="center"/>
            <w:hideMark/>
          </w:tcPr>
          <w:p w14:paraId="0A67F1FA" w14:textId="77777777" w:rsidR="00247CBF" w:rsidRPr="00092ED7" w:rsidRDefault="00247CBF" w:rsidP="00247CBF">
            <w:pPr>
              <w:spacing w:after="0"/>
              <w:jc w:val="center"/>
              <w:rPr>
                <w:sz w:val="20"/>
                <w:lang w:val="sr-Cyrl-CS"/>
              </w:rPr>
            </w:pPr>
          </w:p>
        </w:tc>
        <w:tc>
          <w:tcPr>
            <w:tcW w:w="437" w:type="pct"/>
            <w:gridSpan w:val="2"/>
            <w:vMerge/>
            <w:tcBorders>
              <w:left w:val="nil"/>
              <w:bottom w:val="dotted" w:sz="4" w:space="0" w:color="auto"/>
              <w:right w:val="double" w:sz="6" w:space="0" w:color="auto"/>
            </w:tcBorders>
            <w:shd w:val="clear" w:color="000000" w:fill="FFFFFF"/>
            <w:vAlign w:val="center"/>
            <w:hideMark/>
          </w:tcPr>
          <w:p w14:paraId="50BAC322" w14:textId="77777777" w:rsidR="00247CBF" w:rsidRPr="00092ED7" w:rsidRDefault="00247CBF" w:rsidP="00247CBF">
            <w:pPr>
              <w:spacing w:after="0"/>
              <w:jc w:val="center"/>
              <w:rPr>
                <w:sz w:val="20"/>
                <w:lang w:val="sr-Cyrl-CS"/>
              </w:rPr>
            </w:pPr>
          </w:p>
        </w:tc>
      </w:tr>
      <w:tr w:rsidR="00247CBF" w:rsidRPr="00092ED7" w14:paraId="044A2705" w14:textId="77777777" w:rsidTr="00247CBF">
        <w:trPr>
          <w:gridBefore w:val="1"/>
          <w:wBefore w:w="8" w:type="pct"/>
          <w:trHeight w:val="184"/>
        </w:trPr>
        <w:tc>
          <w:tcPr>
            <w:tcW w:w="1982" w:type="pct"/>
            <w:tcBorders>
              <w:top w:val="nil"/>
              <w:left w:val="double" w:sz="6" w:space="0" w:color="auto"/>
              <w:bottom w:val="single" w:sz="8" w:space="0" w:color="auto"/>
              <w:right w:val="nil"/>
            </w:tcBorders>
            <w:shd w:val="clear" w:color="000000" w:fill="FFFFFF"/>
            <w:vAlign w:val="center"/>
            <w:hideMark/>
          </w:tcPr>
          <w:p w14:paraId="5EEAEE4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88" w:type="pct"/>
            <w:tcBorders>
              <w:top w:val="nil"/>
              <w:left w:val="single" w:sz="4" w:space="0" w:color="auto"/>
              <w:bottom w:val="single" w:sz="8" w:space="0" w:color="auto"/>
              <w:right w:val="single" w:sz="4" w:space="0" w:color="auto"/>
            </w:tcBorders>
            <w:shd w:val="clear" w:color="000000" w:fill="FFFFFF"/>
            <w:vAlign w:val="center"/>
            <w:hideMark/>
          </w:tcPr>
          <w:p w14:paraId="75C3B01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1311" w:type="pct"/>
            <w:gridSpan w:val="9"/>
            <w:tcBorders>
              <w:top w:val="nil"/>
              <w:left w:val="nil"/>
              <w:bottom w:val="single" w:sz="8" w:space="0" w:color="auto"/>
              <w:right w:val="single" w:sz="4" w:space="0" w:color="auto"/>
            </w:tcBorders>
            <w:shd w:val="clear" w:color="000000" w:fill="FFFFFF"/>
            <w:vAlign w:val="center"/>
            <w:hideMark/>
          </w:tcPr>
          <w:p w14:paraId="6F48740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Ниво</w:t>
            </w:r>
          </w:p>
        </w:tc>
        <w:tc>
          <w:tcPr>
            <w:tcW w:w="1311" w:type="pct"/>
            <w:gridSpan w:val="9"/>
            <w:tcBorders>
              <w:top w:val="dotted" w:sz="4" w:space="0" w:color="auto"/>
              <w:left w:val="nil"/>
              <w:bottom w:val="single" w:sz="8" w:space="0" w:color="auto"/>
              <w:right w:val="double" w:sz="6" w:space="0" w:color="000000"/>
            </w:tcBorders>
            <w:shd w:val="clear" w:color="000000" w:fill="FFFFFF"/>
            <w:vAlign w:val="center"/>
            <w:hideMark/>
          </w:tcPr>
          <w:p w14:paraId="4998C1A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Ниво/Стопа промене</w:t>
            </w:r>
          </w:p>
        </w:tc>
      </w:tr>
      <w:tr w:rsidR="00247CBF" w:rsidRPr="00092ED7" w14:paraId="4682CC88"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2BC7AE41" w14:textId="77777777" w:rsidR="00247CBF" w:rsidRPr="00092ED7" w:rsidRDefault="00247CBF" w:rsidP="00247CBF">
            <w:pPr>
              <w:spacing w:after="0"/>
              <w:jc w:val="left"/>
              <w:rPr>
                <w:rFonts w:eastAsia="Times New Roman" w:cs="Times New Roman"/>
                <w:sz w:val="20"/>
                <w:szCs w:val="20"/>
                <w:lang w:val="sr-Cyrl-CS"/>
              </w:rPr>
            </w:pPr>
            <w:bookmarkStart w:id="119" w:name="RANGE!B7"/>
            <w:r w:rsidRPr="00092ED7">
              <w:rPr>
                <w:rFonts w:eastAsia="Times New Roman" w:cs="Times New Roman"/>
                <w:sz w:val="20"/>
                <w:szCs w:val="20"/>
                <w:lang w:val="sr-Cyrl-CS"/>
              </w:rPr>
              <w:t>1. Становништво (у хиљадама)</w:t>
            </w:r>
            <w:bookmarkEnd w:id="119"/>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2674B960"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66F84F7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auto" w:fill="auto"/>
            <w:noWrap/>
            <w:vAlign w:val="center"/>
            <w:hideMark/>
          </w:tcPr>
          <w:p w14:paraId="5F0DA641" w14:textId="77777777" w:rsidR="00247CBF" w:rsidRPr="00092ED7" w:rsidRDefault="00247CBF" w:rsidP="00247CBF">
            <w:pPr>
              <w:spacing w:after="0"/>
              <w:jc w:val="right"/>
              <w:rPr>
                <w:sz w:val="20"/>
                <w:szCs w:val="20"/>
                <w:lang w:val="sr-Cyrl-CS"/>
              </w:rPr>
            </w:pPr>
            <w:r w:rsidRPr="00092ED7">
              <w:rPr>
                <w:sz w:val="20"/>
                <w:szCs w:val="20"/>
                <w:lang w:val="sr-Cyrl-CS"/>
              </w:rPr>
              <w:t>6.834</w:t>
            </w:r>
          </w:p>
        </w:tc>
        <w:tc>
          <w:tcPr>
            <w:tcW w:w="437" w:type="pct"/>
            <w:gridSpan w:val="4"/>
            <w:tcBorders>
              <w:top w:val="nil"/>
              <w:left w:val="nil"/>
              <w:bottom w:val="dotted" w:sz="4" w:space="0" w:color="auto"/>
              <w:right w:val="dotted" w:sz="4" w:space="0" w:color="auto"/>
            </w:tcBorders>
            <w:shd w:val="clear" w:color="auto" w:fill="auto"/>
            <w:noWrap/>
            <w:vAlign w:val="center"/>
            <w:hideMark/>
          </w:tcPr>
          <w:p w14:paraId="29AFE887" w14:textId="77777777" w:rsidR="00247CBF" w:rsidRPr="00092ED7" w:rsidRDefault="00247CBF" w:rsidP="00247CBF">
            <w:pPr>
              <w:spacing w:after="0"/>
              <w:jc w:val="right"/>
              <w:rPr>
                <w:sz w:val="20"/>
                <w:szCs w:val="20"/>
                <w:lang w:val="sr-Cyrl-CS"/>
              </w:rPr>
            </w:pPr>
            <w:r w:rsidRPr="00092ED7">
              <w:rPr>
                <w:sz w:val="20"/>
                <w:szCs w:val="20"/>
                <w:lang w:val="sr-Cyrl-CS"/>
              </w:rPr>
              <w:t>6.800</w:t>
            </w:r>
          </w:p>
        </w:tc>
        <w:tc>
          <w:tcPr>
            <w:tcW w:w="437" w:type="pct"/>
            <w:gridSpan w:val="4"/>
            <w:tcBorders>
              <w:top w:val="nil"/>
              <w:left w:val="nil"/>
              <w:bottom w:val="dotted" w:sz="4" w:space="0" w:color="auto"/>
              <w:right w:val="dotted" w:sz="4" w:space="0" w:color="auto"/>
            </w:tcBorders>
            <w:shd w:val="clear" w:color="auto" w:fill="auto"/>
            <w:noWrap/>
            <w:vAlign w:val="center"/>
            <w:hideMark/>
          </w:tcPr>
          <w:p w14:paraId="5C783F82" w14:textId="77777777" w:rsidR="00247CBF" w:rsidRPr="00092ED7" w:rsidRDefault="00247CBF" w:rsidP="00247CBF">
            <w:pPr>
              <w:spacing w:after="0"/>
              <w:jc w:val="right"/>
              <w:rPr>
                <w:sz w:val="20"/>
                <w:szCs w:val="20"/>
                <w:lang w:val="sr-Cyrl-CS"/>
              </w:rPr>
            </w:pPr>
            <w:r w:rsidRPr="00092ED7">
              <w:rPr>
                <w:sz w:val="20"/>
                <w:szCs w:val="20"/>
                <w:lang w:val="sr-Cyrl-CS"/>
              </w:rPr>
              <w:t>6.780</w:t>
            </w:r>
          </w:p>
        </w:tc>
        <w:tc>
          <w:tcPr>
            <w:tcW w:w="437" w:type="pct"/>
            <w:gridSpan w:val="3"/>
            <w:tcBorders>
              <w:top w:val="nil"/>
              <w:left w:val="nil"/>
              <w:bottom w:val="dotted" w:sz="4" w:space="0" w:color="auto"/>
              <w:right w:val="dotted" w:sz="4" w:space="0" w:color="auto"/>
            </w:tcBorders>
            <w:shd w:val="clear" w:color="auto" w:fill="auto"/>
            <w:noWrap/>
            <w:vAlign w:val="center"/>
            <w:hideMark/>
          </w:tcPr>
          <w:p w14:paraId="0C294E79" w14:textId="77777777" w:rsidR="00247CBF" w:rsidRPr="00092ED7" w:rsidRDefault="00247CBF" w:rsidP="00247CBF">
            <w:pPr>
              <w:spacing w:after="0"/>
              <w:jc w:val="right"/>
              <w:rPr>
                <w:sz w:val="20"/>
                <w:szCs w:val="20"/>
                <w:lang w:val="sr-Cyrl-CS"/>
              </w:rPr>
            </w:pPr>
            <w:r w:rsidRPr="00092ED7">
              <w:rPr>
                <w:sz w:val="20"/>
                <w:szCs w:val="20"/>
                <w:lang w:val="sr-Cyrl-CS"/>
              </w:rPr>
              <w:t>6.759</w:t>
            </w:r>
          </w:p>
        </w:tc>
        <w:tc>
          <w:tcPr>
            <w:tcW w:w="437" w:type="pct"/>
            <w:gridSpan w:val="2"/>
            <w:tcBorders>
              <w:top w:val="nil"/>
              <w:left w:val="nil"/>
              <w:bottom w:val="dotted" w:sz="4" w:space="0" w:color="auto"/>
              <w:right w:val="double" w:sz="6" w:space="0" w:color="auto"/>
            </w:tcBorders>
            <w:shd w:val="clear" w:color="auto" w:fill="auto"/>
            <w:noWrap/>
            <w:vAlign w:val="center"/>
            <w:hideMark/>
          </w:tcPr>
          <w:p w14:paraId="27B42F2E" w14:textId="77777777" w:rsidR="00247CBF" w:rsidRPr="00092ED7" w:rsidRDefault="00247CBF" w:rsidP="00247CBF">
            <w:pPr>
              <w:spacing w:after="0"/>
              <w:jc w:val="right"/>
              <w:rPr>
                <w:sz w:val="20"/>
                <w:szCs w:val="20"/>
                <w:lang w:val="sr-Cyrl-CS"/>
              </w:rPr>
            </w:pPr>
            <w:r w:rsidRPr="00092ED7">
              <w:rPr>
                <w:sz w:val="20"/>
                <w:szCs w:val="20"/>
                <w:lang w:val="sr-Cyrl-CS"/>
              </w:rPr>
              <w:t>6.739</w:t>
            </w:r>
          </w:p>
        </w:tc>
      </w:tr>
      <w:tr w:rsidR="00247CBF" w:rsidRPr="00092ED7" w14:paraId="523FAE74"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22ED4890" w14:textId="77777777" w:rsidR="00247CBF" w:rsidRPr="00092ED7" w:rsidRDefault="00247CBF" w:rsidP="00247CBF">
            <w:pPr>
              <w:spacing w:after="0"/>
              <w:jc w:val="left"/>
              <w:rPr>
                <w:rFonts w:eastAsia="Times New Roman" w:cs="Times New Roman"/>
                <w:sz w:val="20"/>
                <w:szCs w:val="20"/>
                <w:lang w:val="sr-Cyrl-CS"/>
              </w:rPr>
            </w:pPr>
            <w:bookmarkStart w:id="120" w:name="RANGE!B8"/>
            <w:r w:rsidRPr="00092ED7">
              <w:rPr>
                <w:rFonts w:eastAsia="Times New Roman" w:cs="Times New Roman"/>
                <w:sz w:val="20"/>
                <w:szCs w:val="20"/>
                <w:lang w:val="sr-Cyrl-CS"/>
              </w:rPr>
              <w:t>2. Становништво (стопа раста у %)</w:t>
            </w:r>
            <w:bookmarkEnd w:id="120"/>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040576E9"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60AF7DC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auto" w:fill="auto"/>
            <w:noWrap/>
            <w:vAlign w:val="center"/>
            <w:hideMark/>
          </w:tcPr>
          <w:p w14:paraId="4778C017" w14:textId="77777777" w:rsidR="00247CBF" w:rsidRPr="00092ED7" w:rsidRDefault="00247CBF" w:rsidP="00247CBF">
            <w:pPr>
              <w:spacing w:after="0"/>
              <w:jc w:val="right"/>
              <w:rPr>
                <w:sz w:val="20"/>
                <w:szCs w:val="20"/>
                <w:lang w:val="sr-Cyrl-CS"/>
              </w:rPr>
            </w:pPr>
            <w:r w:rsidRPr="00092ED7">
              <w:rPr>
                <w:sz w:val="20"/>
                <w:szCs w:val="20"/>
                <w:lang w:val="sr-Cyrl-CS"/>
              </w:rPr>
              <w:t>-0,9</w:t>
            </w:r>
          </w:p>
        </w:tc>
        <w:tc>
          <w:tcPr>
            <w:tcW w:w="437" w:type="pct"/>
            <w:gridSpan w:val="4"/>
            <w:tcBorders>
              <w:top w:val="nil"/>
              <w:left w:val="nil"/>
              <w:bottom w:val="dotted" w:sz="4" w:space="0" w:color="auto"/>
              <w:right w:val="dotted" w:sz="4" w:space="0" w:color="auto"/>
            </w:tcBorders>
            <w:shd w:val="clear" w:color="auto" w:fill="auto"/>
            <w:noWrap/>
            <w:vAlign w:val="center"/>
            <w:hideMark/>
          </w:tcPr>
          <w:p w14:paraId="7E6DFDCE" w14:textId="77777777" w:rsidR="00247CBF" w:rsidRPr="00092ED7" w:rsidRDefault="00247CBF" w:rsidP="00247CBF">
            <w:pPr>
              <w:spacing w:after="0"/>
              <w:jc w:val="right"/>
              <w:rPr>
                <w:sz w:val="20"/>
                <w:szCs w:val="20"/>
                <w:lang w:val="sr-Cyrl-CS"/>
              </w:rPr>
            </w:pPr>
            <w:r w:rsidRPr="00092ED7">
              <w:rPr>
                <w:sz w:val="20"/>
                <w:szCs w:val="20"/>
                <w:lang w:val="sr-Cyrl-CS"/>
              </w:rPr>
              <w:t>-0,5</w:t>
            </w:r>
          </w:p>
        </w:tc>
        <w:tc>
          <w:tcPr>
            <w:tcW w:w="437" w:type="pct"/>
            <w:gridSpan w:val="4"/>
            <w:tcBorders>
              <w:top w:val="nil"/>
              <w:left w:val="nil"/>
              <w:bottom w:val="dotted" w:sz="4" w:space="0" w:color="auto"/>
              <w:right w:val="dotted" w:sz="4" w:space="0" w:color="auto"/>
            </w:tcBorders>
            <w:shd w:val="clear" w:color="auto" w:fill="auto"/>
            <w:noWrap/>
            <w:vAlign w:val="center"/>
            <w:hideMark/>
          </w:tcPr>
          <w:p w14:paraId="5CAEC4AA" w14:textId="77777777" w:rsidR="00247CBF" w:rsidRPr="00092ED7" w:rsidRDefault="00247CBF" w:rsidP="00247CBF">
            <w:pPr>
              <w:spacing w:after="0"/>
              <w:jc w:val="right"/>
              <w:rPr>
                <w:sz w:val="20"/>
                <w:szCs w:val="20"/>
                <w:lang w:val="sr-Cyrl-CS"/>
              </w:rPr>
            </w:pPr>
            <w:r w:rsidRPr="00092ED7">
              <w:rPr>
                <w:sz w:val="20"/>
                <w:szCs w:val="20"/>
                <w:lang w:val="sr-Cyrl-CS"/>
              </w:rPr>
              <w:t>-0,3</w:t>
            </w:r>
          </w:p>
        </w:tc>
        <w:tc>
          <w:tcPr>
            <w:tcW w:w="437" w:type="pct"/>
            <w:gridSpan w:val="3"/>
            <w:tcBorders>
              <w:top w:val="nil"/>
              <w:left w:val="nil"/>
              <w:bottom w:val="dotted" w:sz="4" w:space="0" w:color="auto"/>
              <w:right w:val="dotted" w:sz="4" w:space="0" w:color="auto"/>
            </w:tcBorders>
            <w:shd w:val="clear" w:color="auto" w:fill="auto"/>
            <w:noWrap/>
            <w:vAlign w:val="center"/>
            <w:hideMark/>
          </w:tcPr>
          <w:p w14:paraId="37BB9F46" w14:textId="77777777" w:rsidR="00247CBF" w:rsidRPr="00092ED7" w:rsidRDefault="00247CBF" w:rsidP="00247CBF">
            <w:pPr>
              <w:spacing w:after="0"/>
              <w:jc w:val="right"/>
              <w:rPr>
                <w:sz w:val="20"/>
                <w:szCs w:val="20"/>
                <w:lang w:val="sr-Cyrl-CS"/>
              </w:rPr>
            </w:pPr>
            <w:r w:rsidRPr="00092ED7">
              <w:rPr>
                <w:sz w:val="20"/>
                <w:szCs w:val="20"/>
                <w:lang w:val="sr-Cyrl-CS"/>
              </w:rPr>
              <w:t>-0,3</w:t>
            </w:r>
          </w:p>
        </w:tc>
        <w:tc>
          <w:tcPr>
            <w:tcW w:w="437" w:type="pct"/>
            <w:gridSpan w:val="2"/>
            <w:tcBorders>
              <w:top w:val="nil"/>
              <w:left w:val="nil"/>
              <w:bottom w:val="dotted" w:sz="4" w:space="0" w:color="auto"/>
              <w:right w:val="double" w:sz="6" w:space="0" w:color="auto"/>
            </w:tcBorders>
            <w:shd w:val="clear" w:color="auto" w:fill="auto"/>
            <w:noWrap/>
            <w:vAlign w:val="center"/>
            <w:hideMark/>
          </w:tcPr>
          <w:p w14:paraId="33DA2163" w14:textId="77777777" w:rsidR="00247CBF" w:rsidRPr="00092ED7" w:rsidRDefault="00247CBF" w:rsidP="00247CBF">
            <w:pPr>
              <w:spacing w:after="0"/>
              <w:jc w:val="right"/>
              <w:rPr>
                <w:sz w:val="20"/>
                <w:szCs w:val="20"/>
                <w:lang w:val="sr-Cyrl-CS"/>
              </w:rPr>
            </w:pPr>
            <w:r w:rsidRPr="00092ED7">
              <w:rPr>
                <w:sz w:val="20"/>
                <w:szCs w:val="20"/>
                <w:lang w:val="sr-Cyrl-CS"/>
              </w:rPr>
              <w:t>-0,3</w:t>
            </w:r>
          </w:p>
        </w:tc>
      </w:tr>
      <w:bookmarkStart w:id="121" w:name="RANGE!B9"/>
      <w:tr w:rsidR="00247CBF" w:rsidRPr="00092ED7" w14:paraId="1B2537C0"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701469A9"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fldChar w:fldCharType="begin"/>
            </w:r>
            <w:r w:rsidRPr="00092ED7">
              <w:rPr>
                <w:rFonts w:eastAsia="Times New Roman" w:cs="Times New Roman"/>
                <w:sz w:val="20"/>
                <w:szCs w:val="20"/>
                <w:lang w:val="sr-Cyrl-CS"/>
              </w:rPr>
              <w:instrText xml:space="preserve"> HYPERLINK "file:///C:\\Users\\svetlana.aksentijevi\\AppData\\Local\\Microsoft\\Windows\\INetCache\\Content.MSO\\1D05A8A2.xlsx" \l "RANGE!B21" </w:instrText>
            </w:r>
            <w:r w:rsidRPr="00092ED7">
              <w:rPr>
                <w:rFonts w:eastAsia="Times New Roman" w:cs="Times New Roman"/>
                <w:sz w:val="20"/>
                <w:szCs w:val="20"/>
                <w:lang w:val="sr-Cyrl-CS"/>
              </w:rPr>
            </w:r>
            <w:r w:rsidRPr="00092ED7">
              <w:rPr>
                <w:rFonts w:eastAsia="Times New Roman" w:cs="Times New Roman"/>
                <w:sz w:val="20"/>
                <w:szCs w:val="20"/>
                <w:lang w:val="sr-Cyrl-CS"/>
              </w:rPr>
              <w:fldChar w:fldCharType="separate"/>
            </w:r>
            <w:r w:rsidRPr="00092ED7">
              <w:rPr>
                <w:rFonts w:eastAsia="Times New Roman" w:cs="Times New Roman"/>
                <w:sz w:val="20"/>
                <w:szCs w:val="20"/>
                <w:lang w:val="sr-Cyrl-CS"/>
              </w:rPr>
              <w:t>3. Становништво радног узраста (број лица) [1]</w:t>
            </w:r>
            <w:r w:rsidRPr="00092ED7">
              <w:rPr>
                <w:rFonts w:eastAsia="Times New Roman" w:cs="Times New Roman"/>
                <w:sz w:val="20"/>
                <w:szCs w:val="20"/>
                <w:lang w:val="sr-Cyrl-CS"/>
              </w:rPr>
              <w:fldChar w:fldCharType="end"/>
            </w:r>
            <w:bookmarkEnd w:id="121"/>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5A266A36"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0EC5702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auto" w:fill="auto"/>
            <w:noWrap/>
            <w:vAlign w:val="center"/>
            <w:hideMark/>
          </w:tcPr>
          <w:p w14:paraId="476CA6DE" w14:textId="77777777" w:rsidR="00247CBF" w:rsidRPr="00092ED7" w:rsidRDefault="00247CBF" w:rsidP="00247CBF">
            <w:pPr>
              <w:spacing w:after="0"/>
              <w:jc w:val="right"/>
              <w:rPr>
                <w:sz w:val="20"/>
                <w:szCs w:val="20"/>
                <w:lang w:val="sr-Cyrl-CS"/>
              </w:rPr>
            </w:pPr>
            <w:r w:rsidRPr="00092ED7">
              <w:rPr>
                <w:sz w:val="20"/>
                <w:szCs w:val="20"/>
                <w:lang w:val="sr-Cyrl-CS"/>
              </w:rPr>
              <w:t>4.387</w:t>
            </w:r>
          </w:p>
        </w:tc>
        <w:tc>
          <w:tcPr>
            <w:tcW w:w="437" w:type="pct"/>
            <w:gridSpan w:val="4"/>
            <w:tcBorders>
              <w:top w:val="nil"/>
              <w:left w:val="nil"/>
              <w:bottom w:val="dotted" w:sz="4" w:space="0" w:color="auto"/>
              <w:right w:val="dotted" w:sz="4" w:space="0" w:color="auto"/>
            </w:tcBorders>
            <w:shd w:val="clear" w:color="auto" w:fill="auto"/>
            <w:noWrap/>
            <w:vAlign w:val="center"/>
            <w:hideMark/>
          </w:tcPr>
          <w:p w14:paraId="2E4A618D" w14:textId="77777777" w:rsidR="00247CBF" w:rsidRPr="00092ED7" w:rsidRDefault="00247CBF" w:rsidP="00247CBF">
            <w:pPr>
              <w:spacing w:after="0"/>
              <w:jc w:val="right"/>
              <w:rPr>
                <w:sz w:val="20"/>
                <w:szCs w:val="20"/>
                <w:lang w:val="sr-Cyrl-CS"/>
              </w:rPr>
            </w:pPr>
            <w:r w:rsidRPr="00092ED7">
              <w:rPr>
                <w:sz w:val="20"/>
                <w:szCs w:val="20"/>
                <w:lang w:val="sr-Cyrl-CS"/>
              </w:rPr>
              <w:t>4.372</w:t>
            </w:r>
          </w:p>
        </w:tc>
        <w:tc>
          <w:tcPr>
            <w:tcW w:w="437" w:type="pct"/>
            <w:gridSpan w:val="4"/>
            <w:tcBorders>
              <w:top w:val="nil"/>
              <w:left w:val="nil"/>
              <w:bottom w:val="dotted" w:sz="4" w:space="0" w:color="auto"/>
              <w:right w:val="dotted" w:sz="4" w:space="0" w:color="auto"/>
            </w:tcBorders>
            <w:shd w:val="clear" w:color="auto" w:fill="auto"/>
            <w:noWrap/>
            <w:vAlign w:val="center"/>
            <w:hideMark/>
          </w:tcPr>
          <w:p w14:paraId="768D1BF6" w14:textId="77777777" w:rsidR="00247CBF" w:rsidRPr="00092ED7" w:rsidRDefault="00247CBF" w:rsidP="00247CBF">
            <w:pPr>
              <w:spacing w:after="0"/>
              <w:jc w:val="right"/>
              <w:rPr>
                <w:sz w:val="20"/>
                <w:szCs w:val="20"/>
                <w:lang w:val="sr-Cyrl-CS"/>
              </w:rPr>
            </w:pPr>
            <w:r w:rsidRPr="00092ED7">
              <w:rPr>
                <w:sz w:val="20"/>
                <w:szCs w:val="20"/>
                <w:lang w:val="sr-Cyrl-CS"/>
              </w:rPr>
              <w:t>4.373</w:t>
            </w:r>
          </w:p>
        </w:tc>
        <w:tc>
          <w:tcPr>
            <w:tcW w:w="437" w:type="pct"/>
            <w:gridSpan w:val="3"/>
            <w:tcBorders>
              <w:top w:val="nil"/>
              <w:left w:val="nil"/>
              <w:bottom w:val="dotted" w:sz="4" w:space="0" w:color="auto"/>
              <w:right w:val="dotted" w:sz="4" w:space="0" w:color="auto"/>
            </w:tcBorders>
            <w:shd w:val="clear" w:color="auto" w:fill="auto"/>
            <w:noWrap/>
            <w:vAlign w:val="center"/>
            <w:hideMark/>
          </w:tcPr>
          <w:p w14:paraId="1E769FFC" w14:textId="77777777" w:rsidR="00247CBF" w:rsidRPr="00092ED7" w:rsidRDefault="00247CBF" w:rsidP="00247CBF">
            <w:pPr>
              <w:spacing w:after="0"/>
              <w:jc w:val="right"/>
              <w:rPr>
                <w:sz w:val="20"/>
                <w:szCs w:val="20"/>
                <w:lang w:val="sr-Cyrl-CS"/>
              </w:rPr>
            </w:pPr>
            <w:r w:rsidRPr="00092ED7">
              <w:rPr>
                <w:sz w:val="20"/>
                <w:szCs w:val="20"/>
                <w:lang w:val="sr-Cyrl-CS"/>
              </w:rPr>
              <w:t>4.360</w:t>
            </w:r>
          </w:p>
        </w:tc>
        <w:tc>
          <w:tcPr>
            <w:tcW w:w="437" w:type="pct"/>
            <w:gridSpan w:val="2"/>
            <w:tcBorders>
              <w:top w:val="nil"/>
              <w:left w:val="nil"/>
              <w:bottom w:val="dotted" w:sz="4" w:space="0" w:color="auto"/>
              <w:right w:val="double" w:sz="6" w:space="0" w:color="auto"/>
            </w:tcBorders>
            <w:shd w:val="clear" w:color="auto" w:fill="auto"/>
            <w:noWrap/>
            <w:vAlign w:val="center"/>
            <w:hideMark/>
          </w:tcPr>
          <w:p w14:paraId="47E44483" w14:textId="77777777" w:rsidR="00247CBF" w:rsidRPr="00092ED7" w:rsidRDefault="00247CBF" w:rsidP="00247CBF">
            <w:pPr>
              <w:spacing w:after="0"/>
              <w:jc w:val="right"/>
              <w:rPr>
                <w:sz w:val="20"/>
                <w:szCs w:val="20"/>
                <w:lang w:val="sr-Cyrl-CS"/>
              </w:rPr>
            </w:pPr>
            <w:r w:rsidRPr="00092ED7">
              <w:rPr>
                <w:sz w:val="20"/>
                <w:szCs w:val="20"/>
                <w:lang w:val="sr-Cyrl-CS"/>
              </w:rPr>
              <w:t>4.374</w:t>
            </w:r>
          </w:p>
        </w:tc>
      </w:tr>
      <w:tr w:rsidR="00247CBF" w:rsidRPr="00092ED7" w14:paraId="725DB923"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7DD87246" w14:textId="77777777" w:rsidR="00247CBF" w:rsidRPr="00092ED7" w:rsidRDefault="00247CBF" w:rsidP="00247CBF">
            <w:pPr>
              <w:spacing w:after="0"/>
              <w:jc w:val="left"/>
              <w:rPr>
                <w:rFonts w:eastAsia="Times New Roman" w:cs="Times New Roman"/>
                <w:sz w:val="20"/>
                <w:szCs w:val="20"/>
                <w:lang w:val="sr-Cyrl-CS"/>
              </w:rPr>
            </w:pPr>
            <w:bookmarkStart w:id="122" w:name="RANGE!B10"/>
            <w:r w:rsidRPr="00092ED7">
              <w:rPr>
                <w:rFonts w:eastAsia="Times New Roman" w:cs="Times New Roman"/>
                <w:sz w:val="20"/>
                <w:szCs w:val="20"/>
                <w:lang w:val="sr-Cyrl-CS"/>
              </w:rPr>
              <w:t>4. Стопа активности</w:t>
            </w:r>
            <w:bookmarkEnd w:id="122"/>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73A4EA1A"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18B5DF4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1442AB8A" w14:textId="77777777" w:rsidR="00247CBF" w:rsidRPr="00092ED7" w:rsidRDefault="00247CBF" w:rsidP="00247CBF">
            <w:pPr>
              <w:spacing w:after="0"/>
              <w:jc w:val="right"/>
              <w:rPr>
                <w:sz w:val="20"/>
                <w:szCs w:val="20"/>
                <w:lang w:val="sr-Cyrl-CS"/>
              </w:rPr>
            </w:pPr>
            <w:r w:rsidRPr="00092ED7">
              <w:rPr>
                <w:sz w:val="20"/>
                <w:szCs w:val="20"/>
                <w:lang w:val="sr-Cyrl-CS"/>
              </w:rPr>
              <w:t>70,3</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5CBB8853" w14:textId="77777777" w:rsidR="00247CBF" w:rsidRPr="00092ED7" w:rsidRDefault="00247CBF" w:rsidP="00247CBF">
            <w:pPr>
              <w:spacing w:after="0"/>
              <w:jc w:val="right"/>
              <w:rPr>
                <w:sz w:val="20"/>
                <w:szCs w:val="20"/>
                <w:lang w:val="sr-Cyrl-CS"/>
              </w:rPr>
            </w:pPr>
            <w:r w:rsidRPr="00092ED7">
              <w:rPr>
                <w:sz w:val="20"/>
                <w:szCs w:val="20"/>
                <w:lang w:val="sr-Cyrl-CS"/>
              </w:rPr>
              <w:t>71,4</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2169C506" w14:textId="77777777" w:rsidR="00247CBF" w:rsidRPr="00092ED7" w:rsidRDefault="00247CBF" w:rsidP="00247CBF">
            <w:pPr>
              <w:spacing w:after="0"/>
              <w:jc w:val="right"/>
              <w:rPr>
                <w:sz w:val="20"/>
                <w:szCs w:val="20"/>
                <w:lang w:val="sr-Cyrl-CS"/>
              </w:rPr>
            </w:pPr>
            <w:r w:rsidRPr="00092ED7">
              <w:rPr>
                <w:sz w:val="20"/>
                <w:szCs w:val="20"/>
                <w:lang w:val="sr-Cyrl-CS"/>
              </w:rPr>
              <w:t>71,5</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71B84E18" w14:textId="77777777" w:rsidR="00247CBF" w:rsidRPr="00092ED7" w:rsidRDefault="00247CBF" w:rsidP="00247CBF">
            <w:pPr>
              <w:spacing w:after="0"/>
              <w:jc w:val="right"/>
              <w:rPr>
                <w:sz w:val="20"/>
                <w:szCs w:val="20"/>
                <w:lang w:val="sr-Cyrl-CS"/>
              </w:rPr>
            </w:pPr>
            <w:r w:rsidRPr="00092ED7">
              <w:rPr>
                <w:sz w:val="20"/>
                <w:szCs w:val="20"/>
                <w:lang w:val="sr-Cyrl-CS"/>
              </w:rPr>
              <w:t>72,0</w:t>
            </w:r>
          </w:p>
        </w:tc>
        <w:tc>
          <w:tcPr>
            <w:tcW w:w="437" w:type="pct"/>
            <w:gridSpan w:val="2"/>
            <w:tcBorders>
              <w:top w:val="nil"/>
              <w:left w:val="nil"/>
              <w:bottom w:val="dotted" w:sz="4" w:space="0" w:color="auto"/>
              <w:right w:val="double" w:sz="6" w:space="0" w:color="auto"/>
            </w:tcBorders>
            <w:shd w:val="clear" w:color="000000" w:fill="FFFFFF"/>
            <w:noWrap/>
            <w:vAlign w:val="center"/>
            <w:hideMark/>
          </w:tcPr>
          <w:p w14:paraId="4698E388" w14:textId="77777777" w:rsidR="00247CBF" w:rsidRPr="00092ED7" w:rsidRDefault="00247CBF" w:rsidP="00247CBF">
            <w:pPr>
              <w:spacing w:after="0"/>
              <w:jc w:val="right"/>
              <w:rPr>
                <w:sz w:val="20"/>
                <w:szCs w:val="20"/>
                <w:lang w:val="sr-Cyrl-CS"/>
              </w:rPr>
            </w:pPr>
            <w:r w:rsidRPr="00092ED7">
              <w:rPr>
                <w:sz w:val="20"/>
                <w:szCs w:val="20"/>
                <w:lang w:val="sr-Cyrl-CS"/>
              </w:rPr>
              <w:t>72,1</w:t>
            </w:r>
          </w:p>
        </w:tc>
      </w:tr>
      <w:bookmarkStart w:id="123" w:name="RANGE!B11"/>
      <w:tr w:rsidR="00247CBF" w:rsidRPr="00092ED7" w14:paraId="7FC59B05"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109460AA"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fldChar w:fldCharType="begin"/>
            </w:r>
            <w:r w:rsidRPr="00092ED7">
              <w:rPr>
                <w:rFonts w:eastAsia="Times New Roman" w:cs="Times New Roman"/>
                <w:sz w:val="20"/>
                <w:szCs w:val="20"/>
                <w:lang w:val="sr-Cyrl-CS"/>
              </w:rPr>
              <w:instrText xml:space="preserve"> HYPERLINK "file:///C:\\Users\\svetlana.aksentijevi\\AppData\\Local\\Microsoft\\Windows\\INetCache\\Content.MSO\\1D05A8A2.xlsx" \l "RANGE!B22" </w:instrText>
            </w:r>
            <w:r w:rsidRPr="00092ED7">
              <w:rPr>
                <w:rFonts w:eastAsia="Times New Roman" w:cs="Times New Roman"/>
                <w:sz w:val="20"/>
                <w:szCs w:val="20"/>
                <w:lang w:val="sr-Cyrl-CS"/>
              </w:rPr>
            </w:r>
            <w:r w:rsidRPr="00092ED7">
              <w:rPr>
                <w:rFonts w:eastAsia="Times New Roman" w:cs="Times New Roman"/>
                <w:sz w:val="20"/>
                <w:szCs w:val="20"/>
                <w:lang w:val="sr-Cyrl-CS"/>
              </w:rPr>
              <w:fldChar w:fldCharType="separate"/>
            </w:r>
            <w:r w:rsidRPr="00092ED7">
              <w:rPr>
                <w:rFonts w:eastAsia="Times New Roman" w:cs="Times New Roman"/>
                <w:sz w:val="20"/>
                <w:szCs w:val="20"/>
                <w:lang w:val="sr-Cyrl-CS"/>
              </w:rPr>
              <w:t>5. Запосленост, број лица [2]</w:t>
            </w:r>
            <w:r w:rsidRPr="00092ED7">
              <w:rPr>
                <w:rFonts w:eastAsia="Times New Roman" w:cs="Times New Roman"/>
                <w:sz w:val="20"/>
                <w:szCs w:val="20"/>
                <w:lang w:val="sr-Cyrl-CS"/>
              </w:rPr>
              <w:fldChar w:fldCharType="end"/>
            </w:r>
            <w:bookmarkEnd w:id="123"/>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274D116E"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52A2813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3F4466DC" w14:textId="77777777" w:rsidR="00247CBF" w:rsidRPr="00092ED7" w:rsidRDefault="00247CBF" w:rsidP="00247CBF">
            <w:pPr>
              <w:spacing w:after="0"/>
              <w:jc w:val="right"/>
              <w:rPr>
                <w:sz w:val="20"/>
                <w:szCs w:val="20"/>
                <w:lang w:val="sr-Cyrl-CS"/>
              </w:rPr>
            </w:pPr>
            <w:r w:rsidRPr="00092ED7">
              <w:rPr>
                <w:sz w:val="20"/>
                <w:szCs w:val="20"/>
                <w:lang w:val="sr-Cyrl-CS"/>
              </w:rPr>
              <w:t>2.731</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3E2AE921" w14:textId="77777777" w:rsidR="00247CBF" w:rsidRPr="00092ED7" w:rsidRDefault="00247CBF" w:rsidP="00247CBF">
            <w:pPr>
              <w:spacing w:after="0"/>
              <w:jc w:val="right"/>
              <w:rPr>
                <w:sz w:val="20"/>
                <w:szCs w:val="20"/>
                <w:lang w:val="sr-Cyrl-CS"/>
              </w:rPr>
            </w:pPr>
            <w:r w:rsidRPr="00092ED7">
              <w:rPr>
                <w:sz w:val="20"/>
                <w:szCs w:val="20"/>
                <w:lang w:val="sr-Cyrl-CS"/>
              </w:rPr>
              <w:t>2.813</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0F3E5D59" w14:textId="77777777" w:rsidR="00247CBF" w:rsidRPr="00092ED7" w:rsidRDefault="00247CBF" w:rsidP="00247CBF">
            <w:pPr>
              <w:spacing w:after="0"/>
              <w:jc w:val="right"/>
              <w:rPr>
                <w:sz w:val="20"/>
                <w:szCs w:val="20"/>
                <w:lang w:val="sr-Cyrl-CS"/>
              </w:rPr>
            </w:pPr>
            <w:r w:rsidRPr="00092ED7">
              <w:rPr>
                <w:sz w:val="20"/>
                <w:szCs w:val="20"/>
                <w:lang w:val="sr-Cyrl-CS"/>
              </w:rPr>
              <w:t>2.829</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668FE84F" w14:textId="77777777" w:rsidR="00247CBF" w:rsidRPr="00092ED7" w:rsidRDefault="00247CBF" w:rsidP="00247CBF">
            <w:pPr>
              <w:spacing w:after="0"/>
              <w:jc w:val="right"/>
              <w:rPr>
                <w:sz w:val="20"/>
                <w:szCs w:val="20"/>
                <w:lang w:val="sr-Cyrl-CS"/>
              </w:rPr>
            </w:pPr>
            <w:r w:rsidRPr="00092ED7">
              <w:rPr>
                <w:sz w:val="20"/>
                <w:szCs w:val="20"/>
                <w:lang w:val="sr-Cyrl-CS"/>
              </w:rPr>
              <w:t>2.858</w:t>
            </w:r>
          </w:p>
        </w:tc>
        <w:tc>
          <w:tcPr>
            <w:tcW w:w="437" w:type="pct"/>
            <w:gridSpan w:val="2"/>
            <w:tcBorders>
              <w:top w:val="nil"/>
              <w:left w:val="nil"/>
              <w:bottom w:val="dotted" w:sz="4" w:space="0" w:color="auto"/>
              <w:right w:val="double" w:sz="6" w:space="0" w:color="auto"/>
            </w:tcBorders>
            <w:shd w:val="clear" w:color="000000" w:fill="FFFFFF"/>
            <w:noWrap/>
            <w:vAlign w:val="center"/>
            <w:hideMark/>
          </w:tcPr>
          <w:p w14:paraId="39D01BC1" w14:textId="77777777" w:rsidR="00247CBF" w:rsidRPr="00092ED7" w:rsidRDefault="00247CBF" w:rsidP="00247CBF">
            <w:pPr>
              <w:spacing w:after="0"/>
              <w:jc w:val="right"/>
              <w:rPr>
                <w:sz w:val="20"/>
                <w:szCs w:val="20"/>
                <w:lang w:val="sr-Cyrl-CS"/>
              </w:rPr>
            </w:pPr>
            <w:r w:rsidRPr="00092ED7">
              <w:rPr>
                <w:sz w:val="20"/>
                <w:szCs w:val="20"/>
                <w:lang w:val="sr-Cyrl-CS"/>
              </w:rPr>
              <w:t>2.891</w:t>
            </w:r>
          </w:p>
        </w:tc>
      </w:tr>
      <w:tr w:rsidR="00247CBF" w:rsidRPr="00092ED7" w14:paraId="010D76D3"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5AD8FBD6" w14:textId="77777777" w:rsidR="00247CBF" w:rsidRPr="00092ED7" w:rsidRDefault="00000000" w:rsidP="00247CBF">
            <w:pPr>
              <w:spacing w:after="0"/>
              <w:jc w:val="left"/>
              <w:rPr>
                <w:rFonts w:eastAsia="Times New Roman" w:cs="Times New Roman"/>
                <w:sz w:val="20"/>
                <w:szCs w:val="20"/>
                <w:lang w:val="sr-Cyrl-CS"/>
              </w:rPr>
            </w:pPr>
            <w:hyperlink r:id="rId47" w:anchor="RANGE!B23" w:history="1">
              <w:r w:rsidR="00247CBF" w:rsidRPr="00092ED7">
                <w:rPr>
                  <w:rFonts w:eastAsia="Times New Roman" w:cs="Times New Roman"/>
                  <w:sz w:val="20"/>
                  <w:szCs w:val="20"/>
                  <w:lang w:val="sr-Cyrl-CS"/>
                </w:rPr>
                <w:t>6. Запосленост, часови рада[3]</w:t>
              </w:r>
            </w:hyperlink>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514225AB"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71AC04A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6F3BA4AD"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tted" w:sz="4" w:space="0" w:color="auto"/>
              <w:right w:val="dotted" w:sz="4" w:space="0" w:color="auto"/>
            </w:tcBorders>
            <w:shd w:val="clear" w:color="000000" w:fill="FFFFFF"/>
            <w:vAlign w:val="center"/>
            <w:hideMark/>
          </w:tcPr>
          <w:p w14:paraId="5E298698"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tted" w:sz="4" w:space="0" w:color="auto"/>
              <w:right w:val="dotted" w:sz="4" w:space="0" w:color="auto"/>
            </w:tcBorders>
            <w:shd w:val="clear" w:color="000000" w:fill="FFFFFF"/>
            <w:vAlign w:val="center"/>
            <w:hideMark/>
          </w:tcPr>
          <w:p w14:paraId="7A1D57E5"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52C1F4DC"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2"/>
            <w:tcBorders>
              <w:top w:val="nil"/>
              <w:left w:val="nil"/>
              <w:bottom w:val="dotted" w:sz="4" w:space="0" w:color="auto"/>
              <w:right w:val="double" w:sz="6" w:space="0" w:color="auto"/>
            </w:tcBorders>
            <w:shd w:val="clear" w:color="000000" w:fill="FFFFFF"/>
            <w:vAlign w:val="center"/>
            <w:hideMark/>
          </w:tcPr>
          <w:p w14:paraId="75DB81BF"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13D00576"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7C9428A2"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7. Запосленост (стопа раста у %)</w:t>
            </w:r>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5AE7C098"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07D46243"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79CA4C0C" w14:textId="77777777" w:rsidR="00247CBF" w:rsidRPr="00092ED7" w:rsidRDefault="00247CBF" w:rsidP="00247CBF">
            <w:pPr>
              <w:spacing w:after="0"/>
              <w:jc w:val="right"/>
              <w:rPr>
                <w:sz w:val="20"/>
                <w:szCs w:val="20"/>
                <w:lang w:val="sr-Cyrl-CS"/>
              </w:rPr>
            </w:pPr>
            <w:r w:rsidRPr="00092ED7">
              <w:rPr>
                <w:sz w:val="20"/>
                <w:szCs w:val="20"/>
                <w:lang w:val="sr-Cyrl-CS"/>
              </w:rPr>
              <w:t>2,9</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60D472E6" w14:textId="77777777" w:rsidR="00247CBF" w:rsidRPr="00092ED7" w:rsidRDefault="00247CBF" w:rsidP="00247CBF">
            <w:pPr>
              <w:spacing w:after="0"/>
              <w:jc w:val="right"/>
              <w:rPr>
                <w:sz w:val="20"/>
                <w:szCs w:val="20"/>
                <w:lang w:val="sr-Cyrl-CS"/>
              </w:rPr>
            </w:pPr>
            <w:r w:rsidRPr="00092ED7">
              <w:rPr>
                <w:sz w:val="20"/>
                <w:szCs w:val="20"/>
                <w:lang w:val="sr-Cyrl-CS"/>
              </w:rPr>
              <w:t>3,0</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5148DC36" w14:textId="77777777" w:rsidR="00247CBF" w:rsidRPr="00092ED7" w:rsidRDefault="00247CBF" w:rsidP="00247CBF">
            <w:pPr>
              <w:spacing w:after="0"/>
              <w:jc w:val="right"/>
              <w:rPr>
                <w:sz w:val="20"/>
                <w:szCs w:val="20"/>
                <w:lang w:val="sr-Cyrl-CS"/>
              </w:rPr>
            </w:pPr>
            <w:r w:rsidRPr="00092ED7">
              <w:rPr>
                <w:sz w:val="20"/>
                <w:szCs w:val="20"/>
                <w:lang w:val="sr-Cyrl-CS"/>
              </w:rPr>
              <w:t>0,6</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7334EAB7" w14:textId="77777777" w:rsidR="00247CBF" w:rsidRPr="00092ED7" w:rsidRDefault="00247CBF" w:rsidP="00247CBF">
            <w:pPr>
              <w:spacing w:after="0"/>
              <w:jc w:val="right"/>
              <w:rPr>
                <w:sz w:val="20"/>
                <w:szCs w:val="20"/>
                <w:lang w:val="sr-Cyrl-CS"/>
              </w:rPr>
            </w:pPr>
            <w:r w:rsidRPr="00092ED7">
              <w:rPr>
                <w:sz w:val="20"/>
                <w:szCs w:val="20"/>
                <w:lang w:val="sr-Cyrl-CS"/>
              </w:rPr>
              <w:t>1,0</w:t>
            </w:r>
          </w:p>
        </w:tc>
        <w:tc>
          <w:tcPr>
            <w:tcW w:w="437" w:type="pct"/>
            <w:gridSpan w:val="2"/>
            <w:tcBorders>
              <w:top w:val="nil"/>
              <w:left w:val="nil"/>
              <w:bottom w:val="dotted" w:sz="4" w:space="0" w:color="auto"/>
              <w:right w:val="double" w:sz="6" w:space="0" w:color="auto"/>
            </w:tcBorders>
            <w:shd w:val="clear" w:color="000000" w:fill="FFFFFF"/>
            <w:noWrap/>
            <w:vAlign w:val="center"/>
            <w:hideMark/>
          </w:tcPr>
          <w:p w14:paraId="501D6C49" w14:textId="77777777" w:rsidR="00247CBF" w:rsidRPr="00092ED7" w:rsidRDefault="00247CBF" w:rsidP="00247CBF">
            <w:pPr>
              <w:spacing w:after="0"/>
              <w:jc w:val="right"/>
              <w:rPr>
                <w:sz w:val="20"/>
                <w:szCs w:val="20"/>
                <w:lang w:val="sr-Cyrl-CS"/>
              </w:rPr>
            </w:pPr>
            <w:r w:rsidRPr="00092ED7">
              <w:rPr>
                <w:sz w:val="20"/>
                <w:szCs w:val="20"/>
                <w:lang w:val="sr-Cyrl-CS"/>
              </w:rPr>
              <w:t>1,2</w:t>
            </w:r>
          </w:p>
        </w:tc>
      </w:tr>
      <w:tr w:rsidR="00247CBF" w:rsidRPr="00092ED7" w14:paraId="371E79E5"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2E6E4AA6"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8. Запосленост у јавном сектору (број лица)</w:t>
            </w:r>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5832806B"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247578F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49AE6B61"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tted" w:sz="4" w:space="0" w:color="auto"/>
              <w:right w:val="dotted" w:sz="4" w:space="0" w:color="auto"/>
            </w:tcBorders>
            <w:shd w:val="clear" w:color="000000" w:fill="FFFFFF"/>
            <w:vAlign w:val="center"/>
            <w:hideMark/>
          </w:tcPr>
          <w:p w14:paraId="435A454D"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tted" w:sz="4" w:space="0" w:color="auto"/>
              <w:right w:val="dotted" w:sz="4" w:space="0" w:color="auto"/>
            </w:tcBorders>
            <w:shd w:val="clear" w:color="000000" w:fill="FFFFFF"/>
            <w:vAlign w:val="center"/>
            <w:hideMark/>
          </w:tcPr>
          <w:p w14:paraId="79216560"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113AFBE1"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2"/>
            <w:tcBorders>
              <w:top w:val="nil"/>
              <w:left w:val="nil"/>
              <w:bottom w:val="dotted" w:sz="4" w:space="0" w:color="auto"/>
              <w:right w:val="double" w:sz="6" w:space="0" w:color="auto"/>
            </w:tcBorders>
            <w:shd w:val="clear" w:color="000000" w:fill="FFFFFF"/>
            <w:vAlign w:val="center"/>
            <w:hideMark/>
          </w:tcPr>
          <w:p w14:paraId="1EDD9EB6"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73E6ECF7"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27370E80"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9. Запосленост у јавном сектору (раст у %)</w:t>
            </w:r>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063402D8"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145DD0B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6E1DCC4E"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0833D0E3"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tted" w:sz="4" w:space="0" w:color="auto"/>
              <w:right w:val="dotted" w:sz="4" w:space="0" w:color="auto"/>
            </w:tcBorders>
            <w:shd w:val="clear" w:color="000000" w:fill="FFFFFF"/>
            <w:vAlign w:val="center"/>
            <w:hideMark/>
          </w:tcPr>
          <w:p w14:paraId="46E15461"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4D6EE4C1"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2"/>
            <w:tcBorders>
              <w:top w:val="nil"/>
              <w:left w:val="nil"/>
              <w:bottom w:val="dotted" w:sz="4" w:space="0" w:color="auto"/>
              <w:right w:val="double" w:sz="6" w:space="0" w:color="auto"/>
            </w:tcBorders>
            <w:shd w:val="clear" w:color="000000" w:fill="FFFFFF"/>
            <w:vAlign w:val="center"/>
            <w:hideMark/>
          </w:tcPr>
          <w:p w14:paraId="324A9FF3"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70DB4C22"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7D1DA8B4" w14:textId="77777777" w:rsidR="00247CBF" w:rsidRPr="00092ED7" w:rsidRDefault="00000000" w:rsidP="00247CBF">
            <w:pPr>
              <w:spacing w:after="0"/>
              <w:jc w:val="left"/>
              <w:rPr>
                <w:rFonts w:eastAsia="Times New Roman" w:cs="Times New Roman"/>
                <w:sz w:val="20"/>
                <w:szCs w:val="20"/>
                <w:lang w:val="sr-Cyrl-CS"/>
              </w:rPr>
            </w:pPr>
            <w:hyperlink r:id="rId48" w:anchor="RANGE!B24" w:history="1">
              <w:r w:rsidR="00247CBF" w:rsidRPr="00092ED7">
                <w:rPr>
                  <w:rFonts w:eastAsia="Times New Roman" w:cs="Times New Roman"/>
                  <w:sz w:val="20"/>
                  <w:szCs w:val="20"/>
                  <w:lang w:val="sr-Cyrl-CS"/>
                </w:rPr>
                <w:t>10. Стопа незапослености [4]</w:t>
              </w:r>
            </w:hyperlink>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75DDEDA9"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5DF3585D"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5B91DE3F" w14:textId="77777777" w:rsidR="00247CBF" w:rsidRPr="00092ED7" w:rsidRDefault="00247CBF" w:rsidP="00247CBF">
            <w:pPr>
              <w:spacing w:after="0"/>
              <w:jc w:val="right"/>
              <w:rPr>
                <w:sz w:val="20"/>
                <w:szCs w:val="20"/>
                <w:lang w:val="sr-Cyrl-CS"/>
              </w:rPr>
            </w:pPr>
            <w:r w:rsidRPr="00092ED7">
              <w:rPr>
                <w:sz w:val="20"/>
                <w:szCs w:val="20"/>
                <w:lang w:val="sr-Cyrl-CS"/>
              </w:rPr>
              <w:t>11,4</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0607F766" w14:textId="77777777" w:rsidR="00247CBF" w:rsidRPr="00092ED7" w:rsidRDefault="00247CBF" w:rsidP="00247CBF">
            <w:pPr>
              <w:spacing w:after="0"/>
              <w:jc w:val="right"/>
              <w:rPr>
                <w:sz w:val="20"/>
                <w:szCs w:val="20"/>
                <w:lang w:val="sr-Cyrl-CS"/>
              </w:rPr>
            </w:pPr>
            <w:r w:rsidRPr="00092ED7">
              <w:rPr>
                <w:sz w:val="20"/>
                <w:szCs w:val="20"/>
                <w:lang w:val="sr-Cyrl-CS"/>
              </w:rPr>
              <w:t>9,9</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7AAAB5BB" w14:textId="77777777" w:rsidR="00247CBF" w:rsidRPr="00092ED7" w:rsidRDefault="00247CBF" w:rsidP="00247CBF">
            <w:pPr>
              <w:spacing w:after="0"/>
              <w:jc w:val="right"/>
              <w:rPr>
                <w:sz w:val="20"/>
                <w:szCs w:val="20"/>
                <w:lang w:val="sr-Cyrl-CS"/>
              </w:rPr>
            </w:pPr>
            <w:r w:rsidRPr="00092ED7">
              <w:rPr>
                <w:sz w:val="20"/>
                <w:szCs w:val="20"/>
                <w:lang w:val="sr-Cyrl-CS"/>
              </w:rPr>
              <w:t>9,5</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020AB130" w14:textId="77777777" w:rsidR="00247CBF" w:rsidRPr="00092ED7" w:rsidRDefault="00247CBF" w:rsidP="00247CBF">
            <w:pPr>
              <w:spacing w:after="0"/>
              <w:jc w:val="right"/>
              <w:rPr>
                <w:sz w:val="20"/>
                <w:szCs w:val="20"/>
                <w:lang w:val="sr-Cyrl-CS"/>
              </w:rPr>
            </w:pPr>
            <w:r w:rsidRPr="00092ED7">
              <w:rPr>
                <w:sz w:val="20"/>
                <w:szCs w:val="20"/>
                <w:lang w:val="sr-Cyrl-CS"/>
              </w:rPr>
              <w:t>9,0</w:t>
            </w:r>
          </w:p>
        </w:tc>
        <w:tc>
          <w:tcPr>
            <w:tcW w:w="437" w:type="pct"/>
            <w:gridSpan w:val="2"/>
            <w:tcBorders>
              <w:top w:val="nil"/>
              <w:left w:val="nil"/>
              <w:bottom w:val="dotted" w:sz="4" w:space="0" w:color="auto"/>
              <w:right w:val="double" w:sz="6" w:space="0" w:color="auto"/>
            </w:tcBorders>
            <w:shd w:val="clear" w:color="000000" w:fill="FFFFFF"/>
            <w:noWrap/>
            <w:vAlign w:val="center"/>
            <w:hideMark/>
          </w:tcPr>
          <w:p w14:paraId="6F3C216D" w14:textId="77777777" w:rsidR="00247CBF" w:rsidRPr="00092ED7" w:rsidRDefault="00247CBF" w:rsidP="00247CBF">
            <w:pPr>
              <w:spacing w:after="0"/>
              <w:jc w:val="right"/>
              <w:rPr>
                <w:sz w:val="20"/>
                <w:szCs w:val="20"/>
                <w:lang w:val="sr-Cyrl-CS"/>
              </w:rPr>
            </w:pPr>
            <w:r w:rsidRPr="00092ED7">
              <w:rPr>
                <w:sz w:val="20"/>
                <w:szCs w:val="20"/>
                <w:lang w:val="sr-Cyrl-CS"/>
              </w:rPr>
              <w:t>8,3</w:t>
            </w:r>
          </w:p>
        </w:tc>
      </w:tr>
      <w:tr w:rsidR="00247CBF" w:rsidRPr="00092ED7" w14:paraId="73588B1D"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280496BC" w14:textId="77777777" w:rsidR="00247CBF" w:rsidRPr="00092ED7" w:rsidRDefault="00000000" w:rsidP="00247CBF">
            <w:pPr>
              <w:spacing w:after="0"/>
              <w:jc w:val="left"/>
              <w:rPr>
                <w:rFonts w:eastAsia="Times New Roman" w:cs="Times New Roman"/>
                <w:sz w:val="20"/>
                <w:szCs w:val="20"/>
                <w:lang w:val="sr-Cyrl-CS"/>
              </w:rPr>
            </w:pPr>
            <w:hyperlink r:id="rId49" w:anchor="RANGE!B25" w:history="1">
              <w:r w:rsidR="00247CBF" w:rsidRPr="00092ED7">
                <w:rPr>
                  <w:rFonts w:eastAsia="Times New Roman" w:cs="Times New Roman"/>
                  <w:sz w:val="20"/>
                  <w:szCs w:val="20"/>
                  <w:lang w:val="sr-Cyrl-CS"/>
                </w:rPr>
                <w:t xml:space="preserve">11. Продуктивност рада, према броју запослених лица [5] </w:t>
              </w:r>
            </w:hyperlink>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531770CE"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noWrap/>
            <w:vAlign w:val="center"/>
            <w:hideMark/>
          </w:tcPr>
          <w:p w14:paraId="454F65C1" w14:textId="77777777" w:rsidR="00247CBF" w:rsidRPr="00092ED7" w:rsidRDefault="00247CBF" w:rsidP="00247CBF">
            <w:pPr>
              <w:spacing w:after="0"/>
              <w:jc w:val="right"/>
              <w:rPr>
                <w:sz w:val="20"/>
                <w:szCs w:val="20"/>
                <w:lang w:val="sr-Cyrl-CS"/>
              </w:rPr>
            </w:pPr>
            <w:r w:rsidRPr="00092ED7">
              <w:rPr>
                <w:sz w:val="20"/>
                <w:szCs w:val="20"/>
                <w:lang w:val="sr-Cyrl-CS"/>
              </w:rPr>
              <w:t>1.937,3</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11FF6B91" w14:textId="77777777" w:rsidR="00247CBF" w:rsidRPr="00092ED7" w:rsidRDefault="00247CBF" w:rsidP="00247CBF">
            <w:pPr>
              <w:spacing w:after="0"/>
              <w:jc w:val="right"/>
              <w:rPr>
                <w:sz w:val="20"/>
                <w:szCs w:val="20"/>
                <w:lang w:val="sr-Cyrl-CS"/>
              </w:rPr>
            </w:pPr>
            <w:r w:rsidRPr="00092ED7">
              <w:rPr>
                <w:sz w:val="20"/>
                <w:szCs w:val="20"/>
                <w:lang w:val="sr-Cyrl-CS"/>
              </w:rPr>
              <w:t>4,5</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0ECE53F9" w14:textId="77777777" w:rsidR="00247CBF" w:rsidRPr="00092ED7" w:rsidRDefault="00247CBF" w:rsidP="00247CBF">
            <w:pPr>
              <w:spacing w:after="0"/>
              <w:jc w:val="right"/>
              <w:rPr>
                <w:sz w:val="20"/>
                <w:szCs w:val="20"/>
                <w:lang w:val="sr-Cyrl-CS"/>
              </w:rPr>
            </w:pPr>
            <w:r w:rsidRPr="00092ED7">
              <w:rPr>
                <w:sz w:val="20"/>
                <w:szCs w:val="20"/>
                <w:lang w:val="sr-Cyrl-CS"/>
              </w:rPr>
              <w:t>-0,4</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1C783713" w14:textId="77777777" w:rsidR="00247CBF" w:rsidRPr="00092ED7" w:rsidRDefault="00247CBF" w:rsidP="00247CBF">
            <w:pPr>
              <w:spacing w:after="0"/>
              <w:jc w:val="right"/>
              <w:rPr>
                <w:sz w:val="20"/>
                <w:szCs w:val="20"/>
                <w:lang w:val="sr-Cyrl-CS"/>
              </w:rPr>
            </w:pPr>
            <w:r w:rsidRPr="00092ED7">
              <w:rPr>
                <w:sz w:val="20"/>
                <w:szCs w:val="20"/>
                <w:lang w:val="sr-Cyrl-CS"/>
              </w:rPr>
              <w:t>1,8</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4AE58F8C" w14:textId="77777777" w:rsidR="00247CBF" w:rsidRPr="00092ED7" w:rsidRDefault="00247CBF" w:rsidP="00247CBF">
            <w:pPr>
              <w:spacing w:after="0"/>
              <w:jc w:val="right"/>
              <w:rPr>
                <w:sz w:val="20"/>
                <w:szCs w:val="20"/>
                <w:lang w:val="sr-Cyrl-CS"/>
              </w:rPr>
            </w:pPr>
            <w:r w:rsidRPr="00092ED7">
              <w:rPr>
                <w:sz w:val="20"/>
                <w:szCs w:val="20"/>
                <w:lang w:val="sr-Cyrl-CS"/>
              </w:rPr>
              <w:t>2,5</w:t>
            </w:r>
          </w:p>
        </w:tc>
        <w:tc>
          <w:tcPr>
            <w:tcW w:w="437" w:type="pct"/>
            <w:gridSpan w:val="2"/>
            <w:tcBorders>
              <w:top w:val="nil"/>
              <w:left w:val="nil"/>
              <w:bottom w:val="dotted" w:sz="4" w:space="0" w:color="auto"/>
              <w:right w:val="double" w:sz="6" w:space="0" w:color="auto"/>
            </w:tcBorders>
            <w:shd w:val="clear" w:color="000000" w:fill="FFFFFF"/>
            <w:noWrap/>
            <w:vAlign w:val="center"/>
            <w:hideMark/>
          </w:tcPr>
          <w:p w14:paraId="63C0B7D0" w14:textId="77777777" w:rsidR="00247CBF" w:rsidRPr="00092ED7" w:rsidRDefault="00247CBF" w:rsidP="00247CBF">
            <w:pPr>
              <w:spacing w:after="0"/>
              <w:jc w:val="right"/>
              <w:rPr>
                <w:sz w:val="20"/>
                <w:szCs w:val="20"/>
                <w:lang w:val="sr-Cyrl-CS"/>
              </w:rPr>
            </w:pPr>
            <w:r w:rsidRPr="00092ED7">
              <w:rPr>
                <w:sz w:val="20"/>
                <w:szCs w:val="20"/>
                <w:lang w:val="sr-Cyrl-CS"/>
              </w:rPr>
              <w:t>2,8</w:t>
            </w:r>
          </w:p>
        </w:tc>
      </w:tr>
      <w:tr w:rsidR="00247CBF" w:rsidRPr="00092ED7" w14:paraId="26AEB448"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26DDCE99" w14:textId="77777777" w:rsidR="00247CBF" w:rsidRPr="00092ED7" w:rsidRDefault="00000000" w:rsidP="00247CBF">
            <w:pPr>
              <w:spacing w:after="0"/>
              <w:jc w:val="left"/>
              <w:rPr>
                <w:rFonts w:eastAsia="Times New Roman" w:cs="Times New Roman"/>
                <w:sz w:val="20"/>
                <w:szCs w:val="20"/>
                <w:lang w:val="sr-Cyrl-CS"/>
              </w:rPr>
            </w:pPr>
            <w:hyperlink r:id="rId50" w:anchor="RANGE!B26" w:history="1">
              <w:r w:rsidR="00247CBF" w:rsidRPr="00092ED7">
                <w:rPr>
                  <w:rFonts w:eastAsia="Times New Roman" w:cs="Times New Roman"/>
                  <w:sz w:val="20"/>
                  <w:szCs w:val="20"/>
                  <w:lang w:val="sr-Cyrl-CS"/>
                </w:rPr>
                <w:t>12. Продуктивност рада, према часовима рада [6]</w:t>
              </w:r>
            </w:hyperlink>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264B8F30"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3BC0E27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71BD4B71"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tted" w:sz="4" w:space="0" w:color="auto"/>
              <w:right w:val="dotted" w:sz="4" w:space="0" w:color="auto"/>
            </w:tcBorders>
            <w:shd w:val="clear" w:color="000000" w:fill="FFFFFF"/>
            <w:vAlign w:val="center"/>
            <w:hideMark/>
          </w:tcPr>
          <w:p w14:paraId="06042830"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tted" w:sz="4" w:space="0" w:color="auto"/>
              <w:right w:val="dotted" w:sz="4" w:space="0" w:color="auto"/>
            </w:tcBorders>
            <w:shd w:val="clear" w:color="000000" w:fill="FFFFFF"/>
            <w:vAlign w:val="center"/>
            <w:hideMark/>
          </w:tcPr>
          <w:p w14:paraId="68866FE9"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08801983"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2"/>
            <w:tcBorders>
              <w:top w:val="nil"/>
              <w:left w:val="nil"/>
              <w:bottom w:val="dotted" w:sz="4" w:space="0" w:color="auto"/>
              <w:right w:val="double" w:sz="6" w:space="0" w:color="auto"/>
            </w:tcBorders>
            <w:shd w:val="clear" w:color="000000" w:fill="FFFFFF"/>
            <w:vAlign w:val="center"/>
            <w:hideMark/>
          </w:tcPr>
          <w:p w14:paraId="355F5E3A"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41DAFFD7" w14:textId="77777777" w:rsidTr="00247CBF">
        <w:trPr>
          <w:gridBefore w:val="1"/>
          <w:wBefore w:w="8" w:type="pct"/>
          <w:trHeight w:val="284"/>
        </w:trPr>
        <w:tc>
          <w:tcPr>
            <w:tcW w:w="1982" w:type="pct"/>
            <w:tcBorders>
              <w:top w:val="nil"/>
              <w:left w:val="double" w:sz="6" w:space="0" w:color="auto"/>
              <w:bottom w:val="double" w:sz="6" w:space="0" w:color="auto"/>
              <w:right w:val="nil"/>
            </w:tcBorders>
            <w:shd w:val="clear" w:color="000000" w:fill="FFFFFF"/>
            <w:vAlign w:val="center"/>
            <w:hideMark/>
          </w:tcPr>
          <w:p w14:paraId="17470680"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13. Зараде и накнаде запосленима</w:t>
            </w:r>
          </w:p>
        </w:tc>
        <w:tc>
          <w:tcPr>
            <w:tcW w:w="388" w:type="pct"/>
            <w:tcBorders>
              <w:top w:val="nil"/>
              <w:left w:val="single" w:sz="4" w:space="0" w:color="auto"/>
              <w:bottom w:val="double" w:sz="6" w:space="0" w:color="auto"/>
              <w:right w:val="single" w:sz="4" w:space="0" w:color="auto"/>
            </w:tcBorders>
            <w:shd w:val="clear" w:color="000000" w:fill="FFFFFF"/>
            <w:vAlign w:val="center"/>
            <w:hideMark/>
          </w:tcPr>
          <w:p w14:paraId="1AD115E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D1</w:t>
            </w:r>
          </w:p>
        </w:tc>
        <w:tc>
          <w:tcPr>
            <w:tcW w:w="437" w:type="pct"/>
            <w:gridSpan w:val="2"/>
            <w:tcBorders>
              <w:top w:val="nil"/>
              <w:left w:val="nil"/>
              <w:bottom w:val="double" w:sz="6" w:space="0" w:color="auto"/>
              <w:right w:val="single" w:sz="4" w:space="0" w:color="auto"/>
            </w:tcBorders>
            <w:shd w:val="clear" w:color="000000" w:fill="FFFFFF"/>
            <w:noWrap/>
            <w:vAlign w:val="center"/>
            <w:hideMark/>
          </w:tcPr>
          <w:p w14:paraId="6241D146"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3"/>
            <w:tcBorders>
              <w:top w:val="nil"/>
              <w:left w:val="nil"/>
              <w:bottom w:val="double" w:sz="6" w:space="0" w:color="auto"/>
              <w:right w:val="dotted" w:sz="4" w:space="0" w:color="auto"/>
            </w:tcBorders>
            <w:shd w:val="clear" w:color="000000" w:fill="FFFFFF"/>
            <w:noWrap/>
            <w:vAlign w:val="center"/>
            <w:hideMark/>
          </w:tcPr>
          <w:p w14:paraId="12065787"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uble" w:sz="6" w:space="0" w:color="auto"/>
              <w:right w:val="dotted" w:sz="4" w:space="0" w:color="auto"/>
            </w:tcBorders>
            <w:shd w:val="clear" w:color="000000" w:fill="FFFFFF"/>
            <w:noWrap/>
            <w:vAlign w:val="center"/>
            <w:hideMark/>
          </w:tcPr>
          <w:p w14:paraId="18589B81"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uble" w:sz="6" w:space="0" w:color="auto"/>
              <w:right w:val="dotted" w:sz="4" w:space="0" w:color="auto"/>
            </w:tcBorders>
            <w:shd w:val="clear" w:color="000000" w:fill="FFFFFF"/>
            <w:noWrap/>
            <w:vAlign w:val="center"/>
            <w:hideMark/>
          </w:tcPr>
          <w:p w14:paraId="1A5265F4"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3"/>
            <w:tcBorders>
              <w:top w:val="nil"/>
              <w:left w:val="nil"/>
              <w:bottom w:val="double" w:sz="6" w:space="0" w:color="auto"/>
              <w:right w:val="dotted" w:sz="4" w:space="0" w:color="auto"/>
            </w:tcBorders>
            <w:shd w:val="clear" w:color="000000" w:fill="FFFFFF"/>
            <w:noWrap/>
            <w:vAlign w:val="center"/>
            <w:hideMark/>
          </w:tcPr>
          <w:p w14:paraId="661DFD0F"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2"/>
            <w:tcBorders>
              <w:top w:val="nil"/>
              <w:left w:val="nil"/>
              <w:bottom w:val="double" w:sz="6" w:space="0" w:color="auto"/>
              <w:right w:val="double" w:sz="6" w:space="0" w:color="auto"/>
            </w:tcBorders>
            <w:shd w:val="clear" w:color="000000" w:fill="FFFFFF"/>
            <w:noWrap/>
            <w:vAlign w:val="center"/>
            <w:hideMark/>
          </w:tcPr>
          <w:p w14:paraId="278203DD"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7248C650" w14:textId="77777777" w:rsidTr="00247CBF">
        <w:trPr>
          <w:gridBefore w:val="1"/>
          <w:wBefore w:w="8" w:type="pct"/>
          <w:trHeight w:val="255"/>
        </w:trPr>
        <w:tc>
          <w:tcPr>
            <w:tcW w:w="1982" w:type="pct"/>
            <w:tcBorders>
              <w:top w:val="nil"/>
              <w:left w:val="nil"/>
              <w:bottom w:val="nil"/>
              <w:right w:val="nil"/>
            </w:tcBorders>
            <w:shd w:val="clear" w:color="000000" w:fill="FFFFFF"/>
            <w:noWrap/>
            <w:vAlign w:val="bottom"/>
            <w:hideMark/>
          </w:tcPr>
          <w:p w14:paraId="0995AAAF"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[1] Узрасна група 15-64 године</w:t>
            </w:r>
          </w:p>
        </w:tc>
        <w:tc>
          <w:tcPr>
            <w:tcW w:w="388" w:type="pct"/>
            <w:tcBorders>
              <w:top w:val="nil"/>
              <w:left w:val="nil"/>
              <w:bottom w:val="nil"/>
              <w:right w:val="nil"/>
            </w:tcBorders>
            <w:shd w:val="clear" w:color="000000" w:fill="FFFFFF"/>
            <w:noWrap/>
            <w:vAlign w:val="bottom"/>
          </w:tcPr>
          <w:p w14:paraId="4DC1AB4E"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4"/>
            <w:tcBorders>
              <w:top w:val="nil"/>
              <w:left w:val="nil"/>
              <w:bottom w:val="nil"/>
              <w:right w:val="nil"/>
            </w:tcBorders>
            <w:shd w:val="clear" w:color="000000" w:fill="FFFFFF"/>
            <w:noWrap/>
            <w:vAlign w:val="bottom"/>
          </w:tcPr>
          <w:p w14:paraId="19D59DDD" w14:textId="77777777" w:rsidR="00247CBF" w:rsidRPr="00092ED7" w:rsidRDefault="00247CBF" w:rsidP="00247CBF">
            <w:pPr>
              <w:spacing w:after="0"/>
              <w:rPr>
                <w:rFonts w:ascii="Arial" w:eastAsia="Times New Roman" w:hAnsi="Arial" w:cs="Arial"/>
                <w:sz w:val="16"/>
                <w:szCs w:val="16"/>
                <w:lang w:val="sr-Cyrl-CS"/>
              </w:rPr>
            </w:pPr>
          </w:p>
        </w:tc>
        <w:tc>
          <w:tcPr>
            <w:tcW w:w="534" w:type="pct"/>
            <w:gridSpan w:val="3"/>
            <w:tcBorders>
              <w:top w:val="nil"/>
              <w:left w:val="nil"/>
              <w:bottom w:val="nil"/>
              <w:right w:val="nil"/>
            </w:tcBorders>
            <w:shd w:val="clear" w:color="000000" w:fill="FFFFFF"/>
            <w:noWrap/>
            <w:vAlign w:val="bottom"/>
          </w:tcPr>
          <w:p w14:paraId="3315E88C" w14:textId="77777777" w:rsidR="00247CBF" w:rsidRPr="00092ED7" w:rsidRDefault="00247CBF" w:rsidP="00247CBF">
            <w:pPr>
              <w:spacing w:after="0"/>
              <w:rPr>
                <w:rFonts w:ascii="Arial" w:eastAsia="Times New Roman" w:hAnsi="Arial" w:cs="Arial"/>
                <w:sz w:val="16"/>
                <w:szCs w:val="16"/>
                <w:lang w:val="sr-Cyrl-CS"/>
              </w:rPr>
            </w:pPr>
          </w:p>
        </w:tc>
        <w:tc>
          <w:tcPr>
            <w:tcW w:w="388" w:type="pct"/>
            <w:gridSpan w:val="3"/>
            <w:tcBorders>
              <w:top w:val="nil"/>
              <w:left w:val="nil"/>
              <w:bottom w:val="nil"/>
              <w:right w:val="nil"/>
            </w:tcBorders>
            <w:shd w:val="clear" w:color="000000" w:fill="FFFFFF"/>
            <w:noWrap/>
            <w:vAlign w:val="bottom"/>
          </w:tcPr>
          <w:p w14:paraId="6A8724B7" w14:textId="77777777" w:rsidR="00247CBF" w:rsidRPr="00092ED7" w:rsidRDefault="00247CBF" w:rsidP="00247CBF">
            <w:pPr>
              <w:spacing w:after="0"/>
              <w:rPr>
                <w:rFonts w:ascii="Arial" w:eastAsia="Times New Roman" w:hAnsi="Arial" w:cs="Arial"/>
                <w:sz w:val="16"/>
                <w:szCs w:val="16"/>
                <w:lang w:val="sr-Cyrl-CS"/>
              </w:rPr>
            </w:pPr>
          </w:p>
        </w:tc>
        <w:tc>
          <w:tcPr>
            <w:tcW w:w="291" w:type="pct"/>
            <w:gridSpan w:val="2"/>
            <w:tcBorders>
              <w:top w:val="nil"/>
              <w:left w:val="nil"/>
              <w:bottom w:val="nil"/>
              <w:right w:val="nil"/>
            </w:tcBorders>
            <w:shd w:val="clear" w:color="000000" w:fill="FFFFFF"/>
            <w:noWrap/>
            <w:vAlign w:val="bottom"/>
          </w:tcPr>
          <w:p w14:paraId="5D9862DC" w14:textId="77777777" w:rsidR="00247CBF" w:rsidRPr="00092ED7" w:rsidRDefault="00247CBF" w:rsidP="00247CBF">
            <w:pPr>
              <w:spacing w:after="0"/>
              <w:rPr>
                <w:rFonts w:ascii="Arial" w:eastAsia="Times New Roman" w:hAnsi="Arial" w:cs="Arial"/>
                <w:sz w:val="16"/>
                <w:szCs w:val="16"/>
                <w:lang w:val="sr-Cyrl-CS"/>
              </w:rPr>
            </w:pPr>
          </w:p>
        </w:tc>
        <w:tc>
          <w:tcPr>
            <w:tcW w:w="437" w:type="pct"/>
            <w:gridSpan w:val="3"/>
            <w:tcBorders>
              <w:top w:val="nil"/>
              <w:left w:val="nil"/>
              <w:bottom w:val="nil"/>
              <w:right w:val="nil"/>
            </w:tcBorders>
            <w:shd w:val="clear" w:color="000000" w:fill="FFFFFF"/>
            <w:noWrap/>
            <w:vAlign w:val="bottom"/>
          </w:tcPr>
          <w:p w14:paraId="3A157EB8"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3"/>
            <w:tcBorders>
              <w:top w:val="nil"/>
              <w:left w:val="nil"/>
              <w:bottom w:val="nil"/>
              <w:right w:val="nil"/>
            </w:tcBorders>
            <w:shd w:val="clear" w:color="000000" w:fill="FFFFFF"/>
            <w:noWrap/>
            <w:vAlign w:val="bottom"/>
          </w:tcPr>
          <w:p w14:paraId="65AB28CA" w14:textId="77777777" w:rsidR="00247CBF" w:rsidRPr="00092ED7" w:rsidRDefault="00247CBF" w:rsidP="00247CBF">
            <w:pPr>
              <w:spacing w:after="0"/>
              <w:rPr>
                <w:rFonts w:ascii="Arial" w:eastAsia="Times New Roman" w:hAnsi="Arial" w:cs="Arial"/>
                <w:sz w:val="16"/>
                <w:szCs w:val="16"/>
                <w:lang w:val="sr-Cyrl-CS"/>
              </w:rPr>
            </w:pPr>
          </w:p>
        </w:tc>
      </w:tr>
      <w:tr w:rsidR="00247CBF" w:rsidRPr="00092ED7" w14:paraId="6070E998" w14:textId="77777777" w:rsidTr="00247CBF">
        <w:trPr>
          <w:gridBefore w:val="1"/>
          <w:wBefore w:w="8" w:type="pct"/>
          <w:trHeight w:val="255"/>
        </w:trPr>
        <w:tc>
          <w:tcPr>
            <w:tcW w:w="2856" w:type="pct"/>
            <w:gridSpan w:val="6"/>
            <w:tcBorders>
              <w:top w:val="nil"/>
              <w:left w:val="nil"/>
              <w:bottom w:val="nil"/>
              <w:right w:val="nil"/>
            </w:tcBorders>
            <w:shd w:val="clear" w:color="000000" w:fill="FFFFFF"/>
            <w:noWrap/>
            <w:vAlign w:val="bottom"/>
            <w:hideMark/>
          </w:tcPr>
          <w:p w14:paraId="6CECF1B5"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[2] Запослено становништво, према дефиницији из Анкете о радној снази</w:t>
            </w:r>
          </w:p>
        </w:tc>
        <w:tc>
          <w:tcPr>
            <w:tcW w:w="534" w:type="pct"/>
            <w:gridSpan w:val="3"/>
            <w:tcBorders>
              <w:top w:val="nil"/>
              <w:left w:val="nil"/>
              <w:bottom w:val="nil"/>
              <w:right w:val="nil"/>
            </w:tcBorders>
            <w:shd w:val="clear" w:color="000000" w:fill="FFFFFF"/>
            <w:noWrap/>
            <w:vAlign w:val="bottom"/>
          </w:tcPr>
          <w:p w14:paraId="59019654" w14:textId="77777777" w:rsidR="00247CBF" w:rsidRPr="00092ED7" w:rsidRDefault="00247CBF" w:rsidP="00247CBF">
            <w:pPr>
              <w:spacing w:after="0"/>
              <w:rPr>
                <w:rFonts w:ascii="Arial" w:eastAsia="Times New Roman" w:hAnsi="Arial" w:cs="Arial"/>
                <w:sz w:val="16"/>
                <w:szCs w:val="16"/>
                <w:lang w:val="sr-Cyrl-CS"/>
              </w:rPr>
            </w:pPr>
          </w:p>
        </w:tc>
        <w:tc>
          <w:tcPr>
            <w:tcW w:w="388" w:type="pct"/>
            <w:gridSpan w:val="3"/>
            <w:tcBorders>
              <w:top w:val="nil"/>
              <w:left w:val="nil"/>
              <w:bottom w:val="nil"/>
              <w:right w:val="nil"/>
            </w:tcBorders>
            <w:shd w:val="clear" w:color="000000" w:fill="FFFFFF"/>
            <w:noWrap/>
            <w:vAlign w:val="bottom"/>
          </w:tcPr>
          <w:p w14:paraId="2CF0EBCF" w14:textId="77777777" w:rsidR="00247CBF" w:rsidRPr="00092ED7" w:rsidRDefault="00247CBF" w:rsidP="00247CBF">
            <w:pPr>
              <w:spacing w:after="0"/>
              <w:rPr>
                <w:rFonts w:ascii="Arial" w:eastAsia="Times New Roman" w:hAnsi="Arial" w:cs="Arial"/>
                <w:sz w:val="16"/>
                <w:szCs w:val="16"/>
                <w:lang w:val="sr-Cyrl-CS"/>
              </w:rPr>
            </w:pPr>
          </w:p>
        </w:tc>
        <w:tc>
          <w:tcPr>
            <w:tcW w:w="291" w:type="pct"/>
            <w:gridSpan w:val="2"/>
            <w:tcBorders>
              <w:top w:val="nil"/>
              <w:left w:val="nil"/>
              <w:bottom w:val="nil"/>
              <w:right w:val="nil"/>
            </w:tcBorders>
            <w:shd w:val="clear" w:color="000000" w:fill="FFFFFF"/>
            <w:noWrap/>
            <w:vAlign w:val="bottom"/>
          </w:tcPr>
          <w:p w14:paraId="31932F21" w14:textId="77777777" w:rsidR="00247CBF" w:rsidRPr="00092ED7" w:rsidRDefault="00247CBF" w:rsidP="00247CBF">
            <w:pPr>
              <w:spacing w:after="0"/>
              <w:rPr>
                <w:rFonts w:ascii="Arial" w:eastAsia="Times New Roman" w:hAnsi="Arial" w:cs="Arial"/>
                <w:sz w:val="16"/>
                <w:szCs w:val="16"/>
                <w:lang w:val="sr-Cyrl-CS"/>
              </w:rPr>
            </w:pPr>
          </w:p>
        </w:tc>
        <w:tc>
          <w:tcPr>
            <w:tcW w:w="437" w:type="pct"/>
            <w:gridSpan w:val="3"/>
            <w:tcBorders>
              <w:top w:val="nil"/>
              <w:left w:val="nil"/>
              <w:bottom w:val="nil"/>
              <w:right w:val="nil"/>
            </w:tcBorders>
            <w:shd w:val="clear" w:color="000000" w:fill="FFFFFF"/>
            <w:noWrap/>
            <w:vAlign w:val="bottom"/>
          </w:tcPr>
          <w:p w14:paraId="7683D10A"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3"/>
            <w:tcBorders>
              <w:top w:val="nil"/>
              <w:left w:val="nil"/>
              <w:bottom w:val="nil"/>
              <w:right w:val="nil"/>
            </w:tcBorders>
            <w:shd w:val="clear" w:color="000000" w:fill="FFFFFF"/>
            <w:noWrap/>
            <w:vAlign w:val="bottom"/>
          </w:tcPr>
          <w:p w14:paraId="39F7547C" w14:textId="77777777" w:rsidR="00247CBF" w:rsidRPr="00092ED7" w:rsidRDefault="00247CBF" w:rsidP="00247CBF">
            <w:pPr>
              <w:spacing w:after="0"/>
              <w:rPr>
                <w:rFonts w:ascii="Arial" w:eastAsia="Times New Roman" w:hAnsi="Arial" w:cs="Arial"/>
                <w:sz w:val="16"/>
                <w:szCs w:val="16"/>
                <w:lang w:val="sr-Cyrl-CS"/>
              </w:rPr>
            </w:pPr>
          </w:p>
        </w:tc>
      </w:tr>
      <w:tr w:rsidR="00247CBF" w:rsidRPr="00092ED7" w14:paraId="1C05AA91" w14:textId="77777777" w:rsidTr="00247CBF">
        <w:trPr>
          <w:gridBefore w:val="1"/>
          <w:wBefore w:w="8" w:type="pct"/>
          <w:trHeight w:val="255"/>
        </w:trPr>
        <w:tc>
          <w:tcPr>
            <w:tcW w:w="1982" w:type="pct"/>
            <w:tcBorders>
              <w:top w:val="nil"/>
              <w:left w:val="nil"/>
              <w:bottom w:val="nil"/>
              <w:right w:val="nil"/>
            </w:tcBorders>
            <w:shd w:val="clear" w:color="000000" w:fill="FFFFFF"/>
            <w:noWrap/>
            <w:vAlign w:val="bottom"/>
            <w:hideMark/>
          </w:tcPr>
          <w:p w14:paraId="66BE502C"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[3] Дефиниција према националним рачунима</w:t>
            </w:r>
          </w:p>
        </w:tc>
        <w:tc>
          <w:tcPr>
            <w:tcW w:w="388" w:type="pct"/>
            <w:tcBorders>
              <w:top w:val="nil"/>
              <w:left w:val="nil"/>
              <w:bottom w:val="nil"/>
              <w:right w:val="nil"/>
            </w:tcBorders>
            <w:shd w:val="clear" w:color="000000" w:fill="FFFFFF"/>
            <w:noWrap/>
            <w:vAlign w:val="bottom"/>
          </w:tcPr>
          <w:p w14:paraId="2E168DAA"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4"/>
            <w:tcBorders>
              <w:top w:val="nil"/>
              <w:left w:val="nil"/>
              <w:bottom w:val="nil"/>
              <w:right w:val="nil"/>
            </w:tcBorders>
            <w:shd w:val="clear" w:color="000000" w:fill="FFFFFF"/>
            <w:noWrap/>
            <w:vAlign w:val="bottom"/>
          </w:tcPr>
          <w:p w14:paraId="324578E4" w14:textId="77777777" w:rsidR="00247CBF" w:rsidRPr="00092ED7" w:rsidRDefault="00247CBF" w:rsidP="00247CBF">
            <w:pPr>
              <w:spacing w:after="0"/>
              <w:rPr>
                <w:rFonts w:ascii="Arial" w:eastAsia="Times New Roman" w:hAnsi="Arial" w:cs="Arial"/>
                <w:sz w:val="16"/>
                <w:szCs w:val="16"/>
                <w:lang w:val="sr-Cyrl-CS"/>
              </w:rPr>
            </w:pPr>
          </w:p>
        </w:tc>
        <w:tc>
          <w:tcPr>
            <w:tcW w:w="534" w:type="pct"/>
            <w:gridSpan w:val="3"/>
            <w:tcBorders>
              <w:top w:val="nil"/>
              <w:left w:val="nil"/>
              <w:bottom w:val="nil"/>
              <w:right w:val="nil"/>
            </w:tcBorders>
            <w:shd w:val="clear" w:color="000000" w:fill="FFFFFF"/>
            <w:noWrap/>
            <w:vAlign w:val="bottom"/>
          </w:tcPr>
          <w:p w14:paraId="2E3B9D45" w14:textId="77777777" w:rsidR="00247CBF" w:rsidRPr="00092ED7" w:rsidRDefault="00247CBF" w:rsidP="00247CBF">
            <w:pPr>
              <w:spacing w:after="0"/>
              <w:rPr>
                <w:rFonts w:ascii="Arial" w:eastAsia="Times New Roman" w:hAnsi="Arial" w:cs="Arial"/>
                <w:sz w:val="16"/>
                <w:szCs w:val="16"/>
                <w:lang w:val="sr-Cyrl-CS"/>
              </w:rPr>
            </w:pPr>
          </w:p>
        </w:tc>
        <w:tc>
          <w:tcPr>
            <w:tcW w:w="388" w:type="pct"/>
            <w:gridSpan w:val="3"/>
            <w:tcBorders>
              <w:top w:val="nil"/>
              <w:left w:val="nil"/>
              <w:bottom w:val="nil"/>
              <w:right w:val="nil"/>
            </w:tcBorders>
            <w:shd w:val="clear" w:color="000000" w:fill="FFFFFF"/>
            <w:noWrap/>
            <w:vAlign w:val="bottom"/>
          </w:tcPr>
          <w:p w14:paraId="400D1CC2" w14:textId="77777777" w:rsidR="00247CBF" w:rsidRPr="00092ED7" w:rsidRDefault="00247CBF" w:rsidP="00247CBF">
            <w:pPr>
              <w:spacing w:after="0"/>
              <w:rPr>
                <w:rFonts w:ascii="Arial" w:eastAsia="Times New Roman" w:hAnsi="Arial" w:cs="Arial"/>
                <w:sz w:val="16"/>
                <w:szCs w:val="16"/>
                <w:lang w:val="sr-Cyrl-CS"/>
              </w:rPr>
            </w:pPr>
          </w:p>
        </w:tc>
        <w:tc>
          <w:tcPr>
            <w:tcW w:w="291" w:type="pct"/>
            <w:gridSpan w:val="2"/>
            <w:tcBorders>
              <w:top w:val="nil"/>
              <w:left w:val="nil"/>
              <w:bottom w:val="nil"/>
              <w:right w:val="nil"/>
            </w:tcBorders>
            <w:shd w:val="clear" w:color="000000" w:fill="FFFFFF"/>
            <w:noWrap/>
            <w:vAlign w:val="bottom"/>
          </w:tcPr>
          <w:p w14:paraId="52151D43" w14:textId="77777777" w:rsidR="00247CBF" w:rsidRPr="00092ED7" w:rsidRDefault="00247CBF" w:rsidP="00247CBF">
            <w:pPr>
              <w:spacing w:after="0"/>
              <w:rPr>
                <w:rFonts w:ascii="Arial" w:eastAsia="Times New Roman" w:hAnsi="Arial" w:cs="Arial"/>
                <w:sz w:val="16"/>
                <w:szCs w:val="16"/>
                <w:lang w:val="sr-Cyrl-CS"/>
              </w:rPr>
            </w:pPr>
          </w:p>
        </w:tc>
        <w:tc>
          <w:tcPr>
            <w:tcW w:w="437" w:type="pct"/>
            <w:gridSpan w:val="3"/>
            <w:tcBorders>
              <w:top w:val="nil"/>
              <w:left w:val="nil"/>
              <w:bottom w:val="nil"/>
              <w:right w:val="nil"/>
            </w:tcBorders>
            <w:shd w:val="clear" w:color="000000" w:fill="FFFFFF"/>
            <w:noWrap/>
            <w:vAlign w:val="bottom"/>
          </w:tcPr>
          <w:p w14:paraId="0F106491"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3"/>
            <w:tcBorders>
              <w:top w:val="nil"/>
              <w:left w:val="nil"/>
              <w:bottom w:val="nil"/>
              <w:right w:val="nil"/>
            </w:tcBorders>
            <w:shd w:val="clear" w:color="000000" w:fill="FFFFFF"/>
            <w:noWrap/>
            <w:vAlign w:val="bottom"/>
          </w:tcPr>
          <w:p w14:paraId="02EEBE42" w14:textId="77777777" w:rsidR="00247CBF" w:rsidRPr="00092ED7" w:rsidRDefault="00247CBF" w:rsidP="00247CBF">
            <w:pPr>
              <w:spacing w:after="0"/>
              <w:rPr>
                <w:rFonts w:ascii="Arial" w:eastAsia="Times New Roman" w:hAnsi="Arial" w:cs="Arial"/>
                <w:sz w:val="16"/>
                <w:szCs w:val="16"/>
                <w:lang w:val="sr-Cyrl-CS"/>
              </w:rPr>
            </w:pPr>
          </w:p>
        </w:tc>
      </w:tr>
      <w:tr w:rsidR="00247CBF" w:rsidRPr="00092ED7" w14:paraId="68623CE7" w14:textId="77777777" w:rsidTr="00247CBF">
        <w:trPr>
          <w:gridBefore w:val="1"/>
          <w:wBefore w:w="8" w:type="pct"/>
          <w:trHeight w:val="255"/>
        </w:trPr>
        <w:tc>
          <w:tcPr>
            <w:tcW w:w="1982" w:type="pct"/>
            <w:tcBorders>
              <w:top w:val="nil"/>
              <w:left w:val="nil"/>
              <w:bottom w:val="nil"/>
              <w:right w:val="nil"/>
            </w:tcBorders>
            <w:shd w:val="clear" w:color="000000" w:fill="FFFFFF"/>
            <w:noWrap/>
            <w:vAlign w:val="bottom"/>
            <w:hideMark/>
          </w:tcPr>
          <w:p w14:paraId="206D462F"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[4] Хармонизована дефиниција, Евростат; нивои</w:t>
            </w:r>
          </w:p>
        </w:tc>
        <w:tc>
          <w:tcPr>
            <w:tcW w:w="388" w:type="pct"/>
            <w:tcBorders>
              <w:top w:val="nil"/>
              <w:left w:val="nil"/>
              <w:bottom w:val="nil"/>
              <w:right w:val="nil"/>
            </w:tcBorders>
            <w:shd w:val="clear" w:color="000000" w:fill="FFFFFF"/>
            <w:noWrap/>
            <w:vAlign w:val="bottom"/>
          </w:tcPr>
          <w:p w14:paraId="1B2A4AD3"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4"/>
            <w:tcBorders>
              <w:top w:val="nil"/>
              <w:left w:val="nil"/>
              <w:bottom w:val="nil"/>
              <w:right w:val="nil"/>
            </w:tcBorders>
            <w:shd w:val="clear" w:color="000000" w:fill="FFFFFF"/>
            <w:noWrap/>
            <w:vAlign w:val="bottom"/>
          </w:tcPr>
          <w:p w14:paraId="40853AA6" w14:textId="77777777" w:rsidR="00247CBF" w:rsidRPr="00092ED7" w:rsidRDefault="00247CBF" w:rsidP="00247CBF">
            <w:pPr>
              <w:spacing w:after="0"/>
              <w:rPr>
                <w:rFonts w:ascii="Arial" w:eastAsia="Times New Roman" w:hAnsi="Arial" w:cs="Arial"/>
                <w:sz w:val="16"/>
                <w:szCs w:val="16"/>
                <w:lang w:val="sr-Cyrl-CS"/>
              </w:rPr>
            </w:pPr>
          </w:p>
        </w:tc>
        <w:tc>
          <w:tcPr>
            <w:tcW w:w="534" w:type="pct"/>
            <w:gridSpan w:val="3"/>
            <w:tcBorders>
              <w:top w:val="nil"/>
              <w:left w:val="nil"/>
              <w:bottom w:val="nil"/>
              <w:right w:val="nil"/>
            </w:tcBorders>
            <w:shd w:val="clear" w:color="000000" w:fill="FFFFFF"/>
            <w:noWrap/>
            <w:vAlign w:val="bottom"/>
          </w:tcPr>
          <w:p w14:paraId="5227BC68" w14:textId="77777777" w:rsidR="00247CBF" w:rsidRPr="00092ED7" w:rsidRDefault="00247CBF" w:rsidP="00247CBF">
            <w:pPr>
              <w:spacing w:after="0"/>
              <w:rPr>
                <w:rFonts w:ascii="Arial" w:eastAsia="Times New Roman" w:hAnsi="Arial" w:cs="Arial"/>
                <w:sz w:val="16"/>
                <w:szCs w:val="16"/>
                <w:lang w:val="sr-Cyrl-CS"/>
              </w:rPr>
            </w:pPr>
          </w:p>
        </w:tc>
        <w:tc>
          <w:tcPr>
            <w:tcW w:w="388" w:type="pct"/>
            <w:gridSpan w:val="3"/>
            <w:tcBorders>
              <w:top w:val="nil"/>
              <w:left w:val="nil"/>
              <w:bottom w:val="nil"/>
              <w:right w:val="nil"/>
            </w:tcBorders>
            <w:shd w:val="clear" w:color="000000" w:fill="FFFFFF"/>
            <w:noWrap/>
            <w:vAlign w:val="bottom"/>
          </w:tcPr>
          <w:p w14:paraId="5973D445" w14:textId="77777777" w:rsidR="00247CBF" w:rsidRPr="00092ED7" w:rsidRDefault="00247CBF" w:rsidP="00247CBF">
            <w:pPr>
              <w:spacing w:after="0"/>
              <w:rPr>
                <w:rFonts w:ascii="Arial" w:eastAsia="Times New Roman" w:hAnsi="Arial" w:cs="Arial"/>
                <w:sz w:val="16"/>
                <w:szCs w:val="16"/>
                <w:lang w:val="sr-Cyrl-CS"/>
              </w:rPr>
            </w:pPr>
          </w:p>
        </w:tc>
        <w:tc>
          <w:tcPr>
            <w:tcW w:w="291" w:type="pct"/>
            <w:gridSpan w:val="2"/>
            <w:tcBorders>
              <w:top w:val="nil"/>
              <w:left w:val="nil"/>
              <w:bottom w:val="nil"/>
              <w:right w:val="nil"/>
            </w:tcBorders>
            <w:shd w:val="clear" w:color="000000" w:fill="FFFFFF"/>
            <w:noWrap/>
            <w:vAlign w:val="bottom"/>
          </w:tcPr>
          <w:p w14:paraId="4BA349E3" w14:textId="77777777" w:rsidR="00247CBF" w:rsidRPr="00092ED7" w:rsidRDefault="00247CBF" w:rsidP="00247CBF">
            <w:pPr>
              <w:spacing w:after="0"/>
              <w:rPr>
                <w:rFonts w:ascii="Arial" w:eastAsia="Times New Roman" w:hAnsi="Arial" w:cs="Arial"/>
                <w:sz w:val="16"/>
                <w:szCs w:val="16"/>
                <w:lang w:val="sr-Cyrl-CS"/>
              </w:rPr>
            </w:pPr>
          </w:p>
        </w:tc>
        <w:tc>
          <w:tcPr>
            <w:tcW w:w="437" w:type="pct"/>
            <w:gridSpan w:val="3"/>
            <w:tcBorders>
              <w:top w:val="nil"/>
              <w:left w:val="nil"/>
              <w:bottom w:val="nil"/>
              <w:right w:val="nil"/>
            </w:tcBorders>
            <w:shd w:val="clear" w:color="000000" w:fill="FFFFFF"/>
            <w:noWrap/>
            <w:vAlign w:val="bottom"/>
          </w:tcPr>
          <w:p w14:paraId="525655BE"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3"/>
            <w:tcBorders>
              <w:top w:val="nil"/>
              <w:left w:val="nil"/>
              <w:bottom w:val="nil"/>
              <w:right w:val="nil"/>
            </w:tcBorders>
            <w:shd w:val="clear" w:color="000000" w:fill="FFFFFF"/>
            <w:noWrap/>
            <w:vAlign w:val="bottom"/>
          </w:tcPr>
          <w:p w14:paraId="5524306A" w14:textId="77777777" w:rsidR="00247CBF" w:rsidRPr="00092ED7" w:rsidRDefault="00247CBF" w:rsidP="00247CBF">
            <w:pPr>
              <w:spacing w:after="0"/>
              <w:rPr>
                <w:rFonts w:ascii="Arial" w:eastAsia="Times New Roman" w:hAnsi="Arial" w:cs="Arial"/>
                <w:sz w:val="16"/>
                <w:szCs w:val="16"/>
                <w:lang w:val="sr-Cyrl-CS"/>
              </w:rPr>
            </w:pPr>
          </w:p>
        </w:tc>
      </w:tr>
      <w:tr w:rsidR="00247CBF" w:rsidRPr="00092ED7" w14:paraId="60B55932" w14:textId="77777777" w:rsidTr="00247CBF">
        <w:trPr>
          <w:gridBefore w:val="1"/>
          <w:wBefore w:w="8" w:type="pct"/>
          <w:trHeight w:val="255"/>
        </w:trPr>
        <w:tc>
          <w:tcPr>
            <w:tcW w:w="1982" w:type="pct"/>
            <w:tcBorders>
              <w:top w:val="nil"/>
              <w:left w:val="nil"/>
              <w:bottom w:val="nil"/>
              <w:right w:val="nil"/>
            </w:tcBorders>
            <w:shd w:val="clear" w:color="000000" w:fill="FFFFFF"/>
            <w:noWrap/>
            <w:vAlign w:val="bottom"/>
            <w:hideMark/>
          </w:tcPr>
          <w:p w14:paraId="1BC7676D"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[5] Реални БДП по запосленом лицу</w:t>
            </w:r>
          </w:p>
        </w:tc>
        <w:tc>
          <w:tcPr>
            <w:tcW w:w="388" w:type="pct"/>
            <w:tcBorders>
              <w:top w:val="nil"/>
              <w:left w:val="nil"/>
              <w:bottom w:val="nil"/>
              <w:right w:val="nil"/>
            </w:tcBorders>
            <w:shd w:val="clear" w:color="000000" w:fill="FFFFFF"/>
            <w:noWrap/>
            <w:vAlign w:val="bottom"/>
          </w:tcPr>
          <w:p w14:paraId="4BD77D97"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4"/>
            <w:tcBorders>
              <w:top w:val="nil"/>
              <w:left w:val="nil"/>
              <w:bottom w:val="nil"/>
              <w:right w:val="nil"/>
            </w:tcBorders>
            <w:shd w:val="clear" w:color="000000" w:fill="FFFFFF"/>
            <w:noWrap/>
            <w:vAlign w:val="bottom"/>
          </w:tcPr>
          <w:p w14:paraId="24F9DE27" w14:textId="77777777" w:rsidR="00247CBF" w:rsidRPr="00092ED7" w:rsidRDefault="00247CBF" w:rsidP="00247CBF">
            <w:pPr>
              <w:spacing w:after="0"/>
              <w:rPr>
                <w:rFonts w:ascii="Arial" w:eastAsia="Times New Roman" w:hAnsi="Arial" w:cs="Arial"/>
                <w:sz w:val="16"/>
                <w:szCs w:val="16"/>
                <w:lang w:val="sr-Cyrl-CS"/>
              </w:rPr>
            </w:pPr>
          </w:p>
        </w:tc>
        <w:tc>
          <w:tcPr>
            <w:tcW w:w="534" w:type="pct"/>
            <w:gridSpan w:val="3"/>
            <w:tcBorders>
              <w:top w:val="nil"/>
              <w:left w:val="nil"/>
              <w:bottom w:val="nil"/>
              <w:right w:val="nil"/>
            </w:tcBorders>
            <w:shd w:val="clear" w:color="000000" w:fill="FFFFFF"/>
            <w:noWrap/>
            <w:vAlign w:val="bottom"/>
          </w:tcPr>
          <w:p w14:paraId="20CC3EE9" w14:textId="77777777" w:rsidR="00247CBF" w:rsidRPr="00092ED7" w:rsidRDefault="00247CBF" w:rsidP="00247CBF">
            <w:pPr>
              <w:spacing w:after="0"/>
              <w:rPr>
                <w:rFonts w:ascii="Arial" w:eastAsia="Times New Roman" w:hAnsi="Arial" w:cs="Arial"/>
                <w:sz w:val="16"/>
                <w:szCs w:val="16"/>
                <w:lang w:val="sr-Cyrl-CS"/>
              </w:rPr>
            </w:pPr>
          </w:p>
        </w:tc>
        <w:tc>
          <w:tcPr>
            <w:tcW w:w="388" w:type="pct"/>
            <w:gridSpan w:val="3"/>
            <w:tcBorders>
              <w:top w:val="nil"/>
              <w:left w:val="nil"/>
              <w:bottom w:val="nil"/>
              <w:right w:val="nil"/>
            </w:tcBorders>
            <w:shd w:val="clear" w:color="000000" w:fill="FFFFFF"/>
            <w:noWrap/>
            <w:vAlign w:val="bottom"/>
          </w:tcPr>
          <w:p w14:paraId="569621B9" w14:textId="77777777" w:rsidR="00247CBF" w:rsidRPr="00092ED7" w:rsidRDefault="00247CBF" w:rsidP="00247CBF">
            <w:pPr>
              <w:spacing w:after="0"/>
              <w:rPr>
                <w:rFonts w:ascii="Arial" w:eastAsia="Times New Roman" w:hAnsi="Arial" w:cs="Arial"/>
                <w:sz w:val="16"/>
                <w:szCs w:val="16"/>
                <w:lang w:val="sr-Cyrl-CS"/>
              </w:rPr>
            </w:pPr>
          </w:p>
        </w:tc>
        <w:tc>
          <w:tcPr>
            <w:tcW w:w="291" w:type="pct"/>
            <w:gridSpan w:val="2"/>
            <w:tcBorders>
              <w:top w:val="nil"/>
              <w:left w:val="nil"/>
              <w:bottom w:val="nil"/>
              <w:right w:val="nil"/>
            </w:tcBorders>
            <w:shd w:val="clear" w:color="000000" w:fill="FFFFFF"/>
            <w:noWrap/>
            <w:vAlign w:val="bottom"/>
          </w:tcPr>
          <w:p w14:paraId="58988F12" w14:textId="77777777" w:rsidR="00247CBF" w:rsidRPr="00092ED7" w:rsidRDefault="00247CBF" w:rsidP="00247CBF">
            <w:pPr>
              <w:spacing w:after="0"/>
              <w:rPr>
                <w:rFonts w:ascii="Arial" w:eastAsia="Times New Roman" w:hAnsi="Arial" w:cs="Arial"/>
                <w:sz w:val="16"/>
                <w:szCs w:val="16"/>
                <w:lang w:val="sr-Cyrl-CS"/>
              </w:rPr>
            </w:pPr>
          </w:p>
        </w:tc>
        <w:tc>
          <w:tcPr>
            <w:tcW w:w="437" w:type="pct"/>
            <w:gridSpan w:val="3"/>
            <w:tcBorders>
              <w:top w:val="nil"/>
              <w:left w:val="nil"/>
              <w:bottom w:val="nil"/>
              <w:right w:val="nil"/>
            </w:tcBorders>
            <w:shd w:val="clear" w:color="000000" w:fill="FFFFFF"/>
            <w:noWrap/>
            <w:vAlign w:val="bottom"/>
          </w:tcPr>
          <w:p w14:paraId="6FB58FB6"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3"/>
            <w:tcBorders>
              <w:top w:val="nil"/>
              <w:left w:val="nil"/>
              <w:bottom w:val="nil"/>
              <w:right w:val="nil"/>
            </w:tcBorders>
            <w:shd w:val="clear" w:color="000000" w:fill="FFFFFF"/>
            <w:noWrap/>
            <w:vAlign w:val="bottom"/>
          </w:tcPr>
          <w:p w14:paraId="235721B8" w14:textId="77777777" w:rsidR="00247CBF" w:rsidRPr="00092ED7" w:rsidRDefault="00247CBF" w:rsidP="00247CBF">
            <w:pPr>
              <w:spacing w:after="0"/>
              <w:rPr>
                <w:rFonts w:ascii="Arial" w:eastAsia="Times New Roman" w:hAnsi="Arial" w:cs="Arial"/>
                <w:sz w:val="16"/>
                <w:szCs w:val="16"/>
                <w:lang w:val="sr-Cyrl-CS"/>
              </w:rPr>
            </w:pPr>
          </w:p>
        </w:tc>
      </w:tr>
      <w:tr w:rsidR="00247CBF" w:rsidRPr="00092ED7" w14:paraId="17F4F5E8" w14:textId="77777777" w:rsidTr="00247CBF">
        <w:trPr>
          <w:gridBefore w:val="1"/>
          <w:wBefore w:w="8" w:type="pct"/>
          <w:trHeight w:val="255"/>
        </w:trPr>
        <w:tc>
          <w:tcPr>
            <w:tcW w:w="1982" w:type="pct"/>
            <w:tcBorders>
              <w:top w:val="nil"/>
              <w:left w:val="nil"/>
              <w:bottom w:val="nil"/>
              <w:right w:val="nil"/>
            </w:tcBorders>
            <w:shd w:val="clear" w:color="000000" w:fill="FFFFFF"/>
            <w:noWrap/>
            <w:vAlign w:val="bottom"/>
            <w:hideMark/>
          </w:tcPr>
          <w:p w14:paraId="282BCCB3"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[6] Реални БДП по часу рада</w:t>
            </w:r>
          </w:p>
        </w:tc>
        <w:tc>
          <w:tcPr>
            <w:tcW w:w="388" w:type="pct"/>
            <w:tcBorders>
              <w:top w:val="nil"/>
              <w:left w:val="nil"/>
              <w:bottom w:val="nil"/>
              <w:right w:val="nil"/>
            </w:tcBorders>
            <w:shd w:val="clear" w:color="000000" w:fill="FFFFFF"/>
            <w:noWrap/>
            <w:vAlign w:val="bottom"/>
          </w:tcPr>
          <w:p w14:paraId="3358BA55"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4"/>
            <w:tcBorders>
              <w:top w:val="nil"/>
              <w:left w:val="nil"/>
              <w:bottom w:val="nil"/>
              <w:right w:val="nil"/>
            </w:tcBorders>
            <w:shd w:val="clear" w:color="000000" w:fill="FFFFFF"/>
            <w:noWrap/>
            <w:vAlign w:val="bottom"/>
          </w:tcPr>
          <w:p w14:paraId="6DF11768" w14:textId="77777777" w:rsidR="00247CBF" w:rsidRPr="00092ED7" w:rsidRDefault="00247CBF" w:rsidP="00247CBF">
            <w:pPr>
              <w:spacing w:after="0"/>
              <w:rPr>
                <w:rFonts w:ascii="Arial" w:eastAsia="Times New Roman" w:hAnsi="Arial" w:cs="Arial"/>
                <w:sz w:val="16"/>
                <w:szCs w:val="16"/>
                <w:lang w:val="sr-Cyrl-CS"/>
              </w:rPr>
            </w:pPr>
          </w:p>
        </w:tc>
        <w:tc>
          <w:tcPr>
            <w:tcW w:w="534" w:type="pct"/>
            <w:gridSpan w:val="3"/>
            <w:tcBorders>
              <w:top w:val="nil"/>
              <w:left w:val="nil"/>
              <w:bottom w:val="nil"/>
              <w:right w:val="nil"/>
            </w:tcBorders>
            <w:shd w:val="clear" w:color="000000" w:fill="FFFFFF"/>
            <w:noWrap/>
            <w:vAlign w:val="bottom"/>
          </w:tcPr>
          <w:p w14:paraId="551BEA64" w14:textId="77777777" w:rsidR="00247CBF" w:rsidRPr="00092ED7" w:rsidRDefault="00247CBF" w:rsidP="00247CBF">
            <w:pPr>
              <w:spacing w:after="0"/>
              <w:rPr>
                <w:rFonts w:ascii="Arial" w:eastAsia="Times New Roman" w:hAnsi="Arial" w:cs="Arial"/>
                <w:sz w:val="16"/>
                <w:szCs w:val="16"/>
                <w:lang w:val="sr-Cyrl-CS"/>
              </w:rPr>
            </w:pPr>
          </w:p>
        </w:tc>
        <w:tc>
          <w:tcPr>
            <w:tcW w:w="388" w:type="pct"/>
            <w:gridSpan w:val="3"/>
            <w:tcBorders>
              <w:top w:val="nil"/>
              <w:left w:val="nil"/>
              <w:bottom w:val="nil"/>
              <w:right w:val="nil"/>
            </w:tcBorders>
            <w:shd w:val="clear" w:color="000000" w:fill="FFFFFF"/>
            <w:noWrap/>
            <w:vAlign w:val="bottom"/>
          </w:tcPr>
          <w:p w14:paraId="2AFBD0AD" w14:textId="77777777" w:rsidR="00247CBF" w:rsidRPr="00092ED7" w:rsidRDefault="00247CBF" w:rsidP="00247CBF">
            <w:pPr>
              <w:spacing w:after="0"/>
              <w:rPr>
                <w:rFonts w:ascii="Arial" w:eastAsia="Times New Roman" w:hAnsi="Arial" w:cs="Arial"/>
                <w:sz w:val="16"/>
                <w:szCs w:val="16"/>
                <w:lang w:val="sr-Cyrl-CS"/>
              </w:rPr>
            </w:pPr>
          </w:p>
        </w:tc>
        <w:tc>
          <w:tcPr>
            <w:tcW w:w="291" w:type="pct"/>
            <w:gridSpan w:val="2"/>
            <w:tcBorders>
              <w:top w:val="nil"/>
              <w:left w:val="nil"/>
              <w:bottom w:val="nil"/>
              <w:right w:val="nil"/>
            </w:tcBorders>
            <w:shd w:val="clear" w:color="000000" w:fill="FFFFFF"/>
            <w:noWrap/>
            <w:vAlign w:val="bottom"/>
          </w:tcPr>
          <w:p w14:paraId="1981483A" w14:textId="77777777" w:rsidR="00247CBF" w:rsidRPr="00092ED7" w:rsidRDefault="00247CBF" w:rsidP="00247CBF">
            <w:pPr>
              <w:spacing w:after="0"/>
              <w:rPr>
                <w:rFonts w:ascii="Arial" w:eastAsia="Times New Roman" w:hAnsi="Arial" w:cs="Arial"/>
                <w:sz w:val="16"/>
                <w:szCs w:val="16"/>
                <w:lang w:val="sr-Cyrl-CS"/>
              </w:rPr>
            </w:pPr>
          </w:p>
        </w:tc>
        <w:tc>
          <w:tcPr>
            <w:tcW w:w="437" w:type="pct"/>
            <w:gridSpan w:val="3"/>
            <w:tcBorders>
              <w:top w:val="nil"/>
              <w:left w:val="nil"/>
              <w:bottom w:val="nil"/>
              <w:right w:val="nil"/>
            </w:tcBorders>
            <w:shd w:val="clear" w:color="000000" w:fill="FFFFFF"/>
            <w:noWrap/>
            <w:vAlign w:val="bottom"/>
          </w:tcPr>
          <w:p w14:paraId="0FBCA893"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3"/>
            <w:tcBorders>
              <w:top w:val="nil"/>
              <w:left w:val="nil"/>
              <w:bottom w:val="nil"/>
              <w:right w:val="nil"/>
            </w:tcBorders>
            <w:shd w:val="clear" w:color="000000" w:fill="FFFFFF"/>
            <w:noWrap/>
            <w:vAlign w:val="bottom"/>
          </w:tcPr>
          <w:p w14:paraId="539BB82A" w14:textId="77777777" w:rsidR="00247CBF" w:rsidRPr="00092ED7" w:rsidRDefault="00247CBF" w:rsidP="00247CBF">
            <w:pPr>
              <w:spacing w:after="0"/>
              <w:rPr>
                <w:rFonts w:ascii="Arial" w:eastAsia="Times New Roman" w:hAnsi="Arial" w:cs="Arial"/>
                <w:sz w:val="16"/>
                <w:szCs w:val="16"/>
                <w:lang w:val="sr-Cyrl-CS"/>
              </w:rPr>
            </w:pPr>
          </w:p>
        </w:tc>
      </w:tr>
    </w:tbl>
    <w:p w14:paraId="2B8A862C" w14:textId="77777777" w:rsidR="00247CBF" w:rsidRPr="00092ED7" w:rsidRDefault="00247CBF" w:rsidP="00247CBF">
      <w:pPr>
        <w:rPr>
          <w:rFonts w:cs="Times New Roman"/>
          <w:lang w:val="sr-Cyrl-CS"/>
        </w:rPr>
      </w:pPr>
    </w:p>
    <w:p w14:paraId="7C4A04FF" w14:textId="77777777" w:rsidR="00247CBF" w:rsidRPr="00092ED7" w:rsidRDefault="00247CBF" w:rsidP="00247CBF">
      <w:pPr>
        <w:rPr>
          <w:rFonts w:cs="Times New Roman"/>
          <w:lang w:val="sr-Cyrl-CS"/>
        </w:rPr>
      </w:pPr>
      <w:r w:rsidRPr="00092ED7">
        <w:rPr>
          <w:rFonts w:cs="Times New Roman"/>
          <w:lang w:val="sr-Cyrl-CS"/>
        </w:rPr>
        <w:br w:type="page"/>
      </w:r>
    </w:p>
    <w:tbl>
      <w:tblPr>
        <w:tblW w:w="5011" w:type="pct"/>
        <w:tblLook w:val="04A0" w:firstRow="1" w:lastRow="0" w:firstColumn="1" w:lastColumn="0" w:noHBand="0" w:noVBand="1"/>
      </w:tblPr>
      <w:tblGrid>
        <w:gridCol w:w="23"/>
        <w:gridCol w:w="6486"/>
        <w:gridCol w:w="12"/>
        <w:gridCol w:w="1700"/>
        <w:gridCol w:w="117"/>
        <w:gridCol w:w="1159"/>
        <w:gridCol w:w="181"/>
        <w:gridCol w:w="929"/>
        <w:gridCol w:w="166"/>
        <w:gridCol w:w="762"/>
        <w:gridCol w:w="514"/>
        <w:gridCol w:w="415"/>
        <w:gridCol w:w="862"/>
        <w:gridCol w:w="1238"/>
        <w:gridCol w:w="38"/>
      </w:tblGrid>
      <w:tr w:rsidR="00247CBF" w:rsidRPr="00092ED7" w14:paraId="2EF47481" w14:textId="77777777" w:rsidTr="00247CBF">
        <w:trPr>
          <w:gridAfter w:val="1"/>
          <w:wAfter w:w="13" w:type="pct"/>
          <w:trHeight w:val="315"/>
        </w:trPr>
        <w:tc>
          <w:tcPr>
            <w:tcW w:w="2229" w:type="pct"/>
            <w:gridSpan w:val="2"/>
            <w:tcBorders>
              <w:top w:val="nil"/>
              <w:left w:val="nil"/>
              <w:bottom w:val="nil"/>
              <w:right w:val="nil"/>
            </w:tcBorders>
            <w:shd w:val="clear" w:color="000000" w:fill="FFFFFF"/>
            <w:noWrap/>
            <w:vAlign w:val="center"/>
            <w:hideMark/>
          </w:tcPr>
          <w:p w14:paraId="3EAEA1A0"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1d: Секторски биланси</w:t>
            </w:r>
          </w:p>
        </w:tc>
        <w:tc>
          <w:tcPr>
            <w:tcW w:w="626" w:type="pct"/>
            <w:gridSpan w:val="3"/>
            <w:tcBorders>
              <w:top w:val="nil"/>
              <w:left w:val="nil"/>
              <w:bottom w:val="nil"/>
              <w:right w:val="nil"/>
            </w:tcBorders>
            <w:shd w:val="clear" w:color="000000" w:fill="FFFFFF"/>
            <w:noWrap/>
            <w:vAlign w:val="center"/>
            <w:hideMark/>
          </w:tcPr>
          <w:p w14:paraId="4C7B3BA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59" w:type="pct"/>
            <w:gridSpan w:val="2"/>
            <w:tcBorders>
              <w:top w:val="nil"/>
              <w:left w:val="nil"/>
              <w:bottom w:val="nil"/>
              <w:right w:val="nil"/>
            </w:tcBorders>
            <w:shd w:val="clear" w:color="000000" w:fill="FFFFFF"/>
            <w:noWrap/>
            <w:vAlign w:val="center"/>
            <w:hideMark/>
          </w:tcPr>
          <w:p w14:paraId="2EAD8A2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18" w:type="pct"/>
            <w:tcBorders>
              <w:top w:val="nil"/>
              <w:left w:val="nil"/>
              <w:bottom w:val="nil"/>
              <w:right w:val="nil"/>
            </w:tcBorders>
            <w:shd w:val="clear" w:color="000000" w:fill="FFFFFF"/>
            <w:noWrap/>
            <w:vAlign w:val="center"/>
            <w:hideMark/>
          </w:tcPr>
          <w:p w14:paraId="529900D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18" w:type="pct"/>
            <w:gridSpan w:val="2"/>
            <w:tcBorders>
              <w:top w:val="nil"/>
              <w:left w:val="nil"/>
              <w:bottom w:val="nil"/>
              <w:right w:val="nil"/>
            </w:tcBorders>
            <w:shd w:val="clear" w:color="000000" w:fill="FFFFFF"/>
            <w:noWrap/>
            <w:vAlign w:val="center"/>
            <w:hideMark/>
          </w:tcPr>
          <w:p w14:paraId="52C2CED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18" w:type="pct"/>
            <w:gridSpan w:val="2"/>
            <w:tcBorders>
              <w:top w:val="nil"/>
              <w:left w:val="nil"/>
              <w:bottom w:val="nil"/>
              <w:right w:val="nil"/>
            </w:tcBorders>
            <w:shd w:val="clear" w:color="000000" w:fill="FFFFFF"/>
            <w:noWrap/>
            <w:vAlign w:val="center"/>
            <w:hideMark/>
          </w:tcPr>
          <w:p w14:paraId="1685DC8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719" w:type="pct"/>
            <w:gridSpan w:val="2"/>
            <w:tcBorders>
              <w:top w:val="nil"/>
              <w:left w:val="nil"/>
              <w:bottom w:val="nil"/>
              <w:right w:val="nil"/>
            </w:tcBorders>
            <w:shd w:val="clear" w:color="000000" w:fill="FFFFFF"/>
            <w:noWrap/>
            <w:vAlign w:val="center"/>
            <w:hideMark/>
          </w:tcPr>
          <w:p w14:paraId="286B143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5A99F6F5" w14:textId="77777777" w:rsidTr="00247CBF">
        <w:trPr>
          <w:gridBefore w:val="1"/>
          <w:wBefore w:w="8" w:type="pct"/>
          <w:trHeight w:val="199"/>
        </w:trPr>
        <w:tc>
          <w:tcPr>
            <w:tcW w:w="2225" w:type="pct"/>
            <w:gridSpan w:val="2"/>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14:paraId="7326348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БДП</w:t>
            </w:r>
          </w:p>
        </w:tc>
        <w:tc>
          <w:tcPr>
            <w:tcW w:w="582" w:type="pct"/>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1BB9292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ESA шифра</w:t>
            </w:r>
          </w:p>
        </w:tc>
        <w:tc>
          <w:tcPr>
            <w:tcW w:w="437" w:type="pct"/>
            <w:gridSpan w:val="2"/>
            <w:tcBorders>
              <w:top w:val="double" w:sz="6" w:space="0" w:color="auto"/>
              <w:left w:val="nil"/>
              <w:bottom w:val="nil"/>
              <w:right w:val="dotted" w:sz="4" w:space="0" w:color="auto"/>
            </w:tcBorders>
            <w:shd w:val="clear" w:color="000000" w:fill="FFFFFF"/>
            <w:vAlign w:val="center"/>
            <w:hideMark/>
          </w:tcPr>
          <w:p w14:paraId="296DAE57" w14:textId="77777777" w:rsidR="00247CBF" w:rsidRPr="00092ED7" w:rsidRDefault="00247CBF" w:rsidP="00247CBF">
            <w:pPr>
              <w:spacing w:after="0"/>
              <w:jc w:val="center"/>
              <w:rPr>
                <w:sz w:val="20"/>
                <w:lang w:val="sr-Cyrl-CS"/>
              </w:rPr>
            </w:pPr>
            <w:r w:rsidRPr="00092ED7">
              <w:rPr>
                <w:sz w:val="20"/>
                <w:lang w:val="sr-Cyrl-CS"/>
              </w:rPr>
              <w:t>Година</w:t>
            </w:r>
          </w:p>
        </w:tc>
        <w:tc>
          <w:tcPr>
            <w:tcW w:w="437" w:type="pct"/>
            <w:gridSpan w:val="3"/>
            <w:tcBorders>
              <w:top w:val="double" w:sz="6" w:space="0" w:color="auto"/>
              <w:left w:val="nil"/>
              <w:bottom w:val="nil"/>
              <w:right w:val="dotted" w:sz="4" w:space="0" w:color="auto"/>
            </w:tcBorders>
            <w:shd w:val="clear" w:color="000000" w:fill="FFFFFF"/>
            <w:vAlign w:val="center"/>
            <w:hideMark/>
          </w:tcPr>
          <w:p w14:paraId="6FC61745" w14:textId="77777777" w:rsidR="00247CBF" w:rsidRPr="00092ED7" w:rsidRDefault="00247CBF" w:rsidP="00247CBF">
            <w:pPr>
              <w:spacing w:after="0"/>
              <w:jc w:val="center"/>
              <w:rPr>
                <w:sz w:val="20"/>
                <w:lang w:val="sr-Cyrl-CS"/>
              </w:rPr>
            </w:pPr>
            <w:r w:rsidRPr="00092ED7">
              <w:rPr>
                <w:sz w:val="20"/>
                <w:lang w:val="sr-Cyrl-CS"/>
              </w:rPr>
              <w:t>Година</w:t>
            </w:r>
          </w:p>
        </w:tc>
        <w:tc>
          <w:tcPr>
            <w:tcW w:w="437" w:type="pct"/>
            <w:gridSpan w:val="2"/>
            <w:tcBorders>
              <w:top w:val="double" w:sz="6" w:space="0" w:color="auto"/>
              <w:left w:val="nil"/>
              <w:bottom w:val="nil"/>
              <w:right w:val="dotted" w:sz="4" w:space="0" w:color="auto"/>
            </w:tcBorders>
            <w:shd w:val="clear" w:color="000000" w:fill="FFFFFF"/>
            <w:vAlign w:val="center"/>
            <w:hideMark/>
          </w:tcPr>
          <w:p w14:paraId="1D779FD7" w14:textId="77777777" w:rsidR="00247CBF" w:rsidRPr="00092ED7" w:rsidRDefault="00247CBF" w:rsidP="00247CBF">
            <w:pPr>
              <w:spacing w:after="0"/>
              <w:jc w:val="center"/>
              <w:rPr>
                <w:sz w:val="20"/>
                <w:lang w:val="sr-Cyrl-CS"/>
              </w:rPr>
            </w:pPr>
            <w:r w:rsidRPr="00092ED7">
              <w:rPr>
                <w:sz w:val="20"/>
                <w:lang w:val="sr-Cyrl-CS"/>
              </w:rPr>
              <w:t>Година</w:t>
            </w:r>
          </w:p>
        </w:tc>
        <w:tc>
          <w:tcPr>
            <w:tcW w:w="437" w:type="pct"/>
            <w:gridSpan w:val="2"/>
            <w:tcBorders>
              <w:top w:val="double" w:sz="6" w:space="0" w:color="auto"/>
              <w:left w:val="nil"/>
              <w:bottom w:val="nil"/>
              <w:right w:val="dotted" w:sz="4" w:space="0" w:color="auto"/>
            </w:tcBorders>
            <w:shd w:val="clear" w:color="000000" w:fill="FFFFFF"/>
            <w:vAlign w:val="center"/>
            <w:hideMark/>
          </w:tcPr>
          <w:p w14:paraId="113BB2A1" w14:textId="77777777" w:rsidR="00247CBF" w:rsidRPr="00092ED7" w:rsidRDefault="00247CBF" w:rsidP="00247CBF">
            <w:pPr>
              <w:spacing w:after="0"/>
              <w:jc w:val="center"/>
              <w:rPr>
                <w:sz w:val="20"/>
                <w:lang w:val="sr-Cyrl-CS"/>
              </w:rPr>
            </w:pPr>
            <w:r w:rsidRPr="00092ED7">
              <w:rPr>
                <w:sz w:val="20"/>
                <w:lang w:val="sr-Cyrl-CS"/>
              </w:rPr>
              <w:t>Година</w:t>
            </w:r>
          </w:p>
        </w:tc>
        <w:tc>
          <w:tcPr>
            <w:tcW w:w="437" w:type="pct"/>
            <w:gridSpan w:val="2"/>
            <w:tcBorders>
              <w:top w:val="double" w:sz="6" w:space="0" w:color="auto"/>
              <w:left w:val="nil"/>
              <w:bottom w:val="nil"/>
              <w:right w:val="double" w:sz="6" w:space="0" w:color="auto"/>
            </w:tcBorders>
            <w:shd w:val="clear" w:color="000000" w:fill="FFFFFF"/>
            <w:vAlign w:val="center"/>
            <w:hideMark/>
          </w:tcPr>
          <w:p w14:paraId="3A4094D1" w14:textId="77777777" w:rsidR="00247CBF" w:rsidRPr="00092ED7" w:rsidRDefault="00247CBF" w:rsidP="00247CBF">
            <w:pPr>
              <w:spacing w:after="0"/>
              <w:jc w:val="center"/>
              <w:rPr>
                <w:sz w:val="20"/>
                <w:lang w:val="sr-Cyrl-CS"/>
              </w:rPr>
            </w:pPr>
            <w:r w:rsidRPr="00092ED7">
              <w:rPr>
                <w:sz w:val="20"/>
                <w:lang w:val="sr-Cyrl-CS"/>
              </w:rPr>
              <w:t>Година</w:t>
            </w:r>
          </w:p>
        </w:tc>
      </w:tr>
      <w:tr w:rsidR="00247CBF" w:rsidRPr="00092ED7" w14:paraId="05221B49" w14:textId="77777777" w:rsidTr="00247CBF">
        <w:trPr>
          <w:gridBefore w:val="1"/>
          <w:wBefore w:w="8" w:type="pct"/>
          <w:trHeight w:val="41"/>
        </w:trPr>
        <w:tc>
          <w:tcPr>
            <w:tcW w:w="2225" w:type="pct"/>
            <w:gridSpan w:val="2"/>
            <w:vMerge/>
            <w:tcBorders>
              <w:top w:val="double" w:sz="6" w:space="0" w:color="auto"/>
              <w:left w:val="double" w:sz="6" w:space="0" w:color="auto"/>
              <w:bottom w:val="single" w:sz="8" w:space="0" w:color="000000"/>
              <w:right w:val="dotted" w:sz="4" w:space="0" w:color="auto"/>
            </w:tcBorders>
            <w:vAlign w:val="center"/>
            <w:hideMark/>
          </w:tcPr>
          <w:p w14:paraId="5FA3F775" w14:textId="77777777" w:rsidR="00247CBF" w:rsidRPr="00092ED7" w:rsidRDefault="00247CBF" w:rsidP="00247CBF">
            <w:pPr>
              <w:spacing w:after="0"/>
              <w:rPr>
                <w:rFonts w:eastAsia="Times New Roman" w:cs="Times New Roman"/>
                <w:sz w:val="20"/>
                <w:szCs w:val="20"/>
                <w:lang w:val="sr-Cyrl-CS"/>
              </w:rPr>
            </w:pPr>
          </w:p>
        </w:tc>
        <w:tc>
          <w:tcPr>
            <w:tcW w:w="582" w:type="pct"/>
            <w:vMerge/>
            <w:tcBorders>
              <w:top w:val="double" w:sz="6" w:space="0" w:color="auto"/>
              <w:left w:val="dotted" w:sz="4" w:space="0" w:color="auto"/>
              <w:bottom w:val="single" w:sz="8" w:space="0" w:color="000000"/>
              <w:right w:val="single" w:sz="8" w:space="0" w:color="auto"/>
            </w:tcBorders>
            <w:vAlign w:val="center"/>
            <w:hideMark/>
          </w:tcPr>
          <w:p w14:paraId="30593745" w14:textId="77777777" w:rsidR="00247CBF" w:rsidRPr="00092ED7" w:rsidRDefault="00247CBF" w:rsidP="00247CBF">
            <w:pPr>
              <w:spacing w:after="0"/>
              <w:rPr>
                <w:rFonts w:eastAsia="Times New Roman" w:cs="Times New Roman"/>
                <w:sz w:val="20"/>
                <w:szCs w:val="20"/>
                <w:lang w:val="sr-Cyrl-CS"/>
              </w:rPr>
            </w:pPr>
          </w:p>
        </w:tc>
        <w:tc>
          <w:tcPr>
            <w:tcW w:w="437" w:type="pct"/>
            <w:gridSpan w:val="2"/>
            <w:tcBorders>
              <w:top w:val="nil"/>
              <w:left w:val="nil"/>
              <w:bottom w:val="single" w:sz="8" w:space="0" w:color="auto"/>
              <w:right w:val="dotted" w:sz="4" w:space="0" w:color="auto"/>
            </w:tcBorders>
            <w:shd w:val="clear" w:color="000000" w:fill="FFFFFF"/>
            <w:vAlign w:val="center"/>
            <w:hideMark/>
          </w:tcPr>
          <w:p w14:paraId="69AA1DE4" w14:textId="77777777" w:rsidR="00247CBF" w:rsidRPr="00092ED7" w:rsidRDefault="00247CBF" w:rsidP="00247CBF">
            <w:pPr>
              <w:spacing w:after="0"/>
              <w:jc w:val="center"/>
              <w:rPr>
                <w:sz w:val="20"/>
                <w:lang w:val="sr-Cyrl-CS"/>
              </w:rPr>
            </w:pPr>
            <w:r w:rsidRPr="00092ED7">
              <w:rPr>
                <w:sz w:val="20"/>
                <w:lang w:val="sr-Cyrl-CS"/>
              </w:rPr>
              <w:t>2021</w:t>
            </w:r>
          </w:p>
        </w:tc>
        <w:tc>
          <w:tcPr>
            <w:tcW w:w="437" w:type="pct"/>
            <w:gridSpan w:val="3"/>
            <w:tcBorders>
              <w:top w:val="nil"/>
              <w:left w:val="nil"/>
              <w:bottom w:val="single" w:sz="8" w:space="0" w:color="auto"/>
              <w:right w:val="dotted" w:sz="4" w:space="0" w:color="auto"/>
            </w:tcBorders>
            <w:shd w:val="clear" w:color="000000" w:fill="FFFFFF"/>
            <w:vAlign w:val="center"/>
            <w:hideMark/>
          </w:tcPr>
          <w:p w14:paraId="3E49AD23" w14:textId="77777777" w:rsidR="00247CBF" w:rsidRPr="00092ED7" w:rsidRDefault="00247CBF" w:rsidP="00247CBF">
            <w:pPr>
              <w:spacing w:after="0"/>
              <w:jc w:val="center"/>
              <w:rPr>
                <w:sz w:val="20"/>
                <w:lang w:val="sr-Cyrl-CS"/>
              </w:rPr>
            </w:pPr>
            <w:r w:rsidRPr="00092ED7">
              <w:rPr>
                <w:sz w:val="20"/>
                <w:lang w:val="sr-Cyrl-CS"/>
              </w:rPr>
              <w:t>2022</w:t>
            </w:r>
          </w:p>
        </w:tc>
        <w:tc>
          <w:tcPr>
            <w:tcW w:w="437" w:type="pct"/>
            <w:gridSpan w:val="2"/>
            <w:tcBorders>
              <w:top w:val="nil"/>
              <w:left w:val="nil"/>
              <w:bottom w:val="single" w:sz="8" w:space="0" w:color="auto"/>
              <w:right w:val="dotted" w:sz="4" w:space="0" w:color="auto"/>
            </w:tcBorders>
            <w:shd w:val="clear" w:color="000000" w:fill="FFFFFF"/>
            <w:vAlign w:val="center"/>
            <w:hideMark/>
          </w:tcPr>
          <w:p w14:paraId="2B83F47A" w14:textId="77777777" w:rsidR="00247CBF" w:rsidRPr="00092ED7" w:rsidRDefault="00247CBF" w:rsidP="00247CBF">
            <w:pPr>
              <w:spacing w:after="0"/>
              <w:jc w:val="center"/>
              <w:rPr>
                <w:sz w:val="20"/>
                <w:lang w:val="sr-Cyrl-CS"/>
              </w:rPr>
            </w:pPr>
            <w:r w:rsidRPr="00092ED7">
              <w:rPr>
                <w:sz w:val="20"/>
                <w:lang w:val="sr-Cyrl-CS"/>
              </w:rPr>
              <w:t>2023</w:t>
            </w:r>
          </w:p>
        </w:tc>
        <w:tc>
          <w:tcPr>
            <w:tcW w:w="437" w:type="pct"/>
            <w:gridSpan w:val="2"/>
            <w:tcBorders>
              <w:top w:val="nil"/>
              <w:left w:val="nil"/>
              <w:bottom w:val="single" w:sz="8" w:space="0" w:color="auto"/>
              <w:right w:val="dotted" w:sz="4" w:space="0" w:color="auto"/>
            </w:tcBorders>
            <w:shd w:val="clear" w:color="000000" w:fill="FFFFFF"/>
            <w:vAlign w:val="center"/>
            <w:hideMark/>
          </w:tcPr>
          <w:p w14:paraId="0046C138" w14:textId="77777777" w:rsidR="00247CBF" w:rsidRPr="00092ED7" w:rsidRDefault="00247CBF" w:rsidP="00247CBF">
            <w:pPr>
              <w:spacing w:after="0"/>
              <w:jc w:val="center"/>
              <w:rPr>
                <w:sz w:val="20"/>
                <w:lang w:val="sr-Cyrl-CS"/>
              </w:rPr>
            </w:pPr>
            <w:r w:rsidRPr="00092ED7">
              <w:rPr>
                <w:sz w:val="20"/>
                <w:lang w:val="sr-Cyrl-CS"/>
              </w:rPr>
              <w:t>2024</w:t>
            </w:r>
          </w:p>
        </w:tc>
        <w:tc>
          <w:tcPr>
            <w:tcW w:w="437" w:type="pct"/>
            <w:gridSpan w:val="2"/>
            <w:tcBorders>
              <w:top w:val="nil"/>
              <w:left w:val="nil"/>
              <w:bottom w:val="single" w:sz="8" w:space="0" w:color="auto"/>
              <w:right w:val="double" w:sz="6" w:space="0" w:color="auto"/>
            </w:tcBorders>
            <w:shd w:val="clear" w:color="000000" w:fill="FFFFFF"/>
            <w:vAlign w:val="center"/>
            <w:hideMark/>
          </w:tcPr>
          <w:p w14:paraId="356F2D1A" w14:textId="77777777" w:rsidR="00247CBF" w:rsidRPr="00092ED7" w:rsidRDefault="00247CBF" w:rsidP="00247CBF">
            <w:pPr>
              <w:spacing w:after="0"/>
              <w:jc w:val="center"/>
              <w:rPr>
                <w:sz w:val="20"/>
                <w:lang w:val="sr-Cyrl-CS"/>
              </w:rPr>
            </w:pPr>
            <w:r w:rsidRPr="00092ED7">
              <w:rPr>
                <w:sz w:val="20"/>
                <w:lang w:val="sr-Cyrl-CS"/>
              </w:rPr>
              <w:t>2025</w:t>
            </w:r>
          </w:p>
        </w:tc>
      </w:tr>
      <w:tr w:rsidR="00247CBF" w:rsidRPr="00092ED7" w14:paraId="4FA31B5A" w14:textId="77777777" w:rsidTr="00247CBF">
        <w:trPr>
          <w:gridBefore w:val="1"/>
          <w:wBefore w:w="8" w:type="pct"/>
          <w:trHeight w:val="367"/>
        </w:trPr>
        <w:tc>
          <w:tcPr>
            <w:tcW w:w="2225" w:type="pct"/>
            <w:gridSpan w:val="2"/>
            <w:tcBorders>
              <w:top w:val="nil"/>
              <w:left w:val="double" w:sz="6" w:space="0" w:color="auto"/>
              <w:bottom w:val="nil"/>
              <w:right w:val="dotted" w:sz="4" w:space="0" w:color="auto"/>
            </w:tcBorders>
            <w:shd w:val="clear" w:color="000000" w:fill="FFFFFF"/>
            <w:vAlign w:val="center"/>
            <w:hideMark/>
          </w:tcPr>
          <w:p w14:paraId="087D836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Нето дате/узете позајмице у односу на остатак света</w:t>
            </w:r>
          </w:p>
        </w:tc>
        <w:tc>
          <w:tcPr>
            <w:tcW w:w="582" w:type="pct"/>
            <w:tcBorders>
              <w:top w:val="nil"/>
              <w:left w:val="nil"/>
              <w:bottom w:val="nil"/>
              <w:right w:val="single" w:sz="8" w:space="0" w:color="auto"/>
            </w:tcBorders>
            <w:shd w:val="clear" w:color="000000" w:fill="FFFFFF"/>
            <w:vAlign w:val="center"/>
            <w:hideMark/>
          </w:tcPr>
          <w:p w14:paraId="5226F5F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B.9</w:t>
            </w:r>
          </w:p>
        </w:tc>
        <w:tc>
          <w:tcPr>
            <w:tcW w:w="437" w:type="pct"/>
            <w:gridSpan w:val="2"/>
            <w:tcBorders>
              <w:top w:val="nil"/>
              <w:left w:val="nil"/>
              <w:bottom w:val="nil"/>
              <w:right w:val="dotted" w:sz="4" w:space="0" w:color="auto"/>
            </w:tcBorders>
            <w:shd w:val="clear" w:color="000000" w:fill="FFFFFF"/>
            <w:vAlign w:val="center"/>
            <w:hideMark/>
          </w:tcPr>
          <w:p w14:paraId="3BB7B025" w14:textId="77777777" w:rsidR="00247CBF" w:rsidRPr="00092ED7" w:rsidRDefault="00247CBF" w:rsidP="00247CBF">
            <w:pPr>
              <w:spacing w:after="0"/>
              <w:jc w:val="right"/>
              <w:rPr>
                <w:sz w:val="20"/>
                <w:lang w:val="sr-Cyrl-CS"/>
              </w:rPr>
            </w:pPr>
            <w:r w:rsidRPr="00092ED7">
              <w:rPr>
                <w:sz w:val="20"/>
                <w:lang w:val="sr-Cyrl-CS"/>
              </w:rPr>
              <w:t>-4,3</w:t>
            </w:r>
          </w:p>
        </w:tc>
        <w:tc>
          <w:tcPr>
            <w:tcW w:w="437" w:type="pct"/>
            <w:gridSpan w:val="3"/>
            <w:tcBorders>
              <w:top w:val="nil"/>
              <w:left w:val="nil"/>
              <w:bottom w:val="single" w:sz="4" w:space="0" w:color="auto"/>
              <w:right w:val="dotted" w:sz="4" w:space="0" w:color="auto"/>
            </w:tcBorders>
            <w:shd w:val="clear" w:color="000000" w:fill="FFFFFF"/>
            <w:vAlign w:val="center"/>
            <w:hideMark/>
          </w:tcPr>
          <w:p w14:paraId="10ED4EFD" w14:textId="77777777" w:rsidR="00247CBF" w:rsidRPr="00092ED7" w:rsidRDefault="00247CBF" w:rsidP="00247CBF">
            <w:pPr>
              <w:spacing w:after="0"/>
              <w:jc w:val="right"/>
              <w:rPr>
                <w:sz w:val="20"/>
                <w:lang w:val="sr-Cyrl-CS"/>
              </w:rPr>
            </w:pPr>
            <w:r w:rsidRPr="00092ED7">
              <w:rPr>
                <w:sz w:val="20"/>
                <w:lang w:val="sr-Cyrl-CS"/>
              </w:rPr>
              <w:t>-9,0</w:t>
            </w:r>
          </w:p>
        </w:tc>
        <w:tc>
          <w:tcPr>
            <w:tcW w:w="437" w:type="pct"/>
            <w:gridSpan w:val="2"/>
            <w:tcBorders>
              <w:top w:val="nil"/>
              <w:left w:val="nil"/>
              <w:bottom w:val="single" w:sz="4" w:space="0" w:color="auto"/>
              <w:right w:val="dotted" w:sz="4" w:space="0" w:color="auto"/>
            </w:tcBorders>
            <w:shd w:val="clear" w:color="000000" w:fill="FFFFFF"/>
            <w:vAlign w:val="center"/>
            <w:hideMark/>
          </w:tcPr>
          <w:p w14:paraId="7AFC07B0" w14:textId="77777777" w:rsidR="00247CBF" w:rsidRPr="00092ED7" w:rsidRDefault="00247CBF" w:rsidP="00247CBF">
            <w:pPr>
              <w:spacing w:after="0"/>
              <w:jc w:val="right"/>
              <w:rPr>
                <w:sz w:val="20"/>
                <w:lang w:val="sr-Cyrl-CS"/>
              </w:rPr>
            </w:pPr>
            <w:r w:rsidRPr="00092ED7">
              <w:rPr>
                <w:sz w:val="20"/>
                <w:lang w:val="sr-Cyrl-CS"/>
              </w:rPr>
              <w:t>-8,5</w:t>
            </w:r>
          </w:p>
        </w:tc>
        <w:tc>
          <w:tcPr>
            <w:tcW w:w="437" w:type="pct"/>
            <w:gridSpan w:val="2"/>
            <w:tcBorders>
              <w:top w:val="nil"/>
              <w:left w:val="nil"/>
              <w:bottom w:val="single" w:sz="4" w:space="0" w:color="auto"/>
              <w:right w:val="dotted" w:sz="4" w:space="0" w:color="auto"/>
            </w:tcBorders>
            <w:shd w:val="clear" w:color="000000" w:fill="FFFFFF"/>
            <w:vAlign w:val="center"/>
            <w:hideMark/>
          </w:tcPr>
          <w:p w14:paraId="31BFEB97" w14:textId="77777777" w:rsidR="00247CBF" w:rsidRPr="00092ED7" w:rsidRDefault="00247CBF" w:rsidP="00247CBF">
            <w:pPr>
              <w:spacing w:after="0"/>
              <w:jc w:val="right"/>
              <w:rPr>
                <w:sz w:val="20"/>
                <w:lang w:val="sr-Cyrl-CS"/>
              </w:rPr>
            </w:pPr>
            <w:r w:rsidRPr="00092ED7">
              <w:rPr>
                <w:sz w:val="20"/>
                <w:lang w:val="sr-Cyrl-CS"/>
              </w:rPr>
              <w:t>-6,7</w:t>
            </w:r>
          </w:p>
        </w:tc>
        <w:tc>
          <w:tcPr>
            <w:tcW w:w="437" w:type="pct"/>
            <w:gridSpan w:val="2"/>
            <w:tcBorders>
              <w:top w:val="nil"/>
              <w:left w:val="nil"/>
              <w:bottom w:val="single" w:sz="4" w:space="0" w:color="auto"/>
              <w:right w:val="double" w:sz="6" w:space="0" w:color="auto"/>
            </w:tcBorders>
            <w:shd w:val="clear" w:color="000000" w:fill="FFFFFF"/>
            <w:vAlign w:val="center"/>
            <w:hideMark/>
          </w:tcPr>
          <w:p w14:paraId="2ABDD50D" w14:textId="77777777" w:rsidR="00247CBF" w:rsidRPr="00092ED7" w:rsidRDefault="00247CBF" w:rsidP="00247CBF">
            <w:pPr>
              <w:spacing w:after="0"/>
              <w:jc w:val="right"/>
              <w:rPr>
                <w:sz w:val="20"/>
                <w:lang w:val="sr-Cyrl-CS"/>
              </w:rPr>
            </w:pPr>
            <w:r w:rsidRPr="00092ED7">
              <w:rPr>
                <w:sz w:val="20"/>
                <w:lang w:val="sr-Cyrl-CS"/>
              </w:rPr>
              <w:t>-6,0</w:t>
            </w:r>
          </w:p>
        </w:tc>
      </w:tr>
      <w:tr w:rsidR="00247CBF" w:rsidRPr="00092ED7" w14:paraId="5F9EA27B" w14:textId="77777777" w:rsidTr="00247CBF">
        <w:trPr>
          <w:gridBefore w:val="1"/>
          <w:wBefore w:w="8" w:type="pct"/>
          <w:trHeight w:val="270"/>
        </w:trPr>
        <w:tc>
          <w:tcPr>
            <w:tcW w:w="2225" w:type="pct"/>
            <w:gridSpan w:val="2"/>
            <w:tcBorders>
              <w:top w:val="single" w:sz="4" w:space="0" w:color="auto"/>
              <w:left w:val="double" w:sz="6" w:space="0" w:color="auto"/>
              <w:bottom w:val="dotted" w:sz="4" w:space="0" w:color="auto"/>
              <w:right w:val="dotted" w:sz="4" w:space="0" w:color="auto"/>
            </w:tcBorders>
            <w:shd w:val="clear" w:color="000000" w:fill="FFFFFF"/>
            <w:vAlign w:val="center"/>
            <w:hideMark/>
          </w:tcPr>
          <w:p w14:paraId="3F5D3E69" w14:textId="77777777" w:rsidR="00247CBF" w:rsidRPr="00092ED7" w:rsidRDefault="00247CBF" w:rsidP="00247CBF">
            <w:pPr>
              <w:spacing w:after="0"/>
              <w:rPr>
                <w:rFonts w:eastAsia="Times New Roman" w:cs="Times New Roman"/>
                <w:i/>
                <w:iCs/>
                <w:sz w:val="20"/>
                <w:szCs w:val="20"/>
                <w:lang w:val="sr-Cyrl-CS"/>
              </w:rPr>
            </w:pPr>
            <w:r w:rsidRPr="00092ED7">
              <w:rPr>
                <w:rFonts w:eastAsia="Times New Roman" w:cs="Times New Roman"/>
                <w:i/>
                <w:iCs/>
                <w:sz w:val="20"/>
                <w:szCs w:val="20"/>
                <w:lang w:val="sr-Cyrl-CS"/>
              </w:rPr>
              <w:t>од чега:</w:t>
            </w:r>
          </w:p>
        </w:tc>
        <w:tc>
          <w:tcPr>
            <w:tcW w:w="582" w:type="pct"/>
            <w:tcBorders>
              <w:top w:val="single" w:sz="4" w:space="0" w:color="auto"/>
              <w:left w:val="nil"/>
              <w:bottom w:val="dotted" w:sz="4" w:space="0" w:color="auto"/>
              <w:right w:val="single" w:sz="8" w:space="0" w:color="auto"/>
            </w:tcBorders>
            <w:shd w:val="clear" w:color="000000" w:fill="FFFFFF"/>
            <w:vAlign w:val="center"/>
            <w:hideMark/>
          </w:tcPr>
          <w:p w14:paraId="77301F81"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single" w:sz="4" w:space="0" w:color="auto"/>
              <w:left w:val="nil"/>
              <w:bottom w:val="dotted" w:sz="4" w:space="0" w:color="auto"/>
              <w:right w:val="dotted" w:sz="4" w:space="0" w:color="auto"/>
            </w:tcBorders>
            <w:shd w:val="clear" w:color="000000" w:fill="FFFFFF"/>
            <w:vAlign w:val="center"/>
            <w:hideMark/>
          </w:tcPr>
          <w:p w14:paraId="0C357E25" w14:textId="77777777" w:rsidR="00247CBF" w:rsidRPr="00092ED7" w:rsidRDefault="00247CBF" w:rsidP="00247CBF">
            <w:pPr>
              <w:spacing w:after="0"/>
              <w:jc w:val="right"/>
              <w:rPr>
                <w:sz w:val="20"/>
                <w:lang w:val="sr-Cyrl-CS"/>
              </w:rPr>
            </w:pPr>
            <w:r w:rsidRPr="00092ED7">
              <w:rPr>
                <w:sz w:val="20"/>
                <w:lang w:val="sr-Cyrl-CS"/>
              </w:rPr>
              <w:t> </w:t>
            </w:r>
          </w:p>
        </w:tc>
        <w:tc>
          <w:tcPr>
            <w:tcW w:w="437" w:type="pct"/>
            <w:gridSpan w:val="3"/>
            <w:tcBorders>
              <w:top w:val="nil"/>
              <w:left w:val="nil"/>
              <w:bottom w:val="dotted" w:sz="4" w:space="0" w:color="auto"/>
              <w:right w:val="dotted" w:sz="4" w:space="0" w:color="auto"/>
            </w:tcBorders>
            <w:shd w:val="clear" w:color="auto" w:fill="auto"/>
            <w:noWrap/>
            <w:vAlign w:val="center"/>
            <w:hideMark/>
          </w:tcPr>
          <w:p w14:paraId="7B3502AA" w14:textId="77777777" w:rsidR="00247CBF" w:rsidRPr="00092ED7" w:rsidRDefault="00247CBF" w:rsidP="00247CBF">
            <w:pPr>
              <w:spacing w:after="0"/>
              <w:jc w:val="right"/>
              <w:rPr>
                <w:rFonts w:ascii="Arial" w:hAnsi="Arial" w:cs="Arial"/>
                <w:sz w:val="20"/>
                <w:lang w:val="sr-Cyrl-CS"/>
              </w:rPr>
            </w:pPr>
            <w:r w:rsidRPr="00092ED7">
              <w:rPr>
                <w:rFonts w:ascii="Arial" w:hAnsi="Arial" w:cs="Arial"/>
                <w:sz w:val="20"/>
                <w:lang w:val="sr-Cyrl-CS"/>
              </w:rPr>
              <w:t> </w:t>
            </w:r>
          </w:p>
        </w:tc>
        <w:tc>
          <w:tcPr>
            <w:tcW w:w="437" w:type="pct"/>
            <w:gridSpan w:val="2"/>
            <w:tcBorders>
              <w:top w:val="nil"/>
              <w:left w:val="nil"/>
              <w:bottom w:val="dotted" w:sz="4" w:space="0" w:color="auto"/>
              <w:right w:val="dotted" w:sz="4" w:space="0" w:color="auto"/>
            </w:tcBorders>
            <w:shd w:val="clear" w:color="auto" w:fill="auto"/>
            <w:noWrap/>
            <w:vAlign w:val="center"/>
            <w:hideMark/>
          </w:tcPr>
          <w:p w14:paraId="3BB440EC" w14:textId="77777777" w:rsidR="00247CBF" w:rsidRPr="00092ED7" w:rsidRDefault="00247CBF" w:rsidP="00247CBF">
            <w:pPr>
              <w:spacing w:after="0"/>
              <w:jc w:val="right"/>
              <w:rPr>
                <w:rFonts w:ascii="Arial" w:hAnsi="Arial" w:cs="Arial"/>
                <w:sz w:val="20"/>
                <w:lang w:val="sr-Cyrl-CS"/>
              </w:rPr>
            </w:pPr>
            <w:r w:rsidRPr="00092ED7">
              <w:rPr>
                <w:rFonts w:ascii="Arial" w:hAnsi="Arial" w:cs="Arial"/>
                <w:sz w:val="20"/>
                <w:lang w:val="sr-Cyrl-CS"/>
              </w:rPr>
              <w:t> </w:t>
            </w:r>
          </w:p>
        </w:tc>
        <w:tc>
          <w:tcPr>
            <w:tcW w:w="437" w:type="pct"/>
            <w:gridSpan w:val="2"/>
            <w:tcBorders>
              <w:top w:val="nil"/>
              <w:left w:val="nil"/>
              <w:bottom w:val="dotted" w:sz="4" w:space="0" w:color="auto"/>
              <w:right w:val="dotted" w:sz="4" w:space="0" w:color="auto"/>
            </w:tcBorders>
            <w:shd w:val="clear" w:color="auto" w:fill="auto"/>
            <w:noWrap/>
            <w:vAlign w:val="center"/>
            <w:hideMark/>
          </w:tcPr>
          <w:p w14:paraId="0D2B7FAB" w14:textId="77777777" w:rsidR="00247CBF" w:rsidRPr="00092ED7" w:rsidRDefault="00247CBF" w:rsidP="00247CBF">
            <w:pPr>
              <w:spacing w:after="0"/>
              <w:jc w:val="right"/>
              <w:rPr>
                <w:rFonts w:ascii="Arial" w:hAnsi="Arial" w:cs="Arial"/>
                <w:sz w:val="20"/>
                <w:lang w:val="sr-Cyrl-CS"/>
              </w:rPr>
            </w:pPr>
            <w:r w:rsidRPr="00092ED7">
              <w:rPr>
                <w:rFonts w:ascii="Arial" w:hAnsi="Arial" w:cs="Arial"/>
                <w:sz w:val="20"/>
                <w:lang w:val="sr-Cyrl-CS"/>
              </w:rPr>
              <w:t> </w:t>
            </w:r>
          </w:p>
        </w:tc>
        <w:tc>
          <w:tcPr>
            <w:tcW w:w="437" w:type="pct"/>
            <w:gridSpan w:val="2"/>
            <w:tcBorders>
              <w:top w:val="nil"/>
              <w:left w:val="nil"/>
              <w:bottom w:val="dotted" w:sz="4" w:space="0" w:color="auto"/>
              <w:right w:val="double" w:sz="6" w:space="0" w:color="auto"/>
            </w:tcBorders>
            <w:shd w:val="clear" w:color="000000" w:fill="FFFFFF"/>
            <w:vAlign w:val="center"/>
            <w:hideMark/>
          </w:tcPr>
          <w:p w14:paraId="58CD861B" w14:textId="77777777" w:rsidR="00247CBF" w:rsidRPr="00092ED7" w:rsidRDefault="00247CBF" w:rsidP="00247CBF">
            <w:pPr>
              <w:spacing w:after="0"/>
              <w:jc w:val="right"/>
              <w:rPr>
                <w:rFonts w:cs="Times New Roman"/>
                <w:sz w:val="20"/>
                <w:lang w:val="sr-Cyrl-CS"/>
              </w:rPr>
            </w:pPr>
            <w:r w:rsidRPr="00092ED7">
              <w:rPr>
                <w:sz w:val="20"/>
                <w:lang w:val="sr-Cyrl-CS"/>
              </w:rPr>
              <w:t> </w:t>
            </w:r>
          </w:p>
        </w:tc>
      </w:tr>
      <w:tr w:rsidR="00247CBF" w:rsidRPr="00092ED7" w14:paraId="23E96BCB" w14:textId="77777777" w:rsidTr="00247CBF">
        <w:trPr>
          <w:gridBefore w:val="1"/>
          <w:wBefore w:w="8" w:type="pct"/>
          <w:trHeight w:val="273"/>
        </w:trPr>
        <w:tc>
          <w:tcPr>
            <w:tcW w:w="2225" w:type="pct"/>
            <w:gridSpan w:val="2"/>
            <w:tcBorders>
              <w:top w:val="nil"/>
              <w:left w:val="double" w:sz="6" w:space="0" w:color="auto"/>
              <w:bottom w:val="dotted" w:sz="4" w:space="0" w:color="auto"/>
              <w:right w:val="dotted" w:sz="4" w:space="0" w:color="auto"/>
            </w:tcBorders>
            <w:shd w:val="clear" w:color="000000" w:fill="FFFFFF"/>
            <w:vAlign w:val="center"/>
            <w:hideMark/>
          </w:tcPr>
          <w:p w14:paraId="63CC3F5E" w14:textId="77777777" w:rsidR="00247CBF" w:rsidRPr="00092ED7" w:rsidRDefault="00247CBF" w:rsidP="00247CBF">
            <w:pPr>
              <w:spacing w:after="0"/>
              <w:rPr>
                <w:rFonts w:eastAsia="Times New Roman" w:cs="Times New Roman"/>
                <w:i/>
                <w:iCs/>
                <w:sz w:val="20"/>
                <w:szCs w:val="20"/>
                <w:lang w:val="sr-Cyrl-CS"/>
              </w:rPr>
            </w:pPr>
            <w:r w:rsidRPr="00092ED7">
              <w:rPr>
                <w:rFonts w:eastAsia="Times New Roman" w:cs="Times New Roman"/>
                <w:i/>
                <w:iCs/>
                <w:sz w:val="20"/>
                <w:szCs w:val="20"/>
                <w:lang w:val="sr-Cyrl-CS"/>
              </w:rPr>
              <w:t>- Биланс робе и услуга</w:t>
            </w:r>
          </w:p>
        </w:tc>
        <w:tc>
          <w:tcPr>
            <w:tcW w:w="582" w:type="pct"/>
            <w:tcBorders>
              <w:top w:val="nil"/>
              <w:left w:val="nil"/>
              <w:bottom w:val="dotted" w:sz="4" w:space="0" w:color="auto"/>
              <w:right w:val="single" w:sz="8" w:space="0" w:color="auto"/>
            </w:tcBorders>
            <w:shd w:val="clear" w:color="000000" w:fill="FFFFFF"/>
            <w:vAlign w:val="center"/>
            <w:hideMark/>
          </w:tcPr>
          <w:p w14:paraId="2DA7EE90" w14:textId="77777777" w:rsidR="00247CBF" w:rsidRPr="00092ED7" w:rsidRDefault="00247CBF" w:rsidP="00247CBF">
            <w:pPr>
              <w:spacing w:after="0"/>
              <w:jc w:val="center"/>
              <w:rPr>
                <w:rFonts w:eastAsia="Times New Roman" w:cs="Times New Roman"/>
                <w:i/>
                <w:iCs/>
                <w:sz w:val="20"/>
                <w:szCs w:val="20"/>
                <w:lang w:val="sr-Cyrl-CS"/>
              </w:rPr>
            </w:pPr>
          </w:p>
        </w:tc>
        <w:tc>
          <w:tcPr>
            <w:tcW w:w="437" w:type="pct"/>
            <w:gridSpan w:val="2"/>
            <w:tcBorders>
              <w:top w:val="nil"/>
              <w:left w:val="nil"/>
              <w:bottom w:val="dotted" w:sz="4" w:space="0" w:color="auto"/>
              <w:right w:val="dotted" w:sz="4" w:space="0" w:color="auto"/>
            </w:tcBorders>
            <w:shd w:val="clear" w:color="000000" w:fill="FFFFFF"/>
            <w:vAlign w:val="center"/>
            <w:hideMark/>
          </w:tcPr>
          <w:p w14:paraId="1E77D5FE" w14:textId="77777777" w:rsidR="00247CBF" w:rsidRPr="00092ED7" w:rsidRDefault="00247CBF" w:rsidP="00247CBF">
            <w:pPr>
              <w:spacing w:after="0"/>
              <w:jc w:val="right"/>
              <w:rPr>
                <w:sz w:val="20"/>
                <w:lang w:val="sr-Cyrl-CS"/>
              </w:rPr>
            </w:pPr>
            <w:r w:rsidRPr="00092ED7">
              <w:rPr>
                <w:sz w:val="20"/>
                <w:lang w:val="sr-Cyrl-CS"/>
              </w:rPr>
              <w:t>-8,5</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76593648" w14:textId="77777777" w:rsidR="00247CBF" w:rsidRPr="00092ED7" w:rsidRDefault="00247CBF" w:rsidP="00247CBF">
            <w:pPr>
              <w:spacing w:after="0"/>
              <w:jc w:val="right"/>
              <w:rPr>
                <w:sz w:val="20"/>
                <w:lang w:val="sr-Cyrl-CS"/>
              </w:rPr>
            </w:pPr>
            <w:r w:rsidRPr="00092ED7">
              <w:rPr>
                <w:sz w:val="20"/>
                <w:lang w:val="sr-Cyrl-CS"/>
              </w:rPr>
              <w:t>-12,2</w:t>
            </w:r>
          </w:p>
        </w:tc>
        <w:tc>
          <w:tcPr>
            <w:tcW w:w="437" w:type="pct"/>
            <w:gridSpan w:val="2"/>
            <w:tcBorders>
              <w:top w:val="nil"/>
              <w:left w:val="nil"/>
              <w:bottom w:val="dotted" w:sz="4" w:space="0" w:color="auto"/>
              <w:right w:val="dotted" w:sz="4" w:space="0" w:color="auto"/>
            </w:tcBorders>
            <w:shd w:val="clear" w:color="000000" w:fill="FFFFFF"/>
            <w:vAlign w:val="center"/>
            <w:hideMark/>
          </w:tcPr>
          <w:p w14:paraId="57844D29" w14:textId="77777777" w:rsidR="00247CBF" w:rsidRPr="00092ED7" w:rsidRDefault="00247CBF" w:rsidP="00247CBF">
            <w:pPr>
              <w:spacing w:after="0"/>
              <w:jc w:val="right"/>
              <w:rPr>
                <w:sz w:val="20"/>
                <w:lang w:val="sr-Cyrl-CS"/>
              </w:rPr>
            </w:pPr>
            <w:r w:rsidRPr="00092ED7">
              <w:rPr>
                <w:sz w:val="20"/>
                <w:lang w:val="sr-Cyrl-CS"/>
              </w:rPr>
              <w:t>-10,9</w:t>
            </w:r>
          </w:p>
        </w:tc>
        <w:tc>
          <w:tcPr>
            <w:tcW w:w="437" w:type="pct"/>
            <w:gridSpan w:val="2"/>
            <w:tcBorders>
              <w:top w:val="nil"/>
              <w:left w:val="nil"/>
              <w:bottom w:val="dotted" w:sz="4" w:space="0" w:color="auto"/>
              <w:right w:val="dotted" w:sz="4" w:space="0" w:color="auto"/>
            </w:tcBorders>
            <w:shd w:val="clear" w:color="000000" w:fill="FFFFFF"/>
            <w:vAlign w:val="center"/>
            <w:hideMark/>
          </w:tcPr>
          <w:p w14:paraId="0990F20B" w14:textId="77777777" w:rsidR="00247CBF" w:rsidRPr="00092ED7" w:rsidRDefault="00247CBF" w:rsidP="00247CBF">
            <w:pPr>
              <w:spacing w:after="0"/>
              <w:jc w:val="right"/>
              <w:rPr>
                <w:sz w:val="20"/>
                <w:lang w:val="sr-Cyrl-CS"/>
              </w:rPr>
            </w:pPr>
            <w:r w:rsidRPr="00092ED7">
              <w:rPr>
                <w:sz w:val="20"/>
                <w:lang w:val="sr-Cyrl-CS"/>
              </w:rPr>
              <w:t>-9,4</w:t>
            </w:r>
          </w:p>
        </w:tc>
        <w:tc>
          <w:tcPr>
            <w:tcW w:w="437" w:type="pct"/>
            <w:gridSpan w:val="2"/>
            <w:tcBorders>
              <w:top w:val="nil"/>
              <w:left w:val="nil"/>
              <w:bottom w:val="dotted" w:sz="4" w:space="0" w:color="auto"/>
              <w:right w:val="double" w:sz="6" w:space="0" w:color="auto"/>
            </w:tcBorders>
            <w:shd w:val="clear" w:color="000000" w:fill="FFFFFF"/>
            <w:vAlign w:val="center"/>
            <w:hideMark/>
          </w:tcPr>
          <w:p w14:paraId="18A242CD" w14:textId="77777777" w:rsidR="00247CBF" w:rsidRPr="00092ED7" w:rsidRDefault="00247CBF" w:rsidP="00247CBF">
            <w:pPr>
              <w:spacing w:after="0"/>
              <w:jc w:val="right"/>
              <w:rPr>
                <w:sz w:val="20"/>
                <w:lang w:val="sr-Cyrl-CS"/>
              </w:rPr>
            </w:pPr>
            <w:r w:rsidRPr="00092ED7">
              <w:rPr>
                <w:sz w:val="20"/>
                <w:lang w:val="sr-Cyrl-CS"/>
              </w:rPr>
              <w:t>-8,4</w:t>
            </w:r>
          </w:p>
        </w:tc>
      </w:tr>
      <w:tr w:rsidR="00247CBF" w:rsidRPr="00092ED7" w14:paraId="3CA1EEA1" w14:textId="77777777" w:rsidTr="00247CBF">
        <w:trPr>
          <w:gridBefore w:val="1"/>
          <w:wBefore w:w="8" w:type="pct"/>
          <w:trHeight w:val="278"/>
        </w:trPr>
        <w:tc>
          <w:tcPr>
            <w:tcW w:w="2225" w:type="pct"/>
            <w:gridSpan w:val="2"/>
            <w:tcBorders>
              <w:top w:val="nil"/>
              <w:left w:val="double" w:sz="6" w:space="0" w:color="auto"/>
              <w:bottom w:val="dotted" w:sz="4" w:space="0" w:color="auto"/>
              <w:right w:val="dotted" w:sz="4" w:space="0" w:color="auto"/>
            </w:tcBorders>
            <w:shd w:val="clear" w:color="000000" w:fill="FFFFFF"/>
            <w:vAlign w:val="center"/>
            <w:hideMark/>
          </w:tcPr>
          <w:p w14:paraId="4CD922DC" w14:textId="77777777" w:rsidR="00247CBF" w:rsidRPr="00092ED7" w:rsidRDefault="00247CBF" w:rsidP="00247CBF">
            <w:pPr>
              <w:spacing w:after="0"/>
              <w:rPr>
                <w:rFonts w:eastAsia="Times New Roman" w:cs="Times New Roman"/>
                <w:i/>
                <w:iCs/>
                <w:sz w:val="20"/>
                <w:szCs w:val="20"/>
                <w:lang w:val="sr-Cyrl-CS"/>
              </w:rPr>
            </w:pPr>
            <w:r w:rsidRPr="00092ED7">
              <w:rPr>
                <w:rFonts w:eastAsia="Times New Roman" w:cs="Times New Roman"/>
                <w:i/>
                <w:iCs/>
                <w:sz w:val="20"/>
                <w:szCs w:val="20"/>
                <w:lang w:val="sr-Cyrl-CS"/>
              </w:rPr>
              <w:t>- Биланс примарног дохотка и трансфера</w:t>
            </w:r>
          </w:p>
        </w:tc>
        <w:tc>
          <w:tcPr>
            <w:tcW w:w="582" w:type="pct"/>
            <w:tcBorders>
              <w:top w:val="nil"/>
              <w:left w:val="nil"/>
              <w:bottom w:val="dotted" w:sz="4" w:space="0" w:color="auto"/>
              <w:right w:val="single" w:sz="8" w:space="0" w:color="auto"/>
            </w:tcBorders>
            <w:shd w:val="clear" w:color="000000" w:fill="FFFFFF"/>
            <w:vAlign w:val="center"/>
            <w:hideMark/>
          </w:tcPr>
          <w:p w14:paraId="411B4324" w14:textId="77777777" w:rsidR="00247CBF" w:rsidRPr="00092ED7" w:rsidRDefault="00247CBF" w:rsidP="00247CBF">
            <w:pPr>
              <w:spacing w:after="0"/>
              <w:jc w:val="center"/>
              <w:rPr>
                <w:rFonts w:eastAsia="Times New Roman" w:cs="Times New Roman"/>
                <w:i/>
                <w:iCs/>
                <w:sz w:val="20"/>
                <w:szCs w:val="20"/>
                <w:lang w:val="sr-Cyrl-CS"/>
              </w:rPr>
            </w:pPr>
          </w:p>
        </w:tc>
        <w:tc>
          <w:tcPr>
            <w:tcW w:w="437" w:type="pct"/>
            <w:gridSpan w:val="2"/>
            <w:tcBorders>
              <w:top w:val="nil"/>
              <w:left w:val="nil"/>
              <w:bottom w:val="dotted" w:sz="4" w:space="0" w:color="auto"/>
              <w:right w:val="dotted" w:sz="4" w:space="0" w:color="auto"/>
            </w:tcBorders>
            <w:shd w:val="clear" w:color="000000" w:fill="FFFFFF"/>
            <w:vAlign w:val="center"/>
            <w:hideMark/>
          </w:tcPr>
          <w:p w14:paraId="4DEB8129" w14:textId="77777777" w:rsidR="00247CBF" w:rsidRPr="00092ED7" w:rsidRDefault="00247CBF" w:rsidP="00247CBF">
            <w:pPr>
              <w:spacing w:after="0"/>
              <w:jc w:val="right"/>
              <w:rPr>
                <w:sz w:val="20"/>
                <w:lang w:val="sr-Cyrl-CS"/>
              </w:rPr>
            </w:pPr>
            <w:r w:rsidRPr="00092ED7">
              <w:rPr>
                <w:sz w:val="20"/>
                <w:lang w:val="sr-Cyrl-CS"/>
              </w:rPr>
              <w:t>4,2</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5EC6EDDD" w14:textId="77777777" w:rsidR="00247CBF" w:rsidRPr="00092ED7" w:rsidRDefault="00247CBF" w:rsidP="00247CBF">
            <w:pPr>
              <w:spacing w:after="0"/>
              <w:jc w:val="right"/>
              <w:rPr>
                <w:sz w:val="20"/>
                <w:lang w:val="sr-Cyrl-CS"/>
              </w:rPr>
            </w:pPr>
            <w:r w:rsidRPr="00092ED7">
              <w:rPr>
                <w:sz w:val="20"/>
                <w:lang w:val="sr-Cyrl-CS"/>
              </w:rPr>
              <w:t>3,2</w:t>
            </w:r>
          </w:p>
        </w:tc>
        <w:tc>
          <w:tcPr>
            <w:tcW w:w="437" w:type="pct"/>
            <w:gridSpan w:val="2"/>
            <w:tcBorders>
              <w:top w:val="nil"/>
              <w:left w:val="nil"/>
              <w:bottom w:val="dotted" w:sz="4" w:space="0" w:color="auto"/>
              <w:right w:val="dotted" w:sz="4" w:space="0" w:color="auto"/>
            </w:tcBorders>
            <w:shd w:val="clear" w:color="000000" w:fill="FFFFFF"/>
            <w:vAlign w:val="center"/>
            <w:hideMark/>
          </w:tcPr>
          <w:p w14:paraId="10A02DAD" w14:textId="77777777" w:rsidR="00247CBF" w:rsidRPr="00092ED7" w:rsidRDefault="00247CBF" w:rsidP="00247CBF">
            <w:pPr>
              <w:spacing w:after="0"/>
              <w:jc w:val="right"/>
              <w:rPr>
                <w:sz w:val="20"/>
                <w:lang w:val="sr-Cyrl-CS"/>
              </w:rPr>
            </w:pPr>
            <w:r w:rsidRPr="00092ED7">
              <w:rPr>
                <w:sz w:val="20"/>
                <w:lang w:val="sr-Cyrl-CS"/>
              </w:rPr>
              <w:t>2,4</w:t>
            </w:r>
          </w:p>
        </w:tc>
        <w:tc>
          <w:tcPr>
            <w:tcW w:w="437" w:type="pct"/>
            <w:gridSpan w:val="2"/>
            <w:tcBorders>
              <w:top w:val="nil"/>
              <w:left w:val="nil"/>
              <w:bottom w:val="dotted" w:sz="4" w:space="0" w:color="auto"/>
              <w:right w:val="dotted" w:sz="4" w:space="0" w:color="auto"/>
            </w:tcBorders>
            <w:shd w:val="clear" w:color="000000" w:fill="FFFFFF"/>
            <w:vAlign w:val="center"/>
            <w:hideMark/>
          </w:tcPr>
          <w:p w14:paraId="6C04F905" w14:textId="77777777" w:rsidR="00247CBF" w:rsidRPr="00092ED7" w:rsidRDefault="00247CBF" w:rsidP="00247CBF">
            <w:pPr>
              <w:spacing w:after="0"/>
              <w:jc w:val="right"/>
              <w:rPr>
                <w:sz w:val="20"/>
                <w:lang w:val="sr-Cyrl-CS"/>
              </w:rPr>
            </w:pPr>
            <w:r w:rsidRPr="00092ED7">
              <w:rPr>
                <w:sz w:val="20"/>
                <w:lang w:val="sr-Cyrl-CS"/>
              </w:rPr>
              <w:t>2,7</w:t>
            </w:r>
          </w:p>
        </w:tc>
        <w:tc>
          <w:tcPr>
            <w:tcW w:w="437" w:type="pct"/>
            <w:gridSpan w:val="2"/>
            <w:tcBorders>
              <w:top w:val="nil"/>
              <w:left w:val="nil"/>
              <w:bottom w:val="dotted" w:sz="4" w:space="0" w:color="auto"/>
              <w:right w:val="double" w:sz="6" w:space="0" w:color="auto"/>
            </w:tcBorders>
            <w:shd w:val="clear" w:color="000000" w:fill="FFFFFF"/>
            <w:vAlign w:val="center"/>
            <w:hideMark/>
          </w:tcPr>
          <w:p w14:paraId="15D23758" w14:textId="77777777" w:rsidR="00247CBF" w:rsidRPr="00092ED7" w:rsidRDefault="00247CBF" w:rsidP="00247CBF">
            <w:pPr>
              <w:spacing w:after="0"/>
              <w:jc w:val="right"/>
              <w:rPr>
                <w:sz w:val="20"/>
                <w:lang w:val="sr-Cyrl-CS"/>
              </w:rPr>
            </w:pPr>
            <w:r w:rsidRPr="00092ED7">
              <w:rPr>
                <w:sz w:val="20"/>
                <w:lang w:val="sr-Cyrl-CS"/>
              </w:rPr>
              <w:t>3,0</w:t>
            </w:r>
          </w:p>
        </w:tc>
      </w:tr>
      <w:tr w:rsidR="00247CBF" w:rsidRPr="00092ED7" w14:paraId="58D80EA7" w14:textId="77777777" w:rsidTr="00247CBF">
        <w:trPr>
          <w:gridBefore w:val="1"/>
          <w:wBefore w:w="8" w:type="pct"/>
          <w:trHeight w:val="267"/>
        </w:trPr>
        <w:tc>
          <w:tcPr>
            <w:tcW w:w="2225" w:type="pct"/>
            <w:gridSpan w:val="2"/>
            <w:tcBorders>
              <w:top w:val="nil"/>
              <w:left w:val="double" w:sz="6" w:space="0" w:color="auto"/>
              <w:bottom w:val="nil"/>
              <w:right w:val="dotted" w:sz="4" w:space="0" w:color="auto"/>
            </w:tcBorders>
            <w:shd w:val="clear" w:color="000000" w:fill="FFFFFF"/>
            <w:vAlign w:val="center"/>
            <w:hideMark/>
          </w:tcPr>
          <w:p w14:paraId="2B4C7127" w14:textId="77777777" w:rsidR="00247CBF" w:rsidRPr="00092ED7" w:rsidRDefault="00247CBF" w:rsidP="00247CBF">
            <w:pPr>
              <w:spacing w:after="0"/>
              <w:rPr>
                <w:rFonts w:eastAsia="Times New Roman" w:cs="Times New Roman"/>
                <w:i/>
                <w:iCs/>
                <w:sz w:val="20"/>
                <w:szCs w:val="20"/>
                <w:lang w:val="sr-Cyrl-CS"/>
              </w:rPr>
            </w:pPr>
            <w:r w:rsidRPr="00092ED7">
              <w:rPr>
                <w:rFonts w:eastAsia="Times New Roman" w:cs="Times New Roman"/>
                <w:i/>
                <w:iCs/>
                <w:sz w:val="20"/>
                <w:szCs w:val="20"/>
                <w:lang w:val="sr-Cyrl-CS"/>
              </w:rPr>
              <w:t>- Биланс капиталних трансакција</w:t>
            </w:r>
          </w:p>
        </w:tc>
        <w:tc>
          <w:tcPr>
            <w:tcW w:w="582" w:type="pct"/>
            <w:tcBorders>
              <w:top w:val="nil"/>
              <w:left w:val="nil"/>
              <w:bottom w:val="nil"/>
              <w:right w:val="single" w:sz="8" w:space="0" w:color="auto"/>
            </w:tcBorders>
            <w:shd w:val="clear" w:color="000000" w:fill="FFFFFF"/>
            <w:vAlign w:val="center"/>
            <w:hideMark/>
          </w:tcPr>
          <w:p w14:paraId="2E9DB6C4" w14:textId="77777777" w:rsidR="00247CBF" w:rsidRPr="00092ED7" w:rsidRDefault="00247CBF" w:rsidP="00247CBF">
            <w:pPr>
              <w:spacing w:after="0"/>
              <w:jc w:val="center"/>
              <w:rPr>
                <w:rFonts w:eastAsia="Times New Roman" w:cs="Times New Roman"/>
                <w:i/>
                <w:iCs/>
                <w:sz w:val="20"/>
                <w:szCs w:val="20"/>
                <w:lang w:val="sr-Cyrl-CS"/>
              </w:rPr>
            </w:pPr>
          </w:p>
        </w:tc>
        <w:tc>
          <w:tcPr>
            <w:tcW w:w="437" w:type="pct"/>
            <w:gridSpan w:val="2"/>
            <w:tcBorders>
              <w:top w:val="nil"/>
              <w:left w:val="nil"/>
              <w:bottom w:val="single" w:sz="4" w:space="0" w:color="auto"/>
              <w:right w:val="dotted" w:sz="4" w:space="0" w:color="auto"/>
            </w:tcBorders>
            <w:shd w:val="clear" w:color="000000" w:fill="FFFFFF"/>
            <w:vAlign w:val="center"/>
            <w:hideMark/>
          </w:tcPr>
          <w:p w14:paraId="73794F9F" w14:textId="77777777" w:rsidR="00247CBF" w:rsidRPr="00092ED7" w:rsidRDefault="00247CBF" w:rsidP="00247CBF">
            <w:pPr>
              <w:spacing w:after="0"/>
              <w:jc w:val="right"/>
              <w:rPr>
                <w:sz w:val="20"/>
                <w:lang w:val="sr-Cyrl-CS"/>
              </w:rPr>
            </w:pPr>
            <w:r w:rsidRPr="00092ED7">
              <w:rPr>
                <w:sz w:val="20"/>
                <w:lang w:val="sr-Cyrl-CS"/>
              </w:rPr>
              <w:t>0,0</w:t>
            </w:r>
          </w:p>
        </w:tc>
        <w:tc>
          <w:tcPr>
            <w:tcW w:w="437" w:type="pct"/>
            <w:gridSpan w:val="3"/>
            <w:tcBorders>
              <w:top w:val="nil"/>
              <w:left w:val="nil"/>
              <w:bottom w:val="single" w:sz="4" w:space="0" w:color="auto"/>
              <w:right w:val="dotted" w:sz="4" w:space="0" w:color="auto"/>
            </w:tcBorders>
            <w:shd w:val="clear" w:color="000000" w:fill="FFFFFF"/>
            <w:vAlign w:val="center"/>
            <w:hideMark/>
          </w:tcPr>
          <w:p w14:paraId="0FF07F79" w14:textId="77777777" w:rsidR="00247CBF" w:rsidRPr="00092ED7" w:rsidRDefault="00247CBF" w:rsidP="00247CBF">
            <w:pPr>
              <w:spacing w:after="0"/>
              <w:jc w:val="right"/>
              <w:rPr>
                <w:sz w:val="20"/>
                <w:lang w:val="sr-Cyrl-CS"/>
              </w:rPr>
            </w:pPr>
            <w:r w:rsidRPr="00092ED7">
              <w:rPr>
                <w:sz w:val="20"/>
                <w:lang w:val="sr-Cyrl-CS"/>
              </w:rPr>
              <w:t>0,0</w:t>
            </w:r>
          </w:p>
        </w:tc>
        <w:tc>
          <w:tcPr>
            <w:tcW w:w="437" w:type="pct"/>
            <w:gridSpan w:val="2"/>
            <w:tcBorders>
              <w:top w:val="nil"/>
              <w:left w:val="nil"/>
              <w:bottom w:val="single" w:sz="4" w:space="0" w:color="auto"/>
              <w:right w:val="dotted" w:sz="4" w:space="0" w:color="auto"/>
            </w:tcBorders>
            <w:shd w:val="clear" w:color="000000" w:fill="FFFFFF"/>
            <w:vAlign w:val="center"/>
            <w:hideMark/>
          </w:tcPr>
          <w:p w14:paraId="1857106A" w14:textId="77777777" w:rsidR="00247CBF" w:rsidRPr="00092ED7" w:rsidRDefault="00247CBF" w:rsidP="00247CBF">
            <w:pPr>
              <w:spacing w:after="0"/>
              <w:jc w:val="right"/>
              <w:rPr>
                <w:sz w:val="20"/>
                <w:lang w:val="sr-Cyrl-CS"/>
              </w:rPr>
            </w:pPr>
            <w:r w:rsidRPr="00092ED7">
              <w:rPr>
                <w:sz w:val="20"/>
                <w:lang w:val="sr-Cyrl-CS"/>
              </w:rPr>
              <w:t>0,0</w:t>
            </w:r>
          </w:p>
        </w:tc>
        <w:tc>
          <w:tcPr>
            <w:tcW w:w="437" w:type="pct"/>
            <w:gridSpan w:val="2"/>
            <w:tcBorders>
              <w:top w:val="nil"/>
              <w:left w:val="nil"/>
              <w:bottom w:val="single" w:sz="4" w:space="0" w:color="auto"/>
              <w:right w:val="dotted" w:sz="4" w:space="0" w:color="auto"/>
            </w:tcBorders>
            <w:shd w:val="clear" w:color="000000" w:fill="FFFFFF"/>
            <w:vAlign w:val="center"/>
            <w:hideMark/>
          </w:tcPr>
          <w:p w14:paraId="5F1D629C" w14:textId="77777777" w:rsidR="00247CBF" w:rsidRPr="00092ED7" w:rsidRDefault="00247CBF" w:rsidP="00247CBF">
            <w:pPr>
              <w:spacing w:after="0"/>
              <w:jc w:val="right"/>
              <w:rPr>
                <w:sz w:val="20"/>
                <w:lang w:val="sr-Cyrl-CS"/>
              </w:rPr>
            </w:pPr>
            <w:r w:rsidRPr="00092ED7">
              <w:rPr>
                <w:sz w:val="20"/>
                <w:lang w:val="sr-Cyrl-CS"/>
              </w:rPr>
              <w:t>0,0</w:t>
            </w:r>
          </w:p>
        </w:tc>
        <w:tc>
          <w:tcPr>
            <w:tcW w:w="437" w:type="pct"/>
            <w:gridSpan w:val="2"/>
            <w:tcBorders>
              <w:top w:val="nil"/>
              <w:left w:val="nil"/>
              <w:bottom w:val="single" w:sz="4" w:space="0" w:color="auto"/>
              <w:right w:val="double" w:sz="6" w:space="0" w:color="auto"/>
            </w:tcBorders>
            <w:shd w:val="clear" w:color="000000" w:fill="FFFFFF"/>
            <w:vAlign w:val="center"/>
            <w:hideMark/>
          </w:tcPr>
          <w:p w14:paraId="055CEC0B" w14:textId="77777777" w:rsidR="00247CBF" w:rsidRPr="00092ED7" w:rsidRDefault="00247CBF" w:rsidP="00247CBF">
            <w:pPr>
              <w:spacing w:after="0"/>
              <w:jc w:val="right"/>
              <w:rPr>
                <w:sz w:val="20"/>
                <w:lang w:val="sr-Cyrl-CS"/>
              </w:rPr>
            </w:pPr>
            <w:r w:rsidRPr="00092ED7">
              <w:rPr>
                <w:sz w:val="20"/>
                <w:lang w:val="sr-Cyrl-CS"/>
              </w:rPr>
              <w:t>0,0</w:t>
            </w:r>
          </w:p>
        </w:tc>
      </w:tr>
      <w:tr w:rsidR="00247CBF" w:rsidRPr="00092ED7" w14:paraId="2958AC08" w14:textId="77777777" w:rsidTr="00247CBF">
        <w:trPr>
          <w:gridBefore w:val="1"/>
          <w:wBefore w:w="8" w:type="pct"/>
          <w:trHeight w:val="272"/>
        </w:trPr>
        <w:tc>
          <w:tcPr>
            <w:tcW w:w="2225" w:type="pct"/>
            <w:gridSpan w:val="2"/>
            <w:tcBorders>
              <w:top w:val="single" w:sz="4" w:space="0" w:color="auto"/>
              <w:left w:val="double" w:sz="6" w:space="0" w:color="auto"/>
              <w:bottom w:val="dotted" w:sz="4" w:space="0" w:color="auto"/>
              <w:right w:val="dotted" w:sz="4" w:space="0" w:color="auto"/>
            </w:tcBorders>
            <w:shd w:val="clear" w:color="000000" w:fill="FFFFFF"/>
            <w:vAlign w:val="center"/>
            <w:hideMark/>
          </w:tcPr>
          <w:p w14:paraId="73B7006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xml:space="preserve">2. Нето дате/узете позајмице приватног сектора </w:t>
            </w:r>
          </w:p>
        </w:tc>
        <w:tc>
          <w:tcPr>
            <w:tcW w:w="582" w:type="pct"/>
            <w:tcBorders>
              <w:top w:val="single" w:sz="4" w:space="0" w:color="auto"/>
              <w:left w:val="nil"/>
              <w:bottom w:val="dotted" w:sz="4" w:space="0" w:color="auto"/>
              <w:right w:val="single" w:sz="8" w:space="0" w:color="auto"/>
            </w:tcBorders>
            <w:shd w:val="clear" w:color="000000" w:fill="FFFFFF"/>
            <w:vAlign w:val="center"/>
            <w:hideMark/>
          </w:tcPr>
          <w:p w14:paraId="4E9719D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B.9/ EDP B.9</w:t>
            </w:r>
          </w:p>
        </w:tc>
        <w:tc>
          <w:tcPr>
            <w:tcW w:w="437" w:type="pct"/>
            <w:gridSpan w:val="2"/>
            <w:tcBorders>
              <w:top w:val="nil"/>
              <w:left w:val="nil"/>
              <w:bottom w:val="dotted" w:sz="4" w:space="0" w:color="auto"/>
              <w:right w:val="dotted" w:sz="4" w:space="0" w:color="auto"/>
            </w:tcBorders>
            <w:shd w:val="clear" w:color="000000" w:fill="FFFFFF"/>
            <w:vAlign w:val="center"/>
            <w:hideMark/>
          </w:tcPr>
          <w:p w14:paraId="15C6ACAA" w14:textId="77777777" w:rsidR="00247CBF" w:rsidRPr="00092ED7" w:rsidRDefault="00247CBF" w:rsidP="00247CBF">
            <w:pPr>
              <w:spacing w:after="0"/>
              <w:jc w:val="right"/>
              <w:rPr>
                <w:sz w:val="20"/>
                <w:lang w:val="sr-Cyrl-CS"/>
              </w:rPr>
            </w:pPr>
            <w:r w:rsidRPr="00092ED7">
              <w:rPr>
                <w:sz w:val="20"/>
                <w:lang w:val="sr-Cyrl-CS"/>
              </w:rPr>
              <w:t>-0,2</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01DAB6A6" w14:textId="77777777" w:rsidR="00247CBF" w:rsidRPr="00092ED7" w:rsidRDefault="00247CBF" w:rsidP="00247CBF">
            <w:pPr>
              <w:spacing w:after="0"/>
              <w:jc w:val="right"/>
              <w:rPr>
                <w:sz w:val="20"/>
                <w:lang w:val="sr-Cyrl-CS"/>
              </w:rPr>
            </w:pPr>
            <w:r w:rsidRPr="00092ED7">
              <w:rPr>
                <w:sz w:val="20"/>
                <w:lang w:val="sr-Cyrl-CS"/>
              </w:rPr>
              <w:t>-5,1</w:t>
            </w:r>
          </w:p>
        </w:tc>
        <w:tc>
          <w:tcPr>
            <w:tcW w:w="437" w:type="pct"/>
            <w:gridSpan w:val="2"/>
            <w:tcBorders>
              <w:top w:val="nil"/>
              <w:left w:val="nil"/>
              <w:bottom w:val="dotted" w:sz="4" w:space="0" w:color="auto"/>
              <w:right w:val="dotted" w:sz="4" w:space="0" w:color="auto"/>
            </w:tcBorders>
            <w:shd w:val="clear" w:color="000000" w:fill="FFFFFF"/>
            <w:vAlign w:val="center"/>
            <w:hideMark/>
          </w:tcPr>
          <w:p w14:paraId="3E9DBD52" w14:textId="77777777" w:rsidR="00247CBF" w:rsidRPr="00092ED7" w:rsidRDefault="00247CBF" w:rsidP="00247CBF">
            <w:pPr>
              <w:spacing w:after="0"/>
              <w:jc w:val="right"/>
              <w:rPr>
                <w:sz w:val="20"/>
                <w:lang w:val="sr-Cyrl-CS"/>
              </w:rPr>
            </w:pPr>
            <w:r w:rsidRPr="00092ED7">
              <w:rPr>
                <w:sz w:val="20"/>
                <w:lang w:val="sr-Cyrl-CS"/>
              </w:rPr>
              <w:t>-5,2</w:t>
            </w:r>
          </w:p>
        </w:tc>
        <w:tc>
          <w:tcPr>
            <w:tcW w:w="437" w:type="pct"/>
            <w:gridSpan w:val="2"/>
            <w:tcBorders>
              <w:top w:val="nil"/>
              <w:left w:val="nil"/>
              <w:bottom w:val="dotted" w:sz="4" w:space="0" w:color="auto"/>
              <w:right w:val="dotted" w:sz="4" w:space="0" w:color="auto"/>
            </w:tcBorders>
            <w:shd w:val="clear" w:color="000000" w:fill="FFFFFF"/>
            <w:vAlign w:val="center"/>
            <w:hideMark/>
          </w:tcPr>
          <w:p w14:paraId="4474C36A" w14:textId="77777777" w:rsidR="00247CBF" w:rsidRPr="00092ED7" w:rsidRDefault="00247CBF" w:rsidP="00247CBF">
            <w:pPr>
              <w:spacing w:after="0"/>
              <w:jc w:val="right"/>
              <w:rPr>
                <w:sz w:val="20"/>
                <w:lang w:val="sr-Cyrl-CS"/>
              </w:rPr>
            </w:pPr>
            <w:r w:rsidRPr="00092ED7">
              <w:rPr>
                <w:sz w:val="20"/>
                <w:lang w:val="sr-Cyrl-CS"/>
              </w:rPr>
              <w:t>-4,5</w:t>
            </w:r>
          </w:p>
        </w:tc>
        <w:tc>
          <w:tcPr>
            <w:tcW w:w="437" w:type="pct"/>
            <w:gridSpan w:val="2"/>
            <w:tcBorders>
              <w:top w:val="nil"/>
              <w:left w:val="nil"/>
              <w:bottom w:val="dotted" w:sz="4" w:space="0" w:color="auto"/>
              <w:right w:val="double" w:sz="6" w:space="0" w:color="auto"/>
            </w:tcBorders>
            <w:shd w:val="clear" w:color="000000" w:fill="FFFFFF"/>
            <w:vAlign w:val="center"/>
            <w:hideMark/>
          </w:tcPr>
          <w:p w14:paraId="4E799512" w14:textId="77777777" w:rsidR="00247CBF" w:rsidRPr="00092ED7" w:rsidRDefault="00247CBF" w:rsidP="00247CBF">
            <w:pPr>
              <w:spacing w:after="0"/>
              <w:jc w:val="right"/>
              <w:rPr>
                <w:sz w:val="20"/>
                <w:lang w:val="sr-Cyrl-CS"/>
              </w:rPr>
            </w:pPr>
            <w:r w:rsidRPr="00092ED7">
              <w:rPr>
                <w:sz w:val="20"/>
                <w:lang w:val="sr-Cyrl-CS"/>
              </w:rPr>
              <w:t>-4,0</w:t>
            </w:r>
          </w:p>
        </w:tc>
      </w:tr>
      <w:tr w:rsidR="00247CBF" w:rsidRPr="00092ED7" w14:paraId="104A7E38" w14:textId="77777777" w:rsidTr="00247CBF">
        <w:trPr>
          <w:gridBefore w:val="1"/>
          <w:wBefore w:w="8" w:type="pct"/>
          <w:trHeight w:val="289"/>
        </w:trPr>
        <w:tc>
          <w:tcPr>
            <w:tcW w:w="2225" w:type="pct"/>
            <w:gridSpan w:val="2"/>
            <w:tcBorders>
              <w:top w:val="nil"/>
              <w:left w:val="double" w:sz="6" w:space="0" w:color="auto"/>
              <w:bottom w:val="nil"/>
              <w:right w:val="dotted" w:sz="4" w:space="0" w:color="auto"/>
            </w:tcBorders>
            <w:shd w:val="clear" w:color="000000" w:fill="FFFFFF"/>
            <w:vAlign w:val="center"/>
            <w:hideMark/>
          </w:tcPr>
          <w:p w14:paraId="49CC763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xml:space="preserve">3. Нето дате/узете позајмице општег нивоа државе </w:t>
            </w:r>
          </w:p>
        </w:tc>
        <w:tc>
          <w:tcPr>
            <w:tcW w:w="582" w:type="pct"/>
            <w:tcBorders>
              <w:top w:val="nil"/>
              <w:left w:val="nil"/>
              <w:bottom w:val="nil"/>
              <w:right w:val="single" w:sz="8" w:space="0" w:color="auto"/>
            </w:tcBorders>
            <w:shd w:val="clear" w:color="000000" w:fill="FFFFFF"/>
            <w:vAlign w:val="center"/>
            <w:hideMark/>
          </w:tcPr>
          <w:p w14:paraId="43E0D901"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single" w:sz="4" w:space="0" w:color="auto"/>
              <w:right w:val="dotted" w:sz="4" w:space="0" w:color="auto"/>
            </w:tcBorders>
            <w:shd w:val="clear" w:color="000000" w:fill="FFFFFF"/>
            <w:vAlign w:val="center"/>
            <w:hideMark/>
          </w:tcPr>
          <w:p w14:paraId="23F1C2D9" w14:textId="77777777" w:rsidR="00247CBF" w:rsidRPr="00092ED7" w:rsidRDefault="00247CBF" w:rsidP="00247CBF">
            <w:pPr>
              <w:spacing w:after="0"/>
              <w:jc w:val="right"/>
              <w:rPr>
                <w:sz w:val="20"/>
                <w:lang w:val="sr-Cyrl-CS"/>
              </w:rPr>
            </w:pPr>
            <w:r w:rsidRPr="00092ED7">
              <w:rPr>
                <w:sz w:val="20"/>
                <w:lang w:val="sr-Cyrl-CS"/>
              </w:rPr>
              <w:t>-4,1</w:t>
            </w:r>
          </w:p>
        </w:tc>
        <w:tc>
          <w:tcPr>
            <w:tcW w:w="437" w:type="pct"/>
            <w:gridSpan w:val="3"/>
            <w:tcBorders>
              <w:top w:val="nil"/>
              <w:left w:val="nil"/>
              <w:bottom w:val="single" w:sz="4" w:space="0" w:color="auto"/>
              <w:right w:val="dotted" w:sz="4" w:space="0" w:color="auto"/>
            </w:tcBorders>
            <w:shd w:val="clear" w:color="000000" w:fill="FFFFFF"/>
            <w:vAlign w:val="center"/>
            <w:hideMark/>
          </w:tcPr>
          <w:p w14:paraId="0CCCBD40" w14:textId="77777777" w:rsidR="00247CBF" w:rsidRPr="00092ED7" w:rsidRDefault="00247CBF" w:rsidP="00247CBF">
            <w:pPr>
              <w:spacing w:after="0"/>
              <w:jc w:val="right"/>
              <w:rPr>
                <w:sz w:val="20"/>
                <w:lang w:val="sr-Cyrl-CS"/>
              </w:rPr>
            </w:pPr>
            <w:r w:rsidRPr="00092ED7">
              <w:rPr>
                <w:sz w:val="20"/>
                <w:lang w:val="sr-Cyrl-CS"/>
              </w:rPr>
              <w:t>-3,8</w:t>
            </w:r>
          </w:p>
        </w:tc>
        <w:tc>
          <w:tcPr>
            <w:tcW w:w="437" w:type="pct"/>
            <w:gridSpan w:val="2"/>
            <w:tcBorders>
              <w:top w:val="nil"/>
              <w:left w:val="nil"/>
              <w:bottom w:val="single" w:sz="4" w:space="0" w:color="auto"/>
              <w:right w:val="dotted" w:sz="4" w:space="0" w:color="auto"/>
            </w:tcBorders>
            <w:shd w:val="clear" w:color="000000" w:fill="FFFFFF"/>
            <w:vAlign w:val="center"/>
            <w:hideMark/>
          </w:tcPr>
          <w:p w14:paraId="2584FF7E" w14:textId="77777777" w:rsidR="00247CBF" w:rsidRPr="00092ED7" w:rsidRDefault="00247CBF" w:rsidP="00247CBF">
            <w:pPr>
              <w:spacing w:after="0"/>
              <w:jc w:val="right"/>
              <w:rPr>
                <w:sz w:val="20"/>
                <w:lang w:val="sr-Cyrl-CS"/>
              </w:rPr>
            </w:pPr>
            <w:r w:rsidRPr="00092ED7">
              <w:rPr>
                <w:sz w:val="20"/>
                <w:lang w:val="sr-Cyrl-CS"/>
              </w:rPr>
              <w:t>-3,3</w:t>
            </w:r>
          </w:p>
        </w:tc>
        <w:tc>
          <w:tcPr>
            <w:tcW w:w="437" w:type="pct"/>
            <w:gridSpan w:val="2"/>
            <w:tcBorders>
              <w:top w:val="nil"/>
              <w:left w:val="nil"/>
              <w:bottom w:val="single" w:sz="4" w:space="0" w:color="auto"/>
              <w:right w:val="dotted" w:sz="4" w:space="0" w:color="auto"/>
            </w:tcBorders>
            <w:shd w:val="clear" w:color="000000" w:fill="FFFFFF"/>
            <w:vAlign w:val="center"/>
            <w:hideMark/>
          </w:tcPr>
          <w:p w14:paraId="7A4A43EF" w14:textId="77777777" w:rsidR="00247CBF" w:rsidRPr="00092ED7" w:rsidRDefault="00247CBF" w:rsidP="00247CBF">
            <w:pPr>
              <w:spacing w:after="0"/>
              <w:jc w:val="right"/>
              <w:rPr>
                <w:sz w:val="20"/>
                <w:lang w:val="sr-Cyrl-CS"/>
              </w:rPr>
            </w:pPr>
            <w:r w:rsidRPr="00092ED7">
              <w:rPr>
                <w:sz w:val="20"/>
                <w:lang w:val="sr-Cyrl-CS"/>
              </w:rPr>
              <w:t>-2,2</w:t>
            </w:r>
          </w:p>
        </w:tc>
        <w:tc>
          <w:tcPr>
            <w:tcW w:w="437" w:type="pct"/>
            <w:gridSpan w:val="2"/>
            <w:tcBorders>
              <w:top w:val="nil"/>
              <w:left w:val="nil"/>
              <w:bottom w:val="single" w:sz="4" w:space="0" w:color="auto"/>
              <w:right w:val="double" w:sz="6" w:space="0" w:color="auto"/>
            </w:tcBorders>
            <w:shd w:val="clear" w:color="000000" w:fill="FFFFFF"/>
            <w:vAlign w:val="center"/>
            <w:hideMark/>
          </w:tcPr>
          <w:p w14:paraId="0E1D2CC0" w14:textId="77777777" w:rsidR="00247CBF" w:rsidRPr="00092ED7" w:rsidRDefault="00247CBF" w:rsidP="00247CBF">
            <w:pPr>
              <w:spacing w:after="0"/>
              <w:jc w:val="right"/>
              <w:rPr>
                <w:sz w:val="20"/>
                <w:lang w:val="sr-Cyrl-CS"/>
              </w:rPr>
            </w:pPr>
            <w:r w:rsidRPr="00092ED7">
              <w:rPr>
                <w:sz w:val="20"/>
                <w:lang w:val="sr-Cyrl-CS"/>
              </w:rPr>
              <w:t>-1,4</w:t>
            </w:r>
          </w:p>
        </w:tc>
      </w:tr>
      <w:tr w:rsidR="00247CBF" w:rsidRPr="00092ED7" w14:paraId="32800583" w14:textId="77777777" w:rsidTr="00247CBF">
        <w:trPr>
          <w:gridBefore w:val="1"/>
          <w:wBefore w:w="8" w:type="pct"/>
          <w:trHeight w:val="266"/>
        </w:trPr>
        <w:tc>
          <w:tcPr>
            <w:tcW w:w="2225" w:type="pct"/>
            <w:gridSpan w:val="2"/>
            <w:tcBorders>
              <w:top w:val="single" w:sz="4" w:space="0" w:color="auto"/>
              <w:left w:val="double" w:sz="6" w:space="0" w:color="auto"/>
              <w:bottom w:val="double" w:sz="6" w:space="0" w:color="auto"/>
              <w:right w:val="dotted" w:sz="4" w:space="0" w:color="auto"/>
            </w:tcBorders>
            <w:shd w:val="clear" w:color="000000" w:fill="FFFFFF"/>
            <w:vAlign w:val="center"/>
            <w:hideMark/>
          </w:tcPr>
          <w:p w14:paraId="14D8F43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4. Статистичкo одступање</w:t>
            </w:r>
          </w:p>
        </w:tc>
        <w:tc>
          <w:tcPr>
            <w:tcW w:w="582" w:type="pct"/>
            <w:tcBorders>
              <w:top w:val="single" w:sz="4" w:space="0" w:color="auto"/>
              <w:left w:val="nil"/>
              <w:bottom w:val="double" w:sz="6" w:space="0" w:color="auto"/>
              <w:right w:val="single" w:sz="8" w:space="0" w:color="auto"/>
            </w:tcBorders>
            <w:shd w:val="clear" w:color="000000" w:fill="FFFFFF"/>
            <w:vAlign w:val="center"/>
            <w:hideMark/>
          </w:tcPr>
          <w:p w14:paraId="621E0C4A"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uble" w:sz="6" w:space="0" w:color="auto"/>
              <w:right w:val="dotted" w:sz="4" w:space="0" w:color="auto"/>
            </w:tcBorders>
            <w:shd w:val="clear" w:color="000000" w:fill="FFFFFF"/>
            <w:vAlign w:val="center"/>
            <w:hideMark/>
          </w:tcPr>
          <w:p w14:paraId="35CA6E11" w14:textId="77777777" w:rsidR="00247CBF" w:rsidRPr="00092ED7" w:rsidRDefault="00247CBF" w:rsidP="00247CBF">
            <w:pPr>
              <w:spacing w:after="0"/>
              <w:jc w:val="right"/>
              <w:rPr>
                <w:sz w:val="20"/>
                <w:lang w:val="sr-Cyrl-CS"/>
              </w:rPr>
            </w:pPr>
            <w:r w:rsidRPr="00092ED7">
              <w:rPr>
                <w:sz w:val="20"/>
                <w:lang w:val="sr-Cyrl-CS"/>
              </w:rPr>
              <w:t>0,0</w:t>
            </w:r>
          </w:p>
        </w:tc>
        <w:tc>
          <w:tcPr>
            <w:tcW w:w="437" w:type="pct"/>
            <w:gridSpan w:val="3"/>
            <w:tcBorders>
              <w:top w:val="nil"/>
              <w:left w:val="nil"/>
              <w:bottom w:val="double" w:sz="6" w:space="0" w:color="auto"/>
              <w:right w:val="dotted" w:sz="4" w:space="0" w:color="auto"/>
            </w:tcBorders>
            <w:shd w:val="clear" w:color="000000" w:fill="FFFFFF"/>
            <w:vAlign w:val="center"/>
            <w:hideMark/>
          </w:tcPr>
          <w:p w14:paraId="31ED4D54" w14:textId="77777777" w:rsidR="00247CBF" w:rsidRPr="00092ED7" w:rsidRDefault="00247CBF" w:rsidP="00247CBF">
            <w:pPr>
              <w:spacing w:after="0"/>
              <w:jc w:val="right"/>
              <w:rPr>
                <w:sz w:val="20"/>
                <w:lang w:val="sr-Cyrl-CS"/>
              </w:rPr>
            </w:pPr>
            <w:r w:rsidRPr="00092ED7">
              <w:rPr>
                <w:sz w:val="20"/>
                <w:lang w:val="sr-Cyrl-CS"/>
              </w:rPr>
              <w:t>0,0</w:t>
            </w:r>
          </w:p>
        </w:tc>
        <w:tc>
          <w:tcPr>
            <w:tcW w:w="437" w:type="pct"/>
            <w:gridSpan w:val="2"/>
            <w:tcBorders>
              <w:top w:val="nil"/>
              <w:left w:val="nil"/>
              <w:bottom w:val="double" w:sz="6" w:space="0" w:color="auto"/>
              <w:right w:val="dotted" w:sz="4" w:space="0" w:color="auto"/>
            </w:tcBorders>
            <w:shd w:val="clear" w:color="000000" w:fill="FFFFFF"/>
            <w:vAlign w:val="center"/>
            <w:hideMark/>
          </w:tcPr>
          <w:p w14:paraId="77BC7078" w14:textId="77777777" w:rsidR="00247CBF" w:rsidRPr="00092ED7" w:rsidRDefault="00247CBF" w:rsidP="00247CBF">
            <w:pPr>
              <w:spacing w:after="0"/>
              <w:jc w:val="right"/>
              <w:rPr>
                <w:sz w:val="20"/>
                <w:lang w:val="sr-Cyrl-CS"/>
              </w:rPr>
            </w:pPr>
            <w:r w:rsidRPr="00092ED7">
              <w:rPr>
                <w:sz w:val="20"/>
                <w:lang w:val="sr-Cyrl-CS"/>
              </w:rPr>
              <w:t>0,0</w:t>
            </w:r>
          </w:p>
        </w:tc>
        <w:tc>
          <w:tcPr>
            <w:tcW w:w="437" w:type="pct"/>
            <w:gridSpan w:val="2"/>
            <w:tcBorders>
              <w:top w:val="nil"/>
              <w:left w:val="nil"/>
              <w:bottom w:val="double" w:sz="6" w:space="0" w:color="auto"/>
              <w:right w:val="dotted" w:sz="4" w:space="0" w:color="auto"/>
            </w:tcBorders>
            <w:shd w:val="clear" w:color="000000" w:fill="FFFFFF"/>
            <w:vAlign w:val="center"/>
            <w:hideMark/>
          </w:tcPr>
          <w:p w14:paraId="1333AD73" w14:textId="77777777" w:rsidR="00247CBF" w:rsidRPr="00092ED7" w:rsidRDefault="00247CBF" w:rsidP="00247CBF">
            <w:pPr>
              <w:spacing w:after="0"/>
              <w:jc w:val="right"/>
              <w:rPr>
                <w:sz w:val="20"/>
                <w:lang w:val="sr-Cyrl-CS"/>
              </w:rPr>
            </w:pPr>
            <w:r w:rsidRPr="00092ED7">
              <w:rPr>
                <w:sz w:val="20"/>
                <w:lang w:val="sr-Cyrl-CS"/>
              </w:rPr>
              <w:t>0,0</w:t>
            </w:r>
          </w:p>
        </w:tc>
        <w:tc>
          <w:tcPr>
            <w:tcW w:w="437" w:type="pct"/>
            <w:gridSpan w:val="2"/>
            <w:tcBorders>
              <w:top w:val="nil"/>
              <w:left w:val="nil"/>
              <w:bottom w:val="double" w:sz="6" w:space="0" w:color="auto"/>
              <w:right w:val="double" w:sz="6" w:space="0" w:color="auto"/>
            </w:tcBorders>
            <w:shd w:val="clear" w:color="000000" w:fill="FFFFFF"/>
            <w:vAlign w:val="center"/>
            <w:hideMark/>
          </w:tcPr>
          <w:p w14:paraId="4091C003" w14:textId="77777777" w:rsidR="00247CBF" w:rsidRPr="00092ED7" w:rsidRDefault="00247CBF" w:rsidP="00247CBF">
            <w:pPr>
              <w:spacing w:after="0"/>
              <w:jc w:val="right"/>
              <w:rPr>
                <w:sz w:val="20"/>
                <w:lang w:val="sr-Cyrl-CS"/>
              </w:rPr>
            </w:pPr>
            <w:r w:rsidRPr="00092ED7">
              <w:rPr>
                <w:sz w:val="20"/>
                <w:lang w:val="sr-Cyrl-CS"/>
              </w:rPr>
              <w:t>-0,6</w:t>
            </w:r>
          </w:p>
        </w:tc>
      </w:tr>
    </w:tbl>
    <w:p w14:paraId="746044EF" w14:textId="77777777" w:rsidR="00247CBF" w:rsidRPr="00092ED7" w:rsidRDefault="00247CBF" w:rsidP="00247CBF">
      <w:pPr>
        <w:rPr>
          <w:rFonts w:cs="Times New Roman"/>
          <w:lang w:val="sr-Cyrl-CS"/>
        </w:rPr>
      </w:pPr>
    </w:p>
    <w:p w14:paraId="2C417691" w14:textId="77777777" w:rsidR="00247CBF" w:rsidRPr="00092ED7" w:rsidRDefault="00247CBF" w:rsidP="00247CBF">
      <w:pPr>
        <w:rPr>
          <w:rFonts w:cs="Times New Roman"/>
          <w:lang w:val="sr-Cyrl-CS"/>
        </w:rPr>
      </w:pPr>
    </w:p>
    <w:tbl>
      <w:tblPr>
        <w:tblW w:w="5011" w:type="pct"/>
        <w:tblLook w:val="04A0" w:firstRow="1" w:lastRow="0" w:firstColumn="1" w:lastColumn="0" w:noHBand="0" w:noVBand="1"/>
      </w:tblPr>
      <w:tblGrid>
        <w:gridCol w:w="24"/>
        <w:gridCol w:w="6075"/>
        <w:gridCol w:w="1416"/>
        <w:gridCol w:w="1308"/>
        <w:gridCol w:w="111"/>
        <w:gridCol w:w="1075"/>
        <w:gridCol w:w="342"/>
        <w:gridCol w:w="844"/>
        <w:gridCol w:w="575"/>
        <w:gridCol w:w="610"/>
        <w:gridCol w:w="806"/>
        <w:gridCol w:w="1384"/>
        <w:gridCol w:w="32"/>
      </w:tblGrid>
      <w:tr w:rsidR="00247CBF" w:rsidRPr="00092ED7" w14:paraId="35384200" w14:textId="77777777" w:rsidTr="00247CBF">
        <w:trPr>
          <w:gridAfter w:val="1"/>
          <w:wAfter w:w="11" w:type="pct"/>
          <w:trHeight w:val="315"/>
        </w:trPr>
        <w:tc>
          <w:tcPr>
            <w:tcW w:w="2573" w:type="pct"/>
            <w:gridSpan w:val="3"/>
            <w:tcBorders>
              <w:top w:val="nil"/>
              <w:left w:val="nil"/>
              <w:bottom w:val="nil"/>
              <w:right w:val="nil"/>
            </w:tcBorders>
            <w:shd w:val="clear" w:color="000000" w:fill="FFFFFF"/>
            <w:noWrap/>
            <w:vAlign w:val="bottom"/>
            <w:hideMark/>
          </w:tcPr>
          <w:p w14:paraId="666E6853"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1e: БДП, инвестиције и бруто додата вредност</w:t>
            </w:r>
          </w:p>
        </w:tc>
        <w:tc>
          <w:tcPr>
            <w:tcW w:w="448" w:type="pct"/>
            <w:tcBorders>
              <w:top w:val="nil"/>
              <w:left w:val="nil"/>
              <w:bottom w:val="nil"/>
              <w:right w:val="nil"/>
            </w:tcBorders>
            <w:shd w:val="clear" w:color="000000" w:fill="FFFFFF"/>
            <w:noWrap/>
            <w:vAlign w:val="bottom"/>
            <w:hideMark/>
          </w:tcPr>
          <w:p w14:paraId="34A5153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gridSpan w:val="2"/>
            <w:tcBorders>
              <w:top w:val="nil"/>
              <w:left w:val="nil"/>
              <w:bottom w:val="nil"/>
              <w:right w:val="nil"/>
            </w:tcBorders>
            <w:shd w:val="clear" w:color="000000" w:fill="FFFFFF"/>
            <w:noWrap/>
            <w:vAlign w:val="bottom"/>
            <w:hideMark/>
          </w:tcPr>
          <w:p w14:paraId="3C2BA96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gridSpan w:val="2"/>
            <w:tcBorders>
              <w:top w:val="nil"/>
              <w:left w:val="nil"/>
              <w:bottom w:val="nil"/>
              <w:right w:val="nil"/>
            </w:tcBorders>
            <w:shd w:val="clear" w:color="000000" w:fill="FFFFFF"/>
            <w:noWrap/>
            <w:vAlign w:val="bottom"/>
            <w:hideMark/>
          </w:tcPr>
          <w:p w14:paraId="720DFC9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gridSpan w:val="2"/>
            <w:tcBorders>
              <w:top w:val="nil"/>
              <w:left w:val="nil"/>
              <w:bottom w:val="nil"/>
              <w:right w:val="nil"/>
            </w:tcBorders>
            <w:shd w:val="clear" w:color="000000" w:fill="FFFFFF"/>
            <w:noWrap/>
            <w:vAlign w:val="bottom"/>
            <w:hideMark/>
          </w:tcPr>
          <w:p w14:paraId="1DA07E4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750" w:type="pct"/>
            <w:gridSpan w:val="2"/>
            <w:tcBorders>
              <w:top w:val="nil"/>
              <w:left w:val="nil"/>
              <w:bottom w:val="nil"/>
              <w:right w:val="nil"/>
            </w:tcBorders>
            <w:shd w:val="clear" w:color="000000" w:fill="FFFFFF"/>
            <w:noWrap/>
            <w:vAlign w:val="bottom"/>
            <w:hideMark/>
          </w:tcPr>
          <w:p w14:paraId="31195E0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2FEA1245" w14:textId="77777777" w:rsidTr="00247CBF">
        <w:trPr>
          <w:gridBefore w:val="1"/>
          <w:wBefore w:w="8" w:type="pct"/>
          <w:trHeight w:val="280"/>
        </w:trPr>
        <w:tc>
          <w:tcPr>
            <w:tcW w:w="2080" w:type="pct"/>
            <w:tcBorders>
              <w:top w:val="double" w:sz="6" w:space="0" w:color="auto"/>
              <w:left w:val="double" w:sz="6" w:space="0" w:color="auto"/>
              <w:bottom w:val="nil"/>
              <w:right w:val="dotted" w:sz="4" w:space="0" w:color="auto"/>
            </w:tcBorders>
            <w:shd w:val="clear" w:color="000000" w:fill="FFFFFF"/>
            <w:vAlign w:val="bottom"/>
            <w:hideMark/>
          </w:tcPr>
          <w:p w14:paraId="4A48DA95" w14:textId="77777777" w:rsidR="00247CBF" w:rsidRPr="00092ED7" w:rsidRDefault="00247CBF" w:rsidP="00247CBF">
            <w:pPr>
              <w:spacing w:after="0"/>
              <w:rPr>
                <w:rFonts w:eastAsia="Times New Roman" w:cs="Times New Roman"/>
                <w:sz w:val="20"/>
                <w:szCs w:val="20"/>
                <w:lang w:val="sr-Cyrl-CS"/>
              </w:rPr>
            </w:pPr>
          </w:p>
        </w:tc>
        <w:tc>
          <w:tcPr>
            <w:tcW w:w="485" w:type="pct"/>
            <w:vMerge w:val="restart"/>
            <w:tcBorders>
              <w:top w:val="double" w:sz="6" w:space="0" w:color="auto"/>
              <w:left w:val="nil"/>
              <w:right w:val="double" w:sz="6" w:space="0" w:color="auto"/>
            </w:tcBorders>
            <w:shd w:val="clear" w:color="000000" w:fill="FFFFFF"/>
            <w:vAlign w:val="center"/>
            <w:hideMark/>
          </w:tcPr>
          <w:p w14:paraId="67F6652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ESA шифра</w:t>
            </w:r>
          </w:p>
        </w:tc>
        <w:tc>
          <w:tcPr>
            <w:tcW w:w="486" w:type="pct"/>
            <w:gridSpan w:val="2"/>
            <w:tcBorders>
              <w:top w:val="double" w:sz="6" w:space="0" w:color="auto"/>
              <w:left w:val="nil"/>
              <w:bottom w:val="nil"/>
              <w:right w:val="dotted" w:sz="4" w:space="0" w:color="auto"/>
            </w:tcBorders>
            <w:shd w:val="clear" w:color="000000" w:fill="FFFFFF"/>
            <w:vAlign w:val="center"/>
            <w:hideMark/>
          </w:tcPr>
          <w:p w14:paraId="7292D5D7" w14:textId="77777777" w:rsidR="00247CBF" w:rsidRPr="00092ED7" w:rsidRDefault="00247CBF" w:rsidP="00247CBF">
            <w:pPr>
              <w:spacing w:after="0"/>
              <w:jc w:val="center"/>
              <w:rPr>
                <w:sz w:val="20"/>
                <w:lang w:val="sr-Cyrl-CS"/>
              </w:rPr>
            </w:pPr>
            <w:r w:rsidRPr="00092ED7">
              <w:rPr>
                <w:sz w:val="20"/>
                <w:lang w:val="sr-Cyrl-CS"/>
              </w:rPr>
              <w:t>Година</w:t>
            </w:r>
          </w:p>
        </w:tc>
        <w:tc>
          <w:tcPr>
            <w:tcW w:w="485" w:type="pct"/>
            <w:gridSpan w:val="2"/>
            <w:tcBorders>
              <w:top w:val="double" w:sz="6" w:space="0" w:color="auto"/>
              <w:left w:val="nil"/>
              <w:bottom w:val="nil"/>
              <w:right w:val="dotted" w:sz="4" w:space="0" w:color="auto"/>
            </w:tcBorders>
            <w:shd w:val="clear" w:color="000000" w:fill="FFFFFF"/>
            <w:vAlign w:val="center"/>
            <w:hideMark/>
          </w:tcPr>
          <w:p w14:paraId="0622890D" w14:textId="77777777" w:rsidR="00247CBF" w:rsidRPr="00092ED7" w:rsidRDefault="00247CBF" w:rsidP="00247CBF">
            <w:pPr>
              <w:spacing w:after="0"/>
              <w:jc w:val="center"/>
              <w:rPr>
                <w:sz w:val="20"/>
                <w:lang w:val="sr-Cyrl-CS"/>
              </w:rPr>
            </w:pPr>
            <w:r w:rsidRPr="00092ED7">
              <w:rPr>
                <w:sz w:val="20"/>
                <w:lang w:val="sr-Cyrl-CS"/>
              </w:rPr>
              <w:t>Година</w:t>
            </w:r>
          </w:p>
        </w:tc>
        <w:tc>
          <w:tcPr>
            <w:tcW w:w="486" w:type="pct"/>
            <w:gridSpan w:val="2"/>
            <w:tcBorders>
              <w:top w:val="double" w:sz="6" w:space="0" w:color="auto"/>
              <w:left w:val="nil"/>
              <w:bottom w:val="nil"/>
              <w:right w:val="dotted" w:sz="4" w:space="0" w:color="auto"/>
            </w:tcBorders>
            <w:shd w:val="clear" w:color="000000" w:fill="FFFFFF"/>
            <w:vAlign w:val="center"/>
            <w:hideMark/>
          </w:tcPr>
          <w:p w14:paraId="75F07995" w14:textId="77777777" w:rsidR="00247CBF" w:rsidRPr="00092ED7" w:rsidRDefault="00247CBF" w:rsidP="00247CBF">
            <w:pPr>
              <w:spacing w:after="0"/>
              <w:jc w:val="center"/>
              <w:rPr>
                <w:sz w:val="20"/>
                <w:lang w:val="sr-Cyrl-CS"/>
              </w:rPr>
            </w:pPr>
            <w:r w:rsidRPr="00092ED7">
              <w:rPr>
                <w:sz w:val="20"/>
                <w:lang w:val="sr-Cyrl-CS"/>
              </w:rPr>
              <w:t>Година</w:t>
            </w:r>
          </w:p>
        </w:tc>
        <w:tc>
          <w:tcPr>
            <w:tcW w:w="485" w:type="pct"/>
            <w:gridSpan w:val="2"/>
            <w:tcBorders>
              <w:top w:val="double" w:sz="6" w:space="0" w:color="auto"/>
              <w:left w:val="nil"/>
              <w:bottom w:val="nil"/>
              <w:right w:val="dotted" w:sz="4" w:space="0" w:color="auto"/>
            </w:tcBorders>
            <w:shd w:val="clear" w:color="000000" w:fill="FFFFFF"/>
            <w:vAlign w:val="center"/>
            <w:hideMark/>
          </w:tcPr>
          <w:p w14:paraId="25753C5F" w14:textId="77777777" w:rsidR="00247CBF" w:rsidRPr="00092ED7" w:rsidRDefault="00247CBF" w:rsidP="00247CBF">
            <w:pPr>
              <w:spacing w:after="0"/>
              <w:jc w:val="center"/>
              <w:rPr>
                <w:sz w:val="20"/>
                <w:lang w:val="sr-Cyrl-CS"/>
              </w:rPr>
            </w:pPr>
            <w:r w:rsidRPr="00092ED7">
              <w:rPr>
                <w:sz w:val="20"/>
                <w:lang w:val="sr-Cyrl-CS"/>
              </w:rPr>
              <w:t>Година</w:t>
            </w:r>
          </w:p>
        </w:tc>
        <w:tc>
          <w:tcPr>
            <w:tcW w:w="485" w:type="pct"/>
            <w:gridSpan w:val="2"/>
            <w:tcBorders>
              <w:top w:val="double" w:sz="6" w:space="0" w:color="auto"/>
              <w:left w:val="nil"/>
              <w:bottom w:val="nil"/>
              <w:right w:val="double" w:sz="6" w:space="0" w:color="auto"/>
            </w:tcBorders>
            <w:shd w:val="clear" w:color="000000" w:fill="FFFFFF"/>
            <w:vAlign w:val="center"/>
            <w:hideMark/>
          </w:tcPr>
          <w:p w14:paraId="1D99CA14" w14:textId="77777777" w:rsidR="00247CBF" w:rsidRPr="00092ED7" w:rsidRDefault="00247CBF" w:rsidP="00247CBF">
            <w:pPr>
              <w:spacing w:after="0"/>
              <w:jc w:val="center"/>
              <w:rPr>
                <w:sz w:val="20"/>
                <w:lang w:val="sr-Cyrl-CS"/>
              </w:rPr>
            </w:pPr>
            <w:r w:rsidRPr="00092ED7">
              <w:rPr>
                <w:sz w:val="20"/>
                <w:lang w:val="sr-Cyrl-CS"/>
              </w:rPr>
              <w:t>Година</w:t>
            </w:r>
          </w:p>
        </w:tc>
      </w:tr>
      <w:tr w:rsidR="00247CBF" w:rsidRPr="00092ED7" w14:paraId="25D68097" w14:textId="77777777" w:rsidTr="00247CBF">
        <w:trPr>
          <w:gridBefore w:val="1"/>
          <w:wBefore w:w="8" w:type="pct"/>
          <w:trHeight w:val="70"/>
        </w:trPr>
        <w:tc>
          <w:tcPr>
            <w:tcW w:w="2080" w:type="pct"/>
            <w:tcBorders>
              <w:top w:val="nil"/>
              <w:left w:val="double" w:sz="6" w:space="0" w:color="auto"/>
              <w:bottom w:val="nil"/>
              <w:right w:val="dotted" w:sz="4" w:space="0" w:color="auto"/>
            </w:tcBorders>
            <w:shd w:val="clear" w:color="000000" w:fill="FFFFFF"/>
            <w:vAlign w:val="bottom"/>
            <w:hideMark/>
          </w:tcPr>
          <w:p w14:paraId="41CBB2F7" w14:textId="77777777" w:rsidR="00247CBF" w:rsidRPr="00092ED7" w:rsidRDefault="00247CBF" w:rsidP="00247CBF">
            <w:pPr>
              <w:spacing w:after="0"/>
              <w:rPr>
                <w:rFonts w:eastAsia="Times New Roman" w:cs="Times New Roman"/>
                <w:sz w:val="20"/>
                <w:szCs w:val="20"/>
                <w:lang w:val="sr-Cyrl-CS"/>
              </w:rPr>
            </w:pPr>
          </w:p>
        </w:tc>
        <w:tc>
          <w:tcPr>
            <w:tcW w:w="485" w:type="pct"/>
            <w:vMerge/>
            <w:tcBorders>
              <w:left w:val="nil"/>
              <w:bottom w:val="nil"/>
              <w:right w:val="double" w:sz="6" w:space="0" w:color="auto"/>
            </w:tcBorders>
            <w:shd w:val="clear" w:color="000000" w:fill="FFFFFF"/>
            <w:vAlign w:val="bottom"/>
            <w:hideMark/>
          </w:tcPr>
          <w:p w14:paraId="3E9D75A9" w14:textId="77777777" w:rsidR="00247CBF" w:rsidRPr="00092ED7" w:rsidRDefault="00247CBF" w:rsidP="00247CBF">
            <w:pPr>
              <w:spacing w:after="0"/>
              <w:rPr>
                <w:rFonts w:eastAsia="Times New Roman" w:cs="Times New Roman"/>
                <w:sz w:val="20"/>
                <w:szCs w:val="20"/>
                <w:lang w:val="sr-Cyrl-CS"/>
              </w:rPr>
            </w:pPr>
          </w:p>
        </w:tc>
        <w:tc>
          <w:tcPr>
            <w:tcW w:w="486" w:type="pct"/>
            <w:gridSpan w:val="2"/>
            <w:tcBorders>
              <w:top w:val="nil"/>
              <w:left w:val="nil"/>
              <w:bottom w:val="nil"/>
              <w:right w:val="dotted" w:sz="4" w:space="0" w:color="auto"/>
            </w:tcBorders>
            <w:shd w:val="clear" w:color="000000" w:fill="FFFFFF"/>
            <w:vAlign w:val="center"/>
            <w:hideMark/>
          </w:tcPr>
          <w:p w14:paraId="39B7BC9F" w14:textId="77777777" w:rsidR="00247CBF" w:rsidRPr="00092ED7" w:rsidRDefault="00247CBF" w:rsidP="00247CBF">
            <w:pPr>
              <w:spacing w:after="0"/>
              <w:jc w:val="center"/>
              <w:rPr>
                <w:sz w:val="20"/>
                <w:szCs w:val="20"/>
                <w:lang w:val="sr-Cyrl-CS"/>
              </w:rPr>
            </w:pPr>
            <w:r w:rsidRPr="00092ED7">
              <w:rPr>
                <w:sz w:val="20"/>
                <w:szCs w:val="20"/>
                <w:lang w:val="sr-Cyrl-CS"/>
              </w:rPr>
              <w:t>2021</w:t>
            </w:r>
          </w:p>
        </w:tc>
        <w:tc>
          <w:tcPr>
            <w:tcW w:w="485" w:type="pct"/>
            <w:gridSpan w:val="2"/>
            <w:tcBorders>
              <w:top w:val="nil"/>
              <w:left w:val="nil"/>
              <w:bottom w:val="nil"/>
              <w:right w:val="dotted" w:sz="4" w:space="0" w:color="auto"/>
            </w:tcBorders>
            <w:shd w:val="clear" w:color="000000" w:fill="FFFFFF"/>
            <w:vAlign w:val="center"/>
            <w:hideMark/>
          </w:tcPr>
          <w:p w14:paraId="58CBECA3" w14:textId="77777777" w:rsidR="00247CBF" w:rsidRPr="00092ED7" w:rsidRDefault="00247CBF" w:rsidP="00247CBF">
            <w:pPr>
              <w:spacing w:after="0"/>
              <w:jc w:val="center"/>
              <w:rPr>
                <w:sz w:val="20"/>
                <w:szCs w:val="20"/>
                <w:lang w:val="sr-Cyrl-CS"/>
              </w:rPr>
            </w:pPr>
            <w:r w:rsidRPr="00092ED7">
              <w:rPr>
                <w:sz w:val="20"/>
                <w:szCs w:val="20"/>
                <w:lang w:val="sr-Cyrl-CS"/>
              </w:rPr>
              <w:t>2022</w:t>
            </w:r>
          </w:p>
        </w:tc>
        <w:tc>
          <w:tcPr>
            <w:tcW w:w="486" w:type="pct"/>
            <w:gridSpan w:val="2"/>
            <w:tcBorders>
              <w:top w:val="nil"/>
              <w:left w:val="nil"/>
              <w:bottom w:val="nil"/>
              <w:right w:val="dotted" w:sz="4" w:space="0" w:color="auto"/>
            </w:tcBorders>
            <w:shd w:val="clear" w:color="000000" w:fill="FFFFFF"/>
            <w:vAlign w:val="center"/>
            <w:hideMark/>
          </w:tcPr>
          <w:p w14:paraId="224210FE" w14:textId="77777777" w:rsidR="00247CBF" w:rsidRPr="00092ED7" w:rsidRDefault="00247CBF" w:rsidP="00247CBF">
            <w:pPr>
              <w:spacing w:after="0"/>
              <w:jc w:val="center"/>
              <w:rPr>
                <w:sz w:val="20"/>
                <w:szCs w:val="20"/>
                <w:lang w:val="sr-Cyrl-CS"/>
              </w:rPr>
            </w:pPr>
            <w:r w:rsidRPr="00092ED7">
              <w:rPr>
                <w:sz w:val="20"/>
                <w:szCs w:val="20"/>
                <w:lang w:val="sr-Cyrl-CS"/>
              </w:rPr>
              <w:t>2023</w:t>
            </w:r>
          </w:p>
        </w:tc>
        <w:tc>
          <w:tcPr>
            <w:tcW w:w="485" w:type="pct"/>
            <w:gridSpan w:val="2"/>
            <w:tcBorders>
              <w:top w:val="nil"/>
              <w:left w:val="nil"/>
              <w:bottom w:val="nil"/>
              <w:right w:val="dotted" w:sz="4" w:space="0" w:color="auto"/>
            </w:tcBorders>
            <w:shd w:val="clear" w:color="000000" w:fill="FFFFFF"/>
            <w:vAlign w:val="center"/>
            <w:hideMark/>
          </w:tcPr>
          <w:p w14:paraId="5B92A9B4" w14:textId="77777777" w:rsidR="00247CBF" w:rsidRPr="00092ED7" w:rsidRDefault="00247CBF" w:rsidP="00247CBF">
            <w:pPr>
              <w:spacing w:after="0"/>
              <w:jc w:val="center"/>
              <w:rPr>
                <w:sz w:val="20"/>
                <w:szCs w:val="20"/>
                <w:lang w:val="sr-Cyrl-CS"/>
              </w:rPr>
            </w:pPr>
            <w:r w:rsidRPr="00092ED7">
              <w:rPr>
                <w:sz w:val="20"/>
                <w:szCs w:val="20"/>
                <w:lang w:val="sr-Cyrl-CS"/>
              </w:rPr>
              <w:t>2024</w:t>
            </w:r>
          </w:p>
        </w:tc>
        <w:tc>
          <w:tcPr>
            <w:tcW w:w="485" w:type="pct"/>
            <w:gridSpan w:val="2"/>
            <w:tcBorders>
              <w:top w:val="nil"/>
              <w:left w:val="nil"/>
              <w:bottom w:val="nil"/>
              <w:right w:val="double" w:sz="6" w:space="0" w:color="auto"/>
            </w:tcBorders>
            <w:shd w:val="clear" w:color="000000" w:fill="FFFFFF"/>
            <w:vAlign w:val="center"/>
            <w:hideMark/>
          </w:tcPr>
          <w:p w14:paraId="24853888" w14:textId="77777777" w:rsidR="00247CBF" w:rsidRPr="00092ED7" w:rsidRDefault="00247CBF" w:rsidP="00247CBF">
            <w:pPr>
              <w:spacing w:after="0"/>
              <w:jc w:val="center"/>
              <w:rPr>
                <w:sz w:val="20"/>
                <w:szCs w:val="20"/>
                <w:lang w:val="sr-Cyrl-CS"/>
              </w:rPr>
            </w:pPr>
            <w:r w:rsidRPr="00092ED7">
              <w:rPr>
                <w:sz w:val="20"/>
                <w:szCs w:val="20"/>
                <w:lang w:val="sr-Cyrl-CS"/>
              </w:rPr>
              <w:t>2025</w:t>
            </w:r>
          </w:p>
        </w:tc>
      </w:tr>
      <w:tr w:rsidR="00247CBF" w:rsidRPr="00092ED7" w14:paraId="4A87AD90" w14:textId="77777777" w:rsidTr="00247CBF">
        <w:trPr>
          <w:gridBefore w:val="1"/>
          <w:wBefore w:w="8" w:type="pct"/>
          <w:trHeight w:val="255"/>
        </w:trPr>
        <w:tc>
          <w:tcPr>
            <w:tcW w:w="4992" w:type="pct"/>
            <w:gridSpan w:val="12"/>
            <w:tcBorders>
              <w:top w:val="single" w:sz="4" w:space="0" w:color="auto"/>
              <w:left w:val="double" w:sz="6" w:space="0" w:color="auto"/>
              <w:bottom w:val="single" w:sz="4" w:space="0" w:color="auto"/>
              <w:right w:val="double" w:sz="6" w:space="0" w:color="000000"/>
            </w:tcBorders>
            <w:shd w:val="clear" w:color="000000" w:fill="FFFFFF"/>
            <w:vAlign w:val="center"/>
            <w:hideMark/>
          </w:tcPr>
          <w:p w14:paraId="310FE9C3"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БДП и инвестиције</w:t>
            </w:r>
          </w:p>
        </w:tc>
      </w:tr>
      <w:tr w:rsidR="00247CBF" w:rsidRPr="00092ED7" w14:paraId="64E0EA25" w14:textId="77777777" w:rsidTr="00247CBF">
        <w:trPr>
          <w:gridBefore w:val="1"/>
          <w:wBefore w:w="8" w:type="pct"/>
          <w:trHeight w:val="390"/>
        </w:trPr>
        <w:tc>
          <w:tcPr>
            <w:tcW w:w="2080" w:type="pct"/>
            <w:tcBorders>
              <w:top w:val="nil"/>
              <w:left w:val="double" w:sz="6" w:space="0" w:color="auto"/>
              <w:bottom w:val="dotted" w:sz="4" w:space="0" w:color="auto"/>
              <w:right w:val="dotted" w:sz="4" w:space="0" w:color="auto"/>
            </w:tcBorders>
            <w:shd w:val="clear" w:color="000000" w:fill="FFFFFF"/>
            <w:vAlign w:val="center"/>
            <w:hideMark/>
          </w:tcPr>
          <w:p w14:paraId="521A515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Висина БДП-а по текућим тржишним ценама (у домаћој валути)</w:t>
            </w:r>
          </w:p>
        </w:tc>
        <w:tc>
          <w:tcPr>
            <w:tcW w:w="485" w:type="pct"/>
            <w:tcBorders>
              <w:top w:val="nil"/>
              <w:left w:val="nil"/>
              <w:bottom w:val="dotted" w:sz="4" w:space="0" w:color="auto"/>
              <w:right w:val="nil"/>
            </w:tcBorders>
            <w:shd w:val="clear" w:color="000000" w:fill="FFFFFF"/>
            <w:vAlign w:val="center"/>
            <w:hideMark/>
          </w:tcPr>
          <w:p w14:paraId="56AF6340"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B1g</w:t>
            </w:r>
          </w:p>
        </w:tc>
        <w:tc>
          <w:tcPr>
            <w:tcW w:w="486" w:type="pct"/>
            <w:gridSpan w:val="2"/>
            <w:tcBorders>
              <w:top w:val="nil"/>
              <w:left w:val="double" w:sz="6" w:space="0" w:color="auto"/>
              <w:bottom w:val="dotted" w:sz="4" w:space="0" w:color="auto"/>
              <w:right w:val="dotted" w:sz="4" w:space="0" w:color="auto"/>
            </w:tcBorders>
            <w:shd w:val="clear" w:color="000000" w:fill="FFFFFF"/>
            <w:vAlign w:val="center"/>
            <w:hideMark/>
          </w:tcPr>
          <w:p w14:paraId="217F76A1" w14:textId="77777777" w:rsidR="00247CBF" w:rsidRPr="00092ED7" w:rsidRDefault="00247CBF" w:rsidP="00247CBF">
            <w:pPr>
              <w:spacing w:after="0"/>
              <w:jc w:val="right"/>
              <w:rPr>
                <w:sz w:val="20"/>
                <w:szCs w:val="20"/>
                <w:lang w:val="sr-Cyrl-CS"/>
              </w:rPr>
            </w:pPr>
            <w:r w:rsidRPr="00092ED7">
              <w:rPr>
                <w:sz w:val="20"/>
                <w:szCs w:val="20"/>
                <w:lang w:val="sr-Cyrl-CS"/>
              </w:rPr>
              <w:t>6.270,1</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31F6B2F0" w14:textId="77777777" w:rsidR="00247CBF" w:rsidRPr="00092ED7" w:rsidRDefault="00247CBF" w:rsidP="00247CBF">
            <w:pPr>
              <w:spacing w:after="0"/>
              <w:jc w:val="right"/>
              <w:rPr>
                <w:sz w:val="20"/>
                <w:szCs w:val="20"/>
                <w:lang w:val="sr-Cyrl-CS"/>
              </w:rPr>
            </w:pPr>
            <w:r w:rsidRPr="00092ED7">
              <w:rPr>
                <w:sz w:val="20"/>
                <w:szCs w:val="20"/>
                <w:lang w:val="sr-Cyrl-CS"/>
              </w:rPr>
              <w:t>7.082,5</w:t>
            </w:r>
          </w:p>
        </w:tc>
        <w:tc>
          <w:tcPr>
            <w:tcW w:w="486" w:type="pct"/>
            <w:gridSpan w:val="2"/>
            <w:tcBorders>
              <w:top w:val="nil"/>
              <w:left w:val="nil"/>
              <w:bottom w:val="dotted" w:sz="4" w:space="0" w:color="auto"/>
              <w:right w:val="dotted" w:sz="4" w:space="0" w:color="auto"/>
            </w:tcBorders>
            <w:shd w:val="clear" w:color="000000" w:fill="FFFFFF"/>
            <w:vAlign w:val="center"/>
            <w:hideMark/>
          </w:tcPr>
          <w:p w14:paraId="603B80B8" w14:textId="77777777" w:rsidR="00247CBF" w:rsidRPr="00092ED7" w:rsidRDefault="00247CBF" w:rsidP="00247CBF">
            <w:pPr>
              <w:spacing w:after="0"/>
              <w:jc w:val="right"/>
              <w:rPr>
                <w:sz w:val="20"/>
                <w:szCs w:val="20"/>
                <w:lang w:val="sr-Cyrl-CS"/>
              </w:rPr>
            </w:pPr>
            <w:r w:rsidRPr="00092ED7">
              <w:rPr>
                <w:sz w:val="20"/>
                <w:szCs w:val="20"/>
                <w:lang w:val="sr-Cyrl-CS"/>
              </w:rPr>
              <w:t>8.025,1</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65C60362" w14:textId="77777777" w:rsidR="00247CBF" w:rsidRPr="00092ED7" w:rsidRDefault="00247CBF" w:rsidP="00247CBF">
            <w:pPr>
              <w:spacing w:after="0"/>
              <w:jc w:val="right"/>
              <w:rPr>
                <w:sz w:val="20"/>
                <w:szCs w:val="20"/>
                <w:lang w:val="sr-Cyrl-CS"/>
              </w:rPr>
            </w:pPr>
            <w:r w:rsidRPr="00092ED7">
              <w:rPr>
                <w:sz w:val="20"/>
                <w:szCs w:val="20"/>
                <w:lang w:val="sr-Cyrl-CS"/>
              </w:rPr>
              <w:t>8.776,3</w:t>
            </w:r>
          </w:p>
        </w:tc>
        <w:tc>
          <w:tcPr>
            <w:tcW w:w="485" w:type="pct"/>
            <w:gridSpan w:val="2"/>
            <w:tcBorders>
              <w:top w:val="nil"/>
              <w:left w:val="nil"/>
              <w:bottom w:val="dotted" w:sz="4" w:space="0" w:color="auto"/>
              <w:right w:val="double" w:sz="6" w:space="0" w:color="auto"/>
            </w:tcBorders>
            <w:shd w:val="clear" w:color="000000" w:fill="FFFFFF"/>
            <w:vAlign w:val="center"/>
            <w:hideMark/>
          </w:tcPr>
          <w:p w14:paraId="787CC00F" w14:textId="77777777" w:rsidR="00247CBF" w:rsidRPr="00092ED7" w:rsidRDefault="00247CBF" w:rsidP="00247CBF">
            <w:pPr>
              <w:spacing w:after="0"/>
              <w:jc w:val="right"/>
              <w:rPr>
                <w:sz w:val="20"/>
                <w:szCs w:val="20"/>
                <w:lang w:val="sr-Cyrl-CS"/>
              </w:rPr>
            </w:pPr>
            <w:r w:rsidRPr="00092ED7">
              <w:rPr>
                <w:sz w:val="20"/>
                <w:szCs w:val="20"/>
                <w:lang w:val="sr-Cyrl-CS"/>
              </w:rPr>
              <w:t>9.519,4</w:t>
            </w:r>
          </w:p>
        </w:tc>
      </w:tr>
      <w:tr w:rsidR="00247CBF" w:rsidRPr="00092ED7" w14:paraId="012F9438" w14:textId="77777777" w:rsidTr="00247CBF">
        <w:trPr>
          <w:gridBefore w:val="1"/>
          <w:wBefore w:w="8" w:type="pct"/>
          <w:trHeight w:val="300"/>
        </w:trPr>
        <w:tc>
          <w:tcPr>
            <w:tcW w:w="2080" w:type="pct"/>
            <w:tcBorders>
              <w:top w:val="nil"/>
              <w:left w:val="double" w:sz="6" w:space="0" w:color="auto"/>
              <w:bottom w:val="nil"/>
              <w:right w:val="dotted" w:sz="4" w:space="0" w:color="auto"/>
            </w:tcBorders>
            <w:shd w:val="clear" w:color="000000" w:fill="FFFFFF"/>
            <w:vAlign w:val="center"/>
            <w:hideMark/>
          </w:tcPr>
          <w:p w14:paraId="23838075"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Учешће инвестиција (% БДП-а)</w:t>
            </w:r>
          </w:p>
        </w:tc>
        <w:tc>
          <w:tcPr>
            <w:tcW w:w="485" w:type="pct"/>
            <w:tcBorders>
              <w:top w:val="nil"/>
              <w:left w:val="nil"/>
              <w:bottom w:val="nil"/>
              <w:right w:val="nil"/>
            </w:tcBorders>
            <w:shd w:val="clear" w:color="000000" w:fill="FFFFFF"/>
            <w:vAlign w:val="center"/>
            <w:hideMark/>
          </w:tcPr>
          <w:p w14:paraId="06E3DB61"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486" w:type="pct"/>
            <w:gridSpan w:val="2"/>
            <w:tcBorders>
              <w:top w:val="nil"/>
              <w:left w:val="double" w:sz="6" w:space="0" w:color="auto"/>
              <w:bottom w:val="nil"/>
              <w:right w:val="dotted" w:sz="4" w:space="0" w:color="auto"/>
            </w:tcBorders>
            <w:shd w:val="clear" w:color="000000" w:fill="FFFFFF"/>
            <w:vAlign w:val="center"/>
            <w:hideMark/>
          </w:tcPr>
          <w:p w14:paraId="6E63C7AA" w14:textId="77777777" w:rsidR="00247CBF" w:rsidRPr="00092ED7" w:rsidRDefault="00247CBF" w:rsidP="00247CBF">
            <w:pPr>
              <w:spacing w:after="0"/>
              <w:jc w:val="right"/>
              <w:rPr>
                <w:sz w:val="20"/>
                <w:szCs w:val="20"/>
                <w:lang w:val="sr-Cyrl-CS"/>
              </w:rPr>
            </w:pPr>
            <w:r w:rsidRPr="00092ED7">
              <w:rPr>
                <w:sz w:val="20"/>
                <w:szCs w:val="20"/>
                <w:lang w:val="sr-Cyrl-CS"/>
              </w:rPr>
              <w:t>23,1</w:t>
            </w:r>
          </w:p>
        </w:tc>
        <w:tc>
          <w:tcPr>
            <w:tcW w:w="485" w:type="pct"/>
            <w:gridSpan w:val="2"/>
            <w:tcBorders>
              <w:top w:val="nil"/>
              <w:left w:val="nil"/>
              <w:bottom w:val="nil"/>
              <w:right w:val="dotted" w:sz="4" w:space="0" w:color="auto"/>
            </w:tcBorders>
            <w:shd w:val="clear" w:color="000000" w:fill="FFFFFF"/>
            <w:vAlign w:val="center"/>
            <w:hideMark/>
          </w:tcPr>
          <w:p w14:paraId="04EFC424" w14:textId="77777777" w:rsidR="00247CBF" w:rsidRPr="00092ED7" w:rsidRDefault="00247CBF" w:rsidP="00247CBF">
            <w:pPr>
              <w:spacing w:after="0"/>
              <w:jc w:val="right"/>
              <w:rPr>
                <w:sz w:val="20"/>
                <w:szCs w:val="20"/>
                <w:lang w:val="sr-Cyrl-CS"/>
              </w:rPr>
            </w:pPr>
            <w:r w:rsidRPr="00092ED7">
              <w:rPr>
                <w:sz w:val="20"/>
                <w:szCs w:val="20"/>
                <w:lang w:val="sr-Cyrl-CS"/>
              </w:rPr>
              <w:t>23,4</w:t>
            </w:r>
          </w:p>
        </w:tc>
        <w:tc>
          <w:tcPr>
            <w:tcW w:w="486" w:type="pct"/>
            <w:gridSpan w:val="2"/>
            <w:tcBorders>
              <w:top w:val="nil"/>
              <w:left w:val="nil"/>
              <w:bottom w:val="nil"/>
              <w:right w:val="dotted" w:sz="4" w:space="0" w:color="auto"/>
            </w:tcBorders>
            <w:shd w:val="clear" w:color="000000" w:fill="FFFFFF"/>
            <w:vAlign w:val="center"/>
            <w:hideMark/>
          </w:tcPr>
          <w:p w14:paraId="7D444475" w14:textId="77777777" w:rsidR="00247CBF" w:rsidRPr="00092ED7" w:rsidRDefault="00247CBF" w:rsidP="00247CBF">
            <w:pPr>
              <w:spacing w:after="0"/>
              <w:jc w:val="right"/>
              <w:rPr>
                <w:sz w:val="20"/>
                <w:szCs w:val="20"/>
                <w:lang w:val="sr-Cyrl-CS"/>
              </w:rPr>
            </w:pPr>
            <w:r w:rsidRPr="00092ED7">
              <w:rPr>
                <w:sz w:val="20"/>
                <w:szCs w:val="20"/>
                <w:lang w:val="sr-Cyrl-CS"/>
              </w:rPr>
              <w:t>22,7</w:t>
            </w:r>
          </w:p>
        </w:tc>
        <w:tc>
          <w:tcPr>
            <w:tcW w:w="485" w:type="pct"/>
            <w:gridSpan w:val="2"/>
            <w:tcBorders>
              <w:top w:val="nil"/>
              <w:left w:val="nil"/>
              <w:bottom w:val="nil"/>
              <w:right w:val="dotted" w:sz="4" w:space="0" w:color="auto"/>
            </w:tcBorders>
            <w:shd w:val="clear" w:color="000000" w:fill="FFFFFF"/>
            <w:vAlign w:val="center"/>
            <w:hideMark/>
          </w:tcPr>
          <w:p w14:paraId="3F03433A" w14:textId="77777777" w:rsidR="00247CBF" w:rsidRPr="00092ED7" w:rsidRDefault="00247CBF" w:rsidP="00247CBF">
            <w:pPr>
              <w:spacing w:after="0"/>
              <w:jc w:val="right"/>
              <w:rPr>
                <w:sz w:val="20"/>
                <w:szCs w:val="20"/>
                <w:lang w:val="sr-Cyrl-CS"/>
              </w:rPr>
            </w:pPr>
            <w:r w:rsidRPr="00092ED7">
              <w:rPr>
                <w:sz w:val="20"/>
                <w:szCs w:val="20"/>
                <w:lang w:val="sr-Cyrl-CS"/>
              </w:rPr>
              <w:t>23,0</w:t>
            </w:r>
          </w:p>
        </w:tc>
        <w:tc>
          <w:tcPr>
            <w:tcW w:w="485" w:type="pct"/>
            <w:gridSpan w:val="2"/>
            <w:tcBorders>
              <w:top w:val="nil"/>
              <w:left w:val="nil"/>
              <w:bottom w:val="nil"/>
              <w:right w:val="double" w:sz="6" w:space="0" w:color="auto"/>
            </w:tcBorders>
            <w:shd w:val="clear" w:color="000000" w:fill="FFFFFF"/>
            <w:vAlign w:val="center"/>
            <w:hideMark/>
          </w:tcPr>
          <w:p w14:paraId="7B36D252" w14:textId="77777777" w:rsidR="00247CBF" w:rsidRPr="00092ED7" w:rsidRDefault="00247CBF" w:rsidP="00247CBF">
            <w:pPr>
              <w:spacing w:after="0"/>
              <w:jc w:val="right"/>
              <w:rPr>
                <w:sz w:val="20"/>
                <w:szCs w:val="20"/>
                <w:lang w:val="sr-Cyrl-CS"/>
              </w:rPr>
            </w:pPr>
            <w:r w:rsidRPr="00092ED7">
              <w:rPr>
                <w:sz w:val="20"/>
                <w:szCs w:val="20"/>
                <w:lang w:val="sr-Cyrl-CS"/>
              </w:rPr>
              <w:t>23,3</w:t>
            </w:r>
          </w:p>
        </w:tc>
      </w:tr>
      <w:tr w:rsidR="00247CBF" w:rsidRPr="00092ED7" w14:paraId="0FCD42B9" w14:textId="77777777" w:rsidTr="00247CBF">
        <w:trPr>
          <w:gridBefore w:val="1"/>
          <w:wBefore w:w="8" w:type="pct"/>
          <w:trHeight w:val="300"/>
        </w:trPr>
        <w:tc>
          <w:tcPr>
            <w:tcW w:w="4992" w:type="pct"/>
            <w:gridSpan w:val="12"/>
            <w:tcBorders>
              <w:top w:val="single" w:sz="4" w:space="0" w:color="auto"/>
              <w:left w:val="double" w:sz="6" w:space="0" w:color="auto"/>
              <w:bottom w:val="single" w:sz="4" w:space="0" w:color="auto"/>
              <w:right w:val="double" w:sz="6" w:space="0" w:color="000000"/>
            </w:tcBorders>
            <w:shd w:val="clear" w:color="000000" w:fill="FFFFFF"/>
            <w:vAlign w:val="center"/>
            <w:hideMark/>
          </w:tcPr>
          <w:p w14:paraId="1955E8B6"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Раст бруто додате вредности, процентуалне промене у сталним ценама</w:t>
            </w:r>
          </w:p>
        </w:tc>
      </w:tr>
      <w:tr w:rsidR="00247CBF" w:rsidRPr="00092ED7" w14:paraId="24D17D65" w14:textId="77777777" w:rsidTr="00247CBF">
        <w:trPr>
          <w:gridBefore w:val="1"/>
          <w:wBefore w:w="8" w:type="pct"/>
          <w:trHeight w:val="300"/>
        </w:trPr>
        <w:tc>
          <w:tcPr>
            <w:tcW w:w="2080" w:type="pct"/>
            <w:tcBorders>
              <w:top w:val="nil"/>
              <w:left w:val="double" w:sz="6" w:space="0" w:color="auto"/>
              <w:bottom w:val="dotted" w:sz="4" w:space="0" w:color="auto"/>
              <w:right w:val="dotted" w:sz="4" w:space="0" w:color="auto"/>
            </w:tcBorders>
            <w:shd w:val="clear" w:color="000000" w:fill="FFFFFF"/>
            <w:vAlign w:val="center"/>
            <w:hideMark/>
          </w:tcPr>
          <w:p w14:paraId="50855F74"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1. Пољопривреда</w:t>
            </w:r>
          </w:p>
        </w:tc>
        <w:tc>
          <w:tcPr>
            <w:tcW w:w="485" w:type="pct"/>
            <w:tcBorders>
              <w:top w:val="nil"/>
              <w:left w:val="nil"/>
              <w:bottom w:val="dotted" w:sz="4" w:space="0" w:color="auto"/>
              <w:right w:val="nil"/>
            </w:tcBorders>
            <w:shd w:val="clear" w:color="000000" w:fill="FFFFFF"/>
            <w:vAlign w:val="bottom"/>
            <w:hideMark/>
          </w:tcPr>
          <w:p w14:paraId="27ABB5B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6" w:type="pct"/>
            <w:gridSpan w:val="2"/>
            <w:tcBorders>
              <w:top w:val="nil"/>
              <w:left w:val="double" w:sz="6" w:space="0" w:color="auto"/>
              <w:bottom w:val="dotted" w:sz="4" w:space="0" w:color="auto"/>
              <w:right w:val="dotted" w:sz="4" w:space="0" w:color="auto"/>
            </w:tcBorders>
            <w:shd w:val="clear" w:color="000000" w:fill="FFFFFF"/>
            <w:vAlign w:val="center"/>
            <w:hideMark/>
          </w:tcPr>
          <w:p w14:paraId="016774CB" w14:textId="77777777" w:rsidR="00247CBF" w:rsidRPr="00092ED7" w:rsidRDefault="00247CBF" w:rsidP="00247CBF">
            <w:pPr>
              <w:spacing w:after="0"/>
              <w:contextualSpacing/>
              <w:jc w:val="center"/>
              <w:rPr>
                <w:sz w:val="20"/>
                <w:szCs w:val="20"/>
                <w:lang w:val="sr-Cyrl-CS"/>
              </w:rPr>
            </w:pPr>
            <w:r w:rsidRPr="00092ED7">
              <w:rPr>
                <w:sz w:val="20"/>
                <w:szCs w:val="20"/>
                <w:lang w:val="sr-Cyrl-CS"/>
              </w:rPr>
              <w:t>-5,7</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78F84983" w14:textId="77777777" w:rsidR="00247CBF" w:rsidRPr="00092ED7" w:rsidRDefault="00247CBF" w:rsidP="00247CBF">
            <w:pPr>
              <w:spacing w:after="0"/>
              <w:contextualSpacing/>
              <w:jc w:val="center"/>
              <w:rPr>
                <w:sz w:val="20"/>
                <w:szCs w:val="20"/>
                <w:lang w:val="sr-Cyrl-CS"/>
              </w:rPr>
            </w:pPr>
            <w:r w:rsidRPr="00092ED7">
              <w:rPr>
                <w:sz w:val="20"/>
                <w:szCs w:val="20"/>
                <w:lang w:val="sr-Cyrl-CS"/>
              </w:rPr>
              <w:t>-8,0</w:t>
            </w:r>
          </w:p>
        </w:tc>
        <w:tc>
          <w:tcPr>
            <w:tcW w:w="486" w:type="pct"/>
            <w:gridSpan w:val="2"/>
            <w:tcBorders>
              <w:top w:val="nil"/>
              <w:left w:val="nil"/>
              <w:bottom w:val="dotted" w:sz="4" w:space="0" w:color="auto"/>
              <w:right w:val="dotted" w:sz="4" w:space="0" w:color="auto"/>
            </w:tcBorders>
            <w:shd w:val="clear" w:color="000000" w:fill="FFFFFF"/>
            <w:vAlign w:val="center"/>
            <w:hideMark/>
          </w:tcPr>
          <w:p w14:paraId="68292884" w14:textId="77777777" w:rsidR="00247CBF" w:rsidRPr="00092ED7" w:rsidRDefault="00247CBF" w:rsidP="00247CBF">
            <w:pPr>
              <w:spacing w:after="0"/>
              <w:contextualSpacing/>
              <w:jc w:val="center"/>
              <w:rPr>
                <w:sz w:val="20"/>
                <w:szCs w:val="20"/>
                <w:lang w:val="sr-Cyrl-CS"/>
              </w:rPr>
            </w:pPr>
            <w:r w:rsidRPr="00092ED7">
              <w:rPr>
                <w:sz w:val="20"/>
                <w:szCs w:val="20"/>
                <w:lang w:val="sr-Cyrl-CS"/>
              </w:rPr>
              <w:t>6,9</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0E0433FC" w14:textId="77777777" w:rsidR="00247CBF" w:rsidRPr="00092ED7" w:rsidRDefault="00247CBF" w:rsidP="00247CBF">
            <w:pPr>
              <w:spacing w:after="0"/>
              <w:contextualSpacing/>
              <w:jc w:val="center"/>
              <w:rPr>
                <w:sz w:val="20"/>
                <w:szCs w:val="20"/>
                <w:lang w:val="sr-Cyrl-CS"/>
              </w:rPr>
            </w:pPr>
            <w:r w:rsidRPr="00092ED7">
              <w:rPr>
                <w:sz w:val="20"/>
                <w:szCs w:val="20"/>
                <w:lang w:val="sr-Cyrl-CS"/>
              </w:rPr>
              <w:t>0,9</w:t>
            </w:r>
          </w:p>
        </w:tc>
        <w:tc>
          <w:tcPr>
            <w:tcW w:w="485" w:type="pct"/>
            <w:gridSpan w:val="2"/>
            <w:tcBorders>
              <w:top w:val="nil"/>
              <w:left w:val="nil"/>
              <w:bottom w:val="dotted" w:sz="4" w:space="0" w:color="auto"/>
              <w:right w:val="double" w:sz="6" w:space="0" w:color="auto"/>
            </w:tcBorders>
            <w:shd w:val="clear" w:color="000000" w:fill="FFFFFF"/>
            <w:vAlign w:val="center"/>
            <w:hideMark/>
          </w:tcPr>
          <w:p w14:paraId="524B10D4" w14:textId="77777777" w:rsidR="00247CBF" w:rsidRPr="00092ED7" w:rsidRDefault="00247CBF" w:rsidP="00247CBF">
            <w:pPr>
              <w:spacing w:after="0"/>
              <w:contextualSpacing/>
              <w:jc w:val="center"/>
              <w:rPr>
                <w:sz w:val="20"/>
                <w:szCs w:val="20"/>
                <w:lang w:val="sr-Cyrl-CS"/>
              </w:rPr>
            </w:pPr>
            <w:r w:rsidRPr="00092ED7">
              <w:rPr>
                <w:sz w:val="20"/>
                <w:szCs w:val="20"/>
                <w:lang w:val="sr-Cyrl-CS"/>
              </w:rPr>
              <w:t>0,0</w:t>
            </w:r>
          </w:p>
        </w:tc>
      </w:tr>
      <w:tr w:rsidR="00247CBF" w:rsidRPr="00092ED7" w14:paraId="5E1517AC" w14:textId="77777777" w:rsidTr="00247CBF">
        <w:trPr>
          <w:gridBefore w:val="1"/>
          <w:wBefore w:w="8" w:type="pct"/>
          <w:trHeight w:val="300"/>
        </w:trPr>
        <w:tc>
          <w:tcPr>
            <w:tcW w:w="2080" w:type="pct"/>
            <w:tcBorders>
              <w:top w:val="nil"/>
              <w:left w:val="double" w:sz="6" w:space="0" w:color="auto"/>
              <w:bottom w:val="dotted" w:sz="4" w:space="0" w:color="auto"/>
              <w:right w:val="dotted" w:sz="4" w:space="0" w:color="auto"/>
            </w:tcBorders>
            <w:shd w:val="clear" w:color="000000" w:fill="FFFFFF"/>
            <w:vAlign w:val="center"/>
            <w:hideMark/>
          </w:tcPr>
          <w:p w14:paraId="13C44025"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2. Индустрија (осим грађевинарства)</w:t>
            </w:r>
          </w:p>
        </w:tc>
        <w:tc>
          <w:tcPr>
            <w:tcW w:w="485" w:type="pct"/>
            <w:tcBorders>
              <w:top w:val="nil"/>
              <w:left w:val="nil"/>
              <w:bottom w:val="dotted" w:sz="4" w:space="0" w:color="auto"/>
              <w:right w:val="nil"/>
            </w:tcBorders>
            <w:shd w:val="clear" w:color="000000" w:fill="FFFFFF"/>
            <w:vAlign w:val="bottom"/>
            <w:hideMark/>
          </w:tcPr>
          <w:p w14:paraId="6ADD849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6" w:type="pct"/>
            <w:gridSpan w:val="2"/>
            <w:tcBorders>
              <w:top w:val="nil"/>
              <w:left w:val="double" w:sz="6" w:space="0" w:color="auto"/>
              <w:bottom w:val="dotted" w:sz="4" w:space="0" w:color="auto"/>
              <w:right w:val="dotted" w:sz="4" w:space="0" w:color="auto"/>
            </w:tcBorders>
            <w:shd w:val="clear" w:color="000000" w:fill="FFFFFF"/>
            <w:vAlign w:val="center"/>
            <w:hideMark/>
          </w:tcPr>
          <w:p w14:paraId="4F354537" w14:textId="77777777" w:rsidR="00247CBF" w:rsidRPr="00092ED7" w:rsidRDefault="00247CBF" w:rsidP="00247CBF">
            <w:pPr>
              <w:spacing w:after="0"/>
              <w:contextualSpacing/>
              <w:jc w:val="center"/>
              <w:rPr>
                <w:sz w:val="20"/>
                <w:szCs w:val="20"/>
                <w:lang w:val="sr-Cyrl-CS"/>
              </w:rPr>
            </w:pPr>
            <w:r w:rsidRPr="00092ED7">
              <w:rPr>
                <w:sz w:val="20"/>
                <w:szCs w:val="20"/>
                <w:lang w:val="sr-Cyrl-CS"/>
              </w:rPr>
              <w:t>6,3</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49AD223A" w14:textId="77777777" w:rsidR="00247CBF" w:rsidRPr="00092ED7" w:rsidRDefault="00247CBF" w:rsidP="00247CBF">
            <w:pPr>
              <w:spacing w:after="0"/>
              <w:contextualSpacing/>
              <w:jc w:val="center"/>
              <w:rPr>
                <w:sz w:val="20"/>
                <w:szCs w:val="20"/>
                <w:lang w:val="sr-Cyrl-CS"/>
              </w:rPr>
            </w:pPr>
            <w:r w:rsidRPr="00092ED7">
              <w:rPr>
                <w:sz w:val="20"/>
                <w:szCs w:val="20"/>
                <w:lang w:val="sr-Cyrl-CS"/>
              </w:rPr>
              <w:t>1,3</w:t>
            </w:r>
          </w:p>
        </w:tc>
        <w:tc>
          <w:tcPr>
            <w:tcW w:w="486" w:type="pct"/>
            <w:gridSpan w:val="2"/>
            <w:tcBorders>
              <w:top w:val="nil"/>
              <w:left w:val="nil"/>
              <w:bottom w:val="dotted" w:sz="4" w:space="0" w:color="auto"/>
              <w:right w:val="dotted" w:sz="4" w:space="0" w:color="auto"/>
            </w:tcBorders>
            <w:shd w:val="clear" w:color="000000" w:fill="FFFFFF"/>
            <w:vAlign w:val="center"/>
            <w:hideMark/>
          </w:tcPr>
          <w:p w14:paraId="1206DD58" w14:textId="77777777" w:rsidR="00247CBF" w:rsidRPr="00092ED7" w:rsidRDefault="00247CBF" w:rsidP="00247CBF">
            <w:pPr>
              <w:spacing w:after="0"/>
              <w:contextualSpacing/>
              <w:jc w:val="center"/>
              <w:rPr>
                <w:sz w:val="20"/>
                <w:szCs w:val="20"/>
                <w:lang w:val="sr-Cyrl-CS"/>
              </w:rPr>
            </w:pPr>
            <w:r w:rsidRPr="00092ED7">
              <w:rPr>
                <w:sz w:val="20"/>
                <w:szCs w:val="20"/>
                <w:lang w:val="sr-Cyrl-CS"/>
              </w:rPr>
              <w:t>1,1</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2C663D61" w14:textId="77777777" w:rsidR="00247CBF" w:rsidRPr="00092ED7" w:rsidRDefault="00247CBF" w:rsidP="00247CBF">
            <w:pPr>
              <w:spacing w:after="0"/>
              <w:contextualSpacing/>
              <w:jc w:val="center"/>
              <w:rPr>
                <w:sz w:val="20"/>
                <w:szCs w:val="20"/>
                <w:lang w:val="sr-Cyrl-CS"/>
              </w:rPr>
            </w:pPr>
            <w:r w:rsidRPr="00092ED7">
              <w:rPr>
                <w:sz w:val="20"/>
                <w:szCs w:val="20"/>
                <w:lang w:val="sr-Cyrl-CS"/>
              </w:rPr>
              <w:t>3,6</w:t>
            </w:r>
          </w:p>
        </w:tc>
        <w:tc>
          <w:tcPr>
            <w:tcW w:w="485" w:type="pct"/>
            <w:gridSpan w:val="2"/>
            <w:tcBorders>
              <w:top w:val="nil"/>
              <w:left w:val="nil"/>
              <w:bottom w:val="dotted" w:sz="4" w:space="0" w:color="auto"/>
              <w:right w:val="double" w:sz="6" w:space="0" w:color="auto"/>
            </w:tcBorders>
            <w:shd w:val="clear" w:color="000000" w:fill="FFFFFF"/>
            <w:vAlign w:val="center"/>
            <w:hideMark/>
          </w:tcPr>
          <w:p w14:paraId="694D85DB" w14:textId="77777777" w:rsidR="00247CBF" w:rsidRPr="00092ED7" w:rsidRDefault="00247CBF" w:rsidP="00247CBF">
            <w:pPr>
              <w:spacing w:after="0"/>
              <w:contextualSpacing/>
              <w:jc w:val="center"/>
              <w:rPr>
                <w:sz w:val="20"/>
                <w:szCs w:val="20"/>
                <w:lang w:val="sr-Cyrl-CS"/>
              </w:rPr>
            </w:pPr>
            <w:r w:rsidRPr="00092ED7">
              <w:rPr>
                <w:sz w:val="20"/>
                <w:szCs w:val="20"/>
                <w:lang w:val="sr-Cyrl-CS"/>
              </w:rPr>
              <w:t>5,4</w:t>
            </w:r>
          </w:p>
        </w:tc>
      </w:tr>
      <w:tr w:rsidR="00247CBF" w:rsidRPr="00092ED7" w14:paraId="0BC04EFC" w14:textId="77777777" w:rsidTr="00247CBF">
        <w:trPr>
          <w:gridBefore w:val="1"/>
          <w:wBefore w:w="8" w:type="pct"/>
          <w:trHeight w:val="300"/>
        </w:trPr>
        <w:tc>
          <w:tcPr>
            <w:tcW w:w="2080" w:type="pct"/>
            <w:tcBorders>
              <w:top w:val="nil"/>
              <w:left w:val="double" w:sz="6" w:space="0" w:color="auto"/>
              <w:bottom w:val="dotted" w:sz="4" w:space="0" w:color="auto"/>
              <w:right w:val="dotted" w:sz="4" w:space="0" w:color="auto"/>
            </w:tcBorders>
            <w:shd w:val="clear" w:color="000000" w:fill="FFFFFF"/>
            <w:vAlign w:val="center"/>
            <w:hideMark/>
          </w:tcPr>
          <w:p w14:paraId="6A39F7A6"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3. Грађевинарство</w:t>
            </w:r>
          </w:p>
        </w:tc>
        <w:tc>
          <w:tcPr>
            <w:tcW w:w="485" w:type="pct"/>
            <w:tcBorders>
              <w:top w:val="nil"/>
              <w:left w:val="nil"/>
              <w:bottom w:val="dotted" w:sz="4" w:space="0" w:color="auto"/>
              <w:right w:val="nil"/>
            </w:tcBorders>
            <w:shd w:val="clear" w:color="000000" w:fill="FFFFFF"/>
            <w:vAlign w:val="bottom"/>
            <w:hideMark/>
          </w:tcPr>
          <w:p w14:paraId="4CDE972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6" w:type="pct"/>
            <w:gridSpan w:val="2"/>
            <w:tcBorders>
              <w:top w:val="nil"/>
              <w:left w:val="double" w:sz="6" w:space="0" w:color="auto"/>
              <w:bottom w:val="dotted" w:sz="4" w:space="0" w:color="auto"/>
              <w:right w:val="dotted" w:sz="4" w:space="0" w:color="auto"/>
            </w:tcBorders>
            <w:shd w:val="clear" w:color="000000" w:fill="FFFFFF"/>
            <w:vAlign w:val="center"/>
            <w:hideMark/>
          </w:tcPr>
          <w:p w14:paraId="1259E367" w14:textId="77777777" w:rsidR="00247CBF" w:rsidRPr="00092ED7" w:rsidRDefault="00247CBF" w:rsidP="00247CBF">
            <w:pPr>
              <w:spacing w:after="0"/>
              <w:contextualSpacing/>
              <w:jc w:val="center"/>
              <w:rPr>
                <w:sz w:val="20"/>
                <w:szCs w:val="20"/>
                <w:lang w:val="sr-Cyrl-CS"/>
              </w:rPr>
            </w:pPr>
            <w:r w:rsidRPr="00092ED7">
              <w:rPr>
                <w:sz w:val="20"/>
                <w:szCs w:val="20"/>
                <w:lang w:val="sr-Cyrl-CS"/>
              </w:rPr>
              <w:t>17,6</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1D75A24A" w14:textId="77777777" w:rsidR="00247CBF" w:rsidRPr="00092ED7" w:rsidRDefault="00247CBF" w:rsidP="00247CBF">
            <w:pPr>
              <w:spacing w:after="0"/>
              <w:contextualSpacing/>
              <w:jc w:val="center"/>
              <w:rPr>
                <w:sz w:val="20"/>
                <w:szCs w:val="20"/>
                <w:lang w:val="sr-Cyrl-CS"/>
              </w:rPr>
            </w:pPr>
            <w:r w:rsidRPr="00092ED7">
              <w:rPr>
                <w:sz w:val="20"/>
                <w:szCs w:val="20"/>
                <w:lang w:val="sr-Cyrl-CS"/>
              </w:rPr>
              <w:t>-8,7</w:t>
            </w:r>
          </w:p>
        </w:tc>
        <w:tc>
          <w:tcPr>
            <w:tcW w:w="486" w:type="pct"/>
            <w:gridSpan w:val="2"/>
            <w:tcBorders>
              <w:top w:val="nil"/>
              <w:left w:val="nil"/>
              <w:bottom w:val="dotted" w:sz="4" w:space="0" w:color="auto"/>
              <w:right w:val="dotted" w:sz="4" w:space="0" w:color="auto"/>
            </w:tcBorders>
            <w:shd w:val="clear" w:color="000000" w:fill="FFFFFF"/>
            <w:vAlign w:val="center"/>
            <w:hideMark/>
          </w:tcPr>
          <w:p w14:paraId="44DFA961" w14:textId="77777777" w:rsidR="00247CBF" w:rsidRPr="00092ED7" w:rsidRDefault="00247CBF" w:rsidP="00247CBF">
            <w:pPr>
              <w:spacing w:after="0"/>
              <w:contextualSpacing/>
              <w:jc w:val="center"/>
              <w:rPr>
                <w:sz w:val="20"/>
                <w:szCs w:val="20"/>
                <w:lang w:val="sr-Cyrl-CS"/>
              </w:rPr>
            </w:pPr>
            <w:r w:rsidRPr="00092ED7">
              <w:rPr>
                <w:sz w:val="20"/>
                <w:szCs w:val="20"/>
                <w:lang w:val="sr-Cyrl-CS"/>
              </w:rPr>
              <w:t>0,9</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5371C66E" w14:textId="77777777" w:rsidR="00247CBF" w:rsidRPr="00092ED7" w:rsidRDefault="00247CBF" w:rsidP="00247CBF">
            <w:pPr>
              <w:spacing w:after="0"/>
              <w:contextualSpacing/>
              <w:jc w:val="center"/>
              <w:rPr>
                <w:sz w:val="20"/>
                <w:szCs w:val="20"/>
                <w:lang w:val="sr-Cyrl-CS"/>
              </w:rPr>
            </w:pPr>
            <w:r w:rsidRPr="00092ED7">
              <w:rPr>
                <w:sz w:val="20"/>
                <w:szCs w:val="20"/>
                <w:lang w:val="sr-Cyrl-CS"/>
              </w:rPr>
              <w:t>5,2</w:t>
            </w:r>
          </w:p>
        </w:tc>
        <w:tc>
          <w:tcPr>
            <w:tcW w:w="485" w:type="pct"/>
            <w:gridSpan w:val="2"/>
            <w:tcBorders>
              <w:top w:val="nil"/>
              <w:left w:val="nil"/>
              <w:bottom w:val="dotted" w:sz="4" w:space="0" w:color="auto"/>
              <w:right w:val="double" w:sz="6" w:space="0" w:color="auto"/>
            </w:tcBorders>
            <w:shd w:val="clear" w:color="000000" w:fill="FFFFFF"/>
            <w:vAlign w:val="center"/>
            <w:hideMark/>
          </w:tcPr>
          <w:p w14:paraId="4ED63BC8" w14:textId="77777777" w:rsidR="00247CBF" w:rsidRPr="00092ED7" w:rsidRDefault="00247CBF" w:rsidP="00247CBF">
            <w:pPr>
              <w:spacing w:after="0"/>
              <w:contextualSpacing/>
              <w:jc w:val="center"/>
              <w:rPr>
                <w:sz w:val="20"/>
                <w:szCs w:val="20"/>
                <w:lang w:val="sr-Cyrl-CS"/>
              </w:rPr>
            </w:pPr>
            <w:r w:rsidRPr="00092ED7">
              <w:rPr>
                <w:sz w:val="20"/>
                <w:szCs w:val="20"/>
                <w:lang w:val="sr-Cyrl-CS"/>
              </w:rPr>
              <w:t>5,9</w:t>
            </w:r>
          </w:p>
        </w:tc>
      </w:tr>
      <w:tr w:rsidR="00247CBF" w:rsidRPr="00092ED7" w14:paraId="1915F3D0" w14:textId="77777777" w:rsidTr="00247CBF">
        <w:trPr>
          <w:gridBefore w:val="1"/>
          <w:wBefore w:w="8" w:type="pct"/>
          <w:trHeight w:val="300"/>
        </w:trPr>
        <w:tc>
          <w:tcPr>
            <w:tcW w:w="2080" w:type="pct"/>
            <w:tcBorders>
              <w:top w:val="nil"/>
              <w:left w:val="double" w:sz="6" w:space="0" w:color="auto"/>
              <w:bottom w:val="double" w:sz="6" w:space="0" w:color="auto"/>
              <w:right w:val="dotted" w:sz="4" w:space="0" w:color="auto"/>
            </w:tcBorders>
            <w:shd w:val="clear" w:color="000000" w:fill="FFFFFF"/>
            <w:vAlign w:val="center"/>
            <w:hideMark/>
          </w:tcPr>
          <w:p w14:paraId="6BA2DF8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4. Услуге</w:t>
            </w:r>
          </w:p>
        </w:tc>
        <w:tc>
          <w:tcPr>
            <w:tcW w:w="485" w:type="pct"/>
            <w:tcBorders>
              <w:top w:val="nil"/>
              <w:left w:val="nil"/>
              <w:bottom w:val="double" w:sz="6" w:space="0" w:color="auto"/>
              <w:right w:val="nil"/>
            </w:tcBorders>
            <w:shd w:val="clear" w:color="000000" w:fill="FFFFFF"/>
            <w:vAlign w:val="bottom"/>
            <w:hideMark/>
          </w:tcPr>
          <w:p w14:paraId="626630E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6" w:type="pct"/>
            <w:gridSpan w:val="2"/>
            <w:tcBorders>
              <w:top w:val="nil"/>
              <w:left w:val="double" w:sz="6" w:space="0" w:color="auto"/>
              <w:bottom w:val="double" w:sz="6" w:space="0" w:color="auto"/>
              <w:right w:val="dotted" w:sz="4" w:space="0" w:color="auto"/>
            </w:tcBorders>
            <w:shd w:val="clear" w:color="000000" w:fill="FFFFFF"/>
            <w:vAlign w:val="center"/>
            <w:hideMark/>
          </w:tcPr>
          <w:p w14:paraId="056F1FA8" w14:textId="77777777" w:rsidR="00247CBF" w:rsidRPr="00092ED7" w:rsidRDefault="00247CBF" w:rsidP="00247CBF">
            <w:pPr>
              <w:spacing w:after="0"/>
              <w:contextualSpacing/>
              <w:jc w:val="center"/>
              <w:rPr>
                <w:sz w:val="20"/>
                <w:szCs w:val="20"/>
                <w:lang w:val="sr-Cyrl-CS"/>
              </w:rPr>
            </w:pPr>
            <w:r w:rsidRPr="00092ED7">
              <w:rPr>
                <w:sz w:val="20"/>
                <w:szCs w:val="20"/>
                <w:lang w:val="sr-Cyrl-CS"/>
              </w:rPr>
              <w:t>8,3</w:t>
            </w:r>
          </w:p>
        </w:tc>
        <w:tc>
          <w:tcPr>
            <w:tcW w:w="485" w:type="pct"/>
            <w:gridSpan w:val="2"/>
            <w:tcBorders>
              <w:top w:val="nil"/>
              <w:left w:val="nil"/>
              <w:bottom w:val="double" w:sz="6" w:space="0" w:color="auto"/>
              <w:right w:val="dotted" w:sz="4" w:space="0" w:color="auto"/>
            </w:tcBorders>
            <w:shd w:val="clear" w:color="000000" w:fill="FFFFFF"/>
            <w:vAlign w:val="center"/>
            <w:hideMark/>
          </w:tcPr>
          <w:p w14:paraId="131E2EAD" w14:textId="77777777" w:rsidR="00247CBF" w:rsidRPr="00092ED7" w:rsidRDefault="00247CBF" w:rsidP="00247CBF">
            <w:pPr>
              <w:spacing w:after="0"/>
              <w:contextualSpacing/>
              <w:jc w:val="center"/>
              <w:rPr>
                <w:sz w:val="20"/>
                <w:szCs w:val="20"/>
                <w:lang w:val="sr-Cyrl-CS"/>
              </w:rPr>
            </w:pPr>
            <w:r w:rsidRPr="00092ED7">
              <w:rPr>
                <w:sz w:val="20"/>
                <w:szCs w:val="20"/>
                <w:lang w:val="sr-Cyrl-CS"/>
              </w:rPr>
              <w:t>4,8</w:t>
            </w:r>
          </w:p>
        </w:tc>
        <w:tc>
          <w:tcPr>
            <w:tcW w:w="486" w:type="pct"/>
            <w:gridSpan w:val="2"/>
            <w:tcBorders>
              <w:top w:val="nil"/>
              <w:left w:val="nil"/>
              <w:bottom w:val="double" w:sz="6" w:space="0" w:color="auto"/>
              <w:right w:val="dotted" w:sz="4" w:space="0" w:color="auto"/>
            </w:tcBorders>
            <w:shd w:val="clear" w:color="000000" w:fill="FFFFFF"/>
            <w:vAlign w:val="center"/>
            <w:hideMark/>
          </w:tcPr>
          <w:p w14:paraId="07F150A2" w14:textId="77777777" w:rsidR="00247CBF" w:rsidRPr="00092ED7" w:rsidRDefault="00247CBF" w:rsidP="00247CBF">
            <w:pPr>
              <w:spacing w:after="0"/>
              <w:contextualSpacing/>
              <w:jc w:val="center"/>
              <w:rPr>
                <w:sz w:val="20"/>
                <w:szCs w:val="20"/>
                <w:lang w:val="sr-Cyrl-CS"/>
              </w:rPr>
            </w:pPr>
            <w:r w:rsidRPr="00092ED7">
              <w:rPr>
                <w:sz w:val="20"/>
                <w:szCs w:val="20"/>
                <w:lang w:val="sr-Cyrl-CS"/>
              </w:rPr>
              <w:t>2,6</w:t>
            </w:r>
          </w:p>
        </w:tc>
        <w:tc>
          <w:tcPr>
            <w:tcW w:w="485" w:type="pct"/>
            <w:gridSpan w:val="2"/>
            <w:tcBorders>
              <w:top w:val="nil"/>
              <w:left w:val="nil"/>
              <w:bottom w:val="double" w:sz="6" w:space="0" w:color="auto"/>
              <w:right w:val="dotted" w:sz="4" w:space="0" w:color="auto"/>
            </w:tcBorders>
            <w:shd w:val="clear" w:color="000000" w:fill="FFFFFF"/>
            <w:vAlign w:val="center"/>
            <w:hideMark/>
          </w:tcPr>
          <w:p w14:paraId="4FAF09A7" w14:textId="77777777" w:rsidR="00247CBF" w:rsidRPr="00092ED7" w:rsidRDefault="00247CBF" w:rsidP="00247CBF">
            <w:pPr>
              <w:spacing w:after="0"/>
              <w:contextualSpacing/>
              <w:jc w:val="center"/>
              <w:rPr>
                <w:sz w:val="20"/>
                <w:szCs w:val="20"/>
                <w:lang w:val="sr-Cyrl-CS"/>
              </w:rPr>
            </w:pPr>
            <w:r w:rsidRPr="00092ED7">
              <w:rPr>
                <w:sz w:val="20"/>
                <w:szCs w:val="20"/>
                <w:lang w:val="sr-Cyrl-CS"/>
              </w:rPr>
              <w:t>3,8</w:t>
            </w:r>
          </w:p>
        </w:tc>
        <w:tc>
          <w:tcPr>
            <w:tcW w:w="485" w:type="pct"/>
            <w:gridSpan w:val="2"/>
            <w:tcBorders>
              <w:top w:val="nil"/>
              <w:left w:val="nil"/>
              <w:bottom w:val="double" w:sz="6" w:space="0" w:color="auto"/>
              <w:right w:val="double" w:sz="6" w:space="0" w:color="auto"/>
            </w:tcBorders>
            <w:shd w:val="clear" w:color="000000" w:fill="FFFFFF"/>
            <w:vAlign w:val="center"/>
            <w:hideMark/>
          </w:tcPr>
          <w:p w14:paraId="09122B5B" w14:textId="77777777" w:rsidR="00247CBF" w:rsidRPr="00092ED7" w:rsidRDefault="00247CBF" w:rsidP="00247CBF">
            <w:pPr>
              <w:spacing w:after="0"/>
              <w:contextualSpacing/>
              <w:jc w:val="center"/>
              <w:rPr>
                <w:sz w:val="20"/>
                <w:szCs w:val="20"/>
                <w:lang w:val="sr-Cyrl-CS"/>
              </w:rPr>
            </w:pPr>
            <w:r w:rsidRPr="00092ED7">
              <w:rPr>
                <w:sz w:val="20"/>
                <w:szCs w:val="20"/>
                <w:lang w:val="sr-Cyrl-CS"/>
              </w:rPr>
              <w:t>4,0</w:t>
            </w:r>
          </w:p>
        </w:tc>
      </w:tr>
    </w:tbl>
    <w:p w14:paraId="7A373D6A" w14:textId="77777777" w:rsidR="00247CBF" w:rsidRPr="00092ED7" w:rsidRDefault="00247CBF" w:rsidP="00247CBF">
      <w:pPr>
        <w:spacing w:after="0"/>
        <w:rPr>
          <w:rFonts w:cs="Times New Roman"/>
          <w:lang w:val="sr-Cyrl-CS"/>
        </w:rPr>
      </w:pPr>
    </w:p>
    <w:p w14:paraId="343BF6F5" w14:textId="77777777" w:rsidR="00247CBF" w:rsidRPr="00092ED7" w:rsidRDefault="00247CBF" w:rsidP="00247CBF">
      <w:pPr>
        <w:spacing w:after="0"/>
        <w:rPr>
          <w:rFonts w:cs="Times New Roman"/>
          <w:lang w:val="sr-Cyrl-CS"/>
        </w:rPr>
      </w:pPr>
    </w:p>
    <w:p w14:paraId="7B7DDAC2" w14:textId="77777777" w:rsidR="00247CBF" w:rsidRPr="00092ED7" w:rsidRDefault="00247CBF" w:rsidP="00247CBF">
      <w:pPr>
        <w:spacing w:after="0"/>
        <w:rPr>
          <w:rFonts w:cs="Times New Roman"/>
          <w:lang w:val="sr-Cyrl-CS"/>
        </w:rPr>
      </w:pPr>
      <w:r w:rsidRPr="00092ED7">
        <w:rPr>
          <w:rFonts w:cs="Times New Roman"/>
          <w:lang w:val="sr-Cyrl-CS"/>
        </w:rPr>
        <w:br w:type="page"/>
      </w:r>
    </w:p>
    <w:tbl>
      <w:tblPr>
        <w:tblW w:w="5011" w:type="pct"/>
        <w:tblLook w:val="04A0" w:firstRow="1" w:lastRow="0" w:firstColumn="1" w:lastColumn="0" w:noHBand="0" w:noVBand="1"/>
      </w:tblPr>
      <w:tblGrid>
        <w:gridCol w:w="24"/>
        <w:gridCol w:w="5742"/>
        <w:gridCol w:w="53"/>
        <w:gridCol w:w="1559"/>
        <w:gridCol w:w="85"/>
        <w:gridCol w:w="1361"/>
        <w:gridCol w:w="20"/>
        <w:gridCol w:w="1186"/>
        <w:gridCol w:w="239"/>
        <w:gridCol w:w="946"/>
        <w:gridCol w:w="499"/>
        <w:gridCol w:w="686"/>
        <w:gridCol w:w="759"/>
        <w:gridCol w:w="1425"/>
        <w:gridCol w:w="18"/>
      </w:tblGrid>
      <w:tr w:rsidR="00247CBF" w:rsidRPr="00092ED7" w14:paraId="7FC528E8" w14:textId="77777777" w:rsidTr="00247CBF">
        <w:trPr>
          <w:gridAfter w:val="1"/>
          <w:wAfter w:w="6" w:type="pct"/>
          <w:trHeight w:val="315"/>
        </w:trPr>
        <w:tc>
          <w:tcPr>
            <w:tcW w:w="1974" w:type="pct"/>
            <w:gridSpan w:val="2"/>
            <w:tcBorders>
              <w:top w:val="nil"/>
              <w:left w:val="nil"/>
              <w:bottom w:val="double" w:sz="6" w:space="0" w:color="auto"/>
              <w:right w:val="nil"/>
            </w:tcBorders>
            <w:shd w:val="clear" w:color="000000" w:fill="FFFFFF"/>
            <w:noWrap/>
            <w:vAlign w:val="center"/>
            <w:hideMark/>
          </w:tcPr>
          <w:p w14:paraId="263E48CD"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1f: Кретања у екстерном сектору</w:t>
            </w:r>
          </w:p>
        </w:tc>
        <w:tc>
          <w:tcPr>
            <w:tcW w:w="581" w:type="pct"/>
            <w:gridSpan w:val="3"/>
            <w:tcBorders>
              <w:top w:val="nil"/>
              <w:left w:val="nil"/>
              <w:bottom w:val="double" w:sz="6" w:space="0" w:color="auto"/>
              <w:right w:val="nil"/>
            </w:tcBorders>
            <w:shd w:val="clear" w:color="000000" w:fill="FFFFFF"/>
            <w:noWrap/>
            <w:vAlign w:val="bottom"/>
            <w:hideMark/>
          </w:tcPr>
          <w:p w14:paraId="3E7BB1EC"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473" w:type="pct"/>
            <w:gridSpan w:val="2"/>
            <w:tcBorders>
              <w:top w:val="nil"/>
              <w:left w:val="nil"/>
              <w:bottom w:val="double" w:sz="6" w:space="0" w:color="auto"/>
              <w:right w:val="nil"/>
            </w:tcBorders>
            <w:shd w:val="clear" w:color="000000" w:fill="FFFFFF"/>
            <w:noWrap/>
            <w:vAlign w:val="bottom"/>
            <w:hideMark/>
          </w:tcPr>
          <w:p w14:paraId="2A656F3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tcBorders>
              <w:top w:val="nil"/>
              <w:left w:val="nil"/>
              <w:bottom w:val="double" w:sz="6" w:space="0" w:color="auto"/>
              <w:right w:val="nil"/>
            </w:tcBorders>
            <w:shd w:val="clear" w:color="000000" w:fill="FFFFFF"/>
            <w:noWrap/>
            <w:vAlign w:val="bottom"/>
            <w:hideMark/>
          </w:tcPr>
          <w:p w14:paraId="106891E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gridSpan w:val="2"/>
            <w:tcBorders>
              <w:top w:val="nil"/>
              <w:left w:val="nil"/>
              <w:bottom w:val="double" w:sz="6" w:space="0" w:color="auto"/>
              <w:right w:val="nil"/>
            </w:tcBorders>
            <w:shd w:val="clear" w:color="000000" w:fill="FFFFFF"/>
            <w:noWrap/>
            <w:vAlign w:val="bottom"/>
            <w:hideMark/>
          </w:tcPr>
          <w:p w14:paraId="16B3487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gridSpan w:val="2"/>
            <w:tcBorders>
              <w:top w:val="nil"/>
              <w:left w:val="nil"/>
              <w:bottom w:val="double" w:sz="6" w:space="0" w:color="auto"/>
              <w:right w:val="nil"/>
            </w:tcBorders>
            <w:shd w:val="clear" w:color="000000" w:fill="FFFFFF"/>
            <w:noWrap/>
            <w:vAlign w:val="bottom"/>
            <w:hideMark/>
          </w:tcPr>
          <w:p w14:paraId="76EF60A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748" w:type="pct"/>
            <w:gridSpan w:val="2"/>
            <w:tcBorders>
              <w:top w:val="nil"/>
              <w:left w:val="nil"/>
              <w:bottom w:val="double" w:sz="6" w:space="0" w:color="auto"/>
              <w:right w:val="nil"/>
            </w:tcBorders>
            <w:shd w:val="clear" w:color="000000" w:fill="FFFFFF"/>
            <w:noWrap/>
            <w:vAlign w:val="bottom"/>
            <w:hideMark/>
          </w:tcPr>
          <w:p w14:paraId="585CEB8B"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2644A0EA" w14:textId="77777777" w:rsidTr="00247CBF">
        <w:trPr>
          <w:gridBefore w:val="1"/>
          <w:wBefore w:w="8" w:type="pct"/>
          <w:trHeight w:val="330"/>
        </w:trPr>
        <w:tc>
          <w:tcPr>
            <w:tcW w:w="1984" w:type="pct"/>
            <w:gridSpan w:val="2"/>
            <w:tcBorders>
              <w:top w:val="double" w:sz="6" w:space="0" w:color="auto"/>
              <w:left w:val="double" w:sz="6" w:space="0" w:color="auto"/>
              <w:bottom w:val="double" w:sz="4" w:space="0" w:color="auto"/>
              <w:right w:val="single" w:sz="8" w:space="0" w:color="auto"/>
            </w:tcBorders>
            <w:shd w:val="clear" w:color="000000" w:fill="FFFFFF"/>
            <w:vAlign w:val="center"/>
            <w:hideMark/>
          </w:tcPr>
          <w:p w14:paraId="49BF3E5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У милијардама евра, уколико није другачије наведено</w:t>
            </w:r>
          </w:p>
        </w:tc>
        <w:tc>
          <w:tcPr>
            <w:tcW w:w="534" w:type="pct"/>
            <w:tcBorders>
              <w:top w:val="double" w:sz="6" w:space="0" w:color="auto"/>
              <w:left w:val="nil"/>
              <w:bottom w:val="double" w:sz="4" w:space="0" w:color="auto"/>
              <w:right w:val="single" w:sz="8" w:space="0" w:color="auto"/>
            </w:tcBorders>
            <w:shd w:val="clear" w:color="000000" w:fill="FFFFFF"/>
            <w:vAlign w:val="center"/>
            <w:hideMark/>
          </w:tcPr>
          <w:p w14:paraId="48C6BB50" w14:textId="77777777" w:rsidR="00247CBF" w:rsidRPr="00092ED7" w:rsidRDefault="00247CBF" w:rsidP="00247CBF">
            <w:pPr>
              <w:spacing w:after="0"/>
              <w:jc w:val="center"/>
              <w:rPr>
                <w:rFonts w:eastAsia="Times New Roman" w:cs="Times New Roman"/>
                <w:sz w:val="20"/>
                <w:szCs w:val="20"/>
                <w:lang w:val="sr-Cyrl-CS"/>
              </w:rPr>
            </w:pPr>
          </w:p>
        </w:tc>
        <w:tc>
          <w:tcPr>
            <w:tcW w:w="495" w:type="pct"/>
            <w:gridSpan w:val="2"/>
            <w:tcBorders>
              <w:top w:val="double" w:sz="6" w:space="0" w:color="auto"/>
              <w:left w:val="nil"/>
              <w:bottom w:val="double" w:sz="4" w:space="0" w:color="auto"/>
              <w:right w:val="dotted" w:sz="4" w:space="0" w:color="auto"/>
            </w:tcBorders>
            <w:shd w:val="clear" w:color="000000" w:fill="FFFFFF"/>
            <w:vAlign w:val="center"/>
            <w:hideMark/>
          </w:tcPr>
          <w:p w14:paraId="0B0CB8A5" w14:textId="77777777" w:rsidR="00247CBF" w:rsidRPr="00092ED7" w:rsidRDefault="00247CBF" w:rsidP="00247CBF">
            <w:pPr>
              <w:spacing w:after="0"/>
              <w:jc w:val="center"/>
              <w:rPr>
                <w:sz w:val="20"/>
                <w:lang w:val="sr-Cyrl-CS"/>
              </w:rPr>
            </w:pPr>
            <w:r w:rsidRPr="00092ED7">
              <w:rPr>
                <w:sz w:val="20"/>
                <w:lang w:val="sr-Cyrl-CS"/>
              </w:rPr>
              <w:t>Година</w:t>
            </w:r>
          </w:p>
          <w:p w14:paraId="0214377C" w14:textId="77777777" w:rsidR="00247CBF" w:rsidRPr="00092ED7" w:rsidRDefault="00247CBF" w:rsidP="00247CBF">
            <w:pPr>
              <w:spacing w:after="0"/>
              <w:jc w:val="center"/>
              <w:rPr>
                <w:sz w:val="20"/>
                <w:lang w:val="sr-Cyrl-CS"/>
              </w:rPr>
            </w:pPr>
            <w:r w:rsidRPr="00092ED7">
              <w:rPr>
                <w:sz w:val="20"/>
                <w:lang w:val="sr-Cyrl-CS"/>
              </w:rPr>
              <w:t>2021</w:t>
            </w:r>
          </w:p>
        </w:tc>
        <w:tc>
          <w:tcPr>
            <w:tcW w:w="495" w:type="pct"/>
            <w:gridSpan w:val="3"/>
            <w:tcBorders>
              <w:top w:val="double" w:sz="6" w:space="0" w:color="auto"/>
              <w:left w:val="nil"/>
              <w:bottom w:val="double" w:sz="4" w:space="0" w:color="auto"/>
              <w:right w:val="dotted" w:sz="4" w:space="0" w:color="auto"/>
            </w:tcBorders>
            <w:shd w:val="clear" w:color="000000" w:fill="FFFFFF"/>
            <w:vAlign w:val="center"/>
            <w:hideMark/>
          </w:tcPr>
          <w:p w14:paraId="5CA14399" w14:textId="77777777" w:rsidR="00247CBF" w:rsidRPr="00092ED7" w:rsidRDefault="00247CBF" w:rsidP="00247CBF">
            <w:pPr>
              <w:spacing w:after="0"/>
              <w:jc w:val="center"/>
              <w:rPr>
                <w:sz w:val="20"/>
                <w:lang w:val="sr-Cyrl-CS"/>
              </w:rPr>
            </w:pPr>
            <w:r w:rsidRPr="00092ED7">
              <w:rPr>
                <w:sz w:val="20"/>
                <w:lang w:val="sr-Cyrl-CS"/>
              </w:rPr>
              <w:t>Година</w:t>
            </w:r>
          </w:p>
          <w:p w14:paraId="31AB1D3A" w14:textId="77777777" w:rsidR="00247CBF" w:rsidRPr="00092ED7" w:rsidRDefault="00247CBF" w:rsidP="00247CBF">
            <w:pPr>
              <w:spacing w:after="0"/>
              <w:jc w:val="center"/>
              <w:rPr>
                <w:sz w:val="20"/>
                <w:lang w:val="sr-Cyrl-CS"/>
              </w:rPr>
            </w:pPr>
            <w:r w:rsidRPr="00092ED7">
              <w:rPr>
                <w:sz w:val="20"/>
                <w:lang w:val="sr-Cyrl-CS"/>
              </w:rPr>
              <w:t>2022</w:t>
            </w:r>
          </w:p>
        </w:tc>
        <w:tc>
          <w:tcPr>
            <w:tcW w:w="495" w:type="pct"/>
            <w:gridSpan w:val="2"/>
            <w:tcBorders>
              <w:top w:val="double" w:sz="6" w:space="0" w:color="auto"/>
              <w:left w:val="nil"/>
              <w:bottom w:val="double" w:sz="4" w:space="0" w:color="auto"/>
              <w:right w:val="dotted" w:sz="4" w:space="0" w:color="auto"/>
            </w:tcBorders>
            <w:shd w:val="clear" w:color="000000" w:fill="FFFFFF"/>
            <w:vAlign w:val="center"/>
            <w:hideMark/>
          </w:tcPr>
          <w:p w14:paraId="0C8CFFFB" w14:textId="77777777" w:rsidR="00247CBF" w:rsidRPr="00092ED7" w:rsidRDefault="00247CBF" w:rsidP="00247CBF">
            <w:pPr>
              <w:spacing w:after="0"/>
              <w:jc w:val="center"/>
              <w:rPr>
                <w:sz w:val="20"/>
                <w:lang w:val="sr-Cyrl-CS"/>
              </w:rPr>
            </w:pPr>
            <w:r w:rsidRPr="00092ED7">
              <w:rPr>
                <w:sz w:val="20"/>
                <w:lang w:val="sr-Cyrl-CS"/>
              </w:rPr>
              <w:t>Година</w:t>
            </w:r>
          </w:p>
          <w:p w14:paraId="184505B8" w14:textId="77777777" w:rsidR="00247CBF" w:rsidRPr="00092ED7" w:rsidRDefault="00247CBF" w:rsidP="00247CBF">
            <w:pPr>
              <w:spacing w:after="0"/>
              <w:jc w:val="center"/>
              <w:rPr>
                <w:sz w:val="20"/>
                <w:lang w:val="sr-Cyrl-CS"/>
              </w:rPr>
            </w:pPr>
            <w:r w:rsidRPr="00092ED7">
              <w:rPr>
                <w:sz w:val="20"/>
                <w:lang w:val="sr-Cyrl-CS"/>
              </w:rPr>
              <w:t>2023</w:t>
            </w:r>
          </w:p>
        </w:tc>
        <w:tc>
          <w:tcPr>
            <w:tcW w:w="495" w:type="pct"/>
            <w:gridSpan w:val="2"/>
            <w:tcBorders>
              <w:top w:val="double" w:sz="6" w:space="0" w:color="auto"/>
              <w:left w:val="nil"/>
              <w:bottom w:val="double" w:sz="4" w:space="0" w:color="auto"/>
              <w:right w:val="dotted" w:sz="4" w:space="0" w:color="auto"/>
            </w:tcBorders>
            <w:shd w:val="clear" w:color="000000" w:fill="FFFFFF"/>
            <w:vAlign w:val="center"/>
            <w:hideMark/>
          </w:tcPr>
          <w:p w14:paraId="2AF92CE7" w14:textId="77777777" w:rsidR="00247CBF" w:rsidRPr="00092ED7" w:rsidRDefault="00247CBF" w:rsidP="00247CBF">
            <w:pPr>
              <w:spacing w:after="0"/>
              <w:jc w:val="center"/>
              <w:rPr>
                <w:sz w:val="20"/>
                <w:lang w:val="sr-Cyrl-CS"/>
              </w:rPr>
            </w:pPr>
            <w:r w:rsidRPr="00092ED7">
              <w:rPr>
                <w:sz w:val="20"/>
                <w:lang w:val="sr-Cyrl-CS"/>
              </w:rPr>
              <w:t>Година</w:t>
            </w:r>
          </w:p>
          <w:p w14:paraId="343C5137" w14:textId="77777777" w:rsidR="00247CBF" w:rsidRPr="00092ED7" w:rsidRDefault="00247CBF" w:rsidP="00247CBF">
            <w:pPr>
              <w:spacing w:after="0"/>
              <w:jc w:val="center"/>
              <w:rPr>
                <w:sz w:val="20"/>
                <w:lang w:val="sr-Cyrl-CS"/>
              </w:rPr>
            </w:pPr>
            <w:r w:rsidRPr="00092ED7">
              <w:rPr>
                <w:sz w:val="20"/>
                <w:lang w:val="sr-Cyrl-CS"/>
              </w:rPr>
              <w:t>2024</w:t>
            </w:r>
          </w:p>
        </w:tc>
        <w:tc>
          <w:tcPr>
            <w:tcW w:w="494" w:type="pct"/>
            <w:gridSpan w:val="2"/>
            <w:tcBorders>
              <w:top w:val="double" w:sz="6" w:space="0" w:color="auto"/>
              <w:left w:val="nil"/>
              <w:bottom w:val="double" w:sz="4" w:space="0" w:color="auto"/>
              <w:right w:val="double" w:sz="6" w:space="0" w:color="auto"/>
            </w:tcBorders>
            <w:shd w:val="clear" w:color="000000" w:fill="FFFFFF"/>
            <w:vAlign w:val="center"/>
            <w:hideMark/>
          </w:tcPr>
          <w:p w14:paraId="090486C5" w14:textId="77777777" w:rsidR="00247CBF" w:rsidRPr="00092ED7" w:rsidRDefault="00247CBF" w:rsidP="00247CBF">
            <w:pPr>
              <w:spacing w:after="0"/>
              <w:jc w:val="center"/>
              <w:rPr>
                <w:sz w:val="20"/>
                <w:lang w:val="sr-Cyrl-CS"/>
              </w:rPr>
            </w:pPr>
            <w:r w:rsidRPr="00092ED7">
              <w:rPr>
                <w:sz w:val="20"/>
                <w:lang w:val="sr-Cyrl-CS"/>
              </w:rPr>
              <w:t>Година</w:t>
            </w:r>
          </w:p>
          <w:p w14:paraId="0DB2FA9A" w14:textId="77777777" w:rsidR="00247CBF" w:rsidRPr="00092ED7" w:rsidRDefault="00247CBF" w:rsidP="00247CBF">
            <w:pPr>
              <w:spacing w:after="0"/>
              <w:jc w:val="center"/>
              <w:rPr>
                <w:sz w:val="20"/>
                <w:lang w:val="sr-Cyrl-CS"/>
              </w:rPr>
            </w:pPr>
            <w:r w:rsidRPr="00092ED7">
              <w:rPr>
                <w:sz w:val="20"/>
                <w:lang w:val="sr-Cyrl-CS"/>
              </w:rPr>
              <w:t>2025</w:t>
            </w:r>
          </w:p>
        </w:tc>
      </w:tr>
      <w:tr w:rsidR="00247CBF" w:rsidRPr="00092ED7" w14:paraId="52C47568" w14:textId="77777777" w:rsidTr="00247CBF">
        <w:trPr>
          <w:gridBefore w:val="1"/>
          <w:wBefore w:w="8" w:type="pct"/>
          <w:trHeight w:val="300"/>
        </w:trPr>
        <w:tc>
          <w:tcPr>
            <w:tcW w:w="1984" w:type="pct"/>
            <w:gridSpan w:val="2"/>
            <w:tcBorders>
              <w:top w:val="double" w:sz="4" w:space="0" w:color="auto"/>
              <w:left w:val="double" w:sz="6" w:space="0" w:color="auto"/>
              <w:bottom w:val="dotted" w:sz="4" w:space="0" w:color="auto"/>
              <w:right w:val="single" w:sz="8" w:space="0" w:color="auto"/>
            </w:tcBorders>
            <w:shd w:val="clear" w:color="000000" w:fill="FFFFFF"/>
            <w:hideMark/>
          </w:tcPr>
          <w:p w14:paraId="31DE08FA" w14:textId="77777777" w:rsidR="00247CBF" w:rsidRPr="00092ED7" w:rsidRDefault="00247CBF" w:rsidP="00247CBF">
            <w:pPr>
              <w:spacing w:after="0"/>
              <w:jc w:val="left"/>
              <w:rPr>
                <w:sz w:val="20"/>
                <w:szCs w:val="20"/>
                <w:lang w:val="sr-Cyrl-CS"/>
              </w:rPr>
            </w:pPr>
            <w:r w:rsidRPr="00092ED7">
              <w:rPr>
                <w:sz w:val="20"/>
                <w:szCs w:val="20"/>
                <w:lang w:val="sr-Cyrl-CS"/>
              </w:rPr>
              <w:t>1. Биланс текућих трансакција (% БДП-а)</w:t>
            </w:r>
          </w:p>
        </w:tc>
        <w:tc>
          <w:tcPr>
            <w:tcW w:w="534" w:type="pct"/>
            <w:tcBorders>
              <w:top w:val="double" w:sz="4" w:space="0" w:color="auto"/>
              <w:left w:val="nil"/>
              <w:bottom w:val="dotted" w:sz="4" w:space="0" w:color="auto"/>
              <w:right w:val="single" w:sz="8" w:space="0" w:color="auto"/>
            </w:tcBorders>
            <w:shd w:val="clear" w:color="000000" w:fill="FFFFFF"/>
            <w:vAlign w:val="center"/>
            <w:hideMark/>
          </w:tcPr>
          <w:p w14:paraId="2E0B1BBD" w14:textId="77777777" w:rsidR="00247CBF" w:rsidRPr="00092ED7" w:rsidRDefault="00247CBF" w:rsidP="00247CBF">
            <w:pPr>
              <w:spacing w:after="0"/>
              <w:jc w:val="center"/>
              <w:rPr>
                <w:sz w:val="16"/>
                <w:szCs w:val="16"/>
                <w:lang w:val="sr-Cyrl-CS"/>
              </w:rPr>
            </w:pPr>
            <w:r w:rsidRPr="00092ED7">
              <w:rPr>
                <w:sz w:val="16"/>
                <w:szCs w:val="16"/>
                <w:lang w:val="sr-Cyrl-CS"/>
              </w:rPr>
              <w:t>% БДП</w:t>
            </w:r>
          </w:p>
        </w:tc>
        <w:tc>
          <w:tcPr>
            <w:tcW w:w="495" w:type="pct"/>
            <w:gridSpan w:val="2"/>
            <w:tcBorders>
              <w:top w:val="double" w:sz="4" w:space="0" w:color="auto"/>
              <w:left w:val="nil"/>
              <w:bottom w:val="dotted" w:sz="4" w:space="0" w:color="auto"/>
              <w:right w:val="dotted" w:sz="4" w:space="0" w:color="auto"/>
            </w:tcBorders>
            <w:shd w:val="clear" w:color="000000" w:fill="FFFFFF"/>
            <w:hideMark/>
          </w:tcPr>
          <w:p w14:paraId="7B33EEFC" w14:textId="77777777" w:rsidR="00247CBF" w:rsidRPr="00092ED7" w:rsidRDefault="00247CBF" w:rsidP="00247CBF">
            <w:pPr>
              <w:spacing w:after="0"/>
              <w:jc w:val="center"/>
              <w:rPr>
                <w:sz w:val="20"/>
                <w:szCs w:val="20"/>
                <w:lang w:val="sr-Cyrl-CS"/>
              </w:rPr>
            </w:pPr>
            <w:r w:rsidRPr="00092ED7">
              <w:rPr>
                <w:sz w:val="20"/>
                <w:szCs w:val="20"/>
                <w:lang w:val="sr-Cyrl-CS"/>
              </w:rPr>
              <w:t>-4,3</w:t>
            </w:r>
          </w:p>
        </w:tc>
        <w:tc>
          <w:tcPr>
            <w:tcW w:w="495" w:type="pct"/>
            <w:gridSpan w:val="3"/>
            <w:tcBorders>
              <w:top w:val="double" w:sz="4" w:space="0" w:color="auto"/>
              <w:left w:val="nil"/>
              <w:bottom w:val="dotted" w:sz="4" w:space="0" w:color="auto"/>
              <w:right w:val="dotted" w:sz="4" w:space="0" w:color="auto"/>
            </w:tcBorders>
            <w:shd w:val="clear" w:color="000000" w:fill="FFFFFF"/>
            <w:hideMark/>
          </w:tcPr>
          <w:p w14:paraId="126424C6" w14:textId="77777777" w:rsidR="00247CBF" w:rsidRPr="00092ED7" w:rsidRDefault="00247CBF" w:rsidP="00247CBF">
            <w:pPr>
              <w:spacing w:after="0"/>
              <w:jc w:val="center"/>
              <w:rPr>
                <w:sz w:val="20"/>
                <w:szCs w:val="20"/>
                <w:lang w:val="sr-Cyrl-CS"/>
              </w:rPr>
            </w:pPr>
            <w:r w:rsidRPr="00092ED7">
              <w:rPr>
                <w:sz w:val="20"/>
                <w:szCs w:val="20"/>
                <w:lang w:val="sr-Cyrl-CS"/>
              </w:rPr>
              <w:t>-9,0</w:t>
            </w:r>
          </w:p>
        </w:tc>
        <w:tc>
          <w:tcPr>
            <w:tcW w:w="495" w:type="pct"/>
            <w:gridSpan w:val="2"/>
            <w:tcBorders>
              <w:top w:val="double" w:sz="4" w:space="0" w:color="auto"/>
              <w:left w:val="nil"/>
              <w:bottom w:val="dotted" w:sz="4" w:space="0" w:color="auto"/>
              <w:right w:val="dotted" w:sz="4" w:space="0" w:color="auto"/>
            </w:tcBorders>
            <w:shd w:val="clear" w:color="000000" w:fill="FFFFFF"/>
            <w:hideMark/>
          </w:tcPr>
          <w:p w14:paraId="26E370B6" w14:textId="77777777" w:rsidR="00247CBF" w:rsidRPr="00092ED7" w:rsidRDefault="00247CBF" w:rsidP="00247CBF">
            <w:pPr>
              <w:spacing w:after="0"/>
              <w:jc w:val="center"/>
              <w:rPr>
                <w:sz w:val="20"/>
                <w:szCs w:val="20"/>
                <w:lang w:val="sr-Cyrl-CS"/>
              </w:rPr>
            </w:pPr>
            <w:r w:rsidRPr="00092ED7">
              <w:rPr>
                <w:sz w:val="20"/>
                <w:szCs w:val="20"/>
                <w:lang w:val="sr-Cyrl-CS"/>
              </w:rPr>
              <w:t>-8,5</w:t>
            </w:r>
          </w:p>
        </w:tc>
        <w:tc>
          <w:tcPr>
            <w:tcW w:w="495" w:type="pct"/>
            <w:gridSpan w:val="2"/>
            <w:tcBorders>
              <w:top w:val="double" w:sz="4" w:space="0" w:color="auto"/>
              <w:left w:val="nil"/>
              <w:bottom w:val="dotted" w:sz="4" w:space="0" w:color="auto"/>
              <w:right w:val="dotted" w:sz="4" w:space="0" w:color="auto"/>
            </w:tcBorders>
            <w:shd w:val="clear" w:color="000000" w:fill="FFFFFF"/>
            <w:hideMark/>
          </w:tcPr>
          <w:p w14:paraId="7E67B31B" w14:textId="77777777" w:rsidR="00247CBF" w:rsidRPr="00092ED7" w:rsidRDefault="00247CBF" w:rsidP="00247CBF">
            <w:pPr>
              <w:spacing w:after="0"/>
              <w:jc w:val="center"/>
              <w:rPr>
                <w:sz w:val="20"/>
                <w:szCs w:val="20"/>
                <w:lang w:val="sr-Cyrl-CS"/>
              </w:rPr>
            </w:pPr>
            <w:r w:rsidRPr="00092ED7">
              <w:rPr>
                <w:sz w:val="20"/>
                <w:szCs w:val="20"/>
                <w:lang w:val="sr-Cyrl-CS"/>
              </w:rPr>
              <w:t>-6,7</w:t>
            </w:r>
          </w:p>
        </w:tc>
        <w:tc>
          <w:tcPr>
            <w:tcW w:w="494" w:type="pct"/>
            <w:gridSpan w:val="2"/>
            <w:tcBorders>
              <w:top w:val="double" w:sz="4" w:space="0" w:color="auto"/>
              <w:left w:val="nil"/>
              <w:bottom w:val="dotted" w:sz="4" w:space="0" w:color="auto"/>
              <w:right w:val="double" w:sz="6" w:space="0" w:color="auto"/>
            </w:tcBorders>
            <w:shd w:val="clear" w:color="000000" w:fill="FFFFFF"/>
            <w:hideMark/>
          </w:tcPr>
          <w:p w14:paraId="6B4F0D77" w14:textId="77777777" w:rsidR="00247CBF" w:rsidRPr="00092ED7" w:rsidRDefault="00247CBF" w:rsidP="00247CBF">
            <w:pPr>
              <w:spacing w:after="0"/>
              <w:jc w:val="center"/>
              <w:rPr>
                <w:sz w:val="20"/>
                <w:szCs w:val="20"/>
                <w:lang w:val="sr-Cyrl-CS"/>
              </w:rPr>
            </w:pPr>
            <w:r w:rsidRPr="00092ED7">
              <w:rPr>
                <w:sz w:val="20"/>
                <w:szCs w:val="20"/>
                <w:lang w:val="sr-Cyrl-CS"/>
              </w:rPr>
              <w:t>-6,0</w:t>
            </w:r>
          </w:p>
        </w:tc>
      </w:tr>
      <w:tr w:rsidR="00247CBF" w:rsidRPr="00092ED7" w14:paraId="51E9B40D"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55D8F544" w14:textId="77777777" w:rsidR="00247CBF" w:rsidRPr="00092ED7" w:rsidRDefault="00247CBF" w:rsidP="00247CBF">
            <w:pPr>
              <w:spacing w:after="0"/>
              <w:jc w:val="left"/>
              <w:rPr>
                <w:sz w:val="20"/>
                <w:szCs w:val="20"/>
                <w:lang w:val="sr-Cyrl-CS"/>
              </w:rPr>
            </w:pPr>
            <w:r w:rsidRPr="00092ED7">
              <w:rPr>
                <w:sz w:val="20"/>
                <w:szCs w:val="20"/>
                <w:lang w:val="sr-Cyrl-CS"/>
              </w:rPr>
              <w:t>2. Извоз робе</w:t>
            </w:r>
          </w:p>
        </w:tc>
        <w:tc>
          <w:tcPr>
            <w:tcW w:w="534" w:type="pct"/>
            <w:tcBorders>
              <w:top w:val="nil"/>
              <w:left w:val="nil"/>
              <w:bottom w:val="dotted" w:sz="4" w:space="0" w:color="auto"/>
              <w:right w:val="single" w:sz="8" w:space="0" w:color="auto"/>
            </w:tcBorders>
            <w:shd w:val="clear" w:color="000000" w:fill="FFFFFF"/>
            <w:vAlign w:val="center"/>
            <w:hideMark/>
          </w:tcPr>
          <w:p w14:paraId="7F460D69"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3D7D81EF" w14:textId="77777777" w:rsidR="00247CBF" w:rsidRPr="00092ED7" w:rsidRDefault="00247CBF" w:rsidP="00247CBF">
            <w:pPr>
              <w:spacing w:after="0"/>
              <w:jc w:val="center"/>
              <w:rPr>
                <w:sz w:val="20"/>
                <w:szCs w:val="20"/>
                <w:lang w:val="sr-Cyrl-CS"/>
              </w:rPr>
            </w:pPr>
            <w:r w:rsidRPr="00092ED7">
              <w:rPr>
                <w:sz w:val="20"/>
                <w:szCs w:val="20"/>
                <w:lang w:val="sr-Cyrl-CS"/>
              </w:rPr>
              <w:t>20,8</w:t>
            </w:r>
          </w:p>
        </w:tc>
        <w:tc>
          <w:tcPr>
            <w:tcW w:w="495" w:type="pct"/>
            <w:gridSpan w:val="3"/>
            <w:tcBorders>
              <w:top w:val="nil"/>
              <w:left w:val="nil"/>
              <w:bottom w:val="dotted" w:sz="4" w:space="0" w:color="auto"/>
              <w:right w:val="dotted" w:sz="4" w:space="0" w:color="auto"/>
            </w:tcBorders>
            <w:shd w:val="clear" w:color="000000" w:fill="FFFFFF"/>
            <w:hideMark/>
          </w:tcPr>
          <w:p w14:paraId="12EE935B" w14:textId="77777777" w:rsidR="00247CBF" w:rsidRPr="00092ED7" w:rsidRDefault="00247CBF" w:rsidP="00247CBF">
            <w:pPr>
              <w:spacing w:after="0"/>
              <w:jc w:val="center"/>
              <w:rPr>
                <w:sz w:val="20"/>
                <w:szCs w:val="20"/>
                <w:lang w:val="sr-Cyrl-CS"/>
              </w:rPr>
            </w:pPr>
            <w:r w:rsidRPr="00092ED7">
              <w:rPr>
                <w:sz w:val="20"/>
                <w:szCs w:val="20"/>
                <w:lang w:val="sr-Cyrl-CS"/>
              </w:rPr>
              <w:t>28,5</w:t>
            </w:r>
          </w:p>
        </w:tc>
        <w:tc>
          <w:tcPr>
            <w:tcW w:w="495" w:type="pct"/>
            <w:gridSpan w:val="2"/>
            <w:tcBorders>
              <w:top w:val="nil"/>
              <w:left w:val="nil"/>
              <w:bottom w:val="dotted" w:sz="4" w:space="0" w:color="auto"/>
              <w:right w:val="dotted" w:sz="4" w:space="0" w:color="auto"/>
            </w:tcBorders>
            <w:shd w:val="clear" w:color="000000" w:fill="FFFFFF"/>
            <w:hideMark/>
          </w:tcPr>
          <w:p w14:paraId="6597C241" w14:textId="77777777" w:rsidR="00247CBF" w:rsidRPr="00092ED7" w:rsidRDefault="00247CBF" w:rsidP="00247CBF">
            <w:pPr>
              <w:spacing w:after="0"/>
              <w:jc w:val="center"/>
              <w:rPr>
                <w:sz w:val="20"/>
                <w:szCs w:val="20"/>
                <w:lang w:val="sr-Cyrl-CS"/>
              </w:rPr>
            </w:pPr>
            <w:r w:rsidRPr="00092ED7">
              <w:rPr>
                <w:sz w:val="20"/>
                <w:szCs w:val="20"/>
                <w:lang w:val="sr-Cyrl-CS"/>
              </w:rPr>
              <w:t>33,0</w:t>
            </w:r>
          </w:p>
        </w:tc>
        <w:tc>
          <w:tcPr>
            <w:tcW w:w="495" w:type="pct"/>
            <w:gridSpan w:val="2"/>
            <w:tcBorders>
              <w:top w:val="nil"/>
              <w:left w:val="nil"/>
              <w:bottom w:val="dotted" w:sz="4" w:space="0" w:color="auto"/>
              <w:right w:val="dotted" w:sz="4" w:space="0" w:color="auto"/>
            </w:tcBorders>
            <w:shd w:val="clear" w:color="000000" w:fill="FFFFFF"/>
            <w:hideMark/>
          </w:tcPr>
          <w:p w14:paraId="0A041A4C" w14:textId="77777777" w:rsidR="00247CBF" w:rsidRPr="00092ED7" w:rsidRDefault="00247CBF" w:rsidP="00247CBF">
            <w:pPr>
              <w:spacing w:after="0"/>
              <w:jc w:val="center"/>
              <w:rPr>
                <w:sz w:val="20"/>
                <w:szCs w:val="20"/>
                <w:lang w:val="sr-Cyrl-CS"/>
              </w:rPr>
            </w:pPr>
            <w:r w:rsidRPr="00092ED7">
              <w:rPr>
                <w:sz w:val="20"/>
                <w:szCs w:val="20"/>
                <w:lang w:val="sr-Cyrl-CS"/>
              </w:rPr>
              <w:t>35,9</w:t>
            </w:r>
          </w:p>
        </w:tc>
        <w:tc>
          <w:tcPr>
            <w:tcW w:w="494" w:type="pct"/>
            <w:gridSpan w:val="2"/>
            <w:tcBorders>
              <w:top w:val="nil"/>
              <w:left w:val="nil"/>
              <w:bottom w:val="dotted" w:sz="4" w:space="0" w:color="auto"/>
              <w:right w:val="double" w:sz="6" w:space="0" w:color="auto"/>
            </w:tcBorders>
            <w:shd w:val="clear" w:color="000000" w:fill="FFFFFF"/>
            <w:hideMark/>
          </w:tcPr>
          <w:p w14:paraId="5A71918D" w14:textId="77777777" w:rsidR="00247CBF" w:rsidRPr="00092ED7" w:rsidRDefault="00247CBF" w:rsidP="00247CBF">
            <w:pPr>
              <w:spacing w:after="0"/>
              <w:jc w:val="center"/>
              <w:rPr>
                <w:sz w:val="20"/>
                <w:szCs w:val="20"/>
                <w:lang w:val="sr-Cyrl-CS"/>
              </w:rPr>
            </w:pPr>
            <w:r w:rsidRPr="00092ED7">
              <w:rPr>
                <w:sz w:val="20"/>
                <w:szCs w:val="20"/>
                <w:lang w:val="sr-Cyrl-CS"/>
              </w:rPr>
              <w:t>39,5</w:t>
            </w:r>
          </w:p>
        </w:tc>
      </w:tr>
      <w:tr w:rsidR="00247CBF" w:rsidRPr="00092ED7" w14:paraId="2F6A9624"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0DAD2ACC" w14:textId="77777777" w:rsidR="00247CBF" w:rsidRPr="00092ED7" w:rsidRDefault="00247CBF" w:rsidP="00247CBF">
            <w:pPr>
              <w:spacing w:after="0"/>
              <w:jc w:val="left"/>
              <w:rPr>
                <w:sz w:val="20"/>
                <w:szCs w:val="20"/>
                <w:lang w:val="sr-Cyrl-CS"/>
              </w:rPr>
            </w:pPr>
            <w:r w:rsidRPr="00092ED7">
              <w:rPr>
                <w:sz w:val="20"/>
                <w:szCs w:val="20"/>
                <w:lang w:val="sr-Cyrl-CS"/>
              </w:rPr>
              <w:t>3. Увоз робе</w:t>
            </w:r>
          </w:p>
        </w:tc>
        <w:tc>
          <w:tcPr>
            <w:tcW w:w="534" w:type="pct"/>
            <w:tcBorders>
              <w:top w:val="nil"/>
              <w:left w:val="nil"/>
              <w:bottom w:val="dotted" w:sz="4" w:space="0" w:color="auto"/>
              <w:right w:val="single" w:sz="8" w:space="0" w:color="auto"/>
            </w:tcBorders>
            <w:shd w:val="clear" w:color="000000" w:fill="FFFFFF"/>
            <w:vAlign w:val="center"/>
            <w:hideMark/>
          </w:tcPr>
          <w:p w14:paraId="474F7FF1"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4FEC245B" w14:textId="77777777" w:rsidR="00247CBF" w:rsidRPr="00092ED7" w:rsidRDefault="00247CBF" w:rsidP="00247CBF">
            <w:pPr>
              <w:spacing w:after="0"/>
              <w:jc w:val="center"/>
              <w:rPr>
                <w:sz w:val="20"/>
                <w:szCs w:val="20"/>
                <w:lang w:val="sr-Cyrl-CS"/>
              </w:rPr>
            </w:pPr>
            <w:r w:rsidRPr="00092ED7">
              <w:rPr>
                <w:sz w:val="20"/>
                <w:szCs w:val="20"/>
                <w:lang w:val="sr-Cyrl-CS"/>
              </w:rPr>
              <w:t>26,7</w:t>
            </w:r>
          </w:p>
        </w:tc>
        <w:tc>
          <w:tcPr>
            <w:tcW w:w="495" w:type="pct"/>
            <w:gridSpan w:val="3"/>
            <w:tcBorders>
              <w:top w:val="nil"/>
              <w:left w:val="nil"/>
              <w:bottom w:val="dotted" w:sz="4" w:space="0" w:color="auto"/>
              <w:right w:val="dotted" w:sz="4" w:space="0" w:color="auto"/>
            </w:tcBorders>
            <w:shd w:val="clear" w:color="000000" w:fill="FFFFFF"/>
            <w:hideMark/>
          </w:tcPr>
          <w:p w14:paraId="313B8ECD" w14:textId="77777777" w:rsidR="00247CBF" w:rsidRPr="00092ED7" w:rsidRDefault="00247CBF" w:rsidP="00247CBF">
            <w:pPr>
              <w:spacing w:after="0"/>
              <w:jc w:val="center"/>
              <w:rPr>
                <w:sz w:val="20"/>
                <w:szCs w:val="20"/>
                <w:lang w:val="sr-Cyrl-CS"/>
              </w:rPr>
            </w:pPr>
            <w:r w:rsidRPr="00092ED7">
              <w:rPr>
                <w:sz w:val="20"/>
                <w:szCs w:val="20"/>
                <w:lang w:val="sr-Cyrl-CS"/>
              </w:rPr>
              <w:t>37,4</w:t>
            </w:r>
          </w:p>
        </w:tc>
        <w:tc>
          <w:tcPr>
            <w:tcW w:w="495" w:type="pct"/>
            <w:gridSpan w:val="2"/>
            <w:tcBorders>
              <w:top w:val="nil"/>
              <w:left w:val="nil"/>
              <w:bottom w:val="dotted" w:sz="4" w:space="0" w:color="auto"/>
              <w:right w:val="dotted" w:sz="4" w:space="0" w:color="auto"/>
            </w:tcBorders>
            <w:shd w:val="clear" w:color="000000" w:fill="FFFFFF"/>
            <w:hideMark/>
          </w:tcPr>
          <w:p w14:paraId="54E21CD9" w14:textId="77777777" w:rsidR="00247CBF" w:rsidRPr="00092ED7" w:rsidRDefault="00247CBF" w:rsidP="00247CBF">
            <w:pPr>
              <w:spacing w:after="0"/>
              <w:jc w:val="center"/>
              <w:rPr>
                <w:sz w:val="20"/>
                <w:szCs w:val="20"/>
                <w:lang w:val="sr-Cyrl-CS"/>
              </w:rPr>
            </w:pPr>
            <w:r w:rsidRPr="00092ED7">
              <w:rPr>
                <w:sz w:val="20"/>
                <w:szCs w:val="20"/>
                <w:lang w:val="sr-Cyrl-CS"/>
              </w:rPr>
              <w:t>41,9</w:t>
            </w:r>
          </w:p>
        </w:tc>
        <w:tc>
          <w:tcPr>
            <w:tcW w:w="495" w:type="pct"/>
            <w:gridSpan w:val="2"/>
            <w:tcBorders>
              <w:top w:val="nil"/>
              <w:left w:val="nil"/>
              <w:bottom w:val="dotted" w:sz="4" w:space="0" w:color="auto"/>
              <w:right w:val="dotted" w:sz="4" w:space="0" w:color="auto"/>
            </w:tcBorders>
            <w:shd w:val="clear" w:color="000000" w:fill="FFFFFF"/>
            <w:hideMark/>
          </w:tcPr>
          <w:p w14:paraId="01798A86" w14:textId="77777777" w:rsidR="00247CBF" w:rsidRPr="00092ED7" w:rsidRDefault="00247CBF" w:rsidP="00247CBF">
            <w:pPr>
              <w:spacing w:after="0"/>
              <w:jc w:val="center"/>
              <w:rPr>
                <w:sz w:val="20"/>
                <w:szCs w:val="20"/>
                <w:lang w:val="sr-Cyrl-CS"/>
              </w:rPr>
            </w:pPr>
            <w:r w:rsidRPr="00092ED7">
              <w:rPr>
                <w:sz w:val="20"/>
                <w:szCs w:val="20"/>
                <w:lang w:val="sr-Cyrl-CS"/>
              </w:rPr>
              <w:t>44,4</w:t>
            </w:r>
          </w:p>
        </w:tc>
        <w:tc>
          <w:tcPr>
            <w:tcW w:w="494" w:type="pct"/>
            <w:gridSpan w:val="2"/>
            <w:tcBorders>
              <w:top w:val="nil"/>
              <w:left w:val="nil"/>
              <w:bottom w:val="dotted" w:sz="4" w:space="0" w:color="auto"/>
              <w:right w:val="double" w:sz="6" w:space="0" w:color="auto"/>
            </w:tcBorders>
            <w:shd w:val="clear" w:color="000000" w:fill="FFFFFF"/>
            <w:hideMark/>
          </w:tcPr>
          <w:p w14:paraId="2EC3FA6B" w14:textId="77777777" w:rsidR="00247CBF" w:rsidRPr="00092ED7" w:rsidRDefault="00247CBF" w:rsidP="00247CBF">
            <w:pPr>
              <w:spacing w:after="0"/>
              <w:jc w:val="center"/>
              <w:rPr>
                <w:sz w:val="20"/>
                <w:szCs w:val="20"/>
                <w:lang w:val="sr-Cyrl-CS"/>
              </w:rPr>
            </w:pPr>
            <w:r w:rsidRPr="00092ED7">
              <w:rPr>
                <w:sz w:val="20"/>
                <w:szCs w:val="20"/>
                <w:lang w:val="sr-Cyrl-CS"/>
              </w:rPr>
              <w:t>48,4</w:t>
            </w:r>
          </w:p>
        </w:tc>
      </w:tr>
      <w:tr w:rsidR="00247CBF" w:rsidRPr="00092ED7" w14:paraId="08A112D9"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270EBC0F" w14:textId="77777777" w:rsidR="00247CBF" w:rsidRPr="00092ED7" w:rsidRDefault="00247CBF" w:rsidP="00247CBF">
            <w:pPr>
              <w:spacing w:after="0"/>
              <w:jc w:val="left"/>
              <w:rPr>
                <w:sz w:val="20"/>
                <w:szCs w:val="20"/>
                <w:lang w:val="sr-Cyrl-CS"/>
              </w:rPr>
            </w:pPr>
            <w:r w:rsidRPr="00092ED7">
              <w:rPr>
                <w:sz w:val="20"/>
                <w:szCs w:val="20"/>
                <w:lang w:val="sr-Cyrl-CS"/>
              </w:rPr>
              <w:t>4. Спољнотрговински биланс</w:t>
            </w:r>
          </w:p>
        </w:tc>
        <w:tc>
          <w:tcPr>
            <w:tcW w:w="534" w:type="pct"/>
            <w:tcBorders>
              <w:top w:val="nil"/>
              <w:left w:val="nil"/>
              <w:bottom w:val="dotted" w:sz="4" w:space="0" w:color="auto"/>
              <w:right w:val="single" w:sz="8" w:space="0" w:color="auto"/>
            </w:tcBorders>
            <w:shd w:val="clear" w:color="000000" w:fill="FFFFFF"/>
            <w:vAlign w:val="center"/>
            <w:hideMark/>
          </w:tcPr>
          <w:p w14:paraId="7B514687"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780B9EA4" w14:textId="77777777" w:rsidR="00247CBF" w:rsidRPr="00092ED7" w:rsidRDefault="00247CBF" w:rsidP="00247CBF">
            <w:pPr>
              <w:spacing w:after="0"/>
              <w:jc w:val="center"/>
              <w:rPr>
                <w:sz w:val="20"/>
                <w:szCs w:val="20"/>
                <w:lang w:val="sr-Cyrl-CS"/>
              </w:rPr>
            </w:pPr>
            <w:r w:rsidRPr="00092ED7">
              <w:rPr>
                <w:sz w:val="20"/>
                <w:szCs w:val="20"/>
                <w:lang w:val="sr-Cyrl-CS"/>
              </w:rPr>
              <w:t>-5,9</w:t>
            </w:r>
          </w:p>
        </w:tc>
        <w:tc>
          <w:tcPr>
            <w:tcW w:w="495" w:type="pct"/>
            <w:gridSpan w:val="3"/>
            <w:tcBorders>
              <w:top w:val="nil"/>
              <w:left w:val="nil"/>
              <w:bottom w:val="dotted" w:sz="4" w:space="0" w:color="auto"/>
              <w:right w:val="dotted" w:sz="4" w:space="0" w:color="auto"/>
            </w:tcBorders>
            <w:shd w:val="clear" w:color="000000" w:fill="FFFFFF"/>
            <w:hideMark/>
          </w:tcPr>
          <w:p w14:paraId="70D1E9E5" w14:textId="77777777" w:rsidR="00247CBF" w:rsidRPr="00092ED7" w:rsidRDefault="00247CBF" w:rsidP="00247CBF">
            <w:pPr>
              <w:spacing w:after="0"/>
              <w:jc w:val="center"/>
              <w:rPr>
                <w:sz w:val="20"/>
                <w:szCs w:val="20"/>
                <w:lang w:val="sr-Cyrl-CS"/>
              </w:rPr>
            </w:pPr>
            <w:r w:rsidRPr="00092ED7">
              <w:rPr>
                <w:sz w:val="20"/>
                <w:szCs w:val="20"/>
                <w:lang w:val="sr-Cyrl-CS"/>
              </w:rPr>
              <w:t>-8,9</w:t>
            </w:r>
          </w:p>
        </w:tc>
        <w:tc>
          <w:tcPr>
            <w:tcW w:w="495" w:type="pct"/>
            <w:gridSpan w:val="2"/>
            <w:tcBorders>
              <w:top w:val="nil"/>
              <w:left w:val="nil"/>
              <w:bottom w:val="dotted" w:sz="4" w:space="0" w:color="auto"/>
              <w:right w:val="dotted" w:sz="4" w:space="0" w:color="auto"/>
            </w:tcBorders>
            <w:shd w:val="clear" w:color="000000" w:fill="FFFFFF"/>
            <w:hideMark/>
          </w:tcPr>
          <w:p w14:paraId="4006DAD2" w14:textId="77777777" w:rsidR="00247CBF" w:rsidRPr="00092ED7" w:rsidRDefault="00247CBF" w:rsidP="00247CBF">
            <w:pPr>
              <w:spacing w:after="0"/>
              <w:jc w:val="center"/>
              <w:rPr>
                <w:sz w:val="20"/>
                <w:szCs w:val="20"/>
                <w:lang w:val="sr-Cyrl-CS"/>
              </w:rPr>
            </w:pPr>
            <w:r w:rsidRPr="00092ED7">
              <w:rPr>
                <w:sz w:val="20"/>
                <w:szCs w:val="20"/>
                <w:lang w:val="sr-Cyrl-CS"/>
              </w:rPr>
              <w:t>-8,9</w:t>
            </w:r>
          </w:p>
        </w:tc>
        <w:tc>
          <w:tcPr>
            <w:tcW w:w="495" w:type="pct"/>
            <w:gridSpan w:val="2"/>
            <w:tcBorders>
              <w:top w:val="nil"/>
              <w:left w:val="nil"/>
              <w:bottom w:val="dotted" w:sz="4" w:space="0" w:color="auto"/>
              <w:right w:val="dotted" w:sz="4" w:space="0" w:color="auto"/>
            </w:tcBorders>
            <w:shd w:val="clear" w:color="000000" w:fill="FFFFFF"/>
            <w:hideMark/>
          </w:tcPr>
          <w:p w14:paraId="62058207" w14:textId="77777777" w:rsidR="00247CBF" w:rsidRPr="00092ED7" w:rsidRDefault="00247CBF" w:rsidP="00247CBF">
            <w:pPr>
              <w:spacing w:after="0"/>
              <w:jc w:val="center"/>
              <w:rPr>
                <w:sz w:val="20"/>
                <w:szCs w:val="20"/>
                <w:lang w:val="sr-Cyrl-CS"/>
              </w:rPr>
            </w:pPr>
            <w:r w:rsidRPr="00092ED7">
              <w:rPr>
                <w:sz w:val="20"/>
                <w:szCs w:val="20"/>
                <w:lang w:val="sr-Cyrl-CS"/>
              </w:rPr>
              <w:t>-8,5</w:t>
            </w:r>
          </w:p>
        </w:tc>
        <w:tc>
          <w:tcPr>
            <w:tcW w:w="494" w:type="pct"/>
            <w:gridSpan w:val="2"/>
            <w:tcBorders>
              <w:top w:val="nil"/>
              <w:left w:val="nil"/>
              <w:bottom w:val="dotted" w:sz="4" w:space="0" w:color="auto"/>
              <w:right w:val="double" w:sz="6" w:space="0" w:color="auto"/>
            </w:tcBorders>
            <w:shd w:val="clear" w:color="000000" w:fill="FFFFFF"/>
            <w:hideMark/>
          </w:tcPr>
          <w:p w14:paraId="085A3B49" w14:textId="77777777" w:rsidR="00247CBF" w:rsidRPr="00092ED7" w:rsidRDefault="00247CBF" w:rsidP="00247CBF">
            <w:pPr>
              <w:spacing w:after="0"/>
              <w:jc w:val="center"/>
              <w:rPr>
                <w:sz w:val="20"/>
                <w:szCs w:val="20"/>
                <w:lang w:val="sr-Cyrl-CS"/>
              </w:rPr>
            </w:pPr>
            <w:r w:rsidRPr="00092ED7">
              <w:rPr>
                <w:sz w:val="20"/>
                <w:szCs w:val="20"/>
                <w:lang w:val="sr-Cyrl-CS"/>
              </w:rPr>
              <w:t>-8,9</w:t>
            </w:r>
          </w:p>
        </w:tc>
      </w:tr>
      <w:tr w:rsidR="00247CBF" w:rsidRPr="00092ED7" w14:paraId="1198637B"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265CD292" w14:textId="77777777" w:rsidR="00247CBF" w:rsidRPr="00092ED7" w:rsidRDefault="00247CBF" w:rsidP="00247CBF">
            <w:pPr>
              <w:spacing w:after="0"/>
              <w:jc w:val="left"/>
              <w:rPr>
                <w:sz w:val="20"/>
                <w:szCs w:val="20"/>
                <w:lang w:val="sr-Cyrl-CS"/>
              </w:rPr>
            </w:pPr>
            <w:r w:rsidRPr="00092ED7">
              <w:rPr>
                <w:sz w:val="20"/>
                <w:szCs w:val="20"/>
                <w:lang w:val="sr-Cyrl-CS"/>
              </w:rPr>
              <w:t>5. Извоз услуга</w:t>
            </w:r>
          </w:p>
        </w:tc>
        <w:tc>
          <w:tcPr>
            <w:tcW w:w="534" w:type="pct"/>
            <w:tcBorders>
              <w:top w:val="nil"/>
              <w:left w:val="nil"/>
              <w:bottom w:val="dotted" w:sz="4" w:space="0" w:color="auto"/>
              <w:right w:val="single" w:sz="8" w:space="0" w:color="auto"/>
            </w:tcBorders>
            <w:shd w:val="clear" w:color="000000" w:fill="FFFFFF"/>
            <w:vAlign w:val="center"/>
            <w:hideMark/>
          </w:tcPr>
          <w:p w14:paraId="5206E64E"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6DBE322C" w14:textId="77777777" w:rsidR="00247CBF" w:rsidRPr="00092ED7" w:rsidRDefault="00247CBF" w:rsidP="00247CBF">
            <w:pPr>
              <w:spacing w:after="0"/>
              <w:jc w:val="center"/>
              <w:rPr>
                <w:sz w:val="20"/>
                <w:szCs w:val="20"/>
                <w:lang w:val="sr-Cyrl-CS"/>
              </w:rPr>
            </w:pPr>
            <w:r w:rsidRPr="00092ED7">
              <w:rPr>
                <w:sz w:val="20"/>
                <w:szCs w:val="20"/>
                <w:lang w:val="sr-Cyrl-CS"/>
              </w:rPr>
              <w:t>7,8</w:t>
            </w:r>
          </w:p>
        </w:tc>
        <w:tc>
          <w:tcPr>
            <w:tcW w:w="495" w:type="pct"/>
            <w:gridSpan w:val="3"/>
            <w:tcBorders>
              <w:top w:val="nil"/>
              <w:left w:val="nil"/>
              <w:bottom w:val="dotted" w:sz="4" w:space="0" w:color="auto"/>
              <w:right w:val="dotted" w:sz="4" w:space="0" w:color="auto"/>
            </w:tcBorders>
            <w:shd w:val="clear" w:color="000000" w:fill="FFFFFF"/>
            <w:hideMark/>
          </w:tcPr>
          <w:p w14:paraId="3497BB25" w14:textId="77777777" w:rsidR="00247CBF" w:rsidRPr="00092ED7" w:rsidRDefault="00247CBF" w:rsidP="00247CBF">
            <w:pPr>
              <w:spacing w:after="0"/>
              <w:jc w:val="center"/>
              <w:rPr>
                <w:sz w:val="20"/>
                <w:szCs w:val="20"/>
                <w:lang w:val="sr-Cyrl-CS"/>
              </w:rPr>
            </w:pPr>
            <w:r w:rsidRPr="00092ED7">
              <w:rPr>
                <w:sz w:val="20"/>
                <w:szCs w:val="20"/>
                <w:lang w:val="sr-Cyrl-CS"/>
              </w:rPr>
              <w:t>10,8</w:t>
            </w:r>
          </w:p>
        </w:tc>
        <w:tc>
          <w:tcPr>
            <w:tcW w:w="495" w:type="pct"/>
            <w:gridSpan w:val="2"/>
            <w:tcBorders>
              <w:top w:val="nil"/>
              <w:left w:val="nil"/>
              <w:bottom w:val="dotted" w:sz="4" w:space="0" w:color="auto"/>
              <w:right w:val="dotted" w:sz="4" w:space="0" w:color="auto"/>
            </w:tcBorders>
            <w:shd w:val="clear" w:color="000000" w:fill="FFFFFF"/>
            <w:hideMark/>
          </w:tcPr>
          <w:p w14:paraId="3BF34957" w14:textId="77777777" w:rsidR="00247CBF" w:rsidRPr="00092ED7" w:rsidRDefault="00247CBF" w:rsidP="00247CBF">
            <w:pPr>
              <w:spacing w:after="0"/>
              <w:jc w:val="center"/>
              <w:rPr>
                <w:sz w:val="20"/>
                <w:szCs w:val="20"/>
                <w:lang w:val="sr-Cyrl-CS"/>
              </w:rPr>
            </w:pPr>
            <w:r w:rsidRPr="00092ED7">
              <w:rPr>
                <w:sz w:val="20"/>
                <w:szCs w:val="20"/>
                <w:lang w:val="sr-Cyrl-CS"/>
              </w:rPr>
              <w:t>12,4</w:t>
            </w:r>
          </w:p>
        </w:tc>
        <w:tc>
          <w:tcPr>
            <w:tcW w:w="495" w:type="pct"/>
            <w:gridSpan w:val="2"/>
            <w:tcBorders>
              <w:top w:val="nil"/>
              <w:left w:val="nil"/>
              <w:bottom w:val="dotted" w:sz="4" w:space="0" w:color="auto"/>
              <w:right w:val="dotted" w:sz="4" w:space="0" w:color="auto"/>
            </w:tcBorders>
            <w:shd w:val="clear" w:color="000000" w:fill="FFFFFF"/>
            <w:hideMark/>
          </w:tcPr>
          <w:p w14:paraId="7F5172B5" w14:textId="77777777" w:rsidR="00247CBF" w:rsidRPr="00092ED7" w:rsidRDefault="00247CBF" w:rsidP="00247CBF">
            <w:pPr>
              <w:spacing w:after="0"/>
              <w:jc w:val="center"/>
              <w:rPr>
                <w:sz w:val="20"/>
                <w:szCs w:val="20"/>
                <w:lang w:val="sr-Cyrl-CS"/>
              </w:rPr>
            </w:pPr>
            <w:r w:rsidRPr="00092ED7">
              <w:rPr>
                <w:sz w:val="20"/>
                <w:szCs w:val="20"/>
                <w:lang w:val="sr-Cyrl-CS"/>
              </w:rPr>
              <w:t>13,4</w:t>
            </w:r>
          </w:p>
        </w:tc>
        <w:tc>
          <w:tcPr>
            <w:tcW w:w="494" w:type="pct"/>
            <w:gridSpan w:val="2"/>
            <w:tcBorders>
              <w:top w:val="nil"/>
              <w:left w:val="nil"/>
              <w:bottom w:val="dotted" w:sz="4" w:space="0" w:color="auto"/>
              <w:right w:val="double" w:sz="6" w:space="0" w:color="auto"/>
            </w:tcBorders>
            <w:shd w:val="clear" w:color="000000" w:fill="FFFFFF"/>
            <w:hideMark/>
          </w:tcPr>
          <w:p w14:paraId="72AA7D5E" w14:textId="77777777" w:rsidR="00247CBF" w:rsidRPr="00092ED7" w:rsidRDefault="00247CBF" w:rsidP="00247CBF">
            <w:pPr>
              <w:spacing w:after="0"/>
              <w:jc w:val="center"/>
              <w:rPr>
                <w:sz w:val="20"/>
                <w:szCs w:val="20"/>
                <w:lang w:val="sr-Cyrl-CS"/>
              </w:rPr>
            </w:pPr>
            <w:r w:rsidRPr="00092ED7">
              <w:rPr>
                <w:sz w:val="20"/>
                <w:szCs w:val="20"/>
                <w:lang w:val="sr-Cyrl-CS"/>
              </w:rPr>
              <w:t>14,7</w:t>
            </w:r>
          </w:p>
        </w:tc>
      </w:tr>
      <w:tr w:rsidR="00247CBF" w:rsidRPr="00092ED7" w14:paraId="3AC28C28"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1E2D218E" w14:textId="77777777" w:rsidR="00247CBF" w:rsidRPr="00092ED7" w:rsidRDefault="00247CBF" w:rsidP="00247CBF">
            <w:pPr>
              <w:spacing w:after="0"/>
              <w:jc w:val="left"/>
              <w:rPr>
                <w:sz w:val="20"/>
                <w:szCs w:val="20"/>
                <w:lang w:val="sr-Cyrl-CS"/>
              </w:rPr>
            </w:pPr>
            <w:r w:rsidRPr="00092ED7">
              <w:rPr>
                <w:sz w:val="20"/>
                <w:szCs w:val="20"/>
                <w:lang w:val="sr-Cyrl-CS"/>
              </w:rPr>
              <w:t>6. Увоз услуга</w:t>
            </w:r>
          </w:p>
        </w:tc>
        <w:tc>
          <w:tcPr>
            <w:tcW w:w="534" w:type="pct"/>
            <w:tcBorders>
              <w:top w:val="nil"/>
              <w:left w:val="nil"/>
              <w:bottom w:val="dotted" w:sz="4" w:space="0" w:color="auto"/>
              <w:right w:val="single" w:sz="8" w:space="0" w:color="auto"/>
            </w:tcBorders>
            <w:shd w:val="clear" w:color="000000" w:fill="FFFFFF"/>
            <w:vAlign w:val="center"/>
            <w:hideMark/>
          </w:tcPr>
          <w:p w14:paraId="446CFD15"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2435E6D2" w14:textId="77777777" w:rsidR="00247CBF" w:rsidRPr="00092ED7" w:rsidRDefault="00247CBF" w:rsidP="00247CBF">
            <w:pPr>
              <w:spacing w:after="0"/>
              <w:jc w:val="center"/>
              <w:rPr>
                <w:sz w:val="20"/>
                <w:szCs w:val="20"/>
                <w:lang w:val="sr-Cyrl-CS"/>
              </w:rPr>
            </w:pPr>
            <w:r w:rsidRPr="00092ED7">
              <w:rPr>
                <w:sz w:val="20"/>
                <w:szCs w:val="20"/>
                <w:lang w:val="sr-Cyrl-CS"/>
              </w:rPr>
              <w:t>6,4</w:t>
            </w:r>
          </w:p>
        </w:tc>
        <w:tc>
          <w:tcPr>
            <w:tcW w:w="495" w:type="pct"/>
            <w:gridSpan w:val="3"/>
            <w:tcBorders>
              <w:top w:val="nil"/>
              <w:left w:val="nil"/>
              <w:bottom w:val="dotted" w:sz="4" w:space="0" w:color="auto"/>
              <w:right w:val="dotted" w:sz="4" w:space="0" w:color="auto"/>
            </w:tcBorders>
            <w:shd w:val="clear" w:color="000000" w:fill="FFFFFF"/>
            <w:hideMark/>
          </w:tcPr>
          <w:p w14:paraId="42E4D81C" w14:textId="77777777" w:rsidR="00247CBF" w:rsidRPr="00092ED7" w:rsidRDefault="00247CBF" w:rsidP="00247CBF">
            <w:pPr>
              <w:spacing w:after="0"/>
              <w:jc w:val="center"/>
              <w:rPr>
                <w:sz w:val="20"/>
                <w:szCs w:val="20"/>
                <w:lang w:val="sr-Cyrl-CS"/>
              </w:rPr>
            </w:pPr>
            <w:r w:rsidRPr="00092ED7">
              <w:rPr>
                <w:sz w:val="20"/>
                <w:szCs w:val="20"/>
                <w:lang w:val="sr-Cyrl-CS"/>
              </w:rPr>
              <w:t>9,2</w:t>
            </w:r>
          </w:p>
        </w:tc>
        <w:tc>
          <w:tcPr>
            <w:tcW w:w="495" w:type="pct"/>
            <w:gridSpan w:val="2"/>
            <w:tcBorders>
              <w:top w:val="nil"/>
              <w:left w:val="nil"/>
              <w:bottom w:val="dotted" w:sz="4" w:space="0" w:color="auto"/>
              <w:right w:val="dotted" w:sz="4" w:space="0" w:color="auto"/>
            </w:tcBorders>
            <w:shd w:val="clear" w:color="000000" w:fill="FFFFFF"/>
            <w:hideMark/>
          </w:tcPr>
          <w:p w14:paraId="6043917F" w14:textId="77777777" w:rsidR="00247CBF" w:rsidRPr="00092ED7" w:rsidRDefault="00247CBF" w:rsidP="00247CBF">
            <w:pPr>
              <w:spacing w:after="0"/>
              <w:jc w:val="center"/>
              <w:rPr>
                <w:sz w:val="20"/>
                <w:szCs w:val="20"/>
                <w:lang w:val="sr-Cyrl-CS"/>
              </w:rPr>
            </w:pPr>
            <w:r w:rsidRPr="00092ED7">
              <w:rPr>
                <w:sz w:val="20"/>
                <w:szCs w:val="20"/>
                <w:lang w:val="sr-Cyrl-CS"/>
              </w:rPr>
              <w:t>11,0</w:t>
            </w:r>
          </w:p>
        </w:tc>
        <w:tc>
          <w:tcPr>
            <w:tcW w:w="495" w:type="pct"/>
            <w:gridSpan w:val="2"/>
            <w:tcBorders>
              <w:top w:val="nil"/>
              <w:left w:val="nil"/>
              <w:bottom w:val="dotted" w:sz="4" w:space="0" w:color="auto"/>
              <w:right w:val="dotted" w:sz="4" w:space="0" w:color="auto"/>
            </w:tcBorders>
            <w:shd w:val="clear" w:color="000000" w:fill="FFFFFF"/>
            <w:hideMark/>
          </w:tcPr>
          <w:p w14:paraId="1B31A17C" w14:textId="77777777" w:rsidR="00247CBF" w:rsidRPr="00092ED7" w:rsidRDefault="00247CBF" w:rsidP="00247CBF">
            <w:pPr>
              <w:spacing w:after="0"/>
              <w:jc w:val="center"/>
              <w:rPr>
                <w:sz w:val="20"/>
                <w:szCs w:val="20"/>
                <w:lang w:val="sr-Cyrl-CS"/>
              </w:rPr>
            </w:pPr>
            <w:r w:rsidRPr="00092ED7">
              <w:rPr>
                <w:sz w:val="20"/>
                <w:szCs w:val="20"/>
                <w:lang w:val="sr-Cyrl-CS"/>
              </w:rPr>
              <w:t>11,8</w:t>
            </w:r>
          </w:p>
        </w:tc>
        <w:tc>
          <w:tcPr>
            <w:tcW w:w="494" w:type="pct"/>
            <w:gridSpan w:val="2"/>
            <w:tcBorders>
              <w:top w:val="nil"/>
              <w:left w:val="nil"/>
              <w:bottom w:val="dotted" w:sz="4" w:space="0" w:color="auto"/>
              <w:right w:val="double" w:sz="6" w:space="0" w:color="auto"/>
            </w:tcBorders>
            <w:shd w:val="clear" w:color="000000" w:fill="FFFFFF"/>
            <w:hideMark/>
          </w:tcPr>
          <w:p w14:paraId="5A0CDE8C" w14:textId="77777777" w:rsidR="00247CBF" w:rsidRPr="00092ED7" w:rsidRDefault="00247CBF" w:rsidP="00247CBF">
            <w:pPr>
              <w:spacing w:after="0"/>
              <w:jc w:val="center"/>
              <w:rPr>
                <w:sz w:val="20"/>
                <w:szCs w:val="20"/>
                <w:lang w:val="sr-Cyrl-CS"/>
              </w:rPr>
            </w:pPr>
            <w:r w:rsidRPr="00092ED7">
              <w:rPr>
                <w:sz w:val="20"/>
                <w:szCs w:val="20"/>
                <w:lang w:val="sr-Cyrl-CS"/>
              </w:rPr>
              <w:t>13,0</w:t>
            </w:r>
          </w:p>
        </w:tc>
      </w:tr>
      <w:tr w:rsidR="00247CBF" w:rsidRPr="00092ED7" w14:paraId="05964578"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5487B891" w14:textId="77777777" w:rsidR="00247CBF" w:rsidRPr="00092ED7" w:rsidRDefault="00247CBF" w:rsidP="00247CBF">
            <w:pPr>
              <w:spacing w:after="0"/>
              <w:jc w:val="left"/>
              <w:rPr>
                <w:sz w:val="20"/>
                <w:szCs w:val="20"/>
                <w:lang w:val="sr-Cyrl-CS"/>
              </w:rPr>
            </w:pPr>
            <w:r w:rsidRPr="00092ED7">
              <w:rPr>
                <w:sz w:val="20"/>
                <w:szCs w:val="20"/>
                <w:lang w:val="sr-Cyrl-CS"/>
              </w:rPr>
              <w:t>7. Биланс услуга</w:t>
            </w:r>
          </w:p>
        </w:tc>
        <w:tc>
          <w:tcPr>
            <w:tcW w:w="534" w:type="pct"/>
            <w:tcBorders>
              <w:top w:val="nil"/>
              <w:left w:val="nil"/>
              <w:bottom w:val="dotted" w:sz="4" w:space="0" w:color="auto"/>
              <w:right w:val="single" w:sz="8" w:space="0" w:color="auto"/>
            </w:tcBorders>
            <w:shd w:val="clear" w:color="000000" w:fill="FFFFFF"/>
            <w:vAlign w:val="center"/>
            <w:hideMark/>
          </w:tcPr>
          <w:p w14:paraId="75C06AF0"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71D37857"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495" w:type="pct"/>
            <w:gridSpan w:val="3"/>
            <w:tcBorders>
              <w:top w:val="nil"/>
              <w:left w:val="nil"/>
              <w:bottom w:val="dotted" w:sz="4" w:space="0" w:color="auto"/>
              <w:right w:val="dotted" w:sz="4" w:space="0" w:color="auto"/>
            </w:tcBorders>
            <w:shd w:val="clear" w:color="000000" w:fill="FFFFFF"/>
            <w:hideMark/>
          </w:tcPr>
          <w:p w14:paraId="58BC84E2" w14:textId="77777777" w:rsidR="00247CBF" w:rsidRPr="00092ED7" w:rsidRDefault="00247CBF" w:rsidP="00247CBF">
            <w:pPr>
              <w:spacing w:after="0"/>
              <w:jc w:val="center"/>
              <w:rPr>
                <w:sz w:val="20"/>
                <w:szCs w:val="20"/>
                <w:lang w:val="sr-Cyrl-CS"/>
              </w:rPr>
            </w:pPr>
            <w:r w:rsidRPr="00092ED7">
              <w:rPr>
                <w:sz w:val="20"/>
                <w:szCs w:val="20"/>
                <w:lang w:val="sr-Cyrl-CS"/>
              </w:rPr>
              <w:t>1,6</w:t>
            </w:r>
          </w:p>
        </w:tc>
        <w:tc>
          <w:tcPr>
            <w:tcW w:w="495" w:type="pct"/>
            <w:gridSpan w:val="2"/>
            <w:tcBorders>
              <w:top w:val="nil"/>
              <w:left w:val="nil"/>
              <w:bottom w:val="dotted" w:sz="4" w:space="0" w:color="auto"/>
              <w:right w:val="dotted" w:sz="4" w:space="0" w:color="auto"/>
            </w:tcBorders>
            <w:shd w:val="clear" w:color="000000" w:fill="FFFFFF"/>
            <w:hideMark/>
          </w:tcPr>
          <w:p w14:paraId="5342C5DD"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495" w:type="pct"/>
            <w:gridSpan w:val="2"/>
            <w:tcBorders>
              <w:top w:val="nil"/>
              <w:left w:val="nil"/>
              <w:bottom w:val="dotted" w:sz="4" w:space="0" w:color="auto"/>
              <w:right w:val="dotted" w:sz="4" w:space="0" w:color="auto"/>
            </w:tcBorders>
            <w:shd w:val="clear" w:color="000000" w:fill="FFFFFF"/>
            <w:hideMark/>
          </w:tcPr>
          <w:p w14:paraId="43ADA17A" w14:textId="77777777" w:rsidR="00247CBF" w:rsidRPr="00092ED7" w:rsidRDefault="00247CBF" w:rsidP="00247CBF">
            <w:pPr>
              <w:spacing w:after="0"/>
              <w:jc w:val="center"/>
              <w:rPr>
                <w:sz w:val="20"/>
                <w:szCs w:val="20"/>
                <w:lang w:val="sr-Cyrl-CS"/>
              </w:rPr>
            </w:pPr>
            <w:r w:rsidRPr="00092ED7">
              <w:rPr>
                <w:sz w:val="20"/>
                <w:szCs w:val="20"/>
                <w:lang w:val="sr-Cyrl-CS"/>
              </w:rPr>
              <w:t>1,6</w:t>
            </w:r>
          </w:p>
        </w:tc>
        <w:tc>
          <w:tcPr>
            <w:tcW w:w="494" w:type="pct"/>
            <w:gridSpan w:val="2"/>
            <w:tcBorders>
              <w:top w:val="nil"/>
              <w:left w:val="nil"/>
              <w:bottom w:val="dotted" w:sz="4" w:space="0" w:color="auto"/>
              <w:right w:val="double" w:sz="6" w:space="0" w:color="auto"/>
            </w:tcBorders>
            <w:shd w:val="clear" w:color="000000" w:fill="FFFFFF"/>
            <w:hideMark/>
          </w:tcPr>
          <w:p w14:paraId="77189843" w14:textId="77777777" w:rsidR="00247CBF" w:rsidRPr="00092ED7" w:rsidRDefault="00247CBF" w:rsidP="00247CBF">
            <w:pPr>
              <w:spacing w:after="0"/>
              <w:jc w:val="center"/>
              <w:rPr>
                <w:sz w:val="20"/>
                <w:szCs w:val="20"/>
                <w:lang w:val="sr-Cyrl-CS"/>
              </w:rPr>
            </w:pPr>
            <w:r w:rsidRPr="00092ED7">
              <w:rPr>
                <w:sz w:val="20"/>
                <w:szCs w:val="20"/>
                <w:lang w:val="sr-Cyrl-CS"/>
              </w:rPr>
              <w:t>1,7</w:t>
            </w:r>
          </w:p>
        </w:tc>
      </w:tr>
      <w:tr w:rsidR="00247CBF" w:rsidRPr="00092ED7" w14:paraId="0E15C7B2"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70F3BB45" w14:textId="77777777" w:rsidR="00247CBF" w:rsidRPr="00092ED7" w:rsidRDefault="00247CBF" w:rsidP="00247CBF">
            <w:pPr>
              <w:spacing w:after="0"/>
              <w:jc w:val="left"/>
              <w:rPr>
                <w:sz w:val="20"/>
                <w:szCs w:val="20"/>
                <w:lang w:val="sr-Cyrl-CS"/>
              </w:rPr>
            </w:pPr>
            <w:r w:rsidRPr="00092ED7">
              <w:rPr>
                <w:sz w:val="20"/>
                <w:szCs w:val="20"/>
                <w:lang w:val="sr-Cyrl-CS"/>
              </w:rPr>
              <w:t>8. Нето примљене камате из иностранства</w:t>
            </w:r>
          </w:p>
        </w:tc>
        <w:tc>
          <w:tcPr>
            <w:tcW w:w="534" w:type="pct"/>
            <w:tcBorders>
              <w:top w:val="nil"/>
              <w:left w:val="nil"/>
              <w:bottom w:val="dotted" w:sz="4" w:space="0" w:color="auto"/>
              <w:right w:val="single" w:sz="8" w:space="0" w:color="auto"/>
            </w:tcBorders>
            <w:shd w:val="clear" w:color="000000" w:fill="FFFFFF"/>
            <w:vAlign w:val="center"/>
            <w:hideMark/>
          </w:tcPr>
          <w:p w14:paraId="51644C7D"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0FD72C28" w14:textId="77777777" w:rsidR="00247CBF" w:rsidRPr="00092ED7" w:rsidRDefault="00247CBF" w:rsidP="00247CBF">
            <w:pPr>
              <w:spacing w:after="0"/>
              <w:jc w:val="center"/>
              <w:rPr>
                <w:sz w:val="20"/>
                <w:szCs w:val="20"/>
                <w:lang w:val="sr-Cyrl-CS"/>
              </w:rPr>
            </w:pPr>
            <w:r w:rsidRPr="00092ED7">
              <w:rPr>
                <w:sz w:val="20"/>
                <w:szCs w:val="20"/>
                <w:lang w:val="sr-Cyrl-CS"/>
              </w:rPr>
              <w:t>-0,6</w:t>
            </w:r>
          </w:p>
        </w:tc>
        <w:tc>
          <w:tcPr>
            <w:tcW w:w="495" w:type="pct"/>
            <w:gridSpan w:val="3"/>
            <w:tcBorders>
              <w:top w:val="nil"/>
              <w:left w:val="nil"/>
              <w:bottom w:val="dotted" w:sz="4" w:space="0" w:color="auto"/>
              <w:right w:val="dotted" w:sz="4" w:space="0" w:color="auto"/>
            </w:tcBorders>
            <w:shd w:val="clear" w:color="000000" w:fill="FFFFFF"/>
            <w:hideMark/>
          </w:tcPr>
          <w:p w14:paraId="4CC5BEB7" w14:textId="77777777" w:rsidR="00247CBF" w:rsidRPr="00092ED7" w:rsidRDefault="00247CBF" w:rsidP="00247CBF">
            <w:pPr>
              <w:spacing w:after="0"/>
              <w:jc w:val="center"/>
              <w:rPr>
                <w:sz w:val="20"/>
                <w:szCs w:val="20"/>
                <w:lang w:val="sr-Cyrl-CS"/>
              </w:rPr>
            </w:pPr>
            <w:r w:rsidRPr="00092ED7">
              <w:rPr>
                <w:sz w:val="20"/>
                <w:szCs w:val="20"/>
                <w:lang w:val="sr-Cyrl-CS"/>
              </w:rPr>
              <w:t>-0,6</w:t>
            </w:r>
          </w:p>
        </w:tc>
        <w:tc>
          <w:tcPr>
            <w:tcW w:w="495" w:type="pct"/>
            <w:gridSpan w:val="2"/>
            <w:tcBorders>
              <w:top w:val="nil"/>
              <w:left w:val="nil"/>
              <w:bottom w:val="dotted" w:sz="4" w:space="0" w:color="auto"/>
              <w:right w:val="dotted" w:sz="4" w:space="0" w:color="auto"/>
            </w:tcBorders>
            <w:shd w:val="clear" w:color="000000" w:fill="FFFFFF"/>
            <w:hideMark/>
          </w:tcPr>
          <w:p w14:paraId="5932578F" w14:textId="77777777" w:rsidR="00247CBF" w:rsidRPr="00092ED7" w:rsidRDefault="00247CBF" w:rsidP="00247CBF">
            <w:pPr>
              <w:spacing w:after="0"/>
              <w:jc w:val="center"/>
              <w:rPr>
                <w:sz w:val="20"/>
                <w:szCs w:val="20"/>
                <w:lang w:val="sr-Cyrl-CS"/>
              </w:rPr>
            </w:pPr>
            <w:r w:rsidRPr="00092ED7">
              <w:rPr>
                <w:sz w:val="20"/>
                <w:szCs w:val="20"/>
                <w:lang w:val="sr-Cyrl-CS"/>
              </w:rPr>
              <w:t>-0,5</w:t>
            </w:r>
          </w:p>
        </w:tc>
        <w:tc>
          <w:tcPr>
            <w:tcW w:w="495" w:type="pct"/>
            <w:gridSpan w:val="2"/>
            <w:tcBorders>
              <w:top w:val="nil"/>
              <w:left w:val="nil"/>
              <w:bottom w:val="dotted" w:sz="4" w:space="0" w:color="auto"/>
              <w:right w:val="dotted" w:sz="4" w:space="0" w:color="auto"/>
            </w:tcBorders>
            <w:shd w:val="clear" w:color="000000" w:fill="FFFFFF"/>
            <w:hideMark/>
          </w:tcPr>
          <w:p w14:paraId="7B55E40F" w14:textId="77777777" w:rsidR="00247CBF" w:rsidRPr="00092ED7" w:rsidRDefault="00247CBF" w:rsidP="00247CBF">
            <w:pPr>
              <w:spacing w:after="0"/>
              <w:jc w:val="center"/>
              <w:rPr>
                <w:sz w:val="20"/>
                <w:szCs w:val="20"/>
                <w:lang w:val="sr-Cyrl-CS"/>
              </w:rPr>
            </w:pPr>
            <w:r w:rsidRPr="00092ED7">
              <w:rPr>
                <w:sz w:val="20"/>
                <w:szCs w:val="20"/>
                <w:lang w:val="sr-Cyrl-CS"/>
              </w:rPr>
              <w:t>-0,7</w:t>
            </w:r>
          </w:p>
        </w:tc>
        <w:tc>
          <w:tcPr>
            <w:tcW w:w="494" w:type="pct"/>
            <w:gridSpan w:val="2"/>
            <w:tcBorders>
              <w:top w:val="nil"/>
              <w:left w:val="nil"/>
              <w:bottom w:val="dotted" w:sz="4" w:space="0" w:color="auto"/>
              <w:right w:val="double" w:sz="6" w:space="0" w:color="auto"/>
            </w:tcBorders>
            <w:shd w:val="clear" w:color="000000" w:fill="FFFFFF"/>
            <w:hideMark/>
          </w:tcPr>
          <w:p w14:paraId="291B0EDC" w14:textId="77777777" w:rsidR="00247CBF" w:rsidRPr="00092ED7" w:rsidRDefault="00247CBF" w:rsidP="00247CBF">
            <w:pPr>
              <w:spacing w:after="0"/>
              <w:jc w:val="center"/>
              <w:rPr>
                <w:sz w:val="20"/>
                <w:szCs w:val="20"/>
                <w:lang w:val="sr-Cyrl-CS"/>
              </w:rPr>
            </w:pPr>
            <w:r w:rsidRPr="00092ED7">
              <w:rPr>
                <w:sz w:val="20"/>
                <w:szCs w:val="20"/>
                <w:lang w:val="sr-Cyrl-CS"/>
              </w:rPr>
              <w:t>-0,8</w:t>
            </w:r>
          </w:p>
        </w:tc>
      </w:tr>
      <w:tr w:rsidR="00247CBF" w:rsidRPr="00092ED7" w14:paraId="08DFF6DF"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749AACDC" w14:textId="77777777" w:rsidR="00247CBF" w:rsidRPr="00092ED7" w:rsidRDefault="00247CBF" w:rsidP="00247CBF">
            <w:pPr>
              <w:spacing w:after="0"/>
              <w:jc w:val="left"/>
              <w:rPr>
                <w:sz w:val="20"/>
                <w:szCs w:val="20"/>
                <w:lang w:val="sr-Cyrl-CS"/>
              </w:rPr>
            </w:pPr>
            <w:r w:rsidRPr="00092ED7">
              <w:rPr>
                <w:sz w:val="20"/>
                <w:szCs w:val="20"/>
                <w:lang w:val="sr-Cyrl-CS"/>
              </w:rPr>
              <w:t xml:space="preserve">9. Остали нето факторски приход из иностранства </w:t>
            </w:r>
          </w:p>
        </w:tc>
        <w:tc>
          <w:tcPr>
            <w:tcW w:w="534" w:type="pct"/>
            <w:tcBorders>
              <w:top w:val="nil"/>
              <w:left w:val="nil"/>
              <w:bottom w:val="dotted" w:sz="4" w:space="0" w:color="auto"/>
              <w:right w:val="single" w:sz="8" w:space="0" w:color="auto"/>
            </w:tcBorders>
            <w:shd w:val="clear" w:color="000000" w:fill="FFFFFF"/>
            <w:vAlign w:val="center"/>
            <w:hideMark/>
          </w:tcPr>
          <w:p w14:paraId="6CE672C6"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5FCE03B3" w14:textId="77777777" w:rsidR="00247CBF" w:rsidRPr="00092ED7" w:rsidRDefault="00247CBF" w:rsidP="00247CBF">
            <w:pPr>
              <w:spacing w:after="0"/>
              <w:jc w:val="center"/>
              <w:rPr>
                <w:sz w:val="20"/>
                <w:szCs w:val="20"/>
                <w:lang w:val="sr-Cyrl-CS"/>
              </w:rPr>
            </w:pPr>
            <w:r w:rsidRPr="00092ED7">
              <w:rPr>
                <w:sz w:val="20"/>
                <w:szCs w:val="20"/>
                <w:lang w:val="sr-Cyrl-CS"/>
              </w:rPr>
              <w:t>-1,5</w:t>
            </w:r>
          </w:p>
        </w:tc>
        <w:tc>
          <w:tcPr>
            <w:tcW w:w="495" w:type="pct"/>
            <w:gridSpan w:val="3"/>
            <w:tcBorders>
              <w:top w:val="nil"/>
              <w:left w:val="nil"/>
              <w:bottom w:val="dotted" w:sz="4" w:space="0" w:color="auto"/>
              <w:right w:val="dotted" w:sz="4" w:space="0" w:color="auto"/>
            </w:tcBorders>
            <w:shd w:val="clear" w:color="000000" w:fill="FFFFFF"/>
            <w:hideMark/>
          </w:tcPr>
          <w:p w14:paraId="7D70C7E9" w14:textId="77777777" w:rsidR="00247CBF" w:rsidRPr="00092ED7" w:rsidRDefault="00247CBF" w:rsidP="00247CBF">
            <w:pPr>
              <w:spacing w:after="0"/>
              <w:jc w:val="center"/>
              <w:rPr>
                <w:sz w:val="20"/>
                <w:szCs w:val="20"/>
                <w:lang w:val="sr-Cyrl-CS"/>
              </w:rPr>
            </w:pPr>
            <w:r w:rsidRPr="00092ED7">
              <w:rPr>
                <w:sz w:val="20"/>
                <w:szCs w:val="20"/>
                <w:lang w:val="sr-Cyrl-CS"/>
              </w:rPr>
              <w:t>-2,4</w:t>
            </w:r>
          </w:p>
        </w:tc>
        <w:tc>
          <w:tcPr>
            <w:tcW w:w="495" w:type="pct"/>
            <w:gridSpan w:val="2"/>
            <w:tcBorders>
              <w:top w:val="nil"/>
              <w:left w:val="nil"/>
              <w:bottom w:val="dotted" w:sz="4" w:space="0" w:color="auto"/>
              <w:right w:val="dotted" w:sz="4" w:space="0" w:color="auto"/>
            </w:tcBorders>
            <w:shd w:val="clear" w:color="000000" w:fill="FFFFFF"/>
            <w:hideMark/>
          </w:tcPr>
          <w:p w14:paraId="6AB22656" w14:textId="77777777" w:rsidR="00247CBF" w:rsidRPr="00092ED7" w:rsidRDefault="00247CBF" w:rsidP="00247CBF">
            <w:pPr>
              <w:spacing w:after="0"/>
              <w:jc w:val="center"/>
              <w:rPr>
                <w:sz w:val="20"/>
                <w:szCs w:val="20"/>
                <w:lang w:val="sr-Cyrl-CS"/>
              </w:rPr>
            </w:pPr>
            <w:r w:rsidRPr="00092ED7">
              <w:rPr>
                <w:sz w:val="20"/>
                <w:szCs w:val="20"/>
                <w:lang w:val="sr-Cyrl-CS"/>
              </w:rPr>
              <w:t>-3,0</w:t>
            </w:r>
          </w:p>
        </w:tc>
        <w:tc>
          <w:tcPr>
            <w:tcW w:w="495" w:type="pct"/>
            <w:gridSpan w:val="2"/>
            <w:tcBorders>
              <w:top w:val="nil"/>
              <w:left w:val="nil"/>
              <w:bottom w:val="dotted" w:sz="4" w:space="0" w:color="auto"/>
              <w:right w:val="dotted" w:sz="4" w:space="0" w:color="auto"/>
            </w:tcBorders>
            <w:shd w:val="clear" w:color="000000" w:fill="FFFFFF"/>
            <w:hideMark/>
          </w:tcPr>
          <w:p w14:paraId="4F759246" w14:textId="77777777" w:rsidR="00247CBF" w:rsidRPr="00092ED7" w:rsidRDefault="00247CBF" w:rsidP="00247CBF">
            <w:pPr>
              <w:spacing w:after="0"/>
              <w:jc w:val="center"/>
              <w:rPr>
                <w:sz w:val="20"/>
                <w:szCs w:val="20"/>
                <w:lang w:val="sr-Cyrl-CS"/>
              </w:rPr>
            </w:pPr>
            <w:r w:rsidRPr="00092ED7">
              <w:rPr>
                <w:sz w:val="20"/>
                <w:szCs w:val="20"/>
                <w:lang w:val="sr-Cyrl-CS"/>
              </w:rPr>
              <w:t>-2,5</w:t>
            </w:r>
          </w:p>
        </w:tc>
        <w:tc>
          <w:tcPr>
            <w:tcW w:w="494" w:type="pct"/>
            <w:gridSpan w:val="2"/>
            <w:tcBorders>
              <w:top w:val="nil"/>
              <w:left w:val="nil"/>
              <w:bottom w:val="dotted" w:sz="4" w:space="0" w:color="auto"/>
              <w:right w:val="double" w:sz="6" w:space="0" w:color="auto"/>
            </w:tcBorders>
            <w:shd w:val="clear" w:color="000000" w:fill="FFFFFF"/>
            <w:hideMark/>
          </w:tcPr>
          <w:p w14:paraId="6C7969E2" w14:textId="77777777" w:rsidR="00247CBF" w:rsidRPr="00092ED7" w:rsidRDefault="00247CBF" w:rsidP="00247CBF">
            <w:pPr>
              <w:spacing w:after="0"/>
              <w:jc w:val="center"/>
              <w:rPr>
                <w:sz w:val="20"/>
                <w:szCs w:val="20"/>
                <w:lang w:val="sr-Cyrl-CS"/>
              </w:rPr>
            </w:pPr>
            <w:r w:rsidRPr="00092ED7">
              <w:rPr>
                <w:sz w:val="20"/>
                <w:szCs w:val="20"/>
                <w:lang w:val="sr-Cyrl-CS"/>
              </w:rPr>
              <w:t>-2,4</w:t>
            </w:r>
          </w:p>
        </w:tc>
      </w:tr>
      <w:tr w:rsidR="00247CBF" w:rsidRPr="00092ED7" w14:paraId="1CA752F7"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130E6E8E" w14:textId="77777777" w:rsidR="00247CBF" w:rsidRPr="00092ED7" w:rsidRDefault="00247CBF" w:rsidP="00247CBF">
            <w:pPr>
              <w:spacing w:after="0"/>
              <w:jc w:val="left"/>
              <w:rPr>
                <w:sz w:val="20"/>
                <w:szCs w:val="20"/>
                <w:lang w:val="sr-Cyrl-CS"/>
              </w:rPr>
            </w:pPr>
            <w:r w:rsidRPr="00092ED7">
              <w:rPr>
                <w:sz w:val="20"/>
                <w:szCs w:val="20"/>
                <w:lang w:val="sr-Cyrl-CS"/>
              </w:rPr>
              <w:t>10. Текући трансфери</w:t>
            </w:r>
          </w:p>
        </w:tc>
        <w:tc>
          <w:tcPr>
            <w:tcW w:w="534" w:type="pct"/>
            <w:tcBorders>
              <w:top w:val="nil"/>
              <w:left w:val="nil"/>
              <w:bottom w:val="dotted" w:sz="4" w:space="0" w:color="auto"/>
              <w:right w:val="single" w:sz="8" w:space="0" w:color="auto"/>
            </w:tcBorders>
            <w:shd w:val="clear" w:color="000000" w:fill="FFFFFF"/>
            <w:vAlign w:val="center"/>
            <w:hideMark/>
          </w:tcPr>
          <w:p w14:paraId="2BB3F123"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3136A45B" w14:textId="77777777" w:rsidR="00247CBF" w:rsidRPr="00092ED7" w:rsidRDefault="00247CBF" w:rsidP="00247CBF">
            <w:pPr>
              <w:spacing w:after="0"/>
              <w:jc w:val="center"/>
              <w:rPr>
                <w:sz w:val="20"/>
                <w:szCs w:val="20"/>
                <w:lang w:val="sr-Cyrl-CS"/>
              </w:rPr>
            </w:pPr>
            <w:r w:rsidRPr="00092ED7">
              <w:rPr>
                <w:sz w:val="20"/>
                <w:szCs w:val="20"/>
                <w:lang w:val="sr-Cyrl-CS"/>
              </w:rPr>
              <w:t>4,3</w:t>
            </w:r>
          </w:p>
        </w:tc>
        <w:tc>
          <w:tcPr>
            <w:tcW w:w="495" w:type="pct"/>
            <w:gridSpan w:val="3"/>
            <w:tcBorders>
              <w:top w:val="nil"/>
              <w:left w:val="nil"/>
              <w:bottom w:val="dotted" w:sz="4" w:space="0" w:color="auto"/>
              <w:right w:val="dotted" w:sz="4" w:space="0" w:color="auto"/>
            </w:tcBorders>
            <w:shd w:val="clear" w:color="000000" w:fill="FFFFFF"/>
            <w:hideMark/>
          </w:tcPr>
          <w:p w14:paraId="184C0C54" w14:textId="77777777" w:rsidR="00247CBF" w:rsidRPr="00092ED7" w:rsidRDefault="00247CBF" w:rsidP="00247CBF">
            <w:pPr>
              <w:spacing w:after="0"/>
              <w:jc w:val="center"/>
              <w:rPr>
                <w:sz w:val="20"/>
                <w:szCs w:val="20"/>
                <w:lang w:val="sr-Cyrl-CS"/>
              </w:rPr>
            </w:pPr>
            <w:r w:rsidRPr="00092ED7">
              <w:rPr>
                <w:sz w:val="20"/>
                <w:szCs w:val="20"/>
                <w:lang w:val="sr-Cyrl-CS"/>
              </w:rPr>
              <w:t>4,9</w:t>
            </w:r>
          </w:p>
        </w:tc>
        <w:tc>
          <w:tcPr>
            <w:tcW w:w="495" w:type="pct"/>
            <w:gridSpan w:val="2"/>
            <w:tcBorders>
              <w:top w:val="nil"/>
              <w:left w:val="nil"/>
              <w:bottom w:val="dotted" w:sz="4" w:space="0" w:color="auto"/>
              <w:right w:val="dotted" w:sz="4" w:space="0" w:color="auto"/>
            </w:tcBorders>
            <w:shd w:val="clear" w:color="000000" w:fill="FFFFFF"/>
            <w:hideMark/>
          </w:tcPr>
          <w:p w14:paraId="3881C11E" w14:textId="77777777" w:rsidR="00247CBF" w:rsidRPr="00092ED7" w:rsidRDefault="00247CBF" w:rsidP="00247CBF">
            <w:pPr>
              <w:spacing w:after="0"/>
              <w:jc w:val="center"/>
              <w:rPr>
                <w:sz w:val="20"/>
                <w:szCs w:val="20"/>
                <w:lang w:val="sr-Cyrl-CS"/>
              </w:rPr>
            </w:pPr>
            <w:r w:rsidRPr="00092ED7">
              <w:rPr>
                <w:sz w:val="20"/>
                <w:szCs w:val="20"/>
                <w:lang w:val="sr-Cyrl-CS"/>
              </w:rPr>
              <w:t>5,1</w:t>
            </w:r>
          </w:p>
        </w:tc>
        <w:tc>
          <w:tcPr>
            <w:tcW w:w="495" w:type="pct"/>
            <w:gridSpan w:val="2"/>
            <w:tcBorders>
              <w:top w:val="nil"/>
              <w:left w:val="nil"/>
              <w:bottom w:val="dotted" w:sz="4" w:space="0" w:color="auto"/>
              <w:right w:val="dotted" w:sz="4" w:space="0" w:color="auto"/>
            </w:tcBorders>
            <w:shd w:val="clear" w:color="000000" w:fill="FFFFFF"/>
            <w:hideMark/>
          </w:tcPr>
          <w:p w14:paraId="64DA6421" w14:textId="77777777" w:rsidR="00247CBF" w:rsidRPr="00092ED7" w:rsidRDefault="00247CBF" w:rsidP="00247CBF">
            <w:pPr>
              <w:spacing w:after="0"/>
              <w:jc w:val="center"/>
              <w:rPr>
                <w:sz w:val="20"/>
                <w:szCs w:val="20"/>
                <w:lang w:val="sr-Cyrl-CS"/>
              </w:rPr>
            </w:pPr>
            <w:r w:rsidRPr="00092ED7">
              <w:rPr>
                <w:sz w:val="20"/>
                <w:szCs w:val="20"/>
                <w:lang w:val="sr-Cyrl-CS"/>
              </w:rPr>
              <w:t>5,2</w:t>
            </w:r>
          </w:p>
        </w:tc>
        <w:tc>
          <w:tcPr>
            <w:tcW w:w="494" w:type="pct"/>
            <w:gridSpan w:val="2"/>
            <w:tcBorders>
              <w:top w:val="nil"/>
              <w:left w:val="nil"/>
              <w:bottom w:val="dotted" w:sz="4" w:space="0" w:color="auto"/>
              <w:right w:val="double" w:sz="6" w:space="0" w:color="auto"/>
            </w:tcBorders>
            <w:shd w:val="clear" w:color="000000" w:fill="FFFFFF"/>
            <w:hideMark/>
          </w:tcPr>
          <w:p w14:paraId="294023BA" w14:textId="77777777" w:rsidR="00247CBF" w:rsidRPr="00092ED7" w:rsidRDefault="00247CBF" w:rsidP="00247CBF">
            <w:pPr>
              <w:spacing w:after="0"/>
              <w:jc w:val="center"/>
              <w:rPr>
                <w:sz w:val="20"/>
                <w:szCs w:val="20"/>
                <w:lang w:val="sr-Cyrl-CS"/>
              </w:rPr>
            </w:pPr>
            <w:r w:rsidRPr="00092ED7">
              <w:rPr>
                <w:sz w:val="20"/>
                <w:szCs w:val="20"/>
                <w:lang w:val="sr-Cyrl-CS"/>
              </w:rPr>
              <w:t>5,6</w:t>
            </w:r>
          </w:p>
        </w:tc>
      </w:tr>
      <w:tr w:rsidR="00247CBF" w:rsidRPr="00092ED7" w14:paraId="1F1547EA"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5A2690A4" w14:textId="77777777" w:rsidR="00247CBF" w:rsidRPr="00092ED7" w:rsidRDefault="00247CBF" w:rsidP="00247CBF">
            <w:pPr>
              <w:spacing w:after="0"/>
              <w:jc w:val="left"/>
              <w:rPr>
                <w:i/>
                <w:iCs/>
                <w:sz w:val="20"/>
                <w:szCs w:val="20"/>
                <w:lang w:val="sr-Cyrl-CS"/>
              </w:rPr>
            </w:pPr>
            <w:r w:rsidRPr="00092ED7">
              <w:rPr>
                <w:i/>
                <w:iCs/>
                <w:sz w:val="20"/>
                <w:szCs w:val="20"/>
                <w:lang w:val="sr-Cyrl-CS"/>
              </w:rPr>
              <w:t xml:space="preserve">11. Од чега </w:t>
            </w:r>
            <w:r w:rsidRPr="00092ED7">
              <w:rPr>
                <w:sz w:val="20"/>
                <w:szCs w:val="20"/>
                <w:lang w:val="sr-Cyrl-CS"/>
              </w:rPr>
              <w:t>из ЕУ</w:t>
            </w:r>
          </w:p>
        </w:tc>
        <w:tc>
          <w:tcPr>
            <w:tcW w:w="534" w:type="pct"/>
            <w:tcBorders>
              <w:top w:val="nil"/>
              <w:left w:val="nil"/>
              <w:bottom w:val="dotted" w:sz="4" w:space="0" w:color="auto"/>
              <w:right w:val="single" w:sz="8" w:space="0" w:color="auto"/>
            </w:tcBorders>
            <w:shd w:val="clear" w:color="000000" w:fill="FFFFFF"/>
            <w:vAlign w:val="center"/>
            <w:hideMark/>
          </w:tcPr>
          <w:p w14:paraId="1487C54A"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37A855F7" w14:textId="77777777" w:rsidR="00247CBF" w:rsidRPr="00092ED7" w:rsidRDefault="00247CBF" w:rsidP="00247CBF">
            <w:pPr>
              <w:spacing w:after="0"/>
              <w:jc w:val="center"/>
              <w:rPr>
                <w:sz w:val="20"/>
                <w:szCs w:val="20"/>
                <w:lang w:val="sr-Cyrl-CS"/>
              </w:rPr>
            </w:pPr>
            <w:r w:rsidRPr="00092ED7">
              <w:rPr>
                <w:sz w:val="20"/>
                <w:szCs w:val="20"/>
                <w:lang w:val="sr-Cyrl-CS"/>
              </w:rPr>
              <w:t>2,7</w:t>
            </w:r>
          </w:p>
        </w:tc>
        <w:tc>
          <w:tcPr>
            <w:tcW w:w="495" w:type="pct"/>
            <w:gridSpan w:val="3"/>
            <w:tcBorders>
              <w:top w:val="nil"/>
              <w:left w:val="nil"/>
              <w:bottom w:val="dotted" w:sz="4" w:space="0" w:color="auto"/>
              <w:right w:val="dotted" w:sz="4" w:space="0" w:color="auto"/>
            </w:tcBorders>
            <w:shd w:val="clear" w:color="000000" w:fill="FFFFFF"/>
            <w:hideMark/>
          </w:tcPr>
          <w:p w14:paraId="4FF6B368" w14:textId="77777777" w:rsidR="00247CBF" w:rsidRPr="00092ED7" w:rsidRDefault="00247CBF" w:rsidP="00247CBF">
            <w:pPr>
              <w:spacing w:after="0"/>
              <w:jc w:val="center"/>
              <w:rPr>
                <w:sz w:val="20"/>
                <w:szCs w:val="20"/>
                <w:lang w:val="sr-Cyrl-CS"/>
              </w:rPr>
            </w:pPr>
            <w:r w:rsidRPr="00092ED7">
              <w:rPr>
                <w:sz w:val="20"/>
                <w:szCs w:val="20"/>
                <w:lang w:val="sr-Cyrl-CS"/>
              </w:rPr>
              <w:t>3,5</w:t>
            </w:r>
          </w:p>
        </w:tc>
        <w:tc>
          <w:tcPr>
            <w:tcW w:w="495" w:type="pct"/>
            <w:gridSpan w:val="2"/>
            <w:tcBorders>
              <w:top w:val="nil"/>
              <w:left w:val="nil"/>
              <w:bottom w:val="dotted" w:sz="4" w:space="0" w:color="auto"/>
              <w:right w:val="dotted" w:sz="4" w:space="0" w:color="auto"/>
            </w:tcBorders>
            <w:shd w:val="clear" w:color="000000" w:fill="FFFFFF"/>
            <w:hideMark/>
          </w:tcPr>
          <w:p w14:paraId="464D6BFB" w14:textId="77777777" w:rsidR="00247CBF" w:rsidRPr="00092ED7" w:rsidRDefault="00247CBF" w:rsidP="00247CBF">
            <w:pPr>
              <w:spacing w:after="0"/>
              <w:jc w:val="center"/>
              <w:rPr>
                <w:sz w:val="20"/>
                <w:szCs w:val="20"/>
                <w:lang w:val="sr-Cyrl-CS"/>
              </w:rPr>
            </w:pPr>
            <w:r w:rsidRPr="00092ED7">
              <w:rPr>
                <w:sz w:val="20"/>
                <w:szCs w:val="20"/>
                <w:lang w:val="sr-Cyrl-CS"/>
              </w:rPr>
              <w:t>3,6</w:t>
            </w:r>
          </w:p>
        </w:tc>
        <w:tc>
          <w:tcPr>
            <w:tcW w:w="495" w:type="pct"/>
            <w:gridSpan w:val="2"/>
            <w:tcBorders>
              <w:top w:val="nil"/>
              <w:left w:val="nil"/>
              <w:bottom w:val="dotted" w:sz="4" w:space="0" w:color="auto"/>
              <w:right w:val="dotted" w:sz="4" w:space="0" w:color="auto"/>
            </w:tcBorders>
            <w:shd w:val="clear" w:color="000000" w:fill="FFFFFF"/>
            <w:hideMark/>
          </w:tcPr>
          <w:p w14:paraId="233455CD" w14:textId="77777777" w:rsidR="00247CBF" w:rsidRPr="00092ED7" w:rsidRDefault="00247CBF" w:rsidP="00247CBF">
            <w:pPr>
              <w:spacing w:after="0"/>
              <w:jc w:val="center"/>
              <w:rPr>
                <w:sz w:val="20"/>
                <w:szCs w:val="20"/>
                <w:lang w:val="sr-Cyrl-CS"/>
              </w:rPr>
            </w:pPr>
            <w:r w:rsidRPr="00092ED7">
              <w:rPr>
                <w:sz w:val="20"/>
                <w:szCs w:val="20"/>
                <w:lang w:val="sr-Cyrl-CS"/>
              </w:rPr>
              <w:t>3,6</w:t>
            </w:r>
          </w:p>
        </w:tc>
        <w:tc>
          <w:tcPr>
            <w:tcW w:w="494" w:type="pct"/>
            <w:gridSpan w:val="2"/>
            <w:tcBorders>
              <w:top w:val="nil"/>
              <w:left w:val="nil"/>
              <w:bottom w:val="dotted" w:sz="4" w:space="0" w:color="auto"/>
              <w:right w:val="double" w:sz="6" w:space="0" w:color="auto"/>
            </w:tcBorders>
            <w:shd w:val="clear" w:color="000000" w:fill="FFFFFF"/>
            <w:hideMark/>
          </w:tcPr>
          <w:p w14:paraId="29CC563E" w14:textId="77777777" w:rsidR="00247CBF" w:rsidRPr="00092ED7" w:rsidRDefault="00247CBF" w:rsidP="00247CBF">
            <w:pPr>
              <w:spacing w:after="0"/>
              <w:jc w:val="center"/>
              <w:rPr>
                <w:sz w:val="20"/>
                <w:szCs w:val="20"/>
                <w:lang w:val="sr-Cyrl-CS"/>
              </w:rPr>
            </w:pPr>
            <w:r w:rsidRPr="00092ED7">
              <w:rPr>
                <w:sz w:val="20"/>
                <w:szCs w:val="20"/>
                <w:lang w:val="sr-Cyrl-CS"/>
              </w:rPr>
              <w:t>3,9</w:t>
            </w:r>
          </w:p>
        </w:tc>
      </w:tr>
      <w:tr w:rsidR="00247CBF" w:rsidRPr="00092ED7" w14:paraId="62B83A47"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0E74A91D" w14:textId="77777777" w:rsidR="00247CBF" w:rsidRPr="00092ED7" w:rsidRDefault="00247CBF" w:rsidP="00247CBF">
            <w:pPr>
              <w:spacing w:after="0"/>
              <w:jc w:val="left"/>
              <w:rPr>
                <w:sz w:val="20"/>
                <w:szCs w:val="20"/>
                <w:lang w:val="sr-Cyrl-CS"/>
              </w:rPr>
            </w:pPr>
            <w:r w:rsidRPr="00092ED7">
              <w:rPr>
                <w:sz w:val="20"/>
                <w:szCs w:val="20"/>
                <w:lang w:val="sr-Cyrl-CS"/>
              </w:rPr>
              <w:t>12. Биланс текућих трансакција</w:t>
            </w:r>
          </w:p>
        </w:tc>
        <w:tc>
          <w:tcPr>
            <w:tcW w:w="534" w:type="pct"/>
            <w:tcBorders>
              <w:top w:val="nil"/>
              <w:left w:val="nil"/>
              <w:bottom w:val="dotted" w:sz="4" w:space="0" w:color="auto"/>
              <w:right w:val="single" w:sz="8" w:space="0" w:color="auto"/>
            </w:tcBorders>
            <w:shd w:val="clear" w:color="000000" w:fill="FFFFFF"/>
            <w:vAlign w:val="center"/>
            <w:hideMark/>
          </w:tcPr>
          <w:p w14:paraId="2C886D7E"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08DD37D8" w14:textId="77777777" w:rsidR="00247CBF" w:rsidRPr="00092ED7" w:rsidRDefault="00247CBF" w:rsidP="00247CBF">
            <w:pPr>
              <w:spacing w:after="0"/>
              <w:jc w:val="center"/>
              <w:rPr>
                <w:sz w:val="20"/>
                <w:szCs w:val="20"/>
                <w:lang w:val="sr-Cyrl-CS"/>
              </w:rPr>
            </w:pPr>
            <w:r w:rsidRPr="00092ED7">
              <w:rPr>
                <w:sz w:val="20"/>
                <w:szCs w:val="20"/>
                <w:lang w:val="sr-Cyrl-CS"/>
              </w:rPr>
              <w:t>-2,3</w:t>
            </w:r>
          </w:p>
        </w:tc>
        <w:tc>
          <w:tcPr>
            <w:tcW w:w="495" w:type="pct"/>
            <w:gridSpan w:val="3"/>
            <w:tcBorders>
              <w:top w:val="nil"/>
              <w:left w:val="nil"/>
              <w:bottom w:val="dotted" w:sz="4" w:space="0" w:color="auto"/>
              <w:right w:val="dotted" w:sz="4" w:space="0" w:color="auto"/>
            </w:tcBorders>
            <w:shd w:val="clear" w:color="000000" w:fill="FFFFFF"/>
            <w:hideMark/>
          </w:tcPr>
          <w:p w14:paraId="29B40E5F" w14:textId="77777777" w:rsidR="00247CBF" w:rsidRPr="00092ED7" w:rsidRDefault="00247CBF" w:rsidP="00247CBF">
            <w:pPr>
              <w:spacing w:after="0"/>
              <w:jc w:val="center"/>
              <w:rPr>
                <w:sz w:val="20"/>
                <w:szCs w:val="20"/>
                <w:lang w:val="sr-Cyrl-CS"/>
              </w:rPr>
            </w:pPr>
            <w:r w:rsidRPr="00092ED7">
              <w:rPr>
                <w:sz w:val="20"/>
                <w:szCs w:val="20"/>
                <w:lang w:val="sr-Cyrl-CS"/>
              </w:rPr>
              <w:t>-5,4</w:t>
            </w:r>
          </w:p>
        </w:tc>
        <w:tc>
          <w:tcPr>
            <w:tcW w:w="495" w:type="pct"/>
            <w:gridSpan w:val="2"/>
            <w:tcBorders>
              <w:top w:val="nil"/>
              <w:left w:val="nil"/>
              <w:bottom w:val="dotted" w:sz="4" w:space="0" w:color="auto"/>
              <w:right w:val="dotted" w:sz="4" w:space="0" w:color="auto"/>
            </w:tcBorders>
            <w:shd w:val="clear" w:color="000000" w:fill="FFFFFF"/>
            <w:hideMark/>
          </w:tcPr>
          <w:p w14:paraId="7B980F20" w14:textId="77777777" w:rsidR="00247CBF" w:rsidRPr="00092ED7" w:rsidRDefault="00247CBF" w:rsidP="00247CBF">
            <w:pPr>
              <w:spacing w:after="0"/>
              <w:jc w:val="center"/>
              <w:rPr>
                <w:sz w:val="20"/>
                <w:szCs w:val="20"/>
                <w:lang w:val="sr-Cyrl-CS"/>
              </w:rPr>
            </w:pPr>
            <w:r w:rsidRPr="00092ED7">
              <w:rPr>
                <w:sz w:val="20"/>
                <w:szCs w:val="20"/>
                <w:lang w:val="sr-Cyrl-CS"/>
              </w:rPr>
              <w:t>-5,8</w:t>
            </w:r>
          </w:p>
        </w:tc>
        <w:tc>
          <w:tcPr>
            <w:tcW w:w="495" w:type="pct"/>
            <w:gridSpan w:val="2"/>
            <w:tcBorders>
              <w:top w:val="nil"/>
              <w:left w:val="nil"/>
              <w:bottom w:val="dotted" w:sz="4" w:space="0" w:color="auto"/>
              <w:right w:val="dotted" w:sz="4" w:space="0" w:color="auto"/>
            </w:tcBorders>
            <w:shd w:val="clear" w:color="000000" w:fill="FFFFFF"/>
            <w:hideMark/>
          </w:tcPr>
          <w:p w14:paraId="13893CCF" w14:textId="77777777" w:rsidR="00247CBF" w:rsidRPr="00092ED7" w:rsidRDefault="00247CBF" w:rsidP="00247CBF">
            <w:pPr>
              <w:spacing w:after="0"/>
              <w:jc w:val="center"/>
              <w:rPr>
                <w:sz w:val="20"/>
                <w:szCs w:val="20"/>
                <w:lang w:val="sr-Cyrl-CS"/>
              </w:rPr>
            </w:pPr>
            <w:r w:rsidRPr="00092ED7">
              <w:rPr>
                <w:sz w:val="20"/>
                <w:szCs w:val="20"/>
                <w:lang w:val="sr-Cyrl-CS"/>
              </w:rPr>
              <w:t>-5,0</w:t>
            </w:r>
          </w:p>
        </w:tc>
        <w:tc>
          <w:tcPr>
            <w:tcW w:w="494" w:type="pct"/>
            <w:gridSpan w:val="2"/>
            <w:tcBorders>
              <w:top w:val="nil"/>
              <w:left w:val="nil"/>
              <w:bottom w:val="dotted" w:sz="4" w:space="0" w:color="auto"/>
              <w:right w:val="double" w:sz="6" w:space="0" w:color="auto"/>
            </w:tcBorders>
            <w:shd w:val="clear" w:color="000000" w:fill="FFFFFF"/>
            <w:hideMark/>
          </w:tcPr>
          <w:p w14:paraId="12EE802F" w14:textId="77777777" w:rsidR="00247CBF" w:rsidRPr="00092ED7" w:rsidRDefault="00247CBF" w:rsidP="00247CBF">
            <w:pPr>
              <w:spacing w:after="0"/>
              <w:jc w:val="center"/>
              <w:rPr>
                <w:sz w:val="20"/>
                <w:szCs w:val="20"/>
                <w:lang w:val="sr-Cyrl-CS"/>
              </w:rPr>
            </w:pPr>
            <w:r w:rsidRPr="00092ED7">
              <w:rPr>
                <w:sz w:val="20"/>
                <w:szCs w:val="20"/>
                <w:lang w:val="sr-Cyrl-CS"/>
              </w:rPr>
              <w:t>-4,8</w:t>
            </w:r>
          </w:p>
        </w:tc>
      </w:tr>
      <w:tr w:rsidR="00247CBF" w:rsidRPr="00092ED7" w14:paraId="5E06E8B2"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50A0A044" w14:textId="77777777" w:rsidR="00247CBF" w:rsidRPr="00092ED7" w:rsidRDefault="00247CBF" w:rsidP="00247CBF">
            <w:pPr>
              <w:spacing w:after="0"/>
              <w:jc w:val="left"/>
              <w:rPr>
                <w:sz w:val="20"/>
                <w:szCs w:val="20"/>
                <w:lang w:val="sr-Cyrl-CS"/>
              </w:rPr>
            </w:pPr>
            <w:r w:rsidRPr="00092ED7">
              <w:rPr>
                <w:sz w:val="20"/>
                <w:szCs w:val="20"/>
                <w:lang w:val="sr-Cyrl-CS"/>
              </w:rPr>
              <w:t>13. Капитални и финансијски рачун</w:t>
            </w:r>
          </w:p>
        </w:tc>
        <w:tc>
          <w:tcPr>
            <w:tcW w:w="534" w:type="pct"/>
            <w:tcBorders>
              <w:top w:val="nil"/>
              <w:left w:val="nil"/>
              <w:bottom w:val="dotted" w:sz="4" w:space="0" w:color="auto"/>
              <w:right w:val="single" w:sz="8" w:space="0" w:color="auto"/>
            </w:tcBorders>
            <w:shd w:val="clear" w:color="000000" w:fill="FFFFFF"/>
            <w:vAlign w:val="center"/>
            <w:hideMark/>
          </w:tcPr>
          <w:p w14:paraId="3D312ED0"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22DDC0CC" w14:textId="77777777" w:rsidR="00247CBF" w:rsidRPr="00092ED7" w:rsidRDefault="00247CBF" w:rsidP="00247CBF">
            <w:pPr>
              <w:spacing w:after="0"/>
              <w:jc w:val="center"/>
              <w:rPr>
                <w:sz w:val="20"/>
                <w:szCs w:val="20"/>
                <w:lang w:val="sr-Cyrl-CS"/>
              </w:rPr>
            </w:pPr>
            <w:r w:rsidRPr="00092ED7">
              <w:rPr>
                <w:sz w:val="20"/>
                <w:szCs w:val="20"/>
                <w:lang w:val="sr-Cyrl-CS"/>
              </w:rPr>
              <w:t>2,1</w:t>
            </w:r>
          </w:p>
        </w:tc>
        <w:tc>
          <w:tcPr>
            <w:tcW w:w="495" w:type="pct"/>
            <w:gridSpan w:val="3"/>
            <w:tcBorders>
              <w:top w:val="nil"/>
              <w:left w:val="nil"/>
              <w:bottom w:val="dotted" w:sz="4" w:space="0" w:color="auto"/>
              <w:right w:val="dotted" w:sz="4" w:space="0" w:color="auto"/>
            </w:tcBorders>
            <w:shd w:val="clear" w:color="000000" w:fill="FFFFFF"/>
            <w:hideMark/>
          </w:tcPr>
          <w:p w14:paraId="303A26C8" w14:textId="77777777" w:rsidR="00247CBF" w:rsidRPr="00092ED7" w:rsidRDefault="00247CBF" w:rsidP="00247CBF">
            <w:pPr>
              <w:spacing w:after="0"/>
              <w:jc w:val="center"/>
              <w:rPr>
                <w:sz w:val="20"/>
                <w:szCs w:val="20"/>
                <w:lang w:val="sr-Cyrl-CS"/>
              </w:rPr>
            </w:pPr>
            <w:r w:rsidRPr="00092ED7">
              <w:rPr>
                <w:sz w:val="20"/>
                <w:szCs w:val="20"/>
                <w:lang w:val="sr-Cyrl-CS"/>
              </w:rPr>
              <w:t>4,6</w:t>
            </w:r>
          </w:p>
        </w:tc>
        <w:tc>
          <w:tcPr>
            <w:tcW w:w="495" w:type="pct"/>
            <w:gridSpan w:val="2"/>
            <w:tcBorders>
              <w:top w:val="nil"/>
              <w:left w:val="nil"/>
              <w:bottom w:val="dotted" w:sz="4" w:space="0" w:color="auto"/>
              <w:right w:val="dotted" w:sz="4" w:space="0" w:color="auto"/>
            </w:tcBorders>
            <w:shd w:val="clear" w:color="000000" w:fill="FFFFFF"/>
            <w:hideMark/>
          </w:tcPr>
          <w:p w14:paraId="41EE83DF" w14:textId="77777777" w:rsidR="00247CBF" w:rsidRPr="00092ED7" w:rsidRDefault="00247CBF" w:rsidP="00247CBF">
            <w:pPr>
              <w:spacing w:after="0"/>
              <w:jc w:val="center"/>
              <w:rPr>
                <w:sz w:val="20"/>
                <w:szCs w:val="20"/>
                <w:lang w:val="sr-Cyrl-CS"/>
              </w:rPr>
            </w:pPr>
            <w:r w:rsidRPr="00092ED7">
              <w:rPr>
                <w:sz w:val="20"/>
                <w:szCs w:val="20"/>
                <w:lang w:val="sr-Cyrl-CS"/>
              </w:rPr>
              <w:t>2,8</w:t>
            </w:r>
          </w:p>
        </w:tc>
        <w:tc>
          <w:tcPr>
            <w:tcW w:w="495" w:type="pct"/>
            <w:gridSpan w:val="2"/>
            <w:tcBorders>
              <w:top w:val="nil"/>
              <w:left w:val="nil"/>
              <w:bottom w:val="dotted" w:sz="4" w:space="0" w:color="auto"/>
              <w:right w:val="dotted" w:sz="4" w:space="0" w:color="auto"/>
            </w:tcBorders>
            <w:shd w:val="clear" w:color="000000" w:fill="FFFFFF"/>
            <w:hideMark/>
          </w:tcPr>
          <w:p w14:paraId="7645EB35" w14:textId="77777777" w:rsidR="00247CBF" w:rsidRPr="00092ED7" w:rsidRDefault="00247CBF" w:rsidP="00247CBF">
            <w:pPr>
              <w:spacing w:after="0"/>
              <w:jc w:val="center"/>
              <w:rPr>
                <w:sz w:val="20"/>
                <w:szCs w:val="20"/>
                <w:lang w:val="sr-Cyrl-CS"/>
              </w:rPr>
            </w:pPr>
            <w:r w:rsidRPr="00092ED7">
              <w:rPr>
                <w:sz w:val="20"/>
                <w:szCs w:val="20"/>
                <w:lang w:val="sr-Cyrl-CS"/>
              </w:rPr>
              <w:t>3,1</w:t>
            </w:r>
          </w:p>
        </w:tc>
        <w:tc>
          <w:tcPr>
            <w:tcW w:w="494" w:type="pct"/>
            <w:gridSpan w:val="2"/>
            <w:tcBorders>
              <w:top w:val="nil"/>
              <w:left w:val="nil"/>
              <w:bottom w:val="dotted" w:sz="4" w:space="0" w:color="auto"/>
              <w:right w:val="double" w:sz="6" w:space="0" w:color="auto"/>
            </w:tcBorders>
            <w:shd w:val="clear" w:color="000000" w:fill="FFFFFF"/>
            <w:hideMark/>
          </w:tcPr>
          <w:p w14:paraId="735D515A" w14:textId="77777777" w:rsidR="00247CBF" w:rsidRPr="00092ED7" w:rsidRDefault="00247CBF" w:rsidP="00247CBF">
            <w:pPr>
              <w:spacing w:after="0"/>
              <w:jc w:val="center"/>
              <w:rPr>
                <w:sz w:val="20"/>
                <w:szCs w:val="20"/>
                <w:lang w:val="sr-Cyrl-CS"/>
              </w:rPr>
            </w:pPr>
            <w:r w:rsidRPr="00092ED7">
              <w:rPr>
                <w:sz w:val="20"/>
                <w:szCs w:val="20"/>
                <w:lang w:val="sr-Cyrl-CS"/>
              </w:rPr>
              <w:t>2,9</w:t>
            </w:r>
          </w:p>
        </w:tc>
      </w:tr>
      <w:tr w:rsidR="00247CBF" w:rsidRPr="00092ED7" w14:paraId="55F53E3B"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4A19F05F" w14:textId="77777777" w:rsidR="00247CBF" w:rsidRPr="00092ED7" w:rsidRDefault="00247CBF" w:rsidP="00247CBF">
            <w:pPr>
              <w:spacing w:after="0"/>
              <w:jc w:val="left"/>
              <w:rPr>
                <w:sz w:val="20"/>
                <w:szCs w:val="20"/>
                <w:lang w:val="sr-Cyrl-CS"/>
              </w:rPr>
            </w:pPr>
            <w:r w:rsidRPr="00092ED7">
              <w:rPr>
                <w:sz w:val="20"/>
                <w:szCs w:val="20"/>
                <w:lang w:val="sr-Cyrl-CS"/>
              </w:rPr>
              <w:t>14. Нето стране директне инвестиције</w:t>
            </w:r>
          </w:p>
        </w:tc>
        <w:tc>
          <w:tcPr>
            <w:tcW w:w="534" w:type="pct"/>
            <w:tcBorders>
              <w:top w:val="nil"/>
              <w:left w:val="nil"/>
              <w:bottom w:val="dotted" w:sz="4" w:space="0" w:color="auto"/>
              <w:right w:val="single" w:sz="8" w:space="0" w:color="auto"/>
            </w:tcBorders>
            <w:shd w:val="clear" w:color="000000" w:fill="FFFFFF"/>
            <w:vAlign w:val="center"/>
            <w:hideMark/>
          </w:tcPr>
          <w:p w14:paraId="60274214"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5D1EE3BD" w14:textId="77777777" w:rsidR="00247CBF" w:rsidRPr="00092ED7" w:rsidRDefault="00247CBF" w:rsidP="00247CBF">
            <w:pPr>
              <w:spacing w:after="0"/>
              <w:jc w:val="center"/>
              <w:rPr>
                <w:sz w:val="20"/>
                <w:szCs w:val="20"/>
                <w:lang w:val="sr-Cyrl-CS"/>
              </w:rPr>
            </w:pPr>
            <w:r w:rsidRPr="00092ED7">
              <w:rPr>
                <w:sz w:val="20"/>
                <w:szCs w:val="20"/>
                <w:lang w:val="sr-Cyrl-CS"/>
              </w:rPr>
              <w:t>3,7</w:t>
            </w:r>
          </w:p>
        </w:tc>
        <w:tc>
          <w:tcPr>
            <w:tcW w:w="495" w:type="pct"/>
            <w:gridSpan w:val="3"/>
            <w:tcBorders>
              <w:top w:val="nil"/>
              <w:left w:val="nil"/>
              <w:bottom w:val="dotted" w:sz="4" w:space="0" w:color="auto"/>
              <w:right w:val="dotted" w:sz="4" w:space="0" w:color="auto"/>
            </w:tcBorders>
            <w:shd w:val="clear" w:color="000000" w:fill="FFFFFF"/>
            <w:hideMark/>
          </w:tcPr>
          <w:p w14:paraId="0513A7C6" w14:textId="77777777" w:rsidR="00247CBF" w:rsidRPr="00092ED7" w:rsidRDefault="00247CBF" w:rsidP="00247CBF">
            <w:pPr>
              <w:spacing w:after="0"/>
              <w:jc w:val="center"/>
              <w:rPr>
                <w:sz w:val="20"/>
                <w:szCs w:val="20"/>
                <w:lang w:val="sr-Cyrl-CS"/>
              </w:rPr>
            </w:pPr>
            <w:r w:rsidRPr="00092ED7">
              <w:rPr>
                <w:sz w:val="20"/>
                <w:szCs w:val="20"/>
                <w:lang w:val="sr-Cyrl-CS"/>
              </w:rPr>
              <w:t>3,6</w:t>
            </w:r>
          </w:p>
        </w:tc>
        <w:tc>
          <w:tcPr>
            <w:tcW w:w="495" w:type="pct"/>
            <w:gridSpan w:val="2"/>
            <w:tcBorders>
              <w:top w:val="nil"/>
              <w:left w:val="nil"/>
              <w:bottom w:val="dotted" w:sz="4" w:space="0" w:color="auto"/>
              <w:right w:val="dotted" w:sz="4" w:space="0" w:color="auto"/>
            </w:tcBorders>
            <w:shd w:val="clear" w:color="000000" w:fill="FFFFFF"/>
            <w:hideMark/>
          </w:tcPr>
          <w:p w14:paraId="5E180FCC" w14:textId="77777777" w:rsidR="00247CBF" w:rsidRPr="00092ED7" w:rsidRDefault="00247CBF" w:rsidP="00247CBF">
            <w:pPr>
              <w:spacing w:after="0"/>
              <w:jc w:val="center"/>
              <w:rPr>
                <w:sz w:val="20"/>
                <w:szCs w:val="20"/>
                <w:lang w:val="sr-Cyrl-CS"/>
              </w:rPr>
            </w:pPr>
            <w:r w:rsidRPr="00092ED7">
              <w:rPr>
                <w:sz w:val="20"/>
                <w:szCs w:val="20"/>
                <w:lang w:val="sr-Cyrl-CS"/>
              </w:rPr>
              <w:t>3,5</w:t>
            </w:r>
          </w:p>
        </w:tc>
        <w:tc>
          <w:tcPr>
            <w:tcW w:w="495" w:type="pct"/>
            <w:gridSpan w:val="2"/>
            <w:tcBorders>
              <w:top w:val="nil"/>
              <w:left w:val="nil"/>
              <w:bottom w:val="dotted" w:sz="4" w:space="0" w:color="auto"/>
              <w:right w:val="dotted" w:sz="4" w:space="0" w:color="auto"/>
            </w:tcBorders>
            <w:shd w:val="clear" w:color="000000" w:fill="FFFFFF"/>
            <w:hideMark/>
          </w:tcPr>
          <w:p w14:paraId="5C230024" w14:textId="77777777" w:rsidR="00247CBF" w:rsidRPr="00092ED7" w:rsidRDefault="00247CBF" w:rsidP="00247CBF">
            <w:pPr>
              <w:spacing w:after="0"/>
              <w:jc w:val="center"/>
              <w:rPr>
                <w:sz w:val="20"/>
                <w:szCs w:val="20"/>
                <w:lang w:val="sr-Cyrl-CS"/>
              </w:rPr>
            </w:pPr>
            <w:r w:rsidRPr="00092ED7">
              <w:rPr>
                <w:sz w:val="20"/>
                <w:szCs w:val="20"/>
                <w:lang w:val="sr-Cyrl-CS"/>
              </w:rPr>
              <w:t>3,9</w:t>
            </w:r>
          </w:p>
        </w:tc>
        <w:tc>
          <w:tcPr>
            <w:tcW w:w="494" w:type="pct"/>
            <w:gridSpan w:val="2"/>
            <w:tcBorders>
              <w:top w:val="nil"/>
              <w:left w:val="nil"/>
              <w:bottom w:val="dotted" w:sz="4" w:space="0" w:color="auto"/>
              <w:right w:val="double" w:sz="6" w:space="0" w:color="auto"/>
            </w:tcBorders>
            <w:shd w:val="clear" w:color="000000" w:fill="FFFFFF"/>
            <w:hideMark/>
          </w:tcPr>
          <w:p w14:paraId="45C948A8" w14:textId="77777777" w:rsidR="00247CBF" w:rsidRPr="00092ED7" w:rsidRDefault="00247CBF" w:rsidP="00247CBF">
            <w:pPr>
              <w:spacing w:after="0"/>
              <w:jc w:val="center"/>
              <w:rPr>
                <w:sz w:val="20"/>
                <w:szCs w:val="20"/>
                <w:lang w:val="sr-Cyrl-CS"/>
              </w:rPr>
            </w:pPr>
            <w:r w:rsidRPr="00092ED7">
              <w:rPr>
                <w:sz w:val="20"/>
                <w:szCs w:val="20"/>
                <w:lang w:val="sr-Cyrl-CS"/>
              </w:rPr>
              <w:t>4,3</w:t>
            </w:r>
          </w:p>
        </w:tc>
      </w:tr>
      <w:tr w:rsidR="00247CBF" w:rsidRPr="00092ED7" w14:paraId="32582277"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3C61382C" w14:textId="77777777" w:rsidR="00247CBF" w:rsidRPr="00092ED7" w:rsidRDefault="00247CBF" w:rsidP="00247CBF">
            <w:pPr>
              <w:spacing w:after="0"/>
              <w:jc w:val="left"/>
              <w:rPr>
                <w:sz w:val="20"/>
                <w:szCs w:val="20"/>
                <w:lang w:val="sr-Cyrl-CS"/>
              </w:rPr>
            </w:pPr>
            <w:r w:rsidRPr="00092ED7">
              <w:rPr>
                <w:sz w:val="20"/>
                <w:szCs w:val="20"/>
                <w:lang w:val="sr-Cyrl-CS"/>
              </w:rPr>
              <w:t>15. Девизне резерве</w:t>
            </w:r>
          </w:p>
        </w:tc>
        <w:tc>
          <w:tcPr>
            <w:tcW w:w="534" w:type="pct"/>
            <w:tcBorders>
              <w:top w:val="nil"/>
              <w:left w:val="nil"/>
              <w:bottom w:val="dotted" w:sz="4" w:space="0" w:color="auto"/>
              <w:right w:val="single" w:sz="8" w:space="0" w:color="auto"/>
            </w:tcBorders>
            <w:shd w:val="clear" w:color="000000" w:fill="FFFFFF"/>
            <w:vAlign w:val="center"/>
            <w:hideMark/>
          </w:tcPr>
          <w:p w14:paraId="78B4C88C"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4A7E9786" w14:textId="77777777" w:rsidR="00247CBF" w:rsidRPr="00092ED7" w:rsidRDefault="00247CBF" w:rsidP="00247CBF">
            <w:pPr>
              <w:spacing w:after="0"/>
              <w:jc w:val="center"/>
              <w:rPr>
                <w:sz w:val="20"/>
                <w:szCs w:val="20"/>
                <w:lang w:val="sr-Cyrl-CS"/>
              </w:rPr>
            </w:pPr>
            <w:r w:rsidRPr="00092ED7">
              <w:rPr>
                <w:sz w:val="20"/>
                <w:szCs w:val="20"/>
                <w:lang w:val="sr-Cyrl-CS"/>
              </w:rPr>
              <w:t>16,5</w:t>
            </w:r>
          </w:p>
        </w:tc>
        <w:tc>
          <w:tcPr>
            <w:tcW w:w="495" w:type="pct"/>
            <w:gridSpan w:val="3"/>
            <w:tcBorders>
              <w:top w:val="nil"/>
              <w:left w:val="nil"/>
              <w:bottom w:val="dotted" w:sz="4" w:space="0" w:color="auto"/>
              <w:right w:val="dotted" w:sz="4" w:space="0" w:color="auto"/>
            </w:tcBorders>
            <w:shd w:val="clear" w:color="000000" w:fill="FFFFFF"/>
            <w:hideMark/>
          </w:tcPr>
          <w:p w14:paraId="7587C279" w14:textId="77777777" w:rsidR="00247CBF" w:rsidRPr="00092ED7" w:rsidRDefault="00247CBF" w:rsidP="00247CBF">
            <w:pPr>
              <w:spacing w:after="0"/>
              <w:jc w:val="center"/>
              <w:rPr>
                <w:sz w:val="20"/>
                <w:szCs w:val="20"/>
                <w:lang w:val="sr-Cyrl-CS"/>
              </w:rPr>
            </w:pPr>
            <w:r w:rsidRPr="00092ED7">
              <w:rPr>
                <w:sz w:val="20"/>
                <w:szCs w:val="20"/>
                <w:lang w:val="sr-Cyrl-CS"/>
              </w:rPr>
              <w:t>18,1</w:t>
            </w:r>
          </w:p>
        </w:tc>
        <w:tc>
          <w:tcPr>
            <w:tcW w:w="495" w:type="pct"/>
            <w:gridSpan w:val="2"/>
            <w:tcBorders>
              <w:top w:val="nil"/>
              <w:left w:val="nil"/>
              <w:bottom w:val="dotted" w:sz="4" w:space="0" w:color="auto"/>
              <w:right w:val="dotted" w:sz="4" w:space="0" w:color="auto"/>
            </w:tcBorders>
            <w:shd w:val="clear" w:color="000000" w:fill="FFFFFF"/>
            <w:hideMark/>
          </w:tcPr>
          <w:p w14:paraId="743C9124" w14:textId="77777777" w:rsidR="00247CBF" w:rsidRPr="00092ED7" w:rsidRDefault="00247CBF" w:rsidP="00247CBF">
            <w:pPr>
              <w:spacing w:after="0"/>
              <w:jc w:val="center"/>
              <w:rPr>
                <w:sz w:val="20"/>
                <w:szCs w:val="20"/>
                <w:lang w:val="sr-Cyrl-CS"/>
              </w:rPr>
            </w:pPr>
            <w:r w:rsidRPr="00092ED7">
              <w:rPr>
                <w:sz w:val="20"/>
                <w:szCs w:val="20"/>
                <w:lang w:val="sr-Cyrl-CS"/>
              </w:rPr>
              <w:t>18,1</w:t>
            </w:r>
          </w:p>
        </w:tc>
        <w:tc>
          <w:tcPr>
            <w:tcW w:w="495" w:type="pct"/>
            <w:gridSpan w:val="2"/>
            <w:tcBorders>
              <w:top w:val="nil"/>
              <w:left w:val="nil"/>
              <w:bottom w:val="dotted" w:sz="4" w:space="0" w:color="auto"/>
              <w:right w:val="dotted" w:sz="4" w:space="0" w:color="auto"/>
            </w:tcBorders>
            <w:shd w:val="clear" w:color="000000" w:fill="FFFFFF"/>
            <w:hideMark/>
          </w:tcPr>
          <w:p w14:paraId="52991594" w14:textId="77777777" w:rsidR="00247CBF" w:rsidRPr="00092ED7" w:rsidRDefault="00247CBF" w:rsidP="00247CBF">
            <w:pPr>
              <w:spacing w:after="0"/>
              <w:jc w:val="center"/>
              <w:rPr>
                <w:sz w:val="20"/>
                <w:szCs w:val="20"/>
                <w:lang w:val="sr-Cyrl-CS"/>
              </w:rPr>
            </w:pPr>
            <w:r w:rsidRPr="00092ED7">
              <w:rPr>
                <w:sz w:val="20"/>
                <w:szCs w:val="20"/>
                <w:lang w:val="sr-Cyrl-CS"/>
              </w:rPr>
              <w:t>18,5</w:t>
            </w:r>
          </w:p>
        </w:tc>
        <w:tc>
          <w:tcPr>
            <w:tcW w:w="494" w:type="pct"/>
            <w:gridSpan w:val="2"/>
            <w:tcBorders>
              <w:top w:val="nil"/>
              <w:left w:val="nil"/>
              <w:bottom w:val="dotted" w:sz="4" w:space="0" w:color="auto"/>
              <w:right w:val="double" w:sz="6" w:space="0" w:color="auto"/>
            </w:tcBorders>
            <w:shd w:val="clear" w:color="000000" w:fill="FFFFFF"/>
            <w:hideMark/>
          </w:tcPr>
          <w:p w14:paraId="55DDA036" w14:textId="77777777" w:rsidR="00247CBF" w:rsidRPr="00092ED7" w:rsidRDefault="00247CBF" w:rsidP="00247CBF">
            <w:pPr>
              <w:spacing w:after="0"/>
              <w:jc w:val="center"/>
              <w:rPr>
                <w:sz w:val="20"/>
                <w:szCs w:val="20"/>
                <w:lang w:val="sr-Cyrl-CS"/>
              </w:rPr>
            </w:pPr>
            <w:r w:rsidRPr="00092ED7">
              <w:rPr>
                <w:sz w:val="20"/>
                <w:szCs w:val="20"/>
                <w:lang w:val="sr-Cyrl-CS"/>
              </w:rPr>
              <w:t>19,0</w:t>
            </w:r>
          </w:p>
        </w:tc>
      </w:tr>
      <w:tr w:rsidR="00247CBF" w:rsidRPr="00092ED7" w14:paraId="356BAC73"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7A2F09D1" w14:textId="77777777" w:rsidR="00247CBF" w:rsidRPr="00092ED7" w:rsidRDefault="00247CBF" w:rsidP="00247CBF">
            <w:pPr>
              <w:spacing w:after="0"/>
              <w:jc w:val="left"/>
              <w:rPr>
                <w:sz w:val="20"/>
                <w:szCs w:val="20"/>
                <w:lang w:val="sr-Cyrl-CS"/>
              </w:rPr>
            </w:pPr>
            <w:r w:rsidRPr="00092ED7">
              <w:rPr>
                <w:sz w:val="20"/>
                <w:szCs w:val="20"/>
                <w:lang w:val="sr-Cyrl-CS"/>
              </w:rPr>
              <w:t>16. Нето спољни дуг</w:t>
            </w:r>
          </w:p>
        </w:tc>
        <w:tc>
          <w:tcPr>
            <w:tcW w:w="534" w:type="pct"/>
            <w:tcBorders>
              <w:top w:val="nil"/>
              <w:left w:val="nil"/>
              <w:bottom w:val="dotted" w:sz="4" w:space="0" w:color="auto"/>
              <w:right w:val="single" w:sz="8" w:space="0" w:color="auto"/>
            </w:tcBorders>
            <w:shd w:val="clear" w:color="000000" w:fill="FFFFFF"/>
            <w:vAlign w:val="center"/>
            <w:hideMark/>
          </w:tcPr>
          <w:p w14:paraId="799887EA"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6BA318E9" w14:textId="77777777" w:rsidR="00247CBF" w:rsidRPr="00092ED7" w:rsidRDefault="00247CBF" w:rsidP="00247CBF">
            <w:pPr>
              <w:spacing w:after="0"/>
              <w:jc w:val="center"/>
              <w:rPr>
                <w:sz w:val="20"/>
                <w:szCs w:val="20"/>
                <w:lang w:val="sr-Cyrl-CS"/>
              </w:rPr>
            </w:pPr>
            <w:r w:rsidRPr="00092ED7">
              <w:rPr>
                <w:sz w:val="20"/>
                <w:szCs w:val="20"/>
                <w:lang w:val="sr-Cyrl-CS"/>
              </w:rPr>
              <w:t>16,9</w:t>
            </w:r>
          </w:p>
        </w:tc>
        <w:tc>
          <w:tcPr>
            <w:tcW w:w="495" w:type="pct"/>
            <w:gridSpan w:val="3"/>
            <w:tcBorders>
              <w:top w:val="nil"/>
              <w:left w:val="nil"/>
              <w:bottom w:val="dotted" w:sz="4" w:space="0" w:color="auto"/>
              <w:right w:val="dotted" w:sz="4" w:space="0" w:color="auto"/>
            </w:tcBorders>
            <w:shd w:val="clear" w:color="000000" w:fill="FFFFFF"/>
            <w:hideMark/>
          </w:tcPr>
          <w:p w14:paraId="6AFF9B0D" w14:textId="77777777" w:rsidR="00247CBF" w:rsidRPr="00092ED7" w:rsidRDefault="00247CBF" w:rsidP="00247CBF">
            <w:pPr>
              <w:spacing w:after="0"/>
              <w:jc w:val="center"/>
              <w:rPr>
                <w:sz w:val="20"/>
                <w:szCs w:val="20"/>
                <w:lang w:val="sr-Cyrl-CS"/>
              </w:rPr>
            </w:pPr>
            <w:r w:rsidRPr="00092ED7">
              <w:rPr>
                <w:sz w:val="20"/>
                <w:szCs w:val="20"/>
                <w:lang w:val="sr-Cyrl-CS"/>
              </w:rPr>
              <w:t>17,2</w:t>
            </w:r>
          </w:p>
        </w:tc>
        <w:tc>
          <w:tcPr>
            <w:tcW w:w="495" w:type="pct"/>
            <w:gridSpan w:val="2"/>
            <w:tcBorders>
              <w:top w:val="nil"/>
              <w:left w:val="nil"/>
              <w:bottom w:val="dotted" w:sz="4" w:space="0" w:color="auto"/>
              <w:right w:val="dotted" w:sz="4" w:space="0" w:color="auto"/>
            </w:tcBorders>
            <w:shd w:val="clear" w:color="000000" w:fill="FFFFFF"/>
            <w:hideMark/>
          </w:tcPr>
          <w:p w14:paraId="6AEC3E07" w14:textId="77777777" w:rsidR="00247CBF" w:rsidRPr="00092ED7" w:rsidRDefault="00247CBF" w:rsidP="00247CBF">
            <w:pPr>
              <w:spacing w:after="0"/>
              <w:jc w:val="center"/>
              <w:rPr>
                <w:sz w:val="20"/>
                <w:szCs w:val="20"/>
                <w:lang w:val="sr-Cyrl-CS"/>
              </w:rPr>
            </w:pPr>
            <w:r w:rsidRPr="00092ED7">
              <w:rPr>
                <w:sz w:val="20"/>
                <w:szCs w:val="20"/>
                <w:lang w:val="sr-Cyrl-CS"/>
              </w:rPr>
              <w:t>17,5</w:t>
            </w:r>
          </w:p>
        </w:tc>
        <w:tc>
          <w:tcPr>
            <w:tcW w:w="495" w:type="pct"/>
            <w:gridSpan w:val="2"/>
            <w:tcBorders>
              <w:top w:val="nil"/>
              <w:left w:val="nil"/>
              <w:bottom w:val="dotted" w:sz="4" w:space="0" w:color="auto"/>
              <w:right w:val="dotted" w:sz="4" w:space="0" w:color="auto"/>
            </w:tcBorders>
            <w:shd w:val="clear" w:color="000000" w:fill="FFFFFF"/>
            <w:hideMark/>
          </w:tcPr>
          <w:p w14:paraId="04147993" w14:textId="77777777" w:rsidR="00247CBF" w:rsidRPr="00092ED7" w:rsidRDefault="00247CBF" w:rsidP="00247CBF">
            <w:pPr>
              <w:spacing w:after="0"/>
              <w:jc w:val="center"/>
              <w:rPr>
                <w:sz w:val="20"/>
                <w:szCs w:val="20"/>
                <w:lang w:val="sr-Cyrl-CS"/>
              </w:rPr>
            </w:pPr>
            <w:r w:rsidRPr="00092ED7">
              <w:rPr>
                <w:sz w:val="20"/>
                <w:szCs w:val="20"/>
                <w:lang w:val="sr-Cyrl-CS"/>
              </w:rPr>
              <w:t>18,0</w:t>
            </w:r>
          </w:p>
        </w:tc>
        <w:tc>
          <w:tcPr>
            <w:tcW w:w="494" w:type="pct"/>
            <w:gridSpan w:val="2"/>
            <w:tcBorders>
              <w:top w:val="nil"/>
              <w:left w:val="nil"/>
              <w:bottom w:val="dotted" w:sz="4" w:space="0" w:color="auto"/>
              <w:right w:val="double" w:sz="6" w:space="0" w:color="auto"/>
            </w:tcBorders>
            <w:shd w:val="clear" w:color="000000" w:fill="FFFFFF"/>
            <w:hideMark/>
          </w:tcPr>
          <w:p w14:paraId="2088A697" w14:textId="77777777" w:rsidR="00247CBF" w:rsidRPr="00092ED7" w:rsidRDefault="00247CBF" w:rsidP="00247CBF">
            <w:pPr>
              <w:spacing w:after="0"/>
              <w:jc w:val="center"/>
              <w:rPr>
                <w:sz w:val="20"/>
                <w:szCs w:val="20"/>
                <w:lang w:val="sr-Cyrl-CS"/>
              </w:rPr>
            </w:pPr>
            <w:r w:rsidRPr="00092ED7">
              <w:rPr>
                <w:sz w:val="20"/>
                <w:szCs w:val="20"/>
                <w:lang w:val="sr-Cyrl-CS"/>
              </w:rPr>
              <w:t>18,0</w:t>
            </w:r>
          </w:p>
        </w:tc>
      </w:tr>
      <w:tr w:rsidR="00247CBF" w:rsidRPr="00092ED7" w14:paraId="601FACC1"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7EC37717" w14:textId="77777777" w:rsidR="00247CBF" w:rsidRPr="00092ED7" w:rsidRDefault="00247CBF" w:rsidP="00247CBF">
            <w:pPr>
              <w:spacing w:after="0"/>
              <w:jc w:val="left"/>
              <w:rPr>
                <w:i/>
                <w:iCs/>
                <w:sz w:val="20"/>
                <w:szCs w:val="20"/>
                <w:lang w:val="sr-Cyrl-CS"/>
              </w:rPr>
            </w:pPr>
            <w:r w:rsidRPr="00092ED7">
              <w:rPr>
                <w:i/>
                <w:iCs/>
                <w:sz w:val="20"/>
                <w:szCs w:val="20"/>
                <w:lang w:val="sr-Cyrl-CS"/>
              </w:rPr>
              <w:t>17.Од чега:</w:t>
            </w:r>
            <w:r w:rsidRPr="00092ED7">
              <w:rPr>
                <w:sz w:val="20"/>
                <w:szCs w:val="20"/>
                <w:lang w:val="sr-Cyrl-CS"/>
              </w:rPr>
              <w:t xml:space="preserve"> јавни</w:t>
            </w:r>
          </w:p>
        </w:tc>
        <w:tc>
          <w:tcPr>
            <w:tcW w:w="534" w:type="pct"/>
            <w:tcBorders>
              <w:top w:val="nil"/>
              <w:left w:val="nil"/>
              <w:bottom w:val="dotted" w:sz="4" w:space="0" w:color="auto"/>
              <w:right w:val="single" w:sz="8" w:space="0" w:color="auto"/>
            </w:tcBorders>
            <w:shd w:val="clear" w:color="000000" w:fill="FFFFFF"/>
            <w:vAlign w:val="center"/>
            <w:hideMark/>
          </w:tcPr>
          <w:p w14:paraId="2BBC99DA"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7D671AA1" w14:textId="77777777" w:rsidR="00247CBF" w:rsidRPr="00092ED7" w:rsidRDefault="00247CBF" w:rsidP="00247CBF">
            <w:pPr>
              <w:spacing w:after="0"/>
              <w:jc w:val="center"/>
              <w:rPr>
                <w:sz w:val="20"/>
                <w:szCs w:val="20"/>
                <w:lang w:val="sr-Cyrl-CS"/>
              </w:rPr>
            </w:pPr>
            <w:r w:rsidRPr="00092ED7">
              <w:rPr>
                <w:sz w:val="20"/>
                <w:szCs w:val="20"/>
                <w:lang w:val="sr-Cyrl-CS"/>
              </w:rPr>
              <w:t>6,1</w:t>
            </w:r>
          </w:p>
        </w:tc>
        <w:tc>
          <w:tcPr>
            <w:tcW w:w="495" w:type="pct"/>
            <w:gridSpan w:val="3"/>
            <w:tcBorders>
              <w:top w:val="nil"/>
              <w:left w:val="nil"/>
              <w:bottom w:val="dotted" w:sz="4" w:space="0" w:color="auto"/>
              <w:right w:val="dotted" w:sz="4" w:space="0" w:color="auto"/>
            </w:tcBorders>
            <w:shd w:val="clear" w:color="000000" w:fill="FFFFFF"/>
            <w:hideMark/>
          </w:tcPr>
          <w:p w14:paraId="77759BE7" w14:textId="77777777" w:rsidR="00247CBF" w:rsidRPr="00092ED7" w:rsidRDefault="00247CBF" w:rsidP="00247CBF">
            <w:pPr>
              <w:spacing w:after="0"/>
              <w:jc w:val="center"/>
              <w:rPr>
                <w:sz w:val="20"/>
                <w:szCs w:val="20"/>
                <w:lang w:val="sr-Cyrl-CS"/>
              </w:rPr>
            </w:pPr>
            <w:r w:rsidRPr="00092ED7">
              <w:rPr>
                <w:sz w:val="20"/>
                <w:szCs w:val="20"/>
                <w:lang w:val="sr-Cyrl-CS"/>
              </w:rPr>
              <w:t>6,1</w:t>
            </w:r>
          </w:p>
        </w:tc>
        <w:tc>
          <w:tcPr>
            <w:tcW w:w="495" w:type="pct"/>
            <w:gridSpan w:val="2"/>
            <w:tcBorders>
              <w:top w:val="nil"/>
              <w:left w:val="nil"/>
              <w:bottom w:val="dotted" w:sz="4" w:space="0" w:color="auto"/>
              <w:right w:val="dotted" w:sz="4" w:space="0" w:color="auto"/>
            </w:tcBorders>
            <w:shd w:val="clear" w:color="000000" w:fill="FFFFFF"/>
            <w:hideMark/>
          </w:tcPr>
          <w:p w14:paraId="75EAF236" w14:textId="77777777" w:rsidR="00247CBF" w:rsidRPr="00092ED7" w:rsidRDefault="00247CBF" w:rsidP="00247CBF">
            <w:pPr>
              <w:spacing w:after="0"/>
              <w:jc w:val="center"/>
              <w:rPr>
                <w:sz w:val="20"/>
                <w:szCs w:val="20"/>
                <w:lang w:val="sr-Cyrl-CS"/>
              </w:rPr>
            </w:pPr>
            <w:r w:rsidRPr="00092ED7">
              <w:rPr>
                <w:sz w:val="20"/>
                <w:szCs w:val="20"/>
                <w:lang w:val="sr-Cyrl-CS"/>
              </w:rPr>
              <w:t>6,1</w:t>
            </w:r>
          </w:p>
        </w:tc>
        <w:tc>
          <w:tcPr>
            <w:tcW w:w="495" w:type="pct"/>
            <w:gridSpan w:val="2"/>
            <w:tcBorders>
              <w:top w:val="nil"/>
              <w:left w:val="nil"/>
              <w:bottom w:val="dotted" w:sz="4" w:space="0" w:color="auto"/>
              <w:right w:val="dotted" w:sz="4" w:space="0" w:color="auto"/>
            </w:tcBorders>
            <w:shd w:val="clear" w:color="000000" w:fill="FFFFFF"/>
            <w:hideMark/>
          </w:tcPr>
          <w:p w14:paraId="515B0737" w14:textId="77777777" w:rsidR="00247CBF" w:rsidRPr="00092ED7" w:rsidRDefault="00247CBF" w:rsidP="00247CBF">
            <w:pPr>
              <w:spacing w:after="0"/>
              <w:jc w:val="center"/>
              <w:rPr>
                <w:sz w:val="20"/>
                <w:szCs w:val="20"/>
                <w:lang w:val="sr-Cyrl-CS"/>
              </w:rPr>
            </w:pPr>
            <w:r w:rsidRPr="00092ED7">
              <w:rPr>
                <w:sz w:val="20"/>
                <w:szCs w:val="20"/>
                <w:lang w:val="sr-Cyrl-CS"/>
              </w:rPr>
              <w:t>6,2</w:t>
            </w:r>
          </w:p>
        </w:tc>
        <w:tc>
          <w:tcPr>
            <w:tcW w:w="494" w:type="pct"/>
            <w:gridSpan w:val="2"/>
            <w:tcBorders>
              <w:top w:val="nil"/>
              <w:left w:val="nil"/>
              <w:bottom w:val="dotted" w:sz="4" w:space="0" w:color="auto"/>
              <w:right w:val="double" w:sz="6" w:space="0" w:color="auto"/>
            </w:tcBorders>
            <w:shd w:val="clear" w:color="000000" w:fill="FFFFFF"/>
            <w:hideMark/>
          </w:tcPr>
          <w:p w14:paraId="2C309DBA" w14:textId="77777777" w:rsidR="00247CBF" w:rsidRPr="00092ED7" w:rsidRDefault="00247CBF" w:rsidP="00247CBF">
            <w:pPr>
              <w:spacing w:after="0"/>
              <w:jc w:val="center"/>
              <w:rPr>
                <w:sz w:val="20"/>
                <w:szCs w:val="20"/>
                <w:lang w:val="sr-Cyrl-CS"/>
              </w:rPr>
            </w:pPr>
            <w:r w:rsidRPr="00092ED7">
              <w:rPr>
                <w:sz w:val="20"/>
                <w:szCs w:val="20"/>
                <w:lang w:val="sr-Cyrl-CS"/>
              </w:rPr>
              <w:t>6,3</w:t>
            </w:r>
          </w:p>
        </w:tc>
      </w:tr>
      <w:tr w:rsidR="00247CBF" w:rsidRPr="00092ED7" w14:paraId="0146D54C"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3A334D31" w14:textId="77777777" w:rsidR="00247CBF" w:rsidRPr="00092ED7" w:rsidRDefault="00247CBF" w:rsidP="00247CBF">
            <w:pPr>
              <w:spacing w:after="0"/>
              <w:jc w:val="left"/>
              <w:rPr>
                <w:i/>
                <w:iCs/>
                <w:sz w:val="20"/>
                <w:szCs w:val="20"/>
                <w:lang w:val="sr-Cyrl-CS"/>
              </w:rPr>
            </w:pPr>
            <w:r w:rsidRPr="00092ED7">
              <w:rPr>
                <w:i/>
                <w:iCs/>
                <w:sz w:val="20"/>
                <w:szCs w:val="20"/>
                <w:lang w:val="sr-Cyrl-CS"/>
              </w:rPr>
              <w:t xml:space="preserve">18. Од чега: </w:t>
            </w:r>
            <w:r w:rsidRPr="00092ED7">
              <w:rPr>
                <w:sz w:val="20"/>
                <w:szCs w:val="20"/>
                <w:lang w:val="sr-Cyrl-CS"/>
              </w:rPr>
              <w:t>деноминовано у страним валутама</w:t>
            </w:r>
          </w:p>
        </w:tc>
        <w:tc>
          <w:tcPr>
            <w:tcW w:w="534" w:type="pct"/>
            <w:tcBorders>
              <w:top w:val="nil"/>
              <w:left w:val="nil"/>
              <w:bottom w:val="dotted" w:sz="4" w:space="0" w:color="auto"/>
              <w:right w:val="single" w:sz="8" w:space="0" w:color="auto"/>
            </w:tcBorders>
            <w:shd w:val="clear" w:color="000000" w:fill="FFFFFF"/>
            <w:vAlign w:val="center"/>
            <w:hideMark/>
          </w:tcPr>
          <w:p w14:paraId="5D252BEA"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7612850C" w14:textId="77777777" w:rsidR="00247CBF" w:rsidRPr="00092ED7" w:rsidRDefault="00247CBF" w:rsidP="00247CBF">
            <w:pPr>
              <w:spacing w:after="0"/>
              <w:jc w:val="center"/>
              <w:rPr>
                <w:sz w:val="20"/>
                <w:szCs w:val="20"/>
                <w:lang w:val="sr-Cyrl-CS"/>
              </w:rPr>
            </w:pPr>
            <w:r w:rsidRPr="00092ED7">
              <w:rPr>
                <w:sz w:val="20"/>
                <w:szCs w:val="20"/>
                <w:lang w:val="sr-Cyrl-CS"/>
              </w:rPr>
              <w:t>15,3</w:t>
            </w:r>
          </w:p>
        </w:tc>
        <w:tc>
          <w:tcPr>
            <w:tcW w:w="495" w:type="pct"/>
            <w:gridSpan w:val="3"/>
            <w:tcBorders>
              <w:top w:val="nil"/>
              <w:left w:val="nil"/>
              <w:bottom w:val="dotted" w:sz="4" w:space="0" w:color="auto"/>
              <w:right w:val="dotted" w:sz="4" w:space="0" w:color="auto"/>
            </w:tcBorders>
            <w:shd w:val="clear" w:color="000000" w:fill="FFFFFF"/>
            <w:hideMark/>
          </w:tcPr>
          <w:p w14:paraId="3F8723C8" w14:textId="77777777" w:rsidR="00247CBF" w:rsidRPr="00092ED7" w:rsidRDefault="00247CBF" w:rsidP="00247CBF">
            <w:pPr>
              <w:spacing w:after="0"/>
              <w:jc w:val="center"/>
              <w:rPr>
                <w:sz w:val="20"/>
                <w:szCs w:val="20"/>
                <w:lang w:val="sr-Cyrl-CS"/>
              </w:rPr>
            </w:pPr>
            <w:r w:rsidRPr="00092ED7">
              <w:rPr>
                <w:sz w:val="20"/>
                <w:szCs w:val="20"/>
                <w:lang w:val="sr-Cyrl-CS"/>
              </w:rPr>
              <w:t>15,6</w:t>
            </w:r>
          </w:p>
        </w:tc>
        <w:tc>
          <w:tcPr>
            <w:tcW w:w="495" w:type="pct"/>
            <w:gridSpan w:val="2"/>
            <w:tcBorders>
              <w:top w:val="nil"/>
              <w:left w:val="nil"/>
              <w:bottom w:val="dotted" w:sz="4" w:space="0" w:color="auto"/>
              <w:right w:val="dotted" w:sz="4" w:space="0" w:color="auto"/>
            </w:tcBorders>
            <w:shd w:val="clear" w:color="000000" w:fill="FFFFFF"/>
            <w:hideMark/>
          </w:tcPr>
          <w:p w14:paraId="3E748467" w14:textId="77777777" w:rsidR="00247CBF" w:rsidRPr="00092ED7" w:rsidRDefault="00247CBF" w:rsidP="00247CBF">
            <w:pPr>
              <w:spacing w:after="0"/>
              <w:jc w:val="center"/>
              <w:rPr>
                <w:sz w:val="20"/>
                <w:szCs w:val="20"/>
                <w:lang w:val="sr-Cyrl-CS"/>
              </w:rPr>
            </w:pPr>
            <w:r w:rsidRPr="00092ED7">
              <w:rPr>
                <w:sz w:val="20"/>
                <w:szCs w:val="20"/>
                <w:lang w:val="sr-Cyrl-CS"/>
              </w:rPr>
              <w:t>15,9</w:t>
            </w:r>
          </w:p>
        </w:tc>
        <w:tc>
          <w:tcPr>
            <w:tcW w:w="495" w:type="pct"/>
            <w:gridSpan w:val="2"/>
            <w:tcBorders>
              <w:top w:val="nil"/>
              <w:left w:val="nil"/>
              <w:bottom w:val="dotted" w:sz="4" w:space="0" w:color="auto"/>
              <w:right w:val="dotted" w:sz="4" w:space="0" w:color="auto"/>
            </w:tcBorders>
            <w:shd w:val="clear" w:color="000000" w:fill="FFFFFF"/>
            <w:hideMark/>
          </w:tcPr>
          <w:p w14:paraId="1708279B" w14:textId="77777777" w:rsidR="00247CBF" w:rsidRPr="00092ED7" w:rsidRDefault="00247CBF" w:rsidP="00247CBF">
            <w:pPr>
              <w:spacing w:after="0"/>
              <w:jc w:val="center"/>
              <w:rPr>
                <w:sz w:val="20"/>
                <w:szCs w:val="20"/>
                <w:lang w:val="sr-Cyrl-CS"/>
              </w:rPr>
            </w:pPr>
            <w:r w:rsidRPr="00092ED7">
              <w:rPr>
                <w:sz w:val="20"/>
                <w:szCs w:val="20"/>
                <w:lang w:val="sr-Cyrl-CS"/>
              </w:rPr>
              <w:t>16,5</w:t>
            </w:r>
          </w:p>
        </w:tc>
        <w:tc>
          <w:tcPr>
            <w:tcW w:w="494" w:type="pct"/>
            <w:gridSpan w:val="2"/>
            <w:tcBorders>
              <w:top w:val="nil"/>
              <w:left w:val="nil"/>
              <w:bottom w:val="dotted" w:sz="4" w:space="0" w:color="auto"/>
              <w:right w:val="double" w:sz="6" w:space="0" w:color="auto"/>
            </w:tcBorders>
            <w:shd w:val="clear" w:color="000000" w:fill="FFFFFF"/>
            <w:hideMark/>
          </w:tcPr>
          <w:p w14:paraId="2EE42406" w14:textId="77777777" w:rsidR="00247CBF" w:rsidRPr="00092ED7" w:rsidRDefault="00247CBF" w:rsidP="00247CBF">
            <w:pPr>
              <w:spacing w:after="0"/>
              <w:jc w:val="center"/>
              <w:rPr>
                <w:sz w:val="20"/>
                <w:szCs w:val="20"/>
                <w:lang w:val="sr-Cyrl-CS"/>
              </w:rPr>
            </w:pPr>
            <w:r w:rsidRPr="00092ED7">
              <w:rPr>
                <w:sz w:val="20"/>
                <w:szCs w:val="20"/>
                <w:lang w:val="sr-Cyrl-CS"/>
              </w:rPr>
              <w:t>16,7</w:t>
            </w:r>
          </w:p>
        </w:tc>
      </w:tr>
      <w:tr w:rsidR="00247CBF" w:rsidRPr="00092ED7" w14:paraId="5A041FF4" w14:textId="77777777" w:rsidTr="00247CBF">
        <w:trPr>
          <w:gridBefore w:val="1"/>
          <w:wBefore w:w="8" w:type="pct"/>
          <w:trHeight w:val="300"/>
        </w:trPr>
        <w:tc>
          <w:tcPr>
            <w:tcW w:w="1984" w:type="pct"/>
            <w:gridSpan w:val="2"/>
            <w:tcBorders>
              <w:top w:val="nil"/>
              <w:left w:val="double" w:sz="6" w:space="0" w:color="auto"/>
              <w:bottom w:val="single" w:sz="4" w:space="0" w:color="auto"/>
              <w:right w:val="single" w:sz="8" w:space="0" w:color="auto"/>
            </w:tcBorders>
            <w:shd w:val="clear" w:color="000000" w:fill="FFFFFF"/>
            <w:hideMark/>
          </w:tcPr>
          <w:p w14:paraId="1571734B" w14:textId="77777777" w:rsidR="00247CBF" w:rsidRPr="00092ED7" w:rsidRDefault="00247CBF" w:rsidP="00247CBF">
            <w:pPr>
              <w:spacing w:after="0"/>
              <w:jc w:val="left"/>
              <w:rPr>
                <w:i/>
                <w:iCs/>
                <w:sz w:val="20"/>
                <w:szCs w:val="20"/>
                <w:lang w:val="sr-Cyrl-CS"/>
              </w:rPr>
            </w:pPr>
            <w:r w:rsidRPr="00092ED7">
              <w:rPr>
                <w:i/>
                <w:iCs/>
                <w:sz w:val="20"/>
                <w:szCs w:val="20"/>
                <w:lang w:val="sr-Cyrl-CS"/>
              </w:rPr>
              <w:t xml:space="preserve">19. Од чега: </w:t>
            </w:r>
            <w:r w:rsidRPr="00092ED7">
              <w:rPr>
                <w:sz w:val="20"/>
                <w:szCs w:val="20"/>
                <w:lang w:val="sr-Cyrl-CS"/>
              </w:rPr>
              <w:t>доспело за отплату</w:t>
            </w:r>
          </w:p>
        </w:tc>
        <w:tc>
          <w:tcPr>
            <w:tcW w:w="534" w:type="pct"/>
            <w:tcBorders>
              <w:top w:val="nil"/>
              <w:left w:val="nil"/>
              <w:bottom w:val="single" w:sz="4" w:space="0" w:color="auto"/>
              <w:right w:val="single" w:sz="8" w:space="0" w:color="auto"/>
            </w:tcBorders>
            <w:shd w:val="clear" w:color="000000" w:fill="FFFFFF"/>
            <w:vAlign w:val="center"/>
            <w:hideMark/>
          </w:tcPr>
          <w:p w14:paraId="3C60BDF1"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single" w:sz="4" w:space="0" w:color="auto"/>
              <w:right w:val="dotted" w:sz="4" w:space="0" w:color="auto"/>
            </w:tcBorders>
            <w:shd w:val="clear" w:color="000000" w:fill="FFFFFF"/>
            <w:hideMark/>
          </w:tcPr>
          <w:p w14:paraId="6663A6A5" w14:textId="77777777" w:rsidR="00247CBF" w:rsidRPr="00092ED7" w:rsidRDefault="00247CBF" w:rsidP="00247CBF">
            <w:pPr>
              <w:spacing w:after="0"/>
              <w:jc w:val="center"/>
              <w:rPr>
                <w:sz w:val="20"/>
                <w:szCs w:val="20"/>
                <w:lang w:val="sr-Cyrl-CS"/>
              </w:rPr>
            </w:pPr>
            <w:r w:rsidRPr="00092ED7">
              <w:rPr>
                <w:sz w:val="20"/>
                <w:szCs w:val="20"/>
                <w:lang w:val="sr-Cyrl-CS"/>
              </w:rPr>
              <w:t>4,3</w:t>
            </w:r>
          </w:p>
        </w:tc>
        <w:tc>
          <w:tcPr>
            <w:tcW w:w="495" w:type="pct"/>
            <w:gridSpan w:val="3"/>
            <w:tcBorders>
              <w:top w:val="nil"/>
              <w:left w:val="nil"/>
              <w:bottom w:val="single" w:sz="4" w:space="0" w:color="auto"/>
              <w:right w:val="dotted" w:sz="4" w:space="0" w:color="auto"/>
            </w:tcBorders>
            <w:shd w:val="clear" w:color="000000" w:fill="FFFFFF"/>
            <w:hideMark/>
          </w:tcPr>
          <w:p w14:paraId="17FCF33E" w14:textId="77777777" w:rsidR="00247CBF" w:rsidRPr="00092ED7" w:rsidRDefault="00247CBF" w:rsidP="00247CBF">
            <w:pPr>
              <w:spacing w:after="0"/>
              <w:jc w:val="center"/>
              <w:rPr>
                <w:sz w:val="20"/>
                <w:szCs w:val="20"/>
                <w:lang w:val="sr-Cyrl-CS"/>
              </w:rPr>
            </w:pPr>
            <w:r w:rsidRPr="00092ED7">
              <w:rPr>
                <w:sz w:val="20"/>
                <w:szCs w:val="20"/>
                <w:lang w:val="sr-Cyrl-CS"/>
              </w:rPr>
              <w:t>4,8</w:t>
            </w:r>
          </w:p>
        </w:tc>
        <w:tc>
          <w:tcPr>
            <w:tcW w:w="495" w:type="pct"/>
            <w:gridSpan w:val="2"/>
            <w:tcBorders>
              <w:top w:val="nil"/>
              <w:left w:val="nil"/>
              <w:bottom w:val="single" w:sz="4" w:space="0" w:color="auto"/>
              <w:right w:val="dotted" w:sz="4" w:space="0" w:color="auto"/>
            </w:tcBorders>
            <w:shd w:val="clear" w:color="000000" w:fill="FFFFFF"/>
            <w:hideMark/>
          </w:tcPr>
          <w:p w14:paraId="5E0C4932" w14:textId="77777777" w:rsidR="00247CBF" w:rsidRPr="00092ED7" w:rsidRDefault="00247CBF" w:rsidP="00247CBF">
            <w:pPr>
              <w:spacing w:after="0"/>
              <w:jc w:val="center"/>
              <w:rPr>
                <w:sz w:val="20"/>
                <w:szCs w:val="20"/>
                <w:lang w:val="sr-Cyrl-CS"/>
              </w:rPr>
            </w:pPr>
            <w:r w:rsidRPr="00092ED7">
              <w:rPr>
                <w:sz w:val="20"/>
                <w:szCs w:val="20"/>
                <w:lang w:val="sr-Cyrl-CS"/>
              </w:rPr>
              <w:t>4,7</w:t>
            </w:r>
          </w:p>
        </w:tc>
        <w:tc>
          <w:tcPr>
            <w:tcW w:w="495" w:type="pct"/>
            <w:gridSpan w:val="2"/>
            <w:tcBorders>
              <w:top w:val="nil"/>
              <w:left w:val="nil"/>
              <w:bottom w:val="single" w:sz="4" w:space="0" w:color="auto"/>
              <w:right w:val="dotted" w:sz="4" w:space="0" w:color="auto"/>
            </w:tcBorders>
            <w:shd w:val="clear" w:color="000000" w:fill="FFFFFF"/>
            <w:hideMark/>
          </w:tcPr>
          <w:p w14:paraId="1860DB6F" w14:textId="77777777" w:rsidR="00247CBF" w:rsidRPr="00092ED7" w:rsidRDefault="00247CBF" w:rsidP="00247CBF">
            <w:pPr>
              <w:spacing w:after="0"/>
              <w:jc w:val="center"/>
              <w:rPr>
                <w:sz w:val="20"/>
                <w:szCs w:val="20"/>
                <w:lang w:val="sr-Cyrl-CS"/>
              </w:rPr>
            </w:pPr>
            <w:r w:rsidRPr="00092ED7">
              <w:rPr>
                <w:sz w:val="20"/>
                <w:szCs w:val="20"/>
                <w:lang w:val="sr-Cyrl-CS"/>
              </w:rPr>
              <w:t>5,5</w:t>
            </w:r>
          </w:p>
        </w:tc>
        <w:tc>
          <w:tcPr>
            <w:tcW w:w="494" w:type="pct"/>
            <w:gridSpan w:val="2"/>
            <w:tcBorders>
              <w:top w:val="nil"/>
              <w:left w:val="nil"/>
              <w:bottom w:val="single" w:sz="4" w:space="0" w:color="auto"/>
              <w:right w:val="double" w:sz="6" w:space="0" w:color="auto"/>
            </w:tcBorders>
            <w:shd w:val="clear" w:color="000000" w:fill="FFFFFF"/>
            <w:hideMark/>
          </w:tcPr>
          <w:p w14:paraId="56CEE3C0" w14:textId="77777777" w:rsidR="00247CBF" w:rsidRPr="00092ED7" w:rsidRDefault="00247CBF" w:rsidP="00247CBF">
            <w:pPr>
              <w:spacing w:after="0"/>
              <w:jc w:val="center"/>
              <w:rPr>
                <w:sz w:val="20"/>
                <w:szCs w:val="20"/>
                <w:lang w:val="sr-Cyrl-CS"/>
              </w:rPr>
            </w:pPr>
            <w:r w:rsidRPr="00092ED7">
              <w:rPr>
                <w:sz w:val="20"/>
                <w:szCs w:val="20"/>
                <w:lang w:val="sr-Cyrl-CS"/>
              </w:rPr>
              <w:t>4,8</w:t>
            </w:r>
          </w:p>
        </w:tc>
      </w:tr>
      <w:tr w:rsidR="00247CBF" w:rsidRPr="00092ED7" w14:paraId="17541C02" w14:textId="77777777" w:rsidTr="00247CBF">
        <w:trPr>
          <w:gridBefore w:val="1"/>
          <w:wBefore w:w="8" w:type="pct"/>
          <w:trHeight w:val="300"/>
        </w:trPr>
        <w:tc>
          <w:tcPr>
            <w:tcW w:w="1984" w:type="pct"/>
            <w:gridSpan w:val="2"/>
            <w:tcBorders>
              <w:top w:val="single" w:sz="4" w:space="0" w:color="auto"/>
              <w:left w:val="double" w:sz="6" w:space="0" w:color="auto"/>
              <w:bottom w:val="dotted" w:sz="4" w:space="0" w:color="auto"/>
              <w:right w:val="single" w:sz="8" w:space="0" w:color="auto"/>
            </w:tcBorders>
            <w:shd w:val="clear" w:color="000000" w:fill="FFFFFF"/>
            <w:vAlign w:val="center"/>
            <w:hideMark/>
          </w:tcPr>
          <w:p w14:paraId="6B4AC05C" w14:textId="77777777" w:rsidR="00247CBF" w:rsidRPr="00092ED7" w:rsidRDefault="00247CBF" w:rsidP="00247CBF">
            <w:pPr>
              <w:spacing w:after="0"/>
              <w:jc w:val="left"/>
              <w:rPr>
                <w:sz w:val="20"/>
                <w:szCs w:val="20"/>
                <w:lang w:val="sr-Cyrl-CS"/>
              </w:rPr>
            </w:pPr>
            <w:r w:rsidRPr="00092ED7">
              <w:rPr>
                <w:sz w:val="20"/>
                <w:szCs w:val="20"/>
                <w:lang w:val="sr-Cyrl-CS"/>
              </w:rPr>
              <w:t>21. Девизни курс у односу на ЕУР (годишњи просек)</w:t>
            </w:r>
          </w:p>
        </w:tc>
        <w:tc>
          <w:tcPr>
            <w:tcW w:w="534" w:type="pct"/>
            <w:tcBorders>
              <w:top w:val="single" w:sz="4" w:space="0" w:color="auto"/>
              <w:left w:val="nil"/>
              <w:bottom w:val="dotted" w:sz="4" w:space="0" w:color="auto"/>
              <w:right w:val="single" w:sz="8" w:space="0" w:color="auto"/>
            </w:tcBorders>
            <w:shd w:val="clear" w:color="000000" w:fill="FFFFFF"/>
            <w:vAlign w:val="center"/>
            <w:hideMark/>
          </w:tcPr>
          <w:p w14:paraId="2DC278C4" w14:textId="77777777" w:rsidR="00247CBF" w:rsidRPr="00092ED7" w:rsidRDefault="00247CBF" w:rsidP="00247CBF">
            <w:pPr>
              <w:spacing w:after="0"/>
              <w:jc w:val="center"/>
              <w:rPr>
                <w:sz w:val="16"/>
                <w:szCs w:val="16"/>
                <w:lang w:val="sr-Cyrl-CS"/>
              </w:rPr>
            </w:pPr>
            <w:r w:rsidRPr="00092ED7">
              <w:rPr>
                <w:sz w:val="16"/>
                <w:szCs w:val="16"/>
                <w:lang w:val="sr-Cyrl-CS"/>
              </w:rPr>
              <w:t>РСД/ЕУР</w:t>
            </w:r>
          </w:p>
        </w:tc>
        <w:tc>
          <w:tcPr>
            <w:tcW w:w="495" w:type="pct"/>
            <w:gridSpan w:val="2"/>
            <w:tcBorders>
              <w:top w:val="single" w:sz="4" w:space="0" w:color="auto"/>
              <w:left w:val="nil"/>
              <w:bottom w:val="dotted" w:sz="4" w:space="0" w:color="auto"/>
              <w:right w:val="dotted" w:sz="4" w:space="0" w:color="auto"/>
            </w:tcBorders>
            <w:shd w:val="clear" w:color="000000" w:fill="FFFFFF"/>
            <w:vAlign w:val="center"/>
            <w:hideMark/>
          </w:tcPr>
          <w:p w14:paraId="189FCE0C" w14:textId="77777777" w:rsidR="00247CBF" w:rsidRPr="00092ED7" w:rsidRDefault="00247CBF" w:rsidP="00247CBF">
            <w:pPr>
              <w:spacing w:after="0"/>
              <w:jc w:val="center"/>
              <w:rPr>
                <w:sz w:val="20"/>
                <w:szCs w:val="20"/>
                <w:lang w:val="sr-Cyrl-CS"/>
              </w:rPr>
            </w:pPr>
            <w:r w:rsidRPr="00092ED7">
              <w:rPr>
                <w:sz w:val="20"/>
                <w:szCs w:val="20"/>
                <w:lang w:val="sr-Cyrl-CS"/>
              </w:rPr>
              <w:t>117,6</w:t>
            </w:r>
          </w:p>
        </w:tc>
        <w:tc>
          <w:tcPr>
            <w:tcW w:w="495" w:type="pct"/>
            <w:gridSpan w:val="3"/>
            <w:tcBorders>
              <w:top w:val="single" w:sz="4" w:space="0" w:color="auto"/>
              <w:left w:val="nil"/>
              <w:bottom w:val="dotted" w:sz="4" w:space="0" w:color="auto"/>
              <w:right w:val="dotted" w:sz="4" w:space="0" w:color="auto"/>
            </w:tcBorders>
            <w:shd w:val="clear" w:color="000000" w:fill="FFFFFF"/>
            <w:vAlign w:val="center"/>
            <w:hideMark/>
          </w:tcPr>
          <w:p w14:paraId="45B069D7" w14:textId="77777777" w:rsidR="00247CBF" w:rsidRPr="00092ED7" w:rsidRDefault="00247CBF" w:rsidP="00247CBF">
            <w:pPr>
              <w:spacing w:after="0"/>
              <w:jc w:val="center"/>
              <w:rPr>
                <w:sz w:val="20"/>
                <w:szCs w:val="20"/>
                <w:lang w:val="sr-Cyrl-CS"/>
              </w:rPr>
            </w:pPr>
            <w:r w:rsidRPr="00092ED7">
              <w:rPr>
                <w:sz w:val="20"/>
                <w:szCs w:val="20"/>
                <w:lang w:val="sr-Cyrl-CS"/>
              </w:rPr>
              <w:t>117,5</w:t>
            </w:r>
          </w:p>
        </w:tc>
        <w:tc>
          <w:tcPr>
            <w:tcW w:w="495" w:type="pct"/>
            <w:gridSpan w:val="2"/>
            <w:tcBorders>
              <w:top w:val="single" w:sz="4" w:space="0" w:color="auto"/>
              <w:left w:val="nil"/>
              <w:bottom w:val="dotted" w:sz="4" w:space="0" w:color="auto"/>
              <w:right w:val="dotted" w:sz="4" w:space="0" w:color="auto"/>
            </w:tcBorders>
            <w:shd w:val="clear" w:color="000000" w:fill="FFFFFF"/>
            <w:hideMark/>
          </w:tcPr>
          <w:p w14:paraId="1BD941E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single" w:sz="4" w:space="0" w:color="auto"/>
              <w:left w:val="nil"/>
              <w:bottom w:val="dotted" w:sz="4" w:space="0" w:color="auto"/>
              <w:right w:val="dotted" w:sz="4" w:space="0" w:color="auto"/>
            </w:tcBorders>
            <w:shd w:val="clear" w:color="000000" w:fill="FFFFFF"/>
            <w:hideMark/>
          </w:tcPr>
          <w:p w14:paraId="78C160B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4" w:type="pct"/>
            <w:gridSpan w:val="2"/>
            <w:tcBorders>
              <w:top w:val="single" w:sz="4" w:space="0" w:color="auto"/>
              <w:left w:val="nil"/>
              <w:bottom w:val="dotted" w:sz="4" w:space="0" w:color="auto"/>
              <w:right w:val="double" w:sz="6" w:space="0" w:color="auto"/>
            </w:tcBorders>
            <w:shd w:val="clear" w:color="000000" w:fill="FFFFFF"/>
            <w:hideMark/>
          </w:tcPr>
          <w:p w14:paraId="2DA7BEE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43CEB0A6"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vAlign w:val="center"/>
            <w:hideMark/>
          </w:tcPr>
          <w:p w14:paraId="10C33C04" w14:textId="77777777" w:rsidR="00247CBF" w:rsidRPr="00092ED7" w:rsidRDefault="00247CBF" w:rsidP="00247CBF">
            <w:pPr>
              <w:spacing w:after="0"/>
              <w:jc w:val="left"/>
              <w:rPr>
                <w:i/>
                <w:iCs/>
                <w:sz w:val="20"/>
                <w:szCs w:val="20"/>
                <w:lang w:val="sr-Cyrl-CS"/>
              </w:rPr>
            </w:pPr>
            <w:r w:rsidRPr="00092ED7">
              <w:rPr>
                <w:i/>
                <w:iCs/>
                <w:sz w:val="20"/>
                <w:szCs w:val="20"/>
                <w:lang w:val="sr-Cyrl-CS"/>
              </w:rPr>
              <w:t xml:space="preserve">      Девизни курс у односу на ЕУР (годишњи просек)</w:t>
            </w:r>
          </w:p>
        </w:tc>
        <w:tc>
          <w:tcPr>
            <w:tcW w:w="534" w:type="pct"/>
            <w:tcBorders>
              <w:top w:val="nil"/>
              <w:left w:val="nil"/>
              <w:bottom w:val="dotted" w:sz="4" w:space="0" w:color="auto"/>
              <w:right w:val="single" w:sz="8" w:space="0" w:color="auto"/>
            </w:tcBorders>
            <w:shd w:val="clear" w:color="000000" w:fill="FFFFFF"/>
            <w:vAlign w:val="center"/>
            <w:hideMark/>
          </w:tcPr>
          <w:p w14:paraId="2CE21D47" w14:textId="77777777" w:rsidR="00247CBF" w:rsidRPr="00092ED7" w:rsidRDefault="00247CBF" w:rsidP="00247CBF">
            <w:pPr>
              <w:spacing w:after="0"/>
              <w:jc w:val="center"/>
              <w:rPr>
                <w:i/>
                <w:iCs/>
                <w:sz w:val="16"/>
                <w:szCs w:val="16"/>
                <w:lang w:val="sr-Cyrl-CS"/>
              </w:rPr>
            </w:pPr>
            <w:r w:rsidRPr="00092ED7">
              <w:rPr>
                <w:i/>
                <w:iCs/>
                <w:sz w:val="16"/>
                <w:szCs w:val="16"/>
                <w:lang w:val="sr-Cyrl-CS"/>
              </w:rPr>
              <w:t>%, мг.</w:t>
            </w:r>
          </w:p>
        </w:tc>
        <w:tc>
          <w:tcPr>
            <w:tcW w:w="495" w:type="pct"/>
            <w:gridSpan w:val="2"/>
            <w:tcBorders>
              <w:top w:val="nil"/>
              <w:left w:val="nil"/>
              <w:bottom w:val="dotted" w:sz="4" w:space="0" w:color="auto"/>
              <w:right w:val="dotted" w:sz="4" w:space="0" w:color="auto"/>
            </w:tcBorders>
            <w:shd w:val="clear" w:color="000000" w:fill="FFFFFF"/>
            <w:vAlign w:val="center"/>
            <w:hideMark/>
          </w:tcPr>
          <w:p w14:paraId="7989ECA1" w14:textId="77777777" w:rsidR="00247CBF" w:rsidRPr="00092ED7" w:rsidRDefault="00247CBF" w:rsidP="00247CBF">
            <w:pPr>
              <w:spacing w:after="0"/>
              <w:jc w:val="center"/>
              <w:rPr>
                <w:i/>
                <w:iCs/>
                <w:sz w:val="20"/>
                <w:szCs w:val="20"/>
                <w:lang w:val="sr-Cyrl-CS"/>
              </w:rPr>
            </w:pPr>
            <w:r w:rsidRPr="00092ED7">
              <w:rPr>
                <w:i/>
                <w:iCs/>
                <w:sz w:val="20"/>
                <w:szCs w:val="20"/>
                <w:lang w:val="sr-Cyrl-CS"/>
              </w:rPr>
              <w:t>0,0</w:t>
            </w:r>
          </w:p>
        </w:tc>
        <w:tc>
          <w:tcPr>
            <w:tcW w:w="495" w:type="pct"/>
            <w:gridSpan w:val="3"/>
            <w:tcBorders>
              <w:top w:val="nil"/>
              <w:left w:val="nil"/>
              <w:bottom w:val="dotted" w:sz="4" w:space="0" w:color="auto"/>
              <w:right w:val="dotted" w:sz="4" w:space="0" w:color="auto"/>
            </w:tcBorders>
            <w:shd w:val="clear" w:color="000000" w:fill="FFFFFF"/>
            <w:vAlign w:val="center"/>
            <w:hideMark/>
          </w:tcPr>
          <w:p w14:paraId="3B47D366" w14:textId="77777777" w:rsidR="00247CBF" w:rsidRPr="00092ED7" w:rsidRDefault="00247CBF" w:rsidP="00247CBF">
            <w:pPr>
              <w:spacing w:after="0"/>
              <w:jc w:val="center"/>
              <w:rPr>
                <w:i/>
                <w:iCs/>
                <w:sz w:val="20"/>
                <w:szCs w:val="20"/>
                <w:lang w:val="sr-Cyrl-CS"/>
              </w:rPr>
            </w:pPr>
            <w:r w:rsidRPr="00092ED7">
              <w:rPr>
                <w:i/>
                <w:iCs/>
                <w:sz w:val="20"/>
                <w:szCs w:val="20"/>
                <w:lang w:val="sr-Cyrl-CS"/>
              </w:rPr>
              <w:t>-0,1</w:t>
            </w:r>
          </w:p>
        </w:tc>
        <w:tc>
          <w:tcPr>
            <w:tcW w:w="495" w:type="pct"/>
            <w:gridSpan w:val="2"/>
            <w:tcBorders>
              <w:top w:val="nil"/>
              <w:left w:val="nil"/>
              <w:bottom w:val="dotted" w:sz="4" w:space="0" w:color="auto"/>
              <w:right w:val="dotted" w:sz="4" w:space="0" w:color="auto"/>
            </w:tcBorders>
            <w:shd w:val="clear" w:color="000000" w:fill="FFFFFF"/>
            <w:hideMark/>
          </w:tcPr>
          <w:p w14:paraId="4D85D415" w14:textId="77777777" w:rsidR="00247CBF" w:rsidRPr="00092ED7" w:rsidRDefault="00247CBF" w:rsidP="00247CBF">
            <w:pPr>
              <w:spacing w:after="0"/>
              <w:jc w:val="center"/>
              <w:rPr>
                <w:rFonts w:eastAsia="Times New Roman" w:cs="Times New Roman"/>
                <w:i/>
                <w:iCs/>
                <w:sz w:val="20"/>
                <w:szCs w:val="20"/>
                <w:lang w:val="sr-Cyrl-CS"/>
              </w:rPr>
            </w:pPr>
            <w:r w:rsidRPr="00092ED7">
              <w:rPr>
                <w:rFonts w:eastAsia="Times New Roman" w:cs="Times New Roman"/>
                <w:i/>
                <w:iCs/>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22261647" w14:textId="77777777" w:rsidR="00247CBF" w:rsidRPr="00092ED7" w:rsidRDefault="00247CBF" w:rsidP="00247CBF">
            <w:pPr>
              <w:spacing w:after="0"/>
              <w:jc w:val="center"/>
              <w:rPr>
                <w:rFonts w:eastAsia="Times New Roman" w:cs="Times New Roman"/>
                <w:i/>
                <w:iCs/>
                <w:sz w:val="20"/>
                <w:szCs w:val="20"/>
                <w:lang w:val="sr-Cyrl-CS"/>
              </w:rPr>
            </w:pPr>
            <w:r w:rsidRPr="00092ED7">
              <w:rPr>
                <w:rFonts w:eastAsia="Times New Roman" w:cs="Times New Roman"/>
                <w:i/>
                <w:iCs/>
                <w:sz w:val="20"/>
                <w:szCs w:val="20"/>
                <w:lang w:val="sr-Cyrl-CS"/>
              </w:rPr>
              <w:t>:</w:t>
            </w:r>
          </w:p>
        </w:tc>
        <w:tc>
          <w:tcPr>
            <w:tcW w:w="494" w:type="pct"/>
            <w:gridSpan w:val="2"/>
            <w:tcBorders>
              <w:top w:val="nil"/>
              <w:left w:val="nil"/>
              <w:bottom w:val="dotted" w:sz="4" w:space="0" w:color="auto"/>
              <w:right w:val="double" w:sz="6" w:space="0" w:color="auto"/>
            </w:tcBorders>
            <w:shd w:val="clear" w:color="000000" w:fill="FFFFFF"/>
            <w:hideMark/>
          </w:tcPr>
          <w:p w14:paraId="2A3163CE" w14:textId="77777777" w:rsidR="00247CBF" w:rsidRPr="00092ED7" w:rsidRDefault="00247CBF" w:rsidP="00247CBF">
            <w:pPr>
              <w:spacing w:after="0"/>
              <w:jc w:val="center"/>
              <w:rPr>
                <w:rFonts w:eastAsia="Times New Roman" w:cs="Times New Roman"/>
                <w:i/>
                <w:iCs/>
                <w:sz w:val="20"/>
                <w:szCs w:val="20"/>
                <w:lang w:val="sr-Cyrl-CS"/>
              </w:rPr>
            </w:pPr>
            <w:r w:rsidRPr="00092ED7">
              <w:rPr>
                <w:rFonts w:eastAsia="Times New Roman" w:cs="Times New Roman"/>
                <w:i/>
                <w:iCs/>
                <w:sz w:val="20"/>
                <w:szCs w:val="20"/>
                <w:lang w:val="sr-Cyrl-CS"/>
              </w:rPr>
              <w:t>:</w:t>
            </w:r>
          </w:p>
        </w:tc>
      </w:tr>
      <w:tr w:rsidR="00247CBF" w:rsidRPr="00092ED7" w14:paraId="3930D34D"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vAlign w:val="center"/>
            <w:hideMark/>
          </w:tcPr>
          <w:p w14:paraId="6B5BAFD6" w14:textId="77777777" w:rsidR="00247CBF" w:rsidRPr="00092ED7" w:rsidRDefault="00247CBF" w:rsidP="00247CBF">
            <w:pPr>
              <w:spacing w:after="0"/>
              <w:jc w:val="left"/>
              <w:rPr>
                <w:sz w:val="20"/>
                <w:szCs w:val="20"/>
                <w:lang w:val="sr-Cyrl-CS"/>
              </w:rPr>
            </w:pPr>
            <w:r w:rsidRPr="00092ED7">
              <w:rPr>
                <w:sz w:val="20"/>
                <w:szCs w:val="20"/>
                <w:lang w:val="sr-Cyrl-CS"/>
              </w:rPr>
              <w:t>20. Девизни курс у односу на ЕУР (крај године)</w:t>
            </w:r>
          </w:p>
        </w:tc>
        <w:tc>
          <w:tcPr>
            <w:tcW w:w="534" w:type="pct"/>
            <w:tcBorders>
              <w:top w:val="nil"/>
              <w:left w:val="nil"/>
              <w:bottom w:val="dotted" w:sz="4" w:space="0" w:color="auto"/>
              <w:right w:val="single" w:sz="8" w:space="0" w:color="auto"/>
            </w:tcBorders>
            <w:shd w:val="clear" w:color="000000" w:fill="FFFFFF"/>
            <w:vAlign w:val="center"/>
            <w:hideMark/>
          </w:tcPr>
          <w:p w14:paraId="37759549" w14:textId="77777777" w:rsidR="00247CBF" w:rsidRPr="00092ED7" w:rsidRDefault="00247CBF" w:rsidP="00247CBF">
            <w:pPr>
              <w:spacing w:after="0"/>
              <w:jc w:val="center"/>
              <w:rPr>
                <w:sz w:val="16"/>
                <w:szCs w:val="16"/>
                <w:lang w:val="sr-Cyrl-CS"/>
              </w:rPr>
            </w:pPr>
            <w:r w:rsidRPr="00092ED7">
              <w:rPr>
                <w:sz w:val="16"/>
                <w:szCs w:val="16"/>
                <w:lang w:val="sr-Cyrl-CS"/>
              </w:rPr>
              <w:t>РСД/ЕУР</w:t>
            </w:r>
          </w:p>
        </w:tc>
        <w:tc>
          <w:tcPr>
            <w:tcW w:w="495" w:type="pct"/>
            <w:gridSpan w:val="2"/>
            <w:tcBorders>
              <w:top w:val="nil"/>
              <w:left w:val="nil"/>
              <w:bottom w:val="dotted" w:sz="4" w:space="0" w:color="auto"/>
              <w:right w:val="dotted" w:sz="4" w:space="0" w:color="auto"/>
            </w:tcBorders>
            <w:shd w:val="clear" w:color="000000" w:fill="FFFFFF"/>
            <w:vAlign w:val="center"/>
            <w:hideMark/>
          </w:tcPr>
          <w:p w14:paraId="34ECE4C4" w14:textId="77777777" w:rsidR="00247CBF" w:rsidRPr="00092ED7" w:rsidRDefault="00247CBF" w:rsidP="00247CBF">
            <w:pPr>
              <w:spacing w:after="0"/>
              <w:jc w:val="center"/>
              <w:rPr>
                <w:sz w:val="20"/>
                <w:szCs w:val="20"/>
                <w:lang w:val="sr-Cyrl-CS"/>
              </w:rPr>
            </w:pPr>
            <w:r w:rsidRPr="00092ED7">
              <w:rPr>
                <w:sz w:val="20"/>
                <w:szCs w:val="20"/>
                <w:lang w:val="sr-Cyrl-CS"/>
              </w:rPr>
              <w:t>117,6</w:t>
            </w:r>
          </w:p>
        </w:tc>
        <w:tc>
          <w:tcPr>
            <w:tcW w:w="495" w:type="pct"/>
            <w:gridSpan w:val="3"/>
            <w:tcBorders>
              <w:top w:val="nil"/>
              <w:left w:val="nil"/>
              <w:bottom w:val="dotted" w:sz="4" w:space="0" w:color="auto"/>
              <w:right w:val="dotted" w:sz="4" w:space="0" w:color="auto"/>
            </w:tcBorders>
            <w:shd w:val="clear" w:color="000000" w:fill="FFFFFF"/>
            <w:vAlign w:val="center"/>
            <w:hideMark/>
          </w:tcPr>
          <w:p w14:paraId="7F110579" w14:textId="77777777" w:rsidR="00247CBF" w:rsidRPr="00092ED7" w:rsidRDefault="00247CBF" w:rsidP="00247CBF">
            <w:pPr>
              <w:spacing w:after="0"/>
              <w:jc w:val="center"/>
              <w:rPr>
                <w:sz w:val="20"/>
                <w:szCs w:val="20"/>
                <w:lang w:val="sr-Cyrl-CS"/>
              </w:rPr>
            </w:pPr>
            <w:r w:rsidRPr="00092ED7">
              <w:rPr>
                <w:sz w:val="20"/>
                <w:szCs w:val="20"/>
                <w:lang w:val="sr-Cyrl-CS"/>
              </w:rPr>
              <w:t>117,3</w:t>
            </w:r>
          </w:p>
        </w:tc>
        <w:tc>
          <w:tcPr>
            <w:tcW w:w="495" w:type="pct"/>
            <w:gridSpan w:val="2"/>
            <w:tcBorders>
              <w:top w:val="nil"/>
              <w:left w:val="nil"/>
              <w:bottom w:val="dotted" w:sz="4" w:space="0" w:color="auto"/>
              <w:right w:val="dotted" w:sz="4" w:space="0" w:color="auto"/>
            </w:tcBorders>
            <w:shd w:val="clear" w:color="000000" w:fill="FFFFFF"/>
            <w:hideMark/>
          </w:tcPr>
          <w:p w14:paraId="4B0BDDB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214622A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4" w:type="pct"/>
            <w:gridSpan w:val="2"/>
            <w:tcBorders>
              <w:top w:val="nil"/>
              <w:left w:val="nil"/>
              <w:bottom w:val="dotted" w:sz="4" w:space="0" w:color="auto"/>
              <w:right w:val="double" w:sz="6" w:space="0" w:color="auto"/>
            </w:tcBorders>
            <w:shd w:val="clear" w:color="000000" w:fill="FFFFFF"/>
            <w:hideMark/>
          </w:tcPr>
          <w:p w14:paraId="1AAB503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3DCE2DA3"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vAlign w:val="center"/>
            <w:hideMark/>
          </w:tcPr>
          <w:p w14:paraId="212706D8" w14:textId="77777777" w:rsidR="00247CBF" w:rsidRPr="00092ED7" w:rsidRDefault="00247CBF" w:rsidP="00247CBF">
            <w:pPr>
              <w:spacing w:after="0"/>
              <w:jc w:val="left"/>
              <w:rPr>
                <w:i/>
                <w:iCs/>
                <w:sz w:val="20"/>
                <w:szCs w:val="20"/>
                <w:lang w:val="sr-Cyrl-CS"/>
              </w:rPr>
            </w:pPr>
            <w:r w:rsidRPr="00092ED7">
              <w:rPr>
                <w:i/>
                <w:iCs/>
                <w:sz w:val="20"/>
                <w:szCs w:val="20"/>
                <w:lang w:val="sr-Cyrl-CS"/>
              </w:rPr>
              <w:t xml:space="preserve">      Девизни курс у односу на ЕУР (крај године)</w:t>
            </w:r>
          </w:p>
        </w:tc>
        <w:tc>
          <w:tcPr>
            <w:tcW w:w="534" w:type="pct"/>
            <w:tcBorders>
              <w:top w:val="nil"/>
              <w:left w:val="nil"/>
              <w:bottom w:val="single" w:sz="4" w:space="0" w:color="auto"/>
              <w:right w:val="single" w:sz="8" w:space="0" w:color="auto"/>
            </w:tcBorders>
            <w:shd w:val="clear" w:color="000000" w:fill="FFFFFF"/>
            <w:vAlign w:val="center"/>
            <w:hideMark/>
          </w:tcPr>
          <w:p w14:paraId="713E4616" w14:textId="77777777" w:rsidR="00247CBF" w:rsidRPr="00092ED7" w:rsidRDefault="00247CBF" w:rsidP="00247CBF">
            <w:pPr>
              <w:spacing w:after="0"/>
              <w:jc w:val="center"/>
              <w:rPr>
                <w:i/>
                <w:iCs/>
                <w:sz w:val="16"/>
                <w:szCs w:val="16"/>
                <w:lang w:val="sr-Cyrl-CS"/>
              </w:rPr>
            </w:pPr>
            <w:r w:rsidRPr="00092ED7">
              <w:rPr>
                <w:i/>
                <w:iCs/>
                <w:sz w:val="16"/>
                <w:szCs w:val="16"/>
                <w:lang w:val="sr-Cyrl-CS"/>
              </w:rPr>
              <w:t>%, мг.</w:t>
            </w:r>
          </w:p>
        </w:tc>
        <w:tc>
          <w:tcPr>
            <w:tcW w:w="495" w:type="pct"/>
            <w:gridSpan w:val="2"/>
            <w:tcBorders>
              <w:top w:val="nil"/>
              <w:left w:val="nil"/>
              <w:bottom w:val="dotted" w:sz="4" w:space="0" w:color="auto"/>
              <w:right w:val="dotted" w:sz="4" w:space="0" w:color="auto"/>
            </w:tcBorders>
            <w:shd w:val="clear" w:color="000000" w:fill="FFFFFF"/>
            <w:vAlign w:val="center"/>
            <w:hideMark/>
          </w:tcPr>
          <w:p w14:paraId="7D13ADFA" w14:textId="77777777" w:rsidR="00247CBF" w:rsidRPr="00092ED7" w:rsidRDefault="00247CBF" w:rsidP="00247CBF">
            <w:pPr>
              <w:spacing w:after="0"/>
              <w:jc w:val="center"/>
              <w:rPr>
                <w:i/>
                <w:iCs/>
                <w:sz w:val="20"/>
                <w:szCs w:val="20"/>
                <w:lang w:val="sr-Cyrl-CS"/>
              </w:rPr>
            </w:pPr>
            <w:r w:rsidRPr="00092ED7">
              <w:rPr>
                <w:i/>
                <w:iCs/>
                <w:sz w:val="20"/>
                <w:szCs w:val="20"/>
                <w:lang w:val="sr-Cyrl-CS"/>
              </w:rPr>
              <w:t>0,0</w:t>
            </w:r>
          </w:p>
        </w:tc>
        <w:tc>
          <w:tcPr>
            <w:tcW w:w="495" w:type="pct"/>
            <w:gridSpan w:val="3"/>
            <w:tcBorders>
              <w:top w:val="nil"/>
              <w:left w:val="nil"/>
              <w:bottom w:val="dotted" w:sz="4" w:space="0" w:color="auto"/>
              <w:right w:val="dotted" w:sz="4" w:space="0" w:color="auto"/>
            </w:tcBorders>
            <w:shd w:val="clear" w:color="000000" w:fill="FFFFFF"/>
            <w:vAlign w:val="center"/>
            <w:hideMark/>
          </w:tcPr>
          <w:p w14:paraId="770656EA" w14:textId="77777777" w:rsidR="00247CBF" w:rsidRPr="00092ED7" w:rsidRDefault="00247CBF" w:rsidP="00247CBF">
            <w:pPr>
              <w:spacing w:after="0"/>
              <w:jc w:val="center"/>
              <w:rPr>
                <w:i/>
                <w:iCs/>
                <w:sz w:val="20"/>
                <w:szCs w:val="20"/>
                <w:lang w:val="sr-Cyrl-CS"/>
              </w:rPr>
            </w:pPr>
            <w:r w:rsidRPr="00092ED7">
              <w:rPr>
                <w:i/>
                <w:iCs/>
                <w:sz w:val="20"/>
                <w:szCs w:val="20"/>
                <w:lang w:val="sr-Cyrl-CS"/>
              </w:rPr>
              <w:t>-0,2</w:t>
            </w:r>
          </w:p>
        </w:tc>
        <w:tc>
          <w:tcPr>
            <w:tcW w:w="495" w:type="pct"/>
            <w:gridSpan w:val="2"/>
            <w:tcBorders>
              <w:top w:val="nil"/>
              <w:left w:val="nil"/>
              <w:bottom w:val="dotted" w:sz="4" w:space="0" w:color="auto"/>
              <w:right w:val="dotted" w:sz="4" w:space="0" w:color="auto"/>
            </w:tcBorders>
            <w:shd w:val="clear" w:color="000000" w:fill="FFFFFF"/>
            <w:hideMark/>
          </w:tcPr>
          <w:p w14:paraId="49413C07" w14:textId="77777777" w:rsidR="00247CBF" w:rsidRPr="00092ED7" w:rsidRDefault="00247CBF" w:rsidP="00247CBF">
            <w:pPr>
              <w:spacing w:after="0"/>
              <w:jc w:val="center"/>
              <w:rPr>
                <w:rFonts w:eastAsia="Times New Roman" w:cs="Times New Roman"/>
                <w:i/>
                <w:iCs/>
                <w:sz w:val="20"/>
                <w:szCs w:val="20"/>
                <w:lang w:val="sr-Cyrl-CS"/>
              </w:rPr>
            </w:pPr>
            <w:r w:rsidRPr="00092ED7">
              <w:rPr>
                <w:rFonts w:eastAsia="Times New Roman" w:cs="Times New Roman"/>
                <w:i/>
                <w:iCs/>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66A8BD78" w14:textId="77777777" w:rsidR="00247CBF" w:rsidRPr="00092ED7" w:rsidRDefault="00247CBF" w:rsidP="00247CBF">
            <w:pPr>
              <w:spacing w:after="0"/>
              <w:jc w:val="center"/>
              <w:rPr>
                <w:rFonts w:eastAsia="Times New Roman" w:cs="Times New Roman"/>
                <w:i/>
                <w:iCs/>
                <w:sz w:val="20"/>
                <w:szCs w:val="20"/>
                <w:lang w:val="sr-Cyrl-CS"/>
              </w:rPr>
            </w:pPr>
            <w:r w:rsidRPr="00092ED7">
              <w:rPr>
                <w:rFonts w:eastAsia="Times New Roman" w:cs="Times New Roman"/>
                <w:i/>
                <w:iCs/>
                <w:sz w:val="20"/>
                <w:szCs w:val="20"/>
                <w:lang w:val="sr-Cyrl-CS"/>
              </w:rPr>
              <w:t>:</w:t>
            </w:r>
          </w:p>
        </w:tc>
        <w:tc>
          <w:tcPr>
            <w:tcW w:w="494" w:type="pct"/>
            <w:gridSpan w:val="2"/>
            <w:tcBorders>
              <w:top w:val="nil"/>
              <w:left w:val="nil"/>
              <w:bottom w:val="dotted" w:sz="4" w:space="0" w:color="auto"/>
              <w:right w:val="double" w:sz="6" w:space="0" w:color="auto"/>
            </w:tcBorders>
            <w:shd w:val="clear" w:color="000000" w:fill="FFFFFF"/>
            <w:hideMark/>
          </w:tcPr>
          <w:p w14:paraId="72799821" w14:textId="77777777" w:rsidR="00247CBF" w:rsidRPr="00092ED7" w:rsidRDefault="00247CBF" w:rsidP="00247CBF">
            <w:pPr>
              <w:spacing w:after="0"/>
              <w:jc w:val="center"/>
              <w:rPr>
                <w:rFonts w:eastAsia="Times New Roman" w:cs="Times New Roman"/>
                <w:i/>
                <w:iCs/>
                <w:sz w:val="20"/>
                <w:szCs w:val="20"/>
                <w:lang w:val="sr-Cyrl-CS"/>
              </w:rPr>
            </w:pPr>
            <w:r w:rsidRPr="00092ED7">
              <w:rPr>
                <w:rFonts w:eastAsia="Times New Roman" w:cs="Times New Roman"/>
                <w:i/>
                <w:iCs/>
                <w:sz w:val="20"/>
                <w:szCs w:val="20"/>
                <w:lang w:val="sr-Cyrl-CS"/>
              </w:rPr>
              <w:t>:</w:t>
            </w:r>
          </w:p>
        </w:tc>
      </w:tr>
      <w:tr w:rsidR="00247CBF" w:rsidRPr="00092ED7" w14:paraId="06169CDE" w14:textId="77777777" w:rsidTr="00247CBF">
        <w:trPr>
          <w:gridBefore w:val="1"/>
          <w:wBefore w:w="8" w:type="pct"/>
          <w:trHeight w:val="300"/>
        </w:trPr>
        <w:tc>
          <w:tcPr>
            <w:tcW w:w="1984" w:type="pct"/>
            <w:gridSpan w:val="2"/>
            <w:tcBorders>
              <w:top w:val="single" w:sz="4" w:space="0" w:color="auto"/>
              <w:left w:val="double" w:sz="6" w:space="0" w:color="auto"/>
              <w:bottom w:val="dotted" w:sz="4" w:space="0" w:color="auto"/>
              <w:right w:val="single" w:sz="8" w:space="0" w:color="auto"/>
            </w:tcBorders>
            <w:shd w:val="clear" w:color="000000" w:fill="FFFFFF"/>
            <w:hideMark/>
          </w:tcPr>
          <w:p w14:paraId="29B9A59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22. Нето страна штедња</w:t>
            </w:r>
          </w:p>
        </w:tc>
        <w:tc>
          <w:tcPr>
            <w:tcW w:w="534" w:type="pct"/>
            <w:tcBorders>
              <w:top w:val="nil"/>
              <w:left w:val="nil"/>
              <w:bottom w:val="nil"/>
              <w:right w:val="nil"/>
            </w:tcBorders>
            <w:shd w:val="clear" w:color="000000" w:fill="FFFFFF"/>
            <w:vAlign w:val="center"/>
            <w:hideMark/>
          </w:tcPr>
          <w:p w14:paraId="5212C130"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 БДП</w:t>
            </w:r>
          </w:p>
        </w:tc>
        <w:tc>
          <w:tcPr>
            <w:tcW w:w="495" w:type="pct"/>
            <w:gridSpan w:val="2"/>
            <w:tcBorders>
              <w:top w:val="single" w:sz="4" w:space="0" w:color="auto"/>
              <w:left w:val="single" w:sz="8" w:space="0" w:color="auto"/>
              <w:bottom w:val="dotted" w:sz="4" w:space="0" w:color="auto"/>
              <w:right w:val="dotted" w:sz="4" w:space="0" w:color="auto"/>
            </w:tcBorders>
            <w:shd w:val="clear" w:color="000000" w:fill="FFFFFF"/>
            <w:hideMark/>
          </w:tcPr>
          <w:p w14:paraId="348A29C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3"/>
            <w:tcBorders>
              <w:top w:val="single" w:sz="4" w:space="0" w:color="auto"/>
              <w:left w:val="nil"/>
              <w:bottom w:val="dotted" w:sz="4" w:space="0" w:color="auto"/>
              <w:right w:val="dotted" w:sz="4" w:space="0" w:color="auto"/>
            </w:tcBorders>
            <w:shd w:val="clear" w:color="000000" w:fill="FFFFFF"/>
            <w:hideMark/>
          </w:tcPr>
          <w:p w14:paraId="33717AE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single" w:sz="4" w:space="0" w:color="auto"/>
              <w:left w:val="nil"/>
              <w:bottom w:val="dotted" w:sz="4" w:space="0" w:color="auto"/>
              <w:right w:val="dotted" w:sz="4" w:space="0" w:color="auto"/>
            </w:tcBorders>
            <w:shd w:val="clear" w:color="000000" w:fill="FFFFFF"/>
            <w:hideMark/>
          </w:tcPr>
          <w:p w14:paraId="2383DD6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single" w:sz="4" w:space="0" w:color="auto"/>
              <w:left w:val="nil"/>
              <w:bottom w:val="dotted" w:sz="4" w:space="0" w:color="auto"/>
              <w:right w:val="dotted" w:sz="4" w:space="0" w:color="auto"/>
            </w:tcBorders>
            <w:shd w:val="clear" w:color="000000" w:fill="FFFFFF"/>
            <w:hideMark/>
          </w:tcPr>
          <w:p w14:paraId="14D2C10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4" w:type="pct"/>
            <w:gridSpan w:val="2"/>
            <w:tcBorders>
              <w:top w:val="single" w:sz="4" w:space="0" w:color="auto"/>
              <w:left w:val="nil"/>
              <w:bottom w:val="dotted" w:sz="4" w:space="0" w:color="auto"/>
              <w:right w:val="double" w:sz="6" w:space="0" w:color="auto"/>
            </w:tcBorders>
            <w:shd w:val="clear" w:color="000000" w:fill="FFFFFF"/>
            <w:hideMark/>
          </w:tcPr>
          <w:p w14:paraId="7444950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278AAB77"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2C8CAA6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23. Домаћа приватна штедња</w:t>
            </w:r>
          </w:p>
        </w:tc>
        <w:tc>
          <w:tcPr>
            <w:tcW w:w="534" w:type="pct"/>
            <w:tcBorders>
              <w:top w:val="dotted" w:sz="4" w:space="0" w:color="auto"/>
              <w:left w:val="nil"/>
              <w:bottom w:val="dotted" w:sz="4" w:space="0" w:color="auto"/>
              <w:right w:val="single" w:sz="8" w:space="0" w:color="auto"/>
            </w:tcBorders>
            <w:shd w:val="clear" w:color="000000" w:fill="FFFFFF"/>
            <w:vAlign w:val="center"/>
            <w:hideMark/>
          </w:tcPr>
          <w:p w14:paraId="2B72A66F"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 БДП</w:t>
            </w:r>
          </w:p>
        </w:tc>
        <w:tc>
          <w:tcPr>
            <w:tcW w:w="495" w:type="pct"/>
            <w:gridSpan w:val="2"/>
            <w:tcBorders>
              <w:top w:val="nil"/>
              <w:left w:val="nil"/>
              <w:bottom w:val="dotted" w:sz="4" w:space="0" w:color="auto"/>
              <w:right w:val="dotted" w:sz="4" w:space="0" w:color="auto"/>
            </w:tcBorders>
            <w:shd w:val="clear" w:color="000000" w:fill="FFFFFF"/>
            <w:hideMark/>
          </w:tcPr>
          <w:p w14:paraId="6867C8D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3"/>
            <w:tcBorders>
              <w:top w:val="nil"/>
              <w:left w:val="nil"/>
              <w:bottom w:val="dotted" w:sz="4" w:space="0" w:color="auto"/>
              <w:right w:val="dotted" w:sz="4" w:space="0" w:color="auto"/>
            </w:tcBorders>
            <w:shd w:val="clear" w:color="000000" w:fill="FFFFFF"/>
            <w:hideMark/>
          </w:tcPr>
          <w:p w14:paraId="708FC14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55F5D7D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53655AD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4" w:type="pct"/>
            <w:gridSpan w:val="2"/>
            <w:tcBorders>
              <w:top w:val="nil"/>
              <w:left w:val="nil"/>
              <w:bottom w:val="dotted" w:sz="4" w:space="0" w:color="auto"/>
              <w:right w:val="double" w:sz="6" w:space="0" w:color="auto"/>
            </w:tcBorders>
            <w:shd w:val="clear" w:color="000000" w:fill="FFFFFF"/>
            <w:hideMark/>
          </w:tcPr>
          <w:p w14:paraId="725AFC3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648D6E3"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0DE0B3D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xml:space="preserve">24. Домаће приватне инвестиције </w:t>
            </w:r>
          </w:p>
        </w:tc>
        <w:tc>
          <w:tcPr>
            <w:tcW w:w="534" w:type="pct"/>
            <w:tcBorders>
              <w:top w:val="nil"/>
              <w:left w:val="nil"/>
              <w:bottom w:val="dotted" w:sz="4" w:space="0" w:color="auto"/>
              <w:right w:val="single" w:sz="8" w:space="0" w:color="auto"/>
            </w:tcBorders>
            <w:shd w:val="clear" w:color="000000" w:fill="FFFFFF"/>
            <w:vAlign w:val="center"/>
            <w:hideMark/>
          </w:tcPr>
          <w:p w14:paraId="0060477B"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 БДП</w:t>
            </w:r>
          </w:p>
        </w:tc>
        <w:tc>
          <w:tcPr>
            <w:tcW w:w="495" w:type="pct"/>
            <w:gridSpan w:val="2"/>
            <w:tcBorders>
              <w:top w:val="nil"/>
              <w:left w:val="nil"/>
              <w:bottom w:val="dotted" w:sz="4" w:space="0" w:color="auto"/>
              <w:right w:val="dotted" w:sz="4" w:space="0" w:color="auto"/>
            </w:tcBorders>
            <w:shd w:val="clear" w:color="000000" w:fill="FFFFFF"/>
            <w:hideMark/>
          </w:tcPr>
          <w:p w14:paraId="08A2DD4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3"/>
            <w:tcBorders>
              <w:top w:val="nil"/>
              <w:left w:val="nil"/>
              <w:bottom w:val="dotted" w:sz="4" w:space="0" w:color="auto"/>
              <w:right w:val="dotted" w:sz="4" w:space="0" w:color="auto"/>
            </w:tcBorders>
            <w:shd w:val="clear" w:color="000000" w:fill="FFFFFF"/>
            <w:hideMark/>
          </w:tcPr>
          <w:p w14:paraId="6B0FAAF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531F649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766405A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4" w:type="pct"/>
            <w:gridSpan w:val="2"/>
            <w:tcBorders>
              <w:top w:val="nil"/>
              <w:left w:val="nil"/>
              <w:bottom w:val="dotted" w:sz="4" w:space="0" w:color="auto"/>
              <w:right w:val="double" w:sz="6" w:space="0" w:color="auto"/>
            </w:tcBorders>
            <w:shd w:val="clear" w:color="000000" w:fill="FFFFFF"/>
            <w:hideMark/>
          </w:tcPr>
          <w:p w14:paraId="76397BA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72819441"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03687EA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25. Домаћа јавна штедња</w:t>
            </w:r>
          </w:p>
        </w:tc>
        <w:tc>
          <w:tcPr>
            <w:tcW w:w="534" w:type="pct"/>
            <w:tcBorders>
              <w:top w:val="nil"/>
              <w:left w:val="nil"/>
              <w:bottom w:val="dotted" w:sz="4" w:space="0" w:color="auto"/>
              <w:right w:val="single" w:sz="8" w:space="0" w:color="auto"/>
            </w:tcBorders>
            <w:shd w:val="clear" w:color="000000" w:fill="FFFFFF"/>
            <w:vAlign w:val="center"/>
            <w:hideMark/>
          </w:tcPr>
          <w:p w14:paraId="5ACEE138"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 БДП</w:t>
            </w:r>
          </w:p>
        </w:tc>
        <w:tc>
          <w:tcPr>
            <w:tcW w:w="495" w:type="pct"/>
            <w:gridSpan w:val="2"/>
            <w:tcBorders>
              <w:top w:val="nil"/>
              <w:left w:val="nil"/>
              <w:bottom w:val="dotted" w:sz="4" w:space="0" w:color="auto"/>
              <w:right w:val="dotted" w:sz="4" w:space="0" w:color="auto"/>
            </w:tcBorders>
            <w:shd w:val="clear" w:color="000000" w:fill="FFFFFF"/>
            <w:hideMark/>
          </w:tcPr>
          <w:p w14:paraId="4DA30F6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3"/>
            <w:tcBorders>
              <w:top w:val="nil"/>
              <w:left w:val="nil"/>
              <w:bottom w:val="dotted" w:sz="4" w:space="0" w:color="auto"/>
              <w:right w:val="dotted" w:sz="4" w:space="0" w:color="auto"/>
            </w:tcBorders>
            <w:shd w:val="clear" w:color="000000" w:fill="FFFFFF"/>
            <w:hideMark/>
          </w:tcPr>
          <w:p w14:paraId="039328D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3F92264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64D2724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4" w:type="pct"/>
            <w:gridSpan w:val="2"/>
            <w:tcBorders>
              <w:top w:val="nil"/>
              <w:left w:val="nil"/>
              <w:bottom w:val="dotted" w:sz="4" w:space="0" w:color="auto"/>
              <w:right w:val="double" w:sz="6" w:space="0" w:color="auto"/>
            </w:tcBorders>
            <w:shd w:val="clear" w:color="000000" w:fill="FFFFFF"/>
            <w:hideMark/>
          </w:tcPr>
          <w:p w14:paraId="78766EB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0F81DAC0" w14:textId="77777777" w:rsidTr="00247CBF">
        <w:trPr>
          <w:gridBefore w:val="1"/>
          <w:wBefore w:w="8" w:type="pct"/>
          <w:trHeight w:val="300"/>
        </w:trPr>
        <w:tc>
          <w:tcPr>
            <w:tcW w:w="1984" w:type="pct"/>
            <w:gridSpan w:val="2"/>
            <w:tcBorders>
              <w:top w:val="nil"/>
              <w:left w:val="double" w:sz="6" w:space="0" w:color="auto"/>
              <w:bottom w:val="double" w:sz="6" w:space="0" w:color="auto"/>
              <w:right w:val="single" w:sz="8" w:space="0" w:color="auto"/>
            </w:tcBorders>
            <w:shd w:val="clear" w:color="000000" w:fill="FFFFFF"/>
            <w:hideMark/>
          </w:tcPr>
          <w:p w14:paraId="7021698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26. Домаће јавне инвестиције</w:t>
            </w:r>
          </w:p>
        </w:tc>
        <w:tc>
          <w:tcPr>
            <w:tcW w:w="534" w:type="pct"/>
            <w:tcBorders>
              <w:top w:val="nil"/>
              <w:left w:val="nil"/>
              <w:bottom w:val="double" w:sz="6" w:space="0" w:color="auto"/>
              <w:right w:val="single" w:sz="8" w:space="0" w:color="auto"/>
            </w:tcBorders>
            <w:shd w:val="clear" w:color="000000" w:fill="FFFFFF"/>
            <w:vAlign w:val="center"/>
            <w:hideMark/>
          </w:tcPr>
          <w:p w14:paraId="4CDAAA93"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 БДП</w:t>
            </w:r>
          </w:p>
        </w:tc>
        <w:tc>
          <w:tcPr>
            <w:tcW w:w="495" w:type="pct"/>
            <w:gridSpan w:val="2"/>
            <w:tcBorders>
              <w:top w:val="nil"/>
              <w:left w:val="nil"/>
              <w:bottom w:val="double" w:sz="6" w:space="0" w:color="auto"/>
              <w:right w:val="dotted" w:sz="4" w:space="0" w:color="auto"/>
            </w:tcBorders>
            <w:shd w:val="clear" w:color="000000" w:fill="FFFFFF"/>
            <w:hideMark/>
          </w:tcPr>
          <w:p w14:paraId="7BCEA25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3"/>
            <w:tcBorders>
              <w:top w:val="nil"/>
              <w:left w:val="nil"/>
              <w:bottom w:val="double" w:sz="6" w:space="0" w:color="auto"/>
              <w:right w:val="dotted" w:sz="4" w:space="0" w:color="auto"/>
            </w:tcBorders>
            <w:shd w:val="clear" w:color="000000" w:fill="FFFFFF"/>
            <w:hideMark/>
          </w:tcPr>
          <w:p w14:paraId="4136D4B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uble" w:sz="6" w:space="0" w:color="auto"/>
              <w:right w:val="dotted" w:sz="4" w:space="0" w:color="auto"/>
            </w:tcBorders>
            <w:shd w:val="clear" w:color="000000" w:fill="FFFFFF"/>
            <w:hideMark/>
          </w:tcPr>
          <w:p w14:paraId="6F8C880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uble" w:sz="6" w:space="0" w:color="auto"/>
              <w:right w:val="dotted" w:sz="4" w:space="0" w:color="auto"/>
            </w:tcBorders>
            <w:shd w:val="clear" w:color="000000" w:fill="FFFFFF"/>
            <w:hideMark/>
          </w:tcPr>
          <w:p w14:paraId="7D4AD91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4" w:type="pct"/>
            <w:gridSpan w:val="2"/>
            <w:tcBorders>
              <w:top w:val="nil"/>
              <w:left w:val="nil"/>
              <w:bottom w:val="double" w:sz="6" w:space="0" w:color="auto"/>
              <w:right w:val="double" w:sz="6" w:space="0" w:color="auto"/>
            </w:tcBorders>
            <w:shd w:val="clear" w:color="000000" w:fill="FFFFFF"/>
            <w:hideMark/>
          </w:tcPr>
          <w:p w14:paraId="3B7841D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bl>
    <w:p w14:paraId="03B1B9D7" w14:textId="77777777" w:rsidR="00247CBF" w:rsidRPr="00092ED7" w:rsidRDefault="00247CBF" w:rsidP="00247CBF">
      <w:pPr>
        <w:rPr>
          <w:rFonts w:cs="Times New Roman"/>
          <w:lang w:val="sr-Cyrl-CS"/>
        </w:rPr>
      </w:pPr>
    </w:p>
    <w:tbl>
      <w:tblPr>
        <w:tblW w:w="5011" w:type="pct"/>
        <w:tblLook w:val="04A0" w:firstRow="1" w:lastRow="0" w:firstColumn="1" w:lastColumn="0" w:noHBand="0" w:noVBand="1"/>
      </w:tblPr>
      <w:tblGrid>
        <w:gridCol w:w="23"/>
        <w:gridCol w:w="4594"/>
        <w:gridCol w:w="61"/>
        <w:gridCol w:w="1700"/>
        <w:gridCol w:w="237"/>
        <w:gridCol w:w="1177"/>
        <w:gridCol w:w="231"/>
        <w:gridCol w:w="1171"/>
        <w:gridCol w:w="473"/>
        <w:gridCol w:w="929"/>
        <w:gridCol w:w="715"/>
        <w:gridCol w:w="686"/>
        <w:gridCol w:w="958"/>
        <w:gridCol w:w="1618"/>
        <w:gridCol w:w="29"/>
      </w:tblGrid>
      <w:tr w:rsidR="00247CBF" w:rsidRPr="00092ED7" w14:paraId="0F4AD72C" w14:textId="77777777" w:rsidTr="00247CBF">
        <w:trPr>
          <w:gridAfter w:val="1"/>
          <w:wAfter w:w="10" w:type="pct"/>
          <w:trHeight w:val="319"/>
        </w:trPr>
        <w:tc>
          <w:tcPr>
            <w:tcW w:w="2265" w:type="pct"/>
            <w:gridSpan w:val="5"/>
            <w:tcBorders>
              <w:top w:val="nil"/>
              <w:left w:val="nil"/>
              <w:bottom w:val="nil"/>
              <w:right w:val="nil"/>
            </w:tcBorders>
            <w:shd w:val="clear" w:color="000000" w:fill="FFFFFF"/>
            <w:noWrap/>
            <w:vAlign w:val="bottom"/>
            <w:hideMark/>
          </w:tcPr>
          <w:p w14:paraId="54332886"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1g: Индикатори одрживости</w:t>
            </w:r>
          </w:p>
        </w:tc>
        <w:tc>
          <w:tcPr>
            <w:tcW w:w="403" w:type="pct"/>
            <w:tcBorders>
              <w:top w:val="nil"/>
              <w:left w:val="nil"/>
              <w:bottom w:val="nil"/>
              <w:right w:val="nil"/>
            </w:tcBorders>
            <w:shd w:val="clear" w:color="000000" w:fill="FFFFFF"/>
            <w:noWrap/>
            <w:vAlign w:val="bottom"/>
            <w:hideMark/>
          </w:tcPr>
          <w:p w14:paraId="49A6781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80" w:type="pct"/>
            <w:gridSpan w:val="2"/>
            <w:tcBorders>
              <w:top w:val="nil"/>
              <w:left w:val="nil"/>
              <w:bottom w:val="nil"/>
              <w:right w:val="nil"/>
            </w:tcBorders>
            <w:shd w:val="clear" w:color="000000" w:fill="FFFFFF"/>
            <w:noWrap/>
            <w:vAlign w:val="bottom"/>
            <w:hideMark/>
          </w:tcPr>
          <w:p w14:paraId="1259FB4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80" w:type="pct"/>
            <w:gridSpan w:val="2"/>
            <w:tcBorders>
              <w:top w:val="nil"/>
              <w:left w:val="nil"/>
              <w:bottom w:val="nil"/>
              <w:right w:val="nil"/>
            </w:tcBorders>
            <w:shd w:val="clear" w:color="000000" w:fill="FFFFFF"/>
            <w:noWrap/>
            <w:vAlign w:val="bottom"/>
            <w:hideMark/>
          </w:tcPr>
          <w:p w14:paraId="21097C0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80" w:type="pct"/>
            <w:gridSpan w:val="2"/>
            <w:tcBorders>
              <w:top w:val="nil"/>
              <w:left w:val="nil"/>
              <w:bottom w:val="nil"/>
              <w:right w:val="nil"/>
            </w:tcBorders>
            <w:shd w:val="clear" w:color="000000" w:fill="FFFFFF"/>
            <w:noWrap/>
            <w:vAlign w:val="bottom"/>
            <w:hideMark/>
          </w:tcPr>
          <w:p w14:paraId="03E7087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882" w:type="pct"/>
            <w:gridSpan w:val="2"/>
            <w:tcBorders>
              <w:top w:val="nil"/>
              <w:left w:val="nil"/>
              <w:bottom w:val="nil"/>
              <w:right w:val="nil"/>
            </w:tcBorders>
            <w:shd w:val="clear" w:color="000000" w:fill="FFFFFF"/>
            <w:noWrap/>
            <w:vAlign w:val="bottom"/>
            <w:hideMark/>
          </w:tcPr>
          <w:p w14:paraId="513C3F07"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3A7C611B" w14:textId="77777777" w:rsidTr="00247CBF">
        <w:trPr>
          <w:gridBefore w:val="1"/>
          <w:wBefore w:w="8" w:type="pct"/>
          <w:trHeight w:val="171"/>
        </w:trPr>
        <w:tc>
          <w:tcPr>
            <w:tcW w:w="1594" w:type="pct"/>
            <w:gridSpan w:val="2"/>
            <w:vMerge w:val="restart"/>
            <w:tcBorders>
              <w:top w:val="double" w:sz="6" w:space="0" w:color="auto"/>
              <w:left w:val="double" w:sz="6" w:space="0" w:color="auto"/>
              <w:bottom w:val="single" w:sz="8" w:space="0" w:color="000000"/>
              <w:right w:val="dotted" w:sz="4" w:space="0" w:color="auto"/>
            </w:tcBorders>
            <w:shd w:val="clear" w:color="000000" w:fill="FFFFFF"/>
            <w:vAlign w:val="bottom"/>
            <w:hideMark/>
          </w:tcPr>
          <w:p w14:paraId="452D6E7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82" w:type="pct"/>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7AF420B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Димензија</w:t>
            </w:r>
          </w:p>
        </w:tc>
        <w:tc>
          <w:tcPr>
            <w:tcW w:w="563" w:type="pct"/>
            <w:gridSpan w:val="3"/>
            <w:tcBorders>
              <w:top w:val="double" w:sz="6" w:space="0" w:color="auto"/>
              <w:left w:val="nil"/>
              <w:bottom w:val="nil"/>
              <w:right w:val="dotted" w:sz="4" w:space="0" w:color="auto"/>
            </w:tcBorders>
            <w:shd w:val="clear" w:color="000000" w:fill="FFFFFF"/>
            <w:vAlign w:val="center"/>
            <w:hideMark/>
          </w:tcPr>
          <w:p w14:paraId="02975FD4" w14:textId="77777777" w:rsidR="00247CBF" w:rsidRPr="00092ED7" w:rsidRDefault="00247CBF" w:rsidP="00247CBF">
            <w:pPr>
              <w:spacing w:after="0"/>
              <w:jc w:val="center"/>
              <w:rPr>
                <w:sz w:val="20"/>
                <w:lang w:val="sr-Cyrl-CS"/>
              </w:rPr>
            </w:pPr>
            <w:r w:rsidRPr="00092ED7">
              <w:rPr>
                <w:sz w:val="20"/>
                <w:lang w:val="sr-Cyrl-CS"/>
              </w:rPr>
              <w:t>Година</w:t>
            </w:r>
          </w:p>
        </w:tc>
        <w:tc>
          <w:tcPr>
            <w:tcW w:w="563" w:type="pct"/>
            <w:gridSpan w:val="2"/>
            <w:tcBorders>
              <w:top w:val="double" w:sz="6" w:space="0" w:color="auto"/>
              <w:left w:val="nil"/>
              <w:bottom w:val="nil"/>
              <w:right w:val="dotted" w:sz="4" w:space="0" w:color="auto"/>
            </w:tcBorders>
            <w:shd w:val="clear" w:color="000000" w:fill="FFFFFF"/>
            <w:vAlign w:val="center"/>
            <w:hideMark/>
          </w:tcPr>
          <w:p w14:paraId="0443F19B" w14:textId="77777777" w:rsidR="00247CBF" w:rsidRPr="00092ED7" w:rsidRDefault="00247CBF" w:rsidP="00247CBF">
            <w:pPr>
              <w:spacing w:after="0"/>
              <w:jc w:val="center"/>
              <w:rPr>
                <w:sz w:val="20"/>
                <w:lang w:val="sr-Cyrl-CS"/>
              </w:rPr>
            </w:pPr>
            <w:r w:rsidRPr="00092ED7">
              <w:rPr>
                <w:sz w:val="20"/>
                <w:lang w:val="sr-Cyrl-CS"/>
              </w:rPr>
              <w:t>Година</w:t>
            </w:r>
          </w:p>
        </w:tc>
        <w:tc>
          <w:tcPr>
            <w:tcW w:w="563" w:type="pct"/>
            <w:gridSpan w:val="2"/>
            <w:tcBorders>
              <w:top w:val="double" w:sz="6" w:space="0" w:color="auto"/>
              <w:left w:val="nil"/>
              <w:bottom w:val="nil"/>
              <w:right w:val="dotted" w:sz="4" w:space="0" w:color="auto"/>
            </w:tcBorders>
            <w:shd w:val="clear" w:color="000000" w:fill="FFFFFF"/>
            <w:vAlign w:val="center"/>
            <w:hideMark/>
          </w:tcPr>
          <w:p w14:paraId="3D987385" w14:textId="77777777" w:rsidR="00247CBF" w:rsidRPr="00092ED7" w:rsidRDefault="00247CBF" w:rsidP="00247CBF">
            <w:pPr>
              <w:spacing w:after="0"/>
              <w:jc w:val="center"/>
              <w:rPr>
                <w:sz w:val="20"/>
                <w:lang w:val="sr-Cyrl-CS"/>
              </w:rPr>
            </w:pPr>
            <w:r w:rsidRPr="00092ED7">
              <w:rPr>
                <w:sz w:val="20"/>
                <w:lang w:val="sr-Cyrl-CS"/>
              </w:rPr>
              <w:t>Година</w:t>
            </w:r>
          </w:p>
        </w:tc>
        <w:tc>
          <w:tcPr>
            <w:tcW w:w="563" w:type="pct"/>
            <w:gridSpan w:val="2"/>
            <w:tcBorders>
              <w:top w:val="double" w:sz="6" w:space="0" w:color="auto"/>
              <w:left w:val="nil"/>
              <w:bottom w:val="nil"/>
              <w:right w:val="dotted" w:sz="4" w:space="0" w:color="auto"/>
            </w:tcBorders>
            <w:shd w:val="clear" w:color="000000" w:fill="FFFFFF"/>
            <w:vAlign w:val="center"/>
            <w:hideMark/>
          </w:tcPr>
          <w:p w14:paraId="1C94863B" w14:textId="77777777" w:rsidR="00247CBF" w:rsidRPr="00092ED7" w:rsidRDefault="00247CBF" w:rsidP="00247CBF">
            <w:pPr>
              <w:spacing w:after="0"/>
              <w:jc w:val="center"/>
              <w:rPr>
                <w:sz w:val="20"/>
                <w:lang w:val="sr-Cyrl-CS"/>
              </w:rPr>
            </w:pPr>
            <w:r w:rsidRPr="00092ED7">
              <w:rPr>
                <w:sz w:val="20"/>
                <w:lang w:val="sr-Cyrl-CS"/>
              </w:rPr>
              <w:t>Година</w:t>
            </w:r>
          </w:p>
        </w:tc>
        <w:tc>
          <w:tcPr>
            <w:tcW w:w="564" w:type="pct"/>
            <w:gridSpan w:val="2"/>
            <w:tcBorders>
              <w:top w:val="double" w:sz="6" w:space="0" w:color="auto"/>
              <w:left w:val="nil"/>
              <w:bottom w:val="nil"/>
              <w:right w:val="double" w:sz="6" w:space="0" w:color="auto"/>
            </w:tcBorders>
            <w:shd w:val="clear" w:color="000000" w:fill="FFFFFF"/>
            <w:vAlign w:val="center"/>
            <w:hideMark/>
          </w:tcPr>
          <w:p w14:paraId="08EE5696" w14:textId="77777777" w:rsidR="00247CBF" w:rsidRPr="00092ED7" w:rsidRDefault="00247CBF" w:rsidP="00247CBF">
            <w:pPr>
              <w:spacing w:after="0"/>
              <w:jc w:val="center"/>
              <w:rPr>
                <w:sz w:val="20"/>
                <w:lang w:val="sr-Cyrl-CS"/>
              </w:rPr>
            </w:pPr>
            <w:r w:rsidRPr="00092ED7">
              <w:rPr>
                <w:sz w:val="20"/>
                <w:lang w:val="sr-Cyrl-CS"/>
              </w:rPr>
              <w:t>Година</w:t>
            </w:r>
          </w:p>
        </w:tc>
      </w:tr>
      <w:tr w:rsidR="00247CBF" w:rsidRPr="00092ED7" w14:paraId="7C96632F" w14:textId="77777777" w:rsidTr="00247CBF">
        <w:trPr>
          <w:gridBefore w:val="1"/>
          <w:wBefore w:w="8" w:type="pct"/>
          <w:trHeight w:val="33"/>
        </w:trPr>
        <w:tc>
          <w:tcPr>
            <w:tcW w:w="1594" w:type="pct"/>
            <w:gridSpan w:val="2"/>
            <w:vMerge/>
            <w:tcBorders>
              <w:top w:val="double" w:sz="6" w:space="0" w:color="auto"/>
              <w:left w:val="double" w:sz="6" w:space="0" w:color="auto"/>
              <w:bottom w:val="single" w:sz="8" w:space="0" w:color="000000"/>
              <w:right w:val="dotted" w:sz="4" w:space="0" w:color="auto"/>
            </w:tcBorders>
            <w:vAlign w:val="center"/>
            <w:hideMark/>
          </w:tcPr>
          <w:p w14:paraId="50A60D84" w14:textId="77777777" w:rsidR="00247CBF" w:rsidRPr="00092ED7" w:rsidRDefault="00247CBF" w:rsidP="00247CBF">
            <w:pPr>
              <w:spacing w:after="0"/>
              <w:rPr>
                <w:rFonts w:eastAsia="Times New Roman" w:cs="Times New Roman"/>
                <w:sz w:val="20"/>
                <w:szCs w:val="20"/>
                <w:lang w:val="sr-Cyrl-CS"/>
              </w:rPr>
            </w:pPr>
          </w:p>
        </w:tc>
        <w:tc>
          <w:tcPr>
            <w:tcW w:w="582" w:type="pct"/>
            <w:vMerge/>
            <w:tcBorders>
              <w:top w:val="double" w:sz="6" w:space="0" w:color="auto"/>
              <w:left w:val="dotted" w:sz="4" w:space="0" w:color="auto"/>
              <w:bottom w:val="single" w:sz="8" w:space="0" w:color="000000"/>
              <w:right w:val="single" w:sz="8" w:space="0" w:color="auto"/>
            </w:tcBorders>
            <w:vAlign w:val="center"/>
            <w:hideMark/>
          </w:tcPr>
          <w:p w14:paraId="0D617073" w14:textId="77777777" w:rsidR="00247CBF" w:rsidRPr="00092ED7" w:rsidRDefault="00247CBF" w:rsidP="00247CBF">
            <w:pPr>
              <w:spacing w:after="0"/>
              <w:rPr>
                <w:rFonts w:eastAsia="Times New Roman" w:cs="Times New Roman"/>
                <w:sz w:val="20"/>
                <w:szCs w:val="20"/>
                <w:lang w:val="sr-Cyrl-CS"/>
              </w:rPr>
            </w:pPr>
          </w:p>
        </w:tc>
        <w:tc>
          <w:tcPr>
            <w:tcW w:w="563" w:type="pct"/>
            <w:gridSpan w:val="3"/>
            <w:tcBorders>
              <w:top w:val="nil"/>
              <w:left w:val="nil"/>
              <w:bottom w:val="single" w:sz="8" w:space="0" w:color="000000"/>
              <w:right w:val="dotted" w:sz="4" w:space="0" w:color="auto"/>
            </w:tcBorders>
            <w:shd w:val="clear" w:color="000000" w:fill="FFFFFF"/>
            <w:vAlign w:val="center"/>
            <w:hideMark/>
          </w:tcPr>
          <w:p w14:paraId="6E23AA0A" w14:textId="77777777" w:rsidR="00247CBF" w:rsidRPr="00092ED7" w:rsidRDefault="00247CBF" w:rsidP="00247CBF">
            <w:pPr>
              <w:spacing w:after="0"/>
              <w:jc w:val="center"/>
              <w:rPr>
                <w:sz w:val="20"/>
                <w:szCs w:val="20"/>
                <w:lang w:val="sr-Cyrl-CS"/>
              </w:rPr>
            </w:pPr>
            <w:r w:rsidRPr="00092ED7">
              <w:rPr>
                <w:sz w:val="20"/>
                <w:szCs w:val="20"/>
                <w:lang w:val="sr-Cyrl-CS"/>
              </w:rPr>
              <w:t>2018</w:t>
            </w:r>
          </w:p>
        </w:tc>
        <w:tc>
          <w:tcPr>
            <w:tcW w:w="563" w:type="pct"/>
            <w:gridSpan w:val="2"/>
            <w:tcBorders>
              <w:top w:val="nil"/>
              <w:left w:val="nil"/>
              <w:bottom w:val="single" w:sz="8" w:space="0" w:color="000000"/>
              <w:right w:val="dotted" w:sz="4" w:space="0" w:color="auto"/>
            </w:tcBorders>
            <w:shd w:val="clear" w:color="000000" w:fill="FFFFFF"/>
            <w:vAlign w:val="center"/>
            <w:hideMark/>
          </w:tcPr>
          <w:p w14:paraId="693F3FA9" w14:textId="77777777" w:rsidR="00247CBF" w:rsidRPr="00092ED7" w:rsidRDefault="00247CBF" w:rsidP="00247CBF">
            <w:pPr>
              <w:spacing w:after="0"/>
              <w:jc w:val="center"/>
              <w:rPr>
                <w:sz w:val="20"/>
                <w:szCs w:val="20"/>
                <w:lang w:val="sr-Cyrl-CS"/>
              </w:rPr>
            </w:pPr>
            <w:r w:rsidRPr="00092ED7">
              <w:rPr>
                <w:sz w:val="20"/>
                <w:szCs w:val="20"/>
                <w:lang w:val="sr-Cyrl-CS"/>
              </w:rPr>
              <w:t>2019</w:t>
            </w:r>
          </w:p>
        </w:tc>
        <w:tc>
          <w:tcPr>
            <w:tcW w:w="563" w:type="pct"/>
            <w:gridSpan w:val="2"/>
            <w:tcBorders>
              <w:top w:val="nil"/>
              <w:left w:val="nil"/>
              <w:bottom w:val="single" w:sz="8" w:space="0" w:color="000000"/>
              <w:right w:val="dotted" w:sz="4" w:space="0" w:color="auto"/>
            </w:tcBorders>
            <w:shd w:val="clear" w:color="000000" w:fill="FFFFFF"/>
            <w:vAlign w:val="center"/>
            <w:hideMark/>
          </w:tcPr>
          <w:p w14:paraId="3A7A2451" w14:textId="77777777" w:rsidR="00247CBF" w:rsidRPr="00092ED7" w:rsidRDefault="00247CBF" w:rsidP="00247CBF">
            <w:pPr>
              <w:spacing w:after="0"/>
              <w:jc w:val="center"/>
              <w:rPr>
                <w:sz w:val="20"/>
                <w:szCs w:val="20"/>
                <w:lang w:val="sr-Cyrl-CS"/>
              </w:rPr>
            </w:pPr>
            <w:r w:rsidRPr="00092ED7">
              <w:rPr>
                <w:sz w:val="20"/>
                <w:szCs w:val="20"/>
                <w:lang w:val="sr-Cyrl-CS"/>
              </w:rPr>
              <w:t>2020</w:t>
            </w:r>
          </w:p>
        </w:tc>
        <w:tc>
          <w:tcPr>
            <w:tcW w:w="563" w:type="pct"/>
            <w:gridSpan w:val="2"/>
            <w:tcBorders>
              <w:top w:val="nil"/>
              <w:left w:val="nil"/>
              <w:bottom w:val="single" w:sz="8" w:space="0" w:color="000000"/>
              <w:right w:val="dotted" w:sz="4" w:space="0" w:color="auto"/>
            </w:tcBorders>
            <w:shd w:val="clear" w:color="000000" w:fill="FFFFFF"/>
            <w:vAlign w:val="center"/>
            <w:hideMark/>
          </w:tcPr>
          <w:p w14:paraId="7ACFFCCE" w14:textId="77777777" w:rsidR="00247CBF" w:rsidRPr="00092ED7" w:rsidRDefault="00247CBF" w:rsidP="00247CBF">
            <w:pPr>
              <w:spacing w:after="0"/>
              <w:jc w:val="center"/>
              <w:rPr>
                <w:sz w:val="20"/>
                <w:szCs w:val="20"/>
                <w:lang w:val="sr-Cyrl-CS"/>
              </w:rPr>
            </w:pPr>
            <w:r w:rsidRPr="00092ED7">
              <w:rPr>
                <w:sz w:val="20"/>
                <w:szCs w:val="20"/>
                <w:lang w:val="sr-Cyrl-CS"/>
              </w:rPr>
              <w:t>2021</w:t>
            </w:r>
          </w:p>
        </w:tc>
        <w:tc>
          <w:tcPr>
            <w:tcW w:w="564" w:type="pct"/>
            <w:gridSpan w:val="2"/>
            <w:tcBorders>
              <w:top w:val="nil"/>
              <w:left w:val="nil"/>
              <w:bottom w:val="single" w:sz="8" w:space="0" w:color="000000"/>
              <w:right w:val="double" w:sz="6" w:space="0" w:color="auto"/>
            </w:tcBorders>
            <w:shd w:val="clear" w:color="000000" w:fill="FFFFFF"/>
            <w:vAlign w:val="center"/>
            <w:hideMark/>
          </w:tcPr>
          <w:p w14:paraId="182272AF" w14:textId="77777777" w:rsidR="00247CBF" w:rsidRPr="00092ED7" w:rsidRDefault="00247CBF" w:rsidP="00247CBF">
            <w:pPr>
              <w:spacing w:after="0"/>
              <w:jc w:val="center"/>
              <w:rPr>
                <w:sz w:val="20"/>
                <w:szCs w:val="20"/>
                <w:lang w:val="sr-Cyrl-CS"/>
              </w:rPr>
            </w:pPr>
            <w:r w:rsidRPr="00092ED7">
              <w:rPr>
                <w:sz w:val="20"/>
                <w:szCs w:val="20"/>
                <w:lang w:val="sr-Cyrl-CS"/>
              </w:rPr>
              <w:t>2022</w:t>
            </w:r>
          </w:p>
        </w:tc>
      </w:tr>
      <w:tr w:rsidR="00247CBF" w:rsidRPr="00092ED7" w14:paraId="6358E6FF" w14:textId="77777777" w:rsidTr="00247CBF">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vAlign w:val="center"/>
            <w:hideMark/>
          </w:tcPr>
          <w:p w14:paraId="30680A72"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1. Биланс текућих трансакција [1]</w:t>
            </w:r>
          </w:p>
        </w:tc>
        <w:tc>
          <w:tcPr>
            <w:tcW w:w="582" w:type="pct"/>
            <w:tcBorders>
              <w:top w:val="nil"/>
              <w:left w:val="nil"/>
              <w:bottom w:val="dotted" w:sz="4" w:space="0" w:color="auto"/>
              <w:right w:val="single" w:sz="8" w:space="0" w:color="auto"/>
            </w:tcBorders>
            <w:shd w:val="clear" w:color="000000" w:fill="FFFFFF"/>
            <w:vAlign w:val="center"/>
            <w:hideMark/>
          </w:tcPr>
          <w:p w14:paraId="2265815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2B20D7B4" w14:textId="77777777" w:rsidR="00247CBF" w:rsidRPr="00092ED7" w:rsidRDefault="00247CBF" w:rsidP="00247CBF">
            <w:pPr>
              <w:spacing w:after="0"/>
              <w:jc w:val="right"/>
              <w:rPr>
                <w:sz w:val="20"/>
                <w:szCs w:val="20"/>
                <w:lang w:val="sr-Cyrl-CS"/>
              </w:rPr>
            </w:pPr>
            <w:r w:rsidRPr="00092ED7">
              <w:rPr>
                <w:sz w:val="20"/>
                <w:szCs w:val="20"/>
                <w:lang w:val="sr-Cyrl-CS"/>
              </w:rPr>
              <w:t>-4,8</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25FFE517" w14:textId="77777777" w:rsidR="00247CBF" w:rsidRPr="00092ED7" w:rsidRDefault="00247CBF" w:rsidP="00247CBF">
            <w:pPr>
              <w:spacing w:after="0"/>
              <w:jc w:val="right"/>
              <w:rPr>
                <w:sz w:val="20"/>
                <w:szCs w:val="20"/>
                <w:lang w:val="sr-Cyrl-CS"/>
              </w:rPr>
            </w:pPr>
            <w:r w:rsidRPr="00092ED7">
              <w:rPr>
                <w:sz w:val="20"/>
                <w:szCs w:val="20"/>
                <w:lang w:val="sr-Cyrl-CS"/>
              </w:rPr>
              <w:t>-6,9</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65046EE2" w14:textId="77777777" w:rsidR="00247CBF" w:rsidRPr="00092ED7" w:rsidRDefault="00247CBF" w:rsidP="00247CBF">
            <w:pPr>
              <w:spacing w:after="0"/>
              <w:jc w:val="right"/>
              <w:rPr>
                <w:sz w:val="20"/>
                <w:szCs w:val="20"/>
                <w:lang w:val="sr-Cyrl-CS"/>
              </w:rPr>
            </w:pPr>
            <w:r w:rsidRPr="00092ED7">
              <w:rPr>
                <w:sz w:val="20"/>
                <w:szCs w:val="20"/>
                <w:lang w:val="sr-Cyrl-CS"/>
              </w:rPr>
              <w:t>-4,1</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761EB189" w14:textId="77777777" w:rsidR="00247CBF" w:rsidRPr="00092ED7" w:rsidRDefault="00247CBF" w:rsidP="00247CBF">
            <w:pPr>
              <w:spacing w:after="0"/>
              <w:jc w:val="right"/>
              <w:rPr>
                <w:sz w:val="20"/>
                <w:szCs w:val="20"/>
                <w:lang w:val="sr-Cyrl-CS"/>
              </w:rPr>
            </w:pPr>
            <w:r w:rsidRPr="00092ED7">
              <w:rPr>
                <w:sz w:val="20"/>
                <w:szCs w:val="20"/>
                <w:lang w:val="sr-Cyrl-CS"/>
              </w:rPr>
              <w:t>-4,3</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128DC205" w14:textId="77777777" w:rsidR="00247CBF" w:rsidRPr="00092ED7" w:rsidRDefault="00247CBF" w:rsidP="00247CBF">
            <w:pPr>
              <w:spacing w:after="0"/>
              <w:jc w:val="right"/>
              <w:rPr>
                <w:sz w:val="20"/>
                <w:szCs w:val="20"/>
                <w:lang w:val="sr-Cyrl-CS"/>
              </w:rPr>
            </w:pPr>
            <w:r w:rsidRPr="00092ED7">
              <w:rPr>
                <w:sz w:val="20"/>
                <w:szCs w:val="20"/>
                <w:lang w:val="sr-Cyrl-CS"/>
              </w:rPr>
              <w:t>-5,0</w:t>
            </w:r>
          </w:p>
        </w:tc>
      </w:tr>
      <w:tr w:rsidR="00247CBF" w:rsidRPr="00092ED7" w14:paraId="06C6E194" w14:textId="77777777" w:rsidTr="00247CBF">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vAlign w:val="center"/>
            <w:hideMark/>
          </w:tcPr>
          <w:p w14:paraId="64A2B2C8"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2. Нето међународна инвестициона позиција [2]</w:t>
            </w:r>
          </w:p>
        </w:tc>
        <w:tc>
          <w:tcPr>
            <w:tcW w:w="582" w:type="pct"/>
            <w:tcBorders>
              <w:top w:val="nil"/>
              <w:left w:val="nil"/>
              <w:bottom w:val="dotted" w:sz="4" w:space="0" w:color="auto"/>
              <w:right w:val="single" w:sz="8" w:space="0" w:color="auto"/>
            </w:tcBorders>
            <w:shd w:val="clear" w:color="000000" w:fill="FFFFFF"/>
            <w:vAlign w:val="center"/>
            <w:hideMark/>
          </w:tcPr>
          <w:p w14:paraId="50B17CF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44132508" w14:textId="77777777" w:rsidR="00247CBF" w:rsidRPr="00092ED7" w:rsidRDefault="00247CBF" w:rsidP="00247CBF">
            <w:pPr>
              <w:spacing w:after="0"/>
              <w:jc w:val="right"/>
              <w:rPr>
                <w:sz w:val="20"/>
                <w:szCs w:val="20"/>
                <w:lang w:val="sr-Cyrl-CS"/>
              </w:rPr>
            </w:pPr>
            <w:r w:rsidRPr="00092ED7">
              <w:rPr>
                <w:sz w:val="20"/>
                <w:szCs w:val="20"/>
                <w:lang w:val="sr-Cyrl-CS"/>
              </w:rPr>
              <w:t>-87,6</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2D808AEF" w14:textId="77777777" w:rsidR="00247CBF" w:rsidRPr="00092ED7" w:rsidRDefault="00247CBF" w:rsidP="00247CBF">
            <w:pPr>
              <w:spacing w:after="0"/>
              <w:jc w:val="right"/>
              <w:rPr>
                <w:sz w:val="20"/>
                <w:szCs w:val="20"/>
                <w:lang w:val="sr-Cyrl-CS"/>
              </w:rPr>
            </w:pPr>
            <w:r w:rsidRPr="00092ED7">
              <w:rPr>
                <w:sz w:val="20"/>
                <w:szCs w:val="20"/>
                <w:lang w:val="sr-Cyrl-CS"/>
              </w:rPr>
              <w:t>-88,0</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375EC34C" w14:textId="77777777" w:rsidR="00247CBF" w:rsidRPr="00092ED7" w:rsidRDefault="00247CBF" w:rsidP="00247CBF">
            <w:pPr>
              <w:spacing w:after="0"/>
              <w:jc w:val="right"/>
              <w:rPr>
                <w:sz w:val="20"/>
                <w:szCs w:val="20"/>
                <w:lang w:val="sr-Cyrl-CS"/>
              </w:rPr>
            </w:pPr>
            <w:r w:rsidRPr="00092ED7">
              <w:rPr>
                <w:sz w:val="20"/>
                <w:szCs w:val="20"/>
                <w:lang w:val="sr-Cyrl-CS"/>
              </w:rPr>
              <w:t>-90,3</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49771798" w14:textId="77777777" w:rsidR="00247CBF" w:rsidRPr="00092ED7" w:rsidRDefault="00247CBF" w:rsidP="00247CBF">
            <w:pPr>
              <w:spacing w:after="0"/>
              <w:jc w:val="right"/>
              <w:rPr>
                <w:sz w:val="20"/>
                <w:szCs w:val="20"/>
                <w:lang w:val="sr-Cyrl-CS"/>
              </w:rPr>
            </w:pPr>
            <w:r w:rsidRPr="00092ED7">
              <w:rPr>
                <w:sz w:val="20"/>
                <w:szCs w:val="20"/>
                <w:lang w:val="sr-Cyrl-CS"/>
              </w:rPr>
              <w:t>-83,1</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78D10C04" w14:textId="77777777" w:rsidR="00247CBF" w:rsidRPr="00092ED7" w:rsidRDefault="00247CBF" w:rsidP="00247CBF">
            <w:pPr>
              <w:spacing w:after="0"/>
              <w:jc w:val="right"/>
              <w:rPr>
                <w:sz w:val="20"/>
                <w:szCs w:val="20"/>
                <w:lang w:val="sr-Cyrl-CS"/>
              </w:rPr>
            </w:pPr>
            <w:r w:rsidRPr="00092ED7">
              <w:rPr>
                <w:sz w:val="20"/>
                <w:szCs w:val="20"/>
                <w:lang w:val="sr-Cyrl-CS"/>
              </w:rPr>
              <w:t>-77,9</w:t>
            </w:r>
          </w:p>
        </w:tc>
      </w:tr>
      <w:tr w:rsidR="00247CBF" w:rsidRPr="00092ED7" w14:paraId="19A81E43" w14:textId="77777777" w:rsidTr="00247CBF">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vAlign w:val="center"/>
            <w:hideMark/>
          </w:tcPr>
          <w:p w14:paraId="16C8A271"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3. Удели на извозним тржиштима</w:t>
            </w:r>
          </w:p>
        </w:tc>
        <w:tc>
          <w:tcPr>
            <w:tcW w:w="582" w:type="pct"/>
            <w:tcBorders>
              <w:top w:val="nil"/>
              <w:left w:val="nil"/>
              <w:bottom w:val="dotted" w:sz="4" w:space="0" w:color="auto"/>
              <w:right w:val="single" w:sz="8" w:space="0" w:color="auto"/>
            </w:tcBorders>
            <w:shd w:val="clear" w:color="000000" w:fill="FFFFFF"/>
            <w:vAlign w:val="center"/>
            <w:hideMark/>
          </w:tcPr>
          <w:p w14:paraId="2A0C7AF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мг</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3BD5BB6E"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11844E2B"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1BB78DFB"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6BCE9F29"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70BCE4F2"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0C47AF36" w14:textId="77777777" w:rsidTr="00247CBF">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vAlign w:val="center"/>
            <w:hideMark/>
          </w:tcPr>
          <w:p w14:paraId="619DBE0A"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4. Реални ефективни девизни курс [1]</w:t>
            </w:r>
          </w:p>
        </w:tc>
        <w:tc>
          <w:tcPr>
            <w:tcW w:w="582" w:type="pct"/>
            <w:tcBorders>
              <w:top w:val="nil"/>
              <w:left w:val="nil"/>
              <w:bottom w:val="dotted" w:sz="4" w:space="0" w:color="auto"/>
              <w:right w:val="single" w:sz="8" w:space="0" w:color="auto"/>
            </w:tcBorders>
            <w:shd w:val="clear" w:color="000000" w:fill="FFFFFF"/>
            <w:vAlign w:val="center"/>
            <w:hideMark/>
          </w:tcPr>
          <w:p w14:paraId="7B906D5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мг</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6EBF3EB3" w14:textId="77777777" w:rsidR="00247CBF" w:rsidRPr="00092ED7" w:rsidRDefault="00247CBF" w:rsidP="00247CBF">
            <w:pPr>
              <w:spacing w:after="0"/>
              <w:jc w:val="right"/>
              <w:rPr>
                <w:sz w:val="20"/>
                <w:szCs w:val="20"/>
                <w:lang w:val="sr-Cyrl-CS"/>
              </w:rPr>
            </w:pPr>
            <w:r w:rsidRPr="00092ED7">
              <w:rPr>
                <w:sz w:val="20"/>
                <w:szCs w:val="20"/>
                <w:lang w:val="sr-Cyrl-CS"/>
              </w:rPr>
              <w:t>3,6</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39D55DBA" w14:textId="77777777" w:rsidR="00247CBF" w:rsidRPr="00092ED7" w:rsidRDefault="00247CBF" w:rsidP="00247CBF">
            <w:pPr>
              <w:spacing w:after="0"/>
              <w:jc w:val="right"/>
              <w:rPr>
                <w:sz w:val="20"/>
                <w:szCs w:val="20"/>
                <w:lang w:val="sr-Cyrl-CS"/>
              </w:rPr>
            </w:pPr>
            <w:r w:rsidRPr="00092ED7">
              <w:rPr>
                <w:sz w:val="20"/>
                <w:szCs w:val="20"/>
                <w:lang w:val="sr-Cyrl-CS"/>
              </w:rPr>
              <w:t>-0,2</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4979766C" w14:textId="77777777" w:rsidR="00247CBF" w:rsidRPr="00092ED7" w:rsidRDefault="00247CBF" w:rsidP="00247CBF">
            <w:pPr>
              <w:spacing w:after="0"/>
              <w:jc w:val="right"/>
              <w:rPr>
                <w:sz w:val="20"/>
                <w:szCs w:val="20"/>
                <w:lang w:val="sr-Cyrl-CS"/>
              </w:rPr>
            </w:pPr>
            <w:r w:rsidRPr="00092ED7">
              <w:rPr>
                <w:sz w:val="20"/>
                <w:szCs w:val="20"/>
                <w:lang w:val="sr-Cyrl-CS"/>
              </w:rPr>
              <w:t>1,7</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53C0DC82" w14:textId="77777777" w:rsidR="00247CBF" w:rsidRPr="00092ED7" w:rsidRDefault="00247CBF" w:rsidP="00247CBF">
            <w:pPr>
              <w:spacing w:after="0"/>
              <w:jc w:val="right"/>
              <w:rPr>
                <w:sz w:val="20"/>
                <w:szCs w:val="20"/>
                <w:lang w:val="sr-Cyrl-CS"/>
              </w:rPr>
            </w:pPr>
            <w:r w:rsidRPr="00092ED7">
              <w:rPr>
                <w:sz w:val="20"/>
                <w:szCs w:val="20"/>
                <w:lang w:val="sr-Cyrl-CS"/>
              </w:rPr>
              <w:t>1,8</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28D847D0" w14:textId="77777777" w:rsidR="00247CBF" w:rsidRPr="00092ED7" w:rsidRDefault="00247CBF" w:rsidP="00247CBF">
            <w:pPr>
              <w:spacing w:after="0"/>
              <w:jc w:val="right"/>
              <w:rPr>
                <w:sz w:val="20"/>
                <w:szCs w:val="20"/>
                <w:lang w:val="sr-Cyrl-CS"/>
              </w:rPr>
            </w:pPr>
            <w:r w:rsidRPr="00092ED7">
              <w:rPr>
                <w:sz w:val="20"/>
                <w:szCs w:val="20"/>
                <w:lang w:val="sr-Cyrl-CS"/>
              </w:rPr>
              <w:t>0,4</w:t>
            </w:r>
          </w:p>
        </w:tc>
      </w:tr>
      <w:tr w:rsidR="00247CBF" w:rsidRPr="00092ED7" w14:paraId="71625E86" w14:textId="77777777" w:rsidTr="00247CBF">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vAlign w:val="center"/>
            <w:hideMark/>
          </w:tcPr>
          <w:p w14:paraId="35196A62"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5. Номинални јединични трошкови рада</w:t>
            </w:r>
          </w:p>
        </w:tc>
        <w:tc>
          <w:tcPr>
            <w:tcW w:w="582" w:type="pct"/>
            <w:tcBorders>
              <w:top w:val="nil"/>
              <w:left w:val="nil"/>
              <w:bottom w:val="dotted" w:sz="4" w:space="0" w:color="auto"/>
              <w:right w:val="single" w:sz="8" w:space="0" w:color="auto"/>
            </w:tcBorders>
            <w:shd w:val="clear" w:color="000000" w:fill="FFFFFF"/>
            <w:vAlign w:val="center"/>
            <w:hideMark/>
          </w:tcPr>
          <w:p w14:paraId="2B12FB2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мг</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123AFBCA"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7BDA335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7CEFC0CE"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14C48DF5"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5386B1DD"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4D672B0A" w14:textId="77777777" w:rsidTr="00247CBF">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vAlign w:val="center"/>
            <w:hideMark/>
          </w:tcPr>
          <w:p w14:paraId="65D12274"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6. Кредити приватном сектору - промена [1]</w:t>
            </w:r>
          </w:p>
        </w:tc>
        <w:tc>
          <w:tcPr>
            <w:tcW w:w="582" w:type="pct"/>
            <w:tcBorders>
              <w:top w:val="nil"/>
              <w:left w:val="nil"/>
              <w:bottom w:val="dotted" w:sz="4" w:space="0" w:color="auto"/>
              <w:right w:val="single" w:sz="8" w:space="0" w:color="auto"/>
            </w:tcBorders>
            <w:shd w:val="clear" w:color="000000" w:fill="FFFFFF"/>
            <w:vAlign w:val="center"/>
            <w:hideMark/>
          </w:tcPr>
          <w:p w14:paraId="2323AC0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2A8AA9D6" w14:textId="77777777" w:rsidR="00247CBF" w:rsidRPr="00092ED7" w:rsidRDefault="00247CBF" w:rsidP="00247CBF">
            <w:pPr>
              <w:spacing w:after="0"/>
              <w:jc w:val="right"/>
              <w:rPr>
                <w:sz w:val="20"/>
                <w:szCs w:val="20"/>
                <w:lang w:val="sr-Cyrl-CS"/>
              </w:rPr>
            </w:pPr>
            <w:r w:rsidRPr="00092ED7">
              <w:rPr>
                <w:sz w:val="20"/>
                <w:szCs w:val="20"/>
                <w:lang w:val="sr-Cyrl-CS"/>
              </w:rPr>
              <w:t>3,0</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24A239CE" w14:textId="77777777" w:rsidR="00247CBF" w:rsidRPr="00092ED7" w:rsidRDefault="00247CBF" w:rsidP="00247CBF">
            <w:pPr>
              <w:spacing w:after="0"/>
              <w:jc w:val="right"/>
              <w:rPr>
                <w:sz w:val="20"/>
                <w:szCs w:val="20"/>
                <w:lang w:val="sr-Cyrl-CS"/>
              </w:rPr>
            </w:pPr>
            <w:r w:rsidRPr="00092ED7">
              <w:rPr>
                <w:sz w:val="20"/>
                <w:szCs w:val="20"/>
                <w:lang w:val="sr-Cyrl-CS"/>
              </w:rPr>
              <w:t>2,5</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7E905D1D" w14:textId="77777777" w:rsidR="00247CBF" w:rsidRPr="00092ED7" w:rsidRDefault="00247CBF" w:rsidP="00247CBF">
            <w:pPr>
              <w:spacing w:after="0"/>
              <w:jc w:val="right"/>
              <w:rPr>
                <w:sz w:val="20"/>
                <w:szCs w:val="20"/>
                <w:lang w:val="sr-Cyrl-CS"/>
              </w:rPr>
            </w:pPr>
            <w:r w:rsidRPr="00092ED7">
              <w:rPr>
                <w:sz w:val="20"/>
                <w:szCs w:val="20"/>
                <w:lang w:val="sr-Cyrl-CS"/>
              </w:rPr>
              <w:t>2,7</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0351141B" w14:textId="77777777" w:rsidR="00247CBF" w:rsidRPr="00092ED7" w:rsidRDefault="00247CBF" w:rsidP="00247CBF">
            <w:pPr>
              <w:spacing w:after="0"/>
              <w:jc w:val="right"/>
              <w:rPr>
                <w:sz w:val="20"/>
                <w:szCs w:val="20"/>
                <w:lang w:val="sr-Cyrl-CS"/>
              </w:rPr>
            </w:pPr>
            <w:r w:rsidRPr="00092ED7">
              <w:rPr>
                <w:sz w:val="20"/>
                <w:szCs w:val="20"/>
                <w:lang w:val="sr-Cyrl-CS"/>
              </w:rPr>
              <w:t>2,5</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587CF8F1" w14:textId="77777777" w:rsidR="00247CBF" w:rsidRPr="00092ED7" w:rsidRDefault="00247CBF" w:rsidP="00247CBF">
            <w:pPr>
              <w:spacing w:after="0"/>
              <w:jc w:val="right"/>
              <w:rPr>
                <w:sz w:val="20"/>
                <w:szCs w:val="20"/>
                <w:lang w:val="sr-Cyrl-CS"/>
              </w:rPr>
            </w:pPr>
            <w:r w:rsidRPr="00092ED7">
              <w:rPr>
                <w:sz w:val="20"/>
                <w:szCs w:val="20"/>
                <w:lang w:val="sr-Cyrl-CS"/>
              </w:rPr>
              <w:t>1,7</w:t>
            </w:r>
          </w:p>
        </w:tc>
      </w:tr>
      <w:tr w:rsidR="00247CBF" w:rsidRPr="00092ED7" w14:paraId="284F6D1C" w14:textId="77777777" w:rsidTr="00247CBF">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vAlign w:val="center"/>
            <w:hideMark/>
          </w:tcPr>
          <w:p w14:paraId="09EB0849"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7. Дуг приватног сектора [3]</w:t>
            </w:r>
          </w:p>
        </w:tc>
        <w:tc>
          <w:tcPr>
            <w:tcW w:w="582" w:type="pct"/>
            <w:tcBorders>
              <w:top w:val="nil"/>
              <w:left w:val="nil"/>
              <w:bottom w:val="dotted" w:sz="4" w:space="0" w:color="auto"/>
              <w:right w:val="single" w:sz="8" w:space="0" w:color="auto"/>
            </w:tcBorders>
            <w:shd w:val="clear" w:color="000000" w:fill="FFFFFF"/>
            <w:vAlign w:val="center"/>
            <w:hideMark/>
          </w:tcPr>
          <w:p w14:paraId="18A9905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3C133FCF" w14:textId="77777777" w:rsidR="00247CBF" w:rsidRPr="00092ED7" w:rsidRDefault="00247CBF" w:rsidP="00247CBF">
            <w:pPr>
              <w:spacing w:after="0"/>
              <w:jc w:val="right"/>
              <w:rPr>
                <w:sz w:val="20"/>
                <w:szCs w:val="20"/>
                <w:lang w:val="sr-Cyrl-CS"/>
              </w:rPr>
            </w:pPr>
            <w:r w:rsidRPr="00092ED7">
              <w:rPr>
                <w:sz w:val="20"/>
                <w:szCs w:val="20"/>
                <w:lang w:val="sr-Cyrl-CS"/>
              </w:rPr>
              <w:t>41,2</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4983B8BF" w14:textId="77777777" w:rsidR="00247CBF" w:rsidRPr="00092ED7" w:rsidRDefault="00247CBF" w:rsidP="00247CBF">
            <w:pPr>
              <w:spacing w:after="0"/>
              <w:jc w:val="right"/>
              <w:rPr>
                <w:sz w:val="20"/>
                <w:szCs w:val="20"/>
                <w:lang w:val="sr-Cyrl-CS"/>
              </w:rPr>
            </w:pPr>
            <w:r w:rsidRPr="00092ED7">
              <w:rPr>
                <w:sz w:val="20"/>
                <w:szCs w:val="20"/>
                <w:lang w:val="sr-Cyrl-CS"/>
              </w:rPr>
              <w:t>41,8</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5D535B57" w14:textId="77777777" w:rsidR="00247CBF" w:rsidRPr="00092ED7" w:rsidRDefault="00247CBF" w:rsidP="00247CBF">
            <w:pPr>
              <w:spacing w:after="0"/>
              <w:jc w:val="right"/>
              <w:rPr>
                <w:sz w:val="20"/>
                <w:szCs w:val="20"/>
                <w:lang w:val="sr-Cyrl-CS"/>
              </w:rPr>
            </w:pPr>
            <w:r w:rsidRPr="00092ED7">
              <w:rPr>
                <w:sz w:val="20"/>
                <w:szCs w:val="20"/>
                <w:lang w:val="sr-Cyrl-CS"/>
              </w:rPr>
              <w:t>45,2</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61E3FE48" w14:textId="77777777" w:rsidR="00247CBF" w:rsidRPr="00092ED7" w:rsidRDefault="00247CBF" w:rsidP="00247CBF">
            <w:pPr>
              <w:spacing w:after="0"/>
              <w:jc w:val="right"/>
              <w:rPr>
                <w:sz w:val="20"/>
                <w:szCs w:val="20"/>
                <w:lang w:val="sr-Cyrl-CS"/>
              </w:rPr>
            </w:pPr>
            <w:r w:rsidRPr="00092ED7">
              <w:rPr>
                <w:sz w:val="20"/>
                <w:szCs w:val="20"/>
                <w:lang w:val="sr-Cyrl-CS"/>
              </w:rPr>
              <w:t>43,2</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029EFCA8" w14:textId="77777777" w:rsidR="00247CBF" w:rsidRPr="00092ED7" w:rsidRDefault="00247CBF" w:rsidP="00247CBF">
            <w:pPr>
              <w:spacing w:after="0"/>
              <w:jc w:val="right"/>
              <w:rPr>
                <w:sz w:val="20"/>
                <w:szCs w:val="20"/>
                <w:lang w:val="sr-Cyrl-CS"/>
              </w:rPr>
            </w:pPr>
            <w:r w:rsidRPr="00092ED7">
              <w:rPr>
                <w:sz w:val="20"/>
                <w:szCs w:val="20"/>
                <w:lang w:val="sr-Cyrl-CS"/>
              </w:rPr>
              <w:t>40,5</w:t>
            </w:r>
          </w:p>
        </w:tc>
      </w:tr>
      <w:tr w:rsidR="00247CBF" w:rsidRPr="00092ED7" w14:paraId="0DD099BF" w14:textId="77777777" w:rsidTr="00247CBF">
        <w:trPr>
          <w:gridBefore w:val="1"/>
          <w:wBefore w:w="8" w:type="pct"/>
          <w:trHeight w:val="319"/>
        </w:trPr>
        <w:tc>
          <w:tcPr>
            <w:tcW w:w="1594" w:type="pct"/>
            <w:gridSpan w:val="2"/>
            <w:tcBorders>
              <w:top w:val="nil"/>
              <w:left w:val="double" w:sz="6" w:space="0" w:color="auto"/>
              <w:bottom w:val="double" w:sz="6" w:space="0" w:color="auto"/>
              <w:right w:val="dotted" w:sz="4" w:space="0" w:color="auto"/>
            </w:tcBorders>
            <w:shd w:val="clear" w:color="000000" w:fill="FFFFFF"/>
            <w:vAlign w:val="center"/>
            <w:hideMark/>
          </w:tcPr>
          <w:p w14:paraId="0A1987DF"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8. Дуг општег нивоа државе</w:t>
            </w:r>
          </w:p>
        </w:tc>
        <w:tc>
          <w:tcPr>
            <w:tcW w:w="582" w:type="pct"/>
            <w:tcBorders>
              <w:top w:val="nil"/>
              <w:left w:val="nil"/>
              <w:bottom w:val="double" w:sz="6" w:space="0" w:color="auto"/>
              <w:right w:val="single" w:sz="8" w:space="0" w:color="auto"/>
            </w:tcBorders>
            <w:shd w:val="clear" w:color="000000" w:fill="FFFFFF"/>
            <w:vAlign w:val="center"/>
            <w:hideMark/>
          </w:tcPr>
          <w:p w14:paraId="107E1F1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563" w:type="pct"/>
            <w:gridSpan w:val="3"/>
            <w:tcBorders>
              <w:top w:val="nil"/>
              <w:left w:val="nil"/>
              <w:bottom w:val="double" w:sz="6" w:space="0" w:color="auto"/>
              <w:right w:val="dotted" w:sz="4" w:space="0" w:color="auto"/>
            </w:tcBorders>
            <w:shd w:val="clear" w:color="000000" w:fill="FFFFFF"/>
            <w:vAlign w:val="center"/>
            <w:hideMark/>
          </w:tcPr>
          <w:p w14:paraId="517AE40F" w14:textId="77777777" w:rsidR="00247CBF" w:rsidRPr="00092ED7" w:rsidRDefault="00247CBF" w:rsidP="00247CBF">
            <w:pPr>
              <w:spacing w:after="0"/>
              <w:jc w:val="right"/>
              <w:rPr>
                <w:sz w:val="20"/>
                <w:szCs w:val="20"/>
                <w:lang w:val="sr-Cyrl-CS"/>
              </w:rPr>
            </w:pPr>
            <w:r w:rsidRPr="00092ED7">
              <w:rPr>
                <w:sz w:val="20"/>
                <w:szCs w:val="20"/>
                <w:lang w:val="sr-Cyrl-CS"/>
              </w:rPr>
              <w:t>54,4</w:t>
            </w:r>
          </w:p>
        </w:tc>
        <w:tc>
          <w:tcPr>
            <w:tcW w:w="563" w:type="pct"/>
            <w:gridSpan w:val="2"/>
            <w:tcBorders>
              <w:top w:val="nil"/>
              <w:left w:val="nil"/>
              <w:bottom w:val="double" w:sz="6" w:space="0" w:color="auto"/>
              <w:right w:val="dotted" w:sz="4" w:space="0" w:color="auto"/>
            </w:tcBorders>
            <w:shd w:val="clear" w:color="000000" w:fill="FFFFFF"/>
            <w:vAlign w:val="center"/>
            <w:hideMark/>
          </w:tcPr>
          <w:p w14:paraId="728BEA37" w14:textId="77777777" w:rsidR="00247CBF" w:rsidRPr="00092ED7" w:rsidRDefault="00247CBF" w:rsidP="00247CBF">
            <w:pPr>
              <w:spacing w:after="0"/>
              <w:jc w:val="right"/>
              <w:rPr>
                <w:sz w:val="20"/>
                <w:szCs w:val="20"/>
                <w:lang w:val="sr-Cyrl-CS"/>
              </w:rPr>
            </w:pPr>
            <w:r w:rsidRPr="00092ED7">
              <w:rPr>
                <w:sz w:val="20"/>
                <w:szCs w:val="20"/>
                <w:lang w:val="sr-Cyrl-CS"/>
              </w:rPr>
              <w:t>52,8</w:t>
            </w:r>
          </w:p>
        </w:tc>
        <w:tc>
          <w:tcPr>
            <w:tcW w:w="563" w:type="pct"/>
            <w:gridSpan w:val="2"/>
            <w:tcBorders>
              <w:top w:val="nil"/>
              <w:left w:val="nil"/>
              <w:bottom w:val="double" w:sz="6" w:space="0" w:color="auto"/>
              <w:right w:val="dotted" w:sz="4" w:space="0" w:color="auto"/>
            </w:tcBorders>
            <w:shd w:val="clear" w:color="auto" w:fill="auto"/>
            <w:vAlign w:val="center"/>
            <w:hideMark/>
          </w:tcPr>
          <w:p w14:paraId="7CA526DB" w14:textId="77777777" w:rsidR="00247CBF" w:rsidRPr="00092ED7" w:rsidRDefault="00247CBF" w:rsidP="00247CBF">
            <w:pPr>
              <w:spacing w:after="0"/>
              <w:jc w:val="right"/>
              <w:rPr>
                <w:sz w:val="20"/>
                <w:szCs w:val="20"/>
                <w:lang w:val="sr-Cyrl-CS"/>
              </w:rPr>
            </w:pPr>
            <w:r w:rsidRPr="00092ED7">
              <w:rPr>
                <w:sz w:val="20"/>
                <w:szCs w:val="20"/>
                <w:lang w:val="sr-Cyrl-CS"/>
              </w:rPr>
              <w:t>57,8</w:t>
            </w:r>
          </w:p>
        </w:tc>
        <w:tc>
          <w:tcPr>
            <w:tcW w:w="563" w:type="pct"/>
            <w:gridSpan w:val="2"/>
            <w:tcBorders>
              <w:top w:val="nil"/>
              <w:left w:val="nil"/>
              <w:bottom w:val="double" w:sz="6" w:space="0" w:color="auto"/>
              <w:right w:val="dotted" w:sz="4" w:space="0" w:color="auto"/>
            </w:tcBorders>
            <w:shd w:val="clear" w:color="auto" w:fill="auto"/>
            <w:vAlign w:val="center"/>
            <w:hideMark/>
          </w:tcPr>
          <w:p w14:paraId="66D08888" w14:textId="77777777" w:rsidR="00247CBF" w:rsidRPr="00092ED7" w:rsidRDefault="00247CBF" w:rsidP="00247CBF">
            <w:pPr>
              <w:spacing w:after="0"/>
              <w:jc w:val="right"/>
              <w:rPr>
                <w:sz w:val="20"/>
                <w:szCs w:val="20"/>
                <w:lang w:val="sr-Cyrl-CS"/>
              </w:rPr>
            </w:pPr>
            <w:r w:rsidRPr="00092ED7">
              <w:rPr>
                <w:sz w:val="20"/>
                <w:szCs w:val="20"/>
                <w:lang w:val="sr-Cyrl-CS"/>
              </w:rPr>
              <w:t>57,1</w:t>
            </w:r>
          </w:p>
        </w:tc>
        <w:tc>
          <w:tcPr>
            <w:tcW w:w="564" w:type="pct"/>
            <w:gridSpan w:val="2"/>
            <w:tcBorders>
              <w:top w:val="nil"/>
              <w:left w:val="nil"/>
              <w:bottom w:val="double" w:sz="6" w:space="0" w:color="auto"/>
              <w:right w:val="double" w:sz="6" w:space="0" w:color="auto"/>
            </w:tcBorders>
            <w:shd w:val="clear" w:color="auto" w:fill="auto"/>
            <w:vAlign w:val="center"/>
            <w:hideMark/>
          </w:tcPr>
          <w:p w14:paraId="6912B5AD" w14:textId="77777777" w:rsidR="00247CBF" w:rsidRPr="00092ED7" w:rsidRDefault="00247CBF" w:rsidP="00247CBF">
            <w:pPr>
              <w:spacing w:after="0"/>
              <w:jc w:val="right"/>
              <w:rPr>
                <w:sz w:val="20"/>
                <w:szCs w:val="20"/>
                <w:lang w:val="sr-Cyrl-CS"/>
              </w:rPr>
            </w:pPr>
            <w:r w:rsidRPr="00092ED7">
              <w:rPr>
                <w:sz w:val="20"/>
                <w:szCs w:val="20"/>
                <w:lang w:val="sr-Cyrl-CS"/>
              </w:rPr>
              <w:t>56,9</w:t>
            </w:r>
          </w:p>
        </w:tc>
      </w:tr>
      <w:tr w:rsidR="00247CBF" w:rsidRPr="00092ED7" w14:paraId="1F55B5B7" w14:textId="77777777" w:rsidTr="00247CBF">
        <w:trPr>
          <w:gridAfter w:val="13"/>
          <w:wAfter w:w="3419" w:type="pct"/>
          <w:trHeight w:val="319"/>
        </w:trPr>
        <w:tc>
          <w:tcPr>
            <w:tcW w:w="1581" w:type="pct"/>
            <w:gridSpan w:val="2"/>
            <w:tcBorders>
              <w:top w:val="nil"/>
              <w:left w:val="nil"/>
              <w:bottom w:val="nil"/>
              <w:right w:val="nil"/>
            </w:tcBorders>
            <w:shd w:val="clear" w:color="000000" w:fill="FFFFFF"/>
            <w:noWrap/>
            <w:vAlign w:val="center"/>
            <w:hideMark/>
          </w:tcPr>
          <w:p w14:paraId="16A6FD72" w14:textId="77777777" w:rsidR="00247CBF" w:rsidRPr="00092ED7" w:rsidRDefault="00247CBF" w:rsidP="00247CBF">
            <w:pPr>
              <w:spacing w:after="0"/>
              <w:jc w:val="left"/>
              <w:rPr>
                <w:sz w:val="16"/>
                <w:szCs w:val="16"/>
                <w:lang w:val="sr-Cyrl-CS"/>
              </w:rPr>
            </w:pPr>
            <w:r w:rsidRPr="00092ED7">
              <w:rPr>
                <w:sz w:val="16"/>
                <w:szCs w:val="16"/>
                <w:lang w:val="sr-Cyrl-CS"/>
              </w:rPr>
              <w:t>[1] јануар-октобар 2022.</w:t>
            </w:r>
          </w:p>
        </w:tc>
      </w:tr>
      <w:tr w:rsidR="00247CBF" w:rsidRPr="00092ED7" w14:paraId="5995A550" w14:textId="77777777" w:rsidTr="00247CBF">
        <w:trPr>
          <w:gridAfter w:val="13"/>
          <w:wAfter w:w="3419" w:type="pct"/>
          <w:trHeight w:val="300"/>
        </w:trPr>
        <w:tc>
          <w:tcPr>
            <w:tcW w:w="1581" w:type="pct"/>
            <w:gridSpan w:val="2"/>
            <w:tcBorders>
              <w:top w:val="nil"/>
              <w:left w:val="nil"/>
              <w:bottom w:val="nil"/>
              <w:right w:val="nil"/>
            </w:tcBorders>
            <w:shd w:val="clear" w:color="000000" w:fill="FFFFFF"/>
            <w:noWrap/>
            <w:vAlign w:val="center"/>
            <w:hideMark/>
          </w:tcPr>
          <w:p w14:paraId="3628E2E8" w14:textId="77777777" w:rsidR="00247CBF" w:rsidRPr="00092ED7" w:rsidRDefault="00247CBF" w:rsidP="00247CBF">
            <w:pPr>
              <w:spacing w:after="0"/>
              <w:jc w:val="left"/>
              <w:rPr>
                <w:sz w:val="16"/>
                <w:szCs w:val="16"/>
                <w:lang w:val="sr-Cyrl-CS"/>
              </w:rPr>
            </w:pPr>
            <w:r w:rsidRPr="00092ED7">
              <w:rPr>
                <w:sz w:val="16"/>
                <w:szCs w:val="16"/>
                <w:lang w:val="sr-Cyrl-CS"/>
              </w:rPr>
              <w:t>[2] крај јуна 2022.</w:t>
            </w:r>
          </w:p>
        </w:tc>
      </w:tr>
      <w:tr w:rsidR="00247CBF" w:rsidRPr="00092ED7" w14:paraId="10682DA9" w14:textId="77777777" w:rsidTr="00247CBF">
        <w:trPr>
          <w:gridAfter w:val="13"/>
          <w:wAfter w:w="3419" w:type="pct"/>
          <w:trHeight w:val="255"/>
        </w:trPr>
        <w:tc>
          <w:tcPr>
            <w:tcW w:w="1581" w:type="pct"/>
            <w:gridSpan w:val="2"/>
            <w:tcBorders>
              <w:top w:val="nil"/>
              <w:left w:val="nil"/>
              <w:bottom w:val="nil"/>
              <w:right w:val="nil"/>
            </w:tcBorders>
            <w:shd w:val="clear" w:color="000000" w:fill="FFFFFF"/>
            <w:noWrap/>
            <w:vAlign w:val="center"/>
            <w:hideMark/>
          </w:tcPr>
          <w:p w14:paraId="5CF3CF65" w14:textId="77777777" w:rsidR="00247CBF" w:rsidRPr="00092ED7" w:rsidRDefault="00247CBF" w:rsidP="00247CBF">
            <w:pPr>
              <w:spacing w:after="0"/>
              <w:jc w:val="left"/>
              <w:rPr>
                <w:sz w:val="16"/>
                <w:szCs w:val="16"/>
                <w:lang w:val="sr-Cyrl-CS"/>
              </w:rPr>
            </w:pPr>
            <w:r w:rsidRPr="00092ED7">
              <w:rPr>
                <w:sz w:val="16"/>
                <w:szCs w:val="16"/>
                <w:lang w:val="sr-Cyrl-CS"/>
              </w:rPr>
              <w:t>[3] крај октобра 2022.</w:t>
            </w:r>
          </w:p>
        </w:tc>
      </w:tr>
    </w:tbl>
    <w:p w14:paraId="07AC6951" w14:textId="77777777" w:rsidR="00247CBF" w:rsidRPr="00092ED7" w:rsidRDefault="00247CBF" w:rsidP="00247CBF">
      <w:pPr>
        <w:rPr>
          <w:rFonts w:cs="Times New Roman"/>
          <w:lang w:val="sr-Cyrl-CS"/>
        </w:rPr>
      </w:pPr>
    </w:p>
    <w:p w14:paraId="7C50EF63" w14:textId="77777777" w:rsidR="00247CBF" w:rsidRPr="00092ED7" w:rsidRDefault="00247CBF" w:rsidP="00247CBF">
      <w:pPr>
        <w:spacing w:after="160" w:line="259" w:lineRule="auto"/>
        <w:rPr>
          <w:rFonts w:eastAsia="MS PGothic" w:cs="Times New Roman"/>
          <w:b/>
          <w:sz w:val="20"/>
          <w:szCs w:val="20"/>
          <w:lang w:val="sr-Cyrl-CS"/>
        </w:rPr>
      </w:pPr>
      <w:bookmarkStart w:id="124" w:name="_Toc30499329"/>
      <w:bookmarkStart w:id="125" w:name="_Toc30754785"/>
      <w:r w:rsidRPr="00092ED7">
        <w:rPr>
          <w:rFonts w:cs="Times New Roman"/>
          <w:b/>
          <w:sz w:val="20"/>
          <w:szCs w:val="20"/>
          <w:lang w:val="sr-Cyrl-CS"/>
        </w:rPr>
        <w:br w:type="page"/>
      </w:r>
    </w:p>
    <w:p w14:paraId="47FC9430" w14:textId="77777777" w:rsidR="004B0AC2" w:rsidRPr="00092ED7" w:rsidRDefault="004B0AC2" w:rsidP="00603975">
      <w:pPr>
        <w:pStyle w:val="Heading3"/>
        <w:spacing w:before="0" w:after="120"/>
        <w:rPr>
          <w:rFonts w:ascii="Times New Roman" w:hAnsi="Times New Roman" w:cs="Times New Roman"/>
          <w:lang w:val="sr-Cyrl-CS"/>
        </w:rPr>
      </w:pPr>
      <w:bookmarkStart w:id="126" w:name="_Toc124174828"/>
      <w:bookmarkStart w:id="127" w:name="_Toc126218646"/>
      <w:bookmarkEnd w:id="124"/>
      <w:bookmarkEnd w:id="125"/>
      <w:r w:rsidRPr="00092ED7">
        <w:rPr>
          <w:rFonts w:ascii="Times New Roman" w:hAnsi="Times New Roman" w:cs="Times New Roman"/>
          <w:b/>
          <w:bCs/>
          <w:sz w:val="20"/>
          <w:szCs w:val="20"/>
          <w:lang w:val="sr-Cyrl-CS"/>
        </w:rPr>
        <w:t>Табела 2a + 2b:  Буџетски изгледи општег нивоа државе</w:t>
      </w:r>
      <w:bookmarkEnd w:id="126"/>
      <w:bookmarkEnd w:id="127"/>
    </w:p>
    <w:tbl>
      <w:tblPr>
        <w:tblW w:w="14501" w:type="dxa"/>
        <w:tblLayout w:type="fixed"/>
        <w:tblLook w:val="04A0" w:firstRow="1" w:lastRow="0" w:firstColumn="1" w:lastColumn="0" w:noHBand="0" w:noVBand="1"/>
      </w:tblPr>
      <w:tblGrid>
        <w:gridCol w:w="6640"/>
        <w:gridCol w:w="1417"/>
        <w:gridCol w:w="1074"/>
        <w:gridCol w:w="1074"/>
        <w:gridCol w:w="670"/>
        <w:gridCol w:w="404"/>
        <w:gridCol w:w="321"/>
        <w:gridCol w:w="753"/>
        <w:gridCol w:w="1074"/>
        <w:gridCol w:w="1074"/>
      </w:tblGrid>
      <w:tr w:rsidR="004B0AC2" w:rsidRPr="00092ED7" w14:paraId="70FCB75A" w14:textId="77777777" w:rsidTr="00FB09AE">
        <w:trPr>
          <w:trHeight w:val="285"/>
        </w:trPr>
        <w:tc>
          <w:tcPr>
            <w:tcW w:w="6640" w:type="dxa"/>
            <w:tcBorders>
              <w:top w:val="double" w:sz="6" w:space="0" w:color="auto"/>
              <w:left w:val="double" w:sz="6" w:space="0" w:color="auto"/>
              <w:bottom w:val="double" w:sz="6" w:space="0" w:color="auto"/>
              <w:right w:val="nil"/>
            </w:tcBorders>
            <w:shd w:val="clear" w:color="auto" w:fill="auto"/>
            <w:noWrap/>
            <w:vAlign w:val="center"/>
            <w:hideMark/>
          </w:tcPr>
          <w:p w14:paraId="3FCDCC94" w14:textId="77777777" w:rsidR="004B0AC2" w:rsidRPr="00092ED7" w:rsidRDefault="004B0AC2" w:rsidP="00FB09AE">
            <w:pPr>
              <w:spacing w:after="0"/>
              <w:jc w:val="left"/>
              <w:rPr>
                <w:b/>
                <w:bCs/>
                <w:sz w:val="20"/>
                <w:szCs w:val="20"/>
                <w:lang w:val="sr-Cyrl-CS"/>
              </w:rPr>
            </w:pPr>
          </w:p>
        </w:tc>
        <w:tc>
          <w:tcPr>
            <w:tcW w:w="1417"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14:paraId="552E2D1F" w14:textId="77777777" w:rsidR="004B0AC2" w:rsidRPr="00092ED7" w:rsidRDefault="004B0AC2" w:rsidP="00FB09AE">
            <w:pPr>
              <w:spacing w:after="0"/>
              <w:jc w:val="center"/>
              <w:rPr>
                <w:b/>
                <w:bCs/>
                <w:sz w:val="20"/>
                <w:szCs w:val="20"/>
                <w:lang w:val="sr-Cyrl-CS"/>
              </w:rPr>
            </w:pPr>
            <w:r w:rsidRPr="00092ED7">
              <w:rPr>
                <w:b/>
                <w:bCs/>
                <w:sz w:val="20"/>
                <w:szCs w:val="20"/>
                <w:lang w:val="sr-Cyrl-CS"/>
              </w:rPr>
              <w:t>млрд РСД</w:t>
            </w:r>
          </w:p>
        </w:tc>
        <w:tc>
          <w:tcPr>
            <w:tcW w:w="1074" w:type="dxa"/>
            <w:tcBorders>
              <w:top w:val="double" w:sz="6" w:space="0" w:color="auto"/>
              <w:left w:val="nil"/>
              <w:bottom w:val="double" w:sz="6" w:space="0" w:color="auto"/>
              <w:right w:val="dashed" w:sz="4" w:space="0" w:color="auto"/>
            </w:tcBorders>
            <w:shd w:val="clear" w:color="auto" w:fill="auto"/>
            <w:noWrap/>
            <w:vAlign w:val="center"/>
            <w:hideMark/>
          </w:tcPr>
          <w:p w14:paraId="6785D28E" w14:textId="77777777" w:rsidR="004B0AC2" w:rsidRPr="00092ED7" w:rsidRDefault="004B0AC2" w:rsidP="00FB09AE">
            <w:pPr>
              <w:spacing w:after="0"/>
              <w:jc w:val="right"/>
              <w:rPr>
                <w:b/>
                <w:bCs/>
                <w:sz w:val="20"/>
                <w:szCs w:val="20"/>
                <w:lang w:val="sr-Cyrl-CS"/>
              </w:rPr>
            </w:pPr>
            <w:r w:rsidRPr="00092ED7">
              <w:rPr>
                <w:b/>
                <w:bCs/>
                <w:sz w:val="20"/>
                <w:szCs w:val="20"/>
                <w:lang w:val="sr-Cyrl-CS"/>
              </w:rPr>
              <w:t>2020</w:t>
            </w:r>
          </w:p>
        </w:tc>
        <w:tc>
          <w:tcPr>
            <w:tcW w:w="1074" w:type="dxa"/>
            <w:tcBorders>
              <w:top w:val="double" w:sz="6" w:space="0" w:color="auto"/>
              <w:left w:val="nil"/>
              <w:bottom w:val="double" w:sz="6" w:space="0" w:color="auto"/>
              <w:right w:val="dashed" w:sz="4" w:space="0" w:color="auto"/>
            </w:tcBorders>
            <w:shd w:val="clear" w:color="auto" w:fill="auto"/>
            <w:noWrap/>
            <w:vAlign w:val="center"/>
            <w:hideMark/>
          </w:tcPr>
          <w:p w14:paraId="13EB78B1" w14:textId="77777777" w:rsidR="004B0AC2" w:rsidRPr="00092ED7" w:rsidRDefault="004B0AC2" w:rsidP="00FB09AE">
            <w:pPr>
              <w:spacing w:after="0"/>
              <w:jc w:val="right"/>
              <w:rPr>
                <w:b/>
                <w:bCs/>
                <w:sz w:val="20"/>
                <w:szCs w:val="20"/>
                <w:lang w:val="sr-Cyrl-CS"/>
              </w:rPr>
            </w:pPr>
            <w:r w:rsidRPr="00092ED7">
              <w:rPr>
                <w:b/>
                <w:bCs/>
                <w:sz w:val="20"/>
                <w:szCs w:val="20"/>
                <w:lang w:val="sr-Cyrl-CS"/>
              </w:rPr>
              <w:t>2021</w:t>
            </w:r>
          </w:p>
        </w:tc>
        <w:tc>
          <w:tcPr>
            <w:tcW w:w="1074" w:type="dxa"/>
            <w:gridSpan w:val="2"/>
            <w:tcBorders>
              <w:top w:val="double" w:sz="6" w:space="0" w:color="auto"/>
              <w:left w:val="nil"/>
              <w:bottom w:val="double" w:sz="6" w:space="0" w:color="auto"/>
              <w:right w:val="dashed" w:sz="4" w:space="0" w:color="auto"/>
            </w:tcBorders>
            <w:shd w:val="clear" w:color="auto" w:fill="auto"/>
            <w:noWrap/>
            <w:vAlign w:val="center"/>
            <w:hideMark/>
          </w:tcPr>
          <w:p w14:paraId="4B81CF61" w14:textId="77777777" w:rsidR="004B0AC2" w:rsidRPr="00092ED7" w:rsidRDefault="004B0AC2" w:rsidP="00FB09AE">
            <w:pPr>
              <w:spacing w:after="0"/>
              <w:jc w:val="right"/>
              <w:rPr>
                <w:b/>
                <w:bCs/>
                <w:sz w:val="20"/>
                <w:szCs w:val="20"/>
                <w:lang w:val="sr-Cyrl-CS"/>
              </w:rPr>
            </w:pPr>
            <w:r w:rsidRPr="00092ED7">
              <w:rPr>
                <w:b/>
                <w:bCs/>
                <w:sz w:val="20"/>
                <w:szCs w:val="20"/>
                <w:lang w:val="sr-Cyrl-CS"/>
              </w:rPr>
              <w:t>2022</w:t>
            </w:r>
          </w:p>
        </w:tc>
        <w:tc>
          <w:tcPr>
            <w:tcW w:w="1074" w:type="dxa"/>
            <w:gridSpan w:val="2"/>
            <w:tcBorders>
              <w:top w:val="double" w:sz="6" w:space="0" w:color="auto"/>
              <w:left w:val="nil"/>
              <w:bottom w:val="double" w:sz="6" w:space="0" w:color="auto"/>
              <w:right w:val="dashed" w:sz="4" w:space="0" w:color="auto"/>
            </w:tcBorders>
            <w:shd w:val="clear" w:color="auto" w:fill="auto"/>
            <w:noWrap/>
            <w:vAlign w:val="center"/>
            <w:hideMark/>
          </w:tcPr>
          <w:p w14:paraId="4DFD951A" w14:textId="77777777" w:rsidR="004B0AC2" w:rsidRPr="00092ED7" w:rsidRDefault="004B0AC2" w:rsidP="00FB09AE">
            <w:pPr>
              <w:spacing w:after="0"/>
              <w:jc w:val="right"/>
              <w:rPr>
                <w:b/>
                <w:bCs/>
                <w:sz w:val="20"/>
                <w:szCs w:val="20"/>
                <w:lang w:val="sr-Cyrl-CS"/>
              </w:rPr>
            </w:pPr>
            <w:r w:rsidRPr="00092ED7">
              <w:rPr>
                <w:b/>
                <w:bCs/>
                <w:sz w:val="20"/>
                <w:szCs w:val="20"/>
                <w:lang w:val="sr-Cyrl-CS"/>
              </w:rPr>
              <w:t>2023</w:t>
            </w:r>
          </w:p>
        </w:tc>
        <w:tc>
          <w:tcPr>
            <w:tcW w:w="1074" w:type="dxa"/>
            <w:tcBorders>
              <w:top w:val="double" w:sz="6" w:space="0" w:color="auto"/>
              <w:left w:val="nil"/>
              <w:bottom w:val="double" w:sz="6" w:space="0" w:color="auto"/>
              <w:right w:val="dashed" w:sz="4" w:space="0" w:color="auto"/>
            </w:tcBorders>
            <w:shd w:val="clear" w:color="auto" w:fill="auto"/>
            <w:noWrap/>
            <w:vAlign w:val="center"/>
            <w:hideMark/>
          </w:tcPr>
          <w:p w14:paraId="144DF09F" w14:textId="77777777" w:rsidR="004B0AC2" w:rsidRPr="00092ED7" w:rsidRDefault="004B0AC2" w:rsidP="00FB09AE">
            <w:pPr>
              <w:spacing w:after="0"/>
              <w:jc w:val="right"/>
              <w:rPr>
                <w:b/>
                <w:bCs/>
                <w:sz w:val="20"/>
                <w:szCs w:val="20"/>
                <w:lang w:val="sr-Cyrl-CS"/>
              </w:rPr>
            </w:pPr>
            <w:r w:rsidRPr="00092ED7">
              <w:rPr>
                <w:b/>
                <w:bCs/>
                <w:sz w:val="20"/>
                <w:szCs w:val="20"/>
                <w:lang w:val="sr-Cyrl-CS"/>
              </w:rPr>
              <w:t>2024</w:t>
            </w:r>
          </w:p>
        </w:tc>
        <w:tc>
          <w:tcPr>
            <w:tcW w:w="1074" w:type="dxa"/>
            <w:tcBorders>
              <w:top w:val="double" w:sz="6" w:space="0" w:color="auto"/>
              <w:left w:val="nil"/>
              <w:bottom w:val="double" w:sz="6" w:space="0" w:color="auto"/>
              <w:right w:val="double" w:sz="6" w:space="0" w:color="auto"/>
            </w:tcBorders>
            <w:shd w:val="clear" w:color="auto" w:fill="auto"/>
            <w:noWrap/>
            <w:vAlign w:val="center"/>
            <w:hideMark/>
          </w:tcPr>
          <w:p w14:paraId="0D14C600" w14:textId="77777777" w:rsidR="004B0AC2" w:rsidRPr="00092ED7" w:rsidRDefault="004B0AC2" w:rsidP="00FB09AE">
            <w:pPr>
              <w:spacing w:after="0"/>
              <w:jc w:val="right"/>
              <w:rPr>
                <w:b/>
                <w:bCs/>
                <w:sz w:val="20"/>
                <w:szCs w:val="20"/>
                <w:lang w:val="sr-Cyrl-CS"/>
              </w:rPr>
            </w:pPr>
            <w:r w:rsidRPr="00092ED7">
              <w:rPr>
                <w:b/>
                <w:bCs/>
                <w:sz w:val="20"/>
                <w:szCs w:val="20"/>
                <w:lang w:val="sr-Cyrl-CS"/>
              </w:rPr>
              <w:t>2025</w:t>
            </w:r>
          </w:p>
        </w:tc>
      </w:tr>
      <w:tr w:rsidR="004B0AC2" w:rsidRPr="00092ED7" w14:paraId="128D096F" w14:textId="77777777" w:rsidTr="00FB09AE">
        <w:trPr>
          <w:trHeight w:val="270"/>
        </w:trPr>
        <w:tc>
          <w:tcPr>
            <w:tcW w:w="6640" w:type="dxa"/>
            <w:tcBorders>
              <w:top w:val="nil"/>
              <w:left w:val="double" w:sz="6" w:space="0" w:color="auto"/>
              <w:bottom w:val="single" w:sz="4" w:space="0" w:color="auto"/>
              <w:right w:val="nil"/>
            </w:tcBorders>
            <w:shd w:val="clear" w:color="auto" w:fill="auto"/>
            <w:vAlign w:val="center"/>
            <w:hideMark/>
          </w:tcPr>
          <w:p w14:paraId="2A12F13B" w14:textId="77777777" w:rsidR="004B0AC2" w:rsidRPr="00092ED7" w:rsidRDefault="004B0AC2" w:rsidP="00FB09AE">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Резултат (B9) по секторима државе</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33BD2FE3" w14:textId="77777777" w:rsidR="004B0AC2" w:rsidRPr="00092ED7" w:rsidRDefault="004B0AC2" w:rsidP="00FB09AE">
            <w:pPr>
              <w:spacing w:after="0"/>
              <w:jc w:val="center"/>
              <w:rPr>
                <w:rFonts w:eastAsia="Times New Roman" w:cs="Times New Roman"/>
                <w:b/>
                <w:bCs/>
                <w:sz w:val="20"/>
                <w:szCs w:val="20"/>
                <w:lang w:val="sr-Cyrl-CS"/>
              </w:rPr>
            </w:pPr>
          </w:p>
        </w:tc>
        <w:tc>
          <w:tcPr>
            <w:tcW w:w="1074" w:type="dxa"/>
            <w:tcBorders>
              <w:top w:val="nil"/>
              <w:left w:val="nil"/>
              <w:bottom w:val="single" w:sz="4" w:space="0" w:color="auto"/>
              <w:right w:val="nil"/>
            </w:tcBorders>
            <w:shd w:val="clear" w:color="auto" w:fill="auto"/>
            <w:vAlign w:val="center"/>
            <w:hideMark/>
          </w:tcPr>
          <w:p w14:paraId="7BE2EDEE"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nil"/>
            </w:tcBorders>
            <w:shd w:val="clear" w:color="auto" w:fill="auto"/>
            <w:vAlign w:val="center"/>
            <w:hideMark/>
          </w:tcPr>
          <w:p w14:paraId="4BCEB4D4"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gridSpan w:val="2"/>
            <w:tcBorders>
              <w:top w:val="nil"/>
              <w:left w:val="nil"/>
              <w:bottom w:val="single" w:sz="4" w:space="0" w:color="auto"/>
              <w:right w:val="nil"/>
            </w:tcBorders>
            <w:shd w:val="clear" w:color="auto" w:fill="auto"/>
            <w:vAlign w:val="center"/>
            <w:hideMark/>
          </w:tcPr>
          <w:p w14:paraId="53FBFC1C"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gridSpan w:val="2"/>
            <w:tcBorders>
              <w:top w:val="nil"/>
              <w:left w:val="nil"/>
              <w:bottom w:val="single" w:sz="4" w:space="0" w:color="auto"/>
              <w:right w:val="nil"/>
            </w:tcBorders>
            <w:shd w:val="clear" w:color="auto" w:fill="auto"/>
            <w:vAlign w:val="center"/>
            <w:hideMark/>
          </w:tcPr>
          <w:p w14:paraId="0503A8E0"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nil"/>
            </w:tcBorders>
            <w:shd w:val="clear" w:color="auto" w:fill="auto"/>
            <w:vAlign w:val="center"/>
            <w:hideMark/>
          </w:tcPr>
          <w:p w14:paraId="78723FA9"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double" w:sz="6" w:space="0" w:color="auto"/>
            </w:tcBorders>
            <w:shd w:val="clear" w:color="auto" w:fill="auto"/>
            <w:vAlign w:val="center"/>
            <w:hideMark/>
          </w:tcPr>
          <w:p w14:paraId="52012FA1"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r>
      <w:tr w:rsidR="004B0AC2" w:rsidRPr="00092ED7" w14:paraId="79DE2DF8"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47AFA7EA"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1. Општи ниво државе</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38C98583"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S13</w:t>
            </w:r>
          </w:p>
        </w:tc>
        <w:tc>
          <w:tcPr>
            <w:tcW w:w="1074" w:type="dxa"/>
            <w:tcBorders>
              <w:top w:val="nil"/>
              <w:left w:val="nil"/>
              <w:bottom w:val="dotted" w:sz="4" w:space="0" w:color="auto"/>
              <w:right w:val="dotted" w:sz="4" w:space="0" w:color="auto"/>
            </w:tcBorders>
            <w:shd w:val="clear" w:color="auto" w:fill="auto"/>
            <w:vAlign w:val="center"/>
            <w:hideMark/>
          </w:tcPr>
          <w:p w14:paraId="2613D3B3" w14:textId="77777777" w:rsidR="004B0AC2" w:rsidRPr="00092ED7" w:rsidRDefault="004B0AC2" w:rsidP="00FB09AE">
            <w:pPr>
              <w:spacing w:after="0"/>
              <w:jc w:val="right"/>
              <w:rPr>
                <w:sz w:val="20"/>
                <w:szCs w:val="20"/>
                <w:lang w:val="sr-Cyrl-CS"/>
              </w:rPr>
            </w:pPr>
            <w:r w:rsidRPr="00092ED7">
              <w:rPr>
                <w:sz w:val="20"/>
                <w:szCs w:val="20"/>
                <w:lang w:val="sr-Cyrl-CS"/>
              </w:rPr>
              <w:t>-442,8</w:t>
            </w:r>
          </w:p>
        </w:tc>
        <w:tc>
          <w:tcPr>
            <w:tcW w:w="1074" w:type="dxa"/>
            <w:tcBorders>
              <w:top w:val="nil"/>
              <w:left w:val="nil"/>
              <w:bottom w:val="dotted" w:sz="4" w:space="0" w:color="auto"/>
              <w:right w:val="dotted" w:sz="4" w:space="0" w:color="auto"/>
            </w:tcBorders>
            <w:shd w:val="clear" w:color="auto" w:fill="auto"/>
            <w:vAlign w:val="center"/>
            <w:hideMark/>
          </w:tcPr>
          <w:p w14:paraId="61AD3D16" w14:textId="77777777" w:rsidR="004B0AC2" w:rsidRPr="00092ED7" w:rsidRDefault="004B0AC2" w:rsidP="00FB09AE">
            <w:pPr>
              <w:spacing w:after="0"/>
              <w:jc w:val="right"/>
              <w:rPr>
                <w:sz w:val="20"/>
                <w:szCs w:val="20"/>
                <w:lang w:val="sr-Cyrl-CS"/>
              </w:rPr>
            </w:pPr>
            <w:r w:rsidRPr="00092ED7">
              <w:rPr>
                <w:sz w:val="20"/>
                <w:szCs w:val="20"/>
                <w:lang w:val="sr-Cyrl-CS"/>
              </w:rPr>
              <w:t>-259,4</w:t>
            </w:r>
          </w:p>
        </w:tc>
        <w:tc>
          <w:tcPr>
            <w:tcW w:w="1074" w:type="dxa"/>
            <w:gridSpan w:val="2"/>
            <w:tcBorders>
              <w:top w:val="nil"/>
              <w:left w:val="nil"/>
              <w:bottom w:val="dotted" w:sz="4" w:space="0" w:color="auto"/>
              <w:right w:val="dotted" w:sz="4" w:space="0" w:color="auto"/>
            </w:tcBorders>
            <w:shd w:val="clear" w:color="auto" w:fill="auto"/>
            <w:vAlign w:val="center"/>
            <w:hideMark/>
          </w:tcPr>
          <w:p w14:paraId="4E0D64A3" w14:textId="77777777" w:rsidR="004B0AC2" w:rsidRPr="00092ED7" w:rsidRDefault="004B0AC2" w:rsidP="00FB09AE">
            <w:pPr>
              <w:spacing w:after="0"/>
              <w:jc w:val="right"/>
              <w:rPr>
                <w:sz w:val="20"/>
                <w:szCs w:val="20"/>
                <w:lang w:val="sr-Cyrl-CS"/>
              </w:rPr>
            </w:pPr>
            <w:r w:rsidRPr="00092ED7">
              <w:rPr>
                <w:sz w:val="20"/>
                <w:szCs w:val="20"/>
                <w:lang w:val="sr-Cyrl-CS"/>
              </w:rPr>
              <w:t>-271,5</w:t>
            </w:r>
          </w:p>
        </w:tc>
        <w:tc>
          <w:tcPr>
            <w:tcW w:w="1074" w:type="dxa"/>
            <w:gridSpan w:val="2"/>
            <w:tcBorders>
              <w:top w:val="nil"/>
              <w:left w:val="nil"/>
              <w:bottom w:val="dotted" w:sz="4" w:space="0" w:color="auto"/>
              <w:right w:val="dotted" w:sz="4" w:space="0" w:color="auto"/>
            </w:tcBorders>
            <w:shd w:val="clear" w:color="auto" w:fill="auto"/>
            <w:vAlign w:val="center"/>
            <w:hideMark/>
          </w:tcPr>
          <w:p w14:paraId="72DA8D6A" w14:textId="77777777" w:rsidR="004B0AC2" w:rsidRPr="00092ED7" w:rsidRDefault="004B0AC2" w:rsidP="00FB09AE">
            <w:pPr>
              <w:spacing w:after="0"/>
              <w:jc w:val="right"/>
              <w:rPr>
                <w:sz w:val="20"/>
                <w:szCs w:val="20"/>
                <w:lang w:val="sr-Cyrl-CS"/>
              </w:rPr>
            </w:pPr>
            <w:r w:rsidRPr="00092ED7">
              <w:rPr>
                <w:sz w:val="20"/>
                <w:szCs w:val="20"/>
                <w:lang w:val="sr-Cyrl-CS"/>
              </w:rPr>
              <w:t>-264,0</w:t>
            </w:r>
          </w:p>
        </w:tc>
        <w:tc>
          <w:tcPr>
            <w:tcW w:w="1074" w:type="dxa"/>
            <w:tcBorders>
              <w:top w:val="nil"/>
              <w:left w:val="nil"/>
              <w:bottom w:val="dotted" w:sz="4" w:space="0" w:color="auto"/>
              <w:right w:val="dotted" w:sz="4" w:space="0" w:color="auto"/>
            </w:tcBorders>
            <w:shd w:val="clear" w:color="auto" w:fill="auto"/>
            <w:vAlign w:val="center"/>
            <w:hideMark/>
          </w:tcPr>
          <w:p w14:paraId="4570114C" w14:textId="77777777" w:rsidR="004B0AC2" w:rsidRPr="00092ED7" w:rsidRDefault="004B0AC2" w:rsidP="00FB09AE">
            <w:pPr>
              <w:spacing w:after="0"/>
              <w:jc w:val="right"/>
              <w:rPr>
                <w:sz w:val="20"/>
                <w:szCs w:val="20"/>
                <w:lang w:val="sr-Cyrl-CS"/>
              </w:rPr>
            </w:pPr>
            <w:r w:rsidRPr="00092ED7">
              <w:rPr>
                <w:sz w:val="20"/>
                <w:szCs w:val="20"/>
                <w:lang w:val="sr-Cyrl-CS"/>
              </w:rPr>
              <w:t>-189,3</w:t>
            </w:r>
          </w:p>
        </w:tc>
        <w:tc>
          <w:tcPr>
            <w:tcW w:w="1074" w:type="dxa"/>
            <w:tcBorders>
              <w:top w:val="nil"/>
              <w:left w:val="nil"/>
              <w:bottom w:val="dotted" w:sz="4" w:space="0" w:color="auto"/>
              <w:right w:val="double" w:sz="6" w:space="0" w:color="auto"/>
            </w:tcBorders>
            <w:shd w:val="clear" w:color="auto" w:fill="auto"/>
            <w:vAlign w:val="center"/>
            <w:hideMark/>
          </w:tcPr>
          <w:p w14:paraId="775458C3" w14:textId="77777777" w:rsidR="004B0AC2" w:rsidRPr="00092ED7" w:rsidRDefault="004B0AC2" w:rsidP="00FB09AE">
            <w:pPr>
              <w:spacing w:after="0"/>
              <w:jc w:val="right"/>
              <w:rPr>
                <w:sz w:val="20"/>
                <w:szCs w:val="20"/>
                <w:lang w:val="sr-Cyrl-CS"/>
              </w:rPr>
            </w:pPr>
            <w:r w:rsidRPr="00092ED7">
              <w:rPr>
                <w:sz w:val="20"/>
                <w:szCs w:val="20"/>
                <w:lang w:val="sr-Cyrl-CS"/>
              </w:rPr>
              <w:t>-129,1</w:t>
            </w:r>
          </w:p>
        </w:tc>
      </w:tr>
      <w:tr w:rsidR="004B0AC2" w:rsidRPr="00092ED7" w14:paraId="1F4FF21E"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5B966A1E"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2. Централни ниво државе</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3471F7D0"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S1311</w:t>
            </w:r>
          </w:p>
        </w:tc>
        <w:tc>
          <w:tcPr>
            <w:tcW w:w="1074" w:type="dxa"/>
            <w:tcBorders>
              <w:top w:val="nil"/>
              <w:left w:val="nil"/>
              <w:bottom w:val="dotted" w:sz="4" w:space="0" w:color="auto"/>
              <w:right w:val="dotted" w:sz="4" w:space="0" w:color="auto"/>
            </w:tcBorders>
            <w:shd w:val="clear" w:color="auto" w:fill="auto"/>
            <w:vAlign w:val="center"/>
            <w:hideMark/>
          </w:tcPr>
          <w:p w14:paraId="133CA428" w14:textId="77777777" w:rsidR="004B0AC2" w:rsidRPr="00092ED7" w:rsidRDefault="004B0AC2" w:rsidP="00FB09AE">
            <w:pPr>
              <w:spacing w:after="0"/>
              <w:jc w:val="right"/>
              <w:rPr>
                <w:sz w:val="20"/>
                <w:szCs w:val="20"/>
                <w:lang w:val="sr-Cyrl-CS"/>
              </w:rPr>
            </w:pPr>
            <w:r w:rsidRPr="00092ED7">
              <w:rPr>
                <w:sz w:val="20"/>
                <w:szCs w:val="20"/>
                <w:lang w:val="sr-Cyrl-CS"/>
              </w:rPr>
              <w:t>-458,4</w:t>
            </w:r>
          </w:p>
        </w:tc>
        <w:tc>
          <w:tcPr>
            <w:tcW w:w="1074" w:type="dxa"/>
            <w:tcBorders>
              <w:top w:val="nil"/>
              <w:left w:val="nil"/>
              <w:bottom w:val="dotted" w:sz="4" w:space="0" w:color="auto"/>
              <w:right w:val="dotted" w:sz="4" w:space="0" w:color="auto"/>
            </w:tcBorders>
            <w:shd w:val="clear" w:color="auto" w:fill="auto"/>
            <w:vAlign w:val="center"/>
            <w:hideMark/>
          </w:tcPr>
          <w:p w14:paraId="187251D9" w14:textId="77777777" w:rsidR="004B0AC2" w:rsidRPr="00092ED7" w:rsidRDefault="004B0AC2" w:rsidP="00FB09AE">
            <w:pPr>
              <w:spacing w:after="0"/>
              <w:jc w:val="right"/>
              <w:rPr>
                <w:sz w:val="20"/>
                <w:szCs w:val="20"/>
                <w:lang w:val="sr-Cyrl-CS"/>
              </w:rPr>
            </w:pPr>
            <w:r w:rsidRPr="00092ED7">
              <w:rPr>
                <w:sz w:val="20"/>
                <w:szCs w:val="20"/>
                <w:lang w:val="sr-Cyrl-CS"/>
              </w:rPr>
              <w:t>-285,2</w:t>
            </w:r>
          </w:p>
        </w:tc>
        <w:tc>
          <w:tcPr>
            <w:tcW w:w="1074" w:type="dxa"/>
            <w:gridSpan w:val="2"/>
            <w:tcBorders>
              <w:top w:val="nil"/>
              <w:left w:val="nil"/>
              <w:bottom w:val="dotted" w:sz="4" w:space="0" w:color="auto"/>
              <w:right w:val="dotted" w:sz="4" w:space="0" w:color="auto"/>
            </w:tcBorders>
            <w:shd w:val="clear" w:color="auto" w:fill="auto"/>
            <w:vAlign w:val="center"/>
            <w:hideMark/>
          </w:tcPr>
          <w:p w14:paraId="74BAB7F6" w14:textId="77777777" w:rsidR="004B0AC2" w:rsidRPr="00092ED7" w:rsidRDefault="004B0AC2" w:rsidP="00FB09AE">
            <w:pPr>
              <w:spacing w:after="0"/>
              <w:jc w:val="right"/>
              <w:rPr>
                <w:sz w:val="20"/>
                <w:szCs w:val="20"/>
                <w:lang w:val="sr-Cyrl-CS"/>
              </w:rPr>
            </w:pPr>
            <w:r w:rsidRPr="00092ED7">
              <w:rPr>
                <w:sz w:val="20"/>
                <w:szCs w:val="20"/>
                <w:lang w:val="sr-Cyrl-CS"/>
              </w:rPr>
              <w:t>-279,1</w:t>
            </w:r>
          </w:p>
        </w:tc>
        <w:tc>
          <w:tcPr>
            <w:tcW w:w="1074" w:type="dxa"/>
            <w:gridSpan w:val="2"/>
            <w:tcBorders>
              <w:top w:val="nil"/>
              <w:left w:val="nil"/>
              <w:bottom w:val="dotted" w:sz="4" w:space="0" w:color="auto"/>
              <w:right w:val="dotted" w:sz="4" w:space="0" w:color="auto"/>
            </w:tcBorders>
            <w:shd w:val="clear" w:color="auto" w:fill="auto"/>
            <w:vAlign w:val="center"/>
            <w:hideMark/>
          </w:tcPr>
          <w:p w14:paraId="3A30592B" w14:textId="77777777" w:rsidR="004B0AC2" w:rsidRPr="00092ED7" w:rsidRDefault="004B0AC2" w:rsidP="00FB09AE">
            <w:pPr>
              <w:spacing w:after="0"/>
              <w:jc w:val="right"/>
              <w:rPr>
                <w:sz w:val="20"/>
                <w:szCs w:val="20"/>
                <w:lang w:val="sr-Cyrl-CS"/>
              </w:rPr>
            </w:pPr>
            <w:r w:rsidRPr="00092ED7">
              <w:rPr>
                <w:sz w:val="20"/>
                <w:szCs w:val="20"/>
                <w:lang w:val="sr-Cyrl-CS"/>
              </w:rPr>
              <w:t>-264,0</w:t>
            </w:r>
          </w:p>
        </w:tc>
        <w:tc>
          <w:tcPr>
            <w:tcW w:w="1074" w:type="dxa"/>
            <w:tcBorders>
              <w:top w:val="nil"/>
              <w:left w:val="nil"/>
              <w:bottom w:val="dotted" w:sz="4" w:space="0" w:color="auto"/>
              <w:right w:val="dotted" w:sz="4" w:space="0" w:color="auto"/>
            </w:tcBorders>
            <w:shd w:val="clear" w:color="auto" w:fill="auto"/>
            <w:vAlign w:val="center"/>
            <w:hideMark/>
          </w:tcPr>
          <w:p w14:paraId="6BD9A9C0" w14:textId="77777777" w:rsidR="004B0AC2" w:rsidRPr="00092ED7" w:rsidRDefault="004B0AC2" w:rsidP="00FB09AE">
            <w:pPr>
              <w:spacing w:after="0"/>
              <w:jc w:val="right"/>
              <w:rPr>
                <w:sz w:val="20"/>
                <w:szCs w:val="20"/>
                <w:lang w:val="sr-Cyrl-CS"/>
              </w:rPr>
            </w:pPr>
            <w:r w:rsidRPr="00092ED7">
              <w:rPr>
                <w:sz w:val="20"/>
                <w:szCs w:val="20"/>
                <w:lang w:val="sr-Cyrl-CS"/>
              </w:rPr>
              <w:t>-189,3</w:t>
            </w:r>
          </w:p>
        </w:tc>
        <w:tc>
          <w:tcPr>
            <w:tcW w:w="1074" w:type="dxa"/>
            <w:tcBorders>
              <w:top w:val="nil"/>
              <w:left w:val="nil"/>
              <w:bottom w:val="dotted" w:sz="4" w:space="0" w:color="auto"/>
              <w:right w:val="double" w:sz="6" w:space="0" w:color="auto"/>
            </w:tcBorders>
            <w:shd w:val="clear" w:color="auto" w:fill="auto"/>
            <w:vAlign w:val="center"/>
            <w:hideMark/>
          </w:tcPr>
          <w:p w14:paraId="18521081" w14:textId="77777777" w:rsidR="004B0AC2" w:rsidRPr="00092ED7" w:rsidRDefault="004B0AC2" w:rsidP="00FB09AE">
            <w:pPr>
              <w:spacing w:after="0"/>
              <w:jc w:val="right"/>
              <w:rPr>
                <w:sz w:val="20"/>
                <w:szCs w:val="20"/>
                <w:lang w:val="sr-Cyrl-CS"/>
              </w:rPr>
            </w:pPr>
            <w:r w:rsidRPr="00092ED7">
              <w:rPr>
                <w:sz w:val="20"/>
                <w:szCs w:val="20"/>
                <w:lang w:val="sr-Cyrl-CS"/>
              </w:rPr>
              <w:t>-129,1</w:t>
            </w:r>
          </w:p>
        </w:tc>
      </w:tr>
      <w:tr w:rsidR="004B0AC2" w:rsidRPr="00092ED7" w14:paraId="7BE662B2"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590826CA"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3. Ниво власти федералних јединица </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28C4EE93"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S1312</w:t>
            </w:r>
          </w:p>
        </w:tc>
        <w:tc>
          <w:tcPr>
            <w:tcW w:w="1074" w:type="dxa"/>
            <w:tcBorders>
              <w:top w:val="nil"/>
              <w:left w:val="nil"/>
              <w:bottom w:val="dotted" w:sz="4" w:space="0" w:color="auto"/>
              <w:right w:val="dotted" w:sz="4" w:space="0" w:color="auto"/>
            </w:tcBorders>
            <w:shd w:val="clear" w:color="auto" w:fill="auto"/>
            <w:vAlign w:val="center"/>
            <w:hideMark/>
          </w:tcPr>
          <w:p w14:paraId="2601330E"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tcBorders>
              <w:top w:val="nil"/>
              <w:left w:val="nil"/>
              <w:bottom w:val="dotted" w:sz="4" w:space="0" w:color="auto"/>
              <w:right w:val="dotted" w:sz="4" w:space="0" w:color="auto"/>
            </w:tcBorders>
            <w:shd w:val="clear" w:color="auto" w:fill="auto"/>
            <w:vAlign w:val="center"/>
            <w:hideMark/>
          </w:tcPr>
          <w:p w14:paraId="171055AA"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gridSpan w:val="2"/>
            <w:tcBorders>
              <w:top w:val="nil"/>
              <w:left w:val="nil"/>
              <w:bottom w:val="dotted" w:sz="4" w:space="0" w:color="auto"/>
              <w:right w:val="dotted" w:sz="4" w:space="0" w:color="auto"/>
            </w:tcBorders>
            <w:shd w:val="clear" w:color="auto" w:fill="auto"/>
            <w:vAlign w:val="center"/>
            <w:hideMark/>
          </w:tcPr>
          <w:p w14:paraId="68B3095C"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gridSpan w:val="2"/>
            <w:tcBorders>
              <w:top w:val="nil"/>
              <w:left w:val="nil"/>
              <w:bottom w:val="dotted" w:sz="4" w:space="0" w:color="auto"/>
              <w:right w:val="dotted" w:sz="4" w:space="0" w:color="auto"/>
            </w:tcBorders>
            <w:shd w:val="clear" w:color="auto" w:fill="auto"/>
            <w:vAlign w:val="center"/>
            <w:hideMark/>
          </w:tcPr>
          <w:p w14:paraId="377B0DE0"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tcBorders>
              <w:top w:val="nil"/>
              <w:left w:val="nil"/>
              <w:bottom w:val="dotted" w:sz="4" w:space="0" w:color="auto"/>
              <w:right w:val="dotted" w:sz="4" w:space="0" w:color="auto"/>
            </w:tcBorders>
            <w:shd w:val="clear" w:color="auto" w:fill="auto"/>
            <w:vAlign w:val="center"/>
            <w:hideMark/>
          </w:tcPr>
          <w:p w14:paraId="06D02318"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tcBorders>
              <w:top w:val="nil"/>
              <w:left w:val="nil"/>
              <w:bottom w:val="dotted" w:sz="4" w:space="0" w:color="auto"/>
              <w:right w:val="double" w:sz="6" w:space="0" w:color="auto"/>
            </w:tcBorders>
            <w:shd w:val="clear" w:color="auto" w:fill="auto"/>
            <w:vAlign w:val="center"/>
            <w:hideMark/>
          </w:tcPr>
          <w:p w14:paraId="79DF0597" w14:textId="77777777" w:rsidR="004B0AC2" w:rsidRPr="00092ED7" w:rsidRDefault="004B0AC2" w:rsidP="00FB09AE">
            <w:pPr>
              <w:spacing w:after="0"/>
              <w:jc w:val="right"/>
              <w:rPr>
                <w:sz w:val="20"/>
                <w:szCs w:val="20"/>
                <w:lang w:val="sr-Cyrl-CS"/>
              </w:rPr>
            </w:pPr>
            <w:r w:rsidRPr="00092ED7">
              <w:rPr>
                <w:sz w:val="20"/>
                <w:szCs w:val="20"/>
                <w:lang w:val="sr-Cyrl-CS"/>
              </w:rPr>
              <w:t> </w:t>
            </w:r>
          </w:p>
        </w:tc>
      </w:tr>
      <w:tr w:rsidR="004B0AC2" w:rsidRPr="00092ED7" w14:paraId="0F08A910"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506535C8"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4. Локална самоуправа</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55CD21E1"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S1313</w:t>
            </w:r>
          </w:p>
        </w:tc>
        <w:tc>
          <w:tcPr>
            <w:tcW w:w="1074" w:type="dxa"/>
            <w:tcBorders>
              <w:top w:val="nil"/>
              <w:left w:val="nil"/>
              <w:bottom w:val="dotted" w:sz="4" w:space="0" w:color="auto"/>
              <w:right w:val="dotted" w:sz="4" w:space="0" w:color="auto"/>
            </w:tcBorders>
            <w:shd w:val="clear" w:color="auto" w:fill="auto"/>
            <w:vAlign w:val="center"/>
            <w:hideMark/>
          </w:tcPr>
          <w:p w14:paraId="3999A7FB" w14:textId="77777777" w:rsidR="004B0AC2" w:rsidRPr="00092ED7" w:rsidRDefault="004B0AC2" w:rsidP="00FB09AE">
            <w:pPr>
              <w:spacing w:after="0"/>
              <w:jc w:val="right"/>
              <w:rPr>
                <w:sz w:val="20"/>
                <w:szCs w:val="20"/>
                <w:lang w:val="sr-Cyrl-CS"/>
              </w:rPr>
            </w:pPr>
            <w:r w:rsidRPr="00092ED7">
              <w:rPr>
                <w:sz w:val="20"/>
                <w:szCs w:val="20"/>
                <w:lang w:val="sr-Cyrl-CS"/>
              </w:rPr>
              <w:t>6,6</w:t>
            </w:r>
          </w:p>
        </w:tc>
        <w:tc>
          <w:tcPr>
            <w:tcW w:w="1074" w:type="dxa"/>
            <w:tcBorders>
              <w:top w:val="nil"/>
              <w:left w:val="nil"/>
              <w:bottom w:val="dotted" w:sz="4" w:space="0" w:color="auto"/>
              <w:right w:val="dotted" w:sz="4" w:space="0" w:color="auto"/>
            </w:tcBorders>
            <w:shd w:val="clear" w:color="auto" w:fill="auto"/>
            <w:vAlign w:val="center"/>
            <w:hideMark/>
          </w:tcPr>
          <w:p w14:paraId="56CE0998" w14:textId="77777777" w:rsidR="004B0AC2" w:rsidRPr="00092ED7" w:rsidRDefault="004B0AC2" w:rsidP="00FB09AE">
            <w:pPr>
              <w:spacing w:after="0"/>
              <w:jc w:val="right"/>
              <w:rPr>
                <w:sz w:val="20"/>
                <w:szCs w:val="20"/>
                <w:lang w:val="sr-Cyrl-CS"/>
              </w:rPr>
            </w:pPr>
            <w:r w:rsidRPr="00092ED7">
              <w:rPr>
                <w:sz w:val="20"/>
                <w:szCs w:val="20"/>
                <w:lang w:val="sr-Cyrl-CS"/>
              </w:rPr>
              <w:t>22,5</w:t>
            </w:r>
          </w:p>
        </w:tc>
        <w:tc>
          <w:tcPr>
            <w:tcW w:w="1074" w:type="dxa"/>
            <w:gridSpan w:val="2"/>
            <w:tcBorders>
              <w:top w:val="nil"/>
              <w:left w:val="nil"/>
              <w:bottom w:val="dotted" w:sz="4" w:space="0" w:color="auto"/>
              <w:right w:val="dotted" w:sz="4" w:space="0" w:color="auto"/>
            </w:tcBorders>
            <w:shd w:val="clear" w:color="auto" w:fill="auto"/>
            <w:vAlign w:val="center"/>
            <w:hideMark/>
          </w:tcPr>
          <w:p w14:paraId="3952FC03" w14:textId="77777777" w:rsidR="004B0AC2" w:rsidRPr="00092ED7" w:rsidRDefault="004B0AC2" w:rsidP="00FB09AE">
            <w:pPr>
              <w:spacing w:after="0"/>
              <w:jc w:val="right"/>
              <w:rPr>
                <w:sz w:val="20"/>
                <w:szCs w:val="20"/>
                <w:lang w:val="sr-Cyrl-CS"/>
              </w:rPr>
            </w:pPr>
            <w:r w:rsidRPr="00092ED7">
              <w:rPr>
                <w:sz w:val="20"/>
                <w:szCs w:val="20"/>
                <w:lang w:val="sr-Cyrl-CS"/>
              </w:rPr>
              <w:t>7,6</w:t>
            </w:r>
          </w:p>
        </w:tc>
        <w:tc>
          <w:tcPr>
            <w:tcW w:w="1074" w:type="dxa"/>
            <w:gridSpan w:val="2"/>
            <w:tcBorders>
              <w:top w:val="nil"/>
              <w:left w:val="nil"/>
              <w:bottom w:val="dotted" w:sz="4" w:space="0" w:color="auto"/>
              <w:right w:val="dotted" w:sz="4" w:space="0" w:color="auto"/>
            </w:tcBorders>
            <w:shd w:val="clear" w:color="auto" w:fill="auto"/>
            <w:vAlign w:val="center"/>
            <w:hideMark/>
          </w:tcPr>
          <w:p w14:paraId="3F9AD93B" w14:textId="77777777" w:rsidR="004B0AC2" w:rsidRPr="00092ED7" w:rsidRDefault="004B0AC2" w:rsidP="00FB09AE">
            <w:pPr>
              <w:spacing w:after="0"/>
              <w:jc w:val="right"/>
              <w:rPr>
                <w:sz w:val="20"/>
                <w:szCs w:val="20"/>
                <w:lang w:val="sr-Cyrl-CS"/>
              </w:rPr>
            </w:pPr>
            <w:r w:rsidRPr="00092ED7">
              <w:rPr>
                <w:sz w:val="20"/>
                <w:szCs w:val="20"/>
                <w:lang w:val="sr-Cyrl-CS"/>
              </w:rPr>
              <w:t>0,0</w:t>
            </w:r>
          </w:p>
        </w:tc>
        <w:tc>
          <w:tcPr>
            <w:tcW w:w="1074" w:type="dxa"/>
            <w:tcBorders>
              <w:top w:val="nil"/>
              <w:left w:val="nil"/>
              <w:bottom w:val="dotted" w:sz="4" w:space="0" w:color="auto"/>
              <w:right w:val="dotted" w:sz="4" w:space="0" w:color="auto"/>
            </w:tcBorders>
            <w:shd w:val="clear" w:color="auto" w:fill="auto"/>
            <w:vAlign w:val="center"/>
            <w:hideMark/>
          </w:tcPr>
          <w:p w14:paraId="328C739E" w14:textId="77777777" w:rsidR="004B0AC2" w:rsidRPr="00092ED7" w:rsidRDefault="004B0AC2" w:rsidP="00FB09AE">
            <w:pPr>
              <w:spacing w:after="0"/>
              <w:jc w:val="right"/>
              <w:rPr>
                <w:sz w:val="20"/>
                <w:szCs w:val="20"/>
                <w:lang w:val="sr-Cyrl-CS"/>
              </w:rPr>
            </w:pPr>
            <w:r w:rsidRPr="00092ED7">
              <w:rPr>
                <w:sz w:val="20"/>
                <w:szCs w:val="20"/>
                <w:lang w:val="sr-Cyrl-CS"/>
              </w:rPr>
              <w:t>0,0</w:t>
            </w:r>
          </w:p>
        </w:tc>
        <w:tc>
          <w:tcPr>
            <w:tcW w:w="1074" w:type="dxa"/>
            <w:tcBorders>
              <w:top w:val="nil"/>
              <w:left w:val="nil"/>
              <w:bottom w:val="dotted" w:sz="4" w:space="0" w:color="auto"/>
              <w:right w:val="double" w:sz="6" w:space="0" w:color="auto"/>
            </w:tcBorders>
            <w:shd w:val="clear" w:color="auto" w:fill="auto"/>
            <w:vAlign w:val="center"/>
            <w:hideMark/>
          </w:tcPr>
          <w:p w14:paraId="513C3D4E" w14:textId="77777777" w:rsidR="004B0AC2" w:rsidRPr="00092ED7" w:rsidRDefault="004B0AC2" w:rsidP="00FB09AE">
            <w:pPr>
              <w:spacing w:after="0"/>
              <w:jc w:val="right"/>
              <w:rPr>
                <w:sz w:val="20"/>
                <w:szCs w:val="20"/>
                <w:lang w:val="sr-Cyrl-CS"/>
              </w:rPr>
            </w:pPr>
            <w:r w:rsidRPr="00092ED7">
              <w:rPr>
                <w:sz w:val="20"/>
                <w:szCs w:val="20"/>
                <w:lang w:val="sr-Cyrl-CS"/>
              </w:rPr>
              <w:t>0,0</w:t>
            </w:r>
          </w:p>
        </w:tc>
      </w:tr>
      <w:tr w:rsidR="004B0AC2" w:rsidRPr="00092ED7" w14:paraId="2F8DCFE5" w14:textId="77777777" w:rsidTr="00FB09AE">
        <w:trPr>
          <w:trHeight w:val="255"/>
        </w:trPr>
        <w:tc>
          <w:tcPr>
            <w:tcW w:w="6640" w:type="dxa"/>
            <w:tcBorders>
              <w:top w:val="nil"/>
              <w:left w:val="double" w:sz="6" w:space="0" w:color="auto"/>
              <w:bottom w:val="single" w:sz="4" w:space="0" w:color="auto"/>
              <w:right w:val="nil"/>
            </w:tcBorders>
            <w:shd w:val="clear" w:color="auto" w:fill="auto"/>
            <w:vAlign w:val="center"/>
            <w:hideMark/>
          </w:tcPr>
          <w:p w14:paraId="5A4A887A"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5. Фондови социјалног осигурања</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78629CF7"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S1314</w:t>
            </w:r>
          </w:p>
        </w:tc>
        <w:tc>
          <w:tcPr>
            <w:tcW w:w="1074" w:type="dxa"/>
            <w:tcBorders>
              <w:top w:val="nil"/>
              <w:left w:val="nil"/>
              <w:bottom w:val="single" w:sz="4" w:space="0" w:color="auto"/>
              <w:right w:val="dotted" w:sz="4" w:space="0" w:color="auto"/>
            </w:tcBorders>
            <w:shd w:val="clear" w:color="auto" w:fill="auto"/>
            <w:vAlign w:val="center"/>
            <w:hideMark/>
          </w:tcPr>
          <w:p w14:paraId="7A2C981A" w14:textId="77777777" w:rsidR="004B0AC2" w:rsidRPr="00092ED7" w:rsidRDefault="004B0AC2" w:rsidP="00FB09AE">
            <w:pPr>
              <w:spacing w:after="0"/>
              <w:jc w:val="right"/>
              <w:rPr>
                <w:sz w:val="20"/>
                <w:szCs w:val="20"/>
                <w:lang w:val="sr-Cyrl-CS"/>
              </w:rPr>
            </w:pPr>
            <w:r w:rsidRPr="00092ED7">
              <w:rPr>
                <w:sz w:val="20"/>
                <w:szCs w:val="20"/>
                <w:lang w:val="sr-Cyrl-CS"/>
              </w:rPr>
              <w:t>9,0</w:t>
            </w:r>
          </w:p>
        </w:tc>
        <w:tc>
          <w:tcPr>
            <w:tcW w:w="1074" w:type="dxa"/>
            <w:tcBorders>
              <w:top w:val="nil"/>
              <w:left w:val="nil"/>
              <w:bottom w:val="single" w:sz="4" w:space="0" w:color="auto"/>
              <w:right w:val="dotted" w:sz="4" w:space="0" w:color="auto"/>
            </w:tcBorders>
            <w:shd w:val="clear" w:color="auto" w:fill="auto"/>
            <w:vAlign w:val="center"/>
            <w:hideMark/>
          </w:tcPr>
          <w:p w14:paraId="1BD41EB3" w14:textId="77777777" w:rsidR="004B0AC2" w:rsidRPr="00092ED7" w:rsidRDefault="004B0AC2" w:rsidP="00FB09AE">
            <w:pPr>
              <w:spacing w:after="0"/>
              <w:jc w:val="right"/>
              <w:rPr>
                <w:sz w:val="20"/>
                <w:szCs w:val="20"/>
                <w:lang w:val="sr-Cyrl-CS"/>
              </w:rPr>
            </w:pPr>
            <w:r w:rsidRPr="00092ED7">
              <w:rPr>
                <w:sz w:val="20"/>
                <w:szCs w:val="20"/>
                <w:lang w:val="sr-Cyrl-CS"/>
              </w:rPr>
              <w:t>3,4</w:t>
            </w:r>
          </w:p>
        </w:tc>
        <w:tc>
          <w:tcPr>
            <w:tcW w:w="1074" w:type="dxa"/>
            <w:gridSpan w:val="2"/>
            <w:tcBorders>
              <w:top w:val="nil"/>
              <w:left w:val="nil"/>
              <w:bottom w:val="single" w:sz="4" w:space="0" w:color="auto"/>
              <w:right w:val="dotted" w:sz="4" w:space="0" w:color="auto"/>
            </w:tcBorders>
            <w:shd w:val="clear" w:color="auto" w:fill="auto"/>
            <w:vAlign w:val="center"/>
            <w:hideMark/>
          </w:tcPr>
          <w:p w14:paraId="33AA793E" w14:textId="77777777" w:rsidR="004B0AC2" w:rsidRPr="00092ED7" w:rsidRDefault="004B0AC2" w:rsidP="00FB09AE">
            <w:pPr>
              <w:spacing w:after="0"/>
              <w:jc w:val="right"/>
              <w:rPr>
                <w:sz w:val="20"/>
                <w:szCs w:val="20"/>
                <w:lang w:val="sr-Cyrl-CS"/>
              </w:rPr>
            </w:pPr>
            <w:r w:rsidRPr="00092ED7">
              <w:rPr>
                <w:sz w:val="20"/>
                <w:szCs w:val="20"/>
                <w:lang w:val="sr-Cyrl-CS"/>
              </w:rPr>
              <w:t>0,0</w:t>
            </w:r>
          </w:p>
        </w:tc>
        <w:tc>
          <w:tcPr>
            <w:tcW w:w="1074" w:type="dxa"/>
            <w:gridSpan w:val="2"/>
            <w:tcBorders>
              <w:top w:val="nil"/>
              <w:left w:val="nil"/>
              <w:bottom w:val="single" w:sz="4" w:space="0" w:color="auto"/>
              <w:right w:val="dotted" w:sz="4" w:space="0" w:color="auto"/>
            </w:tcBorders>
            <w:shd w:val="clear" w:color="auto" w:fill="auto"/>
            <w:vAlign w:val="center"/>
            <w:hideMark/>
          </w:tcPr>
          <w:p w14:paraId="2DFA0C8D" w14:textId="77777777" w:rsidR="004B0AC2" w:rsidRPr="00092ED7" w:rsidRDefault="004B0AC2" w:rsidP="00FB09AE">
            <w:pPr>
              <w:spacing w:after="0"/>
              <w:jc w:val="right"/>
              <w:rPr>
                <w:sz w:val="20"/>
                <w:szCs w:val="20"/>
                <w:lang w:val="sr-Cyrl-CS"/>
              </w:rPr>
            </w:pPr>
            <w:r w:rsidRPr="00092ED7">
              <w:rPr>
                <w:sz w:val="20"/>
                <w:szCs w:val="20"/>
                <w:lang w:val="sr-Cyrl-CS"/>
              </w:rPr>
              <w:t>0,0</w:t>
            </w:r>
          </w:p>
        </w:tc>
        <w:tc>
          <w:tcPr>
            <w:tcW w:w="1074" w:type="dxa"/>
            <w:tcBorders>
              <w:top w:val="nil"/>
              <w:left w:val="nil"/>
              <w:bottom w:val="single" w:sz="4" w:space="0" w:color="auto"/>
              <w:right w:val="dotted" w:sz="4" w:space="0" w:color="auto"/>
            </w:tcBorders>
            <w:shd w:val="clear" w:color="auto" w:fill="auto"/>
            <w:vAlign w:val="center"/>
            <w:hideMark/>
          </w:tcPr>
          <w:p w14:paraId="6CC04C92" w14:textId="77777777" w:rsidR="004B0AC2" w:rsidRPr="00092ED7" w:rsidRDefault="004B0AC2" w:rsidP="00FB09AE">
            <w:pPr>
              <w:spacing w:after="0"/>
              <w:jc w:val="right"/>
              <w:rPr>
                <w:sz w:val="20"/>
                <w:szCs w:val="20"/>
                <w:lang w:val="sr-Cyrl-CS"/>
              </w:rPr>
            </w:pPr>
            <w:r w:rsidRPr="00092ED7">
              <w:rPr>
                <w:sz w:val="20"/>
                <w:szCs w:val="20"/>
                <w:lang w:val="sr-Cyrl-CS"/>
              </w:rPr>
              <w:t>0,0</w:t>
            </w:r>
          </w:p>
        </w:tc>
        <w:tc>
          <w:tcPr>
            <w:tcW w:w="1074" w:type="dxa"/>
            <w:tcBorders>
              <w:top w:val="nil"/>
              <w:left w:val="nil"/>
              <w:bottom w:val="single" w:sz="4" w:space="0" w:color="auto"/>
              <w:right w:val="double" w:sz="6" w:space="0" w:color="auto"/>
            </w:tcBorders>
            <w:shd w:val="clear" w:color="auto" w:fill="auto"/>
            <w:vAlign w:val="center"/>
            <w:hideMark/>
          </w:tcPr>
          <w:p w14:paraId="28466497" w14:textId="77777777" w:rsidR="004B0AC2" w:rsidRPr="00092ED7" w:rsidRDefault="004B0AC2" w:rsidP="00FB09AE">
            <w:pPr>
              <w:spacing w:after="0"/>
              <w:jc w:val="right"/>
              <w:rPr>
                <w:sz w:val="20"/>
                <w:szCs w:val="20"/>
                <w:lang w:val="sr-Cyrl-CS"/>
              </w:rPr>
            </w:pPr>
            <w:r w:rsidRPr="00092ED7">
              <w:rPr>
                <w:sz w:val="20"/>
                <w:szCs w:val="20"/>
                <w:lang w:val="sr-Cyrl-CS"/>
              </w:rPr>
              <w:t>0,0</w:t>
            </w:r>
          </w:p>
        </w:tc>
      </w:tr>
      <w:tr w:rsidR="004B0AC2" w:rsidRPr="00092ED7" w14:paraId="2A1493A1" w14:textId="77777777" w:rsidTr="00FB09AE">
        <w:trPr>
          <w:trHeight w:val="255"/>
        </w:trPr>
        <w:tc>
          <w:tcPr>
            <w:tcW w:w="6640" w:type="dxa"/>
            <w:tcBorders>
              <w:top w:val="nil"/>
              <w:left w:val="double" w:sz="6" w:space="0" w:color="auto"/>
              <w:bottom w:val="single" w:sz="4" w:space="0" w:color="auto"/>
              <w:right w:val="nil"/>
            </w:tcBorders>
            <w:shd w:val="clear" w:color="auto" w:fill="auto"/>
            <w:vAlign w:val="center"/>
            <w:hideMark/>
          </w:tcPr>
          <w:p w14:paraId="6E6D5244" w14:textId="77777777" w:rsidR="004B0AC2" w:rsidRPr="00092ED7" w:rsidRDefault="004B0AC2" w:rsidP="00FB09AE">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Општа ниво државе</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72F9DEE1" w14:textId="77777777" w:rsidR="004B0AC2" w:rsidRPr="00092ED7" w:rsidRDefault="004B0AC2" w:rsidP="00FB09AE">
            <w:pPr>
              <w:spacing w:after="0"/>
              <w:jc w:val="center"/>
              <w:rPr>
                <w:rFonts w:eastAsia="Times New Roman" w:cs="Times New Roman"/>
                <w:b/>
                <w:bCs/>
                <w:sz w:val="20"/>
                <w:szCs w:val="20"/>
                <w:lang w:val="sr-Cyrl-CS"/>
              </w:rPr>
            </w:pPr>
          </w:p>
        </w:tc>
        <w:tc>
          <w:tcPr>
            <w:tcW w:w="1074" w:type="dxa"/>
            <w:tcBorders>
              <w:top w:val="nil"/>
              <w:left w:val="nil"/>
              <w:bottom w:val="single" w:sz="4" w:space="0" w:color="auto"/>
              <w:right w:val="nil"/>
            </w:tcBorders>
            <w:shd w:val="clear" w:color="auto" w:fill="auto"/>
            <w:vAlign w:val="center"/>
            <w:hideMark/>
          </w:tcPr>
          <w:p w14:paraId="76E85865"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nil"/>
            </w:tcBorders>
            <w:shd w:val="clear" w:color="auto" w:fill="auto"/>
            <w:vAlign w:val="center"/>
            <w:hideMark/>
          </w:tcPr>
          <w:p w14:paraId="4A9401DE"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gridSpan w:val="2"/>
            <w:tcBorders>
              <w:top w:val="nil"/>
              <w:left w:val="nil"/>
              <w:bottom w:val="single" w:sz="4" w:space="0" w:color="auto"/>
              <w:right w:val="nil"/>
            </w:tcBorders>
            <w:shd w:val="clear" w:color="auto" w:fill="auto"/>
            <w:vAlign w:val="center"/>
            <w:hideMark/>
          </w:tcPr>
          <w:p w14:paraId="2B188022"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gridSpan w:val="2"/>
            <w:tcBorders>
              <w:top w:val="nil"/>
              <w:left w:val="nil"/>
              <w:bottom w:val="single" w:sz="4" w:space="0" w:color="auto"/>
              <w:right w:val="nil"/>
            </w:tcBorders>
            <w:shd w:val="clear" w:color="auto" w:fill="auto"/>
            <w:vAlign w:val="center"/>
            <w:hideMark/>
          </w:tcPr>
          <w:p w14:paraId="65F87410"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nil"/>
            </w:tcBorders>
            <w:shd w:val="clear" w:color="auto" w:fill="auto"/>
            <w:vAlign w:val="center"/>
            <w:hideMark/>
          </w:tcPr>
          <w:p w14:paraId="0789703E"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double" w:sz="6" w:space="0" w:color="auto"/>
            </w:tcBorders>
            <w:shd w:val="clear" w:color="auto" w:fill="auto"/>
            <w:vAlign w:val="center"/>
            <w:hideMark/>
          </w:tcPr>
          <w:p w14:paraId="3EA3B99D"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r>
      <w:tr w:rsidR="004B0AC2" w:rsidRPr="00092ED7" w14:paraId="731E2CD0"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727047ED"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6. Укупни приходи</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58843107"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TR</w:t>
            </w:r>
          </w:p>
        </w:tc>
        <w:tc>
          <w:tcPr>
            <w:tcW w:w="1074" w:type="dxa"/>
            <w:tcBorders>
              <w:top w:val="nil"/>
              <w:left w:val="nil"/>
              <w:bottom w:val="dotted" w:sz="4" w:space="0" w:color="auto"/>
              <w:right w:val="dotted" w:sz="4" w:space="0" w:color="auto"/>
            </w:tcBorders>
            <w:shd w:val="clear" w:color="auto" w:fill="auto"/>
            <w:vAlign w:val="center"/>
            <w:hideMark/>
          </w:tcPr>
          <w:p w14:paraId="6259C2F7" w14:textId="77777777" w:rsidR="004B0AC2" w:rsidRPr="00092ED7" w:rsidRDefault="004B0AC2" w:rsidP="00FB09AE">
            <w:pPr>
              <w:spacing w:after="0"/>
              <w:jc w:val="right"/>
              <w:rPr>
                <w:sz w:val="20"/>
                <w:szCs w:val="20"/>
                <w:lang w:val="sr-Cyrl-CS"/>
              </w:rPr>
            </w:pPr>
            <w:r w:rsidRPr="00092ED7">
              <w:rPr>
                <w:sz w:val="20"/>
                <w:szCs w:val="20"/>
                <w:lang w:val="sr-Cyrl-CS"/>
              </w:rPr>
              <w:t>2.255,0</w:t>
            </w:r>
          </w:p>
        </w:tc>
        <w:tc>
          <w:tcPr>
            <w:tcW w:w="1074" w:type="dxa"/>
            <w:tcBorders>
              <w:top w:val="nil"/>
              <w:left w:val="nil"/>
              <w:bottom w:val="dotted" w:sz="4" w:space="0" w:color="auto"/>
              <w:right w:val="dotted" w:sz="4" w:space="0" w:color="auto"/>
            </w:tcBorders>
            <w:shd w:val="clear" w:color="auto" w:fill="auto"/>
            <w:vAlign w:val="center"/>
            <w:hideMark/>
          </w:tcPr>
          <w:p w14:paraId="28996D60" w14:textId="77777777" w:rsidR="004B0AC2" w:rsidRPr="00092ED7" w:rsidRDefault="004B0AC2" w:rsidP="00FB09AE">
            <w:pPr>
              <w:spacing w:after="0"/>
              <w:jc w:val="right"/>
              <w:rPr>
                <w:sz w:val="20"/>
                <w:szCs w:val="20"/>
                <w:lang w:val="sr-Cyrl-CS"/>
              </w:rPr>
            </w:pPr>
            <w:r w:rsidRPr="00092ED7">
              <w:rPr>
                <w:sz w:val="20"/>
                <w:szCs w:val="20"/>
                <w:lang w:val="sr-Cyrl-CS"/>
              </w:rPr>
              <w:t>2.711,9</w:t>
            </w:r>
          </w:p>
        </w:tc>
        <w:tc>
          <w:tcPr>
            <w:tcW w:w="1074" w:type="dxa"/>
            <w:gridSpan w:val="2"/>
            <w:tcBorders>
              <w:top w:val="nil"/>
              <w:left w:val="nil"/>
              <w:bottom w:val="dotted" w:sz="4" w:space="0" w:color="auto"/>
              <w:right w:val="dotted" w:sz="4" w:space="0" w:color="auto"/>
            </w:tcBorders>
            <w:shd w:val="clear" w:color="auto" w:fill="auto"/>
            <w:vAlign w:val="center"/>
            <w:hideMark/>
          </w:tcPr>
          <w:p w14:paraId="2105C814" w14:textId="77777777" w:rsidR="004B0AC2" w:rsidRPr="00092ED7" w:rsidRDefault="004B0AC2" w:rsidP="00FB09AE">
            <w:pPr>
              <w:spacing w:after="0"/>
              <w:jc w:val="right"/>
              <w:rPr>
                <w:sz w:val="20"/>
                <w:szCs w:val="20"/>
                <w:lang w:val="sr-Cyrl-CS"/>
              </w:rPr>
            </w:pPr>
            <w:r w:rsidRPr="00092ED7">
              <w:rPr>
                <w:sz w:val="20"/>
                <w:szCs w:val="20"/>
                <w:lang w:val="sr-Cyrl-CS"/>
              </w:rPr>
              <w:t>3.045,8</w:t>
            </w:r>
          </w:p>
        </w:tc>
        <w:tc>
          <w:tcPr>
            <w:tcW w:w="1074" w:type="dxa"/>
            <w:gridSpan w:val="2"/>
            <w:tcBorders>
              <w:top w:val="nil"/>
              <w:left w:val="nil"/>
              <w:bottom w:val="dotted" w:sz="4" w:space="0" w:color="auto"/>
              <w:right w:val="dotted" w:sz="4" w:space="0" w:color="auto"/>
            </w:tcBorders>
            <w:shd w:val="clear" w:color="auto" w:fill="auto"/>
            <w:vAlign w:val="center"/>
            <w:hideMark/>
          </w:tcPr>
          <w:p w14:paraId="75D976B0" w14:textId="77777777" w:rsidR="004B0AC2" w:rsidRPr="00092ED7" w:rsidRDefault="004B0AC2" w:rsidP="00FB09AE">
            <w:pPr>
              <w:spacing w:after="0"/>
              <w:jc w:val="right"/>
              <w:rPr>
                <w:sz w:val="20"/>
                <w:szCs w:val="20"/>
                <w:lang w:val="sr-Cyrl-CS"/>
              </w:rPr>
            </w:pPr>
            <w:r w:rsidRPr="00092ED7">
              <w:rPr>
                <w:sz w:val="20"/>
                <w:szCs w:val="20"/>
                <w:lang w:val="sr-Cyrl-CS"/>
              </w:rPr>
              <w:t>3.283,5</w:t>
            </w:r>
          </w:p>
        </w:tc>
        <w:tc>
          <w:tcPr>
            <w:tcW w:w="1074" w:type="dxa"/>
            <w:tcBorders>
              <w:top w:val="nil"/>
              <w:left w:val="nil"/>
              <w:bottom w:val="dotted" w:sz="4" w:space="0" w:color="auto"/>
              <w:right w:val="dotted" w:sz="4" w:space="0" w:color="auto"/>
            </w:tcBorders>
            <w:shd w:val="clear" w:color="auto" w:fill="auto"/>
            <w:vAlign w:val="center"/>
            <w:hideMark/>
          </w:tcPr>
          <w:p w14:paraId="32AB2C75" w14:textId="77777777" w:rsidR="004B0AC2" w:rsidRPr="00092ED7" w:rsidRDefault="004B0AC2" w:rsidP="00FB09AE">
            <w:pPr>
              <w:spacing w:after="0"/>
              <w:jc w:val="right"/>
              <w:rPr>
                <w:sz w:val="20"/>
                <w:szCs w:val="20"/>
                <w:lang w:val="sr-Cyrl-CS"/>
              </w:rPr>
            </w:pPr>
            <w:r w:rsidRPr="00092ED7">
              <w:rPr>
                <w:sz w:val="20"/>
                <w:szCs w:val="20"/>
                <w:lang w:val="sr-Cyrl-CS"/>
              </w:rPr>
              <w:t>3.543,8</w:t>
            </w:r>
          </w:p>
        </w:tc>
        <w:tc>
          <w:tcPr>
            <w:tcW w:w="1074" w:type="dxa"/>
            <w:tcBorders>
              <w:top w:val="nil"/>
              <w:left w:val="nil"/>
              <w:bottom w:val="dotted" w:sz="4" w:space="0" w:color="auto"/>
              <w:right w:val="double" w:sz="6" w:space="0" w:color="auto"/>
            </w:tcBorders>
            <w:shd w:val="clear" w:color="auto" w:fill="auto"/>
            <w:vAlign w:val="center"/>
            <w:hideMark/>
          </w:tcPr>
          <w:p w14:paraId="6BD55B58" w14:textId="77777777" w:rsidR="004B0AC2" w:rsidRPr="00092ED7" w:rsidRDefault="004B0AC2" w:rsidP="00FB09AE">
            <w:pPr>
              <w:spacing w:after="0"/>
              <w:jc w:val="right"/>
              <w:rPr>
                <w:sz w:val="20"/>
                <w:szCs w:val="20"/>
                <w:lang w:val="sr-Cyrl-CS"/>
              </w:rPr>
            </w:pPr>
            <w:r w:rsidRPr="00092ED7">
              <w:rPr>
                <w:sz w:val="20"/>
                <w:szCs w:val="20"/>
                <w:lang w:val="sr-Cyrl-CS"/>
              </w:rPr>
              <w:t>3.772,7</w:t>
            </w:r>
          </w:p>
        </w:tc>
      </w:tr>
      <w:tr w:rsidR="004B0AC2" w:rsidRPr="00092ED7" w14:paraId="0BD5F2B2" w14:textId="77777777" w:rsidTr="00FB09AE">
        <w:trPr>
          <w:trHeight w:val="255"/>
        </w:trPr>
        <w:tc>
          <w:tcPr>
            <w:tcW w:w="6640" w:type="dxa"/>
            <w:tcBorders>
              <w:top w:val="nil"/>
              <w:left w:val="double" w:sz="6" w:space="0" w:color="auto"/>
              <w:bottom w:val="nil"/>
              <w:right w:val="single" w:sz="8" w:space="0" w:color="auto"/>
            </w:tcBorders>
            <w:shd w:val="clear" w:color="auto" w:fill="auto"/>
            <w:noWrap/>
            <w:vAlign w:val="center"/>
            <w:hideMark/>
          </w:tcPr>
          <w:p w14:paraId="67AA0C7D" w14:textId="77777777" w:rsidR="004B0AC2" w:rsidRPr="00092ED7" w:rsidRDefault="00000000" w:rsidP="00FB09AE">
            <w:pPr>
              <w:spacing w:after="0"/>
              <w:jc w:val="left"/>
              <w:rPr>
                <w:rFonts w:eastAsia="Times New Roman" w:cs="Times New Roman"/>
                <w:sz w:val="20"/>
                <w:szCs w:val="20"/>
                <w:lang w:val="sr-Cyrl-CS"/>
              </w:rPr>
            </w:pPr>
            <w:hyperlink r:id="rId51" w:anchor="RANGE!B139" w:history="1">
              <w:r w:rsidR="004B0AC2" w:rsidRPr="00092ED7">
                <w:rPr>
                  <w:rFonts w:eastAsia="Times New Roman" w:cs="Times New Roman"/>
                  <w:sz w:val="20"/>
                  <w:szCs w:val="20"/>
                  <w:lang w:val="sr-Cyrl-CS"/>
                </w:rPr>
                <w:t>7. Укупни расходи[1]</w:t>
              </w:r>
            </w:hyperlink>
          </w:p>
        </w:tc>
        <w:tc>
          <w:tcPr>
            <w:tcW w:w="1417" w:type="dxa"/>
            <w:tcBorders>
              <w:top w:val="nil"/>
              <w:left w:val="nil"/>
              <w:bottom w:val="dotted" w:sz="4" w:space="0" w:color="auto"/>
              <w:right w:val="single" w:sz="8" w:space="0" w:color="auto"/>
            </w:tcBorders>
            <w:shd w:val="clear" w:color="auto" w:fill="auto"/>
            <w:vAlign w:val="center"/>
            <w:hideMark/>
          </w:tcPr>
          <w:p w14:paraId="01AE0B07"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TE</w:t>
            </w:r>
          </w:p>
        </w:tc>
        <w:tc>
          <w:tcPr>
            <w:tcW w:w="1074" w:type="dxa"/>
            <w:tcBorders>
              <w:top w:val="nil"/>
              <w:left w:val="nil"/>
              <w:bottom w:val="dotted" w:sz="4" w:space="0" w:color="auto"/>
              <w:right w:val="dotted" w:sz="4" w:space="0" w:color="auto"/>
            </w:tcBorders>
            <w:shd w:val="clear" w:color="auto" w:fill="auto"/>
            <w:vAlign w:val="center"/>
            <w:hideMark/>
          </w:tcPr>
          <w:p w14:paraId="0CE9C970" w14:textId="77777777" w:rsidR="004B0AC2" w:rsidRPr="00092ED7" w:rsidRDefault="004B0AC2" w:rsidP="00FB09AE">
            <w:pPr>
              <w:spacing w:after="0"/>
              <w:jc w:val="right"/>
              <w:rPr>
                <w:sz w:val="20"/>
                <w:szCs w:val="20"/>
                <w:lang w:val="sr-Cyrl-CS"/>
              </w:rPr>
            </w:pPr>
            <w:r w:rsidRPr="00092ED7">
              <w:rPr>
                <w:sz w:val="20"/>
                <w:szCs w:val="20"/>
                <w:lang w:val="sr-Cyrl-CS"/>
              </w:rPr>
              <w:t>2.697,7</w:t>
            </w:r>
          </w:p>
        </w:tc>
        <w:tc>
          <w:tcPr>
            <w:tcW w:w="1074" w:type="dxa"/>
            <w:tcBorders>
              <w:top w:val="nil"/>
              <w:left w:val="nil"/>
              <w:bottom w:val="dotted" w:sz="4" w:space="0" w:color="auto"/>
              <w:right w:val="dotted" w:sz="4" w:space="0" w:color="auto"/>
            </w:tcBorders>
            <w:shd w:val="clear" w:color="auto" w:fill="auto"/>
            <w:vAlign w:val="center"/>
            <w:hideMark/>
          </w:tcPr>
          <w:p w14:paraId="7FE18283" w14:textId="77777777" w:rsidR="004B0AC2" w:rsidRPr="00092ED7" w:rsidRDefault="004B0AC2" w:rsidP="00FB09AE">
            <w:pPr>
              <w:spacing w:after="0"/>
              <w:jc w:val="right"/>
              <w:rPr>
                <w:sz w:val="20"/>
                <w:szCs w:val="20"/>
                <w:lang w:val="sr-Cyrl-CS"/>
              </w:rPr>
            </w:pPr>
            <w:r w:rsidRPr="00092ED7">
              <w:rPr>
                <w:sz w:val="20"/>
                <w:szCs w:val="20"/>
                <w:lang w:val="sr-Cyrl-CS"/>
              </w:rPr>
              <w:t>2.971,3</w:t>
            </w:r>
          </w:p>
        </w:tc>
        <w:tc>
          <w:tcPr>
            <w:tcW w:w="1074" w:type="dxa"/>
            <w:gridSpan w:val="2"/>
            <w:tcBorders>
              <w:top w:val="nil"/>
              <w:left w:val="nil"/>
              <w:bottom w:val="dotted" w:sz="4" w:space="0" w:color="auto"/>
              <w:right w:val="dotted" w:sz="4" w:space="0" w:color="auto"/>
            </w:tcBorders>
            <w:shd w:val="clear" w:color="auto" w:fill="auto"/>
            <w:vAlign w:val="center"/>
            <w:hideMark/>
          </w:tcPr>
          <w:p w14:paraId="0958CE99" w14:textId="77777777" w:rsidR="004B0AC2" w:rsidRPr="00092ED7" w:rsidRDefault="004B0AC2" w:rsidP="00FB09AE">
            <w:pPr>
              <w:spacing w:after="0"/>
              <w:jc w:val="right"/>
              <w:rPr>
                <w:sz w:val="20"/>
                <w:szCs w:val="20"/>
                <w:lang w:val="sr-Cyrl-CS"/>
              </w:rPr>
            </w:pPr>
            <w:r w:rsidRPr="00092ED7">
              <w:rPr>
                <w:sz w:val="20"/>
                <w:szCs w:val="20"/>
                <w:lang w:val="sr-Cyrl-CS"/>
              </w:rPr>
              <w:t>3.317,3</w:t>
            </w:r>
          </w:p>
        </w:tc>
        <w:tc>
          <w:tcPr>
            <w:tcW w:w="1074" w:type="dxa"/>
            <w:gridSpan w:val="2"/>
            <w:tcBorders>
              <w:top w:val="nil"/>
              <w:left w:val="nil"/>
              <w:bottom w:val="dotted" w:sz="4" w:space="0" w:color="auto"/>
              <w:right w:val="dotted" w:sz="4" w:space="0" w:color="auto"/>
            </w:tcBorders>
            <w:shd w:val="clear" w:color="auto" w:fill="auto"/>
            <w:vAlign w:val="center"/>
            <w:hideMark/>
          </w:tcPr>
          <w:p w14:paraId="2EFA873E" w14:textId="77777777" w:rsidR="004B0AC2" w:rsidRPr="00092ED7" w:rsidRDefault="004B0AC2" w:rsidP="00FB09AE">
            <w:pPr>
              <w:spacing w:after="0"/>
              <w:jc w:val="right"/>
              <w:rPr>
                <w:sz w:val="20"/>
                <w:szCs w:val="20"/>
                <w:lang w:val="sr-Cyrl-CS"/>
              </w:rPr>
            </w:pPr>
            <w:r w:rsidRPr="00092ED7">
              <w:rPr>
                <w:sz w:val="20"/>
                <w:szCs w:val="20"/>
                <w:lang w:val="sr-Cyrl-CS"/>
              </w:rPr>
              <w:t>3.547,5</w:t>
            </w:r>
          </w:p>
        </w:tc>
        <w:tc>
          <w:tcPr>
            <w:tcW w:w="1074" w:type="dxa"/>
            <w:tcBorders>
              <w:top w:val="nil"/>
              <w:left w:val="nil"/>
              <w:bottom w:val="dotted" w:sz="4" w:space="0" w:color="auto"/>
              <w:right w:val="dotted" w:sz="4" w:space="0" w:color="auto"/>
            </w:tcBorders>
            <w:shd w:val="clear" w:color="auto" w:fill="auto"/>
            <w:vAlign w:val="center"/>
            <w:hideMark/>
          </w:tcPr>
          <w:p w14:paraId="5C23302F" w14:textId="77777777" w:rsidR="004B0AC2" w:rsidRPr="00092ED7" w:rsidRDefault="004B0AC2" w:rsidP="00FB09AE">
            <w:pPr>
              <w:spacing w:after="0"/>
              <w:jc w:val="right"/>
              <w:rPr>
                <w:sz w:val="20"/>
                <w:szCs w:val="20"/>
                <w:lang w:val="sr-Cyrl-CS"/>
              </w:rPr>
            </w:pPr>
            <w:r w:rsidRPr="00092ED7">
              <w:rPr>
                <w:sz w:val="20"/>
                <w:szCs w:val="20"/>
                <w:lang w:val="sr-Cyrl-CS"/>
              </w:rPr>
              <w:t>3.733,1</w:t>
            </w:r>
          </w:p>
        </w:tc>
        <w:tc>
          <w:tcPr>
            <w:tcW w:w="1074" w:type="dxa"/>
            <w:tcBorders>
              <w:top w:val="nil"/>
              <w:left w:val="nil"/>
              <w:bottom w:val="dotted" w:sz="4" w:space="0" w:color="auto"/>
              <w:right w:val="double" w:sz="6" w:space="0" w:color="auto"/>
            </w:tcBorders>
            <w:shd w:val="clear" w:color="auto" w:fill="auto"/>
            <w:vAlign w:val="center"/>
            <w:hideMark/>
          </w:tcPr>
          <w:p w14:paraId="4CFC7309" w14:textId="77777777" w:rsidR="004B0AC2" w:rsidRPr="00092ED7" w:rsidRDefault="004B0AC2" w:rsidP="00FB09AE">
            <w:pPr>
              <w:spacing w:after="0"/>
              <w:jc w:val="right"/>
              <w:rPr>
                <w:sz w:val="20"/>
                <w:szCs w:val="20"/>
                <w:lang w:val="sr-Cyrl-CS"/>
              </w:rPr>
            </w:pPr>
            <w:r w:rsidRPr="00092ED7">
              <w:rPr>
                <w:sz w:val="20"/>
                <w:szCs w:val="20"/>
                <w:lang w:val="sr-Cyrl-CS"/>
              </w:rPr>
              <w:t>3.901,8</w:t>
            </w:r>
          </w:p>
        </w:tc>
      </w:tr>
      <w:tr w:rsidR="004B0AC2" w:rsidRPr="00092ED7" w14:paraId="344E0148" w14:textId="77777777" w:rsidTr="00FB09AE">
        <w:trPr>
          <w:trHeight w:val="255"/>
        </w:trPr>
        <w:tc>
          <w:tcPr>
            <w:tcW w:w="6640" w:type="dxa"/>
            <w:tcBorders>
              <w:top w:val="nil"/>
              <w:left w:val="double" w:sz="6" w:space="0" w:color="auto"/>
              <w:bottom w:val="dotted" w:sz="4" w:space="0" w:color="auto"/>
              <w:right w:val="single" w:sz="8" w:space="0" w:color="auto"/>
            </w:tcBorders>
            <w:shd w:val="clear" w:color="auto" w:fill="auto"/>
            <w:vAlign w:val="center"/>
            <w:hideMark/>
          </w:tcPr>
          <w:p w14:paraId="29CC42A6"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8. Нето дате/узете позајмице</w:t>
            </w:r>
          </w:p>
        </w:tc>
        <w:tc>
          <w:tcPr>
            <w:tcW w:w="1417" w:type="dxa"/>
            <w:tcBorders>
              <w:top w:val="nil"/>
              <w:left w:val="nil"/>
              <w:bottom w:val="dotted" w:sz="4" w:space="0" w:color="auto"/>
              <w:right w:val="single" w:sz="8" w:space="0" w:color="auto"/>
            </w:tcBorders>
            <w:shd w:val="clear" w:color="auto" w:fill="auto"/>
            <w:vAlign w:val="center"/>
            <w:hideMark/>
          </w:tcPr>
          <w:p w14:paraId="1C25A5AF"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EDP.B9</w:t>
            </w:r>
          </w:p>
        </w:tc>
        <w:tc>
          <w:tcPr>
            <w:tcW w:w="1074" w:type="dxa"/>
            <w:tcBorders>
              <w:top w:val="nil"/>
              <w:left w:val="nil"/>
              <w:bottom w:val="dotted" w:sz="4" w:space="0" w:color="auto"/>
              <w:right w:val="dotted" w:sz="4" w:space="0" w:color="auto"/>
            </w:tcBorders>
            <w:shd w:val="clear" w:color="auto" w:fill="auto"/>
            <w:vAlign w:val="center"/>
            <w:hideMark/>
          </w:tcPr>
          <w:p w14:paraId="6B51FA12" w14:textId="77777777" w:rsidR="004B0AC2" w:rsidRPr="00092ED7" w:rsidRDefault="004B0AC2" w:rsidP="00FB09AE">
            <w:pPr>
              <w:spacing w:after="0"/>
              <w:jc w:val="right"/>
              <w:rPr>
                <w:sz w:val="20"/>
                <w:szCs w:val="20"/>
                <w:lang w:val="sr-Cyrl-CS"/>
              </w:rPr>
            </w:pPr>
            <w:r w:rsidRPr="00092ED7">
              <w:rPr>
                <w:sz w:val="20"/>
                <w:szCs w:val="20"/>
                <w:lang w:val="sr-Cyrl-CS"/>
              </w:rPr>
              <w:t>-442,8</w:t>
            </w:r>
          </w:p>
        </w:tc>
        <w:tc>
          <w:tcPr>
            <w:tcW w:w="1074" w:type="dxa"/>
            <w:tcBorders>
              <w:top w:val="nil"/>
              <w:left w:val="nil"/>
              <w:bottom w:val="dotted" w:sz="4" w:space="0" w:color="auto"/>
              <w:right w:val="dotted" w:sz="4" w:space="0" w:color="auto"/>
            </w:tcBorders>
            <w:shd w:val="clear" w:color="auto" w:fill="auto"/>
            <w:vAlign w:val="center"/>
            <w:hideMark/>
          </w:tcPr>
          <w:p w14:paraId="42F37A07" w14:textId="77777777" w:rsidR="004B0AC2" w:rsidRPr="00092ED7" w:rsidRDefault="004B0AC2" w:rsidP="00FB09AE">
            <w:pPr>
              <w:spacing w:after="0"/>
              <w:jc w:val="right"/>
              <w:rPr>
                <w:sz w:val="20"/>
                <w:szCs w:val="20"/>
                <w:lang w:val="sr-Cyrl-CS"/>
              </w:rPr>
            </w:pPr>
            <w:r w:rsidRPr="00092ED7">
              <w:rPr>
                <w:sz w:val="20"/>
                <w:szCs w:val="20"/>
                <w:lang w:val="sr-Cyrl-CS"/>
              </w:rPr>
              <w:t>-259,4</w:t>
            </w:r>
          </w:p>
        </w:tc>
        <w:tc>
          <w:tcPr>
            <w:tcW w:w="1074" w:type="dxa"/>
            <w:gridSpan w:val="2"/>
            <w:tcBorders>
              <w:top w:val="nil"/>
              <w:left w:val="nil"/>
              <w:bottom w:val="dotted" w:sz="4" w:space="0" w:color="auto"/>
              <w:right w:val="dotted" w:sz="4" w:space="0" w:color="auto"/>
            </w:tcBorders>
            <w:shd w:val="clear" w:color="auto" w:fill="auto"/>
            <w:vAlign w:val="center"/>
            <w:hideMark/>
          </w:tcPr>
          <w:p w14:paraId="119D3131" w14:textId="77777777" w:rsidR="004B0AC2" w:rsidRPr="00092ED7" w:rsidRDefault="004B0AC2" w:rsidP="00FB09AE">
            <w:pPr>
              <w:spacing w:after="0"/>
              <w:jc w:val="right"/>
              <w:rPr>
                <w:sz w:val="20"/>
                <w:szCs w:val="20"/>
                <w:lang w:val="sr-Cyrl-CS"/>
              </w:rPr>
            </w:pPr>
            <w:r w:rsidRPr="00092ED7">
              <w:rPr>
                <w:sz w:val="20"/>
                <w:szCs w:val="20"/>
                <w:lang w:val="sr-Cyrl-CS"/>
              </w:rPr>
              <w:t>-271,5</w:t>
            </w:r>
          </w:p>
        </w:tc>
        <w:tc>
          <w:tcPr>
            <w:tcW w:w="1074" w:type="dxa"/>
            <w:gridSpan w:val="2"/>
            <w:tcBorders>
              <w:top w:val="nil"/>
              <w:left w:val="nil"/>
              <w:bottom w:val="dotted" w:sz="4" w:space="0" w:color="auto"/>
              <w:right w:val="dotted" w:sz="4" w:space="0" w:color="auto"/>
            </w:tcBorders>
            <w:shd w:val="clear" w:color="auto" w:fill="auto"/>
            <w:vAlign w:val="center"/>
            <w:hideMark/>
          </w:tcPr>
          <w:p w14:paraId="5674E5B0" w14:textId="77777777" w:rsidR="004B0AC2" w:rsidRPr="00092ED7" w:rsidRDefault="004B0AC2" w:rsidP="00FB09AE">
            <w:pPr>
              <w:spacing w:after="0"/>
              <w:jc w:val="right"/>
              <w:rPr>
                <w:sz w:val="20"/>
                <w:szCs w:val="20"/>
                <w:lang w:val="sr-Cyrl-CS"/>
              </w:rPr>
            </w:pPr>
            <w:r w:rsidRPr="00092ED7">
              <w:rPr>
                <w:sz w:val="20"/>
                <w:szCs w:val="20"/>
                <w:lang w:val="sr-Cyrl-CS"/>
              </w:rPr>
              <w:t>-264,0</w:t>
            </w:r>
          </w:p>
        </w:tc>
        <w:tc>
          <w:tcPr>
            <w:tcW w:w="1074" w:type="dxa"/>
            <w:tcBorders>
              <w:top w:val="nil"/>
              <w:left w:val="nil"/>
              <w:bottom w:val="dotted" w:sz="4" w:space="0" w:color="auto"/>
              <w:right w:val="dotted" w:sz="4" w:space="0" w:color="auto"/>
            </w:tcBorders>
            <w:shd w:val="clear" w:color="auto" w:fill="auto"/>
            <w:vAlign w:val="center"/>
            <w:hideMark/>
          </w:tcPr>
          <w:p w14:paraId="5D9C7650" w14:textId="77777777" w:rsidR="004B0AC2" w:rsidRPr="00092ED7" w:rsidRDefault="004B0AC2" w:rsidP="00FB09AE">
            <w:pPr>
              <w:spacing w:after="0"/>
              <w:jc w:val="right"/>
              <w:rPr>
                <w:sz w:val="20"/>
                <w:szCs w:val="20"/>
                <w:lang w:val="sr-Cyrl-CS"/>
              </w:rPr>
            </w:pPr>
            <w:r w:rsidRPr="00092ED7">
              <w:rPr>
                <w:sz w:val="20"/>
                <w:szCs w:val="20"/>
                <w:lang w:val="sr-Cyrl-CS"/>
              </w:rPr>
              <w:t>-189,3</w:t>
            </w:r>
          </w:p>
        </w:tc>
        <w:tc>
          <w:tcPr>
            <w:tcW w:w="1074" w:type="dxa"/>
            <w:tcBorders>
              <w:top w:val="nil"/>
              <w:left w:val="nil"/>
              <w:bottom w:val="dotted" w:sz="4" w:space="0" w:color="auto"/>
              <w:right w:val="double" w:sz="6" w:space="0" w:color="auto"/>
            </w:tcBorders>
            <w:shd w:val="clear" w:color="auto" w:fill="auto"/>
            <w:vAlign w:val="center"/>
            <w:hideMark/>
          </w:tcPr>
          <w:p w14:paraId="5673D20C" w14:textId="77777777" w:rsidR="004B0AC2" w:rsidRPr="00092ED7" w:rsidRDefault="004B0AC2" w:rsidP="00FB09AE">
            <w:pPr>
              <w:spacing w:after="0"/>
              <w:jc w:val="right"/>
              <w:rPr>
                <w:sz w:val="20"/>
                <w:szCs w:val="20"/>
                <w:lang w:val="sr-Cyrl-CS"/>
              </w:rPr>
            </w:pPr>
            <w:r w:rsidRPr="00092ED7">
              <w:rPr>
                <w:sz w:val="20"/>
                <w:szCs w:val="20"/>
                <w:lang w:val="sr-Cyrl-CS"/>
              </w:rPr>
              <w:t>-129,1</w:t>
            </w:r>
          </w:p>
        </w:tc>
      </w:tr>
      <w:tr w:rsidR="004B0AC2" w:rsidRPr="00092ED7" w14:paraId="4896A261" w14:textId="77777777" w:rsidTr="00FB09AE">
        <w:trPr>
          <w:trHeight w:val="510"/>
        </w:trPr>
        <w:tc>
          <w:tcPr>
            <w:tcW w:w="6640" w:type="dxa"/>
            <w:tcBorders>
              <w:top w:val="nil"/>
              <w:left w:val="double" w:sz="6" w:space="0" w:color="auto"/>
              <w:bottom w:val="dotted" w:sz="4" w:space="0" w:color="auto"/>
              <w:right w:val="single" w:sz="8" w:space="0" w:color="auto"/>
            </w:tcBorders>
            <w:shd w:val="clear" w:color="auto" w:fill="auto"/>
            <w:vAlign w:val="center"/>
            <w:hideMark/>
          </w:tcPr>
          <w:p w14:paraId="2F9408B7"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9.Расходи за камате</w:t>
            </w:r>
          </w:p>
        </w:tc>
        <w:tc>
          <w:tcPr>
            <w:tcW w:w="1417" w:type="dxa"/>
            <w:tcBorders>
              <w:top w:val="nil"/>
              <w:left w:val="nil"/>
              <w:bottom w:val="dotted" w:sz="4" w:space="0" w:color="auto"/>
              <w:right w:val="single" w:sz="8" w:space="0" w:color="auto"/>
            </w:tcBorders>
            <w:shd w:val="clear" w:color="auto" w:fill="auto"/>
            <w:vAlign w:val="center"/>
            <w:hideMark/>
          </w:tcPr>
          <w:p w14:paraId="5D1F1AFD"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EDP.D41 укљ. FISIM</w:t>
            </w:r>
          </w:p>
        </w:tc>
        <w:tc>
          <w:tcPr>
            <w:tcW w:w="1074" w:type="dxa"/>
            <w:tcBorders>
              <w:top w:val="nil"/>
              <w:left w:val="nil"/>
              <w:bottom w:val="dotted" w:sz="4" w:space="0" w:color="auto"/>
              <w:right w:val="dotted" w:sz="4" w:space="0" w:color="auto"/>
            </w:tcBorders>
            <w:shd w:val="clear" w:color="auto" w:fill="auto"/>
            <w:vAlign w:val="center"/>
            <w:hideMark/>
          </w:tcPr>
          <w:p w14:paraId="0D5B32D5" w14:textId="77777777" w:rsidR="004B0AC2" w:rsidRPr="00092ED7" w:rsidRDefault="004B0AC2" w:rsidP="00FB09AE">
            <w:pPr>
              <w:spacing w:after="0"/>
              <w:jc w:val="right"/>
              <w:rPr>
                <w:sz w:val="20"/>
                <w:szCs w:val="20"/>
                <w:lang w:val="sr-Cyrl-CS"/>
              </w:rPr>
            </w:pPr>
            <w:r w:rsidRPr="00092ED7">
              <w:rPr>
                <w:sz w:val="20"/>
                <w:szCs w:val="20"/>
                <w:lang w:val="sr-Cyrl-CS"/>
              </w:rPr>
              <w:t>110,2</w:t>
            </w:r>
          </w:p>
        </w:tc>
        <w:tc>
          <w:tcPr>
            <w:tcW w:w="1074" w:type="dxa"/>
            <w:tcBorders>
              <w:top w:val="nil"/>
              <w:left w:val="nil"/>
              <w:bottom w:val="dotted" w:sz="4" w:space="0" w:color="auto"/>
              <w:right w:val="dotted" w:sz="4" w:space="0" w:color="auto"/>
            </w:tcBorders>
            <w:shd w:val="clear" w:color="auto" w:fill="auto"/>
            <w:vAlign w:val="center"/>
            <w:hideMark/>
          </w:tcPr>
          <w:p w14:paraId="7EB9BD76" w14:textId="77777777" w:rsidR="004B0AC2" w:rsidRPr="00092ED7" w:rsidRDefault="004B0AC2" w:rsidP="00FB09AE">
            <w:pPr>
              <w:spacing w:after="0"/>
              <w:jc w:val="right"/>
              <w:rPr>
                <w:sz w:val="20"/>
                <w:szCs w:val="20"/>
                <w:lang w:val="sr-Cyrl-CS"/>
              </w:rPr>
            </w:pPr>
            <w:r w:rsidRPr="00092ED7">
              <w:rPr>
                <w:sz w:val="20"/>
                <w:szCs w:val="20"/>
                <w:lang w:val="sr-Cyrl-CS"/>
              </w:rPr>
              <w:t>108,7</w:t>
            </w:r>
          </w:p>
        </w:tc>
        <w:tc>
          <w:tcPr>
            <w:tcW w:w="1074" w:type="dxa"/>
            <w:gridSpan w:val="2"/>
            <w:tcBorders>
              <w:top w:val="nil"/>
              <w:left w:val="nil"/>
              <w:bottom w:val="dotted" w:sz="4" w:space="0" w:color="auto"/>
              <w:right w:val="dotted" w:sz="4" w:space="0" w:color="auto"/>
            </w:tcBorders>
            <w:shd w:val="clear" w:color="auto" w:fill="auto"/>
            <w:vAlign w:val="center"/>
            <w:hideMark/>
          </w:tcPr>
          <w:p w14:paraId="36A65EE4" w14:textId="77777777" w:rsidR="004B0AC2" w:rsidRPr="00092ED7" w:rsidRDefault="004B0AC2" w:rsidP="00FB09AE">
            <w:pPr>
              <w:spacing w:after="0"/>
              <w:jc w:val="right"/>
              <w:rPr>
                <w:sz w:val="20"/>
                <w:szCs w:val="20"/>
                <w:lang w:val="sr-Cyrl-CS"/>
              </w:rPr>
            </w:pPr>
            <w:r w:rsidRPr="00092ED7">
              <w:rPr>
                <w:sz w:val="20"/>
                <w:szCs w:val="20"/>
                <w:lang w:val="sr-Cyrl-CS"/>
              </w:rPr>
              <w:t>115,6</w:t>
            </w:r>
          </w:p>
        </w:tc>
        <w:tc>
          <w:tcPr>
            <w:tcW w:w="1074" w:type="dxa"/>
            <w:gridSpan w:val="2"/>
            <w:tcBorders>
              <w:top w:val="nil"/>
              <w:left w:val="nil"/>
              <w:bottom w:val="dotted" w:sz="4" w:space="0" w:color="auto"/>
              <w:right w:val="dotted" w:sz="4" w:space="0" w:color="auto"/>
            </w:tcBorders>
            <w:shd w:val="clear" w:color="auto" w:fill="auto"/>
            <w:vAlign w:val="center"/>
            <w:hideMark/>
          </w:tcPr>
          <w:p w14:paraId="27931098" w14:textId="77777777" w:rsidR="004B0AC2" w:rsidRPr="00092ED7" w:rsidRDefault="004B0AC2" w:rsidP="00FB09AE">
            <w:pPr>
              <w:spacing w:after="0"/>
              <w:jc w:val="right"/>
              <w:rPr>
                <w:sz w:val="20"/>
                <w:szCs w:val="20"/>
                <w:lang w:val="sr-Cyrl-CS"/>
              </w:rPr>
            </w:pPr>
            <w:r w:rsidRPr="00092ED7">
              <w:rPr>
                <w:sz w:val="20"/>
                <w:szCs w:val="20"/>
                <w:lang w:val="sr-Cyrl-CS"/>
              </w:rPr>
              <w:t>145,9</w:t>
            </w:r>
          </w:p>
        </w:tc>
        <w:tc>
          <w:tcPr>
            <w:tcW w:w="1074" w:type="dxa"/>
            <w:tcBorders>
              <w:top w:val="nil"/>
              <w:left w:val="nil"/>
              <w:bottom w:val="dotted" w:sz="4" w:space="0" w:color="auto"/>
              <w:right w:val="dotted" w:sz="4" w:space="0" w:color="auto"/>
            </w:tcBorders>
            <w:shd w:val="clear" w:color="auto" w:fill="auto"/>
            <w:vAlign w:val="center"/>
            <w:hideMark/>
          </w:tcPr>
          <w:p w14:paraId="4FF060CC" w14:textId="77777777" w:rsidR="004B0AC2" w:rsidRPr="00092ED7" w:rsidRDefault="004B0AC2" w:rsidP="00FB09AE">
            <w:pPr>
              <w:spacing w:after="0"/>
              <w:jc w:val="right"/>
              <w:rPr>
                <w:sz w:val="20"/>
                <w:szCs w:val="20"/>
                <w:lang w:val="sr-Cyrl-CS"/>
              </w:rPr>
            </w:pPr>
            <w:r w:rsidRPr="00092ED7">
              <w:rPr>
                <w:sz w:val="20"/>
                <w:szCs w:val="20"/>
                <w:lang w:val="sr-Cyrl-CS"/>
              </w:rPr>
              <w:t>180,6</w:t>
            </w:r>
          </w:p>
        </w:tc>
        <w:tc>
          <w:tcPr>
            <w:tcW w:w="1074" w:type="dxa"/>
            <w:tcBorders>
              <w:top w:val="nil"/>
              <w:left w:val="nil"/>
              <w:bottom w:val="dotted" w:sz="4" w:space="0" w:color="auto"/>
              <w:right w:val="double" w:sz="6" w:space="0" w:color="auto"/>
            </w:tcBorders>
            <w:shd w:val="clear" w:color="auto" w:fill="auto"/>
            <w:vAlign w:val="center"/>
            <w:hideMark/>
          </w:tcPr>
          <w:p w14:paraId="53BE5A2F" w14:textId="77777777" w:rsidR="004B0AC2" w:rsidRPr="00092ED7" w:rsidRDefault="004B0AC2" w:rsidP="00FB09AE">
            <w:pPr>
              <w:spacing w:after="0"/>
              <w:jc w:val="right"/>
              <w:rPr>
                <w:sz w:val="20"/>
                <w:szCs w:val="20"/>
                <w:lang w:val="sr-Cyrl-CS"/>
              </w:rPr>
            </w:pPr>
            <w:r w:rsidRPr="00092ED7">
              <w:rPr>
                <w:sz w:val="20"/>
                <w:szCs w:val="20"/>
                <w:lang w:val="sr-Cyrl-CS"/>
              </w:rPr>
              <w:t>183,3</w:t>
            </w:r>
          </w:p>
        </w:tc>
      </w:tr>
      <w:tr w:rsidR="004B0AC2" w:rsidRPr="00092ED7" w14:paraId="3D2C29AC" w14:textId="77777777" w:rsidTr="00FB09AE">
        <w:trPr>
          <w:trHeight w:val="255"/>
        </w:trPr>
        <w:tc>
          <w:tcPr>
            <w:tcW w:w="6640" w:type="dxa"/>
            <w:tcBorders>
              <w:top w:val="nil"/>
              <w:left w:val="double" w:sz="6" w:space="0" w:color="auto"/>
              <w:bottom w:val="dotted" w:sz="4" w:space="0" w:color="auto"/>
              <w:right w:val="single" w:sz="8" w:space="0" w:color="auto"/>
            </w:tcBorders>
            <w:shd w:val="clear" w:color="auto" w:fill="auto"/>
            <w:vAlign w:val="center"/>
            <w:hideMark/>
          </w:tcPr>
          <w:p w14:paraId="55E02CE4" w14:textId="77777777" w:rsidR="004B0AC2" w:rsidRPr="00092ED7" w:rsidRDefault="00000000" w:rsidP="00FB09AE">
            <w:pPr>
              <w:spacing w:after="0"/>
              <w:jc w:val="left"/>
              <w:rPr>
                <w:rFonts w:eastAsia="Times New Roman" w:cs="Times New Roman"/>
                <w:sz w:val="20"/>
                <w:szCs w:val="20"/>
                <w:lang w:val="sr-Cyrl-CS"/>
              </w:rPr>
            </w:pPr>
            <w:hyperlink r:id="rId52" w:anchor="RANGE!B140" w:history="1">
              <w:r w:rsidR="004B0AC2" w:rsidRPr="00092ED7">
                <w:rPr>
                  <w:rFonts w:eastAsia="Times New Roman" w:cs="Times New Roman"/>
                  <w:sz w:val="20"/>
                  <w:szCs w:val="20"/>
                  <w:lang w:val="sr-Cyrl-CS"/>
                </w:rPr>
                <w:t>10. Примарни резултат[2]</w:t>
              </w:r>
            </w:hyperlink>
          </w:p>
        </w:tc>
        <w:tc>
          <w:tcPr>
            <w:tcW w:w="1417" w:type="dxa"/>
            <w:tcBorders>
              <w:top w:val="nil"/>
              <w:left w:val="nil"/>
              <w:bottom w:val="dotted" w:sz="4" w:space="0" w:color="auto"/>
              <w:right w:val="single" w:sz="8" w:space="0" w:color="auto"/>
            </w:tcBorders>
            <w:shd w:val="clear" w:color="auto" w:fill="auto"/>
            <w:vAlign w:val="center"/>
            <w:hideMark/>
          </w:tcPr>
          <w:p w14:paraId="142715E0" w14:textId="77777777" w:rsidR="004B0AC2" w:rsidRPr="00092ED7" w:rsidRDefault="004B0AC2" w:rsidP="00FB09AE">
            <w:pPr>
              <w:spacing w:after="0"/>
              <w:jc w:val="center"/>
              <w:rPr>
                <w:rFonts w:eastAsia="Times New Roman" w:cs="Times New Roman"/>
                <w:sz w:val="20"/>
                <w:szCs w:val="20"/>
                <w:lang w:val="sr-Cyrl-CS"/>
              </w:rPr>
            </w:pPr>
          </w:p>
        </w:tc>
        <w:tc>
          <w:tcPr>
            <w:tcW w:w="1074" w:type="dxa"/>
            <w:tcBorders>
              <w:top w:val="nil"/>
              <w:left w:val="nil"/>
              <w:bottom w:val="single" w:sz="4" w:space="0" w:color="auto"/>
              <w:right w:val="dotted" w:sz="4" w:space="0" w:color="auto"/>
            </w:tcBorders>
            <w:shd w:val="clear" w:color="auto" w:fill="auto"/>
            <w:vAlign w:val="center"/>
            <w:hideMark/>
          </w:tcPr>
          <w:p w14:paraId="3A7EED32" w14:textId="77777777" w:rsidR="004B0AC2" w:rsidRPr="00092ED7" w:rsidRDefault="004B0AC2" w:rsidP="00FB09AE">
            <w:pPr>
              <w:spacing w:after="0"/>
              <w:jc w:val="right"/>
              <w:rPr>
                <w:sz w:val="20"/>
                <w:szCs w:val="20"/>
                <w:lang w:val="sr-Cyrl-CS"/>
              </w:rPr>
            </w:pPr>
            <w:r w:rsidRPr="00092ED7">
              <w:rPr>
                <w:sz w:val="20"/>
                <w:szCs w:val="20"/>
                <w:lang w:val="sr-Cyrl-CS"/>
              </w:rPr>
              <w:t>-332,5</w:t>
            </w:r>
          </w:p>
        </w:tc>
        <w:tc>
          <w:tcPr>
            <w:tcW w:w="1074" w:type="dxa"/>
            <w:tcBorders>
              <w:top w:val="nil"/>
              <w:left w:val="nil"/>
              <w:bottom w:val="single" w:sz="4" w:space="0" w:color="auto"/>
              <w:right w:val="dotted" w:sz="4" w:space="0" w:color="auto"/>
            </w:tcBorders>
            <w:shd w:val="clear" w:color="auto" w:fill="auto"/>
            <w:vAlign w:val="center"/>
            <w:hideMark/>
          </w:tcPr>
          <w:p w14:paraId="325E6132" w14:textId="77777777" w:rsidR="004B0AC2" w:rsidRPr="00092ED7" w:rsidRDefault="004B0AC2" w:rsidP="00FB09AE">
            <w:pPr>
              <w:spacing w:after="0"/>
              <w:jc w:val="right"/>
              <w:rPr>
                <w:sz w:val="20"/>
                <w:szCs w:val="20"/>
                <w:lang w:val="sr-Cyrl-CS"/>
              </w:rPr>
            </w:pPr>
            <w:r w:rsidRPr="00092ED7">
              <w:rPr>
                <w:sz w:val="20"/>
                <w:szCs w:val="20"/>
                <w:lang w:val="sr-Cyrl-CS"/>
              </w:rPr>
              <w:t>-150,6</w:t>
            </w:r>
          </w:p>
        </w:tc>
        <w:tc>
          <w:tcPr>
            <w:tcW w:w="1074" w:type="dxa"/>
            <w:gridSpan w:val="2"/>
            <w:tcBorders>
              <w:top w:val="nil"/>
              <w:left w:val="nil"/>
              <w:bottom w:val="single" w:sz="4" w:space="0" w:color="auto"/>
              <w:right w:val="dotted" w:sz="4" w:space="0" w:color="auto"/>
            </w:tcBorders>
            <w:shd w:val="clear" w:color="auto" w:fill="auto"/>
            <w:vAlign w:val="center"/>
            <w:hideMark/>
          </w:tcPr>
          <w:p w14:paraId="69C38052" w14:textId="77777777" w:rsidR="004B0AC2" w:rsidRPr="00092ED7" w:rsidRDefault="004B0AC2" w:rsidP="00FB09AE">
            <w:pPr>
              <w:spacing w:after="0"/>
              <w:jc w:val="right"/>
              <w:rPr>
                <w:sz w:val="20"/>
                <w:szCs w:val="20"/>
                <w:lang w:val="sr-Cyrl-CS"/>
              </w:rPr>
            </w:pPr>
            <w:r w:rsidRPr="00092ED7">
              <w:rPr>
                <w:sz w:val="20"/>
                <w:szCs w:val="20"/>
                <w:lang w:val="sr-Cyrl-CS"/>
              </w:rPr>
              <w:t>-155,9</w:t>
            </w:r>
          </w:p>
        </w:tc>
        <w:tc>
          <w:tcPr>
            <w:tcW w:w="1074" w:type="dxa"/>
            <w:gridSpan w:val="2"/>
            <w:tcBorders>
              <w:top w:val="nil"/>
              <w:left w:val="nil"/>
              <w:bottom w:val="single" w:sz="4" w:space="0" w:color="auto"/>
              <w:right w:val="dotted" w:sz="4" w:space="0" w:color="auto"/>
            </w:tcBorders>
            <w:shd w:val="clear" w:color="auto" w:fill="auto"/>
            <w:vAlign w:val="center"/>
            <w:hideMark/>
          </w:tcPr>
          <w:p w14:paraId="0C1EBCBC" w14:textId="77777777" w:rsidR="004B0AC2" w:rsidRPr="00092ED7" w:rsidRDefault="004B0AC2" w:rsidP="00FB09AE">
            <w:pPr>
              <w:spacing w:after="0"/>
              <w:jc w:val="right"/>
              <w:rPr>
                <w:sz w:val="20"/>
                <w:szCs w:val="20"/>
                <w:lang w:val="sr-Cyrl-CS"/>
              </w:rPr>
            </w:pPr>
            <w:r w:rsidRPr="00092ED7">
              <w:rPr>
                <w:sz w:val="20"/>
                <w:szCs w:val="20"/>
                <w:lang w:val="sr-Cyrl-CS"/>
              </w:rPr>
              <w:t>-118,1</w:t>
            </w:r>
          </w:p>
        </w:tc>
        <w:tc>
          <w:tcPr>
            <w:tcW w:w="1074" w:type="dxa"/>
            <w:tcBorders>
              <w:top w:val="nil"/>
              <w:left w:val="nil"/>
              <w:bottom w:val="single" w:sz="4" w:space="0" w:color="auto"/>
              <w:right w:val="dotted" w:sz="4" w:space="0" w:color="auto"/>
            </w:tcBorders>
            <w:shd w:val="clear" w:color="auto" w:fill="auto"/>
            <w:vAlign w:val="center"/>
            <w:hideMark/>
          </w:tcPr>
          <w:p w14:paraId="123B1DD7" w14:textId="77777777" w:rsidR="004B0AC2" w:rsidRPr="00092ED7" w:rsidRDefault="004B0AC2" w:rsidP="00FB09AE">
            <w:pPr>
              <w:spacing w:after="0"/>
              <w:jc w:val="right"/>
              <w:rPr>
                <w:sz w:val="20"/>
                <w:szCs w:val="20"/>
                <w:lang w:val="sr-Cyrl-CS"/>
              </w:rPr>
            </w:pPr>
            <w:r w:rsidRPr="00092ED7">
              <w:rPr>
                <w:sz w:val="20"/>
                <w:szCs w:val="20"/>
                <w:lang w:val="sr-Cyrl-CS"/>
              </w:rPr>
              <w:t>-8,7</w:t>
            </w:r>
          </w:p>
        </w:tc>
        <w:tc>
          <w:tcPr>
            <w:tcW w:w="1074" w:type="dxa"/>
            <w:tcBorders>
              <w:top w:val="nil"/>
              <w:left w:val="nil"/>
              <w:bottom w:val="single" w:sz="4" w:space="0" w:color="auto"/>
              <w:right w:val="double" w:sz="6" w:space="0" w:color="auto"/>
            </w:tcBorders>
            <w:shd w:val="clear" w:color="auto" w:fill="auto"/>
            <w:vAlign w:val="center"/>
            <w:hideMark/>
          </w:tcPr>
          <w:p w14:paraId="00F474A9" w14:textId="77777777" w:rsidR="004B0AC2" w:rsidRPr="00092ED7" w:rsidRDefault="004B0AC2" w:rsidP="00FB09AE">
            <w:pPr>
              <w:spacing w:after="0"/>
              <w:jc w:val="right"/>
              <w:rPr>
                <w:sz w:val="20"/>
                <w:szCs w:val="20"/>
                <w:lang w:val="sr-Cyrl-CS"/>
              </w:rPr>
            </w:pPr>
            <w:r w:rsidRPr="00092ED7">
              <w:rPr>
                <w:sz w:val="20"/>
                <w:szCs w:val="20"/>
                <w:lang w:val="sr-Cyrl-CS"/>
              </w:rPr>
              <w:t>54,2</w:t>
            </w:r>
          </w:p>
        </w:tc>
      </w:tr>
      <w:tr w:rsidR="004B0AC2" w:rsidRPr="00092ED7" w14:paraId="53008019" w14:textId="77777777" w:rsidTr="00FB09AE">
        <w:trPr>
          <w:trHeight w:val="255"/>
        </w:trPr>
        <w:tc>
          <w:tcPr>
            <w:tcW w:w="6640" w:type="dxa"/>
            <w:tcBorders>
              <w:top w:val="nil"/>
              <w:left w:val="double" w:sz="6" w:space="0" w:color="auto"/>
              <w:bottom w:val="single" w:sz="4" w:space="0" w:color="auto"/>
              <w:right w:val="single" w:sz="8" w:space="0" w:color="auto"/>
            </w:tcBorders>
            <w:shd w:val="clear" w:color="auto" w:fill="auto"/>
            <w:noWrap/>
            <w:vAlign w:val="center"/>
            <w:hideMark/>
          </w:tcPr>
          <w:p w14:paraId="624780C1" w14:textId="77777777" w:rsidR="004B0AC2" w:rsidRPr="00092ED7" w:rsidRDefault="00000000" w:rsidP="00FB09AE">
            <w:pPr>
              <w:spacing w:after="0"/>
              <w:jc w:val="left"/>
              <w:rPr>
                <w:rFonts w:eastAsia="Times New Roman" w:cs="Times New Roman"/>
                <w:sz w:val="20"/>
                <w:szCs w:val="20"/>
                <w:lang w:val="sr-Cyrl-CS"/>
              </w:rPr>
            </w:pPr>
            <w:hyperlink r:id="rId53" w:anchor="RANGE!B141" w:history="1">
              <w:r w:rsidR="004B0AC2" w:rsidRPr="00092ED7">
                <w:rPr>
                  <w:rFonts w:eastAsia="Times New Roman" w:cs="Times New Roman"/>
                  <w:sz w:val="20"/>
                  <w:szCs w:val="20"/>
                  <w:lang w:val="sr-Cyrl-CS"/>
                </w:rPr>
                <w:t>11. One-off and other temporary measures [3]</w:t>
              </w:r>
            </w:hyperlink>
          </w:p>
        </w:tc>
        <w:tc>
          <w:tcPr>
            <w:tcW w:w="1417" w:type="dxa"/>
            <w:tcBorders>
              <w:top w:val="nil"/>
              <w:left w:val="nil"/>
              <w:bottom w:val="single" w:sz="4" w:space="0" w:color="auto"/>
              <w:right w:val="single" w:sz="8" w:space="0" w:color="auto"/>
            </w:tcBorders>
            <w:shd w:val="clear" w:color="auto" w:fill="auto"/>
            <w:vAlign w:val="center"/>
            <w:hideMark/>
          </w:tcPr>
          <w:p w14:paraId="6C23462D" w14:textId="77777777" w:rsidR="004B0AC2" w:rsidRPr="00092ED7" w:rsidRDefault="004B0AC2" w:rsidP="00FB09AE">
            <w:pPr>
              <w:spacing w:after="0"/>
              <w:jc w:val="center"/>
              <w:rPr>
                <w:rFonts w:eastAsia="Times New Roman" w:cs="Times New Roman"/>
                <w:sz w:val="20"/>
                <w:szCs w:val="20"/>
                <w:lang w:val="sr-Cyrl-CS"/>
              </w:rPr>
            </w:pPr>
          </w:p>
        </w:tc>
        <w:tc>
          <w:tcPr>
            <w:tcW w:w="1074" w:type="dxa"/>
            <w:tcBorders>
              <w:top w:val="nil"/>
              <w:left w:val="nil"/>
              <w:bottom w:val="single" w:sz="4" w:space="0" w:color="auto"/>
              <w:right w:val="dotted" w:sz="4" w:space="0" w:color="auto"/>
            </w:tcBorders>
            <w:shd w:val="clear" w:color="auto" w:fill="auto"/>
            <w:vAlign w:val="center"/>
            <w:hideMark/>
          </w:tcPr>
          <w:p w14:paraId="204812ED" w14:textId="77777777" w:rsidR="004B0AC2" w:rsidRPr="00092ED7" w:rsidRDefault="004B0AC2" w:rsidP="00FB09AE">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074" w:type="dxa"/>
            <w:tcBorders>
              <w:top w:val="nil"/>
              <w:left w:val="nil"/>
              <w:bottom w:val="single" w:sz="4" w:space="0" w:color="auto"/>
              <w:right w:val="dotted" w:sz="4" w:space="0" w:color="auto"/>
            </w:tcBorders>
            <w:shd w:val="clear" w:color="auto" w:fill="auto"/>
            <w:vAlign w:val="center"/>
            <w:hideMark/>
          </w:tcPr>
          <w:p w14:paraId="080ADB34" w14:textId="77777777" w:rsidR="004B0AC2" w:rsidRPr="00092ED7" w:rsidRDefault="004B0AC2" w:rsidP="00FB09AE">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074" w:type="dxa"/>
            <w:gridSpan w:val="2"/>
            <w:tcBorders>
              <w:top w:val="nil"/>
              <w:left w:val="nil"/>
              <w:bottom w:val="single" w:sz="4" w:space="0" w:color="auto"/>
              <w:right w:val="dotted" w:sz="4" w:space="0" w:color="auto"/>
            </w:tcBorders>
            <w:shd w:val="clear" w:color="auto" w:fill="auto"/>
            <w:vAlign w:val="center"/>
            <w:hideMark/>
          </w:tcPr>
          <w:p w14:paraId="238809D9" w14:textId="77777777" w:rsidR="004B0AC2" w:rsidRPr="00092ED7" w:rsidRDefault="004B0AC2" w:rsidP="00FB09AE">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074" w:type="dxa"/>
            <w:gridSpan w:val="2"/>
            <w:tcBorders>
              <w:top w:val="nil"/>
              <w:left w:val="nil"/>
              <w:bottom w:val="single" w:sz="4" w:space="0" w:color="auto"/>
              <w:right w:val="dotted" w:sz="4" w:space="0" w:color="auto"/>
            </w:tcBorders>
            <w:shd w:val="clear" w:color="auto" w:fill="auto"/>
            <w:vAlign w:val="center"/>
            <w:hideMark/>
          </w:tcPr>
          <w:p w14:paraId="34EE86E6" w14:textId="77777777" w:rsidR="004B0AC2" w:rsidRPr="00092ED7" w:rsidRDefault="004B0AC2" w:rsidP="00FB09AE">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074" w:type="dxa"/>
            <w:tcBorders>
              <w:top w:val="nil"/>
              <w:left w:val="nil"/>
              <w:bottom w:val="single" w:sz="4" w:space="0" w:color="auto"/>
              <w:right w:val="dotted" w:sz="4" w:space="0" w:color="auto"/>
            </w:tcBorders>
            <w:shd w:val="clear" w:color="auto" w:fill="auto"/>
            <w:vAlign w:val="center"/>
            <w:hideMark/>
          </w:tcPr>
          <w:p w14:paraId="3DBA00D1" w14:textId="77777777" w:rsidR="004B0AC2" w:rsidRPr="00092ED7" w:rsidRDefault="004B0AC2" w:rsidP="00FB09AE">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074" w:type="dxa"/>
            <w:tcBorders>
              <w:top w:val="nil"/>
              <w:left w:val="nil"/>
              <w:bottom w:val="single" w:sz="4" w:space="0" w:color="auto"/>
              <w:right w:val="double" w:sz="6" w:space="0" w:color="auto"/>
            </w:tcBorders>
            <w:shd w:val="clear" w:color="auto" w:fill="auto"/>
            <w:vAlign w:val="center"/>
            <w:hideMark/>
          </w:tcPr>
          <w:p w14:paraId="23BE34E8" w14:textId="77777777" w:rsidR="004B0AC2" w:rsidRPr="00092ED7" w:rsidRDefault="004B0AC2" w:rsidP="00FB09AE">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r>
      <w:tr w:rsidR="004B0AC2" w:rsidRPr="00092ED7" w14:paraId="1872B7B4" w14:textId="77777777" w:rsidTr="00FB09AE">
        <w:trPr>
          <w:trHeight w:val="255"/>
        </w:trPr>
        <w:tc>
          <w:tcPr>
            <w:tcW w:w="6640" w:type="dxa"/>
            <w:tcBorders>
              <w:top w:val="nil"/>
              <w:left w:val="double" w:sz="6" w:space="0" w:color="auto"/>
              <w:bottom w:val="single" w:sz="4" w:space="0" w:color="auto"/>
              <w:right w:val="nil"/>
            </w:tcBorders>
            <w:shd w:val="clear" w:color="auto" w:fill="auto"/>
            <w:vAlign w:val="center"/>
            <w:hideMark/>
          </w:tcPr>
          <w:p w14:paraId="553F146D" w14:textId="77777777" w:rsidR="004B0AC2" w:rsidRPr="00092ED7" w:rsidRDefault="004B0AC2" w:rsidP="00FB09AE">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Компоненте прихода</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6FFF6F2A" w14:textId="77777777" w:rsidR="004B0AC2" w:rsidRPr="00092ED7" w:rsidRDefault="004B0AC2" w:rsidP="00FB09AE">
            <w:pPr>
              <w:spacing w:after="0"/>
              <w:jc w:val="center"/>
              <w:rPr>
                <w:rFonts w:eastAsia="Times New Roman" w:cs="Times New Roman"/>
                <w:b/>
                <w:bCs/>
                <w:sz w:val="20"/>
                <w:szCs w:val="20"/>
                <w:lang w:val="sr-Cyrl-CS"/>
              </w:rPr>
            </w:pPr>
          </w:p>
        </w:tc>
        <w:tc>
          <w:tcPr>
            <w:tcW w:w="1074" w:type="dxa"/>
            <w:tcBorders>
              <w:top w:val="nil"/>
              <w:left w:val="nil"/>
              <w:bottom w:val="single" w:sz="4" w:space="0" w:color="auto"/>
              <w:right w:val="nil"/>
            </w:tcBorders>
            <w:shd w:val="clear" w:color="auto" w:fill="auto"/>
            <w:vAlign w:val="center"/>
            <w:hideMark/>
          </w:tcPr>
          <w:p w14:paraId="355888BB"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nil"/>
            </w:tcBorders>
            <w:shd w:val="clear" w:color="auto" w:fill="auto"/>
            <w:vAlign w:val="center"/>
            <w:hideMark/>
          </w:tcPr>
          <w:p w14:paraId="20824C1F"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gridSpan w:val="2"/>
            <w:tcBorders>
              <w:top w:val="nil"/>
              <w:left w:val="nil"/>
              <w:bottom w:val="single" w:sz="4" w:space="0" w:color="auto"/>
              <w:right w:val="nil"/>
            </w:tcBorders>
            <w:shd w:val="clear" w:color="auto" w:fill="auto"/>
            <w:vAlign w:val="center"/>
            <w:hideMark/>
          </w:tcPr>
          <w:p w14:paraId="41AF011A"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gridSpan w:val="2"/>
            <w:tcBorders>
              <w:top w:val="nil"/>
              <w:left w:val="nil"/>
              <w:bottom w:val="single" w:sz="4" w:space="0" w:color="auto"/>
              <w:right w:val="nil"/>
            </w:tcBorders>
            <w:shd w:val="clear" w:color="auto" w:fill="auto"/>
            <w:vAlign w:val="center"/>
            <w:hideMark/>
          </w:tcPr>
          <w:p w14:paraId="71CA12FE"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nil"/>
            </w:tcBorders>
            <w:shd w:val="clear" w:color="auto" w:fill="auto"/>
            <w:vAlign w:val="center"/>
            <w:hideMark/>
          </w:tcPr>
          <w:p w14:paraId="70477E3A"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double" w:sz="6" w:space="0" w:color="auto"/>
            </w:tcBorders>
            <w:shd w:val="clear" w:color="auto" w:fill="auto"/>
            <w:vAlign w:val="center"/>
            <w:hideMark/>
          </w:tcPr>
          <w:p w14:paraId="01C25CE7"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r>
      <w:tr w:rsidR="004B0AC2" w:rsidRPr="00092ED7" w14:paraId="493B7241" w14:textId="77777777" w:rsidTr="00FB09AE">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03FE2733"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12. Укупни порески приходи  (12 = 12a+12b+12c)</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4832797D" w14:textId="77777777" w:rsidR="004B0AC2" w:rsidRPr="00092ED7" w:rsidRDefault="004B0AC2" w:rsidP="00FB09AE">
            <w:pPr>
              <w:spacing w:after="0"/>
              <w:jc w:val="center"/>
              <w:rPr>
                <w:rFonts w:eastAsia="Times New Roman" w:cs="Times New Roman"/>
                <w:sz w:val="20"/>
                <w:szCs w:val="20"/>
                <w:lang w:val="sr-Cyrl-CS"/>
              </w:rPr>
            </w:pPr>
          </w:p>
        </w:tc>
        <w:tc>
          <w:tcPr>
            <w:tcW w:w="1074" w:type="dxa"/>
            <w:tcBorders>
              <w:top w:val="nil"/>
              <w:left w:val="nil"/>
              <w:bottom w:val="dotted" w:sz="4" w:space="0" w:color="auto"/>
              <w:right w:val="dotted" w:sz="4" w:space="0" w:color="auto"/>
            </w:tcBorders>
            <w:shd w:val="clear" w:color="auto" w:fill="auto"/>
            <w:vAlign w:val="center"/>
            <w:hideMark/>
          </w:tcPr>
          <w:p w14:paraId="536B7F75" w14:textId="77777777" w:rsidR="004B0AC2" w:rsidRPr="00092ED7" w:rsidRDefault="004B0AC2" w:rsidP="00FB09AE">
            <w:pPr>
              <w:spacing w:after="0"/>
              <w:jc w:val="right"/>
              <w:rPr>
                <w:sz w:val="20"/>
                <w:szCs w:val="20"/>
                <w:lang w:val="sr-Cyrl-CS"/>
              </w:rPr>
            </w:pPr>
            <w:r w:rsidRPr="00092ED7">
              <w:rPr>
                <w:sz w:val="20"/>
                <w:szCs w:val="20"/>
                <w:lang w:val="sr-Cyrl-CS"/>
              </w:rPr>
              <w:t>1.317,0</w:t>
            </w:r>
          </w:p>
        </w:tc>
        <w:tc>
          <w:tcPr>
            <w:tcW w:w="1074" w:type="dxa"/>
            <w:tcBorders>
              <w:top w:val="nil"/>
              <w:left w:val="nil"/>
              <w:bottom w:val="dotted" w:sz="4" w:space="0" w:color="auto"/>
              <w:right w:val="dotted" w:sz="4" w:space="0" w:color="auto"/>
            </w:tcBorders>
            <w:shd w:val="clear" w:color="auto" w:fill="auto"/>
            <w:vAlign w:val="center"/>
            <w:hideMark/>
          </w:tcPr>
          <w:p w14:paraId="5E059D8B" w14:textId="77777777" w:rsidR="004B0AC2" w:rsidRPr="00092ED7" w:rsidRDefault="004B0AC2" w:rsidP="00FB09AE">
            <w:pPr>
              <w:spacing w:after="0"/>
              <w:jc w:val="right"/>
              <w:rPr>
                <w:sz w:val="20"/>
                <w:szCs w:val="20"/>
                <w:lang w:val="sr-Cyrl-CS"/>
              </w:rPr>
            </w:pPr>
            <w:r w:rsidRPr="00092ED7">
              <w:rPr>
                <w:sz w:val="20"/>
                <w:szCs w:val="20"/>
                <w:lang w:val="sr-Cyrl-CS"/>
              </w:rPr>
              <w:t>1.558,2</w:t>
            </w:r>
          </w:p>
        </w:tc>
        <w:tc>
          <w:tcPr>
            <w:tcW w:w="1074" w:type="dxa"/>
            <w:gridSpan w:val="2"/>
            <w:tcBorders>
              <w:top w:val="nil"/>
              <w:left w:val="nil"/>
              <w:bottom w:val="dotted" w:sz="4" w:space="0" w:color="auto"/>
              <w:right w:val="dotted" w:sz="4" w:space="0" w:color="auto"/>
            </w:tcBorders>
            <w:shd w:val="clear" w:color="auto" w:fill="auto"/>
            <w:vAlign w:val="center"/>
            <w:hideMark/>
          </w:tcPr>
          <w:p w14:paraId="1879C8DF" w14:textId="77777777" w:rsidR="004B0AC2" w:rsidRPr="00092ED7" w:rsidRDefault="004B0AC2" w:rsidP="00FB09AE">
            <w:pPr>
              <w:spacing w:after="0"/>
              <w:jc w:val="right"/>
              <w:rPr>
                <w:sz w:val="20"/>
                <w:szCs w:val="20"/>
                <w:lang w:val="sr-Cyrl-CS"/>
              </w:rPr>
            </w:pPr>
            <w:r w:rsidRPr="00092ED7">
              <w:rPr>
                <w:sz w:val="20"/>
                <w:szCs w:val="20"/>
                <w:lang w:val="sr-Cyrl-CS"/>
              </w:rPr>
              <w:t>1.725,4</w:t>
            </w:r>
          </w:p>
        </w:tc>
        <w:tc>
          <w:tcPr>
            <w:tcW w:w="1074" w:type="dxa"/>
            <w:gridSpan w:val="2"/>
            <w:tcBorders>
              <w:top w:val="nil"/>
              <w:left w:val="nil"/>
              <w:bottom w:val="dotted" w:sz="4" w:space="0" w:color="auto"/>
              <w:right w:val="dotted" w:sz="4" w:space="0" w:color="auto"/>
            </w:tcBorders>
            <w:shd w:val="clear" w:color="auto" w:fill="auto"/>
            <w:vAlign w:val="center"/>
            <w:hideMark/>
          </w:tcPr>
          <w:p w14:paraId="131BD1A8" w14:textId="77777777" w:rsidR="004B0AC2" w:rsidRPr="00092ED7" w:rsidRDefault="004B0AC2" w:rsidP="00FB09AE">
            <w:pPr>
              <w:spacing w:after="0"/>
              <w:jc w:val="right"/>
              <w:rPr>
                <w:sz w:val="20"/>
                <w:szCs w:val="20"/>
                <w:lang w:val="sr-Cyrl-CS"/>
              </w:rPr>
            </w:pPr>
            <w:r w:rsidRPr="00092ED7">
              <w:rPr>
                <w:sz w:val="20"/>
                <w:szCs w:val="20"/>
                <w:lang w:val="sr-Cyrl-CS"/>
              </w:rPr>
              <w:t>1.851,1</w:t>
            </w:r>
          </w:p>
        </w:tc>
        <w:tc>
          <w:tcPr>
            <w:tcW w:w="1074" w:type="dxa"/>
            <w:tcBorders>
              <w:top w:val="nil"/>
              <w:left w:val="nil"/>
              <w:bottom w:val="dotted" w:sz="4" w:space="0" w:color="auto"/>
              <w:right w:val="dotted" w:sz="4" w:space="0" w:color="auto"/>
            </w:tcBorders>
            <w:shd w:val="clear" w:color="auto" w:fill="auto"/>
            <w:vAlign w:val="center"/>
            <w:hideMark/>
          </w:tcPr>
          <w:p w14:paraId="2D46C7D0" w14:textId="77777777" w:rsidR="004B0AC2" w:rsidRPr="00092ED7" w:rsidRDefault="004B0AC2" w:rsidP="00FB09AE">
            <w:pPr>
              <w:spacing w:after="0"/>
              <w:jc w:val="right"/>
              <w:rPr>
                <w:sz w:val="20"/>
                <w:szCs w:val="20"/>
                <w:lang w:val="sr-Cyrl-CS"/>
              </w:rPr>
            </w:pPr>
            <w:r w:rsidRPr="00092ED7">
              <w:rPr>
                <w:sz w:val="20"/>
                <w:szCs w:val="20"/>
                <w:lang w:val="sr-Cyrl-CS"/>
              </w:rPr>
              <w:t>2.017,1</w:t>
            </w:r>
          </w:p>
        </w:tc>
        <w:tc>
          <w:tcPr>
            <w:tcW w:w="1074" w:type="dxa"/>
            <w:tcBorders>
              <w:top w:val="nil"/>
              <w:left w:val="nil"/>
              <w:bottom w:val="dotted" w:sz="4" w:space="0" w:color="auto"/>
              <w:right w:val="double" w:sz="6" w:space="0" w:color="auto"/>
            </w:tcBorders>
            <w:shd w:val="clear" w:color="auto" w:fill="auto"/>
            <w:vAlign w:val="center"/>
            <w:hideMark/>
          </w:tcPr>
          <w:p w14:paraId="0F6C4FBB" w14:textId="77777777" w:rsidR="004B0AC2" w:rsidRPr="00092ED7" w:rsidRDefault="004B0AC2" w:rsidP="00FB09AE">
            <w:pPr>
              <w:spacing w:after="0"/>
              <w:jc w:val="right"/>
              <w:rPr>
                <w:sz w:val="20"/>
                <w:szCs w:val="20"/>
                <w:lang w:val="sr-Cyrl-CS"/>
              </w:rPr>
            </w:pPr>
            <w:r w:rsidRPr="00092ED7">
              <w:rPr>
                <w:sz w:val="20"/>
                <w:szCs w:val="20"/>
                <w:lang w:val="sr-Cyrl-CS"/>
              </w:rPr>
              <w:t>2.146,5</w:t>
            </w:r>
          </w:p>
        </w:tc>
      </w:tr>
      <w:tr w:rsidR="004B0AC2" w:rsidRPr="00092ED7" w14:paraId="07A9109A" w14:textId="77777777" w:rsidTr="00FB09AE">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089AFFBC"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12a. Порези на производњу и увоз</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3D5173CA"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D2</w:t>
            </w:r>
          </w:p>
        </w:tc>
        <w:tc>
          <w:tcPr>
            <w:tcW w:w="1074" w:type="dxa"/>
            <w:tcBorders>
              <w:top w:val="nil"/>
              <w:left w:val="nil"/>
              <w:bottom w:val="dotted" w:sz="4" w:space="0" w:color="auto"/>
              <w:right w:val="dotted" w:sz="4" w:space="0" w:color="auto"/>
            </w:tcBorders>
            <w:shd w:val="clear" w:color="auto" w:fill="auto"/>
            <w:vAlign w:val="center"/>
            <w:hideMark/>
          </w:tcPr>
          <w:p w14:paraId="78D3D177" w14:textId="77777777" w:rsidR="004B0AC2" w:rsidRPr="00092ED7" w:rsidRDefault="004B0AC2" w:rsidP="00FB09AE">
            <w:pPr>
              <w:spacing w:after="0"/>
              <w:jc w:val="right"/>
              <w:rPr>
                <w:sz w:val="20"/>
                <w:szCs w:val="20"/>
                <w:lang w:val="sr-Cyrl-CS"/>
              </w:rPr>
            </w:pPr>
            <w:r w:rsidRPr="00092ED7">
              <w:rPr>
                <w:sz w:val="20"/>
                <w:szCs w:val="20"/>
                <w:lang w:val="sr-Cyrl-CS"/>
              </w:rPr>
              <w:t>944,1</w:t>
            </w:r>
          </w:p>
        </w:tc>
        <w:tc>
          <w:tcPr>
            <w:tcW w:w="1074" w:type="dxa"/>
            <w:tcBorders>
              <w:top w:val="nil"/>
              <w:left w:val="nil"/>
              <w:bottom w:val="dotted" w:sz="4" w:space="0" w:color="auto"/>
              <w:right w:val="dotted" w:sz="4" w:space="0" w:color="auto"/>
            </w:tcBorders>
            <w:shd w:val="clear" w:color="auto" w:fill="auto"/>
            <w:vAlign w:val="center"/>
            <w:hideMark/>
          </w:tcPr>
          <w:p w14:paraId="7117AE33" w14:textId="77777777" w:rsidR="004B0AC2" w:rsidRPr="00092ED7" w:rsidRDefault="004B0AC2" w:rsidP="00FB09AE">
            <w:pPr>
              <w:spacing w:after="0"/>
              <w:jc w:val="right"/>
              <w:rPr>
                <w:sz w:val="20"/>
                <w:szCs w:val="20"/>
                <w:lang w:val="sr-Cyrl-CS"/>
              </w:rPr>
            </w:pPr>
            <w:r w:rsidRPr="00092ED7">
              <w:rPr>
                <w:sz w:val="20"/>
                <w:szCs w:val="20"/>
                <w:lang w:val="sr-Cyrl-CS"/>
              </w:rPr>
              <w:t>1.092,0</w:t>
            </w:r>
          </w:p>
        </w:tc>
        <w:tc>
          <w:tcPr>
            <w:tcW w:w="1074" w:type="dxa"/>
            <w:gridSpan w:val="2"/>
            <w:tcBorders>
              <w:top w:val="nil"/>
              <w:left w:val="nil"/>
              <w:bottom w:val="dotted" w:sz="4" w:space="0" w:color="auto"/>
              <w:right w:val="dotted" w:sz="4" w:space="0" w:color="auto"/>
            </w:tcBorders>
            <w:shd w:val="clear" w:color="auto" w:fill="auto"/>
            <w:vAlign w:val="center"/>
            <w:hideMark/>
          </w:tcPr>
          <w:p w14:paraId="3482D0FD" w14:textId="77777777" w:rsidR="004B0AC2" w:rsidRPr="00092ED7" w:rsidRDefault="004B0AC2" w:rsidP="00FB09AE">
            <w:pPr>
              <w:spacing w:after="0"/>
              <w:jc w:val="right"/>
              <w:rPr>
                <w:sz w:val="20"/>
                <w:szCs w:val="20"/>
                <w:lang w:val="sr-Cyrl-CS"/>
              </w:rPr>
            </w:pPr>
            <w:r w:rsidRPr="00092ED7">
              <w:rPr>
                <w:sz w:val="20"/>
                <w:szCs w:val="20"/>
                <w:lang w:val="sr-Cyrl-CS"/>
              </w:rPr>
              <w:t>1.234,3</w:t>
            </w:r>
          </w:p>
        </w:tc>
        <w:tc>
          <w:tcPr>
            <w:tcW w:w="1074" w:type="dxa"/>
            <w:gridSpan w:val="2"/>
            <w:tcBorders>
              <w:top w:val="nil"/>
              <w:left w:val="nil"/>
              <w:bottom w:val="dotted" w:sz="4" w:space="0" w:color="auto"/>
              <w:right w:val="dotted" w:sz="4" w:space="0" w:color="auto"/>
            </w:tcBorders>
            <w:shd w:val="clear" w:color="auto" w:fill="auto"/>
            <w:vAlign w:val="center"/>
            <w:hideMark/>
          </w:tcPr>
          <w:p w14:paraId="19985A7F" w14:textId="77777777" w:rsidR="004B0AC2" w:rsidRPr="00092ED7" w:rsidRDefault="004B0AC2" w:rsidP="00FB09AE">
            <w:pPr>
              <w:spacing w:after="0"/>
              <w:jc w:val="right"/>
              <w:rPr>
                <w:sz w:val="20"/>
                <w:szCs w:val="20"/>
                <w:lang w:val="sr-Cyrl-CS"/>
              </w:rPr>
            </w:pPr>
            <w:r w:rsidRPr="00092ED7">
              <w:rPr>
                <w:sz w:val="20"/>
                <w:szCs w:val="20"/>
                <w:lang w:val="sr-Cyrl-CS"/>
              </w:rPr>
              <w:t>1.327,8</w:t>
            </w:r>
          </w:p>
        </w:tc>
        <w:tc>
          <w:tcPr>
            <w:tcW w:w="1074" w:type="dxa"/>
            <w:tcBorders>
              <w:top w:val="nil"/>
              <w:left w:val="nil"/>
              <w:bottom w:val="dotted" w:sz="4" w:space="0" w:color="auto"/>
              <w:right w:val="dotted" w:sz="4" w:space="0" w:color="auto"/>
            </w:tcBorders>
            <w:shd w:val="clear" w:color="auto" w:fill="auto"/>
            <w:vAlign w:val="center"/>
            <w:hideMark/>
          </w:tcPr>
          <w:p w14:paraId="04D472C9" w14:textId="77777777" w:rsidR="004B0AC2" w:rsidRPr="00092ED7" w:rsidRDefault="004B0AC2" w:rsidP="00FB09AE">
            <w:pPr>
              <w:spacing w:after="0"/>
              <w:jc w:val="right"/>
              <w:rPr>
                <w:sz w:val="20"/>
                <w:szCs w:val="20"/>
                <w:lang w:val="sr-Cyrl-CS"/>
              </w:rPr>
            </w:pPr>
            <w:r w:rsidRPr="00092ED7">
              <w:rPr>
                <w:sz w:val="20"/>
                <w:szCs w:val="20"/>
                <w:lang w:val="sr-Cyrl-CS"/>
              </w:rPr>
              <w:t>1.457,9</w:t>
            </w:r>
          </w:p>
        </w:tc>
        <w:tc>
          <w:tcPr>
            <w:tcW w:w="1074" w:type="dxa"/>
            <w:tcBorders>
              <w:top w:val="nil"/>
              <w:left w:val="nil"/>
              <w:bottom w:val="dotted" w:sz="4" w:space="0" w:color="auto"/>
              <w:right w:val="double" w:sz="6" w:space="0" w:color="auto"/>
            </w:tcBorders>
            <w:shd w:val="clear" w:color="auto" w:fill="auto"/>
            <w:vAlign w:val="center"/>
            <w:hideMark/>
          </w:tcPr>
          <w:p w14:paraId="654448C8" w14:textId="77777777" w:rsidR="004B0AC2" w:rsidRPr="00092ED7" w:rsidRDefault="004B0AC2" w:rsidP="00FB09AE">
            <w:pPr>
              <w:spacing w:after="0"/>
              <w:jc w:val="right"/>
              <w:rPr>
                <w:sz w:val="20"/>
                <w:szCs w:val="20"/>
                <w:lang w:val="sr-Cyrl-CS"/>
              </w:rPr>
            </w:pPr>
            <w:r w:rsidRPr="00092ED7">
              <w:rPr>
                <w:sz w:val="20"/>
                <w:szCs w:val="20"/>
                <w:lang w:val="sr-Cyrl-CS"/>
              </w:rPr>
              <w:t>1.556,3</w:t>
            </w:r>
          </w:p>
        </w:tc>
      </w:tr>
      <w:tr w:rsidR="004B0AC2" w:rsidRPr="00092ED7" w14:paraId="6DEC6706" w14:textId="77777777" w:rsidTr="00FB09AE">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7BEEA5A7"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12b. Текући порези на доходак и имовину</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0D560356"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D5</w:t>
            </w:r>
          </w:p>
        </w:tc>
        <w:tc>
          <w:tcPr>
            <w:tcW w:w="1074" w:type="dxa"/>
            <w:tcBorders>
              <w:top w:val="nil"/>
              <w:left w:val="nil"/>
              <w:bottom w:val="dotted" w:sz="4" w:space="0" w:color="auto"/>
              <w:right w:val="dotted" w:sz="4" w:space="0" w:color="auto"/>
            </w:tcBorders>
            <w:shd w:val="clear" w:color="auto" w:fill="auto"/>
            <w:vAlign w:val="center"/>
            <w:hideMark/>
          </w:tcPr>
          <w:p w14:paraId="37CAC3E6" w14:textId="77777777" w:rsidR="004B0AC2" w:rsidRPr="00092ED7" w:rsidRDefault="004B0AC2" w:rsidP="00FB09AE">
            <w:pPr>
              <w:spacing w:after="0"/>
              <w:jc w:val="right"/>
              <w:rPr>
                <w:sz w:val="20"/>
                <w:szCs w:val="20"/>
                <w:lang w:val="sr-Cyrl-CS"/>
              </w:rPr>
            </w:pPr>
            <w:r w:rsidRPr="00092ED7">
              <w:rPr>
                <w:sz w:val="20"/>
                <w:szCs w:val="20"/>
                <w:lang w:val="sr-Cyrl-CS"/>
              </w:rPr>
              <w:t>371,6</w:t>
            </w:r>
          </w:p>
        </w:tc>
        <w:tc>
          <w:tcPr>
            <w:tcW w:w="1074" w:type="dxa"/>
            <w:tcBorders>
              <w:top w:val="nil"/>
              <w:left w:val="nil"/>
              <w:bottom w:val="dotted" w:sz="4" w:space="0" w:color="auto"/>
              <w:right w:val="dotted" w:sz="4" w:space="0" w:color="auto"/>
            </w:tcBorders>
            <w:shd w:val="clear" w:color="auto" w:fill="auto"/>
            <w:vAlign w:val="center"/>
            <w:hideMark/>
          </w:tcPr>
          <w:p w14:paraId="78CA173B" w14:textId="77777777" w:rsidR="004B0AC2" w:rsidRPr="00092ED7" w:rsidRDefault="004B0AC2" w:rsidP="00FB09AE">
            <w:pPr>
              <w:spacing w:after="0"/>
              <w:jc w:val="right"/>
              <w:rPr>
                <w:sz w:val="20"/>
                <w:szCs w:val="20"/>
                <w:lang w:val="sr-Cyrl-CS"/>
              </w:rPr>
            </w:pPr>
            <w:r w:rsidRPr="00092ED7">
              <w:rPr>
                <w:sz w:val="20"/>
                <w:szCs w:val="20"/>
                <w:lang w:val="sr-Cyrl-CS"/>
              </w:rPr>
              <w:t>464,4</w:t>
            </w:r>
          </w:p>
        </w:tc>
        <w:tc>
          <w:tcPr>
            <w:tcW w:w="1074" w:type="dxa"/>
            <w:gridSpan w:val="2"/>
            <w:tcBorders>
              <w:top w:val="nil"/>
              <w:left w:val="nil"/>
              <w:bottom w:val="dotted" w:sz="4" w:space="0" w:color="auto"/>
              <w:right w:val="dotted" w:sz="4" w:space="0" w:color="auto"/>
            </w:tcBorders>
            <w:shd w:val="clear" w:color="auto" w:fill="auto"/>
            <w:vAlign w:val="center"/>
            <w:hideMark/>
          </w:tcPr>
          <w:p w14:paraId="7BEA39FA" w14:textId="77777777" w:rsidR="004B0AC2" w:rsidRPr="00092ED7" w:rsidRDefault="004B0AC2" w:rsidP="00FB09AE">
            <w:pPr>
              <w:spacing w:after="0"/>
              <w:jc w:val="right"/>
              <w:rPr>
                <w:sz w:val="20"/>
                <w:szCs w:val="20"/>
                <w:lang w:val="sr-Cyrl-CS"/>
              </w:rPr>
            </w:pPr>
            <w:r w:rsidRPr="00092ED7">
              <w:rPr>
                <w:sz w:val="20"/>
                <w:szCs w:val="20"/>
                <w:lang w:val="sr-Cyrl-CS"/>
              </w:rPr>
              <w:t>488,6</w:t>
            </w:r>
          </w:p>
        </w:tc>
        <w:tc>
          <w:tcPr>
            <w:tcW w:w="1074" w:type="dxa"/>
            <w:gridSpan w:val="2"/>
            <w:tcBorders>
              <w:top w:val="nil"/>
              <w:left w:val="nil"/>
              <w:bottom w:val="dotted" w:sz="4" w:space="0" w:color="auto"/>
              <w:right w:val="dotted" w:sz="4" w:space="0" w:color="auto"/>
            </w:tcBorders>
            <w:shd w:val="clear" w:color="auto" w:fill="auto"/>
            <w:vAlign w:val="center"/>
            <w:hideMark/>
          </w:tcPr>
          <w:p w14:paraId="63BF1C49" w14:textId="77777777" w:rsidR="004B0AC2" w:rsidRPr="00092ED7" w:rsidRDefault="004B0AC2" w:rsidP="00FB09AE">
            <w:pPr>
              <w:spacing w:after="0"/>
              <w:jc w:val="right"/>
              <w:rPr>
                <w:sz w:val="20"/>
                <w:szCs w:val="20"/>
                <w:lang w:val="sr-Cyrl-CS"/>
              </w:rPr>
            </w:pPr>
            <w:r w:rsidRPr="00092ED7">
              <w:rPr>
                <w:sz w:val="20"/>
                <w:szCs w:val="20"/>
                <w:lang w:val="sr-Cyrl-CS"/>
              </w:rPr>
              <w:t>519,8</w:t>
            </w:r>
          </w:p>
        </w:tc>
        <w:tc>
          <w:tcPr>
            <w:tcW w:w="1074" w:type="dxa"/>
            <w:tcBorders>
              <w:top w:val="nil"/>
              <w:left w:val="nil"/>
              <w:bottom w:val="dotted" w:sz="4" w:space="0" w:color="auto"/>
              <w:right w:val="dotted" w:sz="4" w:space="0" w:color="auto"/>
            </w:tcBorders>
            <w:shd w:val="clear" w:color="auto" w:fill="auto"/>
            <w:vAlign w:val="center"/>
            <w:hideMark/>
          </w:tcPr>
          <w:p w14:paraId="35AD0F16" w14:textId="77777777" w:rsidR="004B0AC2" w:rsidRPr="00092ED7" w:rsidRDefault="004B0AC2" w:rsidP="00FB09AE">
            <w:pPr>
              <w:spacing w:after="0"/>
              <w:jc w:val="right"/>
              <w:rPr>
                <w:sz w:val="20"/>
                <w:szCs w:val="20"/>
                <w:lang w:val="sr-Cyrl-CS"/>
              </w:rPr>
            </w:pPr>
            <w:r w:rsidRPr="00092ED7">
              <w:rPr>
                <w:sz w:val="20"/>
                <w:szCs w:val="20"/>
                <w:lang w:val="sr-Cyrl-CS"/>
              </w:rPr>
              <w:t>554,4</w:t>
            </w:r>
          </w:p>
        </w:tc>
        <w:tc>
          <w:tcPr>
            <w:tcW w:w="1074" w:type="dxa"/>
            <w:tcBorders>
              <w:top w:val="nil"/>
              <w:left w:val="nil"/>
              <w:bottom w:val="dotted" w:sz="4" w:space="0" w:color="auto"/>
              <w:right w:val="double" w:sz="6" w:space="0" w:color="auto"/>
            </w:tcBorders>
            <w:shd w:val="clear" w:color="auto" w:fill="auto"/>
            <w:vAlign w:val="center"/>
            <w:hideMark/>
          </w:tcPr>
          <w:p w14:paraId="4B288E6A" w14:textId="77777777" w:rsidR="004B0AC2" w:rsidRPr="00092ED7" w:rsidRDefault="004B0AC2" w:rsidP="00FB09AE">
            <w:pPr>
              <w:spacing w:after="0"/>
              <w:jc w:val="right"/>
              <w:rPr>
                <w:sz w:val="20"/>
                <w:szCs w:val="20"/>
                <w:lang w:val="sr-Cyrl-CS"/>
              </w:rPr>
            </w:pPr>
            <w:r w:rsidRPr="00092ED7">
              <w:rPr>
                <w:sz w:val="20"/>
                <w:szCs w:val="20"/>
                <w:lang w:val="sr-Cyrl-CS"/>
              </w:rPr>
              <w:t>583,3</w:t>
            </w:r>
          </w:p>
        </w:tc>
      </w:tr>
      <w:tr w:rsidR="004B0AC2" w:rsidRPr="00092ED7" w14:paraId="08122F32" w14:textId="77777777" w:rsidTr="00FB09AE">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21394E50"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12c. Порези на капитал</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2E7E13BA"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D91</w:t>
            </w:r>
          </w:p>
        </w:tc>
        <w:tc>
          <w:tcPr>
            <w:tcW w:w="1074" w:type="dxa"/>
            <w:tcBorders>
              <w:top w:val="nil"/>
              <w:left w:val="nil"/>
              <w:bottom w:val="dotted" w:sz="4" w:space="0" w:color="auto"/>
              <w:right w:val="dotted" w:sz="4" w:space="0" w:color="auto"/>
            </w:tcBorders>
            <w:shd w:val="clear" w:color="auto" w:fill="auto"/>
            <w:vAlign w:val="center"/>
            <w:hideMark/>
          </w:tcPr>
          <w:p w14:paraId="35C7970B" w14:textId="77777777" w:rsidR="004B0AC2" w:rsidRPr="00092ED7" w:rsidRDefault="004B0AC2" w:rsidP="00FB09AE">
            <w:pPr>
              <w:spacing w:after="0"/>
              <w:jc w:val="right"/>
              <w:rPr>
                <w:sz w:val="20"/>
                <w:szCs w:val="20"/>
                <w:lang w:val="sr-Cyrl-CS"/>
              </w:rPr>
            </w:pPr>
            <w:r w:rsidRPr="00092ED7">
              <w:rPr>
                <w:sz w:val="20"/>
                <w:szCs w:val="20"/>
                <w:lang w:val="sr-Cyrl-CS"/>
              </w:rPr>
              <w:t>1,3</w:t>
            </w:r>
          </w:p>
        </w:tc>
        <w:tc>
          <w:tcPr>
            <w:tcW w:w="1074" w:type="dxa"/>
            <w:tcBorders>
              <w:top w:val="nil"/>
              <w:left w:val="nil"/>
              <w:bottom w:val="dotted" w:sz="4" w:space="0" w:color="auto"/>
              <w:right w:val="dotted" w:sz="4" w:space="0" w:color="auto"/>
            </w:tcBorders>
            <w:shd w:val="clear" w:color="auto" w:fill="auto"/>
            <w:vAlign w:val="center"/>
            <w:hideMark/>
          </w:tcPr>
          <w:p w14:paraId="44FA5DFB" w14:textId="77777777" w:rsidR="004B0AC2" w:rsidRPr="00092ED7" w:rsidRDefault="004B0AC2" w:rsidP="00FB09AE">
            <w:pPr>
              <w:spacing w:after="0"/>
              <w:jc w:val="right"/>
              <w:rPr>
                <w:sz w:val="20"/>
                <w:szCs w:val="20"/>
                <w:lang w:val="sr-Cyrl-CS"/>
              </w:rPr>
            </w:pPr>
            <w:r w:rsidRPr="00092ED7">
              <w:rPr>
                <w:sz w:val="20"/>
                <w:szCs w:val="20"/>
                <w:lang w:val="sr-Cyrl-CS"/>
              </w:rPr>
              <w:t>1,8</w:t>
            </w:r>
          </w:p>
        </w:tc>
        <w:tc>
          <w:tcPr>
            <w:tcW w:w="1074" w:type="dxa"/>
            <w:gridSpan w:val="2"/>
            <w:tcBorders>
              <w:top w:val="nil"/>
              <w:left w:val="nil"/>
              <w:bottom w:val="dotted" w:sz="4" w:space="0" w:color="auto"/>
              <w:right w:val="dotted" w:sz="4" w:space="0" w:color="auto"/>
            </w:tcBorders>
            <w:shd w:val="clear" w:color="auto" w:fill="auto"/>
            <w:vAlign w:val="center"/>
            <w:hideMark/>
          </w:tcPr>
          <w:p w14:paraId="53F44FFB" w14:textId="77777777" w:rsidR="004B0AC2" w:rsidRPr="00092ED7" w:rsidRDefault="004B0AC2" w:rsidP="00FB09AE">
            <w:pPr>
              <w:spacing w:after="0"/>
              <w:jc w:val="right"/>
              <w:rPr>
                <w:sz w:val="20"/>
                <w:szCs w:val="20"/>
                <w:lang w:val="sr-Cyrl-CS"/>
              </w:rPr>
            </w:pPr>
            <w:r w:rsidRPr="00092ED7">
              <w:rPr>
                <w:sz w:val="20"/>
                <w:szCs w:val="20"/>
                <w:lang w:val="sr-Cyrl-CS"/>
              </w:rPr>
              <w:t>2,5</w:t>
            </w:r>
          </w:p>
        </w:tc>
        <w:tc>
          <w:tcPr>
            <w:tcW w:w="1074" w:type="dxa"/>
            <w:gridSpan w:val="2"/>
            <w:tcBorders>
              <w:top w:val="nil"/>
              <w:left w:val="nil"/>
              <w:bottom w:val="dotted" w:sz="4" w:space="0" w:color="auto"/>
              <w:right w:val="dotted" w:sz="4" w:space="0" w:color="auto"/>
            </w:tcBorders>
            <w:shd w:val="clear" w:color="auto" w:fill="auto"/>
            <w:vAlign w:val="center"/>
            <w:hideMark/>
          </w:tcPr>
          <w:p w14:paraId="5EAD3C4E" w14:textId="77777777" w:rsidR="004B0AC2" w:rsidRPr="00092ED7" w:rsidRDefault="004B0AC2" w:rsidP="00FB09AE">
            <w:pPr>
              <w:spacing w:after="0"/>
              <w:jc w:val="right"/>
              <w:rPr>
                <w:sz w:val="20"/>
                <w:szCs w:val="20"/>
                <w:lang w:val="sr-Cyrl-CS"/>
              </w:rPr>
            </w:pPr>
            <w:r w:rsidRPr="00092ED7">
              <w:rPr>
                <w:sz w:val="20"/>
                <w:szCs w:val="20"/>
                <w:lang w:val="sr-Cyrl-CS"/>
              </w:rPr>
              <w:t>3,5</w:t>
            </w:r>
          </w:p>
        </w:tc>
        <w:tc>
          <w:tcPr>
            <w:tcW w:w="1074" w:type="dxa"/>
            <w:tcBorders>
              <w:top w:val="nil"/>
              <w:left w:val="nil"/>
              <w:bottom w:val="dotted" w:sz="4" w:space="0" w:color="auto"/>
              <w:right w:val="dotted" w:sz="4" w:space="0" w:color="auto"/>
            </w:tcBorders>
            <w:shd w:val="clear" w:color="auto" w:fill="auto"/>
            <w:vAlign w:val="center"/>
            <w:hideMark/>
          </w:tcPr>
          <w:p w14:paraId="36EF5A4C" w14:textId="77777777" w:rsidR="004B0AC2" w:rsidRPr="00092ED7" w:rsidRDefault="004B0AC2" w:rsidP="00FB09AE">
            <w:pPr>
              <w:spacing w:after="0"/>
              <w:jc w:val="right"/>
              <w:rPr>
                <w:sz w:val="20"/>
                <w:szCs w:val="20"/>
                <w:lang w:val="sr-Cyrl-CS"/>
              </w:rPr>
            </w:pPr>
            <w:r w:rsidRPr="00092ED7">
              <w:rPr>
                <w:sz w:val="20"/>
                <w:szCs w:val="20"/>
                <w:lang w:val="sr-Cyrl-CS"/>
              </w:rPr>
              <w:t>4,9</w:t>
            </w:r>
          </w:p>
        </w:tc>
        <w:tc>
          <w:tcPr>
            <w:tcW w:w="1074" w:type="dxa"/>
            <w:tcBorders>
              <w:top w:val="nil"/>
              <w:left w:val="nil"/>
              <w:bottom w:val="dotted" w:sz="4" w:space="0" w:color="auto"/>
              <w:right w:val="double" w:sz="6" w:space="0" w:color="auto"/>
            </w:tcBorders>
            <w:shd w:val="clear" w:color="auto" w:fill="auto"/>
            <w:vAlign w:val="center"/>
            <w:hideMark/>
          </w:tcPr>
          <w:p w14:paraId="1767E6E9" w14:textId="77777777" w:rsidR="004B0AC2" w:rsidRPr="00092ED7" w:rsidRDefault="004B0AC2" w:rsidP="00FB09AE">
            <w:pPr>
              <w:spacing w:after="0"/>
              <w:jc w:val="right"/>
              <w:rPr>
                <w:sz w:val="20"/>
                <w:szCs w:val="20"/>
                <w:lang w:val="sr-Cyrl-CS"/>
              </w:rPr>
            </w:pPr>
            <w:r w:rsidRPr="00092ED7">
              <w:rPr>
                <w:sz w:val="20"/>
                <w:szCs w:val="20"/>
                <w:lang w:val="sr-Cyrl-CS"/>
              </w:rPr>
              <w:t>6,8</w:t>
            </w:r>
          </w:p>
        </w:tc>
      </w:tr>
      <w:tr w:rsidR="004B0AC2" w:rsidRPr="00092ED7" w14:paraId="0AF9074F" w14:textId="77777777" w:rsidTr="00FB09AE">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3CA94DA2"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13. Доприноси за социјално осигурање</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461409BB"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D61</w:t>
            </w:r>
          </w:p>
        </w:tc>
        <w:tc>
          <w:tcPr>
            <w:tcW w:w="1074" w:type="dxa"/>
            <w:tcBorders>
              <w:top w:val="nil"/>
              <w:left w:val="nil"/>
              <w:bottom w:val="dotted" w:sz="4" w:space="0" w:color="auto"/>
              <w:right w:val="dotted" w:sz="4" w:space="0" w:color="auto"/>
            </w:tcBorders>
            <w:shd w:val="clear" w:color="auto" w:fill="auto"/>
            <w:vAlign w:val="center"/>
            <w:hideMark/>
          </w:tcPr>
          <w:p w14:paraId="09C62886" w14:textId="77777777" w:rsidR="004B0AC2" w:rsidRPr="00092ED7" w:rsidRDefault="004B0AC2" w:rsidP="00FB09AE">
            <w:pPr>
              <w:spacing w:after="0"/>
              <w:jc w:val="right"/>
              <w:rPr>
                <w:sz w:val="20"/>
                <w:szCs w:val="20"/>
                <w:lang w:val="sr-Cyrl-CS"/>
              </w:rPr>
            </w:pPr>
            <w:r w:rsidRPr="00092ED7">
              <w:rPr>
                <w:sz w:val="20"/>
                <w:szCs w:val="20"/>
                <w:lang w:val="sr-Cyrl-CS"/>
              </w:rPr>
              <w:t>673,7</w:t>
            </w:r>
          </w:p>
        </w:tc>
        <w:tc>
          <w:tcPr>
            <w:tcW w:w="1074" w:type="dxa"/>
            <w:tcBorders>
              <w:top w:val="nil"/>
              <w:left w:val="nil"/>
              <w:bottom w:val="dotted" w:sz="4" w:space="0" w:color="auto"/>
              <w:right w:val="dotted" w:sz="4" w:space="0" w:color="auto"/>
            </w:tcBorders>
            <w:shd w:val="clear" w:color="auto" w:fill="auto"/>
            <w:vAlign w:val="center"/>
            <w:hideMark/>
          </w:tcPr>
          <w:p w14:paraId="120D4B23" w14:textId="77777777" w:rsidR="004B0AC2" w:rsidRPr="00092ED7" w:rsidRDefault="004B0AC2" w:rsidP="00FB09AE">
            <w:pPr>
              <w:spacing w:after="0"/>
              <w:jc w:val="right"/>
              <w:rPr>
                <w:sz w:val="20"/>
                <w:szCs w:val="20"/>
                <w:lang w:val="sr-Cyrl-CS"/>
              </w:rPr>
            </w:pPr>
            <w:r w:rsidRPr="00092ED7">
              <w:rPr>
                <w:sz w:val="20"/>
                <w:szCs w:val="20"/>
                <w:lang w:val="sr-Cyrl-CS"/>
              </w:rPr>
              <w:t>862,0</w:t>
            </w:r>
          </w:p>
        </w:tc>
        <w:tc>
          <w:tcPr>
            <w:tcW w:w="1074" w:type="dxa"/>
            <w:gridSpan w:val="2"/>
            <w:tcBorders>
              <w:top w:val="nil"/>
              <w:left w:val="nil"/>
              <w:bottom w:val="dotted" w:sz="4" w:space="0" w:color="auto"/>
              <w:right w:val="dotted" w:sz="4" w:space="0" w:color="auto"/>
            </w:tcBorders>
            <w:shd w:val="clear" w:color="auto" w:fill="auto"/>
            <w:vAlign w:val="center"/>
            <w:hideMark/>
          </w:tcPr>
          <w:p w14:paraId="230848DF" w14:textId="77777777" w:rsidR="004B0AC2" w:rsidRPr="00092ED7" w:rsidRDefault="004B0AC2" w:rsidP="00FB09AE">
            <w:pPr>
              <w:spacing w:after="0"/>
              <w:jc w:val="right"/>
              <w:rPr>
                <w:sz w:val="20"/>
                <w:szCs w:val="20"/>
                <w:lang w:val="sr-Cyrl-CS"/>
              </w:rPr>
            </w:pPr>
            <w:r w:rsidRPr="00092ED7">
              <w:rPr>
                <w:sz w:val="20"/>
                <w:szCs w:val="20"/>
                <w:lang w:val="sr-Cyrl-CS"/>
              </w:rPr>
              <w:t>947,8</w:t>
            </w:r>
          </w:p>
        </w:tc>
        <w:tc>
          <w:tcPr>
            <w:tcW w:w="1074" w:type="dxa"/>
            <w:gridSpan w:val="2"/>
            <w:tcBorders>
              <w:top w:val="nil"/>
              <w:left w:val="nil"/>
              <w:bottom w:val="dotted" w:sz="4" w:space="0" w:color="auto"/>
              <w:right w:val="dotted" w:sz="4" w:space="0" w:color="auto"/>
            </w:tcBorders>
            <w:shd w:val="clear" w:color="auto" w:fill="auto"/>
            <w:vAlign w:val="center"/>
            <w:hideMark/>
          </w:tcPr>
          <w:p w14:paraId="0FE04D9C" w14:textId="77777777" w:rsidR="004B0AC2" w:rsidRPr="00092ED7" w:rsidRDefault="004B0AC2" w:rsidP="00FB09AE">
            <w:pPr>
              <w:spacing w:after="0"/>
              <w:jc w:val="right"/>
              <w:rPr>
                <w:sz w:val="20"/>
                <w:szCs w:val="20"/>
                <w:lang w:val="sr-Cyrl-CS"/>
              </w:rPr>
            </w:pPr>
            <w:r w:rsidRPr="00092ED7">
              <w:rPr>
                <w:sz w:val="20"/>
                <w:szCs w:val="20"/>
                <w:lang w:val="sr-Cyrl-CS"/>
              </w:rPr>
              <w:t>1.008,7</w:t>
            </w:r>
          </w:p>
        </w:tc>
        <w:tc>
          <w:tcPr>
            <w:tcW w:w="1074" w:type="dxa"/>
            <w:tcBorders>
              <w:top w:val="nil"/>
              <w:left w:val="nil"/>
              <w:bottom w:val="dotted" w:sz="4" w:space="0" w:color="auto"/>
              <w:right w:val="dotted" w:sz="4" w:space="0" w:color="auto"/>
            </w:tcBorders>
            <w:shd w:val="clear" w:color="auto" w:fill="auto"/>
            <w:vAlign w:val="center"/>
            <w:hideMark/>
          </w:tcPr>
          <w:p w14:paraId="2B0E0ECC" w14:textId="77777777" w:rsidR="004B0AC2" w:rsidRPr="00092ED7" w:rsidRDefault="004B0AC2" w:rsidP="00FB09AE">
            <w:pPr>
              <w:spacing w:after="0"/>
              <w:jc w:val="right"/>
              <w:rPr>
                <w:sz w:val="20"/>
                <w:szCs w:val="20"/>
                <w:lang w:val="sr-Cyrl-CS"/>
              </w:rPr>
            </w:pPr>
            <w:r w:rsidRPr="00092ED7">
              <w:rPr>
                <w:sz w:val="20"/>
                <w:szCs w:val="20"/>
                <w:lang w:val="sr-Cyrl-CS"/>
              </w:rPr>
              <w:t>1.097,9</w:t>
            </w:r>
          </w:p>
        </w:tc>
        <w:tc>
          <w:tcPr>
            <w:tcW w:w="1074" w:type="dxa"/>
            <w:tcBorders>
              <w:top w:val="nil"/>
              <w:left w:val="nil"/>
              <w:bottom w:val="dotted" w:sz="4" w:space="0" w:color="auto"/>
              <w:right w:val="double" w:sz="6" w:space="0" w:color="auto"/>
            </w:tcBorders>
            <w:shd w:val="clear" w:color="auto" w:fill="auto"/>
            <w:vAlign w:val="center"/>
            <w:hideMark/>
          </w:tcPr>
          <w:p w14:paraId="555A79A1" w14:textId="77777777" w:rsidR="004B0AC2" w:rsidRPr="00092ED7" w:rsidRDefault="004B0AC2" w:rsidP="00FB09AE">
            <w:pPr>
              <w:spacing w:after="0"/>
              <w:jc w:val="right"/>
              <w:rPr>
                <w:sz w:val="20"/>
                <w:szCs w:val="20"/>
                <w:lang w:val="sr-Cyrl-CS"/>
              </w:rPr>
            </w:pPr>
            <w:r w:rsidRPr="00092ED7">
              <w:rPr>
                <w:sz w:val="20"/>
                <w:szCs w:val="20"/>
                <w:lang w:val="sr-Cyrl-CS"/>
              </w:rPr>
              <w:t>1.182,0</w:t>
            </w:r>
          </w:p>
        </w:tc>
      </w:tr>
      <w:tr w:rsidR="004B0AC2" w:rsidRPr="00092ED7" w14:paraId="2CB9493B" w14:textId="77777777" w:rsidTr="00FB09AE">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0E9A11CE" w14:textId="77777777" w:rsidR="004B0AC2" w:rsidRPr="00092ED7" w:rsidRDefault="004B0AC2" w:rsidP="00FB09AE">
            <w:pPr>
              <w:spacing w:after="0"/>
              <w:jc w:val="left"/>
              <w:rPr>
                <w:rFonts w:eastAsia="Times New Roman" w:cs="Times New Roman"/>
                <w:sz w:val="20"/>
                <w:szCs w:val="20"/>
                <w:lang w:val="sr-Cyrl-CS"/>
              </w:rPr>
            </w:pPr>
            <w:bookmarkStart w:id="128" w:name="RANGE!B139"/>
            <w:r w:rsidRPr="00092ED7">
              <w:rPr>
                <w:rFonts w:eastAsia="Times New Roman" w:cs="Times New Roman"/>
                <w:sz w:val="20"/>
                <w:szCs w:val="20"/>
                <w:lang w:val="sr-Cyrl-CS"/>
              </w:rPr>
              <w:t>14. Приходи од имовине</w:t>
            </w:r>
            <w:bookmarkEnd w:id="128"/>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47A9D6D7"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D4</w:t>
            </w:r>
          </w:p>
        </w:tc>
        <w:tc>
          <w:tcPr>
            <w:tcW w:w="1074" w:type="dxa"/>
            <w:tcBorders>
              <w:top w:val="nil"/>
              <w:left w:val="nil"/>
              <w:bottom w:val="dotted" w:sz="4" w:space="0" w:color="auto"/>
              <w:right w:val="dotted" w:sz="4" w:space="0" w:color="auto"/>
            </w:tcBorders>
            <w:shd w:val="clear" w:color="auto" w:fill="auto"/>
            <w:vAlign w:val="center"/>
            <w:hideMark/>
          </w:tcPr>
          <w:p w14:paraId="59A3C920" w14:textId="77777777" w:rsidR="004B0AC2" w:rsidRPr="00092ED7" w:rsidRDefault="004B0AC2" w:rsidP="00FB09AE">
            <w:pPr>
              <w:spacing w:after="0"/>
              <w:jc w:val="right"/>
              <w:rPr>
                <w:sz w:val="20"/>
                <w:szCs w:val="20"/>
                <w:lang w:val="sr-Cyrl-CS"/>
              </w:rPr>
            </w:pPr>
            <w:r w:rsidRPr="00092ED7">
              <w:rPr>
                <w:sz w:val="20"/>
                <w:szCs w:val="20"/>
                <w:lang w:val="sr-Cyrl-CS"/>
              </w:rPr>
              <w:t>73,2</w:t>
            </w:r>
          </w:p>
        </w:tc>
        <w:tc>
          <w:tcPr>
            <w:tcW w:w="1074" w:type="dxa"/>
            <w:tcBorders>
              <w:top w:val="nil"/>
              <w:left w:val="nil"/>
              <w:bottom w:val="dotted" w:sz="4" w:space="0" w:color="auto"/>
              <w:right w:val="dotted" w:sz="4" w:space="0" w:color="auto"/>
            </w:tcBorders>
            <w:shd w:val="clear" w:color="auto" w:fill="auto"/>
            <w:vAlign w:val="center"/>
            <w:hideMark/>
          </w:tcPr>
          <w:p w14:paraId="7B67B45A" w14:textId="77777777" w:rsidR="004B0AC2" w:rsidRPr="00092ED7" w:rsidRDefault="004B0AC2" w:rsidP="00FB09AE">
            <w:pPr>
              <w:spacing w:after="0"/>
              <w:jc w:val="right"/>
              <w:rPr>
                <w:sz w:val="20"/>
                <w:szCs w:val="20"/>
                <w:lang w:val="sr-Cyrl-CS"/>
              </w:rPr>
            </w:pPr>
            <w:r w:rsidRPr="00092ED7">
              <w:rPr>
                <w:sz w:val="20"/>
                <w:szCs w:val="20"/>
                <w:lang w:val="sr-Cyrl-CS"/>
              </w:rPr>
              <w:t>69,9</w:t>
            </w:r>
          </w:p>
        </w:tc>
        <w:tc>
          <w:tcPr>
            <w:tcW w:w="1074" w:type="dxa"/>
            <w:gridSpan w:val="2"/>
            <w:tcBorders>
              <w:top w:val="nil"/>
              <w:left w:val="nil"/>
              <w:bottom w:val="dotted" w:sz="4" w:space="0" w:color="auto"/>
              <w:right w:val="dotted" w:sz="4" w:space="0" w:color="auto"/>
            </w:tcBorders>
            <w:shd w:val="clear" w:color="auto" w:fill="auto"/>
            <w:vAlign w:val="center"/>
            <w:hideMark/>
          </w:tcPr>
          <w:p w14:paraId="547ED7D5" w14:textId="77777777" w:rsidR="004B0AC2" w:rsidRPr="00092ED7" w:rsidRDefault="004B0AC2" w:rsidP="00FB09AE">
            <w:pPr>
              <w:spacing w:after="0"/>
              <w:jc w:val="right"/>
              <w:rPr>
                <w:sz w:val="20"/>
                <w:szCs w:val="20"/>
                <w:lang w:val="sr-Cyrl-CS"/>
              </w:rPr>
            </w:pPr>
            <w:r w:rsidRPr="00092ED7">
              <w:rPr>
                <w:sz w:val="20"/>
                <w:szCs w:val="20"/>
                <w:lang w:val="sr-Cyrl-CS"/>
              </w:rPr>
              <w:t>87,3</w:t>
            </w:r>
          </w:p>
        </w:tc>
        <w:tc>
          <w:tcPr>
            <w:tcW w:w="1074" w:type="dxa"/>
            <w:gridSpan w:val="2"/>
            <w:tcBorders>
              <w:top w:val="nil"/>
              <w:left w:val="nil"/>
              <w:bottom w:val="dotted" w:sz="4" w:space="0" w:color="auto"/>
              <w:right w:val="dotted" w:sz="4" w:space="0" w:color="auto"/>
            </w:tcBorders>
            <w:shd w:val="clear" w:color="auto" w:fill="auto"/>
            <w:vAlign w:val="center"/>
            <w:hideMark/>
          </w:tcPr>
          <w:p w14:paraId="212AD907" w14:textId="77777777" w:rsidR="004B0AC2" w:rsidRPr="00092ED7" w:rsidRDefault="004B0AC2" w:rsidP="00FB09AE">
            <w:pPr>
              <w:spacing w:after="0"/>
              <w:jc w:val="right"/>
              <w:rPr>
                <w:sz w:val="20"/>
                <w:szCs w:val="20"/>
                <w:lang w:val="sr-Cyrl-CS"/>
              </w:rPr>
            </w:pPr>
            <w:r w:rsidRPr="00092ED7">
              <w:rPr>
                <w:sz w:val="20"/>
                <w:szCs w:val="20"/>
                <w:lang w:val="sr-Cyrl-CS"/>
              </w:rPr>
              <w:t>87,8</w:t>
            </w:r>
          </w:p>
        </w:tc>
        <w:tc>
          <w:tcPr>
            <w:tcW w:w="1074" w:type="dxa"/>
            <w:tcBorders>
              <w:top w:val="nil"/>
              <w:left w:val="nil"/>
              <w:bottom w:val="dotted" w:sz="4" w:space="0" w:color="auto"/>
              <w:right w:val="dotted" w:sz="4" w:space="0" w:color="auto"/>
            </w:tcBorders>
            <w:shd w:val="clear" w:color="auto" w:fill="auto"/>
            <w:vAlign w:val="center"/>
            <w:hideMark/>
          </w:tcPr>
          <w:p w14:paraId="03D4A26F" w14:textId="77777777" w:rsidR="004B0AC2" w:rsidRPr="00092ED7" w:rsidRDefault="004B0AC2" w:rsidP="00FB09AE">
            <w:pPr>
              <w:spacing w:after="0"/>
              <w:jc w:val="right"/>
              <w:rPr>
                <w:sz w:val="20"/>
                <w:szCs w:val="20"/>
                <w:lang w:val="sr-Cyrl-CS"/>
              </w:rPr>
            </w:pPr>
            <w:r w:rsidRPr="00092ED7">
              <w:rPr>
                <w:sz w:val="20"/>
                <w:szCs w:val="20"/>
                <w:lang w:val="sr-Cyrl-CS"/>
              </w:rPr>
              <w:t>94,1</w:t>
            </w:r>
          </w:p>
        </w:tc>
        <w:tc>
          <w:tcPr>
            <w:tcW w:w="1074" w:type="dxa"/>
            <w:tcBorders>
              <w:top w:val="nil"/>
              <w:left w:val="nil"/>
              <w:bottom w:val="dotted" w:sz="4" w:space="0" w:color="auto"/>
              <w:right w:val="double" w:sz="6" w:space="0" w:color="auto"/>
            </w:tcBorders>
            <w:shd w:val="clear" w:color="auto" w:fill="auto"/>
            <w:vAlign w:val="center"/>
            <w:hideMark/>
          </w:tcPr>
          <w:p w14:paraId="0F683B58" w14:textId="77777777" w:rsidR="004B0AC2" w:rsidRPr="00092ED7" w:rsidRDefault="004B0AC2" w:rsidP="00FB09AE">
            <w:pPr>
              <w:spacing w:after="0"/>
              <w:jc w:val="right"/>
              <w:rPr>
                <w:sz w:val="20"/>
                <w:szCs w:val="20"/>
                <w:lang w:val="sr-Cyrl-CS"/>
              </w:rPr>
            </w:pPr>
            <w:r w:rsidRPr="00092ED7">
              <w:rPr>
                <w:sz w:val="20"/>
                <w:szCs w:val="20"/>
                <w:lang w:val="sr-Cyrl-CS"/>
              </w:rPr>
              <w:t>101,4</w:t>
            </w:r>
          </w:p>
        </w:tc>
      </w:tr>
      <w:bookmarkStart w:id="129" w:name="RANGE!B140"/>
      <w:tr w:rsidR="004B0AC2" w:rsidRPr="00092ED7" w14:paraId="155A07DE" w14:textId="77777777" w:rsidTr="00FB09AE">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5B3B20FE"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fldChar w:fldCharType="begin"/>
            </w:r>
            <w:r w:rsidRPr="00092ED7">
              <w:rPr>
                <w:rFonts w:eastAsia="Times New Roman" w:cs="Times New Roman"/>
                <w:sz w:val="20"/>
                <w:szCs w:val="20"/>
                <w:lang w:val="sr-Cyrl-CS"/>
              </w:rPr>
              <w:instrText xml:space="preserve"> HYPERLINK "file:///C:\\Users\\svetlana.aksentijevi\\AppData\\Local\\Microsoft\\Windows\\INetCache\\Content.MSO\\1D05A8A2.xlsx" \l "RANGE!B142" </w:instrText>
            </w:r>
            <w:r w:rsidRPr="00092ED7">
              <w:rPr>
                <w:rFonts w:eastAsia="Times New Roman" w:cs="Times New Roman"/>
                <w:sz w:val="20"/>
                <w:szCs w:val="20"/>
                <w:lang w:val="sr-Cyrl-CS"/>
              </w:rPr>
            </w:r>
            <w:r w:rsidRPr="00092ED7">
              <w:rPr>
                <w:rFonts w:eastAsia="Times New Roman" w:cs="Times New Roman"/>
                <w:sz w:val="20"/>
                <w:szCs w:val="20"/>
                <w:lang w:val="sr-Cyrl-CS"/>
              </w:rPr>
              <w:fldChar w:fldCharType="separate"/>
            </w:r>
            <w:r w:rsidRPr="00092ED7">
              <w:rPr>
                <w:rFonts w:eastAsia="Times New Roman" w:cs="Times New Roman"/>
                <w:sz w:val="20"/>
                <w:szCs w:val="20"/>
                <w:lang w:val="sr-Cyrl-CS"/>
              </w:rPr>
              <w:t>15. Друго (15 = 16-(12+13+14)) [4]</w:t>
            </w:r>
            <w:r w:rsidRPr="00092ED7">
              <w:rPr>
                <w:rFonts w:eastAsia="Times New Roman" w:cs="Times New Roman"/>
                <w:sz w:val="20"/>
                <w:szCs w:val="20"/>
                <w:lang w:val="sr-Cyrl-CS"/>
              </w:rPr>
              <w:fldChar w:fldCharType="end"/>
            </w:r>
            <w:bookmarkEnd w:id="129"/>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066D91D5" w14:textId="77777777" w:rsidR="004B0AC2" w:rsidRPr="00092ED7" w:rsidRDefault="004B0AC2" w:rsidP="00FB09AE">
            <w:pPr>
              <w:spacing w:after="0"/>
              <w:jc w:val="center"/>
              <w:rPr>
                <w:rFonts w:eastAsia="Times New Roman" w:cs="Times New Roman"/>
                <w:sz w:val="20"/>
                <w:szCs w:val="20"/>
                <w:lang w:val="sr-Cyrl-CS"/>
              </w:rPr>
            </w:pPr>
          </w:p>
        </w:tc>
        <w:tc>
          <w:tcPr>
            <w:tcW w:w="1074" w:type="dxa"/>
            <w:tcBorders>
              <w:top w:val="nil"/>
              <w:left w:val="nil"/>
              <w:bottom w:val="dotted" w:sz="4" w:space="0" w:color="auto"/>
              <w:right w:val="dotted" w:sz="4" w:space="0" w:color="auto"/>
            </w:tcBorders>
            <w:shd w:val="clear" w:color="auto" w:fill="auto"/>
            <w:vAlign w:val="center"/>
            <w:hideMark/>
          </w:tcPr>
          <w:p w14:paraId="34805EE3" w14:textId="77777777" w:rsidR="004B0AC2" w:rsidRPr="00092ED7" w:rsidRDefault="004B0AC2" w:rsidP="00FB09AE">
            <w:pPr>
              <w:spacing w:after="0"/>
              <w:jc w:val="right"/>
              <w:rPr>
                <w:sz w:val="20"/>
                <w:szCs w:val="20"/>
                <w:lang w:val="sr-Cyrl-CS"/>
              </w:rPr>
            </w:pPr>
            <w:r w:rsidRPr="00092ED7">
              <w:rPr>
                <w:sz w:val="20"/>
                <w:szCs w:val="20"/>
                <w:lang w:val="sr-Cyrl-CS"/>
              </w:rPr>
              <w:t>191,0</w:t>
            </w:r>
          </w:p>
        </w:tc>
        <w:tc>
          <w:tcPr>
            <w:tcW w:w="1074" w:type="dxa"/>
            <w:tcBorders>
              <w:top w:val="nil"/>
              <w:left w:val="nil"/>
              <w:bottom w:val="dotted" w:sz="4" w:space="0" w:color="auto"/>
              <w:right w:val="dotted" w:sz="4" w:space="0" w:color="auto"/>
            </w:tcBorders>
            <w:shd w:val="clear" w:color="auto" w:fill="auto"/>
            <w:vAlign w:val="center"/>
            <w:hideMark/>
          </w:tcPr>
          <w:p w14:paraId="3BC50162" w14:textId="77777777" w:rsidR="004B0AC2" w:rsidRPr="00092ED7" w:rsidRDefault="004B0AC2" w:rsidP="00FB09AE">
            <w:pPr>
              <w:spacing w:after="0"/>
              <w:jc w:val="right"/>
              <w:rPr>
                <w:sz w:val="20"/>
                <w:szCs w:val="20"/>
                <w:lang w:val="sr-Cyrl-CS"/>
              </w:rPr>
            </w:pPr>
            <w:r w:rsidRPr="00092ED7">
              <w:rPr>
                <w:sz w:val="20"/>
                <w:szCs w:val="20"/>
                <w:lang w:val="sr-Cyrl-CS"/>
              </w:rPr>
              <w:t>221,9</w:t>
            </w:r>
          </w:p>
        </w:tc>
        <w:tc>
          <w:tcPr>
            <w:tcW w:w="1074" w:type="dxa"/>
            <w:gridSpan w:val="2"/>
            <w:tcBorders>
              <w:top w:val="nil"/>
              <w:left w:val="nil"/>
              <w:bottom w:val="dotted" w:sz="4" w:space="0" w:color="auto"/>
              <w:right w:val="dotted" w:sz="4" w:space="0" w:color="auto"/>
            </w:tcBorders>
            <w:shd w:val="clear" w:color="auto" w:fill="auto"/>
            <w:vAlign w:val="center"/>
            <w:hideMark/>
          </w:tcPr>
          <w:p w14:paraId="0FD2DB0E" w14:textId="77777777" w:rsidR="004B0AC2" w:rsidRPr="00092ED7" w:rsidRDefault="004B0AC2" w:rsidP="00FB09AE">
            <w:pPr>
              <w:spacing w:after="0"/>
              <w:jc w:val="right"/>
              <w:rPr>
                <w:sz w:val="20"/>
                <w:szCs w:val="20"/>
                <w:lang w:val="sr-Cyrl-CS"/>
              </w:rPr>
            </w:pPr>
            <w:r w:rsidRPr="00092ED7">
              <w:rPr>
                <w:sz w:val="20"/>
                <w:szCs w:val="20"/>
                <w:lang w:val="sr-Cyrl-CS"/>
              </w:rPr>
              <w:t>285,2</w:t>
            </w:r>
          </w:p>
        </w:tc>
        <w:tc>
          <w:tcPr>
            <w:tcW w:w="1074" w:type="dxa"/>
            <w:gridSpan w:val="2"/>
            <w:tcBorders>
              <w:top w:val="nil"/>
              <w:left w:val="nil"/>
              <w:bottom w:val="dotted" w:sz="4" w:space="0" w:color="auto"/>
              <w:right w:val="dotted" w:sz="4" w:space="0" w:color="auto"/>
            </w:tcBorders>
            <w:shd w:val="clear" w:color="auto" w:fill="auto"/>
            <w:vAlign w:val="center"/>
            <w:hideMark/>
          </w:tcPr>
          <w:p w14:paraId="272A6262" w14:textId="77777777" w:rsidR="004B0AC2" w:rsidRPr="00092ED7" w:rsidRDefault="004B0AC2" w:rsidP="00FB09AE">
            <w:pPr>
              <w:spacing w:after="0"/>
              <w:jc w:val="right"/>
              <w:rPr>
                <w:sz w:val="20"/>
                <w:szCs w:val="20"/>
                <w:lang w:val="sr-Cyrl-CS"/>
              </w:rPr>
            </w:pPr>
            <w:r w:rsidRPr="00092ED7">
              <w:rPr>
                <w:sz w:val="20"/>
                <w:szCs w:val="20"/>
                <w:lang w:val="sr-Cyrl-CS"/>
              </w:rPr>
              <w:t>335,9</w:t>
            </w:r>
          </w:p>
        </w:tc>
        <w:tc>
          <w:tcPr>
            <w:tcW w:w="1074" w:type="dxa"/>
            <w:tcBorders>
              <w:top w:val="nil"/>
              <w:left w:val="nil"/>
              <w:bottom w:val="dotted" w:sz="4" w:space="0" w:color="auto"/>
              <w:right w:val="dotted" w:sz="4" w:space="0" w:color="auto"/>
            </w:tcBorders>
            <w:shd w:val="clear" w:color="auto" w:fill="auto"/>
            <w:vAlign w:val="center"/>
            <w:hideMark/>
          </w:tcPr>
          <w:p w14:paraId="200D0938" w14:textId="77777777" w:rsidR="004B0AC2" w:rsidRPr="00092ED7" w:rsidRDefault="004B0AC2" w:rsidP="00FB09AE">
            <w:pPr>
              <w:spacing w:after="0"/>
              <w:jc w:val="right"/>
              <w:rPr>
                <w:sz w:val="20"/>
                <w:szCs w:val="20"/>
                <w:lang w:val="sr-Cyrl-CS"/>
              </w:rPr>
            </w:pPr>
            <w:r w:rsidRPr="00092ED7">
              <w:rPr>
                <w:sz w:val="20"/>
                <w:szCs w:val="20"/>
                <w:lang w:val="sr-Cyrl-CS"/>
              </w:rPr>
              <w:t>334,7</w:t>
            </w:r>
          </w:p>
        </w:tc>
        <w:tc>
          <w:tcPr>
            <w:tcW w:w="1074" w:type="dxa"/>
            <w:tcBorders>
              <w:top w:val="nil"/>
              <w:left w:val="nil"/>
              <w:bottom w:val="dotted" w:sz="4" w:space="0" w:color="auto"/>
              <w:right w:val="double" w:sz="6" w:space="0" w:color="auto"/>
            </w:tcBorders>
            <w:shd w:val="clear" w:color="auto" w:fill="auto"/>
            <w:vAlign w:val="center"/>
            <w:hideMark/>
          </w:tcPr>
          <w:p w14:paraId="2F2764FD" w14:textId="77777777" w:rsidR="004B0AC2" w:rsidRPr="00092ED7" w:rsidRDefault="004B0AC2" w:rsidP="00FB09AE">
            <w:pPr>
              <w:spacing w:after="0"/>
              <w:jc w:val="right"/>
              <w:rPr>
                <w:sz w:val="20"/>
                <w:szCs w:val="20"/>
                <w:lang w:val="sr-Cyrl-CS"/>
              </w:rPr>
            </w:pPr>
            <w:r w:rsidRPr="00092ED7">
              <w:rPr>
                <w:sz w:val="20"/>
                <w:szCs w:val="20"/>
                <w:lang w:val="sr-Cyrl-CS"/>
              </w:rPr>
              <w:t>342,8</w:t>
            </w:r>
          </w:p>
        </w:tc>
      </w:tr>
      <w:tr w:rsidR="004B0AC2" w:rsidRPr="00092ED7" w14:paraId="03117003" w14:textId="77777777" w:rsidTr="00FB09AE">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39EC8DD7" w14:textId="77777777" w:rsidR="004B0AC2" w:rsidRPr="00092ED7" w:rsidRDefault="004B0AC2" w:rsidP="00FB09AE">
            <w:pPr>
              <w:spacing w:after="0"/>
              <w:jc w:val="left"/>
              <w:rPr>
                <w:rFonts w:eastAsia="Times New Roman" w:cs="Times New Roman"/>
                <w:sz w:val="20"/>
                <w:szCs w:val="20"/>
                <w:lang w:val="sr-Cyrl-CS"/>
              </w:rPr>
            </w:pPr>
            <w:bookmarkStart w:id="130" w:name="RANGE!B141"/>
            <w:r w:rsidRPr="00092ED7">
              <w:rPr>
                <w:rFonts w:eastAsia="Times New Roman" w:cs="Times New Roman"/>
                <w:sz w:val="20"/>
                <w:szCs w:val="20"/>
                <w:lang w:val="sr-Cyrl-CS"/>
              </w:rPr>
              <w:t>16 = 6. Укупни приходи</w:t>
            </w:r>
            <w:bookmarkEnd w:id="130"/>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430A41CE"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TR</w:t>
            </w:r>
          </w:p>
        </w:tc>
        <w:tc>
          <w:tcPr>
            <w:tcW w:w="1074" w:type="dxa"/>
            <w:tcBorders>
              <w:top w:val="nil"/>
              <w:left w:val="nil"/>
              <w:bottom w:val="dotted" w:sz="4" w:space="0" w:color="auto"/>
              <w:right w:val="dotted" w:sz="4" w:space="0" w:color="auto"/>
            </w:tcBorders>
            <w:shd w:val="clear" w:color="auto" w:fill="auto"/>
            <w:vAlign w:val="center"/>
            <w:hideMark/>
          </w:tcPr>
          <w:p w14:paraId="7B8B475C" w14:textId="77777777" w:rsidR="004B0AC2" w:rsidRPr="00092ED7" w:rsidRDefault="004B0AC2" w:rsidP="00FB09AE">
            <w:pPr>
              <w:spacing w:after="0"/>
              <w:jc w:val="right"/>
              <w:rPr>
                <w:sz w:val="20"/>
                <w:szCs w:val="20"/>
                <w:lang w:val="sr-Cyrl-CS"/>
              </w:rPr>
            </w:pPr>
            <w:r w:rsidRPr="00092ED7">
              <w:rPr>
                <w:sz w:val="20"/>
                <w:szCs w:val="20"/>
                <w:lang w:val="sr-Cyrl-CS"/>
              </w:rPr>
              <w:t>2.255,0</w:t>
            </w:r>
          </w:p>
        </w:tc>
        <w:tc>
          <w:tcPr>
            <w:tcW w:w="1074" w:type="dxa"/>
            <w:tcBorders>
              <w:top w:val="nil"/>
              <w:left w:val="nil"/>
              <w:bottom w:val="dotted" w:sz="4" w:space="0" w:color="auto"/>
              <w:right w:val="dotted" w:sz="4" w:space="0" w:color="auto"/>
            </w:tcBorders>
            <w:shd w:val="clear" w:color="auto" w:fill="auto"/>
            <w:vAlign w:val="center"/>
            <w:hideMark/>
          </w:tcPr>
          <w:p w14:paraId="293D9839" w14:textId="77777777" w:rsidR="004B0AC2" w:rsidRPr="00092ED7" w:rsidRDefault="004B0AC2" w:rsidP="00FB09AE">
            <w:pPr>
              <w:spacing w:after="0"/>
              <w:jc w:val="right"/>
              <w:rPr>
                <w:sz w:val="20"/>
                <w:szCs w:val="20"/>
                <w:lang w:val="sr-Cyrl-CS"/>
              </w:rPr>
            </w:pPr>
            <w:r w:rsidRPr="00092ED7">
              <w:rPr>
                <w:sz w:val="20"/>
                <w:szCs w:val="20"/>
                <w:lang w:val="sr-Cyrl-CS"/>
              </w:rPr>
              <w:t>2.711,9</w:t>
            </w:r>
          </w:p>
        </w:tc>
        <w:tc>
          <w:tcPr>
            <w:tcW w:w="1074" w:type="dxa"/>
            <w:gridSpan w:val="2"/>
            <w:tcBorders>
              <w:top w:val="nil"/>
              <w:left w:val="nil"/>
              <w:bottom w:val="dotted" w:sz="4" w:space="0" w:color="auto"/>
              <w:right w:val="dotted" w:sz="4" w:space="0" w:color="auto"/>
            </w:tcBorders>
            <w:shd w:val="clear" w:color="auto" w:fill="auto"/>
            <w:vAlign w:val="center"/>
            <w:hideMark/>
          </w:tcPr>
          <w:p w14:paraId="3B0589AA" w14:textId="77777777" w:rsidR="004B0AC2" w:rsidRPr="00092ED7" w:rsidRDefault="004B0AC2" w:rsidP="00FB09AE">
            <w:pPr>
              <w:spacing w:after="0"/>
              <w:jc w:val="right"/>
              <w:rPr>
                <w:sz w:val="20"/>
                <w:szCs w:val="20"/>
                <w:lang w:val="sr-Cyrl-CS"/>
              </w:rPr>
            </w:pPr>
            <w:r w:rsidRPr="00092ED7">
              <w:rPr>
                <w:sz w:val="20"/>
                <w:szCs w:val="20"/>
                <w:lang w:val="sr-Cyrl-CS"/>
              </w:rPr>
              <w:t>3.045,8</w:t>
            </w:r>
          </w:p>
        </w:tc>
        <w:tc>
          <w:tcPr>
            <w:tcW w:w="1074" w:type="dxa"/>
            <w:gridSpan w:val="2"/>
            <w:tcBorders>
              <w:top w:val="nil"/>
              <w:left w:val="nil"/>
              <w:bottom w:val="dotted" w:sz="4" w:space="0" w:color="auto"/>
              <w:right w:val="dotted" w:sz="4" w:space="0" w:color="auto"/>
            </w:tcBorders>
            <w:shd w:val="clear" w:color="auto" w:fill="auto"/>
            <w:vAlign w:val="center"/>
            <w:hideMark/>
          </w:tcPr>
          <w:p w14:paraId="5E7F191F" w14:textId="77777777" w:rsidR="004B0AC2" w:rsidRPr="00092ED7" w:rsidRDefault="004B0AC2" w:rsidP="00FB09AE">
            <w:pPr>
              <w:spacing w:after="0"/>
              <w:jc w:val="right"/>
              <w:rPr>
                <w:sz w:val="20"/>
                <w:szCs w:val="20"/>
                <w:lang w:val="sr-Cyrl-CS"/>
              </w:rPr>
            </w:pPr>
            <w:r w:rsidRPr="00092ED7">
              <w:rPr>
                <w:sz w:val="20"/>
                <w:szCs w:val="20"/>
                <w:lang w:val="sr-Cyrl-CS"/>
              </w:rPr>
              <w:t>3.283,5</w:t>
            </w:r>
          </w:p>
        </w:tc>
        <w:tc>
          <w:tcPr>
            <w:tcW w:w="1074" w:type="dxa"/>
            <w:tcBorders>
              <w:top w:val="nil"/>
              <w:left w:val="nil"/>
              <w:bottom w:val="dotted" w:sz="4" w:space="0" w:color="auto"/>
              <w:right w:val="dotted" w:sz="4" w:space="0" w:color="auto"/>
            </w:tcBorders>
            <w:shd w:val="clear" w:color="auto" w:fill="auto"/>
            <w:vAlign w:val="center"/>
            <w:hideMark/>
          </w:tcPr>
          <w:p w14:paraId="4CF39659" w14:textId="77777777" w:rsidR="004B0AC2" w:rsidRPr="00092ED7" w:rsidRDefault="004B0AC2" w:rsidP="00FB09AE">
            <w:pPr>
              <w:spacing w:after="0"/>
              <w:jc w:val="right"/>
              <w:rPr>
                <w:sz w:val="20"/>
                <w:szCs w:val="20"/>
                <w:lang w:val="sr-Cyrl-CS"/>
              </w:rPr>
            </w:pPr>
            <w:r w:rsidRPr="00092ED7">
              <w:rPr>
                <w:sz w:val="20"/>
                <w:szCs w:val="20"/>
                <w:lang w:val="sr-Cyrl-CS"/>
              </w:rPr>
              <w:t>3.543,8</w:t>
            </w:r>
          </w:p>
        </w:tc>
        <w:tc>
          <w:tcPr>
            <w:tcW w:w="1074" w:type="dxa"/>
            <w:tcBorders>
              <w:top w:val="nil"/>
              <w:left w:val="nil"/>
              <w:bottom w:val="dotted" w:sz="4" w:space="0" w:color="auto"/>
              <w:right w:val="double" w:sz="6" w:space="0" w:color="auto"/>
            </w:tcBorders>
            <w:shd w:val="clear" w:color="auto" w:fill="auto"/>
            <w:vAlign w:val="center"/>
            <w:hideMark/>
          </w:tcPr>
          <w:p w14:paraId="37DBB73D" w14:textId="77777777" w:rsidR="004B0AC2" w:rsidRPr="00092ED7" w:rsidRDefault="004B0AC2" w:rsidP="00FB09AE">
            <w:pPr>
              <w:spacing w:after="0"/>
              <w:jc w:val="right"/>
              <w:rPr>
                <w:sz w:val="20"/>
                <w:szCs w:val="20"/>
                <w:lang w:val="sr-Cyrl-CS"/>
              </w:rPr>
            </w:pPr>
            <w:r w:rsidRPr="00092ED7">
              <w:rPr>
                <w:sz w:val="20"/>
                <w:szCs w:val="20"/>
                <w:lang w:val="sr-Cyrl-CS"/>
              </w:rPr>
              <w:t>3.772,7</w:t>
            </w:r>
          </w:p>
        </w:tc>
      </w:tr>
      <w:bookmarkStart w:id="131" w:name="RANGE!B142"/>
      <w:tr w:rsidR="004B0AC2" w:rsidRPr="00092ED7" w14:paraId="4B59000B" w14:textId="77777777" w:rsidTr="00FB09AE">
        <w:trPr>
          <w:trHeight w:val="270"/>
        </w:trPr>
        <w:tc>
          <w:tcPr>
            <w:tcW w:w="6640" w:type="dxa"/>
            <w:tcBorders>
              <w:top w:val="nil"/>
              <w:left w:val="double" w:sz="6" w:space="0" w:color="auto"/>
              <w:bottom w:val="single" w:sz="8" w:space="0" w:color="auto"/>
              <w:right w:val="dotted" w:sz="4" w:space="0" w:color="auto"/>
            </w:tcBorders>
            <w:shd w:val="clear" w:color="auto" w:fill="auto"/>
            <w:vAlign w:val="center"/>
            <w:hideMark/>
          </w:tcPr>
          <w:p w14:paraId="4F02D631"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fldChar w:fldCharType="begin"/>
            </w:r>
            <w:r w:rsidRPr="00092ED7">
              <w:rPr>
                <w:rFonts w:eastAsia="Times New Roman" w:cs="Times New Roman"/>
                <w:sz w:val="20"/>
                <w:szCs w:val="20"/>
                <w:lang w:val="sr-Cyrl-CS"/>
              </w:rPr>
              <w:instrText xml:space="preserve"> HYPERLINK "file:///C:\\Users\\svetlana.aksentijevi\\AppData\\Local\\Microsoft\\Windows\\INetCache\\Content.MSO\\1D05A8A2.xlsx" \l "RANGE!B143" </w:instrText>
            </w:r>
            <w:r w:rsidRPr="00092ED7">
              <w:rPr>
                <w:rFonts w:eastAsia="Times New Roman" w:cs="Times New Roman"/>
                <w:sz w:val="20"/>
                <w:szCs w:val="20"/>
                <w:lang w:val="sr-Cyrl-CS"/>
              </w:rPr>
            </w:r>
            <w:r w:rsidRPr="00092ED7">
              <w:rPr>
                <w:rFonts w:eastAsia="Times New Roman" w:cs="Times New Roman"/>
                <w:sz w:val="20"/>
                <w:szCs w:val="20"/>
                <w:lang w:val="sr-Cyrl-CS"/>
              </w:rPr>
              <w:fldChar w:fldCharType="separate"/>
            </w:r>
            <w:r w:rsidRPr="00092ED7">
              <w:rPr>
                <w:rFonts w:eastAsia="Times New Roman" w:cs="Times New Roman"/>
                <w:sz w:val="20"/>
                <w:szCs w:val="20"/>
                <w:lang w:val="sr-Cyrl-CS"/>
              </w:rPr>
              <w:t>информативно: Пореско оптерећење (D2+D5+D61+D91-D995) [5]</w:t>
            </w:r>
            <w:r w:rsidRPr="00092ED7">
              <w:rPr>
                <w:rFonts w:eastAsia="Times New Roman" w:cs="Times New Roman"/>
                <w:sz w:val="20"/>
                <w:szCs w:val="20"/>
                <w:lang w:val="sr-Cyrl-CS"/>
              </w:rPr>
              <w:fldChar w:fldCharType="end"/>
            </w:r>
            <w:bookmarkEnd w:id="131"/>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3ADFEAFF" w14:textId="77777777" w:rsidR="004B0AC2" w:rsidRPr="00092ED7" w:rsidRDefault="004B0AC2" w:rsidP="00FB09AE">
            <w:pPr>
              <w:spacing w:after="0"/>
              <w:jc w:val="center"/>
              <w:rPr>
                <w:rFonts w:eastAsia="Times New Roman" w:cs="Times New Roman"/>
                <w:sz w:val="20"/>
                <w:szCs w:val="20"/>
                <w:lang w:val="sr-Cyrl-CS"/>
              </w:rPr>
            </w:pPr>
          </w:p>
        </w:tc>
        <w:tc>
          <w:tcPr>
            <w:tcW w:w="1074" w:type="dxa"/>
            <w:tcBorders>
              <w:top w:val="nil"/>
              <w:left w:val="nil"/>
              <w:bottom w:val="single" w:sz="4" w:space="0" w:color="auto"/>
              <w:right w:val="dotted" w:sz="4" w:space="0" w:color="auto"/>
            </w:tcBorders>
            <w:shd w:val="clear" w:color="auto" w:fill="auto"/>
            <w:vAlign w:val="center"/>
            <w:hideMark/>
          </w:tcPr>
          <w:p w14:paraId="3B471746" w14:textId="77777777" w:rsidR="004B0AC2" w:rsidRPr="00092ED7" w:rsidRDefault="004B0AC2" w:rsidP="00FB09AE">
            <w:pPr>
              <w:spacing w:after="0"/>
              <w:jc w:val="right"/>
              <w:rPr>
                <w:sz w:val="20"/>
                <w:szCs w:val="20"/>
                <w:lang w:val="sr-Cyrl-CS"/>
              </w:rPr>
            </w:pPr>
            <w:r w:rsidRPr="00092ED7">
              <w:rPr>
                <w:sz w:val="20"/>
                <w:szCs w:val="20"/>
                <w:lang w:val="sr-Cyrl-CS"/>
              </w:rPr>
              <w:t>1.990,8</w:t>
            </w:r>
          </w:p>
        </w:tc>
        <w:tc>
          <w:tcPr>
            <w:tcW w:w="1074" w:type="dxa"/>
            <w:tcBorders>
              <w:top w:val="nil"/>
              <w:left w:val="nil"/>
              <w:bottom w:val="single" w:sz="4" w:space="0" w:color="auto"/>
              <w:right w:val="dotted" w:sz="4" w:space="0" w:color="auto"/>
            </w:tcBorders>
            <w:shd w:val="clear" w:color="auto" w:fill="auto"/>
            <w:vAlign w:val="center"/>
            <w:hideMark/>
          </w:tcPr>
          <w:p w14:paraId="31549BB7" w14:textId="77777777" w:rsidR="004B0AC2" w:rsidRPr="00092ED7" w:rsidRDefault="004B0AC2" w:rsidP="00FB09AE">
            <w:pPr>
              <w:spacing w:after="0"/>
              <w:jc w:val="right"/>
              <w:rPr>
                <w:sz w:val="20"/>
                <w:szCs w:val="20"/>
                <w:lang w:val="sr-Cyrl-CS"/>
              </w:rPr>
            </w:pPr>
            <w:r w:rsidRPr="00092ED7">
              <w:rPr>
                <w:sz w:val="20"/>
                <w:szCs w:val="20"/>
                <w:lang w:val="sr-Cyrl-CS"/>
              </w:rPr>
              <w:t>2.420,1</w:t>
            </w:r>
          </w:p>
        </w:tc>
        <w:tc>
          <w:tcPr>
            <w:tcW w:w="1074" w:type="dxa"/>
            <w:gridSpan w:val="2"/>
            <w:tcBorders>
              <w:top w:val="nil"/>
              <w:left w:val="nil"/>
              <w:bottom w:val="single" w:sz="4" w:space="0" w:color="auto"/>
              <w:right w:val="dotted" w:sz="4" w:space="0" w:color="auto"/>
            </w:tcBorders>
            <w:shd w:val="clear" w:color="auto" w:fill="auto"/>
            <w:vAlign w:val="center"/>
            <w:hideMark/>
          </w:tcPr>
          <w:p w14:paraId="15E699AB" w14:textId="77777777" w:rsidR="004B0AC2" w:rsidRPr="00092ED7" w:rsidRDefault="004B0AC2" w:rsidP="00FB09AE">
            <w:pPr>
              <w:spacing w:after="0"/>
              <w:jc w:val="right"/>
              <w:rPr>
                <w:sz w:val="20"/>
                <w:szCs w:val="20"/>
                <w:lang w:val="sr-Cyrl-CS"/>
              </w:rPr>
            </w:pPr>
            <w:r w:rsidRPr="00092ED7">
              <w:rPr>
                <w:sz w:val="20"/>
                <w:szCs w:val="20"/>
                <w:lang w:val="sr-Cyrl-CS"/>
              </w:rPr>
              <w:t>2.673,3</w:t>
            </w:r>
          </w:p>
        </w:tc>
        <w:tc>
          <w:tcPr>
            <w:tcW w:w="1074" w:type="dxa"/>
            <w:gridSpan w:val="2"/>
            <w:tcBorders>
              <w:top w:val="nil"/>
              <w:left w:val="nil"/>
              <w:bottom w:val="single" w:sz="4" w:space="0" w:color="auto"/>
              <w:right w:val="dotted" w:sz="4" w:space="0" w:color="auto"/>
            </w:tcBorders>
            <w:shd w:val="clear" w:color="auto" w:fill="auto"/>
            <w:vAlign w:val="center"/>
            <w:hideMark/>
          </w:tcPr>
          <w:p w14:paraId="4AA1F4F6" w14:textId="77777777" w:rsidR="004B0AC2" w:rsidRPr="00092ED7" w:rsidRDefault="004B0AC2" w:rsidP="00FB09AE">
            <w:pPr>
              <w:spacing w:after="0"/>
              <w:jc w:val="right"/>
              <w:rPr>
                <w:sz w:val="20"/>
                <w:szCs w:val="20"/>
                <w:lang w:val="sr-Cyrl-CS"/>
              </w:rPr>
            </w:pPr>
            <w:r w:rsidRPr="00092ED7">
              <w:rPr>
                <w:sz w:val="20"/>
                <w:szCs w:val="20"/>
                <w:lang w:val="sr-Cyrl-CS"/>
              </w:rPr>
              <w:t>2.859,8</w:t>
            </w:r>
          </w:p>
        </w:tc>
        <w:tc>
          <w:tcPr>
            <w:tcW w:w="1074" w:type="dxa"/>
            <w:tcBorders>
              <w:top w:val="nil"/>
              <w:left w:val="nil"/>
              <w:bottom w:val="single" w:sz="4" w:space="0" w:color="auto"/>
              <w:right w:val="dotted" w:sz="4" w:space="0" w:color="auto"/>
            </w:tcBorders>
            <w:shd w:val="clear" w:color="auto" w:fill="auto"/>
            <w:vAlign w:val="center"/>
            <w:hideMark/>
          </w:tcPr>
          <w:p w14:paraId="423F51EA" w14:textId="77777777" w:rsidR="004B0AC2" w:rsidRPr="00092ED7" w:rsidRDefault="004B0AC2" w:rsidP="00FB09AE">
            <w:pPr>
              <w:spacing w:after="0"/>
              <w:jc w:val="right"/>
              <w:rPr>
                <w:sz w:val="20"/>
                <w:szCs w:val="20"/>
                <w:lang w:val="sr-Cyrl-CS"/>
              </w:rPr>
            </w:pPr>
            <w:r w:rsidRPr="00092ED7">
              <w:rPr>
                <w:sz w:val="20"/>
                <w:szCs w:val="20"/>
                <w:lang w:val="sr-Cyrl-CS"/>
              </w:rPr>
              <w:t>3.115,0</w:t>
            </w:r>
          </w:p>
        </w:tc>
        <w:tc>
          <w:tcPr>
            <w:tcW w:w="1074" w:type="dxa"/>
            <w:tcBorders>
              <w:top w:val="nil"/>
              <w:left w:val="nil"/>
              <w:bottom w:val="single" w:sz="4" w:space="0" w:color="auto"/>
              <w:right w:val="double" w:sz="6" w:space="0" w:color="auto"/>
            </w:tcBorders>
            <w:shd w:val="clear" w:color="auto" w:fill="auto"/>
            <w:vAlign w:val="center"/>
            <w:hideMark/>
          </w:tcPr>
          <w:p w14:paraId="123661F7" w14:textId="77777777" w:rsidR="004B0AC2" w:rsidRPr="00092ED7" w:rsidRDefault="004B0AC2" w:rsidP="00FB09AE">
            <w:pPr>
              <w:spacing w:after="0"/>
              <w:jc w:val="right"/>
              <w:rPr>
                <w:sz w:val="20"/>
                <w:szCs w:val="20"/>
                <w:lang w:val="sr-Cyrl-CS"/>
              </w:rPr>
            </w:pPr>
            <w:r w:rsidRPr="00092ED7">
              <w:rPr>
                <w:sz w:val="20"/>
                <w:szCs w:val="20"/>
                <w:lang w:val="sr-Cyrl-CS"/>
              </w:rPr>
              <w:t>3.328,5</w:t>
            </w:r>
          </w:p>
        </w:tc>
      </w:tr>
      <w:tr w:rsidR="004B0AC2" w:rsidRPr="00092ED7" w14:paraId="6F08C38E" w14:textId="77777777" w:rsidTr="00FB09AE">
        <w:trPr>
          <w:trHeight w:val="255"/>
        </w:trPr>
        <w:tc>
          <w:tcPr>
            <w:tcW w:w="6640" w:type="dxa"/>
            <w:tcBorders>
              <w:top w:val="nil"/>
              <w:left w:val="double" w:sz="6" w:space="0" w:color="auto"/>
              <w:bottom w:val="single" w:sz="4" w:space="0" w:color="auto"/>
              <w:right w:val="nil"/>
            </w:tcBorders>
            <w:shd w:val="clear" w:color="auto" w:fill="auto"/>
            <w:vAlign w:val="center"/>
            <w:hideMark/>
          </w:tcPr>
          <w:p w14:paraId="3063927E" w14:textId="77777777" w:rsidR="004B0AC2" w:rsidRPr="00092ED7" w:rsidRDefault="004B0AC2" w:rsidP="00FB09AE">
            <w:pPr>
              <w:spacing w:after="0"/>
              <w:jc w:val="left"/>
              <w:rPr>
                <w:rFonts w:eastAsia="Times New Roman" w:cs="Times New Roman"/>
                <w:b/>
                <w:bCs/>
                <w:sz w:val="20"/>
                <w:szCs w:val="20"/>
                <w:lang w:val="sr-Cyrl-CS"/>
              </w:rPr>
            </w:pPr>
            <w:bookmarkStart w:id="132" w:name="RANGE!B143"/>
            <w:r w:rsidRPr="00092ED7">
              <w:rPr>
                <w:rFonts w:eastAsia="Times New Roman" w:cs="Times New Roman"/>
                <w:b/>
                <w:bCs/>
                <w:sz w:val="20"/>
                <w:szCs w:val="20"/>
                <w:lang w:val="sr-Cyrl-CS"/>
              </w:rPr>
              <w:t>Изабране компоненте расхода</w:t>
            </w:r>
            <w:bookmarkEnd w:id="132"/>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76F7C635" w14:textId="77777777" w:rsidR="004B0AC2" w:rsidRPr="00092ED7" w:rsidRDefault="004B0AC2" w:rsidP="00FB09AE">
            <w:pPr>
              <w:spacing w:after="0"/>
              <w:jc w:val="center"/>
              <w:rPr>
                <w:rFonts w:eastAsia="Times New Roman" w:cs="Times New Roman"/>
                <w:b/>
                <w:bCs/>
                <w:sz w:val="20"/>
                <w:szCs w:val="20"/>
                <w:lang w:val="sr-Cyrl-CS"/>
              </w:rPr>
            </w:pPr>
          </w:p>
        </w:tc>
        <w:tc>
          <w:tcPr>
            <w:tcW w:w="1074" w:type="dxa"/>
            <w:tcBorders>
              <w:top w:val="nil"/>
              <w:left w:val="nil"/>
              <w:bottom w:val="single" w:sz="4" w:space="0" w:color="auto"/>
              <w:right w:val="nil"/>
            </w:tcBorders>
            <w:shd w:val="clear" w:color="auto" w:fill="auto"/>
            <w:vAlign w:val="center"/>
            <w:hideMark/>
          </w:tcPr>
          <w:p w14:paraId="1A7BE8AD"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nil"/>
            </w:tcBorders>
            <w:shd w:val="clear" w:color="auto" w:fill="auto"/>
            <w:vAlign w:val="center"/>
            <w:hideMark/>
          </w:tcPr>
          <w:p w14:paraId="1E99ED6C"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gridSpan w:val="2"/>
            <w:tcBorders>
              <w:top w:val="nil"/>
              <w:left w:val="nil"/>
              <w:bottom w:val="single" w:sz="4" w:space="0" w:color="auto"/>
              <w:right w:val="nil"/>
            </w:tcBorders>
            <w:shd w:val="clear" w:color="auto" w:fill="auto"/>
            <w:vAlign w:val="center"/>
            <w:hideMark/>
          </w:tcPr>
          <w:p w14:paraId="12360108"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gridSpan w:val="2"/>
            <w:tcBorders>
              <w:top w:val="nil"/>
              <w:left w:val="nil"/>
              <w:bottom w:val="single" w:sz="4" w:space="0" w:color="auto"/>
              <w:right w:val="nil"/>
            </w:tcBorders>
            <w:shd w:val="clear" w:color="auto" w:fill="auto"/>
            <w:vAlign w:val="center"/>
            <w:hideMark/>
          </w:tcPr>
          <w:p w14:paraId="3CD25D9B"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nil"/>
            </w:tcBorders>
            <w:shd w:val="clear" w:color="auto" w:fill="auto"/>
            <w:vAlign w:val="center"/>
            <w:hideMark/>
          </w:tcPr>
          <w:p w14:paraId="6D5DEB02"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double" w:sz="6" w:space="0" w:color="auto"/>
            </w:tcBorders>
            <w:shd w:val="clear" w:color="auto" w:fill="auto"/>
            <w:vAlign w:val="center"/>
            <w:hideMark/>
          </w:tcPr>
          <w:p w14:paraId="470D948D"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r>
      <w:tr w:rsidR="004B0AC2" w:rsidRPr="00092ED7" w14:paraId="284FF105"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3E4312BA" w14:textId="77777777" w:rsidR="004B0AC2" w:rsidRPr="00092ED7" w:rsidRDefault="004B0AC2" w:rsidP="00FB09AE">
            <w:pPr>
              <w:spacing w:after="0"/>
              <w:jc w:val="left"/>
              <w:rPr>
                <w:rFonts w:eastAsia="Times New Roman" w:cs="Times New Roman"/>
                <w:sz w:val="20"/>
                <w:szCs w:val="20"/>
                <w:lang w:val="sr-Cyrl-CS"/>
              </w:rPr>
            </w:pPr>
            <w:bookmarkStart w:id="133" w:name="RANGE!B144"/>
            <w:r w:rsidRPr="00092ED7">
              <w:rPr>
                <w:rFonts w:eastAsia="Times New Roman" w:cs="Times New Roman"/>
                <w:sz w:val="20"/>
                <w:szCs w:val="20"/>
                <w:lang w:val="sr-Cyrl-CS"/>
              </w:rPr>
              <w:t>17. Колективна потрошња</w:t>
            </w:r>
            <w:bookmarkEnd w:id="133"/>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2E323207" w14:textId="77777777" w:rsidR="004B0AC2" w:rsidRPr="00092ED7" w:rsidRDefault="004B0AC2" w:rsidP="00FB09AE">
            <w:pPr>
              <w:spacing w:after="0"/>
              <w:jc w:val="center"/>
              <w:rPr>
                <w:sz w:val="20"/>
                <w:szCs w:val="20"/>
                <w:lang w:val="sr-Cyrl-CS"/>
              </w:rPr>
            </w:pPr>
            <w:r w:rsidRPr="00092ED7">
              <w:rPr>
                <w:sz w:val="20"/>
                <w:szCs w:val="20"/>
                <w:lang w:val="sr-Cyrl-CS"/>
              </w:rPr>
              <w:t>P32</w:t>
            </w:r>
          </w:p>
        </w:tc>
        <w:tc>
          <w:tcPr>
            <w:tcW w:w="1074" w:type="dxa"/>
            <w:tcBorders>
              <w:top w:val="nil"/>
              <w:left w:val="nil"/>
              <w:bottom w:val="dotted" w:sz="4" w:space="0" w:color="auto"/>
              <w:right w:val="dotted" w:sz="4" w:space="0" w:color="auto"/>
            </w:tcBorders>
            <w:shd w:val="clear" w:color="auto" w:fill="auto"/>
            <w:vAlign w:val="center"/>
            <w:hideMark/>
          </w:tcPr>
          <w:p w14:paraId="56B602D2" w14:textId="77777777" w:rsidR="004B0AC2" w:rsidRPr="00092ED7" w:rsidRDefault="004B0AC2" w:rsidP="00FB09AE">
            <w:pPr>
              <w:spacing w:after="0"/>
              <w:jc w:val="right"/>
              <w:rPr>
                <w:sz w:val="20"/>
                <w:szCs w:val="20"/>
                <w:lang w:val="sr-Cyrl-CS"/>
              </w:rPr>
            </w:pPr>
            <w:r w:rsidRPr="00092ED7">
              <w:rPr>
                <w:sz w:val="20"/>
                <w:szCs w:val="20"/>
                <w:lang w:val="sr-Cyrl-CS"/>
              </w:rPr>
              <w:t>1.019,9</w:t>
            </w:r>
          </w:p>
        </w:tc>
        <w:tc>
          <w:tcPr>
            <w:tcW w:w="1074" w:type="dxa"/>
            <w:tcBorders>
              <w:top w:val="nil"/>
              <w:left w:val="nil"/>
              <w:bottom w:val="dotted" w:sz="4" w:space="0" w:color="auto"/>
              <w:right w:val="dotted" w:sz="4" w:space="0" w:color="auto"/>
            </w:tcBorders>
            <w:shd w:val="clear" w:color="auto" w:fill="auto"/>
            <w:vAlign w:val="center"/>
            <w:hideMark/>
          </w:tcPr>
          <w:p w14:paraId="1F9708AF" w14:textId="77777777" w:rsidR="004B0AC2" w:rsidRPr="00092ED7" w:rsidRDefault="004B0AC2" w:rsidP="00FB09AE">
            <w:pPr>
              <w:spacing w:after="0"/>
              <w:jc w:val="right"/>
              <w:rPr>
                <w:sz w:val="20"/>
                <w:szCs w:val="20"/>
                <w:lang w:val="sr-Cyrl-CS"/>
              </w:rPr>
            </w:pPr>
            <w:r w:rsidRPr="00092ED7">
              <w:rPr>
                <w:sz w:val="20"/>
                <w:szCs w:val="20"/>
                <w:lang w:val="sr-Cyrl-CS"/>
              </w:rPr>
              <w:t>1.119,3</w:t>
            </w:r>
          </w:p>
        </w:tc>
        <w:tc>
          <w:tcPr>
            <w:tcW w:w="1074" w:type="dxa"/>
            <w:gridSpan w:val="2"/>
            <w:tcBorders>
              <w:top w:val="nil"/>
              <w:left w:val="nil"/>
              <w:bottom w:val="dotted" w:sz="4" w:space="0" w:color="auto"/>
              <w:right w:val="dotted" w:sz="4" w:space="0" w:color="auto"/>
            </w:tcBorders>
            <w:shd w:val="clear" w:color="auto" w:fill="auto"/>
            <w:vAlign w:val="center"/>
            <w:hideMark/>
          </w:tcPr>
          <w:p w14:paraId="0034E59D" w14:textId="77777777" w:rsidR="004B0AC2" w:rsidRPr="00092ED7" w:rsidRDefault="004B0AC2" w:rsidP="00FB09AE">
            <w:pPr>
              <w:spacing w:after="0"/>
              <w:jc w:val="right"/>
              <w:rPr>
                <w:sz w:val="20"/>
                <w:szCs w:val="20"/>
                <w:lang w:val="sr-Cyrl-CS"/>
              </w:rPr>
            </w:pPr>
            <w:r w:rsidRPr="00092ED7">
              <w:rPr>
                <w:sz w:val="20"/>
                <w:szCs w:val="20"/>
                <w:lang w:val="sr-Cyrl-CS"/>
              </w:rPr>
              <w:t>1.239,3</w:t>
            </w:r>
          </w:p>
        </w:tc>
        <w:tc>
          <w:tcPr>
            <w:tcW w:w="1074" w:type="dxa"/>
            <w:gridSpan w:val="2"/>
            <w:tcBorders>
              <w:top w:val="nil"/>
              <w:left w:val="nil"/>
              <w:bottom w:val="dotted" w:sz="4" w:space="0" w:color="auto"/>
              <w:right w:val="dotted" w:sz="4" w:space="0" w:color="auto"/>
            </w:tcBorders>
            <w:shd w:val="clear" w:color="auto" w:fill="auto"/>
            <w:vAlign w:val="center"/>
            <w:hideMark/>
          </w:tcPr>
          <w:p w14:paraId="085968D1" w14:textId="77777777" w:rsidR="004B0AC2" w:rsidRPr="00092ED7" w:rsidRDefault="004B0AC2" w:rsidP="00FB09AE">
            <w:pPr>
              <w:spacing w:after="0"/>
              <w:jc w:val="right"/>
              <w:rPr>
                <w:sz w:val="20"/>
                <w:szCs w:val="20"/>
                <w:lang w:val="sr-Cyrl-CS"/>
              </w:rPr>
            </w:pPr>
            <w:r w:rsidRPr="00092ED7">
              <w:rPr>
                <w:sz w:val="20"/>
                <w:szCs w:val="20"/>
                <w:lang w:val="sr-Cyrl-CS"/>
              </w:rPr>
              <w:t>1.340,7</w:t>
            </w:r>
          </w:p>
        </w:tc>
        <w:tc>
          <w:tcPr>
            <w:tcW w:w="1074" w:type="dxa"/>
            <w:tcBorders>
              <w:top w:val="nil"/>
              <w:left w:val="nil"/>
              <w:bottom w:val="dotted" w:sz="4" w:space="0" w:color="auto"/>
              <w:right w:val="dotted" w:sz="4" w:space="0" w:color="auto"/>
            </w:tcBorders>
            <w:shd w:val="clear" w:color="auto" w:fill="auto"/>
            <w:vAlign w:val="center"/>
            <w:hideMark/>
          </w:tcPr>
          <w:p w14:paraId="6916D6EB" w14:textId="77777777" w:rsidR="004B0AC2" w:rsidRPr="00092ED7" w:rsidRDefault="004B0AC2" w:rsidP="00FB09AE">
            <w:pPr>
              <w:spacing w:after="0"/>
              <w:jc w:val="right"/>
              <w:rPr>
                <w:sz w:val="20"/>
                <w:szCs w:val="20"/>
                <w:lang w:val="sr-Cyrl-CS"/>
              </w:rPr>
            </w:pPr>
            <w:r w:rsidRPr="00092ED7">
              <w:rPr>
                <w:sz w:val="20"/>
                <w:szCs w:val="20"/>
                <w:lang w:val="sr-Cyrl-CS"/>
              </w:rPr>
              <w:t>1.446,8</w:t>
            </w:r>
          </w:p>
        </w:tc>
        <w:tc>
          <w:tcPr>
            <w:tcW w:w="1074" w:type="dxa"/>
            <w:tcBorders>
              <w:top w:val="nil"/>
              <w:left w:val="nil"/>
              <w:bottom w:val="dotted" w:sz="4" w:space="0" w:color="auto"/>
              <w:right w:val="double" w:sz="6" w:space="0" w:color="auto"/>
            </w:tcBorders>
            <w:shd w:val="clear" w:color="auto" w:fill="auto"/>
            <w:vAlign w:val="center"/>
            <w:hideMark/>
          </w:tcPr>
          <w:p w14:paraId="2C3FD80B" w14:textId="77777777" w:rsidR="004B0AC2" w:rsidRPr="00092ED7" w:rsidRDefault="004B0AC2" w:rsidP="00FB09AE">
            <w:pPr>
              <w:spacing w:after="0"/>
              <w:jc w:val="right"/>
              <w:rPr>
                <w:sz w:val="20"/>
                <w:szCs w:val="20"/>
                <w:lang w:val="sr-Cyrl-CS"/>
              </w:rPr>
            </w:pPr>
            <w:r w:rsidRPr="00092ED7">
              <w:rPr>
                <w:sz w:val="20"/>
                <w:szCs w:val="20"/>
                <w:lang w:val="sr-Cyrl-CS"/>
              </w:rPr>
              <w:t>1.545,9</w:t>
            </w:r>
          </w:p>
        </w:tc>
      </w:tr>
      <w:tr w:rsidR="004B0AC2" w:rsidRPr="00092ED7" w14:paraId="226E8CB0"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1DDE0A2F" w14:textId="77777777" w:rsidR="004B0AC2" w:rsidRPr="00092ED7" w:rsidRDefault="004B0AC2" w:rsidP="00FB09AE">
            <w:pPr>
              <w:spacing w:after="0"/>
              <w:jc w:val="left"/>
              <w:rPr>
                <w:rFonts w:eastAsia="Times New Roman" w:cs="Times New Roman"/>
                <w:sz w:val="20"/>
                <w:szCs w:val="20"/>
                <w:lang w:val="sr-Cyrl-CS"/>
              </w:rPr>
            </w:pPr>
            <w:bookmarkStart w:id="134" w:name="RANGE!B145"/>
            <w:r w:rsidRPr="00092ED7">
              <w:rPr>
                <w:rFonts w:eastAsia="Times New Roman" w:cs="Times New Roman"/>
                <w:sz w:val="20"/>
                <w:szCs w:val="20"/>
                <w:lang w:val="sr-Cyrl-CS"/>
              </w:rPr>
              <w:t>18. Укупни социјални трансфери</w:t>
            </w:r>
            <w:bookmarkEnd w:id="134"/>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6A397DD8" w14:textId="77777777" w:rsidR="004B0AC2" w:rsidRPr="00092ED7" w:rsidRDefault="004B0AC2" w:rsidP="00FB09AE">
            <w:pPr>
              <w:spacing w:after="0"/>
              <w:jc w:val="center"/>
              <w:rPr>
                <w:sz w:val="20"/>
                <w:szCs w:val="20"/>
                <w:lang w:val="sr-Cyrl-CS"/>
              </w:rPr>
            </w:pPr>
            <w:r w:rsidRPr="00092ED7">
              <w:rPr>
                <w:sz w:val="20"/>
                <w:szCs w:val="20"/>
                <w:lang w:val="sr-Cyrl-CS"/>
              </w:rPr>
              <w:t>D62 + D63</w:t>
            </w:r>
          </w:p>
        </w:tc>
        <w:tc>
          <w:tcPr>
            <w:tcW w:w="1074" w:type="dxa"/>
            <w:tcBorders>
              <w:top w:val="nil"/>
              <w:left w:val="nil"/>
              <w:bottom w:val="dotted" w:sz="4" w:space="0" w:color="auto"/>
              <w:right w:val="dotted" w:sz="4" w:space="0" w:color="auto"/>
            </w:tcBorders>
            <w:shd w:val="clear" w:color="auto" w:fill="auto"/>
            <w:vAlign w:val="center"/>
            <w:hideMark/>
          </w:tcPr>
          <w:p w14:paraId="3A9DC054" w14:textId="77777777" w:rsidR="004B0AC2" w:rsidRPr="00092ED7" w:rsidRDefault="004B0AC2" w:rsidP="00FB09AE">
            <w:pPr>
              <w:spacing w:after="0"/>
              <w:jc w:val="right"/>
              <w:rPr>
                <w:sz w:val="20"/>
                <w:szCs w:val="20"/>
                <w:lang w:val="sr-Cyrl-CS"/>
              </w:rPr>
            </w:pPr>
            <w:r w:rsidRPr="00092ED7">
              <w:rPr>
                <w:sz w:val="20"/>
                <w:szCs w:val="20"/>
                <w:lang w:val="sr-Cyrl-CS"/>
              </w:rPr>
              <w:t>806,3</w:t>
            </w:r>
          </w:p>
        </w:tc>
        <w:tc>
          <w:tcPr>
            <w:tcW w:w="1074" w:type="dxa"/>
            <w:tcBorders>
              <w:top w:val="nil"/>
              <w:left w:val="nil"/>
              <w:bottom w:val="dotted" w:sz="4" w:space="0" w:color="auto"/>
              <w:right w:val="dotted" w:sz="4" w:space="0" w:color="auto"/>
            </w:tcBorders>
            <w:shd w:val="clear" w:color="auto" w:fill="auto"/>
            <w:vAlign w:val="center"/>
            <w:hideMark/>
          </w:tcPr>
          <w:p w14:paraId="50E82FD4" w14:textId="77777777" w:rsidR="004B0AC2" w:rsidRPr="00092ED7" w:rsidRDefault="004B0AC2" w:rsidP="00FB09AE">
            <w:pPr>
              <w:spacing w:after="0"/>
              <w:jc w:val="right"/>
              <w:rPr>
                <w:sz w:val="20"/>
                <w:szCs w:val="20"/>
                <w:lang w:val="sr-Cyrl-CS"/>
              </w:rPr>
            </w:pPr>
            <w:r w:rsidRPr="00092ED7">
              <w:rPr>
                <w:sz w:val="20"/>
                <w:szCs w:val="20"/>
                <w:lang w:val="sr-Cyrl-CS"/>
              </w:rPr>
              <w:t>850,0</w:t>
            </w:r>
          </w:p>
        </w:tc>
        <w:tc>
          <w:tcPr>
            <w:tcW w:w="1074" w:type="dxa"/>
            <w:gridSpan w:val="2"/>
            <w:tcBorders>
              <w:top w:val="nil"/>
              <w:left w:val="nil"/>
              <w:bottom w:val="dotted" w:sz="4" w:space="0" w:color="auto"/>
              <w:right w:val="dotted" w:sz="4" w:space="0" w:color="auto"/>
            </w:tcBorders>
            <w:shd w:val="clear" w:color="auto" w:fill="auto"/>
            <w:vAlign w:val="center"/>
            <w:hideMark/>
          </w:tcPr>
          <w:p w14:paraId="767FC5A2" w14:textId="77777777" w:rsidR="004B0AC2" w:rsidRPr="00092ED7" w:rsidRDefault="004B0AC2" w:rsidP="00FB09AE">
            <w:pPr>
              <w:spacing w:after="0"/>
              <w:jc w:val="right"/>
              <w:rPr>
                <w:sz w:val="20"/>
                <w:szCs w:val="20"/>
                <w:lang w:val="sr-Cyrl-CS"/>
              </w:rPr>
            </w:pPr>
            <w:r w:rsidRPr="00092ED7">
              <w:rPr>
                <w:sz w:val="20"/>
                <w:szCs w:val="20"/>
                <w:lang w:val="sr-Cyrl-CS"/>
              </w:rPr>
              <w:t>921,9</w:t>
            </w:r>
          </w:p>
        </w:tc>
        <w:tc>
          <w:tcPr>
            <w:tcW w:w="1074" w:type="dxa"/>
            <w:gridSpan w:val="2"/>
            <w:tcBorders>
              <w:top w:val="nil"/>
              <w:left w:val="nil"/>
              <w:bottom w:val="dotted" w:sz="4" w:space="0" w:color="auto"/>
              <w:right w:val="dotted" w:sz="4" w:space="0" w:color="auto"/>
            </w:tcBorders>
            <w:shd w:val="clear" w:color="auto" w:fill="auto"/>
            <w:vAlign w:val="center"/>
            <w:hideMark/>
          </w:tcPr>
          <w:p w14:paraId="1ECDCE17" w14:textId="77777777" w:rsidR="004B0AC2" w:rsidRPr="00092ED7" w:rsidRDefault="004B0AC2" w:rsidP="00FB09AE">
            <w:pPr>
              <w:spacing w:after="0"/>
              <w:jc w:val="right"/>
              <w:rPr>
                <w:sz w:val="20"/>
                <w:szCs w:val="20"/>
                <w:lang w:val="sr-Cyrl-CS"/>
              </w:rPr>
            </w:pPr>
            <w:r w:rsidRPr="00092ED7">
              <w:rPr>
                <w:sz w:val="20"/>
                <w:szCs w:val="20"/>
                <w:lang w:val="sr-Cyrl-CS"/>
              </w:rPr>
              <w:t>1.041,6</w:t>
            </w:r>
          </w:p>
        </w:tc>
        <w:tc>
          <w:tcPr>
            <w:tcW w:w="1074" w:type="dxa"/>
            <w:tcBorders>
              <w:top w:val="nil"/>
              <w:left w:val="nil"/>
              <w:bottom w:val="dotted" w:sz="4" w:space="0" w:color="auto"/>
              <w:right w:val="dotted" w:sz="4" w:space="0" w:color="auto"/>
            </w:tcBorders>
            <w:shd w:val="clear" w:color="auto" w:fill="auto"/>
            <w:vAlign w:val="center"/>
            <w:hideMark/>
          </w:tcPr>
          <w:p w14:paraId="5868141B" w14:textId="77777777" w:rsidR="004B0AC2" w:rsidRPr="00092ED7" w:rsidRDefault="004B0AC2" w:rsidP="00FB09AE">
            <w:pPr>
              <w:spacing w:after="0"/>
              <w:jc w:val="right"/>
              <w:rPr>
                <w:sz w:val="20"/>
                <w:szCs w:val="20"/>
                <w:lang w:val="sr-Cyrl-CS"/>
              </w:rPr>
            </w:pPr>
            <w:r w:rsidRPr="00092ED7">
              <w:rPr>
                <w:sz w:val="20"/>
                <w:szCs w:val="20"/>
                <w:lang w:val="sr-Cyrl-CS"/>
              </w:rPr>
              <w:t>1.155,2</w:t>
            </w:r>
          </w:p>
        </w:tc>
        <w:tc>
          <w:tcPr>
            <w:tcW w:w="1074" w:type="dxa"/>
            <w:tcBorders>
              <w:top w:val="nil"/>
              <w:left w:val="nil"/>
              <w:bottom w:val="dotted" w:sz="4" w:space="0" w:color="auto"/>
              <w:right w:val="double" w:sz="6" w:space="0" w:color="auto"/>
            </w:tcBorders>
            <w:shd w:val="clear" w:color="auto" w:fill="auto"/>
            <w:vAlign w:val="center"/>
            <w:hideMark/>
          </w:tcPr>
          <w:p w14:paraId="2BD84227" w14:textId="77777777" w:rsidR="004B0AC2" w:rsidRPr="00092ED7" w:rsidRDefault="004B0AC2" w:rsidP="00FB09AE">
            <w:pPr>
              <w:spacing w:after="0"/>
              <w:jc w:val="right"/>
              <w:rPr>
                <w:sz w:val="20"/>
                <w:szCs w:val="20"/>
                <w:lang w:val="sr-Cyrl-CS"/>
              </w:rPr>
            </w:pPr>
            <w:r w:rsidRPr="00092ED7">
              <w:rPr>
                <w:sz w:val="20"/>
                <w:szCs w:val="20"/>
                <w:lang w:val="sr-Cyrl-CS"/>
              </w:rPr>
              <w:t>1.242,9</w:t>
            </w:r>
          </w:p>
        </w:tc>
      </w:tr>
      <w:tr w:rsidR="004B0AC2" w:rsidRPr="00092ED7" w14:paraId="059F5A2D"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06181076"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18a. Неновчани социјални трансфери</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643C2E25" w14:textId="77777777" w:rsidR="004B0AC2" w:rsidRPr="00092ED7" w:rsidRDefault="004B0AC2" w:rsidP="00FB09AE">
            <w:pPr>
              <w:spacing w:after="0"/>
              <w:jc w:val="center"/>
              <w:rPr>
                <w:sz w:val="20"/>
                <w:szCs w:val="20"/>
                <w:lang w:val="sr-Cyrl-CS"/>
              </w:rPr>
            </w:pPr>
            <w:r w:rsidRPr="00092ED7">
              <w:rPr>
                <w:sz w:val="20"/>
                <w:szCs w:val="20"/>
                <w:lang w:val="sr-Cyrl-CS"/>
              </w:rPr>
              <w:t>P31 = D63</w:t>
            </w:r>
          </w:p>
        </w:tc>
        <w:tc>
          <w:tcPr>
            <w:tcW w:w="1074" w:type="dxa"/>
            <w:tcBorders>
              <w:top w:val="nil"/>
              <w:left w:val="nil"/>
              <w:bottom w:val="dotted" w:sz="4" w:space="0" w:color="auto"/>
              <w:right w:val="dotted" w:sz="4" w:space="0" w:color="auto"/>
            </w:tcBorders>
            <w:shd w:val="clear" w:color="auto" w:fill="auto"/>
            <w:vAlign w:val="center"/>
            <w:hideMark/>
          </w:tcPr>
          <w:p w14:paraId="73C332E1"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tcBorders>
              <w:top w:val="nil"/>
              <w:left w:val="nil"/>
              <w:bottom w:val="dotted" w:sz="4" w:space="0" w:color="auto"/>
              <w:right w:val="dotted" w:sz="4" w:space="0" w:color="auto"/>
            </w:tcBorders>
            <w:shd w:val="clear" w:color="auto" w:fill="auto"/>
            <w:vAlign w:val="center"/>
            <w:hideMark/>
          </w:tcPr>
          <w:p w14:paraId="2283E218"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gridSpan w:val="2"/>
            <w:tcBorders>
              <w:top w:val="nil"/>
              <w:left w:val="nil"/>
              <w:bottom w:val="dotted" w:sz="4" w:space="0" w:color="auto"/>
              <w:right w:val="dotted" w:sz="4" w:space="0" w:color="auto"/>
            </w:tcBorders>
            <w:shd w:val="clear" w:color="auto" w:fill="auto"/>
            <w:vAlign w:val="center"/>
            <w:hideMark/>
          </w:tcPr>
          <w:p w14:paraId="38856C0A"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gridSpan w:val="2"/>
            <w:tcBorders>
              <w:top w:val="nil"/>
              <w:left w:val="nil"/>
              <w:bottom w:val="dotted" w:sz="4" w:space="0" w:color="auto"/>
              <w:right w:val="dotted" w:sz="4" w:space="0" w:color="auto"/>
            </w:tcBorders>
            <w:shd w:val="clear" w:color="auto" w:fill="auto"/>
            <w:vAlign w:val="center"/>
            <w:hideMark/>
          </w:tcPr>
          <w:p w14:paraId="718E93BF"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tcBorders>
              <w:top w:val="nil"/>
              <w:left w:val="nil"/>
              <w:bottom w:val="dotted" w:sz="4" w:space="0" w:color="auto"/>
              <w:right w:val="dotted" w:sz="4" w:space="0" w:color="auto"/>
            </w:tcBorders>
            <w:shd w:val="clear" w:color="auto" w:fill="auto"/>
            <w:vAlign w:val="center"/>
            <w:hideMark/>
          </w:tcPr>
          <w:p w14:paraId="05C6F79B"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tcBorders>
              <w:top w:val="nil"/>
              <w:left w:val="nil"/>
              <w:bottom w:val="dotted" w:sz="4" w:space="0" w:color="auto"/>
              <w:right w:val="double" w:sz="6" w:space="0" w:color="auto"/>
            </w:tcBorders>
            <w:shd w:val="clear" w:color="auto" w:fill="auto"/>
            <w:vAlign w:val="center"/>
            <w:hideMark/>
          </w:tcPr>
          <w:p w14:paraId="3D15BA78" w14:textId="77777777" w:rsidR="004B0AC2" w:rsidRPr="00092ED7" w:rsidRDefault="004B0AC2" w:rsidP="00FB09AE">
            <w:pPr>
              <w:spacing w:after="0"/>
              <w:jc w:val="right"/>
              <w:rPr>
                <w:sz w:val="20"/>
                <w:szCs w:val="20"/>
                <w:lang w:val="sr-Cyrl-CS"/>
              </w:rPr>
            </w:pPr>
            <w:r w:rsidRPr="00092ED7">
              <w:rPr>
                <w:sz w:val="20"/>
                <w:szCs w:val="20"/>
                <w:lang w:val="sr-Cyrl-CS"/>
              </w:rPr>
              <w:t> </w:t>
            </w:r>
          </w:p>
        </w:tc>
      </w:tr>
      <w:tr w:rsidR="004B0AC2" w:rsidRPr="00092ED7" w14:paraId="036A5DBB"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4D5315E3"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18b. Социјални трансфери осим неновчаних</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077B7F62" w14:textId="77777777" w:rsidR="004B0AC2" w:rsidRPr="00092ED7" w:rsidRDefault="004B0AC2" w:rsidP="00FB09AE">
            <w:pPr>
              <w:spacing w:after="0"/>
              <w:jc w:val="center"/>
              <w:rPr>
                <w:sz w:val="20"/>
                <w:szCs w:val="20"/>
                <w:lang w:val="sr-Cyrl-CS"/>
              </w:rPr>
            </w:pPr>
            <w:r w:rsidRPr="00092ED7">
              <w:rPr>
                <w:sz w:val="20"/>
                <w:szCs w:val="20"/>
                <w:lang w:val="sr-Cyrl-CS"/>
              </w:rPr>
              <w:t>D62</w:t>
            </w:r>
          </w:p>
        </w:tc>
        <w:tc>
          <w:tcPr>
            <w:tcW w:w="1074" w:type="dxa"/>
            <w:tcBorders>
              <w:top w:val="nil"/>
              <w:left w:val="nil"/>
              <w:bottom w:val="dotted" w:sz="4" w:space="0" w:color="auto"/>
              <w:right w:val="dotted" w:sz="4" w:space="0" w:color="auto"/>
            </w:tcBorders>
            <w:shd w:val="clear" w:color="auto" w:fill="auto"/>
            <w:vAlign w:val="center"/>
            <w:hideMark/>
          </w:tcPr>
          <w:p w14:paraId="27D284E1" w14:textId="77777777" w:rsidR="004B0AC2" w:rsidRPr="00092ED7" w:rsidRDefault="004B0AC2" w:rsidP="00FB09AE">
            <w:pPr>
              <w:spacing w:after="0"/>
              <w:jc w:val="right"/>
              <w:rPr>
                <w:sz w:val="20"/>
                <w:szCs w:val="20"/>
                <w:lang w:val="sr-Cyrl-CS"/>
              </w:rPr>
            </w:pPr>
            <w:r w:rsidRPr="00092ED7">
              <w:rPr>
                <w:sz w:val="20"/>
                <w:szCs w:val="20"/>
                <w:lang w:val="sr-Cyrl-CS"/>
              </w:rPr>
              <w:t>806,3</w:t>
            </w:r>
          </w:p>
        </w:tc>
        <w:tc>
          <w:tcPr>
            <w:tcW w:w="1074" w:type="dxa"/>
            <w:tcBorders>
              <w:top w:val="nil"/>
              <w:left w:val="nil"/>
              <w:bottom w:val="dotted" w:sz="4" w:space="0" w:color="auto"/>
              <w:right w:val="dotted" w:sz="4" w:space="0" w:color="auto"/>
            </w:tcBorders>
            <w:shd w:val="clear" w:color="auto" w:fill="auto"/>
            <w:vAlign w:val="center"/>
            <w:hideMark/>
          </w:tcPr>
          <w:p w14:paraId="52408102" w14:textId="77777777" w:rsidR="004B0AC2" w:rsidRPr="00092ED7" w:rsidRDefault="004B0AC2" w:rsidP="00FB09AE">
            <w:pPr>
              <w:spacing w:after="0"/>
              <w:jc w:val="right"/>
              <w:rPr>
                <w:sz w:val="20"/>
                <w:szCs w:val="20"/>
                <w:lang w:val="sr-Cyrl-CS"/>
              </w:rPr>
            </w:pPr>
            <w:r w:rsidRPr="00092ED7">
              <w:rPr>
                <w:sz w:val="20"/>
                <w:szCs w:val="20"/>
                <w:lang w:val="sr-Cyrl-CS"/>
              </w:rPr>
              <w:t>850,0</w:t>
            </w:r>
          </w:p>
        </w:tc>
        <w:tc>
          <w:tcPr>
            <w:tcW w:w="1074" w:type="dxa"/>
            <w:gridSpan w:val="2"/>
            <w:tcBorders>
              <w:top w:val="nil"/>
              <w:left w:val="nil"/>
              <w:bottom w:val="dotted" w:sz="4" w:space="0" w:color="auto"/>
              <w:right w:val="dotted" w:sz="4" w:space="0" w:color="auto"/>
            </w:tcBorders>
            <w:shd w:val="clear" w:color="auto" w:fill="auto"/>
            <w:vAlign w:val="center"/>
            <w:hideMark/>
          </w:tcPr>
          <w:p w14:paraId="0FA1F854" w14:textId="77777777" w:rsidR="004B0AC2" w:rsidRPr="00092ED7" w:rsidRDefault="004B0AC2" w:rsidP="00FB09AE">
            <w:pPr>
              <w:spacing w:after="0"/>
              <w:jc w:val="right"/>
              <w:rPr>
                <w:sz w:val="20"/>
                <w:szCs w:val="20"/>
                <w:lang w:val="sr-Cyrl-CS"/>
              </w:rPr>
            </w:pPr>
            <w:r w:rsidRPr="00092ED7">
              <w:rPr>
                <w:sz w:val="20"/>
                <w:szCs w:val="20"/>
                <w:lang w:val="sr-Cyrl-CS"/>
              </w:rPr>
              <w:t>921,9</w:t>
            </w:r>
          </w:p>
        </w:tc>
        <w:tc>
          <w:tcPr>
            <w:tcW w:w="1074" w:type="dxa"/>
            <w:gridSpan w:val="2"/>
            <w:tcBorders>
              <w:top w:val="nil"/>
              <w:left w:val="nil"/>
              <w:bottom w:val="dotted" w:sz="4" w:space="0" w:color="auto"/>
              <w:right w:val="dotted" w:sz="4" w:space="0" w:color="auto"/>
            </w:tcBorders>
            <w:shd w:val="clear" w:color="auto" w:fill="auto"/>
            <w:vAlign w:val="center"/>
            <w:hideMark/>
          </w:tcPr>
          <w:p w14:paraId="53C076BF" w14:textId="77777777" w:rsidR="004B0AC2" w:rsidRPr="00092ED7" w:rsidRDefault="004B0AC2" w:rsidP="00FB09AE">
            <w:pPr>
              <w:spacing w:after="0"/>
              <w:jc w:val="right"/>
              <w:rPr>
                <w:sz w:val="20"/>
                <w:szCs w:val="20"/>
                <w:lang w:val="sr-Cyrl-CS"/>
              </w:rPr>
            </w:pPr>
            <w:r w:rsidRPr="00092ED7">
              <w:rPr>
                <w:sz w:val="20"/>
                <w:szCs w:val="20"/>
                <w:lang w:val="sr-Cyrl-CS"/>
              </w:rPr>
              <w:t>1.041,6</w:t>
            </w:r>
          </w:p>
        </w:tc>
        <w:tc>
          <w:tcPr>
            <w:tcW w:w="1074" w:type="dxa"/>
            <w:tcBorders>
              <w:top w:val="nil"/>
              <w:left w:val="nil"/>
              <w:bottom w:val="dotted" w:sz="4" w:space="0" w:color="auto"/>
              <w:right w:val="dotted" w:sz="4" w:space="0" w:color="auto"/>
            </w:tcBorders>
            <w:shd w:val="clear" w:color="auto" w:fill="auto"/>
            <w:vAlign w:val="center"/>
            <w:hideMark/>
          </w:tcPr>
          <w:p w14:paraId="19985B20" w14:textId="77777777" w:rsidR="004B0AC2" w:rsidRPr="00092ED7" w:rsidRDefault="004B0AC2" w:rsidP="00FB09AE">
            <w:pPr>
              <w:spacing w:after="0"/>
              <w:jc w:val="right"/>
              <w:rPr>
                <w:sz w:val="20"/>
                <w:szCs w:val="20"/>
                <w:lang w:val="sr-Cyrl-CS"/>
              </w:rPr>
            </w:pPr>
            <w:r w:rsidRPr="00092ED7">
              <w:rPr>
                <w:sz w:val="20"/>
                <w:szCs w:val="20"/>
                <w:lang w:val="sr-Cyrl-CS"/>
              </w:rPr>
              <w:t>1.155,2</w:t>
            </w:r>
          </w:p>
        </w:tc>
        <w:tc>
          <w:tcPr>
            <w:tcW w:w="1074" w:type="dxa"/>
            <w:tcBorders>
              <w:top w:val="nil"/>
              <w:left w:val="nil"/>
              <w:bottom w:val="dotted" w:sz="4" w:space="0" w:color="auto"/>
              <w:right w:val="double" w:sz="6" w:space="0" w:color="auto"/>
            </w:tcBorders>
            <w:shd w:val="clear" w:color="auto" w:fill="auto"/>
            <w:vAlign w:val="center"/>
            <w:hideMark/>
          </w:tcPr>
          <w:p w14:paraId="04EC9705" w14:textId="77777777" w:rsidR="004B0AC2" w:rsidRPr="00092ED7" w:rsidRDefault="004B0AC2" w:rsidP="00FB09AE">
            <w:pPr>
              <w:spacing w:after="0"/>
              <w:jc w:val="right"/>
              <w:rPr>
                <w:sz w:val="20"/>
                <w:szCs w:val="20"/>
                <w:lang w:val="sr-Cyrl-CS"/>
              </w:rPr>
            </w:pPr>
            <w:r w:rsidRPr="00092ED7">
              <w:rPr>
                <w:sz w:val="20"/>
                <w:szCs w:val="20"/>
                <w:lang w:val="sr-Cyrl-CS"/>
              </w:rPr>
              <w:t>1.242,9</w:t>
            </w:r>
          </w:p>
        </w:tc>
      </w:tr>
      <w:tr w:rsidR="004B0AC2" w:rsidRPr="00092ED7" w14:paraId="1ADAA14F" w14:textId="77777777" w:rsidTr="00FB09AE">
        <w:trPr>
          <w:trHeight w:val="330"/>
        </w:trPr>
        <w:tc>
          <w:tcPr>
            <w:tcW w:w="6640" w:type="dxa"/>
            <w:tcBorders>
              <w:top w:val="nil"/>
              <w:left w:val="double" w:sz="6" w:space="0" w:color="auto"/>
              <w:bottom w:val="dotted" w:sz="4" w:space="0" w:color="auto"/>
              <w:right w:val="nil"/>
            </w:tcBorders>
            <w:shd w:val="clear" w:color="auto" w:fill="auto"/>
            <w:vAlign w:val="center"/>
            <w:hideMark/>
          </w:tcPr>
          <w:p w14:paraId="229A8A47"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 xml:space="preserve">19 = 9. Расходи за камате (укљ. FISIM) </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1DB79A3D" w14:textId="77777777" w:rsidR="004B0AC2" w:rsidRPr="00092ED7" w:rsidRDefault="004B0AC2" w:rsidP="00FB09AE">
            <w:pPr>
              <w:spacing w:after="0"/>
              <w:jc w:val="center"/>
              <w:rPr>
                <w:sz w:val="20"/>
                <w:szCs w:val="20"/>
                <w:lang w:val="sr-Cyrl-CS"/>
              </w:rPr>
            </w:pPr>
            <w:r w:rsidRPr="00092ED7">
              <w:rPr>
                <w:sz w:val="20"/>
                <w:szCs w:val="20"/>
                <w:lang w:val="sr-Cyrl-CS"/>
              </w:rPr>
              <w:t>EDP.D41 + FISIM</w:t>
            </w:r>
          </w:p>
        </w:tc>
        <w:tc>
          <w:tcPr>
            <w:tcW w:w="1074" w:type="dxa"/>
            <w:tcBorders>
              <w:top w:val="nil"/>
              <w:left w:val="nil"/>
              <w:bottom w:val="dotted" w:sz="4" w:space="0" w:color="auto"/>
              <w:right w:val="dotted" w:sz="4" w:space="0" w:color="auto"/>
            </w:tcBorders>
            <w:shd w:val="clear" w:color="auto" w:fill="auto"/>
            <w:vAlign w:val="center"/>
            <w:hideMark/>
          </w:tcPr>
          <w:p w14:paraId="27A4E4D6" w14:textId="77777777" w:rsidR="004B0AC2" w:rsidRPr="00092ED7" w:rsidRDefault="004B0AC2" w:rsidP="00FB09AE">
            <w:pPr>
              <w:spacing w:after="0"/>
              <w:jc w:val="right"/>
              <w:rPr>
                <w:sz w:val="20"/>
                <w:szCs w:val="20"/>
                <w:lang w:val="sr-Cyrl-CS"/>
              </w:rPr>
            </w:pPr>
            <w:r w:rsidRPr="00092ED7">
              <w:rPr>
                <w:sz w:val="20"/>
                <w:szCs w:val="20"/>
                <w:lang w:val="sr-Cyrl-CS"/>
              </w:rPr>
              <w:t>110,2</w:t>
            </w:r>
          </w:p>
        </w:tc>
        <w:tc>
          <w:tcPr>
            <w:tcW w:w="1074" w:type="dxa"/>
            <w:tcBorders>
              <w:top w:val="nil"/>
              <w:left w:val="nil"/>
              <w:bottom w:val="dotted" w:sz="4" w:space="0" w:color="auto"/>
              <w:right w:val="dotted" w:sz="4" w:space="0" w:color="auto"/>
            </w:tcBorders>
            <w:shd w:val="clear" w:color="auto" w:fill="auto"/>
            <w:vAlign w:val="center"/>
            <w:hideMark/>
          </w:tcPr>
          <w:p w14:paraId="7BEBB4F0" w14:textId="77777777" w:rsidR="004B0AC2" w:rsidRPr="00092ED7" w:rsidRDefault="004B0AC2" w:rsidP="00FB09AE">
            <w:pPr>
              <w:spacing w:after="0"/>
              <w:jc w:val="right"/>
              <w:rPr>
                <w:sz w:val="20"/>
                <w:szCs w:val="20"/>
                <w:lang w:val="sr-Cyrl-CS"/>
              </w:rPr>
            </w:pPr>
            <w:r w:rsidRPr="00092ED7">
              <w:rPr>
                <w:sz w:val="20"/>
                <w:szCs w:val="20"/>
                <w:lang w:val="sr-Cyrl-CS"/>
              </w:rPr>
              <w:t>108,7</w:t>
            </w:r>
          </w:p>
        </w:tc>
        <w:tc>
          <w:tcPr>
            <w:tcW w:w="1074" w:type="dxa"/>
            <w:gridSpan w:val="2"/>
            <w:tcBorders>
              <w:top w:val="nil"/>
              <w:left w:val="nil"/>
              <w:bottom w:val="dotted" w:sz="4" w:space="0" w:color="auto"/>
              <w:right w:val="dotted" w:sz="4" w:space="0" w:color="auto"/>
            </w:tcBorders>
            <w:shd w:val="clear" w:color="auto" w:fill="auto"/>
            <w:vAlign w:val="center"/>
            <w:hideMark/>
          </w:tcPr>
          <w:p w14:paraId="1C895B2B" w14:textId="77777777" w:rsidR="004B0AC2" w:rsidRPr="00092ED7" w:rsidRDefault="004B0AC2" w:rsidP="00FB09AE">
            <w:pPr>
              <w:spacing w:after="0"/>
              <w:jc w:val="right"/>
              <w:rPr>
                <w:sz w:val="20"/>
                <w:szCs w:val="20"/>
                <w:lang w:val="sr-Cyrl-CS"/>
              </w:rPr>
            </w:pPr>
            <w:r w:rsidRPr="00092ED7">
              <w:rPr>
                <w:sz w:val="20"/>
                <w:szCs w:val="20"/>
                <w:lang w:val="sr-Cyrl-CS"/>
              </w:rPr>
              <w:t>115,6</w:t>
            </w:r>
          </w:p>
        </w:tc>
        <w:tc>
          <w:tcPr>
            <w:tcW w:w="1074" w:type="dxa"/>
            <w:gridSpan w:val="2"/>
            <w:tcBorders>
              <w:top w:val="nil"/>
              <w:left w:val="nil"/>
              <w:bottom w:val="dotted" w:sz="4" w:space="0" w:color="auto"/>
              <w:right w:val="dotted" w:sz="4" w:space="0" w:color="auto"/>
            </w:tcBorders>
            <w:shd w:val="clear" w:color="auto" w:fill="auto"/>
            <w:vAlign w:val="center"/>
            <w:hideMark/>
          </w:tcPr>
          <w:p w14:paraId="5C7B3D63" w14:textId="77777777" w:rsidR="004B0AC2" w:rsidRPr="00092ED7" w:rsidRDefault="004B0AC2" w:rsidP="00FB09AE">
            <w:pPr>
              <w:spacing w:after="0"/>
              <w:jc w:val="right"/>
              <w:rPr>
                <w:sz w:val="20"/>
                <w:szCs w:val="20"/>
                <w:lang w:val="sr-Cyrl-CS"/>
              </w:rPr>
            </w:pPr>
            <w:r w:rsidRPr="00092ED7">
              <w:rPr>
                <w:sz w:val="20"/>
                <w:szCs w:val="20"/>
                <w:lang w:val="sr-Cyrl-CS"/>
              </w:rPr>
              <w:t>145,9</w:t>
            </w:r>
          </w:p>
        </w:tc>
        <w:tc>
          <w:tcPr>
            <w:tcW w:w="1074" w:type="dxa"/>
            <w:tcBorders>
              <w:top w:val="nil"/>
              <w:left w:val="nil"/>
              <w:bottom w:val="dotted" w:sz="4" w:space="0" w:color="auto"/>
              <w:right w:val="dotted" w:sz="4" w:space="0" w:color="auto"/>
            </w:tcBorders>
            <w:shd w:val="clear" w:color="auto" w:fill="auto"/>
            <w:vAlign w:val="center"/>
            <w:hideMark/>
          </w:tcPr>
          <w:p w14:paraId="7EEEE4B7" w14:textId="77777777" w:rsidR="004B0AC2" w:rsidRPr="00092ED7" w:rsidRDefault="004B0AC2" w:rsidP="00FB09AE">
            <w:pPr>
              <w:spacing w:after="0"/>
              <w:jc w:val="right"/>
              <w:rPr>
                <w:sz w:val="20"/>
                <w:szCs w:val="20"/>
                <w:lang w:val="sr-Cyrl-CS"/>
              </w:rPr>
            </w:pPr>
            <w:r w:rsidRPr="00092ED7">
              <w:rPr>
                <w:sz w:val="20"/>
                <w:szCs w:val="20"/>
                <w:lang w:val="sr-Cyrl-CS"/>
              </w:rPr>
              <w:t>180,6</w:t>
            </w:r>
          </w:p>
        </w:tc>
        <w:tc>
          <w:tcPr>
            <w:tcW w:w="1074" w:type="dxa"/>
            <w:tcBorders>
              <w:top w:val="nil"/>
              <w:left w:val="nil"/>
              <w:bottom w:val="dotted" w:sz="4" w:space="0" w:color="auto"/>
              <w:right w:val="double" w:sz="6" w:space="0" w:color="auto"/>
            </w:tcBorders>
            <w:shd w:val="clear" w:color="auto" w:fill="auto"/>
            <w:vAlign w:val="center"/>
            <w:hideMark/>
          </w:tcPr>
          <w:p w14:paraId="2DC933F2" w14:textId="77777777" w:rsidR="004B0AC2" w:rsidRPr="00092ED7" w:rsidRDefault="004B0AC2" w:rsidP="00FB09AE">
            <w:pPr>
              <w:spacing w:after="0"/>
              <w:jc w:val="right"/>
              <w:rPr>
                <w:sz w:val="20"/>
                <w:szCs w:val="20"/>
                <w:lang w:val="sr-Cyrl-CS"/>
              </w:rPr>
            </w:pPr>
            <w:r w:rsidRPr="00092ED7">
              <w:rPr>
                <w:sz w:val="20"/>
                <w:szCs w:val="20"/>
                <w:lang w:val="sr-Cyrl-CS"/>
              </w:rPr>
              <w:t>183,3</w:t>
            </w:r>
          </w:p>
        </w:tc>
      </w:tr>
      <w:tr w:rsidR="004B0AC2" w:rsidRPr="00092ED7" w14:paraId="4FE0786A"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506B17BC"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20. Субвенције</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377A5E70" w14:textId="77777777" w:rsidR="004B0AC2" w:rsidRPr="00092ED7" w:rsidRDefault="004B0AC2" w:rsidP="00FB09AE">
            <w:pPr>
              <w:spacing w:after="0"/>
              <w:jc w:val="center"/>
              <w:rPr>
                <w:sz w:val="20"/>
                <w:szCs w:val="20"/>
                <w:lang w:val="sr-Cyrl-CS"/>
              </w:rPr>
            </w:pPr>
            <w:r w:rsidRPr="00092ED7">
              <w:rPr>
                <w:sz w:val="20"/>
                <w:szCs w:val="20"/>
                <w:lang w:val="sr-Cyrl-CS"/>
              </w:rPr>
              <w:t>D3</w:t>
            </w:r>
          </w:p>
        </w:tc>
        <w:tc>
          <w:tcPr>
            <w:tcW w:w="1074" w:type="dxa"/>
            <w:tcBorders>
              <w:top w:val="nil"/>
              <w:left w:val="nil"/>
              <w:bottom w:val="dotted" w:sz="4" w:space="0" w:color="auto"/>
              <w:right w:val="dotted" w:sz="4" w:space="0" w:color="auto"/>
            </w:tcBorders>
            <w:shd w:val="clear" w:color="auto" w:fill="auto"/>
            <w:vAlign w:val="center"/>
            <w:hideMark/>
          </w:tcPr>
          <w:p w14:paraId="6C85D20A" w14:textId="77777777" w:rsidR="004B0AC2" w:rsidRPr="00092ED7" w:rsidRDefault="004B0AC2" w:rsidP="00FB09AE">
            <w:pPr>
              <w:spacing w:after="0"/>
              <w:jc w:val="right"/>
              <w:rPr>
                <w:sz w:val="20"/>
                <w:szCs w:val="20"/>
                <w:lang w:val="sr-Cyrl-CS"/>
              </w:rPr>
            </w:pPr>
            <w:r w:rsidRPr="00092ED7">
              <w:rPr>
                <w:sz w:val="20"/>
                <w:szCs w:val="20"/>
                <w:lang w:val="sr-Cyrl-CS"/>
              </w:rPr>
              <w:t>251,5</w:t>
            </w:r>
          </w:p>
        </w:tc>
        <w:tc>
          <w:tcPr>
            <w:tcW w:w="1074" w:type="dxa"/>
            <w:tcBorders>
              <w:top w:val="nil"/>
              <w:left w:val="nil"/>
              <w:bottom w:val="dotted" w:sz="4" w:space="0" w:color="auto"/>
              <w:right w:val="dotted" w:sz="4" w:space="0" w:color="auto"/>
            </w:tcBorders>
            <w:shd w:val="clear" w:color="auto" w:fill="auto"/>
            <w:vAlign w:val="center"/>
            <w:hideMark/>
          </w:tcPr>
          <w:p w14:paraId="64D7C44A" w14:textId="77777777" w:rsidR="004B0AC2" w:rsidRPr="00092ED7" w:rsidRDefault="004B0AC2" w:rsidP="00FB09AE">
            <w:pPr>
              <w:spacing w:after="0"/>
              <w:jc w:val="right"/>
              <w:rPr>
                <w:sz w:val="20"/>
                <w:szCs w:val="20"/>
                <w:lang w:val="sr-Cyrl-CS"/>
              </w:rPr>
            </w:pPr>
            <w:r w:rsidRPr="00092ED7">
              <w:rPr>
                <w:sz w:val="20"/>
                <w:szCs w:val="20"/>
                <w:lang w:val="sr-Cyrl-CS"/>
              </w:rPr>
              <w:t>206,3</w:t>
            </w:r>
          </w:p>
        </w:tc>
        <w:tc>
          <w:tcPr>
            <w:tcW w:w="1074" w:type="dxa"/>
            <w:gridSpan w:val="2"/>
            <w:tcBorders>
              <w:top w:val="nil"/>
              <w:left w:val="nil"/>
              <w:bottom w:val="dotted" w:sz="4" w:space="0" w:color="auto"/>
              <w:right w:val="dotted" w:sz="4" w:space="0" w:color="auto"/>
            </w:tcBorders>
            <w:shd w:val="clear" w:color="auto" w:fill="auto"/>
            <w:vAlign w:val="center"/>
            <w:hideMark/>
          </w:tcPr>
          <w:p w14:paraId="4492320F" w14:textId="77777777" w:rsidR="004B0AC2" w:rsidRPr="00092ED7" w:rsidRDefault="004B0AC2" w:rsidP="00FB09AE">
            <w:pPr>
              <w:spacing w:after="0"/>
              <w:jc w:val="right"/>
              <w:rPr>
                <w:sz w:val="20"/>
                <w:szCs w:val="20"/>
                <w:lang w:val="sr-Cyrl-CS"/>
              </w:rPr>
            </w:pPr>
            <w:r w:rsidRPr="00092ED7">
              <w:rPr>
                <w:sz w:val="20"/>
                <w:szCs w:val="20"/>
                <w:lang w:val="sr-Cyrl-CS"/>
              </w:rPr>
              <w:t>186,4</w:t>
            </w:r>
          </w:p>
        </w:tc>
        <w:tc>
          <w:tcPr>
            <w:tcW w:w="1074" w:type="dxa"/>
            <w:gridSpan w:val="2"/>
            <w:tcBorders>
              <w:top w:val="nil"/>
              <w:left w:val="nil"/>
              <w:bottom w:val="dotted" w:sz="4" w:space="0" w:color="auto"/>
              <w:right w:val="dotted" w:sz="4" w:space="0" w:color="auto"/>
            </w:tcBorders>
            <w:shd w:val="clear" w:color="auto" w:fill="auto"/>
            <w:vAlign w:val="center"/>
            <w:hideMark/>
          </w:tcPr>
          <w:p w14:paraId="379747DC" w14:textId="77777777" w:rsidR="004B0AC2" w:rsidRPr="00092ED7" w:rsidRDefault="004B0AC2" w:rsidP="00FB09AE">
            <w:pPr>
              <w:spacing w:after="0"/>
              <w:jc w:val="right"/>
              <w:rPr>
                <w:sz w:val="20"/>
                <w:szCs w:val="20"/>
                <w:lang w:val="sr-Cyrl-CS"/>
              </w:rPr>
            </w:pPr>
            <w:r w:rsidRPr="00092ED7">
              <w:rPr>
                <w:sz w:val="20"/>
                <w:szCs w:val="20"/>
                <w:lang w:val="sr-Cyrl-CS"/>
              </w:rPr>
              <w:t>220,1</w:t>
            </w:r>
          </w:p>
        </w:tc>
        <w:tc>
          <w:tcPr>
            <w:tcW w:w="1074" w:type="dxa"/>
            <w:tcBorders>
              <w:top w:val="nil"/>
              <w:left w:val="nil"/>
              <w:bottom w:val="dotted" w:sz="4" w:space="0" w:color="auto"/>
              <w:right w:val="dotted" w:sz="4" w:space="0" w:color="auto"/>
            </w:tcBorders>
            <w:shd w:val="clear" w:color="auto" w:fill="auto"/>
            <w:vAlign w:val="center"/>
            <w:hideMark/>
          </w:tcPr>
          <w:p w14:paraId="41AC97AA" w14:textId="77777777" w:rsidR="004B0AC2" w:rsidRPr="00092ED7" w:rsidRDefault="004B0AC2" w:rsidP="00FB09AE">
            <w:pPr>
              <w:spacing w:after="0"/>
              <w:jc w:val="right"/>
              <w:rPr>
                <w:sz w:val="20"/>
                <w:szCs w:val="20"/>
                <w:lang w:val="sr-Cyrl-CS"/>
              </w:rPr>
            </w:pPr>
            <w:r w:rsidRPr="00092ED7">
              <w:rPr>
                <w:sz w:val="20"/>
                <w:szCs w:val="20"/>
                <w:lang w:val="sr-Cyrl-CS"/>
              </w:rPr>
              <w:t>190,4</w:t>
            </w:r>
          </w:p>
        </w:tc>
        <w:tc>
          <w:tcPr>
            <w:tcW w:w="1074" w:type="dxa"/>
            <w:tcBorders>
              <w:top w:val="nil"/>
              <w:left w:val="nil"/>
              <w:bottom w:val="dotted" w:sz="4" w:space="0" w:color="auto"/>
              <w:right w:val="double" w:sz="6" w:space="0" w:color="auto"/>
            </w:tcBorders>
            <w:shd w:val="clear" w:color="auto" w:fill="auto"/>
            <w:vAlign w:val="center"/>
            <w:hideMark/>
          </w:tcPr>
          <w:p w14:paraId="15433F4F" w14:textId="77777777" w:rsidR="004B0AC2" w:rsidRPr="00092ED7" w:rsidRDefault="004B0AC2" w:rsidP="00FB09AE">
            <w:pPr>
              <w:spacing w:after="0"/>
              <w:jc w:val="right"/>
              <w:rPr>
                <w:sz w:val="20"/>
                <w:szCs w:val="20"/>
                <w:lang w:val="sr-Cyrl-CS"/>
              </w:rPr>
            </w:pPr>
            <w:r w:rsidRPr="00092ED7">
              <w:rPr>
                <w:sz w:val="20"/>
                <w:szCs w:val="20"/>
                <w:lang w:val="sr-Cyrl-CS"/>
              </w:rPr>
              <w:t>201,2</w:t>
            </w:r>
          </w:p>
        </w:tc>
      </w:tr>
      <w:tr w:rsidR="004B0AC2" w:rsidRPr="00092ED7" w14:paraId="08603B65"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7178559E"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21. Бруто инвестиције у основна средства</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307989CE" w14:textId="77777777" w:rsidR="004B0AC2" w:rsidRPr="00092ED7" w:rsidRDefault="004B0AC2" w:rsidP="00FB09AE">
            <w:pPr>
              <w:spacing w:after="0"/>
              <w:jc w:val="center"/>
              <w:rPr>
                <w:sz w:val="20"/>
                <w:szCs w:val="20"/>
                <w:lang w:val="sr-Cyrl-CS"/>
              </w:rPr>
            </w:pPr>
            <w:r w:rsidRPr="00092ED7">
              <w:rPr>
                <w:sz w:val="20"/>
                <w:szCs w:val="20"/>
                <w:lang w:val="sr-Cyrl-CS"/>
              </w:rPr>
              <w:t>P51</w:t>
            </w:r>
          </w:p>
        </w:tc>
        <w:tc>
          <w:tcPr>
            <w:tcW w:w="1074" w:type="dxa"/>
            <w:tcBorders>
              <w:top w:val="nil"/>
              <w:left w:val="nil"/>
              <w:bottom w:val="dotted" w:sz="4" w:space="0" w:color="auto"/>
              <w:right w:val="dotted" w:sz="4" w:space="0" w:color="auto"/>
            </w:tcBorders>
            <w:shd w:val="clear" w:color="auto" w:fill="auto"/>
            <w:vAlign w:val="center"/>
            <w:hideMark/>
          </w:tcPr>
          <w:p w14:paraId="41A883F8" w14:textId="77777777" w:rsidR="004B0AC2" w:rsidRPr="00092ED7" w:rsidRDefault="004B0AC2" w:rsidP="00FB09AE">
            <w:pPr>
              <w:spacing w:after="0"/>
              <w:jc w:val="right"/>
              <w:rPr>
                <w:sz w:val="20"/>
                <w:szCs w:val="20"/>
                <w:lang w:val="sr-Cyrl-CS"/>
              </w:rPr>
            </w:pPr>
            <w:r w:rsidRPr="00092ED7">
              <w:rPr>
                <w:sz w:val="20"/>
                <w:szCs w:val="20"/>
                <w:lang w:val="sr-Cyrl-CS"/>
              </w:rPr>
              <w:t>293,2</w:t>
            </w:r>
          </w:p>
        </w:tc>
        <w:tc>
          <w:tcPr>
            <w:tcW w:w="1074" w:type="dxa"/>
            <w:tcBorders>
              <w:top w:val="nil"/>
              <w:left w:val="nil"/>
              <w:bottom w:val="dotted" w:sz="4" w:space="0" w:color="auto"/>
              <w:right w:val="dotted" w:sz="4" w:space="0" w:color="auto"/>
            </w:tcBorders>
            <w:shd w:val="clear" w:color="auto" w:fill="auto"/>
            <w:vAlign w:val="center"/>
            <w:hideMark/>
          </w:tcPr>
          <w:p w14:paraId="78DB9CA7" w14:textId="77777777" w:rsidR="004B0AC2" w:rsidRPr="00092ED7" w:rsidRDefault="004B0AC2" w:rsidP="00FB09AE">
            <w:pPr>
              <w:spacing w:after="0"/>
              <w:jc w:val="right"/>
              <w:rPr>
                <w:sz w:val="20"/>
                <w:szCs w:val="20"/>
                <w:lang w:val="sr-Cyrl-CS"/>
              </w:rPr>
            </w:pPr>
            <w:r w:rsidRPr="00092ED7">
              <w:rPr>
                <w:sz w:val="20"/>
                <w:szCs w:val="20"/>
                <w:lang w:val="sr-Cyrl-CS"/>
              </w:rPr>
              <w:t>466,6</w:t>
            </w:r>
          </w:p>
        </w:tc>
        <w:tc>
          <w:tcPr>
            <w:tcW w:w="1074" w:type="dxa"/>
            <w:gridSpan w:val="2"/>
            <w:tcBorders>
              <w:top w:val="nil"/>
              <w:left w:val="nil"/>
              <w:bottom w:val="dotted" w:sz="4" w:space="0" w:color="auto"/>
              <w:right w:val="dotted" w:sz="4" w:space="0" w:color="auto"/>
            </w:tcBorders>
            <w:shd w:val="clear" w:color="auto" w:fill="auto"/>
            <w:vAlign w:val="center"/>
            <w:hideMark/>
          </w:tcPr>
          <w:p w14:paraId="1C15B186" w14:textId="77777777" w:rsidR="004B0AC2" w:rsidRPr="00092ED7" w:rsidRDefault="004B0AC2" w:rsidP="00FB09AE">
            <w:pPr>
              <w:spacing w:after="0"/>
              <w:jc w:val="right"/>
              <w:rPr>
                <w:sz w:val="20"/>
                <w:szCs w:val="20"/>
                <w:lang w:val="sr-Cyrl-CS"/>
              </w:rPr>
            </w:pPr>
            <w:r w:rsidRPr="00092ED7">
              <w:rPr>
                <w:sz w:val="20"/>
                <w:szCs w:val="20"/>
                <w:lang w:val="sr-Cyrl-CS"/>
              </w:rPr>
              <w:t>516,0</w:t>
            </w:r>
          </w:p>
        </w:tc>
        <w:tc>
          <w:tcPr>
            <w:tcW w:w="1074" w:type="dxa"/>
            <w:gridSpan w:val="2"/>
            <w:tcBorders>
              <w:top w:val="nil"/>
              <w:left w:val="nil"/>
              <w:bottom w:val="dotted" w:sz="4" w:space="0" w:color="auto"/>
              <w:right w:val="dotted" w:sz="4" w:space="0" w:color="auto"/>
            </w:tcBorders>
            <w:shd w:val="clear" w:color="auto" w:fill="auto"/>
            <w:vAlign w:val="center"/>
            <w:hideMark/>
          </w:tcPr>
          <w:p w14:paraId="07482917" w14:textId="77777777" w:rsidR="004B0AC2" w:rsidRPr="00092ED7" w:rsidRDefault="004B0AC2" w:rsidP="00FB09AE">
            <w:pPr>
              <w:spacing w:after="0"/>
              <w:jc w:val="right"/>
              <w:rPr>
                <w:sz w:val="20"/>
                <w:szCs w:val="20"/>
                <w:lang w:val="sr-Cyrl-CS"/>
              </w:rPr>
            </w:pPr>
            <w:r w:rsidRPr="00092ED7">
              <w:rPr>
                <w:sz w:val="20"/>
                <w:szCs w:val="20"/>
                <w:lang w:val="sr-Cyrl-CS"/>
              </w:rPr>
              <w:t>545,5</w:t>
            </w:r>
          </w:p>
        </w:tc>
        <w:tc>
          <w:tcPr>
            <w:tcW w:w="1074" w:type="dxa"/>
            <w:tcBorders>
              <w:top w:val="nil"/>
              <w:left w:val="nil"/>
              <w:bottom w:val="dotted" w:sz="4" w:space="0" w:color="auto"/>
              <w:right w:val="dotted" w:sz="4" w:space="0" w:color="auto"/>
            </w:tcBorders>
            <w:shd w:val="clear" w:color="auto" w:fill="auto"/>
            <w:vAlign w:val="center"/>
            <w:hideMark/>
          </w:tcPr>
          <w:p w14:paraId="765D0ECD" w14:textId="77777777" w:rsidR="004B0AC2" w:rsidRPr="00092ED7" w:rsidRDefault="004B0AC2" w:rsidP="00FB09AE">
            <w:pPr>
              <w:spacing w:after="0"/>
              <w:jc w:val="right"/>
              <w:rPr>
                <w:sz w:val="20"/>
                <w:szCs w:val="20"/>
                <w:lang w:val="sr-Cyrl-CS"/>
              </w:rPr>
            </w:pPr>
            <w:r w:rsidRPr="00092ED7">
              <w:rPr>
                <w:sz w:val="20"/>
                <w:szCs w:val="20"/>
                <w:lang w:val="sr-Cyrl-CS"/>
              </w:rPr>
              <w:t>561,4</w:t>
            </w:r>
          </w:p>
        </w:tc>
        <w:tc>
          <w:tcPr>
            <w:tcW w:w="1074" w:type="dxa"/>
            <w:tcBorders>
              <w:top w:val="nil"/>
              <w:left w:val="nil"/>
              <w:bottom w:val="dotted" w:sz="4" w:space="0" w:color="auto"/>
              <w:right w:val="double" w:sz="6" w:space="0" w:color="auto"/>
            </w:tcBorders>
            <w:shd w:val="clear" w:color="auto" w:fill="auto"/>
            <w:vAlign w:val="center"/>
            <w:hideMark/>
          </w:tcPr>
          <w:p w14:paraId="6B0DB832" w14:textId="77777777" w:rsidR="004B0AC2" w:rsidRPr="00092ED7" w:rsidRDefault="004B0AC2" w:rsidP="00FB09AE">
            <w:pPr>
              <w:spacing w:after="0"/>
              <w:jc w:val="right"/>
              <w:rPr>
                <w:sz w:val="20"/>
                <w:szCs w:val="20"/>
                <w:lang w:val="sr-Cyrl-CS"/>
              </w:rPr>
            </w:pPr>
            <w:r w:rsidRPr="00092ED7">
              <w:rPr>
                <w:sz w:val="20"/>
                <w:szCs w:val="20"/>
                <w:lang w:val="sr-Cyrl-CS"/>
              </w:rPr>
              <w:t>581,9</w:t>
            </w:r>
          </w:p>
        </w:tc>
      </w:tr>
      <w:tr w:rsidR="004B0AC2" w:rsidRPr="00092ED7" w14:paraId="07DBA3E9"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6ED35473" w14:textId="77777777" w:rsidR="004B0AC2" w:rsidRPr="00092ED7" w:rsidRDefault="00000000" w:rsidP="00FB09AE">
            <w:pPr>
              <w:spacing w:after="0"/>
              <w:jc w:val="left"/>
              <w:rPr>
                <w:rFonts w:eastAsia="Times New Roman" w:cs="Times New Roman"/>
                <w:sz w:val="20"/>
                <w:szCs w:val="20"/>
                <w:lang w:val="sr-Cyrl-CS"/>
              </w:rPr>
            </w:pPr>
            <w:hyperlink r:id="rId54" w:anchor="RANGE!B144" w:history="1">
              <w:r w:rsidR="004B0AC2" w:rsidRPr="00092ED7">
                <w:rPr>
                  <w:rFonts w:eastAsia="Times New Roman" w:cs="Times New Roman"/>
                  <w:sz w:val="20"/>
                  <w:szCs w:val="20"/>
                  <w:lang w:val="sr-Cyrl-CS"/>
                </w:rPr>
                <w:t>22. Друго (22 = 23-(17+18+19+20+21) [6]</w:t>
              </w:r>
            </w:hyperlink>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3C5BB9E9" w14:textId="77777777" w:rsidR="004B0AC2" w:rsidRPr="00092ED7" w:rsidRDefault="004B0AC2" w:rsidP="00FB09AE">
            <w:pPr>
              <w:spacing w:after="0"/>
              <w:jc w:val="center"/>
              <w:rPr>
                <w:sz w:val="20"/>
                <w:szCs w:val="20"/>
                <w:lang w:val="sr-Cyrl-CS"/>
              </w:rPr>
            </w:pPr>
          </w:p>
        </w:tc>
        <w:tc>
          <w:tcPr>
            <w:tcW w:w="1074" w:type="dxa"/>
            <w:tcBorders>
              <w:top w:val="nil"/>
              <w:left w:val="nil"/>
              <w:bottom w:val="dotted" w:sz="4" w:space="0" w:color="auto"/>
              <w:right w:val="dotted" w:sz="4" w:space="0" w:color="auto"/>
            </w:tcBorders>
            <w:shd w:val="clear" w:color="auto" w:fill="auto"/>
            <w:vAlign w:val="center"/>
            <w:hideMark/>
          </w:tcPr>
          <w:p w14:paraId="25F7FC7C" w14:textId="77777777" w:rsidR="004B0AC2" w:rsidRPr="00092ED7" w:rsidRDefault="004B0AC2" w:rsidP="00FB09AE">
            <w:pPr>
              <w:spacing w:after="0"/>
              <w:jc w:val="right"/>
              <w:rPr>
                <w:sz w:val="20"/>
                <w:szCs w:val="20"/>
                <w:lang w:val="sr-Cyrl-CS"/>
              </w:rPr>
            </w:pPr>
            <w:r w:rsidRPr="00092ED7">
              <w:rPr>
                <w:sz w:val="20"/>
                <w:szCs w:val="20"/>
                <w:lang w:val="sr-Cyrl-CS"/>
              </w:rPr>
              <w:t>216,5</w:t>
            </w:r>
          </w:p>
        </w:tc>
        <w:tc>
          <w:tcPr>
            <w:tcW w:w="1074" w:type="dxa"/>
            <w:tcBorders>
              <w:top w:val="nil"/>
              <w:left w:val="nil"/>
              <w:bottom w:val="dotted" w:sz="4" w:space="0" w:color="auto"/>
              <w:right w:val="dotted" w:sz="4" w:space="0" w:color="auto"/>
            </w:tcBorders>
            <w:shd w:val="clear" w:color="auto" w:fill="auto"/>
            <w:vAlign w:val="center"/>
            <w:hideMark/>
          </w:tcPr>
          <w:p w14:paraId="359DD68C" w14:textId="77777777" w:rsidR="004B0AC2" w:rsidRPr="00092ED7" w:rsidRDefault="004B0AC2" w:rsidP="00FB09AE">
            <w:pPr>
              <w:spacing w:after="0"/>
              <w:jc w:val="right"/>
              <w:rPr>
                <w:sz w:val="20"/>
                <w:szCs w:val="20"/>
                <w:lang w:val="sr-Cyrl-CS"/>
              </w:rPr>
            </w:pPr>
            <w:r w:rsidRPr="00092ED7">
              <w:rPr>
                <w:sz w:val="20"/>
                <w:szCs w:val="20"/>
                <w:lang w:val="sr-Cyrl-CS"/>
              </w:rPr>
              <w:t>220,4</w:t>
            </w:r>
          </w:p>
        </w:tc>
        <w:tc>
          <w:tcPr>
            <w:tcW w:w="1074" w:type="dxa"/>
            <w:gridSpan w:val="2"/>
            <w:tcBorders>
              <w:top w:val="nil"/>
              <w:left w:val="nil"/>
              <w:bottom w:val="dotted" w:sz="4" w:space="0" w:color="auto"/>
              <w:right w:val="dotted" w:sz="4" w:space="0" w:color="auto"/>
            </w:tcBorders>
            <w:shd w:val="clear" w:color="auto" w:fill="auto"/>
            <w:vAlign w:val="center"/>
            <w:hideMark/>
          </w:tcPr>
          <w:p w14:paraId="033C86DD" w14:textId="77777777" w:rsidR="004B0AC2" w:rsidRPr="00092ED7" w:rsidRDefault="004B0AC2" w:rsidP="00FB09AE">
            <w:pPr>
              <w:spacing w:after="0"/>
              <w:jc w:val="right"/>
              <w:rPr>
                <w:sz w:val="20"/>
                <w:szCs w:val="20"/>
                <w:lang w:val="sr-Cyrl-CS"/>
              </w:rPr>
            </w:pPr>
            <w:r w:rsidRPr="00092ED7">
              <w:rPr>
                <w:sz w:val="20"/>
                <w:szCs w:val="20"/>
                <w:lang w:val="sr-Cyrl-CS"/>
              </w:rPr>
              <w:t>338,0</w:t>
            </w:r>
          </w:p>
        </w:tc>
        <w:tc>
          <w:tcPr>
            <w:tcW w:w="1074" w:type="dxa"/>
            <w:gridSpan w:val="2"/>
            <w:tcBorders>
              <w:top w:val="nil"/>
              <w:left w:val="nil"/>
              <w:bottom w:val="dotted" w:sz="4" w:space="0" w:color="auto"/>
              <w:right w:val="dotted" w:sz="4" w:space="0" w:color="auto"/>
            </w:tcBorders>
            <w:shd w:val="clear" w:color="auto" w:fill="auto"/>
            <w:vAlign w:val="center"/>
            <w:hideMark/>
          </w:tcPr>
          <w:p w14:paraId="440E8322" w14:textId="77777777" w:rsidR="004B0AC2" w:rsidRPr="00092ED7" w:rsidRDefault="004B0AC2" w:rsidP="00FB09AE">
            <w:pPr>
              <w:spacing w:after="0"/>
              <w:jc w:val="right"/>
              <w:rPr>
                <w:sz w:val="20"/>
                <w:szCs w:val="20"/>
                <w:lang w:val="sr-Cyrl-CS"/>
              </w:rPr>
            </w:pPr>
            <w:r w:rsidRPr="00092ED7">
              <w:rPr>
                <w:sz w:val="20"/>
                <w:szCs w:val="20"/>
                <w:lang w:val="sr-Cyrl-CS"/>
              </w:rPr>
              <w:t>253,7</w:t>
            </w:r>
          </w:p>
        </w:tc>
        <w:tc>
          <w:tcPr>
            <w:tcW w:w="1074" w:type="dxa"/>
            <w:tcBorders>
              <w:top w:val="nil"/>
              <w:left w:val="nil"/>
              <w:bottom w:val="dotted" w:sz="4" w:space="0" w:color="auto"/>
              <w:right w:val="dotted" w:sz="4" w:space="0" w:color="auto"/>
            </w:tcBorders>
            <w:shd w:val="clear" w:color="auto" w:fill="auto"/>
            <w:vAlign w:val="center"/>
            <w:hideMark/>
          </w:tcPr>
          <w:p w14:paraId="7BC987B1" w14:textId="77777777" w:rsidR="004B0AC2" w:rsidRPr="00092ED7" w:rsidRDefault="004B0AC2" w:rsidP="00FB09AE">
            <w:pPr>
              <w:spacing w:after="0"/>
              <w:jc w:val="right"/>
              <w:rPr>
                <w:sz w:val="20"/>
                <w:szCs w:val="20"/>
                <w:lang w:val="sr-Cyrl-CS"/>
              </w:rPr>
            </w:pPr>
            <w:r w:rsidRPr="00092ED7">
              <w:rPr>
                <w:sz w:val="20"/>
                <w:szCs w:val="20"/>
                <w:lang w:val="sr-Cyrl-CS"/>
              </w:rPr>
              <w:t>198,7</w:t>
            </w:r>
          </w:p>
        </w:tc>
        <w:tc>
          <w:tcPr>
            <w:tcW w:w="1074" w:type="dxa"/>
            <w:tcBorders>
              <w:top w:val="nil"/>
              <w:left w:val="nil"/>
              <w:bottom w:val="dotted" w:sz="4" w:space="0" w:color="auto"/>
              <w:right w:val="double" w:sz="6" w:space="0" w:color="auto"/>
            </w:tcBorders>
            <w:shd w:val="clear" w:color="auto" w:fill="auto"/>
            <w:vAlign w:val="center"/>
            <w:hideMark/>
          </w:tcPr>
          <w:p w14:paraId="7D67880F" w14:textId="77777777" w:rsidR="004B0AC2" w:rsidRPr="00092ED7" w:rsidRDefault="004B0AC2" w:rsidP="00FB09AE">
            <w:pPr>
              <w:spacing w:after="0"/>
              <w:jc w:val="right"/>
              <w:rPr>
                <w:sz w:val="20"/>
                <w:szCs w:val="20"/>
                <w:lang w:val="sr-Cyrl-CS"/>
              </w:rPr>
            </w:pPr>
            <w:r w:rsidRPr="00092ED7">
              <w:rPr>
                <w:sz w:val="20"/>
                <w:szCs w:val="20"/>
                <w:lang w:val="sr-Cyrl-CS"/>
              </w:rPr>
              <w:t>146,6</w:t>
            </w:r>
          </w:p>
        </w:tc>
      </w:tr>
      <w:tr w:rsidR="004B0AC2" w:rsidRPr="00092ED7" w14:paraId="702C9226" w14:textId="77777777" w:rsidTr="00FB09AE">
        <w:trPr>
          <w:trHeight w:val="255"/>
        </w:trPr>
        <w:tc>
          <w:tcPr>
            <w:tcW w:w="6640" w:type="dxa"/>
            <w:tcBorders>
              <w:top w:val="nil"/>
              <w:left w:val="double" w:sz="4" w:space="0" w:color="auto"/>
              <w:bottom w:val="dotted" w:sz="4" w:space="0" w:color="auto"/>
              <w:right w:val="single" w:sz="8" w:space="0" w:color="auto"/>
            </w:tcBorders>
            <w:shd w:val="clear" w:color="auto" w:fill="auto"/>
            <w:vAlign w:val="center"/>
            <w:hideMark/>
          </w:tcPr>
          <w:p w14:paraId="102BC9E2" w14:textId="77777777" w:rsidR="004B0AC2" w:rsidRPr="00092ED7" w:rsidRDefault="00000000" w:rsidP="00FB09AE">
            <w:pPr>
              <w:spacing w:after="0"/>
              <w:jc w:val="left"/>
              <w:rPr>
                <w:rFonts w:eastAsia="Times New Roman" w:cs="Times New Roman"/>
                <w:sz w:val="20"/>
                <w:szCs w:val="20"/>
                <w:lang w:val="sr-Cyrl-CS"/>
              </w:rPr>
            </w:pPr>
            <w:hyperlink r:id="rId55" w:anchor="RANGE!B145" w:history="1">
              <w:r w:rsidR="004B0AC2" w:rsidRPr="00092ED7">
                <w:rPr>
                  <w:rFonts w:eastAsia="Times New Roman" w:cs="Times New Roman"/>
                  <w:sz w:val="20"/>
                  <w:szCs w:val="20"/>
                  <w:lang w:val="sr-Cyrl-CS"/>
                </w:rPr>
                <w:t xml:space="preserve">23. Укупни расходи [7] </w:t>
              </w:r>
            </w:hyperlink>
          </w:p>
        </w:tc>
        <w:tc>
          <w:tcPr>
            <w:tcW w:w="1417" w:type="dxa"/>
            <w:tcBorders>
              <w:top w:val="nil"/>
              <w:left w:val="nil"/>
              <w:bottom w:val="dotted" w:sz="4" w:space="0" w:color="auto"/>
              <w:right w:val="single" w:sz="8" w:space="0" w:color="auto"/>
            </w:tcBorders>
            <w:shd w:val="clear" w:color="auto" w:fill="auto"/>
            <w:vAlign w:val="center"/>
            <w:hideMark/>
          </w:tcPr>
          <w:p w14:paraId="7AECAB54" w14:textId="77777777" w:rsidR="004B0AC2" w:rsidRPr="00092ED7" w:rsidRDefault="004B0AC2" w:rsidP="00FB09AE">
            <w:pPr>
              <w:spacing w:after="0"/>
              <w:jc w:val="center"/>
              <w:rPr>
                <w:sz w:val="20"/>
                <w:szCs w:val="20"/>
                <w:lang w:val="sr-Cyrl-CS"/>
              </w:rPr>
            </w:pPr>
            <w:r w:rsidRPr="00092ED7">
              <w:rPr>
                <w:sz w:val="20"/>
                <w:szCs w:val="20"/>
                <w:lang w:val="sr-Cyrl-CS"/>
              </w:rPr>
              <w:t>TE</w:t>
            </w:r>
          </w:p>
        </w:tc>
        <w:tc>
          <w:tcPr>
            <w:tcW w:w="1074" w:type="dxa"/>
            <w:tcBorders>
              <w:top w:val="nil"/>
              <w:left w:val="nil"/>
              <w:bottom w:val="dotted" w:sz="4" w:space="0" w:color="auto"/>
              <w:right w:val="dotted" w:sz="4" w:space="0" w:color="auto"/>
            </w:tcBorders>
            <w:shd w:val="clear" w:color="auto" w:fill="auto"/>
            <w:vAlign w:val="center"/>
            <w:hideMark/>
          </w:tcPr>
          <w:p w14:paraId="6475B99D" w14:textId="77777777" w:rsidR="004B0AC2" w:rsidRPr="00092ED7" w:rsidRDefault="004B0AC2" w:rsidP="00FB09AE">
            <w:pPr>
              <w:spacing w:after="0"/>
              <w:jc w:val="right"/>
              <w:rPr>
                <w:sz w:val="20"/>
                <w:szCs w:val="20"/>
                <w:lang w:val="sr-Cyrl-CS"/>
              </w:rPr>
            </w:pPr>
            <w:r w:rsidRPr="00092ED7">
              <w:rPr>
                <w:sz w:val="20"/>
                <w:szCs w:val="20"/>
                <w:lang w:val="sr-Cyrl-CS"/>
              </w:rPr>
              <w:t>2.697,7</w:t>
            </w:r>
          </w:p>
        </w:tc>
        <w:tc>
          <w:tcPr>
            <w:tcW w:w="1074" w:type="dxa"/>
            <w:tcBorders>
              <w:top w:val="nil"/>
              <w:left w:val="nil"/>
              <w:bottom w:val="dotted" w:sz="4" w:space="0" w:color="auto"/>
              <w:right w:val="dotted" w:sz="4" w:space="0" w:color="auto"/>
            </w:tcBorders>
            <w:shd w:val="clear" w:color="auto" w:fill="auto"/>
            <w:vAlign w:val="center"/>
            <w:hideMark/>
          </w:tcPr>
          <w:p w14:paraId="135E9EDE" w14:textId="77777777" w:rsidR="004B0AC2" w:rsidRPr="00092ED7" w:rsidRDefault="004B0AC2" w:rsidP="00FB09AE">
            <w:pPr>
              <w:spacing w:after="0"/>
              <w:jc w:val="right"/>
              <w:rPr>
                <w:sz w:val="20"/>
                <w:szCs w:val="20"/>
                <w:lang w:val="sr-Cyrl-CS"/>
              </w:rPr>
            </w:pPr>
            <w:r w:rsidRPr="00092ED7">
              <w:rPr>
                <w:sz w:val="20"/>
                <w:szCs w:val="20"/>
                <w:lang w:val="sr-Cyrl-CS"/>
              </w:rPr>
              <w:t>2.971,3</w:t>
            </w:r>
          </w:p>
        </w:tc>
        <w:tc>
          <w:tcPr>
            <w:tcW w:w="1074" w:type="dxa"/>
            <w:gridSpan w:val="2"/>
            <w:tcBorders>
              <w:top w:val="nil"/>
              <w:left w:val="nil"/>
              <w:bottom w:val="dotted" w:sz="4" w:space="0" w:color="auto"/>
              <w:right w:val="dotted" w:sz="4" w:space="0" w:color="auto"/>
            </w:tcBorders>
            <w:shd w:val="clear" w:color="auto" w:fill="auto"/>
            <w:vAlign w:val="center"/>
            <w:hideMark/>
          </w:tcPr>
          <w:p w14:paraId="30017487" w14:textId="77777777" w:rsidR="004B0AC2" w:rsidRPr="00092ED7" w:rsidRDefault="004B0AC2" w:rsidP="00FB09AE">
            <w:pPr>
              <w:spacing w:after="0"/>
              <w:jc w:val="right"/>
              <w:rPr>
                <w:sz w:val="20"/>
                <w:szCs w:val="20"/>
                <w:lang w:val="sr-Cyrl-CS"/>
              </w:rPr>
            </w:pPr>
            <w:r w:rsidRPr="00092ED7">
              <w:rPr>
                <w:sz w:val="20"/>
                <w:szCs w:val="20"/>
                <w:lang w:val="sr-Cyrl-CS"/>
              </w:rPr>
              <w:t>3.317,3</w:t>
            </w:r>
          </w:p>
        </w:tc>
        <w:tc>
          <w:tcPr>
            <w:tcW w:w="1074" w:type="dxa"/>
            <w:gridSpan w:val="2"/>
            <w:tcBorders>
              <w:top w:val="nil"/>
              <w:left w:val="nil"/>
              <w:bottom w:val="dotted" w:sz="4" w:space="0" w:color="auto"/>
              <w:right w:val="dotted" w:sz="4" w:space="0" w:color="auto"/>
            </w:tcBorders>
            <w:shd w:val="clear" w:color="auto" w:fill="auto"/>
            <w:vAlign w:val="center"/>
            <w:hideMark/>
          </w:tcPr>
          <w:p w14:paraId="42E03CA1" w14:textId="77777777" w:rsidR="004B0AC2" w:rsidRPr="00092ED7" w:rsidRDefault="004B0AC2" w:rsidP="00FB09AE">
            <w:pPr>
              <w:spacing w:after="0"/>
              <w:jc w:val="right"/>
              <w:rPr>
                <w:sz w:val="20"/>
                <w:szCs w:val="20"/>
                <w:lang w:val="sr-Cyrl-CS"/>
              </w:rPr>
            </w:pPr>
            <w:r w:rsidRPr="00092ED7">
              <w:rPr>
                <w:sz w:val="20"/>
                <w:szCs w:val="20"/>
                <w:lang w:val="sr-Cyrl-CS"/>
              </w:rPr>
              <w:t>3.547,5</w:t>
            </w:r>
          </w:p>
        </w:tc>
        <w:tc>
          <w:tcPr>
            <w:tcW w:w="1074" w:type="dxa"/>
            <w:tcBorders>
              <w:top w:val="nil"/>
              <w:left w:val="nil"/>
              <w:bottom w:val="dotted" w:sz="4" w:space="0" w:color="auto"/>
              <w:right w:val="dotted" w:sz="4" w:space="0" w:color="auto"/>
            </w:tcBorders>
            <w:shd w:val="clear" w:color="auto" w:fill="auto"/>
            <w:vAlign w:val="center"/>
            <w:hideMark/>
          </w:tcPr>
          <w:p w14:paraId="2F82C14F" w14:textId="77777777" w:rsidR="004B0AC2" w:rsidRPr="00092ED7" w:rsidRDefault="004B0AC2" w:rsidP="00FB09AE">
            <w:pPr>
              <w:spacing w:after="0"/>
              <w:jc w:val="right"/>
              <w:rPr>
                <w:sz w:val="20"/>
                <w:szCs w:val="20"/>
                <w:lang w:val="sr-Cyrl-CS"/>
              </w:rPr>
            </w:pPr>
            <w:r w:rsidRPr="00092ED7">
              <w:rPr>
                <w:sz w:val="20"/>
                <w:szCs w:val="20"/>
                <w:lang w:val="sr-Cyrl-CS"/>
              </w:rPr>
              <w:t>3.733,1</w:t>
            </w:r>
          </w:p>
        </w:tc>
        <w:tc>
          <w:tcPr>
            <w:tcW w:w="1074" w:type="dxa"/>
            <w:tcBorders>
              <w:top w:val="nil"/>
              <w:left w:val="nil"/>
              <w:bottom w:val="dotted" w:sz="4" w:space="0" w:color="auto"/>
              <w:right w:val="double" w:sz="6" w:space="0" w:color="auto"/>
            </w:tcBorders>
            <w:shd w:val="clear" w:color="auto" w:fill="auto"/>
            <w:vAlign w:val="center"/>
            <w:hideMark/>
          </w:tcPr>
          <w:p w14:paraId="463EBEDA" w14:textId="77777777" w:rsidR="004B0AC2" w:rsidRPr="00092ED7" w:rsidRDefault="004B0AC2" w:rsidP="00FB09AE">
            <w:pPr>
              <w:spacing w:after="0"/>
              <w:jc w:val="right"/>
              <w:rPr>
                <w:sz w:val="20"/>
                <w:szCs w:val="20"/>
                <w:lang w:val="sr-Cyrl-CS"/>
              </w:rPr>
            </w:pPr>
            <w:r w:rsidRPr="00092ED7">
              <w:rPr>
                <w:sz w:val="20"/>
                <w:szCs w:val="20"/>
                <w:lang w:val="sr-Cyrl-CS"/>
              </w:rPr>
              <w:t>3.901,8</w:t>
            </w:r>
          </w:p>
        </w:tc>
      </w:tr>
      <w:tr w:rsidR="004B0AC2" w:rsidRPr="00092ED7" w14:paraId="3C46BE42" w14:textId="77777777" w:rsidTr="00FB09AE">
        <w:trPr>
          <w:trHeight w:val="270"/>
        </w:trPr>
        <w:tc>
          <w:tcPr>
            <w:tcW w:w="6640" w:type="dxa"/>
            <w:tcBorders>
              <w:top w:val="nil"/>
              <w:left w:val="double" w:sz="4" w:space="0" w:color="auto"/>
              <w:bottom w:val="double" w:sz="6" w:space="0" w:color="auto"/>
              <w:right w:val="nil"/>
            </w:tcBorders>
            <w:shd w:val="clear" w:color="auto" w:fill="auto"/>
            <w:vAlign w:val="center"/>
            <w:hideMark/>
          </w:tcPr>
          <w:p w14:paraId="78EFBDA7"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информативно: Зараде и накнаде запосленима у јавном сектору</w:t>
            </w:r>
          </w:p>
        </w:tc>
        <w:tc>
          <w:tcPr>
            <w:tcW w:w="1417" w:type="dxa"/>
            <w:tcBorders>
              <w:top w:val="nil"/>
              <w:left w:val="single" w:sz="8" w:space="0" w:color="auto"/>
              <w:bottom w:val="double" w:sz="6" w:space="0" w:color="auto"/>
              <w:right w:val="single" w:sz="8" w:space="0" w:color="auto"/>
            </w:tcBorders>
            <w:shd w:val="clear" w:color="auto" w:fill="auto"/>
            <w:vAlign w:val="center"/>
            <w:hideMark/>
          </w:tcPr>
          <w:p w14:paraId="204BA7A1" w14:textId="77777777" w:rsidR="004B0AC2" w:rsidRPr="00092ED7" w:rsidRDefault="004B0AC2" w:rsidP="00FB09AE">
            <w:pPr>
              <w:spacing w:after="0"/>
              <w:jc w:val="center"/>
              <w:rPr>
                <w:sz w:val="20"/>
                <w:szCs w:val="20"/>
                <w:lang w:val="sr-Cyrl-CS"/>
              </w:rPr>
            </w:pPr>
            <w:r w:rsidRPr="00092ED7">
              <w:rPr>
                <w:sz w:val="20"/>
                <w:szCs w:val="20"/>
                <w:lang w:val="sr-Cyrl-CS"/>
              </w:rPr>
              <w:t>D1</w:t>
            </w:r>
          </w:p>
        </w:tc>
        <w:tc>
          <w:tcPr>
            <w:tcW w:w="1074" w:type="dxa"/>
            <w:tcBorders>
              <w:top w:val="nil"/>
              <w:left w:val="nil"/>
              <w:bottom w:val="double" w:sz="6" w:space="0" w:color="auto"/>
              <w:right w:val="dotted" w:sz="4" w:space="0" w:color="auto"/>
            </w:tcBorders>
            <w:shd w:val="clear" w:color="auto" w:fill="auto"/>
            <w:vAlign w:val="center"/>
            <w:hideMark/>
          </w:tcPr>
          <w:p w14:paraId="116A9DFD" w14:textId="77777777" w:rsidR="004B0AC2" w:rsidRPr="00092ED7" w:rsidRDefault="004B0AC2" w:rsidP="00FB09AE">
            <w:pPr>
              <w:spacing w:after="0"/>
              <w:jc w:val="right"/>
              <w:rPr>
                <w:sz w:val="20"/>
                <w:szCs w:val="20"/>
                <w:lang w:val="sr-Cyrl-CS"/>
              </w:rPr>
            </w:pPr>
            <w:r w:rsidRPr="00092ED7">
              <w:rPr>
                <w:sz w:val="20"/>
                <w:szCs w:val="20"/>
                <w:lang w:val="sr-Cyrl-CS"/>
              </w:rPr>
              <w:t>578,9</w:t>
            </w:r>
          </w:p>
        </w:tc>
        <w:tc>
          <w:tcPr>
            <w:tcW w:w="1074" w:type="dxa"/>
            <w:tcBorders>
              <w:top w:val="nil"/>
              <w:left w:val="nil"/>
              <w:bottom w:val="double" w:sz="6" w:space="0" w:color="auto"/>
              <w:right w:val="dotted" w:sz="4" w:space="0" w:color="auto"/>
            </w:tcBorders>
            <w:shd w:val="clear" w:color="auto" w:fill="auto"/>
            <w:vAlign w:val="center"/>
            <w:hideMark/>
          </w:tcPr>
          <w:p w14:paraId="423BA5DD" w14:textId="77777777" w:rsidR="004B0AC2" w:rsidRPr="00092ED7" w:rsidRDefault="004B0AC2" w:rsidP="00FB09AE">
            <w:pPr>
              <w:spacing w:after="0"/>
              <w:jc w:val="right"/>
              <w:rPr>
                <w:sz w:val="20"/>
                <w:szCs w:val="20"/>
                <w:lang w:val="sr-Cyrl-CS"/>
              </w:rPr>
            </w:pPr>
            <w:r w:rsidRPr="00092ED7">
              <w:rPr>
                <w:sz w:val="20"/>
                <w:szCs w:val="20"/>
                <w:lang w:val="sr-Cyrl-CS"/>
              </w:rPr>
              <w:t>629,0</w:t>
            </w:r>
          </w:p>
        </w:tc>
        <w:tc>
          <w:tcPr>
            <w:tcW w:w="1074" w:type="dxa"/>
            <w:gridSpan w:val="2"/>
            <w:tcBorders>
              <w:top w:val="nil"/>
              <w:left w:val="nil"/>
              <w:bottom w:val="double" w:sz="6" w:space="0" w:color="auto"/>
              <w:right w:val="dotted" w:sz="4" w:space="0" w:color="auto"/>
            </w:tcBorders>
            <w:shd w:val="clear" w:color="auto" w:fill="auto"/>
            <w:vAlign w:val="center"/>
            <w:hideMark/>
          </w:tcPr>
          <w:p w14:paraId="0556D68C" w14:textId="77777777" w:rsidR="004B0AC2" w:rsidRPr="00092ED7" w:rsidRDefault="004B0AC2" w:rsidP="00FB09AE">
            <w:pPr>
              <w:spacing w:after="0"/>
              <w:jc w:val="right"/>
              <w:rPr>
                <w:sz w:val="20"/>
                <w:szCs w:val="20"/>
                <w:lang w:val="sr-Cyrl-CS"/>
              </w:rPr>
            </w:pPr>
            <w:r w:rsidRPr="00092ED7">
              <w:rPr>
                <w:sz w:val="20"/>
                <w:szCs w:val="20"/>
                <w:lang w:val="sr-Cyrl-CS"/>
              </w:rPr>
              <w:t>688,7</w:t>
            </w:r>
          </w:p>
        </w:tc>
        <w:tc>
          <w:tcPr>
            <w:tcW w:w="1074" w:type="dxa"/>
            <w:gridSpan w:val="2"/>
            <w:tcBorders>
              <w:top w:val="nil"/>
              <w:left w:val="nil"/>
              <w:bottom w:val="double" w:sz="6" w:space="0" w:color="auto"/>
              <w:right w:val="dotted" w:sz="4" w:space="0" w:color="auto"/>
            </w:tcBorders>
            <w:shd w:val="clear" w:color="auto" w:fill="auto"/>
            <w:vAlign w:val="center"/>
            <w:hideMark/>
          </w:tcPr>
          <w:p w14:paraId="6F71625E" w14:textId="77777777" w:rsidR="004B0AC2" w:rsidRPr="00092ED7" w:rsidRDefault="004B0AC2" w:rsidP="00FB09AE">
            <w:pPr>
              <w:spacing w:after="0"/>
              <w:jc w:val="right"/>
              <w:rPr>
                <w:sz w:val="20"/>
                <w:szCs w:val="20"/>
                <w:lang w:val="sr-Cyrl-CS"/>
              </w:rPr>
            </w:pPr>
            <w:r w:rsidRPr="00092ED7">
              <w:rPr>
                <w:sz w:val="20"/>
                <w:szCs w:val="20"/>
                <w:lang w:val="sr-Cyrl-CS"/>
              </w:rPr>
              <w:t>766,5</w:t>
            </w:r>
          </w:p>
        </w:tc>
        <w:tc>
          <w:tcPr>
            <w:tcW w:w="1074" w:type="dxa"/>
            <w:tcBorders>
              <w:top w:val="nil"/>
              <w:left w:val="nil"/>
              <w:bottom w:val="double" w:sz="6" w:space="0" w:color="auto"/>
              <w:right w:val="dotted" w:sz="4" w:space="0" w:color="auto"/>
            </w:tcBorders>
            <w:shd w:val="clear" w:color="auto" w:fill="auto"/>
            <w:vAlign w:val="center"/>
            <w:hideMark/>
          </w:tcPr>
          <w:p w14:paraId="6BD7A21D" w14:textId="77777777" w:rsidR="004B0AC2" w:rsidRPr="00092ED7" w:rsidRDefault="004B0AC2" w:rsidP="00FB09AE">
            <w:pPr>
              <w:spacing w:after="0"/>
              <w:jc w:val="right"/>
              <w:rPr>
                <w:sz w:val="20"/>
                <w:szCs w:val="20"/>
                <w:lang w:val="sr-Cyrl-CS"/>
              </w:rPr>
            </w:pPr>
            <w:r w:rsidRPr="00092ED7">
              <w:rPr>
                <w:sz w:val="20"/>
                <w:szCs w:val="20"/>
                <w:lang w:val="sr-Cyrl-CS"/>
              </w:rPr>
              <w:t>839,5</w:t>
            </w:r>
          </w:p>
        </w:tc>
        <w:tc>
          <w:tcPr>
            <w:tcW w:w="1074" w:type="dxa"/>
            <w:tcBorders>
              <w:top w:val="nil"/>
              <w:left w:val="nil"/>
              <w:bottom w:val="double" w:sz="6" w:space="0" w:color="auto"/>
              <w:right w:val="double" w:sz="6" w:space="0" w:color="auto"/>
            </w:tcBorders>
            <w:shd w:val="clear" w:color="auto" w:fill="auto"/>
            <w:vAlign w:val="center"/>
            <w:hideMark/>
          </w:tcPr>
          <w:p w14:paraId="4A731704" w14:textId="77777777" w:rsidR="004B0AC2" w:rsidRPr="00092ED7" w:rsidRDefault="004B0AC2" w:rsidP="00FB09AE">
            <w:pPr>
              <w:spacing w:after="0"/>
              <w:jc w:val="right"/>
              <w:rPr>
                <w:sz w:val="20"/>
                <w:szCs w:val="20"/>
                <w:lang w:val="sr-Cyrl-CS"/>
              </w:rPr>
            </w:pPr>
            <w:r w:rsidRPr="00092ED7">
              <w:rPr>
                <w:sz w:val="20"/>
                <w:szCs w:val="20"/>
                <w:lang w:val="sr-Cyrl-CS"/>
              </w:rPr>
              <w:t>912,6</w:t>
            </w:r>
          </w:p>
        </w:tc>
      </w:tr>
      <w:tr w:rsidR="004B0AC2" w:rsidRPr="00092ED7" w14:paraId="1D949F99" w14:textId="77777777" w:rsidTr="00FB09AE">
        <w:trPr>
          <w:trHeight w:val="227"/>
        </w:trPr>
        <w:tc>
          <w:tcPr>
            <w:tcW w:w="6640" w:type="dxa"/>
            <w:tcBorders>
              <w:top w:val="nil"/>
              <w:left w:val="nil"/>
              <w:bottom w:val="nil"/>
              <w:right w:val="nil"/>
            </w:tcBorders>
            <w:shd w:val="clear" w:color="000000" w:fill="FFFFFF"/>
            <w:noWrap/>
            <w:vAlign w:val="center"/>
            <w:hideMark/>
          </w:tcPr>
          <w:p w14:paraId="00FDC099" w14:textId="77777777" w:rsidR="004B0AC2" w:rsidRPr="00092ED7" w:rsidRDefault="004B0AC2" w:rsidP="00FB09AE">
            <w:pPr>
              <w:spacing w:after="0"/>
              <w:jc w:val="left"/>
              <w:rPr>
                <w:sz w:val="16"/>
                <w:szCs w:val="16"/>
                <w:lang w:val="sr-Cyrl-CS"/>
              </w:rPr>
            </w:pPr>
            <w:r w:rsidRPr="00092ED7">
              <w:rPr>
                <w:sz w:val="16"/>
                <w:szCs w:val="16"/>
                <w:lang w:val="sr-Cyrl-CS"/>
              </w:rPr>
              <w:t>[1]  Коригован за следећи ток по основу свопова, тако да је TR-TE = EDP.B9.</w:t>
            </w:r>
          </w:p>
        </w:tc>
        <w:tc>
          <w:tcPr>
            <w:tcW w:w="1417" w:type="dxa"/>
            <w:tcBorders>
              <w:top w:val="nil"/>
              <w:left w:val="nil"/>
              <w:bottom w:val="nil"/>
              <w:right w:val="nil"/>
            </w:tcBorders>
            <w:shd w:val="clear" w:color="000000" w:fill="FFFFFF"/>
            <w:noWrap/>
            <w:vAlign w:val="center"/>
            <w:hideMark/>
          </w:tcPr>
          <w:p w14:paraId="21D26029"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1EBFCFAD"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3F8EE977"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689F529B"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4330FAB2"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490E5834"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465A9F0D" w14:textId="77777777" w:rsidR="004B0AC2" w:rsidRPr="00092ED7" w:rsidRDefault="004B0AC2" w:rsidP="00FB09AE">
            <w:pPr>
              <w:spacing w:after="0"/>
              <w:jc w:val="left"/>
              <w:rPr>
                <w:rFonts w:eastAsia="Times New Roman" w:cs="Times New Roman"/>
                <w:sz w:val="16"/>
                <w:szCs w:val="16"/>
                <w:lang w:val="sr-Cyrl-CS"/>
              </w:rPr>
            </w:pPr>
          </w:p>
        </w:tc>
      </w:tr>
      <w:tr w:rsidR="004B0AC2" w:rsidRPr="00092ED7" w14:paraId="4FB794CE" w14:textId="77777777" w:rsidTr="00FB09AE">
        <w:trPr>
          <w:trHeight w:val="227"/>
        </w:trPr>
        <w:tc>
          <w:tcPr>
            <w:tcW w:w="11600" w:type="dxa"/>
            <w:gridSpan w:val="7"/>
            <w:tcBorders>
              <w:top w:val="nil"/>
              <w:left w:val="nil"/>
              <w:bottom w:val="nil"/>
              <w:right w:val="nil"/>
            </w:tcBorders>
            <w:shd w:val="clear" w:color="000000" w:fill="FFFFFF"/>
            <w:noWrap/>
            <w:vAlign w:val="center"/>
            <w:hideMark/>
          </w:tcPr>
          <w:p w14:paraId="69BB7D4E" w14:textId="77777777" w:rsidR="004B0AC2" w:rsidRPr="00092ED7" w:rsidRDefault="004B0AC2" w:rsidP="00FB09AE">
            <w:pPr>
              <w:spacing w:after="0"/>
              <w:jc w:val="left"/>
              <w:rPr>
                <w:sz w:val="16"/>
                <w:szCs w:val="16"/>
                <w:lang w:val="sr-Cyrl-CS"/>
              </w:rPr>
            </w:pPr>
            <w:r w:rsidRPr="00092ED7">
              <w:rPr>
                <w:sz w:val="16"/>
                <w:szCs w:val="16"/>
                <w:lang w:val="sr-Cyrl-CS"/>
              </w:rPr>
              <w:t>[2] Примарни резултат се израчунава као (EDP.B9, ставка 8) плус (EDP D41 + FISIM приказан као међуфазна потрошња, ставка 9).</w:t>
            </w:r>
          </w:p>
        </w:tc>
        <w:tc>
          <w:tcPr>
            <w:tcW w:w="2901" w:type="dxa"/>
            <w:gridSpan w:val="3"/>
            <w:tcBorders>
              <w:top w:val="nil"/>
              <w:left w:val="nil"/>
              <w:bottom w:val="nil"/>
              <w:right w:val="nil"/>
            </w:tcBorders>
            <w:shd w:val="clear" w:color="000000" w:fill="FFFFFF"/>
            <w:noWrap/>
            <w:vAlign w:val="center"/>
          </w:tcPr>
          <w:p w14:paraId="58C31989" w14:textId="77777777" w:rsidR="004B0AC2" w:rsidRPr="00092ED7" w:rsidRDefault="004B0AC2" w:rsidP="00FB09AE">
            <w:pPr>
              <w:spacing w:after="0"/>
              <w:jc w:val="left"/>
              <w:rPr>
                <w:rFonts w:eastAsia="Times New Roman" w:cs="Times New Roman"/>
                <w:sz w:val="16"/>
                <w:szCs w:val="16"/>
                <w:lang w:val="sr-Cyrl-CS"/>
              </w:rPr>
            </w:pPr>
          </w:p>
        </w:tc>
      </w:tr>
      <w:tr w:rsidR="004B0AC2" w:rsidRPr="00092ED7" w14:paraId="3F59E017" w14:textId="77777777" w:rsidTr="00FB09AE">
        <w:trPr>
          <w:trHeight w:val="227"/>
        </w:trPr>
        <w:tc>
          <w:tcPr>
            <w:tcW w:w="6640" w:type="dxa"/>
            <w:tcBorders>
              <w:top w:val="nil"/>
              <w:left w:val="nil"/>
              <w:bottom w:val="nil"/>
              <w:right w:val="nil"/>
            </w:tcBorders>
            <w:shd w:val="clear" w:color="000000" w:fill="FFFFFF"/>
            <w:noWrap/>
            <w:vAlign w:val="center"/>
            <w:hideMark/>
          </w:tcPr>
          <w:p w14:paraId="50D47C3A" w14:textId="77777777" w:rsidR="004B0AC2" w:rsidRPr="00092ED7" w:rsidRDefault="004B0AC2" w:rsidP="00FB09AE">
            <w:pPr>
              <w:spacing w:after="0"/>
              <w:jc w:val="left"/>
              <w:rPr>
                <w:sz w:val="16"/>
                <w:szCs w:val="16"/>
                <w:lang w:val="sr-Cyrl-CS"/>
              </w:rPr>
            </w:pPr>
            <w:r w:rsidRPr="00092ED7">
              <w:rPr>
                <w:sz w:val="16"/>
                <w:szCs w:val="16"/>
                <w:lang w:val="sr-Cyrl-CS"/>
              </w:rPr>
              <w:t>[3] Позитиван знак значи једнократне мере за смањење дефицита.</w:t>
            </w:r>
          </w:p>
        </w:tc>
        <w:tc>
          <w:tcPr>
            <w:tcW w:w="1417" w:type="dxa"/>
            <w:tcBorders>
              <w:top w:val="nil"/>
              <w:left w:val="nil"/>
              <w:bottom w:val="nil"/>
              <w:right w:val="nil"/>
            </w:tcBorders>
            <w:shd w:val="clear" w:color="000000" w:fill="FFFFFF"/>
            <w:noWrap/>
            <w:vAlign w:val="center"/>
            <w:hideMark/>
          </w:tcPr>
          <w:p w14:paraId="02AE8B4D"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7D22AE5C"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3687F1C4"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1852BDCE"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394833E5"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21FBAA8A"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4ECA3B83" w14:textId="77777777" w:rsidR="004B0AC2" w:rsidRPr="00092ED7" w:rsidRDefault="004B0AC2" w:rsidP="00FB09AE">
            <w:pPr>
              <w:spacing w:after="0"/>
              <w:jc w:val="left"/>
              <w:rPr>
                <w:rFonts w:eastAsia="Times New Roman" w:cs="Times New Roman"/>
                <w:sz w:val="16"/>
                <w:szCs w:val="16"/>
                <w:lang w:val="sr-Cyrl-CS"/>
              </w:rPr>
            </w:pPr>
          </w:p>
        </w:tc>
      </w:tr>
      <w:tr w:rsidR="004B0AC2" w:rsidRPr="00092ED7" w14:paraId="174B51AD" w14:textId="77777777" w:rsidTr="00FB09AE">
        <w:trPr>
          <w:trHeight w:val="227"/>
        </w:trPr>
        <w:tc>
          <w:tcPr>
            <w:tcW w:w="6640" w:type="dxa"/>
            <w:tcBorders>
              <w:top w:val="nil"/>
              <w:left w:val="nil"/>
              <w:bottom w:val="nil"/>
              <w:right w:val="nil"/>
            </w:tcBorders>
            <w:shd w:val="clear" w:color="000000" w:fill="FFFFFF"/>
            <w:noWrap/>
            <w:vAlign w:val="center"/>
            <w:hideMark/>
          </w:tcPr>
          <w:p w14:paraId="75F6A17A" w14:textId="77777777" w:rsidR="004B0AC2" w:rsidRPr="00092ED7" w:rsidRDefault="004B0AC2" w:rsidP="00FB09AE">
            <w:pPr>
              <w:spacing w:after="0"/>
              <w:jc w:val="left"/>
              <w:rPr>
                <w:sz w:val="16"/>
                <w:szCs w:val="16"/>
                <w:lang w:val="sr-Cyrl-CS"/>
              </w:rPr>
            </w:pPr>
            <w:r w:rsidRPr="00092ED7">
              <w:rPr>
                <w:sz w:val="16"/>
                <w:szCs w:val="16"/>
                <w:lang w:val="sr-Cyrl-CS"/>
              </w:rPr>
              <w:t>[4] P.11+P.12+P.131+D.39+D.7+D.9 (осим D.91)</w:t>
            </w:r>
          </w:p>
        </w:tc>
        <w:tc>
          <w:tcPr>
            <w:tcW w:w="1417" w:type="dxa"/>
            <w:tcBorders>
              <w:top w:val="nil"/>
              <w:left w:val="nil"/>
              <w:bottom w:val="nil"/>
              <w:right w:val="nil"/>
            </w:tcBorders>
            <w:shd w:val="clear" w:color="000000" w:fill="FFFFFF"/>
            <w:noWrap/>
            <w:vAlign w:val="center"/>
            <w:hideMark/>
          </w:tcPr>
          <w:p w14:paraId="119DBE55"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6B9B83D7"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481DBB74"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37AD1DCB"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075CC79F"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0D62CE32"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228D06D1" w14:textId="77777777" w:rsidR="004B0AC2" w:rsidRPr="00092ED7" w:rsidRDefault="004B0AC2" w:rsidP="00FB09AE">
            <w:pPr>
              <w:spacing w:after="0"/>
              <w:jc w:val="left"/>
              <w:rPr>
                <w:rFonts w:eastAsia="Times New Roman" w:cs="Times New Roman"/>
                <w:sz w:val="16"/>
                <w:szCs w:val="16"/>
                <w:lang w:val="sr-Cyrl-CS"/>
              </w:rPr>
            </w:pPr>
          </w:p>
        </w:tc>
      </w:tr>
      <w:tr w:rsidR="004B0AC2" w:rsidRPr="00092ED7" w14:paraId="71214687" w14:textId="77777777" w:rsidTr="00FB09AE">
        <w:trPr>
          <w:trHeight w:val="227"/>
        </w:trPr>
        <w:tc>
          <w:tcPr>
            <w:tcW w:w="10875" w:type="dxa"/>
            <w:gridSpan w:val="5"/>
            <w:tcBorders>
              <w:top w:val="nil"/>
              <w:left w:val="nil"/>
              <w:bottom w:val="nil"/>
              <w:right w:val="nil"/>
            </w:tcBorders>
            <w:shd w:val="clear" w:color="000000" w:fill="FFFFFF"/>
            <w:noWrap/>
            <w:vAlign w:val="center"/>
            <w:hideMark/>
          </w:tcPr>
          <w:p w14:paraId="3F8913D8" w14:textId="77777777" w:rsidR="004B0AC2" w:rsidRPr="00092ED7" w:rsidRDefault="004B0AC2" w:rsidP="00FB09AE">
            <w:pPr>
              <w:spacing w:after="0"/>
              <w:jc w:val="left"/>
              <w:rPr>
                <w:sz w:val="16"/>
                <w:szCs w:val="16"/>
                <w:lang w:val="sr-Cyrl-CS"/>
              </w:rPr>
            </w:pPr>
            <w:r w:rsidRPr="00092ED7">
              <w:rPr>
                <w:sz w:val="16"/>
                <w:szCs w:val="16"/>
                <w:lang w:val="sr-Cyrl-CS"/>
              </w:rPr>
              <w:t>[5] Укључујући оне које наплаћује ЕУ и укључујући корекцију за ненаплаћене порезе и доприносе за социјално осигурање (D995), где је то случај.</w:t>
            </w:r>
          </w:p>
        </w:tc>
        <w:tc>
          <w:tcPr>
            <w:tcW w:w="3626" w:type="dxa"/>
            <w:gridSpan w:val="5"/>
            <w:tcBorders>
              <w:top w:val="nil"/>
              <w:left w:val="nil"/>
              <w:bottom w:val="nil"/>
              <w:right w:val="nil"/>
            </w:tcBorders>
            <w:shd w:val="clear" w:color="000000" w:fill="FFFFFF"/>
            <w:noWrap/>
            <w:vAlign w:val="center"/>
          </w:tcPr>
          <w:p w14:paraId="08CB0F94" w14:textId="77777777" w:rsidR="004B0AC2" w:rsidRPr="00092ED7" w:rsidRDefault="004B0AC2" w:rsidP="00FB09AE">
            <w:pPr>
              <w:spacing w:after="0"/>
              <w:jc w:val="left"/>
              <w:rPr>
                <w:rFonts w:eastAsia="Times New Roman" w:cs="Times New Roman"/>
                <w:sz w:val="16"/>
                <w:szCs w:val="16"/>
                <w:lang w:val="sr-Cyrl-CS"/>
              </w:rPr>
            </w:pPr>
          </w:p>
        </w:tc>
      </w:tr>
      <w:tr w:rsidR="004B0AC2" w:rsidRPr="00092ED7" w14:paraId="4C0EB459" w14:textId="77777777" w:rsidTr="00FB09AE">
        <w:trPr>
          <w:trHeight w:val="227"/>
        </w:trPr>
        <w:tc>
          <w:tcPr>
            <w:tcW w:w="6640" w:type="dxa"/>
            <w:tcBorders>
              <w:top w:val="nil"/>
              <w:left w:val="nil"/>
              <w:bottom w:val="nil"/>
              <w:right w:val="nil"/>
            </w:tcBorders>
            <w:shd w:val="clear" w:color="000000" w:fill="FFFFFF"/>
            <w:noWrap/>
            <w:vAlign w:val="center"/>
            <w:hideMark/>
          </w:tcPr>
          <w:p w14:paraId="249B97DD" w14:textId="77777777" w:rsidR="004B0AC2" w:rsidRPr="00092ED7" w:rsidRDefault="004B0AC2" w:rsidP="00FB09AE">
            <w:pPr>
              <w:spacing w:after="0"/>
              <w:jc w:val="left"/>
              <w:rPr>
                <w:sz w:val="16"/>
                <w:szCs w:val="16"/>
                <w:lang w:val="sr-Cyrl-CS"/>
              </w:rPr>
            </w:pPr>
            <w:r w:rsidRPr="00092ED7">
              <w:rPr>
                <w:sz w:val="16"/>
                <w:szCs w:val="16"/>
                <w:lang w:val="sr-Cyrl-CS"/>
              </w:rPr>
              <w:t>[6] D.29+D4 (осим D.41)+ D.5+D.7+D.9+P.52+P.53+K.2+D.8</w:t>
            </w:r>
          </w:p>
        </w:tc>
        <w:tc>
          <w:tcPr>
            <w:tcW w:w="1417" w:type="dxa"/>
            <w:tcBorders>
              <w:top w:val="nil"/>
              <w:left w:val="nil"/>
              <w:bottom w:val="nil"/>
              <w:right w:val="nil"/>
            </w:tcBorders>
            <w:shd w:val="clear" w:color="000000" w:fill="FFFFFF"/>
            <w:noWrap/>
            <w:vAlign w:val="center"/>
            <w:hideMark/>
          </w:tcPr>
          <w:p w14:paraId="001DC5A4"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1133DB94"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0D7B7CAF"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556B0518"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05AF4C9C"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311AAF06"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67B9556A" w14:textId="77777777" w:rsidR="004B0AC2" w:rsidRPr="00092ED7" w:rsidRDefault="004B0AC2" w:rsidP="00FB09AE">
            <w:pPr>
              <w:spacing w:after="0"/>
              <w:jc w:val="left"/>
              <w:rPr>
                <w:rFonts w:eastAsia="Times New Roman" w:cs="Times New Roman"/>
                <w:sz w:val="16"/>
                <w:szCs w:val="16"/>
                <w:lang w:val="sr-Cyrl-CS"/>
              </w:rPr>
            </w:pPr>
          </w:p>
        </w:tc>
      </w:tr>
      <w:tr w:rsidR="004B0AC2" w:rsidRPr="00092ED7" w14:paraId="15D73716" w14:textId="77777777" w:rsidTr="00FB09AE">
        <w:trPr>
          <w:trHeight w:val="227"/>
        </w:trPr>
        <w:tc>
          <w:tcPr>
            <w:tcW w:w="6640" w:type="dxa"/>
            <w:tcBorders>
              <w:top w:val="nil"/>
              <w:left w:val="nil"/>
              <w:bottom w:val="nil"/>
              <w:right w:val="nil"/>
            </w:tcBorders>
            <w:shd w:val="clear" w:color="auto" w:fill="auto"/>
            <w:noWrap/>
            <w:vAlign w:val="center"/>
            <w:hideMark/>
          </w:tcPr>
          <w:p w14:paraId="6B29A94C" w14:textId="77777777" w:rsidR="004B0AC2" w:rsidRPr="00092ED7" w:rsidRDefault="004B0AC2" w:rsidP="00FB09AE">
            <w:pPr>
              <w:spacing w:after="0"/>
              <w:jc w:val="left"/>
              <w:rPr>
                <w:sz w:val="17"/>
                <w:szCs w:val="17"/>
                <w:lang w:val="sr-Cyrl-CS"/>
              </w:rPr>
            </w:pPr>
            <w:r w:rsidRPr="00092ED7">
              <w:rPr>
                <w:sz w:val="17"/>
                <w:szCs w:val="17"/>
                <w:lang w:val="sr-Cyrl-CS"/>
              </w:rPr>
              <w:t>[7] Коригован за следећи ток по основу свопова, тако да је TR-TE = EDP.B9.</w:t>
            </w:r>
          </w:p>
        </w:tc>
        <w:tc>
          <w:tcPr>
            <w:tcW w:w="1417" w:type="dxa"/>
            <w:tcBorders>
              <w:top w:val="nil"/>
              <w:left w:val="nil"/>
              <w:bottom w:val="nil"/>
              <w:right w:val="nil"/>
            </w:tcBorders>
            <w:shd w:val="clear" w:color="000000" w:fill="FFFFFF"/>
            <w:noWrap/>
            <w:vAlign w:val="center"/>
            <w:hideMark/>
          </w:tcPr>
          <w:p w14:paraId="3850C930"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0E430497"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3C13D9A4"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609138AD"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3E38255B"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0AFDEC1A"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4A576554" w14:textId="77777777" w:rsidR="004B0AC2" w:rsidRPr="00092ED7" w:rsidRDefault="004B0AC2" w:rsidP="00FB09AE">
            <w:pPr>
              <w:spacing w:after="0"/>
              <w:jc w:val="left"/>
              <w:rPr>
                <w:rFonts w:eastAsia="Times New Roman" w:cs="Times New Roman"/>
                <w:sz w:val="16"/>
                <w:szCs w:val="16"/>
                <w:lang w:val="sr-Cyrl-CS"/>
              </w:rPr>
            </w:pPr>
          </w:p>
        </w:tc>
      </w:tr>
    </w:tbl>
    <w:p w14:paraId="7C690C39" w14:textId="77777777" w:rsidR="004B0AC2" w:rsidRPr="00092ED7" w:rsidRDefault="004B0AC2" w:rsidP="004B0AC2">
      <w:pPr>
        <w:rPr>
          <w:rFonts w:cs="Times New Roman"/>
          <w:lang w:val="sr-Cyrl-CS"/>
        </w:rPr>
      </w:pPr>
    </w:p>
    <w:p w14:paraId="6506E09D" w14:textId="77777777" w:rsidR="004B0AC2" w:rsidRPr="00092ED7" w:rsidRDefault="004B0AC2" w:rsidP="00247CBF">
      <w:pPr>
        <w:rPr>
          <w:rFonts w:cs="Times New Roman"/>
          <w:lang w:val="sr-Cyrl-CS"/>
        </w:rPr>
      </w:pPr>
    </w:p>
    <w:p w14:paraId="53E3D541" w14:textId="77777777" w:rsidR="00247CBF" w:rsidRPr="00092ED7" w:rsidRDefault="00247CBF" w:rsidP="00603975">
      <w:pPr>
        <w:spacing w:line="230" w:lineRule="auto"/>
        <w:rPr>
          <w:rFonts w:cs="Times New Roman"/>
          <w:b/>
          <w:sz w:val="20"/>
          <w:szCs w:val="20"/>
          <w:lang w:val="sr-Cyrl-CS"/>
        </w:rPr>
      </w:pPr>
      <w:bookmarkStart w:id="135" w:name="_Toc61953861"/>
      <w:bookmarkStart w:id="136" w:name="_Toc93385997"/>
      <w:r w:rsidRPr="00092ED7">
        <w:rPr>
          <w:rFonts w:cs="Times New Roman"/>
          <w:b/>
          <w:sz w:val="20"/>
          <w:szCs w:val="20"/>
          <w:lang w:val="sr-Cyrl-CS"/>
        </w:rPr>
        <w:t>Табела 2a: Буџетски изгледи општег нивоа државе</w:t>
      </w:r>
      <w:bookmarkEnd w:id="135"/>
      <w:bookmarkEnd w:id="136"/>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t xml:space="preserve">            Република Србија</w:t>
      </w:r>
    </w:p>
    <w:tbl>
      <w:tblPr>
        <w:tblW w:w="5124" w:type="pct"/>
        <w:tblLayout w:type="fixed"/>
        <w:tblLook w:val="04A0" w:firstRow="1" w:lastRow="0" w:firstColumn="1" w:lastColumn="0" w:noHBand="0" w:noVBand="1"/>
      </w:tblPr>
      <w:tblGrid>
        <w:gridCol w:w="23"/>
        <w:gridCol w:w="5292"/>
        <w:gridCol w:w="1325"/>
        <w:gridCol w:w="708"/>
        <w:gridCol w:w="469"/>
        <w:gridCol w:w="835"/>
        <w:gridCol w:w="343"/>
        <w:gridCol w:w="842"/>
        <w:gridCol w:w="336"/>
        <w:gridCol w:w="849"/>
        <w:gridCol w:w="328"/>
        <w:gridCol w:w="857"/>
        <w:gridCol w:w="321"/>
        <w:gridCol w:w="864"/>
        <w:gridCol w:w="314"/>
        <w:gridCol w:w="872"/>
        <w:gridCol w:w="306"/>
      </w:tblGrid>
      <w:tr w:rsidR="00247CBF" w:rsidRPr="00092ED7" w14:paraId="4A01C35D" w14:textId="77777777" w:rsidTr="00247CBF">
        <w:trPr>
          <w:gridBefore w:val="1"/>
          <w:gridAfter w:val="1"/>
          <w:wBefore w:w="23" w:type="dxa"/>
          <w:wAfter w:w="306" w:type="dxa"/>
          <w:trHeight w:val="284"/>
        </w:trPr>
        <w:tc>
          <w:tcPr>
            <w:tcW w:w="5292" w:type="dxa"/>
            <w:vMerge w:val="restart"/>
            <w:tcBorders>
              <w:top w:val="double" w:sz="6" w:space="0" w:color="auto"/>
              <w:left w:val="double" w:sz="6" w:space="0" w:color="auto"/>
              <w:bottom w:val="nil"/>
              <w:right w:val="dotted" w:sz="4" w:space="0" w:color="auto"/>
            </w:tcBorders>
            <w:shd w:val="clear" w:color="000000" w:fill="FFFFFF"/>
            <w:vAlign w:val="center"/>
            <w:hideMark/>
          </w:tcPr>
          <w:p w14:paraId="6678FFDE"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 </w:t>
            </w:r>
          </w:p>
        </w:tc>
        <w:tc>
          <w:tcPr>
            <w:tcW w:w="2033" w:type="dxa"/>
            <w:gridSpan w:val="2"/>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4AFCDF02"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ESA шифра</w:t>
            </w:r>
          </w:p>
        </w:tc>
        <w:tc>
          <w:tcPr>
            <w:tcW w:w="1304" w:type="dxa"/>
            <w:gridSpan w:val="2"/>
            <w:tcBorders>
              <w:top w:val="double" w:sz="6" w:space="0" w:color="auto"/>
              <w:left w:val="nil"/>
              <w:bottom w:val="nil"/>
              <w:right w:val="single" w:sz="8" w:space="0" w:color="auto"/>
            </w:tcBorders>
            <w:shd w:val="clear" w:color="000000" w:fill="FFFFFF"/>
            <w:vAlign w:val="center"/>
            <w:hideMark/>
          </w:tcPr>
          <w:p w14:paraId="62043720"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1185" w:type="dxa"/>
            <w:gridSpan w:val="2"/>
            <w:tcBorders>
              <w:top w:val="double" w:sz="6" w:space="0" w:color="auto"/>
              <w:left w:val="nil"/>
              <w:bottom w:val="nil"/>
              <w:right w:val="dotted" w:sz="4" w:space="0" w:color="auto"/>
            </w:tcBorders>
            <w:shd w:val="clear" w:color="000000" w:fill="FFFFFF"/>
            <w:vAlign w:val="center"/>
            <w:hideMark/>
          </w:tcPr>
          <w:p w14:paraId="56C3B9F0"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1185" w:type="dxa"/>
            <w:gridSpan w:val="2"/>
            <w:tcBorders>
              <w:top w:val="double" w:sz="6" w:space="0" w:color="auto"/>
              <w:left w:val="nil"/>
              <w:bottom w:val="nil"/>
              <w:right w:val="dotted" w:sz="4" w:space="0" w:color="auto"/>
            </w:tcBorders>
            <w:shd w:val="clear" w:color="000000" w:fill="FFFFFF"/>
            <w:vAlign w:val="center"/>
            <w:hideMark/>
          </w:tcPr>
          <w:p w14:paraId="2DC11AEF"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1185" w:type="dxa"/>
            <w:gridSpan w:val="2"/>
            <w:tcBorders>
              <w:top w:val="double" w:sz="6" w:space="0" w:color="auto"/>
              <w:left w:val="nil"/>
              <w:bottom w:val="nil"/>
              <w:right w:val="dotted" w:sz="4" w:space="0" w:color="auto"/>
            </w:tcBorders>
            <w:shd w:val="clear" w:color="000000" w:fill="FFFFFF"/>
            <w:vAlign w:val="center"/>
            <w:hideMark/>
          </w:tcPr>
          <w:p w14:paraId="64330822"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1185" w:type="dxa"/>
            <w:gridSpan w:val="2"/>
            <w:tcBorders>
              <w:top w:val="double" w:sz="6" w:space="0" w:color="auto"/>
              <w:left w:val="nil"/>
              <w:bottom w:val="nil"/>
              <w:right w:val="dotted" w:sz="4" w:space="0" w:color="auto"/>
            </w:tcBorders>
            <w:shd w:val="clear" w:color="000000" w:fill="FFFFFF"/>
            <w:vAlign w:val="center"/>
            <w:hideMark/>
          </w:tcPr>
          <w:p w14:paraId="14CBDADE"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1186" w:type="dxa"/>
            <w:gridSpan w:val="2"/>
            <w:tcBorders>
              <w:top w:val="double" w:sz="6" w:space="0" w:color="auto"/>
              <w:left w:val="nil"/>
              <w:bottom w:val="nil"/>
              <w:right w:val="double" w:sz="6" w:space="0" w:color="auto"/>
            </w:tcBorders>
            <w:shd w:val="clear" w:color="000000" w:fill="FFFFFF"/>
            <w:vAlign w:val="center"/>
            <w:hideMark/>
          </w:tcPr>
          <w:p w14:paraId="6B983A4E"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r>
      <w:tr w:rsidR="00247CBF" w:rsidRPr="00092ED7" w14:paraId="1515D6E3" w14:textId="77777777" w:rsidTr="00247CBF">
        <w:trPr>
          <w:gridBefore w:val="1"/>
          <w:gridAfter w:val="1"/>
          <w:wBefore w:w="23" w:type="dxa"/>
          <w:wAfter w:w="306" w:type="dxa"/>
          <w:trHeight w:val="79"/>
        </w:trPr>
        <w:tc>
          <w:tcPr>
            <w:tcW w:w="5292" w:type="dxa"/>
            <w:vMerge/>
            <w:tcBorders>
              <w:top w:val="double" w:sz="6" w:space="0" w:color="auto"/>
              <w:left w:val="double" w:sz="6" w:space="0" w:color="auto"/>
              <w:bottom w:val="nil"/>
              <w:right w:val="dotted" w:sz="4" w:space="0" w:color="auto"/>
            </w:tcBorders>
            <w:vAlign w:val="center"/>
            <w:hideMark/>
          </w:tcPr>
          <w:p w14:paraId="40B09888" w14:textId="77777777" w:rsidR="00247CBF" w:rsidRPr="00092ED7" w:rsidRDefault="00247CBF" w:rsidP="00247CBF">
            <w:pPr>
              <w:spacing w:after="0"/>
              <w:jc w:val="left"/>
              <w:rPr>
                <w:rFonts w:eastAsia="Times New Roman" w:cs="Times New Roman"/>
                <w:sz w:val="20"/>
                <w:szCs w:val="20"/>
                <w:lang w:val="sr-Cyrl-CS" w:eastAsia="sr-Cyrl-RS"/>
              </w:rPr>
            </w:pPr>
          </w:p>
        </w:tc>
        <w:tc>
          <w:tcPr>
            <w:tcW w:w="2033" w:type="dxa"/>
            <w:gridSpan w:val="2"/>
            <w:vMerge/>
            <w:tcBorders>
              <w:top w:val="double" w:sz="6" w:space="0" w:color="auto"/>
              <w:left w:val="dotted" w:sz="4" w:space="0" w:color="auto"/>
              <w:bottom w:val="single" w:sz="8" w:space="0" w:color="000000"/>
              <w:right w:val="single" w:sz="8" w:space="0" w:color="auto"/>
            </w:tcBorders>
            <w:vAlign w:val="center"/>
            <w:hideMark/>
          </w:tcPr>
          <w:p w14:paraId="51D879C3" w14:textId="77777777" w:rsidR="00247CBF" w:rsidRPr="00092ED7" w:rsidRDefault="00247CBF" w:rsidP="00247CBF">
            <w:pPr>
              <w:spacing w:after="0"/>
              <w:jc w:val="left"/>
              <w:rPr>
                <w:rFonts w:eastAsia="Times New Roman" w:cs="Times New Roman"/>
                <w:sz w:val="20"/>
                <w:szCs w:val="20"/>
                <w:lang w:val="sr-Cyrl-CS" w:eastAsia="sr-Cyrl-RS"/>
              </w:rPr>
            </w:pPr>
          </w:p>
        </w:tc>
        <w:tc>
          <w:tcPr>
            <w:tcW w:w="1304" w:type="dxa"/>
            <w:gridSpan w:val="2"/>
            <w:tcBorders>
              <w:top w:val="nil"/>
              <w:left w:val="nil"/>
              <w:bottom w:val="dotted" w:sz="4" w:space="0" w:color="auto"/>
              <w:right w:val="single" w:sz="8" w:space="0" w:color="auto"/>
            </w:tcBorders>
            <w:shd w:val="clear" w:color="000000" w:fill="FFFFFF"/>
            <w:vAlign w:val="center"/>
            <w:hideMark/>
          </w:tcPr>
          <w:p w14:paraId="78C41E4E"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2021</w:t>
            </w:r>
          </w:p>
        </w:tc>
        <w:tc>
          <w:tcPr>
            <w:tcW w:w="1185" w:type="dxa"/>
            <w:gridSpan w:val="2"/>
            <w:tcBorders>
              <w:top w:val="nil"/>
              <w:left w:val="nil"/>
              <w:bottom w:val="dotted" w:sz="4" w:space="0" w:color="auto"/>
              <w:right w:val="dotted" w:sz="4" w:space="0" w:color="auto"/>
            </w:tcBorders>
            <w:shd w:val="clear" w:color="000000" w:fill="FFFFFF"/>
            <w:vAlign w:val="center"/>
            <w:hideMark/>
          </w:tcPr>
          <w:p w14:paraId="16CB88D4"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2021</w:t>
            </w:r>
          </w:p>
        </w:tc>
        <w:tc>
          <w:tcPr>
            <w:tcW w:w="1185" w:type="dxa"/>
            <w:gridSpan w:val="2"/>
            <w:tcBorders>
              <w:top w:val="nil"/>
              <w:left w:val="nil"/>
              <w:bottom w:val="dotted" w:sz="4" w:space="0" w:color="auto"/>
              <w:right w:val="dotted" w:sz="4" w:space="0" w:color="auto"/>
            </w:tcBorders>
            <w:shd w:val="clear" w:color="000000" w:fill="FFFFFF"/>
            <w:vAlign w:val="center"/>
            <w:hideMark/>
          </w:tcPr>
          <w:p w14:paraId="194CF579"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2022</w:t>
            </w:r>
          </w:p>
        </w:tc>
        <w:tc>
          <w:tcPr>
            <w:tcW w:w="1185" w:type="dxa"/>
            <w:gridSpan w:val="2"/>
            <w:tcBorders>
              <w:top w:val="nil"/>
              <w:left w:val="nil"/>
              <w:bottom w:val="dotted" w:sz="4" w:space="0" w:color="auto"/>
              <w:right w:val="dotted" w:sz="4" w:space="0" w:color="auto"/>
            </w:tcBorders>
            <w:shd w:val="clear" w:color="000000" w:fill="FFFFFF"/>
            <w:vAlign w:val="center"/>
            <w:hideMark/>
          </w:tcPr>
          <w:p w14:paraId="3871EF3C"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2023</w:t>
            </w:r>
          </w:p>
        </w:tc>
        <w:tc>
          <w:tcPr>
            <w:tcW w:w="1185" w:type="dxa"/>
            <w:gridSpan w:val="2"/>
            <w:tcBorders>
              <w:top w:val="nil"/>
              <w:left w:val="nil"/>
              <w:bottom w:val="dotted" w:sz="4" w:space="0" w:color="auto"/>
              <w:right w:val="dotted" w:sz="4" w:space="0" w:color="auto"/>
            </w:tcBorders>
            <w:shd w:val="clear" w:color="000000" w:fill="FFFFFF"/>
            <w:vAlign w:val="center"/>
            <w:hideMark/>
          </w:tcPr>
          <w:p w14:paraId="05F3A731"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2024</w:t>
            </w:r>
          </w:p>
        </w:tc>
        <w:tc>
          <w:tcPr>
            <w:tcW w:w="1186" w:type="dxa"/>
            <w:gridSpan w:val="2"/>
            <w:tcBorders>
              <w:top w:val="nil"/>
              <w:left w:val="nil"/>
              <w:bottom w:val="dotted" w:sz="4" w:space="0" w:color="auto"/>
              <w:right w:val="double" w:sz="6" w:space="0" w:color="auto"/>
            </w:tcBorders>
            <w:shd w:val="clear" w:color="000000" w:fill="FFFFFF"/>
            <w:vAlign w:val="center"/>
            <w:hideMark/>
          </w:tcPr>
          <w:p w14:paraId="6F61C6D5"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2025</w:t>
            </w:r>
          </w:p>
        </w:tc>
      </w:tr>
      <w:tr w:rsidR="00247CBF" w:rsidRPr="00092ED7" w14:paraId="0257B6FC" w14:textId="77777777" w:rsidTr="00247CBF">
        <w:trPr>
          <w:gridBefore w:val="1"/>
          <w:gridAfter w:val="1"/>
          <w:wBefore w:w="23" w:type="dxa"/>
          <w:wAfter w:w="306" w:type="dxa"/>
          <w:trHeight w:val="284"/>
        </w:trPr>
        <w:tc>
          <w:tcPr>
            <w:tcW w:w="5292" w:type="dxa"/>
            <w:tcBorders>
              <w:top w:val="nil"/>
              <w:left w:val="double" w:sz="6" w:space="0" w:color="auto"/>
              <w:bottom w:val="single" w:sz="8" w:space="0" w:color="auto"/>
              <w:right w:val="dotted" w:sz="4" w:space="0" w:color="auto"/>
            </w:tcBorders>
            <w:shd w:val="clear" w:color="000000" w:fill="FFFFFF"/>
            <w:vAlign w:val="center"/>
            <w:hideMark/>
          </w:tcPr>
          <w:p w14:paraId="01E17F89"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 </w:t>
            </w:r>
          </w:p>
        </w:tc>
        <w:tc>
          <w:tcPr>
            <w:tcW w:w="2033" w:type="dxa"/>
            <w:gridSpan w:val="2"/>
            <w:vMerge/>
            <w:tcBorders>
              <w:top w:val="double" w:sz="6" w:space="0" w:color="auto"/>
              <w:left w:val="dotted" w:sz="4" w:space="0" w:color="auto"/>
              <w:bottom w:val="single" w:sz="8" w:space="0" w:color="000000"/>
              <w:right w:val="single" w:sz="8" w:space="0" w:color="auto"/>
            </w:tcBorders>
            <w:vAlign w:val="center"/>
            <w:hideMark/>
          </w:tcPr>
          <w:p w14:paraId="42E65FAB" w14:textId="77777777" w:rsidR="00247CBF" w:rsidRPr="00092ED7" w:rsidRDefault="00247CBF" w:rsidP="00247CBF">
            <w:pPr>
              <w:spacing w:after="0"/>
              <w:jc w:val="left"/>
              <w:rPr>
                <w:rFonts w:eastAsia="Times New Roman" w:cs="Times New Roman"/>
                <w:sz w:val="20"/>
                <w:szCs w:val="20"/>
                <w:lang w:val="sr-Cyrl-CS" w:eastAsia="sr-Cyrl-RS"/>
              </w:rPr>
            </w:pPr>
          </w:p>
        </w:tc>
        <w:tc>
          <w:tcPr>
            <w:tcW w:w="1304" w:type="dxa"/>
            <w:gridSpan w:val="2"/>
            <w:tcBorders>
              <w:top w:val="nil"/>
              <w:left w:val="nil"/>
              <w:bottom w:val="single" w:sz="8" w:space="0" w:color="auto"/>
              <w:right w:val="single" w:sz="8" w:space="0" w:color="auto"/>
            </w:tcBorders>
            <w:shd w:val="clear" w:color="000000" w:fill="FFFFFF"/>
            <w:vAlign w:val="center"/>
            <w:hideMark/>
          </w:tcPr>
          <w:p w14:paraId="1AF1061B"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Ниво (млрд РСД)</w:t>
            </w:r>
          </w:p>
        </w:tc>
        <w:tc>
          <w:tcPr>
            <w:tcW w:w="5926" w:type="dxa"/>
            <w:gridSpan w:val="10"/>
            <w:tcBorders>
              <w:top w:val="nil"/>
              <w:left w:val="nil"/>
              <w:bottom w:val="single" w:sz="8" w:space="0" w:color="auto"/>
              <w:right w:val="double" w:sz="6" w:space="0" w:color="000000"/>
            </w:tcBorders>
            <w:shd w:val="clear" w:color="000000" w:fill="FFFFFF"/>
            <w:vAlign w:val="center"/>
          </w:tcPr>
          <w:p w14:paraId="2B840244"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 БДП</w:t>
            </w:r>
          </w:p>
        </w:tc>
      </w:tr>
      <w:tr w:rsidR="00247CBF" w:rsidRPr="00092ED7" w14:paraId="5BC49ECD" w14:textId="77777777" w:rsidTr="00247CBF">
        <w:trPr>
          <w:gridBefore w:val="1"/>
          <w:gridAfter w:val="1"/>
          <w:wBefore w:w="23" w:type="dxa"/>
          <w:wAfter w:w="306" w:type="dxa"/>
          <w:trHeight w:val="284"/>
        </w:trPr>
        <w:tc>
          <w:tcPr>
            <w:tcW w:w="14555" w:type="dxa"/>
            <w:gridSpan w:val="15"/>
            <w:tcBorders>
              <w:top w:val="single" w:sz="8" w:space="0" w:color="auto"/>
              <w:left w:val="double" w:sz="6" w:space="0" w:color="auto"/>
              <w:bottom w:val="single" w:sz="8" w:space="0" w:color="auto"/>
              <w:right w:val="double" w:sz="6" w:space="0" w:color="000000"/>
            </w:tcBorders>
            <w:shd w:val="clear" w:color="000000" w:fill="FFFFFF"/>
            <w:vAlign w:val="center"/>
            <w:hideMark/>
          </w:tcPr>
          <w:p w14:paraId="7A139193" w14:textId="77777777" w:rsidR="00247CBF" w:rsidRPr="00092ED7" w:rsidRDefault="00247CBF" w:rsidP="00247CBF">
            <w:pPr>
              <w:spacing w:after="0"/>
              <w:jc w:val="center"/>
              <w:rPr>
                <w:rFonts w:eastAsia="Times New Roman" w:cs="Times New Roman"/>
                <w:b/>
                <w:bCs/>
                <w:sz w:val="20"/>
                <w:szCs w:val="20"/>
                <w:lang w:val="sr-Cyrl-CS" w:eastAsia="sr-Cyrl-RS"/>
              </w:rPr>
            </w:pPr>
            <w:r w:rsidRPr="00092ED7">
              <w:rPr>
                <w:rFonts w:eastAsia="Times New Roman" w:cs="Times New Roman"/>
                <w:b/>
                <w:bCs/>
                <w:sz w:val="20"/>
                <w:szCs w:val="20"/>
                <w:lang w:val="sr-Cyrl-CS" w:eastAsia="sr-Cyrl-RS"/>
              </w:rPr>
              <w:t>Нето позајмице (B9) по подсекторима</w:t>
            </w:r>
          </w:p>
        </w:tc>
      </w:tr>
      <w:tr w:rsidR="00247CBF" w:rsidRPr="00092ED7" w14:paraId="0F3D77B2"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10D0CB2"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 Општи ниво државе</w:t>
            </w:r>
          </w:p>
        </w:tc>
        <w:tc>
          <w:tcPr>
            <w:tcW w:w="2033" w:type="dxa"/>
            <w:gridSpan w:val="2"/>
            <w:tcBorders>
              <w:top w:val="nil"/>
              <w:left w:val="nil"/>
              <w:bottom w:val="dotted" w:sz="4" w:space="0" w:color="auto"/>
              <w:right w:val="single" w:sz="8" w:space="0" w:color="auto"/>
            </w:tcBorders>
            <w:shd w:val="clear" w:color="auto" w:fill="auto"/>
            <w:vAlign w:val="center"/>
            <w:hideMark/>
          </w:tcPr>
          <w:p w14:paraId="0CACC390"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S13</w:t>
            </w:r>
          </w:p>
        </w:tc>
        <w:tc>
          <w:tcPr>
            <w:tcW w:w="1304" w:type="dxa"/>
            <w:gridSpan w:val="2"/>
            <w:tcBorders>
              <w:top w:val="nil"/>
              <w:left w:val="nil"/>
              <w:bottom w:val="dotted" w:sz="4" w:space="0" w:color="auto"/>
              <w:right w:val="single" w:sz="8" w:space="0" w:color="auto"/>
            </w:tcBorders>
            <w:shd w:val="clear" w:color="auto" w:fill="auto"/>
            <w:vAlign w:val="center"/>
            <w:hideMark/>
          </w:tcPr>
          <w:p w14:paraId="5AD715F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-259,4</w:t>
            </w:r>
          </w:p>
        </w:tc>
        <w:tc>
          <w:tcPr>
            <w:tcW w:w="1185" w:type="dxa"/>
            <w:gridSpan w:val="2"/>
            <w:tcBorders>
              <w:top w:val="nil"/>
              <w:left w:val="nil"/>
              <w:bottom w:val="dotted" w:sz="4" w:space="0" w:color="auto"/>
              <w:right w:val="dotted" w:sz="4" w:space="0" w:color="auto"/>
            </w:tcBorders>
            <w:shd w:val="clear" w:color="auto" w:fill="auto"/>
            <w:vAlign w:val="center"/>
            <w:hideMark/>
          </w:tcPr>
          <w:p w14:paraId="0871CC5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-4,1</w:t>
            </w:r>
          </w:p>
        </w:tc>
        <w:tc>
          <w:tcPr>
            <w:tcW w:w="1185" w:type="dxa"/>
            <w:gridSpan w:val="2"/>
            <w:tcBorders>
              <w:top w:val="nil"/>
              <w:left w:val="nil"/>
              <w:bottom w:val="dotted" w:sz="4" w:space="0" w:color="auto"/>
              <w:right w:val="dotted" w:sz="4" w:space="0" w:color="auto"/>
            </w:tcBorders>
            <w:shd w:val="clear" w:color="auto" w:fill="auto"/>
            <w:vAlign w:val="center"/>
            <w:hideMark/>
          </w:tcPr>
          <w:p w14:paraId="10B80C6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-3,8</w:t>
            </w:r>
          </w:p>
        </w:tc>
        <w:tc>
          <w:tcPr>
            <w:tcW w:w="1185" w:type="dxa"/>
            <w:gridSpan w:val="2"/>
            <w:tcBorders>
              <w:top w:val="nil"/>
              <w:left w:val="nil"/>
              <w:bottom w:val="dotted" w:sz="4" w:space="0" w:color="auto"/>
              <w:right w:val="dotted" w:sz="4" w:space="0" w:color="auto"/>
            </w:tcBorders>
            <w:shd w:val="clear" w:color="auto" w:fill="auto"/>
            <w:vAlign w:val="center"/>
            <w:hideMark/>
          </w:tcPr>
          <w:p w14:paraId="7FBFAD9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-3,3</w:t>
            </w:r>
          </w:p>
        </w:tc>
        <w:tc>
          <w:tcPr>
            <w:tcW w:w="1185" w:type="dxa"/>
            <w:gridSpan w:val="2"/>
            <w:tcBorders>
              <w:top w:val="nil"/>
              <w:left w:val="nil"/>
              <w:bottom w:val="dotted" w:sz="4" w:space="0" w:color="auto"/>
              <w:right w:val="dotted" w:sz="4" w:space="0" w:color="auto"/>
            </w:tcBorders>
            <w:shd w:val="clear" w:color="auto" w:fill="auto"/>
            <w:vAlign w:val="center"/>
            <w:hideMark/>
          </w:tcPr>
          <w:p w14:paraId="7774721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w:t>
            </w:r>
          </w:p>
        </w:tc>
        <w:tc>
          <w:tcPr>
            <w:tcW w:w="1186" w:type="dxa"/>
            <w:gridSpan w:val="2"/>
            <w:tcBorders>
              <w:top w:val="nil"/>
              <w:left w:val="nil"/>
              <w:bottom w:val="dotted" w:sz="4" w:space="0" w:color="auto"/>
              <w:right w:val="double" w:sz="6" w:space="0" w:color="auto"/>
            </w:tcBorders>
            <w:shd w:val="clear" w:color="auto" w:fill="auto"/>
            <w:vAlign w:val="center"/>
            <w:hideMark/>
          </w:tcPr>
          <w:p w14:paraId="4948F72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-1,4</w:t>
            </w:r>
          </w:p>
        </w:tc>
      </w:tr>
      <w:tr w:rsidR="00247CBF" w:rsidRPr="00092ED7" w14:paraId="78F6A1DC"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44259ED0"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2. Централни ниво државе</w:t>
            </w:r>
          </w:p>
        </w:tc>
        <w:tc>
          <w:tcPr>
            <w:tcW w:w="2033" w:type="dxa"/>
            <w:gridSpan w:val="2"/>
            <w:tcBorders>
              <w:top w:val="nil"/>
              <w:left w:val="nil"/>
              <w:bottom w:val="dotted" w:sz="4" w:space="0" w:color="auto"/>
              <w:right w:val="single" w:sz="8" w:space="0" w:color="auto"/>
            </w:tcBorders>
            <w:shd w:val="clear" w:color="auto" w:fill="auto"/>
            <w:vAlign w:val="center"/>
            <w:hideMark/>
          </w:tcPr>
          <w:p w14:paraId="724A5F69"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S1311</w:t>
            </w:r>
          </w:p>
        </w:tc>
        <w:tc>
          <w:tcPr>
            <w:tcW w:w="1304" w:type="dxa"/>
            <w:gridSpan w:val="2"/>
            <w:tcBorders>
              <w:top w:val="nil"/>
              <w:left w:val="nil"/>
              <w:bottom w:val="dotted" w:sz="4" w:space="0" w:color="auto"/>
              <w:right w:val="single" w:sz="8" w:space="0" w:color="auto"/>
            </w:tcBorders>
            <w:shd w:val="clear" w:color="auto" w:fill="auto"/>
            <w:vAlign w:val="center"/>
            <w:hideMark/>
          </w:tcPr>
          <w:p w14:paraId="2A3B34C9"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-285,2</w:t>
            </w:r>
          </w:p>
        </w:tc>
        <w:tc>
          <w:tcPr>
            <w:tcW w:w="1185" w:type="dxa"/>
            <w:gridSpan w:val="2"/>
            <w:tcBorders>
              <w:top w:val="nil"/>
              <w:left w:val="nil"/>
              <w:bottom w:val="dotted" w:sz="4" w:space="0" w:color="auto"/>
              <w:right w:val="dotted" w:sz="4" w:space="0" w:color="auto"/>
            </w:tcBorders>
            <w:shd w:val="clear" w:color="auto" w:fill="auto"/>
            <w:vAlign w:val="center"/>
            <w:hideMark/>
          </w:tcPr>
          <w:p w14:paraId="3C64BD6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-4,5</w:t>
            </w:r>
          </w:p>
        </w:tc>
        <w:tc>
          <w:tcPr>
            <w:tcW w:w="1185" w:type="dxa"/>
            <w:gridSpan w:val="2"/>
            <w:tcBorders>
              <w:top w:val="nil"/>
              <w:left w:val="nil"/>
              <w:bottom w:val="dotted" w:sz="4" w:space="0" w:color="auto"/>
              <w:right w:val="dotted" w:sz="4" w:space="0" w:color="auto"/>
            </w:tcBorders>
            <w:shd w:val="clear" w:color="auto" w:fill="auto"/>
            <w:vAlign w:val="center"/>
            <w:hideMark/>
          </w:tcPr>
          <w:p w14:paraId="7FC26BE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-3,9</w:t>
            </w:r>
          </w:p>
        </w:tc>
        <w:tc>
          <w:tcPr>
            <w:tcW w:w="1185" w:type="dxa"/>
            <w:gridSpan w:val="2"/>
            <w:tcBorders>
              <w:top w:val="nil"/>
              <w:left w:val="nil"/>
              <w:bottom w:val="dotted" w:sz="4" w:space="0" w:color="auto"/>
              <w:right w:val="dotted" w:sz="4" w:space="0" w:color="auto"/>
            </w:tcBorders>
            <w:shd w:val="clear" w:color="auto" w:fill="auto"/>
            <w:vAlign w:val="center"/>
            <w:hideMark/>
          </w:tcPr>
          <w:p w14:paraId="60B2A78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-3,3</w:t>
            </w:r>
          </w:p>
        </w:tc>
        <w:tc>
          <w:tcPr>
            <w:tcW w:w="1185" w:type="dxa"/>
            <w:gridSpan w:val="2"/>
            <w:tcBorders>
              <w:top w:val="nil"/>
              <w:left w:val="nil"/>
              <w:bottom w:val="dotted" w:sz="4" w:space="0" w:color="auto"/>
              <w:right w:val="dotted" w:sz="4" w:space="0" w:color="auto"/>
            </w:tcBorders>
            <w:shd w:val="clear" w:color="auto" w:fill="auto"/>
            <w:vAlign w:val="center"/>
            <w:hideMark/>
          </w:tcPr>
          <w:p w14:paraId="40D1D6C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w:t>
            </w:r>
          </w:p>
        </w:tc>
        <w:tc>
          <w:tcPr>
            <w:tcW w:w="1186" w:type="dxa"/>
            <w:gridSpan w:val="2"/>
            <w:tcBorders>
              <w:top w:val="nil"/>
              <w:left w:val="nil"/>
              <w:bottom w:val="dotted" w:sz="4" w:space="0" w:color="auto"/>
              <w:right w:val="double" w:sz="6" w:space="0" w:color="auto"/>
            </w:tcBorders>
            <w:shd w:val="clear" w:color="auto" w:fill="auto"/>
            <w:vAlign w:val="center"/>
            <w:hideMark/>
          </w:tcPr>
          <w:p w14:paraId="4D2AAB3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-1,4</w:t>
            </w:r>
          </w:p>
        </w:tc>
      </w:tr>
      <w:tr w:rsidR="00247CBF" w:rsidRPr="00092ED7" w14:paraId="71F2C7C1"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8AC6910"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 xml:space="preserve">3. Ниво власти федералних јединица </w:t>
            </w:r>
          </w:p>
        </w:tc>
        <w:tc>
          <w:tcPr>
            <w:tcW w:w="2033" w:type="dxa"/>
            <w:gridSpan w:val="2"/>
            <w:tcBorders>
              <w:top w:val="nil"/>
              <w:left w:val="nil"/>
              <w:bottom w:val="dotted" w:sz="4" w:space="0" w:color="auto"/>
              <w:right w:val="single" w:sz="8" w:space="0" w:color="auto"/>
            </w:tcBorders>
            <w:shd w:val="clear" w:color="auto" w:fill="auto"/>
            <w:vAlign w:val="center"/>
            <w:hideMark/>
          </w:tcPr>
          <w:p w14:paraId="79475344"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S1312</w:t>
            </w:r>
          </w:p>
        </w:tc>
        <w:tc>
          <w:tcPr>
            <w:tcW w:w="1304" w:type="dxa"/>
            <w:gridSpan w:val="2"/>
            <w:tcBorders>
              <w:top w:val="nil"/>
              <w:left w:val="nil"/>
              <w:bottom w:val="dotted" w:sz="4" w:space="0" w:color="auto"/>
              <w:right w:val="single" w:sz="8" w:space="0" w:color="auto"/>
            </w:tcBorders>
            <w:shd w:val="clear" w:color="auto" w:fill="auto"/>
            <w:vAlign w:val="center"/>
            <w:hideMark/>
          </w:tcPr>
          <w:p w14:paraId="40524A5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dotted" w:sz="4" w:space="0" w:color="auto"/>
              <w:right w:val="dotted" w:sz="4" w:space="0" w:color="auto"/>
            </w:tcBorders>
            <w:shd w:val="clear" w:color="auto" w:fill="auto"/>
            <w:vAlign w:val="center"/>
            <w:hideMark/>
          </w:tcPr>
          <w:p w14:paraId="2FFAE88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dotted" w:sz="4" w:space="0" w:color="auto"/>
              <w:right w:val="dotted" w:sz="4" w:space="0" w:color="auto"/>
            </w:tcBorders>
            <w:shd w:val="clear" w:color="auto" w:fill="auto"/>
            <w:vAlign w:val="center"/>
            <w:hideMark/>
          </w:tcPr>
          <w:p w14:paraId="47B6BB9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dotted" w:sz="4" w:space="0" w:color="auto"/>
              <w:right w:val="dotted" w:sz="4" w:space="0" w:color="auto"/>
            </w:tcBorders>
            <w:shd w:val="clear" w:color="auto" w:fill="auto"/>
            <w:vAlign w:val="center"/>
            <w:hideMark/>
          </w:tcPr>
          <w:p w14:paraId="48465236"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dotted" w:sz="4" w:space="0" w:color="auto"/>
              <w:right w:val="dotted" w:sz="4" w:space="0" w:color="auto"/>
            </w:tcBorders>
            <w:shd w:val="clear" w:color="auto" w:fill="auto"/>
            <w:vAlign w:val="center"/>
            <w:hideMark/>
          </w:tcPr>
          <w:p w14:paraId="4CCCC5B9"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6" w:type="dxa"/>
            <w:gridSpan w:val="2"/>
            <w:tcBorders>
              <w:top w:val="nil"/>
              <w:left w:val="nil"/>
              <w:bottom w:val="dotted" w:sz="4" w:space="0" w:color="auto"/>
              <w:right w:val="double" w:sz="6" w:space="0" w:color="auto"/>
            </w:tcBorders>
            <w:shd w:val="clear" w:color="auto" w:fill="auto"/>
            <w:vAlign w:val="center"/>
            <w:hideMark/>
          </w:tcPr>
          <w:p w14:paraId="66CA177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r>
      <w:tr w:rsidR="00247CBF" w:rsidRPr="00092ED7" w14:paraId="671FC5F2"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09E638AB"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4. Локална самоуправа</w:t>
            </w:r>
          </w:p>
        </w:tc>
        <w:tc>
          <w:tcPr>
            <w:tcW w:w="2033" w:type="dxa"/>
            <w:gridSpan w:val="2"/>
            <w:tcBorders>
              <w:top w:val="nil"/>
              <w:left w:val="nil"/>
              <w:bottom w:val="dotted" w:sz="4" w:space="0" w:color="auto"/>
              <w:right w:val="single" w:sz="8" w:space="0" w:color="auto"/>
            </w:tcBorders>
            <w:shd w:val="clear" w:color="auto" w:fill="auto"/>
            <w:vAlign w:val="center"/>
            <w:hideMark/>
          </w:tcPr>
          <w:p w14:paraId="6018ADD8"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S1313</w:t>
            </w:r>
          </w:p>
        </w:tc>
        <w:tc>
          <w:tcPr>
            <w:tcW w:w="1304" w:type="dxa"/>
            <w:gridSpan w:val="2"/>
            <w:tcBorders>
              <w:top w:val="nil"/>
              <w:left w:val="nil"/>
              <w:bottom w:val="dotted" w:sz="4" w:space="0" w:color="auto"/>
              <w:right w:val="single" w:sz="8" w:space="0" w:color="auto"/>
            </w:tcBorders>
            <w:shd w:val="clear" w:color="auto" w:fill="auto"/>
            <w:vAlign w:val="center"/>
            <w:hideMark/>
          </w:tcPr>
          <w:p w14:paraId="2DD21A6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22,5</w:t>
            </w:r>
          </w:p>
        </w:tc>
        <w:tc>
          <w:tcPr>
            <w:tcW w:w="1185" w:type="dxa"/>
            <w:gridSpan w:val="2"/>
            <w:tcBorders>
              <w:top w:val="nil"/>
              <w:left w:val="nil"/>
              <w:bottom w:val="dotted" w:sz="4" w:space="0" w:color="auto"/>
              <w:right w:val="dotted" w:sz="4" w:space="0" w:color="auto"/>
            </w:tcBorders>
            <w:shd w:val="clear" w:color="auto" w:fill="auto"/>
            <w:vAlign w:val="center"/>
            <w:hideMark/>
          </w:tcPr>
          <w:p w14:paraId="704AA5B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0,4</w:t>
            </w:r>
          </w:p>
        </w:tc>
        <w:tc>
          <w:tcPr>
            <w:tcW w:w="1185" w:type="dxa"/>
            <w:gridSpan w:val="2"/>
            <w:tcBorders>
              <w:top w:val="nil"/>
              <w:left w:val="nil"/>
              <w:bottom w:val="dotted" w:sz="4" w:space="0" w:color="auto"/>
              <w:right w:val="dotted" w:sz="4" w:space="0" w:color="auto"/>
            </w:tcBorders>
            <w:shd w:val="clear" w:color="auto" w:fill="auto"/>
            <w:vAlign w:val="center"/>
            <w:hideMark/>
          </w:tcPr>
          <w:p w14:paraId="7AC483A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0,1</w:t>
            </w:r>
          </w:p>
        </w:tc>
        <w:tc>
          <w:tcPr>
            <w:tcW w:w="1185" w:type="dxa"/>
            <w:gridSpan w:val="2"/>
            <w:tcBorders>
              <w:top w:val="nil"/>
              <w:left w:val="nil"/>
              <w:bottom w:val="dotted" w:sz="4" w:space="0" w:color="auto"/>
              <w:right w:val="dotted" w:sz="4" w:space="0" w:color="auto"/>
            </w:tcBorders>
            <w:shd w:val="clear" w:color="auto" w:fill="auto"/>
            <w:vAlign w:val="center"/>
            <w:hideMark/>
          </w:tcPr>
          <w:p w14:paraId="5FFC32D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c>
          <w:tcPr>
            <w:tcW w:w="1185" w:type="dxa"/>
            <w:gridSpan w:val="2"/>
            <w:tcBorders>
              <w:top w:val="nil"/>
              <w:left w:val="nil"/>
              <w:bottom w:val="dotted" w:sz="4" w:space="0" w:color="auto"/>
              <w:right w:val="dotted" w:sz="4" w:space="0" w:color="auto"/>
            </w:tcBorders>
            <w:shd w:val="clear" w:color="auto" w:fill="auto"/>
            <w:vAlign w:val="center"/>
            <w:hideMark/>
          </w:tcPr>
          <w:p w14:paraId="6936C4A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c>
          <w:tcPr>
            <w:tcW w:w="1186" w:type="dxa"/>
            <w:gridSpan w:val="2"/>
            <w:tcBorders>
              <w:top w:val="nil"/>
              <w:left w:val="nil"/>
              <w:bottom w:val="dotted" w:sz="4" w:space="0" w:color="auto"/>
              <w:right w:val="double" w:sz="6" w:space="0" w:color="auto"/>
            </w:tcBorders>
            <w:shd w:val="clear" w:color="auto" w:fill="auto"/>
            <w:vAlign w:val="center"/>
            <w:hideMark/>
          </w:tcPr>
          <w:p w14:paraId="7523527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r>
      <w:tr w:rsidR="00247CBF" w:rsidRPr="00092ED7" w14:paraId="0AEB880A" w14:textId="77777777" w:rsidTr="00247CBF">
        <w:trPr>
          <w:gridBefore w:val="1"/>
          <w:gridAfter w:val="1"/>
          <w:wBefore w:w="23" w:type="dxa"/>
          <w:wAfter w:w="306" w:type="dxa"/>
          <w:trHeight w:val="284"/>
        </w:trPr>
        <w:tc>
          <w:tcPr>
            <w:tcW w:w="5292" w:type="dxa"/>
            <w:tcBorders>
              <w:top w:val="nil"/>
              <w:left w:val="double" w:sz="6" w:space="0" w:color="auto"/>
              <w:bottom w:val="single" w:sz="8" w:space="0" w:color="auto"/>
              <w:right w:val="dotted" w:sz="4" w:space="0" w:color="auto"/>
            </w:tcBorders>
            <w:shd w:val="clear" w:color="auto" w:fill="auto"/>
            <w:vAlign w:val="center"/>
            <w:hideMark/>
          </w:tcPr>
          <w:p w14:paraId="48F9B499"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5. Фондови социјалног осигурања</w:t>
            </w:r>
          </w:p>
        </w:tc>
        <w:tc>
          <w:tcPr>
            <w:tcW w:w="2033" w:type="dxa"/>
            <w:gridSpan w:val="2"/>
            <w:tcBorders>
              <w:top w:val="nil"/>
              <w:left w:val="nil"/>
              <w:bottom w:val="single" w:sz="8" w:space="0" w:color="auto"/>
              <w:right w:val="single" w:sz="8" w:space="0" w:color="auto"/>
            </w:tcBorders>
            <w:shd w:val="clear" w:color="auto" w:fill="auto"/>
            <w:vAlign w:val="center"/>
            <w:hideMark/>
          </w:tcPr>
          <w:p w14:paraId="2E9229B3"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S1314</w:t>
            </w:r>
          </w:p>
        </w:tc>
        <w:tc>
          <w:tcPr>
            <w:tcW w:w="1304" w:type="dxa"/>
            <w:gridSpan w:val="2"/>
            <w:tcBorders>
              <w:top w:val="nil"/>
              <w:left w:val="nil"/>
              <w:bottom w:val="single" w:sz="8" w:space="0" w:color="auto"/>
              <w:right w:val="single" w:sz="8" w:space="0" w:color="auto"/>
            </w:tcBorders>
            <w:shd w:val="clear" w:color="auto" w:fill="auto"/>
            <w:vAlign w:val="center"/>
            <w:hideMark/>
          </w:tcPr>
          <w:p w14:paraId="385682E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3,4</w:t>
            </w:r>
          </w:p>
        </w:tc>
        <w:tc>
          <w:tcPr>
            <w:tcW w:w="1185" w:type="dxa"/>
            <w:gridSpan w:val="2"/>
            <w:tcBorders>
              <w:top w:val="nil"/>
              <w:left w:val="nil"/>
              <w:bottom w:val="single" w:sz="8" w:space="0" w:color="auto"/>
              <w:right w:val="dotted" w:sz="4" w:space="0" w:color="auto"/>
            </w:tcBorders>
            <w:shd w:val="clear" w:color="auto" w:fill="auto"/>
            <w:vAlign w:val="center"/>
            <w:hideMark/>
          </w:tcPr>
          <w:p w14:paraId="69E7DD2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0,1</w:t>
            </w:r>
          </w:p>
        </w:tc>
        <w:tc>
          <w:tcPr>
            <w:tcW w:w="1185" w:type="dxa"/>
            <w:gridSpan w:val="2"/>
            <w:tcBorders>
              <w:top w:val="nil"/>
              <w:left w:val="nil"/>
              <w:bottom w:val="single" w:sz="8" w:space="0" w:color="auto"/>
              <w:right w:val="dotted" w:sz="4" w:space="0" w:color="auto"/>
            </w:tcBorders>
            <w:shd w:val="clear" w:color="auto" w:fill="auto"/>
            <w:vAlign w:val="center"/>
            <w:hideMark/>
          </w:tcPr>
          <w:p w14:paraId="7F1D400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c>
          <w:tcPr>
            <w:tcW w:w="1185" w:type="dxa"/>
            <w:gridSpan w:val="2"/>
            <w:tcBorders>
              <w:top w:val="nil"/>
              <w:left w:val="nil"/>
              <w:bottom w:val="single" w:sz="8" w:space="0" w:color="auto"/>
              <w:right w:val="dotted" w:sz="4" w:space="0" w:color="auto"/>
            </w:tcBorders>
            <w:shd w:val="clear" w:color="auto" w:fill="auto"/>
            <w:vAlign w:val="center"/>
            <w:hideMark/>
          </w:tcPr>
          <w:p w14:paraId="202EDC6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c>
          <w:tcPr>
            <w:tcW w:w="1185" w:type="dxa"/>
            <w:gridSpan w:val="2"/>
            <w:tcBorders>
              <w:top w:val="nil"/>
              <w:left w:val="nil"/>
              <w:bottom w:val="single" w:sz="8" w:space="0" w:color="auto"/>
              <w:right w:val="dotted" w:sz="4" w:space="0" w:color="auto"/>
            </w:tcBorders>
            <w:shd w:val="clear" w:color="auto" w:fill="auto"/>
            <w:vAlign w:val="center"/>
            <w:hideMark/>
          </w:tcPr>
          <w:p w14:paraId="40C9752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c>
          <w:tcPr>
            <w:tcW w:w="1186" w:type="dxa"/>
            <w:gridSpan w:val="2"/>
            <w:tcBorders>
              <w:top w:val="nil"/>
              <w:left w:val="nil"/>
              <w:bottom w:val="single" w:sz="8" w:space="0" w:color="auto"/>
              <w:right w:val="double" w:sz="6" w:space="0" w:color="auto"/>
            </w:tcBorders>
            <w:shd w:val="clear" w:color="auto" w:fill="auto"/>
            <w:vAlign w:val="center"/>
            <w:hideMark/>
          </w:tcPr>
          <w:p w14:paraId="0B9FC23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r>
      <w:tr w:rsidR="00247CBF" w:rsidRPr="00092ED7" w14:paraId="772A4979" w14:textId="77777777" w:rsidTr="00247CBF">
        <w:trPr>
          <w:gridBefore w:val="1"/>
          <w:gridAfter w:val="1"/>
          <w:wBefore w:w="23" w:type="dxa"/>
          <w:wAfter w:w="306" w:type="dxa"/>
          <w:trHeight w:val="284"/>
        </w:trPr>
        <w:tc>
          <w:tcPr>
            <w:tcW w:w="14555" w:type="dxa"/>
            <w:gridSpan w:val="15"/>
            <w:tcBorders>
              <w:top w:val="single" w:sz="8" w:space="0" w:color="auto"/>
              <w:left w:val="double" w:sz="6" w:space="0" w:color="auto"/>
              <w:bottom w:val="single" w:sz="8" w:space="0" w:color="auto"/>
              <w:right w:val="double" w:sz="6" w:space="0" w:color="000000"/>
            </w:tcBorders>
            <w:shd w:val="clear" w:color="auto" w:fill="auto"/>
            <w:vAlign w:val="center"/>
            <w:hideMark/>
          </w:tcPr>
          <w:p w14:paraId="08CE8E00" w14:textId="77777777" w:rsidR="00247CBF" w:rsidRPr="00092ED7" w:rsidRDefault="00247CBF" w:rsidP="00247CBF">
            <w:pPr>
              <w:spacing w:after="0"/>
              <w:jc w:val="center"/>
              <w:rPr>
                <w:rFonts w:eastAsia="Times New Roman" w:cs="Times New Roman"/>
                <w:b/>
                <w:bCs/>
                <w:sz w:val="20"/>
                <w:szCs w:val="20"/>
                <w:lang w:val="sr-Cyrl-CS" w:eastAsia="sr-Cyrl-RS"/>
              </w:rPr>
            </w:pPr>
            <w:r w:rsidRPr="00092ED7">
              <w:rPr>
                <w:rFonts w:eastAsia="Times New Roman" w:cs="Times New Roman"/>
                <w:b/>
                <w:bCs/>
                <w:sz w:val="20"/>
                <w:szCs w:val="20"/>
                <w:lang w:val="sr-Cyrl-CS" w:eastAsia="sr-Cyrl-RS"/>
              </w:rPr>
              <w:t>Општа држава (S13)</w:t>
            </w:r>
          </w:p>
        </w:tc>
      </w:tr>
      <w:tr w:rsidR="00247CBF" w:rsidRPr="00092ED7" w14:paraId="03E2D69D"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C519EFE"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6. Укупни приходи</w:t>
            </w:r>
          </w:p>
        </w:tc>
        <w:tc>
          <w:tcPr>
            <w:tcW w:w="2033" w:type="dxa"/>
            <w:gridSpan w:val="2"/>
            <w:tcBorders>
              <w:top w:val="nil"/>
              <w:left w:val="nil"/>
              <w:bottom w:val="dotted" w:sz="4" w:space="0" w:color="auto"/>
              <w:right w:val="single" w:sz="8" w:space="0" w:color="auto"/>
            </w:tcBorders>
            <w:shd w:val="clear" w:color="auto" w:fill="auto"/>
            <w:vAlign w:val="center"/>
            <w:hideMark/>
          </w:tcPr>
          <w:p w14:paraId="524D4FD0"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TR</w:t>
            </w:r>
          </w:p>
        </w:tc>
        <w:tc>
          <w:tcPr>
            <w:tcW w:w="1304" w:type="dxa"/>
            <w:gridSpan w:val="2"/>
            <w:tcBorders>
              <w:top w:val="nil"/>
              <w:left w:val="nil"/>
              <w:bottom w:val="dotted" w:sz="4" w:space="0" w:color="auto"/>
              <w:right w:val="single" w:sz="8" w:space="0" w:color="auto"/>
            </w:tcBorders>
            <w:shd w:val="clear" w:color="auto" w:fill="auto"/>
            <w:vAlign w:val="center"/>
            <w:hideMark/>
          </w:tcPr>
          <w:p w14:paraId="7AFBBAB9"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2.711,9</w:t>
            </w:r>
          </w:p>
        </w:tc>
        <w:tc>
          <w:tcPr>
            <w:tcW w:w="1185" w:type="dxa"/>
            <w:gridSpan w:val="2"/>
            <w:tcBorders>
              <w:top w:val="nil"/>
              <w:left w:val="nil"/>
              <w:bottom w:val="dotted" w:sz="4" w:space="0" w:color="auto"/>
              <w:right w:val="dotted" w:sz="4" w:space="0" w:color="auto"/>
            </w:tcBorders>
            <w:shd w:val="clear" w:color="auto" w:fill="auto"/>
            <w:vAlign w:val="center"/>
            <w:hideMark/>
          </w:tcPr>
          <w:p w14:paraId="2637351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43,3</w:t>
            </w:r>
          </w:p>
        </w:tc>
        <w:tc>
          <w:tcPr>
            <w:tcW w:w="1185" w:type="dxa"/>
            <w:gridSpan w:val="2"/>
            <w:tcBorders>
              <w:top w:val="nil"/>
              <w:left w:val="nil"/>
              <w:bottom w:val="dotted" w:sz="4" w:space="0" w:color="auto"/>
              <w:right w:val="dotted" w:sz="4" w:space="0" w:color="auto"/>
            </w:tcBorders>
            <w:shd w:val="clear" w:color="auto" w:fill="auto"/>
            <w:vAlign w:val="center"/>
            <w:hideMark/>
          </w:tcPr>
          <w:p w14:paraId="2EFC336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43,0</w:t>
            </w:r>
          </w:p>
        </w:tc>
        <w:tc>
          <w:tcPr>
            <w:tcW w:w="1185" w:type="dxa"/>
            <w:gridSpan w:val="2"/>
            <w:tcBorders>
              <w:top w:val="nil"/>
              <w:left w:val="nil"/>
              <w:bottom w:val="dotted" w:sz="4" w:space="0" w:color="auto"/>
              <w:right w:val="dotted" w:sz="4" w:space="0" w:color="auto"/>
            </w:tcBorders>
            <w:shd w:val="clear" w:color="auto" w:fill="auto"/>
            <w:vAlign w:val="center"/>
            <w:hideMark/>
          </w:tcPr>
          <w:p w14:paraId="1C4DE3C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40,9</w:t>
            </w:r>
          </w:p>
        </w:tc>
        <w:tc>
          <w:tcPr>
            <w:tcW w:w="1185" w:type="dxa"/>
            <w:gridSpan w:val="2"/>
            <w:tcBorders>
              <w:top w:val="nil"/>
              <w:left w:val="nil"/>
              <w:bottom w:val="dotted" w:sz="4" w:space="0" w:color="auto"/>
              <w:right w:val="dotted" w:sz="4" w:space="0" w:color="auto"/>
            </w:tcBorders>
            <w:shd w:val="clear" w:color="auto" w:fill="auto"/>
            <w:vAlign w:val="center"/>
            <w:hideMark/>
          </w:tcPr>
          <w:p w14:paraId="7327CA1D"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40,4</w:t>
            </w:r>
          </w:p>
        </w:tc>
        <w:tc>
          <w:tcPr>
            <w:tcW w:w="1186" w:type="dxa"/>
            <w:gridSpan w:val="2"/>
            <w:tcBorders>
              <w:top w:val="nil"/>
              <w:left w:val="nil"/>
              <w:bottom w:val="dotted" w:sz="4" w:space="0" w:color="auto"/>
              <w:right w:val="double" w:sz="6" w:space="0" w:color="auto"/>
            </w:tcBorders>
            <w:shd w:val="clear" w:color="auto" w:fill="auto"/>
            <w:vAlign w:val="center"/>
            <w:hideMark/>
          </w:tcPr>
          <w:p w14:paraId="5881BAA9"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39,6</w:t>
            </w:r>
          </w:p>
        </w:tc>
      </w:tr>
      <w:tr w:rsidR="00247CBF" w:rsidRPr="00092ED7" w14:paraId="5E5D976B"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30500A1F"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7. Укупни расходи[1]</w:t>
            </w:r>
          </w:p>
        </w:tc>
        <w:tc>
          <w:tcPr>
            <w:tcW w:w="2033" w:type="dxa"/>
            <w:gridSpan w:val="2"/>
            <w:tcBorders>
              <w:top w:val="nil"/>
              <w:left w:val="nil"/>
              <w:bottom w:val="dotted" w:sz="4" w:space="0" w:color="auto"/>
              <w:right w:val="single" w:sz="8" w:space="0" w:color="auto"/>
            </w:tcBorders>
            <w:shd w:val="clear" w:color="auto" w:fill="auto"/>
            <w:vAlign w:val="center"/>
            <w:hideMark/>
          </w:tcPr>
          <w:p w14:paraId="09A10CE0"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TE</w:t>
            </w:r>
          </w:p>
        </w:tc>
        <w:tc>
          <w:tcPr>
            <w:tcW w:w="1304" w:type="dxa"/>
            <w:gridSpan w:val="2"/>
            <w:tcBorders>
              <w:top w:val="nil"/>
              <w:left w:val="nil"/>
              <w:bottom w:val="dotted" w:sz="4" w:space="0" w:color="auto"/>
              <w:right w:val="single" w:sz="8" w:space="0" w:color="auto"/>
            </w:tcBorders>
            <w:shd w:val="clear" w:color="auto" w:fill="auto"/>
            <w:vAlign w:val="center"/>
            <w:hideMark/>
          </w:tcPr>
          <w:p w14:paraId="0277970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2.971,3</w:t>
            </w:r>
          </w:p>
        </w:tc>
        <w:tc>
          <w:tcPr>
            <w:tcW w:w="1185" w:type="dxa"/>
            <w:gridSpan w:val="2"/>
            <w:tcBorders>
              <w:top w:val="nil"/>
              <w:left w:val="nil"/>
              <w:bottom w:val="dotted" w:sz="4" w:space="0" w:color="auto"/>
              <w:right w:val="dotted" w:sz="4" w:space="0" w:color="auto"/>
            </w:tcBorders>
            <w:shd w:val="clear" w:color="auto" w:fill="auto"/>
            <w:vAlign w:val="center"/>
            <w:hideMark/>
          </w:tcPr>
          <w:p w14:paraId="40EA0DC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47,4</w:t>
            </w:r>
          </w:p>
        </w:tc>
        <w:tc>
          <w:tcPr>
            <w:tcW w:w="1185" w:type="dxa"/>
            <w:gridSpan w:val="2"/>
            <w:tcBorders>
              <w:top w:val="nil"/>
              <w:left w:val="nil"/>
              <w:bottom w:val="dotted" w:sz="4" w:space="0" w:color="auto"/>
              <w:right w:val="dotted" w:sz="4" w:space="0" w:color="auto"/>
            </w:tcBorders>
            <w:shd w:val="clear" w:color="auto" w:fill="auto"/>
            <w:vAlign w:val="center"/>
            <w:hideMark/>
          </w:tcPr>
          <w:p w14:paraId="6E209A5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46,8</w:t>
            </w:r>
          </w:p>
        </w:tc>
        <w:tc>
          <w:tcPr>
            <w:tcW w:w="1185" w:type="dxa"/>
            <w:gridSpan w:val="2"/>
            <w:tcBorders>
              <w:top w:val="nil"/>
              <w:left w:val="nil"/>
              <w:bottom w:val="dotted" w:sz="4" w:space="0" w:color="auto"/>
              <w:right w:val="dotted" w:sz="4" w:space="0" w:color="auto"/>
            </w:tcBorders>
            <w:shd w:val="clear" w:color="auto" w:fill="auto"/>
            <w:vAlign w:val="center"/>
            <w:hideMark/>
          </w:tcPr>
          <w:p w14:paraId="73CEBC4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44,2</w:t>
            </w:r>
          </w:p>
        </w:tc>
        <w:tc>
          <w:tcPr>
            <w:tcW w:w="1185" w:type="dxa"/>
            <w:gridSpan w:val="2"/>
            <w:tcBorders>
              <w:top w:val="nil"/>
              <w:left w:val="nil"/>
              <w:bottom w:val="dotted" w:sz="4" w:space="0" w:color="auto"/>
              <w:right w:val="dotted" w:sz="4" w:space="0" w:color="auto"/>
            </w:tcBorders>
            <w:shd w:val="clear" w:color="auto" w:fill="auto"/>
            <w:vAlign w:val="center"/>
            <w:hideMark/>
          </w:tcPr>
          <w:p w14:paraId="5D1A99A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42,5</w:t>
            </w:r>
          </w:p>
        </w:tc>
        <w:tc>
          <w:tcPr>
            <w:tcW w:w="1186" w:type="dxa"/>
            <w:gridSpan w:val="2"/>
            <w:tcBorders>
              <w:top w:val="nil"/>
              <w:left w:val="nil"/>
              <w:bottom w:val="dotted" w:sz="4" w:space="0" w:color="auto"/>
              <w:right w:val="double" w:sz="6" w:space="0" w:color="auto"/>
            </w:tcBorders>
            <w:shd w:val="clear" w:color="auto" w:fill="auto"/>
            <w:vAlign w:val="center"/>
            <w:hideMark/>
          </w:tcPr>
          <w:p w14:paraId="6084B69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41,0</w:t>
            </w:r>
          </w:p>
        </w:tc>
      </w:tr>
      <w:tr w:rsidR="00247CBF" w:rsidRPr="00092ED7" w14:paraId="687FBBAE"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4786D889"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8. Нето дате/узете позајмице</w:t>
            </w:r>
          </w:p>
        </w:tc>
        <w:tc>
          <w:tcPr>
            <w:tcW w:w="2033" w:type="dxa"/>
            <w:gridSpan w:val="2"/>
            <w:tcBorders>
              <w:top w:val="nil"/>
              <w:left w:val="nil"/>
              <w:bottom w:val="dotted" w:sz="4" w:space="0" w:color="auto"/>
              <w:right w:val="single" w:sz="8" w:space="0" w:color="auto"/>
            </w:tcBorders>
            <w:shd w:val="clear" w:color="auto" w:fill="auto"/>
            <w:vAlign w:val="center"/>
            <w:hideMark/>
          </w:tcPr>
          <w:p w14:paraId="1B2DD27E"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EDP.B9</w:t>
            </w:r>
          </w:p>
        </w:tc>
        <w:tc>
          <w:tcPr>
            <w:tcW w:w="1304" w:type="dxa"/>
            <w:gridSpan w:val="2"/>
            <w:tcBorders>
              <w:top w:val="nil"/>
              <w:left w:val="nil"/>
              <w:bottom w:val="dotted" w:sz="4" w:space="0" w:color="auto"/>
              <w:right w:val="single" w:sz="8" w:space="0" w:color="auto"/>
            </w:tcBorders>
            <w:shd w:val="clear" w:color="auto" w:fill="auto"/>
            <w:vAlign w:val="center"/>
            <w:hideMark/>
          </w:tcPr>
          <w:p w14:paraId="47F0F3A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-259,4</w:t>
            </w:r>
          </w:p>
        </w:tc>
        <w:tc>
          <w:tcPr>
            <w:tcW w:w="1185" w:type="dxa"/>
            <w:gridSpan w:val="2"/>
            <w:tcBorders>
              <w:top w:val="nil"/>
              <w:left w:val="nil"/>
              <w:bottom w:val="dotted" w:sz="4" w:space="0" w:color="auto"/>
              <w:right w:val="dotted" w:sz="4" w:space="0" w:color="auto"/>
            </w:tcBorders>
            <w:shd w:val="clear" w:color="auto" w:fill="auto"/>
            <w:vAlign w:val="center"/>
            <w:hideMark/>
          </w:tcPr>
          <w:p w14:paraId="01BF48C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-4,1</w:t>
            </w:r>
          </w:p>
        </w:tc>
        <w:tc>
          <w:tcPr>
            <w:tcW w:w="1185" w:type="dxa"/>
            <w:gridSpan w:val="2"/>
            <w:tcBorders>
              <w:top w:val="nil"/>
              <w:left w:val="nil"/>
              <w:bottom w:val="dotted" w:sz="4" w:space="0" w:color="auto"/>
              <w:right w:val="dotted" w:sz="4" w:space="0" w:color="auto"/>
            </w:tcBorders>
            <w:shd w:val="clear" w:color="auto" w:fill="auto"/>
            <w:vAlign w:val="center"/>
            <w:hideMark/>
          </w:tcPr>
          <w:p w14:paraId="2256986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-3,8</w:t>
            </w:r>
          </w:p>
        </w:tc>
        <w:tc>
          <w:tcPr>
            <w:tcW w:w="1185" w:type="dxa"/>
            <w:gridSpan w:val="2"/>
            <w:tcBorders>
              <w:top w:val="nil"/>
              <w:left w:val="nil"/>
              <w:bottom w:val="dotted" w:sz="4" w:space="0" w:color="auto"/>
              <w:right w:val="dotted" w:sz="4" w:space="0" w:color="auto"/>
            </w:tcBorders>
            <w:shd w:val="clear" w:color="auto" w:fill="auto"/>
            <w:vAlign w:val="center"/>
            <w:hideMark/>
          </w:tcPr>
          <w:p w14:paraId="6F20CF0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-3,3</w:t>
            </w:r>
          </w:p>
        </w:tc>
        <w:tc>
          <w:tcPr>
            <w:tcW w:w="1185" w:type="dxa"/>
            <w:gridSpan w:val="2"/>
            <w:tcBorders>
              <w:top w:val="nil"/>
              <w:left w:val="nil"/>
              <w:bottom w:val="dotted" w:sz="4" w:space="0" w:color="auto"/>
              <w:right w:val="dotted" w:sz="4" w:space="0" w:color="auto"/>
            </w:tcBorders>
            <w:shd w:val="clear" w:color="auto" w:fill="auto"/>
            <w:vAlign w:val="center"/>
            <w:hideMark/>
          </w:tcPr>
          <w:p w14:paraId="58B23D5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w:t>
            </w:r>
          </w:p>
        </w:tc>
        <w:tc>
          <w:tcPr>
            <w:tcW w:w="1186" w:type="dxa"/>
            <w:gridSpan w:val="2"/>
            <w:tcBorders>
              <w:top w:val="nil"/>
              <w:left w:val="nil"/>
              <w:bottom w:val="dotted" w:sz="4" w:space="0" w:color="auto"/>
              <w:right w:val="double" w:sz="6" w:space="0" w:color="auto"/>
            </w:tcBorders>
            <w:shd w:val="clear" w:color="auto" w:fill="auto"/>
            <w:vAlign w:val="center"/>
            <w:hideMark/>
          </w:tcPr>
          <w:p w14:paraId="48E7324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-1,4</w:t>
            </w:r>
          </w:p>
        </w:tc>
      </w:tr>
      <w:tr w:rsidR="00247CBF" w:rsidRPr="00092ED7" w14:paraId="013C29B7"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074FFAC6"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9. Расходи за камате</w:t>
            </w:r>
          </w:p>
        </w:tc>
        <w:tc>
          <w:tcPr>
            <w:tcW w:w="2033" w:type="dxa"/>
            <w:gridSpan w:val="2"/>
            <w:tcBorders>
              <w:top w:val="nil"/>
              <w:left w:val="nil"/>
              <w:bottom w:val="dotted" w:sz="4" w:space="0" w:color="auto"/>
              <w:right w:val="single" w:sz="8" w:space="0" w:color="auto"/>
            </w:tcBorders>
            <w:shd w:val="clear" w:color="auto" w:fill="auto"/>
            <w:vAlign w:val="center"/>
            <w:hideMark/>
          </w:tcPr>
          <w:p w14:paraId="22543B5F"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EDP.D41 укљ. FISIM</w:t>
            </w:r>
          </w:p>
        </w:tc>
        <w:tc>
          <w:tcPr>
            <w:tcW w:w="1304" w:type="dxa"/>
            <w:gridSpan w:val="2"/>
            <w:tcBorders>
              <w:top w:val="nil"/>
              <w:left w:val="nil"/>
              <w:bottom w:val="dotted" w:sz="4" w:space="0" w:color="auto"/>
              <w:right w:val="single" w:sz="8" w:space="0" w:color="auto"/>
            </w:tcBorders>
            <w:shd w:val="clear" w:color="auto" w:fill="auto"/>
            <w:vAlign w:val="center"/>
            <w:hideMark/>
          </w:tcPr>
          <w:p w14:paraId="1476834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108,7</w:t>
            </w:r>
          </w:p>
        </w:tc>
        <w:tc>
          <w:tcPr>
            <w:tcW w:w="1185" w:type="dxa"/>
            <w:gridSpan w:val="2"/>
            <w:tcBorders>
              <w:top w:val="nil"/>
              <w:left w:val="nil"/>
              <w:bottom w:val="dotted" w:sz="4" w:space="0" w:color="auto"/>
              <w:right w:val="dotted" w:sz="4" w:space="0" w:color="auto"/>
            </w:tcBorders>
            <w:shd w:val="clear" w:color="auto" w:fill="auto"/>
            <w:vAlign w:val="center"/>
            <w:hideMark/>
          </w:tcPr>
          <w:p w14:paraId="219622F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1,7</w:t>
            </w:r>
          </w:p>
        </w:tc>
        <w:tc>
          <w:tcPr>
            <w:tcW w:w="1185" w:type="dxa"/>
            <w:gridSpan w:val="2"/>
            <w:tcBorders>
              <w:top w:val="nil"/>
              <w:left w:val="nil"/>
              <w:bottom w:val="dotted" w:sz="4" w:space="0" w:color="auto"/>
              <w:right w:val="dotted" w:sz="4" w:space="0" w:color="auto"/>
            </w:tcBorders>
            <w:shd w:val="clear" w:color="auto" w:fill="auto"/>
            <w:vAlign w:val="center"/>
            <w:hideMark/>
          </w:tcPr>
          <w:p w14:paraId="17C91D9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1,6</w:t>
            </w:r>
          </w:p>
        </w:tc>
        <w:tc>
          <w:tcPr>
            <w:tcW w:w="1185" w:type="dxa"/>
            <w:gridSpan w:val="2"/>
            <w:tcBorders>
              <w:top w:val="nil"/>
              <w:left w:val="nil"/>
              <w:bottom w:val="dotted" w:sz="4" w:space="0" w:color="auto"/>
              <w:right w:val="dotted" w:sz="4" w:space="0" w:color="auto"/>
            </w:tcBorders>
            <w:shd w:val="clear" w:color="auto" w:fill="auto"/>
            <w:vAlign w:val="center"/>
            <w:hideMark/>
          </w:tcPr>
          <w:p w14:paraId="198160A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1,8</w:t>
            </w:r>
          </w:p>
        </w:tc>
        <w:tc>
          <w:tcPr>
            <w:tcW w:w="1185" w:type="dxa"/>
            <w:gridSpan w:val="2"/>
            <w:tcBorders>
              <w:top w:val="nil"/>
              <w:left w:val="nil"/>
              <w:bottom w:val="dotted" w:sz="4" w:space="0" w:color="auto"/>
              <w:right w:val="dotted" w:sz="4" w:space="0" w:color="auto"/>
            </w:tcBorders>
            <w:shd w:val="clear" w:color="auto" w:fill="auto"/>
            <w:vAlign w:val="center"/>
            <w:hideMark/>
          </w:tcPr>
          <w:p w14:paraId="1366D4D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2,1</w:t>
            </w:r>
          </w:p>
        </w:tc>
        <w:tc>
          <w:tcPr>
            <w:tcW w:w="1186" w:type="dxa"/>
            <w:gridSpan w:val="2"/>
            <w:tcBorders>
              <w:top w:val="nil"/>
              <w:left w:val="nil"/>
              <w:bottom w:val="dotted" w:sz="4" w:space="0" w:color="auto"/>
              <w:right w:val="double" w:sz="6" w:space="0" w:color="auto"/>
            </w:tcBorders>
            <w:shd w:val="clear" w:color="auto" w:fill="auto"/>
            <w:vAlign w:val="center"/>
            <w:hideMark/>
          </w:tcPr>
          <w:p w14:paraId="6B002FF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1,9</w:t>
            </w:r>
          </w:p>
        </w:tc>
      </w:tr>
      <w:tr w:rsidR="00247CBF" w:rsidRPr="00092ED7" w14:paraId="3EDD11F6"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7C18FA03"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10. Примарни резултат[2]</w:t>
            </w:r>
          </w:p>
        </w:tc>
        <w:tc>
          <w:tcPr>
            <w:tcW w:w="2033" w:type="dxa"/>
            <w:gridSpan w:val="2"/>
            <w:tcBorders>
              <w:top w:val="nil"/>
              <w:left w:val="nil"/>
              <w:bottom w:val="dotted" w:sz="4" w:space="0" w:color="auto"/>
              <w:right w:val="single" w:sz="8" w:space="0" w:color="auto"/>
            </w:tcBorders>
            <w:shd w:val="clear" w:color="auto" w:fill="auto"/>
            <w:vAlign w:val="center"/>
            <w:hideMark/>
          </w:tcPr>
          <w:p w14:paraId="653C4F8E"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 </w:t>
            </w:r>
          </w:p>
        </w:tc>
        <w:tc>
          <w:tcPr>
            <w:tcW w:w="1304" w:type="dxa"/>
            <w:gridSpan w:val="2"/>
            <w:tcBorders>
              <w:top w:val="nil"/>
              <w:left w:val="nil"/>
              <w:bottom w:val="dotted" w:sz="4" w:space="0" w:color="auto"/>
              <w:right w:val="single" w:sz="8" w:space="0" w:color="auto"/>
            </w:tcBorders>
            <w:shd w:val="clear" w:color="auto" w:fill="auto"/>
            <w:vAlign w:val="center"/>
            <w:hideMark/>
          </w:tcPr>
          <w:p w14:paraId="55C4F9BD"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-150,6</w:t>
            </w:r>
          </w:p>
        </w:tc>
        <w:tc>
          <w:tcPr>
            <w:tcW w:w="1185" w:type="dxa"/>
            <w:gridSpan w:val="2"/>
            <w:tcBorders>
              <w:top w:val="nil"/>
              <w:left w:val="nil"/>
              <w:bottom w:val="dotted" w:sz="4" w:space="0" w:color="auto"/>
              <w:right w:val="dotted" w:sz="4" w:space="0" w:color="auto"/>
            </w:tcBorders>
            <w:shd w:val="clear" w:color="auto" w:fill="auto"/>
            <w:vAlign w:val="center"/>
            <w:hideMark/>
          </w:tcPr>
          <w:p w14:paraId="00ADAAD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-2,4</w:t>
            </w:r>
          </w:p>
        </w:tc>
        <w:tc>
          <w:tcPr>
            <w:tcW w:w="1185" w:type="dxa"/>
            <w:gridSpan w:val="2"/>
            <w:tcBorders>
              <w:top w:val="nil"/>
              <w:left w:val="nil"/>
              <w:bottom w:val="dotted" w:sz="4" w:space="0" w:color="auto"/>
              <w:right w:val="dotted" w:sz="4" w:space="0" w:color="auto"/>
            </w:tcBorders>
            <w:shd w:val="clear" w:color="auto" w:fill="auto"/>
            <w:vAlign w:val="center"/>
            <w:hideMark/>
          </w:tcPr>
          <w:p w14:paraId="2180CD0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w:t>
            </w:r>
          </w:p>
        </w:tc>
        <w:tc>
          <w:tcPr>
            <w:tcW w:w="1185" w:type="dxa"/>
            <w:gridSpan w:val="2"/>
            <w:tcBorders>
              <w:top w:val="nil"/>
              <w:left w:val="nil"/>
              <w:bottom w:val="dotted" w:sz="4" w:space="0" w:color="auto"/>
              <w:right w:val="dotted" w:sz="4" w:space="0" w:color="auto"/>
            </w:tcBorders>
            <w:shd w:val="clear" w:color="auto" w:fill="auto"/>
            <w:vAlign w:val="center"/>
            <w:hideMark/>
          </w:tcPr>
          <w:p w14:paraId="65458EB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-1,5</w:t>
            </w:r>
          </w:p>
        </w:tc>
        <w:tc>
          <w:tcPr>
            <w:tcW w:w="1185" w:type="dxa"/>
            <w:gridSpan w:val="2"/>
            <w:tcBorders>
              <w:top w:val="nil"/>
              <w:left w:val="nil"/>
              <w:bottom w:val="dotted" w:sz="4" w:space="0" w:color="auto"/>
              <w:right w:val="dotted" w:sz="4" w:space="0" w:color="auto"/>
            </w:tcBorders>
            <w:shd w:val="clear" w:color="auto" w:fill="auto"/>
            <w:vAlign w:val="center"/>
            <w:hideMark/>
          </w:tcPr>
          <w:p w14:paraId="388097F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-0,1</w:t>
            </w:r>
          </w:p>
        </w:tc>
        <w:tc>
          <w:tcPr>
            <w:tcW w:w="1186" w:type="dxa"/>
            <w:gridSpan w:val="2"/>
            <w:tcBorders>
              <w:top w:val="nil"/>
              <w:left w:val="nil"/>
              <w:bottom w:val="dotted" w:sz="4" w:space="0" w:color="auto"/>
              <w:right w:val="double" w:sz="6" w:space="0" w:color="auto"/>
            </w:tcBorders>
            <w:shd w:val="clear" w:color="auto" w:fill="auto"/>
            <w:vAlign w:val="center"/>
            <w:hideMark/>
          </w:tcPr>
          <w:p w14:paraId="38520D8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0,6</w:t>
            </w:r>
          </w:p>
        </w:tc>
      </w:tr>
      <w:tr w:rsidR="00247CBF" w:rsidRPr="00092ED7" w14:paraId="47CF3D97" w14:textId="77777777" w:rsidTr="00247CBF">
        <w:trPr>
          <w:gridBefore w:val="1"/>
          <w:gridAfter w:val="1"/>
          <w:wBefore w:w="23" w:type="dxa"/>
          <w:wAfter w:w="306" w:type="dxa"/>
          <w:trHeight w:val="284"/>
        </w:trPr>
        <w:tc>
          <w:tcPr>
            <w:tcW w:w="5292" w:type="dxa"/>
            <w:tcBorders>
              <w:top w:val="nil"/>
              <w:left w:val="double" w:sz="6" w:space="0" w:color="auto"/>
              <w:bottom w:val="single" w:sz="8" w:space="0" w:color="auto"/>
              <w:right w:val="dotted" w:sz="4" w:space="0" w:color="auto"/>
            </w:tcBorders>
            <w:shd w:val="clear" w:color="auto" w:fill="auto"/>
            <w:vAlign w:val="center"/>
            <w:hideMark/>
          </w:tcPr>
          <w:p w14:paraId="4206ED1F"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11. Једнократне и друге привремене мере [3]</w:t>
            </w:r>
          </w:p>
        </w:tc>
        <w:tc>
          <w:tcPr>
            <w:tcW w:w="2033" w:type="dxa"/>
            <w:gridSpan w:val="2"/>
            <w:tcBorders>
              <w:top w:val="nil"/>
              <w:left w:val="nil"/>
              <w:bottom w:val="single" w:sz="8" w:space="0" w:color="auto"/>
              <w:right w:val="single" w:sz="8" w:space="0" w:color="auto"/>
            </w:tcBorders>
            <w:shd w:val="clear" w:color="auto" w:fill="auto"/>
            <w:vAlign w:val="center"/>
            <w:hideMark/>
          </w:tcPr>
          <w:p w14:paraId="1EC3A78A" w14:textId="77777777" w:rsidR="00247CBF" w:rsidRPr="00092ED7" w:rsidRDefault="00247CBF" w:rsidP="00247CBF">
            <w:pPr>
              <w:spacing w:after="0"/>
              <w:jc w:val="center"/>
              <w:rPr>
                <w:rFonts w:eastAsia="Times New Roman" w:cs="Times New Roman"/>
                <w:sz w:val="20"/>
                <w:szCs w:val="20"/>
                <w:lang w:val="sr-Cyrl-CS" w:eastAsia="sr-Cyrl-RS"/>
              </w:rPr>
            </w:pPr>
          </w:p>
        </w:tc>
        <w:tc>
          <w:tcPr>
            <w:tcW w:w="1304" w:type="dxa"/>
            <w:gridSpan w:val="2"/>
            <w:tcBorders>
              <w:top w:val="nil"/>
              <w:left w:val="nil"/>
              <w:bottom w:val="single" w:sz="8" w:space="0" w:color="auto"/>
              <w:right w:val="single" w:sz="8" w:space="0" w:color="auto"/>
            </w:tcBorders>
            <w:shd w:val="clear" w:color="auto" w:fill="auto"/>
            <w:vAlign w:val="center"/>
            <w:hideMark/>
          </w:tcPr>
          <w:p w14:paraId="52FF147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single" w:sz="8" w:space="0" w:color="auto"/>
              <w:right w:val="dotted" w:sz="4" w:space="0" w:color="auto"/>
            </w:tcBorders>
            <w:shd w:val="clear" w:color="auto" w:fill="auto"/>
            <w:vAlign w:val="center"/>
            <w:hideMark/>
          </w:tcPr>
          <w:p w14:paraId="1EC160C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single" w:sz="8" w:space="0" w:color="auto"/>
              <w:right w:val="dotted" w:sz="4" w:space="0" w:color="auto"/>
            </w:tcBorders>
            <w:shd w:val="clear" w:color="auto" w:fill="auto"/>
            <w:vAlign w:val="center"/>
            <w:hideMark/>
          </w:tcPr>
          <w:p w14:paraId="7BAA0DE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single" w:sz="8" w:space="0" w:color="auto"/>
              <w:right w:val="dotted" w:sz="4" w:space="0" w:color="auto"/>
            </w:tcBorders>
            <w:shd w:val="clear" w:color="auto" w:fill="auto"/>
            <w:vAlign w:val="center"/>
            <w:hideMark/>
          </w:tcPr>
          <w:p w14:paraId="45E33FF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single" w:sz="8" w:space="0" w:color="auto"/>
              <w:right w:val="dotted" w:sz="4" w:space="0" w:color="auto"/>
            </w:tcBorders>
            <w:shd w:val="clear" w:color="auto" w:fill="auto"/>
            <w:vAlign w:val="center"/>
            <w:hideMark/>
          </w:tcPr>
          <w:p w14:paraId="3A18B3E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6" w:type="dxa"/>
            <w:gridSpan w:val="2"/>
            <w:tcBorders>
              <w:top w:val="nil"/>
              <w:left w:val="nil"/>
              <w:bottom w:val="single" w:sz="8" w:space="0" w:color="auto"/>
              <w:right w:val="double" w:sz="6" w:space="0" w:color="auto"/>
            </w:tcBorders>
            <w:shd w:val="clear" w:color="auto" w:fill="auto"/>
            <w:vAlign w:val="center"/>
            <w:hideMark/>
          </w:tcPr>
          <w:p w14:paraId="60B98279"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r>
      <w:tr w:rsidR="00247CBF" w:rsidRPr="00092ED7" w14:paraId="1E0C6AAD" w14:textId="77777777" w:rsidTr="00247CBF">
        <w:trPr>
          <w:gridBefore w:val="1"/>
          <w:gridAfter w:val="1"/>
          <w:wBefore w:w="23" w:type="dxa"/>
          <w:wAfter w:w="306" w:type="dxa"/>
          <w:trHeight w:val="284"/>
        </w:trPr>
        <w:tc>
          <w:tcPr>
            <w:tcW w:w="14555" w:type="dxa"/>
            <w:gridSpan w:val="15"/>
            <w:tcBorders>
              <w:top w:val="single" w:sz="8" w:space="0" w:color="auto"/>
              <w:left w:val="double" w:sz="6" w:space="0" w:color="auto"/>
              <w:bottom w:val="single" w:sz="8" w:space="0" w:color="auto"/>
              <w:right w:val="double" w:sz="6" w:space="0" w:color="000000"/>
            </w:tcBorders>
            <w:shd w:val="clear" w:color="auto" w:fill="auto"/>
            <w:vAlign w:val="center"/>
            <w:hideMark/>
          </w:tcPr>
          <w:p w14:paraId="747A9754" w14:textId="77777777" w:rsidR="00247CBF" w:rsidRPr="00092ED7" w:rsidRDefault="00247CBF" w:rsidP="00247CBF">
            <w:pPr>
              <w:spacing w:after="0"/>
              <w:jc w:val="center"/>
              <w:rPr>
                <w:rFonts w:eastAsia="Times New Roman" w:cs="Times New Roman"/>
                <w:b/>
                <w:bCs/>
                <w:sz w:val="20"/>
                <w:szCs w:val="20"/>
                <w:lang w:val="sr-Cyrl-CS" w:eastAsia="sr-Cyrl-RS"/>
              </w:rPr>
            </w:pPr>
            <w:r w:rsidRPr="00092ED7">
              <w:rPr>
                <w:rFonts w:eastAsia="Times New Roman" w:cs="Times New Roman"/>
                <w:b/>
                <w:bCs/>
                <w:sz w:val="20"/>
                <w:szCs w:val="20"/>
                <w:lang w:val="sr-Cyrl-CS" w:eastAsia="sr-Cyrl-RS"/>
              </w:rPr>
              <w:t>Компоненте прихода</w:t>
            </w:r>
          </w:p>
        </w:tc>
      </w:tr>
      <w:tr w:rsidR="00247CBF" w:rsidRPr="00092ED7" w14:paraId="504703A2"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5D653DBF"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12. Укупни порези (12 = 12а+12б+12ц)</w:t>
            </w:r>
          </w:p>
        </w:tc>
        <w:tc>
          <w:tcPr>
            <w:tcW w:w="2033" w:type="dxa"/>
            <w:gridSpan w:val="2"/>
            <w:tcBorders>
              <w:top w:val="nil"/>
              <w:left w:val="nil"/>
              <w:bottom w:val="dotted" w:sz="4" w:space="0" w:color="auto"/>
              <w:right w:val="single" w:sz="8" w:space="0" w:color="auto"/>
            </w:tcBorders>
            <w:shd w:val="clear" w:color="auto" w:fill="auto"/>
            <w:vAlign w:val="center"/>
            <w:hideMark/>
          </w:tcPr>
          <w:p w14:paraId="0FFEAC7F" w14:textId="77777777" w:rsidR="00247CBF" w:rsidRPr="00092ED7" w:rsidRDefault="00247CBF" w:rsidP="00247CBF">
            <w:pPr>
              <w:spacing w:after="0"/>
              <w:jc w:val="center"/>
              <w:rPr>
                <w:rFonts w:eastAsia="Times New Roman" w:cs="Times New Roman"/>
                <w:sz w:val="20"/>
                <w:szCs w:val="20"/>
                <w:lang w:val="sr-Cyrl-CS" w:eastAsia="sr-Cyrl-RS"/>
              </w:rPr>
            </w:pPr>
          </w:p>
        </w:tc>
        <w:tc>
          <w:tcPr>
            <w:tcW w:w="1304" w:type="dxa"/>
            <w:gridSpan w:val="2"/>
            <w:tcBorders>
              <w:top w:val="nil"/>
              <w:left w:val="nil"/>
              <w:bottom w:val="dotted" w:sz="4" w:space="0" w:color="auto"/>
              <w:right w:val="single" w:sz="8" w:space="0" w:color="auto"/>
            </w:tcBorders>
            <w:shd w:val="clear" w:color="auto" w:fill="auto"/>
            <w:vAlign w:val="center"/>
            <w:hideMark/>
          </w:tcPr>
          <w:p w14:paraId="382C2B06"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1.558,2</w:t>
            </w:r>
          </w:p>
        </w:tc>
        <w:tc>
          <w:tcPr>
            <w:tcW w:w="1185" w:type="dxa"/>
            <w:gridSpan w:val="2"/>
            <w:tcBorders>
              <w:top w:val="nil"/>
              <w:left w:val="nil"/>
              <w:bottom w:val="dotted" w:sz="4" w:space="0" w:color="auto"/>
              <w:right w:val="dotted" w:sz="4" w:space="0" w:color="auto"/>
            </w:tcBorders>
            <w:shd w:val="clear" w:color="auto" w:fill="auto"/>
            <w:vAlign w:val="center"/>
            <w:hideMark/>
          </w:tcPr>
          <w:p w14:paraId="117B697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24,9</w:t>
            </w:r>
          </w:p>
        </w:tc>
        <w:tc>
          <w:tcPr>
            <w:tcW w:w="1185" w:type="dxa"/>
            <w:gridSpan w:val="2"/>
            <w:tcBorders>
              <w:top w:val="nil"/>
              <w:left w:val="nil"/>
              <w:bottom w:val="dotted" w:sz="4" w:space="0" w:color="auto"/>
              <w:right w:val="dotted" w:sz="4" w:space="0" w:color="auto"/>
            </w:tcBorders>
            <w:shd w:val="clear" w:color="auto" w:fill="auto"/>
            <w:vAlign w:val="center"/>
            <w:hideMark/>
          </w:tcPr>
          <w:p w14:paraId="4688A28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24,4</w:t>
            </w:r>
          </w:p>
        </w:tc>
        <w:tc>
          <w:tcPr>
            <w:tcW w:w="1185" w:type="dxa"/>
            <w:gridSpan w:val="2"/>
            <w:tcBorders>
              <w:top w:val="nil"/>
              <w:left w:val="nil"/>
              <w:bottom w:val="dotted" w:sz="4" w:space="0" w:color="auto"/>
              <w:right w:val="dotted" w:sz="4" w:space="0" w:color="auto"/>
            </w:tcBorders>
            <w:shd w:val="clear" w:color="auto" w:fill="auto"/>
            <w:vAlign w:val="center"/>
            <w:hideMark/>
          </w:tcPr>
          <w:p w14:paraId="02CF579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23,1</w:t>
            </w:r>
          </w:p>
        </w:tc>
        <w:tc>
          <w:tcPr>
            <w:tcW w:w="1185" w:type="dxa"/>
            <w:gridSpan w:val="2"/>
            <w:tcBorders>
              <w:top w:val="nil"/>
              <w:left w:val="nil"/>
              <w:bottom w:val="dotted" w:sz="4" w:space="0" w:color="auto"/>
              <w:right w:val="dotted" w:sz="4" w:space="0" w:color="auto"/>
            </w:tcBorders>
            <w:shd w:val="clear" w:color="auto" w:fill="auto"/>
            <w:vAlign w:val="center"/>
            <w:hideMark/>
          </w:tcPr>
          <w:p w14:paraId="67608AE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23,0</w:t>
            </w:r>
          </w:p>
        </w:tc>
        <w:tc>
          <w:tcPr>
            <w:tcW w:w="1186" w:type="dxa"/>
            <w:gridSpan w:val="2"/>
            <w:tcBorders>
              <w:top w:val="nil"/>
              <w:left w:val="nil"/>
              <w:bottom w:val="dotted" w:sz="4" w:space="0" w:color="auto"/>
              <w:right w:val="double" w:sz="6" w:space="0" w:color="auto"/>
            </w:tcBorders>
            <w:shd w:val="clear" w:color="auto" w:fill="auto"/>
            <w:vAlign w:val="center"/>
            <w:hideMark/>
          </w:tcPr>
          <w:p w14:paraId="7DBCD51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22,5</w:t>
            </w:r>
          </w:p>
        </w:tc>
      </w:tr>
      <w:tr w:rsidR="00247CBF" w:rsidRPr="00092ED7" w14:paraId="6C9D0E3C"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4F632D80"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12a. Порези на производњу и увоз</w:t>
            </w:r>
          </w:p>
        </w:tc>
        <w:tc>
          <w:tcPr>
            <w:tcW w:w="2033" w:type="dxa"/>
            <w:gridSpan w:val="2"/>
            <w:tcBorders>
              <w:top w:val="nil"/>
              <w:left w:val="nil"/>
              <w:bottom w:val="dotted" w:sz="4" w:space="0" w:color="auto"/>
              <w:right w:val="single" w:sz="8" w:space="0" w:color="auto"/>
            </w:tcBorders>
            <w:shd w:val="clear" w:color="auto" w:fill="auto"/>
            <w:vAlign w:val="center"/>
            <w:hideMark/>
          </w:tcPr>
          <w:p w14:paraId="2AD56490"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D2</w:t>
            </w:r>
          </w:p>
        </w:tc>
        <w:tc>
          <w:tcPr>
            <w:tcW w:w="1304" w:type="dxa"/>
            <w:gridSpan w:val="2"/>
            <w:tcBorders>
              <w:top w:val="nil"/>
              <w:left w:val="nil"/>
              <w:bottom w:val="dotted" w:sz="4" w:space="0" w:color="auto"/>
              <w:right w:val="single" w:sz="8" w:space="0" w:color="auto"/>
            </w:tcBorders>
            <w:shd w:val="clear" w:color="auto" w:fill="auto"/>
            <w:vAlign w:val="center"/>
            <w:hideMark/>
          </w:tcPr>
          <w:p w14:paraId="577FB2B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1.092,0</w:t>
            </w:r>
          </w:p>
        </w:tc>
        <w:tc>
          <w:tcPr>
            <w:tcW w:w="1185" w:type="dxa"/>
            <w:gridSpan w:val="2"/>
            <w:tcBorders>
              <w:top w:val="nil"/>
              <w:left w:val="nil"/>
              <w:bottom w:val="dotted" w:sz="4" w:space="0" w:color="auto"/>
              <w:right w:val="dotted" w:sz="4" w:space="0" w:color="auto"/>
            </w:tcBorders>
            <w:shd w:val="clear" w:color="auto" w:fill="auto"/>
            <w:vAlign w:val="center"/>
            <w:hideMark/>
          </w:tcPr>
          <w:p w14:paraId="58F7FE7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17,4</w:t>
            </w:r>
          </w:p>
        </w:tc>
        <w:tc>
          <w:tcPr>
            <w:tcW w:w="1185" w:type="dxa"/>
            <w:gridSpan w:val="2"/>
            <w:tcBorders>
              <w:top w:val="nil"/>
              <w:left w:val="nil"/>
              <w:bottom w:val="dotted" w:sz="4" w:space="0" w:color="auto"/>
              <w:right w:val="dotted" w:sz="4" w:space="0" w:color="auto"/>
            </w:tcBorders>
            <w:shd w:val="clear" w:color="auto" w:fill="auto"/>
            <w:vAlign w:val="center"/>
            <w:hideMark/>
          </w:tcPr>
          <w:p w14:paraId="3CEA930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17,4</w:t>
            </w:r>
          </w:p>
        </w:tc>
        <w:tc>
          <w:tcPr>
            <w:tcW w:w="1185" w:type="dxa"/>
            <w:gridSpan w:val="2"/>
            <w:tcBorders>
              <w:top w:val="nil"/>
              <w:left w:val="nil"/>
              <w:bottom w:val="dotted" w:sz="4" w:space="0" w:color="auto"/>
              <w:right w:val="dotted" w:sz="4" w:space="0" w:color="auto"/>
            </w:tcBorders>
            <w:shd w:val="clear" w:color="auto" w:fill="auto"/>
            <w:vAlign w:val="center"/>
            <w:hideMark/>
          </w:tcPr>
          <w:p w14:paraId="0E16F49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16,5</w:t>
            </w:r>
          </w:p>
        </w:tc>
        <w:tc>
          <w:tcPr>
            <w:tcW w:w="1185" w:type="dxa"/>
            <w:gridSpan w:val="2"/>
            <w:tcBorders>
              <w:top w:val="nil"/>
              <w:left w:val="nil"/>
              <w:bottom w:val="dotted" w:sz="4" w:space="0" w:color="auto"/>
              <w:right w:val="dotted" w:sz="4" w:space="0" w:color="auto"/>
            </w:tcBorders>
            <w:shd w:val="clear" w:color="auto" w:fill="auto"/>
            <w:vAlign w:val="center"/>
            <w:hideMark/>
          </w:tcPr>
          <w:p w14:paraId="21B2338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16,6</w:t>
            </w:r>
          </w:p>
        </w:tc>
        <w:tc>
          <w:tcPr>
            <w:tcW w:w="1186" w:type="dxa"/>
            <w:gridSpan w:val="2"/>
            <w:tcBorders>
              <w:top w:val="nil"/>
              <w:left w:val="nil"/>
              <w:bottom w:val="dotted" w:sz="4" w:space="0" w:color="auto"/>
              <w:right w:val="double" w:sz="6" w:space="0" w:color="auto"/>
            </w:tcBorders>
            <w:shd w:val="clear" w:color="auto" w:fill="auto"/>
            <w:vAlign w:val="center"/>
            <w:hideMark/>
          </w:tcPr>
          <w:p w14:paraId="4C6F806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16,3</w:t>
            </w:r>
          </w:p>
        </w:tc>
      </w:tr>
      <w:tr w:rsidR="00247CBF" w:rsidRPr="00092ED7" w14:paraId="155AEB05"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6037FD72"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12б. Текући порези на доходак и имовину</w:t>
            </w:r>
          </w:p>
        </w:tc>
        <w:tc>
          <w:tcPr>
            <w:tcW w:w="2033" w:type="dxa"/>
            <w:gridSpan w:val="2"/>
            <w:tcBorders>
              <w:top w:val="nil"/>
              <w:left w:val="nil"/>
              <w:bottom w:val="dotted" w:sz="4" w:space="0" w:color="auto"/>
              <w:right w:val="single" w:sz="8" w:space="0" w:color="auto"/>
            </w:tcBorders>
            <w:shd w:val="clear" w:color="auto" w:fill="auto"/>
            <w:vAlign w:val="center"/>
            <w:hideMark/>
          </w:tcPr>
          <w:p w14:paraId="5F02DCBF"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D5</w:t>
            </w:r>
          </w:p>
        </w:tc>
        <w:tc>
          <w:tcPr>
            <w:tcW w:w="1304" w:type="dxa"/>
            <w:gridSpan w:val="2"/>
            <w:tcBorders>
              <w:top w:val="nil"/>
              <w:left w:val="nil"/>
              <w:bottom w:val="dotted" w:sz="4" w:space="0" w:color="auto"/>
              <w:right w:val="single" w:sz="8" w:space="0" w:color="auto"/>
            </w:tcBorders>
            <w:shd w:val="clear" w:color="auto" w:fill="auto"/>
            <w:vAlign w:val="center"/>
            <w:hideMark/>
          </w:tcPr>
          <w:p w14:paraId="0BDB7F8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464,4</w:t>
            </w:r>
          </w:p>
        </w:tc>
        <w:tc>
          <w:tcPr>
            <w:tcW w:w="1185" w:type="dxa"/>
            <w:gridSpan w:val="2"/>
            <w:tcBorders>
              <w:top w:val="nil"/>
              <w:left w:val="nil"/>
              <w:bottom w:val="dotted" w:sz="4" w:space="0" w:color="auto"/>
              <w:right w:val="dotted" w:sz="4" w:space="0" w:color="auto"/>
            </w:tcBorders>
            <w:shd w:val="clear" w:color="auto" w:fill="auto"/>
            <w:vAlign w:val="center"/>
            <w:hideMark/>
          </w:tcPr>
          <w:p w14:paraId="7EB8265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7,4</w:t>
            </w:r>
          </w:p>
        </w:tc>
        <w:tc>
          <w:tcPr>
            <w:tcW w:w="1185" w:type="dxa"/>
            <w:gridSpan w:val="2"/>
            <w:tcBorders>
              <w:top w:val="nil"/>
              <w:left w:val="nil"/>
              <w:bottom w:val="dotted" w:sz="4" w:space="0" w:color="auto"/>
              <w:right w:val="dotted" w:sz="4" w:space="0" w:color="auto"/>
            </w:tcBorders>
            <w:shd w:val="clear" w:color="auto" w:fill="auto"/>
            <w:vAlign w:val="center"/>
            <w:hideMark/>
          </w:tcPr>
          <w:p w14:paraId="79A4090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6,9</w:t>
            </w:r>
          </w:p>
        </w:tc>
        <w:tc>
          <w:tcPr>
            <w:tcW w:w="1185" w:type="dxa"/>
            <w:gridSpan w:val="2"/>
            <w:tcBorders>
              <w:top w:val="nil"/>
              <w:left w:val="nil"/>
              <w:bottom w:val="dotted" w:sz="4" w:space="0" w:color="auto"/>
              <w:right w:val="dotted" w:sz="4" w:space="0" w:color="auto"/>
            </w:tcBorders>
            <w:shd w:val="clear" w:color="auto" w:fill="auto"/>
            <w:vAlign w:val="center"/>
            <w:hideMark/>
          </w:tcPr>
          <w:p w14:paraId="24FB7CE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6,5</w:t>
            </w:r>
          </w:p>
        </w:tc>
        <w:tc>
          <w:tcPr>
            <w:tcW w:w="1185" w:type="dxa"/>
            <w:gridSpan w:val="2"/>
            <w:tcBorders>
              <w:top w:val="nil"/>
              <w:left w:val="nil"/>
              <w:bottom w:val="dotted" w:sz="4" w:space="0" w:color="auto"/>
              <w:right w:val="dotted" w:sz="4" w:space="0" w:color="auto"/>
            </w:tcBorders>
            <w:shd w:val="clear" w:color="auto" w:fill="auto"/>
            <w:vAlign w:val="center"/>
            <w:hideMark/>
          </w:tcPr>
          <w:p w14:paraId="5EF393A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6,3</w:t>
            </w:r>
          </w:p>
        </w:tc>
        <w:tc>
          <w:tcPr>
            <w:tcW w:w="1186" w:type="dxa"/>
            <w:gridSpan w:val="2"/>
            <w:tcBorders>
              <w:top w:val="nil"/>
              <w:left w:val="nil"/>
              <w:bottom w:val="dotted" w:sz="4" w:space="0" w:color="auto"/>
              <w:right w:val="double" w:sz="6" w:space="0" w:color="auto"/>
            </w:tcBorders>
            <w:shd w:val="clear" w:color="auto" w:fill="auto"/>
            <w:vAlign w:val="center"/>
            <w:hideMark/>
          </w:tcPr>
          <w:p w14:paraId="4173DFB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6,1</w:t>
            </w:r>
          </w:p>
        </w:tc>
      </w:tr>
      <w:tr w:rsidR="00247CBF" w:rsidRPr="00092ED7" w14:paraId="63987BA6" w14:textId="77777777" w:rsidTr="00247CBF">
        <w:trPr>
          <w:gridBefore w:val="1"/>
          <w:gridAfter w:val="1"/>
          <w:wBefore w:w="23" w:type="dxa"/>
          <w:wAfter w:w="306" w:type="dxa"/>
          <w:trHeight w:val="284"/>
        </w:trPr>
        <w:tc>
          <w:tcPr>
            <w:tcW w:w="5292" w:type="dxa"/>
            <w:tcBorders>
              <w:top w:val="dotted" w:sz="4" w:space="0" w:color="auto"/>
              <w:left w:val="double" w:sz="6" w:space="0" w:color="auto"/>
              <w:bottom w:val="dotted" w:sz="4" w:space="0" w:color="auto"/>
              <w:right w:val="dotted" w:sz="4" w:space="0" w:color="auto"/>
            </w:tcBorders>
            <w:shd w:val="clear" w:color="auto" w:fill="auto"/>
            <w:vAlign w:val="center"/>
            <w:hideMark/>
          </w:tcPr>
          <w:p w14:paraId="5BF6C960"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12ц. Порези на капитал</w:t>
            </w:r>
          </w:p>
        </w:tc>
        <w:tc>
          <w:tcPr>
            <w:tcW w:w="2033" w:type="dxa"/>
            <w:gridSpan w:val="2"/>
            <w:tcBorders>
              <w:top w:val="nil"/>
              <w:left w:val="nil"/>
              <w:bottom w:val="dotted" w:sz="4" w:space="0" w:color="auto"/>
              <w:right w:val="single" w:sz="8" w:space="0" w:color="auto"/>
            </w:tcBorders>
            <w:shd w:val="clear" w:color="auto" w:fill="auto"/>
            <w:vAlign w:val="center"/>
            <w:hideMark/>
          </w:tcPr>
          <w:p w14:paraId="2598484F"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D91</w:t>
            </w:r>
          </w:p>
        </w:tc>
        <w:tc>
          <w:tcPr>
            <w:tcW w:w="1304" w:type="dxa"/>
            <w:gridSpan w:val="2"/>
            <w:tcBorders>
              <w:top w:val="nil"/>
              <w:left w:val="nil"/>
              <w:bottom w:val="dotted" w:sz="4" w:space="0" w:color="auto"/>
              <w:right w:val="single" w:sz="8" w:space="0" w:color="auto"/>
            </w:tcBorders>
            <w:shd w:val="clear" w:color="auto" w:fill="auto"/>
            <w:vAlign w:val="center"/>
            <w:hideMark/>
          </w:tcPr>
          <w:p w14:paraId="5E1ACFC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1,8</w:t>
            </w:r>
          </w:p>
        </w:tc>
        <w:tc>
          <w:tcPr>
            <w:tcW w:w="1185" w:type="dxa"/>
            <w:gridSpan w:val="2"/>
            <w:tcBorders>
              <w:top w:val="nil"/>
              <w:left w:val="nil"/>
              <w:bottom w:val="dotted" w:sz="4" w:space="0" w:color="auto"/>
              <w:right w:val="dotted" w:sz="4" w:space="0" w:color="auto"/>
            </w:tcBorders>
            <w:shd w:val="clear" w:color="auto" w:fill="auto"/>
            <w:vAlign w:val="center"/>
            <w:hideMark/>
          </w:tcPr>
          <w:p w14:paraId="45A1A6F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c>
          <w:tcPr>
            <w:tcW w:w="1185" w:type="dxa"/>
            <w:gridSpan w:val="2"/>
            <w:tcBorders>
              <w:top w:val="nil"/>
              <w:left w:val="nil"/>
              <w:bottom w:val="dotted" w:sz="4" w:space="0" w:color="auto"/>
              <w:right w:val="dotted" w:sz="4" w:space="0" w:color="auto"/>
            </w:tcBorders>
            <w:shd w:val="clear" w:color="auto" w:fill="auto"/>
            <w:vAlign w:val="center"/>
            <w:hideMark/>
          </w:tcPr>
          <w:p w14:paraId="658E0E0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c>
          <w:tcPr>
            <w:tcW w:w="1185" w:type="dxa"/>
            <w:gridSpan w:val="2"/>
            <w:tcBorders>
              <w:top w:val="nil"/>
              <w:left w:val="nil"/>
              <w:bottom w:val="dotted" w:sz="4" w:space="0" w:color="auto"/>
              <w:right w:val="dotted" w:sz="4" w:space="0" w:color="auto"/>
            </w:tcBorders>
            <w:shd w:val="clear" w:color="auto" w:fill="auto"/>
            <w:vAlign w:val="center"/>
            <w:hideMark/>
          </w:tcPr>
          <w:p w14:paraId="15BC9E9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c>
          <w:tcPr>
            <w:tcW w:w="1185" w:type="dxa"/>
            <w:gridSpan w:val="2"/>
            <w:tcBorders>
              <w:top w:val="nil"/>
              <w:left w:val="nil"/>
              <w:bottom w:val="dotted" w:sz="4" w:space="0" w:color="auto"/>
              <w:right w:val="dotted" w:sz="4" w:space="0" w:color="auto"/>
            </w:tcBorders>
            <w:shd w:val="clear" w:color="auto" w:fill="auto"/>
            <w:vAlign w:val="center"/>
            <w:hideMark/>
          </w:tcPr>
          <w:p w14:paraId="001C2F3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0,1</w:t>
            </w:r>
          </w:p>
        </w:tc>
        <w:tc>
          <w:tcPr>
            <w:tcW w:w="1186" w:type="dxa"/>
            <w:gridSpan w:val="2"/>
            <w:tcBorders>
              <w:top w:val="nil"/>
              <w:left w:val="nil"/>
              <w:bottom w:val="dotted" w:sz="4" w:space="0" w:color="auto"/>
              <w:right w:val="double" w:sz="6" w:space="0" w:color="auto"/>
            </w:tcBorders>
            <w:shd w:val="clear" w:color="auto" w:fill="auto"/>
            <w:vAlign w:val="center"/>
            <w:hideMark/>
          </w:tcPr>
          <w:p w14:paraId="544B30B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0,1</w:t>
            </w:r>
          </w:p>
        </w:tc>
      </w:tr>
      <w:tr w:rsidR="00247CBF" w:rsidRPr="00092ED7" w14:paraId="5F857BF5" w14:textId="77777777" w:rsidTr="00247CBF">
        <w:trPr>
          <w:gridBefore w:val="1"/>
          <w:gridAfter w:val="1"/>
          <w:wBefore w:w="23" w:type="dxa"/>
          <w:wAfter w:w="306" w:type="dxa"/>
          <w:trHeight w:val="284"/>
        </w:trPr>
        <w:tc>
          <w:tcPr>
            <w:tcW w:w="5292" w:type="dxa"/>
            <w:tcBorders>
              <w:top w:val="dotted" w:sz="4" w:space="0" w:color="auto"/>
              <w:left w:val="double" w:sz="6" w:space="0" w:color="auto"/>
              <w:bottom w:val="dotted" w:sz="4" w:space="0" w:color="auto"/>
              <w:right w:val="dotted" w:sz="4" w:space="0" w:color="auto"/>
            </w:tcBorders>
            <w:shd w:val="clear" w:color="auto" w:fill="auto"/>
            <w:vAlign w:val="center"/>
            <w:hideMark/>
          </w:tcPr>
          <w:p w14:paraId="6BCC8D1B"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13. Доприноси за социјално осигурање</w:t>
            </w:r>
          </w:p>
        </w:tc>
        <w:tc>
          <w:tcPr>
            <w:tcW w:w="2033" w:type="dxa"/>
            <w:gridSpan w:val="2"/>
            <w:tcBorders>
              <w:top w:val="nil"/>
              <w:left w:val="nil"/>
              <w:bottom w:val="dotted" w:sz="4" w:space="0" w:color="auto"/>
              <w:right w:val="single" w:sz="8" w:space="0" w:color="auto"/>
            </w:tcBorders>
            <w:shd w:val="clear" w:color="auto" w:fill="auto"/>
            <w:vAlign w:val="center"/>
            <w:hideMark/>
          </w:tcPr>
          <w:p w14:paraId="214E440A"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D61</w:t>
            </w:r>
          </w:p>
        </w:tc>
        <w:tc>
          <w:tcPr>
            <w:tcW w:w="1304" w:type="dxa"/>
            <w:gridSpan w:val="2"/>
            <w:tcBorders>
              <w:top w:val="nil"/>
              <w:left w:val="nil"/>
              <w:bottom w:val="dotted" w:sz="4" w:space="0" w:color="auto"/>
              <w:right w:val="single" w:sz="8" w:space="0" w:color="auto"/>
            </w:tcBorders>
            <w:shd w:val="clear" w:color="auto" w:fill="auto"/>
            <w:vAlign w:val="center"/>
            <w:hideMark/>
          </w:tcPr>
          <w:p w14:paraId="5294F79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862,0</w:t>
            </w:r>
          </w:p>
        </w:tc>
        <w:tc>
          <w:tcPr>
            <w:tcW w:w="1185" w:type="dxa"/>
            <w:gridSpan w:val="2"/>
            <w:tcBorders>
              <w:top w:val="nil"/>
              <w:left w:val="nil"/>
              <w:bottom w:val="dotted" w:sz="4" w:space="0" w:color="auto"/>
              <w:right w:val="dotted" w:sz="4" w:space="0" w:color="auto"/>
            </w:tcBorders>
            <w:shd w:val="clear" w:color="auto" w:fill="auto"/>
            <w:vAlign w:val="center"/>
            <w:hideMark/>
          </w:tcPr>
          <w:p w14:paraId="37EB526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13,7</w:t>
            </w:r>
          </w:p>
        </w:tc>
        <w:tc>
          <w:tcPr>
            <w:tcW w:w="1185" w:type="dxa"/>
            <w:gridSpan w:val="2"/>
            <w:tcBorders>
              <w:top w:val="nil"/>
              <w:left w:val="nil"/>
              <w:bottom w:val="dotted" w:sz="4" w:space="0" w:color="auto"/>
              <w:right w:val="dotted" w:sz="4" w:space="0" w:color="auto"/>
            </w:tcBorders>
            <w:shd w:val="clear" w:color="auto" w:fill="auto"/>
            <w:vAlign w:val="center"/>
            <w:hideMark/>
          </w:tcPr>
          <w:p w14:paraId="59C4ADC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13,4</w:t>
            </w:r>
          </w:p>
        </w:tc>
        <w:tc>
          <w:tcPr>
            <w:tcW w:w="1185" w:type="dxa"/>
            <w:gridSpan w:val="2"/>
            <w:tcBorders>
              <w:top w:val="nil"/>
              <w:left w:val="nil"/>
              <w:bottom w:val="dotted" w:sz="4" w:space="0" w:color="auto"/>
              <w:right w:val="dotted" w:sz="4" w:space="0" w:color="auto"/>
            </w:tcBorders>
            <w:shd w:val="clear" w:color="auto" w:fill="auto"/>
            <w:vAlign w:val="center"/>
            <w:hideMark/>
          </w:tcPr>
          <w:p w14:paraId="694C8BC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12,6</w:t>
            </w:r>
          </w:p>
        </w:tc>
        <w:tc>
          <w:tcPr>
            <w:tcW w:w="1185" w:type="dxa"/>
            <w:gridSpan w:val="2"/>
            <w:tcBorders>
              <w:top w:val="nil"/>
              <w:left w:val="nil"/>
              <w:bottom w:val="dotted" w:sz="4" w:space="0" w:color="auto"/>
              <w:right w:val="dotted" w:sz="4" w:space="0" w:color="auto"/>
            </w:tcBorders>
            <w:shd w:val="clear" w:color="auto" w:fill="auto"/>
            <w:vAlign w:val="center"/>
            <w:hideMark/>
          </w:tcPr>
          <w:p w14:paraId="389A55BD"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12,5</w:t>
            </w:r>
          </w:p>
        </w:tc>
        <w:tc>
          <w:tcPr>
            <w:tcW w:w="1186" w:type="dxa"/>
            <w:gridSpan w:val="2"/>
            <w:tcBorders>
              <w:top w:val="nil"/>
              <w:left w:val="nil"/>
              <w:bottom w:val="dotted" w:sz="4" w:space="0" w:color="auto"/>
              <w:right w:val="double" w:sz="6" w:space="0" w:color="auto"/>
            </w:tcBorders>
            <w:shd w:val="clear" w:color="auto" w:fill="auto"/>
            <w:vAlign w:val="center"/>
            <w:hideMark/>
          </w:tcPr>
          <w:p w14:paraId="13D7F959"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12,4</w:t>
            </w:r>
          </w:p>
        </w:tc>
      </w:tr>
      <w:tr w:rsidR="00247CBF" w:rsidRPr="00092ED7" w14:paraId="681CCDAF" w14:textId="77777777" w:rsidTr="00247CBF">
        <w:trPr>
          <w:gridBefore w:val="1"/>
          <w:gridAfter w:val="1"/>
          <w:wBefore w:w="23" w:type="dxa"/>
          <w:wAfter w:w="306" w:type="dxa"/>
          <w:trHeight w:val="284"/>
        </w:trPr>
        <w:tc>
          <w:tcPr>
            <w:tcW w:w="5292" w:type="dxa"/>
            <w:tcBorders>
              <w:top w:val="dotted" w:sz="4" w:space="0" w:color="auto"/>
              <w:left w:val="double" w:sz="6" w:space="0" w:color="auto"/>
              <w:bottom w:val="dotted" w:sz="4" w:space="0" w:color="auto"/>
              <w:right w:val="dotted" w:sz="4" w:space="0" w:color="auto"/>
            </w:tcBorders>
            <w:shd w:val="clear" w:color="auto" w:fill="auto"/>
            <w:vAlign w:val="center"/>
            <w:hideMark/>
          </w:tcPr>
          <w:p w14:paraId="1EF161CA"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14. Приходи од имовине</w:t>
            </w:r>
          </w:p>
        </w:tc>
        <w:tc>
          <w:tcPr>
            <w:tcW w:w="2033" w:type="dxa"/>
            <w:gridSpan w:val="2"/>
            <w:tcBorders>
              <w:top w:val="nil"/>
              <w:left w:val="nil"/>
              <w:bottom w:val="dotted" w:sz="4" w:space="0" w:color="auto"/>
              <w:right w:val="single" w:sz="8" w:space="0" w:color="auto"/>
            </w:tcBorders>
            <w:shd w:val="clear" w:color="auto" w:fill="auto"/>
            <w:vAlign w:val="center"/>
            <w:hideMark/>
          </w:tcPr>
          <w:p w14:paraId="2D41388F"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D4</w:t>
            </w:r>
          </w:p>
        </w:tc>
        <w:tc>
          <w:tcPr>
            <w:tcW w:w="1304" w:type="dxa"/>
            <w:gridSpan w:val="2"/>
            <w:tcBorders>
              <w:top w:val="nil"/>
              <w:left w:val="nil"/>
              <w:bottom w:val="dotted" w:sz="4" w:space="0" w:color="auto"/>
              <w:right w:val="single" w:sz="8" w:space="0" w:color="auto"/>
            </w:tcBorders>
            <w:shd w:val="clear" w:color="auto" w:fill="auto"/>
            <w:vAlign w:val="center"/>
            <w:hideMark/>
          </w:tcPr>
          <w:p w14:paraId="3A2385F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69,9</w:t>
            </w:r>
          </w:p>
        </w:tc>
        <w:tc>
          <w:tcPr>
            <w:tcW w:w="1185" w:type="dxa"/>
            <w:gridSpan w:val="2"/>
            <w:tcBorders>
              <w:top w:val="nil"/>
              <w:left w:val="nil"/>
              <w:bottom w:val="dotted" w:sz="4" w:space="0" w:color="auto"/>
              <w:right w:val="dotted" w:sz="4" w:space="0" w:color="auto"/>
            </w:tcBorders>
            <w:shd w:val="clear" w:color="auto" w:fill="auto"/>
            <w:vAlign w:val="center"/>
            <w:hideMark/>
          </w:tcPr>
          <w:p w14:paraId="7FD626A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1,1</w:t>
            </w:r>
          </w:p>
        </w:tc>
        <w:tc>
          <w:tcPr>
            <w:tcW w:w="1185" w:type="dxa"/>
            <w:gridSpan w:val="2"/>
            <w:tcBorders>
              <w:top w:val="nil"/>
              <w:left w:val="nil"/>
              <w:bottom w:val="dotted" w:sz="4" w:space="0" w:color="auto"/>
              <w:right w:val="dotted" w:sz="4" w:space="0" w:color="auto"/>
            </w:tcBorders>
            <w:shd w:val="clear" w:color="auto" w:fill="auto"/>
            <w:vAlign w:val="center"/>
            <w:hideMark/>
          </w:tcPr>
          <w:p w14:paraId="5596703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1,2</w:t>
            </w:r>
          </w:p>
        </w:tc>
        <w:tc>
          <w:tcPr>
            <w:tcW w:w="1185" w:type="dxa"/>
            <w:gridSpan w:val="2"/>
            <w:tcBorders>
              <w:top w:val="nil"/>
              <w:left w:val="nil"/>
              <w:bottom w:val="dotted" w:sz="4" w:space="0" w:color="auto"/>
              <w:right w:val="dotted" w:sz="4" w:space="0" w:color="auto"/>
            </w:tcBorders>
            <w:shd w:val="clear" w:color="auto" w:fill="auto"/>
            <w:vAlign w:val="center"/>
            <w:hideMark/>
          </w:tcPr>
          <w:p w14:paraId="075B149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1,1</w:t>
            </w:r>
          </w:p>
        </w:tc>
        <w:tc>
          <w:tcPr>
            <w:tcW w:w="1185" w:type="dxa"/>
            <w:gridSpan w:val="2"/>
            <w:tcBorders>
              <w:top w:val="nil"/>
              <w:left w:val="nil"/>
              <w:bottom w:val="dotted" w:sz="4" w:space="0" w:color="auto"/>
              <w:right w:val="dotted" w:sz="4" w:space="0" w:color="auto"/>
            </w:tcBorders>
            <w:shd w:val="clear" w:color="auto" w:fill="auto"/>
            <w:vAlign w:val="center"/>
            <w:hideMark/>
          </w:tcPr>
          <w:p w14:paraId="4C31CA4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1,1</w:t>
            </w:r>
          </w:p>
        </w:tc>
        <w:tc>
          <w:tcPr>
            <w:tcW w:w="1186" w:type="dxa"/>
            <w:gridSpan w:val="2"/>
            <w:tcBorders>
              <w:top w:val="nil"/>
              <w:left w:val="nil"/>
              <w:bottom w:val="dotted" w:sz="4" w:space="0" w:color="auto"/>
              <w:right w:val="double" w:sz="6" w:space="0" w:color="auto"/>
            </w:tcBorders>
            <w:shd w:val="clear" w:color="auto" w:fill="auto"/>
            <w:vAlign w:val="center"/>
            <w:hideMark/>
          </w:tcPr>
          <w:p w14:paraId="2D2B104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1,1</w:t>
            </w:r>
          </w:p>
        </w:tc>
      </w:tr>
      <w:tr w:rsidR="00247CBF" w:rsidRPr="00092ED7" w14:paraId="59248546" w14:textId="77777777" w:rsidTr="00247CBF">
        <w:trPr>
          <w:gridBefore w:val="1"/>
          <w:gridAfter w:val="1"/>
          <w:wBefore w:w="23" w:type="dxa"/>
          <w:wAfter w:w="306" w:type="dxa"/>
          <w:trHeight w:val="284"/>
        </w:trPr>
        <w:tc>
          <w:tcPr>
            <w:tcW w:w="5292" w:type="dxa"/>
            <w:tcBorders>
              <w:top w:val="dotted" w:sz="4" w:space="0" w:color="auto"/>
              <w:left w:val="double" w:sz="6" w:space="0" w:color="auto"/>
              <w:bottom w:val="dotted" w:sz="4" w:space="0" w:color="auto"/>
              <w:right w:val="dotted" w:sz="4" w:space="0" w:color="auto"/>
            </w:tcBorders>
            <w:shd w:val="clear" w:color="auto" w:fill="auto"/>
            <w:vAlign w:val="center"/>
            <w:hideMark/>
          </w:tcPr>
          <w:p w14:paraId="340B9482"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15. Друго (15 = 16-(12+13+14)) [4]</w:t>
            </w:r>
          </w:p>
        </w:tc>
        <w:tc>
          <w:tcPr>
            <w:tcW w:w="2033" w:type="dxa"/>
            <w:gridSpan w:val="2"/>
            <w:tcBorders>
              <w:top w:val="nil"/>
              <w:left w:val="nil"/>
              <w:bottom w:val="dotted" w:sz="4" w:space="0" w:color="auto"/>
              <w:right w:val="single" w:sz="8" w:space="0" w:color="auto"/>
            </w:tcBorders>
            <w:shd w:val="clear" w:color="auto" w:fill="auto"/>
            <w:vAlign w:val="center"/>
            <w:hideMark/>
          </w:tcPr>
          <w:p w14:paraId="3B4D0237" w14:textId="77777777" w:rsidR="00247CBF" w:rsidRPr="00092ED7" w:rsidRDefault="00247CBF" w:rsidP="00247CBF">
            <w:pPr>
              <w:spacing w:after="0"/>
              <w:jc w:val="center"/>
              <w:rPr>
                <w:rFonts w:eastAsia="Times New Roman" w:cs="Times New Roman"/>
                <w:sz w:val="20"/>
                <w:szCs w:val="20"/>
                <w:lang w:val="sr-Cyrl-CS" w:eastAsia="sr-Cyrl-RS"/>
              </w:rPr>
            </w:pPr>
          </w:p>
        </w:tc>
        <w:tc>
          <w:tcPr>
            <w:tcW w:w="1304" w:type="dxa"/>
            <w:gridSpan w:val="2"/>
            <w:tcBorders>
              <w:top w:val="nil"/>
              <w:left w:val="nil"/>
              <w:bottom w:val="dotted" w:sz="4" w:space="0" w:color="auto"/>
              <w:right w:val="single" w:sz="8" w:space="0" w:color="auto"/>
            </w:tcBorders>
            <w:shd w:val="clear" w:color="auto" w:fill="auto"/>
            <w:vAlign w:val="center"/>
            <w:hideMark/>
          </w:tcPr>
          <w:p w14:paraId="145ABA4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221,9</w:t>
            </w:r>
          </w:p>
        </w:tc>
        <w:tc>
          <w:tcPr>
            <w:tcW w:w="1185" w:type="dxa"/>
            <w:gridSpan w:val="2"/>
            <w:tcBorders>
              <w:top w:val="nil"/>
              <w:left w:val="nil"/>
              <w:bottom w:val="dotted" w:sz="4" w:space="0" w:color="auto"/>
              <w:right w:val="dotted" w:sz="4" w:space="0" w:color="auto"/>
            </w:tcBorders>
            <w:shd w:val="clear" w:color="auto" w:fill="auto"/>
            <w:vAlign w:val="center"/>
            <w:hideMark/>
          </w:tcPr>
          <w:p w14:paraId="77A99F9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3,5</w:t>
            </w:r>
          </w:p>
        </w:tc>
        <w:tc>
          <w:tcPr>
            <w:tcW w:w="1185" w:type="dxa"/>
            <w:gridSpan w:val="2"/>
            <w:tcBorders>
              <w:top w:val="nil"/>
              <w:left w:val="nil"/>
              <w:bottom w:val="dotted" w:sz="4" w:space="0" w:color="auto"/>
              <w:right w:val="dotted" w:sz="4" w:space="0" w:color="auto"/>
            </w:tcBorders>
            <w:shd w:val="clear" w:color="auto" w:fill="auto"/>
            <w:vAlign w:val="center"/>
            <w:hideMark/>
          </w:tcPr>
          <w:p w14:paraId="415B731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4,0</w:t>
            </w:r>
          </w:p>
        </w:tc>
        <w:tc>
          <w:tcPr>
            <w:tcW w:w="1185" w:type="dxa"/>
            <w:gridSpan w:val="2"/>
            <w:tcBorders>
              <w:top w:val="nil"/>
              <w:left w:val="nil"/>
              <w:bottom w:val="dotted" w:sz="4" w:space="0" w:color="auto"/>
              <w:right w:val="dotted" w:sz="4" w:space="0" w:color="auto"/>
            </w:tcBorders>
            <w:shd w:val="clear" w:color="auto" w:fill="auto"/>
            <w:vAlign w:val="center"/>
            <w:hideMark/>
          </w:tcPr>
          <w:p w14:paraId="6C5B051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4,2</w:t>
            </w:r>
          </w:p>
        </w:tc>
        <w:tc>
          <w:tcPr>
            <w:tcW w:w="1185" w:type="dxa"/>
            <w:gridSpan w:val="2"/>
            <w:tcBorders>
              <w:top w:val="nil"/>
              <w:left w:val="nil"/>
              <w:bottom w:val="dotted" w:sz="4" w:space="0" w:color="auto"/>
              <w:right w:val="dotted" w:sz="4" w:space="0" w:color="auto"/>
            </w:tcBorders>
            <w:shd w:val="clear" w:color="auto" w:fill="auto"/>
            <w:vAlign w:val="center"/>
            <w:hideMark/>
          </w:tcPr>
          <w:p w14:paraId="7ADFCF2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3,8</w:t>
            </w:r>
          </w:p>
        </w:tc>
        <w:tc>
          <w:tcPr>
            <w:tcW w:w="1186" w:type="dxa"/>
            <w:gridSpan w:val="2"/>
            <w:tcBorders>
              <w:top w:val="nil"/>
              <w:left w:val="nil"/>
              <w:bottom w:val="dotted" w:sz="4" w:space="0" w:color="auto"/>
              <w:right w:val="double" w:sz="6" w:space="0" w:color="auto"/>
            </w:tcBorders>
            <w:shd w:val="clear" w:color="auto" w:fill="auto"/>
            <w:vAlign w:val="center"/>
            <w:hideMark/>
          </w:tcPr>
          <w:p w14:paraId="771AC5D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3,6</w:t>
            </w:r>
          </w:p>
        </w:tc>
      </w:tr>
      <w:tr w:rsidR="00247CBF" w:rsidRPr="00092ED7" w14:paraId="31507E94" w14:textId="77777777" w:rsidTr="00247CBF">
        <w:trPr>
          <w:gridBefore w:val="1"/>
          <w:gridAfter w:val="1"/>
          <w:wBefore w:w="23" w:type="dxa"/>
          <w:wAfter w:w="306" w:type="dxa"/>
          <w:trHeight w:val="284"/>
        </w:trPr>
        <w:tc>
          <w:tcPr>
            <w:tcW w:w="5292" w:type="dxa"/>
            <w:tcBorders>
              <w:top w:val="dotted" w:sz="4" w:space="0" w:color="auto"/>
              <w:left w:val="double" w:sz="6" w:space="0" w:color="auto"/>
              <w:bottom w:val="dotted" w:sz="4" w:space="0" w:color="auto"/>
              <w:right w:val="dotted" w:sz="4" w:space="0" w:color="auto"/>
            </w:tcBorders>
            <w:shd w:val="clear" w:color="auto" w:fill="auto"/>
            <w:vAlign w:val="center"/>
            <w:hideMark/>
          </w:tcPr>
          <w:p w14:paraId="6919A2DF"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16 = 6. Укупни приходи</w:t>
            </w:r>
          </w:p>
        </w:tc>
        <w:tc>
          <w:tcPr>
            <w:tcW w:w="2033" w:type="dxa"/>
            <w:gridSpan w:val="2"/>
            <w:tcBorders>
              <w:top w:val="nil"/>
              <w:left w:val="nil"/>
              <w:bottom w:val="dotted" w:sz="4" w:space="0" w:color="auto"/>
              <w:right w:val="single" w:sz="8" w:space="0" w:color="auto"/>
            </w:tcBorders>
            <w:shd w:val="clear" w:color="auto" w:fill="auto"/>
            <w:vAlign w:val="center"/>
            <w:hideMark/>
          </w:tcPr>
          <w:p w14:paraId="178A3A0D"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TR</w:t>
            </w:r>
          </w:p>
        </w:tc>
        <w:tc>
          <w:tcPr>
            <w:tcW w:w="1304" w:type="dxa"/>
            <w:gridSpan w:val="2"/>
            <w:tcBorders>
              <w:top w:val="nil"/>
              <w:left w:val="nil"/>
              <w:bottom w:val="dotted" w:sz="4" w:space="0" w:color="auto"/>
              <w:right w:val="single" w:sz="8" w:space="0" w:color="auto"/>
            </w:tcBorders>
            <w:shd w:val="clear" w:color="auto" w:fill="auto"/>
            <w:vAlign w:val="center"/>
            <w:hideMark/>
          </w:tcPr>
          <w:p w14:paraId="2CE1D3E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2.711,9</w:t>
            </w:r>
          </w:p>
        </w:tc>
        <w:tc>
          <w:tcPr>
            <w:tcW w:w="1185" w:type="dxa"/>
            <w:gridSpan w:val="2"/>
            <w:tcBorders>
              <w:top w:val="nil"/>
              <w:left w:val="nil"/>
              <w:bottom w:val="dotted" w:sz="4" w:space="0" w:color="auto"/>
              <w:right w:val="dotted" w:sz="4" w:space="0" w:color="auto"/>
            </w:tcBorders>
            <w:shd w:val="clear" w:color="auto" w:fill="auto"/>
            <w:vAlign w:val="center"/>
            <w:hideMark/>
          </w:tcPr>
          <w:p w14:paraId="6E8BDE59"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43,3</w:t>
            </w:r>
          </w:p>
        </w:tc>
        <w:tc>
          <w:tcPr>
            <w:tcW w:w="1185" w:type="dxa"/>
            <w:gridSpan w:val="2"/>
            <w:tcBorders>
              <w:top w:val="nil"/>
              <w:left w:val="nil"/>
              <w:bottom w:val="dotted" w:sz="4" w:space="0" w:color="auto"/>
              <w:right w:val="dotted" w:sz="4" w:space="0" w:color="auto"/>
            </w:tcBorders>
            <w:shd w:val="clear" w:color="auto" w:fill="auto"/>
            <w:vAlign w:val="center"/>
            <w:hideMark/>
          </w:tcPr>
          <w:p w14:paraId="06DDDF7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43,0</w:t>
            </w:r>
          </w:p>
        </w:tc>
        <w:tc>
          <w:tcPr>
            <w:tcW w:w="1185" w:type="dxa"/>
            <w:gridSpan w:val="2"/>
            <w:tcBorders>
              <w:top w:val="nil"/>
              <w:left w:val="nil"/>
              <w:bottom w:val="dotted" w:sz="4" w:space="0" w:color="auto"/>
              <w:right w:val="dotted" w:sz="4" w:space="0" w:color="auto"/>
            </w:tcBorders>
            <w:shd w:val="clear" w:color="auto" w:fill="auto"/>
            <w:vAlign w:val="center"/>
            <w:hideMark/>
          </w:tcPr>
          <w:p w14:paraId="08D297B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40,9</w:t>
            </w:r>
          </w:p>
        </w:tc>
        <w:tc>
          <w:tcPr>
            <w:tcW w:w="1185" w:type="dxa"/>
            <w:gridSpan w:val="2"/>
            <w:tcBorders>
              <w:top w:val="nil"/>
              <w:left w:val="nil"/>
              <w:bottom w:val="dotted" w:sz="4" w:space="0" w:color="auto"/>
              <w:right w:val="dotted" w:sz="4" w:space="0" w:color="auto"/>
            </w:tcBorders>
            <w:shd w:val="clear" w:color="auto" w:fill="auto"/>
            <w:vAlign w:val="center"/>
            <w:hideMark/>
          </w:tcPr>
          <w:p w14:paraId="12125BBD"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40,4</w:t>
            </w:r>
          </w:p>
        </w:tc>
        <w:tc>
          <w:tcPr>
            <w:tcW w:w="1186" w:type="dxa"/>
            <w:gridSpan w:val="2"/>
            <w:tcBorders>
              <w:top w:val="nil"/>
              <w:left w:val="nil"/>
              <w:bottom w:val="dotted" w:sz="4" w:space="0" w:color="auto"/>
              <w:right w:val="double" w:sz="6" w:space="0" w:color="auto"/>
            </w:tcBorders>
            <w:shd w:val="clear" w:color="auto" w:fill="auto"/>
            <w:vAlign w:val="center"/>
            <w:hideMark/>
          </w:tcPr>
          <w:p w14:paraId="65560D7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39,6</w:t>
            </w:r>
          </w:p>
        </w:tc>
      </w:tr>
      <w:tr w:rsidR="00247CBF" w:rsidRPr="00092ED7" w14:paraId="0C7E38E1" w14:textId="77777777" w:rsidTr="00247CBF">
        <w:trPr>
          <w:gridBefore w:val="1"/>
          <w:gridAfter w:val="1"/>
          <w:wBefore w:w="23" w:type="dxa"/>
          <w:wAfter w:w="306" w:type="dxa"/>
          <w:trHeight w:val="284"/>
        </w:trPr>
        <w:tc>
          <w:tcPr>
            <w:tcW w:w="5292" w:type="dxa"/>
            <w:tcBorders>
              <w:top w:val="dotted" w:sz="4" w:space="0" w:color="auto"/>
              <w:left w:val="double" w:sz="6" w:space="0" w:color="auto"/>
              <w:bottom w:val="single" w:sz="8" w:space="0" w:color="auto"/>
              <w:right w:val="dotted" w:sz="4" w:space="0" w:color="auto"/>
            </w:tcBorders>
            <w:shd w:val="clear" w:color="auto" w:fill="auto"/>
            <w:noWrap/>
            <w:vAlign w:val="bottom"/>
            <w:hideMark/>
          </w:tcPr>
          <w:p w14:paraId="7814CB81"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информативно: пореско оптерећење (D2+D5+D61+D91-D995) [5]</w:t>
            </w:r>
          </w:p>
        </w:tc>
        <w:tc>
          <w:tcPr>
            <w:tcW w:w="2033" w:type="dxa"/>
            <w:gridSpan w:val="2"/>
            <w:tcBorders>
              <w:top w:val="nil"/>
              <w:left w:val="dotted" w:sz="4" w:space="0" w:color="auto"/>
              <w:bottom w:val="single" w:sz="8" w:space="0" w:color="000000"/>
              <w:right w:val="single" w:sz="8" w:space="0" w:color="auto"/>
            </w:tcBorders>
            <w:shd w:val="clear" w:color="auto" w:fill="auto"/>
            <w:vAlign w:val="center"/>
            <w:hideMark/>
          </w:tcPr>
          <w:p w14:paraId="50D0089A" w14:textId="77777777" w:rsidR="00247CBF" w:rsidRPr="00092ED7" w:rsidRDefault="00247CBF" w:rsidP="00247CBF">
            <w:pPr>
              <w:spacing w:after="0"/>
              <w:jc w:val="center"/>
              <w:rPr>
                <w:rFonts w:eastAsia="Times New Roman" w:cs="Times New Roman"/>
                <w:sz w:val="20"/>
                <w:szCs w:val="20"/>
                <w:lang w:val="sr-Cyrl-CS" w:eastAsia="sr-Cyrl-RS"/>
              </w:rPr>
            </w:pPr>
          </w:p>
        </w:tc>
        <w:tc>
          <w:tcPr>
            <w:tcW w:w="1304" w:type="dxa"/>
            <w:gridSpan w:val="2"/>
            <w:tcBorders>
              <w:top w:val="nil"/>
              <w:left w:val="nil"/>
              <w:bottom w:val="single" w:sz="8" w:space="0" w:color="auto"/>
              <w:right w:val="single" w:sz="8" w:space="0" w:color="auto"/>
            </w:tcBorders>
            <w:shd w:val="clear" w:color="auto" w:fill="auto"/>
            <w:vAlign w:val="center"/>
            <w:hideMark/>
          </w:tcPr>
          <w:p w14:paraId="57E6D5C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2.420,1</w:t>
            </w:r>
          </w:p>
        </w:tc>
        <w:tc>
          <w:tcPr>
            <w:tcW w:w="1185" w:type="dxa"/>
            <w:gridSpan w:val="2"/>
            <w:tcBorders>
              <w:top w:val="nil"/>
              <w:left w:val="nil"/>
              <w:bottom w:val="single" w:sz="8" w:space="0" w:color="000000"/>
              <w:right w:val="dotted" w:sz="4" w:space="0" w:color="auto"/>
            </w:tcBorders>
            <w:shd w:val="clear" w:color="auto" w:fill="auto"/>
            <w:vAlign w:val="center"/>
            <w:hideMark/>
          </w:tcPr>
          <w:p w14:paraId="4DA451B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38,6</w:t>
            </w:r>
          </w:p>
        </w:tc>
        <w:tc>
          <w:tcPr>
            <w:tcW w:w="1185" w:type="dxa"/>
            <w:gridSpan w:val="2"/>
            <w:tcBorders>
              <w:top w:val="nil"/>
              <w:left w:val="nil"/>
              <w:bottom w:val="single" w:sz="8" w:space="0" w:color="000000"/>
              <w:right w:val="dotted" w:sz="4" w:space="0" w:color="auto"/>
            </w:tcBorders>
            <w:shd w:val="clear" w:color="auto" w:fill="auto"/>
            <w:vAlign w:val="center"/>
            <w:hideMark/>
          </w:tcPr>
          <w:p w14:paraId="33DECCB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37,7</w:t>
            </w:r>
          </w:p>
        </w:tc>
        <w:tc>
          <w:tcPr>
            <w:tcW w:w="1185" w:type="dxa"/>
            <w:gridSpan w:val="2"/>
            <w:tcBorders>
              <w:top w:val="nil"/>
              <w:left w:val="nil"/>
              <w:bottom w:val="single" w:sz="8" w:space="0" w:color="000000"/>
              <w:right w:val="dotted" w:sz="4" w:space="0" w:color="auto"/>
            </w:tcBorders>
            <w:shd w:val="clear" w:color="auto" w:fill="auto"/>
            <w:vAlign w:val="center"/>
            <w:hideMark/>
          </w:tcPr>
          <w:p w14:paraId="055F708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35,6</w:t>
            </w:r>
          </w:p>
        </w:tc>
        <w:tc>
          <w:tcPr>
            <w:tcW w:w="1185" w:type="dxa"/>
            <w:gridSpan w:val="2"/>
            <w:tcBorders>
              <w:top w:val="nil"/>
              <w:left w:val="nil"/>
              <w:bottom w:val="single" w:sz="8" w:space="0" w:color="000000"/>
              <w:right w:val="dotted" w:sz="4" w:space="0" w:color="auto"/>
            </w:tcBorders>
            <w:shd w:val="clear" w:color="auto" w:fill="auto"/>
            <w:vAlign w:val="center"/>
            <w:hideMark/>
          </w:tcPr>
          <w:p w14:paraId="396CB6C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35,5</w:t>
            </w:r>
          </w:p>
        </w:tc>
        <w:tc>
          <w:tcPr>
            <w:tcW w:w="1186" w:type="dxa"/>
            <w:gridSpan w:val="2"/>
            <w:tcBorders>
              <w:top w:val="nil"/>
              <w:left w:val="nil"/>
              <w:bottom w:val="single" w:sz="8" w:space="0" w:color="auto"/>
              <w:right w:val="double" w:sz="6" w:space="0" w:color="auto"/>
            </w:tcBorders>
            <w:shd w:val="clear" w:color="auto" w:fill="auto"/>
            <w:vAlign w:val="center"/>
            <w:hideMark/>
          </w:tcPr>
          <w:p w14:paraId="1AAD7C1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35,0</w:t>
            </w:r>
          </w:p>
        </w:tc>
      </w:tr>
      <w:tr w:rsidR="00247CBF" w:rsidRPr="00092ED7" w14:paraId="2479CFD6" w14:textId="77777777" w:rsidTr="00247CBF">
        <w:trPr>
          <w:gridBefore w:val="1"/>
          <w:gridAfter w:val="1"/>
          <w:wBefore w:w="23" w:type="dxa"/>
          <w:wAfter w:w="306" w:type="dxa"/>
          <w:trHeight w:val="284"/>
        </w:trPr>
        <w:tc>
          <w:tcPr>
            <w:tcW w:w="14555" w:type="dxa"/>
            <w:gridSpan w:val="15"/>
            <w:tcBorders>
              <w:top w:val="single" w:sz="8" w:space="0" w:color="auto"/>
              <w:left w:val="double" w:sz="6" w:space="0" w:color="auto"/>
              <w:bottom w:val="single" w:sz="8" w:space="0" w:color="auto"/>
              <w:right w:val="double" w:sz="6" w:space="0" w:color="000000"/>
            </w:tcBorders>
            <w:shd w:val="clear" w:color="auto" w:fill="auto"/>
            <w:vAlign w:val="center"/>
            <w:hideMark/>
          </w:tcPr>
          <w:p w14:paraId="6158BDE4" w14:textId="77777777" w:rsidR="00247CBF" w:rsidRPr="00092ED7" w:rsidRDefault="00247CBF" w:rsidP="00247CBF">
            <w:pPr>
              <w:spacing w:after="0"/>
              <w:jc w:val="center"/>
              <w:rPr>
                <w:rFonts w:eastAsia="Times New Roman" w:cs="Times New Roman"/>
                <w:b/>
                <w:bCs/>
                <w:sz w:val="20"/>
                <w:szCs w:val="20"/>
                <w:lang w:val="sr-Cyrl-CS" w:eastAsia="sr-Cyrl-RS"/>
              </w:rPr>
            </w:pPr>
            <w:r w:rsidRPr="00092ED7">
              <w:rPr>
                <w:rFonts w:eastAsia="Times New Roman" w:cs="Times New Roman"/>
                <w:b/>
                <w:bCs/>
                <w:sz w:val="20"/>
                <w:szCs w:val="20"/>
                <w:lang w:val="sr-Cyrl-CS" w:eastAsia="sr-Cyrl-RS"/>
              </w:rPr>
              <w:t>Изабране компоненте расхода</w:t>
            </w:r>
          </w:p>
        </w:tc>
      </w:tr>
      <w:tr w:rsidR="00247CBF" w:rsidRPr="00092ED7" w14:paraId="60D7A21D"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70270FD1"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17. Колективна потрошња</w:t>
            </w:r>
          </w:p>
        </w:tc>
        <w:tc>
          <w:tcPr>
            <w:tcW w:w="2033" w:type="dxa"/>
            <w:gridSpan w:val="2"/>
            <w:tcBorders>
              <w:top w:val="nil"/>
              <w:left w:val="nil"/>
              <w:bottom w:val="dotted" w:sz="4" w:space="0" w:color="auto"/>
              <w:right w:val="single" w:sz="8" w:space="0" w:color="auto"/>
            </w:tcBorders>
            <w:shd w:val="clear" w:color="auto" w:fill="auto"/>
            <w:vAlign w:val="center"/>
            <w:hideMark/>
          </w:tcPr>
          <w:p w14:paraId="2596C548"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P32</w:t>
            </w:r>
          </w:p>
        </w:tc>
        <w:tc>
          <w:tcPr>
            <w:tcW w:w="1304" w:type="dxa"/>
            <w:gridSpan w:val="2"/>
            <w:tcBorders>
              <w:top w:val="nil"/>
              <w:left w:val="nil"/>
              <w:bottom w:val="dotted" w:sz="4" w:space="0" w:color="auto"/>
              <w:right w:val="single" w:sz="8" w:space="0" w:color="auto"/>
            </w:tcBorders>
            <w:shd w:val="clear" w:color="auto" w:fill="auto"/>
            <w:vAlign w:val="center"/>
            <w:hideMark/>
          </w:tcPr>
          <w:p w14:paraId="241B147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1.119,3</w:t>
            </w:r>
          </w:p>
        </w:tc>
        <w:tc>
          <w:tcPr>
            <w:tcW w:w="1185" w:type="dxa"/>
            <w:gridSpan w:val="2"/>
            <w:tcBorders>
              <w:top w:val="nil"/>
              <w:left w:val="nil"/>
              <w:bottom w:val="dotted" w:sz="4" w:space="0" w:color="auto"/>
              <w:right w:val="dotted" w:sz="4" w:space="0" w:color="auto"/>
            </w:tcBorders>
            <w:shd w:val="clear" w:color="auto" w:fill="auto"/>
            <w:vAlign w:val="center"/>
            <w:hideMark/>
          </w:tcPr>
          <w:p w14:paraId="3DED647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17,9</w:t>
            </w:r>
          </w:p>
        </w:tc>
        <w:tc>
          <w:tcPr>
            <w:tcW w:w="1185" w:type="dxa"/>
            <w:gridSpan w:val="2"/>
            <w:tcBorders>
              <w:top w:val="nil"/>
              <w:left w:val="nil"/>
              <w:bottom w:val="dotted" w:sz="4" w:space="0" w:color="auto"/>
              <w:right w:val="dotted" w:sz="4" w:space="0" w:color="auto"/>
            </w:tcBorders>
            <w:shd w:val="clear" w:color="auto" w:fill="auto"/>
            <w:vAlign w:val="center"/>
            <w:hideMark/>
          </w:tcPr>
          <w:p w14:paraId="5732E78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17,5</w:t>
            </w:r>
          </w:p>
        </w:tc>
        <w:tc>
          <w:tcPr>
            <w:tcW w:w="1185" w:type="dxa"/>
            <w:gridSpan w:val="2"/>
            <w:tcBorders>
              <w:top w:val="nil"/>
              <w:left w:val="nil"/>
              <w:bottom w:val="dotted" w:sz="4" w:space="0" w:color="auto"/>
              <w:right w:val="dotted" w:sz="4" w:space="0" w:color="auto"/>
            </w:tcBorders>
            <w:shd w:val="clear" w:color="auto" w:fill="auto"/>
            <w:vAlign w:val="center"/>
            <w:hideMark/>
          </w:tcPr>
          <w:p w14:paraId="56E9849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16,7</w:t>
            </w:r>
          </w:p>
        </w:tc>
        <w:tc>
          <w:tcPr>
            <w:tcW w:w="1185" w:type="dxa"/>
            <w:gridSpan w:val="2"/>
            <w:tcBorders>
              <w:top w:val="nil"/>
              <w:left w:val="nil"/>
              <w:bottom w:val="dotted" w:sz="4" w:space="0" w:color="auto"/>
              <w:right w:val="dotted" w:sz="4" w:space="0" w:color="auto"/>
            </w:tcBorders>
            <w:shd w:val="clear" w:color="auto" w:fill="auto"/>
            <w:vAlign w:val="center"/>
            <w:hideMark/>
          </w:tcPr>
          <w:p w14:paraId="57900DB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16,5</w:t>
            </w:r>
          </w:p>
        </w:tc>
        <w:tc>
          <w:tcPr>
            <w:tcW w:w="1186" w:type="dxa"/>
            <w:gridSpan w:val="2"/>
            <w:tcBorders>
              <w:top w:val="nil"/>
              <w:left w:val="nil"/>
              <w:bottom w:val="dotted" w:sz="4" w:space="0" w:color="auto"/>
              <w:right w:val="double" w:sz="6" w:space="0" w:color="auto"/>
            </w:tcBorders>
            <w:shd w:val="clear" w:color="auto" w:fill="auto"/>
            <w:vAlign w:val="center"/>
            <w:hideMark/>
          </w:tcPr>
          <w:p w14:paraId="4C6BDBA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16,2</w:t>
            </w:r>
          </w:p>
        </w:tc>
      </w:tr>
      <w:tr w:rsidR="00247CBF" w:rsidRPr="00092ED7" w14:paraId="5B1737E6"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4B730EB2"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18. Укупни социјални трансфери</w:t>
            </w:r>
          </w:p>
        </w:tc>
        <w:tc>
          <w:tcPr>
            <w:tcW w:w="2033" w:type="dxa"/>
            <w:gridSpan w:val="2"/>
            <w:tcBorders>
              <w:top w:val="nil"/>
              <w:left w:val="nil"/>
              <w:bottom w:val="dotted" w:sz="4" w:space="0" w:color="auto"/>
              <w:right w:val="single" w:sz="8" w:space="0" w:color="auto"/>
            </w:tcBorders>
            <w:shd w:val="clear" w:color="auto" w:fill="auto"/>
            <w:vAlign w:val="center"/>
            <w:hideMark/>
          </w:tcPr>
          <w:p w14:paraId="1807AC8A"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D62 + D63</w:t>
            </w:r>
          </w:p>
        </w:tc>
        <w:tc>
          <w:tcPr>
            <w:tcW w:w="1304" w:type="dxa"/>
            <w:gridSpan w:val="2"/>
            <w:tcBorders>
              <w:top w:val="nil"/>
              <w:left w:val="nil"/>
              <w:bottom w:val="dotted" w:sz="4" w:space="0" w:color="auto"/>
              <w:right w:val="single" w:sz="8" w:space="0" w:color="auto"/>
            </w:tcBorders>
            <w:shd w:val="clear" w:color="auto" w:fill="auto"/>
            <w:vAlign w:val="center"/>
            <w:hideMark/>
          </w:tcPr>
          <w:p w14:paraId="7972F6D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850,0</w:t>
            </w:r>
          </w:p>
        </w:tc>
        <w:tc>
          <w:tcPr>
            <w:tcW w:w="1185" w:type="dxa"/>
            <w:gridSpan w:val="2"/>
            <w:tcBorders>
              <w:top w:val="nil"/>
              <w:left w:val="nil"/>
              <w:bottom w:val="dotted" w:sz="4" w:space="0" w:color="auto"/>
              <w:right w:val="dotted" w:sz="4" w:space="0" w:color="auto"/>
            </w:tcBorders>
            <w:shd w:val="clear" w:color="auto" w:fill="auto"/>
            <w:vAlign w:val="center"/>
            <w:hideMark/>
          </w:tcPr>
          <w:p w14:paraId="4A752FC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13,6</w:t>
            </w:r>
          </w:p>
        </w:tc>
        <w:tc>
          <w:tcPr>
            <w:tcW w:w="1185" w:type="dxa"/>
            <w:gridSpan w:val="2"/>
            <w:tcBorders>
              <w:top w:val="nil"/>
              <w:left w:val="nil"/>
              <w:bottom w:val="dotted" w:sz="4" w:space="0" w:color="auto"/>
              <w:right w:val="dotted" w:sz="4" w:space="0" w:color="auto"/>
            </w:tcBorders>
            <w:shd w:val="clear" w:color="auto" w:fill="auto"/>
            <w:vAlign w:val="center"/>
            <w:hideMark/>
          </w:tcPr>
          <w:p w14:paraId="0CB61D9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13,0</w:t>
            </w:r>
          </w:p>
        </w:tc>
        <w:tc>
          <w:tcPr>
            <w:tcW w:w="1185" w:type="dxa"/>
            <w:gridSpan w:val="2"/>
            <w:tcBorders>
              <w:top w:val="nil"/>
              <w:left w:val="nil"/>
              <w:bottom w:val="dotted" w:sz="4" w:space="0" w:color="auto"/>
              <w:right w:val="dotted" w:sz="4" w:space="0" w:color="auto"/>
            </w:tcBorders>
            <w:shd w:val="clear" w:color="auto" w:fill="auto"/>
            <w:vAlign w:val="center"/>
            <w:hideMark/>
          </w:tcPr>
          <w:p w14:paraId="4199E3D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13,0</w:t>
            </w:r>
          </w:p>
        </w:tc>
        <w:tc>
          <w:tcPr>
            <w:tcW w:w="1185" w:type="dxa"/>
            <w:gridSpan w:val="2"/>
            <w:tcBorders>
              <w:top w:val="nil"/>
              <w:left w:val="nil"/>
              <w:bottom w:val="dotted" w:sz="4" w:space="0" w:color="auto"/>
              <w:right w:val="dotted" w:sz="4" w:space="0" w:color="auto"/>
            </w:tcBorders>
            <w:shd w:val="clear" w:color="auto" w:fill="auto"/>
            <w:vAlign w:val="center"/>
            <w:hideMark/>
          </w:tcPr>
          <w:p w14:paraId="47C6EC4D"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13,2</w:t>
            </w:r>
          </w:p>
        </w:tc>
        <w:tc>
          <w:tcPr>
            <w:tcW w:w="1186" w:type="dxa"/>
            <w:gridSpan w:val="2"/>
            <w:tcBorders>
              <w:top w:val="nil"/>
              <w:left w:val="nil"/>
              <w:bottom w:val="dotted" w:sz="4" w:space="0" w:color="auto"/>
              <w:right w:val="double" w:sz="6" w:space="0" w:color="auto"/>
            </w:tcBorders>
            <w:shd w:val="clear" w:color="auto" w:fill="auto"/>
            <w:vAlign w:val="center"/>
            <w:hideMark/>
          </w:tcPr>
          <w:p w14:paraId="3564121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13,1</w:t>
            </w:r>
          </w:p>
        </w:tc>
      </w:tr>
      <w:tr w:rsidR="00247CBF" w:rsidRPr="00092ED7" w14:paraId="79EAA547"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4C86532"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18а. Неновчани социјални трансфери</w:t>
            </w:r>
          </w:p>
        </w:tc>
        <w:tc>
          <w:tcPr>
            <w:tcW w:w="2033" w:type="dxa"/>
            <w:gridSpan w:val="2"/>
            <w:tcBorders>
              <w:top w:val="nil"/>
              <w:left w:val="nil"/>
              <w:bottom w:val="dotted" w:sz="4" w:space="0" w:color="auto"/>
              <w:right w:val="single" w:sz="8" w:space="0" w:color="auto"/>
            </w:tcBorders>
            <w:shd w:val="clear" w:color="auto" w:fill="auto"/>
            <w:vAlign w:val="center"/>
            <w:hideMark/>
          </w:tcPr>
          <w:p w14:paraId="36DF058F"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P31 = D63</w:t>
            </w:r>
          </w:p>
        </w:tc>
        <w:tc>
          <w:tcPr>
            <w:tcW w:w="1304" w:type="dxa"/>
            <w:gridSpan w:val="2"/>
            <w:tcBorders>
              <w:top w:val="nil"/>
              <w:left w:val="nil"/>
              <w:bottom w:val="dotted" w:sz="4" w:space="0" w:color="auto"/>
              <w:right w:val="single" w:sz="8" w:space="0" w:color="auto"/>
            </w:tcBorders>
            <w:shd w:val="clear" w:color="auto" w:fill="auto"/>
            <w:vAlign w:val="center"/>
            <w:hideMark/>
          </w:tcPr>
          <w:p w14:paraId="24E502F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dotted" w:sz="4" w:space="0" w:color="auto"/>
              <w:right w:val="dotted" w:sz="4" w:space="0" w:color="auto"/>
            </w:tcBorders>
            <w:shd w:val="clear" w:color="auto" w:fill="auto"/>
            <w:vAlign w:val="center"/>
            <w:hideMark/>
          </w:tcPr>
          <w:p w14:paraId="00B054B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dotted" w:sz="4" w:space="0" w:color="auto"/>
              <w:right w:val="dotted" w:sz="4" w:space="0" w:color="auto"/>
            </w:tcBorders>
            <w:shd w:val="clear" w:color="auto" w:fill="auto"/>
            <w:vAlign w:val="center"/>
            <w:hideMark/>
          </w:tcPr>
          <w:p w14:paraId="07ADC74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dotted" w:sz="4" w:space="0" w:color="auto"/>
              <w:right w:val="dotted" w:sz="4" w:space="0" w:color="auto"/>
            </w:tcBorders>
            <w:shd w:val="clear" w:color="auto" w:fill="auto"/>
            <w:vAlign w:val="center"/>
            <w:hideMark/>
          </w:tcPr>
          <w:p w14:paraId="30C35C8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dotted" w:sz="4" w:space="0" w:color="auto"/>
              <w:right w:val="dotted" w:sz="4" w:space="0" w:color="auto"/>
            </w:tcBorders>
            <w:shd w:val="clear" w:color="auto" w:fill="auto"/>
            <w:vAlign w:val="center"/>
            <w:hideMark/>
          </w:tcPr>
          <w:p w14:paraId="51C20CB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6" w:type="dxa"/>
            <w:gridSpan w:val="2"/>
            <w:tcBorders>
              <w:top w:val="nil"/>
              <w:left w:val="nil"/>
              <w:bottom w:val="dotted" w:sz="4" w:space="0" w:color="auto"/>
              <w:right w:val="double" w:sz="6" w:space="0" w:color="auto"/>
            </w:tcBorders>
            <w:shd w:val="clear" w:color="auto" w:fill="auto"/>
            <w:vAlign w:val="center"/>
            <w:hideMark/>
          </w:tcPr>
          <w:p w14:paraId="1C6F6E6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r>
      <w:tr w:rsidR="00247CBF" w:rsidRPr="00092ED7" w14:paraId="236CF624"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39D3826A"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18б. Социјални трансфери осим неновчаних</w:t>
            </w:r>
          </w:p>
        </w:tc>
        <w:tc>
          <w:tcPr>
            <w:tcW w:w="2033" w:type="dxa"/>
            <w:gridSpan w:val="2"/>
            <w:tcBorders>
              <w:top w:val="nil"/>
              <w:left w:val="nil"/>
              <w:bottom w:val="dotted" w:sz="4" w:space="0" w:color="auto"/>
              <w:right w:val="single" w:sz="8" w:space="0" w:color="auto"/>
            </w:tcBorders>
            <w:shd w:val="clear" w:color="auto" w:fill="auto"/>
            <w:vAlign w:val="center"/>
            <w:hideMark/>
          </w:tcPr>
          <w:p w14:paraId="023EEC76"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D62</w:t>
            </w:r>
          </w:p>
        </w:tc>
        <w:tc>
          <w:tcPr>
            <w:tcW w:w="1304" w:type="dxa"/>
            <w:gridSpan w:val="2"/>
            <w:tcBorders>
              <w:top w:val="nil"/>
              <w:left w:val="nil"/>
              <w:bottom w:val="dotted" w:sz="4" w:space="0" w:color="auto"/>
              <w:right w:val="single" w:sz="8" w:space="0" w:color="auto"/>
            </w:tcBorders>
            <w:shd w:val="clear" w:color="auto" w:fill="auto"/>
            <w:vAlign w:val="center"/>
            <w:hideMark/>
          </w:tcPr>
          <w:p w14:paraId="4302171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850,0</w:t>
            </w:r>
          </w:p>
        </w:tc>
        <w:tc>
          <w:tcPr>
            <w:tcW w:w="1185" w:type="dxa"/>
            <w:gridSpan w:val="2"/>
            <w:tcBorders>
              <w:top w:val="nil"/>
              <w:left w:val="nil"/>
              <w:bottom w:val="dotted" w:sz="4" w:space="0" w:color="auto"/>
              <w:right w:val="dotted" w:sz="4" w:space="0" w:color="auto"/>
            </w:tcBorders>
            <w:shd w:val="clear" w:color="auto" w:fill="auto"/>
            <w:vAlign w:val="center"/>
            <w:hideMark/>
          </w:tcPr>
          <w:p w14:paraId="423C143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13,6</w:t>
            </w:r>
          </w:p>
        </w:tc>
        <w:tc>
          <w:tcPr>
            <w:tcW w:w="1185" w:type="dxa"/>
            <w:gridSpan w:val="2"/>
            <w:tcBorders>
              <w:top w:val="nil"/>
              <w:left w:val="nil"/>
              <w:bottom w:val="dotted" w:sz="4" w:space="0" w:color="auto"/>
              <w:right w:val="dotted" w:sz="4" w:space="0" w:color="auto"/>
            </w:tcBorders>
            <w:shd w:val="clear" w:color="auto" w:fill="auto"/>
            <w:vAlign w:val="center"/>
            <w:hideMark/>
          </w:tcPr>
          <w:p w14:paraId="15DF4F9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13,0</w:t>
            </w:r>
          </w:p>
        </w:tc>
        <w:tc>
          <w:tcPr>
            <w:tcW w:w="1185" w:type="dxa"/>
            <w:gridSpan w:val="2"/>
            <w:tcBorders>
              <w:top w:val="nil"/>
              <w:left w:val="nil"/>
              <w:bottom w:val="dotted" w:sz="4" w:space="0" w:color="auto"/>
              <w:right w:val="dotted" w:sz="4" w:space="0" w:color="auto"/>
            </w:tcBorders>
            <w:shd w:val="clear" w:color="auto" w:fill="auto"/>
            <w:vAlign w:val="center"/>
            <w:hideMark/>
          </w:tcPr>
          <w:p w14:paraId="32FCA7F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13,0</w:t>
            </w:r>
          </w:p>
        </w:tc>
        <w:tc>
          <w:tcPr>
            <w:tcW w:w="1185" w:type="dxa"/>
            <w:gridSpan w:val="2"/>
            <w:tcBorders>
              <w:top w:val="nil"/>
              <w:left w:val="nil"/>
              <w:bottom w:val="dotted" w:sz="4" w:space="0" w:color="auto"/>
              <w:right w:val="dotted" w:sz="4" w:space="0" w:color="auto"/>
            </w:tcBorders>
            <w:shd w:val="clear" w:color="auto" w:fill="auto"/>
            <w:vAlign w:val="center"/>
            <w:hideMark/>
          </w:tcPr>
          <w:p w14:paraId="21C3DE2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13,2</w:t>
            </w:r>
          </w:p>
        </w:tc>
        <w:tc>
          <w:tcPr>
            <w:tcW w:w="1186" w:type="dxa"/>
            <w:gridSpan w:val="2"/>
            <w:tcBorders>
              <w:top w:val="nil"/>
              <w:left w:val="nil"/>
              <w:bottom w:val="dotted" w:sz="4" w:space="0" w:color="auto"/>
              <w:right w:val="double" w:sz="6" w:space="0" w:color="auto"/>
            </w:tcBorders>
            <w:shd w:val="clear" w:color="auto" w:fill="auto"/>
            <w:vAlign w:val="center"/>
            <w:hideMark/>
          </w:tcPr>
          <w:p w14:paraId="722F80C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13,1</w:t>
            </w:r>
          </w:p>
        </w:tc>
      </w:tr>
      <w:tr w:rsidR="00247CBF" w:rsidRPr="00092ED7" w14:paraId="48A45B6E"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62B8970"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19 = 9. Расходи за камате</w:t>
            </w:r>
          </w:p>
        </w:tc>
        <w:tc>
          <w:tcPr>
            <w:tcW w:w="2033" w:type="dxa"/>
            <w:gridSpan w:val="2"/>
            <w:tcBorders>
              <w:top w:val="nil"/>
              <w:left w:val="nil"/>
              <w:bottom w:val="dotted" w:sz="4" w:space="0" w:color="auto"/>
              <w:right w:val="single" w:sz="8" w:space="0" w:color="auto"/>
            </w:tcBorders>
            <w:shd w:val="clear" w:color="auto" w:fill="auto"/>
            <w:vAlign w:val="center"/>
            <w:hideMark/>
          </w:tcPr>
          <w:p w14:paraId="6F4456AA"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EDP.D41 + FISIM</w:t>
            </w:r>
          </w:p>
        </w:tc>
        <w:tc>
          <w:tcPr>
            <w:tcW w:w="1304" w:type="dxa"/>
            <w:gridSpan w:val="2"/>
            <w:tcBorders>
              <w:top w:val="nil"/>
              <w:left w:val="nil"/>
              <w:bottom w:val="dotted" w:sz="4" w:space="0" w:color="auto"/>
              <w:right w:val="single" w:sz="8" w:space="0" w:color="auto"/>
            </w:tcBorders>
            <w:shd w:val="clear" w:color="auto" w:fill="auto"/>
            <w:vAlign w:val="center"/>
            <w:hideMark/>
          </w:tcPr>
          <w:p w14:paraId="2BBDB4D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108,7</w:t>
            </w:r>
          </w:p>
        </w:tc>
        <w:tc>
          <w:tcPr>
            <w:tcW w:w="1185" w:type="dxa"/>
            <w:gridSpan w:val="2"/>
            <w:tcBorders>
              <w:top w:val="nil"/>
              <w:left w:val="nil"/>
              <w:bottom w:val="dotted" w:sz="4" w:space="0" w:color="auto"/>
              <w:right w:val="dotted" w:sz="4" w:space="0" w:color="auto"/>
            </w:tcBorders>
            <w:shd w:val="clear" w:color="auto" w:fill="auto"/>
            <w:vAlign w:val="center"/>
            <w:hideMark/>
          </w:tcPr>
          <w:p w14:paraId="27CE6F8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1,7</w:t>
            </w:r>
          </w:p>
        </w:tc>
        <w:tc>
          <w:tcPr>
            <w:tcW w:w="1185" w:type="dxa"/>
            <w:gridSpan w:val="2"/>
            <w:tcBorders>
              <w:top w:val="nil"/>
              <w:left w:val="nil"/>
              <w:bottom w:val="dotted" w:sz="4" w:space="0" w:color="auto"/>
              <w:right w:val="dotted" w:sz="4" w:space="0" w:color="auto"/>
            </w:tcBorders>
            <w:shd w:val="clear" w:color="auto" w:fill="auto"/>
            <w:vAlign w:val="center"/>
            <w:hideMark/>
          </w:tcPr>
          <w:p w14:paraId="359A1B7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1,6</w:t>
            </w:r>
          </w:p>
        </w:tc>
        <w:tc>
          <w:tcPr>
            <w:tcW w:w="1185" w:type="dxa"/>
            <w:gridSpan w:val="2"/>
            <w:tcBorders>
              <w:top w:val="nil"/>
              <w:left w:val="nil"/>
              <w:bottom w:val="dotted" w:sz="4" w:space="0" w:color="auto"/>
              <w:right w:val="dotted" w:sz="4" w:space="0" w:color="auto"/>
            </w:tcBorders>
            <w:shd w:val="clear" w:color="auto" w:fill="auto"/>
            <w:vAlign w:val="center"/>
            <w:hideMark/>
          </w:tcPr>
          <w:p w14:paraId="741D44C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1,8</w:t>
            </w:r>
          </w:p>
        </w:tc>
        <w:tc>
          <w:tcPr>
            <w:tcW w:w="1185" w:type="dxa"/>
            <w:gridSpan w:val="2"/>
            <w:tcBorders>
              <w:top w:val="nil"/>
              <w:left w:val="nil"/>
              <w:bottom w:val="dotted" w:sz="4" w:space="0" w:color="auto"/>
              <w:right w:val="dotted" w:sz="4" w:space="0" w:color="auto"/>
            </w:tcBorders>
            <w:shd w:val="clear" w:color="auto" w:fill="auto"/>
            <w:vAlign w:val="center"/>
            <w:hideMark/>
          </w:tcPr>
          <w:p w14:paraId="21E4733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2,1</w:t>
            </w:r>
          </w:p>
        </w:tc>
        <w:tc>
          <w:tcPr>
            <w:tcW w:w="1186" w:type="dxa"/>
            <w:gridSpan w:val="2"/>
            <w:tcBorders>
              <w:top w:val="nil"/>
              <w:left w:val="nil"/>
              <w:bottom w:val="dotted" w:sz="4" w:space="0" w:color="auto"/>
              <w:right w:val="double" w:sz="6" w:space="0" w:color="auto"/>
            </w:tcBorders>
            <w:shd w:val="clear" w:color="auto" w:fill="auto"/>
            <w:vAlign w:val="center"/>
            <w:hideMark/>
          </w:tcPr>
          <w:p w14:paraId="5425C93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1,9</w:t>
            </w:r>
          </w:p>
        </w:tc>
      </w:tr>
      <w:tr w:rsidR="00247CBF" w:rsidRPr="00092ED7" w14:paraId="455B902E"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645463C0"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20. Субвенције</w:t>
            </w:r>
          </w:p>
        </w:tc>
        <w:tc>
          <w:tcPr>
            <w:tcW w:w="2033" w:type="dxa"/>
            <w:gridSpan w:val="2"/>
            <w:tcBorders>
              <w:top w:val="nil"/>
              <w:left w:val="nil"/>
              <w:bottom w:val="dotted" w:sz="4" w:space="0" w:color="auto"/>
              <w:right w:val="single" w:sz="8" w:space="0" w:color="auto"/>
            </w:tcBorders>
            <w:shd w:val="clear" w:color="auto" w:fill="auto"/>
            <w:vAlign w:val="center"/>
            <w:hideMark/>
          </w:tcPr>
          <w:p w14:paraId="14839FF5"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D3</w:t>
            </w:r>
          </w:p>
        </w:tc>
        <w:tc>
          <w:tcPr>
            <w:tcW w:w="1304" w:type="dxa"/>
            <w:gridSpan w:val="2"/>
            <w:tcBorders>
              <w:top w:val="nil"/>
              <w:left w:val="nil"/>
              <w:bottom w:val="dotted" w:sz="4" w:space="0" w:color="auto"/>
              <w:right w:val="single" w:sz="8" w:space="0" w:color="auto"/>
            </w:tcBorders>
            <w:shd w:val="clear" w:color="auto" w:fill="auto"/>
            <w:vAlign w:val="center"/>
            <w:hideMark/>
          </w:tcPr>
          <w:p w14:paraId="189C405D"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206,3</w:t>
            </w:r>
          </w:p>
        </w:tc>
        <w:tc>
          <w:tcPr>
            <w:tcW w:w="1185" w:type="dxa"/>
            <w:gridSpan w:val="2"/>
            <w:tcBorders>
              <w:top w:val="nil"/>
              <w:left w:val="nil"/>
              <w:bottom w:val="dotted" w:sz="4" w:space="0" w:color="auto"/>
              <w:right w:val="dotted" w:sz="4" w:space="0" w:color="auto"/>
            </w:tcBorders>
            <w:shd w:val="clear" w:color="auto" w:fill="auto"/>
            <w:vAlign w:val="center"/>
            <w:hideMark/>
          </w:tcPr>
          <w:p w14:paraId="3D5DF8C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3,3</w:t>
            </w:r>
          </w:p>
        </w:tc>
        <w:tc>
          <w:tcPr>
            <w:tcW w:w="1185" w:type="dxa"/>
            <w:gridSpan w:val="2"/>
            <w:tcBorders>
              <w:top w:val="nil"/>
              <w:left w:val="nil"/>
              <w:bottom w:val="dotted" w:sz="4" w:space="0" w:color="auto"/>
              <w:right w:val="dotted" w:sz="4" w:space="0" w:color="auto"/>
            </w:tcBorders>
            <w:shd w:val="clear" w:color="auto" w:fill="auto"/>
            <w:vAlign w:val="center"/>
            <w:hideMark/>
          </w:tcPr>
          <w:p w14:paraId="591D4DE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2,6</w:t>
            </w:r>
          </w:p>
        </w:tc>
        <w:tc>
          <w:tcPr>
            <w:tcW w:w="1185" w:type="dxa"/>
            <w:gridSpan w:val="2"/>
            <w:tcBorders>
              <w:top w:val="nil"/>
              <w:left w:val="nil"/>
              <w:bottom w:val="dotted" w:sz="4" w:space="0" w:color="auto"/>
              <w:right w:val="dotted" w:sz="4" w:space="0" w:color="auto"/>
            </w:tcBorders>
            <w:shd w:val="clear" w:color="auto" w:fill="auto"/>
            <w:vAlign w:val="center"/>
            <w:hideMark/>
          </w:tcPr>
          <w:p w14:paraId="54422A19"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2,7</w:t>
            </w:r>
          </w:p>
        </w:tc>
        <w:tc>
          <w:tcPr>
            <w:tcW w:w="1185" w:type="dxa"/>
            <w:gridSpan w:val="2"/>
            <w:tcBorders>
              <w:top w:val="nil"/>
              <w:left w:val="nil"/>
              <w:bottom w:val="dotted" w:sz="4" w:space="0" w:color="auto"/>
              <w:right w:val="dotted" w:sz="4" w:space="0" w:color="auto"/>
            </w:tcBorders>
            <w:shd w:val="clear" w:color="auto" w:fill="auto"/>
            <w:vAlign w:val="center"/>
            <w:hideMark/>
          </w:tcPr>
          <w:p w14:paraId="0955EE1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w:t>
            </w:r>
          </w:p>
        </w:tc>
        <w:tc>
          <w:tcPr>
            <w:tcW w:w="1186" w:type="dxa"/>
            <w:gridSpan w:val="2"/>
            <w:tcBorders>
              <w:top w:val="nil"/>
              <w:left w:val="nil"/>
              <w:bottom w:val="dotted" w:sz="4" w:space="0" w:color="auto"/>
              <w:right w:val="double" w:sz="6" w:space="0" w:color="auto"/>
            </w:tcBorders>
            <w:shd w:val="clear" w:color="auto" w:fill="auto"/>
            <w:vAlign w:val="center"/>
            <w:hideMark/>
          </w:tcPr>
          <w:p w14:paraId="409C404D"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2,1</w:t>
            </w:r>
          </w:p>
        </w:tc>
      </w:tr>
      <w:tr w:rsidR="00247CBF" w:rsidRPr="00092ED7" w14:paraId="6663F692"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64B7161E"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21. Бруто инвестиције у основна средства</w:t>
            </w:r>
          </w:p>
        </w:tc>
        <w:tc>
          <w:tcPr>
            <w:tcW w:w="2033" w:type="dxa"/>
            <w:gridSpan w:val="2"/>
            <w:tcBorders>
              <w:top w:val="nil"/>
              <w:left w:val="nil"/>
              <w:bottom w:val="dotted" w:sz="4" w:space="0" w:color="auto"/>
              <w:right w:val="single" w:sz="8" w:space="0" w:color="auto"/>
            </w:tcBorders>
            <w:shd w:val="clear" w:color="auto" w:fill="auto"/>
            <w:vAlign w:val="center"/>
            <w:hideMark/>
          </w:tcPr>
          <w:p w14:paraId="5ED85BD5"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P51</w:t>
            </w:r>
          </w:p>
        </w:tc>
        <w:tc>
          <w:tcPr>
            <w:tcW w:w="1304" w:type="dxa"/>
            <w:gridSpan w:val="2"/>
            <w:tcBorders>
              <w:top w:val="nil"/>
              <w:left w:val="nil"/>
              <w:bottom w:val="dotted" w:sz="4" w:space="0" w:color="auto"/>
              <w:right w:val="single" w:sz="8" w:space="0" w:color="auto"/>
            </w:tcBorders>
            <w:shd w:val="clear" w:color="auto" w:fill="auto"/>
            <w:vAlign w:val="center"/>
            <w:hideMark/>
          </w:tcPr>
          <w:p w14:paraId="2D47D98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466,6</w:t>
            </w:r>
          </w:p>
        </w:tc>
        <w:tc>
          <w:tcPr>
            <w:tcW w:w="1185" w:type="dxa"/>
            <w:gridSpan w:val="2"/>
            <w:tcBorders>
              <w:top w:val="nil"/>
              <w:left w:val="nil"/>
              <w:bottom w:val="dotted" w:sz="4" w:space="0" w:color="auto"/>
              <w:right w:val="dotted" w:sz="4" w:space="0" w:color="auto"/>
            </w:tcBorders>
            <w:shd w:val="clear" w:color="auto" w:fill="auto"/>
            <w:vAlign w:val="center"/>
            <w:hideMark/>
          </w:tcPr>
          <w:p w14:paraId="387150D6"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7,4</w:t>
            </w:r>
          </w:p>
        </w:tc>
        <w:tc>
          <w:tcPr>
            <w:tcW w:w="1185" w:type="dxa"/>
            <w:gridSpan w:val="2"/>
            <w:tcBorders>
              <w:top w:val="nil"/>
              <w:left w:val="nil"/>
              <w:bottom w:val="dotted" w:sz="4" w:space="0" w:color="auto"/>
              <w:right w:val="dotted" w:sz="4" w:space="0" w:color="auto"/>
            </w:tcBorders>
            <w:shd w:val="clear" w:color="auto" w:fill="auto"/>
            <w:vAlign w:val="center"/>
            <w:hideMark/>
          </w:tcPr>
          <w:p w14:paraId="6E36E31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7,3</w:t>
            </w:r>
          </w:p>
        </w:tc>
        <w:tc>
          <w:tcPr>
            <w:tcW w:w="1185" w:type="dxa"/>
            <w:gridSpan w:val="2"/>
            <w:tcBorders>
              <w:top w:val="nil"/>
              <w:left w:val="nil"/>
              <w:bottom w:val="dotted" w:sz="4" w:space="0" w:color="auto"/>
              <w:right w:val="dotted" w:sz="4" w:space="0" w:color="auto"/>
            </w:tcBorders>
            <w:shd w:val="clear" w:color="auto" w:fill="auto"/>
            <w:vAlign w:val="center"/>
            <w:hideMark/>
          </w:tcPr>
          <w:p w14:paraId="4AB25F1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6,8</w:t>
            </w:r>
          </w:p>
        </w:tc>
        <w:tc>
          <w:tcPr>
            <w:tcW w:w="1185" w:type="dxa"/>
            <w:gridSpan w:val="2"/>
            <w:tcBorders>
              <w:top w:val="nil"/>
              <w:left w:val="nil"/>
              <w:bottom w:val="dotted" w:sz="4" w:space="0" w:color="auto"/>
              <w:right w:val="dotted" w:sz="4" w:space="0" w:color="auto"/>
            </w:tcBorders>
            <w:shd w:val="clear" w:color="auto" w:fill="auto"/>
            <w:vAlign w:val="center"/>
            <w:hideMark/>
          </w:tcPr>
          <w:p w14:paraId="37F6D3B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6,4</w:t>
            </w:r>
          </w:p>
        </w:tc>
        <w:tc>
          <w:tcPr>
            <w:tcW w:w="1186" w:type="dxa"/>
            <w:gridSpan w:val="2"/>
            <w:tcBorders>
              <w:top w:val="nil"/>
              <w:left w:val="nil"/>
              <w:bottom w:val="dotted" w:sz="4" w:space="0" w:color="auto"/>
              <w:right w:val="double" w:sz="6" w:space="0" w:color="auto"/>
            </w:tcBorders>
            <w:shd w:val="clear" w:color="auto" w:fill="auto"/>
            <w:vAlign w:val="center"/>
            <w:hideMark/>
          </w:tcPr>
          <w:p w14:paraId="1323FB1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6,1</w:t>
            </w:r>
          </w:p>
        </w:tc>
      </w:tr>
      <w:tr w:rsidR="00247CBF" w:rsidRPr="00092ED7" w14:paraId="29FC8B41"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3F723BF"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22. Друго (22 = 23-(17+18+19+20+21) [6]</w:t>
            </w:r>
          </w:p>
        </w:tc>
        <w:tc>
          <w:tcPr>
            <w:tcW w:w="2033" w:type="dxa"/>
            <w:gridSpan w:val="2"/>
            <w:tcBorders>
              <w:top w:val="nil"/>
              <w:left w:val="nil"/>
              <w:bottom w:val="dotted" w:sz="4" w:space="0" w:color="auto"/>
              <w:right w:val="single" w:sz="8" w:space="0" w:color="auto"/>
            </w:tcBorders>
            <w:shd w:val="clear" w:color="auto" w:fill="auto"/>
            <w:vAlign w:val="center"/>
            <w:hideMark/>
          </w:tcPr>
          <w:p w14:paraId="5B230EA8" w14:textId="77777777" w:rsidR="00247CBF" w:rsidRPr="00092ED7" w:rsidRDefault="00247CBF" w:rsidP="00247CBF">
            <w:pPr>
              <w:spacing w:after="0"/>
              <w:jc w:val="center"/>
              <w:rPr>
                <w:rFonts w:eastAsia="Times New Roman" w:cs="Times New Roman"/>
                <w:sz w:val="20"/>
                <w:szCs w:val="20"/>
                <w:lang w:val="sr-Cyrl-CS" w:eastAsia="sr-Cyrl-RS"/>
              </w:rPr>
            </w:pPr>
          </w:p>
        </w:tc>
        <w:tc>
          <w:tcPr>
            <w:tcW w:w="1304" w:type="dxa"/>
            <w:gridSpan w:val="2"/>
            <w:tcBorders>
              <w:top w:val="nil"/>
              <w:left w:val="nil"/>
              <w:bottom w:val="dotted" w:sz="4" w:space="0" w:color="auto"/>
              <w:right w:val="single" w:sz="8" w:space="0" w:color="auto"/>
            </w:tcBorders>
            <w:shd w:val="clear" w:color="auto" w:fill="auto"/>
            <w:vAlign w:val="center"/>
            <w:hideMark/>
          </w:tcPr>
          <w:p w14:paraId="6AF62CA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220,4</w:t>
            </w:r>
          </w:p>
        </w:tc>
        <w:tc>
          <w:tcPr>
            <w:tcW w:w="1185" w:type="dxa"/>
            <w:gridSpan w:val="2"/>
            <w:tcBorders>
              <w:top w:val="nil"/>
              <w:left w:val="nil"/>
              <w:bottom w:val="dotted" w:sz="4" w:space="0" w:color="auto"/>
              <w:right w:val="dotted" w:sz="4" w:space="0" w:color="auto"/>
            </w:tcBorders>
            <w:shd w:val="clear" w:color="auto" w:fill="auto"/>
            <w:vAlign w:val="center"/>
            <w:hideMark/>
          </w:tcPr>
          <w:p w14:paraId="011CED66"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3,5</w:t>
            </w:r>
          </w:p>
        </w:tc>
        <w:tc>
          <w:tcPr>
            <w:tcW w:w="1185" w:type="dxa"/>
            <w:gridSpan w:val="2"/>
            <w:tcBorders>
              <w:top w:val="nil"/>
              <w:left w:val="nil"/>
              <w:bottom w:val="dotted" w:sz="4" w:space="0" w:color="auto"/>
              <w:right w:val="dotted" w:sz="4" w:space="0" w:color="auto"/>
            </w:tcBorders>
            <w:shd w:val="clear" w:color="auto" w:fill="auto"/>
            <w:vAlign w:val="center"/>
            <w:hideMark/>
          </w:tcPr>
          <w:p w14:paraId="4DCC21F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4,8</w:t>
            </w:r>
          </w:p>
        </w:tc>
        <w:tc>
          <w:tcPr>
            <w:tcW w:w="1185" w:type="dxa"/>
            <w:gridSpan w:val="2"/>
            <w:tcBorders>
              <w:top w:val="nil"/>
              <w:left w:val="nil"/>
              <w:bottom w:val="dotted" w:sz="4" w:space="0" w:color="auto"/>
              <w:right w:val="dotted" w:sz="4" w:space="0" w:color="auto"/>
            </w:tcBorders>
            <w:shd w:val="clear" w:color="auto" w:fill="auto"/>
            <w:vAlign w:val="center"/>
            <w:hideMark/>
          </w:tcPr>
          <w:p w14:paraId="2B3FFE9D"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3,2</w:t>
            </w:r>
          </w:p>
        </w:tc>
        <w:tc>
          <w:tcPr>
            <w:tcW w:w="1185" w:type="dxa"/>
            <w:gridSpan w:val="2"/>
            <w:tcBorders>
              <w:top w:val="nil"/>
              <w:left w:val="nil"/>
              <w:bottom w:val="dotted" w:sz="4" w:space="0" w:color="auto"/>
              <w:right w:val="dotted" w:sz="4" w:space="0" w:color="auto"/>
            </w:tcBorders>
            <w:shd w:val="clear" w:color="auto" w:fill="auto"/>
            <w:vAlign w:val="center"/>
            <w:hideMark/>
          </w:tcPr>
          <w:p w14:paraId="511791F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2,3</w:t>
            </w:r>
          </w:p>
        </w:tc>
        <w:tc>
          <w:tcPr>
            <w:tcW w:w="1186" w:type="dxa"/>
            <w:gridSpan w:val="2"/>
            <w:tcBorders>
              <w:top w:val="nil"/>
              <w:left w:val="nil"/>
              <w:bottom w:val="dotted" w:sz="4" w:space="0" w:color="auto"/>
              <w:right w:val="double" w:sz="6" w:space="0" w:color="auto"/>
            </w:tcBorders>
            <w:shd w:val="clear" w:color="auto" w:fill="auto"/>
            <w:vAlign w:val="center"/>
            <w:hideMark/>
          </w:tcPr>
          <w:p w14:paraId="1047B52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1,5</w:t>
            </w:r>
          </w:p>
        </w:tc>
      </w:tr>
      <w:tr w:rsidR="00247CBF" w:rsidRPr="00092ED7" w14:paraId="59877530"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58771567"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23 = 7. Укупни расходи</w:t>
            </w:r>
          </w:p>
        </w:tc>
        <w:tc>
          <w:tcPr>
            <w:tcW w:w="2033" w:type="dxa"/>
            <w:gridSpan w:val="2"/>
            <w:tcBorders>
              <w:top w:val="nil"/>
              <w:left w:val="nil"/>
              <w:bottom w:val="dotted" w:sz="4" w:space="0" w:color="auto"/>
              <w:right w:val="single" w:sz="8" w:space="0" w:color="auto"/>
            </w:tcBorders>
            <w:shd w:val="clear" w:color="auto" w:fill="auto"/>
            <w:vAlign w:val="center"/>
            <w:hideMark/>
          </w:tcPr>
          <w:p w14:paraId="6B7CF39F"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TE [1]</w:t>
            </w:r>
          </w:p>
        </w:tc>
        <w:tc>
          <w:tcPr>
            <w:tcW w:w="1304" w:type="dxa"/>
            <w:gridSpan w:val="2"/>
            <w:tcBorders>
              <w:top w:val="nil"/>
              <w:left w:val="nil"/>
              <w:bottom w:val="dotted" w:sz="4" w:space="0" w:color="auto"/>
              <w:right w:val="single" w:sz="8" w:space="0" w:color="auto"/>
            </w:tcBorders>
            <w:shd w:val="clear" w:color="auto" w:fill="auto"/>
            <w:vAlign w:val="center"/>
            <w:hideMark/>
          </w:tcPr>
          <w:p w14:paraId="339B077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2.971,3</w:t>
            </w:r>
          </w:p>
        </w:tc>
        <w:tc>
          <w:tcPr>
            <w:tcW w:w="1185" w:type="dxa"/>
            <w:gridSpan w:val="2"/>
            <w:tcBorders>
              <w:top w:val="nil"/>
              <w:left w:val="nil"/>
              <w:bottom w:val="dotted" w:sz="4" w:space="0" w:color="auto"/>
              <w:right w:val="dotted" w:sz="4" w:space="0" w:color="auto"/>
            </w:tcBorders>
            <w:shd w:val="clear" w:color="auto" w:fill="auto"/>
            <w:vAlign w:val="center"/>
            <w:hideMark/>
          </w:tcPr>
          <w:p w14:paraId="5D7AE91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47,4</w:t>
            </w:r>
          </w:p>
        </w:tc>
        <w:tc>
          <w:tcPr>
            <w:tcW w:w="1185" w:type="dxa"/>
            <w:gridSpan w:val="2"/>
            <w:tcBorders>
              <w:top w:val="nil"/>
              <w:left w:val="nil"/>
              <w:bottom w:val="dotted" w:sz="4" w:space="0" w:color="auto"/>
              <w:right w:val="dotted" w:sz="4" w:space="0" w:color="auto"/>
            </w:tcBorders>
            <w:shd w:val="clear" w:color="auto" w:fill="auto"/>
            <w:vAlign w:val="center"/>
            <w:hideMark/>
          </w:tcPr>
          <w:p w14:paraId="4F4D681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46,8</w:t>
            </w:r>
          </w:p>
        </w:tc>
        <w:tc>
          <w:tcPr>
            <w:tcW w:w="1185" w:type="dxa"/>
            <w:gridSpan w:val="2"/>
            <w:tcBorders>
              <w:top w:val="nil"/>
              <w:left w:val="nil"/>
              <w:bottom w:val="dotted" w:sz="4" w:space="0" w:color="auto"/>
              <w:right w:val="dotted" w:sz="4" w:space="0" w:color="auto"/>
            </w:tcBorders>
            <w:shd w:val="clear" w:color="auto" w:fill="auto"/>
            <w:vAlign w:val="center"/>
            <w:hideMark/>
          </w:tcPr>
          <w:p w14:paraId="679FAF9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44,2</w:t>
            </w:r>
          </w:p>
        </w:tc>
        <w:tc>
          <w:tcPr>
            <w:tcW w:w="1185" w:type="dxa"/>
            <w:gridSpan w:val="2"/>
            <w:tcBorders>
              <w:top w:val="nil"/>
              <w:left w:val="nil"/>
              <w:bottom w:val="dotted" w:sz="4" w:space="0" w:color="auto"/>
              <w:right w:val="dotted" w:sz="4" w:space="0" w:color="auto"/>
            </w:tcBorders>
            <w:shd w:val="clear" w:color="auto" w:fill="auto"/>
            <w:vAlign w:val="center"/>
            <w:hideMark/>
          </w:tcPr>
          <w:p w14:paraId="7420479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42,5</w:t>
            </w:r>
          </w:p>
        </w:tc>
        <w:tc>
          <w:tcPr>
            <w:tcW w:w="1186" w:type="dxa"/>
            <w:gridSpan w:val="2"/>
            <w:tcBorders>
              <w:top w:val="nil"/>
              <w:left w:val="nil"/>
              <w:bottom w:val="dotted" w:sz="4" w:space="0" w:color="auto"/>
              <w:right w:val="double" w:sz="6" w:space="0" w:color="auto"/>
            </w:tcBorders>
            <w:shd w:val="clear" w:color="auto" w:fill="auto"/>
            <w:vAlign w:val="center"/>
            <w:hideMark/>
          </w:tcPr>
          <w:p w14:paraId="1568335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41,0</w:t>
            </w:r>
          </w:p>
        </w:tc>
      </w:tr>
      <w:tr w:rsidR="00247CBF" w:rsidRPr="00092ED7" w14:paraId="26ED7AE1" w14:textId="77777777" w:rsidTr="00247CBF">
        <w:trPr>
          <w:gridBefore w:val="1"/>
          <w:gridAfter w:val="1"/>
          <w:wBefore w:w="23" w:type="dxa"/>
          <w:wAfter w:w="306" w:type="dxa"/>
          <w:trHeight w:val="284"/>
        </w:trPr>
        <w:tc>
          <w:tcPr>
            <w:tcW w:w="5292" w:type="dxa"/>
            <w:tcBorders>
              <w:top w:val="nil"/>
              <w:left w:val="double" w:sz="6" w:space="0" w:color="auto"/>
              <w:bottom w:val="double" w:sz="6" w:space="0" w:color="auto"/>
              <w:right w:val="dotted" w:sz="4" w:space="0" w:color="auto"/>
            </w:tcBorders>
            <w:shd w:val="clear" w:color="auto" w:fill="auto"/>
            <w:vAlign w:val="bottom"/>
            <w:hideMark/>
          </w:tcPr>
          <w:p w14:paraId="3CA79CB0"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Информативно: Зараде и накнаде запосленима у јавном сектору</w:t>
            </w:r>
          </w:p>
        </w:tc>
        <w:tc>
          <w:tcPr>
            <w:tcW w:w="2033" w:type="dxa"/>
            <w:gridSpan w:val="2"/>
            <w:tcBorders>
              <w:top w:val="nil"/>
              <w:left w:val="nil"/>
              <w:bottom w:val="double" w:sz="6" w:space="0" w:color="auto"/>
              <w:right w:val="single" w:sz="8" w:space="0" w:color="auto"/>
            </w:tcBorders>
            <w:shd w:val="clear" w:color="auto" w:fill="auto"/>
            <w:vAlign w:val="center"/>
            <w:hideMark/>
          </w:tcPr>
          <w:p w14:paraId="0532D525"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D1</w:t>
            </w:r>
          </w:p>
        </w:tc>
        <w:tc>
          <w:tcPr>
            <w:tcW w:w="1304" w:type="dxa"/>
            <w:gridSpan w:val="2"/>
            <w:tcBorders>
              <w:top w:val="nil"/>
              <w:left w:val="nil"/>
              <w:bottom w:val="double" w:sz="6" w:space="0" w:color="auto"/>
              <w:right w:val="single" w:sz="8" w:space="0" w:color="auto"/>
            </w:tcBorders>
            <w:shd w:val="clear" w:color="auto" w:fill="auto"/>
            <w:vAlign w:val="center"/>
            <w:hideMark/>
          </w:tcPr>
          <w:p w14:paraId="0A27B1A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629,0</w:t>
            </w:r>
          </w:p>
        </w:tc>
        <w:tc>
          <w:tcPr>
            <w:tcW w:w="1185" w:type="dxa"/>
            <w:gridSpan w:val="2"/>
            <w:tcBorders>
              <w:top w:val="nil"/>
              <w:left w:val="nil"/>
              <w:bottom w:val="double" w:sz="6" w:space="0" w:color="auto"/>
              <w:right w:val="dotted" w:sz="4" w:space="0" w:color="auto"/>
            </w:tcBorders>
            <w:shd w:val="clear" w:color="auto" w:fill="auto"/>
            <w:vAlign w:val="center"/>
            <w:hideMark/>
          </w:tcPr>
          <w:p w14:paraId="2FD80D6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10,0</w:t>
            </w:r>
          </w:p>
        </w:tc>
        <w:tc>
          <w:tcPr>
            <w:tcW w:w="1185" w:type="dxa"/>
            <w:gridSpan w:val="2"/>
            <w:tcBorders>
              <w:top w:val="nil"/>
              <w:left w:val="nil"/>
              <w:bottom w:val="double" w:sz="6" w:space="0" w:color="auto"/>
              <w:right w:val="dotted" w:sz="4" w:space="0" w:color="auto"/>
            </w:tcBorders>
            <w:shd w:val="clear" w:color="auto" w:fill="auto"/>
            <w:vAlign w:val="center"/>
            <w:hideMark/>
          </w:tcPr>
          <w:p w14:paraId="0E86A37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9,7</w:t>
            </w:r>
          </w:p>
        </w:tc>
        <w:tc>
          <w:tcPr>
            <w:tcW w:w="1185" w:type="dxa"/>
            <w:gridSpan w:val="2"/>
            <w:tcBorders>
              <w:top w:val="nil"/>
              <w:left w:val="nil"/>
              <w:bottom w:val="double" w:sz="6" w:space="0" w:color="auto"/>
              <w:right w:val="dotted" w:sz="4" w:space="0" w:color="auto"/>
            </w:tcBorders>
            <w:shd w:val="clear" w:color="auto" w:fill="auto"/>
            <w:vAlign w:val="center"/>
            <w:hideMark/>
          </w:tcPr>
          <w:p w14:paraId="5E3A333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9,6</w:t>
            </w:r>
          </w:p>
        </w:tc>
        <w:tc>
          <w:tcPr>
            <w:tcW w:w="1185" w:type="dxa"/>
            <w:gridSpan w:val="2"/>
            <w:tcBorders>
              <w:top w:val="nil"/>
              <w:left w:val="nil"/>
              <w:bottom w:val="double" w:sz="6" w:space="0" w:color="auto"/>
              <w:right w:val="dotted" w:sz="4" w:space="0" w:color="auto"/>
            </w:tcBorders>
            <w:shd w:val="clear" w:color="auto" w:fill="auto"/>
            <w:vAlign w:val="center"/>
            <w:hideMark/>
          </w:tcPr>
          <w:p w14:paraId="79CCCD0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9,6</w:t>
            </w:r>
          </w:p>
        </w:tc>
        <w:tc>
          <w:tcPr>
            <w:tcW w:w="1186" w:type="dxa"/>
            <w:gridSpan w:val="2"/>
            <w:tcBorders>
              <w:top w:val="nil"/>
              <w:left w:val="nil"/>
              <w:bottom w:val="double" w:sz="6" w:space="0" w:color="auto"/>
              <w:right w:val="double" w:sz="6" w:space="0" w:color="auto"/>
            </w:tcBorders>
            <w:shd w:val="clear" w:color="auto" w:fill="auto"/>
            <w:vAlign w:val="center"/>
            <w:hideMark/>
          </w:tcPr>
          <w:p w14:paraId="40E1866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9,6</w:t>
            </w:r>
          </w:p>
        </w:tc>
      </w:tr>
      <w:tr w:rsidR="00247CBF" w:rsidRPr="00092ED7" w14:paraId="1712B305" w14:textId="77777777" w:rsidTr="00247CBF">
        <w:trPr>
          <w:trHeight w:val="227"/>
        </w:trPr>
        <w:tc>
          <w:tcPr>
            <w:tcW w:w="6640" w:type="dxa"/>
            <w:gridSpan w:val="3"/>
            <w:tcBorders>
              <w:top w:val="nil"/>
              <w:left w:val="nil"/>
              <w:bottom w:val="nil"/>
              <w:right w:val="nil"/>
            </w:tcBorders>
            <w:shd w:val="clear" w:color="000000" w:fill="FFFFFF"/>
            <w:noWrap/>
            <w:vAlign w:val="center"/>
            <w:hideMark/>
          </w:tcPr>
          <w:p w14:paraId="7F8FC753" w14:textId="77777777" w:rsidR="00247CBF" w:rsidRPr="00092ED7" w:rsidRDefault="00247CBF" w:rsidP="00247CBF">
            <w:pPr>
              <w:spacing w:after="0"/>
              <w:jc w:val="left"/>
              <w:rPr>
                <w:sz w:val="16"/>
                <w:szCs w:val="20"/>
                <w:lang w:val="sr-Cyrl-CS"/>
              </w:rPr>
            </w:pPr>
            <w:r w:rsidRPr="00092ED7">
              <w:rPr>
                <w:sz w:val="16"/>
                <w:szCs w:val="20"/>
                <w:lang w:val="sr-Cyrl-CS"/>
              </w:rPr>
              <w:t>[1]   Коригован за следећи ток по основу свопова, тако да је TR-TE = EDP.B9.</w:t>
            </w:r>
          </w:p>
        </w:tc>
        <w:tc>
          <w:tcPr>
            <w:tcW w:w="1177" w:type="dxa"/>
            <w:gridSpan w:val="2"/>
            <w:tcBorders>
              <w:top w:val="nil"/>
              <w:left w:val="nil"/>
              <w:bottom w:val="nil"/>
              <w:right w:val="nil"/>
            </w:tcBorders>
            <w:shd w:val="clear" w:color="000000" w:fill="FFFFFF"/>
            <w:noWrap/>
            <w:vAlign w:val="center"/>
            <w:hideMark/>
          </w:tcPr>
          <w:p w14:paraId="49DEC731"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028C8F60"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656510EB"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7" w:type="dxa"/>
            <w:gridSpan w:val="2"/>
            <w:tcBorders>
              <w:top w:val="nil"/>
              <w:left w:val="nil"/>
              <w:bottom w:val="nil"/>
              <w:right w:val="nil"/>
            </w:tcBorders>
            <w:shd w:val="clear" w:color="000000" w:fill="FFFFFF"/>
            <w:noWrap/>
            <w:vAlign w:val="center"/>
            <w:hideMark/>
          </w:tcPr>
          <w:p w14:paraId="7146E64E"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47FE347F"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7E30D735"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32BCFBC0"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17B2F1EF" w14:textId="77777777" w:rsidTr="00247CBF">
        <w:trPr>
          <w:trHeight w:val="227"/>
        </w:trPr>
        <w:tc>
          <w:tcPr>
            <w:tcW w:w="7348" w:type="dxa"/>
            <w:gridSpan w:val="4"/>
            <w:tcBorders>
              <w:top w:val="nil"/>
              <w:left w:val="nil"/>
              <w:bottom w:val="nil"/>
              <w:right w:val="nil"/>
            </w:tcBorders>
            <w:shd w:val="clear" w:color="000000" w:fill="FFFFFF"/>
            <w:noWrap/>
            <w:vAlign w:val="center"/>
            <w:hideMark/>
          </w:tcPr>
          <w:p w14:paraId="436A781F" w14:textId="77777777" w:rsidR="00247CBF" w:rsidRPr="00092ED7" w:rsidRDefault="00247CBF" w:rsidP="00247CBF">
            <w:pPr>
              <w:spacing w:after="0"/>
              <w:jc w:val="left"/>
              <w:rPr>
                <w:sz w:val="16"/>
                <w:szCs w:val="20"/>
                <w:lang w:val="sr-Cyrl-CS"/>
              </w:rPr>
            </w:pPr>
            <w:r w:rsidRPr="00092ED7">
              <w:rPr>
                <w:sz w:val="16"/>
                <w:szCs w:val="20"/>
                <w:lang w:val="sr-Cyrl-CS"/>
              </w:rPr>
              <w:t>[2]   Примарни резултат се израчунава као (EDP.B9, ставка 8) плус (EDP D41 + FISIM приказан као међуфазна потрошња, ставка 9).</w:t>
            </w:r>
          </w:p>
        </w:tc>
        <w:tc>
          <w:tcPr>
            <w:tcW w:w="7536" w:type="dxa"/>
            <w:gridSpan w:val="13"/>
            <w:tcBorders>
              <w:top w:val="nil"/>
              <w:left w:val="nil"/>
              <w:bottom w:val="nil"/>
              <w:right w:val="nil"/>
            </w:tcBorders>
            <w:shd w:val="clear" w:color="000000" w:fill="FFFFFF"/>
            <w:noWrap/>
            <w:vAlign w:val="center"/>
            <w:hideMark/>
          </w:tcPr>
          <w:p w14:paraId="668F04AB"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625A0211" w14:textId="77777777" w:rsidTr="00247CBF">
        <w:trPr>
          <w:trHeight w:val="227"/>
        </w:trPr>
        <w:tc>
          <w:tcPr>
            <w:tcW w:w="6640" w:type="dxa"/>
            <w:gridSpan w:val="3"/>
            <w:tcBorders>
              <w:top w:val="nil"/>
              <w:left w:val="nil"/>
              <w:bottom w:val="nil"/>
              <w:right w:val="nil"/>
            </w:tcBorders>
            <w:shd w:val="clear" w:color="000000" w:fill="FFFFFF"/>
            <w:noWrap/>
            <w:vAlign w:val="center"/>
            <w:hideMark/>
          </w:tcPr>
          <w:p w14:paraId="46F8212F" w14:textId="77777777" w:rsidR="00247CBF" w:rsidRPr="00092ED7" w:rsidRDefault="00247CBF" w:rsidP="00247CBF">
            <w:pPr>
              <w:spacing w:after="0"/>
              <w:jc w:val="left"/>
              <w:rPr>
                <w:sz w:val="16"/>
                <w:szCs w:val="20"/>
                <w:lang w:val="sr-Cyrl-CS"/>
              </w:rPr>
            </w:pPr>
            <w:r w:rsidRPr="00092ED7">
              <w:rPr>
                <w:sz w:val="16"/>
                <w:szCs w:val="20"/>
                <w:lang w:val="sr-Cyrl-CS"/>
              </w:rPr>
              <w:t>[3]   Позитиван знак значи једнократне мере за смањење дефицита.</w:t>
            </w:r>
          </w:p>
        </w:tc>
        <w:tc>
          <w:tcPr>
            <w:tcW w:w="1177" w:type="dxa"/>
            <w:gridSpan w:val="2"/>
            <w:tcBorders>
              <w:top w:val="nil"/>
              <w:left w:val="nil"/>
              <w:bottom w:val="nil"/>
              <w:right w:val="nil"/>
            </w:tcBorders>
            <w:shd w:val="clear" w:color="000000" w:fill="FFFFFF"/>
            <w:noWrap/>
            <w:vAlign w:val="center"/>
            <w:hideMark/>
          </w:tcPr>
          <w:p w14:paraId="381DED3A"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6F22AC26"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20332518"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7" w:type="dxa"/>
            <w:gridSpan w:val="2"/>
            <w:tcBorders>
              <w:top w:val="nil"/>
              <w:left w:val="nil"/>
              <w:bottom w:val="nil"/>
              <w:right w:val="nil"/>
            </w:tcBorders>
            <w:shd w:val="clear" w:color="000000" w:fill="FFFFFF"/>
            <w:noWrap/>
            <w:vAlign w:val="center"/>
            <w:hideMark/>
          </w:tcPr>
          <w:p w14:paraId="6522C3C9"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01BDED76"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6E4B6982"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5E1B8F6C"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747A97FC" w14:textId="77777777" w:rsidTr="00247CBF">
        <w:trPr>
          <w:trHeight w:val="227"/>
        </w:trPr>
        <w:tc>
          <w:tcPr>
            <w:tcW w:w="6640" w:type="dxa"/>
            <w:gridSpan w:val="3"/>
            <w:tcBorders>
              <w:top w:val="nil"/>
              <w:left w:val="nil"/>
              <w:bottom w:val="nil"/>
              <w:right w:val="nil"/>
            </w:tcBorders>
            <w:shd w:val="clear" w:color="000000" w:fill="FFFFFF"/>
            <w:noWrap/>
            <w:vAlign w:val="center"/>
            <w:hideMark/>
          </w:tcPr>
          <w:p w14:paraId="320E2C3B" w14:textId="77777777" w:rsidR="00247CBF" w:rsidRPr="00092ED7" w:rsidRDefault="00247CBF" w:rsidP="00247CBF">
            <w:pPr>
              <w:spacing w:after="0"/>
              <w:jc w:val="left"/>
              <w:rPr>
                <w:sz w:val="16"/>
                <w:szCs w:val="20"/>
                <w:lang w:val="sr-Cyrl-CS"/>
              </w:rPr>
            </w:pPr>
            <w:r w:rsidRPr="00092ED7">
              <w:rPr>
                <w:sz w:val="16"/>
                <w:szCs w:val="20"/>
                <w:lang w:val="sr-Cyrl-CS"/>
              </w:rPr>
              <w:t>[4]   P.11+P.12+P.131+D.39+D.7+D.9 (осим D.91).</w:t>
            </w:r>
          </w:p>
        </w:tc>
        <w:tc>
          <w:tcPr>
            <w:tcW w:w="1177" w:type="dxa"/>
            <w:gridSpan w:val="2"/>
            <w:tcBorders>
              <w:top w:val="nil"/>
              <w:left w:val="nil"/>
              <w:bottom w:val="nil"/>
              <w:right w:val="nil"/>
            </w:tcBorders>
            <w:shd w:val="clear" w:color="000000" w:fill="FFFFFF"/>
            <w:noWrap/>
            <w:vAlign w:val="center"/>
            <w:hideMark/>
          </w:tcPr>
          <w:p w14:paraId="64C3960B"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3E601031"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065A0CBC"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7" w:type="dxa"/>
            <w:gridSpan w:val="2"/>
            <w:tcBorders>
              <w:top w:val="nil"/>
              <w:left w:val="nil"/>
              <w:bottom w:val="nil"/>
              <w:right w:val="nil"/>
            </w:tcBorders>
            <w:shd w:val="clear" w:color="000000" w:fill="FFFFFF"/>
            <w:noWrap/>
            <w:vAlign w:val="center"/>
            <w:hideMark/>
          </w:tcPr>
          <w:p w14:paraId="47A72F1C"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73C72274"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3981C1D0"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41F52433"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61C3E683" w14:textId="77777777" w:rsidTr="00247CBF">
        <w:trPr>
          <w:trHeight w:val="227"/>
        </w:trPr>
        <w:tc>
          <w:tcPr>
            <w:tcW w:w="7348" w:type="dxa"/>
            <w:gridSpan w:val="4"/>
            <w:tcBorders>
              <w:top w:val="nil"/>
              <w:left w:val="nil"/>
              <w:bottom w:val="nil"/>
              <w:right w:val="nil"/>
            </w:tcBorders>
            <w:shd w:val="clear" w:color="000000" w:fill="FFFFFF"/>
            <w:noWrap/>
            <w:vAlign w:val="center"/>
            <w:hideMark/>
          </w:tcPr>
          <w:p w14:paraId="1E258820" w14:textId="77777777" w:rsidR="00247CBF" w:rsidRPr="00092ED7" w:rsidRDefault="00247CBF" w:rsidP="00247CBF">
            <w:pPr>
              <w:spacing w:after="0"/>
              <w:jc w:val="left"/>
              <w:rPr>
                <w:sz w:val="16"/>
                <w:szCs w:val="20"/>
                <w:lang w:val="sr-Cyrl-CS"/>
              </w:rPr>
            </w:pPr>
            <w:r w:rsidRPr="00092ED7">
              <w:rPr>
                <w:sz w:val="16"/>
                <w:szCs w:val="20"/>
                <w:lang w:val="sr-Cyrl-CS"/>
              </w:rPr>
              <w:t>[5]   Укључујући оне које наплаћује ЕУ и укључујући корекцију за ненаплаћене порезе и доприносе за социјално осигурање (D995), где је то случај.</w:t>
            </w:r>
          </w:p>
        </w:tc>
        <w:tc>
          <w:tcPr>
            <w:tcW w:w="7536" w:type="dxa"/>
            <w:gridSpan w:val="13"/>
            <w:tcBorders>
              <w:top w:val="nil"/>
              <w:left w:val="nil"/>
              <w:bottom w:val="nil"/>
              <w:right w:val="nil"/>
            </w:tcBorders>
            <w:shd w:val="clear" w:color="000000" w:fill="FFFFFF"/>
            <w:noWrap/>
            <w:vAlign w:val="center"/>
            <w:hideMark/>
          </w:tcPr>
          <w:p w14:paraId="20E3E48E"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23A5C413" w14:textId="77777777" w:rsidTr="00247CBF">
        <w:trPr>
          <w:trHeight w:val="227"/>
        </w:trPr>
        <w:tc>
          <w:tcPr>
            <w:tcW w:w="6640" w:type="dxa"/>
            <w:gridSpan w:val="3"/>
            <w:tcBorders>
              <w:top w:val="nil"/>
              <w:left w:val="nil"/>
              <w:bottom w:val="nil"/>
              <w:right w:val="nil"/>
            </w:tcBorders>
            <w:shd w:val="clear" w:color="000000" w:fill="FFFFFF"/>
            <w:noWrap/>
            <w:vAlign w:val="center"/>
            <w:hideMark/>
          </w:tcPr>
          <w:p w14:paraId="336F2202" w14:textId="77777777" w:rsidR="00247CBF" w:rsidRPr="00092ED7" w:rsidRDefault="00247CBF" w:rsidP="00247CBF">
            <w:pPr>
              <w:spacing w:after="0"/>
              <w:jc w:val="left"/>
              <w:rPr>
                <w:sz w:val="16"/>
                <w:szCs w:val="20"/>
                <w:lang w:val="sr-Cyrl-CS"/>
              </w:rPr>
            </w:pPr>
            <w:r w:rsidRPr="00092ED7">
              <w:rPr>
                <w:sz w:val="16"/>
                <w:szCs w:val="20"/>
                <w:lang w:val="sr-Cyrl-CS"/>
              </w:rPr>
              <w:t>[6]  D.29+D4 (осим D.41)+ D.5+D.7+D.9+P.52+P.53+K.2+D.8</w:t>
            </w:r>
          </w:p>
        </w:tc>
        <w:tc>
          <w:tcPr>
            <w:tcW w:w="1177" w:type="dxa"/>
            <w:gridSpan w:val="2"/>
            <w:tcBorders>
              <w:top w:val="nil"/>
              <w:left w:val="nil"/>
              <w:bottom w:val="nil"/>
              <w:right w:val="nil"/>
            </w:tcBorders>
            <w:shd w:val="clear" w:color="000000" w:fill="FFFFFF"/>
            <w:noWrap/>
            <w:vAlign w:val="center"/>
            <w:hideMark/>
          </w:tcPr>
          <w:p w14:paraId="49786837"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2B42D661"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3E271D42"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7" w:type="dxa"/>
            <w:gridSpan w:val="2"/>
            <w:tcBorders>
              <w:top w:val="nil"/>
              <w:left w:val="nil"/>
              <w:bottom w:val="nil"/>
              <w:right w:val="nil"/>
            </w:tcBorders>
            <w:shd w:val="clear" w:color="000000" w:fill="FFFFFF"/>
            <w:noWrap/>
            <w:vAlign w:val="center"/>
            <w:hideMark/>
          </w:tcPr>
          <w:p w14:paraId="7D9A3488"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1FDE3128"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2A1086CD"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571033F3"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r>
    </w:tbl>
    <w:p w14:paraId="295FDBBB" w14:textId="77777777" w:rsidR="00247CBF" w:rsidRPr="00092ED7" w:rsidRDefault="00247CBF" w:rsidP="00247CBF">
      <w:pPr>
        <w:rPr>
          <w:lang w:val="sr-Cyrl-CS"/>
        </w:rPr>
      </w:pPr>
    </w:p>
    <w:p w14:paraId="5D7D4BB4" w14:textId="77777777" w:rsidR="00247CBF" w:rsidRPr="00092ED7" w:rsidRDefault="00247CBF" w:rsidP="00247CBF">
      <w:pPr>
        <w:spacing w:after="160" w:line="259" w:lineRule="auto"/>
        <w:rPr>
          <w:rFonts w:cs="Times New Roman"/>
          <w:lang w:val="sr-Cyrl-CS"/>
        </w:rPr>
      </w:pPr>
      <w:r w:rsidRPr="00092ED7">
        <w:rPr>
          <w:rFonts w:cs="Times New Roman"/>
          <w:lang w:val="sr-Cyrl-CS"/>
        </w:rPr>
        <w:br w:type="page"/>
      </w:r>
    </w:p>
    <w:tbl>
      <w:tblPr>
        <w:tblW w:w="5026" w:type="pct"/>
        <w:tblLayout w:type="fixed"/>
        <w:tblLook w:val="04A0" w:firstRow="1" w:lastRow="0" w:firstColumn="1" w:lastColumn="0" w:noHBand="0" w:noVBand="1"/>
      </w:tblPr>
      <w:tblGrid>
        <w:gridCol w:w="7786"/>
        <w:gridCol w:w="293"/>
        <w:gridCol w:w="984"/>
        <w:gridCol w:w="431"/>
        <w:gridCol w:w="518"/>
        <w:gridCol w:w="513"/>
        <w:gridCol w:w="636"/>
        <w:gridCol w:w="395"/>
        <w:gridCol w:w="753"/>
        <w:gridCol w:w="278"/>
        <w:gridCol w:w="1031"/>
        <w:gridCol w:w="987"/>
        <w:gridCol w:w="41"/>
      </w:tblGrid>
      <w:tr w:rsidR="00247CBF" w:rsidRPr="00092ED7" w14:paraId="0A02714D" w14:textId="77777777" w:rsidTr="00247CBF">
        <w:trPr>
          <w:gridAfter w:val="1"/>
          <w:wAfter w:w="14" w:type="pct"/>
          <w:trHeight w:val="227"/>
        </w:trPr>
        <w:tc>
          <w:tcPr>
            <w:tcW w:w="3094" w:type="pct"/>
            <w:gridSpan w:val="3"/>
            <w:tcBorders>
              <w:top w:val="nil"/>
              <w:left w:val="nil"/>
              <w:bottom w:val="nil"/>
              <w:right w:val="nil"/>
            </w:tcBorders>
            <w:shd w:val="clear" w:color="000000" w:fill="FFFFFF"/>
            <w:noWrap/>
            <w:vAlign w:val="center"/>
            <w:hideMark/>
          </w:tcPr>
          <w:p w14:paraId="2ACE3021" w14:textId="77777777" w:rsidR="00247CBF" w:rsidRPr="00092ED7" w:rsidRDefault="00247CBF" w:rsidP="00603975">
            <w:pPr>
              <w:spacing w:line="230" w:lineRule="auto"/>
              <w:rPr>
                <w:rFonts w:eastAsia="Times New Roman" w:cs="Times New Roman"/>
                <w:b/>
                <w:sz w:val="20"/>
                <w:szCs w:val="20"/>
                <w:lang w:val="sr-Cyrl-CS"/>
              </w:rPr>
            </w:pPr>
            <w:r w:rsidRPr="00092ED7">
              <w:rPr>
                <w:rFonts w:eastAsia="Times New Roman" w:cs="Times New Roman"/>
                <w:b/>
                <w:sz w:val="20"/>
                <w:szCs w:val="20"/>
                <w:lang w:val="sr-Cyrl-CS"/>
              </w:rPr>
              <w:t>Taбела 2b: Буџетски изгледи општег нивоа државе</w:t>
            </w:r>
          </w:p>
        </w:tc>
        <w:tc>
          <w:tcPr>
            <w:tcW w:w="324" w:type="pct"/>
            <w:gridSpan w:val="2"/>
            <w:tcBorders>
              <w:top w:val="nil"/>
              <w:left w:val="nil"/>
              <w:bottom w:val="nil"/>
              <w:right w:val="nil"/>
            </w:tcBorders>
            <w:shd w:val="clear" w:color="000000" w:fill="FFFFFF"/>
            <w:noWrap/>
            <w:vAlign w:val="center"/>
            <w:hideMark/>
          </w:tcPr>
          <w:p w14:paraId="43191F81" w14:textId="77777777" w:rsidR="00247CBF" w:rsidRPr="00092ED7" w:rsidRDefault="00247CBF" w:rsidP="00603975">
            <w:pPr>
              <w:spacing w:line="230" w:lineRule="auto"/>
              <w:rPr>
                <w:rFonts w:eastAsia="Times New Roman" w:cs="Times New Roman"/>
                <w:b/>
                <w:sz w:val="20"/>
                <w:szCs w:val="20"/>
                <w:lang w:val="sr-Cyrl-CS"/>
              </w:rPr>
            </w:pPr>
            <w:r w:rsidRPr="00092ED7">
              <w:rPr>
                <w:rFonts w:eastAsia="Times New Roman" w:cs="Times New Roman"/>
                <w:b/>
                <w:sz w:val="20"/>
                <w:szCs w:val="20"/>
                <w:lang w:val="sr-Cyrl-CS"/>
              </w:rPr>
              <w:t> </w:t>
            </w:r>
          </w:p>
        </w:tc>
        <w:tc>
          <w:tcPr>
            <w:tcW w:w="392" w:type="pct"/>
            <w:gridSpan w:val="2"/>
            <w:tcBorders>
              <w:top w:val="nil"/>
              <w:left w:val="nil"/>
              <w:bottom w:val="nil"/>
              <w:right w:val="nil"/>
            </w:tcBorders>
            <w:shd w:val="clear" w:color="000000" w:fill="FFFFFF"/>
            <w:noWrap/>
            <w:vAlign w:val="center"/>
            <w:hideMark/>
          </w:tcPr>
          <w:p w14:paraId="35DA7693" w14:textId="77777777" w:rsidR="00247CBF" w:rsidRPr="00092ED7" w:rsidRDefault="00247CBF" w:rsidP="00603975">
            <w:pPr>
              <w:spacing w:line="230" w:lineRule="auto"/>
              <w:rPr>
                <w:rFonts w:eastAsia="Times New Roman" w:cs="Times New Roman"/>
                <w:b/>
                <w:sz w:val="20"/>
                <w:szCs w:val="20"/>
                <w:lang w:val="sr-Cyrl-CS"/>
              </w:rPr>
            </w:pPr>
            <w:r w:rsidRPr="00092ED7">
              <w:rPr>
                <w:rFonts w:eastAsia="Times New Roman" w:cs="Times New Roman"/>
                <w:b/>
                <w:sz w:val="20"/>
                <w:szCs w:val="20"/>
                <w:lang w:val="sr-Cyrl-CS"/>
              </w:rPr>
              <w:t> </w:t>
            </w:r>
          </w:p>
        </w:tc>
        <w:tc>
          <w:tcPr>
            <w:tcW w:w="392" w:type="pct"/>
            <w:gridSpan w:val="2"/>
            <w:tcBorders>
              <w:top w:val="nil"/>
              <w:left w:val="nil"/>
              <w:bottom w:val="nil"/>
              <w:right w:val="nil"/>
            </w:tcBorders>
            <w:shd w:val="clear" w:color="000000" w:fill="FFFFFF"/>
            <w:noWrap/>
            <w:vAlign w:val="center"/>
            <w:hideMark/>
          </w:tcPr>
          <w:p w14:paraId="1903AFA9" w14:textId="77777777" w:rsidR="00247CBF" w:rsidRPr="00092ED7" w:rsidRDefault="00247CBF" w:rsidP="00603975">
            <w:pPr>
              <w:spacing w:line="230" w:lineRule="auto"/>
              <w:rPr>
                <w:rFonts w:eastAsia="Times New Roman" w:cs="Times New Roman"/>
                <w:b/>
                <w:sz w:val="20"/>
                <w:szCs w:val="20"/>
                <w:lang w:val="sr-Cyrl-CS"/>
              </w:rPr>
            </w:pPr>
            <w:r w:rsidRPr="00092ED7">
              <w:rPr>
                <w:rFonts w:eastAsia="Times New Roman" w:cs="Times New Roman"/>
                <w:b/>
                <w:sz w:val="20"/>
                <w:szCs w:val="20"/>
                <w:lang w:val="sr-Cyrl-CS"/>
              </w:rPr>
              <w:t> </w:t>
            </w:r>
          </w:p>
        </w:tc>
        <w:tc>
          <w:tcPr>
            <w:tcW w:w="784" w:type="pct"/>
            <w:gridSpan w:val="3"/>
            <w:tcBorders>
              <w:top w:val="nil"/>
              <w:left w:val="nil"/>
              <w:bottom w:val="nil"/>
              <w:right w:val="nil"/>
            </w:tcBorders>
            <w:shd w:val="clear" w:color="000000" w:fill="FFFFFF"/>
            <w:noWrap/>
            <w:vAlign w:val="center"/>
            <w:hideMark/>
          </w:tcPr>
          <w:p w14:paraId="3D769A18" w14:textId="77777777" w:rsidR="00247CBF" w:rsidRPr="00092ED7" w:rsidRDefault="00247CBF" w:rsidP="00603975">
            <w:pPr>
              <w:spacing w:line="230" w:lineRule="auto"/>
              <w:rPr>
                <w:rFonts w:eastAsia="Times New Roman" w:cs="Times New Roman"/>
                <w:b/>
                <w:sz w:val="20"/>
                <w:szCs w:val="20"/>
                <w:lang w:val="sr-Cyrl-CS"/>
              </w:rPr>
            </w:pPr>
            <w:r w:rsidRPr="00092ED7">
              <w:rPr>
                <w:rFonts w:eastAsia="Times New Roman" w:cs="Times New Roman"/>
                <w:b/>
                <w:sz w:val="20"/>
                <w:szCs w:val="20"/>
                <w:lang w:val="sr-Cyrl-CS"/>
              </w:rPr>
              <w:t xml:space="preserve">        </w:t>
            </w:r>
            <w:r w:rsidRPr="00092ED7">
              <w:rPr>
                <w:rFonts w:eastAsia="Times New Roman" w:cs="Times New Roman"/>
                <w:b/>
                <w:bCs/>
                <w:sz w:val="20"/>
                <w:szCs w:val="20"/>
                <w:lang w:val="sr-Cyrl-CS"/>
              </w:rPr>
              <w:t>Република Србија</w:t>
            </w:r>
          </w:p>
        </w:tc>
      </w:tr>
      <w:tr w:rsidR="00247CBF" w:rsidRPr="00092ED7" w14:paraId="5787B5CE" w14:textId="77777777" w:rsidTr="00247CBF">
        <w:trPr>
          <w:trHeight w:val="227"/>
        </w:trPr>
        <w:tc>
          <w:tcPr>
            <w:tcW w:w="2658" w:type="pct"/>
            <w:vMerge w:val="restart"/>
            <w:tcBorders>
              <w:top w:val="double" w:sz="6" w:space="0" w:color="auto"/>
              <w:left w:val="double" w:sz="6" w:space="0" w:color="auto"/>
              <w:bottom w:val="nil"/>
              <w:right w:val="nil"/>
            </w:tcBorders>
            <w:shd w:val="clear" w:color="000000" w:fill="FFFFFF"/>
            <w:vAlign w:val="center"/>
            <w:hideMark/>
          </w:tcPr>
          <w:p w14:paraId="1AC13DA3"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 </w:t>
            </w:r>
          </w:p>
        </w:tc>
        <w:tc>
          <w:tcPr>
            <w:tcW w:w="100" w:type="pct"/>
            <w:vMerge w:val="restart"/>
            <w:tcBorders>
              <w:top w:val="double" w:sz="6" w:space="0" w:color="auto"/>
              <w:left w:val="nil"/>
              <w:bottom w:val="single" w:sz="8" w:space="0" w:color="000000"/>
              <w:right w:val="single" w:sz="8" w:space="0" w:color="auto"/>
            </w:tcBorders>
            <w:shd w:val="clear" w:color="000000" w:fill="FFFFFF"/>
            <w:vAlign w:val="center"/>
            <w:hideMark/>
          </w:tcPr>
          <w:p w14:paraId="02666591"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2D532CDD"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ESA шифра</w:t>
            </w:r>
          </w:p>
        </w:tc>
        <w:tc>
          <w:tcPr>
            <w:tcW w:w="352" w:type="pct"/>
            <w:gridSpan w:val="2"/>
            <w:tcBorders>
              <w:top w:val="double" w:sz="6" w:space="0" w:color="auto"/>
              <w:left w:val="nil"/>
              <w:bottom w:val="nil"/>
              <w:right w:val="dotted" w:sz="4" w:space="0" w:color="auto"/>
            </w:tcBorders>
            <w:shd w:val="clear" w:color="000000" w:fill="FFFFFF"/>
            <w:vAlign w:val="center"/>
            <w:hideMark/>
          </w:tcPr>
          <w:p w14:paraId="6AECF52C"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352" w:type="pct"/>
            <w:gridSpan w:val="2"/>
            <w:tcBorders>
              <w:top w:val="double" w:sz="6" w:space="0" w:color="auto"/>
              <w:left w:val="nil"/>
              <w:bottom w:val="nil"/>
              <w:right w:val="dotted" w:sz="4" w:space="0" w:color="auto"/>
            </w:tcBorders>
            <w:shd w:val="clear" w:color="000000" w:fill="FFFFFF"/>
            <w:vAlign w:val="center"/>
            <w:hideMark/>
          </w:tcPr>
          <w:p w14:paraId="1F86967E"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352" w:type="pct"/>
            <w:gridSpan w:val="2"/>
            <w:tcBorders>
              <w:top w:val="double" w:sz="6" w:space="0" w:color="auto"/>
              <w:left w:val="nil"/>
              <w:bottom w:val="nil"/>
              <w:right w:val="dotted" w:sz="4" w:space="0" w:color="auto"/>
            </w:tcBorders>
            <w:shd w:val="clear" w:color="000000" w:fill="FFFFFF"/>
            <w:vAlign w:val="center"/>
            <w:hideMark/>
          </w:tcPr>
          <w:p w14:paraId="09481CD8"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352" w:type="pct"/>
            <w:tcBorders>
              <w:top w:val="double" w:sz="6" w:space="0" w:color="auto"/>
              <w:left w:val="nil"/>
              <w:bottom w:val="nil"/>
              <w:right w:val="dotted" w:sz="4" w:space="0" w:color="auto"/>
            </w:tcBorders>
            <w:shd w:val="clear" w:color="000000" w:fill="FFFFFF"/>
            <w:vAlign w:val="center"/>
            <w:hideMark/>
          </w:tcPr>
          <w:p w14:paraId="2E873F5F"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351" w:type="pct"/>
            <w:gridSpan w:val="2"/>
            <w:tcBorders>
              <w:top w:val="double" w:sz="6" w:space="0" w:color="auto"/>
              <w:left w:val="nil"/>
              <w:bottom w:val="nil"/>
              <w:right w:val="double" w:sz="6" w:space="0" w:color="auto"/>
            </w:tcBorders>
            <w:shd w:val="clear" w:color="000000" w:fill="FFFFFF"/>
            <w:vAlign w:val="center"/>
            <w:hideMark/>
          </w:tcPr>
          <w:p w14:paraId="1596DC22"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r>
      <w:tr w:rsidR="00247CBF" w:rsidRPr="00092ED7" w14:paraId="79DCA942" w14:textId="77777777" w:rsidTr="00247CBF">
        <w:trPr>
          <w:trHeight w:val="145"/>
        </w:trPr>
        <w:tc>
          <w:tcPr>
            <w:tcW w:w="2658" w:type="pct"/>
            <w:vMerge/>
            <w:tcBorders>
              <w:top w:val="double" w:sz="6" w:space="0" w:color="auto"/>
              <w:left w:val="double" w:sz="6" w:space="0" w:color="auto"/>
              <w:bottom w:val="nil"/>
              <w:right w:val="nil"/>
            </w:tcBorders>
            <w:vAlign w:val="center"/>
            <w:hideMark/>
          </w:tcPr>
          <w:p w14:paraId="0C56752F" w14:textId="77777777" w:rsidR="00247CBF" w:rsidRPr="00092ED7" w:rsidRDefault="00247CBF" w:rsidP="00247CBF">
            <w:pPr>
              <w:spacing w:after="0" w:line="230" w:lineRule="auto"/>
              <w:rPr>
                <w:rFonts w:eastAsia="Times New Roman" w:cs="Times New Roman"/>
                <w:sz w:val="20"/>
                <w:szCs w:val="20"/>
                <w:lang w:val="sr-Cyrl-CS"/>
              </w:rPr>
            </w:pPr>
          </w:p>
        </w:tc>
        <w:tc>
          <w:tcPr>
            <w:tcW w:w="100" w:type="pct"/>
            <w:vMerge/>
            <w:tcBorders>
              <w:top w:val="double" w:sz="6" w:space="0" w:color="auto"/>
              <w:left w:val="nil"/>
              <w:bottom w:val="single" w:sz="8" w:space="0" w:color="000000"/>
              <w:right w:val="single" w:sz="8" w:space="0" w:color="auto"/>
            </w:tcBorders>
            <w:vAlign w:val="center"/>
            <w:hideMark/>
          </w:tcPr>
          <w:p w14:paraId="6BDA3B47" w14:textId="77777777" w:rsidR="00247CBF" w:rsidRPr="00092ED7" w:rsidRDefault="00247CBF" w:rsidP="00247CBF">
            <w:pPr>
              <w:spacing w:after="0" w:line="230" w:lineRule="auto"/>
              <w:rPr>
                <w:rFonts w:eastAsia="Times New Roman" w:cs="Times New Roman"/>
                <w:sz w:val="20"/>
                <w:szCs w:val="20"/>
                <w:lang w:val="sr-Cyrl-CS"/>
              </w:rPr>
            </w:pPr>
          </w:p>
        </w:tc>
        <w:tc>
          <w:tcPr>
            <w:tcW w:w="483" w:type="pct"/>
            <w:gridSpan w:val="2"/>
            <w:vMerge/>
            <w:tcBorders>
              <w:top w:val="double" w:sz="6" w:space="0" w:color="auto"/>
              <w:left w:val="dotted" w:sz="4" w:space="0" w:color="auto"/>
              <w:bottom w:val="single" w:sz="8" w:space="0" w:color="000000"/>
              <w:right w:val="single" w:sz="8" w:space="0" w:color="auto"/>
            </w:tcBorders>
            <w:vAlign w:val="center"/>
            <w:hideMark/>
          </w:tcPr>
          <w:p w14:paraId="2E20FD44" w14:textId="77777777" w:rsidR="00247CBF" w:rsidRPr="00092ED7" w:rsidRDefault="00247CBF" w:rsidP="00247CBF">
            <w:pPr>
              <w:spacing w:after="0" w:line="230" w:lineRule="auto"/>
              <w:rPr>
                <w:rFonts w:eastAsia="Times New Roman" w:cs="Times New Roman"/>
                <w:sz w:val="20"/>
                <w:szCs w:val="20"/>
                <w:lang w:val="sr-Cyrl-CS"/>
              </w:rPr>
            </w:pPr>
          </w:p>
        </w:tc>
        <w:tc>
          <w:tcPr>
            <w:tcW w:w="352" w:type="pct"/>
            <w:gridSpan w:val="2"/>
            <w:tcBorders>
              <w:top w:val="nil"/>
              <w:left w:val="nil"/>
              <w:bottom w:val="dotted" w:sz="4" w:space="0" w:color="auto"/>
              <w:right w:val="dotted" w:sz="4" w:space="0" w:color="auto"/>
            </w:tcBorders>
            <w:shd w:val="clear" w:color="000000" w:fill="FFFFFF"/>
            <w:vAlign w:val="center"/>
            <w:hideMark/>
          </w:tcPr>
          <w:p w14:paraId="42A0F7E3"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452A5AB"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2022</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61AA61AB"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2023</w:t>
            </w:r>
          </w:p>
        </w:tc>
        <w:tc>
          <w:tcPr>
            <w:tcW w:w="352" w:type="pct"/>
            <w:tcBorders>
              <w:top w:val="nil"/>
              <w:left w:val="nil"/>
              <w:bottom w:val="dotted" w:sz="4" w:space="0" w:color="auto"/>
              <w:right w:val="dotted" w:sz="4" w:space="0" w:color="auto"/>
            </w:tcBorders>
            <w:shd w:val="clear" w:color="000000" w:fill="FFFFFF"/>
            <w:vAlign w:val="center"/>
            <w:hideMark/>
          </w:tcPr>
          <w:p w14:paraId="6071C113"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2024</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0708DB95"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2025</w:t>
            </w:r>
          </w:p>
        </w:tc>
      </w:tr>
      <w:tr w:rsidR="00247CBF" w:rsidRPr="00092ED7" w14:paraId="544A9A68" w14:textId="77777777" w:rsidTr="00247CBF">
        <w:trPr>
          <w:trHeight w:val="227"/>
        </w:trPr>
        <w:tc>
          <w:tcPr>
            <w:tcW w:w="2658" w:type="pct"/>
            <w:tcBorders>
              <w:top w:val="nil"/>
              <w:left w:val="double" w:sz="6" w:space="0" w:color="auto"/>
              <w:bottom w:val="single" w:sz="8" w:space="0" w:color="auto"/>
              <w:right w:val="nil"/>
            </w:tcBorders>
            <w:shd w:val="clear" w:color="000000" w:fill="FFFFFF"/>
            <w:vAlign w:val="center"/>
            <w:hideMark/>
          </w:tcPr>
          <w:p w14:paraId="215649C8"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 </w:t>
            </w:r>
          </w:p>
        </w:tc>
        <w:tc>
          <w:tcPr>
            <w:tcW w:w="100" w:type="pct"/>
            <w:vMerge/>
            <w:tcBorders>
              <w:top w:val="double" w:sz="6" w:space="0" w:color="auto"/>
              <w:left w:val="nil"/>
              <w:bottom w:val="single" w:sz="8" w:space="0" w:color="000000"/>
              <w:right w:val="single" w:sz="8" w:space="0" w:color="auto"/>
            </w:tcBorders>
            <w:vAlign w:val="center"/>
            <w:hideMark/>
          </w:tcPr>
          <w:p w14:paraId="06593A6D" w14:textId="77777777" w:rsidR="00247CBF" w:rsidRPr="00092ED7" w:rsidRDefault="00247CBF" w:rsidP="00247CBF">
            <w:pPr>
              <w:spacing w:after="0" w:line="230" w:lineRule="auto"/>
              <w:rPr>
                <w:rFonts w:eastAsia="Times New Roman" w:cs="Times New Roman"/>
                <w:sz w:val="20"/>
                <w:szCs w:val="20"/>
                <w:lang w:val="sr-Cyrl-CS"/>
              </w:rPr>
            </w:pPr>
          </w:p>
        </w:tc>
        <w:tc>
          <w:tcPr>
            <w:tcW w:w="483" w:type="pct"/>
            <w:gridSpan w:val="2"/>
            <w:vMerge/>
            <w:tcBorders>
              <w:top w:val="double" w:sz="6" w:space="0" w:color="auto"/>
              <w:left w:val="dotted" w:sz="4" w:space="0" w:color="auto"/>
              <w:bottom w:val="single" w:sz="8" w:space="0" w:color="000000"/>
              <w:right w:val="single" w:sz="8" w:space="0" w:color="auto"/>
            </w:tcBorders>
            <w:vAlign w:val="center"/>
            <w:hideMark/>
          </w:tcPr>
          <w:p w14:paraId="282326FD" w14:textId="77777777" w:rsidR="00247CBF" w:rsidRPr="00092ED7" w:rsidRDefault="00247CBF" w:rsidP="00247CBF">
            <w:pPr>
              <w:spacing w:after="0" w:line="230" w:lineRule="auto"/>
              <w:rPr>
                <w:rFonts w:eastAsia="Times New Roman" w:cs="Times New Roman"/>
                <w:sz w:val="20"/>
                <w:szCs w:val="20"/>
                <w:lang w:val="sr-Cyrl-CS"/>
              </w:rPr>
            </w:pPr>
          </w:p>
        </w:tc>
        <w:tc>
          <w:tcPr>
            <w:tcW w:w="1759" w:type="pct"/>
            <w:gridSpan w:val="9"/>
            <w:tcBorders>
              <w:top w:val="dotted" w:sz="4" w:space="0" w:color="auto"/>
              <w:left w:val="nil"/>
              <w:bottom w:val="single" w:sz="8" w:space="0" w:color="auto"/>
              <w:right w:val="double" w:sz="6" w:space="0" w:color="000000"/>
            </w:tcBorders>
            <w:shd w:val="clear" w:color="000000" w:fill="FFFFFF"/>
            <w:vAlign w:val="center"/>
            <w:hideMark/>
          </w:tcPr>
          <w:p w14:paraId="679B8502"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млрд РСД</w:t>
            </w:r>
          </w:p>
        </w:tc>
      </w:tr>
      <w:tr w:rsidR="00247CBF" w:rsidRPr="00092ED7" w14:paraId="56A7D1E1" w14:textId="77777777" w:rsidTr="00247CBF">
        <w:trPr>
          <w:trHeight w:val="227"/>
        </w:trPr>
        <w:tc>
          <w:tcPr>
            <w:tcW w:w="5000" w:type="pct"/>
            <w:gridSpan w:val="13"/>
            <w:tcBorders>
              <w:top w:val="single" w:sz="8" w:space="0" w:color="auto"/>
              <w:left w:val="double" w:sz="6" w:space="0" w:color="auto"/>
              <w:bottom w:val="single" w:sz="8" w:space="0" w:color="auto"/>
              <w:right w:val="double" w:sz="6" w:space="0" w:color="000000"/>
            </w:tcBorders>
            <w:shd w:val="clear" w:color="000000" w:fill="FFFFFF"/>
            <w:vAlign w:val="center"/>
            <w:hideMark/>
          </w:tcPr>
          <w:p w14:paraId="4D126B36" w14:textId="77777777" w:rsidR="00247CBF" w:rsidRPr="00092ED7" w:rsidRDefault="00247CBF" w:rsidP="00247CBF">
            <w:pPr>
              <w:spacing w:after="0" w:line="230" w:lineRule="auto"/>
              <w:jc w:val="center"/>
              <w:rPr>
                <w:rFonts w:eastAsia="Times New Roman" w:cs="Times New Roman"/>
                <w:b/>
                <w:bCs/>
                <w:sz w:val="20"/>
                <w:szCs w:val="20"/>
                <w:lang w:val="sr-Cyrl-CS"/>
              </w:rPr>
            </w:pPr>
            <w:r w:rsidRPr="00092ED7">
              <w:rPr>
                <w:rFonts w:eastAsia="Times New Roman" w:cs="Times New Roman"/>
                <w:b/>
                <w:bCs/>
                <w:sz w:val="20"/>
                <w:szCs w:val="20"/>
                <w:lang w:val="sr-Cyrl-CS"/>
              </w:rPr>
              <w:t>Нето позајмице (B9) по подсекторима</w:t>
            </w:r>
          </w:p>
        </w:tc>
      </w:tr>
      <w:tr w:rsidR="00247CBF" w:rsidRPr="00092ED7" w14:paraId="24EBC2D7"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7F2B87B7"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 Општи ниво државе</w:t>
            </w:r>
          </w:p>
        </w:tc>
        <w:tc>
          <w:tcPr>
            <w:tcW w:w="100" w:type="pct"/>
            <w:tcBorders>
              <w:top w:val="nil"/>
              <w:left w:val="nil"/>
              <w:bottom w:val="dotted" w:sz="4" w:space="0" w:color="auto"/>
              <w:right w:val="single" w:sz="8" w:space="0" w:color="auto"/>
            </w:tcBorders>
            <w:shd w:val="clear" w:color="000000" w:fill="FFFFFF"/>
            <w:vAlign w:val="center"/>
            <w:hideMark/>
          </w:tcPr>
          <w:p w14:paraId="440275A9"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2D68A9BD"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S13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3448D3B" w14:textId="77777777" w:rsidR="00247CBF" w:rsidRPr="00092ED7" w:rsidRDefault="00247CBF" w:rsidP="00247CBF">
            <w:pPr>
              <w:spacing w:after="0" w:line="230" w:lineRule="auto"/>
              <w:jc w:val="right"/>
              <w:rPr>
                <w:sz w:val="20"/>
                <w:lang w:val="sr-Cyrl-CS"/>
              </w:rPr>
            </w:pPr>
            <w:r w:rsidRPr="00092ED7">
              <w:rPr>
                <w:sz w:val="20"/>
                <w:lang w:val="sr-Cyrl-CS"/>
              </w:rPr>
              <w:t>-259,39</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7EAD48C" w14:textId="77777777" w:rsidR="00247CBF" w:rsidRPr="00092ED7" w:rsidRDefault="00247CBF" w:rsidP="00247CBF">
            <w:pPr>
              <w:spacing w:after="0" w:line="230" w:lineRule="auto"/>
              <w:jc w:val="right"/>
              <w:rPr>
                <w:sz w:val="20"/>
                <w:lang w:val="sr-Cyrl-CS"/>
              </w:rPr>
            </w:pPr>
            <w:r w:rsidRPr="00092ED7">
              <w:rPr>
                <w:sz w:val="20"/>
                <w:lang w:val="sr-Cyrl-CS"/>
              </w:rPr>
              <w:t>-271,53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6E8B69C" w14:textId="77777777" w:rsidR="00247CBF" w:rsidRPr="00092ED7" w:rsidRDefault="00247CBF" w:rsidP="00247CBF">
            <w:pPr>
              <w:spacing w:after="0" w:line="230" w:lineRule="auto"/>
              <w:jc w:val="right"/>
              <w:rPr>
                <w:sz w:val="20"/>
                <w:lang w:val="sr-Cyrl-CS"/>
              </w:rPr>
            </w:pPr>
            <w:r w:rsidRPr="00092ED7">
              <w:rPr>
                <w:sz w:val="20"/>
                <w:lang w:val="sr-Cyrl-CS"/>
              </w:rPr>
              <w:t>-263,99</w:t>
            </w:r>
          </w:p>
        </w:tc>
        <w:tc>
          <w:tcPr>
            <w:tcW w:w="352" w:type="pct"/>
            <w:tcBorders>
              <w:top w:val="nil"/>
              <w:left w:val="nil"/>
              <w:bottom w:val="dotted" w:sz="4" w:space="0" w:color="auto"/>
              <w:right w:val="dotted" w:sz="4" w:space="0" w:color="auto"/>
            </w:tcBorders>
            <w:shd w:val="clear" w:color="000000" w:fill="FFFFFF"/>
            <w:vAlign w:val="center"/>
            <w:hideMark/>
          </w:tcPr>
          <w:p w14:paraId="48B2378B" w14:textId="77777777" w:rsidR="00247CBF" w:rsidRPr="00092ED7" w:rsidRDefault="00247CBF" w:rsidP="00247CBF">
            <w:pPr>
              <w:spacing w:after="0" w:line="230" w:lineRule="auto"/>
              <w:jc w:val="right"/>
              <w:rPr>
                <w:sz w:val="20"/>
                <w:lang w:val="sr-Cyrl-CS"/>
              </w:rPr>
            </w:pPr>
            <w:r w:rsidRPr="00092ED7">
              <w:rPr>
                <w:sz w:val="20"/>
                <w:lang w:val="sr-Cyrl-CS"/>
              </w:rPr>
              <w:t>-189,33</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7809A429" w14:textId="77777777" w:rsidR="00247CBF" w:rsidRPr="00092ED7" w:rsidRDefault="00247CBF" w:rsidP="00247CBF">
            <w:pPr>
              <w:spacing w:after="0" w:line="230" w:lineRule="auto"/>
              <w:jc w:val="right"/>
              <w:rPr>
                <w:sz w:val="20"/>
                <w:lang w:val="sr-Cyrl-CS"/>
              </w:rPr>
            </w:pPr>
            <w:r w:rsidRPr="00092ED7">
              <w:rPr>
                <w:sz w:val="20"/>
                <w:lang w:val="sr-Cyrl-CS"/>
              </w:rPr>
              <w:t>-129,12</w:t>
            </w:r>
          </w:p>
        </w:tc>
      </w:tr>
      <w:tr w:rsidR="00247CBF" w:rsidRPr="00092ED7" w14:paraId="19528C65"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039E7505"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2. Централни ниво државе</w:t>
            </w:r>
          </w:p>
        </w:tc>
        <w:tc>
          <w:tcPr>
            <w:tcW w:w="100" w:type="pct"/>
            <w:tcBorders>
              <w:top w:val="nil"/>
              <w:left w:val="nil"/>
              <w:bottom w:val="dotted" w:sz="4" w:space="0" w:color="auto"/>
              <w:right w:val="single" w:sz="8" w:space="0" w:color="auto"/>
            </w:tcBorders>
            <w:shd w:val="clear" w:color="000000" w:fill="FFFFFF"/>
            <w:vAlign w:val="center"/>
            <w:hideMark/>
          </w:tcPr>
          <w:p w14:paraId="70FBFC2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0E05855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S1311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4D9295C" w14:textId="77777777" w:rsidR="00247CBF" w:rsidRPr="00092ED7" w:rsidRDefault="00247CBF" w:rsidP="00247CBF">
            <w:pPr>
              <w:spacing w:after="0" w:line="230" w:lineRule="auto"/>
              <w:jc w:val="right"/>
              <w:rPr>
                <w:sz w:val="20"/>
                <w:lang w:val="sr-Cyrl-CS"/>
              </w:rPr>
            </w:pPr>
            <w:r w:rsidRPr="00092ED7">
              <w:rPr>
                <w:sz w:val="20"/>
                <w:lang w:val="sr-Cyrl-CS"/>
              </w:rPr>
              <w:t>-285,21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A145E3B" w14:textId="77777777" w:rsidR="00247CBF" w:rsidRPr="00092ED7" w:rsidRDefault="00247CBF" w:rsidP="00247CBF">
            <w:pPr>
              <w:spacing w:after="0" w:line="230" w:lineRule="auto"/>
              <w:jc w:val="right"/>
              <w:rPr>
                <w:sz w:val="20"/>
                <w:lang w:val="sr-Cyrl-CS"/>
              </w:rPr>
            </w:pPr>
            <w:r w:rsidRPr="00092ED7">
              <w:rPr>
                <w:sz w:val="20"/>
                <w:lang w:val="sr-Cyrl-CS"/>
              </w:rPr>
              <w:t>-279,10</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A6FAC91" w14:textId="77777777" w:rsidR="00247CBF" w:rsidRPr="00092ED7" w:rsidRDefault="00247CBF" w:rsidP="00247CBF">
            <w:pPr>
              <w:spacing w:after="0" w:line="230" w:lineRule="auto"/>
              <w:jc w:val="right"/>
              <w:rPr>
                <w:sz w:val="20"/>
                <w:lang w:val="sr-Cyrl-CS"/>
              </w:rPr>
            </w:pPr>
            <w:r w:rsidRPr="00092ED7">
              <w:rPr>
                <w:sz w:val="20"/>
                <w:lang w:val="sr-Cyrl-CS"/>
              </w:rPr>
              <w:t>-264,02</w:t>
            </w:r>
          </w:p>
        </w:tc>
        <w:tc>
          <w:tcPr>
            <w:tcW w:w="352" w:type="pct"/>
            <w:tcBorders>
              <w:top w:val="nil"/>
              <w:left w:val="nil"/>
              <w:bottom w:val="dotted" w:sz="4" w:space="0" w:color="auto"/>
              <w:right w:val="dotted" w:sz="4" w:space="0" w:color="auto"/>
            </w:tcBorders>
            <w:shd w:val="clear" w:color="000000" w:fill="FFFFFF"/>
            <w:vAlign w:val="center"/>
            <w:hideMark/>
          </w:tcPr>
          <w:p w14:paraId="493BF3D1" w14:textId="77777777" w:rsidR="00247CBF" w:rsidRPr="00092ED7" w:rsidRDefault="00247CBF" w:rsidP="00247CBF">
            <w:pPr>
              <w:spacing w:after="0" w:line="230" w:lineRule="auto"/>
              <w:jc w:val="right"/>
              <w:rPr>
                <w:sz w:val="20"/>
                <w:lang w:val="sr-Cyrl-CS"/>
              </w:rPr>
            </w:pPr>
            <w:r w:rsidRPr="00092ED7">
              <w:rPr>
                <w:sz w:val="20"/>
                <w:lang w:val="sr-Cyrl-CS"/>
              </w:rPr>
              <w:t>-189,30</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1C057B29" w14:textId="77777777" w:rsidR="00247CBF" w:rsidRPr="00092ED7" w:rsidRDefault="00247CBF" w:rsidP="00247CBF">
            <w:pPr>
              <w:spacing w:after="0" w:line="230" w:lineRule="auto"/>
              <w:jc w:val="right"/>
              <w:rPr>
                <w:sz w:val="20"/>
                <w:lang w:val="sr-Cyrl-CS"/>
              </w:rPr>
            </w:pPr>
            <w:r w:rsidRPr="00092ED7">
              <w:rPr>
                <w:sz w:val="20"/>
                <w:lang w:val="sr-Cyrl-CS"/>
              </w:rPr>
              <w:t>-129,12</w:t>
            </w:r>
          </w:p>
        </w:tc>
      </w:tr>
      <w:tr w:rsidR="00247CBF" w:rsidRPr="00092ED7" w14:paraId="6DA939DC"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0EE0B086"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3. Ниво власти федералних јединица </w:t>
            </w:r>
          </w:p>
        </w:tc>
        <w:tc>
          <w:tcPr>
            <w:tcW w:w="100" w:type="pct"/>
            <w:tcBorders>
              <w:top w:val="nil"/>
              <w:left w:val="nil"/>
              <w:bottom w:val="dotted" w:sz="4" w:space="0" w:color="auto"/>
              <w:right w:val="single" w:sz="8" w:space="0" w:color="auto"/>
            </w:tcBorders>
            <w:shd w:val="clear" w:color="000000" w:fill="FFFFFF"/>
            <w:vAlign w:val="center"/>
            <w:hideMark/>
          </w:tcPr>
          <w:p w14:paraId="5CE0B023"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32D2160B"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S1312</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40A469FB" w14:textId="77777777" w:rsidR="00247CBF" w:rsidRPr="00092ED7" w:rsidRDefault="00247CBF" w:rsidP="00247CBF">
            <w:pPr>
              <w:spacing w:after="0" w:line="230" w:lineRule="auto"/>
              <w:jc w:val="right"/>
              <w:rPr>
                <w:sz w:val="20"/>
                <w:lang w:val="sr-Cyrl-CS"/>
              </w:rPr>
            </w:pPr>
            <w:r w:rsidRPr="00092ED7">
              <w:rPr>
                <w:sz w:val="20"/>
                <w:lang w:val="sr-Cyrl-CS"/>
              </w:rPr>
              <w:t>:</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E828EAF" w14:textId="77777777" w:rsidR="00247CBF" w:rsidRPr="00092ED7" w:rsidRDefault="00247CBF" w:rsidP="00247CBF">
            <w:pPr>
              <w:spacing w:after="0" w:line="230" w:lineRule="auto"/>
              <w:jc w:val="right"/>
              <w:rPr>
                <w:sz w:val="20"/>
                <w:lang w:val="sr-Cyrl-CS"/>
              </w:rPr>
            </w:pPr>
            <w:r w:rsidRPr="00092ED7">
              <w:rPr>
                <w:sz w:val="20"/>
                <w:lang w:val="sr-Cyrl-CS"/>
              </w:rPr>
              <w:t>:</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1A8BADE" w14:textId="77777777" w:rsidR="00247CBF" w:rsidRPr="00092ED7" w:rsidRDefault="00247CBF" w:rsidP="00247CBF">
            <w:pPr>
              <w:spacing w:after="0" w:line="230" w:lineRule="auto"/>
              <w:jc w:val="right"/>
              <w:rPr>
                <w:sz w:val="20"/>
                <w:lang w:val="sr-Cyrl-CS"/>
              </w:rPr>
            </w:pPr>
            <w:r w:rsidRPr="00092ED7">
              <w:rPr>
                <w:sz w:val="20"/>
                <w:lang w:val="sr-Cyrl-CS"/>
              </w:rPr>
              <w:t>:</w:t>
            </w:r>
          </w:p>
        </w:tc>
        <w:tc>
          <w:tcPr>
            <w:tcW w:w="352" w:type="pct"/>
            <w:tcBorders>
              <w:top w:val="nil"/>
              <w:left w:val="nil"/>
              <w:bottom w:val="dotted" w:sz="4" w:space="0" w:color="auto"/>
              <w:right w:val="dotted" w:sz="4" w:space="0" w:color="auto"/>
            </w:tcBorders>
            <w:shd w:val="clear" w:color="000000" w:fill="FFFFFF"/>
            <w:vAlign w:val="center"/>
            <w:hideMark/>
          </w:tcPr>
          <w:p w14:paraId="7115DB0B" w14:textId="77777777" w:rsidR="00247CBF" w:rsidRPr="00092ED7" w:rsidRDefault="00247CBF" w:rsidP="00247CBF">
            <w:pPr>
              <w:spacing w:after="0" w:line="230" w:lineRule="auto"/>
              <w:jc w:val="right"/>
              <w:rPr>
                <w:sz w:val="20"/>
                <w:lang w:val="sr-Cyrl-CS"/>
              </w:rPr>
            </w:pPr>
            <w:r w:rsidRPr="00092ED7">
              <w:rPr>
                <w:sz w:val="20"/>
                <w:lang w:val="sr-Cyrl-CS"/>
              </w:rPr>
              <w:t>:</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6E8133B3" w14:textId="77777777" w:rsidR="00247CBF" w:rsidRPr="00092ED7" w:rsidRDefault="00247CBF" w:rsidP="00247CBF">
            <w:pPr>
              <w:spacing w:after="0" w:line="230" w:lineRule="auto"/>
              <w:jc w:val="right"/>
              <w:rPr>
                <w:sz w:val="20"/>
                <w:lang w:val="sr-Cyrl-CS"/>
              </w:rPr>
            </w:pPr>
            <w:r w:rsidRPr="00092ED7">
              <w:rPr>
                <w:sz w:val="20"/>
                <w:lang w:val="sr-Cyrl-CS"/>
              </w:rPr>
              <w:t>:</w:t>
            </w:r>
          </w:p>
        </w:tc>
      </w:tr>
      <w:tr w:rsidR="00247CBF" w:rsidRPr="00092ED7" w14:paraId="45F83A97"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101D930D"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4. Локална самоуправа</w:t>
            </w:r>
          </w:p>
        </w:tc>
        <w:tc>
          <w:tcPr>
            <w:tcW w:w="100" w:type="pct"/>
            <w:tcBorders>
              <w:top w:val="nil"/>
              <w:left w:val="nil"/>
              <w:bottom w:val="dotted" w:sz="4" w:space="0" w:color="auto"/>
              <w:right w:val="single" w:sz="8" w:space="0" w:color="auto"/>
            </w:tcBorders>
            <w:shd w:val="clear" w:color="000000" w:fill="FFFFFF"/>
            <w:vAlign w:val="center"/>
            <w:hideMark/>
          </w:tcPr>
          <w:p w14:paraId="599F2360"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491D08EB"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S1313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9EC008D" w14:textId="77777777" w:rsidR="00247CBF" w:rsidRPr="00092ED7" w:rsidRDefault="00247CBF" w:rsidP="00247CBF">
            <w:pPr>
              <w:spacing w:after="0" w:line="230" w:lineRule="auto"/>
              <w:jc w:val="right"/>
              <w:rPr>
                <w:sz w:val="20"/>
                <w:lang w:val="sr-Cyrl-CS"/>
              </w:rPr>
            </w:pPr>
            <w:r w:rsidRPr="00092ED7">
              <w:rPr>
                <w:sz w:val="20"/>
                <w:lang w:val="sr-Cyrl-CS"/>
              </w:rPr>
              <w:t>22,46</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6DDE119D" w14:textId="77777777" w:rsidR="00247CBF" w:rsidRPr="00092ED7" w:rsidRDefault="00247CBF" w:rsidP="00247CBF">
            <w:pPr>
              <w:spacing w:after="0" w:line="230" w:lineRule="auto"/>
              <w:jc w:val="right"/>
              <w:rPr>
                <w:sz w:val="20"/>
                <w:lang w:val="sr-Cyrl-CS"/>
              </w:rPr>
            </w:pPr>
            <w:r w:rsidRPr="00092ED7">
              <w:rPr>
                <w:sz w:val="20"/>
                <w:lang w:val="sr-Cyrl-CS"/>
              </w:rPr>
              <w:t>7,60</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B569F8E" w14:textId="77777777" w:rsidR="00247CBF" w:rsidRPr="00092ED7" w:rsidRDefault="00247CBF" w:rsidP="00247CBF">
            <w:pPr>
              <w:spacing w:after="0" w:line="230" w:lineRule="auto"/>
              <w:jc w:val="right"/>
              <w:rPr>
                <w:sz w:val="20"/>
                <w:lang w:val="sr-Cyrl-CS"/>
              </w:rPr>
            </w:pPr>
            <w:r w:rsidRPr="00092ED7">
              <w:rPr>
                <w:sz w:val="20"/>
                <w:lang w:val="sr-Cyrl-CS"/>
              </w:rPr>
              <w:t>0,00</w:t>
            </w:r>
          </w:p>
        </w:tc>
        <w:tc>
          <w:tcPr>
            <w:tcW w:w="352" w:type="pct"/>
            <w:tcBorders>
              <w:top w:val="nil"/>
              <w:left w:val="nil"/>
              <w:bottom w:val="dotted" w:sz="4" w:space="0" w:color="auto"/>
              <w:right w:val="dotted" w:sz="4" w:space="0" w:color="auto"/>
            </w:tcBorders>
            <w:shd w:val="clear" w:color="000000" w:fill="FFFFFF"/>
            <w:vAlign w:val="center"/>
            <w:hideMark/>
          </w:tcPr>
          <w:p w14:paraId="4533FD9A" w14:textId="77777777" w:rsidR="00247CBF" w:rsidRPr="00092ED7" w:rsidRDefault="00247CBF" w:rsidP="00247CBF">
            <w:pPr>
              <w:spacing w:after="0" w:line="230" w:lineRule="auto"/>
              <w:jc w:val="right"/>
              <w:rPr>
                <w:sz w:val="20"/>
                <w:lang w:val="sr-Cyrl-CS"/>
              </w:rPr>
            </w:pPr>
            <w:r w:rsidRPr="00092ED7">
              <w:rPr>
                <w:sz w:val="20"/>
                <w:lang w:val="sr-Cyrl-CS"/>
              </w:rPr>
              <w:t>0,00</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7694CFE3" w14:textId="77777777" w:rsidR="00247CBF" w:rsidRPr="00092ED7" w:rsidRDefault="00247CBF" w:rsidP="00247CBF">
            <w:pPr>
              <w:spacing w:after="0" w:line="230" w:lineRule="auto"/>
              <w:jc w:val="right"/>
              <w:rPr>
                <w:sz w:val="20"/>
                <w:lang w:val="sr-Cyrl-CS"/>
              </w:rPr>
            </w:pPr>
            <w:r w:rsidRPr="00092ED7">
              <w:rPr>
                <w:sz w:val="20"/>
                <w:lang w:val="sr-Cyrl-CS"/>
              </w:rPr>
              <w:t>0,00</w:t>
            </w:r>
          </w:p>
        </w:tc>
      </w:tr>
      <w:tr w:rsidR="00247CBF" w:rsidRPr="00092ED7" w14:paraId="1B7A4D84" w14:textId="77777777" w:rsidTr="00247CBF">
        <w:trPr>
          <w:trHeight w:val="227"/>
        </w:trPr>
        <w:tc>
          <w:tcPr>
            <w:tcW w:w="2658" w:type="pct"/>
            <w:tcBorders>
              <w:top w:val="nil"/>
              <w:left w:val="double" w:sz="6" w:space="0" w:color="auto"/>
              <w:bottom w:val="single" w:sz="8" w:space="0" w:color="auto"/>
              <w:right w:val="nil"/>
            </w:tcBorders>
            <w:shd w:val="clear" w:color="000000" w:fill="FFFFFF"/>
            <w:vAlign w:val="center"/>
            <w:hideMark/>
          </w:tcPr>
          <w:p w14:paraId="5EEC87E6"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5. Фондови социјалног осигурања</w:t>
            </w:r>
          </w:p>
        </w:tc>
        <w:tc>
          <w:tcPr>
            <w:tcW w:w="100" w:type="pct"/>
            <w:tcBorders>
              <w:top w:val="nil"/>
              <w:left w:val="nil"/>
              <w:bottom w:val="single" w:sz="8" w:space="0" w:color="auto"/>
              <w:right w:val="single" w:sz="8" w:space="0" w:color="auto"/>
            </w:tcBorders>
            <w:shd w:val="clear" w:color="000000" w:fill="FFFFFF"/>
            <w:vAlign w:val="center"/>
            <w:hideMark/>
          </w:tcPr>
          <w:p w14:paraId="3326629D"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single" w:sz="8" w:space="0" w:color="auto"/>
              <w:right w:val="single" w:sz="8" w:space="0" w:color="auto"/>
            </w:tcBorders>
            <w:shd w:val="clear" w:color="000000" w:fill="FFFFFF"/>
            <w:vAlign w:val="center"/>
            <w:hideMark/>
          </w:tcPr>
          <w:p w14:paraId="62A1F5A1"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S1314</w:t>
            </w:r>
          </w:p>
        </w:tc>
        <w:tc>
          <w:tcPr>
            <w:tcW w:w="352" w:type="pct"/>
            <w:gridSpan w:val="2"/>
            <w:tcBorders>
              <w:top w:val="nil"/>
              <w:left w:val="nil"/>
              <w:bottom w:val="single" w:sz="8" w:space="0" w:color="auto"/>
              <w:right w:val="dotted" w:sz="4" w:space="0" w:color="auto"/>
            </w:tcBorders>
            <w:shd w:val="clear" w:color="000000" w:fill="FFFFFF"/>
            <w:vAlign w:val="center"/>
            <w:hideMark/>
          </w:tcPr>
          <w:p w14:paraId="7A58FE19" w14:textId="77777777" w:rsidR="00247CBF" w:rsidRPr="00092ED7" w:rsidRDefault="00247CBF" w:rsidP="00247CBF">
            <w:pPr>
              <w:spacing w:after="0" w:line="230" w:lineRule="auto"/>
              <w:jc w:val="right"/>
              <w:rPr>
                <w:sz w:val="20"/>
                <w:lang w:val="sr-Cyrl-CS"/>
              </w:rPr>
            </w:pPr>
            <w:r w:rsidRPr="00092ED7">
              <w:rPr>
                <w:sz w:val="20"/>
                <w:lang w:val="sr-Cyrl-CS"/>
              </w:rPr>
              <w:t>3,36</w:t>
            </w:r>
          </w:p>
        </w:tc>
        <w:tc>
          <w:tcPr>
            <w:tcW w:w="352" w:type="pct"/>
            <w:gridSpan w:val="2"/>
            <w:tcBorders>
              <w:top w:val="nil"/>
              <w:left w:val="nil"/>
              <w:bottom w:val="single" w:sz="8" w:space="0" w:color="auto"/>
              <w:right w:val="dotted" w:sz="4" w:space="0" w:color="auto"/>
            </w:tcBorders>
            <w:shd w:val="clear" w:color="000000" w:fill="FFFFFF"/>
            <w:vAlign w:val="center"/>
            <w:hideMark/>
          </w:tcPr>
          <w:p w14:paraId="4318F267" w14:textId="77777777" w:rsidR="00247CBF" w:rsidRPr="00092ED7" w:rsidRDefault="00247CBF" w:rsidP="00247CBF">
            <w:pPr>
              <w:spacing w:after="0" w:line="230" w:lineRule="auto"/>
              <w:jc w:val="right"/>
              <w:rPr>
                <w:sz w:val="20"/>
                <w:lang w:val="sr-Cyrl-CS"/>
              </w:rPr>
            </w:pPr>
            <w:r w:rsidRPr="00092ED7">
              <w:rPr>
                <w:sz w:val="20"/>
                <w:lang w:val="sr-Cyrl-CS"/>
              </w:rPr>
              <w:t>0,00</w:t>
            </w:r>
          </w:p>
        </w:tc>
        <w:tc>
          <w:tcPr>
            <w:tcW w:w="352" w:type="pct"/>
            <w:gridSpan w:val="2"/>
            <w:tcBorders>
              <w:top w:val="nil"/>
              <w:left w:val="nil"/>
              <w:bottom w:val="single" w:sz="8" w:space="0" w:color="auto"/>
              <w:right w:val="dotted" w:sz="4" w:space="0" w:color="auto"/>
            </w:tcBorders>
            <w:shd w:val="clear" w:color="000000" w:fill="FFFFFF"/>
            <w:vAlign w:val="center"/>
            <w:hideMark/>
          </w:tcPr>
          <w:p w14:paraId="2F1833DC" w14:textId="77777777" w:rsidR="00247CBF" w:rsidRPr="00092ED7" w:rsidRDefault="00247CBF" w:rsidP="00247CBF">
            <w:pPr>
              <w:spacing w:after="0" w:line="230" w:lineRule="auto"/>
              <w:jc w:val="right"/>
              <w:rPr>
                <w:sz w:val="20"/>
                <w:lang w:val="sr-Cyrl-CS"/>
              </w:rPr>
            </w:pPr>
            <w:r w:rsidRPr="00092ED7">
              <w:rPr>
                <w:sz w:val="20"/>
                <w:lang w:val="sr-Cyrl-CS"/>
              </w:rPr>
              <w:t>0,00</w:t>
            </w:r>
          </w:p>
        </w:tc>
        <w:tc>
          <w:tcPr>
            <w:tcW w:w="352" w:type="pct"/>
            <w:tcBorders>
              <w:top w:val="nil"/>
              <w:left w:val="nil"/>
              <w:bottom w:val="single" w:sz="8" w:space="0" w:color="auto"/>
              <w:right w:val="dotted" w:sz="4" w:space="0" w:color="auto"/>
            </w:tcBorders>
            <w:shd w:val="clear" w:color="000000" w:fill="FFFFFF"/>
            <w:vAlign w:val="center"/>
            <w:hideMark/>
          </w:tcPr>
          <w:p w14:paraId="4E8A3B9D" w14:textId="77777777" w:rsidR="00247CBF" w:rsidRPr="00092ED7" w:rsidRDefault="00247CBF" w:rsidP="00247CBF">
            <w:pPr>
              <w:spacing w:after="0" w:line="230" w:lineRule="auto"/>
              <w:jc w:val="right"/>
              <w:rPr>
                <w:sz w:val="20"/>
                <w:lang w:val="sr-Cyrl-CS"/>
              </w:rPr>
            </w:pPr>
            <w:r w:rsidRPr="00092ED7">
              <w:rPr>
                <w:sz w:val="20"/>
                <w:lang w:val="sr-Cyrl-CS"/>
              </w:rPr>
              <w:t>0,00</w:t>
            </w:r>
          </w:p>
        </w:tc>
        <w:tc>
          <w:tcPr>
            <w:tcW w:w="351" w:type="pct"/>
            <w:gridSpan w:val="2"/>
            <w:tcBorders>
              <w:top w:val="nil"/>
              <w:left w:val="nil"/>
              <w:bottom w:val="single" w:sz="8" w:space="0" w:color="auto"/>
              <w:right w:val="double" w:sz="6" w:space="0" w:color="auto"/>
            </w:tcBorders>
            <w:shd w:val="clear" w:color="000000" w:fill="FFFFFF"/>
            <w:vAlign w:val="center"/>
            <w:hideMark/>
          </w:tcPr>
          <w:p w14:paraId="281DD4D2" w14:textId="77777777" w:rsidR="00247CBF" w:rsidRPr="00092ED7" w:rsidRDefault="00247CBF" w:rsidP="00247CBF">
            <w:pPr>
              <w:spacing w:after="0" w:line="230" w:lineRule="auto"/>
              <w:jc w:val="right"/>
              <w:rPr>
                <w:sz w:val="20"/>
                <w:lang w:val="sr-Cyrl-CS"/>
              </w:rPr>
            </w:pPr>
            <w:r w:rsidRPr="00092ED7">
              <w:rPr>
                <w:sz w:val="20"/>
                <w:lang w:val="sr-Cyrl-CS"/>
              </w:rPr>
              <w:t>0,00</w:t>
            </w:r>
          </w:p>
        </w:tc>
      </w:tr>
      <w:tr w:rsidR="00247CBF" w:rsidRPr="00092ED7" w14:paraId="1875F85C" w14:textId="77777777" w:rsidTr="00247CBF">
        <w:trPr>
          <w:trHeight w:val="227"/>
        </w:trPr>
        <w:tc>
          <w:tcPr>
            <w:tcW w:w="5000" w:type="pct"/>
            <w:gridSpan w:val="13"/>
            <w:tcBorders>
              <w:top w:val="single" w:sz="8" w:space="0" w:color="auto"/>
              <w:left w:val="double" w:sz="6" w:space="0" w:color="auto"/>
              <w:bottom w:val="single" w:sz="8" w:space="0" w:color="auto"/>
              <w:right w:val="double" w:sz="6" w:space="0" w:color="000000"/>
            </w:tcBorders>
            <w:shd w:val="clear" w:color="000000" w:fill="FFFFFF"/>
            <w:vAlign w:val="center"/>
            <w:hideMark/>
          </w:tcPr>
          <w:p w14:paraId="3DFC7088" w14:textId="77777777" w:rsidR="00247CBF" w:rsidRPr="00092ED7" w:rsidRDefault="00247CBF" w:rsidP="00247CBF">
            <w:pPr>
              <w:spacing w:after="0" w:line="230" w:lineRule="auto"/>
              <w:jc w:val="center"/>
              <w:rPr>
                <w:rFonts w:eastAsia="Times New Roman" w:cs="Times New Roman"/>
                <w:b/>
                <w:bCs/>
                <w:sz w:val="20"/>
                <w:szCs w:val="20"/>
                <w:lang w:val="sr-Cyrl-CS"/>
              </w:rPr>
            </w:pPr>
            <w:r w:rsidRPr="00092ED7">
              <w:rPr>
                <w:rFonts w:eastAsia="Times New Roman" w:cs="Times New Roman"/>
                <w:b/>
                <w:bCs/>
                <w:sz w:val="20"/>
                <w:szCs w:val="20"/>
                <w:lang w:val="sr-Cyrl-CS"/>
              </w:rPr>
              <w:t>Општи ниво државе (S13)</w:t>
            </w:r>
          </w:p>
        </w:tc>
      </w:tr>
      <w:tr w:rsidR="00247CBF" w:rsidRPr="00092ED7" w14:paraId="42557B5F"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00C5AAEE"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6. Укупни приходи</w:t>
            </w:r>
          </w:p>
        </w:tc>
        <w:tc>
          <w:tcPr>
            <w:tcW w:w="100" w:type="pct"/>
            <w:tcBorders>
              <w:top w:val="nil"/>
              <w:left w:val="nil"/>
              <w:bottom w:val="dotted" w:sz="4" w:space="0" w:color="auto"/>
              <w:right w:val="single" w:sz="8" w:space="0" w:color="auto"/>
            </w:tcBorders>
            <w:shd w:val="clear" w:color="000000" w:fill="FFFFFF"/>
            <w:vAlign w:val="center"/>
            <w:hideMark/>
          </w:tcPr>
          <w:p w14:paraId="3A3B2735"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0A5BDF52"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TR</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192FB2C" w14:textId="77777777" w:rsidR="00247CBF" w:rsidRPr="00092ED7" w:rsidRDefault="00247CBF" w:rsidP="00247CBF">
            <w:pPr>
              <w:spacing w:after="0" w:line="230" w:lineRule="auto"/>
              <w:jc w:val="right"/>
              <w:rPr>
                <w:sz w:val="20"/>
                <w:lang w:val="sr-Cyrl-CS"/>
              </w:rPr>
            </w:pPr>
            <w:r w:rsidRPr="00092ED7">
              <w:rPr>
                <w:sz w:val="20"/>
                <w:lang w:val="sr-Cyrl-CS"/>
              </w:rPr>
              <w:t>2.711,93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EBA8B2A" w14:textId="77777777" w:rsidR="00247CBF" w:rsidRPr="00092ED7" w:rsidRDefault="00247CBF" w:rsidP="00247CBF">
            <w:pPr>
              <w:spacing w:after="0" w:line="230" w:lineRule="auto"/>
              <w:jc w:val="right"/>
              <w:rPr>
                <w:sz w:val="20"/>
                <w:lang w:val="sr-Cyrl-CS"/>
              </w:rPr>
            </w:pPr>
            <w:r w:rsidRPr="00092ED7">
              <w:rPr>
                <w:sz w:val="20"/>
                <w:lang w:val="sr-Cyrl-CS"/>
              </w:rPr>
              <w:t>3.045,81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579D5B3" w14:textId="77777777" w:rsidR="00247CBF" w:rsidRPr="00092ED7" w:rsidRDefault="00247CBF" w:rsidP="00247CBF">
            <w:pPr>
              <w:spacing w:after="0" w:line="230" w:lineRule="auto"/>
              <w:jc w:val="right"/>
              <w:rPr>
                <w:sz w:val="20"/>
                <w:lang w:val="sr-Cyrl-CS"/>
              </w:rPr>
            </w:pPr>
            <w:r w:rsidRPr="00092ED7">
              <w:rPr>
                <w:sz w:val="20"/>
                <w:lang w:val="sr-Cyrl-CS"/>
              </w:rPr>
              <w:t>3.283,49</w:t>
            </w:r>
          </w:p>
        </w:tc>
        <w:tc>
          <w:tcPr>
            <w:tcW w:w="352" w:type="pct"/>
            <w:tcBorders>
              <w:top w:val="nil"/>
              <w:left w:val="nil"/>
              <w:bottom w:val="dotted" w:sz="4" w:space="0" w:color="auto"/>
              <w:right w:val="dotted" w:sz="4" w:space="0" w:color="auto"/>
            </w:tcBorders>
            <w:shd w:val="clear" w:color="000000" w:fill="FFFFFF"/>
            <w:vAlign w:val="center"/>
            <w:hideMark/>
          </w:tcPr>
          <w:p w14:paraId="3E081AC1" w14:textId="77777777" w:rsidR="00247CBF" w:rsidRPr="00092ED7" w:rsidRDefault="00247CBF" w:rsidP="00247CBF">
            <w:pPr>
              <w:spacing w:after="0" w:line="230" w:lineRule="auto"/>
              <w:jc w:val="right"/>
              <w:rPr>
                <w:sz w:val="20"/>
                <w:lang w:val="sr-Cyrl-CS"/>
              </w:rPr>
            </w:pPr>
            <w:r w:rsidRPr="00092ED7">
              <w:rPr>
                <w:sz w:val="20"/>
                <w:lang w:val="sr-Cyrl-CS"/>
              </w:rPr>
              <w:t>3.543,80</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57F73913" w14:textId="77777777" w:rsidR="00247CBF" w:rsidRPr="00092ED7" w:rsidRDefault="00247CBF" w:rsidP="00247CBF">
            <w:pPr>
              <w:spacing w:after="0" w:line="230" w:lineRule="auto"/>
              <w:jc w:val="right"/>
              <w:rPr>
                <w:sz w:val="20"/>
                <w:lang w:val="sr-Cyrl-CS"/>
              </w:rPr>
            </w:pPr>
            <w:r w:rsidRPr="00092ED7">
              <w:rPr>
                <w:sz w:val="20"/>
                <w:lang w:val="sr-Cyrl-CS"/>
              </w:rPr>
              <w:t>3.772,66</w:t>
            </w:r>
          </w:p>
        </w:tc>
      </w:tr>
      <w:tr w:rsidR="00247CBF" w:rsidRPr="00092ED7" w14:paraId="1CD496D2"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646AD3CF"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7. Укупни расходи[1]</w:t>
            </w:r>
          </w:p>
        </w:tc>
        <w:tc>
          <w:tcPr>
            <w:tcW w:w="100" w:type="pct"/>
            <w:tcBorders>
              <w:top w:val="nil"/>
              <w:left w:val="nil"/>
              <w:bottom w:val="dotted" w:sz="4" w:space="0" w:color="auto"/>
              <w:right w:val="single" w:sz="8" w:space="0" w:color="auto"/>
            </w:tcBorders>
            <w:shd w:val="clear" w:color="000000" w:fill="FFFFFF"/>
            <w:vAlign w:val="center"/>
            <w:hideMark/>
          </w:tcPr>
          <w:p w14:paraId="714CA66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2498C770"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TE</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427DDA5" w14:textId="77777777" w:rsidR="00247CBF" w:rsidRPr="00092ED7" w:rsidRDefault="00247CBF" w:rsidP="00247CBF">
            <w:pPr>
              <w:spacing w:after="0" w:line="230" w:lineRule="auto"/>
              <w:jc w:val="right"/>
              <w:rPr>
                <w:sz w:val="20"/>
                <w:lang w:val="sr-Cyrl-CS"/>
              </w:rPr>
            </w:pPr>
            <w:r w:rsidRPr="00092ED7">
              <w:rPr>
                <w:sz w:val="20"/>
                <w:lang w:val="sr-Cyrl-CS"/>
              </w:rPr>
              <w:t>2.971,32</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86EC121" w14:textId="77777777" w:rsidR="00247CBF" w:rsidRPr="00092ED7" w:rsidRDefault="00247CBF" w:rsidP="00247CBF">
            <w:pPr>
              <w:spacing w:after="0" w:line="230" w:lineRule="auto"/>
              <w:jc w:val="right"/>
              <w:rPr>
                <w:sz w:val="20"/>
                <w:lang w:val="sr-Cyrl-CS"/>
              </w:rPr>
            </w:pPr>
            <w:r w:rsidRPr="00092ED7">
              <w:rPr>
                <w:sz w:val="20"/>
                <w:lang w:val="sr-Cyrl-CS"/>
              </w:rPr>
              <w:t>3.317,34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BF4060D" w14:textId="77777777" w:rsidR="00247CBF" w:rsidRPr="00092ED7" w:rsidRDefault="00247CBF" w:rsidP="00247CBF">
            <w:pPr>
              <w:spacing w:after="0" w:line="230" w:lineRule="auto"/>
              <w:jc w:val="right"/>
              <w:rPr>
                <w:sz w:val="20"/>
                <w:lang w:val="sr-Cyrl-CS"/>
              </w:rPr>
            </w:pPr>
            <w:r w:rsidRPr="00092ED7">
              <w:rPr>
                <w:sz w:val="20"/>
                <w:lang w:val="sr-Cyrl-CS"/>
              </w:rPr>
              <w:t>3.547,48</w:t>
            </w:r>
          </w:p>
        </w:tc>
        <w:tc>
          <w:tcPr>
            <w:tcW w:w="352" w:type="pct"/>
            <w:tcBorders>
              <w:top w:val="nil"/>
              <w:left w:val="nil"/>
              <w:bottom w:val="dotted" w:sz="4" w:space="0" w:color="auto"/>
              <w:right w:val="dotted" w:sz="4" w:space="0" w:color="auto"/>
            </w:tcBorders>
            <w:shd w:val="clear" w:color="000000" w:fill="FFFFFF"/>
            <w:vAlign w:val="center"/>
            <w:hideMark/>
          </w:tcPr>
          <w:p w14:paraId="4B98EC40" w14:textId="77777777" w:rsidR="00247CBF" w:rsidRPr="00092ED7" w:rsidRDefault="00247CBF" w:rsidP="00247CBF">
            <w:pPr>
              <w:spacing w:after="0" w:line="230" w:lineRule="auto"/>
              <w:jc w:val="right"/>
              <w:rPr>
                <w:sz w:val="20"/>
                <w:lang w:val="sr-Cyrl-CS"/>
              </w:rPr>
            </w:pPr>
            <w:r w:rsidRPr="00092ED7">
              <w:rPr>
                <w:sz w:val="20"/>
                <w:lang w:val="sr-Cyrl-CS"/>
              </w:rPr>
              <w:t>3.733,14</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44AC30B0" w14:textId="77777777" w:rsidR="00247CBF" w:rsidRPr="00092ED7" w:rsidRDefault="00247CBF" w:rsidP="00247CBF">
            <w:pPr>
              <w:spacing w:after="0" w:line="230" w:lineRule="auto"/>
              <w:jc w:val="right"/>
              <w:rPr>
                <w:sz w:val="20"/>
                <w:lang w:val="sr-Cyrl-CS"/>
              </w:rPr>
            </w:pPr>
            <w:r w:rsidRPr="00092ED7">
              <w:rPr>
                <w:sz w:val="20"/>
                <w:lang w:val="sr-Cyrl-CS"/>
              </w:rPr>
              <w:t>3.901,79</w:t>
            </w:r>
          </w:p>
        </w:tc>
      </w:tr>
      <w:tr w:rsidR="00247CBF" w:rsidRPr="00092ED7" w14:paraId="09A39ED9"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22AAC9B0"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8. Нето узете/дате позајмице</w:t>
            </w:r>
          </w:p>
        </w:tc>
        <w:tc>
          <w:tcPr>
            <w:tcW w:w="100" w:type="pct"/>
            <w:tcBorders>
              <w:top w:val="nil"/>
              <w:left w:val="nil"/>
              <w:bottom w:val="dotted" w:sz="4" w:space="0" w:color="auto"/>
              <w:right w:val="single" w:sz="8" w:space="0" w:color="auto"/>
            </w:tcBorders>
            <w:shd w:val="clear" w:color="000000" w:fill="FFFFFF"/>
            <w:vAlign w:val="center"/>
            <w:hideMark/>
          </w:tcPr>
          <w:p w14:paraId="0D081EC9"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0B91C131"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EDP.B9</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1AD22CE" w14:textId="77777777" w:rsidR="00247CBF" w:rsidRPr="00092ED7" w:rsidRDefault="00247CBF" w:rsidP="00247CBF">
            <w:pPr>
              <w:spacing w:after="0" w:line="230" w:lineRule="auto"/>
              <w:jc w:val="right"/>
              <w:rPr>
                <w:sz w:val="20"/>
                <w:lang w:val="sr-Cyrl-CS"/>
              </w:rPr>
            </w:pPr>
            <w:r w:rsidRPr="00092ED7">
              <w:rPr>
                <w:sz w:val="20"/>
                <w:lang w:val="sr-Cyrl-CS"/>
              </w:rPr>
              <w:t>-259,39</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A1D26E9" w14:textId="77777777" w:rsidR="00247CBF" w:rsidRPr="00092ED7" w:rsidRDefault="00247CBF" w:rsidP="00247CBF">
            <w:pPr>
              <w:spacing w:after="0" w:line="230" w:lineRule="auto"/>
              <w:jc w:val="right"/>
              <w:rPr>
                <w:sz w:val="20"/>
                <w:lang w:val="sr-Cyrl-CS"/>
              </w:rPr>
            </w:pPr>
            <w:r w:rsidRPr="00092ED7">
              <w:rPr>
                <w:sz w:val="20"/>
                <w:lang w:val="sr-Cyrl-CS"/>
              </w:rPr>
              <w:t>-271,53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6B6A65AD" w14:textId="77777777" w:rsidR="00247CBF" w:rsidRPr="00092ED7" w:rsidRDefault="00247CBF" w:rsidP="00247CBF">
            <w:pPr>
              <w:spacing w:after="0" w:line="230" w:lineRule="auto"/>
              <w:jc w:val="right"/>
              <w:rPr>
                <w:sz w:val="20"/>
                <w:lang w:val="sr-Cyrl-CS"/>
              </w:rPr>
            </w:pPr>
            <w:r w:rsidRPr="00092ED7">
              <w:rPr>
                <w:sz w:val="20"/>
                <w:lang w:val="sr-Cyrl-CS"/>
              </w:rPr>
              <w:t>-263,99</w:t>
            </w:r>
          </w:p>
        </w:tc>
        <w:tc>
          <w:tcPr>
            <w:tcW w:w="352" w:type="pct"/>
            <w:tcBorders>
              <w:top w:val="nil"/>
              <w:left w:val="nil"/>
              <w:bottom w:val="dotted" w:sz="4" w:space="0" w:color="auto"/>
              <w:right w:val="dotted" w:sz="4" w:space="0" w:color="auto"/>
            </w:tcBorders>
            <w:shd w:val="clear" w:color="000000" w:fill="FFFFFF"/>
            <w:vAlign w:val="center"/>
            <w:hideMark/>
          </w:tcPr>
          <w:p w14:paraId="6BCB7E0E" w14:textId="77777777" w:rsidR="00247CBF" w:rsidRPr="00092ED7" w:rsidRDefault="00247CBF" w:rsidP="00247CBF">
            <w:pPr>
              <w:spacing w:after="0" w:line="230" w:lineRule="auto"/>
              <w:jc w:val="right"/>
              <w:rPr>
                <w:sz w:val="20"/>
                <w:lang w:val="sr-Cyrl-CS"/>
              </w:rPr>
            </w:pPr>
            <w:r w:rsidRPr="00092ED7">
              <w:rPr>
                <w:sz w:val="20"/>
                <w:lang w:val="sr-Cyrl-CS"/>
              </w:rPr>
              <w:t>-189,33</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78AFC19D" w14:textId="77777777" w:rsidR="00247CBF" w:rsidRPr="00092ED7" w:rsidRDefault="00247CBF" w:rsidP="00247CBF">
            <w:pPr>
              <w:spacing w:after="0" w:line="230" w:lineRule="auto"/>
              <w:jc w:val="right"/>
              <w:rPr>
                <w:sz w:val="20"/>
                <w:lang w:val="sr-Cyrl-CS"/>
              </w:rPr>
            </w:pPr>
            <w:r w:rsidRPr="00092ED7">
              <w:rPr>
                <w:sz w:val="20"/>
                <w:lang w:val="sr-Cyrl-CS"/>
              </w:rPr>
              <w:t>-129,12</w:t>
            </w:r>
          </w:p>
        </w:tc>
      </w:tr>
      <w:tr w:rsidR="00247CBF" w:rsidRPr="00092ED7" w14:paraId="28DA64F0"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65119337"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9. Расходи за камате</w:t>
            </w:r>
          </w:p>
        </w:tc>
        <w:tc>
          <w:tcPr>
            <w:tcW w:w="100" w:type="pct"/>
            <w:tcBorders>
              <w:top w:val="nil"/>
              <w:left w:val="nil"/>
              <w:bottom w:val="dotted" w:sz="4" w:space="0" w:color="auto"/>
              <w:right w:val="single" w:sz="8" w:space="0" w:color="auto"/>
            </w:tcBorders>
            <w:shd w:val="clear" w:color="000000" w:fill="FFFFFF"/>
            <w:vAlign w:val="center"/>
            <w:hideMark/>
          </w:tcPr>
          <w:p w14:paraId="6E49A182"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19C5F416"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EDP.D41 incl. FISIM</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A31AD35" w14:textId="77777777" w:rsidR="00247CBF" w:rsidRPr="00092ED7" w:rsidRDefault="00247CBF" w:rsidP="00247CBF">
            <w:pPr>
              <w:spacing w:after="0" w:line="230" w:lineRule="auto"/>
              <w:jc w:val="right"/>
              <w:rPr>
                <w:sz w:val="20"/>
                <w:lang w:val="sr-Cyrl-CS"/>
              </w:rPr>
            </w:pPr>
            <w:r w:rsidRPr="00092ED7">
              <w:rPr>
                <w:sz w:val="20"/>
                <w:lang w:val="sr-Cyrl-CS"/>
              </w:rPr>
              <w:t>108,75</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ECEB374" w14:textId="77777777" w:rsidR="00247CBF" w:rsidRPr="00092ED7" w:rsidRDefault="00247CBF" w:rsidP="00247CBF">
            <w:pPr>
              <w:spacing w:after="0" w:line="230" w:lineRule="auto"/>
              <w:jc w:val="right"/>
              <w:rPr>
                <w:sz w:val="20"/>
                <w:lang w:val="sr-Cyrl-CS"/>
              </w:rPr>
            </w:pPr>
            <w:r w:rsidRPr="00092ED7">
              <w:rPr>
                <w:sz w:val="20"/>
                <w:lang w:val="sr-Cyrl-CS"/>
              </w:rPr>
              <w:t>115,60</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AC743E2" w14:textId="77777777" w:rsidR="00247CBF" w:rsidRPr="00092ED7" w:rsidRDefault="00247CBF" w:rsidP="00247CBF">
            <w:pPr>
              <w:spacing w:after="0" w:line="230" w:lineRule="auto"/>
              <w:jc w:val="right"/>
              <w:rPr>
                <w:sz w:val="20"/>
                <w:lang w:val="sr-Cyrl-CS"/>
              </w:rPr>
            </w:pPr>
            <w:r w:rsidRPr="00092ED7">
              <w:rPr>
                <w:sz w:val="20"/>
                <w:lang w:val="sr-Cyrl-CS"/>
              </w:rPr>
              <w:t>145,90</w:t>
            </w:r>
          </w:p>
        </w:tc>
        <w:tc>
          <w:tcPr>
            <w:tcW w:w="352" w:type="pct"/>
            <w:tcBorders>
              <w:top w:val="nil"/>
              <w:left w:val="nil"/>
              <w:bottom w:val="dotted" w:sz="4" w:space="0" w:color="auto"/>
              <w:right w:val="dotted" w:sz="4" w:space="0" w:color="auto"/>
            </w:tcBorders>
            <w:shd w:val="clear" w:color="000000" w:fill="FFFFFF"/>
            <w:vAlign w:val="center"/>
            <w:hideMark/>
          </w:tcPr>
          <w:p w14:paraId="6983E74D" w14:textId="77777777" w:rsidR="00247CBF" w:rsidRPr="00092ED7" w:rsidRDefault="00247CBF" w:rsidP="00247CBF">
            <w:pPr>
              <w:spacing w:after="0" w:line="230" w:lineRule="auto"/>
              <w:jc w:val="right"/>
              <w:rPr>
                <w:sz w:val="20"/>
                <w:lang w:val="sr-Cyrl-CS"/>
              </w:rPr>
            </w:pPr>
            <w:r w:rsidRPr="00092ED7">
              <w:rPr>
                <w:sz w:val="20"/>
                <w:lang w:val="sr-Cyrl-CS"/>
              </w:rPr>
              <w:t>180,60</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044D69A4" w14:textId="77777777" w:rsidR="00247CBF" w:rsidRPr="00092ED7" w:rsidRDefault="00247CBF" w:rsidP="00247CBF">
            <w:pPr>
              <w:spacing w:after="0" w:line="230" w:lineRule="auto"/>
              <w:jc w:val="right"/>
              <w:rPr>
                <w:sz w:val="20"/>
                <w:lang w:val="sr-Cyrl-CS"/>
              </w:rPr>
            </w:pPr>
            <w:r w:rsidRPr="00092ED7">
              <w:rPr>
                <w:sz w:val="20"/>
                <w:lang w:val="sr-Cyrl-CS"/>
              </w:rPr>
              <w:t>183,30</w:t>
            </w:r>
          </w:p>
        </w:tc>
      </w:tr>
      <w:tr w:rsidR="00247CBF" w:rsidRPr="00092ED7" w14:paraId="4F768659"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5D5F130B"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10. Примарни резултат[2]</w:t>
            </w:r>
          </w:p>
        </w:tc>
        <w:tc>
          <w:tcPr>
            <w:tcW w:w="100" w:type="pct"/>
            <w:tcBorders>
              <w:top w:val="nil"/>
              <w:left w:val="nil"/>
              <w:bottom w:val="dotted" w:sz="4" w:space="0" w:color="auto"/>
              <w:right w:val="single" w:sz="8" w:space="0" w:color="auto"/>
            </w:tcBorders>
            <w:shd w:val="clear" w:color="000000" w:fill="FFFFFF"/>
            <w:vAlign w:val="center"/>
            <w:hideMark/>
          </w:tcPr>
          <w:p w14:paraId="236A6E41"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4514849C"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F303C13" w14:textId="77777777" w:rsidR="00247CBF" w:rsidRPr="00092ED7" w:rsidRDefault="00247CBF" w:rsidP="00247CBF">
            <w:pPr>
              <w:spacing w:after="0" w:line="230" w:lineRule="auto"/>
              <w:jc w:val="right"/>
              <w:rPr>
                <w:sz w:val="20"/>
                <w:lang w:val="sr-Cyrl-CS"/>
              </w:rPr>
            </w:pPr>
            <w:r w:rsidRPr="00092ED7">
              <w:rPr>
                <w:sz w:val="20"/>
                <w:lang w:val="sr-Cyrl-CS"/>
              </w:rPr>
              <w:t>-150,64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87D71DB" w14:textId="77777777" w:rsidR="00247CBF" w:rsidRPr="00092ED7" w:rsidRDefault="00247CBF" w:rsidP="00247CBF">
            <w:pPr>
              <w:spacing w:after="0" w:line="230" w:lineRule="auto"/>
              <w:jc w:val="right"/>
              <w:rPr>
                <w:sz w:val="20"/>
                <w:lang w:val="sr-Cyrl-CS"/>
              </w:rPr>
            </w:pPr>
            <w:r w:rsidRPr="00092ED7">
              <w:rPr>
                <w:sz w:val="20"/>
                <w:lang w:val="sr-Cyrl-CS"/>
              </w:rPr>
              <w:t>-155,93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F85A6F1" w14:textId="77777777" w:rsidR="00247CBF" w:rsidRPr="00092ED7" w:rsidRDefault="00247CBF" w:rsidP="00247CBF">
            <w:pPr>
              <w:spacing w:after="0" w:line="230" w:lineRule="auto"/>
              <w:jc w:val="right"/>
              <w:rPr>
                <w:sz w:val="20"/>
                <w:lang w:val="sr-Cyrl-CS"/>
              </w:rPr>
            </w:pPr>
            <w:r w:rsidRPr="00092ED7">
              <w:rPr>
                <w:sz w:val="20"/>
                <w:lang w:val="sr-Cyrl-CS"/>
              </w:rPr>
              <w:t>-118,09</w:t>
            </w:r>
          </w:p>
        </w:tc>
        <w:tc>
          <w:tcPr>
            <w:tcW w:w="352" w:type="pct"/>
            <w:tcBorders>
              <w:top w:val="nil"/>
              <w:left w:val="nil"/>
              <w:bottom w:val="dotted" w:sz="4" w:space="0" w:color="auto"/>
              <w:right w:val="dotted" w:sz="4" w:space="0" w:color="auto"/>
            </w:tcBorders>
            <w:shd w:val="clear" w:color="000000" w:fill="FFFFFF"/>
            <w:vAlign w:val="center"/>
            <w:hideMark/>
          </w:tcPr>
          <w:p w14:paraId="056230DD" w14:textId="77777777" w:rsidR="00247CBF" w:rsidRPr="00092ED7" w:rsidRDefault="00247CBF" w:rsidP="00247CBF">
            <w:pPr>
              <w:spacing w:after="0" w:line="230" w:lineRule="auto"/>
              <w:jc w:val="right"/>
              <w:rPr>
                <w:sz w:val="20"/>
                <w:lang w:val="sr-Cyrl-CS"/>
              </w:rPr>
            </w:pPr>
            <w:r w:rsidRPr="00092ED7">
              <w:rPr>
                <w:sz w:val="20"/>
                <w:lang w:val="sr-Cyrl-CS"/>
              </w:rPr>
              <w:t>-8,73</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22F94270" w14:textId="77777777" w:rsidR="00247CBF" w:rsidRPr="00092ED7" w:rsidRDefault="00247CBF" w:rsidP="00247CBF">
            <w:pPr>
              <w:spacing w:after="0" w:line="230" w:lineRule="auto"/>
              <w:jc w:val="right"/>
              <w:rPr>
                <w:sz w:val="20"/>
                <w:lang w:val="sr-Cyrl-CS"/>
              </w:rPr>
            </w:pPr>
            <w:r w:rsidRPr="00092ED7">
              <w:rPr>
                <w:sz w:val="20"/>
                <w:lang w:val="sr-Cyrl-CS"/>
              </w:rPr>
              <w:t>54,18</w:t>
            </w:r>
          </w:p>
        </w:tc>
      </w:tr>
      <w:tr w:rsidR="00247CBF" w:rsidRPr="00092ED7" w14:paraId="0E27E7C4" w14:textId="77777777" w:rsidTr="00247CBF">
        <w:trPr>
          <w:trHeight w:val="227"/>
        </w:trPr>
        <w:tc>
          <w:tcPr>
            <w:tcW w:w="2658" w:type="pct"/>
            <w:tcBorders>
              <w:top w:val="nil"/>
              <w:left w:val="double" w:sz="6" w:space="0" w:color="auto"/>
              <w:bottom w:val="single" w:sz="8" w:space="0" w:color="auto"/>
              <w:right w:val="nil"/>
            </w:tcBorders>
            <w:shd w:val="clear" w:color="000000" w:fill="FFFFFF"/>
            <w:vAlign w:val="center"/>
            <w:hideMark/>
          </w:tcPr>
          <w:p w14:paraId="110CDF00"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11. Једнократне и друге привремене мере [3]</w:t>
            </w:r>
          </w:p>
        </w:tc>
        <w:tc>
          <w:tcPr>
            <w:tcW w:w="100" w:type="pct"/>
            <w:tcBorders>
              <w:top w:val="nil"/>
              <w:left w:val="nil"/>
              <w:bottom w:val="single" w:sz="8" w:space="0" w:color="auto"/>
              <w:right w:val="single" w:sz="8" w:space="0" w:color="auto"/>
            </w:tcBorders>
            <w:shd w:val="clear" w:color="000000" w:fill="FFFFFF"/>
            <w:vAlign w:val="center"/>
            <w:hideMark/>
          </w:tcPr>
          <w:p w14:paraId="35D3AE3C"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single" w:sz="8" w:space="0" w:color="auto"/>
              <w:right w:val="single" w:sz="8" w:space="0" w:color="auto"/>
            </w:tcBorders>
            <w:shd w:val="clear" w:color="000000" w:fill="FFFFFF"/>
            <w:vAlign w:val="center"/>
            <w:hideMark/>
          </w:tcPr>
          <w:p w14:paraId="14D00639"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352" w:type="pct"/>
            <w:gridSpan w:val="2"/>
            <w:tcBorders>
              <w:top w:val="nil"/>
              <w:left w:val="nil"/>
              <w:bottom w:val="single" w:sz="8" w:space="0" w:color="auto"/>
              <w:right w:val="dotted" w:sz="4" w:space="0" w:color="auto"/>
            </w:tcBorders>
            <w:shd w:val="clear" w:color="000000" w:fill="FFFFFF"/>
            <w:vAlign w:val="center"/>
            <w:hideMark/>
          </w:tcPr>
          <w:p w14:paraId="0B8B64B2" w14:textId="77777777" w:rsidR="00247CBF" w:rsidRPr="00092ED7" w:rsidRDefault="00247CBF" w:rsidP="00247CBF">
            <w:pPr>
              <w:spacing w:after="0" w:line="230" w:lineRule="auto"/>
              <w:jc w:val="right"/>
              <w:rPr>
                <w:rFonts w:eastAsia="Times New Roman" w:cs="Times New Roman"/>
                <w:sz w:val="20"/>
                <w:szCs w:val="20"/>
                <w:lang w:val="sr-Cyrl-CS"/>
              </w:rPr>
            </w:pPr>
            <w:r w:rsidRPr="00092ED7">
              <w:rPr>
                <w:rFonts w:cs="Times New Roman"/>
                <w:sz w:val="20"/>
                <w:szCs w:val="20"/>
                <w:lang w:val="sr-Cyrl-CS"/>
              </w:rPr>
              <w:t>:</w:t>
            </w:r>
          </w:p>
        </w:tc>
        <w:tc>
          <w:tcPr>
            <w:tcW w:w="352" w:type="pct"/>
            <w:gridSpan w:val="2"/>
            <w:tcBorders>
              <w:top w:val="nil"/>
              <w:left w:val="nil"/>
              <w:bottom w:val="single" w:sz="8" w:space="0" w:color="auto"/>
              <w:right w:val="dotted" w:sz="4" w:space="0" w:color="auto"/>
            </w:tcBorders>
            <w:shd w:val="clear" w:color="000000" w:fill="FFFFFF"/>
            <w:vAlign w:val="center"/>
            <w:hideMark/>
          </w:tcPr>
          <w:p w14:paraId="7DA2A5AD" w14:textId="77777777" w:rsidR="00247CBF" w:rsidRPr="00092ED7" w:rsidRDefault="00247CBF" w:rsidP="00247CBF">
            <w:pPr>
              <w:spacing w:after="0" w:line="230" w:lineRule="auto"/>
              <w:jc w:val="right"/>
              <w:rPr>
                <w:rFonts w:eastAsia="Times New Roman" w:cs="Times New Roman"/>
                <w:sz w:val="20"/>
                <w:szCs w:val="20"/>
                <w:lang w:val="sr-Cyrl-CS"/>
              </w:rPr>
            </w:pPr>
            <w:r w:rsidRPr="00092ED7">
              <w:rPr>
                <w:rFonts w:cs="Times New Roman"/>
                <w:sz w:val="20"/>
                <w:szCs w:val="20"/>
                <w:lang w:val="sr-Cyrl-CS"/>
              </w:rPr>
              <w:t>:</w:t>
            </w:r>
          </w:p>
        </w:tc>
        <w:tc>
          <w:tcPr>
            <w:tcW w:w="352" w:type="pct"/>
            <w:gridSpan w:val="2"/>
            <w:tcBorders>
              <w:top w:val="nil"/>
              <w:left w:val="nil"/>
              <w:bottom w:val="single" w:sz="8" w:space="0" w:color="auto"/>
              <w:right w:val="dotted" w:sz="4" w:space="0" w:color="auto"/>
            </w:tcBorders>
            <w:shd w:val="clear" w:color="000000" w:fill="FFFFFF"/>
            <w:vAlign w:val="center"/>
            <w:hideMark/>
          </w:tcPr>
          <w:p w14:paraId="63BAD3B5" w14:textId="77777777" w:rsidR="00247CBF" w:rsidRPr="00092ED7" w:rsidRDefault="00247CBF" w:rsidP="00247CBF">
            <w:pPr>
              <w:spacing w:after="0" w:line="230" w:lineRule="auto"/>
              <w:jc w:val="right"/>
              <w:rPr>
                <w:rFonts w:eastAsia="Times New Roman" w:cs="Times New Roman"/>
                <w:sz w:val="20"/>
                <w:szCs w:val="20"/>
                <w:lang w:val="sr-Cyrl-CS"/>
              </w:rPr>
            </w:pPr>
            <w:r w:rsidRPr="00092ED7">
              <w:rPr>
                <w:rFonts w:cs="Times New Roman"/>
                <w:sz w:val="20"/>
                <w:szCs w:val="20"/>
                <w:lang w:val="sr-Cyrl-CS"/>
              </w:rPr>
              <w:t>:</w:t>
            </w:r>
          </w:p>
        </w:tc>
        <w:tc>
          <w:tcPr>
            <w:tcW w:w="352" w:type="pct"/>
            <w:tcBorders>
              <w:top w:val="nil"/>
              <w:left w:val="nil"/>
              <w:bottom w:val="single" w:sz="8" w:space="0" w:color="auto"/>
              <w:right w:val="dotted" w:sz="4" w:space="0" w:color="auto"/>
            </w:tcBorders>
            <w:shd w:val="clear" w:color="000000" w:fill="FFFFFF"/>
            <w:vAlign w:val="center"/>
            <w:hideMark/>
          </w:tcPr>
          <w:p w14:paraId="1158BC52" w14:textId="77777777" w:rsidR="00247CBF" w:rsidRPr="00092ED7" w:rsidRDefault="00247CBF" w:rsidP="00247CBF">
            <w:pPr>
              <w:spacing w:after="0" w:line="230" w:lineRule="auto"/>
              <w:jc w:val="right"/>
              <w:rPr>
                <w:rFonts w:eastAsia="Times New Roman" w:cs="Times New Roman"/>
                <w:sz w:val="20"/>
                <w:szCs w:val="20"/>
                <w:lang w:val="sr-Cyrl-CS"/>
              </w:rPr>
            </w:pPr>
            <w:r w:rsidRPr="00092ED7">
              <w:rPr>
                <w:rFonts w:cs="Times New Roman"/>
                <w:sz w:val="20"/>
                <w:szCs w:val="20"/>
                <w:lang w:val="sr-Cyrl-CS"/>
              </w:rPr>
              <w:t>:</w:t>
            </w:r>
          </w:p>
        </w:tc>
        <w:tc>
          <w:tcPr>
            <w:tcW w:w="351" w:type="pct"/>
            <w:gridSpan w:val="2"/>
            <w:tcBorders>
              <w:top w:val="nil"/>
              <w:left w:val="nil"/>
              <w:bottom w:val="single" w:sz="8" w:space="0" w:color="auto"/>
              <w:right w:val="double" w:sz="6" w:space="0" w:color="auto"/>
            </w:tcBorders>
            <w:shd w:val="clear" w:color="000000" w:fill="FFFFFF"/>
            <w:vAlign w:val="center"/>
            <w:hideMark/>
          </w:tcPr>
          <w:p w14:paraId="143D490B" w14:textId="77777777" w:rsidR="00247CBF" w:rsidRPr="00092ED7" w:rsidRDefault="00247CBF" w:rsidP="00247CBF">
            <w:pPr>
              <w:spacing w:after="0" w:line="230" w:lineRule="auto"/>
              <w:jc w:val="right"/>
              <w:rPr>
                <w:rFonts w:eastAsia="Times New Roman" w:cs="Times New Roman"/>
                <w:sz w:val="20"/>
                <w:szCs w:val="20"/>
                <w:lang w:val="sr-Cyrl-CS"/>
              </w:rPr>
            </w:pPr>
            <w:r w:rsidRPr="00092ED7">
              <w:rPr>
                <w:rFonts w:cs="Times New Roman"/>
                <w:sz w:val="20"/>
                <w:szCs w:val="20"/>
                <w:lang w:val="sr-Cyrl-CS"/>
              </w:rPr>
              <w:t>:</w:t>
            </w:r>
          </w:p>
        </w:tc>
      </w:tr>
      <w:tr w:rsidR="00247CBF" w:rsidRPr="00092ED7" w14:paraId="25C3D952" w14:textId="77777777" w:rsidTr="00247CBF">
        <w:trPr>
          <w:trHeight w:val="227"/>
        </w:trPr>
        <w:tc>
          <w:tcPr>
            <w:tcW w:w="5000" w:type="pct"/>
            <w:gridSpan w:val="13"/>
            <w:tcBorders>
              <w:top w:val="single" w:sz="8" w:space="0" w:color="auto"/>
              <w:left w:val="double" w:sz="6" w:space="0" w:color="auto"/>
              <w:bottom w:val="single" w:sz="8" w:space="0" w:color="auto"/>
              <w:right w:val="double" w:sz="6" w:space="0" w:color="000000"/>
            </w:tcBorders>
            <w:shd w:val="clear" w:color="000000" w:fill="FFFFFF"/>
            <w:vAlign w:val="center"/>
            <w:hideMark/>
          </w:tcPr>
          <w:p w14:paraId="2BF30998" w14:textId="77777777" w:rsidR="00247CBF" w:rsidRPr="00092ED7" w:rsidRDefault="00247CBF" w:rsidP="00247CBF">
            <w:pPr>
              <w:spacing w:after="0" w:line="230" w:lineRule="auto"/>
              <w:jc w:val="center"/>
              <w:rPr>
                <w:rFonts w:eastAsia="Times New Roman" w:cs="Times New Roman"/>
                <w:b/>
                <w:bCs/>
                <w:sz w:val="20"/>
                <w:szCs w:val="20"/>
                <w:lang w:val="sr-Cyrl-CS"/>
              </w:rPr>
            </w:pPr>
            <w:r w:rsidRPr="00092ED7">
              <w:rPr>
                <w:rFonts w:eastAsia="Times New Roman" w:cs="Times New Roman"/>
                <w:b/>
                <w:bCs/>
                <w:sz w:val="20"/>
                <w:szCs w:val="20"/>
                <w:lang w:val="sr-Cyrl-CS"/>
              </w:rPr>
              <w:t>Компоненте прихода</w:t>
            </w:r>
          </w:p>
        </w:tc>
      </w:tr>
      <w:tr w:rsidR="00247CBF" w:rsidRPr="00092ED7" w14:paraId="644DC941"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6574F51B"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12. Укупни порези  (12 = 12a+12b+12c)</w:t>
            </w:r>
          </w:p>
        </w:tc>
        <w:tc>
          <w:tcPr>
            <w:tcW w:w="100" w:type="pct"/>
            <w:tcBorders>
              <w:top w:val="nil"/>
              <w:left w:val="nil"/>
              <w:bottom w:val="dotted" w:sz="4" w:space="0" w:color="auto"/>
              <w:right w:val="single" w:sz="8" w:space="0" w:color="auto"/>
            </w:tcBorders>
            <w:shd w:val="clear" w:color="000000" w:fill="FFFFFF"/>
            <w:vAlign w:val="center"/>
            <w:hideMark/>
          </w:tcPr>
          <w:p w14:paraId="52EBF03D"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406C2F6C"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1642538" w14:textId="77777777" w:rsidR="00247CBF" w:rsidRPr="00092ED7" w:rsidRDefault="00247CBF" w:rsidP="00247CBF">
            <w:pPr>
              <w:spacing w:after="0" w:line="230" w:lineRule="auto"/>
              <w:jc w:val="right"/>
              <w:rPr>
                <w:sz w:val="20"/>
                <w:lang w:val="sr-Cyrl-CS"/>
              </w:rPr>
            </w:pPr>
            <w:r w:rsidRPr="00092ED7">
              <w:rPr>
                <w:sz w:val="20"/>
                <w:lang w:val="sr-Cyrl-CS"/>
              </w:rPr>
              <w:t>1.558,17</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49F486CC" w14:textId="77777777" w:rsidR="00247CBF" w:rsidRPr="00092ED7" w:rsidRDefault="00247CBF" w:rsidP="00247CBF">
            <w:pPr>
              <w:spacing w:after="0" w:line="230" w:lineRule="auto"/>
              <w:jc w:val="right"/>
              <w:rPr>
                <w:sz w:val="20"/>
                <w:lang w:val="sr-Cyrl-CS"/>
              </w:rPr>
            </w:pPr>
            <w:r w:rsidRPr="00092ED7">
              <w:rPr>
                <w:sz w:val="20"/>
                <w:lang w:val="sr-Cyrl-CS"/>
              </w:rPr>
              <w:t>1.725,45</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44E41574" w14:textId="77777777" w:rsidR="00247CBF" w:rsidRPr="00092ED7" w:rsidRDefault="00247CBF" w:rsidP="00247CBF">
            <w:pPr>
              <w:spacing w:after="0" w:line="230" w:lineRule="auto"/>
              <w:jc w:val="right"/>
              <w:rPr>
                <w:sz w:val="20"/>
                <w:lang w:val="sr-Cyrl-CS"/>
              </w:rPr>
            </w:pPr>
            <w:r w:rsidRPr="00092ED7">
              <w:rPr>
                <w:sz w:val="20"/>
                <w:lang w:val="sr-Cyrl-CS"/>
              </w:rPr>
              <w:t>1.851,08</w:t>
            </w:r>
          </w:p>
        </w:tc>
        <w:tc>
          <w:tcPr>
            <w:tcW w:w="352" w:type="pct"/>
            <w:tcBorders>
              <w:top w:val="nil"/>
              <w:left w:val="nil"/>
              <w:bottom w:val="dotted" w:sz="4" w:space="0" w:color="auto"/>
              <w:right w:val="dotted" w:sz="4" w:space="0" w:color="auto"/>
            </w:tcBorders>
            <w:shd w:val="clear" w:color="000000" w:fill="FFFFFF"/>
            <w:vAlign w:val="center"/>
            <w:hideMark/>
          </w:tcPr>
          <w:p w14:paraId="7D17D8B5" w14:textId="77777777" w:rsidR="00247CBF" w:rsidRPr="00092ED7" w:rsidRDefault="00247CBF" w:rsidP="00247CBF">
            <w:pPr>
              <w:spacing w:after="0" w:line="230" w:lineRule="auto"/>
              <w:jc w:val="right"/>
              <w:rPr>
                <w:sz w:val="20"/>
                <w:lang w:val="sr-Cyrl-CS"/>
              </w:rPr>
            </w:pPr>
            <w:r w:rsidRPr="00092ED7">
              <w:rPr>
                <w:sz w:val="20"/>
                <w:lang w:val="sr-Cyrl-CS"/>
              </w:rPr>
              <w:t>2.017,14</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16E1823B" w14:textId="77777777" w:rsidR="00247CBF" w:rsidRPr="00092ED7" w:rsidRDefault="00247CBF" w:rsidP="00247CBF">
            <w:pPr>
              <w:spacing w:after="0" w:line="230" w:lineRule="auto"/>
              <w:jc w:val="right"/>
              <w:rPr>
                <w:sz w:val="20"/>
                <w:lang w:val="sr-Cyrl-CS"/>
              </w:rPr>
            </w:pPr>
            <w:r w:rsidRPr="00092ED7">
              <w:rPr>
                <w:sz w:val="20"/>
                <w:lang w:val="sr-Cyrl-CS"/>
              </w:rPr>
              <w:t>2.146,47</w:t>
            </w:r>
          </w:p>
        </w:tc>
      </w:tr>
      <w:tr w:rsidR="00247CBF" w:rsidRPr="00092ED7" w14:paraId="0B5DABD6"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172EA8D1"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12a. Порези на производњу и увоз</w:t>
            </w:r>
          </w:p>
        </w:tc>
        <w:tc>
          <w:tcPr>
            <w:tcW w:w="100" w:type="pct"/>
            <w:tcBorders>
              <w:top w:val="nil"/>
              <w:left w:val="nil"/>
              <w:bottom w:val="dotted" w:sz="4" w:space="0" w:color="auto"/>
              <w:right w:val="single" w:sz="8" w:space="0" w:color="auto"/>
            </w:tcBorders>
            <w:shd w:val="clear" w:color="000000" w:fill="FFFFFF"/>
            <w:vAlign w:val="center"/>
            <w:hideMark/>
          </w:tcPr>
          <w:p w14:paraId="740F2A79"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04DD47EA"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D2</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81C9B79" w14:textId="77777777" w:rsidR="00247CBF" w:rsidRPr="00092ED7" w:rsidRDefault="00247CBF" w:rsidP="00247CBF">
            <w:pPr>
              <w:spacing w:after="0" w:line="230" w:lineRule="auto"/>
              <w:jc w:val="right"/>
              <w:rPr>
                <w:sz w:val="20"/>
                <w:lang w:val="sr-Cyrl-CS"/>
              </w:rPr>
            </w:pPr>
            <w:r w:rsidRPr="00092ED7">
              <w:rPr>
                <w:sz w:val="20"/>
                <w:lang w:val="sr-Cyrl-CS"/>
              </w:rPr>
              <w:t>1.091,97</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C854507" w14:textId="77777777" w:rsidR="00247CBF" w:rsidRPr="00092ED7" w:rsidRDefault="00247CBF" w:rsidP="00247CBF">
            <w:pPr>
              <w:spacing w:after="0" w:line="230" w:lineRule="auto"/>
              <w:jc w:val="right"/>
              <w:rPr>
                <w:sz w:val="20"/>
                <w:lang w:val="sr-Cyrl-CS"/>
              </w:rPr>
            </w:pPr>
            <w:r w:rsidRPr="00092ED7">
              <w:rPr>
                <w:sz w:val="20"/>
                <w:lang w:val="sr-Cyrl-CS"/>
              </w:rPr>
              <w:t>1.234,33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FB5EFBD" w14:textId="77777777" w:rsidR="00247CBF" w:rsidRPr="00092ED7" w:rsidRDefault="00247CBF" w:rsidP="00247CBF">
            <w:pPr>
              <w:spacing w:after="0" w:line="230" w:lineRule="auto"/>
              <w:jc w:val="right"/>
              <w:rPr>
                <w:sz w:val="20"/>
                <w:lang w:val="sr-Cyrl-CS"/>
              </w:rPr>
            </w:pPr>
            <w:r w:rsidRPr="00092ED7">
              <w:rPr>
                <w:sz w:val="20"/>
                <w:lang w:val="sr-Cyrl-CS"/>
              </w:rPr>
              <w:t>1.327,77</w:t>
            </w:r>
          </w:p>
        </w:tc>
        <w:tc>
          <w:tcPr>
            <w:tcW w:w="352" w:type="pct"/>
            <w:tcBorders>
              <w:top w:val="nil"/>
              <w:left w:val="nil"/>
              <w:bottom w:val="dotted" w:sz="4" w:space="0" w:color="auto"/>
              <w:right w:val="dotted" w:sz="4" w:space="0" w:color="auto"/>
            </w:tcBorders>
            <w:shd w:val="clear" w:color="000000" w:fill="FFFFFF"/>
            <w:vAlign w:val="center"/>
            <w:hideMark/>
          </w:tcPr>
          <w:p w14:paraId="61BB0977" w14:textId="77777777" w:rsidR="00247CBF" w:rsidRPr="00092ED7" w:rsidRDefault="00247CBF" w:rsidP="00247CBF">
            <w:pPr>
              <w:spacing w:after="0" w:line="230" w:lineRule="auto"/>
              <w:jc w:val="right"/>
              <w:rPr>
                <w:sz w:val="20"/>
                <w:lang w:val="sr-Cyrl-CS"/>
              </w:rPr>
            </w:pPr>
            <w:r w:rsidRPr="00092ED7">
              <w:rPr>
                <w:sz w:val="20"/>
                <w:lang w:val="sr-Cyrl-CS"/>
              </w:rPr>
              <w:t>1.457,86</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5F66F1F8" w14:textId="77777777" w:rsidR="00247CBF" w:rsidRPr="00092ED7" w:rsidRDefault="00247CBF" w:rsidP="00247CBF">
            <w:pPr>
              <w:spacing w:after="0" w:line="230" w:lineRule="auto"/>
              <w:jc w:val="right"/>
              <w:rPr>
                <w:sz w:val="20"/>
                <w:lang w:val="sr-Cyrl-CS"/>
              </w:rPr>
            </w:pPr>
            <w:r w:rsidRPr="00092ED7">
              <w:rPr>
                <w:sz w:val="20"/>
                <w:lang w:val="sr-Cyrl-CS"/>
              </w:rPr>
              <w:t>1.556,32</w:t>
            </w:r>
          </w:p>
        </w:tc>
      </w:tr>
      <w:tr w:rsidR="00247CBF" w:rsidRPr="00092ED7" w14:paraId="43DE6EC9"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2395E412"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12б. Текући порези на доходак и имовину</w:t>
            </w:r>
          </w:p>
        </w:tc>
        <w:tc>
          <w:tcPr>
            <w:tcW w:w="100" w:type="pct"/>
            <w:tcBorders>
              <w:top w:val="nil"/>
              <w:left w:val="nil"/>
              <w:bottom w:val="dotted" w:sz="4" w:space="0" w:color="auto"/>
              <w:right w:val="single" w:sz="8" w:space="0" w:color="auto"/>
            </w:tcBorders>
            <w:shd w:val="clear" w:color="000000" w:fill="FFFFFF"/>
            <w:vAlign w:val="center"/>
            <w:hideMark/>
          </w:tcPr>
          <w:p w14:paraId="485B4A46"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713D410F"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D5</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5F5D04A" w14:textId="77777777" w:rsidR="00247CBF" w:rsidRPr="00092ED7" w:rsidRDefault="00247CBF" w:rsidP="00247CBF">
            <w:pPr>
              <w:spacing w:after="0" w:line="230" w:lineRule="auto"/>
              <w:jc w:val="right"/>
              <w:rPr>
                <w:sz w:val="20"/>
                <w:lang w:val="sr-Cyrl-CS"/>
              </w:rPr>
            </w:pPr>
            <w:r w:rsidRPr="00092ED7">
              <w:rPr>
                <w:sz w:val="20"/>
                <w:lang w:val="sr-Cyrl-CS"/>
              </w:rPr>
              <w:t>464,39</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24479D4" w14:textId="77777777" w:rsidR="00247CBF" w:rsidRPr="00092ED7" w:rsidRDefault="00247CBF" w:rsidP="00247CBF">
            <w:pPr>
              <w:spacing w:after="0" w:line="230" w:lineRule="auto"/>
              <w:jc w:val="right"/>
              <w:rPr>
                <w:sz w:val="20"/>
                <w:lang w:val="sr-Cyrl-CS"/>
              </w:rPr>
            </w:pPr>
            <w:r w:rsidRPr="00092ED7">
              <w:rPr>
                <w:sz w:val="20"/>
                <w:lang w:val="sr-Cyrl-CS"/>
              </w:rPr>
              <w:t>488,59</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80296C7" w14:textId="77777777" w:rsidR="00247CBF" w:rsidRPr="00092ED7" w:rsidRDefault="00247CBF" w:rsidP="00247CBF">
            <w:pPr>
              <w:spacing w:after="0" w:line="230" w:lineRule="auto"/>
              <w:jc w:val="right"/>
              <w:rPr>
                <w:sz w:val="20"/>
                <w:lang w:val="sr-Cyrl-CS"/>
              </w:rPr>
            </w:pPr>
            <w:r w:rsidRPr="00092ED7">
              <w:rPr>
                <w:sz w:val="20"/>
                <w:lang w:val="sr-Cyrl-CS"/>
              </w:rPr>
              <w:t>519,79</w:t>
            </w:r>
          </w:p>
        </w:tc>
        <w:tc>
          <w:tcPr>
            <w:tcW w:w="352" w:type="pct"/>
            <w:tcBorders>
              <w:top w:val="nil"/>
              <w:left w:val="nil"/>
              <w:bottom w:val="dotted" w:sz="4" w:space="0" w:color="auto"/>
              <w:right w:val="dotted" w:sz="4" w:space="0" w:color="auto"/>
            </w:tcBorders>
            <w:shd w:val="clear" w:color="000000" w:fill="FFFFFF"/>
            <w:vAlign w:val="center"/>
            <w:hideMark/>
          </w:tcPr>
          <w:p w14:paraId="065F2531" w14:textId="77777777" w:rsidR="00247CBF" w:rsidRPr="00092ED7" w:rsidRDefault="00247CBF" w:rsidP="00247CBF">
            <w:pPr>
              <w:spacing w:after="0" w:line="230" w:lineRule="auto"/>
              <w:jc w:val="right"/>
              <w:rPr>
                <w:sz w:val="20"/>
                <w:lang w:val="sr-Cyrl-CS"/>
              </w:rPr>
            </w:pPr>
            <w:r w:rsidRPr="00092ED7">
              <w:rPr>
                <w:sz w:val="20"/>
                <w:lang w:val="sr-Cyrl-CS"/>
              </w:rPr>
              <w:t>554,37</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0B227490" w14:textId="77777777" w:rsidR="00247CBF" w:rsidRPr="00092ED7" w:rsidRDefault="00247CBF" w:rsidP="00247CBF">
            <w:pPr>
              <w:spacing w:after="0" w:line="230" w:lineRule="auto"/>
              <w:jc w:val="right"/>
              <w:rPr>
                <w:sz w:val="20"/>
                <w:lang w:val="sr-Cyrl-CS"/>
              </w:rPr>
            </w:pPr>
            <w:r w:rsidRPr="00092ED7">
              <w:rPr>
                <w:sz w:val="20"/>
                <w:lang w:val="sr-Cyrl-CS"/>
              </w:rPr>
              <w:t>583,31</w:t>
            </w:r>
          </w:p>
        </w:tc>
      </w:tr>
      <w:tr w:rsidR="00247CBF" w:rsidRPr="00092ED7" w14:paraId="6F3ED953"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474CF0E2"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12ц. Порези на капитал</w:t>
            </w:r>
          </w:p>
        </w:tc>
        <w:tc>
          <w:tcPr>
            <w:tcW w:w="100" w:type="pct"/>
            <w:tcBorders>
              <w:top w:val="nil"/>
              <w:left w:val="nil"/>
              <w:bottom w:val="dotted" w:sz="4" w:space="0" w:color="auto"/>
              <w:right w:val="single" w:sz="8" w:space="0" w:color="auto"/>
            </w:tcBorders>
            <w:shd w:val="clear" w:color="000000" w:fill="FFFFFF"/>
            <w:vAlign w:val="center"/>
            <w:hideMark/>
          </w:tcPr>
          <w:p w14:paraId="6DC1DC19"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4125AEA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D91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DAA3B5F" w14:textId="77777777" w:rsidR="00247CBF" w:rsidRPr="00092ED7" w:rsidRDefault="00247CBF" w:rsidP="00247CBF">
            <w:pPr>
              <w:spacing w:after="0" w:line="230" w:lineRule="auto"/>
              <w:jc w:val="right"/>
              <w:rPr>
                <w:sz w:val="20"/>
                <w:lang w:val="sr-Cyrl-CS"/>
              </w:rPr>
            </w:pPr>
            <w:r w:rsidRPr="00092ED7">
              <w:rPr>
                <w:sz w:val="20"/>
                <w:lang w:val="sr-Cyrl-CS"/>
              </w:rPr>
              <w:t>1,81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66B48B45" w14:textId="77777777" w:rsidR="00247CBF" w:rsidRPr="00092ED7" w:rsidRDefault="00247CBF" w:rsidP="00247CBF">
            <w:pPr>
              <w:spacing w:after="0" w:line="230" w:lineRule="auto"/>
              <w:jc w:val="right"/>
              <w:rPr>
                <w:sz w:val="20"/>
                <w:lang w:val="sr-Cyrl-CS"/>
              </w:rPr>
            </w:pPr>
            <w:r w:rsidRPr="00092ED7">
              <w:rPr>
                <w:sz w:val="20"/>
                <w:lang w:val="sr-Cyrl-CS"/>
              </w:rPr>
              <w:t>2,53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74FB527" w14:textId="77777777" w:rsidR="00247CBF" w:rsidRPr="00092ED7" w:rsidRDefault="00247CBF" w:rsidP="00247CBF">
            <w:pPr>
              <w:spacing w:after="0" w:line="230" w:lineRule="auto"/>
              <w:jc w:val="right"/>
              <w:rPr>
                <w:sz w:val="20"/>
                <w:lang w:val="sr-Cyrl-CS"/>
              </w:rPr>
            </w:pPr>
            <w:r w:rsidRPr="00092ED7">
              <w:rPr>
                <w:sz w:val="20"/>
                <w:lang w:val="sr-Cyrl-CS"/>
              </w:rPr>
              <w:t>3,52</w:t>
            </w:r>
          </w:p>
        </w:tc>
        <w:tc>
          <w:tcPr>
            <w:tcW w:w="352" w:type="pct"/>
            <w:tcBorders>
              <w:top w:val="nil"/>
              <w:left w:val="nil"/>
              <w:bottom w:val="dotted" w:sz="4" w:space="0" w:color="auto"/>
              <w:right w:val="dotted" w:sz="4" w:space="0" w:color="auto"/>
            </w:tcBorders>
            <w:shd w:val="clear" w:color="000000" w:fill="FFFFFF"/>
            <w:vAlign w:val="center"/>
            <w:hideMark/>
          </w:tcPr>
          <w:p w14:paraId="07E55FE7" w14:textId="77777777" w:rsidR="00247CBF" w:rsidRPr="00092ED7" w:rsidRDefault="00247CBF" w:rsidP="00247CBF">
            <w:pPr>
              <w:spacing w:after="0" w:line="230" w:lineRule="auto"/>
              <w:jc w:val="right"/>
              <w:rPr>
                <w:sz w:val="20"/>
                <w:lang w:val="sr-Cyrl-CS"/>
              </w:rPr>
            </w:pPr>
            <w:r w:rsidRPr="00092ED7">
              <w:rPr>
                <w:sz w:val="20"/>
                <w:lang w:val="sr-Cyrl-CS"/>
              </w:rPr>
              <w:t>4,91</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059CE661" w14:textId="77777777" w:rsidR="00247CBF" w:rsidRPr="00092ED7" w:rsidRDefault="00247CBF" w:rsidP="00247CBF">
            <w:pPr>
              <w:spacing w:after="0" w:line="230" w:lineRule="auto"/>
              <w:jc w:val="right"/>
              <w:rPr>
                <w:sz w:val="20"/>
                <w:lang w:val="sr-Cyrl-CS"/>
              </w:rPr>
            </w:pPr>
            <w:r w:rsidRPr="00092ED7">
              <w:rPr>
                <w:sz w:val="20"/>
                <w:lang w:val="sr-Cyrl-CS"/>
              </w:rPr>
              <w:t>6,85</w:t>
            </w:r>
          </w:p>
        </w:tc>
      </w:tr>
      <w:tr w:rsidR="00247CBF" w:rsidRPr="00092ED7" w14:paraId="61BD65BC"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592426EF"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13. Доприноси за социјално осигурање</w:t>
            </w:r>
          </w:p>
        </w:tc>
        <w:tc>
          <w:tcPr>
            <w:tcW w:w="100" w:type="pct"/>
            <w:tcBorders>
              <w:top w:val="nil"/>
              <w:left w:val="nil"/>
              <w:bottom w:val="dotted" w:sz="4" w:space="0" w:color="auto"/>
              <w:right w:val="single" w:sz="8" w:space="0" w:color="auto"/>
            </w:tcBorders>
            <w:shd w:val="clear" w:color="000000" w:fill="FFFFFF"/>
            <w:vAlign w:val="center"/>
            <w:hideMark/>
          </w:tcPr>
          <w:p w14:paraId="5AF67A4F"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3CBF2096"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D61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B51E5F3" w14:textId="77777777" w:rsidR="00247CBF" w:rsidRPr="00092ED7" w:rsidRDefault="00247CBF" w:rsidP="00247CBF">
            <w:pPr>
              <w:spacing w:after="0" w:line="230" w:lineRule="auto"/>
              <w:jc w:val="right"/>
              <w:rPr>
                <w:sz w:val="20"/>
                <w:lang w:val="sr-Cyrl-CS"/>
              </w:rPr>
            </w:pPr>
            <w:r w:rsidRPr="00092ED7">
              <w:rPr>
                <w:sz w:val="20"/>
                <w:lang w:val="sr-Cyrl-CS"/>
              </w:rPr>
              <w:t>861,97</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FEF4B61" w14:textId="77777777" w:rsidR="00247CBF" w:rsidRPr="00092ED7" w:rsidRDefault="00247CBF" w:rsidP="00247CBF">
            <w:pPr>
              <w:spacing w:after="0" w:line="230" w:lineRule="auto"/>
              <w:jc w:val="right"/>
              <w:rPr>
                <w:sz w:val="20"/>
                <w:lang w:val="sr-Cyrl-CS"/>
              </w:rPr>
            </w:pPr>
            <w:r w:rsidRPr="00092ED7">
              <w:rPr>
                <w:sz w:val="20"/>
                <w:lang w:val="sr-Cyrl-CS"/>
              </w:rPr>
              <w:t>947,83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A2BB99A" w14:textId="77777777" w:rsidR="00247CBF" w:rsidRPr="00092ED7" w:rsidRDefault="00247CBF" w:rsidP="00247CBF">
            <w:pPr>
              <w:spacing w:after="0" w:line="230" w:lineRule="auto"/>
              <w:jc w:val="right"/>
              <w:rPr>
                <w:sz w:val="20"/>
                <w:lang w:val="sr-Cyrl-CS"/>
              </w:rPr>
            </w:pPr>
            <w:r w:rsidRPr="00092ED7">
              <w:rPr>
                <w:sz w:val="20"/>
                <w:lang w:val="sr-Cyrl-CS"/>
              </w:rPr>
              <w:t>1.008,72</w:t>
            </w:r>
          </w:p>
        </w:tc>
        <w:tc>
          <w:tcPr>
            <w:tcW w:w="352" w:type="pct"/>
            <w:tcBorders>
              <w:top w:val="nil"/>
              <w:left w:val="nil"/>
              <w:bottom w:val="dotted" w:sz="4" w:space="0" w:color="auto"/>
              <w:right w:val="dotted" w:sz="4" w:space="0" w:color="auto"/>
            </w:tcBorders>
            <w:shd w:val="clear" w:color="000000" w:fill="FFFFFF"/>
            <w:vAlign w:val="center"/>
            <w:hideMark/>
          </w:tcPr>
          <w:p w14:paraId="7A7C4253" w14:textId="77777777" w:rsidR="00247CBF" w:rsidRPr="00092ED7" w:rsidRDefault="00247CBF" w:rsidP="00247CBF">
            <w:pPr>
              <w:spacing w:after="0" w:line="230" w:lineRule="auto"/>
              <w:jc w:val="right"/>
              <w:rPr>
                <w:sz w:val="20"/>
                <w:lang w:val="sr-Cyrl-CS"/>
              </w:rPr>
            </w:pPr>
            <w:r w:rsidRPr="00092ED7">
              <w:rPr>
                <w:sz w:val="20"/>
                <w:lang w:val="sr-Cyrl-CS"/>
              </w:rPr>
              <w:t>1.097,85</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0C097440" w14:textId="77777777" w:rsidR="00247CBF" w:rsidRPr="00092ED7" w:rsidRDefault="00247CBF" w:rsidP="00247CBF">
            <w:pPr>
              <w:spacing w:after="0" w:line="230" w:lineRule="auto"/>
              <w:jc w:val="right"/>
              <w:rPr>
                <w:sz w:val="20"/>
                <w:lang w:val="sr-Cyrl-CS"/>
              </w:rPr>
            </w:pPr>
            <w:r w:rsidRPr="00092ED7">
              <w:rPr>
                <w:sz w:val="20"/>
                <w:lang w:val="sr-Cyrl-CS"/>
              </w:rPr>
              <w:t>1.182,01</w:t>
            </w:r>
          </w:p>
        </w:tc>
      </w:tr>
      <w:tr w:rsidR="00247CBF" w:rsidRPr="00092ED7" w14:paraId="49D1FC72"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39F4B6C3"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14. Доходак од непокретне имовине</w:t>
            </w:r>
          </w:p>
        </w:tc>
        <w:tc>
          <w:tcPr>
            <w:tcW w:w="100" w:type="pct"/>
            <w:tcBorders>
              <w:top w:val="nil"/>
              <w:left w:val="nil"/>
              <w:bottom w:val="dotted" w:sz="4" w:space="0" w:color="auto"/>
              <w:right w:val="single" w:sz="8" w:space="0" w:color="auto"/>
            </w:tcBorders>
            <w:shd w:val="clear" w:color="000000" w:fill="FFFFFF"/>
            <w:vAlign w:val="center"/>
            <w:hideMark/>
          </w:tcPr>
          <w:p w14:paraId="7C142C0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2CEA1CE7"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C639645" w14:textId="77777777" w:rsidR="00247CBF" w:rsidRPr="00092ED7" w:rsidRDefault="00247CBF" w:rsidP="00247CBF">
            <w:pPr>
              <w:spacing w:after="0" w:line="230" w:lineRule="auto"/>
              <w:jc w:val="right"/>
              <w:rPr>
                <w:sz w:val="20"/>
                <w:lang w:val="sr-Cyrl-CS"/>
              </w:rPr>
            </w:pPr>
            <w:r w:rsidRPr="00092ED7">
              <w:rPr>
                <w:sz w:val="20"/>
                <w:lang w:val="sr-Cyrl-CS"/>
              </w:rPr>
              <w:t>69,94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388B26E" w14:textId="77777777" w:rsidR="00247CBF" w:rsidRPr="00092ED7" w:rsidRDefault="00247CBF" w:rsidP="00247CBF">
            <w:pPr>
              <w:spacing w:after="0" w:line="230" w:lineRule="auto"/>
              <w:jc w:val="right"/>
              <w:rPr>
                <w:sz w:val="20"/>
                <w:lang w:val="sr-Cyrl-CS"/>
              </w:rPr>
            </w:pPr>
            <w:r w:rsidRPr="00092ED7">
              <w:rPr>
                <w:sz w:val="20"/>
                <w:lang w:val="sr-Cyrl-CS"/>
              </w:rPr>
              <w:t>87,34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E31E5E0" w14:textId="77777777" w:rsidR="00247CBF" w:rsidRPr="00092ED7" w:rsidRDefault="00247CBF" w:rsidP="00247CBF">
            <w:pPr>
              <w:spacing w:after="0" w:line="230" w:lineRule="auto"/>
              <w:jc w:val="right"/>
              <w:rPr>
                <w:sz w:val="20"/>
                <w:lang w:val="sr-Cyrl-CS"/>
              </w:rPr>
            </w:pPr>
            <w:r w:rsidRPr="00092ED7">
              <w:rPr>
                <w:sz w:val="20"/>
                <w:lang w:val="sr-Cyrl-CS"/>
              </w:rPr>
              <w:t>87,81</w:t>
            </w:r>
          </w:p>
        </w:tc>
        <w:tc>
          <w:tcPr>
            <w:tcW w:w="352" w:type="pct"/>
            <w:tcBorders>
              <w:top w:val="nil"/>
              <w:left w:val="nil"/>
              <w:bottom w:val="dotted" w:sz="4" w:space="0" w:color="auto"/>
              <w:right w:val="dotted" w:sz="4" w:space="0" w:color="auto"/>
            </w:tcBorders>
            <w:shd w:val="clear" w:color="000000" w:fill="FFFFFF"/>
            <w:vAlign w:val="center"/>
            <w:hideMark/>
          </w:tcPr>
          <w:p w14:paraId="4B4C99E4" w14:textId="77777777" w:rsidR="00247CBF" w:rsidRPr="00092ED7" w:rsidRDefault="00247CBF" w:rsidP="00247CBF">
            <w:pPr>
              <w:spacing w:after="0" w:line="230" w:lineRule="auto"/>
              <w:jc w:val="right"/>
              <w:rPr>
                <w:sz w:val="20"/>
                <w:lang w:val="sr-Cyrl-CS"/>
              </w:rPr>
            </w:pPr>
            <w:r w:rsidRPr="00092ED7">
              <w:rPr>
                <w:sz w:val="20"/>
                <w:lang w:val="sr-Cyrl-CS"/>
              </w:rPr>
              <w:t>94,10</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54B89FA9" w14:textId="77777777" w:rsidR="00247CBF" w:rsidRPr="00092ED7" w:rsidRDefault="00247CBF" w:rsidP="00247CBF">
            <w:pPr>
              <w:spacing w:after="0" w:line="230" w:lineRule="auto"/>
              <w:jc w:val="right"/>
              <w:rPr>
                <w:sz w:val="20"/>
                <w:lang w:val="sr-Cyrl-CS"/>
              </w:rPr>
            </w:pPr>
            <w:r w:rsidRPr="00092ED7">
              <w:rPr>
                <w:sz w:val="20"/>
                <w:lang w:val="sr-Cyrl-CS"/>
              </w:rPr>
              <w:t>101,35</w:t>
            </w:r>
          </w:p>
        </w:tc>
      </w:tr>
      <w:tr w:rsidR="00247CBF" w:rsidRPr="00092ED7" w14:paraId="10CE5357"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17CE8A64"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15. Друго (15 = 16-(12+13+14)) [4]</w:t>
            </w:r>
          </w:p>
        </w:tc>
        <w:tc>
          <w:tcPr>
            <w:tcW w:w="100" w:type="pct"/>
            <w:tcBorders>
              <w:top w:val="nil"/>
              <w:left w:val="nil"/>
              <w:bottom w:val="dotted" w:sz="4" w:space="0" w:color="auto"/>
              <w:right w:val="single" w:sz="8" w:space="0" w:color="auto"/>
            </w:tcBorders>
            <w:shd w:val="clear" w:color="000000" w:fill="FFFFFF"/>
            <w:vAlign w:val="center"/>
            <w:hideMark/>
          </w:tcPr>
          <w:p w14:paraId="699FE429"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3600DDD3"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A4AB4D4" w14:textId="77777777" w:rsidR="00247CBF" w:rsidRPr="00092ED7" w:rsidRDefault="00247CBF" w:rsidP="00247CBF">
            <w:pPr>
              <w:spacing w:after="0" w:line="230" w:lineRule="auto"/>
              <w:jc w:val="right"/>
              <w:rPr>
                <w:sz w:val="20"/>
                <w:lang w:val="sr-Cyrl-CS"/>
              </w:rPr>
            </w:pPr>
            <w:r w:rsidRPr="00092ED7">
              <w:rPr>
                <w:sz w:val="20"/>
                <w:lang w:val="sr-Cyrl-CS"/>
              </w:rPr>
              <w:t>221,85</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F08064C" w14:textId="77777777" w:rsidR="00247CBF" w:rsidRPr="00092ED7" w:rsidRDefault="00247CBF" w:rsidP="00247CBF">
            <w:pPr>
              <w:spacing w:after="0" w:line="230" w:lineRule="auto"/>
              <w:jc w:val="right"/>
              <w:rPr>
                <w:sz w:val="20"/>
                <w:lang w:val="sr-Cyrl-CS"/>
              </w:rPr>
            </w:pPr>
            <w:r w:rsidRPr="00092ED7">
              <w:rPr>
                <w:sz w:val="20"/>
                <w:lang w:val="sr-Cyrl-CS"/>
              </w:rPr>
              <w:t>285,19</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1E69747" w14:textId="77777777" w:rsidR="00247CBF" w:rsidRPr="00092ED7" w:rsidRDefault="00247CBF" w:rsidP="00247CBF">
            <w:pPr>
              <w:spacing w:after="0" w:line="230" w:lineRule="auto"/>
              <w:jc w:val="right"/>
              <w:rPr>
                <w:sz w:val="20"/>
                <w:lang w:val="sr-Cyrl-CS"/>
              </w:rPr>
            </w:pPr>
            <w:r w:rsidRPr="00092ED7">
              <w:rPr>
                <w:sz w:val="20"/>
                <w:lang w:val="sr-Cyrl-CS"/>
              </w:rPr>
              <w:t>335,88</w:t>
            </w:r>
          </w:p>
        </w:tc>
        <w:tc>
          <w:tcPr>
            <w:tcW w:w="352" w:type="pct"/>
            <w:tcBorders>
              <w:top w:val="nil"/>
              <w:left w:val="nil"/>
              <w:bottom w:val="dotted" w:sz="4" w:space="0" w:color="auto"/>
              <w:right w:val="dotted" w:sz="4" w:space="0" w:color="auto"/>
            </w:tcBorders>
            <w:shd w:val="clear" w:color="000000" w:fill="FFFFFF"/>
            <w:vAlign w:val="center"/>
            <w:hideMark/>
          </w:tcPr>
          <w:p w14:paraId="364680CB" w14:textId="77777777" w:rsidR="00247CBF" w:rsidRPr="00092ED7" w:rsidRDefault="00247CBF" w:rsidP="00247CBF">
            <w:pPr>
              <w:spacing w:after="0" w:line="230" w:lineRule="auto"/>
              <w:jc w:val="right"/>
              <w:rPr>
                <w:sz w:val="20"/>
                <w:lang w:val="sr-Cyrl-CS"/>
              </w:rPr>
            </w:pPr>
            <w:r w:rsidRPr="00092ED7">
              <w:rPr>
                <w:sz w:val="20"/>
                <w:lang w:val="sr-Cyrl-CS"/>
              </w:rPr>
              <w:t>334,71</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49C7CB48" w14:textId="77777777" w:rsidR="00247CBF" w:rsidRPr="00092ED7" w:rsidRDefault="00247CBF" w:rsidP="00247CBF">
            <w:pPr>
              <w:spacing w:after="0" w:line="230" w:lineRule="auto"/>
              <w:jc w:val="right"/>
              <w:rPr>
                <w:sz w:val="20"/>
                <w:lang w:val="sr-Cyrl-CS"/>
              </w:rPr>
            </w:pPr>
            <w:r w:rsidRPr="00092ED7">
              <w:rPr>
                <w:sz w:val="20"/>
                <w:lang w:val="sr-Cyrl-CS"/>
              </w:rPr>
              <w:t>342,83</w:t>
            </w:r>
          </w:p>
        </w:tc>
      </w:tr>
      <w:tr w:rsidR="00247CBF" w:rsidRPr="00092ED7" w14:paraId="6E6F23F9"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565FDD56"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16 = 6. Укупни приходи</w:t>
            </w:r>
          </w:p>
        </w:tc>
        <w:tc>
          <w:tcPr>
            <w:tcW w:w="100" w:type="pct"/>
            <w:tcBorders>
              <w:top w:val="nil"/>
              <w:left w:val="nil"/>
              <w:bottom w:val="nil"/>
              <w:right w:val="single" w:sz="8" w:space="0" w:color="auto"/>
            </w:tcBorders>
            <w:shd w:val="clear" w:color="000000" w:fill="FFFFFF"/>
            <w:vAlign w:val="center"/>
            <w:hideMark/>
          </w:tcPr>
          <w:p w14:paraId="36BB16F1"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426BE834"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TR</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40B7E5C3" w14:textId="77777777" w:rsidR="00247CBF" w:rsidRPr="00092ED7" w:rsidRDefault="00247CBF" w:rsidP="00247CBF">
            <w:pPr>
              <w:spacing w:after="0" w:line="230" w:lineRule="auto"/>
              <w:jc w:val="right"/>
              <w:rPr>
                <w:sz w:val="20"/>
                <w:lang w:val="sr-Cyrl-CS"/>
              </w:rPr>
            </w:pPr>
            <w:r w:rsidRPr="00092ED7">
              <w:rPr>
                <w:sz w:val="20"/>
                <w:lang w:val="sr-Cyrl-CS"/>
              </w:rPr>
              <w:t>2.711,93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69F63FA1" w14:textId="77777777" w:rsidR="00247CBF" w:rsidRPr="00092ED7" w:rsidRDefault="00247CBF" w:rsidP="00247CBF">
            <w:pPr>
              <w:spacing w:after="0" w:line="230" w:lineRule="auto"/>
              <w:jc w:val="right"/>
              <w:rPr>
                <w:sz w:val="20"/>
                <w:lang w:val="sr-Cyrl-CS"/>
              </w:rPr>
            </w:pPr>
            <w:r w:rsidRPr="00092ED7">
              <w:rPr>
                <w:sz w:val="20"/>
                <w:lang w:val="sr-Cyrl-CS"/>
              </w:rPr>
              <w:t>3.045,81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6F402DE" w14:textId="77777777" w:rsidR="00247CBF" w:rsidRPr="00092ED7" w:rsidRDefault="00247CBF" w:rsidP="00247CBF">
            <w:pPr>
              <w:spacing w:after="0" w:line="230" w:lineRule="auto"/>
              <w:jc w:val="right"/>
              <w:rPr>
                <w:sz w:val="20"/>
                <w:lang w:val="sr-Cyrl-CS"/>
              </w:rPr>
            </w:pPr>
            <w:r w:rsidRPr="00092ED7">
              <w:rPr>
                <w:sz w:val="20"/>
                <w:lang w:val="sr-Cyrl-CS"/>
              </w:rPr>
              <w:t>3.283,49</w:t>
            </w:r>
          </w:p>
        </w:tc>
        <w:tc>
          <w:tcPr>
            <w:tcW w:w="352" w:type="pct"/>
            <w:tcBorders>
              <w:top w:val="nil"/>
              <w:left w:val="nil"/>
              <w:bottom w:val="dotted" w:sz="4" w:space="0" w:color="auto"/>
              <w:right w:val="dotted" w:sz="4" w:space="0" w:color="auto"/>
            </w:tcBorders>
            <w:shd w:val="clear" w:color="000000" w:fill="FFFFFF"/>
            <w:vAlign w:val="center"/>
            <w:hideMark/>
          </w:tcPr>
          <w:p w14:paraId="7A1ED064" w14:textId="77777777" w:rsidR="00247CBF" w:rsidRPr="00092ED7" w:rsidRDefault="00247CBF" w:rsidP="00247CBF">
            <w:pPr>
              <w:spacing w:after="0" w:line="230" w:lineRule="auto"/>
              <w:jc w:val="right"/>
              <w:rPr>
                <w:sz w:val="20"/>
                <w:lang w:val="sr-Cyrl-CS"/>
              </w:rPr>
            </w:pPr>
            <w:r w:rsidRPr="00092ED7">
              <w:rPr>
                <w:sz w:val="20"/>
                <w:lang w:val="sr-Cyrl-CS"/>
              </w:rPr>
              <w:t>3.543,80</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0B2D930E" w14:textId="77777777" w:rsidR="00247CBF" w:rsidRPr="00092ED7" w:rsidRDefault="00247CBF" w:rsidP="00247CBF">
            <w:pPr>
              <w:spacing w:after="0" w:line="230" w:lineRule="auto"/>
              <w:jc w:val="right"/>
              <w:rPr>
                <w:sz w:val="20"/>
                <w:lang w:val="sr-Cyrl-CS"/>
              </w:rPr>
            </w:pPr>
            <w:r w:rsidRPr="00092ED7">
              <w:rPr>
                <w:sz w:val="20"/>
                <w:lang w:val="sr-Cyrl-CS"/>
              </w:rPr>
              <w:t>3.772,66</w:t>
            </w:r>
          </w:p>
        </w:tc>
      </w:tr>
      <w:tr w:rsidR="00247CBF" w:rsidRPr="00092ED7" w14:paraId="0E621052" w14:textId="77777777" w:rsidTr="00247CBF">
        <w:trPr>
          <w:trHeight w:val="227"/>
        </w:trPr>
        <w:tc>
          <w:tcPr>
            <w:tcW w:w="2658" w:type="pct"/>
            <w:tcBorders>
              <w:top w:val="nil"/>
              <w:left w:val="double" w:sz="6" w:space="0" w:color="auto"/>
              <w:bottom w:val="single" w:sz="8" w:space="0" w:color="auto"/>
              <w:right w:val="nil"/>
            </w:tcBorders>
            <w:shd w:val="clear" w:color="auto" w:fill="auto"/>
            <w:noWrap/>
            <w:vAlign w:val="center"/>
            <w:hideMark/>
          </w:tcPr>
          <w:p w14:paraId="38C407E3" w14:textId="77777777" w:rsidR="00247CBF" w:rsidRPr="00092ED7" w:rsidRDefault="00247CBF" w:rsidP="00247CBF">
            <w:pPr>
              <w:spacing w:after="0" w:line="230" w:lineRule="auto"/>
              <w:jc w:val="left"/>
              <w:rPr>
                <w:rFonts w:eastAsia="Times New Roman" w:cs="Times New Roman"/>
                <w:sz w:val="20"/>
                <w:szCs w:val="20"/>
                <w:lang w:val="sr-Cyrl-CS"/>
              </w:rPr>
            </w:pPr>
            <w:r w:rsidRPr="00092ED7">
              <w:rPr>
                <w:rFonts w:eastAsia="Times New Roman" w:cs="Times New Roman"/>
                <w:sz w:val="20"/>
                <w:szCs w:val="20"/>
                <w:lang w:val="sr-Cyrl-CS"/>
              </w:rPr>
              <w:t>Информативно: Пореско оптерећење (D2+D5+D61+D91-D995) [5]</w:t>
            </w:r>
          </w:p>
        </w:tc>
        <w:tc>
          <w:tcPr>
            <w:tcW w:w="100" w:type="pct"/>
            <w:tcBorders>
              <w:top w:val="dotted" w:sz="4" w:space="0" w:color="auto"/>
              <w:left w:val="nil"/>
              <w:bottom w:val="single" w:sz="8" w:space="0" w:color="auto"/>
              <w:right w:val="single" w:sz="8" w:space="0" w:color="auto"/>
            </w:tcBorders>
            <w:shd w:val="clear" w:color="000000" w:fill="FFFFFF"/>
            <w:vAlign w:val="center"/>
            <w:hideMark/>
          </w:tcPr>
          <w:p w14:paraId="536F4FD4"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single" w:sz="8" w:space="0" w:color="000000"/>
              <w:right w:val="single" w:sz="8" w:space="0" w:color="auto"/>
            </w:tcBorders>
            <w:shd w:val="clear" w:color="000000" w:fill="FFFFFF"/>
            <w:vAlign w:val="center"/>
            <w:hideMark/>
          </w:tcPr>
          <w:p w14:paraId="705652FA"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352" w:type="pct"/>
            <w:gridSpan w:val="2"/>
            <w:tcBorders>
              <w:top w:val="nil"/>
              <w:left w:val="nil"/>
              <w:bottom w:val="single" w:sz="8" w:space="0" w:color="000000"/>
              <w:right w:val="dotted" w:sz="4" w:space="0" w:color="auto"/>
            </w:tcBorders>
            <w:shd w:val="clear" w:color="000000" w:fill="FFFFFF"/>
            <w:vAlign w:val="center"/>
            <w:hideMark/>
          </w:tcPr>
          <w:p w14:paraId="3ABA2E4B" w14:textId="77777777" w:rsidR="00247CBF" w:rsidRPr="00092ED7" w:rsidRDefault="00247CBF" w:rsidP="00247CBF">
            <w:pPr>
              <w:spacing w:after="0" w:line="230" w:lineRule="auto"/>
              <w:jc w:val="right"/>
              <w:rPr>
                <w:sz w:val="20"/>
                <w:lang w:val="sr-Cyrl-CS"/>
              </w:rPr>
            </w:pPr>
            <w:r w:rsidRPr="00092ED7">
              <w:rPr>
                <w:sz w:val="20"/>
                <w:lang w:val="sr-Cyrl-CS"/>
              </w:rPr>
              <w:t>2.420,13</w:t>
            </w:r>
          </w:p>
        </w:tc>
        <w:tc>
          <w:tcPr>
            <w:tcW w:w="352" w:type="pct"/>
            <w:gridSpan w:val="2"/>
            <w:tcBorders>
              <w:top w:val="nil"/>
              <w:left w:val="nil"/>
              <w:bottom w:val="single" w:sz="8" w:space="0" w:color="000000"/>
              <w:right w:val="dotted" w:sz="4" w:space="0" w:color="auto"/>
            </w:tcBorders>
            <w:shd w:val="clear" w:color="000000" w:fill="FFFFFF"/>
            <w:vAlign w:val="center"/>
            <w:hideMark/>
          </w:tcPr>
          <w:p w14:paraId="138EB543" w14:textId="77777777" w:rsidR="00247CBF" w:rsidRPr="00092ED7" w:rsidRDefault="00247CBF" w:rsidP="00247CBF">
            <w:pPr>
              <w:spacing w:after="0" w:line="230" w:lineRule="auto"/>
              <w:jc w:val="right"/>
              <w:rPr>
                <w:sz w:val="20"/>
                <w:lang w:val="sr-Cyrl-CS"/>
              </w:rPr>
            </w:pPr>
            <w:r w:rsidRPr="00092ED7">
              <w:rPr>
                <w:sz w:val="20"/>
                <w:lang w:val="sr-Cyrl-CS"/>
              </w:rPr>
              <w:t>2.673,27</w:t>
            </w:r>
          </w:p>
        </w:tc>
        <w:tc>
          <w:tcPr>
            <w:tcW w:w="352" w:type="pct"/>
            <w:gridSpan w:val="2"/>
            <w:tcBorders>
              <w:top w:val="nil"/>
              <w:left w:val="nil"/>
              <w:bottom w:val="single" w:sz="8" w:space="0" w:color="000000"/>
              <w:right w:val="dotted" w:sz="4" w:space="0" w:color="auto"/>
            </w:tcBorders>
            <w:shd w:val="clear" w:color="000000" w:fill="FFFFFF"/>
            <w:vAlign w:val="center"/>
            <w:hideMark/>
          </w:tcPr>
          <w:p w14:paraId="64CC7FCA" w14:textId="77777777" w:rsidR="00247CBF" w:rsidRPr="00092ED7" w:rsidRDefault="00247CBF" w:rsidP="00247CBF">
            <w:pPr>
              <w:spacing w:after="0" w:line="230" w:lineRule="auto"/>
              <w:jc w:val="right"/>
              <w:rPr>
                <w:sz w:val="20"/>
                <w:lang w:val="sr-Cyrl-CS"/>
              </w:rPr>
            </w:pPr>
            <w:r w:rsidRPr="00092ED7">
              <w:rPr>
                <w:sz w:val="20"/>
                <w:lang w:val="sr-Cyrl-CS"/>
              </w:rPr>
              <w:t>2.859,80</w:t>
            </w:r>
          </w:p>
        </w:tc>
        <w:tc>
          <w:tcPr>
            <w:tcW w:w="352" w:type="pct"/>
            <w:tcBorders>
              <w:top w:val="nil"/>
              <w:left w:val="nil"/>
              <w:bottom w:val="single" w:sz="8" w:space="0" w:color="000000"/>
              <w:right w:val="dotted" w:sz="4" w:space="0" w:color="auto"/>
            </w:tcBorders>
            <w:shd w:val="clear" w:color="000000" w:fill="FFFFFF"/>
            <w:vAlign w:val="center"/>
            <w:hideMark/>
          </w:tcPr>
          <w:p w14:paraId="144F47EB" w14:textId="77777777" w:rsidR="00247CBF" w:rsidRPr="00092ED7" w:rsidRDefault="00247CBF" w:rsidP="00247CBF">
            <w:pPr>
              <w:spacing w:after="0" w:line="230" w:lineRule="auto"/>
              <w:jc w:val="right"/>
              <w:rPr>
                <w:sz w:val="20"/>
                <w:lang w:val="sr-Cyrl-CS"/>
              </w:rPr>
            </w:pPr>
            <w:r w:rsidRPr="00092ED7">
              <w:rPr>
                <w:sz w:val="20"/>
                <w:lang w:val="sr-Cyrl-CS"/>
              </w:rPr>
              <w:t>3.114,99</w:t>
            </w:r>
          </w:p>
        </w:tc>
        <w:tc>
          <w:tcPr>
            <w:tcW w:w="351" w:type="pct"/>
            <w:gridSpan w:val="2"/>
            <w:tcBorders>
              <w:top w:val="nil"/>
              <w:left w:val="nil"/>
              <w:bottom w:val="single" w:sz="8" w:space="0" w:color="auto"/>
              <w:right w:val="double" w:sz="6" w:space="0" w:color="auto"/>
            </w:tcBorders>
            <w:shd w:val="clear" w:color="000000" w:fill="FFFFFF"/>
            <w:vAlign w:val="center"/>
            <w:hideMark/>
          </w:tcPr>
          <w:p w14:paraId="4086CC8D" w14:textId="77777777" w:rsidR="00247CBF" w:rsidRPr="00092ED7" w:rsidRDefault="00247CBF" w:rsidP="00247CBF">
            <w:pPr>
              <w:spacing w:after="0" w:line="230" w:lineRule="auto"/>
              <w:jc w:val="right"/>
              <w:rPr>
                <w:sz w:val="20"/>
                <w:lang w:val="sr-Cyrl-CS"/>
              </w:rPr>
            </w:pPr>
            <w:r w:rsidRPr="00092ED7">
              <w:rPr>
                <w:sz w:val="20"/>
                <w:lang w:val="sr-Cyrl-CS"/>
              </w:rPr>
              <w:t>3.328,48</w:t>
            </w:r>
          </w:p>
        </w:tc>
      </w:tr>
      <w:tr w:rsidR="00247CBF" w:rsidRPr="00092ED7" w14:paraId="4C0E3E47" w14:textId="77777777" w:rsidTr="00247CBF">
        <w:trPr>
          <w:trHeight w:val="227"/>
        </w:trPr>
        <w:tc>
          <w:tcPr>
            <w:tcW w:w="5000" w:type="pct"/>
            <w:gridSpan w:val="13"/>
            <w:tcBorders>
              <w:top w:val="nil"/>
              <w:left w:val="double" w:sz="6" w:space="0" w:color="auto"/>
              <w:bottom w:val="single" w:sz="8" w:space="0" w:color="auto"/>
              <w:right w:val="double" w:sz="6" w:space="0" w:color="000000"/>
            </w:tcBorders>
            <w:shd w:val="clear" w:color="000000" w:fill="FFFFFF"/>
            <w:vAlign w:val="center"/>
            <w:hideMark/>
          </w:tcPr>
          <w:p w14:paraId="6318DE1F" w14:textId="77777777" w:rsidR="00247CBF" w:rsidRPr="00092ED7" w:rsidRDefault="00247CBF" w:rsidP="00247CBF">
            <w:pPr>
              <w:spacing w:after="0" w:line="230" w:lineRule="auto"/>
              <w:jc w:val="center"/>
              <w:rPr>
                <w:rFonts w:eastAsia="Times New Roman" w:cs="Times New Roman"/>
                <w:b/>
                <w:bCs/>
                <w:sz w:val="20"/>
                <w:szCs w:val="20"/>
                <w:lang w:val="sr-Cyrl-CS"/>
              </w:rPr>
            </w:pPr>
            <w:r w:rsidRPr="00092ED7">
              <w:rPr>
                <w:rFonts w:eastAsia="Times New Roman" w:cs="Times New Roman"/>
                <w:b/>
                <w:bCs/>
                <w:sz w:val="20"/>
                <w:szCs w:val="20"/>
                <w:lang w:val="sr-Cyrl-CS"/>
              </w:rPr>
              <w:t>Изабране компоненте расхода</w:t>
            </w:r>
          </w:p>
        </w:tc>
      </w:tr>
      <w:tr w:rsidR="00247CBF" w:rsidRPr="00092ED7" w14:paraId="57228329"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5977FCAA"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17. Колективна потрошња</w:t>
            </w:r>
          </w:p>
        </w:tc>
        <w:tc>
          <w:tcPr>
            <w:tcW w:w="100" w:type="pct"/>
            <w:tcBorders>
              <w:top w:val="nil"/>
              <w:left w:val="nil"/>
              <w:bottom w:val="dotted" w:sz="4" w:space="0" w:color="auto"/>
              <w:right w:val="single" w:sz="8" w:space="0" w:color="auto"/>
            </w:tcBorders>
            <w:shd w:val="clear" w:color="000000" w:fill="FFFFFF"/>
            <w:vAlign w:val="center"/>
            <w:hideMark/>
          </w:tcPr>
          <w:p w14:paraId="6B24DB8C"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0007893E"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P32</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C28BAE8"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1.119,29</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19736A5"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1.239,34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1180952"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1.340,72</w:t>
            </w:r>
          </w:p>
        </w:tc>
        <w:tc>
          <w:tcPr>
            <w:tcW w:w="352" w:type="pct"/>
            <w:tcBorders>
              <w:top w:val="nil"/>
              <w:left w:val="nil"/>
              <w:bottom w:val="dotted" w:sz="4" w:space="0" w:color="auto"/>
              <w:right w:val="dotted" w:sz="4" w:space="0" w:color="auto"/>
            </w:tcBorders>
            <w:shd w:val="clear" w:color="000000" w:fill="FFFFFF"/>
            <w:vAlign w:val="center"/>
            <w:hideMark/>
          </w:tcPr>
          <w:p w14:paraId="322A5D2B"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1.446,84</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1E44F973"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1.545,87</w:t>
            </w:r>
          </w:p>
        </w:tc>
      </w:tr>
      <w:tr w:rsidR="00247CBF" w:rsidRPr="00092ED7" w14:paraId="0B2DB0FC"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620E9DF0"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18. Укупни социјални трансфери</w:t>
            </w:r>
          </w:p>
        </w:tc>
        <w:tc>
          <w:tcPr>
            <w:tcW w:w="100" w:type="pct"/>
            <w:tcBorders>
              <w:top w:val="nil"/>
              <w:left w:val="nil"/>
              <w:bottom w:val="dotted" w:sz="4" w:space="0" w:color="auto"/>
              <w:right w:val="single" w:sz="8" w:space="0" w:color="auto"/>
            </w:tcBorders>
            <w:shd w:val="clear" w:color="000000" w:fill="FFFFFF"/>
            <w:vAlign w:val="center"/>
            <w:hideMark/>
          </w:tcPr>
          <w:p w14:paraId="65CDE0D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2637A473"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D62 + D63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FAC8B6C"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850,03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96D7830"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921,94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7A8ADFD"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1.041,59</w:t>
            </w:r>
          </w:p>
        </w:tc>
        <w:tc>
          <w:tcPr>
            <w:tcW w:w="352" w:type="pct"/>
            <w:tcBorders>
              <w:top w:val="nil"/>
              <w:left w:val="nil"/>
              <w:bottom w:val="dotted" w:sz="4" w:space="0" w:color="auto"/>
              <w:right w:val="dotted" w:sz="4" w:space="0" w:color="auto"/>
            </w:tcBorders>
            <w:shd w:val="clear" w:color="000000" w:fill="FFFFFF"/>
            <w:vAlign w:val="center"/>
            <w:hideMark/>
          </w:tcPr>
          <w:p w14:paraId="7D27B9F8"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1.155,19</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781650FB"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1.242,95</w:t>
            </w:r>
          </w:p>
        </w:tc>
      </w:tr>
      <w:tr w:rsidR="00247CBF" w:rsidRPr="00092ED7" w14:paraId="129C82F2"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72EB7A80"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18a. Неновчани социјални трансфери</w:t>
            </w:r>
          </w:p>
        </w:tc>
        <w:tc>
          <w:tcPr>
            <w:tcW w:w="100" w:type="pct"/>
            <w:tcBorders>
              <w:top w:val="nil"/>
              <w:left w:val="nil"/>
              <w:bottom w:val="dotted" w:sz="4" w:space="0" w:color="auto"/>
              <w:right w:val="single" w:sz="8" w:space="0" w:color="auto"/>
            </w:tcBorders>
            <w:shd w:val="clear" w:color="000000" w:fill="FFFFFF"/>
            <w:vAlign w:val="center"/>
            <w:hideMark/>
          </w:tcPr>
          <w:p w14:paraId="4EC7813A"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56B56A4E"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P31 = D63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8BC232F"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49E6451"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B7B51A4"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w:t>
            </w:r>
          </w:p>
        </w:tc>
        <w:tc>
          <w:tcPr>
            <w:tcW w:w="352" w:type="pct"/>
            <w:tcBorders>
              <w:top w:val="nil"/>
              <w:left w:val="nil"/>
              <w:bottom w:val="dotted" w:sz="4" w:space="0" w:color="auto"/>
              <w:right w:val="dotted" w:sz="4" w:space="0" w:color="auto"/>
            </w:tcBorders>
            <w:shd w:val="clear" w:color="000000" w:fill="FFFFFF"/>
            <w:vAlign w:val="center"/>
            <w:hideMark/>
          </w:tcPr>
          <w:p w14:paraId="04F7CEBB"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31C2A0B8"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w:t>
            </w:r>
          </w:p>
        </w:tc>
      </w:tr>
      <w:tr w:rsidR="00247CBF" w:rsidRPr="00092ED7" w14:paraId="0EDEEFB2"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19583810"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18б. Социјални трансфери осим неновчаних</w:t>
            </w:r>
          </w:p>
        </w:tc>
        <w:tc>
          <w:tcPr>
            <w:tcW w:w="100" w:type="pct"/>
            <w:tcBorders>
              <w:top w:val="nil"/>
              <w:left w:val="nil"/>
              <w:bottom w:val="dotted" w:sz="4" w:space="0" w:color="auto"/>
              <w:right w:val="single" w:sz="8" w:space="0" w:color="auto"/>
            </w:tcBorders>
            <w:shd w:val="clear" w:color="000000" w:fill="FFFFFF"/>
            <w:vAlign w:val="center"/>
            <w:hideMark/>
          </w:tcPr>
          <w:p w14:paraId="686B6F7D"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7CA0F8A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D62</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46703499"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850,03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99EBD41"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921,94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9CF4121"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1.041,59</w:t>
            </w:r>
          </w:p>
        </w:tc>
        <w:tc>
          <w:tcPr>
            <w:tcW w:w="352" w:type="pct"/>
            <w:tcBorders>
              <w:top w:val="nil"/>
              <w:left w:val="nil"/>
              <w:bottom w:val="dotted" w:sz="4" w:space="0" w:color="auto"/>
              <w:right w:val="dotted" w:sz="4" w:space="0" w:color="auto"/>
            </w:tcBorders>
            <w:shd w:val="clear" w:color="000000" w:fill="FFFFFF"/>
            <w:vAlign w:val="center"/>
            <w:hideMark/>
          </w:tcPr>
          <w:p w14:paraId="5F0252A6"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1.155,19</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772984F7"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1.242,95</w:t>
            </w:r>
          </w:p>
        </w:tc>
      </w:tr>
      <w:tr w:rsidR="00247CBF" w:rsidRPr="00092ED7" w14:paraId="025D9C14"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199E2BCD"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 xml:space="preserve">18 = 9. Расходи за камате (укљ. FISIM) </w:t>
            </w:r>
          </w:p>
        </w:tc>
        <w:tc>
          <w:tcPr>
            <w:tcW w:w="100" w:type="pct"/>
            <w:tcBorders>
              <w:top w:val="nil"/>
              <w:left w:val="nil"/>
              <w:bottom w:val="dotted" w:sz="4" w:space="0" w:color="auto"/>
              <w:right w:val="single" w:sz="8" w:space="0" w:color="auto"/>
            </w:tcBorders>
            <w:shd w:val="clear" w:color="000000" w:fill="FFFFFF"/>
            <w:vAlign w:val="center"/>
            <w:hideMark/>
          </w:tcPr>
          <w:p w14:paraId="64030A6C"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63B3BEDA"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EDP.D41 + FISIM</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1ADA770"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108,75</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DFD18EC"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115,60</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1B22080"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145,90</w:t>
            </w:r>
          </w:p>
        </w:tc>
        <w:tc>
          <w:tcPr>
            <w:tcW w:w="352" w:type="pct"/>
            <w:tcBorders>
              <w:top w:val="nil"/>
              <w:left w:val="nil"/>
              <w:bottom w:val="dotted" w:sz="4" w:space="0" w:color="auto"/>
              <w:right w:val="dotted" w:sz="4" w:space="0" w:color="auto"/>
            </w:tcBorders>
            <w:shd w:val="clear" w:color="000000" w:fill="FFFFFF"/>
            <w:vAlign w:val="center"/>
            <w:hideMark/>
          </w:tcPr>
          <w:p w14:paraId="5995CEB3"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180,60</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6327A123"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183,30</w:t>
            </w:r>
          </w:p>
        </w:tc>
      </w:tr>
      <w:tr w:rsidR="00247CBF" w:rsidRPr="00092ED7" w14:paraId="65CB97CA"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5C394F01"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19. Субвенције</w:t>
            </w:r>
          </w:p>
        </w:tc>
        <w:tc>
          <w:tcPr>
            <w:tcW w:w="100" w:type="pct"/>
            <w:tcBorders>
              <w:top w:val="nil"/>
              <w:left w:val="nil"/>
              <w:bottom w:val="dotted" w:sz="4" w:space="0" w:color="auto"/>
              <w:right w:val="single" w:sz="8" w:space="0" w:color="auto"/>
            </w:tcBorders>
            <w:shd w:val="clear" w:color="000000" w:fill="FFFFFF"/>
            <w:vAlign w:val="center"/>
            <w:hideMark/>
          </w:tcPr>
          <w:p w14:paraId="1D98CBDC"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09D17005"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42C33307"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206,26</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5896AC2"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186,43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3D17ECE"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220,06</w:t>
            </w:r>
          </w:p>
        </w:tc>
        <w:tc>
          <w:tcPr>
            <w:tcW w:w="352" w:type="pct"/>
            <w:tcBorders>
              <w:top w:val="nil"/>
              <w:left w:val="nil"/>
              <w:bottom w:val="dotted" w:sz="4" w:space="0" w:color="auto"/>
              <w:right w:val="dotted" w:sz="4" w:space="0" w:color="auto"/>
            </w:tcBorders>
            <w:shd w:val="clear" w:color="000000" w:fill="FFFFFF"/>
            <w:vAlign w:val="center"/>
            <w:hideMark/>
          </w:tcPr>
          <w:p w14:paraId="66FA4EA5"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190,41</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2BA7F76B"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201,18</w:t>
            </w:r>
          </w:p>
        </w:tc>
      </w:tr>
      <w:tr w:rsidR="00247CBF" w:rsidRPr="00092ED7" w14:paraId="4CAC4CFC"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4E8B0B01"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20. Бруто инвестиције у основна средства</w:t>
            </w:r>
          </w:p>
        </w:tc>
        <w:tc>
          <w:tcPr>
            <w:tcW w:w="100" w:type="pct"/>
            <w:tcBorders>
              <w:top w:val="nil"/>
              <w:left w:val="nil"/>
              <w:bottom w:val="dotted" w:sz="4" w:space="0" w:color="auto"/>
              <w:right w:val="single" w:sz="8" w:space="0" w:color="auto"/>
            </w:tcBorders>
            <w:shd w:val="clear" w:color="000000" w:fill="FFFFFF"/>
            <w:vAlign w:val="center"/>
            <w:hideMark/>
          </w:tcPr>
          <w:p w14:paraId="47321169"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66D2C022"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P51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E21D422"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466,63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2D3F8E4"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516,03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90002D2"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545,50</w:t>
            </w:r>
          </w:p>
        </w:tc>
        <w:tc>
          <w:tcPr>
            <w:tcW w:w="352" w:type="pct"/>
            <w:tcBorders>
              <w:top w:val="nil"/>
              <w:left w:val="nil"/>
              <w:bottom w:val="dotted" w:sz="4" w:space="0" w:color="auto"/>
              <w:right w:val="dotted" w:sz="4" w:space="0" w:color="auto"/>
            </w:tcBorders>
            <w:shd w:val="clear" w:color="000000" w:fill="FFFFFF"/>
            <w:vAlign w:val="center"/>
            <w:hideMark/>
          </w:tcPr>
          <w:p w14:paraId="6078EA69"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561,44</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19C599DC"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581,94</w:t>
            </w:r>
          </w:p>
        </w:tc>
      </w:tr>
      <w:tr w:rsidR="00247CBF" w:rsidRPr="00092ED7" w14:paraId="3A375DB8"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09124501"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21. Друго (21 = 22-(16+17+18+19+20) [6]</w:t>
            </w:r>
          </w:p>
        </w:tc>
        <w:tc>
          <w:tcPr>
            <w:tcW w:w="100" w:type="pct"/>
            <w:tcBorders>
              <w:top w:val="nil"/>
              <w:left w:val="nil"/>
              <w:bottom w:val="dotted" w:sz="4" w:space="0" w:color="auto"/>
              <w:right w:val="single" w:sz="8" w:space="0" w:color="auto"/>
            </w:tcBorders>
            <w:shd w:val="clear" w:color="000000" w:fill="FFFFFF"/>
            <w:vAlign w:val="center"/>
            <w:hideMark/>
          </w:tcPr>
          <w:p w14:paraId="1CEDE89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6E00CFA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02B41F7"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220,37</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68E63CC"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338,01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F972C07"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253,71</w:t>
            </w:r>
          </w:p>
        </w:tc>
        <w:tc>
          <w:tcPr>
            <w:tcW w:w="352" w:type="pct"/>
            <w:tcBorders>
              <w:top w:val="nil"/>
              <w:left w:val="nil"/>
              <w:bottom w:val="dotted" w:sz="4" w:space="0" w:color="auto"/>
              <w:right w:val="dotted" w:sz="4" w:space="0" w:color="auto"/>
            </w:tcBorders>
            <w:shd w:val="clear" w:color="000000" w:fill="FFFFFF"/>
            <w:vAlign w:val="center"/>
            <w:hideMark/>
          </w:tcPr>
          <w:p w14:paraId="0580D4C0"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198,66</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3A6E72D0"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146,55</w:t>
            </w:r>
          </w:p>
        </w:tc>
      </w:tr>
      <w:tr w:rsidR="00247CBF" w:rsidRPr="00092ED7" w14:paraId="7FDC64D4"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7913329C"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22. Укупни расходи</w:t>
            </w:r>
          </w:p>
        </w:tc>
        <w:tc>
          <w:tcPr>
            <w:tcW w:w="100" w:type="pct"/>
            <w:tcBorders>
              <w:top w:val="nil"/>
              <w:left w:val="nil"/>
              <w:bottom w:val="dotted" w:sz="4" w:space="0" w:color="auto"/>
              <w:right w:val="single" w:sz="8" w:space="0" w:color="auto"/>
            </w:tcBorders>
            <w:shd w:val="clear" w:color="000000" w:fill="FFFFFF"/>
            <w:vAlign w:val="center"/>
            <w:hideMark/>
          </w:tcPr>
          <w:p w14:paraId="7089718C"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63D5F0D5"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TE [1]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18507A7"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2.971,32</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7835735"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3.317,34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4B52EF2"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3.547,48</w:t>
            </w:r>
          </w:p>
        </w:tc>
        <w:tc>
          <w:tcPr>
            <w:tcW w:w="352" w:type="pct"/>
            <w:tcBorders>
              <w:top w:val="nil"/>
              <w:left w:val="nil"/>
              <w:bottom w:val="dotted" w:sz="4" w:space="0" w:color="auto"/>
              <w:right w:val="dotted" w:sz="4" w:space="0" w:color="auto"/>
            </w:tcBorders>
            <w:shd w:val="clear" w:color="000000" w:fill="FFFFFF"/>
            <w:vAlign w:val="center"/>
            <w:hideMark/>
          </w:tcPr>
          <w:p w14:paraId="45D6D793"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3.733,14</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5E18FE30"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3.901,79</w:t>
            </w:r>
          </w:p>
        </w:tc>
      </w:tr>
      <w:tr w:rsidR="00247CBF" w:rsidRPr="00092ED7" w14:paraId="096E1118" w14:textId="77777777" w:rsidTr="00247CBF">
        <w:trPr>
          <w:trHeight w:val="227"/>
        </w:trPr>
        <w:tc>
          <w:tcPr>
            <w:tcW w:w="2658" w:type="pct"/>
            <w:tcBorders>
              <w:top w:val="nil"/>
              <w:left w:val="double" w:sz="6" w:space="0" w:color="auto"/>
              <w:bottom w:val="double" w:sz="6" w:space="0" w:color="auto"/>
              <w:right w:val="nil"/>
            </w:tcBorders>
            <w:shd w:val="clear" w:color="000000" w:fill="FFFFFF"/>
            <w:vAlign w:val="center"/>
            <w:hideMark/>
          </w:tcPr>
          <w:p w14:paraId="451520B6"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Информативно: Зараде и накнаде запосленима у јавном сектору</w:t>
            </w:r>
          </w:p>
        </w:tc>
        <w:tc>
          <w:tcPr>
            <w:tcW w:w="100" w:type="pct"/>
            <w:tcBorders>
              <w:top w:val="nil"/>
              <w:left w:val="nil"/>
              <w:bottom w:val="double" w:sz="6" w:space="0" w:color="auto"/>
              <w:right w:val="single" w:sz="8" w:space="0" w:color="auto"/>
            </w:tcBorders>
            <w:shd w:val="clear" w:color="000000" w:fill="FFFFFF"/>
            <w:vAlign w:val="bottom"/>
            <w:hideMark/>
          </w:tcPr>
          <w:p w14:paraId="5694BE2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uble" w:sz="6" w:space="0" w:color="auto"/>
              <w:right w:val="single" w:sz="8" w:space="0" w:color="auto"/>
            </w:tcBorders>
            <w:shd w:val="clear" w:color="000000" w:fill="FFFFFF"/>
            <w:vAlign w:val="bottom"/>
            <w:hideMark/>
          </w:tcPr>
          <w:p w14:paraId="234FEEC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D1</w:t>
            </w:r>
          </w:p>
        </w:tc>
        <w:tc>
          <w:tcPr>
            <w:tcW w:w="352" w:type="pct"/>
            <w:gridSpan w:val="2"/>
            <w:tcBorders>
              <w:top w:val="nil"/>
              <w:left w:val="nil"/>
              <w:bottom w:val="double" w:sz="6" w:space="0" w:color="auto"/>
              <w:right w:val="dotted" w:sz="4" w:space="0" w:color="auto"/>
            </w:tcBorders>
            <w:shd w:val="clear" w:color="000000" w:fill="FFFFFF"/>
            <w:vAlign w:val="center"/>
            <w:hideMark/>
          </w:tcPr>
          <w:p w14:paraId="4C8837DC"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628,97</w:t>
            </w:r>
          </w:p>
        </w:tc>
        <w:tc>
          <w:tcPr>
            <w:tcW w:w="352" w:type="pct"/>
            <w:gridSpan w:val="2"/>
            <w:tcBorders>
              <w:top w:val="nil"/>
              <w:left w:val="nil"/>
              <w:bottom w:val="double" w:sz="6" w:space="0" w:color="auto"/>
              <w:right w:val="dotted" w:sz="4" w:space="0" w:color="auto"/>
            </w:tcBorders>
            <w:shd w:val="clear" w:color="000000" w:fill="FFFFFF"/>
            <w:vAlign w:val="center"/>
            <w:hideMark/>
          </w:tcPr>
          <w:p w14:paraId="20D3DE85"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688,68</w:t>
            </w:r>
          </w:p>
        </w:tc>
        <w:tc>
          <w:tcPr>
            <w:tcW w:w="352" w:type="pct"/>
            <w:gridSpan w:val="2"/>
            <w:tcBorders>
              <w:top w:val="nil"/>
              <w:left w:val="nil"/>
              <w:bottom w:val="double" w:sz="6" w:space="0" w:color="auto"/>
              <w:right w:val="dotted" w:sz="4" w:space="0" w:color="auto"/>
            </w:tcBorders>
            <w:shd w:val="clear" w:color="000000" w:fill="FFFFFF"/>
            <w:vAlign w:val="center"/>
            <w:hideMark/>
          </w:tcPr>
          <w:p w14:paraId="7B0C67DC"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766,53</w:t>
            </w:r>
          </w:p>
        </w:tc>
        <w:tc>
          <w:tcPr>
            <w:tcW w:w="352" w:type="pct"/>
            <w:tcBorders>
              <w:top w:val="nil"/>
              <w:left w:val="nil"/>
              <w:bottom w:val="double" w:sz="6" w:space="0" w:color="auto"/>
              <w:right w:val="dotted" w:sz="4" w:space="0" w:color="auto"/>
            </w:tcBorders>
            <w:shd w:val="clear" w:color="000000" w:fill="FFFFFF"/>
            <w:vAlign w:val="center"/>
            <w:hideMark/>
          </w:tcPr>
          <w:p w14:paraId="25F95112"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839,54</w:t>
            </w:r>
          </w:p>
        </w:tc>
        <w:tc>
          <w:tcPr>
            <w:tcW w:w="351" w:type="pct"/>
            <w:gridSpan w:val="2"/>
            <w:tcBorders>
              <w:top w:val="nil"/>
              <w:left w:val="nil"/>
              <w:bottom w:val="double" w:sz="6" w:space="0" w:color="auto"/>
              <w:right w:val="double" w:sz="6" w:space="0" w:color="auto"/>
            </w:tcBorders>
            <w:shd w:val="clear" w:color="000000" w:fill="FFFFFF"/>
            <w:vAlign w:val="center"/>
            <w:hideMark/>
          </w:tcPr>
          <w:p w14:paraId="68A7D39D"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912,56</w:t>
            </w:r>
          </w:p>
        </w:tc>
      </w:tr>
      <w:tr w:rsidR="00247CBF" w:rsidRPr="00092ED7" w14:paraId="34FDFC4D" w14:textId="77777777" w:rsidTr="00247CBF">
        <w:trPr>
          <w:gridAfter w:val="1"/>
          <w:wAfter w:w="14" w:type="pct"/>
          <w:trHeight w:val="227"/>
        </w:trPr>
        <w:tc>
          <w:tcPr>
            <w:tcW w:w="4986" w:type="pct"/>
            <w:gridSpan w:val="12"/>
            <w:tcBorders>
              <w:top w:val="nil"/>
              <w:left w:val="nil"/>
              <w:bottom w:val="nil"/>
              <w:right w:val="nil"/>
            </w:tcBorders>
            <w:shd w:val="clear" w:color="auto" w:fill="auto"/>
            <w:noWrap/>
            <w:vAlign w:val="center"/>
            <w:hideMark/>
          </w:tcPr>
          <w:p w14:paraId="5E927E23" w14:textId="77777777" w:rsidR="00247CBF" w:rsidRPr="00092ED7" w:rsidRDefault="00247CBF" w:rsidP="00247CBF">
            <w:pPr>
              <w:spacing w:after="0" w:line="230" w:lineRule="auto"/>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[1]   Коригован за следећи ток по основу свопова, тако да је TR-TE = EDP.B9.</w:t>
            </w:r>
          </w:p>
        </w:tc>
      </w:tr>
      <w:tr w:rsidR="00247CBF" w:rsidRPr="00092ED7" w14:paraId="339B56F6" w14:textId="77777777" w:rsidTr="00247CBF">
        <w:trPr>
          <w:gridAfter w:val="1"/>
          <w:wAfter w:w="14" w:type="pct"/>
          <w:trHeight w:val="227"/>
        </w:trPr>
        <w:tc>
          <w:tcPr>
            <w:tcW w:w="4986" w:type="pct"/>
            <w:gridSpan w:val="12"/>
            <w:tcBorders>
              <w:top w:val="nil"/>
              <w:left w:val="nil"/>
              <w:bottom w:val="nil"/>
              <w:right w:val="nil"/>
            </w:tcBorders>
            <w:shd w:val="clear" w:color="000000" w:fill="FFFFFF"/>
            <w:noWrap/>
            <w:vAlign w:val="center"/>
            <w:hideMark/>
          </w:tcPr>
          <w:p w14:paraId="0EC4EBEB" w14:textId="77777777" w:rsidR="00247CBF" w:rsidRPr="00092ED7" w:rsidRDefault="00247CBF" w:rsidP="00247CBF">
            <w:pPr>
              <w:spacing w:after="0" w:line="230" w:lineRule="auto"/>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[2]   Примарни резултат се израчунава као (EDP.B9, ставка 8) плус (EDP D41 + FISIM приказан као међуфазна потрошња, ставка 9).</w:t>
            </w:r>
          </w:p>
        </w:tc>
      </w:tr>
      <w:tr w:rsidR="00247CBF" w:rsidRPr="00092ED7" w14:paraId="3850201F" w14:textId="77777777" w:rsidTr="00247CBF">
        <w:trPr>
          <w:gridAfter w:val="1"/>
          <w:wAfter w:w="14" w:type="pct"/>
          <w:trHeight w:val="227"/>
        </w:trPr>
        <w:tc>
          <w:tcPr>
            <w:tcW w:w="4986" w:type="pct"/>
            <w:gridSpan w:val="12"/>
            <w:tcBorders>
              <w:top w:val="nil"/>
              <w:left w:val="nil"/>
              <w:bottom w:val="nil"/>
              <w:right w:val="nil"/>
            </w:tcBorders>
            <w:shd w:val="clear" w:color="000000" w:fill="FFFFFF"/>
            <w:noWrap/>
            <w:vAlign w:val="center"/>
            <w:hideMark/>
          </w:tcPr>
          <w:p w14:paraId="6963E4DF" w14:textId="77777777" w:rsidR="00247CBF" w:rsidRPr="00092ED7" w:rsidRDefault="00247CBF" w:rsidP="00247CBF">
            <w:pPr>
              <w:spacing w:after="0" w:line="230" w:lineRule="auto"/>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[3]   Позитиван знак значи једнократне мере за смањење дефицита.</w:t>
            </w:r>
          </w:p>
        </w:tc>
      </w:tr>
      <w:tr w:rsidR="00247CBF" w:rsidRPr="00092ED7" w14:paraId="4465216F" w14:textId="77777777" w:rsidTr="00247CBF">
        <w:trPr>
          <w:gridAfter w:val="1"/>
          <w:wAfter w:w="14" w:type="pct"/>
          <w:trHeight w:val="227"/>
        </w:trPr>
        <w:tc>
          <w:tcPr>
            <w:tcW w:w="4986" w:type="pct"/>
            <w:gridSpan w:val="12"/>
            <w:tcBorders>
              <w:top w:val="nil"/>
              <w:left w:val="nil"/>
              <w:bottom w:val="nil"/>
              <w:right w:val="nil"/>
            </w:tcBorders>
            <w:shd w:val="clear" w:color="000000" w:fill="FFFFFF"/>
            <w:noWrap/>
            <w:vAlign w:val="center"/>
            <w:hideMark/>
          </w:tcPr>
          <w:p w14:paraId="74ED0852" w14:textId="77777777" w:rsidR="00247CBF" w:rsidRPr="00092ED7" w:rsidRDefault="00247CBF" w:rsidP="00247CBF">
            <w:pPr>
              <w:spacing w:after="0" w:line="230" w:lineRule="auto"/>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[4]   P.11+P.12+P.131+D.39+D.7+D.9 (осим D.91).</w:t>
            </w:r>
          </w:p>
        </w:tc>
      </w:tr>
      <w:tr w:rsidR="00247CBF" w:rsidRPr="00092ED7" w14:paraId="4EEFA935" w14:textId="77777777" w:rsidTr="00247CBF">
        <w:trPr>
          <w:gridAfter w:val="1"/>
          <w:wAfter w:w="14" w:type="pct"/>
          <w:trHeight w:val="227"/>
        </w:trPr>
        <w:tc>
          <w:tcPr>
            <w:tcW w:w="4986" w:type="pct"/>
            <w:gridSpan w:val="12"/>
            <w:tcBorders>
              <w:top w:val="nil"/>
              <w:left w:val="nil"/>
              <w:bottom w:val="nil"/>
              <w:right w:val="nil"/>
            </w:tcBorders>
            <w:shd w:val="clear" w:color="000000" w:fill="FFFFFF"/>
            <w:noWrap/>
            <w:vAlign w:val="center"/>
            <w:hideMark/>
          </w:tcPr>
          <w:p w14:paraId="76C06BAC" w14:textId="77777777" w:rsidR="00247CBF" w:rsidRPr="00092ED7" w:rsidRDefault="00247CBF" w:rsidP="00247CBF">
            <w:pPr>
              <w:spacing w:after="0" w:line="230" w:lineRule="auto"/>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[5]   Укључујући оне које наплаћује ЕУ и укључујући корекцију за ненаплаћене порезе и доприносе за социјално осигурање (D995), где је то случај.</w:t>
            </w:r>
          </w:p>
        </w:tc>
      </w:tr>
      <w:tr w:rsidR="00247CBF" w:rsidRPr="00092ED7" w14:paraId="0A93C4AB" w14:textId="77777777" w:rsidTr="00247CBF">
        <w:trPr>
          <w:gridAfter w:val="1"/>
          <w:wAfter w:w="14" w:type="pct"/>
          <w:trHeight w:val="227"/>
        </w:trPr>
        <w:tc>
          <w:tcPr>
            <w:tcW w:w="4986" w:type="pct"/>
            <w:gridSpan w:val="12"/>
            <w:tcBorders>
              <w:top w:val="nil"/>
              <w:left w:val="nil"/>
              <w:bottom w:val="nil"/>
              <w:right w:val="nil"/>
            </w:tcBorders>
            <w:shd w:val="clear" w:color="000000" w:fill="FFFFFF"/>
            <w:noWrap/>
            <w:vAlign w:val="center"/>
            <w:hideMark/>
          </w:tcPr>
          <w:p w14:paraId="5B3B3CAE" w14:textId="77777777" w:rsidR="00247CBF" w:rsidRPr="00092ED7" w:rsidRDefault="00247CBF" w:rsidP="00247CBF">
            <w:pPr>
              <w:spacing w:after="0" w:line="230" w:lineRule="auto"/>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[6]  D.29+D4 (осим D.41)+ D.5+D.7+D.9+P.52+P.53+K.2+D.8</w:t>
            </w:r>
          </w:p>
        </w:tc>
      </w:tr>
    </w:tbl>
    <w:p w14:paraId="61EC8559" w14:textId="77777777" w:rsidR="00247CBF" w:rsidRPr="00092ED7" w:rsidRDefault="00247CBF" w:rsidP="00247CBF">
      <w:pPr>
        <w:spacing w:after="0" w:line="259" w:lineRule="auto"/>
        <w:rPr>
          <w:rFonts w:cs="Times New Roman"/>
          <w:b/>
          <w:sz w:val="20"/>
          <w:szCs w:val="20"/>
          <w:lang w:val="sr-Cyrl-CS"/>
        </w:rPr>
      </w:pPr>
    </w:p>
    <w:p w14:paraId="49C48E22" w14:textId="77777777" w:rsidR="00247CBF" w:rsidRPr="00092ED7" w:rsidRDefault="00247CBF" w:rsidP="00247CBF">
      <w:pPr>
        <w:pStyle w:val="Heading3"/>
        <w:rPr>
          <w:rFonts w:ascii="Times New Roman" w:hAnsi="Times New Roman" w:cs="Times New Roman"/>
          <w:b/>
          <w:color w:val="auto"/>
          <w:sz w:val="20"/>
          <w:szCs w:val="20"/>
          <w:lang w:val="sr-Cyrl-CS"/>
        </w:rPr>
      </w:pPr>
      <w:bookmarkStart w:id="137" w:name="_Toc124174829"/>
      <w:bookmarkStart w:id="138" w:name="_Toc126218647"/>
      <w:r w:rsidRPr="00092ED7">
        <w:rPr>
          <w:rFonts w:ascii="Times New Roman" w:hAnsi="Times New Roman" w:cs="Times New Roman"/>
          <w:b/>
          <w:color w:val="auto"/>
          <w:sz w:val="20"/>
          <w:szCs w:val="20"/>
          <w:lang w:val="sr-Cyrl-CS"/>
        </w:rPr>
        <w:t>Tабела 2c: Дискреционе мере усвојене/најављене у складу са Програмом</w:t>
      </w:r>
      <w:bookmarkEnd w:id="137"/>
      <w:bookmarkEnd w:id="138"/>
    </w:p>
    <w:tbl>
      <w:tblPr>
        <w:tblW w:w="14737" w:type="dxa"/>
        <w:tblInd w:w="-23" w:type="dxa"/>
        <w:tblLayout w:type="fixed"/>
        <w:tblLook w:val="04A0" w:firstRow="1" w:lastRow="0" w:firstColumn="1" w:lastColumn="0" w:noHBand="0" w:noVBand="1"/>
      </w:tblPr>
      <w:tblGrid>
        <w:gridCol w:w="23"/>
        <w:gridCol w:w="5101"/>
        <w:gridCol w:w="1397"/>
        <w:gridCol w:w="2693"/>
        <w:gridCol w:w="920"/>
        <w:gridCol w:w="921"/>
        <w:gridCol w:w="920"/>
        <w:gridCol w:w="921"/>
        <w:gridCol w:w="920"/>
        <w:gridCol w:w="785"/>
        <w:gridCol w:w="136"/>
      </w:tblGrid>
      <w:tr w:rsidR="00247CBF" w:rsidRPr="00092ED7" w14:paraId="48AC2FF2" w14:textId="77777777" w:rsidTr="00247CBF">
        <w:trPr>
          <w:gridBefore w:val="1"/>
          <w:wBefore w:w="23" w:type="dxa"/>
          <w:trHeight w:val="227"/>
        </w:trPr>
        <w:tc>
          <w:tcPr>
            <w:tcW w:w="5101" w:type="dxa"/>
            <w:vMerge w:val="restart"/>
            <w:tcBorders>
              <w:top w:val="double" w:sz="6" w:space="0" w:color="auto"/>
              <w:left w:val="double" w:sz="6" w:space="0" w:color="auto"/>
              <w:right w:val="single" w:sz="4" w:space="0" w:color="auto"/>
            </w:tcBorders>
            <w:shd w:val="clear" w:color="auto" w:fill="auto"/>
            <w:noWrap/>
            <w:vAlign w:val="center"/>
          </w:tcPr>
          <w:p w14:paraId="148D9049" w14:textId="77777777" w:rsidR="00247CBF" w:rsidRPr="00092ED7" w:rsidRDefault="00247CBF" w:rsidP="00247CBF">
            <w:pPr>
              <w:spacing w:after="0" w:line="233" w:lineRule="auto"/>
              <w:rPr>
                <w:rFonts w:cs="Times New Roman"/>
                <w:sz w:val="20"/>
                <w:szCs w:val="20"/>
                <w:lang w:val="sr-Cyrl-CS"/>
              </w:rPr>
            </w:pPr>
            <w:r w:rsidRPr="00092ED7">
              <w:rPr>
                <w:rFonts w:cs="Times New Roman"/>
                <w:sz w:val="20"/>
                <w:szCs w:val="20"/>
                <w:lang w:val="sr-Cyrl-CS"/>
              </w:rPr>
              <w:t>Мере</w:t>
            </w:r>
          </w:p>
        </w:tc>
        <w:tc>
          <w:tcPr>
            <w:tcW w:w="1397" w:type="dxa"/>
            <w:vMerge w:val="restart"/>
            <w:tcBorders>
              <w:top w:val="double" w:sz="6" w:space="0" w:color="auto"/>
              <w:left w:val="single" w:sz="4" w:space="0" w:color="auto"/>
              <w:right w:val="single" w:sz="4" w:space="0" w:color="auto"/>
            </w:tcBorders>
            <w:shd w:val="clear" w:color="auto" w:fill="auto"/>
            <w:noWrap/>
            <w:vAlign w:val="center"/>
            <w:hideMark/>
          </w:tcPr>
          <w:p w14:paraId="15E50382" w14:textId="77777777" w:rsidR="00247CBF" w:rsidRPr="00092ED7" w:rsidRDefault="00247CBF" w:rsidP="00247CBF">
            <w:pPr>
              <w:spacing w:after="0" w:line="233" w:lineRule="auto"/>
              <w:jc w:val="center"/>
              <w:rPr>
                <w:rFonts w:cs="Times New Roman"/>
                <w:sz w:val="20"/>
                <w:szCs w:val="20"/>
                <w:lang w:val="sr-Cyrl-CS"/>
              </w:rPr>
            </w:pPr>
            <w:r w:rsidRPr="00092ED7">
              <w:rPr>
                <w:rFonts w:cs="Times New Roman"/>
                <w:sz w:val="20"/>
                <w:szCs w:val="20"/>
                <w:lang w:val="sr-Cyrl-CS"/>
              </w:rPr>
              <w:t>ESA шифра (расходна / приходна компонента)</w:t>
            </w:r>
          </w:p>
        </w:tc>
        <w:tc>
          <w:tcPr>
            <w:tcW w:w="2693" w:type="dxa"/>
            <w:vMerge w:val="restart"/>
            <w:tcBorders>
              <w:top w:val="double" w:sz="6" w:space="0" w:color="auto"/>
              <w:left w:val="single" w:sz="4" w:space="0" w:color="auto"/>
              <w:bottom w:val="single" w:sz="8" w:space="0" w:color="auto"/>
              <w:right w:val="single" w:sz="4" w:space="0" w:color="auto"/>
            </w:tcBorders>
            <w:shd w:val="clear" w:color="auto" w:fill="auto"/>
            <w:noWrap/>
            <w:vAlign w:val="center"/>
            <w:hideMark/>
          </w:tcPr>
          <w:p w14:paraId="0DC4548B" w14:textId="77777777" w:rsidR="00247CBF" w:rsidRPr="00092ED7" w:rsidRDefault="00247CBF" w:rsidP="00247CBF">
            <w:pPr>
              <w:spacing w:after="0" w:line="233" w:lineRule="auto"/>
              <w:jc w:val="center"/>
              <w:rPr>
                <w:rFonts w:cs="Times New Roman"/>
                <w:sz w:val="20"/>
                <w:szCs w:val="20"/>
                <w:lang w:val="sr-Cyrl-CS"/>
              </w:rPr>
            </w:pPr>
            <w:r w:rsidRPr="00092ED7">
              <w:rPr>
                <w:rFonts w:cs="Times New Roman"/>
                <w:sz w:val="20"/>
                <w:szCs w:val="20"/>
                <w:lang w:val="sr-Cyrl-CS"/>
              </w:rPr>
              <w:t>Датум усвајања</w:t>
            </w:r>
          </w:p>
        </w:tc>
        <w:tc>
          <w:tcPr>
            <w:tcW w:w="92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3FEC0275" w14:textId="77777777" w:rsidR="00247CBF" w:rsidRPr="00092ED7" w:rsidRDefault="00247CBF" w:rsidP="00247CBF">
            <w:pPr>
              <w:spacing w:after="0" w:line="233" w:lineRule="auto"/>
              <w:jc w:val="center"/>
              <w:rPr>
                <w:b/>
                <w:bCs/>
                <w:sz w:val="20"/>
                <w:szCs w:val="20"/>
                <w:lang w:val="sr-Cyrl-CS"/>
              </w:rPr>
            </w:pPr>
            <w:r w:rsidRPr="00092ED7">
              <w:rPr>
                <w:b/>
                <w:bCs/>
                <w:sz w:val="20"/>
                <w:szCs w:val="20"/>
                <w:lang w:val="sr-Cyrl-CS"/>
              </w:rPr>
              <w:t>2020</w:t>
            </w:r>
          </w:p>
        </w:tc>
        <w:tc>
          <w:tcPr>
            <w:tcW w:w="921"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5C27118D" w14:textId="77777777" w:rsidR="00247CBF" w:rsidRPr="00092ED7" w:rsidRDefault="00247CBF" w:rsidP="00247CBF">
            <w:pPr>
              <w:spacing w:after="0" w:line="233" w:lineRule="auto"/>
              <w:jc w:val="center"/>
              <w:rPr>
                <w:b/>
                <w:bCs/>
                <w:sz w:val="20"/>
                <w:szCs w:val="20"/>
                <w:lang w:val="sr-Cyrl-CS"/>
              </w:rPr>
            </w:pPr>
            <w:r w:rsidRPr="00092ED7">
              <w:rPr>
                <w:b/>
                <w:bCs/>
                <w:sz w:val="20"/>
                <w:szCs w:val="20"/>
                <w:lang w:val="sr-Cyrl-CS"/>
              </w:rPr>
              <w:t>2021</w:t>
            </w:r>
          </w:p>
        </w:tc>
        <w:tc>
          <w:tcPr>
            <w:tcW w:w="92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61D94043" w14:textId="77777777" w:rsidR="00247CBF" w:rsidRPr="00092ED7" w:rsidRDefault="00247CBF" w:rsidP="00247CBF">
            <w:pPr>
              <w:spacing w:after="0" w:line="233" w:lineRule="auto"/>
              <w:jc w:val="center"/>
              <w:rPr>
                <w:b/>
                <w:bCs/>
                <w:sz w:val="20"/>
                <w:szCs w:val="20"/>
                <w:lang w:val="sr-Cyrl-CS"/>
              </w:rPr>
            </w:pPr>
            <w:r w:rsidRPr="00092ED7">
              <w:rPr>
                <w:b/>
                <w:bCs/>
                <w:sz w:val="20"/>
                <w:szCs w:val="20"/>
                <w:lang w:val="sr-Cyrl-CS"/>
              </w:rPr>
              <w:t>2022</w:t>
            </w:r>
          </w:p>
        </w:tc>
        <w:tc>
          <w:tcPr>
            <w:tcW w:w="921"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668335B6" w14:textId="77777777" w:rsidR="00247CBF" w:rsidRPr="00092ED7" w:rsidRDefault="00247CBF" w:rsidP="00247CBF">
            <w:pPr>
              <w:spacing w:after="0" w:line="233" w:lineRule="auto"/>
              <w:jc w:val="center"/>
              <w:rPr>
                <w:b/>
                <w:bCs/>
                <w:sz w:val="20"/>
                <w:szCs w:val="20"/>
                <w:lang w:val="sr-Cyrl-CS"/>
              </w:rPr>
            </w:pPr>
            <w:r w:rsidRPr="00092ED7">
              <w:rPr>
                <w:b/>
                <w:bCs/>
                <w:sz w:val="20"/>
                <w:szCs w:val="20"/>
                <w:lang w:val="sr-Cyrl-CS"/>
              </w:rPr>
              <w:t>2023</w:t>
            </w:r>
          </w:p>
        </w:tc>
        <w:tc>
          <w:tcPr>
            <w:tcW w:w="920" w:type="dxa"/>
            <w:tcBorders>
              <w:top w:val="double" w:sz="6" w:space="0" w:color="auto"/>
              <w:left w:val="single" w:sz="4" w:space="0" w:color="auto"/>
              <w:bottom w:val="single" w:sz="4" w:space="0" w:color="auto"/>
              <w:right w:val="single" w:sz="4" w:space="0" w:color="auto"/>
            </w:tcBorders>
            <w:vAlign w:val="center"/>
          </w:tcPr>
          <w:p w14:paraId="52B06C1F" w14:textId="77777777" w:rsidR="00247CBF" w:rsidRPr="00092ED7" w:rsidRDefault="00247CBF" w:rsidP="00247CBF">
            <w:pPr>
              <w:spacing w:after="0" w:line="233" w:lineRule="auto"/>
              <w:jc w:val="center"/>
              <w:rPr>
                <w:b/>
                <w:bCs/>
                <w:sz w:val="20"/>
                <w:szCs w:val="20"/>
                <w:lang w:val="sr-Cyrl-CS"/>
              </w:rPr>
            </w:pPr>
            <w:r w:rsidRPr="00092ED7">
              <w:rPr>
                <w:b/>
                <w:bCs/>
                <w:sz w:val="20"/>
                <w:szCs w:val="20"/>
                <w:lang w:val="sr-Cyrl-CS"/>
              </w:rPr>
              <w:t>2024</w:t>
            </w:r>
          </w:p>
        </w:tc>
        <w:tc>
          <w:tcPr>
            <w:tcW w:w="921" w:type="dxa"/>
            <w:gridSpan w:val="2"/>
            <w:tcBorders>
              <w:top w:val="double" w:sz="6" w:space="0" w:color="auto"/>
              <w:left w:val="single" w:sz="4" w:space="0" w:color="auto"/>
              <w:bottom w:val="single" w:sz="4" w:space="0" w:color="auto"/>
              <w:right w:val="double" w:sz="6" w:space="0" w:color="auto"/>
            </w:tcBorders>
            <w:shd w:val="clear" w:color="auto" w:fill="auto"/>
            <w:noWrap/>
            <w:vAlign w:val="center"/>
            <w:hideMark/>
          </w:tcPr>
          <w:p w14:paraId="5530B568" w14:textId="77777777" w:rsidR="00247CBF" w:rsidRPr="00092ED7" w:rsidRDefault="00247CBF" w:rsidP="00247CBF">
            <w:pPr>
              <w:spacing w:after="0" w:line="233" w:lineRule="auto"/>
              <w:jc w:val="center"/>
              <w:rPr>
                <w:b/>
                <w:bCs/>
                <w:sz w:val="20"/>
                <w:szCs w:val="20"/>
                <w:lang w:val="sr-Cyrl-CS"/>
              </w:rPr>
            </w:pPr>
            <w:r w:rsidRPr="00092ED7">
              <w:rPr>
                <w:b/>
                <w:bCs/>
                <w:sz w:val="20"/>
                <w:szCs w:val="20"/>
                <w:lang w:val="sr-Cyrl-CS"/>
              </w:rPr>
              <w:t>2025</w:t>
            </w:r>
          </w:p>
        </w:tc>
      </w:tr>
      <w:tr w:rsidR="00247CBF" w:rsidRPr="00092ED7" w14:paraId="77F3620B" w14:textId="77777777" w:rsidTr="00247CBF">
        <w:trPr>
          <w:gridBefore w:val="1"/>
          <w:wBefore w:w="23" w:type="dxa"/>
          <w:trHeight w:val="227"/>
        </w:trPr>
        <w:tc>
          <w:tcPr>
            <w:tcW w:w="5101" w:type="dxa"/>
            <w:vMerge/>
            <w:tcBorders>
              <w:left w:val="double" w:sz="6" w:space="0" w:color="auto"/>
              <w:bottom w:val="nil"/>
              <w:right w:val="single" w:sz="4" w:space="0" w:color="auto"/>
            </w:tcBorders>
            <w:shd w:val="clear" w:color="auto" w:fill="auto"/>
            <w:vAlign w:val="center"/>
            <w:hideMark/>
          </w:tcPr>
          <w:p w14:paraId="10B8369A" w14:textId="77777777" w:rsidR="00247CBF" w:rsidRPr="00092ED7" w:rsidRDefault="00247CBF" w:rsidP="00247CBF">
            <w:pPr>
              <w:spacing w:after="0" w:line="233" w:lineRule="auto"/>
              <w:rPr>
                <w:rFonts w:cs="Times New Roman"/>
                <w:sz w:val="20"/>
                <w:szCs w:val="20"/>
                <w:lang w:val="sr-Cyrl-CS"/>
              </w:rPr>
            </w:pPr>
          </w:p>
        </w:tc>
        <w:tc>
          <w:tcPr>
            <w:tcW w:w="1397" w:type="dxa"/>
            <w:vMerge/>
            <w:tcBorders>
              <w:left w:val="single" w:sz="4" w:space="0" w:color="auto"/>
              <w:bottom w:val="nil"/>
              <w:right w:val="single" w:sz="4" w:space="0" w:color="auto"/>
            </w:tcBorders>
            <w:shd w:val="clear" w:color="auto" w:fill="auto"/>
            <w:vAlign w:val="center"/>
            <w:hideMark/>
          </w:tcPr>
          <w:p w14:paraId="061363B4" w14:textId="77777777" w:rsidR="00247CBF" w:rsidRPr="00092ED7" w:rsidRDefault="00247CBF" w:rsidP="00247CBF">
            <w:pPr>
              <w:spacing w:after="0" w:line="233" w:lineRule="auto"/>
              <w:rPr>
                <w:rFonts w:cs="Times New Roman"/>
                <w:sz w:val="20"/>
                <w:szCs w:val="20"/>
                <w:lang w:val="sr-Cyrl-CS"/>
              </w:rPr>
            </w:pPr>
          </w:p>
        </w:tc>
        <w:tc>
          <w:tcPr>
            <w:tcW w:w="2693" w:type="dxa"/>
            <w:vMerge/>
            <w:tcBorders>
              <w:left w:val="single" w:sz="4" w:space="0" w:color="auto"/>
              <w:bottom w:val="single" w:sz="8" w:space="0" w:color="auto"/>
              <w:right w:val="single" w:sz="4" w:space="0" w:color="auto"/>
            </w:tcBorders>
            <w:shd w:val="clear" w:color="auto" w:fill="auto"/>
            <w:vAlign w:val="center"/>
            <w:hideMark/>
          </w:tcPr>
          <w:p w14:paraId="30E494E2" w14:textId="77777777" w:rsidR="00247CBF" w:rsidRPr="00092ED7" w:rsidRDefault="00247CBF" w:rsidP="00247CBF">
            <w:pPr>
              <w:spacing w:after="0" w:line="233" w:lineRule="auto"/>
              <w:rPr>
                <w:rFonts w:cs="Times New Roman"/>
                <w:sz w:val="20"/>
                <w:szCs w:val="20"/>
                <w:lang w:val="sr-Cyrl-CS"/>
              </w:rPr>
            </w:pPr>
          </w:p>
        </w:tc>
        <w:tc>
          <w:tcPr>
            <w:tcW w:w="5523" w:type="dxa"/>
            <w:gridSpan w:val="7"/>
            <w:tcBorders>
              <w:left w:val="single" w:sz="4" w:space="0" w:color="auto"/>
              <w:bottom w:val="single" w:sz="8" w:space="0" w:color="auto"/>
              <w:right w:val="double" w:sz="6" w:space="0" w:color="000000"/>
            </w:tcBorders>
            <w:vAlign w:val="center"/>
          </w:tcPr>
          <w:p w14:paraId="4C30672F" w14:textId="77777777" w:rsidR="00247CBF" w:rsidRPr="00092ED7" w:rsidRDefault="00247CBF" w:rsidP="00247CBF">
            <w:pPr>
              <w:spacing w:after="0" w:line="233" w:lineRule="auto"/>
              <w:jc w:val="center"/>
              <w:rPr>
                <w:rFonts w:cs="Times New Roman"/>
                <w:sz w:val="20"/>
                <w:szCs w:val="20"/>
                <w:lang w:val="sr-Cyrl-CS"/>
              </w:rPr>
            </w:pPr>
            <w:r w:rsidRPr="00092ED7">
              <w:rPr>
                <w:rFonts w:cs="Times New Roman"/>
                <w:sz w:val="20"/>
                <w:szCs w:val="20"/>
                <w:lang w:val="sr-Cyrl-CS"/>
              </w:rPr>
              <w:t>Ефекат на буџет (млрд РСД)</w:t>
            </w:r>
          </w:p>
        </w:tc>
      </w:tr>
      <w:tr w:rsidR="00247CBF" w:rsidRPr="00092ED7" w14:paraId="4BC4534D" w14:textId="77777777" w:rsidTr="00247CBF">
        <w:trPr>
          <w:gridBefore w:val="1"/>
          <w:wBefore w:w="23" w:type="dxa"/>
          <w:trHeight w:val="227"/>
        </w:trPr>
        <w:tc>
          <w:tcPr>
            <w:tcW w:w="5101" w:type="dxa"/>
            <w:tcBorders>
              <w:top w:val="single" w:sz="8" w:space="0" w:color="auto"/>
              <w:left w:val="double" w:sz="6" w:space="0" w:color="auto"/>
              <w:bottom w:val="single" w:sz="4" w:space="0" w:color="auto"/>
              <w:right w:val="single" w:sz="4" w:space="0" w:color="auto"/>
            </w:tcBorders>
            <w:shd w:val="clear" w:color="auto" w:fill="auto"/>
            <w:vAlign w:val="center"/>
            <w:hideMark/>
          </w:tcPr>
          <w:p w14:paraId="4F053662" w14:textId="77777777" w:rsidR="00247CBF" w:rsidRPr="00092ED7" w:rsidRDefault="00247CBF" w:rsidP="00247CBF">
            <w:pPr>
              <w:spacing w:after="0" w:line="233" w:lineRule="auto"/>
              <w:rPr>
                <w:rFonts w:cs="Times New Roman"/>
                <w:sz w:val="20"/>
                <w:szCs w:val="20"/>
                <w:lang w:val="sr-Cyrl-CS"/>
              </w:rPr>
            </w:pPr>
            <w:r w:rsidRPr="00092ED7">
              <w:rPr>
                <w:rFonts w:cs="Times New Roman"/>
                <w:i/>
                <w:iCs/>
                <w:sz w:val="20"/>
                <w:szCs w:val="20"/>
                <w:lang w:val="sr-Cyrl-CS"/>
              </w:rPr>
              <w:t xml:space="preserve">Привремене мере </w:t>
            </w:r>
            <w:r w:rsidRPr="00092ED7">
              <w:rPr>
                <w:rFonts w:cs="Times New Roman"/>
                <w:sz w:val="20"/>
                <w:szCs w:val="20"/>
                <w:vertAlign w:val="superscript"/>
                <w:lang w:val="sr-Cyrl-CS"/>
              </w:rPr>
              <w:t>1</w:t>
            </w:r>
          </w:p>
        </w:tc>
        <w:tc>
          <w:tcPr>
            <w:tcW w:w="1397" w:type="dxa"/>
            <w:tcBorders>
              <w:top w:val="single" w:sz="8" w:space="0" w:color="auto"/>
              <w:left w:val="nil"/>
              <w:bottom w:val="single" w:sz="4" w:space="0" w:color="auto"/>
              <w:right w:val="single" w:sz="4" w:space="0" w:color="auto"/>
            </w:tcBorders>
            <w:shd w:val="clear" w:color="auto" w:fill="auto"/>
            <w:noWrap/>
            <w:vAlign w:val="center"/>
          </w:tcPr>
          <w:p w14:paraId="16042725" w14:textId="77777777" w:rsidR="00247CBF" w:rsidRPr="00092ED7" w:rsidRDefault="00247CBF" w:rsidP="00247CBF">
            <w:pPr>
              <w:spacing w:after="0" w:line="233" w:lineRule="auto"/>
              <w:rPr>
                <w:rFonts w:cs="Times New Roman"/>
                <w:sz w:val="20"/>
                <w:szCs w:val="20"/>
                <w:lang w:val="sr-Cyrl-CS"/>
              </w:rPr>
            </w:pPr>
          </w:p>
        </w:tc>
        <w:tc>
          <w:tcPr>
            <w:tcW w:w="2693" w:type="dxa"/>
            <w:tcBorders>
              <w:top w:val="single" w:sz="8" w:space="0" w:color="auto"/>
              <w:left w:val="nil"/>
              <w:bottom w:val="single" w:sz="4" w:space="0" w:color="auto"/>
              <w:right w:val="single" w:sz="8" w:space="0" w:color="auto"/>
            </w:tcBorders>
            <w:shd w:val="clear" w:color="auto" w:fill="auto"/>
            <w:noWrap/>
            <w:vAlign w:val="center"/>
          </w:tcPr>
          <w:p w14:paraId="385E6C3E" w14:textId="77777777" w:rsidR="00247CBF" w:rsidRPr="00092ED7" w:rsidRDefault="00247CBF" w:rsidP="00247CBF">
            <w:pPr>
              <w:spacing w:after="0" w:line="233" w:lineRule="auto"/>
              <w:rPr>
                <w:rFonts w:cs="Times New Roman"/>
                <w:sz w:val="20"/>
                <w:szCs w:val="20"/>
                <w:lang w:val="sr-Cyrl-CS"/>
              </w:rPr>
            </w:pPr>
          </w:p>
        </w:tc>
        <w:tc>
          <w:tcPr>
            <w:tcW w:w="920" w:type="dxa"/>
            <w:tcBorders>
              <w:top w:val="single" w:sz="8" w:space="0" w:color="auto"/>
              <w:left w:val="nil"/>
              <w:bottom w:val="single" w:sz="4" w:space="0" w:color="auto"/>
              <w:right w:val="single" w:sz="4" w:space="0" w:color="auto"/>
            </w:tcBorders>
            <w:shd w:val="clear" w:color="auto" w:fill="auto"/>
            <w:noWrap/>
            <w:vAlign w:val="center"/>
          </w:tcPr>
          <w:p w14:paraId="196B4A09" w14:textId="77777777" w:rsidR="00247CBF" w:rsidRPr="00092ED7" w:rsidRDefault="00247CBF" w:rsidP="00247CBF">
            <w:pPr>
              <w:spacing w:after="0" w:line="233" w:lineRule="auto"/>
              <w:rPr>
                <w:rFonts w:cs="Times New Roman"/>
                <w:sz w:val="20"/>
                <w:szCs w:val="20"/>
                <w:lang w:val="sr-Cyrl-CS"/>
              </w:rPr>
            </w:pPr>
          </w:p>
        </w:tc>
        <w:tc>
          <w:tcPr>
            <w:tcW w:w="921" w:type="dxa"/>
            <w:tcBorders>
              <w:top w:val="single" w:sz="8" w:space="0" w:color="auto"/>
              <w:left w:val="nil"/>
              <w:bottom w:val="single" w:sz="4" w:space="0" w:color="auto"/>
              <w:right w:val="nil"/>
            </w:tcBorders>
            <w:shd w:val="clear" w:color="auto" w:fill="auto"/>
            <w:noWrap/>
            <w:vAlign w:val="center"/>
          </w:tcPr>
          <w:p w14:paraId="440407FF" w14:textId="77777777" w:rsidR="00247CBF" w:rsidRPr="00092ED7" w:rsidRDefault="00247CBF" w:rsidP="00247CBF">
            <w:pPr>
              <w:spacing w:after="0" w:line="233" w:lineRule="auto"/>
              <w:rPr>
                <w:rFonts w:cs="Times New Roman"/>
                <w:sz w:val="20"/>
                <w:szCs w:val="20"/>
                <w:lang w:val="sr-Cyrl-CS"/>
              </w:rPr>
            </w:pPr>
          </w:p>
        </w:tc>
        <w:tc>
          <w:tcPr>
            <w:tcW w:w="920" w:type="dxa"/>
            <w:tcBorders>
              <w:top w:val="single" w:sz="8" w:space="0" w:color="auto"/>
              <w:left w:val="single" w:sz="4" w:space="0" w:color="auto"/>
              <w:bottom w:val="single" w:sz="4" w:space="0" w:color="auto"/>
              <w:right w:val="nil"/>
            </w:tcBorders>
            <w:shd w:val="clear" w:color="auto" w:fill="auto"/>
            <w:noWrap/>
            <w:vAlign w:val="center"/>
          </w:tcPr>
          <w:p w14:paraId="69B39B79" w14:textId="77777777" w:rsidR="00247CBF" w:rsidRPr="00092ED7" w:rsidRDefault="00247CBF" w:rsidP="00247CBF">
            <w:pPr>
              <w:spacing w:after="0" w:line="233" w:lineRule="auto"/>
              <w:rPr>
                <w:rFonts w:cs="Times New Roman"/>
                <w:sz w:val="20"/>
                <w:szCs w:val="20"/>
                <w:lang w:val="sr-Cyrl-CS"/>
              </w:rPr>
            </w:pPr>
          </w:p>
        </w:tc>
        <w:tc>
          <w:tcPr>
            <w:tcW w:w="921" w:type="dxa"/>
            <w:tcBorders>
              <w:top w:val="single" w:sz="8" w:space="0" w:color="auto"/>
              <w:left w:val="single" w:sz="4" w:space="0" w:color="auto"/>
              <w:bottom w:val="single" w:sz="4" w:space="0" w:color="auto"/>
              <w:right w:val="nil"/>
            </w:tcBorders>
            <w:shd w:val="clear" w:color="auto" w:fill="auto"/>
            <w:noWrap/>
            <w:vAlign w:val="center"/>
          </w:tcPr>
          <w:p w14:paraId="2A6068FE" w14:textId="77777777" w:rsidR="00247CBF" w:rsidRPr="00092ED7" w:rsidRDefault="00247CBF" w:rsidP="00247CBF">
            <w:pPr>
              <w:spacing w:after="0" w:line="233" w:lineRule="auto"/>
              <w:rPr>
                <w:rFonts w:cs="Times New Roman"/>
                <w:sz w:val="20"/>
                <w:szCs w:val="20"/>
                <w:lang w:val="sr-Cyrl-CS"/>
              </w:rPr>
            </w:pPr>
          </w:p>
        </w:tc>
        <w:tc>
          <w:tcPr>
            <w:tcW w:w="920" w:type="dxa"/>
            <w:tcBorders>
              <w:top w:val="single" w:sz="8" w:space="0" w:color="auto"/>
              <w:left w:val="single" w:sz="4" w:space="0" w:color="auto"/>
              <w:bottom w:val="single" w:sz="4" w:space="0" w:color="auto"/>
              <w:right w:val="single" w:sz="4" w:space="0" w:color="auto"/>
            </w:tcBorders>
            <w:vAlign w:val="center"/>
          </w:tcPr>
          <w:p w14:paraId="4FA8B1AA" w14:textId="77777777" w:rsidR="00247CBF" w:rsidRPr="00092ED7" w:rsidRDefault="00247CBF" w:rsidP="00247CBF">
            <w:pPr>
              <w:spacing w:after="0" w:line="233" w:lineRule="auto"/>
              <w:jc w:val="right"/>
              <w:rPr>
                <w:rFonts w:cs="Times New Roman"/>
                <w:sz w:val="20"/>
                <w:szCs w:val="20"/>
                <w:lang w:val="sr-Cyrl-CS"/>
              </w:rPr>
            </w:pPr>
          </w:p>
        </w:tc>
        <w:tc>
          <w:tcPr>
            <w:tcW w:w="921" w:type="dxa"/>
            <w:gridSpan w:val="2"/>
            <w:tcBorders>
              <w:top w:val="single" w:sz="8" w:space="0" w:color="auto"/>
              <w:left w:val="single" w:sz="4" w:space="0" w:color="auto"/>
              <w:bottom w:val="single" w:sz="4" w:space="0" w:color="auto"/>
              <w:right w:val="double" w:sz="6" w:space="0" w:color="auto"/>
            </w:tcBorders>
            <w:shd w:val="clear" w:color="auto" w:fill="auto"/>
            <w:noWrap/>
            <w:vAlign w:val="center"/>
          </w:tcPr>
          <w:p w14:paraId="15B494FC" w14:textId="77777777" w:rsidR="00247CBF" w:rsidRPr="00092ED7" w:rsidRDefault="00247CBF" w:rsidP="00247CBF">
            <w:pPr>
              <w:spacing w:after="0" w:line="233" w:lineRule="auto"/>
              <w:rPr>
                <w:rFonts w:cs="Times New Roman"/>
                <w:sz w:val="20"/>
                <w:szCs w:val="20"/>
                <w:lang w:val="sr-Cyrl-CS"/>
              </w:rPr>
            </w:pPr>
          </w:p>
        </w:tc>
      </w:tr>
      <w:tr w:rsidR="00247CBF" w:rsidRPr="00092ED7" w14:paraId="26B2D84A"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45BC7CF3" w14:textId="77777777" w:rsidR="00247CBF" w:rsidRPr="00092ED7" w:rsidRDefault="00247CBF" w:rsidP="00247CBF">
            <w:pPr>
              <w:spacing w:after="0" w:line="233" w:lineRule="auto"/>
              <w:jc w:val="left"/>
              <w:rPr>
                <w:sz w:val="20"/>
                <w:szCs w:val="20"/>
                <w:lang w:val="sr-Cyrl-CS"/>
              </w:rPr>
            </w:pPr>
            <w:r w:rsidRPr="00092ED7">
              <w:rPr>
                <w:sz w:val="20"/>
                <w:szCs w:val="20"/>
                <w:lang w:val="sr-Cyrl-CS"/>
              </w:rPr>
              <w:t>Одложено плаћање пореза на зараде и доприноса за приватни сектор</w:t>
            </w:r>
          </w:p>
        </w:tc>
        <w:tc>
          <w:tcPr>
            <w:tcW w:w="1397" w:type="dxa"/>
            <w:tcBorders>
              <w:top w:val="nil"/>
              <w:left w:val="nil"/>
              <w:bottom w:val="dotted" w:sz="4" w:space="0" w:color="auto"/>
              <w:right w:val="single" w:sz="4" w:space="0" w:color="auto"/>
            </w:tcBorders>
            <w:shd w:val="clear" w:color="auto" w:fill="auto"/>
            <w:noWrap/>
            <w:vAlign w:val="center"/>
            <w:hideMark/>
          </w:tcPr>
          <w:p w14:paraId="6B125728"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D5, D61</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39A6946A"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2020-04</w:t>
            </w:r>
          </w:p>
        </w:tc>
        <w:tc>
          <w:tcPr>
            <w:tcW w:w="920" w:type="dxa"/>
            <w:tcBorders>
              <w:top w:val="nil"/>
              <w:left w:val="nil"/>
              <w:bottom w:val="dotted" w:sz="4" w:space="0" w:color="auto"/>
              <w:right w:val="single" w:sz="4" w:space="0" w:color="auto"/>
            </w:tcBorders>
            <w:shd w:val="clear" w:color="auto" w:fill="auto"/>
            <w:noWrap/>
            <w:vAlign w:val="center"/>
            <w:hideMark/>
          </w:tcPr>
          <w:p w14:paraId="46987C27"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-119,8</w:t>
            </w:r>
          </w:p>
        </w:tc>
        <w:tc>
          <w:tcPr>
            <w:tcW w:w="921" w:type="dxa"/>
            <w:tcBorders>
              <w:top w:val="nil"/>
              <w:left w:val="single" w:sz="4" w:space="0" w:color="auto"/>
              <w:bottom w:val="dotted" w:sz="4" w:space="0" w:color="auto"/>
              <w:right w:val="nil"/>
            </w:tcBorders>
            <w:shd w:val="clear" w:color="auto" w:fill="auto"/>
            <w:noWrap/>
            <w:vAlign w:val="center"/>
            <w:hideMark/>
          </w:tcPr>
          <w:p w14:paraId="62DFAF3F"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nil"/>
            </w:tcBorders>
            <w:shd w:val="clear" w:color="auto" w:fill="auto"/>
            <w:noWrap/>
            <w:vAlign w:val="center"/>
            <w:hideMark/>
          </w:tcPr>
          <w:p w14:paraId="3A52DDE0"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1816B9FC"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3AE9C9B2" w14:textId="77777777" w:rsidR="00247CBF" w:rsidRPr="00092ED7" w:rsidRDefault="00247CBF" w:rsidP="00247CBF">
            <w:pPr>
              <w:spacing w:after="0" w:line="233" w:lineRule="auto"/>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35EB80A4"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21C173E6"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36205804" w14:textId="77777777" w:rsidR="00247CBF" w:rsidRPr="00092ED7" w:rsidRDefault="00247CBF" w:rsidP="00247CBF">
            <w:pPr>
              <w:spacing w:after="0" w:line="233" w:lineRule="auto"/>
              <w:rPr>
                <w:sz w:val="20"/>
                <w:szCs w:val="20"/>
                <w:lang w:val="sr-Cyrl-CS"/>
              </w:rPr>
            </w:pPr>
            <w:r w:rsidRPr="00092ED7">
              <w:rPr>
                <w:sz w:val="20"/>
                <w:szCs w:val="20"/>
                <w:lang w:val="sr-Cyrl-CS"/>
              </w:rPr>
              <w:t>Одложено плаћање аконтација пореза на добит у другом кварталу</w:t>
            </w:r>
          </w:p>
        </w:tc>
        <w:tc>
          <w:tcPr>
            <w:tcW w:w="1397" w:type="dxa"/>
            <w:tcBorders>
              <w:top w:val="nil"/>
              <w:left w:val="nil"/>
              <w:bottom w:val="dotted" w:sz="4" w:space="0" w:color="auto"/>
              <w:right w:val="single" w:sz="4" w:space="0" w:color="auto"/>
            </w:tcBorders>
            <w:shd w:val="clear" w:color="auto" w:fill="auto"/>
            <w:noWrap/>
            <w:vAlign w:val="center"/>
            <w:hideMark/>
          </w:tcPr>
          <w:p w14:paraId="11DD4FB9"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D5</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72481D82"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2020-04</w:t>
            </w:r>
          </w:p>
        </w:tc>
        <w:tc>
          <w:tcPr>
            <w:tcW w:w="920" w:type="dxa"/>
            <w:tcBorders>
              <w:top w:val="nil"/>
              <w:left w:val="nil"/>
              <w:bottom w:val="dotted" w:sz="4" w:space="0" w:color="auto"/>
              <w:right w:val="single" w:sz="4" w:space="0" w:color="auto"/>
            </w:tcBorders>
            <w:shd w:val="clear" w:color="auto" w:fill="auto"/>
            <w:noWrap/>
            <w:vAlign w:val="center"/>
            <w:hideMark/>
          </w:tcPr>
          <w:p w14:paraId="53A0F1FF"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-13,5</w:t>
            </w:r>
          </w:p>
        </w:tc>
        <w:tc>
          <w:tcPr>
            <w:tcW w:w="921" w:type="dxa"/>
            <w:tcBorders>
              <w:top w:val="nil"/>
              <w:left w:val="single" w:sz="4" w:space="0" w:color="auto"/>
              <w:bottom w:val="dotted" w:sz="4" w:space="0" w:color="auto"/>
              <w:right w:val="nil"/>
            </w:tcBorders>
            <w:shd w:val="clear" w:color="auto" w:fill="auto"/>
            <w:noWrap/>
            <w:vAlign w:val="center"/>
            <w:hideMark/>
          </w:tcPr>
          <w:p w14:paraId="6070A185"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nil"/>
            </w:tcBorders>
            <w:shd w:val="clear" w:color="auto" w:fill="auto"/>
            <w:noWrap/>
            <w:vAlign w:val="center"/>
            <w:hideMark/>
          </w:tcPr>
          <w:p w14:paraId="5BF15C02"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556399C2"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690E89EE" w14:textId="77777777" w:rsidR="00247CBF" w:rsidRPr="00092ED7" w:rsidRDefault="00247CBF" w:rsidP="00247CBF">
            <w:pPr>
              <w:spacing w:after="0" w:line="233" w:lineRule="auto"/>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6DCE6339"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606E2425"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15881181" w14:textId="77777777" w:rsidR="00247CBF" w:rsidRPr="00092ED7" w:rsidRDefault="00247CBF" w:rsidP="00247CBF">
            <w:pPr>
              <w:spacing w:after="0" w:line="233" w:lineRule="auto"/>
              <w:rPr>
                <w:sz w:val="20"/>
                <w:szCs w:val="20"/>
                <w:lang w:val="sr-Cyrl-CS"/>
              </w:rPr>
            </w:pPr>
            <w:r w:rsidRPr="00092ED7">
              <w:rPr>
                <w:sz w:val="20"/>
                <w:szCs w:val="20"/>
                <w:lang w:val="sr-Cyrl-CS"/>
              </w:rPr>
              <w:t>Директна помоћ приватном сектору</w:t>
            </w:r>
          </w:p>
        </w:tc>
        <w:tc>
          <w:tcPr>
            <w:tcW w:w="1397" w:type="dxa"/>
            <w:tcBorders>
              <w:top w:val="nil"/>
              <w:left w:val="nil"/>
              <w:bottom w:val="dotted" w:sz="4" w:space="0" w:color="auto"/>
              <w:right w:val="single" w:sz="4" w:space="0" w:color="auto"/>
            </w:tcBorders>
            <w:shd w:val="clear" w:color="auto" w:fill="auto"/>
            <w:noWrap/>
            <w:vAlign w:val="center"/>
            <w:hideMark/>
          </w:tcPr>
          <w:p w14:paraId="20143843"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D3</w:t>
            </w:r>
          </w:p>
        </w:tc>
        <w:tc>
          <w:tcPr>
            <w:tcW w:w="2693" w:type="dxa"/>
            <w:tcBorders>
              <w:top w:val="nil"/>
              <w:left w:val="single" w:sz="4" w:space="0" w:color="auto"/>
              <w:bottom w:val="dotted" w:sz="4" w:space="0" w:color="auto"/>
              <w:right w:val="single" w:sz="8" w:space="0" w:color="auto"/>
            </w:tcBorders>
            <w:shd w:val="clear" w:color="auto" w:fill="auto"/>
            <w:vAlign w:val="center"/>
          </w:tcPr>
          <w:p w14:paraId="42BF373C"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2020-04;2021-04</w:t>
            </w:r>
          </w:p>
        </w:tc>
        <w:tc>
          <w:tcPr>
            <w:tcW w:w="920" w:type="dxa"/>
            <w:tcBorders>
              <w:top w:val="nil"/>
              <w:left w:val="nil"/>
              <w:bottom w:val="dotted" w:sz="4" w:space="0" w:color="auto"/>
              <w:right w:val="single" w:sz="4" w:space="0" w:color="auto"/>
            </w:tcBorders>
            <w:shd w:val="clear" w:color="auto" w:fill="auto"/>
            <w:noWrap/>
            <w:vAlign w:val="center"/>
            <w:hideMark/>
          </w:tcPr>
          <w:p w14:paraId="3CB6CAEB"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-136,0</w:t>
            </w:r>
          </w:p>
        </w:tc>
        <w:tc>
          <w:tcPr>
            <w:tcW w:w="921" w:type="dxa"/>
            <w:tcBorders>
              <w:top w:val="nil"/>
              <w:left w:val="single" w:sz="4" w:space="0" w:color="auto"/>
              <w:bottom w:val="dotted" w:sz="4" w:space="0" w:color="auto"/>
              <w:right w:val="nil"/>
            </w:tcBorders>
            <w:shd w:val="clear" w:color="auto" w:fill="auto"/>
            <w:noWrap/>
            <w:vAlign w:val="center"/>
            <w:hideMark/>
          </w:tcPr>
          <w:p w14:paraId="4B937635"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-78,1</w:t>
            </w:r>
          </w:p>
        </w:tc>
        <w:tc>
          <w:tcPr>
            <w:tcW w:w="920" w:type="dxa"/>
            <w:tcBorders>
              <w:top w:val="nil"/>
              <w:left w:val="single" w:sz="4" w:space="0" w:color="auto"/>
              <w:bottom w:val="dotted" w:sz="4" w:space="0" w:color="auto"/>
              <w:right w:val="nil"/>
            </w:tcBorders>
            <w:shd w:val="clear" w:color="auto" w:fill="auto"/>
            <w:noWrap/>
            <w:vAlign w:val="center"/>
            <w:hideMark/>
          </w:tcPr>
          <w:p w14:paraId="732AAB1D"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46F36BE6"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037F33D8" w14:textId="77777777" w:rsidR="00247CBF" w:rsidRPr="00092ED7" w:rsidRDefault="00247CBF" w:rsidP="00247CBF">
            <w:pPr>
              <w:spacing w:after="0" w:line="233" w:lineRule="auto"/>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41F49E6A"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7021E169"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7C6D7EE6" w14:textId="77777777" w:rsidR="00247CBF" w:rsidRPr="00092ED7" w:rsidRDefault="00247CBF" w:rsidP="00247CBF">
            <w:pPr>
              <w:spacing w:after="0" w:line="233" w:lineRule="auto"/>
              <w:rPr>
                <w:sz w:val="20"/>
                <w:szCs w:val="20"/>
                <w:lang w:val="sr-Cyrl-CS"/>
              </w:rPr>
            </w:pPr>
            <w:r w:rsidRPr="00092ED7">
              <w:rPr>
                <w:sz w:val="20"/>
                <w:szCs w:val="20"/>
                <w:lang w:val="sr-Cyrl-CS"/>
              </w:rPr>
              <w:t>Програм финансијске подршке кроз Фонд за развој</w:t>
            </w:r>
          </w:p>
        </w:tc>
        <w:tc>
          <w:tcPr>
            <w:tcW w:w="1397" w:type="dxa"/>
            <w:tcBorders>
              <w:top w:val="nil"/>
              <w:left w:val="nil"/>
              <w:bottom w:val="dotted" w:sz="4" w:space="0" w:color="auto"/>
              <w:right w:val="single" w:sz="4" w:space="0" w:color="auto"/>
            </w:tcBorders>
            <w:shd w:val="clear" w:color="auto" w:fill="auto"/>
            <w:noWrap/>
            <w:vAlign w:val="center"/>
            <w:hideMark/>
          </w:tcPr>
          <w:p w14:paraId="0FAA2722"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D3</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0DABF448"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2020-04</w:t>
            </w:r>
          </w:p>
        </w:tc>
        <w:tc>
          <w:tcPr>
            <w:tcW w:w="920" w:type="dxa"/>
            <w:tcBorders>
              <w:top w:val="nil"/>
              <w:left w:val="nil"/>
              <w:bottom w:val="dotted" w:sz="4" w:space="0" w:color="auto"/>
              <w:right w:val="single" w:sz="4" w:space="0" w:color="auto"/>
            </w:tcBorders>
            <w:shd w:val="clear" w:color="auto" w:fill="auto"/>
            <w:noWrap/>
            <w:vAlign w:val="center"/>
            <w:hideMark/>
          </w:tcPr>
          <w:p w14:paraId="18C73916"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-16,3</w:t>
            </w:r>
          </w:p>
        </w:tc>
        <w:tc>
          <w:tcPr>
            <w:tcW w:w="921" w:type="dxa"/>
            <w:tcBorders>
              <w:top w:val="nil"/>
              <w:left w:val="single" w:sz="4" w:space="0" w:color="auto"/>
              <w:bottom w:val="dotted" w:sz="4" w:space="0" w:color="auto"/>
              <w:right w:val="nil"/>
            </w:tcBorders>
            <w:shd w:val="clear" w:color="auto" w:fill="auto"/>
            <w:noWrap/>
            <w:vAlign w:val="center"/>
            <w:hideMark/>
          </w:tcPr>
          <w:p w14:paraId="2DE5CD0C"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nil"/>
            </w:tcBorders>
            <w:shd w:val="clear" w:color="auto" w:fill="auto"/>
            <w:noWrap/>
            <w:vAlign w:val="center"/>
            <w:hideMark/>
          </w:tcPr>
          <w:p w14:paraId="63F806D8"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3D2B833B"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49564473" w14:textId="77777777" w:rsidR="00247CBF" w:rsidRPr="00092ED7" w:rsidRDefault="00247CBF" w:rsidP="00247CBF">
            <w:pPr>
              <w:spacing w:after="0" w:line="233" w:lineRule="auto"/>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0D8CDDB3"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0F5DD82A"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5ED15AA0" w14:textId="77777777" w:rsidR="00247CBF" w:rsidRPr="00092ED7" w:rsidRDefault="00247CBF" w:rsidP="00247CBF">
            <w:pPr>
              <w:spacing w:after="0" w:line="233" w:lineRule="auto"/>
              <w:rPr>
                <w:sz w:val="20"/>
                <w:szCs w:val="20"/>
                <w:lang w:val="sr-Cyrl-CS"/>
              </w:rPr>
            </w:pPr>
            <w:r w:rsidRPr="00092ED7">
              <w:rPr>
                <w:sz w:val="20"/>
                <w:szCs w:val="20"/>
                <w:lang w:val="sr-Cyrl-CS"/>
              </w:rPr>
              <w:t>Фискални стимулус - подстицај домаћој тражњи</w:t>
            </w:r>
          </w:p>
        </w:tc>
        <w:tc>
          <w:tcPr>
            <w:tcW w:w="1397" w:type="dxa"/>
            <w:tcBorders>
              <w:top w:val="nil"/>
              <w:left w:val="nil"/>
              <w:bottom w:val="dotted" w:sz="4" w:space="0" w:color="auto"/>
              <w:right w:val="single" w:sz="4" w:space="0" w:color="auto"/>
            </w:tcBorders>
            <w:shd w:val="clear" w:color="auto" w:fill="auto"/>
            <w:noWrap/>
            <w:vAlign w:val="center"/>
            <w:hideMark/>
          </w:tcPr>
          <w:p w14:paraId="208E921B"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D7</w:t>
            </w:r>
          </w:p>
        </w:tc>
        <w:tc>
          <w:tcPr>
            <w:tcW w:w="2693" w:type="dxa"/>
            <w:tcBorders>
              <w:top w:val="nil"/>
              <w:left w:val="single" w:sz="4" w:space="0" w:color="auto"/>
              <w:bottom w:val="dotted" w:sz="4" w:space="0" w:color="auto"/>
              <w:right w:val="single" w:sz="8" w:space="0" w:color="auto"/>
            </w:tcBorders>
            <w:shd w:val="clear" w:color="auto" w:fill="auto"/>
            <w:vAlign w:val="center"/>
          </w:tcPr>
          <w:p w14:paraId="1887D174"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2020-04; 2021-04</w:t>
            </w:r>
          </w:p>
        </w:tc>
        <w:tc>
          <w:tcPr>
            <w:tcW w:w="920" w:type="dxa"/>
            <w:tcBorders>
              <w:top w:val="nil"/>
              <w:left w:val="nil"/>
              <w:bottom w:val="dotted" w:sz="4" w:space="0" w:color="auto"/>
              <w:right w:val="single" w:sz="4" w:space="0" w:color="auto"/>
            </w:tcBorders>
            <w:shd w:val="clear" w:color="auto" w:fill="auto"/>
            <w:noWrap/>
            <w:vAlign w:val="center"/>
            <w:hideMark/>
          </w:tcPr>
          <w:p w14:paraId="2D7B1919"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-72,0</w:t>
            </w:r>
          </w:p>
        </w:tc>
        <w:tc>
          <w:tcPr>
            <w:tcW w:w="921" w:type="dxa"/>
            <w:tcBorders>
              <w:top w:val="nil"/>
              <w:left w:val="single" w:sz="4" w:space="0" w:color="auto"/>
              <w:bottom w:val="dotted" w:sz="4" w:space="0" w:color="auto"/>
              <w:right w:val="nil"/>
            </w:tcBorders>
            <w:shd w:val="clear" w:color="auto" w:fill="auto"/>
            <w:noWrap/>
            <w:vAlign w:val="center"/>
            <w:hideMark/>
          </w:tcPr>
          <w:p w14:paraId="667E9245"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-67,1</w:t>
            </w:r>
          </w:p>
        </w:tc>
        <w:tc>
          <w:tcPr>
            <w:tcW w:w="920" w:type="dxa"/>
            <w:tcBorders>
              <w:top w:val="nil"/>
              <w:left w:val="single" w:sz="4" w:space="0" w:color="auto"/>
              <w:bottom w:val="dotted" w:sz="4" w:space="0" w:color="auto"/>
              <w:right w:val="nil"/>
            </w:tcBorders>
            <w:shd w:val="clear" w:color="auto" w:fill="auto"/>
            <w:noWrap/>
            <w:vAlign w:val="center"/>
            <w:hideMark/>
          </w:tcPr>
          <w:p w14:paraId="20BE5821"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4147B584"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770B6663" w14:textId="77777777" w:rsidR="00247CBF" w:rsidRPr="00092ED7" w:rsidRDefault="00247CBF" w:rsidP="00247CBF">
            <w:pPr>
              <w:spacing w:after="0" w:line="233" w:lineRule="auto"/>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0B63D137"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1FEB6350"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1E3A8B0B" w14:textId="77777777" w:rsidR="00247CBF" w:rsidRPr="00092ED7" w:rsidRDefault="00247CBF" w:rsidP="00247CBF">
            <w:pPr>
              <w:spacing w:after="0" w:line="233" w:lineRule="auto"/>
              <w:rPr>
                <w:sz w:val="20"/>
                <w:szCs w:val="20"/>
                <w:lang w:val="sr-Cyrl-CS"/>
              </w:rPr>
            </w:pPr>
            <w:r w:rsidRPr="00092ED7">
              <w:rPr>
                <w:sz w:val="20"/>
                <w:szCs w:val="20"/>
                <w:lang w:val="sr-Cyrl-CS"/>
              </w:rPr>
              <w:t>Мораторијум на исплату дивиденди</w:t>
            </w:r>
          </w:p>
        </w:tc>
        <w:tc>
          <w:tcPr>
            <w:tcW w:w="1397" w:type="dxa"/>
            <w:tcBorders>
              <w:top w:val="nil"/>
              <w:left w:val="nil"/>
              <w:bottom w:val="dotted" w:sz="4" w:space="0" w:color="auto"/>
              <w:right w:val="single" w:sz="4" w:space="0" w:color="auto"/>
            </w:tcBorders>
            <w:shd w:val="clear" w:color="auto" w:fill="auto"/>
            <w:noWrap/>
            <w:vAlign w:val="center"/>
            <w:hideMark/>
          </w:tcPr>
          <w:p w14:paraId="46F4D8EC"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D5</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3A32AADB"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2020-04</w:t>
            </w:r>
          </w:p>
        </w:tc>
        <w:tc>
          <w:tcPr>
            <w:tcW w:w="920" w:type="dxa"/>
            <w:tcBorders>
              <w:top w:val="nil"/>
              <w:left w:val="nil"/>
              <w:bottom w:val="dotted" w:sz="4" w:space="0" w:color="auto"/>
              <w:right w:val="single" w:sz="4" w:space="0" w:color="auto"/>
            </w:tcBorders>
            <w:shd w:val="clear" w:color="auto" w:fill="auto"/>
            <w:noWrap/>
            <w:vAlign w:val="center"/>
            <w:hideMark/>
          </w:tcPr>
          <w:p w14:paraId="44D15439"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-6,0</w:t>
            </w:r>
          </w:p>
        </w:tc>
        <w:tc>
          <w:tcPr>
            <w:tcW w:w="921" w:type="dxa"/>
            <w:tcBorders>
              <w:top w:val="nil"/>
              <w:left w:val="single" w:sz="4" w:space="0" w:color="auto"/>
              <w:bottom w:val="dotted" w:sz="4" w:space="0" w:color="auto"/>
              <w:right w:val="nil"/>
            </w:tcBorders>
            <w:shd w:val="clear" w:color="auto" w:fill="auto"/>
            <w:noWrap/>
            <w:vAlign w:val="center"/>
            <w:hideMark/>
          </w:tcPr>
          <w:p w14:paraId="2D98DF2E"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nil"/>
            </w:tcBorders>
            <w:shd w:val="clear" w:color="auto" w:fill="auto"/>
            <w:noWrap/>
            <w:vAlign w:val="center"/>
            <w:hideMark/>
          </w:tcPr>
          <w:p w14:paraId="5CB6C4B2"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6AA4CA76"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4EF7FCFD" w14:textId="77777777" w:rsidR="00247CBF" w:rsidRPr="00092ED7" w:rsidRDefault="00247CBF" w:rsidP="00247CBF">
            <w:pPr>
              <w:spacing w:after="0" w:line="233" w:lineRule="auto"/>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1AB153DF"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5996EEDF"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244DAA9D" w14:textId="77777777" w:rsidR="00247CBF" w:rsidRPr="00092ED7" w:rsidRDefault="00247CBF" w:rsidP="00247CBF">
            <w:pPr>
              <w:spacing w:after="0" w:line="233" w:lineRule="auto"/>
              <w:rPr>
                <w:sz w:val="20"/>
                <w:szCs w:val="20"/>
                <w:lang w:val="sr-Cyrl-CS"/>
              </w:rPr>
            </w:pPr>
            <w:r w:rsidRPr="00092ED7">
              <w:rPr>
                <w:sz w:val="20"/>
                <w:szCs w:val="20"/>
                <w:lang w:val="sr-Cyrl-CS"/>
              </w:rPr>
              <w:t>Помоћ пензионерима</w:t>
            </w:r>
          </w:p>
        </w:tc>
        <w:tc>
          <w:tcPr>
            <w:tcW w:w="1397" w:type="dxa"/>
            <w:tcBorders>
              <w:top w:val="nil"/>
              <w:left w:val="nil"/>
              <w:bottom w:val="dotted" w:sz="4" w:space="0" w:color="auto"/>
              <w:right w:val="single" w:sz="4" w:space="0" w:color="auto"/>
            </w:tcBorders>
            <w:shd w:val="clear" w:color="auto" w:fill="auto"/>
            <w:noWrap/>
            <w:vAlign w:val="center"/>
            <w:hideMark/>
          </w:tcPr>
          <w:p w14:paraId="52970580"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D62</w:t>
            </w:r>
          </w:p>
        </w:tc>
        <w:tc>
          <w:tcPr>
            <w:tcW w:w="2693" w:type="dxa"/>
            <w:tcBorders>
              <w:top w:val="nil"/>
              <w:left w:val="single" w:sz="4" w:space="0" w:color="auto"/>
              <w:bottom w:val="dotted" w:sz="4" w:space="0" w:color="auto"/>
              <w:right w:val="single" w:sz="8" w:space="0" w:color="auto"/>
            </w:tcBorders>
            <w:shd w:val="clear" w:color="auto" w:fill="auto"/>
            <w:vAlign w:val="center"/>
          </w:tcPr>
          <w:p w14:paraId="06BAEFBF"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2020-04; 2021-04; 2021-11</w:t>
            </w:r>
          </w:p>
        </w:tc>
        <w:tc>
          <w:tcPr>
            <w:tcW w:w="920" w:type="dxa"/>
            <w:tcBorders>
              <w:top w:val="nil"/>
              <w:left w:val="nil"/>
              <w:bottom w:val="dotted" w:sz="4" w:space="0" w:color="auto"/>
              <w:right w:val="single" w:sz="4" w:space="0" w:color="auto"/>
            </w:tcBorders>
            <w:shd w:val="clear" w:color="auto" w:fill="auto"/>
            <w:noWrap/>
            <w:vAlign w:val="center"/>
            <w:hideMark/>
          </w:tcPr>
          <w:p w14:paraId="4C8C299C"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-15,3</w:t>
            </w:r>
          </w:p>
        </w:tc>
        <w:tc>
          <w:tcPr>
            <w:tcW w:w="921" w:type="dxa"/>
            <w:tcBorders>
              <w:top w:val="nil"/>
              <w:left w:val="single" w:sz="4" w:space="0" w:color="auto"/>
              <w:bottom w:val="dotted" w:sz="4" w:space="0" w:color="auto"/>
              <w:right w:val="nil"/>
            </w:tcBorders>
            <w:shd w:val="clear" w:color="auto" w:fill="auto"/>
            <w:noWrap/>
            <w:vAlign w:val="center"/>
            <w:hideMark/>
          </w:tcPr>
          <w:p w14:paraId="38251A7E"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-10</w:t>
            </w:r>
          </w:p>
        </w:tc>
        <w:tc>
          <w:tcPr>
            <w:tcW w:w="920" w:type="dxa"/>
            <w:tcBorders>
              <w:top w:val="nil"/>
              <w:left w:val="single" w:sz="4" w:space="0" w:color="auto"/>
              <w:bottom w:val="dotted" w:sz="4" w:space="0" w:color="auto"/>
              <w:right w:val="nil"/>
            </w:tcBorders>
            <w:shd w:val="clear" w:color="auto" w:fill="auto"/>
            <w:noWrap/>
            <w:vAlign w:val="center"/>
            <w:hideMark/>
          </w:tcPr>
          <w:p w14:paraId="02761EEE"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-33,6</w:t>
            </w:r>
          </w:p>
        </w:tc>
        <w:tc>
          <w:tcPr>
            <w:tcW w:w="921" w:type="dxa"/>
            <w:tcBorders>
              <w:top w:val="nil"/>
              <w:left w:val="single" w:sz="4" w:space="0" w:color="auto"/>
              <w:bottom w:val="dotted" w:sz="4" w:space="0" w:color="auto"/>
              <w:right w:val="nil"/>
            </w:tcBorders>
            <w:shd w:val="clear" w:color="auto" w:fill="auto"/>
            <w:noWrap/>
            <w:vAlign w:val="center"/>
            <w:hideMark/>
          </w:tcPr>
          <w:p w14:paraId="088D4B0F"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2F853394" w14:textId="77777777" w:rsidR="00247CBF" w:rsidRPr="00092ED7" w:rsidRDefault="00247CBF" w:rsidP="00247CBF">
            <w:pPr>
              <w:spacing w:after="0" w:line="233" w:lineRule="auto"/>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241876EC"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FB09AE" w:rsidRPr="00092ED7" w14:paraId="4616268F" w14:textId="77777777" w:rsidTr="00FB09AE">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0E56CCE0" w14:textId="77777777" w:rsidR="00247CBF" w:rsidRPr="00092ED7" w:rsidRDefault="00247CBF" w:rsidP="00FB09AE">
            <w:pPr>
              <w:spacing w:after="0"/>
              <w:rPr>
                <w:sz w:val="20"/>
                <w:szCs w:val="20"/>
                <w:lang w:val="sr-Cyrl-CS"/>
              </w:rPr>
            </w:pPr>
            <w:r w:rsidRPr="00092ED7">
              <w:rPr>
                <w:sz w:val="20"/>
                <w:szCs w:val="20"/>
                <w:lang w:val="sr-Cyrl-CS"/>
              </w:rPr>
              <w:t>Помоћ незапосленима</w:t>
            </w:r>
          </w:p>
        </w:tc>
        <w:tc>
          <w:tcPr>
            <w:tcW w:w="1397" w:type="dxa"/>
            <w:tcBorders>
              <w:top w:val="nil"/>
              <w:left w:val="nil"/>
              <w:bottom w:val="dotted" w:sz="4" w:space="0" w:color="auto"/>
              <w:right w:val="single" w:sz="4" w:space="0" w:color="auto"/>
            </w:tcBorders>
            <w:shd w:val="clear" w:color="auto" w:fill="auto"/>
            <w:noWrap/>
            <w:vAlign w:val="center"/>
            <w:hideMark/>
          </w:tcPr>
          <w:p w14:paraId="32FE5FBA" w14:textId="77777777" w:rsidR="00247CBF" w:rsidRPr="00092ED7" w:rsidRDefault="00247CBF" w:rsidP="00FB09AE">
            <w:pPr>
              <w:spacing w:after="0"/>
              <w:jc w:val="center"/>
              <w:rPr>
                <w:sz w:val="20"/>
                <w:szCs w:val="20"/>
                <w:lang w:val="sr-Cyrl-CS"/>
              </w:rPr>
            </w:pPr>
            <w:r w:rsidRPr="00092ED7">
              <w:rPr>
                <w:sz w:val="20"/>
                <w:szCs w:val="20"/>
                <w:lang w:val="sr-Cyrl-CS"/>
              </w:rPr>
              <w:t>D63</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63AB3ECE" w14:textId="77777777" w:rsidR="00247CBF" w:rsidRPr="00092ED7" w:rsidRDefault="00247CBF" w:rsidP="00FB09AE">
            <w:pPr>
              <w:spacing w:after="0"/>
              <w:jc w:val="center"/>
              <w:rPr>
                <w:sz w:val="20"/>
                <w:szCs w:val="20"/>
                <w:lang w:val="sr-Cyrl-CS"/>
              </w:rPr>
            </w:pPr>
            <w:r w:rsidRPr="00092ED7">
              <w:rPr>
                <w:sz w:val="20"/>
                <w:szCs w:val="20"/>
                <w:lang w:val="sr-Cyrl-CS"/>
              </w:rPr>
              <w:t>2021-04</w:t>
            </w:r>
          </w:p>
        </w:tc>
        <w:tc>
          <w:tcPr>
            <w:tcW w:w="920" w:type="dxa"/>
            <w:tcBorders>
              <w:top w:val="nil"/>
              <w:left w:val="nil"/>
              <w:bottom w:val="dotted" w:sz="4" w:space="0" w:color="auto"/>
              <w:right w:val="single" w:sz="4" w:space="0" w:color="auto"/>
            </w:tcBorders>
            <w:shd w:val="clear" w:color="auto" w:fill="auto"/>
            <w:noWrap/>
            <w:vAlign w:val="center"/>
            <w:hideMark/>
          </w:tcPr>
          <w:p w14:paraId="3B9555AE"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6B04BCD0" w14:textId="77777777" w:rsidR="00247CBF" w:rsidRPr="00092ED7" w:rsidRDefault="00247CBF" w:rsidP="00FB09AE">
            <w:pPr>
              <w:spacing w:after="0"/>
              <w:jc w:val="right"/>
              <w:rPr>
                <w:sz w:val="20"/>
                <w:szCs w:val="20"/>
                <w:lang w:val="sr-Cyrl-CS"/>
              </w:rPr>
            </w:pPr>
            <w:r w:rsidRPr="00092ED7">
              <w:rPr>
                <w:sz w:val="20"/>
                <w:szCs w:val="20"/>
                <w:lang w:val="sr-Cyrl-CS"/>
              </w:rPr>
              <w:t>-5</w:t>
            </w:r>
          </w:p>
        </w:tc>
        <w:tc>
          <w:tcPr>
            <w:tcW w:w="920" w:type="dxa"/>
            <w:tcBorders>
              <w:top w:val="nil"/>
              <w:left w:val="single" w:sz="4" w:space="0" w:color="auto"/>
              <w:bottom w:val="dotted" w:sz="4" w:space="0" w:color="auto"/>
              <w:right w:val="nil"/>
            </w:tcBorders>
            <w:shd w:val="clear" w:color="auto" w:fill="auto"/>
            <w:noWrap/>
            <w:vAlign w:val="center"/>
            <w:hideMark/>
          </w:tcPr>
          <w:p w14:paraId="2FCC7824"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5229CB3A"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28665B38" w14:textId="77777777" w:rsidR="00247CBF" w:rsidRPr="00092ED7" w:rsidRDefault="00247CBF" w:rsidP="00FB09AE">
            <w:pPr>
              <w:spacing w:after="0"/>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79C64370" w14:textId="77777777" w:rsidR="00247CBF" w:rsidRPr="00092ED7" w:rsidRDefault="00247CBF" w:rsidP="00FB09AE">
            <w:pPr>
              <w:spacing w:after="0"/>
              <w:jc w:val="right"/>
              <w:rPr>
                <w:sz w:val="20"/>
                <w:szCs w:val="20"/>
                <w:lang w:val="sr-Cyrl-CS"/>
              </w:rPr>
            </w:pPr>
            <w:r w:rsidRPr="00092ED7">
              <w:rPr>
                <w:sz w:val="20"/>
                <w:szCs w:val="20"/>
                <w:lang w:val="sr-Cyrl-CS"/>
              </w:rPr>
              <w:t> </w:t>
            </w:r>
          </w:p>
        </w:tc>
      </w:tr>
      <w:tr w:rsidR="00FB09AE" w:rsidRPr="00092ED7" w14:paraId="2835BCE7" w14:textId="77777777" w:rsidTr="00FB09AE">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5AD213FD" w14:textId="77777777" w:rsidR="00247CBF" w:rsidRPr="00092ED7" w:rsidRDefault="00247CBF" w:rsidP="00FB09AE">
            <w:pPr>
              <w:spacing w:after="0"/>
              <w:rPr>
                <w:sz w:val="20"/>
                <w:szCs w:val="20"/>
                <w:lang w:val="sr-Cyrl-CS"/>
              </w:rPr>
            </w:pPr>
            <w:r w:rsidRPr="00092ED7">
              <w:rPr>
                <w:sz w:val="20"/>
                <w:szCs w:val="20"/>
                <w:lang w:val="sr-Cyrl-CS"/>
              </w:rPr>
              <w:t>Помоћ младима</w:t>
            </w:r>
          </w:p>
        </w:tc>
        <w:tc>
          <w:tcPr>
            <w:tcW w:w="1397" w:type="dxa"/>
            <w:tcBorders>
              <w:top w:val="nil"/>
              <w:left w:val="nil"/>
              <w:bottom w:val="dotted" w:sz="4" w:space="0" w:color="auto"/>
              <w:right w:val="single" w:sz="4" w:space="0" w:color="auto"/>
            </w:tcBorders>
            <w:shd w:val="clear" w:color="auto" w:fill="auto"/>
            <w:noWrap/>
            <w:vAlign w:val="center"/>
            <w:hideMark/>
          </w:tcPr>
          <w:p w14:paraId="4855BB29" w14:textId="77777777" w:rsidR="00247CBF" w:rsidRPr="00092ED7" w:rsidRDefault="00247CBF" w:rsidP="00FB09AE">
            <w:pPr>
              <w:spacing w:after="0"/>
              <w:jc w:val="center"/>
              <w:rPr>
                <w:sz w:val="20"/>
                <w:szCs w:val="20"/>
                <w:lang w:val="sr-Cyrl-CS"/>
              </w:rPr>
            </w:pPr>
            <w:r w:rsidRPr="00092ED7">
              <w:rPr>
                <w:sz w:val="20"/>
                <w:szCs w:val="20"/>
                <w:lang w:val="sr-Cyrl-CS"/>
              </w:rPr>
              <w:t>D7</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1BF9DD1A" w14:textId="77777777" w:rsidR="00247CBF" w:rsidRPr="00092ED7" w:rsidRDefault="00247CBF" w:rsidP="00FB09AE">
            <w:pPr>
              <w:spacing w:after="0"/>
              <w:jc w:val="center"/>
              <w:rPr>
                <w:sz w:val="20"/>
                <w:szCs w:val="20"/>
                <w:lang w:val="sr-Cyrl-CS"/>
              </w:rPr>
            </w:pPr>
            <w:r w:rsidRPr="00092ED7">
              <w:rPr>
                <w:sz w:val="20"/>
                <w:szCs w:val="20"/>
                <w:lang w:val="sr-Cyrl-CS"/>
              </w:rPr>
              <w:t>2022-02; 2022-06; 2022-12</w:t>
            </w:r>
          </w:p>
        </w:tc>
        <w:tc>
          <w:tcPr>
            <w:tcW w:w="920" w:type="dxa"/>
            <w:tcBorders>
              <w:top w:val="nil"/>
              <w:left w:val="nil"/>
              <w:bottom w:val="dotted" w:sz="4" w:space="0" w:color="auto"/>
              <w:right w:val="single" w:sz="4" w:space="0" w:color="auto"/>
            </w:tcBorders>
            <w:shd w:val="clear" w:color="auto" w:fill="auto"/>
            <w:noWrap/>
            <w:vAlign w:val="center"/>
            <w:hideMark/>
          </w:tcPr>
          <w:p w14:paraId="5BA3F3AD"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3BC82DC2"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nil"/>
            </w:tcBorders>
            <w:shd w:val="clear" w:color="auto" w:fill="auto"/>
            <w:noWrap/>
            <w:vAlign w:val="center"/>
            <w:hideMark/>
          </w:tcPr>
          <w:p w14:paraId="09903343" w14:textId="77777777" w:rsidR="00247CBF" w:rsidRPr="00092ED7" w:rsidRDefault="00247CBF" w:rsidP="00FB09AE">
            <w:pPr>
              <w:spacing w:after="0"/>
              <w:jc w:val="right"/>
              <w:rPr>
                <w:sz w:val="20"/>
                <w:szCs w:val="20"/>
                <w:lang w:val="sr-Cyrl-CS"/>
              </w:rPr>
            </w:pPr>
            <w:r w:rsidRPr="00092ED7">
              <w:rPr>
                <w:sz w:val="20"/>
                <w:szCs w:val="20"/>
                <w:lang w:val="sr-Cyrl-CS"/>
              </w:rPr>
              <w:t>-30,6</w:t>
            </w:r>
          </w:p>
        </w:tc>
        <w:tc>
          <w:tcPr>
            <w:tcW w:w="921" w:type="dxa"/>
            <w:tcBorders>
              <w:top w:val="nil"/>
              <w:left w:val="single" w:sz="4" w:space="0" w:color="auto"/>
              <w:bottom w:val="dotted" w:sz="4" w:space="0" w:color="auto"/>
              <w:right w:val="nil"/>
            </w:tcBorders>
            <w:shd w:val="clear" w:color="auto" w:fill="auto"/>
            <w:noWrap/>
            <w:vAlign w:val="center"/>
            <w:hideMark/>
          </w:tcPr>
          <w:p w14:paraId="7C0B4543"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576D16D2" w14:textId="77777777" w:rsidR="00247CBF" w:rsidRPr="00092ED7" w:rsidRDefault="00247CBF" w:rsidP="00FB09AE">
            <w:pPr>
              <w:spacing w:after="0"/>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0F115D52" w14:textId="77777777" w:rsidR="00247CBF" w:rsidRPr="00092ED7" w:rsidRDefault="00247CBF" w:rsidP="00FB09AE">
            <w:pPr>
              <w:spacing w:after="0"/>
              <w:jc w:val="right"/>
              <w:rPr>
                <w:sz w:val="20"/>
                <w:szCs w:val="20"/>
                <w:lang w:val="sr-Cyrl-CS"/>
              </w:rPr>
            </w:pPr>
            <w:r w:rsidRPr="00092ED7">
              <w:rPr>
                <w:sz w:val="20"/>
                <w:szCs w:val="20"/>
                <w:lang w:val="sr-Cyrl-CS"/>
              </w:rPr>
              <w:t> </w:t>
            </w:r>
          </w:p>
        </w:tc>
      </w:tr>
      <w:tr w:rsidR="00FB09AE" w:rsidRPr="00092ED7" w14:paraId="1631B2F6" w14:textId="77777777" w:rsidTr="00FB09AE">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309CA08B" w14:textId="77777777" w:rsidR="00247CBF" w:rsidRPr="00092ED7" w:rsidRDefault="00247CBF" w:rsidP="00FB09AE">
            <w:pPr>
              <w:spacing w:after="0"/>
              <w:rPr>
                <w:sz w:val="20"/>
                <w:szCs w:val="20"/>
                <w:lang w:val="sr-Cyrl-CS"/>
              </w:rPr>
            </w:pPr>
            <w:r w:rsidRPr="00092ED7">
              <w:rPr>
                <w:sz w:val="20"/>
                <w:szCs w:val="20"/>
                <w:lang w:val="sr-Cyrl-CS"/>
              </w:rPr>
              <w:t>Помоћ запосленима у здравству, просвети и науци</w:t>
            </w:r>
          </w:p>
        </w:tc>
        <w:tc>
          <w:tcPr>
            <w:tcW w:w="1397" w:type="dxa"/>
            <w:tcBorders>
              <w:top w:val="dotted" w:sz="4" w:space="0" w:color="auto"/>
              <w:left w:val="nil"/>
              <w:bottom w:val="dotted" w:sz="4" w:space="0" w:color="auto"/>
              <w:right w:val="single" w:sz="4" w:space="0" w:color="auto"/>
            </w:tcBorders>
            <w:shd w:val="clear" w:color="auto" w:fill="auto"/>
            <w:noWrap/>
            <w:vAlign w:val="center"/>
            <w:hideMark/>
          </w:tcPr>
          <w:p w14:paraId="03C7B7F0" w14:textId="77777777" w:rsidR="00247CBF" w:rsidRPr="00092ED7" w:rsidRDefault="00247CBF" w:rsidP="00FB09AE">
            <w:pPr>
              <w:spacing w:after="0"/>
              <w:jc w:val="center"/>
              <w:rPr>
                <w:sz w:val="20"/>
                <w:szCs w:val="20"/>
                <w:lang w:val="sr-Cyrl-CS"/>
              </w:rPr>
            </w:pPr>
            <w:r w:rsidRPr="00092ED7">
              <w:rPr>
                <w:sz w:val="20"/>
                <w:szCs w:val="20"/>
                <w:lang w:val="sr-Cyrl-CS"/>
              </w:rPr>
              <w:t>D1</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1FE81196" w14:textId="77777777" w:rsidR="00247CBF" w:rsidRPr="00092ED7" w:rsidRDefault="00247CBF" w:rsidP="00FB09AE">
            <w:pPr>
              <w:spacing w:after="0"/>
              <w:jc w:val="center"/>
              <w:rPr>
                <w:sz w:val="20"/>
                <w:szCs w:val="20"/>
                <w:lang w:val="sr-Cyrl-CS"/>
              </w:rPr>
            </w:pPr>
            <w:r w:rsidRPr="00092ED7">
              <w:rPr>
                <w:sz w:val="20"/>
                <w:szCs w:val="20"/>
                <w:lang w:val="sr-Cyrl-CS"/>
              </w:rPr>
              <w:t>2022-01;2022-04</w:t>
            </w:r>
          </w:p>
        </w:tc>
        <w:tc>
          <w:tcPr>
            <w:tcW w:w="920" w:type="dxa"/>
            <w:tcBorders>
              <w:top w:val="nil"/>
              <w:left w:val="nil"/>
              <w:bottom w:val="dotted" w:sz="4" w:space="0" w:color="auto"/>
              <w:right w:val="single" w:sz="4" w:space="0" w:color="auto"/>
            </w:tcBorders>
            <w:shd w:val="clear" w:color="auto" w:fill="auto"/>
            <w:noWrap/>
            <w:vAlign w:val="center"/>
            <w:hideMark/>
          </w:tcPr>
          <w:p w14:paraId="24F75F17"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4107C6A7"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nil"/>
            </w:tcBorders>
            <w:shd w:val="clear" w:color="auto" w:fill="auto"/>
            <w:noWrap/>
            <w:vAlign w:val="center"/>
            <w:hideMark/>
          </w:tcPr>
          <w:p w14:paraId="625CD194" w14:textId="77777777" w:rsidR="00247CBF" w:rsidRPr="00092ED7" w:rsidRDefault="00247CBF" w:rsidP="00FB09AE">
            <w:pPr>
              <w:spacing w:after="0"/>
              <w:jc w:val="right"/>
              <w:rPr>
                <w:sz w:val="20"/>
                <w:szCs w:val="20"/>
                <w:lang w:val="sr-Cyrl-CS"/>
              </w:rPr>
            </w:pPr>
            <w:r w:rsidRPr="00092ED7">
              <w:rPr>
                <w:sz w:val="20"/>
                <w:szCs w:val="20"/>
                <w:lang w:val="sr-Cyrl-CS"/>
              </w:rPr>
              <w:t>3,15</w:t>
            </w:r>
          </w:p>
        </w:tc>
        <w:tc>
          <w:tcPr>
            <w:tcW w:w="921" w:type="dxa"/>
            <w:tcBorders>
              <w:top w:val="nil"/>
              <w:left w:val="single" w:sz="4" w:space="0" w:color="auto"/>
              <w:bottom w:val="dotted" w:sz="4" w:space="0" w:color="auto"/>
              <w:right w:val="nil"/>
            </w:tcBorders>
            <w:shd w:val="clear" w:color="auto" w:fill="auto"/>
            <w:noWrap/>
            <w:vAlign w:val="center"/>
            <w:hideMark/>
          </w:tcPr>
          <w:p w14:paraId="1DE0FD99"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5B6DA076" w14:textId="77777777" w:rsidR="00247CBF" w:rsidRPr="00092ED7" w:rsidRDefault="00247CBF" w:rsidP="00FB09AE">
            <w:pPr>
              <w:spacing w:after="0"/>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17B1AC75" w14:textId="77777777" w:rsidR="00247CBF" w:rsidRPr="00092ED7" w:rsidRDefault="00247CBF" w:rsidP="00FB09AE">
            <w:pPr>
              <w:spacing w:after="0"/>
              <w:jc w:val="right"/>
              <w:rPr>
                <w:sz w:val="20"/>
                <w:szCs w:val="20"/>
                <w:lang w:val="sr-Cyrl-CS"/>
              </w:rPr>
            </w:pPr>
            <w:r w:rsidRPr="00092ED7">
              <w:rPr>
                <w:sz w:val="20"/>
                <w:szCs w:val="20"/>
                <w:lang w:val="sr-Cyrl-CS"/>
              </w:rPr>
              <w:t> </w:t>
            </w:r>
          </w:p>
        </w:tc>
      </w:tr>
      <w:tr w:rsidR="00FB09AE" w:rsidRPr="00092ED7" w14:paraId="1042B661" w14:textId="77777777" w:rsidTr="00FB09AE">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0BAB5286" w14:textId="77777777" w:rsidR="00247CBF" w:rsidRPr="00092ED7" w:rsidRDefault="00247CBF" w:rsidP="00FB09AE">
            <w:pPr>
              <w:spacing w:after="0"/>
              <w:rPr>
                <w:sz w:val="20"/>
                <w:szCs w:val="20"/>
                <w:lang w:val="sr-Cyrl-CS"/>
              </w:rPr>
            </w:pPr>
            <w:r w:rsidRPr="00092ED7">
              <w:rPr>
                <w:sz w:val="20"/>
                <w:szCs w:val="20"/>
                <w:lang w:val="sr-Cyrl-CS"/>
              </w:rPr>
              <w:t>Привремено смањење акциза на деривате нафте</w:t>
            </w:r>
          </w:p>
        </w:tc>
        <w:tc>
          <w:tcPr>
            <w:tcW w:w="1397" w:type="dxa"/>
            <w:tcBorders>
              <w:top w:val="nil"/>
              <w:left w:val="nil"/>
              <w:bottom w:val="dotted" w:sz="4" w:space="0" w:color="auto"/>
              <w:right w:val="single" w:sz="4" w:space="0" w:color="auto"/>
            </w:tcBorders>
            <w:shd w:val="clear" w:color="auto" w:fill="auto"/>
            <w:noWrap/>
            <w:vAlign w:val="center"/>
            <w:hideMark/>
          </w:tcPr>
          <w:p w14:paraId="46899946" w14:textId="77777777" w:rsidR="00247CBF" w:rsidRPr="00092ED7" w:rsidRDefault="00247CBF" w:rsidP="00FB09AE">
            <w:pPr>
              <w:spacing w:after="0"/>
              <w:jc w:val="center"/>
              <w:rPr>
                <w:sz w:val="20"/>
                <w:szCs w:val="20"/>
                <w:lang w:val="sr-Cyrl-CS"/>
              </w:rPr>
            </w:pPr>
            <w:r w:rsidRPr="00092ED7">
              <w:rPr>
                <w:sz w:val="20"/>
                <w:szCs w:val="20"/>
                <w:lang w:val="sr-Cyrl-CS"/>
              </w:rPr>
              <w:t>D2</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27C9EDEB" w14:textId="77777777" w:rsidR="00247CBF" w:rsidRPr="00092ED7" w:rsidRDefault="00247CBF" w:rsidP="00FB09AE">
            <w:pPr>
              <w:spacing w:after="0"/>
              <w:jc w:val="center"/>
              <w:rPr>
                <w:sz w:val="20"/>
                <w:szCs w:val="20"/>
                <w:lang w:val="sr-Cyrl-CS"/>
              </w:rPr>
            </w:pPr>
            <w:r w:rsidRPr="00092ED7">
              <w:rPr>
                <w:sz w:val="20"/>
                <w:szCs w:val="20"/>
                <w:lang w:val="sr-Cyrl-CS"/>
              </w:rPr>
              <w:t>2022-04</w:t>
            </w:r>
          </w:p>
        </w:tc>
        <w:tc>
          <w:tcPr>
            <w:tcW w:w="920" w:type="dxa"/>
            <w:tcBorders>
              <w:top w:val="nil"/>
              <w:left w:val="nil"/>
              <w:bottom w:val="dotted" w:sz="4" w:space="0" w:color="auto"/>
              <w:right w:val="single" w:sz="4" w:space="0" w:color="auto"/>
            </w:tcBorders>
            <w:shd w:val="clear" w:color="auto" w:fill="auto"/>
            <w:noWrap/>
            <w:vAlign w:val="center"/>
            <w:hideMark/>
          </w:tcPr>
          <w:p w14:paraId="08B921E6"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415619A5"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nil"/>
            </w:tcBorders>
            <w:shd w:val="clear" w:color="auto" w:fill="auto"/>
            <w:noWrap/>
            <w:vAlign w:val="center"/>
            <w:hideMark/>
          </w:tcPr>
          <w:p w14:paraId="1F22A569" w14:textId="77777777" w:rsidR="00247CBF" w:rsidRPr="00092ED7" w:rsidRDefault="00247CBF" w:rsidP="00FB09AE">
            <w:pPr>
              <w:spacing w:after="0"/>
              <w:jc w:val="right"/>
              <w:rPr>
                <w:sz w:val="20"/>
                <w:szCs w:val="20"/>
                <w:lang w:val="sr-Cyrl-CS"/>
              </w:rPr>
            </w:pPr>
            <w:r w:rsidRPr="00092ED7">
              <w:rPr>
                <w:sz w:val="20"/>
                <w:szCs w:val="20"/>
                <w:lang w:val="sr-Cyrl-CS"/>
              </w:rPr>
              <w:t>-16</w:t>
            </w:r>
          </w:p>
        </w:tc>
        <w:tc>
          <w:tcPr>
            <w:tcW w:w="921" w:type="dxa"/>
            <w:tcBorders>
              <w:top w:val="nil"/>
              <w:left w:val="single" w:sz="4" w:space="0" w:color="auto"/>
              <w:bottom w:val="dotted" w:sz="4" w:space="0" w:color="auto"/>
              <w:right w:val="nil"/>
            </w:tcBorders>
            <w:shd w:val="clear" w:color="auto" w:fill="auto"/>
            <w:noWrap/>
            <w:vAlign w:val="center"/>
            <w:hideMark/>
          </w:tcPr>
          <w:p w14:paraId="0F307827" w14:textId="77777777" w:rsidR="00247CBF" w:rsidRPr="00092ED7" w:rsidRDefault="00247CBF" w:rsidP="00FB09AE">
            <w:pPr>
              <w:spacing w:after="0"/>
              <w:jc w:val="right"/>
              <w:rPr>
                <w:sz w:val="20"/>
                <w:szCs w:val="20"/>
                <w:lang w:val="sr-Cyrl-CS"/>
              </w:rPr>
            </w:pPr>
            <w:r w:rsidRPr="00092ED7">
              <w:rPr>
                <w:sz w:val="20"/>
                <w:szCs w:val="20"/>
                <w:lang w:val="sr-Cyrl-CS"/>
              </w:rPr>
              <w:t>-19</w:t>
            </w:r>
          </w:p>
        </w:tc>
        <w:tc>
          <w:tcPr>
            <w:tcW w:w="920" w:type="dxa"/>
            <w:tcBorders>
              <w:top w:val="nil"/>
              <w:left w:val="single" w:sz="4" w:space="0" w:color="auto"/>
              <w:bottom w:val="dotted" w:sz="4" w:space="0" w:color="auto"/>
              <w:right w:val="single" w:sz="4" w:space="0" w:color="auto"/>
            </w:tcBorders>
            <w:vAlign w:val="center"/>
          </w:tcPr>
          <w:p w14:paraId="517E1CD3" w14:textId="77777777" w:rsidR="00247CBF" w:rsidRPr="00092ED7" w:rsidRDefault="00247CBF" w:rsidP="00FB09AE">
            <w:pPr>
              <w:spacing w:after="0"/>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6E24AE61" w14:textId="77777777" w:rsidR="00247CBF" w:rsidRPr="00092ED7" w:rsidRDefault="00247CBF" w:rsidP="00FB09AE">
            <w:pPr>
              <w:spacing w:after="0"/>
              <w:jc w:val="right"/>
              <w:rPr>
                <w:sz w:val="20"/>
                <w:szCs w:val="20"/>
                <w:lang w:val="sr-Cyrl-CS"/>
              </w:rPr>
            </w:pPr>
            <w:r w:rsidRPr="00092ED7">
              <w:rPr>
                <w:sz w:val="20"/>
                <w:szCs w:val="20"/>
                <w:lang w:val="sr-Cyrl-CS"/>
              </w:rPr>
              <w:t> </w:t>
            </w:r>
          </w:p>
        </w:tc>
      </w:tr>
      <w:tr w:rsidR="00247CBF" w:rsidRPr="00092ED7" w14:paraId="16469A65" w14:textId="77777777" w:rsidTr="00247CBF">
        <w:trPr>
          <w:gridBefore w:val="1"/>
          <w:wBefore w:w="23" w:type="dxa"/>
          <w:trHeight w:val="227"/>
        </w:trPr>
        <w:tc>
          <w:tcPr>
            <w:tcW w:w="5101" w:type="dxa"/>
            <w:tcBorders>
              <w:top w:val="dotted" w:sz="4" w:space="0" w:color="auto"/>
              <w:left w:val="double" w:sz="6" w:space="0" w:color="auto"/>
              <w:bottom w:val="single" w:sz="4" w:space="0" w:color="auto"/>
              <w:right w:val="single" w:sz="4" w:space="0" w:color="auto"/>
            </w:tcBorders>
            <w:shd w:val="clear" w:color="auto" w:fill="auto"/>
            <w:vAlign w:val="center"/>
            <w:hideMark/>
          </w:tcPr>
          <w:p w14:paraId="6A5B5385" w14:textId="77777777" w:rsidR="00247CBF" w:rsidRPr="00092ED7" w:rsidRDefault="00247CBF" w:rsidP="00247CBF">
            <w:pPr>
              <w:spacing w:after="0" w:line="233" w:lineRule="auto"/>
              <w:outlineLvl w:val="0"/>
              <w:rPr>
                <w:sz w:val="20"/>
                <w:szCs w:val="20"/>
                <w:lang w:val="sr-Cyrl-CS"/>
              </w:rPr>
            </w:pPr>
            <w:r w:rsidRPr="00092ED7">
              <w:rPr>
                <w:sz w:val="20"/>
                <w:szCs w:val="20"/>
                <w:lang w:val="sr-Cyrl-CS"/>
              </w:rPr>
              <w:t> </w:t>
            </w:r>
          </w:p>
        </w:tc>
        <w:tc>
          <w:tcPr>
            <w:tcW w:w="1397"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4C9FFC91" w14:textId="77777777" w:rsidR="00247CBF" w:rsidRPr="00092ED7" w:rsidRDefault="00247CBF" w:rsidP="00247CBF">
            <w:pPr>
              <w:spacing w:after="0" w:line="233" w:lineRule="auto"/>
              <w:jc w:val="center"/>
              <w:outlineLvl w:val="0"/>
              <w:rPr>
                <w:sz w:val="20"/>
                <w:szCs w:val="20"/>
                <w:lang w:val="sr-Cyrl-CS"/>
              </w:rPr>
            </w:pPr>
          </w:p>
        </w:tc>
        <w:tc>
          <w:tcPr>
            <w:tcW w:w="2693" w:type="dxa"/>
            <w:tcBorders>
              <w:top w:val="dotted" w:sz="4" w:space="0" w:color="auto"/>
              <w:left w:val="nil"/>
              <w:bottom w:val="single" w:sz="4" w:space="0" w:color="auto"/>
              <w:right w:val="single" w:sz="8" w:space="0" w:color="auto"/>
            </w:tcBorders>
            <w:shd w:val="clear" w:color="auto" w:fill="auto"/>
            <w:noWrap/>
            <w:vAlign w:val="center"/>
          </w:tcPr>
          <w:p w14:paraId="30A92C0E" w14:textId="77777777" w:rsidR="00247CBF" w:rsidRPr="00092ED7" w:rsidRDefault="00247CBF" w:rsidP="00247CBF">
            <w:pPr>
              <w:spacing w:after="0" w:line="233" w:lineRule="auto"/>
              <w:jc w:val="center"/>
              <w:outlineLvl w:val="0"/>
              <w:rPr>
                <w:sz w:val="20"/>
                <w:szCs w:val="20"/>
                <w:lang w:val="sr-Cyrl-CS"/>
              </w:rPr>
            </w:pPr>
          </w:p>
        </w:tc>
        <w:tc>
          <w:tcPr>
            <w:tcW w:w="92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650BE5B5" w14:textId="77777777" w:rsidR="00247CBF" w:rsidRPr="00092ED7" w:rsidRDefault="00247CBF" w:rsidP="00247CBF">
            <w:pPr>
              <w:spacing w:after="0" w:line="233" w:lineRule="auto"/>
              <w:jc w:val="right"/>
              <w:outlineLvl w:val="0"/>
              <w:rPr>
                <w:sz w:val="20"/>
                <w:szCs w:val="20"/>
                <w:lang w:val="sr-Cyrl-CS"/>
              </w:rPr>
            </w:pPr>
            <w:r w:rsidRPr="00092ED7">
              <w:rPr>
                <w:sz w:val="20"/>
                <w:szCs w:val="20"/>
                <w:lang w:val="sr-Cyrl-CS"/>
              </w:rPr>
              <w:t> </w:t>
            </w:r>
          </w:p>
        </w:tc>
        <w:tc>
          <w:tcPr>
            <w:tcW w:w="921" w:type="dxa"/>
            <w:tcBorders>
              <w:top w:val="dotted" w:sz="4" w:space="0" w:color="auto"/>
              <w:left w:val="nil"/>
              <w:bottom w:val="single" w:sz="4" w:space="0" w:color="auto"/>
              <w:right w:val="nil"/>
            </w:tcBorders>
            <w:shd w:val="clear" w:color="auto" w:fill="auto"/>
            <w:noWrap/>
            <w:vAlign w:val="center"/>
            <w:hideMark/>
          </w:tcPr>
          <w:p w14:paraId="14783BAE" w14:textId="77777777" w:rsidR="00247CBF" w:rsidRPr="00092ED7" w:rsidRDefault="00247CBF" w:rsidP="00247CBF">
            <w:pPr>
              <w:spacing w:after="0" w:line="233" w:lineRule="auto"/>
              <w:jc w:val="right"/>
              <w:outlineLvl w:val="0"/>
              <w:rPr>
                <w:sz w:val="20"/>
                <w:szCs w:val="20"/>
                <w:lang w:val="sr-Cyrl-CS"/>
              </w:rPr>
            </w:pPr>
            <w:r w:rsidRPr="00092ED7">
              <w:rPr>
                <w:sz w:val="20"/>
                <w:szCs w:val="20"/>
                <w:lang w:val="sr-Cyrl-CS"/>
              </w:rPr>
              <w:t> </w:t>
            </w:r>
          </w:p>
        </w:tc>
        <w:tc>
          <w:tcPr>
            <w:tcW w:w="920" w:type="dxa"/>
            <w:tcBorders>
              <w:top w:val="dotted" w:sz="4" w:space="0" w:color="auto"/>
              <w:left w:val="single" w:sz="4" w:space="0" w:color="auto"/>
              <w:bottom w:val="single" w:sz="4" w:space="0" w:color="auto"/>
              <w:right w:val="nil"/>
            </w:tcBorders>
            <w:shd w:val="clear" w:color="auto" w:fill="auto"/>
            <w:noWrap/>
            <w:vAlign w:val="center"/>
            <w:hideMark/>
          </w:tcPr>
          <w:p w14:paraId="63963D67" w14:textId="77777777" w:rsidR="00247CBF" w:rsidRPr="00092ED7" w:rsidRDefault="00247CBF" w:rsidP="00247CBF">
            <w:pPr>
              <w:spacing w:after="0" w:line="233" w:lineRule="auto"/>
              <w:jc w:val="right"/>
              <w:outlineLvl w:val="0"/>
              <w:rPr>
                <w:sz w:val="20"/>
                <w:szCs w:val="20"/>
                <w:lang w:val="sr-Cyrl-CS"/>
              </w:rPr>
            </w:pPr>
            <w:r w:rsidRPr="00092ED7">
              <w:rPr>
                <w:sz w:val="20"/>
                <w:szCs w:val="20"/>
                <w:lang w:val="sr-Cyrl-CS"/>
              </w:rPr>
              <w:t> </w:t>
            </w:r>
          </w:p>
        </w:tc>
        <w:tc>
          <w:tcPr>
            <w:tcW w:w="921" w:type="dxa"/>
            <w:tcBorders>
              <w:top w:val="dotted" w:sz="4" w:space="0" w:color="auto"/>
              <w:left w:val="single" w:sz="4" w:space="0" w:color="auto"/>
              <w:bottom w:val="single" w:sz="4" w:space="0" w:color="auto"/>
              <w:right w:val="nil"/>
            </w:tcBorders>
            <w:shd w:val="clear" w:color="auto" w:fill="auto"/>
            <w:noWrap/>
            <w:vAlign w:val="center"/>
            <w:hideMark/>
          </w:tcPr>
          <w:p w14:paraId="15BE854B" w14:textId="77777777" w:rsidR="00247CBF" w:rsidRPr="00092ED7" w:rsidRDefault="00247CBF" w:rsidP="00247CBF">
            <w:pPr>
              <w:spacing w:after="0" w:line="233" w:lineRule="auto"/>
              <w:jc w:val="right"/>
              <w:outlineLvl w:val="0"/>
              <w:rPr>
                <w:sz w:val="20"/>
                <w:szCs w:val="20"/>
                <w:lang w:val="sr-Cyrl-CS"/>
              </w:rPr>
            </w:pPr>
            <w:r w:rsidRPr="00092ED7">
              <w:rPr>
                <w:sz w:val="20"/>
                <w:szCs w:val="20"/>
                <w:lang w:val="sr-Cyrl-CS"/>
              </w:rPr>
              <w:t> </w:t>
            </w:r>
          </w:p>
        </w:tc>
        <w:tc>
          <w:tcPr>
            <w:tcW w:w="920" w:type="dxa"/>
            <w:tcBorders>
              <w:top w:val="dotted" w:sz="4" w:space="0" w:color="auto"/>
              <w:left w:val="single" w:sz="4" w:space="0" w:color="auto"/>
              <w:bottom w:val="single" w:sz="4" w:space="0" w:color="auto"/>
              <w:right w:val="single" w:sz="4" w:space="0" w:color="auto"/>
            </w:tcBorders>
            <w:vAlign w:val="center"/>
          </w:tcPr>
          <w:p w14:paraId="490C3ECD" w14:textId="77777777" w:rsidR="00247CBF" w:rsidRPr="00092ED7" w:rsidRDefault="00247CBF" w:rsidP="00247CBF">
            <w:pPr>
              <w:spacing w:after="0" w:line="233" w:lineRule="auto"/>
              <w:jc w:val="right"/>
              <w:outlineLvl w:val="0"/>
              <w:rPr>
                <w:sz w:val="20"/>
                <w:szCs w:val="20"/>
                <w:lang w:val="sr-Cyrl-CS"/>
              </w:rPr>
            </w:pPr>
          </w:p>
        </w:tc>
        <w:tc>
          <w:tcPr>
            <w:tcW w:w="921" w:type="dxa"/>
            <w:gridSpan w:val="2"/>
            <w:tcBorders>
              <w:top w:val="dotted" w:sz="4" w:space="0" w:color="auto"/>
              <w:left w:val="single" w:sz="4" w:space="0" w:color="auto"/>
              <w:bottom w:val="single" w:sz="4" w:space="0" w:color="auto"/>
              <w:right w:val="double" w:sz="6" w:space="0" w:color="auto"/>
            </w:tcBorders>
            <w:shd w:val="clear" w:color="auto" w:fill="auto"/>
            <w:noWrap/>
            <w:vAlign w:val="center"/>
            <w:hideMark/>
          </w:tcPr>
          <w:p w14:paraId="75D20CEB" w14:textId="77777777" w:rsidR="00247CBF" w:rsidRPr="00092ED7" w:rsidRDefault="00247CBF" w:rsidP="00247CBF">
            <w:pPr>
              <w:spacing w:after="0" w:line="233" w:lineRule="auto"/>
              <w:jc w:val="right"/>
              <w:outlineLvl w:val="0"/>
              <w:rPr>
                <w:sz w:val="20"/>
                <w:szCs w:val="20"/>
                <w:lang w:val="sr-Cyrl-CS"/>
              </w:rPr>
            </w:pPr>
            <w:r w:rsidRPr="00092ED7">
              <w:rPr>
                <w:sz w:val="20"/>
                <w:szCs w:val="20"/>
                <w:lang w:val="sr-Cyrl-CS"/>
              </w:rPr>
              <w:t> </w:t>
            </w:r>
          </w:p>
        </w:tc>
      </w:tr>
      <w:tr w:rsidR="00247CBF" w:rsidRPr="00092ED7" w14:paraId="5731A552" w14:textId="77777777" w:rsidTr="00247CBF">
        <w:trPr>
          <w:gridBefore w:val="1"/>
          <w:wBefore w:w="23" w:type="dxa"/>
          <w:trHeight w:val="227"/>
        </w:trPr>
        <w:tc>
          <w:tcPr>
            <w:tcW w:w="9191" w:type="dxa"/>
            <w:gridSpan w:val="3"/>
            <w:tcBorders>
              <w:top w:val="single" w:sz="4" w:space="0" w:color="auto"/>
              <w:left w:val="double" w:sz="6" w:space="0" w:color="auto"/>
              <w:bottom w:val="single" w:sz="8" w:space="0" w:color="auto"/>
              <w:right w:val="single" w:sz="8" w:space="0" w:color="000000"/>
            </w:tcBorders>
            <w:shd w:val="clear" w:color="auto" w:fill="auto"/>
            <w:vAlign w:val="center"/>
            <w:hideMark/>
          </w:tcPr>
          <w:p w14:paraId="2D9DD475" w14:textId="77777777" w:rsidR="00247CBF" w:rsidRPr="00092ED7" w:rsidRDefault="00247CBF" w:rsidP="00247CBF">
            <w:pPr>
              <w:spacing w:after="0" w:line="233" w:lineRule="auto"/>
              <w:jc w:val="center"/>
              <w:rPr>
                <w:rFonts w:cs="Times New Roman"/>
                <w:b/>
                <w:sz w:val="20"/>
                <w:szCs w:val="20"/>
                <w:lang w:val="sr-Cyrl-CS"/>
              </w:rPr>
            </w:pPr>
            <w:r w:rsidRPr="00092ED7">
              <w:rPr>
                <w:rFonts w:cs="Times New Roman"/>
                <w:b/>
                <w:sz w:val="20"/>
                <w:szCs w:val="20"/>
                <w:lang w:val="sr-Cyrl-CS"/>
              </w:rPr>
              <w:t>Међузбир</w:t>
            </w:r>
          </w:p>
        </w:tc>
        <w:tc>
          <w:tcPr>
            <w:tcW w:w="920" w:type="dxa"/>
            <w:tcBorders>
              <w:top w:val="single" w:sz="4" w:space="0" w:color="auto"/>
              <w:left w:val="nil"/>
              <w:bottom w:val="single" w:sz="8" w:space="0" w:color="auto"/>
              <w:right w:val="single" w:sz="4" w:space="0" w:color="auto"/>
            </w:tcBorders>
            <w:shd w:val="clear" w:color="auto" w:fill="auto"/>
            <w:noWrap/>
            <w:vAlign w:val="center"/>
            <w:hideMark/>
          </w:tcPr>
          <w:p w14:paraId="1AEC5616"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-378,9</w:t>
            </w:r>
          </w:p>
        </w:tc>
        <w:tc>
          <w:tcPr>
            <w:tcW w:w="921" w:type="dxa"/>
            <w:tcBorders>
              <w:top w:val="single" w:sz="4" w:space="0" w:color="auto"/>
              <w:left w:val="nil"/>
              <w:bottom w:val="single" w:sz="8" w:space="0" w:color="auto"/>
              <w:right w:val="nil"/>
            </w:tcBorders>
            <w:shd w:val="clear" w:color="auto" w:fill="auto"/>
            <w:noWrap/>
            <w:vAlign w:val="center"/>
            <w:hideMark/>
          </w:tcPr>
          <w:p w14:paraId="77AF4BB4"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-160,2</w:t>
            </w:r>
          </w:p>
        </w:tc>
        <w:tc>
          <w:tcPr>
            <w:tcW w:w="920" w:type="dxa"/>
            <w:tcBorders>
              <w:top w:val="single" w:sz="4" w:space="0" w:color="auto"/>
              <w:left w:val="single" w:sz="4" w:space="0" w:color="auto"/>
              <w:bottom w:val="single" w:sz="8" w:space="0" w:color="auto"/>
              <w:right w:val="nil"/>
            </w:tcBorders>
            <w:shd w:val="clear" w:color="auto" w:fill="auto"/>
            <w:noWrap/>
            <w:vAlign w:val="center"/>
            <w:hideMark/>
          </w:tcPr>
          <w:p w14:paraId="1AF81DB2"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-77,05</w:t>
            </w:r>
          </w:p>
        </w:tc>
        <w:tc>
          <w:tcPr>
            <w:tcW w:w="921" w:type="dxa"/>
            <w:tcBorders>
              <w:top w:val="single" w:sz="4" w:space="0" w:color="auto"/>
              <w:left w:val="single" w:sz="4" w:space="0" w:color="auto"/>
              <w:bottom w:val="single" w:sz="8" w:space="0" w:color="auto"/>
              <w:right w:val="nil"/>
            </w:tcBorders>
            <w:shd w:val="clear" w:color="auto" w:fill="auto"/>
            <w:noWrap/>
            <w:vAlign w:val="center"/>
            <w:hideMark/>
          </w:tcPr>
          <w:p w14:paraId="3B97FF52"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-19,0</w:t>
            </w:r>
          </w:p>
        </w:tc>
        <w:tc>
          <w:tcPr>
            <w:tcW w:w="920" w:type="dxa"/>
            <w:tcBorders>
              <w:top w:val="single" w:sz="4" w:space="0" w:color="auto"/>
              <w:left w:val="single" w:sz="4" w:space="0" w:color="auto"/>
              <w:bottom w:val="single" w:sz="8" w:space="0" w:color="auto"/>
              <w:right w:val="single" w:sz="4" w:space="0" w:color="auto"/>
            </w:tcBorders>
            <w:vAlign w:val="center"/>
          </w:tcPr>
          <w:p w14:paraId="512AB578"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0,0</w:t>
            </w:r>
          </w:p>
        </w:tc>
        <w:tc>
          <w:tcPr>
            <w:tcW w:w="921" w:type="dxa"/>
            <w:gridSpan w:val="2"/>
            <w:tcBorders>
              <w:top w:val="single" w:sz="4" w:space="0" w:color="auto"/>
              <w:left w:val="single" w:sz="4" w:space="0" w:color="auto"/>
              <w:bottom w:val="single" w:sz="8" w:space="0" w:color="auto"/>
              <w:right w:val="double" w:sz="6" w:space="0" w:color="auto"/>
            </w:tcBorders>
            <w:shd w:val="clear" w:color="auto" w:fill="auto"/>
            <w:noWrap/>
            <w:vAlign w:val="center"/>
            <w:hideMark/>
          </w:tcPr>
          <w:p w14:paraId="6E809DC6"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0,0</w:t>
            </w:r>
          </w:p>
        </w:tc>
      </w:tr>
      <w:tr w:rsidR="00247CBF" w:rsidRPr="00092ED7" w14:paraId="59D37F7C" w14:textId="77777777" w:rsidTr="00247CBF">
        <w:trPr>
          <w:gridBefore w:val="1"/>
          <w:wBefore w:w="23" w:type="dxa"/>
          <w:trHeight w:val="227"/>
        </w:trPr>
        <w:tc>
          <w:tcPr>
            <w:tcW w:w="5101" w:type="dxa"/>
            <w:tcBorders>
              <w:top w:val="nil"/>
              <w:left w:val="double" w:sz="6" w:space="0" w:color="auto"/>
              <w:bottom w:val="nil"/>
              <w:right w:val="single" w:sz="4" w:space="0" w:color="auto"/>
            </w:tcBorders>
            <w:shd w:val="clear" w:color="auto" w:fill="auto"/>
            <w:vAlign w:val="center"/>
            <w:hideMark/>
          </w:tcPr>
          <w:p w14:paraId="26A02650" w14:textId="77777777" w:rsidR="00247CBF" w:rsidRPr="00092ED7" w:rsidRDefault="00247CBF" w:rsidP="00247CBF">
            <w:pPr>
              <w:spacing w:after="0" w:line="233" w:lineRule="auto"/>
              <w:rPr>
                <w:rFonts w:cs="Times New Roman"/>
                <w:sz w:val="20"/>
                <w:szCs w:val="20"/>
                <w:lang w:val="sr-Cyrl-CS"/>
              </w:rPr>
            </w:pPr>
            <w:r w:rsidRPr="00092ED7">
              <w:rPr>
                <w:rFonts w:cs="Times New Roman"/>
                <w:i/>
                <w:iCs/>
                <w:sz w:val="20"/>
                <w:szCs w:val="20"/>
                <w:lang w:val="sr-Cyrl-CS"/>
              </w:rPr>
              <w:t>Мере које нису привремене</w:t>
            </w:r>
            <w:r w:rsidRPr="00092ED7">
              <w:rPr>
                <w:rFonts w:cs="Times New Roman"/>
                <w:sz w:val="20"/>
                <w:szCs w:val="20"/>
                <w:vertAlign w:val="superscript"/>
                <w:lang w:val="sr-Cyrl-CS"/>
              </w:rPr>
              <w:t>1</w:t>
            </w:r>
          </w:p>
        </w:tc>
        <w:tc>
          <w:tcPr>
            <w:tcW w:w="1397" w:type="dxa"/>
            <w:tcBorders>
              <w:top w:val="nil"/>
              <w:left w:val="nil"/>
              <w:bottom w:val="nil"/>
              <w:right w:val="single" w:sz="4" w:space="0" w:color="auto"/>
            </w:tcBorders>
            <w:shd w:val="clear" w:color="auto" w:fill="auto"/>
            <w:noWrap/>
            <w:vAlign w:val="center"/>
          </w:tcPr>
          <w:p w14:paraId="68EA97A3" w14:textId="77777777" w:rsidR="00247CBF" w:rsidRPr="00092ED7" w:rsidRDefault="00247CBF" w:rsidP="00247CBF">
            <w:pPr>
              <w:spacing w:after="0" w:line="233" w:lineRule="auto"/>
              <w:rPr>
                <w:rFonts w:cs="Times New Roman"/>
                <w:sz w:val="20"/>
                <w:szCs w:val="20"/>
                <w:lang w:val="sr-Cyrl-CS"/>
              </w:rPr>
            </w:pPr>
          </w:p>
        </w:tc>
        <w:tc>
          <w:tcPr>
            <w:tcW w:w="2693" w:type="dxa"/>
            <w:tcBorders>
              <w:top w:val="nil"/>
              <w:left w:val="single" w:sz="4" w:space="0" w:color="auto"/>
              <w:bottom w:val="single" w:sz="4" w:space="0" w:color="auto"/>
              <w:right w:val="single" w:sz="8" w:space="0" w:color="auto"/>
            </w:tcBorders>
            <w:shd w:val="clear" w:color="auto" w:fill="auto"/>
            <w:noWrap/>
            <w:vAlign w:val="center"/>
          </w:tcPr>
          <w:p w14:paraId="0AC83A7C" w14:textId="77777777" w:rsidR="00247CBF" w:rsidRPr="00092ED7" w:rsidRDefault="00247CBF" w:rsidP="00247CBF">
            <w:pPr>
              <w:spacing w:after="0" w:line="233" w:lineRule="auto"/>
              <w:rPr>
                <w:rFonts w:cs="Times New Roman"/>
                <w:sz w:val="20"/>
                <w:szCs w:val="20"/>
                <w:lang w:val="sr-Cyrl-CS"/>
              </w:rPr>
            </w:pPr>
          </w:p>
        </w:tc>
        <w:tc>
          <w:tcPr>
            <w:tcW w:w="920" w:type="dxa"/>
            <w:tcBorders>
              <w:top w:val="nil"/>
              <w:left w:val="nil"/>
              <w:bottom w:val="nil"/>
              <w:right w:val="single" w:sz="4" w:space="0" w:color="auto"/>
            </w:tcBorders>
            <w:shd w:val="clear" w:color="auto" w:fill="auto"/>
            <w:noWrap/>
            <w:vAlign w:val="center"/>
          </w:tcPr>
          <w:p w14:paraId="3E785A99" w14:textId="77777777" w:rsidR="00247CBF" w:rsidRPr="00092ED7" w:rsidRDefault="00247CBF" w:rsidP="00247CBF">
            <w:pPr>
              <w:spacing w:after="0" w:line="233" w:lineRule="auto"/>
              <w:rPr>
                <w:rFonts w:cs="Times New Roman"/>
                <w:sz w:val="20"/>
                <w:szCs w:val="20"/>
                <w:lang w:val="sr-Cyrl-CS"/>
              </w:rPr>
            </w:pPr>
          </w:p>
        </w:tc>
        <w:tc>
          <w:tcPr>
            <w:tcW w:w="921" w:type="dxa"/>
            <w:tcBorders>
              <w:top w:val="nil"/>
              <w:left w:val="single" w:sz="4" w:space="0" w:color="auto"/>
              <w:bottom w:val="nil"/>
              <w:right w:val="nil"/>
            </w:tcBorders>
            <w:shd w:val="clear" w:color="auto" w:fill="auto"/>
            <w:noWrap/>
            <w:vAlign w:val="center"/>
          </w:tcPr>
          <w:p w14:paraId="2A387839" w14:textId="77777777" w:rsidR="00247CBF" w:rsidRPr="00092ED7" w:rsidRDefault="00247CBF" w:rsidP="00247CBF">
            <w:pPr>
              <w:spacing w:after="0" w:line="233" w:lineRule="auto"/>
              <w:rPr>
                <w:rFonts w:cs="Times New Roman"/>
                <w:sz w:val="20"/>
                <w:szCs w:val="20"/>
                <w:lang w:val="sr-Cyrl-CS"/>
              </w:rPr>
            </w:pPr>
          </w:p>
        </w:tc>
        <w:tc>
          <w:tcPr>
            <w:tcW w:w="920" w:type="dxa"/>
            <w:tcBorders>
              <w:top w:val="nil"/>
              <w:left w:val="single" w:sz="4" w:space="0" w:color="auto"/>
              <w:bottom w:val="nil"/>
              <w:right w:val="nil"/>
            </w:tcBorders>
            <w:shd w:val="clear" w:color="auto" w:fill="auto"/>
            <w:noWrap/>
            <w:vAlign w:val="center"/>
          </w:tcPr>
          <w:p w14:paraId="5368F7F9" w14:textId="77777777" w:rsidR="00247CBF" w:rsidRPr="00092ED7" w:rsidRDefault="00247CBF" w:rsidP="00247CBF">
            <w:pPr>
              <w:spacing w:after="0" w:line="233" w:lineRule="auto"/>
              <w:rPr>
                <w:rFonts w:cs="Times New Roman"/>
                <w:sz w:val="20"/>
                <w:szCs w:val="20"/>
                <w:lang w:val="sr-Cyrl-CS"/>
              </w:rPr>
            </w:pPr>
          </w:p>
        </w:tc>
        <w:tc>
          <w:tcPr>
            <w:tcW w:w="921" w:type="dxa"/>
            <w:tcBorders>
              <w:top w:val="nil"/>
              <w:left w:val="single" w:sz="4" w:space="0" w:color="auto"/>
              <w:bottom w:val="nil"/>
              <w:right w:val="nil"/>
            </w:tcBorders>
            <w:shd w:val="clear" w:color="auto" w:fill="auto"/>
            <w:noWrap/>
            <w:vAlign w:val="center"/>
          </w:tcPr>
          <w:p w14:paraId="7CFE006B" w14:textId="77777777" w:rsidR="00247CBF" w:rsidRPr="00092ED7" w:rsidRDefault="00247CBF" w:rsidP="00247CBF">
            <w:pPr>
              <w:spacing w:after="0" w:line="233" w:lineRule="auto"/>
              <w:rPr>
                <w:rFonts w:cs="Times New Roman"/>
                <w:sz w:val="20"/>
                <w:szCs w:val="20"/>
                <w:lang w:val="sr-Cyrl-CS"/>
              </w:rPr>
            </w:pPr>
          </w:p>
        </w:tc>
        <w:tc>
          <w:tcPr>
            <w:tcW w:w="920" w:type="dxa"/>
            <w:tcBorders>
              <w:top w:val="nil"/>
              <w:left w:val="single" w:sz="4" w:space="0" w:color="auto"/>
              <w:bottom w:val="nil"/>
              <w:right w:val="single" w:sz="4" w:space="0" w:color="auto"/>
            </w:tcBorders>
            <w:vAlign w:val="center"/>
          </w:tcPr>
          <w:p w14:paraId="3762F777" w14:textId="77777777" w:rsidR="00247CBF" w:rsidRPr="00092ED7" w:rsidRDefault="00247CBF" w:rsidP="00247CBF">
            <w:pPr>
              <w:spacing w:after="0" w:line="233" w:lineRule="auto"/>
              <w:jc w:val="right"/>
              <w:rPr>
                <w:rFonts w:cs="Times New Roman"/>
                <w:sz w:val="20"/>
                <w:szCs w:val="20"/>
                <w:lang w:val="sr-Cyrl-CS"/>
              </w:rPr>
            </w:pPr>
          </w:p>
        </w:tc>
        <w:tc>
          <w:tcPr>
            <w:tcW w:w="921" w:type="dxa"/>
            <w:gridSpan w:val="2"/>
            <w:tcBorders>
              <w:top w:val="nil"/>
              <w:left w:val="single" w:sz="4" w:space="0" w:color="auto"/>
              <w:bottom w:val="nil"/>
              <w:right w:val="double" w:sz="6" w:space="0" w:color="auto"/>
            </w:tcBorders>
            <w:shd w:val="clear" w:color="auto" w:fill="auto"/>
            <w:noWrap/>
            <w:vAlign w:val="center"/>
          </w:tcPr>
          <w:p w14:paraId="6ABC6DF7" w14:textId="77777777" w:rsidR="00247CBF" w:rsidRPr="00092ED7" w:rsidRDefault="00247CBF" w:rsidP="00247CBF">
            <w:pPr>
              <w:spacing w:after="0" w:line="233" w:lineRule="auto"/>
              <w:rPr>
                <w:rFonts w:cs="Times New Roman"/>
                <w:sz w:val="20"/>
                <w:szCs w:val="20"/>
                <w:lang w:val="sr-Cyrl-CS"/>
              </w:rPr>
            </w:pPr>
          </w:p>
        </w:tc>
      </w:tr>
      <w:tr w:rsidR="00247CBF" w:rsidRPr="00092ED7" w14:paraId="6B79E273" w14:textId="77777777" w:rsidTr="00247CBF">
        <w:trPr>
          <w:gridBefore w:val="1"/>
          <w:wBefore w:w="23" w:type="dxa"/>
          <w:trHeight w:val="227"/>
        </w:trPr>
        <w:tc>
          <w:tcPr>
            <w:tcW w:w="5101" w:type="dxa"/>
            <w:tcBorders>
              <w:top w:val="single" w:sz="4" w:space="0" w:color="auto"/>
              <w:left w:val="double" w:sz="6" w:space="0" w:color="auto"/>
              <w:bottom w:val="dotted" w:sz="4" w:space="0" w:color="auto"/>
              <w:right w:val="single" w:sz="4" w:space="0" w:color="auto"/>
            </w:tcBorders>
            <w:shd w:val="clear" w:color="auto" w:fill="auto"/>
            <w:vAlign w:val="center"/>
            <w:hideMark/>
          </w:tcPr>
          <w:p w14:paraId="21CEA153" w14:textId="77777777" w:rsidR="00247CBF" w:rsidRPr="00092ED7" w:rsidRDefault="00247CBF" w:rsidP="00247CBF">
            <w:pPr>
              <w:spacing w:after="0" w:line="233" w:lineRule="auto"/>
              <w:jc w:val="left"/>
              <w:rPr>
                <w:sz w:val="20"/>
                <w:szCs w:val="20"/>
                <w:lang w:val="sr-Cyrl-CS"/>
              </w:rPr>
            </w:pPr>
            <w:r w:rsidRPr="00092ED7">
              <w:rPr>
                <w:sz w:val="20"/>
                <w:szCs w:val="20"/>
                <w:lang w:val="sr-Cyrl-CS"/>
              </w:rPr>
              <w:t>Повећање плата запосленима у здравству</w:t>
            </w:r>
          </w:p>
        </w:tc>
        <w:tc>
          <w:tcPr>
            <w:tcW w:w="1397" w:type="dxa"/>
            <w:tcBorders>
              <w:top w:val="single" w:sz="4" w:space="0" w:color="auto"/>
              <w:left w:val="nil"/>
              <w:bottom w:val="dotted" w:sz="4" w:space="0" w:color="auto"/>
              <w:right w:val="single" w:sz="4" w:space="0" w:color="auto"/>
            </w:tcBorders>
            <w:shd w:val="clear" w:color="auto" w:fill="auto"/>
            <w:noWrap/>
            <w:vAlign w:val="center"/>
            <w:hideMark/>
          </w:tcPr>
          <w:p w14:paraId="0F0FA880"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D1</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66BFE494"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2020-04</w:t>
            </w:r>
          </w:p>
        </w:tc>
        <w:tc>
          <w:tcPr>
            <w:tcW w:w="920" w:type="dxa"/>
            <w:tcBorders>
              <w:top w:val="single" w:sz="4" w:space="0" w:color="auto"/>
              <w:left w:val="nil"/>
              <w:bottom w:val="dotted" w:sz="4" w:space="0" w:color="auto"/>
              <w:right w:val="single" w:sz="4" w:space="0" w:color="auto"/>
            </w:tcBorders>
            <w:shd w:val="clear" w:color="auto" w:fill="auto"/>
            <w:noWrap/>
            <w:vAlign w:val="center"/>
            <w:hideMark/>
          </w:tcPr>
          <w:p w14:paraId="6AB0F6CD"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-10,7</w:t>
            </w:r>
          </w:p>
        </w:tc>
        <w:tc>
          <w:tcPr>
            <w:tcW w:w="921" w:type="dxa"/>
            <w:tcBorders>
              <w:top w:val="single" w:sz="4" w:space="0" w:color="auto"/>
              <w:left w:val="single" w:sz="4" w:space="0" w:color="auto"/>
              <w:bottom w:val="dotted" w:sz="4" w:space="0" w:color="auto"/>
              <w:right w:val="nil"/>
            </w:tcBorders>
            <w:shd w:val="clear" w:color="auto" w:fill="auto"/>
            <w:noWrap/>
            <w:vAlign w:val="center"/>
            <w:hideMark/>
          </w:tcPr>
          <w:p w14:paraId="21F90C0A"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single" w:sz="4" w:space="0" w:color="auto"/>
              <w:left w:val="single" w:sz="4" w:space="0" w:color="auto"/>
              <w:bottom w:val="dotted" w:sz="4" w:space="0" w:color="auto"/>
              <w:right w:val="nil"/>
            </w:tcBorders>
            <w:shd w:val="clear" w:color="auto" w:fill="auto"/>
            <w:noWrap/>
            <w:vAlign w:val="center"/>
            <w:hideMark/>
          </w:tcPr>
          <w:p w14:paraId="6A4F8EE2"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tcBorders>
              <w:top w:val="single" w:sz="4" w:space="0" w:color="auto"/>
              <w:left w:val="single" w:sz="4" w:space="0" w:color="auto"/>
              <w:bottom w:val="dotted" w:sz="4" w:space="0" w:color="auto"/>
              <w:right w:val="nil"/>
            </w:tcBorders>
            <w:shd w:val="clear" w:color="auto" w:fill="auto"/>
            <w:noWrap/>
            <w:vAlign w:val="center"/>
            <w:hideMark/>
          </w:tcPr>
          <w:p w14:paraId="0929573C"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single" w:sz="4" w:space="0" w:color="auto"/>
              <w:left w:val="single" w:sz="4" w:space="0" w:color="auto"/>
              <w:bottom w:val="dotted" w:sz="4" w:space="0" w:color="auto"/>
              <w:right w:val="single" w:sz="4" w:space="0" w:color="auto"/>
            </w:tcBorders>
            <w:vAlign w:val="center"/>
          </w:tcPr>
          <w:p w14:paraId="12045830"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gridSpan w:val="2"/>
            <w:tcBorders>
              <w:top w:val="single" w:sz="4" w:space="0" w:color="auto"/>
              <w:left w:val="single" w:sz="4" w:space="0" w:color="auto"/>
              <w:bottom w:val="dotted" w:sz="4" w:space="0" w:color="auto"/>
              <w:right w:val="double" w:sz="6" w:space="0" w:color="auto"/>
            </w:tcBorders>
            <w:shd w:val="clear" w:color="auto" w:fill="auto"/>
            <w:noWrap/>
            <w:vAlign w:val="center"/>
            <w:hideMark/>
          </w:tcPr>
          <w:p w14:paraId="4BB7F68A"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17B5877A"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3DF13935" w14:textId="77777777" w:rsidR="00247CBF" w:rsidRPr="00092ED7" w:rsidRDefault="00247CBF" w:rsidP="00247CBF">
            <w:pPr>
              <w:spacing w:after="0" w:line="233" w:lineRule="auto"/>
              <w:jc w:val="left"/>
              <w:rPr>
                <w:sz w:val="20"/>
                <w:szCs w:val="20"/>
                <w:lang w:val="sr-Cyrl-CS"/>
              </w:rPr>
            </w:pPr>
            <w:r w:rsidRPr="00092ED7">
              <w:rPr>
                <w:sz w:val="20"/>
                <w:szCs w:val="20"/>
                <w:lang w:val="sr-Cyrl-CS"/>
              </w:rPr>
              <w:t xml:space="preserve">Смањење доприноса за пио и повећање неопорезивог цензуса </w:t>
            </w:r>
          </w:p>
        </w:tc>
        <w:tc>
          <w:tcPr>
            <w:tcW w:w="1397" w:type="dxa"/>
            <w:tcBorders>
              <w:top w:val="nil"/>
              <w:left w:val="nil"/>
              <w:bottom w:val="dotted" w:sz="4" w:space="0" w:color="auto"/>
              <w:right w:val="single" w:sz="4" w:space="0" w:color="auto"/>
            </w:tcBorders>
            <w:shd w:val="clear" w:color="auto" w:fill="auto"/>
            <w:noWrap/>
            <w:vAlign w:val="center"/>
            <w:hideMark/>
          </w:tcPr>
          <w:p w14:paraId="6A2C8197"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D5, D61</w:t>
            </w:r>
          </w:p>
        </w:tc>
        <w:tc>
          <w:tcPr>
            <w:tcW w:w="2693" w:type="dxa"/>
            <w:tcBorders>
              <w:top w:val="nil"/>
              <w:left w:val="single" w:sz="4" w:space="0" w:color="auto"/>
              <w:bottom w:val="dotted" w:sz="4" w:space="0" w:color="auto"/>
              <w:right w:val="single" w:sz="8" w:space="0" w:color="auto"/>
            </w:tcBorders>
            <w:shd w:val="clear" w:color="auto" w:fill="auto"/>
            <w:vAlign w:val="center"/>
          </w:tcPr>
          <w:p w14:paraId="487467CE"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2019-11; 2020-11; 2021-11; 2022-11</w:t>
            </w:r>
          </w:p>
        </w:tc>
        <w:tc>
          <w:tcPr>
            <w:tcW w:w="920" w:type="dxa"/>
            <w:tcBorders>
              <w:top w:val="nil"/>
              <w:left w:val="nil"/>
              <w:bottom w:val="dotted" w:sz="4" w:space="0" w:color="auto"/>
              <w:right w:val="single" w:sz="4" w:space="0" w:color="auto"/>
            </w:tcBorders>
            <w:shd w:val="clear" w:color="auto" w:fill="auto"/>
            <w:noWrap/>
            <w:vAlign w:val="center"/>
            <w:hideMark/>
          </w:tcPr>
          <w:p w14:paraId="34BF1D88"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-13</w:t>
            </w:r>
          </w:p>
        </w:tc>
        <w:tc>
          <w:tcPr>
            <w:tcW w:w="921" w:type="dxa"/>
            <w:tcBorders>
              <w:top w:val="nil"/>
              <w:left w:val="single" w:sz="4" w:space="0" w:color="auto"/>
              <w:bottom w:val="dotted" w:sz="4" w:space="0" w:color="auto"/>
              <w:right w:val="nil"/>
            </w:tcBorders>
            <w:shd w:val="clear" w:color="auto" w:fill="auto"/>
            <w:noWrap/>
            <w:vAlign w:val="center"/>
            <w:hideMark/>
          </w:tcPr>
          <w:p w14:paraId="22DCC020"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-8</w:t>
            </w:r>
          </w:p>
        </w:tc>
        <w:tc>
          <w:tcPr>
            <w:tcW w:w="920" w:type="dxa"/>
            <w:tcBorders>
              <w:top w:val="nil"/>
              <w:left w:val="single" w:sz="4" w:space="0" w:color="auto"/>
              <w:bottom w:val="dotted" w:sz="4" w:space="0" w:color="auto"/>
              <w:right w:val="nil"/>
            </w:tcBorders>
            <w:shd w:val="clear" w:color="auto" w:fill="auto"/>
            <w:noWrap/>
            <w:vAlign w:val="center"/>
            <w:hideMark/>
          </w:tcPr>
          <w:p w14:paraId="09C35DAD"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-16,2</w:t>
            </w:r>
          </w:p>
        </w:tc>
        <w:tc>
          <w:tcPr>
            <w:tcW w:w="921" w:type="dxa"/>
            <w:tcBorders>
              <w:top w:val="nil"/>
              <w:left w:val="single" w:sz="4" w:space="0" w:color="auto"/>
              <w:bottom w:val="dotted" w:sz="4" w:space="0" w:color="auto"/>
              <w:right w:val="nil"/>
            </w:tcBorders>
            <w:shd w:val="clear" w:color="auto" w:fill="auto"/>
            <w:noWrap/>
            <w:vAlign w:val="center"/>
            <w:hideMark/>
          </w:tcPr>
          <w:p w14:paraId="26ED655B"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-41</w:t>
            </w:r>
          </w:p>
        </w:tc>
        <w:tc>
          <w:tcPr>
            <w:tcW w:w="920" w:type="dxa"/>
            <w:tcBorders>
              <w:top w:val="nil"/>
              <w:left w:val="single" w:sz="4" w:space="0" w:color="auto"/>
              <w:bottom w:val="dotted" w:sz="4" w:space="0" w:color="auto"/>
              <w:right w:val="single" w:sz="4" w:space="0" w:color="auto"/>
            </w:tcBorders>
            <w:vAlign w:val="center"/>
          </w:tcPr>
          <w:p w14:paraId="7C560DAD"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0C5799D7"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51115376"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2A1B19E8" w14:textId="77777777" w:rsidR="00247CBF" w:rsidRPr="00092ED7" w:rsidRDefault="00247CBF" w:rsidP="00247CBF">
            <w:pPr>
              <w:spacing w:after="0" w:line="233" w:lineRule="auto"/>
              <w:jc w:val="left"/>
              <w:rPr>
                <w:sz w:val="20"/>
                <w:szCs w:val="20"/>
                <w:lang w:val="sr-Cyrl-CS"/>
              </w:rPr>
            </w:pPr>
            <w:r w:rsidRPr="00092ED7">
              <w:rPr>
                <w:sz w:val="20"/>
                <w:szCs w:val="20"/>
                <w:lang w:val="sr-Cyrl-CS"/>
              </w:rPr>
              <w:t>Измене демографске политике</w:t>
            </w:r>
          </w:p>
        </w:tc>
        <w:tc>
          <w:tcPr>
            <w:tcW w:w="1397" w:type="dxa"/>
            <w:tcBorders>
              <w:top w:val="nil"/>
              <w:left w:val="nil"/>
              <w:bottom w:val="dotted" w:sz="4" w:space="0" w:color="auto"/>
              <w:right w:val="single" w:sz="4" w:space="0" w:color="auto"/>
            </w:tcBorders>
            <w:shd w:val="clear" w:color="auto" w:fill="auto"/>
            <w:noWrap/>
            <w:vAlign w:val="center"/>
            <w:hideMark/>
          </w:tcPr>
          <w:p w14:paraId="6CBD90CD" w14:textId="77777777" w:rsidR="00247CBF" w:rsidRPr="00092ED7" w:rsidRDefault="00247CBF" w:rsidP="00247CBF">
            <w:pPr>
              <w:spacing w:after="0" w:line="233" w:lineRule="auto"/>
              <w:jc w:val="center"/>
              <w:rPr>
                <w:sz w:val="20"/>
                <w:szCs w:val="20"/>
                <w:lang w:val="sr-Cyrl-CS"/>
              </w:rPr>
            </w:pP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3F68F92A"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2021-12</w:t>
            </w:r>
          </w:p>
        </w:tc>
        <w:tc>
          <w:tcPr>
            <w:tcW w:w="920" w:type="dxa"/>
            <w:tcBorders>
              <w:top w:val="nil"/>
              <w:left w:val="nil"/>
              <w:bottom w:val="dotted" w:sz="4" w:space="0" w:color="auto"/>
              <w:right w:val="single" w:sz="4" w:space="0" w:color="auto"/>
            </w:tcBorders>
            <w:shd w:val="clear" w:color="auto" w:fill="auto"/>
            <w:noWrap/>
            <w:vAlign w:val="center"/>
            <w:hideMark/>
          </w:tcPr>
          <w:p w14:paraId="392BA14A"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59D77656"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nil"/>
            </w:tcBorders>
            <w:shd w:val="clear" w:color="auto" w:fill="auto"/>
            <w:noWrap/>
            <w:vAlign w:val="center"/>
            <w:hideMark/>
          </w:tcPr>
          <w:p w14:paraId="39E3B502"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-15</w:t>
            </w:r>
          </w:p>
        </w:tc>
        <w:tc>
          <w:tcPr>
            <w:tcW w:w="921" w:type="dxa"/>
            <w:tcBorders>
              <w:top w:val="nil"/>
              <w:left w:val="single" w:sz="4" w:space="0" w:color="auto"/>
              <w:bottom w:val="dotted" w:sz="4" w:space="0" w:color="auto"/>
              <w:right w:val="nil"/>
            </w:tcBorders>
            <w:shd w:val="clear" w:color="auto" w:fill="auto"/>
            <w:noWrap/>
            <w:vAlign w:val="center"/>
            <w:hideMark/>
          </w:tcPr>
          <w:p w14:paraId="6FA3D98D"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7BDDEF87"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0C3B113F"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2642E487"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20BBAAD7" w14:textId="77777777" w:rsidR="00247CBF" w:rsidRPr="00092ED7" w:rsidRDefault="00247CBF" w:rsidP="00247CBF">
            <w:pPr>
              <w:spacing w:after="0" w:line="233" w:lineRule="auto"/>
              <w:jc w:val="left"/>
              <w:rPr>
                <w:sz w:val="20"/>
                <w:lang w:val="sr-Cyrl-CS"/>
              </w:rPr>
            </w:pPr>
            <w:r w:rsidRPr="00092ED7">
              <w:rPr>
                <w:sz w:val="20"/>
                <w:lang w:val="sr-Cyrl-CS"/>
              </w:rPr>
              <w:t>:</w:t>
            </w:r>
          </w:p>
        </w:tc>
        <w:tc>
          <w:tcPr>
            <w:tcW w:w="1397" w:type="dxa"/>
            <w:tcBorders>
              <w:top w:val="nil"/>
              <w:left w:val="nil"/>
              <w:bottom w:val="dotted" w:sz="4" w:space="0" w:color="auto"/>
              <w:right w:val="single" w:sz="4" w:space="0" w:color="auto"/>
            </w:tcBorders>
            <w:shd w:val="clear" w:color="auto" w:fill="auto"/>
            <w:noWrap/>
            <w:vAlign w:val="center"/>
            <w:hideMark/>
          </w:tcPr>
          <w:p w14:paraId="5A95ACD5" w14:textId="77777777" w:rsidR="00247CBF" w:rsidRPr="00092ED7" w:rsidRDefault="00247CBF" w:rsidP="00247CBF">
            <w:pPr>
              <w:spacing w:after="0" w:line="233" w:lineRule="auto"/>
              <w:jc w:val="center"/>
              <w:rPr>
                <w:sz w:val="20"/>
                <w:lang w:val="sr-Cyrl-CS"/>
              </w:rPr>
            </w:pPr>
            <w:r w:rsidRPr="00092ED7">
              <w:rPr>
                <w:sz w:val="20"/>
                <w:lang w:val="sr-Cyrl-CS"/>
              </w:rPr>
              <w:t>:</w:t>
            </w:r>
          </w:p>
        </w:tc>
        <w:tc>
          <w:tcPr>
            <w:tcW w:w="2693" w:type="dxa"/>
            <w:tcBorders>
              <w:top w:val="nil"/>
              <w:left w:val="single" w:sz="4" w:space="0" w:color="auto"/>
              <w:bottom w:val="dotted" w:sz="4" w:space="0" w:color="auto"/>
              <w:right w:val="single" w:sz="8" w:space="0" w:color="auto"/>
            </w:tcBorders>
            <w:shd w:val="clear" w:color="auto" w:fill="auto"/>
            <w:noWrap/>
            <w:vAlign w:val="center"/>
            <w:hideMark/>
          </w:tcPr>
          <w:p w14:paraId="3B144018" w14:textId="77777777" w:rsidR="00247CBF" w:rsidRPr="00092ED7" w:rsidRDefault="00247CBF" w:rsidP="00247CBF">
            <w:pPr>
              <w:spacing w:after="0" w:line="233" w:lineRule="auto"/>
              <w:jc w:val="center"/>
              <w:rPr>
                <w:sz w:val="20"/>
                <w:lang w:val="sr-Cyrl-CS"/>
              </w:rPr>
            </w:pPr>
            <w:r w:rsidRPr="00092ED7">
              <w:rPr>
                <w:sz w:val="20"/>
                <w:lang w:val="sr-Cyrl-CS"/>
              </w:rPr>
              <w:t>:</w:t>
            </w:r>
          </w:p>
        </w:tc>
        <w:tc>
          <w:tcPr>
            <w:tcW w:w="920" w:type="dxa"/>
            <w:tcBorders>
              <w:top w:val="nil"/>
              <w:left w:val="nil"/>
              <w:bottom w:val="dotted" w:sz="4" w:space="0" w:color="auto"/>
              <w:right w:val="single" w:sz="4" w:space="0" w:color="auto"/>
            </w:tcBorders>
            <w:shd w:val="clear" w:color="auto" w:fill="auto"/>
            <w:noWrap/>
            <w:vAlign w:val="center"/>
            <w:hideMark/>
          </w:tcPr>
          <w:p w14:paraId="12EBB4F5" w14:textId="77777777" w:rsidR="00247CBF" w:rsidRPr="00092ED7" w:rsidRDefault="00247CBF" w:rsidP="00247CBF">
            <w:pPr>
              <w:spacing w:after="0" w:line="233" w:lineRule="auto"/>
              <w:jc w:val="right"/>
              <w:rPr>
                <w:sz w:val="20"/>
                <w:lang w:val="sr-Cyrl-CS"/>
              </w:rPr>
            </w:pPr>
            <w:r w:rsidRPr="00092ED7">
              <w:rPr>
                <w:sz w:val="20"/>
                <w:lang w:val="sr-Cyrl-CS"/>
              </w:rPr>
              <w:t>:</w:t>
            </w:r>
          </w:p>
        </w:tc>
        <w:tc>
          <w:tcPr>
            <w:tcW w:w="921" w:type="dxa"/>
            <w:tcBorders>
              <w:top w:val="nil"/>
              <w:left w:val="single" w:sz="4" w:space="0" w:color="auto"/>
              <w:bottom w:val="dotted" w:sz="4" w:space="0" w:color="auto"/>
              <w:right w:val="nil"/>
            </w:tcBorders>
            <w:shd w:val="clear" w:color="auto" w:fill="auto"/>
            <w:noWrap/>
            <w:vAlign w:val="center"/>
            <w:hideMark/>
          </w:tcPr>
          <w:p w14:paraId="7789E57B" w14:textId="77777777" w:rsidR="00247CBF" w:rsidRPr="00092ED7" w:rsidRDefault="00247CBF" w:rsidP="00247CBF">
            <w:pPr>
              <w:spacing w:after="0" w:line="233" w:lineRule="auto"/>
              <w:jc w:val="right"/>
              <w:rPr>
                <w:sz w:val="20"/>
                <w:lang w:val="sr-Cyrl-CS"/>
              </w:rPr>
            </w:pPr>
            <w:r w:rsidRPr="00092ED7">
              <w:rPr>
                <w:sz w:val="20"/>
                <w:lang w:val="sr-Cyrl-CS"/>
              </w:rPr>
              <w:t>:</w:t>
            </w:r>
          </w:p>
        </w:tc>
        <w:tc>
          <w:tcPr>
            <w:tcW w:w="920" w:type="dxa"/>
            <w:tcBorders>
              <w:top w:val="nil"/>
              <w:left w:val="single" w:sz="4" w:space="0" w:color="auto"/>
              <w:bottom w:val="dotted" w:sz="4" w:space="0" w:color="auto"/>
              <w:right w:val="nil"/>
            </w:tcBorders>
            <w:shd w:val="clear" w:color="auto" w:fill="auto"/>
            <w:noWrap/>
            <w:vAlign w:val="center"/>
            <w:hideMark/>
          </w:tcPr>
          <w:p w14:paraId="00358EA8" w14:textId="77777777" w:rsidR="00247CBF" w:rsidRPr="00092ED7" w:rsidRDefault="00247CBF" w:rsidP="00247CBF">
            <w:pPr>
              <w:spacing w:after="0" w:line="233" w:lineRule="auto"/>
              <w:jc w:val="right"/>
              <w:rPr>
                <w:sz w:val="20"/>
                <w:lang w:val="sr-Cyrl-CS"/>
              </w:rPr>
            </w:pPr>
            <w:r w:rsidRPr="00092ED7">
              <w:rPr>
                <w:sz w:val="20"/>
                <w:lang w:val="sr-Cyrl-CS"/>
              </w:rPr>
              <w:t>:</w:t>
            </w:r>
          </w:p>
        </w:tc>
        <w:tc>
          <w:tcPr>
            <w:tcW w:w="921" w:type="dxa"/>
            <w:tcBorders>
              <w:top w:val="nil"/>
              <w:left w:val="single" w:sz="4" w:space="0" w:color="auto"/>
              <w:bottom w:val="dotted" w:sz="4" w:space="0" w:color="auto"/>
              <w:right w:val="nil"/>
            </w:tcBorders>
            <w:shd w:val="clear" w:color="auto" w:fill="auto"/>
            <w:noWrap/>
            <w:vAlign w:val="center"/>
            <w:hideMark/>
          </w:tcPr>
          <w:p w14:paraId="21AE76F5" w14:textId="77777777" w:rsidR="00247CBF" w:rsidRPr="00092ED7" w:rsidRDefault="00247CBF" w:rsidP="00247CBF">
            <w:pPr>
              <w:spacing w:after="0" w:line="233" w:lineRule="auto"/>
              <w:jc w:val="right"/>
              <w:rPr>
                <w:sz w:val="20"/>
                <w:lang w:val="sr-Cyrl-CS"/>
              </w:rPr>
            </w:pPr>
            <w:r w:rsidRPr="00092ED7">
              <w:rPr>
                <w:sz w:val="20"/>
                <w:lang w:val="sr-Cyrl-CS"/>
              </w:rPr>
              <w:t>:</w:t>
            </w:r>
          </w:p>
        </w:tc>
        <w:tc>
          <w:tcPr>
            <w:tcW w:w="920" w:type="dxa"/>
            <w:tcBorders>
              <w:top w:val="nil"/>
              <w:left w:val="single" w:sz="4" w:space="0" w:color="auto"/>
              <w:bottom w:val="dotted" w:sz="4" w:space="0" w:color="auto"/>
              <w:right w:val="single" w:sz="4" w:space="0" w:color="auto"/>
            </w:tcBorders>
            <w:vAlign w:val="center"/>
          </w:tcPr>
          <w:p w14:paraId="3D166A20" w14:textId="77777777" w:rsidR="00247CBF" w:rsidRPr="00092ED7" w:rsidRDefault="00247CBF" w:rsidP="00247CBF">
            <w:pPr>
              <w:spacing w:after="0" w:line="233" w:lineRule="auto"/>
              <w:jc w:val="right"/>
              <w:rPr>
                <w:sz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1FF21CAD" w14:textId="77777777" w:rsidR="00247CBF" w:rsidRPr="00092ED7" w:rsidRDefault="00247CBF" w:rsidP="00247CBF">
            <w:pPr>
              <w:spacing w:after="0" w:line="233" w:lineRule="auto"/>
              <w:jc w:val="right"/>
              <w:rPr>
                <w:sz w:val="20"/>
                <w:lang w:val="sr-Cyrl-CS"/>
              </w:rPr>
            </w:pPr>
            <w:r w:rsidRPr="00092ED7">
              <w:rPr>
                <w:sz w:val="20"/>
                <w:lang w:val="sr-Cyrl-CS"/>
              </w:rPr>
              <w:t>:</w:t>
            </w:r>
          </w:p>
        </w:tc>
      </w:tr>
      <w:tr w:rsidR="00247CBF" w:rsidRPr="00092ED7" w14:paraId="120D2EDE" w14:textId="77777777" w:rsidTr="00247CBF">
        <w:trPr>
          <w:gridBefore w:val="1"/>
          <w:wBefore w:w="23" w:type="dxa"/>
          <w:trHeight w:val="227"/>
        </w:trPr>
        <w:tc>
          <w:tcPr>
            <w:tcW w:w="5101" w:type="dxa"/>
            <w:tcBorders>
              <w:top w:val="nil"/>
              <w:left w:val="double" w:sz="6" w:space="0" w:color="auto"/>
              <w:bottom w:val="single" w:sz="4" w:space="0" w:color="auto"/>
              <w:right w:val="single" w:sz="4" w:space="0" w:color="auto"/>
            </w:tcBorders>
            <w:shd w:val="clear" w:color="auto" w:fill="auto"/>
            <w:vAlign w:val="center"/>
            <w:hideMark/>
          </w:tcPr>
          <w:p w14:paraId="6F45D40D" w14:textId="77777777" w:rsidR="00247CBF" w:rsidRPr="00092ED7" w:rsidRDefault="00247CBF" w:rsidP="00247CBF">
            <w:pPr>
              <w:spacing w:after="0" w:line="233" w:lineRule="auto"/>
              <w:jc w:val="left"/>
              <w:rPr>
                <w:sz w:val="20"/>
                <w:lang w:val="sr-Cyrl-CS"/>
              </w:rPr>
            </w:pPr>
            <w:r w:rsidRPr="00092ED7">
              <w:rPr>
                <w:sz w:val="20"/>
                <w:lang w:val="sr-Cyrl-CS"/>
              </w:rPr>
              <w:t>:</w:t>
            </w:r>
          </w:p>
        </w:tc>
        <w:tc>
          <w:tcPr>
            <w:tcW w:w="1397" w:type="dxa"/>
            <w:tcBorders>
              <w:top w:val="nil"/>
              <w:left w:val="nil"/>
              <w:bottom w:val="single" w:sz="4" w:space="0" w:color="auto"/>
              <w:right w:val="single" w:sz="4" w:space="0" w:color="auto"/>
            </w:tcBorders>
            <w:shd w:val="clear" w:color="auto" w:fill="auto"/>
            <w:noWrap/>
            <w:vAlign w:val="center"/>
            <w:hideMark/>
          </w:tcPr>
          <w:p w14:paraId="64E4DBB9" w14:textId="77777777" w:rsidR="00247CBF" w:rsidRPr="00092ED7" w:rsidRDefault="00247CBF" w:rsidP="00247CBF">
            <w:pPr>
              <w:spacing w:after="0" w:line="233" w:lineRule="auto"/>
              <w:jc w:val="center"/>
              <w:rPr>
                <w:sz w:val="20"/>
                <w:lang w:val="sr-Cyrl-CS"/>
              </w:rPr>
            </w:pPr>
            <w:r w:rsidRPr="00092ED7">
              <w:rPr>
                <w:sz w:val="20"/>
                <w:lang w:val="sr-Cyrl-CS"/>
              </w:rPr>
              <w:t>:</w:t>
            </w:r>
          </w:p>
        </w:tc>
        <w:tc>
          <w:tcPr>
            <w:tcW w:w="2693" w:type="dxa"/>
            <w:tcBorders>
              <w:top w:val="nil"/>
              <w:left w:val="single" w:sz="4" w:space="0" w:color="auto"/>
              <w:bottom w:val="single" w:sz="4" w:space="0" w:color="auto"/>
              <w:right w:val="single" w:sz="8" w:space="0" w:color="auto"/>
            </w:tcBorders>
            <w:shd w:val="clear" w:color="auto" w:fill="auto"/>
            <w:noWrap/>
            <w:vAlign w:val="center"/>
            <w:hideMark/>
          </w:tcPr>
          <w:p w14:paraId="3ACE42B7" w14:textId="77777777" w:rsidR="00247CBF" w:rsidRPr="00092ED7" w:rsidRDefault="00247CBF" w:rsidP="00247CBF">
            <w:pPr>
              <w:spacing w:after="0" w:line="233" w:lineRule="auto"/>
              <w:jc w:val="center"/>
              <w:rPr>
                <w:sz w:val="20"/>
                <w:lang w:val="sr-Cyrl-CS"/>
              </w:rPr>
            </w:pPr>
            <w:r w:rsidRPr="00092ED7">
              <w:rPr>
                <w:sz w:val="20"/>
                <w:lang w:val="sr-Cyrl-CS"/>
              </w:rPr>
              <w:t>:</w:t>
            </w:r>
          </w:p>
        </w:tc>
        <w:tc>
          <w:tcPr>
            <w:tcW w:w="920" w:type="dxa"/>
            <w:tcBorders>
              <w:top w:val="nil"/>
              <w:left w:val="nil"/>
              <w:bottom w:val="single" w:sz="4" w:space="0" w:color="auto"/>
              <w:right w:val="single" w:sz="4" w:space="0" w:color="auto"/>
            </w:tcBorders>
            <w:shd w:val="clear" w:color="auto" w:fill="auto"/>
            <w:noWrap/>
            <w:vAlign w:val="center"/>
            <w:hideMark/>
          </w:tcPr>
          <w:p w14:paraId="15E23FA6" w14:textId="77777777" w:rsidR="00247CBF" w:rsidRPr="00092ED7" w:rsidRDefault="00247CBF" w:rsidP="00247CBF">
            <w:pPr>
              <w:spacing w:after="0" w:line="233" w:lineRule="auto"/>
              <w:jc w:val="right"/>
              <w:rPr>
                <w:sz w:val="20"/>
                <w:lang w:val="sr-Cyrl-CS"/>
              </w:rPr>
            </w:pPr>
            <w:r w:rsidRPr="00092ED7">
              <w:rPr>
                <w:sz w:val="20"/>
                <w:lang w:val="sr-Cyrl-CS"/>
              </w:rPr>
              <w:t>:</w:t>
            </w:r>
          </w:p>
        </w:tc>
        <w:tc>
          <w:tcPr>
            <w:tcW w:w="921" w:type="dxa"/>
            <w:tcBorders>
              <w:top w:val="nil"/>
              <w:left w:val="single" w:sz="4" w:space="0" w:color="auto"/>
              <w:bottom w:val="single" w:sz="4" w:space="0" w:color="auto"/>
              <w:right w:val="nil"/>
            </w:tcBorders>
            <w:shd w:val="clear" w:color="auto" w:fill="auto"/>
            <w:noWrap/>
            <w:vAlign w:val="center"/>
            <w:hideMark/>
          </w:tcPr>
          <w:p w14:paraId="23B07CA0" w14:textId="77777777" w:rsidR="00247CBF" w:rsidRPr="00092ED7" w:rsidRDefault="00247CBF" w:rsidP="00247CBF">
            <w:pPr>
              <w:spacing w:after="0" w:line="233" w:lineRule="auto"/>
              <w:jc w:val="right"/>
              <w:rPr>
                <w:sz w:val="20"/>
                <w:lang w:val="sr-Cyrl-CS"/>
              </w:rPr>
            </w:pPr>
            <w:r w:rsidRPr="00092ED7">
              <w:rPr>
                <w:sz w:val="20"/>
                <w:lang w:val="sr-Cyrl-CS"/>
              </w:rPr>
              <w:t>:</w:t>
            </w:r>
          </w:p>
        </w:tc>
        <w:tc>
          <w:tcPr>
            <w:tcW w:w="920" w:type="dxa"/>
            <w:tcBorders>
              <w:top w:val="nil"/>
              <w:left w:val="single" w:sz="4" w:space="0" w:color="auto"/>
              <w:bottom w:val="single" w:sz="4" w:space="0" w:color="auto"/>
              <w:right w:val="nil"/>
            </w:tcBorders>
            <w:shd w:val="clear" w:color="auto" w:fill="auto"/>
            <w:noWrap/>
            <w:vAlign w:val="center"/>
            <w:hideMark/>
          </w:tcPr>
          <w:p w14:paraId="44A9DE3E" w14:textId="77777777" w:rsidR="00247CBF" w:rsidRPr="00092ED7" w:rsidRDefault="00247CBF" w:rsidP="00247CBF">
            <w:pPr>
              <w:spacing w:after="0" w:line="233" w:lineRule="auto"/>
              <w:jc w:val="right"/>
              <w:rPr>
                <w:sz w:val="20"/>
                <w:lang w:val="sr-Cyrl-CS"/>
              </w:rPr>
            </w:pPr>
            <w:r w:rsidRPr="00092ED7">
              <w:rPr>
                <w:sz w:val="20"/>
                <w:lang w:val="sr-Cyrl-CS"/>
              </w:rPr>
              <w:t>:</w:t>
            </w:r>
          </w:p>
        </w:tc>
        <w:tc>
          <w:tcPr>
            <w:tcW w:w="921" w:type="dxa"/>
            <w:tcBorders>
              <w:top w:val="nil"/>
              <w:left w:val="single" w:sz="4" w:space="0" w:color="auto"/>
              <w:bottom w:val="single" w:sz="4" w:space="0" w:color="auto"/>
              <w:right w:val="nil"/>
            </w:tcBorders>
            <w:shd w:val="clear" w:color="auto" w:fill="auto"/>
            <w:noWrap/>
            <w:vAlign w:val="center"/>
            <w:hideMark/>
          </w:tcPr>
          <w:p w14:paraId="43BFBB60" w14:textId="77777777" w:rsidR="00247CBF" w:rsidRPr="00092ED7" w:rsidRDefault="00247CBF" w:rsidP="00247CBF">
            <w:pPr>
              <w:spacing w:after="0" w:line="233" w:lineRule="auto"/>
              <w:jc w:val="right"/>
              <w:rPr>
                <w:sz w:val="20"/>
                <w:lang w:val="sr-Cyrl-CS"/>
              </w:rPr>
            </w:pPr>
            <w:r w:rsidRPr="00092ED7">
              <w:rPr>
                <w:sz w:val="20"/>
                <w:lang w:val="sr-Cyrl-CS"/>
              </w:rPr>
              <w:t>:</w:t>
            </w:r>
          </w:p>
        </w:tc>
        <w:tc>
          <w:tcPr>
            <w:tcW w:w="920" w:type="dxa"/>
            <w:tcBorders>
              <w:top w:val="nil"/>
              <w:left w:val="single" w:sz="4" w:space="0" w:color="auto"/>
              <w:bottom w:val="single" w:sz="4" w:space="0" w:color="auto"/>
              <w:right w:val="single" w:sz="4" w:space="0" w:color="auto"/>
            </w:tcBorders>
            <w:vAlign w:val="center"/>
          </w:tcPr>
          <w:p w14:paraId="2D843D53" w14:textId="77777777" w:rsidR="00247CBF" w:rsidRPr="00092ED7" w:rsidRDefault="00247CBF" w:rsidP="00247CBF">
            <w:pPr>
              <w:spacing w:after="0" w:line="233" w:lineRule="auto"/>
              <w:jc w:val="right"/>
              <w:rPr>
                <w:sz w:val="20"/>
                <w:lang w:val="sr-Cyrl-CS"/>
              </w:rPr>
            </w:pPr>
          </w:p>
        </w:tc>
        <w:tc>
          <w:tcPr>
            <w:tcW w:w="921" w:type="dxa"/>
            <w:gridSpan w:val="2"/>
            <w:tcBorders>
              <w:top w:val="nil"/>
              <w:left w:val="single" w:sz="4" w:space="0" w:color="auto"/>
              <w:bottom w:val="single" w:sz="4" w:space="0" w:color="auto"/>
              <w:right w:val="double" w:sz="6" w:space="0" w:color="auto"/>
            </w:tcBorders>
            <w:shd w:val="clear" w:color="auto" w:fill="auto"/>
            <w:noWrap/>
            <w:vAlign w:val="center"/>
            <w:hideMark/>
          </w:tcPr>
          <w:p w14:paraId="45315EC3" w14:textId="77777777" w:rsidR="00247CBF" w:rsidRPr="00092ED7" w:rsidRDefault="00247CBF" w:rsidP="00247CBF">
            <w:pPr>
              <w:spacing w:after="0" w:line="233" w:lineRule="auto"/>
              <w:jc w:val="right"/>
              <w:rPr>
                <w:sz w:val="20"/>
                <w:lang w:val="sr-Cyrl-CS"/>
              </w:rPr>
            </w:pPr>
            <w:r w:rsidRPr="00092ED7">
              <w:rPr>
                <w:sz w:val="20"/>
                <w:lang w:val="sr-Cyrl-CS"/>
              </w:rPr>
              <w:t>:</w:t>
            </w:r>
          </w:p>
        </w:tc>
      </w:tr>
      <w:tr w:rsidR="00247CBF" w:rsidRPr="00092ED7" w14:paraId="3F286215" w14:textId="77777777" w:rsidTr="00247CBF">
        <w:trPr>
          <w:gridBefore w:val="1"/>
          <w:wBefore w:w="23" w:type="dxa"/>
          <w:trHeight w:val="227"/>
        </w:trPr>
        <w:tc>
          <w:tcPr>
            <w:tcW w:w="9191" w:type="dxa"/>
            <w:gridSpan w:val="3"/>
            <w:tcBorders>
              <w:top w:val="single" w:sz="4" w:space="0" w:color="auto"/>
              <w:left w:val="double" w:sz="6" w:space="0" w:color="auto"/>
              <w:bottom w:val="single" w:sz="8" w:space="0" w:color="auto"/>
              <w:right w:val="single" w:sz="8" w:space="0" w:color="000000"/>
            </w:tcBorders>
            <w:shd w:val="clear" w:color="auto" w:fill="auto"/>
            <w:vAlign w:val="center"/>
            <w:hideMark/>
          </w:tcPr>
          <w:p w14:paraId="1ECBADD4" w14:textId="77777777" w:rsidR="00247CBF" w:rsidRPr="00092ED7" w:rsidRDefault="00247CBF" w:rsidP="00247CBF">
            <w:pPr>
              <w:spacing w:after="0" w:line="233" w:lineRule="auto"/>
              <w:jc w:val="center"/>
              <w:rPr>
                <w:rFonts w:cs="Times New Roman"/>
                <w:b/>
                <w:sz w:val="20"/>
                <w:szCs w:val="20"/>
                <w:lang w:val="sr-Cyrl-CS"/>
              </w:rPr>
            </w:pPr>
            <w:r w:rsidRPr="00092ED7">
              <w:rPr>
                <w:rFonts w:cs="Times New Roman"/>
                <w:b/>
                <w:sz w:val="20"/>
                <w:szCs w:val="20"/>
                <w:lang w:val="sr-Cyrl-CS"/>
              </w:rPr>
              <w:t>Међузбир</w:t>
            </w:r>
          </w:p>
        </w:tc>
        <w:tc>
          <w:tcPr>
            <w:tcW w:w="92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6D853D1"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-23,7</w:t>
            </w:r>
          </w:p>
        </w:tc>
        <w:tc>
          <w:tcPr>
            <w:tcW w:w="921" w:type="dxa"/>
            <w:tcBorders>
              <w:top w:val="single" w:sz="4" w:space="0" w:color="auto"/>
              <w:left w:val="nil"/>
              <w:bottom w:val="single" w:sz="8" w:space="0" w:color="auto"/>
              <w:right w:val="nil"/>
            </w:tcBorders>
            <w:shd w:val="clear" w:color="auto" w:fill="auto"/>
            <w:noWrap/>
            <w:vAlign w:val="center"/>
            <w:hideMark/>
          </w:tcPr>
          <w:p w14:paraId="34143C70"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-8</w:t>
            </w:r>
          </w:p>
        </w:tc>
        <w:tc>
          <w:tcPr>
            <w:tcW w:w="920" w:type="dxa"/>
            <w:tcBorders>
              <w:top w:val="single" w:sz="4" w:space="0" w:color="auto"/>
              <w:left w:val="single" w:sz="4" w:space="0" w:color="auto"/>
              <w:bottom w:val="single" w:sz="8" w:space="0" w:color="auto"/>
              <w:right w:val="nil"/>
            </w:tcBorders>
            <w:shd w:val="clear" w:color="auto" w:fill="auto"/>
            <w:noWrap/>
            <w:vAlign w:val="center"/>
            <w:hideMark/>
          </w:tcPr>
          <w:p w14:paraId="075F616B"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-31,2</w:t>
            </w:r>
          </w:p>
        </w:tc>
        <w:tc>
          <w:tcPr>
            <w:tcW w:w="921" w:type="dxa"/>
            <w:tcBorders>
              <w:top w:val="single" w:sz="4" w:space="0" w:color="auto"/>
              <w:left w:val="single" w:sz="4" w:space="0" w:color="auto"/>
              <w:bottom w:val="single" w:sz="8" w:space="0" w:color="auto"/>
              <w:right w:val="nil"/>
            </w:tcBorders>
            <w:shd w:val="clear" w:color="auto" w:fill="auto"/>
            <w:noWrap/>
            <w:vAlign w:val="center"/>
            <w:hideMark/>
          </w:tcPr>
          <w:p w14:paraId="7128F958"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-41</w:t>
            </w:r>
          </w:p>
        </w:tc>
        <w:tc>
          <w:tcPr>
            <w:tcW w:w="920" w:type="dxa"/>
            <w:tcBorders>
              <w:top w:val="single" w:sz="4" w:space="0" w:color="auto"/>
              <w:left w:val="single" w:sz="4" w:space="0" w:color="auto"/>
              <w:bottom w:val="single" w:sz="8" w:space="0" w:color="auto"/>
              <w:right w:val="single" w:sz="4" w:space="0" w:color="auto"/>
            </w:tcBorders>
            <w:vAlign w:val="center"/>
          </w:tcPr>
          <w:p w14:paraId="4BF29D01"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0</w:t>
            </w:r>
          </w:p>
        </w:tc>
        <w:tc>
          <w:tcPr>
            <w:tcW w:w="921" w:type="dxa"/>
            <w:gridSpan w:val="2"/>
            <w:tcBorders>
              <w:top w:val="single" w:sz="4" w:space="0" w:color="auto"/>
              <w:left w:val="single" w:sz="4" w:space="0" w:color="auto"/>
              <w:bottom w:val="single" w:sz="8" w:space="0" w:color="auto"/>
              <w:right w:val="double" w:sz="6" w:space="0" w:color="auto"/>
            </w:tcBorders>
            <w:shd w:val="clear" w:color="auto" w:fill="auto"/>
            <w:noWrap/>
            <w:vAlign w:val="center"/>
            <w:hideMark/>
          </w:tcPr>
          <w:p w14:paraId="357E08E7"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0</w:t>
            </w:r>
          </w:p>
        </w:tc>
      </w:tr>
      <w:tr w:rsidR="00247CBF" w:rsidRPr="00092ED7" w14:paraId="72EC8129" w14:textId="77777777" w:rsidTr="00247CBF">
        <w:trPr>
          <w:gridBefore w:val="1"/>
          <w:wBefore w:w="23" w:type="dxa"/>
          <w:trHeight w:val="227"/>
        </w:trPr>
        <w:tc>
          <w:tcPr>
            <w:tcW w:w="9191" w:type="dxa"/>
            <w:gridSpan w:val="3"/>
            <w:tcBorders>
              <w:top w:val="nil"/>
              <w:left w:val="double" w:sz="6" w:space="0" w:color="auto"/>
              <w:bottom w:val="double" w:sz="6" w:space="0" w:color="auto"/>
              <w:right w:val="single" w:sz="8" w:space="0" w:color="auto"/>
            </w:tcBorders>
            <w:shd w:val="clear" w:color="auto" w:fill="auto"/>
            <w:noWrap/>
            <w:vAlign w:val="center"/>
            <w:hideMark/>
          </w:tcPr>
          <w:p w14:paraId="0B478325" w14:textId="77777777" w:rsidR="00247CBF" w:rsidRPr="00092ED7" w:rsidRDefault="00247CBF" w:rsidP="00247CBF">
            <w:pPr>
              <w:spacing w:after="0" w:line="233" w:lineRule="auto"/>
              <w:jc w:val="center"/>
              <w:rPr>
                <w:rFonts w:cs="Times New Roman"/>
                <w:b/>
                <w:sz w:val="20"/>
                <w:szCs w:val="20"/>
                <w:lang w:val="sr-Cyrl-CS"/>
              </w:rPr>
            </w:pPr>
            <w:r w:rsidRPr="00092ED7">
              <w:rPr>
                <w:rFonts w:cs="Times New Roman"/>
                <w:b/>
                <w:sz w:val="20"/>
                <w:szCs w:val="20"/>
                <w:lang w:val="sr-Cyrl-CS"/>
              </w:rPr>
              <w:t>Укупно</w:t>
            </w:r>
          </w:p>
        </w:tc>
        <w:tc>
          <w:tcPr>
            <w:tcW w:w="920" w:type="dxa"/>
            <w:tcBorders>
              <w:top w:val="nil"/>
              <w:left w:val="nil"/>
              <w:bottom w:val="double" w:sz="6" w:space="0" w:color="auto"/>
              <w:right w:val="single" w:sz="4" w:space="0" w:color="auto"/>
            </w:tcBorders>
            <w:shd w:val="clear" w:color="auto" w:fill="auto"/>
            <w:noWrap/>
            <w:vAlign w:val="center"/>
            <w:hideMark/>
          </w:tcPr>
          <w:p w14:paraId="517EC8CE"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-402,6</w:t>
            </w:r>
          </w:p>
        </w:tc>
        <w:tc>
          <w:tcPr>
            <w:tcW w:w="921" w:type="dxa"/>
            <w:tcBorders>
              <w:top w:val="nil"/>
              <w:left w:val="nil"/>
              <w:bottom w:val="double" w:sz="6" w:space="0" w:color="auto"/>
              <w:right w:val="single" w:sz="4" w:space="0" w:color="auto"/>
            </w:tcBorders>
            <w:shd w:val="clear" w:color="auto" w:fill="auto"/>
            <w:noWrap/>
            <w:vAlign w:val="center"/>
            <w:hideMark/>
          </w:tcPr>
          <w:p w14:paraId="07EA60AE"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-168,2</w:t>
            </w:r>
          </w:p>
        </w:tc>
        <w:tc>
          <w:tcPr>
            <w:tcW w:w="920" w:type="dxa"/>
            <w:tcBorders>
              <w:top w:val="nil"/>
              <w:left w:val="nil"/>
              <w:bottom w:val="double" w:sz="6" w:space="0" w:color="auto"/>
              <w:right w:val="single" w:sz="4" w:space="0" w:color="auto"/>
            </w:tcBorders>
            <w:shd w:val="clear" w:color="auto" w:fill="auto"/>
            <w:noWrap/>
            <w:vAlign w:val="center"/>
            <w:hideMark/>
          </w:tcPr>
          <w:p w14:paraId="458B9E85"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-108,25</w:t>
            </w:r>
          </w:p>
        </w:tc>
        <w:tc>
          <w:tcPr>
            <w:tcW w:w="921" w:type="dxa"/>
            <w:tcBorders>
              <w:top w:val="nil"/>
              <w:left w:val="nil"/>
              <w:bottom w:val="double" w:sz="6" w:space="0" w:color="auto"/>
              <w:right w:val="single" w:sz="4" w:space="0" w:color="auto"/>
            </w:tcBorders>
            <w:shd w:val="clear" w:color="auto" w:fill="auto"/>
            <w:noWrap/>
            <w:vAlign w:val="center"/>
            <w:hideMark/>
          </w:tcPr>
          <w:p w14:paraId="184D2DB5"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-60</w:t>
            </w:r>
          </w:p>
        </w:tc>
        <w:tc>
          <w:tcPr>
            <w:tcW w:w="920" w:type="dxa"/>
            <w:tcBorders>
              <w:top w:val="nil"/>
              <w:left w:val="nil"/>
              <w:bottom w:val="double" w:sz="6" w:space="0" w:color="auto"/>
              <w:right w:val="nil"/>
            </w:tcBorders>
            <w:vAlign w:val="center"/>
          </w:tcPr>
          <w:p w14:paraId="63DF46FA"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0</w:t>
            </w:r>
          </w:p>
        </w:tc>
        <w:tc>
          <w:tcPr>
            <w:tcW w:w="921" w:type="dxa"/>
            <w:gridSpan w:val="2"/>
            <w:tcBorders>
              <w:top w:val="nil"/>
              <w:left w:val="nil"/>
              <w:bottom w:val="double" w:sz="6" w:space="0" w:color="auto"/>
              <w:right w:val="double" w:sz="6" w:space="0" w:color="auto"/>
            </w:tcBorders>
            <w:shd w:val="clear" w:color="auto" w:fill="auto"/>
            <w:noWrap/>
            <w:vAlign w:val="center"/>
            <w:hideMark/>
          </w:tcPr>
          <w:p w14:paraId="07B2D6F1"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0</w:t>
            </w:r>
          </w:p>
        </w:tc>
      </w:tr>
      <w:tr w:rsidR="00247CBF" w:rsidRPr="00092ED7" w14:paraId="5F7F7EAC" w14:textId="77777777" w:rsidTr="00247CBF">
        <w:trPr>
          <w:gridAfter w:val="1"/>
          <w:wAfter w:w="136" w:type="dxa"/>
          <w:trHeight w:val="227"/>
        </w:trPr>
        <w:tc>
          <w:tcPr>
            <w:tcW w:w="14601" w:type="dxa"/>
            <w:gridSpan w:val="10"/>
            <w:tcBorders>
              <w:top w:val="nil"/>
              <w:left w:val="nil"/>
              <w:bottom w:val="nil"/>
              <w:right w:val="nil"/>
            </w:tcBorders>
            <w:shd w:val="clear" w:color="000000" w:fill="FFFFFF"/>
            <w:noWrap/>
            <w:vAlign w:val="center"/>
            <w:hideMark/>
          </w:tcPr>
          <w:p w14:paraId="76240923" w14:textId="77777777" w:rsidR="00247CBF" w:rsidRPr="00092ED7" w:rsidRDefault="00247CBF" w:rsidP="00247CBF">
            <w:pPr>
              <w:spacing w:after="0" w:line="233" w:lineRule="auto"/>
              <w:jc w:val="left"/>
              <w:rPr>
                <w:rFonts w:eastAsia="Times New Roman" w:cs="Times New Roman"/>
                <w:sz w:val="16"/>
                <w:szCs w:val="16"/>
                <w:lang w:val="sr-Cyrl-CS" w:eastAsia="sr-Cyrl-RS"/>
              </w:rPr>
            </w:pPr>
            <w:r w:rsidRPr="00092ED7">
              <w:rPr>
                <w:rFonts w:eastAsia="Times New Roman" w:cs="Times New Roman"/>
                <w:sz w:val="16"/>
                <w:szCs w:val="16"/>
                <w:lang w:val="sr-Cyrl-CS" w:eastAsia="sr-Cyrl-RS"/>
              </w:rPr>
              <w:t xml:space="preserve">[1] За потребе ове табеле, привремене мере се односе на оне дискреционе мере које немају ефекат на буџет после 2023. године. Супротно томе мере које су усвојене или најављене за 2021, 2022. и 2023. годину које имају фискални ефекат једнак или већи од 0,1% БДП бар закључно са 2024. годином се сматрају мерама које нису привремене за потребе ове табеле.   </w:t>
            </w:r>
          </w:p>
        </w:tc>
      </w:tr>
      <w:tr w:rsidR="00247CBF" w:rsidRPr="00092ED7" w14:paraId="516E8AE9" w14:textId="77777777" w:rsidTr="00247CBF">
        <w:trPr>
          <w:gridAfter w:val="1"/>
          <w:wAfter w:w="136" w:type="dxa"/>
          <w:trHeight w:val="227"/>
        </w:trPr>
        <w:tc>
          <w:tcPr>
            <w:tcW w:w="14601" w:type="dxa"/>
            <w:gridSpan w:val="10"/>
            <w:tcBorders>
              <w:top w:val="nil"/>
              <w:left w:val="nil"/>
              <w:bottom w:val="nil"/>
              <w:right w:val="nil"/>
            </w:tcBorders>
            <w:shd w:val="clear" w:color="000000" w:fill="FFFFFF"/>
            <w:noWrap/>
            <w:vAlign w:val="center"/>
            <w:hideMark/>
          </w:tcPr>
          <w:p w14:paraId="392B692C" w14:textId="77777777" w:rsidR="00247CBF" w:rsidRPr="00092ED7" w:rsidRDefault="00247CBF" w:rsidP="00247CBF">
            <w:pPr>
              <w:spacing w:after="0" w:line="233" w:lineRule="auto"/>
              <w:jc w:val="left"/>
              <w:rPr>
                <w:rFonts w:eastAsia="Times New Roman" w:cs="Times New Roman"/>
                <w:sz w:val="16"/>
                <w:szCs w:val="16"/>
                <w:lang w:val="sr-Cyrl-CS" w:eastAsia="sr-Cyrl-RS"/>
              </w:rPr>
            </w:pPr>
            <w:r w:rsidRPr="00092ED7">
              <w:rPr>
                <w:rFonts w:eastAsia="Times New Roman" w:cs="Times New Roman"/>
                <w:sz w:val="16"/>
                <w:szCs w:val="16"/>
                <w:lang w:val="sr-Cyrl-CS" w:eastAsia="sr-Cyrl-RS"/>
              </w:rPr>
              <w:t>[2]Минусна ставка означава негативни утицај на буџет</w:t>
            </w:r>
          </w:p>
        </w:tc>
      </w:tr>
    </w:tbl>
    <w:p w14:paraId="18D3E2E4" w14:textId="77777777" w:rsidR="00247CBF" w:rsidRPr="00092ED7" w:rsidRDefault="00247CBF" w:rsidP="00247CBF">
      <w:pPr>
        <w:spacing w:after="0" w:line="259" w:lineRule="auto"/>
        <w:rPr>
          <w:rFonts w:cs="Times New Roman"/>
          <w:b/>
          <w:sz w:val="20"/>
          <w:szCs w:val="20"/>
          <w:lang w:val="sr-Cyrl-CS"/>
        </w:rPr>
      </w:pPr>
    </w:p>
    <w:p w14:paraId="13B3FAEE" w14:textId="77777777" w:rsidR="00247CBF" w:rsidRPr="00092ED7" w:rsidRDefault="00247CBF" w:rsidP="00603975">
      <w:pPr>
        <w:spacing w:after="0"/>
        <w:rPr>
          <w:rFonts w:cs="Times New Roman"/>
          <w:b/>
          <w:sz w:val="20"/>
          <w:szCs w:val="20"/>
          <w:lang w:val="sr-Cyrl-CS"/>
        </w:rPr>
      </w:pPr>
      <w:bookmarkStart w:id="139" w:name="_Toc93385998"/>
      <w:r w:rsidRPr="00092ED7">
        <w:rPr>
          <w:rFonts w:cs="Times New Roman"/>
          <w:b/>
          <w:sz w:val="20"/>
          <w:szCs w:val="20"/>
          <w:lang w:val="sr-Cyrl-CS"/>
        </w:rPr>
        <w:t>Tабела 2c: Дискреционе мере усвојене/најављене у складу са Програмом</w:t>
      </w:r>
      <w:bookmarkEnd w:id="139"/>
    </w:p>
    <w:tbl>
      <w:tblPr>
        <w:tblW w:w="13578" w:type="dxa"/>
        <w:tblLayout w:type="fixed"/>
        <w:tblLook w:val="04A0" w:firstRow="1" w:lastRow="0" w:firstColumn="1" w:lastColumn="0" w:noHBand="0" w:noVBand="1"/>
      </w:tblPr>
      <w:tblGrid>
        <w:gridCol w:w="6214"/>
        <w:gridCol w:w="1560"/>
        <w:gridCol w:w="1126"/>
        <w:gridCol w:w="939"/>
        <w:gridCol w:w="970"/>
        <w:gridCol w:w="970"/>
        <w:gridCol w:w="970"/>
        <w:gridCol w:w="829"/>
      </w:tblGrid>
      <w:tr w:rsidR="00247CBF" w:rsidRPr="00092ED7" w14:paraId="5353D766" w14:textId="77777777" w:rsidTr="00247CBF">
        <w:trPr>
          <w:trHeight w:val="284"/>
        </w:trPr>
        <w:tc>
          <w:tcPr>
            <w:tcW w:w="6214" w:type="dxa"/>
            <w:vMerge w:val="restart"/>
            <w:tcBorders>
              <w:top w:val="double" w:sz="6" w:space="0" w:color="auto"/>
              <w:left w:val="double" w:sz="6" w:space="0" w:color="auto"/>
              <w:right w:val="single" w:sz="4" w:space="0" w:color="auto"/>
            </w:tcBorders>
            <w:shd w:val="clear" w:color="auto" w:fill="auto"/>
            <w:noWrap/>
            <w:vAlign w:val="center"/>
          </w:tcPr>
          <w:p w14:paraId="7AAE357A"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Мере</w:t>
            </w:r>
          </w:p>
        </w:tc>
        <w:tc>
          <w:tcPr>
            <w:tcW w:w="1560" w:type="dxa"/>
            <w:vMerge w:val="restart"/>
            <w:tcBorders>
              <w:top w:val="double" w:sz="6" w:space="0" w:color="auto"/>
              <w:left w:val="single" w:sz="4" w:space="0" w:color="auto"/>
              <w:right w:val="single" w:sz="4" w:space="0" w:color="auto"/>
            </w:tcBorders>
            <w:shd w:val="clear" w:color="auto" w:fill="auto"/>
            <w:noWrap/>
            <w:vAlign w:val="center"/>
            <w:hideMark/>
          </w:tcPr>
          <w:p w14:paraId="0846924B" w14:textId="77777777" w:rsidR="00247CBF" w:rsidRPr="00092ED7" w:rsidRDefault="00247CBF" w:rsidP="00247CBF">
            <w:pPr>
              <w:spacing w:after="0"/>
              <w:jc w:val="center"/>
              <w:rPr>
                <w:rFonts w:cs="Times New Roman"/>
                <w:sz w:val="20"/>
                <w:szCs w:val="20"/>
                <w:lang w:val="sr-Cyrl-CS"/>
              </w:rPr>
            </w:pPr>
            <w:r w:rsidRPr="00092ED7">
              <w:rPr>
                <w:rFonts w:cs="Times New Roman"/>
                <w:sz w:val="20"/>
                <w:szCs w:val="20"/>
                <w:lang w:val="sr-Cyrl-CS"/>
              </w:rPr>
              <w:t>ESA шифра (расходна / приходна компонента)</w:t>
            </w:r>
          </w:p>
        </w:tc>
        <w:tc>
          <w:tcPr>
            <w:tcW w:w="1126" w:type="dxa"/>
            <w:vMerge w:val="restart"/>
            <w:tcBorders>
              <w:top w:val="double" w:sz="6" w:space="0" w:color="auto"/>
              <w:left w:val="single" w:sz="4" w:space="0" w:color="auto"/>
              <w:bottom w:val="single" w:sz="8" w:space="0" w:color="auto"/>
              <w:right w:val="single" w:sz="4" w:space="0" w:color="auto"/>
            </w:tcBorders>
            <w:shd w:val="clear" w:color="auto" w:fill="auto"/>
            <w:noWrap/>
            <w:vAlign w:val="center"/>
            <w:hideMark/>
          </w:tcPr>
          <w:p w14:paraId="1666FC39" w14:textId="77777777" w:rsidR="00247CBF" w:rsidRPr="00092ED7" w:rsidRDefault="00247CBF" w:rsidP="00247CBF">
            <w:pPr>
              <w:spacing w:after="0"/>
              <w:jc w:val="center"/>
              <w:rPr>
                <w:rFonts w:cs="Times New Roman"/>
                <w:sz w:val="20"/>
                <w:szCs w:val="20"/>
                <w:lang w:val="sr-Cyrl-CS"/>
              </w:rPr>
            </w:pPr>
            <w:r w:rsidRPr="00092ED7">
              <w:rPr>
                <w:rFonts w:cs="Times New Roman"/>
                <w:sz w:val="20"/>
                <w:szCs w:val="20"/>
                <w:lang w:val="sr-Cyrl-CS"/>
              </w:rPr>
              <w:t>Датум усвајања</w:t>
            </w:r>
          </w:p>
        </w:tc>
        <w:tc>
          <w:tcPr>
            <w:tcW w:w="939"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07E6DA4C" w14:textId="77777777" w:rsidR="00247CBF" w:rsidRPr="00092ED7" w:rsidRDefault="00247CBF" w:rsidP="00247CBF">
            <w:pPr>
              <w:spacing w:after="0"/>
              <w:jc w:val="center"/>
              <w:rPr>
                <w:b/>
                <w:bCs/>
                <w:sz w:val="20"/>
                <w:szCs w:val="20"/>
                <w:lang w:val="sr-Cyrl-CS"/>
              </w:rPr>
            </w:pPr>
            <w:r w:rsidRPr="00092ED7">
              <w:rPr>
                <w:b/>
                <w:bCs/>
                <w:sz w:val="20"/>
                <w:szCs w:val="20"/>
                <w:lang w:val="sr-Cyrl-CS"/>
              </w:rPr>
              <w:t>2021</w:t>
            </w:r>
          </w:p>
        </w:tc>
        <w:tc>
          <w:tcPr>
            <w:tcW w:w="97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3E5142F1" w14:textId="77777777" w:rsidR="00247CBF" w:rsidRPr="00092ED7" w:rsidRDefault="00247CBF" w:rsidP="00247CBF">
            <w:pPr>
              <w:spacing w:after="0"/>
              <w:jc w:val="center"/>
              <w:rPr>
                <w:b/>
                <w:bCs/>
                <w:sz w:val="20"/>
                <w:szCs w:val="20"/>
                <w:lang w:val="sr-Cyrl-CS"/>
              </w:rPr>
            </w:pPr>
            <w:r w:rsidRPr="00092ED7">
              <w:rPr>
                <w:b/>
                <w:bCs/>
                <w:sz w:val="20"/>
                <w:szCs w:val="20"/>
                <w:lang w:val="sr-Cyrl-CS"/>
              </w:rPr>
              <w:t>2022</w:t>
            </w:r>
          </w:p>
        </w:tc>
        <w:tc>
          <w:tcPr>
            <w:tcW w:w="97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4E81ED45" w14:textId="77777777" w:rsidR="00247CBF" w:rsidRPr="00092ED7" w:rsidRDefault="00247CBF" w:rsidP="00247CBF">
            <w:pPr>
              <w:spacing w:after="0"/>
              <w:jc w:val="center"/>
              <w:rPr>
                <w:b/>
                <w:bCs/>
                <w:sz w:val="20"/>
                <w:szCs w:val="20"/>
                <w:lang w:val="sr-Cyrl-CS"/>
              </w:rPr>
            </w:pPr>
            <w:r w:rsidRPr="00092ED7">
              <w:rPr>
                <w:b/>
                <w:bCs/>
                <w:sz w:val="20"/>
                <w:szCs w:val="20"/>
                <w:lang w:val="sr-Cyrl-CS"/>
              </w:rPr>
              <w:t>2023</w:t>
            </w:r>
          </w:p>
        </w:tc>
        <w:tc>
          <w:tcPr>
            <w:tcW w:w="97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6978421C" w14:textId="77777777" w:rsidR="00247CBF" w:rsidRPr="00092ED7" w:rsidRDefault="00247CBF" w:rsidP="00247CBF">
            <w:pPr>
              <w:spacing w:after="0"/>
              <w:jc w:val="center"/>
              <w:rPr>
                <w:b/>
                <w:bCs/>
                <w:sz w:val="20"/>
                <w:szCs w:val="20"/>
                <w:lang w:val="sr-Cyrl-CS"/>
              </w:rPr>
            </w:pPr>
            <w:r w:rsidRPr="00092ED7">
              <w:rPr>
                <w:b/>
                <w:bCs/>
                <w:sz w:val="20"/>
                <w:szCs w:val="20"/>
                <w:lang w:val="sr-Cyrl-CS"/>
              </w:rPr>
              <w:t>2024</w:t>
            </w:r>
          </w:p>
        </w:tc>
        <w:tc>
          <w:tcPr>
            <w:tcW w:w="829" w:type="dxa"/>
            <w:tcBorders>
              <w:top w:val="double" w:sz="6" w:space="0" w:color="auto"/>
              <w:left w:val="single" w:sz="4" w:space="0" w:color="auto"/>
              <w:bottom w:val="single" w:sz="4" w:space="0" w:color="auto"/>
              <w:right w:val="double" w:sz="6" w:space="0" w:color="auto"/>
            </w:tcBorders>
            <w:shd w:val="clear" w:color="auto" w:fill="auto"/>
            <w:noWrap/>
            <w:vAlign w:val="center"/>
            <w:hideMark/>
          </w:tcPr>
          <w:p w14:paraId="458D2867" w14:textId="77777777" w:rsidR="00247CBF" w:rsidRPr="00092ED7" w:rsidRDefault="00247CBF" w:rsidP="00247CBF">
            <w:pPr>
              <w:spacing w:after="0"/>
              <w:jc w:val="center"/>
              <w:rPr>
                <w:b/>
                <w:bCs/>
                <w:sz w:val="20"/>
                <w:szCs w:val="20"/>
                <w:lang w:val="sr-Cyrl-CS"/>
              </w:rPr>
            </w:pPr>
            <w:r w:rsidRPr="00092ED7">
              <w:rPr>
                <w:b/>
                <w:bCs/>
                <w:sz w:val="20"/>
                <w:szCs w:val="20"/>
                <w:lang w:val="sr-Cyrl-CS"/>
              </w:rPr>
              <w:t>2025</w:t>
            </w:r>
          </w:p>
        </w:tc>
      </w:tr>
      <w:tr w:rsidR="00247CBF" w:rsidRPr="00092ED7" w14:paraId="3D3E956F" w14:textId="77777777" w:rsidTr="00247CBF">
        <w:trPr>
          <w:trHeight w:val="524"/>
        </w:trPr>
        <w:tc>
          <w:tcPr>
            <w:tcW w:w="6214" w:type="dxa"/>
            <w:vMerge/>
            <w:tcBorders>
              <w:left w:val="double" w:sz="6" w:space="0" w:color="auto"/>
              <w:bottom w:val="nil"/>
              <w:right w:val="single" w:sz="4" w:space="0" w:color="auto"/>
            </w:tcBorders>
            <w:shd w:val="clear" w:color="auto" w:fill="auto"/>
            <w:vAlign w:val="center"/>
            <w:hideMark/>
          </w:tcPr>
          <w:p w14:paraId="527B580B" w14:textId="77777777" w:rsidR="00247CBF" w:rsidRPr="00092ED7" w:rsidRDefault="00247CBF" w:rsidP="00247CBF">
            <w:pPr>
              <w:spacing w:after="0"/>
              <w:rPr>
                <w:rFonts w:cs="Times New Roman"/>
                <w:sz w:val="20"/>
                <w:szCs w:val="20"/>
                <w:lang w:val="sr-Cyrl-CS"/>
              </w:rPr>
            </w:pPr>
          </w:p>
        </w:tc>
        <w:tc>
          <w:tcPr>
            <w:tcW w:w="1560" w:type="dxa"/>
            <w:vMerge/>
            <w:tcBorders>
              <w:left w:val="single" w:sz="4" w:space="0" w:color="auto"/>
              <w:bottom w:val="nil"/>
              <w:right w:val="single" w:sz="4" w:space="0" w:color="auto"/>
            </w:tcBorders>
            <w:shd w:val="clear" w:color="auto" w:fill="auto"/>
            <w:vAlign w:val="center"/>
            <w:hideMark/>
          </w:tcPr>
          <w:p w14:paraId="60ED7EBA" w14:textId="77777777" w:rsidR="00247CBF" w:rsidRPr="00092ED7" w:rsidRDefault="00247CBF" w:rsidP="00247CBF">
            <w:pPr>
              <w:spacing w:after="0"/>
              <w:rPr>
                <w:rFonts w:cs="Times New Roman"/>
                <w:sz w:val="20"/>
                <w:szCs w:val="20"/>
                <w:lang w:val="sr-Cyrl-CS"/>
              </w:rPr>
            </w:pPr>
          </w:p>
        </w:tc>
        <w:tc>
          <w:tcPr>
            <w:tcW w:w="1126" w:type="dxa"/>
            <w:vMerge/>
            <w:tcBorders>
              <w:left w:val="single" w:sz="4" w:space="0" w:color="auto"/>
              <w:bottom w:val="single" w:sz="8" w:space="0" w:color="auto"/>
              <w:right w:val="single" w:sz="4" w:space="0" w:color="auto"/>
            </w:tcBorders>
            <w:shd w:val="clear" w:color="auto" w:fill="auto"/>
            <w:vAlign w:val="center"/>
            <w:hideMark/>
          </w:tcPr>
          <w:p w14:paraId="12239285" w14:textId="77777777" w:rsidR="00247CBF" w:rsidRPr="00092ED7" w:rsidRDefault="00247CBF" w:rsidP="00247CBF">
            <w:pPr>
              <w:spacing w:after="0"/>
              <w:rPr>
                <w:rFonts w:cs="Times New Roman"/>
                <w:sz w:val="20"/>
                <w:szCs w:val="20"/>
                <w:lang w:val="sr-Cyrl-CS"/>
              </w:rPr>
            </w:pPr>
          </w:p>
        </w:tc>
        <w:tc>
          <w:tcPr>
            <w:tcW w:w="4678" w:type="dxa"/>
            <w:gridSpan w:val="5"/>
            <w:tcBorders>
              <w:top w:val="single" w:sz="4" w:space="0" w:color="auto"/>
              <w:left w:val="single" w:sz="4" w:space="0" w:color="auto"/>
              <w:bottom w:val="single" w:sz="8" w:space="0" w:color="auto"/>
              <w:right w:val="double" w:sz="6" w:space="0" w:color="000000"/>
            </w:tcBorders>
            <w:shd w:val="clear" w:color="auto" w:fill="auto"/>
            <w:vAlign w:val="center"/>
          </w:tcPr>
          <w:p w14:paraId="79B8AFD6" w14:textId="77777777" w:rsidR="00247CBF" w:rsidRPr="00092ED7" w:rsidRDefault="00247CBF" w:rsidP="00247CBF">
            <w:pPr>
              <w:spacing w:after="0"/>
              <w:jc w:val="center"/>
              <w:rPr>
                <w:rFonts w:cs="Times New Roman"/>
                <w:sz w:val="20"/>
                <w:szCs w:val="20"/>
                <w:lang w:val="sr-Cyrl-CS"/>
              </w:rPr>
            </w:pPr>
            <w:r w:rsidRPr="00092ED7">
              <w:rPr>
                <w:rFonts w:cs="Times New Roman"/>
                <w:sz w:val="20"/>
                <w:szCs w:val="20"/>
                <w:lang w:val="sr-Cyrl-CS"/>
              </w:rPr>
              <w:t>Фискални ефекат (% БДП - промена у односу на претходну годину)</w:t>
            </w:r>
          </w:p>
        </w:tc>
      </w:tr>
      <w:tr w:rsidR="00247CBF" w:rsidRPr="00092ED7" w14:paraId="76D0386D" w14:textId="77777777" w:rsidTr="00247CBF">
        <w:trPr>
          <w:trHeight w:val="284"/>
        </w:trPr>
        <w:tc>
          <w:tcPr>
            <w:tcW w:w="6214" w:type="dxa"/>
            <w:tcBorders>
              <w:top w:val="single" w:sz="8" w:space="0" w:color="auto"/>
              <w:left w:val="double" w:sz="6" w:space="0" w:color="auto"/>
              <w:bottom w:val="single" w:sz="4" w:space="0" w:color="auto"/>
              <w:right w:val="single" w:sz="4" w:space="0" w:color="auto"/>
            </w:tcBorders>
            <w:shd w:val="clear" w:color="auto" w:fill="auto"/>
            <w:vAlign w:val="center"/>
            <w:hideMark/>
          </w:tcPr>
          <w:p w14:paraId="24F7A45C" w14:textId="77777777" w:rsidR="00247CBF" w:rsidRPr="00092ED7" w:rsidRDefault="00247CBF" w:rsidP="00247CBF">
            <w:pPr>
              <w:spacing w:after="0"/>
              <w:rPr>
                <w:rFonts w:cs="Times New Roman"/>
                <w:sz w:val="20"/>
                <w:szCs w:val="20"/>
                <w:lang w:val="sr-Cyrl-CS"/>
              </w:rPr>
            </w:pPr>
            <w:r w:rsidRPr="00092ED7">
              <w:rPr>
                <w:rFonts w:cs="Times New Roman"/>
                <w:i/>
                <w:iCs/>
                <w:sz w:val="20"/>
                <w:szCs w:val="20"/>
                <w:lang w:val="sr-Cyrl-CS"/>
              </w:rPr>
              <w:t xml:space="preserve">Привремене мере </w:t>
            </w:r>
            <w:r w:rsidRPr="00092ED7">
              <w:rPr>
                <w:rFonts w:cs="Times New Roman"/>
                <w:sz w:val="20"/>
                <w:szCs w:val="20"/>
                <w:vertAlign w:val="superscript"/>
                <w:lang w:val="sr-Cyrl-CS"/>
              </w:rPr>
              <w:t>1</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4B691984" w14:textId="77777777" w:rsidR="00247CBF" w:rsidRPr="00092ED7" w:rsidRDefault="00247CBF" w:rsidP="00247CBF">
            <w:pPr>
              <w:spacing w:after="0"/>
              <w:rPr>
                <w:rFonts w:cs="Times New Roman"/>
                <w:sz w:val="20"/>
                <w:szCs w:val="20"/>
                <w:lang w:val="sr-Cyrl-CS"/>
              </w:rPr>
            </w:pPr>
          </w:p>
        </w:tc>
        <w:tc>
          <w:tcPr>
            <w:tcW w:w="1126" w:type="dxa"/>
            <w:tcBorders>
              <w:top w:val="single" w:sz="8" w:space="0" w:color="auto"/>
              <w:left w:val="nil"/>
              <w:bottom w:val="single" w:sz="4" w:space="0" w:color="auto"/>
              <w:right w:val="single" w:sz="8" w:space="0" w:color="auto"/>
            </w:tcBorders>
            <w:shd w:val="clear" w:color="auto" w:fill="auto"/>
            <w:noWrap/>
            <w:vAlign w:val="center"/>
          </w:tcPr>
          <w:p w14:paraId="1A04AA5B" w14:textId="77777777" w:rsidR="00247CBF" w:rsidRPr="00092ED7" w:rsidRDefault="00247CBF" w:rsidP="00247CBF">
            <w:pPr>
              <w:spacing w:after="0"/>
              <w:rPr>
                <w:rFonts w:cs="Times New Roman"/>
                <w:sz w:val="20"/>
                <w:szCs w:val="20"/>
                <w:lang w:val="sr-Cyrl-CS"/>
              </w:rPr>
            </w:pPr>
          </w:p>
        </w:tc>
        <w:tc>
          <w:tcPr>
            <w:tcW w:w="939" w:type="dxa"/>
            <w:tcBorders>
              <w:top w:val="single" w:sz="8" w:space="0" w:color="auto"/>
              <w:left w:val="nil"/>
              <w:bottom w:val="single" w:sz="4" w:space="0" w:color="auto"/>
              <w:right w:val="single" w:sz="4" w:space="0" w:color="auto"/>
            </w:tcBorders>
            <w:shd w:val="clear" w:color="auto" w:fill="auto"/>
            <w:noWrap/>
            <w:vAlign w:val="center"/>
          </w:tcPr>
          <w:p w14:paraId="400830E3" w14:textId="77777777" w:rsidR="00247CBF" w:rsidRPr="00092ED7" w:rsidRDefault="00247CBF" w:rsidP="00247CBF">
            <w:pPr>
              <w:spacing w:after="0"/>
              <w:rPr>
                <w:rFonts w:cs="Times New Roman"/>
                <w:sz w:val="20"/>
                <w:szCs w:val="20"/>
                <w:lang w:val="sr-Cyrl-CS"/>
              </w:rPr>
            </w:pPr>
          </w:p>
        </w:tc>
        <w:tc>
          <w:tcPr>
            <w:tcW w:w="970" w:type="dxa"/>
            <w:tcBorders>
              <w:top w:val="single" w:sz="8" w:space="0" w:color="auto"/>
              <w:left w:val="nil"/>
              <w:bottom w:val="single" w:sz="4" w:space="0" w:color="auto"/>
              <w:right w:val="nil"/>
            </w:tcBorders>
            <w:shd w:val="clear" w:color="auto" w:fill="auto"/>
            <w:noWrap/>
            <w:vAlign w:val="center"/>
          </w:tcPr>
          <w:p w14:paraId="1548476A" w14:textId="77777777" w:rsidR="00247CBF" w:rsidRPr="00092ED7" w:rsidRDefault="00247CBF" w:rsidP="00247CBF">
            <w:pPr>
              <w:spacing w:after="0"/>
              <w:rPr>
                <w:rFonts w:cs="Times New Roman"/>
                <w:sz w:val="20"/>
                <w:szCs w:val="20"/>
                <w:lang w:val="sr-Cyrl-CS"/>
              </w:rPr>
            </w:pPr>
          </w:p>
        </w:tc>
        <w:tc>
          <w:tcPr>
            <w:tcW w:w="970" w:type="dxa"/>
            <w:tcBorders>
              <w:top w:val="single" w:sz="8" w:space="0" w:color="auto"/>
              <w:left w:val="single" w:sz="4" w:space="0" w:color="auto"/>
              <w:bottom w:val="single" w:sz="4" w:space="0" w:color="auto"/>
              <w:right w:val="nil"/>
            </w:tcBorders>
            <w:shd w:val="clear" w:color="auto" w:fill="auto"/>
            <w:noWrap/>
            <w:vAlign w:val="center"/>
          </w:tcPr>
          <w:p w14:paraId="10E863E9" w14:textId="77777777" w:rsidR="00247CBF" w:rsidRPr="00092ED7" w:rsidRDefault="00247CBF" w:rsidP="00247CBF">
            <w:pPr>
              <w:spacing w:after="0"/>
              <w:rPr>
                <w:rFonts w:cs="Times New Roman"/>
                <w:sz w:val="20"/>
                <w:szCs w:val="20"/>
                <w:lang w:val="sr-Cyrl-CS"/>
              </w:rPr>
            </w:pPr>
          </w:p>
        </w:tc>
        <w:tc>
          <w:tcPr>
            <w:tcW w:w="970" w:type="dxa"/>
            <w:tcBorders>
              <w:top w:val="single" w:sz="8" w:space="0" w:color="auto"/>
              <w:left w:val="single" w:sz="4" w:space="0" w:color="auto"/>
              <w:bottom w:val="single" w:sz="4" w:space="0" w:color="auto"/>
              <w:right w:val="nil"/>
            </w:tcBorders>
            <w:shd w:val="clear" w:color="auto" w:fill="auto"/>
            <w:noWrap/>
            <w:vAlign w:val="center"/>
          </w:tcPr>
          <w:p w14:paraId="3E4D902D" w14:textId="77777777" w:rsidR="00247CBF" w:rsidRPr="00092ED7" w:rsidRDefault="00247CBF" w:rsidP="00247CBF">
            <w:pPr>
              <w:spacing w:after="0"/>
              <w:rPr>
                <w:rFonts w:cs="Times New Roman"/>
                <w:sz w:val="20"/>
                <w:szCs w:val="20"/>
                <w:lang w:val="sr-Cyrl-CS"/>
              </w:rPr>
            </w:pPr>
          </w:p>
        </w:tc>
        <w:tc>
          <w:tcPr>
            <w:tcW w:w="829" w:type="dxa"/>
            <w:tcBorders>
              <w:top w:val="single" w:sz="8" w:space="0" w:color="auto"/>
              <w:left w:val="single" w:sz="4" w:space="0" w:color="auto"/>
              <w:bottom w:val="single" w:sz="4" w:space="0" w:color="auto"/>
              <w:right w:val="double" w:sz="6" w:space="0" w:color="auto"/>
            </w:tcBorders>
            <w:shd w:val="clear" w:color="auto" w:fill="auto"/>
            <w:noWrap/>
            <w:vAlign w:val="center"/>
          </w:tcPr>
          <w:p w14:paraId="40A0E078" w14:textId="77777777" w:rsidR="00247CBF" w:rsidRPr="00092ED7" w:rsidRDefault="00247CBF" w:rsidP="00247CBF">
            <w:pPr>
              <w:spacing w:after="0"/>
              <w:rPr>
                <w:rFonts w:cs="Times New Roman"/>
                <w:sz w:val="20"/>
                <w:szCs w:val="20"/>
                <w:lang w:val="sr-Cyrl-CS"/>
              </w:rPr>
            </w:pPr>
          </w:p>
        </w:tc>
      </w:tr>
      <w:tr w:rsidR="00247CBF" w:rsidRPr="00092ED7" w14:paraId="1804607B"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2D11AFD3" w14:textId="77777777" w:rsidR="00247CBF" w:rsidRPr="00092ED7" w:rsidRDefault="00247CBF" w:rsidP="00247CBF">
            <w:pPr>
              <w:spacing w:after="0"/>
              <w:jc w:val="left"/>
              <w:rPr>
                <w:sz w:val="20"/>
                <w:szCs w:val="20"/>
                <w:lang w:val="sr-Cyrl-CS"/>
              </w:rPr>
            </w:pPr>
            <w:r w:rsidRPr="00092ED7">
              <w:rPr>
                <w:sz w:val="20"/>
                <w:szCs w:val="20"/>
                <w:lang w:val="sr-Cyrl-CS"/>
              </w:rPr>
              <w:t>Одложено плаћање пореза на зараде и доприноса за приватни сектор</w:t>
            </w:r>
          </w:p>
        </w:tc>
        <w:tc>
          <w:tcPr>
            <w:tcW w:w="1560" w:type="dxa"/>
            <w:tcBorders>
              <w:top w:val="nil"/>
              <w:left w:val="nil"/>
              <w:bottom w:val="dotted" w:sz="4" w:space="0" w:color="auto"/>
              <w:right w:val="single" w:sz="4" w:space="0" w:color="auto"/>
            </w:tcBorders>
            <w:shd w:val="clear" w:color="auto" w:fill="auto"/>
            <w:noWrap/>
            <w:vAlign w:val="center"/>
            <w:hideMark/>
          </w:tcPr>
          <w:p w14:paraId="1A92FFCE" w14:textId="77777777" w:rsidR="00247CBF" w:rsidRPr="00092ED7" w:rsidRDefault="00247CBF" w:rsidP="00247CBF">
            <w:pPr>
              <w:spacing w:after="0"/>
              <w:jc w:val="center"/>
              <w:rPr>
                <w:sz w:val="20"/>
                <w:szCs w:val="20"/>
                <w:lang w:val="sr-Cyrl-CS"/>
              </w:rPr>
            </w:pPr>
            <w:r w:rsidRPr="00092ED7">
              <w:rPr>
                <w:sz w:val="20"/>
                <w:szCs w:val="20"/>
                <w:lang w:val="sr-Cyrl-CS"/>
              </w:rPr>
              <w:t>D5, D61</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146C46A0" w14:textId="77777777" w:rsidR="00247CBF" w:rsidRPr="00092ED7" w:rsidRDefault="00247CBF" w:rsidP="00247CBF">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18DE11DD"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1A60056F"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70BD2500"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23415B40"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1D566F9B"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4F3B2BEB"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7AF619FC" w14:textId="77777777" w:rsidR="00247CBF" w:rsidRPr="00092ED7" w:rsidRDefault="00247CBF" w:rsidP="00247CBF">
            <w:pPr>
              <w:spacing w:after="0"/>
              <w:jc w:val="left"/>
              <w:rPr>
                <w:sz w:val="20"/>
                <w:szCs w:val="20"/>
                <w:lang w:val="sr-Cyrl-CS"/>
              </w:rPr>
            </w:pPr>
            <w:r w:rsidRPr="00092ED7">
              <w:rPr>
                <w:sz w:val="20"/>
                <w:szCs w:val="20"/>
                <w:lang w:val="sr-Cyrl-CS"/>
              </w:rPr>
              <w:t>Одложено плаћање аконтација пореза на добит у другом кварталу</w:t>
            </w:r>
          </w:p>
        </w:tc>
        <w:tc>
          <w:tcPr>
            <w:tcW w:w="1560" w:type="dxa"/>
            <w:tcBorders>
              <w:top w:val="nil"/>
              <w:left w:val="nil"/>
              <w:bottom w:val="dotted" w:sz="4" w:space="0" w:color="auto"/>
              <w:right w:val="single" w:sz="4" w:space="0" w:color="auto"/>
            </w:tcBorders>
            <w:shd w:val="clear" w:color="auto" w:fill="auto"/>
            <w:noWrap/>
            <w:vAlign w:val="center"/>
            <w:hideMark/>
          </w:tcPr>
          <w:p w14:paraId="4E4FC771" w14:textId="77777777" w:rsidR="00247CBF" w:rsidRPr="00092ED7" w:rsidRDefault="00247CBF" w:rsidP="00247CBF">
            <w:pPr>
              <w:spacing w:after="0"/>
              <w:jc w:val="center"/>
              <w:rPr>
                <w:sz w:val="20"/>
                <w:szCs w:val="20"/>
                <w:lang w:val="sr-Cyrl-CS"/>
              </w:rPr>
            </w:pPr>
            <w:r w:rsidRPr="00092ED7">
              <w:rPr>
                <w:sz w:val="20"/>
                <w:szCs w:val="20"/>
                <w:lang w:val="sr-Cyrl-CS"/>
              </w:rPr>
              <w:t>D5</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65A30D4B" w14:textId="77777777" w:rsidR="00247CBF" w:rsidRPr="00092ED7" w:rsidRDefault="00247CBF" w:rsidP="00247CBF">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3B41EEE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6B76188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2C972D36"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3EAE3F5E"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3DC1CF51"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4CCCF24E"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2C10B9E1" w14:textId="77777777" w:rsidR="00247CBF" w:rsidRPr="00092ED7" w:rsidRDefault="00247CBF" w:rsidP="00247CBF">
            <w:pPr>
              <w:spacing w:after="0"/>
              <w:jc w:val="left"/>
              <w:rPr>
                <w:sz w:val="20"/>
                <w:szCs w:val="20"/>
                <w:lang w:val="sr-Cyrl-CS"/>
              </w:rPr>
            </w:pPr>
            <w:r w:rsidRPr="00092ED7">
              <w:rPr>
                <w:sz w:val="20"/>
                <w:szCs w:val="20"/>
                <w:lang w:val="sr-Cyrl-CS"/>
              </w:rPr>
              <w:t>Директна помоћ приватном сектору</w:t>
            </w:r>
          </w:p>
        </w:tc>
        <w:tc>
          <w:tcPr>
            <w:tcW w:w="1560" w:type="dxa"/>
            <w:tcBorders>
              <w:top w:val="nil"/>
              <w:left w:val="nil"/>
              <w:bottom w:val="dotted" w:sz="4" w:space="0" w:color="auto"/>
              <w:right w:val="single" w:sz="4" w:space="0" w:color="auto"/>
            </w:tcBorders>
            <w:shd w:val="clear" w:color="auto" w:fill="auto"/>
            <w:noWrap/>
            <w:vAlign w:val="center"/>
            <w:hideMark/>
          </w:tcPr>
          <w:p w14:paraId="18B7A89C" w14:textId="77777777" w:rsidR="00247CBF" w:rsidRPr="00092ED7" w:rsidRDefault="00247CBF" w:rsidP="00247CBF">
            <w:pPr>
              <w:spacing w:after="0"/>
              <w:jc w:val="center"/>
              <w:rPr>
                <w:sz w:val="20"/>
                <w:szCs w:val="20"/>
                <w:lang w:val="sr-Cyrl-CS"/>
              </w:rPr>
            </w:pPr>
            <w:r w:rsidRPr="00092ED7">
              <w:rPr>
                <w:sz w:val="20"/>
                <w:szCs w:val="20"/>
                <w:lang w:val="sr-Cyrl-CS"/>
              </w:rPr>
              <w:t>D3</w:t>
            </w:r>
          </w:p>
        </w:tc>
        <w:tc>
          <w:tcPr>
            <w:tcW w:w="1126" w:type="dxa"/>
            <w:tcBorders>
              <w:top w:val="nil"/>
              <w:left w:val="single" w:sz="4" w:space="0" w:color="auto"/>
              <w:bottom w:val="dotted" w:sz="4" w:space="0" w:color="auto"/>
              <w:right w:val="single" w:sz="8" w:space="0" w:color="auto"/>
            </w:tcBorders>
            <w:shd w:val="clear" w:color="auto" w:fill="auto"/>
            <w:vAlign w:val="center"/>
          </w:tcPr>
          <w:p w14:paraId="58CC212B" w14:textId="77777777" w:rsidR="00247CBF" w:rsidRPr="00092ED7" w:rsidRDefault="00247CBF" w:rsidP="00247CBF">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2A2146D0" w14:textId="77777777" w:rsidR="00247CBF" w:rsidRPr="00092ED7" w:rsidRDefault="00247CBF" w:rsidP="00247CBF">
            <w:pPr>
              <w:spacing w:after="0"/>
              <w:jc w:val="right"/>
              <w:rPr>
                <w:sz w:val="20"/>
                <w:szCs w:val="20"/>
                <w:lang w:val="sr-Cyrl-CS"/>
              </w:rPr>
            </w:pPr>
            <w:r w:rsidRPr="00092ED7">
              <w:rPr>
                <w:sz w:val="20"/>
                <w:szCs w:val="20"/>
                <w:lang w:val="sr-Cyrl-CS"/>
              </w:rPr>
              <w:t>1,2</w:t>
            </w:r>
          </w:p>
        </w:tc>
        <w:tc>
          <w:tcPr>
            <w:tcW w:w="970" w:type="dxa"/>
            <w:tcBorders>
              <w:top w:val="nil"/>
              <w:left w:val="single" w:sz="4" w:space="0" w:color="auto"/>
              <w:bottom w:val="dotted" w:sz="4" w:space="0" w:color="auto"/>
              <w:right w:val="nil"/>
            </w:tcBorders>
            <w:shd w:val="clear" w:color="auto" w:fill="auto"/>
            <w:noWrap/>
            <w:vAlign w:val="center"/>
            <w:hideMark/>
          </w:tcPr>
          <w:p w14:paraId="59A66B6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607275ED"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2222F17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31956EEB"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09F571A9"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6D78785E" w14:textId="77777777" w:rsidR="00247CBF" w:rsidRPr="00092ED7" w:rsidRDefault="00247CBF" w:rsidP="00247CBF">
            <w:pPr>
              <w:spacing w:after="0"/>
              <w:jc w:val="left"/>
              <w:rPr>
                <w:sz w:val="20"/>
                <w:szCs w:val="20"/>
                <w:lang w:val="sr-Cyrl-CS"/>
              </w:rPr>
            </w:pPr>
            <w:r w:rsidRPr="00092ED7">
              <w:rPr>
                <w:sz w:val="20"/>
                <w:szCs w:val="20"/>
                <w:lang w:val="sr-Cyrl-CS"/>
              </w:rPr>
              <w:t>Програм финансијске подршке кроз Фонд за развој</w:t>
            </w:r>
          </w:p>
        </w:tc>
        <w:tc>
          <w:tcPr>
            <w:tcW w:w="1560" w:type="dxa"/>
            <w:tcBorders>
              <w:top w:val="nil"/>
              <w:left w:val="nil"/>
              <w:bottom w:val="dotted" w:sz="4" w:space="0" w:color="auto"/>
              <w:right w:val="single" w:sz="4" w:space="0" w:color="auto"/>
            </w:tcBorders>
            <w:shd w:val="clear" w:color="auto" w:fill="auto"/>
            <w:noWrap/>
            <w:vAlign w:val="center"/>
            <w:hideMark/>
          </w:tcPr>
          <w:p w14:paraId="41AEACC7" w14:textId="77777777" w:rsidR="00247CBF" w:rsidRPr="00092ED7" w:rsidRDefault="00247CBF" w:rsidP="00247CBF">
            <w:pPr>
              <w:spacing w:after="0"/>
              <w:jc w:val="center"/>
              <w:rPr>
                <w:sz w:val="20"/>
                <w:szCs w:val="20"/>
                <w:lang w:val="sr-Cyrl-CS"/>
              </w:rPr>
            </w:pPr>
            <w:r w:rsidRPr="00092ED7">
              <w:rPr>
                <w:sz w:val="20"/>
                <w:szCs w:val="20"/>
                <w:lang w:val="sr-Cyrl-CS"/>
              </w:rPr>
              <w:t>D3</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6527273B" w14:textId="77777777" w:rsidR="00247CBF" w:rsidRPr="00092ED7" w:rsidRDefault="00247CBF" w:rsidP="00247CBF">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2A18F394"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1A4532E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6BBDD1D4"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6C27A806"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4865F1AE"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36DE99AB"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281624E1" w14:textId="77777777" w:rsidR="00247CBF" w:rsidRPr="00092ED7" w:rsidRDefault="00247CBF" w:rsidP="00247CBF">
            <w:pPr>
              <w:spacing w:after="0"/>
              <w:jc w:val="left"/>
              <w:rPr>
                <w:sz w:val="20"/>
                <w:szCs w:val="20"/>
                <w:lang w:val="sr-Cyrl-CS"/>
              </w:rPr>
            </w:pPr>
            <w:r w:rsidRPr="00092ED7">
              <w:rPr>
                <w:sz w:val="20"/>
                <w:szCs w:val="20"/>
                <w:lang w:val="sr-Cyrl-CS"/>
              </w:rPr>
              <w:t>Фискални стимулус - подстицај домаћој тражњи</w:t>
            </w:r>
          </w:p>
        </w:tc>
        <w:tc>
          <w:tcPr>
            <w:tcW w:w="1560" w:type="dxa"/>
            <w:tcBorders>
              <w:top w:val="nil"/>
              <w:left w:val="nil"/>
              <w:bottom w:val="dotted" w:sz="4" w:space="0" w:color="auto"/>
              <w:right w:val="single" w:sz="4" w:space="0" w:color="auto"/>
            </w:tcBorders>
            <w:shd w:val="clear" w:color="auto" w:fill="auto"/>
            <w:noWrap/>
            <w:vAlign w:val="center"/>
            <w:hideMark/>
          </w:tcPr>
          <w:p w14:paraId="7491A653" w14:textId="77777777" w:rsidR="00247CBF" w:rsidRPr="00092ED7" w:rsidRDefault="00247CBF" w:rsidP="00247CBF">
            <w:pPr>
              <w:spacing w:after="0"/>
              <w:jc w:val="center"/>
              <w:rPr>
                <w:sz w:val="20"/>
                <w:szCs w:val="20"/>
                <w:lang w:val="sr-Cyrl-CS"/>
              </w:rPr>
            </w:pPr>
            <w:r w:rsidRPr="00092ED7">
              <w:rPr>
                <w:sz w:val="20"/>
                <w:szCs w:val="20"/>
                <w:lang w:val="sr-Cyrl-CS"/>
              </w:rPr>
              <w:t>D7</w:t>
            </w:r>
          </w:p>
        </w:tc>
        <w:tc>
          <w:tcPr>
            <w:tcW w:w="1126" w:type="dxa"/>
            <w:tcBorders>
              <w:top w:val="nil"/>
              <w:left w:val="single" w:sz="4" w:space="0" w:color="auto"/>
              <w:bottom w:val="dotted" w:sz="4" w:space="0" w:color="auto"/>
              <w:right w:val="single" w:sz="8" w:space="0" w:color="auto"/>
            </w:tcBorders>
            <w:shd w:val="clear" w:color="auto" w:fill="auto"/>
            <w:vAlign w:val="center"/>
          </w:tcPr>
          <w:p w14:paraId="12A6AF26" w14:textId="77777777" w:rsidR="00247CBF" w:rsidRPr="00092ED7" w:rsidRDefault="00247CBF" w:rsidP="00247CBF">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1F99F4FC" w14:textId="77777777" w:rsidR="00247CBF" w:rsidRPr="00092ED7" w:rsidRDefault="00247CBF" w:rsidP="00247CBF">
            <w:pPr>
              <w:spacing w:after="0"/>
              <w:jc w:val="right"/>
              <w:rPr>
                <w:sz w:val="20"/>
                <w:szCs w:val="20"/>
                <w:lang w:val="sr-Cyrl-CS"/>
              </w:rPr>
            </w:pPr>
            <w:r w:rsidRPr="00092ED7">
              <w:rPr>
                <w:sz w:val="20"/>
                <w:szCs w:val="20"/>
                <w:lang w:val="sr-Cyrl-CS"/>
              </w:rPr>
              <w:t>0,2</w:t>
            </w:r>
          </w:p>
        </w:tc>
        <w:tc>
          <w:tcPr>
            <w:tcW w:w="970" w:type="dxa"/>
            <w:tcBorders>
              <w:top w:val="nil"/>
              <w:left w:val="single" w:sz="4" w:space="0" w:color="auto"/>
              <w:bottom w:val="dotted" w:sz="4" w:space="0" w:color="auto"/>
              <w:right w:val="nil"/>
            </w:tcBorders>
            <w:shd w:val="clear" w:color="auto" w:fill="auto"/>
            <w:noWrap/>
            <w:vAlign w:val="center"/>
            <w:hideMark/>
          </w:tcPr>
          <w:p w14:paraId="70583984"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03A37238"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30618C29"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294AD51E"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218C627D"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14BA10B0" w14:textId="77777777" w:rsidR="00247CBF" w:rsidRPr="00092ED7" w:rsidRDefault="00247CBF" w:rsidP="00247CBF">
            <w:pPr>
              <w:spacing w:after="0"/>
              <w:jc w:val="left"/>
              <w:rPr>
                <w:sz w:val="20"/>
                <w:szCs w:val="20"/>
                <w:lang w:val="sr-Cyrl-CS"/>
              </w:rPr>
            </w:pPr>
            <w:r w:rsidRPr="00092ED7">
              <w:rPr>
                <w:sz w:val="20"/>
                <w:szCs w:val="20"/>
                <w:lang w:val="sr-Cyrl-CS"/>
              </w:rPr>
              <w:t>Мораторијум на исплату дивиденди</w:t>
            </w:r>
          </w:p>
        </w:tc>
        <w:tc>
          <w:tcPr>
            <w:tcW w:w="1560" w:type="dxa"/>
            <w:tcBorders>
              <w:top w:val="nil"/>
              <w:left w:val="nil"/>
              <w:bottom w:val="dotted" w:sz="4" w:space="0" w:color="auto"/>
              <w:right w:val="single" w:sz="4" w:space="0" w:color="auto"/>
            </w:tcBorders>
            <w:shd w:val="clear" w:color="auto" w:fill="auto"/>
            <w:noWrap/>
            <w:vAlign w:val="center"/>
            <w:hideMark/>
          </w:tcPr>
          <w:p w14:paraId="411EE211" w14:textId="77777777" w:rsidR="00247CBF" w:rsidRPr="00092ED7" w:rsidRDefault="00247CBF" w:rsidP="00247CBF">
            <w:pPr>
              <w:spacing w:after="0"/>
              <w:jc w:val="center"/>
              <w:rPr>
                <w:sz w:val="20"/>
                <w:szCs w:val="20"/>
                <w:lang w:val="sr-Cyrl-CS"/>
              </w:rPr>
            </w:pPr>
            <w:r w:rsidRPr="00092ED7">
              <w:rPr>
                <w:sz w:val="20"/>
                <w:szCs w:val="20"/>
                <w:lang w:val="sr-Cyrl-CS"/>
              </w:rPr>
              <w:t>D5</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58D36D82" w14:textId="77777777" w:rsidR="00247CBF" w:rsidRPr="00092ED7" w:rsidRDefault="00247CBF" w:rsidP="00247CBF">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421CEB1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6A72D905"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52FC7998"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3AD1A1D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1739DAD2"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46197E11"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21AB11BB" w14:textId="77777777" w:rsidR="00247CBF" w:rsidRPr="00092ED7" w:rsidRDefault="00247CBF" w:rsidP="00247CBF">
            <w:pPr>
              <w:spacing w:after="0"/>
              <w:jc w:val="left"/>
              <w:rPr>
                <w:sz w:val="20"/>
                <w:szCs w:val="20"/>
                <w:lang w:val="sr-Cyrl-CS"/>
              </w:rPr>
            </w:pPr>
            <w:r w:rsidRPr="00092ED7">
              <w:rPr>
                <w:sz w:val="20"/>
                <w:szCs w:val="20"/>
                <w:lang w:val="sr-Cyrl-CS"/>
              </w:rPr>
              <w:t>Помоћ пензионерима</w:t>
            </w:r>
          </w:p>
        </w:tc>
        <w:tc>
          <w:tcPr>
            <w:tcW w:w="1560" w:type="dxa"/>
            <w:tcBorders>
              <w:top w:val="nil"/>
              <w:left w:val="nil"/>
              <w:bottom w:val="dotted" w:sz="4" w:space="0" w:color="auto"/>
              <w:right w:val="single" w:sz="4" w:space="0" w:color="auto"/>
            </w:tcBorders>
            <w:shd w:val="clear" w:color="auto" w:fill="auto"/>
            <w:noWrap/>
            <w:vAlign w:val="center"/>
            <w:hideMark/>
          </w:tcPr>
          <w:p w14:paraId="3AD3EEE0" w14:textId="77777777" w:rsidR="00247CBF" w:rsidRPr="00092ED7" w:rsidRDefault="00247CBF" w:rsidP="00247CBF">
            <w:pPr>
              <w:spacing w:after="0"/>
              <w:jc w:val="center"/>
              <w:rPr>
                <w:sz w:val="20"/>
                <w:szCs w:val="20"/>
                <w:lang w:val="sr-Cyrl-CS"/>
              </w:rPr>
            </w:pPr>
            <w:r w:rsidRPr="00092ED7">
              <w:rPr>
                <w:sz w:val="20"/>
                <w:szCs w:val="20"/>
                <w:lang w:val="sr-Cyrl-CS"/>
              </w:rPr>
              <w:t>D62</w:t>
            </w:r>
          </w:p>
        </w:tc>
        <w:tc>
          <w:tcPr>
            <w:tcW w:w="1126" w:type="dxa"/>
            <w:tcBorders>
              <w:top w:val="nil"/>
              <w:left w:val="single" w:sz="4" w:space="0" w:color="auto"/>
              <w:bottom w:val="dotted" w:sz="4" w:space="0" w:color="auto"/>
              <w:right w:val="single" w:sz="8" w:space="0" w:color="auto"/>
            </w:tcBorders>
            <w:shd w:val="clear" w:color="auto" w:fill="auto"/>
            <w:vAlign w:val="center"/>
          </w:tcPr>
          <w:p w14:paraId="6F7FED33" w14:textId="77777777" w:rsidR="00247CBF" w:rsidRPr="00092ED7" w:rsidRDefault="00247CBF" w:rsidP="00247CBF">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19BBB7F6" w14:textId="77777777" w:rsidR="00247CBF" w:rsidRPr="00092ED7" w:rsidRDefault="00247CBF" w:rsidP="00247CBF">
            <w:pPr>
              <w:spacing w:after="0"/>
              <w:jc w:val="right"/>
              <w:rPr>
                <w:sz w:val="20"/>
                <w:szCs w:val="20"/>
                <w:lang w:val="sr-Cyrl-CS"/>
              </w:rPr>
            </w:pPr>
            <w:r w:rsidRPr="00092ED7">
              <w:rPr>
                <w:sz w:val="20"/>
                <w:szCs w:val="20"/>
                <w:lang w:val="sr-Cyrl-CS"/>
              </w:rPr>
              <w:t>0,1</w:t>
            </w:r>
          </w:p>
        </w:tc>
        <w:tc>
          <w:tcPr>
            <w:tcW w:w="970" w:type="dxa"/>
            <w:tcBorders>
              <w:top w:val="nil"/>
              <w:left w:val="single" w:sz="4" w:space="0" w:color="auto"/>
              <w:bottom w:val="dotted" w:sz="4" w:space="0" w:color="auto"/>
              <w:right w:val="nil"/>
            </w:tcBorders>
            <w:shd w:val="clear" w:color="auto" w:fill="auto"/>
            <w:noWrap/>
            <w:vAlign w:val="center"/>
            <w:hideMark/>
          </w:tcPr>
          <w:p w14:paraId="518D2AB6" w14:textId="77777777" w:rsidR="00247CBF" w:rsidRPr="00092ED7" w:rsidRDefault="00247CBF" w:rsidP="00247CBF">
            <w:pPr>
              <w:spacing w:after="0"/>
              <w:jc w:val="right"/>
              <w:rPr>
                <w:sz w:val="20"/>
                <w:szCs w:val="20"/>
                <w:lang w:val="sr-Cyrl-CS"/>
              </w:rPr>
            </w:pPr>
            <w:r w:rsidRPr="00092ED7">
              <w:rPr>
                <w:sz w:val="20"/>
                <w:szCs w:val="20"/>
                <w:lang w:val="sr-Cyrl-CS"/>
              </w:rPr>
              <w:t>-0,3</w:t>
            </w:r>
          </w:p>
        </w:tc>
        <w:tc>
          <w:tcPr>
            <w:tcW w:w="970" w:type="dxa"/>
            <w:tcBorders>
              <w:top w:val="nil"/>
              <w:left w:val="single" w:sz="4" w:space="0" w:color="auto"/>
              <w:bottom w:val="dotted" w:sz="4" w:space="0" w:color="auto"/>
              <w:right w:val="nil"/>
            </w:tcBorders>
            <w:shd w:val="clear" w:color="auto" w:fill="auto"/>
            <w:noWrap/>
            <w:vAlign w:val="center"/>
            <w:hideMark/>
          </w:tcPr>
          <w:p w14:paraId="2FAC79DC"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06CBBC6D"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51084A5C"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22AEEAA5" w14:textId="77777777" w:rsidTr="00FB09AE">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5B06396D" w14:textId="77777777" w:rsidR="00247CBF" w:rsidRPr="00092ED7" w:rsidRDefault="00247CBF" w:rsidP="00FB09AE">
            <w:pPr>
              <w:spacing w:after="0"/>
              <w:rPr>
                <w:sz w:val="20"/>
                <w:szCs w:val="20"/>
                <w:lang w:val="sr-Cyrl-CS"/>
              </w:rPr>
            </w:pPr>
            <w:r w:rsidRPr="00092ED7">
              <w:rPr>
                <w:sz w:val="20"/>
                <w:szCs w:val="20"/>
                <w:lang w:val="sr-Cyrl-CS"/>
              </w:rPr>
              <w:t>Помоћ незапосленима</w:t>
            </w:r>
          </w:p>
        </w:tc>
        <w:tc>
          <w:tcPr>
            <w:tcW w:w="1560" w:type="dxa"/>
            <w:tcBorders>
              <w:top w:val="nil"/>
              <w:left w:val="nil"/>
              <w:bottom w:val="dotted" w:sz="4" w:space="0" w:color="auto"/>
              <w:right w:val="single" w:sz="4" w:space="0" w:color="auto"/>
            </w:tcBorders>
            <w:shd w:val="clear" w:color="auto" w:fill="auto"/>
            <w:noWrap/>
            <w:vAlign w:val="center"/>
            <w:hideMark/>
          </w:tcPr>
          <w:p w14:paraId="18D5EFFA" w14:textId="77777777" w:rsidR="00247CBF" w:rsidRPr="00092ED7" w:rsidRDefault="00247CBF" w:rsidP="00FB09AE">
            <w:pPr>
              <w:spacing w:after="0"/>
              <w:jc w:val="center"/>
              <w:rPr>
                <w:sz w:val="20"/>
                <w:szCs w:val="20"/>
                <w:lang w:val="sr-Cyrl-CS"/>
              </w:rPr>
            </w:pPr>
            <w:r w:rsidRPr="00092ED7">
              <w:rPr>
                <w:sz w:val="20"/>
                <w:szCs w:val="20"/>
                <w:lang w:val="sr-Cyrl-CS"/>
              </w:rPr>
              <w:t>D63</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62641A71" w14:textId="77777777" w:rsidR="00247CBF" w:rsidRPr="00092ED7" w:rsidRDefault="00247CBF" w:rsidP="00FB09AE">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35574BF9" w14:textId="77777777" w:rsidR="00247CBF" w:rsidRPr="00092ED7" w:rsidRDefault="00247CBF" w:rsidP="00FB09AE">
            <w:pPr>
              <w:spacing w:after="0"/>
              <w:jc w:val="right"/>
              <w:rPr>
                <w:sz w:val="20"/>
                <w:szCs w:val="20"/>
                <w:lang w:val="sr-Cyrl-CS"/>
              </w:rPr>
            </w:pPr>
            <w:r w:rsidRPr="00092ED7">
              <w:rPr>
                <w:sz w:val="20"/>
                <w:szCs w:val="20"/>
                <w:lang w:val="sr-Cyrl-CS"/>
              </w:rPr>
              <w:t>-0,1</w:t>
            </w:r>
          </w:p>
        </w:tc>
        <w:tc>
          <w:tcPr>
            <w:tcW w:w="970" w:type="dxa"/>
            <w:tcBorders>
              <w:top w:val="nil"/>
              <w:left w:val="single" w:sz="4" w:space="0" w:color="auto"/>
              <w:bottom w:val="dotted" w:sz="4" w:space="0" w:color="auto"/>
              <w:right w:val="nil"/>
            </w:tcBorders>
            <w:shd w:val="clear" w:color="auto" w:fill="auto"/>
            <w:noWrap/>
            <w:vAlign w:val="center"/>
            <w:hideMark/>
          </w:tcPr>
          <w:p w14:paraId="710A7103"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389E6CF6"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30C6F05C"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5AFFCED7" w14:textId="77777777" w:rsidR="00247CBF" w:rsidRPr="00092ED7" w:rsidRDefault="00247CBF" w:rsidP="00FB09AE">
            <w:pPr>
              <w:spacing w:after="0"/>
              <w:jc w:val="right"/>
              <w:rPr>
                <w:sz w:val="20"/>
                <w:szCs w:val="20"/>
                <w:lang w:val="sr-Cyrl-CS"/>
              </w:rPr>
            </w:pPr>
            <w:r w:rsidRPr="00092ED7">
              <w:rPr>
                <w:sz w:val="20"/>
                <w:szCs w:val="20"/>
                <w:lang w:val="sr-Cyrl-CS"/>
              </w:rPr>
              <w:t>:</w:t>
            </w:r>
          </w:p>
        </w:tc>
      </w:tr>
      <w:tr w:rsidR="00247CBF" w:rsidRPr="00092ED7" w14:paraId="510C0707" w14:textId="77777777" w:rsidTr="00FB09AE">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2B6C7BEF" w14:textId="77777777" w:rsidR="00247CBF" w:rsidRPr="00092ED7" w:rsidRDefault="00247CBF" w:rsidP="00FB09AE">
            <w:pPr>
              <w:spacing w:after="0"/>
              <w:rPr>
                <w:sz w:val="20"/>
                <w:szCs w:val="20"/>
                <w:lang w:val="sr-Cyrl-CS"/>
              </w:rPr>
            </w:pPr>
            <w:r w:rsidRPr="00092ED7">
              <w:rPr>
                <w:sz w:val="20"/>
                <w:szCs w:val="20"/>
                <w:lang w:val="sr-Cyrl-CS"/>
              </w:rPr>
              <w:t>Помоћ младима</w:t>
            </w:r>
          </w:p>
        </w:tc>
        <w:tc>
          <w:tcPr>
            <w:tcW w:w="1560" w:type="dxa"/>
            <w:tcBorders>
              <w:top w:val="nil"/>
              <w:left w:val="nil"/>
              <w:bottom w:val="dotted" w:sz="4" w:space="0" w:color="auto"/>
              <w:right w:val="single" w:sz="4" w:space="0" w:color="auto"/>
            </w:tcBorders>
            <w:shd w:val="clear" w:color="auto" w:fill="auto"/>
            <w:noWrap/>
            <w:vAlign w:val="center"/>
            <w:hideMark/>
          </w:tcPr>
          <w:p w14:paraId="7BDB37F1" w14:textId="77777777" w:rsidR="00247CBF" w:rsidRPr="00092ED7" w:rsidRDefault="00247CBF" w:rsidP="00FB09AE">
            <w:pPr>
              <w:spacing w:after="0"/>
              <w:jc w:val="center"/>
              <w:rPr>
                <w:sz w:val="20"/>
                <w:szCs w:val="20"/>
                <w:lang w:val="sr-Cyrl-CS"/>
              </w:rPr>
            </w:pPr>
            <w:r w:rsidRPr="00092ED7">
              <w:rPr>
                <w:sz w:val="20"/>
                <w:szCs w:val="20"/>
                <w:lang w:val="sr-Cyrl-CS"/>
              </w:rPr>
              <w:t>D7</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23FE1AA1" w14:textId="77777777" w:rsidR="00247CBF" w:rsidRPr="00092ED7" w:rsidRDefault="00247CBF" w:rsidP="00FB09AE">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6650528D"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327BD0AD" w14:textId="77777777" w:rsidR="00247CBF" w:rsidRPr="00092ED7" w:rsidRDefault="00247CBF" w:rsidP="00FB09AE">
            <w:pPr>
              <w:spacing w:after="0"/>
              <w:jc w:val="right"/>
              <w:rPr>
                <w:sz w:val="20"/>
                <w:szCs w:val="20"/>
                <w:lang w:val="sr-Cyrl-CS"/>
              </w:rPr>
            </w:pPr>
            <w:r w:rsidRPr="00092ED7">
              <w:rPr>
                <w:sz w:val="20"/>
                <w:szCs w:val="20"/>
                <w:lang w:val="sr-Cyrl-CS"/>
              </w:rPr>
              <w:t>-0,4</w:t>
            </w:r>
          </w:p>
        </w:tc>
        <w:tc>
          <w:tcPr>
            <w:tcW w:w="970" w:type="dxa"/>
            <w:tcBorders>
              <w:top w:val="nil"/>
              <w:left w:val="single" w:sz="4" w:space="0" w:color="auto"/>
              <w:bottom w:val="dotted" w:sz="4" w:space="0" w:color="auto"/>
              <w:right w:val="nil"/>
            </w:tcBorders>
            <w:shd w:val="clear" w:color="auto" w:fill="auto"/>
            <w:noWrap/>
            <w:vAlign w:val="center"/>
            <w:hideMark/>
          </w:tcPr>
          <w:p w14:paraId="53015470"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7511337C"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2FF12458" w14:textId="77777777" w:rsidR="00247CBF" w:rsidRPr="00092ED7" w:rsidRDefault="00247CBF" w:rsidP="00FB09AE">
            <w:pPr>
              <w:spacing w:after="0"/>
              <w:jc w:val="right"/>
              <w:rPr>
                <w:sz w:val="20"/>
                <w:szCs w:val="20"/>
                <w:lang w:val="sr-Cyrl-CS"/>
              </w:rPr>
            </w:pPr>
            <w:r w:rsidRPr="00092ED7">
              <w:rPr>
                <w:sz w:val="20"/>
                <w:szCs w:val="20"/>
                <w:lang w:val="sr-Cyrl-CS"/>
              </w:rPr>
              <w:t>:</w:t>
            </w:r>
          </w:p>
        </w:tc>
      </w:tr>
      <w:tr w:rsidR="00247CBF" w:rsidRPr="00092ED7" w14:paraId="17DDFA3A" w14:textId="77777777" w:rsidTr="00FB09AE">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5576872F" w14:textId="77777777" w:rsidR="00247CBF" w:rsidRPr="00092ED7" w:rsidRDefault="00247CBF" w:rsidP="00FB09AE">
            <w:pPr>
              <w:spacing w:after="0"/>
              <w:rPr>
                <w:sz w:val="20"/>
                <w:szCs w:val="20"/>
                <w:lang w:val="sr-Cyrl-CS"/>
              </w:rPr>
            </w:pPr>
            <w:r w:rsidRPr="00092ED7">
              <w:rPr>
                <w:sz w:val="20"/>
                <w:szCs w:val="20"/>
                <w:lang w:val="sr-Cyrl-CS"/>
              </w:rPr>
              <w:t>Помоћ запосленима у здравству, просвети и науци</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14:paraId="3F2D08A4" w14:textId="77777777" w:rsidR="00247CBF" w:rsidRPr="00092ED7" w:rsidRDefault="00247CBF" w:rsidP="00FB09AE">
            <w:pPr>
              <w:spacing w:after="0"/>
              <w:jc w:val="center"/>
              <w:rPr>
                <w:sz w:val="20"/>
                <w:szCs w:val="20"/>
                <w:lang w:val="sr-Cyrl-CS"/>
              </w:rPr>
            </w:pPr>
            <w:r w:rsidRPr="00092ED7">
              <w:rPr>
                <w:sz w:val="20"/>
                <w:szCs w:val="20"/>
                <w:lang w:val="sr-Cyrl-CS"/>
              </w:rPr>
              <w:t>D1</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3DB14B01" w14:textId="77777777" w:rsidR="00247CBF" w:rsidRPr="00092ED7" w:rsidRDefault="00247CBF" w:rsidP="00FB09AE">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55972D85"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23BA1E16" w14:textId="77777777" w:rsidR="00247CBF" w:rsidRPr="00092ED7" w:rsidRDefault="00247CBF" w:rsidP="00FB09AE">
            <w:pPr>
              <w:spacing w:after="0"/>
              <w:jc w:val="right"/>
              <w:rPr>
                <w:sz w:val="20"/>
                <w:szCs w:val="20"/>
                <w:lang w:val="sr-Cyrl-CS"/>
              </w:rPr>
            </w:pPr>
            <w:r w:rsidRPr="00092ED7">
              <w:rPr>
                <w:sz w:val="20"/>
                <w:szCs w:val="20"/>
                <w:lang w:val="sr-Cyrl-CS"/>
              </w:rPr>
              <w:t>0,0</w:t>
            </w:r>
          </w:p>
        </w:tc>
        <w:tc>
          <w:tcPr>
            <w:tcW w:w="970" w:type="dxa"/>
            <w:tcBorders>
              <w:top w:val="nil"/>
              <w:left w:val="single" w:sz="4" w:space="0" w:color="auto"/>
              <w:bottom w:val="dotted" w:sz="4" w:space="0" w:color="auto"/>
              <w:right w:val="nil"/>
            </w:tcBorders>
            <w:shd w:val="clear" w:color="auto" w:fill="auto"/>
            <w:noWrap/>
            <w:vAlign w:val="center"/>
            <w:hideMark/>
          </w:tcPr>
          <w:p w14:paraId="3620F282"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290427C4"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1F764912" w14:textId="77777777" w:rsidR="00247CBF" w:rsidRPr="00092ED7" w:rsidRDefault="00247CBF" w:rsidP="00FB09AE">
            <w:pPr>
              <w:spacing w:after="0"/>
              <w:jc w:val="right"/>
              <w:rPr>
                <w:sz w:val="20"/>
                <w:szCs w:val="20"/>
                <w:lang w:val="sr-Cyrl-CS"/>
              </w:rPr>
            </w:pPr>
            <w:r w:rsidRPr="00092ED7">
              <w:rPr>
                <w:sz w:val="20"/>
                <w:szCs w:val="20"/>
                <w:lang w:val="sr-Cyrl-CS"/>
              </w:rPr>
              <w:t>:</w:t>
            </w:r>
          </w:p>
        </w:tc>
      </w:tr>
      <w:tr w:rsidR="00247CBF" w:rsidRPr="00092ED7" w14:paraId="487B9A49" w14:textId="77777777" w:rsidTr="00FB09AE">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39D54FDF" w14:textId="77777777" w:rsidR="00247CBF" w:rsidRPr="00092ED7" w:rsidRDefault="00247CBF" w:rsidP="00FB09AE">
            <w:pPr>
              <w:spacing w:after="0"/>
              <w:rPr>
                <w:sz w:val="20"/>
                <w:szCs w:val="20"/>
                <w:lang w:val="sr-Cyrl-CS"/>
              </w:rPr>
            </w:pPr>
            <w:r w:rsidRPr="00092ED7">
              <w:rPr>
                <w:sz w:val="20"/>
                <w:szCs w:val="20"/>
                <w:lang w:val="sr-Cyrl-CS"/>
              </w:rPr>
              <w:t>Привремено смањење акциза на деривате нафте</w:t>
            </w:r>
          </w:p>
        </w:tc>
        <w:tc>
          <w:tcPr>
            <w:tcW w:w="1560" w:type="dxa"/>
            <w:tcBorders>
              <w:top w:val="nil"/>
              <w:left w:val="nil"/>
              <w:bottom w:val="dotted" w:sz="4" w:space="0" w:color="auto"/>
              <w:right w:val="single" w:sz="4" w:space="0" w:color="auto"/>
            </w:tcBorders>
            <w:shd w:val="clear" w:color="auto" w:fill="auto"/>
            <w:noWrap/>
            <w:vAlign w:val="center"/>
            <w:hideMark/>
          </w:tcPr>
          <w:p w14:paraId="4765FED2" w14:textId="77777777" w:rsidR="00247CBF" w:rsidRPr="00092ED7" w:rsidRDefault="00247CBF" w:rsidP="00FB09AE">
            <w:pPr>
              <w:spacing w:after="0"/>
              <w:jc w:val="center"/>
              <w:rPr>
                <w:sz w:val="20"/>
                <w:szCs w:val="20"/>
                <w:lang w:val="sr-Cyrl-CS"/>
              </w:rPr>
            </w:pPr>
            <w:r w:rsidRPr="00092ED7">
              <w:rPr>
                <w:sz w:val="20"/>
                <w:szCs w:val="20"/>
                <w:lang w:val="sr-Cyrl-CS"/>
              </w:rPr>
              <w:t>D2</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2EED8BD7" w14:textId="77777777" w:rsidR="00247CBF" w:rsidRPr="00092ED7" w:rsidRDefault="00247CBF" w:rsidP="00FB09AE">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6A1A90DE"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183485B8" w14:textId="77777777" w:rsidR="00247CBF" w:rsidRPr="00092ED7" w:rsidRDefault="00247CBF" w:rsidP="00FB09AE">
            <w:pPr>
              <w:spacing w:after="0"/>
              <w:jc w:val="right"/>
              <w:rPr>
                <w:sz w:val="20"/>
                <w:szCs w:val="20"/>
                <w:lang w:val="sr-Cyrl-CS"/>
              </w:rPr>
            </w:pPr>
            <w:r w:rsidRPr="00092ED7">
              <w:rPr>
                <w:sz w:val="20"/>
                <w:szCs w:val="20"/>
                <w:lang w:val="sr-Cyrl-CS"/>
              </w:rPr>
              <w:t>-0,2</w:t>
            </w:r>
          </w:p>
        </w:tc>
        <w:tc>
          <w:tcPr>
            <w:tcW w:w="970" w:type="dxa"/>
            <w:tcBorders>
              <w:top w:val="nil"/>
              <w:left w:val="single" w:sz="4" w:space="0" w:color="auto"/>
              <w:bottom w:val="dotted" w:sz="4" w:space="0" w:color="auto"/>
              <w:right w:val="nil"/>
            </w:tcBorders>
            <w:shd w:val="clear" w:color="auto" w:fill="auto"/>
            <w:noWrap/>
            <w:vAlign w:val="center"/>
            <w:hideMark/>
          </w:tcPr>
          <w:p w14:paraId="31FA9AFE" w14:textId="77777777" w:rsidR="00247CBF" w:rsidRPr="00092ED7" w:rsidRDefault="00247CBF" w:rsidP="00FB09AE">
            <w:pPr>
              <w:spacing w:after="0"/>
              <w:jc w:val="right"/>
              <w:rPr>
                <w:sz w:val="20"/>
                <w:szCs w:val="20"/>
                <w:lang w:val="sr-Cyrl-CS"/>
              </w:rPr>
            </w:pPr>
            <w:r w:rsidRPr="00092ED7">
              <w:rPr>
                <w:sz w:val="20"/>
                <w:szCs w:val="20"/>
                <w:lang w:val="sr-Cyrl-CS"/>
              </w:rPr>
              <w:t>0,0</w:t>
            </w:r>
          </w:p>
        </w:tc>
        <w:tc>
          <w:tcPr>
            <w:tcW w:w="970" w:type="dxa"/>
            <w:tcBorders>
              <w:top w:val="nil"/>
              <w:left w:val="single" w:sz="4" w:space="0" w:color="auto"/>
              <w:bottom w:val="dotted" w:sz="4" w:space="0" w:color="auto"/>
              <w:right w:val="nil"/>
            </w:tcBorders>
            <w:shd w:val="clear" w:color="auto" w:fill="auto"/>
            <w:noWrap/>
            <w:vAlign w:val="center"/>
            <w:hideMark/>
          </w:tcPr>
          <w:p w14:paraId="7618D01F"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30F52AE7" w14:textId="77777777" w:rsidR="00247CBF" w:rsidRPr="00092ED7" w:rsidRDefault="00247CBF" w:rsidP="00FB09AE">
            <w:pPr>
              <w:spacing w:after="0"/>
              <w:jc w:val="right"/>
              <w:rPr>
                <w:sz w:val="20"/>
                <w:szCs w:val="20"/>
                <w:lang w:val="sr-Cyrl-CS"/>
              </w:rPr>
            </w:pPr>
            <w:r w:rsidRPr="00092ED7">
              <w:rPr>
                <w:sz w:val="20"/>
                <w:szCs w:val="20"/>
                <w:lang w:val="sr-Cyrl-CS"/>
              </w:rPr>
              <w:t>:</w:t>
            </w:r>
          </w:p>
        </w:tc>
      </w:tr>
      <w:tr w:rsidR="00FB09AE" w:rsidRPr="00092ED7" w14:paraId="39AC20E1" w14:textId="77777777" w:rsidTr="00FB09AE">
        <w:trPr>
          <w:trHeight w:val="284"/>
        </w:trPr>
        <w:tc>
          <w:tcPr>
            <w:tcW w:w="6214" w:type="dxa"/>
            <w:tcBorders>
              <w:top w:val="dotted" w:sz="4" w:space="0" w:color="auto"/>
              <w:left w:val="double" w:sz="6" w:space="0" w:color="auto"/>
              <w:bottom w:val="single" w:sz="4" w:space="0" w:color="auto"/>
              <w:right w:val="single" w:sz="4" w:space="0" w:color="auto"/>
            </w:tcBorders>
            <w:shd w:val="clear" w:color="auto" w:fill="auto"/>
            <w:vAlign w:val="center"/>
            <w:hideMark/>
          </w:tcPr>
          <w:p w14:paraId="48DACF77" w14:textId="77777777" w:rsidR="00247CBF" w:rsidRPr="00092ED7" w:rsidRDefault="00247CBF" w:rsidP="00FB09AE">
            <w:pPr>
              <w:spacing w:after="0"/>
              <w:rPr>
                <w:sz w:val="20"/>
                <w:szCs w:val="20"/>
                <w:lang w:val="sr-Cyrl-CS"/>
              </w:rPr>
            </w:pPr>
            <w:r w:rsidRPr="00092ED7">
              <w:rPr>
                <w:sz w:val="20"/>
                <w:szCs w:val="20"/>
                <w:lang w:val="sr-Cyrl-CS"/>
              </w:rPr>
              <w:t>:</w:t>
            </w:r>
          </w:p>
        </w:tc>
        <w:tc>
          <w:tcPr>
            <w:tcW w:w="156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0D55E61E" w14:textId="77777777" w:rsidR="00247CBF" w:rsidRPr="00092ED7" w:rsidRDefault="00247CBF" w:rsidP="00FB09AE">
            <w:pPr>
              <w:spacing w:after="0"/>
              <w:jc w:val="center"/>
              <w:rPr>
                <w:sz w:val="20"/>
                <w:szCs w:val="20"/>
                <w:lang w:val="sr-Cyrl-CS"/>
              </w:rPr>
            </w:pPr>
            <w:r w:rsidRPr="00092ED7">
              <w:rPr>
                <w:sz w:val="20"/>
                <w:szCs w:val="20"/>
                <w:lang w:val="sr-Cyrl-CS"/>
              </w:rPr>
              <w:t>:</w:t>
            </w:r>
          </w:p>
        </w:tc>
        <w:tc>
          <w:tcPr>
            <w:tcW w:w="1126" w:type="dxa"/>
            <w:tcBorders>
              <w:top w:val="dotted" w:sz="4" w:space="0" w:color="auto"/>
              <w:left w:val="nil"/>
              <w:bottom w:val="single" w:sz="4" w:space="0" w:color="auto"/>
              <w:right w:val="single" w:sz="8" w:space="0" w:color="auto"/>
            </w:tcBorders>
            <w:shd w:val="clear" w:color="auto" w:fill="auto"/>
            <w:noWrap/>
            <w:vAlign w:val="center"/>
          </w:tcPr>
          <w:p w14:paraId="3369D73A" w14:textId="77777777" w:rsidR="00247CBF" w:rsidRPr="00092ED7" w:rsidRDefault="00247CBF" w:rsidP="00FB09AE">
            <w:pPr>
              <w:spacing w:after="0"/>
              <w:rPr>
                <w:rFonts w:cs="Times New Roman"/>
                <w:sz w:val="20"/>
                <w:szCs w:val="20"/>
                <w:lang w:val="sr-Cyrl-CS"/>
              </w:rPr>
            </w:pPr>
          </w:p>
        </w:tc>
        <w:tc>
          <w:tcPr>
            <w:tcW w:w="939"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7E72AD19"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dotted" w:sz="4" w:space="0" w:color="auto"/>
              <w:left w:val="nil"/>
              <w:bottom w:val="single" w:sz="4" w:space="0" w:color="auto"/>
              <w:right w:val="nil"/>
            </w:tcBorders>
            <w:shd w:val="clear" w:color="auto" w:fill="auto"/>
            <w:noWrap/>
            <w:vAlign w:val="center"/>
            <w:hideMark/>
          </w:tcPr>
          <w:p w14:paraId="1067A0E8"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dotted" w:sz="4" w:space="0" w:color="auto"/>
              <w:left w:val="single" w:sz="4" w:space="0" w:color="auto"/>
              <w:bottom w:val="single" w:sz="4" w:space="0" w:color="auto"/>
              <w:right w:val="nil"/>
            </w:tcBorders>
            <w:shd w:val="clear" w:color="auto" w:fill="auto"/>
            <w:noWrap/>
            <w:vAlign w:val="center"/>
            <w:hideMark/>
          </w:tcPr>
          <w:p w14:paraId="72948B77"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dotted" w:sz="4" w:space="0" w:color="auto"/>
              <w:left w:val="single" w:sz="4" w:space="0" w:color="auto"/>
              <w:bottom w:val="single" w:sz="4" w:space="0" w:color="auto"/>
              <w:right w:val="nil"/>
            </w:tcBorders>
            <w:shd w:val="clear" w:color="auto" w:fill="auto"/>
            <w:noWrap/>
            <w:vAlign w:val="center"/>
            <w:hideMark/>
          </w:tcPr>
          <w:p w14:paraId="47B7545C"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829" w:type="dxa"/>
            <w:tcBorders>
              <w:top w:val="dotted" w:sz="4" w:space="0" w:color="auto"/>
              <w:left w:val="single" w:sz="4" w:space="0" w:color="auto"/>
              <w:bottom w:val="single" w:sz="4" w:space="0" w:color="auto"/>
              <w:right w:val="double" w:sz="6" w:space="0" w:color="auto"/>
            </w:tcBorders>
            <w:shd w:val="clear" w:color="auto" w:fill="auto"/>
            <w:noWrap/>
            <w:vAlign w:val="center"/>
            <w:hideMark/>
          </w:tcPr>
          <w:p w14:paraId="5F2C1846" w14:textId="77777777" w:rsidR="00247CBF" w:rsidRPr="00092ED7" w:rsidRDefault="00247CBF" w:rsidP="00FB09AE">
            <w:pPr>
              <w:spacing w:after="0"/>
              <w:jc w:val="right"/>
              <w:rPr>
                <w:sz w:val="20"/>
                <w:szCs w:val="20"/>
                <w:lang w:val="sr-Cyrl-CS"/>
              </w:rPr>
            </w:pPr>
            <w:r w:rsidRPr="00092ED7">
              <w:rPr>
                <w:sz w:val="20"/>
                <w:szCs w:val="20"/>
                <w:lang w:val="sr-Cyrl-CS"/>
              </w:rPr>
              <w:t>:</w:t>
            </w:r>
          </w:p>
        </w:tc>
      </w:tr>
      <w:tr w:rsidR="00247CBF" w:rsidRPr="00092ED7" w14:paraId="44A775FF" w14:textId="77777777" w:rsidTr="00247CBF">
        <w:trPr>
          <w:trHeight w:val="284"/>
        </w:trPr>
        <w:tc>
          <w:tcPr>
            <w:tcW w:w="8900" w:type="dxa"/>
            <w:gridSpan w:val="3"/>
            <w:tcBorders>
              <w:top w:val="single" w:sz="4" w:space="0" w:color="auto"/>
              <w:left w:val="double" w:sz="6" w:space="0" w:color="auto"/>
              <w:bottom w:val="single" w:sz="8" w:space="0" w:color="auto"/>
              <w:right w:val="single" w:sz="8" w:space="0" w:color="000000"/>
            </w:tcBorders>
            <w:shd w:val="clear" w:color="auto" w:fill="auto"/>
            <w:vAlign w:val="center"/>
            <w:hideMark/>
          </w:tcPr>
          <w:p w14:paraId="1B761D59" w14:textId="77777777" w:rsidR="00247CBF" w:rsidRPr="00092ED7" w:rsidRDefault="00247CBF" w:rsidP="00247CBF">
            <w:pPr>
              <w:spacing w:after="0"/>
              <w:jc w:val="center"/>
              <w:rPr>
                <w:rFonts w:cs="Times New Roman"/>
                <w:b/>
                <w:sz w:val="20"/>
                <w:szCs w:val="20"/>
                <w:lang w:val="sr-Cyrl-CS"/>
              </w:rPr>
            </w:pPr>
            <w:r w:rsidRPr="00092ED7">
              <w:rPr>
                <w:rFonts w:cs="Times New Roman"/>
                <w:b/>
                <w:sz w:val="20"/>
                <w:szCs w:val="20"/>
                <w:lang w:val="sr-Cyrl-CS"/>
              </w:rPr>
              <w:t>Међузбир</w:t>
            </w:r>
          </w:p>
        </w:tc>
        <w:tc>
          <w:tcPr>
            <w:tcW w:w="939" w:type="dxa"/>
            <w:tcBorders>
              <w:top w:val="single" w:sz="4" w:space="0" w:color="auto"/>
              <w:left w:val="nil"/>
              <w:bottom w:val="single" w:sz="8" w:space="0" w:color="auto"/>
              <w:right w:val="single" w:sz="4" w:space="0" w:color="auto"/>
            </w:tcBorders>
            <w:shd w:val="clear" w:color="auto" w:fill="auto"/>
            <w:noWrap/>
            <w:vAlign w:val="center"/>
            <w:hideMark/>
          </w:tcPr>
          <w:p w14:paraId="1D50AF5C" w14:textId="77777777" w:rsidR="00247CBF" w:rsidRPr="00092ED7" w:rsidRDefault="00247CBF" w:rsidP="00247CBF">
            <w:pPr>
              <w:spacing w:after="0"/>
              <w:jc w:val="right"/>
              <w:rPr>
                <w:b/>
                <w:bCs/>
                <w:sz w:val="20"/>
                <w:szCs w:val="20"/>
                <w:lang w:val="sr-Cyrl-CS"/>
              </w:rPr>
            </w:pPr>
            <w:r w:rsidRPr="00092ED7">
              <w:rPr>
                <w:b/>
                <w:bCs/>
                <w:sz w:val="20"/>
                <w:szCs w:val="20"/>
                <w:lang w:val="sr-Cyrl-CS"/>
              </w:rPr>
              <w:t>1,5</w:t>
            </w:r>
          </w:p>
        </w:tc>
        <w:tc>
          <w:tcPr>
            <w:tcW w:w="970" w:type="dxa"/>
            <w:tcBorders>
              <w:top w:val="single" w:sz="4" w:space="0" w:color="auto"/>
              <w:left w:val="nil"/>
              <w:bottom w:val="single" w:sz="8" w:space="0" w:color="auto"/>
              <w:right w:val="nil"/>
            </w:tcBorders>
            <w:shd w:val="clear" w:color="auto" w:fill="auto"/>
            <w:noWrap/>
            <w:vAlign w:val="center"/>
            <w:hideMark/>
          </w:tcPr>
          <w:p w14:paraId="3B640F99" w14:textId="77777777" w:rsidR="00247CBF" w:rsidRPr="00092ED7" w:rsidRDefault="00247CBF" w:rsidP="00247CBF">
            <w:pPr>
              <w:spacing w:after="0"/>
              <w:jc w:val="right"/>
              <w:rPr>
                <w:b/>
                <w:bCs/>
                <w:sz w:val="20"/>
                <w:szCs w:val="20"/>
                <w:lang w:val="sr-Cyrl-CS"/>
              </w:rPr>
            </w:pPr>
            <w:r w:rsidRPr="00092ED7">
              <w:rPr>
                <w:b/>
                <w:bCs/>
                <w:sz w:val="20"/>
                <w:szCs w:val="20"/>
                <w:lang w:val="sr-Cyrl-CS"/>
              </w:rPr>
              <w:t>-0,9</w:t>
            </w:r>
          </w:p>
        </w:tc>
        <w:tc>
          <w:tcPr>
            <w:tcW w:w="970" w:type="dxa"/>
            <w:tcBorders>
              <w:top w:val="single" w:sz="4" w:space="0" w:color="auto"/>
              <w:left w:val="single" w:sz="4" w:space="0" w:color="auto"/>
              <w:bottom w:val="single" w:sz="8" w:space="0" w:color="auto"/>
              <w:right w:val="nil"/>
            </w:tcBorders>
            <w:shd w:val="clear" w:color="auto" w:fill="auto"/>
            <w:noWrap/>
            <w:vAlign w:val="center"/>
            <w:hideMark/>
          </w:tcPr>
          <w:p w14:paraId="08B73CBF" w14:textId="77777777" w:rsidR="00247CBF" w:rsidRPr="00092ED7" w:rsidRDefault="00247CBF" w:rsidP="00247CBF">
            <w:pPr>
              <w:spacing w:after="0"/>
              <w:jc w:val="right"/>
              <w:rPr>
                <w:b/>
                <w:bCs/>
                <w:sz w:val="20"/>
                <w:szCs w:val="20"/>
                <w:lang w:val="sr-Cyrl-CS"/>
              </w:rPr>
            </w:pPr>
            <w:r w:rsidRPr="00092ED7">
              <w:rPr>
                <w:b/>
                <w:bCs/>
                <w:sz w:val="20"/>
                <w:szCs w:val="20"/>
                <w:lang w:val="sr-Cyrl-CS"/>
              </w:rPr>
              <w:t>0,0</w:t>
            </w:r>
          </w:p>
        </w:tc>
        <w:tc>
          <w:tcPr>
            <w:tcW w:w="970" w:type="dxa"/>
            <w:tcBorders>
              <w:top w:val="single" w:sz="4" w:space="0" w:color="auto"/>
              <w:left w:val="single" w:sz="4" w:space="0" w:color="auto"/>
              <w:bottom w:val="single" w:sz="8" w:space="0" w:color="auto"/>
              <w:right w:val="nil"/>
            </w:tcBorders>
            <w:shd w:val="clear" w:color="auto" w:fill="auto"/>
            <w:noWrap/>
            <w:vAlign w:val="center"/>
            <w:hideMark/>
          </w:tcPr>
          <w:p w14:paraId="78A22EE5" w14:textId="77777777" w:rsidR="00247CBF" w:rsidRPr="00092ED7" w:rsidRDefault="00247CBF" w:rsidP="00247CBF">
            <w:pPr>
              <w:spacing w:after="0"/>
              <w:jc w:val="right"/>
              <w:rPr>
                <w:b/>
                <w:bCs/>
                <w:sz w:val="20"/>
                <w:szCs w:val="20"/>
                <w:lang w:val="sr-Cyrl-CS"/>
              </w:rPr>
            </w:pPr>
            <w:r w:rsidRPr="00092ED7">
              <w:rPr>
                <w:b/>
                <w:bCs/>
                <w:sz w:val="20"/>
                <w:szCs w:val="20"/>
                <w:lang w:val="sr-Cyrl-CS"/>
              </w:rPr>
              <w:t>0,0</w:t>
            </w:r>
          </w:p>
        </w:tc>
        <w:tc>
          <w:tcPr>
            <w:tcW w:w="829" w:type="dxa"/>
            <w:tcBorders>
              <w:top w:val="single" w:sz="4" w:space="0" w:color="auto"/>
              <w:left w:val="single" w:sz="4" w:space="0" w:color="auto"/>
              <w:bottom w:val="single" w:sz="8" w:space="0" w:color="auto"/>
              <w:right w:val="double" w:sz="6" w:space="0" w:color="auto"/>
            </w:tcBorders>
            <w:shd w:val="clear" w:color="auto" w:fill="auto"/>
            <w:noWrap/>
            <w:vAlign w:val="center"/>
            <w:hideMark/>
          </w:tcPr>
          <w:p w14:paraId="00EDFA49" w14:textId="77777777" w:rsidR="00247CBF" w:rsidRPr="00092ED7" w:rsidRDefault="00247CBF" w:rsidP="00247CBF">
            <w:pPr>
              <w:spacing w:after="0"/>
              <w:jc w:val="right"/>
              <w:rPr>
                <w:b/>
                <w:bCs/>
                <w:sz w:val="20"/>
                <w:szCs w:val="20"/>
                <w:lang w:val="sr-Cyrl-CS"/>
              </w:rPr>
            </w:pPr>
            <w:r w:rsidRPr="00092ED7">
              <w:rPr>
                <w:b/>
                <w:bCs/>
                <w:sz w:val="20"/>
                <w:szCs w:val="20"/>
                <w:lang w:val="sr-Cyrl-CS"/>
              </w:rPr>
              <w:t>0,0</w:t>
            </w:r>
          </w:p>
        </w:tc>
      </w:tr>
      <w:tr w:rsidR="00247CBF" w:rsidRPr="00092ED7" w14:paraId="5685B36C" w14:textId="77777777" w:rsidTr="00247CBF">
        <w:trPr>
          <w:trHeight w:val="284"/>
        </w:trPr>
        <w:tc>
          <w:tcPr>
            <w:tcW w:w="6214" w:type="dxa"/>
            <w:tcBorders>
              <w:top w:val="nil"/>
              <w:left w:val="double" w:sz="6" w:space="0" w:color="auto"/>
              <w:bottom w:val="nil"/>
              <w:right w:val="single" w:sz="4" w:space="0" w:color="auto"/>
            </w:tcBorders>
            <w:shd w:val="clear" w:color="auto" w:fill="auto"/>
            <w:vAlign w:val="center"/>
            <w:hideMark/>
          </w:tcPr>
          <w:p w14:paraId="6766894F" w14:textId="77777777" w:rsidR="00247CBF" w:rsidRPr="00092ED7" w:rsidRDefault="00247CBF" w:rsidP="00247CBF">
            <w:pPr>
              <w:spacing w:after="0"/>
              <w:rPr>
                <w:rFonts w:cs="Times New Roman"/>
                <w:sz w:val="20"/>
                <w:szCs w:val="20"/>
                <w:lang w:val="sr-Cyrl-CS"/>
              </w:rPr>
            </w:pPr>
            <w:r w:rsidRPr="00092ED7">
              <w:rPr>
                <w:rFonts w:cs="Times New Roman"/>
                <w:i/>
                <w:iCs/>
                <w:sz w:val="20"/>
                <w:szCs w:val="20"/>
                <w:lang w:val="sr-Cyrl-CS"/>
              </w:rPr>
              <w:t>Мере које нису привремене</w:t>
            </w:r>
            <w:r w:rsidRPr="00092ED7">
              <w:rPr>
                <w:rFonts w:cs="Times New Roman"/>
                <w:sz w:val="20"/>
                <w:szCs w:val="20"/>
                <w:vertAlign w:val="superscript"/>
                <w:lang w:val="sr-Cyrl-CS"/>
              </w:rPr>
              <w:t>1</w:t>
            </w:r>
          </w:p>
        </w:tc>
        <w:tc>
          <w:tcPr>
            <w:tcW w:w="1560" w:type="dxa"/>
            <w:tcBorders>
              <w:top w:val="nil"/>
              <w:left w:val="nil"/>
              <w:bottom w:val="nil"/>
              <w:right w:val="single" w:sz="4" w:space="0" w:color="auto"/>
            </w:tcBorders>
            <w:shd w:val="clear" w:color="auto" w:fill="auto"/>
            <w:noWrap/>
            <w:vAlign w:val="center"/>
          </w:tcPr>
          <w:p w14:paraId="63AE808D" w14:textId="77777777" w:rsidR="00247CBF" w:rsidRPr="00092ED7" w:rsidRDefault="00247CBF" w:rsidP="00247CBF">
            <w:pPr>
              <w:spacing w:after="0"/>
              <w:rPr>
                <w:rFonts w:cs="Times New Roman"/>
                <w:sz w:val="20"/>
                <w:szCs w:val="20"/>
                <w:lang w:val="sr-Cyrl-CS"/>
              </w:rPr>
            </w:pPr>
          </w:p>
        </w:tc>
        <w:tc>
          <w:tcPr>
            <w:tcW w:w="1126" w:type="dxa"/>
            <w:tcBorders>
              <w:top w:val="nil"/>
              <w:left w:val="single" w:sz="4" w:space="0" w:color="auto"/>
              <w:bottom w:val="single" w:sz="4" w:space="0" w:color="auto"/>
              <w:right w:val="single" w:sz="8" w:space="0" w:color="auto"/>
            </w:tcBorders>
            <w:shd w:val="clear" w:color="auto" w:fill="auto"/>
            <w:noWrap/>
            <w:vAlign w:val="center"/>
          </w:tcPr>
          <w:p w14:paraId="38868DCB" w14:textId="77777777" w:rsidR="00247CBF" w:rsidRPr="00092ED7" w:rsidRDefault="00247CBF" w:rsidP="00247CBF">
            <w:pPr>
              <w:spacing w:after="0"/>
              <w:rPr>
                <w:rFonts w:cs="Times New Roman"/>
                <w:sz w:val="20"/>
                <w:szCs w:val="20"/>
                <w:lang w:val="sr-Cyrl-CS"/>
              </w:rPr>
            </w:pPr>
          </w:p>
        </w:tc>
        <w:tc>
          <w:tcPr>
            <w:tcW w:w="939" w:type="dxa"/>
            <w:tcBorders>
              <w:top w:val="nil"/>
              <w:left w:val="nil"/>
              <w:bottom w:val="nil"/>
              <w:right w:val="single" w:sz="4" w:space="0" w:color="auto"/>
            </w:tcBorders>
            <w:shd w:val="clear" w:color="auto" w:fill="auto"/>
            <w:noWrap/>
            <w:vAlign w:val="center"/>
          </w:tcPr>
          <w:p w14:paraId="1CFA8628" w14:textId="77777777" w:rsidR="00247CBF" w:rsidRPr="00092ED7" w:rsidRDefault="00247CBF" w:rsidP="00247CBF">
            <w:pPr>
              <w:spacing w:after="0"/>
              <w:rPr>
                <w:rFonts w:cs="Times New Roman"/>
                <w:sz w:val="20"/>
                <w:szCs w:val="20"/>
                <w:lang w:val="sr-Cyrl-CS"/>
              </w:rPr>
            </w:pPr>
          </w:p>
        </w:tc>
        <w:tc>
          <w:tcPr>
            <w:tcW w:w="970" w:type="dxa"/>
            <w:tcBorders>
              <w:top w:val="nil"/>
              <w:left w:val="single" w:sz="4" w:space="0" w:color="auto"/>
              <w:bottom w:val="nil"/>
              <w:right w:val="nil"/>
            </w:tcBorders>
            <w:shd w:val="clear" w:color="auto" w:fill="auto"/>
            <w:noWrap/>
            <w:vAlign w:val="center"/>
          </w:tcPr>
          <w:p w14:paraId="51F9651A" w14:textId="77777777" w:rsidR="00247CBF" w:rsidRPr="00092ED7" w:rsidRDefault="00247CBF" w:rsidP="00247CBF">
            <w:pPr>
              <w:spacing w:after="0"/>
              <w:rPr>
                <w:rFonts w:cs="Times New Roman"/>
                <w:sz w:val="20"/>
                <w:szCs w:val="20"/>
                <w:lang w:val="sr-Cyrl-CS"/>
              </w:rPr>
            </w:pPr>
          </w:p>
        </w:tc>
        <w:tc>
          <w:tcPr>
            <w:tcW w:w="970" w:type="dxa"/>
            <w:tcBorders>
              <w:top w:val="nil"/>
              <w:left w:val="single" w:sz="4" w:space="0" w:color="auto"/>
              <w:bottom w:val="nil"/>
              <w:right w:val="nil"/>
            </w:tcBorders>
            <w:shd w:val="clear" w:color="auto" w:fill="auto"/>
            <w:noWrap/>
            <w:vAlign w:val="center"/>
          </w:tcPr>
          <w:p w14:paraId="67A8759A" w14:textId="77777777" w:rsidR="00247CBF" w:rsidRPr="00092ED7" w:rsidRDefault="00247CBF" w:rsidP="00247CBF">
            <w:pPr>
              <w:spacing w:after="0"/>
              <w:rPr>
                <w:rFonts w:cs="Times New Roman"/>
                <w:sz w:val="20"/>
                <w:szCs w:val="20"/>
                <w:lang w:val="sr-Cyrl-CS"/>
              </w:rPr>
            </w:pPr>
          </w:p>
        </w:tc>
        <w:tc>
          <w:tcPr>
            <w:tcW w:w="970" w:type="dxa"/>
            <w:tcBorders>
              <w:top w:val="nil"/>
              <w:left w:val="single" w:sz="4" w:space="0" w:color="auto"/>
              <w:bottom w:val="nil"/>
              <w:right w:val="nil"/>
            </w:tcBorders>
            <w:shd w:val="clear" w:color="auto" w:fill="auto"/>
            <w:noWrap/>
            <w:vAlign w:val="center"/>
          </w:tcPr>
          <w:p w14:paraId="44B48902" w14:textId="77777777" w:rsidR="00247CBF" w:rsidRPr="00092ED7" w:rsidRDefault="00247CBF" w:rsidP="00247CBF">
            <w:pPr>
              <w:spacing w:after="0"/>
              <w:rPr>
                <w:rFonts w:cs="Times New Roman"/>
                <w:sz w:val="20"/>
                <w:szCs w:val="20"/>
                <w:lang w:val="sr-Cyrl-CS"/>
              </w:rPr>
            </w:pPr>
          </w:p>
        </w:tc>
        <w:tc>
          <w:tcPr>
            <w:tcW w:w="829" w:type="dxa"/>
            <w:tcBorders>
              <w:top w:val="nil"/>
              <w:left w:val="single" w:sz="4" w:space="0" w:color="auto"/>
              <w:bottom w:val="nil"/>
              <w:right w:val="double" w:sz="6" w:space="0" w:color="auto"/>
            </w:tcBorders>
            <w:shd w:val="clear" w:color="auto" w:fill="auto"/>
            <w:noWrap/>
            <w:vAlign w:val="center"/>
          </w:tcPr>
          <w:p w14:paraId="5CF8F96D" w14:textId="77777777" w:rsidR="00247CBF" w:rsidRPr="00092ED7" w:rsidRDefault="00247CBF" w:rsidP="00247CBF">
            <w:pPr>
              <w:spacing w:after="0"/>
              <w:rPr>
                <w:rFonts w:cs="Times New Roman"/>
                <w:sz w:val="20"/>
                <w:szCs w:val="20"/>
                <w:lang w:val="sr-Cyrl-CS"/>
              </w:rPr>
            </w:pPr>
          </w:p>
        </w:tc>
      </w:tr>
      <w:tr w:rsidR="00247CBF" w:rsidRPr="00092ED7" w14:paraId="26227EEE" w14:textId="77777777" w:rsidTr="00247CBF">
        <w:trPr>
          <w:trHeight w:val="284"/>
        </w:trPr>
        <w:tc>
          <w:tcPr>
            <w:tcW w:w="6214" w:type="dxa"/>
            <w:tcBorders>
              <w:top w:val="single" w:sz="4" w:space="0" w:color="auto"/>
              <w:left w:val="double" w:sz="6" w:space="0" w:color="auto"/>
              <w:bottom w:val="dotted" w:sz="4" w:space="0" w:color="auto"/>
              <w:right w:val="single" w:sz="4" w:space="0" w:color="auto"/>
            </w:tcBorders>
            <w:shd w:val="clear" w:color="auto" w:fill="auto"/>
            <w:vAlign w:val="center"/>
            <w:hideMark/>
          </w:tcPr>
          <w:p w14:paraId="6241147E" w14:textId="77777777" w:rsidR="00247CBF" w:rsidRPr="00092ED7" w:rsidRDefault="00247CBF" w:rsidP="00247CBF">
            <w:pPr>
              <w:spacing w:after="0"/>
              <w:jc w:val="left"/>
              <w:rPr>
                <w:sz w:val="20"/>
                <w:lang w:val="sr-Cyrl-CS"/>
              </w:rPr>
            </w:pPr>
            <w:r w:rsidRPr="00092ED7">
              <w:rPr>
                <w:sz w:val="20"/>
                <w:lang w:val="sr-Cyrl-CS"/>
              </w:rPr>
              <w:t>Повећање плата запосленима у здравству</w:t>
            </w:r>
          </w:p>
        </w:tc>
        <w:tc>
          <w:tcPr>
            <w:tcW w:w="1560" w:type="dxa"/>
            <w:tcBorders>
              <w:top w:val="single" w:sz="4" w:space="0" w:color="auto"/>
              <w:left w:val="nil"/>
              <w:bottom w:val="dotted" w:sz="4" w:space="0" w:color="auto"/>
              <w:right w:val="single" w:sz="4" w:space="0" w:color="auto"/>
            </w:tcBorders>
            <w:shd w:val="clear" w:color="auto" w:fill="auto"/>
            <w:noWrap/>
            <w:vAlign w:val="center"/>
            <w:hideMark/>
          </w:tcPr>
          <w:p w14:paraId="75BC12F1" w14:textId="77777777" w:rsidR="00247CBF" w:rsidRPr="00092ED7" w:rsidRDefault="00247CBF" w:rsidP="00247CBF">
            <w:pPr>
              <w:spacing w:after="0"/>
              <w:jc w:val="center"/>
              <w:rPr>
                <w:sz w:val="20"/>
                <w:lang w:val="sr-Cyrl-CS"/>
              </w:rPr>
            </w:pPr>
            <w:r w:rsidRPr="00092ED7">
              <w:rPr>
                <w:sz w:val="20"/>
                <w:lang w:val="sr-Cyrl-CS"/>
              </w:rPr>
              <w:t>D1</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4B2F9A57" w14:textId="77777777" w:rsidR="00247CBF" w:rsidRPr="00092ED7" w:rsidRDefault="00247CBF" w:rsidP="00247CBF">
            <w:pPr>
              <w:spacing w:after="0"/>
              <w:jc w:val="center"/>
              <w:rPr>
                <w:sz w:val="20"/>
                <w:lang w:val="sr-Cyrl-CS"/>
              </w:rPr>
            </w:pPr>
            <w:r w:rsidRPr="00092ED7">
              <w:rPr>
                <w:sz w:val="20"/>
                <w:lang w:val="sr-Cyrl-CS"/>
              </w:rPr>
              <w:t>:</w:t>
            </w:r>
          </w:p>
        </w:tc>
        <w:tc>
          <w:tcPr>
            <w:tcW w:w="939" w:type="dxa"/>
            <w:tcBorders>
              <w:top w:val="single" w:sz="4" w:space="0" w:color="auto"/>
              <w:left w:val="nil"/>
              <w:bottom w:val="dotted" w:sz="4" w:space="0" w:color="auto"/>
              <w:right w:val="single" w:sz="4" w:space="0" w:color="auto"/>
            </w:tcBorders>
            <w:shd w:val="clear" w:color="auto" w:fill="auto"/>
            <w:noWrap/>
            <w:vAlign w:val="center"/>
            <w:hideMark/>
          </w:tcPr>
          <w:p w14:paraId="7C40DFEE"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single" w:sz="4" w:space="0" w:color="auto"/>
              <w:left w:val="single" w:sz="4" w:space="0" w:color="auto"/>
              <w:bottom w:val="dotted" w:sz="4" w:space="0" w:color="auto"/>
              <w:right w:val="nil"/>
            </w:tcBorders>
            <w:shd w:val="clear" w:color="auto" w:fill="auto"/>
            <w:noWrap/>
            <w:vAlign w:val="center"/>
            <w:hideMark/>
          </w:tcPr>
          <w:p w14:paraId="5FDBB5FB"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single" w:sz="4" w:space="0" w:color="auto"/>
              <w:left w:val="single" w:sz="4" w:space="0" w:color="auto"/>
              <w:bottom w:val="dotted" w:sz="4" w:space="0" w:color="auto"/>
              <w:right w:val="nil"/>
            </w:tcBorders>
            <w:shd w:val="clear" w:color="auto" w:fill="auto"/>
            <w:noWrap/>
            <w:vAlign w:val="center"/>
            <w:hideMark/>
          </w:tcPr>
          <w:p w14:paraId="0AE1363A"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single" w:sz="4" w:space="0" w:color="auto"/>
              <w:left w:val="single" w:sz="4" w:space="0" w:color="auto"/>
              <w:bottom w:val="dotted" w:sz="4" w:space="0" w:color="auto"/>
              <w:right w:val="nil"/>
            </w:tcBorders>
            <w:shd w:val="clear" w:color="auto" w:fill="auto"/>
            <w:noWrap/>
            <w:vAlign w:val="center"/>
            <w:hideMark/>
          </w:tcPr>
          <w:p w14:paraId="7CEA12F4" w14:textId="77777777" w:rsidR="00247CBF" w:rsidRPr="00092ED7" w:rsidRDefault="00247CBF" w:rsidP="00247CBF">
            <w:pPr>
              <w:spacing w:after="0"/>
              <w:jc w:val="right"/>
              <w:rPr>
                <w:sz w:val="20"/>
                <w:lang w:val="sr-Cyrl-CS"/>
              </w:rPr>
            </w:pPr>
            <w:r w:rsidRPr="00092ED7">
              <w:rPr>
                <w:sz w:val="20"/>
                <w:lang w:val="sr-Cyrl-CS"/>
              </w:rPr>
              <w:t>:</w:t>
            </w:r>
          </w:p>
        </w:tc>
        <w:tc>
          <w:tcPr>
            <w:tcW w:w="829" w:type="dxa"/>
            <w:tcBorders>
              <w:top w:val="single" w:sz="4" w:space="0" w:color="auto"/>
              <w:left w:val="single" w:sz="4" w:space="0" w:color="auto"/>
              <w:bottom w:val="dotted" w:sz="4" w:space="0" w:color="auto"/>
              <w:right w:val="double" w:sz="6" w:space="0" w:color="auto"/>
            </w:tcBorders>
            <w:shd w:val="clear" w:color="auto" w:fill="auto"/>
            <w:noWrap/>
            <w:vAlign w:val="center"/>
            <w:hideMark/>
          </w:tcPr>
          <w:p w14:paraId="3AE60A36" w14:textId="77777777" w:rsidR="00247CBF" w:rsidRPr="00092ED7" w:rsidRDefault="00247CBF" w:rsidP="00247CBF">
            <w:pPr>
              <w:spacing w:after="0"/>
              <w:jc w:val="right"/>
              <w:rPr>
                <w:sz w:val="20"/>
                <w:lang w:val="sr-Cyrl-CS"/>
              </w:rPr>
            </w:pPr>
            <w:r w:rsidRPr="00092ED7">
              <w:rPr>
                <w:sz w:val="20"/>
                <w:lang w:val="sr-Cyrl-CS"/>
              </w:rPr>
              <w:t>:</w:t>
            </w:r>
          </w:p>
        </w:tc>
      </w:tr>
      <w:tr w:rsidR="00247CBF" w:rsidRPr="00092ED7" w14:paraId="6FCD2EBA"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146C249D" w14:textId="77777777" w:rsidR="00247CBF" w:rsidRPr="00092ED7" w:rsidRDefault="00247CBF" w:rsidP="00247CBF">
            <w:pPr>
              <w:spacing w:after="0"/>
              <w:jc w:val="left"/>
              <w:rPr>
                <w:sz w:val="20"/>
                <w:lang w:val="sr-Cyrl-CS"/>
              </w:rPr>
            </w:pPr>
            <w:r w:rsidRPr="00092ED7">
              <w:rPr>
                <w:sz w:val="20"/>
                <w:lang w:val="sr-Cyrl-CS"/>
              </w:rPr>
              <w:t xml:space="preserve">Смањење доприноса за пио и повећање неопорезивог цензуса </w:t>
            </w:r>
          </w:p>
        </w:tc>
        <w:tc>
          <w:tcPr>
            <w:tcW w:w="1560" w:type="dxa"/>
            <w:tcBorders>
              <w:top w:val="nil"/>
              <w:left w:val="nil"/>
              <w:bottom w:val="dotted" w:sz="4" w:space="0" w:color="auto"/>
              <w:right w:val="single" w:sz="4" w:space="0" w:color="auto"/>
            </w:tcBorders>
            <w:shd w:val="clear" w:color="auto" w:fill="auto"/>
            <w:noWrap/>
            <w:vAlign w:val="center"/>
            <w:hideMark/>
          </w:tcPr>
          <w:p w14:paraId="13C55EB3" w14:textId="77777777" w:rsidR="00247CBF" w:rsidRPr="00092ED7" w:rsidRDefault="00247CBF" w:rsidP="00247CBF">
            <w:pPr>
              <w:spacing w:after="0"/>
              <w:jc w:val="center"/>
              <w:rPr>
                <w:sz w:val="20"/>
                <w:lang w:val="sr-Cyrl-CS"/>
              </w:rPr>
            </w:pPr>
            <w:r w:rsidRPr="00092ED7">
              <w:rPr>
                <w:sz w:val="20"/>
                <w:lang w:val="sr-Cyrl-CS"/>
              </w:rPr>
              <w:t>D5, D61</w:t>
            </w:r>
          </w:p>
        </w:tc>
        <w:tc>
          <w:tcPr>
            <w:tcW w:w="1126" w:type="dxa"/>
            <w:tcBorders>
              <w:top w:val="nil"/>
              <w:left w:val="single" w:sz="4" w:space="0" w:color="auto"/>
              <w:bottom w:val="dotted" w:sz="4" w:space="0" w:color="auto"/>
              <w:right w:val="single" w:sz="8" w:space="0" w:color="auto"/>
            </w:tcBorders>
            <w:shd w:val="clear" w:color="auto" w:fill="auto"/>
            <w:vAlign w:val="center"/>
          </w:tcPr>
          <w:p w14:paraId="15CEAD55" w14:textId="77777777" w:rsidR="00247CBF" w:rsidRPr="00092ED7" w:rsidRDefault="00247CBF" w:rsidP="00247CBF">
            <w:pPr>
              <w:spacing w:after="0"/>
              <w:jc w:val="center"/>
              <w:rPr>
                <w:sz w:val="20"/>
                <w:lang w:val="sr-Cyrl-CS"/>
              </w:rPr>
            </w:pPr>
            <w:r w:rsidRPr="00092ED7">
              <w:rPr>
                <w:sz w:val="20"/>
                <w:lang w:val="sr-Cyrl-CS"/>
              </w:rPr>
              <w:t>:</w:t>
            </w:r>
          </w:p>
        </w:tc>
        <w:tc>
          <w:tcPr>
            <w:tcW w:w="939" w:type="dxa"/>
            <w:tcBorders>
              <w:top w:val="nil"/>
              <w:left w:val="nil"/>
              <w:bottom w:val="dotted" w:sz="4" w:space="0" w:color="auto"/>
              <w:right w:val="single" w:sz="4" w:space="0" w:color="auto"/>
            </w:tcBorders>
            <w:shd w:val="clear" w:color="auto" w:fill="auto"/>
            <w:noWrap/>
            <w:vAlign w:val="center"/>
            <w:hideMark/>
          </w:tcPr>
          <w:p w14:paraId="34DC411D"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00BAC7F6"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1895D45A"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47004C13" w14:textId="77777777" w:rsidR="00247CBF" w:rsidRPr="00092ED7" w:rsidRDefault="00247CBF" w:rsidP="00247CBF">
            <w:pPr>
              <w:spacing w:after="0"/>
              <w:jc w:val="right"/>
              <w:rPr>
                <w:sz w:val="20"/>
                <w:lang w:val="sr-Cyrl-CS"/>
              </w:rPr>
            </w:pPr>
            <w:r w:rsidRPr="00092ED7">
              <w:rPr>
                <w:sz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71734FE6" w14:textId="77777777" w:rsidR="00247CBF" w:rsidRPr="00092ED7" w:rsidRDefault="00247CBF" w:rsidP="00247CBF">
            <w:pPr>
              <w:spacing w:after="0"/>
              <w:jc w:val="right"/>
              <w:rPr>
                <w:sz w:val="20"/>
                <w:lang w:val="sr-Cyrl-CS"/>
              </w:rPr>
            </w:pPr>
            <w:r w:rsidRPr="00092ED7">
              <w:rPr>
                <w:sz w:val="20"/>
                <w:lang w:val="sr-Cyrl-CS"/>
              </w:rPr>
              <w:t>:</w:t>
            </w:r>
          </w:p>
        </w:tc>
      </w:tr>
      <w:tr w:rsidR="00247CBF" w:rsidRPr="00092ED7" w14:paraId="68166785"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2D867F4C" w14:textId="77777777" w:rsidR="00247CBF" w:rsidRPr="00092ED7" w:rsidRDefault="00247CBF" w:rsidP="00247CBF">
            <w:pPr>
              <w:spacing w:after="0"/>
              <w:jc w:val="left"/>
              <w:rPr>
                <w:sz w:val="20"/>
                <w:lang w:val="sr-Cyrl-CS"/>
              </w:rPr>
            </w:pPr>
            <w:r w:rsidRPr="00092ED7">
              <w:rPr>
                <w:sz w:val="20"/>
                <w:lang w:val="sr-Cyrl-CS"/>
              </w:rPr>
              <w:t>Измене демографске политике</w:t>
            </w:r>
          </w:p>
        </w:tc>
        <w:tc>
          <w:tcPr>
            <w:tcW w:w="1560" w:type="dxa"/>
            <w:tcBorders>
              <w:top w:val="nil"/>
              <w:left w:val="nil"/>
              <w:bottom w:val="dotted" w:sz="4" w:space="0" w:color="auto"/>
              <w:right w:val="single" w:sz="4" w:space="0" w:color="auto"/>
            </w:tcBorders>
            <w:shd w:val="clear" w:color="auto" w:fill="auto"/>
            <w:noWrap/>
            <w:vAlign w:val="center"/>
            <w:hideMark/>
          </w:tcPr>
          <w:p w14:paraId="1BCE457A" w14:textId="77777777" w:rsidR="00247CBF" w:rsidRPr="00092ED7" w:rsidRDefault="00247CBF" w:rsidP="00247CBF">
            <w:pPr>
              <w:spacing w:after="0"/>
              <w:jc w:val="center"/>
              <w:rPr>
                <w:sz w:val="20"/>
                <w:lang w:val="sr-Cyrl-CS"/>
              </w:rPr>
            </w:pPr>
            <w:r w:rsidRPr="00092ED7">
              <w:rPr>
                <w:sz w:val="20"/>
                <w:lang w:val="sr-Cyrl-CS"/>
              </w:rPr>
              <w:t>:</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534C1C01" w14:textId="77777777" w:rsidR="00247CBF" w:rsidRPr="00092ED7" w:rsidRDefault="00247CBF" w:rsidP="00247CBF">
            <w:pPr>
              <w:spacing w:after="0"/>
              <w:jc w:val="center"/>
              <w:rPr>
                <w:sz w:val="20"/>
                <w:lang w:val="sr-Cyrl-CS"/>
              </w:rPr>
            </w:pPr>
            <w:r w:rsidRPr="00092ED7">
              <w:rPr>
                <w:sz w:val="20"/>
                <w:lang w:val="sr-Cyrl-CS"/>
              </w:rPr>
              <w:t>:</w:t>
            </w:r>
          </w:p>
        </w:tc>
        <w:tc>
          <w:tcPr>
            <w:tcW w:w="939" w:type="dxa"/>
            <w:tcBorders>
              <w:top w:val="nil"/>
              <w:left w:val="nil"/>
              <w:bottom w:val="dotted" w:sz="4" w:space="0" w:color="auto"/>
              <w:right w:val="single" w:sz="4" w:space="0" w:color="auto"/>
            </w:tcBorders>
            <w:shd w:val="clear" w:color="auto" w:fill="auto"/>
            <w:noWrap/>
            <w:vAlign w:val="center"/>
            <w:hideMark/>
          </w:tcPr>
          <w:p w14:paraId="29DB4588" w14:textId="77777777" w:rsidR="00247CBF" w:rsidRPr="00092ED7" w:rsidRDefault="00247CBF" w:rsidP="00247CBF">
            <w:pPr>
              <w:spacing w:after="0"/>
              <w:jc w:val="right"/>
              <w:rPr>
                <w:sz w:val="20"/>
                <w:lang w:val="sr-Cyrl-CS"/>
              </w:rPr>
            </w:pPr>
            <w:r w:rsidRPr="00092ED7">
              <w:rPr>
                <w:sz w:val="20"/>
                <w:lang w:val="sr-Cyrl-CS"/>
              </w:rPr>
              <w:t>0,1</w:t>
            </w:r>
          </w:p>
        </w:tc>
        <w:tc>
          <w:tcPr>
            <w:tcW w:w="970" w:type="dxa"/>
            <w:tcBorders>
              <w:top w:val="nil"/>
              <w:left w:val="single" w:sz="4" w:space="0" w:color="auto"/>
              <w:bottom w:val="dotted" w:sz="4" w:space="0" w:color="auto"/>
              <w:right w:val="nil"/>
            </w:tcBorders>
            <w:shd w:val="clear" w:color="auto" w:fill="auto"/>
            <w:noWrap/>
            <w:vAlign w:val="center"/>
            <w:hideMark/>
          </w:tcPr>
          <w:p w14:paraId="5C072CD9" w14:textId="77777777" w:rsidR="00247CBF" w:rsidRPr="00092ED7" w:rsidRDefault="00247CBF" w:rsidP="00247CBF">
            <w:pPr>
              <w:spacing w:after="0"/>
              <w:jc w:val="right"/>
              <w:rPr>
                <w:sz w:val="20"/>
                <w:lang w:val="sr-Cyrl-CS"/>
              </w:rPr>
            </w:pPr>
            <w:r w:rsidRPr="00092ED7">
              <w:rPr>
                <w:sz w:val="20"/>
                <w:lang w:val="sr-Cyrl-CS"/>
              </w:rPr>
              <w:t>-0,1</w:t>
            </w:r>
          </w:p>
        </w:tc>
        <w:tc>
          <w:tcPr>
            <w:tcW w:w="970" w:type="dxa"/>
            <w:tcBorders>
              <w:top w:val="nil"/>
              <w:left w:val="single" w:sz="4" w:space="0" w:color="auto"/>
              <w:bottom w:val="dotted" w:sz="4" w:space="0" w:color="auto"/>
              <w:right w:val="nil"/>
            </w:tcBorders>
            <w:shd w:val="clear" w:color="auto" w:fill="auto"/>
            <w:noWrap/>
            <w:vAlign w:val="center"/>
            <w:hideMark/>
          </w:tcPr>
          <w:p w14:paraId="1A5074C0" w14:textId="77777777" w:rsidR="00247CBF" w:rsidRPr="00092ED7" w:rsidRDefault="00247CBF" w:rsidP="00247CBF">
            <w:pPr>
              <w:spacing w:after="0"/>
              <w:jc w:val="right"/>
              <w:rPr>
                <w:sz w:val="20"/>
                <w:lang w:val="sr-Cyrl-CS"/>
              </w:rPr>
            </w:pPr>
            <w:r w:rsidRPr="00092ED7">
              <w:rPr>
                <w:sz w:val="20"/>
                <w:lang w:val="sr-Cyrl-CS"/>
              </w:rPr>
              <w:t>-0,3</w:t>
            </w:r>
          </w:p>
        </w:tc>
        <w:tc>
          <w:tcPr>
            <w:tcW w:w="970" w:type="dxa"/>
            <w:tcBorders>
              <w:top w:val="nil"/>
              <w:left w:val="single" w:sz="4" w:space="0" w:color="auto"/>
              <w:bottom w:val="dotted" w:sz="4" w:space="0" w:color="auto"/>
              <w:right w:val="nil"/>
            </w:tcBorders>
            <w:shd w:val="clear" w:color="auto" w:fill="auto"/>
            <w:noWrap/>
            <w:vAlign w:val="center"/>
            <w:hideMark/>
          </w:tcPr>
          <w:p w14:paraId="1B9B9D27" w14:textId="77777777" w:rsidR="00247CBF" w:rsidRPr="00092ED7" w:rsidRDefault="00247CBF" w:rsidP="00247CBF">
            <w:pPr>
              <w:spacing w:after="0"/>
              <w:jc w:val="right"/>
              <w:rPr>
                <w:sz w:val="20"/>
                <w:lang w:val="sr-Cyrl-CS"/>
              </w:rPr>
            </w:pPr>
            <w:r w:rsidRPr="00092ED7">
              <w:rPr>
                <w:sz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3BE8ABDF" w14:textId="77777777" w:rsidR="00247CBF" w:rsidRPr="00092ED7" w:rsidRDefault="00247CBF" w:rsidP="00247CBF">
            <w:pPr>
              <w:spacing w:after="0"/>
              <w:jc w:val="right"/>
              <w:rPr>
                <w:sz w:val="20"/>
                <w:lang w:val="sr-Cyrl-CS"/>
              </w:rPr>
            </w:pPr>
            <w:r w:rsidRPr="00092ED7">
              <w:rPr>
                <w:sz w:val="20"/>
                <w:lang w:val="sr-Cyrl-CS"/>
              </w:rPr>
              <w:t>:</w:t>
            </w:r>
          </w:p>
        </w:tc>
      </w:tr>
      <w:tr w:rsidR="00247CBF" w:rsidRPr="00092ED7" w14:paraId="1E311A93"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3E8E4D88" w14:textId="77777777" w:rsidR="00247CBF" w:rsidRPr="00092ED7" w:rsidRDefault="00247CBF" w:rsidP="00247CBF">
            <w:pPr>
              <w:spacing w:after="0"/>
              <w:jc w:val="left"/>
              <w:rPr>
                <w:sz w:val="20"/>
                <w:lang w:val="sr-Cyrl-CS"/>
              </w:rPr>
            </w:pPr>
            <w:r w:rsidRPr="00092ED7">
              <w:rPr>
                <w:sz w:val="20"/>
                <w:lang w:val="sr-Cyrl-CS"/>
              </w:rPr>
              <w:t>:</w:t>
            </w:r>
          </w:p>
        </w:tc>
        <w:tc>
          <w:tcPr>
            <w:tcW w:w="1560" w:type="dxa"/>
            <w:tcBorders>
              <w:top w:val="nil"/>
              <w:left w:val="nil"/>
              <w:bottom w:val="dotted" w:sz="4" w:space="0" w:color="auto"/>
              <w:right w:val="single" w:sz="4" w:space="0" w:color="auto"/>
            </w:tcBorders>
            <w:shd w:val="clear" w:color="auto" w:fill="auto"/>
            <w:noWrap/>
            <w:vAlign w:val="center"/>
            <w:hideMark/>
          </w:tcPr>
          <w:p w14:paraId="744129AD" w14:textId="77777777" w:rsidR="00247CBF" w:rsidRPr="00092ED7" w:rsidRDefault="00247CBF" w:rsidP="00247CBF">
            <w:pPr>
              <w:spacing w:after="0"/>
              <w:jc w:val="center"/>
              <w:rPr>
                <w:sz w:val="20"/>
                <w:lang w:val="sr-Cyrl-CS"/>
              </w:rPr>
            </w:pPr>
            <w:r w:rsidRPr="00092ED7">
              <w:rPr>
                <w:sz w:val="20"/>
                <w:lang w:val="sr-Cyrl-CS"/>
              </w:rPr>
              <w:t>:</w:t>
            </w:r>
          </w:p>
        </w:tc>
        <w:tc>
          <w:tcPr>
            <w:tcW w:w="1126" w:type="dxa"/>
            <w:tcBorders>
              <w:top w:val="nil"/>
              <w:left w:val="single" w:sz="4" w:space="0" w:color="auto"/>
              <w:bottom w:val="dotted" w:sz="4" w:space="0" w:color="auto"/>
              <w:right w:val="single" w:sz="8" w:space="0" w:color="auto"/>
            </w:tcBorders>
            <w:shd w:val="clear" w:color="auto" w:fill="auto"/>
            <w:noWrap/>
            <w:vAlign w:val="center"/>
            <w:hideMark/>
          </w:tcPr>
          <w:p w14:paraId="02E8D8CC" w14:textId="77777777" w:rsidR="00247CBF" w:rsidRPr="00092ED7" w:rsidRDefault="00247CBF" w:rsidP="00247CBF">
            <w:pPr>
              <w:spacing w:after="0"/>
              <w:jc w:val="center"/>
              <w:rPr>
                <w:sz w:val="20"/>
                <w:lang w:val="sr-Cyrl-CS"/>
              </w:rPr>
            </w:pPr>
            <w:r w:rsidRPr="00092ED7">
              <w:rPr>
                <w:sz w:val="20"/>
                <w:lang w:val="sr-Cyrl-CS"/>
              </w:rPr>
              <w:t>:</w:t>
            </w:r>
          </w:p>
        </w:tc>
        <w:tc>
          <w:tcPr>
            <w:tcW w:w="939" w:type="dxa"/>
            <w:tcBorders>
              <w:top w:val="nil"/>
              <w:left w:val="nil"/>
              <w:bottom w:val="dotted" w:sz="4" w:space="0" w:color="auto"/>
              <w:right w:val="single" w:sz="4" w:space="0" w:color="auto"/>
            </w:tcBorders>
            <w:shd w:val="clear" w:color="auto" w:fill="auto"/>
            <w:noWrap/>
            <w:vAlign w:val="center"/>
            <w:hideMark/>
          </w:tcPr>
          <w:p w14:paraId="39D1C2D5"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3F2C2C1D" w14:textId="77777777" w:rsidR="00247CBF" w:rsidRPr="00092ED7" w:rsidRDefault="00247CBF" w:rsidP="00247CBF">
            <w:pPr>
              <w:spacing w:after="0"/>
              <w:jc w:val="right"/>
              <w:rPr>
                <w:sz w:val="20"/>
                <w:lang w:val="sr-Cyrl-CS"/>
              </w:rPr>
            </w:pPr>
            <w:r w:rsidRPr="00092ED7">
              <w:rPr>
                <w:sz w:val="20"/>
                <w:lang w:val="sr-Cyrl-CS"/>
              </w:rPr>
              <w:t>-0,2</w:t>
            </w:r>
          </w:p>
        </w:tc>
        <w:tc>
          <w:tcPr>
            <w:tcW w:w="970" w:type="dxa"/>
            <w:tcBorders>
              <w:top w:val="nil"/>
              <w:left w:val="single" w:sz="4" w:space="0" w:color="auto"/>
              <w:bottom w:val="dotted" w:sz="4" w:space="0" w:color="auto"/>
              <w:right w:val="nil"/>
            </w:tcBorders>
            <w:shd w:val="clear" w:color="auto" w:fill="auto"/>
            <w:noWrap/>
            <w:vAlign w:val="center"/>
            <w:hideMark/>
          </w:tcPr>
          <w:p w14:paraId="1CA53100"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08558606" w14:textId="77777777" w:rsidR="00247CBF" w:rsidRPr="00092ED7" w:rsidRDefault="00247CBF" w:rsidP="00247CBF">
            <w:pPr>
              <w:spacing w:after="0"/>
              <w:jc w:val="right"/>
              <w:rPr>
                <w:sz w:val="20"/>
                <w:lang w:val="sr-Cyrl-CS"/>
              </w:rPr>
            </w:pPr>
            <w:r w:rsidRPr="00092ED7">
              <w:rPr>
                <w:sz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5403506C" w14:textId="77777777" w:rsidR="00247CBF" w:rsidRPr="00092ED7" w:rsidRDefault="00247CBF" w:rsidP="00247CBF">
            <w:pPr>
              <w:spacing w:after="0"/>
              <w:jc w:val="right"/>
              <w:rPr>
                <w:sz w:val="20"/>
                <w:lang w:val="sr-Cyrl-CS"/>
              </w:rPr>
            </w:pPr>
            <w:r w:rsidRPr="00092ED7">
              <w:rPr>
                <w:sz w:val="20"/>
                <w:lang w:val="sr-Cyrl-CS"/>
              </w:rPr>
              <w:t>:</w:t>
            </w:r>
          </w:p>
        </w:tc>
      </w:tr>
      <w:tr w:rsidR="00247CBF" w:rsidRPr="00092ED7" w14:paraId="03D074F2" w14:textId="77777777" w:rsidTr="00247CBF">
        <w:trPr>
          <w:trHeight w:val="284"/>
        </w:trPr>
        <w:tc>
          <w:tcPr>
            <w:tcW w:w="6214" w:type="dxa"/>
            <w:tcBorders>
              <w:top w:val="nil"/>
              <w:left w:val="double" w:sz="6" w:space="0" w:color="auto"/>
              <w:bottom w:val="single" w:sz="4" w:space="0" w:color="auto"/>
              <w:right w:val="single" w:sz="4" w:space="0" w:color="auto"/>
            </w:tcBorders>
            <w:shd w:val="clear" w:color="auto" w:fill="auto"/>
            <w:vAlign w:val="center"/>
            <w:hideMark/>
          </w:tcPr>
          <w:p w14:paraId="5CD53CFC" w14:textId="77777777" w:rsidR="00247CBF" w:rsidRPr="00092ED7" w:rsidRDefault="00247CBF" w:rsidP="00247CBF">
            <w:pPr>
              <w:spacing w:after="0"/>
              <w:jc w:val="left"/>
              <w:rPr>
                <w:sz w:val="20"/>
                <w:lang w:val="sr-Cyrl-CS"/>
              </w:rPr>
            </w:pPr>
            <w:r w:rsidRPr="00092ED7">
              <w:rPr>
                <w:sz w:val="20"/>
                <w:lang w:val="sr-Cyrl-CS"/>
              </w:rPr>
              <w:t>:</w:t>
            </w:r>
          </w:p>
        </w:tc>
        <w:tc>
          <w:tcPr>
            <w:tcW w:w="1560" w:type="dxa"/>
            <w:tcBorders>
              <w:top w:val="nil"/>
              <w:left w:val="nil"/>
              <w:bottom w:val="single" w:sz="4" w:space="0" w:color="auto"/>
              <w:right w:val="single" w:sz="4" w:space="0" w:color="auto"/>
            </w:tcBorders>
            <w:shd w:val="clear" w:color="auto" w:fill="auto"/>
            <w:noWrap/>
            <w:vAlign w:val="center"/>
            <w:hideMark/>
          </w:tcPr>
          <w:p w14:paraId="7B91899A" w14:textId="77777777" w:rsidR="00247CBF" w:rsidRPr="00092ED7" w:rsidRDefault="00247CBF" w:rsidP="00247CBF">
            <w:pPr>
              <w:spacing w:after="0"/>
              <w:jc w:val="center"/>
              <w:rPr>
                <w:sz w:val="20"/>
                <w:lang w:val="sr-Cyrl-CS"/>
              </w:rPr>
            </w:pPr>
            <w:r w:rsidRPr="00092ED7">
              <w:rPr>
                <w:sz w:val="20"/>
                <w:lang w:val="sr-Cyrl-CS"/>
              </w:rPr>
              <w:t>:</w:t>
            </w:r>
          </w:p>
        </w:tc>
        <w:tc>
          <w:tcPr>
            <w:tcW w:w="1126" w:type="dxa"/>
            <w:tcBorders>
              <w:top w:val="nil"/>
              <w:left w:val="single" w:sz="4" w:space="0" w:color="auto"/>
              <w:bottom w:val="single" w:sz="4" w:space="0" w:color="auto"/>
              <w:right w:val="single" w:sz="8" w:space="0" w:color="auto"/>
            </w:tcBorders>
            <w:shd w:val="clear" w:color="auto" w:fill="auto"/>
            <w:noWrap/>
            <w:vAlign w:val="center"/>
            <w:hideMark/>
          </w:tcPr>
          <w:p w14:paraId="1958D507" w14:textId="77777777" w:rsidR="00247CBF" w:rsidRPr="00092ED7" w:rsidRDefault="00247CBF" w:rsidP="00247CBF">
            <w:pPr>
              <w:spacing w:after="0"/>
              <w:jc w:val="center"/>
              <w:rPr>
                <w:sz w:val="20"/>
                <w:lang w:val="sr-Cyrl-CS"/>
              </w:rPr>
            </w:pPr>
            <w:r w:rsidRPr="00092ED7">
              <w:rPr>
                <w:sz w:val="20"/>
                <w:lang w:val="sr-Cyrl-CS"/>
              </w:rPr>
              <w:t>:</w:t>
            </w:r>
          </w:p>
        </w:tc>
        <w:tc>
          <w:tcPr>
            <w:tcW w:w="939" w:type="dxa"/>
            <w:tcBorders>
              <w:top w:val="nil"/>
              <w:left w:val="nil"/>
              <w:bottom w:val="single" w:sz="4" w:space="0" w:color="auto"/>
              <w:right w:val="single" w:sz="4" w:space="0" w:color="auto"/>
            </w:tcBorders>
            <w:shd w:val="clear" w:color="auto" w:fill="auto"/>
            <w:noWrap/>
            <w:vAlign w:val="center"/>
            <w:hideMark/>
          </w:tcPr>
          <w:p w14:paraId="7FF13F96"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nil"/>
              <w:left w:val="single" w:sz="4" w:space="0" w:color="auto"/>
              <w:bottom w:val="single" w:sz="4" w:space="0" w:color="auto"/>
              <w:right w:val="nil"/>
            </w:tcBorders>
            <w:shd w:val="clear" w:color="auto" w:fill="auto"/>
            <w:noWrap/>
            <w:vAlign w:val="center"/>
            <w:hideMark/>
          </w:tcPr>
          <w:p w14:paraId="652159B9"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nil"/>
              <w:left w:val="single" w:sz="4" w:space="0" w:color="auto"/>
              <w:bottom w:val="single" w:sz="4" w:space="0" w:color="auto"/>
              <w:right w:val="nil"/>
            </w:tcBorders>
            <w:shd w:val="clear" w:color="auto" w:fill="auto"/>
            <w:noWrap/>
            <w:vAlign w:val="center"/>
            <w:hideMark/>
          </w:tcPr>
          <w:p w14:paraId="4B7BEE57"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nil"/>
              <w:left w:val="single" w:sz="4" w:space="0" w:color="auto"/>
              <w:bottom w:val="single" w:sz="4" w:space="0" w:color="auto"/>
              <w:right w:val="nil"/>
            </w:tcBorders>
            <w:shd w:val="clear" w:color="auto" w:fill="auto"/>
            <w:noWrap/>
            <w:vAlign w:val="center"/>
            <w:hideMark/>
          </w:tcPr>
          <w:p w14:paraId="6C735B2A" w14:textId="77777777" w:rsidR="00247CBF" w:rsidRPr="00092ED7" w:rsidRDefault="00247CBF" w:rsidP="00247CBF">
            <w:pPr>
              <w:spacing w:after="0"/>
              <w:jc w:val="right"/>
              <w:rPr>
                <w:sz w:val="20"/>
                <w:lang w:val="sr-Cyrl-CS"/>
              </w:rPr>
            </w:pPr>
            <w:r w:rsidRPr="00092ED7">
              <w:rPr>
                <w:sz w:val="20"/>
                <w:lang w:val="sr-Cyrl-CS"/>
              </w:rPr>
              <w:t>:</w:t>
            </w:r>
          </w:p>
        </w:tc>
        <w:tc>
          <w:tcPr>
            <w:tcW w:w="829" w:type="dxa"/>
            <w:tcBorders>
              <w:top w:val="nil"/>
              <w:left w:val="single" w:sz="4" w:space="0" w:color="auto"/>
              <w:bottom w:val="single" w:sz="4" w:space="0" w:color="auto"/>
              <w:right w:val="double" w:sz="6" w:space="0" w:color="auto"/>
            </w:tcBorders>
            <w:shd w:val="clear" w:color="auto" w:fill="auto"/>
            <w:noWrap/>
            <w:vAlign w:val="center"/>
            <w:hideMark/>
          </w:tcPr>
          <w:p w14:paraId="207D591D" w14:textId="77777777" w:rsidR="00247CBF" w:rsidRPr="00092ED7" w:rsidRDefault="00247CBF" w:rsidP="00247CBF">
            <w:pPr>
              <w:spacing w:after="0"/>
              <w:jc w:val="right"/>
              <w:rPr>
                <w:sz w:val="20"/>
                <w:lang w:val="sr-Cyrl-CS"/>
              </w:rPr>
            </w:pPr>
            <w:r w:rsidRPr="00092ED7">
              <w:rPr>
                <w:sz w:val="20"/>
                <w:lang w:val="sr-Cyrl-CS"/>
              </w:rPr>
              <w:t>:</w:t>
            </w:r>
          </w:p>
        </w:tc>
      </w:tr>
      <w:tr w:rsidR="00247CBF" w:rsidRPr="00092ED7" w14:paraId="79629490" w14:textId="77777777" w:rsidTr="00247CBF">
        <w:trPr>
          <w:trHeight w:val="284"/>
        </w:trPr>
        <w:tc>
          <w:tcPr>
            <w:tcW w:w="8900" w:type="dxa"/>
            <w:gridSpan w:val="3"/>
            <w:tcBorders>
              <w:top w:val="single" w:sz="4" w:space="0" w:color="auto"/>
              <w:left w:val="double" w:sz="6" w:space="0" w:color="auto"/>
              <w:bottom w:val="single" w:sz="8" w:space="0" w:color="auto"/>
              <w:right w:val="single" w:sz="8" w:space="0" w:color="000000"/>
            </w:tcBorders>
            <w:shd w:val="clear" w:color="auto" w:fill="auto"/>
            <w:vAlign w:val="center"/>
            <w:hideMark/>
          </w:tcPr>
          <w:p w14:paraId="6F231F5C" w14:textId="77777777" w:rsidR="00247CBF" w:rsidRPr="00092ED7" w:rsidRDefault="00247CBF" w:rsidP="00247CBF">
            <w:pPr>
              <w:spacing w:after="0"/>
              <w:jc w:val="center"/>
              <w:rPr>
                <w:rFonts w:cs="Times New Roman"/>
                <w:b/>
                <w:sz w:val="20"/>
                <w:szCs w:val="20"/>
                <w:lang w:val="sr-Cyrl-CS"/>
              </w:rPr>
            </w:pPr>
            <w:r w:rsidRPr="00092ED7">
              <w:rPr>
                <w:rFonts w:cs="Times New Roman"/>
                <w:b/>
                <w:sz w:val="20"/>
                <w:szCs w:val="20"/>
                <w:lang w:val="sr-Cyrl-CS"/>
              </w:rPr>
              <w:t>Међузбир</w:t>
            </w:r>
          </w:p>
        </w:tc>
        <w:tc>
          <w:tcPr>
            <w:tcW w:w="93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176F626" w14:textId="77777777" w:rsidR="00247CBF" w:rsidRPr="00092ED7" w:rsidRDefault="00247CBF" w:rsidP="00247CBF">
            <w:pPr>
              <w:spacing w:after="0"/>
              <w:jc w:val="right"/>
              <w:rPr>
                <w:b/>
                <w:bCs/>
                <w:sz w:val="20"/>
                <w:lang w:val="sr-Cyrl-CS"/>
              </w:rPr>
            </w:pPr>
            <w:r w:rsidRPr="00092ED7">
              <w:rPr>
                <w:b/>
                <w:bCs/>
                <w:sz w:val="20"/>
                <w:lang w:val="sr-Cyrl-CS"/>
              </w:rPr>
              <w:t>0,1</w:t>
            </w:r>
          </w:p>
        </w:tc>
        <w:tc>
          <w:tcPr>
            <w:tcW w:w="970" w:type="dxa"/>
            <w:tcBorders>
              <w:top w:val="single" w:sz="4" w:space="0" w:color="auto"/>
              <w:left w:val="nil"/>
              <w:bottom w:val="single" w:sz="8" w:space="0" w:color="auto"/>
              <w:right w:val="nil"/>
            </w:tcBorders>
            <w:shd w:val="clear" w:color="auto" w:fill="auto"/>
            <w:noWrap/>
            <w:vAlign w:val="center"/>
            <w:hideMark/>
          </w:tcPr>
          <w:p w14:paraId="3BCDCEAC" w14:textId="77777777" w:rsidR="00247CBF" w:rsidRPr="00092ED7" w:rsidRDefault="00247CBF" w:rsidP="00247CBF">
            <w:pPr>
              <w:spacing w:after="0"/>
              <w:jc w:val="right"/>
              <w:rPr>
                <w:b/>
                <w:bCs/>
                <w:sz w:val="20"/>
                <w:lang w:val="sr-Cyrl-CS"/>
              </w:rPr>
            </w:pPr>
            <w:r w:rsidRPr="00092ED7">
              <w:rPr>
                <w:b/>
                <w:bCs/>
                <w:sz w:val="20"/>
                <w:lang w:val="sr-Cyrl-CS"/>
              </w:rPr>
              <w:t>-0,3</w:t>
            </w:r>
          </w:p>
        </w:tc>
        <w:tc>
          <w:tcPr>
            <w:tcW w:w="970" w:type="dxa"/>
            <w:tcBorders>
              <w:top w:val="single" w:sz="4" w:space="0" w:color="auto"/>
              <w:left w:val="single" w:sz="4" w:space="0" w:color="auto"/>
              <w:bottom w:val="single" w:sz="8" w:space="0" w:color="auto"/>
              <w:right w:val="nil"/>
            </w:tcBorders>
            <w:shd w:val="clear" w:color="auto" w:fill="auto"/>
            <w:noWrap/>
            <w:vAlign w:val="center"/>
            <w:hideMark/>
          </w:tcPr>
          <w:p w14:paraId="617E5F2B" w14:textId="77777777" w:rsidR="00247CBF" w:rsidRPr="00092ED7" w:rsidRDefault="00247CBF" w:rsidP="00247CBF">
            <w:pPr>
              <w:spacing w:after="0"/>
              <w:jc w:val="right"/>
              <w:rPr>
                <w:b/>
                <w:bCs/>
                <w:sz w:val="20"/>
                <w:lang w:val="sr-Cyrl-CS"/>
              </w:rPr>
            </w:pPr>
            <w:r w:rsidRPr="00092ED7">
              <w:rPr>
                <w:b/>
                <w:bCs/>
                <w:sz w:val="20"/>
                <w:lang w:val="sr-Cyrl-CS"/>
              </w:rPr>
              <w:t>-0,3</w:t>
            </w:r>
          </w:p>
        </w:tc>
        <w:tc>
          <w:tcPr>
            <w:tcW w:w="970" w:type="dxa"/>
            <w:tcBorders>
              <w:top w:val="single" w:sz="4" w:space="0" w:color="auto"/>
              <w:left w:val="single" w:sz="4" w:space="0" w:color="auto"/>
              <w:bottom w:val="single" w:sz="8" w:space="0" w:color="auto"/>
              <w:right w:val="nil"/>
            </w:tcBorders>
            <w:shd w:val="clear" w:color="auto" w:fill="auto"/>
            <w:noWrap/>
            <w:vAlign w:val="center"/>
            <w:hideMark/>
          </w:tcPr>
          <w:p w14:paraId="4815E7C9" w14:textId="77777777" w:rsidR="00247CBF" w:rsidRPr="00092ED7" w:rsidRDefault="00247CBF" w:rsidP="00247CBF">
            <w:pPr>
              <w:spacing w:after="0"/>
              <w:jc w:val="right"/>
              <w:rPr>
                <w:b/>
                <w:bCs/>
                <w:sz w:val="20"/>
                <w:lang w:val="sr-Cyrl-CS"/>
              </w:rPr>
            </w:pPr>
            <w:r w:rsidRPr="00092ED7">
              <w:rPr>
                <w:b/>
                <w:bCs/>
                <w:sz w:val="20"/>
                <w:lang w:val="sr-Cyrl-CS"/>
              </w:rPr>
              <w:t>0,0</w:t>
            </w:r>
          </w:p>
        </w:tc>
        <w:tc>
          <w:tcPr>
            <w:tcW w:w="829" w:type="dxa"/>
            <w:tcBorders>
              <w:top w:val="single" w:sz="4" w:space="0" w:color="auto"/>
              <w:left w:val="single" w:sz="4" w:space="0" w:color="auto"/>
              <w:bottom w:val="single" w:sz="8" w:space="0" w:color="auto"/>
              <w:right w:val="double" w:sz="6" w:space="0" w:color="auto"/>
            </w:tcBorders>
            <w:shd w:val="clear" w:color="auto" w:fill="auto"/>
            <w:noWrap/>
            <w:vAlign w:val="center"/>
            <w:hideMark/>
          </w:tcPr>
          <w:p w14:paraId="0B69EAD5" w14:textId="77777777" w:rsidR="00247CBF" w:rsidRPr="00092ED7" w:rsidRDefault="00247CBF" w:rsidP="00247CBF">
            <w:pPr>
              <w:spacing w:after="0"/>
              <w:jc w:val="right"/>
              <w:rPr>
                <w:b/>
                <w:bCs/>
                <w:sz w:val="20"/>
                <w:lang w:val="sr-Cyrl-CS"/>
              </w:rPr>
            </w:pPr>
            <w:r w:rsidRPr="00092ED7">
              <w:rPr>
                <w:b/>
                <w:bCs/>
                <w:sz w:val="20"/>
                <w:lang w:val="sr-Cyrl-CS"/>
              </w:rPr>
              <w:t>0,0</w:t>
            </w:r>
          </w:p>
        </w:tc>
      </w:tr>
      <w:tr w:rsidR="00247CBF" w:rsidRPr="00092ED7" w14:paraId="28331CB0" w14:textId="77777777" w:rsidTr="00247CBF">
        <w:trPr>
          <w:trHeight w:val="284"/>
        </w:trPr>
        <w:tc>
          <w:tcPr>
            <w:tcW w:w="8900" w:type="dxa"/>
            <w:gridSpan w:val="3"/>
            <w:tcBorders>
              <w:top w:val="nil"/>
              <w:left w:val="double" w:sz="6" w:space="0" w:color="auto"/>
              <w:bottom w:val="double" w:sz="6" w:space="0" w:color="auto"/>
              <w:right w:val="single" w:sz="8" w:space="0" w:color="auto"/>
            </w:tcBorders>
            <w:shd w:val="clear" w:color="auto" w:fill="auto"/>
            <w:noWrap/>
            <w:vAlign w:val="center"/>
            <w:hideMark/>
          </w:tcPr>
          <w:p w14:paraId="55EA5870" w14:textId="77777777" w:rsidR="00247CBF" w:rsidRPr="00092ED7" w:rsidRDefault="00247CBF" w:rsidP="00247CBF">
            <w:pPr>
              <w:spacing w:after="0"/>
              <w:jc w:val="center"/>
              <w:rPr>
                <w:rFonts w:cs="Times New Roman"/>
                <w:b/>
                <w:sz w:val="20"/>
                <w:szCs w:val="20"/>
                <w:lang w:val="sr-Cyrl-CS"/>
              </w:rPr>
            </w:pPr>
            <w:r w:rsidRPr="00092ED7">
              <w:rPr>
                <w:rFonts w:cs="Times New Roman"/>
                <w:b/>
                <w:sz w:val="20"/>
                <w:szCs w:val="20"/>
                <w:lang w:val="sr-Cyrl-CS"/>
              </w:rPr>
              <w:t>Укупно</w:t>
            </w:r>
          </w:p>
        </w:tc>
        <w:tc>
          <w:tcPr>
            <w:tcW w:w="939" w:type="dxa"/>
            <w:tcBorders>
              <w:top w:val="nil"/>
              <w:left w:val="nil"/>
              <w:bottom w:val="double" w:sz="6" w:space="0" w:color="auto"/>
              <w:right w:val="single" w:sz="4" w:space="0" w:color="auto"/>
            </w:tcBorders>
            <w:shd w:val="clear" w:color="auto" w:fill="auto"/>
            <w:noWrap/>
            <w:vAlign w:val="center"/>
            <w:hideMark/>
          </w:tcPr>
          <w:p w14:paraId="1A4FB1E8" w14:textId="77777777" w:rsidR="00247CBF" w:rsidRPr="00092ED7" w:rsidRDefault="00247CBF" w:rsidP="00247CBF">
            <w:pPr>
              <w:spacing w:after="0"/>
              <w:jc w:val="right"/>
              <w:rPr>
                <w:b/>
                <w:bCs/>
                <w:sz w:val="20"/>
                <w:lang w:val="sr-Cyrl-CS"/>
              </w:rPr>
            </w:pPr>
            <w:r w:rsidRPr="00092ED7">
              <w:rPr>
                <w:b/>
                <w:bCs/>
                <w:sz w:val="20"/>
                <w:lang w:val="sr-Cyrl-CS"/>
              </w:rPr>
              <w:t>1,6</w:t>
            </w:r>
          </w:p>
        </w:tc>
        <w:tc>
          <w:tcPr>
            <w:tcW w:w="970" w:type="dxa"/>
            <w:tcBorders>
              <w:top w:val="nil"/>
              <w:left w:val="nil"/>
              <w:bottom w:val="double" w:sz="6" w:space="0" w:color="auto"/>
              <w:right w:val="single" w:sz="4" w:space="0" w:color="auto"/>
            </w:tcBorders>
            <w:shd w:val="clear" w:color="auto" w:fill="auto"/>
            <w:noWrap/>
            <w:vAlign w:val="center"/>
            <w:hideMark/>
          </w:tcPr>
          <w:p w14:paraId="7E68D65D" w14:textId="77777777" w:rsidR="00247CBF" w:rsidRPr="00092ED7" w:rsidRDefault="00247CBF" w:rsidP="00247CBF">
            <w:pPr>
              <w:spacing w:after="0"/>
              <w:jc w:val="right"/>
              <w:rPr>
                <w:b/>
                <w:bCs/>
                <w:sz w:val="20"/>
                <w:lang w:val="sr-Cyrl-CS"/>
              </w:rPr>
            </w:pPr>
            <w:r w:rsidRPr="00092ED7">
              <w:rPr>
                <w:b/>
                <w:bCs/>
                <w:sz w:val="20"/>
                <w:lang w:val="sr-Cyrl-CS"/>
              </w:rPr>
              <w:t>-1,2</w:t>
            </w:r>
          </w:p>
        </w:tc>
        <w:tc>
          <w:tcPr>
            <w:tcW w:w="970" w:type="dxa"/>
            <w:tcBorders>
              <w:top w:val="nil"/>
              <w:left w:val="nil"/>
              <w:bottom w:val="double" w:sz="6" w:space="0" w:color="auto"/>
              <w:right w:val="single" w:sz="4" w:space="0" w:color="auto"/>
            </w:tcBorders>
            <w:shd w:val="clear" w:color="auto" w:fill="auto"/>
            <w:noWrap/>
            <w:vAlign w:val="center"/>
            <w:hideMark/>
          </w:tcPr>
          <w:p w14:paraId="16F499C2" w14:textId="77777777" w:rsidR="00247CBF" w:rsidRPr="00092ED7" w:rsidRDefault="00247CBF" w:rsidP="00247CBF">
            <w:pPr>
              <w:spacing w:after="0"/>
              <w:jc w:val="right"/>
              <w:rPr>
                <w:b/>
                <w:bCs/>
                <w:sz w:val="20"/>
                <w:lang w:val="sr-Cyrl-CS"/>
              </w:rPr>
            </w:pPr>
            <w:r w:rsidRPr="00092ED7">
              <w:rPr>
                <w:b/>
                <w:bCs/>
                <w:sz w:val="20"/>
                <w:lang w:val="sr-Cyrl-CS"/>
              </w:rPr>
              <w:t>-0,3</w:t>
            </w:r>
          </w:p>
        </w:tc>
        <w:tc>
          <w:tcPr>
            <w:tcW w:w="970" w:type="dxa"/>
            <w:tcBorders>
              <w:top w:val="nil"/>
              <w:left w:val="nil"/>
              <w:bottom w:val="double" w:sz="6" w:space="0" w:color="auto"/>
              <w:right w:val="single" w:sz="4" w:space="0" w:color="auto"/>
            </w:tcBorders>
            <w:shd w:val="clear" w:color="auto" w:fill="auto"/>
            <w:noWrap/>
            <w:vAlign w:val="center"/>
            <w:hideMark/>
          </w:tcPr>
          <w:p w14:paraId="40BB7793" w14:textId="77777777" w:rsidR="00247CBF" w:rsidRPr="00092ED7" w:rsidRDefault="00247CBF" w:rsidP="00247CBF">
            <w:pPr>
              <w:spacing w:after="0"/>
              <w:jc w:val="right"/>
              <w:rPr>
                <w:b/>
                <w:bCs/>
                <w:sz w:val="20"/>
                <w:lang w:val="sr-Cyrl-CS"/>
              </w:rPr>
            </w:pPr>
            <w:r w:rsidRPr="00092ED7">
              <w:rPr>
                <w:b/>
                <w:bCs/>
                <w:sz w:val="20"/>
                <w:lang w:val="sr-Cyrl-CS"/>
              </w:rPr>
              <w:t>0,0</w:t>
            </w:r>
          </w:p>
        </w:tc>
        <w:tc>
          <w:tcPr>
            <w:tcW w:w="829" w:type="dxa"/>
            <w:tcBorders>
              <w:top w:val="nil"/>
              <w:left w:val="nil"/>
              <w:bottom w:val="double" w:sz="6" w:space="0" w:color="auto"/>
              <w:right w:val="double" w:sz="6" w:space="0" w:color="auto"/>
            </w:tcBorders>
            <w:shd w:val="clear" w:color="auto" w:fill="auto"/>
            <w:noWrap/>
            <w:vAlign w:val="center"/>
            <w:hideMark/>
          </w:tcPr>
          <w:p w14:paraId="72E722E8" w14:textId="77777777" w:rsidR="00247CBF" w:rsidRPr="00092ED7" w:rsidRDefault="00247CBF" w:rsidP="00247CBF">
            <w:pPr>
              <w:spacing w:after="0"/>
              <w:jc w:val="right"/>
              <w:rPr>
                <w:b/>
                <w:bCs/>
                <w:sz w:val="20"/>
                <w:lang w:val="sr-Cyrl-CS"/>
              </w:rPr>
            </w:pPr>
            <w:r w:rsidRPr="00092ED7">
              <w:rPr>
                <w:b/>
                <w:bCs/>
                <w:sz w:val="20"/>
                <w:lang w:val="sr-Cyrl-CS"/>
              </w:rPr>
              <w:t>0,0</w:t>
            </w:r>
          </w:p>
        </w:tc>
      </w:tr>
      <w:tr w:rsidR="00247CBF" w:rsidRPr="00092ED7" w14:paraId="7765FABA" w14:textId="77777777" w:rsidTr="00247CBF">
        <w:trPr>
          <w:trHeight w:val="284"/>
        </w:trPr>
        <w:tc>
          <w:tcPr>
            <w:tcW w:w="13578" w:type="dxa"/>
            <w:gridSpan w:val="8"/>
            <w:tcBorders>
              <w:top w:val="nil"/>
              <w:left w:val="nil"/>
              <w:bottom w:val="nil"/>
              <w:right w:val="nil"/>
            </w:tcBorders>
            <w:shd w:val="clear" w:color="000000" w:fill="FFFFFF"/>
            <w:vAlign w:val="center"/>
            <w:hideMark/>
          </w:tcPr>
          <w:p w14:paraId="4BE04FE6" w14:textId="77777777" w:rsidR="00247CBF" w:rsidRPr="00092ED7" w:rsidRDefault="00247CBF" w:rsidP="00247CBF">
            <w:pPr>
              <w:spacing w:after="0"/>
              <w:rPr>
                <w:sz w:val="16"/>
                <w:szCs w:val="16"/>
                <w:lang w:val="sr-Cyrl-CS"/>
              </w:rPr>
            </w:pPr>
            <w:r w:rsidRPr="00092ED7">
              <w:rPr>
                <w:sz w:val="16"/>
                <w:szCs w:val="16"/>
                <w:lang w:val="sr-Cyrl-CS"/>
              </w:rPr>
              <w:t xml:space="preserve">[1] За потребе ове табеле, привремене мере се односе на оне дискреционе мере које немају ефекат на буџет после 2023. године. Супротно томе мере које су усвојене или најављене за 2021, 2022. и 2023. годину које имају фискални ефекат једнак или већи од 0,1% БДП бар закључно са 2024. годином се сматрају мерама које нису привремене за потребе ове табеле.   </w:t>
            </w:r>
          </w:p>
        </w:tc>
      </w:tr>
    </w:tbl>
    <w:p w14:paraId="1E50990C" w14:textId="77777777" w:rsidR="00247CBF" w:rsidRPr="00092ED7" w:rsidRDefault="00247CBF" w:rsidP="00247CBF">
      <w:pPr>
        <w:spacing w:after="160" w:line="259" w:lineRule="auto"/>
        <w:rPr>
          <w:rFonts w:cs="Times New Roman"/>
          <w:b/>
          <w:sz w:val="20"/>
          <w:szCs w:val="20"/>
          <w:lang w:val="sr-Cyrl-CS"/>
        </w:rPr>
      </w:pPr>
    </w:p>
    <w:p w14:paraId="150C355B" w14:textId="77777777" w:rsidR="00247CBF" w:rsidRPr="00092ED7" w:rsidRDefault="00247CBF" w:rsidP="00247CBF">
      <w:pPr>
        <w:spacing w:after="160" w:line="259" w:lineRule="auto"/>
        <w:rPr>
          <w:rFonts w:cs="Times New Roman"/>
          <w:b/>
          <w:sz w:val="20"/>
          <w:szCs w:val="20"/>
          <w:lang w:val="sr-Cyrl-CS"/>
        </w:rPr>
      </w:pPr>
    </w:p>
    <w:p w14:paraId="1067AF4A" w14:textId="77777777" w:rsidR="00247CBF" w:rsidRPr="00092ED7" w:rsidRDefault="00247CBF" w:rsidP="00247CBF">
      <w:pPr>
        <w:pStyle w:val="Heading3"/>
        <w:rPr>
          <w:rFonts w:ascii="Times New Roman" w:hAnsi="Times New Roman" w:cs="Times New Roman"/>
          <w:b/>
          <w:color w:val="auto"/>
          <w:sz w:val="20"/>
          <w:szCs w:val="20"/>
          <w:lang w:val="sr-Cyrl-CS"/>
        </w:rPr>
      </w:pPr>
      <w:bookmarkStart w:id="140" w:name="_Toc61953862"/>
      <w:bookmarkStart w:id="141" w:name="_Toc93385999"/>
      <w:bookmarkStart w:id="142" w:name="_Toc124174830"/>
      <w:bookmarkStart w:id="143" w:name="_Toc126218648"/>
      <w:r w:rsidRPr="00092ED7">
        <w:rPr>
          <w:rFonts w:ascii="Times New Roman" w:hAnsi="Times New Roman" w:cs="Times New Roman"/>
          <w:b/>
          <w:color w:val="auto"/>
          <w:sz w:val="20"/>
          <w:szCs w:val="20"/>
          <w:lang w:val="sr-Cyrl-CS"/>
        </w:rPr>
        <w:t>Tабела 3: Расходи општег нивоа државе по функцијама (у млрд РСД)</w:t>
      </w:r>
      <w:bookmarkEnd w:id="140"/>
      <w:bookmarkEnd w:id="141"/>
      <w:bookmarkEnd w:id="142"/>
      <w:bookmarkEnd w:id="143"/>
    </w:p>
    <w:tbl>
      <w:tblPr>
        <w:tblW w:w="14578" w:type="dxa"/>
        <w:tblLayout w:type="fixed"/>
        <w:tblLook w:val="04A0" w:firstRow="1" w:lastRow="0" w:firstColumn="1" w:lastColumn="0" w:noHBand="0" w:noVBand="1"/>
      </w:tblPr>
      <w:tblGrid>
        <w:gridCol w:w="6000"/>
        <w:gridCol w:w="1520"/>
        <w:gridCol w:w="1176"/>
        <w:gridCol w:w="1176"/>
        <w:gridCol w:w="1177"/>
        <w:gridCol w:w="1176"/>
        <w:gridCol w:w="1176"/>
        <w:gridCol w:w="1177"/>
      </w:tblGrid>
      <w:tr w:rsidR="00247CBF" w:rsidRPr="00092ED7" w14:paraId="7B3F31F3" w14:textId="77777777" w:rsidTr="00247CBF">
        <w:trPr>
          <w:trHeight w:val="285"/>
        </w:trPr>
        <w:tc>
          <w:tcPr>
            <w:tcW w:w="6000" w:type="dxa"/>
            <w:tcBorders>
              <w:top w:val="double" w:sz="6" w:space="0" w:color="auto"/>
              <w:left w:val="double" w:sz="6" w:space="0" w:color="auto"/>
              <w:bottom w:val="nil"/>
              <w:right w:val="nil"/>
            </w:tcBorders>
            <w:shd w:val="clear" w:color="auto" w:fill="auto"/>
            <w:noWrap/>
            <w:vAlign w:val="center"/>
            <w:hideMark/>
          </w:tcPr>
          <w:p w14:paraId="74BC6B71" w14:textId="77777777" w:rsidR="00247CBF" w:rsidRPr="00092ED7" w:rsidRDefault="00247CBF" w:rsidP="00247CBF">
            <w:pPr>
              <w:spacing w:after="0"/>
              <w:rPr>
                <w:rFonts w:eastAsia="Times New Roman" w:cs="Times New Roman"/>
                <w:b/>
                <w:bCs/>
                <w:sz w:val="20"/>
                <w:szCs w:val="20"/>
                <w:lang w:val="sr-Cyrl-CS"/>
              </w:rPr>
            </w:pPr>
          </w:p>
        </w:tc>
        <w:tc>
          <w:tcPr>
            <w:tcW w:w="1520" w:type="dxa"/>
            <w:tcBorders>
              <w:top w:val="double" w:sz="6" w:space="0" w:color="auto"/>
              <w:left w:val="single" w:sz="8" w:space="0" w:color="000000"/>
              <w:bottom w:val="nil"/>
              <w:right w:val="single" w:sz="8" w:space="0" w:color="000000"/>
            </w:tcBorders>
            <w:shd w:val="clear" w:color="auto" w:fill="auto"/>
            <w:noWrap/>
            <w:vAlign w:val="center"/>
            <w:hideMark/>
          </w:tcPr>
          <w:p w14:paraId="7B72CBC7" w14:textId="77777777" w:rsidR="00247CBF" w:rsidRPr="00092ED7" w:rsidRDefault="00247CBF" w:rsidP="00247CBF">
            <w:pPr>
              <w:spacing w:after="0"/>
              <w:jc w:val="center"/>
              <w:rPr>
                <w:sz w:val="20"/>
                <w:szCs w:val="20"/>
                <w:lang w:val="sr-Cyrl-CS"/>
              </w:rPr>
            </w:pPr>
            <w:r w:rsidRPr="00092ED7">
              <w:rPr>
                <w:sz w:val="20"/>
                <w:szCs w:val="20"/>
                <w:lang w:val="sr-Cyrl-CS"/>
              </w:rPr>
              <w:t>COFOG шифра</w:t>
            </w:r>
          </w:p>
        </w:tc>
        <w:tc>
          <w:tcPr>
            <w:tcW w:w="1176" w:type="dxa"/>
            <w:tcBorders>
              <w:top w:val="double" w:sz="6" w:space="0" w:color="auto"/>
              <w:left w:val="nil"/>
              <w:bottom w:val="double" w:sz="6" w:space="0" w:color="auto"/>
              <w:right w:val="dashed" w:sz="4" w:space="0" w:color="auto"/>
            </w:tcBorders>
            <w:shd w:val="clear" w:color="auto" w:fill="auto"/>
            <w:noWrap/>
            <w:vAlign w:val="center"/>
            <w:hideMark/>
          </w:tcPr>
          <w:p w14:paraId="7E0089B3" w14:textId="77777777" w:rsidR="00247CBF" w:rsidRPr="00092ED7" w:rsidRDefault="00247CBF" w:rsidP="00247CBF">
            <w:pPr>
              <w:spacing w:after="0"/>
              <w:jc w:val="center"/>
              <w:rPr>
                <w:b/>
                <w:bCs/>
                <w:sz w:val="20"/>
                <w:szCs w:val="20"/>
                <w:lang w:val="sr-Cyrl-CS"/>
              </w:rPr>
            </w:pPr>
            <w:r w:rsidRPr="00092ED7">
              <w:rPr>
                <w:b/>
                <w:bCs/>
                <w:sz w:val="20"/>
                <w:szCs w:val="20"/>
                <w:lang w:val="sr-Cyrl-CS"/>
              </w:rPr>
              <w:t>2020</w:t>
            </w:r>
          </w:p>
        </w:tc>
        <w:tc>
          <w:tcPr>
            <w:tcW w:w="1176" w:type="dxa"/>
            <w:tcBorders>
              <w:top w:val="double" w:sz="6" w:space="0" w:color="auto"/>
              <w:left w:val="nil"/>
              <w:bottom w:val="double" w:sz="6" w:space="0" w:color="auto"/>
              <w:right w:val="dashed" w:sz="4" w:space="0" w:color="auto"/>
            </w:tcBorders>
            <w:shd w:val="clear" w:color="auto" w:fill="auto"/>
            <w:noWrap/>
            <w:vAlign w:val="center"/>
            <w:hideMark/>
          </w:tcPr>
          <w:p w14:paraId="75AF9455" w14:textId="77777777" w:rsidR="00247CBF" w:rsidRPr="00092ED7" w:rsidRDefault="00247CBF" w:rsidP="00247CBF">
            <w:pPr>
              <w:spacing w:after="0"/>
              <w:jc w:val="center"/>
              <w:rPr>
                <w:b/>
                <w:bCs/>
                <w:sz w:val="20"/>
                <w:szCs w:val="20"/>
                <w:lang w:val="sr-Cyrl-CS"/>
              </w:rPr>
            </w:pPr>
            <w:r w:rsidRPr="00092ED7">
              <w:rPr>
                <w:b/>
                <w:bCs/>
                <w:sz w:val="20"/>
                <w:szCs w:val="20"/>
                <w:lang w:val="sr-Cyrl-CS"/>
              </w:rPr>
              <w:t>2021</w:t>
            </w:r>
          </w:p>
        </w:tc>
        <w:tc>
          <w:tcPr>
            <w:tcW w:w="1177" w:type="dxa"/>
            <w:tcBorders>
              <w:top w:val="double" w:sz="6" w:space="0" w:color="auto"/>
              <w:left w:val="nil"/>
              <w:bottom w:val="double" w:sz="6" w:space="0" w:color="auto"/>
              <w:right w:val="dashed" w:sz="4" w:space="0" w:color="auto"/>
            </w:tcBorders>
            <w:shd w:val="clear" w:color="auto" w:fill="auto"/>
            <w:noWrap/>
            <w:vAlign w:val="center"/>
            <w:hideMark/>
          </w:tcPr>
          <w:p w14:paraId="6BDA67E7" w14:textId="77777777" w:rsidR="00247CBF" w:rsidRPr="00092ED7" w:rsidRDefault="00247CBF" w:rsidP="00247CBF">
            <w:pPr>
              <w:spacing w:after="0"/>
              <w:jc w:val="center"/>
              <w:rPr>
                <w:b/>
                <w:bCs/>
                <w:sz w:val="20"/>
                <w:szCs w:val="20"/>
                <w:lang w:val="sr-Cyrl-CS"/>
              </w:rPr>
            </w:pPr>
            <w:r w:rsidRPr="00092ED7">
              <w:rPr>
                <w:b/>
                <w:bCs/>
                <w:sz w:val="20"/>
                <w:szCs w:val="20"/>
                <w:lang w:val="sr-Cyrl-CS"/>
              </w:rPr>
              <w:t>2022</w:t>
            </w:r>
          </w:p>
        </w:tc>
        <w:tc>
          <w:tcPr>
            <w:tcW w:w="1176" w:type="dxa"/>
            <w:tcBorders>
              <w:top w:val="double" w:sz="6" w:space="0" w:color="auto"/>
              <w:left w:val="nil"/>
              <w:bottom w:val="double" w:sz="6" w:space="0" w:color="auto"/>
              <w:right w:val="dashed" w:sz="4" w:space="0" w:color="auto"/>
            </w:tcBorders>
            <w:shd w:val="clear" w:color="auto" w:fill="auto"/>
            <w:noWrap/>
            <w:vAlign w:val="center"/>
            <w:hideMark/>
          </w:tcPr>
          <w:p w14:paraId="34D0FFD5" w14:textId="77777777" w:rsidR="00247CBF" w:rsidRPr="00092ED7" w:rsidRDefault="00247CBF" w:rsidP="00247CBF">
            <w:pPr>
              <w:spacing w:after="0"/>
              <w:jc w:val="center"/>
              <w:rPr>
                <w:b/>
                <w:bCs/>
                <w:sz w:val="20"/>
                <w:szCs w:val="20"/>
                <w:lang w:val="sr-Cyrl-CS"/>
              </w:rPr>
            </w:pPr>
            <w:r w:rsidRPr="00092ED7">
              <w:rPr>
                <w:b/>
                <w:bCs/>
                <w:sz w:val="20"/>
                <w:szCs w:val="20"/>
                <w:lang w:val="sr-Cyrl-CS"/>
              </w:rPr>
              <w:t>2023</w:t>
            </w:r>
          </w:p>
        </w:tc>
        <w:tc>
          <w:tcPr>
            <w:tcW w:w="1176" w:type="dxa"/>
            <w:tcBorders>
              <w:top w:val="double" w:sz="6" w:space="0" w:color="auto"/>
              <w:left w:val="nil"/>
              <w:bottom w:val="double" w:sz="6" w:space="0" w:color="auto"/>
              <w:right w:val="dashed" w:sz="4" w:space="0" w:color="auto"/>
            </w:tcBorders>
            <w:shd w:val="clear" w:color="auto" w:fill="auto"/>
            <w:noWrap/>
            <w:vAlign w:val="center"/>
            <w:hideMark/>
          </w:tcPr>
          <w:p w14:paraId="50F34C0B" w14:textId="77777777" w:rsidR="00247CBF" w:rsidRPr="00092ED7" w:rsidRDefault="00247CBF" w:rsidP="00247CBF">
            <w:pPr>
              <w:spacing w:after="0"/>
              <w:jc w:val="center"/>
              <w:rPr>
                <w:b/>
                <w:bCs/>
                <w:sz w:val="20"/>
                <w:szCs w:val="20"/>
                <w:lang w:val="sr-Cyrl-CS"/>
              </w:rPr>
            </w:pPr>
            <w:r w:rsidRPr="00092ED7">
              <w:rPr>
                <w:b/>
                <w:bCs/>
                <w:sz w:val="20"/>
                <w:szCs w:val="20"/>
                <w:lang w:val="sr-Cyrl-CS"/>
              </w:rPr>
              <w:t>2024</w:t>
            </w:r>
          </w:p>
        </w:tc>
        <w:tc>
          <w:tcPr>
            <w:tcW w:w="1177" w:type="dxa"/>
            <w:tcBorders>
              <w:top w:val="double" w:sz="6" w:space="0" w:color="auto"/>
              <w:left w:val="nil"/>
              <w:bottom w:val="double" w:sz="6" w:space="0" w:color="auto"/>
              <w:right w:val="double" w:sz="6" w:space="0" w:color="auto"/>
            </w:tcBorders>
            <w:shd w:val="clear" w:color="auto" w:fill="auto"/>
            <w:noWrap/>
            <w:vAlign w:val="center"/>
            <w:hideMark/>
          </w:tcPr>
          <w:p w14:paraId="20B92EA5" w14:textId="77777777" w:rsidR="00247CBF" w:rsidRPr="00092ED7" w:rsidRDefault="00247CBF" w:rsidP="00247CBF">
            <w:pPr>
              <w:spacing w:after="0"/>
              <w:jc w:val="center"/>
              <w:rPr>
                <w:b/>
                <w:bCs/>
                <w:sz w:val="20"/>
                <w:szCs w:val="20"/>
                <w:lang w:val="sr-Cyrl-CS"/>
              </w:rPr>
            </w:pPr>
            <w:r w:rsidRPr="00092ED7">
              <w:rPr>
                <w:b/>
                <w:bCs/>
                <w:sz w:val="20"/>
                <w:szCs w:val="20"/>
                <w:lang w:val="sr-Cyrl-CS"/>
              </w:rPr>
              <w:t>2025</w:t>
            </w:r>
          </w:p>
        </w:tc>
      </w:tr>
      <w:tr w:rsidR="00247CBF" w:rsidRPr="00092ED7" w14:paraId="5CAD65E9" w14:textId="77777777" w:rsidTr="00247CBF">
        <w:trPr>
          <w:trHeight w:val="270"/>
        </w:trPr>
        <w:tc>
          <w:tcPr>
            <w:tcW w:w="6000" w:type="dxa"/>
            <w:tcBorders>
              <w:top w:val="double" w:sz="6" w:space="0" w:color="000000"/>
              <w:left w:val="double" w:sz="6" w:space="0" w:color="auto"/>
              <w:bottom w:val="dotted" w:sz="4" w:space="0" w:color="000000"/>
              <w:right w:val="nil"/>
            </w:tcBorders>
            <w:shd w:val="clear" w:color="auto" w:fill="auto"/>
            <w:vAlign w:val="center"/>
            <w:hideMark/>
          </w:tcPr>
          <w:p w14:paraId="426C387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Опште јавне услуге</w:t>
            </w:r>
          </w:p>
        </w:tc>
        <w:tc>
          <w:tcPr>
            <w:tcW w:w="1520" w:type="dxa"/>
            <w:tcBorders>
              <w:top w:val="double" w:sz="6" w:space="0" w:color="000000"/>
              <w:left w:val="single" w:sz="8" w:space="0" w:color="000000"/>
              <w:bottom w:val="dotted" w:sz="4" w:space="0" w:color="000000"/>
              <w:right w:val="single" w:sz="8" w:space="0" w:color="000000"/>
            </w:tcBorders>
            <w:shd w:val="clear" w:color="auto" w:fill="auto"/>
            <w:vAlign w:val="center"/>
            <w:hideMark/>
          </w:tcPr>
          <w:p w14:paraId="4CBE99AC" w14:textId="77777777" w:rsidR="00247CBF" w:rsidRPr="00092ED7" w:rsidRDefault="00247CBF" w:rsidP="00247CBF">
            <w:pPr>
              <w:spacing w:after="0"/>
              <w:jc w:val="center"/>
              <w:rPr>
                <w:sz w:val="20"/>
                <w:szCs w:val="20"/>
                <w:lang w:val="sr-Cyrl-CS"/>
              </w:rPr>
            </w:pPr>
            <w:r w:rsidRPr="00092ED7">
              <w:rPr>
                <w:sz w:val="20"/>
                <w:szCs w:val="20"/>
                <w:lang w:val="sr-Cyrl-CS"/>
              </w:rPr>
              <w:t>1</w:t>
            </w:r>
          </w:p>
        </w:tc>
        <w:tc>
          <w:tcPr>
            <w:tcW w:w="1176" w:type="dxa"/>
            <w:tcBorders>
              <w:top w:val="nil"/>
              <w:left w:val="nil"/>
              <w:bottom w:val="dotted" w:sz="4" w:space="0" w:color="000000"/>
              <w:right w:val="dotted" w:sz="4" w:space="0" w:color="000000"/>
            </w:tcBorders>
            <w:shd w:val="clear" w:color="auto" w:fill="auto"/>
            <w:noWrap/>
            <w:vAlign w:val="center"/>
            <w:hideMark/>
          </w:tcPr>
          <w:p w14:paraId="471A4C07" w14:textId="77777777" w:rsidR="00247CBF" w:rsidRPr="00092ED7" w:rsidRDefault="00247CBF" w:rsidP="00247CBF">
            <w:pPr>
              <w:spacing w:after="0"/>
              <w:jc w:val="right"/>
              <w:rPr>
                <w:sz w:val="20"/>
                <w:szCs w:val="20"/>
                <w:lang w:val="sr-Cyrl-CS"/>
              </w:rPr>
            </w:pPr>
            <w:r w:rsidRPr="00092ED7">
              <w:rPr>
                <w:sz w:val="20"/>
                <w:szCs w:val="20"/>
                <w:lang w:val="sr-Cyrl-CS"/>
              </w:rPr>
              <w:t>421,006</w:t>
            </w:r>
          </w:p>
        </w:tc>
        <w:tc>
          <w:tcPr>
            <w:tcW w:w="1176" w:type="dxa"/>
            <w:tcBorders>
              <w:top w:val="nil"/>
              <w:left w:val="nil"/>
              <w:bottom w:val="dotted" w:sz="4" w:space="0" w:color="000000"/>
              <w:right w:val="dotted" w:sz="4" w:space="0" w:color="000000"/>
            </w:tcBorders>
            <w:shd w:val="clear" w:color="auto" w:fill="auto"/>
            <w:noWrap/>
            <w:vAlign w:val="center"/>
            <w:hideMark/>
          </w:tcPr>
          <w:p w14:paraId="56E37BA3" w14:textId="77777777" w:rsidR="00247CBF" w:rsidRPr="00092ED7" w:rsidRDefault="00247CBF" w:rsidP="00247CBF">
            <w:pPr>
              <w:spacing w:after="0"/>
              <w:jc w:val="right"/>
              <w:rPr>
                <w:sz w:val="20"/>
                <w:szCs w:val="20"/>
                <w:lang w:val="sr-Cyrl-CS"/>
              </w:rPr>
            </w:pPr>
            <w:r w:rsidRPr="00092ED7">
              <w:rPr>
                <w:sz w:val="20"/>
                <w:szCs w:val="20"/>
                <w:lang w:val="sr-Cyrl-CS"/>
              </w:rPr>
              <w:t>423,909</w:t>
            </w:r>
          </w:p>
        </w:tc>
        <w:tc>
          <w:tcPr>
            <w:tcW w:w="1177" w:type="dxa"/>
            <w:tcBorders>
              <w:top w:val="nil"/>
              <w:left w:val="nil"/>
              <w:bottom w:val="dotted" w:sz="4" w:space="0" w:color="000000"/>
              <w:right w:val="dotted" w:sz="4" w:space="0" w:color="000000"/>
            </w:tcBorders>
            <w:shd w:val="clear" w:color="auto" w:fill="auto"/>
            <w:noWrap/>
            <w:vAlign w:val="center"/>
            <w:hideMark/>
          </w:tcPr>
          <w:p w14:paraId="700B06E9" w14:textId="77777777" w:rsidR="00247CBF" w:rsidRPr="00092ED7" w:rsidRDefault="00247CBF" w:rsidP="00247CBF">
            <w:pPr>
              <w:spacing w:after="0"/>
              <w:jc w:val="right"/>
              <w:rPr>
                <w:sz w:val="20"/>
                <w:szCs w:val="20"/>
                <w:lang w:val="sr-Cyrl-CS"/>
              </w:rPr>
            </w:pPr>
            <w:r w:rsidRPr="00092ED7">
              <w:rPr>
                <w:sz w:val="20"/>
                <w:szCs w:val="20"/>
                <w:lang w:val="sr-Cyrl-CS"/>
              </w:rPr>
              <w:t>626,983</w:t>
            </w:r>
          </w:p>
        </w:tc>
        <w:tc>
          <w:tcPr>
            <w:tcW w:w="1176" w:type="dxa"/>
            <w:tcBorders>
              <w:top w:val="nil"/>
              <w:left w:val="nil"/>
              <w:bottom w:val="dotted" w:sz="4" w:space="0" w:color="000000"/>
              <w:right w:val="dotted" w:sz="4" w:space="0" w:color="000000"/>
            </w:tcBorders>
            <w:shd w:val="clear" w:color="auto" w:fill="auto"/>
            <w:noWrap/>
            <w:vAlign w:val="center"/>
            <w:hideMark/>
          </w:tcPr>
          <w:p w14:paraId="72150BA8" w14:textId="77777777" w:rsidR="00247CBF" w:rsidRPr="00092ED7" w:rsidRDefault="00247CBF" w:rsidP="00247CBF">
            <w:pPr>
              <w:spacing w:after="0"/>
              <w:jc w:val="right"/>
              <w:rPr>
                <w:sz w:val="20"/>
                <w:szCs w:val="20"/>
                <w:lang w:val="sr-Cyrl-CS"/>
              </w:rPr>
            </w:pPr>
            <w:r w:rsidRPr="00092ED7">
              <w:rPr>
                <w:sz w:val="20"/>
                <w:szCs w:val="20"/>
                <w:lang w:val="sr-Cyrl-CS"/>
              </w:rPr>
              <w:t>614,238</w:t>
            </w:r>
          </w:p>
        </w:tc>
        <w:tc>
          <w:tcPr>
            <w:tcW w:w="1176" w:type="dxa"/>
            <w:tcBorders>
              <w:top w:val="nil"/>
              <w:left w:val="nil"/>
              <w:bottom w:val="dotted" w:sz="4" w:space="0" w:color="000000"/>
              <w:right w:val="dotted" w:sz="4" w:space="0" w:color="000000"/>
            </w:tcBorders>
            <w:shd w:val="clear" w:color="auto" w:fill="auto"/>
            <w:noWrap/>
            <w:vAlign w:val="center"/>
            <w:hideMark/>
          </w:tcPr>
          <w:p w14:paraId="2C6D2557" w14:textId="77777777" w:rsidR="00247CBF" w:rsidRPr="00092ED7" w:rsidRDefault="00247CBF" w:rsidP="00247CBF">
            <w:pPr>
              <w:spacing w:after="0"/>
              <w:jc w:val="right"/>
              <w:rPr>
                <w:sz w:val="20"/>
                <w:szCs w:val="20"/>
                <w:lang w:val="sr-Cyrl-CS"/>
              </w:rPr>
            </w:pPr>
            <w:r w:rsidRPr="00092ED7">
              <w:rPr>
                <w:sz w:val="20"/>
                <w:szCs w:val="20"/>
                <w:lang w:val="sr-Cyrl-CS"/>
              </w:rPr>
              <w:t>554,662</w:t>
            </w:r>
          </w:p>
        </w:tc>
        <w:tc>
          <w:tcPr>
            <w:tcW w:w="1177" w:type="dxa"/>
            <w:tcBorders>
              <w:top w:val="nil"/>
              <w:left w:val="nil"/>
              <w:bottom w:val="dotted" w:sz="4" w:space="0" w:color="000000"/>
              <w:right w:val="double" w:sz="6" w:space="0" w:color="auto"/>
            </w:tcBorders>
            <w:shd w:val="clear" w:color="auto" w:fill="auto"/>
            <w:noWrap/>
            <w:vAlign w:val="center"/>
            <w:hideMark/>
          </w:tcPr>
          <w:p w14:paraId="723E5770" w14:textId="77777777" w:rsidR="00247CBF" w:rsidRPr="00092ED7" w:rsidRDefault="00247CBF" w:rsidP="00247CBF">
            <w:pPr>
              <w:spacing w:after="0"/>
              <w:jc w:val="right"/>
              <w:rPr>
                <w:sz w:val="20"/>
                <w:szCs w:val="20"/>
                <w:lang w:val="sr-Cyrl-CS"/>
              </w:rPr>
            </w:pPr>
            <w:r w:rsidRPr="00092ED7">
              <w:rPr>
                <w:sz w:val="20"/>
                <w:szCs w:val="20"/>
                <w:lang w:val="sr-Cyrl-CS"/>
              </w:rPr>
              <w:t>504,528</w:t>
            </w:r>
          </w:p>
        </w:tc>
      </w:tr>
      <w:tr w:rsidR="00247CBF" w:rsidRPr="00092ED7" w14:paraId="15B75D7A" w14:textId="77777777" w:rsidTr="00247CBF">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032B902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 Одбрана</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394639AE" w14:textId="77777777" w:rsidR="00247CBF" w:rsidRPr="00092ED7" w:rsidRDefault="00247CBF" w:rsidP="00247CBF">
            <w:pPr>
              <w:spacing w:after="0"/>
              <w:jc w:val="center"/>
              <w:rPr>
                <w:sz w:val="20"/>
                <w:szCs w:val="20"/>
                <w:lang w:val="sr-Cyrl-CS"/>
              </w:rPr>
            </w:pPr>
            <w:r w:rsidRPr="00092ED7">
              <w:rPr>
                <w:sz w:val="20"/>
                <w:szCs w:val="20"/>
                <w:lang w:val="sr-Cyrl-CS"/>
              </w:rPr>
              <w:t>2</w:t>
            </w:r>
          </w:p>
        </w:tc>
        <w:tc>
          <w:tcPr>
            <w:tcW w:w="1176" w:type="dxa"/>
            <w:tcBorders>
              <w:top w:val="nil"/>
              <w:left w:val="nil"/>
              <w:bottom w:val="dotted" w:sz="4" w:space="0" w:color="000000"/>
              <w:right w:val="dotted" w:sz="4" w:space="0" w:color="000000"/>
            </w:tcBorders>
            <w:shd w:val="clear" w:color="auto" w:fill="auto"/>
            <w:noWrap/>
            <w:vAlign w:val="center"/>
            <w:hideMark/>
          </w:tcPr>
          <w:p w14:paraId="561F9850" w14:textId="77777777" w:rsidR="00247CBF" w:rsidRPr="00092ED7" w:rsidRDefault="00247CBF" w:rsidP="00247CBF">
            <w:pPr>
              <w:spacing w:after="0"/>
              <w:jc w:val="right"/>
              <w:rPr>
                <w:sz w:val="20"/>
                <w:szCs w:val="20"/>
                <w:lang w:val="sr-Cyrl-CS"/>
              </w:rPr>
            </w:pPr>
            <w:r w:rsidRPr="00092ED7">
              <w:rPr>
                <w:sz w:val="20"/>
                <w:szCs w:val="20"/>
                <w:lang w:val="sr-Cyrl-CS"/>
              </w:rPr>
              <w:t>108,125</w:t>
            </w:r>
          </w:p>
        </w:tc>
        <w:tc>
          <w:tcPr>
            <w:tcW w:w="1176" w:type="dxa"/>
            <w:tcBorders>
              <w:top w:val="nil"/>
              <w:left w:val="nil"/>
              <w:bottom w:val="dotted" w:sz="4" w:space="0" w:color="000000"/>
              <w:right w:val="dotted" w:sz="4" w:space="0" w:color="000000"/>
            </w:tcBorders>
            <w:shd w:val="clear" w:color="auto" w:fill="auto"/>
            <w:noWrap/>
            <w:vAlign w:val="center"/>
            <w:hideMark/>
          </w:tcPr>
          <w:p w14:paraId="15230636" w14:textId="77777777" w:rsidR="00247CBF" w:rsidRPr="00092ED7" w:rsidRDefault="00247CBF" w:rsidP="00247CBF">
            <w:pPr>
              <w:spacing w:after="0"/>
              <w:jc w:val="right"/>
              <w:rPr>
                <w:sz w:val="20"/>
                <w:szCs w:val="20"/>
                <w:lang w:val="sr-Cyrl-CS"/>
              </w:rPr>
            </w:pPr>
            <w:r w:rsidRPr="00092ED7">
              <w:rPr>
                <w:sz w:val="20"/>
                <w:szCs w:val="20"/>
                <w:lang w:val="sr-Cyrl-CS"/>
              </w:rPr>
              <w:t>155,128</w:t>
            </w:r>
          </w:p>
        </w:tc>
        <w:tc>
          <w:tcPr>
            <w:tcW w:w="1177" w:type="dxa"/>
            <w:tcBorders>
              <w:top w:val="nil"/>
              <w:left w:val="nil"/>
              <w:bottom w:val="dotted" w:sz="4" w:space="0" w:color="000000"/>
              <w:right w:val="dotted" w:sz="4" w:space="0" w:color="000000"/>
            </w:tcBorders>
            <w:shd w:val="clear" w:color="auto" w:fill="auto"/>
            <w:noWrap/>
            <w:vAlign w:val="center"/>
            <w:hideMark/>
          </w:tcPr>
          <w:p w14:paraId="7BB21497" w14:textId="77777777" w:rsidR="00247CBF" w:rsidRPr="00092ED7" w:rsidRDefault="00247CBF" w:rsidP="00247CBF">
            <w:pPr>
              <w:spacing w:after="0"/>
              <w:jc w:val="right"/>
              <w:rPr>
                <w:sz w:val="20"/>
                <w:szCs w:val="20"/>
                <w:lang w:val="sr-Cyrl-CS"/>
              </w:rPr>
            </w:pPr>
            <w:r w:rsidRPr="00092ED7">
              <w:rPr>
                <w:sz w:val="20"/>
                <w:szCs w:val="20"/>
                <w:lang w:val="sr-Cyrl-CS"/>
              </w:rPr>
              <w:t>138,947</w:t>
            </w:r>
          </w:p>
        </w:tc>
        <w:tc>
          <w:tcPr>
            <w:tcW w:w="1176" w:type="dxa"/>
            <w:tcBorders>
              <w:top w:val="nil"/>
              <w:left w:val="nil"/>
              <w:bottom w:val="dotted" w:sz="4" w:space="0" w:color="000000"/>
              <w:right w:val="dotted" w:sz="4" w:space="0" w:color="000000"/>
            </w:tcBorders>
            <w:shd w:val="clear" w:color="auto" w:fill="auto"/>
            <w:noWrap/>
            <w:vAlign w:val="center"/>
            <w:hideMark/>
          </w:tcPr>
          <w:p w14:paraId="79CCCFED" w14:textId="77777777" w:rsidR="00247CBF" w:rsidRPr="00092ED7" w:rsidRDefault="00247CBF" w:rsidP="00247CBF">
            <w:pPr>
              <w:spacing w:after="0"/>
              <w:jc w:val="right"/>
              <w:rPr>
                <w:sz w:val="20"/>
                <w:szCs w:val="20"/>
                <w:lang w:val="sr-Cyrl-CS"/>
              </w:rPr>
            </w:pPr>
            <w:r w:rsidRPr="00092ED7">
              <w:rPr>
                <w:sz w:val="20"/>
                <w:szCs w:val="20"/>
                <w:lang w:val="sr-Cyrl-CS"/>
              </w:rPr>
              <w:t>160,502</w:t>
            </w:r>
          </w:p>
        </w:tc>
        <w:tc>
          <w:tcPr>
            <w:tcW w:w="1176" w:type="dxa"/>
            <w:tcBorders>
              <w:top w:val="nil"/>
              <w:left w:val="nil"/>
              <w:bottom w:val="dotted" w:sz="4" w:space="0" w:color="000000"/>
              <w:right w:val="dotted" w:sz="4" w:space="0" w:color="000000"/>
            </w:tcBorders>
            <w:shd w:val="clear" w:color="auto" w:fill="auto"/>
            <w:noWrap/>
            <w:vAlign w:val="center"/>
            <w:hideMark/>
          </w:tcPr>
          <w:p w14:paraId="4151A6AB" w14:textId="77777777" w:rsidR="00247CBF" w:rsidRPr="00092ED7" w:rsidRDefault="00247CBF" w:rsidP="00247CBF">
            <w:pPr>
              <w:spacing w:after="0"/>
              <w:jc w:val="right"/>
              <w:rPr>
                <w:sz w:val="20"/>
                <w:szCs w:val="20"/>
                <w:lang w:val="sr-Cyrl-CS"/>
              </w:rPr>
            </w:pPr>
            <w:r w:rsidRPr="00092ED7">
              <w:rPr>
                <w:sz w:val="20"/>
                <w:szCs w:val="20"/>
                <w:lang w:val="sr-Cyrl-CS"/>
              </w:rPr>
              <w:t>175,526</w:t>
            </w:r>
          </w:p>
        </w:tc>
        <w:tc>
          <w:tcPr>
            <w:tcW w:w="1177" w:type="dxa"/>
            <w:tcBorders>
              <w:top w:val="nil"/>
              <w:left w:val="nil"/>
              <w:bottom w:val="dotted" w:sz="4" w:space="0" w:color="000000"/>
              <w:right w:val="double" w:sz="6" w:space="0" w:color="auto"/>
            </w:tcBorders>
            <w:shd w:val="clear" w:color="auto" w:fill="auto"/>
            <w:noWrap/>
            <w:vAlign w:val="center"/>
            <w:hideMark/>
          </w:tcPr>
          <w:p w14:paraId="7473B36D" w14:textId="77777777" w:rsidR="00247CBF" w:rsidRPr="00092ED7" w:rsidRDefault="00247CBF" w:rsidP="00247CBF">
            <w:pPr>
              <w:spacing w:after="0"/>
              <w:jc w:val="right"/>
              <w:rPr>
                <w:sz w:val="20"/>
                <w:szCs w:val="20"/>
                <w:lang w:val="sr-Cyrl-CS"/>
              </w:rPr>
            </w:pPr>
            <w:r w:rsidRPr="00092ED7">
              <w:rPr>
                <w:sz w:val="20"/>
                <w:szCs w:val="20"/>
                <w:lang w:val="sr-Cyrl-CS"/>
              </w:rPr>
              <w:t>190,388</w:t>
            </w:r>
          </w:p>
        </w:tc>
      </w:tr>
      <w:tr w:rsidR="00247CBF" w:rsidRPr="00092ED7" w14:paraId="26098D0E" w14:textId="77777777" w:rsidTr="00247CBF">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3689D4F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3. Јавни ред и безбедност</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60BC7BD8" w14:textId="77777777" w:rsidR="00247CBF" w:rsidRPr="00092ED7" w:rsidRDefault="00247CBF" w:rsidP="00247CBF">
            <w:pPr>
              <w:spacing w:after="0"/>
              <w:jc w:val="center"/>
              <w:rPr>
                <w:sz w:val="20"/>
                <w:szCs w:val="20"/>
                <w:lang w:val="sr-Cyrl-CS"/>
              </w:rPr>
            </w:pPr>
            <w:r w:rsidRPr="00092ED7">
              <w:rPr>
                <w:sz w:val="20"/>
                <w:szCs w:val="20"/>
                <w:lang w:val="sr-Cyrl-CS"/>
              </w:rPr>
              <w:t>3</w:t>
            </w:r>
          </w:p>
        </w:tc>
        <w:tc>
          <w:tcPr>
            <w:tcW w:w="1176" w:type="dxa"/>
            <w:tcBorders>
              <w:top w:val="nil"/>
              <w:left w:val="nil"/>
              <w:bottom w:val="dotted" w:sz="4" w:space="0" w:color="000000"/>
              <w:right w:val="dotted" w:sz="4" w:space="0" w:color="000000"/>
            </w:tcBorders>
            <w:shd w:val="clear" w:color="auto" w:fill="auto"/>
            <w:noWrap/>
            <w:vAlign w:val="center"/>
            <w:hideMark/>
          </w:tcPr>
          <w:p w14:paraId="39E8056E" w14:textId="77777777" w:rsidR="00247CBF" w:rsidRPr="00092ED7" w:rsidRDefault="00247CBF" w:rsidP="00247CBF">
            <w:pPr>
              <w:spacing w:after="0"/>
              <w:jc w:val="right"/>
              <w:rPr>
                <w:sz w:val="20"/>
                <w:szCs w:val="20"/>
                <w:lang w:val="sr-Cyrl-CS"/>
              </w:rPr>
            </w:pPr>
            <w:r w:rsidRPr="00092ED7">
              <w:rPr>
                <w:sz w:val="20"/>
                <w:szCs w:val="20"/>
                <w:lang w:val="sr-Cyrl-CS"/>
              </w:rPr>
              <w:t>149,692</w:t>
            </w:r>
          </w:p>
        </w:tc>
        <w:tc>
          <w:tcPr>
            <w:tcW w:w="1176" w:type="dxa"/>
            <w:tcBorders>
              <w:top w:val="nil"/>
              <w:left w:val="nil"/>
              <w:bottom w:val="dotted" w:sz="4" w:space="0" w:color="000000"/>
              <w:right w:val="dotted" w:sz="4" w:space="0" w:color="000000"/>
            </w:tcBorders>
            <w:shd w:val="clear" w:color="auto" w:fill="auto"/>
            <w:noWrap/>
            <w:vAlign w:val="center"/>
            <w:hideMark/>
          </w:tcPr>
          <w:p w14:paraId="15251F63" w14:textId="77777777" w:rsidR="00247CBF" w:rsidRPr="00092ED7" w:rsidRDefault="00247CBF" w:rsidP="00247CBF">
            <w:pPr>
              <w:spacing w:after="0"/>
              <w:jc w:val="right"/>
              <w:rPr>
                <w:sz w:val="20"/>
                <w:szCs w:val="20"/>
                <w:lang w:val="sr-Cyrl-CS"/>
              </w:rPr>
            </w:pPr>
            <w:r w:rsidRPr="00092ED7">
              <w:rPr>
                <w:sz w:val="20"/>
                <w:szCs w:val="20"/>
                <w:lang w:val="sr-Cyrl-CS"/>
              </w:rPr>
              <w:t>167,544</w:t>
            </w:r>
          </w:p>
        </w:tc>
        <w:tc>
          <w:tcPr>
            <w:tcW w:w="1177" w:type="dxa"/>
            <w:tcBorders>
              <w:top w:val="nil"/>
              <w:left w:val="nil"/>
              <w:bottom w:val="dotted" w:sz="4" w:space="0" w:color="000000"/>
              <w:right w:val="dotted" w:sz="4" w:space="0" w:color="000000"/>
            </w:tcBorders>
            <w:shd w:val="clear" w:color="auto" w:fill="auto"/>
            <w:noWrap/>
            <w:vAlign w:val="center"/>
            <w:hideMark/>
          </w:tcPr>
          <w:p w14:paraId="4C31C4F3" w14:textId="77777777" w:rsidR="00247CBF" w:rsidRPr="00092ED7" w:rsidRDefault="00247CBF" w:rsidP="00247CBF">
            <w:pPr>
              <w:spacing w:after="0"/>
              <w:jc w:val="right"/>
              <w:rPr>
                <w:sz w:val="20"/>
                <w:szCs w:val="20"/>
                <w:lang w:val="sr-Cyrl-CS"/>
              </w:rPr>
            </w:pPr>
            <w:r w:rsidRPr="00092ED7">
              <w:rPr>
                <w:sz w:val="20"/>
                <w:szCs w:val="20"/>
                <w:lang w:val="sr-Cyrl-CS"/>
              </w:rPr>
              <w:t>173,076</w:t>
            </w:r>
          </w:p>
        </w:tc>
        <w:tc>
          <w:tcPr>
            <w:tcW w:w="1176" w:type="dxa"/>
            <w:tcBorders>
              <w:top w:val="nil"/>
              <w:left w:val="nil"/>
              <w:bottom w:val="dotted" w:sz="4" w:space="0" w:color="000000"/>
              <w:right w:val="dotted" w:sz="4" w:space="0" w:color="000000"/>
            </w:tcBorders>
            <w:shd w:val="clear" w:color="auto" w:fill="auto"/>
            <w:noWrap/>
            <w:vAlign w:val="center"/>
            <w:hideMark/>
          </w:tcPr>
          <w:p w14:paraId="2C5D69A8" w14:textId="77777777" w:rsidR="00247CBF" w:rsidRPr="00092ED7" w:rsidRDefault="00247CBF" w:rsidP="00247CBF">
            <w:pPr>
              <w:spacing w:after="0"/>
              <w:jc w:val="right"/>
              <w:rPr>
                <w:sz w:val="20"/>
                <w:szCs w:val="20"/>
                <w:lang w:val="sr-Cyrl-CS"/>
              </w:rPr>
            </w:pPr>
            <w:r w:rsidRPr="00092ED7">
              <w:rPr>
                <w:sz w:val="20"/>
                <w:szCs w:val="20"/>
                <w:lang w:val="sr-Cyrl-CS"/>
              </w:rPr>
              <w:t>184,001</w:t>
            </w:r>
          </w:p>
        </w:tc>
        <w:tc>
          <w:tcPr>
            <w:tcW w:w="1176" w:type="dxa"/>
            <w:tcBorders>
              <w:top w:val="nil"/>
              <w:left w:val="nil"/>
              <w:bottom w:val="dotted" w:sz="4" w:space="0" w:color="000000"/>
              <w:right w:val="dotted" w:sz="4" w:space="0" w:color="000000"/>
            </w:tcBorders>
            <w:shd w:val="clear" w:color="auto" w:fill="auto"/>
            <w:noWrap/>
            <w:vAlign w:val="center"/>
            <w:hideMark/>
          </w:tcPr>
          <w:p w14:paraId="16AB2188" w14:textId="77777777" w:rsidR="00247CBF" w:rsidRPr="00092ED7" w:rsidRDefault="00247CBF" w:rsidP="00247CBF">
            <w:pPr>
              <w:spacing w:after="0"/>
              <w:jc w:val="right"/>
              <w:rPr>
                <w:sz w:val="20"/>
                <w:szCs w:val="20"/>
                <w:lang w:val="sr-Cyrl-CS"/>
              </w:rPr>
            </w:pPr>
            <w:r w:rsidRPr="00092ED7">
              <w:rPr>
                <w:sz w:val="20"/>
                <w:szCs w:val="20"/>
                <w:lang w:val="sr-Cyrl-CS"/>
              </w:rPr>
              <w:t>201,855</w:t>
            </w:r>
          </w:p>
        </w:tc>
        <w:tc>
          <w:tcPr>
            <w:tcW w:w="1177" w:type="dxa"/>
            <w:tcBorders>
              <w:top w:val="nil"/>
              <w:left w:val="nil"/>
              <w:bottom w:val="dotted" w:sz="4" w:space="0" w:color="000000"/>
              <w:right w:val="double" w:sz="6" w:space="0" w:color="auto"/>
            </w:tcBorders>
            <w:shd w:val="clear" w:color="auto" w:fill="auto"/>
            <w:noWrap/>
            <w:vAlign w:val="center"/>
            <w:hideMark/>
          </w:tcPr>
          <w:p w14:paraId="3E322D88" w14:textId="77777777" w:rsidR="00247CBF" w:rsidRPr="00092ED7" w:rsidRDefault="00247CBF" w:rsidP="00247CBF">
            <w:pPr>
              <w:spacing w:after="0"/>
              <w:jc w:val="right"/>
              <w:rPr>
                <w:sz w:val="20"/>
                <w:szCs w:val="20"/>
                <w:lang w:val="sr-Cyrl-CS"/>
              </w:rPr>
            </w:pPr>
            <w:r w:rsidRPr="00092ED7">
              <w:rPr>
                <w:sz w:val="20"/>
                <w:szCs w:val="20"/>
                <w:lang w:val="sr-Cyrl-CS"/>
              </w:rPr>
              <w:t>218,946</w:t>
            </w:r>
          </w:p>
        </w:tc>
      </w:tr>
      <w:tr w:rsidR="00247CBF" w:rsidRPr="00092ED7" w14:paraId="19FA492B" w14:textId="77777777" w:rsidTr="00247CBF">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577512F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4. Економски послови</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4165BFD6" w14:textId="77777777" w:rsidR="00247CBF" w:rsidRPr="00092ED7" w:rsidRDefault="00247CBF" w:rsidP="00247CBF">
            <w:pPr>
              <w:spacing w:after="0"/>
              <w:jc w:val="center"/>
              <w:rPr>
                <w:sz w:val="20"/>
                <w:szCs w:val="20"/>
                <w:lang w:val="sr-Cyrl-CS"/>
              </w:rPr>
            </w:pPr>
            <w:r w:rsidRPr="00092ED7">
              <w:rPr>
                <w:sz w:val="20"/>
                <w:szCs w:val="20"/>
                <w:lang w:val="sr-Cyrl-CS"/>
              </w:rPr>
              <w:t>4</w:t>
            </w:r>
          </w:p>
        </w:tc>
        <w:tc>
          <w:tcPr>
            <w:tcW w:w="1176" w:type="dxa"/>
            <w:tcBorders>
              <w:top w:val="nil"/>
              <w:left w:val="nil"/>
              <w:bottom w:val="dotted" w:sz="4" w:space="0" w:color="000000"/>
              <w:right w:val="dotted" w:sz="4" w:space="0" w:color="000000"/>
            </w:tcBorders>
            <w:shd w:val="clear" w:color="auto" w:fill="auto"/>
            <w:noWrap/>
            <w:vAlign w:val="center"/>
            <w:hideMark/>
          </w:tcPr>
          <w:p w14:paraId="777D455D" w14:textId="77777777" w:rsidR="00247CBF" w:rsidRPr="00092ED7" w:rsidRDefault="00247CBF" w:rsidP="00247CBF">
            <w:pPr>
              <w:spacing w:after="0"/>
              <w:jc w:val="right"/>
              <w:rPr>
                <w:sz w:val="20"/>
                <w:szCs w:val="20"/>
                <w:lang w:val="sr-Cyrl-CS"/>
              </w:rPr>
            </w:pPr>
            <w:r w:rsidRPr="00092ED7">
              <w:rPr>
                <w:sz w:val="20"/>
                <w:szCs w:val="20"/>
                <w:lang w:val="sr-Cyrl-CS"/>
              </w:rPr>
              <w:t>494,914</w:t>
            </w:r>
          </w:p>
        </w:tc>
        <w:tc>
          <w:tcPr>
            <w:tcW w:w="1176" w:type="dxa"/>
            <w:tcBorders>
              <w:top w:val="nil"/>
              <w:left w:val="nil"/>
              <w:bottom w:val="dotted" w:sz="4" w:space="0" w:color="000000"/>
              <w:right w:val="dotted" w:sz="4" w:space="0" w:color="000000"/>
            </w:tcBorders>
            <w:shd w:val="clear" w:color="auto" w:fill="auto"/>
            <w:noWrap/>
            <w:vAlign w:val="center"/>
            <w:hideMark/>
          </w:tcPr>
          <w:p w14:paraId="1BDAEBB6" w14:textId="77777777" w:rsidR="00247CBF" w:rsidRPr="00092ED7" w:rsidRDefault="00247CBF" w:rsidP="00247CBF">
            <w:pPr>
              <w:spacing w:after="0"/>
              <w:jc w:val="right"/>
              <w:rPr>
                <w:sz w:val="20"/>
                <w:szCs w:val="20"/>
                <w:lang w:val="sr-Cyrl-CS"/>
              </w:rPr>
            </w:pPr>
            <w:r w:rsidRPr="00092ED7">
              <w:rPr>
                <w:sz w:val="20"/>
                <w:szCs w:val="20"/>
                <w:lang w:val="sr-Cyrl-CS"/>
              </w:rPr>
              <w:t>562,278</w:t>
            </w:r>
          </w:p>
        </w:tc>
        <w:tc>
          <w:tcPr>
            <w:tcW w:w="1177" w:type="dxa"/>
            <w:tcBorders>
              <w:top w:val="nil"/>
              <w:left w:val="nil"/>
              <w:bottom w:val="dotted" w:sz="4" w:space="0" w:color="000000"/>
              <w:right w:val="dotted" w:sz="4" w:space="0" w:color="000000"/>
            </w:tcBorders>
            <w:shd w:val="clear" w:color="auto" w:fill="auto"/>
            <w:noWrap/>
            <w:vAlign w:val="center"/>
            <w:hideMark/>
          </w:tcPr>
          <w:p w14:paraId="38916063" w14:textId="77777777" w:rsidR="00247CBF" w:rsidRPr="00092ED7" w:rsidRDefault="00247CBF" w:rsidP="00247CBF">
            <w:pPr>
              <w:spacing w:after="0"/>
              <w:jc w:val="right"/>
              <w:rPr>
                <w:sz w:val="20"/>
                <w:szCs w:val="20"/>
                <w:lang w:val="sr-Cyrl-CS"/>
              </w:rPr>
            </w:pPr>
            <w:r w:rsidRPr="00092ED7">
              <w:rPr>
                <w:sz w:val="20"/>
                <w:szCs w:val="20"/>
                <w:lang w:val="sr-Cyrl-CS"/>
              </w:rPr>
              <w:t>557,791</w:t>
            </w:r>
          </w:p>
        </w:tc>
        <w:tc>
          <w:tcPr>
            <w:tcW w:w="1176" w:type="dxa"/>
            <w:tcBorders>
              <w:top w:val="nil"/>
              <w:left w:val="nil"/>
              <w:bottom w:val="dotted" w:sz="4" w:space="0" w:color="000000"/>
              <w:right w:val="dotted" w:sz="4" w:space="0" w:color="000000"/>
            </w:tcBorders>
            <w:shd w:val="clear" w:color="auto" w:fill="auto"/>
            <w:noWrap/>
            <w:vAlign w:val="center"/>
            <w:hideMark/>
          </w:tcPr>
          <w:p w14:paraId="3C2B8371" w14:textId="77777777" w:rsidR="00247CBF" w:rsidRPr="00092ED7" w:rsidRDefault="00247CBF" w:rsidP="00247CBF">
            <w:pPr>
              <w:spacing w:after="0"/>
              <w:jc w:val="right"/>
              <w:rPr>
                <w:sz w:val="20"/>
                <w:szCs w:val="20"/>
                <w:lang w:val="sr-Cyrl-CS"/>
              </w:rPr>
            </w:pPr>
            <w:r w:rsidRPr="00092ED7">
              <w:rPr>
                <w:sz w:val="20"/>
                <w:szCs w:val="20"/>
                <w:lang w:val="sr-Cyrl-CS"/>
              </w:rPr>
              <w:t>586,267</w:t>
            </w:r>
          </w:p>
        </w:tc>
        <w:tc>
          <w:tcPr>
            <w:tcW w:w="1176" w:type="dxa"/>
            <w:tcBorders>
              <w:top w:val="nil"/>
              <w:left w:val="nil"/>
              <w:bottom w:val="dotted" w:sz="4" w:space="0" w:color="000000"/>
              <w:right w:val="dotted" w:sz="4" w:space="0" w:color="000000"/>
            </w:tcBorders>
            <w:shd w:val="clear" w:color="auto" w:fill="auto"/>
            <w:noWrap/>
            <w:vAlign w:val="center"/>
            <w:hideMark/>
          </w:tcPr>
          <w:p w14:paraId="6C5E58D8" w14:textId="77777777" w:rsidR="00247CBF" w:rsidRPr="00092ED7" w:rsidRDefault="00247CBF" w:rsidP="00247CBF">
            <w:pPr>
              <w:spacing w:after="0"/>
              <w:jc w:val="right"/>
              <w:rPr>
                <w:sz w:val="20"/>
                <w:szCs w:val="20"/>
                <w:lang w:val="sr-Cyrl-CS"/>
              </w:rPr>
            </w:pPr>
            <w:r w:rsidRPr="00092ED7">
              <w:rPr>
                <w:sz w:val="20"/>
                <w:szCs w:val="20"/>
                <w:lang w:val="sr-Cyrl-CS"/>
              </w:rPr>
              <w:t>596,788</w:t>
            </w:r>
          </w:p>
        </w:tc>
        <w:tc>
          <w:tcPr>
            <w:tcW w:w="1177" w:type="dxa"/>
            <w:tcBorders>
              <w:top w:val="nil"/>
              <w:left w:val="nil"/>
              <w:bottom w:val="dotted" w:sz="4" w:space="0" w:color="000000"/>
              <w:right w:val="double" w:sz="6" w:space="0" w:color="auto"/>
            </w:tcBorders>
            <w:shd w:val="clear" w:color="auto" w:fill="auto"/>
            <w:noWrap/>
            <w:vAlign w:val="center"/>
            <w:hideMark/>
          </w:tcPr>
          <w:p w14:paraId="7A834BA7" w14:textId="77777777" w:rsidR="00247CBF" w:rsidRPr="00092ED7" w:rsidRDefault="00247CBF" w:rsidP="00247CBF">
            <w:pPr>
              <w:spacing w:after="0"/>
              <w:jc w:val="right"/>
              <w:rPr>
                <w:sz w:val="20"/>
                <w:szCs w:val="20"/>
                <w:lang w:val="sr-Cyrl-CS"/>
              </w:rPr>
            </w:pPr>
            <w:r w:rsidRPr="00092ED7">
              <w:rPr>
                <w:sz w:val="20"/>
                <w:szCs w:val="20"/>
                <w:lang w:val="sr-Cyrl-CS"/>
              </w:rPr>
              <w:t>609,242</w:t>
            </w:r>
          </w:p>
        </w:tc>
      </w:tr>
      <w:tr w:rsidR="00247CBF" w:rsidRPr="00092ED7" w14:paraId="1033E7EE" w14:textId="77777777" w:rsidTr="00247CBF">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31D5C81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5. Заштита животне средине</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71691F05" w14:textId="77777777" w:rsidR="00247CBF" w:rsidRPr="00092ED7" w:rsidRDefault="00247CBF" w:rsidP="00247CBF">
            <w:pPr>
              <w:spacing w:after="0"/>
              <w:jc w:val="center"/>
              <w:rPr>
                <w:sz w:val="20"/>
                <w:szCs w:val="20"/>
                <w:lang w:val="sr-Cyrl-CS"/>
              </w:rPr>
            </w:pPr>
            <w:r w:rsidRPr="00092ED7">
              <w:rPr>
                <w:sz w:val="20"/>
                <w:szCs w:val="20"/>
                <w:lang w:val="sr-Cyrl-CS"/>
              </w:rPr>
              <w:t>5</w:t>
            </w:r>
          </w:p>
        </w:tc>
        <w:tc>
          <w:tcPr>
            <w:tcW w:w="1176" w:type="dxa"/>
            <w:tcBorders>
              <w:top w:val="nil"/>
              <w:left w:val="nil"/>
              <w:bottom w:val="dotted" w:sz="4" w:space="0" w:color="000000"/>
              <w:right w:val="dotted" w:sz="4" w:space="0" w:color="000000"/>
            </w:tcBorders>
            <w:shd w:val="clear" w:color="auto" w:fill="auto"/>
            <w:noWrap/>
            <w:vAlign w:val="center"/>
            <w:hideMark/>
          </w:tcPr>
          <w:p w14:paraId="68D803C4" w14:textId="77777777" w:rsidR="00247CBF" w:rsidRPr="00092ED7" w:rsidRDefault="00247CBF" w:rsidP="00247CBF">
            <w:pPr>
              <w:spacing w:after="0"/>
              <w:jc w:val="right"/>
              <w:rPr>
                <w:sz w:val="20"/>
                <w:szCs w:val="20"/>
                <w:lang w:val="sr-Cyrl-CS"/>
              </w:rPr>
            </w:pPr>
            <w:r w:rsidRPr="00092ED7">
              <w:rPr>
                <w:sz w:val="20"/>
                <w:szCs w:val="20"/>
                <w:lang w:val="sr-Cyrl-CS"/>
              </w:rPr>
              <w:t>15,815</w:t>
            </w:r>
          </w:p>
        </w:tc>
        <w:tc>
          <w:tcPr>
            <w:tcW w:w="1176" w:type="dxa"/>
            <w:tcBorders>
              <w:top w:val="nil"/>
              <w:left w:val="nil"/>
              <w:bottom w:val="dotted" w:sz="4" w:space="0" w:color="000000"/>
              <w:right w:val="dotted" w:sz="4" w:space="0" w:color="000000"/>
            </w:tcBorders>
            <w:shd w:val="clear" w:color="auto" w:fill="auto"/>
            <w:noWrap/>
            <w:vAlign w:val="center"/>
            <w:hideMark/>
          </w:tcPr>
          <w:p w14:paraId="42156745" w14:textId="77777777" w:rsidR="00247CBF" w:rsidRPr="00092ED7" w:rsidRDefault="00247CBF" w:rsidP="00247CBF">
            <w:pPr>
              <w:spacing w:after="0"/>
              <w:jc w:val="right"/>
              <w:rPr>
                <w:sz w:val="20"/>
                <w:szCs w:val="20"/>
                <w:lang w:val="sr-Cyrl-CS"/>
              </w:rPr>
            </w:pPr>
            <w:r w:rsidRPr="00092ED7">
              <w:rPr>
                <w:sz w:val="20"/>
                <w:szCs w:val="20"/>
                <w:lang w:val="sr-Cyrl-CS"/>
              </w:rPr>
              <w:t>28,580</w:t>
            </w:r>
          </w:p>
        </w:tc>
        <w:tc>
          <w:tcPr>
            <w:tcW w:w="1177" w:type="dxa"/>
            <w:tcBorders>
              <w:top w:val="nil"/>
              <w:left w:val="nil"/>
              <w:bottom w:val="dotted" w:sz="4" w:space="0" w:color="000000"/>
              <w:right w:val="dotted" w:sz="4" w:space="0" w:color="000000"/>
            </w:tcBorders>
            <w:shd w:val="clear" w:color="auto" w:fill="auto"/>
            <w:noWrap/>
            <w:vAlign w:val="center"/>
            <w:hideMark/>
          </w:tcPr>
          <w:p w14:paraId="4A279F94" w14:textId="77777777" w:rsidR="00247CBF" w:rsidRPr="00092ED7" w:rsidRDefault="00247CBF" w:rsidP="00247CBF">
            <w:pPr>
              <w:spacing w:after="0"/>
              <w:jc w:val="right"/>
              <w:rPr>
                <w:sz w:val="20"/>
                <w:szCs w:val="20"/>
                <w:lang w:val="sr-Cyrl-CS"/>
              </w:rPr>
            </w:pPr>
            <w:r w:rsidRPr="00092ED7">
              <w:rPr>
                <w:sz w:val="20"/>
                <w:szCs w:val="20"/>
                <w:lang w:val="sr-Cyrl-CS"/>
              </w:rPr>
              <w:t>27,128</w:t>
            </w:r>
          </w:p>
        </w:tc>
        <w:tc>
          <w:tcPr>
            <w:tcW w:w="1176" w:type="dxa"/>
            <w:tcBorders>
              <w:top w:val="nil"/>
              <w:left w:val="nil"/>
              <w:bottom w:val="dotted" w:sz="4" w:space="0" w:color="000000"/>
              <w:right w:val="dotted" w:sz="4" w:space="0" w:color="000000"/>
            </w:tcBorders>
            <w:shd w:val="clear" w:color="auto" w:fill="auto"/>
            <w:noWrap/>
            <w:vAlign w:val="center"/>
            <w:hideMark/>
          </w:tcPr>
          <w:p w14:paraId="6D21BE9D" w14:textId="77777777" w:rsidR="00247CBF" w:rsidRPr="00092ED7" w:rsidRDefault="00247CBF" w:rsidP="00247CBF">
            <w:pPr>
              <w:spacing w:after="0"/>
              <w:jc w:val="right"/>
              <w:rPr>
                <w:sz w:val="20"/>
                <w:szCs w:val="20"/>
                <w:lang w:val="sr-Cyrl-CS"/>
              </w:rPr>
            </w:pPr>
            <w:r w:rsidRPr="00092ED7">
              <w:rPr>
                <w:sz w:val="20"/>
                <w:szCs w:val="20"/>
                <w:lang w:val="sr-Cyrl-CS"/>
              </w:rPr>
              <w:t>32,780</w:t>
            </w:r>
          </w:p>
        </w:tc>
        <w:tc>
          <w:tcPr>
            <w:tcW w:w="1176" w:type="dxa"/>
            <w:tcBorders>
              <w:top w:val="nil"/>
              <w:left w:val="nil"/>
              <w:bottom w:val="dotted" w:sz="4" w:space="0" w:color="000000"/>
              <w:right w:val="dotted" w:sz="4" w:space="0" w:color="000000"/>
            </w:tcBorders>
            <w:shd w:val="clear" w:color="auto" w:fill="auto"/>
            <w:noWrap/>
            <w:vAlign w:val="center"/>
            <w:hideMark/>
          </w:tcPr>
          <w:p w14:paraId="429A82AC" w14:textId="77777777" w:rsidR="00247CBF" w:rsidRPr="00092ED7" w:rsidRDefault="00247CBF" w:rsidP="00247CBF">
            <w:pPr>
              <w:spacing w:after="0"/>
              <w:jc w:val="right"/>
              <w:rPr>
                <w:sz w:val="20"/>
                <w:szCs w:val="20"/>
                <w:lang w:val="sr-Cyrl-CS"/>
              </w:rPr>
            </w:pPr>
            <w:r w:rsidRPr="00092ED7">
              <w:rPr>
                <w:sz w:val="20"/>
                <w:szCs w:val="20"/>
                <w:lang w:val="sr-Cyrl-CS"/>
              </w:rPr>
              <w:t>35,105</w:t>
            </w:r>
          </w:p>
        </w:tc>
        <w:tc>
          <w:tcPr>
            <w:tcW w:w="1177" w:type="dxa"/>
            <w:tcBorders>
              <w:top w:val="nil"/>
              <w:left w:val="nil"/>
              <w:bottom w:val="dotted" w:sz="4" w:space="0" w:color="000000"/>
              <w:right w:val="double" w:sz="6" w:space="0" w:color="auto"/>
            </w:tcBorders>
            <w:shd w:val="clear" w:color="auto" w:fill="auto"/>
            <w:noWrap/>
            <w:vAlign w:val="center"/>
            <w:hideMark/>
          </w:tcPr>
          <w:p w14:paraId="3C93E138" w14:textId="77777777" w:rsidR="00247CBF" w:rsidRPr="00092ED7" w:rsidRDefault="00247CBF" w:rsidP="00247CBF">
            <w:pPr>
              <w:spacing w:after="0"/>
              <w:jc w:val="right"/>
              <w:rPr>
                <w:sz w:val="20"/>
                <w:szCs w:val="20"/>
                <w:lang w:val="sr-Cyrl-CS"/>
              </w:rPr>
            </w:pPr>
            <w:r w:rsidRPr="00092ED7">
              <w:rPr>
                <w:sz w:val="20"/>
                <w:szCs w:val="20"/>
                <w:lang w:val="sr-Cyrl-CS"/>
              </w:rPr>
              <w:t>38,078</w:t>
            </w:r>
          </w:p>
        </w:tc>
      </w:tr>
      <w:tr w:rsidR="00247CBF" w:rsidRPr="00092ED7" w14:paraId="4AE7B7C4" w14:textId="77777777" w:rsidTr="00247CBF">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32554CF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6. Послови становања и заједнице</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0D7729E1" w14:textId="77777777" w:rsidR="00247CBF" w:rsidRPr="00092ED7" w:rsidRDefault="00247CBF" w:rsidP="00247CBF">
            <w:pPr>
              <w:spacing w:after="0"/>
              <w:jc w:val="center"/>
              <w:rPr>
                <w:sz w:val="20"/>
                <w:szCs w:val="20"/>
                <w:lang w:val="sr-Cyrl-CS"/>
              </w:rPr>
            </w:pPr>
            <w:r w:rsidRPr="00092ED7">
              <w:rPr>
                <w:sz w:val="20"/>
                <w:szCs w:val="20"/>
                <w:lang w:val="sr-Cyrl-CS"/>
              </w:rPr>
              <w:t>6</w:t>
            </w:r>
          </w:p>
        </w:tc>
        <w:tc>
          <w:tcPr>
            <w:tcW w:w="1176" w:type="dxa"/>
            <w:tcBorders>
              <w:top w:val="nil"/>
              <w:left w:val="nil"/>
              <w:bottom w:val="dotted" w:sz="4" w:space="0" w:color="000000"/>
              <w:right w:val="dotted" w:sz="4" w:space="0" w:color="000000"/>
            </w:tcBorders>
            <w:shd w:val="clear" w:color="auto" w:fill="auto"/>
            <w:noWrap/>
            <w:vAlign w:val="center"/>
            <w:hideMark/>
          </w:tcPr>
          <w:p w14:paraId="2F8E5769" w14:textId="77777777" w:rsidR="00247CBF" w:rsidRPr="00092ED7" w:rsidRDefault="00247CBF" w:rsidP="00247CBF">
            <w:pPr>
              <w:spacing w:after="0"/>
              <w:jc w:val="right"/>
              <w:rPr>
                <w:sz w:val="20"/>
                <w:szCs w:val="20"/>
                <w:lang w:val="sr-Cyrl-CS"/>
              </w:rPr>
            </w:pPr>
            <w:r w:rsidRPr="00092ED7">
              <w:rPr>
                <w:sz w:val="20"/>
                <w:szCs w:val="20"/>
                <w:lang w:val="sr-Cyrl-CS"/>
              </w:rPr>
              <w:t>78,055</w:t>
            </w:r>
          </w:p>
        </w:tc>
        <w:tc>
          <w:tcPr>
            <w:tcW w:w="1176" w:type="dxa"/>
            <w:tcBorders>
              <w:top w:val="nil"/>
              <w:left w:val="nil"/>
              <w:bottom w:val="dotted" w:sz="4" w:space="0" w:color="000000"/>
              <w:right w:val="dotted" w:sz="4" w:space="0" w:color="000000"/>
            </w:tcBorders>
            <w:shd w:val="clear" w:color="auto" w:fill="auto"/>
            <w:noWrap/>
            <w:vAlign w:val="center"/>
            <w:hideMark/>
          </w:tcPr>
          <w:p w14:paraId="02BC133E" w14:textId="77777777" w:rsidR="00247CBF" w:rsidRPr="00092ED7" w:rsidRDefault="00247CBF" w:rsidP="00247CBF">
            <w:pPr>
              <w:spacing w:after="0"/>
              <w:jc w:val="right"/>
              <w:rPr>
                <w:sz w:val="20"/>
                <w:szCs w:val="20"/>
                <w:lang w:val="sr-Cyrl-CS"/>
              </w:rPr>
            </w:pPr>
            <w:r w:rsidRPr="00092ED7">
              <w:rPr>
                <w:sz w:val="20"/>
                <w:szCs w:val="20"/>
                <w:lang w:val="sr-Cyrl-CS"/>
              </w:rPr>
              <w:t>56,108</w:t>
            </w:r>
          </w:p>
        </w:tc>
        <w:tc>
          <w:tcPr>
            <w:tcW w:w="1177" w:type="dxa"/>
            <w:tcBorders>
              <w:top w:val="nil"/>
              <w:left w:val="nil"/>
              <w:bottom w:val="dotted" w:sz="4" w:space="0" w:color="000000"/>
              <w:right w:val="dotted" w:sz="4" w:space="0" w:color="000000"/>
            </w:tcBorders>
            <w:shd w:val="clear" w:color="auto" w:fill="auto"/>
            <w:noWrap/>
            <w:vAlign w:val="center"/>
            <w:hideMark/>
          </w:tcPr>
          <w:p w14:paraId="043AD891" w14:textId="77777777" w:rsidR="00247CBF" w:rsidRPr="00092ED7" w:rsidRDefault="00247CBF" w:rsidP="00247CBF">
            <w:pPr>
              <w:spacing w:after="0"/>
              <w:jc w:val="right"/>
              <w:rPr>
                <w:sz w:val="20"/>
                <w:szCs w:val="20"/>
                <w:lang w:val="sr-Cyrl-CS"/>
              </w:rPr>
            </w:pPr>
            <w:r w:rsidRPr="00092ED7">
              <w:rPr>
                <w:sz w:val="20"/>
                <w:szCs w:val="20"/>
                <w:lang w:val="sr-Cyrl-CS"/>
              </w:rPr>
              <w:t>100,937</w:t>
            </w:r>
          </w:p>
        </w:tc>
        <w:tc>
          <w:tcPr>
            <w:tcW w:w="1176" w:type="dxa"/>
            <w:tcBorders>
              <w:top w:val="nil"/>
              <w:left w:val="nil"/>
              <w:bottom w:val="dotted" w:sz="4" w:space="0" w:color="000000"/>
              <w:right w:val="dotted" w:sz="4" w:space="0" w:color="000000"/>
            </w:tcBorders>
            <w:shd w:val="clear" w:color="auto" w:fill="auto"/>
            <w:noWrap/>
            <w:vAlign w:val="center"/>
            <w:hideMark/>
          </w:tcPr>
          <w:p w14:paraId="6092D824" w14:textId="77777777" w:rsidR="00247CBF" w:rsidRPr="00092ED7" w:rsidRDefault="00247CBF" w:rsidP="00247CBF">
            <w:pPr>
              <w:spacing w:after="0"/>
              <w:jc w:val="right"/>
              <w:rPr>
                <w:sz w:val="20"/>
                <w:szCs w:val="20"/>
                <w:lang w:val="sr-Cyrl-CS"/>
              </w:rPr>
            </w:pPr>
            <w:r w:rsidRPr="00092ED7">
              <w:rPr>
                <w:sz w:val="20"/>
                <w:szCs w:val="20"/>
                <w:lang w:val="sr-Cyrl-CS"/>
              </w:rPr>
              <w:t>114,008</w:t>
            </w:r>
          </w:p>
        </w:tc>
        <w:tc>
          <w:tcPr>
            <w:tcW w:w="1176" w:type="dxa"/>
            <w:tcBorders>
              <w:top w:val="nil"/>
              <w:left w:val="nil"/>
              <w:bottom w:val="dotted" w:sz="4" w:space="0" w:color="000000"/>
              <w:right w:val="dotted" w:sz="4" w:space="0" w:color="000000"/>
            </w:tcBorders>
            <w:shd w:val="clear" w:color="auto" w:fill="auto"/>
            <w:noWrap/>
            <w:vAlign w:val="center"/>
            <w:hideMark/>
          </w:tcPr>
          <w:p w14:paraId="7C7AC704" w14:textId="77777777" w:rsidR="00247CBF" w:rsidRPr="00092ED7" w:rsidRDefault="00247CBF" w:rsidP="00247CBF">
            <w:pPr>
              <w:spacing w:after="0"/>
              <w:jc w:val="right"/>
              <w:rPr>
                <w:sz w:val="20"/>
                <w:szCs w:val="20"/>
                <w:lang w:val="sr-Cyrl-CS"/>
              </w:rPr>
            </w:pPr>
            <w:r w:rsidRPr="00092ED7">
              <w:rPr>
                <w:sz w:val="20"/>
                <w:szCs w:val="20"/>
                <w:lang w:val="sr-Cyrl-CS"/>
              </w:rPr>
              <w:t>122,868</w:t>
            </w:r>
          </w:p>
        </w:tc>
        <w:tc>
          <w:tcPr>
            <w:tcW w:w="1177" w:type="dxa"/>
            <w:tcBorders>
              <w:top w:val="nil"/>
              <w:left w:val="nil"/>
              <w:bottom w:val="dotted" w:sz="4" w:space="0" w:color="000000"/>
              <w:right w:val="double" w:sz="6" w:space="0" w:color="auto"/>
            </w:tcBorders>
            <w:shd w:val="clear" w:color="auto" w:fill="auto"/>
            <w:noWrap/>
            <w:vAlign w:val="center"/>
            <w:hideMark/>
          </w:tcPr>
          <w:p w14:paraId="0D31CF3B" w14:textId="77777777" w:rsidR="00247CBF" w:rsidRPr="00092ED7" w:rsidRDefault="00247CBF" w:rsidP="00247CBF">
            <w:pPr>
              <w:spacing w:after="0"/>
              <w:jc w:val="right"/>
              <w:rPr>
                <w:sz w:val="20"/>
                <w:szCs w:val="20"/>
                <w:lang w:val="sr-Cyrl-CS"/>
              </w:rPr>
            </w:pPr>
            <w:r w:rsidRPr="00092ED7">
              <w:rPr>
                <w:sz w:val="20"/>
                <w:szCs w:val="20"/>
                <w:lang w:val="sr-Cyrl-CS"/>
              </w:rPr>
              <w:t>133,272</w:t>
            </w:r>
          </w:p>
        </w:tc>
      </w:tr>
      <w:tr w:rsidR="00247CBF" w:rsidRPr="00092ED7" w14:paraId="44AA525A" w14:textId="77777777" w:rsidTr="00247CBF">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3681AFE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7. Здравство</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2846C2C8" w14:textId="77777777" w:rsidR="00247CBF" w:rsidRPr="00092ED7" w:rsidRDefault="00247CBF" w:rsidP="00247CBF">
            <w:pPr>
              <w:spacing w:after="0"/>
              <w:jc w:val="center"/>
              <w:rPr>
                <w:sz w:val="20"/>
                <w:szCs w:val="20"/>
                <w:lang w:val="sr-Cyrl-CS"/>
              </w:rPr>
            </w:pPr>
            <w:r w:rsidRPr="00092ED7">
              <w:rPr>
                <w:sz w:val="20"/>
                <w:szCs w:val="20"/>
                <w:lang w:val="sr-Cyrl-CS"/>
              </w:rPr>
              <w:t>7</w:t>
            </w:r>
          </w:p>
        </w:tc>
        <w:tc>
          <w:tcPr>
            <w:tcW w:w="1176" w:type="dxa"/>
            <w:tcBorders>
              <w:top w:val="nil"/>
              <w:left w:val="nil"/>
              <w:bottom w:val="dotted" w:sz="4" w:space="0" w:color="000000"/>
              <w:right w:val="dotted" w:sz="4" w:space="0" w:color="000000"/>
            </w:tcBorders>
            <w:shd w:val="clear" w:color="auto" w:fill="auto"/>
            <w:noWrap/>
            <w:vAlign w:val="center"/>
            <w:hideMark/>
          </w:tcPr>
          <w:p w14:paraId="3DAB4886" w14:textId="77777777" w:rsidR="00247CBF" w:rsidRPr="00092ED7" w:rsidRDefault="00247CBF" w:rsidP="00247CBF">
            <w:pPr>
              <w:spacing w:after="0"/>
              <w:jc w:val="right"/>
              <w:rPr>
                <w:sz w:val="20"/>
                <w:szCs w:val="20"/>
                <w:lang w:val="sr-Cyrl-CS"/>
              </w:rPr>
            </w:pPr>
            <w:r w:rsidRPr="00092ED7">
              <w:rPr>
                <w:sz w:val="20"/>
                <w:szCs w:val="20"/>
                <w:lang w:val="sr-Cyrl-CS"/>
              </w:rPr>
              <w:t>392,071</w:t>
            </w:r>
          </w:p>
        </w:tc>
        <w:tc>
          <w:tcPr>
            <w:tcW w:w="1176" w:type="dxa"/>
            <w:tcBorders>
              <w:top w:val="nil"/>
              <w:left w:val="nil"/>
              <w:bottom w:val="dotted" w:sz="4" w:space="0" w:color="000000"/>
              <w:right w:val="dotted" w:sz="4" w:space="0" w:color="000000"/>
            </w:tcBorders>
            <w:shd w:val="clear" w:color="auto" w:fill="auto"/>
            <w:noWrap/>
            <w:vAlign w:val="center"/>
            <w:hideMark/>
          </w:tcPr>
          <w:p w14:paraId="6F0A1CA9" w14:textId="77777777" w:rsidR="00247CBF" w:rsidRPr="00092ED7" w:rsidRDefault="00247CBF" w:rsidP="00247CBF">
            <w:pPr>
              <w:spacing w:after="0"/>
              <w:jc w:val="right"/>
              <w:rPr>
                <w:sz w:val="20"/>
                <w:szCs w:val="20"/>
                <w:lang w:val="sr-Cyrl-CS"/>
              </w:rPr>
            </w:pPr>
            <w:r w:rsidRPr="00092ED7">
              <w:rPr>
                <w:sz w:val="20"/>
                <w:szCs w:val="20"/>
                <w:lang w:val="sr-Cyrl-CS"/>
              </w:rPr>
              <w:t>438,904</w:t>
            </w:r>
          </w:p>
        </w:tc>
        <w:tc>
          <w:tcPr>
            <w:tcW w:w="1177" w:type="dxa"/>
            <w:tcBorders>
              <w:top w:val="nil"/>
              <w:left w:val="nil"/>
              <w:bottom w:val="dotted" w:sz="4" w:space="0" w:color="000000"/>
              <w:right w:val="dotted" w:sz="4" w:space="0" w:color="000000"/>
            </w:tcBorders>
            <w:shd w:val="clear" w:color="auto" w:fill="auto"/>
            <w:noWrap/>
            <w:vAlign w:val="center"/>
            <w:hideMark/>
          </w:tcPr>
          <w:p w14:paraId="71FA7361" w14:textId="77777777" w:rsidR="00247CBF" w:rsidRPr="00092ED7" w:rsidRDefault="00247CBF" w:rsidP="00247CBF">
            <w:pPr>
              <w:spacing w:after="0"/>
              <w:jc w:val="right"/>
              <w:rPr>
                <w:sz w:val="20"/>
                <w:szCs w:val="20"/>
                <w:lang w:val="sr-Cyrl-CS"/>
              </w:rPr>
            </w:pPr>
            <w:r w:rsidRPr="00092ED7">
              <w:rPr>
                <w:sz w:val="20"/>
                <w:szCs w:val="20"/>
                <w:lang w:val="sr-Cyrl-CS"/>
              </w:rPr>
              <w:t>468,928</w:t>
            </w:r>
          </w:p>
        </w:tc>
        <w:tc>
          <w:tcPr>
            <w:tcW w:w="1176" w:type="dxa"/>
            <w:tcBorders>
              <w:top w:val="nil"/>
              <w:left w:val="nil"/>
              <w:bottom w:val="dotted" w:sz="4" w:space="0" w:color="000000"/>
              <w:right w:val="dotted" w:sz="4" w:space="0" w:color="000000"/>
            </w:tcBorders>
            <w:shd w:val="clear" w:color="auto" w:fill="auto"/>
            <w:noWrap/>
            <w:vAlign w:val="center"/>
            <w:hideMark/>
          </w:tcPr>
          <w:p w14:paraId="30295756" w14:textId="77777777" w:rsidR="00247CBF" w:rsidRPr="00092ED7" w:rsidRDefault="00247CBF" w:rsidP="00247CBF">
            <w:pPr>
              <w:spacing w:after="0"/>
              <w:jc w:val="right"/>
              <w:rPr>
                <w:sz w:val="20"/>
                <w:szCs w:val="20"/>
                <w:lang w:val="sr-Cyrl-CS"/>
              </w:rPr>
            </w:pPr>
            <w:r w:rsidRPr="00092ED7">
              <w:rPr>
                <w:sz w:val="20"/>
                <w:szCs w:val="20"/>
                <w:lang w:val="sr-Cyrl-CS"/>
              </w:rPr>
              <w:t>492,005</w:t>
            </w:r>
          </w:p>
        </w:tc>
        <w:tc>
          <w:tcPr>
            <w:tcW w:w="1176" w:type="dxa"/>
            <w:tcBorders>
              <w:top w:val="nil"/>
              <w:left w:val="nil"/>
              <w:bottom w:val="dotted" w:sz="4" w:space="0" w:color="000000"/>
              <w:right w:val="dotted" w:sz="4" w:space="0" w:color="000000"/>
            </w:tcBorders>
            <w:shd w:val="clear" w:color="auto" w:fill="auto"/>
            <w:noWrap/>
            <w:vAlign w:val="center"/>
            <w:hideMark/>
          </w:tcPr>
          <w:p w14:paraId="3D0844E6" w14:textId="77777777" w:rsidR="00247CBF" w:rsidRPr="00092ED7" w:rsidRDefault="00247CBF" w:rsidP="00247CBF">
            <w:pPr>
              <w:spacing w:after="0"/>
              <w:jc w:val="right"/>
              <w:rPr>
                <w:sz w:val="20"/>
                <w:szCs w:val="20"/>
                <w:lang w:val="sr-Cyrl-CS"/>
              </w:rPr>
            </w:pPr>
            <w:r w:rsidRPr="00092ED7">
              <w:rPr>
                <w:sz w:val="20"/>
                <w:szCs w:val="20"/>
                <w:lang w:val="sr-Cyrl-CS"/>
              </w:rPr>
              <w:t>535,354</w:t>
            </w:r>
          </w:p>
        </w:tc>
        <w:tc>
          <w:tcPr>
            <w:tcW w:w="1177" w:type="dxa"/>
            <w:tcBorders>
              <w:top w:val="nil"/>
              <w:left w:val="nil"/>
              <w:bottom w:val="dotted" w:sz="4" w:space="0" w:color="000000"/>
              <w:right w:val="double" w:sz="6" w:space="0" w:color="auto"/>
            </w:tcBorders>
            <w:shd w:val="clear" w:color="auto" w:fill="auto"/>
            <w:noWrap/>
            <w:vAlign w:val="center"/>
            <w:hideMark/>
          </w:tcPr>
          <w:p w14:paraId="0148106A" w14:textId="77777777" w:rsidR="00247CBF" w:rsidRPr="00092ED7" w:rsidRDefault="00247CBF" w:rsidP="00247CBF">
            <w:pPr>
              <w:spacing w:after="0"/>
              <w:jc w:val="right"/>
              <w:rPr>
                <w:sz w:val="20"/>
                <w:szCs w:val="20"/>
                <w:lang w:val="sr-Cyrl-CS"/>
              </w:rPr>
            </w:pPr>
            <w:r w:rsidRPr="00092ED7">
              <w:rPr>
                <w:sz w:val="20"/>
                <w:szCs w:val="20"/>
                <w:lang w:val="sr-Cyrl-CS"/>
              </w:rPr>
              <w:t>580,683</w:t>
            </w:r>
          </w:p>
        </w:tc>
      </w:tr>
      <w:tr w:rsidR="00247CBF" w:rsidRPr="00092ED7" w14:paraId="061ED567" w14:textId="77777777" w:rsidTr="00247CBF">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5526281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8. Рекреација, култура и религија</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33DD57D8" w14:textId="77777777" w:rsidR="00247CBF" w:rsidRPr="00092ED7" w:rsidRDefault="00247CBF" w:rsidP="00247CBF">
            <w:pPr>
              <w:spacing w:after="0"/>
              <w:jc w:val="center"/>
              <w:rPr>
                <w:sz w:val="20"/>
                <w:szCs w:val="20"/>
                <w:lang w:val="sr-Cyrl-CS"/>
              </w:rPr>
            </w:pPr>
            <w:r w:rsidRPr="00092ED7">
              <w:rPr>
                <w:sz w:val="20"/>
                <w:szCs w:val="20"/>
                <w:lang w:val="sr-Cyrl-CS"/>
              </w:rPr>
              <w:t>8</w:t>
            </w:r>
          </w:p>
        </w:tc>
        <w:tc>
          <w:tcPr>
            <w:tcW w:w="1176" w:type="dxa"/>
            <w:tcBorders>
              <w:top w:val="nil"/>
              <w:left w:val="nil"/>
              <w:bottom w:val="dotted" w:sz="4" w:space="0" w:color="000000"/>
              <w:right w:val="dotted" w:sz="4" w:space="0" w:color="000000"/>
            </w:tcBorders>
            <w:shd w:val="clear" w:color="auto" w:fill="auto"/>
            <w:noWrap/>
            <w:vAlign w:val="center"/>
            <w:hideMark/>
          </w:tcPr>
          <w:p w14:paraId="4D7FD09C" w14:textId="77777777" w:rsidR="00247CBF" w:rsidRPr="00092ED7" w:rsidRDefault="00247CBF" w:rsidP="00247CBF">
            <w:pPr>
              <w:spacing w:after="0"/>
              <w:jc w:val="right"/>
              <w:rPr>
                <w:sz w:val="20"/>
                <w:szCs w:val="20"/>
                <w:lang w:val="sr-Cyrl-CS"/>
              </w:rPr>
            </w:pPr>
            <w:r w:rsidRPr="00092ED7">
              <w:rPr>
                <w:sz w:val="20"/>
                <w:szCs w:val="20"/>
                <w:lang w:val="sr-Cyrl-CS"/>
              </w:rPr>
              <w:t>47,842</w:t>
            </w:r>
          </w:p>
        </w:tc>
        <w:tc>
          <w:tcPr>
            <w:tcW w:w="1176" w:type="dxa"/>
            <w:tcBorders>
              <w:top w:val="nil"/>
              <w:left w:val="nil"/>
              <w:bottom w:val="dotted" w:sz="4" w:space="0" w:color="000000"/>
              <w:right w:val="dotted" w:sz="4" w:space="0" w:color="000000"/>
            </w:tcBorders>
            <w:shd w:val="clear" w:color="auto" w:fill="auto"/>
            <w:noWrap/>
            <w:vAlign w:val="center"/>
            <w:hideMark/>
          </w:tcPr>
          <w:p w14:paraId="3B72D407" w14:textId="77777777" w:rsidR="00247CBF" w:rsidRPr="00092ED7" w:rsidRDefault="00247CBF" w:rsidP="00247CBF">
            <w:pPr>
              <w:spacing w:after="0"/>
              <w:jc w:val="right"/>
              <w:rPr>
                <w:sz w:val="20"/>
                <w:szCs w:val="20"/>
                <w:lang w:val="sr-Cyrl-CS"/>
              </w:rPr>
            </w:pPr>
            <w:r w:rsidRPr="00092ED7">
              <w:rPr>
                <w:sz w:val="20"/>
                <w:szCs w:val="20"/>
                <w:lang w:val="sr-Cyrl-CS"/>
              </w:rPr>
              <w:t>63,315</w:t>
            </w:r>
          </w:p>
        </w:tc>
        <w:tc>
          <w:tcPr>
            <w:tcW w:w="1177" w:type="dxa"/>
            <w:tcBorders>
              <w:top w:val="nil"/>
              <w:left w:val="nil"/>
              <w:bottom w:val="dotted" w:sz="4" w:space="0" w:color="000000"/>
              <w:right w:val="dotted" w:sz="4" w:space="0" w:color="000000"/>
            </w:tcBorders>
            <w:shd w:val="clear" w:color="auto" w:fill="auto"/>
            <w:noWrap/>
            <w:vAlign w:val="center"/>
            <w:hideMark/>
          </w:tcPr>
          <w:p w14:paraId="3F3CE4D6" w14:textId="77777777" w:rsidR="00247CBF" w:rsidRPr="00092ED7" w:rsidRDefault="00247CBF" w:rsidP="00247CBF">
            <w:pPr>
              <w:spacing w:after="0"/>
              <w:jc w:val="right"/>
              <w:rPr>
                <w:sz w:val="20"/>
                <w:szCs w:val="20"/>
                <w:lang w:val="sr-Cyrl-CS"/>
              </w:rPr>
            </w:pPr>
            <w:r w:rsidRPr="00092ED7">
              <w:rPr>
                <w:sz w:val="20"/>
                <w:szCs w:val="20"/>
                <w:lang w:val="sr-Cyrl-CS"/>
              </w:rPr>
              <w:t>60,953</w:t>
            </w:r>
          </w:p>
        </w:tc>
        <w:tc>
          <w:tcPr>
            <w:tcW w:w="1176" w:type="dxa"/>
            <w:tcBorders>
              <w:top w:val="nil"/>
              <w:left w:val="nil"/>
              <w:bottom w:val="dotted" w:sz="4" w:space="0" w:color="000000"/>
              <w:right w:val="dotted" w:sz="4" w:space="0" w:color="000000"/>
            </w:tcBorders>
            <w:shd w:val="clear" w:color="auto" w:fill="auto"/>
            <w:noWrap/>
            <w:vAlign w:val="center"/>
            <w:hideMark/>
          </w:tcPr>
          <w:p w14:paraId="1E23CCD9" w14:textId="77777777" w:rsidR="00247CBF" w:rsidRPr="00092ED7" w:rsidRDefault="00247CBF" w:rsidP="00247CBF">
            <w:pPr>
              <w:spacing w:after="0"/>
              <w:jc w:val="right"/>
              <w:rPr>
                <w:sz w:val="20"/>
                <w:szCs w:val="20"/>
                <w:lang w:val="sr-Cyrl-CS"/>
              </w:rPr>
            </w:pPr>
            <w:r w:rsidRPr="00092ED7">
              <w:rPr>
                <w:sz w:val="20"/>
                <w:szCs w:val="20"/>
                <w:lang w:val="sr-Cyrl-CS"/>
              </w:rPr>
              <w:t>65,739</w:t>
            </w:r>
          </w:p>
        </w:tc>
        <w:tc>
          <w:tcPr>
            <w:tcW w:w="1176" w:type="dxa"/>
            <w:tcBorders>
              <w:top w:val="nil"/>
              <w:left w:val="nil"/>
              <w:bottom w:val="dotted" w:sz="4" w:space="0" w:color="000000"/>
              <w:right w:val="dotted" w:sz="4" w:space="0" w:color="000000"/>
            </w:tcBorders>
            <w:shd w:val="clear" w:color="auto" w:fill="auto"/>
            <w:noWrap/>
            <w:vAlign w:val="center"/>
            <w:hideMark/>
          </w:tcPr>
          <w:p w14:paraId="5E7651E9" w14:textId="77777777" w:rsidR="00247CBF" w:rsidRPr="00092ED7" w:rsidRDefault="00247CBF" w:rsidP="00247CBF">
            <w:pPr>
              <w:spacing w:after="0"/>
              <w:jc w:val="right"/>
              <w:rPr>
                <w:sz w:val="20"/>
                <w:szCs w:val="20"/>
                <w:lang w:val="sr-Cyrl-CS"/>
              </w:rPr>
            </w:pPr>
            <w:r w:rsidRPr="00092ED7">
              <w:rPr>
                <w:sz w:val="20"/>
                <w:szCs w:val="20"/>
                <w:lang w:val="sr-Cyrl-CS"/>
              </w:rPr>
              <w:t>70,210</w:t>
            </w:r>
          </w:p>
        </w:tc>
        <w:tc>
          <w:tcPr>
            <w:tcW w:w="1177" w:type="dxa"/>
            <w:tcBorders>
              <w:top w:val="nil"/>
              <w:left w:val="nil"/>
              <w:bottom w:val="dotted" w:sz="4" w:space="0" w:color="000000"/>
              <w:right w:val="double" w:sz="6" w:space="0" w:color="auto"/>
            </w:tcBorders>
            <w:shd w:val="clear" w:color="auto" w:fill="auto"/>
            <w:noWrap/>
            <w:vAlign w:val="center"/>
            <w:hideMark/>
          </w:tcPr>
          <w:p w14:paraId="7C313082" w14:textId="77777777" w:rsidR="00247CBF" w:rsidRPr="00092ED7" w:rsidRDefault="00247CBF" w:rsidP="00247CBF">
            <w:pPr>
              <w:spacing w:after="0"/>
              <w:jc w:val="right"/>
              <w:rPr>
                <w:sz w:val="20"/>
                <w:szCs w:val="20"/>
                <w:lang w:val="sr-Cyrl-CS"/>
              </w:rPr>
            </w:pPr>
            <w:r w:rsidRPr="00092ED7">
              <w:rPr>
                <w:sz w:val="20"/>
                <w:szCs w:val="20"/>
                <w:lang w:val="sr-Cyrl-CS"/>
              </w:rPr>
              <w:t>76,155</w:t>
            </w:r>
          </w:p>
        </w:tc>
      </w:tr>
      <w:tr w:rsidR="00247CBF" w:rsidRPr="00092ED7" w14:paraId="2FB8AA5B" w14:textId="77777777" w:rsidTr="00247CBF">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67ED92B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9. Образовање</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2022E042" w14:textId="77777777" w:rsidR="00247CBF" w:rsidRPr="00092ED7" w:rsidRDefault="00247CBF" w:rsidP="00247CBF">
            <w:pPr>
              <w:spacing w:after="0"/>
              <w:jc w:val="center"/>
              <w:rPr>
                <w:sz w:val="20"/>
                <w:szCs w:val="20"/>
                <w:lang w:val="sr-Cyrl-CS"/>
              </w:rPr>
            </w:pPr>
            <w:r w:rsidRPr="00092ED7">
              <w:rPr>
                <w:sz w:val="20"/>
                <w:szCs w:val="20"/>
                <w:lang w:val="sr-Cyrl-CS"/>
              </w:rPr>
              <w:t>9</w:t>
            </w:r>
          </w:p>
        </w:tc>
        <w:tc>
          <w:tcPr>
            <w:tcW w:w="1176" w:type="dxa"/>
            <w:tcBorders>
              <w:top w:val="nil"/>
              <w:left w:val="nil"/>
              <w:bottom w:val="dotted" w:sz="4" w:space="0" w:color="000000"/>
              <w:right w:val="dotted" w:sz="4" w:space="0" w:color="000000"/>
            </w:tcBorders>
            <w:shd w:val="clear" w:color="auto" w:fill="auto"/>
            <w:noWrap/>
            <w:vAlign w:val="center"/>
            <w:hideMark/>
          </w:tcPr>
          <w:p w14:paraId="75021306" w14:textId="77777777" w:rsidR="00247CBF" w:rsidRPr="00092ED7" w:rsidRDefault="00247CBF" w:rsidP="00247CBF">
            <w:pPr>
              <w:spacing w:after="0"/>
              <w:jc w:val="right"/>
              <w:rPr>
                <w:sz w:val="20"/>
                <w:szCs w:val="20"/>
                <w:lang w:val="sr-Cyrl-CS"/>
              </w:rPr>
            </w:pPr>
            <w:r w:rsidRPr="00092ED7">
              <w:rPr>
                <w:sz w:val="20"/>
                <w:szCs w:val="20"/>
                <w:lang w:val="sr-Cyrl-CS"/>
              </w:rPr>
              <w:t>181,577</w:t>
            </w:r>
          </w:p>
        </w:tc>
        <w:tc>
          <w:tcPr>
            <w:tcW w:w="1176" w:type="dxa"/>
            <w:tcBorders>
              <w:top w:val="nil"/>
              <w:left w:val="nil"/>
              <w:bottom w:val="dotted" w:sz="4" w:space="0" w:color="000000"/>
              <w:right w:val="dotted" w:sz="4" w:space="0" w:color="000000"/>
            </w:tcBorders>
            <w:shd w:val="clear" w:color="auto" w:fill="auto"/>
            <w:noWrap/>
            <w:vAlign w:val="center"/>
            <w:hideMark/>
          </w:tcPr>
          <w:p w14:paraId="6BA0BF38" w14:textId="77777777" w:rsidR="00247CBF" w:rsidRPr="00092ED7" w:rsidRDefault="00247CBF" w:rsidP="00247CBF">
            <w:pPr>
              <w:spacing w:after="0"/>
              <w:jc w:val="right"/>
              <w:rPr>
                <w:sz w:val="20"/>
                <w:szCs w:val="20"/>
                <w:lang w:val="sr-Cyrl-CS"/>
              </w:rPr>
            </w:pPr>
            <w:r w:rsidRPr="00092ED7">
              <w:rPr>
                <w:sz w:val="20"/>
                <w:szCs w:val="20"/>
                <w:lang w:val="sr-Cyrl-CS"/>
              </w:rPr>
              <w:t>243,150</w:t>
            </w:r>
          </w:p>
        </w:tc>
        <w:tc>
          <w:tcPr>
            <w:tcW w:w="1177" w:type="dxa"/>
            <w:tcBorders>
              <w:top w:val="nil"/>
              <w:left w:val="nil"/>
              <w:bottom w:val="dotted" w:sz="4" w:space="0" w:color="000000"/>
              <w:right w:val="dotted" w:sz="4" w:space="0" w:color="000000"/>
            </w:tcBorders>
            <w:shd w:val="clear" w:color="auto" w:fill="auto"/>
            <w:noWrap/>
            <w:vAlign w:val="center"/>
            <w:hideMark/>
          </w:tcPr>
          <w:p w14:paraId="10D4B2DE" w14:textId="77777777" w:rsidR="00247CBF" w:rsidRPr="00092ED7" w:rsidRDefault="00247CBF" w:rsidP="00247CBF">
            <w:pPr>
              <w:spacing w:after="0"/>
              <w:jc w:val="right"/>
              <w:rPr>
                <w:sz w:val="20"/>
                <w:szCs w:val="20"/>
                <w:lang w:val="sr-Cyrl-CS"/>
              </w:rPr>
            </w:pPr>
            <w:r w:rsidRPr="00092ED7">
              <w:rPr>
                <w:sz w:val="20"/>
                <w:szCs w:val="20"/>
                <w:lang w:val="sr-Cyrl-CS"/>
              </w:rPr>
              <w:t>222,599</w:t>
            </w:r>
          </w:p>
        </w:tc>
        <w:tc>
          <w:tcPr>
            <w:tcW w:w="1176" w:type="dxa"/>
            <w:tcBorders>
              <w:top w:val="nil"/>
              <w:left w:val="nil"/>
              <w:bottom w:val="dotted" w:sz="4" w:space="0" w:color="000000"/>
              <w:right w:val="dotted" w:sz="4" w:space="0" w:color="000000"/>
            </w:tcBorders>
            <w:shd w:val="clear" w:color="auto" w:fill="auto"/>
            <w:noWrap/>
            <w:vAlign w:val="center"/>
            <w:hideMark/>
          </w:tcPr>
          <w:p w14:paraId="4ADEBB4D" w14:textId="77777777" w:rsidR="00247CBF" w:rsidRPr="00092ED7" w:rsidRDefault="00247CBF" w:rsidP="00247CBF">
            <w:pPr>
              <w:spacing w:after="0"/>
              <w:jc w:val="right"/>
              <w:rPr>
                <w:sz w:val="20"/>
                <w:szCs w:val="20"/>
                <w:lang w:val="sr-Cyrl-CS"/>
              </w:rPr>
            </w:pPr>
            <w:r w:rsidRPr="00092ED7">
              <w:rPr>
                <w:sz w:val="20"/>
                <w:szCs w:val="20"/>
                <w:lang w:val="sr-Cyrl-CS"/>
              </w:rPr>
              <w:t>247,456</w:t>
            </w:r>
          </w:p>
        </w:tc>
        <w:tc>
          <w:tcPr>
            <w:tcW w:w="1176" w:type="dxa"/>
            <w:tcBorders>
              <w:top w:val="nil"/>
              <w:left w:val="nil"/>
              <w:bottom w:val="dotted" w:sz="4" w:space="0" w:color="000000"/>
              <w:right w:val="dotted" w:sz="4" w:space="0" w:color="000000"/>
            </w:tcBorders>
            <w:shd w:val="clear" w:color="auto" w:fill="auto"/>
            <w:noWrap/>
            <w:vAlign w:val="center"/>
            <w:hideMark/>
          </w:tcPr>
          <w:p w14:paraId="5DC44BD8" w14:textId="77777777" w:rsidR="00247CBF" w:rsidRPr="00092ED7" w:rsidRDefault="00247CBF" w:rsidP="00247CBF">
            <w:pPr>
              <w:spacing w:after="0"/>
              <w:jc w:val="right"/>
              <w:rPr>
                <w:sz w:val="20"/>
                <w:szCs w:val="20"/>
                <w:lang w:val="sr-Cyrl-CS"/>
              </w:rPr>
            </w:pPr>
            <w:r w:rsidRPr="00092ED7">
              <w:rPr>
                <w:sz w:val="20"/>
                <w:szCs w:val="20"/>
                <w:lang w:val="sr-Cyrl-CS"/>
              </w:rPr>
              <w:t>272,065</w:t>
            </w:r>
          </w:p>
        </w:tc>
        <w:tc>
          <w:tcPr>
            <w:tcW w:w="1177" w:type="dxa"/>
            <w:tcBorders>
              <w:top w:val="nil"/>
              <w:left w:val="nil"/>
              <w:bottom w:val="dotted" w:sz="4" w:space="0" w:color="000000"/>
              <w:right w:val="double" w:sz="6" w:space="0" w:color="auto"/>
            </w:tcBorders>
            <w:shd w:val="clear" w:color="auto" w:fill="auto"/>
            <w:noWrap/>
            <w:vAlign w:val="center"/>
            <w:hideMark/>
          </w:tcPr>
          <w:p w14:paraId="4E9E7343" w14:textId="77777777" w:rsidR="00247CBF" w:rsidRPr="00092ED7" w:rsidRDefault="00247CBF" w:rsidP="00247CBF">
            <w:pPr>
              <w:spacing w:after="0"/>
              <w:jc w:val="right"/>
              <w:rPr>
                <w:sz w:val="20"/>
                <w:szCs w:val="20"/>
                <w:lang w:val="sr-Cyrl-CS"/>
              </w:rPr>
            </w:pPr>
            <w:r w:rsidRPr="00092ED7">
              <w:rPr>
                <w:sz w:val="20"/>
                <w:szCs w:val="20"/>
                <w:lang w:val="sr-Cyrl-CS"/>
              </w:rPr>
              <w:t>295,101</w:t>
            </w:r>
          </w:p>
        </w:tc>
      </w:tr>
      <w:tr w:rsidR="00247CBF" w:rsidRPr="00092ED7" w14:paraId="11F570E9" w14:textId="77777777" w:rsidTr="00247CBF">
        <w:trPr>
          <w:trHeight w:val="255"/>
        </w:trPr>
        <w:tc>
          <w:tcPr>
            <w:tcW w:w="6000" w:type="dxa"/>
            <w:tcBorders>
              <w:top w:val="nil"/>
              <w:left w:val="double" w:sz="6" w:space="0" w:color="auto"/>
              <w:bottom w:val="single" w:sz="4" w:space="0" w:color="auto"/>
              <w:right w:val="nil"/>
            </w:tcBorders>
            <w:shd w:val="clear" w:color="auto" w:fill="auto"/>
            <w:vAlign w:val="center"/>
            <w:hideMark/>
          </w:tcPr>
          <w:p w14:paraId="5A6C36C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10. Социјална заштита</w:t>
            </w:r>
          </w:p>
        </w:tc>
        <w:tc>
          <w:tcPr>
            <w:tcW w:w="1520" w:type="dxa"/>
            <w:tcBorders>
              <w:top w:val="nil"/>
              <w:left w:val="single" w:sz="8" w:space="0" w:color="000000"/>
              <w:bottom w:val="single" w:sz="4" w:space="0" w:color="auto"/>
              <w:right w:val="single" w:sz="8" w:space="0" w:color="000000"/>
            </w:tcBorders>
            <w:shd w:val="clear" w:color="auto" w:fill="auto"/>
            <w:vAlign w:val="center"/>
            <w:hideMark/>
          </w:tcPr>
          <w:p w14:paraId="047F5D33" w14:textId="77777777" w:rsidR="00247CBF" w:rsidRPr="00092ED7" w:rsidRDefault="00247CBF" w:rsidP="00247CBF">
            <w:pPr>
              <w:spacing w:after="0"/>
              <w:jc w:val="center"/>
              <w:rPr>
                <w:sz w:val="20"/>
                <w:szCs w:val="20"/>
                <w:lang w:val="sr-Cyrl-CS"/>
              </w:rPr>
            </w:pPr>
            <w:r w:rsidRPr="00092ED7">
              <w:rPr>
                <w:sz w:val="20"/>
                <w:szCs w:val="20"/>
                <w:lang w:val="sr-Cyrl-CS"/>
              </w:rPr>
              <w:t>10</w:t>
            </w:r>
          </w:p>
        </w:tc>
        <w:tc>
          <w:tcPr>
            <w:tcW w:w="1176" w:type="dxa"/>
            <w:tcBorders>
              <w:top w:val="nil"/>
              <w:left w:val="nil"/>
              <w:bottom w:val="single" w:sz="4" w:space="0" w:color="auto"/>
              <w:right w:val="dotted" w:sz="4" w:space="0" w:color="000000"/>
            </w:tcBorders>
            <w:shd w:val="clear" w:color="auto" w:fill="auto"/>
            <w:noWrap/>
            <w:vAlign w:val="center"/>
            <w:hideMark/>
          </w:tcPr>
          <w:p w14:paraId="25271145" w14:textId="77777777" w:rsidR="00247CBF" w:rsidRPr="00092ED7" w:rsidRDefault="00247CBF" w:rsidP="00247CBF">
            <w:pPr>
              <w:spacing w:after="0"/>
              <w:jc w:val="right"/>
              <w:rPr>
                <w:sz w:val="20"/>
                <w:szCs w:val="20"/>
                <w:lang w:val="sr-Cyrl-CS"/>
              </w:rPr>
            </w:pPr>
            <w:r w:rsidRPr="00092ED7">
              <w:rPr>
                <w:sz w:val="20"/>
                <w:szCs w:val="20"/>
                <w:lang w:val="sr-Cyrl-CS"/>
              </w:rPr>
              <w:t>808,6</w:t>
            </w:r>
          </w:p>
        </w:tc>
        <w:tc>
          <w:tcPr>
            <w:tcW w:w="1176" w:type="dxa"/>
            <w:tcBorders>
              <w:top w:val="nil"/>
              <w:left w:val="nil"/>
              <w:bottom w:val="single" w:sz="4" w:space="0" w:color="auto"/>
              <w:right w:val="dotted" w:sz="4" w:space="0" w:color="000000"/>
            </w:tcBorders>
            <w:shd w:val="clear" w:color="auto" w:fill="auto"/>
            <w:noWrap/>
            <w:vAlign w:val="center"/>
            <w:hideMark/>
          </w:tcPr>
          <w:p w14:paraId="66CE5031" w14:textId="77777777" w:rsidR="00247CBF" w:rsidRPr="00092ED7" w:rsidRDefault="00247CBF" w:rsidP="00247CBF">
            <w:pPr>
              <w:spacing w:after="0"/>
              <w:jc w:val="right"/>
              <w:rPr>
                <w:sz w:val="20"/>
                <w:szCs w:val="20"/>
                <w:lang w:val="sr-Cyrl-CS"/>
              </w:rPr>
            </w:pPr>
            <w:r w:rsidRPr="00092ED7">
              <w:rPr>
                <w:sz w:val="20"/>
                <w:szCs w:val="20"/>
                <w:lang w:val="sr-Cyrl-CS"/>
              </w:rPr>
              <w:t>832,405</w:t>
            </w:r>
          </w:p>
        </w:tc>
        <w:tc>
          <w:tcPr>
            <w:tcW w:w="1177" w:type="dxa"/>
            <w:tcBorders>
              <w:top w:val="nil"/>
              <w:left w:val="nil"/>
              <w:bottom w:val="single" w:sz="4" w:space="0" w:color="auto"/>
              <w:right w:val="dotted" w:sz="4" w:space="0" w:color="000000"/>
            </w:tcBorders>
            <w:shd w:val="clear" w:color="auto" w:fill="auto"/>
            <w:noWrap/>
            <w:vAlign w:val="center"/>
            <w:hideMark/>
          </w:tcPr>
          <w:p w14:paraId="13E7569F" w14:textId="77777777" w:rsidR="00247CBF" w:rsidRPr="00092ED7" w:rsidRDefault="00247CBF" w:rsidP="00247CBF">
            <w:pPr>
              <w:spacing w:after="0"/>
              <w:jc w:val="right"/>
              <w:rPr>
                <w:sz w:val="20"/>
                <w:szCs w:val="20"/>
                <w:lang w:val="sr-Cyrl-CS"/>
              </w:rPr>
            </w:pPr>
            <w:r w:rsidRPr="00092ED7">
              <w:rPr>
                <w:sz w:val="20"/>
                <w:szCs w:val="20"/>
                <w:lang w:val="sr-Cyrl-CS"/>
              </w:rPr>
              <w:t>939,989</w:t>
            </w:r>
          </w:p>
        </w:tc>
        <w:tc>
          <w:tcPr>
            <w:tcW w:w="1176" w:type="dxa"/>
            <w:tcBorders>
              <w:top w:val="nil"/>
              <w:left w:val="nil"/>
              <w:bottom w:val="single" w:sz="4" w:space="0" w:color="auto"/>
              <w:right w:val="dotted" w:sz="4" w:space="0" w:color="000000"/>
            </w:tcBorders>
            <w:shd w:val="clear" w:color="auto" w:fill="auto"/>
            <w:noWrap/>
            <w:vAlign w:val="center"/>
            <w:hideMark/>
          </w:tcPr>
          <w:p w14:paraId="2CF2DE0A" w14:textId="77777777" w:rsidR="00247CBF" w:rsidRPr="00092ED7" w:rsidRDefault="00247CBF" w:rsidP="00247CBF">
            <w:pPr>
              <w:spacing w:after="0"/>
              <w:jc w:val="right"/>
              <w:rPr>
                <w:sz w:val="20"/>
                <w:szCs w:val="20"/>
                <w:lang w:val="sr-Cyrl-CS"/>
              </w:rPr>
            </w:pPr>
            <w:r w:rsidRPr="00092ED7">
              <w:rPr>
                <w:sz w:val="20"/>
                <w:szCs w:val="20"/>
                <w:lang w:val="sr-Cyrl-CS"/>
              </w:rPr>
              <w:t>1050,522</w:t>
            </w:r>
          </w:p>
        </w:tc>
        <w:tc>
          <w:tcPr>
            <w:tcW w:w="1176" w:type="dxa"/>
            <w:tcBorders>
              <w:top w:val="nil"/>
              <w:left w:val="nil"/>
              <w:bottom w:val="single" w:sz="4" w:space="0" w:color="auto"/>
              <w:right w:val="dotted" w:sz="4" w:space="0" w:color="000000"/>
            </w:tcBorders>
            <w:shd w:val="clear" w:color="auto" w:fill="auto"/>
            <w:noWrap/>
            <w:vAlign w:val="center"/>
            <w:hideMark/>
          </w:tcPr>
          <w:p w14:paraId="7C3CFC06" w14:textId="77777777" w:rsidR="00247CBF" w:rsidRPr="00092ED7" w:rsidRDefault="00247CBF" w:rsidP="00247CBF">
            <w:pPr>
              <w:spacing w:after="0"/>
              <w:jc w:val="right"/>
              <w:rPr>
                <w:sz w:val="20"/>
                <w:szCs w:val="20"/>
                <w:lang w:val="sr-Cyrl-CS"/>
              </w:rPr>
            </w:pPr>
            <w:r w:rsidRPr="00092ED7">
              <w:rPr>
                <w:sz w:val="20"/>
                <w:szCs w:val="20"/>
                <w:lang w:val="sr-Cyrl-CS"/>
              </w:rPr>
              <w:t>1168,696</w:t>
            </w:r>
          </w:p>
        </w:tc>
        <w:tc>
          <w:tcPr>
            <w:tcW w:w="1177" w:type="dxa"/>
            <w:tcBorders>
              <w:top w:val="nil"/>
              <w:left w:val="nil"/>
              <w:bottom w:val="single" w:sz="4" w:space="0" w:color="auto"/>
              <w:right w:val="double" w:sz="6" w:space="0" w:color="auto"/>
            </w:tcBorders>
            <w:shd w:val="clear" w:color="auto" w:fill="auto"/>
            <w:noWrap/>
            <w:vAlign w:val="center"/>
            <w:hideMark/>
          </w:tcPr>
          <w:p w14:paraId="4A9D5C94" w14:textId="77777777" w:rsidR="00247CBF" w:rsidRPr="00092ED7" w:rsidRDefault="00247CBF" w:rsidP="00247CBF">
            <w:pPr>
              <w:spacing w:after="0"/>
              <w:jc w:val="right"/>
              <w:rPr>
                <w:sz w:val="20"/>
                <w:szCs w:val="20"/>
                <w:lang w:val="sr-Cyrl-CS"/>
              </w:rPr>
            </w:pPr>
            <w:r w:rsidRPr="00092ED7">
              <w:rPr>
                <w:sz w:val="20"/>
                <w:szCs w:val="20"/>
                <w:lang w:val="sr-Cyrl-CS"/>
              </w:rPr>
              <w:t>1255,399</w:t>
            </w:r>
          </w:p>
        </w:tc>
      </w:tr>
      <w:tr w:rsidR="00247CBF" w:rsidRPr="00092ED7" w14:paraId="41E27823" w14:textId="77777777" w:rsidTr="00247CBF">
        <w:trPr>
          <w:trHeight w:val="255"/>
        </w:trPr>
        <w:tc>
          <w:tcPr>
            <w:tcW w:w="6000" w:type="dxa"/>
            <w:tcBorders>
              <w:top w:val="dotted" w:sz="4" w:space="0" w:color="000000"/>
              <w:left w:val="double" w:sz="6" w:space="0" w:color="auto"/>
              <w:bottom w:val="single" w:sz="4" w:space="0" w:color="auto"/>
              <w:right w:val="nil"/>
            </w:tcBorders>
            <w:shd w:val="clear" w:color="auto" w:fill="auto"/>
            <w:vAlign w:val="center"/>
            <w:hideMark/>
          </w:tcPr>
          <w:p w14:paraId="0FF957A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Друге релевантне променљиве</w:t>
            </w:r>
          </w:p>
        </w:tc>
        <w:tc>
          <w:tcPr>
            <w:tcW w:w="1520" w:type="dxa"/>
            <w:tcBorders>
              <w:top w:val="nil"/>
              <w:left w:val="single" w:sz="8" w:space="0" w:color="000000"/>
              <w:bottom w:val="single" w:sz="4" w:space="0" w:color="auto"/>
              <w:right w:val="single" w:sz="8" w:space="0" w:color="000000"/>
            </w:tcBorders>
            <w:shd w:val="clear" w:color="auto" w:fill="auto"/>
            <w:vAlign w:val="center"/>
            <w:hideMark/>
          </w:tcPr>
          <w:p w14:paraId="6BA3DC82" w14:textId="77777777" w:rsidR="00247CBF" w:rsidRPr="00092ED7" w:rsidRDefault="00247CBF" w:rsidP="00247CBF">
            <w:pPr>
              <w:spacing w:after="0"/>
              <w:jc w:val="center"/>
              <w:rPr>
                <w:sz w:val="20"/>
                <w:szCs w:val="20"/>
                <w:lang w:val="sr-Cyrl-CS"/>
              </w:rPr>
            </w:pPr>
          </w:p>
        </w:tc>
        <w:tc>
          <w:tcPr>
            <w:tcW w:w="1176" w:type="dxa"/>
            <w:tcBorders>
              <w:top w:val="nil"/>
              <w:left w:val="nil"/>
              <w:bottom w:val="single" w:sz="4" w:space="0" w:color="auto"/>
              <w:right w:val="dotted" w:sz="4" w:space="0" w:color="000000"/>
            </w:tcBorders>
            <w:shd w:val="clear" w:color="auto" w:fill="auto"/>
            <w:noWrap/>
            <w:vAlign w:val="center"/>
            <w:hideMark/>
          </w:tcPr>
          <w:p w14:paraId="084F4E5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76" w:type="dxa"/>
            <w:tcBorders>
              <w:top w:val="nil"/>
              <w:left w:val="nil"/>
              <w:bottom w:val="single" w:sz="4" w:space="0" w:color="auto"/>
              <w:right w:val="dotted" w:sz="4" w:space="0" w:color="000000"/>
            </w:tcBorders>
            <w:shd w:val="clear" w:color="auto" w:fill="auto"/>
            <w:noWrap/>
            <w:vAlign w:val="center"/>
            <w:hideMark/>
          </w:tcPr>
          <w:p w14:paraId="657CC3F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77" w:type="dxa"/>
            <w:tcBorders>
              <w:top w:val="nil"/>
              <w:left w:val="nil"/>
              <w:bottom w:val="single" w:sz="4" w:space="0" w:color="auto"/>
              <w:right w:val="dotted" w:sz="4" w:space="0" w:color="000000"/>
            </w:tcBorders>
            <w:shd w:val="clear" w:color="auto" w:fill="auto"/>
            <w:noWrap/>
            <w:vAlign w:val="center"/>
            <w:hideMark/>
          </w:tcPr>
          <w:p w14:paraId="7E7666D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76" w:type="dxa"/>
            <w:tcBorders>
              <w:top w:val="nil"/>
              <w:left w:val="nil"/>
              <w:bottom w:val="single" w:sz="4" w:space="0" w:color="auto"/>
              <w:right w:val="dotted" w:sz="4" w:space="0" w:color="000000"/>
            </w:tcBorders>
            <w:shd w:val="clear" w:color="auto" w:fill="auto"/>
            <w:noWrap/>
            <w:vAlign w:val="center"/>
            <w:hideMark/>
          </w:tcPr>
          <w:p w14:paraId="1F553CD3"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76" w:type="dxa"/>
            <w:tcBorders>
              <w:top w:val="nil"/>
              <w:left w:val="nil"/>
              <w:bottom w:val="single" w:sz="4" w:space="0" w:color="auto"/>
              <w:right w:val="dotted" w:sz="4" w:space="0" w:color="000000"/>
            </w:tcBorders>
            <w:shd w:val="clear" w:color="auto" w:fill="auto"/>
            <w:noWrap/>
            <w:vAlign w:val="center"/>
            <w:hideMark/>
          </w:tcPr>
          <w:p w14:paraId="240B2CF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77" w:type="dxa"/>
            <w:tcBorders>
              <w:top w:val="nil"/>
              <w:left w:val="nil"/>
              <w:bottom w:val="single" w:sz="4" w:space="0" w:color="auto"/>
              <w:right w:val="double" w:sz="6" w:space="0" w:color="auto"/>
            </w:tcBorders>
            <w:shd w:val="clear" w:color="auto" w:fill="auto"/>
            <w:noWrap/>
            <w:vAlign w:val="center"/>
            <w:hideMark/>
          </w:tcPr>
          <w:p w14:paraId="5BC8D00D"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42C0F5F1" w14:textId="77777777" w:rsidTr="00247CBF">
        <w:trPr>
          <w:trHeight w:val="270"/>
        </w:trPr>
        <w:tc>
          <w:tcPr>
            <w:tcW w:w="6000" w:type="dxa"/>
            <w:tcBorders>
              <w:top w:val="nil"/>
              <w:left w:val="double" w:sz="6" w:space="0" w:color="auto"/>
              <w:bottom w:val="double" w:sz="6" w:space="0" w:color="auto"/>
              <w:right w:val="nil"/>
            </w:tcBorders>
            <w:shd w:val="clear" w:color="auto" w:fill="auto"/>
            <w:vAlign w:val="center"/>
            <w:hideMark/>
          </w:tcPr>
          <w:p w14:paraId="2827A26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11. Укупни расходи (ставка 7 = 23 у Табели 2)</w:t>
            </w:r>
          </w:p>
        </w:tc>
        <w:tc>
          <w:tcPr>
            <w:tcW w:w="1520" w:type="dxa"/>
            <w:tcBorders>
              <w:top w:val="nil"/>
              <w:left w:val="single" w:sz="8" w:space="0" w:color="000000"/>
              <w:bottom w:val="double" w:sz="6" w:space="0" w:color="auto"/>
              <w:right w:val="single" w:sz="8" w:space="0" w:color="000000"/>
            </w:tcBorders>
            <w:shd w:val="clear" w:color="auto" w:fill="auto"/>
            <w:vAlign w:val="center"/>
            <w:hideMark/>
          </w:tcPr>
          <w:p w14:paraId="138DC1B4" w14:textId="77777777" w:rsidR="00247CBF" w:rsidRPr="00092ED7" w:rsidRDefault="00247CBF" w:rsidP="00247CBF">
            <w:pPr>
              <w:spacing w:after="0"/>
              <w:jc w:val="center"/>
              <w:rPr>
                <w:sz w:val="20"/>
                <w:szCs w:val="20"/>
                <w:lang w:val="sr-Cyrl-CS"/>
              </w:rPr>
            </w:pPr>
            <w:r w:rsidRPr="00092ED7">
              <w:rPr>
                <w:sz w:val="20"/>
                <w:szCs w:val="20"/>
                <w:lang w:val="sr-Cyrl-CS"/>
              </w:rPr>
              <w:t>TE</w:t>
            </w:r>
          </w:p>
        </w:tc>
        <w:tc>
          <w:tcPr>
            <w:tcW w:w="1176" w:type="dxa"/>
            <w:tcBorders>
              <w:top w:val="nil"/>
              <w:left w:val="nil"/>
              <w:bottom w:val="double" w:sz="6" w:space="0" w:color="auto"/>
              <w:right w:val="dotted" w:sz="4" w:space="0" w:color="000000"/>
            </w:tcBorders>
            <w:shd w:val="clear" w:color="auto" w:fill="auto"/>
            <w:noWrap/>
            <w:vAlign w:val="center"/>
            <w:hideMark/>
          </w:tcPr>
          <w:p w14:paraId="404CD508" w14:textId="77777777" w:rsidR="00247CBF" w:rsidRPr="00092ED7" w:rsidRDefault="00247CBF" w:rsidP="00247CBF">
            <w:pPr>
              <w:spacing w:after="0"/>
              <w:jc w:val="right"/>
              <w:rPr>
                <w:sz w:val="20"/>
                <w:szCs w:val="20"/>
                <w:lang w:val="sr-Cyrl-CS"/>
              </w:rPr>
            </w:pPr>
            <w:r w:rsidRPr="00092ED7">
              <w:rPr>
                <w:sz w:val="20"/>
                <w:szCs w:val="20"/>
                <w:lang w:val="sr-Cyrl-CS"/>
              </w:rPr>
              <w:t>2.697,7</w:t>
            </w:r>
          </w:p>
        </w:tc>
        <w:tc>
          <w:tcPr>
            <w:tcW w:w="1176" w:type="dxa"/>
            <w:tcBorders>
              <w:top w:val="nil"/>
              <w:left w:val="nil"/>
              <w:bottom w:val="double" w:sz="6" w:space="0" w:color="auto"/>
              <w:right w:val="dotted" w:sz="4" w:space="0" w:color="000000"/>
            </w:tcBorders>
            <w:shd w:val="clear" w:color="auto" w:fill="auto"/>
            <w:noWrap/>
            <w:vAlign w:val="center"/>
            <w:hideMark/>
          </w:tcPr>
          <w:p w14:paraId="5E95680D" w14:textId="77777777" w:rsidR="00247CBF" w:rsidRPr="00092ED7" w:rsidRDefault="00247CBF" w:rsidP="00247CBF">
            <w:pPr>
              <w:spacing w:after="0"/>
              <w:jc w:val="right"/>
              <w:rPr>
                <w:sz w:val="20"/>
                <w:szCs w:val="20"/>
                <w:lang w:val="sr-Cyrl-CS"/>
              </w:rPr>
            </w:pPr>
            <w:r w:rsidRPr="00092ED7">
              <w:rPr>
                <w:sz w:val="20"/>
                <w:szCs w:val="20"/>
                <w:lang w:val="sr-Cyrl-CS"/>
              </w:rPr>
              <w:t>2.971,3</w:t>
            </w:r>
          </w:p>
        </w:tc>
        <w:tc>
          <w:tcPr>
            <w:tcW w:w="1177" w:type="dxa"/>
            <w:tcBorders>
              <w:top w:val="nil"/>
              <w:left w:val="nil"/>
              <w:bottom w:val="double" w:sz="6" w:space="0" w:color="auto"/>
              <w:right w:val="dotted" w:sz="4" w:space="0" w:color="000000"/>
            </w:tcBorders>
            <w:shd w:val="clear" w:color="auto" w:fill="auto"/>
            <w:noWrap/>
            <w:vAlign w:val="center"/>
            <w:hideMark/>
          </w:tcPr>
          <w:p w14:paraId="24C593E4" w14:textId="77777777" w:rsidR="00247CBF" w:rsidRPr="00092ED7" w:rsidRDefault="00247CBF" w:rsidP="00247CBF">
            <w:pPr>
              <w:spacing w:after="0"/>
              <w:jc w:val="right"/>
              <w:rPr>
                <w:sz w:val="20"/>
                <w:szCs w:val="20"/>
                <w:lang w:val="sr-Cyrl-CS"/>
              </w:rPr>
            </w:pPr>
            <w:r w:rsidRPr="00092ED7">
              <w:rPr>
                <w:sz w:val="20"/>
                <w:szCs w:val="20"/>
                <w:lang w:val="sr-Cyrl-CS"/>
              </w:rPr>
              <w:t>3.317,3</w:t>
            </w:r>
          </w:p>
        </w:tc>
        <w:tc>
          <w:tcPr>
            <w:tcW w:w="1176" w:type="dxa"/>
            <w:tcBorders>
              <w:top w:val="nil"/>
              <w:left w:val="nil"/>
              <w:bottom w:val="double" w:sz="6" w:space="0" w:color="auto"/>
              <w:right w:val="dotted" w:sz="4" w:space="0" w:color="000000"/>
            </w:tcBorders>
            <w:shd w:val="clear" w:color="auto" w:fill="auto"/>
            <w:noWrap/>
            <w:vAlign w:val="center"/>
            <w:hideMark/>
          </w:tcPr>
          <w:p w14:paraId="4AC74B26" w14:textId="77777777" w:rsidR="00247CBF" w:rsidRPr="00092ED7" w:rsidRDefault="00247CBF" w:rsidP="00247CBF">
            <w:pPr>
              <w:spacing w:after="0"/>
              <w:jc w:val="right"/>
              <w:rPr>
                <w:sz w:val="20"/>
                <w:szCs w:val="20"/>
                <w:lang w:val="sr-Cyrl-CS"/>
              </w:rPr>
            </w:pPr>
            <w:r w:rsidRPr="00092ED7">
              <w:rPr>
                <w:sz w:val="20"/>
                <w:szCs w:val="20"/>
                <w:lang w:val="sr-Cyrl-CS"/>
              </w:rPr>
              <w:t>3.547,5</w:t>
            </w:r>
          </w:p>
        </w:tc>
        <w:tc>
          <w:tcPr>
            <w:tcW w:w="1176" w:type="dxa"/>
            <w:tcBorders>
              <w:top w:val="nil"/>
              <w:left w:val="nil"/>
              <w:bottom w:val="double" w:sz="6" w:space="0" w:color="auto"/>
              <w:right w:val="dotted" w:sz="4" w:space="0" w:color="000000"/>
            </w:tcBorders>
            <w:shd w:val="clear" w:color="auto" w:fill="auto"/>
            <w:noWrap/>
            <w:vAlign w:val="center"/>
            <w:hideMark/>
          </w:tcPr>
          <w:p w14:paraId="5A9AC8EB" w14:textId="77777777" w:rsidR="00247CBF" w:rsidRPr="00092ED7" w:rsidRDefault="00247CBF" w:rsidP="00247CBF">
            <w:pPr>
              <w:spacing w:after="0"/>
              <w:jc w:val="right"/>
              <w:rPr>
                <w:sz w:val="20"/>
                <w:szCs w:val="20"/>
                <w:lang w:val="sr-Cyrl-CS"/>
              </w:rPr>
            </w:pPr>
            <w:r w:rsidRPr="00092ED7">
              <w:rPr>
                <w:sz w:val="20"/>
                <w:szCs w:val="20"/>
                <w:lang w:val="sr-Cyrl-CS"/>
              </w:rPr>
              <w:t>3.733,1</w:t>
            </w:r>
          </w:p>
        </w:tc>
        <w:tc>
          <w:tcPr>
            <w:tcW w:w="1177" w:type="dxa"/>
            <w:tcBorders>
              <w:top w:val="nil"/>
              <w:left w:val="nil"/>
              <w:bottom w:val="double" w:sz="6" w:space="0" w:color="auto"/>
              <w:right w:val="double" w:sz="6" w:space="0" w:color="auto"/>
            </w:tcBorders>
            <w:shd w:val="clear" w:color="auto" w:fill="auto"/>
            <w:noWrap/>
            <w:vAlign w:val="center"/>
            <w:hideMark/>
          </w:tcPr>
          <w:p w14:paraId="7F1AD096" w14:textId="77777777" w:rsidR="00247CBF" w:rsidRPr="00092ED7" w:rsidRDefault="00247CBF" w:rsidP="00247CBF">
            <w:pPr>
              <w:spacing w:after="0"/>
              <w:jc w:val="right"/>
              <w:rPr>
                <w:sz w:val="20"/>
                <w:szCs w:val="20"/>
                <w:lang w:val="sr-Cyrl-CS"/>
              </w:rPr>
            </w:pPr>
            <w:r w:rsidRPr="00092ED7">
              <w:rPr>
                <w:sz w:val="20"/>
                <w:szCs w:val="20"/>
                <w:lang w:val="sr-Cyrl-CS"/>
              </w:rPr>
              <w:t>3.901,8</w:t>
            </w:r>
          </w:p>
        </w:tc>
      </w:tr>
    </w:tbl>
    <w:p w14:paraId="7FA7E44E" w14:textId="77777777" w:rsidR="00247CBF" w:rsidRPr="00092ED7" w:rsidRDefault="00247CBF" w:rsidP="00247CBF">
      <w:pPr>
        <w:rPr>
          <w:rFonts w:cs="Times New Roman"/>
          <w:lang w:val="sr-Cyrl-CS"/>
        </w:rPr>
      </w:pPr>
    </w:p>
    <w:tbl>
      <w:tblPr>
        <w:tblW w:w="5000" w:type="pct"/>
        <w:tblLook w:val="04A0" w:firstRow="1" w:lastRow="0" w:firstColumn="1" w:lastColumn="0" w:noHBand="0" w:noVBand="1"/>
      </w:tblPr>
      <w:tblGrid>
        <w:gridCol w:w="23"/>
        <w:gridCol w:w="6073"/>
        <w:gridCol w:w="1416"/>
        <w:gridCol w:w="1008"/>
        <w:gridCol w:w="402"/>
        <w:gridCol w:w="848"/>
        <w:gridCol w:w="562"/>
        <w:gridCol w:w="688"/>
        <w:gridCol w:w="726"/>
        <w:gridCol w:w="525"/>
        <w:gridCol w:w="886"/>
        <w:gridCol w:w="1413"/>
      </w:tblGrid>
      <w:tr w:rsidR="00247CBF" w:rsidRPr="00092ED7" w14:paraId="0C880F5C" w14:textId="77777777" w:rsidTr="00247CBF">
        <w:trPr>
          <w:trHeight w:val="255"/>
        </w:trPr>
        <w:tc>
          <w:tcPr>
            <w:tcW w:w="2924" w:type="pct"/>
            <w:gridSpan w:val="4"/>
            <w:tcBorders>
              <w:top w:val="nil"/>
              <w:left w:val="nil"/>
              <w:bottom w:val="nil"/>
              <w:right w:val="nil"/>
            </w:tcBorders>
            <w:shd w:val="clear" w:color="000000" w:fill="FFFFFF"/>
            <w:noWrap/>
            <w:vAlign w:val="center"/>
            <w:hideMark/>
          </w:tcPr>
          <w:p w14:paraId="66EE88A8"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3: Расходи општег нивоа државе по функцијама</w:t>
            </w:r>
          </w:p>
        </w:tc>
        <w:tc>
          <w:tcPr>
            <w:tcW w:w="429" w:type="pct"/>
            <w:gridSpan w:val="2"/>
            <w:tcBorders>
              <w:top w:val="nil"/>
              <w:left w:val="nil"/>
              <w:bottom w:val="nil"/>
              <w:right w:val="nil"/>
            </w:tcBorders>
            <w:shd w:val="clear" w:color="000000" w:fill="FFFFFF"/>
            <w:noWrap/>
            <w:vAlign w:val="center"/>
            <w:hideMark/>
          </w:tcPr>
          <w:p w14:paraId="67FD8CD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29" w:type="pct"/>
            <w:gridSpan w:val="2"/>
            <w:tcBorders>
              <w:top w:val="nil"/>
              <w:left w:val="nil"/>
              <w:bottom w:val="nil"/>
              <w:right w:val="nil"/>
            </w:tcBorders>
            <w:shd w:val="clear" w:color="000000" w:fill="FFFFFF"/>
            <w:noWrap/>
            <w:vAlign w:val="center"/>
            <w:hideMark/>
          </w:tcPr>
          <w:p w14:paraId="0510FEF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29" w:type="pct"/>
            <w:gridSpan w:val="2"/>
            <w:tcBorders>
              <w:top w:val="nil"/>
              <w:left w:val="nil"/>
              <w:bottom w:val="nil"/>
              <w:right w:val="nil"/>
            </w:tcBorders>
            <w:shd w:val="clear" w:color="000000" w:fill="FFFFFF"/>
            <w:noWrap/>
            <w:vAlign w:val="center"/>
            <w:hideMark/>
          </w:tcPr>
          <w:p w14:paraId="7811B13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789" w:type="pct"/>
            <w:gridSpan w:val="2"/>
            <w:tcBorders>
              <w:top w:val="nil"/>
              <w:left w:val="nil"/>
              <w:bottom w:val="nil"/>
              <w:right w:val="nil"/>
            </w:tcBorders>
            <w:shd w:val="clear" w:color="000000" w:fill="FFFFFF"/>
            <w:noWrap/>
            <w:vAlign w:val="center"/>
            <w:hideMark/>
          </w:tcPr>
          <w:p w14:paraId="59C8EF1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2472E859" w14:textId="77777777" w:rsidTr="00247CBF">
        <w:trPr>
          <w:gridBefore w:val="1"/>
          <w:wBefore w:w="8" w:type="pct"/>
          <w:trHeight w:val="255"/>
        </w:trPr>
        <w:tc>
          <w:tcPr>
            <w:tcW w:w="2084" w:type="pct"/>
            <w:vMerge w:val="restart"/>
            <w:tcBorders>
              <w:top w:val="double" w:sz="6" w:space="0" w:color="000000"/>
              <w:left w:val="double" w:sz="6" w:space="0" w:color="000000"/>
              <w:bottom w:val="single" w:sz="8" w:space="0" w:color="000000"/>
              <w:right w:val="dotted" w:sz="4" w:space="0" w:color="auto"/>
            </w:tcBorders>
            <w:shd w:val="clear" w:color="000000" w:fill="FFFFFF"/>
            <w:vAlign w:val="center"/>
            <w:hideMark/>
          </w:tcPr>
          <w:p w14:paraId="5AC1E80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486" w:type="pct"/>
            <w:vMerge w:val="restart"/>
            <w:tcBorders>
              <w:top w:val="double" w:sz="6" w:space="0" w:color="000000"/>
              <w:left w:val="dotted" w:sz="4" w:space="0" w:color="auto"/>
              <w:bottom w:val="single" w:sz="8" w:space="0" w:color="000000"/>
              <w:right w:val="single" w:sz="8" w:space="0" w:color="auto"/>
            </w:tcBorders>
            <w:shd w:val="clear" w:color="000000" w:fill="FFFFFF"/>
            <w:vAlign w:val="center"/>
            <w:hideMark/>
          </w:tcPr>
          <w:p w14:paraId="5BEF49C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COFOG шифра</w:t>
            </w:r>
          </w:p>
        </w:tc>
        <w:tc>
          <w:tcPr>
            <w:tcW w:w="484" w:type="pct"/>
            <w:gridSpan w:val="2"/>
            <w:tcBorders>
              <w:top w:val="double" w:sz="6" w:space="0" w:color="000000"/>
              <w:left w:val="nil"/>
              <w:bottom w:val="nil"/>
              <w:right w:val="dotted" w:sz="4" w:space="0" w:color="auto"/>
            </w:tcBorders>
            <w:shd w:val="clear" w:color="000000" w:fill="FFFFFF"/>
            <w:vAlign w:val="center"/>
            <w:hideMark/>
          </w:tcPr>
          <w:p w14:paraId="05EF47F2"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84" w:type="pct"/>
            <w:gridSpan w:val="2"/>
            <w:tcBorders>
              <w:top w:val="double" w:sz="6" w:space="0" w:color="000000"/>
              <w:left w:val="nil"/>
              <w:bottom w:val="nil"/>
              <w:right w:val="dotted" w:sz="4" w:space="0" w:color="auto"/>
            </w:tcBorders>
            <w:shd w:val="clear" w:color="000000" w:fill="FFFFFF"/>
            <w:vAlign w:val="center"/>
            <w:hideMark/>
          </w:tcPr>
          <w:p w14:paraId="47A7B5CD"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85" w:type="pct"/>
            <w:gridSpan w:val="2"/>
            <w:tcBorders>
              <w:top w:val="double" w:sz="6" w:space="0" w:color="000000"/>
              <w:left w:val="nil"/>
              <w:bottom w:val="nil"/>
              <w:right w:val="dotted" w:sz="4" w:space="0" w:color="auto"/>
            </w:tcBorders>
            <w:shd w:val="clear" w:color="000000" w:fill="FFFFFF"/>
            <w:vAlign w:val="center"/>
            <w:hideMark/>
          </w:tcPr>
          <w:p w14:paraId="07F65DBB"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84" w:type="pct"/>
            <w:gridSpan w:val="2"/>
            <w:tcBorders>
              <w:top w:val="double" w:sz="6" w:space="0" w:color="000000"/>
              <w:left w:val="nil"/>
              <w:bottom w:val="nil"/>
              <w:right w:val="dotted" w:sz="4" w:space="0" w:color="auto"/>
            </w:tcBorders>
            <w:shd w:val="clear" w:color="000000" w:fill="FFFFFF"/>
            <w:vAlign w:val="center"/>
            <w:hideMark/>
          </w:tcPr>
          <w:p w14:paraId="117683C3"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85" w:type="pct"/>
            <w:tcBorders>
              <w:top w:val="double" w:sz="6" w:space="0" w:color="000000"/>
              <w:left w:val="nil"/>
              <w:bottom w:val="nil"/>
              <w:right w:val="double" w:sz="6" w:space="0" w:color="auto"/>
            </w:tcBorders>
            <w:shd w:val="clear" w:color="000000" w:fill="FFFFFF"/>
            <w:vAlign w:val="center"/>
            <w:hideMark/>
          </w:tcPr>
          <w:p w14:paraId="0AA9857E"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r>
      <w:tr w:rsidR="00247CBF" w:rsidRPr="00092ED7" w14:paraId="46490537" w14:textId="77777777" w:rsidTr="00247CBF">
        <w:trPr>
          <w:gridBefore w:val="1"/>
          <w:wBefore w:w="8" w:type="pct"/>
          <w:trHeight w:val="255"/>
        </w:trPr>
        <w:tc>
          <w:tcPr>
            <w:tcW w:w="2084" w:type="pct"/>
            <w:vMerge/>
            <w:tcBorders>
              <w:top w:val="double" w:sz="6" w:space="0" w:color="000000"/>
              <w:left w:val="double" w:sz="6" w:space="0" w:color="000000"/>
              <w:bottom w:val="single" w:sz="8" w:space="0" w:color="000000"/>
              <w:right w:val="dotted" w:sz="4" w:space="0" w:color="auto"/>
            </w:tcBorders>
            <w:vAlign w:val="center"/>
            <w:hideMark/>
          </w:tcPr>
          <w:p w14:paraId="6748734C" w14:textId="77777777" w:rsidR="00247CBF" w:rsidRPr="00092ED7" w:rsidRDefault="00247CBF" w:rsidP="00247CBF">
            <w:pPr>
              <w:spacing w:after="0"/>
              <w:rPr>
                <w:rFonts w:eastAsia="Times New Roman" w:cs="Times New Roman"/>
                <w:sz w:val="20"/>
                <w:szCs w:val="20"/>
                <w:lang w:val="sr-Cyrl-CS"/>
              </w:rPr>
            </w:pPr>
          </w:p>
        </w:tc>
        <w:tc>
          <w:tcPr>
            <w:tcW w:w="486" w:type="pct"/>
            <w:vMerge/>
            <w:tcBorders>
              <w:top w:val="double" w:sz="6" w:space="0" w:color="000000"/>
              <w:left w:val="dotted" w:sz="4" w:space="0" w:color="auto"/>
              <w:bottom w:val="single" w:sz="8" w:space="0" w:color="000000"/>
              <w:right w:val="single" w:sz="8" w:space="0" w:color="auto"/>
            </w:tcBorders>
            <w:vAlign w:val="center"/>
            <w:hideMark/>
          </w:tcPr>
          <w:p w14:paraId="617C2A10" w14:textId="77777777" w:rsidR="00247CBF" w:rsidRPr="00092ED7" w:rsidRDefault="00247CBF" w:rsidP="00247CBF">
            <w:pPr>
              <w:spacing w:after="0"/>
              <w:rPr>
                <w:rFonts w:eastAsia="Times New Roman" w:cs="Times New Roman"/>
                <w:sz w:val="20"/>
                <w:szCs w:val="20"/>
                <w:lang w:val="sr-Cyrl-CS"/>
              </w:rPr>
            </w:pPr>
          </w:p>
        </w:tc>
        <w:tc>
          <w:tcPr>
            <w:tcW w:w="484" w:type="pct"/>
            <w:gridSpan w:val="2"/>
            <w:tcBorders>
              <w:top w:val="nil"/>
              <w:left w:val="nil"/>
              <w:bottom w:val="single" w:sz="8" w:space="0" w:color="auto"/>
              <w:right w:val="dotted" w:sz="4" w:space="0" w:color="auto"/>
            </w:tcBorders>
            <w:shd w:val="clear" w:color="000000" w:fill="FFFFFF"/>
            <w:vAlign w:val="center"/>
            <w:hideMark/>
          </w:tcPr>
          <w:p w14:paraId="73668086" w14:textId="77777777" w:rsidR="00247CBF" w:rsidRPr="00092ED7" w:rsidRDefault="00247CBF" w:rsidP="00247CBF">
            <w:pPr>
              <w:spacing w:after="0"/>
              <w:jc w:val="center"/>
              <w:rPr>
                <w:sz w:val="20"/>
                <w:szCs w:val="20"/>
                <w:lang w:val="sr-Cyrl-CS"/>
              </w:rPr>
            </w:pPr>
            <w:r w:rsidRPr="00092ED7">
              <w:rPr>
                <w:sz w:val="20"/>
                <w:szCs w:val="20"/>
                <w:lang w:val="sr-Cyrl-CS"/>
              </w:rPr>
              <w:t>2021</w:t>
            </w:r>
          </w:p>
        </w:tc>
        <w:tc>
          <w:tcPr>
            <w:tcW w:w="484" w:type="pct"/>
            <w:gridSpan w:val="2"/>
            <w:tcBorders>
              <w:top w:val="nil"/>
              <w:left w:val="nil"/>
              <w:bottom w:val="single" w:sz="8" w:space="0" w:color="auto"/>
              <w:right w:val="dotted" w:sz="4" w:space="0" w:color="auto"/>
            </w:tcBorders>
            <w:shd w:val="clear" w:color="000000" w:fill="FFFFFF"/>
            <w:vAlign w:val="center"/>
            <w:hideMark/>
          </w:tcPr>
          <w:p w14:paraId="3E5D9748" w14:textId="77777777" w:rsidR="00247CBF" w:rsidRPr="00092ED7" w:rsidRDefault="00247CBF" w:rsidP="00247CBF">
            <w:pPr>
              <w:spacing w:after="0"/>
              <w:jc w:val="center"/>
              <w:rPr>
                <w:sz w:val="20"/>
                <w:szCs w:val="20"/>
                <w:lang w:val="sr-Cyrl-CS"/>
              </w:rPr>
            </w:pPr>
            <w:r w:rsidRPr="00092ED7">
              <w:rPr>
                <w:sz w:val="20"/>
                <w:szCs w:val="20"/>
                <w:lang w:val="sr-Cyrl-CS"/>
              </w:rPr>
              <w:t>2022</w:t>
            </w:r>
          </w:p>
        </w:tc>
        <w:tc>
          <w:tcPr>
            <w:tcW w:w="485" w:type="pct"/>
            <w:gridSpan w:val="2"/>
            <w:tcBorders>
              <w:top w:val="nil"/>
              <w:left w:val="nil"/>
              <w:bottom w:val="single" w:sz="8" w:space="0" w:color="auto"/>
              <w:right w:val="dotted" w:sz="4" w:space="0" w:color="auto"/>
            </w:tcBorders>
            <w:shd w:val="clear" w:color="000000" w:fill="FFFFFF"/>
            <w:vAlign w:val="center"/>
            <w:hideMark/>
          </w:tcPr>
          <w:p w14:paraId="27816FB6" w14:textId="77777777" w:rsidR="00247CBF" w:rsidRPr="00092ED7" w:rsidRDefault="00247CBF" w:rsidP="00247CBF">
            <w:pPr>
              <w:spacing w:after="0"/>
              <w:jc w:val="center"/>
              <w:rPr>
                <w:sz w:val="20"/>
                <w:szCs w:val="20"/>
                <w:lang w:val="sr-Cyrl-CS"/>
              </w:rPr>
            </w:pPr>
            <w:r w:rsidRPr="00092ED7">
              <w:rPr>
                <w:sz w:val="20"/>
                <w:szCs w:val="20"/>
                <w:lang w:val="sr-Cyrl-CS"/>
              </w:rPr>
              <w:t>2023</w:t>
            </w:r>
          </w:p>
        </w:tc>
        <w:tc>
          <w:tcPr>
            <w:tcW w:w="484" w:type="pct"/>
            <w:gridSpan w:val="2"/>
            <w:tcBorders>
              <w:top w:val="nil"/>
              <w:left w:val="nil"/>
              <w:bottom w:val="single" w:sz="8" w:space="0" w:color="auto"/>
              <w:right w:val="dotted" w:sz="4" w:space="0" w:color="auto"/>
            </w:tcBorders>
            <w:shd w:val="clear" w:color="000000" w:fill="FFFFFF"/>
            <w:vAlign w:val="center"/>
            <w:hideMark/>
          </w:tcPr>
          <w:p w14:paraId="2BA768B1" w14:textId="77777777" w:rsidR="00247CBF" w:rsidRPr="00092ED7" w:rsidRDefault="00247CBF" w:rsidP="00247CBF">
            <w:pPr>
              <w:spacing w:after="0"/>
              <w:jc w:val="center"/>
              <w:rPr>
                <w:sz w:val="20"/>
                <w:szCs w:val="20"/>
                <w:lang w:val="sr-Cyrl-CS"/>
              </w:rPr>
            </w:pPr>
            <w:r w:rsidRPr="00092ED7">
              <w:rPr>
                <w:sz w:val="20"/>
                <w:szCs w:val="20"/>
                <w:lang w:val="sr-Cyrl-CS"/>
              </w:rPr>
              <w:t>2024</w:t>
            </w:r>
          </w:p>
        </w:tc>
        <w:tc>
          <w:tcPr>
            <w:tcW w:w="485" w:type="pct"/>
            <w:tcBorders>
              <w:top w:val="nil"/>
              <w:left w:val="nil"/>
              <w:bottom w:val="single" w:sz="8" w:space="0" w:color="auto"/>
              <w:right w:val="double" w:sz="6" w:space="0" w:color="auto"/>
            </w:tcBorders>
            <w:shd w:val="clear" w:color="000000" w:fill="FFFFFF"/>
            <w:vAlign w:val="center"/>
            <w:hideMark/>
          </w:tcPr>
          <w:p w14:paraId="50682465" w14:textId="77777777" w:rsidR="00247CBF" w:rsidRPr="00092ED7" w:rsidRDefault="00247CBF" w:rsidP="00247CBF">
            <w:pPr>
              <w:spacing w:after="0"/>
              <w:jc w:val="center"/>
              <w:rPr>
                <w:sz w:val="20"/>
                <w:szCs w:val="20"/>
                <w:lang w:val="sr-Cyrl-CS"/>
              </w:rPr>
            </w:pPr>
            <w:r w:rsidRPr="00092ED7">
              <w:rPr>
                <w:sz w:val="20"/>
                <w:szCs w:val="20"/>
                <w:lang w:val="sr-Cyrl-CS"/>
              </w:rPr>
              <w:t>2025</w:t>
            </w:r>
          </w:p>
        </w:tc>
      </w:tr>
      <w:tr w:rsidR="00247CBF" w:rsidRPr="00092ED7" w14:paraId="3139E44C"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7A59F69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Опште јавне услуге</w:t>
            </w:r>
          </w:p>
        </w:tc>
        <w:tc>
          <w:tcPr>
            <w:tcW w:w="486" w:type="pct"/>
            <w:tcBorders>
              <w:top w:val="nil"/>
              <w:left w:val="nil"/>
              <w:bottom w:val="dotted" w:sz="4" w:space="0" w:color="auto"/>
              <w:right w:val="single" w:sz="8" w:space="0" w:color="auto"/>
            </w:tcBorders>
            <w:shd w:val="clear" w:color="000000" w:fill="FFFFFF"/>
            <w:vAlign w:val="center"/>
            <w:hideMark/>
          </w:tcPr>
          <w:p w14:paraId="68567A2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1</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58997FCA" w14:textId="77777777" w:rsidR="00247CBF" w:rsidRPr="00092ED7" w:rsidRDefault="00247CBF" w:rsidP="00247CBF">
            <w:pPr>
              <w:spacing w:after="0"/>
              <w:jc w:val="center"/>
              <w:rPr>
                <w:sz w:val="20"/>
                <w:szCs w:val="20"/>
                <w:lang w:val="sr-Cyrl-CS"/>
              </w:rPr>
            </w:pPr>
            <w:r w:rsidRPr="00092ED7">
              <w:rPr>
                <w:sz w:val="20"/>
                <w:szCs w:val="20"/>
                <w:lang w:val="sr-Cyrl-CS"/>
              </w:rPr>
              <w:t>6,8</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13C83CC1" w14:textId="77777777" w:rsidR="00247CBF" w:rsidRPr="00092ED7" w:rsidRDefault="00247CBF" w:rsidP="00247CBF">
            <w:pPr>
              <w:spacing w:after="0"/>
              <w:jc w:val="center"/>
              <w:rPr>
                <w:sz w:val="20"/>
                <w:szCs w:val="20"/>
                <w:lang w:val="sr-Cyrl-CS"/>
              </w:rPr>
            </w:pPr>
            <w:r w:rsidRPr="00092ED7">
              <w:rPr>
                <w:sz w:val="20"/>
                <w:szCs w:val="20"/>
                <w:lang w:val="sr-Cyrl-CS"/>
              </w:rPr>
              <w:t>8,9</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03CF7FD3" w14:textId="77777777" w:rsidR="00247CBF" w:rsidRPr="00092ED7" w:rsidRDefault="00247CBF" w:rsidP="00247CBF">
            <w:pPr>
              <w:spacing w:after="0"/>
              <w:jc w:val="center"/>
              <w:rPr>
                <w:sz w:val="20"/>
                <w:szCs w:val="20"/>
                <w:lang w:val="sr-Cyrl-CS"/>
              </w:rPr>
            </w:pPr>
            <w:r w:rsidRPr="00092ED7">
              <w:rPr>
                <w:sz w:val="20"/>
                <w:szCs w:val="20"/>
                <w:lang w:val="sr-Cyrl-CS"/>
              </w:rPr>
              <w:t>7,7</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4A676E9C" w14:textId="77777777" w:rsidR="00247CBF" w:rsidRPr="00092ED7" w:rsidRDefault="00247CBF" w:rsidP="00247CBF">
            <w:pPr>
              <w:spacing w:after="0"/>
              <w:jc w:val="center"/>
              <w:rPr>
                <w:sz w:val="20"/>
                <w:szCs w:val="20"/>
                <w:lang w:val="sr-Cyrl-CS"/>
              </w:rPr>
            </w:pPr>
            <w:r w:rsidRPr="00092ED7">
              <w:rPr>
                <w:sz w:val="20"/>
                <w:szCs w:val="20"/>
                <w:lang w:val="sr-Cyrl-CS"/>
              </w:rPr>
              <w:t>6,3</w:t>
            </w:r>
          </w:p>
        </w:tc>
        <w:tc>
          <w:tcPr>
            <w:tcW w:w="485" w:type="pct"/>
            <w:tcBorders>
              <w:top w:val="nil"/>
              <w:left w:val="nil"/>
              <w:bottom w:val="dotted" w:sz="4" w:space="0" w:color="auto"/>
              <w:right w:val="double" w:sz="6" w:space="0" w:color="000000"/>
            </w:tcBorders>
            <w:shd w:val="clear" w:color="000000" w:fill="FFFFFF"/>
            <w:vAlign w:val="center"/>
            <w:hideMark/>
          </w:tcPr>
          <w:p w14:paraId="7D0B2FE8" w14:textId="77777777" w:rsidR="00247CBF" w:rsidRPr="00092ED7" w:rsidRDefault="00247CBF" w:rsidP="00247CBF">
            <w:pPr>
              <w:spacing w:after="0"/>
              <w:jc w:val="center"/>
              <w:rPr>
                <w:sz w:val="20"/>
                <w:szCs w:val="20"/>
                <w:lang w:val="sr-Cyrl-CS"/>
              </w:rPr>
            </w:pPr>
            <w:r w:rsidRPr="00092ED7">
              <w:rPr>
                <w:sz w:val="20"/>
                <w:szCs w:val="20"/>
                <w:lang w:val="sr-Cyrl-CS"/>
              </w:rPr>
              <w:t>5,3</w:t>
            </w:r>
          </w:p>
        </w:tc>
      </w:tr>
      <w:tr w:rsidR="00247CBF" w:rsidRPr="00092ED7" w14:paraId="7B84C2AE"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14F80BC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 Одбрана</w:t>
            </w:r>
          </w:p>
        </w:tc>
        <w:tc>
          <w:tcPr>
            <w:tcW w:w="486" w:type="pct"/>
            <w:tcBorders>
              <w:top w:val="nil"/>
              <w:left w:val="nil"/>
              <w:bottom w:val="dotted" w:sz="4" w:space="0" w:color="auto"/>
              <w:right w:val="single" w:sz="8" w:space="0" w:color="auto"/>
            </w:tcBorders>
            <w:shd w:val="clear" w:color="000000" w:fill="FFFFFF"/>
            <w:vAlign w:val="center"/>
            <w:hideMark/>
          </w:tcPr>
          <w:p w14:paraId="0AE7C44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2</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7861B779" w14:textId="77777777" w:rsidR="00247CBF" w:rsidRPr="00092ED7" w:rsidRDefault="00247CBF" w:rsidP="00247CBF">
            <w:pPr>
              <w:spacing w:after="0"/>
              <w:jc w:val="center"/>
              <w:rPr>
                <w:sz w:val="20"/>
                <w:szCs w:val="20"/>
                <w:lang w:val="sr-Cyrl-CS"/>
              </w:rPr>
            </w:pPr>
            <w:r w:rsidRPr="00092ED7">
              <w:rPr>
                <w:sz w:val="20"/>
                <w:szCs w:val="20"/>
                <w:lang w:val="sr-Cyrl-CS"/>
              </w:rPr>
              <w:t>2,5</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57C89B6F" w14:textId="77777777" w:rsidR="00247CBF" w:rsidRPr="00092ED7" w:rsidRDefault="00247CBF" w:rsidP="00247CBF">
            <w:pPr>
              <w:spacing w:after="0"/>
              <w:jc w:val="center"/>
              <w:rPr>
                <w:sz w:val="20"/>
                <w:szCs w:val="20"/>
                <w:lang w:val="sr-Cyrl-CS"/>
              </w:rPr>
            </w:pPr>
            <w:r w:rsidRPr="00092ED7">
              <w:rPr>
                <w:sz w:val="20"/>
                <w:szCs w:val="20"/>
                <w:lang w:val="sr-Cyrl-CS"/>
              </w:rPr>
              <w:t>2,0</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45FFE28A" w14:textId="77777777" w:rsidR="00247CBF" w:rsidRPr="00092ED7" w:rsidRDefault="00247CBF" w:rsidP="00247CBF">
            <w:pPr>
              <w:spacing w:after="0"/>
              <w:jc w:val="center"/>
              <w:rPr>
                <w:sz w:val="20"/>
                <w:szCs w:val="20"/>
                <w:lang w:val="sr-Cyrl-CS"/>
              </w:rPr>
            </w:pPr>
            <w:r w:rsidRPr="00092ED7">
              <w:rPr>
                <w:sz w:val="20"/>
                <w:szCs w:val="20"/>
                <w:lang w:val="sr-Cyrl-CS"/>
              </w:rPr>
              <w:t>2,0</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04A2B395" w14:textId="77777777" w:rsidR="00247CBF" w:rsidRPr="00092ED7" w:rsidRDefault="00247CBF" w:rsidP="00247CBF">
            <w:pPr>
              <w:spacing w:after="0"/>
              <w:jc w:val="center"/>
              <w:rPr>
                <w:sz w:val="20"/>
                <w:szCs w:val="20"/>
                <w:lang w:val="sr-Cyrl-CS"/>
              </w:rPr>
            </w:pPr>
            <w:r w:rsidRPr="00092ED7">
              <w:rPr>
                <w:sz w:val="20"/>
                <w:szCs w:val="20"/>
                <w:lang w:val="sr-Cyrl-CS"/>
              </w:rPr>
              <w:t>2,0</w:t>
            </w:r>
          </w:p>
        </w:tc>
        <w:tc>
          <w:tcPr>
            <w:tcW w:w="485" w:type="pct"/>
            <w:tcBorders>
              <w:top w:val="nil"/>
              <w:left w:val="nil"/>
              <w:bottom w:val="dotted" w:sz="4" w:space="0" w:color="auto"/>
              <w:right w:val="double" w:sz="6" w:space="0" w:color="000000"/>
            </w:tcBorders>
            <w:shd w:val="clear" w:color="000000" w:fill="FFFFFF"/>
            <w:vAlign w:val="center"/>
            <w:hideMark/>
          </w:tcPr>
          <w:p w14:paraId="70D020BC" w14:textId="77777777" w:rsidR="00247CBF" w:rsidRPr="00092ED7" w:rsidRDefault="00247CBF" w:rsidP="00247CBF">
            <w:pPr>
              <w:spacing w:after="0"/>
              <w:jc w:val="center"/>
              <w:rPr>
                <w:sz w:val="20"/>
                <w:szCs w:val="20"/>
                <w:lang w:val="sr-Cyrl-CS"/>
              </w:rPr>
            </w:pPr>
            <w:r w:rsidRPr="00092ED7">
              <w:rPr>
                <w:sz w:val="20"/>
                <w:szCs w:val="20"/>
                <w:lang w:val="sr-Cyrl-CS"/>
              </w:rPr>
              <w:t>2,0</w:t>
            </w:r>
          </w:p>
        </w:tc>
      </w:tr>
      <w:tr w:rsidR="00247CBF" w:rsidRPr="00092ED7" w14:paraId="3DC278A9"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2F2D8D1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3. Јавни ред и безбедност</w:t>
            </w:r>
          </w:p>
        </w:tc>
        <w:tc>
          <w:tcPr>
            <w:tcW w:w="486" w:type="pct"/>
            <w:tcBorders>
              <w:top w:val="nil"/>
              <w:left w:val="nil"/>
              <w:bottom w:val="dotted" w:sz="4" w:space="0" w:color="auto"/>
              <w:right w:val="single" w:sz="8" w:space="0" w:color="auto"/>
            </w:tcBorders>
            <w:shd w:val="clear" w:color="000000" w:fill="FFFFFF"/>
            <w:vAlign w:val="center"/>
            <w:hideMark/>
          </w:tcPr>
          <w:p w14:paraId="018B6DC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3</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5CFF0F68" w14:textId="77777777" w:rsidR="00247CBF" w:rsidRPr="00092ED7" w:rsidRDefault="00247CBF" w:rsidP="00247CBF">
            <w:pPr>
              <w:spacing w:after="0"/>
              <w:jc w:val="center"/>
              <w:rPr>
                <w:sz w:val="20"/>
                <w:szCs w:val="20"/>
                <w:lang w:val="sr-Cyrl-CS"/>
              </w:rPr>
            </w:pPr>
            <w:r w:rsidRPr="00092ED7">
              <w:rPr>
                <w:sz w:val="20"/>
                <w:szCs w:val="20"/>
                <w:lang w:val="sr-Cyrl-CS"/>
              </w:rPr>
              <w:t>2,7</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3FFEF7C0" w14:textId="77777777" w:rsidR="00247CBF" w:rsidRPr="00092ED7" w:rsidRDefault="00247CBF" w:rsidP="00247CBF">
            <w:pPr>
              <w:spacing w:after="0"/>
              <w:jc w:val="center"/>
              <w:rPr>
                <w:sz w:val="20"/>
                <w:szCs w:val="20"/>
                <w:lang w:val="sr-Cyrl-CS"/>
              </w:rPr>
            </w:pPr>
            <w:r w:rsidRPr="00092ED7">
              <w:rPr>
                <w:sz w:val="20"/>
                <w:szCs w:val="20"/>
                <w:lang w:val="sr-Cyrl-CS"/>
              </w:rPr>
              <w:t>2,4</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3373666E" w14:textId="77777777" w:rsidR="00247CBF" w:rsidRPr="00092ED7" w:rsidRDefault="00247CBF" w:rsidP="00247CBF">
            <w:pPr>
              <w:spacing w:after="0"/>
              <w:jc w:val="center"/>
              <w:rPr>
                <w:sz w:val="20"/>
                <w:szCs w:val="20"/>
                <w:lang w:val="sr-Cyrl-CS"/>
              </w:rPr>
            </w:pPr>
            <w:r w:rsidRPr="00092ED7">
              <w:rPr>
                <w:sz w:val="20"/>
                <w:szCs w:val="20"/>
                <w:lang w:val="sr-Cyrl-CS"/>
              </w:rPr>
              <w:t>2,3</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6D2D5017" w14:textId="77777777" w:rsidR="00247CBF" w:rsidRPr="00092ED7" w:rsidRDefault="00247CBF" w:rsidP="00247CBF">
            <w:pPr>
              <w:spacing w:after="0"/>
              <w:jc w:val="center"/>
              <w:rPr>
                <w:sz w:val="20"/>
                <w:szCs w:val="20"/>
                <w:lang w:val="sr-Cyrl-CS"/>
              </w:rPr>
            </w:pPr>
            <w:r w:rsidRPr="00092ED7">
              <w:rPr>
                <w:sz w:val="20"/>
                <w:szCs w:val="20"/>
                <w:lang w:val="sr-Cyrl-CS"/>
              </w:rPr>
              <w:t>2,3</w:t>
            </w:r>
          </w:p>
        </w:tc>
        <w:tc>
          <w:tcPr>
            <w:tcW w:w="485" w:type="pct"/>
            <w:tcBorders>
              <w:top w:val="nil"/>
              <w:left w:val="nil"/>
              <w:bottom w:val="dotted" w:sz="4" w:space="0" w:color="auto"/>
              <w:right w:val="double" w:sz="6" w:space="0" w:color="000000"/>
            </w:tcBorders>
            <w:shd w:val="clear" w:color="000000" w:fill="FFFFFF"/>
            <w:vAlign w:val="center"/>
            <w:hideMark/>
          </w:tcPr>
          <w:p w14:paraId="7E668327" w14:textId="77777777" w:rsidR="00247CBF" w:rsidRPr="00092ED7" w:rsidRDefault="00247CBF" w:rsidP="00247CBF">
            <w:pPr>
              <w:spacing w:after="0"/>
              <w:jc w:val="center"/>
              <w:rPr>
                <w:sz w:val="20"/>
                <w:szCs w:val="20"/>
                <w:lang w:val="sr-Cyrl-CS"/>
              </w:rPr>
            </w:pPr>
            <w:r w:rsidRPr="00092ED7">
              <w:rPr>
                <w:sz w:val="20"/>
                <w:szCs w:val="20"/>
                <w:lang w:val="sr-Cyrl-CS"/>
              </w:rPr>
              <w:t>2,3</w:t>
            </w:r>
          </w:p>
        </w:tc>
      </w:tr>
      <w:tr w:rsidR="00247CBF" w:rsidRPr="00092ED7" w14:paraId="2460F307"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689BD13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4. Економски послови</w:t>
            </w:r>
          </w:p>
        </w:tc>
        <w:tc>
          <w:tcPr>
            <w:tcW w:w="486" w:type="pct"/>
            <w:tcBorders>
              <w:top w:val="nil"/>
              <w:left w:val="nil"/>
              <w:bottom w:val="dotted" w:sz="4" w:space="0" w:color="auto"/>
              <w:right w:val="single" w:sz="8" w:space="0" w:color="auto"/>
            </w:tcBorders>
            <w:shd w:val="clear" w:color="000000" w:fill="FFFFFF"/>
            <w:vAlign w:val="center"/>
            <w:hideMark/>
          </w:tcPr>
          <w:p w14:paraId="3CB64BC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4</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3885E37D" w14:textId="77777777" w:rsidR="00247CBF" w:rsidRPr="00092ED7" w:rsidRDefault="00247CBF" w:rsidP="00247CBF">
            <w:pPr>
              <w:spacing w:after="0"/>
              <w:jc w:val="center"/>
              <w:rPr>
                <w:sz w:val="20"/>
                <w:szCs w:val="20"/>
                <w:lang w:val="sr-Cyrl-CS"/>
              </w:rPr>
            </w:pPr>
            <w:r w:rsidRPr="00092ED7">
              <w:rPr>
                <w:sz w:val="20"/>
                <w:szCs w:val="20"/>
                <w:lang w:val="sr-Cyrl-CS"/>
              </w:rPr>
              <w:t>9,0</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03751638" w14:textId="77777777" w:rsidR="00247CBF" w:rsidRPr="00092ED7" w:rsidRDefault="00247CBF" w:rsidP="00247CBF">
            <w:pPr>
              <w:spacing w:after="0"/>
              <w:jc w:val="center"/>
              <w:rPr>
                <w:sz w:val="20"/>
                <w:szCs w:val="20"/>
                <w:lang w:val="sr-Cyrl-CS"/>
              </w:rPr>
            </w:pPr>
            <w:r w:rsidRPr="00092ED7">
              <w:rPr>
                <w:sz w:val="20"/>
                <w:szCs w:val="20"/>
                <w:lang w:val="sr-Cyrl-CS"/>
              </w:rPr>
              <w:t>7,9</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3DE213B9" w14:textId="77777777" w:rsidR="00247CBF" w:rsidRPr="00092ED7" w:rsidRDefault="00247CBF" w:rsidP="00247CBF">
            <w:pPr>
              <w:spacing w:after="0"/>
              <w:jc w:val="center"/>
              <w:rPr>
                <w:sz w:val="20"/>
                <w:szCs w:val="20"/>
                <w:lang w:val="sr-Cyrl-CS"/>
              </w:rPr>
            </w:pPr>
            <w:r w:rsidRPr="00092ED7">
              <w:rPr>
                <w:sz w:val="20"/>
                <w:szCs w:val="20"/>
                <w:lang w:val="sr-Cyrl-CS"/>
              </w:rPr>
              <w:t>7,3</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251B6E96" w14:textId="77777777" w:rsidR="00247CBF" w:rsidRPr="00092ED7" w:rsidRDefault="00247CBF" w:rsidP="00247CBF">
            <w:pPr>
              <w:spacing w:after="0"/>
              <w:jc w:val="center"/>
              <w:rPr>
                <w:sz w:val="20"/>
                <w:szCs w:val="20"/>
                <w:lang w:val="sr-Cyrl-CS"/>
              </w:rPr>
            </w:pPr>
            <w:r w:rsidRPr="00092ED7">
              <w:rPr>
                <w:sz w:val="20"/>
                <w:szCs w:val="20"/>
                <w:lang w:val="sr-Cyrl-CS"/>
              </w:rPr>
              <w:t>6,8</w:t>
            </w:r>
          </w:p>
        </w:tc>
        <w:tc>
          <w:tcPr>
            <w:tcW w:w="485" w:type="pct"/>
            <w:tcBorders>
              <w:top w:val="nil"/>
              <w:left w:val="nil"/>
              <w:bottom w:val="dotted" w:sz="4" w:space="0" w:color="auto"/>
              <w:right w:val="double" w:sz="6" w:space="0" w:color="000000"/>
            </w:tcBorders>
            <w:shd w:val="clear" w:color="000000" w:fill="FFFFFF"/>
            <w:vAlign w:val="center"/>
            <w:hideMark/>
          </w:tcPr>
          <w:p w14:paraId="286E23D2" w14:textId="77777777" w:rsidR="00247CBF" w:rsidRPr="00092ED7" w:rsidRDefault="00247CBF" w:rsidP="00247CBF">
            <w:pPr>
              <w:spacing w:after="0"/>
              <w:jc w:val="center"/>
              <w:rPr>
                <w:sz w:val="20"/>
                <w:szCs w:val="20"/>
                <w:lang w:val="sr-Cyrl-CS"/>
              </w:rPr>
            </w:pPr>
            <w:r w:rsidRPr="00092ED7">
              <w:rPr>
                <w:sz w:val="20"/>
                <w:szCs w:val="20"/>
                <w:lang w:val="sr-Cyrl-CS"/>
              </w:rPr>
              <w:t>6,4</w:t>
            </w:r>
          </w:p>
        </w:tc>
      </w:tr>
      <w:tr w:rsidR="00247CBF" w:rsidRPr="00092ED7" w14:paraId="4DD5430F"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36580ED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5. Заштита животне средине</w:t>
            </w:r>
          </w:p>
        </w:tc>
        <w:tc>
          <w:tcPr>
            <w:tcW w:w="486" w:type="pct"/>
            <w:tcBorders>
              <w:top w:val="nil"/>
              <w:left w:val="nil"/>
              <w:bottom w:val="dotted" w:sz="4" w:space="0" w:color="auto"/>
              <w:right w:val="single" w:sz="8" w:space="0" w:color="auto"/>
            </w:tcBorders>
            <w:shd w:val="clear" w:color="000000" w:fill="FFFFFF"/>
            <w:vAlign w:val="center"/>
            <w:hideMark/>
          </w:tcPr>
          <w:p w14:paraId="6B3D0F0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5</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2076C56E" w14:textId="77777777" w:rsidR="00247CBF" w:rsidRPr="00092ED7" w:rsidRDefault="00247CBF" w:rsidP="00247CBF">
            <w:pPr>
              <w:spacing w:after="0"/>
              <w:jc w:val="center"/>
              <w:rPr>
                <w:sz w:val="20"/>
                <w:szCs w:val="20"/>
                <w:lang w:val="sr-Cyrl-CS"/>
              </w:rPr>
            </w:pPr>
            <w:r w:rsidRPr="00092ED7">
              <w:rPr>
                <w:sz w:val="20"/>
                <w:szCs w:val="20"/>
                <w:lang w:val="sr-Cyrl-CS"/>
              </w:rPr>
              <w:t>0,5</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0780DBDD" w14:textId="77777777" w:rsidR="00247CBF" w:rsidRPr="00092ED7" w:rsidRDefault="00247CBF" w:rsidP="00247CBF">
            <w:pPr>
              <w:spacing w:after="0"/>
              <w:jc w:val="center"/>
              <w:rPr>
                <w:sz w:val="20"/>
                <w:szCs w:val="20"/>
                <w:lang w:val="sr-Cyrl-CS"/>
              </w:rPr>
            </w:pPr>
            <w:r w:rsidRPr="00092ED7">
              <w:rPr>
                <w:sz w:val="20"/>
                <w:szCs w:val="20"/>
                <w:lang w:val="sr-Cyrl-CS"/>
              </w:rPr>
              <w:t>0,4</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757F6B06" w14:textId="77777777" w:rsidR="00247CBF" w:rsidRPr="00092ED7" w:rsidRDefault="00247CBF" w:rsidP="00247CBF">
            <w:pPr>
              <w:spacing w:after="0"/>
              <w:jc w:val="center"/>
              <w:rPr>
                <w:sz w:val="20"/>
                <w:szCs w:val="20"/>
                <w:lang w:val="sr-Cyrl-CS"/>
              </w:rPr>
            </w:pPr>
            <w:r w:rsidRPr="00092ED7">
              <w:rPr>
                <w:sz w:val="20"/>
                <w:szCs w:val="20"/>
                <w:lang w:val="sr-Cyrl-CS"/>
              </w:rPr>
              <w:t>0,4</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3439B8CC" w14:textId="77777777" w:rsidR="00247CBF" w:rsidRPr="00092ED7" w:rsidRDefault="00247CBF" w:rsidP="00247CBF">
            <w:pPr>
              <w:spacing w:after="0"/>
              <w:jc w:val="center"/>
              <w:rPr>
                <w:sz w:val="20"/>
                <w:szCs w:val="20"/>
                <w:lang w:val="sr-Cyrl-CS"/>
              </w:rPr>
            </w:pPr>
            <w:r w:rsidRPr="00092ED7">
              <w:rPr>
                <w:sz w:val="20"/>
                <w:szCs w:val="20"/>
                <w:lang w:val="sr-Cyrl-CS"/>
              </w:rPr>
              <w:t>0,4</w:t>
            </w:r>
          </w:p>
        </w:tc>
        <w:tc>
          <w:tcPr>
            <w:tcW w:w="485" w:type="pct"/>
            <w:tcBorders>
              <w:top w:val="nil"/>
              <w:left w:val="nil"/>
              <w:bottom w:val="dotted" w:sz="4" w:space="0" w:color="auto"/>
              <w:right w:val="double" w:sz="6" w:space="0" w:color="000000"/>
            </w:tcBorders>
            <w:shd w:val="clear" w:color="000000" w:fill="FFFFFF"/>
            <w:vAlign w:val="center"/>
            <w:hideMark/>
          </w:tcPr>
          <w:p w14:paraId="25732814" w14:textId="77777777" w:rsidR="00247CBF" w:rsidRPr="00092ED7" w:rsidRDefault="00247CBF" w:rsidP="00247CBF">
            <w:pPr>
              <w:spacing w:after="0"/>
              <w:jc w:val="center"/>
              <w:rPr>
                <w:sz w:val="20"/>
                <w:szCs w:val="20"/>
                <w:lang w:val="sr-Cyrl-CS"/>
              </w:rPr>
            </w:pPr>
            <w:r w:rsidRPr="00092ED7">
              <w:rPr>
                <w:sz w:val="20"/>
                <w:szCs w:val="20"/>
                <w:lang w:val="sr-Cyrl-CS"/>
              </w:rPr>
              <w:t>0,4</w:t>
            </w:r>
          </w:p>
        </w:tc>
      </w:tr>
      <w:tr w:rsidR="00247CBF" w:rsidRPr="00092ED7" w14:paraId="490AA97A"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097A6E5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6. Послови становања и заједнице</w:t>
            </w:r>
          </w:p>
        </w:tc>
        <w:tc>
          <w:tcPr>
            <w:tcW w:w="486" w:type="pct"/>
            <w:tcBorders>
              <w:top w:val="nil"/>
              <w:left w:val="nil"/>
              <w:bottom w:val="dotted" w:sz="4" w:space="0" w:color="auto"/>
              <w:right w:val="single" w:sz="8" w:space="0" w:color="auto"/>
            </w:tcBorders>
            <w:shd w:val="clear" w:color="000000" w:fill="FFFFFF"/>
            <w:vAlign w:val="center"/>
            <w:hideMark/>
          </w:tcPr>
          <w:p w14:paraId="38E7DBE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6</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31EC97D2" w14:textId="77777777" w:rsidR="00247CBF" w:rsidRPr="00092ED7" w:rsidRDefault="00247CBF" w:rsidP="00247CBF">
            <w:pPr>
              <w:spacing w:after="0"/>
              <w:jc w:val="center"/>
              <w:rPr>
                <w:sz w:val="20"/>
                <w:szCs w:val="20"/>
                <w:lang w:val="sr-Cyrl-CS"/>
              </w:rPr>
            </w:pPr>
            <w:r w:rsidRPr="00092ED7">
              <w:rPr>
                <w:sz w:val="20"/>
                <w:szCs w:val="20"/>
                <w:lang w:val="sr-Cyrl-CS"/>
              </w:rPr>
              <w:t>0,9</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5C8917C6"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1261E185"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501575F2"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485" w:type="pct"/>
            <w:tcBorders>
              <w:top w:val="nil"/>
              <w:left w:val="nil"/>
              <w:bottom w:val="dotted" w:sz="4" w:space="0" w:color="auto"/>
              <w:right w:val="double" w:sz="6" w:space="0" w:color="000000"/>
            </w:tcBorders>
            <w:shd w:val="clear" w:color="000000" w:fill="FFFFFF"/>
            <w:vAlign w:val="center"/>
            <w:hideMark/>
          </w:tcPr>
          <w:p w14:paraId="625A9B74" w14:textId="77777777" w:rsidR="00247CBF" w:rsidRPr="00092ED7" w:rsidRDefault="00247CBF" w:rsidP="00247CBF">
            <w:pPr>
              <w:spacing w:after="0"/>
              <w:jc w:val="center"/>
              <w:rPr>
                <w:sz w:val="20"/>
                <w:szCs w:val="20"/>
                <w:lang w:val="sr-Cyrl-CS"/>
              </w:rPr>
            </w:pPr>
            <w:r w:rsidRPr="00092ED7">
              <w:rPr>
                <w:sz w:val="20"/>
                <w:szCs w:val="20"/>
                <w:lang w:val="sr-Cyrl-CS"/>
              </w:rPr>
              <w:t>1,4</w:t>
            </w:r>
          </w:p>
        </w:tc>
      </w:tr>
      <w:tr w:rsidR="00247CBF" w:rsidRPr="00092ED7" w14:paraId="232AB5E4"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39147C3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7. Здравство</w:t>
            </w:r>
          </w:p>
        </w:tc>
        <w:tc>
          <w:tcPr>
            <w:tcW w:w="486" w:type="pct"/>
            <w:tcBorders>
              <w:top w:val="nil"/>
              <w:left w:val="nil"/>
              <w:bottom w:val="dotted" w:sz="4" w:space="0" w:color="auto"/>
              <w:right w:val="single" w:sz="8" w:space="0" w:color="auto"/>
            </w:tcBorders>
            <w:shd w:val="clear" w:color="000000" w:fill="FFFFFF"/>
            <w:vAlign w:val="center"/>
            <w:hideMark/>
          </w:tcPr>
          <w:p w14:paraId="61EE547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7</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0F2A8D08" w14:textId="77777777" w:rsidR="00247CBF" w:rsidRPr="00092ED7" w:rsidRDefault="00247CBF" w:rsidP="00247CBF">
            <w:pPr>
              <w:spacing w:after="0"/>
              <w:jc w:val="center"/>
              <w:rPr>
                <w:sz w:val="20"/>
                <w:szCs w:val="20"/>
                <w:lang w:val="sr-Cyrl-CS"/>
              </w:rPr>
            </w:pPr>
            <w:r w:rsidRPr="00092ED7">
              <w:rPr>
                <w:sz w:val="20"/>
                <w:szCs w:val="20"/>
                <w:lang w:val="sr-Cyrl-CS"/>
              </w:rPr>
              <w:t>7,0</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6E7129CB" w14:textId="77777777" w:rsidR="00247CBF" w:rsidRPr="00092ED7" w:rsidRDefault="00247CBF" w:rsidP="00247CBF">
            <w:pPr>
              <w:spacing w:after="0"/>
              <w:jc w:val="center"/>
              <w:rPr>
                <w:sz w:val="20"/>
                <w:szCs w:val="20"/>
                <w:lang w:val="sr-Cyrl-CS"/>
              </w:rPr>
            </w:pPr>
            <w:r w:rsidRPr="00092ED7">
              <w:rPr>
                <w:sz w:val="20"/>
                <w:szCs w:val="20"/>
                <w:lang w:val="sr-Cyrl-CS"/>
              </w:rPr>
              <w:t>6,6</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065D524D" w14:textId="77777777" w:rsidR="00247CBF" w:rsidRPr="00092ED7" w:rsidRDefault="00247CBF" w:rsidP="00247CBF">
            <w:pPr>
              <w:spacing w:after="0"/>
              <w:jc w:val="center"/>
              <w:rPr>
                <w:sz w:val="20"/>
                <w:szCs w:val="20"/>
                <w:lang w:val="sr-Cyrl-CS"/>
              </w:rPr>
            </w:pPr>
            <w:r w:rsidRPr="00092ED7">
              <w:rPr>
                <w:sz w:val="20"/>
                <w:szCs w:val="20"/>
                <w:lang w:val="sr-Cyrl-CS"/>
              </w:rPr>
              <w:t>6,1</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452B09B2" w14:textId="77777777" w:rsidR="00247CBF" w:rsidRPr="00092ED7" w:rsidRDefault="00247CBF" w:rsidP="00247CBF">
            <w:pPr>
              <w:spacing w:after="0"/>
              <w:jc w:val="center"/>
              <w:rPr>
                <w:sz w:val="20"/>
                <w:szCs w:val="20"/>
                <w:lang w:val="sr-Cyrl-CS"/>
              </w:rPr>
            </w:pPr>
            <w:r w:rsidRPr="00092ED7">
              <w:rPr>
                <w:sz w:val="20"/>
                <w:szCs w:val="20"/>
                <w:lang w:val="sr-Cyrl-CS"/>
              </w:rPr>
              <w:t>6,1</w:t>
            </w:r>
          </w:p>
        </w:tc>
        <w:tc>
          <w:tcPr>
            <w:tcW w:w="485" w:type="pct"/>
            <w:tcBorders>
              <w:top w:val="nil"/>
              <w:left w:val="nil"/>
              <w:bottom w:val="dotted" w:sz="4" w:space="0" w:color="auto"/>
              <w:right w:val="double" w:sz="6" w:space="0" w:color="000000"/>
            </w:tcBorders>
            <w:shd w:val="clear" w:color="000000" w:fill="FFFFFF"/>
            <w:vAlign w:val="center"/>
            <w:hideMark/>
          </w:tcPr>
          <w:p w14:paraId="1F1FD492" w14:textId="77777777" w:rsidR="00247CBF" w:rsidRPr="00092ED7" w:rsidRDefault="00247CBF" w:rsidP="00247CBF">
            <w:pPr>
              <w:spacing w:after="0"/>
              <w:jc w:val="center"/>
              <w:rPr>
                <w:sz w:val="20"/>
                <w:szCs w:val="20"/>
                <w:lang w:val="sr-Cyrl-CS"/>
              </w:rPr>
            </w:pPr>
            <w:r w:rsidRPr="00092ED7">
              <w:rPr>
                <w:sz w:val="20"/>
                <w:szCs w:val="20"/>
                <w:lang w:val="sr-Cyrl-CS"/>
              </w:rPr>
              <w:t>6,1</w:t>
            </w:r>
          </w:p>
        </w:tc>
      </w:tr>
      <w:tr w:rsidR="00247CBF" w:rsidRPr="00092ED7" w14:paraId="4CA7F030"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38909EE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8. Рекреација, култура и религија</w:t>
            </w:r>
          </w:p>
        </w:tc>
        <w:tc>
          <w:tcPr>
            <w:tcW w:w="486" w:type="pct"/>
            <w:tcBorders>
              <w:top w:val="nil"/>
              <w:left w:val="nil"/>
              <w:bottom w:val="dotted" w:sz="4" w:space="0" w:color="auto"/>
              <w:right w:val="single" w:sz="8" w:space="0" w:color="auto"/>
            </w:tcBorders>
            <w:shd w:val="clear" w:color="000000" w:fill="FFFFFF"/>
            <w:vAlign w:val="center"/>
            <w:hideMark/>
          </w:tcPr>
          <w:p w14:paraId="1F2DE5A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8</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3ED025AA" w14:textId="77777777" w:rsidR="00247CBF" w:rsidRPr="00092ED7" w:rsidRDefault="00247CBF" w:rsidP="00247CBF">
            <w:pPr>
              <w:spacing w:after="0"/>
              <w:jc w:val="center"/>
              <w:rPr>
                <w:sz w:val="20"/>
                <w:szCs w:val="20"/>
                <w:lang w:val="sr-Cyrl-CS"/>
              </w:rPr>
            </w:pPr>
            <w:r w:rsidRPr="00092ED7">
              <w:rPr>
                <w:sz w:val="20"/>
                <w:szCs w:val="20"/>
                <w:lang w:val="sr-Cyrl-CS"/>
              </w:rPr>
              <w:t>1,0</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5241B71C" w14:textId="77777777" w:rsidR="00247CBF" w:rsidRPr="00092ED7" w:rsidRDefault="00247CBF" w:rsidP="00247CBF">
            <w:pPr>
              <w:spacing w:after="0"/>
              <w:jc w:val="center"/>
              <w:rPr>
                <w:sz w:val="20"/>
                <w:szCs w:val="20"/>
                <w:lang w:val="sr-Cyrl-CS"/>
              </w:rPr>
            </w:pPr>
            <w:r w:rsidRPr="00092ED7">
              <w:rPr>
                <w:sz w:val="20"/>
                <w:szCs w:val="20"/>
                <w:lang w:val="sr-Cyrl-CS"/>
              </w:rPr>
              <w:t>0,9</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3E1A8A88" w14:textId="77777777" w:rsidR="00247CBF" w:rsidRPr="00092ED7" w:rsidRDefault="00247CBF" w:rsidP="00247CBF">
            <w:pPr>
              <w:spacing w:after="0"/>
              <w:jc w:val="center"/>
              <w:rPr>
                <w:sz w:val="20"/>
                <w:szCs w:val="20"/>
                <w:lang w:val="sr-Cyrl-CS"/>
              </w:rPr>
            </w:pPr>
            <w:r w:rsidRPr="00092ED7">
              <w:rPr>
                <w:sz w:val="20"/>
                <w:szCs w:val="20"/>
                <w:lang w:val="sr-Cyrl-CS"/>
              </w:rPr>
              <w:t>0,8</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1B4169B0" w14:textId="77777777" w:rsidR="00247CBF" w:rsidRPr="00092ED7" w:rsidRDefault="00247CBF" w:rsidP="00247CBF">
            <w:pPr>
              <w:spacing w:after="0"/>
              <w:jc w:val="center"/>
              <w:rPr>
                <w:sz w:val="20"/>
                <w:szCs w:val="20"/>
                <w:lang w:val="sr-Cyrl-CS"/>
              </w:rPr>
            </w:pPr>
            <w:r w:rsidRPr="00092ED7">
              <w:rPr>
                <w:sz w:val="20"/>
                <w:szCs w:val="20"/>
                <w:lang w:val="sr-Cyrl-CS"/>
              </w:rPr>
              <w:t>0,8</w:t>
            </w:r>
          </w:p>
        </w:tc>
        <w:tc>
          <w:tcPr>
            <w:tcW w:w="485" w:type="pct"/>
            <w:tcBorders>
              <w:top w:val="nil"/>
              <w:left w:val="nil"/>
              <w:bottom w:val="dotted" w:sz="4" w:space="0" w:color="auto"/>
              <w:right w:val="double" w:sz="6" w:space="0" w:color="000000"/>
            </w:tcBorders>
            <w:shd w:val="clear" w:color="000000" w:fill="FFFFFF"/>
            <w:vAlign w:val="center"/>
            <w:hideMark/>
          </w:tcPr>
          <w:p w14:paraId="37803617" w14:textId="77777777" w:rsidR="00247CBF" w:rsidRPr="00092ED7" w:rsidRDefault="00247CBF" w:rsidP="00247CBF">
            <w:pPr>
              <w:spacing w:after="0"/>
              <w:jc w:val="center"/>
              <w:rPr>
                <w:sz w:val="20"/>
                <w:szCs w:val="20"/>
                <w:lang w:val="sr-Cyrl-CS"/>
              </w:rPr>
            </w:pPr>
            <w:r w:rsidRPr="00092ED7">
              <w:rPr>
                <w:sz w:val="20"/>
                <w:szCs w:val="20"/>
                <w:lang w:val="sr-Cyrl-CS"/>
              </w:rPr>
              <w:t>0,8</w:t>
            </w:r>
          </w:p>
        </w:tc>
      </w:tr>
      <w:tr w:rsidR="00247CBF" w:rsidRPr="00092ED7" w14:paraId="6AF55DE5"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61B6477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9. Образовање</w:t>
            </w:r>
          </w:p>
        </w:tc>
        <w:tc>
          <w:tcPr>
            <w:tcW w:w="486" w:type="pct"/>
            <w:tcBorders>
              <w:top w:val="nil"/>
              <w:left w:val="nil"/>
              <w:bottom w:val="dotted" w:sz="4" w:space="0" w:color="auto"/>
              <w:right w:val="single" w:sz="8" w:space="0" w:color="auto"/>
            </w:tcBorders>
            <w:shd w:val="clear" w:color="000000" w:fill="FFFFFF"/>
            <w:vAlign w:val="center"/>
            <w:hideMark/>
          </w:tcPr>
          <w:p w14:paraId="28E16F6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9</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6B7AEECC" w14:textId="77777777" w:rsidR="00247CBF" w:rsidRPr="00092ED7" w:rsidRDefault="00247CBF" w:rsidP="00247CBF">
            <w:pPr>
              <w:spacing w:after="0"/>
              <w:jc w:val="center"/>
              <w:rPr>
                <w:sz w:val="20"/>
                <w:szCs w:val="20"/>
                <w:lang w:val="sr-Cyrl-CS"/>
              </w:rPr>
            </w:pPr>
            <w:r w:rsidRPr="00092ED7">
              <w:rPr>
                <w:sz w:val="20"/>
                <w:szCs w:val="20"/>
                <w:lang w:val="sr-Cyrl-CS"/>
              </w:rPr>
              <w:t>3,9</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6627ED09" w14:textId="77777777" w:rsidR="00247CBF" w:rsidRPr="00092ED7" w:rsidRDefault="00247CBF" w:rsidP="00247CBF">
            <w:pPr>
              <w:spacing w:after="0"/>
              <w:jc w:val="center"/>
              <w:rPr>
                <w:sz w:val="20"/>
                <w:szCs w:val="20"/>
                <w:lang w:val="sr-Cyrl-CS"/>
              </w:rPr>
            </w:pPr>
            <w:r w:rsidRPr="00092ED7">
              <w:rPr>
                <w:sz w:val="20"/>
                <w:szCs w:val="20"/>
                <w:lang w:val="sr-Cyrl-CS"/>
              </w:rPr>
              <w:t>3,1</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24BD65E3" w14:textId="77777777" w:rsidR="00247CBF" w:rsidRPr="00092ED7" w:rsidRDefault="00247CBF" w:rsidP="00247CBF">
            <w:pPr>
              <w:spacing w:after="0"/>
              <w:jc w:val="center"/>
              <w:rPr>
                <w:sz w:val="20"/>
                <w:szCs w:val="20"/>
                <w:lang w:val="sr-Cyrl-CS"/>
              </w:rPr>
            </w:pPr>
            <w:r w:rsidRPr="00092ED7">
              <w:rPr>
                <w:sz w:val="20"/>
                <w:szCs w:val="20"/>
                <w:lang w:val="sr-Cyrl-CS"/>
              </w:rPr>
              <w:t>3,1</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10FA735C" w14:textId="77777777" w:rsidR="00247CBF" w:rsidRPr="00092ED7" w:rsidRDefault="00247CBF" w:rsidP="00247CBF">
            <w:pPr>
              <w:spacing w:after="0"/>
              <w:jc w:val="center"/>
              <w:rPr>
                <w:sz w:val="20"/>
                <w:szCs w:val="20"/>
                <w:lang w:val="sr-Cyrl-CS"/>
              </w:rPr>
            </w:pPr>
            <w:r w:rsidRPr="00092ED7">
              <w:rPr>
                <w:sz w:val="20"/>
                <w:szCs w:val="20"/>
                <w:lang w:val="sr-Cyrl-CS"/>
              </w:rPr>
              <w:t>3,1</w:t>
            </w:r>
          </w:p>
        </w:tc>
        <w:tc>
          <w:tcPr>
            <w:tcW w:w="485" w:type="pct"/>
            <w:tcBorders>
              <w:top w:val="nil"/>
              <w:left w:val="nil"/>
              <w:bottom w:val="dotted" w:sz="4" w:space="0" w:color="auto"/>
              <w:right w:val="double" w:sz="6" w:space="0" w:color="000000"/>
            </w:tcBorders>
            <w:shd w:val="clear" w:color="000000" w:fill="FFFFFF"/>
            <w:vAlign w:val="center"/>
            <w:hideMark/>
          </w:tcPr>
          <w:p w14:paraId="7328453E" w14:textId="77777777" w:rsidR="00247CBF" w:rsidRPr="00092ED7" w:rsidRDefault="00247CBF" w:rsidP="00247CBF">
            <w:pPr>
              <w:spacing w:after="0"/>
              <w:jc w:val="center"/>
              <w:rPr>
                <w:sz w:val="20"/>
                <w:szCs w:val="20"/>
                <w:lang w:val="sr-Cyrl-CS"/>
              </w:rPr>
            </w:pPr>
            <w:r w:rsidRPr="00092ED7">
              <w:rPr>
                <w:sz w:val="20"/>
                <w:szCs w:val="20"/>
                <w:lang w:val="sr-Cyrl-CS"/>
              </w:rPr>
              <w:t>3,1</w:t>
            </w:r>
          </w:p>
        </w:tc>
      </w:tr>
      <w:tr w:rsidR="00247CBF" w:rsidRPr="00092ED7" w14:paraId="5F032CB1"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62201C7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10. Социјална заштита</w:t>
            </w:r>
          </w:p>
        </w:tc>
        <w:tc>
          <w:tcPr>
            <w:tcW w:w="486" w:type="pct"/>
            <w:tcBorders>
              <w:top w:val="nil"/>
              <w:left w:val="nil"/>
              <w:bottom w:val="dotted" w:sz="4" w:space="0" w:color="auto"/>
              <w:right w:val="single" w:sz="8" w:space="0" w:color="auto"/>
            </w:tcBorders>
            <w:shd w:val="clear" w:color="000000" w:fill="FFFFFF"/>
            <w:vAlign w:val="center"/>
            <w:hideMark/>
          </w:tcPr>
          <w:p w14:paraId="04F1E2D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10</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4E974BFC" w14:textId="77777777" w:rsidR="00247CBF" w:rsidRPr="00092ED7" w:rsidRDefault="00247CBF" w:rsidP="00247CBF">
            <w:pPr>
              <w:spacing w:after="0"/>
              <w:jc w:val="center"/>
              <w:rPr>
                <w:sz w:val="20"/>
                <w:szCs w:val="20"/>
                <w:lang w:val="sr-Cyrl-CS"/>
              </w:rPr>
            </w:pPr>
            <w:r w:rsidRPr="00092ED7">
              <w:rPr>
                <w:sz w:val="20"/>
                <w:szCs w:val="20"/>
                <w:lang w:val="sr-Cyrl-CS"/>
              </w:rPr>
              <w:t>13,3</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1D4AD725" w14:textId="77777777" w:rsidR="00247CBF" w:rsidRPr="00092ED7" w:rsidRDefault="00247CBF" w:rsidP="00247CBF">
            <w:pPr>
              <w:spacing w:after="0"/>
              <w:jc w:val="center"/>
              <w:rPr>
                <w:sz w:val="20"/>
                <w:szCs w:val="20"/>
                <w:lang w:val="sr-Cyrl-CS"/>
              </w:rPr>
            </w:pPr>
            <w:r w:rsidRPr="00092ED7">
              <w:rPr>
                <w:sz w:val="20"/>
                <w:szCs w:val="20"/>
                <w:lang w:val="sr-Cyrl-CS"/>
              </w:rPr>
              <w:t>13,3</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5B2C5CB0" w14:textId="77777777" w:rsidR="00247CBF" w:rsidRPr="00092ED7" w:rsidRDefault="00247CBF" w:rsidP="00247CBF">
            <w:pPr>
              <w:spacing w:after="0"/>
              <w:jc w:val="center"/>
              <w:rPr>
                <w:sz w:val="20"/>
                <w:szCs w:val="20"/>
                <w:lang w:val="sr-Cyrl-CS"/>
              </w:rPr>
            </w:pPr>
            <w:r w:rsidRPr="00092ED7">
              <w:rPr>
                <w:sz w:val="20"/>
                <w:szCs w:val="20"/>
                <w:lang w:val="sr-Cyrl-CS"/>
              </w:rPr>
              <w:t>13,1</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4FECB942" w14:textId="77777777" w:rsidR="00247CBF" w:rsidRPr="00092ED7" w:rsidRDefault="00247CBF" w:rsidP="00247CBF">
            <w:pPr>
              <w:spacing w:after="0"/>
              <w:jc w:val="center"/>
              <w:rPr>
                <w:sz w:val="20"/>
                <w:szCs w:val="20"/>
                <w:lang w:val="sr-Cyrl-CS"/>
              </w:rPr>
            </w:pPr>
            <w:r w:rsidRPr="00092ED7">
              <w:rPr>
                <w:sz w:val="20"/>
                <w:szCs w:val="20"/>
                <w:lang w:val="sr-Cyrl-CS"/>
              </w:rPr>
              <w:t>13,3</w:t>
            </w:r>
          </w:p>
        </w:tc>
        <w:tc>
          <w:tcPr>
            <w:tcW w:w="485" w:type="pct"/>
            <w:tcBorders>
              <w:top w:val="nil"/>
              <w:left w:val="nil"/>
              <w:bottom w:val="dotted" w:sz="4" w:space="0" w:color="auto"/>
              <w:right w:val="double" w:sz="6" w:space="0" w:color="000000"/>
            </w:tcBorders>
            <w:shd w:val="clear" w:color="000000" w:fill="FFFFFF"/>
            <w:vAlign w:val="center"/>
            <w:hideMark/>
          </w:tcPr>
          <w:p w14:paraId="478BF357" w14:textId="77777777" w:rsidR="00247CBF" w:rsidRPr="00092ED7" w:rsidRDefault="00247CBF" w:rsidP="00247CBF">
            <w:pPr>
              <w:spacing w:after="0"/>
              <w:jc w:val="center"/>
              <w:rPr>
                <w:sz w:val="20"/>
                <w:szCs w:val="20"/>
                <w:lang w:val="sr-Cyrl-CS"/>
              </w:rPr>
            </w:pPr>
            <w:r w:rsidRPr="00092ED7">
              <w:rPr>
                <w:sz w:val="20"/>
                <w:szCs w:val="20"/>
                <w:lang w:val="sr-Cyrl-CS"/>
              </w:rPr>
              <w:t>13,2</w:t>
            </w:r>
          </w:p>
        </w:tc>
      </w:tr>
      <w:tr w:rsidR="00247CBF" w:rsidRPr="00092ED7" w14:paraId="456073ED" w14:textId="77777777" w:rsidTr="00247CBF">
        <w:trPr>
          <w:gridBefore w:val="1"/>
          <w:wBefore w:w="8" w:type="pct"/>
          <w:trHeight w:val="255"/>
        </w:trPr>
        <w:tc>
          <w:tcPr>
            <w:tcW w:w="2084" w:type="pct"/>
            <w:tcBorders>
              <w:top w:val="nil"/>
              <w:left w:val="double" w:sz="6" w:space="0" w:color="000000"/>
              <w:bottom w:val="double" w:sz="6" w:space="0" w:color="000000"/>
              <w:right w:val="dotted" w:sz="4" w:space="0" w:color="auto"/>
            </w:tcBorders>
            <w:shd w:val="clear" w:color="000000" w:fill="FFFFFF"/>
            <w:vAlign w:val="center"/>
            <w:hideMark/>
          </w:tcPr>
          <w:p w14:paraId="17D6653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11. Укупни расходи (ставка 7 = 23 у Табели 2)</w:t>
            </w:r>
          </w:p>
        </w:tc>
        <w:tc>
          <w:tcPr>
            <w:tcW w:w="486" w:type="pct"/>
            <w:tcBorders>
              <w:top w:val="nil"/>
              <w:left w:val="nil"/>
              <w:bottom w:val="double" w:sz="6" w:space="0" w:color="000000"/>
              <w:right w:val="single" w:sz="8" w:space="0" w:color="auto"/>
            </w:tcBorders>
            <w:shd w:val="clear" w:color="000000" w:fill="FFFFFF"/>
            <w:vAlign w:val="center"/>
            <w:hideMark/>
          </w:tcPr>
          <w:p w14:paraId="16F5731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TE</w:t>
            </w:r>
          </w:p>
        </w:tc>
        <w:tc>
          <w:tcPr>
            <w:tcW w:w="484" w:type="pct"/>
            <w:gridSpan w:val="2"/>
            <w:tcBorders>
              <w:top w:val="nil"/>
              <w:left w:val="nil"/>
              <w:bottom w:val="double" w:sz="6" w:space="0" w:color="000000"/>
              <w:right w:val="dotted" w:sz="4" w:space="0" w:color="auto"/>
            </w:tcBorders>
            <w:shd w:val="clear" w:color="000000" w:fill="FFFFFF"/>
            <w:vAlign w:val="center"/>
            <w:hideMark/>
          </w:tcPr>
          <w:p w14:paraId="614D85E8" w14:textId="77777777" w:rsidR="00247CBF" w:rsidRPr="00092ED7" w:rsidRDefault="00247CBF" w:rsidP="00247CBF">
            <w:pPr>
              <w:spacing w:after="0"/>
              <w:jc w:val="center"/>
              <w:rPr>
                <w:sz w:val="20"/>
                <w:szCs w:val="20"/>
                <w:lang w:val="sr-Cyrl-CS"/>
              </w:rPr>
            </w:pPr>
            <w:r w:rsidRPr="00092ED7">
              <w:rPr>
                <w:sz w:val="20"/>
                <w:szCs w:val="20"/>
                <w:lang w:val="sr-Cyrl-CS"/>
              </w:rPr>
              <w:t>47,4</w:t>
            </w:r>
          </w:p>
        </w:tc>
        <w:tc>
          <w:tcPr>
            <w:tcW w:w="484" w:type="pct"/>
            <w:gridSpan w:val="2"/>
            <w:tcBorders>
              <w:top w:val="nil"/>
              <w:left w:val="nil"/>
              <w:bottom w:val="double" w:sz="6" w:space="0" w:color="000000"/>
              <w:right w:val="dotted" w:sz="4" w:space="0" w:color="auto"/>
            </w:tcBorders>
            <w:shd w:val="clear" w:color="000000" w:fill="FFFFFF"/>
            <w:vAlign w:val="center"/>
            <w:hideMark/>
          </w:tcPr>
          <w:p w14:paraId="761710D6" w14:textId="77777777" w:rsidR="00247CBF" w:rsidRPr="00092ED7" w:rsidRDefault="00247CBF" w:rsidP="00247CBF">
            <w:pPr>
              <w:spacing w:after="0"/>
              <w:jc w:val="center"/>
              <w:rPr>
                <w:sz w:val="20"/>
                <w:szCs w:val="20"/>
                <w:lang w:val="sr-Cyrl-CS"/>
              </w:rPr>
            </w:pPr>
            <w:r w:rsidRPr="00092ED7">
              <w:rPr>
                <w:sz w:val="20"/>
                <w:szCs w:val="20"/>
                <w:lang w:val="sr-Cyrl-CS"/>
              </w:rPr>
              <w:t>46,8</w:t>
            </w:r>
          </w:p>
        </w:tc>
        <w:tc>
          <w:tcPr>
            <w:tcW w:w="485" w:type="pct"/>
            <w:gridSpan w:val="2"/>
            <w:tcBorders>
              <w:top w:val="nil"/>
              <w:left w:val="nil"/>
              <w:bottom w:val="double" w:sz="6" w:space="0" w:color="000000"/>
              <w:right w:val="dotted" w:sz="4" w:space="0" w:color="auto"/>
            </w:tcBorders>
            <w:shd w:val="clear" w:color="000000" w:fill="FFFFFF"/>
            <w:vAlign w:val="center"/>
            <w:hideMark/>
          </w:tcPr>
          <w:p w14:paraId="6DEDCFBC" w14:textId="77777777" w:rsidR="00247CBF" w:rsidRPr="00092ED7" w:rsidRDefault="00247CBF" w:rsidP="00247CBF">
            <w:pPr>
              <w:spacing w:after="0"/>
              <w:jc w:val="center"/>
              <w:rPr>
                <w:sz w:val="20"/>
                <w:szCs w:val="20"/>
                <w:lang w:val="sr-Cyrl-CS"/>
              </w:rPr>
            </w:pPr>
            <w:r w:rsidRPr="00092ED7">
              <w:rPr>
                <w:sz w:val="20"/>
                <w:szCs w:val="20"/>
                <w:lang w:val="sr-Cyrl-CS"/>
              </w:rPr>
              <w:t>44,2</w:t>
            </w:r>
          </w:p>
        </w:tc>
        <w:tc>
          <w:tcPr>
            <w:tcW w:w="484" w:type="pct"/>
            <w:gridSpan w:val="2"/>
            <w:tcBorders>
              <w:top w:val="nil"/>
              <w:left w:val="nil"/>
              <w:bottom w:val="double" w:sz="6" w:space="0" w:color="000000"/>
              <w:right w:val="dotted" w:sz="4" w:space="0" w:color="auto"/>
            </w:tcBorders>
            <w:shd w:val="clear" w:color="000000" w:fill="FFFFFF"/>
            <w:vAlign w:val="center"/>
            <w:hideMark/>
          </w:tcPr>
          <w:p w14:paraId="57475203" w14:textId="77777777" w:rsidR="00247CBF" w:rsidRPr="00092ED7" w:rsidRDefault="00247CBF" w:rsidP="00247CBF">
            <w:pPr>
              <w:spacing w:after="0"/>
              <w:jc w:val="center"/>
              <w:rPr>
                <w:sz w:val="20"/>
                <w:szCs w:val="20"/>
                <w:lang w:val="sr-Cyrl-CS"/>
              </w:rPr>
            </w:pPr>
            <w:r w:rsidRPr="00092ED7">
              <w:rPr>
                <w:sz w:val="20"/>
                <w:szCs w:val="20"/>
                <w:lang w:val="sr-Cyrl-CS"/>
              </w:rPr>
              <w:t>42,5</w:t>
            </w:r>
          </w:p>
        </w:tc>
        <w:tc>
          <w:tcPr>
            <w:tcW w:w="485" w:type="pct"/>
            <w:tcBorders>
              <w:top w:val="nil"/>
              <w:left w:val="nil"/>
              <w:bottom w:val="double" w:sz="6" w:space="0" w:color="000000"/>
              <w:right w:val="double" w:sz="6" w:space="0" w:color="000000"/>
            </w:tcBorders>
            <w:shd w:val="clear" w:color="000000" w:fill="FFFFFF"/>
            <w:vAlign w:val="center"/>
            <w:hideMark/>
          </w:tcPr>
          <w:p w14:paraId="66221A86" w14:textId="77777777" w:rsidR="00247CBF" w:rsidRPr="00092ED7" w:rsidRDefault="00247CBF" w:rsidP="00247CBF">
            <w:pPr>
              <w:spacing w:after="0"/>
              <w:jc w:val="center"/>
              <w:rPr>
                <w:sz w:val="20"/>
                <w:szCs w:val="20"/>
                <w:lang w:val="sr-Cyrl-CS"/>
              </w:rPr>
            </w:pPr>
            <w:r w:rsidRPr="00092ED7">
              <w:rPr>
                <w:sz w:val="20"/>
                <w:szCs w:val="20"/>
                <w:lang w:val="sr-Cyrl-CS"/>
              </w:rPr>
              <w:t>41,0</w:t>
            </w:r>
          </w:p>
        </w:tc>
      </w:tr>
    </w:tbl>
    <w:p w14:paraId="204C1E7F" w14:textId="77777777" w:rsidR="00247CBF" w:rsidRPr="00092ED7" w:rsidRDefault="00247CBF" w:rsidP="00247CBF">
      <w:pPr>
        <w:rPr>
          <w:rFonts w:cs="Times New Roman"/>
          <w:lang w:val="sr-Cyrl-CS"/>
        </w:rPr>
      </w:pPr>
    </w:p>
    <w:p w14:paraId="233AA7FC" w14:textId="77777777" w:rsidR="00247CBF" w:rsidRPr="00092ED7" w:rsidRDefault="00247CBF" w:rsidP="00247CBF">
      <w:pPr>
        <w:rPr>
          <w:rFonts w:cs="Times New Roman"/>
          <w:lang w:val="sr-Cyrl-CS"/>
        </w:rPr>
      </w:pPr>
    </w:p>
    <w:p w14:paraId="1C4B2AB8" w14:textId="77777777" w:rsidR="00247CBF" w:rsidRPr="00092ED7" w:rsidRDefault="00247CBF" w:rsidP="00247CBF">
      <w:pPr>
        <w:rPr>
          <w:rFonts w:cs="Times New Roman"/>
          <w:lang w:val="sr-Cyrl-CS"/>
        </w:rPr>
      </w:pPr>
    </w:p>
    <w:p w14:paraId="0AB282DA" w14:textId="77777777" w:rsidR="00247CBF" w:rsidRPr="00092ED7" w:rsidRDefault="00247CBF" w:rsidP="00247CBF">
      <w:pPr>
        <w:pStyle w:val="Heading3"/>
        <w:rPr>
          <w:rFonts w:ascii="Times New Roman" w:hAnsi="Times New Roman" w:cs="Times New Roman"/>
          <w:b/>
          <w:color w:val="auto"/>
          <w:sz w:val="20"/>
          <w:szCs w:val="20"/>
          <w:lang w:val="sr-Cyrl-CS"/>
        </w:rPr>
      </w:pPr>
      <w:bookmarkStart w:id="144" w:name="_Toc61953863"/>
      <w:bookmarkStart w:id="145" w:name="_Toc93386000"/>
      <w:bookmarkStart w:id="146" w:name="_Toc124174831"/>
      <w:bookmarkStart w:id="147" w:name="_Toc126218649"/>
      <w:r w:rsidRPr="00092ED7">
        <w:rPr>
          <w:rFonts w:ascii="Times New Roman" w:hAnsi="Times New Roman" w:cs="Times New Roman"/>
          <w:b/>
          <w:color w:val="auto"/>
          <w:sz w:val="20"/>
          <w:szCs w:val="20"/>
          <w:lang w:val="sr-Cyrl-CS"/>
        </w:rPr>
        <w:t>Табела 4: Кретање дуга општег нивоа државе</w:t>
      </w:r>
      <w:bookmarkEnd w:id="144"/>
      <w:bookmarkEnd w:id="145"/>
      <w:bookmarkEnd w:id="146"/>
      <w:bookmarkEnd w:id="147"/>
    </w:p>
    <w:tbl>
      <w:tblPr>
        <w:tblW w:w="14570" w:type="dxa"/>
        <w:tblLayout w:type="fixed"/>
        <w:tblLook w:val="04A0" w:firstRow="1" w:lastRow="0" w:firstColumn="1" w:lastColumn="0" w:noHBand="0" w:noVBand="1"/>
      </w:tblPr>
      <w:tblGrid>
        <w:gridCol w:w="6255"/>
        <w:gridCol w:w="1585"/>
        <w:gridCol w:w="1120"/>
        <w:gridCol w:w="1120"/>
        <w:gridCol w:w="1120"/>
        <w:gridCol w:w="1120"/>
        <w:gridCol w:w="1120"/>
        <w:gridCol w:w="1120"/>
        <w:gridCol w:w="10"/>
      </w:tblGrid>
      <w:tr w:rsidR="00247CBF" w:rsidRPr="00092ED7" w14:paraId="09944603" w14:textId="77777777" w:rsidTr="00247CBF">
        <w:trPr>
          <w:gridAfter w:val="1"/>
          <w:wAfter w:w="10" w:type="dxa"/>
          <w:trHeight w:val="227"/>
        </w:trPr>
        <w:tc>
          <w:tcPr>
            <w:tcW w:w="6255" w:type="dxa"/>
            <w:tcBorders>
              <w:top w:val="double" w:sz="6" w:space="0" w:color="auto"/>
              <w:left w:val="double" w:sz="6" w:space="0" w:color="auto"/>
              <w:bottom w:val="double" w:sz="6" w:space="0" w:color="auto"/>
              <w:right w:val="nil"/>
            </w:tcBorders>
            <w:shd w:val="clear" w:color="auto" w:fill="auto"/>
            <w:noWrap/>
            <w:vAlign w:val="center"/>
            <w:hideMark/>
          </w:tcPr>
          <w:p w14:paraId="7D52ACE6" w14:textId="77777777" w:rsidR="00247CBF" w:rsidRPr="00092ED7" w:rsidRDefault="00247CBF" w:rsidP="00247CBF">
            <w:pPr>
              <w:spacing w:after="0"/>
              <w:jc w:val="left"/>
              <w:rPr>
                <w:rFonts w:eastAsia="Times New Roman" w:cs="Times New Roman"/>
                <w:b/>
                <w:bCs/>
                <w:sz w:val="20"/>
                <w:szCs w:val="20"/>
                <w:lang w:val="sr-Cyrl-CS"/>
              </w:rPr>
            </w:pPr>
          </w:p>
        </w:tc>
        <w:tc>
          <w:tcPr>
            <w:tcW w:w="1585"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14:paraId="67BFED3C" w14:textId="77777777" w:rsidR="00247CBF" w:rsidRPr="00092ED7" w:rsidRDefault="00247CBF" w:rsidP="00247CBF">
            <w:pPr>
              <w:spacing w:after="0"/>
              <w:jc w:val="center"/>
              <w:rPr>
                <w:sz w:val="20"/>
                <w:szCs w:val="20"/>
                <w:lang w:val="sr-Cyrl-CS"/>
              </w:rPr>
            </w:pPr>
          </w:p>
        </w:tc>
        <w:tc>
          <w:tcPr>
            <w:tcW w:w="1120" w:type="dxa"/>
            <w:tcBorders>
              <w:top w:val="double" w:sz="6" w:space="0" w:color="auto"/>
              <w:left w:val="nil"/>
              <w:bottom w:val="double" w:sz="6" w:space="0" w:color="auto"/>
              <w:right w:val="dashed" w:sz="4" w:space="0" w:color="auto"/>
            </w:tcBorders>
            <w:shd w:val="clear" w:color="auto" w:fill="auto"/>
            <w:noWrap/>
            <w:vAlign w:val="center"/>
            <w:hideMark/>
          </w:tcPr>
          <w:p w14:paraId="48FD1666" w14:textId="77777777" w:rsidR="00247CBF" w:rsidRPr="00092ED7" w:rsidRDefault="00247CBF" w:rsidP="00247CBF">
            <w:pPr>
              <w:spacing w:after="0"/>
              <w:jc w:val="right"/>
              <w:rPr>
                <w:b/>
                <w:bCs/>
                <w:sz w:val="20"/>
                <w:szCs w:val="20"/>
                <w:lang w:val="sr-Cyrl-CS"/>
              </w:rPr>
            </w:pPr>
            <w:r w:rsidRPr="00092ED7">
              <w:rPr>
                <w:b/>
                <w:bCs/>
                <w:sz w:val="20"/>
                <w:szCs w:val="20"/>
                <w:lang w:val="sr-Cyrl-CS"/>
              </w:rPr>
              <w:t>2020</w:t>
            </w:r>
          </w:p>
        </w:tc>
        <w:tc>
          <w:tcPr>
            <w:tcW w:w="1120" w:type="dxa"/>
            <w:tcBorders>
              <w:top w:val="double" w:sz="6" w:space="0" w:color="auto"/>
              <w:left w:val="nil"/>
              <w:bottom w:val="double" w:sz="6" w:space="0" w:color="auto"/>
              <w:right w:val="dashed" w:sz="4" w:space="0" w:color="auto"/>
            </w:tcBorders>
            <w:shd w:val="clear" w:color="auto" w:fill="auto"/>
            <w:noWrap/>
            <w:vAlign w:val="center"/>
            <w:hideMark/>
          </w:tcPr>
          <w:p w14:paraId="30512DB5" w14:textId="77777777" w:rsidR="00247CBF" w:rsidRPr="00092ED7" w:rsidRDefault="00247CBF" w:rsidP="00247CBF">
            <w:pPr>
              <w:spacing w:after="0"/>
              <w:jc w:val="right"/>
              <w:rPr>
                <w:b/>
                <w:bCs/>
                <w:sz w:val="20"/>
                <w:szCs w:val="20"/>
                <w:lang w:val="sr-Cyrl-CS"/>
              </w:rPr>
            </w:pPr>
            <w:r w:rsidRPr="00092ED7">
              <w:rPr>
                <w:b/>
                <w:bCs/>
                <w:sz w:val="20"/>
                <w:szCs w:val="20"/>
                <w:lang w:val="sr-Cyrl-CS"/>
              </w:rPr>
              <w:t>2021</w:t>
            </w:r>
          </w:p>
        </w:tc>
        <w:tc>
          <w:tcPr>
            <w:tcW w:w="1120" w:type="dxa"/>
            <w:tcBorders>
              <w:top w:val="double" w:sz="6" w:space="0" w:color="auto"/>
              <w:left w:val="nil"/>
              <w:bottom w:val="double" w:sz="6" w:space="0" w:color="auto"/>
              <w:right w:val="dashed" w:sz="4" w:space="0" w:color="auto"/>
            </w:tcBorders>
            <w:shd w:val="clear" w:color="auto" w:fill="auto"/>
            <w:noWrap/>
            <w:vAlign w:val="center"/>
            <w:hideMark/>
          </w:tcPr>
          <w:p w14:paraId="35534CC0" w14:textId="77777777" w:rsidR="00247CBF" w:rsidRPr="00092ED7" w:rsidRDefault="00247CBF" w:rsidP="00247CBF">
            <w:pPr>
              <w:spacing w:after="0"/>
              <w:jc w:val="right"/>
              <w:rPr>
                <w:b/>
                <w:bCs/>
                <w:sz w:val="20"/>
                <w:szCs w:val="20"/>
                <w:lang w:val="sr-Cyrl-CS"/>
              </w:rPr>
            </w:pPr>
            <w:r w:rsidRPr="00092ED7">
              <w:rPr>
                <w:b/>
                <w:bCs/>
                <w:sz w:val="20"/>
                <w:szCs w:val="20"/>
                <w:lang w:val="sr-Cyrl-CS"/>
              </w:rPr>
              <w:t>2022</w:t>
            </w:r>
          </w:p>
        </w:tc>
        <w:tc>
          <w:tcPr>
            <w:tcW w:w="1120" w:type="dxa"/>
            <w:tcBorders>
              <w:top w:val="double" w:sz="6" w:space="0" w:color="auto"/>
              <w:left w:val="nil"/>
              <w:bottom w:val="double" w:sz="6" w:space="0" w:color="auto"/>
              <w:right w:val="dashed" w:sz="4" w:space="0" w:color="auto"/>
            </w:tcBorders>
            <w:shd w:val="clear" w:color="auto" w:fill="auto"/>
            <w:noWrap/>
            <w:vAlign w:val="center"/>
            <w:hideMark/>
          </w:tcPr>
          <w:p w14:paraId="57B42CFA" w14:textId="77777777" w:rsidR="00247CBF" w:rsidRPr="00092ED7" w:rsidRDefault="00247CBF" w:rsidP="00247CBF">
            <w:pPr>
              <w:spacing w:after="0"/>
              <w:jc w:val="right"/>
              <w:rPr>
                <w:b/>
                <w:bCs/>
                <w:sz w:val="20"/>
                <w:szCs w:val="20"/>
                <w:lang w:val="sr-Cyrl-CS"/>
              </w:rPr>
            </w:pPr>
            <w:r w:rsidRPr="00092ED7">
              <w:rPr>
                <w:b/>
                <w:bCs/>
                <w:sz w:val="20"/>
                <w:szCs w:val="20"/>
                <w:lang w:val="sr-Cyrl-CS"/>
              </w:rPr>
              <w:t>2023</w:t>
            </w:r>
          </w:p>
        </w:tc>
        <w:tc>
          <w:tcPr>
            <w:tcW w:w="1120" w:type="dxa"/>
            <w:tcBorders>
              <w:top w:val="double" w:sz="6" w:space="0" w:color="auto"/>
              <w:left w:val="nil"/>
              <w:bottom w:val="double" w:sz="6" w:space="0" w:color="auto"/>
              <w:right w:val="dashed" w:sz="4" w:space="0" w:color="auto"/>
            </w:tcBorders>
            <w:shd w:val="clear" w:color="auto" w:fill="auto"/>
            <w:noWrap/>
            <w:vAlign w:val="center"/>
            <w:hideMark/>
          </w:tcPr>
          <w:p w14:paraId="362E5ABF" w14:textId="77777777" w:rsidR="00247CBF" w:rsidRPr="00092ED7" w:rsidRDefault="00247CBF" w:rsidP="00247CBF">
            <w:pPr>
              <w:spacing w:after="0"/>
              <w:jc w:val="right"/>
              <w:rPr>
                <w:b/>
                <w:bCs/>
                <w:sz w:val="20"/>
                <w:szCs w:val="20"/>
                <w:lang w:val="sr-Cyrl-CS"/>
              </w:rPr>
            </w:pPr>
            <w:r w:rsidRPr="00092ED7">
              <w:rPr>
                <w:b/>
                <w:bCs/>
                <w:sz w:val="20"/>
                <w:szCs w:val="20"/>
                <w:lang w:val="sr-Cyrl-CS"/>
              </w:rPr>
              <w:t>2024</w:t>
            </w:r>
          </w:p>
        </w:tc>
        <w:tc>
          <w:tcPr>
            <w:tcW w:w="1120" w:type="dxa"/>
            <w:tcBorders>
              <w:top w:val="double" w:sz="6" w:space="0" w:color="auto"/>
              <w:left w:val="nil"/>
              <w:bottom w:val="double" w:sz="6" w:space="0" w:color="auto"/>
              <w:right w:val="double" w:sz="6" w:space="0" w:color="auto"/>
            </w:tcBorders>
            <w:shd w:val="clear" w:color="auto" w:fill="auto"/>
            <w:noWrap/>
            <w:vAlign w:val="center"/>
            <w:hideMark/>
          </w:tcPr>
          <w:p w14:paraId="2B5C28C1" w14:textId="77777777" w:rsidR="00247CBF" w:rsidRPr="00092ED7" w:rsidRDefault="00247CBF" w:rsidP="00247CBF">
            <w:pPr>
              <w:spacing w:after="0"/>
              <w:jc w:val="right"/>
              <w:rPr>
                <w:b/>
                <w:bCs/>
                <w:sz w:val="20"/>
                <w:szCs w:val="20"/>
                <w:lang w:val="sr-Cyrl-CS"/>
              </w:rPr>
            </w:pPr>
            <w:r w:rsidRPr="00092ED7">
              <w:rPr>
                <w:b/>
                <w:bCs/>
                <w:sz w:val="20"/>
                <w:szCs w:val="20"/>
                <w:lang w:val="sr-Cyrl-CS"/>
              </w:rPr>
              <w:t>2025</w:t>
            </w:r>
          </w:p>
        </w:tc>
      </w:tr>
      <w:tr w:rsidR="00247CBF" w:rsidRPr="00092ED7" w14:paraId="354A9A6D" w14:textId="77777777" w:rsidTr="00247CBF">
        <w:trPr>
          <w:gridAfter w:val="1"/>
          <w:wAfter w:w="10" w:type="dxa"/>
          <w:trHeight w:val="227"/>
        </w:trPr>
        <w:tc>
          <w:tcPr>
            <w:tcW w:w="6255" w:type="dxa"/>
            <w:tcBorders>
              <w:top w:val="nil"/>
              <w:left w:val="double" w:sz="6" w:space="0" w:color="auto"/>
              <w:bottom w:val="single" w:sz="8" w:space="0" w:color="auto"/>
              <w:right w:val="single" w:sz="8" w:space="0" w:color="auto"/>
            </w:tcBorders>
            <w:shd w:val="clear" w:color="auto" w:fill="auto"/>
            <w:noWrap/>
            <w:vAlign w:val="center"/>
            <w:hideMark/>
          </w:tcPr>
          <w:p w14:paraId="184EA906" w14:textId="77777777" w:rsidR="00247CBF" w:rsidRPr="00092ED7" w:rsidRDefault="00000000" w:rsidP="00247CBF">
            <w:pPr>
              <w:spacing w:after="0"/>
              <w:jc w:val="left"/>
              <w:rPr>
                <w:rFonts w:eastAsia="Times New Roman" w:cs="Times New Roman"/>
                <w:sz w:val="20"/>
                <w:szCs w:val="20"/>
                <w:lang w:val="sr-Cyrl-CS"/>
              </w:rPr>
            </w:pPr>
            <w:hyperlink r:id="rId56" w:anchor="RANGE!B175" w:history="1">
              <w:r w:rsidR="00247CBF" w:rsidRPr="00092ED7">
                <w:rPr>
                  <w:rFonts w:eastAsia="Times New Roman" w:cs="Times New Roman"/>
                  <w:sz w:val="20"/>
                  <w:szCs w:val="20"/>
                  <w:lang w:val="sr-Cyrl-CS"/>
                </w:rPr>
                <w:t>1. Бруто дуг [1]</w:t>
              </w:r>
            </w:hyperlink>
          </w:p>
        </w:tc>
        <w:tc>
          <w:tcPr>
            <w:tcW w:w="1585" w:type="dxa"/>
            <w:tcBorders>
              <w:top w:val="nil"/>
              <w:left w:val="nil"/>
              <w:bottom w:val="single" w:sz="8" w:space="0" w:color="auto"/>
              <w:right w:val="single" w:sz="8" w:space="0" w:color="auto"/>
            </w:tcBorders>
            <w:shd w:val="clear" w:color="auto" w:fill="auto"/>
            <w:vAlign w:val="center"/>
            <w:hideMark/>
          </w:tcPr>
          <w:p w14:paraId="1CB70D0B" w14:textId="77777777" w:rsidR="00247CBF" w:rsidRPr="00092ED7" w:rsidRDefault="00247CBF" w:rsidP="00247CBF">
            <w:pPr>
              <w:spacing w:after="0"/>
              <w:jc w:val="center"/>
              <w:rPr>
                <w:sz w:val="20"/>
                <w:szCs w:val="20"/>
                <w:lang w:val="sr-Cyrl-CS"/>
              </w:rPr>
            </w:pPr>
            <w:r w:rsidRPr="00092ED7">
              <w:rPr>
                <w:sz w:val="20"/>
                <w:szCs w:val="20"/>
                <w:lang w:val="sr-Cyrl-CS"/>
              </w:rPr>
              <w:t>млрд РСД</w:t>
            </w:r>
          </w:p>
        </w:tc>
        <w:tc>
          <w:tcPr>
            <w:tcW w:w="1120" w:type="dxa"/>
            <w:tcBorders>
              <w:top w:val="nil"/>
              <w:left w:val="nil"/>
              <w:bottom w:val="single" w:sz="8" w:space="0" w:color="auto"/>
              <w:right w:val="dotted" w:sz="4" w:space="0" w:color="auto"/>
            </w:tcBorders>
            <w:shd w:val="clear" w:color="auto" w:fill="auto"/>
            <w:vAlign w:val="center"/>
            <w:hideMark/>
          </w:tcPr>
          <w:p w14:paraId="357C2BE0" w14:textId="77777777" w:rsidR="00247CBF" w:rsidRPr="00092ED7" w:rsidRDefault="00247CBF" w:rsidP="00247CBF">
            <w:pPr>
              <w:spacing w:after="0"/>
              <w:jc w:val="right"/>
              <w:rPr>
                <w:sz w:val="20"/>
                <w:szCs w:val="20"/>
                <w:lang w:val="sr-Cyrl-CS"/>
              </w:rPr>
            </w:pPr>
            <w:r w:rsidRPr="00092ED7">
              <w:rPr>
                <w:sz w:val="20"/>
                <w:szCs w:val="20"/>
                <w:lang w:val="sr-Cyrl-CS"/>
              </w:rPr>
              <w:t>3.181,2</w:t>
            </w:r>
          </w:p>
        </w:tc>
        <w:tc>
          <w:tcPr>
            <w:tcW w:w="1120" w:type="dxa"/>
            <w:tcBorders>
              <w:top w:val="nil"/>
              <w:left w:val="nil"/>
              <w:bottom w:val="single" w:sz="8" w:space="0" w:color="auto"/>
              <w:right w:val="dotted" w:sz="4" w:space="0" w:color="auto"/>
            </w:tcBorders>
            <w:shd w:val="clear" w:color="auto" w:fill="auto"/>
            <w:vAlign w:val="center"/>
            <w:hideMark/>
          </w:tcPr>
          <w:p w14:paraId="77ABF1C9" w14:textId="77777777" w:rsidR="00247CBF" w:rsidRPr="00092ED7" w:rsidRDefault="00247CBF" w:rsidP="00247CBF">
            <w:pPr>
              <w:spacing w:after="0"/>
              <w:jc w:val="right"/>
              <w:rPr>
                <w:sz w:val="20"/>
                <w:szCs w:val="20"/>
                <w:lang w:val="sr-Cyrl-CS"/>
              </w:rPr>
            </w:pPr>
            <w:r w:rsidRPr="00092ED7">
              <w:rPr>
                <w:sz w:val="20"/>
                <w:szCs w:val="20"/>
                <w:lang w:val="sr-Cyrl-CS"/>
              </w:rPr>
              <w:t>3.581,8</w:t>
            </w:r>
          </w:p>
        </w:tc>
        <w:tc>
          <w:tcPr>
            <w:tcW w:w="1120" w:type="dxa"/>
            <w:tcBorders>
              <w:top w:val="nil"/>
              <w:left w:val="nil"/>
              <w:bottom w:val="single" w:sz="8" w:space="0" w:color="auto"/>
              <w:right w:val="dotted" w:sz="4" w:space="0" w:color="auto"/>
            </w:tcBorders>
            <w:shd w:val="clear" w:color="auto" w:fill="auto"/>
            <w:vAlign w:val="center"/>
            <w:hideMark/>
          </w:tcPr>
          <w:p w14:paraId="1A679BD1" w14:textId="77777777" w:rsidR="00247CBF" w:rsidRPr="00092ED7" w:rsidRDefault="00247CBF" w:rsidP="00247CBF">
            <w:pPr>
              <w:spacing w:after="0"/>
              <w:jc w:val="right"/>
              <w:rPr>
                <w:sz w:val="20"/>
                <w:szCs w:val="20"/>
                <w:lang w:val="sr-Cyrl-CS"/>
              </w:rPr>
            </w:pPr>
            <w:r w:rsidRPr="00092ED7">
              <w:rPr>
                <w:sz w:val="20"/>
                <w:szCs w:val="20"/>
                <w:lang w:val="sr-Cyrl-CS"/>
              </w:rPr>
              <w:t>4.030,6</w:t>
            </w:r>
          </w:p>
        </w:tc>
        <w:tc>
          <w:tcPr>
            <w:tcW w:w="1120" w:type="dxa"/>
            <w:tcBorders>
              <w:top w:val="nil"/>
              <w:left w:val="nil"/>
              <w:bottom w:val="single" w:sz="8" w:space="0" w:color="auto"/>
              <w:right w:val="dotted" w:sz="4" w:space="0" w:color="auto"/>
            </w:tcBorders>
            <w:shd w:val="clear" w:color="auto" w:fill="auto"/>
            <w:vAlign w:val="center"/>
            <w:hideMark/>
          </w:tcPr>
          <w:p w14:paraId="13D154B4" w14:textId="77777777" w:rsidR="00247CBF" w:rsidRPr="00092ED7" w:rsidRDefault="00247CBF" w:rsidP="00247CBF">
            <w:pPr>
              <w:spacing w:after="0"/>
              <w:jc w:val="right"/>
              <w:rPr>
                <w:sz w:val="20"/>
                <w:szCs w:val="20"/>
                <w:lang w:val="sr-Cyrl-CS"/>
              </w:rPr>
            </w:pPr>
            <w:r w:rsidRPr="00092ED7">
              <w:rPr>
                <w:sz w:val="20"/>
                <w:szCs w:val="20"/>
                <w:lang w:val="sr-Cyrl-CS"/>
              </w:rPr>
              <w:t>4.499,3</w:t>
            </w:r>
          </w:p>
        </w:tc>
        <w:tc>
          <w:tcPr>
            <w:tcW w:w="1120" w:type="dxa"/>
            <w:tcBorders>
              <w:top w:val="nil"/>
              <w:left w:val="nil"/>
              <w:bottom w:val="single" w:sz="8" w:space="0" w:color="auto"/>
              <w:right w:val="dotted" w:sz="4" w:space="0" w:color="auto"/>
            </w:tcBorders>
            <w:shd w:val="clear" w:color="auto" w:fill="auto"/>
            <w:vAlign w:val="center"/>
            <w:hideMark/>
          </w:tcPr>
          <w:p w14:paraId="60AB4492" w14:textId="77777777" w:rsidR="00247CBF" w:rsidRPr="00092ED7" w:rsidRDefault="00247CBF" w:rsidP="00247CBF">
            <w:pPr>
              <w:spacing w:after="0"/>
              <w:jc w:val="right"/>
              <w:rPr>
                <w:sz w:val="20"/>
                <w:szCs w:val="20"/>
                <w:lang w:val="sr-Cyrl-CS"/>
              </w:rPr>
            </w:pPr>
            <w:r w:rsidRPr="00092ED7">
              <w:rPr>
                <w:sz w:val="20"/>
                <w:szCs w:val="20"/>
                <w:lang w:val="sr-Cyrl-CS"/>
              </w:rPr>
              <w:t>4.832,8</w:t>
            </w:r>
          </w:p>
        </w:tc>
        <w:tc>
          <w:tcPr>
            <w:tcW w:w="1120" w:type="dxa"/>
            <w:tcBorders>
              <w:top w:val="nil"/>
              <w:left w:val="nil"/>
              <w:bottom w:val="single" w:sz="8" w:space="0" w:color="auto"/>
              <w:right w:val="double" w:sz="6" w:space="0" w:color="auto"/>
            </w:tcBorders>
            <w:shd w:val="clear" w:color="auto" w:fill="auto"/>
            <w:noWrap/>
            <w:vAlign w:val="center"/>
            <w:hideMark/>
          </w:tcPr>
          <w:p w14:paraId="2572844F" w14:textId="77777777" w:rsidR="00247CBF" w:rsidRPr="00092ED7" w:rsidRDefault="00247CBF" w:rsidP="00247CBF">
            <w:pPr>
              <w:spacing w:after="0"/>
              <w:jc w:val="right"/>
              <w:rPr>
                <w:sz w:val="20"/>
                <w:szCs w:val="20"/>
                <w:lang w:val="sr-Cyrl-CS"/>
              </w:rPr>
            </w:pPr>
            <w:r w:rsidRPr="00092ED7">
              <w:rPr>
                <w:sz w:val="20"/>
                <w:szCs w:val="20"/>
                <w:lang w:val="sr-Cyrl-CS"/>
              </w:rPr>
              <w:t>5.136,2</w:t>
            </w:r>
          </w:p>
        </w:tc>
      </w:tr>
      <w:tr w:rsidR="00247CBF" w:rsidRPr="00092ED7" w14:paraId="53141815" w14:textId="77777777" w:rsidTr="00247CBF">
        <w:trPr>
          <w:gridAfter w:val="1"/>
          <w:wAfter w:w="10" w:type="dxa"/>
          <w:trHeight w:val="227"/>
        </w:trPr>
        <w:tc>
          <w:tcPr>
            <w:tcW w:w="6255" w:type="dxa"/>
            <w:tcBorders>
              <w:top w:val="nil"/>
              <w:left w:val="double" w:sz="6" w:space="0" w:color="auto"/>
              <w:bottom w:val="single" w:sz="4" w:space="0" w:color="auto"/>
              <w:right w:val="nil"/>
            </w:tcBorders>
            <w:shd w:val="clear" w:color="auto" w:fill="auto"/>
            <w:vAlign w:val="center"/>
            <w:hideMark/>
          </w:tcPr>
          <w:p w14:paraId="0A130544"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Доприноси промени бруто дуга</w:t>
            </w:r>
          </w:p>
        </w:tc>
        <w:tc>
          <w:tcPr>
            <w:tcW w:w="1585" w:type="dxa"/>
            <w:tcBorders>
              <w:top w:val="nil"/>
              <w:left w:val="single" w:sz="8" w:space="0" w:color="auto"/>
              <w:bottom w:val="single" w:sz="4" w:space="0" w:color="auto"/>
              <w:right w:val="single" w:sz="8" w:space="0" w:color="auto"/>
            </w:tcBorders>
            <w:shd w:val="clear" w:color="auto" w:fill="auto"/>
            <w:vAlign w:val="center"/>
            <w:hideMark/>
          </w:tcPr>
          <w:p w14:paraId="16BDC7FD" w14:textId="77777777" w:rsidR="00247CBF" w:rsidRPr="00092ED7" w:rsidRDefault="00247CBF" w:rsidP="00247CBF">
            <w:pPr>
              <w:spacing w:after="0"/>
              <w:jc w:val="center"/>
              <w:rPr>
                <w:b/>
                <w:bCs/>
                <w:sz w:val="20"/>
                <w:szCs w:val="20"/>
                <w:lang w:val="sr-Cyrl-CS"/>
              </w:rPr>
            </w:pPr>
          </w:p>
        </w:tc>
        <w:tc>
          <w:tcPr>
            <w:tcW w:w="1120" w:type="dxa"/>
            <w:tcBorders>
              <w:top w:val="nil"/>
              <w:left w:val="nil"/>
              <w:bottom w:val="single" w:sz="4" w:space="0" w:color="auto"/>
              <w:right w:val="nil"/>
            </w:tcBorders>
            <w:shd w:val="clear" w:color="auto" w:fill="auto"/>
            <w:vAlign w:val="center"/>
            <w:hideMark/>
          </w:tcPr>
          <w:p w14:paraId="09ADF6ED"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nil"/>
            </w:tcBorders>
            <w:shd w:val="clear" w:color="auto" w:fill="auto"/>
            <w:vAlign w:val="center"/>
            <w:hideMark/>
          </w:tcPr>
          <w:p w14:paraId="71E6968B"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nil"/>
            </w:tcBorders>
            <w:shd w:val="clear" w:color="auto" w:fill="auto"/>
            <w:vAlign w:val="center"/>
            <w:hideMark/>
          </w:tcPr>
          <w:p w14:paraId="362A5865"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nil"/>
            </w:tcBorders>
            <w:shd w:val="clear" w:color="auto" w:fill="auto"/>
            <w:vAlign w:val="center"/>
            <w:hideMark/>
          </w:tcPr>
          <w:p w14:paraId="118DE4F3"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nil"/>
            </w:tcBorders>
            <w:shd w:val="clear" w:color="auto" w:fill="auto"/>
            <w:vAlign w:val="center"/>
            <w:hideMark/>
          </w:tcPr>
          <w:p w14:paraId="0B94F1FB"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double" w:sz="6" w:space="0" w:color="auto"/>
            </w:tcBorders>
            <w:shd w:val="clear" w:color="auto" w:fill="auto"/>
            <w:noWrap/>
            <w:vAlign w:val="center"/>
            <w:hideMark/>
          </w:tcPr>
          <w:p w14:paraId="6C13EA65"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5C2E8EFA" w14:textId="77777777" w:rsidTr="00247CBF">
        <w:trPr>
          <w:gridAfter w:val="1"/>
          <w:wAfter w:w="10" w:type="dxa"/>
          <w:trHeight w:val="227"/>
        </w:trPr>
        <w:tc>
          <w:tcPr>
            <w:tcW w:w="6255" w:type="dxa"/>
            <w:tcBorders>
              <w:top w:val="nil"/>
              <w:left w:val="double" w:sz="6" w:space="0" w:color="auto"/>
              <w:bottom w:val="dotted" w:sz="4" w:space="0" w:color="auto"/>
              <w:right w:val="nil"/>
            </w:tcBorders>
            <w:shd w:val="clear" w:color="auto" w:fill="auto"/>
            <w:vAlign w:val="center"/>
            <w:hideMark/>
          </w:tcPr>
          <w:p w14:paraId="44ECACFA"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Прилагођавање стања и промена дуга (stock-flow adjustment)</w:t>
            </w:r>
          </w:p>
        </w:tc>
        <w:tc>
          <w:tcPr>
            <w:tcW w:w="1585" w:type="dxa"/>
            <w:tcBorders>
              <w:top w:val="nil"/>
              <w:left w:val="single" w:sz="8" w:space="0" w:color="auto"/>
              <w:bottom w:val="dotted" w:sz="4" w:space="0" w:color="auto"/>
              <w:right w:val="single" w:sz="8" w:space="0" w:color="auto"/>
            </w:tcBorders>
            <w:shd w:val="clear" w:color="auto" w:fill="auto"/>
            <w:vAlign w:val="center"/>
            <w:hideMark/>
          </w:tcPr>
          <w:p w14:paraId="46B4DA5F" w14:textId="77777777" w:rsidR="00247CBF" w:rsidRPr="00092ED7" w:rsidRDefault="00247CBF" w:rsidP="00247CBF">
            <w:pPr>
              <w:spacing w:after="0"/>
              <w:jc w:val="center"/>
              <w:rPr>
                <w:sz w:val="20"/>
                <w:szCs w:val="20"/>
                <w:lang w:val="sr-Cyrl-CS"/>
              </w:rPr>
            </w:pPr>
            <w:r w:rsidRPr="00092ED7">
              <w:rPr>
                <w:sz w:val="20"/>
                <w:szCs w:val="20"/>
                <w:lang w:val="sr-Cyrl-CS"/>
              </w:rPr>
              <w:t>млрд РСД</w:t>
            </w:r>
          </w:p>
        </w:tc>
        <w:tc>
          <w:tcPr>
            <w:tcW w:w="1120" w:type="dxa"/>
            <w:tcBorders>
              <w:top w:val="dotted" w:sz="4" w:space="0" w:color="auto"/>
              <w:left w:val="nil"/>
              <w:bottom w:val="dotted" w:sz="4" w:space="0" w:color="auto"/>
              <w:right w:val="dotted" w:sz="4" w:space="0" w:color="auto"/>
            </w:tcBorders>
            <w:shd w:val="clear" w:color="auto" w:fill="auto"/>
            <w:vAlign w:val="center"/>
            <w:hideMark/>
          </w:tcPr>
          <w:p w14:paraId="232A4967" w14:textId="77777777" w:rsidR="00247CBF" w:rsidRPr="00092ED7" w:rsidRDefault="00247CBF" w:rsidP="00247CBF">
            <w:pPr>
              <w:spacing w:after="0"/>
              <w:jc w:val="right"/>
              <w:rPr>
                <w:sz w:val="20"/>
                <w:szCs w:val="20"/>
                <w:lang w:val="sr-Cyrl-CS"/>
              </w:rPr>
            </w:pPr>
            <w:r w:rsidRPr="00092ED7">
              <w:rPr>
                <w:sz w:val="20"/>
                <w:szCs w:val="20"/>
                <w:lang w:val="sr-Cyrl-CS"/>
              </w:rPr>
              <w:t>-125,5</w:t>
            </w:r>
          </w:p>
        </w:tc>
        <w:tc>
          <w:tcPr>
            <w:tcW w:w="1120" w:type="dxa"/>
            <w:tcBorders>
              <w:top w:val="dotted" w:sz="4" w:space="0" w:color="auto"/>
              <w:left w:val="nil"/>
              <w:bottom w:val="dotted" w:sz="4" w:space="0" w:color="auto"/>
              <w:right w:val="dotted" w:sz="4" w:space="0" w:color="auto"/>
            </w:tcBorders>
            <w:shd w:val="clear" w:color="auto" w:fill="auto"/>
            <w:vAlign w:val="center"/>
            <w:hideMark/>
          </w:tcPr>
          <w:p w14:paraId="284EB48F" w14:textId="77777777" w:rsidR="00247CBF" w:rsidRPr="00092ED7" w:rsidRDefault="00247CBF" w:rsidP="00247CBF">
            <w:pPr>
              <w:spacing w:after="0"/>
              <w:jc w:val="right"/>
              <w:rPr>
                <w:sz w:val="20"/>
                <w:szCs w:val="20"/>
                <w:lang w:val="sr-Cyrl-CS"/>
              </w:rPr>
            </w:pPr>
            <w:r w:rsidRPr="00092ED7">
              <w:rPr>
                <w:sz w:val="20"/>
                <w:szCs w:val="20"/>
                <w:lang w:val="sr-Cyrl-CS"/>
              </w:rPr>
              <w:t>141,1</w:t>
            </w:r>
          </w:p>
        </w:tc>
        <w:tc>
          <w:tcPr>
            <w:tcW w:w="1120" w:type="dxa"/>
            <w:tcBorders>
              <w:top w:val="dotted" w:sz="4" w:space="0" w:color="auto"/>
              <w:left w:val="nil"/>
              <w:bottom w:val="dotted" w:sz="4" w:space="0" w:color="auto"/>
              <w:right w:val="dotted" w:sz="4" w:space="0" w:color="auto"/>
            </w:tcBorders>
            <w:shd w:val="clear" w:color="auto" w:fill="auto"/>
            <w:vAlign w:val="center"/>
            <w:hideMark/>
          </w:tcPr>
          <w:p w14:paraId="6E719801" w14:textId="77777777" w:rsidR="00247CBF" w:rsidRPr="00092ED7" w:rsidRDefault="00247CBF" w:rsidP="00247CBF">
            <w:pPr>
              <w:spacing w:after="0"/>
              <w:jc w:val="right"/>
              <w:rPr>
                <w:sz w:val="20"/>
                <w:szCs w:val="20"/>
                <w:lang w:val="sr-Cyrl-CS"/>
              </w:rPr>
            </w:pPr>
            <w:r w:rsidRPr="00092ED7">
              <w:rPr>
                <w:sz w:val="20"/>
                <w:szCs w:val="20"/>
                <w:lang w:val="sr-Cyrl-CS"/>
              </w:rPr>
              <w:t>177,3</w:t>
            </w:r>
          </w:p>
        </w:tc>
        <w:tc>
          <w:tcPr>
            <w:tcW w:w="1120" w:type="dxa"/>
            <w:tcBorders>
              <w:top w:val="dotted" w:sz="4" w:space="0" w:color="auto"/>
              <w:left w:val="nil"/>
              <w:bottom w:val="dotted" w:sz="4" w:space="0" w:color="auto"/>
              <w:right w:val="dotted" w:sz="4" w:space="0" w:color="auto"/>
            </w:tcBorders>
            <w:shd w:val="clear" w:color="auto" w:fill="auto"/>
            <w:vAlign w:val="center"/>
            <w:hideMark/>
          </w:tcPr>
          <w:p w14:paraId="16E15833" w14:textId="77777777" w:rsidR="00247CBF" w:rsidRPr="00092ED7" w:rsidRDefault="00247CBF" w:rsidP="00247CBF">
            <w:pPr>
              <w:spacing w:after="0"/>
              <w:jc w:val="right"/>
              <w:rPr>
                <w:sz w:val="20"/>
                <w:szCs w:val="20"/>
                <w:lang w:val="sr-Cyrl-CS"/>
              </w:rPr>
            </w:pPr>
            <w:r w:rsidRPr="00092ED7">
              <w:rPr>
                <w:sz w:val="20"/>
                <w:szCs w:val="20"/>
                <w:lang w:val="sr-Cyrl-CS"/>
              </w:rPr>
              <w:t>204,7</w:t>
            </w:r>
          </w:p>
        </w:tc>
        <w:tc>
          <w:tcPr>
            <w:tcW w:w="1120" w:type="dxa"/>
            <w:tcBorders>
              <w:top w:val="dotted" w:sz="4" w:space="0" w:color="auto"/>
              <w:left w:val="nil"/>
              <w:bottom w:val="dotted" w:sz="4" w:space="0" w:color="auto"/>
              <w:right w:val="dotted" w:sz="4" w:space="0" w:color="auto"/>
            </w:tcBorders>
            <w:shd w:val="clear" w:color="auto" w:fill="auto"/>
            <w:vAlign w:val="center"/>
            <w:hideMark/>
          </w:tcPr>
          <w:p w14:paraId="5E015D7D" w14:textId="77777777" w:rsidR="00247CBF" w:rsidRPr="00092ED7" w:rsidRDefault="00247CBF" w:rsidP="00247CBF">
            <w:pPr>
              <w:spacing w:after="0"/>
              <w:jc w:val="right"/>
              <w:rPr>
                <w:sz w:val="20"/>
                <w:szCs w:val="20"/>
                <w:lang w:val="sr-Cyrl-CS"/>
              </w:rPr>
            </w:pPr>
            <w:r w:rsidRPr="00092ED7">
              <w:rPr>
                <w:sz w:val="20"/>
                <w:szCs w:val="20"/>
                <w:lang w:val="sr-Cyrl-CS"/>
              </w:rPr>
              <w:t>144,2</w:t>
            </w:r>
          </w:p>
        </w:tc>
        <w:tc>
          <w:tcPr>
            <w:tcW w:w="1120" w:type="dxa"/>
            <w:tcBorders>
              <w:top w:val="nil"/>
              <w:left w:val="nil"/>
              <w:bottom w:val="dotted" w:sz="4" w:space="0" w:color="auto"/>
              <w:right w:val="double" w:sz="6" w:space="0" w:color="auto"/>
            </w:tcBorders>
            <w:shd w:val="clear" w:color="auto" w:fill="auto"/>
            <w:vAlign w:val="center"/>
            <w:hideMark/>
          </w:tcPr>
          <w:p w14:paraId="756C70C1" w14:textId="77777777" w:rsidR="00247CBF" w:rsidRPr="00092ED7" w:rsidRDefault="00247CBF" w:rsidP="00247CBF">
            <w:pPr>
              <w:spacing w:after="0"/>
              <w:jc w:val="right"/>
              <w:rPr>
                <w:sz w:val="20"/>
                <w:szCs w:val="20"/>
                <w:lang w:val="sr-Cyrl-CS"/>
              </w:rPr>
            </w:pPr>
            <w:r w:rsidRPr="00092ED7">
              <w:rPr>
                <w:sz w:val="20"/>
                <w:szCs w:val="20"/>
                <w:lang w:val="sr-Cyrl-CS"/>
              </w:rPr>
              <w:t>174,3</w:t>
            </w:r>
          </w:p>
        </w:tc>
      </w:tr>
      <w:tr w:rsidR="00247CBF" w:rsidRPr="00092ED7" w14:paraId="58BB95BF" w14:textId="77777777" w:rsidTr="00247CBF">
        <w:trPr>
          <w:gridAfter w:val="1"/>
          <w:wAfter w:w="10" w:type="dxa"/>
          <w:trHeight w:val="227"/>
        </w:trPr>
        <w:tc>
          <w:tcPr>
            <w:tcW w:w="6255" w:type="dxa"/>
            <w:tcBorders>
              <w:top w:val="nil"/>
              <w:left w:val="double" w:sz="6" w:space="0" w:color="auto"/>
              <w:bottom w:val="dotted" w:sz="4" w:space="0" w:color="auto"/>
              <w:right w:val="nil"/>
            </w:tcBorders>
            <w:shd w:val="clear" w:color="auto" w:fill="auto"/>
            <w:vAlign w:val="center"/>
            <w:hideMark/>
          </w:tcPr>
          <w:p w14:paraId="012FF832" w14:textId="77777777" w:rsidR="00247CBF" w:rsidRPr="00092ED7" w:rsidRDefault="00247CBF" w:rsidP="00247CBF">
            <w:pPr>
              <w:spacing w:after="0"/>
              <w:jc w:val="left"/>
              <w:rPr>
                <w:rFonts w:eastAsia="Times New Roman" w:cs="Times New Roman"/>
                <w:i/>
                <w:iCs/>
                <w:sz w:val="20"/>
                <w:szCs w:val="20"/>
                <w:lang w:val="sr-Cyrl-CS"/>
              </w:rPr>
            </w:pPr>
            <w:r w:rsidRPr="00092ED7">
              <w:rPr>
                <w:rFonts w:eastAsia="Times New Roman" w:cs="Times New Roman"/>
                <w:i/>
                <w:iCs/>
                <w:sz w:val="20"/>
                <w:szCs w:val="20"/>
                <w:lang w:val="sr-Cyrl-CS"/>
              </w:rPr>
              <w:t>од чега:</w:t>
            </w:r>
          </w:p>
        </w:tc>
        <w:tc>
          <w:tcPr>
            <w:tcW w:w="1585" w:type="dxa"/>
            <w:tcBorders>
              <w:top w:val="nil"/>
              <w:left w:val="single" w:sz="8" w:space="0" w:color="auto"/>
              <w:bottom w:val="dotted" w:sz="4" w:space="0" w:color="auto"/>
              <w:right w:val="single" w:sz="8" w:space="0" w:color="auto"/>
            </w:tcBorders>
            <w:shd w:val="clear" w:color="auto" w:fill="auto"/>
            <w:vAlign w:val="center"/>
            <w:hideMark/>
          </w:tcPr>
          <w:p w14:paraId="285154CE" w14:textId="77777777" w:rsidR="00247CBF" w:rsidRPr="00092ED7" w:rsidRDefault="00247CBF" w:rsidP="00247CBF">
            <w:pPr>
              <w:spacing w:after="0"/>
              <w:jc w:val="center"/>
              <w:rPr>
                <w:sz w:val="20"/>
                <w:szCs w:val="20"/>
                <w:lang w:val="sr-Cyrl-CS"/>
              </w:rPr>
            </w:pPr>
          </w:p>
        </w:tc>
        <w:tc>
          <w:tcPr>
            <w:tcW w:w="1120" w:type="dxa"/>
            <w:tcBorders>
              <w:top w:val="nil"/>
              <w:left w:val="nil"/>
              <w:bottom w:val="dotted" w:sz="4" w:space="0" w:color="auto"/>
              <w:right w:val="dotted" w:sz="4" w:space="0" w:color="auto"/>
            </w:tcBorders>
            <w:shd w:val="clear" w:color="auto" w:fill="auto"/>
            <w:vAlign w:val="center"/>
            <w:hideMark/>
          </w:tcPr>
          <w:p w14:paraId="532F36F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555D1FD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709BB620"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20A6D1D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3ACD6526"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uble" w:sz="6" w:space="0" w:color="auto"/>
            </w:tcBorders>
            <w:shd w:val="clear" w:color="auto" w:fill="auto"/>
            <w:noWrap/>
            <w:vAlign w:val="center"/>
            <w:hideMark/>
          </w:tcPr>
          <w:p w14:paraId="74AE2B2F"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43A9EFC9" w14:textId="77777777" w:rsidTr="00247CBF">
        <w:trPr>
          <w:gridAfter w:val="1"/>
          <w:wAfter w:w="10" w:type="dxa"/>
          <w:trHeight w:val="227"/>
        </w:trPr>
        <w:tc>
          <w:tcPr>
            <w:tcW w:w="6255" w:type="dxa"/>
            <w:tcBorders>
              <w:top w:val="nil"/>
              <w:left w:val="double" w:sz="6" w:space="0" w:color="auto"/>
              <w:bottom w:val="dotted" w:sz="4" w:space="0" w:color="auto"/>
              <w:right w:val="nil"/>
            </w:tcBorders>
            <w:shd w:val="clear" w:color="auto" w:fill="auto"/>
            <w:vAlign w:val="center"/>
            <w:hideMark/>
          </w:tcPr>
          <w:p w14:paraId="2F6C9AFA"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 Разлике између готовинске и обрачунске основе (4)</w:t>
            </w:r>
          </w:p>
        </w:tc>
        <w:tc>
          <w:tcPr>
            <w:tcW w:w="1585" w:type="dxa"/>
            <w:tcBorders>
              <w:top w:val="nil"/>
              <w:left w:val="single" w:sz="8" w:space="0" w:color="auto"/>
              <w:bottom w:val="dotted" w:sz="4" w:space="0" w:color="auto"/>
              <w:right w:val="single" w:sz="8" w:space="0" w:color="auto"/>
            </w:tcBorders>
            <w:shd w:val="clear" w:color="auto" w:fill="auto"/>
            <w:vAlign w:val="center"/>
            <w:hideMark/>
          </w:tcPr>
          <w:p w14:paraId="74823372" w14:textId="77777777" w:rsidR="00247CBF" w:rsidRPr="00092ED7" w:rsidRDefault="00247CBF" w:rsidP="00247CBF">
            <w:pPr>
              <w:spacing w:after="0"/>
              <w:jc w:val="center"/>
              <w:rPr>
                <w:sz w:val="20"/>
                <w:szCs w:val="20"/>
                <w:lang w:val="sr-Cyrl-CS"/>
              </w:rPr>
            </w:pPr>
            <w:r w:rsidRPr="00092ED7">
              <w:rPr>
                <w:sz w:val="20"/>
                <w:szCs w:val="20"/>
                <w:lang w:val="sr-Cyrl-CS"/>
              </w:rPr>
              <w:t>млрд РСД</w:t>
            </w:r>
          </w:p>
        </w:tc>
        <w:tc>
          <w:tcPr>
            <w:tcW w:w="1120" w:type="dxa"/>
            <w:tcBorders>
              <w:top w:val="nil"/>
              <w:left w:val="nil"/>
              <w:bottom w:val="dotted" w:sz="4" w:space="0" w:color="auto"/>
              <w:right w:val="dotted" w:sz="4" w:space="0" w:color="auto"/>
            </w:tcBorders>
            <w:shd w:val="clear" w:color="auto" w:fill="auto"/>
            <w:vAlign w:val="center"/>
            <w:hideMark/>
          </w:tcPr>
          <w:p w14:paraId="41FC995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1292B0D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2096D79D"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55DA5BA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34FB09A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uble" w:sz="6" w:space="0" w:color="auto"/>
            </w:tcBorders>
            <w:shd w:val="clear" w:color="auto" w:fill="auto"/>
            <w:noWrap/>
            <w:vAlign w:val="center"/>
            <w:hideMark/>
          </w:tcPr>
          <w:p w14:paraId="1DAE52C4"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070112DF" w14:textId="77777777" w:rsidTr="00247CBF">
        <w:trPr>
          <w:gridAfter w:val="1"/>
          <w:wAfter w:w="10" w:type="dxa"/>
          <w:trHeight w:val="227"/>
        </w:trPr>
        <w:tc>
          <w:tcPr>
            <w:tcW w:w="6255" w:type="dxa"/>
            <w:tcBorders>
              <w:top w:val="nil"/>
              <w:left w:val="double" w:sz="6" w:space="0" w:color="auto"/>
              <w:bottom w:val="nil"/>
              <w:right w:val="single" w:sz="8" w:space="0" w:color="auto"/>
            </w:tcBorders>
            <w:shd w:val="clear" w:color="auto" w:fill="auto"/>
            <w:noWrap/>
            <w:vAlign w:val="center"/>
            <w:hideMark/>
          </w:tcPr>
          <w:p w14:paraId="6960CFE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 Нето акумулација финансијских средстава (5)</w:t>
            </w:r>
          </w:p>
        </w:tc>
        <w:tc>
          <w:tcPr>
            <w:tcW w:w="1585" w:type="dxa"/>
            <w:tcBorders>
              <w:top w:val="nil"/>
              <w:left w:val="nil"/>
              <w:bottom w:val="dotted" w:sz="4" w:space="0" w:color="auto"/>
              <w:right w:val="single" w:sz="8" w:space="0" w:color="auto"/>
            </w:tcBorders>
            <w:shd w:val="clear" w:color="auto" w:fill="auto"/>
            <w:vAlign w:val="center"/>
            <w:hideMark/>
          </w:tcPr>
          <w:p w14:paraId="4214C19C" w14:textId="77777777" w:rsidR="00247CBF" w:rsidRPr="00092ED7" w:rsidRDefault="00247CBF" w:rsidP="00247CBF">
            <w:pPr>
              <w:spacing w:after="0"/>
              <w:jc w:val="center"/>
              <w:rPr>
                <w:sz w:val="20"/>
                <w:szCs w:val="20"/>
                <w:lang w:val="sr-Cyrl-CS"/>
              </w:rPr>
            </w:pPr>
            <w:r w:rsidRPr="00092ED7">
              <w:rPr>
                <w:sz w:val="20"/>
                <w:szCs w:val="20"/>
                <w:lang w:val="sr-Cyrl-CS"/>
              </w:rPr>
              <w:t>млрд РСД</w:t>
            </w:r>
          </w:p>
        </w:tc>
        <w:tc>
          <w:tcPr>
            <w:tcW w:w="1120" w:type="dxa"/>
            <w:tcBorders>
              <w:top w:val="nil"/>
              <w:left w:val="nil"/>
              <w:bottom w:val="dotted" w:sz="4" w:space="0" w:color="auto"/>
              <w:right w:val="dotted" w:sz="4" w:space="0" w:color="auto"/>
            </w:tcBorders>
            <w:shd w:val="clear" w:color="auto" w:fill="auto"/>
            <w:vAlign w:val="center"/>
            <w:hideMark/>
          </w:tcPr>
          <w:p w14:paraId="31545EB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0CC201D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09CDAF3D"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32C85CA0"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4B96391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uble" w:sz="6" w:space="0" w:color="auto"/>
            </w:tcBorders>
            <w:shd w:val="clear" w:color="auto" w:fill="auto"/>
            <w:noWrap/>
            <w:vAlign w:val="center"/>
            <w:hideMark/>
          </w:tcPr>
          <w:p w14:paraId="5D18444D"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215627C1" w14:textId="77777777" w:rsidTr="00247CBF">
        <w:trPr>
          <w:gridAfter w:val="1"/>
          <w:wAfter w:w="10" w:type="dxa"/>
          <w:trHeight w:val="227"/>
        </w:trPr>
        <w:tc>
          <w:tcPr>
            <w:tcW w:w="6255" w:type="dxa"/>
            <w:tcBorders>
              <w:top w:val="dotted" w:sz="4" w:space="0" w:color="auto"/>
              <w:left w:val="double" w:sz="6" w:space="0" w:color="auto"/>
              <w:bottom w:val="dotted" w:sz="4" w:space="0" w:color="auto"/>
              <w:right w:val="single" w:sz="8" w:space="0" w:color="auto"/>
            </w:tcBorders>
            <w:shd w:val="clear" w:color="auto" w:fill="auto"/>
            <w:vAlign w:val="center"/>
            <w:hideMark/>
          </w:tcPr>
          <w:p w14:paraId="4F3DA0C5" w14:textId="77777777" w:rsidR="00247CBF" w:rsidRPr="00092ED7" w:rsidRDefault="00247CBF" w:rsidP="00247CBF">
            <w:pPr>
              <w:spacing w:after="0"/>
              <w:jc w:val="left"/>
              <w:rPr>
                <w:rFonts w:eastAsia="Times New Roman" w:cs="Times New Roman"/>
                <w:i/>
                <w:iCs/>
                <w:sz w:val="20"/>
                <w:szCs w:val="20"/>
                <w:lang w:val="sr-Cyrl-CS"/>
              </w:rPr>
            </w:pPr>
            <w:r w:rsidRPr="00092ED7">
              <w:rPr>
                <w:rFonts w:eastAsia="Times New Roman" w:cs="Times New Roman"/>
                <w:i/>
                <w:iCs/>
                <w:sz w:val="20"/>
                <w:szCs w:val="20"/>
                <w:lang w:val="sr-Cyrl-CS"/>
              </w:rPr>
              <w:t>од чега:</w:t>
            </w:r>
          </w:p>
        </w:tc>
        <w:tc>
          <w:tcPr>
            <w:tcW w:w="1585" w:type="dxa"/>
            <w:tcBorders>
              <w:top w:val="nil"/>
              <w:left w:val="nil"/>
              <w:bottom w:val="dotted" w:sz="4" w:space="0" w:color="auto"/>
              <w:right w:val="single" w:sz="8" w:space="0" w:color="auto"/>
            </w:tcBorders>
            <w:shd w:val="clear" w:color="auto" w:fill="auto"/>
            <w:vAlign w:val="center"/>
            <w:hideMark/>
          </w:tcPr>
          <w:p w14:paraId="0A4D8268" w14:textId="77777777" w:rsidR="00247CBF" w:rsidRPr="00092ED7" w:rsidRDefault="00247CBF" w:rsidP="00247CBF">
            <w:pPr>
              <w:spacing w:after="0"/>
              <w:jc w:val="center"/>
              <w:rPr>
                <w:sz w:val="20"/>
                <w:szCs w:val="20"/>
                <w:lang w:val="sr-Cyrl-CS"/>
              </w:rPr>
            </w:pPr>
          </w:p>
        </w:tc>
        <w:tc>
          <w:tcPr>
            <w:tcW w:w="1120" w:type="dxa"/>
            <w:tcBorders>
              <w:top w:val="nil"/>
              <w:left w:val="nil"/>
              <w:bottom w:val="dotted" w:sz="4" w:space="0" w:color="auto"/>
              <w:right w:val="dotted" w:sz="4" w:space="0" w:color="auto"/>
            </w:tcBorders>
            <w:shd w:val="clear" w:color="auto" w:fill="auto"/>
            <w:vAlign w:val="center"/>
            <w:hideMark/>
          </w:tcPr>
          <w:p w14:paraId="5A90854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7555E92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7BDE80BD"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21FDD15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2155BC9F"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uble" w:sz="6" w:space="0" w:color="auto"/>
            </w:tcBorders>
            <w:shd w:val="clear" w:color="auto" w:fill="auto"/>
            <w:noWrap/>
            <w:vAlign w:val="center"/>
            <w:hideMark/>
          </w:tcPr>
          <w:p w14:paraId="7131DF73"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0910AB93" w14:textId="77777777" w:rsidTr="00247CBF">
        <w:trPr>
          <w:gridAfter w:val="1"/>
          <w:wAfter w:w="10" w:type="dxa"/>
          <w:trHeight w:val="227"/>
        </w:trPr>
        <w:tc>
          <w:tcPr>
            <w:tcW w:w="6255" w:type="dxa"/>
            <w:tcBorders>
              <w:top w:val="nil"/>
              <w:left w:val="double" w:sz="6" w:space="0" w:color="auto"/>
              <w:bottom w:val="dotted" w:sz="4" w:space="0" w:color="auto"/>
              <w:right w:val="single" w:sz="8" w:space="0" w:color="auto"/>
            </w:tcBorders>
            <w:shd w:val="clear" w:color="auto" w:fill="auto"/>
            <w:vAlign w:val="center"/>
            <w:hideMark/>
          </w:tcPr>
          <w:p w14:paraId="013FDD0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 Приходи од приватизације</w:t>
            </w:r>
          </w:p>
        </w:tc>
        <w:tc>
          <w:tcPr>
            <w:tcW w:w="1585" w:type="dxa"/>
            <w:tcBorders>
              <w:top w:val="nil"/>
              <w:left w:val="nil"/>
              <w:bottom w:val="dotted" w:sz="4" w:space="0" w:color="auto"/>
              <w:right w:val="single" w:sz="8" w:space="0" w:color="auto"/>
            </w:tcBorders>
            <w:shd w:val="clear" w:color="auto" w:fill="auto"/>
            <w:vAlign w:val="center"/>
            <w:hideMark/>
          </w:tcPr>
          <w:p w14:paraId="0A0EF4B7" w14:textId="77777777" w:rsidR="00247CBF" w:rsidRPr="00092ED7" w:rsidRDefault="00247CBF" w:rsidP="00247CBF">
            <w:pPr>
              <w:spacing w:after="0"/>
              <w:jc w:val="center"/>
              <w:rPr>
                <w:sz w:val="20"/>
                <w:szCs w:val="20"/>
                <w:lang w:val="sr-Cyrl-CS"/>
              </w:rPr>
            </w:pPr>
            <w:r w:rsidRPr="00092ED7">
              <w:rPr>
                <w:sz w:val="20"/>
                <w:szCs w:val="20"/>
                <w:lang w:val="sr-Cyrl-CS"/>
              </w:rPr>
              <w:t>млрд РСД</w:t>
            </w:r>
          </w:p>
        </w:tc>
        <w:tc>
          <w:tcPr>
            <w:tcW w:w="1120" w:type="dxa"/>
            <w:tcBorders>
              <w:top w:val="nil"/>
              <w:left w:val="nil"/>
              <w:bottom w:val="dotted" w:sz="4" w:space="0" w:color="auto"/>
              <w:right w:val="dotted" w:sz="4" w:space="0" w:color="auto"/>
            </w:tcBorders>
            <w:shd w:val="clear" w:color="auto" w:fill="auto"/>
            <w:vAlign w:val="center"/>
            <w:hideMark/>
          </w:tcPr>
          <w:p w14:paraId="7ACED98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6C7C45E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7693A5E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1951A003"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6B745300"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uble" w:sz="6" w:space="0" w:color="auto"/>
            </w:tcBorders>
            <w:shd w:val="clear" w:color="auto" w:fill="auto"/>
            <w:noWrap/>
            <w:vAlign w:val="center"/>
            <w:hideMark/>
          </w:tcPr>
          <w:p w14:paraId="68A124E1"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793BD6D7" w14:textId="77777777" w:rsidTr="00247CBF">
        <w:trPr>
          <w:gridAfter w:val="1"/>
          <w:wAfter w:w="10" w:type="dxa"/>
          <w:trHeight w:val="227"/>
        </w:trPr>
        <w:tc>
          <w:tcPr>
            <w:tcW w:w="6255" w:type="dxa"/>
            <w:tcBorders>
              <w:top w:val="nil"/>
              <w:left w:val="double" w:sz="6" w:space="0" w:color="auto"/>
              <w:bottom w:val="single" w:sz="4" w:space="0" w:color="auto"/>
              <w:right w:val="single" w:sz="8" w:space="0" w:color="auto"/>
            </w:tcBorders>
            <w:shd w:val="clear" w:color="auto" w:fill="auto"/>
            <w:noWrap/>
            <w:vAlign w:val="center"/>
            <w:hideMark/>
          </w:tcPr>
          <w:p w14:paraId="5F92E61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 Ефекти вредновања и др. (6)</w:t>
            </w:r>
          </w:p>
        </w:tc>
        <w:tc>
          <w:tcPr>
            <w:tcW w:w="1585" w:type="dxa"/>
            <w:tcBorders>
              <w:top w:val="nil"/>
              <w:left w:val="nil"/>
              <w:bottom w:val="dotted" w:sz="4" w:space="0" w:color="auto"/>
              <w:right w:val="single" w:sz="8" w:space="0" w:color="auto"/>
            </w:tcBorders>
            <w:shd w:val="clear" w:color="auto" w:fill="auto"/>
            <w:vAlign w:val="center"/>
            <w:hideMark/>
          </w:tcPr>
          <w:p w14:paraId="2191E955" w14:textId="77777777" w:rsidR="00247CBF" w:rsidRPr="00092ED7" w:rsidRDefault="00247CBF" w:rsidP="00247CBF">
            <w:pPr>
              <w:spacing w:after="0"/>
              <w:jc w:val="center"/>
              <w:rPr>
                <w:sz w:val="20"/>
                <w:szCs w:val="20"/>
                <w:lang w:val="sr-Cyrl-CS"/>
              </w:rPr>
            </w:pPr>
            <w:r w:rsidRPr="00092ED7">
              <w:rPr>
                <w:sz w:val="20"/>
                <w:szCs w:val="20"/>
                <w:lang w:val="sr-Cyrl-CS"/>
              </w:rPr>
              <w:t>млрд РСД</w:t>
            </w:r>
          </w:p>
        </w:tc>
        <w:tc>
          <w:tcPr>
            <w:tcW w:w="1120" w:type="dxa"/>
            <w:tcBorders>
              <w:top w:val="nil"/>
              <w:left w:val="nil"/>
              <w:bottom w:val="single" w:sz="4" w:space="0" w:color="auto"/>
              <w:right w:val="dotted" w:sz="4" w:space="0" w:color="auto"/>
            </w:tcBorders>
            <w:shd w:val="clear" w:color="auto" w:fill="auto"/>
            <w:vAlign w:val="center"/>
            <w:hideMark/>
          </w:tcPr>
          <w:p w14:paraId="75B127B6"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single" w:sz="4" w:space="0" w:color="auto"/>
              <w:right w:val="dotted" w:sz="4" w:space="0" w:color="auto"/>
            </w:tcBorders>
            <w:shd w:val="clear" w:color="auto" w:fill="auto"/>
            <w:vAlign w:val="center"/>
            <w:hideMark/>
          </w:tcPr>
          <w:p w14:paraId="284D560C"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single" w:sz="4" w:space="0" w:color="auto"/>
              <w:right w:val="dotted" w:sz="4" w:space="0" w:color="auto"/>
            </w:tcBorders>
            <w:shd w:val="clear" w:color="auto" w:fill="auto"/>
            <w:vAlign w:val="center"/>
            <w:hideMark/>
          </w:tcPr>
          <w:p w14:paraId="39EAD79C"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single" w:sz="4" w:space="0" w:color="auto"/>
              <w:right w:val="dotted" w:sz="4" w:space="0" w:color="auto"/>
            </w:tcBorders>
            <w:shd w:val="clear" w:color="auto" w:fill="auto"/>
            <w:vAlign w:val="center"/>
            <w:hideMark/>
          </w:tcPr>
          <w:p w14:paraId="015E5FE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single" w:sz="4" w:space="0" w:color="auto"/>
              <w:right w:val="dotted" w:sz="4" w:space="0" w:color="auto"/>
            </w:tcBorders>
            <w:shd w:val="clear" w:color="auto" w:fill="auto"/>
            <w:vAlign w:val="center"/>
            <w:hideMark/>
          </w:tcPr>
          <w:p w14:paraId="1C92E24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single" w:sz="4" w:space="0" w:color="auto"/>
              <w:right w:val="double" w:sz="6" w:space="0" w:color="auto"/>
            </w:tcBorders>
            <w:shd w:val="clear" w:color="auto" w:fill="auto"/>
            <w:noWrap/>
            <w:vAlign w:val="center"/>
            <w:hideMark/>
          </w:tcPr>
          <w:p w14:paraId="49FFE688"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4A654578" w14:textId="77777777" w:rsidTr="00247CBF">
        <w:trPr>
          <w:gridAfter w:val="1"/>
          <w:wAfter w:w="10" w:type="dxa"/>
          <w:trHeight w:val="227"/>
        </w:trPr>
        <w:tc>
          <w:tcPr>
            <w:tcW w:w="6255" w:type="dxa"/>
            <w:tcBorders>
              <w:top w:val="nil"/>
              <w:left w:val="double" w:sz="6" w:space="0" w:color="auto"/>
              <w:bottom w:val="single" w:sz="4" w:space="0" w:color="auto"/>
              <w:right w:val="nil"/>
            </w:tcBorders>
            <w:shd w:val="clear" w:color="auto" w:fill="auto"/>
            <w:vAlign w:val="center"/>
            <w:hideMark/>
          </w:tcPr>
          <w:p w14:paraId="07AE0021"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Остале релевантне променљиве</w:t>
            </w:r>
          </w:p>
        </w:tc>
        <w:tc>
          <w:tcPr>
            <w:tcW w:w="158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9479594" w14:textId="77777777" w:rsidR="00247CBF" w:rsidRPr="00092ED7" w:rsidRDefault="00247CBF" w:rsidP="00247CBF">
            <w:pPr>
              <w:spacing w:after="0"/>
              <w:jc w:val="center"/>
              <w:rPr>
                <w:b/>
                <w:bCs/>
                <w:sz w:val="20"/>
                <w:szCs w:val="20"/>
                <w:lang w:val="sr-Cyrl-CS"/>
              </w:rPr>
            </w:pPr>
          </w:p>
        </w:tc>
        <w:tc>
          <w:tcPr>
            <w:tcW w:w="1120" w:type="dxa"/>
            <w:tcBorders>
              <w:top w:val="nil"/>
              <w:left w:val="nil"/>
              <w:bottom w:val="single" w:sz="4" w:space="0" w:color="auto"/>
              <w:right w:val="nil"/>
            </w:tcBorders>
            <w:shd w:val="clear" w:color="auto" w:fill="auto"/>
            <w:vAlign w:val="center"/>
            <w:hideMark/>
          </w:tcPr>
          <w:p w14:paraId="0A423353"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nil"/>
            </w:tcBorders>
            <w:shd w:val="clear" w:color="auto" w:fill="auto"/>
            <w:vAlign w:val="center"/>
            <w:hideMark/>
          </w:tcPr>
          <w:p w14:paraId="28B7A17D"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nil"/>
            </w:tcBorders>
            <w:shd w:val="clear" w:color="auto" w:fill="auto"/>
            <w:vAlign w:val="center"/>
            <w:hideMark/>
          </w:tcPr>
          <w:p w14:paraId="27BB03F1"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nil"/>
            </w:tcBorders>
            <w:shd w:val="clear" w:color="auto" w:fill="auto"/>
            <w:vAlign w:val="center"/>
            <w:hideMark/>
          </w:tcPr>
          <w:p w14:paraId="4C92EB9F"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nil"/>
            </w:tcBorders>
            <w:shd w:val="clear" w:color="auto" w:fill="auto"/>
            <w:vAlign w:val="center"/>
            <w:hideMark/>
          </w:tcPr>
          <w:p w14:paraId="3B662002"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double" w:sz="6" w:space="0" w:color="auto"/>
            </w:tcBorders>
            <w:shd w:val="clear" w:color="auto" w:fill="auto"/>
            <w:noWrap/>
            <w:vAlign w:val="center"/>
            <w:hideMark/>
          </w:tcPr>
          <w:p w14:paraId="57E6C01F"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5A9E78C8" w14:textId="77777777" w:rsidTr="00247CBF">
        <w:trPr>
          <w:gridAfter w:val="1"/>
          <w:wAfter w:w="10" w:type="dxa"/>
          <w:trHeight w:val="227"/>
        </w:trPr>
        <w:tc>
          <w:tcPr>
            <w:tcW w:w="6255" w:type="dxa"/>
            <w:tcBorders>
              <w:top w:val="nil"/>
              <w:left w:val="double" w:sz="6" w:space="0" w:color="auto"/>
              <w:bottom w:val="double" w:sz="6" w:space="0" w:color="auto"/>
              <w:right w:val="single" w:sz="8" w:space="0" w:color="auto"/>
            </w:tcBorders>
            <w:shd w:val="clear" w:color="auto" w:fill="auto"/>
            <w:noWrap/>
            <w:vAlign w:val="center"/>
            <w:hideMark/>
          </w:tcPr>
          <w:p w14:paraId="2A26EF20" w14:textId="77777777" w:rsidR="00247CBF" w:rsidRPr="00092ED7" w:rsidRDefault="00000000" w:rsidP="00247CBF">
            <w:pPr>
              <w:spacing w:after="0"/>
              <w:jc w:val="left"/>
              <w:rPr>
                <w:rFonts w:eastAsia="Times New Roman" w:cs="Times New Roman"/>
                <w:sz w:val="20"/>
                <w:szCs w:val="20"/>
                <w:lang w:val="sr-Cyrl-CS"/>
              </w:rPr>
            </w:pPr>
            <w:hyperlink r:id="rId57" w:anchor="RANGE!B179" w:history="1">
              <w:r w:rsidR="00247CBF" w:rsidRPr="00092ED7">
                <w:rPr>
                  <w:rFonts w:eastAsia="Times New Roman" w:cs="Times New Roman"/>
                  <w:sz w:val="20"/>
                  <w:szCs w:val="20"/>
                  <w:lang w:val="sr-Cyrl-CS"/>
                </w:rPr>
                <w:t>6. Ликвидна финансијска средства (8)</w:t>
              </w:r>
            </w:hyperlink>
          </w:p>
        </w:tc>
        <w:tc>
          <w:tcPr>
            <w:tcW w:w="1585" w:type="dxa"/>
            <w:tcBorders>
              <w:top w:val="nil"/>
              <w:left w:val="nil"/>
              <w:bottom w:val="double" w:sz="6" w:space="0" w:color="auto"/>
              <w:right w:val="single" w:sz="8" w:space="0" w:color="auto"/>
            </w:tcBorders>
            <w:shd w:val="clear" w:color="auto" w:fill="auto"/>
            <w:vAlign w:val="center"/>
            <w:hideMark/>
          </w:tcPr>
          <w:p w14:paraId="32B072FF" w14:textId="77777777" w:rsidR="00247CBF" w:rsidRPr="00092ED7" w:rsidRDefault="00247CBF" w:rsidP="00247CBF">
            <w:pPr>
              <w:spacing w:after="0"/>
              <w:jc w:val="center"/>
              <w:rPr>
                <w:sz w:val="20"/>
                <w:szCs w:val="20"/>
                <w:lang w:val="sr-Cyrl-CS"/>
              </w:rPr>
            </w:pPr>
            <w:r w:rsidRPr="00092ED7">
              <w:rPr>
                <w:sz w:val="20"/>
                <w:szCs w:val="20"/>
                <w:lang w:val="sr-Cyrl-CS"/>
              </w:rPr>
              <w:t>млрд РСД</w:t>
            </w:r>
          </w:p>
        </w:tc>
        <w:tc>
          <w:tcPr>
            <w:tcW w:w="1120" w:type="dxa"/>
            <w:tcBorders>
              <w:top w:val="nil"/>
              <w:left w:val="nil"/>
              <w:bottom w:val="double" w:sz="6" w:space="0" w:color="auto"/>
              <w:right w:val="dotted" w:sz="4" w:space="0" w:color="auto"/>
            </w:tcBorders>
            <w:shd w:val="clear" w:color="auto" w:fill="auto"/>
            <w:vAlign w:val="center"/>
            <w:hideMark/>
          </w:tcPr>
          <w:p w14:paraId="3638685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uble" w:sz="6" w:space="0" w:color="auto"/>
              <w:right w:val="dotted" w:sz="4" w:space="0" w:color="auto"/>
            </w:tcBorders>
            <w:shd w:val="clear" w:color="auto" w:fill="auto"/>
            <w:vAlign w:val="center"/>
            <w:hideMark/>
          </w:tcPr>
          <w:p w14:paraId="2D07CB4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uble" w:sz="6" w:space="0" w:color="auto"/>
              <w:right w:val="dotted" w:sz="4" w:space="0" w:color="auto"/>
            </w:tcBorders>
            <w:shd w:val="clear" w:color="auto" w:fill="auto"/>
            <w:vAlign w:val="center"/>
            <w:hideMark/>
          </w:tcPr>
          <w:p w14:paraId="1F0EAF20"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uble" w:sz="6" w:space="0" w:color="auto"/>
              <w:right w:val="dotted" w:sz="4" w:space="0" w:color="auto"/>
            </w:tcBorders>
            <w:shd w:val="clear" w:color="auto" w:fill="auto"/>
            <w:vAlign w:val="center"/>
            <w:hideMark/>
          </w:tcPr>
          <w:p w14:paraId="11611EE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uble" w:sz="6" w:space="0" w:color="auto"/>
              <w:right w:val="dotted" w:sz="4" w:space="0" w:color="auto"/>
            </w:tcBorders>
            <w:shd w:val="clear" w:color="auto" w:fill="auto"/>
            <w:vAlign w:val="center"/>
            <w:hideMark/>
          </w:tcPr>
          <w:p w14:paraId="55EBCB00"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uble" w:sz="6" w:space="0" w:color="auto"/>
              <w:right w:val="double" w:sz="6" w:space="0" w:color="auto"/>
            </w:tcBorders>
            <w:shd w:val="clear" w:color="auto" w:fill="auto"/>
            <w:noWrap/>
            <w:vAlign w:val="center"/>
            <w:hideMark/>
          </w:tcPr>
          <w:p w14:paraId="51D7B097"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2E3D08F2" w14:textId="77777777" w:rsidTr="00247CBF">
        <w:trPr>
          <w:gridAfter w:val="1"/>
          <w:wAfter w:w="10" w:type="dxa"/>
          <w:trHeight w:val="199"/>
        </w:trPr>
        <w:tc>
          <w:tcPr>
            <w:tcW w:w="6255" w:type="dxa"/>
            <w:tcBorders>
              <w:top w:val="nil"/>
              <w:left w:val="nil"/>
              <w:bottom w:val="nil"/>
              <w:right w:val="nil"/>
            </w:tcBorders>
            <w:shd w:val="clear" w:color="000000" w:fill="FFFFFF"/>
            <w:noWrap/>
            <w:vAlign w:val="center"/>
            <w:hideMark/>
          </w:tcPr>
          <w:p w14:paraId="0C8C6807"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[1]   Као што је дефинисано у Уредби 3605/93 (није појам из ESA).</w:t>
            </w:r>
          </w:p>
        </w:tc>
        <w:tc>
          <w:tcPr>
            <w:tcW w:w="1585" w:type="dxa"/>
            <w:tcBorders>
              <w:top w:val="nil"/>
              <w:left w:val="nil"/>
              <w:bottom w:val="nil"/>
              <w:right w:val="nil"/>
            </w:tcBorders>
            <w:shd w:val="clear" w:color="000000" w:fill="FFFFFF"/>
            <w:noWrap/>
            <w:vAlign w:val="center"/>
            <w:hideMark/>
          </w:tcPr>
          <w:p w14:paraId="017F8015"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20" w:type="dxa"/>
            <w:tcBorders>
              <w:top w:val="nil"/>
              <w:left w:val="nil"/>
              <w:bottom w:val="nil"/>
              <w:right w:val="nil"/>
            </w:tcBorders>
            <w:shd w:val="clear" w:color="000000" w:fill="FFFFFF"/>
            <w:noWrap/>
            <w:vAlign w:val="center"/>
            <w:hideMark/>
          </w:tcPr>
          <w:p w14:paraId="13614733"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20" w:type="dxa"/>
            <w:tcBorders>
              <w:top w:val="nil"/>
              <w:left w:val="nil"/>
              <w:bottom w:val="nil"/>
              <w:right w:val="nil"/>
            </w:tcBorders>
            <w:shd w:val="clear" w:color="000000" w:fill="FFFFFF"/>
            <w:noWrap/>
            <w:vAlign w:val="center"/>
            <w:hideMark/>
          </w:tcPr>
          <w:p w14:paraId="15F53165"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20" w:type="dxa"/>
            <w:tcBorders>
              <w:top w:val="nil"/>
              <w:left w:val="nil"/>
              <w:bottom w:val="nil"/>
              <w:right w:val="nil"/>
            </w:tcBorders>
            <w:shd w:val="clear" w:color="000000" w:fill="FFFFFF"/>
            <w:noWrap/>
            <w:vAlign w:val="center"/>
            <w:hideMark/>
          </w:tcPr>
          <w:p w14:paraId="7A74A1B4"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20" w:type="dxa"/>
            <w:tcBorders>
              <w:top w:val="nil"/>
              <w:left w:val="nil"/>
              <w:bottom w:val="nil"/>
              <w:right w:val="nil"/>
            </w:tcBorders>
            <w:shd w:val="clear" w:color="000000" w:fill="FFFFFF"/>
            <w:noWrap/>
            <w:vAlign w:val="center"/>
            <w:hideMark/>
          </w:tcPr>
          <w:p w14:paraId="676C6CD0"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20" w:type="dxa"/>
            <w:tcBorders>
              <w:top w:val="nil"/>
              <w:left w:val="nil"/>
              <w:bottom w:val="nil"/>
              <w:right w:val="nil"/>
            </w:tcBorders>
            <w:shd w:val="clear" w:color="000000" w:fill="FFFFFF"/>
            <w:noWrap/>
            <w:vAlign w:val="center"/>
            <w:hideMark/>
          </w:tcPr>
          <w:p w14:paraId="459757E1"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20" w:type="dxa"/>
            <w:tcBorders>
              <w:top w:val="nil"/>
              <w:left w:val="nil"/>
              <w:bottom w:val="nil"/>
              <w:right w:val="nil"/>
            </w:tcBorders>
            <w:shd w:val="clear" w:color="000000" w:fill="FFFFFF"/>
            <w:noWrap/>
            <w:vAlign w:val="center"/>
            <w:hideMark/>
          </w:tcPr>
          <w:p w14:paraId="5A13374A"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18FD877D" w14:textId="77777777" w:rsidTr="00247CBF">
        <w:trPr>
          <w:gridAfter w:val="1"/>
          <w:wAfter w:w="10" w:type="dxa"/>
          <w:trHeight w:val="199"/>
        </w:trPr>
        <w:tc>
          <w:tcPr>
            <w:tcW w:w="14560" w:type="dxa"/>
            <w:gridSpan w:val="8"/>
            <w:tcBorders>
              <w:top w:val="nil"/>
              <w:left w:val="nil"/>
              <w:bottom w:val="nil"/>
              <w:right w:val="nil"/>
            </w:tcBorders>
            <w:shd w:val="clear" w:color="000000" w:fill="FFFFFF"/>
            <w:noWrap/>
            <w:vAlign w:val="center"/>
            <w:hideMark/>
          </w:tcPr>
          <w:p w14:paraId="768CF770"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[4]   Где је то релевантно, може се направити разлика између расхода на камату, других расхода и прихода. </w:t>
            </w:r>
          </w:p>
        </w:tc>
      </w:tr>
      <w:tr w:rsidR="00247CBF" w:rsidRPr="00092ED7" w14:paraId="27932984" w14:textId="77777777" w:rsidTr="00247CBF">
        <w:trPr>
          <w:trHeight w:val="199"/>
        </w:trPr>
        <w:tc>
          <w:tcPr>
            <w:tcW w:w="14570" w:type="dxa"/>
            <w:gridSpan w:val="9"/>
            <w:tcBorders>
              <w:top w:val="nil"/>
              <w:left w:val="nil"/>
              <w:bottom w:val="nil"/>
              <w:right w:val="nil"/>
            </w:tcBorders>
            <w:shd w:val="clear" w:color="000000" w:fill="FFFFFF"/>
            <w:noWrap/>
            <w:vAlign w:val="center"/>
            <w:hideMark/>
          </w:tcPr>
          <w:p w14:paraId="51438D5E"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[5]   Где је то релевантно, може се направити разлика између ликвидних средстава, средстава у трећим државама, предузећа под контролом државе, и котираних и некотираних средстава.</w:t>
            </w:r>
          </w:p>
        </w:tc>
      </w:tr>
      <w:tr w:rsidR="00247CBF" w:rsidRPr="00092ED7" w14:paraId="175269C1" w14:textId="77777777" w:rsidTr="00247CBF">
        <w:trPr>
          <w:trHeight w:val="199"/>
        </w:trPr>
        <w:tc>
          <w:tcPr>
            <w:tcW w:w="14570" w:type="dxa"/>
            <w:gridSpan w:val="9"/>
            <w:tcBorders>
              <w:top w:val="nil"/>
              <w:left w:val="nil"/>
              <w:bottom w:val="nil"/>
              <w:right w:val="nil"/>
            </w:tcBorders>
            <w:shd w:val="clear" w:color="000000" w:fill="FFFFFF"/>
            <w:noWrap/>
            <w:vAlign w:val="center"/>
            <w:hideMark/>
          </w:tcPr>
          <w:p w14:paraId="53AC62AD"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[6]  Где је то релевантно, може се направити разлика између промена услед кретања девизног курса и операција на секундарном тржишту.</w:t>
            </w:r>
          </w:p>
        </w:tc>
      </w:tr>
      <w:tr w:rsidR="00247CBF" w:rsidRPr="00092ED7" w14:paraId="297C73D5" w14:textId="77777777" w:rsidTr="00247CBF">
        <w:trPr>
          <w:gridAfter w:val="1"/>
          <w:wAfter w:w="10" w:type="dxa"/>
          <w:trHeight w:val="199"/>
        </w:trPr>
        <w:tc>
          <w:tcPr>
            <w:tcW w:w="14560" w:type="dxa"/>
            <w:gridSpan w:val="8"/>
            <w:tcBorders>
              <w:top w:val="nil"/>
              <w:left w:val="nil"/>
              <w:bottom w:val="nil"/>
              <w:right w:val="nil"/>
            </w:tcBorders>
            <w:shd w:val="clear" w:color="000000" w:fill="FFFFFF"/>
            <w:noWrap/>
            <w:vAlign w:val="center"/>
            <w:hideMark/>
          </w:tcPr>
          <w:p w14:paraId="4FAFE1F6"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[8]   AF1, AF2, AF3 (консолидовани по тржишној вредности, AF5 (уколико су котирани на берзи; укључујући акције узајамних фондова).</w:t>
            </w:r>
          </w:p>
        </w:tc>
      </w:tr>
    </w:tbl>
    <w:p w14:paraId="26748793" w14:textId="77777777" w:rsidR="00247CBF" w:rsidRPr="00092ED7" w:rsidRDefault="00247CBF" w:rsidP="00247CBF">
      <w:pPr>
        <w:spacing w:after="0"/>
        <w:rPr>
          <w:rFonts w:cs="Times New Roman"/>
          <w:lang w:val="sr-Cyrl-CS"/>
        </w:rPr>
      </w:pPr>
    </w:p>
    <w:tbl>
      <w:tblPr>
        <w:tblW w:w="5013" w:type="pct"/>
        <w:tblLook w:val="04A0" w:firstRow="1" w:lastRow="0" w:firstColumn="1" w:lastColumn="0" w:noHBand="0" w:noVBand="1"/>
      </w:tblPr>
      <w:tblGrid>
        <w:gridCol w:w="23"/>
        <w:gridCol w:w="6769"/>
        <w:gridCol w:w="722"/>
        <w:gridCol w:w="494"/>
        <w:gridCol w:w="815"/>
        <w:gridCol w:w="503"/>
        <w:gridCol w:w="684"/>
        <w:gridCol w:w="634"/>
        <w:gridCol w:w="552"/>
        <w:gridCol w:w="768"/>
        <w:gridCol w:w="418"/>
        <w:gridCol w:w="900"/>
        <w:gridCol w:w="1177"/>
        <w:gridCol w:w="149"/>
      </w:tblGrid>
      <w:tr w:rsidR="00247CBF" w:rsidRPr="00092ED7" w14:paraId="5EF914C4" w14:textId="77777777" w:rsidTr="00247CBF">
        <w:trPr>
          <w:trHeight w:val="227"/>
        </w:trPr>
        <w:tc>
          <w:tcPr>
            <w:tcW w:w="2572" w:type="pct"/>
            <w:gridSpan w:val="3"/>
            <w:tcBorders>
              <w:top w:val="nil"/>
              <w:left w:val="nil"/>
              <w:bottom w:val="nil"/>
              <w:right w:val="nil"/>
            </w:tcBorders>
            <w:shd w:val="clear" w:color="000000" w:fill="FFFFFF"/>
            <w:noWrap/>
            <w:vAlign w:val="bottom"/>
            <w:hideMark/>
          </w:tcPr>
          <w:p w14:paraId="5F81DA08"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4: Кретање дуга општег нивоа државе</w:t>
            </w:r>
          </w:p>
        </w:tc>
        <w:tc>
          <w:tcPr>
            <w:tcW w:w="448" w:type="pct"/>
            <w:gridSpan w:val="2"/>
            <w:tcBorders>
              <w:top w:val="nil"/>
              <w:left w:val="nil"/>
              <w:bottom w:val="nil"/>
              <w:right w:val="nil"/>
            </w:tcBorders>
            <w:shd w:val="clear" w:color="000000" w:fill="FFFFFF"/>
            <w:noWrap/>
            <w:vAlign w:val="bottom"/>
            <w:hideMark/>
          </w:tcPr>
          <w:p w14:paraId="139657A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gridSpan w:val="2"/>
            <w:tcBorders>
              <w:top w:val="nil"/>
              <w:left w:val="nil"/>
              <w:bottom w:val="nil"/>
              <w:right w:val="nil"/>
            </w:tcBorders>
            <w:shd w:val="clear" w:color="000000" w:fill="FFFFFF"/>
            <w:noWrap/>
            <w:vAlign w:val="bottom"/>
            <w:hideMark/>
          </w:tcPr>
          <w:p w14:paraId="09AC4C2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gridSpan w:val="2"/>
            <w:tcBorders>
              <w:top w:val="nil"/>
              <w:left w:val="nil"/>
              <w:bottom w:val="nil"/>
              <w:right w:val="nil"/>
            </w:tcBorders>
            <w:shd w:val="clear" w:color="000000" w:fill="FFFFFF"/>
            <w:noWrap/>
            <w:vAlign w:val="bottom"/>
            <w:hideMark/>
          </w:tcPr>
          <w:p w14:paraId="31F1278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gridSpan w:val="2"/>
            <w:tcBorders>
              <w:top w:val="nil"/>
              <w:left w:val="nil"/>
              <w:bottom w:val="nil"/>
              <w:right w:val="nil"/>
            </w:tcBorders>
            <w:shd w:val="clear" w:color="000000" w:fill="FFFFFF"/>
            <w:noWrap/>
            <w:vAlign w:val="bottom"/>
            <w:hideMark/>
          </w:tcPr>
          <w:p w14:paraId="0B86B0A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750" w:type="pct"/>
            <w:gridSpan w:val="3"/>
            <w:tcBorders>
              <w:top w:val="nil"/>
              <w:left w:val="nil"/>
              <w:bottom w:val="nil"/>
              <w:right w:val="nil"/>
            </w:tcBorders>
            <w:shd w:val="clear" w:color="000000" w:fill="FFFFFF"/>
            <w:noWrap/>
            <w:vAlign w:val="bottom"/>
            <w:hideMark/>
          </w:tcPr>
          <w:p w14:paraId="4933B02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766546C6" w14:textId="77777777" w:rsidTr="00247CBF">
        <w:trPr>
          <w:gridBefore w:val="1"/>
          <w:wBefore w:w="8" w:type="pct"/>
          <w:trHeight w:val="227"/>
        </w:trPr>
        <w:tc>
          <w:tcPr>
            <w:tcW w:w="2317" w:type="pct"/>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14:paraId="149E8C2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416" w:type="pct"/>
            <w:gridSpan w:val="2"/>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2174868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ESA шифра</w:t>
            </w:r>
          </w:p>
        </w:tc>
        <w:tc>
          <w:tcPr>
            <w:tcW w:w="451" w:type="pct"/>
            <w:gridSpan w:val="2"/>
            <w:tcBorders>
              <w:top w:val="double" w:sz="6" w:space="0" w:color="auto"/>
              <w:left w:val="nil"/>
              <w:bottom w:val="nil"/>
              <w:right w:val="dotted" w:sz="4" w:space="0" w:color="auto"/>
            </w:tcBorders>
            <w:shd w:val="clear" w:color="000000" w:fill="FFFFFF"/>
            <w:vAlign w:val="center"/>
            <w:hideMark/>
          </w:tcPr>
          <w:p w14:paraId="0E5A676E"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51" w:type="pct"/>
            <w:gridSpan w:val="2"/>
            <w:tcBorders>
              <w:top w:val="double" w:sz="6" w:space="0" w:color="auto"/>
              <w:left w:val="nil"/>
              <w:bottom w:val="nil"/>
              <w:right w:val="dotted" w:sz="4" w:space="0" w:color="auto"/>
            </w:tcBorders>
            <w:shd w:val="clear" w:color="000000" w:fill="FFFFFF"/>
            <w:vAlign w:val="center"/>
            <w:hideMark/>
          </w:tcPr>
          <w:p w14:paraId="3D3E8DC6"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52" w:type="pct"/>
            <w:gridSpan w:val="2"/>
            <w:tcBorders>
              <w:top w:val="double" w:sz="6" w:space="0" w:color="auto"/>
              <w:left w:val="nil"/>
              <w:bottom w:val="nil"/>
              <w:right w:val="dotted" w:sz="4" w:space="0" w:color="auto"/>
            </w:tcBorders>
            <w:shd w:val="clear" w:color="000000" w:fill="FFFFFF"/>
            <w:vAlign w:val="center"/>
            <w:hideMark/>
          </w:tcPr>
          <w:p w14:paraId="23D1C238"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51" w:type="pct"/>
            <w:gridSpan w:val="2"/>
            <w:tcBorders>
              <w:top w:val="double" w:sz="6" w:space="0" w:color="auto"/>
              <w:left w:val="nil"/>
              <w:bottom w:val="nil"/>
              <w:right w:val="dotted" w:sz="4" w:space="0" w:color="auto"/>
            </w:tcBorders>
            <w:shd w:val="clear" w:color="000000" w:fill="FFFFFF"/>
            <w:vAlign w:val="center"/>
            <w:hideMark/>
          </w:tcPr>
          <w:p w14:paraId="4114974A"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51" w:type="pct"/>
            <w:gridSpan w:val="2"/>
            <w:tcBorders>
              <w:top w:val="double" w:sz="6" w:space="0" w:color="auto"/>
              <w:left w:val="nil"/>
              <w:bottom w:val="nil"/>
              <w:right w:val="double" w:sz="6" w:space="0" w:color="auto"/>
            </w:tcBorders>
            <w:shd w:val="clear" w:color="000000" w:fill="FFFFFF"/>
            <w:vAlign w:val="center"/>
            <w:hideMark/>
          </w:tcPr>
          <w:p w14:paraId="4DFCCD85"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r>
      <w:tr w:rsidR="00247CBF" w:rsidRPr="00092ED7" w14:paraId="6FE97171" w14:textId="77777777" w:rsidTr="00247CBF">
        <w:trPr>
          <w:gridBefore w:val="1"/>
          <w:wBefore w:w="8" w:type="pct"/>
          <w:trHeight w:val="227"/>
        </w:trPr>
        <w:tc>
          <w:tcPr>
            <w:tcW w:w="2317" w:type="pct"/>
            <w:vMerge/>
            <w:tcBorders>
              <w:top w:val="double" w:sz="6" w:space="0" w:color="auto"/>
              <w:left w:val="double" w:sz="6" w:space="0" w:color="auto"/>
              <w:bottom w:val="single" w:sz="8" w:space="0" w:color="000000"/>
              <w:right w:val="dotted" w:sz="4" w:space="0" w:color="auto"/>
            </w:tcBorders>
            <w:vAlign w:val="center"/>
            <w:hideMark/>
          </w:tcPr>
          <w:p w14:paraId="26590381" w14:textId="77777777" w:rsidR="00247CBF" w:rsidRPr="00092ED7" w:rsidRDefault="00247CBF" w:rsidP="00247CBF">
            <w:pPr>
              <w:spacing w:after="0"/>
              <w:rPr>
                <w:rFonts w:eastAsia="Times New Roman" w:cs="Times New Roman"/>
                <w:sz w:val="20"/>
                <w:szCs w:val="20"/>
                <w:lang w:val="sr-Cyrl-CS"/>
              </w:rPr>
            </w:pPr>
          </w:p>
        </w:tc>
        <w:tc>
          <w:tcPr>
            <w:tcW w:w="416" w:type="pct"/>
            <w:gridSpan w:val="2"/>
            <w:vMerge/>
            <w:tcBorders>
              <w:top w:val="double" w:sz="6" w:space="0" w:color="auto"/>
              <w:left w:val="dotted" w:sz="4" w:space="0" w:color="auto"/>
              <w:bottom w:val="single" w:sz="8" w:space="0" w:color="000000"/>
              <w:right w:val="single" w:sz="8" w:space="0" w:color="auto"/>
            </w:tcBorders>
            <w:vAlign w:val="center"/>
            <w:hideMark/>
          </w:tcPr>
          <w:p w14:paraId="3FE84328" w14:textId="77777777" w:rsidR="00247CBF" w:rsidRPr="00092ED7" w:rsidRDefault="00247CBF" w:rsidP="00247CBF">
            <w:pPr>
              <w:spacing w:after="0"/>
              <w:rPr>
                <w:rFonts w:eastAsia="Times New Roman" w:cs="Times New Roman"/>
                <w:sz w:val="20"/>
                <w:szCs w:val="20"/>
                <w:lang w:val="sr-Cyrl-CS"/>
              </w:rPr>
            </w:pPr>
          </w:p>
        </w:tc>
        <w:tc>
          <w:tcPr>
            <w:tcW w:w="451" w:type="pct"/>
            <w:gridSpan w:val="2"/>
            <w:tcBorders>
              <w:top w:val="nil"/>
              <w:left w:val="nil"/>
              <w:bottom w:val="single" w:sz="8" w:space="0" w:color="auto"/>
              <w:right w:val="dotted" w:sz="4" w:space="0" w:color="auto"/>
            </w:tcBorders>
            <w:shd w:val="clear" w:color="000000" w:fill="FFFFFF"/>
            <w:vAlign w:val="center"/>
            <w:hideMark/>
          </w:tcPr>
          <w:p w14:paraId="4C652076" w14:textId="77777777" w:rsidR="00247CBF" w:rsidRPr="00092ED7" w:rsidRDefault="00247CBF" w:rsidP="00247CBF">
            <w:pPr>
              <w:spacing w:after="0"/>
              <w:jc w:val="center"/>
              <w:rPr>
                <w:sz w:val="20"/>
                <w:szCs w:val="20"/>
                <w:lang w:val="sr-Cyrl-CS"/>
              </w:rPr>
            </w:pPr>
            <w:r w:rsidRPr="00092ED7">
              <w:rPr>
                <w:sz w:val="20"/>
                <w:szCs w:val="20"/>
                <w:lang w:val="sr-Cyrl-CS"/>
              </w:rPr>
              <w:t>2021</w:t>
            </w:r>
          </w:p>
        </w:tc>
        <w:tc>
          <w:tcPr>
            <w:tcW w:w="451" w:type="pct"/>
            <w:gridSpan w:val="2"/>
            <w:tcBorders>
              <w:top w:val="nil"/>
              <w:left w:val="nil"/>
              <w:bottom w:val="single" w:sz="8" w:space="0" w:color="auto"/>
              <w:right w:val="dotted" w:sz="4" w:space="0" w:color="auto"/>
            </w:tcBorders>
            <w:shd w:val="clear" w:color="000000" w:fill="FFFFFF"/>
            <w:vAlign w:val="center"/>
            <w:hideMark/>
          </w:tcPr>
          <w:p w14:paraId="5E9B1AEB" w14:textId="77777777" w:rsidR="00247CBF" w:rsidRPr="00092ED7" w:rsidRDefault="00247CBF" w:rsidP="00247CBF">
            <w:pPr>
              <w:spacing w:after="0"/>
              <w:jc w:val="center"/>
              <w:rPr>
                <w:sz w:val="20"/>
                <w:szCs w:val="20"/>
                <w:lang w:val="sr-Cyrl-CS"/>
              </w:rPr>
            </w:pPr>
            <w:r w:rsidRPr="00092ED7">
              <w:rPr>
                <w:sz w:val="20"/>
                <w:szCs w:val="20"/>
                <w:lang w:val="sr-Cyrl-CS"/>
              </w:rPr>
              <w:t>2022</w:t>
            </w:r>
          </w:p>
        </w:tc>
        <w:tc>
          <w:tcPr>
            <w:tcW w:w="452" w:type="pct"/>
            <w:gridSpan w:val="2"/>
            <w:tcBorders>
              <w:top w:val="nil"/>
              <w:left w:val="nil"/>
              <w:bottom w:val="single" w:sz="8" w:space="0" w:color="auto"/>
              <w:right w:val="dotted" w:sz="4" w:space="0" w:color="auto"/>
            </w:tcBorders>
            <w:shd w:val="clear" w:color="000000" w:fill="FFFFFF"/>
            <w:vAlign w:val="center"/>
            <w:hideMark/>
          </w:tcPr>
          <w:p w14:paraId="7F649138" w14:textId="77777777" w:rsidR="00247CBF" w:rsidRPr="00092ED7" w:rsidRDefault="00247CBF" w:rsidP="00247CBF">
            <w:pPr>
              <w:spacing w:after="0"/>
              <w:jc w:val="center"/>
              <w:rPr>
                <w:sz w:val="20"/>
                <w:szCs w:val="20"/>
                <w:lang w:val="sr-Cyrl-CS"/>
              </w:rPr>
            </w:pPr>
            <w:r w:rsidRPr="00092ED7">
              <w:rPr>
                <w:sz w:val="20"/>
                <w:szCs w:val="20"/>
                <w:lang w:val="sr-Cyrl-CS"/>
              </w:rPr>
              <w:t>2023</w:t>
            </w:r>
          </w:p>
        </w:tc>
        <w:tc>
          <w:tcPr>
            <w:tcW w:w="451" w:type="pct"/>
            <w:gridSpan w:val="2"/>
            <w:tcBorders>
              <w:top w:val="nil"/>
              <w:left w:val="nil"/>
              <w:bottom w:val="single" w:sz="8" w:space="0" w:color="auto"/>
              <w:right w:val="dotted" w:sz="4" w:space="0" w:color="auto"/>
            </w:tcBorders>
            <w:shd w:val="clear" w:color="000000" w:fill="FFFFFF"/>
            <w:vAlign w:val="center"/>
            <w:hideMark/>
          </w:tcPr>
          <w:p w14:paraId="5024081B" w14:textId="77777777" w:rsidR="00247CBF" w:rsidRPr="00092ED7" w:rsidRDefault="00247CBF" w:rsidP="00247CBF">
            <w:pPr>
              <w:spacing w:after="0"/>
              <w:jc w:val="center"/>
              <w:rPr>
                <w:sz w:val="20"/>
                <w:szCs w:val="20"/>
                <w:lang w:val="sr-Cyrl-CS"/>
              </w:rPr>
            </w:pPr>
            <w:r w:rsidRPr="00092ED7">
              <w:rPr>
                <w:sz w:val="20"/>
                <w:szCs w:val="20"/>
                <w:lang w:val="sr-Cyrl-CS"/>
              </w:rPr>
              <w:t>2024</w:t>
            </w:r>
          </w:p>
        </w:tc>
        <w:tc>
          <w:tcPr>
            <w:tcW w:w="451" w:type="pct"/>
            <w:gridSpan w:val="2"/>
            <w:tcBorders>
              <w:top w:val="nil"/>
              <w:left w:val="nil"/>
              <w:bottom w:val="single" w:sz="8" w:space="0" w:color="auto"/>
              <w:right w:val="double" w:sz="6" w:space="0" w:color="auto"/>
            </w:tcBorders>
            <w:shd w:val="clear" w:color="000000" w:fill="FFFFFF"/>
            <w:vAlign w:val="center"/>
            <w:hideMark/>
          </w:tcPr>
          <w:p w14:paraId="1157C9E8" w14:textId="77777777" w:rsidR="00247CBF" w:rsidRPr="00092ED7" w:rsidRDefault="00247CBF" w:rsidP="00247CBF">
            <w:pPr>
              <w:spacing w:after="0"/>
              <w:jc w:val="center"/>
              <w:rPr>
                <w:sz w:val="20"/>
                <w:szCs w:val="20"/>
                <w:lang w:val="sr-Cyrl-CS"/>
              </w:rPr>
            </w:pPr>
            <w:r w:rsidRPr="00092ED7">
              <w:rPr>
                <w:sz w:val="20"/>
                <w:szCs w:val="20"/>
                <w:lang w:val="sr-Cyrl-CS"/>
              </w:rPr>
              <w:t>2025</w:t>
            </w:r>
          </w:p>
        </w:tc>
      </w:tr>
      <w:tr w:rsidR="00247CBF" w:rsidRPr="00092ED7" w14:paraId="4AE11F1D" w14:textId="77777777" w:rsidTr="00247CBF">
        <w:trPr>
          <w:gridBefore w:val="1"/>
          <w:wBefore w:w="8" w:type="pct"/>
          <w:trHeight w:val="227"/>
        </w:trPr>
        <w:tc>
          <w:tcPr>
            <w:tcW w:w="2317" w:type="pct"/>
            <w:tcBorders>
              <w:top w:val="nil"/>
              <w:left w:val="double" w:sz="6" w:space="0" w:color="auto"/>
              <w:bottom w:val="single" w:sz="8" w:space="0" w:color="auto"/>
              <w:right w:val="dotted" w:sz="4" w:space="0" w:color="auto"/>
            </w:tcBorders>
            <w:shd w:val="clear" w:color="auto" w:fill="auto"/>
            <w:noWrap/>
            <w:vAlign w:val="center"/>
            <w:hideMark/>
          </w:tcPr>
          <w:p w14:paraId="69B1E3AD"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  1. Бруто дуг [1]</w:t>
            </w:r>
          </w:p>
        </w:tc>
        <w:tc>
          <w:tcPr>
            <w:tcW w:w="416" w:type="pct"/>
            <w:gridSpan w:val="2"/>
            <w:tcBorders>
              <w:top w:val="nil"/>
              <w:left w:val="nil"/>
              <w:bottom w:val="single" w:sz="8" w:space="0" w:color="auto"/>
              <w:right w:val="single" w:sz="8" w:space="0" w:color="auto"/>
            </w:tcBorders>
            <w:shd w:val="clear" w:color="000000" w:fill="FFFFFF"/>
            <w:vAlign w:val="center"/>
            <w:hideMark/>
          </w:tcPr>
          <w:p w14:paraId="687845C7" w14:textId="77777777" w:rsidR="00247CBF" w:rsidRPr="00092ED7" w:rsidRDefault="00247CBF" w:rsidP="00247CBF">
            <w:pPr>
              <w:spacing w:after="0"/>
              <w:jc w:val="left"/>
              <w:rPr>
                <w:rFonts w:eastAsia="Times New Roman" w:cs="Times New Roman"/>
                <w:b/>
                <w:sz w:val="20"/>
                <w:szCs w:val="20"/>
                <w:lang w:val="sr-Cyrl-CS"/>
              </w:rPr>
            </w:pPr>
            <w:r w:rsidRPr="00092ED7">
              <w:rPr>
                <w:rFonts w:eastAsia="Times New Roman" w:cs="Times New Roman"/>
                <w:b/>
                <w:sz w:val="20"/>
                <w:szCs w:val="20"/>
                <w:lang w:val="sr-Cyrl-CS"/>
              </w:rPr>
              <w:t> </w:t>
            </w:r>
          </w:p>
        </w:tc>
        <w:tc>
          <w:tcPr>
            <w:tcW w:w="451" w:type="pct"/>
            <w:gridSpan w:val="2"/>
            <w:tcBorders>
              <w:top w:val="nil"/>
              <w:left w:val="nil"/>
              <w:bottom w:val="single" w:sz="8" w:space="0" w:color="auto"/>
              <w:right w:val="dotted" w:sz="4" w:space="0" w:color="auto"/>
            </w:tcBorders>
            <w:shd w:val="clear" w:color="000000" w:fill="FFFFFF"/>
            <w:vAlign w:val="center"/>
            <w:hideMark/>
          </w:tcPr>
          <w:p w14:paraId="6919CCA4" w14:textId="77777777" w:rsidR="00247CBF" w:rsidRPr="00092ED7" w:rsidRDefault="00247CBF" w:rsidP="00247CBF">
            <w:pPr>
              <w:spacing w:after="0"/>
              <w:jc w:val="center"/>
              <w:rPr>
                <w:sz w:val="20"/>
                <w:szCs w:val="20"/>
                <w:lang w:val="sr-Cyrl-CS"/>
              </w:rPr>
            </w:pPr>
            <w:r w:rsidRPr="00092ED7">
              <w:rPr>
                <w:sz w:val="20"/>
                <w:szCs w:val="20"/>
                <w:lang w:val="sr-Cyrl-CS"/>
              </w:rPr>
              <w:t>57,1</w:t>
            </w:r>
          </w:p>
        </w:tc>
        <w:tc>
          <w:tcPr>
            <w:tcW w:w="451" w:type="pct"/>
            <w:gridSpan w:val="2"/>
            <w:tcBorders>
              <w:top w:val="nil"/>
              <w:left w:val="nil"/>
              <w:bottom w:val="single" w:sz="8" w:space="0" w:color="auto"/>
              <w:right w:val="dotted" w:sz="4" w:space="0" w:color="auto"/>
            </w:tcBorders>
            <w:shd w:val="clear" w:color="000000" w:fill="FFFFFF"/>
            <w:vAlign w:val="center"/>
            <w:hideMark/>
          </w:tcPr>
          <w:p w14:paraId="1DCC9841" w14:textId="77777777" w:rsidR="00247CBF" w:rsidRPr="00092ED7" w:rsidRDefault="00247CBF" w:rsidP="00247CBF">
            <w:pPr>
              <w:spacing w:after="0"/>
              <w:jc w:val="center"/>
              <w:rPr>
                <w:sz w:val="20"/>
                <w:szCs w:val="20"/>
                <w:lang w:val="sr-Cyrl-CS"/>
              </w:rPr>
            </w:pPr>
            <w:r w:rsidRPr="00092ED7">
              <w:rPr>
                <w:sz w:val="20"/>
                <w:szCs w:val="20"/>
                <w:lang w:val="sr-Cyrl-CS"/>
              </w:rPr>
              <w:t>56,9</w:t>
            </w:r>
          </w:p>
        </w:tc>
        <w:tc>
          <w:tcPr>
            <w:tcW w:w="452" w:type="pct"/>
            <w:gridSpan w:val="2"/>
            <w:tcBorders>
              <w:top w:val="nil"/>
              <w:left w:val="nil"/>
              <w:bottom w:val="single" w:sz="8" w:space="0" w:color="auto"/>
              <w:right w:val="dotted" w:sz="4" w:space="0" w:color="auto"/>
            </w:tcBorders>
            <w:shd w:val="clear" w:color="000000" w:fill="FFFFFF"/>
            <w:vAlign w:val="center"/>
            <w:hideMark/>
          </w:tcPr>
          <w:p w14:paraId="4CF9C5F0" w14:textId="77777777" w:rsidR="00247CBF" w:rsidRPr="00092ED7" w:rsidRDefault="00247CBF" w:rsidP="00247CBF">
            <w:pPr>
              <w:spacing w:after="0"/>
              <w:jc w:val="center"/>
              <w:rPr>
                <w:sz w:val="20"/>
                <w:szCs w:val="20"/>
                <w:lang w:val="sr-Cyrl-CS"/>
              </w:rPr>
            </w:pPr>
            <w:r w:rsidRPr="00092ED7">
              <w:rPr>
                <w:sz w:val="20"/>
                <w:szCs w:val="20"/>
                <w:lang w:val="sr-Cyrl-CS"/>
              </w:rPr>
              <w:t>56,1</w:t>
            </w:r>
          </w:p>
        </w:tc>
        <w:tc>
          <w:tcPr>
            <w:tcW w:w="451" w:type="pct"/>
            <w:gridSpan w:val="2"/>
            <w:tcBorders>
              <w:top w:val="nil"/>
              <w:left w:val="nil"/>
              <w:bottom w:val="single" w:sz="8" w:space="0" w:color="auto"/>
              <w:right w:val="dotted" w:sz="4" w:space="0" w:color="auto"/>
            </w:tcBorders>
            <w:shd w:val="clear" w:color="000000" w:fill="FFFFFF"/>
            <w:vAlign w:val="center"/>
            <w:hideMark/>
          </w:tcPr>
          <w:p w14:paraId="252B573D" w14:textId="77777777" w:rsidR="00247CBF" w:rsidRPr="00092ED7" w:rsidRDefault="00247CBF" w:rsidP="00247CBF">
            <w:pPr>
              <w:spacing w:after="0"/>
              <w:jc w:val="center"/>
              <w:rPr>
                <w:sz w:val="20"/>
                <w:szCs w:val="20"/>
                <w:lang w:val="sr-Cyrl-CS"/>
              </w:rPr>
            </w:pPr>
            <w:r w:rsidRPr="00092ED7">
              <w:rPr>
                <w:sz w:val="20"/>
                <w:szCs w:val="20"/>
                <w:lang w:val="sr-Cyrl-CS"/>
              </w:rPr>
              <w:t>55,1</w:t>
            </w:r>
          </w:p>
        </w:tc>
        <w:tc>
          <w:tcPr>
            <w:tcW w:w="451" w:type="pct"/>
            <w:gridSpan w:val="2"/>
            <w:tcBorders>
              <w:top w:val="nil"/>
              <w:left w:val="nil"/>
              <w:bottom w:val="single" w:sz="8" w:space="0" w:color="auto"/>
              <w:right w:val="double" w:sz="6" w:space="0" w:color="auto"/>
            </w:tcBorders>
            <w:shd w:val="clear" w:color="000000" w:fill="FFFFFF"/>
            <w:vAlign w:val="center"/>
            <w:hideMark/>
          </w:tcPr>
          <w:p w14:paraId="0ABE8AD7" w14:textId="77777777" w:rsidR="00247CBF" w:rsidRPr="00092ED7" w:rsidRDefault="00247CBF" w:rsidP="00247CBF">
            <w:pPr>
              <w:spacing w:after="0"/>
              <w:jc w:val="center"/>
              <w:rPr>
                <w:sz w:val="20"/>
                <w:szCs w:val="20"/>
                <w:lang w:val="sr-Cyrl-CS"/>
              </w:rPr>
            </w:pPr>
            <w:r w:rsidRPr="00092ED7">
              <w:rPr>
                <w:sz w:val="20"/>
                <w:szCs w:val="20"/>
                <w:lang w:val="sr-Cyrl-CS"/>
              </w:rPr>
              <w:t>54,0</w:t>
            </w:r>
          </w:p>
        </w:tc>
      </w:tr>
      <w:tr w:rsidR="00247CBF" w:rsidRPr="00092ED7" w14:paraId="71C113D2" w14:textId="77777777" w:rsidTr="00247CBF">
        <w:trPr>
          <w:gridBefore w:val="1"/>
          <w:wBefore w:w="8" w:type="pct"/>
          <w:trHeight w:val="227"/>
        </w:trPr>
        <w:tc>
          <w:tcPr>
            <w:tcW w:w="2317" w:type="pct"/>
            <w:tcBorders>
              <w:top w:val="nil"/>
              <w:left w:val="double" w:sz="6" w:space="0" w:color="auto"/>
              <w:bottom w:val="single" w:sz="8" w:space="0" w:color="auto"/>
              <w:right w:val="dotted" w:sz="4" w:space="0" w:color="auto"/>
            </w:tcBorders>
            <w:shd w:val="clear" w:color="000000" w:fill="FFFFFF"/>
            <w:vAlign w:val="center"/>
            <w:hideMark/>
          </w:tcPr>
          <w:p w14:paraId="3973808A"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  2. Промена учешћа бруто дуга</w:t>
            </w:r>
          </w:p>
        </w:tc>
        <w:tc>
          <w:tcPr>
            <w:tcW w:w="416" w:type="pct"/>
            <w:gridSpan w:val="2"/>
            <w:tcBorders>
              <w:top w:val="nil"/>
              <w:left w:val="nil"/>
              <w:bottom w:val="single" w:sz="8" w:space="0" w:color="auto"/>
              <w:right w:val="single" w:sz="8" w:space="0" w:color="auto"/>
            </w:tcBorders>
            <w:shd w:val="clear" w:color="000000" w:fill="FFFFFF"/>
            <w:vAlign w:val="center"/>
            <w:hideMark/>
          </w:tcPr>
          <w:p w14:paraId="1F170248" w14:textId="77777777" w:rsidR="00247CBF" w:rsidRPr="00092ED7" w:rsidRDefault="00247CBF" w:rsidP="00247CBF">
            <w:pPr>
              <w:spacing w:after="0"/>
              <w:jc w:val="left"/>
              <w:rPr>
                <w:rFonts w:eastAsia="Times New Roman" w:cs="Times New Roman"/>
                <w:b/>
                <w:sz w:val="20"/>
                <w:szCs w:val="20"/>
                <w:lang w:val="sr-Cyrl-CS"/>
              </w:rPr>
            </w:pPr>
            <w:r w:rsidRPr="00092ED7">
              <w:rPr>
                <w:rFonts w:eastAsia="Times New Roman" w:cs="Times New Roman"/>
                <w:b/>
                <w:sz w:val="20"/>
                <w:szCs w:val="20"/>
                <w:lang w:val="sr-Cyrl-CS"/>
              </w:rPr>
              <w:t> </w:t>
            </w:r>
          </w:p>
        </w:tc>
        <w:tc>
          <w:tcPr>
            <w:tcW w:w="451" w:type="pct"/>
            <w:gridSpan w:val="2"/>
            <w:tcBorders>
              <w:top w:val="nil"/>
              <w:left w:val="nil"/>
              <w:bottom w:val="single" w:sz="8" w:space="0" w:color="auto"/>
              <w:right w:val="dotted" w:sz="4" w:space="0" w:color="auto"/>
            </w:tcBorders>
            <w:shd w:val="clear" w:color="000000" w:fill="FFFFFF"/>
            <w:vAlign w:val="center"/>
            <w:hideMark/>
          </w:tcPr>
          <w:p w14:paraId="50BF36F5" w14:textId="77777777" w:rsidR="00247CBF" w:rsidRPr="00092ED7" w:rsidRDefault="00247CBF" w:rsidP="00247CBF">
            <w:pPr>
              <w:spacing w:after="0"/>
              <w:jc w:val="center"/>
              <w:rPr>
                <w:sz w:val="20"/>
                <w:szCs w:val="20"/>
                <w:lang w:val="sr-Cyrl-CS"/>
              </w:rPr>
            </w:pPr>
            <w:r w:rsidRPr="00092ED7">
              <w:rPr>
                <w:sz w:val="20"/>
                <w:szCs w:val="20"/>
                <w:lang w:val="sr-Cyrl-CS"/>
              </w:rPr>
              <w:t>-0,7</w:t>
            </w:r>
          </w:p>
        </w:tc>
        <w:tc>
          <w:tcPr>
            <w:tcW w:w="451" w:type="pct"/>
            <w:gridSpan w:val="2"/>
            <w:tcBorders>
              <w:top w:val="nil"/>
              <w:left w:val="nil"/>
              <w:bottom w:val="single" w:sz="8" w:space="0" w:color="auto"/>
              <w:right w:val="dotted" w:sz="4" w:space="0" w:color="auto"/>
            </w:tcBorders>
            <w:shd w:val="clear" w:color="000000" w:fill="FFFFFF"/>
            <w:vAlign w:val="center"/>
            <w:hideMark/>
          </w:tcPr>
          <w:p w14:paraId="52AC34B0" w14:textId="77777777" w:rsidR="00247CBF" w:rsidRPr="00092ED7" w:rsidRDefault="00247CBF" w:rsidP="00247CBF">
            <w:pPr>
              <w:spacing w:after="0"/>
              <w:jc w:val="center"/>
              <w:rPr>
                <w:sz w:val="20"/>
                <w:szCs w:val="20"/>
                <w:lang w:val="sr-Cyrl-CS"/>
              </w:rPr>
            </w:pPr>
            <w:r w:rsidRPr="00092ED7">
              <w:rPr>
                <w:sz w:val="20"/>
                <w:szCs w:val="20"/>
                <w:lang w:val="sr-Cyrl-CS"/>
              </w:rPr>
              <w:t>-0,2</w:t>
            </w:r>
          </w:p>
        </w:tc>
        <w:tc>
          <w:tcPr>
            <w:tcW w:w="452" w:type="pct"/>
            <w:gridSpan w:val="2"/>
            <w:tcBorders>
              <w:top w:val="nil"/>
              <w:left w:val="nil"/>
              <w:bottom w:val="single" w:sz="8" w:space="0" w:color="auto"/>
              <w:right w:val="dotted" w:sz="4" w:space="0" w:color="auto"/>
            </w:tcBorders>
            <w:shd w:val="clear" w:color="000000" w:fill="FFFFFF"/>
            <w:vAlign w:val="center"/>
            <w:hideMark/>
          </w:tcPr>
          <w:p w14:paraId="336E1C0E" w14:textId="77777777" w:rsidR="00247CBF" w:rsidRPr="00092ED7" w:rsidRDefault="00247CBF" w:rsidP="00247CBF">
            <w:pPr>
              <w:spacing w:after="0"/>
              <w:jc w:val="center"/>
              <w:rPr>
                <w:sz w:val="20"/>
                <w:szCs w:val="20"/>
                <w:lang w:val="sr-Cyrl-CS"/>
              </w:rPr>
            </w:pPr>
            <w:r w:rsidRPr="00092ED7">
              <w:rPr>
                <w:sz w:val="20"/>
                <w:szCs w:val="20"/>
                <w:lang w:val="sr-Cyrl-CS"/>
              </w:rPr>
              <w:t>-0,8</w:t>
            </w:r>
          </w:p>
        </w:tc>
        <w:tc>
          <w:tcPr>
            <w:tcW w:w="451" w:type="pct"/>
            <w:gridSpan w:val="2"/>
            <w:tcBorders>
              <w:top w:val="nil"/>
              <w:left w:val="nil"/>
              <w:bottom w:val="single" w:sz="8" w:space="0" w:color="auto"/>
              <w:right w:val="dotted" w:sz="4" w:space="0" w:color="auto"/>
            </w:tcBorders>
            <w:shd w:val="clear" w:color="000000" w:fill="FFFFFF"/>
            <w:vAlign w:val="center"/>
            <w:hideMark/>
          </w:tcPr>
          <w:p w14:paraId="22370FF1" w14:textId="77777777" w:rsidR="00247CBF" w:rsidRPr="00092ED7" w:rsidRDefault="00247CBF" w:rsidP="00247CBF">
            <w:pPr>
              <w:spacing w:after="0"/>
              <w:jc w:val="center"/>
              <w:rPr>
                <w:sz w:val="20"/>
                <w:szCs w:val="20"/>
                <w:lang w:val="sr-Cyrl-CS"/>
              </w:rPr>
            </w:pPr>
            <w:r w:rsidRPr="00092ED7">
              <w:rPr>
                <w:sz w:val="20"/>
                <w:szCs w:val="20"/>
                <w:lang w:val="sr-Cyrl-CS"/>
              </w:rPr>
              <w:t>-1,0</w:t>
            </w:r>
          </w:p>
        </w:tc>
        <w:tc>
          <w:tcPr>
            <w:tcW w:w="451" w:type="pct"/>
            <w:gridSpan w:val="2"/>
            <w:tcBorders>
              <w:top w:val="nil"/>
              <w:left w:val="nil"/>
              <w:bottom w:val="single" w:sz="8" w:space="0" w:color="auto"/>
              <w:right w:val="double" w:sz="6" w:space="0" w:color="auto"/>
            </w:tcBorders>
            <w:shd w:val="clear" w:color="000000" w:fill="FFFFFF"/>
            <w:vAlign w:val="center"/>
            <w:hideMark/>
          </w:tcPr>
          <w:p w14:paraId="356B55A3" w14:textId="77777777" w:rsidR="00247CBF" w:rsidRPr="00092ED7" w:rsidRDefault="00247CBF" w:rsidP="00247CBF">
            <w:pPr>
              <w:spacing w:after="0"/>
              <w:jc w:val="center"/>
              <w:rPr>
                <w:sz w:val="20"/>
                <w:szCs w:val="20"/>
                <w:lang w:val="sr-Cyrl-CS"/>
              </w:rPr>
            </w:pPr>
            <w:r w:rsidRPr="00092ED7">
              <w:rPr>
                <w:sz w:val="20"/>
                <w:szCs w:val="20"/>
                <w:lang w:val="sr-Cyrl-CS"/>
              </w:rPr>
              <w:t>-1,1</w:t>
            </w:r>
          </w:p>
        </w:tc>
      </w:tr>
      <w:tr w:rsidR="00247CBF" w:rsidRPr="00092ED7" w14:paraId="1B3DA764" w14:textId="77777777" w:rsidTr="00247CBF">
        <w:trPr>
          <w:gridBefore w:val="1"/>
          <w:wBefore w:w="8" w:type="pct"/>
          <w:trHeight w:val="227"/>
        </w:trPr>
        <w:tc>
          <w:tcPr>
            <w:tcW w:w="4992" w:type="pct"/>
            <w:gridSpan w:val="13"/>
            <w:tcBorders>
              <w:top w:val="single" w:sz="8" w:space="0" w:color="auto"/>
              <w:left w:val="double" w:sz="6" w:space="0" w:color="auto"/>
              <w:bottom w:val="single" w:sz="8" w:space="0" w:color="auto"/>
              <w:right w:val="nil"/>
            </w:tcBorders>
            <w:shd w:val="clear" w:color="000000" w:fill="FFFFFF"/>
            <w:vAlign w:val="center"/>
            <w:hideMark/>
          </w:tcPr>
          <w:p w14:paraId="172255AE"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Доприноси промени бруто дуга</w:t>
            </w:r>
          </w:p>
        </w:tc>
      </w:tr>
      <w:tr w:rsidR="00247CBF" w:rsidRPr="00092ED7" w14:paraId="5356731F" w14:textId="77777777" w:rsidTr="00247CBF">
        <w:trPr>
          <w:gridBefore w:val="1"/>
          <w:wBefore w:w="8" w:type="pct"/>
          <w:trHeight w:val="227"/>
        </w:trPr>
        <w:tc>
          <w:tcPr>
            <w:tcW w:w="2317" w:type="pct"/>
            <w:tcBorders>
              <w:top w:val="nil"/>
              <w:left w:val="double" w:sz="6" w:space="0" w:color="auto"/>
              <w:bottom w:val="nil"/>
              <w:right w:val="dotted" w:sz="4" w:space="0" w:color="auto"/>
            </w:tcBorders>
            <w:shd w:val="clear" w:color="auto" w:fill="auto"/>
            <w:noWrap/>
            <w:vAlign w:val="center"/>
            <w:hideMark/>
          </w:tcPr>
          <w:p w14:paraId="274B5D21"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  3. Примарни резултат [2]</w:t>
            </w:r>
          </w:p>
        </w:tc>
        <w:tc>
          <w:tcPr>
            <w:tcW w:w="416" w:type="pct"/>
            <w:gridSpan w:val="2"/>
            <w:tcBorders>
              <w:top w:val="nil"/>
              <w:left w:val="nil"/>
              <w:bottom w:val="dotted" w:sz="4" w:space="0" w:color="auto"/>
              <w:right w:val="single" w:sz="8" w:space="0" w:color="auto"/>
            </w:tcBorders>
            <w:shd w:val="clear" w:color="000000" w:fill="FFFFFF"/>
            <w:vAlign w:val="center"/>
            <w:hideMark/>
          </w:tcPr>
          <w:p w14:paraId="11407E8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dotted" w:sz="4" w:space="0" w:color="auto"/>
              <w:right w:val="dotted" w:sz="4" w:space="0" w:color="auto"/>
            </w:tcBorders>
            <w:shd w:val="clear" w:color="000000" w:fill="FFFFFF"/>
            <w:vAlign w:val="center"/>
            <w:hideMark/>
          </w:tcPr>
          <w:p w14:paraId="7241C139" w14:textId="77777777" w:rsidR="00247CBF" w:rsidRPr="00092ED7" w:rsidRDefault="00247CBF" w:rsidP="00247CBF">
            <w:pPr>
              <w:spacing w:after="0"/>
              <w:jc w:val="right"/>
              <w:rPr>
                <w:sz w:val="20"/>
                <w:szCs w:val="20"/>
                <w:lang w:val="sr-Cyrl-CS"/>
              </w:rPr>
            </w:pPr>
            <w:r w:rsidRPr="00092ED7">
              <w:rPr>
                <w:sz w:val="20"/>
                <w:szCs w:val="20"/>
                <w:lang w:val="sr-Cyrl-CS"/>
              </w:rPr>
              <w:t>2,4</w:t>
            </w:r>
          </w:p>
        </w:tc>
        <w:tc>
          <w:tcPr>
            <w:tcW w:w="451" w:type="pct"/>
            <w:gridSpan w:val="2"/>
            <w:tcBorders>
              <w:top w:val="nil"/>
              <w:left w:val="nil"/>
              <w:bottom w:val="dotted" w:sz="4" w:space="0" w:color="auto"/>
              <w:right w:val="dotted" w:sz="4" w:space="0" w:color="auto"/>
            </w:tcBorders>
            <w:shd w:val="clear" w:color="000000" w:fill="FFFFFF"/>
            <w:vAlign w:val="center"/>
            <w:hideMark/>
          </w:tcPr>
          <w:p w14:paraId="5F9EA7E8" w14:textId="77777777" w:rsidR="00247CBF" w:rsidRPr="00092ED7" w:rsidRDefault="00247CBF" w:rsidP="00247CBF">
            <w:pPr>
              <w:spacing w:after="0"/>
              <w:jc w:val="right"/>
              <w:rPr>
                <w:sz w:val="20"/>
                <w:szCs w:val="20"/>
                <w:lang w:val="sr-Cyrl-CS"/>
              </w:rPr>
            </w:pPr>
            <w:r w:rsidRPr="00092ED7">
              <w:rPr>
                <w:sz w:val="20"/>
                <w:szCs w:val="20"/>
                <w:lang w:val="sr-Cyrl-CS"/>
              </w:rPr>
              <w:t>2,2</w:t>
            </w:r>
          </w:p>
        </w:tc>
        <w:tc>
          <w:tcPr>
            <w:tcW w:w="452" w:type="pct"/>
            <w:gridSpan w:val="2"/>
            <w:tcBorders>
              <w:top w:val="nil"/>
              <w:left w:val="nil"/>
              <w:bottom w:val="dotted" w:sz="4" w:space="0" w:color="auto"/>
              <w:right w:val="dotted" w:sz="4" w:space="0" w:color="auto"/>
            </w:tcBorders>
            <w:shd w:val="clear" w:color="000000" w:fill="FFFFFF"/>
            <w:vAlign w:val="center"/>
            <w:hideMark/>
          </w:tcPr>
          <w:p w14:paraId="649C6764" w14:textId="77777777" w:rsidR="00247CBF" w:rsidRPr="00092ED7" w:rsidRDefault="00247CBF" w:rsidP="00247CBF">
            <w:pPr>
              <w:spacing w:after="0"/>
              <w:jc w:val="right"/>
              <w:rPr>
                <w:sz w:val="20"/>
                <w:szCs w:val="20"/>
                <w:lang w:val="sr-Cyrl-CS"/>
              </w:rPr>
            </w:pPr>
            <w:r w:rsidRPr="00092ED7">
              <w:rPr>
                <w:sz w:val="20"/>
                <w:szCs w:val="20"/>
                <w:lang w:val="sr-Cyrl-CS"/>
              </w:rPr>
              <w:t>1,5</w:t>
            </w:r>
          </w:p>
        </w:tc>
        <w:tc>
          <w:tcPr>
            <w:tcW w:w="451" w:type="pct"/>
            <w:gridSpan w:val="2"/>
            <w:tcBorders>
              <w:top w:val="nil"/>
              <w:left w:val="nil"/>
              <w:bottom w:val="dotted" w:sz="4" w:space="0" w:color="auto"/>
              <w:right w:val="dotted" w:sz="4" w:space="0" w:color="auto"/>
            </w:tcBorders>
            <w:shd w:val="clear" w:color="000000" w:fill="FFFFFF"/>
            <w:vAlign w:val="center"/>
            <w:hideMark/>
          </w:tcPr>
          <w:p w14:paraId="5F3747AF" w14:textId="77777777" w:rsidR="00247CBF" w:rsidRPr="00092ED7" w:rsidRDefault="00247CBF" w:rsidP="00247CBF">
            <w:pPr>
              <w:spacing w:after="0"/>
              <w:jc w:val="right"/>
              <w:rPr>
                <w:sz w:val="20"/>
                <w:szCs w:val="20"/>
                <w:lang w:val="sr-Cyrl-CS"/>
              </w:rPr>
            </w:pPr>
            <w:r w:rsidRPr="00092ED7">
              <w:rPr>
                <w:sz w:val="20"/>
                <w:szCs w:val="20"/>
                <w:lang w:val="sr-Cyrl-CS"/>
              </w:rPr>
              <w:t>0,1</w:t>
            </w:r>
          </w:p>
        </w:tc>
        <w:tc>
          <w:tcPr>
            <w:tcW w:w="451" w:type="pct"/>
            <w:gridSpan w:val="2"/>
            <w:tcBorders>
              <w:top w:val="nil"/>
              <w:left w:val="nil"/>
              <w:bottom w:val="dotted" w:sz="4" w:space="0" w:color="auto"/>
              <w:right w:val="double" w:sz="6" w:space="0" w:color="auto"/>
            </w:tcBorders>
            <w:shd w:val="clear" w:color="000000" w:fill="FFFFFF"/>
            <w:vAlign w:val="center"/>
            <w:hideMark/>
          </w:tcPr>
          <w:p w14:paraId="66C5F50A" w14:textId="77777777" w:rsidR="00247CBF" w:rsidRPr="00092ED7" w:rsidRDefault="00247CBF" w:rsidP="00247CBF">
            <w:pPr>
              <w:spacing w:after="0"/>
              <w:jc w:val="right"/>
              <w:rPr>
                <w:sz w:val="20"/>
                <w:szCs w:val="20"/>
                <w:lang w:val="sr-Cyrl-CS"/>
              </w:rPr>
            </w:pPr>
            <w:r w:rsidRPr="00092ED7">
              <w:rPr>
                <w:sz w:val="20"/>
                <w:szCs w:val="20"/>
                <w:lang w:val="sr-Cyrl-CS"/>
              </w:rPr>
              <w:t>-0,6</w:t>
            </w:r>
          </w:p>
        </w:tc>
      </w:tr>
      <w:tr w:rsidR="00247CBF" w:rsidRPr="00092ED7" w14:paraId="1E241603" w14:textId="77777777" w:rsidTr="00247CBF">
        <w:trPr>
          <w:gridBefore w:val="1"/>
          <w:wBefore w:w="8" w:type="pct"/>
          <w:trHeight w:val="227"/>
        </w:trPr>
        <w:tc>
          <w:tcPr>
            <w:tcW w:w="2317" w:type="pct"/>
            <w:tcBorders>
              <w:top w:val="dotted" w:sz="4" w:space="0" w:color="auto"/>
              <w:left w:val="double" w:sz="6" w:space="0" w:color="auto"/>
              <w:bottom w:val="dotted" w:sz="4" w:space="0" w:color="auto"/>
              <w:right w:val="dotted" w:sz="4" w:space="0" w:color="auto"/>
            </w:tcBorders>
            <w:shd w:val="clear" w:color="auto" w:fill="auto"/>
            <w:noWrap/>
            <w:vAlign w:val="center"/>
            <w:hideMark/>
          </w:tcPr>
          <w:p w14:paraId="368B5B15"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  4. Расходи за камате  [3]</w:t>
            </w:r>
          </w:p>
        </w:tc>
        <w:tc>
          <w:tcPr>
            <w:tcW w:w="416" w:type="pct"/>
            <w:gridSpan w:val="2"/>
            <w:tcBorders>
              <w:top w:val="dotted" w:sz="4" w:space="0" w:color="auto"/>
              <w:left w:val="nil"/>
              <w:bottom w:val="dotted" w:sz="4" w:space="0" w:color="auto"/>
              <w:right w:val="single" w:sz="8" w:space="0" w:color="auto"/>
            </w:tcBorders>
            <w:shd w:val="clear" w:color="000000" w:fill="FFFFFF"/>
            <w:vAlign w:val="center"/>
            <w:hideMark/>
          </w:tcPr>
          <w:p w14:paraId="1B3200E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EDP D.41</w:t>
            </w:r>
          </w:p>
        </w:tc>
        <w:tc>
          <w:tcPr>
            <w:tcW w:w="451" w:type="pct"/>
            <w:gridSpan w:val="2"/>
            <w:tcBorders>
              <w:top w:val="dotted" w:sz="4" w:space="0" w:color="auto"/>
              <w:left w:val="nil"/>
              <w:bottom w:val="dotted" w:sz="4" w:space="0" w:color="auto"/>
              <w:right w:val="dotted" w:sz="4" w:space="0" w:color="auto"/>
            </w:tcBorders>
            <w:shd w:val="clear" w:color="000000" w:fill="FFFFFF"/>
            <w:vAlign w:val="center"/>
            <w:hideMark/>
          </w:tcPr>
          <w:p w14:paraId="68599AAC" w14:textId="77777777" w:rsidR="00247CBF" w:rsidRPr="00092ED7" w:rsidRDefault="00247CBF" w:rsidP="00247CBF">
            <w:pPr>
              <w:spacing w:after="0"/>
              <w:jc w:val="right"/>
              <w:rPr>
                <w:sz w:val="20"/>
                <w:szCs w:val="20"/>
                <w:lang w:val="sr-Cyrl-CS"/>
              </w:rPr>
            </w:pPr>
            <w:r w:rsidRPr="00092ED7">
              <w:rPr>
                <w:sz w:val="20"/>
                <w:szCs w:val="20"/>
                <w:lang w:val="sr-Cyrl-CS"/>
              </w:rPr>
              <w:t>1,7</w:t>
            </w:r>
          </w:p>
        </w:tc>
        <w:tc>
          <w:tcPr>
            <w:tcW w:w="451" w:type="pct"/>
            <w:gridSpan w:val="2"/>
            <w:tcBorders>
              <w:top w:val="dotted" w:sz="4" w:space="0" w:color="auto"/>
              <w:left w:val="nil"/>
              <w:bottom w:val="dotted" w:sz="4" w:space="0" w:color="auto"/>
              <w:right w:val="dotted" w:sz="4" w:space="0" w:color="auto"/>
            </w:tcBorders>
            <w:shd w:val="clear" w:color="000000" w:fill="FFFFFF"/>
            <w:vAlign w:val="center"/>
            <w:hideMark/>
          </w:tcPr>
          <w:p w14:paraId="508FA2E2" w14:textId="77777777" w:rsidR="00247CBF" w:rsidRPr="00092ED7" w:rsidRDefault="00247CBF" w:rsidP="00247CBF">
            <w:pPr>
              <w:spacing w:after="0"/>
              <w:jc w:val="right"/>
              <w:rPr>
                <w:sz w:val="20"/>
                <w:szCs w:val="20"/>
                <w:lang w:val="sr-Cyrl-CS"/>
              </w:rPr>
            </w:pPr>
            <w:r w:rsidRPr="00092ED7">
              <w:rPr>
                <w:sz w:val="20"/>
                <w:szCs w:val="20"/>
                <w:lang w:val="sr-Cyrl-CS"/>
              </w:rPr>
              <w:t>1,6</w:t>
            </w:r>
          </w:p>
        </w:tc>
        <w:tc>
          <w:tcPr>
            <w:tcW w:w="452" w:type="pct"/>
            <w:gridSpan w:val="2"/>
            <w:tcBorders>
              <w:top w:val="dotted" w:sz="4" w:space="0" w:color="auto"/>
              <w:left w:val="nil"/>
              <w:bottom w:val="dotted" w:sz="4" w:space="0" w:color="auto"/>
              <w:right w:val="dotted" w:sz="4" w:space="0" w:color="auto"/>
            </w:tcBorders>
            <w:shd w:val="clear" w:color="000000" w:fill="FFFFFF"/>
            <w:vAlign w:val="center"/>
            <w:hideMark/>
          </w:tcPr>
          <w:p w14:paraId="31688F3F" w14:textId="77777777" w:rsidR="00247CBF" w:rsidRPr="00092ED7" w:rsidRDefault="00247CBF" w:rsidP="00247CBF">
            <w:pPr>
              <w:spacing w:after="0"/>
              <w:jc w:val="right"/>
              <w:rPr>
                <w:sz w:val="20"/>
                <w:szCs w:val="20"/>
                <w:lang w:val="sr-Cyrl-CS"/>
              </w:rPr>
            </w:pPr>
            <w:r w:rsidRPr="00092ED7">
              <w:rPr>
                <w:sz w:val="20"/>
                <w:szCs w:val="20"/>
                <w:lang w:val="sr-Cyrl-CS"/>
              </w:rPr>
              <w:t>1,8</w:t>
            </w:r>
          </w:p>
        </w:tc>
        <w:tc>
          <w:tcPr>
            <w:tcW w:w="451" w:type="pct"/>
            <w:gridSpan w:val="2"/>
            <w:tcBorders>
              <w:top w:val="dotted" w:sz="4" w:space="0" w:color="auto"/>
              <w:left w:val="nil"/>
              <w:bottom w:val="dotted" w:sz="4" w:space="0" w:color="auto"/>
              <w:right w:val="dotted" w:sz="4" w:space="0" w:color="auto"/>
            </w:tcBorders>
            <w:shd w:val="clear" w:color="000000" w:fill="FFFFFF"/>
            <w:vAlign w:val="center"/>
            <w:hideMark/>
          </w:tcPr>
          <w:p w14:paraId="134C20E2" w14:textId="77777777" w:rsidR="00247CBF" w:rsidRPr="00092ED7" w:rsidRDefault="00247CBF" w:rsidP="00247CBF">
            <w:pPr>
              <w:spacing w:after="0"/>
              <w:jc w:val="right"/>
              <w:rPr>
                <w:sz w:val="20"/>
                <w:szCs w:val="20"/>
                <w:lang w:val="sr-Cyrl-CS"/>
              </w:rPr>
            </w:pPr>
            <w:r w:rsidRPr="00092ED7">
              <w:rPr>
                <w:sz w:val="20"/>
                <w:szCs w:val="20"/>
                <w:lang w:val="sr-Cyrl-CS"/>
              </w:rPr>
              <w:t>2,1</w:t>
            </w:r>
          </w:p>
        </w:tc>
        <w:tc>
          <w:tcPr>
            <w:tcW w:w="451" w:type="pct"/>
            <w:gridSpan w:val="2"/>
            <w:tcBorders>
              <w:top w:val="dotted" w:sz="4" w:space="0" w:color="auto"/>
              <w:left w:val="nil"/>
              <w:bottom w:val="dotted" w:sz="4" w:space="0" w:color="auto"/>
              <w:right w:val="double" w:sz="6" w:space="0" w:color="auto"/>
            </w:tcBorders>
            <w:shd w:val="clear" w:color="000000" w:fill="FFFFFF"/>
            <w:vAlign w:val="center"/>
            <w:hideMark/>
          </w:tcPr>
          <w:p w14:paraId="6A962C08" w14:textId="77777777" w:rsidR="00247CBF" w:rsidRPr="00092ED7" w:rsidRDefault="00247CBF" w:rsidP="00247CBF">
            <w:pPr>
              <w:spacing w:after="0"/>
              <w:jc w:val="right"/>
              <w:rPr>
                <w:sz w:val="20"/>
                <w:szCs w:val="20"/>
                <w:lang w:val="sr-Cyrl-CS"/>
              </w:rPr>
            </w:pPr>
            <w:r w:rsidRPr="00092ED7">
              <w:rPr>
                <w:sz w:val="20"/>
                <w:szCs w:val="20"/>
                <w:lang w:val="sr-Cyrl-CS"/>
              </w:rPr>
              <w:t>1,9</w:t>
            </w:r>
          </w:p>
        </w:tc>
      </w:tr>
      <w:tr w:rsidR="00247CBF" w:rsidRPr="00092ED7" w14:paraId="4DB74EC3" w14:textId="77777777" w:rsidTr="00247CBF">
        <w:trPr>
          <w:gridBefore w:val="1"/>
          <w:wBefore w:w="8" w:type="pct"/>
          <w:trHeight w:val="227"/>
        </w:trPr>
        <w:tc>
          <w:tcPr>
            <w:tcW w:w="2317" w:type="pct"/>
            <w:tcBorders>
              <w:top w:val="nil"/>
              <w:left w:val="double" w:sz="6" w:space="0" w:color="auto"/>
              <w:bottom w:val="dotted" w:sz="4" w:space="0" w:color="auto"/>
              <w:right w:val="dotted" w:sz="4" w:space="0" w:color="auto"/>
            </w:tcBorders>
            <w:shd w:val="clear" w:color="auto" w:fill="auto"/>
            <w:noWrap/>
            <w:vAlign w:val="center"/>
            <w:hideMark/>
          </w:tcPr>
          <w:p w14:paraId="696D222A"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  5. Ефекат реалног раста</w:t>
            </w:r>
          </w:p>
        </w:tc>
        <w:tc>
          <w:tcPr>
            <w:tcW w:w="416" w:type="pct"/>
            <w:gridSpan w:val="2"/>
            <w:tcBorders>
              <w:top w:val="nil"/>
              <w:left w:val="nil"/>
              <w:bottom w:val="dotted" w:sz="4" w:space="0" w:color="auto"/>
              <w:right w:val="single" w:sz="8" w:space="0" w:color="auto"/>
            </w:tcBorders>
            <w:shd w:val="clear" w:color="000000" w:fill="FFFFFF"/>
            <w:vAlign w:val="center"/>
            <w:hideMark/>
          </w:tcPr>
          <w:p w14:paraId="1AC4A47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dotted" w:sz="4" w:space="0" w:color="auto"/>
              <w:right w:val="dotted" w:sz="4" w:space="0" w:color="auto"/>
            </w:tcBorders>
            <w:shd w:val="clear" w:color="000000" w:fill="FFFFFF"/>
            <w:vAlign w:val="center"/>
            <w:hideMark/>
          </w:tcPr>
          <w:p w14:paraId="04E71339" w14:textId="77777777" w:rsidR="00247CBF" w:rsidRPr="00092ED7" w:rsidRDefault="00247CBF" w:rsidP="00247CBF">
            <w:pPr>
              <w:spacing w:after="0"/>
              <w:jc w:val="right"/>
              <w:rPr>
                <w:sz w:val="20"/>
                <w:szCs w:val="20"/>
                <w:lang w:val="sr-Cyrl-CS"/>
              </w:rPr>
            </w:pPr>
            <w:r w:rsidRPr="00092ED7">
              <w:rPr>
                <w:sz w:val="20"/>
                <w:szCs w:val="20"/>
                <w:lang w:val="sr-Cyrl-CS"/>
              </w:rPr>
              <w:t>-3,8</w:t>
            </w:r>
          </w:p>
        </w:tc>
        <w:tc>
          <w:tcPr>
            <w:tcW w:w="451" w:type="pct"/>
            <w:gridSpan w:val="2"/>
            <w:tcBorders>
              <w:top w:val="nil"/>
              <w:left w:val="nil"/>
              <w:bottom w:val="dotted" w:sz="4" w:space="0" w:color="auto"/>
              <w:right w:val="dotted" w:sz="4" w:space="0" w:color="auto"/>
            </w:tcBorders>
            <w:shd w:val="clear" w:color="000000" w:fill="FFFFFF"/>
            <w:vAlign w:val="center"/>
            <w:hideMark/>
          </w:tcPr>
          <w:p w14:paraId="2FD933F2" w14:textId="77777777" w:rsidR="00247CBF" w:rsidRPr="00092ED7" w:rsidRDefault="00247CBF" w:rsidP="00247CBF">
            <w:pPr>
              <w:spacing w:after="0"/>
              <w:jc w:val="right"/>
              <w:rPr>
                <w:sz w:val="20"/>
                <w:szCs w:val="20"/>
                <w:lang w:val="sr-Cyrl-CS"/>
              </w:rPr>
            </w:pPr>
            <w:r w:rsidRPr="00092ED7">
              <w:rPr>
                <w:sz w:val="20"/>
                <w:szCs w:val="20"/>
                <w:lang w:val="sr-Cyrl-CS"/>
              </w:rPr>
              <w:t>-1,3</w:t>
            </w:r>
          </w:p>
        </w:tc>
        <w:tc>
          <w:tcPr>
            <w:tcW w:w="452" w:type="pct"/>
            <w:gridSpan w:val="2"/>
            <w:tcBorders>
              <w:top w:val="nil"/>
              <w:left w:val="nil"/>
              <w:bottom w:val="dotted" w:sz="4" w:space="0" w:color="auto"/>
              <w:right w:val="dotted" w:sz="4" w:space="0" w:color="auto"/>
            </w:tcBorders>
            <w:shd w:val="clear" w:color="000000" w:fill="FFFFFF"/>
            <w:vAlign w:val="center"/>
            <w:hideMark/>
          </w:tcPr>
          <w:p w14:paraId="3AAA9445" w14:textId="77777777" w:rsidR="00247CBF" w:rsidRPr="00092ED7" w:rsidRDefault="00247CBF" w:rsidP="00247CBF">
            <w:pPr>
              <w:spacing w:after="0"/>
              <w:jc w:val="right"/>
              <w:rPr>
                <w:sz w:val="20"/>
                <w:szCs w:val="20"/>
                <w:lang w:val="sr-Cyrl-CS"/>
              </w:rPr>
            </w:pPr>
            <w:r w:rsidRPr="00092ED7">
              <w:rPr>
                <w:sz w:val="20"/>
                <w:szCs w:val="20"/>
                <w:lang w:val="sr-Cyrl-CS"/>
              </w:rPr>
              <w:t>-1,2</w:t>
            </w:r>
          </w:p>
        </w:tc>
        <w:tc>
          <w:tcPr>
            <w:tcW w:w="451" w:type="pct"/>
            <w:gridSpan w:val="2"/>
            <w:tcBorders>
              <w:top w:val="nil"/>
              <w:left w:val="nil"/>
              <w:bottom w:val="dotted" w:sz="4" w:space="0" w:color="auto"/>
              <w:right w:val="dotted" w:sz="4" w:space="0" w:color="auto"/>
            </w:tcBorders>
            <w:shd w:val="clear" w:color="000000" w:fill="FFFFFF"/>
            <w:vAlign w:val="center"/>
            <w:hideMark/>
          </w:tcPr>
          <w:p w14:paraId="3D06EE3D" w14:textId="77777777" w:rsidR="00247CBF" w:rsidRPr="00092ED7" w:rsidRDefault="00247CBF" w:rsidP="00247CBF">
            <w:pPr>
              <w:spacing w:after="0"/>
              <w:jc w:val="right"/>
              <w:rPr>
                <w:sz w:val="20"/>
                <w:szCs w:val="20"/>
                <w:lang w:val="sr-Cyrl-CS"/>
              </w:rPr>
            </w:pPr>
            <w:r w:rsidRPr="00092ED7">
              <w:rPr>
                <w:sz w:val="20"/>
                <w:szCs w:val="20"/>
                <w:lang w:val="sr-Cyrl-CS"/>
              </w:rPr>
              <w:t>-1,8</w:t>
            </w:r>
          </w:p>
        </w:tc>
        <w:tc>
          <w:tcPr>
            <w:tcW w:w="451" w:type="pct"/>
            <w:gridSpan w:val="2"/>
            <w:tcBorders>
              <w:top w:val="nil"/>
              <w:left w:val="nil"/>
              <w:bottom w:val="dotted" w:sz="4" w:space="0" w:color="auto"/>
              <w:right w:val="double" w:sz="6" w:space="0" w:color="auto"/>
            </w:tcBorders>
            <w:shd w:val="clear" w:color="000000" w:fill="FFFFFF"/>
            <w:vAlign w:val="center"/>
            <w:hideMark/>
          </w:tcPr>
          <w:p w14:paraId="4DEE6576" w14:textId="77777777" w:rsidR="00247CBF" w:rsidRPr="00092ED7" w:rsidRDefault="00247CBF" w:rsidP="00247CBF">
            <w:pPr>
              <w:spacing w:after="0"/>
              <w:jc w:val="right"/>
              <w:rPr>
                <w:sz w:val="20"/>
                <w:szCs w:val="20"/>
                <w:lang w:val="sr-Cyrl-CS"/>
              </w:rPr>
            </w:pPr>
            <w:r w:rsidRPr="00092ED7">
              <w:rPr>
                <w:sz w:val="20"/>
                <w:szCs w:val="20"/>
                <w:lang w:val="sr-Cyrl-CS"/>
              </w:rPr>
              <w:t>-2,0</w:t>
            </w:r>
          </w:p>
        </w:tc>
      </w:tr>
      <w:tr w:rsidR="00247CBF" w:rsidRPr="00092ED7" w14:paraId="1FDC0486" w14:textId="77777777" w:rsidTr="00247CBF">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vAlign w:val="center"/>
            <w:hideMark/>
          </w:tcPr>
          <w:p w14:paraId="0C556217"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  6. Ефекат инфлације</w:t>
            </w:r>
          </w:p>
        </w:tc>
        <w:tc>
          <w:tcPr>
            <w:tcW w:w="416" w:type="pct"/>
            <w:gridSpan w:val="2"/>
            <w:tcBorders>
              <w:top w:val="nil"/>
              <w:left w:val="nil"/>
              <w:bottom w:val="single" w:sz="4" w:space="0" w:color="auto"/>
              <w:right w:val="single" w:sz="8" w:space="0" w:color="auto"/>
            </w:tcBorders>
            <w:shd w:val="clear" w:color="000000" w:fill="FFFFFF"/>
            <w:vAlign w:val="center"/>
            <w:hideMark/>
          </w:tcPr>
          <w:p w14:paraId="42A0B84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2AC9CD1D" w14:textId="77777777" w:rsidR="00247CBF" w:rsidRPr="00092ED7" w:rsidRDefault="00247CBF" w:rsidP="00247CBF">
            <w:pPr>
              <w:spacing w:after="0"/>
              <w:jc w:val="right"/>
              <w:rPr>
                <w:sz w:val="20"/>
                <w:szCs w:val="20"/>
                <w:lang w:val="sr-Cyrl-CS"/>
              </w:rPr>
            </w:pPr>
            <w:r w:rsidRPr="00092ED7">
              <w:rPr>
                <w:sz w:val="20"/>
                <w:szCs w:val="20"/>
                <w:lang w:val="sr-Cyrl-CS"/>
              </w:rPr>
              <w:t>-3,0</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1ACEA528" w14:textId="77777777" w:rsidR="00247CBF" w:rsidRPr="00092ED7" w:rsidRDefault="00247CBF" w:rsidP="00247CBF">
            <w:pPr>
              <w:spacing w:after="0"/>
              <w:jc w:val="right"/>
              <w:rPr>
                <w:sz w:val="20"/>
                <w:szCs w:val="20"/>
                <w:lang w:val="sr-Cyrl-CS"/>
              </w:rPr>
            </w:pPr>
            <w:r w:rsidRPr="00092ED7">
              <w:rPr>
                <w:sz w:val="20"/>
                <w:szCs w:val="20"/>
                <w:lang w:val="sr-Cyrl-CS"/>
              </w:rPr>
              <w:t>-5,1</w:t>
            </w:r>
          </w:p>
        </w:tc>
        <w:tc>
          <w:tcPr>
            <w:tcW w:w="452" w:type="pct"/>
            <w:gridSpan w:val="2"/>
            <w:tcBorders>
              <w:top w:val="nil"/>
              <w:left w:val="nil"/>
              <w:bottom w:val="single" w:sz="4" w:space="0" w:color="auto"/>
              <w:right w:val="dotted" w:sz="4" w:space="0" w:color="auto"/>
            </w:tcBorders>
            <w:shd w:val="clear" w:color="000000" w:fill="FFFFFF"/>
            <w:vAlign w:val="center"/>
            <w:hideMark/>
          </w:tcPr>
          <w:p w14:paraId="04A2BE49" w14:textId="77777777" w:rsidR="00247CBF" w:rsidRPr="00092ED7" w:rsidRDefault="00247CBF" w:rsidP="00247CBF">
            <w:pPr>
              <w:spacing w:after="0"/>
              <w:jc w:val="right"/>
              <w:rPr>
                <w:sz w:val="20"/>
                <w:szCs w:val="20"/>
                <w:lang w:val="sr-Cyrl-CS"/>
              </w:rPr>
            </w:pPr>
            <w:r w:rsidRPr="00092ED7">
              <w:rPr>
                <w:sz w:val="20"/>
                <w:szCs w:val="20"/>
                <w:lang w:val="sr-Cyrl-CS"/>
              </w:rPr>
              <w:t>-5,3</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726AA652" w14:textId="77777777" w:rsidR="00247CBF" w:rsidRPr="00092ED7" w:rsidRDefault="00247CBF" w:rsidP="00247CBF">
            <w:pPr>
              <w:spacing w:after="0"/>
              <w:jc w:val="right"/>
              <w:rPr>
                <w:sz w:val="20"/>
                <w:szCs w:val="20"/>
                <w:lang w:val="sr-Cyrl-CS"/>
              </w:rPr>
            </w:pPr>
            <w:r w:rsidRPr="00092ED7">
              <w:rPr>
                <w:sz w:val="20"/>
                <w:szCs w:val="20"/>
                <w:lang w:val="sr-Cyrl-CS"/>
              </w:rPr>
              <w:t>-2,9</w:t>
            </w:r>
          </w:p>
        </w:tc>
        <w:tc>
          <w:tcPr>
            <w:tcW w:w="451" w:type="pct"/>
            <w:gridSpan w:val="2"/>
            <w:tcBorders>
              <w:top w:val="nil"/>
              <w:left w:val="nil"/>
              <w:bottom w:val="single" w:sz="4" w:space="0" w:color="auto"/>
              <w:right w:val="double" w:sz="6" w:space="0" w:color="auto"/>
            </w:tcBorders>
            <w:shd w:val="clear" w:color="000000" w:fill="FFFFFF"/>
            <w:vAlign w:val="center"/>
            <w:hideMark/>
          </w:tcPr>
          <w:p w14:paraId="007B93A6" w14:textId="77777777" w:rsidR="00247CBF" w:rsidRPr="00092ED7" w:rsidRDefault="00247CBF" w:rsidP="00247CBF">
            <w:pPr>
              <w:spacing w:after="0"/>
              <w:jc w:val="right"/>
              <w:rPr>
                <w:sz w:val="20"/>
                <w:szCs w:val="20"/>
                <w:lang w:val="sr-Cyrl-CS"/>
              </w:rPr>
            </w:pPr>
            <w:r w:rsidRPr="00092ED7">
              <w:rPr>
                <w:sz w:val="20"/>
                <w:szCs w:val="20"/>
                <w:lang w:val="sr-Cyrl-CS"/>
              </w:rPr>
              <w:t>-2,2</w:t>
            </w:r>
          </w:p>
        </w:tc>
      </w:tr>
      <w:tr w:rsidR="00247CBF" w:rsidRPr="00092ED7" w14:paraId="4AD54716" w14:textId="77777777" w:rsidTr="00247CBF">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000000" w:fill="FFFFFF"/>
            <w:vAlign w:val="center"/>
            <w:hideMark/>
          </w:tcPr>
          <w:p w14:paraId="56A64B84" w14:textId="77777777" w:rsidR="00247CBF" w:rsidRPr="00092ED7" w:rsidRDefault="00247CBF" w:rsidP="00247CBF">
            <w:pPr>
              <w:spacing w:after="0"/>
              <w:jc w:val="left"/>
              <w:rPr>
                <w:rFonts w:eastAsia="Times New Roman" w:cs="Times New Roman"/>
                <w:b/>
                <w:bCs/>
                <w:sz w:val="20"/>
                <w:szCs w:val="20"/>
                <w:lang w:val="sr-Cyrl-CS"/>
              </w:rPr>
            </w:pPr>
            <w:bookmarkStart w:id="148" w:name="RANGE!B14"/>
            <w:r w:rsidRPr="00092ED7">
              <w:rPr>
                <w:rFonts w:eastAsia="Times New Roman" w:cs="Times New Roman"/>
                <w:b/>
                <w:bCs/>
                <w:sz w:val="20"/>
                <w:szCs w:val="20"/>
                <w:lang w:val="sr-Cyrl-CS"/>
              </w:rPr>
              <w:t xml:space="preserve">  7. Прилагођавање стања и промена дуга (stock-flow adjustment)</w:t>
            </w:r>
            <w:bookmarkEnd w:id="148"/>
          </w:p>
        </w:tc>
        <w:tc>
          <w:tcPr>
            <w:tcW w:w="416" w:type="pct"/>
            <w:gridSpan w:val="2"/>
            <w:tcBorders>
              <w:top w:val="dotted" w:sz="4" w:space="0" w:color="auto"/>
              <w:left w:val="nil"/>
              <w:bottom w:val="single" w:sz="4" w:space="0" w:color="auto"/>
              <w:right w:val="single" w:sz="8" w:space="0" w:color="auto"/>
            </w:tcBorders>
            <w:shd w:val="clear" w:color="000000" w:fill="FFFFFF"/>
            <w:vAlign w:val="center"/>
            <w:hideMark/>
          </w:tcPr>
          <w:p w14:paraId="44ABED3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dotted" w:sz="4" w:space="0" w:color="auto"/>
              <w:left w:val="nil"/>
              <w:bottom w:val="single" w:sz="4" w:space="0" w:color="auto"/>
              <w:right w:val="dotted" w:sz="4" w:space="0" w:color="auto"/>
            </w:tcBorders>
            <w:shd w:val="clear" w:color="000000" w:fill="FFFFFF"/>
            <w:vAlign w:val="center"/>
            <w:hideMark/>
          </w:tcPr>
          <w:p w14:paraId="12B7580E" w14:textId="77777777" w:rsidR="00247CBF" w:rsidRPr="00092ED7" w:rsidRDefault="00247CBF" w:rsidP="00247CBF">
            <w:pPr>
              <w:spacing w:after="0"/>
              <w:jc w:val="right"/>
              <w:rPr>
                <w:sz w:val="20"/>
                <w:szCs w:val="20"/>
                <w:lang w:val="sr-Cyrl-CS"/>
              </w:rPr>
            </w:pPr>
            <w:r w:rsidRPr="00092ED7">
              <w:rPr>
                <w:sz w:val="20"/>
                <w:szCs w:val="20"/>
                <w:lang w:val="sr-Cyrl-CS"/>
              </w:rPr>
              <w:t>2,0</w:t>
            </w:r>
          </w:p>
        </w:tc>
        <w:tc>
          <w:tcPr>
            <w:tcW w:w="451" w:type="pct"/>
            <w:gridSpan w:val="2"/>
            <w:tcBorders>
              <w:top w:val="dotted" w:sz="4" w:space="0" w:color="auto"/>
              <w:left w:val="nil"/>
              <w:bottom w:val="single" w:sz="4" w:space="0" w:color="auto"/>
              <w:right w:val="dotted" w:sz="4" w:space="0" w:color="auto"/>
            </w:tcBorders>
            <w:shd w:val="clear" w:color="000000" w:fill="FFFFFF"/>
            <w:vAlign w:val="center"/>
            <w:hideMark/>
          </w:tcPr>
          <w:p w14:paraId="1EB9D01A" w14:textId="77777777" w:rsidR="00247CBF" w:rsidRPr="00092ED7" w:rsidRDefault="00247CBF" w:rsidP="00247CBF">
            <w:pPr>
              <w:spacing w:after="0"/>
              <w:jc w:val="right"/>
              <w:rPr>
                <w:sz w:val="20"/>
                <w:szCs w:val="20"/>
                <w:lang w:val="sr-Cyrl-CS"/>
              </w:rPr>
            </w:pPr>
            <w:r w:rsidRPr="00092ED7">
              <w:rPr>
                <w:sz w:val="20"/>
                <w:szCs w:val="20"/>
                <w:lang w:val="sr-Cyrl-CS"/>
              </w:rPr>
              <w:t>2,4</w:t>
            </w:r>
          </w:p>
        </w:tc>
        <w:tc>
          <w:tcPr>
            <w:tcW w:w="452" w:type="pct"/>
            <w:gridSpan w:val="2"/>
            <w:tcBorders>
              <w:top w:val="dotted" w:sz="4" w:space="0" w:color="auto"/>
              <w:left w:val="nil"/>
              <w:bottom w:val="single" w:sz="4" w:space="0" w:color="auto"/>
              <w:right w:val="dotted" w:sz="4" w:space="0" w:color="auto"/>
            </w:tcBorders>
            <w:shd w:val="clear" w:color="000000" w:fill="FFFFFF"/>
            <w:vAlign w:val="center"/>
            <w:hideMark/>
          </w:tcPr>
          <w:p w14:paraId="59714611" w14:textId="77777777" w:rsidR="00247CBF" w:rsidRPr="00092ED7" w:rsidRDefault="00247CBF" w:rsidP="00247CBF">
            <w:pPr>
              <w:spacing w:after="0"/>
              <w:jc w:val="right"/>
              <w:rPr>
                <w:sz w:val="20"/>
                <w:szCs w:val="20"/>
                <w:lang w:val="sr-Cyrl-CS"/>
              </w:rPr>
            </w:pPr>
            <w:r w:rsidRPr="00092ED7">
              <w:rPr>
                <w:sz w:val="20"/>
                <w:szCs w:val="20"/>
                <w:lang w:val="sr-Cyrl-CS"/>
              </w:rPr>
              <w:t>2,4</w:t>
            </w:r>
          </w:p>
        </w:tc>
        <w:tc>
          <w:tcPr>
            <w:tcW w:w="451" w:type="pct"/>
            <w:gridSpan w:val="2"/>
            <w:tcBorders>
              <w:top w:val="dotted" w:sz="4" w:space="0" w:color="auto"/>
              <w:left w:val="nil"/>
              <w:bottom w:val="single" w:sz="4" w:space="0" w:color="auto"/>
              <w:right w:val="dotted" w:sz="4" w:space="0" w:color="auto"/>
            </w:tcBorders>
            <w:shd w:val="clear" w:color="000000" w:fill="FFFFFF"/>
            <w:vAlign w:val="center"/>
            <w:hideMark/>
          </w:tcPr>
          <w:p w14:paraId="6999E519" w14:textId="77777777" w:rsidR="00247CBF" w:rsidRPr="00092ED7" w:rsidRDefault="00247CBF" w:rsidP="00247CBF">
            <w:pPr>
              <w:spacing w:after="0"/>
              <w:jc w:val="right"/>
              <w:rPr>
                <w:sz w:val="20"/>
                <w:szCs w:val="20"/>
                <w:lang w:val="sr-Cyrl-CS"/>
              </w:rPr>
            </w:pPr>
            <w:r w:rsidRPr="00092ED7">
              <w:rPr>
                <w:sz w:val="20"/>
                <w:szCs w:val="20"/>
                <w:lang w:val="sr-Cyrl-CS"/>
              </w:rPr>
              <w:t>1,5</w:t>
            </w:r>
          </w:p>
        </w:tc>
        <w:tc>
          <w:tcPr>
            <w:tcW w:w="451" w:type="pct"/>
            <w:gridSpan w:val="2"/>
            <w:tcBorders>
              <w:top w:val="dotted" w:sz="4" w:space="0" w:color="auto"/>
              <w:left w:val="nil"/>
              <w:bottom w:val="single" w:sz="4" w:space="0" w:color="auto"/>
              <w:right w:val="double" w:sz="6" w:space="0" w:color="auto"/>
            </w:tcBorders>
            <w:shd w:val="clear" w:color="000000" w:fill="FFFFFF"/>
            <w:vAlign w:val="center"/>
            <w:hideMark/>
          </w:tcPr>
          <w:p w14:paraId="4FF6D1A3" w14:textId="77777777" w:rsidR="00247CBF" w:rsidRPr="00092ED7" w:rsidRDefault="00247CBF" w:rsidP="00247CBF">
            <w:pPr>
              <w:spacing w:after="0"/>
              <w:jc w:val="right"/>
              <w:rPr>
                <w:sz w:val="20"/>
                <w:szCs w:val="20"/>
                <w:lang w:val="sr-Cyrl-CS"/>
              </w:rPr>
            </w:pPr>
            <w:r w:rsidRPr="00092ED7">
              <w:rPr>
                <w:sz w:val="20"/>
                <w:szCs w:val="20"/>
                <w:lang w:val="sr-Cyrl-CS"/>
              </w:rPr>
              <w:t>1,7</w:t>
            </w:r>
          </w:p>
        </w:tc>
      </w:tr>
      <w:tr w:rsidR="00247CBF" w:rsidRPr="00092ED7" w14:paraId="0FC2FEAE" w14:textId="77777777" w:rsidTr="00247CBF">
        <w:trPr>
          <w:gridBefore w:val="1"/>
          <w:wBefore w:w="8" w:type="pct"/>
          <w:trHeight w:val="227"/>
        </w:trPr>
        <w:tc>
          <w:tcPr>
            <w:tcW w:w="2317" w:type="pct"/>
            <w:tcBorders>
              <w:top w:val="nil"/>
              <w:left w:val="double" w:sz="6" w:space="0" w:color="auto"/>
              <w:bottom w:val="nil"/>
              <w:right w:val="dotted" w:sz="4" w:space="0" w:color="auto"/>
            </w:tcBorders>
            <w:shd w:val="clear" w:color="000000" w:fill="FFFFFF"/>
            <w:vAlign w:val="center"/>
            <w:hideMark/>
          </w:tcPr>
          <w:p w14:paraId="7314EDE8" w14:textId="77777777" w:rsidR="00247CBF" w:rsidRPr="00092ED7" w:rsidRDefault="00247CBF" w:rsidP="00247CBF">
            <w:pPr>
              <w:spacing w:after="0"/>
              <w:jc w:val="left"/>
              <w:rPr>
                <w:rFonts w:eastAsia="Times New Roman" w:cs="Times New Roman"/>
                <w:i/>
                <w:iCs/>
                <w:sz w:val="20"/>
                <w:szCs w:val="20"/>
                <w:lang w:val="sr-Cyrl-CS"/>
              </w:rPr>
            </w:pPr>
            <w:r w:rsidRPr="00092ED7">
              <w:rPr>
                <w:rFonts w:eastAsia="Times New Roman" w:cs="Times New Roman"/>
                <w:i/>
                <w:iCs/>
                <w:sz w:val="20"/>
                <w:szCs w:val="20"/>
                <w:lang w:val="sr-Cyrl-CS"/>
              </w:rPr>
              <w:t>од чега:</w:t>
            </w:r>
          </w:p>
        </w:tc>
        <w:tc>
          <w:tcPr>
            <w:tcW w:w="416" w:type="pct"/>
            <w:gridSpan w:val="2"/>
            <w:tcBorders>
              <w:top w:val="nil"/>
              <w:left w:val="nil"/>
              <w:bottom w:val="nil"/>
              <w:right w:val="single" w:sz="8" w:space="0" w:color="auto"/>
            </w:tcBorders>
            <w:shd w:val="clear" w:color="000000" w:fill="FFFFFF"/>
            <w:vAlign w:val="center"/>
            <w:hideMark/>
          </w:tcPr>
          <w:p w14:paraId="04F7D21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nil"/>
              <w:right w:val="dotted" w:sz="4" w:space="0" w:color="auto"/>
            </w:tcBorders>
            <w:shd w:val="clear" w:color="000000" w:fill="FFFFFF"/>
            <w:vAlign w:val="center"/>
            <w:hideMark/>
          </w:tcPr>
          <w:p w14:paraId="3243C37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51" w:type="pct"/>
            <w:gridSpan w:val="2"/>
            <w:tcBorders>
              <w:top w:val="nil"/>
              <w:left w:val="nil"/>
              <w:bottom w:val="nil"/>
              <w:right w:val="dotted" w:sz="4" w:space="0" w:color="auto"/>
            </w:tcBorders>
            <w:shd w:val="clear" w:color="000000" w:fill="FFFFFF"/>
            <w:vAlign w:val="center"/>
            <w:hideMark/>
          </w:tcPr>
          <w:p w14:paraId="6CADFFB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52" w:type="pct"/>
            <w:gridSpan w:val="2"/>
            <w:tcBorders>
              <w:top w:val="nil"/>
              <w:left w:val="nil"/>
              <w:bottom w:val="nil"/>
              <w:right w:val="dotted" w:sz="4" w:space="0" w:color="auto"/>
            </w:tcBorders>
            <w:shd w:val="clear" w:color="000000" w:fill="FFFFFF"/>
            <w:vAlign w:val="center"/>
            <w:hideMark/>
          </w:tcPr>
          <w:p w14:paraId="6A383A1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51" w:type="pct"/>
            <w:gridSpan w:val="2"/>
            <w:tcBorders>
              <w:top w:val="nil"/>
              <w:left w:val="nil"/>
              <w:bottom w:val="nil"/>
              <w:right w:val="dotted" w:sz="4" w:space="0" w:color="auto"/>
            </w:tcBorders>
            <w:shd w:val="clear" w:color="000000" w:fill="FFFFFF"/>
            <w:vAlign w:val="center"/>
            <w:hideMark/>
          </w:tcPr>
          <w:p w14:paraId="0A197520"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51" w:type="pct"/>
            <w:gridSpan w:val="2"/>
            <w:tcBorders>
              <w:top w:val="nil"/>
              <w:left w:val="nil"/>
              <w:bottom w:val="nil"/>
              <w:right w:val="double" w:sz="6" w:space="0" w:color="auto"/>
            </w:tcBorders>
            <w:shd w:val="clear" w:color="000000" w:fill="FFFFFF"/>
            <w:vAlign w:val="center"/>
            <w:hideMark/>
          </w:tcPr>
          <w:p w14:paraId="0DAF0E44"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1C84C73A" w14:textId="77777777" w:rsidTr="00247CBF">
        <w:trPr>
          <w:gridBefore w:val="1"/>
          <w:wBefore w:w="8" w:type="pct"/>
          <w:trHeight w:val="227"/>
        </w:trPr>
        <w:tc>
          <w:tcPr>
            <w:tcW w:w="2317" w:type="pct"/>
            <w:tcBorders>
              <w:top w:val="nil"/>
              <w:left w:val="double" w:sz="6" w:space="0" w:color="auto"/>
              <w:bottom w:val="nil"/>
              <w:right w:val="dotted" w:sz="4" w:space="0" w:color="auto"/>
            </w:tcBorders>
            <w:shd w:val="clear" w:color="000000" w:fill="FFFFFF"/>
            <w:noWrap/>
            <w:vAlign w:val="center"/>
            <w:hideMark/>
          </w:tcPr>
          <w:p w14:paraId="46B100A0"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 xml:space="preserve">   - Разлике између готовинске и обрачунске основе[4]</w:t>
            </w:r>
          </w:p>
        </w:tc>
        <w:tc>
          <w:tcPr>
            <w:tcW w:w="416" w:type="pct"/>
            <w:gridSpan w:val="2"/>
            <w:tcBorders>
              <w:top w:val="nil"/>
              <w:left w:val="nil"/>
              <w:bottom w:val="nil"/>
              <w:right w:val="single" w:sz="8" w:space="0" w:color="auto"/>
            </w:tcBorders>
            <w:shd w:val="clear" w:color="000000" w:fill="FFFFFF"/>
            <w:vAlign w:val="center"/>
            <w:hideMark/>
          </w:tcPr>
          <w:p w14:paraId="0F71C26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nil"/>
              <w:right w:val="dotted" w:sz="4" w:space="0" w:color="auto"/>
            </w:tcBorders>
            <w:shd w:val="clear" w:color="000000" w:fill="FFFFFF"/>
            <w:vAlign w:val="center"/>
            <w:hideMark/>
          </w:tcPr>
          <w:p w14:paraId="1A3CDAAB"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nil"/>
              <w:right w:val="dotted" w:sz="4" w:space="0" w:color="auto"/>
            </w:tcBorders>
            <w:shd w:val="clear" w:color="000000" w:fill="FFFFFF"/>
            <w:vAlign w:val="center"/>
            <w:hideMark/>
          </w:tcPr>
          <w:p w14:paraId="2B9D8A65"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2" w:type="pct"/>
            <w:gridSpan w:val="2"/>
            <w:tcBorders>
              <w:top w:val="nil"/>
              <w:left w:val="nil"/>
              <w:bottom w:val="nil"/>
              <w:right w:val="dotted" w:sz="4" w:space="0" w:color="auto"/>
            </w:tcBorders>
            <w:shd w:val="clear" w:color="000000" w:fill="FFFFFF"/>
            <w:vAlign w:val="center"/>
            <w:hideMark/>
          </w:tcPr>
          <w:p w14:paraId="55D307FA"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nil"/>
              <w:right w:val="dotted" w:sz="4" w:space="0" w:color="auto"/>
            </w:tcBorders>
            <w:shd w:val="clear" w:color="000000" w:fill="FFFFFF"/>
            <w:vAlign w:val="center"/>
            <w:hideMark/>
          </w:tcPr>
          <w:p w14:paraId="1BE5E00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nil"/>
              <w:right w:val="double" w:sz="6" w:space="0" w:color="auto"/>
            </w:tcBorders>
            <w:shd w:val="clear" w:color="000000" w:fill="FFFFFF"/>
            <w:vAlign w:val="center"/>
            <w:hideMark/>
          </w:tcPr>
          <w:p w14:paraId="5CCF6C90"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1A68D862" w14:textId="77777777" w:rsidTr="00247CBF">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vAlign w:val="center"/>
            <w:hideMark/>
          </w:tcPr>
          <w:p w14:paraId="2CDBB9AA"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 xml:space="preserve">  - Нето акумулација финансијских средстава [5]</w:t>
            </w:r>
          </w:p>
        </w:tc>
        <w:tc>
          <w:tcPr>
            <w:tcW w:w="416" w:type="pct"/>
            <w:gridSpan w:val="2"/>
            <w:tcBorders>
              <w:top w:val="nil"/>
              <w:left w:val="nil"/>
              <w:bottom w:val="single" w:sz="4" w:space="0" w:color="auto"/>
              <w:right w:val="single" w:sz="8" w:space="0" w:color="auto"/>
            </w:tcBorders>
            <w:shd w:val="clear" w:color="000000" w:fill="FFFFFF"/>
            <w:vAlign w:val="center"/>
            <w:hideMark/>
          </w:tcPr>
          <w:p w14:paraId="046E6E1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1B81950A"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553F54B5"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2" w:type="pct"/>
            <w:gridSpan w:val="2"/>
            <w:tcBorders>
              <w:top w:val="nil"/>
              <w:left w:val="nil"/>
              <w:bottom w:val="single" w:sz="4" w:space="0" w:color="auto"/>
              <w:right w:val="dotted" w:sz="4" w:space="0" w:color="auto"/>
            </w:tcBorders>
            <w:shd w:val="clear" w:color="000000" w:fill="FFFFFF"/>
            <w:vAlign w:val="center"/>
            <w:hideMark/>
          </w:tcPr>
          <w:p w14:paraId="79A186CE"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44BD91FC"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single" w:sz="4" w:space="0" w:color="auto"/>
              <w:right w:val="double" w:sz="6" w:space="0" w:color="auto"/>
            </w:tcBorders>
            <w:shd w:val="clear" w:color="000000" w:fill="FFFFFF"/>
            <w:vAlign w:val="center"/>
            <w:hideMark/>
          </w:tcPr>
          <w:p w14:paraId="379641D8"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1E512090" w14:textId="77777777" w:rsidTr="00247CBF">
        <w:trPr>
          <w:gridBefore w:val="1"/>
          <w:wBefore w:w="8" w:type="pct"/>
          <w:trHeight w:val="227"/>
        </w:trPr>
        <w:tc>
          <w:tcPr>
            <w:tcW w:w="2317" w:type="pct"/>
            <w:tcBorders>
              <w:top w:val="nil"/>
              <w:left w:val="double" w:sz="6" w:space="0" w:color="auto"/>
              <w:bottom w:val="nil"/>
              <w:right w:val="dotted" w:sz="4" w:space="0" w:color="auto"/>
            </w:tcBorders>
            <w:shd w:val="clear" w:color="000000" w:fill="FFFFFF"/>
            <w:vAlign w:val="center"/>
            <w:hideMark/>
          </w:tcPr>
          <w:p w14:paraId="4341E412" w14:textId="77777777" w:rsidR="00247CBF" w:rsidRPr="00092ED7" w:rsidRDefault="00247CBF" w:rsidP="00247CBF">
            <w:pPr>
              <w:spacing w:after="0"/>
              <w:jc w:val="left"/>
              <w:rPr>
                <w:rFonts w:eastAsia="Times New Roman" w:cs="Times New Roman"/>
                <w:i/>
                <w:iCs/>
                <w:sz w:val="20"/>
                <w:szCs w:val="20"/>
                <w:lang w:val="sr-Cyrl-CS"/>
              </w:rPr>
            </w:pPr>
            <w:r w:rsidRPr="00092ED7">
              <w:rPr>
                <w:rFonts w:eastAsia="Times New Roman" w:cs="Times New Roman"/>
                <w:i/>
                <w:iCs/>
                <w:sz w:val="20"/>
                <w:szCs w:val="20"/>
                <w:lang w:val="sr-Cyrl-CS"/>
              </w:rPr>
              <w:t>од чега:</w:t>
            </w:r>
          </w:p>
        </w:tc>
        <w:tc>
          <w:tcPr>
            <w:tcW w:w="416" w:type="pct"/>
            <w:gridSpan w:val="2"/>
            <w:tcBorders>
              <w:top w:val="nil"/>
              <w:left w:val="nil"/>
              <w:bottom w:val="nil"/>
              <w:right w:val="single" w:sz="8" w:space="0" w:color="auto"/>
            </w:tcBorders>
            <w:shd w:val="clear" w:color="000000" w:fill="FFFFFF"/>
            <w:vAlign w:val="center"/>
            <w:hideMark/>
          </w:tcPr>
          <w:p w14:paraId="51D7506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nil"/>
              <w:right w:val="dotted" w:sz="4" w:space="0" w:color="auto"/>
            </w:tcBorders>
            <w:shd w:val="clear" w:color="000000" w:fill="FFFFFF"/>
            <w:vAlign w:val="center"/>
            <w:hideMark/>
          </w:tcPr>
          <w:p w14:paraId="4C34F67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51" w:type="pct"/>
            <w:gridSpan w:val="2"/>
            <w:tcBorders>
              <w:top w:val="nil"/>
              <w:left w:val="nil"/>
              <w:bottom w:val="nil"/>
              <w:right w:val="dotted" w:sz="4" w:space="0" w:color="auto"/>
            </w:tcBorders>
            <w:shd w:val="clear" w:color="000000" w:fill="FFFFFF"/>
            <w:vAlign w:val="center"/>
            <w:hideMark/>
          </w:tcPr>
          <w:p w14:paraId="26DFBB53"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52" w:type="pct"/>
            <w:gridSpan w:val="2"/>
            <w:tcBorders>
              <w:top w:val="nil"/>
              <w:left w:val="nil"/>
              <w:bottom w:val="nil"/>
              <w:right w:val="dotted" w:sz="4" w:space="0" w:color="auto"/>
            </w:tcBorders>
            <w:shd w:val="clear" w:color="000000" w:fill="FFFFFF"/>
            <w:vAlign w:val="center"/>
            <w:hideMark/>
          </w:tcPr>
          <w:p w14:paraId="70222A4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51" w:type="pct"/>
            <w:gridSpan w:val="2"/>
            <w:tcBorders>
              <w:top w:val="nil"/>
              <w:left w:val="nil"/>
              <w:bottom w:val="nil"/>
              <w:right w:val="dotted" w:sz="4" w:space="0" w:color="auto"/>
            </w:tcBorders>
            <w:shd w:val="clear" w:color="000000" w:fill="FFFFFF"/>
            <w:vAlign w:val="center"/>
            <w:hideMark/>
          </w:tcPr>
          <w:p w14:paraId="69BDD34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51" w:type="pct"/>
            <w:gridSpan w:val="2"/>
            <w:tcBorders>
              <w:top w:val="nil"/>
              <w:left w:val="nil"/>
              <w:bottom w:val="nil"/>
              <w:right w:val="double" w:sz="6" w:space="0" w:color="auto"/>
            </w:tcBorders>
            <w:shd w:val="clear" w:color="000000" w:fill="FFFFFF"/>
            <w:vAlign w:val="center"/>
            <w:hideMark/>
          </w:tcPr>
          <w:p w14:paraId="325FBFE2"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1DC860D5" w14:textId="77777777" w:rsidTr="00247CBF">
        <w:trPr>
          <w:gridBefore w:val="1"/>
          <w:wBefore w:w="8" w:type="pct"/>
          <w:trHeight w:val="227"/>
        </w:trPr>
        <w:tc>
          <w:tcPr>
            <w:tcW w:w="2317" w:type="pct"/>
            <w:tcBorders>
              <w:top w:val="nil"/>
              <w:left w:val="double" w:sz="6" w:space="0" w:color="auto"/>
              <w:bottom w:val="nil"/>
              <w:right w:val="dotted" w:sz="4" w:space="0" w:color="auto"/>
            </w:tcBorders>
            <w:shd w:val="clear" w:color="000000" w:fill="FFFFFF"/>
            <w:vAlign w:val="center"/>
            <w:hideMark/>
          </w:tcPr>
          <w:p w14:paraId="295AF786"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 xml:space="preserve">   - приходи од приватизације</w:t>
            </w:r>
          </w:p>
        </w:tc>
        <w:tc>
          <w:tcPr>
            <w:tcW w:w="416" w:type="pct"/>
            <w:gridSpan w:val="2"/>
            <w:tcBorders>
              <w:top w:val="nil"/>
              <w:left w:val="nil"/>
              <w:bottom w:val="nil"/>
              <w:right w:val="single" w:sz="8" w:space="0" w:color="auto"/>
            </w:tcBorders>
            <w:shd w:val="clear" w:color="000000" w:fill="FFFFFF"/>
            <w:vAlign w:val="center"/>
            <w:hideMark/>
          </w:tcPr>
          <w:p w14:paraId="21D6A6E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nil"/>
              <w:right w:val="dotted" w:sz="4" w:space="0" w:color="auto"/>
            </w:tcBorders>
            <w:shd w:val="clear" w:color="000000" w:fill="FFFFFF"/>
            <w:vAlign w:val="center"/>
            <w:hideMark/>
          </w:tcPr>
          <w:p w14:paraId="42CD8984"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nil"/>
              <w:right w:val="dotted" w:sz="4" w:space="0" w:color="auto"/>
            </w:tcBorders>
            <w:shd w:val="clear" w:color="000000" w:fill="FFFFFF"/>
            <w:vAlign w:val="center"/>
            <w:hideMark/>
          </w:tcPr>
          <w:p w14:paraId="62215D20"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2" w:type="pct"/>
            <w:gridSpan w:val="2"/>
            <w:tcBorders>
              <w:top w:val="nil"/>
              <w:left w:val="nil"/>
              <w:bottom w:val="nil"/>
              <w:right w:val="dotted" w:sz="4" w:space="0" w:color="auto"/>
            </w:tcBorders>
            <w:shd w:val="clear" w:color="000000" w:fill="FFFFFF"/>
            <w:vAlign w:val="center"/>
            <w:hideMark/>
          </w:tcPr>
          <w:p w14:paraId="34FE7C1A"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nil"/>
              <w:right w:val="dotted" w:sz="4" w:space="0" w:color="auto"/>
            </w:tcBorders>
            <w:shd w:val="clear" w:color="000000" w:fill="FFFFFF"/>
            <w:vAlign w:val="center"/>
            <w:hideMark/>
          </w:tcPr>
          <w:p w14:paraId="21EBC55E"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nil"/>
              <w:right w:val="double" w:sz="6" w:space="0" w:color="auto"/>
            </w:tcBorders>
            <w:shd w:val="clear" w:color="000000" w:fill="FFFFFF"/>
            <w:vAlign w:val="center"/>
            <w:hideMark/>
          </w:tcPr>
          <w:p w14:paraId="6CFF6B68"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77EED923" w14:textId="77777777" w:rsidTr="00247CBF">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vAlign w:val="center"/>
            <w:hideMark/>
          </w:tcPr>
          <w:p w14:paraId="2B377C29" w14:textId="77777777" w:rsidR="00247CBF" w:rsidRPr="00092ED7" w:rsidRDefault="00247CBF" w:rsidP="00247CBF">
            <w:pPr>
              <w:spacing w:after="0"/>
              <w:jc w:val="left"/>
              <w:rPr>
                <w:rFonts w:eastAsia="Times New Roman" w:cs="Times New Roman"/>
                <w:sz w:val="20"/>
                <w:szCs w:val="20"/>
                <w:lang w:val="sr-Cyrl-CS"/>
              </w:rPr>
            </w:pPr>
            <w:bookmarkStart w:id="149" w:name="RANGE!B20"/>
            <w:r w:rsidRPr="00092ED7">
              <w:rPr>
                <w:rFonts w:eastAsia="Times New Roman" w:cs="Times New Roman"/>
                <w:sz w:val="20"/>
                <w:szCs w:val="20"/>
                <w:lang w:val="sr-Cyrl-CS"/>
              </w:rPr>
              <w:t xml:space="preserve">   - ефекти вредновања и другоr [6]</w:t>
            </w:r>
            <w:bookmarkEnd w:id="149"/>
          </w:p>
        </w:tc>
        <w:tc>
          <w:tcPr>
            <w:tcW w:w="416" w:type="pct"/>
            <w:gridSpan w:val="2"/>
            <w:tcBorders>
              <w:top w:val="nil"/>
              <w:left w:val="nil"/>
              <w:bottom w:val="single" w:sz="4" w:space="0" w:color="auto"/>
              <w:right w:val="single" w:sz="8" w:space="0" w:color="auto"/>
            </w:tcBorders>
            <w:shd w:val="clear" w:color="000000" w:fill="FFFFFF"/>
            <w:vAlign w:val="center"/>
            <w:hideMark/>
          </w:tcPr>
          <w:p w14:paraId="0AA2EDE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278CF1C3"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65238693"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2" w:type="pct"/>
            <w:gridSpan w:val="2"/>
            <w:tcBorders>
              <w:top w:val="nil"/>
              <w:left w:val="nil"/>
              <w:bottom w:val="single" w:sz="4" w:space="0" w:color="auto"/>
              <w:right w:val="dotted" w:sz="4" w:space="0" w:color="auto"/>
            </w:tcBorders>
            <w:shd w:val="clear" w:color="000000" w:fill="FFFFFF"/>
            <w:vAlign w:val="center"/>
            <w:hideMark/>
          </w:tcPr>
          <w:p w14:paraId="1EEEB336"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465DD11E"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single" w:sz="4" w:space="0" w:color="auto"/>
              <w:right w:val="double" w:sz="6" w:space="0" w:color="auto"/>
            </w:tcBorders>
            <w:shd w:val="clear" w:color="000000" w:fill="FFFFFF"/>
            <w:vAlign w:val="center"/>
            <w:hideMark/>
          </w:tcPr>
          <w:p w14:paraId="182C5613"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2B4479C2" w14:textId="77777777" w:rsidTr="00247CBF">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vAlign w:val="center"/>
          </w:tcPr>
          <w:p w14:paraId="210D036F"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b/>
                <w:bCs/>
                <w:sz w:val="20"/>
                <w:szCs w:val="20"/>
                <w:lang w:val="sr-Cyrl-CS"/>
              </w:rPr>
              <w:t>Информативно: имплицитна каматна стопа на дуг [7]</w:t>
            </w:r>
          </w:p>
        </w:tc>
        <w:tc>
          <w:tcPr>
            <w:tcW w:w="416" w:type="pct"/>
            <w:gridSpan w:val="2"/>
            <w:tcBorders>
              <w:top w:val="nil"/>
              <w:left w:val="nil"/>
              <w:bottom w:val="single" w:sz="4" w:space="0" w:color="auto"/>
              <w:right w:val="single" w:sz="8" w:space="0" w:color="auto"/>
            </w:tcBorders>
            <w:shd w:val="clear" w:color="000000" w:fill="FFFFFF"/>
            <w:vAlign w:val="center"/>
          </w:tcPr>
          <w:p w14:paraId="0B498C93" w14:textId="77777777" w:rsidR="00247CBF" w:rsidRPr="00092ED7" w:rsidRDefault="00247CBF" w:rsidP="00247CBF">
            <w:pPr>
              <w:spacing w:after="0"/>
              <w:jc w:val="center"/>
              <w:rPr>
                <w:rFonts w:eastAsia="Times New Roman" w:cs="Times New Roman"/>
                <w:sz w:val="20"/>
                <w:szCs w:val="20"/>
                <w:lang w:val="sr-Cyrl-CS"/>
              </w:rPr>
            </w:pPr>
          </w:p>
        </w:tc>
        <w:tc>
          <w:tcPr>
            <w:tcW w:w="451" w:type="pct"/>
            <w:gridSpan w:val="2"/>
            <w:tcBorders>
              <w:top w:val="nil"/>
              <w:left w:val="nil"/>
              <w:bottom w:val="single" w:sz="4" w:space="0" w:color="auto"/>
              <w:right w:val="dotted" w:sz="4" w:space="0" w:color="auto"/>
            </w:tcBorders>
            <w:shd w:val="clear" w:color="000000" w:fill="FFFFFF"/>
            <w:vAlign w:val="center"/>
          </w:tcPr>
          <w:p w14:paraId="1FA28F50" w14:textId="77777777" w:rsidR="00247CBF" w:rsidRPr="00092ED7" w:rsidRDefault="00247CBF" w:rsidP="00247CBF">
            <w:pPr>
              <w:spacing w:after="0"/>
              <w:jc w:val="right"/>
              <w:rPr>
                <w:sz w:val="20"/>
                <w:szCs w:val="20"/>
                <w:lang w:val="sr-Cyrl-CS"/>
              </w:rPr>
            </w:pPr>
            <w:r w:rsidRPr="00092ED7">
              <w:rPr>
                <w:sz w:val="20"/>
                <w:szCs w:val="20"/>
                <w:lang w:val="sr-Cyrl-CS"/>
              </w:rPr>
              <w:t>3,4</w:t>
            </w:r>
          </w:p>
        </w:tc>
        <w:tc>
          <w:tcPr>
            <w:tcW w:w="451" w:type="pct"/>
            <w:gridSpan w:val="2"/>
            <w:tcBorders>
              <w:top w:val="nil"/>
              <w:left w:val="nil"/>
              <w:bottom w:val="single" w:sz="4" w:space="0" w:color="auto"/>
              <w:right w:val="dotted" w:sz="4" w:space="0" w:color="auto"/>
            </w:tcBorders>
            <w:shd w:val="clear" w:color="000000" w:fill="FFFFFF"/>
            <w:vAlign w:val="center"/>
          </w:tcPr>
          <w:p w14:paraId="3A60B479" w14:textId="77777777" w:rsidR="00247CBF" w:rsidRPr="00092ED7" w:rsidRDefault="00247CBF" w:rsidP="00247CBF">
            <w:pPr>
              <w:spacing w:after="0"/>
              <w:jc w:val="right"/>
              <w:rPr>
                <w:sz w:val="20"/>
                <w:szCs w:val="20"/>
                <w:lang w:val="sr-Cyrl-CS"/>
              </w:rPr>
            </w:pPr>
            <w:r w:rsidRPr="00092ED7">
              <w:rPr>
                <w:sz w:val="20"/>
                <w:szCs w:val="20"/>
                <w:lang w:val="sr-Cyrl-CS"/>
              </w:rPr>
              <w:t>3,2</w:t>
            </w:r>
          </w:p>
        </w:tc>
        <w:tc>
          <w:tcPr>
            <w:tcW w:w="452" w:type="pct"/>
            <w:gridSpan w:val="2"/>
            <w:tcBorders>
              <w:top w:val="nil"/>
              <w:left w:val="nil"/>
              <w:bottom w:val="single" w:sz="4" w:space="0" w:color="auto"/>
              <w:right w:val="dotted" w:sz="4" w:space="0" w:color="auto"/>
            </w:tcBorders>
            <w:shd w:val="clear" w:color="000000" w:fill="FFFFFF"/>
            <w:vAlign w:val="center"/>
          </w:tcPr>
          <w:p w14:paraId="2AF85994" w14:textId="77777777" w:rsidR="00247CBF" w:rsidRPr="00092ED7" w:rsidRDefault="00247CBF" w:rsidP="00247CBF">
            <w:pPr>
              <w:spacing w:after="0"/>
              <w:jc w:val="right"/>
              <w:rPr>
                <w:sz w:val="20"/>
                <w:szCs w:val="20"/>
                <w:lang w:val="sr-Cyrl-CS"/>
              </w:rPr>
            </w:pPr>
            <w:r w:rsidRPr="00092ED7">
              <w:rPr>
                <w:sz w:val="20"/>
                <w:szCs w:val="20"/>
                <w:lang w:val="sr-Cyrl-CS"/>
              </w:rPr>
              <w:t>3,6</w:t>
            </w:r>
          </w:p>
        </w:tc>
        <w:tc>
          <w:tcPr>
            <w:tcW w:w="451" w:type="pct"/>
            <w:gridSpan w:val="2"/>
            <w:tcBorders>
              <w:top w:val="nil"/>
              <w:left w:val="nil"/>
              <w:bottom w:val="single" w:sz="4" w:space="0" w:color="auto"/>
              <w:right w:val="dotted" w:sz="4" w:space="0" w:color="auto"/>
            </w:tcBorders>
            <w:shd w:val="clear" w:color="000000" w:fill="FFFFFF"/>
            <w:vAlign w:val="center"/>
          </w:tcPr>
          <w:p w14:paraId="14915185" w14:textId="77777777" w:rsidR="00247CBF" w:rsidRPr="00092ED7" w:rsidRDefault="00247CBF" w:rsidP="00247CBF">
            <w:pPr>
              <w:spacing w:after="0"/>
              <w:jc w:val="right"/>
              <w:rPr>
                <w:sz w:val="20"/>
                <w:szCs w:val="20"/>
                <w:lang w:val="sr-Cyrl-CS"/>
              </w:rPr>
            </w:pPr>
            <w:r w:rsidRPr="00092ED7">
              <w:rPr>
                <w:sz w:val="20"/>
                <w:szCs w:val="20"/>
                <w:lang w:val="sr-Cyrl-CS"/>
              </w:rPr>
              <w:t>4,0</w:t>
            </w:r>
          </w:p>
        </w:tc>
        <w:tc>
          <w:tcPr>
            <w:tcW w:w="451" w:type="pct"/>
            <w:gridSpan w:val="2"/>
            <w:tcBorders>
              <w:top w:val="nil"/>
              <w:left w:val="nil"/>
              <w:bottom w:val="single" w:sz="4" w:space="0" w:color="auto"/>
              <w:right w:val="double" w:sz="6" w:space="0" w:color="auto"/>
            </w:tcBorders>
            <w:shd w:val="clear" w:color="000000" w:fill="FFFFFF"/>
            <w:vAlign w:val="center"/>
          </w:tcPr>
          <w:p w14:paraId="25F10B1F" w14:textId="77777777" w:rsidR="00247CBF" w:rsidRPr="00092ED7" w:rsidRDefault="00247CBF" w:rsidP="00247CBF">
            <w:pPr>
              <w:spacing w:after="0"/>
              <w:jc w:val="right"/>
              <w:rPr>
                <w:sz w:val="20"/>
                <w:szCs w:val="20"/>
                <w:lang w:val="sr-Cyrl-CS"/>
              </w:rPr>
            </w:pPr>
            <w:r w:rsidRPr="00092ED7">
              <w:rPr>
                <w:sz w:val="20"/>
                <w:szCs w:val="20"/>
                <w:lang w:val="sr-Cyrl-CS"/>
              </w:rPr>
              <w:t>3,8</w:t>
            </w:r>
          </w:p>
        </w:tc>
      </w:tr>
      <w:tr w:rsidR="00247CBF" w:rsidRPr="00092ED7" w14:paraId="7B26C3A0" w14:textId="77777777" w:rsidTr="00247CBF">
        <w:trPr>
          <w:gridBefore w:val="1"/>
          <w:wBefore w:w="8" w:type="pct"/>
          <w:trHeight w:val="227"/>
        </w:trPr>
        <w:tc>
          <w:tcPr>
            <w:tcW w:w="4989" w:type="pct"/>
            <w:gridSpan w:val="13"/>
            <w:tcBorders>
              <w:top w:val="nil"/>
              <w:left w:val="double" w:sz="6" w:space="0" w:color="auto"/>
              <w:bottom w:val="single" w:sz="4" w:space="0" w:color="auto"/>
              <w:right w:val="double" w:sz="6" w:space="0" w:color="auto"/>
            </w:tcBorders>
            <w:shd w:val="clear" w:color="auto" w:fill="auto"/>
            <w:noWrap/>
            <w:vAlign w:val="center"/>
          </w:tcPr>
          <w:p w14:paraId="7CFFC49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Остале релевантне променљиве</w:t>
            </w:r>
          </w:p>
        </w:tc>
      </w:tr>
      <w:tr w:rsidR="00247CBF" w:rsidRPr="00092ED7" w14:paraId="795FF438" w14:textId="77777777" w:rsidTr="00247CBF">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vAlign w:val="center"/>
          </w:tcPr>
          <w:p w14:paraId="192BD66D"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sz w:val="20"/>
                <w:szCs w:val="20"/>
                <w:lang w:val="sr-Cyrl-CS"/>
              </w:rPr>
              <w:t xml:space="preserve">  6. Ликвидна финансијска средства [8]</w:t>
            </w:r>
          </w:p>
        </w:tc>
        <w:tc>
          <w:tcPr>
            <w:tcW w:w="416" w:type="pct"/>
            <w:gridSpan w:val="2"/>
            <w:tcBorders>
              <w:top w:val="nil"/>
              <w:left w:val="nil"/>
              <w:bottom w:val="single" w:sz="4" w:space="0" w:color="auto"/>
              <w:right w:val="single" w:sz="8" w:space="0" w:color="auto"/>
            </w:tcBorders>
            <w:shd w:val="clear" w:color="000000" w:fill="FFFFFF"/>
            <w:vAlign w:val="center"/>
          </w:tcPr>
          <w:p w14:paraId="41CDCC78" w14:textId="77777777" w:rsidR="00247CBF" w:rsidRPr="00092ED7" w:rsidRDefault="00247CBF" w:rsidP="00247CBF">
            <w:pPr>
              <w:spacing w:after="0"/>
              <w:jc w:val="center"/>
              <w:rPr>
                <w:rFonts w:eastAsia="Times New Roman" w:cs="Times New Roman"/>
                <w:sz w:val="20"/>
                <w:szCs w:val="20"/>
                <w:lang w:val="sr-Cyrl-CS"/>
              </w:rPr>
            </w:pPr>
          </w:p>
        </w:tc>
        <w:tc>
          <w:tcPr>
            <w:tcW w:w="451" w:type="pct"/>
            <w:gridSpan w:val="2"/>
            <w:tcBorders>
              <w:top w:val="nil"/>
              <w:left w:val="nil"/>
              <w:bottom w:val="single" w:sz="4" w:space="0" w:color="auto"/>
              <w:right w:val="dotted" w:sz="4" w:space="0" w:color="auto"/>
            </w:tcBorders>
            <w:shd w:val="clear" w:color="000000" w:fill="FFFFFF"/>
            <w:vAlign w:val="center"/>
          </w:tcPr>
          <w:p w14:paraId="0F29EC44"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c>
          <w:tcPr>
            <w:tcW w:w="451" w:type="pct"/>
            <w:gridSpan w:val="2"/>
            <w:tcBorders>
              <w:top w:val="nil"/>
              <w:left w:val="nil"/>
              <w:bottom w:val="single" w:sz="4" w:space="0" w:color="auto"/>
              <w:right w:val="dotted" w:sz="4" w:space="0" w:color="auto"/>
            </w:tcBorders>
            <w:shd w:val="clear" w:color="000000" w:fill="FFFFFF"/>
            <w:vAlign w:val="center"/>
          </w:tcPr>
          <w:p w14:paraId="5659A9EB"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c>
          <w:tcPr>
            <w:tcW w:w="452" w:type="pct"/>
            <w:gridSpan w:val="2"/>
            <w:tcBorders>
              <w:top w:val="nil"/>
              <w:left w:val="nil"/>
              <w:bottom w:val="single" w:sz="4" w:space="0" w:color="auto"/>
              <w:right w:val="dotted" w:sz="4" w:space="0" w:color="auto"/>
            </w:tcBorders>
            <w:shd w:val="clear" w:color="000000" w:fill="FFFFFF"/>
            <w:vAlign w:val="center"/>
          </w:tcPr>
          <w:p w14:paraId="48D88592"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c>
          <w:tcPr>
            <w:tcW w:w="451" w:type="pct"/>
            <w:gridSpan w:val="2"/>
            <w:tcBorders>
              <w:top w:val="nil"/>
              <w:left w:val="nil"/>
              <w:bottom w:val="single" w:sz="4" w:space="0" w:color="auto"/>
              <w:right w:val="dotted" w:sz="4" w:space="0" w:color="auto"/>
            </w:tcBorders>
            <w:shd w:val="clear" w:color="000000" w:fill="FFFFFF"/>
            <w:vAlign w:val="center"/>
          </w:tcPr>
          <w:p w14:paraId="35890CC7"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c>
          <w:tcPr>
            <w:tcW w:w="451" w:type="pct"/>
            <w:gridSpan w:val="2"/>
            <w:tcBorders>
              <w:top w:val="nil"/>
              <w:left w:val="nil"/>
              <w:bottom w:val="single" w:sz="4" w:space="0" w:color="auto"/>
              <w:right w:val="double" w:sz="6" w:space="0" w:color="auto"/>
            </w:tcBorders>
            <w:shd w:val="clear" w:color="000000" w:fill="FFFFFF"/>
            <w:vAlign w:val="center"/>
          </w:tcPr>
          <w:p w14:paraId="65BC06DB"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59CF75DD" w14:textId="77777777" w:rsidTr="00247CBF">
        <w:trPr>
          <w:gridBefore w:val="1"/>
          <w:wBefore w:w="8" w:type="pct"/>
          <w:trHeight w:val="227"/>
        </w:trPr>
        <w:tc>
          <w:tcPr>
            <w:tcW w:w="2317" w:type="pct"/>
            <w:tcBorders>
              <w:top w:val="nil"/>
              <w:left w:val="double" w:sz="6" w:space="0" w:color="auto"/>
              <w:bottom w:val="double" w:sz="4" w:space="0" w:color="auto"/>
              <w:right w:val="dotted" w:sz="4" w:space="0" w:color="auto"/>
            </w:tcBorders>
            <w:shd w:val="clear" w:color="auto" w:fill="auto"/>
            <w:noWrap/>
            <w:vAlign w:val="center"/>
          </w:tcPr>
          <w:p w14:paraId="7129016D"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sz w:val="20"/>
                <w:szCs w:val="20"/>
                <w:lang w:val="sr-Cyrl-CS"/>
              </w:rPr>
              <w:t xml:space="preserve">  7. Нето финансијски дуг (7 = 1 - 6)</w:t>
            </w:r>
          </w:p>
        </w:tc>
        <w:tc>
          <w:tcPr>
            <w:tcW w:w="416" w:type="pct"/>
            <w:gridSpan w:val="2"/>
            <w:tcBorders>
              <w:top w:val="nil"/>
              <w:left w:val="nil"/>
              <w:bottom w:val="double" w:sz="4" w:space="0" w:color="auto"/>
              <w:right w:val="single" w:sz="8" w:space="0" w:color="auto"/>
            </w:tcBorders>
            <w:shd w:val="clear" w:color="000000" w:fill="FFFFFF"/>
            <w:vAlign w:val="center"/>
          </w:tcPr>
          <w:p w14:paraId="4D28A0D1" w14:textId="77777777" w:rsidR="00247CBF" w:rsidRPr="00092ED7" w:rsidRDefault="00247CBF" w:rsidP="00247CBF">
            <w:pPr>
              <w:spacing w:after="0"/>
              <w:jc w:val="center"/>
              <w:rPr>
                <w:rFonts w:eastAsia="Times New Roman" w:cs="Times New Roman"/>
                <w:sz w:val="20"/>
                <w:szCs w:val="20"/>
                <w:lang w:val="sr-Cyrl-CS"/>
              </w:rPr>
            </w:pPr>
          </w:p>
        </w:tc>
        <w:tc>
          <w:tcPr>
            <w:tcW w:w="451" w:type="pct"/>
            <w:gridSpan w:val="2"/>
            <w:tcBorders>
              <w:top w:val="nil"/>
              <w:left w:val="nil"/>
              <w:bottom w:val="double" w:sz="4" w:space="0" w:color="auto"/>
              <w:right w:val="dotted" w:sz="4" w:space="0" w:color="auto"/>
            </w:tcBorders>
            <w:shd w:val="clear" w:color="000000" w:fill="FFFFFF"/>
            <w:vAlign w:val="center"/>
          </w:tcPr>
          <w:p w14:paraId="2AAE5342"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c>
          <w:tcPr>
            <w:tcW w:w="451" w:type="pct"/>
            <w:gridSpan w:val="2"/>
            <w:tcBorders>
              <w:top w:val="nil"/>
              <w:left w:val="nil"/>
              <w:bottom w:val="double" w:sz="4" w:space="0" w:color="auto"/>
              <w:right w:val="dotted" w:sz="4" w:space="0" w:color="auto"/>
            </w:tcBorders>
            <w:shd w:val="clear" w:color="000000" w:fill="FFFFFF"/>
            <w:vAlign w:val="center"/>
          </w:tcPr>
          <w:p w14:paraId="7CBCE2F0"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c>
          <w:tcPr>
            <w:tcW w:w="452" w:type="pct"/>
            <w:gridSpan w:val="2"/>
            <w:tcBorders>
              <w:top w:val="nil"/>
              <w:left w:val="nil"/>
              <w:bottom w:val="double" w:sz="4" w:space="0" w:color="auto"/>
              <w:right w:val="dotted" w:sz="4" w:space="0" w:color="auto"/>
            </w:tcBorders>
            <w:shd w:val="clear" w:color="000000" w:fill="FFFFFF"/>
            <w:vAlign w:val="center"/>
          </w:tcPr>
          <w:p w14:paraId="755B1AD4"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c>
          <w:tcPr>
            <w:tcW w:w="451" w:type="pct"/>
            <w:gridSpan w:val="2"/>
            <w:tcBorders>
              <w:top w:val="nil"/>
              <w:left w:val="nil"/>
              <w:bottom w:val="double" w:sz="4" w:space="0" w:color="auto"/>
              <w:right w:val="dotted" w:sz="4" w:space="0" w:color="auto"/>
            </w:tcBorders>
            <w:shd w:val="clear" w:color="000000" w:fill="FFFFFF"/>
            <w:vAlign w:val="center"/>
          </w:tcPr>
          <w:p w14:paraId="43212AC8"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c>
          <w:tcPr>
            <w:tcW w:w="451" w:type="pct"/>
            <w:gridSpan w:val="2"/>
            <w:tcBorders>
              <w:top w:val="nil"/>
              <w:left w:val="nil"/>
              <w:bottom w:val="double" w:sz="4" w:space="0" w:color="auto"/>
              <w:right w:val="double" w:sz="6" w:space="0" w:color="auto"/>
            </w:tcBorders>
            <w:shd w:val="clear" w:color="000000" w:fill="FFFFFF"/>
            <w:vAlign w:val="center"/>
          </w:tcPr>
          <w:p w14:paraId="6A73068E"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45AA945E" w14:textId="77777777" w:rsidTr="00247CBF">
        <w:trPr>
          <w:gridAfter w:val="1"/>
          <w:wAfter w:w="51" w:type="pct"/>
          <w:trHeight w:val="199"/>
        </w:trPr>
        <w:tc>
          <w:tcPr>
            <w:tcW w:w="4949" w:type="pct"/>
            <w:gridSpan w:val="13"/>
            <w:tcBorders>
              <w:top w:val="nil"/>
              <w:left w:val="nil"/>
              <w:bottom w:val="nil"/>
              <w:right w:val="nil"/>
            </w:tcBorders>
            <w:shd w:val="clear" w:color="000000" w:fill="FFFFFF"/>
            <w:noWrap/>
            <w:vAlign w:val="center"/>
            <w:hideMark/>
          </w:tcPr>
          <w:p w14:paraId="06E977EE" w14:textId="77777777" w:rsidR="00247CBF" w:rsidRPr="00092ED7" w:rsidRDefault="00247CBF" w:rsidP="00247CBF">
            <w:pPr>
              <w:spacing w:after="0"/>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[1]   Као што је дефинисано у Уредби 3605/93 (није појам из ESA).</w:t>
            </w:r>
          </w:p>
        </w:tc>
      </w:tr>
      <w:tr w:rsidR="00247CBF" w:rsidRPr="00092ED7" w14:paraId="7FF895FA" w14:textId="77777777" w:rsidTr="00247CBF">
        <w:trPr>
          <w:gridAfter w:val="1"/>
          <w:wAfter w:w="51" w:type="pct"/>
          <w:trHeight w:val="199"/>
        </w:trPr>
        <w:tc>
          <w:tcPr>
            <w:tcW w:w="4949" w:type="pct"/>
            <w:gridSpan w:val="13"/>
            <w:tcBorders>
              <w:top w:val="nil"/>
              <w:left w:val="nil"/>
              <w:bottom w:val="nil"/>
              <w:right w:val="nil"/>
            </w:tcBorders>
            <w:shd w:val="clear" w:color="000000" w:fill="FFFFFF"/>
            <w:noWrap/>
            <w:vAlign w:val="center"/>
            <w:hideMark/>
          </w:tcPr>
          <w:p w14:paraId="3C0AA8C0" w14:textId="77777777" w:rsidR="00247CBF" w:rsidRPr="00092ED7" w:rsidRDefault="00247CBF" w:rsidP="00247CBF">
            <w:pPr>
              <w:spacing w:after="0"/>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[2]   Уп. ставку 10 у табели 2.</w:t>
            </w:r>
          </w:p>
        </w:tc>
      </w:tr>
      <w:tr w:rsidR="00247CBF" w:rsidRPr="00092ED7" w14:paraId="25D06934" w14:textId="77777777" w:rsidTr="00247CBF">
        <w:trPr>
          <w:gridAfter w:val="1"/>
          <w:wAfter w:w="51" w:type="pct"/>
          <w:trHeight w:val="199"/>
        </w:trPr>
        <w:tc>
          <w:tcPr>
            <w:tcW w:w="4949" w:type="pct"/>
            <w:gridSpan w:val="13"/>
            <w:tcBorders>
              <w:top w:val="nil"/>
              <w:left w:val="nil"/>
              <w:bottom w:val="nil"/>
              <w:right w:val="nil"/>
            </w:tcBorders>
            <w:shd w:val="clear" w:color="000000" w:fill="FFFFFF"/>
            <w:noWrap/>
            <w:vAlign w:val="center"/>
            <w:hideMark/>
          </w:tcPr>
          <w:p w14:paraId="7E9E9BEA" w14:textId="77777777" w:rsidR="00247CBF" w:rsidRPr="00092ED7" w:rsidRDefault="00247CBF" w:rsidP="00247CBF">
            <w:pPr>
              <w:spacing w:after="0"/>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[3]   Уп. ставку 9 у табели 2.</w:t>
            </w:r>
          </w:p>
        </w:tc>
      </w:tr>
      <w:tr w:rsidR="00247CBF" w:rsidRPr="00092ED7" w14:paraId="64C67805" w14:textId="77777777" w:rsidTr="00247CBF">
        <w:trPr>
          <w:gridAfter w:val="1"/>
          <w:wAfter w:w="51" w:type="pct"/>
          <w:trHeight w:val="199"/>
        </w:trPr>
        <w:tc>
          <w:tcPr>
            <w:tcW w:w="4949" w:type="pct"/>
            <w:gridSpan w:val="13"/>
            <w:tcBorders>
              <w:top w:val="nil"/>
              <w:left w:val="nil"/>
              <w:bottom w:val="nil"/>
              <w:right w:val="nil"/>
            </w:tcBorders>
            <w:shd w:val="clear" w:color="000000" w:fill="FFFFFF"/>
            <w:noWrap/>
            <w:vAlign w:val="center"/>
            <w:hideMark/>
          </w:tcPr>
          <w:p w14:paraId="4760B9D8" w14:textId="77777777" w:rsidR="00247CBF" w:rsidRPr="00092ED7" w:rsidRDefault="00247CBF" w:rsidP="00247CBF">
            <w:pPr>
              <w:spacing w:after="0"/>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[4]   Где је то релевантно, може се направити разлика између расхода на камату, других расхода и прихода.</w:t>
            </w:r>
          </w:p>
        </w:tc>
      </w:tr>
      <w:tr w:rsidR="00247CBF" w:rsidRPr="00092ED7" w14:paraId="2699D945" w14:textId="77777777" w:rsidTr="00247CBF">
        <w:trPr>
          <w:gridAfter w:val="1"/>
          <w:wAfter w:w="51" w:type="pct"/>
          <w:trHeight w:val="199"/>
        </w:trPr>
        <w:tc>
          <w:tcPr>
            <w:tcW w:w="4949" w:type="pct"/>
            <w:gridSpan w:val="13"/>
            <w:tcBorders>
              <w:top w:val="nil"/>
              <w:left w:val="nil"/>
              <w:bottom w:val="nil"/>
              <w:right w:val="nil"/>
            </w:tcBorders>
            <w:shd w:val="clear" w:color="000000" w:fill="FFFFFF"/>
            <w:noWrap/>
            <w:vAlign w:val="center"/>
            <w:hideMark/>
          </w:tcPr>
          <w:p w14:paraId="2CF74EE1" w14:textId="77777777" w:rsidR="00247CBF" w:rsidRPr="00092ED7" w:rsidRDefault="00247CBF" w:rsidP="00247CBF">
            <w:pPr>
              <w:spacing w:after="0"/>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[5]   Где је то релевантно, може се направити разлика између ликвидних средстава, средстава у трећим државама, предузећа под контролом државе, и котираних и некотираних средстава.</w:t>
            </w:r>
          </w:p>
        </w:tc>
      </w:tr>
      <w:tr w:rsidR="00247CBF" w:rsidRPr="00092ED7" w14:paraId="2986A2F6" w14:textId="77777777" w:rsidTr="00247CBF">
        <w:trPr>
          <w:gridAfter w:val="1"/>
          <w:wAfter w:w="51" w:type="pct"/>
          <w:trHeight w:val="199"/>
        </w:trPr>
        <w:tc>
          <w:tcPr>
            <w:tcW w:w="4949" w:type="pct"/>
            <w:gridSpan w:val="13"/>
            <w:tcBorders>
              <w:top w:val="nil"/>
              <w:left w:val="nil"/>
              <w:bottom w:val="nil"/>
              <w:right w:val="nil"/>
            </w:tcBorders>
            <w:shd w:val="clear" w:color="000000" w:fill="FFFFFF"/>
            <w:noWrap/>
            <w:vAlign w:val="center"/>
            <w:hideMark/>
          </w:tcPr>
          <w:p w14:paraId="7730E323" w14:textId="77777777" w:rsidR="00247CBF" w:rsidRPr="00092ED7" w:rsidRDefault="00247CBF" w:rsidP="00247CBF">
            <w:pPr>
              <w:spacing w:after="0"/>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[6]  Где је то релевантно, може се направити разлика између промена услед кретања девизног курса и операција на секундарном тржишту.</w:t>
            </w:r>
          </w:p>
        </w:tc>
      </w:tr>
      <w:tr w:rsidR="00247CBF" w:rsidRPr="00092ED7" w14:paraId="3AABFACA" w14:textId="77777777" w:rsidTr="00247CBF">
        <w:trPr>
          <w:gridAfter w:val="1"/>
          <w:wAfter w:w="51" w:type="pct"/>
          <w:trHeight w:val="199"/>
        </w:trPr>
        <w:tc>
          <w:tcPr>
            <w:tcW w:w="4949" w:type="pct"/>
            <w:gridSpan w:val="13"/>
            <w:tcBorders>
              <w:top w:val="nil"/>
              <w:left w:val="nil"/>
              <w:bottom w:val="nil"/>
              <w:right w:val="nil"/>
            </w:tcBorders>
            <w:shd w:val="clear" w:color="000000" w:fill="FFFFFF"/>
            <w:noWrap/>
            <w:vAlign w:val="center"/>
            <w:hideMark/>
          </w:tcPr>
          <w:p w14:paraId="2D268AEA" w14:textId="77777777" w:rsidR="00247CBF" w:rsidRPr="00092ED7" w:rsidRDefault="00247CBF" w:rsidP="00247CBF">
            <w:pPr>
              <w:spacing w:after="0"/>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[7]   Као изведена мера се користе расходи на камате подељени са нивоом дуга из претходне године.</w:t>
            </w:r>
          </w:p>
        </w:tc>
      </w:tr>
      <w:tr w:rsidR="00247CBF" w:rsidRPr="00092ED7" w14:paraId="6F04289A" w14:textId="77777777" w:rsidTr="00247CBF">
        <w:trPr>
          <w:gridAfter w:val="1"/>
          <w:wAfter w:w="51" w:type="pct"/>
          <w:trHeight w:val="199"/>
        </w:trPr>
        <w:tc>
          <w:tcPr>
            <w:tcW w:w="4949" w:type="pct"/>
            <w:gridSpan w:val="13"/>
            <w:tcBorders>
              <w:top w:val="nil"/>
              <w:left w:val="nil"/>
              <w:bottom w:val="nil"/>
              <w:right w:val="nil"/>
            </w:tcBorders>
            <w:shd w:val="clear" w:color="000000" w:fill="FFFFFF"/>
            <w:noWrap/>
            <w:vAlign w:val="center"/>
            <w:hideMark/>
          </w:tcPr>
          <w:p w14:paraId="72C0F1AB" w14:textId="77777777" w:rsidR="00247CBF" w:rsidRPr="00092ED7" w:rsidRDefault="00247CBF" w:rsidP="00247CBF">
            <w:pPr>
              <w:spacing w:after="0"/>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[8]   AF1, AF2, AF3 (консолидовани по тржишној вредности, AF5 (уколико су котирани на берзи; укључујући акције узајамних фондова).</w:t>
            </w:r>
          </w:p>
        </w:tc>
      </w:tr>
    </w:tbl>
    <w:p w14:paraId="0D9682FA" w14:textId="77777777" w:rsidR="00247CBF" w:rsidRPr="00092ED7" w:rsidRDefault="00247CBF" w:rsidP="00247CBF">
      <w:pPr>
        <w:rPr>
          <w:rFonts w:cs="Times New Roman"/>
          <w:lang w:val="sr-Cyrl-CS"/>
        </w:rPr>
      </w:pPr>
    </w:p>
    <w:p w14:paraId="622B5B01" w14:textId="77777777" w:rsidR="00247CBF" w:rsidRPr="00092ED7" w:rsidRDefault="00247CBF" w:rsidP="00247CBF">
      <w:pPr>
        <w:pStyle w:val="Heading3"/>
        <w:rPr>
          <w:rFonts w:ascii="Times New Roman" w:hAnsi="Times New Roman" w:cs="Times New Roman"/>
          <w:b/>
          <w:color w:val="auto"/>
          <w:sz w:val="20"/>
          <w:szCs w:val="20"/>
          <w:lang w:val="sr-Cyrl-CS"/>
        </w:rPr>
      </w:pPr>
      <w:bookmarkStart w:id="150" w:name="_Toc61953864"/>
      <w:bookmarkStart w:id="151" w:name="_Toc93386001"/>
      <w:bookmarkStart w:id="152" w:name="_Toc124174832"/>
      <w:bookmarkStart w:id="153" w:name="_Toc126218650"/>
      <w:r w:rsidRPr="00092ED7">
        <w:rPr>
          <w:rFonts w:ascii="Times New Roman" w:hAnsi="Times New Roman" w:cs="Times New Roman"/>
          <w:b/>
          <w:color w:val="auto"/>
          <w:sz w:val="20"/>
          <w:szCs w:val="20"/>
          <w:lang w:val="sr-Cyrl-CS"/>
        </w:rPr>
        <w:t>Табела 5: Циклична кретања</w:t>
      </w:r>
      <w:bookmarkEnd w:id="150"/>
      <w:bookmarkEnd w:id="151"/>
      <w:bookmarkEnd w:id="152"/>
      <w:bookmarkEnd w:id="153"/>
    </w:p>
    <w:tbl>
      <w:tblPr>
        <w:tblW w:w="14524" w:type="dxa"/>
        <w:tblLayout w:type="fixed"/>
        <w:tblLook w:val="04A0" w:firstRow="1" w:lastRow="0" w:firstColumn="1" w:lastColumn="0" w:noHBand="0" w:noVBand="1"/>
      </w:tblPr>
      <w:tblGrid>
        <w:gridCol w:w="6538"/>
        <w:gridCol w:w="893"/>
        <w:gridCol w:w="1370"/>
        <w:gridCol w:w="1144"/>
        <w:gridCol w:w="1145"/>
        <w:gridCol w:w="1144"/>
        <w:gridCol w:w="1145"/>
        <w:gridCol w:w="1145"/>
      </w:tblGrid>
      <w:tr w:rsidR="00247CBF" w:rsidRPr="00092ED7" w14:paraId="7A1ADB21" w14:textId="77777777" w:rsidTr="00247CBF">
        <w:trPr>
          <w:trHeight w:val="227"/>
        </w:trPr>
        <w:tc>
          <w:tcPr>
            <w:tcW w:w="6538" w:type="dxa"/>
            <w:tcBorders>
              <w:top w:val="double" w:sz="6" w:space="0" w:color="auto"/>
              <w:left w:val="double" w:sz="6" w:space="0" w:color="auto"/>
              <w:bottom w:val="double" w:sz="6" w:space="0" w:color="auto"/>
              <w:right w:val="nil"/>
            </w:tcBorders>
            <w:shd w:val="clear" w:color="auto" w:fill="auto"/>
            <w:noWrap/>
            <w:vAlign w:val="center"/>
            <w:hideMark/>
          </w:tcPr>
          <w:p w14:paraId="344F1952" w14:textId="77777777" w:rsidR="00247CBF" w:rsidRPr="00092ED7" w:rsidRDefault="00247CBF" w:rsidP="00247CBF">
            <w:pPr>
              <w:spacing w:after="0"/>
              <w:rPr>
                <w:rFonts w:eastAsia="Times New Roman" w:cs="Times New Roman"/>
                <w:b/>
                <w:bCs/>
                <w:sz w:val="20"/>
                <w:szCs w:val="20"/>
                <w:lang w:val="sr-Cyrl-CS"/>
              </w:rPr>
            </w:pPr>
          </w:p>
        </w:tc>
        <w:tc>
          <w:tcPr>
            <w:tcW w:w="893" w:type="dxa"/>
            <w:tcBorders>
              <w:top w:val="double" w:sz="6" w:space="0" w:color="auto"/>
              <w:left w:val="single" w:sz="8" w:space="0" w:color="auto"/>
              <w:bottom w:val="double" w:sz="6" w:space="0" w:color="auto"/>
              <w:right w:val="nil"/>
            </w:tcBorders>
            <w:shd w:val="clear" w:color="auto" w:fill="auto"/>
            <w:noWrap/>
            <w:vAlign w:val="center"/>
            <w:hideMark/>
          </w:tcPr>
          <w:p w14:paraId="598B1E1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1370" w:type="dxa"/>
            <w:tcBorders>
              <w:top w:val="double" w:sz="6" w:space="0" w:color="auto"/>
              <w:left w:val="nil"/>
              <w:bottom w:val="double" w:sz="6" w:space="0" w:color="auto"/>
              <w:right w:val="single" w:sz="8" w:space="0" w:color="auto"/>
            </w:tcBorders>
            <w:shd w:val="clear" w:color="auto" w:fill="auto"/>
            <w:noWrap/>
            <w:vAlign w:val="center"/>
            <w:hideMark/>
          </w:tcPr>
          <w:p w14:paraId="490EB7F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1144" w:type="dxa"/>
            <w:tcBorders>
              <w:top w:val="double" w:sz="6" w:space="0" w:color="auto"/>
              <w:left w:val="nil"/>
              <w:bottom w:val="double" w:sz="6" w:space="0" w:color="auto"/>
              <w:right w:val="dashed" w:sz="4" w:space="0" w:color="auto"/>
            </w:tcBorders>
            <w:shd w:val="clear" w:color="auto" w:fill="auto"/>
            <w:noWrap/>
            <w:vAlign w:val="center"/>
            <w:hideMark/>
          </w:tcPr>
          <w:p w14:paraId="54B372FD" w14:textId="77777777" w:rsidR="00247CBF" w:rsidRPr="00092ED7" w:rsidRDefault="00247CBF" w:rsidP="00247CBF">
            <w:pPr>
              <w:spacing w:after="0"/>
              <w:jc w:val="center"/>
              <w:rPr>
                <w:b/>
                <w:bCs/>
                <w:sz w:val="20"/>
                <w:szCs w:val="20"/>
                <w:lang w:val="sr-Cyrl-CS"/>
              </w:rPr>
            </w:pPr>
            <w:r w:rsidRPr="00092ED7">
              <w:rPr>
                <w:b/>
                <w:bCs/>
                <w:sz w:val="20"/>
                <w:szCs w:val="20"/>
                <w:lang w:val="sr-Cyrl-CS"/>
              </w:rPr>
              <w:t>2021</w:t>
            </w:r>
          </w:p>
        </w:tc>
        <w:tc>
          <w:tcPr>
            <w:tcW w:w="1145" w:type="dxa"/>
            <w:tcBorders>
              <w:top w:val="double" w:sz="6" w:space="0" w:color="auto"/>
              <w:left w:val="nil"/>
              <w:bottom w:val="double" w:sz="6" w:space="0" w:color="auto"/>
              <w:right w:val="dashed" w:sz="4" w:space="0" w:color="auto"/>
            </w:tcBorders>
            <w:shd w:val="clear" w:color="auto" w:fill="auto"/>
            <w:noWrap/>
            <w:vAlign w:val="center"/>
            <w:hideMark/>
          </w:tcPr>
          <w:p w14:paraId="034F36F8" w14:textId="77777777" w:rsidR="00247CBF" w:rsidRPr="00092ED7" w:rsidRDefault="00247CBF" w:rsidP="00247CBF">
            <w:pPr>
              <w:spacing w:after="0"/>
              <w:jc w:val="center"/>
              <w:rPr>
                <w:b/>
                <w:bCs/>
                <w:sz w:val="20"/>
                <w:szCs w:val="20"/>
                <w:lang w:val="sr-Cyrl-CS"/>
              </w:rPr>
            </w:pPr>
            <w:r w:rsidRPr="00092ED7">
              <w:rPr>
                <w:b/>
                <w:bCs/>
                <w:sz w:val="20"/>
                <w:szCs w:val="20"/>
                <w:lang w:val="sr-Cyrl-CS"/>
              </w:rPr>
              <w:t>2022</w:t>
            </w:r>
          </w:p>
        </w:tc>
        <w:tc>
          <w:tcPr>
            <w:tcW w:w="1144" w:type="dxa"/>
            <w:tcBorders>
              <w:top w:val="double" w:sz="6" w:space="0" w:color="auto"/>
              <w:left w:val="nil"/>
              <w:bottom w:val="double" w:sz="6" w:space="0" w:color="auto"/>
              <w:right w:val="dashed" w:sz="4" w:space="0" w:color="auto"/>
            </w:tcBorders>
            <w:shd w:val="clear" w:color="auto" w:fill="auto"/>
            <w:noWrap/>
            <w:vAlign w:val="center"/>
            <w:hideMark/>
          </w:tcPr>
          <w:p w14:paraId="10FC8085" w14:textId="77777777" w:rsidR="00247CBF" w:rsidRPr="00092ED7" w:rsidRDefault="00247CBF" w:rsidP="00247CBF">
            <w:pPr>
              <w:spacing w:after="0"/>
              <w:jc w:val="center"/>
              <w:rPr>
                <w:b/>
                <w:bCs/>
                <w:sz w:val="20"/>
                <w:szCs w:val="20"/>
                <w:lang w:val="sr-Cyrl-CS"/>
              </w:rPr>
            </w:pPr>
            <w:r w:rsidRPr="00092ED7">
              <w:rPr>
                <w:b/>
                <w:bCs/>
                <w:sz w:val="20"/>
                <w:szCs w:val="20"/>
                <w:lang w:val="sr-Cyrl-CS"/>
              </w:rPr>
              <w:t>2023</w:t>
            </w:r>
          </w:p>
        </w:tc>
        <w:tc>
          <w:tcPr>
            <w:tcW w:w="1145" w:type="dxa"/>
            <w:tcBorders>
              <w:top w:val="double" w:sz="6" w:space="0" w:color="auto"/>
              <w:left w:val="nil"/>
              <w:bottom w:val="double" w:sz="6" w:space="0" w:color="auto"/>
              <w:right w:val="dashed" w:sz="4" w:space="0" w:color="auto"/>
            </w:tcBorders>
            <w:shd w:val="clear" w:color="auto" w:fill="auto"/>
            <w:noWrap/>
            <w:vAlign w:val="center"/>
            <w:hideMark/>
          </w:tcPr>
          <w:p w14:paraId="41DB192E" w14:textId="77777777" w:rsidR="00247CBF" w:rsidRPr="00092ED7" w:rsidRDefault="00247CBF" w:rsidP="00247CBF">
            <w:pPr>
              <w:spacing w:after="0"/>
              <w:jc w:val="center"/>
              <w:rPr>
                <w:b/>
                <w:bCs/>
                <w:sz w:val="20"/>
                <w:szCs w:val="20"/>
                <w:lang w:val="sr-Cyrl-CS"/>
              </w:rPr>
            </w:pPr>
            <w:r w:rsidRPr="00092ED7">
              <w:rPr>
                <w:b/>
                <w:bCs/>
                <w:sz w:val="20"/>
                <w:szCs w:val="20"/>
                <w:lang w:val="sr-Cyrl-CS"/>
              </w:rPr>
              <w:t>2024</w:t>
            </w:r>
          </w:p>
        </w:tc>
        <w:tc>
          <w:tcPr>
            <w:tcW w:w="1145" w:type="dxa"/>
            <w:tcBorders>
              <w:top w:val="double" w:sz="6" w:space="0" w:color="auto"/>
              <w:left w:val="nil"/>
              <w:bottom w:val="double" w:sz="6" w:space="0" w:color="auto"/>
              <w:right w:val="double" w:sz="6" w:space="0" w:color="auto"/>
            </w:tcBorders>
            <w:shd w:val="clear" w:color="auto" w:fill="auto"/>
            <w:noWrap/>
            <w:vAlign w:val="center"/>
            <w:hideMark/>
          </w:tcPr>
          <w:p w14:paraId="0D61C04C" w14:textId="77777777" w:rsidR="00247CBF" w:rsidRPr="00092ED7" w:rsidRDefault="00247CBF" w:rsidP="00247CBF">
            <w:pPr>
              <w:spacing w:after="0"/>
              <w:jc w:val="center"/>
              <w:rPr>
                <w:b/>
                <w:bCs/>
                <w:sz w:val="20"/>
                <w:szCs w:val="20"/>
                <w:lang w:val="sr-Cyrl-CS"/>
              </w:rPr>
            </w:pPr>
            <w:r w:rsidRPr="00092ED7">
              <w:rPr>
                <w:b/>
                <w:bCs/>
                <w:sz w:val="20"/>
                <w:szCs w:val="20"/>
                <w:lang w:val="sr-Cyrl-CS"/>
              </w:rPr>
              <w:t>2025</w:t>
            </w:r>
          </w:p>
        </w:tc>
      </w:tr>
      <w:tr w:rsidR="00247CBF" w:rsidRPr="00092ED7" w14:paraId="3CC49166" w14:textId="77777777" w:rsidTr="00247CBF">
        <w:trPr>
          <w:trHeight w:val="227"/>
        </w:trPr>
        <w:tc>
          <w:tcPr>
            <w:tcW w:w="6538" w:type="dxa"/>
            <w:tcBorders>
              <w:top w:val="dotted" w:sz="4" w:space="0" w:color="000000"/>
              <w:left w:val="double" w:sz="6" w:space="0" w:color="000000"/>
              <w:bottom w:val="dotted" w:sz="4" w:space="0" w:color="000000"/>
              <w:right w:val="nil"/>
            </w:tcBorders>
            <w:shd w:val="clear" w:color="auto" w:fill="auto"/>
            <w:vAlign w:val="center"/>
            <w:hideMark/>
          </w:tcPr>
          <w:p w14:paraId="735571AD"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4. Једнократне и друге привремене мере [1]</w:t>
            </w:r>
          </w:p>
        </w:tc>
        <w:tc>
          <w:tcPr>
            <w:tcW w:w="2263" w:type="dxa"/>
            <w:gridSpan w:val="2"/>
            <w:tcBorders>
              <w:top w:val="double" w:sz="6" w:space="0" w:color="auto"/>
              <w:left w:val="single" w:sz="8" w:space="0" w:color="000000"/>
              <w:bottom w:val="dotted" w:sz="4" w:space="0" w:color="000000"/>
              <w:right w:val="single" w:sz="8" w:space="0" w:color="000000"/>
            </w:tcBorders>
            <w:shd w:val="clear" w:color="auto" w:fill="auto"/>
            <w:noWrap/>
            <w:vAlign w:val="bottom"/>
            <w:hideMark/>
          </w:tcPr>
          <w:p w14:paraId="2FF7013F"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 БДП</w:t>
            </w:r>
          </w:p>
        </w:tc>
        <w:tc>
          <w:tcPr>
            <w:tcW w:w="1144" w:type="dxa"/>
            <w:tcBorders>
              <w:top w:val="dotted" w:sz="4" w:space="0" w:color="000000"/>
              <w:left w:val="nil"/>
              <w:bottom w:val="dotted" w:sz="4" w:space="0" w:color="000000"/>
              <w:right w:val="dotted" w:sz="4" w:space="0" w:color="000000"/>
            </w:tcBorders>
            <w:shd w:val="clear" w:color="auto" w:fill="auto"/>
            <w:vAlign w:val="center"/>
            <w:hideMark/>
          </w:tcPr>
          <w:p w14:paraId="31F78A0E" w14:textId="77777777" w:rsidR="00247CBF" w:rsidRPr="00092ED7" w:rsidRDefault="00247CBF" w:rsidP="00247CBF">
            <w:pPr>
              <w:spacing w:after="0"/>
              <w:jc w:val="center"/>
              <w:rPr>
                <w:sz w:val="20"/>
                <w:szCs w:val="20"/>
                <w:lang w:val="sr-Cyrl-CS"/>
              </w:rPr>
            </w:pPr>
            <w:r w:rsidRPr="00092ED7">
              <w:rPr>
                <w:sz w:val="20"/>
                <w:szCs w:val="20"/>
                <w:lang w:val="sr-Cyrl-CS"/>
              </w:rPr>
              <w:t>-4,1</w:t>
            </w:r>
          </w:p>
        </w:tc>
        <w:tc>
          <w:tcPr>
            <w:tcW w:w="1145" w:type="dxa"/>
            <w:tcBorders>
              <w:top w:val="dotted" w:sz="4" w:space="0" w:color="000000"/>
              <w:left w:val="nil"/>
              <w:bottom w:val="dotted" w:sz="4" w:space="0" w:color="000000"/>
              <w:right w:val="dotted" w:sz="4" w:space="0" w:color="000000"/>
            </w:tcBorders>
            <w:shd w:val="clear" w:color="auto" w:fill="auto"/>
            <w:vAlign w:val="center"/>
            <w:hideMark/>
          </w:tcPr>
          <w:p w14:paraId="00780F76" w14:textId="77777777" w:rsidR="00247CBF" w:rsidRPr="00092ED7" w:rsidRDefault="00247CBF" w:rsidP="00247CBF">
            <w:pPr>
              <w:spacing w:after="0"/>
              <w:jc w:val="center"/>
              <w:rPr>
                <w:sz w:val="20"/>
                <w:szCs w:val="20"/>
                <w:lang w:val="sr-Cyrl-CS"/>
              </w:rPr>
            </w:pPr>
            <w:r w:rsidRPr="00092ED7">
              <w:rPr>
                <w:sz w:val="20"/>
                <w:szCs w:val="20"/>
                <w:lang w:val="sr-Cyrl-CS"/>
              </w:rPr>
              <w:t>-2,9</w:t>
            </w:r>
          </w:p>
        </w:tc>
        <w:tc>
          <w:tcPr>
            <w:tcW w:w="1144" w:type="dxa"/>
            <w:tcBorders>
              <w:top w:val="dotted" w:sz="4" w:space="0" w:color="000000"/>
              <w:left w:val="nil"/>
              <w:bottom w:val="dotted" w:sz="4" w:space="0" w:color="000000"/>
              <w:right w:val="dotted" w:sz="4" w:space="0" w:color="000000"/>
            </w:tcBorders>
            <w:shd w:val="clear" w:color="auto" w:fill="auto"/>
            <w:vAlign w:val="center"/>
            <w:hideMark/>
          </w:tcPr>
          <w:p w14:paraId="18F5C337" w14:textId="77777777" w:rsidR="00247CBF" w:rsidRPr="00092ED7" w:rsidRDefault="00247CBF" w:rsidP="00247CBF">
            <w:pPr>
              <w:spacing w:after="0"/>
              <w:jc w:val="center"/>
              <w:rPr>
                <w:sz w:val="20"/>
                <w:szCs w:val="20"/>
                <w:lang w:val="sr-Cyrl-CS"/>
              </w:rPr>
            </w:pPr>
            <w:r w:rsidRPr="00092ED7">
              <w:rPr>
                <w:sz w:val="20"/>
                <w:szCs w:val="20"/>
                <w:lang w:val="sr-Cyrl-CS"/>
              </w:rPr>
              <w:t>-1,6</w:t>
            </w:r>
          </w:p>
        </w:tc>
        <w:tc>
          <w:tcPr>
            <w:tcW w:w="1145" w:type="dxa"/>
            <w:tcBorders>
              <w:top w:val="dotted" w:sz="4" w:space="0" w:color="000000"/>
              <w:left w:val="nil"/>
              <w:bottom w:val="dotted" w:sz="4" w:space="0" w:color="000000"/>
              <w:right w:val="dotted" w:sz="4" w:space="0" w:color="000000"/>
            </w:tcBorders>
            <w:shd w:val="clear" w:color="auto" w:fill="auto"/>
            <w:vAlign w:val="center"/>
            <w:hideMark/>
          </w:tcPr>
          <w:p w14:paraId="274EC1F1" w14:textId="77777777" w:rsidR="00247CBF" w:rsidRPr="00092ED7" w:rsidRDefault="00247CBF" w:rsidP="00247CBF">
            <w:pPr>
              <w:spacing w:after="0"/>
              <w:jc w:val="center"/>
              <w:rPr>
                <w:sz w:val="20"/>
                <w:szCs w:val="20"/>
                <w:lang w:val="sr-Cyrl-CS"/>
              </w:rPr>
            </w:pPr>
            <w:r w:rsidRPr="00092ED7">
              <w:rPr>
                <w:sz w:val="20"/>
                <w:szCs w:val="20"/>
                <w:lang w:val="sr-Cyrl-CS"/>
              </w:rPr>
              <w:t>0,0</w:t>
            </w:r>
          </w:p>
        </w:tc>
        <w:tc>
          <w:tcPr>
            <w:tcW w:w="1145" w:type="dxa"/>
            <w:tcBorders>
              <w:top w:val="dotted" w:sz="4" w:space="0" w:color="000000"/>
              <w:left w:val="nil"/>
              <w:bottom w:val="dotted" w:sz="4" w:space="0" w:color="000000"/>
              <w:right w:val="double" w:sz="6" w:space="0" w:color="000000"/>
            </w:tcBorders>
            <w:shd w:val="clear" w:color="auto" w:fill="auto"/>
            <w:vAlign w:val="center"/>
            <w:hideMark/>
          </w:tcPr>
          <w:p w14:paraId="1372F8EE" w14:textId="77777777" w:rsidR="00247CBF" w:rsidRPr="00092ED7" w:rsidRDefault="00247CBF" w:rsidP="00247CBF">
            <w:pPr>
              <w:spacing w:after="0"/>
              <w:jc w:val="center"/>
              <w:rPr>
                <w:sz w:val="20"/>
                <w:szCs w:val="20"/>
                <w:lang w:val="sr-Cyrl-CS"/>
              </w:rPr>
            </w:pPr>
            <w:r w:rsidRPr="00092ED7">
              <w:rPr>
                <w:sz w:val="20"/>
                <w:szCs w:val="20"/>
                <w:lang w:val="sr-Cyrl-CS"/>
              </w:rPr>
              <w:t>0,0</w:t>
            </w:r>
          </w:p>
        </w:tc>
      </w:tr>
      <w:tr w:rsidR="00247CBF" w:rsidRPr="00092ED7" w14:paraId="1EAD6DD3" w14:textId="77777777" w:rsidTr="00247CBF">
        <w:trPr>
          <w:trHeight w:val="227"/>
        </w:trPr>
        <w:tc>
          <w:tcPr>
            <w:tcW w:w="6538" w:type="dxa"/>
            <w:tcBorders>
              <w:top w:val="nil"/>
              <w:left w:val="double" w:sz="6" w:space="0" w:color="000000"/>
              <w:bottom w:val="single" w:sz="4" w:space="0" w:color="auto"/>
              <w:right w:val="nil"/>
            </w:tcBorders>
            <w:shd w:val="clear" w:color="auto" w:fill="auto"/>
            <w:vAlign w:val="center"/>
            <w:hideMark/>
          </w:tcPr>
          <w:p w14:paraId="5C0ACA76"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 xml:space="preserve">5. Потенцијални раст БДП-а </w:t>
            </w:r>
          </w:p>
        </w:tc>
        <w:tc>
          <w:tcPr>
            <w:tcW w:w="2263" w:type="dxa"/>
            <w:gridSpan w:val="2"/>
            <w:tcBorders>
              <w:top w:val="dotted" w:sz="4" w:space="0" w:color="000000"/>
              <w:left w:val="single" w:sz="8" w:space="0" w:color="000000"/>
              <w:bottom w:val="single" w:sz="4" w:space="0" w:color="auto"/>
              <w:right w:val="single" w:sz="8" w:space="0" w:color="000000"/>
            </w:tcBorders>
            <w:shd w:val="clear" w:color="auto" w:fill="auto"/>
            <w:noWrap/>
            <w:vAlign w:val="bottom"/>
            <w:hideMark/>
          </w:tcPr>
          <w:p w14:paraId="2505EF4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мг</w:t>
            </w:r>
          </w:p>
        </w:tc>
        <w:tc>
          <w:tcPr>
            <w:tcW w:w="1144" w:type="dxa"/>
            <w:tcBorders>
              <w:top w:val="nil"/>
              <w:left w:val="nil"/>
              <w:bottom w:val="single" w:sz="4" w:space="0" w:color="auto"/>
              <w:right w:val="dotted" w:sz="4" w:space="0" w:color="000000"/>
            </w:tcBorders>
            <w:shd w:val="clear" w:color="auto" w:fill="auto"/>
            <w:vAlign w:val="center"/>
            <w:hideMark/>
          </w:tcPr>
          <w:p w14:paraId="6FB94B89" w14:textId="77777777" w:rsidR="00247CBF" w:rsidRPr="00092ED7" w:rsidRDefault="00247CBF" w:rsidP="00247CBF">
            <w:pPr>
              <w:spacing w:after="0"/>
              <w:jc w:val="center"/>
              <w:rPr>
                <w:sz w:val="20"/>
                <w:szCs w:val="20"/>
                <w:lang w:val="sr-Cyrl-CS"/>
              </w:rPr>
            </w:pPr>
            <w:r w:rsidRPr="00092ED7">
              <w:rPr>
                <w:sz w:val="20"/>
                <w:szCs w:val="20"/>
                <w:lang w:val="sr-Cyrl-CS"/>
              </w:rPr>
              <w:t>3,5</w:t>
            </w:r>
          </w:p>
        </w:tc>
        <w:tc>
          <w:tcPr>
            <w:tcW w:w="1145" w:type="dxa"/>
            <w:tcBorders>
              <w:top w:val="nil"/>
              <w:left w:val="nil"/>
              <w:bottom w:val="single" w:sz="4" w:space="0" w:color="auto"/>
              <w:right w:val="dotted" w:sz="4" w:space="0" w:color="000000"/>
            </w:tcBorders>
            <w:shd w:val="clear" w:color="auto" w:fill="auto"/>
            <w:vAlign w:val="center"/>
            <w:hideMark/>
          </w:tcPr>
          <w:p w14:paraId="3293B152" w14:textId="77777777" w:rsidR="00247CBF" w:rsidRPr="00092ED7" w:rsidRDefault="00247CBF" w:rsidP="00247CBF">
            <w:pPr>
              <w:spacing w:after="0"/>
              <w:jc w:val="center"/>
              <w:rPr>
                <w:sz w:val="20"/>
                <w:szCs w:val="20"/>
                <w:lang w:val="sr-Cyrl-CS"/>
              </w:rPr>
            </w:pPr>
            <w:r w:rsidRPr="00092ED7">
              <w:rPr>
                <w:sz w:val="20"/>
                <w:szCs w:val="20"/>
                <w:lang w:val="sr-Cyrl-CS"/>
              </w:rPr>
              <w:t>3,6</w:t>
            </w:r>
          </w:p>
        </w:tc>
        <w:tc>
          <w:tcPr>
            <w:tcW w:w="1144" w:type="dxa"/>
            <w:tcBorders>
              <w:top w:val="nil"/>
              <w:left w:val="nil"/>
              <w:bottom w:val="single" w:sz="4" w:space="0" w:color="auto"/>
              <w:right w:val="dotted" w:sz="4" w:space="0" w:color="000000"/>
            </w:tcBorders>
            <w:shd w:val="clear" w:color="auto" w:fill="auto"/>
            <w:vAlign w:val="center"/>
            <w:hideMark/>
          </w:tcPr>
          <w:p w14:paraId="670655A7" w14:textId="77777777" w:rsidR="00247CBF" w:rsidRPr="00092ED7" w:rsidRDefault="00247CBF" w:rsidP="00247CBF">
            <w:pPr>
              <w:spacing w:after="0"/>
              <w:jc w:val="center"/>
              <w:rPr>
                <w:sz w:val="20"/>
                <w:szCs w:val="20"/>
                <w:lang w:val="sr-Cyrl-CS"/>
              </w:rPr>
            </w:pPr>
            <w:r w:rsidRPr="00092ED7">
              <w:rPr>
                <w:sz w:val="20"/>
                <w:szCs w:val="20"/>
                <w:lang w:val="sr-Cyrl-CS"/>
              </w:rPr>
              <w:t>3,6</w:t>
            </w:r>
          </w:p>
        </w:tc>
        <w:tc>
          <w:tcPr>
            <w:tcW w:w="1145" w:type="dxa"/>
            <w:tcBorders>
              <w:top w:val="nil"/>
              <w:left w:val="nil"/>
              <w:bottom w:val="single" w:sz="4" w:space="0" w:color="auto"/>
              <w:right w:val="dotted" w:sz="4" w:space="0" w:color="000000"/>
            </w:tcBorders>
            <w:shd w:val="clear" w:color="auto" w:fill="auto"/>
            <w:vAlign w:val="center"/>
            <w:hideMark/>
          </w:tcPr>
          <w:p w14:paraId="7910D0B7" w14:textId="77777777" w:rsidR="00247CBF" w:rsidRPr="00092ED7" w:rsidRDefault="00247CBF" w:rsidP="00247CBF">
            <w:pPr>
              <w:spacing w:after="0"/>
              <w:jc w:val="center"/>
              <w:rPr>
                <w:sz w:val="20"/>
                <w:szCs w:val="20"/>
                <w:lang w:val="sr-Cyrl-CS"/>
              </w:rPr>
            </w:pPr>
            <w:r w:rsidRPr="00092ED7">
              <w:rPr>
                <w:sz w:val="20"/>
                <w:szCs w:val="20"/>
                <w:lang w:val="sr-Cyrl-CS"/>
              </w:rPr>
              <w:t>3,7</w:t>
            </w:r>
          </w:p>
        </w:tc>
        <w:tc>
          <w:tcPr>
            <w:tcW w:w="1145" w:type="dxa"/>
            <w:tcBorders>
              <w:top w:val="nil"/>
              <w:left w:val="nil"/>
              <w:bottom w:val="single" w:sz="4" w:space="0" w:color="auto"/>
              <w:right w:val="double" w:sz="6" w:space="0" w:color="000000"/>
            </w:tcBorders>
            <w:shd w:val="clear" w:color="auto" w:fill="auto"/>
            <w:vAlign w:val="center"/>
            <w:hideMark/>
          </w:tcPr>
          <w:p w14:paraId="1523EFA6" w14:textId="77777777" w:rsidR="00247CBF" w:rsidRPr="00092ED7" w:rsidRDefault="00247CBF" w:rsidP="00247CBF">
            <w:pPr>
              <w:spacing w:after="0"/>
              <w:jc w:val="center"/>
              <w:rPr>
                <w:sz w:val="20"/>
                <w:szCs w:val="20"/>
                <w:lang w:val="sr-Cyrl-CS"/>
              </w:rPr>
            </w:pPr>
            <w:r w:rsidRPr="00092ED7">
              <w:rPr>
                <w:sz w:val="20"/>
                <w:szCs w:val="20"/>
                <w:lang w:val="sr-Cyrl-CS"/>
              </w:rPr>
              <w:t>3,8</w:t>
            </w:r>
          </w:p>
        </w:tc>
      </w:tr>
      <w:tr w:rsidR="00247CBF" w:rsidRPr="00092ED7" w14:paraId="35DBCC1C" w14:textId="77777777" w:rsidTr="00247CBF">
        <w:trPr>
          <w:trHeight w:val="102"/>
        </w:trPr>
        <w:tc>
          <w:tcPr>
            <w:tcW w:w="6538" w:type="dxa"/>
            <w:tcBorders>
              <w:top w:val="nil"/>
              <w:left w:val="double" w:sz="6" w:space="0" w:color="000000"/>
              <w:bottom w:val="single" w:sz="4" w:space="0" w:color="000000"/>
              <w:right w:val="nil"/>
            </w:tcBorders>
            <w:shd w:val="clear" w:color="auto" w:fill="auto"/>
            <w:vAlign w:val="center"/>
            <w:hideMark/>
          </w:tcPr>
          <w:p w14:paraId="7E5B0C2B" w14:textId="77777777" w:rsidR="00247CBF" w:rsidRPr="00092ED7" w:rsidRDefault="00247CBF" w:rsidP="00247CBF">
            <w:pPr>
              <w:spacing w:after="0"/>
              <w:ind w:firstLineChars="200" w:firstLine="400"/>
              <w:jc w:val="left"/>
              <w:rPr>
                <w:rFonts w:eastAsia="Times New Roman" w:cs="Times New Roman"/>
                <w:sz w:val="20"/>
                <w:szCs w:val="20"/>
                <w:lang w:val="sr-Cyrl-CS"/>
              </w:rPr>
            </w:pPr>
            <w:r w:rsidRPr="00092ED7">
              <w:rPr>
                <w:rFonts w:eastAsia="Times New Roman" w:cs="Times New Roman"/>
                <w:sz w:val="20"/>
                <w:szCs w:val="20"/>
                <w:lang w:val="sr-Cyrl-CS"/>
              </w:rPr>
              <w:t>Доприноси:</w:t>
            </w:r>
          </w:p>
        </w:tc>
        <w:tc>
          <w:tcPr>
            <w:tcW w:w="2263" w:type="dxa"/>
            <w:gridSpan w:val="2"/>
            <w:tcBorders>
              <w:top w:val="nil"/>
              <w:left w:val="single" w:sz="8" w:space="0" w:color="000000"/>
              <w:bottom w:val="single" w:sz="4" w:space="0" w:color="000000"/>
              <w:right w:val="single" w:sz="8" w:space="0" w:color="auto"/>
            </w:tcBorders>
            <w:shd w:val="clear" w:color="auto" w:fill="auto"/>
            <w:noWrap/>
            <w:vAlign w:val="bottom"/>
          </w:tcPr>
          <w:p w14:paraId="05EEC9A2" w14:textId="77777777" w:rsidR="00247CBF" w:rsidRPr="00092ED7" w:rsidRDefault="00247CBF" w:rsidP="00247CBF">
            <w:pPr>
              <w:spacing w:after="0"/>
              <w:jc w:val="center"/>
              <w:rPr>
                <w:sz w:val="20"/>
                <w:szCs w:val="20"/>
                <w:lang w:val="sr-Cyrl-CS"/>
              </w:rPr>
            </w:pPr>
          </w:p>
        </w:tc>
        <w:tc>
          <w:tcPr>
            <w:tcW w:w="1144" w:type="dxa"/>
            <w:tcBorders>
              <w:top w:val="nil"/>
              <w:left w:val="nil"/>
              <w:bottom w:val="single" w:sz="4" w:space="0" w:color="000000"/>
              <w:right w:val="nil"/>
            </w:tcBorders>
            <w:shd w:val="clear" w:color="auto" w:fill="auto"/>
            <w:vAlign w:val="center"/>
            <w:hideMark/>
          </w:tcPr>
          <w:p w14:paraId="34B9F0A4" w14:textId="77777777" w:rsidR="00247CBF" w:rsidRPr="00092ED7" w:rsidRDefault="00247CBF" w:rsidP="00247CBF">
            <w:pPr>
              <w:spacing w:after="0"/>
              <w:jc w:val="center"/>
              <w:rPr>
                <w:sz w:val="20"/>
                <w:szCs w:val="20"/>
                <w:lang w:val="sr-Cyrl-CS"/>
              </w:rPr>
            </w:pPr>
          </w:p>
        </w:tc>
        <w:tc>
          <w:tcPr>
            <w:tcW w:w="1145" w:type="dxa"/>
            <w:tcBorders>
              <w:top w:val="nil"/>
              <w:left w:val="nil"/>
              <w:bottom w:val="single" w:sz="4" w:space="0" w:color="000000"/>
              <w:right w:val="nil"/>
            </w:tcBorders>
            <w:shd w:val="clear" w:color="auto" w:fill="auto"/>
            <w:vAlign w:val="center"/>
            <w:hideMark/>
          </w:tcPr>
          <w:p w14:paraId="5C51A489" w14:textId="77777777" w:rsidR="00247CBF" w:rsidRPr="00092ED7" w:rsidRDefault="00247CBF" w:rsidP="00247CBF">
            <w:pPr>
              <w:spacing w:after="0"/>
              <w:jc w:val="center"/>
              <w:rPr>
                <w:sz w:val="20"/>
                <w:szCs w:val="20"/>
                <w:lang w:val="sr-Cyrl-CS"/>
              </w:rPr>
            </w:pPr>
          </w:p>
        </w:tc>
        <w:tc>
          <w:tcPr>
            <w:tcW w:w="1144" w:type="dxa"/>
            <w:tcBorders>
              <w:top w:val="nil"/>
              <w:left w:val="nil"/>
              <w:bottom w:val="single" w:sz="4" w:space="0" w:color="000000"/>
              <w:right w:val="nil"/>
            </w:tcBorders>
            <w:shd w:val="clear" w:color="auto" w:fill="auto"/>
            <w:vAlign w:val="center"/>
            <w:hideMark/>
          </w:tcPr>
          <w:p w14:paraId="4321F742" w14:textId="77777777" w:rsidR="00247CBF" w:rsidRPr="00092ED7" w:rsidRDefault="00247CBF" w:rsidP="00247CBF">
            <w:pPr>
              <w:spacing w:after="0"/>
              <w:jc w:val="center"/>
              <w:rPr>
                <w:sz w:val="20"/>
                <w:szCs w:val="20"/>
                <w:lang w:val="sr-Cyrl-CS"/>
              </w:rPr>
            </w:pPr>
          </w:p>
        </w:tc>
        <w:tc>
          <w:tcPr>
            <w:tcW w:w="1145" w:type="dxa"/>
            <w:tcBorders>
              <w:top w:val="nil"/>
              <w:left w:val="nil"/>
              <w:bottom w:val="single" w:sz="4" w:space="0" w:color="000000"/>
              <w:right w:val="nil"/>
            </w:tcBorders>
            <w:shd w:val="clear" w:color="auto" w:fill="auto"/>
            <w:vAlign w:val="center"/>
            <w:hideMark/>
          </w:tcPr>
          <w:p w14:paraId="09177081" w14:textId="77777777" w:rsidR="00247CBF" w:rsidRPr="00092ED7" w:rsidRDefault="00247CBF" w:rsidP="00247CBF">
            <w:pPr>
              <w:spacing w:after="0"/>
              <w:jc w:val="center"/>
              <w:rPr>
                <w:sz w:val="20"/>
                <w:szCs w:val="20"/>
                <w:lang w:val="sr-Cyrl-CS"/>
              </w:rPr>
            </w:pPr>
          </w:p>
        </w:tc>
        <w:tc>
          <w:tcPr>
            <w:tcW w:w="1145" w:type="dxa"/>
            <w:tcBorders>
              <w:top w:val="nil"/>
              <w:left w:val="nil"/>
              <w:bottom w:val="single" w:sz="4" w:space="0" w:color="000000"/>
              <w:right w:val="double" w:sz="6" w:space="0" w:color="000000"/>
            </w:tcBorders>
            <w:shd w:val="clear" w:color="auto" w:fill="auto"/>
            <w:vAlign w:val="center"/>
            <w:hideMark/>
          </w:tcPr>
          <w:p w14:paraId="6343A9F3" w14:textId="77777777" w:rsidR="00247CBF" w:rsidRPr="00092ED7" w:rsidRDefault="00247CBF" w:rsidP="00247CBF">
            <w:pPr>
              <w:spacing w:after="0"/>
              <w:jc w:val="center"/>
              <w:rPr>
                <w:sz w:val="20"/>
                <w:szCs w:val="20"/>
                <w:lang w:val="sr-Cyrl-CS"/>
              </w:rPr>
            </w:pPr>
          </w:p>
        </w:tc>
      </w:tr>
      <w:tr w:rsidR="00247CBF" w:rsidRPr="00092ED7" w14:paraId="02C6A3E2" w14:textId="77777777" w:rsidTr="00247CBF">
        <w:trPr>
          <w:trHeight w:val="227"/>
        </w:trPr>
        <w:tc>
          <w:tcPr>
            <w:tcW w:w="6538" w:type="dxa"/>
            <w:tcBorders>
              <w:top w:val="nil"/>
              <w:left w:val="double" w:sz="6" w:space="0" w:color="000000"/>
              <w:bottom w:val="dotted" w:sz="4" w:space="0" w:color="000000"/>
              <w:right w:val="nil"/>
            </w:tcBorders>
            <w:shd w:val="clear" w:color="auto" w:fill="auto"/>
            <w:vAlign w:val="center"/>
            <w:hideMark/>
          </w:tcPr>
          <w:p w14:paraId="4C32192D" w14:textId="77777777" w:rsidR="00247CBF" w:rsidRPr="00092ED7" w:rsidRDefault="00247CBF" w:rsidP="00247CBF">
            <w:pPr>
              <w:spacing w:after="0"/>
              <w:ind w:firstLineChars="300" w:firstLine="600"/>
              <w:jc w:val="left"/>
              <w:rPr>
                <w:rFonts w:eastAsia="Times New Roman" w:cs="Times New Roman"/>
                <w:sz w:val="20"/>
                <w:szCs w:val="20"/>
                <w:lang w:val="sr-Cyrl-CS"/>
              </w:rPr>
            </w:pPr>
            <w:r w:rsidRPr="00092ED7">
              <w:rPr>
                <w:rFonts w:eastAsia="Times New Roman" w:cs="Times New Roman"/>
                <w:sz w:val="20"/>
                <w:szCs w:val="20"/>
                <w:lang w:val="sr-Cyrl-CS"/>
              </w:rPr>
              <w:t>- рад</w:t>
            </w:r>
          </w:p>
        </w:tc>
        <w:tc>
          <w:tcPr>
            <w:tcW w:w="2263" w:type="dxa"/>
            <w:gridSpan w:val="2"/>
            <w:tcBorders>
              <w:top w:val="single" w:sz="4" w:space="0" w:color="000000"/>
              <w:left w:val="single" w:sz="8" w:space="0" w:color="000000"/>
              <w:bottom w:val="dotted" w:sz="4" w:space="0" w:color="000000"/>
              <w:right w:val="single" w:sz="8" w:space="0" w:color="000000"/>
            </w:tcBorders>
            <w:shd w:val="clear" w:color="auto" w:fill="auto"/>
            <w:noWrap/>
            <w:vAlign w:val="bottom"/>
            <w:hideMark/>
          </w:tcPr>
          <w:p w14:paraId="38FCA65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1144" w:type="dxa"/>
            <w:tcBorders>
              <w:top w:val="nil"/>
              <w:left w:val="nil"/>
              <w:bottom w:val="dotted" w:sz="4" w:space="0" w:color="000000"/>
              <w:right w:val="dotted" w:sz="4" w:space="0" w:color="000000"/>
            </w:tcBorders>
            <w:shd w:val="clear" w:color="auto" w:fill="auto"/>
            <w:vAlign w:val="center"/>
            <w:hideMark/>
          </w:tcPr>
          <w:p w14:paraId="4F8747E1" w14:textId="77777777" w:rsidR="00247CBF" w:rsidRPr="00092ED7" w:rsidRDefault="00247CBF" w:rsidP="00247CBF">
            <w:pPr>
              <w:spacing w:after="0"/>
              <w:jc w:val="center"/>
              <w:rPr>
                <w:sz w:val="20"/>
                <w:szCs w:val="20"/>
                <w:lang w:val="sr-Cyrl-CS"/>
              </w:rPr>
            </w:pPr>
            <w:r w:rsidRPr="00092ED7">
              <w:rPr>
                <w:sz w:val="20"/>
                <w:szCs w:val="20"/>
                <w:lang w:val="sr-Cyrl-CS"/>
              </w:rPr>
              <w:t>1,1</w:t>
            </w:r>
          </w:p>
        </w:tc>
        <w:tc>
          <w:tcPr>
            <w:tcW w:w="1145" w:type="dxa"/>
            <w:tcBorders>
              <w:top w:val="nil"/>
              <w:left w:val="nil"/>
              <w:bottom w:val="dotted" w:sz="4" w:space="0" w:color="000000"/>
              <w:right w:val="dotted" w:sz="4" w:space="0" w:color="000000"/>
            </w:tcBorders>
            <w:shd w:val="clear" w:color="auto" w:fill="auto"/>
            <w:vAlign w:val="center"/>
            <w:hideMark/>
          </w:tcPr>
          <w:p w14:paraId="13DD5384" w14:textId="77777777" w:rsidR="00247CBF" w:rsidRPr="00092ED7" w:rsidRDefault="00247CBF" w:rsidP="00247CBF">
            <w:pPr>
              <w:spacing w:after="0"/>
              <w:jc w:val="center"/>
              <w:rPr>
                <w:sz w:val="20"/>
                <w:szCs w:val="20"/>
                <w:lang w:val="sr-Cyrl-CS"/>
              </w:rPr>
            </w:pPr>
            <w:r w:rsidRPr="00092ED7">
              <w:rPr>
                <w:sz w:val="20"/>
                <w:szCs w:val="20"/>
                <w:lang w:val="sr-Cyrl-CS"/>
              </w:rPr>
              <w:t>1,0</w:t>
            </w:r>
          </w:p>
        </w:tc>
        <w:tc>
          <w:tcPr>
            <w:tcW w:w="1144" w:type="dxa"/>
            <w:tcBorders>
              <w:top w:val="nil"/>
              <w:left w:val="nil"/>
              <w:bottom w:val="dotted" w:sz="4" w:space="0" w:color="000000"/>
              <w:right w:val="dotted" w:sz="4" w:space="0" w:color="000000"/>
            </w:tcBorders>
            <w:shd w:val="clear" w:color="auto" w:fill="auto"/>
            <w:vAlign w:val="center"/>
            <w:hideMark/>
          </w:tcPr>
          <w:p w14:paraId="2CD99B16" w14:textId="77777777" w:rsidR="00247CBF" w:rsidRPr="00092ED7" w:rsidRDefault="00247CBF" w:rsidP="00247CBF">
            <w:pPr>
              <w:spacing w:after="0"/>
              <w:jc w:val="center"/>
              <w:rPr>
                <w:sz w:val="20"/>
                <w:szCs w:val="20"/>
                <w:lang w:val="sr-Cyrl-CS"/>
              </w:rPr>
            </w:pPr>
            <w:r w:rsidRPr="00092ED7">
              <w:rPr>
                <w:sz w:val="20"/>
                <w:szCs w:val="20"/>
                <w:lang w:val="sr-Cyrl-CS"/>
              </w:rPr>
              <w:t>1,1</w:t>
            </w:r>
          </w:p>
        </w:tc>
        <w:tc>
          <w:tcPr>
            <w:tcW w:w="1145" w:type="dxa"/>
            <w:tcBorders>
              <w:top w:val="nil"/>
              <w:left w:val="nil"/>
              <w:bottom w:val="dotted" w:sz="4" w:space="0" w:color="000000"/>
              <w:right w:val="dotted" w:sz="4" w:space="0" w:color="000000"/>
            </w:tcBorders>
            <w:shd w:val="clear" w:color="auto" w:fill="auto"/>
            <w:vAlign w:val="center"/>
            <w:hideMark/>
          </w:tcPr>
          <w:p w14:paraId="331F744F" w14:textId="77777777" w:rsidR="00247CBF" w:rsidRPr="00092ED7" w:rsidRDefault="00247CBF" w:rsidP="00247CBF">
            <w:pPr>
              <w:spacing w:after="0"/>
              <w:jc w:val="center"/>
              <w:rPr>
                <w:sz w:val="20"/>
                <w:szCs w:val="20"/>
                <w:lang w:val="sr-Cyrl-CS"/>
              </w:rPr>
            </w:pPr>
            <w:r w:rsidRPr="00092ED7">
              <w:rPr>
                <w:sz w:val="20"/>
                <w:szCs w:val="20"/>
                <w:lang w:val="sr-Cyrl-CS"/>
              </w:rPr>
              <w:t>0,9</w:t>
            </w:r>
          </w:p>
        </w:tc>
        <w:tc>
          <w:tcPr>
            <w:tcW w:w="1145" w:type="dxa"/>
            <w:tcBorders>
              <w:top w:val="nil"/>
              <w:left w:val="nil"/>
              <w:bottom w:val="dotted" w:sz="4" w:space="0" w:color="000000"/>
              <w:right w:val="double" w:sz="6" w:space="0" w:color="000000"/>
            </w:tcBorders>
            <w:shd w:val="clear" w:color="auto" w:fill="auto"/>
            <w:vAlign w:val="center"/>
            <w:hideMark/>
          </w:tcPr>
          <w:p w14:paraId="58BDC1F4" w14:textId="77777777" w:rsidR="00247CBF" w:rsidRPr="00092ED7" w:rsidRDefault="00247CBF" w:rsidP="00247CBF">
            <w:pPr>
              <w:spacing w:after="0"/>
              <w:jc w:val="center"/>
              <w:rPr>
                <w:sz w:val="20"/>
                <w:szCs w:val="20"/>
                <w:lang w:val="sr-Cyrl-CS"/>
              </w:rPr>
            </w:pPr>
            <w:r w:rsidRPr="00092ED7">
              <w:rPr>
                <w:sz w:val="20"/>
                <w:szCs w:val="20"/>
                <w:lang w:val="sr-Cyrl-CS"/>
              </w:rPr>
              <w:t>0,8</w:t>
            </w:r>
          </w:p>
        </w:tc>
      </w:tr>
      <w:tr w:rsidR="00247CBF" w:rsidRPr="00092ED7" w14:paraId="1226124F" w14:textId="77777777" w:rsidTr="00247CBF">
        <w:trPr>
          <w:trHeight w:val="227"/>
        </w:trPr>
        <w:tc>
          <w:tcPr>
            <w:tcW w:w="6538" w:type="dxa"/>
            <w:tcBorders>
              <w:top w:val="nil"/>
              <w:left w:val="double" w:sz="6" w:space="0" w:color="000000"/>
              <w:bottom w:val="dotted" w:sz="4" w:space="0" w:color="000000"/>
              <w:right w:val="nil"/>
            </w:tcBorders>
            <w:shd w:val="clear" w:color="auto" w:fill="auto"/>
            <w:vAlign w:val="center"/>
            <w:hideMark/>
          </w:tcPr>
          <w:p w14:paraId="1989BA58" w14:textId="77777777" w:rsidR="00247CBF" w:rsidRPr="00092ED7" w:rsidRDefault="00247CBF" w:rsidP="00247CBF">
            <w:pPr>
              <w:spacing w:after="0"/>
              <w:ind w:firstLineChars="300" w:firstLine="600"/>
              <w:jc w:val="left"/>
              <w:rPr>
                <w:rFonts w:eastAsia="Times New Roman" w:cs="Times New Roman"/>
                <w:sz w:val="20"/>
                <w:szCs w:val="20"/>
                <w:lang w:val="sr-Cyrl-CS"/>
              </w:rPr>
            </w:pPr>
            <w:r w:rsidRPr="00092ED7">
              <w:rPr>
                <w:rFonts w:eastAsia="Times New Roman" w:cs="Times New Roman"/>
                <w:sz w:val="20"/>
                <w:szCs w:val="20"/>
                <w:lang w:val="sr-Cyrl-CS"/>
              </w:rPr>
              <w:t>- капитал</w:t>
            </w:r>
          </w:p>
        </w:tc>
        <w:tc>
          <w:tcPr>
            <w:tcW w:w="2263" w:type="dxa"/>
            <w:gridSpan w:val="2"/>
            <w:tcBorders>
              <w:top w:val="dotted" w:sz="4" w:space="0" w:color="000000"/>
              <w:left w:val="single" w:sz="8" w:space="0" w:color="000000"/>
              <w:bottom w:val="dotted" w:sz="4" w:space="0" w:color="000000"/>
              <w:right w:val="single" w:sz="8" w:space="0" w:color="000000"/>
            </w:tcBorders>
            <w:shd w:val="clear" w:color="auto" w:fill="auto"/>
            <w:noWrap/>
            <w:vAlign w:val="bottom"/>
            <w:hideMark/>
          </w:tcPr>
          <w:p w14:paraId="53BE800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1144" w:type="dxa"/>
            <w:tcBorders>
              <w:top w:val="nil"/>
              <w:left w:val="nil"/>
              <w:bottom w:val="dotted" w:sz="4" w:space="0" w:color="000000"/>
              <w:right w:val="dotted" w:sz="4" w:space="0" w:color="000000"/>
            </w:tcBorders>
            <w:shd w:val="clear" w:color="auto" w:fill="auto"/>
            <w:vAlign w:val="center"/>
            <w:hideMark/>
          </w:tcPr>
          <w:p w14:paraId="4E41CCDA" w14:textId="77777777" w:rsidR="00247CBF" w:rsidRPr="00092ED7" w:rsidRDefault="00247CBF" w:rsidP="00247CBF">
            <w:pPr>
              <w:spacing w:after="0"/>
              <w:jc w:val="center"/>
              <w:rPr>
                <w:sz w:val="20"/>
                <w:szCs w:val="20"/>
                <w:lang w:val="sr-Cyrl-CS"/>
              </w:rPr>
            </w:pPr>
            <w:r w:rsidRPr="00092ED7">
              <w:rPr>
                <w:sz w:val="20"/>
                <w:szCs w:val="20"/>
                <w:lang w:val="sr-Cyrl-CS"/>
              </w:rPr>
              <w:t>1,7</w:t>
            </w:r>
          </w:p>
        </w:tc>
        <w:tc>
          <w:tcPr>
            <w:tcW w:w="1145" w:type="dxa"/>
            <w:tcBorders>
              <w:top w:val="nil"/>
              <w:left w:val="nil"/>
              <w:bottom w:val="dotted" w:sz="4" w:space="0" w:color="000000"/>
              <w:right w:val="dotted" w:sz="4" w:space="0" w:color="000000"/>
            </w:tcBorders>
            <w:shd w:val="clear" w:color="auto" w:fill="auto"/>
            <w:vAlign w:val="center"/>
            <w:hideMark/>
          </w:tcPr>
          <w:p w14:paraId="4D5CB843" w14:textId="77777777" w:rsidR="00247CBF" w:rsidRPr="00092ED7" w:rsidRDefault="00247CBF" w:rsidP="00247CBF">
            <w:pPr>
              <w:spacing w:after="0"/>
              <w:jc w:val="center"/>
              <w:rPr>
                <w:sz w:val="20"/>
                <w:szCs w:val="20"/>
                <w:lang w:val="sr-Cyrl-CS"/>
              </w:rPr>
            </w:pPr>
            <w:r w:rsidRPr="00092ED7">
              <w:rPr>
                <w:sz w:val="20"/>
                <w:szCs w:val="20"/>
                <w:lang w:val="sr-Cyrl-CS"/>
              </w:rPr>
              <w:t>1,2</w:t>
            </w:r>
          </w:p>
        </w:tc>
        <w:tc>
          <w:tcPr>
            <w:tcW w:w="1144" w:type="dxa"/>
            <w:tcBorders>
              <w:top w:val="nil"/>
              <w:left w:val="nil"/>
              <w:bottom w:val="dotted" w:sz="4" w:space="0" w:color="000000"/>
              <w:right w:val="dotted" w:sz="4" w:space="0" w:color="000000"/>
            </w:tcBorders>
            <w:shd w:val="clear" w:color="auto" w:fill="auto"/>
            <w:vAlign w:val="center"/>
            <w:hideMark/>
          </w:tcPr>
          <w:p w14:paraId="7915BFD9"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1145" w:type="dxa"/>
            <w:tcBorders>
              <w:top w:val="nil"/>
              <w:left w:val="nil"/>
              <w:bottom w:val="dotted" w:sz="4" w:space="0" w:color="000000"/>
              <w:right w:val="dotted" w:sz="4" w:space="0" w:color="000000"/>
            </w:tcBorders>
            <w:shd w:val="clear" w:color="auto" w:fill="auto"/>
            <w:vAlign w:val="center"/>
            <w:hideMark/>
          </w:tcPr>
          <w:p w14:paraId="526DDC0C" w14:textId="77777777" w:rsidR="00247CBF" w:rsidRPr="00092ED7" w:rsidRDefault="00247CBF" w:rsidP="00247CBF">
            <w:pPr>
              <w:spacing w:after="0"/>
              <w:jc w:val="center"/>
              <w:rPr>
                <w:sz w:val="20"/>
                <w:szCs w:val="20"/>
                <w:lang w:val="sr-Cyrl-CS"/>
              </w:rPr>
            </w:pPr>
            <w:r w:rsidRPr="00092ED7">
              <w:rPr>
                <w:sz w:val="20"/>
                <w:szCs w:val="20"/>
                <w:lang w:val="sr-Cyrl-CS"/>
              </w:rPr>
              <w:t>1,5</w:t>
            </w:r>
          </w:p>
        </w:tc>
        <w:tc>
          <w:tcPr>
            <w:tcW w:w="1145" w:type="dxa"/>
            <w:tcBorders>
              <w:top w:val="nil"/>
              <w:left w:val="nil"/>
              <w:bottom w:val="dotted" w:sz="4" w:space="0" w:color="000000"/>
              <w:right w:val="double" w:sz="6" w:space="0" w:color="000000"/>
            </w:tcBorders>
            <w:shd w:val="clear" w:color="auto" w:fill="auto"/>
            <w:vAlign w:val="center"/>
            <w:hideMark/>
          </w:tcPr>
          <w:p w14:paraId="5B9F87B5" w14:textId="77777777" w:rsidR="00247CBF" w:rsidRPr="00092ED7" w:rsidRDefault="00247CBF" w:rsidP="00247CBF">
            <w:pPr>
              <w:spacing w:after="0"/>
              <w:jc w:val="center"/>
              <w:rPr>
                <w:sz w:val="20"/>
                <w:szCs w:val="20"/>
                <w:lang w:val="sr-Cyrl-CS"/>
              </w:rPr>
            </w:pPr>
            <w:r w:rsidRPr="00092ED7">
              <w:rPr>
                <w:sz w:val="20"/>
                <w:szCs w:val="20"/>
                <w:lang w:val="sr-Cyrl-CS"/>
              </w:rPr>
              <w:t>1,5</w:t>
            </w:r>
          </w:p>
        </w:tc>
      </w:tr>
      <w:tr w:rsidR="00247CBF" w:rsidRPr="00092ED7" w14:paraId="57142D05" w14:textId="77777777" w:rsidTr="00247CBF">
        <w:trPr>
          <w:trHeight w:val="227"/>
        </w:trPr>
        <w:tc>
          <w:tcPr>
            <w:tcW w:w="6538" w:type="dxa"/>
            <w:tcBorders>
              <w:top w:val="nil"/>
              <w:left w:val="double" w:sz="6" w:space="0" w:color="000000"/>
              <w:bottom w:val="dotted" w:sz="4" w:space="0" w:color="000000"/>
              <w:right w:val="nil"/>
            </w:tcBorders>
            <w:shd w:val="clear" w:color="auto" w:fill="auto"/>
            <w:vAlign w:val="center"/>
          </w:tcPr>
          <w:p w14:paraId="59991539" w14:textId="77777777" w:rsidR="00247CBF" w:rsidRPr="00092ED7" w:rsidRDefault="00247CBF" w:rsidP="00247CBF">
            <w:pPr>
              <w:spacing w:after="0"/>
              <w:ind w:firstLineChars="300" w:firstLine="600"/>
              <w:jc w:val="left"/>
              <w:rPr>
                <w:rFonts w:eastAsia="Times New Roman" w:cs="Times New Roman"/>
                <w:sz w:val="20"/>
                <w:szCs w:val="20"/>
                <w:lang w:val="sr-Cyrl-CS"/>
              </w:rPr>
            </w:pPr>
            <w:r w:rsidRPr="00092ED7">
              <w:rPr>
                <w:rFonts w:eastAsia="Times New Roman" w:cs="Times New Roman"/>
                <w:sz w:val="20"/>
                <w:szCs w:val="20"/>
                <w:lang w:val="sr-Cyrl-CS"/>
              </w:rPr>
              <w:t>- укупна факторска продуктивност</w:t>
            </w:r>
          </w:p>
        </w:tc>
        <w:tc>
          <w:tcPr>
            <w:tcW w:w="2263" w:type="dxa"/>
            <w:gridSpan w:val="2"/>
            <w:tcBorders>
              <w:top w:val="dotted" w:sz="4" w:space="0" w:color="000000"/>
              <w:left w:val="single" w:sz="8" w:space="0" w:color="000000"/>
              <w:bottom w:val="dotted" w:sz="4" w:space="0" w:color="000000"/>
              <w:right w:val="single" w:sz="8" w:space="0" w:color="000000"/>
            </w:tcBorders>
            <w:shd w:val="clear" w:color="auto" w:fill="auto"/>
            <w:noWrap/>
            <w:vAlign w:val="bottom"/>
          </w:tcPr>
          <w:p w14:paraId="60D0123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1144" w:type="dxa"/>
            <w:tcBorders>
              <w:top w:val="nil"/>
              <w:left w:val="nil"/>
              <w:bottom w:val="dotted" w:sz="4" w:space="0" w:color="000000"/>
              <w:right w:val="dotted" w:sz="4" w:space="0" w:color="000000"/>
            </w:tcBorders>
            <w:shd w:val="clear" w:color="auto" w:fill="auto"/>
            <w:vAlign w:val="center"/>
          </w:tcPr>
          <w:p w14:paraId="295767AD" w14:textId="77777777" w:rsidR="00247CBF" w:rsidRPr="00092ED7" w:rsidRDefault="00247CBF" w:rsidP="00247CBF">
            <w:pPr>
              <w:spacing w:after="0"/>
              <w:jc w:val="center"/>
              <w:rPr>
                <w:sz w:val="20"/>
                <w:szCs w:val="20"/>
                <w:lang w:val="sr-Cyrl-CS"/>
              </w:rPr>
            </w:pPr>
            <w:r w:rsidRPr="00092ED7">
              <w:rPr>
                <w:sz w:val="20"/>
                <w:szCs w:val="20"/>
                <w:lang w:val="sr-Cyrl-CS"/>
              </w:rPr>
              <w:t>0,7</w:t>
            </w:r>
          </w:p>
        </w:tc>
        <w:tc>
          <w:tcPr>
            <w:tcW w:w="1145" w:type="dxa"/>
            <w:tcBorders>
              <w:top w:val="nil"/>
              <w:left w:val="nil"/>
              <w:bottom w:val="dotted" w:sz="4" w:space="0" w:color="000000"/>
              <w:right w:val="dotted" w:sz="4" w:space="0" w:color="000000"/>
            </w:tcBorders>
            <w:shd w:val="clear" w:color="auto" w:fill="auto"/>
            <w:vAlign w:val="center"/>
          </w:tcPr>
          <w:p w14:paraId="19312B52"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1144" w:type="dxa"/>
            <w:tcBorders>
              <w:top w:val="nil"/>
              <w:left w:val="nil"/>
              <w:bottom w:val="dotted" w:sz="4" w:space="0" w:color="000000"/>
              <w:right w:val="dotted" w:sz="4" w:space="0" w:color="000000"/>
            </w:tcBorders>
            <w:shd w:val="clear" w:color="auto" w:fill="auto"/>
            <w:vAlign w:val="center"/>
          </w:tcPr>
          <w:p w14:paraId="0E57A99B" w14:textId="77777777" w:rsidR="00247CBF" w:rsidRPr="00092ED7" w:rsidRDefault="00247CBF" w:rsidP="00247CBF">
            <w:pPr>
              <w:spacing w:after="0"/>
              <w:jc w:val="center"/>
              <w:rPr>
                <w:sz w:val="20"/>
                <w:szCs w:val="20"/>
                <w:lang w:val="sr-Cyrl-CS"/>
              </w:rPr>
            </w:pPr>
            <w:r w:rsidRPr="00092ED7">
              <w:rPr>
                <w:sz w:val="20"/>
                <w:szCs w:val="20"/>
                <w:lang w:val="sr-Cyrl-CS"/>
              </w:rPr>
              <w:t>1,1</w:t>
            </w:r>
          </w:p>
        </w:tc>
        <w:tc>
          <w:tcPr>
            <w:tcW w:w="1145" w:type="dxa"/>
            <w:tcBorders>
              <w:top w:val="nil"/>
              <w:left w:val="nil"/>
              <w:bottom w:val="dotted" w:sz="4" w:space="0" w:color="000000"/>
              <w:right w:val="dotted" w:sz="4" w:space="0" w:color="000000"/>
            </w:tcBorders>
            <w:shd w:val="clear" w:color="auto" w:fill="auto"/>
            <w:vAlign w:val="center"/>
          </w:tcPr>
          <w:p w14:paraId="5412575B" w14:textId="77777777" w:rsidR="00247CBF" w:rsidRPr="00092ED7" w:rsidRDefault="00247CBF" w:rsidP="00247CBF">
            <w:pPr>
              <w:spacing w:after="0"/>
              <w:jc w:val="center"/>
              <w:rPr>
                <w:sz w:val="20"/>
                <w:szCs w:val="20"/>
                <w:lang w:val="sr-Cyrl-CS"/>
              </w:rPr>
            </w:pPr>
            <w:r w:rsidRPr="00092ED7">
              <w:rPr>
                <w:sz w:val="20"/>
                <w:szCs w:val="20"/>
                <w:lang w:val="sr-Cyrl-CS"/>
              </w:rPr>
              <w:t>1,3</w:t>
            </w:r>
          </w:p>
        </w:tc>
        <w:tc>
          <w:tcPr>
            <w:tcW w:w="1145" w:type="dxa"/>
            <w:tcBorders>
              <w:top w:val="nil"/>
              <w:left w:val="nil"/>
              <w:bottom w:val="dotted" w:sz="4" w:space="0" w:color="000000"/>
              <w:right w:val="double" w:sz="6" w:space="0" w:color="000000"/>
            </w:tcBorders>
            <w:shd w:val="clear" w:color="auto" w:fill="auto"/>
            <w:vAlign w:val="center"/>
          </w:tcPr>
          <w:p w14:paraId="5EAE12CD" w14:textId="77777777" w:rsidR="00247CBF" w:rsidRPr="00092ED7" w:rsidRDefault="00247CBF" w:rsidP="00247CBF">
            <w:pPr>
              <w:spacing w:after="0"/>
              <w:jc w:val="center"/>
              <w:rPr>
                <w:sz w:val="20"/>
                <w:szCs w:val="20"/>
                <w:lang w:val="sr-Cyrl-CS"/>
              </w:rPr>
            </w:pPr>
            <w:r w:rsidRPr="00092ED7">
              <w:rPr>
                <w:sz w:val="20"/>
                <w:szCs w:val="20"/>
                <w:lang w:val="sr-Cyrl-CS"/>
              </w:rPr>
              <w:t>1,4</w:t>
            </w:r>
          </w:p>
        </w:tc>
      </w:tr>
      <w:tr w:rsidR="00247CBF" w:rsidRPr="00092ED7" w14:paraId="6A503FA6" w14:textId="77777777" w:rsidTr="00247CBF">
        <w:trPr>
          <w:trHeight w:val="227"/>
        </w:trPr>
        <w:tc>
          <w:tcPr>
            <w:tcW w:w="6538" w:type="dxa"/>
            <w:tcBorders>
              <w:top w:val="dotted" w:sz="4" w:space="0" w:color="000000"/>
              <w:left w:val="double" w:sz="6" w:space="0" w:color="000000"/>
              <w:bottom w:val="dotted" w:sz="4" w:space="0" w:color="000000"/>
              <w:right w:val="nil"/>
            </w:tcBorders>
            <w:shd w:val="clear" w:color="auto" w:fill="auto"/>
            <w:vAlign w:val="center"/>
            <w:hideMark/>
          </w:tcPr>
          <w:p w14:paraId="3C0FFDE5"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6. Производни јаз</w:t>
            </w:r>
          </w:p>
        </w:tc>
        <w:tc>
          <w:tcPr>
            <w:tcW w:w="2263" w:type="dxa"/>
            <w:gridSpan w:val="2"/>
            <w:tcBorders>
              <w:top w:val="single" w:sz="4" w:space="0" w:color="auto"/>
              <w:left w:val="single" w:sz="8" w:space="0" w:color="000000"/>
              <w:bottom w:val="dotted" w:sz="4" w:space="0" w:color="000000"/>
              <w:right w:val="single" w:sz="8" w:space="0" w:color="000000"/>
            </w:tcBorders>
            <w:shd w:val="clear" w:color="auto" w:fill="auto"/>
            <w:noWrap/>
            <w:vAlign w:val="bottom"/>
            <w:hideMark/>
          </w:tcPr>
          <w:p w14:paraId="4C8C154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1144" w:type="dxa"/>
            <w:tcBorders>
              <w:top w:val="nil"/>
              <w:left w:val="nil"/>
              <w:bottom w:val="dotted" w:sz="4" w:space="0" w:color="000000"/>
              <w:right w:val="dotted" w:sz="4" w:space="0" w:color="000000"/>
            </w:tcBorders>
            <w:shd w:val="clear" w:color="auto" w:fill="auto"/>
            <w:vAlign w:val="center"/>
            <w:hideMark/>
          </w:tcPr>
          <w:p w14:paraId="351A2661" w14:textId="77777777" w:rsidR="00247CBF" w:rsidRPr="00092ED7" w:rsidRDefault="00247CBF" w:rsidP="00247CBF">
            <w:pPr>
              <w:spacing w:after="0"/>
              <w:jc w:val="center"/>
              <w:rPr>
                <w:sz w:val="20"/>
                <w:szCs w:val="20"/>
                <w:lang w:val="sr-Cyrl-CS"/>
              </w:rPr>
            </w:pPr>
            <w:r w:rsidRPr="00092ED7">
              <w:rPr>
                <w:sz w:val="20"/>
                <w:szCs w:val="20"/>
                <w:lang w:val="sr-Cyrl-CS"/>
              </w:rPr>
              <w:t>1,3</w:t>
            </w:r>
          </w:p>
        </w:tc>
        <w:tc>
          <w:tcPr>
            <w:tcW w:w="1145" w:type="dxa"/>
            <w:tcBorders>
              <w:top w:val="nil"/>
              <w:left w:val="nil"/>
              <w:bottom w:val="dotted" w:sz="4" w:space="0" w:color="000000"/>
              <w:right w:val="dotted" w:sz="4" w:space="0" w:color="000000"/>
            </w:tcBorders>
            <w:shd w:val="clear" w:color="auto" w:fill="auto"/>
            <w:vAlign w:val="center"/>
            <w:hideMark/>
          </w:tcPr>
          <w:p w14:paraId="473F374C" w14:textId="77777777" w:rsidR="00247CBF" w:rsidRPr="00092ED7" w:rsidRDefault="00247CBF" w:rsidP="00247CBF">
            <w:pPr>
              <w:spacing w:after="0"/>
              <w:jc w:val="center"/>
              <w:rPr>
                <w:sz w:val="20"/>
                <w:szCs w:val="20"/>
                <w:lang w:val="sr-Cyrl-CS"/>
              </w:rPr>
            </w:pPr>
            <w:r w:rsidRPr="00092ED7">
              <w:rPr>
                <w:sz w:val="20"/>
                <w:szCs w:val="20"/>
                <w:lang w:val="sr-Cyrl-CS"/>
              </w:rPr>
              <w:t>0,7</w:t>
            </w:r>
          </w:p>
        </w:tc>
        <w:tc>
          <w:tcPr>
            <w:tcW w:w="1144" w:type="dxa"/>
            <w:tcBorders>
              <w:top w:val="nil"/>
              <w:left w:val="nil"/>
              <w:bottom w:val="dotted" w:sz="4" w:space="0" w:color="000000"/>
              <w:right w:val="dotted" w:sz="4" w:space="0" w:color="000000"/>
            </w:tcBorders>
            <w:shd w:val="clear" w:color="auto" w:fill="auto"/>
            <w:vAlign w:val="center"/>
            <w:hideMark/>
          </w:tcPr>
          <w:p w14:paraId="5F393334" w14:textId="77777777" w:rsidR="00247CBF" w:rsidRPr="00092ED7" w:rsidRDefault="00247CBF" w:rsidP="00247CBF">
            <w:pPr>
              <w:spacing w:after="0"/>
              <w:jc w:val="center"/>
              <w:rPr>
                <w:sz w:val="20"/>
                <w:szCs w:val="20"/>
                <w:lang w:val="sr-Cyrl-CS"/>
              </w:rPr>
            </w:pPr>
            <w:r w:rsidRPr="00092ED7">
              <w:rPr>
                <w:sz w:val="20"/>
                <w:szCs w:val="20"/>
                <w:lang w:val="sr-Cyrl-CS"/>
              </w:rPr>
              <w:t>-0,3</w:t>
            </w:r>
          </w:p>
        </w:tc>
        <w:tc>
          <w:tcPr>
            <w:tcW w:w="1145" w:type="dxa"/>
            <w:tcBorders>
              <w:top w:val="nil"/>
              <w:left w:val="nil"/>
              <w:bottom w:val="dotted" w:sz="4" w:space="0" w:color="000000"/>
              <w:right w:val="dotted" w:sz="4" w:space="0" w:color="000000"/>
            </w:tcBorders>
            <w:shd w:val="clear" w:color="auto" w:fill="auto"/>
            <w:vAlign w:val="center"/>
            <w:hideMark/>
          </w:tcPr>
          <w:p w14:paraId="306E2E81" w14:textId="77777777" w:rsidR="00247CBF" w:rsidRPr="00092ED7" w:rsidRDefault="00247CBF" w:rsidP="00247CBF">
            <w:pPr>
              <w:spacing w:after="0"/>
              <w:jc w:val="center"/>
              <w:rPr>
                <w:sz w:val="20"/>
                <w:szCs w:val="20"/>
                <w:lang w:val="sr-Cyrl-CS"/>
              </w:rPr>
            </w:pPr>
            <w:r w:rsidRPr="00092ED7">
              <w:rPr>
                <w:sz w:val="20"/>
                <w:szCs w:val="20"/>
                <w:lang w:val="sr-Cyrl-CS"/>
              </w:rPr>
              <w:t>-0,4</w:t>
            </w:r>
          </w:p>
        </w:tc>
        <w:tc>
          <w:tcPr>
            <w:tcW w:w="1145" w:type="dxa"/>
            <w:tcBorders>
              <w:top w:val="nil"/>
              <w:left w:val="nil"/>
              <w:bottom w:val="dotted" w:sz="4" w:space="0" w:color="000000"/>
              <w:right w:val="double" w:sz="6" w:space="0" w:color="000000"/>
            </w:tcBorders>
            <w:shd w:val="clear" w:color="auto" w:fill="auto"/>
            <w:vAlign w:val="center"/>
            <w:hideMark/>
          </w:tcPr>
          <w:p w14:paraId="0DFAD1D3" w14:textId="77777777" w:rsidR="00247CBF" w:rsidRPr="00092ED7" w:rsidRDefault="00247CBF" w:rsidP="00247CBF">
            <w:pPr>
              <w:spacing w:after="0"/>
              <w:jc w:val="center"/>
              <w:rPr>
                <w:sz w:val="20"/>
                <w:szCs w:val="20"/>
                <w:lang w:val="sr-Cyrl-CS"/>
              </w:rPr>
            </w:pPr>
            <w:r w:rsidRPr="00092ED7">
              <w:rPr>
                <w:sz w:val="20"/>
                <w:szCs w:val="20"/>
                <w:lang w:val="sr-Cyrl-CS"/>
              </w:rPr>
              <w:t>-0,2</w:t>
            </w:r>
          </w:p>
        </w:tc>
      </w:tr>
      <w:tr w:rsidR="00247CBF" w:rsidRPr="00092ED7" w14:paraId="0A12E287" w14:textId="77777777" w:rsidTr="00247CBF">
        <w:trPr>
          <w:trHeight w:val="227"/>
        </w:trPr>
        <w:tc>
          <w:tcPr>
            <w:tcW w:w="6538" w:type="dxa"/>
            <w:tcBorders>
              <w:top w:val="nil"/>
              <w:left w:val="double" w:sz="6" w:space="0" w:color="000000"/>
              <w:bottom w:val="double" w:sz="6" w:space="0" w:color="000000"/>
              <w:right w:val="single" w:sz="8" w:space="0" w:color="000000"/>
            </w:tcBorders>
            <w:shd w:val="clear" w:color="auto" w:fill="auto"/>
            <w:vAlign w:val="center"/>
            <w:hideMark/>
          </w:tcPr>
          <w:p w14:paraId="23A6C5C2"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7. Циклична компонента буџета</w:t>
            </w:r>
          </w:p>
        </w:tc>
        <w:tc>
          <w:tcPr>
            <w:tcW w:w="2263" w:type="dxa"/>
            <w:gridSpan w:val="2"/>
            <w:tcBorders>
              <w:top w:val="dotted" w:sz="4" w:space="0" w:color="000000"/>
              <w:left w:val="nil"/>
              <w:bottom w:val="double" w:sz="6" w:space="0" w:color="000000"/>
              <w:right w:val="single" w:sz="8" w:space="0" w:color="000000"/>
            </w:tcBorders>
            <w:shd w:val="clear" w:color="auto" w:fill="auto"/>
            <w:noWrap/>
            <w:vAlign w:val="bottom"/>
            <w:hideMark/>
          </w:tcPr>
          <w:p w14:paraId="4FFD600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1144" w:type="dxa"/>
            <w:tcBorders>
              <w:top w:val="nil"/>
              <w:left w:val="nil"/>
              <w:bottom w:val="double" w:sz="6" w:space="0" w:color="000000"/>
              <w:right w:val="dotted" w:sz="4" w:space="0" w:color="000000"/>
            </w:tcBorders>
            <w:shd w:val="clear" w:color="auto" w:fill="auto"/>
            <w:vAlign w:val="center"/>
            <w:hideMark/>
          </w:tcPr>
          <w:p w14:paraId="465970AA" w14:textId="77777777" w:rsidR="00247CBF" w:rsidRPr="00092ED7" w:rsidRDefault="00247CBF" w:rsidP="00247CBF">
            <w:pPr>
              <w:spacing w:after="0"/>
              <w:jc w:val="center"/>
              <w:rPr>
                <w:sz w:val="20"/>
                <w:szCs w:val="20"/>
                <w:lang w:val="sr-Cyrl-CS"/>
              </w:rPr>
            </w:pPr>
            <w:r w:rsidRPr="00092ED7">
              <w:rPr>
                <w:sz w:val="20"/>
                <w:szCs w:val="20"/>
                <w:lang w:val="sr-Cyrl-CS"/>
              </w:rPr>
              <w:t>0,5</w:t>
            </w:r>
          </w:p>
        </w:tc>
        <w:tc>
          <w:tcPr>
            <w:tcW w:w="1145" w:type="dxa"/>
            <w:tcBorders>
              <w:top w:val="nil"/>
              <w:left w:val="nil"/>
              <w:bottom w:val="double" w:sz="6" w:space="0" w:color="000000"/>
              <w:right w:val="dotted" w:sz="4" w:space="0" w:color="000000"/>
            </w:tcBorders>
            <w:shd w:val="clear" w:color="auto" w:fill="auto"/>
            <w:vAlign w:val="center"/>
            <w:hideMark/>
          </w:tcPr>
          <w:p w14:paraId="70440338" w14:textId="77777777" w:rsidR="00247CBF" w:rsidRPr="00092ED7" w:rsidRDefault="00247CBF" w:rsidP="00247CBF">
            <w:pPr>
              <w:spacing w:after="0"/>
              <w:jc w:val="center"/>
              <w:rPr>
                <w:sz w:val="20"/>
                <w:szCs w:val="20"/>
                <w:lang w:val="sr-Cyrl-CS"/>
              </w:rPr>
            </w:pPr>
            <w:r w:rsidRPr="00092ED7">
              <w:rPr>
                <w:sz w:val="20"/>
                <w:szCs w:val="20"/>
                <w:lang w:val="sr-Cyrl-CS"/>
              </w:rPr>
              <w:t>0,3</w:t>
            </w:r>
          </w:p>
        </w:tc>
        <w:tc>
          <w:tcPr>
            <w:tcW w:w="1144" w:type="dxa"/>
            <w:tcBorders>
              <w:top w:val="nil"/>
              <w:left w:val="nil"/>
              <w:bottom w:val="double" w:sz="6" w:space="0" w:color="000000"/>
              <w:right w:val="dotted" w:sz="4" w:space="0" w:color="000000"/>
            </w:tcBorders>
            <w:shd w:val="clear" w:color="auto" w:fill="auto"/>
            <w:vAlign w:val="center"/>
            <w:hideMark/>
          </w:tcPr>
          <w:p w14:paraId="7C3C76E6" w14:textId="77777777" w:rsidR="00247CBF" w:rsidRPr="00092ED7" w:rsidRDefault="00247CBF" w:rsidP="00247CBF">
            <w:pPr>
              <w:spacing w:after="0"/>
              <w:jc w:val="center"/>
              <w:rPr>
                <w:sz w:val="20"/>
                <w:szCs w:val="20"/>
                <w:lang w:val="sr-Cyrl-CS"/>
              </w:rPr>
            </w:pPr>
            <w:r w:rsidRPr="00092ED7">
              <w:rPr>
                <w:sz w:val="20"/>
                <w:szCs w:val="20"/>
                <w:lang w:val="sr-Cyrl-CS"/>
              </w:rPr>
              <w:t>-0,1</w:t>
            </w:r>
          </w:p>
        </w:tc>
        <w:tc>
          <w:tcPr>
            <w:tcW w:w="1145" w:type="dxa"/>
            <w:tcBorders>
              <w:top w:val="nil"/>
              <w:left w:val="nil"/>
              <w:bottom w:val="double" w:sz="6" w:space="0" w:color="000000"/>
              <w:right w:val="dotted" w:sz="4" w:space="0" w:color="000000"/>
            </w:tcBorders>
            <w:shd w:val="clear" w:color="auto" w:fill="auto"/>
            <w:vAlign w:val="center"/>
            <w:hideMark/>
          </w:tcPr>
          <w:p w14:paraId="36AA43A0" w14:textId="77777777" w:rsidR="00247CBF" w:rsidRPr="00092ED7" w:rsidRDefault="00247CBF" w:rsidP="00247CBF">
            <w:pPr>
              <w:spacing w:after="0"/>
              <w:jc w:val="center"/>
              <w:rPr>
                <w:sz w:val="20"/>
                <w:szCs w:val="20"/>
                <w:lang w:val="sr-Cyrl-CS"/>
              </w:rPr>
            </w:pPr>
            <w:r w:rsidRPr="00092ED7">
              <w:rPr>
                <w:sz w:val="20"/>
                <w:szCs w:val="20"/>
                <w:lang w:val="sr-Cyrl-CS"/>
              </w:rPr>
              <w:t>-0,2</w:t>
            </w:r>
          </w:p>
        </w:tc>
        <w:tc>
          <w:tcPr>
            <w:tcW w:w="1145" w:type="dxa"/>
            <w:tcBorders>
              <w:top w:val="nil"/>
              <w:left w:val="nil"/>
              <w:bottom w:val="double" w:sz="6" w:space="0" w:color="000000"/>
              <w:right w:val="double" w:sz="6" w:space="0" w:color="000000"/>
            </w:tcBorders>
            <w:shd w:val="clear" w:color="auto" w:fill="auto"/>
            <w:vAlign w:val="center"/>
            <w:hideMark/>
          </w:tcPr>
          <w:p w14:paraId="3CF12485" w14:textId="77777777" w:rsidR="00247CBF" w:rsidRPr="00092ED7" w:rsidRDefault="00247CBF" w:rsidP="00247CBF">
            <w:pPr>
              <w:spacing w:after="0"/>
              <w:jc w:val="center"/>
              <w:rPr>
                <w:sz w:val="20"/>
                <w:szCs w:val="20"/>
                <w:lang w:val="sr-Cyrl-CS"/>
              </w:rPr>
            </w:pPr>
            <w:r w:rsidRPr="00092ED7">
              <w:rPr>
                <w:sz w:val="20"/>
                <w:szCs w:val="20"/>
                <w:lang w:val="sr-Cyrl-CS"/>
              </w:rPr>
              <w:t>-0,1</w:t>
            </w:r>
          </w:p>
        </w:tc>
      </w:tr>
      <w:tr w:rsidR="00247CBF" w:rsidRPr="00092ED7" w14:paraId="330AC8D2" w14:textId="77777777" w:rsidTr="00247CBF">
        <w:trPr>
          <w:trHeight w:val="227"/>
        </w:trPr>
        <w:tc>
          <w:tcPr>
            <w:tcW w:w="6538" w:type="dxa"/>
            <w:tcBorders>
              <w:top w:val="nil"/>
              <w:left w:val="nil"/>
              <w:bottom w:val="nil"/>
              <w:right w:val="nil"/>
            </w:tcBorders>
            <w:shd w:val="clear" w:color="auto" w:fill="auto"/>
            <w:noWrap/>
            <w:vAlign w:val="bottom"/>
            <w:hideMark/>
          </w:tcPr>
          <w:p w14:paraId="11891137"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[1] Позитиван знак значи једнократне мере за смањење дефицита.</w:t>
            </w:r>
          </w:p>
        </w:tc>
        <w:tc>
          <w:tcPr>
            <w:tcW w:w="893" w:type="dxa"/>
            <w:tcBorders>
              <w:top w:val="nil"/>
              <w:left w:val="nil"/>
              <w:bottom w:val="nil"/>
              <w:right w:val="nil"/>
            </w:tcBorders>
            <w:shd w:val="clear" w:color="auto" w:fill="auto"/>
            <w:noWrap/>
            <w:vAlign w:val="bottom"/>
            <w:hideMark/>
          </w:tcPr>
          <w:p w14:paraId="526618FC" w14:textId="77777777" w:rsidR="00247CBF" w:rsidRPr="00092ED7" w:rsidRDefault="00247CBF" w:rsidP="00247CBF">
            <w:pPr>
              <w:spacing w:after="0"/>
              <w:rPr>
                <w:rFonts w:ascii="Arial" w:eastAsia="Times New Roman" w:hAnsi="Arial" w:cs="Arial"/>
                <w:sz w:val="16"/>
                <w:szCs w:val="16"/>
                <w:lang w:val="sr-Cyrl-CS"/>
              </w:rPr>
            </w:pPr>
            <w:r w:rsidRPr="00092ED7">
              <w:rPr>
                <w:rFonts w:ascii="Arial" w:eastAsia="Times New Roman" w:hAnsi="Arial" w:cs="Arial"/>
                <w:sz w:val="16"/>
                <w:szCs w:val="16"/>
                <w:lang w:val="sr-Cyrl-CS"/>
              </w:rPr>
              <w:t> </w:t>
            </w:r>
          </w:p>
        </w:tc>
        <w:tc>
          <w:tcPr>
            <w:tcW w:w="1370" w:type="dxa"/>
            <w:tcBorders>
              <w:top w:val="nil"/>
              <w:left w:val="nil"/>
              <w:bottom w:val="nil"/>
              <w:right w:val="nil"/>
            </w:tcBorders>
            <w:shd w:val="clear" w:color="auto" w:fill="auto"/>
            <w:noWrap/>
            <w:vAlign w:val="bottom"/>
            <w:hideMark/>
          </w:tcPr>
          <w:p w14:paraId="31D9699E" w14:textId="77777777" w:rsidR="00247CBF" w:rsidRPr="00092ED7" w:rsidRDefault="00247CBF" w:rsidP="00247CBF">
            <w:pPr>
              <w:spacing w:after="0"/>
              <w:rPr>
                <w:rFonts w:ascii="Arial" w:eastAsia="Times New Roman" w:hAnsi="Arial" w:cs="Arial"/>
                <w:sz w:val="16"/>
                <w:szCs w:val="16"/>
                <w:lang w:val="sr-Cyrl-CS"/>
              </w:rPr>
            </w:pPr>
            <w:r w:rsidRPr="00092ED7">
              <w:rPr>
                <w:rFonts w:ascii="Arial" w:eastAsia="Times New Roman" w:hAnsi="Arial" w:cs="Arial"/>
                <w:sz w:val="16"/>
                <w:szCs w:val="16"/>
                <w:lang w:val="sr-Cyrl-CS"/>
              </w:rPr>
              <w:t> </w:t>
            </w:r>
          </w:p>
        </w:tc>
        <w:tc>
          <w:tcPr>
            <w:tcW w:w="1144" w:type="dxa"/>
            <w:tcBorders>
              <w:top w:val="nil"/>
              <w:left w:val="nil"/>
              <w:bottom w:val="nil"/>
              <w:right w:val="nil"/>
            </w:tcBorders>
            <w:shd w:val="clear" w:color="auto" w:fill="auto"/>
            <w:noWrap/>
            <w:vAlign w:val="bottom"/>
            <w:hideMark/>
          </w:tcPr>
          <w:p w14:paraId="7CB5A5B7" w14:textId="77777777" w:rsidR="00247CBF" w:rsidRPr="00092ED7" w:rsidRDefault="00247CBF" w:rsidP="00247CBF">
            <w:pPr>
              <w:spacing w:after="0"/>
              <w:rPr>
                <w:rFonts w:ascii="Arial" w:eastAsia="Times New Roman" w:hAnsi="Arial" w:cs="Arial"/>
                <w:sz w:val="16"/>
                <w:szCs w:val="16"/>
                <w:lang w:val="sr-Cyrl-CS"/>
              </w:rPr>
            </w:pPr>
            <w:r w:rsidRPr="00092ED7">
              <w:rPr>
                <w:rFonts w:ascii="Arial" w:eastAsia="Times New Roman" w:hAnsi="Arial" w:cs="Arial"/>
                <w:sz w:val="16"/>
                <w:szCs w:val="16"/>
                <w:lang w:val="sr-Cyrl-CS"/>
              </w:rPr>
              <w:t> </w:t>
            </w:r>
          </w:p>
        </w:tc>
        <w:tc>
          <w:tcPr>
            <w:tcW w:w="1145" w:type="dxa"/>
            <w:tcBorders>
              <w:top w:val="nil"/>
              <w:left w:val="nil"/>
              <w:bottom w:val="nil"/>
              <w:right w:val="nil"/>
            </w:tcBorders>
            <w:shd w:val="clear" w:color="auto" w:fill="auto"/>
            <w:noWrap/>
            <w:vAlign w:val="bottom"/>
            <w:hideMark/>
          </w:tcPr>
          <w:p w14:paraId="5FA35D15" w14:textId="77777777" w:rsidR="00247CBF" w:rsidRPr="00092ED7" w:rsidRDefault="00247CBF" w:rsidP="00247CBF">
            <w:pPr>
              <w:spacing w:after="0"/>
              <w:rPr>
                <w:rFonts w:ascii="Arial" w:eastAsia="Times New Roman" w:hAnsi="Arial" w:cs="Arial"/>
                <w:sz w:val="16"/>
                <w:szCs w:val="16"/>
                <w:lang w:val="sr-Cyrl-CS"/>
              </w:rPr>
            </w:pPr>
            <w:r w:rsidRPr="00092ED7">
              <w:rPr>
                <w:rFonts w:ascii="Arial" w:eastAsia="Times New Roman" w:hAnsi="Arial" w:cs="Arial"/>
                <w:sz w:val="16"/>
                <w:szCs w:val="16"/>
                <w:lang w:val="sr-Cyrl-CS"/>
              </w:rPr>
              <w:t> </w:t>
            </w:r>
          </w:p>
        </w:tc>
        <w:tc>
          <w:tcPr>
            <w:tcW w:w="1144" w:type="dxa"/>
            <w:tcBorders>
              <w:top w:val="nil"/>
              <w:left w:val="nil"/>
              <w:bottom w:val="nil"/>
              <w:right w:val="nil"/>
            </w:tcBorders>
            <w:shd w:val="clear" w:color="auto" w:fill="auto"/>
            <w:noWrap/>
            <w:vAlign w:val="bottom"/>
            <w:hideMark/>
          </w:tcPr>
          <w:p w14:paraId="1936D55C" w14:textId="77777777" w:rsidR="00247CBF" w:rsidRPr="00092ED7" w:rsidRDefault="00247CBF" w:rsidP="00247CBF">
            <w:pPr>
              <w:spacing w:after="0"/>
              <w:rPr>
                <w:rFonts w:ascii="Arial" w:eastAsia="Times New Roman" w:hAnsi="Arial" w:cs="Arial"/>
                <w:sz w:val="16"/>
                <w:szCs w:val="16"/>
                <w:lang w:val="sr-Cyrl-CS"/>
              </w:rPr>
            </w:pPr>
            <w:r w:rsidRPr="00092ED7">
              <w:rPr>
                <w:rFonts w:ascii="Arial" w:eastAsia="Times New Roman" w:hAnsi="Arial" w:cs="Arial"/>
                <w:sz w:val="16"/>
                <w:szCs w:val="16"/>
                <w:lang w:val="sr-Cyrl-CS"/>
              </w:rPr>
              <w:t> </w:t>
            </w:r>
          </w:p>
        </w:tc>
        <w:tc>
          <w:tcPr>
            <w:tcW w:w="1145" w:type="dxa"/>
            <w:tcBorders>
              <w:top w:val="nil"/>
              <w:left w:val="nil"/>
              <w:bottom w:val="nil"/>
              <w:right w:val="nil"/>
            </w:tcBorders>
            <w:shd w:val="clear" w:color="auto" w:fill="auto"/>
            <w:noWrap/>
            <w:vAlign w:val="bottom"/>
            <w:hideMark/>
          </w:tcPr>
          <w:p w14:paraId="67A3DF05" w14:textId="77777777" w:rsidR="00247CBF" w:rsidRPr="00092ED7" w:rsidRDefault="00247CBF" w:rsidP="00247CBF">
            <w:pPr>
              <w:spacing w:after="0"/>
              <w:rPr>
                <w:rFonts w:ascii="Arial" w:eastAsia="Times New Roman" w:hAnsi="Arial" w:cs="Arial"/>
                <w:sz w:val="16"/>
                <w:szCs w:val="16"/>
                <w:lang w:val="sr-Cyrl-CS"/>
              </w:rPr>
            </w:pPr>
            <w:r w:rsidRPr="00092ED7">
              <w:rPr>
                <w:rFonts w:ascii="Arial" w:eastAsia="Times New Roman" w:hAnsi="Arial" w:cs="Arial"/>
                <w:sz w:val="16"/>
                <w:szCs w:val="16"/>
                <w:lang w:val="sr-Cyrl-CS"/>
              </w:rPr>
              <w:t> </w:t>
            </w:r>
          </w:p>
        </w:tc>
        <w:tc>
          <w:tcPr>
            <w:tcW w:w="1145" w:type="dxa"/>
            <w:tcBorders>
              <w:top w:val="nil"/>
              <w:left w:val="nil"/>
              <w:bottom w:val="nil"/>
              <w:right w:val="nil"/>
            </w:tcBorders>
            <w:shd w:val="clear" w:color="auto" w:fill="auto"/>
            <w:noWrap/>
            <w:vAlign w:val="bottom"/>
            <w:hideMark/>
          </w:tcPr>
          <w:p w14:paraId="14AFB04A" w14:textId="77777777" w:rsidR="00247CBF" w:rsidRPr="00092ED7" w:rsidRDefault="00247CBF" w:rsidP="00247CBF">
            <w:pPr>
              <w:spacing w:after="0"/>
              <w:jc w:val="right"/>
              <w:rPr>
                <w:rFonts w:ascii="Arial" w:eastAsia="Times New Roman" w:hAnsi="Arial" w:cs="Arial"/>
                <w:sz w:val="16"/>
                <w:szCs w:val="16"/>
                <w:lang w:val="sr-Cyrl-CS"/>
              </w:rPr>
            </w:pPr>
            <w:r w:rsidRPr="00092ED7">
              <w:rPr>
                <w:rFonts w:ascii="Arial" w:eastAsia="Times New Roman" w:hAnsi="Arial" w:cs="Arial"/>
                <w:sz w:val="16"/>
                <w:szCs w:val="16"/>
                <w:lang w:val="sr-Cyrl-CS"/>
              </w:rPr>
              <w:t> </w:t>
            </w:r>
          </w:p>
        </w:tc>
      </w:tr>
    </w:tbl>
    <w:p w14:paraId="3FC6F422" w14:textId="77777777" w:rsidR="00247CBF" w:rsidRPr="00092ED7" w:rsidRDefault="00247CBF" w:rsidP="00247CBF">
      <w:pPr>
        <w:rPr>
          <w:rFonts w:cs="Times New Roman"/>
          <w:lang w:val="sr-Cyrl-CS"/>
        </w:rPr>
      </w:pPr>
    </w:p>
    <w:tbl>
      <w:tblPr>
        <w:tblW w:w="5000" w:type="pct"/>
        <w:tblLook w:val="04A0" w:firstRow="1" w:lastRow="0" w:firstColumn="1" w:lastColumn="0" w:noHBand="0" w:noVBand="1"/>
      </w:tblPr>
      <w:tblGrid>
        <w:gridCol w:w="23"/>
        <w:gridCol w:w="6641"/>
        <w:gridCol w:w="29"/>
        <w:gridCol w:w="1169"/>
        <w:gridCol w:w="219"/>
        <w:gridCol w:w="1139"/>
        <w:gridCol w:w="157"/>
        <w:gridCol w:w="938"/>
        <w:gridCol w:w="358"/>
        <w:gridCol w:w="729"/>
        <w:gridCol w:w="568"/>
        <w:gridCol w:w="1297"/>
        <w:gridCol w:w="1303"/>
      </w:tblGrid>
      <w:tr w:rsidR="00247CBF" w:rsidRPr="00092ED7" w14:paraId="610CD743" w14:textId="77777777" w:rsidTr="00247CBF">
        <w:trPr>
          <w:trHeight w:val="227"/>
        </w:trPr>
        <w:tc>
          <w:tcPr>
            <w:tcW w:w="2297" w:type="pct"/>
            <w:gridSpan w:val="3"/>
            <w:tcBorders>
              <w:top w:val="nil"/>
              <w:left w:val="nil"/>
              <w:bottom w:val="nil"/>
              <w:right w:val="nil"/>
            </w:tcBorders>
            <w:shd w:val="clear" w:color="000000" w:fill="FFFFFF"/>
            <w:noWrap/>
            <w:vAlign w:val="bottom"/>
            <w:hideMark/>
          </w:tcPr>
          <w:p w14:paraId="4E90A001"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5: Циклична кретања</w:t>
            </w:r>
          </w:p>
        </w:tc>
        <w:tc>
          <w:tcPr>
            <w:tcW w:w="401" w:type="pct"/>
            <w:tcBorders>
              <w:top w:val="nil"/>
              <w:left w:val="nil"/>
              <w:bottom w:val="nil"/>
              <w:right w:val="nil"/>
            </w:tcBorders>
            <w:shd w:val="clear" w:color="000000" w:fill="FFFFFF"/>
            <w:noWrap/>
            <w:vAlign w:val="bottom"/>
            <w:hideMark/>
          </w:tcPr>
          <w:p w14:paraId="1D57368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66" w:type="pct"/>
            <w:gridSpan w:val="2"/>
            <w:tcBorders>
              <w:top w:val="nil"/>
              <w:left w:val="nil"/>
              <w:bottom w:val="nil"/>
              <w:right w:val="nil"/>
            </w:tcBorders>
            <w:shd w:val="clear" w:color="000000" w:fill="FFFFFF"/>
            <w:noWrap/>
            <w:vAlign w:val="bottom"/>
            <w:hideMark/>
          </w:tcPr>
          <w:p w14:paraId="35D3D60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76" w:type="pct"/>
            <w:gridSpan w:val="2"/>
            <w:tcBorders>
              <w:top w:val="nil"/>
              <w:left w:val="nil"/>
              <w:bottom w:val="nil"/>
              <w:right w:val="nil"/>
            </w:tcBorders>
            <w:shd w:val="clear" w:color="000000" w:fill="FFFFFF"/>
            <w:noWrap/>
            <w:vAlign w:val="bottom"/>
            <w:hideMark/>
          </w:tcPr>
          <w:p w14:paraId="1AC67D1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73" w:type="pct"/>
            <w:gridSpan w:val="2"/>
            <w:tcBorders>
              <w:top w:val="nil"/>
              <w:left w:val="nil"/>
              <w:bottom w:val="nil"/>
              <w:right w:val="nil"/>
            </w:tcBorders>
            <w:shd w:val="clear" w:color="000000" w:fill="FFFFFF"/>
            <w:noWrap/>
            <w:vAlign w:val="bottom"/>
            <w:hideMark/>
          </w:tcPr>
          <w:p w14:paraId="4BBAD90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1087" w:type="pct"/>
            <w:gridSpan w:val="3"/>
            <w:tcBorders>
              <w:top w:val="nil"/>
              <w:left w:val="nil"/>
              <w:bottom w:val="nil"/>
              <w:right w:val="nil"/>
            </w:tcBorders>
            <w:shd w:val="clear" w:color="000000" w:fill="FFFFFF"/>
            <w:noWrap/>
            <w:vAlign w:val="bottom"/>
            <w:hideMark/>
          </w:tcPr>
          <w:p w14:paraId="5A25391C"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7B5D20A2" w14:textId="77777777" w:rsidTr="00247CBF">
        <w:trPr>
          <w:gridBefore w:val="1"/>
          <w:wBefore w:w="8" w:type="pct"/>
          <w:trHeight w:val="227"/>
        </w:trPr>
        <w:tc>
          <w:tcPr>
            <w:tcW w:w="2279" w:type="pct"/>
            <w:vMerge w:val="restart"/>
            <w:tcBorders>
              <w:top w:val="double" w:sz="6" w:space="0" w:color="000000"/>
              <w:left w:val="double" w:sz="6" w:space="0" w:color="000000"/>
              <w:right w:val="nil"/>
            </w:tcBorders>
            <w:shd w:val="clear" w:color="000000" w:fill="FFFFFF"/>
            <w:vAlign w:val="center"/>
            <w:hideMark/>
          </w:tcPr>
          <w:p w14:paraId="44AB1B5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486" w:type="pct"/>
            <w:gridSpan w:val="3"/>
            <w:vMerge w:val="restart"/>
            <w:tcBorders>
              <w:top w:val="double" w:sz="6" w:space="0" w:color="000000"/>
              <w:left w:val="single" w:sz="4" w:space="0" w:color="000000"/>
              <w:right w:val="single" w:sz="4" w:space="0" w:color="000000"/>
            </w:tcBorders>
            <w:shd w:val="clear" w:color="000000" w:fill="FFFFFF"/>
            <w:vAlign w:val="center"/>
            <w:hideMark/>
          </w:tcPr>
          <w:p w14:paraId="734528C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ESA шифра</w:t>
            </w:r>
          </w:p>
        </w:tc>
        <w:tc>
          <w:tcPr>
            <w:tcW w:w="445" w:type="pct"/>
            <w:gridSpan w:val="2"/>
            <w:tcBorders>
              <w:top w:val="double" w:sz="6" w:space="0" w:color="000000"/>
              <w:left w:val="nil"/>
              <w:bottom w:val="nil"/>
              <w:right w:val="nil"/>
            </w:tcBorders>
            <w:shd w:val="clear" w:color="000000" w:fill="FFFFFF"/>
            <w:vAlign w:val="center"/>
            <w:hideMark/>
          </w:tcPr>
          <w:p w14:paraId="3F3964E1"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45" w:type="pct"/>
            <w:gridSpan w:val="2"/>
            <w:tcBorders>
              <w:top w:val="double" w:sz="6" w:space="0" w:color="000000"/>
              <w:left w:val="dotted" w:sz="4" w:space="0" w:color="000000"/>
              <w:bottom w:val="nil"/>
              <w:right w:val="dotted" w:sz="4" w:space="0" w:color="000000"/>
            </w:tcBorders>
            <w:shd w:val="clear" w:color="000000" w:fill="FFFFFF"/>
            <w:vAlign w:val="center"/>
            <w:hideMark/>
          </w:tcPr>
          <w:p w14:paraId="17DFF3D1"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45" w:type="pct"/>
            <w:gridSpan w:val="2"/>
            <w:tcBorders>
              <w:top w:val="double" w:sz="6" w:space="0" w:color="000000"/>
              <w:left w:val="nil"/>
              <w:bottom w:val="nil"/>
              <w:right w:val="dotted" w:sz="4" w:space="0" w:color="000000"/>
            </w:tcBorders>
            <w:shd w:val="clear" w:color="000000" w:fill="FFFFFF"/>
            <w:vAlign w:val="center"/>
            <w:hideMark/>
          </w:tcPr>
          <w:p w14:paraId="059957DF"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45" w:type="pct"/>
            <w:tcBorders>
              <w:top w:val="double" w:sz="6" w:space="0" w:color="000000"/>
              <w:left w:val="nil"/>
              <w:bottom w:val="nil"/>
              <w:right w:val="dotted" w:sz="4" w:space="0" w:color="000000"/>
            </w:tcBorders>
            <w:shd w:val="clear" w:color="000000" w:fill="FFFFFF"/>
            <w:vAlign w:val="center"/>
            <w:hideMark/>
          </w:tcPr>
          <w:p w14:paraId="66CCA94D"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47" w:type="pct"/>
            <w:tcBorders>
              <w:top w:val="double" w:sz="6" w:space="0" w:color="000000"/>
              <w:left w:val="nil"/>
              <w:bottom w:val="nil"/>
              <w:right w:val="double" w:sz="6" w:space="0" w:color="000000"/>
            </w:tcBorders>
            <w:shd w:val="clear" w:color="000000" w:fill="FFFFFF"/>
            <w:vAlign w:val="center"/>
            <w:hideMark/>
          </w:tcPr>
          <w:p w14:paraId="5487DE04"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r>
      <w:tr w:rsidR="00247CBF" w:rsidRPr="00092ED7" w14:paraId="51D39B84" w14:textId="77777777" w:rsidTr="00247CBF">
        <w:trPr>
          <w:gridBefore w:val="1"/>
          <w:wBefore w:w="8" w:type="pct"/>
          <w:trHeight w:val="227"/>
        </w:trPr>
        <w:tc>
          <w:tcPr>
            <w:tcW w:w="2279" w:type="pct"/>
            <w:vMerge/>
            <w:tcBorders>
              <w:left w:val="double" w:sz="6" w:space="0" w:color="000000"/>
              <w:bottom w:val="single" w:sz="4" w:space="0" w:color="000000"/>
              <w:right w:val="nil"/>
            </w:tcBorders>
            <w:shd w:val="clear" w:color="000000" w:fill="FFFFFF"/>
            <w:vAlign w:val="bottom"/>
            <w:hideMark/>
          </w:tcPr>
          <w:p w14:paraId="3EB9D73F" w14:textId="77777777" w:rsidR="00247CBF" w:rsidRPr="00092ED7" w:rsidRDefault="00247CBF" w:rsidP="00247CBF">
            <w:pPr>
              <w:spacing w:after="0"/>
              <w:rPr>
                <w:rFonts w:eastAsia="Times New Roman" w:cs="Times New Roman"/>
                <w:sz w:val="20"/>
                <w:szCs w:val="20"/>
                <w:lang w:val="sr-Cyrl-CS"/>
              </w:rPr>
            </w:pPr>
          </w:p>
        </w:tc>
        <w:tc>
          <w:tcPr>
            <w:tcW w:w="486" w:type="pct"/>
            <w:gridSpan w:val="3"/>
            <w:vMerge/>
            <w:tcBorders>
              <w:left w:val="single" w:sz="4" w:space="0" w:color="000000"/>
              <w:bottom w:val="single" w:sz="4" w:space="0" w:color="000000"/>
              <w:right w:val="single" w:sz="4" w:space="0" w:color="000000"/>
            </w:tcBorders>
            <w:shd w:val="clear" w:color="000000" w:fill="FFFFFF"/>
            <w:vAlign w:val="center"/>
            <w:hideMark/>
          </w:tcPr>
          <w:p w14:paraId="7A83510B"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single" w:sz="4" w:space="0" w:color="000000"/>
              <w:right w:val="nil"/>
            </w:tcBorders>
            <w:shd w:val="clear" w:color="000000" w:fill="FFFFFF"/>
            <w:vAlign w:val="center"/>
            <w:hideMark/>
          </w:tcPr>
          <w:p w14:paraId="1AC905F0" w14:textId="77777777" w:rsidR="00247CBF" w:rsidRPr="00092ED7" w:rsidRDefault="00247CBF" w:rsidP="00247CBF">
            <w:pPr>
              <w:spacing w:after="0"/>
              <w:jc w:val="center"/>
              <w:rPr>
                <w:sz w:val="20"/>
                <w:szCs w:val="20"/>
                <w:lang w:val="sr-Cyrl-CS"/>
              </w:rPr>
            </w:pPr>
            <w:r w:rsidRPr="00092ED7">
              <w:rPr>
                <w:sz w:val="20"/>
                <w:szCs w:val="20"/>
                <w:lang w:val="sr-Cyrl-CS"/>
              </w:rPr>
              <w:t>2021</w:t>
            </w:r>
          </w:p>
        </w:tc>
        <w:tc>
          <w:tcPr>
            <w:tcW w:w="445" w:type="pct"/>
            <w:gridSpan w:val="2"/>
            <w:tcBorders>
              <w:top w:val="nil"/>
              <w:left w:val="dotted" w:sz="4" w:space="0" w:color="000000"/>
              <w:bottom w:val="single" w:sz="4" w:space="0" w:color="000000"/>
              <w:right w:val="dotted" w:sz="4" w:space="0" w:color="000000"/>
            </w:tcBorders>
            <w:shd w:val="clear" w:color="000000" w:fill="FFFFFF"/>
            <w:vAlign w:val="center"/>
            <w:hideMark/>
          </w:tcPr>
          <w:p w14:paraId="2CF5943E" w14:textId="77777777" w:rsidR="00247CBF" w:rsidRPr="00092ED7" w:rsidRDefault="00247CBF" w:rsidP="00247CBF">
            <w:pPr>
              <w:spacing w:after="0"/>
              <w:jc w:val="center"/>
              <w:rPr>
                <w:sz w:val="20"/>
                <w:szCs w:val="20"/>
                <w:lang w:val="sr-Cyrl-CS"/>
              </w:rPr>
            </w:pPr>
            <w:r w:rsidRPr="00092ED7">
              <w:rPr>
                <w:sz w:val="20"/>
                <w:szCs w:val="20"/>
                <w:lang w:val="sr-Cyrl-CS"/>
              </w:rPr>
              <w:t>2022</w:t>
            </w:r>
          </w:p>
        </w:tc>
        <w:tc>
          <w:tcPr>
            <w:tcW w:w="445" w:type="pct"/>
            <w:gridSpan w:val="2"/>
            <w:tcBorders>
              <w:top w:val="nil"/>
              <w:left w:val="nil"/>
              <w:bottom w:val="single" w:sz="4" w:space="0" w:color="000000"/>
              <w:right w:val="dotted" w:sz="4" w:space="0" w:color="000000"/>
            </w:tcBorders>
            <w:shd w:val="clear" w:color="000000" w:fill="FFFFFF"/>
            <w:vAlign w:val="center"/>
            <w:hideMark/>
          </w:tcPr>
          <w:p w14:paraId="6444D002" w14:textId="77777777" w:rsidR="00247CBF" w:rsidRPr="00092ED7" w:rsidRDefault="00247CBF" w:rsidP="00247CBF">
            <w:pPr>
              <w:spacing w:after="0"/>
              <w:jc w:val="center"/>
              <w:rPr>
                <w:sz w:val="20"/>
                <w:szCs w:val="20"/>
                <w:lang w:val="sr-Cyrl-CS"/>
              </w:rPr>
            </w:pPr>
            <w:r w:rsidRPr="00092ED7">
              <w:rPr>
                <w:sz w:val="20"/>
                <w:szCs w:val="20"/>
                <w:lang w:val="sr-Cyrl-CS"/>
              </w:rPr>
              <w:t>2023</w:t>
            </w:r>
          </w:p>
        </w:tc>
        <w:tc>
          <w:tcPr>
            <w:tcW w:w="445" w:type="pct"/>
            <w:tcBorders>
              <w:top w:val="nil"/>
              <w:left w:val="nil"/>
              <w:bottom w:val="single" w:sz="4" w:space="0" w:color="000000"/>
              <w:right w:val="dotted" w:sz="4" w:space="0" w:color="000000"/>
            </w:tcBorders>
            <w:shd w:val="clear" w:color="000000" w:fill="FFFFFF"/>
            <w:vAlign w:val="center"/>
            <w:hideMark/>
          </w:tcPr>
          <w:p w14:paraId="3EECD37D" w14:textId="77777777" w:rsidR="00247CBF" w:rsidRPr="00092ED7" w:rsidRDefault="00247CBF" w:rsidP="00247CBF">
            <w:pPr>
              <w:spacing w:after="0"/>
              <w:jc w:val="center"/>
              <w:rPr>
                <w:sz w:val="20"/>
                <w:szCs w:val="20"/>
                <w:lang w:val="sr-Cyrl-CS"/>
              </w:rPr>
            </w:pPr>
            <w:r w:rsidRPr="00092ED7">
              <w:rPr>
                <w:sz w:val="20"/>
                <w:szCs w:val="20"/>
                <w:lang w:val="sr-Cyrl-CS"/>
              </w:rPr>
              <w:t>2024</w:t>
            </w:r>
          </w:p>
        </w:tc>
        <w:tc>
          <w:tcPr>
            <w:tcW w:w="447" w:type="pct"/>
            <w:tcBorders>
              <w:top w:val="nil"/>
              <w:left w:val="nil"/>
              <w:bottom w:val="single" w:sz="4" w:space="0" w:color="000000"/>
              <w:right w:val="double" w:sz="6" w:space="0" w:color="000000"/>
            </w:tcBorders>
            <w:shd w:val="clear" w:color="000000" w:fill="FFFFFF"/>
            <w:vAlign w:val="center"/>
            <w:hideMark/>
          </w:tcPr>
          <w:p w14:paraId="1E7A386E" w14:textId="77777777" w:rsidR="00247CBF" w:rsidRPr="00092ED7" w:rsidRDefault="00247CBF" w:rsidP="00247CBF">
            <w:pPr>
              <w:spacing w:after="0"/>
              <w:jc w:val="center"/>
              <w:rPr>
                <w:sz w:val="20"/>
                <w:szCs w:val="20"/>
                <w:lang w:val="sr-Cyrl-CS"/>
              </w:rPr>
            </w:pPr>
            <w:r w:rsidRPr="00092ED7">
              <w:rPr>
                <w:sz w:val="20"/>
                <w:szCs w:val="20"/>
                <w:lang w:val="sr-Cyrl-CS"/>
              </w:rPr>
              <w:t>2025</w:t>
            </w:r>
          </w:p>
        </w:tc>
      </w:tr>
      <w:tr w:rsidR="00247CBF" w:rsidRPr="00092ED7" w14:paraId="058A03AF"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3E0202B3"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1. Реални раст БДП-а (%, мг)</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6E2E6E82"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B1g</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06525722" w14:textId="77777777" w:rsidR="00247CBF" w:rsidRPr="00092ED7" w:rsidRDefault="00247CBF" w:rsidP="00247CBF">
            <w:pPr>
              <w:spacing w:after="0"/>
              <w:jc w:val="center"/>
              <w:rPr>
                <w:sz w:val="20"/>
                <w:szCs w:val="20"/>
                <w:lang w:val="sr-Cyrl-CS"/>
              </w:rPr>
            </w:pPr>
            <w:r w:rsidRPr="00092ED7">
              <w:rPr>
                <w:sz w:val="20"/>
                <w:szCs w:val="20"/>
                <w:lang w:val="sr-Cyrl-CS"/>
              </w:rPr>
              <w:t>7,5</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1FE56807" w14:textId="77777777" w:rsidR="00247CBF" w:rsidRPr="00092ED7" w:rsidRDefault="00247CBF" w:rsidP="00247CBF">
            <w:pPr>
              <w:spacing w:after="0"/>
              <w:jc w:val="center"/>
              <w:rPr>
                <w:sz w:val="20"/>
                <w:szCs w:val="20"/>
                <w:lang w:val="sr-Cyrl-CS"/>
              </w:rPr>
            </w:pPr>
            <w:r w:rsidRPr="00092ED7">
              <w:rPr>
                <w:sz w:val="20"/>
                <w:szCs w:val="20"/>
                <w:lang w:val="sr-Cyrl-CS"/>
              </w:rPr>
              <w:t>2,5</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3ED4A29E" w14:textId="77777777" w:rsidR="00247CBF" w:rsidRPr="00092ED7" w:rsidRDefault="00247CBF" w:rsidP="00247CBF">
            <w:pPr>
              <w:spacing w:after="0"/>
              <w:jc w:val="center"/>
              <w:rPr>
                <w:sz w:val="20"/>
                <w:szCs w:val="20"/>
                <w:lang w:val="sr-Cyrl-CS"/>
              </w:rPr>
            </w:pPr>
            <w:r w:rsidRPr="00092ED7">
              <w:rPr>
                <w:sz w:val="20"/>
                <w:szCs w:val="20"/>
                <w:lang w:val="sr-Cyrl-CS"/>
              </w:rPr>
              <w:t>2,5</w:t>
            </w:r>
          </w:p>
        </w:tc>
        <w:tc>
          <w:tcPr>
            <w:tcW w:w="445" w:type="pct"/>
            <w:tcBorders>
              <w:top w:val="nil"/>
              <w:left w:val="nil"/>
              <w:bottom w:val="dotted" w:sz="4" w:space="0" w:color="000000"/>
              <w:right w:val="dotted" w:sz="4" w:space="0" w:color="000000"/>
            </w:tcBorders>
            <w:shd w:val="clear" w:color="000000" w:fill="FFFFFF"/>
            <w:vAlign w:val="center"/>
            <w:hideMark/>
          </w:tcPr>
          <w:p w14:paraId="7E6F6B93" w14:textId="77777777" w:rsidR="00247CBF" w:rsidRPr="00092ED7" w:rsidRDefault="00247CBF" w:rsidP="00247CBF">
            <w:pPr>
              <w:spacing w:after="0"/>
              <w:jc w:val="center"/>
              <w:rPr>
                <w:sz w:val="20"/>
                <w:szCs w:val="20"/>
                <w:lang w:val="sr-Cyrl-CS"/>
              </w:rPr>
            </w:pPr>
            <w:r w:rsidRPr="00092ED7">
              <w:rPr>
                <w:sz w:val="20"/>
                <w:szCs w:val="20"/>
                <w:lang w:val="sr-Cyrl-CS"/>
              </w:rPr>
              <w:t>3,5</w:t>
            </w:r>
          </w:p>
        </w:tc>
        <w:tc>
          <w:tcPr>
            <w:tcW w:w="447" w:type="pct"/>
            <w:tcBorders>
              <w:top w:val="nil"/>
              <w:left w:val="nil"/>
              <w:bottom w:val="dotted" w:sz="4" w:space="0" w:color="000000"/>
              <w:right w:val="double" w:sz="6" w:space="0" w:color="000000"/>
            </w:tcBorders>
            <w:shd w:val="clear" w:color="000000" w:fill="FFFFFF"/>
            <w:vAlign w:val="center"/>
            <w:hideMark/>
          </w:tcPr>
          <w:p w14:paraId="137EE0FD" w14:textId="77777777" w:rsidR="00247CBF" w:rsidRPr="00092ED7" w:rsidRDefault="00247CBF" w:rsidP="00247CBF">
            <w:pPr>
              <w:spacing w:after="0"/>
              <w:jc w:val="center"/>
              <w:rPr>
                <w:sz w:val="20"/>
                <w:szCs w:val="20"/>
                <w:lang w:val="sr-Cyrl-CS"/>
              </w:rPr>
            </w:pPr>
            <w:r w:rsidRPr="00092ED7">
              <w:rPr>
                <w:sz w:val="20"/>
                <w:szCs w:val="20"/>
                <w:lang w:val="sr-Cyrl-CS"/>
              </w:rPr>
              <w:t>4,0</w:t>
            </w:r>
          </w:p>
        </w:tc>
      </w:tr>
      <w:tr w:rsidR="00247CBF" w:rsidRPr="00092ED7" w14:paraId="4714C25B"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1ABC05C7"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2. Нето позајмице општег нивоа државе</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3A36556C"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EDP.B.9</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5177D791" w14:textId="77777777" w:rsidR="00247CBF" w:rsidRPr="00092ED7" w:rsidRDefault="00247CBF" w:rsidP="00247CBF">
            <w:pPr>
              <w:spacing w:after="0"/>
              <w:jc w:val="center"/>
              <w:rPr>
                <w:sz w:val="20"/>
                <w:szCs w:val="20"/>
                <w:lang w:val="sr-Cyrl-CS"/>
              </w:rPr>
            </w:pPr>
            <w:r w:rsidRPr="00092ED7">
              <w:rPr>
                <w:sz w:val="20"/>
                <w:szCs w:val="20"/>
                <w:lang w:val="sr-Cyrl-CS"/>
              </w:rPr>
              <w:t>-4,1</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7D95AC84" w14:textId="77777777" w:rsidR="00247CBF" w:rsidRPr="00092ED7" w:rsidRDefault="00247CBF" w:rsidP="00247CBF">
            <w:pPr>
              <w:spacing w:after="0"/>
              <w:jc w:val="center"/>
              <w:rPr>
                <w:sz w:val="20"/>
                <w:szCs w:val="20"/>
                <w:lang w:val="sr-Cyrl-CS"/>
              </w:rPr>
            </w:pPr>
            <w:r w:rsidRPr="00092ED7">
              <w:rPr>
                <w:sz w:val="20"/>
                <w:szCs w:val="20"/>
                <w:lang w:val="sr-Cyrl-CS"/>
              </w:rPr>
              <w:t>-3,8</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720831CC" w14:textId="77777777" w:rsidR="00247CBF" w:rsidRPr="00092ED7" w:rsidRDefault="00247CBF" w:rsidP="00247CBF">
            <w:pPr>
              <w:spacing w:after="0"/>
              <w:jc w:val="center"/>
              <w:rPr>
                <w:sz w:val="20"/>
                <w:szCs w:val="20"/>
                <w:lang w:val="sr-Cyrl-CS"/>
              </w:rPr>
            </w:pPr>
            <w:r w:rsidRPr="00092ED7">
              <w:rPr>
                <w:sz w:val="20"/>
                <w:szCs w:val="20"/>
                <w:lang w:val="sr-Cyrl-CS"/>
              </w:rPr>
              <w:t>-3,3</w:t>
            </w:r>
          </w:p>
        </w:tc>
        <w:tc>
          <w:tcPr>
            <w:tcW w:w="445" w:type="pct"/>
            <w:tcBorders>
              <w:top w:val="nil"/>
              <w:left w:val="nil"/>
              <w:bottom w:val="dotted" w:sz="4" w:space="0" w:color="000000"/>
              <w:right w:val="dotted" w:sz="4" w:space="0" w:color="000000"/>
            </w:tcBorders>
            <w:shd w:val="clear" w:color="000000" w:fill="FFFFFF"/>
            <w:vAlign w:val="center"/>
            <w:hideMark/>
          </w:tcPr>
          <w:p w14:paraId="3F6B440A" w14:textId="77777777" w:rsidR="00247CBF" w:rsidRPr="00092ED7" w:rsidRDefault="00247CBF" w:rsidP="00247CBF">
            <w:pPr>
              <w:spacing w:after="0"/>
              <w:jc w:val="center"/>
              <w:rPr>
                <w:sz w:val="20"/>
                <w:szCs w:val="20"/>
                <w:lang w:val="sr-Cyrl-CS"/>
              </w:rPr>
            </w:pPr>
            <w:r w:rsidRPr="00092ED7">
              <w:rPr>
                <w:sz w:val="20"/>
                <w:szCs w:val="20"/>
                <w:lang w:val="sr-Cyrl-CS"/>
              </w:rPr>
              <w:t>-2,2</w:t>
            </w:r>
          </w:p>
        </w:tc>
        <w:tc>
          <w:tcPr>
            <w:tcW w:w="447" w:type="pct"/>
            <w:tcBorders>
              <w:top w:val="nil"/>
              <w:left w:val="nil"/>
              <w:bottom w:val="dotted" w:sz="4" w:space="0" w:color="000000"/>
              <w:right w:val="double" w:sz="6" w:space="0" w:color="000000"/>
            </w:tcBorders>
            <w:shd w:val="clear" w:color="000000" w:fill="FFFFFF"/>
            <w:vAlign w:val="center"/>
            <w:hideMark/>
          </w:tcPr>
          <w:p w14:paraId="111E00E3" w14:textId="77777777" w:rsidR="00247CBF" w:rsidRPr="00092ED7" w:rsidRDefault="00247CBF" w:rsidP="00247CBF">
            <w:pPr>
              <w:spacing w:after="0"/>
              <w:jc w:val="center"/>
              <w:rPr>
                <w:sz w:val="20"/>
                <w:szCs w:val="20"/>
                <w:lang w:val="sr-Cyrl-CS"/>
              </w:rPr>
            </w:pPr>
            <w:r w:rsidRPr="00092ED7">
              <w:rPr>
                <w:sz w:val="20"/>
                <w:szCs w:val="20"/>
                <w:lang w:val="sr-Cyrl-CS"/>
              </w:rPr>
              <w:t>-1,4</w:t>
            </w:r>
          </w:p>
        </w:tc>
      </w:tr>
      <w:tr w:rsidR="00247CBF" w:rsidRPr="00092ED7" w14:paraId="6C64B70A"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0270F840"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3. Расходи за камате</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42F064E6"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EDP.D.41</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1B5BA77F" w14:textId="77777777" w:rsidR="00247CBF" w:rsidRPr="00092ED7" w:rsidRDefault="00247CBF" w:rsidP="00247CBF">
            <w:pPr>
              <w:spacing w:after="0"/>
              <w:jc w:val="center"/>
              <w:rPr>
                <w:sz w:val="20"/>
                <w:szCs w:val="20"/>
                <w:lang w:val="sr-Cyrl-CS"/>
              </w:rPr>
            </w:pPr>
            <w:r w:rsidRPr="00092ED7">
              <w:rPr>
                <w:sz w:val="20"/>
                <w:szCs w:val="20"/>
                <w:lang w:val="sr-Cyrl-CS"/>
              </w:rPr>
              <w:t>1,7</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263578BF" w14:textId="77777777" w:rsidR="00247CBF" w:rsidRPr="00092ED7" w:rsidRDefault="00247CBF" w:rsidP="00247CBF">
            <w:pPr>
              <w:spacing w:after="0"/>
              <w:jc w:val="center"/>
              <w:rPr>
                <w:sz w:val="20"/>
                <w:szCs w:val="20"/>
                <w:lang w:val="sr-Cyrl-CS"/>
              </w:rPr>
            </w:pPr>
            <w:r w:rsidRPr="00092ED7">
              <w:rPr>
                <w:sz w:val="20"/>
                <w:szCs w:val="20"/>
                <w:lang w:val="sr-Cyrl-CS"/>
              </w:rPr>
              <w:t>1,6</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6C660768" w14:textId="77777777" w:rsidR="00247CBF" w:rsidRPr="00092ED7" w:rsidRDefault="00247CBF" w:rsidP="00247CBF">
            <w:pPr>
              <w:spacing w:after="0"/>
              <w:jc w:val="center"/>
              <w:rPr>
                <w:sz w:val="20"/>
                <w:szCs w:val="20"/>
                <w:lang w:val="sr-Cyrl-CS"/>
              </w:rPr>
            </w:pPr>
            <w:r w:rsidRPr="00092ED7">
              <w:rPr>
                <w:sz w:val="20"/>
                <w:szCs w:val="20"/>
                <w:lang w:val="sr-Cyrl-CS"/>
              </w:rPr>
              <w:t>1,8</w:t>
            </w:r>
          </w:p>
        </w:tc>
        <w:tc>
          <w:tcPr>
            <w:tcW w:w="445" w:type="pct"/>
            <w:tcBorders>
              <w:top w:val="nil"/>
              <w:left w:val="nil"/>
              <w:bottom w:val="dotted" w:sz="4" w:space="0" w:color="000000"/>
              <w:right w:val="dotted" w:sz="4" w:space="0" w:color="000000"/>
            </w:tcBorders>
            <w:shd w:val="clear" w:color="000000" w:fill="FFFFFF"/>
            <w:vAlign w:val="center"/>
            <w:hideMark/>
          </w:tcPr>
          <w:p w14:paraId="213720B0" w14:textId="77777777" w:rsidR="00247CBF" w:rsidRPr="00092ED7" w:rsidRDefault="00247CBF" w:rsidP="00247CBF">
            <w:pPr>
              <w:spacing w:after="0"/>
              <w:jc w:val="center"/>
              <w:rPr>
                <w:sz w:val="20"/>
                <w:szCs w:val="20"/>
                <w:lang w:val="sr-Cyrl-CS"/>
              </w:rPr>
            </w:pPr>
            <w:r w:rsidRPr="00092ED7">
              <w:rPr>
                <w:sz w:val="20"/>
                <w:szCs w:val="20"/>
                <w:lang w:val="sr-Cyrl-CS"/>
              </w:rPr>
              <w:t>2,1</w:t>
            </w:r>
          </w:p>
        </w:tc>
        <w:tc>
          <w:tcPr>
            <w:tcW w:w="447" w:type="pct"/>
            <w:tcBorders>
              <w:top w:val="nil"/>
              <w:left w:val="nil"/>
              <w:bottom w:val="dotted" w:sz="4" w:space="0" w:color="000000"/>
              <w:right w:val="double" w:sz="6" w:space="0" w:color="000000"/>
            </w:tcBorders>
            <w:shd w:val="clear" w:color="000000" w:fill="FFFFFF"/>
            <w:vAlign w:val="center"/>
            <w:hideMark/>
          </w:tcPr>
          <w:p w14:paraId="5AEDB5CF" w14:textId="77777777" w:rsidR="00247CBF" w:rsidRPr="00092ED7" w:rsidRDefault="00247CBF" w:rsidP="00247CBF">
            <w:pPr>
              <w:spacing w:after="0"/>
              <w:jc w:val="center"/>
              <w:rPr>
                <w:sz w:val="20"/>
                <w:szCs w:val="20"/>
                <w:lang w:val="sr-Cyrl-CS"/>
              </w:rPr>
            </w:pPr>
            <w:r w:rsidRPr="00092ED7">
              <w:rPr>
                <w:sz w:val="20"/>
                <w:szCs w:val="20"/>
                <w:lang w:val="sr-Cyrl-CS"/>
              </w:rPr>
              <w:t>1,9</w:t>
            </w:r>
          </w:p>
        </w:tc>
      </w:tr>
      <w:tr w:rsidR="00247CBF" w:rsidRPr="00092ED7" w14:paraId="42FEDB99"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noWrap/>
            <w:vAlign w:val="center"/>
            <w:hideMark/>
          </w:tcPr>
          <w:p w14:paraId="6ECEE999"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4. Једнократне и друге привремене мере [1]</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12E4933D" w14:textId="77777777" w:rsidR="00247CBF" w:rsidRPr="00092ED7" w:rsidRDefault="00247CBF" w:rsidP="00247CBF">
            <w:pPr>
              <w:spacing w:after="0"/>
              <w:jc w:val="center"/>
              <w:rPr>
                <w:rFonts w:eastAsia="Times New Roman" w:cs="Times New Roman"/>
                <w:sz w:val="16"/>
                <w:szCs w:val="16"/>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65F139FD" w14:textId="77777777" w:rsidR="00247CBF" w:rsidRPr="00092ED7" w:rsidRDefault="00247CBF" w:rsidP="00247CBF">
            <w:pPr>
              <w:spacing w:after="0"/>
              <w:jc w:val="center"/>
              <w:rPr>
                <w:sz w:val="20"/>
                <w:szCs w:val="20"/>
                <w:lang w:val="sr-Cyrl-CS"/>
              </w:rPr>
            </w:pPr>
            <w:r w:rsidRPr="00092ED7">
              <w:rPr>
                <w:sz w:val="20"/>
                <w:szCs w:val="20"/>
                <w:lang w:val="sr-Cyrl-CS"/>
              </w:rPr>
              <w:t>-4,1</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724A8CE7" w14:textId="77777777" w:rsidR="00247CBF" w:rsidRPr="00092ED7" w:rsidRDefault="00247CBF" w:rsidP="00247CBF">
            <w:pPr>
              <w:spacing w:after="0"/>
              <w:jc w:val="center"/>
              <w:rPr>
                <w:sz w:val="20"/>
                <w:szCs w:val="20"/>
                <w:lang w:val="sr-Cyrl-CS"/>
              </w:rPr>
            </w:pPr>
            <w:r w:rsidRPr="00092ED7">
              <w:rPr>
                <w:sz w:val="20"/>
                <w:szCs w:val="20"/>
                <w:lang w:val="sr-Cyrl-CS"/>
              </w:rPr>
              <w:t>-2,9</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310C6CA2" w14:textId="77777777" w:rsidR="00247CBF" w:rsidRPr="00092ED7" w:rsidRDefault="00247CBF" w:rsidP="00247CBF">
            <w:pPr>
              <w:spacing w:after="0"/>
              <w:jc w:val="center"/>
              <w:rPr>
                <w:sz w:val="20"/>
                <w:szCs w:val="20"/>
                <w:lang w:val="sr-Cyrl-CS"/>
              </w:rPr>
            </w:pPr>
            <w:r w:rsidRPr="00092ED7">
              <w:rPr>
                <w:sz w:val="20"/>
                <w:szCs w:val="20"/>
                <w:lang w:val="sr-Cyrl-CS"/>
              </w:rPr>
              <w:t>-1,6</w:t>
            </w:r>
          </w:p>
        </w:tc>
        <w:tc>
          <w:tcPr>
            <w:tcW w:w="445" w:type="pct"/>
            <w:tcBorders>
              <w:top w:val="nil"/>
              <w:left w:val="nil"/>
              <w:bottom w:val="dotted" w:sz="4" w:space="0" w:color="000000"/>
              <w:right w:val="dotted" w:sz="4" w:space="0" w:color="000000"/>
            </w:tcBorders>
            <w:shd w:val="clear" w:color="auto" w:fill="auto"/>
            <w:vAlign w:val="center"/>
            <w:hideMark/>
          </w:tcPr>
          <w:p w14:paraId="44B0604A" w14:textId="77777777" w:rsidR="00247CBF" w:rsidRPr="00092ED7" w:rsidRDefault="00247CBF" w:rsidP="00247CBF">
            <w:pPr>
              <w:spacing w:after="0"/>
              <w:jc w:val="center"/>
              <w:rPr>
                <w:sz w:val="20"/>
                <w:szCs w:val="20"/>
                <w:lang w:val="sr-Cyrl-CS"/>
              </w:rPr>
            </w:pPr>
            <w:r w:rsidRPr="00092ED7">
              <w:rPr>
                <w:sz w:val="20"/>
                <w:szCs w:val="20"/>
                <w:lang w:val="sr-Cyrl-CS"/>
              </w:rPr>
              <w:t>0,0</w:t>
            </w:r>
          </w:p>
        </w:tc>
        <w:tc>
          <w:tcPr>
            <w:tcW w:w="447" w:type="pct"/>
            <w:tcBorders>
              <w:top w:val="nil"/>
              <w:left w:val="nil"/>
              <w:bottom w:val="dotted" w:sz="4" w:space="0" w:color="000000"/>
              <w:right w:val="double" w:sz="6" w:space="0" w:color="000000"/>
            </w:tcBorders>
            <w:shd w:val="clear" w:color="auto" w:fill="auto"/>
            <w:vAlign w:val="center"/>
            <w:hideMark/>
          </w:tcPr>
          <w:p w14:paraId="3D6ABDC4" w14:textId="77777777" w:rsidR="00247CBF" w:rsidRPr="00092ED7" w:rsidRDefault="00247CBF" w:rsidP="00247CBF">
            <w:pPr>
              <w:spacing w:after="0"/>
              <w:jc w:val="center"/>
              <w:rPr>
                <w:sz w:val="20"/>
                <w:szCs w:val="20"/>
                <w:lang w:val="sr-Cyrl-CS"/>
              </w:rPr>
            </w:pPr>
            <w:r w:rsidRPr="00092ED7">
              <w:rPr>
                <w:sz w:val="20"/>
                <w:szCs w:val="20"/>
                <w:lang w:val="sr-Cyrl-CS"/>
              </w:rPr>
              <w:t>0,0</w:t>
            </w:r>
          </w:p>
        </w:tc>
      </w:tr>
      <w:tr w:rsidR="00247CBF" w:rsidRPr="00092ED7" w14:paraId="59826B8F"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463B5CCA"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5. Потенцијални раст БДП-а (%, мг)</w:t>
            </w:r>
          </w:p>
        </w:tc>
        <w:tc>
          <w:tcPr>
            <w:tcW w:w="486" w:type="pct"/>
            <w:gridSpan w:val="3"/>
            <w:tcBorders>
              <w:top w:val="nil"/>
              <w:left w:val="single" w:sz="4" w:space="0" w:color="000000"/>
              <w:bottom w:val="single" w:sz="4" w:space="0" w:color="auto"/>
              <w:right w:val="single" w:sz="4" w:space="0" w:color="000000"/>
            </w:tcBorders>
            <w:shd w:val="clear" w:color="000000" w:fill="FFFFFF"/>
            <w:vAlign w:val="center"/>
            <w:hideMark/>
          </w:tcPr>
          <w:p w14:paraId="6E6393E9"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single" w:sz="4" w:space="0" w:color="auto"/>
              <w:right w:val="dotted" w:sz="4" w:space="0" w:color="000000"/>
            </w:tcBorders>
            <w:shd w:val="clear" w:color="auto" w:fill="auto"/>
            <w:vAlign w:val="center"/>
            <w:hideMark/>
          </w:tcPr>
          <w:p w14:paraId="7D2E4C60" w14:textId="77777777" w:rsidR="00247CBF" w:rsidRPr="00092ED7" w:rsidRDefault="00247CBF" w:rsidP="00247CBF">
            <w:pPr>
              <w:spacing w:after="0"/>
              <w:jc w:val="center"/>
              <w:rPr>
                <w:sz w:val="20"/>
                <w:szCs w:val="20"/>
                <w:lang w:val="sr-Cyrl-CS"/>
              </w:rPr>
            </w:pPr>
            <w:r w:rsidRPr="00092ED7">
              <w:rPr>
                <w:sz w:val="20"/>
                <w:szCs w:val="20"/>
                <w:lang w:val="sr-Cyrl-CS"/>
              </w:rPr>
              <w:t>3,5</w:t>
            </w:r>
          </w:p>
        </w:tc>
        <w:tc>
          <w:tcPr>
            <w:tcW w:w="445" w:type="pct"/>
            <w:gridSpan w:val="2"/>
            <w:tcBorders>
              <w:top w:val="nil"/>
              <w:left w:val="nil"/>
              <w:bottom w:val="single" w:sz="4" w:space="0" w:color="auto"/>
              <w:right w:val="dotted" w:sz="4" w:space="0" w:color="000000"/>
            </w:tcBorders>
            <w:shd w:val="clear" w:color="auto" w:fill="auto"/>
            <w:vAlign w:val="center"/>
            <w:hideMark/>
          </w:tcPr>
          <w:p w14:paraId="7434ED17" w14:textId="77777777" w:rsidR="00247CBF" w:rsidRPr="00092ED7" w:rsidRDefault="00247CBF" w:rsidP="00247CBF">
            <w:pPr>
              <w:spacing w:after="0"/>
              <w:jc w:val="center"/>
              <w:rPr>
                <w:sz w:val="20"/>
                <w:szCs w:val="20"/>
                <w:lang w:val="sr-Cyrl-CS"/>
              </w:rPr>
            </w:pPr>
            <w:r w:rsidRPr="00092ED7">
              <w:rPr>
                <w:sz w:val="20"/>
                <w:szCs w:val="20"/>
                <w:lang w:val="sr-Cyrl-CS"/>
              </w:rPr>
              <w:t>3,6</w:t>
            </w:r>
          </w:p>
        </w:tc>
        <w:tc>
          <w:tcPr>
            <w:tcW w:w="445" w:type="pct"/>
            <w:gridSpan w:val="2"/>
            <w:tcBorders>
              <w:top w:val="nil"/>
              <w:left w:val="nil"/>
              <w:bottom w:val="single" w:sz="4" w:space="0" w:color="auto"/>
              <w:right w:val="dotted" w:sz="4" w:space="0" w:color="000000"/>
            </w:tcBorders>
            <w:shd w:val="clear" w:color="auto" w:fill="auto"/>
            <w:vAlign w:val="center"/>
            <w:hideMark/>
          </w:tcPr>
          <w:p w14:paraId="2D78930D" w14:textId="77777777" w:rsidR="00247CBF" w:rsidRPr="00092ED7" w:rsidRDefault="00247CBF" w:rsidP="00247CBF">
            <w:pPr>
              <w:spacing w:after="0"/>
              <w:jc w:val="center"/>
              <w:rPr>
                <w:sz w:val="20"/>
                <w:szCs w:val="20"/>
                <w:lang w:val="sr-Cyrl-CS"/>
              </w:rPr>
            </w:pPr>
            <w:r w:rsidRPr="00092ED7">
              <w:rPr>
                <w:sz w:val="20"/>
                <w:szCs w:val="20"/>
                <w:lang w:val="sr-Cyrl-CS"/>
              </w:rPr>
              <w:t>3,6</w:t>
            </w:r>
          </w:p>
        </w:tc>
        <w:tc>
          <w:tcPr>
            <w:tcW w:w="445" w:type="pct"/>
            <w:tcBorders>
              <w:top w:val="nil"/>
              <w:left w:val="nil"/>
              <w:bottom w:val="single" w:sz="4" w:space="0" w:color="auto"/>
              <w:right w:val="dotted" w:sz="4" w:space="0" w:color="000000"/>
            </w:tcBorders>
            <w:shd w:val="clear" w:color="auto" w:fill="auto"/>
            <w:vAlign w:val="center"/>
            <w:hideMark/>
          </w:tcPr>
          <w:p w14:paraId="05AE31C4" w14:textId="77777777" w:rsidR="00247CBF" w:rsidRPr="00092ED7" w:rsidRDefault="00247CBF" w:rsidP="00247CBF">
            <w:pPr>
              <w:spacing w:after="0"/>
              <w:jc w:val="center"/>
              <w:rPr>
                <w:sz w:val="20"/>
                <w:szCs w:val="20"/>
                <w:lang w:val="sr-Cyrl-CS"/>
              </w:rPr>
            </w:pPr>
            <w:r w:rsidRPr="00092ED7">
              <w:rPr>
                <w:sz w:val="20"/>
                <w:szCs w:val="20"/>
                <w:lang w:val="sr-Cyrl-CS"/>
              </w:rPr>
              <w:t>3,7</w:t>
            </w:r>
          </w:p>
        </w:tc>
        <w:tc>
          <w:tcPr>
            <w:tcW w:w="447" w:type="pct"/>
            <w:tcBorders>
              <w:top w:val="nil"/>
              <w:left w:val="nil"/>
              <w:bottom w:val="single" w:sz="4" w:space="0" w:color="auto"/>
              <w:right w:val="double" w:sz="6" w:space="0" w:color="000000"/>
            </w:tcBorders>
            <w:shd w:val="clear" w:color="auto" w:fill="auto"/>
            <w:vAlign w:val="center"/>
            <w:hideMark/>
          </w:tcPr>
          <w:p w14:paraId="06B7F018" w14:textId="77777777" w:rsidR="00247CBF" w:rsidRPr="00092ED7" w:rsidRDefault="00247CBF" w:rsidP="00247CBF">
            <w:pPr>
              <w:spacing w:after="0"/>
              <w:jc w:val="center"/>
              <w:rPr>
                <w:sz w:val="20"/>
                <w:szCs w:val="20"/>
                <w:lang w:val="sr-Cyrl-CS"/>
              </w:rPr>
            </w:pPr>
            <w:r w:rsidRPr="00092ED7">
              <w:rPr>
                <w:sz w:val="20"/>
                <w:szCs w:val="20"/>
                <w:lang w:val="sr-Cyrl-CS"/>
              </w:rPr>
              <w:t>3,8</w:t>
            </w:r>
          </w:p>
        </w:tc>
      </w:tr>
      <w:tr w:rsidR="00247CBF" w:rsidRPr="00092ED7" w14:paraId="3BBEE308"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7B65388B" w14:textId="77777777" w:rsidR="00247CBF" w:rsidRPr="00092ED7" w:rsidRDefault="00247CBF" w:rsidP="00247CBF">
            <w:pPr>
              <w:spacing w:after="0"/>
              <w:ind w:firstLineChars="200" w:firstLine="400"/>
              <w:jc w:val="left"/>
              <w:rPr>
                <w:rFonts w:eastAsia="Times New Roman" w:cs="Times New Roman"/>
                <w:sz w:val="20"/>
                <w:szCs w:val="20"/>
                <w:lang w:val="sr-Cyrl-CS"/>
              </w:rPr>
            </w:pPr>
            <w:r w:rsidRPr="00092ED7">
              <w:rPr>
                <w:rFonts w:eastAsia="Times New Roman" w:cs="Times New Roman"/>
                <w:sz w:val="20"/>
                <w:szCs w:val="20"/>
                <w:lang w:val="sr-Cyrl-CS"/>
              </w:rPr>
              <w:t>Доприноси:</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75372667"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5FC92BA3" w14:textId="77777777" w:rsidR="00247CBF" w:rsidRPr="00092ED7" w:rsidRDefault="00247CBF" w:rsidP="00247CBF">
            <w:pPr>
              <w:spacing w:after="0"/>
              <w:jc w:val="center"/>
              <w:rPr>
                <w:sz w:val="20"/>
                <w:szCs w:val="20"/>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439BED8C" w14:textId="77777777" w:rsidR="00247CBF" w:rsidRPr="00092ED7" w:rsidRDefault="00247CBF" w:rsidP="00247CBF">
            <w:pPr>
              <w:spacing w:after="0"/>
              <w:jc w:val="center"/>
              <w:rPr>
                <w:sz w:val="20"/>
                <w:szCs w:val="20"/>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4FF4EBD3" w14:textId="77777777" w:rsidR="00247CBF" w:rsidRPr="00092ED7" w:rsidRDefault="00247CBF" w:rsidP="00247CBF">
            <w:pPr>
              <w:spacing w:after="0"/>
              <w:jc w:val="center"/>
              <w:rPr>
                <w:sz w:val="20"/>
                <w:szCs w:val="20"/>
                <w:lang w:val="sr-Cyrl-CS"/>
              </w:rPr>
            </w:pPr>
          </w:p>
        </w:tc>
        <w:tc>
          <w:tcPr>
            <w:tcW w:w="445" w:type="pct"/>
            <w:tcBorders>
              <w:top w:val="nil"/>
              <w:left w:val="nil"/>
              <w:bottom w:val="dotted" w:sz="4" w:space="0" w:color="000000"/>
              <w:right w:val="dotted" w:sz="4" w:space="0" w:color="000000"/>
            </w:tcBorders>
            <w:shd w:val="clear" w:color="auto" w:fill="auto"/>
            <w:vAlign w:val="center"/>
            <w:hideMark/>
          </w:tcPr>
          <w:p w14:paraId="0207E0F0" w14:textId="77777777" w:rsidR="00247CBF" w:rsidRPr="00092ED7" w:rsidRDefault="00247CBF" w:rsidP="00247CBF">
            <w:pPr>
              <w:spacing w:after="0"/>
              <w:jc w:val="center"/>
              <w:rPr>
                <w:sz w:val="20"/>
                <w:szCs w:val="20"/>
                <w:lang w:val="sr-Cyrl-CS"/>
              </w:rPr>
            </w:pPr>
          </w:p>
        </w:tc>
        <w:tc>
          <w:tcPr>
            <w:tcW w:w="447" w:type="pct"/>
            <w:tcBorders>
              <w:top w:val="nil"/>
              <w:left w:val="nil"/>
              <w:bottom w:val="dotted" w:sz="4" w:space="0" w:color="000000"/>
              <w:right w:val="double" w:sz="6" w:space="0" w:color="000000"/>
            </w:tcBorders>
            <w:shd w:val="clear" w:color="auto" w:fill="auto"/>
            <w:vAlign w:val="center"/>
            <w:hideMark/>
          </w:tcPr>
          <w:p w14:paraId="034CFE27" w14:textId="77777777" w:rsidR="00247CBF" w:rsidRPr="00092ED7" w:rsidRDefault="00247CBF" w:rsidP="00247CBF">
            <w:pPr>
              <w:spacing w:after="0"/>
              <w:jc w:val="center"/>
              <w:rPr>
                <w:sz w:val="20"/>
                <w:szCs w:val="20"/>
                <w:lang w:val="sr-Cyrl-CS"/>
              </w:rPr>
            </w:pPr>
          </w:p>
        </w:tc>
      </w:tr>
      <w:tr w:rsidR="00247CBF" w:rsidRPr="00092ED7" w14:paraId="438496D9"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2518719C" w14:textId="77777777" w:rsidR="00247CBF" w:rsidRPr="00092ED7" w:rsidRDefault="00247CBF" w:rsidP="00247CBF">
            <w:pPr>
              <w:spacing w:after="0"/>
              <w:ind w:firstLineChars="300" w:firstLine="600"/>
              <w:jc w:val="left"/>
              <w:rPr>
                <w:rFonts w:eastAsia="Times New Roman" w:cs="Times New Roman"/>
                <w:sz w:val="20"/>
                <w:szCs w:val="20"/>
                <w:lang w:val="sr-Cyrl-CS"/>
              </w:rPr>
            </w:pPr>
            <w:r w:rsidRPr="00092ED7">
              <w:rPr>
                <w:rFonts w:eastAsia="Times New Roman" w:cs="Times New Roman"/>
                <w:sz w:val="20"/>
                <w:szCs w:val="20"/>
                <w:lang w:val="sr-Cyrl-CS"/>
              </w:rPr>
              <w:t>- рад</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35CB395A"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5063F6B4" w14:textId="77777777" w:rsidR="00247CBF" w:rsidRPr="00092ED7" w:rsidRDefault="00247CBF" w:rsidP="00247CBF">
            <w:pPr>
              <w:spacing w:after="0"/>
              <w:jc w:val="center"/>
              <w:rPr>
                <w:sz w:val="20"/>
                <w:szCs w:val="20"/>
                <w:lang w:val="sr-Cyrl-CS"/>
              </w:rPr>
            </w:pPr>
            <w:r w:rsidRPr="00092ED7">
              <w:rPr>
                <w:sz w:val="20"/>
                <w:szCs w:val="20"/>
                <w:lang w:val="sr-Cyrl-CS"/>
              </w:rPr>
              <w:t>1,1</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25FC3C65" w14:textId="77777777" w:rsidR="00247CBF" w:rsidRPr="00092ED7" w:rsidRDefault="00247CBF" w:rsidP="00247CBF">
            <w:pPr>
              <w:spacing w:after="0"/>
              <w:jc w:val="center"/>
              <w:rPr>
                <w:sz w:val="20"/>
                <w:szCs w:val="20"/>
                <w:lang w:val="sr-Cyrl-CS"/>
              </w:rPr>
            </w:pPr>
            <w:r w:rsidRPr="00092ED7">
              <w:rPr>
                <w:sz w:val="20"/>
                <w:szCs w:val="20"/>
                <w:lang w:val="sr-Cyrl-CS"/>
              </w:rPr>
              <w:t>1,0</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58A5C2D6" w14:textId="77777777" w:rsidR="00247CBF" w:rsidRPr="00092ED7" w:rsidRDefault="00247CBF" w:rsidP="00247CBF">
            <w:pPr>
              <w:spacing w:after="0"/>
              <w:jc w:val="center"/>
              <w:rPr>
                <w:sz w:val="20"/>
                <w:szCs w:val="20"/>
                <w:lang w:val="sr-Cyrl-CS"/>
              </w:rPr>
            </w:pPr>
            <w:r w:rsidRPr="00092ED7">
              <w:rPr>
                <w:sz w:val="20"/>
                <w:szCs w:val="20"/>
                <w:lang w:val="sr-Cyrl-CS"/>
              </w:rPr>
              <w:t>1,1</w:t>
            </w:r>
          </w:p>
        </w:tc>
        <w:tc>
          <w:tcPr>
            <w:tcW w:w="445" w:type="pct"/>
            <w:tcBorders>
              <w:top w:val="nil"/>
              <w:left w:val="nil"/>
              <w:bottom w:val="dotted" w:sz="4" w:space="0" w:color="000000"/>
              <w:right w:val="dotted" w:sz="4" w:space="0" w:color="000000"/>
            </w:tcBorders>
            <w:shd w:val="clear" w:color="auto" w:fill="auto"/>
            <w:vAlign w:val="center"/>
            <w:hideMark/>
          </w:tcPr>
          <w:p w14:paraId="6A3064E8" w14:textId="77777777" w:rsidR="00247CBF" w:rsidRPr="00092ED7" w:rsidRDefault="00247CBF" w:rsidP="00247CBF">
            <w:pPr>
              <w:spacing w:after="0"/>
              <w:jc w:val="center"/>
              <w:rPr>
                <w:sz w:val="20"/>
                <w:szCs w:val="20"/>
                <w:lang w:val="sr-Cyrl-CS"/>
              </w:rPr>
            </w:pPr>
            <w:r w:rsidRPr="00092ED7">
              <w:rPr>
                <w:sz w:val="20"/>
                <w:szCs w:val="20"/>
                <w:lang w:val="sr-Cyrl-CS"/>
              </w:rPr>
              <w:t>0,9</w:t>
            </w:r>
          </w:p>
        </w:tc>
        <w:tc>
          <w:tcPr>
            <w:tcW w:w="447" w:type="pct"/>
            <w:tcBorders>
              <w:top w:val="nil"/>
              <w:left w:val="nil"/>
              <w:bottom w:val="dotted" w:sz="4" w:space="0" w:color="000000"/>
              <w:right w:val="double" w:sz="6" w:space="0" w:color="000000"/>
            </w:tcBorders>
            <w:shd w:val="clear" w:color="auto" w:fill="auto"/>
            <w:vAlign w:val="center"/>
            <w:hideMark/>
          </w:tcPr>
          <w:p w14:paraId="5D9BF7F7" w14:textId="77777777" w:rsidR="00247CBF" w:rsidRPr="00092ED7" w:rsidRDefault="00247CBF" w:rsidP="00247CBF">
            <w:pPr>
              <w:spacing w:after="0"/>
              <w:jc w:val="center"/>
              <w:rPr>
                <w:sz w:val="20"/>
                <w:szCs w:val="20"/>
                <w:lang w:val="sr-Cyrl-CS"/>
              </w:rPr>
            </w:pPr>
            <w:r w:rsidRPr="00092ED7">
              <w:rPr>
                <w:sz w:val="20"/>
                <w:szCs w:val="20"/>
                <w:lang w:val="sr-Cyrl-CS"/>
              </w:rPr>
              <w:t>0,8</w:t>
            </w:r>
          </w:p>
        </w:tc>
      </w:tr>
      <w:tr w:rsidR="00247CBF" w:rsidRPr="00092ED7" w14:paraId="4D9359E3"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509BCDAF" w14:textId="77777777" w:rsidR="00247CBF" w:rsidRPr="00092ED7" w:rsidRDefault="00247CBF" w:rsidP="00247CBF">
            <w:pPr>
              <w:spacing w:after="0"/>
              <w:ind w:firstLineChars="300" w:firstLine="600"/>
              <w:jc w:val="left"/>
              <w:rPr>
                <w:rFonts w:eastAsia="Times New Roman" w:cs="Times New Roman"/>
                <w:sz w:val="20"/>
                <w:szCs w:val="20"/>
                <w:lang w:val="sr-Cyrl-CS"/>
              </w:rPr>
            </w:pPr>
            <w:r w:rsidRPr="00092ED7">
              <w:rPr>
                <w:rFonts w:eastAsia="Times New Roman" w:cs="Times New Roman"/>
                <w:sz w:val="20"/>
                <w:szCs w:val="20"/>
                <w:lang w:val="sr-Cyrl-CS"/>
              </w:rPr>
              <w:t>- капитал</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042E9E06"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0B7111CB" w14:textId="77777777" w:rsidR="00247CBF" w:rsidRPr="00092ED7" w:rsidRDefault="00247CBF" w:rsidP="00247CBF">
            <w:pPr>
              <w:spacing w:after="0"/>
              <w:jc w:val="center"/>
              <w:rPr>
                <w:sz w:val="20"/>
                <w:szCs w:val="20"/>
                <w:lang w:val="sr-Cyrl-CS"/>
              </w:rPr>
            </w:pPr>
            <w:r w:rsidRPr="00092ED7">
              <w:rPr>
                <w:sz w:val="20"/>
                <w:szCs w:val="20"/>
                <w:lang w:val="sr-Cyrl-CS"/>
              </w:rPr>
              <w:t>1,7</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0BC44269" w14:textId="77777777" w:rsidR="00247CBF" w:rsidRPr="00092ED7" w:rsidRDefault="00247CBF" w:rsidP="00247CBF">
            <w:pPr>
              <w:spacing w:after="0"/>
              <w:jc w:val="center"/>
              <w:rPr>
                <w:sz w:val="20"/>
                <w:szCs w:val="20"/>
                <w:lang w:val="sr-Cyrl-CS"/>
              </w:rPr>
            </w:pPr>
            <w:r w:rsidRPr="00092ED7">
              <w:rPr>
                <w:sz w:val="20"/>
                <w:szCs w:val="20"/>
                <w:lang w:val="sr-Cyrl-CS"/>
              </w:rPr>
              <w:t>1,2</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03346953"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445" w:type="pct"/>
            <w:tcBorders>
              <w:top w:val="nil"/>
              <w:left w:val="nil"/>
              <w:bottom w:val="dotted" w:sz="4" w:space="0" w:color="000000"/>
              <w:right w:val="dotted" w:sz="4" w:space="0" w:color="000000"/>
            </w:tcBorders>
            <w:shd w:val="clear" w:color="auto" w:fill="auto"/>
            <w:vAlign w:val="center"/>
            <w:hideMark/>
          </w:tcPr>
          <w:p w14:paraId="0CB94AF4" w14:textId="77777777" w:rsidR="00247CBF" w:rsidRPr="00092ED7" w:rsidRDefault="00247CBF" w:rsidP="00247CBF">
            <w:pPr>
              <w:spacing w:after="0"/>
              <w:jc w:val="center"/>
              <w:rPr>
                <w:sz w:val="20"/>
                <w:szCs w:val="20"/>
                <w:lang w:val="sr-Cyrl-CS"/>
              </w:rPr>
            </w:pPr>
            <w:r w:rsidRPr="00092ED7">
              <w:rPr>
                <w:sz w:val="20"/>
                <w:szCs w:val="20"/>
                <w:lang w:val="sr-Cyrl-CS"/>
              </w:rPr>
              <w:t>1,5</w:t>
            </w:r>
          </w:p>
        </w:tc>
        <w:tc>
          <w:tcPr>
            <w:tcW w:w="447" w:type="pct"/>
            <w:tcBorders>
              <w:top w:val="nil"/>
              <w:left w:val="nil"/>
              <w:bottom w:val="dotted" w:sz="4" w:space="0" w:color="000000"/>
              <w:right w:val="double" w:sz="6" w:space="0" w:color="000000"/>
            </w:tcBorders>
            <w:shd w:val="clear" w:color="auto" w:fill="auto"/>
            <w:vAlign w:val="center"/>
            <w:hideMark/>
          </w:tcPr>
          <w:p w14:paraId="3B7D3627" w14:textId="77777777" w:rsidR="00247CBF" w:rsidRPr="00092ED7" w:rsidRDefault="00247CBF" w:rsidP="00247CBF">
            <w:pPr>
              <w:spacing w:after="0"/>
              <w:jc w:val="center"/>
              <w:rPr>
                <w:sz w:val="20"/>
                <w:szCs w:val="20"/>
                <w:lang w:val="sr-Cyrl-CS"/>
              </w:rPr>
            </w:pPr>
            <w:r w:rsidRPr="00092ED7">
              <w:rPr>
                <w:sz w:val="20"/>
                <w:szCs w:val="20"/>
                <w:lang w:val="sr-Cyrl-CS"/>
              </w:rPr>
              <w:t>1,5</w:t>
            </w:r>
          </w:p>
        </w:tc>
      </w:tr>
      <w:tr w:rsidR="00247CBF" w:rsidRPr="00092ED7" w14:paraId="1298C56D" w14:textId="77777777" w:rsidTr="00247CBF">
        <w:trPr>
          <w:gridBefore w:val="1"/>
          <w:wBefore w:w="8" w:type="pct"/>
          <w:trHeight w:val="227"/>
        </w:trPr>
        <w:tc>
          <w:tcPr>
            <w:tcW w:w="2279" w:type="pct"/>
            <w:tcBorders>
              <w:top w:val="nil"/>
              <w:left w:val="double" w:sz="6" w:space="0" w:color="000000"/>
              <w:bottom w:val="single" w:sz="4" w:space="0" w:color="auto"/>
              <w:right w:val="nil"/>
            </w:tcBorders>
            <w:shd w:val="clear" w:color="000000" w:fill="FFFFFF"/>
            <w:vAlign w:val="center"/>
            <w:hideMark/>
          </w:tcPr>
          <w:p w14:paraId="28EC4151" w14:textId="77777777" w:rsidR="00247CBF" w:rsidRPr="00092ED7" w:rsidRDefault="00247CBF" w:rsidP="00247CBF">
            <w:pPr>
              <w:spacing w:after="0"/>
              <w:ind w:firstLineChars="300" w:firstLine="600"/>
              <w:jc w:val="left"/>
              <w:rPr>
                <w:rFonts w:eastAsia="Times New Roman" w:cs="Times New Roman"/>
                <w:sz w:val="20"/>
                <w:szCs w:val="20"/>
                <w:lang w:val="sr-Cyrl-CS"/>
              </w:rPr>
            </w:pPr>
            <w:r w:rsidRPr="00092ED7">
              <w:rPr>
                <w:rFonts w:eastAsia="Times New Roman" w:cs="Times New Roman"/>
                <w:sz w:val="20"/>
                <w:szCs w:val="20"/>
                <w:lang w:val="sr-Cyrl-CS"/>
              </w:rPr>
              <w:t>- укупна факторска продуктивност</w:t>
            </w:r>
          </w:p>
        </w:tc>
        <w:tc>
          <w:tcPr>
            <w:tcW w:w="486" w:type="pct"/>
            <w:gridSpan w:val="3"/>
            <w:tcBorders>
              <w:top w:val="nil"/>
              <w:left w:val="single" w:sz="4" w:space="0" w:color="000000"/>
              <w:bottom w:val="single" w:sz="4" w:space="0" w:color="auto"/>
              <w:right w:val="single" w:sz="4" w:space="0" w:color="000000"/>
            </w:tcBorders>
            <w:shd w:val="clear" w:color="000000" w:fill="FFFFFF"/>
            <w:vAlign w:val="center"/>
            <w:hideMark/>
          </w:tcPr>
          <w:p w14:paraId="0A9290D4"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single" w:sz="4" w:space="0" w:color="auto"/>
              <w:right w:val="dotted" w:sz="4" w:space="0" w:color="000000"/>
            </w:tcBorders>
            <w:shd w:val="clear" w:color="auto" w:fill="auto"/>
            <w:vAlign w:val="center"/>
            <w:hideMark/>
          </w:tcPr>
          <w:p w14:paraId="33CAC4AC" w14:textId="77777777" w:rsidR="00247CBF" w:rsidRPr="00092ED7" w:rsidRDefault="00247CBF" w:rsidP="00247CBF">
            <w:pPr>
              <w:spacing w:after="0"/>
              <w:jc w:val="center"/>
              <w:rPr>
                <w:sz w:val="20"/>
                <w:szCs w:val="20"/>
                <w:lang w:val="sr-Cyrl-CS"/>
              </w:rPr>
            </w:pPr>
            <w:r w:rsidRPr="00092ED7">
              <w:rPr>
                <w:sz w:val="20"/>
                <w:szCs w:val="20"/>
                <w:lang w:val="sr-Cyrl-CS"/>
              </w:rPr>
              <w:t>0,7</w:t>
            </w:r>
          </w:p>
        </w:tc>
        <w:tc>
          <w:tcPr>
            <w:tcW w:w="445" w:type="pct"/>
            <w:gridSpan w:val="2"/>
            <w:tcBorders>
              <w:top w:val="nil"/>
              <w:left w:val="nil"/>
              <w:bottom w:val="single" w:sz="4" w:space="0" w:color="auto"/>
              <w:right w:val="dotted" w:sz="4" w:space="0" w:color="000000"/>
            </w:tcBorders>
            <w:shd w:val="clear" w:color="auto" w:fill="auto"/>
            <w:vAlign w:val="center"/>
            <w:hideMark/>
          </w:tcPr>
          <w:p w14:paraId="04E7C20B"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445" w:type="pct"/>
            <w:gridSpan w:val="2"/>
            <w:tcBorders>
              <w:top w:val="nil"/>
              <w:left w:val="nil"/>
              <w:bottom w:val="single" w:sz="4" w:space="0" w:color="auto"/>
              <w:right w:val="dotted" w:sz="4" w:space="0" w:color="000000"/>
            </w:tcBorders>
            <w:shd w:val="clear" w:color="auto" w:fill="auto"/>
            <w:vAlign w:val="center"/>
            <w:hideMark/>
          </w:tcPr>
          <w:p w14:paraId="4A0BE561" w14:textId="77777777" w:rsidR="00247CBF" w:rsidRPr="00092ED7" w:rsidRDefault="00247CBF" w:rsidP="00247CBF">
            <w:pPr>
              <w:spacing w:after="0"/>
              <w:jc w:val="center"/>
              <w:rPr>
                <w:sz w:val="20"/>
                <w:szCs w:val="20"/>
                <w:lang w:val="sr-Cyrl-CS"/>
              </w:rPr>
            </w:pPr>
            <w:r w:rsidRPr="00092ED7">
              <w:rPr>
                <w:sz w:val="20"/>
                <w:szCs w:val="20"/>
                <w:lang w:val="sr-Cyrl-CS"/>
              </w:rPr>
              <w:t>1,1</w:t>
            </w:r>
          </w:p>
        </w:tc>
        <w:tc>
          <w:tcPr>
            <w:tcW w:w="445" w:type="pct"/>
            <w:tcBorders>
              <w:top w:val="nil"/>
              <w:left w:val="nil"/>
              <w:bottom w:val="single" w:sz="4" w:space="0" w:color="auto"/>
              <w:right w:val="dotted" w:sz="4" w:space="0" w:color="000000"/>
            </w:tcBorders>
            <w:shd w:val="clear" w:color="auto" w:fill="auto"/>
            <w:vAlign w:val="center"/>
            <w:hideMark/>
          </w:tcPr>
          <w:p w14:paraId="456B9BB8" w14:textId="77777777" w:rsidR="00247CBF" w:rsidRPr="00092ED7" w:rsidRDefault="00247CBF" w:rsidP="00247CBF">
            <w:pPr>
              <w:spacing w:after="0"/>
              <w:jc w:val="center"/>
              <w:rPr>
                <w:sz w:val="20"/>
                <w:szCs w:val="20"/>
                <w:lang w:val="sr-Cyrl-CS"/>
              </w:rPr>
            </w:pPr>
            <w:r w:rsidRPr="00092ED7">
              <w:rPr>
                <w:sz w:val="20"/>
                <w:szCs w:val="20"/>
                <w:lang w:val="sr-Cyrl-CS"/>
              </w:rPr>
              <w:t>1,3</w:t>
            </w:r>
          </w:p>
        </w:tc>
        <w:tc>
          <w:tcPr>
            <w:tcW w:w="447" w:type="pct"/>
            <w:tcBorders>
              <w:top w:val="nil"/>
              <w:left w:val="nil"/>
              <w:bottom w:val="single" w:sz="4" w:space="0" w:color="auto"/>
              <w:right w:val="double" w:sz="6" w:space="0" w:color="000000"/>
            </w:tcBorders>
            <w:shd w:val="clear" w:color="auto" w:fill="auto"/>
            <w:vAlign w:val="center"/>
            <w:hideMark/>
          </w:tcPr>
          <w:p w14:paraId="4C41C7BF" w14:textId="77777777" w:rsidR="00247CBF" w:rsidRPr="00092ED7" w:rsidRDefault="00247CBF" w:rsidP="00247CBF">
            <w:pPr>
              <w:spacing w:after="0"/>
              <w:jc w:val="center"/>
              <w:rPr>
                <w:sz w:val="20"/>
                <w:szCs w:val="20"/>
                <w:lang w:val="sr-Cyrl-CS"/>
              </w:rPr>
            </w:pPr>
            <w:r w:rsidRPr="00092ED7">
              <w:rPr>
                <w:sz w:val="20"/>
                <w:szCs w:val="20"/>
                <w:lang w:val="sr-Cyrl-CS"/>
              </w:rPr>
              <w:t>1,4</w:t>
            </w:r>
          </w:p>
        </w:tc>
      </w:tr>
      <w:tr w:rsidR="00247CBF" w:rsidRPr="00092ED7" w14:paraId="49A779AA"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09DAB4AD"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6. Производни јаз</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26520EAA"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350963FA" w14:textId="77777777" w:rsidR="00247CBF" w:rsidRPr="00092ED7" w:rsidRDefault="00247CBF" w:rsidP="00247CBF">
            <w:pPr>
              <w:spacing w:after="0"/>
              <w:jc w:val="center"/>
              <w:rPr>
                <w:sz w:val="20"/>
                <w:szCs w:val="20"/>
                <w:lang w:val="sr-Cyrl-CS"/>
              </w:rPr>
            </w:pPr>
            <w:r w:rsidRPr="00092ED7">
              <w:rPr>
                <w:sz w:val="20"/>
                <w:szCs w:val="20"/>
                <w:lang w:val="sr-Cyrl-CS"/>
              </w:rPr>
              <w:t>1,3</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444D4DF4" w14:textId="77777777" w:rsidR="00247CBF" w:rsidRPr="00092ED7" w:rsidRDefault="00247CBF" w:rsidP="00247CBF">
            <w:pPr>
              <w:spacing w:after="0"/>
              <w:jc w:val="center"/>
              <w:rPr>
                <w:sz w:val="20"/>
                <w:szCs w:val="20"/>
                <w:lang w:val="sr-Cyrl-CS"/>
              </w:rPr>
            </w:pPr>
            <w:r w:rsidRPr="00092ED7">
              <w:rPr>
                <w:sz w:val="20"/>
                <w:szCs w:val="20"/>
                <w:lang w:val="sr-Cyrl-CS"/>
              </w:rPr>
              <w:t>0,7</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64B46533" w14:textId="77777777" w:rsidR="00247CBF" w:rsidRPr="00092ED7" w:rsidRDefault="00247CBF" w:rsidP="00247CBF">
            <w:pPr>
              <w:spacing w:after="0"/>
              <w:jc w:val="center"/>
              <w:rPr>
                <w:sz w:val="20"/>
                <w:szCs w:val="20"/>
                <w:lang w:val="sr-Cyrl-CS"/>
              </w:rPr>
            </w:pPr>
            <w:r w:rsidRPr="00092ED7">
              <w:rPr>
                <w:sz w:val="20"/>
                <w:szCs w:val="20"/>
                <w:lang w:val="sr-Cyrl-CS"/>
              </w:rPr>
              <w:t>-0,3</w:t>
            </w:r>
          </w:p>
        </w:tc>
        <w:tc>
          <w:tcPr>
            <w:tcW w:w="445" w:type="pct"/>
            <w:tcBorders>
              <w:top w:val="nil"/>
              <w:left w:val="nil"/>
              <w:bottom w:val="dotted" w:sz="4" w:space="0" w:color="000000"/>
              <w:right w:val="dotted" w:sz="4" w:space="0" w:color="000000"/>
            </w:tcBorders>
            <w:shd w:val="clear" w:color="auto" w:fill="auto"/>
            <w:vAlign w:val="center"/>
            <w:hideMark/>
          </w:tcPr>
          <w:p w14:paraId="779B5461" w14:textId="77777777" w:rsidR="00247CBF" w:rsidRPr="00092ED7" w:rsidRDefault="00247CBF" w:rsidP="00247CBF">
            <w:pPr>
              <w:spacing w:after="0"/>
              <w:jc w:val="center"/>
              <w:rPr>
                <w:sz w:val="20"/>
                <w:szCs w:val="20"/>
                <w:lang w:val="sr-Cyrl-CS"/>
              </w:rPr>
            </w:pPr>
            <w:r w:rsidRPr="00092ED7">
              <w:rPr>
                <w:sz w:val="20"/>
                <w:szCs w:val="20"/>
                <w:lang w:val="sr-Cyrl-CS"/>
              </w:rPr>
              <w:t>-0,4</w:t>
            </w:r>
          </w:p>
        </w:tc>
        <w:tc>
          <w:tcPr>
            <w:tcW w:w="447" w:type="pct"/>
            <w:tcBorders>
              <w:top w:val="nil"/>
              <w:left w:val="nil"/>
              <w:bottom w:val="dotted" w:sz="4" w:space="0" w:color="000000"/>
              <w:right w:val="double" w:sz="6" w:space="0" w:color="000000"/>
            </w:tcBorders>
            <w:shd w:val="clear" w:color="auto" w:fill="auto"/>
            <w:vAlign w:val="center"/>
            <w:hideMark/>
          </w:tcPr>
          <w:p w14:paraId="1D00FAF0" w14:textId="77777777" w:rsidR="00247CBF" w:rsidRPr="00092ED7" w:rsidRDefault="00247CBF" w:rsidP="00247CBF">
            <w:pPr>
              <w:spacing w:after="0"/>
              <w:jc w:val="center"/>
              <w:rPr>
                <w:sz w:val="20"/>
                <w:szCs w:val="20"/>
                <w:lang w:val="sr-Cyrl-CS"/>
              </w:rPr>
            </w:pPr>
            <w:r w:rsidRPr="00092ED7">
              <w:rPr>
                <w:sz w:val="20"/>
                <w:szCs w:val="20"/>
                <w:lang w:val="sr-Cyrl-CS"/>
              </w:rPr>
              <w:t>-0,2</w:t>
            </w:r>
          </w:p>
        </w:tc>
      </w:tr>
      <w:tr w:rsidR="00247CBF" w:rsidRPr="00092ED7" w14:paraId="0CB2875C" w14:textId="77777777" w:rsidTr="00247CBF">
        <w:trPr>
          <w:gridBefore w:val="1"/>
          <w:wBefore w:w="8" w:type="pct"/>
          <w:trHeight w:val="227"/>
        </w:trPr>
        <w:tc>
          <w:tcPr>
            <w:tcW w:w="2279" w:type="pct"/>
            <w:tcBorders>
              <w:top w:val="nil"/>
              <w:left w:val="double" w:sz="6" w:space="0" w:color="000000"/>
              <w:bottom w:val="single" w:sz="4" w:space="0" w:color="auto"/>
              <w:right w:val="nil"/>
            </w:tcBorders>
            <w:shd w:val="clear" w:color="000000" w:fill="FFFFFF"/>
            <w:vAlign w:val="center"/>
            <w:hideMark/>
          </w:tcPr>
          <w:p w14:paraId="38F35C9A"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7. Циклична компонента буџета</w:t>
            </w:r>
          </w:p>
        </w:tc>
        <w:tc>
          <w:tcPr>
            <w:tcW w:w="486" w:type="pct"/>
            <w:gridSpan w:val="3"/>
            <w:tcBorders>
              <w:top w:val="nil"/>
              <w:left w:val="single" w:sz="4" w:space="0" w:color="000000"/>
              <w:bottom w:val="single" w:sz="4" w:space="0" w:color="auto"/>
              <w:right w:val="single" w:sz="4" w:space="0" w:color="000000"/>
            </w:tcBorders>
            <w:shd w:val="clear" w:color="000000" w:fill="FFFFFF"/>
            <w:vAlign w:val="center"/>
            <w:hideMark/>
          </w:tcPr>
          <w:p w14:paraId="6B3464B9"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single" w:sz="4" w:space="0" w:color="auto"/>
              <w:right w:val="dotted" w:sz="4" w:space="0" w:color="000000"/>
            </w:tcBorders>
            <w:shd w:val="clear" w:color="auto" w:fill="auto"/>
            <w:vAlign w:val="center"/>
            <w:hideMark/>
          </w:tcPr>
          <w:p w14:paraId="5408F2CF" w14:textId="77777777" w:rsidR="00247CBF" w:rsidRPr="00092ED7" w:rsidRDefault="00247CBF" w:rsidP="00247CBF">
            <w:pPr>
              <w:spacing w:after="0"/>
              <w:jc w:val="center"/>
              <w:rPr>
                <w:sz w:val="20"/>
                <w:szCs w:val="20"/>
                <w:lang w:val="sr-Cyrl-CS"/>
              </w:rPr>
            </w:pPr>
            <w:r w:rsidRPr="00092ED7">
              <w:rPr>
                <w:sz w:val="20"/>
                <w:szCs w:val="20"/>
                <w:lang w:val="sr-Cyrl-CS"/>
              </w:rPr>
              <w:t>0,5</w:t>
            </w:r>
          </w:p>
        </w:tc>
        <w:tc>
          <w:tcPr>
            <w:tcW w:w="445" w:type="pct"/>
            <w:gridSpan w:val="2"/>
            <w:tcBorders>
              <w:top w:val="nil"/>
              <w:left w:val="nil"/>
              <w:bottom w:val="single" w:sz="4" w:space="0" w:color="auto"/>
              <w:right w:val="dotted" w:sz="4" w:space="0" w:color="000000"/>
            </w:tcBorders>
            <w:shd w:val="clear" w:color="auto" w:fill="auto"/>
            <w:vAlign w:val="center"/>
            <w:hideMark/>
          </w:tcPr>
          <w:p w14:paraId="7657D4B9" w14:textId="77777777" w:rsidR="00247CBF" w:rsidRPr="00092ED7" w:rsidRDefault="00247CBF" w:rsidP="00247CBF">
            <w:pPr>
              <w:spacing w:after="0"/>
              <w:jc w:val="center"/>
              <w:rPr>
                <w:sz w:val="20"/>
                <w:szCs w:val="20"/>
                <w:lang w:val="sr-Cyrl-CS"/>
              </w:rPr>
            </w:pPr>
            <w:r w:rsidRPr="00092ED7">
              <w:rPr>
                <w:sz w:val="20"/>
                <w:szCs w:val="20"/>
                <w:lang w:val="sr-Cyrl-CS"/>
              </w:rPr>
              <w:t>0,3</w:t>
            </w:r>
          </w:p>
        </w:tc>
        <w:tc>
          <w:tcPr>
            <w:tcW w:w="445" w:type="pct"/>
            <w:gridSpan w:val="2"/>
            <w:tcBorders>
              <w:top w:val="nil"/>
              <w:left w:val="nil"/>
              <w:bottom w:val="single" w:sz="4" w:space="0" w:color="auto"/>
              <w:right w:val="dotted" w:sz="4" w:space="0" w:color="000000"/>
            </w:tcBorders>
            <w:shd w:val="clear" w:color="auto" w:fill="auto"/>
            <w:vAlign w:val="center"/>
            <w:hideMark/>
          </w:tcPr>
          <w:p w14:paraId="2288C222" w14:textId="77777777" w:rsidR="00247CBF" w:rsidRPr="00092ED7" w:rsidRDefault="00247CBF" w:rsidP="00247CBF">
            <w:pPr>
              <w:spacing w:after="0"/>
              <w:jc w:val="center"/>
              <w:rPr>
                <w:sz w:val="20"/>
                <w:szCs w:val="20"/>
                <w:lang w:val="sr-Cyrl-CS"/>
              </w:rPr>
            </w:pPr>
            <w:r w:rsidRPr="00092ED7">
              <w:rPr>
                <w:sz w:val="20"/>
                <w:szCs w:val="20"/>
                <w:lang w:val="sr-Cyrl-CS"/>
              </w:rPr>
              <w:t>-0,1</w:t>
            </w:r>
          </w:p>
        </w:tc>
        <w:tc>
          <w:tcPr>
            <w:tcW w:w="445" w:type="pct"/>
            <w:tcBorders>
              <w:top w:val="nil"/>
              <w:left w:val="nil"/>
              <w:bottom w:val="single" w:sz="4" w:space="0" w:color="auto"/>
              <w:right w:val="dotted" w:sz="4" w:space="0" w:color="000000"/>
            </w:tcBorders>
            <w:shd w:val="clear" w:color="auto" w:fill="auto"/>
            <w:vAlign w:val="center"/>
            <w:hideMark/>
          </w:tcPr>
          <w:p w14:paraId="738C4ED1" w14:textId="77777777" w:rsidR="00247CBF" w:rsidRPr="00092ED7" w:rsidRDefault="00247CBF" w:rsidP="00247CBF">
            <w:pPr>
              <w:spacing w:after="0"/>
              <w:jc w:val="center"/>
              <w:rPr>
                <w:sz w:val="20"/>
                <w:szCs w:val="20"/>
                <w:lang w:val="sr-Cyrl-CS"/>
              </w:rPr>
            </w:pPr>
            <w:r w:rsidRPr="00092ED7">
              <w:rPr>
                <w:sz w:val="20"/>
                <w:szCs w:val="20"/>
                <w:lang w:val="sr-Cyrl-CS"/>
              </w:rPr>
              <w:t>-0,2</w:t>
            </w:r>
          </w:p>
        </w:tc>
        <w:tc>
          <w:tcPr>
            <w:tcW w:w="447" w:type="pct"/>
            <w:tcBorders>
              <w:top w:val="nil"/>
              <w:left w:val="nil"/>
              <w:bottom w:val="single" w:sz="4" w:space="0" w:color="auto"/>
              <w:right w:val="double" w:sz="6" w:space="0" w:color="000000"/>
            </w:tcBorders>
            <w:shd w:val="clear" w:color="auto" w:fill="auto"/>
            <w:vAlign w:val="center"/>
            <w:hideMark/>
          </w:tcPr>
          <w:p w14:paraId="68B8982B" w14:textId="77777777" w:rsidR="00247CBF" w:rsidRPr="00092ED7" w:rsidRDefault="00247CBF" w:rsidP="00247CBF">
            <w:pPr>
              <w:spacing w:after="0"/>
              <w:jc w:val="center"/>
              <w:rPr>
                <w:sz w:val="20"/>
                <w:szCs w:val="20"/>
                <w:lang w:val="sr-Cyrl-CS"/>
              </w:rPr>
            </w:pPr>
            <w:r w:rsidRPr="00092ED7">
              <w:rPr>
                <w:sz w:val="20"/>
                <w:szCs w:val="20"/>
                <w:lang w:val="sr-Cyrl-CS"/>
              </w:rPr>
              <w:t>-0,1</w:t>
            </w:r>
          </w:p>
        </w:tc>
      </w:tr>
      <w:tr w:rsidR="00247CBF" w:rsidRPr="00092ED7" w14:paraId="7A1FAF1E"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37FF90D1"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8. Циклично прилагођени биланс (2-7)</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626364D6"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1A204774" w14:textId="77777777" w:rsidR="00247CBF" w:rsidRPr="00092ED7" w:rsidRDefault="00247CBF" w:rsidP="00247CBF">
            <w:pPr>
              <w:spacing w:after="0"/>
              <w:jc w:val="center"/>
              <w:rPr>
                <w:sz w:val="20"/>
                <w:szCs w:val="20"/>
                <w:lang w:val="sr-Cyrl-CS"/>
              </w:rPr>
            </w:pPr>
            <w:r w:rsidRPr="00092ED7">
              <w:rPr>
                <w:sz w:val="20"/>
                <w:szCs w:val="20"/>
                <w:lang w:val="sr-Cyrl-CS"/>
              </w:rPr>
              <w:t>-4,6</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6361DB38" w14:textId="77777777" w:rsidR="00247CBF" w:rsidRPr="00092ED7" w:rsidRDefault="00247CBF" w:rsidP="00247CBF">
            <w:pPr>
              <w:spacing w:after="0"/>
              <w:jc w:val="center"/>
              <w:rPr>
                <w:sz w:val="20"/>
                <w:szCs w:val="20"/>
                <w:lang w:val="sr-Cyrl-CS"/>
              </w:rPr>
            </w:pPr>
            <w:r w:rsidRPr="00092ED7">
              <w:rPr>
                <w:sz w:val="20"/>
                <w:szCs w:val="20"/>
                <w:lang w:val="sr-Cyrl-CS"/>
              </w:rPr>
              <w:t>-4,1</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3C23E862" w14:textId="77777777" w:rsidR="00247CBF" w:rsidRPr="00092ED7" w:rsidRDefault="00247CBF" w:rsidP="00247CBF">
            <w:pPr>
              <w:spacing w:after="0"/>
              <w:jc w:val="center"/>
              <w:rPr>
                <w:sz w:val="20"/>
                <w:szCs w:val="20"/>
                <w:lang w:val="sr-Cyrl-CS"/>
              </w:rPr>
            </w:pPr>
            <w:r w:rsidRPr="00092ED7">
              <w:rPr>
                <w:sz w:val="20"/>
                <w:szCs w:val="20"/>
                <w:lang w:val="sr-Cyrl-CS"/>
              </w:rPr>
              <w:t>-3,2</w:t>
            </w:r>
          </w:p>
        </w:tc>
        <w:tc>
          <w:tcPr>
            <w:tcW w:w="445" w:type="pct"/>
            <w:tcBorders>
              <w:top w:val="nil"/>
              <w:left w:val="nil"/>
              <w:bottom w:val="dotted" w:sz="4" w:space="0" w:color="000000"/>
              <w:right w:val="dotted" w:sz="4" w:space="0" w:color="000000"/>
            </w:tcBorders>
            <w:shd w:val="clear" w:color="auto" w:fill="auto"/>
            <w:vAlign w:val="center"/>
            <w:hideMark/>
          </w:tcPr>
          <w:p w14:paraId="4896C6CD" w14:textId="77777777" w:rsidR="00247CBF" w:rsidRPr="00092ED7" w:rsidRDefault="00247CBF" w:rsidP="00247CBF">
            <w:pPr>
              <w:spacing w:after="0"/>
              <w:jc w:val="center"/>
              <w:rPr>
                <w:sz w:val="20"/>
                <w:szCs w:val="20"/>
                <w:lang w:val="sr-Cyrl-CS"/>
              </w:rPr>
            </w:pPr>
            <w:r w:rsidRPr="00092ED7">
              <w:rPr>
                <w:sz w:val="20"/>
                <w:szCs w:val="20"/>
                <w:lang w:val="sr-Cyrl-CS"/>
              </w:rPr>
              <w:t>-2,0</w:t>
            </w:r>
          </w:p>
        </w:tc>
        <w:tc>
          <w:tcPr>
            <w:tcW w:w="447" w:type="pct"/>
            <w:tcBorders>
              <w:top w:val="nil"/>
              <w:left w:val="nil"/>
              <w:bottom w:val="dotted" w:sz="4" w:space="0" w:color="000000"/>
              <w:right w:val="double" w:sz="6" w:space="0" w:color="000000"/>
            </w:tcBorders>
            <w:shd w:val="clear" w:color="auto" w:fill="auto"/>
            <w:vAlign w:val="center"/>
            <w:hideMark/>
          </w:tcPr>
          <w:p w14:paraId="5B558016" w14:textId="77777777" w:rsidR="00247CBF" w:rsidRPr="00092ED7" w:rsidRDefault="00247CBF" w:rsidP="00247CBF">
            <w:pPr>
              <w:spacing w:after="0"/>
              <w:jc w:val="center"/>
              <w:rPr>
                <w:sz w:val="20"/>
                <w:szCs w:val="20"/>
                <w:lang w:val="sr-Cyrl-CS"/>
              </w:rPr>
            </w:pPr>
            <w:r w:rsidRPr="00092ED7">
              <w:rPr>
                <w:sz w:val="20"/>
                <w:szCs w:val="20"/>
                <w:lang w:val="sr-Cyrl-CS"/>
              </w:rPr>
              <w:t>-1,3</w:t>
            </w:r>
          </w:p>
        </w:tc>
      </w:tr>
      <w:tr w:rsidR="00247CBF" w:rsidRPr="00092ED7" w14:paraId="2513969F"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noWrap/>
            <w:vAlign w:val="center"/>
            <w:hideMark/>
          </w:tcPr>
          <w:p w14:paraId="2C8E1E04"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9. Циклично прилагођени примарни биланс (8+3)</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63224CB4"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35E579A5" w14:textId="77777777" w:rsidR="00247CBF" w:rsidRPr="00092ED7" w:rsidRDefault="00247CBF" w:rsidP="00247CBF">
            <w:pPr>
              <w:spacing w:after="0"/>
              <w:jc w:val="center"/>
              <w:rPr>
                <w:sz w:val="20"/>
                <w:szCs w:val="20"/>
                <w:lang w:val="sr-Cyrl-CS"/>
              </w:rPr>
            </w:pPr>
            <w:r w:rsidRPr="00092ED7">
              <w:rPr>
                <w:sz w:val="20"/>
                <w:szCs w:val="20"/>
                <w:lang w:val="sr-Cyrl-CS"/>
              </w:rPr>
              <w:t>-2,9</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3F788A21" w14:textId="77777777" w:rsidR="00247CBF" w:rsidRPr="00092ED7" w:rsidRDefault="00247CBF" w:rsidP="00247CBF">
            <w:pPr>
              <w:spacing w:after="0"/>
              <w:jc w:val="center"/>
              <w:rPr>
                <w:sz w:val="20"/>
                <w:szCs w:val="20"/>
                <w:lang w:val="sr-Cyrl-CS"/>
              </w:rPr>
            </w:pPr>
            <w:r w:rsidRPr="00092ED7">
              <w:rPr>
                <w:sz w:val="20"/>
                <w:szCs w:val="20"/>
                <w:lang w:val="sr-Cyrl-CS"/>
              </w:rPr>
              <w:t>-2,5</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0E57F001"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445" w:type="pct"/>
            <w:tcBorders>
              <w:top w:val="nil"/>
              <w:left w:val="nil"/>
              <w:bottom w:val="dotted" w:sz="4" w:space="0" w:color="000000"/>
              <w:right w:val="dotted" w:sz="4" w:space="0" w:color="000000"/>
            </w:tcBorders>
            <w:shd w:val="clear" w:color="auto" w:fill="auto"/>
            <w:vAlign w:val="center"/>
            <w:hideMark/>
          </w:tcPr>
          <w:p w14:paraId="5E9F0BEF" w14:textId="77777777" w:rsidR="00247CBF" w:rsidRPr="00092ED7" w:rsidRDefault="00247CBF" w:rsidP="00247CBF">
            <w:pPr>
              <w:spacing w:after="0"/>
              <w:jc w:val="center"/>
              <w:rPr>
                <w:sz w:val="20"/>
                <w:szCs w:val="20"/>
                <w:lang w:val="sr-Cyrl-CS"/>
              </w:rPr>
            </w:pPr>
            <w:r w:rsidRPr="00092ED7">
              <w:rPr>
                <w:sz w:val="20"/>
                <w:szCs w:val="20"/>
                <w:lang w:val="sr-Cyrl-CS"/>
              </w:rPr>
              <w:t>0,1</w:t>
            </w:r>
          </w:p>
        </w:tc>
        <w:tc>
          <w:tcPr>
            <w:tcW w:w="447" w:type="pct"/>
            <w:tcBorders>
              <w:top w:val="nil"/>
              <w:left w:val="nil"/>
              <w:bottom w:val="dotted" w:sz="4" w:space="0" w:color="000000"/>
              <w:right w:val="double" w:sz="6" w:space="0" w:color="000000"/>
            </w:tcBorders>
            <w:shd w:val="clear" w:color="auto" w:fill="auto"/>
            <w:vAlign w:val="center"/>
            <w:hideMark/>
          </w:tcPr>
          <w:p w14:paraId="1699CB29" w14:textId="77777777" w:rsidR="00247CBF" w:rsidRPr="00092ED7" w:rsidRDefault="00247CBF" w:rsidP="00247CBF">
            <w:pPr>
              <w:spacing w:after="0"/>
              <w:jc w:val="center"/>
              <w:rPr>
                <w:sz w:val="20"/>
                <w:szCs w:val="20"/>
                <w:lang w:val="sr-Cyrl-CS"/>
              </w:rPr>
            </w:pPr>
            <w:r w:rsidRPr="00092ED7">
              <w:rPr>
                <w:sz w:val="20"/>
                <w:szCs w:val="20"/>
                <w:lang w:val="sr-Cyrl-CS"/>
              </w:rPr>
              <w:t>0,7</w:t>
            </w:r>
          </w:p>
        </w:tc>
      </w:tr>
      <w:tr w:rsidR="00247CBF" w:rsidRPr="00092ED7" w14:paraId="437A0881" w14:textId="77777777" w:rsidTr="00247CBF">
        <w:trPr>
          <w:gridBefore w:val="1"/>
          <w:wBefore w:w="8" w:type="pct"/>
          <w:trHeight w:val="227"/>
        </w:trPr>
        <w:tc>
          <w:tcPr>
            <w:tcW w:w="2279" w:type="pct"/>
            <w:tcBorders>
              <w:top w:val="nil"/>
              <w:left w:val="double" w:sz="6" w:space="0" w:color="000000"/>
              <w:bottom w:val="double" w:sz="6" w:space="0" w:color="000000"/>
              <w:right w:val="nil"/>
            </w:tcBorders>
            <w:shd w:val="clear" w:color="000000" w:fill="FFFFFF"/>
            <w:vAlign w:val="center"/>
            <w:hideMark/>
          </w:tcPr>
          <w:p w14:paraId="7B862A79"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 xml:space="preserve">   10. Структурни биланс (8-4)</w:t>
            </w:r>
          </w:p>
        </w:tc>
        <w:tc>
          <w:tcPr>
            <w:tcW w:w="486" w:type="pct"/>
            <w:gridSpan w:val="3"/>
            <w:tcBorders>
              <w:top w:val="nil"/>
              <w:left w:val="single" w:sz="4" w:space="0" w:color="000000"/>
              <w:bottom w:val="double" w:sz="6" w:space="0" w:color="000000"/>
              <w:right w:val="single" w:sz="4" w:space="0" w:color="000000"/>
            </w:tcBorders>
            <w:shd w:val="clear" w:color="000000" w:fill="FFFFFF"/>
            <w:vAlign w:val="center"/>
            <w:hideMark/>
          </w:tcPr>
          <w:p w14:paraId="6518668E"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double" w:sz="6" w:space="0" w:color="000000"/>
              <w:right w:val="dotted" w:sz="4" w:space="0" w:color="000000"/>
            </w:tcBorders>
            <w:shd w:val="clear" w:color="auto" w:fill="auto"/>
            <w:vAlign w:val="center"/>
            <w:hideMark/>
          </w:tcPr>
          <w:p w14:paraId="74234680" w14:textId="77777777" w:rsidR="00247CBF" w:rsidRPr="00092ED7" w:rsidRDefault="00247CBF" w:rsidP="00247CBF">
            <w:pPr>
              <w:spacing w:after="0"/>
              <w:jc w:val="center"/>
              <w:rPr>
                <w:sz w:val="20"/>
                <w:szCs w:val="20"/>
                <w:lang w:val="sr-Cyrl-CS"/>
              </w:rPr>
            </w:pPr>
            <w:r w:rsidRPr="00092ED7">
              <w:rPr>
                <w:sz w:val="20"/>
                <w:szCs w:val="20"/>
                <w:lang w:val="sr-Cyrl-CS"/>
              </w:rPr>
              <w:t>-0,5</w:t>
            </w:r>
          </w:p>
        </w:tc>
        <w:tc>
          <w:tcPr>
            <w:tcW w:w="445" w:type="pct"/>
            <w:gridSpan w:val="2"/>
            <w:tcBorders>
              <w:top w:val="nil"/>
              <w:left w:val="nil"/>
              <w:bottom w:val="double" w:sz="6" w:space="0" w:color="000000"/>
              <w:right w:val="dotted" w:sz="4" w:space="0" w:color="000000"/>
            </w:tcBorders>
            <w:shd w:val="clear" w:color="auto" w:fill="auto"/>
            <w:vAlign w:val="center"/>
            <w:hideMark/>
          </w:tcPr>
          <w:p w14:paraId="08549271" w14:textId="77777777" w:rsidR="00247CBF" w:rsidRPr="00092ED7" w:rsidRDefault="00247CBF" w:rsidP="00247CBF">
            <w:pPr>
              <w:spacing w:after="0"/>
              <w:jc w:val="center"/>
              <w:rPr>
                <w:sz w:val="20"/>
                <w:szCs w:val="20"/>
                <w:lang w:val="sr-Cyrl-CS"/>
              </w:rPr>
            </w:pPr>
            <w:r w:rsidRPr="00092ED7">
              <w:rPr>
                <w:sz w:val="20"/>
                <w:szCs w:val="20"/>
                <w:lang w:val="sr-Cyrl-CS"/>
              </w:rPr>
              <w:t>-1,2</w:t>
            </w:r>
          </w:p>
        </w:tc>
        <w:tc>
          <w:tcPr>
            <w:tcW w:w="445" w:type="pct"/>
            <w:gridSpan w:val="2"/>
            <w:tcBorders>
              <w:top w:val="nil"/>
              <w:left w:val="nil"/>
              <w:bottom w:val="double" w:sz="6" w:space="0" w:color="000000"/>
              <w:right w:val="dotted" w:sz="4" w:space="0" w:color="000000"/>
            </w:tcBorders>
            <w:shd w:val="clear" w:color="auto" w:fill="auto"/>
            <w:vAlign w:val="center"/>
            <w:hideMark/>
          </w:tcPr>
          <w:p w14:paraId="2F82A8EE" w14:textId="77777777" w:rsidR="00247CBF" w:rsidRPr="00092ED7" w:rsidRDefault="00247CBF" w:rsidP="00247CBF">
            <w:pPr>
              <w:spacing w:after="0"/>
              <w:jc w:val="center"/>
              <w:rPr>
                <w:sz w:val="20"/>
                <w:szCs w:val="20"/>
                <w:lang w:val="sr-Cyrl-CS"/>
              </w:rPr>
            </w:pPr>
            <w:r w:rsidRPr="00092ED7">
              <w:rPr>
                <w:sz w:val="20"/>
                <w:szCs w:val="20"/>
                <w:lang w:val="sr-Cyrl-CS"/>
              </w:rPr>
              <w:t>-1,6</w:t>
            </w:r>
          </w:p>
        </w:tc>
        <w:tc>
          <w:tcPr>
            <w:tcW w:w="445" w:type="pct"/>
            <w:tcBorders>
              <w:top w:val="nil"/>
              <w:left w:val="nil"/>
              <w:bottom w:val="double" w:sz="6" w:space="0" w:color="000000"/>
              <w:right w:val="dotted" w:sz="4" w:space="0" w:color="000000"/>
            </w:tcBorders>
            <w:shd w:val="clear" w:color="auto" w:fill="auto"/>
            <w:vAlign w:val="center"/>
            <w:hideMark/>
          </w:tcPr>
          <w:p w14:paraId="42978EEC" w14:textId="77777777" w:rsidR="00247CBF" w:rsidRPr="00092ED7" w:rsidRDefault="00247CBF" w:rsidP="00247CBF">
            <w:pPr>
              <w:spacing w:after="0"/>
              <w:jc w:val="center"/>
              <w:rPr>
                <w:sz w:val="20"/>
                <w:szCs w:val="20"/>
                <w:lang w:val="sr-Cyrl-CS"/>
              </w:rPr>
            </w:pPr>
            <w:r w:rsidRPr="00092ED7">
              <w:rPr>
                <w:sz w:val="20"/>
                <w:szCs w:val="20"/>
                <w:lang w:val="sr-Cyrl-CS"/>
              </w:rPr>
              <w:t>-2,0</w:t>
            </w:r>
          </w:p>
        </w:tc>
        <w:tc>
          <w:tcPr>
            <w:tcW w:w="447" w:type="pct"/>
            <w:tcBorders>
              <w:top w:val="nil"/>
              <w:left w:val="nil"/>
              <w:bottom w:val="double" w:sz="6" w:space="0" w:color="000000"/>
              <w:right w:val="double" w:sz="6" w:space="0" w:color="000000"/>
            </w:tcBorders>
            <w:shd w:val="clear" w:color="auto" w:fill="auto"/>
            <w:vAlign w:val="center"/>
            <w:hideMark/>
          </w:tcPr>
          <w:p w14:paraId="4B52D31E" w14:textId="77777777" w:rsidR="00247CBF" w:rsidRPr="00092ED7" w:rsidRDefault="00247CBF" w:rsidP="00247CBF">
            <w:pPr>
              <w:spacing w:after="0"/>
              <w:jc w:val="center"/>
              <w:rPr>
                <w:sz w:val="20"/>
                <w:szCs w:val="20"/>
                <w:lang w:val="sr-Cyrl-CS"/>
              </w:rPr>
            </w:pPr>
            <w:r w:rsidRPr="00092ED7">
              <w:rPr>
                <w:sz w:val="20"/>
                <w:szCs w:val="20"/>
                <w:lang w:val="sr-Cyrl-CS"/>
              </w:rPr>
              <w:t>-1,3</w:t>
            </w:r>
          </w:p>
        </w:tc>
      </w:tr>
      <w:tr w:rsidR="00247CBF" w:rsidRPr="00092ED7" w14:paraId="3BB618A2" w14:textId="77777777" w:rsidTr="00247CBF">
        <w:trPr>
          <w:gridBefore w:val="1"/>
          <w:wBefore w:w="8" w:type="pct"/>
          <w:trHeight w:val="227"/>
        </w:trPr>
        <w:tc>
          <w:tcPr>
            <w:tcW w:w="2279" w:type="pct"/>
            <w:tcBorders>
              <w:top w:val="nil"/>
              <w:left w:val="nil"/>
              <w:bottom w:val="nil"/>
              <w:right w:val="nil"/>
            </w:tcBorders>
            <w:shd w:val="clear" w:color="auto" w:fill="auto"/>
            <w:noWrap/>
            <w:vAlign w:val="bottom"/>
            <w:hideMark/>
          </w:tcPr>
          <w:p w14:paraId="3BA51834" w14:textId="77777777" w:rsidR="00247CBF" w:rsidRPr="00092ED7" w:rsidRDefault="00247CBF" w:rsidP="00247CBF">
            <w:pPr>
              <w:spacing w:after="0"/>
              <w:rPr>
                <w:rFonts w:eastAsia="Times New Roman" w:cs="Times New Roman"/>
                <w:sz w:val="16"/>
                <w:szCs w:val="20"/>
                <w:lang w:val="sr-Cyrl-CS"/>
              </w:rPr>
            </w:pPr>
            <w:r w:rsidRPr="00092ED7">
              <w:rPr>
                <w:rFonts w:eastAsia="Times New Roman" w:cs="Times New Roman"/>
                <w:sz w:val="16"/>
                <w:szCs w:val="20"/>
                <w:lang w:val="sr-Cyrl-CS"/>
              </w:rPr>
              <w:t>[1] Позитиван знак значи једнократне мере за смањење дефицита.</w:t>
            </w:r>
          </w:p>
        </w:tc>
        <w:tc>
          <w:tcPr>
            <w:tcW w:w="486" w:type="pct"/>
            <w:gridSpan w:val="3"/>
            <w:tcBorders>
              <w:top w:val="nil"/>
              <w:left w:val="nil"/>
              <w:bottom w:val="nil"/>
              <w:right w:val="nil"/>
            </w:tcBorders>
            <w:shd w:val="clear" w:color="000000" w:fill="FFFFFF"/>
            <w:noWrap/>
            <w:vAlign w:val="bottom"/>
            <w:hideMark/>
          </w:tcPr>
          <w:p w14:paraId="479E467A" w14:textId="77777777" w:rsidR="00247CBF" w:rsidRPr="00092ED7" w:rsidRDefault="00247CBF" w:rsidP="00247CBF">
            <w:pPr>
              <w:spacing w:after="0"/>
              <w:rPr>
                <w:rFonts w:ascii="Arial" w:eastAsia="Times New Roman" w:hAnsi="Arial" w:cs="Arial"/>
                <w:sz w:val="16"/>
                <w:szCs w:val="20"/>
                <w:lang w:val="sr-Cyrl-CS"/>
              </w:rPr>
            </w:pPr>
            <w:r w:rsidRPr="00092ED7">
              <w:rPr>
                <w:rFonts w:ascii="Arial" w:eastAsia="Times New Roman" w:hAnsi="Arial" w:cs="Arial"/>
                <w:sz w:val="16"/>
                <w:szCs w:val="20"/>
                <w:lang w:val="sr-Cyrl-CS"/>
              </w:rPr>
              <w:t> </w:t>
            </w:r>
          </w:p>
        </w:tc>
        <w:tc>
          <w:tcPr>
            <w:tcW w:w="445" w:type="pct"/>
            <w:gridSpan w:val="2"/>
            <w:tcBorders>
              <w:top w:val="nil"/>
              <w:left w:val="nil"/>
              <w:bottom w:val="nil"/>
              <w:right w:val="nil"/>
            </w:tcBorders>
            <w:shd w:val="clear" w:color="000000" w:fill="FFFFFF"/>
            <w:noWrap/>
            <w:vAlign w:val="bottom"/>
            <w:hideMark/>
          </w:tcPr>
          <w:p w14:paraId="1E028A05" w14:textId="77777777" w:rsidR="00247CBF" w:rsidRPr="00092ED7" w:rsidRDefault="00247CBF" w:rsidP="00247CBF">
            <w:pPr>
              <w:spacing w:after="0"/>
              <w:rPr>
                <w:rFonts w:ascii="Arial" w:eastAsia="Times New Roman" w:hAnsi="Arial" w:cs="Arial"/>
                <w:sz w:val="16"/>
                <w:szCs w:val="20"/>
                <w:lang w:val="sr-Cyrl-CS"/>
              </w:rPr>
            </w:pPr>
            <w:r w:rsidRPr="00092ED7">
              <w:rPr>
                <w:rFonts w:ascii="Arial" w:eastAsia="Times New Roman" w:hAnsi="Arial" w:cs="Arial"/>
                <w:sz w:val="16"/>
                <w:szCs w:val="20"/>
                <w:lang w:val="sr-Cyrl-CS"/>
              </w:rPr>
              <w:t> </w:t>
            </w:r>
          </w:p>
        </w:tc>
        <w:tc>
          <w:tcPr>
            <w:tcW w:w="445" w:type="pct"/>
            <w:gridSpan w:val="2"/>
            <w:tcBorders>
              <w:top w:val="nil"/>
              <w:left w:val="nil"/>
              <w:bottom w:val="nil"/>
              <w:right w:val="nil"/>
            </w:tcBorders>
            <w:shd w:val="clear" w:color="000000" w:fill="FFFFFF"/>
            <w:noWrap/>
            <w:vAlign w:val="bottom"/>
            <w:hideMark/>
          </w:tcPr>
          <w:p w14:paraId="6275912B" w14:textId="77777777" w:rsidR="00247CBF" w:rsidRPr="00092ED7" w:rsidRDefault="00247CBF" w:rsidP="00247CBF">
            <w:pPr>
              <w:spacing w:after="0"/>
              <w:rPr>
                <w:rFonts w:ascii="Arial" w:eastAsia="Times New Roman" w:hAnsi="Arial" w:cs="Arial"/>
                <w:sz w:val="16"/>
                <w:szCs w:val="20"/>
                <w:lang w:val="sr-Cyrl-CS"/>
              </w:rPr>
            </w:pPr>
            <w:r w:rsidRPr="00092ED7">
              <w:rPr>
                <w:rFonts w:ascii="Arial" w:eastAsia="Times New Roman" w:hAnsi="Arial" w:cs="Arial"/>
                <w:sz w:val="16"/>
                <w:szCs w:val="20"/>
                <w:lang w:val="sr-Cyrl-CS"/>
              </w:rPr>
              <w:t> </w:t>
            </w:r>
          </w:p>
        </w:tc>
        <w:tc>
          <w:tcPr>
            <w:tcW w:w="445" w:type="pct"/>
            <w:gridSpan w:val="2"/>
            <w:tcBorders>
              <w:top w:val="nil"/>
              <w:left w:val="nil"/>
              <w:bottom w:val="nil"/>
              <w:right w:val="nil"/>
            </w:tcBorders>
            <w:shd w:val="clear" w:color="000000" w:fill="FFFFFF"/>
            <w:noWrap/>
            <w:vAlign w:val="bottom"/>
            <w:hideMark/>
          </w:tcPr>
          <w:p w14:paraId="534F1708" w14:textId="77777777" w:rsidR="00247CBF" w:rsidRPr="00092ED7" w:rsidRDefault="00247CBF" w:rsidP="00247CBF">
            <w:pPr>
              <w:spacing w:after="0"/>
              <w:rPr>
                <w:rFonts w:ascii="Arial" w:eastAsia="Times New Roman" w:hAnsi="Arial" w:cs="Arial"/>
                <w:sz w:val="16"/>
                <w:szCs w:val="20"/>
                <w:lang w:val="sr-Cyrl-CS"/>
              </w:rPr>
            </w:pPr>
            <w:r w:rsidRPr="00092ED7">
              <w:rPr>
                <w:rFonts w:ascii="Arial" w:eastAsia="Times New Roman" w:hAnsi="Arial" w:cs="Arial"/>
                <w:sz w:val="16"/>
                <w:szCs w:val="20"/>
                <w:lang w:val="sr-Cyrl-CS"/>
              </w:rPr>
              <w:t> </w:t>
            </w:r>
          </w:p>
        </w:tc>
        <w:tc>
          <w:tcPr>
            <w:tcW w:w="445" w:type="pct"/>
            <w:tcBorders>
              <w:top w:val="nil"/>
              <w:left w:val="nil"/>
              <w:bottom w:val="nil"/>
              <w:right w:val="nil"/>
            </w:tcBorders>
            <w:shd w:val="clear" w:color="000000" w:fill="FFFFFF"/>
            <w:noWrap/>
            <w:vAlign w:val="bottom"/>
            <w:hideMark/>
          </w:tcPr>
          <w:p w14:paraId="1C3363C7" w14:textId="77777777" w:rsidR="00247CBF" w:rsidRPr="00092ED7" w:rsidRDefault="00247CBF" w:rsidP="00247CBF">
            <w:pPr>
              <w:spacing w:after="0"/>
              <w:rPr>
                <w:rFonts w:ascii="Arial" w:eastAsia="Times New Roman" w:hAnsi="Arial" w:cs="Arial"/>
                <w:sz w:val="16"/>
                <w:szCs w:val="20"/>
                <w:lang w:val="sr-Cyrl-CS"/>
              </w:rPr>
            </w:pPr>
            <w:r w:rsidRPr="00092ED7">
              <w:rPr>
                <w:rFonts w:ascii="Arial" w:eastAsia="Times New Roman" w:hAnsi="Arial" w:cs="Arial"/>
                <w:sz w:val="16"/>
                <w:szCs w:val="20"/>
                <w:lang w:val="sr-Cyrl-CS"/>
              </w:rPr>
              <w:t> </w:t>
            </w:r>
          </w:p>
        </w:tc>
        <w:tc>
          <w:tcPr>
            <w:tcW w:w="447" w:type="pct"/>
            <w:tcBorders>
              <w:top w:val="nil"/>
              <w:left w:val="nil"/>
              <w:bottom w:val="nil"/>
              <w:right w:val="nil"/>
            </w:tcBorders>
            <w:shd w:val="clear" w:color="000000" w:fill="FFFFFF"/>
            <w:noWrap/>
            <w:vAlign w:val="bottom"/>
            <w:hideMark/>
          </w:tcPr>
          <w:p w14:paraId="7A8782E9" w14:textId="77777777" w:rsidR="00247CBF" w:rsidRPr="00092ED7" w:rsidRDefault="00247CBF" w:rsidP="00247CBF">
            <w:pPr>
              <w:spacing w:after="0"/>
              <w:rPr>
                <w:rFonts w:ascii="Arial" w:eastAsia="Times New Roman" w:hAnsi="Arial" w:cs="Arial"/>
                <w:sz w:val="16"/>
                <w:szCs w:val="20"/>
                <w:lang w:val="sr-Cyrl-CS"/>
              </w:rPr>
            </w:pPr>
            <w:r w:rsidRPr="00092ED7">
              <w:rPr>
                <w:rFonts w:ascii="Arial" w:eastAsia="Times New Roman" w:hAnsi="Arial" w:cs="Arial"/>
                <w:sz w:val="16"/>
                <w:szCs w:val="20"/>
                <w:lang w:val="sr-Cyrl-CS"/>
              </w:rPr>
              <w:t> </w:t>
            </w:r>
          </w:p>
        </w:tc>
      </w:tr>
    </w:tbl>
    <w:p w14:paraId="53DBDF95" w14:textId="77777777" w:rsidR="00247CBF" w:rsidRPr="00092ED7" w:rsidRDefault="00247CBF" w:rsidP="00247CBF">
      <w:pPr>
        <w:pStyle w:val="Heading3"/>
        <w:rPr>
          <w:rFonts w:ascii="Times New Roman" w:hAnsi="Times New Roman" w:cs="Times New Roman"/>
          <w:b/>
          <w:color w:val="auto"/>
          <w:sz w:val="20"/>
          <w:szCs w:val="20"/>
          <w:lang w:val="sr-Cyrl-CS"/>
        </w:rPr>
      </w:pPr>
      <w:bookmarkStart w:id="154" w:name="_Toc61953865"/>
      <w:bookmarkStart w:id="155" w:name="_Toc93386002"/>
      <w:bookmarkStart w:id="156" w:name="_Toc124174833"/>
      <w:bookmarkStart w:id="157" w:name="_Toc126218651"/>
      <w:r w:rsidRPr="00092ED7">
        <w:rPr>
          <w:rFonts w:ascii="Times New Roman" w:hAnsi="Times New Roman" w:cs="Times New Roman"/>
          <w:b/>
          <w:color w:val="auto"/>
          <w:sz w:val="20"/>
          <w:szCs w:val="20"/>
          <w:lang w:val="sr-Cyrl-CS"/>
        </w:rPr>
        <w:t>Табела 6: Одступање од претходног Програма</w:t>
      </w:r>
      <w:bookmarkEnd w:id="154"/>
      <w:bookmarkEnd w:id="155"/>
      <w:bookmarkEnd w:id="156"/>
      <w:bookmarkEnd w:id="157"/>
      <w:r w:rsidRPr="00092ED7">
        <w:rPr>
          <w:rFonts w:ascii="Times New Roman" w:hAnsi="Times New Roman" w:cs="Times New Roman"/>
          <w:b/>
          <w:color w:val="auto"/>
          <w:sz w:val="20"/>
          <w:szCs w:val="20"/>
          <w:lang w:val="sr-Cyrl-CS"/>
        </w:rPr>
        <w:t xml:space="preserve"> </w:t>
      </w:r>
    </w:p>
    <w:tbl>
      <w:tblPr>
        <w:tblW w:w="5008" w:type="pct"/>
        <w:tblInd w:w="-23" w:type="dxa"/>
        <w:tblLayout w:type="fixed"/>
        <w:tblLook w:val="04A0" w:firstRow="1" w:lastRow="0" w:firstColumn="1" w:lastColumn="0" w:noHBand="0" w:noVBand="1"/>
      </w:tblPr>
      <w:tblGrid>
        <w:gridCol w:w="6759"/>
        <w:gridCol w:w="1606"/>
        <w:gridCol w:w="994"/>
        <w:gridCol w:w="985"/>
        <w:gridCol w:w="985"/>
        <w:gridCol w:w="985"/>
        <w:gridCol w:w="985"/>
        <w:gridCol w:w="988"/>
        <w:gridCol w:w="283"/>
      </w:tblGrid>
      <w:tr w:rsidR="00247CBF" w:rsidRPr="00092ED7" w14:paraId="444CD9BD" w14:textId="77777777" w:rsidTr="00247CBF">
        <w:trPr>
          <w:trHeight w:val="297"/>
        </w:trPr>
        <w:tc>
          <w:tcPr>
            <w:tcW w:w="2319" w:type="pct"/>
            <w:tcBorders>
              <w:top w:val="double" w:sz="6" w:space="0" w:color="auto"/>
              <w:left w:val="double" w:sz="6" w:space="0" w:color="auto"/>
              <w:bottom w:val="double" w:sz="6" w:space="0" w:color="auto"/>
              <w:right w:val="nil"/>
            </w:tcBorders>
            <w:shd w:val="clear" w:color="auto" w:fill="auto"/>
            <w:noWrap/>
            <w:vAlign w:val="center"/>
            <w:hideMark/>
          </w:tcPr>
          <w:p w14:paraId="351D4413" w14:textId="77777777" w:rsidR="00247CBF" w:rsidRPr="00092ED7" w:rsidRDefault="00247CBF" w:rsidP="00247CBF">
            <w:pPr>
              <w:spacing w:after="0"/>
              <w:rPr>
                <w:rFonts w:eastAsia="Times New Roman" w:cs="Times New Roman"/>
                <w:bCs/>
                <w:sz w:val="20"/>
                <w:szCs w:val="20"/>
                <w:lang w:val="sr-Cyrl-CS"/>
              </w:rPr>
            </w:pPr>
          </w:p>
        </w:tc>
        <w:tc>
          <w:tcPr>
            <w:tcW w:w="551" w:type="pct"/>
            <w:tcBorders>
              <w:top w:val="double" w:sz="6" w:space="0" w:color="auto"/>
              <w:left w:val="single" w:sz="8" w:space="0" w:color="auto"/>
              <w:bottom w:val="double" w:sz="6" w:space="0" w:color="auto"/>
              <w:right w:val="nil"/>
            </w:tcBorders>
            <w:shd w:val="clear" w:color="auto" w:fill="auto"/>
            <w:noWrap/>
            <w:vAlign w:val="center"/>
            <w:hideMark/>
          </w:tcPr>
          <w:p w14:paraId="3EC96ACA" w14:textId="77777777" w:rsidR="00247CBF" w:rsidRPr="00092ED7" w:rsidRDefault="00247CBF" w:rsidP="00247CB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 </w:t>
            </w:r>
          </w:p>
        </w:tc>
        <w:tc>
          <w:tcPr>
            <w:tcW w:w="341" w:type="pct"/>
            <w:tcBorders>
              <w:top w:val="double" w:sz="6" w:space="0" w:color="auto"/>
              <w:left w:val="nil"/>
              <w:bottom w:val="double" w:sz="6" w:space="0" w:color="auto"/>
              <w:right w:val="single" w:sz="8" w:space="0" w:color="auto"/>
            </w:tcBorders>
            <w:shd w:val="clear" w:color="auto" w:fill="auto"/>
            <w:noWrap/>
            <w:vAlign w:val="center"/>
            <w:hideMark/>
          </w:tcPr>
          <w:p w14:paraId="501291B6" w14:textId="77777777" w:rsidR="00247CBF" w:rsidRPr="00092ED7" w:rsidRDefault="00247CBF" w:rsidP="00247CBF">
            <w:pPr>
              <w:spacing w:after="0"/>
              <w:jc w:val="right"/>
              <w:rPr>
                <w:rFonts w:eastAsia="Times New Roman" w:cs="Times New Roman"/>
                <w:bCs/>
                <w:sz w:val="20"/>
                <w:szCs w:val="20"/>
                <w:lang w:val="sr-Cyrl-CS"/>
              </w:rPr>
            </w:pPr>
            <w:r w:rsidRPr="00092ED7">
              <w:rPr>
                <w:rFonts w:eastAsia="Times New Roman" w:cs="Times New Roman"/>
                <w:bCs/>
                <w:sz w:val="20"/>
                <w:szCs w:val="20"/>
                <w:lang w:val="sr-Cyrl-CS"/>
              </w:rPr>
              <w:t> </w:t>
            </w:r>
          </w:p>
        </w:tc>
        <w:tc>
          <w:tcPr>
            <w:tcW w:w="338" w:type="pct"/>
            <w:tcBorders>
              <w:top w:val="double" w:sz="6" w:space="0" w:color="auto"/>
              <w:left w:val="nil"/>
              <w:bottom w:val="double" w:sz="6" w:space="0" w:color="auto"/>
              <w:right w:val="dotted" w:sz="4" w:space="0" w:color="auto"/>
            </w:tcBorders>
            <w:shd w:val="clear" w:color="auto" w:fill="auto"/>
            <w:noWrap/>
            <w:vAlign w:val="center"/>
            <w:hideMark/>
          </w:tcPr>
          <w:p w14:paraId="736CD426" w14:textId="77777777" w:rsidR="00247CBF" w:rsidRPr="00092ED7" w:rsidRDefault="00247CBF" w:rsidP="00247CBF">
            <w:pPr>
              <w:spacing w:after="0"/>
              <w:jc w:val="center"/>
              <w:rPr>
                <w:b/>
                <w:bCs/>
                <w:sz w:val="20"/>
                <w:szCs w:val="20"/>
                <w:lang w:val="sr-Cyrl-CS"/>
              </w:rPr>
            </w:pPr>
            <w:r w:rsidRPr="00092ED7">
              <w:rPr>
                <w:b/>
                <w:bCs/>
                <w:sz w:val="20"/>
                <w:szCs w:val="20"/>
                <w:lang w:val="sr-Cyrl-CS"/>
              </w:rPr>
              <w:t>2021</w:t>
            </w:r>
          </w:p>
        </w:tc>
        <w:tc>
          <w:tcPr>
            <w:tcW w:w="338" w:type="pct"/>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31139843" w14:textId="77777777" w:rsidR="00247CBF" w:rsidRPr="00092ED7" w:rsidRDefault="00247CBF" w:rsidP="00247CBF">
            <w:pPr>
              <w:spacing w:after="0"/>
              <w:jc w:val="center"/>
              <w:rPr>
                <w:b/>
                <w:bCs/>
                <w:sz w:val="20"/>
                <w:szCs w:val="20"/>
                <w:lang w:val="sr-Cyrl-CS"/>
              </w:rPr>
            </w:pPr>
            <w:r w:rsidRPr="00092ED7">
              <w:rPr>
                <w:b/>
                <w:bCs/>
                <w:sz w:val="20"/>
                <w:szCs w:val="20"/>
                <w:lang w:val="sr-Cyrl-CS"/>
              </w:rPr>
              <w:t>2022</w:t>
            </w:r>
          </w:p>
        </w:tc>
        <w:tc>
          <w:tcPr>
            <w:tcW w:w="338" w:type="pct"/>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57C50FE4" w14:textId="77777777" w:rsidR="00247CBF" w:rsidRPr="00092ED7" w:rsidRDefault="00247CBF" w:rsidP="00247CBF">
            <w:pPr>
              <w:spacing w:after="0"/>
              <w:jc w:val="center"/>
              <w:rPr>
                <w:b/>
                <w:bCs/>
                <w:sz w:val="20"/>
                <w:szCs w:val="20"/>
                <w:lang w:val="sr-Cyrl-CS"/>
              </w:rPr>
            </w:pPr>
            <w:r w:rsidRPr="00092ED7">
              <w:rPr>
                <w:b/>
                <w:bCs/>
                <w:sz w:val="20"/>
                <w:szCs w:val="20"/>
                <w:lang w:val="sr-Cyrl-CS"/>
              </w:rPr>
              <w:t>2023</w:t>
            </w:r>
          </w:p>
        </w:tc>
        <w:tc>
          <w:tcPr>
            <w:tcW w:w="338" w:type="pct"/>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3DFF7798" w14:textId="77777777" w:rsidR="00247CBF" w:rsidRPr="00092ED7" w:rsidRDefault="00247CBF" w:rsidP="00247CBF">
            <w:pPr>
              <w:spacing w:after="0"/>
              <w:jc w:val="center"/>
              <w:rPr>
                <w:b/>
                <w:bCs/>
                <w:sz w:val="20"/>
                <w:szCs w:val="20"/>
                <w:lang w:val="sr-Cyrl-CS"/>
              </w:rPr>
            </w:pPr>
            <w:r w:rsidRPr="00092ED7">
              <w:rPr>
                <w:b/>
                <w:bCs/>
                <w:sz w:val="20"/>
                <w:szCs w:val="20"/>
                <w:lang w:val="sr-Cyrl-CS"/>
              </w:rPr>
              <w:t>2024</w:t>
            </w:r>
          </w:p>
        </w:tc>
        <w:tc>
          <w:tcPr>
            <w:tcW w:w="339" w:type="pct"/>
            <w:tcBorders>
              <w:top w:val="double" w:sz="6" w:space="0" w:color="auto"/>
              <w:left w:val="dotted" w:sz="4" w:space="0" w:color="auto"/>
              <w:bottom w:val="double" w:sz="6" w:space="0" w:color="auto"/>
              <w:right w:val="double" w:sz="6" w:space="0" w:color="auto"/>
            </w:tcBorders>
            <w:shd w:val="clear" w:color="auto" w:fill="auto"/>
            <w:noWrap/>
            <w:vAlign w:val="center"/>
            <w:hideMark/>
          </w:tcPr>
          <w:p w14:paraId="0C9BCCED" w14:textId="77777777" w:rsidR="00247CBF" w:rsidRPr="00092ED7" w:rsidRDefault="00247CBF" w:rsidP="00247CBF">
            <w:pPr>
              <w:spacing w:after="0"/>
              <w:jc w:val="center"/>
              <w:rPr>
                <w:b/>
                <w:bCs/>
                <w:sz w:val="20"/>
                <w:szCs w:val="20"/>
                <w:lang w:val="sr-Cyrl-CS"/>
              </w:rPr>
            </w:pPr>
            <w:r w:rsidRPr="00092ED7">
              <w:rPr>
                <w:b/>
                <w:bCs/>
                <w:sz w:val="20"/>
                <w:szCs w:val="20"/>
                <w:lang w:val="sr-Cyrl-CS"/>
              </w:rPr>
              <w:t>2025</w:t>
            </w:r>
          </w:p>
        </w:tc>
        <w:tc>
          <w:tcPr>
            <w:tcW w:w="97" w:type="pct"/>
            <w:tcBorders>
              <w:top w:val="nil"/>
              <w:left w:val="nil"/>
              <w:bottom w:val="nil"/>
              <w:right w:val="nil"/>
            </w:tcBorders>
            <w:shd w:val="clear" w:color="auto" w:fill="auto"/>
            <w:noWrap/>
            <w:vAlign w:val="bottom"/>
            <w:hideMark/>
          </w:tcPr>
          <w:p w14:paraId="5011573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r>
      <w:tr w:rsidR="00247CBF" w:rsidRPr="00092ED7" w14:paraId="5B2F2481" w14:textId="77777777" w:rsidTr="00247CBF">
        <w:trPr>
          <w:trHeight w:val="227"/>
        </w:trPr>
        <w:tc>
          <w:tcPr>
            <w:tcW w:w="2319" w:type="pct"/>
            <w:tcBorders>
              <w:top w:val="nil"/>
              <w:left w:val="double" w:sz="6" w:space="0" w:color="auto"/>
              <w:bottom w:val="dotted" w:sz="4" w:space="0" w:color="auto"/>
              <w:right w:val="nil"/>
            </w:tcBorders>
            <w:shd w:val="clear" w:color="auto" w:fill="auto"/>
            <w:vAlign w:val="center"/>
            <w:hideMark/>
          </w:tcPr>
          <w:p w14:paraId="5349F6EF" w14:textId="77777777" w:rsidR="00247CBF" w:rsidRPr="00092ED7" w:rsidRDefault="00247CBF" w:rsidP="00247CBF">
            <w:pPr>
              <w:spacing w:after="0" w:line="228" w:lineRule="auto"/>
              <w:jc w:val="left"/>
              <w:rPr>
                <w:rFonts w:eastAsia="Times New Roman" w:cs="Times New Roman"/>
                <w:bCs/>
                <w:sz w:val="20"/>
                <w:szCs w:val="20"/>
                <w:lang w:val="sr-Cyrl-CS"/>
              </w:rPr>
            </w:pPr>
            <w:r w:rsidRPr="00092ED7">
              <w:rPr>
                <w:rFonts w:eastAsia="Times New Roman" w:cs="Times New Roman"/>
                <w:sz w:val="20"/>
                <w:szCs w:val="20"/>
                <w:lang w:val="sr-Cyrl-CS"/>
              </w:rPr>
              <w:t>1. Раст БДП</w:t>
            </w:r>
          </w:p>
        </w:tc>
        <w:tc>
          <w:tcPr>
            <w:tcW w:w="892" w:type="pct"/>
            <w:gridSpan w:val="2"/>
            <w:tcBorders>
              <w:top w:val="double" w:sz="6" w:space="0" w:color="auto"/>
              <w:left w:val="single" w:sz="8" w:space="0" w:color="auto"/>
              <w:bottom w:val="dotted" w:sz="4" w:space="0" w:color="auto"/>
              <w:right w:val="single" w:sz="8" w:space="0" w:color="000000"/>
            </w:tcBorders>
            <w:shd w:val="clear" w:color="auto" w:fill="auto"/>
            <w:noWrap/>
            <w:vAlign w:val="center"/>
            <w:hideMark/>
          </w:tcPr>
          <w:p w14:paraId="57930F68" w14:textId="77777777" w:rsidR="00247CBF" w:rsidRPr="00092ED7" w:rsidRDefault="00247CBF" w:rsidP="00247CBF">
            <w:pPr>
              <w:spacing w:after="0" w:line="228" w:lineRule="auto"/>
              <w:jc w:val="center"/>
              <w:rPr>
                <w:rFonts w:eastAsia="Times New Roman" w:cs="Times New Roman"/>
                <w:bCs/>
                <w:sz w:val="20"/>
                <w:szCs w:val="20"/>
                <w:lang w:val="sr-Cyrl-CS"/>
              </w:rPr>
            </w:pPr>
            <w:r w:rsidRPr="00092ED7">
              <w:rPr>
                <w:rFonts w:eastAsia="Times New Roman" w:cs="Times New Roman"/>
                <w:sz w:val="20"/>
                <w:szCs w:val="20"/>
                <w:lang w:val="sr-Cyrl-CS"/>
              </w:rPr>
              <w:t>%, мг, претходни програм</w:t>
            </w:r>
          </w:p>
        </w:tc>
        <w:tc>
          <w:tcPr>
            <w:tcW w:w="338" w:type="pct"/>
            <w:tcBorders>
              <w:top w:val="nil"/>
              <w:left w:val="nil"/>
              <w:bottom w:val="dotted" w:sz="4" w:space="0" w:color="auto"/>
              <w:right w:val="dotted" w:sz="4" w:space="0" w:color="auto"/>
            </w:tcBorders>
            <w:shd w:val="clear" w:color="auto" w:fill="auto"/>
            <w:vAlign w:val="center"/>
          </w:tcPr>
          <w:p w14:paraId="3FC2E7CA"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7,0</w:t>
            </w:r>
          </w:p>
        </w:tc>
        <w:tc>
          <w:tcPr>
            <w:tcW w:w="338" w:type="pct"/>
            <w:tcBorders>
              <w:top w:val="nil"/>
              <w:left w:val="nil"/>
              <w:bottom w:val="dotted" w:sz="4" w:space="0" w:color="auto"/>
              <w:right w:val="dotted" w:sz="4" w:space="0" w:color="auto"/>
            </w:tcBorders>
            <w:shd w:val="clear" w:color="auto" w:fill="auto"/>
            <w:vAlign w:val="center"/>
          </w:tcPr>
          <w:p w14:paraId="33431683"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4,5</w:t>
            </w:r>
          </w:p>
        </w:tc>
        <w:tc>
          <w:tcPr>
            <w:tcW w:w="338" w:type="pct"/>
            <w:tcBorders>
              <w:top w:val="nil"/>
              <w:left w:val="nil"/>
              <w:bottom w:val="dotted" w:sz="4" w:space="0" w:color="auto"/>
              <w:right w:val="dotted" w:sz="4" w:space="0" w:color="auto"/>
            </w:tcBorders>
            <w:shd w:val="clear" w:color="auto" w:fill="auto"/>
            <w:vAlign w:val="center"/>
          </w:tcPr>
          <w:p w14:paraId="2FC3692C"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5,0</w:t>
            </w:r>
          </w:p>
        </w:tc>
        <w:tc>
          <w:tcPr>
            <w:tcW w:w="338" w:type="pct"/>
            <w:tcBorders>
              <w:top w:val="nil"/>
              <w:left w:val="nil"/>
              <w:bottom w:val="dotted" w:sz="4" w:space="0" w:color="auto"/>
              <w:right w:val="dotted" w:sz="4" w:space="0" w:color="auto"/>
            </w:tcBorders>
            <w:shd w:val="clear" w:color="auto" w:fill="auto"/>
            <w:vAlign w:val="center"/>
          </w:tcPr>
          <w:p w14:paraId="76A67EB2"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5,0</w:t>
            </w:r>
          </w:p>
        </w:tc>
        <w:tc>
          <w:tcPr>
            <w:tcW w:w="339" w:type="pct"/>
            <w:tcBorders>
              <w:top w:val="nil"/>
              <w:left w:val="nil"/>
              <w:bottom w:val="dotted" w:sz="4" w:space="0" w:color="auto"/>
              <w:right w:val="double" w:sz="6" w:space="0" w:color="auto"/>
            </w:tcBorders>
            <w:shd w:val="clear" w:color="auto" w:fill="auto"/>
            <w:vAlign w:val="center"/>
          </w:tcPr>
          <w:p w14:paraId="6C5757F7" w14:textId="77777777" w:rsidR="00247CBF" w:rsidRPr="00092ED7" w:rsidRDefault="00247CBF" w:rsidP="00247CBF">
            <w:pPr>
              <w:spacing w:after="0" w:line="228" w:lineRule="auto"/>
              <w:jc w:val="center"/>
              <w:rPr>
                <w:sz w:val="20"/>
                <w:szCs w:val="20"/>
                <w:lang w:val="sr-Cyrl-CS"/>
              </w:rPr>
            </w:pPr>
          </w:p>
        </w:tc>
        <w:tc>
          <w:tcPr>
            <w:tcW w:w="97" w:type="pct"/>
            <w:tcBorders>
              <w:top w:val="nil"/>
              <w:left w:val="nil"/>
              <w:bottom w:val="nil"/>
              <w:right w:val="nil"/>
            </w:tcBorders>
            <w:shd w:val="clear" w:color="auto" w:fill="auto"/>
            <w:noWrap/>
            <w:hideMark/>
          </w:tcPr>
          <w:p w14:paraId="6DD68EBF" w14:textId="77777777" w:rsidR="00247CBF" w:rsidRPr="00092ED7" w:rsidRDefault="00247CBF" w:rsidP="00247CBF">
            <w:pPr>
              <w:jc w:val="center"/>
              <w:rPr>
                <w:sz w:val="20"/>
                <w:szCs w:val="20"/>
                <w:lang w:val="sr-Cyrl-CS"/>
              </w:rPr>
            </w:pPr>
            <w:r w:rsidRPr="00092ED7">
              <w:rPr>
                <w:sz w:val="20"/>
                <w:szCs w:val="20"/>
                <w:lang w:val="sr-Cyrl-CS"/>
              </w:rPr>
              <w:t> </w:t>
            </w:r>
          </w:p>
        </w:tc>
      </w:tr>
      <w:tr w:rsidR="00247CBF" w:rsidRPr="00092ED7" w14:paraId="7875A844" w14:textId="77777777" w:rsidTr="00247CBF">
        <w:trPr>
          <w:trHeight w:val="227"/>
        </w:trPr>
        <w:tc>
          <w:tcPr>
            <w:tcW w:w="2319" w:type="pct"/>
            <w:tcBorders>
              <w:top w:val="dotted" w:sz="4" w:space="0" w:color="auto"/>
              <w:left w:val="double" w:sz="6" w:space="0" w:color="auto"/>
              <w:bottom w:val="dotted" w:sz="4" w:space="0" w:color="auto"/>
              <w:right w:val="nil"/>
            </w:tcBorders>
            <w:shd w:val="clear" w:color="auto" w:fill="auto"/>
            <w:noWrap/>
            <w:vAlign w:val="center"/>
            <w:hideMark/>
          </w:tcPr>
          <w:p w14:paraId="3A985117" w14:textId="77777777" w:rsidR="00247CBF" w:rsidRPr="00092ED7" w:rsidRDefault="00247CBF" w:rsidP="00247CBF">
            <w:pPr>
              <w:spacing w:after="0" w:line="228" w:lineRule="auto"/>
              <w:jc w:val="left"/>
              <w:rPr>
                <w:rFonts w:eastAsia="Times New Roman" w:cs="Times New Roman"/>
                <w:bCs/>
                <w:sz w:val="20"/>
                <w:szCs w:val="20"/>
                <w:lang w:val="sr-Cyrl-CS"/>
              </w:rPr>
            </w:pPr>
            <w:r w:rsidRPr="00092ED7">
              <w:rPr>
                <w:rFonts w:eastAsia="Times New Roman" w:cs="Times New Roman"/>
                <w:sz w:val="20"/>
                <w:szCs w:val="20"/>
                <w:lang w:val="sr-Cyrl-CS"/>
              </w:rPr>
              <w:t xml:space="preserve">2. Нето позајмице општег нивоа државе </w:t>
            </w:r>
          </w:p>
        </w:tc>
        <w:tc>
          <w:tcPr>
            <w:tcW w:w="892" w:type="pct"/>
            <w:gridSpan w:val="2"/>
            <w:tcBorders>
              <w:top w:val="dotted" w:sz="4" w:space="0" w:color="auto"/>
              <w:left w:val="single" w:sz="8" w:space="0" w:color="auto"/>
              <w:bottom w:val="dotted" w:sz="4" w:space="0" w:color="auto"/>
              <w:right w:val="single" w:sz="8" w:space="0" w:color="000000"/>
            </w:tcBorders>
            <w:shd w:val="clear" w:color="auto" w:fill="auto"/>
            <w:noWrap/>
            <w:vAlign w:val="center"/>
            <w:hideMark/>
          </w:tcPr>
          <w:p w14:paraId="006BAC3C" w14:textId="77777777" w:rsidR="00247CBF" w:rsidRPr="00092ED7" w:rsidRDefault="00247CBF" w:rsidP="00247CBF">
            <w:pPr>
              <w:spacing w:after="0" w:line="228" w:lineRule="auto"/>
              <w:jc w:val="center"/>
              <w:rPr>
                <w:rFonts w:eastAsia="Times New Roman" w:cs="Times New Roman"/>
                <w:bCs/>
                <w:sz w:val="20"/>
                <w:szCs w:val="20"/>
                <w:lang w:val="sr-Cyrl-CS"/>
              </w:rPr>
            </w:pPr>
            <w:r w:rsidRPr="00092ED7">
              <w:rPr>
                <w:rFonts w:eastAsia="Times New Roman" w:cs="Times New Roman"/>
                <w:sz w:val="20"/>
                <w:szCs w:val="20"/>
                <w:lang w:val="sr-Cyrl-CS"/>
              </w:rPr>
              <w:t>% БДП, претходни програм</w:t>
            </w:r>
          </w:p>
        </w:tc>
        <w:tc>
          <w:tcPr>
            <w:tcW w:w="338" w:type="pct"/>
            <w:tcBorders>
              <w:top w:val="dotted" w:sz="4" w:space="0" w:color="auto"/>
              <w:left w:val="nil"/>
              <w:bottom w:val="dotted" w:sz="4" w:space="0" w:color="auto"/>
              <w:right w:val="dotted" w:sz="4" w:space="0" w:color="auto"/>
            </w:tcBorders>
            <w:shd w:val="clear" w:color="auto" w:fill="auto"/>
            <w:vAlign w:val="center"/>
          </w:tcPr>
          <w:p w14:paraId="3DBB3B36"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-4,9</w:t>
            </w:r>
          </w:p>
        </w:tc>
        <w:tc>
          <w:tcPr>
            <w:tcW w:w="338" w:type="pct"/>
            <w:tcBorders>
              <w:top w:val="dotted" w:sz="4" w:space="0" w:color="auto"/>
              <w:left w:val="nil"/>
              <w:bottom w:val="dotted" w:sz="4" w:space="0" w:color="auto"/>
              <w:right w:val="dotted" w:sz="4" w:space="0" w:color="auto"/>
            </w:tcBorders>
            <w:shd w:val="clear" w:color="auto" w:fill="auto"/>
            <w:vAlign w:val="center"/>
          </w:tcPr>
          <w:p w14:paraId="52DB500C"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-3,0</w:t>
            </w:r>
          </w:p>
        </w:tc>
        <w:tc>
          <w:tcPr>
            <w:tcW w:w="338" w:type="pct"/>
            <w:tcBorders>
              <w:top w:val="dotted" w:sz="4" w:space="0" w:color="auto"/>
              <w:left w:val="nil"/>
              <w:bottom w:val="dotted" w:sz="4" w:space="0" w:color="auto"/>
              <w:right w:val="dotted" w:sz="4" w:space="0" w:color="auto"/>
            </w:tcBorders>
            <w:shd w:val="clear" w:color="auto" w:fill="auto"/>
            <w:vAlign w:val="center"/>
          </w:tcPr>
          <w:p w14:paraId="429AC1F6"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-1,5</w:t>
            </w:r>
          </w:p>
        </w:tc>
        <w:tc>
          <w:tcPr>
            <w:tcW w:w="338" w:type="pct"/>
            <w:tcBorders>
              <w:top w:val="dotted" w:sz="4" w:space="0" w:color="auto"/>
              <w:left w:val="nil"/>
              <w:bottom w:val="dotted" w:sz="4" w:space="0" w:color="auto"/>
              <w:right w:val="dotted" w:sz="4" w:space="0" w:color="auto"/>
            </w:tcBorders>
            <w:shd w:val="clear" w:color="auto" w:fill="auto"/>
            <w:vAlign w:val="center"/>
          </w:tcPr>
          <w:p w14:paraId="460FDFE5"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-1,0</w:t>
            </w:r>
          </w:p>
        </w:tc>
        <w:tc>
          <w:tcPr>
            <w:tcW w:w="339" w:type="pct"/>
            <w:tcBorders>
              <w:top w:val="dotted" w:sz="4" w:space="0" w:color="auto"/>
              <w:left w:val="nil"/>
              <w:bottom w:val="dotted" w:sz="4" w:space="0" w:color="auto"/>
              <w:right w:val="double" w:sz="6" w:space="0" w:color="auto"/>
            </w:tcBorders>
            <w:shd w:val="clear" w:color="auto" w:fill="auto"/>
            <w:vAlign w:val="center"/>
          </w:tcPr>
          <w:p w14:paraId="6A0D32C0" w14:textId="77777777" w:rsidR="00247CBF" w:rsidRPr="00092ED7" w:rsidRDefault="00247CBF" w:rsidP="00247CBF">
            <w:pPr>
              <w:spacing w:after="0" w:line="228" w:lineRule="auto"/>
              <w:jc w:val="center"/>
              <w:rPr>
                <w:sz w:val="20"/>
                <w:szCs w:val="20"/>
                <w:lang w:val="sr-Cyrl-CS"/>
              </w:rPr>
            </w:pPr>
          </w:p>
        </w:tc>
        <w:tc>
          <w:tcPr>
            <w:tcW w:w="97" w:type="pct"/>
            <w:tcBorders>
              <w:top w:val="nil"/>
              <w:left w:val="nil"/>
              <w:bottom w:val="nil"/>
              <w:right w:val="nil"/>
            </w:tcBorders>
            <w:shd w:val="clear" w:color="auto" w:fill="auto"/>
            <w:noWrap/>
            <w:hideMark/>
          </w:tcPr>
          <w:p w14:paraId="1760D26F" w14:textId="77777777" w:rsidR="00247CBF" w:rsidRPr="00092ED7" w:rsidRDefault="00247CBF" w:rsidP="00247CBF">
            <w:pPr>
              <w:jc w:val="center"/>
              <w:rPr>
                <w:sz w:val="20"/>
                <w:szCs w:val="20"/>
                <w:lang w:val="sr-Cyrl-CS"/>
              </w:rPr>
            </w:pPr>
            <w:r w:rsidRPr="00092ED7">
              <w:rPr>
                <w:sz w:val="20"/>
                <w:szCs w:val="20"/>
                <w:lang w:val="sr-Cyrl-CS"/>
              </w:rPr>
              <w:t> </w:t>
            </w:r>
          </w:p>
        </w:tc>
      </w:tr>
      <w:tr w:rsidR="00247CBF" w:rsidRPr="00092ED7" w14:paraId="5213026B" w14:textId="77777777" w:rsidTr="00247CBF">
        <w:trPr>
          <w:trHeight w:val="227"/>
        </w:trPr>
        <w:tc>
          <w:tcPr>
            <w:tcW w:w="2319" w:type="pct"/>
            <w:tcBorders>
              <w:top w:val="dotted" w:sz="4" w:space="0" w:color="auto"/>
              <w:left w:val="double" w:sz="6" w:space="0" w:color="auto"/>
              <w:bottom w:val="double" w:sz="6" w:space="0" w:color="auto"/>
              <w:right w:val="nil"/>
            </w:tcBorders>
            <w:shd w:val="clear" w:color="auto" w:fill="auto"/>
            <w:noWrap/>
            <w:vAlign w:val="center"/>
            <w:hideMark/>
          </w:tcPr>
          <w:p w14:paraId="54C51E88" w14:textId="77777777" w:rsidR="00247CBF" w:rsidRPr="00092ED7" w:rsidRDefault="00247CBF" w:rsidP="00247CBF">
            <w:pPr>
              <w:spacing w:after="0" w:line="228" w:lineRule="auto"/>
              <w:jc w:val="left"/>
              <w:rPr>
                <w:rFonts w:eastAsia="Times New Roman" w:cs="Times New Roman"/>
                <w:bCs/>
                <w:sz w:val="20"/>
                <w:szCs w:val="20"/>
                <w:lang w:val="sr-Cyrl-CS"/>
              </w:rPr>
            </w:pPr>
            <w:r w:rsidRPr="00092ED7">
              <w:rPr>
                <w:rFonts w:eastAsia="Times New Roman" w:cs="Times New Roman"/>
                <w:sz w:val="20"/>
                <w:szCs w:val="20"/>
                <w:lang w:val="sr-Cyrl-CS"/>
              </w:rPr>
              <w:t xml:space="preserve">3. Бруто дуг општег нивоа државе </w:t>
            </w:r>
          </w:p>
        </w:tc>
        <w:tc>
          <w:tcPr>
            <w:tcW w:w="892" w:type="pct"/>
            <w:gridSpan w:val="2"/>
            <w:tcBorders>
              <w:top w:val="dotted" w:sz="4" w:space="0" w:color="auto"/>
              <w:left w:val="single" w:sz="8" w:space="0" w:color="auto"/>
              <w:bottom w:val="double" w:sz="6" w:space="0" w:color="auto"/>
              <w:right w:val="single" w:sz="8" w:space="0" w:color="000000"/>
            </w:tcBorders>
            <w:shd w:val="clear" w:color="auto" w:fill="auto"/>
            <w:noWrap/>
            <w:vAlign w:val="center"/>
            <w:hideMark/>
          </w:tcPr>
          <w:p w14:paraId="29311B8D" w14:textId="77777777" w:rsidR="00247CBF" w:rsidRPr="00092ED7" w:rsidRDefault="00247CBF" w:rsidP="00247CBF">
            <w:pPr>
              <w:spacing w:after="0" w:line="228" w:lineRule="auto"/>
              <w:jc w:val="center"/>
              <w:rPr>
                <w:rFonts w:eastAsia="Times New Roman" w:cs="Times New Roman"/>
                <w:bCs/>
                <w:sz w:val="20"/>
                <w:szCs w:val="20"/>
                <w:lang w:val="sr-Cyrl-CS"/>
              </w:rPr>
            </w:pPr>
            <w:r w:rsidRPr="00092ED7">
              <w:rPr>
                <w:rFonts w:eastAsia="Times New Roman" w:cs="Times New Roman"/>
                <w:sz w:val="20"/>
                <w:szCs w:val="20"/>
                <w:lang w:val="sr-Cyrl-CS"/>
              </w:rPr>
              <w:t>% БДП, претходни програм</w:t>
            </w:r>
          </w:p>
        </w:tc>
        <w:tc>
          <w:tcPr>
            <w:tcW w:w="338" w:type="pct"/>
            <w:tcBorders>
              <w:top w:val="dotted" w:sz="4" w:space="0" w:color="auto"/>
              <w:left w:val="nil"/>
              <w:bottom w:val="double" w:sz="6" w:space="0" w:color="auto"/>
              <w:right w:val="dotted" w:sz="4" w:space="0" w:color="auto"/>
            </w:tcBorders>
            <w:shd w:val="clear" w:color="auto" w:fill="auto"/>
            <w:vAlign w:val="center"/>
          </w:tcPr>
          <w:p w14:paraId="5BFAC963"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58,2</w:t>
            </w:r>
          </w:p>
        </w:tc>
        <w:tc>
          <w:tcPr>
            <w:tcW w:w="338" w:type="pct"/>
            <w:tcBorders>
              <w:top w:val="dotted" w:sz="4" w:space="0" w:color="auto"/>
              <w:left w:val="nil"/>
              <w:bottom w:val="double" w:sz="6" w:space="0" w:color="auto"/>
              <w:right w:val="dotted" w:sz="4" w:space="0" w:color="auto"/>
            </w:tcBorders>
            <w:shd w:val="clear" w:color="auto" w:fill="auto"/>
            <w:vAlign w:val="center"/>
          </w:tcPr>
          <w:p w14:paraId="3F0CBAA6"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56,5</w:t>
            </w:r>
          </w:p>
        </w:tc>
        <w:tc>
          <w:tcPr>
            <w:tcW w:w="338" w:type="pct"/>
            <w:tcBorders>
              <w:top w:val="dotted" w:sz="4" w:space="0" w:color="auto"/>
              <w:left w:val="nil"/>
              <w:bottom w:val="double" w:sz="6" w:space="0" w:color="auto"/>
              <w:right w:val="dotted" w:sz="4" w:space="0" w:color="auto"/>
            </w:tcBorders>
            <w:shd w:val="clear" w:color="auto" w:fill="auto"/>
            <w:vAlign w:val="center"/>
          </w:tcPr>
          <w:p w14:paraId="66614A6B"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55,3</w:t>
            </w:r>
          </w:p>
        </w:tc>
        <w:tc>
          <w:tcPr>
            <w:tcW w:w="338" w:type="pct"/>
            <w:tcBorders>
              <w:top w:val="dotted" w:sz="4" w:space="0" w:color="auto"/>
              <w:left w:val="nil"/>
              <w:bottom w:val="double" w:sz="6" w:space="0" w:color="auto"/>
              <w:right w:val="dotted" w:sz="4" w:space="0" w:color="auto"/>
            </w:tcBorders>
            <w:shd w:val="clear" w:color="auto" w:fill="auto"/>
            <w:vAlign w:val="center"/>
          </w:tcPr>
          <w:p w14:paraId="3D70DC17"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53,8</w:t>
            </w:r>
          </w:p>
        </w:tc>
        <w:tc>
          <w:tcPr>
            <w:tcW w:w="339" w:type="pct"/>
            <w:tcBorders>
              <w:top w:val="dotted" w:sz="4" w:space="0" w:color="auto"/>
              <w:left w:val="nil"/>
              <w:bottom w:val="double" w:sz="6" w:space="0" w:color="auto"/>
              <w:right w:val="double" w:sz="6" w:space="0" w:color="auto"/>
            </w:tcBorders>
            <w:shd w:val="clear" w:color="auto" w:fill="auto"/>
            <w:vAlign w:val="center"/>
          </w:tcPr>
          <w:p w14:paraId="2DB82371" w14:textId="77777777" w:rsidR="00247CBF" w:rsidRPr="00092ED7" w:rsidRDefault="00247CBF" w:rsidP="00247CBF">
            <w:pPr>
              <w:spacing w:after="0" w:line="228" w:lineRule="auto"/>
              <w:jc w:val="center"/>
              <w:rPr>
                <w:sz w:val="20"/>
                <w:szCs w:val="20"/>
                <w:lang w:val="sr-Cyrl-CS"/>
              </w:rPr>
            </w:pPr>
          </w:p>
        </w:tc>
        <w:tc>
          <w:tcPr>
            <w:tcW w:w="97" w:type="pct"/>
            <w:tcBorders>
              <w:top w:val="nil"/>
              <w:left w:val="nil"/>
              <w:bottom w:val="nil"/>
              <w:right w:val="nil"/>
            </w:tcBorders>
            <w:shd w:val="clear" w:color="auto" w:fill="auto"/>
            <w:noWrap/>
            <w:hideMark/>
          </w:tcPr>
          <w:p w14:paraId="0C346BAA" w14:textId="77777777" w:rsidR="00247CBF" w:rsidRPr="00092ED7" w:rsidRDefault="00247CBF" w:rsidP="00247CBF">
            <w:pPr>
              <w:jc w:val="center"/>
              <w:rPr>
                <w:sz w:val="20"/>
                <w:szCs w:val="20"/>
                <w:lang w:val="sr-Cyrl-CS"/>
              </w:rPr>
            </w:pPr>
            <w:r w:rsidRPr="00092ED7">
              <w:rPr>
                <w:sz w:val="20"/>
                <w:szCs w:val="20"/>
                <w:lang w:val="sr-Cyrl-CS"/>
              </w:rPr>
              <w:t> </w:t>
            </w:r>
          </w:p>
        </w:tc>
      </w:tr>
    </w:tbl>
    <w:p w14:paraId="3E509C69" w14:textId="77777777" w:rsidR="00247CBF" w:rsidRPr="00092ED7" w:rsidRDefault="00247CBF" w:rsidP="00247CBF">
      <w:pPr>
        <w:rPr>
          <w:rFonts w:cs="Times New Roman"/>
          <w:lang w:val="sr-Cyrl-CS"/>
        </w:rPr>
      </w:pPr>
    </w:p>
    <w:tbl>
      <w:tblPr>
        <w:tblW w:w="5000" w:type="pct"/>
        <w:tblLook w:val="04A0" w:firstRow="1" w:lastRow="0" w:firstColumn="1" w:lastColumn="0" w:noHBand="0" w:noVBand="1"/>
      </w:tblPr>
      <w:tblGrid>
        <w:gridCol w:w="5660"/>
        <w:gridCol w:w="1783"/>
        <w:gridCol w:w="1460"/>
        <w:gridCol w:w="323"/>
        <w:gridCol w:w="1206"/>
        <w:gridCol w:w="577"/>
        <w:gridCol w:w="953"/>
        <w:gridCol w:w="830"/>
        <w:gridCol w:w="1778"/>
      </w:tblGrid>
      <w:tr w:rsidR="00247CBF" w:rsidRPr="00092ED7" w14:paraId="592DA5DF" w14:textId="77777777" w:rsidTr="00247CBF">
        <w:trPr>
          <w:trHeight w:val="227"/>
        </w:trPr>
        <w:tc>
          <w:tcPr>
            <w:tcW w:w="3055" w:type="pct"/>
            <w:gridSpan w:val="3"/>
            <w:tcBorders>
              <w:top w:val="nil"/>
              <w:left w:val="nil"/>
              <w:bottom w:val="nil"/>
              <w:right w:val="nil"/>
            </w:tcBorders>
            <w:shd w:val="clear" w:color="000000" w:fill="FFFFFF"/>
            <w:noWrap/>
            <w:vAlign w:val="center"/>
            <w:hideMark/>
          </w:tcPr>
          <w:p w14:paraId="358D444F"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Табела 6: Одступање од претходног Програма</w:t>
            </w:r>
          </w:p>
        </w:tc>
        <w:tc>
          <w:tcPr>
            <w:tcW w:w="525" w:type="pct"/>
            <w:gridSpan w:val="2"/>
            <w:tcBorders>
              <w:top w:val="nil"/>
              <w:left w:val="nil"/>
              <w:bottom w:val="nil"/>
              <w:right w:val="nil"/>
            </w:tcBorders>
            <w:shd w:val="clear" w:color="000000" w:fill="FFFFFF"/>
            <w:noWrap/>
            <w:vAlign w:val="center"/>
            <w:hideMark/>
          </w:tcPr>
          <w:p w14:paraId="07824E37" w14:textId="77777777" w:rsidR="00247CBF" w:rsidRPr="00092ED7" w:rsidRDefault="00247CBF" w:rsidP="00247CBF">
            <w:pPr>
              <w:spacing w:after="0"/>
              <w:jc w:val="center"/>
              <w:rPr>
                <w:rFonts w:eastAsia="Times New Roman" w:cs="Times New Roman"/>
                <w:sz w:val="20"/>
                <w:szCs w:val="20"/>
                <w:lang w:val="sr-Cyrl-CS"/>
              </w:rPr>
            </w:pPr>
          </w:p>
        </w:tc>
        <w:tc>
          <w:tcPr>
            <w:tcW w:w="525" w:type="pct"/>
            <w:gridSpan w:val="2"/>
            <w:tcBorders>
              <w:top w:val="nil"/>
              <w:left w:val="nil"/>
              <w:bottom w:val="nil"/>
              <w:right w:val="nil"/>
            </w:tcBorders>
            <w:shd w:val="clear" w:color="000000" w:fill="FFFFFF"/>
            <w:noWrap/>
            <w:vAlign w:val="center"/>
            <w:hideMark/>
          </w:tcPr>
          <w:p w14:paraId="2CFF3A58" w14:textId="77777777" w:rsidR="00247CBF" w:rsidRPr="00092ED7" w:rsidRDefault="00247CBF" w:rsidP="00247CBF">
            <w:pPr>
              <w:spacing w:after="0"/>
              <w:jc w:val="center"/>
              <w:rPr>
                <w:rFonts w:eastAsia="Times New Roman" w:cs="Times New Roman"/>
                <w:sz w:val="20"/>
                <w:szCs w:val="20"/>
                <w:lang w:val="sr-Cyrl-CS"/>
              </w:rPr>
            </w:pPr>
          </w:p>
        </w:tc>
        <w:tc>
          <w:tcPr>
            <w:tcW w:w="895" w:type="pct"/>
            <w:gridSpan w:val="2"/>
            <w:tcBorders>
              <w:top w:val="nil"/>
              <w:left w:val="nil"/>
              <w:bottom w:val="nil"/>
              <w:right w:val="nil"/>
            </w:tcBorders>
            <w:shd w:val="clear" w:color="000000" w:fill="FFFFFF"/>
            <w:noWrap/>
            <w:vAlign w:val="center"/>
            <w:hideMark/>
          </w:tcPr>
          <w:p w14:paraId="566E1BC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6CB7E99B" w14:textId="77777777" w:rsidTr="00247CBF">
        <w:trPr>
          <w:trHeight w:val="227"/>
        </w:trPr>
        <w:tc>
          <w:tcPr>
            <w:tcW w:w="1942" w:type="pct"/>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14:paraId="47413567" w14:textId="77777777" w:rsidR="00247CBF" w:rsidRPr="00092ED7" w:rsidRDefault="00247CBF" w:rsidP="00247CBF">
            <w:pPr>
              <w:spacing w:after="0"/>
              <w:jc w:val="center"/>
              <w:rPr>
                <w:rFonts w:eastAsia="Times New Roman" w:cs="Times New Roman"/>
                <w:sz w:val="20"/>
                <w:szCs w:val="20"/>
                <w:lang w:val="sr-Cyrl-CS"/>
              </w:rPr>
            </w:pPr>
          </w:p>
        </w:tc>
        <w:tc>
          <w:tcPr>
            <w:tcW w:w="612" w:type="pct"/>
            <w:tcBorders>
              <w:top w:val="double" w:sz="6" w:space="0" w:color="auto"/>
              <w:left w:val="nil"/>
              <w:bottom w:val="nil"/>
              <w:right w:val="dotted" w:sz="4" w:space="0" w:color="auto"/>
            </w:tcBorders>
            <w:shd w:val="clear" w:color="auto" w:fill="auto"/>
            <w:vAlign w:val="center"/>
            <w:hideMark/>
          </w:tcPr>
          <w:p w14:paraId="2BAA7EA5"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612" w:type="pct"/>
            <w:gridSpan w:val="2"/>
            <w:tcBorders>
              <w:top w:val="double" w:sz="6" w:space="0" w:color="auto"/>
              <w:left w:val="nil"/>
              <w:bottom w:val="nil"/>
              <w:right w:val="dotted" w:sz="4" w:space="0" w:color="auto"/>
            </w:tcBorders>
            <w:shd w:val="clear" w:color="auto" w:fill="auto"/>
            <w:vAlign w:val="center"/>
            <w:hideMark/>
          </w:tcPr>
          <w:p w14:paraId="46C94BB2"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612" w:type="pct"/>
            <w:gridSpan w:val="2"/>
            <w:tcBorders>
              <w:top w:val="double" w:sz="6" w:space="0" w:color="auto"/>
              <w:left w:val="nil"/>
              <w:bottom w:val="nil"/>
              <w:right w:val="dotted" w:sz="4" w:space="0" w:color="auto"/>
            </w:tcBorders>
            <w:shd w:val="clear" w:color="auto" w:fill="auto"/>
            <w:vAlign w:val="center"/>
            <w:hideMark/>
          </w:tcPr>
          <w:p w14:paraId="3369B7A4"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612" w:type="pct"/>
            <w:gridSpan w:val="2"/>
            <w:tcBorders>
              <w:top w:val="double" w:sz="6" w:space="0" w:color="auto"/>
              <w:left w:val="nil"/>
              <w:bottom w:val="nil"/>
              <w:right w:val="dotted" w:sz="4" w:space="0" w:color="auto"/>
            </w:tcBorders>
            <w:shd w:val="clear" w:color="auto" w:fill="auto"/>
            <w:vAlign w:val="center"/>
            <w:hideMark/>
          </w:tcPr>
          <w:p w14:paraId="79B6EF75"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610" w:type="pct"/>
            <w:tcBorders>
              <w:top w:val="double" w:sz="6" w:space="0" w:color="auto"/>
              <w:left w:val="nil"/>
              <w:bottom w:val="nil"/>
              <w:right w:val="double" w:sz="6" w:space="0" w:color="auto"/>
            </w:tcBorders>
            <w:shd w:val="clear" w:color="auto" w:fill="auto"/>
            <w:vAlign w:val="center"/>
            <w:hideMark/>
          </w:tcPr>
          <w:p w14:paraId="7A0D5662"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r>
      <w:tr w:rsidR="00247CBF" w:rsidRPr="00092ED7" w14:paraId="447670AC" w14:textId="77777777" w:rsidTr="00247CBF">
        <w:trPr>
          <w:trHeight w:val="227"/>
        </w:trPr>
        <w:tc>
          <w:tcPr>
            <w:tcW w:w="1942" w:type="pct"/>
            <w:vMerge/>
            <w:tcBorders>
              <w:top w:val="double" w:sz="6" w:space="0" w:color="auto"/>
              <w:left w:val="double" w:sz="6" w:space="0" w:color="auto"/>
              <w:bottom w:val="single" w:sz="8" w:space="0" w:color="000000"/>
              <w:right w:val="single" w:sz="8" w:space="0" w:color="auto"/>
            </w:tcBorders>
            <w:shd w:val="clear" w:color="auto" w:fill="auto"/>
            <w:vAlign w:val="center"/>
            <w:hideMark/>
          </w:tcPr>
          <w:p w14:paraId="6689D0D3" w14:textId="77777777" w:rsidR="00247CBF" w:rsidRPr="00092ED7" w:rsidRDefault="00247CBF" w:rsidP="00247CBF">
            <w:pPr>
              <w:spacing w:after="0"/>
              <w:jc w:val="center"/>
              <w:rPr>
                <w:rFonts w:eastAsia="Times New Roman" w:cs="Times New Roman"/>
                <w:sz w:val="20"/>
                <w:szCs w:val="20"/>
                <w:lang w:val="sr-Cyrl-CS"/>
              </w:rPr>
            </w:pPr>
          </w:p>
        </w:tc>
        <w:tc>
          <w:tcPr>
            <w:tcW w:w="612" w:type="pct"/>
            <w:tcBorders>
              <w:top w:val="nil"/>
              <w:left w:val="nil"/>
              <w:bottom w:val="single" w:sz="8" w:space="0" w:color="auto"/>
              <w:right w:val="dotted" w:sz="4" w:space="0" w:color="auto"/>
            </w:tcBorders>
            <w:shd w:val="clear" w:color="auto" w:fill="auto"/>
            <w:vAlign w:val="center"/>
            <w:hideMark/>
          </w:tcPr>
          <w:p w14:paraId="501D0FAF" w14:textId="77777777" w:rsidR="00247CBF" w:rsidRPr="00092ED7" w:rsidRDefault="00247CBF" w:rsidP="00247CBF">
            <w:pPr>
              <w:spacing w:after="0"/>
              <w:jc w:val="center"/>
              <w:rPr>
                <w:sz w:val="20"/>
                <w:szCs w:val="20"/>
                <w:lang w:val="sr-Cyrl-CS"/>
              </w:rPr>
            </w:pPr>
            <w:r w:rsidRPr="00092ED7">
              <w:rPr>
                <w:sz w:val="20"/>
                <w:szCs w:val="20"/>
                <w:lang w:val="sr-Cyrl-CS"/>
              </w:rPr>
              <w:t>2021</w:t>
            </w:r>
          </w:p>
        </w:tc>
        <w:tc>
          <w:tcPr>
            <w:tcW w:w="612" w:type="pct"/>
            <w:gridSpan w:val="2"/>
            <w:tcBorders>
              <w:top w:val="nil"/>
              <w:left w:val="nil"/>
              <w:bottom w:val="single" w:sz="8" w:space="0" w:color="auto"/>
              <w:right w:val="dotted" w:sz="4" w:space="0" w:color="auto"/>
            </w:tcBorders>
            <w:shd w:val="clear" w:color="auto" w:fill="auto"/>
            <w:vAlign w:val="center"/>
            <w:hideMark/>
          </w:tcPr>
          <w:p w14:paraId="05EF8F09" w14:textId="77777777" w:rsidR="00247CBF" w:rsidRPr="00092ED7" w:rsidRDefault="00247CBF" w:rsidP="00247CBF">
            <w:pPr>
              <w:spacing w:after="0"/>
              <w:jc w:val="center"/>
              <w:rPr>
                <w:sz w:val="20"/>
                <w:szCs w:val="20"/>
                <w:lang w:val="sr-Cyrl-CS"/>
              </w:rPr>
            </w:pPr>
            <w:r w:rsidRPr="00092ED7">
              <w:rPr>
                <w:sz w:val="20"/>
                <w:szCs w:val="20"/>
                <w:lang w:val="sr-Cyrl-CS"/>
              </w:rPr>
              <w:t>2022</w:t>
            </w:r>
          </w:p>
        </w:tc>
        <w:tc>
          <w:tcPr>
            <w:tcW w:w="612" w:type="pct"/>
            <w:gridSpan w:val="2"/>
            <w:tcBorders>
              <w:top w:val="nil"/>
              <w:left w:val="nil"/>
              <w:bottom w:val="single" w:sz="8" w:space="0" w:color="auto"/>
              <w:right w:val="dotted" w:sz="4" w:space="0" w:color="auto"/>
            </w:tcBorders>
            <w:shd w:val="clear" w:color="auto" w:fill="auto"/>
            <w:vAlign w:val="center"/>
            <w:hideMark/>
          </w:tcPr>
          <w:p w14:paraId="524EF34E" w14:textId="77777777" w:rsidR="00247CBF" w:rsidRPr="00092ED7" w:rsidRDefault="00247CBF" w:rsidP="00247CBF">
            <w:pPr>
              <w:spacing w:after="0"/>
              <w:jc w:val="center"/>
              <w:rPr>
                <w:sz w:val="20"/>
                <w:szCs w:val="20"/>
                <w:lang w:val="sr-Cyrl-CS"/>
              </w:rPr>
            </w:pPr>
            <w:r w:rsidRPr="00092ED7">
              <w:rPr>
                <w:sz w:val="20"/>
                <w:szCs w:val="20"/>
                <w:lang w:val="sr-Cyrl-CS"/>
              </w:rPr>
              <w:t>2023</w:t>
            </w:r>
          </w:p>
        </w:tc>
        <w:tc>
          <w:tcPr>
            <w:tcW w:w="612" w:type="pct"/>
            <w:gridSpan w:val="2"/>
            <w:tcBorders>
              <w:top w:val="nil"/>
              <w:left w:val="nil"/>
              <w:bottom w:val="single" w:sz="8" w:space="0" w:color="auto"/>
              <w:right w:val="dotted" w:sz="4" w:space="0" w:color="auto"/>
            </w:tcBorders>
            <w:shd w:val="clear" w:color="auto" w:fill="auto"/>
            <w:vAlign w:val="center"/>
            <w:hideMark/>
          </w:tcPr>
          <w:p w14:paraId="39D8E987" w14:textId="77777777" w:rsidR="00247CBF" w:rsidRPr="00092ED7" w:rsidRDefault="00247CBF" w:rsidP="00247CBF">
            <w:pPr>
              <w:spacing w:after="0"/>
              <w:jc w:val="center"/>
              <w:rPr>
                <w:sz w:val="20"/>
                <w:szCs w:val="20"/>
                <w:lang w:val="sr-Cyrl-CS"/>
              </w:rPr>
            </w:pPr>
            <w:r w:rsidRPr="00092ED7">
              <w:rPr>
                <w:sz w:val="20"/>
                <w:szCs w:val="20"/>
                <w:lang w:val="sr-Cyrl-CS"/>
              </w:rPr>
              <w:t>2024</w:t>
            </w:r>
          </w:p>
        </w:tc>
        <w:tc>
          <w:tcPr>
            <w:tcW w:w="610" w:type="pct"/>
            <w:tcBorders>
              <w:top w:val="nil"/>
              <w:left w:val="nil"/>
              <w:bottom w:val="single" w:sz="8" w:space="0" w:color="auto"/>
              <w:right w:val="double" w:sz="6" w:space="0" w:color="auto"/>
            </w:tcBorders>
            <w:shd w:val="clear" w:color="auto" w:fill="auto"/>
            <w:vAlign w:val="center"/>
            <w:hideMark/>
          </w:tcPr>
          <w:p w14:paraId="5183B2FD" w14:textId="77777777" w:rsidR="00247CBF" w:rsidRPr="00092ED7" w:rsidRDefault="00247CBF" w:rsidP="00247CBF">
            <w:pPr>
              <w:spacing w:after="0"/>
              <w:jc w:val="center"/>
              <w:rPr>
                <w:sz w:val="20"/>
                <w:szCs w:val="20"/>
                <w:lang w:val="sr-Cyrl-CS"/>
              </w:rPr>
            </w:pPr>
            <w:r w:rsidRPr="00092ED7">
              <w:rPr>
                <w:sz w:val="20"/>
                <w:szCs w:val="20"/>
                <w:lang w:val="sr-Cyrl-CS"/>
              </w:rPr>
              <w:t>2025</w:t>
            </w:r>
          </w:p>
        </w:tc>
      </w:tr>
      <w:tr w:rsidR="00247CBF" w:rsidRPr="00092ED7" w14:paraId="74D19A5B" w14:textId="77777777" w:rsidTr="00247CBF">
        <w:trPr>
          <w:trHeight w:val="227"/>
        </w:trPr>
        <w:tc>
          <w:tcPr>
            <w:tcW w:w="5000" w:type="pct"/>
            <w:gridSpan w:val="9"/>
            <w:tcBorders>
              <w:top w:val="single" w:sz="8" w:space="0" w:color="auto"/>
              <w:left w:val="double" w:sz="6" w:space="0" w:color="auto"/>
              <w:bottom w:val="single" w:sz="4" w:space="0" w:color="auto"/>
              <w:right w:val="double" w:sz="6" w:space="0" w:color="000000"/>
            </w:tcBorders>
            <w:shd w:val="clear" w:color="auto" w:fill="auto"/>
            <w:vAlign w:val="center"/>
            <w:hideMark/>
          </w:tcPr>
          <w:p w14:paraId="0ECD4B62"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1. Раст БДП-а (%. мг)</w:t>
            </w:r>
          </w:p>
        </w:tc>
      </w:tr>
      <w:tr w:rsidR="00247CBF" w:rsidRPr="00092ED7" w14:paraId="733E54DF" w14:textId="77777777" w:rsidTr="00247CBF">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281B9843"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Претходни</w:t>
            </w:r>
          </w:p>
        </w:tc>
        <w:tc>
          <w:tcPr>
            <w:tcW w:w="612" w:type="pct"/>
            <w:tcBorders>
              <w:top w:val="nil"/>
              <w:left w:val="nil"/>
              <w:bottom w:val="dotted" w:sz="4" w:space="0" w:color="auto"/>
              <w:right w:val="dotted" w:sz="4" w:space="0" w:color="auto"/>
            </w:tcBorders>
            <w:shd w:val="clear" w:color="auto" w:fill="auto"/>
            <w:vAlign w:val="center"/>
          </w:tcPr>
          <w:p w14:paraId="45ACF7EA" w14:textId="77777777" w:rsidR="00247CBF" w:rsidRPr="00092ED7" w:rsidRDefault="00247CBF" w:rsidP="00247CBF">
            <w:pPr>
              <w:spacing w:after="0"/>
              <w:jc w:val="center"/>
              <w:rPr>
                <w:sz w:val="20"/>
                <w:szCs w:val="20"/>
                <w:lang w:val="sr-Cyrl-CS"/>
              </w:rPr>
            </w:pPr>
            <w:r w:rsidRPr="00092ED7">
              <w:rPr>
                <w:sz w:val="20"/>
                <w:szCs w:val="20"/>
                <w:lang w:val="sr-Cyrl-CS"/>
              </w:rPr>
              <w:t>7,0</w:t>
            </w:r>
          </w:p>
        </w:tc>
        <w:tc>
          <w:tcPr>
            <w:tcW w:w="612" w:type="pct"/>
            <w:gridSpan w:val="2"/>
            <w:tcBorders>
              <w:top w:val="nil"/>
              <w:left w:val="nil"/>
              <w:bottom w:val="dotted" w:sz="4" w:space="0" w:color="auto"/>
              <w:right w:val="dotted" w:sz="4" w:space="0" w:color="auto"/>
            </w:tcBorders>
            <w:shd w:val="clear" w:color="auto" w:fill="auto"/>
            <w:vAlign w:val="center"/>
          </w:tcPr>
          <w:p w14:paraId="17AFA0FB" w14:textId="77777777" w:rsidR="00247CBF" w:rsidRPr="00092ED7" w:rsidRDefault="00247CBF" w:rsidP="00247CBF">
            <w:pPr>
              <w:spacing w:after="0"/>
              <w:jc w:val="center"/>
              <w:rPr>
                <w:sz w:val="20"/>
                <w:szCs w:val="20"/>
                <w:lang w:val="sr-Cyrl-CS"/>
              </w:rPr>
            </w:pPr>
            <w:r w:rsidRPr="00092ED7">
              <w:rPr>
                <w:sz w:val="20"/>
                <w:szCs w:val="20"/>
                <w:lang w:val="sr-Cyrl-CS"/>
              </w:rPr>
              <w:t>4,5</w:t>
            </w:r>
          </w:p>
        </w:tc>
        <w:tc>
          <w:tcPr>
            <w:tcW w:w="612" w:type="pct"/>
            <w:gridSpan w:val="2"/>
            <w:tcBorders>
              <w:top w:val="nil"/>
              <w:left w:val="nil"/>
              <w:bottom w:val="dotted" w:sz="4" w:space="0" w:color="auto"/>
              <w:right w:val="dotted" w:sz="4" w:space="0" w:color="auto"/>
            </w:tcBorders>
            <w:shd w:val="clear" w:color="auto" w:fill="auto"/>
            <w:vAlign w:val="center"/>
          </w:tcPr>
          <w:p w14:paraId="47BF6FE9" w14:textId="77777777" w:rsidR="00247CBF" w:rsidRPr="00092ED7" w:rsidRDefault="00247CBF" w:rsidP="00247CBF">
            <w:pPr>
              <w:spacing w:after="0"/>
              <w:jc w:val="center"/>
              <w:rPr>
                <w:sz w:val="20"/>
                <w:szCs w:val="20"/>
                <w:lang w:val="sr-Cyrl-CS"/>
              </w:rPr>
            </w:pPr>
            <w:r w:rsidRPr="00092ED7">
              <w:rPr>
                <w:sz w:val="20"/>
                <w:szCs w:val="20"/>
                <w:lang w:val="sr-Cyrl-CS"/>
              </w:rPr>
              <w:t>5,0</w:t>
            </w:r>
          </w:p>
        </w:tc>
        <w:tc>
          <w:tcPr>
            <w:tcW w:w="612" w:type="pct"/>
            <w:gridSpan w:val="2"/>
            <w:tcBorders>
              <w:top w:val="nil"/>
              <w:left w:val="nil"/>
              <w:bottom w:val="dotted" w:sz="4" w:space="0" w:color="auto"/>
              <w:right w:val="dotted" w:sz="4" w:space="0" w:color="auto"/>
            </w:tcBorders>
            <w:shd w:val="clear" w:color="auto" w:fill="auto"/>
            <w:vAlign w:val="center"/>
          </w:tcPr>
          <w:p w14:paraId="1635165D" w14:textId="77777777" w:rsidR="00247CBF" w:rsidRPr="00092ED7" w:rsidRDefault="00247CBF" w:rsidP="00247CBF">
            <w:pPr>
              <w:spacing w:after="0"/>
              <w:jc w:val="center"/>
              <w:rPr>
                <w:sz w:val="20"/>
                <w:szCs w:val="20"/>
                <w:lang w:val="sr-Cyrl-CS"/>
              </w:rPr>
            </w:pPr>
            <w:r w:rsidRPr="00092ED7">
              <w:rPr>
                <w:sz w:val="20"/>
                <w:szCs w:val="20"/>
                <w:lang w:val="sr-Cyrl-CS"/>
              </w:rPr>
              <w:t>5,0</w:t>
            </w:r>
          </w:p>
        </w:tc>
        <w:tc>
          <w:tcPr>
            <w:tcW w:w="610" w:type="pct"/>
            <w:tcBorders>
              <w:top w:val="nil"/>
              <w:left w:val="nil"/>
              <w:bottom w:val="dotted" w:sz="4" w:space="0" w:color="auto"/>
              <w:right w:val="double" w:sz="6" w:space="0" w:color="auto"/>
            </w:tcBorders>
            <w:shd w:val="clear" w:color="auto" w:fill="auto"/>
            <w:vAlign w:val="center"/>
          </w:tcPr>
          <w:p w14:paraId="0DA7A3A9" w14:textId="77777777" w:rsidR="00247CBF" w:rsidRPr="00092ED7" w:rsidRDefault="00247CBF" w:rsidP="00247CBF">
            <w:pPr>
              <w:spacing w:after="0"/>
              <w:jc w:val="center"/>
              <w:rPr>
                <w:sz w:val="20"/>
                <w:szCs w:val="20"/>
                <w:lang w:val="sr-Cyrl-CS"/>
              </w:rPr>
            </w:pPr>
            <w:r w:rsidRPr="00092ED7">
              <w:rPr>
                <w:sz w:val="20"/>
                <w:szCs w:val="20"/>
                <w:lang w:val="sr-Cyrl-CS"/>
              </w:rPr>
              <w:t>:</w:t>
            </w:r>
          </w:p>
        </w:tc>
      </w:tr>
      <w:tr w:rsidR="00247CBF" w:rsidRPr="00092ED7" w14:paraId="75D5B3FF" w14:textId="77777777" w:rsidTr="00247CBF">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394ADDFB"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Садашњи</w:t>
            </w:r>
          </w:p>
        </w:tc>
        <w:tc>
          <w:tcPr>
            <w:tcW w:w="612" w:type="pct"/>
            <w:tcBorders>
              <w:top w:val="nil"/>
              <w:left w:val="nil"/>
              <w:bottom w:val="dotted" w:sz="4" w:space="0" w:color="auto"/>
              <w:right w:val="dotted" w:sz="4" w:space="0" w:color="auto"/>
            </w:tcBorders>
            <w:shd w:val="clear" w:color="auto" w:fill="auto"/>
            <w:vAlign w:val="center"/>
          </w:tcPr>
          <w:p w14:paraId="0832C07A" w14:textId="77777777" w:rsidR="00247CBF" w:rsidRPr="00092ED7" w:rsidRDefault="00247CBF" w:rsidP="00247CBF">
            <w:pPr>
              <w:spacing w:after="0"/>
              <w:jc w:val="center"/>
              <w:rPr>
                <w:sz w:val="20"/>
                <w:szCs w:val="20"/>
                <w:lang w:val="sr-Cyrl-CS"/>
              </w:rPr>
            </w:pPr>
            <w:r w:rsidRPr="00092ED7">
              <w:rPr>
                <w:sz w:val="20"/>
                <w:szCs w:val="20"/>
                <w:lang w:val="sr-Cyrl-CS"/>
              </w:rPr>
              <w:t>7,5</w:t>
            </w:r>
          </w:p>
        </w:tc>
        <w:tc>
          <w:tcPr>
            <w:tcW w:w="612" w:type="pct"/>
            <w:gridSpan w:val="2"/>
            <w:tcBorders>
              <w:top w:val="nil"/>
              <w:left w:val="nil"/>
              <w:bottom w:val="dotted" w:sz="4" w:space="0" w:color="auto"/>
              <w:right w:val="dotted" w:sz="4" w:space="0" w:color="auto"/>
            </w:tcBorders>
            <w:shd w:val="clear" w:color="auto" w:fill="auto"/>
            <w:vAlign w:val="center"/>
          </w:tcPr>
          <w:p w14:paraId="1E0EB714" w14:textId="77777777" w:rsidR="00247CBF" w:rsidRPr="00092ED7" w:rsidRDefault="00247CBF" w:rsidP="00247CBF">
            <w:pPr>
              <w:spacing w:after="0"/>
              <w:jc w:val="center"/>
              <w:rPr>
                <w:sz w:val="20"/>
                <w:szCs w:val="20"/>
                <w:lang w:val="sr-Cyrl-CS"/>
              </w:rPr>
            </w:pPr>
            <w:r w:rsidRPr="00092ED7">
              <w:rPr>
                <w:sz w:val="20"/>
                <w:szCs w:val="20"/>
                <w:lang w:val="sr-Cyrl-CS"/>
              </w:rPr>
              <w:t>2,5</w:t>
            </w:r>
          </w:p>
        </w:tc>
        <w:tc>
          <w:tcPr>
            <w:tcW w:w="612" w:type="pct"/>
            <w:gridSpan w:val="2"/>
            <w:tcBorders>
              <w:top w:val="nil"/>
              <w:left w:val="nil"/>
              <w:bottom w:val="dotted" w:sz="4" w:space="0" w:color="auto"/>
              <w:right w:val="dotted" w:sz="4" w:space="0" w:color="auto"/>
            </w:tcBorders>
            <w:shd w:val="clear" w:color="auto" w:fill="auto"/>
            <w:vAlign w:val="center"/>
          </w:tcPr>
          <w:p w14:paraId="35923AEE" w14:textId="77777777" w:rsidR="00247CBF" w:rsidRPr="00092ED7" w:rsidRDefault="00247CBF" w:rsidP="00247CBF">
            <w:pPr>
              <w:spacing w:after="0"/>
              <w:jc w:val="center"/>
              <w:rPr>
                <w:sz w:val="20"/>
                <w:szCs w:val="20"/>
                <w:lang w:val="sr-Cyrl-CS"/>
              </w:rPr>
            </w:pPr>
            <w:r w:rsidRPr="00092ED7">
              <w:rPr>
                <w:sz w:val="20"/>
                <w:szCs w:val="20"/>
                <w:lang w:val="sr-Cyrl-CS"/>
              </w:rPr>
              <w:t>2,5</w:t>
            </w:r>
          </w:p>
        </w:tc>
        <w:tc>
          <w:tcPr>
            <w:tcW w:w="612" w:type="pct"/>
            <w:gridSpan w:val="2"/>
            <w:tcBorders>
              <w:top w:val="nil"/>
              <w:left w:val="nil"/>
              <w:bottom w:val="dotted" w:sz="4" w:space="0" w:color="auto"/>
              <w:right w:val="dotted" w:sz="4" w:space="0" w:color="auto"/>
            </w:tcBorders>
            <w:shd w:val="clear" w:color="auto" w:fill="auto"/>
            <w:vAlign w:val="center"/>
          </w:tcPr>
          <w:p w14:paraId="45EB8CEF" w14:textId="77777777" w:rsidR="00247CBF" w:rsidRPr="00092ED7" w:rsidRDefault="00247CBF" w:rsidP="00247CBF">
            <w:pPr>
              <w:spacing w:after="0"/>
              <w:jc w:val="center"/>
              <w:rPr>
                <w:sz w:val="20"/>
                <w:szCs w:val="20"/>
                <w:lang w:val="sr-Cyrl-CS"/>
              </w:rPr>
            </w:pPr>
            <w:r w:rsidRPr="00092ED7">
              <w:rPr>
                <w:sz w:val="20"/>
                <w:szCs w:val="20"/>
                <w:lang w:val="sr-Cyrl-CS"/>
              </w:rPr>
              <w:t>3,5</w:t>
            </w:r>
          </w:p>
        </w:tc>
        <w:tc>
          <w:tcPr>
            <w:tcW w:w="610" w:type="pct"/>
            <w:tcBorders>
              <w:top w:val="nil"/>
              <w:left w:val="nil"/>
              <w:bottom w:val="dotted" w:sz="4" w:space="0" w:color="auto"/>
              <w:right w:val="double" w:sz="6" w:space="0" w:color="auto"/>
            </w:tcBorders>
            <w:shd w:val="clear" w:color="auto" w:fill="auto"/>
            <w:vAlign w:val="center"/>
          </w:tcPr>
          <w:p w14:paraId="788A89CF" w14:textId="77777777" w:rsidR="00247CBF" w:rsidRPr="00092ED7" w:rsidRDefault="00247CBF" w:rsidP="00247CBF">
            <w:pPr>
              <w:spacing w:after="0"/>
              <w:jc w:val="center"/>
              <w:rPr>
                <w:sz w:val="20"/>
                <w:szCs w:val="20"/>
                <w:lang w:val="sr-Cyrl-CS"/>
              </w:rPr>
            </w:pPr>
            <w:r w:rsidRPr="00092ED7">
              <w:rPr>
                <w:sz w:val="20"/>
                <w:szCs w:val="20"/>
                <w:lang w:val="sr-Cyrl-CS"/>
              </w:rPr>
              <w:t>4,0</w:t>
            </w:r>
          </w:p>
        </w:tc>
      </w:tr>
      <w:tr w:rsidR="00247CBF" w:rsidRPr="00092ED7" w14:paraId="3BCD45A5" w14:textId="77777777" w:rsidTr="00247CBF">
        <w:trPr>
          <w:trHeight w:val="227"/>
        </w:trPr>
        <w:tc>
          <w:tcPr>
            <w:tcW w:w="1942" w:type="pct"/>
            <w:tcBorders>
              <w:top w:val="nil"/>
              <w:left w:val="double" w:sz="6" w:space="0" w:color="auto"/>
              <w:bottom w:val="single" w:sz="8" w:space="0" w:color="auto"/>
              <w:right w:val="single" w:sz="8" w:space="0" w:color="auto"/>
            </w:tcBorders>
            <w:shd w:val="clear" w:color="auto" w:fill="auto"/>
            <w:vAlign w:val="center"/>
            <w:hideMark/>
          </w:tcPr>
          <w:p w14:paraId="226729C3"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Разлика (процентни поени)</w:t>
            </w:r>
          </w:p>
        </w:tc>
        <w:tc>
          <w:tcPr>
            <w:tcW w:w="612" w:type="pct"/>
            <w:tcBorders>
              <w:top w:val="nil"/>
              <w:left w:val="nil"/>
              <w:bottom w:val="single" w:sz="8" w:space="0" w:color="auto"/>
              <w:right w:val="dotted" w:sz="4" w:space="0" w:color="auto"/>
            </w:tcBorders>
            <w:shd w:val="clear" w:color="auto" w:fill="auto"/>
            <w:vAlign w:val="center"/>
          </w:tcPr>
          <w:p w14:paraId="6AB9D582" w14:textId="77777777" w:rsidR="00247CBF" w:rsidRPr="00092ED7" w:rsidRDefault="00247CBF" w:rsidP="00247CBF">
            <w:pPr>
              <w:spacing w:after="0"/>
              <w:jc w:val="center"/>
              <w:rPr>
                <w:sz w:val="20"/>
                <w:szCs w:val="20"/>
                <w:lang w:val="sr-Cyrl-CS"/>
              </w:rPr>
            </w:pPr>
            <w:r w:rsidRPr="00092ED7">
              <w:rPr>
                <w:sz w:val="20"/>
                <w:szCs w:val="20"/>
                <w:lang w:val="sr-Cyrl-CS"/>
              </w:rPr>
              <w:t>0,5</w:t>
            </w:r>
          </w:p>
        </w:tc>
        <w:tc>
          <w:tcPr>
            <w:tcW w:w="612" w:type="pct"/>
            <w:gridSpan w:val="2"/>
            <w:tcBorders>
              <w:top w:val="nil"/>
              <w:left w:val="nil"/>
              <w:bottom w:val="single" w:sz="8" w:space="0" w:color="auto"/>
              <w:right w:val="dotted" w:sz="4" w:space="0" w:color="auto"/>
            </w:tcBorders>
            <w:shd w:val="clear" w:color="auto" w:fill="auto"/>
            <w:vAlign w:val="center"/>
          </w:tcPr>
          <w:p w14:paraId="7640DADA" w14:textId="77777777" w:rsidR="00247CBF" w:rsidRPr="00092ED7" w:rsidRDefault="00247CBF" w:rsidP="00247CBF">
            <w:pPr>
              <w:spacing w:after="0"/>
              <w:jc w:val="center"/>
              <w:rPr>
                <w:sz w:val="20"/>
                <w:szCs w:val="20"/>
                <w:lang w:val="sr-Cyrl-CS"/>
              </w:rPr>
            </w:pPr>
            <w:r w:rsidRPr="00092ED7">
              <w:rPr>
                <w:sz w:val="20"/>
                <w:szCs w:val="20"/>
                <w:lang w:val="sr-Cyrl-CS"/>
              </w:rPr>
              <w:t>-2,0</w:t>
            </w:r>
          </w:p>
        </w:tc>
        <w:tc>
          <w:tcPr>
            <w:tcW w:w="612" w:type="pct"/>
            <w:gridSpan w:val="2"/>
            <w:tcBorders>
              <w:top w:val="nil"/>
              <w:left w:val="nil"/>
              <w:bottom w:val="single" w:sz="8" w:space="0" w:color="auto"/>
              <w:right w:val="dotted" w:sz="4" w:space="0" w:color="auto"/>
            </w:tcBorders>
            <w:shd w:val="clear" w:color="auto" w:fill="auto"/>
            <w:vAlign w:val="center"/>
          </w:tcPr>
          <w:p w14:paraId="3118DC5A" w14:textId="77777777" w:rsidR="00247CBF" w:rsidRPr="00092ED7" w:rsidRDefault="00247CBF" w:rsidP="00247CBF">
            <w:pPr>
              <w:spacing w:after="0"/>
              <w:jc w:val="center"/>
              <w:rPr>
                <w:sz w:val="20"/>
                <w:szCs w:val="20"/>
                <w:lang w:val="sr-Cyrl-CS"/>
              </w:rPr>
            </w:pPr>
            <w:r w:rsidRPr="00092ED7">
              <w:rPr>
                <w:sz w:val="20"/>
                <w:szCs w:val="20"/>
                <w:lang w:val="sr-Cyrl-CS"/>
              </w:rPr>
              <w:t>-2,5</w:t>
            </w:r>
          </w:p>
        </w:tc>
        <w:tc>
          <w:tcPr>
            <w:tcW w:w="612" w:type="pct"/>
            <w:gridSpan w:val="2"/>
            <w:tcBorders>
              <w:top w:val="nil"/>
              <w:left w:val="nil"/>
              <w:bottom w:val="single" w:sz="8" w:space="0" w:color="auto"/>
              <w:right w:val="dotted" w:sz="4" w:space="0" w:color="auto"/>
            </w:tcBorders>
            <w:shd w:val="clear" w:color="auto" w:fill="auto"/>
            <w:vAlign w:val="center"/>
          </w:tcPr>
          <w:p w14:paraId="21CA259D" w14:textId="77777777" w:rsidR="00247CBF" w:rsidRPr="00092ED7" w:rsidRDefault="00247CBF" w:rsidP="00247CBF">
            <w:pPr>
              <w:spacing w:after="0"/>
              <w:jc w:val="center"/>
              <w:rPr>
                <w:sz w:val="20"/>
                <w:szCs w:val="20"/>
                <w:lang w:val="sr-Cyrl-CS"/>
              </w:rPr>
            </w:pPr>
            <w:r w:rsidRPr="00092ED7">
              <w:rPr>
                <w:sz w:val="20"/>
                <w:szCs w:val="20"/>
                <w:lang w:val="sr-Cyrl-CS"/>
              </w:rPr>
              <w:t>-1,5</w:t>
            </w:r>
          </w:p>
        </w:tc>
        <w:tc>
          <w:tcPr>
            <w:tcW w:w="610" w:type="pct"/>
            <w:tcBorders>
              <w:top w:val="nil"/>
              <w:left w:val="nil"/>
              <w:bottom w:val="single" w:sz="8" w:space="0" w:color="auto"/>
              <w:right w:val="double" w:sz="6" w:space="0" w:color="auto"/>
            </w:tcBorders>
            <w:shd w:val="clear" w:color="auto" w:fill="auto"/>
            <w:vAlign w:val="center"/>
          </w:tcPr>
          <w:p w14:paraId="6311C55C" w14:textId="77777777" w:rsidR="00247CBF" w:rsidRPr="00092ED7" w:rsidRDefault="00247CBF" w:rsidP="00247CBF">
            <w:pPr>
              <w:spacing w:after="0"/>
              <w:jc w:val="center"/>
              <w:rPr>
                <w:sz w:val="20"/>
                <w:szCs w:val="20"/>
                <w:lang w:val="sr-Cyrl-CS"/>
              </w:rPr>
            </w:pPr>
            <w:r w:rsidRPr="00092ED7">
              <w:rPr>
                <w:sz w:val="20"/>
                <w:szCs w:val="20"/>
                <w:lang w:val="sr-Cyrl-CS"/>
              </w:rPr>
              <w:t>:</w:t>
            </w:r>
          </w:p>
        </w:tc>
      </w:tr>
      <w:tr w:rsidR="00247CBF" w:rsidRPr="00092ED7" w14:paraId="0655031E" w14:textId="77777777" w:rsidTr="00247CBF">
        <w:trPr>
          <w:trHeight w:val="227"/>
        </w:trPr>
        <w:tc>
          <w:tcPr>
            <w:tcW w:w="5000" w:type="pct"/>
            <w:gridSpan w:val="9"/>
            <w:tcBorders>
              <w:top w:val="single" w:sz="8" w:space="0" w:color="auto"/>
              <w:left w:val="double" w:sz="6" w:space="0" w:color="auto"/>
              <w:bottom w:val="single" w:sz="4" w:space="0" w:color="auto"/>
              <w:right w:val="double" w:sz="6" w:space="0" w:color="000000"/>
            </w:tcBorders>
            <w:shd w:val="clear" w:color="auto" w:fill="auto"/>
            <w:vAlign w:val="center"/>
            <w:hideMark/>
          </w:tcPr>
          <w:p w14:paraId="4CF5A202" w14:textId="77777777" w:rsidR="00247CBF" w:rsidRPr="00092ED7" w:rsidRDefault="00247CBF" w:rsidP="00247CBF">
            <w:pPr>
              <w:spacing w:after="0"/>
              <w:jc w:val="center"/>
              <w:rPr>
                <w:rFonts w:cs="Times New Roman"/>
                <w:sz w:val="20"/>
                <w:szCs w:val="20"/>
                <w:lang w:val="sr-Cyrl-CS"/>
              </w:rPr>
            </w:pPr>
            <w:r w:rsidRPr="00092ED7">
              <w:rPr>
                <w:rFonts w:eastAsia="Times New Roman" w:cs="Times New Roman"/>
                <w:b/>
                <w:bCs/>
                <w:sz w:val="20"/>
                <w:szCs w:val="20"/>
                <w:lang w:val="sr-Cyrl-CS"/>
              </w:rPr>
              <w:t>2. Нето позајмице општег нивоа државе (% БДП-а)</w:t>
            </w:r>
          </w:p>
        </w:tc>
      </w:tr>
      <w:tr w:rsidR="00247CBF" w:rsidRPr="00092ED7" w14:paraId="1A43902B" w14:textId="77777777" w:rsidTr="00247CBF">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066547F4"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Претходни</w:t>
            </w:r>
          </w:p>
        </w:tc>
        <w:tc>
          <w:tcPr>
            <w:tcW w:w="612" w:type="pct"/>
            <w:tcBorders>
              <w:top w:val="nil"/>
              <w:left w:val="nil"/>
              <w:bottom w:val="dotted" w:sz="4" w:space="0" w:color="auto"/>
              <w:right w:val="dotted" w:sz="4" w:space="0" w:color="auto"/>
            </w:tcBorders>
            <w:shd w:val="clear" w:color="auto" w:fill="auto"/>
            <w:vAlign w:val="center"/>
          </w:tcPr>
          <w:p w14:paraId="76861C00" w14:textId="77777777" w:rsidR="00247CBF" w:rsidRPr="00092ED7" w:rsidRDefault="00247CBF" w:rsidP="00247CBF">
            <w:pPr>
              <w:spacing w:after="0"/>
              <w:jc w:val="center"/>
              <w:rPr>
                <w:sz w:val="20"/>
                <w:szCs w:val="20"/>
                <w:lang w:val="sr-Cyrl-CS"/>
              </w:rPr>
            </w:pPr>
            <w:r w:rsidRPr="00092ED7">
              <w:rPr>
                <w:sz w:val="20"/>
                <w:szCs w:val="20"/>
                <w:lang w:val="sr-Cyrl-CS"/>
              </w:rPr>
              <w:t>-4,9</w:t>
            </w:r>
          </w:p>
        </w:tc>
        <w:tc>
          <w:tcPr>
            <w:tcW w:w="612" w:type="pct"/>
            <w:gridSpan w:val="2"/>
            <w:tcBorders>
              <w:top w:val="nil"/>
              <w:left w:val="nil"/>
              <w:bottom w:val="dotted" w:sz="4" w:space="0" w:color="auto"/>
              <w:right w:val="dotted" w:sz="4" w:space="0" w:color="auto"/>
            </w:tcBorders>
            <w:shd w:val="clear" w:color="auto" w:fill="auto"/>
            <w:vAlign w:val="center"/>
          </w:tcPr>
          <w:p w14:paraId="11ED2D54" w14:textId="77777777" w:rsidR="00247CBF" w:rsidRPr="00092ED7" w:rsidRDefault="00247CBF" w:rsidP="00247CBF">
            <w:pPr>
              <w:spacing w:after="0"/>
              <w:jc w:val="center"/>
              <w:rPr>
                <w:sz w:val="20"/>
                <w:szCs w:val="20"/>
                <w:lang w:val="sr-Cyrl-CS"/>
              </w:rPr>
            </w:pPr>
            <w:r w:rsidRPr="00092ED7">
              <w:rPr>
                <w:sz w:val="20"/>
                <w:szCs w:val="20"/>
                <w:lang w:val="sr-Cyrl-CS"/>
              </w:rPr>
              <w:t>-3,0</w:t>
            </w:r>
          </w:p>
        </w:tc>
        <w:tc>
          <w:tcPr>
            <w:tcW w:w="612" w:type="pct"/>
            <w:gridSpan w:val="2"/>
            <w:tcBorders>
              <w:top w:val="nil"/>
              <w:left w:val="nil"/>
              <w:bottom w:val="dotted" w:sz="4" w:space="0" w:color="auto"/>
              <w:right w:val="dotted" w:sz="4" w:space="0" w:color="auto"/>
            </w:tcBorders>
            <w:shd w:val="clear" w:color="auto" w:fill="auto"/>
            <w:vAlign w:val="center"/>
          </w:tcPr>
          <w:p w14:paraId="52F0B6C6" w14:textId="77777777" w:rsidR="00247CBF" w:rsidRPr="00092ED7" w:rsidRDefault="00247CBF" w:rsidP="00247CBF">
            <w:pPr>
              <w:spacing w:after="0"/>
              <w:jc w:val="center"/>
              <w:rPr>
                <w:sz w:val="20"/>
                <w:szCs w:val="20"/>
                <w:lang w:val="sr-Cyrl-CS"/>
              </w:rPr>
            </w:pPr>
            <w:r w:rsidRPr="00092ED7">
              <w:rPr>
                <w:sz w:val="20"/>
                <w:szCs w:val="20"/>
                <w:lang w:val="sr-Cyrl-CS"/>
              </w:rPr>
              <w:t>-1,5</w:t>
            </w:r>
          </w:p>
        </w:tc>
        <w:tc>
          <w:tcPr>
            <w:tcW w:w="612" w:type="pct"/>
            <w:gridSpan w:val="2"/>
            <w:tcBorders>
              <w:top w:val="nil"/>
              <w:left w:val="nil"/>
              <w:bottom w:val="dotted" w:sz="4" w:space="0" w:color="auto"/>
              <w:right w:val="dotted" w:sz="4" w:space="0" w:color="auto"/>
            </w:tcBorders>
            <w:shd w:val="clear" w:color="auto" w:fill="auto"/>
            <w:vAlign w:val="center"/>
          </w:tcPr>
          <w:p w14:paraId="77A099CD" w14:textId="77777777" w:rsidR="00247CBF" w:rsidRPr="00092ED7" w:rsidRDefault="00247CBF" w:rsidP="00247CBF">
            <w:pPr>
              <w:spacing w:after="0"/>
              <w:jc w:val="center"/>
              <w:rPr>
                <w:sz w:val="20"/>
                <w:szCs w:val="20"/>
                <w:lang w:val="sr-Cyrl-CS"/>
              </w:rPr>
            </w:pPr>
            <w:r w:rsidRPr="00092ED7">
              <w:rPr>
                <w:sz w:val="20"/>
                <w:szCs w:val="20"/>
                <w:lang w:val="sr-Cyrl-CS"/>
              </w:rPr>
              <w:t>-1,0</w:t>
            </w:r>
          </w:p>
        </w:tc>
        <w:tc>
          <w:tcPr>
            <w:tcW w:w="610" w:type="pct"/>
            <w:tcBorders>
              <w:top w:val="nil"/>
              <w:left w:val="nil"/>
              <w:bottom w:val="dotted" w:sz="4" w:space="0" w:color="auto"/>
              <w:right w:val="double" w:sz="6" w:space="0" w:color="auto"/>
            </w:tcBorders>
            <w:shd w:val="clear" w:color="auto" w:fill="auto"/>
            <w:vAlign w:val="center"/>
          </w:tcPr>
          <w:p w14:paraId="67393F70" w14:textId="77777777" w:rsidR="00247CBF" w:rsidRPr="00092ED7" w:rsidRDefault="00247CBF" w:rsidP="00247CBF">
            <w:pPr>
              <w:spacing w:after="0"/>
              <w:jc w:val="center"/>
              <w:rPr>
                <w:sz w:val="20"/>
                <w:szCs w:val="20"/>
                <w:lang w:val="sr-Cyrl-CS"/>
              </w:rPr>
            </w:pPr>
            <w:r w:rsidRPr="00092ED7">
              <w:rPr>
                <w:sz w:val="20"/>
                <w:szCs w:val="20"/>
                <w:lang w:val="sr-Cyrl-CS"/>
              </w:rPr>
              <w:t>:</w:t>
            </w:r>
          </w:p>
        </w:tc>
      </w:tr>
      <w:tr w:rsidR="00247CBF" w:rsidRPr="00092ED7" w14:paraId="5CE0B5A2" w14:textId="77777777" w:rsidTr="00247CBF">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2CFE8B5A"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Садашњи</w:t>
            </w:r>
          </w:p>
        </w:tc>
        <w:tc>
          <w:tcPr>
            <w:tcW w:w="612" w:type="pct"/>
            <w:tcBorders>
              <w:top w:val="nil"/>
              <w:left w:val="nil"/>
              <w:bottom w:val="dotted" w:sz="4" w:space="0" w:color="auto"/>
              <w:right w:val="dotted" w:sz="4" w:space="0" w:color="auto"/>
            </w:tcBorders>
            <w:shd w:val="clear" w:color="auto" w:fill="auto"/>
            <w:vAlign w:val="center"/>
          </w:tcPr>
          <w:p w14:paraId="3C34CB58" w14:textId="77777777" w:rsidR="00247CBF" w:rsidRPr="00092ED7" w:rsidRDefault="00247CBF" w:rsidP="00247CBF">
            <w:pPr>
              <w:spacing w:after="0"/>
              <w:jc w:val="center"/>
              <w:rPr>
                <w:sz w:val="20"/>
                <w:szCs w:val="20"/>
                <w:lang w:val="sr-Cyrl-CS"/>
              </w:rPr>
            </w:pPr>
            <w:r w:rsidRPr="00092ED7">
              <w:rPr>
                <w:sz w:val="20"/>
                <w:szCs w:val="20"/>
                <w:lang w:val="sr-Cyrl-CS"/>
              </w:rPr>
              <w:t>-4,1</w:t>
            </w:r>
          </w:p>
        </w:tc>
        <w:tc>
          <w:tcPr>
            <w:tcW w:w="612" w:type="pct"/>
            <w:gridSpan w:val="2"/>
            <w:tcBorders>
              <w:top w:val="nil"/>
              <w:left w:val="nil"/>
              <w:bottom w:val="dotted" w:sz="4" w:space="0" w:color="auto"/>
              <w:right w:val="dotted" w:sz="4" w:space="0" w:color="auto"/>
            </w:tcBorders>
            <w:shd w:val="clear" w:color="auto" w:fill="auto"/>
            <w:vAlign w:val="center"/>
          </w:tcPr>
          <w:p w14:paraId="5069CC07" w14:textId="77777777" w:rsidR="00247CBF" w:rsidRPr="00092ED7" w:rsidRDefault="00247CBF" w:rsidP="00247CBF">
            <w:pPr>
              <w:spacing w:after="0"/>
              <w:jc w:val="center"/>
              <w:rPr>
                <w:sz w:val="20"/>
                <w:szCs w:val="20"/>
                <w:lang w:val="sr-Cyrl-CS"/>
              </w:rPr>
            </w:pPr>
            <w:r w:rsidRPr="00092ED7">
              <w:rPr>
                <w:sz w:val="20"/>
                <w:szCs w:val="20"/>
                <w:lang w:val="sr-Cyrl-CS"/>
              </w:rPr>
              <w:t>-3,8</w:t>
            </w:r>
          </w:p>
        </w:tc>
        <w:tc>
          <w:tcPr>
            <w:tcW w:w="612" w:type="pct"/>
            <w:gridSpan w:val="2"/>
            <w:tcBorders>
              <w:top w:val="nil"/>
              <w:left w:val="nil"/>
              <w:bottom w:val="dotted" w:sz="4" w:space="0" w:color="auto"/>
              <w:right w:val="dotted" w:sz="4" w:space="0" w:color="auto"/>
            </w:tcBorders>
            <w:shd w:val="clear" w:color="auto" w:fill="auto"/>
            <w:vAlign w:val="center"/>
          </w:tcPr>
          <w:p w14:paraId="05C51950" w14:textId="77777777" w:rsidR="00247CBF" w:rsidRPr="00092ED7" w:rsidRDefault="00247CBF" w:rsidP="00247CBF">
            <w:pPr>
              <w:spacing w:after="0"/>
              <w:jc w:val="center"/>
              <w:rPr>
                <w:sz w:val="20"/>
                <w:szCs w:val="20"/>
                <w:lang w:val="sr-Cyrl-CS"/>
              </w:rPr>
            </w:pPr>
            <w:r w:rsidRPr="00092ED7">
              <w:rPr>
                <w:sz w:val="20"/>
                <w:szCs w:val="20"/>
                <w:lang w:val="sr-Cyrl-CS"/>
              </w:rPr>
              <w:t>-3,3</w:t>
            </w:r>
          </w:p>
        </w:tc>
        <w:tc>
          <w:tcPr>
            <w:tcW w:w="612" w:type="pct"/>
            <w:gridSpan w:val="2"/>
            <w:tcBorders>
              <w:top w:val="nil"/>
              <w:left w:val="nil"/>
              <w:bottom w:val="dotted" w:sz="4" w:space="0" w:color="auto"/>
              <w:right w:val="dotted" w:sz="4" w:space="0" w:color="auto"/>
            </w:tcBorders>
            <w:shd w:val="clear" w:color="auto" w:fill="auto"/>
            <w:vAlign w:val="center"/>
          </w:tcPr>
          <w:p w14:paraId="7568D3B2" w14:textId="77777777" w:rsidR="00247CBF" w:rsidRPr="00092ED7" w:rsidRDefault="00247CBF" w:rsidP="00247CBF">
            <w:pPr>
              <w:spacing w:after="0"/>
              <w:jc w:val="center"/>
              <w:rPr>
                <w:sz w:val="20"/>
                <w:szCs w:val="20"/>
                <w:lang w:val="sr-Cyrl-CS"/>
              </w:rPr>
            </w:pPr>
            <w:r w:rsidRPr="00092ED7">
              <w:rPr>
                <w:sz w:val="20"/>
                <w:szCs w:val="20"/>
                <w:lang w:val="sr-Cyrl-CS"/>
              </w:rPr>
              <w:t>-2,2</w:t>
            </w:r>
          </w:p>
        </w:tc>
        <w:tc>
          <w:tcPr>
            <w:tcW w:w="610" w:type="pct"/>
            <w:tcBorders>
              <w:top w:val="nil"/>
              <w:left w:val="nil"/>
              <w:bottom w:val="dotted" w:sz="4" w:space="0" w:color="auto"/>
              <w:right w:val="double" w:sz="6" w:space="0" w:color="auto"/>
            </w:tcBorders>
            <w:shd w:val="clear" w:color="auto" w:fill="auto"/>
            <w:vAlign w:val="center"/>
          </w:tcPr>
          <w:p w14:paraId="518E585C" w14:textId="77777777" w:rsidR="00247CBF" w:rsidRPr="00092ED7" w:rsidRDefault="00247CBF" w:rsidP="00247CBF">
            <w:pPr>
              <w:spacing w:after="0"/>
              <w:jc w:val="center"/>
              <w:rPr>
                <w:sz w:val="20"/>
                <w:szCs w:val="20"/>
                <w:lang w:val="sr-Cyrl-CS"/>
              </w:rPr>
            </w:pPr>
            <w:r w:rsidRPr="00092ED7">
              <w:rPr>
                <w:sz w:val="20"/>
                <w:szCs w:val="20"/>
                <w:lang w:val="sr-Cyrl-CS"/>
              </w:rPr>
              <w:t>-1,4</w:t>
            </w:r>
          </w:p>
        </w:tc>
      </w:tr>
      <w:tr w:rsidR="00247CBF" w:rsidRPr="00092ED7" w14:paraId="5A545BD5" w14:textId="77777777" w:rsidTr="00247CBF">
        <w:trPr>
          <w:trHeight w:val="227"/>
        </w:trPr>
        <w:tc>
          <w:tcPr>
            <w:tcW w:w="1942" w:type="pct"/>
            <w:tcBorders>
              <w:top w:val="nil"/>
              <w:left w:val="double" w:sz="6" w:space="0" w:color="auto"/>
              <w:bottom w:val="single" w:sz="8" w:space="0" w:color="auto"/>
              <w:right w:val="single" w:sz="8" w:space="0" w:color="auto"/>
            </w:tcBorders>
            <w:shd w:val="clear" w:color="auto" w:fill="auto"/>
            <w:vAlign w:val="center"/>
            <w:hideMark/>
          </w:tcPr>
          <w:p w14:paraId="33A4FD7D"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Разлика</w:t>
            </w:r>
          </w:p>
        </w:tc>
        <w:tc>
          <w:tcPr>
            <w:tcW w:w="612" w:type="pct"/>
            <w:tcBorders>
              <w:top w:val="nil"/>
              <w:left w:val="nil"/>
              <w:bottom w:val="single" w:sz="8" w:space="0" w:color="auto"/>
              <w:right w:val="dotted" w:sz="4" w:space="0" w:color="auto"/>
            </w:tcBorders>
            <w:shd w:val="clear" w:color="auto" w:fill="auto"/>
            <w:vAlign w:val="center"/>
          </w:tcPr>
          <w:p w14:paraId="5B9D84FE" w14:textId="77777777" w:rsidR="00247CBF" w:rsidRPr="00092ED7" w:rsidRDefault="00247CBF" w:rsidP="00247CBF">
            <w:pPr>
              <w:spacing w:after="0"/>
              <w:jc w:val="center"/>
              <w:rPr>
                <w:sz w:val="20"/>
                <w:szCs w:val="20"/>
                <w:lang w:val="sr-Cyrl-CS"/>
              </w:rPr>
            </w:pPr>
            <w:r w:rsidRPr="00092ED7">
              <w:rPr>
                <w:sz w:val="20"/>
                <w:szCs w:val="20"/>
                <w:lang w:val="sr-Cyrl-CS"/>
              </w:rPr>
              <w:t>0,8</w:t>
            </w:r>
          </w:p>
        </w:tc>
        <w:tc>
          <w:tcPr>
            <w:tcW w:w="612" w:type="pct"/>
            <w:gridSpan w:val="2"/>
            <w:tcBorders>
              <w:top w:val="nil"/>
              <w:left w:val="nil"/>
              <w:bottom w:val="single" w:sz="8" w:space="0" w:color="auto"/>
              <w:right w:val="dotted" w:sz="4" w:space="0" w:color="auto"/>
            </w:tcBorders>
            <w:shd w:val="clear" w:color="auto" w:fill="auto"/>
            <w:vAlign w:val="center"/>
          </w:tcPr>
          <w:p w14:paraId="4503E348" w14:textId="77777777" w:rsidR="00247CBF" w:rsidRPr="00092ED7" w:rsidRDefault="00247CBF" w:rsidP="00247CBF">
            <w:pPr>
              <w:spacing w:after="0"/>
              <w:jc w:val="center"/>
              <w:rPr>
                <w:sz w:val="20"/>
                <w:szCs w:val="20"/>
                <w:lang w:val="sr-Cyrl-CS"/>
              </w:rPr>
            </w:pPr>
            <w:r w:rsidRPr="00092ED7">
              <w:rPr>
                <w:sz w:val="20"/>
                <w:szCs w:val="20"/>
                <w:lang w:val="sr-Cyrl-CS"/>
              </w:rPr>
              <w:t>-0,8</w:t>
            </w:r>
          </w:p>
        </w:tc>
        <w:tc>
          <w:tcPr>
            <w:tcW w:w="612" w:type="pct"/>
            <w:gridSpan w:val="2"/>
            <w:tcBorders>
              <w:top w:val="nil"/>
              <w:left w:val="nil"/>
              <w:bottom w:val="single" w:sz="8" w:space="0" w:color="auto"/>
              <w:right w:val="dotted" w:sz="4" w:space="0" w:color="auto"/>
            </w:tcBorders>
            <w:shd w:val="clear" w:color="auto" w:fill="auto"/>
            <w:vAlign w:val="center"/>
          </w:tcPr>
          <w:p w14:paraId="41332749" w14:textId="77777777" w:rsidR="00247CBF" w:rsidRPr="00092ED7" w:rsidRDefault="00247CBF" w:rsidP="00247CBF">
            <w:pPr>
              <w:spacing w:after="0"/>
              <w:jc w:val="center"/>
              <w:rPr>
                <w:sz w:val="20"/>
                <w:szCs w:val="20"/>
                <w:lang w:val="sr-Cyrl-CS"/>
              </w:rPr>
            </w:pPr>
            <w:r w:rsidRPr="00092ED7">
              <w:rPr>
                <w:sz w:val="20"/>
                <w:szCs w:val="20"/>
                <w:lang w:val="sr-Cyrl-CS"/>
              </w:rPr>
              <w:t>-1,8</w:t>
            </w:r>
          </w:p>
        </w:tc>
        <w:tc>
          <w:tcPr>
            <w:tcW w:w="612" w:type="pct"/>
            <w:gridSpan w:val="2"/>
            <w:tcBorders>
              <w:top w:val="nil"/>
              <w:left w:val="nil"/>
              <w:bottom w:val="single" w:sz="8" w:space="0" w:color="auto"/>
              <w:right w:val="dotted" w:sz="4" w:space="0" w:color="auto"/>
            </w:tcBorders>
            <w:shd w:val="clear" w:color="auto" w:fill="auto"/>
            <w:vAlign w:val="center"/>
          </w:tcPr>
          <w:p w14:paraId="6276E519" w14:textId="77777777" w:rsidR="00247CBF" w:rsidRPr="00092ED7" w:rsidRDefault="00247CBF" w:rsidP="00247CBF">
            <w:pPr>
              <w:spacing w:after="0"/>
              <w:jc w:val="center"/>
              <w:rPr>
                <w:sz w:val="20"/>
                <w:szCs w:val="20"/>
                <w:lang w:val="sr-Cyrl-CS"/>
              </w:rPr>
            </w:pPr>
            <w:r w:rsidRPr="00092ED7">
              <w:rPr>
                <w:sz w:val="20"/>
                <w:szCs w:val="20"/>
                <w:lang w:val="sr-Cyrl-CS"/>
              </w:rPr>
              <w:t>-1,2</w:t>
            </w:r>
          </w:p>
        </w:tc>
        <w:tc>
          <w:tcPr>
            <w:tcW w:w="610" w:type="pct"/>
            <w:tcBorders>
              <w:top w:val="nil"/>
              <w:left w:val="nil"/>
              <w:bottom w:val="single" w:sz="8" w:space="0" w:color="auto"/>
              <w:right w:val="double" w:sz="6" w:space="0" w:color="auto"/>
            </w:tcBorders>
            <w:shd w:val="clear" w:color="auto" w:fill="auto"/>
            <w:vAlign w:val="center"/>
          </w:tcPr>
          <w:p w14:paraId="063FD829" w14:textId="77777777" w:rsidR="00247CBF" w:rsidRPr="00092ED7" w:rsidRDefault="00247CBF" w:rsidP="00247CBF">
            <w:pPr>
              <w:spacing w:after="0"/>
              <w:jc w:val="center"/>
              <w:rPr>
                <w:sz w:val="20"/>
                <w:szCs w:val="20"/>
                <w:lang w:val="sr-Cyrl-CS"/>
              </w:rPr>
            </w:pPr>
            <w:r w:rsidRPr="00092ED7">
              <w:rPr>
                <w:sz w:val="20"/>
                <w:szCs w:val="20"/>
                <w:lang w:val="sr-Cyrl-CS"/>
              </w:rPr>
              <w:t>:</w:t>
            </w:r>
          </w:p>
        </w:tc>
      </w:tr>
      <w:tr w:rsidR="00247CBF" w:rsidRPr="00092ED7" w14:paraId="3B5413BC" w14:textId="77777777" w:rsidTr="00247CBF">
        <w:trPr>
          <w:trHeight w:val="227"/>
        </w:trPr>
        <w:tc>
          <w:tcPr>
            <w:tcW w:w="5000" w:type="pct"/>
            <w:gridSpan w:val="9"/>
            <w:tcBorders>
              <w:top w:val="single" w:sz="8" w:space="0" w:color="auto"/>
              <w:left w:val="double" w:sz="6" w:space="0" w:color="auto"/>
              <w:bottom w:val="single" w:sz="4" w:space="0" w:color="auto"/>
              <w:right w:val="double" w:sz="6" w:space="0" w:color="000000"/>
            </w:tcBorders>
            <w:shd w:val="clear" w:color="auto" w:fill="auto"/>
            <w:vAlign w:val="center"/>
            <w:hideMark/>
          </w:tcPr>
          <w:p w14:paraId="7153EA65" w14:textId="77777777" w:rsidR="00247CBF" w:rsidRPr="00092ED7" w:rsidRDefault="00247CBF" w:rsidP="00247CBF">
            <w:pPr>
              <w:spacing w:after="0"/>
              <w:jc w:val="center"/>
              <w:rPr>
                <w:rFonts w:eastAsia="Times New Roman" w:cs="Times New Roman"/>
                <w:b/>
                <w:sz w:val="20"/>
                <w:szCs w:val="20"/>
                <w:lang w:val="sr-Cyrl-CS"/>
              </w:rPr>
            </w:pPr>
            <w:r w:rsidRPr="00092ED7">
              <w:rPr>
                <w:rFonts w:eastAsia="Times New Roman" w:cs="Times New Roman"/>
                <w:b/>
                <w:sz w:val="20"/>
                <w:szCs w:val="20"/>
                <w:lang w:val="sr-Cyrl-CS"/>
              </w:rPr>
              <w:t>3. Бруто дуг општег нивоа државе (% БДП-а)</w:t>
            </w:r>
          </w:p>
        </w:tc>
      </w:tr>
      <w:tr w:rsidR="00247CBF" w:rsidRPr="00092ED7" w14:paraId="1FDDB01D" w14:textId="77777777" w:rsidTr="00247CBF">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2385F4A1"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Претходни</w:t>
            </w:r>
          </w:p>
        </w:tc>
        <w:tc>
          <w:tcPr>
            <w:tcW w:w="612" w:type="pct"/>
            <w:tcBorders>
              <w:top w:val="nil"/>
              <w:left w:val="nil"/>
              <w:bottom w:val="dotted" w:sz="4" w:space="0" w:color="auto"/>
              <w:right w:val="dotted" w:sz="4" w:space="0" w:color="auto"/>
            </w:tcBorders>
            <w:shd w:val="clear" w:color="auto" w:fill="auto"/>
            <w:vAlign w:val="center"/>
          </w:tcPr>
          <w:p w14:paraId="65069C74" w14:textId="77777777" w:rsidR="00247CBF" w:rsidRPr="00092ED7" w:rsidRDefault="00247CBF" w:rsidP="00247CBF">
            <w:pPr>
              <w:spacing w:after="0"/>
              <w:jc w:val="center"/>
              <w:rPr>
                <w:sz w:val="20"/>
                <w:szCs w:val="20"/>
                <w:lang w:val="sr-Cyrl-CS"/>
              </w:rPr>
            </w:pPr>
            <w:r w:rsidRPr="00092ED7">
              <w:rPr>
                <w:sz w:val="20"/>
                <w:szCs w:val="20"/>
                <w:lang w:val="sr-Cyrl-CS"/>
              </w:rPr>
              <w:t>58,2</w:t>
            </w:r>
          </w:p>
        </w:tc>
        <w:tc>
          <w:tcPr>
            <w:tcW w:w="612" w:type="pct"/>
            <w:gridSpan w:val="2"/>
            <w:tcBorders>
              <w:top w:val="nil"/>
              <w:left w:val="nil"/>
              <w:bottom w:val="dotted" w:sz="4" w:space="0" w:color="auto"/>
              <w:right w:val="dotted" w:sz="4" w:space="0" w:color="auto"/>
            </w:tcBorders>
            <w:shd w:val="clear" w:color="auto" w:fill="auto"/>
            <w:vAlign w:val="center"/>
          </w:tcPr>
          <w:p w14:paraId="49ACF16C" w14:textId="77777777" w:rsidR="00247CBF" w:rsidRPr="00092ED7" w:rsidRDefault="00247CBF" w:rsidP="00247CBF">
            <w:pPr>
              <w:spacing w:after="0"/>
              <w:jc w:val="center"/>
              <w:rPr>
                <w:sz w:val="20"/>
                <w:szCs w:val="20"/>
                <w:lang w:val="sr-Cyrl-CS"/>
              </w:rPr>
            </w:pPr>
            <w:r w:rsidRPr="00092ED7">
              <w:rPr>
                <w:sz w:val="20"/>
                <w:szCs w:val="20"/>
                <w:lang w:val="sr-Cyrl-CS"/>
              </w:rPr>
              <w:t>56,5</w:t>
            </w:r>
          </w:p>
        </w:tc>
        <w:tc>
          <w:tcPr>
            <w:tcW w:w="612" w:type="pct"/>
            <w:gridSpan w:val="2"/>
            <w:tcBorders>
              <w:top w:val="nil"/>
              <w:left w:val="nil"/>
              <w:bottom w:val="dotted" w:sz="4" w:space="0" w:color="auto"/>
              <w:right w:val="dotted" w:sz="4" w:space="0" w:color="auto"/>
            </w:tcBorders>
            <w:shd w:val="clear" w:color="auto" w:fill="auto"/>
            <w:vAlign w:val="center"/>
          </w:tcPr>
          <w:p w14:paraId="0AB68990" w14:textId="77777777" w:rsidR="00247CBF" w:rsidRPr="00092ED7" w:rsidRDefault="00247CBF" w:rsidP="00247CBF">
            <w:pPr>
              <w:spacing w:after="0"/>
              <w:jc w:val="center"/>
              <w:rPr>
                <w:sz w:val="20"/>
                <w:szCs w:val="20"/>
                <w:lang w:val="sr-Cyrl-CS"/>
              </w:rPr>
            </w:pPr>
            <w:r w:rsidRPr="00092ED7">
              <w:rPr>
                <w:sz w:val="20"/>
                <w:szCs w:val="20"/>
                <w:lang w:val="sr-Cyrl-CS"/>
              </w:rPr>
              <w:t>55,3</w:t>
            </w:r>
          </w:p>
        </w:tc>
        <w:tc>
          <w:tcPr>
            <w:tcW w:w="612" w:type="pct"/>
            <w:gridSpan w:val="2"/>
            <w:tcBorders>
              <w:top w:val="nil"/>
              <w:left w:val="nil"/>
              <w:bottom w:val="dotted" w:sz="4" w:space="0" w:color="auto"/>
              <w:right w:val="dotted" w:sz="4" w:space="0" w:color="auto"/>
            </w:tcBorders>
            <w:shd w:val="clear" w:color="auto" w:fill="auto"/>
            <w:vAlign w:val="center"/>
          </w:tcPr>
          <w:p w14:paraId="17C81E2D" w14:textId="77777777" w:rsidR="00247CBF" w:rsidRPr="00092ED7" w:rsidRDefault="00247CBF" w:rsidP="00247CBF">
            <w:pPr>
              <w:spacing w:after="0"/>
              <w:jc w:val="center"/>
              <w:rPr>
                <w:sz w:val="20"/>
                <w:szCs w:val="20"/>
                <w:lang w:val="sr-Cyrl-CS"/>
              </w:rPr>
            </w:pPr>
            <w:r w:rsidRPr="00092ED7">
              <w:rPr>
                <w:sz w:val="20"/>
                <w:szCs w:val="20"/>
                <w:lang w:val="sr-Cyrl-CS"/>
              </w:rPr>
              <w:t>53,8</w:t>
            </w:r>
          </w:p>
        </w:tc>
        <w:tc>
          <w:tcPr>
            <w:tcW w:w="610" w:type="pct"/>
            <w:tcBorders>
              <w:top w:val="nil"/>
              <w:left w:val="nil"/>
              <w:bottom w:val="dotted" w:sz="4" w:space="0" w:color="auto"/>
              <w:right w:val="double" w:sz="6" w:space="0" w:color="auto"/>
            </w:tcBorders>
            <w:shd w:val="clear" w:color="auto" w:fill="auto"/>
            <w:vAlign w:val="center"/>
          </w:tcPr>
          <w:p w14:paraId="733A550C" w14:textId="77777777" w:rsidR="00247CBF" w:rsidRPr="00092ED7" w:rsidRDefault="00247CBF" w:rsidP="00247CBF">
            <w:pPr>
              <w:spacing w:after="0"/>
              <w:jc w:val="center"/>
              <w:rPr>
                <w:sz w:val="20"/>
                <w:szCs w:val="20"/>
                <w:lang w:val="sr-Cyrl-CS"/>
              </w:rPr>
            </w:pPr>
            <w:r w:rsidRPr="00092ED7">
              <w:rPr>
                <w:sz w:val="20"/>
                <w:szCs w:val="20"/>
                <w:lang w:val="sr-Cyrl-CS"/>
              </w:rPr>
              <w:t>:</w:t>
            </w:r>
          </w:p>
        </w:tc>
      </w:tr>
      <w:tr w:rsidR="00247CBF" w:rsidRPr="00092ED7" w14:paraId="2E24E1F6" w14:textId="77777777" w:rsidTr="00247CBF">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16B9FAAA"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Садашњи</w:t>
            </w:r>
          </w:p>
        </w:tc>
        <w:tc>
          <w:tcPr>
            <w:tcW w:w="612" w:type="pct"/>
            <w:tcBorders>
              <w:top w:val="nil"/>
              <w:left w:val="nil"/>
              <w:bottom w:val="dotted" w:sz="4" w:space="0" w:color="auto"/>
              <w:right w:val="dotted" w:sz="4" w:space="0" w:color="auto"/>
            </w:tcBorders>
            <w:shd w:val="clear" w:color="auto" w:fill="auto"/>
            <w:vAlign w:val="center"/>
          </w:tcPr>
          <w:p w14:paraId="77D21316" w14:textId="77777777" w:rsidR="00247CBF" w:rsidRPr="00092ED7" w:rsidRDefault="00247CBF" w:rsidP="00247CBF">
            <w:pPr>
              <w:spacing w:after="0"/>
              <w:jc w:val="center"/>
              <w:rPr>
                <w:sz w:val="20"/>
                <w:szCs w:val="20"/>
                <w:lang w:val="sr-Cyrl-CS"/>
              </w:rPr>
            </w:pPr>
            <w:r w:rsidRPr="00092ED7">
              <w:rPr>
                <w:sz w:val="20"/>
                <w:szCs w:val="20"/>
                <w:lang w:val="sr-Cyrl-CS"/>
              </w:rPr>
              <w:t>57,1</w:t>
            </w:r>
          </w:p>
        </w:tc>
        <w:tc>
          <w:tcPr>
            <w:tcW w:w="612" w:type="pct"/>
            <w:gridSpan w:val="2"/>
            <w:tcBorders>
              <w:top w:val="nil"/>
              <w:left w:val="nil"/>
              <w:bottom w:val="dotted" w:sz="4" w:space="0" w:color="auto"/>
              <w:right w:val="dotted" w:sz="4" w:space="0" w:color="auto"/>
            </w:tcBorders>
            <w:shd w:val="clear" w:color="auto" w:fill="auto"/>
            <w:vAlign w:val="center"/>
          </w:tcPr>
          <w:p w14:paraId="51333032" w14:textId="77777777" w:rsidR="00247CBF" w:rsidRPr="00092ED7" w:rsidRDefault="00247CBF" w:rsidP="00247CBF">
            <w:pPr>
              <w:spacing w:after="0"/>
              <w:jc w:val="center"/>
              <w:rPr>
                <w:sz w:val="20"/>
                <w:szCs w:val="20"/>
                <w:lang w:val="sr-Cyrl-CS"/>
              </w:rPr>
            </w:pPr>
            <w:r w:rsidRPr="00092ED7">
              <w:rPr>
                <w:sz w:val="20"/>
                <w:szCs w:val="20"/>
                <w:lang w:val="sr-Cyrl-CS"/>
              </w:rPr>
              <w:t>56,9</w:t>
            </w:r>
          </w:p>
        </w:tc>
        <w:tc>
          <w:tcPr>
            <w:tcW w:w="612" w:type="pct"/>
            <w:gridSpan w:val="2"/>
            <w:tcBorders>
              <w:top w:val="nil"/>
              <w:left w:val="nil"/>
              <w:bottom w:val="dotted" w:sz="4" w:space="0" w:color="auto"/>
              <w:right w:val="dotted" w:sz="4" w:space="0" w:color="auto"/>
            </w:tcBorders>
            <w:shd w:val="clear" w:color="auto" w:fill="auto"/>
            <w:vAlign w:val="center"/>
          </w:tcPr>
          <w:p w14:paraId="33CCDC16" w14:textId="77777777" w:rsidR="00247CBF" w:rsidRPr="00092ED7" w:rsidRDefault="00247CBF" w:rsidP="00247CBF">
            <w:pPr>
              <w:spacing w:after="0"/>
              <w:jc w:val="center"/>
              <w:rPr>
                <w:sz w:val="20"/>
                <w:szCs w:val="20"/>
                <w:lang w:val="sr-Cyrl-CS"/>
              </w:rPr>
            </w:pPr>
            <w:r w:rsidRPr="00092ED7">
              <w:rPr>
                <w:sz w:val="20"/>
                <w:szCs w:val="20"/>
                <w:lang w:val="sr-Cyrl-CS"/>
              </w:rPr>
              <w:t>56,1</w:t>
            </w:r>
          </w:p>
        </w:tc>
        <w:tc>
          <w:tcPr>
            <w:tcW w:w="612" w:type="pct"/>
            <w:gridSpan w:val="2"/>
            <w:tcBorders>
              <w:top w:val="nil"/>
              <w:left w:val="nil"/>
              <w:bottom w:val="dotted" w:sz="4" w:space="0" w:color="auto"/>
              <w:right w:val="dotted" w:sz="4" w:space="0" w:color="auto"/>
            </w:tcBorders>
            <w:shd w:val="clear" w:color="auto" w:fill="auto"/>
            <w:vAlign w:val="center"/>
          </w:tcPr>
          <w:p w14:paraId="5523FD60" w14:textId="77777777" w:rsidR="00247CBF" w:rsidRPr="00092ED7" w:rsidRDefault="00247CBF" w:rsidP="00247CBF">
            <w:pPr>
              <w:spacing w:after="0"/>
              <w:jc w:val="center"/>
              <w:rPr>
                <w:sz w:val="20"/>
                <w:szCs w:val="20"/>
                <w:lang w:val="sr-Cyrl-CS"/>
              </w:rPr>
            </w:pPr>
            <w:r w:rsidRPr="00092ED7">
              <w:rPr>
                <w:sz w:val="20"/>
                <w:szCs w:val="20"/>
                <w:lang w:val="sr-Cyrl-CS"/>
              </w:rPr>
              <w:t>55,1</w:t>
            </w:r>
          </w:p>
        </w:tc>
        <w:tc>
          <w:tcPr>
            <w:tcW w:w="610" w:type="pct"/>
            <w:tcBorders>
              <w:top w:val="nil"/>
              <w:left w:val="nil"/>
              <w:bottom w:val="dotted" w:sz="4" w:space="0" w:color="auto"/>
              <w:right w:val="double" w:sz="6" w:space="0" w:color="auto"/>
            </w:tcBorders>
            <w:shd w:val="clear" w:color="auto" w:fill="auto"/>
            <w:vAlign w:val="center"/>
          </w:tcPr>
          <w:p w14:paraId="60BC2D5B" w14:textId="77777777" w:rsidR="00247CBF" w:rsidRPr="00092ED7" w:rsidRDefault="00247CBF" w:rsidP="00247CBF">
            <w:pPr>
              <w:spacing w:after="0"/>
              <w:jc w:val="center"/>
              <w:rPr>
                <w:sz w:val="20"/>
                <w:szCs w:val="20"/>
                <w:lang w:val="sr-Cyrl-CS"/>
              </w:rPr>
            </w:pPr>
            <w:r w:rsidRPr="00092ED7">
              <w:rPr>
                <w:sz w:val="20"/>
                <w:szCs w:val="20"/>
                <w:lang w:val="sr-Cyrl-CS"/>
              </w:rPr>
              <w:t>54,0</w:t>
            </w:r>
          </w:p>
        </w:tc>
      </w:tr>
      <w:tr w:rsidR="00247CBF" w:rsidRPr="00092ED7" w14:paraId="7ED3740A" w14:textId="77777777" w:rsidTr="00247CBF">
        <w:trPr>
          <w:trHeight w:val="227"/>
        </w:trPr>
        <w:tc>
          <w:tcPr>
            <w:tcW w:w="1942" w:type="pct"/>
            <w:tcBorders>
              <w:top w:val="nil"/>
              <w:left w:val="double" w:sz="6" w:space="0" w:color="auto"/>
              <w:bottom w:val="double" w:sz="6" w:space="0" w:color="auto"/>
              <w:right w:val="single" w:sz="8" w:space="0" w:color="auto"/>
            </w:tcBorders>
            <w:shd w:val="clear" w:color="auto" w:fill="auto"/>
            <w:vAlign w:val="center"/>
            <w:hideMark/>
          </w:tcPr>
          <w:p w14:paraId="57FD756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Разлика</w:t>
            </w:r>
          </w:p>
        </w:tc>
        <w:tc>
          <w:tcPr>
            <w:tcW w:w="612" w:type="pct"/>
            <w:tcBorders>
              <w:top w:val="nil"/>
              <w:left w:val="nil"/>
              <w:bottom w:val="double" w:sz="6" w:space="0" w:color="auto"/>
              <w:right w:val="dotted" w:sz="4" w:space="0" w:color="auto"/>
            </w:tcBorders>
            <w:shd w:val="clear" w:color="auto" w:fill="auto"/>
            <w:vAlign w:val="center"/>
          </w:tcPr>
          <w:p w14:paraId="318DE4DC" w14:textId="77777777" w:rsidR="00247CBF" w:rsidRPr="00092ED7" w:rsidRDefault="00247CBF" w:rsidP="00247CBF">
            <w:pPr>
              <w:spacing w:after="0"/>
              <w:jc w:val="center"/>
              <w:rPr>
                <w:sz w:val="20"/>
                <w:szCs w:val="20"/>
                <w:lang w:val="sr-Cyrl-CS"/>
              </w:rPr>
            </w:pPr>
            <w:r w:rsidRPr="00092ED7">
              <w:rPr>
                <w:sz w:val="20"/>
                <w:szCs w:val="20"/>
                <w:lang w:val="sr-Cyrl-CS"/>
              </w:rPr>
              <w:t>-1,1</w:t>
            </w:r>
          </w:p>
        </w:tc>
        <w:tc>
          <w:tcPr>
            <w:tcW w:w="612" w:type="pct"/>
            <w:gridSpan w:val="2"/>
            <w:tcBorders>
              <w:top w:val="nil"/>
              <w:left w:val="nil"/>
              <w:bottom w:val="double" w:sz="6" w:space="0" w:color="auto"/>
              <w:right w:val="dotted" w:sz="4" w:space="0" w:color="auto"/>
            </w:tcBorders>
            <w:shd w:val="clear" w:color="auto" w:fill="auto"/>
            <w:vAlign w:val="center"/>
          </w:tcPr>
          <w:p w14:paraId="2B9189BD" w14:textId="77777777" w:rsidR="00247CBF" w:rsidRPr="00092ED7" w:rsidRDefault="00247CBF" w:rsidP="00247CBF">
            <w:pPr>
              <w:spacing w:after="0"/>
              <w:jc w:val="center"/>
              <w:rPr>
                <w:sz w:val="20"/>
                <w:szCs w:val="20"/>
                <w:lang w:val="sr-Cyrl-CS"/>
              </w:rPr>
            </w:pPr>
            <w:r w:rsidRPr="00092ED7">
              <w:rPr>
                <w:sz w:val="20"/>
                <w:szCs w:val="20"/>
                <w:lang w:val="sr-Cyrl-CS"/>
              </w:rPr>
              <w:t>0,4</w:t>
            </w:r>
          </w:p>
        </w:tc>
        <w:tc>
          <w:tcPr>
            <w:tcW w:w="612" w:type="pct"/>
            <w:gridSpan w:val="2"/>
            <w:tcBorders>
              <w:top w:val="nil"/>
              <w:left w:val="nil"/>
              <w:bottom w:val="double" w:sz="6" w:space="0" w:color="auto"/>
              <w:right w:val="dotted" w:sz="4" w:space="0" w:color="auto"/>
            </w:tcBorders>
            <w:shd w:val="clear" w:color="auto" w:fill="auto"/>
            <w:vAlign w:val="center"/>
          </w:tcPr>
          <w:p w14:paraId="095DEBE2" w14:textId="77777777" w:rsidR="00247CBF" w:rsidRPr="00092ED7" w:rsidRDefault="00247CBF" w:rsidP="00247CBF">
            <w:pPr>
              <w:spacing w:after="0"/>
              <w:jc w:val="center"/>
              <w:rPr>
                <w:sz w:val="20"/>
                <w:szCs w:val="20"/>
                <w:lang w:val="sr-Cyrl-CS"/>
              </w:rPr>
            </w:pPr>
            <w:r w:rsidRPr="00092ED7">
              <w:rPr>
                <w:sz w:val="20"/>
                <w:szCs w:val="20"/>
                <w:lang w:val="sr-Cyrl-CS"/>
              </w:rPr>
              <w:t>0,8</w:t>
            </w:r>
          </w:p>
        </w:tc>
        <w:tc>
          <w:tcPr>
            <w:tcW w:w="612" w:type="pct"/>
            <w:gridSpan w:val="2"/>
            <w:tcBorders>
              <w:top w:val="nil"/>
              <w:left w:val="nil"/>
              <w:bottom w:val="double" w:sz="6" w:space="0" w:color="auto"/>
              <w:right w:val="dotted" w:sz="4" w:space="0" w:color="auto"/>
            </w:tcBorders>
            <w:shd w:val="clear" w:color="auto" w:fill="auto"/>
            <w:vAlign w:val="center"/>
          </w:tcPr>
          <w:p w14:paraId="732EF6DE" w14:textId="77777777" w:rsidR="00247CBF" w:rsidRPr="00092ED7" w:rsidRDefault="00247CBF" w:rsidP="00247CBF">
            <w:pPr>
              <w:spacing w:after="0"/>
              <w:jc w:val="center"/>
              <w:rPr>
                <w:sz w:val="20"/>
                <w:szCs w:val="20"/>
                <w:lang w:val="sr-Cyrl-CS"/>
              </w:rPr>
            </w:pPr>
            <w:r w:rsidRPr="00092ED7">
              <w:rPr>
                <w:sz w:val="20"/>
                <w:szCs w:val="20"/>
                <w:lang w:val="sr-Cyrl-CS"/>
              </w:rPr>
              <w:t>1,3</w:t>
            </w:r>
          </w:p>
        </w:tc>
        <w:tc>
          <w:tcPr>
            <w:tcW w:w="610" w:type="pct"/>
            <w:tcBorders>
              <w:top w:val="nil"/>
              <w:left w:val="nil"/>
              <w:bottom w:val="double" w:sz="6" w:space="0" w:color="auto"/>
              <w:right w:val="double" w:sz="6" w:space="0" w:color="auto"/>
            </w:tcBorders>
            <w:shd w:val="clear" w:color="auto" w:fill="auto"/>
            <w:vAlign w:val="center"/>
          </w:tcPr>
          <w:p w14:paraId="6BC1A492" w14:textId="77777777" w:rsidR="00247CBF" w:rsidRPr="00092ED7" w:rsidRDefault="00247CBF" w:rsidP="00247CBF">
            <w:pPr>
              <w:spacing w:after="0"/>
              <w:jc w:val="center"/>
              <w:rPr>
                <w:sz w:val="20"/>
                <w:szCs w:val="20"/>
                <w:lang w:val="sr-Cyrl-CS"/>
              </w:rPr>
            </w:pPr>
            <w:r w:rsidRPr="00092ED7">
              <w:rPr>
                <w:sz w:val="20"/>
                <w:szCs w:val="20"/>
                <w:lang w:val="sr-Cyrl-CS"/>
              </w:rPr>
              <w:t>:</w:t>
            </w:r>
          </w:p>
        </w:tc>
      </w:tr>
    </w:tbl>
    <w:p w14:paraId="11179F58" w14:textId="77777777" w:rsidR="00247CBF" w:rsidRPr="00092ED7" w:rsidRDefault="00247CBF" w:rsidP="00247CBF">
      <w:pPr>
        <w:rPr>
          <w:rFonts w:cs="Times New Roman"/>
          <w:lang w:val="sr-Cyrl-CS"/>
        </w:rPr>
      </w:pPr>
    </w:p>
    <w:p w14:paraId="5248A23F" w14:textId="77777777" w:rsidR="00247CBF" w:rsidRPr="00092ED7" w:rsidRDefault="00247CBF" w:rsidP="00247CBF">
      <w:pPr>
        <w:spacing w:after="160" w:line="259" w:lineRule="auto"/>
        <w:rPr>
          <w:rFonts w:eastAsia="MS PGothic" w:cs="Times New Roman"/>
          <w:b/>
          <w:sz w:val="20"/>
          <w:szCs w:val="20"/>
          <w:lang w:val="sr-Cyrl-CS"/>
        </w:rPr>
      </w:pPr>
      <w:r w:rsidRPr="00092ED7">
        <w:rPr>
          <w:rFonts w:cs="Times New Roman"/>
          <w:b/>
          <w:sz w:val="20"/>
          <w:szCs w:val="20"/>
          <w:lang w:val="sr-Cyrl-CS"/>
        </w:rPr>
        <w:br w:type="page"/>
      </w:r>
    </w:p>
    <w:p w14:paraId="47853C54" w14:textId="77777777" w:rsidR="00247CBF" w:rsidRPr="00092ED7" w:rsidRDefault="00247CBF" w:rsidP="00247CBF">
      <w:pPr>
        <w:pStyle w:val="Heading3"/>
        <w:rPr>
          <w:rFonts w:ascii="Times New Roman" w:hAnsi="Times New Roman" w:cs="Times New Roman"/>
          <w:b/>
          <w:color w:val="auto"/>
          <w:sz w:val="20"/>
          <w:szCs w:val="20"/>
          <w:lang w:val="sr-Cyrl-CS"/>
        </w:rPr>
      </w:pPr>
      <w:bookmarkStart w:id="158" w:name="_Toc61953866"/>
      <w:bookmarkStart w:id="159" w:name="_Toc93386003"/>
      <w:bookmarkStart w:id="160" w:name="_Toc124174834"/>
      <w:bookmarkStart w:id="161" w:name="_Toc126218652"/>
      <w:r w:rsidRPr="00092ED7">
        <w:rPr>
          <w:rFonts w:ascii="Times New Roman" w:hAnsi="Times New Roman" w:cs="Times New Roman"/>
          <w:b/>
          <w:color w:val="auto"/>
          <w:sz w:val="20"/>
          <w:szCs w:val="20"/>
          <w:lang w:val="sr-Cyrl-CS"/>
        </w:rPr>
        <w:t>Табела 7: Дугорочна одрживост јавних финансија</w:t>
      </w:r>
      <w:bookmarkEnd w:id="158"/>
      <w:bookmarkEnd w:id="159"/>
      <w:r w:rsidRPr="00092ED7">
        <w:rPr>
          <w:rFonts w:ascii="Times New Roman" w:hAnsi="Times New Roman" w:cs="Times New Roman"/>
          <w:b/>
          <w:color w:val="auto"/>
          <w:sz w:val="20"/>
          <w:szCs w:val="20"/>
          <w:lang w:val="sr-Cyrl-CS"/>
        </w:rPr>
        <w:t xml:space="preserve"> (% БДП)</w:t>
      </w:r>
      <w:bookmarkEnd w:id="160"/>
      <w:bookmarkEnd w:id="161"/>
    </w:p>
    <w:tbl>
      <w:tblPr>
        <w:tblW w:w="14436" w:type="dxa"/>
        <w:tblLayout w:type="fixed"/>
        <w:tblLook w:val="04A0" w:firstRow="1" w:lastRow="0" w:firstColumn="1" w:lastColumn="0" w:noHBand="0" w:noVBand="1"/>
      </w:tblPr>
      <w:tblGrid>
        <w:gridCol w:w="6000"/>
        <w:gridCol w:w="1205"/>
        <w:gridCol w:w="1205"/>
        <w:gridCol w:w="1205"/>
        <w:gridCol w:w="1205"/>
        <w:gridCol w:w="1205"/>
        <w:gridCol w:w="1205"/>
        <w:gridCol w:w="1206"/>
      </w:tblGrid>
      <w:tr w:rsidR="00247CBF" w:rsidRPr="00092ED7" w14:paraId="43C49388" w14:textId="77777777" w:rsidTr="00247CBF">
        <w:trPr>
          <w:trHeight w:val="285"/>
        </w:trPr>
        <w:tc>
          <w:tcPr>
            <w:tcW w:w="6000" w:type="dxa"/>
            <w:tcBorders>
              <w:top w:val="double" w:sz="6" w:space="0" w:color="auto"/>
              <w:left w:val="double" w:sz="6" w:space="0" w:color="auto"/>
              <w:bottom w:val="double" w:sz="6" w:space="0" w:color="auto"/>
              <w:right w:val="nil"/>
            </w:tcBorders>
            <w:shd w:val="clear" w:color="auto" w:fill="auto"/>
            <w:noWrap/>
            <w:vAlign w:val="center"/>
            <w:hideMark/>
          </w:tcPr>
          <w:p w14:paraId="5D683C81" w14:textId="77777777" w:rsidR="00247CBF" w:rsidRPr="00092ED7" w:rsidRDefault="00247CBF" w:rsidP="00247CBF">
            <w:pPr>
              <w:spacing w:after="0"/>
              <w:rPr>
                <w:rFonts w:eastAsia="Times New Roman" w:cs="Times New Roman"/>
                <w:b/>
                <w:bCs/>
                <w:sz w:val="20"/>
                <w:szCs w:val="20"/>
                <w:lang w:val="sr-Cyrl-CS"/>
              </w:rPr>
            </w:pPr>
          </w:p>
        </w:tc>
        <w:tc>
          <w:tcPr>
            <w:tcW w:w="1205" w:type="dxa"/>
            <w:tcBorders>
              <w:top w:val="double" w:sz="6" w:space="0" w:color="auto"/>
              <w:left w:val="single" w:sz="8" w:space="0" w:color="auto"/>
              <w:bottom w:val="double" w:sz="6" w:space="0" w:color="auto"/>
              <w:right w:val="dashed" w:sz="4" w:space="0" w:color="auto"/>
            </w:tcBorders>
            <w:shd w:val="clear" w:color="auto" w:fill="auto"/>
            <w:noWrap/>
            <w:vAlign w:val="center"/>
            <w:hideMark/>
          </w:tcPr>
          <w:p w14:paraId="02E6007A"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2007</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14:paraId="4CACF31B"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2010</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14:paraId="21F721CA"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2020</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14:paraId="20D7F7BC"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2030</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14:paraId="1847A75D"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2040</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14:paraId="0FEC59E1"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2050</w:t>
            </w:r>
          </w:p>
        </w:tc>
        <w:tc>
          <w:tcPr>
            <w:tcW w:w="1206" w:type="dxa"/>
            <w:tcBorders>
              <w:top w:val="double" w:sz="6" w:space="0" w:color="auto"/>
              <w:left w:val="nil"/>
              <w:bottom w:val="double" w:sz="6" w:space="0" w:color="auto"/>
              <w:right w:val="double" w:sz="6" w:space="0" w:color="auto"/>
            </w:tcBorders>
            <w:shd w:val="clear" w:color="auto" w:fill="auto"/>
            <w:noWrap/>
            <w:vAlign w:val="center"/>
            <w:hideMark/>
          </w:tcPr>
          <w:p w14:paraId="7940BDF7"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2060</w:t>
            </w:r>
          </w:p>
        </w:tc>
      </w:tr>
      <w:tr w:rsidR="00247CBF" w:rsidRPr="00092ED7" w14:paraId="6849E835" w14:textId="77777777" w:rsidTr="00247CBF">
        <w:trPr>
          <w:trHeight w:val="270"/>
        </w:trPr>
        <w:tc>
          <w:tcPr>
            <w:tcW w:w="6000" w:type="dxa"/>
            <w:tcBorders>
              <w:top w:val="single" w:sz="4" w:space="0" w:color="auto"/>
              <w:left w:val="double" w:sz="6" w:space="0" w:color="000000"/>
              <w:bottom w:val="dotted" w:sz="4" w:space="0" w:color="000000"/>
              <w:right w:val="single" w:sz="4" w:space="0" w:color="auto"/>
            </w:tcBorders>
            <w:shd w:val="clear" w:color="auto" w:fill="auto"/>
            <w:hideMark/>
          </w:tcPr>
          <w:p w14:paraId="675CAA5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Укупни расходи</w:t>
            </w:r>
          </w:p>
        </w:tc>
        <w:tc>
          <w:tcPr>
            <w:tcW w:w="1205" w:type="dxa"/>
            <w:tcBorders>
              <w:top w:val="nil"/>
              <w:left w:val="nil"/>
              <w:bottom w:val="dotted" w:sz="4" w:space="0" w:color="000000"/>
              <w:right w:val="dotted" w:sz="4" w:space="0" w:color="000000"/>
            </w:tcBorders>
            <w:shd w:val="clear" w:color="auto" w:fill="auto"/>
          </w:tcPr>
          <w:p w14:paraId="68FF8E97"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F0E1F88"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BDC74BB"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6376F8FB"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663AA739"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32E2114" w14:textId="77777777" w:rsidR="00247CBF" w:rsidRPr="00092ED7" w:rsidRDefault="00247CBF" w:rsidP="00247CBF">
            <w:pPr>
              <w:spacing w:after="0"/>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4BB7E145" w14:textId="77777777" w:rsidR="00247CBF" w:rsidRPr="00092ED7" w:rsidRDefault="00247CBF" w:rsidP="00247CBF">
            <w:pPr>
              <w:spacing w:after="0"/>
              <w:rPr>
                <w:rFonts w:eastAsia="Times New Roman" w:cs="Times New Roman"/>
                <w:sz w:val="20"/>
                <w:szCs w:val="20"/>
                <w:lang w:val="sr-Cyrl-CS"/>
              </w:rPr>
            </w:pPr>
          </w:p>
        </w:tc>
      </w:tr>
      <w:tr w:rsidR="00247CBF" w:rsidRPr="00092ED7" w14:paraId="27919B2F"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765E38C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xml:space="preserve">од чега: </w:t>
            </w:r>
          </w:p>
        </w:tc>
        <w:tc>
          <w:tcPr>
            <w:tcW w:w="1205" w:type="dxa"/>
            <w:tcBorders>
              <w:top w:val="nil"/>
              <w:left w:val="nil"/>
              <w:bottom w:val="dotted" w:sz="4" w:space="0" w:color="000000"/>
              <w:right w:val="dotted" w:sz="4" w:space="0" w:color="000000"/>
            </w:tcBorders>
            <w:shd w:val="clear" w:color="auto" w:fill="auto"/>
          </w:tcPr>
          <w:p w14:paraId="17B53058"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D0C51CC"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CAAD0ED"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01E21CA"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F030870"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267AA86" w14:textId="77777777" w:rsidR="00247CBF" w:rsidRPr="00092ED7" w:rsidRDefault="00247CBF" w:rsidP="00247CBF">
            <w:pPr>
              <w:spacing w:after="0"/>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2E05977E" w14:textId="77777777" w:rsidR="00247CBF" w:rsidRPr="00092ED7" w:rsidRDefault="00247CBF" w:rsidP="00247CBF">
            <w:pPr>
              <w:spacing w:after="0"/>
              <w:rPr>
                <w:rFonts w:eastAsia="Times New Roman" w:cs="Times New Roman"/>
                <w:sz w:val="20"/>
                <w:szCs w:val="20"/>
                <w:lang w:val="sr-Cyrl-CS"/>
              </w:rPr>
            </w:pPr>
          </w:p>
        </w:tc>
      </w:tr>
      <w:tr w:rsidR="00247CBF" w:rsidRPr="00092ED7" w14:paraId="63CD378A"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17FB2ED2"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Расходи везани за године живота</w:t>
            </w:r>
          </w:p>
        </w:tc>
        <w:tc>
          <w:tcPr>
            <w:tcW w:w="1205" w:type="dxa"/>
            <w:tcBorders>
              <w:top w:val="nil"/>
              <w:left w:val="nil"/>
              <w:bottom w:val="dotted" w:sz="4" w:space="0" w:color="000000"/>
              <w:right w:val="dotted" w:sz="4" w:space="0" w:color="000000"/>
            </w:tcBorders>
            <w:shd w:val="clear" w:color="auto" w:fill="auto"/>
          </w:tcPr>
          <w:p w14:paraId="1A3FF27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245F10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03CC161"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65D3A1A5"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2ED1714"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C9B0F77"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43AD20B9"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422B7C4F"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52D89D45"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расходи за пензије</w:t>
            </w:r>
          </w:p>
        </w:tc>
        <w:tc>
          <w:tcPr>
            <w:tcW w:w="1205" w:type="dxa"/>
            <w:tcBorders>
              <w:top w:val="nil"/>
              <w:left w:val="nil"/>
              <w:bottom w:val="dotted" w:sz="4" w:space="0" w:color="000000"/>
              <w:right w:val="dotted" w:sz="4" w:space="0" w:color="000000"/>
            </w:tcBorders>
            <w:shd w:val="clear" w:color="auto" w:fill="auto"/>
          </w:tcPr>
          <w:p w14:paraId="5B164EBC"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1D76701"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F9749A3"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9F0B581"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26FE4B1"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69A51112"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7C8CD745"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239B5613"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194CC17C"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Социјалне пензије </w:t>
            </w:r>
          </w:p>
        </w:tc>
        <w:tc>
          <w:tcPr>
            <w:tcW w:w="1205" w:type="dxa"/>
            <w:tcBorders>
              <w:top w:val="nil"/>
              <w:left w:val="nil"/>
              <w:bottom w:val="dotted" w:sz="4" w:space="0" w:color="000000"/>
              <w:right w:val="dotted" w:sz="4" w:space="0" w:color="000000"/>
            </w:tcBorders>
            <w:shd w:val="clear" w:color="auto" w:fill="auto"/>
          </w:tcPr>
          <w:p w14:paraId="30A78345"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563C403"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F6367AD"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38D47B8"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E0518A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48FFBCA"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42BB398B"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74356563"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1941E2CF"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Старосне и превремене пензије</w:t>
            </w:r>
          </w:p>
        </w:tc>
        <w:tc>
          <w:tcPr>
            <w:tcW w:w="1205" w:type="dxa"/>
            <w:tcBorders>
              <w:top w:val="nil"/>
              <w:left w:val="nil"/>
              <w:bottom w:val="dotted" w:sz="4" w:space="0" w:color="000000"/>
              <w:right w:val="dotted" w:sz="4" w:space="0" w:color="000000"/>
            </w:tcBorders>
            <w:shd w:val="clear" w:color="auto" w:fill="auto"/>
          </w:tcPr>
          <w:p w14:paraId="0FA6D2C1"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DEFE865"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7B3199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CE9D12F"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10AC04D"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4804E12"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093FEB60"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37729D48"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3F7F8AEA"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Остале пензије (инвалидске, породичне)</w:t>
            </w:r>
          </w:p>
        </w:tc>
        <w:tc>
          <w:tcPr>
            <w:tcW w:w="1205" w:type="dxa"/>
            <w:tcBorders>
              <w:top w:val="nil"/>
              <w:left w:val="nil"/>
              <w:bottom w:val="dotted" w:sz="4" w:space="0" w:color="000000"/>
              <w:right w:val="dotted" w:sz="4" w:space="0" w:color="000000"/>
            </w:tcBorders>
            <w:shd w:val="clear" w:color="auto" w:fill="auto"/>
          </w:tcPr>
          <w:p w14:paraId="1B0107E7"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198FB0B"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4E38B78"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86A5675"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2839481"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CE4F613"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06C10F3F"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17876E85" w14:textId="77777777" w:rsidTr="00247CBF">
        <w:trPr>
          <w:trHeight w:val="510"/>
        </w:trPr>
        <w:tc>
          <w:tcPr>
            <w:tcW w:w="6000" w:type="dxa"/>
            <w:tcBorders>
              <w:top w:val="nil"/>
              <w:left w:val="double" w:sz="6" w:space="0" w:color="000000"/>
              <w:bottom w:val="dotted" w:sz="4" w:space="0" w:color="000000"/>
              <w:right w:val="single" w:sz="4" w:space="0" w:color="auto"/>
            </w:tcBorders>
            <w:shd w:val="clear" w:color="auto" w:fill="auto"/>
            <w:hideMark/>
          </w:tcPr>
          <w:p w14:paraId="4308B23E"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Професионалне пензије (уколико припадају општем нивоу државе)</w:t>
            </w:r>
          </w:p>
        </w:tc>
        <w:tc>
          <w:tcPr>
            <w:tcW w:w="1205" w:type="dxa"/>
            <w:tcBorders>
              <w:top w:val="nil"/>
              <w:left w:val="nil"/>
              <w:bottom w:val="dotted" w:sz="4" w:space="0" w:color="000000"/>
              <w:right w:val="dotted" w:sz="4" w:space="0" w:color="000000"/>
            </w:tcBorders>
            <w:shd w:val="clear" w:color="auto" w:fill="auto"/>
          </w:tcPr>
          <w:p w14:paraId="3FAABB42"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3DE9870"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D8AC2C6"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F5F07B6"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6BB7AC87"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062A7F7"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63D25804"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294F4221"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41A796BE"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Здравство</w:t>
            </w:r>
          </w:p>
        </w:tc>
        <w:tc>
          <w:tcPr>
            <w:tcW w:w="1205" w:type="dxa"/>
            <w:tcBorders>
              <w:top w:val="nil"/>
              <w:left w:val="nil"/>
              <w:bottom w:val="dotted" w:sz="4" w:space="0" w:color="000000"/>
              <w:right w:val="dotted" w:sz="4" w:space="0" w:color="000000"/>
            </w:tcBorders>
            <w:shd w:val="clear" w:color="auto" w:fill="auto"/>
          </w:tcPr>
          <w:p w14:paraId="554EDA3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D16CFC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F2E67B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24E2143"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A5EE752"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5DD28C8"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30723B07"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7B9AEF58"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60A8A382"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Дуготрајна нега (раније је била укључена у здравство)</w:t>
            </w:r>
          </w:p>
        </w:tc>
        <w:tc>
          <w:tcPr>
            <w:tcW w:w="1205" w:type="dxa"/>
            <w:tcBorders>
              <w:top w:val="nil"/>
              <w:left w:val="nil"/>
              <w:bottom w:val="dotted" w:sz="4" w:space="0" w:color="000000"/>
              <w:right w:val="dotted" w:sz="4" w:space="0" w:color="000000"/>
            </w:tcBorders>
            <w:shd w:val="clear" w:color="auto" w:fill="auto"/>
          </w:tcPr>
          <w:p w14:paraId="4095A2EB"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797F267"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B3B3BE0"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A74CDC7"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E071720"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10ED335"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70C97503"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6BB13CEA"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01DCFB8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Расходи за образовање</w:t>
            </w:r>
          </w:p>
        </w:tc>
        <w:tc>
          <w:tcPr>
            <w:tcW w:w="1205" w:type="dxa"/>
            <w:tcBorders>
              <w:top w:val="nil"/>
              <w:left w:val="nil"/>
              <w:bottom w:val="dotted" w:sz="4" w:space="0" w:color="000000"/>
              <w:right w:val="dotted" w:sz="4" w:space="0" w:color="000000"/>
            </w:tcBorders>
            <w:shd w:val="clear" w:color="auto" w:fill="auto"/>
          </w:tcPr>
          <w:p w14:paraId="15AA4DED"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17C3572"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51B37AC"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033927C"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5876016"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57DF8F1"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5CC4244B"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65ECAF23"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097ADDE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Остали расходи везани за године живота</w:t>
            </w:r>
          </w:p>
        </w:tc>
        <w:tc>
          <w:tcPr>
            <w:tcW w:w="1205" w:type="dxa"/>
            <w:tcBorders>
              <w:top w:val="nil"/>
              <w:left w:val="nil"/>
              <w:bottom w:val="dotted" w:sz="4" w:space="0" w:color="000000"/>
              <w:right w:val="dotted" w:sz="4" w:space="0" w:color="000000"/>
            </w:tcBorders>
            <w:shd w:val="clear" w:color="auto" w:fill="auto"/>
          </w:tcPr>
          <w:p w14:paraId="499F1120"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660D34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B968F7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A0B342E"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ADDA21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3A08DAC"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6167CB3C"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4716BD09"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4407B29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Расходи за камате</w:t>
            </w:r>
          </w:p>
        </w:tc>
        <w:tc>
          <w:tcPr>
            <w:tcW w:w="1205" w:type="dxa"/>
            <w:tcBorders>
              <w:top w:val="nil"/>
              <w:left w:val="nil"/>
              <w:bottom w:val="dotted" w:sz="4" w:space="0" w:color="000000"/>
              <w:right w:val="dotted" w:sz="4" w:space="0" w:color="000000"/>
            </w:tcBorders>
            <w:shd w:val="clear" w:color="auto" w:fill="auto"/>
          </w:tcPr>
          <w:p w14:paraId="765B6C1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C4EF717"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6C69F882"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86F742F"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6C90AB7"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9ACC794"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44713BFA"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1AFC4D8F"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4E5EEC9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Укупни приходи</w:t>
            </w:r>
          </w:p>
        </w:tc>
        <w:tc>
          <w:tcPr>
            <w:tcW w:w="1205" w:type="dxa"/>
            <w:tcBorders>
              <w:top w:val="nil"/>
              <w:left w:val="nil"/>
              <w:bottom w:val="dotted" w:sz="4" w:space="0" w:color="000000"/>
              <w:right w:val="dotted" w:sz="4" w:space="0" w:color="000000"/>
            </w:tcBorders>
            <w:shd w:val="clear" w:color="auto" w:fill="auto"/>
          </w:tcPr>
          <w:p w14:paraId="2AA75365"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0370ACD"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AA654C2"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A0E5ABD"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3BBCA5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64E68F6"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191D7ACA"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426635D4"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5C3826F0" w14:textId="77777777" w:rsidR="00247CBF" w:rsidRPr="00092ED7" w:rsidRDefault="00247CBF" w:rsidP="00247CBF">
            <w:pPr>
              <w:spacing w:after="0"/>
              <w:ind w:firstLineChars="100" w:firstLine="200"/>
              <w:rPr>
                <w:rFonts w:eastAsia="Times New Roman" w:cs="Times New Roman"/>
                <w:i/>
                <w:iCs/>
                <w:sz w:val="20"/>
                <w:szCs w:val="20"/>
                <w:lang w:val="sr-Cyrl-CS"/>
              </w:rPr>
            </w:pPr>
            <w:r w:rsidRPr="00092ED7">
              <w:rPr>
                <w:rFonts w:eastAsia="Times New Roman" w:cs="Times New Roman"/>
                <w:i/>
                <w:iCs/>
                <w:sz w:val="20"/>
                <w:szCs w:val="20"/>
                <w:lang w:val="sr-Cyrl-CS"/>
              </w:rPr>
              <w:t xml:space="preserve">од чега: </w:t>
            </w:r>
            <w:r w:rsidRPr="00092ED7">
              <w:rPr>
                <w:rFonts w:eastAsia="Times New Roman" w:cs="Times New Roman"/>
                <w:sz w:val="20"/>
                <w:szCs w:val="20"/>
                <w:lang w:val="sr-Cyrl-CS"/>
              </w:rPr>
              <w:t>приходи од имовине</w:t>
            </w:r>
          </w:p>
        </w:tc>
        <w:tc>
          <w:tcPr>
            <w:tcW w:w="1205" w:type="dxa"/>
            <w:tcBorders>
              <w:top w:val="nil"/>
              <w:left w:val="nil"/>
              <w:bottom w:val="dotted" w:sz="4" w:space="0" w:color="000000"/>
              <w:right w:val="dotted" w:sz="4" w:space="0" w:color="000000"/>
            </w:tcBorders>
            <w:shd w:val="clear" w:color="auto" w:fill="auto"/>
          </w:tcPr>
          <w:p w14:paraId="713AA3AB"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1A5D932"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28A3998"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BD03B63"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E82FD2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2370792"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642A35FE"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7063B1C3" w14:textId="77777777" w:rsidTr="00247CBF">
        <w:trPr>
          <w:trHeight w:val="510"/>
        </w:trPr>
        <w:tc>
          <w:tcPr>
            <w:tcW w:w="6000" w:type="dxa"/>
            <w:tcBorders>
              <w:top w:val="nil"/>
              <w:left w:val="double" w:sz="6" w:space="0" w:color="000000"/>
              <w:bottom w:val="dotted" w:sz="4" w:space="0" w:color="000000"/>
              <w:right w:val="single" w:sz="4" w:space="0" w:color="auto"/>
            </w:tcBorders>
            <w:shd w:val="clear" w:color="auto" w:fill="auto"/>
            <w:hideMark/>
          </w:tcPr>
          <w:p w14:paraId="662BD6B6" w14:textId="77777777" w:rsidR="00247CBF" w:rsidRPr="00092ED7" w:rsidRDefault="00247CBF" w:rsidP="00247CBF">
            <w:pPr>
              <w:spacing w:after="0"/>
              <w:ind w:firstLineChars="200" w:firstLine="400"/>
              <w:rPr>
                <w:rFonts w:eastAsia="Times New Roman" w:cs="Times New Roman"/>
                <w:sz w:val="20"/>
                <w:szCs w:val="20"/>
                <w:lang w:val="sr-Cyrl-CS"/>
              </w:rPr>
            </w:pPr>
            <w:r w:rsidRPr="00092ED7">
              <w:rPr>
                <w:rFonts w:eastAsia="Times New Roman" w:cs="Times New Roman"/>
                <w:i/>
                <w:iCs/>
                <w:sz w:val="20"/>
                <w:szCs w:val="20"/>
                <w:lang w:val="sr-Cyrl-CS"/>
              </w:rPr>
              <w:t>од чега:</w:t>
            </w:r>
            <w:r w:rsidRPr="00092ED7">
              <w:rPr>
                <w:rFonts w:eastAsia="Times New Roman" w:cs="Times New Roman"/>
                <w:sz w:val="20"/>
                <w:szCs w:val="20"/>
                <w:lang w:val="sr-Cyrl-CS"/>
              </w:rPr>
              <w:t xml:space="preserve"> од доприноса за пензијско осигурање (или доприноса за социјално осигурање, уколико је то случај)</w:t>
            </w:r>
          </w:p>
        </w:tc>
        <w:tc>
          <w:tcPr>
            <w:tcW w:w="1205" w:type="dxa"/>
            <w:tcBorders>
              <w:top w:val="nil"/>
              <w:left w:val="nil"/>
              <w:bottom w:val="dotted" w:sz="4" w:space="0" w:color="000000"/>
              <w:right w:val="dotted" w:sz="4" w:space="0" w:color="000000"/>
            </w:tcBorders>
            <w:shd w:val="clear" w:color="auto" w:fill="auto"/>
          </w:tcPr>
          <w:p w14:paraId="3AD8F602"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062882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F0E7A24"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9708A78"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6D7D242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4E141C9"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00A5B6D5"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3E993AED"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3BA7825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Средства резервног пензијског фонда</w:t>
            </w:r>
          </w:p>
        </w:tc>
        <w:tc>
          <w:tcPr>
            <w:tcW w:w="1205" w:type="dxa"/>
            <w:tcBorders>
              <w:top w:val="nil"/>
              <w:left w:val="nil"/>
              <w:bottom w:val="dotted" w:sz="4" w:space="0" w:color="000000"/>
              <w:right w:val="dotted" w:sz="4" w:space="0" w:color="000000"/>
            </w:tcBorders>
            <w:shd w:val="clear" w:color="auto" w:fill="auto"/>
          </w:tcPr>
          <w:p w14:paraId="2441578C"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9C851F3"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4FCCB0B"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10630E6"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58EC178"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0A0F13B"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69536010"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6EA1AE44" w14:textId="77777777" w:rsidTr="00247CBF">
        <w:trPr>
          <w:trHeight w:val="510"/>
        </w:trPr>
        <w:tc>
          <w:tcPr>
            <w:tcW w:w="6000" w:type="dxa"/>
            <w:tcBorders>
              <w:top w:val="nil"/>
              <w:left w:val="double" w:sz="6" w:space="0" w:color="000000"/>
              <w:bottom w:val="single" w:sz="4" w:space="0" w:color="auto"/>
              <w:right w:val="single" w:sz="4" w:space="0" w:color="auto"/>
            </w:tcBorders>
            <w:shd w:val="clear" w:color="auto" w:fill="auto"/>
            <w:hideMark/>
          </w:tcPr>
          <w:p w14:paraId="17766C45" w14:textId="77777777" w:rsidR="00247CBF" w:rsidRPr="00092ED7" w:rsidRDefault="00247CBF" w:rsidP="00247CBF">
            <w:pPr>
              <w:spacing w:after="0"/>
              <w:ind w:firstLineChars="200" w:firstLine="400"/>
              <w:rPr>
                <w:rFonts w:eastAsia="Times New Roman" w:cs="Times New Roman"/>
                <w:i/>
                <w:iCs/>
                <w:sz w:val="20"/>
                <w:szCs w:val="20"/>
                <w:lang w:val="sr-Cyrl-CS"/>
              </w:rPr>
            </w:pPr>
            <w:r w:rsidRPr="00092ED7">
              <w:rPr>
                <w:rFonts w:eastAsia="Times New Roman" w:cs="Times New Roman"/>
                <w:i/>
                <w:iCs/>
                <w:sz w:val="20"/>
                <w:szCs w:val="20"/>
                <w:lang w:val="sr-Cyrl-CS"/>
              </w:rPr>
              <w:t xml:space="preserve">од чега: </w:t>
            </w:r>
            <w:r w:rsidRPr="00092ED7">
              <w:rPr>
                <w:rFonts w:eastAsia="Times New Roman" w:cs="Times New Roman"/>
                <w:sz w:val="20"/>
                <w:szCs w:val="20"/>
                <w:lang w:val="sr-Cyrl-CS"/>
              </w:rPr>
              <w:t>консолидована средства јавног пензијског фонда (средства без државних обавеза)</w:t>
            </w:r>
          </w:p>
        </w:tc>
        <w:tc>
          <w:tcPr>
            <w:tcW w:w="1205" w:type="dxa"/>
            <w:tcBorders>
              <w:top w:val="nil"/>
              <w:left w:val="nil"/>
              <w:bottom w:val="single" w:sz="4" w:space="0" w:color="auto"/>
              <w:right w:val="dotted" w:sz="4" w:space="0" w:color="000000"/>
            </w:tcBorders>
            <w:shd w:val="clear" w:color="auto" w:fill="auto"/>
          </w:tcPr>
          <w:p w14:paraId="35244233"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single" w:sz="4" w:space="0" w:color="auto"/>
              <w:right w:val="dotted" w:sz="4" w:space="0" w:color="000000"/>
            </w:tcBorders>
            <w:shd w:val="clear" w:color="auto" w:fill="auto"/>
          </w:tcPr>
          <w:p w14:paraId="4B0C5BAB"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single" w:sz="4" w:space="0" w:color="auto"/>
              <w:right w:val="dotted" w:sz="4" w:space="0" w:color="000000"/>
            </w:tcBorders>
            <w:shd w:val="clear" w:color="auto" w:fill="auto"/>
          </w:tcPr>
          <w:p w14:paraId="3425915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single" w:sz="4" w:space="0" w:color="auto"/>
              <w:right w:val="dotted" w:sz="4" w:space="0" w:color="000000"/>
            </w:tcBorders>
            <w:shd w:val="clear" w:color="auto" w:fill="auto"/>
          </w:tcPr>
          <w:p w14:paraId="2046088F"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single" w:sz="4" w:space="0" w:color="auto"/>
              <w:right w:val="dotted" w:sz="4" w:space="0" w:color="000000"/>
            </w:tcBorders>
            <w:shd w:val="clear" w:color="auto" w:fill="auto"/>
          </w:tcPr>
          <w:p w14:paraId="39C307C7"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single" w:sz="4" w:space="0" w:color="auto"/>
              <w:right w:val="dotted" w:sz="4" w:space="0" w:color="000000"/>
            </w:tcBorders>
            <w:shd w:val="clear" w:color="auto" w:fill="auto"/>
          </w:tcPr>
          <w:p w14:paraId="0A0E2F1E"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single" w:sz="4" w:space="0" w:color="auto"/>
              <w:right w:val="double" w:sz="6" w:space="0" w:color="000000"/>
            </w:tcBorders>
            <w:shd w:val="clear" w:color="auto" w:fill="auto"/>
          </w:tcPr>
          <w:p w14:paraId="5D3252DC"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043348D1" w14:textId="77777777" w:rsidTr="00247CBF">
        <w:trPr>
          <w:trHeight w:val="255"/>
        </w:trPr>
        <w:tc>
          <w:tcPr>
            <w:tcW w:w="6000" w:type="dxa"/>
            <w:tcBorders>
              <w:top w:val="nil"/>
              <w:left w:val="double" w:sz="6" w:space="0" w:color="000000"/>
              <w:bottom w:val="single" w:sz="4" w:space="0" w:color="auto"/>
              <w:right w:val="nil"/>
            </w:tcBorders>
            <w:shd w:val="clear" w:color="auto" w:fill="auto"/>
            <w:hideMark/>
          </w:tcPr>
          <w:p w14:paraId="4BA75991"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Претпоставке</w:t>
            </w:r>
          </w:p>
        </w:tc>
        <w:tc>
          <w:tcPr>
            <w:tcW w:w="1205" w:type="dxa"/>
            <w:tcBorders>
              <w:top w:val="nil"/>
              <w:left w:val="nil"/>
              <w:bottom w:val="single" w:sz="4" w:space="0" w:color="auto"/>
              <w:right w:val="nil"/>
            </w:tcBorders>
            <w:shd w:val="clear" w:color="auto" w:fill="auto"/>
          </w:tcPr>
          <w:p w14:paraId="6E23FB0C" w14:textId="77777777" w:rsidR="00247CBF" w:rsidRPr="00092ED7" w:rsidRDefault="00247CBF" w:rsidP="00247CBF">
            <w:pPr>
              <w:spacing w:after="0"/>
              <w:jc w:val="center"/>
              <w:rPr>
                <w:rFonts w:eastAsia="Times New Roman" w:cs="Times New Roman"/>
                <w:b/>
                <w:bCs/>
                <w:sz w:val="20"/>
                <w:szCs w:val="20"/>
                <w:lang w:val="sr-Cyrl-CS"/>
              </w:rPr>
            </w:pPr>
          </w:p>
        </w:tc>
        <w:tc>
          <w:tcPr>
            <w:tcW w:w="1205" w:type="dxa"/>
            <w:tcBorders>
              <w:top w:val="nil"/>
              <w:left w:val="nil"/>
              <w:bottom w:val="single" w:sz="4" w:space="0" w:color="auto"/>
              <w:right w:val="nil"/>
            </w:tcBorders>
            <w:shd w:val="clear" w:color="auto" w:fill="auto"/>
          </w:tcPr>
          <w:p w14:paraId="7562E05C" w14:textId="77777777" w:rsidR="00247CBF" w:rsidRPr="00092ED7" w:rsidRDefault="00247CBF" w:rsidP="00247CBF">
            <w:pPr>
              <w:spacing w:after="0"/>
              <w:jc w:val="center"/>
              <w:rPr>
                <w:rFonts w:eastAsia="Times New Roman" w:cs="Times New Roman"/>
                <w:b/>
                <w:bCs/>
                <w:sz w:val="20"/>
                <w:szCs w:val="20"/>
                <w:lang w:val="sr-Cyrl-CS"/>
              </w:rPr>
            </w:pPr>
          </w:p>
        </w:tc>
        <w:tc>
          <w:tcPr>
            <w:tcW w:w="1205" w:type="dxa"/>
            <w:tcBorders>
              <w:top w:val="nil"/>
              <w:left w:val="nil"/>
              <w:bottom w:val="single" w:sz="4" w:space="0" w:color="auto"/>
              <w:right w:val="nil"/>
            </w:tcBorders>
            <w:shd w:val="clear" w:color="auto" w:fill="auto"/>
          </w:tcPr>
          <w:p w14:paraId="6D4623ED" w14:textId="77777777" w:rsidR="00247CBF" w:rsidRPr="00092ED7" w:rsidRDefault="00247CBF" w:rsidP="00247CBF">
            <w:pPr>
              <w:spacing w:after="0"/>
              <w:jc w:val="center"/>
              <w:rPr>
                <w:rFonts w:eastAsia="Times New Roman" w:cs="Times New Roman"/>
                <w:b/>
                <w:bCs/>
                <w:sz w:val="20"/>
                <w:szCs w:val="20"/>
                <w:lang w:val="sr-Cyrl-CS"/>
              </w:rPr>
            </w:pPr>
          </w:p>
        </w:tc>
        <w:tc>
          <w:tcPr>
            <w:tcW w:w="1205" w:type="dxa"/>
            <w:tcBorders>
              <w:top w:val="nil"/>
              <w:left w:val="nil"/>
              <w:bottom w:val="single" w:sz="4" w:space="0" w:color="auto"/>
              <w:right w:val="nil"/>
            </w:tcBorders>
            <w:shd w:val="clear" w:color="auto" w:fill="auto"/>
          </w:tcPr>
          <w:p w14:paraId="36DD3AB4" w14:textId="77777777" w:rsidR="00247CBF" w:rsidRPr="00092ED7" w:rsidRDefault="00247CBF" w:rsidP="00247CBF">
            <w:pPr>
              <w:spacing w:after="0"/>
              <w:jc w:val="center"/>
              <w:rPr>
                <w:rFonts w:eastAsia="Times New Roman" w:cs="Times New Roman"/>
                <w:b/>
                <w:bCs/>
                <w:sz w:val="20"/>
                <w:szCs w:val="20"/>
                <w:lang w:val="sr-Cyrl-CS"/>
              </w:rPr>
            </w:pPr>
          </w:p>
        </w:tc>
        <w:tc>
          <w:tcPr>
            <w:tcW w:w="1205" w:type="dxa"/>
            <w:tcBorders>
              <w:top w:val="nil"/>
              <w:left w:val="nil"/>
              <w:bottom w:val="single" w:sz="4" w:space="0" w:color="auto"/>
              <w:right w:val="nil"/>
            </w:tcBorders>
            <w:shd w:val="clear" w:color="auto" w:fill="auto"/>
          </w:tcPr>
          <w:p w14:paraId="6021CBC1" w14:textId="77777777" w:rsidR="00247CBF" w:rsidRPr="00092ED7" w:rsidRDefault="00247CBF" w:rsidP="00247CBF">
            <w:pPr>
              <w:spacing w:after="0"/>
              <w:jc w:val="center"/>
              <w:rPr>
                <w:rFonts w:eastAsia="Times New Roman" w:cs="Times New Roman"/>
                <w:b/>
                <w:bCs/>
                <w:sz w:val="20"/>
                <w:szCs w:val="20"/>
                <w:lang w:val="sr-Cyrl-CS"/>
              </w:rPr>
            </w:pPr>
          </w:p>
        </w:tc>
        <w:tc>
          <w:tcPr>
            <w:tcW w:w="1205" w:type="dxa"/>
            <w:tcBorders>
              <w:top w:val="nil"/>
              <w:left w:val="nil"/>
              <w:bottom w:val="single" w:sz="4" w:space="0" w:color="auto"/>
              <w:right w:val="nil"/>
            </w:tcBorders>
            <w:shd w:val="clear" w:color="auto" w:fill="auto"/>
          </w:tcPr>
          <w:p w14:paraId="0B928614" w14:textId="77777777" w:rsidR="00247CBF" w:rsidRPr="00092ED7" w:rsidRDefault="00247CBF" w:rsidP="00247CBF">
            <w:pPr>
              <w:spacing w:after="0"/>
              <w:jc w:val="center"/>
              <w:rPr>
                <w:rFonts w:eastAsia="Times New Roman" w:cs="Times New Roman"/>
                <w:b/>
                <w:bCs/>
                <w:sz w:val="20"/>
                <w:szCs w:val="20"/>
                <w:lang w:val="sr-Cyrl-CS"/>
              </w:rPr>
            </w:pPr>
          </w:p>
        </w:tc>
        <w:tc>
          <w:tcPr>
            <w:tcW w:w="1206" w:type="dxa"/>
            <w:tcBorders>
              <w:top w:val="nil"/>
              <w:left w:val="nil"/>
              <w:bottom w:val="single" w:sz="4" w:space="0" w:color="auto"/>
              <w:right w:val="double" w:sz="6" w:space="0" w:color="000000"/>
            </w:tcBorders>
            <w:shd w:val="clear" w:color="auto" w:fill="auto"/>
          </w:tcPr>
          <w:p w14:paraId="0F2E7460" w14:textId="77777777" w:rsidR="00247CBF" w:rsidRPr="00092ED7" w:rsidRDefault="00247CBF" w:rsidP="00247CBF">
            <w:pPr>
              <w:spacing w:after="0"/>
              <w:jc w:val="center"/>
              <w:rPr>
                <w:rFonts w:eastAsia="Times New Roman" w:cs="Times New Roman"/>
                <w:b/>
                <w:bCs/>
                <w:sz w:val="20"/>
                <w:szCs w:val="20"/>
                <w:lang w:val="sr-Cyrl-CS"/>
              </w:rPr>
            </w:pPr>
          </w:p>
        </w:tc>
      </w:tr>
      <w:tr w:rsidR="00247CBF" w:rsidRPr="00092ED7" w14:paraId="5A673E28"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3E7D276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Раст продуктивности рада</w:t>
            </w:r>
          </w:p>
        </w:tc>
        <w:tc>
          <w:tcPr>
            <w:tcW w:w="1205" w:type="dxa"/>
            <w:tcBorders>
              <w:top w:val="nil"/>
              <w:left w:val="nil"/>
              <w:bottom w:val="dotted" w:sz="4" w:space="0" w:color="000000"/>
              <w:right w:val="dotted" w:sz="4" w:space="0" w:color="000000"/>
            </w:tcBorders>
            <w:shd w:val="clear" w:color="auto" w:fill="auto"/>
          </w:tcPr>
          <w:p w14:paraId="625DA46F"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D7A267E"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2238665"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7E78344"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7A3B8D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EF71B19"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58D765BF"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2A37437F"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45C8625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Реални раст БДП-а</w:t>
            </w:r>
          </w:p>
        </w:tc>
        <w:tc>
          <w:tcPr>
            <w:tcW w:w="1205" w:type="dxa"/>
            <w:tcBorders>
              <w:top w:val="nil"/>
              <w:left w:val="nil"/>
              <w:bottom w:val="dotted" w:sz="4" w:space="0" w:color="000000"/>
              <w:right w:val="dotted" w:sz="4" w:space="0" w:color="000000"/>
            </w:tcBorders>
            <w:shd w:val="clear" w:color="auto" w:fill="auto"/>
          </w:tcPr>
          <w:p w14:paraId="33718D55"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647B4AC"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7EAE634"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98E29CF"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DE6F0FE"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FB837C8"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5940E8FE"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48A42A80"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2525363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Стопа активности мушкараца (20-64 год.)</w:t>
            </w:r>
          </w:p>
        </w:tc>
        <w:tc>
          <w:tcPr>
            <w:tcW w:w="1205" w:type="dxa"/>
            <w:tcBorders>
              <w:top w:val="nil"/>
              <w:left w:val="nil"/>
              <w:bottom w:val="dotted" w:sz="4" w:space="0" w:color="000000"/>
              <w:right w:val="dotted" w:sz="4" w:space="0" w:color="000000"/>
            </w:tcBorders>
            <w:shd w:val="clear" w:color="auto" w:fill="auto"/>
          </w:tcPr>
          <w:p w14:paraId="1F9D4548"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6F778D35"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87110FB"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4A5483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3D080C8"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0E95CD7"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139B51F7"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191865DE"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5CFF579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Стопа активности жена (20-64 год.)</w:t>
            </w:r>
          </w:p>
        </w:tc>
        <w:tc>
          <w:tcPr>
            <w:tcW w:w="1205" w:type="dxa"/>
            <w:tcBorders>
              <w:top w:val="nil"/>
              <w:left w:val="nil"/>
              <w:bottom w:val="dotted" w:sz="4" w:space="0" w:color="000000"/>
              <w:right w:val="dotted" w:sz="4" w:space="0" w:color="000000"/>
            </w:tcBorders>
            <w:shd w:val="clear" w:color="auto" w:fill="auto"/>
          </w:tcPr>
          <w:p w14:paraId="4ACF166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59BB7F4"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1ECBE24"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2475541"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59E60D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7F6548D"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20167878"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3CD72E1C"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5808BA0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Општа стопа активности (20-64 год.)</w:t>
            </w:r>
          </w:p>
        </w:tc>
        <w:tc>
          <w:tcPr>
            <w:tcW w:w="1205" w:type="dxa"/>
            <w:tcBorders>
              <w:top w:val="nil"/>
              <w:left w:val="nil"/>
              <w:bottom w:val="dotted" w:sz="4" w:space="0" w:color="000000"/>
              <w:right w:val="dotted" w:sz="4" w:space="0" w:color="000000"/>
            </w:tcBorders>
            <w:shd w:val="clear" w:color="auto" w:fill="auto"/>
          </w:tcPr>
          <w:p w14:paraId="61D6A511"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287724B"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138570D"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970633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79B2F7D"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779A793"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711E9215"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49C1A89E"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2610B30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Стопа незапослености</w:t>
            </w:r>
          </w:p>
        </w:tc>
        <w:tc>
          <w:tcPr>
            <w:tcW w:w="1205" w:type="dxa"/>
            <w:tcBorders>
              <w:top w:val="nil"/>
              <w:left w:val="nil"/>
              <w:bottom w:val="dotted" w:sz="4" w:space="0" w:color="000000"/>
              <w:right w:val="dotted" w:sz="4" w:space="0" w:color="000000"/>
            </w:tcBorders>
            <w:shd w:val="clear" w:color="auto" w:fill="auto"/>
          </w:tcPr>
          <w:p w14:paraId="69B0D8A0"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0735E1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4EDB51C"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E49A65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A7F807E"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8714BA7"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7D6FEC1A"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55201AF1" w14:textId="77777777" w:rsidTr="00247CBF">
        <w:trPr>
          <w:trHeight w:val="270"/>
        </w:trPr>
        <w:tc>
          <w:tcPr>
            <w:tcW w:w="6000" w:type="dxa"/>
            <w:tcBorders>
              <w:top w:val="nil"/>
              <w:left w:val="double" w:sz="6" w:space="0" w:color="000000"/>
              <w:bottom w:val="double" w:sz="6" w:space="0" w:color="000000"/>
              <w:right w:val="single" w:sz="4" w:space="0" w:color="auto"/>
            </w:tcBorders>
            <w:shd w:val="clear" w:color="auto" w:fill="auto"/>
            <w:hideMark/>
          </w:tcPr>
          <w:p w14:paraId="256E82F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Становништво узраста 65+ у укупном становништву</w:t>
            </w:r>
          </w:p>
        </w:tc>
        <w:tc>
          <w:tcPr>
            <w:tcW w:w="1205" w:type="dxa"/>
            <w:tcBorders>
              <w:top w:val="nil"/>
              <w:left w:val="nil"/>
              <w:bottom w:val="double" w:sz="6" w:space="0" w:color="000000"/>
              <w:right w:val="dotted" w:sz="4" w:space="0" w:color="000000"/>
            </w:tcBorders>
            <w:shd w:val="clear" w:color="auto" w:fill="auto"/>
          </w:tcPr>
          <w:p w14:paraId="1BA27E0B" w14:textId="77777777" w:rsidR="00247CBF" w:rsidRPr="00092ED7" w:rsidRDefault="00247CBF" w:rsidP="00247CBF">
            <w:pPr>
              <w:spacing w:after="0"/>
              <w:jc w:val="center"/>
              <w:rPr>
                <w:rFonts w:eastAsia="Times New Roman" w:cs="Times New Roman"/>
                <w:b/>
                <w:bCs/>
                <w:sz w:val="20"/>
                <w:szCs w:val="20"/>
                <w:lang w:val="sr-Cyrl-CS"/>
              </w:rPr>
            </w:pPr>
          </w:p>
        </w:tc>
        <w:tc>
          <w:tcPr>
            <w:tcW w:w="1205" w:type="dxa"/>
            <w:tcBorders>
              <w:top w:val="nil"/>
              <w:left w:val="nil"/>
              <w:bottom w:val="double" w:sz="6" w:space="0" w:color="000000"/>
              <w:right w:val="dotted" w:sz="4" w:space="0" w:color="000000"/>
            </w:tcBorders>
            <w:shd w:val="clear" w:color="auto" w:fill="auto"/>
          </w:tcPr>
          <w:p w14:paraId="43CA36B3"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uble" w:sz="6" w:space="0" w:color="000000"/>
              <w:right w:val="dotted" w:sz="4" w:space="0" w:color="000000"/>
            </w:tcBorders>
            <w:shd w:val="clear" w:color="auto" w:fill="auto"/>
          </w:tcPr>
          <w:p w14:paraId="3FA14E8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uble" w:sz="6" w:space="0" w:color="000000"/>
              <w:right w:val="dotted" w:sz="4" w:space="0" w:color="000000"/>
            </w:tcBorders>
            <w:shd w:val="clear" w:color="auto" w:fill="auto"/>
          </w:tcPr>
          <w:p w14:paraId="2A4ED1FC"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uble" w:sz="6" w:space="0" w:color="000000"/>
              <w:right w:val="dotted" w:sz="4" w:space="0" w:color="000000"/>
            </w:tcBorders>
            <w:shd w:val="clear" w:color="auto" w:fill="auto"/>
          </w:tcPr>
          <w:p w14:paraId="2CDA7FD3"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uble" w:sz="6" w:space="0" w:color="000000"/>
              <w:right w:val="dotted" w:sz="4" w:space="0" w:color="000000"/>
            </w:tcBorders>
            <w:shd w:val="clear" w:color="auto" w:fill="auto"/>
          </w:tcPr>
          <w:p w14:paraId="55667BDF"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uble" w:sz="6" w:space="0" w:color="000000"/>
              <w:right w:val="double" w:sz="6" w:space="0" w:color="000000"/>
            </w:tcBorders>
            <w:shd w:val="clear" w:color="auto" w:fill="auto"/>
          </w:tcPr>
          <w:p w14:paraId="57AAF905" w14:textId="77777777" w:rsidR="00247CBF" w:rsidRPr="00092ED7" w:rsidRDefault="00247CBF" w:rsidP="00247CBF">
            <w:pPr>
              <w:spacing w:after="0"/>
              <w:jc w:val="center"/>
              <w:rPr>
                <w:rFonts w:eastAsia="Times New Roman" w:cs="Times New Roman"/>
                <w:sz w:val="20"/>
                <w:szCs w:val="20"/>
                <w:lang w:val="sr-Cyrl-CS"/>
              </w:rPr>
            </w:pPr>
          </w:p>
        </w:tc>
      </w:tr>
    </w:tbl>
    <w:p w14:paraId="4BB67F7E" w14:textId="77777777" w:rsidR="00247CBF" w:rsidRPr="00092ED7" w:rsidRDefault="00247CBF" w:rsidP="00247CBF">
      <w:pPr>
        <w:rPr>
          <w:rFonts w:cs="Times New Roman"/>
          <w:lang w:val="sr-Cyrl-CS"/>
        </w:rPr>
      </w:pPr>
    </w:p>
    <w:p w14:paraId="3345ECDA" w14:textId="77777777" w:rsidR="00247CBF" w:rsidRPr="00092ED7" w:rsidRDefault="00247CBF" w:rsidP="00247CBF">
      <w:pPr>
        <w:rPr>
          <w:rFonts w:cs="Times New Roman"/>
          <w:lang w:val="sr-Cyrl-CS"/>
        </w:rPr>
      </w:pPr>
    </w:p>
    <w:p w14:paraId="1C9C2623" w14:textId="77777777" w:rsidR="00247CBF" w:rsidRPr="00092ED7" w:rsidRDefault="00247CBF" w:rsidP="00247CBF">
      <w:pPr>
        <w:rPr>
          <w:rFonts w:cs="Times New Roman"/>
          <w:lang w:val="sr-Cyrl-CS"/>
        </w:rPr>
      </w:pPr>
    </w:p>
    <w:tbl>
      <w:tblPr>
        <w:tblW w:w="5000" w:type="pct"/>
        <w:tblInd w:w="23" w:type="dxa"/>
        <w:tblLook w:val="04A0" w:firstRow="1" w:lastRow="0" w:firstColumn="1" w:lastColumn="0" w:noHBand="0" w:noVBand="1"/>
      </w:tblPr>
      <w:tblGrid>
        <w:gridCol w:w="67"/>
        <w:gridCol w:w="6994"/>
        <w:gridCol w:w="1043"/>
        <w:gridCol w:w="29"/>
        <w:gridCol w:w="851"/>
        <w:gridCol w:w="221"/>
        <w:gridCol w:w="624"/>
        <w:gridCol w:w="449"/>
        <w:gridCol w:w="431"/>
        <w:gridCol w:w="641"/>
        <w:gridCol w:w="207"/>
        <w:gridCol w:w="865"/>
        <w:gridCol w:w="15"/>
        <w:gridCol w:w="1058"/>
        <w:gridCol w:w="1043"/>
        <w:gridCol w:w="32"/>
      </w:tblGrid>
      <w:tr w:rsidR="00247CBF" w:rsidRPr="00092ED7" w14:paraId="4C0A01AA" w14:textId="77777777" w:rsidTr="00247CBF">
        <w:trPr>
          <w:gridBefore w:val="1"/>
          <w:gridAfter w:val="1"/>
          <w:wBefore w:w="23" w:type="pct"/>
          <w:wAfter w:w="11" w:type="pct"/>
          <w:trHeight w:val="330"/>
        </w:trPr>
        <w:tc>
          <w:tcPr>
            <w:tcW w:w="2758" w:type="pct"/>
            <w:gridSpan w:val="2"/>
            <w:tcBorders>
              <w:top w:val="nil"/>
              <w:left w:val="nil"/>
              <w:bottom w:val="nil"/>
              <w:right w:val="nil"/>
            </w:tcBorders>
            <w:shd w:val="clear" w:color="000000" w:fill="FFFFFF"/>
            <w:noWrap/>
            <w:vAlign w:val="bottom"/>
            <w:hideMark/>
          </w:tcPr>
          <w:p w14:paraId="2D6FD65F"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7: Дугорочна одрживост јавних финансија</w:t>
            </w:r>
          </w:p>
        </w:tc>
        <w:tc>
          <w:tcPr>
            <w:tcW w:w="302" w:type="pct"/>
            <w:gridSpan w:val="2"/>
            <w:tcBorders>
              <w:top w:val="nil"/>
              <w:left w:val="nil"/>
              <w:bottom w:val="nil"/>
              <w:right w:val="nil"/>
            </w:tcBorders>
            <w:shd w:val="clear" w:color="000000" w:fill="FFFFFF"/>
            <w:noWrap/>
            <w:vAlign w:val="bottom"/>
            <w:hideMark/>
          </w:tcPr>
          <w:p w14:paraId="367FC33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290" w:type="pct"/>
            <w:gridSpan w:val="2"/>
            <w:tcBorders>
              <w:top w:val="nil"/>
              <w:left w:val="nil"/>
              <w:bottom w:val="nil"/>
              <w:right w:val="nil"/>
            </w:tcBorders>
            <w:shd w:val="clear" w:color="000000" w:fill="FFFFFF"/>
            <w:noWrap/>
            <w:vAlign w:val="bottom"/>
            <w:hideMark/>
          </w:tcPr>
          <w:p w14:paraId="5E700FF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02" w:type="pct"/>
            <w:gridSpan w:val="2"/>
            <w:tcBorders>
              <w:top w:val="nil"/>
              <w:left w:val="nil"/>
              <w:bottom w:val="nil"/>
              <w:right w:val="nil"/>
            </w:tcBorders>
            <w:shd w:val="clear" w:color="000000" w:fill="FFFFFF"/>
            <w:noWrap/>
            <w:vAlign w:val="bottom"/>
            <w:hideMark/>
          </w:tcPr>
          <w:p w14:paraId="0C22009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291" w:type="pct"/>
            <w:gridSpan w:val="2"/>
            <w:tcBorders>
              <w:top w:val="nil"/>
              <w:left w:val="nil"/>
              <w:bottom w:val="nil"/>
              <w:right w:val="nil"/>
            </w:tcBorders>
            <w:shd w:val="clear" w:color="000000" w:fill="FFFFFF"/>
            <w:noWrap/>
            <w:vAlign w:val="bottom"/>
            <w:hideMark/>
          </w:tcPr>
          <w:p w14:paraId="0F7CF2E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02" w:type="pct"/>
            <w:gridSpan w:val="2"/>
            <w:tcBorders>
              <w:top w:val="nil"/>
              <w:left w:val="nil"/>
              <w:bottom w:val="nil"/>
              <w:right w:val="nil"/>
            </w:tcBorders>
            <w:shd w:val="clear" w:color="000000" w:fill="FFFFFF"/>
            <w:noWrap/>
            <w:vAlign w:val="bottom"/>
            <w:hideMark/>
          </w:tcPr>
          <w:p w14:paraId="47803AA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721" w:type="pct"/>
            <w:gridSpan w:val="2"/>
            <w:tcBorders>
              <w:top w:val="nil"/>
              <w:left w:val="nil"/>
              <w:bottom w:val="nil"/>
              <w:right w:val="nil"/>
            </w:tcBorders>
            <w:shd w:val="clear" w:color="auto" w:fill="auto"/>
            <w:noWrap/>
            <w:vAlign w:val="bottom"/>
            <w:hideMark/>
          </w:tcPr>
          <w:p w14:paraId="1D57CAC1"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0DF1D2DE" w14:textId="77777777" w:rsidTr="00247CBF">
        <w:trPr>
          <w:trHeight w:val="300"/>
        </w:trPr>
        <w:tc>
          <w:tcPr>
            <w:tcW w:w="2423" w:type="pct"/>
            <w:gridSpan w:val="2"/>
            <w:tcBorders>
              <w:top w:val="double" w:sz="6" w:space="0" w:color="000000"/>
              <w:left w:val="double" w:sz="6" w:space="0" w:color="000000"/>
              <w:bottom w:val="single" w:sz="4" w:space="0" w:color="auto"/>
              <w:right w:val="single" w:sz="4" w:space="0" w:color="auto"/>
            </w:tcBorders>
            <w:shd w:val="clear" w:color="000000" w:fill="FFFFFF"/>
            <w:vAlign w:val="center"/>
            <w:hideMark/>
          </w:tcPr>
          <w:p w14:paraId="36EEAF6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7DCBB152" w14:textId="77777777" w:rsidR="00247CBF" w:rsidRPr="00092ED7" w:rsidRDefault="00247CBF" w:rsidP="00247CBF">
            <w:pPr>
              <w:spacing w:after="0"/>
              <w:jc w:val="center"/>
              <w:rPr>
                <w:sz w:val="20"/>
                <w:szCs w:val="20"/>
                <w:lang w:val="sr-Cyrl-CS"/>
              </w:rPr>
            </w:pPr>
            <w:r w:rsidRPr="00092ED7">
              <w:rPr>
                <w:sz w:val="20"/>
                <w:szCs w:val="20"/>
                <w:lang w:val="sr-Cyrl-CS"/>
              </w:rPr>
              <w:t>2007</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0A5E8BC1" w14:textId="77777777" w:rsidR="00247CBF" w:rsidRPr="00092ED7" w:rsidRDefault="00247CBF" w:rsidP="00247CBF">
            <w:pPr>
              <w:spacing w:after="0"/>
              <w:jc w:val="center"/>
              <w:rPr>
                <w:sz w:val="20"/>
                <w:szCs w:val="20"/>
                <w:lang w:val="sr-Cyrl-CS"/>
              </w:rPr>
            </w:pPr>
            <w:r w:rsidRPr="00092ED7">
              <w:rPr>
                <w:sz w:val="20"/>
                <w:szCs w:val="20"/>
                <w:lang w:val="sr-Cyrl-CS"/>
              </w:rPr>
              <w:t>2010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6824336B" w14:textId="77777777" w:rsidR="00247CBF" w:rsidRPr="00092ED7" w:rsidRDefault="00247CBF" w:rsidP="00247CBF">
            <w:pPr>
              <w:spacing w:after="0"/>
              <w:jc w:val="center"/>
              <w:rPr>
                <w:sz w:val="20"/>
                <w:szCs w:val="20"/>
                <w:lang w:val="sr-Cyrl-CS"/>
              </w:rPr>
            </w:pPr>
            <w:r w:rsidRPr="00092ED7">
              <w:rPr>
                <w:sz w:val="20"/>
                <w:szCs w:val="20"/>
                <w:lang w:val="sr-Cyrl-CS"/>
              </w:rPr>
              <w:t>2020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4FD57493" w14:textId="77777777" w:rsidR="00247CBF" w:rsidRPr="00092ED7" w:rsidRDefault="00247CBF" w:rsidP="00247CBF">
            <w:pPr>
              <w:spacing w:after="0"/>
              <w:jc w:val="center"/>
              <w:rPr>
                <w:sz w:val="20"/>
                <w:szCs w:val="20"/>
                <w:lang w:val="sr-Cyrl-CS"/>
              </w:rPr>
            </w:pPr>
            <w:r w:rsidRPr="00092ED7">
              <w:rPr>
                <w:sz w:val="20"/>
                <w:szCs w:val="20"/>
                <w:lang w:val="sr-Cyrl-CS"/>
              </w:rPr>
              <w:t>2030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4AE60A09" w14:textId="77777777" w:rsidR="00247CBF" w:rsidRPr="00092ED7" w:rsidRDefault="00247CBF" w:rsidP="00247CBF">
            <w:pPr>
              <w:spacing w:after="0"/>
              <w:jc w:val="center"/>
              <w:rPr>
                <w:sz w:val="20"/>
                <w:szCs w:val="20"/>
                <w:lang w:val="sr-Cyrl-CS"/>
              </w:rPr>
            </w:pPr>
            <w:r w:rsidRPr="00092ED7">
              <w:rPr>
                <w:sz w:val="20"/>
                <w:szCs w:val="20"/>
                <w:lang w:val="sr-Cyrl-CS"/>
              </w:rPr>
              <w:t>2040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761BE4EA" w14:textId="77777777" w:rsidR="00247CBF" w:rsidRPr="00092ED7" w:rsidRDefault="00247CBF" w:rsidP="00247CBF">
            <w:pPr>
              <w:spacing w:after="0"/>
              <w:jc w:val="center"/>
              <w:rPr>
                <w:sz w:val="20"/>
                <w:szCs w:val="20"/>
                <w:lang w:val="sr-Cyrl-CS"/>
              </w:rPr>
            </w:pPr>
            <w:r w:rsidRPr="00092ED7">
              <w:rPr>
                <w:sz w:val="20"/>
                <w:szCs w:val="20"/>
                <w:lang w:val="sr-Cyrl-CS"/>
              </w:rPr>
              <w:t>2050</w:t>
            </w:r>
          </w:p>
        </w:tc>
        <w:tc>
          <w:tcPr>
            <w:tcW w:w="369" w:type="pct"/>
            <w:gridSpan w:val="2"/>
            <w:tcBorders>
              <w:top w:val="double" w:sz="6" w:space="0" w:color="000000"/>
              <w:left w:val="nil"/>
              <w:bottom w:val="single" w:sz="4" w:space="0" w:color="auto"/>
              <w:right w:val="double" w:sz="6" w:space="0" w:color="000000"/>
            </w:tcBorders>
            <w:shd w:val="clear" w:color="000000" w:fill="FFFFFF"/>
            <w:vAlign w:val="center"/>
            <w:hideMark/>
          </w:tcPr>
          <w:p w14:paraId="2729E98F" w14:textId="77777777" w:rsidR="00247CBF" w:rsidRPr="00092ED7" w:rsidRDefault="00247CBF" w:rsidP="00247CBF">
            <w:pPr>
              <w:spacing w:after="0"/>
              <w:jc w:val="center"/>
              <w:rPr>
                <w:sz w:val="20"/>
                <w:szCs w:val="20"/>
                <w:lang w:val="sr-Cyrl-CS"/>
              </w:rPr>
            </w:pPr>
            <w:r w:rsidRPr="00092ED7">
              <w:rPr>
                <w:sz w:val="20"/>
                <w:szCs w:val="20"/>
                <w:lang w:val="sr-Cyrl-CS"/>
              </w:rPr>
              <w:t>2060</w:t>
            </w:r>
          </w:p>
        </w:tc>
      </w:tr>
      <w:tr w:rsidR="00247CBF" w:rsidRPr="00092ED7" w14:paraId="79BF0CB4"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11333FC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Укупни расходи</w:t>
            </w:r>
          </w:p>
        </w:tc>
        <w:tc>
          <w:tcPr>
            <w:tcW w:w="368" w:type="pct"/>
            <w:gridSpan w:val="2"/>
            <w:tcBorders>
              <w:top w:val="nil"/>
              <w:left w:val="nil"/>
              <w:bottom w:val="dotted" w:sz="4" w:space="0" w:color="000000"/>
              <w:right w:val="dotted" w:sz="4" w:space="0" w:color="000000"/>
            </w:tcBorders>
            <w:shd w:val="clear" w:color="auto" w:fill="auto"/>
            <w:hideMark/>
          </w:tcPr>
          <w:p w14:paraId="76237B4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A3E456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1F8D01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153D62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84A665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943D8F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3AE8382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21C2086E"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31573BB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xml:space="preserve">од чега: </w:t>
            </w:r>
          </w:p>
        </w:tc>
        <w:tc>
          <w:tcPr>
            <w:tcW w:w="368" w:type="pct"/>
            <w:gridSpan w:val="2"/>
            <w:tcBorders>
              <w:top w:val="nil"/>
              <w:left w:val="nil"/>
              <w:bottom w:val="dotted" w:sz="4" w:space="0" w:color="000000"/>
              <w:right w:val="dotted" w:sz="4" w:space="0" w:color="000000"/>
            </w:tcBorders>
            <w:shd w:val="clear" w:color="auto" w:fill="auto"/>
            <w:hideMark/>
          </w:tcPr>
          <w:p w14:paraId="7A9BC6A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52104A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EBD658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2ED79A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B602A8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34C150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58CF3F7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36E61249"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2BCA1BC9"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Расходи везани за године живота</w:t>
            </w:r>
          </w:p>
        </w:tc>
        <w:tc>
          <w:tcPr>
            <w:tcW w:w="368" w:type="pct"/>
            <w:gridSpan w:val="2"/>
            <w:tcBorders>
              <w:top w:val="nil"/>
              <w:left w:val="nil"/>
              <w:bottom w:val="dotted" w:sz="4" w:space="0" w:color="000000"/>
              <w:right w:val="dotted" w:sz="4" w:space="0" w:color="000000"/>
            </w:tcBorders>
            <w:shd w:val="clear" w:color="auto" w:fill="auto"/>
            <w:hideMark/>
          </w:tcPr>
          <w:p w14:paraId="0398ADD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352A17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4095C8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6304C8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5F5104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57DDB2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784CD72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1E213BB"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335859C1"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расходи за пензије</w:t>
            </w:r>
          </w:p>
        </w:tc>
        <w:tc>
          <w:tcPr>
            <w:tcW w:w="368" w:type="pct"/>
            <w:gridSpan w:val="2"/>
            <w:tcBorders>
              <w:top w:val="nil"/>
              <w:left w:val="nil"/>
              <w:bottom w:val="dotted" w:sz="4" w:space="0" w:color="000000"/>
              <w:right w:val="dotted" w:sz="4" w:space="0" w:color="000000"/>
            </w:tcBorders>
            <w:shd w:val="clear" w:color="auto" w:fill="auto"/>
            <w:hideMark/>
          </w:tcPr>
          <w:p w14:paraId="5F7815C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CE87D3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E19500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C1EC46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3606F7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5A0105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58A01F6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6D778655"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291BA7D4"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Социјалне пензије </w:t>
            </w:r>
          </w:p>
        </w:tc>
        <w:tc>
          <w:tcPr>
            <w:tcW w:w="368" w:type="pct"/>
            <w:gridSpan w:val="2"/>
            <w:tcBorders>
              <w:top w:val="nil"/>
              <w:left w:val="nil"/>
              <w:bottom w:val="dotted" w:sz="4" w:space="0" w:color="000000"/>
              <w:right w:val="dotted" w:sz="4" w:space="0" w:color="000000"/>
            </w:tcBorders>
            <w:shd w:val="clear" w:color="auto" w:fill="auto"/>
            <w:hideMark/>
          </w:tcPr>
          <w:p w14:paraId="2502410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284F77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21769B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73FCCF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5A671F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D6E51D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4C477C4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4DCF7385"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1D696337"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Старосне и превремене пензије</w:t>
            </w:r>
          </w:p>
        </w:tc>
        <w:tc>
          <w:tcPr>
            <w:tcW w:w="368" w:type="pct"/>
            <w:gridSpan w:val="2"/>
            <w:tcBorders>
              <w:top w:val="nil"/>
              <w:left w:val="nil"/>
              <w:bottom w:val="dotted" w:sz="4" w:space="0" w:color="000000"/>
              <w:right w:val="dotted" w:sz="4" w:space="0" w:color="000000"/>
            </w:tcBorders>
            <w:shd w:val="clear" w:color="auto" w:fill="auto"/>
            <w:hideMark/>
          </w:tcPr>
          <w:p w14:paraId="6F10040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477729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573A9A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140383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7BA94C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BEAE34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6D1EB33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5A50B280" w14:textId="77777777" w:rsidTr="00247CBF">
        <w:trPr>
          <w:trHeight w:val="300"/>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2A8F8411"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Остале пензије (инвалидске, породичне)</w:t>
            </w:r>
          </w:p>
        </w:tc>
        <w:tc>
          <w:tcPr>
            <w:tcW w:w="368" w:type="pct"/>
            <w:gridSpan w:val="2"/>
            <w:tcBorders>
              <w:top w:val="nil"/>
              <w:left w:val="nil"/>
              <w:bottom w:val="dotted" w:sz="4" w:space="0" w:color="000000"/>
              <w:right w:val="dotted" w:sz="4" w:space="0" w:color="000000"/>
            </w:tcBorders>
            <w:shd w:val="clear" w:color="auto" w:fill="auto"/>
            <w:hideMark/>
          </w:tcPr>
          <w:p w14:paraId="5ECA565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35F437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8ABE95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624C3B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B762EE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FF16C4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3BD44B1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24CF6D5A" w14:textId="77777777" w:rsidTr="00247CBF">
        <w:trPr>
          <w:trHeight w:val="52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64DCC4D8"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Професионалне пензије (уколико припадају општем нивоу државе)</w:t>
            </w:r>
          </w:p>
        </w:tc>
        <w:tc>
          <w:tcPr>
            <w:tcW w:w="368" w:type="pct"/>
            <w:gridSpan w:val="2"/>
            <w:tcBorders>
              <w:top w:val="nil"/>
              <w:left w:val="nil"/>
              <w:bottom w:val="dotted" w:sz="4" w:space="0" w:color="000000"/>
              <w:right w:val="dotted" w:sz="4" w:space="0" w:color="000000"/>
            </w:tcBorders>
            <w:shd w:val="clear" w:color="auto" w:fill="auto"/>
            <w:hideMark/>
          </w:tcPr>
          <w:p w14:paraId="0478855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E9FF92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A27116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7D2B4D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971819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28548A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1E40537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43CDE0F"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44A2DD1A"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Здравство</w:t>
            </w:r>
          </w:p>
        </w:tc>
        <w:tc>
          <w:tcPr>
            <w:tcW w:w="368" w:type="pct"/>
            <w:gridSpan w:val="2"/>
            <w:tcBorders>
              <w:top w:val="nil"/>
              <w:left w:val="nil"/>
              <w:bottom w:val="dotted" w:sz="4" w:space="0" w:color="000000"/>
              <w:right w:val="dotted" w:sz="4" w:space="0" w:color="000000"/>
            </w:tcBorders>
            <w:shd w:val="clear" w:color="auto" w:fill="auto"/>
            <w:hideMark/>
          </w:tcPr>
          <w:p w14:paraId="37090C4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128035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714DF6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6CB07E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5FBC79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724EA6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5E418FF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F9A357A" w14:textId="77777777" w:rsidTr="00247CBF">
        <w:trPr>
          <w:trHeight w:val="300"/>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7E1FAB6E"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Дуготрајна нега (раније је била укључена у здравство)</w:t>
            </w:r>
          </w:p>
        </w:tc>
        <w:tc>
          <w:tcPr>
            <w:tcW w:w="368" w:type="pct"/>
            <w:gridSpan w:val="2"/>
            <w:tcBorders>
              <w:top w:val="nil"/>
              <w:left w:val="nil"/>
              <w:bottom w:val="dotted" w:sz="4" w:space="0" w:color="000000"/>
              <w:right w:val="dotted" w:sz="4" w:space="0" w:color="000000"/>
            </w:tcBorders>
            <w:shd w:val="clear" w:color="auto" w:fill="auto"/>
            <w:hideMark/>
          </w:tcPr>
          <w:p w14:paraId="20008DD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04DC30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23FA22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E3DB93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0F7728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FF0C50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12C4B68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2FA7CD58"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7A024F2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Расходи за образовање</w:t>
            </w:r>
          </w:p>
        </w:tc>
        <w:tc>
          <w:tcPr>
            <w:tcW w:w="368" w:type="pct"/>
            <w:gridSpan w:val="2"/>
            <w:tcBorders>
              <w:top w:val="nil"/>
              <w:left w:val="nil"/>
              <w:bottom w:val="dotted" w:sz="4" w:space="0" w:color="000000"/>
              <w:right w:val="dotted" w:sz="4" w:space="0" w:color="000000"/>
            </w:tcBorders>
            <w:shd w:val="clear" w:color="auto" w:fill="auto"/>
            <w:hideMark/>
          </w:tcPr>
          <w:p w14:paraId="45A3701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A103C5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BE76D2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8528C8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1E6662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EE9756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3D48DF3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73DE39A4"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537D81A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Остали расходи везани за године живота</w:t>
            </w:r>
          </w:p>
        </w:tc>
        <w:tc>
          <w:tcPr>
            <w:tcW w:w="368" w:type="pct"/>
            <w:gridSpan w:val="2"/>
            <w:tcBorders>
              <w:top w:val="nil"/>
              <w:left w:val="nil"/>
              <w:bottom w:val="dotted" w:sz="4" w:space="0" w:color="000000"/>
              <w:right w:val="dotted" w:sz="4" w:space="0" w:color="000000"/>
            </w:tcBorders>
            <w:shd w:val="clear" w:color="auto" w:fill="auto"/>
            <w:hideMark/>
          </w:tcPr>
          <w:p w14:paraId="10E4F2D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A43E00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8F6CE9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F60C42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E52270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0B0BC2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172EA78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6F41F223"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2F562C1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Расходи за камате</w:t>
            </w:r>
          </w:p>
        </w:tc>
        <w:tc>
          <w:tcPr>
            <w:tcW w:w="368" w:type="pct"/>
            <w:gridSpan w:val="2"/>
            <w:tcBorders>
              <w:top w:val="nil"/>
              <w:left w:val="nil"/>
              <w:bottom w:val="dotted" w:sz="4" w:space="0" w:color="000000"/>
              <w:right w:val="dotted" w:sz="4" w:space="0" w:color="000000"/>
            </w:tcBorders>
            <w:shd w:val="clear" w:color="auto" w:fill="auto"/>
            <w:hideMark/>
          </w:tcPr>
          <w:p w14:paraId="17E773E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556728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074B0C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7AEDFA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AC6818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C62F89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1BE65B1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5F8B9B30"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4FF30A4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Укупни приходи</w:t>
            </w:r>
          </w:p>
        </w:tc>
        <w:tc>
          <w:tcPr>
            <w:tcW w:w="368" w:type="pct"/>
            <w:gridSpan w:val="2"/>
            <w:tcBorders>
              <w:top w:val="nil"/>
              <w:left w:val="nil"/>
              <w:bottom w:val="dotted" w:sz="4" w:space="0" w:color="000000"/>
              <w:right w:val="dotted" w:sz="4" w:space="0" w:color="000000"/>
            </w:tcBorders>
            <w:shd w:val="clear" w:color="auto" w:fill="auto"/>
            <w:hideMark/>
          </w:tcPr>
          <w:p w14:paraId="39DF55F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7F283D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DB9443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77A11A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102EA5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7E4BC7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3D1EBED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2A16D26F"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09CD67EB"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i/>
                <w:iCs/>
                <w:sz w:val="20"/>
                <w:szCs w:val="20"/>
                <w:lang w:val="sr-Cyrl-CS"/>
              </w:rPr>
              <w:t>од чега</w:t>
            </w:r>
            <w:r w:rsidRPr="00092ED7">
              <w:rPr>
                <w:rFonts w:eastAsia="Times New Roman" w:cs="Times New Roman"/>
                <w:sz w:val="20"/>
                <w:szCs w:val="20"/>
                <w:lang w:val="sr-Cyrl-CS"/>
              </w:rPr>
              <w:t>: приходи од имовине</w:t>
            </w:r>
          </w:p>
        </w:tc>
        <w:tc>
          <w:tcPr>
            <w:tcW w:w="368" w:type="pct"/>
            <w:gridSpan w:val="2"/>
            <w:tcBorders>
              <w:top w:val="nil"/>
              <w:left w:val="nil"/>
              <w:bottom w:val="dotted" w:sz="4" w:space="0" w:color="000000"/>
              <w:right w:val="dotted" w:sz="4" w:space="0" w:color="000000"/>
            </w:tcBorders>
            <w:shd w:val="clear" w:color="auto" w:fill="auto"/>
            <w:hideMark/>
          </w:tcPr>
          <w:p w14:paraId="28184FE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7BF21B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A7D7BE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B06B0D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ABA3DB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5DE254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66496E3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E2E7B10" w14:textId="77777777" w:rsidTr="00247CBF">
        <w:trPr>
          <w:trHeight w:val="540"/>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4893AF9C" w14:textId="77777777" w:rsidR="00247CBF" w:rsidRPr="00092ED7" w:rsidRDefault="00247CBF" w:rsidP="00247CBF">
            <w:pPr>
              <w:spacing w:after="0"/>
              <w:ind w:firstLineChars="200" w:firstLine="400"/>
              <w:rPr>
                <w:rFonts w:eastAsia="Times New Roman" w:cs="Times New Roman"/>
                <w:sz w:val="20"/>
                <w:szCs w:val="20"/>
                <w:lang w:val="sr-Cyrl-CS"/>
              </w:rPr>
            </w:pPr>
            <w:r w:rsidRPr="00092ED7">
              <w:rPr>
                <w:rFonts w:eastAsia="Times New Roman" w:cs="Times New Roman"/>
                <w:i/>
                <w:iCs/>
                <w:sz w:val="20"/>
                <w:szCs w:val="20"/>
                <w:lang w:val="sr-Cyrl-CS"/>
              </w:rPr>
              <w:t>од чега:</w:t>
            </w:r>
            <w:r w:rsidRPr="00092ED7">
              <w:rPr>
                <w:rFonts w:eastAsia="Times New Roman" w:cs="Times New Roman"/>
                <w:sz w:val="20"/>
                <w:szCs w:val="20"/>
                <w:lang w:val="sr-Cyrl-CS"/>
              </w:rPr>
              <w:t xml:space="preserve"> од доприноса за пензијско осигурање (или доприноса за социјално осигурање, уколико је то случај)</w:t>
            </w:r>
          </w:p>
        </w:tc>
        <w:tc>
          <w:tcPr>
            <w:tcW w:w="368" w:type="pct"/>
            <w:gridSpan w:val="2"/>
            <w:tcBorders>
              <w:top w:val="nil"/>
              <w:left w:val="nil"/>
              <w:bottom w:val="dotted" w:sz="4" w:space="0" w:color="000000"/>
              <w:right w:val="dotted" w:sz="4" w:space="0" w:color="000000"/>
            </w:tcBorders>
            <w:shd w:val="clear" w:color="auto" w:fill="auto"/>
            <w:hideMark/>
          </w:tcPr>
          <w:p w14:paraId="64C4D1D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DB3A4C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FC49D6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4D6C2F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E0376E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5F5FDB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7914633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6A7B3A9B"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7833DF1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Средства резервног пензијског фонда</w:t>
            </w:r>
          </w:p>
        </w:tc>
        <w:tc>
          <w:tcPr>
            <w:tcW w:w="368" w:type="pct"/>
            <w:gridSpan w:val="2"/>
            <w:tcBorders>
              <w:top w:val="nil"/>
              <w:left w:val="nil"/>
              <w:bottom w:val="dotted" w:sz="4" w:space="0" w:color="000000"/>
              <w:right w:val="dotted" w:sz="4" w:space="0" w:color="000000"/>
            </w:tcBorders>
            <w:shd w:val="clear" w:color="auto" w:fill="auto"/>
            <w:hideMark/>
          </w:tcPr>
          <w:p w14:paraId="7901693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62F2FE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B4CF28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2000CF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6FD375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B41E57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6A0C072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2FA0BF71" w14:textId="77777777" w:rsidTr="00247CBF">
        <w:trPr>
          <w:trHeight w:val="525"/>
        </w:trPr>
        <w:tc>
          <w:tcPr>
            <w:tcW w:w="2423" w:type="pct"/>
            <w:gridSpan w:val="2"/>
            <w:tcBorders>
              <w:top w:val="nil"/>
              <w:left w:val="double" w:sz="6" w:space="0" w:color="000000"/>
              <w:bottom w:val="single" w:sz="4" w:space="0" w:color="auto"/>
              <w:right w:val="single" w:sz="4" w:space="0" w:color="auto"/>
            </w:tcBorders>
            <w:shd w:val="clear" w:color="000000" w:fill="FFFFFF"/>
            <w:hideMark/>
          </w:tcPr>
          <w:p w14:paraId="14844B8A" w14:textId="77777777" w:rsidR="00247CBF" w:rsidRPr="00092ED7" w:rsidRDefault="00247CBF" w:rsidP="00247CBF">
            <w:pPr>
              <w:spacing w:after="0"/>
              <w:ind w:firstLineChars="200" w:firstLine="400"/>
              <w:rPr>
                <w:rFonts w:eastAsia="Times New Roman" w:cs="Times New Roman"/>
                <w:i/>
                <w:iCs/>
                <w:sz w:val="20"/>
                <w:szCs w:val="20"/>
                <w:lang w:val="sr-Cyrl-CS"/>
              </w:rPr>
            </w:pPr>
            <w:r w:rsidRPr="00092ED7">
              <w:rPr>
                <w:rFonts w:eastAsia="Times New Roman" w:cs="Times New Roman"/>
                <w:i/>
                <w:iCs/>
                <w:sz w:val="20"/>
                <w:szCs w:val="20"/>
                <w:lang w:val="sr-Cyrl-CS"/>
              </w:rPr>
              <w:t xml:space="preserve">од чега: </w:t>
            </w:r>
            <w:r w:rsidRPr="00092ED7">
              <w:rPr>
                <w:rFonts w:eastAsia="Times New Roman" w:cs="Times New Roman"/>
                <w:sz w:val="20"/>
                <w:szCs w:val="20"/>
                <w:lang w:val="sr-Cyrl-CS"/>
              </w:rPr>
              <w:t>консолидована средства јавног пензијског фонда (средства без државних обавеза)</w:t>
            </w:r>
          </w:p>
        </w:tc>
        <w:tc>
          <w:tcPr>
            <w:tcW w:w="368" w:type="pct"/>
            <w:gridSpan w:val="2"/>
            <w:tcBorders>
              <w:top w:val="nil"/>
              <w:left w:val="nil"/>
              <w:bottom w:val="single" w:sz="4" w:space="0" w:color="auto"/>
              <w:right w:val="dotted" w:sz="4" w:space="0" w:color="000000"/>
            </w:tcBorders>
            <w:shd w:val="clear" w:color="auto" w:fill="auto"/>
            <w:hideMark/>
          </w:tcPr>
          <w:p w14:paraId="3252B0F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single" w:sz="4" w:space="0" w:color="auto"/>
              <w:right w:val="dotted" w:sz="4" w:space="0" w:color="000000"/>
            </w:tcBorders>
            <w:shd w:val="clear" w:color="auto" w:fill="auto"/>
            <w:hideMark/>
          </w:tcPr>
          <w:p w14:paraId="295AF62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single" w:sz="4" w:space="0" w:color="auto"/>
              <w:right w:val="dotted" w:sz="4" w:space="0" w:color="000000"/>
            </w:tcBorders>
            <w:shd w:val="clear" w:color="auto" w:fill="auto"/>
            <w:hideMark/>
          </w:tcPr>
          <w:p w14:paraId="21A1FF8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single" w:sz="4" w:space="0" w:color="auto"/>
              <w:right w:val="dotted" w:sz="4" w:space="0" w:color="000000"/>
            </w:tcBorders>
            <w:shd w:val="clear" w:color="auto" w:fill="auto"/>
            <w:hideMark/>
          </w:tcPr>
          <w:p w14:paraId="5ED48AD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single" w:sz="4" w:space="0" w:color="auto"/>
              <w:right w:val="dotted" w:sz="4" w:space="0" w:color="000000"/>
            </w:tcBorders>
            <w:shd w:val="clear" w:color="auto" w:fill="auto"/>
            <w:hideMark/>
          </w:tcPr>
          <w:p w14:paraId="1ADF988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single" w:sz="4" w:space="0" w:color="auto"/>
              <w:right w:val="dotted" w:sz="4" w:space="0" w:color="000000"/>
            </w:tcBorders>
            <w:shd w:val="clear" w:color="auto" w:fill="auto"/>
            <w:hideMark/>
          </w:tcPr>
          <w:p w14:paraId="0EEA2F0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single" w:sz="4" w:space="0" w:color="auto"/>
              <w:right w:val="double" w:sz="6" w:space="0" w:color="000000"/>
            </w:tcBorders>
            <w:shd w:val="clear" w:color="auto" w:fill="auto"/>
            <w:hideMark/>
          </w:tcPr>
          <w:p w14:paraId="491B192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70B3807C" w14:textId="77777777" w:rsidTr="00247CBF">
        <w:trPr>
          <w:trHeight w:val="255"/>
        </w:trPr>
        <w:tc>
          <w:tcPr>
            <w:tcW w:w="5000" w:type="pct"/>
            <w:gridSpan w:val="16"/>
            <w:tcBorders>
              <w:top w:val="single" w:sz="4" w:space="0" w:color="auto"/>
              <w:left w:val="double" w:sz="6" w:space="0" w:color="000000"/>
              <w:bottom w:val="single" w:sz="4" w:space="0" w:color="auto"/>
              <w:right w:val="double" w:sz="6" w:space="0" w:color="000000"/>
            </w:tcBorders>
            <w:shd w:val="clear" w:color="000000" w:fill="FFFFFF"/>
            <w:hideMark/>
          </w:tcPr>
          <w:p w14:paraId="44DD1676"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Претпоставке</w:t>
            </w:r>
          </w:p>
        </w:tc>
      </w:tr>
      <w:tr w:rsidR="00247CBF" w:rsidRPr="00092ED7" w14:paraId="1715F486"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31550A2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Раст продуктивности рада</w:t>
            </w:r>
          </w:p>
        </w:tc>
        <w:tc>
          <w:tcPr>
            <w:tcW w:w="368" w:type="pct"/>
            <w:gridSpan w:val="2"/>
            <w:tcBorders>
              <w:top w:val="nil"/>
              <w:left w:val="nil"/>
              <w:bottom w:val="dotted" w:sz="4" w:space="0" w:color="000000"/>
              <w:right w:val="dotted" w:sz="4" w:space="0" w:color="000000"/>
            </w:tcBorders>
            <w:shd w:val="clear" w:color="auto" w:fill="auto"/>
            <w:hideMark/>
          </w:tcPr>
          <w:p w14:paraId="26739D2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C60242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F58B1B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8A7358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1BDCA7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90D478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1D7E733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55DA0289"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4052645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Реални раст БДП-а</w:t>
            </w:r>
          </w:p>
        </w:tc>
        <w:tc>
          <w:tcPr>
            <w:tcW w:w="368" w:type="pct"/>
            <w:gridSpan w:val="2"/>
            <w:tcBorders>
              <w:top w:val="nil"/>
              <w:left w:val="nil"/>
              <w:bottom w:val="dotted" w:sz="4" w:space="0" w:color="000000"/>
              <w:right w:val="dotted" w:sz="4" w:space="0" w:color="000000"/>
            </w:tcBorders>
            <w:shd w:val="clear" w:color="auto" w:fill="auto"/>
            <w:hideMark/>
          </w:tcPr>
          <w:p w14:paraId="33E119A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DA1FBA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A40034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4CB34F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2BC47C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C1A083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0DBAE46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071EECAA"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27A032E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Стопа активности мушкараца (20-64 год.)</w:t>
            </w:r>
          </w:p>
        </w:tc>
        <w:tc>
          <w:tcPr>
            <w:tcW w:w="368" w:type="pct"/>
            <w:gridSpan w:val="2"/>
            <w:tcBorders>
              <w:top w:val="nil"/>
              <w:left w:val="nil"/>
              <w:bottom w:val="dotted" w:sz="4" w:space="0" w:color="000000"/>
              <w:right w:val="dotted" w:sz="4" w:space="0" w:color="000000"/>
            </w:tcBorders>
            <w:shd w:val="clear" w:color="auto" w:fill="auto"/>
            <w:hideMark/>
          </w:tcPr>
          <w:p w14:paraId="47CDF92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3DB0A5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52914B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40C40D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51F5C5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F25EA8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7CA2A84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B1CD211"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4869D7D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Стопа активности жена (20-64 год.)</w:t>
            </w:r>
          </w:p>
        </w:tc>
        <w:tc>
          <w:tcPr>
            <w:tcW w:w="368" w:type="pct"/>
            <w:gridSpan w:val="2"/>
            <w:tcBorders>
              <w:top w:val="nil"/>
              <w:left w:val="nil"/>
              <w:bottom w:val="dotted" w:sz="4" w:space="0" w:color="000000"/>
              <w:right w:val="dotted" w:sz="4" w:space="0" w:color="000000"/>
            </w:tcBorders>
            <w:shd w:val="clear" w:color="auto" w:fill="auto"/>
            <w:hideMark/>
          </w:tcPr>
          <w:p w14:paraId="1F8A927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222025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DC0FAB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F5FAF1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4CC4F4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D096B4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2D651D2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3BB6FCF9"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3BB388A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Општа стопа активности (20-64 год.)</w:t>
            </w:r>
          </w:p>
        </w:tc>
        <w:tc>
          <w:tcPr>
            <w:tcW w:w="368" w:type="pct"/>
            <w:gridSpan w:val="2"/>
            <w:tcBorders>
              <w:top w:val="nil"/>
              <w:left w:val="nil"/>
              <w:bottom w:val="dotted" w:sz="4" w:space="0" w:color="000000"/>
              <w:right w:val="dotted" w:sz="4" w:space="0" w:color="000000"/>
            </w:tcBorders>
            <w:shd w:val="clear" w:color="auto" w:fill="auto"/>
            <w:hideMark/>
          </w:tcPr>
          <w:p w14:paraId="718F3F0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F718B6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1FE513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47EF13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4F9A2D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7E8679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69DC18F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23C90D30"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7613A13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Стопа незапослености</w:t>
            </w:r>
          </w:p>
        </w:tc>
        <w:tc>
          <w:tcPr>
            <w:tcW w:w="368" w:type="pct"/>
            <w:gridSpan w:val="2"/>
            <w:tcBorders>
              <w:top w:val="nil"/>
              <w:left w:val="nil"/>
              <w:bottom w:val="dotted" w:sz="4" w:space="0" w:color="000000"/>
              <w:right w:val="dotted" w:sz="4" w:space="0" w:color="000000"/>
            </w:tcBorders>
            <w:shd w:val="clear" w:color="auto" w:fill="auto"/>
            <w:hideMark/>
          </w:tcPr>
          <w:p w14:paraId="6A1D979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C4E8F5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CDE01F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BFEB9F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63068D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A3381A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5501092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3F039DCE" w14:textId="77777777" w:rsidTr="00247CBF">
        <w:trPr>
          <w:trHeight w:val="270"/>
        </w:trPr>
        <w:tc>
          <w:tcPr>
            <w:tcW w:w="2423" w:type="pct"/>
            <w:gridSpan w:val="2"/>
            <w:tcBorders>
              <w:top w:val="nil"/>
              <w:left w:val="double" w:sz="6" w:space="0" w:color="000000"/>
              <w:bottom w:val="double" w:sz="6" w:space="0" w:color="000000"/>
              <w:right w:val="single" w:sz="4" w:space="0" w:color="auto"/>
            </w:tcBorders>
            <w:shd w:val="clear" w:color="000000" w:fill="FFFFFF"/>
            <w:hideMark/>
          </w:tcPr>
          <w:p w14:paraId="730BB31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Становништво узраста 65+ у укупном становништву</w:t>
            </w:r>
          </w:p>
        </w:tc>
        <w:tc>
          <w:tcPr>
            <w:tcW w:w="368" w:type="pct"/>
            <w:gridSpan w:val="2"/>
            <w:tcBorders>
              <w:top w:val="nil"/>
              <w:left w:val="nil"/>
              <w:bottom w:val="double" w:sz="6" w:space="0" w:color="000000"/>
              <w:right w:val="dotted" w:sz="4" w:space="0" w:color="000000"/>
            </w:tcBorders>
            <w:shd w:val="clear" w:color="auto" w:fill="auto"/>
            <w:hideMark/>
          </w:tcPr>
          <w:p w14:paraId="22E3671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uble" w:sz="6" w:space="0" w:color="000000"/>
              <w:right w:val="dotted" w:sz="4" w:space="0" w:color="000000"/>
            </w:tcBorders>
            <w:shd w:val="clear" w:color="auto" w:fill="auto"/>
            <w:hideMark/>
          </w:tcPr>
          <w:p w14:paraId="08F65AB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uble" w:sz="6" w:space="0" w:color="000000"/>
              <w:right w:val="dotted" w:sz="4" w:space="0" w:color="000000"/>
            </w:tcBorders>
            <w:shd w:val="clear" w:color="auto" w:fill="auto"/>
            <w:hideMark/>
          </w:tcPr>
          <w:p w14:paraId="6E03AA6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uble" w:sz="6" w:space="0" w:color="000000"/>
              <w:right w:val="dotted" w:sz="4" w:space="0" w:color="000000"/>
            </w:tcBorders>
            <w:shd w:val="clear" w:color="auto" w:fill="auto"/>
            <w:hideMark/>
          </w:tcPr>
          <w:p w14:paraId="1DADE00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uble" w:sz="6" w:space="0" w:color="000000"/>
              <w:right w:val="dotted" w:sz="4" w:space="0" w:color="000000"/>
            </w:tcBorders>
            <w:shd w:val="clear" w:color="auto" w:fill="auto"/>
            <w:hideMark/>
          </w:tcPr>
          <w:p w14:paraId="3279457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uble" w:sz="6" w:space="0" w:color="000000"/>
              <w:right w:val="dotted" w:sz="4" w:space="0" w:color="000000"/>
            </w:tcBorders>
            <w:shd w:val="clear" w:color="auto" w:fill="auto"/>
            <w:hideMark/>
          </w:tcPr>
          <w:p w14:paraId="7169B70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uble" w:sz="6" w:space="0" w:color="000000"/>
              <w:right w:val="double" w:sz="6" w:space="0" w:color="000000"/>
            </w:tcBorders>
            <w:shd w:val="clear" w:color="auto" w:fill="auto"/>
            <w:hideMark/>
          </w:tcPr>
          <w:p w14:paraId="7FA02DA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bl>
    <w:p w14:paraId="08C9CEB7" w14:textId="77777777" w:rsidR="00247CBF" w:rsidRPr="00092ED7" w:rsidRDefault="00247CBF" w:rsidP="00247CBF">
      <w:pPr>
        <w:rPr>
          <w:rFonts w:cs="Times New Roman"/>
          <w:lang w:val="sr-Cyrl-CS"/>
        </w:rPr>
      </w:pPr>
    </w:p>
    <w:p w14:paraId="410C0504" w14:textId="77777777" w:rsidR="00247CBF" w:rsidRPr="00092ED7" w:rsidRDefault="00247CBF" w:rsidP="00247CBF">
      <w:pPr>
        <w:spacing w:after="160" w:line="259" w:lineRule="auto"/>
        <w:rPr>
          <w:rFonts w:cs="Times New Roman"/>
          <w:lang w:val="sr-Cyrl-CS"/>
        </w:rPr>
      </w:pPr>
      <w:r w:rsidRPr="00092ED7">
        <w:rPr>
          <w:rFonts w:cs="Times New Roman"/>
          <w:lang w:val="sr-Cyrl-CS"/>
        </w:rPr>
        <w:br w:type="page"/>
      </w:r>
    </w:p>
    <w:p w14:paraId="05294FAF" w14:textId="77777777" w:rsidR="00247CBF" w:rsidRPr="00092ED7" w:rsidRDefault="00247CBF" w:rsidP="00247CBF">
      <w:pPr>
        <w:pStyle w:val="Heading3"/>
        <w:rPr>
          <w:rFonts w:ascii="Times New Roman" w:hAnsi="Times New Roman" w:cs="Times New Roman"/>
          <w:color w:val="auto"/>
          <w:lang w:val="sr-Cyrl-CS"/>
        </w:rPr>
      </w:pPr>
      <w:bookmarkStart w:id="162" w:name="_Toc93386004"/>
      <w:bookmarkStart w:id="163" w:name="_Toc124174835"/>
      <w:bookmarkStart w:id="164" w:name="_Toc126218653"/>
      <w:r w:rsidRPr="00092ED7">
        <w:rPr>
          <w:rFonts w:ascii="Times New Roman" w:hAnsi="Times New Roman" w:cs="Times New Roman"/>
          <w:b/>
          <w:color w:val="auto"/>
          <w:sz w:val="20"/>
          <w:szCs w:val="20"/>
          <w:lang w:val="sr-Cyrl-CS"/>
        </w:rPr>
        <w:t xml:space="preserve">Табела </w:t>
      </w:r>
      <w:r w:rsidRPr="00092ED7">
        <w:rPr>
          <w:rFonts w:ascii="Times New Roman" w:eastAsia="Times New Roman" w:hAnsi="Times New Roman" w:cs="Times New Roman"/>
          <w:b/>
          <w:bCs/>
          <w:color w:val="auto"/>
          <w:sz w:val="20"/>
          <w:szCs w:val="20"/>
          <w:lang w:val="sr-Cyrl-CS"/>
        </w:rPr>
        <w:t>7a: Издавање гаранција усвојено/најављено у складу са Програмом</w:t>
      </w:r>
      <w:bookmarkEnd w:id="162"/>
      <w:bookmarkEnd w:id="163"/>
      <w:bookmarkEnd w:id="164"/>
    </w:p>
    <w:tbl>
      <w:tblPr>
        <w:tblW w:w="14436" w:type="dxa"/>
        <w:tblLayout w:type="fixed"/>
        <w:tblLook w:val="04A0" w:firstRow="1" w:lastRow="0" w:firstColumn="1" w:lastColumn="0" w:noHBand="0" w:noVBand="1"/>
      </w:tblPr>
      <w:tblGrid>
        <w:gridCol w:w="6923"/>
        <w:gridCol w:w="567"/>
        <w:gridCol w:w="1559"/>
        <w:gridCol w:w="1795"/>
        <w:gridCol w:w="1796"/>
        <w:gridCol w:w="1796"/>
      </w:tblGrid>
      <w:tr w:rsidR="00247CBF" w:rsidRPr="00092ED7" w14:paraId="6568FC4A" w14:textId="77777777" w:rsidTr="00247CBF">
        <w:trPr>
          <w:trHeight w:val="503"/>
        </w:trPr>
        <w:tc>
          <w:tcPr>
            <w:tcW w:w="9049" w:type="dxa"/>
            <w:gridSpan w:val="3"/>
            <w:tcBorders>
              <w:top w:val="double" w:sz="6" w:space="0" w:color="auto"/>
              <w:left w:val="double" w:sz="6" w:space="0" w:color="auto"/>
              <w:bottom w:val="single" w:sz="8" w:space="0" w:color="auto"/>
              <w:right w:val="single" w:sz="4" w:space="0" w:color="000000"/>
            </w:tcBorders>
            <w:shd w:val="clear" w:color="auto" w:fill="auto"/>
            <w:noWrap/>
            <w:vAlign w:val="center"/>
            <w:hideMark/>
          </w:tcPr>
          <w:p w14:paraId="1CE2AF43"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Мере</w:t>
            </w:r>
          </w:p>
        </w:tc>
        <w:tc>
          <w:tcPr>
            <w:tcW w:w="1795" w:type="dxa"/>
            <w:tcBorders>
              <w:top w:val="double" w:sz="6" w:space="0" w:color="auto"/>
              <w:left w:val="single" w:sz="4" w:space="0" w:color="auto"/>
              <w:bottom w:val="single" w:sz="8" w:space="0" w:color="auto"/>
              <w:right w:val="single" w:sz="8" w:space="0" w:color="auto"/>
            </w:tcBorders>
            <w:shd w:val="clear" w:color="auto" w:fill="auto"/>
            <w:vAlign w:val="center"/>
            <w:hideMark/>
          </w:tcPr>
          <w:p w14:paraId="3F6A6A24" w14:textId="77777777" w:rsidR="00247CBF" w:rsidRPr="00092ED7" w:rsidRDefault="00247CBF" w:rsidP="00247CBF">
            <w:pPr>
              <w:spacing w:after="0"/>
              <w:jc w:val="center"/>
              <w:rPr>
                <w:rFonts w:cs="Times New Roman"/>
                <w:sz w:val="20"/>
                <w:szCs w:val="20"/>
                <w:lang w:val="sr-Cyrl-CS"/>
              </w:rPr>
            </w:pPr>
            <w:r w:rsidRPr="00092ED7">
              <w:rPr>
                <w:rFonts w:cs="Times New Roman"/>
                <w:sz w:val="20"/>
                <w:szCs w:val="20"/>
                <w:lang w:val="sr-Cyrl-CS"/>
              </w:rPr>
              <w:t>Датум усвајања</w:t>
            </w:r>
          </w:p>
        </w:tc>
        <w:tc>
          <w:tcPr>
            <w:tcW w:w="1796" w:type="dxa"/>
            <w:tcBorders>
              <w:top w:val="double" w:sz="6" w:space="0" w:color="auto"/>
              <w:left w:val="nil"/>
              <w:bottom w:val="single" w:sz="8" w:space="0" w:color="auto"/>
              <w:right w:val="single" w:sz="4" w:space="0" w:color="auto"/>
            </w:tcBorders>
            <w:shd w:val="clear" w:color="auto" w:fill="auto"/>
            <w:vAlign w:val="center"/>
            <w:hideMark/>
          </w:tcPr>
          <w:p w14:paraId="7076C7E2" w14:textId="77777777" w:rsidR="00247CBF" w:rsidRPr="00092ED7" w:rsidRDefault="00247CBF" w:rsidP="00247CBF">
            <w:pPr>
              <w:spacing w:after="0"/>
              <w:jc w:val="center"/>
              <w:rPr>
                <w:rFonts w:cs="Times New Roman"/>
                <w:sz w:val="20"/>
                <w:szCs w:val="20"/>
                <w:lang w:val="sr-Cyrl-CS"/>
              </w:rPr>
            </w:pPr>
            <w:r w:rsidRPr="00092ED7">
              <w:rPr>
                <w:rFonts w:cs="Times New Roman"/>
                <w:sz w:val="20"/>
                <w:szCs w:val="20"/>
                <w:lang w:val="sr-Cyrl-CS"/>
              </w:rPr>
              <w:t>Максимални износ гаранције</w:t>
            </w:r>
            <w:r w:rsidRPr="00092ED7">
              <w:rPr>
                <w:rFonts w:cs="Times New Roman"/>
                <w:sz w:val="20"/>
                <w:szCs w:val="20"/>
                <w:vertAlign w:val="superscript"/>
                <w:lang w:val="sr-Cyrl-CS"/>
              </w:rPr>
              <w:t>1</w:t>
            </w:r>
          </w:p>
        </w:tc>
        <w:tc>
          <w:tcPr>
            <w:tcW w:w="1796" w:type="dxa"/>
            <w:tcBorders>
              <w:top w:val="double" w:sz="6" w:space="0" w:color="auto"/>
              <w:left w:val="single" w:sz="4" w:space="0" w:color="auto"/>
              <w:bottom w:val="single" w:sz="8" w:space="0" w:color="auto"/>
              <w:right w:val="double" w:sz="6" w:space="0" w:color="auto"/>
            </w:tcBorders>
            <w:shd w:val="clear" w:color="auto" w:fill="auto"/>
            <w:vAlign w:val="center"/>
            <w:hideMark/>
          </w:tcPr>
          <w:p w14:paraId="17DF1D05" w14:textId="77777777" w:rsidR="00247CBF" w:rsidRPr="00092ED7" w:rsidRDefault="00247CBF" w:rsidP="00247CBF">
            <w:pPr>
              <w:spacing w:after="0"/>
              <w:jc w:val="center"/>
              <w:rPr>
                <w:rFonts w:cs="Times New Roman"/>
                <w:sz w:val="20"/>
                <w:szCs w:val="20"/>
                <w:lang w:val="sr-Cyrl-CS"/>
              </w:rPr>
            </w:pPr>
            <w:r w:rsidRPr="00092ED7">
              <w:rPr>
                <w:rFonts w:cs="Times New Roman"/>
                <w:sz w:val="20"/>
                <w:szCs w:val="20"/>
                <w:lang w:val="sr-Cyrl-CS"/>
              </w:rPr>
              <w:t>Процењени активирани износ</w:t>
            </w:r>
          </w:p>
        </w:tc>
      </w:tr>
      <w:tr w:rsidR="00247CBF" w:rsidRPr="00092ED7" w14:paraId="5ECE9A70" w14:textId="77777777" w:rsidTr="00247CBF">
        <w:trPr>
          <w:trHeight w:val="300"/>
        </w:trPr>
        <w:tc>
          <w:tcPr>
            <w:tcW w:w="9049" w:type="dxa"/>
            <w:gridSpan w:val="3"/>
            <w:tcBorders>
              <w:top w:val="single" w:sz="8" w:space="0" w:color="auto"/>
              <w:left w:val="double" w:sz="6" w:space="0" w:color="auto"/>
              <w:bottom w:val="single" w:sz="8" w:space="0" w:color="auto"/>
              <w:right w:val="single" w:sz="4" w:space="0" w:color="000000"/>
            </w:tcBorders>
            <w:shd w:val="clear" w:color="auto" w:fill="auto"/>
            <w:vAlign w:val="center"/>
            <w:hideMark/>
          </w:tcPr>
          <w:p w14:paraId="07A39AEC"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Као одговор на COVID 19</w:t>
            </w:r>
          </w:p>
        </w:tc>
        <w:tc>
          <w:tcPr>
            <w:tcW w:w="1795" w:type="dxa"/>
            <w:tcBorders>
              <w:top w:val="nil"/>
              <w:left w:val="nil"/>
              <w:bottom w:val="single" w:sz="8" w:space="0" w:color="auto"/>
              <w:right w:val="single" w:sz="8" w:space="0" w:color="auto"/>
            </w:tcBorders>
            <w:shd w:val="clear" w:color="auto" w:fill="auto"/>
            <w:noWrap/>
            <w:vAlign w:val="bottom"/>
            <w:hideMark/>
          </w:tcPr>
          <w:p w14:paraId="2A7B02C3"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796" w:type="dxa"/>
            <w:tcBorders>
              <w:top w:val="nil"/>
              <w:left w:val="nil"/>
              <w:bottom w:val="single" w:sz="8" w:space="0" w:color="auto"/>
              <w:right w:val="single" w:sz="4" w:space="0" w:color="auto"/>
            </w:tcBorders>
            <w:shd w:val="clear" w:color="auto" w:fill="auto"/>
            <w:noWrap/>
            <w:vAlign w:val="bottom"/>
            <w:hideMark/>
          </w:tcPr>
          <w:p w14:paraId="4C25C111"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2022</w:t>
            </w:r>
          </w:p>
        </w:tc>
        <w:tc>
          <w:tcPr>
            <w:tcW w:w="1796" w:type="dxa"/>
            <w:tcBorders>
              <w:top w:val="nil"/>
              <w:left w:val="nil"/>
              <w:bottom w:val="single" w:sz="8" w:space="0" w:color="auto"/>
              <w:right w:val="double" w:sz="6" w:space="0" w:color="auto"/>
            </w:tcBorders>
            <w:shd w:val="clear" w:color="auto" w:fill="auto"/>
            <w:noWrap/>
            <w:vAlign w:val="bottom"/>
            <w:hideMark/>
          </w:tcPr>
          <w:p w14:paraId="5F6C74ED"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2022</w:t>
            </w:r>
          </w:p>
        </w:tc>
      </w:tr>
      <w:tr w:rsidR="00247CBF" w:rsidRPr="00092ED7" w14:paraId="23FFC7F3" w14:textId="77777777" w:rsidTr="00247CBF">
        <w:trPr>
          <w:trHeight w:val="300"/>
        </w:trPr>
        <w:tc>
          <w:tcPr>
            <w:tcW w:w="6923" w:type="dxa"/>
            <w:tcBorders>
              <w:top w:val="nil"/>
              <w:left w:val="double" w:sz="6" w:space="0" w:color="auto"/>
              <w:bottom w:val="dotted" w:sz="4" w:space="0" w:color="auto"/>
              <w:right w:val="nil"/>
            </w:tcBorders>
            <w:shd w:val="clear" w:color="auto" w:fill="auto"/>
            <w:vAlign w:val="center"/>
            <w:hideMark/>
          </w:tcPr>
          <w:p w14:paraId="37079B92"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567" w:type="dxa"/>
            <w:tcBorders>
              <w:top w:val="nil"/>
              <w:left w:val="nil"/>
              <w:bottom w:val="dotted" w:sz="4" w:space="0" w:color="auto"/>
              <w:right w:val="single" w:sz="4" w:space="0" w:color="auto"/>
            </w:tcBorders>
            <w:shd w:val="clear" w:color="auto" w:fill="auto"/>
            <w:vAlign w:val="center"/>
            <w:hideMark/>
          </w:tcPr>
          <w:p w14:paraId="39E8048F"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nil"/>
              <w:left w:val="single" w:sz="8" w:space="0" w:color="auto"/>
              <w:bottom w:val="dotted" w:sz="4" w:space="0" w:color="auto"/>
              <w:right w:val="single" w:sz="8" w:space="0" w:color="auto"/>
            </w:tcBorders>
            <w:shd w:val="clear" w:color="auto" w:fill="auto"/>
            <w:vAlign w:val="center"/>
            <w:hideMark/>
          </w:tcPr>
          <w:p w14:paraId="1503B798"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hideMark/>
          </w:tcPr>
          <w:p w14:paraId="4AA70D4C"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single" w:sz="4" w:space="0" w:color="auto"/>
            </w:tcBorders>
            <w:shd w:val="clear" w:color="auto" w:fill="auto"/>
            <w:noWrap/>
            <w:vAlign w:val="center"/>
            <w:hideMark/>
          </w:tcPr>
          <w:p w14:paraId="05B5F69A"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double" w:sz="6" w:space="0" w:color="auto"/>
            </w:tcBorders>
            <w:shd w:val="clear" w:color="auto" w:fill="auto"/>
            <w:noWrap/>
            <w:vAlign w:val="center"/>
            <w:hideMark/>
          </w:tcPr>
          <w:p w14:paraId="30C22B31" w14:textId="77777777" w:rsidR="00247CBF" w:rsidRPr="00092ED7" w:rsidRDefault="00247CBF" w:rsidP="00247CBF">
            <w:pPr>
              <w:spacing w:after="0"/>
              <w:jc w:val="center"/>
              <w:rPr>
                <w:rFonts w:cs="Times New Roman"/>
                <w:sz w:val="20"/>
                <w:szCs w:val="20"/>
                <w:lang w:val="sr-Cyrl-CS"/>
              </w:rPr>
            </w:pPr>
          </w:p>
        </w:tc>
      </w:tr>
      <w:tr w:rsidR="00247CBF" w:rsidRPr="00092ED7" w14:paraId="52348BC7" w14:textId="77777777" w:rsidTr="00247CBF">
        <w:trPr>
          <w:trHeight w:val="300"/>
        </w:trPr>
        <w:tc>
          <w:tcPr>
            <w:tcW w:w="6923" w:type="dxa"/>
            <w:tcBorders>
              <w:top w:val="nil"/>
              <w:left w:val="double" w:sz="6" w:space="0" w:color="auto"/>
              <w:bottom w:val="dotted" w:sz="4" w:space="0" w:color="auto"/>
              <w:right w:val="nil"/>
            </w:tcBorders>
            <w:shd w:val="clear" w:color="auto" w:fill="auto"/>
            <w:vAlign w:val="center"/>
            <w:hideMark/>
          </w:tcPr>
          <w:p w14:paraId="26A68441"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567" w:type="dxa"/>
            <w:tcBorders>
              <w:top w:val="nil"/>
              <w:left w:val="nil"/>
              <w:bottom w:val="dotted" w:sz="4" w:space="0" w:color="auto"/>
              <w:right w:val="single" w:sz="4" w:space="0" w:color="auto"/>
            </w:tcBorders>
            <w:shd w:val="clear" w:color="auto" w:fill="auto"/>
            <w:vAlign w:val="center"/>
            <w:hideMark/>
          </w:tcPr>
          <w:p w14:paraId="5D2C7652"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nil"/>
              <w:left w:val="single" w:sz="8" w:space="0" w:color="auto"/>
              <w:bottom w:val="dotted" w:sz="4" w:space="0" w:color="auto"/>
              <w:right w:val="single" w:sz="8" w:space="0" w:color="auto"/>
            </w:tcBorders>
            <w:shd w:val="clear" w:color="auto" w:fill="auto"/>
            <w:vAlign w:val="center"/>
            <w:hideMark/>
          </w:tcPr>
          <w:p w14:paraId="0DC41749"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hideMark/>
          </w:tcPr>
          <w:p w14:paraId="36BE09C9"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single" w:sz="4" w:space="0" w:color="auto"/>
            </w:tcBorders>
            <w:shd w:val="clear" w:color="auto" w:fill="auto"/>
            <w:noWrap/>
            <w:vAlign w:val="center"/>
            <w:hideMark/>
          </w:tcPr>
          <w:p w14:paraId="338A3BB0"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double" w:sz="6" w:space="0" w:color="auto"/>
            </w:tcBorders>
            <w:shd w:val="clear" w:color="auto" w:fill="auto"/>
            <w:noWrap/>
            <w:vAlign w:val="center"/>
            <w:hideMark/>
          </w:tcPr>
          <w:p w14:paraId="59209658" w14:textId="77777777" w:rsidR="00247CBF" w:rsidRPr="00092ED7" w:rsidRDefault="00247CBF" w:rsidP="00247CBF">
            <w:pPr>
              <w:spacing w:after="0"/>
              <w:jc w:val="center"/>
              <w:rPr>
                <w:rFonts w:cs="Times New Roman"/>
                <w:sz w:val="20"/>
                <w:szCs w:val="20"/>
                <w:lang w:val="sr-Cyrl-CS"/>
              </w:rPr>
            </w:pPr>
          </w:p>
        </w:tc>
      </w:tr>
      <w:tr w:rsidR="00247CBF" w:rsidRPr="00092ED7" w14:paraId="66E6FF4F" w14:textId="77777777" w:rsidTr="00247CBF">
        <w:trPr>
          <w:trHeight w:val="300"/>
        </w:trPr>
        <w:tc>
          <w:tcPr>
            <w:tcW w:w="6923" w:type="dxa"/>
            <w:tcBorders>
              <w:top w:val="nil"/>
              <w:left w:val="double" w:sz="6" w:space="0" w:color="auto"/>
              <w:bottom w:val="dotted" w:sz="4" w:space="0" w:color="auto"/>
              <w:right w:val="nil"/>
            </w:tcBorders>
            <w:shd w:val="clear" w:color="auto" w:fill="auto"/>
            <w:vAlign w:val="center"/>
            <w:hideMark/>
          </w:tcPr>
          <w:p w14:paraId="44E33B04"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567" w:type="dxa"/>
            <w:tcBorders>
              <w:top w:val="nil"/>
              <w:left w:val="nil"/>
              <w:bottom w:val="dotted" w:sz="4" w:space="0" w:color="auto"/>
              <w:right w:val="single" w:sz="4" w:space="0" w:color="auto"/>
            </w:tcBorders>
            <w:shd w:val="clear" w:color="auto" w:fill="auto"/>
            <w:vAlign w:val="center"/>
            <w:hideMark/>
          </w:tcPr>
          <w:p w14:paraId="5C5BED9B"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nil"/>
              <w:left w:val="single" w:sz="8" w:space="0" w:color="auto"/>
              <w:bottom w:val="dotted" w:sz="4" w:space="0" w:color="auto"/>
              <w:right w:val="single" w:sz="8" w:space="0" w:color="auto"/>
            </w:tcBorders>
            <w:shd w:val="clear" w:color="auto" w:fill="auto"/>
            <w:vAlign w:val="center"/>
            <w:hideMark/>
          </w:tcPr>
          <w:p w14:paraId="4DB73564"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hideMark/>
          </w:tcPr>
          <w:p w14:paraId="08880E41"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single" w:sz="4" w:space="0" w:color="auto"/>
            </w:tcBorders>
            <w:shd w:val="clear" w:color="auto" w:fill="auto"/>
            <w:noWrap/>
            <w:vAlign w:val="center"/>
            <w:hideMark/>
          </w:tcPr>
          <w:p w14:paraId="66978DAE"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double" w:sz="6" w:space="0" w:color="auto"/>
            </w:tcBorders>
            <w:shd w:val="clear" w:color="auto" w:fill="auto"/>
            <w:noWrap/>
            <w:vAlign w:val="center"/>
            <w:hideMark/>
          </w:tcPr>
          <w:p w14:paraId="5F2343A5" w14:textId="77777777" w:rsidR="00247CBF" w:rsidRPr="00092ED7" w:rsidRDefault="00247CBF" w:rsidP="00247CBF">
            <w:pPr>
              <w:spacing w:after="0"/>
              <w:jc w:val="center"/>
              <w:rPr>
                <w:rFonts w:cs="Times New Roman"/>
                <w:sz w:val="20"/>
                <w:szCs w:val="20"/>
                <w:lang w:val="sr-Cyrl-CS"/>
              </w:rPr>
            </w:pPr>
          </w:p>
        </w:tc>
      </w:tr>
      <w:tr w:rsidR="00247CBF" w:rsidRPr="00092ED7" w14:paraId="501C3CBE" w14:textId="77777777" w:rsidTr="00247CBF">
        <w:trPr>
          <w:trHeight w:val="315"/>
        </w:trPr>
        <w:tc>
          <w:tcPr>
            <w:tcW w:w="6923" w:type="dxa"/>
            <w:tcBorders>
              <w:top w:val="single" w:sz="8" w:space="0" w:color="auto"/>
              <w:left w:val="double" w:sz="6" w:space="0" w:color="auto"/>
              <w:bottom w:val="single" w:sz="8" w:space="0" w:color="auto"/>
              <w:right w:val="nil"/>
            </w:tcBorders>
            <w:shd w:val="clear" w:color="auto" w:fill="auto"/>
            <w:vAlign w:val="center"/>
            <w:hideMark/>
          </w:tcPr>
          <w:p w14:paraId="46DD68E5"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567" w:type="dxa"/>
            <w:tcBorders>
              <w:top w:val="single" w:sz="8" w:space="0" w:color="auto"/>
              <w:left w:val="nil"/>
              <w:bottom w:val="single" w:sz="8" w:space="0" w:color="auto"/>
              <w:right w:val="nil"/>
            </w:tcBorders>
            <w:shd w:val="clear" w:color="auto" w:fill="auto"/>
            <w:vAlign w:val="center"/>
            <w:hideMark/>
          </w:tcPr>
          <w:p w14:paraId="370DE1F3"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AA1E911" w14:textId="77777777" w:rsidR="00247CBF" w:rsidRPr="00092ED7" w:rsidRDefault="00247CBF" w:rsidP="00247CBF">
            <w:pPr>
              <w:spacing w:after="0"/>
              <w:rPr>
                <w:rFonts w:cs="Times New Roman"/>
                <w:b/>
                <w:sz w:val="20"/>
                <w:szCs w:val="20"/>
                <w:lang w:val="sr-Cyrl-CS"/>
              </w:rPr>
            </w:pPr>
            <w:r w:rsidRPr="00092ED7">
              <w:rPr>
                <w:rFonts w:cs="Times New Roman"/>
                <w:b/>
                <w:sz w:val="20"/>
                <w:szCs w:val="20"/>
                <w:lang w:val="sr-Cyrl-CS"/>
              </w:rPr>
              <w:t>Међузбир</w:t>
            </w:r>
          </w:p>
        </w:tc>
        <w:tc>
          <w:tcPr>
            <w:tcW w:w="1795" w:type="dxa"/>
            <w:tcBorders>
              <w:top w:val="single" w:sz="8" w:space="0" w:color="auto"/>
              <w:left w:val="nil"/>
              <w:bottom w:val="single" w:sz="8" w:space="0" w:color="auto"/>
              <w:right w:val="single" w:sz="8" w:space="0" w:color="auto"/>
            </w:tcBorders>
            <w:shd w:val="clear" w:color="auto" w:fill="auto"/>
            <w:noWrap/>
            <w:vAlign w:val="center"/>
            <w:hideMark/>
          </w:tcPr>
          <w:p w14:paraId="2076F716" w14:textId="77777777" w:rsidR="00247CBF" w:rsidRPr="00092ED7" w:rsidRDefault="00247CBF" w:rsidP="00247CBF">
            <w:pPr>
              <w:spacing w:after="0"/>
              <w:jc w:val="center"/>
              <w:rPr>
                <w:rFonts w:cs="Times New Roman"/>
                <w:sz w:val="20"/>
                <w:szCs w:val="20"/>
                <w:lang w:val="sr-Cyrl-CS"/>
              </w:rPr>
            </w:pPr>
          </w:p>
        </w:tc>
        <w:tc>
          <w:tcPr>
            <w:tcW w:w="1796" w:type="dxa"/>
            <w:tcBorders>
              <w:top w:val="single" w:sz="8" w:space="0" w:color="auto"/>
              <w:left w:val="nil"/>
              <w:bottom w:val="single" w:sz="8" w:space="0" w:color="auto"/>
              <w:right w:val="single" w:sz="4" w:space="0" w:color="auto"/>
            </w:tcBorders>
            <w:shd w:val="clear" w:color="auto" w:fill="auto"/>
            <w:noWrap/>
            <w:vAlign w:val="center"/>
            <w:hideMark/>
          </w:tcPr>
          <w:p w14:paraId="0EF1CC87" w14:textId="77777777" w:rsidR="00247CBF" w:rsidRPr="00092ED7" w:rsidRDefault="00247CBF" w:rsidP="00247CBF">
            <w:pPr>
              <w:spacing w:after="0"/>
              <w:jc w:val="center"/>
              <w:rPr>
                <w:rFonts w:cs="Times New Roman"/>
                <w:sz w:val="20"/>
                <w:szCs w:val="20"/>
                <w:lang w:val="sr-Cyrl-CS"/>
              </w:rPr>
            </w:pPr>
            <w:r w:rsidRPr="00092ED7">
              <w:rPr>
                <w:rFonts w:cs="Times New Roman"/>
                <w:sz w:val="20"/>
                <w:szCs w:val="20"/>
                <w:lang w:val="sr-Cyrl-CS"/>
              </w:rPr>
              <w:t>0</w:t>
            </w:r>
          </w:p>
        </w:tc>
        <w:tc>
          <w:tcPr>
            <w:tcW w:w="1796" w:type="dxa"/>
            <w:tcBorders>
              <w:top w:val="single" w:sz="8" w:space="0" w:color="auto"/>
              <w:left w:val="nil"/>
              <w:bottom w:val="single" w:sz="8" w:space="0" w:color="auto"/>
              <w:right w:val="double" w:sz="6" w:space="0" w:color="auto"/>
            </w:tcBorders>
            <w:shd w:val="clear" w:color="auto" w:fill="auto"/>
            <w:noWrap/>
            <w:vAlign w:val="center"/>
            <w:hideMark/>
          </w:tcPr>
          <w:p w14:paraId="6D402018" w14:textId="77777777" w:rsidR="00247CBF" w:rsidRPr="00092ED7" w:rsidRDefault="00247CBF" w:rsidP="00247CBF">
            <w:pPr>
              <w:spacing w:after="0"/>
              <w:jc w:val="center"/>
              <w:rPr>
                <w:rFonts w:cs="Times New Roman"/>
                <w:sz w:val="20"/>
                <w:szCs w:val="20"/>
                <w:lang w:val="sr-Cyrl-CS"/>
              </w:rPr>
            </w:pPr>
            <w:r w:rsidRPr="00092ED7">
              <w:rPr>
                <w:rFonts w:cs="Times New Roman"/>
                <w:sz w:val="20"/>
                <w:szCs w:val="20"/>
                <w:lang w:val="sr-Cyrl-CS"/>
              </w:rPr>
              <w:t>0</w:t>
            </w:r>
          </w:p>
        </w:tc>
      </w:tr>
      <w:tr w:rsidR="00247CBF" w:rsidRPr="00092ED7" w14:paraId="5752FA74" w14:textId="77777777" w:rsidTr="00247CBF">
        <w:trPr>
          <w:trHeight w:val="300"/>
        </w:trPr>
        <w:tc>
          <w:tcPr>
            <w:tcW w:w="9049" w:type="dxa"/>
            <w:gridSpan w:val="3"/>
            <w:tcBorders>
              <w:top w:val="single" w:sz="8" w:space="0" w:color="auto"/>
              <w:left w:val="double" w:sz="6" w:space="0" w:color="auto"/>
              <w:bottom w:val="single" w:sz="8" w:space="0" w:color="auto"/>
              <w:right w:val="single" w:sz="4" w:space="0" w:color="000000"/>
            </w:tcBorders>
            <w:shd w:val="clear" w:color="auto" w:fill="auto"/>
            <w:vAlign w:val="center"/>
            <w:hideMark/>
          </w:tcPr>
          <w:p w14:paraId="665320F5"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Oстало</w:t>
            </w:r>
          </w:p>
        </w:tc>
        <w:tc>
          <w:tcPr>
            <w:tcW w:w="1795" w:type="dxa"/>
            <w:tcBorders>
              <w:top w:val="nil"/>
              <w:left w:val="nil"/>
              <w:bottom w:val="single" w:sz="8" w:space="0" w:color="auto"/>
              <w:right w:val="single" w:sz="8" w:space="0" w:color="auto"/>
            </w:tcBorders>
            <w:shd w:val="clear" w:color="auto" w:fill="auto"/>
            <w:noWrap/>
            <w:vAlign w:val="center"/>
            <w:hideMark/>
          </w:tcPr>
          <w:p w14:paraId="1E245257"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single" w:sz="8" w:space="0" w:color="auto"/>
              <w:right w:val="single" w:sz="4" w:space="0" w:color="auto"/>
            </w:tcBorders>
            <w:shd w:val="clear" w:color="auto" w:fill="auto"/>
            <w:noWrap/>
            <w:vAlign w:val="center"/>
            <w:hideMark/>
          </w:tcPr>
          <w:p w14:paraId="72778654"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single" w:sz="8" w:space="0" w:color="auto"/>
              <w:right w:val="double" w:sz="6" w:space="0" w:color="auto"/>
            </w:tcBorders>
            <w:shd w:val="clear" w:color="auto" w:fill="auto"/>
            <w:noWrap/>
            <w:vAlign w:val="center"/>
            <w:hideMark/>
          </w:tcPr>
          <w:p w14:paraId="6E694397" w14:textId="77777777" w:rsidR="00247CBF" w:rsidRPr="00092ED7" w:rsidRDefault="00247CBF" w:rsidP="00247CBF">
            <w:pPr>
              <w:spacing w:after="0"/>
              <w:jc w:val="center"/>
              <w:rPr>
                <w:rFonts w:cs="Times New Roman"/>
                <w:sz w:val="20"/>
                <w:szCs w:val="20"/>
                <w:lang w:val="sr-Cyrl-CS"/>
              </w:rPr>
            </w:pPr>
          </w:p>
        </w:tc>
      </w:tr>
      <w:tr w:rsidR="00247CBF" w:rsidRPr="00092ED7" w14:paraId="69D58554" w14:textId="77777777" w:rsidTr="00247CBF">
        <w:trPr>
          <w:trHeight w:val="300"/>
        </w:trPr>
        <w:tc>
          <w:tcPr>
            <w:tcW w:w="6923" w:type="dxa"/>
            <w:tcBorders>
              <w:top w:val="nil"/>
              <w:left w:val="double" w:sz="6" w:space="0" w:color="auto"/>
              <w:bottom w:val="dotted" w:sz="4" w:space="0" w:color="auto"/>
              <w:right w:val="nil"/>
            </w:tcBorders>
            <w:shd w:val="clear" w:color="auto" w:fill="auto"/>
            <w:vAlign w:val="center"/>
            <w:hideMark/>
          </w:tcPr>
          <w:p w14:paraId="255F250F"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Србијагас</w:t>
            </w:r>
          </w:p>
        </w:tc>
        <w:tc>
          <w:tcPr>
            <w:tcW w:w="567" w:type="dxa"/>
            <w:tcBorders>
              <w:top w:val="dotted" w:sz="4" w:space="0" w:color="auto"/>
              <w:left w:val="nil"/>
              <w:bottom w:val="dotted" w:sz="4" w:space="0" w:color="auto"/>
              <w:right w:val="single" w:sz="4" w:space="0" w:color="auto"/>
            </w:tcBorders>
            <w:shd w:val="clear" w:color="auto" w:fill="auto"/>
            <w:vAlign w:val="center"/>
            <w:hideMark/>
          </w:tcPr>
          <w:p w14:paraId="4E1D8006"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nil"/>
              <w:left w:val="single" w:sz="8" w:space="0" w:color="auto"/>
              <w:bottom w:val="dotted" w:sz="4" w:space="0" w:color="auto"/>
              <w:right w:val="single" w:sz="8" w:space="0" w:color="auto"/>
            </w:tcBorders>
            <w:shd w:val="clear" w:color="auto" w:fill="auto"/>
            <w:vAlign w:val="center"/>
            <w:hideMark/>
          </w:tcPr>
          <w:p w14:paraId="5CC53C45"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hideMark/>
          </w:tcPr>
          <w:p w14:paraId="15A617F5" w14:textId="77777777" w:rsidR="00247CBF" w:rsidRPr="00092ED7" w:rsidRDefault="00247CBF" w:rsidP="00247CBF">
            <w:pPr>
              <w:spacing w:after="0"/>
              <w:jc w:val="center"/>
              <w:rPr>
                <w:sz w:val="20"/>
                <w:szCs w:val="20"/>
                <w:lang w:val="sr-Cyrl-CS"/>
              </w:rPr>
            </w:pPr>
            <w:r w:rsidRPr="00092ED7">
              <w:rPr>
                <w:sz w:val="20"/>
                <w:szCs w:val="20"/>
                <w:lang w:val="sr-Cyrl-CS"/>
              </w:rPr>
              <w:t>2022-02</w:t>
            </w:r>
          </w:p>
        </w:tc>
        <w:tc>
          <w:tcPr>
            <w:tcW w:w="1796" w:type="dxa"/>
            <w:tcBorders>
              <w:top w:val="dotted" w:sz="4" w:space="0" w:color="auto"/>
              <w:left w:val="nil"/>
              <w:bottom w:val="dotted" w:sz="4" w:space="0" w:color="auto"/>
              <w:right w:val="single" w:sz="4" w:space="0" w:color="auto"/>
            </w:tcBorders>
            <w:shd w:val="clear" w:color="auto" w:fill="auto"/>
            <w:noWrap/>
            <w:vAlign w:val="center"/>
            <w:hideMark/>
          </w:tcPr>
          <w:p w14:paraId="1FF1D345" w14:textId="77777777" w:rsidR="00247CBF" w:rsidRPr="00092ED7" w:rsidRDefault="00247CBF" w:rsidP="00247CBF">
            <w:pPr>
              <w:spacing w:after="0"/>
              <w:jc w:val="center"/>
              <w:rPr>
                <w:sz w:val="20"/>
                <w:szCs w:val="20"/>
                <w:lang w:val="sr-Cyrl-CS"/>
              </w:rPr>
            </w:pPr>
            <w:r w:rsidRPr="00092ED7">
              <w:rPr>
                <w:sz w:val="20"/>
                <w:szCs w:val="20"/>
                <w:lang w:val="sr-Cyrl-CS"/>
              </w:rPr>
              <w:t>23,5</w:t>
            </w:r>
          </w:p>
        </w:tc>
        <w:tc>
          <w:tcPr>
            <w:tcW w:w="1796" w:type="dxa"/>
            <w:tcBorders>
              <w:top w:val="nil"/>
              <w:left w:val="nil"/>
              <w:bottom w:val="dotted" w:sz="4" w:space="0" w:color="auto"/>
              <w:right w:val="double" w:sz="6" w:space="0" w:color="auto"/>
            </w:tcBorders>
            <w:shd w:val="clear" w:color="auto" w:fill="auto"/>
            <w:noWrap/>
            <w:vAlign w:val="center"/>
            <w:hideMark/>
          </w:tcPr>
          <w:p w14:paraId="1B42B990" w14:textId="77777777" w:rsidR="00247CBF" w:rsidRPr="00092ED7" w:rsidRDefault="00247CBF" w:rsidP="00247CBF">
            <w:pPr>
              <w:spacing w:after="0"/>
              <w:jc w:val="center"/>
              <w:rPr>
                <w:rFonts w:cs="Times New Roman"/>
                <w:sz w:val="20"/>
                <w:szCs w:val="20"/>
                <w:lang w:val="sr-Cyrl-CS"/>
              </w:rPr>
            </w:pPr>
          </w:p>
        </w:tc>
      </w:tr>
      <w:tr w:rsidR="00247CBF" w:rsidRPr="00092ED7" w14:paraId="04372B1B" w14:textId="77777777" w:rsidTr="00247CBF">
        <w:trPr>
          <w:trHeight w:val="300"/>
        </w:trPr>
        <w:tc>
          <w:tcPr>
            <w:tcW w:w="6923" w:type="dxa"/>
            <w:tcBorders>
              <w:top w:val="nil"/>
              <w:left w:val="double" w:sz="6" w:space="0" w:color="auto"/>
              <w:bottom w:val="dotted" w:sz="4" w:space="0" w:color="auto"/>
              <w:right w:val="nil"/>
            </w:tcBorders>
            <w:shd w:val="clear" w:color="auto" w:fill="auto"/>
            <w:vAlign w:val="center"/>
            <w:hideMark/>
          </w:tcPr>
          <w:p w14:paraId="3F68D450"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567" w:type="dxa"/>
            <w:tcBorders>
              <w:top w:val="nil"/>
              <w:left w:val="nil"/>
              <w:bottom w:val="dotted" w:sz="4" w:space="0" w:color="auto"/>
              <w:right w:val="single" w:sz="4" w:space="0" w:color="auto"/>
            </w:tcBorders>
            <w:shd w:val="clear" w:color="auto" w:fill="auto"/>
            <w:vAlign w:val="center"/>
            <w:hideMark/>
          </w:tcPr>
          <w:p w14:paraId="33A5D103"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nil"/>
              <w:left w:val="single" w:sz="8" w:space="0" w:color="auto"/>
              <w:bottom w:val="dotted" w:sz="4" w:space="0" w:color="auto"/>
              <w:right w:val="single" w:sz="8" w:space="0" w:color="auto"/>
            </w:tcBorders>
            <w:shd w:val="clear" w:color="auto" w:fill="auto"/>
            <w:vAlign w:val="center"/>
            <w:hideMark/>
          </w:tcPr>
          <w:p w14:paraId="7B5032A8"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hideMark/>
          </w:tcPr>
          <w:p w14:paraId="4EB45DAD"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single" w:sz="4" w:space="0" w:color="auto"/>
            </w:tcBorders>
            <w:shd w:val="clear" w:color="auto" w:fill="auto"/>
            <w:noWrap/>
            <w:vAlign w:val="center"/>
            <w:hideMark/>
          </w:tcPr>
          <w:p w14:paraId="787A9F6B"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double" w:sz="6" w:space="0" w:color="auto"/>
            </w:tcBorders>
            <w:shd w:val="clear" w:color="auto" w:fill="auto"/>
            <w:noWrap/>
            <w:vAlign w:val="center"/>
            <w:hideMark/>
          </w:tcPr>
          <w:p w14:paraId="1342C974" w14:textId="77777777" w:rsidR="00247CBF" w:rsidRPr="00092ED7" w:rsidRDefault="00247CBF" w:rsidP="00247CBF">
            <w:pPr>
              <w:spacing w:after="0"/>
              <w:jc w:val="center"/>
              <w:rPr>
                <w:rFonts w:cs="Times New Roman"/>
                <w:sz w:val="20"/>
                <w:szCs w:val="20"/>
                <w:lang w:val="sr-Cyrl-CS"/>
              </w:rPr>
            </w:pPr>
          </w:p>
        </w:tc>
      </w:tr>
      <w:tr w:rsidR="00247CBF" w:rsidRPr="00092ED7" w14:paraId="5224B973" w14:textId="77777777" w:rsidTr="00247CBF">
        <w:trPr>
          <w:trHeight w:val="315"/>
        </w:trPr>
        <w:tc>
          <w:tcPr>
            <w:tcW w:w="6923" w:type="dxa"/>
            <w:tcBorders>
              <w:top w:val="nil"/>
              <w:left w:val="double" w:sz="6" w:space="0" w:color="auto"/>
              <w:bottom w:val="dotted" w:sz="4" w:space="0" w:color="auto"/>
              <w:right w:val="nil"/>
            </w:tcBorders>
            <w:shd w:val="clear" w:color="auto" w:fill="auto"/>
            <w:vAlign w:val="center"/>
            <w:hideMark/>
          </w:tcPr>
          <w:p w14:paraId="537D549E"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567" w:type="dxa"/>
            <w:tcBorders>
              <w:top w:val="nil"/>
              <w:left w:val="nil"/>
              <w:bottom w:val="dotted" w:sz="4" w:space="0" w:color="auto"/>
              <w:right w:val="single" w:sz="4" w:space="0" w:color="auto"/>
            </w:tcBorders>
            <w:shd w:val="clear" w:color="auto" w:fill="auto"/>
            <w:vAlign w:val="center"/>
            <w:hideMark/>
          </w:tcPr>
          <w:p w14:paraId="0A2418E1"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nil"/>
              <w:left w:val="single" w:sz="8" w:space="0" w:color="auto"/>
              <w:bottom w:val="dotted" w:sz="4" w:space="0" w:color="auto"/>
              <w:right w:val="single" w:sz="8" w:space="0" w:color="auto"/>
            </w:tcBorders>
            <w:shd w:val="clear" w:color="auto" w:fill="auto"/>
            <w:vAlign w:val="center"/>
            <w:hideMark/>
          </w:tcPr>
          <w:p w14:paraId="25DB1D4C"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hideMark/>
          </w:tcPr>
          <w:p w14:paraId="61FFB0DE"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single" w:sz="4" w:space="0" w:color="auto"/>
            </w:tcBorders>
            <w:shd w:val="clear" w:color="auto" w:fill="auto"/>
            <w:noWrap/>
            <w:vAlign w:val="center"/>
            <w:hideMark/>
          </w:tcPr>
          <w:p w14:paraId="293120B2"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double" w:sz="6" w:space="0" w:color="auto"/>
            </w:tcBorders>
            <w:shd w:val="clear" w:color="auto" w:fill="auto"/>
            <w:noWrap/>
            <w:vAlign w:val="center"/>
            <w:hideMark/>
          </w:tcPr>
          <w:p w14:paraId="5CC023A8" w14:textId="77777777" w:rsidR="00247CBF" w:rsidRPr="00092ED7" w:rsidRDefault="00247CBF" w:rsidP="00247CBF">
            <w:pPr>
              <w:spacing w:after="0"/>
              <w:jc w:val="center"/>
              <w:rPr>
                <w:rFonts w:cs="Times New Roman"/>
                <w:sz w:val="20"/>
                <w:szCs w:val="20"/>
                <w:lang w:val="sr-Cyrl-CS"/>
              </w:rPr>
            </w:pPr>
          </w:p>
        </w:tc>
      </w:tr>
      <w:tr w:rsidR="00247CBF" w:rsidRPr="00092ED7" w14:paraId="476EB73C" w14:textId="77777777" w:rsidTr="00247CBF">
        <w:trPr>
          <w:trHeight w:val="330"/>
        </w:trPr>
        <w:tc>
          <w:tcPr>
            <w:tcW w:w="6923" w:type="dxa"/>
            <w:tcBorders>
              <w:top w:val="single" w:sz="8" w:space="0" w:color="auto"/>
              <w:left w:val="double" w:sz="6" w:space="0" w:color="auto"/>
              <w:bottom w:val="single" w:sz="8" w:space="0" w:color="auto"/>
              <w:right w:val="nil"/>
            </w:tcBorders>
            <w:shd w:val="clear" w:color="auto" w:fill="auto"/>
            <w:vAlign w:val="center"/>
            <w:hideMark/>
          </w:tcPr>
          <w:p w14:paraId="65EB4D50"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567" w:type="dxa"/>
            <w:tcBorders>
              <w:top w:val="single" w:sz="8" w:space="0" w:color="auto"/>
              <w:left w:val="nil"/>
              <w:bottom w:val="single" w:sz="8" w:space="0" w:color="auto"/>
              <w:right w:val="nil"/>
            </w:tcBorders>
            <w:shd w:val="clear" w:color="auto" w:fill="auto"/>
            <w:vAlign w:val="center"/>
            <w:hideMark/>
          </w:tcPr>
          <w:p w14:paraId="0F01DC6B"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5571ACFE" w14:textId="77777777" w:rsidR="00247CBF" w:rsidRPr="00092ED7" w:rsidRDefault="00247CBF" w:rsidP="00247CBF">
            <w:pPr>
              <w:spacing w:after="0"/>
              <w:jc w:val="left"/>
              <w:rPr>
                <w:rFonts w:cs="Times New Roman"/>
                <w:b/>
                <w:sz w:val="20"/>
                <w:szCs w:val="20"/>
                <w:lang w:val="sr-Cyrl-CS"/>
              </w:rPr>
            </w:pPr>
            <w:r w:rsidRPr="00092ED7">
              <w:rPr>
                <w:rFonts w:cs="Times New Roman"/>
                <w:b/>
                <w:sz w:val="20"/>
                <w:szCs w:val="20"/>
                <w:lang w:val="sr-Cyrl-CS"/>
              </w:rPr>
              <w:t>Међузбир</w:t>
            </w:r>
          </w:p>
        </w:tc>
        <w:tc>
          <w:tcPr>
            <w:tcW w:w="1795" w:type="dxa"/>
            <w:tcBorders>
              <w:top w:val="single" w:sz="8" w:space="0" w:color="auto"/>
              <w:left w:val="nil"/>
              <w:bottom w:val="single" w:sz="8" w:space="0" w:color="auto"/>
              <w:right w:val="single" w:sz="8" w:space="0" w:color="auto"/>
            </w:tcBorders>
            <w:shd w:val="clear" w:color="auto" w:fill="auto"/>
            <w:noWrap/>
            <w:vAlign w:val="center"/>
            <w:hideMark/>
          </w:tcPr>
          <w:p w14:paraId="050667FD" w14:textId="77777777" w:rsidR="00247CBF" w:rsidRPr="00092ED7" w:rsidRDefault="00247CBF" w:rsidP="00247CBF">
            <w:pPr>
              <w:spacing w:after="0"/>
              <w:jc w:val="left"/>
              <w:rPr>
                <w:rFonts w:cs="Times New Roman"/>
                <w:b/>
                <w:sz w:val="20"/>
                <w:szCs w:val="20"/>
                <w:lang w:val="sr-Cyrl-CS"/>
              </w:rPr>
            </w:pPr>
            <w:r w:rsidRPr="00092ED7">
              <w:rPr>
                <w:rFonts w:cs="Times New Roman"/>
                <w:b/>
                <w:sz w:val="20"/>
                <w:szCs w:val="20"/>
                <w:lang w:val="sr-Cyrl-CS"/>
              </w:rPr>
              <w:t> </w:t>
            </w:r>
          </w:p>
        </w:tc>
        <w:tc>
          <w:tcPr>
            <w:tcW w:w="1796" w:type="dxa"/>
            <w:tcBorders>
              <w:top w:val="single" w:sz="8" w:space="0" w:color="auto"/>
              <w:left w:val="nil"/>
              <w:bottom w:val="single" w:sz="8" w:space="0" w:color="auto"/>
              <w:right w:val="single" w:sz="4" w:space="0" w:color="auto"/>
            </w:tcBorders>
            <w:shd w:val="clear" w:color="auto" w:fill="auto"/>
            <w:noWrap/>
            <w:vAlign w:val="center"/>
            <w:hideMark/>
          </w:tcPr>
          <w:p w14:paraId="61D014F9" w14:textId="77777777" w:rsidR="00247CBF" w:rsidRPr="00092ED7" w:rsidRDefault="00247CBF" w:rsidP="00247CBF">
            <w:pPr>
              <w:spacing w:after="0"/>
              <w:jc w:val="center"/>
              <w:rPr>
                <w:rFonts w:cs="Times New Roman"/>
                <w:b/>
                <w:sz w:val="20"/>
                <w:szCs w:val="20"/>
                <w:lang w:val="sr-Cyrl-CS"/>
              </w:rPr>
            </w:pPr>
            <w:r w:rsidRPr="00092ED7">
              <w:rPr>
                <w:sz w:val="20"/>
                <w:szCs w:val="20"/>
                <w:lang w:val="sr-Cyrl-CS"/>
              </w:rPr>
              <w:t>23,5</w:t>
            </w:r>
          </w:p>
        </w:tc>
        <w:tc>
          <w:tcPr>
            <w:tcW w:w="1796" w:type="dxa"/>
            <w:tcBorders>
              <w:top w:val="single" w:sz="8" w:space="0" w:color="auto"/>
              <w:left w:val="nil"/>
              <w:bottom w:val="single" w:sz="8" w:space="0" w:color="auto"/>
              <w:right w:val="double" w:sz="6" w:space="0" w:color="auto"/>
            </w:tcBorders>
            <w:shd w:val="clear" w:color="auto" w:fill="auto"/>
            <w:noWrap/>
            <w:vAlign w:val="center"/>
            <w:hideMark/>
          </w:tcPr>
          <w:p w14:paraId="06C179EA" w14:textId="77777777" w:rsidR="00247CBF" w:rsidRPr="00092ED7" w:rsidRDefault="00247CBF" w:rsidP="00247CBF">
            <w:pPr>
              <w:spacing w:after="0"/>
              <w:jc w:val="center"/>
              <w:rPr>
                <w:rFonts w:cs="Times New Roman"/>
                <w:b/>
                <w:sz w:val="20"/>
                <w:szCs w:val="20"/>
                <w:lang w:val="sr-Cyrl-CS"/>
              </w:rPr>
            </w:pPr>
            <w:r w:rsidRPr="00092ED7">
              <w:rPr>
                <w:rFonts w:cs="Times New Roman"/>
                <w:b/>
                <w:sz w:val="20"/>
                <w:szCs w:val="20"/>
                <w:lang w:val="sr-Cyrl-CS"/>
              </w:rPr>
              <w:t>0</w:t>
            </w:r>
          </w:p>
        </w:tc>
      </w:tr>
      <w:tr w:rsidR="00247CBF" w:rsidRPr="00092ED7" w14:paraId="60A1B0EC" w14:textId="77777777" w:rsidTr="00247CBF">
        <w:trPr>
          <w:trHeight w:val="300"/>
        </w:trPr>
        <w:tc>
          <w:tcPr>
            <w:tcW w:w="7490" w:type="dxa"/>
            <w:gridSpan w:val="2"/>
            <w:tcBorders>
              <w:top w:val="single" w:sz="8" w:space="0" w:color="auto"/>
              <w:left w:val="double" w:sz="6" w:space="0" w:color="auto"/>
              <w:bottom w:val="double" w:sz="6" w:space="0" w:color="auto"/>
              <w:right w:val="single" w:sz="4" w:space="0" w:color="000000"/>
            </w:tcBorders>
            <w:shd w:val="clear" w:color="auto" w:fill="auto"/>
            <w:noWrap/>
            <w:vAlign w:val="center"/>
            <w:hideMark/>
          </w:tcPr>
          <w:p w14:paraId="7D785F98"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nil"/>
              <w:left w:val="single" w:sz="4" w:space="0" w:color="auto"/>
              <w:bottom w:val="double" w:sz="6" w:space="0" w:color="auto"/>
              <w:right w:val="single" w:sz="4" w:space="0" w:color="auto"/>
            </w:tcBorders>
            <w:shd w:val="clear" w:color="auto" w:fill="auto"/>
            <w:noWrap/>
            <w:vAlign w:val="center"/>
            <w:hideMark/>
          </w:tcPr>
          <w:p w14:paraId="0DF85284" w14:textId="77777777" w:rsidR="00247CBF" w:rsidRPr="00092ED7" w:rsidRDefault="00247CBF" w:rsidP="00247CBF">
            <w:pPr>
              <w:spacing w:after="0"/>
              <w:jc w:val="left"/>
              <w:rPr>
                <w:rFonts w:cs="Times New Roman"/>
                <w:b/>
                <w:sz w:val="20"/>
                <w:szCs w:val="20"/>
                <w:lang w:val="sr-Cyrl-CS"/>
              </w:rPr>
            </w:pPr>
            <w:r w:rsidRPr="00092ED7">
              <w:rPr>
                <w:rFonts w:cs="Times New Roman"/>
                <w:b/>
                <w:sz w:val="20"/>
                <w:szCs w:val="20"/>
                <w:lang w:val="sr-Cyrl-CS"/>
              </w:rPr>
              <w:t>Укупно</w:t>
            </w:r>
          </w:p>
        </w:tc>
        <w:tc>
          <w:tcPr>
            <w:tcW w:w="1795" w:type="dxa"/>
            <w:tcBorders>
              <w:top w:val="nil"/>
              <w:left w:val="nil"/>
              <w:bottom w:val="double" w:sz="6" w:space="0" w:color="auto"/>
              <w:right w:val="single" w:sz="8" w:space="0" w:color="auto"/>
            </w:tcBorders>
            <w:shd w:val="clear" w:color="auto" w:fill="auto"/>
            <w:noWrap/>
            <w:vAlign w:val="center"/>
            <w:hideMark/>
          </w:tcPr>
          <w:p w14:paraId="0A825504" w14:textId="77777777" w:rsidR="00247CBF" w:rsidRPr="00092ED7" w:rsidRDefault="00247CBF" w:rsidP="00247CBF">
            <w:pPr>
              <w:spacing w:after="0"/>
              <w:jc w:val="left"/>
              <w:rPr>
                <w:rFonts w:cs="Times New Roman"/>
                <w:b/>
                <w:sz w:val="20"/>
                <w:szCs w:val="20"/>
                <w:lang w:val="sr-Cyrl-CS"/>
              </w:rPr>
            </w:pPr>
            <w:r w:rsidRPr="00092ED7">
              <w:rPr>
                <w:rFonts w:cs="Times New Roman"/>
                <w:b/>
                <w:sz w:val="20"/>
                <w:szCs w:val="20"/>
                <w:lang w:val="sr-Cyrl-CS"/>
              </w:rPr>
              <w:t> </w:t>
            </w:r>
          </w:p>
        </w:tc>
        <w:tc>
          <w:tcPr>
            <w:tcW w:w="1796" w:type="dxa"/>
            <w:tcBorders>
              <w:top w:val="nil"/>
              <w:left w:val="nil"/>
              <w:bottom w:val="double" w:sz="6" w:space="0" w:color="auto"/>
              <w:right w:val="single" w:sz="4" w:space="0" w:color="auto"/>
            </w:tcBorders>
            <w:shd w:val="clear" w:color="auto" w:fill="auto"/>
            <w:noWrap/>
            <w:vAlign w:val="center"/>
            <w:hideMark/>
          </w:tcPr>
          <w:p w14:paraId="450443BC" w14:textId="77777777" w:rsidR="00247CBF" w:rsidRPr="00092ED7" w:rsidRDefault="00247CBF" w:rsidP="00247CBF">
            <w:pPr>
              <w:spacing w:after="0"/>
              <w:jc w:val="center"/>
              <w:rPr>
                <w:rFonts w:cs="Times New Roman"/>
                <w:b/>
                <w:sz w:val="20"/>
                <w:szCs w:val="20"/>
                <w:lang w:val="sr-Cyrl-CS"/>
              </w:rPr>
            </w:pPr>
            <w:r w:rsidRPr="00092ED7">
              <w:rPr>
                <w:sz w:val="20"/>
                <w:szCs w:val="20"/>
                <w:lang w:val="sr-Cyrl-CS"/>
              </w:rPr>
              <w:t>23,5</w:t>
            </w:r>
          </w:p>
        </w:tc>
        <w:tc>
          <w:tcPr>
            <w:tcW w:w="1796" w:type="dxa"/>
            <w:tcBorders>
              <w:top w:val="nil"/>
              <w:left w:val="nil"/>
              <w:bottom w:val="double" w:sz="6" w:space="0" w:color="auto"/>
              <w:right w:val="double" w:sz="6" w:space="0" w:color="auto"/>
            </w:tcBorders>
            <w:shd w:val="clear" w:color="auto" w:fill="auto"/>
            <w:noWrap/>
            <w:vAlign w:val="center"/>
            <w:hideMark/>
          </w:tcPr>
          <w:p w14:paraId="4FA74F80" w14:textId="77777777" w:rsidR="00247CBF" w:rsidRPr="00092ED7" w:rsidRDefault="00247CBF" w:rsidP="00247CBF">
            <w:pPr>
              <w:spacing w:after="0"/>
              <w:jc w:val="center"/>
              <w:rPr>
                <w:rFonts w:cs="Times New Roman"/>
                <w:b/>
                <w:sz w:val="20"/>
                <w:szCs w:val="20"/>
                <w:lang w:val="sr-Cyrl-CS"/>
              </w:rPr>
            </w:pPr>
            <w:r w:rsidRPr="00092ED7">
              <w:rPr>
                <w:rFonts w:cs="Times New Roman"/>
                <w:b/>
                <w:sz w:val="20"/>
                <w:szCs w:val="20"/>
                <w:lang w:val="sr-Cyrl-CS"/>
              </w:rPr>
              <w:t>0</w:t>
            </w:r>
          </w:p>
        </w:tc>
      </w:tr>
      <w:tr w:rsidR="00247CBF" w:rsidRPr="00092ED7" w14:paraId="34CD6062" w14:textId="77777777" w:rsidTr="00247CBF">
        <w:trPr>
          <w:trHeight w:val="330"/>
        </w:trPr>
        <w:tc>
          <w:tcPr>
            <w:tcW w:w="14436" w:type="dxa"/>
            <w:gridSpan w:val="6"/>
            <w:tcBorders>
              <w:top w:val="nil"/>
              <w:left w:val="nil"/>
              <w:bottom w:val="nil"/>
              <w:right w:val="nil"/>
            </w:tcBorders>
            <w:shd w:val="clear" w:color="000000" w:fill="FFFFFF"/>
            <w:noWrap/>
            <w:vAlign w:val="bottom"/>
            <w:hideMark/>
          </w:tcPr>
          <w:p w14:paraId="360D3C41" w14:textId="77777777" w:rsidR="00247CBF" w:rsidRPr="00092ED7" w:rsidRDefault="00247CBF" w:rsidP="00247CBF">
            <w:pPr>
              <w:spacing w:after="0"/>
              <w:rPr>
                <w:rFonts w:cs="Times New Roman"/>
                <w:sz w:val="18"/>
                <w:szCs w:val="20"/>
                <w:lang w:val="sr-Cyrl-CS"/>
              </w:rPr>
            </w:pPr>
            <w:r w:rsidRPr="00092ED7">
              <w:rPr>
                <w:rFonts w:cs="Times New Roman"/>
                <w:sz w:val="18"/>
                <w:szCs w:val="20"/>
                <w:vertAlign w:val="superscript"/>
                <w:lang w:val="sr-Cyrl-CS"/>
              </w:rPr>
              <w:t>1</w:t>
            </w:r>
            <w:r w:rsidRPr="00092ED7">
              <w:rPr>
                <w:rFonts w:cs="Times New Roman"/>
                <w:sz w:val="18"/>
                <w:szCs w:val="20"/>
                <w:lang w:val="sr-Cyrl-CS"/>
              </w:rPr>
              <w:t xml:space="preserve"> Свако активирање гаранција које има фискални ефекат требало би да се прикаже у табели дискреционих мера</w:t>
            </w:r>
          </w:p>
        </w:tc>
      </w:tr>
    </w:tbl>
    <w:p w14:paraId="45F7501D" w14:textId="77777777" w:rsidR="00247CBF" w:rsidRPr="00092ED7" w:rsidRDefault="00247CBF" w:rsidP="00247CBF">
      <w:pPr>
        <w:rPr>
          <w:rFonts w:cs="Times New Roman"/>
          <w:b/>
          <w:sz w:val="20"/>
          <w:szCs w:val="20"/>
          <w:lang w:val="sr-Cyrl-CS"/>
        </w:rPr>
      </w:pPr>
    </w:p>
    <w:p w14:paraId="3BC9516F" w14:textId="77777777" w:rsidR="00247CBF" w:rsidRPr="00092ED7" w:rsidRDefault="00247CBF" w:rsidP="00247CBF">
      <w:pPr>
        <w:spacing w:after="0"/>
        <w:rPr>
          <w:rFonts w:cs="Times New Roman"/>
          <w:b/>
          <w:sz w:val="20"/>
          <w:szCs w:val="20"/>
          <w:lang w:val="sr-Cyrl-CS"/>
        </w:rPr>
      </w:pPr>
      <w:r w:rsidRPr="00092ED7">
        <w:rPr>
          <w:rFonts w:cs="Times New Roman"/>
          <w:b/>
          <w:sz w:val="20"/>
          <w:szCs w:val="20"/>
          <w:lang w:val="sr-Cyrl-CS"/>
        </w:rPr>
        <w:t>Табела 7a: Издавање гаранција усвојено/најављено у складу са Програмом</w:t>
      </w:r>
    </w:p>
    <w:tbl>
      <w:tblPr>
        <w:tblW w:w="14436" w:type="dxa"/>
        <w:tblLayout w:type="fixed"/>
        <w:tblLook w:val="04A0" w:firstRow="1" w:lastRow="0" w:firstColumn="1" w:lastColumn="0" w:noHBand="0" w:noVBand="1"/>
      </w:tblPr>
      <w:tblGrid>
        <w:gridCol w:w="1670"/>
        <w:gridCol w:w="6387"/>
        <w:gridCol w:w="1701"/>
        <w:gridCol w:w="2126"/>
        <w:gridCol w:w="2552"/>
      </w:tblGrid>
      <w:tr w:rsidR="00247CBF" w:rsidRPr="00092ED7" w14:paraId="279362AB" w14:textId="77777777" w:rsidTr="00247CBF">
        <w:trPr>
          <w:trHeight w:val="227"/>
        </w:trPr>
        <w:tc>
          <w:tcPr>
            <w:tcW w:w="1670" w:type="dxa"/>
            <w:tcBorders>
              <w:top w:val="double" w:sz="6" w:space="0" w:color="auto"/>
              <w:left w:val="double" w:sz="6" w:space="0" w:color="auto"/>
              <w:bottom w:val="single" w:sz="8" w:space="0" w:color="auto"/>
              <w:right w:val="nil"/>
            </w:tcBorders>
            <w:shd w:val="clear" w:color="000000" w:fill="FFFFFF"/>
            <w:noWrap/>
            <w:vAlign w:val="bottom"/>
            <w:hideMark/>
          </w:tcPr>
          <w:p w14:paraId="3545F48E" w14:textId="77777777" w:rsidR="00247CBF" w:rsidRPr="00092ED7" w:rsidRDefault="00247CBF" w:rsidP="00247CBF">
            <w:pPr>
              <w:spacing w:after="0"/>
              <w:rPr>
                <w:rFonts w:eastAsia="Times New Roman" w:cs="Times New Roman"/>
                <w:sz w:val="20"/>
                <w:szCs w:val="20"/>
                <w:lang w:val="sr-Cyrl-CS"/>
              </w:rPr>
            </w:pPr>
          </w:p>
        </w:tc>
        <w:tc>
          <w:tcPr>
            <w:tcW w:w="6387" w:type="dxa"/>
            <w:tcBorders>
              <w:top w:val="double" w:sz="6" w:space="0" w:color="auto"/>
              <w:left w:val="nil"/>
              <w:bottom w:val="single" w:sz="8" w:space="0" w:color="auto"/>
              <w:right w:val="single" w:sz="4" w:space="0" w:color="auto"/>
            </w:tcBorders>
            <w:shd w:val="clear" w:color="auto" w:fill="auto"/>
            <w:noWrap/>
            <w:vAlign w:val="center"/>
            <w:hideMark/>
          </w:tcPr>
          <w:p w14:paraId="57C3AE45" w14:textId="77777777" w:rsidR="00247CBF" w:rsidRPr="00092ED7" w:rsidRDefault="00247CBF" w:rsidP="00247CB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Мере</w:t>
            </w:r>
          </w:p>
        </w:tc>
        <w:tc>
          <w:tcPr>
            <w:tcW w:w="1701" w:type="dxa"/>
            <w:tcBorders>
              <w:top w:val="double" w:sz="6" w:space="0" w:color="auto"/>
              <w:left w:val="single" w:sz="4" w:space="0" w:color="auto"/>
              <w:bottom w:val="single" w:sz="8" w:space="0" w:color="auto"/>
              <w:right w:val="single" w:sz="8" w:space="0" w:color="auto"/>
            </w:tcBorders>
            <w:shd w:val="clear" w:color="auto" w:fill="auto"/>
            <w:vAlign w:val="center"/>
            <w:hideMark/>
          </w:tcPr>
          <w:p w14:paraId="0901803C" w14:textId="77777777" w:rsidR="00247CBF" w:rsidRPr="00092ED7" w:rsidRDefault="00247CBF" w:rsidP="00247CB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Датум усвајања</w:t>
            </w:r>
          </w:p>
        </w:tc>
        <w:tc>
          <w:tcPr>
            <w:tcW w:w="2126" w:type="dxa"/>
            <w:tcBorders>
              <w:top w:val="double" w:sz="6" w:space="0" w:color="auto"/>
              <w:left w:val="nil"/>
              <w:bottom w:val="single" w:sz="8" w:space="0" w:color="auto"/>
              <w:right w:val="single" w:sz="4" w:space="0" w:color="auto"/>
            </w:tcBorders>
            <w:shd w:val="clear" w:color="auto" w:fill="auto"/>
            <w:vAlign w:val="center"/>
            <w:hideMark/>
          </w:tcPr>
          <w:p w14:paraId="19A1383E" w14:textId="77777777" w:rsidR="00247CBF" w:rsidRPr="00092ED7" w:rsidRDefault="00247CBF" w:rsidP="00247CB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Максимални износ гаранције</w:t>
            </w:r>
            <w:r w:rsidRPr="00092ED7">
              <w:rPr>
                <w:rFonts w:eastAsia="Times New Roman" w:cs="Times New Roman"/>
                <w:bCs/>
                <w:sz w:val="20"/>
                <w:szCs w:val="20"/>
                <w:vertAlign w:val="superscript"/>
                <w:lang w:val="sr-Cyrl-CS"/>
              </w:rPr>
              <w:t>1 (% БДП)</w:t>
            </w:r>
          </w:p>
        </w:tc>
        <w:tc>
          <w:tcPr>
            <w:tcW w:w="2552" w:type="dxa"/>
            <w:tcBorders>
              <w:top w:val="double" w:sz="6" w:space="0" w:color="auto"/>
              <w:left w:val="single" w:sz="4" w:space="0" w:color="auto"/>
              <w:bottom w:val="single" w:sz="8" w:space="0" w:color="auto"/>
              <w:right w:val="double" w:sz="6" w:space="0" w:color="auto"/>
            </w:tcBorders>
            <w:shd w:val="clear" w:color="auto" w:fill="auto"/>
            <w:vAlign w:val="center"/>
            <w:hideMark/>
          </w:tcPr>
          <w:p w14:paraId="58F77013" w14:textId="77777777" w:rsidR="00247CBF" w:rsidRPr="00092ED7" w:rsidRDefault="00247CBF" w:rsidP="00247CB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Процењени активирани износ (% БДП)</w:t>
            </w:r>
          </w:p>
        </w:tc>
      </w:tr>
      <w:tr w:rsidR="00247CBF" w:rsidRPr="00092ED7" w14:paraId="03134CA6" w14:textId="77777777" w:rsidTr="00247CBF">
        <w:trPr>
          <w:trHeight w:val="227"/>
        </w:trPr>
        <w:tc>
          <w:tcPr>
            <w:tcW w:w="1670" w:type="dxa"/>
            <w:tcBorders>
              <w:top w:val="single" w:sz="8" w:space="0" w:color="auto"/>
              <w:left w:val="double" w:sz="6" w:space="0" w:color="auto"/>
              <w:bottom w:val="single" w:sz="8" w:space="0" w:color="auto"/>
              <w:right w:val="nil"/>
            </w:tcBorders>
            <w:shd w:val="clear" w:color="000000" w:fill="FFFFFF"/>
            <w:noWrap/>
            <w:vAlign w:val="bottom"/>
            <w:hideMark/>
          </w:tcPr>
          <w:p w14:paraId="5C3D04D3" w14:textId="77777777" w:rsidR="00247CBF" w:rsidRPr="00092ED7" w:rsidRDefault="00247CBF" w:rsidP="00247CBF">
            <w:pPr>
              <w:spacing w:after="0"/>
              <w:rPr>
                <w:rFonts w:eastAsia="Times New Roman" w:cs="Times New Roman"/>
                <w:szCs w:val="24"/>
                <w:lang w:val="sr-Cyrl-CS"/>
              </w:rPr>
            </w:pPr>
            <w:r w:rsidRPr="00092ED7">
              <w:rPr>
                <w:rFonts w:eastAsia="Times New Roman" w:cs="Times New Roman"/>
                <w:szCs w:val="24"/>
                <w:lang w:val="sr-Cyrl-CS"/>
              </w:rPr>
              <w:t> </w:t>
            </w:r>
          </w:p>
        </w:tc>
        <w:tc>
          <w:tcPr>
            <w:tcW w:w="6387" w:type="dxa"/>
            <w:tcBorders>
              <w:top w:val="nil"/>
              <w:left w:val="nil"/>
              <w:bottom w:val="single" w:sz="8" w:space="0" w:color="auto"/>
              <w:right w:val="single" w:sz="4" w:space="0" w:color="auto"/>
            </w:tcBorders>
            <w:shd w:val="clear" w:color="auto" w:fill="auto"/>
            <w:noWrap/>
            <w:vAlign w:val="center"/>
            <w:hideMark/>
          </w:tcPr>
          <w:p w14:paraId="2BEEF02A"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701" w:type="dxa"/>
            <w:tcBorders>
              <w:top w:val="nil"/>
              <w:left w:val="nil"/>
              <w:bottom w:val="single" w:sz="8" w:space="0" w:color="auto"/>
              <w:right w:val="single" w:sz="8" w:space="0" w:color="auto"/>
            </w:tcBorders>
            <w:shd w:val="clear" w:color="auto" w:fill="auto"/>
            <w:vAlign w:val="center"/>
            <w:hideMark/>
          </w:tcPr>
          <w:p w14:paraId="0880491D"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2126" w:type="dxa"/>
            <w:tcBorders>
              <w:top w:val="nil"/>
              <w:left w:val="nil"/>
              <w:bottom w:val="single" w:sz="8" w:space="0" w:color="auto"/>
              <w:right w:val="single" w:sz="4" w:space="0" w:color="auto"/>
            </w:tcBorders>
            <w:shd w:val="clear" w:color="auto" w:fill="auto"/>
            <w:vAlign w:val="center"/>
            <w:hideMark/>
          </w:tcPr>
          <w:p w14:paraId="3C818672"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2022</w:t>
            </w:r>
          </w:p>
        </w:tc>
        <w:tc>
          <w:tcPr>
            <w:tcW w:w="2552" w:type="dxa"/>
            <w:tcBorders>
              <w:top w:val="nil"/>
              <w:left w:val="nil"/>
              <w:bottom w:val="single" w:sz="8" w:space="0" w:color="auto"/>
              <w:right w:val="double" w:sz="6" w:space="0" w:color="auto"/>
            </w:tcBorders>
            <w:shd w:val="clear" w:color="auto" w:fill="auto"/>
            <w:vAlign w:val="center"/>
            <w:hideMark/>
          </w:tcPr>
          <w:p w14:paraId="500FA3FF"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2022</w:t>
            </w:r>
          </w:p>
        </w:tc>
      </w:tr>
      <w:tr w:rsidR="00247CBF" w:rsidRPr="00092ED7" w14:paraId="1E48FBF1" w14:textId="77777777" w:rsidTr="00247CBF">
        <w:trPr>
          <w:trHeight w:val="227"/>
        </w:trPr>
        <w:tc>
          <w:tcPr>
            <w:tcW w:w="1670" w:type="dxa"/>
            <w:vMerge w:val="restart"/>
            <w:tcBorders>
              <w:top w:val="single" w:sz="8" w:space="0" w:color="auto"/>
              <w:left w:val="double" w:sz="6" w:space="0" w:color="auto"/>
              <w:right w:val="single" w:sz="4" w:space="0" w:color="auto"/>
            </w:tcBorders>
            <w:shd w:val="clear" w:color="000000" w:fill="FFFFFF"/>
            <w:vAlign w:val="center"/>
            <w:hideMark/>
          </w:tcPr>
          <w:p w14:paraId="16703C12"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bCs/>
                <w:sz w:val="20"/>
                <w:szCs w:val="20"/>
                <w:lang w:val="sr-Cyrl-CS"/>
              </w:rPr>
              <w:t>Као одговор на COVID 19</w:t>
            </w:r>
          </w:p>
        </w:tc>
        <w:tc>
          <w:tcPr>
            <w:tcW w:w="638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ABD481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w:t>
            </w:r>
          </w:p>
        </w:tc>
        <w:tc>
          <w:tcPr>
            <w:tcW w:w="1701"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7A84A5F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14:paraId="4DE0440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552" w:type="dxa"/>
            <w:tcBorders>
              <w:top w:val="dotted" w:sz="4" w:space="0" w:color="auto"/>
              <w:left w:val="nil"/>
              <w:bottom w:val="dotted" w:sz="4" w:space="0" w:color="auto"/>
              <w:right w:val="double" w:sz="6" w:space="0" w:color="auto"/>
            </w:tcBorders>
            <w:shd w:val="clear" w:color="auto" w:fill="auto"/>
            <w:noWrap/>
            <w:vAlign w:val="bottom"/>
            <w:hideMark/>
          </w:tcPr>
          <w:p w14:paraId="2F9FBE0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40E80E3D" w14:textId="77777777" w:rsidTr="00247CBF">
        <w:trPr>
          <w:trHeight w:val="227"/>
        </w:trPr>
        <w:tc>
          <w:tcPr>
            <w:tcW w:w="1670" w:type="dxa"/>
            <w:vMerge/>
            <w:tcBorders>
              <w:left w:val="double" w:sz="6" w:space="0" w:color="auto"/>
              <w:right w:val="single" w:sz="4" w:space="0" w:color="auto"/>
            </w:tcBorders>
            <w:shd w:val="clear" w:color="000000" w:fill="FFFFFF"/>
            <w:vAlign w:val="center"/>
            <w:hideMark/>
          </w:tcPr>
          <w:p w14:paraId="70F5FC47" w14:textId="77777777" w:rsidR="00247CBF" w:rsidRPr="00092ED7" w:rsidRDefault="00247CBF" w:rsidP="00247CBF">
            <w:pPr>
              <w:spacing w:after="0"/>
              <w:rPr>
                <w:rFonts w:eastAsia="Times New Roman" w:cs="Times New Roman"/>
                <w:sz w:val="20"/>
                <w:szCs w:val="20"/>
                <w:lang w:val="sr-Cyrl-CS"/>
              </w:rPr>
            </w:pPr>
          </w:p>
        </w:tc>
        <w:tc>
          <w:tcPr>
            <w:tcW w:w="6387" w:type="dxa"/>
            <w:tcBorders>
              <w:top w:val="nil"/>
              <w:left w:val="single" w:sz="4" w:space="0" w:color="auto"/>
              <w:bottom w:val="dotted" w:sz="4" w:space="0" w:color="auto"/>
              <w:right w:val="single" w:sz="4" w:space="0" w:color="auto"/>
            </w:tcBorders>
            <w:shd w:val="clear" w:color="auto" w:fill="auto"/>
            <w:noWrap/>
            <w:vAlign w:val="bottom"/>
            <w:hideMark/>
          </w:tcPr>
          <w:p w14:paraId="27DC24A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w:t>
            </w:r>
          </w:p>
        </w:tc>
        <w:tc>
          <w:tcPr>
            <w:tcW w:w="1701" w:type="dxa"/>
            <w:tcBorders>
              <w:top w:val="nil"/>
              <w:left w:val="single" w:sz="4" w:space="0" w:color="auto"/>
              <w:bottom w:val="dotted" w:sz="4" w:space="0" w:color="auto"/>
              <w:right w:val="single" w:sz="8" w:space="0" w:color="auto"/>
            </w:tcBorders>
            <w:shd w:val="clear" w:color="auto" w:fill="auto"/>
            <w:noWrap/>
            <w:vAlign w:val="center"/>
            <w:hideMark/>
          </w:tcPr>
          <w:p w14:paraId="43780ED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126" w:type="dxa"/>
            <w:tcBorders>
              <w:top w:val="nil"/>
              <w:left w:val="nil"/>
              <w:bottom w:val="dotted" w:sz="4" w:space="0" w:color="auto"/>
              <w:right w:val="single" w:sz="4" w:space="0" w:color="auto"/>
            </w:tcBorders>
            <w:shd w:val="clear" w:color="auto" w:fill="auto"/>
            <w:noWrap/>
            <w:vAlign w:val="center"/>
            <w:hideMark/>
          </w:tcPr>
          <w:p w14:paraId="6FDE099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552" w:type="dxa"/>
            <w:tcBorders>
              <w:top w:val="nil"/>
              <w:left w:val="nil"/>
              <w:bottom w:val="dotted" w:sz="4" w:space="0" w:color="auto"/>
              <w:right w:val="double" w:sz="6" w:space="0" w:color="auto"/>
            </w:tcBorders>
            <w:shd w:val="clear" w:color="auto" w:fill="auto"/>
            <w:noWrap/>
            <w:vAlign w:val="bottom"/>
            <w:hideMark/>
          </w:tcPr>
          <w:p w14:paraId="342314F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38421B70" w14:textId="77777777" w:rsidTr="00247CBF">
        <w:trPr>
          <w:trHeight w:val="227"/>
        </w:trPr>
        <w:tc>
          <w:tcPr>
            <w:tcW w:w="1670" w:type="dxa"/>
            <w:vMerge/>
            <w:tcBorders>
              <w:left w:val="double" w:sz="6" w:space="0" w:color="auto"/>
              <w:right w:val="single" w:sz="4" w:space="0" w:color="auto"/>
            </w:tcBorders>
            <w:shd w:val="clear" w:color="000000" w:fill="FFFFFF"/>
            <w:vAlign w:val="center"/>
            <w:hideMark/>
          </w:tcPr>
          <w:p w14:paraId="21771114" w14:textId="77777777" w:rsidR="00247CBF" w:rsidRPr="00092ED7" w:rsidRDefault="00247CBF" w:rsidP="00247CBF">
            <w:pPr>
              <w:spacing w:after="0"/>
              <w:rPr>
                <w:rFonts w:eastAsia="Times New Roman" w:cs="Times New Roman"/>
                <w:sz w:val="20"/>
                <w:szCs w:val="20"/>
                <w:lang w:val="sr-Cyrl-CS"/>
              </w:rPr>
            </w:pPr>
          </w:p>
        </w:tc>
        <w:tc>
          <w:tcPr>
            <w:tcW w:w="6387" w:type="dxa"/>
            <w:tcBorders>
              <w:top w:val="nil"/>
              <w:left w:val="single" w:sz="4" w:space="0" w:color="auto"/>
              <w:bottom w:val="dotted" w:sz="4" w:space="0" w:color="auto"/>
              <w:right w:val="single" w:sz="4" w:space="0" w:color="auto"/>
            </w:tcBorders>
            <w:shd w:val="clear" w:color="auto" w:fill="auto"/>
            <w:noWrap/>
            <w:vAlign w:val="bottom"/>
            <w:hideMark/>
          </w:tcPr>
          <w:p w14:paraId="6FD6FAB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w:t>
            </w:r>
          </w:p>
        </w:tc>
        <w:tc>
          <w:tcPr>
            <w:tcW w:w="1701" w:type="dxa"/>
            <w:tcBorders>
              <w:top w:val="nil"/>
              <w:left w:val="single" w:sz="4" w:space="0" w:color="auto"/>
              <w:bottom w:val="dotted" w:sz="4" w:space="0" w:color="auto"/>
              <w:right w:val="single" w:sz="8" w:space="0" w:color="auto"/>
            </w:tcBorders>
            <w:shd w:val="clear" w:color="auto" w:fill="auto"/>
            <w:noWrap/>
            <w:vAlign w:val="center"/>
            <w:hideMark/>
          </w:tcPr>
          <w:p w14:paraId="255D1F2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126" w:type="dxa"/>
            <w:tcBorders>
              <w:top w:val="nil"/>
              <w:left w:val="nil"/>
              <w:bottom w:val="dotted" w:sz="4" w:space="0" w:color="auto"/>
              <w:right w:val="single" w:sz="4" w:space="0" w:color="auto"/>
            </w:tcBorders>
            <w:shd w:val="clear" w:color="auto" w:fill="auto"/>
            <w:noWrap/>
            <w:vAlign w:val="center"/>
            <w:hideMark/>
          </w:tcPr>
          <w:p w14:paraId="008067D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552" w:type="dxa"/>
            <w:tcBorders>
              <w:top w:val="nil"/>
              <w:left w:val="nil"/>
              <w:bottom w:val="dotted" w:sz="4" w:space="0" w:color="auto"/>
              <w:right w:val="double" w:sz="6" w:space="0" w:color="auto"/>
            </w:tcBorders>
            <w:shd w:val="clear" w:color="auto" w:fill="auto"/>
            <w:noWrap/>
            <w:vAlign w:val="bottom"/>
            <w:hideMark/>
          </w:tcPr>
          <w:p w14:paraId="591C930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6149C626" w14:textId="77777777" w:rsidTr="00247CBF">
        <w:trPr>
          <w:trHeight w:val="227"/>
        </w:trPr>
        <w:tc>
          <w:tcPr>
            <w:tcW w:w="1670" w:type="dxa"/>
            <w:vMerge/>
            <w:tcBorders>
              <w:left w:val="double" w:sz="6" w:space="0" w:color="auto"/>
              <w:right w:val="single" w:sz="4" w:space="0" w:color="auto"/>
            </w:tcBorders>
            <w:shd w:val="clear" w:color="000000" w:fill="FFFFFF"/>
            <w:vAlign w:val="center"/>
            <w:hideMark/>
          </w:tcPr>
          <w:p w14:paraId="5B236217" w14:textId="77777777" w:rsidR="00247CBF" w:rsidRPr="00092ED7" w:rsidRDefault="00247CBF" w:rsidP="00247CBF">
            <w:pPr>
              <w:spacing w:after="0"/>
              <w:rPr>
                <w:rFonts w:eastAsia="Times New Roman" w:cs="Times New Roman"/>
                <w:sz w:val="20"/>
                <w:szCs w:val="20"/>
                <w:lang w:val="sr-Cyrl-CS"/>
              </w:rPr>
            </w:pPr>
          </w:p>
        </w:tc>
        <w:tc>
          <w:tcPr>
            <w:tcW w:w="6387" w:type="dxa"/>
            <w:tcBorders>
              <w:top w:val="nil"/>
              <w:left w:val="single" w:sz="4" w:space="0" w:color="auto"/>
              <w:bottom w:val="dotted" w:sz="4" w:space="0" w:color="auto"/>
              <w:right w:val="single" w:sz="4" w:space="0" w:color="auto"/>
            </w:tcBorders>
            <w:shd w:val="clear" w:color="auto" w:fill="auto"/>
            <w:noWrap/>
            <w:vAlign w:val="bottom"/>
            <w:hideMark/>
          </w:tcPr>
          <w:p w14:paraId="7776F45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w:t>
            </w:r>
          </w:p>
        </w:tc>
        <w:tc>
          <w:tcPr>
            <w:tcW w:w="1701" w:type="dxa"/>
            <w:tcBorders>
              <w:top w:val="nil"/>
              <w:left w:val="single" w:sz="4" w:space="0" w:color="auto"/>
              <w:bottom w:val="dotted" w:sz="4" w:space="0" w:color="auto"/>
              <w:right w:val="single" w:sz="8" w:space="0" w:color="auto"/>
            </w:tcBorders>
            <w:shd w:val="clear" w:color="auto" w:fill="auto"/>
            <w:noWrap/>
            <w:vAlign w:val="center"/>
            <w:hideMark/>
          </w:tcPr>
          <w:p w14:paraId="2989256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126" w:type="dxa"/>
            <w:tcBorders>
              <w:top w:val="nil"/>
              <w:left w:val="nil"/>
              <w:bottom w:val="dotted" w:sz="4" w:space="0" w:color="auto"/>
              <w:right w:val="single" w:sz="4" w:space="0" w:color="auto"/>
            </w:tcBorders>
            <w:shd w:val="clear" w:color="auto" w:fill="auto"/>
            <w:noWrap/>
            <w:vAlign w:val="center"/>
            <w:hideMark/>
          </w:tcPr>
          <w:p w14:paraId="0D6C618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552" w:type="dxa"/>
            <w:tcBorders>
              <w:top w:val="nil"/>
              <w:left w:val="nil"/>
              <w:bottom w:val="dotted" w:sz="4" w:space="0" w:color="auto"/>
              <w:right w:val="double" w:sz="6" w:space="0" w:color="auto"/>
            </w:tcBorders>
            <w:shd w:val="clear" w:color="auto" w:fill="auto"/>
            <w:noWrap/>
            <w:vAlign w:val="bottom"/>
            <w:hideMark/>
          </w:tcPr>
          <w:p w14:paraId="11E6E0C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2DDEC74E" w14:textId="77777777" w:rsidTr="00247CBF">
        <w:trPr>
          <w:trHeight w:val="227"/>
        </w:trPr>
        <w:tc>
          <w:tcPr>
            <w:tcW w:w="1670" w:type="dxa"/>
            <w:vMerge/>
            <w:tcBorders>
              <w:left w:val="double" w:sz="6" w:space="0" w:color="auto"/>
              <w:right w:val="single" w:sz="4" w:space="0" w:color="auto"/>
            </w:tcBorders>
            <w:shd w:val="clear" w:color="000000" w:fill="FFFFFF"/>
            <w:vAlign w:val="center"/>
            <w:hideMark/>
          </w:tcPr>
          <w:p w14:paraId="66437ED0" w14:textId="77777777" w:rsidR="00247CBF" w:rsidRPr="00092ED7" w:rsidRDefault="00247CBF" w:rsidP="00247CBF">
            <w:pPr>
              <w:spacing w:after="0"/>
              <w:rPr>
                <w:rFonts w:eastAsia="Times New Roman" w:cs="Times New Roman"/>
                <w:sz w:val="20"/>
                <w:szCs w:val="20"/>
                <w:lang w:val="sr-Cyrl-CS"/>
              </w:rPr>
            </w:pPr>
          </w:p>
        </w:tc>
        <w:tc>
          <w:tcPr>
            <w:tcW w:w="6387" w:type="dxa"/>
            <w:tcBorders>
              <w:top w:val="nil"/>
              <w:left w:val="single" w:sz="4" w:space="0" w:color="auto"/>
              <w:bottom w:val="dotted" w:sz="4" w:space="0" w:color="auto"/>
              <w:right w:val="single" w:sz="4" w:space="0" w:color="auto"/>
            </w:tcBorders>
            <w:shd w:val="clear" w:color="auto" w:fill="auto"/>
            <w:noWrap/>
            <w:vAlign w:val="bottom"/>
            <w:hideMark/>
          </w:tcPr>
          <w:p w14:paraId="4664D7B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w:t>
            </w:r>
          </w:p>
        </w:tc>
        <w:tc>
          <w:tcPr>
            <w:tcW w:w="1701" w:type="dxa"/>
            <w:tcBorders>
              <w:top w:val="nil"/>
              <w:left w:val="single" w:sz="4" w:space="0" w:color="auto"/>
              <w:bottom w:val="dotted" w:sz="4" w:space="0" w:color="auto"/>
              <w:right w:val="single" w:sz="8" w:space="0" w:color="auto"/>
            </w:tcBorders>
            <w:shd w:val="clear" w:color="auto" w:fill="auto"/>
            <w:noWrap/>
            <w:vAlign w:val="center"/>
            <w:hideMark/>
          </w:tcPr>
          <w:p w14:paraId="25B36AE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126" w:type="dxa"/>
            <w:tcBorders>
              <w:top w:val="nil"/>
              <w:left w:val="nil"/>
              <w:bottom w:val="dotted" w:sz="4" w:space="0" w:color="auto"/>
              <w:right w:val="single" w:sz="4" w:space="0" w:color="auto"/>
            </w:tcBorders>
            <w:shd w:val="clear" w:color="auto" w:fill="auto"/>
            <w:noWrap/>
            <w:vAlign w:val="center"/>
            <w:hideMark/>
          </w:tcPr>
          <w:p w14:paraId="6F1821D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552" w:type="dxa"/>
            <w:tcBorders>
              <w:top w:val="nil"/>
              <w:left w:val="nil"/>
              <w:bottom w:val="dotted" w:sz="4" w:space="0" w:color="auto"/>
              <w:right w:val="double" w:sz="6" w:space="0" w:color="auto"/>
            </w:tcBorders>
            <w:shd w:val="clear" w:color="auto" w:fill="auto"/>
            <w:noWrap/>
            <w:vAlign w:val="bottom"/>
            <w:hideMark/>
          </w:tcPr>
          <w:p w14:paraId="0BD60DD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6C1A8216" w14:textId="77777777" w:rsidTr="00247CBF">
        <w:trPr>
          <w:trHeight w:val="227"/>
        </w:trPr>
        <w:tc>
          <w:tcPr>
            <w:tcW w:w="1670" w:type="dxa"/>
            <w:vMerge/>
            <w:tcBorders>
              <w:left w:val="double" w:sz="6" w:space="0" w:color="auto"/>
              <w:bottom w:val="nil"/>
              <w:right w:val="single" w:sz="4" w:space="0" w:color="auto"/>
            </w:tcBorders>
            <w:shd w:val="clear" w:color="000000" w:fill="FFFFFF"/>
            <w:vAlign w:val="center"/>
            <w:hideMark/>
          </w:tcPr>
          <w:p w14:paraId="5690C404" w14:textId="77777777" w:rsidR="00247CBF" w:rsidRPr="00092ED7" w:rsidRDefault="00247CBF" w:rsidP="00247CBF">
            <w:pPr>
              <w:spacing w:after="0"/>
              <w:rPr>
                <w:rFonts w:eastAsia="Times New Roman" w:cs="Times New Roman"/>
                <w:sz w:val="20"/>
                <w:szCs w:val="20"/>
                <w:lang w:val="sr-Cyrl-CS"/>
              </w:rPr>
            </w:pPr>
          </w:p>
        </w:tc>
        <w:tc>
          <w:tcPr>
            <w:tcW w:w="6387" w:type="dxa"/>
            <w:tcBorders>
              <w:top w:val="single" w:sz="8" w:space="0" w:color="auto"/>
              <w:left w:val="nil"/>
              <w:bottom w:val="single" w:sz="8" w:space="0" w:color="auto"/>
              <w:right w:val="nil"/>
            </w:tcBorders>
            <w:shd w:val="clear" w:color="auto" w:fill="auto"/>
            <w:noWrap/>
            <w:vAlign w:val="center"/>
            <w:hideMark/>
          </w:tcPr>
          <w:p w14:paraId="0ABCAEA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Међузбир</w:t>
            </w:r>
          </w:p>
        </w:tc>
        <w:tc>
          <w:tcPr>
            <w:tcW w:w="1701"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03846D3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 БДП</w:t>
            </w:r>
          </w:p>
        </w:tc>
        <w:tc>
          <w:tcPr>
            <w:tcW w:w="2126" w:type="dxa"/>
            <w:tcBorders>
              <w:top w:val="single" w:sz="8" w:space="0" w:color="auto"/>
              <w:left w:val="nil"/>
              <w:bottom w:val="single" w:sz="8" w:space="0" w:color="auto"/>
              <w:right w:val="single" w:sz="4" w:space="0" w:color="auto"/>
            </w:tcBorders>
            <w:shd w:val="clear" w:color="auto" w:fill="auto"/>
            <w:noWrap/>
            <w:vAlign w:val="bottom"/>
            <w:hideMark/>
          </w:tcPr>
          <w:p w14:paraId="0A5FCF0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0,0</w:t>
            </w:r>
          </w:p>
        </w:tc>
        <w:tc>
          <w:tcPr>
            <w:tcW w:w="2552" w:type="dxa"/>
            <w:tcBorders>
              <w:top w:val="single" w:sz="8" w:space="0" w:color="auto"/>
              <w:left w:val="nil"/>
              <w:bottom w:val="single" w:sz="8" w:space="0" w:color="auto"/>
              <w:right w:val="double" w:sz="6" w:space="0" w:color="auto"/>
            </w:tcBorders>
            <w:shd w:val="clear" w:color="auto" w:fill="auto"/>
            <w:noWrap/>
            <w:vAlign w:val="bottom"/>
            <w:hideMark/>
          </w:tcPr>
          <w:p w14:paraId="1896CBF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0,0</w:t>
            </w:r>
          </w:p>
        </w:tc>
      </w:tr>
      <w:tr w:rsidR="00247CBF" w:rsidRPr="00092ED7" w14:paraId="4A002C33" w14:textId="77777777" w:rsidTr="00247CBF">
        <w:trPr>
          <w:trHeight w:val="227"/>
        </w:trPr>
        <w:tc>
          <w:tcPr>
            <w:tcW w:w="1670" w:type="dxa"/>
            <w:vMerge w:val="restart"/>
            <w:tcBorders>
              <w:top w:val="single" w:sz="8" w:space="0" w:color="auto"/>
              <w:left w:val="double" w:sz="6" w:space="0" w:color="auto"/>
              <w:right w:val="single" w:sz="4" w:space="0" w:color="auto"/>
            </w:tcBorders>
            <w:shd w:val="clear" w:color="000000" w:fill="FFFFFF"/>
            <w:vAlign w:val="center"/>
            <w:hideMark/>
          </w:tcPr>
          <w:p w14:paraId="4FFD8645"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bCs/>
                <w:sz w:val="20"/>
                <w:szCs w:val="20"/>
                <w:lang w:val="sr-Cyrl-CS"/>
              </w:rPr>
              <w:t>Oстало</w:t>
            </w:r>
          </w:p>
        </w:tc>
        <w:tc>
          <w:tcPr>
            <w:tcW w:w="638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C14DDB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Србијагас</w:t>
            </w:r>
          </w:p>
        </w:tc>
        <w:tc>
          <w:tcPr>
            <w:tcW w:w="1701"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578A3E05" w14:textId="77777777" w:rsidR="00247CBF" w:rsidRPr="00092ED7" w:rsidRDefault="00247CBF" w:rsidP="00247CBF">
            <w:pPr>
              <w:spacing w:after="0"/>
              <w:jc w:val="center"/>
              <w:rPr>
                <w:rFonts w:eastAsia="Times New Roman" w:cs="Times New Roman"/>
                <w:sz w:val="20"/>
                <w:szCs w:val="20"/>
                <w:lang w:val="sr-Cyrl-CS"/>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14:paraId="6D7A3AC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0,3</w:t>
            </w:r>
          </w:p>
        </w:tc>
        <w:tc>
          <w:tcPr>
            <w:tcW w:w="2552" w:type="dxa"/>
            <w:tcBorders>
              <w:top w:val="dotted" w:sz="4" w:space="0" w:color="auto"/>
              <w:left w:val="nil"/>
              <w:bottom w:val="dotted" w:sz="4" w:space="0" w:color="auto"/>
              <w:right w:val="double" w:sz="6" w:space="0" w:color="auto"/>
            </w:tcBorders>
            <w:shd w:val="clear" w:color="auto" w:fill="auto"/>
            <w:noWrap/>
            <w:vAlign w:val="bottom"/>
            <w:hideMark/>
          </w:tcPr>
          <w:p w14:paraId="052DD2E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F563FD8" w14:textId="77777777" w:rsidTr="00247CBF">
        <w:trPr>
          <w:trHeight w:val="227"/>
        </w:trPr>
        <w:tc>
          <w:tcPr>
            <w:tcW w:w="1670" w:type="dxa"/>
            <w:vMerge/>
            <w:tcBorders>
              <w:left w:val="double" w:sz="6" w:space="0" w:color="auto"/>
              <w:right w:val="single" w:sz="4" w:space="0" w:color="auto"/>
            </w:tcBorders>
            <w:shd w:val="clear" w:color="000000" w:fill="FFFFFF"/>
            <w:vAlign w:val="center"/>
            <w:hideMark/>
          </w:tcPr>
          <w:p w14:paraId="03AC8349" w14:textId="77777777" w:rsidR="00247CBF" w:rsidRPr="00092ED7" w:rsidRDefault="00247CBF" w:rsidP="00247CBF">
            <w:pPr>
              <w:spacing w:after="0"/>
              <w:jc w:val="center"/>
              <w:rPr>
                <w:rFonts w:eastAsia="Times New Roman" w:cs="Times New Roman"/>
                <w:sz w:val="20"/>
                <w:szCs w:val="20"/>
                <w:lang w:val="sr-Cyrl-CS"/>
              </w:rPr>
            </w:pPr>
          </w:p>
        </w:tc>
        <w:tc>
          <w:tcPr>
            <w:tcW w:w="6387" w:type="dxa"/>
            <w:tcBorders>
              <w:top w:val="nil"/>
              <w:left w:val="nil"/>
              <w:bottom w:val="dotted" w:sz="4" w:space="0" w:color="auto"/>
              <w:right w:val="single" w:sz="4" w:space="0" w:color="auto"/>
            </w:tcBorders>
            <w:shd w:val="clear" w:color="auto" w:fill="auto"/>
            <w:vAlign w:val="bottom"/>
            <w:hideMark/>
          </w:tcPr>
          <w:p w14:paraId="0C354A6F" w14:textId="77777777" w:rsidR="00247CBF" w:rsidRPr="00092ED7" w:rsidRDefault="00247CBF" w:rsidP="00247CBF">
            <w:pPr>
              <w:spacing w:after="0"/>
              <w:jc w:val="center"/>
              <w:rPr>
                <w:rFonts w:eastAsia="Times New Roman" w:cs="Times New Roman"/>
                <w:b/>
                <w:bCs/>
                <w:sz w:val="20"/>
                <w:szCs w:val="20"/>
                <w:lang w:val="sr-Cyrl-CS"/>
              </w:rPr>
            </w:pPr>
          </w:p>
        </w:tc>
        <w:tc>
          <w:tcPr>
            <w:tcW w:w="1701" w:type="dxa"/>
            <w:tcBorders>
              <w:top w:val="nil"/>
              <w:left w:val="single" w:sz="4" w:space="0" w:color="auto"/>
              <w:bottom w:val="dotted" w:sz="4" w:space="0" w:color="auto"/>
              <w:right w:val="single" w:sz="8" w:space="0" w:color="auto"/>
            </w:tcBorders>
            <w:shd w:val="clear" w:color="auto" w:fill="auto"/>
            <w:noWrap/>
            <w:vAlign w:val="center"/>
            <w:hideMark/>
          </w:tcPr>
          <w:p w14:paraId="73753FAA"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sz w:val="20"/>
                <w:szCs w:val="20"/>
                <w:lang w:val="sr-Cyrl-CS"/>
              </w:rPr>
              <w:t>:</w:t>
            </w:r>
          </w:p>
        </w:tc>
        <w:tc>
          <w:tcPr>
            <w:tcW w:w="2126" w:type="dxa"/>
            <w:tcBorders>
              <w:top w:val="nil"/>
              <w:left w:val="nil"/>
              <w:bottom w:val="dotted" w:sz="4" w:space="0" w:color="auto"/>
              <w:right w:val="single" w:sz="4" w:space="0" w:color="auto"/>
            </w:tcBorders>
            <w:shd w:val="clear" w:color="auto" w:fill="auto"/>
            <w:noWrap/>
            <w:vAlign w:val="center"/>
            <w:hideMark/>
          </w:tcPr>
          <w:p w14:paraId="74185790" w14:textId="77777777" w:rsidR="00247CBF" w:rsidRPr="00092ED7" w:rsidRDefault="00247CBF" w:rsidP="00247CBF">
            <w:pPr>
              <w:spacing w:after="0"/>
              <w:jc w:val="center"/>
              <w:rPr>
                <w:rFonts w:eastAsia="Times New Roman" w:cs="Times New Roman"/>
                <w:b/>
                <w:bCs/>
                <w:sz w:val="20"/>
                <w:szCs w:val="20"/>
                <w:lang w:val="sr-Cyrl-CS"/>
              </w:rPr>
            </w:pPr>
          </w:p>
        </w:tc>
        <w:tc>
          <w:tcPr>
            <w:tcW w:w="2552" w:type="dxa"/>
            <w:tcBorders>
              <w:top w:val="nil"/>
              <w:left w:val="nil"/>
              <w:bottom w:val="dotted" w:sz="4" w:space="0" w:color="auto"/>
              <w:right w:val="double" w:sz="6" w:space="0" w:color="auto"/>
            </w:tcBorders>
            <w:shd w:val="clear" w:color="auto" w:fill="auto"/>
            <w:noWrap/>
            <w:vAlign w:val="bottom"/>
            <w:hideMark/>
          </w:tcPr>
          <w:p w14:paraId="64E4246C"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sz w:val="20"/>
                <w:szCs w:val="20"/>
                <w:lang w:val="sr-Cyrl-CS"/>
              </w:rPr>
              <w:t>:</w:t>
            </w:r>
          </w:p>
        </w:tc>
      </w:tr>
      <w:tr w:rsidR="00247CBF" w:rsidRPr="00092ED7" w14:paraId="075696C6" w14:textId="77777777" w:rsidTr="00247CBF">
        <w:trPr>
          <w:trHeight w:val="227"/>
        </w:trPr>
        <w:tc>
          <w:tcPr>
            <w:tcW w:w="1670" w:type="dxa"/>
            <w:vMerge/>
            <w:tcBorders>
              <w:left w:val="double" w:sz="6" w:space="0" w:color="auto"/>
              <w:right w:val="single" w:sz="4" w:space="0" w:color="auto"/>
            </w:tcBorders>
            <w:shd w:val="clear" w:color="000000" w:fill="FFFFFF"/>
            <w:vAlign w:val="center"/>
            <w:hideMark/>
          </w:tcPr>
          <w:p w14:paraId="4ADBF791" w14:textId="77777777" w:rsidR="00247CBF" w:rsidRPr="00092ED7" w:rsidRDefault="00247CBF" w:rsidP="00247CBF">
            <w:pPr>
              <w:spacing w:after="0"/>
              <w:jc w:val="center"/>
              <w:rPr>
                <w:rFonts w:eastAsia="Times New Roman" w:cs="Times New Roman"/>
                <w:sz w:val="20"/>
                <w:szCs w:val="20"/>
                <w:lang w:val="sr-Cyrl-CS"/>
              </w:rPr>
            </w:pPr>
          </w:p>
        </w:tc>
        <w:tc>
          <w:tcPr>
            <w:tcW w:w="6387" w:type="dxa"/>
            <w:tcBorders>
              <w:top w:val="nil"/>
              <w:left w:val="nil"/>
              <w:bottom w:val="dotted" w:sz="4" w:space="0" w:color="auto"/>
              <w:right w:val="single" w:sz="4" w:space="0" w:color="auto"/>
            </w:tcBorders>
            <w:shd w:val="clear" w:color="auto" w:fill="auto"/>
            <w:noWrap/>
            <w:vAlign w:val="bottom"/>
          </w:tcPr>
          <w:p w14:paraId="73B5550F" w14:textId="77777777" w:rsidR="00247CBF" w:rsidRPr="00092ED7" w:rsidRDefault="00247CBF" w:rsidP="00247CBF">
            <w:pPr>
              <w:spacing w:after="0"/>
              <w:rPr>
                <w:rFonts w:eastAsia="Times New Roman" w:cs="Times New Roman"/>
                <w:sz w:val="20"/>
                <w:szCs w:val="20"/>
                <w:lang w:val="sr-Cyrl-CS"/>
              </w:rPr>
            </w:pPr>
          </w:p>
        </w:tc>
        <w:tc>
          <w:tcPr>
            <w:tcW w:w="1701" w:type="dxa"/>
            <w:tcBorders>
              <w:top w:val="nil"/>
              <w:left w:val="single" w:sz="4" w:space="0" w:color="auto"/>
              <w:bottom w:val="dotted" w:sz="4" w:space="0" w:color="auto"/>
              <w:right w:val="single" w:sz="8" w:space="0" w:color="auto"/>
            </w:tcBorders>
            <w:shd w:val="clear" w:color="auto" w:fill="auto"/>
            <w:noWrap/>
            <w:vAlign w:val="center"/>
          </w:tcPr>
          <w:p w14:paraId="0E8D030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126" w:type="dxa"/>
            <w:tcBorders>
              <w:top w:val="nil"/>
              <w:left w:val="nil"/>
              <w:bottom w:val="dotted" w:sz="4" w:space="0" w:color="auto"/>
              <w:right w:val="single" w:sz="4" w:space="0" w:color="auto"/>
            </w:tcBorders>
            <w:shd w:val="clear" w:color="auto" w:fill="auto"/>
            <w:noWrap/>
            <w:vAlign w:val="center"/>
          </w:tcPr>
          <w:p w14:paraId="52BB0B6C" w14:textId="77777777" w:rsidR="00247CBF" w:rsidRPr="00092ED7" w:rsidRDefault="00247CBF" w:rsidP="00247CBF">
            <w:pPr>
              <w:spacing w:after="0"/>
              <w:jc w:val="center"/>
              <w:rPr>
                <w:rFonts w:eastAsia="Times New Roman" w:cs="Times New Roman"/>
                <w:sz w:val="20"/>
                <w:szCs w:val="20"/>
                <w:lang w:val="sr-Cyrl-CS"/>
              </w:rPr>
            </w:pPr>
          </w:p>
        </w:tc>
        <w:tc>
          <w:tcPr>
            <w:tcW w:w="2552" w:type="dxa"/>
            <w:tcBorders>
              <w:top w:val="nil"/>
              <w:left w:val="nil"/>
              <w:bottom w:val="dotted" w:sz="4" w:space="0" w:color="auto"/>
              <w:right w:val="double" w:sz="6" w:space="0" w:color="auto"/>
            </w:tcBorders>
            <w:shd w:val="clear" w:color="auto" w:fill="auto"/>
            <w:noWrap/>
            <w:vAlign w:val="bottom"/>
            <w:hideMark/>
          </w:tcPr>
          <w:p w14:paraId="6CB2182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C193157" w14:textId="77777777" w:rsidTr="00247CBF">
        <w:trPr>
          <w:trHeight w:val="227"/>
        </w:trPr>
        <w:tc>
          <w:tcPr>
            <w:tcW w:w="1670" w:type="dxa"/>
            <w:vMerge/>
            <w:tcBorders>
              <w:left w:val="double" w:sz="6" w:space="0" w:color="auto"/>
              <w:right w:val="single" w:sz="4" w:space="0" w:color="auto"/>
            </w:tcBorders>
            <w:shd w:val="clear" w:color="000000" w:fill="FFFFFF"/>
            <w:vAlign w:val="center"/>
            <w:hideMark/>
          </w:tcPr>
          <w:p w14:paraId="1FE2D95D" w14:textId="77777777" w:rsidR="00247CBF" w:rsidRPr="00092ED7" w:rsidRDefault="00247CBF" w:rsidP="00247CBF">
            <w:pPr>
              <w:spacing w:after="0"/>
              <w:rPr>
                <w:rFonts w:eastAsia="Times New Roman" w:cs="Times New Roman"/>
                <w:sz w:val="20"/>
                <w:szCs w:val="20"/>
                <w:lang w:val="sr-Cyrl-CS"/>
              </w:rPr>
            </w:pPr>
          </w:p>
        </w:tc>
        <w:tc>
          <w:tcPr>
            <w:tcW w:w="6387" w:type="dxa"/>
            <w:tcBorders>
              <w:top w:val="nil"/>
              <w:left w:val="nil"/>
              <w:bottom w:val="dotted" w:sz="4" w:space="0" w:color="auto"/>
              <w:right w:val="single" w:sz="4" w:space="0" w:color="auto"/>
            </w:tcBorders>
            <w:shd w:val="clear" w:color="auto" w:fill="auto"/>
            <w:noWrap/>
            <w:vAlign w:val="bottom"/>
          </w:tcPr>
          <w:p w14:paraId="5CB9776F" w14:textId="77777777" w:rsidR="00247CBF" w:rsidRPr="00092ED7" w:rsidRDefault="00247CBF" w:rsidP="00247CBF">
            <w:pPr>
              <w:spacing w:after="0"/>
              <w:rPr>
                <w:rFonts w:eastAsia="Times New Roman" w:cs="Times New Roman"/>
                <w:sz w:val="20"/>
                <w:szCs w:val="20"/>
                <w:lang w:val="sr-Cyrl-CS"/>
              </w:rPr>
            </w:pPr>
          </w:p>
        </w:tc>
        <w:tc>
          <w:tcPr>
            <w:tcW w:w="1701" w:type="dxa"/>
            <w:tcBorders>
              <w:top w:val="dotted" w:sz="4" w:space="0" w:color="auto"/>
              <w:left w:val="single" w:sz="4" w:space="0" w:color="auto"/>
              <w:bottom w:val="single" w:sz="8" w:space="0" w:color="auto"/>
              <w:right w:val="single" w:sz="8" w:space="0" w:color="auto"/>
            </w:tcBorders>
            <w:shd w:val="clear" w:color="auto" w:fill="auto"/>
            <w:noWrap/>
            <w:vAlign w:val="center"/>
            <w:hideMark/>
          </w:tcPr>
          <w:p w14:paraId="5227D56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126" w:type="dxa"/>
            <w:tcBorders>
              <w:top w:val="nil"/>
              <w:left w:val="nil"/>
              <w:bottom w:val="dotted" w:sz="4" w:space="0" w:color="auto"/>
              <w:right w:val="single" w:sz="4" w:space="0" w:color="auto"/>
            </w:tcBorders>
            <w:shd w:val="clear" w:color="auto" w:fill="auto"/>
            <w:noWrap/>
            <w:vAlign w:val="center"/>
          </w:tcPr>
          <w:p w14:paraId="5D33E3A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552" w:type="dxa"/>
            <w:tcBorders>
              <w:top w:val="nil"/>
              <w:left w:val="nil"/>
              <w:bottom w:val="dotted" w:sz="4" w:space="0" w:color="auto"/>
              <w:right w:val="double" w:sz="6" w:space="0" w:color="auto"/>
            </w:tcBorders>
            <w:shd w:val="clear" w:color="auto" w:fill="auto"/>
            <w:noWrap/>
            <w:vAlign w:val="bottom"/>
            <w:hideMark/>
          </w:tcPr>
          <w:p w14:paraId="2AB27AA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1283077" w14:textId="77777777" w:rsidTr="00247CBF">
        <w:trPr>
          <w:trHeight w:val="227"/>
        </w:trPr>
        <w:tc>
          <w:tcPr>
            <w:tcW w:w="1670" w:type="dxa"/>
            <w:vMerge/>
            <w:tcBorders>
              <w:left w:val="double" w:sz="6" w:space="0" w:color="auto"/>
              <w:bottom w:val="double" w:sz="6" w:space="0" w:color="auto"/>
              <w:right w:val="single" w:sz="4" w:space="0" w:color="auto"/>
            </w:tcBorders>
            <w:shd w:val="clear" w:color="000000" w:fill="FFFFFF"/>
            <w:vAlign w:val="center"/>
            <w:hideMark/>
          </w:tcPr>
          <w:p w14:paraId="0D869F11" w14:textId="77777777" w:rsidR="00247CBF" w:rsidRPr="00092ED7" w:rsidRDefault="00247CBF" w:rsidP="00247CBF">
            <w:pPr>
              <w:spacing w:after="0"/>
              <w:rPr>
                <w:rFonts w:eastAsia="Times New Roman" w:cs="Times New Roman"/>
                <w:szCs w:val="24"/>
                <w:lang w:val="sr-Cyrl-CS"/>
              </w:rPr>
            </w:pPr>
          </w:p>
        </w:tc>
        <w:tc>
          <w:tcPr>
            <w:tcW w:w="6387" w:type="dxa"/>
            <w:tcBorders>
              <w:top w:val="single" w:sz="8" w:space="0" w:color="auto"/>
              <w:left w:val="nil"/>
              <w:bottom w:val="double" w:sz="6" w:space="0" w:color="auto"/>
              <w:right w:val="nil"/>
            </w:tcBorders>
            <w:shd w:val="clear" w:color="auto" w:fill="auto"/>
            <w:noWrap/>
            <w:vAlign w:val="center"/>
          </w:tcPr>
          <w:p w14:paraId="0090F51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Међузбир</w:t>
            </w:r>
          </w:p>
        </w:tc>
        <w:tc>
          <w:tcPr>
            <w:tcW w:w="1701" w:type="dxa"/>
            <w:tcBorders>
              <w:top w:val="nil"/>
              <w:left w:val="single" w:sz="4" w:space="0" w:color="auto"/>
              <w:bottom w:val="double" w:sz="6" w:space="0" w:color="auto"/>
              <w:right w:val="single" w:sz="8" w:space="0" w:color="auto"/>
            </w:tcBorders>
            <w:shd w:val="clear" w:color="auto" w:fill="auto"/>
            <w:noWrap/>
            <w:vAlign w:val="bottom"/>
            <w:hideMark/>
          </w:tcPr>
          <w:p w14:paraId="541749B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 БДП</w:t>
            </w:r>
          </w:p>
        </w:tc>
        <w:tc>
          <w:tcPr>
            <w:tcW w:w="2126" w:type="dxa"/>
            <w:tcBorders>
              <w:top w:val="single" w:sz="8" w:space="0" w:color="auto"/>
              <w:left w:val="single" w:sz="8" w:space="0" w:color="auto"/>
              <w:bottom w:val="double" w:sz="6" w:space="0" w:color="auto"/>
              <w:right w:val="single" w:sz="4" w:space="0" w:color="auto"/>
            </w:tcBorders>
            <w:shd w:val="clear" w:color="auto" w:fill="auto"/>
            <w:noWrap/>
            <w:vAlign w:val="bottom"/>
          </w:tcPr>
          <w:p w14:paraId="1C750EC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0,3</w:t>
            </w:r>
          </w:p>
        </w:tc>
        <w:tc>
          <w:tcPr>
            <w:tcW w:w="2552" w:type="dxa"/>
            <w:tcBorders>
              <w:top w:val="single" w:sz="8" w:space="0" w:color="auto"/>
              <w:left w:val="single" w:sz="4" w:space="0" w:color="auto"/>
              <w:bottom w:val="double" w:sz="6" w:space="0" w:color="auto"/>
              <w:right w:val="double" w:sz="6" w:space="0" w:color="auto"/>
            </w:tcBorders>
            <w:shd w:val="clear" w:color="auto" w:fill="auto"/>
            <w:noWrap/>
            <w:vAlign w:val="bottom"/>
            <w:hideMark/>
          </w:tcPr>
          <w:p w14:paraId="51C517A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0,0</w:t>
            </w:r>
          </w:p>
        </w:tc>
      </w:tr>
      <w:tr w:rsidR="00247CBF" w:rsidRPr="00092ED7" w14:paraId="56DA5174" w14:textId="77777777" w:rsidTr="00247CBF">
        <w:trPr>
          <w:trHeight w:val="227"/>
        </w:trPr>
        <w:tc>
          <w:tcPr>
            <w:tcW w:w="1670" w:type="dxa"/>
            <w:tcBorders>
              <w:top w:val="double" w:sz="6" w:space="0" w:color="auto"/>
              <w:left w:val="double" w:sz="6" w:space="0" w:color="auto"/>
              <w:bottom w:val="double" w:sz="6" w:space="0" w:color="auto"/>
              <w:right w:val="single" w:sz="4" w:space="0" w:color="auto"/>
            </w:tcBorders>
            <w:shd w:val="clear" w:color="000000" w:fill="FFFFFF"/>
            <w:vAlign w:val="center"/>
            <w:hideMark/>
          </w:tcPr>
          <w:p w14:paraId="4DD808D1" w14:textId="77777777" w:rsidR="00247CBF" w:rsidRPr="00092ED7" w:rsidRDefault="00247CBF" w:rsidP="00247CBF">
            <w:pPr>
              <w:spacing w:after="0"/>
              <w:rPr>
                <w:rFonts w:eastAsia="Times New Roman" w:cs="Times New Roman"/>
                <w:szCs w:val="24"/>
                <w:lang w:val="sr-Cyrl-CS"/>
              </w:rPr>
            </w:pPr>
          </w:p>
        </w:tc>
        <w:tc>
          <w:tcPr>
            <w:tcW w:w="6387" w:type="dxa"/>
            <w:tcBorders>
              <w:top w:val="double" w:sz="6" w:space="0" w:color="auto"/>
              <w:left w:val="nil"/>
              <w:bottom w:val="double" w:sz="6" w:space="0" w:color="auto"/>
              <w:right w:val="single" w:sz="4" w:space="0" w:color="auto"/>
            </w:tcBorders>
            <w:shd w:val="clear" w:color="auto" w:fill="auto"/>
            <w:noWrap/>
            <w:vAlign w:val="center"/>
          </w:tcPr>
          <w:p w14:paraId="73D70D9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Укупно</w:t>
            </w:r>
          </w:p>
        </w:tc>
        <w:tc>
          <w:tcPr>
            <w:tcW w:w="1701" w:type="dxa"/>
            <w:tcBorders>
              <w:top w:val="double" w:sz="6" w:space="0" w:color="auto"/>
              <w:left w:val="nil"/>
              <w:bottom w:val="double" w:sz="6" w:space="0" w:color="auto"/>
              <w:right w:val="single" w:sz="8" w:space="0" w:color="auto"/>
            </w:tcBorders>
            <w:shd w:val="clear" w:color="auto" w:fill="auto"/>
            <w:noWrap/>
            <w:vAlign w:val="center"/>
            <w:hideMark/>
          </w:tcPr>
          <w:p w14:paraId="1C32627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 БДП</w:t>
            </w:r>
          </w:p>
        </w:tc>
        <w:tc>
          <w:tcPr>
            <w:tcW w:w="2126" w:type="dxa"/>
            <w:tcBorders>
              <w:top w:val="double" w:sz="6" w:space="0" w:color="auto"/>
              <w:left w:val="nil"/>
              <w:bottom w:val="double" w:sz="6" w:space="0" w:color="auto"/>
              <w:right w:val="single" w:sz="4" w:space="0" w:color="auto"/>
            </w:tcBorders>
            <w:shd w:val="clear" w:color="auto" w:fill="auto"/>
            <w:noWrap/>
            <w:vAlign w:val="center"/>
          </w:tcPr>
          <w:p w14:paraId="53F8DAB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0,3</w:t>
            </w:r>
          </w:p>
        </w:tc>
        <w:tc>
          <w:tcPr>
            <w:tcW w:w="2552" w:type="dxa"/>
            <w:tcBorders>
              <w:top w:val="double" w:sz="6" w:space="0" w:color="auto"/>
              <w:left w:val="nil"/>
              <w:bottom w:val="double" w:sz="6" w:space="0" w:color="auto"/>
              <w:right w:val="double" w:sz="6" w:space="0" w:color="auto"/>
            </w:tcBorders>
            <w:shd w:val="clear" w:color="auto" w:fill="auto"/>
            <w:noWrap/>
            <w:vAlign w:val="center"/>
            <w:hideMark/>
          </w:tcPr>
          <w:p w14:paraId="0CEC0DC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0,0</w:t>
            </w:r>
          </w:p>
        </w:tc>
      </w:tr>
    </w:tbl>
    <w:p w14:paraId="1073C322" w14:textId="77777777" w:rsidR="00247CBF" w:rsidRPr="00092ED7" w:rsidRDefault="00247CBF" w:rsidP="00247CBF">
      <w:pPr>
        <w:rPr>
          <w:rFonts w:cs="Times New Roman"/>
          <w:lang w:val="sr-Cyrl-CS"/>
        </w:rPr>
      </w:pPr>
      <w:r w:rsidRPr="00092ED7">
        <w:rPr>
          <w:rFonts w:cs="Times New Roman"/>
          <w:lang w:val="sr-Cyrl-CS"/>
        </w:rPr>
        <w:br w:type="page"/>
      </w:r>
    </w:p>
    <w:p w14:paraId="4411A9B9" w14:textId="77777777" w:rsidR="00247CBF" w:rsidRPr="00092ED7" w:rsidRDefault="00247CBF" w:rsidP="00247CBF">
      <w:pPr>
        <w:pStyle w:val="Heading3"/>
        <w:rPr>
          <w:rFonts w:ascii="Times New Roman" w:hAnsi="Times New Roman" w:cs="Times New Roman"/>
          <w:b/>
          <w:color w:val="auto"/>
          <w:sz w:val="20"/>
          <w:szCs w:val="20"/>
          <w:lang w:val="sr-Cyrl-CS"/>
        </w:rPr>
      </w:pPr>
      <w:bookmarkStart w:id="165" w:name="_Toc30499335"/>
      <w:bookmarkStart w:id="166" w:name="_Toc30754791"/>
      <w:bookmarkStart w:id="167" w:name="_Toc61953867"/>
      <w:bookmarkStart w:id="168" w:name="_Toc93386005"/>
      <w:bookmarkStart w:id="169" w:name="_Toc124174836"/>
      <w:bookmarkStart w:id="170" w:name="_Toc126218654"/>
      <w:r w:rsidRPr="00092ED7">
        <w:rPr>
          <w:rFonts w:ascii="Times New Roman" w:hAnsi="Times New Roman" w:cs="Times New Roman"/>
          <w:b/>
          <w:color w:val="auto"/>
          <w:sz w:val="20"/>
          <w:szCs w:val="20"/>
          <w:lang w:val="sr-Cyrl-CS"/>
        </w:rPr>
        <w:t>Табела 8: Основне претпоставке о екстерном економском окружењу на ком се заснива програмски оквир [1]</w:t>
      </w:r>
      <w:bookmarkEnd w:id="165"/>
      <w:bookmarkEnd w:id="166"/>
      <w:bookmarkEnd w:id="167"/>
      <w:bookmarkEnd w:id="168"/>
      <w:bookmarkEnd w:id="169"/>
      <w:bookmarkEnd w:id="170"/>
    </w:p>
    <w:tbl>
      <w:tblPr>
        <w:tblW w:w="5009" w:type="pct"/>
        <w:tblInd w:w="-23" w:type="dxa"/>
        <w:tblLayout w:type="fixed"/>
        <w:tblLook w:val="04A0" w:firstRow="1" w:lastRow="0" w:firstColumn="1" w:lastColumn="0" w:noHBand="0" w:noVBand="1"/>
      </w:tblPr>
      <w:tblGrid>
        <w:gridCol w:w="6762"/>
        <w:gridCol w:w="1606"/>
        <w:gridCol w:w="994"/>
        <w:gridCol w:w="985"/>
        <w:gridCol w:w="9"/>
        <w:gridCol w:w="976"/>
        <w:gridCol w:w="41"/>
        <w:gridCol w:w="944"/>
        <w:gridCol w:w="29"/>
        <w:gridCol w:w="956"/>
        <w:gridCol w:w="15"/>
        <w:gridCol w:w="1000"/>
        <w:gridCol w:w="256"/>
      </w:tblGrid>
      <w:tr w:rsidR="00247CBF" w:rsidRPr="00092ED7" w14:paraId="1399D1F5" w14:textId="77777777" w:rsidTr="00247CBF">
        <w:trPr>
          <w:trHeight w:val="345"/>
        </w:trPr>
        <w:tc>
          <w:tcPr>
            <w:tcW w:w="2320" w:type="pct"/>
            <w:tcBorders>
              <w:top w:val="double" w:sz="6" w:space="0" w:color="auto"/>
              <w:left w:val="double" w:sz="6" w:space="0" w:color="auto"/>
              <w:bottom w:val="double" w:sz="6" w:space="0" w:color="auto"/>
              <w:right w:val="nil"/>
            </w:tcBorders>
            <w:shd w:val="clear" w:color="auto" w:fill="auto"/>
            <w:noWrap/>
            <w:vAlign w:val="center"/>
            <w:hideMark/>
          </w:tcPr>
          <w:p w14:paraId="74A8E4C9" w14:textId="77777777" w:rsidR="00247CBF" w:rsidRPr="00092ED7" w:rsidRDefault="00247CBF" w:rsidP="00247CBF">
            <w:pPr>
              <w:spacing w:after="0"/>
              <w:rPr>
                <w:rFonts w:eastAsia="Times New Roman" w:cs="Times New Roman"/>
                <w:b/>
                <w:bCs/>
                <w:sz w:val="20"/>
                <w:szCs w:val="20"/>
                <w:lang w:val="sr-Cyrl-CS"/>
              </w:rPr>
            </w:pPr>
          </w:p>
        </w:tc>
        <w:tc>
          <w:tcPr>
            <w:tcW w:w="892" w:type="pct"/>
            <w:gridSpan w:val="2"/>
            <w:tcBorders>
              <w:top w:val="double" w:sz="6" w:space="0" w:color="auto"/>
              <w:left w:val="single" w:sz="8" w:space="0" w:color="auto"/>
              <w:bottom w:val="double" w:sz="6" w:space="0" w:color="auto"/>
              <w:right w:val="single" w:sz="8" w:space="0" w:color="000000"/>
            </w:tcBorders>
            <w:shd w:val="clear" w:color="auto" w:fill="auto"/>
            <w:vAlign w:val="center"/>
            <w:hideMark/>
          </w:tcPr>
          <w:p w14:paraId="0E5DF745"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Димензија</w:t>
            </w:r>
          </w:p>
        </w:tc>
        <w:tc>
          <w:tcPr>
            <w:tcW w:w="338" w:type="pct"/>
            <w:tcBorders>
              <w:top w:val="double" w:sz="6" w:space="0" w:color="auto"/>
              <w:left w:val="nil"/>
              <w:bottom w:val="double" w:sz="6" w:space="0" w:color="auto"/>
              <w:right w:val="dotted" w:sz="4" w:space="0" w:color="auto"/>
            </w:tcBorders>
            <w:shd w:val="clear" w:color="auto" w:fill="auto"/>
            <w:noWrap/>
            <w:vAlign w:val="center"/>
            <w:hideMark/>
          </w:tcPr>
          <w:p w14:paraId="45E3DC78"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2021</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518DCF98"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2022</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4861D88E"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2023</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6CBD8D5C"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2024</w:t>
            </w:r>
          </w:p>
        </w:tc>
        <w:tc>
          <w:tcPr>
            <w:tcW w:w="348" w:type="pct"/>
            <w:gridSpan w:val="2"/>
            <w:tcBorders>
              <w:top w:val="double" w:sz="6" w:space="0" w:color="auto"/>
              <w:left w:val="dotted" w:sz="4" w:space="0" w:color="auto"/>
              <w:bottom w:val="double" w:sz="6" w:space="0" w:color="auto"/>
              <w:right w:val="double" w:sz="6" w:space="0" w:color="auto"/>
            </w:tcBorders>
            <w:shd w:val="clear" w:color="auto" w:fill="auto"/>
            <w:noWrap/>
            <w:vAlign w:val="center"/>
            <w:hideMark/>
          </w:tcPr>
          <w:p w14:paraId="3EE4F117"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2025</w:t>
            </w:r>
          </w:p>
        </w:tc>
        <w:tc>
          <w:tcPr>
            <w:tcW w:w="88" w:type="pct"/>
            <w:tcBorders>
              <w:top w:val="nil"/>
              <w:left w:val="nil"/>
              <w:bottom w:val="nil"/>
              <w:right w:val="nil"/>
            </w:tcBorders>
            <w:shd w:val="clear" w:color="auto" w:fill="auto"/>
            <w:noWrap/>
            <w:vAlign w:val="center"/>
            <w:hideMark/>
          </w:tcPr>
          <w:p w14:paraId="7001E422"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7A156D05"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0F18632C"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Краткорочна каматна стопа [1]</w:t>
            </w:r>
          </w:p>
        </w:tc>
        <w:tc>
          <w:tcPr>
            <w:tcW w:w="892" w:type="pct"/>
            <w:gridSpan w:val="2"/>
            <w:tcBorders>
              <w:top w:val="double" w:sz="6" w:space="0" w:color="auto"/>
              <w:left w:val="single" w:sz="4" w:space="0" w:color="auto"/>
              <w:bottom w:val="dotted" w:sz="4" w:space="0" w:color="auto"/>
              <w:right w:val="single" w:sz="8" w:space="0" w:color="000000"/>
            </w:tcBorders>
            <w:shd w:val="clear" w:color="auto" w:fill="auto"/>
            <w:vAlign w:val="center"/>
            <w:hideMark/>
          </w:tcPr>
          <w:p w14:paraId="35A1472E"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single" w:sz="8" w:space="0" w:color="000000"/>
              <w:left w:val="nil"/>
              <w:bottom w:val="dotted" w:sz="4" w:space="0" w:color="auto"/>
              <w:right w:val="dotted" w:sz="4" w:space="0" w:color="auto"/>
            </w:tcBorders>
            <w:shd w:val="clear" w:color="auto" w:fill="auto"/>
            <w:vAlign w:val="center"/>
          </w:tcPr>
          <w:p w14:paraId="07349265" w14:textId="77777777" w:rsidR="00247CBF" w:rsidRPr="00092ED7" w:rsidRDefault="00247CBF" w:rsidP="00247CBF">
            <w:pPr>
              <w:spacing w:after="0"/>
              <w:jc w:val="center"/>
              <w:rPr>
                <w:rFonts w:eastAsia="Times New Roman" w:cs="Times New Roman"/>
                <w:sz w:val="23"/>
                <w:szCs w:val="23"/>
                <w:lang w:val="sr-Cyrl-CS"/>
              </w:rPr>
            </w:pPr>
          </w:p>
        </w:tc>
        <w:tc>
          <w:tcPr>
            <w:tcW w:w="338" w:type="pct"/>
            <w:gridSpan w:val="2"/>
            <w:tcBorders>
              <w:top w:val="single" w:sz="8" w:space="0" w:color="000000"/>
              <w:left w:val="nil"/>
              <w:bottom w:val="dotted" w:sz="4" w:space="0" w:color="auto"/>
              <w:right w:val="dotted" w:sz="4" w:space="0" w:color="auto"/>
            </w:tcBorders>
            <w:shd w:val="clear" w:color="auto" w:fill="auto"/>
            <w:vAlign w:val="center"/>
          </w:tcPr>
          <w:p w14:paraId="06E0E8A3" w14:textId="77777777" w:rsidR="00247CBF" w:rsidRPr="00092ED7" w:rsidRDefault="00247CBF" w:rsidP="00247CBF">
            <w:pPr>
              <w:spacing w:after="0"/>
              <w:jc w:val="center"/>
              <w:rPr>
                <w:rFonts w:eastAsia="Times New Roman" w:cs="Times New Roman"/>
                <w:sz w:val="23"/>
                <w:szCs w:val="23"/>
                <w:lang w:val="sr-Cyrl-CS"/>
              </w:rPr>
            </w:pPr>
          </w:p>
        </w:tc>
        <w:tc>
          <w:tcPr>
            <w:tcW w:w="338" w:type="pct"/>
            <w:gridSpan w:val="2"/>
            <w:tcBorders>
              <w:top w:val="single" w:sz="8" w:space="0" w:color="000000"/>
              <w:left w:val="nil"/>
              <w:bottom w:val="dotted" w:sz="4" w:space="0" w:color="auto"/>
              <w:right w:val="dotted" w:sz="4" w:space="0" w:color="auto"/>
            </w:tcBorders>
            <w:shd w:val="clear" w:color="auto" w:fill="auto"/>
            <w:vAlign w:val="center"/>
          </w:tcPr>
          <w:p w14:paraId="7D4974AD" w14:textId="77777777" w:rsidR="00247CBF" w:rsidRPr="00092ED7" w:rsidRDefault="00247CBF" w:rsidP="00247CBF">
            <w:pPr>
              <w:spacing w:after="0"/>
              <w:jc w:val="center"/>
              <w:rPr>
                <w:rFonts w:eastAsia="Times New Roman" w:cs="Times New Roman"/>
                <w:sz w:val="23"/>
                <w:szCs w:val="23"/>
                <w:lang w:val="sr-Cyrl-CS"/>
              </w:rPr>
            </w:pPr>
          </w:p>
        </w:tc>
        <w:tc>
          <w:tcPr>
            <w:tcW w:w="338" w:type="pct"/>
            <w:gridSpan w:val="2"/>
            <w:tcBorders>
              <w:top w:val="single" w:sz="8" w:space="0" w:color="000000"/>
              <w:left w:val="nil"/>
              <w:bottom w:val="dotted" w:sz="4" w:space="0" w:color="auto"/>
              <w:right w:val="dotted" w:sz="4" w:space="0" w:color="auto"/>
            </w:tcBorders>
            <w:shd w:val="clear" w:color="auto" w:fill="auto"/>
            <w:vAlign w:val="center"/>
          </w:tcPr>
          <w:p w14:paraId="060E0B49" w14:textId="77777777" w:rsidR="00247CBF" w:rsidRPr="00092ED7" w:rsidRDefault="00247CBF" w:rsidP="00247CBF">
            <w:pPr>
              <w:spacing w:after="0"/>
              <w:jc w:val="center"/>
              <w:rPr>
                <w:rFonts w:eastAsia="Times New Roman" w:cs="Times New Roman"/>
                <w:sz w:val="23"/>
                <w:szCs w:val="23"/>
                <w:lang w:val="sr-Cyrl-CS"/>
              </w:rPr>
            </w:pPr>
          </w:p>
        </w:tc>
        <w:tc>
          <w:tcPr>
            <w:tcW w:w="348" w:type="pct"/>
            <w:gridSpan w:val="2"/>
            <w:tcBorders>
              <w:top w:val="single" w:sz="8" w:space="0" w:color="000000"/>
              <w:left w:val="nil"/>
              <w:bottom w:val="dotted" w:sz="4" w:space="0" w:color="auto"/>
              <w:right w:val="double" w:sz="6" w:space="0" w:color="auto"/>
            </w:tcBorders>
            <w:shd w:val="clear" w:color="auto" w:fill="auto"/>
            <w:vAlign w:val="center"/>
          </w:tcPr>
          <w:p w14:paraId="63D39B80"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48016F3E"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2828F8AA"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23044E4E"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Дугорочна каматна стопа</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773CD8FB"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center"/>
          </w:tcPr>
          <w:p w14:paraId="745CFC6F"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2E4D13DA"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5DFF70D4"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2B985EAB" w14:textId="77777777" w:rsidR="00247CBF" w:rsidRPr="00092ED7" w:rsidRDefault="00247CBF" w:rsidP="00247CBF">
            <w:pPr>
              <w:spacing w:after="0"/>
              <w:jc w:val="center"/>
              <w:rPr>
                <w:rFonts w:eastAsia="Times New Roman" w:cs="Times New Roman"/>
                <w:sz w:val="20"/>
                <w:szCs w:val="20"/>
                <w:lang w:val="sr-Cyrl-CS"/>
              </w:rPr>
            </w:pPr>
          </w:p>
        </w:tc>
        <w:tc>
          <w:tcPr>
            <w:tcW w:w="348" w:type="pct"/>
            <w:gridSpan w:val="2"/>
            <w:tcBorders>
              <w:top w:val="nil"/>
              <w:left w:val="nil"/>
              <w:bottom w:val="dotted" w:sz="4" w:space="0" w:color="auto"/>
              <w:right w:val="double" w:sz="6" w:space="0" w:color="auto"/>
            </w:tcBorders>
            <w:shd w:val="clear" w:color="auto" w:fill="auto"/>
            <w:vAlign w:val="center"/>
          </w:tcPr>
          <w:p w14:paraId="0F747DF2"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03106CC2"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7184C029"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46D84F5A"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Курс УСД/ЕУР</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73690603"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center"/>
          </w:tcPr>
          <w:p w14:paraId="1F188486"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0AA0BDA8"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5398999E"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204A1618" w14:textId="77777777" w:rsidR="00247CBF" w:rsidRPr="00092ED7" w:rsidRDefault="00247CBF" w:rsidP="00247CBF">
            <w:pPr>
              <w:spacing w:after="0"/>
              <w:jc w:val="center"/>
              <w:rPr>
                <w:rFonts w:eastAsia="Times New Roman" w:cs="Times New Roman"/>
                <w:sz w:val="20"/>
                <w:szCs w:val="20"/>
                <w:lang w:val="sr-Cyrl-CS"/>
              </w:rPr>
            </w:pPr>
          </w:p>
        </w:tc>
        <w:tc>
          <w:tcPr>
            <w:tcW w:w="348" w:type="pct"/>
            <w:gridSpan w:val="2"/>
            <w:tcBorders>
              <w:top w:val="nil"/>
              <w:left w:val="nil"/>
              <w:bottom w:val="dotted" w:sz="4" w:space="0" w:color="auto"/>
              <w:right w:val="double" w:sz="6" w:space="0" w:color="auto"/>
            </w:tcBorders>
            <w:shd w:val="clear" w:color="auto" w:fill="auto"/>
            <w:vAlign w:val="center"/>
          </w:tcPr>
          <w:p w14:paraId="553E6C70"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56D2D6BC"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21B6397F"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0CCCEB3F"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Номинални ефективни девизни курс</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2C69773A"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center"/>
          </w:tcPr>
          <w:p w14:paraId="650FAD68"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257C579C"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2E39B392"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76AAAED8" w14:textId="77777777" w:rsidR="00247CBF" w:rsidRPr="00092ED7" w:rsidRDefault="00247CBF" w:rsidP="00247CBF">
            <w:pPr>
              <w:spacing w:after="0"/>
              <w:jc w:val="center"/>
              <w:rPr>
                <w:rFonts w:eastAsia="Times New Roman" w:cs="Times New Roman"/>
                <w:sz w:val="20"/>
                <w:szCs w:val="20"/>
                <w:lang w:val="sr-Cyrl-CS"/>
              </w:rPr>
            </w:pPr>
          </w:p>
        </w:tc>
        <w:tc>
          <w:tcPr>
            <w:tcW w:w="348" w:type="pct"/>
            <w:gridSpan w:val="2"/>
            <w:tcBorders>
              <w:top w:val="nil"/>
              <w:left w:val="nil"/>
              <w:bottom w:val="dotted" w:sz="4" w:space="0" w:color="auto"/>
              <w:right w:val="double" w:sz="6" w:space="0" w:color="auto"/>
            </w:tcBorders>
            <w:shd w:val="clear" w:color="auto" w:fill="auto"/>
            <w:vAlign w:val="center"/>
          </w:tcPr>
          <w:p w14:paraId="0D028743"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350BD34E"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6143B86B"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66C86EAA"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Курс у односу на ЕУР</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324A4C12"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center"/>
          </w:tcPr>
          <w:p w14:paraId="67551FFC"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47B8F165"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1D118A48"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44F2B6C9" w14:textId="77777777" w:rsidR="00247CBF" w:rsidRPr="00092ED7" w:rsidRDefault="00247CBF" w:rsidP="00247CBF">
            <w:pPr>
              <w:spacing w:after="0"/>
              <w:jc w:val="center"/>
              <w:rPr>
                <w:rFonts w:eastAsia="Times New Roman" w:cs="Times New Roman"/>
                <w:sz w:val="20"/>
                <w:szCs w:val="20"/>
                <w:lang w:val="sr-Cyrl-CS"/>
              </w:rPr>
            </w:pPr>
          </w:p>
        </w:tc>
        <w:tc>
          <w:tcPr>
            <w:tcW w:w="348" w:type="pct"/>
            <w:gridSpan w:val="2"/>
            <w:tcBorders>
              <w:top w:val="nil"/>
              <w:left w:val="nil"/>
              <w:bottom w:val="dotted" w:sz="4" w:space="0" w:color="auto"/>
              <w:right w:val="double" w:sz="6" w:space="0" w:color="auto"/>
            </w:tcBorders>
            <w:shd w:val="clear" w:color="auto" w:fill="auto"/>
            <w:vAlign w:val="center"/>
          </w:tcPr>
          <w:p w14:paraId="2E5B1390" w14:textId="77777777" w:rsidR="00247CBF" w:rsidRPr="00092ED7" w:rsidRDefault="00247CBF" w:rsidP="00247CBF">
            <w:pPr>
              <w:spacing w:after="0"/>
              <w:jc w:val="center"/>
              <w:rPr>
                <w:rFonts w:eastAsia="Times New Roman" w:cs="Times New Roman"/>
                <w:sz w:val="20"/>
                <w:szCs w:val="20"/>
                <w:lang w:val="sr-Cyrl-CS"/>
              </w:rPr>
            </w:pPr>
          </w:p>
        </w:tc>
        <w:tc>
          <w:tcPr>
            <w:tcW w:w="88" w:type="pct"/>
            <w:tcBorders>
              <w:top w:val="nil"/>
              <w:left w:val="nil"/>
              <w:bottom w:val="nil"/>
              <w:right w:val="nil"/>
            </w:tcBorders>
            <w:shd w:val="clear" w:color="auto" w:fill="auto"/>
            <w:noWrap/>
            <w:vAlign w:val="center"/>
            <w:hideMark/>
          </w:tcPr>
          <w:p w14:paraId="770A4D48"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7329A0FC"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7E06C50C"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Раст светског БДП-а, без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64C257F1"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center"/>
          </w:tcPr>
          <w:p w14:paraId="0EB498B0"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41524D23"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0D661035"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1F888897" w14:textId="77777777" w:rsidR="00247CBF" w:rsidRPr="00092ED7" w:rsidRDefault="00247CBF" w:rsidP="00247CBF">
            <w:pPr>
              <w:spacing w:after="0"/>
              <w:jc w:val="center"/>
              <w:rPr>
                <w:rFonts w:eastAsia="Times New Roman" w:cs="Times New Roman"/>
                <w:sz w:val="20"/>
                <w:szCs w:val="20"/>
                <w:lang w:val="sr-Cyrl-CS"/>
              </w:rPr>
            </w:pPr>
          </w:p>
        </w:tc>
        <w:tc>
          <w:tcPr>
            <w:tcW w:w="348" w:type="pct"/>
            <w:gridSpan w:val="2"/>
            <w:tcBorders>
              <w:top w:val="nil"/>
              <w:left w:val="nil"/>
              <w:bottom w:val="dotted" w:sz="4" w:space="0" w:color="auto"/>
              <w:right w:val="double" w:sz="6" w:space="0" w:color="auto"/>
            </w:tcBorders>
            <w:shd w:val="clear" w:color="auto" w:fill="auto"/>
            <w:vAlign w:val="center"/>
          </w:tcPr>
          <w:p w14:paraId="53ECB955"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3B8EDFB9"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356815B0"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1F11C92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Раст БДП-а у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085E9C56"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center"/>
          </w:tcPr>
          <w:p w14:paraId="30A04771"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0FE1765F"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5786D674"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6ADE05F7" w14:textId="77777777" w:rsidR="00247CBF" w:rsidRPr="00092ED7" w:rsidRDefault="00247CBF" w:rsidP="00247CBF">
            <w:pPr>
              <w:spacing w:after="0"/>
              <w:jc w:val="center"/>
              <w:rPr>
                <w:rFonts w:eastAsia="Times New Roman" w:cs="Times New Roman"/>
                <w:sz w:val="20"/>
                <w:szCs w:val="20"/>
                <w:lang w:val="sr-Cyrl-CS"/>
              </w:rPr>
            </w:pPr>
          </w:p>
        </w:tc>
        <w:tc>
          <w:tcPr>
            <w:tcW w:w="348" w:type="pct"/>
            <w:gridSpan w:val="2"/>
            <w:tcBorders>
              <w:top w:val="nil"/>
              <w:left w:val="nil"/>
              <w:bottom w:val="dotted" w:sz="4" w:space="0" w:color="auto"/>
              <w:right w:val="double" w:sz="6" w:space="0" w:color="auto"/>
            </w:tcBorders>
            <w:shd w:val="clear" w:color="auto" w:fill="auto"/>
            <w:vAlign w:val="center"/>
          </w:tcPr>
          <w:p w14:paraId="6297CF29"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74F3509A"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55BEAF88"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7514D095"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Раст релевантних страних тржишта</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3A92E78E"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center"/>
          </w:tcPr>
          <w:p w14:paraId="30C9FD24" w14:textId="77777777" w:rsidR="00247CBF" w:rsidRPr="00092ED7" w:rsidRDefault="00247CBF" w:rsidP="00247CBF">
            <w:pPr>
              <w:spacing w:after="0"/>
              <w:jc w:val="center"/>
              <w:rPr>
                <w:rFonts w:eastAsia="Times New Roman" w:cs="Times New Roman"/>
                <w:sz w:val="23"/>
                <w:szCs w:val="23"/>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50011DA7" w14:textId="77777777" w:rsidR="00247CBF" w:rsidRPr="00092ED7" w:rsidRDefault="00247CBF" w:rsidP="00247CBF">
            <w:pPr>
              <w:spacing w:after="0"/>
              <w:jc w:val="center"/>
              <w:rPr>
                <w:rFonts w:eastAsia="Times New Roman" w:cs="Times New Roman"/>
                <w:sz w:val="23"/>
                <w:szCs w:val="23"/>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55DB65C2" w14:textId="77777777" w:rsidR="00247CBF" w:rsidRPr="00092ED7" w:rsidRDefault="00247CBF" w:rsidP="00247CBF">
            <w:pPr>
              <w:spacing w:after="0"/>
              <w:jc w:val="center"/>
              <w:rPr>
                <w:rFonts w:eastAsia="Times New Roman" w:cs="Times New Roman"/>
                <w:sz w:val="23"/>
                <w:szCs w:val="23"/>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5CDBB85D" w14:textId="77777777" w:rsidR="00247CBF" w:rsidRPr="00092ED7" w:rsidRDefault="00247CBF" w:rsidP="00247CBF">
            <w:pPr>
              <w:spacing w:after="0"/>
              <w:jc w:val="center"/>
              <w:rPr>
                <w:rFonts w:eastAsia="Times New Roman" w:cs="Times New Roman"/>
                <w:sz w:val="23"/>
                <w:szCs w:val="23"/>
                <w:lang w:val="sr-Cyrl-CS"/>
              </w:rPr>
            </w:pPr>
          </w:p>
        </w:tc>
        <w:tc>
          <w:tcPr>
            <w:tcW w:w="348" w:type="pct"/>
            <w:gridSpan w:val="2"/>
            <w:tcBorders>
              <w:top w:val="nil"/>
              <w:left w:val="nil"/>
              <w:bottom w:val="dotted" w:sz="4" w:space="0" w:color="auto"/>
              <w:right w:val="double" w:sz="6" w:space="0" w:color="auto"/>
            </w:tcBorders>
            <w:shd w:val="clear" w:color="auto" w:fill="auto"/>
            <w:vAlign w:val="center"/>
          </w:tcPr>
          <w:p w14:paraId="743CAF68"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57223100"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2A5B1ACE"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0F60C8C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Обим светског увоза, без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0F034201"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center"/>
          </w:tcPr>
          <w:p w14:paraId="0B07CD53"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455C9C07"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0CDA9F33"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3A1A1529" w14:textId="77777777" w:rsidR="00247CBF" w:rsidRPr="00092ED7" w:rsidRDefault="00247CBF" w:rsidP="00247CBF">
            <w:pPr>
              <w:spacing w:after="0"/>
              <w:jc w:val="center"/>
              <w:rPr>
                <w:rFonts w:eastAsia="Times New Roman" w:cs="Times New Roman"/>
                <w:sz w:val="20"/>
                <w:szCs w:val="20"/>
                <w:lang w:val="sr-Cyrl-CS"/>
              </w:rPr>
            </w:pPr>
          </w:p>
        </w:tc>
        <w:tc>
          <w:tcPr>
            <w:tcW w:w="348" w:type="pct"/>
            <w:gridSpan w:val="2"/>
            <w:tcBorders>
              <w:top w:val="nil"/>
              <w:left w:val="nil"/>
              <w:bottom w:val="dotted" w:sz="4" w:space="0" w:color="auto"/>
              <w:right w:val="double" w:sz="6" w:space="0" w:color="auto"/>
            </w:tcBorders>
            <w:shd w:val="clear" w:color="auto" w:fill="auto"/>
            <w:vAlign w:val="center"/>
          </w:tcPr>
          <w:p w14:paraId="15AA9120"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4B8E3A30"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6041BCDB" w14:textId="77777777" w:rsidTr="00247CBF">
        <w:trPr>
          <w:trHeight w:val="283"/>
        </w:trPr>
        <w:tc>
          <w:tcPr>
            <w:tcW w:w="2320" w:type="pct"/>
            <w:tcBorders>
              <w:top w:val="nil"/>
              <w:left w:val="double" w:sz="6" w:space="0" w:color="auto"/>
              <w:bottom w:val="double" w:sz="6" w:space="0" w:color="auto"/>
              <w:right w:val="nil"/>
            </w:tcBorders>
            <w:shd w:val="clear" w:color="auto" w:fill="auto"/>
            <w:vAlign w:val="center"/>
            <w:hideMark/>
          </w:tcPr>
          <w:p w14:paraId="042022BD"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Цене нафте (Брент, УСД/барел)</w:t>
            </w:r>
          </w:p>
        </w:tc>
        <w:tc>
          <w:tcPr>
            <w:tcW w:w="892" w:type="pct"/>
            <w:gridSpan w:val="2"/>
            <w:tcBorders>
              <w:top w:val="dotted" w:sz="4" w:space="0" w:color="auto"/>
              <w:left w:val="single" w:sz="4" w:space="0" w:color="auto"/>
              <w:bottom w:val="double" w:sz="6" w:space="0" w:color="auto"/>
              <w:right w:val="single" w:sz="8" w:space="0" w:color="000000"/>
            </w:tcBorders>
            <w:shd w:val="clear" w:color="auto" w:fill="auto"/>
            <w:vAlign w:val="center"/>
            <w:hideMark/>
          </w:tcPr>
          <w:p w14:paraId="5FE14E3A"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uble" w:sz="6" w:space="0" w:color="auto"/>
              <w:right w:val="dotted" w:sz="4" w:space="0" w:color="auto"/>
            </w:tcBorders>
            <w:shd w:val="clear" w:color="auto" w:fill="auto"/>
            <w:vAlign w:val="center"/>
          </w:tcPr>
          <w:p w14:paraId="6182EF4B"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uble" w:sz="6" w:space="0" w:color="auto"/>
              <w:right w:val="dotted" w:sz="4" w:space="0" w:color="auto"/>
            </w:tcBorders>
            <w:shd w:val="clear" w:color="auto" w:fill="auto"/>
            <w:vAlign w:val="center"/>
          </w:tcPr>
          <w:p w14:paraId="7723037C"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uble" w:sz="6" w:space="0" w:color="auto"/>
              <w:right w:val="dotted" w:sz="4" w:space="0" w:color="auto"/>
            </w:tcBorders>
            <w:shd w:val="clear" w:color="auto" w:fill="auto"/>
            <w:vAlign w:val="center"/>
          </w:tcPr>
          <w:p w14:paraId="154993D3"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uble" w:sz="6" w:space="0" w:color="auto"/>
              <w:right w:val="dotted" w:sz="4" w:space="0" w:color="auto"/>
            </w:tcBorders>
            <w:shd w:val="clear" w:color="auto" w:fill="auto"/>
            <w:vAlign w:val="center"/>
          </w:tcPr>
          <w:p w14:paraId="42B8CF28" w14:textId="77777777" w:rsidR="00247CBF" w:rsidRPr="00092ED7" w:rsidRDefault="00247CBF" w:rsidP="00247CBF">
            <w:pPr>
              <w:spacing w:after="0"/>
              <w:jc w:val="center"/>
              <w:rPr>
                <w:rFonts w:eastAsia="Times New Roman" w:cs="Times New Roman"/>
                <w:sz w:val="20"/>
                <w:szCs w:val="20"/>
                <w:lang w:val="sr-Cyrl-CS"/>
              </w:rPr>
            </w:pPr>
          </w:p>
        </w:tc>
        <w:tc>
          <w:tcPr>
            <w:tcW w:w="348" w:type="pct"/>
            <w:gridSpan w:val="2"/>
            <w:tcBorders>
              <w:top w:val="nil"/>
              <w:left w:val="nil"/>
              <w:bottom w:val="double" w:sz="6" w:space="0" w:color="auto"/>
              <w:right w:val="double" w:sz="6" w:space="0" w:color="auto"/>
            </w:tcBorders>
            <w:shd w:val="clear" w:color="auto" w:fill="auto"/>
            <w:vAlign w:val="center"/>
          </w:tcPr>
          <w:p w14:paraId="46F012A3"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0307E0A5"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223BBA3F" w14:textId="77777777" w:rsidTr="00247CBF">
        <w:trPr>
          <w:trHeight w:val="315"/>
        </w:trPr>
        <w:tc>
          <w:tcPr>
            <w:tcW w:w="2320" w:type="pct"/>
            <w:tcBorders>
              <w:top w:val="nil"/>
              <w:left w:val="nil"/>
              <w:bottom w:val="nil"/>
              <w:right w:val="nil"/>
            </w:tcBorders>
            <w:shd w:val="clear" w:color="auto" w:fill="auto"/>
            <w:noWrap/>
            <w:vAlign w:val="center"/>
            <w:hideMark/>
          </w:tcPr>
          <w:p w14:paraId="54F7102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Уколико је потребно, само техничка претпоставка.</w:t>
            </w:r>
          </w:p>
        </w:tc>
        <w:tc>
          <w:tcPr>
            <w:tcW w:w="551" w:type="pct"/>
            <w:tcBorders>
              <w:top w:val="nil"/>
              <w:left w:val="nil"/>
              <w:bottom w:val="nil"/>
              <w:right w:val="nil"/>
            </w:tcBorders>
            <w:shd w:val="clear" w:color="auto" w:fill="auto"/>
            <w:noWrap/>
            <w:vAlign w:val="bottom"/>
            <w:hideMark/>
          </w:tcPr>
          <w:p w14:paraId="2532820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41" w:type="pct"/>
            <w:tcBorders>
              <w:top w:val="nil"/>
              <w:left w:val="nil"/>
              <w:bottom w:val="nil"/>
              <w:right w:val="nil"/>
            </w:tcBorders>
            <w:shd w:val="clear" w:color="auto" w:fill="auto"/>
            <w:noWrap/>
            <w:vAlign w:val="bottom"/>
            <w:hideMark/>
          </w:tcPr>
          <w:p w14:paraId="1DB4122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41" w:type="pct"/>
            <w:gridSpan w:val="2"/>
            <w:tcBorders>
              <w:top w:val="nil"/>
              <w:left w:val="nil"/>
              <w:bottom w:val="nil"/>
              <w:right w:val="nil"/>
            </w:tcBorders>
            <w:shd w:val="clear" w:color="auto" w:fill="auto"/>
            <w:noWrap/>
            <w:vAlign w:val="bottom"/>
            <w:hideMark/>
          </w:tcPr>
          <w:p w14:paraId="202A1FF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49" w:type="pct"/>
            <w:gridSpan w:val="2"/>
            <w:tcBorders>
              <w:top w:val="nil"/>
              <w:left w:val="nil"/>
              <w:bottom w:val="nil"/>
              <w:right w:val="nil"/>
            </w:tcBorders>
            <w:shd w:val="clear" w:color="auto" w:fill="auto"/>
            <w:noWrap/>
            <w:vAlign w:val="bottom"/>
            <w:hideMark/>
          </w:tcPr>
          <w:p w14:paraId="0B1820F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34" w:type="pct"/>
            <w:gridSpan w:val="2"/>
            <w:tcBorders>
              <w:top w:val="nil"/>
              <w:left w:val="nil"/>
              <w:bottom w:val="nil"/>
              <w:right w:val="nil"/>
            </w:tcBorders>
            <w:shd w:val="clear" w:color="auto" w:fill="auto"/>
            <w:noWrap/>
            <w:vAlign w:val="bottom"/>
            <w:hideMark/>
          </w:tcPr>
          <w:p w14:paraId="37B66BD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33" w:type="pct"/>
            <w:gridSpan w:val="2"/>
            <w:tcBorders>
              <w:top w:val="nil"/>
              <w:left w:val="nil"/>
              <w:bottom w:val="nil"/>
              <w:right w:val="nil"/>
            </w:tcBorders>
            <w:shd w:val="clear" w:color="auto" w:fill="auto"/>
            <w:noWrap/>
            <w:vAlign w:val="bottom"/>
            <w:hideMark/>
          </w:tcPr>
          <w:p w14:paraId="6C54007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43" w:type="pct"/>
            <w:tcBorders>
              <w:top w:val="nil"/>
              <w:left w:val="nil"/>
              <w:bottom w:val="nil"/>
              <w:right w:val="nil"/>
            </w:tcBorders>
            <w:shd w:val="clear" w:color="auto" w:fill="auto"/>
            <w:noWrap/>
            <w:vAlign w:val="bottom"/>
            <w:hideMark/>
          </w:tcPr>
          <w:p w14:paraId="6DA24AD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88" w:type="pct"/>
            <w:tcBorders>
              <w:top w:val="nil"/>
              <w:left w:val="nil"/>
              <w:bottom w:val="nil"/>
              <w:right w:val="nil"/>
            </w:tcBorders>
            <w:shd w:val="clear" w:color="auto" w:fill="auto"/>
            <w:noWrap/>
            <w:vAlign w:val="center"/>
            <w:hideMark/>
          </w:tcPr>
          <w:p w14:paraId="061D0454"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 </w:t>
            </w:r>
          </w:p>
        </w:tc>
      </w:tr>
    </w:tbl>
    <w:p w14:paraId="6864D169" w14:textId="77777777" w:rsidR="00247CBF" w:rsidRPr="00092ED7" w:rsidRDefault="00247CBF" w:rsidP="00247CBF">
      <w:pPr>
        <w:rPr>
          <w:rFonts w:cs="Times New Roman"/>
          <w:lang w:val="sr-Cyrl-CS"/>
        </w:rPr>
      </w:pPr>
    </w:p>
    <w:tbl>
      <w:tblPr>
        <w:tblW w:w="5000" w:type="pct"/>
        <w:tblLayout w:type="fixed"/>
        <w:tblLook w:val="04A0" w:firstRow="1" w:lastRow="0" w:firstColumn="1" w:lastColumn="0" w:noHBand="0" w:noVBand="1"/>
      </w:tblPr>
      <w:tblGrid>
        <w:gridCol w:w="6757"/>
        <w:gridCol w:w="1606"/>
        <w:gridCol w:w="994"/>
        <w:gridCol w:w="985"/>
        <w:gridCol w:w="9"/>
        <w:gridCol w:w="976"/>
        <w:gridCol w:w="41"/>
        <w:gridCol w:w="944"/>
        <w:gridCol w:w="32"/>
        <w:gridCol w:w="953"/>
        <w:gridCol w:w="17"/>
        <w:gridCol w:w="973"/>
        <w:gridCol w:w="283"/>
      </w:tblGrid>
      <w:tr w:rsidR="00247CBF" w:rsidRPr="00092ED7" w14:paraId="6AE20F92" w14:textId="77777777" w:rsidTr="00247CBF">
        <w:trPr>
          <w:trHeight w:val="270"/>
        </w:trPr>
        <w:tc>
          <w:tcPr>
            <w:tcW w:w="4236" w:type="pct"/>
            <w:gridSpan w:val="9"/>
            <w:tcBorders>
              <w:top w:val="nil"/>
              <w:left w:val="nil"/>
              <w:bottom w:val="nil"/>
              <w:right w:val="nil"/>
            </w:tcBorders>
            <w:shd w:val="clear" w:color="000000" w:fill="FFFFFF"/>
            <w:noWrap/>
            <w:vAlign w:val="bottom"/>
            <w:hideMark/>
          </w:tcPr>
          <w:p w14:paraId="7EC290C4" w14:textId="77777777" w:rsidR="00247CBF" w:rsidRPr="00092ED7" w:rsidRDefault="00247CBF" w:rsidP="00247CBF">
            <w:pPr>
              <w:rPr>
                <w:rFonts w:cs="Times New Roman"/>
                <w:b/>
                <w:bCs/>
                <w:sz w:val="20"/>
                <w:szCs w:val="20"/>
                <w:lang w:val="sr-Cyrl-CS"/>
              </w:rPr>
            </w:pPr>
            <w:r w:rsidRPr="00092ED7">
              <w:rPr>
                <w:rFonts w:cs="Times New Roman"/>
                <w:b/>
                <w:bCs/>
                <w:sz w:val="20"/>
                <w:szCs w:val="20"/>
                <w:lang w:val="sr-Cyrl-CS"/>
              </w:rPr>
              <w:t>Табела 8: Основне претпоставке о екстерном економском окружењу на ком се заснива програмски оквир [1]</w:t>
            </w:r>
          </w:p>
        </w:tc>
        <w:tc>
          <w:tcPr>
            <w:tcW w:w="667" w:type="pct"/>
            <w:gridSpan w:val="3"/>
            <w:tcBorders>
              <w:top w:val="nil"/>
              <w:left w:val="nil"/>
              <w:bottom w:val="nil"/>
              <w:right w:val="nil"/>
            </w:tcBorders>
            <w:shd w:val="clear" w:color="000000" w:fill="FFFFFF"/>
            <w:noWrap/>
            <w:vAlign w:val="center"/>
            <w:hideMark/>
          </w:tcPr>
          <w:p w14:paraId="0938B76D"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Република Србија</w:t>
            </w:r>
          </w:p>
        </w:tc>
        <w:tc>
          <w:tcPr>
            <w:tcW w:w="97" w:type="pct"/>
            <w:tcBorders>
              <w:top w:val="nil"/>
              <w:left w:val="nil"/>
              <w:bottom w:val="nil"/>
              <w:right w:val="nil"/>
            </w:tcBorders>
            <w:shd w:val="clear" w:color="000000" w:fill="FFFFFF"/>
            <w:noWrap/>
            <w:vAlign w:val="bottom"/>
            <w:hideMark/>
          </w:tcPr>
          <w:p w14:paraId="5FE18CC3"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 </w:t>
            </w:r>
          </w:p>
        </w:tc>
      </w:tr>
      <w:tr w:rsidR="00247CBF" w:rsidRPr="00092ED7" w14:paraId="4A34214A" w14:textId="77777777" w:rsidTr="00247CBF">
        <w:trPr>
          <w:trHeight w:val="20"/>
        </w:trPr>
        <w:tc>
          <w:tcPr>
            <w:tcW w:w="2319" w:type="pct"/>
            <w:vMerge w:val="restart"/>
            <w:tcBorders>
              <w:top w:val="double" w:sz="6" w:space="0" w:color="auto"/>
              <w:left w:val="double" w:sz="6" w:space="0" w:color="auto"/>
              <w:right w:val="nil"/>
            </w:tcBorders>
            <w:shd w:val="clear" w:color="auto" w:fill="auto"/>
            <w:noWrap/>
            <w:vAlign w:val="center"/>
            <w:hideMark/>
          </w:tcPr>
          <w:p w14:paraId="7D7C421B" w14:textId="77777777" w:rsidR="00247CBF" w:rsidRPr="00092ED7" w:rsidRDefault="00247CBF" w:rsidP="00247CBF">
            <w:pPr>
              <w:spacing w:after="0"/>
              <w:rPr>
                <w:rFonts w:eastAsia="Times New Roman" w:cs="Times New Roman"/>
                <w:b/>
                <w:bCs/>
                <w:sz w:val="20"/>
                <w:szCs w:val="20"/>
                <w:lang w:val="sr-Cyrl-CS"/>
              </w:rPr>
            </w:pPr>
          </w:p>
        </w:tc>
        <w:tc>
          <w:tcPr>
            <w:tcW w:w="892" w:type="pct"/>
            <w:gridSpan w:val="2"/>
            <w:vMerge w:val="restart"/>
            <w:tcBorders>
              <w:top w:val="double" w:sz="6" w:space="0" w:color="auto"/>
              <w:left w:val="single" w:sz="8" w:space="0" w:color="auto"/>
              <w:right w:val="single" w:sz="8" w:space="0" w:color="000000"/>
            </w:tcBorders>
            <w:shd w:val="clear" w:color="auto" w:fill="auto"/>
            <w:vAlign w:val="center"/>
            <w:hideMark/>
          </w:tcPr>
          <w:p w14:paraId="2300FF92"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Димензија</w:t>
            </w:r>
          </w:p>
        </w:tc>
        <w:tc>
          <w:tcPr>
            <w:tcW w:w="338" w:type="pct"/>
            <w:tcBorders>
              <w:top w:val="double" w:sz="6" w:space="0" w:color="auto"/>
              <w:left w:val="nil"/>
              <w:right w:val="dotted" w:sz="4" w:space="0" w:color="auto"/>
            </w:tcBorders>
            <w:shd w:val="clear" w:color="auto" w:fill="auto"/>
            <w:noWrap/>
            <w:vAlign w:val="center"/>
            <w:hideMark/>
          </w:tcPr>
          <w:p w14:paraId="78593DF5"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338" w:type="pct"/>
            <w:gridSpan w:val="2"/>
            <w:tcBorders>
              <w:top w:val="double" w:sz="6" w:space="0" w:color="auto"/>
              <w:left w:val="dotted" w:sz="4" w:space="0" w:color="auto"/>
              <w:right w:val="dotted" w:sz="4" w:space="0" w:color="auto"/>
            </w:tcBorders>
            <w:shd w:val="clear" w:color="auto" w:fill="auto"/>
            <w:noWrap/>
            <w:vAlign w:val="center"/>
            <w:hideMark/>
          </w:tcPr>
          <w:p w14:paraId="12AAC982"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338" w:type="pct"/>
            <w:gridSpan w:val="2"/>
            <w:tcBorders>
              <w:top w:val="double" w:sz="6" w:space="0" w:color="auto"/>
              <w:left w:val="dotted" w:sz="4" w:space="0" w:color="auto"/>
              <w:right w:val="dotted" w:sz="4" w:space="0" w:color="auto"/>
            </w:tcBorders>
            <w:shd w:val="clear" w:color="auto" w:fill="auto"/>
            <w:noWrap/>
            <w:vAlign w:val="center"/>
            <w:hideMark/>
          </w:tcPr>
          <w:p w14:paraId="3D012A1D"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338" w:type="pct"/>
            <w:gridSpan w:val="2"/>
            <w:tcBorders>
              <w:top w:val="double" w:sz="6" w:space="0" w:color="auto"/>
              <w:left w:val="dotted" w:sz="4" w:space="0" w:color="auto"/>
              <w:right w:val="dotted" w:sz="4" w:space="0" w:color="auto"/>
            </w:tcBorders>
            <w:shd w:val="clear" w:color="auto" w:fill="auto"/>
            <w:noWrap/>
            <w:vAlign w:val="center"/>
            <w:hideMark/>
          </w:tcPr>
          <w:p w14:paraId="70B9629D"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340" w:type="pct"/>
            <w:gridSpan w:val="2"/>
            <w:tcBorders>
              <w:top w:val="double" w:sz="6" w:space="0" w:color="auto"/>
              <w:left w:val="dotted" w:sz="4" w:space="0" w:color="auto"/>
              <w:right w:val="double" w:sz="6" w:space="0" w:color="auto"/>
            </w:tcBorders>
            <w:shd w:val="clear" w:color="auto" w:fill="auto"/>
            <w:noWrap/>
            <w:vAlign w:val="center"/>
            <w:hideMark/>
          </w:tcPr>
          <w:p w14:paraId="13091733"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97" w:type="pct"/>
            <w:tcBorders>
              <w:top w:val="nil"/>
              <w:left w:val="nil"/>
              <w:bottom w:val="nil"/>
              <w:right w:val="nil"/>
            </w:tcBorders>
            <w:shd w:val="clear" w:color="auto" w:fill="auto"/>
            <w:noWrap/>
            <w:vAlign w:val="center"/>
            <w:hideMark/>
          </w:tcPr>
          <w:p w14:paraId="5ECBC43C"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50D3A0A9" w14:textId="77777777" w:rsidTr="00247CBF">
        <w:trPr>
          <w:trHeight w:val="20"/>
        </w:trPr>
        <w:tc>
          <w:tcPr>
            <w:tcW w:w="2319" w:type="pct"/>
            <w:vMerge/>
            <w:tcBorders>
              <w:left w:val="double" w:sz="6" w:space="0" w:color="auto"/>
              <w:bottom w:val="double" w:sz="6" w:space="0" w:color="auto"/>
              <w:right w:val="nil"/>
            </w:tcBorders>
            <w:shd w:val="clear" w:color="auto" w:fill="auto"/>
            <w:noWrap/>
            <w:vAlign w:val="center"/>
          </w:tcPr>
          <w:p w14:paraId="4CEDF883" w14:textId="77777777" w:rsidR="00247CBF" w:rsidRPr="00092ED7" w:rsidRDefault="00247CBF" w:rsidP="00247CBF">
            <w:pPr>
              <w:spacing w:after="0"/>
              <w:rPr>
                <w:rFonts w:eastAsia="Times New Roman" w:cs="Times New Roman"/>
                <w:b/>
                <w:bCs/>
                <w:sz w:val="20"/>
                <w:szCs w:val="20"/>
                <w:lang w:val="sr-Cyrl-CS"/>
              </w:rPr>
            </w:pPr>
          </w:p>
        </w:tc>
        <w:tc>
          <w:tcPr>
            <w:tcW w:w="892" w:type="pct"/>
            <w:gridSpan w:val="2"/>
            <w:vMerge/>
            <w:tcBorders>
              <w:left w:val="single" w:sz="8" w:space="0" w:color="auto"/>
              <w:bottom w:val="double" w:sz="6" w:space="0" w:color="auto"/>
              <w:right w:val="single" w:sz="8" w:space="0" w:color="000000"/>
            </w:tcBorders>
            <w:shd w:val="clear" w:color="auto" w:fill="auto"/>
            <w:vAlign w:val="center"/>
          </w:tcPr>
          <w:p w14:paraId="60639141" w14:textId="77777777" w:rsidR="00247CBF" w:rsidRPr="00092ED7" w:rsidRDefault="00247CBF" w:rsidP="00247CBF">
            <w:pPr>
              <w:spacing w:after="0"/>
              <w:jc w:val="center"/>
              <w:rPr>
                <w:rFonts w:eastAsia="Times New Roman" w:cs="Times New Roman"/>
                <w:b/>
                <w:bCs/>
                <w:sz w:val="20"/>
                <w:szCs w:val="20"/>
                <w:lang w:val="sr-Cyrl-CS"/>
              </w:rPr>
            </w:pPr>
          </w:p>
        </w:tc>
        <w:tc>
          <w:tcPr>
            <w:tcW w:w="338" w:type="pct"/>
            <w:tcBorders>
              <w:left w:val="nil"/>
              <w:bottom w:val="double" w:sz="6" w:space="0" w:color="auto"/>
              <w:right w:val="dotted" w:sz="4" w:space="0" w:color="auto"/>
            </w:tcBorders>
            <w:shd w:val="clear" w:color="auto" w:fill="auto"/>
            <w:noWrap/>
            <w:vAlign w:val="center"/>
          </w:tcPr>
          <w:p w14:paraId="66C85862" w14:textId="77777777" w:rsidR="00247CBF" w:rsidRPr="00092ED7" w:rsidRDefault="00247CBF" w:rsidP="00247CBF">
            <w:pPr>
              <w:spacing w:after="0"/>
              <w:jc w:val="center"/>
              <w:rPr>
                <w:sz w:val="20"/>
                <w:szCs w:val="20"/>
                <w:lang w:val="sr-Cyrl-CS"/>
              </w:rPr>
            </w:pPr>
            <w:r w:rsidRPr="00092ED7">
              <w:rPr>
                <w:sz w:val="20"/>
                <w:szCs w:val="20"/>
                <w:lang w:val="sr-Cyrl-CS"/>
              </w:rPr>
              <w:t>2021</w:t>
            </w:r>
          </w:p>
        </w:tc>
        <w:tc>
          <w:tcPr>
            <w:tcW w:w="338" w:type="pct"/>
            <w:gridSpan w:val="2"/>
            <w:tcBorders>
              <w:left w:val="dotted" w:sz="4" w:space="0" w:color="auto"/>
              <w:bottom w:val="double" w:sz="6" w:space="0" w:color="auto"/>
              <w:right w:val="dotted" w:sz="4" w:space="0" w:color="auto"/>
            </w:tcBorders>
            <w:shd w:val="clear" w:color="auto" w:fill="auto"/>
            <w:noWrap/>
            <w:vAlign w:val="center"/>
          </w:tcPr>
          <w:p w14:paraId="2EF3856A" w14:textId="77777777" w:rsidR="00247CBF" w:rsidRPr="00092ED7" w:rsidRDefault="00247CBF" w:rsidP="00247CBF">
            <w:pPr>
              <w:spacing w:after="0"/>
              <w:jc w:val="center"/>
              <w:rPr>
                <w:sz w:val="20"/>
                <w:szCs w:val="20"/>
                <w:lang w:val="sr-Cyrl-CS"/>
              </w:rPr>
            </w:pPr>
            <w:r w:rsidRPr="00092ED7">
              <w:rPr>
                <w:sz w:val="20"/>
                <w:szCs w:val="20"/>
                <w:lang w:val="sr-Cyrl-CS"/>
              </w:rPr>
              <w:t>2022</w:t>
            </w:r>
          </w:p>
        </w:tc>
        <w:tc>
          <w:tcPr>
            <w:tcW w:w="338" w:type="pct"/>
            <w:gridSpan w:val="2"/>
            <w:tcBorders>
              <w:left w:val="dotted" w:sz="4" w:space="0" w:color="auto"/>
              <w:bottom w:val="double" w:sz="6" w:space="0" w:color="auto"/>
              <w:right w:val="dotted" w:sz="4" w:space="0" w:color="auto"/>
            </w:tcBorders>
            <w:shd w:val="clear" w:color="auto" w:fill="auto"/>
            <w:noWrap/>
            <w:vAlign w:val="center"/>
          </w:tcPr>
          <w:p w14:paraId="4F51F6DE" w14:textId="77777777" w:rsidR="00247CBF" w:rsidRPr="00092ED7" w:rsidRDefault="00247CBF" w:rsidP="00247CBF">
            <w:pPr>
              <w:spacing w:after="0"/>
              <w:jc w:val="center"/>
              <w:rPr>
                <w:sz w:val="20"/>
                <w:szCs w:val="20"/>
                <w:lang w:val="sr-Cyrl-CS"/>
              </w:rPr>
            </w:pPr>
            <w:r w:rsidRPr="00092ED7">
              <w:rPr>
                <w:sz w:val="20"/>
                <w:szCs w:val="20"/>
                <w:lang w:val="sr-Cyrl-CS"/>
              </w:rPr>
              <w:t>2023</w:t>
            </w:r>
          </w:p>
        </w:tc>
        <w:tc>
          <w:tcPr>
            <w:tcW w:w="338" w:type="pct"/>
            <w:gridSpan w:val="2"/>
            <w:tcBorders>
              <w:left w:val="dotted" w:sz="4" w:space="0" w:color="auto"/>
              <w:bottom w:val="double" w:sz="6" w:space="0" w:color="auto"/>
              <w:right w:val="dotted" w:sz="4" w:space="0" w:color="auto"/>
            </w:tcBorders>
            <w:shd w:val="clear" w:color="auto" w:fill="auto"/>
            <w:noWrap/>
            <w:vAlign w:val="center"/>
          </w:tcPr>
          <w:p w14:paraId="167887CE" w14:textId="77777777" w:rsidR="00247CBF" w:rsidRPr="00092ED7" w:rsidRDefault="00247CBF" w:rsidP="00247CBF">
            <w:pPr>
              <w:spacing w:after="0"/>
              <w:jc w:val="center"/>
              <w:rPr>
                <w:sz w:val="20"/>
                <w:szCs w:val="20"/>
                <w:lang w:val="sr-Cyrl-CS"/>
              </w:rPr>
            </w:pPr>
            <w:r w:rsidRPr="00092ED7">
              <w:rPr>
                <w:sz w:val="20"/>
                <w:szCs w:val="20"/>
                <w:lang w:val="sr-Cyrl-CS"/>
              </w:rPr>
              <w:t>2024</w:t>
            </w:r>
          </w:p>
        </w:tc>
        <w:tc>
          <w:tcPr>
            <w:tcW w:w="340" w:type="pct"/>
            <w:gridSpan w:val="2"/>
            <w:tcBorders>
              <w:left w:val="dotted" w:sz="4" w:space="0" w:color="auto"/>
              <w:bottom w:val="double" w:sz="6" w:space="0" w:color="auto"/>
              <w:right w:val="double" w:sz="6" w:space="0" w:color="auto"/>
            </w:tcBorders>
            <w:shd w:val="clear" w:color="auto" w:fill="auto"/>
            <w:noWrap/>
            <w:vAlign w:val="center"/>
          </w:tcPr>
          <w:p w14:paraId="28FEA58E" w14:textId="77777777" w:rsidR="00247CBF" w:rsidRPr="00092ED7" w:rsidRDefault="00247CBF" w:rsidP="00247CBF">
            <w:pPr>
              <w:spacing w:after="0"/>
              <w:jc w:val="center"/>
              <w:rPr>
                <w:sz w:val="20"/>
                <w:szCs w:val="20"/>
                <w:lang w:val="sr-Cyrl-CS"/>
              </w:rPr>
            </w:pPr>
            <w:r w:rsidRPr="00092ED7">
              <w:rPr>
                <w:sz w:val="20"/>
                <w:szCs w:val="20"/>
                <w:lang w:val="sr-Cyrl-CS"/>
              </w:rPr>
              <w:t>2025</w:t>
            </w:r>
          </w:p>
        </w:tc>
        <w:tc>
          <w:tcPr>
            <w:tcW w:w="97" w:type="pct"/>
            <w:tcBorders>
              <w:top w:val="nil"/>
              <w:left w:val="nil"/>
              <w:bottom w:val="nil"/>
              <w:right w:val="nil"/>
            </w:tcBorders>
            <w:shd w:val="clear" w:color="auto" w:fill="auto"/>
            <w:noWrap/>
            <w:vAlign w:val="center"/>
          </w:tcPr>
          <w:p w14:paraId="4C220982" w14:textId="77777777" w:rsidR="00247CBF" w:rsidRPr="00092ED7" w:rsidRDefault="00247CBF" w:rsidP="00247CBF">
            <w:pPr>
              <w:spacing w:after="0"/>
              <w:rPr>
                <w:rFonts w:eastAsia="Times New Roman" w:cs="Times New Roman"/>
                <w:b/>
                <w:bCs/>
                <w:szCs w:val="24"/>
                <w:lang w:val="sr-Cyrl-CS"/>
              </w:rPr>
            </w:pPr>
          </w:p>
        </w:tc>
      </w:tr>
      <w:tr w:rsidR="00247CBF" w:rsidRPr="00092ED7" w14:paraId="1466691D"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61C7447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Краткорочна каматна стопа</w:t>
            </w:r>
          </w:p>
        </w:tc>
        <w:tc>
          <w:tcPr>
            <w:tcW w:w="892" w:type="pct"/>
            <w:gridSpan w:val="2"/>
            <w:tcBorders>
              <w:top w:val="double" w:sz="6" w:space="0" w:color="auto"/>
              <w:left w:val="single" w:sz="4" w:space="0" w:color="auto"/>
              <w:bottom w:val="dotted" w:sz="4" w:space="0" w:color="auto"/>
              <w:right w:val="single" w:sz="8" w:space="0" w:color="000000"/>
            </w:tcBorders>
            <w:shd w:val="clear" w:color="auto" w:fill="auto"/>
            <w:vAlign w:val="center"/>
            <w:hideMark/>
          </w:tcPr>
          <w:p w14:paraId="349A779A"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single" w:sz="8" w:space="0" w:color="000000"/>
              <w:left w:val="nil"/>
              <w:bottom w:val="dotted" w:sz="4" w:space="0" w:color="auto"/>
              <w:right w:val="dotted" w:sz="4" w:space="0" w:color="auto"/>
            </w:tcBorders>
            <w:shd w:val="clear" w:color="auto" w:fill="auto"/>
            <w:vAlign w:val="bottom"/>
            <w:hideMark/>
          </w:tcPr>
          <w:p w14:paraId="24EB17C7" w14:textId="77777777" w:rsidR="00247CBF" w:rsidRPr="00092ED7" w:rsidRDefault="00247CBF" w:rsidP="00247CBF">
            <w:pPr>
              <w:spacing w:after="0"/>
              <w:jc w:val="center"/>
              <w:rPr>
                <w:rFonts w:eastAsia="Times New Roman" w:cs="Times New Roman"/>
                <w:sz w:val="23"/>
                <w:szCs w:val="23"/>
                <w:lang w:val="sr-Cyrl-CS"/>
              </w:rPr>
            </w:pPr>
            <w:r w:rsidRPr="00092ED7">
              <w:rPr>
                <w:rFonts w:cs="Times New Roman"/>
                <w:sz w:val="20"/>
                <w:szCs w:val="20"/>
                <w:lang w:val="sr-Cyrl-CS"/>
              </w:rPr>
              <w:t>:</w:t>
            </w:r>
          </w:p>
        </w:tc>
        <w:tc>
          <w:tcPr>
            <w:tcW w:w="338" w:type="pct"/>
            <w:gridSpan w:val="2"/>
            <w:tcBorders>
              <w:top w:val="single" w:sz="8" w:space="0" w:color="000000"/>
              <w:left w:val="nil"/>
              <w:bottom w:val="dotted" w:sz="4" w:space="0" w:color="auto"/>
              <w:right w:val="dotted" w:sz="4" w:space="0" w:color="auto"/>
            </w:tcBorders>
            <w:shd w:val="clear" w:color="auto" w:fill="auto"/>
            <w:vAlign w:val="bottom"/>
            <w:hideMark/>
          </w:tcPr>
          <w:p w14:paraId="69FBF60C" w14:textId="77777777" w:rsidR="00247CBF" w:rsidRPr="00092ED7" w:rsidRDefault="00247CBF" w:rsidP="00247CBF">
            <w:pPr>
              <w:spacing w:after="0"/>
              <w:jc w:val="center"/>
              <w:rPr>
                <w:rFonts w:eastAsia="Times New Roman" w:cs="Times New Roman"/>
                <w:sz w:val="23"/>
                <w:szCs w:val="23"/>
                <w:lang w:val="sr-Cyrl-CS"/>
              </w:rPr>
            </w:pPr>
            <w:r w:rsidRPr="00092ED7">
              <w:rPr>
                <w:rFonts w:cs="Times New Roman"/>
                <w:sz w:val="20"/>
                <w:szCs w:val="20"/>
                <w:lang w:val="sr-Cyrl-CS"/>
              </w:rPr>
              <w:t>:</w:t>
            </w:r>
          </w:p>
        </w:tc>
        <w:tc>
          <w:tcPr>
            <w:tcW w:w="338" w:type="pct"/>
            <w:gridSpan w:val="2"/>
            <w:tcBorders>
              <w:top w:val="single" w:sz="8" w:space="0" w:color="000000"/>
              <w:left w:val="nil"/>
              <w:bottom w:val="dotted" w:sz="4" w:space="0" w:color="auto"/>
              <w:right w:val="dotted" w:sz="4" w:space="0" w:color="auto"/>
            </w:tcBorders>
            <w:shd w:val="clear" w:color="auto" w:fill="auto"/>
            <w:vAlign w:val="bottom"/>
            <w:hideMark/>
          </w:tcPr>
          <w:p w14:paraId="021B1284" w14:textId="77777777" w:rsidR="00247CBF" w:rsidRPr="00092ED7" w:rsidRDefault="00247CBF" w:rsidP="00247CBF">
            <w:pPr>
              <w:spacing w:after="0"/>
              <w:jc w:val="center"/>
              <w:rPr>
                <w:rFonts w:eastAsia="Times New Roman" w:cs="Times New Roman"/>
                <w:sz w:val="23"/>
                <w:szCs w:val="23"/>
                <w:lang w:val="sr-Cyrl-CS"/>
              </w:rPr>
            </w:pPr>
            <w:r w:rsidRPr="00092ED7">
              <w:rPr>
                <w:rFonts w:cs="Times New Roman"/>
                <w:sz w:val="20"/>
                <w:szCs w:val="20"/>
                <w:lang w:val="sr-Cyrl-CS"/>
              </w:rPr>
              <w:t>:</w:t>
            </w:r>
          </w:p>
        </w:tc>
        <w:tc>
          <w:tcPr>
            <w:tcW w:w="338" w:type="pct"/>
            <w:gridSpan w:val="2"/>
            <w:tcBorders>
              <w:top w:val="single" w:sz="8" w:space="0" w:color="000000"/>
              <w:left w:val="nil"/>
              <w:bottom w:val="dotted" w:sz="4" w:space="0" w:color="auto"/>
              <w:right w:val="dotted" w:sz="4" w:space="0" w:color="auto"/>
            </w:tcBorders>
            <w:shd w:val="clear" w:color="auto" w:fill="auto"/>
            <w:vAlign w:val="bottom"/>
            <w:hideMark/>
          </w:tcPr>
          <w:p w14:paraId="63A1F17F" w14:textId="77777777" w:rsidR="00247CBF" w:rsidRPr="00092ED7" w:rsidRDefault="00247CBF" w:rsidP="00247CBF">
            <w:pPr>
              <w:spacing w:after="0"/>
              <w:jc w:val="center"/>
              <w:rPr>
                <w:rFonts w:eastAsia="Times New Roman" w:cs="Times New Roman"/>
                <w:sz w:val="23"/>
                <w:szCs w:val="23"/>
                <w:lang w:val="sr-Cyrl-CS"/>
              </w:rPr>
            </w:pPr>
            <w:r w:rsidRPr="00092ED7">
              <w:rPr>
                <w:rFonts w:cs="Times New Roman"/>
                <w:sz w:val="20"/>
                <w:szCs w:val="20"/>
                <w:lang w:val="sr-Cyrl-CS"/>
              </w:rPr>
              <w:t>:</w:t>
            </w:r>
          </w:p>
        </w:tc>
        <w:tc>
          <w:tcPr>
            <w:tcW w:w="340" w:type="pct"/>
            <w:gridSpan w:val="2"/>
            <w:tcBorders>
              <w:top w:val="single" w:sz="8" w:space="0" w:color="000000"/>
              <w:left w:val="nil"/>
              <w:bottom w:val="dotted" w:sz="4" w:space="0" w:color="auto"/>
              <w:right w:val="double" w:sz="6" w:space="0" w:color="auto"/>
            </w:tcBorders>
            <w:shd w:val="clear" w:color="auto" w:fill="auto"/>
            <w:vAlign w:val="bottom"/>
            <w:hideMark/>
          </w:tcPr>
          <w:p w14:paraId="56BA8109" w14:textId="77777777" w:rsidR="00247CBF" w:rsidRPr="00092ED7" w:rsidRDefault="00247CBF" w:rsidP="00247CBF">
            <w:pPr>
              <w:spacing w:after="0"/>
              <w:jc w:val="center"/>
              <w:rPr>
                <w:rFonts w:eastAsia="Times New Roman" w:cs="Times New Roman"/>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4BF51654"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7D83DBA4"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37DB33C9"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Дугорочна каматна стопа</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6F5E6CF9"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bottom"/>
            <w:hideMark/>
          </w:tcPr>
          <w:p w14:paraId="14878D30" w14:textId="77777777" w:rsidR="00247CBF" w:rsidRPr="00092ED7" w:rsidRDefault="00247CBF" w:rsidP="00247CBF">
            <w:pPr>
              <w:spacing w:after="0"/>
              <w:jc w:val="center"/>
              <w:rPr>
                <w:rFonts w:eastAsia="Times New Roman" w:cs="Times New Roman"/>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2F402050" w14:textId="77777777" w:rsidR="00247CBF" w:rsidRPr="00092ED7" w:rsidRDefault="00247CBF" w:rsidP="00247CBF">
            <w:pPr>
              <w:spacing w:after="0"/>
              <w:jc w:val="center"/>
              <w:rPr>
                <w:rFonts w:eastAsia="Times New Roman" w:cs="Times New Roman"/>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4A24678A" w14:textId="77777777" w:rsidR="00247CBF" w:rsidRPr="00092ED7" w:rsidRDefault="00247CBF" w:rsidP="00247CBF">
            <w:pPr>
              <w:spacing w:after="0"/>
              <w:jc w:val="center"/>
              <w:rPr>
                <w:rFonts w:eastAsia="Times New Roman" w:cs="Times New Roman"/>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71A50819" w14:textId="77777777" w:rsidR="00247CBF" w:rsidRPr="00092ED7" w:rsidRDefault="00247CBF" w:rsidP="00247CBF">
            <w:pPr>
              <w:spacing w:after="0"/>
              <w:jc w:val="center"/>
              <w:rPr>
                <w:rFonts w:eastAsia="Times New Roman" w:cs="Times New Roman"/>
                <w:sz w:val="20"/>
                <w:szCs w:val="20"/>
                <w:lang w:val="sr-Cyrl-CS"/>
              </w:rPr>
            </w:pPr>
            <w:r w:rsidRPr="00092ED7">
              <w:rPr>
                <w:rFonts w:cs="Times New Roman"/>
                <w:sz w:val="20"/>
                <w:szCs w:val="20"/>
                <w:lang w:val="sr-Cyrl-CS"/>
              </w:rPr>
              <w:t>:</w:t>
            </w:r>
          </w:p>
        </w:tc>
        <w:tc>
          <w:tcPr>
            <w:tcW w:w="340" w:type="pct"/>
            <w:gridSpan w:val="2"/>
            <w:tcBorders>
              <w:top w:val="nil"/>
              <w:left w:val="nil"/>
              <w:bottom w:val="dotted" w:sz="4" w:space="0" w:color="auto"/>
              <w:right w:val="double" w:sz="6" w:space="0" w:color="auto"/>
            </w:tcBorders>
            <w:shd w:val="clear" w:color="auto" w:fill="auto"/>
            <w:vAlign w:val="bottom"/>
            <w:hideMark/>
          </w:tcPr>
          <w:p w14:paraId="6334A7A8" w14:textId="77777777" w:rsidR="00247CBF" w:rsidRPr="00092ED7" w:rsidRDefault="00247CBF" w:rsidP="00247CBF">
            <w:pPr>
              <w:spacing w:after="0"/>
              <w:jc w:val="center"/>
              <w:rPr>
                <w:rFonts w:eastAsia="Times New Roman" w:cs="Times New Roman"/>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7610CC8B"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26EC2B02"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468E1931"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Курс УСД/ЕУР</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546934F5"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bottom"/>
            <w:hideMark/>
          </w:tcPr>
          <w:p w14:paraId="632171C5" w14:textId="77777777" w:rsidR="00247CBF" w:rsidRPr="00092ED7" w:rsidRDefault="00247CBF" w:rsidP="00247CBF">
            <w:pPr>
              <w:spacing w:after="0"/>
              <w:jc w:val="center"/>
              <w:rPr>
                <w:rFonts w:eastAsia="Times New Roman" w:cs="Times New Roman"/>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15167972" w14:textId="77777777" w:rsidR="00247CBF" w:rsidRPr="00092ED7" w:rsidRDefault="00247CBF" w:rsidP="00247CBF">
            <w:pPr>
              <w:spacing w:after="0"/>
              <w:jc w:val="center"/>
              <w:rPr>
                <w:rFonts w:eastAsia="Times New Roman" w:cs="Times New Roman"/>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1A3DCCF4" w14:textId="77777777" w:rsidR="00247CBF" w:rsidRPr="00092ED7" w:rsidRDefault="00247CBF" w:rsidP="00247CBF">
            <w:pPr>
              <w:spacing w:after="0"/>
              <w:jc w:val="center"/>
              <w:rPr>
                <w:rFonts w:eastAsia="Times New Roman" w:cs="Times New Roman"/>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4FEC6B81" w14:textId="77777777" w:rsidR="00247CBF" w:rsidRPr="00092ED7" w:rsidRDefault="00247CBF" w:rsidP="00247CBF">
            <w:pPr>
              <w:spacing w:after="0"/>
              <w:jc w:val="center"/>
              <w:rPr>
                <w:rFonts w:eastAsia="Times New Roman" w:cs="Times New Roman"/>
                <w:sz w:val="20"/>
                <w:szCs w:val="20"/>
                <w:lang w:val="sr-Cyrl-CS"/>
              </w:rPr>
            </w:pPr>
            <w:r w:rsidRPr="00092ED7">
              <w:rPr>
                <w:rFonts w:cs="Times New Roman"/>
                <w:sz w:val="20"/>
                <w:szCs w:val="20"/>
                <w:lang w:val="sr-Cyrl-CS"/>
              </w:rPr>
              <w:t>:</w:t>
            </w:r>
          </w:p>
        </w:tc>
        <w:tc>
          <w:tcPr>
            <w:tcW w:w="340" w:type="pct"/>
            <w:gridSpan w:val="2"/>
            <w:tcBorders>
              <w:top w:val="nil"/>
              <w:left w:val="nil"/>
              <w:bottom w:val="dotted" w:sz="4" w:space="0" w:color="auto"/>
              <w:right w:val="double" w:sz="6" w:space="0" w:color="auto"/>
            </w:tcBorders>
            <w:shd w:val="clear" w:color="auto" w:fill="auto"/>
            <w:vAlign w:val="bottom"/>
            <w:hideMark/>
          </w:tcPr>
          <w:p w14:paraId="3BE51CEA" w14:textId="77777777" w:rsidR="00247CBF" w:rsidRPr="00092ED7" w:rsidRDefault="00247CBF" w:rsidP="00247CBF">
            <w:pPr>
              <w:spacing w:after="0"/>
              <w:jc w:val="center"/>
              <w:rPr>
                <w:rFonts w:eastAsia="Times New Roman" w:cs="Times New Roman"/>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5F9309CF"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399925C6"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4D3AB94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Номинални ефективни девизни курс</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60E2B28E"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bottom"/>
            <w:hideMark/>
          </w:tcPr>
          <w:p w14:paraId="73E8E2A6"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484BFE2E"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2662F890"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3DE67B96"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40" w:type="pct"/>
            <w:gridSpan w:val="2"/>
            <w:tcBorders>
              <w:top w:val="nil"/>
              <w:left w:val="nil"/>
              <w:bottom w:val="dotted" w:sz="4" w:space="0" w:color="auto"/>
              <w:right w:val="double" w:sz="6" w:space="0" w:color="auto"/>
            </w:tcBorders>
            <w:shd w:val="clear" w:color="auto" w:fill="auto"/>
            <w:vAlign w:val="bottom"/>
            <w:hideMark/>
          </w:tcPr>
          <w:p w14:paraId="4E200A13"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3E2F59E9"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7E9C9962"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434AE682"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Курс у односу на ЕУР</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2B79F14E"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bottom"/>
            <w:hideMark/>
          </w:tcPr>
          <w:p w14:paraId="002AFC48"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0C1CF973"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4E9A7975"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17326D11"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40" w:type="pct"/>
            <w:gridSpan w:val="2"/>
            <w:tcBorders>
              <w:top w:val="nil"/>
              <w:left w:val="nil"/>
              <w:bottom w:val="dotted" w:sz="4" w:space="0" w:color="auto"/>
              <w:right w:val="double" w:sz="6" w:space="0" w:color="auto"/>
            </w:tcBorders>
            <w:shd w:val="clear" w:color="auto" w:fill="auto"/>
            <w:vAlign w:val="bottom"/>
            <w:hideMark/>
          </w:tcPr>
          <w:p w14:paraId="048EDB21"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77792C12"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77214C79"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58B545B4"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Раст светског БДП-а, без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3D3FE308"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bottom"/>
            <w:hideMark/>
          </w:tcPr>
          <w:p w14:paraId="56F57F2C"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231CAFF3"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1E96C583"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1923E9F7"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40" w:type="pct"/>
            <w:gridSpan w:val="2"/>
            <w:tcBorders>
              <w:top w:val="nil"/>
              <w:left w:val="nil"/>
              <w:bottom w:val="dotted" w:sz="4" w:space="0" w:color="auto"/>
              <w:right w:val="double" w:sz="6" w:space="0" w:color="auto"/>
            </w:tcBorders>
            <w:shd w:val="clear" w:color="auto" w:fill="auto"/>
            <w:vAlign w:val="bottom"/>
            <w:hideMark/>
          </w:tcPr>
          <w:p w14:paraId="11D36520"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75DB3F88"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3E03FFB0"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537FB8C3"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Раст БДП-а у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65E005F3"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bottom"/>
            <w:hideMark/>
          </w:tcPr>
          <w:p w14:paraId="5E5137CE"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6CD6D5B1"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08D0CACF"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4D012311"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40" w:type="pct"/>
            <w:gridSpan w:val="2"/>
            <w:tcBorders>
              <w:top w:val="nil"/>
              <w:left w:val="nil"/>
              <w:bottom w:val="dotted" w:sz="4" w:space="0" w:color="auto"/>
              <w:right w:val="double" w:sz="6" w:space="0" w:color="auto"/>
            </w:tcBorders>
            <w:shd w:val="clear" w:color="auto" w:fill="auto"/>
            <w:vAlign w:val="bottom"/>
            <w:hideMark/>
          </w:tcPr>
          <w:p w14:paraId="3FAB2209"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23458B76"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47521930"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3A74EA44"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Раст релевантних страних тржишта</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324BF8B0"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bottom"/>
            <w:hideMark/>
          </w:tcPr>
          <w:p w14:paraId="27904471"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649E67FC"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2C080C95"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4BD78865"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340" w:type="pct"/>
            <w:gridSpan w:val="2"/>
            <w:tcBorders>
              <w:top w:val="nil"/>
              <w:left w:val="nil"/>
              <w:bottom w:val="dotted" w:sz="4" w:space="0" w:color="auto"/>
              <w:right w:val="double" w:sz="6" w:space="0" w:color="auto"/>
            </w:tcBorders>
            <w:shd w:val="clear" w:color="auto" w:fill="auto"/>
            <w:vAlign w:val="bottom"/>
            <w:hideMark/>
          </w:tcPr>
          <w:p w14:paraId="2698637C"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3F2D48E4"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4D676A75"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339D0F6B"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Обим светског увоза, без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2B655291"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bottom"/>
            <w:hideMark/>
          </w:tcPr>
          <w:p w14:paraId="691D3E38"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21E8D75E"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7C9AEFA3"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5EE82CC9"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40" w:type="pct"/>
            <w:gridSpan w:val="2"/>
            <w:tcBorders>
              <w:top w:val="nil"/>
              <w:left w:val="nil"/>
              <w:bottom w:val="dotted" w:sz="4" w:space="0" w:color="auto"/>
              <w:right w:val="double" w:sz="6" w:space="0" w:color="auto"/>
            </w:tcBorders>
            <w:shd w:val="clear" w:color="auto" w:fill="auto"/>
            <w:vAlign w:val="bottom"/>
            <w:hideMark/>
          </w:tcPr>
          <w:p w14:paraId="0C0AFC81"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1C85A068"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472EB183" w14:textId="77777777" w:rsidTr="00247CBF">
        <w:trPr>
          <w:trHeight w:val="283"/>
        </w:trPr>
        <w:tc>
          <w:tcPr>
            <w:tcW w:w="2319" w:type="pct"/>
            <w:tcBorders>
              <w:top w:val="nil"/>
              <w:left w:val="double" w:sz="6" w:space="0" w:color="auto"/>
              <w:bottom w:val="double" w:sz="6" w:space="0" w:color="auto"/>
              <w:right w:val="nil"/>
            </w:tcBorders>
            <w:shd w:val="clear" w:color="auto" w:fill="auto"/>
            <w:vAlign w:val="center"/>
            <w:hideMark/>
          </w:tcPr>
          <w:p w14:paraId="136BD895"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Цене нафте (Брент, УСД/барел)</w:t>
            </w:r>
          </w:p>
        </w:tc>
        <w:tc>
          <w:tcPr>
            <w:tcW w:w="892" w:type="pct"/>
            <w:gridSpan w:val="2"/>
            <w:tcBorders>
              <w:top w:val="dotted" w:sz="4" w:space="0" w:color="auto"/>
              <w:left w:val="single" w:sz="4" w:space="0" w:color="auto"/>
              <w:bottom w:val="double" w:sz="6" w:space="0" w:color="auto"/>
              <w:right w:val="single" w:sz="8" w:space="0" w:color="000000"/>
            </w:tcBorders>
            <w:shd w:val="clear" w:color="auto" w:fill="auto"/>
            <w:vAlign w:val="center"/>
            <w:hideMark/>
          </w:tcPr>
          <w:p w14:paraId="2B6089F2"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uble" w:sz="6" w:space="0" w:color="auto"/>
              <w:right w:val="dotted" w:sz="4" w:space="0" w:color="auto"/>
            </w:tcBorders>
            <w:shd w:val="clear" w:color="auto" w:fill="auto"/>
            <w:vAlign w:val="bottom"/>
            <w:hideMark/>
          </w:tcPr>
          <w:p w14:paraId="3198DD22"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uble" w:sz="6" w:space="0" w:color="auto"/>
              <w:right w:val="dotted" w:sz="4" w:space="0" w:color="auto"/>
            </w:tcBorders>
            <w:shd w:val="clear" w:color="auto" w:fill="auto"/>
            <w:vAlign w:val="bottom"/>
            <w:hideMark/>
          </w:tcPr>
          <w:p w14:paraId="5068417C"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uble" w:sz="6" w:space="0" w:color="auto"/>
              <w:right w:val="dotted" w:sz="4" w:space="0" w:color="auto"/>
            </w:tcBorders>
            <w:shd w:val="clear" w:color="auto" w:fill="auto"/>
            <w:vAlign w:val="bottom"/>
            <w:hideMark/>
          </w:tcPr>
          <w:p w14:paraId="4AA50D9C"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uble" w:sz="6" w:space="0" w:color="auto"/>
              <w:right w:val="dotted" w:sz="4" w:space="0" w:color="auto"/>
            </w:tcBorders>
            <w:shd w:val="clear" w:color="auto" w:fill="auto"/>
            <w:vAlign w:val="bottom"/>
            <w:hideMark/>
          </w:tcPr>
          <w:p w14:paraId="3907F22A"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40" w:type="pct"/>
            <w:gridSpan w:val="2"/>
            <w:tcBorders>
              <w:top w:val="nil"/>
              <w:left w:val="nil"/>
              <w:bottom w:val="double" w:sz="6" w:space="0" w:color="auto"/>
              <w:right w:val="double" w:sz="6" w:space="0" w:color="auto"/>
            </w:tcBorders>
            <w:shd w:val="clear" w:color="auto" w:fill="auto"/>
            <w:vAlign w:val="bottom"/>
            <w:hideMark/>
          </w:tcPr>
          <w:p w14:paraId="00E1FC98"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78A403B2"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054304F9" w14:textId="77777777" w:rsidTr="00247CBF">
        <w:trPr>
          <w:trHeight w:val="315"/>
        </w:trPr>
        <w:tc>
          <w:tcPr>
            <w:tcW w:w="2319" w:type="pct"/>
            <w:tcBorders>
              <w:top w:val="nil"/>
              <w:left w:val="nil"/>
              <w:bottom w:val="nil"/>
              <w:right w:val="nil"/>
            </w:tcBorders>
            <w:shd w:val="clear" w:color="auto" w:fill="auto"/>
            <w:noWrap/>
            <w:vAlign w:val="center"/>
            <w:hideMark/>
          </w:tcPr>
          <w:p w14:paraId="655CB88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Уколико је потребно, само техничка претпоставка.</w:t>
            </w:r>
          </w:p>
        </w:tc>
        <w:tc>
          <w:tcPr>
            <w:tcW w:w="551" w:type="pct"/>
            <w:tcBorders>
              <w:top w:val="nil"/>
              <w:left w:val="nil"/>
              <w:bottom w:val="nil"/>
              <w:right w:val="nil"/>
            </w:tcBorders>
            <w:shd w:val="clear" w:color="auto" w:fill="auto"/>
            <w:noWrap/>
            <w:vAlign w:val="bottom"/>
            <w:hideMark/>
          </w:tcPr>
          <w:p w14:paraId="3120910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41" w:type="pct"/>
            <w:tcBorders>
              <w:top w:val="nil"/>
              <w:left w:val="nil"/>
              <w:bottom w:val="nil"/>
              <w:right w:val="nil"/>
            </w:tcBorders>
            <w:shd w:val="clear" w:color="auto" w:fill="auto"/>
            <w:noWrap/>
            <w:vAlign w:val="bottom"/>
            <w:hideMark/>
          </w:tcPr>
          <w:p w14:paraId="4969706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41" w:type="pct"/>
            <w:gridSpan w:val="2"/>
            <w:tcBorders>
              <w:top w:val="nil"/>
              <w:left w:val="nil"/>
              <w:bottom w:val="nil"/>
              <w:right w:val="nil"/>
            </w:tcBorders>
            <w:shd w:val="clear" w:color="auto" w:fill="auto"/>
            <w:noWrap/>
            <w:vAlign w:val="bottom"/>
            <w:hideMark/>
          </w:tcPr>
          <w:p w14:paraId="6D0AAAC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49" w:type="pct"/>
            <w:gridSpan w:val="2"/>
            <w:tcBorders>
              <w:top w:val="nil"/>
              <w:left w:val="nil"/>
              <w:bottom w:val="nil"/>
              <w:right w:val="nil"/>
            </w:tcBorders>
            <w:shd w:val="clear" w:color="auto" w:fill="auto"/>
            <w:noWrap/>
            <w:vAlign w:val="bottom"/>
            <w:hideMark/>
          </w:tcPr>
          <w:p w14:paraId="4D45D84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35" w:type="pct"/>
            <w:gridSpan w:val="2"/>
            <w:tcBorders>
              <w:top w:val="nil"/>
              <w:left w:val="nil"/>
              <w:bottom w:val="nil"/>
              <w:right w:val="nil"/>
            </w:tcBorders>
            <w:shd w:val="clear" w:color="auto" w:fill="auto"/>
            <w:noWrap/>
            <w:vAlign w:val="bottom"/>
            <w:hideMark/>
          </w:tcPr>
          <w:p w14:paraId="0B86E2C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33" w:type="pct"/>
            <w:gridSpan w:val="2"/>
            <w:tcBorders>
              <w:top w:val="nil"/>
              <w:left w:val="nil"/>
              <w:bottom w:val="nil"/>
              <w:right w:val="nil"/>
            </w:tcBorders>
            <w:shd w:val="clear" w:color="auto" w:fill="auto"/>
            <w:noWrap/>
            <w:vAlign w:val="bottom"/>
            <w:hideMark/>
          </w:tcPr>
          <w:p w14:paraId="50B5BA1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34" w:type="pct"/>
            <w:tcBorders>
              <w:top w:val="nil"/>
              <w:left w:val="nil"/>
              <w:bottom w:val="nil"/>
              <w:right w:val="nil"/>
            </w:tcBorders>
            <w:shd w:val="clear" w:color="auto" w:fill="auto"/>
            <w:noWrap/>
            <w:vAlign w:val="bottom"/>
            <w:hideMark/>
          </w:tcPr>
          <w:p w14:paraId="66B1C69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97" w:type="pct"/>
            <w:tcBorders>
              <w:top w:val="nil"/>
              <w:left w:val="nil"/>
              <w:bottom w:val="nil"/>
              <w:right w:val="nil"/>
            </w:tcBorders>
            <w:shd w:val="clear" w:color="auto" w:fill="auto"/>
            <w:noWrap/>
            <w:vAlign w:val="center"/>
            <w:hideMark/>
          </w:tcPr>
          <w:p w14:paraId="4D1DA4AB"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 </w:t>
            </w:r>
          </w:p>
        </w:tc>
      </w:tr>
    </w:tbl>
    <w:p w14:paraId="7722778E" w14:textId="77777777" w:rsidR="00247CBF" w:rsidRPr="00092ED7" w:rsidRDefault="00247CBF" w:rsidP="00247CBF">
      <w:pPr>
        <w:spacing w:after="160" w:line="259" w:lineRule="auto"/>
        <w:rPr>
          <w:rFonts w:cs="Times New Roman"/>
          <w:b/>
          <w:lang w:val="sr-Cyrl-CS"/>
        </w:rPr>
        <w:sectPr w:rsidR="00247CBF" w:rsidRPr="00092ED7" w:rsidSect="00247CBF">
          <w:footerReference w:type="default" r:id="rId58"/>
          <w:pgSz w:w="16838" w:h="11906" w:orient="landscape" w:code="9"/>
          <w:pgMar w:top="1134" w:right="1134" w:bottom="1134" w:left="1134" w:header="720" w:footer="720" w:gutter="0"/>
          <w:cols w:space="720"/>
          <w:titlePg/>
          <w:docGrid w:linePitch="360"/>
        </w:sectPr>
      </w:pPr>
      <w:r w:rsidRPr="00092ED7">
        <w:rPr>
          <w:rFonts w:cs="Times New Roman"/>
          <w:b/>
          <w:lang w:val="sr-Cyrl-CS"/>
        </w:rPr>
        <w:br w:type="page"/>
      </w:r>
    </w:p>
    <w:p w14:paraId="00517E26" w14:textId="77777777" w:rsidR="00B11AE5" w:rsidRPr="00092ED7" w:rsidRDefault="00EA4E6A" w:rsidP="00EA4E6A">
      <w:pPr>
        <w:pStyle w:val="Heading3"/>
        <w:spacing w:before="0" w:after="120"/>
        <w:rPr>
          <w:rFonts w:cs="Times New Roman"/>
          <w:b/>
          <w:lang w:val="sr-Cyrl-CS"/>
        </w:rPr>
      </w:pPr>
      <w:bookmarkStart w:id="171" w:name="_Toc124174837"/>
      <w:bookmarkStart w:id="172" w:name="_Toc126218655"/>
      <w:r w:rsidRPr="00092ED7">
        <w:rPr>
          <w:rFonts w:ascii="Times New Roman" w:hAnsi="Times New Roman" w:cs="Times New Roman"/>
          <w:b/>
          <w:lang w:val="sr-Cyrl-CS"/>
        </w:rPr>
        <w:t>Табела 9 а: Социјални индикатори</w:t>
      </w:r>
      <w:bookmarkEnd w:id="171"/>
      <w:bookmarkEnd w:id="172"/>
    </w:p>
    <w:tbl>
      <w:tblPr>
        <w:tblW w:w="9493" w:type="dxa"/>
        <w:tblLook w:val="04A0" w:firstRow="1" w:lastRow="0" w:firstColumn="1" w:lastColumn="0" w:noHBand="0" w:noVBand="1"/>
      </w:tblPr>
      <w:tblGrid>
        <w:gridCol w:w="4670"/>
        <w:gridCol w:w="1261"/>
        <w:gridCol w:w="727"/>
        <w:gridCol w:w="708"/>
        <w:gridCol w:w="709"/>
        <w:gridCol w:w="709"/>
        <w:gridCol w:w="709"/>
      </w:tblGrid>
      <w:tr w:rsidR="00EA4E6A" w:rsidRPr="00092ED7" w14:paraId="0DBD495E" w14:textId="77777777" w:rsidTr="00053B2B">
        <w:trPr>
          <w:trHeight w:val="63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11926"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r w:rsidRPr="00092ED7">
              <w:rPr>
                <w:rFonts w:eastAsia="Times New Roman" w:cs="Times New Roman"/>
                <w:color w:val="000000"/>
                <w:sz w:val="20"/>
                <w:szCs w:val="20"/>
                <w:lang w:val="sr-Cyrl-CS" w:eastAsia="sr-Latn-RS"/>
              </w:rPr>
              <w:t> </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150E9A21" w14:textId="77777777" w:rsidR="00EA4E6A" w:rsidRPr="00092ED7" w:rsidRDefault="00EA4E6A" w:rsidP="00EA4E6A">
            <w:pPr>
              <w:spacing w:after="0"/>
              <w:ind w:firstLineChars="100" w:firstLine="20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Извор података</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6C3BA540" w14:textId="77777777" w:rsidR="00EA4E6A" w:rsidRPr="00092ED7" w:rsidRDefault="00EA4E6A" w:rsidP="00EA4E6A">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2018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73F6A1B" w14:textId="77777777" w:rsidR="00EA4E6A" w:rsidRPr="00092ED7" w:rsidRDefault="00EA4E6A" w:rsidP="00EA4E6A">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2019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6D67056" w14:textId="77777777" w:rsidR="00EA4E6A" w:rsidRPr="00092ED7" w:rsidRDefault="00EA4E6A" w:rsidP="00EA4E6A">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BA08DF9" w14:textId="77777777" w:rsidR="00EA4E6A" w:rsidRPr="00092ED7" w:rsidRDefault="00EA4E6A" w:rsidP="00EA4E6A">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2021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9737786" w14:textId="77777777" w:rsidR="00EA4E6A" w:rsidRPr="00092ED7" w:rsidRDefault="00EA4E6A" w:rsidP="00EA4E6A">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2022</w:t>
            </w:r>
          </w:p>
        </w:tc>
      </w:tr>
      <w:tr w:rsidR="00EA4E6A" w:rsidRPr="00092ED7" w14:paraId="30217084"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1B44E07" w14:textId="77777777" w:rsidR="00EA4E6A" w:rsidRPr="00092ED7" w:rsidRDefault="00EA4E6A" w:rsidP="008219D5">
            <w:pPr>
              <w:spacing w:after="0"/>
              <w:ind w:left="601"/>
              <w:jc w:val="left"/>
              <w:rPr>
                <w:rFonts w:eastAsia="Times New Roman" w:cs="Times New Roman"/>
                <w:b/>
                <w:i/>
                <w:iCs/>
                <w:color w:val="000000"/>
                <w:sz w:val="20"/>
                <w:szCs w:val="20"/>
                <w:lang w:val="sr-Cyrl-CS" w:eastAsia="sr-Latn-RS"/>
              </w:rPr>
            </w:pPr>
            <w:r w:rsidRPr="00092ED7">
              <w:rPr>
                <w:rFonts w:eastAsia="Times New Roman" w:cs="Times New Roman"/>
                <w:b/>
                <w:i/>
                <w:iCs/>
                <w:color w:val="000000"/>
                <w:sz w:val="20"/>
                <w:szCs w:val="20"/>
                <w:lang w:val="sr-Cyrl-CS" w:eastAsia="sr-Latn-RS"/>
              </w:rPr>
              <w:t>Једнаке шансе</w:t>
            </w:r>
          </w:p>
        </w:tc>
        <w:tc>
          <w:tcPr>
            <w:tcW w:w="1258" w:type="dxa"/>
            <w:tcBorders>
              <w:top w:val="nil"/>
              <w:left w:val="nil"/>
              <w:bottom w:val="single" w:sz="4" w:space="0" w:color="auto"/>
              <w:right w:val="single" w:sz="4" w:space="0" w:color="auto"/>
            </w:tcBorders>
            <w:shd w:val="clear" w:color="auto" w:fill="auto"/>
            <w:vAlign w:val="center"/>
            <w:hideMark/>
          </w:tcPr>
          <w:p w14:paraId="6D2222D4"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p>
        </w:tc>
        <w:tc>
          <w:tcPr>
            <w:tcW w:w="727" w:type="dxa"/>
            <w:tcBorders>
              <w:top w:val="nil"/>
              <w:left w:val="nil"/>
              <w:bottom w:val="single" w:sz="4" w:space="0" w:color="auto"/>
              <w:right w:val="single" w:sz="4" w:space="0" w:color="auto"/>
            </w:tcBorders>
            <w:shd w:val="clear" w:color="auto" w:fill="auto"/>
            <w:vAlign w:val="center"/>
            <w:hideMark/>
          </w:tcPr>
          <w:p w14:paraId="519F195F"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p>
        </w:tc>
        <w:tc>
          <w:tcPr>
            <w:tcW w:w="708" w:type="dxa"/>
            <w:tcBorders>
              <w:top w:val="nil"/>
              <w:left w:val="nil"/>
              <w:bottom w:val="single" w:sz="4" w:space="0" w:color="auto"/>
              <w:right w:val="single" w:sz="4" w:space="0" w:color="auto"/>
            </w:tcBorders>
            <w:shd w:val="clear" w:color="auto" w:fill="auto"/>
            <w:vAlign w:val="center"/>
            <w:hideMark/>
          </w:tcPr>
          <w:p w14:paraId="5F9D432D"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2F27043E"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06DA91C6"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0A1704D7"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p>
        </w:tc>
      </w:tr>
      <w:tr w:rsidR="00EA4E6A" w:rsidRPr="00092ED7" w14:paraId="237D7771"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DE64B94"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1. Учешће одраслих у учењу током последњих 12 месеци, </w:t>
            </w:r>
            <w:r w:rsidRPr="00092ED7">
              <w:rPr>
                <w:rFonts w:eastAsia="Times New Roman" w:cs="Times New Roman"/>
                <w:bCs/>
                <w:color w:val="000000"/>
                <w:sz w:val="20"/>
                <w:szCs w:val="20"/>
                <w:lang w:val="sr-Cyrl-CS" w:eastAsia="sr-Latn-RS"/>
              </w:rPr>
              <w:t>25-64 год.</w:t>
            </w:r>
          </w:p>
        </w:tc>
        <w:tc>
          <w:tcPr>
            <w:tcW w:w="1258" w:type="dxa"/>
            <w:tcBorders>
              <w:top w:val="nil"/>
              <w:left w:val="nil"/>
              <w:bottom w:val="single" w:sz="4" w:space="0" w:color="auto"/>
              <w:right w:val="single" w:sz="4" w:space="0" w:color="auto"/>
            </w:tcBorders>
            <w:shd w:val="clear" w:color="auto" w:fill="auto"/>
            <w:vAlign w:val="center"/>
            <w:hideMark/>
          </w:tcPr>
          <w:p w14:paraId="56EE1527" w14:textId="033ADBCF"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06AE4F57"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4,1</w:t>
            </w:r>
          </w:p>
        </w:tc>
        <w:tc>
          <w:tcPr>
            <w:tcW w:w="708" w:type="dxa"/>
            <w:tcBorders>
              <w:top w:val="nil"/>
              <w:left w:val="nil"/>
              <w:bottom w:val="single" w:sz="4" w:space="0" w:color="auto"/>
              <w:right w:val="single" w:sz="4" w:space="0" w:color="auto"/>
            </w:tcBorders>
            <w:shd w:val="clear" w:color="auto" w:fill="auto"/>
            <w:vAlign w:val="center"/>
            <w:hideMark/>
          </w:tcPr>
          <w:p w14:paraId="68266BBC"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4,3</w:t>
            </w:r>
          </w:p>
        </w:tc>
        <w:tc>
          <w:tcPr>
            <w:tcW w:w="709" w:type="dxa"/>
            <w:tcBorders>
              <w:top w:val="nil"/>
              <w:left w:val="nil"/>
              <w:bottom w:val="single" w:sz="4" w:space="0" w:color="auto"/>
              <w:right w:val="single" w:sz="4" w:space="0" w:color="auto"/>
            </w:tcBorders>
            <w:shd w:val="clear" w:color="auto" w:fill="auto"/>
            <w:vAlign w:val="center"/>
            <w:hideMark/>
          </w:tcPr>
          <w:p w14:paraId="24FFEECE"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3,7</w:t>
            </w:r>
          </w:p>
        </w:tc>
        <w:tc>
          <w:tcPr>
            <w:tcW w:w="709" w:type="dxa"/>
            <w:tcBorders>
              <w:top w:val="nil"/>
              <w:left w:val="nil"/>
              <w:bottom w:val="single" w:sz="4" w:space="0" w:color="auto"/>
              <w:right w:val="single" w:sz="4" w:space="0" w:color="auto"/>
            </w:tcBorders>
            <w:shd w:val="clear" w:color="auto" w:fill="auto"/>
            <w:vAlign w:val="center"/>
            <w:hideMark/>
          </w:tcPr>
          <w:p w14:paraId="097910B5"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4,8</w:t>
            </w:r>
          </w:p>
        </w:tc>
        <w:tc>
          <w:tcPr>
            <w:tcW w:w="709" w:type="dxa"/>
            <w:tcBorders>
              <w:top w:val="nil"/>
              <w:left w:val="nil"/>
              <w:bottom w:val="single" w:sz="4" w:space="0" w:color="auto"/>
              <w:right w:val="single" w:sz="4" w:space="0" w:color="auto"/>
            </w:tcBorders>
            <w:shd w:val="clear" w:color="auto" w:fill="auto"/>
            <w:vAlign w:val="center"/>
            <w:hideMark/>
          </w:tcPr>
          <w:p w14:paraId="0482A841"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68229456" w14:textId="77777777" w:rsidTr="00053B2B">
        <w:trPr>
          <w:trHeight w:val="52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F5BFBE0"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2. Удео особа које су прерано напустиле образовање и обуку, узраста </w:t>
            </w:r>
            <w:r w:rsidRPr="00092ED7">
              <w:rPr>
                <w:rFonts w:eastAsia="Times New Roman" w:cs="Times New Roman"/>
                <w:bCs/>
                <w:color w:val="000000"/>
                <w:sz w:val="20"/>
                <w:szCs w:val="20"/>
                <w:lang w:val="sr-Cyrl-CS" w:eastAsia="sr-Latn-RS"/>
              </w:rPr>
              <w:t>18-24 год.</w:t>
            </w:r>
          </w:p>
        </w:tc>
        <w:tc>
          <w:tcPr>
            <w:tcW w:w="1258" w:type="dxa"/>
            <w:tcBorders>
              <w:top w:val="nil"/>
              <w:left w:val="nil"/>
              <w:bottom w:val="single" w:sz="4" w:space="0" w:color="auto"/>
              <w:right w:val="single" w:sz="4" w:space="0" w:color="auto"/>
            </w:tcBorders>
            <w:shd w:val="clear" w:color="auto" w:fill="auto"/>
            <w:vAlign w:val="center"/>
            <w:hideMark/>
          </w:tcPr>
          <w:p w14:paraId="26DA8157" w14:textId="040F3B2A"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27A0AC97"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6,8</w:t>
            </w:r>
          </w:p>
        </w:tc>
        <w:tc>
          <w:tcPr>
            <w:tcW w:w="708" w:type="dxa"/>
            <w:tcBorders>
              <w:top w:val="nil"/>
              <w:left w:val="nil"/>
              <w:bottom w:val="single" w:sz="4" w:space="0" w:color="auto"/>
              <w:right w:val="single" w:sz="4" w:space="0" w:color="auto"/>
            </w:tcBorders>
            <w:shd w:val="clear" w:color="auto" w:fill="auto"/>
            <w:vAlign w:val="center"/>
            <w:hideMark/>
          </w:tcPr>
          <w:p w14:paraId="5A09E95B"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6,6</w:t>
            </w:r>
          </w:p>
        </w:tc>
        <w:tc>
          <w:tcPr>
            <w:tcW w:w="709" w:type="dxa"/>
            <w:tcBorders>
              <w:top w:val="nil"/>
              <w:left w:val="nil"/>
              <w:bottom w:val="single" w:sz="4" w:space="0" w:color="auto"/>
              <w:right w:val="single" w:sz="4" w:space="0" w:color="auto"/>
            </w:tcBorders>
            <w:shd w:val="clear" w:color="auto" w:fill="auto"/>
            <w:vAlign w:val="center"/>
            <w:hideMark/>
          </w:tcPr>
          <w:p w14:paraId="494A335B"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5,6</w:t>
            </w:r>
          </w:p>
        </w:tc>
        <w:tc>
          <w:tcPr>
            <w:tcW w:w="709" w:type="dxa"/>
            <w:tcBorders>
              <w:top w:val="nil"/>
              <w:left w:val="nil"/>
              <w:bottom w:val="single" w:sz="4" w:space="0" w:color="auto"/>
              <w:right w:val="single" w:sz="4" w:space="0" w:color="auto"/>
            </w:tcBorders>
            <w:shd w:val="clear" w:color="auto" w:fill="auto"/>
            <w:vAlign w:val="center"/>
            <w:hideMark/>
          </w:tcPr>
          <w:p w14:paraId="3EA10818"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6,3</w:t>
            </w:r>
          </w:p>
        </w:tc>
        <w:tc>
          <w:tcPr>
            <w:tcW w:w="709" w:type="dxa"/>
            <w:tcBorders>
              <w:top w:val="nil"/>
              <w:left w:val="nil"/>
              <w:bottom w:val="single" w:sz="4" w:space="0" w:color="auto"/>
              <w:right w:val="single" w:sz="4" w:space="0" w:color="auto"/>
            </w:tcBorders>
            <w:shd w:val="clear" w:color="auto" w:fill="auto"/>
            <w:vAlign w:val="center"/>
            <w:hideMark/>
          </w:tcPr>
          <w:p w14:paraId="42C058FC"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41BAAD75" w14:textId="77777777" w:rsidTr="00053B2B">
        <w:trPr>
          <w:trHeight w:val="52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1A18A73"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3. Удео становништва са основним укупним дигитални</w:t>
            </w:r>
            <w:r w:rsidR="008219D5" w:rsidRPr="00092ED7">
              <w:rPr>
                <w:rFonts w:eastAsia="Times New Roman" w:cs="Times New Roman"/>
                <w:color w:val="000000"/>
                <w:sz w:val="20"/>
                <w:szCs w:val="20"/>
                <w:lang w:val="sr-Cyrl-CS" w:eastAsia="sr-Latn-RS"/>
              </w:rPr>
              <w:t xml:space="preserve">м </w:t>
            </w:r>
            <w:r w:rsidRPr="00092ED7">
              <w:rPr>
                <w:rFonts w:eastAsia="Times New Roman" w:cs="Times New Roman"/>
                <w:color w:val="000000"/>
                <w:sz w:val="20"/>
                <w:szCs w:val="20"/>
                <w:lang w:val="sr-Cyrl-CS" w:eastAsia="sr-Latn-RS"/>
              </w:rPr>
              <w:t xml:space="preserve">вештинама или вишим, старости </w:t>
            </w:r>
            <w:r w:rsidRPr="00092ED7">
              <w:rPr>
                <w:rFonts w:eastAsia="Times New Roman" w:cs="Times New Roman"/>
                <w:bCs/>
                <w:color w:val="000000"/>
                <w:sz w:val="20"/>
                <w:szCs w:val="20"/>
                <w:lang w:val="sr-Cyrl-CS" w:eastAsia="sr-Latn-RS"/>
              </w:rPr>
              <w:t>16-74 год.</w:t>
            </w:r>
          </w:p>
        </w:tc>
        <w:tc>
          <w:tcPr>
            <w:tcW w:w="1258" w:type="dxa"/>
            <w:tcBorders>
              <w:top w:val="nil"/>
              <w:left w:val="nil"/>
              <w:bottom w:val="single" w:sz="4" w:space="0" w:color="auto"/>
              <w:right w:val="single" w:sz="4" w:space="0" w:color="auto"/>
            </w:tcBorders>
            <w:shd w:val="clear" w:color="auto" w:fill="auto"/>
            <w:vAlign w:val="center"/>
            <w:hideMark/>
          </w:tcPr>
          <w:p w14:paraId="7D492422" w14:textId="575D7F1E"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79FC1BB1"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708" w:type="dxa"/>
            <w:tcBorders>
              <w:top w:val="nil"/>
              <w:left w:val="nil"/>
              <w:bottom w:val="single" w:sz="4" w:space="0" w:color="auto"/>
              <w:right w:val="single" w:sz="4" w:space="0" w:color="auto"/>
            </w:tcBorders>
            <w:shd w:val="clear" w:color="auto" w:fill="auto"/>
            <w:vAlign w:val="center"/>
            <w:hideMark/>
          </w:tcPr>
          <w:p w14:paraId="57BF5281"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46</w:t>
            </w:r>
          </w:p>
        </w:tc>
        <w:tc>
          <w:tcPr>
            <w:tcW w:w="709" w:type="dxa"/>
            <w:tcBorders>
              <w:top w:val="nil"/>
              <w:left w:val="nil"/>
              <w:bottom w:val="single" w:sz="4" w:space="0" w:color="auto"/>
              <w:right w:val="single" w:sz="4" w:space="0" w:color="auto"/>
            </w:tcBorders>
            <w:shd w:val="clear" w:color="auto" w:fill="auto"/>
            <w:vAlign w:val="center"/>
            <w:hideMark/>
          </w:tcPr>
          <w:p w14:paraId="61CD0CC8"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12704068"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41</w:t>
            </w:r>
          </w:p>
        </w:tc>
        <w:tc>
          <w:tcPr>
            <w:tcW w:w="709" w:type="dxa"/>
            <w:tcBorders>
              <w:top w:val="nil"/>
              <w:left w:val="nil"/>
              <w:bottom w:val="single" w:sz="4" w:space="0" w:color="auto"/>
              <w:right w:val="single" w:sz="4" w:space="0" w:color="auto"/>
            </w:tcBorders>
            <w:shd w:val="clear" w:color="auto" w:fill="auto"/>
            <w:vAlign w:val="center"/>
            <w:hideMark/>
          </w:tcPr>
          <w:p w14:paraId="776390E6"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6CC1D9C3" w14:textId="77777777" w:rsidTr="00053B2B">
        <w:trPr>
          <w:trHeight w:val="52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19D3C8B"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4. Млади који нису запослени и нису укључени у образовање или обуку (NEET), у %  </w:t>
            </w:r>
            <w:r w:rsidRPr="00092ED7">
              <w:rPr>
                <w:rFonts w:eastAsia="Times New Roman" w:cs="Times New Roman"/>
                <w:bCs/>
                <w:color w:val="000000"/>
                <w:sz w:val="20"/>
                <w:szCs w:val="20"/>
                <w:lang w:val="sr-Cyrl-CS" w:eastAsia="sr-Latn-RS"/>
              </w:rPr>
              <w:t>15-29 год.</w:t>
            </w:r>
          </w:p>
        </w:tc>
        <w:tc>
          <w:tcPr>
            <w:tcW w:w="1258" w:type="dxa"/>
            <w:tcBorders>
              <w:top w:val="nil"/>
              <w:left w:val="nil"/>
              <w:bottom w:val="single" w:sz="4" w:space="0" w:color="auto"/>
              <w:right w:val="single" w:sz="4" w:space="0" w:color="auto"/>
            </w:tcBorders>
            <w:shd w:val="clear" w:color="auto" w:fill="auto"/>
            <w:vAlign w:val="center"/>
            <w:hideMark/>
          </w:tcPr>
          <w:p w14:paraId="78286E91" w14:textId="38E28FF6"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4226BB38"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20,4</w:t>
            </w:r>
          </w:p>
        </w:tc>
        <w:tc>
          <w:tcPr>
            <w:tcW w:w="708" w:type="dxa"/>
            <w:tcBorders>
              <w:top w:val="nil"/>
              <w:left w:val="nil"/>
              <w:bottom w:val="single" w:sz="4" w:space="0" w:color="auto"/>
              <w:right w:val="single" w:sz="4" w:space="0" w:color="auto"/>
            </w:tcBorders>
            <w:shd w:val="clear" w:color="auto" w:fill="auto"/>
            <w:vAlign w:val="center"/>
            <w:hideMark/>
          </w:tcPr>
          <w:p w14:paraId="62E927A3"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19,3</w:t>
            </w:r>
          </w:p>
        </w:tc>
        <w:tc>
          <w:tcPr>
            <w:tcW w:w="709" w:type="dxa"/>
            <w:tcBorders>
              <w:top w:val="nil"/>
              <w:left w:val="nil"/>
              <w:bottom w:val="single" w:sz="4" w:space="0" w:color="auto"/>
              <w:right w:val="single" w:sz="4" w:space="0" w:color="auto"/>
            </w:tcBorders>
            <w:shd w:val="clear" w:color="auto" w:fill="auto"/>
            <w:vAlign w:val="center"/>
            <w:hideMark/>
          </w:tcPr>
          <w:p w14:paraId="25A27F51"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20,3</w:t>
            </w:r>
          </w:p>
        </w:tc>
        <w:tc>
          <w:tcPr>
            <w:tcW w:w="709" w:type="dxa"/>
            <w:tcBorders>
              <w:top w:val="nil"/>
              <w:left w:val="nil"/>
              <w:bottom w:val="single" w:sz="4" w:space="0" w:color="auto"/>
              <w:right w:val="single" w:sz="4" w:space="0" w:color="auto"/>
            </w:tcBorders>
            <w:shd w:val="clear" w:color="auto" w:fill="auto"/>
            <w:vAlign w:val="center"/>
            <w:hideMark/>
          </w:tcPr>
          <w:p w14:paraId="65FB1DDD"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18,8</w:t>
            </w:r>
          </w:p>
        </w:tc>
        <w:tc>
          <w:tcPr>
            <w:tcW w:w="709" w:type="dxa"/>
            <w:tcBorders>
              <w:top w:val="nil"/>
              <w:left w:val="nil"/>
              <w:bottom w:val="single" w:sz="4" w:space="0" w:color="auto"/>
              <w:right w:val="single" w:sz="4" w:space="0" w:color="auto"/>
            </w:tcBorders>
            <w:shd w:val="clear" w:color="auto" w:fill="auto"/>
            <w:vAlign w:val="center"/>
            <w:hideMark/>
          </w:tcPr>
          <w:p w14:paraId="6DB5A683" w14:textId="0A84A3BE"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15,</w:t>
            </w:r>
            <w:r w:rsidR="00AA3FDC" w:rsidRPr="00092ED7">
              <w:rPr>
                <w:rFonts w:eastAsia="Times New Roman" w:cs="Times New Roman"/>
                <w:sz w:val="20"/>
                <w:szCs w:val="20"/>
                <w:lang w:val="sr-Cyrl-CS" w:eastAsia="sr-Latn-RS"/>
              </w:rPr>
              <w:t>7</w:t>
            </w:r>
            <w:r w:rsidRPr="00092ED7">
              <w:rPr>
                <w:rFonts w:eastAsia="Times New Roman" w:cs="Times New Roman"/>
                <w:sz w:val="20"/>
                <w:szCs w:val="20"/>
                <w:lang w:val="sr-Cyrl-CS" w:eastAsia="sr-Latn-RS"/>
              </w:rPr>
              <w:t xml:space="preserve"> (Q</w:t>
            </w:r>
            <w:r w:rsidR="00AA3FDC" w:rsidRPr="00092ED7">
              <w:rPr>
                <w:rFonts w:eastAsia="Times New Roman" w:cs="Times New Roman"/>
                <w:sz w:val="20"/>
                <w:szCs w:val="20"/>
                <w:lang w:val="sr-Cyrl-CS" w:eastAsia="sr-Latn-RS"/>
              </w:rPr>
              <w:t>3</w:t>
            </w:r>
            <w:r w:rsidRPr="00092ED7">
              <w:rPr>
                <w:rFonts w:eastAsia="Times New Roman" w:cs="Times New Roman"/>
                <w:sz w:val="20"/>
                <w:szCs w:val="20"/>
                <w:lang w:val="sr-Cyrl-CS" w:eastAsia="sr-Latn-RS"/>
              </w:rPr>
              <w:t>)</w:t>
            </w:r>
          </w:p>
        </w:tc>
      </w:tr>
      <w:tr w:rsidR="00EA4E6A" w:rsidRPr="00092ED7" w14:paraId="345D5F9C"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3CBF683"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5. Родна разлика у стопи запослености, </w:t>
            </w:r>
            <w:r w:rsidRPr="00092ED7">
              <w:rPr>
                <w:rFonts w:eastAsia="Times New Roman" w:cs="Times New Roman"/>
                <w:bCs/>
                <w:color w:val="000000"/>
                <w:sz w:val="20"/>
                <w:szCs w:val="20"/>
                <w:lang w:val="sr-Cyrl-CS" w:eastAsia="sr-Latn-RS"/>
              </w:rPr>
              <w:t>20-64 године</w:t>
            </w:r>
          </w:p>
        </w:tc>
        <w:tc>
          <w:tcPr>
            <w:tcW w:w="1258" w:type="dxa"/>
            <w:tcBorders>
              <w:top w:val="nil"/>
              <w:left w:val="nil"/>
              <w:bottom w:val="single" w:sz="4" w:space="0" w:color="auto"/>
              <w:right w:val="single" w:sz="4" w:space="0" w:color="auto"/>
            </w:tcBorders>
            <w:shd w:val="clear" w:color="auto" w:fill="auto"/>
            <w:vAlign w:val="center"/>
            <w:hideMark/>
          </w:tcPr>
          <w:p w14:paraId="22BCF65A" w14:textId="66B99466"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4643B0B7"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15,4</w:t>
            </w:r>
          </w:p>
        </w:tc>
        <w:tc>
          <w:tcPr>
            <w:tcW w:w="708" w:type="dxa"/>
            <w:tcBorders>
              <w:top w:val="nil"/>
              <w:left w:val="nil"/>
              <w:bottom w:val="single" w:sz="4" w:space="0" w:color="auto"/>
              <w:right w:val="single" w:sz="4" w:space="0" w:color="auto"/>
            </w:tcBorders>
            <w:shd w:val="clear" w:color="auto" w:fill="auto"/>
            <w:vAlign w:val="center"/>
            <w:hideMark/>
          </w:tcPr>
          <w:p w14:paraId="2DDF240A"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14,6</w:t>
            </w:r>
          </w:p>
        </w:tc>
        <w:tc>
          <w:tcPr>
            <w:tcW w:w="709" w:type="dxa"/>
            <w:tcBorders>
              <w:top w:val="nil"/>
              <w:left w:val="nil"/>
              <w:bottom w:val="single" w:sz="4" w:space="0" w:color="auto"/>
              <w:right w:val="single" w:sz="4" w:space="0" w:color="auto"/>
            </w:tcBorders>
            <w:shd w:val="clear" w:color="auto" w:fill="auto"/>
            <w:vAlign w:val="center"/>
            <w:hideMark/>
          </w:tcPr>
          <w:p w14:paraId="64765904"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14,6</w:t>
            </w:r>
          </w:p>
        </w:tc>
        <w:tc>
          <w:tcPr>
            <w:tcW w:w="709" w:type="dxa"/>
            <w:tcBorders>
              <w:top w:val="nil"/>
              <w:left w:val="nil"/>
              <w:bottom w:val="single" w:sz="4" w:space="0" w:color="auto"/>
              <w:right w:val="single" w:sz="4" w:space="0" w:color="auto"/>
            </w:tcBorders>
            <w:shd w:val="clear" w:color="auto" w:fill="auto"/>
            <w:vAlign w:val="center"/>
            <w:hideMark/>
          </w:tcPr>
          <w:p w14:paraId="2B41CFF0"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14,9</w:t>
            </w:r>
          </w:p>
        </w:tc>
        <w:tc>
          <w:tcPr>
            <w:tcW w:w="709" w:type="dxa"/>
            <w:tcBorders>
              <w:top w:val="nil"/>
              <w:left w:val="nil"/>
              <w:bottom w:val="single" w:sz="4" w:space="0" w:color="auto"/>
              <w:right w:val="single" w:sz="4" w:space="0" w:color="auto"/>
            </w:tcBorders>
            <w:shd w:val="clear" w:color="auto" w:fill="auto"/>
            <w:vAlign w:val="center"/>
            <w:hideMark/>
          </w:tcPr>
          <w:p w14:paraId="16D2E9BB"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7C215C21"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D29B1BE"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6. Неједнакост расподеле дохотка C80/C20</w:t>
            </w:r>
          </w:p>
        </w:tc>
        <w:tc>
          <w:tcPr>
            <w:tcW w:w="1258" w:type="dxa"/>
            <w:tcBorders>
              <w:top w:val="nil"/>
              <w:left w:val="nil"/>
              <w:bottom w:val="single" w:sz="4" w:space="0" w:color="auto"/>
              <w:right w:val="single" w:sz="4" w:space="0" w:color="auto"/>
            </w:tcBorders>
            <w:shd w:val="clear" w:color="auto" w:fill="auto"/>
            <w:vAlign w:val="center"/>
            <w:hideMark/>
          </w:tcPr>
          <w:p w14:paraId="4394D091" w14:textId="787F0A8E"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3F121EF8"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8,58</w:t>
            </w:r>
          </w:p>
        </w:tc>
        <w:tc>
          <w:tcPr>
            <w:tcW w:w="708" w:type="dxa"/>
            <w:tcBorders>
              <w:top w:val="nil"/>
              <w:left w:val="nil"/>
              <w:bottom w:val="single" w:sz="4" w:space="0" w:color="auto"/>
              <w:right w:val="single" w:sz="4" w:space="0" w:color="auto"/>
            </w:tcBorders>
            <w:shd w:val="clear" w:color="auto" w:fill="auto"/>
            <w:vAlign w:val="center"/>
            <w:hideMark/>
          </w:tcPr>
          <w:p w14:paraId="353AF732"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6,46</w:t>
            </w:r>
          </w:p>
        </w:tc>
        <w:tc>
          <w:tcPr>
            <w:tcW w:w="709" w:type="dxa"/>
            <w:tcBorders>
              <w:top w:val="nil"/>
              <w:left w:val="nil"/>
              <w:bottom w:val="single" w:sz="4" w:space="0" w:color="auto"/>
              <w:right w:val="single" w:sz="4" w:space="0" w:color="auto"/>
            </w:tcBorders>
            <w:shd w:val="clear" w:color="auto" w:fill="auto"/>
            <w:vAlign w:val="center"/>
            <w:hideMark/>
          </w:tcPr>
          <w:p w14:paraId="322A109B"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6,06</w:t>
            </w:r>
          </w:p>
        </w:tc>
        <w:tc>
          <w:tcPr>
            <w:tcW w:w="709" w:type="dxa"/>
            <w:tcBorders>
              <w:top w:val="nil"/>
              <w:left w:val="nil"/>
              <w:bottom w:val="single" w:sz="4" w:space="0" w:color="auto"/>
              <w:right w:val="single" w:sz="4" w:space="0" w:color="auto"/>
            </w:tcBorders>
            <w:shd w:val="clear" w:color="auto" w:fill="auto"/>
            <w:vAlign w:val="center"/>
            <w:hideMark/>
          </w:tcPr>
          <w:p w14:paraId="12CBE32D" w14:textId="1D8A5437" w:rsidR="00EA4E6A" w:rsidRPr="00092ED7" w:rsidRDefault="00BE6584" w:rsidP="004E2954">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5,9</w:t>
            </w:r>
          </w:p>
        </w:tc>
        <w:tc>
          <w:tcPr>
            <w:tcW w:w="709" w:type="dxa"/>
            <w:tcBorders>
              <w:top w:val="nil"/>
              <w:left w:val="nil"/>
              <w:bottom w:val="single" w:sz="4" w:space="0" w:color="auto"/>
              <w:right w:val="single" w:sz="4" w:space="0" w:color="auto"/>
            </w:tcBorders>
            <w:shd w:val="clear" w:color="auto" w:fill="auto"/>
            <w:vAlign w:val="center"/>
            <w:hideMark/>
          </w:tcPr>
          <w:p w14:paraId="32D6F929" w14:textId="77777777" w:rsidR="00EA4E6A" w:rsidRPr="00092ED7" w:rsidRDefault="00EA4E6A" w:rsidP="004E2954">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39DD2BA6"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6D84DB5" w14:textId="77777777" w:rsidR="00EA4E6A" w:rsidRPr="00092ED7" w:rsidRDefault="00EA4E6A" w:rsidP="008219D5">
            <w:pPr>
              <w:spacing w:after="0"/>
              <w:ind w:left="601"/>
              <w:jc w:val="left"/>
              <w:rPr>
                <w:rFonts w:eastAsia="Times New Roman" w:cs="Times New Roman"/>
                <w:b/>
                <w:i/>
                <w:iCs/>
                <w:color w:val="000000"/>
                <w:sz w:val="20"/>
                <w:szCs w:val="20"/>
                <w:lang w:val="sr-Cyrl-CS" w:eastAsia="sr-Latn-RS"/>
              </w:rPr>
            </w:pPr>
            <w:r w:rsidRPr="00092ED7">
              <w:rPr>
                <w:rFonts w:eastAsia="Times New Roman" w:cs="Times New Roman"/>
                <w:b/>
                <w:i/>
                <w:iCs/>
                <w:color w:val="000000"/>
                <w:sz w:val="20"/>
                <w:szCs w:val="20"/>
                <w:lang w:val="sr-Cyrl-CS" w:eastAsia="sr-Latn-RS"/>
              </w:rPr>
              <w:t>Услови рада</w:t>
            </w:r>
          </w:p>
        </w:tc>
        <w:tc>
          <w:tcPr>
            <w:tcW w:w="1258" w:type="dxa"/>
            <w:tcBorders>
              <w:top w:val="nil"/>
              <w:left w:val="nil"/>
              <w:bottom w:val="single" w:sz="4" w:space="0" w:color="auto"/>
              <w:right w:val="single" w:sz="4" w:space="0" w:color="auto"/>
            </w:tcBorders>
            <w:shd w:val="clear" w:color="auto" w:fill="auto"/>
            <w:vAlign w:val="center"/>
            <w:hideMark/>
          </w:tcPr>
          <w:p w14:paraId="5329EC00"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p>
        </w:tc>
        <w:tc>
          <w:tcPr>
            <w:tcW w:w="727" w:type="dxa"/>
            <w:tcBorders>
              <w:top w:val="nil"/>
              <w:left w:val="nil"/>
              <w:bottom w:val="single" w:sz="4" w:space="0" w:color="auto"/>
              <w:right w:val="single" w:sz="4" w:space="0" w:color="auto"/>
            </w:tcBorders>
            <w:shd w:val="clear" w:color="auto" w:fill="auto"/>
            <w:vAlign w:val="center"/>
            <w:hideMark/>
          </w:tcPr>
          <w:p w14:paraId="0A4F8E46"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c>
          <w:tcPr>
            <w:tcW w:w="708" w:type="dxa"/>
            <w:tcBorders>
              <w:top w:val="nil"/>
              <w:left w:val="nil"/>
              <w:bottom w:val="single" w:sz="4" w:space="0" w:color="auto"/>
              <w:right w:val="single" w:sz="4" w:space="0" w:color="auto"/>
            </w:tcBorders>
            <w:shd w:val="clear" w:color="auto" w:fill="auto"/>
            <w:vAlign w:val="center"/>
            <w:hideMark/>
          </w:tcPr>
          <w:p w14:paraId="2911D7D7"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2C9226BA"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7DE47C51"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41822BF5"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r>
      <w:tr w:rsidR="00EA4E6A" w:rsidRPr="00092ED7" w14:paraId="30B0197F"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4E04A61"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7. Стопа запослености, старост </w:t>
            </w:r>
            <w:r w:rsidRPr="00092ED7">
              <w:rPr>
                <w:rFonts w:eastAsia="Times New Roman" w:cs="Times New Roman"/>
                <w:bCs/>
                <w:color w:val="000000"/>
                <w:sz w:val="20"/>
                <w:szCs w:val="20"/>
                <w:lang w:val="sr-Cyrl-CS" w:eastAsia="sr-Latn-RS"/>
              </w:rPr>
              <w:t>20-64 год.</w:t>
            </w:r>
          </w:p>
        </w:tc>
        <w:tc>
          <w:tcPr>
            <w:tcW w:w="1258" w:type="dxa"/>
            <w:tcBorders>
              <w:top w:val="nil"/>
              <w:left w:val="nil"/>
              <w:bottom w:val="single" w:sz="4" w:space="0" w:color="auto"/>
              <w:right w:val="single" w:sz="4" w:space="0" w:color="auto"/>
            </w:tcBorders>
            <w:shd w:val="clear" w:color="auto" w:fill="auto"/>
            <w:vAlign w:val="center"/>
            <w:hideMark/>
          </w:tcPr>
          <w:p w14:paraId="5B926B97" w14:textId="3CC4F34E"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1B365F8B"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61,6</w:t>
            </w:r>
          </w:p>
        </w:tc>
        <w:tc>
          <w:tcPr>
            <w:tcW w:w="708" w:type="dxa"/>
            <w:tcBorders>
              <w:top w:val="nil"/>
              <w:left w:val="nil"/>
              <w:bottom w:val="single" w:sz="4" w:space="0" w:color="auto"/>
              <w:right w:val="single" w:sz="4" w:space="0" w:color="auto"/>
            </w:tcBorders>
            <w:shd w:val="clear" w:color="auto" w:fill="auto"/>
            <w:vAlign w:val="center"/>
            <w:hideMark/>
          </w:tcPr>
          <w:p w14:paraId="0FFC0940"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63,6</w:t>
            </w:r>
          </w:p>
        </w:tc>
        <w:tc>
          <w:tcPr>
            <w:tcW w:w="709" w:type="dxa"/>
            <w:tcBorders>
              <w:top w:val="nil"/>
              <w:left w:val="nil"/>
              <w:bottom w:val="single" w:sz="4" w:space="0" w:color="auto"/>
              <w:right w:val="single" w:sz="4" w:space="0" w:color="auto"/>
            </w:tcBorders>
            <w:shd w:val="clear" w:color="auto" w:fill="auto"/>
            <w:vAlign w:val="center"/>
            <w:hideMark/>
          </w:tcPr>
          <w:p w14:paraId="52FBA71A"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64,3</w:t>
            </w:r>
          </w:p>
        </w:tc>
        <w:tc>
          <w:tcPr>
            <w:tcW w:w="709" w:type="dxa"/>
            <w:tcBorders>
              <w:top w:val="nil"/>
              <w:left w:val="nil"/>
              <w:bottom w:val="single" w:sz="4" w:space="0" w:color="auto"/>
              <w:right w:val="single" w:sz="4" w:space="0" w:color="auto"/>
            </w:tcBorders>
            <w:shd w:val="clear" w:color="auto" w:fill="auto"/>
            <w:vAlign w:val="center"/>
            <w:hideMark/>
          </w:tcPr>
          <w:p w14:paraId="1B467BE5"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66,7</w:t>
            </w:r>
          </w:p>
        </w:tc>
        <w:tc>
          <w:tcPr>
            <w:tcW w:w="709" w:type="dxa"/>
            <w:tcBorders>
              <w:top w:val="nil"/>
              <w:left w:val="nil"/>
              <w:bottom w:val="single" w:sz="4" w:space="0" w:color="auto"/>
              <w:right w:val="single" w:sz="4" w:space="0" w:color="auto"/>
            </w:tcBorders>
            <w:shd w:val="clear" w:color="auto" w:fill="auto"/>
            <w:vAlign w:val="center"/>
            <w:hideMark/>
          </w:tcPr>
          <w:p w14:paraId="7A0BC5CC" w14:textId="0F55CAAF" w:rsidR="00EA4E6A" w:rsidRPr="00092ED7" w:rsidRDefault="00BE6584"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69,8</w:t>
            </w:r>
            <w:r w:rsidR="00EA4E6A" w:rsidRPr="00092ED7">
              <w:rPr>
                <w:rFonts w:eastAsia="Times New Roman" w:cs="Times New Roman"/>
                <w:sz w:val="20"/>
                <w:szCs w:val="20"/>
                <w:lang w:val="sr-Cyrl-CS" w:eastAsia="sr-Latn-RS"/>
              </w:rPr>
              <w:t xml:space="preserve"> (Q</w:t>
            </w:r>
            <w:r w:rsidRPr="00092ED7">
              <w:rPr>
                <w:rFonts w:eastAsia="Times New Roman" w:cs="Times New Roman"/>
                <w:sz w:val="20"/>
                <w:szCs w:val="20"/>
                <w:lang w:val="sr-Cyrl-CS" w:eastAsia="sr-Latn-RS"/>
              </w:rPr>
              <w:t>3</w:t>
            </w:r>
            <w:r w:rsidR="00EA4E6A" w:rsidRPr="00092ED7">
              <w:rPr>
                <w:rFonts w:eastAsia="Times New Roman" w:cs="Times New Roman"/>
                <w:sz w:val="20"/>
                <w:szCs w:val="20"/>
                <w:lang w:val="sr-Cyrl-CS" w:eastAsia="sr-Latn-RS"/>
              </w:rPr>
              <w:t>)</w:t>
            </w:r>
          </w:p>
        </w:tc>
      </w:tr>
      <w:tr w:rsidR="00EA4E6A" w:rsidRPr="00092ED7" w14:paraId="28F8B1CC"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ECEF6AC"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8. Стопа незапослености, старост </w:t>
            </w:r>
            <w:r w:rsidRPr="00092ED7">
              <w:rPr>
                <w:rFonts w:eastAsia="Times New Roman" w:cs="Times New Roman"/>
                <w:bCs/>
                <w:color w:val="000000"/>
                <w:sz w:val="20"/>
                <w:szCs w:val="20"/>
                <w:lang w:val="sr-Cyrl-CS" w:eastAsia="sr-Latn-RS"/>
              </w:rPr>
              <w:t>15-74 год.</w:t>
            </w:r>
          </w:p>
        </w:tc>
        <w:tc>
          <w:tcPr>
            <w:tcW w:w="1258" w:type="dxa"/>
            <w:tcBorders>
              <w:top w:val="nil"/>
              <w:left w:val="nil"/>
              <w:bottom w:val="single" w:sz="4" w:space="0" w:color="auto"/>
              <w:right w:val="single" w:sz="4" w:space="0" w:color="auto"/>
            </w:tcBorders>
            <w:shd w:val="clear" w:color="auto" w:fill="auto"/>
            <w:vAlign w:val="center"/>
            <w:hideMark/>
          </w:tcPr>
          <w:p w14:paraId="14DA2703" w14:textId="6AB6CBC7"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101761C1"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13,8</w:t>
            </w:r>
          </w:p>
        </w:tc>
        <w:tc>
          <w:tcPr>
            <w:tcW w:w="708" w:type="dxa"/>
            <w:tcBorders>
              <w:top w:val="nil"/>
              <w:left w:val="nil"/>
              <w:bottom w:val="single" w:sz="4" w:space="0" w:color="auto"/>
              <w:right w:val="single" w:sz="4" w:space="0" w:color="auto"/>
            </w:tcBorders>
            <w:shd w:val="clear" w:color="auto" w:fill="auto"/>
            <w:vAlign w:val="center"/>
            <w:hideMark/>
          </w:tcPr>
          <w:p w14:paraId="6C0DDD69"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11,3</w:t>
            </w:r>
          </w:p>
        </w:tc>
        <w:tc>
          <w:tcPr>
            <w:tcW w:w="709" w:type="dxa"/>
            <w:tcBorders>
              <w:top w:val="nil"/>
              <w:left w:val="nil"/>
              <w:bottom w:val="single" w:sz="4" w:space="0" w:color="auto"/>
              <w:right w:val="single" w:sz="4" w:space="0" w:color="auto"/>
            </w:tcBorders>
            <w:shd w:val="clear" w:color="auto" w:fill="auto"/>
            <w:vAlign w:val="center"/>
            <w:hideMark/>
          </w:tcPr>
          <w:p w14:paraId="6AF3FD1A"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9,8</w:t>
            </w:r>
          </w:p>
        </w:tc>
        <w:tc>
          <w:tcPr>
            <w:tcW w:w="709" w:type="dxa"/>
            <w:tcBorders>
              <w:top w:val="nil"/>
              <w:left w:val="nil"/>
              <w:bottom w:val="single" w:sz="4" w:space="0" w:color="auto"/>
              <w:right w:val="single" w:sz="4" w:space="0" w:color="auto"/>
            </w:tcBorders>
            <w:shd w:val="clear" w:color="auto" w:fill="auto"/>
            <w:vAlign w:val="center"/>
            <w:hideMark/>
          </w:tcPr>
          <w:p w14:paraId="2D41C74E"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11,1</w:t>
            </w:r>
          </w:p>
        </w:tc>
        <w:tc>
          <w:tcPr>
            <w:tcW w:w="709" w:type="dxa"/>
            <w:tcBorders>
              <w:top w:val="nil"/>
              <w:left w:val="nil"/>
              <w:bottom w:val="single" w:sz="4" w:space="0" w:color="auto"/>
              <w:right w:val="single" w:sz="4" w:space="0" w:color="auto"/>
            </w:tcBorders>
            <w:shd w:val="clear" w:color="auto" w:fill="auto"/>
            <w:vAlign w:val="center"/>
            <w:hideMark/>
          </w:tcPr>
          <w:p w14:paraId="4F87D4BA" w14:textId="542C6AEC"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9</w:t>
            </w:r>
            <w:r w:rsidR="00AA3FDC" w:rsidRPr="00092ED7">
              <w:rPr>
                <w:rFonts w:eastAsia="Times New Roman" w:cs="Times New Roman"/>
                <w:sz w:val="20"/>
                <w:szCs w:val="20"/>
                <w:lang w:val="sr-Cyrl-CS" w:eastAsia="sr-Latn-RS"/>
              </w:rPr>
              <w:t>,0</w:t>
            </w:r>
            <w:r w:rsidRPr="00092ED7">
              <w:rPr>
                <w:rFonts w:eastAsia="Times New Roman" w:cs="Times New Roman"/>
                <w:sz w:val="20"/>
                <w:szCs w:val="20"/>
                <w:lang w:val="sr-Cyrl-CS" w:eastAsia="sr-Latn-RS"/>
              </w:rPr>
              <w:t xml:space="preserve"> (Q</w:t>
            </w:r>
            <w:r w:rsidR="00AA3FDC" w:rsidRPr="00092ED7">
              <w:rPr>
                <w:rFonts w:eastAsia="Times New Roman" w:cs="Times New Roman"/>
                <w:sz w:val="20"/>
                <w:szCs w:val="20"/>
                <w:lang w:val="sr-Cyrl-CS" w:eastAsia="sr-Latn-RS"/>
              </w:rPr>
              <w:t>3</w:t>
            </w:r>
            <w:r w:rsidRPr="00092ED7">
              <w:rPr>
                <w:rFonts w:eastAsia="Times New Roman" w:cs="Times New Roman"/>
                <w:sz w:val="20"/>
                <w:szCs w:val="20"/>
                <w:lang w:val="sr-Cyrl-CS" w:eastAsia="sr-Latn-RS"/>
              </w:rPr>
              <w:t>)</w:t>
            </w:r>
          </w:p>
        </w:tc>
      </w:tr>
      <w:tr w:rsidR="00EA4E6A" w:rsidRPr="00092ED7" w14:paraId="4AA1A211"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7C9AADC"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9. Стопа дуготрајне незапослености, старост </w:t>
            </w:r>
            <w:r w:rsidRPr="00092ED7">
              <w:rPr>
                <w:rFonts w:eastAsia="Times New Roman" w:cs="Times New Roman"/>
                <w:bCs/>
                <w:color w:val="000000"/>
                <w:sz w:val="20"/>
                <w:szCs w:val="20"/>
                <w:lang w:val="sr-Cyrl-CS" w:eastAsia="sr-Latn-RS"/>
              </w:rPr>
              <w:t>15-74 год.</w:t>
            </w:r>
          </w:p>
        </w:tc>
        <w:tc>
          <w:tcPr>
            <w:tcW w:w="1258" w:type="dxa"/>
            <w:tcBorders>
              <w:top w:val="nil"/>
              <w:left w:val="nil"/>
              <w:bottom w:val="single" w:sz="4" w:space="0" w:color="auto"/>
              <w:right w:val="single" w:sz="4" w:space="0" w:color="auto"/>
            </w:tcBorders>
            <w:shd w:val="clear" w:color="auto" w:fill="auto"/>
            <w:vAlign w:val="center"/>
            <w:hideMark/>
          </w:tcPr>
          <w:p w14:paraId="3EACAC43" w14:textId="01B48656"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0159673A"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6,7</w:t>
            </w:r>
          </w:p>
        </w:tc>
        <w:tc>
          <w:tcPr>
            <w:tcW w:w="708" w:type="dxa"/>
            <w:tcBorders>
              <w:top w:val="nil"/>
              <w:left w:val="nil"/>
              <w:bottom w:val="single" w:sz="4" w:space="0" w:color="auto"/>
              <w:right w:val="single" w:sz="4" w:space="0" w:color="auto"/>
            </w:tcBorders>
            <w:shd w:val="clear" w:color="auto" w:fill="auto"/>
            <w:vAlign w:val="center"/>
            <w:hideMark/>
          </w:tcPr>
          <w:p w14:paraId="5DD9CA3A"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5,5</w:t>
            </w:r>
          </w:p>
        </w:tc>
        <w:tc>
          <w:tcPr>
            <w:tcW w:w="709" w:type="dxa"/>
            <w:tcBorders>
              <w:top w:val="nil"/>
              <w:left w:val="nil"/>
              <w:bottom w:val="single" w:sz="4" w:space="0" w:color="auto"/>
              <w:right w:val="single" w:sz="4" w:space="0" w:color="auto"/>
            </w:tcBorders>
            <w:shd w:val="clear" w:color="auto" w:fill="auto"/>
            <w:vAlign w:val="center"/>
            <w:hideMark/>
          </w:tcPr>
          <w:p w14:paraId="072FE8B8"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4,5</w:t>
            </w:r>
          </w:p>
        </w:tc>
        <w:tc>
          <w:tcPr>
            <w:tcW w:w="709" w:type="dxa"/>
            <w:tcBorders>
              <w:top w:val="nil"/>
              <w:left w:val="nil"/>
              <w:bottom w:val="single" w:sz="4" w:space="0" w:color="auto"/>
              <w:right w:val="single" w:sz="4" w:space="0" w:color="auto"/>
            </w:tcBorders>
            <w:shd w:val="clear" w:color="auto" w:fill="auto"/>
            <w:vAlign w:val="center"/>
            <w:hideMark/>
          </w:tcPr>
          <w:p w14:paraId="53FF8B06"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4,9</w:t>
            </w:r>
          </w:p>
        </w:tc>
        <w:tc>
          <w:tcPr>
            <w:tcW w:w="709" w:type="dxa"/>
            <w:tcBorders>
              <w:top w:val="nil"/>
              <w:left w:val="nil"/>
              <w:bottom w:val="single" w:sz="4" w:space="0" w:color="auto"/>
              <w:right w:val="single" w:sz="4" w:space="0" w:color="auto"/>
            </w:tcBorders>
            <w:shd w:val="clear" w:color="auto" w:fill="auto"/>
            <w:vAlign w:val="center"/>
            <w:hideMark/>
          </w:tcPr>
          <w:p w14:paraId="0D853728"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466C1412" w14:textId="77777777" w:rsidTr="00053B2B">
        <w:trPr>
          <w:trHeight w:val="52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5D34A48"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10. Бруто расположиви доходак домаћинстава у реалном износу, по становнику</w:t>
            </w:r>
          </w:p>
        </w:tc>
        <w:tc>
          <w:tcPr>
            <w:tcW w:w="1258" w:type="dxa"/>
            <w:tcBorders>
              <w:top w:val="nil"/>
              <w:left w:val="nil"/>
              <w:bottom w:val="single" w:sz="4" w:space="0" w:color="auto"/>
              <w:right w:val="single" w:sz="4" w:space="0" w:color="auto"/>
            </w:tcBorders>
            <w:shd w:val="clear" w:color="auto" w:fill="auto"/>
            <w:vAlign w:val="center"/>
            <w:hideMark/>
          </w:tcPr>
          <w:p w14:paraId="05D57969" w14:textId="05923A15"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699F6F08"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p>
        </w:tc>
        <w:tc>
          <w:tcPr>
            <w:tcW w:w="708" w:type="dxa"/>
            <w:tcBorders>
              <w:top w:val="nil"/>
              <w:left w:val="nil"/>
              <w:bottom w:val="single" w:sz="4" w:space="0" w:color="auto"/>
              <w:right w:val="single" w:sz="4" w:space="0" w:color="auto"/>
            </w:tcBorders>
            <w:shd w:val="clear" w:color="auto" w:fill="auto"/>
            <w:vAlign w:val="center"/>
            <w:hideMark/>
          </w:tcPr>
          <w:p w14:paraId="24738776"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vAlign w:val="center"/>
            <w:hideMark/>
          </w:tcPr>
          <w:p w14:paraId="7F206F83"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vAlign w:val="center"/>
            <w:hideMark/>
          </w:tcPr>
          <w:p w14:paraId="1A62F6E5" w14:textId="77777777" w:rsidR="00EA4E6A" w:rsidRPr="00092ED7" w:rsidRDefault="00AA3FDC"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r w:rsidR="00EA4E6A" w:rsidRPr="00092ED7">
              <w:rPr>
                <w:rFonts w:eastAsia="Times New Roman" w:cs="Times New Roman"/>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61A65DDF"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0097EBC0"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B4ACB22" w14:textId="77777777" w:rsidR="00EA4E6A" w:rsidRPr="00092ED7" w:rsidRDefault="00EA4E6A" w:rsidP="008219D5">
            <w:pPr>
              <w:spacing w:after="0"/>
              <w:ind w:left="601"/>
              <w:jc w:val="left"/>
              <w:rPr>
                <w:rFonts w:eastAsia="Times New Roman" w:cs="Times New Roman"/>
                <w:b/>
                <w:i/>
                <w:iCs/>
                <w:color w:val="000000"/>
                <w:sz w:val="20"/>
                <w:szCs w:val="20"/>
                <w:lang w:val="sr-Cyrl-CS" w:eastAsia="sr-Latn-RS"/>
              </w:rPr>
            </w:pPr>
            <w:r w:rsidRPr="00092ED7">
              <w:rPr>
                <w:rFonts w:eastAsia="Times New Roman" w:cs="Times New Roman"/>
                <w:b/>
                <w:i/>
                <w:iCs/>
                <w:color w:val="000000"/>
                <w:sz w:val="20"/>
                <w:szCs w:val="20"/>
                <w:lang w:val="sr-Cyrl-CS" w:eastAsia="sr-Latn-RS"/>
              </w:rPr>
              <w:t>Социјална заштита и инклузија</w:t>
            </w:r>
          </w:p>
        </w:tc>
        <w:tc>
          <w:tcPr>
            <w:tcW w:w="1258" w:type="dxa"/>
            <w:tcBorders>
              <w:top w:val="nil"/>
              <w:left w:val="nil"/>
              <w:bottom w:val="single" w:sz="4" w:space="0" w:color="auto"/>
              <w:right w:val="single" w:sz="4" w:space="0" w:color="auto"/>
            </w:tcBorders>
            <w:shd w:val="clear" w:color="auto" w:fill="auto"/>
            <w:vAlign w:val="center"/>
            <w:hideMark/>
          </w:tcPr>
          <w:p w14:paraId="3F5FB3F7"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p>
        </w:tc>
        <w:tc>
          <w:tcPr>
            <w:tcW w:w="727" w:type="dxa"/>
            <w:tcBorders>
              <w:top w:val="nil"/>
              <w:left w:val="nil"/>
              <w:bottom w:val="single" w:sz="4" w:space="0" w:color="auto"/>
              <w:right w:val="single" w:sz="4" w:space="0" w:color="auto"/>
            </w:tcBorders>
            <w:shd w:val="clear" w:color="auto" w:fill="auto"/>
            <w:vAlign w:val="center"/>
            <w:hideMark/>
          </w:tcPr>
          <w:p w14:paraId="5587D1B0"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c>
          <w:tcPr>
            <w:tcW w:w="708" w:type="dxa"/>
            <w:tcBorders>
              <w:top w:val="nil"/>
              <w:left w:val="nil"/>
              <w:bottom w:val="single" w:sz="4" w:space="0" w:color="auto"/>
              <w:right w:val="single" w:sz="4" w:space="0" w:color="auto"/>
            </w:tcBorders>
            <w:shd w:val="clear" w:color="auto" w:fill="auto"/>
            <w:vAlign w:val="center"/>
            <w:hideMark/>
          </w:tcPr>
          <w:p w14:paraId="5684274D"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26E49110"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299DCF5B"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2628A6E8"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r>
      <w:tr w:rsidR="00EA4E6A" w:rsidRPr="00092ED7" w14:paraId="1FE4EB9E" w14:textId="77777777" w:rsidTr="00053B2B">
        <w:trPr>
          <w:trHeight w:val="52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F3BD394"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11. Стопа ризика од сиромаштва или социјалне искључености (AROPE)</w:t>
            </w:r>
          </w:p>
        </w:tc>
        <w:tc>
          <w:tcPr>
            <w:tcW w:w="1258" w:type="dxa"/>
            <w:tcBorders>
              <w:top w:val="nil"/>
              <w:left w:val="nil"/>
              <w:bottom w:val="single" w:sz="4" w:space="0" w:color="auto"/>
              <w:right w:val="single" w:sz="4" w:space="0" w:color="auto"/>
            </w:tcBorders>
            <w:shd w:val="clear" w:color="auto" w:fill="auto"/>
            <w:vAlign w:val="center"/>
            <w:hideMark/>
          </w:tcPr>
          <w:p w14:paraId="1530C2C4" w14:textId="55CAEAE2"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0AAC8AA9"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34,3</w:t>
            </w:r>
          </w:p>
        </w:tc>
        <w:tc>
          <w:tcPr>
            <w:tcW w:w="708" w:type="dxa"/>
            <w:tcBorders>
              <w:top w:val="nil"/>
              <w:left w:val="nil"/>
              <w:bottom w:val="single" w:sz="4" w:space="0" w:color="auto"/>
              <w:right w:val="single" w:sz="4" w:space="0" w:color="auto"/>
            </w:tcBorders>
            <w:shd w:val="clear" w:color="auto" w:fill="auto"/>
            <w:vAlign w:val="center"/>
            <w:hideMark/>
          </w:tcPr>
          <w:p w14:paraId="18502461"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31,7</w:t>
            </w:r>
          </w:p>
        </w:tc>
        <w:tc>
          <w:tcPr>
            <w:tcW w:w="709" w:type="dxa"/>
            <w:tcBorders>
              <w:top w:val="nil"/>
              <w:left w:val="nil"/>
              <w:bottom w:val="single" w:sz="4" w:space="0" w:color="auto"/>
              <w:right w:val="single" w:sz="4" w:space="0" w:color="auto"/>
            </w:tcBorders>
            <w:shd w:val="clear" w:color="auto" w:fill="auto"/>
            <w:vAlign w:val="center"/>
            <w:hideMark/>
          </w:tcPr>
          <w:p w14:paraId="55904C71"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29,8</w:t>
            </w:r>
          </w:p>
        </w:tc>
        <w:tc>
          <w:tcPr>
            <w:tcW w:w="709" w:type="dxa"/>
            <w:tcBorders>
              <w:top w:val="nil"/>
              <w:left w:val="nil"/>
              <w:bottom w:val="single" w:sz="4" w:space="0" w:color="auto"/>
              <w:right w:val="single" w:sz="4" w:space="0" w:color="auto"/>
            </w:tcBorders>
            <w:shd w:val="clear" w:color="auto" w:fill="auto"/>
            <w:vAlign w:val="center"/>
            <w:hideMark/>
          </w:tcPr>
          <w:p w14:paraId="1BD17587" w14:textId="470EC197" w:rsidR="00EA4E6A" w:rsidRPr="00092ED7" w:rsidRDefault="00AA3FDC"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28,5</w:t>
            </w:r>
          </w:p>
        </w:tc>
        <w:tc>
          <w:tcPr>
            <w:tcW w:w="709" w:type="dxa"/>
            <w:tcBorders>
              <w:top w:val="nil"/>
              <w:left w:val="nil"/>
              <w:bottom w:val="single" w:sz="4" w:space="0" w:color="auto"/>
              <w:right w:val="single" w:sz="4" w:space="0" w:color="auto"/>
            </w:tcBorders>
            <w:shd w:val="clear" w:color="auto" w:fill="auto"/>
            <w:vAlign w:val="center"/>
            <w:hideMark/>
          </w:tcPr>
          <w:p w14:paraId="4D9673CA"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6A3147B7" w14:textId="77777777" w:rsidTr="00053B2B">
        <w:trPr>
          <w:trHeight w:val="52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C2FE112" w14:textId="77777777" w:rsidR="00EA4E6A" w:rsidRPr="00092ED7" w:rsidRDefault="00EA4E6A"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12. Стопа ризика од сиромаштва или социјалне искључености (АROPE) за децу (</w:t>
            </w:r>
            <w:r w:rsidRPr="00092ED7">
              <w:rPr>
                <w:rFonts w:eastAsia="Times New Roman" w:cs="Times New Roman"/>
                <w:bCs/>
                <w:color w:val="000000"/>
                <w:sz w:val="20"/>
                <w:szCs w:val="20"/>
                <w:lang w:val="sr-Cyrl-CS" w:eastAsia="sr-Latn-RS"/>
              </w:rPr>
              <w:t xml:space="preserve">0-17) </w:t>
            </w:r>
            <w:r w:rsidRPr="00092ED7">
              <w:rPr>
                <w:rFonts w:eastAsia="Times New Roman" w:cs="Times New Roman"/>
                <w:color w:val="000000"/>
                <w:sz w:val="20"/>
                <w:szCs w:val="20"/>
                <w:lang w:val="sr-Cyrl-CS" w:eastAsia="sr-Latn-RS"/>
              </w:rPr>
              <w:t>год.</w:t>
            </w:r>
          </w:p>
        </w:tc>
        <w:tc>
          <w:tcPr>
            <w:tcW w:w="1258" w:type="dxa"/>
            <w:tcBorders>
              <w:top w:val="nil"/>
              <w:left w:val="nil"/>
              <w:bottom w:val="single" w:sz="4" w:space="0" w:color="auto"/>
              <w:right w:val="single" w:sz="4" w:space="0" w:color="auto"/>
            </w:tcBorders>
            <w:shd w:val="clear" w:color="auto" w:fill="auto"/>
            <w:vAlign w:val="center"/>
            <w:hideMark/>
          </w:tcPr>
          <w:p w14:paraId="43DA2CC1" w14:textId="64A1B3DC"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23F3D151" w14:textId="1C25A03D" w:rsidR="00EA4E6A" w:rsidRPr="00092ED7" w:rsidRDefault="00AA3FDC"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35,9</w:t>
            </w:r>
          </w:p>
        </w:tc>
        <w:tc>
          <w:tcPr>
            <w:tcW w:w="708" w:type="dxa"/>
            <w:tcBorders>
              <w:top w:val="nil"/>
              <w:left w:val="nil"/>
              <w:bottom w:val="single" w:sz="4" w:space="0" w:color="auto"/>
              <w:right w:val="single" w:sz="4" w:space="0" w:color="auto"/>
            </w:tcBorders>
            <w:shd w:val="clear" w:color="auto" w:fill="auto"/>
            <w:vAlign w:val="center"/>
            <w:hideMark/>
          </w:tcPr>
          <w:p w14:paraId="5BB1C4CD" w14:textId="6A810A97" w:rsidR="00EA4E6A" w:rsidRPr="00092ED7" w:rsidRDefault="00AA3FDC"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35,3</w:t>
            </w:r>
          </w:p>
        </w:tc>
        <w:tc>
          <w:tcPr>
            <w:tcW w:w="709" w:type="dxa"/>
            <w:tcBorders>
              <w:top w:val="nil"/>
              <w:left w:val="nil"/>
              <w:bottom w:val="single" w:sz="4" w:space="0" w:color="auto"/>
              <w:right w:val="single" w:sz="4" w:space="0" w:color="auto"/>
            </w:tcBorders>
            <w:shd w:val="clear" w:color="auto" w:fill="auto"/>
            <w:vAlign w:val="center"/>
            <w:hideMark/>
          </w:tcPr>
          <w:p w14:paraId="4DD7C50A" w14:textId="7380392A" w:rsidR="00EA4E6A" w:rsidRPr="00092ED7" w:rsidRDefault="00AA3FDC"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29,9</w:t>
            </w:r>
          </w:p>
        </w:tc>
        <w:tc>
          <w:tcPr>
            <w:tcW w:w="709" w:type="dxa"/>
            <w:tcBorders>
              <w:top w:val="nil"/>
              <w:left w:val="nil"/>
              <w:bottom w:val="single" w:sz="4" w:space="0" w:color="auto"/>
              <w:right w:val="single" w:sz="4" w:space="0" w:color="auto"/>
            </w:tcBorders>
            <w:shd w:val="clear" w:color="auto" w:fill="auto"/>
            <w:vAlign w:val="center"/>
            <w:hideMark/>
          </w:tcPr>
          <w:p w14:paraId="69AEDEEE" w14:textId="191DF932" w:rsidR="00EA4E6A" w:rsidRPr="00092ED7" w:rsidRDefault="00AA3FDC"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27,8</w:t>
            </w:r>
          </w:p>
        </w:tc>
        <w:tc>
          <w:tcPr>
            <w:tcW w:w="709" w:type="dxa"/>
            <w:tcBorders>
              <w:top w:val="nil"/>
              <w:left w:val="nil"/>
              <w:bottom w:val="single" w:sz="4" w:space="0" w:color="auto"/>
              <w:right w:val="single" w:sz="4" w:space="0" w:color="auto"/>
            </w:tcBorders>
            <w:shd w:val="clear" w:color="auto" w:fill="auto"/>
            <w:vAlign w:val="center"/>
            <w:hideMark/>
          </w:tcPr>
          <w:p w14:paraId="74AB498B"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3BC2F942" w14:textId="77777777" w:rsidTr="00053B2B">
        <w:trPr>
          <w:trHeight w:val="52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F9918CF"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13. Ут</w:t>
            </w:r>
            <w:r w:rsidR="008219D5" w:rsidRPr="00092ED7">
              <w:rPr>
                <w:rFonts w:eastAsia="Times New Roman" w:cs="Times New Roman"/>
                <w:color w:val="000000"/>
                <w:sz w:val="20"/>
                <w:szCs w:val="20"/>
                <w:lang w:val="sr-Cyrl-CS" w:eastAsia="sr-Latn-RS"/>
              </w:rPr>
              <w:t xml:space="preserve">ицај социјалних трансфера (осим </w:t>
            </w:r>
            <w:r w:rsidRPr="00092ED7">
              <w:rPr>
                <w:rFonts w:eastAsia="Times New Roman" w:cs="Times New Roman"/>
                <w:color w:val="000000"/>
                <w:sz w:val="20"/>
                <w:szCs w:val="20"/>
                <w:lang w:val="sr-Cyrl-CS" w:eastAsia="sr-Latn-RS"/>
              </w:rPr>
              <w:t>пензија) на смањење сиромаштва</w:t>
            </w:r>
          </w:p>
        </w:tc>
        <w:tc>
          <w:tcPr>
            <w:tcW w:w="1258" w:type="dxa"/>
            <w:tcBorders>
              <w:top w:val="nil"/>
              <w:left w:val="nil"/>
              <w:bottom w:val="single" w:sz="4" w:space="0" w:color="auto"/>
              <w:right w:val="single" w:sz="4" w:space="0" w:color="auto"/>
            </w:tcBorders>
            <w:shd w:val="clear" w:color="auto" w:fill="auto"/>
            <w:vAlign w:val="center"/>
            <w:hideMark/>
          </w:tcPr>
          <w:p w14:paraId="2F59BB88" w14:textId="2A7DF2B0"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207C0D7A"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17,91</w:t>
            </w:r>
          </w:p>
        </w:tc>
        <w:tc>
          <w:tcPr>
            <w:tcW w:w="708" w:type="dxa"/>
            <w:tcBorders>
              <w:top w:val="nil"/>
              <w:left w:val="nil"/>
              <w:bottom w:val="single" w:sz="4" w:space="0" w:color="auto"/>
              <w:right w:val="single" w:sz="4" w:space="0" w:color="auto"/>
            </w:tcBorders>
            <w:shd w:val="clear" w:color="auto" w:fill="auto"/>
            <w:vAlign w:val="center"/>
            <w:hideMark/>
          </w:tcPr>
          <w:p w14:paraId="521DB638"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18,02</w:t>
            </w:r>
          </w:p>
        </w:tc>
        <w:tc>
          <w:tcPr>
            <w:tcW w:w="709" w:type="dxa"/>
            <w:tcBorders>
              <w:top w:val="nil"/>
              <w:left w:val="nil"/>
              <w:bottom w:val="single" w:sz="4" w:space="0" w:color="auto"/>
              <w:right w:val="single" w:sz="4" w:space="0" w:color="auto"/>
            </w:tcBorders>
            <w:shd w:val="clear" w:color="auto" w:fill="auto"/>
            <w:vAlign w:val="center"/>
            <w:hideMark/>
          </w:tcPr>
          <w:p w14:paraId="58E46553"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18,73</w:t>
            </w:r>
          </w:p>
        </w:tc>
        <w:tc>
          <w:tcPr>
            <w:tcW w:w="709" w:type="dxa"/>
            <w:tcBorders>
              <w:top w:val="nil"/>
              <w:left w:val="nil"/>
              <w:bottom w:val="single" w:sz="4" w:space="0" w:color="auto"/>
              <w:right w:val="single" w:sz="4" w:space="0" w:color="auto"/>
            </w:tcBorders>
            <w:shd w:val="clear" w:color="auto" w:fill="auto"/>
            <w:vAlign w:val="center"/>
            <w:hideMark/>
          </w:tcPr>
          <w:p w14:paraId="4D0FF8F8"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vAlign w:val="center"/>
            <w:hideMark/>
          </w:tcPr>
          <w:p w14:paraId="78CF176F"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36962511"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1E11D3D"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14. Јаз у запошљавању особа са инвалидитетом, </w:t>
            </w:r>
            <w:r w:rsidRPr="00092ED7">
              <w:rPr>
                <w:rFonts w:eastAsia="Times New Roman" w:cs="Times New Roman"/>
                <w:bCs/>
                <w:color w:val="000000"/>
                <w:sz w:val="20"/>
                <w:szCs w:val="20"/>
                <w:lang w:val="sr-Cyrl-CS" w:eastAsia="sr-Latn-RS"/>
              </w:rPr>
              <w:t>20-64 год.</w:t>
            </w:r>
          </w:p>
        </w:tc>
        <w:tc>
          <w:tcPr>
            <w:tcW w:w="1258" w:type="dxa"/>
            <w:tcBorders>
              <w:top w:val="nil"/>
              <w:left w:val="nil"/>
              <w:bottom w:val="single" w:sz="4" w:space="0" w:color="auto"/>
              <w:right w:val="single" w:sz="4" w:space="0" w:color="auto"/>
            </w:tcBorders>
            <w:shd w:val="clear" w:color="auto" w:fill="auto"/>
            <w:vAlign w:val="center"/>
            <w:hideMark/>
          </w:tcPr>
          <w:p w14:paraId="742B72D7" w14:textId="3CD415C4"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41E19F76"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27,2</w:t>
            </w:r>
          </w:p>
        </w:tc>
        <w:tc>
          <w:tcPr>
            <w:tcW w:w="708" w:type="dxa"/>
            <w:tcBorders>
              <w:top w:val="nil"/>
              <w:left w:val="nil"/>
              <w:bottom w:val="single" w:sz="4" w:space="0" w:color="auto"/>
              <w:right w:val="single" w:sz="4" w:space="0" w:color="auto"/>
            </w:tcBorders>
            <w:shd w:val="clear" w:color="auto" w:fill="auto"/>
            <w:vAlign w:val="center"/>
            <w:hideMark/>
          </w:tcPr>
          <w:p w14:paraId="07AF475D"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36</w:t>
            </w:r>
          </w:p>
        </w:tc>
        <w:tc>
          <w:tcPr>
            <w:tcW w:w="709" w:type="dxa"/>
            <w:tcBorders>
              <w:top w:val="nil"/>
              <w:left w:val="nil"/>
              <w:bottom w:val="single" w:sz="4" w:space="0" w:color="auto"/>
              <w:right w:val="single" w:sz="4" w:space="0" w:color="auto"/>
            </w:tcBorders>
            <w:shd w:val="clear" w:color="auto" w:fill="auto"/>
            <w:vAlign w:val="center"/>
            <w:hideMark/>
          </w:tcPr>
          <w:p w14:paraId="6A5177ED"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34,8</w:t>
            </w:r>
          </w:p>
        </w:tc>
        <w:tc>
          <w:tcPr>
            <w:tcW w:w="709" w:type="dxa"/>
            <w:tcBorders>
              <w:top w:val="nil"/>
              <w:left w:val="nil"/>
              <w:bottom w:val="single" w:sz="4" w:space="0" w:color="auto"/>
              <w:right w:val="single" w:sz="4" w:space="0" w:color="auto"/>
            </w:tcBorders>
            <w:shd w:val="clear" w:color="auto" w:fill="auto"/>
            <w:vAlign w:val="center"/>
            <w:hideMark/>
          </w:tcPr>
          <w:p w14:paraId="5272A154" w14:textId="2DEDAD3C" w:rsidR="00EA4E6A" w:rsidRPr="00092ED7" w:rsidRDefault="00AA3FDC"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vAlign w:val="center"/>
            <w:hideMark/>
          </w:tcPr>
          <w:p w14:paraId="12A3F261"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79C6C5F5"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918CF00"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15. Стопа преоптерећења трошкова становања</w:t>
            </w:r>
          </w:p>
        </w:tc>
        <w:tc>
          <w:tcPr>
            <w:tcW w:w="1258" w:type="dxa"/>
            <w:tcBorders>
              <w:top w:val="nil"/>
              <w:left w:val="nil"/>
              <w:bottom w:val="single" w:sz="4" w:space="0" w:color="auto"/>
              <w:right w:val="single" w:sz="4" w:space="0" w:color="auto"/>
            </w:tcBorders>
            <w:shd w:val="clear" w:color="auto" w:fill="auto"/>
            <w:vAlign w:val="center"/>
            <w:hideMark/>
          </w:tcPr>
          <w:p w14:paraId="07C9F3F7" w14:textId="2F53D326"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69A110B6"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31,3</w:t>
            </w:r>
          </w:p>
        </w:tc>
        <w:tc>
          <w:tcPr>
            <w:tcW w:w="708" w:type="dxa"/>
            <w:tcBorders>
              <w:top w:val="nil"/>
              <w:left w:val="nil"/>
              <w:bottom w:val="single" w:sz="4" w:space="0" w:color="auto"/>
              <w:right w:val="single" w:sz="4" w:space="0" w:color="auto"/>
            </w:tcBorders>
            <w:shd w:val="clear" w:color="auto" w:fill="auto"/>
            <w:vAlign w:val="center"/>
            <w:hideMark/>
          </w:tcPr>
          <w:p w14:paraId="630B08FB"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21,6</w:t>
            </w:r>
          </w:p>
        </w:tc>
        <w:tc>
          <w:tcPr>
            <w:tcW w:w="709" w:type="dxa"/>
            <w:tcBorders>
              <w:top w:val="nil"/>
              <w:left w:val="nil"/>
              <w:bottom w:val="single" w:sz="4" w:space="0" w:color="auto"/>
              <w:right w:val="single" w:sz="4" w:space="0" w:color="auto"/>
            </w:tcBorders>
            <w:shd w:val="clear" w:color="auto" w:fill="auto"/>
            <w:vAlign w:val="center"/>
            <w:hideMark/>
          </w:tcPr>
          <w:p w14:paraId="3964707B"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17,8</w:t>
            </w:r>
          </w:p>
        </w:tc>
        <w:tc>
          <w:tcPr>
            <w:tcW w:w="709" w:type="dxa"/>
            <w:tcBorders>
              <w:top w:val="nil"/>
              <w:left w:val="nil"/>
              <w:bottom w:val="single" w:sz="4" w:space="0" w:color="auto"/>
              <w:right w:val="single" w:sz="4" w:space="0" w:color="auto"/>
            </w:tcBorders>
            <w:shd w:val="clear" w:color="auto" w:fill="auto"/>
            <w:vAlign w:val="center"/>
            <w:hideMark/>
          </w:tcPr>
          <w:p w14:paraId="5D3BFCB8" w14:textId="121BA7DF" w:rsidR="00EA4E6A" w:rsidRPr="00092ED7" w:rsidRDefault="00AA3FDC"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vAlign w:val="center"/>
            <w:hideMark/>
          </w:tcPr>
          <w:p w14:paraId="615AF71C"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773B3457"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9A55192"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16. Деца млађа од 3 године у формалном смештају деце</w:t>
            </w:r>
          </w:p>
        </w:tc>
        <w:tc>
          <w:tcPr>
            <w:tcW w:w="1258" w:type="dxa"/>
            <w:tcBorders>
              <w:top w:val="nil"/>
              <w:left w:val="nil"/>
              <w:bottom w:val="single" w:sz="4" w:space="0" w:color="auto"/>
              <w:right w:val="single" w:sz="4" w:space="0" w:color="auto"/>
            </w:tcBorders>
            <w:shd w:val="clear" w:color="auto" w:fill="auto"/>
            <w:vAlign w:val="center"/>
            <w:hideMark/>
          </w:tcPr>
          <w:p w14:paraId="36373AC3" w14:textId="3DD83591"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7FD613D1"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13,3</w:t>
            </w:r>
          </w:p>
        </w:tc>
        <w:tc>
          <w:tcPr>
            <w:tcW w:w="708" w:type="dxa"/>
            <w:tcBorders>
              <w:top w:val="nil"/>
              <w:left w:val="nil"/>
              <w:bottom w:val="single" w:sz="4" w:space="0" w:color="auto"/>
              <w:right w:val="single" w:sz="4" w:space="0" w:color="auto"/>
            </w:tcBorders>
            <w:shd w:val="clear" w:color="auto" w:fill="auto"/>
            <w:vAlign w:val="center"/>
            <w:hideMark/>
          </w:tcPr>
          <w:p w14:paraId="52C335FB"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17,2</w:t>
            </w:r>
          </w:p>
        </w:tc>
        <w:tc>
          <w:tcPr>
            <w:tcW w:w="709" w:type="dxa"/>
            <w:tcBorders>
              <w:top w:val="nil"/>
              <w:left w:val="nil"/>
              <w:bottom w:val="single" w:sz="4" w:space="0" w:color="auto"/>
              <w:right w:val="single" w:sz="4" w:space="0" w:color="auto"/>
            </w:tcBorders>
            <w:shd w:val="clear" w:color="auto" w:fill="auto"/>
            <w:vAlign w:val="center"/>
            <w:hideMark/>
          </w:tcPr>
          <w:p w14:paraId="25FABE2B"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18,1</w:t>
            </w:r>
          </w:p>
        </w:tc>
        <w:tc>
          <w:tcPr>
            <w:tcW w:w="709" w:type="dxa"/>
            <w:tcBorders>
              <w:top w:val="nil"/>
              <w:left w:val="nil"/>
              <w:bottom w:val="single" w:sz="4" w:space="0" w:color="auto"/>
              <w:right w:val="single" w:sz="4" w:space="0" w:color="auto"/>
            </w:tcBorders>
            <w:shd w:val="clear" w:color="auto" w:fill="auto"/>
            <w:vAlign w:val="center"/>
            <w:hideMark/>
          </w:tcPr>
          <w:p w14:paraId="1F5E4540" w14:textId="4A03DE04" w:rsidR="00EA4E6A" w:rsidRPr="00092ED7" w:rsidRDefault="00AA3FDC"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vAlign w:val="center"/>
            <w:hideMark/>
          </w:tcPr>
          <w:p w14:paraId="7E93629E"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227CB2D8" w14:textId="77777777" w:rsidTr="00053B2B">
        <w:trPr>
          <w:trHeight w:val="52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553F201"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17. Незадовољене потребе за медицинском негом које су сами пријавили</w:t>
            </w:r>
          </w:p>
        </w:tc>
        <w:tc>
          <w:tcPr>
            <w:tcW w:w="1258" w:type="dxa"/>
            <w:tcBorders>
              <w:top w:val="nil"/>
              <w:left w:val="nil"/>
              <w:bottom w:val="single" w:sz="4" w:space="0" w:color="auto"/>
              <w:right w:val="single" w:sz="4" w:space="0" w:color="auto"/>
            </w:tcBorders>
            <w:shd w:val="clear" w:color="auto" w:fill="auto"/>
            <w:vAlign w:val="center"/>
            <w:hideMark/>
          </w:tcPr>
          <w:p w14:paraId="7077E8B3" w14:textId="2A8BD092"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43272126"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5,8</w:t>
            </w:r>
          </w:p>
        </w:tc>
        <w:tc>
          <w:tcPr>
            <w:tcW w:w="708" w:type="dxa"/>
            <w:tcBorders>
              <w:top w:val="nil"/>
              <w:left w:val="nil"/>
              <w:bottom w:val="single" w:sz="4" w:space="0" w:color="auto"/>
              <w:right w:val="single" w:sz="4" w:space="0" w:color="auto"/>
            </w:tcBorders>
            <w:shd w:val="clear" w:color="auto" w:fill="auto"/>
            <w:vAlign w:val="center"/>
            <w:hideMark/>
          </w:tcPr>
          <w:p w14:paraId="4F2F8E0A"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4,8</w:t>
            </w:r>
          </w:p>
        </w:tc>
        <w:tc>
          <w:tcPr>
            <w:tcW w:w="709" w:type="dxa"/>
            <w:tcBorders>
              <w:top w:val="nil"/>
              <w:left w:val="nil"/>
              <w:bottom w:val="single" w:sz="4" w:space="0" w:color="auto"/>
              <w:right w:val="single" w:sz="4" w:space="0" w:color="auto"/>
            </w:tcBorders>
            <w:shd w:val="clear" w:color="auto" w:fill="auto"/>
            <w:vAlign w:val="center"/>
            <w:hideMark/>
          </w:tcPr>
          <w:p w14:paraId="6E68EA4D"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3,8</w:t>
            </w:r>
          </w:p>
        </w:tc>
        <w:tc>
          <w:tcPr>
            <w:tcW w:w="709" w:type="dxa"/>
            <w:tcBorders>
              <w:top w:val="nil"/>
              <w:left w:val="nil"/>
              <w:bottom w:val="single" w:sz="4" w:space="0" w:color="auto"/>
              <w:right w:val="single" w:sz="4" w:space="0" w:color="auto"/>
            </w:tcBorders>
            <w:shd w:val="clear" w:color="auto" w:fill="auto"/>
            <w:vAlign w:val="center"/>
            <w:hideMark/>
          </w:tcPr>
          <w:p w14:paraId="49F16F8D" w14:textId="11692EA6" w:rsidR="00EA4E6A" w:rsidRPr="00092ED7" w:rsidRDefault="00AA3FDC"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vAlign w:val="center"/>
            <w:hideMark/>
          </w:tcPr>
          <w:p w14:paraId="4E515D7F"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bl>
    <w:p w14:paraId="24E5DCEA" w14:textId="77777777" w:rsidR="00B11AE5" w:rsidRPr="00092ED7" w:rsidRDefault="00BE6584" w:rsidP="00734F11">
      <w:pPr>
        <w:rPr>
          <w:rFonts w:cs="Times New Roman"/>
          <w:bCs/>
          <w:sz w:val="20"/>
          <w:szCs w:val="20"/>
          <w:lang w:val="sr-Cyrl-CS"/>
        </w:rPr>
      </w:pPr>
      <w:r w:rsidRPr="00092ED7">
        <w:rPr>
          <w:rFonts w:cs="Times New Roman"/>
          <w:bCs/>
          <w:sz w:val="20"/>
          <w:szCs w:val="20"/>
          <w:lang w:val="sr-Cyrl-CS"/>
        </w:rPr>
        <w:t>*(:) податак није расположив</w:t>
      </w:r>
    </w:p>
    <w:p w14:paraId="2158CBAF" w14:textId="77777777" w:rsidR="00B11AE5" w:rsidRPr="00092ED7" w:rsidRDefault="00734F11" w:rsidP="00053B2B">
      <w:pPr>
        <w:pStyle w:val="Heading3"/>
        <w:spacing w:before="0" w:after="120"/>
        <w:rPr>
          <w:rFonts w:cs="Times New Roman"/>
          <w:b/>
          <w:bCs/>
          <w:lang w:val="sr-Cyrl-CS"/>
        </w:rPr>
      </w:pPr>
      <w:bookmarkStart w:id="173" w:name="_Toc124174838"/>
      <w:bookmarkStart w:id="174" w:name="_Toc126218656"/>
      <w:r w:rsidRPr="00092ED7">
        <w:rPr>
          <w:rFonts w:ascii="Times New Roman" w:hAnsi="Times New Roman" w:cs="Times New Roman"/>
          <w:b/>
          <w:lang w:val="sr-Cyrl-CS"/>
        </w:rPr>
        <w:t>Табела 9 б: Остали изабрани показатељи</w:t>
      </w:r>
      <w:bookmarkEnd w:id="173"/>
      <w:bookmarkEnd w:id="174"/>
    </w:p>
    <w:tbl>
      <w:tblPr>
        <w:tblW w:w="9491" w:type="dxa"/>
        <w:tblLook w:val="04A0" w:firstRow="1" w:lastRow="0" w:firstColumn="1" w:lastColumn="0" w:noHBand="0" w:noVBand="1"/>
      </w:tblPr>
      <w:tblGrid>
        <w:gridCol w:w="4957"/>
        <w:gridCol w:w="1261"/>
        <w:gridCol w:w="815"/>
        <w:gridCol w:w="849"/>
        <w:gridCol w:w="766"/>
        <w:gridCol w:w="843"/>
      </w:tblGrid>
      <w:tr w:rsidR="008219D5" w:rsidRPr="00092ED7" w14:paraId="01336EF2" w14:textId="77777777" w:rsidTr="00053B2B">
        <w:trPr>
          <w:trHeight w:val="52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AC7C5"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14:paraId="751ED08A"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Извор података</w:t>
            </w:r>
          </w:p>
        </w:tc>
        <w:tc>
          <w:tcPr>
            <w:tcW w:w="815" w:type="dxa"/>
            <w:tcBorders>
              <w:top w:val="single" w:sz="4" w:space="0" w:color="auto"/>
              <w:left w:val="nil"/>
              <w:bottom w:val="single" w:sz="4" w:space="0" w:color="auto"/>
              <w:right w:val="single" w:sz="4" w:space="0" w:color="auto"/>
            </w:tcBorders>
            <w:shd w:val="clear" w:color="auto" w:fill="auto"/>
            <w:vAlign w:val="center"/>
            <w:hideMark/>
          </w:tcPr>
          <w:p w14:paraId="3A3347A0" w14:textId="77777777" w:rsidR="008219D5" w:rsidRPr="00092ED7" w:rsidRDefault="008219D5" w:rsidP="008219D5">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2018</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5C4FAAF3" w14:textId="77777777" w:rsidR="008219D5" w:rsidRPr="00092ED7" w:rsidRDefault="008219D5" w:rsidP="008219D5">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2019</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775E26B5" w14:textId="77777777" w:rsidR="008219D5" w:rsidRPr="00092ED7" w:rsidRDefault="008219D5" w:rsidP="008219D5">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2020</w:t>
            </w:r>
          </w:p>
        </w:tc>
        <w:tc>
          <w:tcPr>
            <w:tcW w:w="843" w:type="dxa"/>
            <w:tcBorders>
              <w:top w:val="single" w:sz="4" w:space="0" w:color="auto"/>
              <w:left w:val="nil"/>
              <w:bottom w:val="single" w:sz="4" w:space="0" w:color="auto"/>
              <w:right w:val="single" w:sz="4" w:space="0" w:color="auto"/>
            </w:tcBorders>
            <w:shd w:val="clear" w:color="auto" w:fill="auto"/>
            <w:vAlign w:val="center"/>
            <w:hideMark/>
          </w:tcPr>
          <w:p w14:paraId="71FFE650" w14:textId="77777777" w:rsidR="008219D5" w:rsidRPr="00092ED7" w:rsidRDefault="008219D5" w:rsidP="008219D5">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2021</w:t>
            </w:r>
          </w:p>
        </w:tc>
      </w:tr>
      <w:tr w:rsidR="008219D5" w:rsidRPr="00092ED7" w14:paraId="422E2C65"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33F256" w14:textId="77777777" w:rsidR="008219D5" w:rsidRPr="00092ED7" w:rsidRDefault="008219D5" w:rsidP="00734F11">
            <w:pPr>
              <w:spacing w:after="0"/>
              <w:ind w:firstLine="601"/>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Остали социјални и здравствени индикатори</w:t>
            </w:r>
          </w:p>
        </w:tc>
        <w:tc>
          <w:tcPr>
            <w:tcW w:w="1261" w:type="dxa"/>
            <w:tcBorders>
              <w:top w:val="nil"/>
              <w:left w:val="nil"/>
              <w:bottom w:val="single" w:sz="4" w:space="0" w:color="auto"/>
              <w:right w:val="single" w:sz="4" w:space="0" w:color="auto"/>
            </w:tcBorders>
            <w:shd w:val="clear" w:color="auto" w:fill="auto"/>
            <w:vAlign w:val="center"/>
            <w:hideMark/>
          </w:tcPr>
          <w:p w14:paraId="3CE49E77"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29A01CAD"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7E78E81E"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7F6DCDD7"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327EB68E"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387C98D0"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69EB1F"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1. </w:t>
            </w:r>
            <w:r w:rsidR="008219D5" w:rsidRPr="00092ED7">
              <w:rPr>
                <w:rFonts w:eastAsia="Times New Roman" w:cs="Times New Roman"/>
                <w:color w:val="000000"/>
                <w:sz w:val="20"/>
                <w:szCs w:val="20"/>
                <w:lang w:val="sr-Cyrl-CS" w:eastAsia="sr-Latn-RS"/>
              </w:rPr>
              <w:t>Јавни издаци за социјал</w:t>
            </w:r>
            <w:r w:rsidRPr="00092ED7">
              <w:rPr>
                <w:rFonts w:eastAsia="Times New Roman" w:cs="Times New Roman"/>
                <w:color w:val="000000"/>
                <w:sz w:val="20"/>
                <w:szCs w:val="20"/>
                <w:lang w:val="sr-Cyrl-CS" w:eastAsia="sr-Latn-RS"/>
              </w:rPr>
              <w:t>ну заштиту у % БДП-а</w:t>
            </w:r>
          </w:p>
        </w:tc>
        <w:tc>
          <w:tcPr>
            <w:tcW w:w="1261" w:type="dxa"/>
            <w:tcBorders>
              <w:top w:val="nil"/>
              <w:left w:val="nil"/>
              <w:bottom w:val="single" w:sz="4" w:space="0" w:color="auto"/>
              <w:right w:val="single" w:sz="4" w:space="0" w:color="auto"/>
            </w:tcBorders>
            <w:shd w:val="clear" w:color="auto" w:fill="auto"/>
            <w:vAlign w:val="center"/>
            <w:hideMark/>
          </w:tcPr>
          <w:p w14:paraId="7A6DC239"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5FC10D3A"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0C25505A"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0E883DDA"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1BB98DAB"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0406076D"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FF262D"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2. </w:t>
            </w:r>
            <w:r w:rsidR="008219D5" w:rsidRPr="00092ED7">
              <w:rPr>
                <w:rFonts w:eastAsia="Times New Roman" w:cs="Times New Roman"/>
                <w:color w:val="000000"/>
                <w:sz w:val="20"/>
                <w:szCs w:val="20"/>
                <w:lang w:val="sr-Cyrl-CS" w:eastAsia="sr-Latn-RS"/>
              </w:rPr>
              <w:t>Јавни издаци за здравствен</w:t>
            </w:r>
            <w:r w:rsidRPr="00092ED7">
              <w:rPr>
                <w:rFonts w:eastAsia="Times New Roman" w:cs="Times New Roman"/>
                <w:color w:val="000000"/>
                <w:sz w:val="20"/>
                <w:szCs w:val="20"/>
                <w:lang w:val="sr-Cyrl-CS" w:eastAsia="sr-Latn-RS"/>
              </w:rPr>
              <w:t>у заштиту у % БДП-а</w:t>
            </w:r>
          </w:p>
        </w:tc>
        <w:tc>
          <w:tcPr>
            <w:tcW w:w="1261" w:type="dxa"/>
            <w:tcBorders>
              <w:top w:val="nil"/>
              <w:left w:val="nil"/>
              <w:bottom w:val="single" w:sz="4" w:space="0" w:color="auto"/>
              <w:right w:val="single" w:sz="4" w:space="0" w:color="auto"/>
            </w:tcBorders>
            <w:shd w:val="clear" w:color="auto" w:fill="auto"/>
            <w:vAlign w:val="center"/>
            <w:hideMark/>
          </w:tcPr>
          <w:p w14:paraId="3D68522E"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WB</w:t>
            </w:r>
          </w:p>
        </w:tc>
        <w:tc>
          <w:tcPr>
            <w:tcW w:w="815" w:type="dxa"/>
            <w:tcBorders>
              <w:top w:val="nil"/>
              <w:left w:val="nil"/>
              <w:bottom w:val="single" w:sz="4" w:space="0" w:color="auto"/>
              <w:right w:val="single" w:sz="4" w:space="0" w:color="auto"/>
            </w:tcBorders>
            <w:shd w:val="clear" w:color="auto" w:fill="auto"/>
            <w:vAlign w:val="center"/>
            <w:hideMark/>
          </w:tcPr>
          <w:p w14:paraId="662593A3"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8,5</w:t>
            </w:r>
          </w:p>
        </w:tc>
        <w:tc>
          <w:tcPr>
            <w:tcW w:w="849" w:type="dxa"/>
            <w:tcBorders>
              <w:top w:val="nil"/>
              <w:left w:val="nil"/>
              <w:bottom w:val="single" w:sz="4" w:space="0" w:color="auto"/>
              <w:right w:val="single" w:sz="4" w:space="0" w:color="auto"/>
            </w:tcBorders>
            <w:shd w:val="clear" w:color="auto" w:fill="auto"/>
            <w:vAlign w:val="center"/>
            <w:hideMark/>
          </w:tcPr>
          <w:p w14:paraId="4A9DC7C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8,67</w:t>
            </w:r>
          </w:p>
        </w:tc>
        <w:tc>
          <w:tcPr>
            <w:tcW w:w="766" w:type="dxa"/>
            <w:tcBorders>
              <w:top w:val="nil"/>
              <w:left w:val="nil"/>
              <w:bottom w:val="single" w:sz="4" w:space="0" w:color="auto"/>
              <w:right w:val="single" w:sz="4" w:space="0" w:color="auto"/>
            </w:tcBorders>
            <w:shd w:val="clear" w:color="auto" w:fill="auto"/>
            <w:vAlign w:val="center"/>
            <w:hideMark/>
          </w:tcPr>
          <w:p w14:paraId="22051467"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37EC6C5D"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0A46F0EE" w14:textId="77777777" w:rsidTr="00053B2B">
        <w:trPr>
          <w:trHeight w:val="285"/>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5799B1"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3. </w:t>
            </w:r>
            <w:r w:rsidR="008219D5" w:rsidRPr="00092ED7">
              <w:rPr>
                <w:rFonts w:eastAsia="Times New Roman" w:cs="Times New Roman"/>
                <w:color w:val="000000"/>
                <w:sz w:val="20"/>
                <w:szCs w:val="20"/>
                <w:lang w:val="sr-Cyrl-CS" w:eastAsia="sr-Latn-RS"/>
              </w:rPr>
              <w:t>Исплате домаћинстава из џепа као проценат укупних зд</w:t>
            </w:r>
            <w:r w:rsidRPr="00092ED7">
              <w:rPr>
                <w:rFonts w:eastAsia="Times New Roman" w:cs="Times New Roman"/>
                <w:color w:val="000000"/>
                <w:sz w:val="20"/>
                <w:szCs w:val="20"/>
                <w:lang w:val="sr-Cyrl-CS" w:eastAsia="sr-Latn-RS"/>
              </w:rPr>
              <w:t>равствених трошкова</w:t>
            </w:r>
          </w:p>
        </w:tc>
        <w:tc>
          <w:tcPr>
            <w:tcW w:w="1261" w:type="dxa"/>
            <w:tcBorders>
              <w:top w:val="nil"/>
              <w:left w:val="nil"/>
              <w:bottom w:val="single" w:sz="4" w:space="0" w:color="auto"/>
              <w:right w:val="single" w:sz="4" w:space="0" w:color="auto"/>
            </w:tcBorders>
            <w:shd w:val="clear" w:color="auto" w:fill="auto"/>
            <w:vAlign w:val="center"/>
            <w:hideMark/>
          </w:tcPr>
          <w:p w14:paraId="19B004E1"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WB</w:t>
            </w:r>
          </w:p>
        </w:tc>
        <w:tc>
          <w:tcPr>
            <w:tcW w:w="815" w:type="dxa"/>
            <w:tcBorders>
              <w:top w:val="nil"/>
              <w:left w:val="nil"/>
              <w:bottom w:val="single" w:sz="4" w:space="0" w:color="auto"/>
              <w:right w:val="single" w:sz="4" w:space="0" w:color="auto"/>
            </w:tcBorders>
            <w:shd w:val="clear" w:color="auto" w:fill="auto"/>
            <w:vAlign w:val="center"/>
            <w:hideMark/>
          </w:tcPr>
          <w:p w14:paraId="10B7DCAB"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38,3</w:t>
            </w:r>
          </w:p>
        </w:tc>
        <w:tc>
          <w:tcPr>
            <w:tcW w:w="849" w:type="dxa"/>
            <w:tcBorders>
              <w:top w:val="nil"/>
              <w:left w:val="nil"/>
              <w:bottom w:val="single" w:sz="4" w:space="0" w:color="auto"/>
              <w:right w:val="single" w:sz="4" w:space="0" w:color="auto"/>
            </w:tcBorders>
            <w:shd w:val="clear" w:color="auto" w:fill="auto"/>
            <w:vAlign w:val="center"/>
            <w:hideMark/>
          </w:tcPr>
          <w:p w14:paraId="7899570C"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37,04</w:t>
            </w:r>
          </w:p>
        </w:tc>
        <w:tc>
          <w:tcPr>
            <w:tcW w:w="766" w:type="dxa"/>
            <w:tcBorders>
              <w:top w:val="nil"/>
              <w:left w:val="nil"/>
              <w:bottom w:val="single" w:sz="4" w:space="0" w:color="auto"/>
              <w:right w:val="single" w:sz="4" w:space="0" w:color="auto"/>
            </w:tcBorders>
            <w:shd w:val="clear" w:color="auto" w:fill="auto"/>
            <w:vAlign w:val="center"/>
            <w:hideMark/>
          </w:tcPr>
          <w:p w14:paraId="2DAD59C7"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6E59E8DA"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6905B47D"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958625"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4. </w:t>
            </w:r>
            <w:r w:rsidR="008219D5" w:rsidRPr="00092ED7">
              <w:rPr>
                <w:rFonts w:eastAsia="Times New Roman" w:cs="Times New Roman"/>
                <w:color w:val="000000"/>
                <w:sz w:val="20"/>
                <w:szCs w:val="20"/>
                <w:lang w:val="sr-Cyrl-CS" w:eastAsia="sr-Latn-RS"/>
              </w:rPr>
              <w:t>Проценат становништва који није обухваћен здравственим осигурањем</w:t>
            </w:r>
          </w:p>
        </w:tc>
        <w:tc>
          <w:tcPr>
            <w:tcW w:w="1261" w:type="dxa"/>
            <w:tcBorders>
              <w:top w:val="nil"/>
              <w:left w:val="nil"/>
              <w:bottom w:val="single" w:sz="4" w:space="0" w:color="auto"/>
              <w:right w:val="single" w:sz="4" w:space="0" w:color="auto"/>
            </w:tcBorders>
            <w:shd w:val="clear" w:color="auto" w:fill="auto"/>
            <w:vAlign w:val="center"/>
            <w:hideMark/>
          </w:tcPr>
          <w:p w14:paraId="29480F50"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4C8029AF"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6BCBEC33"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09314143"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41A16DFF"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17B4061D"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EA0BFC"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5. </w:t>
            </w:r>
            <w:r w:rsidR="008219D5" w:rsidRPr="00092ED7">
              <w:rPr>
                <w:rFonts w:eastAsia="Times New Roman" w:cs="Times New Roman"/>
                <w:color w:val="000000"/>
                <w:sz w:val="20"/>
                <w:szCs w:val="20"/>
                <w:lang w:val="sr-Cyrl-CS" w:eastAsia="sr-Latn-RS"/>
              </w:rPr>
              <w:t>О</w:t>
            </w:r>
            <w:r w:rsidRPr="00092ED7">
              <w:rPr>
                <w:rFonts w:eastAsia="Times New Roman" w:cs="Times New Roman"/>
                <w:color w:val="000000"/>
                <w:sz w:val="20"/>
                <w:szCs w:val="20"/>
                <w:lang w:val="sr-Cyrl-CS" w:eastAsia="sr-Latn-RS"/>
              </w:rPr>
              <w:t>днос лекара на 1000 становника</w:t>
            </w:r>
          </w:p>
        </w:tc>
        <w:tc>
          <w:tcPr>
            <w:tcW w:w="1261" w:type="dxa"/>
            <w:tcBorders>
              <w:top w:val="nil"/>
              <w:left w:val="nil"/>
              <w:bottom w:val="single" w:sz="4" w:space="0" w:color="auto"/>
              <w:right w:val="single" w:sz="4" w:space="0" w:color="auto"/>
            </w:tcBorders>
            <w:shd w:val="clear" w:color="auto" w:fill="auto"/>
            <w:vAlign w:val="center"/>
            <w:hideMark/>
          </w:tcPr>
          <w:p w14:paraId="1FDA7D98"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РЗС</w:t>
            </w:r>
          </w:p>
        </w:tc>
        <w:tc>
          <w:tcPr>
            <w:tcW w:w="815" w:type="dxa"/>
            <w:tcBorders>
              <w:top w:val="nil"/>
              <w:left w:val="nil"/>
              <w:bottom w:val="single" w:sz="4" w:space="0" w:color="auto"/>
              <w:right w:val="single" w:sz="4" w:space="0" w:color="auto"/>
            </w:tcBorders>
            <w:shd w:val="clear" w:color="auto" w:fill="auto"/>
            <w:vAlign w:val="center"/>
            <w:hideMark/>
          </w:tcPr>
          <w:p w14:paraId="1C10E8CB"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3,1</w:t>
            </w:r>
          </w:p>
        </w:tc>
        <w:tc>
          <w:tcPr>
            <w:tcW w:w="849" w:type="dxa"/>
            <w:tcBorders>
              <w:top w:val="nil"/>
              <w:left w:val="nil"/>
              <w:bottom w:val="single" w:sz="4" w:space="0" w:color="auto"/>
              <w:right w:val="single" w:sz="4" w:space="0" w:color="auto"/>
            </w:tcBorders>
            <w:shd w:val="clear" w:color="auto" w:fill="auto"/>
            <w:vAlign w:val="center"/>
            <w:hideMark/>
          </w:tcPr>
          <w:p w14:paraId="4FBF6C8B"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2,9</w:t>
            </w:r>
          </w:p>
        </w:tc>
        <w:tc>
          <w:tcPr>
            <w:tcW w:w="766" w:type="dxa"/>
            <w:tcBorders>
              <w:top w:val="nil"/>
              <w:left w:val="nil"/>
              <w:bottom w:val="single" w:sz="4" w:space="0" w:color="auto"/>
              <w:right w:val="single" w:sz="4" w:space="0" w:color="auto"/>
            </w:tcBorders>
            <w:shd w:val="clear" w:color="auto" w:fill="auto"/>
            <w:vAlign w:val="center"/>
            <w:hideMark/>
          </w:tcPr>
          <w:p w14:paraId="7DB3DE3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2,91</w:t>
            </w:r>
          </w:p>
        </w:tc>
        <w:tc>
          <w:tcPr>
            <w:tcW w:w="843" w:type="dxa"/>
            <w:tcBorders>
              <w:top w:val="nil"/>
              <w:left w:val="nil"/>
              <w:bottom w:val="single" w:sz="4" w:space="0" w:color="auto"/>
              <w:right w:val="single" w:sz="4" w:space="0" w:color="auto"/>
            </w:tcBorders>
            <w:shd w:val="clear" w:color="auto" w:fill="auto"/>
            <w:vAlign w:val="center"/>
            <w:hideMark/>
          </w:tcPr>
          <w:p w14:paraId="78600BDD"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2,95</w:t>
            </w:r>
          </w:p>
        </w:tc>
      </w:tr>
      <w:tr w:rsidR="008219D5" w:rsidRPr="00092ED7" w14:paraId="34D82AC0"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5B3E81"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6. </w:t>
            </w:r>
            <w:r w:rsidR="008219D5" w:rsidRPr="00092ED7">
              <w:rPr>
                <w:rFonts w:eastAsia="Times New Roman" w:cs="Times New Roman"/>
                <w:color w:val="000000"/>
                <w:sz w:val="20"/>
                <w:szCs w:val="20"/>
                <w:lang w:val="sr-Cyrl-CS" w:eastAsia="sr-Latn-RS"/>
              </w:rPr>
              <w:t>Однос медицин</w:t>
            </w:r>
            <w:r w:rsidRPr="00092ED7">
              <w:rPr>
                <w:rFonts w:eastAsia="Times New Roman" w:cs="Times New Roman"/>
                <w:color w:val="000000"/>
                <w:sz w:val="20"/>
                <w:szCs w:val="20"/>
                <w:lang w:val="sr-Cyrl-CS" w:eastAsia="sr-Latn-RS"/>
              </w:rPr>
              <w:t>ских сестара на 1000 становника</w:t>
            </w:r>
          </w:p>
        </w:tc>
        <w:tc>
          <w:tcPr>
            <w:tcW w:w="1261" w:type="dxa"/>
            <w:tcBorders>
              <w:top w:val="nil"/>
              <w:left w:val="nil"/>
              <w:bottom w:val="single" w:sz="4" w:space="0" w:color="auto"/>
              <w:right w:val="single" w:sz="4" w:space="0" w:color="auto"/>
            </w:tcBorders>
            <w:shd w:val="clear" w:color="auto" w:fill="auto"/>
            <w:vAlign w:val="center"/>
            <w:hideMark/>
          </w:tcPr>
          <w:p w14:paraId="7779CF00"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РЗС</w:t>
            </w:r>
          </w:p>
        </w:tc>
        <w:tc>
          <w:tcPr>
            <w:tcW w:w="815" w:type="dxa"/>
            <w:tcBorders>
              <w:top w:val="nil"/>
              <w:left w:val="nil"/>
              <w:bottom w:val="single" w:sz="4" w:space="0" w:color="auto"/>
              <w:right w:val="single" w:sz="4" w:space="0" w:color="auto"/>
            </w:tcBorders>
            <w:shd w:val="clear" w:color="auto" w:fill="auto"/>
            <w:vAlign w:val="center"/>
            <w:hideMark/>
          </w:tcPr>
          <w:p w14:paraId="170721D2"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6,6</w:t>
            </w:r>
          </w:p>
        </w:tc>
        <w:tc>
          <w:tcPr>
            <w:tcW w:w="849" w:type="dxa"/>
            <w:tcBorders>
              <w:top w:val="nil"/>
              <w:left w:val="nil"/>
              <w:bottom w:val="single" w:sz="4" w:space="0" w:color="auto"/>
              <w:right w:val="single" w:sz="4" w:space="0" w:color="auto"/>
            </w:tcBorders>
            <w:shd w:val="clear" w:color="auto" w:fill="auto"/>
            <w:vAlign w:val="center"/>
            <w:hideMark/>
          </w:tcPr>
          <w:p w14:paraId="07A941A5"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6,0</w:t>
            </w:r>
          </w:p>
        </w:tc>
        <w:tc>
          <w:tcPr>
            <w:tcW w:w="766" w:type="dxa"/>
            <w:tcBorders>
              <w:top w:val="nil"/>
              <w:left w:val="nil"/>
              <w:bottom w:val="single" w:sz="4" w:space="0" w:color="auto"/>
              <w:right w:val="single" w:sz="4" w:space="0" w:color="auto"/>
            </w:tcBorders>
            <w:shd w:val="clear" w:color="auto" w:fill="auto"/>
            <w:vAlign w:val="center"/>
            <w:hideMark/>
          </w:tcPr>
          <w:p w14:paraId="03480DF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6,2</w:t>
            </w:r>
          </w:p>
        </w:tc>
        <w:tc>
          <w:tcPr>
            <w:tcW w:w="843" w:type="dxa"/>
            <w:tcBorders>
              <w:top w:val="nil"/>
              <w:left w:val="nil"/>
              <w:bottom w:val="single" w:sz="4" w:space="0" w:color="auto"/>
              <w:right w:val="single" w:sz="4" w:space="0" w:color="auto"/>
            </w:tcBorders>
            <w:shd w:val="clear" w:color="auto" w:fill="auto"/>
            <w:vAlign w:val="center"/>
            <w:hideMark/>
          </w:tcPr>
          <w:p w14:paraId="7E4B9676"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6,32</w:t>
            </w:r>
          </w:p>
        </w:tc>
      </w:tr>
      <w:tr w:rsidR="008219D5" w:rsidRPr="00092ED7" w14:paraId="4EA5ACFD"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ECD84C" w14:textId="77777777" w:rsidR="008219D5" w:rsidRPr="00092ED7" w:rsidRDefault="008219D5" w:rsidP="00734F11">
            <w:pPr>
              <w:spacing w:after="0"/>
              <w:ind w:firstLine="601"/>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Животна средина</w:t>
            </w:r>
          </w:p>
        </w:tc>
        <w:tc>
          <w:tcPr>
            <w:tcW w:w="1261" w:type="dxa"/>
            <w:tcBorders>
              <w:top w:val="nil"/>
              <w:left w:val="nil"/>
              <w:bottom w:val="single" w:sz="4" w:space="0" w:color="auto"/>
              <w:right w:val="single" w:sz="4" w:space="0" w:color="auto"/>
            </w:tcBorders>
            <w:shd w:val="clear" w:color="auto" w:fill="auto"/>
            <w:vAlign w:val="center"/>
            <w:hideMark/>
          </w:tcPr>
          <w:p w14:paraId="1032BF91"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05EBDCFE"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4489C268"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73F3EA38"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6F6D4965"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77154D1D" w14:textId="77777777" w:rsidTr="00053B2B">
        <w:trPr>
          <w:trHeight w:val="52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EA4525"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7. </w:t>
            </w:r>
            <w:r w:rsidR="008219D5" w:rsidRPr="00092ED7">
              <w:rPr>
                <w:rFonts w:eastAsia="Times New Roman" w:cs="Times New Roman"/>
                <w:color w:val="000000"/>
                <w:sz w:val="20"/>
                <w:szCs w:val="20"/>
                <w:lang w:val="sr-Cyrl-CS" w:eastAsia="sr-Latn-RS"/>
              </w:rPr>
              <w:t>Укупни приходи од пореза на животну средину као удео у укупним приходима од пореза и социјалних доприноса</w:t>
            </w:r>
          </w:p>
        </w:tc>
        <w:tc>
          <w:tcPr>
            <w:tcW w:w="1261" w:type="dxa"/>
            <w:tcBorders>
              <w:top w:val="nil"/>
              <w:left w:val="nil"/>
              <w:bottom w:val="single" w:sz="4" w:space="0" w:color="auto"/>
              <w:right w:val="single" w:sz="4" w:space="0" w:color="auto"/>
            </w:tcBorders>
            <w:shd w:val="clear" w:color="auto" w:fill="auto"/>
            <w:vAlign w:val="center"/>
            <w:hideMark/>
          </w:tcPr>
          <w:p w14:paraId="6A6B711C"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РЗС</w:t>
            </w:r>
          </w:p>
        </w:tc>
        <w:tc>
          <w:tcPr>
            <w:tcW w:w="815" w:type="dxa"/>
            <w:tcBorders>
              <w:top w:val="nil"/>
              <w:left w:val="nil"/>
              <w:bottom w:val="single" w:sz="4" w:space="0" w:color="auto"/>
              <w:right w:val="single" w:sz="4" w:space="0" w:color="auto"/>
            </w:tcBorders>
            <w:shd w:val="clear" w:color="auto" w:fill="auto"/>
            <w:vAlign w:val="center"/>
            <w:hideMark/>
          </w:tcPr>
          <w:p w14:paraId="36DF22C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11,1</w:t>
            </w:r>
          </w:p>
        </w:tc>
        <w:tc>
          <w:tcPr>
            <w:tcW w:w="849" w:type="dxa"/>
            <w:tcBorders>
              <w:top w:val="nil"/>
              <w:left w:val="nil"/>
              <w:bottom w:val="single" w:sz="4" w:space="0" w:color="auto"/>
              <w:right w:val="single" w:sz="4" w:space="0" w:color="auto"/>
            </w:tcBorders>
            <w:shd w:val="clear" w:color="auto" w:fill="auto"/>
            <w:vAlign w:val="center"/>
            <w:hideMark/>
          </w:tcPr>
          <w:p w14:paraId="294508F3"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11</w:t>
            </w:r>
          </w:p>
        </w:tc>
        <w:tc>
          <w:tcPr>
            <w:tcW w:w="766" w:type="dxa"/>
            <w:tcBorders>
              <w:top w:val="nil"/>
              <w:left w:val="nil"/>
              <w:bottom w:val="single" w:sz="4" w:space="0" w:color="auto"/>
              <w:right w:val="single" w:sz="4" w:space="0" w:color="auto"/>
            </w:tcBorders>
            <w:shd w:val="clear" w:color="auto" w:fill="auto"/>
            <w:vAlign w:val="center"/>
            <w:hideMark/>
          </w:tcPr>
          <w:p w14:paraId="58752D04"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10,3</w:t>
            </w:r>
          </w:p>
        </w:tc>
        <w:tc>
          <w:tcPr>
            <w:tcW w:w="843" w:type="dxa"/>
            <w:tcBorders>
              <w:top w:val="nil"/>
              <w:left w:val="nil"/>
              <w:bottom w:val="single" w:sz="4" w:space="0" w:color="auto"/>
              <w:right w:val="single" w:sz="4" w:space="0" w:color="auto"/>
            </w:tcBorders>
            <w:shd w:val="clear" w:color="auto" w:fill="auto"/>
            <w:vAlign w:val="center"/>
            <w:hideMark/>
          </w:tcPr>
          <w:p w14:paraId="224CCB05"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499E4507"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3C4AA0"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8. </w:t>
            </w:r>
            <w:r w:rsidR="008219D5" w:rsidRPr="00092ED7">
              <w:rPr>
                <w:rFonts w:eastAsia="Times New Roman" w:cs="Times New Roman"/>
                <w:color w:val="000000"/>
                <w:sz w:val="20"/>
                <w:szCs w:val="20"/>
                <w:lang w:val="sr-Cyrl-CS" w:eastAsia="sr-Latn-RS"/>
              </w:rPr>
              <w:t>Емисије гасова са ефект</w:t>
            </w:r>
            <w:r w:rsidRPr="00092ED7">
              <w:rPr>
                <w:rFonts w:eastAsia="Times New Roman" w:cs="Times New Roman"/>
                <w:color w:val="000000"/>
                <w:sz w:val="20"/>
                <w:szCs w:val="20"/>
                <w:lang w:val="sr-Cyrl-CS" w:eastAsia="sr-Latn-RS"/>
              </w:rPr>
              <w:t>ом стаклене баште по становнику</w:t>
            </w:r>
          </w:p>
        </w:tc>
        <w:tc>
          <w:tcPr>
            <w:tcW w:w="1261" w:type="dxa"/>
            <w:tcBorders>
              <w:top w:val="nil"/>
              <w:left w:val="nil"/>
              <w:bottom w:val="single" w:sz="4" w:space="0" w:color="auto"/>
              <w:right w:val="single" w:sz="4" w:space="0" w:color="auto"/>
            </w:tcBorders>
            <w:shd w:val="clear" w:color="auto" w:fill="auto"/>
            <w:vAlign w:val="center"/>
            <w:hideMark/>
          </w:tcPr>
          <w:p w14:paraId="2F077D9F"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4D6AF7A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8,81</w:t>
            </w:r>
          </w:p>
        </w:tc>
        <w:tc>
          <w:tcPr>
            <w:tcW w:w="849" w:type="dxa"/>
            <w:tcBorders>
              <w:top w:val="nil"/>
              <w:left w:val="nil"/>
              <w:bottom w:val="single" w:sz="4" w:space="0" w:color="auto"/>
              <w:right w:val="single" w:sz="4" w:space="0" w:color="auto"/>
            </w:tcBorders>
            <w:shd w:val="clear" w:color="auto" w:fill="auto"/>
            <w:vAlign w:val="center"/>
            <w:hideMark/>
          </w:tcPr>
          <w:p w14:paraId="1BABB90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8,91</w:t>
            </w:r>
          </w:p>
        </w:tc>
        <w:tc>
          <w:tcPr>
            <w:tcW w:w="766" w:type="dxa"/>
            <w:tcBorders>
              <w:top w:val="nil"/>
              <w:left w:val="nil"/>
              <w:bottom w:val="single" w:sz="4" w:space="0" w:color="auto"/>
              <w:right w:val="single" w:sz="4" w:space="0" w:color="auto"/>
            </w:tcBorders>
            <w:shd w:val="clear" w:color="auto" w:fill="auto"/>
            <w:vAlign w:val="center"/>
            <w:hideMark/>
          </w:tcPr>
          <w:p w14:paraId="25E628F2"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09BD98DE"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32D97594"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CB0937"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9. </w:t>
            </w:r>
            <w:r w:rsidR="008219D5" w:rsidRPr="00092ED7">
              <w:rPr>
                <w:rFonts w:eastAsia="Times New Roman" w:cs="Times New Roman"/>
                <w:color w:val="000000"/>
                <w:sz w:val="20"/>
                <w:szCs w:val="20"/>
                <w:lang w:val="sr-Cyrl-CS" w:eastAsia="sr-Latn-RS"/>
              </w:rPr>
              <w:t>Стварање отпада, искљ</w:t>
            </w:r>
            <w:r w:rsidRPr="00092ED7">
              <w:rPr>
                <w:rFonts w:eastAsia="Times New Roman" w:cs="Times New Roman"/>
                <w:color w:val="000000"/>
                <w:sz w:val="20"/>
                <w:szCs w:val="20"/>
                <w:lang w:val="sr-Cyrl-CS" w:eastAsia="sr-Latn-RS"/>
              </w:rPr>
              <w:t>учујући главни минерални отпад</w:t>
            </w:r>
          </w:p>
        </w:tc>
        <w:tc>
          <w:tcPr>
            <w:tcW w:w="1261" w:type="dxa"/>
            <w:tcBorders>
              <w:top w:val="nil"/>
              <w:left w:val="nil"/>
              <w:bottom w:val="single" w:sz="4" w:space="0" w:color="auto"/>
              <w:right w:val="single" w:sz="4" w:space="0" w:color="auto"/>
            </w:tcBorders>
            <w:shd w:val="clear" w:color="auto" w:fill="auto"/>
            <w:vAlign w:val="center"/>
            <w:hideMark/>
          </w:tcPr>
          <w:p w14:paraId="232D5D7F"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1E6894CD"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1.704</w:t>
            </w:r>
          </w:p>
        </w:tc>
        <w:tc>
          <w:tcPr>
            <w:tcW w:w="849" w:type="dxa"/>
            <w:tcBorders>
              <w:top w:val="nil"/>
              <w:left w:val="nil"/>
              <w:bottom w:val="single" w:sz="4" w:space="0" w:color="auto"/>
              <w:right w:val="single" w:sz="4" w:space="0" w:color="auto"/>
            </w:tcBorders>
            <w:shd w:val="clear" w:color="auto" w:fill="auto"/>
            <w:vAlign w:val="center"/>
            <w:hideMark/>
          </w:tcPr>
          <w:p w14:paraId="2D2130C6"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6D58ED86"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w:t>
            </w:r>
            <w:r w:rsidR="00734F11" w:rsidRPr="00092ED7">
              <w:rPr>
                <w:rFonts w:eastAsia="Times New Roman" w:cs="Times New Roman"/>
                <w:sz w:val="20"/>
                <w:szCs w:val="20"/>
                <w:lang w:val="sr-Cyrl-CS" w:eastAsia="sr-Latn-RS"/>
              </w:rPr>
              <w:t>.</w:t>
            </w:r>
            <w:r w:rsidRPr="00092ED7">
              <w:rPr>
                <w:rFonts w:eastAsia="Times New Roman" w:cs="Times New Roman"/>
                <w:sz w:val="20"/>
                <w:szCs w:val="20"/>
                <w:lang w:val="sr-Cyrl-CS" w:eastAsia="sr-Latn-RS"/>
              </w:rPr>
              <w:t>766</w:t>
            </w:r>
          </w:p>
        </w:tc>
        <w:tc>
          <w:tcPr>
            <w:tcW w:w="843" w:type="dxa"/>
            <w:tcBorders>
              <w:top w:val="nil"/>
              <w:left w:val="nil"/>
              <w:bottom w:val="single" w:sz="4" w:space="0" w:color="auto"/>
              <w:right w:val="single" w:sz="4" w:space="0" w:color="auto"/>
            </w:tcBorders>
            <w:shd w:val="clear" w:color="auto" w:fill="auto"/>
            <w:vAlign w:val="center"/>
            <w:hideMark/>
          </w:tcPr>
          <w:p w14:paraId="079D2678"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3C4071A6"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807A24" w14:textId="77777777" w:rsidR="008219D5" w:rsidRPr="00092ED7" w:rsidRDefault="008219D5" w:rsidP="00734F11">
            <w:pPr>
              <w:spacing w:after="0"/>
              <w:ind w:firstLine="601"/>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Дигитална економија</w:t>
            </w:r>
          </w:p>
        </w:tc>
        <w:tc>
          <w:tcPr>
            <w:tcW w:w="1261" w:type="dxa"/>
            <w:tcBorders>
              <w:top w:val="nil"/>
              <w:left w:val="nil"/>
              <w:bottom w:val="single" w:sz="4" w:space="0" w:color="auto"/>
              <w:right w:val="single" w:sz="4" w:space="0" w:color="auto"/>
            </w:tcBorders>
            <w:shd w:val="clear" w:color="auto" w:fill="auto"/>
            <w:vAlign w:val="center"/>
            <w:hideMark/>
          </w:tcPr>
          <w:p w14:paraId="6ADAACF0"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622968AC"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69A1877E"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74D7D406"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16EDCF8F"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18EC9740"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54B8D6"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10. Проценат домаћинстава са широкопојасним приступом (мобилни и фиксни)</w:t>
            </w:r>
          </w:p>
        </w:tc>
        <w:tc>
          <w:tcPr>
            <w:tcW w:w="1261" w:type="dxa"/>
            <w:tcBorders>
              <w:top w:val="nil"/>
              <w:left w:val="nil"/>
              <w:bottom w:val="single" w:sz="4" w:space="0" w:color="auto"/>
              <w:right w:val="single" w:sz="4" w:space="0" w:color="auto"/>
            </w:tcBorders>
            <w:shd w:val="clear" w:color="auto" w:fill="auto"/>
            <w:vAlign w:val="center"/>
            <w:hideMark/>
          </w:tcPr>
          <w:p w14:paraId="4043A0D1"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7D7D38CE"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73</w:t>
            </w:r>
          </w:p>
        </w:tc>
        <w:tc>
          <w:tcPr>
            <w:tcW w:w="849" w:type="dxa"/>
            <w:tcBorders>
              <w:top w:val="nil"/>
              <w:left w:val="nil"/>
              <w:bottom w:val="single" w:sz="4" w:space="0" w:color="auto"/>
              <w:right w:val="single" w:sz="4" w:space="0" w:color="auto"/>
            </w:tcBorders>
            <w:shd w:val="clear" w:color="auto" w:fill="auto"/>
            <w:vAlign w:val="center"/>
            <w:hideMark/>
          </w:tcPr>
          <w:p w14:paraId="47F9309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79</w:t>
            </w:r>
          </w:p>
        </w:tc>
        <w:tc>
          <w:tcPr>
            <w:tcW w:w="766" w:type="dxa"/>
            <w:tcBorders>
              <w:top w:val="nil"/>
              <w:left w:val="nil"/>
              <w:bottom w:val="single" w:sz="4" w:space="0" w:color="auto"/>
              <w:right w:val="single" w:sz="4" w:space="0" w:color="auto"/>
            </w:tcBorders>
            <w:shd w:val="clear" w:color="auto" w:fill="auto"/>
            <w:vAlign w:val="center"/>
            <w:hideMark/>
          </w:tcPr>
          <w:p w14:paraId="3DCA178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81</w:t>
            </w:r>
          </w:p>
        </w:tc>
        <w:tc>
          <w:tcPr>
            <w:tcW w:w="843" w:type="dxa"/>
            <w:tcBorders>
              <w:top w:val="nil"/>
              <w:left w:val="nil"/>
              <w:bottom w:val="single" w:sz="4" w:space="0" w:color="auto"/>
              <w:right w:val="single" w:sz="4" w:space="0" w:color="auto"/>
            </w:tcBorders>
            <w:shd w:val="clear" w:color="auto" w:fill="auto"/>
            <w:vAlign w:val="center"/>
            <w:hideMark/>
          </w:tcPr>
          <w:p w14:paraId="0CF4730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81</w:t>
            </w:r>
          </w:p>
        </w:tc>
      </w:tr>
      <w:tr w:rsidR="008219D5" w:rsidRPr="00092ED7" w14:paraId="3DA541F6"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733A55"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11. Удео у укупном становништву које користи Интернет </w:t>
            </w:r>
            <w:r w:rsidR="00734F11" w:rsidRPr="00092ED7">
              <w:rPr>
                <w:rFonts w:eastAsia="Times New Roman" w:cs="Times New Roman"/>
                <w:color w:val="000000"/>
                <w:sz w:val="20"/>
                <w:szCs w:val="20"/>
                <w:lang w:val="sr-Cyrl-CS" w:eastAsia="sr-Latn-RS"/>
              </w:rPr>
              <w:t>(НБ: становништво 16-74)</w:t>
            </w:r>
          </w:p>
        </w:tc>
        <w:tc>
          <w:tcPr>
            <w:tcW w:w="1261" w:type="dxa"/>
            <w:tcBorders>
              <w:top w:val="nil"/>
              <w:left w:val="nil"/>
              <w:bottom w:val="single" w:sz="4" w:space="0" w:color="auto"/>
              <w:right w:val="single" w:sz="4" w:space="0" w:color="auto"/>
            </w:tcBorders>
            <w:shd w:val="clear" w:color="auto" w:fill="auto"/>
            <w:vAlign w:val="center"/>
            <w:hideMark/>
          </w:tcPr>
          <w:p w14:paraId="2A919EAE"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2F813DD9"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57</w:t>
            </w:r>
          </w:p>
        </w:tc>
        <w:tc>
          <w:tcPr>
            <w:tcW w:w="849" w:type="dxa"/>
            <w:tcBorders>
              <w:top w:val="nil"/>
              <w:left w:val="nil"/>
              <w:bottom w:val="single" w:sz="4" w:space="0" w:color="auto"/>
              <w:right w:val="single" w:sz="4" w:space="0" w:color="auto"/>
            </w:tcBorders>
            <w:shd w:val="clear" w:color="auto" w:fill="auto"/>
            <w:vAlign w:val="center"/>
            <w:hideMark/>
          </w:tcPr>
          <w:p w14:paraId="0C2E6FFF"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62</w:t>
            </w:r>
          </w:p>
        </w:tc>
        <w:tc>
          <w:tcPr>
            <w:tcW w:w="766" w:type="dxa"/>
            <w:tcBorders>
              <w:top w:val="nil"/>
              <w:left w:val="nil"/>
              <w:bottom w:val="single" w:sz="4" w:space="0" w:color="auto"/>
              <w:right w:val="single" w:sz="4" w:space="0" w:color="auto"/>
            </w:tcBorders>
            <w:shd w:val="clear" w:color="auto" w:fill="auto"/>
            <w:vAlign w:val="center"/>
            <w:hideMark/>
          </w:tcPr>
          <w:p w14:paraId="6C8B4C05"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36F05979"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704F035D"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E04D64" w14:textId="77777777" w:rsidR="008219D5" w:rsidRPr="00092ED7" w:rsidRDefault="008219D5" w:rsidP="00734F11">
            <w:pPr>
              <w:spacing w:after="0"/>
              <w:ind w:firstLineChars="300" w:firstLine="602"/>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Енергија</w:t>
            </w:r>
          </w:p>
        </w:tc>
        <w:tc>
          <w:tcPr>
            <w:tcW w:w="1261" w:type="dxa"/>
            <w:tcBorders>
              <w:top w:val="nil"/>
              <w:left w:val="nil"/>
              <w:bottom w:val="single" w:sz="4" w:space="0" w:color="auto"/>
              <w:right w:val="single" w:sz="4" w:space="0" w:color="auto"/>
            </w:tcBorders>
            <w:shd w:val="clear" w:color="auto" w:fill="auto"/>
            <w:vAlign w:val="center"/>
            <w:hideMark/>
          </w:tcPr>
          <w:p w14:paraId="4305B2B2"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4CA52770"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76E6C62E"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0E4DD264"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5A8D0D95"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064AEC97"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40F8C1"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12. Зависност од увоза енергије (%)</w:t>
            </w:r>
          </w:p>
        </w:tc>
        <w:tc>
          <w:tcPr>
            <w:tcW w:w="1261" w:type="dxa"/>
            <w:tcBorders>
              <w:top w:val="nil"/>
              <w:left w:val="nil"/>
              <w:bottom w:val="single" w:sz="4" w:space="0" w:color="auto"/>
              <w:right w:val="single" w:sz="4" w:space="0" w:color="auto"/>
            </w:tcBorders>
            <w:shd w:val="clear" w:color="auto" w:fill="auto"/>
            <w:vAlign w:val="center"/>
            <w:hideMark/>
          </w:tcPr>
          <w:p w14:paraId="3193C23B"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0C8F1B2B"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34,6</w:t>
            </w:r>
          </w:p>
        </w:tc>
        <w:tc>
          <w:tcPr>
            <w:tcW w:w="849" w:type="dxa"/>
            <w:tcBorders>
              <w:top w:val="nil"/>
              <w:left w:val="nil"/>
              <w:bottom w:val="single" w:sz="4" w:space="0" w:color="auto"/>
              <w:right w:val="single" w:sz="4" w:space="0" w:color="auto"/>
            </w:tcBorders>
            <w:shd w:val="clear" w:color="auto" w:fill="auto"/>
            <w:vAlign w:val="center"/>
            <w:hideMark/>
          </w:tcPr>
          <w:p w14:paraId="6911E9E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35,6</w:t>
            </w:r>
          </w:p>
        </w:tc>
        <w:tc>
          <w:tcPr>
            <w:tcW w:w="766" w:type="dxa"/>
            <w:tcBorders>
              <w:top w:val="nil"/>
              <w:left w:val="nil"/>
              <w:bottom w:val="single" w:sz="4" w:space="0" w:color="auto"/>
              <w:right w:val="single" w:sz="4" w:space="0" w:color="auto"/>
            </w:tcBorders>
            <w:shd w:val="clear" w:color="auto" w:fill="auto"/>
            <w:vAlign w:val="center"/>
            <w:hideMark/>
          </w:tcPr>
          <w:p w14:paraId="6F474657"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29,8</w:t>
            </w:r>
          </w:p>
        </w:tc>
        <w:tc>
          <w:tcPr>
            <w:tcW w:w="843" w:type="dxa"/>
            <w:tcBorders>
              <w:top w:val="nil"/>
              <w:left w:val="nil"/>
              <w:bottom w:val="single" w:sz="4" w:space="0" w:color="auto"/>
              <w:right w:val="single" w:sz="4" w:space="0" w:color="auto"/>
            </w:tcBorders>
            <w:shd w:val="clear" w:color="auto" w:fill="auto"/>
            <w:vAlign w:val="center"/>
            <w:hideMark/>
          </w:tcPr>
          <w:p w14:paraId="1C626860"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4554882E"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631BCD"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13. Енергетски интензитет: Килограми нафтног еквивалента (KGOE) на хиљаду евра</w:t>
            </w:r>
          </w:p>
        </w:tc>
        <w:tc>
          <w:tcPr>
            <w:tcW w:w="1261" w:type="dxa"/>
            <w:tcBorders>
              <w:top w:val="nil"/>
              <w:left w:val="nil"/>
              <w:bottom w:val="single" w:sz="4" w:space="0" w:color="auto"/>
              <w:right w:val="single" w:sz="4" w:space="0" w:color="auto"/>
            </w:tcBorders>
            <w:shd w:val="clear" w:color="auto" w:fill="auto"/>
            <w:vAlign w:val="center"/>
            <w:hideMark/>
          </w:tcPr>
          <w:p w14:paraId="0C2E2AC4"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622B69E2"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427,84</w:t>
            </w:r>
          </w:p>
        </w:tc>
        <w:tc>
          <w:tcPr>
            <w:tcW w:w="849" w:type="dxa"/>
            <w:tcBorders>
              <w:top w:val="nil"/>
              <w:left w:val="nil"/>
              <w:bottom w:val="single" w:sz="4" w:space="0" w:color="auto"/>
              <w:right w:val="single" w:sz="4" w:space="0" w:color="auto"/>
            </w:tcBorders>
            <w:shd w:val="clear" w:color="auto" w:fill="auto"/>
            <w:vAlign w:val="center"/>
            <w:hideMark/>
          </w:tcPr>
          <w:p w14:paraId="3689E449"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407,21</w:t>
            </w:r>
          </w:p>
        </w:tc>
        <w:tc>
          <w:tcPr>
            <w:tcW w:w="766" w:type="dxa"/>
            <w:tcBorders>
              <w:top w:val="nil"/>
              <w:left w:val="nil"/>
              <w:bottom w:val="single" w:sz="4" w:space="0" w:color="auto"/>
              <w:right w:val="single" w:sz="4" w:space="0" w:color="auto"/>
            </w:tcBorders>
            <w:shd w:val="clear" w:color="auto" w:fill="auto"/>
            <w:vAlign w:val="center"/>
            <w:hideMark/>
          </w:tcPr>
          <w:p w14:paraId="63078E8C"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424,23</w:t>
            </w:r>
          </w:p>
        </w:tc>
        <w:tc>
          <w:tcPr>
            <w:tcW w:w="843" w:type="dxa"/>
            <w:tcBorders>
              <w:top w:val="nil"/>
              <w:left w:val="nil"/>
              <w:bottom w:val="single" w:sz="4" w:space="0" w:color="auto"/>
              <w:right w:val="single" w:sz="4" w:space="0" w:color="auto"/>
            </w:tcBorders>
            <w:shd w:val="clear" w:color="auto" w:fill="auto"/>
            <w:vAlign w:val="center"/>
            <w:hideMark/>
          </w:tcPr>
          <w:p w14:paraId="33F47C62"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6C349311"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F9189D"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14. Удео обновљивих извора енергије (RES) у финалној потрошњи енергије (%)</w:t>
            </w:r>
          </w:p>
        </w:tc>
        <w:tc>
          <w:tcPr>
            <w:tcW w:w="1261" w:type="dxa"/>
            <w:tcBorders>
              <w:top w:val="nil"/>
              <w:left w:val="nil"/>
              <w:bottom w:val="single" w:sz="4" w:space="0" w:color="auto"/>
              <w:right w:val="single" w:sz="4" w:space="0" w:color="auto"/>
            </w:tcBorders>
            <w:shd w:val="clear" w:color="auto" w:fill="auto"/>
            <w:vAlign w:val="center"/>
            <w:hideMark/>
          </w:tcPr>
          <w:p w14:paraId="2D3218F3"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75F3FAEA"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20,3</w:t>
            </w:r>
          </w:p>
        </w:tc>
        <w:tc>
          <w:tcPr>
            <w:tcW w:w="849" w:type="dxa"/>
            <w:tcBorders>
              <w:top w:val="nil"/>
              <w:left w:val="nil"/>
              <w:bottom w:val="single" w:sz="4" w:space="0" w:color="auto"/>
              <w:right w:val="single" w:sz="4" w:space="0" w:color="auto"/>
            </w:tcBorders>
            <w:shd w:val="clear" w:color="auto" w:fill="auto"/>
            <w:vAlign w:val="center"/>
            <w:hideMark/>
          </w:tcPr>
          <w:p w14:paraId="2BEDDEA4"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21,4</w:t>
            </w:r>
          </w:p>
        </w:tc>
        <w:tc>
          <w:tcPr>
            <w:tcW w:w="766" w:type="dxa"/>
            <w:tcBorders>
              <w:top w:val="nil"/>
              <w:left w:val="nil"/>
              <w:bottom w:val="single" w:sz="4" w:space="0" w:color="auto"/>
              <w:right w:val="single" w:sz="4" w:space="0" w:color="auto"/>
            </w:tcBorders>
            <w:shd w:val="clear" w:color="auto" w:fill="auto"/>
            <w:vAlign w:val="center"/>
            <w:hideMark/>
          </w:tcPr>
          <w:p w14:paraId="5F830853"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26,0</w:t>
            </w:r>
          </w:p>
        </w:tc>
        <w:tc>
          <w:tcPr>
            <w:tcW w:w="843" w:type="dxa"/>
            <w:tcBorders>
              <w:top w:val="nil"/>
              <w:left w:val="nil"/>
              <w:bottom w:val="single" w:sz="4" w:space="0" w:color="auto"/>
              <w:right w:val="single" w:sz="4" w:space="0" w:color="auto"/>
            </w:tcBorders>
            <w:shd w:val="clear" w:color="auto" w:fill="auto"/>
            <w:vAlign w:val="center"/>
            <w:hideMark/>
          </w:tcPr>
          <w:p w14:paraId="40E354AF"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226D2190"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FAD6AE" w14:textId="77777777" w:rsidR="008219D5" w:rsidRPr="00092ED7" w:rsidRDefault="008219D5" w:rsidP="00734F11">
            <w:pPr>
              <w:spacing w:after="0"/>
              <w:ind w:firstLineChars="300" w:firstLine="602"/>
              <w:jc w:val="left"/>
              <w:rPr>
                <w:rFonts w:eastAsia="Times New Roman" w:cs="Times New Roman"/>
                <w:b/>
                <w:color w:val="000000"/>
                <w:sz w:val="20"/>
                <w:szCs w:val="20"/>
                <w:lang w:val="sr-Cyrl-CS" w:eastAsia="sr-Latn-RS"/>
              </w:rPr>
            </w:pPr>
            <w:r w:rsidRPr="00092ED7">
              <w:rPr>
                <w:rFonts w:eastAsia="Times New Roman" w:cs="Times New Roman"/>
                <w:b/>
                <w:i/>
                <w:color w:val="000000"/>
                <w:sz w:val="20"/>
                <w:szCs w:val="20"/>
                <w:lang w:val="sr-Cyrl-CS" w:eastAsia="sr-Latn-RS"/>
              </w:rPr>
              <w:t>Транспор</w:t>
            </w:r>
            <w:r w:rsidRPr="00092ED7">
              <w:rPr>
                <w:rFonts w:eastAsia="Times New Roman" w:cs="Times New Roman"/>
                <w:b/>
                <w:color w:val="000000"/>
                <w:sz w:val="20"/>
                <w:szCs w:val="20"/>
                <w:lang w:val="sr-Cyrl-CS" w:eastAsia="sr-Latn-RS"/>
              </w:rPr>
              <w:t>т</w:t>
            </w:r>
          </w:p>
        </w:tc>
        <w:tc>
          <w:tcPr>
            <w:tcW w:w="1261" w:type="dxa"/>
            <w:tcBorders>
              <w:top w:val="nil"/>
              <w:left w:val="nil"/>
              <w:bottom w:val="single" w:sz="4" w:space="0" w:color="auto"/>
              <w:right w:val="single" w:sz="4" w:space="0" w:color="auto"/>
            </w:tcBorders>
            <w:shd w:val="clear" w:color="auto" w:fill="auto"/>
            <w:vAlign w:val="center"/>
            <w:hideMark/>
          </w:tcPr>
          <w:p w14:paraId="2D0AB372"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0E92D4EA"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31FEC6D6"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161ED191"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375A68A4"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6234677D"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AD5DD0"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15. Густина железничке мреже (метри пруге по км</w:t>
            </w:r>
            <w:r w:rsidRPr="00092ED7">
              <w:rPr>
                <w:rFonts w:eastAsia="Times New Roman" w:cs="Times New Roman"/>
                <w:color w:val="000000"/>
                <w:sz w:val="20"/>
                <w:szCs w:val="20"/>
                <w:vertAlign w:val="superscript"/>
                <w:lang w:val="sr-Cyrl-CS" w:eastAsia="sr-Latn-RS"/>
              </w:rPr>
              <w:t>2</w:t>
            </w:r>
            <w:r w:rsidRPr="00092ED7">
              <w:rPr>
                <w:rFonts w:eastAsia="Times New Roman" w:cs="Times New Roman"/>
                <w:color w:val="000000"/>
                <w:sz w:val="20"/>
                <w:szCs w:val="20"/>
                <w:lang w:val="sr-Cyrl-CS" w:eastAsia="sr-Latn-RS"/>
              </w:rPr>
              <w:t xml:space="preserve"> копнене површине)</w:t>
            </w:r>
          </w:p>
        </w:tc>
        <w:tc>
          <w:tcPr>
            <w:tcW w:w="1261" w:type="dxa"/>
            <w:tcBorders>
              <w:top w:val="nil"/>
              <w:left w:val="nil"/>
              <w:bottom w:val="single" w:sz="4" w:space="0" w:color="auto"/>
              <w:right w:val="single" w:sz="4" w:space="0" w:color="auto"/>
            </w:tcBorders>
            <w:shd w:val="clear" w:color="auto" w:fill="auto"/>
            <w:vAlign w:val="center"/>
            <w:hideMark/>
          </w:tcPr>
          <w:p w14:paraId="48F4DFDC"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UNECE </w:t>
            </w:r>
          </w:p>
        </w:tc>
        <w:tc>
          <w:tcPr>
            <w:tcW w:w="815" w:type="dxa"/>
            <w:tcBorders>
              <w:top w:val="nil"/>
              <w:left w:val="nil"/>
              <w:bottom w:val="single" w:sz="4" w:space="0" w:color="auto"/>
              <w:right w:val="single" w:sz="4" w:space="0" w:color="auto"/>
            </w:tcBorders>
            <w:shd w:val="clear" w:color="auto" w:fill="auto"/>
            <w:vAlign w:val="center"/>
            <w:hideMark/>
          </w:tcPr>
          <w:p w14:paraId="753CD8F4"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42,53</w:t>
            </w:r>
          </w:p>
        </w:tc>
        <w:tc>
          <w:tcPr>
            <w:tcW w:w="849" w:type="dxa"/>
            <w:tcBorders>
              <w:top w:val="nil"/>
              <w:left w:val="nil"/>
              <w:bottom w:val="single" w:sz="4" w:space="0" w:color="auto"/>
              <w:right w:val="single" w:sz="4" w:space="0" w:color="auto"/>
            </w:tcBorders>
            <w:shd w:val="clear" w:color="auto" w:fill="auto"/>
            <w:vAlign w:val="center"/>
            <w:hideMark/>
          </w:tcPr>
          <w:p w14:paraId="3A5C0745"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42,52</w:t>
            </w:r>
          </w:p>
        </w:tc>
        <w:tc>
          <w:tcPr>
            <w:tcW w:w="766" w:type="dxa"/>
            <w:tcBorders>
              <w:top w:val="nil"/>
              <w:left w:val="nil"/>
              <w:bottom w:val="single" w:sz="4" w:space="0" w:color="auto"/>
              <w:right w:val="single" w:sz="4" w:space="0" w:color="auto"/>
            </w:tcBorders>
            <w:shd w:val="clear" w:color="auto" w:fill="auto"/>
            <w:vAlign w:val="center"/>
            <w:hideMark/>
          </w:tcPr>
          <w:p w14:paraId="778FBB0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38</w:t>
            </w:r>
          </w:p>
        </w:tc>
        <w:tc>
          <w:tcPr>
            <w:tcW w:w="843" w:type="dxa"/>
            <w:tcBorders>
              <w:top w:val="nil"/>
              <w:left w:val="nil"/>
              <w:bottom w:val="single" w:sz="4" w:space="0" w:color="auto"/>
              <w:right w:val="single" w:sz="4" w:space="0" w:color="auto"/>
            </w:tcBorders>
            <w:shd w:val="clear" w:color="auto" w:fill="auto"/>
            <w:vAlign w:val="center"/>
            <w:hideMark/>
          </w:tcPr>
          <w:p w14:paraId="60060681"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77A89918"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732471"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16. Стопа моторизације (Путнички аутомобили на 1000 становника)</w:t>
            </w:r>
          </w:p>
        </w:tc>
        <w:tc>
          <w:tcPr>
            <w:tcW w:w="1261" w:type="dxa"/>
            <w:tcBorders>
              <w:top w:val="nil"/>
              <w:left w:val="nil"/>
              <w:bottom w:val="single" w:sz="4" w:space="0" w:color="auto"/>
              <w:right w:val="single" w:sz="4" w:space="0" w:color="auto"/>
            </w:tcBorders>
            <w:shd w:val="clear" w:color="auto" w:fill="auto"/>
            <w:vAlign w:val="center"/>
            <w:hideMark/>
          </w:tcPr>
          <w:p w14:paraId="4F49CA75"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OECD</w:t>
            </w:r>
          </w:p>
        </w:tc>
        <w:tc>
          <w:tcPr>
            <w:tcW w:w="815" w:type="dxa"/>
            <w:tcBorders>
              <w:top w:val="nil"/>
              <w:left w:val="nil"/>
              <w:bottom w:val="single" w:sz="4" w:space="0" w:color="auto"/>
              <w:right w:val="single" w:sz="4" w:space="0" w:color="auto"/>
            </w:tcBorders>
            <w:shd w:val="clear" w:color="auto" w:fill="auto"/>
            <w:vAlign w:val="center"/>
            <w:hideMark/>
          </w:tcPr>
          <w:p w14:paraId="5CE8C850"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284,1</w:t>
            </w:r>
          </w:p>
        </w:tc>
        <w:tc>
          <w:tcPr>
            <w:tcW w:w="849" w:type="dxa"/>
            <w:tcBorders>
              <w:top w:val="nil"/>
              <w:left w:val="nil"/>
              <w:bottom w:val="single" w:sz="4" w:space="0" w:color="auto"/>
              <w:right w:val="single" w:sz="4" w:space="0" w:color="auto"/>
            </w:tcBorders>
            <w:shd w:val="clear" w:color="auto" w:fill="auto"/>
            <w:vAlign w:val="center"/>
            <w:hideMark/>
          </w:tcPr>
          <w:p w14:paraId="69598EC9"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297,6</w:t>
            </w:r>
          </w:p>
        </w:tc>
        <w:tc>
          <w:tcPr>
            <w:tcW w:w="766" w:type="dxa"/>
            <w:tcBorders>
              <w:top w:val="nil"/>
              <w:left w:val="nil"/>
              <w:bottom w:val="single" w:sz="4" w:space="0" w:color="auto"/>
              <w:right w:val="single" w:sz="4" w:space="0" w:color="auto"/>
            </w:tcBorders>
            <w:shd w:val="clear" w:color="auto" w:fill="auto"/>
            <w:vAlign w:val="center"/>
            <w:hideMark/>
          </w:tcPr>
          <w:p w14:paraId="2BC79A2D"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315</w:t>
            </w:r>
          </w:p>
        </w:tc>
        <w:tc>
          <w:tcPr>
            <w:tcW w:w="843" w:type="dxa"/>
            <w:tcBorders>
              <w:top w:val="nil"/>
              <w:left w:val="nil"/>
              <w:bottom w:val="single" w:sz="4" w:space="0" w:color="auto"/>
              <w:right w:val="single" w:sz="4" w:space="0" w:color="auto"/>
            </w:tcBorders>
            <w:shd w:val="clear" w:color="auto" w:fill="auto"/>
            <w:vAlign w:val="center"/>
            <w:hideMark/>
          </w:tcPr>
          <w:p w14:paraId="23726C11"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457A3546"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063484" w14:textId="77777777" w:rsidR="008219D5" w:rsidRPr="00092ED7" w:rsidRDefault="008219D5" w:rsidP="00734F11">
            <w:pPr>
              <w:spacing w:after="0"/>
              <w:ind w:firstLine="601"/>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Пољопривреда</w:t>
            </w:r>
          </w:p>
        </w:tc>
        <w:tc>
          <w:tcPr>
            <w:tcW w:w="1261" w:type="dxa"/>
            <w:tcBorders>
              <w:top w:val="nil"/>
              <w:left w:val="nil"/>
              <w:bottom w:val="single" w:sz="4" w:space="0" w:color="auto"/>
              <w:right w:val="single" w:sz="4" w:space="0" w:color="auto"/>
            </w:tcBorders>
            <w:shd w:val="clear" w:color="auto" w:fill="auto"/>
            <w:vAlign w:val="center"/>
            <w:hideMark/>
          </w:tcPr>
          <w:p w14:paraId="7B197D19"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1BE11D6C"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26327D18"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79F5D8C8"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678A7367"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49D86834"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5A85C2" w14:textId="77777777" w:rsidR="008219D5" w:rsidRPr="00092ED7" w:rsidRDefault="008219D5" w:rsidP="00734F11">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17. Удео у бруто додатој вредности (Пољопривреда, шумарство и рибарство)</w:t>
            </w:r>
          </w:p>
        </w:tc>
        <w:tc>
          <w:tcPr>
            <w:tcW w:w="1261" w:type="dxa"/>
            <w:tcBorders>
              <w:top w:val="nil"/>
              <w:left w:val="nil"/>
              <w:bottom w:val="single" w:sz="4" w:space="0" w:color="auto"/>
              <w:right w:val="single" w:sz="4" w:space="0" w:color="auto"/>
            </w:tcBorders>
            <w:shd w:val="clear" w:color="auto" w:fill="auto"/>
            <w:vAlign w:val="center"/>
            <w:hideMark/>
          </w:tcPr>
          <w:p w14:paraId="37CA60AF"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69EBE12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7,7</w:t>
            </w:r>
          </w:p>
        </w:tc>
        <w:tc>
          <w:tcPr>
            <w:tcW w:w="849" w:type="dxa"/>
            <w:tcBorders>
              <w:top w:val="nil"/>
              <w:left w:val="nil"/>
              <w:bottom w:val="single" w:sz="4" w:space="0" w:color="auto"/>
              <w:right w:val="single" w:sz="4" w:space="0" w:color="auto"/>
            </w:tcBorders>
            <w:shd w:val="clear" w:color="auto" w:fill="auto"/>
            <w:vAlign w:val="center"/>
            <w:hideMark/>
          </w:tcPr>
          <w:p w14:paraId="19289ABD"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7,2</w:t>
            </w:r>
          </w:p>
        </w:tc>
        <w:tc>
          <w:tcPr>
            <w:tcW w:w="766" w:type="dxa"/>
            <w:tcBorders>
              <w:top w:val="nil"/>
              <w:left w:val="nil"/>
              <w:bottom w:val="single" w:sz="4" w:space="0" w:color="auto"/>
              <w:right w:val="single" w:sz="4" w:space="0" w:color="auto"/>
            </w:tcBorders>
            <w:shd w:val="clear" w:color="auto" w:fill="auto"/>
            <w:vAlign w:val="center"/>
            <w:hideMark/>
          </w:tcPr>
          <w:p w14:paraId="45C4FFC7"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7,6</w:t>
            </w:r>
          </w:p>
        </w:tc>
        <w:tc>
          <w:tcPr>
            <w:tcW w:w="843" w:type="dxa"/>
            <w:tcBorders>
              <w:top w:val="nil"/>
              <w:left w:val="nil"/>
              <w:bottom w:val="single" w:sz="4" w:space="0" w:color="auto"/>
              <w:right w:val="single" w:sz="4" w:space="0" w:color="auto"/>
            </w:tcBorders>
            <w:shd w:val="clear" w:color="auto" w:fill="auto"/>
            <w:vAlign w:val="center"/>
            <w:hideMark/>
          </w:tcPr>
          <w:p w14:paraId="31955B32"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7,6</w:t>
            </w:r>
          </w:p>
        </w:tc>
      </w:tr>
      <w:tr w:rsidR="008219D5" w:rsidRPr="00092ED7" w14:paraId="793B284B"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2260F8" w14:textId="77777777" w:rsidR="008219D5" w:rsidRPr="00092ED7" w:rsidRDefault="008219D5" w:rsidP="00734F11">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18. Удео запослености (Пољопривреда, шумарство и рибарство)</w:t>
            </w:r>
          </w:p>
        </w:tc>
        <w:tc>
          <w:tcPr>
            <w:tcW w:w="1261" w:type="dxa"/>
            <w:tcBorders>
              <w:top w:val="nil"/>
              <w:left w:val="nil"/>
              <w:bottom w:val="single" w:sz="4" w:space="0" w:color="auto"/>
              <w:right w:val="single" w:sz="4" w:space="0" w:color="auto"/>
            </w:tcBorders>
            <w:shd w:val="clear" w:color="auto" w:fill="auto"/>
            <w:vAlign w:val="center"/>
            <w:hideMark/>
          </w:tcPr>
          <w:p w14:paraId="57EEC7E9"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WB</w:t>
            </w:r>
          </w:p>
        </w:tc>
        <w:tc>
          <w:tcPr>
            <w:tcW w:w="815" w:type="dxa"/>
            <w:tcBorders>
              <w:top w:val="nil"/>
              <w:left w:val="nil"/>
              <w:bottom w:val="single" w:sz="4" w:space="0" w:color="auto"/>
              <w:right w:val="single" w:sz="4" w:space="0" w:color="auto"/>
            </w:tcBorders>
            <w:shd w:val="clear" w:color="auto" w:fill="auto"/>
            <w:vAlign w:val="center"/>
            <w:hideMark/>
          </w:tcPr>
          <w:p w14:paraId="7E7809DC"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15,9</w:t>
            </w:r>
          </w:p>
        </w:tc>
        <w:tc>
          <w:tcPr>
            <w:tcW w:w="849" w:type="dxa"/>
            <w:tcBorders>
              <w:top w:val="nil"/>
              <w:left w:val="nil"/>
              <w:bottom w:val="single" w:sz="4" w:space="0" w:color="auto"/>
              <w:right w:val="single" w:sz="4" w:space="0" w:color="auto"/>
            </w:tcBorders>
            <w:shd w:val="clear" w:color="auto" w:fill="auto"/>
            <w:vAlign w:val="center"/>
            <w:hideMark/>
          </w:tcPr>
          <w:p w14:paraId="5E1F436B"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15,6</w:t>
            </w:r>
          </w:p>
        </w:tc>
        <w:tc>
          <w:tcPr>
            <w:tcW w:w="766" w:type="dxa"/>
            <w:tcBorders>
              <w:top w:val="nil"/>
              <w:left w:val="nil"/>
              <w:bottom w:val="single" w:sz="4" w:space="0" w:color="auto"/>
              <w:right w:val="single" w:sz="4" w:space="0" w:color="auto"/>
            </w:tcBorders>
            <w:shd w:val="clear" w:color="auto" w:fill="auto"/>
            <w:vAlign w:val="center"/>
            <w:hideMark/>
          </w:tcPr>
          <w:p w14:paraId="706A3B81"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3679C9B0"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77BD54D9"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85D0C3" w14:textId="77777777" w:rsidR="008219D5" w:rsidRPr="00092ED7" w:rsidRDefault="008219D5" w:rsidP="00734F11">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19. Коришћена пољопривредна површина (% од укупне површине земљишта)</w:t>
            </w:r>
          </w:p>
        </w:tc>
        <w:tc>
          <w:tcPr>
            <w:tcW w:w="1261" w:type="dxa"/>
            <w:tcBorders>
              <w:top w:val="nil"/>
              <w:left w:val="nil"/>
              <w:bottom w:val="single" w:sz="4" w:space="0" w:color="auto"/>
              <w:right w:val="single" w:sz="4" w:space="0" w:color="auto"/>
            </w:tcBorders>
            <w:shd w:val="clear" w:color="auto" w:fill="auto"/>
            <w:vAlign w:val="center"/>
            <w:hideMark/>
          </w:tcPr>
          <w:p w14:paraId="41A6AB12"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31FDB079"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39,6</w:t>
            </w:r>
          </w:p>
        </w:tc>
        <w:tc>
          <w:tcPr>
            <w:tcW w:w="849" w:type="dxa"/>
            <w:tcBorders>
              <w:top w:val="nil"/>
              <w:left w:val="nil"/>
              <w:bottom w:val="single" w:sz="4" w:space="0" w:color="auto"/>
              <w:right w:val="single" w:sz="4" w:space="0" w:color="auto"/>
            </w:tcBorders>
            <w:shd w:val="clear" w:color="auto" w:fill="auto"/>
            <w:vAlign w:val="center"/>
            <w:hideMark/>
          </w:tcPr>
          <w:p w14:paraId="6C67F11D"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39,4</w:t>
            </w:r>
          </w:p>
        </w:tc>
        <w:tc>
          <w:tcPr>
            <w:tcW w:w="766" w:type="dxa"/>
            <w:tcBorders>
              <w:top w:val="nil"/>
              <w:left w:val="nil"/>
              <w:bottom w:val="single" w:sz="4" w:space="0" w:color="auto"/>
              <w:right w:val="single" w:sz="4" w:space="0" w:color="auto"/>
            </w:tcBorders>
            <w:shd w:val="clear" w:color="auto" w:fill="auto"/>
            <w:vAlign w:val="center"/>
            <w:hideMark/>
          </w:tcPr>
          <w:p w14:paraId="6A99D999"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39,7</w:t>
            </w:r>
          </w:p>
        </w:tc>
        <w:tc>
          <w:tcPr>
            <w:tcW w:w="843" w:type="dxa"/>
            <w:tcBorders>
              <w:top w:val="nil"/>
              <w:left w:val="nil"/>
              <w:bottom w:val="single" w:sz="4" w:space="0" w:color="auto"/>
              <w:right w:val="single" w:sz="4" w:space="0" w:color="auto"/>
            </w:tcBorders>
            <w:shd w:val="clear" w:color="auto" w:fill="auto"/>
            <w:vAlign w:val="center"/>
            <w:hideMark/>
          </w:tcPr>
          <w:p w14:paraId="2B3DAA5C"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7B7CE789"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6D0956" w14:textId="77777777" w:rsidR="008219D5" w:rsidRPr="00092ED7" w:rsidRDefault="008219D5" w:rsidP="00734F11">
            <w:pPr>
              <w:spacing w:after="0"/>
              <w:ind w:firstLine="601"/>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Индустрија (осим грађевинарства)</w:t>
            </w:r>
          </w:p>
        </w:tc>
        <w:tc>
          <w:tcPr>
            <w:tcW w:w="1261" w:type="dxa"/>
            <w:tcBorders>
              <w:top w:val="nil"/>
              <w:left w:val="nil"/>
              <w:bottom w:val="single" w:sz="4" w:space="0" w:color="auto"/>
              <w:right w:val="single" w:sz="4" w:space="0" w:color="auto"/>
            </w:tcBorders>
            <w:shd w:val="clear" w:color="auto" w:fill="auto"/>
            <w:vAlign w:val="center"/>
            <w:hideMark/>
          </w:tcPr>
          <w:p w14:paraId="330BEF80"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6BEFD15F"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6A401B7A"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386AFBCD"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7B4AB133"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35405AB8"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CB7646"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 Удео у бруто додатој вредности</w:t>
            </w:r>
          </w:p>
        </w:tc>
        <w:tc>
          <w:tcPr>
            <w:tcW w:w="1261" w:type="dxa"/>
            <w:tcBorders>
              <w:top w:val="nil"/>
              <w:left w:val="nil"/>
              <w:bottom w:val="single" w:sz="4" w:space="0" w:color="auto"/>
              <w:right w:val="single" w:sz="4" w:space="0" w:color="auto"/>
            </w:tcBorders>
            <w:shd w:val="clear" w:color="auto" w:fill="auto"/>
            <w:vAlign w:val="center"/>
            <w:hideMark/>
          </w:tcPr>
          <w:p w14:paraId="75850683"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0B57BA72"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25,4</w:t>
            </w:r>
          </w:p>
        </w:tc>
        <w:tc>
          <w:tcPr>
            <w:tcW w:w="849" w:type="dxa"/>
            <w:tcBorders>
              <w:top w:val="nil"/>
              <w:left w:val="nil"/>
              <w:bottom w:val="single" w:sz="4" w:space="0" w:color="auto"/>
              <w:right w:val="single" w:sz="4" w:space="0" w:color="auto"/>
            </w:tcBorders>
            <w:shd w:val="clear" w:color="auto" w:fill="auto"/>
            <w:vAlign w:val="center"/>
            <w:hideMark/>
          </w:tcPr>
          <w:p w14:paraId="3F984C5B"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24,0</w:t>
            </w:r>
          </w:p>
        </w:tc>
        <w:tc>
          <w:tcPr>
            <w:tcW w:w="766" w:type="dxa"/>
            <w:tcBorders>
              <w:top w:val="nil"/>
              <w:left w:val="nil"/>
              <w:bottom w:val="single" w:sz="4" w:space="0" w:color="auto"/>
              <w:right w:val="single" w:sz="4" w:space="0" w:color="auto"/>
            </w:tcBorders>
            <w:shd w:val="clear" w:color="auto" w:fill="auto"/>
            <w:vAlign w:val="center"/>
            <w:hideMark/>
          </w:tcPr>
          <w:p w14:paraId="50B60797"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23,4</w:t>
            </w:r>
          </w:p>
        </w:tc>
        <w:tc>
          <w:tcPr>
            <w:tcW w:w="843" w:type="dxa"/>
            <w:tcBorders>
              <w:top w:val="nil"/>
              <w:left w:val="nil"/>
              <w:bottom w:val="single" w:sz="4" w:space="0" w:color="auto"/>
              <w:right w:val="single" w:sz="4" w:space="0" w:color="auto"/>
            </w:tcBorders>
            <w:shd w:val="clear" w:color="auto" w:fill="auto"/>
            <w:vAlign w:val="center"/>
            <w:hideMark/>
          </w:tcPr>
          <w:p w14:paraId="724DFF19"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23,0</w:t>
            </w:r>
          </w:p>
        </w:tc>
      </w:tr>
      <w:tr w:rsidR="008219D5" w:rsidRPr="00092ED7" w14:paraId="443B9AE6"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E50968"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21. Допринос запошљавању (% од укупног броја запослених)</w:t>
            </w:r>
          </w:p>
        </w:tc>
        <w:tc>
          <w:tcPr>
            <w:tcW w:w="1261" w:type="dxa"/>
            <w:tcBorders>
              <w:top w:val="nil"/>
              <w:left w:val="nil"/>
              <w:bottom w:val="single" w:sz="4" w:space="0" w:color="auto"/>
              <w:right w:val="single" w:sz="4" w:space="0" w:color="auto"/>
            </w:tcBorders>
            <w:shd w:val="clear" w:color="auto" w:fill="auto"/>
            <w:vAlign w:val="center"/>
            <w:hideMark/>
          </w:tcPr>
          <w:p w14:paraId="6DA695F9"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WB</w:t>
            </w:r>
          </w:p>
        </w:tc>
        <w:tc>
          <w:tcPr>
            <w:tcW w:w="815" w:type="dxa"/>
            <w:tcBorders>
              <w:top w:val="nil"/>
              <w:left w:val="nil"/>
              <w:bottom w:val="single" w:sz="4" w:space="0" w:color="auto"/>
              <w:right w:val="single" w:sz="4" w:space="0" w:color="auto"/>
            </w:tcBorders>
            <w:shd w:val="clear" w:color="auto" w:fill="auto"/>
            <w:vAlign w:val="center"/>
            <w:hideMark/>
          </w:tcPr>
          <w:p w14:paraId="2AD45E55"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22,5</w:t>
            </w:r>
          </w:p>
        </w:tc>
        <w:tc>
          <w:tcPr>
            <w:tcW w:w="849" w:type="dxa"/>
            <w:tcBorders>
              <w:top w:val="nil"/>
              <w:left w:val="nil"/>
              <w:bottom w:val="single" w:sz="4" w:space="0" w:color="auto"/>
              <w:right w:val="single" w:sz="4" w:space="0" w:color="auto"/>
            </w:tcBorders>
            <w:shd w:val="clear" w:color="auto" w:fill="auto"/>
            <w:vAlign w:val="center"/>
            <w:hideMark/>
          </w:tcPr>
          <w:p w14:paraId="30339F0C"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22,6</w:t>
            </w:r>
          </w:p>
        </w:tc>
        <w:tc>
          <w:tcPr>
            <w:tcW w:w="766" w:type="dxa"/>
            <w:tcBorders>
              <w:top w:val="nil"/>
              <w:left w:val="nil"/>
              <w:bottom w:val="single" w:sz="4" w:space="0" w:color="auto"/>
              <w:right w:val="single" w:sz="4" w:space="0" w:color="auto"/>
            </w:tcBorders>
            <w:shd w:val="clear" w:color="auto" w:fill="auto"/>
            <w:vAlign w:val="center"/>
            <w:hideMark/>
          </w:tcPr>
          <w:p w14:paraId="476963BA"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22,6</w:t>
            </w:r>
          </w:p>
        </w:tc>
        <w:tc>
          <w:tcPr>
            <w:tcW w:w="843" w:type="dxa"/>
            <w:tcBorders>
              <w:top w:val="nil"/>
              <w:left w:val="nil"/>
              <w:bottom w:val="single" w:sz="4" w:space="0" w:color="auto"/>
              <w:right w:val="single" w:sz="4" w:space="0" w:color="auto"/>
            </w:tcBorders>
            <w:shd w:val="clear" w:color="auto" w:fill="auto"/>
            <w:vAlign w:val="center"/>
            <w:hideMark/>
          </w:tcPr>
          <w:p w14:paraId="3123C4A4"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331CFC14"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242CB" w14:textId="77777777" w:rsidR="008219D5" w:rsidRPr="00092ED7" w:rsidRDefault="008219D5" w:rsidP="00734F11">
            <w:pPr>
              <w:spacing w:after="0"/>
              <w:ind w:firstLine="601"/>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Услуге</w:t>
            </w:r>
          </w:p>
        </w:tc>
        <w:tc>
          <w:tcPr>
            <w:tcW w:w="1261" w:type="dxa"/>
            <w:tcBorders>
              <w:top w:val="nil"/>
              <w:left w:val="nil"/>
              <w:bottom w:val="single" w:sz="4" w:space="0" w:color="auto"/>
              <w:right w:val="single" w:sz="4" w:space="0" w:color="auto"/>
            </w:tcBorders>
            <w:shd w:val="clear" w:color="auto" w:fill="auto"/>
            <w:vAlign w:val="center"/>
            <w:hideMark/>
          </w:tcPr>
          <w:p w14:paraId="7AB94C65"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31B4B90D"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7D2BF306"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1A171C14"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039CD827"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7E4EFF7C"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FF4FAC"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22. Удео у бруто додатој вредности</w:t>
            </w:r>
          </w:p>
        </w:tc>
        <w:tc>
          <w:tcPr>
            <w:tcW w:w="1261" w:type="dxa"/>
            <w:tcBorders>
              <w:top w:val="nil"/>
              <w:left w:val="nil"/>
              <w:bottom w:val="single" w:sz="4" w:space="0" w:color="auto"/>
              <w:right w:val="single" w:sz="4" w:space="0" w:color="auto"/>
            </w:tcBorders>
            <w:shd w:val="clear" w:color="auto" w:fill="auto"/>
            <w:vAlign w:val="center"/>
            <w:hideMark/>
          </w:tcPr>
          <w:p w14:paraId="52A07378"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707A9157"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61,5</w:t>
            </w:r>
          </w:p>
        </w:tc>
        <w:tc>
          <w:tcPr>
            <w:tcW w:w="849" w:type="dxa"/>
            <w:tcBorders>
              <w:top w:val="nil"/>
              <w:left w:val="nil"/>
              <w:bottom w:val="single" w:sz="4" w:space="0" w:color="auto"/>
              <w:right w:val="single" w:sz="4" w:space="0" w:color="auto"/>
            </w:tcBorders>
            <w:shd w:val="clear" w:color="auto" w:fill="auto"/>
            <w:vAlign w:val="center"/>
            <w:hideMark/>
          </w:tcPr>
          <w:p w14:paraId="2926B323"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61,9</w:t>
            </w:r>
          </w:p>
        </w:tc>
        <w:tc>
          <w:tcPr>
            <w:tcW w:w="766" w:type="dxa"/>
            <w:tcBorders>
              <w:top w:val="nil"/>
              <w:left w:val="nil"/>
              <w:bottom w:val="single" w:sz="4" w:space="0" w:color="auto"/>
              <w:right w:val="single" w:sz="4" w:space="0" w:color="auto"/>
            </w:tcBorders>
            <w:shd w:val="clear" w:color="auto" w:fill="auto"/>
            <w:vAlign w:val="center"/>
            <w:hideMark/>
          </w:tcPr>
          <w:p w14:paraId="4CB31B5C"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62,4</w:t>
            </w:r>
          </w:p>
        </w:tc>
        <w:tc>
          <w:tcPr>
            <w:tcW w:w="843" w:type="dxa"/>
            <w:tcBorders>
              <w:top w:val="nil"/>
              <w:left w:val="nil"/>
              <w:bottom w:val="single" w:sz="4" w:space="0" w:color="auto"/>
              <w:right w:val="single" w:sz="4" w:space="0" w:color="auto"/>
            </w:tcBorders>
            <w:shd w:val="clear" w:color="auto" w:fill="auto"/>
            <w:vAlign w:val="center"/>
            <w:hideMark/>
          </w:tcPr>
          <w:p w14:paraId="0E2D638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47D65263"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AC3E05"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23. Допринос запошљавању (% од укупног броја запослених)</w:t>
            </w:r>
          </w:p>
        </w:tc>
        <w:tc>
          <w:tcPr>
            <w:tcW w:w="1261" w:type="dxa"/>
            <w:tcBorders>
              <w:top w:val="nil"/>
              <w:left w:val="nil"/>
              <w:bottom w:val="single" w:sz="4" w:space="0" w:color="auto"/>
              <w:right w:val="single" w:sz="4" w:space="0" w:color="auto"/>
            </w:tcBorders>
            <w:shd w:val="clear" w:color="auto" w:fill="auto"/>
            <w:vAlign w:val="center"/>
            <w:hideMark/>
          </w:tcPr>
          <w:p w14:paraId="65D416F6"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WB</w:t>
            </w:r>
          </w:p>
        </w:tc>
        <w:tc>
          <w:tcPr>
            <w:tcW w:w="815" w:type="dxa"/>
            <w:tcBorders>
              <w:top w:val="nil"/>
              <w:left w:val="nil"/>
              <w:bottom w:val="single" w:sz="4" w:space="0" w:color="auto"/>
              <w:right w:val="single" w:sz="4" w:space="0" w:color="auto"/>
            </w:tcBorders>
            <w:shd w:val="clear" w:color="auto" w:fill="auto"/>
            <w:vAlign w:val="center"/>
            <w:hideMark/>
          </w:tcPr>
          <w:p w14:paraId="1481D0B5"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57,2</w:t>
            </w:r>
          </w:p>
        </w:tc>
        <w:tc>
          <w:tcPr>
            <w:tcW w:w="849" w:type="dxa"/>
            <w:tcBorders>
              <w:top w:val="nil"/>
              <w:left w:val="nil"/>
              <w:bottom w:val="single" w:sz="4" w:space="0" w:color="auto"/>
              <w:right w:val="single" w:sz="4" w:space="0" w:color="auto"/>
            </w:tcBorders>
            <w:shd w:val="clear" w:color="auto" w:fill="auto"/>
            <w:vAlign w:val="center"/>
            <w:hideMark/>
          </w:tcPr>
          <w:p w14:paraId="53307476"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57,0</w:t>
            </w:r>
          </w:p>
        </w:tc>
        <w:tc>
          <w:tcPr>
            <w:tcW w:w="766" w:type="dxa"/>
            <w:tcBorders>
              <w:top w:val="nil"/>
              <w:left w:val="nil"/>
              <w:bottom w:val="single" w:sz="4" w:space="0" w:color="auto"/>
              <w:right w:val="single" w:sz="4" w:space="0" w:color="auto"/>
            </w:tcBorders>
            <w:shd w:val="clear" w:color="auto" w:fill="auto"/>
            <w:vAlign w:val="center"/>
            <w:hideMark/>
          </w:tcPr>
          <w:p w14:paraId="04F0C25D" w14:textId="77777777" w:rsidR="008219D5" w:rsidRPr="00092ED7" w:rsidRDefault="008219D5" w:rsidP="004E2954">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235D280D" w14:textId="77777777" w:rsidR="008219D5" w:rsidRPr="00092ED7" w:rsidRDefault="008219D5" w:rsidP="004E2954">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39D6F673"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238DBD" w14:textId="77777777" w:rsidR="008219D5" w:rsidRPr="00092ED7" w:rsidRDefault="008219D5" w:rsidP="00734F11">
            <w:pPr>
              <w:spacing w:after="0"/>
              <w:ind w:firstLine="601"/>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Пословно окружење</w:t>
            </w:r>
          </w:p>
        </w:tc>
        <w:tc>
          <w:tcPr>
            <w:tcW w:w="1261" w:type="dxa"/>
            <w:tcBorders>
              <w:top w:val="nil"/>
              <w:left w:val="nil"/>
              <w:bottom w:val="single" w:sz="4" w:space="0" w:color="auto"/>
              <w:right w:val="single" w:sz="4" w:space="0" w:color="auto"/>
            </w:tcBorders>
            <w:shd w:val="clear" w:color="auto" w:fill="auto"/>
            <w:vAlign w:val="center"/>
            <w:hideMark/>
          </w:tcPr>
          <w:p w14:paraId="6301431B"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42784C88"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1C1CE290"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1B2C6A08"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11EC85D5"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28C04A7F" w14:textId="77777777" w:rsidTr="00053B2B">
        <w:trPr>
          <w:trHeight w:val="7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B96ADB"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24. Ранг у Индексу глобалне конкурентности</w:t>
            </w:r>
          </w:p>
        </w:tc>
        <w:tc>
          <w:tcPr>
            <w:tcW w:w="1261" w:type="dxa"/>
            <w:tcBorders>
              <w:top w:val="nil"/>
              <w:left w:val="nil"/>
              <w:bottom w:val="single" w:sz="4" w:space="0" w:color="auto"/>
              <w:right w:val="single" w:sz="4" w:space="0" w:color="auto"/>
            </w:tcBorders>
            <w:shd w:val="clear" w:color="auto" w:fill="auto"/>
            <w:vAlign w:val="center"/>
            <w:hideMark/>
          </w:tcPr>
          <w:p w14:paraId="1244F534"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Светски економски форум</w:t>
            </w:r>
          </w:p>
        </w:tc>
        <w:tc>
          <w:tcPr>
            <w:tcW w:w="815" w:type="dxa"/>
            <w:tcBorders>
              <w:top w:val="nil"/>
              <w:left w:val="nil"/>
              <w:bottom w:val="single" w:sz="4" w:space="0" w:color="auto"/>
              <w:right w:val="single" w:sz="4" w:space="0" w:color="auto"/>
            </w:tcBorders>
            <w:shd w:val="clear" w:color="auto" w:fill="auto"/>
            <w:vAlign w:val="center"/>
            <w:hideMark/>
          </w:tcPr>
          <w:p w14:paraId="7A7F94B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65</w:t>
            </w:r>
          </w:p>
        </w:tc>
        <w:tc>
          <w:tcPr>
            <w:tcW w:w="849" w:type="dxa"/>
            <w:tcBorders>
              <w:top w:val="nil"/>
              <w:left w:val="nil"/>
              <w:bottom w:val="single" w:sz="4" w:space="0" w:color="auto"/>
              <w:right w:val="single" w:sz="4" w:space="0" w:color="auto"/>
            </w:tcBorders>
            <w:shd w:val="clear" w:color="auto" w:fill="auto"/>
            <w:vAlign w:val="center"/>
            <w:hideMark/>
          </w:tcPr>
          <w:p w14:paraId="0B7945F7"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72</w:t>
            </w:r>
          </w:p>
        </w:tc>
        <w:tc>
          <w:tcPr>
            <w:tcW w:w="766" w:type="dxa"/>
            <w:tcBorders>
              <w:top w:val="nil"/>
              <w:left w:val="nil"/>
              <w:bottom w:val="single" w:sz="4" w:space="0" w:color="auto"/>
              <w:right w:val="single" w:sz="4" w:space="0" w:color="auto"/>
            </w:tcBorders>
            <w:shd w:val="clear" w:color="auto" w:fill="auto"/>
            <w:vAlign w:val="center"/>
            <w:hideMark/>
          </w:tcPr>
          <w:p w14:paraId="467DD698"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649E521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NA</w:t>
            </w:r>
          </w:p>
        </w:tc>
      </w:tr>
      <w:tr w:rsidR="008219D5" w:rsidRPr="00092ED7" w14:paraId="42E9C134"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F6B390"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25. Процењени удео неформалне економије у БДП-у (као% БДП-а)</w:t>
            </w:r>
          </w:p>
        </w:tc>
        <w:tc>
          <w:tcPr>
            <w:tcW w:w="1261" w:type="dxa"/>
            <w:tcBorders>
              <w:top w:val="nil"/>
              <w:left w:val="nil"/>
              <w:bottom w:val="single" w:sz="4" w:space="0" w:color="auto"/>
              <w:right w:val="single" w:sz="4" w:space="0" w:color="auto"/>
            </w:tcBorders>
            <w:shd w:val="clear" w:color="auto" w:fill="auto"/>
            <w:vAlign w:val="center"/>
            <w:hideMark/>
          </w:tcPr>
          <w:p w14:paraId="5A539BD0"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548D682F"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4FE2A2F2"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44920FE1"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32780F25"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5FB8E335"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A5BBAA" w14:textId="77777777" w:rsidR="008219D5" w:rsidRPr="00092ED7" w:rsidRDefault="008219D5" w:rsidP="00734F11">
            <w:pPr>
              <w:spacing w:after="0"/>
              <w:ind w:firstLineChars="300" w:firstLine="602"/>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Истраживање, развој и иновације</w:t>
            </w:r>
          </w:p>
        </w:tc>
        <w:tc>
          <w:tcPr>
            <w:tcW w:w="1261" w:type="dxa"/>
            <w:tcBorders>
              <w:top w:val="nil"/>
              <w:left w:val="nil"/>
              <w:bottom w:val="single" w:sz="4" w:space="0" w:color="auto"/>
              <w:right w:val="single" w:sz="4" w:space="0" w:color="auto"/>
            </w:tcBorders>
            <w:shd w:val="clear" w:color="auto" w:fill="auto"/>
            <w:hideMark/>
          </w:tcPr>
          <w:p w14:paraId="1D1D1F15"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hideMark/>
          </w:tcPr>
          <w:p w14:paraId="013E368F"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hideMark/>
          </w:tcPr>
          <w:p w14:paraId="4ABFBBD4"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hideMark/>
          </w:tcPr>
          <w:p w14:paraId="3895907B"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hideMark/>
          </w:tcPr>
          <w:p w14:paraId="5CD4832B"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3FE05635" w14:textId="77777777" w:rsidTr="00053B2B">
        <w:trPr>
          <w:trHeight w:val="52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F1593F"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26. Интензитет истраживања и развоја БДП-а (издаци за истраживање и развој као</w:t>
            </w:r>
            <w:r w:rsidR="00734F11" w:rsidRPr="00092ED7">
              <w:rPr>
                <w:rFonts w:eastAsia="Times New Roman" w:cs="Times New Roman"/>
                <w:color w:val="000000"/>
                <w:sz w:val="20"/>
                <w:szCs w:val="20"/>
                <w:lang w:val="sr-Cyrl-CS" w:eastAsia="sr-Latn-RS"/>
              </w:rPr>
              <w:t xml:space="preserve"> </w:t>
            </w:r>
            <w:r w:rsidRPr="00092ED7">
              <w:rPr>
                <w:rFonts w:eastAsia="Times New Roman" w:cs="Times New Roman"/>
                <w:color w:val="000000"/>
                <w:sz w:val="20"/>
                <w:szCs w:val="20"/>
                <w:lang w:val="sr-Cyrl-CS" w:eastAsia="sr-Latn-RS"/>
              </w:rPr>
              <w:t>% БДП-а)</w:t>
            </w:r>
          </w:p>
        </w:tc>
        <w:tc>
          <w:tcPr>
            <w:tcW w:w="1261" w:type="dxa"/>
            <w:tcBorders>
              <w:top w:val="nil"/>
              <w:left w:val="nil"/>
              <w:bottom w:val="single" w:sz="4" w:space="0" w:color="auto"/>
              <w:right w:val="single" w:sz="4" w:space="0" w:color="auto"/>
            </w:tcBorders>
            <w:shd w:val="clear" w:color="auto" w:fill="auto"/>
            <w:vAlign w:val="center"/>
            <w:hideMark/>
          </w:tcPr>
          <w:p w14:paraId="0FF99C6F"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75F2F9EE"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0,92</w:t>
            </w:r>
          </w:p>
        </w:tc>
        <w:tc>
          <w:tcPr>
            <w:tcW w:w="849" w:type="dxa"/>
            <w:tcBorders>
              <w:top w:val="nil"/>
              <w:left w:val="nil"/>
              <w:bottom w:val="single" w:sz="4" w:space="0" w:color="auto"/>
              <w:right w:val="single" w:sz="4" w:space="0" w:color="auto"/>
            </w:tcBorders>
            <w:shd w:val="clear" w:color="auto" w:fill="auto"/>
            <w:vAlign w:val="center"/>
            <w:hideMark/>
          </w:tcPr>
          <w:p w14:paraId="056B14BA"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0,89</w:t>
            </w:r>
          </w:p>
        </w:tc>
        <w:tc>
          <w:tcPr>
            <w:tcW w:w="766" w:type="dxa"/>
            <w:tcBorders>
              <w:top w:val="nil"/>
              <w:left w:val="nil"/>
              <w:bottom w:val="single" w:sz="4" w:space="0" w:color="auto"/>
              <w:right w:val="single" w:sz="4" w:space="0" w:color="auto"/>
            </w:tcBorders>
            <w:shd w:val="clear" w:color="auto" w:fill="auto"/>
            <w:vAlign w:val="center"/>
            <w:hideMark/>
          </w:tcPr>
          <w:p w14:paraId="7806E162"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0,91</w:t>
            </w:r>
          </w:p>
        </w:tc>
        <w:tc>
          <w:tcPr>
            <w:tcW w:w="843" w:type="dxa"/>
            <w:tcBorders>
              <w:top w:val="nil"/>
              <w:left w:val="nil"/>
              <w:bottom w:val="single" w:sz="4" w:space="0" w:color="auto"/>
              <w:right w:val="single" w:sz="4" w:space="0" w:color="auto"/>
            </w:tcBorders>
            <w:shd w:val="clear" w:color="auto" w:fill="auto"/>
            <w:vAlign w:val="center"/>
            <w:hideMark/>
          </w:tcPr>
          <w:p w14:paraId="3B01672F"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0,99</w:t>
            </w:r>
          </w:p>
        </w:tc>
      </w:tr>
      <w:tr w:rsidR="008219D5" w:rsidRPr="00092ED7" w14:paraId="6024AF24"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580AD2"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27. Расходи за истраживање и развој - ЕУР по становнику</w:t>
            </w:r>
          </w:p>
        </w:tc>
        <w:tc>
          <w:tcPr>
            <w:tcW w:w="1261" w:type="dxa"/>
            <w:tcBorders>
              <w:top w:val="nil"/>
              <w:left w:val="nil"/>
              <w:bottom w:val="single" w:sz="4" w:space="0" w:color="auto"/>
              <w:right w:val="single" w:sz="4" w:space="0" w:color="auto"/>
            </w:tcBorders>
            <w:shd w:val="clear" w:color="auto" w:fill="auto"/>
            <w:vAlign w:val="center"/>
            <w:hideMark/>
          </w:tcPr>
          <w:p w14:paraId="78A3CC6A"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3EE5EC34"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56,3</w:t>
            </w:r>
          </w:p>
        </w:tc>
        <w:tc>
          <w:tcPr>
            <w:tcW w:w="849" w:type="dxa"/>
            <w:tcBorders>
              <w:top w:val="nil"/>
              <w:left w:val="nil"/>
              <w:bottom w:val="single" w:sz="4" w:space="0" w:color="auto"/>
              <w:right w:val="single" w:sz="4" w:space="0" w:color="auto"/>
            </w:tcBorders>
            <w:shd w:val="clear" w:color="auto" w:fill="auto"/>
            <w:vAlign w:val="center"/>
            <w:hideMark/>
          </w:tcPr>
          <w:p w14:paraId="15A35DBC"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58,6</w:t>
            </w:r>
          </w:p>
        </w:tc>
        <w:tc>
          <w:tcPr>
            <w:tcW w:w="766" w:type="dxa"/>
            <w:tcBorders>
              <w:top w:val="nil"/>
              <w:left w:val="nil"/>
              <w:bottom w:val="single" w:sz="4" w:space="0" w:color="auto"/>
              <w:right w:val="single" w:sz="4" w:space="0" w:color="auto"/>
            </w:tcBorders>
            <w:shd w:val="clear" w:color="auto" w:fill="auto"/>
            <w:vAlign w:val="center"/>
            <w:hideMark/>
          </w:tcPr>
          <w:p w14:paraId="374FBCC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61,2</w:t>
            </w:r>
          </w:p>
        </w:tc>
        <w:tc>
          <w:tcPr>
            <w:tcW w:w="843" w:type="dxa"/>
            <w:tcBorders>
              <w:top w:val="nil"/>
              <w:left w:val="nil"/>
              <w:bottom w:val="single" w:sz="4" w:space="0" w:color="auto"/>
              <w:right w:val="single" w:sz="4" w:space="0" w:color="auto"/>
            </w:tcBorders>
            <w:shd w:val="clear" w:color="auto" w:fill="auto"/>
            <w:vAlign w:val="center"/>
            <w:hideMark/>
          </w:tcPr>
          <w:p w14:paraId="090A0313"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77,2</w:t>
            </w:r>
          </w:p>
        </w:tc>
      </w:tr>
      <w:tr w:rsidR="008219D5" w:rsidRPr="00092ED7" w14:paraId="5ABB3F07"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5FDD9A" w14:textId="77777777" w:rsidR="008219D5" w:rsidRPr="00092ED7" w:rsidRDefault="008219D5" w:rsidP="00734F11">
            <w:pPr>
              <w:spacing w:after="0"/>
              <w:ind w:firstLine="601"/>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Трговина</w:t>
            </w:r>
          </w:p>
        </w:tc>
        <w:tc>
          <w:tcPr>
            <w:tcW w:w="1261" w:type="dxa"/>
            <w:tcBorders>
              <w:top w:val="nil"/>
              <w:left w:val="nil"/>
              <w:bottom w:val="single" w:sz="4" w:space="0" w:color="auto"/>
              <w:right w:val="single" w:sz="4" w:space="0" w:color="auto"/>
            </w:tcBorders>
            <w:shd w:val="clear" w:color="auto" w:fill="auto"/>
            <w:vAlign w:val="center"/>
            <w:hideMark/>
          </w:tcPr>
          <w:p w14:paraId="4AC561DE"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1148647B"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21438C91"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37744DE6"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03DD4561"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4AC8A17D"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6DD080"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28. Извоз роба и услуга (као % БДП-а)</w:t>
            </w:r>
          </w:p>
        </w:tc>
        <w:tc>
          <w:tcPr>
            <w:tcW w:w="1261" w:type="dxa"/>
            <w:tcBorders>
              <w:top w:val="nil"/>
              <w:left w:val="nil"/>
              <w:bottom w:val="single" w:sz="4" w:space="0" w:color="auto"/>
              <w:right w:val="single" w:sz="4" w:space="0" w:color="auto"/>
            </w:tcBorders>
            <w:shd w:val="clear" w:color="auto" w:fill="auto"/>
            <w:vAlign w:val="center"/>
            <w:hideMark/>
          </w:tcPr>
          <w:p w14:paraId="7BE499FC"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0BF45070"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50,4</w:t>
            </w:r>
          </w:p>
        </w:tc>
        <w:tc>
          <w:tcPr>
            <w:tcW w:w="849" w:type="dxa"/>
            <w:tcBorders>
              <w:top w:val="nil"/>
              <w:left w:val="nil"/>
              <w:bottom w:val="single" w:sz="4" w:space="0" w:color="auto"/>
              <w:right w:val="single" w:sz="4" w:space="0" w:color="auto"/>
            </w:tcBorders>
            <w:shd w:val="clear" w:color="auto" w:fill="auto"/>
            <w:vAlign w:val="center"/>
            <w:hideMark/>
          </w:tcPr>
          <w:p w14:paraId="36BE7DC7"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51,0</w:t>
            </w:r>
          </w:p>
        </w:tc>
        <w:tc>
          <w:tcPr>
            <w:tcW w:w="766" w:type="dxa"/>
            <w:tcBorders>
              <w:top w:val="nil"/>
              <w:left w:val="nil"/>
              <w:bottom w:val="single" w:sz="4" w:space="0" w:color="auto"/>
              <w:right w:val="single" w:sz="4" w:space="0" w:color="auto"/>
            </w:tcBorders>
            <w:shd w:val="clear" w:color="auto" w:fill="auto"/>
            <w:vAlign w:val="center"/>
            <w:hideMark/>
          </w:tcPr>
          <w:p w14:paraId="44EC11C3"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48,2</w:t>
            </w:r>
          </w:p>
        </w:tc>
        <w:tc>
          <w:tcPr>
            <w:tcW w:w="843" w:type="dxa"/>
            <w:tcBorders>
              <w:top w:val="nil"/>
              <w:left w:val="nil"/>
              <w:bottom w:val="single" w:sz="4" w:space="0" w:color="auto"/>
              <w:right w:val="single" w:sz="4" w:space="0" w:color="auto"/>
            </w:tcBorders>
            <w:shd w:val="clear" w:color="auto" w:fill="auto"/>
            <w:vAlign w:val="center"/>
            <w:hideMark/>
          </w:tcPr>
          <w:p w14:paraId="2F7230D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54,5</w:t>
            </w:r>
          </w:p>
        </w:tc>
      </w:tr>
      <w:tr w:rsidR="008219D5" w:rsidRPr="00092ED7" w14:paraId="0843E4E3"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E81C25"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29. Увоз роба и услуга (као % БДП-а)</w:t>
            </w:r>
          </w:p>
        </w:tc>
        <w:tc>
          <w:tcPr>
            <w:tcW w:w="1261" w:type="dxa"/>
            <w:tcBorders>
              <w:top w:val="nil"/>
              <w:left w:val="nil"/>
              <w:bottom w:val="single" w:sz="4" w:space="0" w:color="auto"/>
              <w:right w:val="single" w:sz="4" w:space="0" w:color="auto"/>
            </w:tcBorders>
            <w:shd w:val="clear" w:color="auto" w:fill="auto"/>
            <w:vAlign w:val="center"/>
            <w:hideMark/>
          </w:tcPr>
          <w:p w14:paraId="1C8C61DA"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5092BAB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59,1</w:t>
            </w:r>
          </w:p>
        </w:tc>
        <w:tc>
          <w:tcPr>
            <w:tcW w:w="849" w:type="dxa"/>
            <w:tcBorders>
              <w:top w:val="nil"/>
              <w:left w:val="nil"/>
              <w:bottom w:val="single" w:sz="4" w:space="0" w:color="auto"/>
              <w:right w:val="single" w:sz="4" w:space="0" w:color="auto"/>
            </w:tcBorders>
            <w:shd w:val="clear" w:color="auto" w:fill="auto"/>
            <w:vAlign w:val="center"/>
            <w:hideMark/>
          </w:tcPr>
          <w:p w14:paraId="2810F19E"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60,9</w:t>
            </w:r>
          </w:p>
        </w:tc>
        <w:tc>
          <w:tcPr>
            <w:tcW w:w="766" w:type="dxa"/>
            <w:tcBorders>
              <w:top w:val="nil"/>
              <w:left w:val="nil"/>
              <w:bottom w:val="single" w:sz="4" w:space="0" w:color="auto"/>
              <w:right w:val="single" w:sz="4" w:space="0" w:color="auto"/>
            </w:tcBorders>
            <w:shd w:val="clear" w:color="auto" w:fill="auto"/>
            <w:vAlign w:val="center"/>
            <w:hideMark/>
          </w:tcPr>
          <w:p w14:paraId="2D1201A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56,5</w:t>
            </w:r>
          </w:p>
        </w:tc>
        <w:tc>
          <w:tcPr>
            <w:tcW w:w="843" w:type="dxa"/>
            <w:tcBorders>
              <w:top w:val="nil"/>
              <w:left w:val="nil"/>
              <w:bottom w:val="single" w:sz="4" w:space="0" w:color="auto"/>
              <w:right w:val="single" w:sz="4" w:space="0" w:color="auto"/>
            </w:tcBorders>
            <w:shd w:val="clear" w:color="auto" w:fill="auto"/>
            <w:vAlign w:val="center"/>
            <w:hideMark/>
          </w:tcPr>
          <w:p w14:paraId="26D659E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62,3</w:t>
            </w:r>
          </w:p>
        </w:tc>
      </w:tr>
      <w:tr w:rsidR="008219D5" w:rsidRPr="00092ED7" w14:paraId="3EADC273"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B09682"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30. Трговински биланс (као % БДП-а)</w:t>
            </w:r>
          </w:p>
        </w:tc>
        <w:tc>
          <w:tcPr>
            <w:tcW w:w="1261" w:type="dxa"/>
            <w:tcBorders>
              <w:top w:val="nil"/>
              <w:left w:val="nil"/>
              <w:bottom w:val="single" w:sz="4" w:space="0" w:color="auto"/>
              <w:right w:val="single" w:sz="4" w:space="0" w:color="auto"/>
            </w:tcBorders>
            <w:shd w:val="clear" w:color="auto" w:fill="auto"/>
            <w:vAlign w:val="center"/>
            <w:hideMark/>
          </w:tcPr>
          <w:p w14:paraId="248ABBFD"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795AACAD"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-8,6</w:t>
            </w:r>
          </w:p>
        </w:tc>
        <w:tc>
          <w:tcPr>
            <w:tcW w:w="849" w:type="dxa"/>
            <w:tcBorders>
              <w:top w:val="nil"/>
              <w:left w:val="nil"/>
              <w:bottom w:val="single" w:sz="4" w:space="0" w:color="auto"/>
              <w:right w:val="single" w:sz="4" w:space="0" w:color="auto"/>
            </w:tcBorders>
            <w:shd w:val="clear" w:color="auto" w:fill="auto"/>
            <w:vAlign w:val="center"/>
            <w:hideMark/>
          </w:tcPr>
          <w:p w14:paraId="269F6BE6"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-9,9</w:t>
            </w:r>
          </w:p>
        </w:tc>
        <w:tc>
          <w:tcPr>
            <w:tcW w:w="766" w:type="dxa"/>
            <w:tcBorders>
              <w:top w:val="nil"/>
              <w:left w:val="nil"/>
              <w:bottom w:val="single" w:sz="4" w:space="0" w:color="auto"/>
              <w:right w:val="single" w:sz="4" w:space="0" w:color="auto"/>
            </w:tcBorders>
            <w:shd w:val="clear" w:color="auto" w:fill="auto"/>
            <w:vAlign w:val="center"/>
            <w:hideMark/>
          </w:tcPr>
          <w:p w14:paraId="4CFB248E"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-8,3</w:t>
            </w:r>
          </w:p>
        </w:tc>
        <w:tc>
          <w:tcPr>
            <w:tcW w:w="843" w:type="dxa"/>
            <w:tcBorders>
              <w:top w:val="nil"/>
              <w:left w:val="nil"/>
              <w:bottom w:val="single" w:sz="4" w:space="0" w:color="auto"/>
              <w:right w:val="single" w:sz="4" w:space="0" w:color="auto"/>
            </w:tcBorders>
            <w:shd w:val="clear" w:color="auto" w:fill="auto"/>
            <w:vAlign w:val="center"/>
            <w:hideMark/>
          </w:tcPr>
          <w:p w14:paraId="59B638CC"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-7,8</w:t>
            </w:r>
          </w:p>
        </w:tc>
      </w:tr>
    </w:tbl>
    <w:p w14:paraId="2B09958A" w14:textId="77777777" w:rsidR="00D030D6" w:rsidRPr="00092ED7" w:rsidRDefault="00D030D6">
      <w:pPr>
        <w:spacing w:after="160" w:line="259" w:lineRule="auto"/>
        <w:jc w:val="left"/>
        <w:rPr>
          <w:rFonts w:eastAsia="MS PGothic" w:cs="Times New Roman"/>
          <w:b/>
          <w:color w:val="000000"/>
          <w:szCs w:val="24"/>
          <w:lang w:val="sr-Cyrl-CS"/>
        </w:rPr>
      </w:pPr>
      <w:bookmarkStart w:id="175" w:name="_Toc61953869"/>
      <w:bookmarkStart w:id="176" w:name="_Toc93386008"/>
      <w:r w:rsidRPr="00092ED7">
        <w:rPr>
          <w:rFonts w:cs="Times New Roman"/>
          <w:b/>
          <w:lang w:val="sr-Cyrl-CS"/>
        </w:rPr>
        <w:br w:type="page"/>
      </w:r>
    </w:p>
    <w:p w14:paraId="29BA87DB" w14:textId="77777777" w:rsidR="008D7C20" w:rsidRPr="00092ED7" w:rsidRDefault="008D7C20" w:rsidP="008D7C20">
      <w:pPr>
        <w:pStyle w:val="Heading3"/>
        <w:rPr>
          <w:rFonts w:ascii="Times New Roman" w:hAnsi="Times New Roman" w:cs="Times New Roman"/>
          <w:b/>
          <w:lang w:val="sr-Cyrl-CS"/>
        </w:rPr>
      </w:pPr>
      <w:bookmarkStart w:id="177" w:name="_Toc124174839"/>
      <w:bookmarkStart w:id="178" w:name="_Toc126218657"/>
      <w:r w:rsidRPr="00092ED7">
        <w:rPr>
          <w:rFonts w:ascii="Times New Roman" w:hAnsi="Times New Roman" w:cs="Times New Roman"/>
          <w:b/>
          <w:lang w:val="sr-Cyrl-CS"/>
        </w:rPr>
        <w:t>Табела 10: Ефекти структурних реформи на буџет</w:t>
      </w:r>
      <w:bookmarkEnd w:id="175"/>
      <w:bookmarkEnd w:id="176"/>
      <w:bookmarkEnd w:id="177"/>
      <w:bookmarkEnd w:id="178"/>
    </w:p>
    <w:p w14:paraId="73FAA34A" w14:textId="77777777" w:rsidR="008D7C20" w:rsidRPr="00092ED7" w:rsidRDefault="008D7C20" w:rsidP="008D7C20">
      <w:pPr>
        <w:spacing w:before="120"/>
        <w:rPr>
          <w:rFonts w:cs="Times New Roman"/>
          <w:b/>
          <w:bCs/>
          <w:sz w:val="20"/>
          <w:szCs w:val="20"/>
          <w:lang w:val="sr-Cyrl-CS"/>
        </w:rPr>
      </w:pPr>
      <w:r w:rsidRPr="00092ED7">
        <w:rPr>
          <w:rFonts w:cs="Times New Roman"/>
          <w:b/>
          <w:bCs/>
          <w:sz w:val="20"/>
          <w:szCs w:val="20"/>
          <w:lang w:val="sr-Cyrl-CS"/>
        </w:rPr>
        <w:t>Табела 10</w:t>
      </w:r>
      <w:r w:rsidR="00812992" w:rsidRPr="00092ED7">
        <w:rPr>
          <w:rFonts w:cs="Times New Roman"/>
          <w:b/>
          <w:bCs/>
          <w:sz w:val="20"/>
          <w:szCs w:val="20"/>
          <w:lang w:val="sr-Cyrl-CS"/>
        </w:rPr>
        <w:t xml:space="preserve"> </w:t>
      </w:r>
      <w:r w:rsidRPr="00092ED7">
        <w:rPr>
          <w:rFonts w:cs="Times New Roman"/>
          <w:b/>
          <w:bCs/>
          <w:sz w:val="20"/>
          <w:szCs w:val="20"/>
          <w:lang w:val="sr-Cyrl-CS"/>
        </w:rPr>
        <w:t>а: Утврђивање трошкова структурних реформи у периоду 2023-2025. година у еврима</w:t>
      </w:r>
    </w:p>
    <w:tbl>
      <w:tblPr>
        <w:tblW w:w="0" w:type="auto"/>
        <w:tblLook w:val="04A0" w:firstRow="1" w:lastRow="0" w:firstColumn="1" w:lastColumn="0" w:noHBand="0" w:noVBand="1"/>
      </w:tblPr>
      <w:tblGrid>
        <w:gridCol w:w="1176"/>
        <w:gridCol w:w="1290"/>
        <w:gridCol w:w="1750"/>
        <w:gridCol w:w="1624"/>
        <w:gridCol w:w="1538"/>
        <w:gridCol w:w="1628"/>
      </w:tblGrid>
      <w:tr w:rsidR="008D7C20" w:rsidRPr="00092ED7" w14:paraId="3A4D96EB" w14:textId="77777777" w:rsidTr="00EE16E2">
        <w:trPr>
          <w:trHeight w:val="330"/>
        </w:trPr>
        <w:tc>
          <w:tcPr>
            <w:tcW w:w="0" w:type="auto"/>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15739B4" w14:textId="77777777" w:rsidR="008D7C20" w:rsidRPr="00092ED7" w:rsidRDefault="008D7C20" w:rsidP="00F50B5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1. Успостављање оквира за увођење </w:t>
            </w:r>
            <w:r w:rsidR="00F50B50" w:rsidRPr="00092ED7">
              <w:rPr>
                <w:rFonts w:eastAsia="Times New Roman" w:cs="Times New Roman"/>
                <w:b/>
                <w:bCs/>
                <w:sz w:val="20"/>
                <w:szCs w:val="20"/>
                <w:lang w:val="sr-Cyrl-CS"/>
              </w:rPr>
              <w:t xml:space="preserve">Гаранције </w:t>
            </w:r>
            <w:r w:rsidRPr="00092ED7">
              <w:rPr>
                <w:rFonts w:eastAsia="Times New Roman" w:cs="Times New Roman"/>
                <w:b/>
                <w:bCs/>
                <w:sz w:val="20"/>
                <w:szCs w:val="20"/>
                <w:lang w:val="sr-Cyrl-CS"/>
              </w:rPr>
              <w:t>за младе у Републици Србији</w:t>
            </w:r>
          </w:p>
        </w:tc>
      </w:tr>
      <w:tr w:rsidR="00FD090A" w:rsidRPr="00092ED7" w14:paraId="12EBB455"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DA377D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b/>
                <w:bCs/>
                <w:color w:val="000000"/>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133904A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0D73CE6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2EC1786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4F3478A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2B05A73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0E0F519A"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771D6D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654B547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15F41DCB"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300.000,00</w:t>
            </w:r>
          </w:p>
        </w:tc>
        <w:tc>
          <w:tcPr>
            <w:tcW w:w="1624" w:type="dxa"/>
            <w:tcBorders>
              <w:top w:val="nil"/>
              <w:left w:val="nil"/>
              <w:bottom w:val="single" w:sz="8" w:space="0" w:color="auto"/>
              <w:right w:val="single" w:sz="8" w:space="0" w:color="auto"/>
            </w:tcBorders>
            <w:shd w:val="clear" w:color="auto" w:fill="auto"/>
            <w:noWrap/>
            <w:vAlign w:val="center"/>
            <w:hideMark/>
          </w:tcPr>
          <w:p w14:paraId="5127AFF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2.681.250,00</w:t>
            </w:r>
          </w:p>
        </w:tc>
        <w:tc>
          <w:tcPr>
            <w:tcW w:w="1538" w:type="dxa"/>
            <w:tcBorders>
              <w:top w:val="nil"/>
              <w:left w:val="nil"/>
              <w:bottom w:val="single" w:sz="8" w:space="0" w:color="auto"/>
              <w:right w:val="single" w:sz="8" w:space="0" w:color="auto"/>
            </w:tcBorders>
            <w:shd w:val="clear" w:color="auto" w:fill="auto"/>
            <w:noWrap/>
            <w:vAlign w:val="center"/>
            <w:hideMark/>
          </w:tcPr>
          <w:p w14:paraId="7A95770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5305515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2.981.250,00</w:t>
            </w:r>
          </w:p>
        </w:tc>
      </w:tr>
      <w:tr w:rsidR="00FD090A" w:rsidRPr="00092ED7" w14:paraId="37B70C38"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CBA3B3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0F7F792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85715CC"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420.000,00</w:t>
            </w:r>
          </w:p>
        </w:tc>
        <w:tc>
          <w:tcPr>
            <w:tcW w:w="1624" w:type="dxa"/>
            <w:tcBorders>
              <w:top w:val="nil"/>
              <w:left w:val="nil"/>
              <w:bottom w:val="single" w:sz="8" w:space="0" w:color="auto"/>
              <w:right w:val="single" w:sz="8" w:space="0" w:color="auto"/>
            </w:tcBorders>
            <w:shd w:val="clear" w:color="auto" w:fill="auto"/>
            <w:noWrap/>
            <w:vAlign w:val="center"/>
            <w:hideMark/>
          </w:tcPr>
          <w:p w14:paraId="2FEC040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2.268.750,00</w:t>
            </w:r>
          </w:p>
        </w:tc>
        <w:tc>
          <w:tcPr>
            <w:tcW w:w="1538" w:type="dxa"/>
            <w:tcBorders>
              <w:top w:val="nil"/>
              <w:left w:val="nil"/>
              <w:bottom w:val="single" w:sz="8" w:space="0" w:color="auto"/>
              <w:right w:val="single" w:sz="8" w:space="0" w:color="auto"/>
            </w:tcBorders>
            <w:shd w:val="clear" w:color="auto" w:fill="auto"/>
            <w:noWrap/>
            <w:vAlign w:val="center"/>
            <w:hideMark/>
          </w:tcPr>
          <w:p w14:paraId="0C63875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614BE5A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2.688.750,00</w:t>
            </w:r>
          </w:p>
        </w:tc>
      </w:tr>
      <w:tr w:rsidR="00FD090A" w:rsidRPr="00092ED7" w14:paraId="47C1842E"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45C892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6D074C1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4BFF6998"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420.000,00</w:t>
            </w:r>
          </w:p>
        </w:tc>
        <w:tc>
          <w:tcPr>
            <w:tcW w:w="1624" w:type="dxa"/>
            <w:tcBorders>
              <w:top w:val="nil"/>
              <w:left w:val="nil"/>
              <w:bottom w:val="single" w:sz="8" w:space="0" w:color="auto"/>
              <w:right w:val="single" w:sz="8" w:space="0" w:color="auto"/>
            </w:tcBorders>
            <w:shd w:val="clear" w:color="auto" w:fill="auto"/>
            <w:noWrap/>
            <w:vAlign w:val="center"/>
            <w:hideMark/>
          </w:tcPr>
          <w:p w14:paraId="2082D8A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550.000,00</w:t>
            </w:r>
          </w:p>
        </w:tc>
        <w:tc>
          <w:tcPr>
            <w:tcW w:w="1538" w:type="dxa"/>
            <w:tcBorders>
              <w:top w:val="nil"/>
              <w:left w:val="nil"/>
              <w:bottom w:val="single" w:sz="8" w:space="0" w:color="auto"/>
              <w:right w:val="single" w:sz="8" w:space="0" w:color="auto"/>
            </w:tcBorders>
            <w:shd w:val="clear" w:color="auto" w:fill="auto"/>
            <w:noWrap/>
            <w:vAlign w:val="center"/>
            <w:hideMark/>
          </w:tcPr>
          <w:p w14:paraId="56BDDF0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4D22B68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970.000,00</w:t>
            </w:r>
          </w:p>
        </w:tc>
      </w:tr>
      <w:tr w:rsidR="008D7C20" w:rsidRPr="00092ED7" w14:paraId="102325B1"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5F8AD74"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2. Реформа Фонда за младе таленте</w:t>
            </w:r>
          </w:p>
        </w:tc>
      </w:tr>
      <w:tr w:rsidR="00FD090A" w:rsidRPr="00092ED7" w14:paraId="6FFED0A0"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F69B60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0578929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7D9B99B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556507E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1FECFDA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61CC26F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59EF8D13"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D968B9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337667F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608034F7"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8.090.531,00</w:t>
            </w:r>
          </w:p>
        </w:tc>
        <w:tc>
          <w:tcPr>
            <w:tcW w:w="1624" w:type="dxa"/>
            <w:tcBorders>
              <w:top w:val="nil"/>
              <w:left w:val="nil"/>
              <w:bottom w:val="single" w:sz="8" w:space="0" w:color="auto"/>
              <w:right w:val="single" w:sz="8" w:space="0" w:color="auto"/>
            </w:tcBorders>
            <w:shd w:val="clear" w:color="auto" w:fill="auto"/>
            <w:noWrap/>
            <w:vAlign w:val="center"/>
            <w:hideMark/>
          </w:tcPr>
          <w:p w14:paraId="317CE2B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1F11568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7732262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8.090.531,00</w:t>
            </w:r>
          </w:p>
        </w:tc>
      </w:tr>
      <w:tr w:rsidR="00FD090A" w:rsidRPr="00092ED7" w14:paraId="0959C2F3"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603EE2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6FD3A58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583278F"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8.888.031,00</w:t>
            </w:r>
          </w:p>
        </w:tc>
        <w:tc>
          <w:tcPr>
            <w:tcW w:w="1624" w:type="dxa"/>
            <w:tcBorders>
              <w:top w:val="nil"/>
              <w:left w:val="nil"/>
              <w:bottom w:val="single" w:sz="8" w:space="0" w:color="auto"/>
              <w:right w:val="single" w:sz="8" w:space="0" w:color="auto"/>
            </w:tcBorders>
            <w:shd w:val="clear" w:color="auto" w:fill="auto"/>
            <w:noWrap/>
            <w:vAlign w:val="center"/>
            <w:hideMark/>
          </w:tcPr>
          <w:p w14:paraId="33914CE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83F027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544F82C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8.888.031,00</w:t>
            </w:r>
          </w:p>
        </w:tc>
      </w:tr>
      <w:tr w:rsidR="00FD090A" w:rsidRPr="00092ED7" w14:paraId="25B33095"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3989AE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207B535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6398FD1"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9.765.281,00</w:t>
            </w:r>
          </w:p>
        </w:tc>
        <w:tc>
          <w:tcPr>
            <w:tcW w:w="1624" w:type="dxa"/>
            <w:tcBorders>
              <w:top w:val="nil"/>
              <w:left w:val="nil"/>
              <w:bottom w:val="single" w:sz="8" w:space="0" w:color="auto"/>
              <w:right w:val="single" w:sz="8" w:space="0" w:color="auto"/>
            </w:tcBorders>
            <w:shd w:val="clear" w:color="auto" w:fill="auto"/>
            <w:noWrap/>
            <w:vAlign w:val="center"/>
            <w:hideMark/>
          </w:tcPr>
          <w:p w14:paraId="594F22E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4BFA2FC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580728C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9.765.281,00</w:t>
            </w:r>
          </w:p>
        </w:tc>
      </w:tr>
      <w:tr w:rsidR="008D7C20" w:rsidRPr="00092ED7" w14:paraId="6163C04F"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65B8E02"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3. Квалификације оријентисане према потребама тржишта рада</w:t>
            </w:r>
          </w:p>
        </w:tc>
      </w:tr>
      <w:tr w:rsidR="00FD090A" w:rsidRPr="00092ED7" w14:paraId="4F77D653"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AD591E2"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7E4A564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04DBDC9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01A9A8A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64B8D44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21B59DE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0A670195"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366107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3D923E5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E6E16F3"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210.664,00</w:t>
            </w:r>
          </w:p>
        </w:tc>
        <w:tc>
          <w:tcPr>
            <w:tcW w:w="1624" w:type="dxa"/>
            <w:tcBorders>
              <w:top w:val="nil"/>
              <w:left w:val="nil"/>
              <w:bottom w:val="single" w:sz="8" w:space="0" w:color="auto"/>
              <w:right w:val="single" w:sz="8" w:space="0" w:color="auto"/>
            </w:tcBorders>
            <w:shd w:val="clear" w:color="auto" w:fill="auto"/>
            <w:noWrap/>
            <w:vAlign w:val="center"/>
            <w:hideMark/>
          </w:tcPr>
          <w:p w14:paraId="50733A7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F9717C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28.300.000,00</w:t>
            </w:r>
          </w:p>
        </w:tc>
        <w:tc>
          <w:tcPr>
            <w:tcW w:w="1628" w:type="dxa"/>
            <w:tcBorders>
              <w:top w:val="nil"/>
              <w:left w:val="nil"/>
              <w:bottom w:val="single" w:sz="8" w:space="0" w:color="auto"/>
              <w:right w:val="single" w:sz="8" w:space="0" w:color="auto"/>
            </w:tcBorders>
            <w:shd w:val="clear" w:color="auto" w:fill="auto"/>
            <w:noWrap/>
            <w:vAlign w:val="center"/>
            <w:hideMark/>
          </w:tcPr>
          <w:p w14:paraId="12776B9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28.510.664,00</w:t>
            </w:r>
          </w:p>
        </w:tc>
      </w:tr>
      <w:tr w:rsidR="00FD090A" w:rsidRPr="00092ED7" w14:paraId="241627E7"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CB46B6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2089F43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676A9D9F"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117.364,00</w:t>
            </w:r>
          </w:p>
        </w:tc>
        <w:tc>
          <w:tcPr>
            <w:tcW w:w="1624" w:type="dxa"/>
            <w:tcBorders>
              <w:top w:val="nil"/>
              <w:left w:val="nil"/>
              <w:bottom w:val="single" w:sz="8" w:space="0" w:color="auto"/>
              <w:right w:val="single" w:sz="8" w:space="0" w:color="auto"/>
            </w:tcBorders>
            <w:shd w:val="clear" w:color="auto" w:fill="auto"/>
            <w:noWrap/>
            <w:vAlign w:val="center"/>
            <w:hideMark/>
          </w:tcPr>
          <w:p w14:paraId="002DCD1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78215CD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7.518.700,00</w:t>
            </w:r>
          </w:p>
        </w:tc>
        <w:tc>
          <w:tcPr>
            <w:tcW w:w="1628" w:type="dxa"/>
            <w:tcBorders>
              <w:top w:val="nil"/>
              <w:left w:val="nil"/>
              <w:bottom w:val="single" w:sz="8" w:space="0" w:color="auto"/>
              <w:right w:val="single" w:sz="8" w:space="0" w:color="auto"/>
            </w:tcBorders>
            <w:shd w:val="clear" w:color="auto" w:fill="auto"/>
            <w:noWrap/>
            <w:vAlign w:val="center"/>
            <w:hideMark/>
          </w:tcPr>
          <w:p w14:paraId="32F2B4F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7.636.064,00</w:t>
            </w:r>
          </w:p>
        </w:tc>
      </w:tr>
      <w:tr w:rsidR="00FD090A" w:rsidRPr="00092ED7" w14:paraId="54C0F906"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105822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4B5F566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382A2C2"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29.100,00</w:t>
            </w:r>
          </w:p>
        </w:tc>
        <w:tc>
          <w:tcPr>
            <w:tcW w:w="1624" w:type="dxa"/>
            <w:tcBorders>
              <w:top w:val="nil"/>
              <w:left w:val="nil"/>
              <w:bottom w:val="single" w:sz="8" w:space="0" w:color="auto"/>
              <w:right w:val="single" w:sz="8" w:space="0" w:color="auto"/>
            </w:tcBorders>
            <w:shd w:val="clear" w:color="auto" w:fill="auto"/>
            <w:noWrap/>
            <w:vAlign w:val="center"/>
            <w:hideMark/>
          </w:tcPr>
          <w:p w14:paraId="65AABCA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21413C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3747B39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29.100,00</w:t>
            </w:r>
          </w:p>
        </w:tc>
      </w:tr>
      <w:tr w:rsidR="008D7C20" w:rsidRPr="00092ED7" w14:paraId="469F5310"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A1E473B"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4. Унапређење амбијента за подстицање, подршку и праћење циркуларних и економских миграција</w:t>
            </w:r>
          </w:p>
        </w:tc>
      </w:tr>
      <w:tr w:rsidR="00FD090A" w:rsidRPr="00092ED7" w14:paraId="5FFABF33"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6942623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32BF4DF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701F0971"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71BA38E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1025AB5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102B161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7D28FD5A"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318601B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7CFD6CF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1499672"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389.000,00</w:t>
            </w:r>
          </w:p>
        </w:tc>
        <w:tc>
          <w:tcPr>
            <w:tcW w:w="1624" w:type="dxa"/>
            <w:tcBorders>
              <w:top w:val="nil"/>
              <w:left w:val="nil"/>
              <w:bottom w:val="single" w:sz="8" w:space="0" w:color="auto"/>
              <w:right w:val="single" w:sz="8" w:space="0" w:color="auto"/>
            </w:tcBorders>
            <w:shd w:val="clear" w:color="auto" w:fill="auto"/>
            <w:noWrap/>
            <w:vAlign w:val="center"/>
            <w:hideMark/>
          </w:tcPr>
          <w:p w14:paraId="1F1D6A1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467C6DB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2E89F28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389.000,00</w:t>
            </w:r>
          </w:p>
        </w:tc>
      </w:tr>
      <w:tr w:rsidR="00FD090A" w:rsidRPr="00092ED7" w14:paraId="2C41E00A"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88C524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2A3CDC3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BD7DCF9"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406.000,00</w:t>
            </w:r>
          </w:p>
        </w:tc>
        <w:tc>
          <w:tcPr>
            <w:tcW w:w="1624" w:type="dxa"/>
            <w:tcBorders>
              <w:top w:val="nil"/>
              <w:left w:val="nil"/>
              <w:bottom w:val="single" w:sz="8" w:space="0" w:color="auto"/>
              <w:right w:val="single" w:sz="8" w:space="0" w:color="auto"/>
            </w:tcBorders>
            <w:shd w:val="clear" w:color="auto" w:fill="auto"/>
            <w:noWrap/>
            <w:vAlign w:val="center"/>
            <w:hideMark/>
          </w:tcPr>
          <w:p w14:paraId="23453DD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3262EF1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187A70B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406.000,00</w:t>
            </w:r>
          </w:p>
        </w:tc>
      </w:tr>
      <w:tr w:rsidR="00FD090A" w:rsidRPr="00092ED7" w14:paraId="7DA7CB18"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63C99C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0DE43F5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085E8A35"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421.000,00</w:t>
            </w:r>
          </w:p>
        </w:tc>
        <w:tc>
          <w:tcPr>
            <w:tcW w:w="1624" w:type="dxa"/>
            <w:tcBorders>
              <w:top w:val="nil"/>
              <w:left w:val="nil"/>
              <w:bottom w:val="single" w:sz="8" w:space="0" w:color="auto"/>
              <w:right w:val="single" w:sz="8" w:space="0" w:color="auto"/>
            </w:tcBorders>
            <w:shd w:val="clear" w:color="auto" w:fill="auto"/>
            <w:noWrap/>
            <w:vAlign w:val="center"/>
            <w:hideMark/>
          </w:tcPr>
          <w:p w14:paraId="2DE8BD1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54A9F64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175A48C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421.000,00</w:t>
            </w:r>
          </w:p>
        </w:tc>
      </w:tr>
      <w:tr w:rsidR="008D7C20" w:rsidRPr="00092ED7" w14:paraId="625F8D58"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92743C4"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5. Унапређење квалитета пружања јавних услуга кроз оптимизацију и дигитализацију административних поступака – е-Папир</w:t>
            </w:r>
          </w:p>
        </w:tc>
      </w:tr>
      <w:tr w:rsidR="00FD090A" w:rsidRPr="00092ED7" w14:paraId="23861214"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6BE4C5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4D82E07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30E95C8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038F0B6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21B4FA8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36FD03C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038483E8"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6970529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151E70E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4BDF4C20" w14:textId="0B2F5F10" w:rsidR="008D7C20" w:rsidRPr="00092ED7" w:rsidRDefault="006B50FE" w:rsidP="008D7C20">
            <w:pPr>
              <w:spacing w:after="0"/>
              <w:jc w:val="right"/>
              <w:rPr>
                <w:rFonts w:eastAsia="Times New Roman" w:cs="Times New Roman"/>
                <w:sz w:val="20"/>
                <w:szCs w:val="20"/>
                <w:lang w:val="sr-Cyrl-CS"/>
              </w:rPr>
            </w:pPr>
            <w:r w:rsidRPr="00092ED7">
              <w:rPr>
                <w:rFonts w:cs="Times New Roman"/>
                <w:sz w:val="20"/>
                <w:szCs w:val="20"/>
                <w:lang w:val="sr-Cyrl-CS"/>
              </w:rPr>
              <w:t>1.659.760,00</w:t>
            </w:r>
          </w:p>
        </w:tc>
        <w:tc>
          <w:tcPr>
            <w:tcW w:w="1624" w:type="dxa"/>
            <w:tcBorders>
              <w:top w:val="nil"/>
              <w:left w:val="nil"/>
              <w:bottom w:val="single" w:sz="8" w:space="0" w:color="auto"/>
              <w:right w:val="single" w:sz="8" w:space="0" w:color="auto"/>
            </w:tcBorders>
            <w:shd w:val="clear" w:color="auto" w:fill="auto"/>
            <w:noWrap/>
            <w:vAlign w:val="center"/>
            <w:hideMark/>
          </w:tcPr>
          <w:p w14:paraId="5078568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339BFF9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02A80996" w14:textId="335EAA9A" w:rsidR="008D7C20" w:rsidRPr="00092ED7" w:rsidRDefault="006B50FE"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1.659.760,00</w:t>
            </w:r>
          </w:p>
        </w:tc>
      </w:tr>
      <w:tr w:rsidR="00FD090A" w:rsidRPr="00092ED7" w14:paraId="43E512FA"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DC5088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5AE57BE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0CE2498" w14:textId="51C39BDA" w:rsidR="008D7C20" w:rsidRPr="00092ED7" w:rsidRDefault="006B50FE" w:rsidP="008D7C20">
            <w:pPr>
              <w:spacing w:after="0"/>
              <w:jc w:val="right"/>
              <w:rPr>
                <w:rFonts w:eastAsia="Times New Roman" w:cs="Times New Roman"/>
                <w:sz w:val="20"/>
                <w:szCs w:val="20"/>
                <w:lang w:val="sr-Cyrl-CS"/>
              </w:rPr>
            </w:pPr>
            <w:r w:rsidRPr="00092ED7">
              <w:rPr>
                <w:rFonts w:cs="Times New Roman"/>
                <w:sz w:val="20"/>
                <w:szCs w:val="20"/>
                <w:lang w:val="sr-Cyrl-CS"/>
              </w:rPr>
              <w:t>2.385.240,00</w:t>
            </w:r>
          </w:p>
        </w:tc>
        <w:tc>
          <w:tcPr>
            <w:tcW w:w="1624" w:type="dxa"/>
            <w:tcBorders>
              <w:top w:val="nil"/>
              <w:left w:val="nil"/>
              <w:bottom w:val="single" w:sz="8" w:space="0" w:color="auto"/>
              <w:right w:val="single" w:sz="8" w:space="0" w:color="auto"/>
            </w:tcBorders>
            <w:shd w:val="clear" w:color="auto" w:fill="auto"/>
            <w:noWrap/>
            <w:vAlign w:val="center"/>
            <w:hideMark/>
          </w:tcPr>
          <w:p w14:paraId="6F5E9FB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1C2196F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4FA9E5E3" w14:textId="583EE617" w:rsidR="008D7C20" w:rsidRPr="00092ED7" w:rsidRDefault="006B50FE"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2.385.240,00</w:t>
            </w:r>
          </w:p>
        </w:tc>
      </w:tr>
      <w:tr w:rsidR="00FD090A" w:rsidRPr="00092ED7" w14:paraId="1E739A0A"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615CEA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4DA66BC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0480D210" w14:textId="000DEFC7" w:rsidR="008D7C20" w:rsidRPr="00092ED7" w:rsidRDefault="006B50FE" w:rsidP="008D7C20">
            <w:pPr>
              <w:spacing w:after="0"/>
              <w:jc w:val="right"/>
              <w:rPr>
                <w:rFonts w:eastAsia="Times New Roman" w:cs="Times New Roman"/>
                <w:sz w:val="20"/>
                <w:szCs w:val="20"/>
                <w:lang w:val="sr-Cyrl-CS"/>
              </w:rPr>
            </w:pPr>
            <w:r w:rsidRPr="00092ED7">
              <w:rPr>
                <w:rFonts w:cs="Times New Roman"/>
                <w:sz w:val="20"/>
                <w:szCs w:val="20"/>
                <w:lang w:val="sr-Cyrl-CS"/>
              </w:rPr>
              <w:t>1.187.000,00</w:t>
            </w:r>
          </w:p>
        </w:tc>
        <w:tc>
          <w:tcPr>
            <w:tcW w:w="1624" w:type="dxa"/>
            <w:tcBorders>
              <w:top w:val="nil"/>
              <w:left w:val="nil"/>
              <w:bottom w:val="single" w:sz="8" w:space="0" w:color="auto"/>
              <w:right w:val="single" w:sz="8" w:space="0" w:color="auto"/>
            </w:tcBorders>
            <w:shd w:val="clear" w:color="auto" w:fill="auto"/>
            <w:noWrap/>
            <w:vAlign w:val="center"/>
            <w:hideMark/>
          </w:tcPr>
          <w:p w14:paraId="5D07687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003F36A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141FAE6F" w14:textId="31B45C97" w:rsidR="008D7C20" w:rsidRPr="00092ED7" w:rsidRDefault="006B50FE"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1.187.000,00</w:t>
            </w:r>
          </w:p>
        </w:tc>
      </w:tr>
      <w:tr w:rsidR="008D7C20" w:rsidRPr="00092ED7" w14:paraId="36207047"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53E93EF0"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6. Одрживо и ефикасно управљање привредним субјектима у власништву Републике Србије</w:t>
            </w:r>
          </w:p>
        </w:tc>
      </w:tr>
      <w:tr w:rsidR="00FD090A" w:rsidRPr="00092ED7" w14:paraId="3AE16D58"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5802DA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7163718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0F06FB1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19DAAFD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75989DD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7AEB95D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4ADE9D46"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52CA102"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4C29B3F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6EA472C"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68.504,00</w:t>
            </w:r>
          </w:p>
        </w:tc>
        <w:tc>
          <w:tcPr>
            <w:tcW w:w="1624" w:type="dxa"/>
            <w:tcBorders>
              <w:top w:val="nil"/>
              <w:left w:val="nil"/>
              <w:bottom w:val="single" w:sz="8" w:space="0" w:color="auto"/>
              <w:right w:val="single" w:sz="8" w:space="0" w:color="auto"/>
            </w:tcBorders>
            <w:shd w:val="clear" w:color="auto" w:fill="auto"/>
            <w:noWrap/>
            <w:vAlign w:val="center"/>
            <w:hideMark/>
          </w:tcPr>
          <w:p w14:paraId="14B95C8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261F25C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13F8CD09"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68.504,00</w:t>
            </w:r>
          </w:p>
        </w:tc>
      </w:tr>
      <w:tr w:rsidR="00FD090A" w:rsidRPr="00092ED7" w14:paraId="313130EE"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944597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2E28748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610A6FFF"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6877827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4BD61B7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6FE7F86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FD090A" w:rsidRPr="00092ED7" w14:paraId="2DF7A6EE"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72EE63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6D4297F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ECC72E3"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7460430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2BF9731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1BBFF3C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8D7C20" w:rsidRPr="00092ED7" w14:paraId="76A5E1C3" w14:textId="77777777" w:rsidTr="007C54E3">
        <w:trPr>
          <w:trHeight w:val="330"/>
        </w:trPr>
        <w:tc>
          <w:tcPr>
            <w:tcW w:w="9006" w:type="dxa"/>
            <w:gridSpan w:val="6"/>
            <w:tcBorders>
              <w:top w:val="single" w:sz="8" w:space="0" w:color="auto"/>
              <w:left w:val="single" w:sz="8" w:space="0" w:color="auto"/>
              <w:bottom w:val="single" w:sz="4" w:space="0" w:color="auto"/>
              <w:right w:val="single" w:sz="8" w:space="0" w:color="auto"/>
            </w:tcBorders>
            <w:shd w:val="clear" w:color="000000" w:fill="D0CECE"/>
            <w:noWrap/>
            <w:vAlign w:val="center"/>
            <w:hideMark/>
          </w:tcPr>
          <w:p w14:paraId="10CBD48D"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7. Развој домаћег тржишта капитала и обезбеђивање већег степена заштите инвеститора</w:t>
            </w:r>
          </w:p>
        </w:tc>
      </w:tr>
      <w:tr w:rsidR="00FD090A" w:rsidRPr="00092ED7" w14:paraId="0AB93D68" w14:textId="77777777" w:rsidTr="007C54E3">
        <w:trPr>
          <w:trHeight w:val="33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2ED0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CE54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4178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6736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4F69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54BC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178836B3" w14:textId="77777777" w:rsidTr="007C54E3">
        <w:trPr>
          <w:trHeight w:val="33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57B18"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0506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12.100,00</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8CBCA"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EFED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26A4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3CAC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12.100,00</w:t>
            </w:r>
          </w:p>
        </w:tc>
      </w:tr>
      <w:tr w:rsidR="00FD090A" w:rsidRPr="00092ED7" w14:paraId="7CBC61E9" w14:textId="77777777" w:rsidTr="007C54E3">
        <w:trPr>
          <w:trHeight w:val="330"/>
        </w:trPr>
        <w:tc>
          <w:tcPr>
            <w:tcW w:w="11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FA7402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single" w:sz="4" w:space="0" w:color="auto"/>
              <w:left w:val="nil"/>
              <w:bottom w:val="single" w:sz="8" w:space="0" w:color="auto"/>
              <w:right w:val="single" w:sz="8" w:space="0" w:color="auto"/>
            </w:tcBorders>
            <w:shd w:val="clear" w:color="auto" w:fill="auto"/>
            <w:noWrap/>
            <w:vAlign w:val="center"/>
            <w:hideMark/>
          </w:tcPr>
          <w:p w14:paraId="2E54EAD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24.200,00</w:t>
            </w:r>
          </w:p>
        </w:tc>
        <w:tc>
          <w:tcPr>
            <w:tcW w:w="1750" w:type="dxa"/>
            <w:tcBorders>
              <w:top w:val="single" w:sz="4" w:space="0" w:color="auto"/>
              <w:left w:val="nil"/>
              <w:bottom w:val="single" w:sz="8" w:space="0" w:color="auto"/>
              <w:right w:val="single" w:sz="8" w:space="0" w:color="auto"/>
            </w:tcBorders>
            <w:shd w:val="clear" w:color="auto" w:fill="auto"/>
            <w:noWrap/>
            <w:vAlign w:val="center"/>
            <w:hideMark/>
          </w:tcPr>
          <w:p w14:paraId="0AC114D1"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single" w:sz="4" w:space="0" w:color="auto"/>
              <w:left w:val="nil"/>
              <w:bottom w:val="single" w:sz="8" w:space="0" w:color="auto"/>
              <w:right w:val="single" w:sz="8" w:space="0" w:color="auto"/>
            </w:tcBorders>
            <w:shd w:val="clear" w:color="auto" w:fill="auto"/>
            <w:noWrap/>
            <w:vAlign w:val="center"/>
            <w:hideMark/>
          </w:tcPr>
          <w:p w14:paraId="2C4854F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single" w:sz="4" w:space="0" w:color="auto"/>
              <w:left w:val="nil"/>
              <w:bottom w:val="single" w:sz="8" w:space="0" w:color="auto"/>
              <w:right w:val="single" w:sz="8" w:space="0" w:color="auto"/>
            </w:tcBorders>
            <w:shd w:val="clear" w:color="auto" w:fill="auto"/>
            <w:noWrap/>
            <w:vAlign w:val="center"/>
            <w:hideMark/>
          </w:tcPr>
          <w:p w14:paraId="6DEF722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single" w:sz="4" w:space="0" w:color="auto"/>
              <w:left w:val="nil"/>
              <w:bottom w:val="single" w:sz="8" w:space="0" w:color="auto"/>
              <w:right w:val="single" w:sz="8" w:space="0" w:color="auto"/>
            </w:tcBorders>
            <w:shd w:val="clear" w:color="auto" w:fill="auto"/>
            <w:noWrap/>
            <w:vAlign w:val="center"/>
            <w:hideMark/>
          </w:tcPr>
          <w:p w14:paraId="15FBECE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24.200,00</w:t>
            </w:r>
          </w:p>
        </w:tc>
      </w:tr>
      <w:tr w:rsidR="00FD090A" w:rsidRPr="00092ED7" w14:paraId="3FBCF310"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62051B7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78FC36F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ED68B08"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07A0AD5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3A25B63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53CB77B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8D7C20" w:rsidRPr="00092ED7" w14:paraId="08058649"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EC57425"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8. Унапређење енергетске ефикасности кроз стварање услова за примену енергетског означавања и екодизајна, као и кроз подстицаје за унапређење енергетске ефикасности</w:t>
            </w:r>
          </w:p>
        </w:tc>
      </w:tr>
      <w:tr w:rsidR="00FD090A" w:rsidRPr="00092ED7" w14:paraId="29546322"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6FD660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523EF2C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53F4A1E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6AF3B3B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2242786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6B11EA3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0A0336DB"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56BC6B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32B389F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CC08BA5" w14:textId="6F50E8A4"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w:t>
            </w:r>
            <w:r w:rsidR="009311CC" w:rsidRPr="00092ED7">
              <w:rPr>
                <w:rFonts w:eastAsia="Times New Roman" w:cs="Times New Roman"/>
                <w:sz w:val="20"/>
                <w:szCs w:val="20"/>
                <w:lang w:val="sr-Cyrl-CS"/>
              </w:rPr>
              <w:t>0</w:t>
            </w:r>
            <w:r w:rsidRPr="00092ED7">
              <w:rPr>
                <w:rFonts w:eastAsia="Times New Roman" w:cs="Times New Roman"/>
                <w:sz w:val="20"/>
                <w:szCs w:val="20"/>
                <w:lang w:val="sr-Cyrl-CS"/>
              </w:rPr>
              <w:t>00.000,00</w:t>
            </w:r>
          </w:p>
        </w:tc>
        <w:tc>
          <w:tcPr>
            <w:tcW w:w="1624" w:type="dxa"/>
            <w:tcBorders>
              <w:top w:val="nil"/>
              <w:left w:val="nil"/>
              <w:bottom w:val="single" w:sz="8" w:space="0" w:color="auto"/>
              <w:right w:val="single" w:sz="8" w:space="0" w:color="auto"/>
            </w:tcBorders>
            <w:shd w:val="clear" w:color="auto" w:fill="auto"/>
            <w:noWrap/>
            <w:vAlign w:val="center"/>
            <w:hideMark/>
          </w:tcPr>
          <w:p w14:paraId="71B9F448" w14:textId="6F87FA30" w:rsidR="008D7C20" w:rsidRPr="00092ED7" w:rsidRDefault="008D7C20" w:rsidP="009311CC">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w:t>
            </w:r>
            <w:r w:rsidR="009311CC" w:rsidRPr="00092ED7">
              <w:rPr>
                <w:rFonts w:eastAsia="Times New Roman" w:cs="Times New Roman"/>
                <w:color w:val="000000"/>
                <w:sz w:val="20"/>
                <w:szCs w:val="20"/>
                <w:lang w:val="sr-Cyrl-CS"/>
              </w:rPr>
              <w:t>279</w:t>
            </w:r>
            <w:r w:rsidRPr="00092ED7">
              <w:rPr>
                <w:rFonts w:eastAsia="Times New Roman" w:cs="Times New Roman"/>
                <w:color w:val="000000"/>
                <w:sz w:val="20"/>
                <w:szCs w:val="20"/>
                <w:lang w:val="sr-Cyrl-CS"/>
              </w:rPr>
              <w:t>.</w:t>
            </w:r>
            <w:r w:rsidR="009311CC" w:rsidRPr="00092ED7">
              <w:rPr>
                <w:rFonts w:eastAsia="Times New Roman" w:cs="Times New Roman"/>
                <w:color w:val="000000"/>
                <w:sz w:val="20"/>
                <w:szCs w:val="20"/>
                <w:lang w:val="sr-Cyrl-CS"/>
              </w:rPr>
              <w:t>467</w:t>
            </w:r>
            <w:r w:rsidRPr="00092ED7">
              <w:rPr>
                <w:rFonts w:eastAsia="Times New Roman" w:cs="Times New Roman"/>
                <w:color w:val="000000"/>
                <w:sz w:val="20"/>
                <w:szCs w:val="20"/>
                <w:lang w:val="sr-Cyrl-CS"/>
              </w:rPr>
              <w:t>,</w:t>
            </w:r>
            <w:r w:rsidR="009311CC" w:rsidRPr="00092ED7">
              <w:rPr>
                <w:rFonts w:eastAsia="Times New Roman" w:cs="Times New Roman"/>
                <w:color w:val="000000"/>
                <w:sz w:val="20"/>
                <w:szCs w:val="20"/>
                <w:lang w:val="sr-Cyrl-CS"/>
              </w:rPr>
              <w:t>67</w:t>
            </w:r>
          </w:p>
        </w:tc>
        <w:tc>
          <w:tcPr>
            <w:tcW w:w="1538" w:type="dxa"/>
            <w:tcBorders>
              <w:top w:val="nil"/>
              <w:left w:val="nil"/>
              <w:bottom w:val="single" w:sz="8" w:space="0" w:color="auto"/>
              <w:right w:val="single" w:sz="8" w:space="0" w:color="auto"/>
            </w:tcBorders>
            <w:shd w:val="clear" w:color="auto" w:fill="auto"/>
            <w:noWrap/>
            <w:vAlign w:val="center"/>
            <w:hideMark/>
          </w:tcPr>
          <w:p w14:paraId="05DD68F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13.345.163,33</w:t>
            </w:r>
          </w:p>
        </w:tc>
        <w:tc>
          <w:tcPr>
            <w:tcW w:w="1628" w:type="dxa"/>
            <w:tcBorders>
              <w:top w:val="nil"/>
              <w:left w:val="nil"/>
              <w:bottom w:val="single" w:sz="8" w:space="0" w:color="auto"/>
              <w:right w:val="single" w:sz="8" w:space="0" w:color="auto"/>
            </w:tcBorders>
            <w:shd w:val="clear" w:color="auto" w:fill="auto"/>
            <w:noWrap/>
            <w:vAlign w:val="center"/>
            <w:hideMark/>
          </w:tcPr>
          <w:p w14:paraId="1A109A7C" w14:textId="7EB7D339" w:rsidR="008D7C20" w:rsidRPr="00092ED7" w:rsidRDefault="008D7C20" w:rsidP="009311CC">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18.</w:t>
            </w:r>
            <w:r w:rsidR="009311CC" w:rsidRPr="00092ED7">
              <w:rPr>
                <w:rFonts w:eastAsia="Times New Roman" w:cs="Times New Roman"/>
                <w:color w:val="000000"/>
                <w:sz w:val="20"/>
                <w:szCs w:val="20"/>
                <w:lang w:val="sr-Cyrl-CS"/>
              </w:rPr>
              <w:t>624</w:t>
            </w:r>
            <w:r w:rsidRPr="00092ED7">
              <w:rPr>
                <w:rFonts w:eastAsia="Times New Roman" w:cs="Times New Roman"/>
                <w:color w:val="000000"/>
                <w:sz w:val="20"/>
                <w:szCs w:val="20"/>
                <w:lang w:val="sr-Cyrl-CS"/>
              </w:rPr>
              <w:t>.</w:t>
            </w:r>
            <w:r w:rsidR="009311CC" w:rsidRPr="00092ED7">
              <w:rPr>
                <w:rFonts w:eastAsia="Times New Roman" w:cs="Times New Roman"/>
                <w:color w:val="000000"/>
                <w:sz w:val="20"/>
                <w:szCs w:val="20"/>
                <w:lang w:val="sr-Cyrl-CS"/>
              </w:rPr>
              <w:t>631</w:t>
            </w:r>
            <w:r w:rsidRPr="00092ED7">
              <w:rPr>
                <w:rFonts w:eastAsia="Times New Roman" w:cs="Times New Roman"/>
                <w:color w:val="000000"/>
                <w:sz w:val="20"/>
                <w:szCs w:val="20"/>
                <w:lang w:val="sr-Cyrl-CS"/>
              </w:rPr>
              <w:t>,</w:t>
            </w:r>
            <w:r w:rsidR="009311CC" w:rsidRPr="00092ED7">
              <w:rPr>
                <w:rFonts w:eastAsia="Times New Roman" w:cs="Times New Roman"/>
                <w:color w:val="000000"/>
                <w:sz w:val="20"/>
                <w:szCs w:val="20"/>
                <w:lang w:val="sr-Cyrl-CS"/>
              </w:rPr>
              <w:t>00</w:t>
            </w:r>
          </w:p>
        </w:tc>
      </w:tr>
      <w:tr w:rsidR="00FD090A" w:rsidRPr="00092ED7" w14:paraId="62D2EEE4"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385C1EB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4112297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0CCB647" w14:textId="6D2F23D2"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3.</w:t>
            </w:r>
            <w:r w:rsidR="009311CC" w:rsidRPr="00092ED7">
              <w:rPr>
                <w:rFonts w:eastAsia="Times New Roman" w:cs="Times New Roman"/>
                <w:sz w:val="20"/>
                <w:szCs w:val="20"/>
                <w:lang w:val="sr-Cyrl-CS"/>
              </w:rPr>
              <w:t>5</w:t>
            </w:r>
            <w:r w:rsidRPr="00092ED7">
              <w:rPr>
                <w:rFonts w:eastAsia="Times New Roman" w:cs="Times New Roman"/>
                <w:sz w:val="20"/>
                <w:szCs w:val="20"/>
                <w:lang w:val="sr-Cyrl-CS"/>
              </w:rPr>
              <w:t>00.000,00</w:t>
            </w:r>
          </w:p>
        </w:tc>
        <w:tc>
          <w:tcPr>
            <w:tcW w:w="1624" w:type="dxa"/>
            <w:tcBorders>
              <w:top w:val="nil"/>
              <w:left w:val="nil"/>
              <w:bottom w:val="single" w:sz="8" w:space="0" w:color="auto"/>
              <w:right w:val="single" w:sz="8" w:space="0" w:color="auto"/>
            </w:tcBorders>
            <w:shd w:val="clear" w:color="auto" w:fill="auto"/>
            <w:noWrap/>
            <w:vAlign w:val="center"/>
            <w:hideMark/>
          </w:tcPr>
          <w:p w14:paraId="7879C703" w14:textId="6860A0CA" w:rsidR="008D7C20" w:rsidRPr="00092ED7" w:rsidRDefault="008D7C20" w:rsidP="009311CC">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w:t>
            </w:r>
            <w:r w:rsidR="009311CC" w:rsidRPr="00092ED7">
              <w:rPr>
                <w:rFonts w:eastAsia="Times New Roman" w:cs="Times New Roman"/>
                <w:color w:val="000000"/>
                <w:sz w:val="20"/>
                <w:szCs w:val="20"/>
                <w:lang w:val="sr-Cyrl-CS"/>
              </w:rPr>
              <w:t>279</w:t>
            </w:r>
            <w:r w:rsidRPr="00092ED7">
              <w:rPr>
                <w:rFonts w:eastAsia="Times New Roman" w:cs="Times New Roman"/>
                <w:color w:val="000000"/>
                <w:sz w:val="20"/>
                <w:szCs w:val="20"/>
                <w:lang w:val="sr-Cyrl-CS"/>
              </w:rPr>
              <w:t>.</w:t>
            </w:r>
            <w:r w:rsidR="009311CC" w:rsidRPr="00092ED7">
              <w:rPr>
                <w:rFonts w:eastAsia="Times New Roman" w:cs="Times New Roman"/>
                <w:color w:val="000000"/>
                <w:sz w:val="20"/>
                <w:szCs w:val="20"/>
                <w:lang w:val="sr-Cyrl-CS"/>
              </w:rPr>
              <w:t>467</w:t>
            </w:r>
            <w:r w:rsidRPr="00092ED7">
              <w:rPr>
                <w:rFonts w:eastAsia="Times New Roman" w:cs="Times New Roman"/>
                <w:color w:val="000000"/>
                <w:sz w:val="20"/>
                <w:szCs w:val="20"/>
                <w:lang w:val="sr-Cyrl-CS"/>
              </w:rPr>
              <w:t>,</w:t>
            </w:r>
            <w:r w:rsidR="009311CC" w:rsidRPr="00092ED7">
              <w:rPr>
                <w:rFonts w:eastAsia="Times New Roman" w:cs="Times New Roman"/>
                <w:color w:val="000000"/>
                <w:sz w:val="20"/>
                <w:szCs w:val="20"/>
                <w:lang w:val="sr-Cyrl-CS"/>
              </w:rPr>
              <w:t>67</w:t>
            </w:r>
          </w:p>
        </w:tc>
        <w:tc>
          <w:tcPr>
            <w:tcW w:w="1538" w:type="dxa"/>
            <w:tcBorders>
              <w:top w:val="nil"/>
              <w:left w:val="nil"/>
              <w:bottom w:val="single" w:sz="8" w:space="0" w:color="auto"/>
              <w:right w:val="single" w:sz="8" w:space="0" w:color="auto"/>
            </w:tcBorders>
            <w:shd w:val="clear" w:color="auto" w:fill="auto"/>
            <w:noWrap/>
            <w:vAlign w:val="center"/>
            <w:hideMark/>
          </w:tcPr>
          <w:p w14:paraId="72D4BCCA" w14:textId="5E055DA4" w:rsidR="008D7C20" w:rsidRPr="00092ED7" w:rsidRDefault="009311CC"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w:t>
            </w:r>
            <w:r w:rsidR="008D7C20" w:rsidRPr="00092ED7">
              <w:rPr>
                <w:rFonts w:eastAsia="Times New Roman" w:cs="Times New Roman"/>
                <w:color w:val="000000"/>
                <w:sz w:val="20"/>
                <w:szCs w:val="20"/>
                <w:lang w:val="sr-Cyrl-CS"/>
              </w:rPr>
              <w:t>.590.163,33</w:t>
            </w:r>
          </w:p>
        </w:tc>
        <w:tc>
          <w:tcPr>
            <w:tcW w:w="1628" w:type="dxa"/>
            <w:tcBorders>
              <w:top w:val="nil"/>
              <w:left w:val="nil"/>
              <w:bottom w:val="single" w:sz="8" w:space="0" w:color="auto"/>
              <w:right w:val="single" w:sz="8" w:space="0" w:color="auto"/>
            </w:tcBorders>
            <w:shd w:val="clear" w:color="auto" w:fill="auto"/>
            <w:noWrap/>
            <w:vAlign w:val="center"/>
            <w:hideMark/>
          </w:tcPr>
          <w:p w14:paraId="665B9794" w14:textId="5DC26B0B" w:rsidR="008D7C20" w:rsidRPr="00092ED7" w:rsidRDefault="009311CC" w:rsidP="009311CC">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28</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369</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631</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00</w:t>
            </w:r>
          </w:p>
        </w:tc>
      </w:tr>
      <w:tr w:rsidR="00FD090A" w:rsidRPr="00092ED7" w14:paraId="3FB56096"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12390C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5C75BDA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BF921E2"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1.500.000,00</w:t>
            </w:r>
          </w:p>
        </w:tc>
        <w:tc>
          <w:tcPr>
            <w:tcW w:w="1624" w:type="dxa"/>
            <w:tcBorders>
              <w:top w:val="nil"/>
              <w:left w:val="nil"/>
              <w:bottom w:val="single" w:sz="8" w:space="0" w:color="auto"/>
              <w:right w:val="single" w:sz="8" w:space="0" w:color="auto"/>
            </w:tcBorders>
            <w:shd w:val="clear" w:color="auto" w:fill="auto"/>
            <w:noWrap/>
            <w:vAlign w:val="center"/>
            <w:hideMark/>
          </w:tcPr>
          <w:p w14:paraId="0F95A4C2" w14:textId="773D32DC" w:rsidR="008D7C20" w:rsidRPr="00092ED7" w:rsidRDefault="008D7C20" w:rsidP="009311CC">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w:t>
            </w:r>
            <w:r w:rsidR="009311CC" w:rsidRPr="00092ED7">
              <w:rPr>
                <w:rFonts w:eastAsia="Times New Roman" w:cs="Times New Roman"/>
                <w:color w:val="000000"/>
                <w:sz w:val="20"/>
                <w:szCs w:val="20"/>
                <w:lang w:val="sr-Cyrl-CS"/>
              </w:rPr>
              <w:t>279</w:t>
            </w:r>
            <w:r w:rsidRPr="00092ED7">
              <w:rPr>
                <w:rFonts w:eastAsia="Times New Roman" w:cs="Times New Roman"/>
                <w:color w:val="000000"/>
                <w:sz w:val="20"/>
                <w:szCs w:val="20"/>
                <w:lang w:val="sr-Cyrl-CS"/>
              </w:rPr>
              <w:t>.</w:t>
            </w:r>
            <w:r w:rsidR="009311CC" w:rsidRPr="00092ED7">
              <w:rPr>
                <w:rFonts w:eastAsia="Times New Roman" w:cs="Times New Roman"/>
                <w:color w:val="000000"/>
                <w:sz w:val="20"/>
                <w:szCs w:val="20"/>
                <w:lang w:val="sr-Cyrl-CS"/>
              </w:rPr>
              <w:t>467</w:t>
            </w:r>
            <w:r w:rsidRPr="00092ED7">
              <w:rPr>
                <w:rFonts w:eastAsia="Times New Roman" w:cs="Times New Roman"/>
                <w:color w:val="000000"/>
                <w:sz w:val="20"/>
                <w:szCs w:val="20"/>
                <w:lang w:val="sr-Cyrl-CS"/>
              </w:rPr>
              <w:t>,</w:t>
            </w:r>
            <w:r w:rsidR="009311CC" w:rsidRPr="00092ED7">
              <w:rPr>
                <w:rFonts w:eastAsia="Times New Roman" w:cs="Times New Roman"/>
                <w:color w:val="000000"/>
                <w:sz w:val="20"/>
                <w:szCs w:val="20"/>
                <w:lang w:val="sr-Cyrl-CS"/>
              </w:rPr>
              <w:t>67</w:t>
            </w:r>
          </w:p>
        </w:tc>
        <w:tc>
          <w:tcPr>
            <w:tcW w:w="1538" w:type="dxa"/>
            <w:tcBorders>
              <w:top w:val="nil"/>
              <w:left w:val="nil"/>
              <w:bottom w:val="single" w:sz="8" w:space="0" w:color="auto"/>
              <w:right w:val="single" w:sz="8" w:space="0" w:color="auto"/>
            </w:tcBorders>
            <w:shd w:val="clear" w:color="auto" w:fill="auto"/>
            <w:noWrap/>
            <w:vAlign w:val="center"/>
            <w:hideMark/>
          </w:tcPr>
          <w:p w14:paraId="7ADE6F27" w14:textId="01D51132" w:rsidR="008D7C20" w:rsidRPr="00092ED7" w:rsidRDefault="009311CC"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w:t>
            </w:r>
            <w:r w:rsidR="008D7C20" w:rsidRPr="00092ED7">
              <w:rPr>
                <w:rFonts w:eastAsia="Times New Roman" w:cs="Times New Roman"/>
                <w:color w:val="000000"/>
                <w:sz w:val="20"/>
                <w:szCs w:val="20"/>
                <w:lang w:val="sr-Cyrl-CS"/>
              </w:rPr>
              <w:t>7.835.163,33</w:t>
            </w:r>
          </w:p>
        </w:tc>
        <w:tc>
          <w:tcPr>
            <w:tcW w:w="1628" w:type="dxa"/>
            <w:tcBorders>
              <w:top w:val="nil"/>
              <w:left w:val="nil"/>
              <w:bottom w:val="single" w:sz="8" w:space="0" w:color="auto"/>
              <w:right w:val="single" w:sz="8" w:space="0" w:color="auto"/>
            </w:tcBorders>
            <w:shd w:val="clear" w:color="auto" w:fill="auto"/>
            <w:noWrap/>
            <w:vAlign w:val="center"/>
            <w:hideMark/>
          </w:tcPr>
          <w:p w14:paraId="425B32B7" w14:textId="60D0B1EE" w:rsidR="008D7C20" w:rsidRPr="00092ED7" w:rsidRDefault="009311CC" w:rsidP="009311CC">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w:t>
            </w:r>
            <w:r w:rsidR="008D7C20" w:rsidRPr="00092ED7">
              <w:rPr>
                <w:rFonts w:eastAsia="Times New Roman" w:cs="Times New Roman"/>
                <w:color w:val="000000"/>
                <w:sz w:val="20"/>
                <w:szCs w:val="20"/>
                <w:lang w:val="sr-Cyrl-CS"/>
              </w:rPr>
              <w:t>3.</w:t>
            </w:r>
            <w:r w:rsidRPr="00092ED7">
              <w:rPr>
                <w:rFonts w:eastAsia="Times New Roman" w:cs="Times New Roman"/>
                <w:color w:val="000000"/>
                <w:sz w:val="20"/>
                <w:szCs w:val="20"/>
                <w:lang w:val="sr-Cyrl-CS"/>
              </w:rPr>
              <w:t>614</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631</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00</w:t>
            </w:r>
          </w:p>
        </w:tc>
      </w:tr>
      <w:tr w:rsidR="008D7C20" w:rsidRPr="00092ED7" w14:paraId="40A16A38"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C47269F"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9. Интеграција обновљивих извора електричне енергије кроз пројекат „Беогрид 2025“</w:t>
            </w:r>
            <w:r w:rsidR="009C5F53" w:rsidRPr="00092ED7">
              <w:rPr>
                <w:rFonts w:cs="Times New Roman"/>
                <w:b/>
                <w:sz w:val="20"/>
                <w:szCs w:val="20"/>
                <w:lang w:val="sr-Cyrl-CS"/>
              </w:rPr>
              <w:t>”</w:t>
            </w:r>
          </w:p>
        </w:tc>
      </w:tr>
      <w:tr w:rsidR="00FD090A" w:rsidRPr="00092ED7" w14:paraId="6D1F20E0"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B74B2A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16F5542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5CAA4691"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0B61FFD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499FD84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1439167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365FFE12"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E3D2F2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6C47D0A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1A1C6173"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4DD3370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3AF378AA" w14:textId="4146CF94" w:rsidR="008D7C20" w:rsidRPr="00092ED7" w:rsidRDefault="00EB2907"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2.275.320</w:t>
            </w:r>
            <w:r w:rsidR="008D7C20" w:rsidRPr="00092ED7">
              <w:rPr>
                <w:rFonts w:eastAsia="Times New Roman" w:cs="Times New Roman"/>
                <w:color w:val="000000"/>
                <w:sz w:val="20"/>
                <w:szCs w:val="20"/>
                <w:lang w:val="sr-Cyrl-CS"/>
              </w:rPr>
              <w:t>,00</w:t>
            </w:r>
          </w:p>
        </w:tc>
        <w:tc>
          <w:tcPr>
            <w:tcW w:w="1628" w:type="dxa"/>
            <w:tcBorders>
              <w:top w:val="nil"/>
              <w:left w:val="nil"/>
              <w:bottom w:val="single" w:sz="8" w:space="0" w:color="auto"/>
              <w:right w:val="single" w:sz="8" w:space="0" w:color="auto"/>
            </w:tcBorders>
            <w:shd w:val="clear" w:color="auto" w:fill="auto"/>
            <w:noWrap/>
            <w:vAlign w:val="center"/>
            <w:hideMark/>
          </w:tcPr>
          <w:p w14:paraId="2968D92B" w14:textId="54962B9E" w:rsidR="008D7C20" w:rsidRPr="00092ED7" w:rsidRDefault="00EB2907"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2.275.320</w:t>
            </w:r>
            <w:r w:rsidR="008D7C20" w:rsidRPr="00092ED7">
              <w:rPr>
                <w:rFonts w:eastAsia="Times New Roman" w:cs="Times New Roman"/>
                <w:color w:val="000000"/>
                <w:sz w:val="20"/>
                <w:szCs w:val="20"/>
                <w:lang w:val="sr-Cyrl-CS"/>
              </w:rPr>
              <w:t>,00</w:t>
            </w:r>
          </w:p>
        </w:tc>
      </w:tr>
      <w:tr w:rsidR="00FD090A" w:rsidRPr="00092ED7" w14:paraId="05BC3563"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BA2BBE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4D0F4BB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5ED840D5"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293C22A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030AB432" w14:textId="201437D9" w:rsidR="008D7C20" w:rsidRPr="00092ED7" w:rsidRDefault="00EB2907"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21.000.000</w:t>
            </w:r>
            <w:r w:rsidR="008D7C20" w:rsidRPr="00092ED7">
              <w:rPr>
                <w:rFonts w:eastAsia="Times New Roman" w:cs="Times New Roman"/>
                <w:color w:val="000000"/>
                <w:sz w:val="20"/>
                <w:szCs w:val="20"/>
                <w:lang w:val="sr-Cyrl-CS"/>
              </w:rPr>
              <w:t>,00</w:t>
            </w:r>
          </w:p>
        </w:tc>
        <w:tc>
          <w:tcPr>
            <w:tcW w:w="1628" w:type="dxa"/>
            <w:tcBorders>
              <w:top w:val="nil"/>
              <w:left w:val="nil"/>
              <w:bottom w:val="single" w:sz="8" w:space="0" w:color="auto"/>
              <w:right w:val="single" w:sz="8" w:space="0" w:color="auto"/>
            </w:tcBorders>
            <w:shd w:val="clear" w:color="auto" w:fill="auto"/>
            <w:noWrap/>
            <w:vAlign w:val="center"/>
            <w:hideMark/>
          </w:tcPr>
          <w:p w14:paraId="4CAF8CDF" w14:textId="42AF4571" w:rsidR="008D7C20" w:rsidRPr="00092ED7" w:rsidRDefault="00EB2907"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21.000.000</w:t>
            </w:r>
            <w:r w:rsidR="008D7C20" w:rsidRPr="00092ED7">
              <w:rPr>
                <w:rFonts w:eastAsia="Times New Roman" w:cs="Times New Roman"/>
                <w:color w:val="000000"/>
                <w:sz w:val="20"/>
                <w:szCs w:val="20"/>
                <w:lang w:val="sr-Cyrl-CS"/>
              </w:rPr>
              <w:t>,00</w:t>
            </w:r>
          </w:p>
        </w:tc>
      </w:tr>
      <w:tr w:rsidR="00FD090A" w:rsidRPr="00092ED7" w14:paraId="282BA9CA"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058D07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0A41186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E5103D9"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050D880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73285978" w14:textId="5907D013" w:rsidR="008D7C20" w:rsidRPr="00092ED7" w:rsidRDefault="00EB2907"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33.000.000</w:t>
            </w:r>
            <w:r w:rsidR="008D7C20" w:rsidRPr="00092ED7">
              <w:rPr>
                <w:rFonts w:eastAsia="Times New Roman" w:cs="Times New Roman"/>
                <w:color w:val="000000"/>
                <w:sz w:val="20"/>
                <w:szCs w:val="20"/>
                <w:lang w:val="sr-Cyrl-CS"/>
              </w:rPr>
              <w:t>,00</w:t>
            </w:r>
          </w:p>
        </w:tc>
        <w:tc>
          <w:tcPr>
            <w:tcW w:w="1628" w:type="dxa"/>
            <w:tcBorders>
              <w:top w:val="nil"/>
              <w:left w:val="nil"/>
              <w:bottom w:val="single" w:sz="8" w:space="0" w:color="auto"/>
              <w:right w:val="single" w:sz="8" w:space="0" w:color="auto"/>
            </w:tcBorders>
            <w:shd w:val="clear" w:color="auto" w:fill="auto"/>
            <w:noWrap/>
            <w:vAlign w:val="center"/>
            <w:hideMark/>
          </w:tcPr>
          <w:p w14:paraId="6DFD4421" w14:textId="1BC64272" w:rsidR="008D7C20" w:rsidRPr="00092ED7" w:rsidRDefault="00EB2907"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33.000.000</w:t>
            </w:r>
            <w:r w:rsidR="008D7C20" w:rsidRPr="00092ED7">
              <w:rPr>
                <w:rFonts w:eastAsia="Times New Roman" w:cs="Times New Roman"/>
                <w:color w:val="000000"/>
                <w:sz w:val="20"/>
                <w:szCs w:val="20"/>
                <w:lang w:val="sr-Cyrl-CS"/>
              </w:rPr>
              <w:t>,00</w:t>
            </w:r>
          </w:p>
        </w:tc>
      </w:tr>
      <w:tr w:rsidR="008D7C20" w:rsidRPr="00092ED7" w14:paraId="3A91F0F8" w14:textId="77777777" w:rsidTr="00EE16E2">
        <w:trPr>
          <w:trHeight w:val="330"/>
        </w:trPr>
        <w:tc>
          <w:tcPr>
            <w:tcW w:w="0" w:type="auto"/>
            <w:gridSpan w:val="6"/>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2E1D7157"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10. Развој енергетског тржишта уз изградњу електроенергетске инфраструктуре</w:t>
            </w:r>
          </w:p>
        </w:tc>
      </w:tr>
      <w:tr w:rsidR="00FD090A" w:rsidRPr="00092ED7" w14:paraId="3989CF38"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BD6362F" w14:textId="77777777" w:rsidR="008D7C20" w:rsidRPr="00092ED7" w:rsidRDefault="008D7C20" w:rsidP="008D7C20">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33E9659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1BEC2F4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4EDD5D5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1D531AE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183B647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Укупно</w:t>
            </w:r>
          </w:p>
        </w:tc>
      </w:tr>
      <w:tr w:rsidR="00FD090A" w:rsidRPr="00092ED7" w14:paraId="37C2B4AB"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6DF74B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758D03A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DD28EB6"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51B9C2F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5E7A732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298.739,00</w:t>
            </w:r>
          </w:p>
        </w:tc>
        <w:tc>
          <w:tcPr>
            <w:tcW w:w="1628" w:type="dxa"/>
            <w:tcBorders>
              <w:top w:val="nil"/>
              <w:left w:val="nil"/>
              <w:bottom w:val="single" w:sz="8" w:space="0" w:color="auto"/>
              <w:right w:val="single" w:sz="8" w:space="0" w:color="auto"/>
            </w:tcBorders>
            <w:shd w:val="clear" w:color="auto" w:fill="auto"/>
            <w:noWrap/>
            <w:vAlign w:val="center"/>
            <w:hideMark/>
          </w:tcPr>
          <w:p w14:paraId="1AA1443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298.739,00</w:t>
            </w:r>
          </w:p>
        </w:tc>
      </w:tr>
      <w:tr w:rsidR="00FD090A" w:rsidRPr="00092ED7" w14:paraId="6C77B47D"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399D0E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7EF0CE8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730780B"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197A3E3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01B0FC4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31.210.590,00</w:t>
            </w:r>
          </w:p>
        </w:tc>
        <w:tc>
          <w:tcPr>
            <w:tcW w:w="1628" w:type="dxa"/>
            <w:tcBorders>
              <w:top w:val="nil"/>
              <w:left w:val="nil"/>
              <w:bottom w:val="single" w:sz="8" w:space="0" w:color="auto"/>
              <w:right w:val="single" w:sz="8" w:space="0" w:color="auto"/>
            </w:tcBorders>
            <w:shd w:val="clear" w:color="auto" w:fill="auto"/>
            <w:noWrap/>
            <w:vAlign w:val="center"/>
            <w:hideMark/>
          </w:tcPr>
          <w:p w14:paraId="7DCAE9C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31.210.590,00</w:t>
            </w:r>
          </w:p>
        </w:tc>
      </w:tr>
      <w:tr w:rsidR="00FD090A" w:rsidRPr="00092ED7" w14:paraId="371CBFDA"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754028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7CF24DF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6A5AA6F"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4C885D0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2665EDB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46.894.730,00</w:t>
            </w:r>
          </w:p>
        </w:tc>
        <w:tc>
          <w:tcPr>
            <w:tcW w:w="1628" w:type="dxa"/>
            <w:tcBorders>
              <w:top w:val="nil"/>
              <w:left w:val="nil"/>
              <w:bottom w:val="single" w:sz="8" w:space="0" w:color="auto"/>
              <w:right w:val="single" w:sz="8" w:space="0" w:color="auto"/>
            </w:tcBorders>
            <w:shd w:val="clear" w:color="auto" w:fill="auto"/>
            <w:noWrap/>
            <w:vAlign w:val="center"/>
            <w:hideMark/>
          </w:tcPr>
          <w:p w14:paraId="2F5DA8A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46.894.730,00</w:t>
            </w:r>
          </w:p>
        </w:tc>
      </w:tr>
      <w:tr w:rsidR="008D7C20" w:rsidRPr="00092ED7" w14:paraId="3AE4DEB6"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4F8E137"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11. Трансформација Пореске управе </w:t>
            </w:r>
          </w:p>
        </w:tc>
      </w:tr>
      <w:tr w:rsidR="00FD090A" w:rsidRPr="00092ED7" w14:paraId="121871DB"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940BCE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439B495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3758CE8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64F878B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2B3C1CF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3C2FD55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7D285028"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ED48CB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4B271E2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6BB7CB4" w14:textId="1FEFC537" w:rsidR="008D7C20" w:rsidRPr="00092ED7" w:rsidRDefault="00FD090A"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4.216.700,00</w:t>
            </w:r>
          </w:p>
        </w:tc>
        <w:tc>
          <w:tcPr>
            <w:tcW w:w="1624" w:type="dxa"/>
            <w:tcBorders>
              <w:top w:val="nil"/>
              <w:left w:val="nil"/>
              <w:bottom w:val="single" w:sz="8" w:space="0" w:color="auto"/>
              <w:right w:val="single" w:sz="8" w:space="0" w:color="auto"/>
            </w:tcBorders>
            <w:shd w:val="clear" w:color="auto" w:fill="auto"/>
            <w:noWrap/>
            <w:vAlign w:val="center"/>
            <w:hideMark/>
          </w:tcPr>
          <w:p w14:paraId="51ABDF6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49A56BD9" w14:textId="4C6D927E" w:rsidR="008D7C20" w:rsidRPr="00092ED7" w:rsidRDefault="00FD090A"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4.166.667</w:t>
            </w:r>
            <w:r w:rsidR="008D7C20" w:rsidRPr="00092ED7">
              <w:rPr>
                <w:rFonts w:eastAsia="Times New Roman" w:cs="Times New Roman"/>
                <w:color w:val="000000"/>
                <w:sz w:val="20"/>
                <w:szCs w:val="20"/>
                <w:lang w:val="sr-Cyrl-CS"/>
              </w:rPr>
              <w:t>,00</w:t>
            </w:r>
          </w:p>
        </w:tc>
        <w:tc>
          <w:tcPr>
            <w:tcW w:w="1628" w:type="dxa"/>
            <w:tcBorders>
              <w:top w:val="nil"/>
              <w:left w:val="nil"/>
              <w:bottom w:val="single" w:sz="8" w:space="0" w:color="auto"/>
              <w:right w:val="single" w:sz="8" w:space="0" w:color="auto"/>
            </w:tcBorders>
            <w:shd w:val="clear" w:color="auto" w:fill="auto"/>
            <w:noWrap/>
            <w:vAlign w:val="center"/>
            <w:hideMark/>
          </w:tcPr>
          <w:p w14:paraId="6A2734FA" w14:textId="2299B881" w:rsidR="008D7C20" w:rsidRPr="00092ED7" w:rsidRDefault="00FD090A"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8.383.367</w:t>
            </w:r>
            <w:r w:rsidR="008D7C20" w:rsidRPr="00092ED7">
              <w:rPr>
                <w:rFonts w:eastAsia="Times New Roman" w:cs="Times New Roman"/>
                <w:color w:val="000000"/>
                <w:sz w:val="20"/>
                <w:szCs w:val="20"/>
                <w:lang w:val="sr-Cyrl-CS"/>
              </w:rPr>
              <w:t>,00</w:t>
            </w:r>
          </w:p>
        </w:tc>
      </w:tr>
      <w:tr w:rsidR="00FD090A" w:rsidRPr="00092ED7" w14:paraId="4FDBCFF4"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E97F99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774F788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ECF2530" w14:textId="7E47E056" w:rsidR="008D7C20" w:rsidRPr="00092ED7" w:rsidRDefault="00FD090A"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24.003.442,00</w:t>
            </w:r>
          </w:p>
        </w:tc>
        <w:tc>
          <w:tcPr>
            <w:tcW w:w="1624" w:type="dxa"/>
            <w:tcBorders>
              <w:top w:val="nil"/>
              <w:left w:val="nil"/>
              <w:bottom w:val="single" w:sz="8" w:space="0" w:color="auto"/>
              <w:right w:val="single" w:sz="8" w:space="0" w:color="auto"/>
            </w:tcBorders>
            <w:shd w:val="clear" w:color="auto" w:fill="auto"/>
            <w:noWrap/>
            <w:vAlign w:val="center"/>
            <w:hideMark/>
          </w:tcPr>
          <w:p w14:paraId="2BD275F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44050C54" w14:textId="26763B47" w:rsidR="008D7C20" w:rsidRPr="00092ED7" w:rsidRDefault="00FD090A"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8.001.033</w:t>
            </w:r>
            <w:r w:rsidR="008D7C20" w:rsidRPr="00092ED7">
              <w:rPr>
                <w:rFonts w:eastAsia="Times New Roman" w:cs="Times New Roman"/>
                <w:color w:val="000000"/>
                <w:sz w:val="20"/>
                <w:szCs w:val="20"/>
                <w:lang w:val="sr-Cyrl-CS"/>
              </w:rPr>
              <w:t>,00</w:t>
            </w:r>
          </w:p>
        </w:tc>
        <w:tc>
          <w:tcPr>
            <w:tcW w:w="1628" w:type="dxa"/>
            <w:tcBorders>
              <w:top w:val="nil"/>
              <w:left w:val="nil"/>
              <w:bottom w:val="single" w:sz="8" w:space="0" w:color="auto"/>
              <w:right w:val="single" w:sz="8" w:space="0" w:color="auto"/>
            </w:tcBorders>
            <w:shd w:val="clear" w:color="auto" w:fill="auto"/>
            <w:noWrap/>
            <w:vAlign w:val="center"/>
            <w:hideMark/>
          </w:tcPr>
          <w:p w14:paraId="10B6CCCF" w14:textId="20CCEC56" w:rsidR="008D7C20" w:rsidRPr="00092ED7" w:rsidRDefault="00FD090A"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32.004.475</w:t>
            </w:r>
            <w:r w:rsidR="008D7C20" w:rsidRPr="00092ED7">
              <w:rPr>
                <w:rFonts w:eastAsia="Times New Roman" w:cs="Times New Roman"/>
                <w:color w:val="000000"/>
                <w:sz w:val="20"/>
                <w:szCs w:val="20"/>
                <w:lang w:val="sr-Cyrl-CS"/>
              </w:rPr>
              <w:t>,00</w:t>
            </w:r>
          </w:p>
        </w:tc>
      </w:tr>
      <w:tr w:rsidR="00FD090A" w:rsidRPr="00092ED7" w14:paraId="503E7471"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3EC5AAA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4031329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A6ECE35"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47E98AB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57A6E0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24DD136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8D7C20" w:rsidRPr="00092ED7" w14:paraId="09D39334"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705EFF7"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12. Примена циркуларне економије у стварању повољног окружења за зелену транзицију</w:t>
            </w:r>
          </w:p>
        </w:tc>
      </w:tr>
      <w:tr w:rsidR="00FD090A" w:rsidRPr="00092ED7" w14:paraId="36C9ED87"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4C2D569" w14:textId="77777777" w:rsidR="008D7C20" w:rsidRPr="00092ED7" w:rsidRDefault="008D7C20" w:rsidP="008D7C20">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1181D45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3CBCEEF8"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37286B3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24A730D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3D09A9F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34472CB2"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BAA1F7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4887219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03210277"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246849D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193.866,30</w:t>
            </w:r>
          </w:p>
        </w:tc>
        <w:tc>
          <w:tcPr>
            <w:tcW w:w="1538" w:type="dxa"/>
            <w:tcBorders>
              <w:top w:val="nil"/>
              <w:left w:val="nil"/>
              <w:bottom w:val="single" w:sz="8" w:space="0" w:color="auto"/>
              <w:right w:val="single" w:sz="8" w:space="0" w:color="auto"/>
            </w:tcBorders>
            <w:shd w:val="clear" w:color="auto" w:fill="auto"/>
            <w:noWrap/>
            <w:vAlign w:val="center"/>
            <w:hideMark/>
          </w:tcPr>
          <w:p w14:paraId="4FE4FF2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1F1CF09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193.866,30</w:t>
            </w:r>
          </w:p>
        </w:tc>
      </w:tr>
      <w:tr w:rsidR="00FD090A" w:rsidRPr="00092ED7" w14:paraId="6132E55F"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98A7FF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415BA4E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3D330E0"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0806E93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64.341,00</w:t>
            </w:r>
          </w:p>
        </w:tc>
        <w:tc>
          <w:tcPr>
            <w:tcW w:w="1538" w:type="dxa"/>
            <w:tcBorders>
              <w:top w:val="nil"/>
              <w:left w:val="nil"/>
              <w:bottom w:val="single" w:sz="8" w:space="0" w:color="auto"/>
              <w:right w:val="single" w:sz="8" w:space="0" w:color="auto"/>
            </w:tcBorders>
            <w:shd w:val="clear" w:color="auto" w:fill="auto"/>
            <w:noWrap/>
            <w:vAlign w:val="center"/>
            <w:hideMark/>
          </w:tcPr>
          <w:p w14:paraId="0C2E269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618C5F5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64.341,00</w:t>
            </w:r>
          </w:p>
        </w:tc>
      </w:tr>
      <w:tr w:rsidR="00FD090A" w:rsidRPr="00092ED7" w14:paraId="140ADDDE"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8965A01"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3B07D92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7230364"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5545D2B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72B1A9F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24D17F3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8D7C20" w:rsidRPr="00092ED7" w14:paraId="727BD7D6"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FEE428B"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13. Развој и унапређење националне информационо-комуникационе инфраструктуре</w:t>
            </w:r>
          </w:p>
        </w:tc>
      </w:tr>
      <w:tr w:rsidR="00FD090A" w:rsidRPr="00092ED7" w14:paraId="005A8A84"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4142B0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64C2550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0E449F9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79AB70F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4118CEE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6FC554F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0BD631CD"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C808F58"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5B07EEF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5A66A92E"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1.283.333,00</w:t>
            </w:r>
          </w:p>
        </w:tc>
        <w:tc>
          <w:tcPr>
            <w:tcW w:w="1624" w:type="dxa"/>
            <w:tcBorders>
              <w:top w:val="nil"/>
              <w:left w:val="nil"/>
              <w:bottom w:val="single" w:sz="8" w:space="0" w:color="auto"/>
              <w:right w:val="single" w:sz="8" w:space="0" w:color="auto"/>
            </w:tcBorders>
            <w:shd w:val="clear" w:color="auto" w:fill="auto"/>
            <w:noWrap/>
            <w:vAlign w:val="center"/>
            <w:hideMark/>
          </w:tcPr>
          <w:p w14:paraId="2F753FC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401D592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97.142.177,33</w:t>
            </w:r>
          </w:p>
        </w:tc>
        <w:tc>
          <w:tcPr>
            <w:tcW w:w="1628" w:type="dxa"/>
            <w:tcBorders>
              <w:top w:val="nil"/>
              <w:left w:val="nil"/>
              <w:bottom w:val="single" w:sz="8" w:space="0" w:color="auto"/>
              <w:right w:val="single" w:sz="8" w:space="0" w:color="auto"/>
            </w:tcBorders>
            <w:shd w:val="clear" w:color="auto" w:fill="auto"/>
            <w:noWrap/>
            <w:vAlign w:val="center"/>
            <w:hideMark/>
          </w:tcPr>
          <w:p w14:paraId="40F1805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98.425.510,33</w:t>
            </w:r>
          </w:p>
        </w:tc>
      </w:tr>
      <w:tr w:rsidR="00FD090A" w:rsidRPr="00092ED7" w14:paraId="25C3CA10"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334139E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6857F24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10F60B40"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1.925.000,00</w:t>
            </w:r>
          </w:p>
        </w:tc>
        <w:tc>
          <w:tcPr>
            <w:tcW w:w="1624" w:type="dxa"/>
            <w:tcBorders>
              <w:top w:val="nil"/>
              <w:left w:val="nil"/>
              <w:bottom w:val="single" w:sz="8" w:space="0" w:color="auto"/>
              <w:right w:val="single" w:sz="8" w:space="0" w:color="auto"/>
            </w:tcBorders>
            <w:shd w:val="clear" w:color="auto" w:fill="auto"/>
            <w:noWrap/>
            <w:vAlign w:val="center"/>
            <w:hideMark/>
          </w:tcPr>
          <w:p w14:paraId="4A1A42F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C8881E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83.000.000,00</w:t>
            </w:r>
          </w:p>
        </w:tc>
        <w:tc>
          <w:tcPr>
            <w:tcW w:w="1628" w:type="dxa"/>
            <w:tcBorders>
              <w:top w:val="nil"/>
              <w:left w:val="nil"/>
              <w:bottom w:val="single" w:sz="8" w:space="0" w:color="auto"/>
              <w:right w:val="single" w:sz="8" w:space="0" w:color="auto"/>
            </w:tcBorders>
            <w:shd w:val="clear" w:color="auto" w:fill="auto"/>
            <w:noWrap/>
            <w:vAlign w:val="center"/>
            <w:hideMark/>
          </w:tcPr>
          <w:p w14:paraId="4BEB87C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84.925.000,00</w:t>
            </w:r>
          </w:p>
        </w:tc>
      </w:tr>
      <w:tr w:rsidR="00FD090A" w:rsidRPr="00092ED7" w14:paraId="74D9787E"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632B7E3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1695B28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07EE1DB7"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1.925.000,00</w:t>
            </w:r>
          </w:p>
        </w:tc>
        <w:tc>
          <w:tcPr>
            <w:tcW w:w="1624" w:type="dxa"/>
            <w:tcBorders>
              <w:top w:val="nil"/>
              <w:left w:val="nil"/>
              <w:bottom w:val="single" w:sz="8" w:space="0" w:color="auto"/>
              <w:right w:val="single" w:sz="8" w:space="0" w:color="auto"/>
            </w:tcBorders>
            <w:shd w:val="clear" w:color="auto" w:fill="auto"/>
            <w:noWrap/>
            <w:vAlign w:val="center"/>
            <w:hideMark/>
          </w:tcPr>
          <w:p w14:paraId="54F6ABF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162F8B8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35.000.000,00</w:t>
            </w:r>
          </w:p>
        </w:tc>
        <w:tc>
          <w:tcPr>
            <w:tcW w:w="1628" w:type="dxa"/>
            <w:tcBorders>
              <w:top w:val="nil"/>
              <w:left w:val="nil"/>
              <w:bottom w:val="single" w:sz="8" w:space="0" w:color="auto"/>
              <w:right w:val="single" w:sz="8" w:space="0" w:color="auto"/>
            </w:tcBorders>
            <w:shd w:val="clear" w:color="auto" w:fill="auto"/>
            <w:noWrap/>
            <w:vAlign w:val="center"/>
            <w:hideMark/>
          </w:tcPr>
          <w:p w14:paraId="3907A1D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36.925.000,00</w:t>
            </w:r>
          </w:p>
        </w:tc>
      </w:tr>
      <w:tr w:rsidR="008D7C20" w:rsidRPr="00092ED7" w14:paraId="054AC028"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55F0787A"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14. Успостављање инфраструктуре и окружења за креирање и примену иновативних ИТ решења</w:t>
            </w:r>
          </w:p>
        </w:tc>
      </w:tr>
      <w:tr w:rsidR="00FD090A" w:rsidRPr="00092ED7" w14:paraId="72EA239D"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FBA7E3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5089135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35B6F6A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472016B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3513517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4129929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5F50F2E4" w14:textId="77777777" w:rsidTr="008B1D11">
        <w:trPr>
          <w:trHeight w:val="330"/>
        </w:trPr>
        <w:tc>
          <w:tcPr>
            <w:tcW w:w="1176" w:type="dxa"/>
            <w:tcBorders>
              <w:top w:val="nil"/>
              <w:left w:val="single" w:sz="8" w:space="0" w:color="auto"/>
              <w:bottom w:val="single" w:sz="4" w:space="0" w:color="auto"/>
              <w:right w:val="single" w:sz="8" w:space="0" w:color="auto"/>
            </w:tcBorders>
            <w:shd w:val="clear" w:color="auto" w:fill="auto"/>
            <w:noWrap/>
            <w:vAlign w:val="center"/>
            <w:hideMark/>
          </w:tcPr>
          <w:p w14:paraId="1B65400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4" w:space="0" w:color="auto"/>
              <w:right w:val="single" w:sz="8" w:space="0" w:color="auto"/>
            </w:tcBorders>
            <w:shd w:val="clear" w:color="auto" w:fill="auto"/>
            <w:noWrap/>
            <w:vAlign w:val="center"/>
            <w:hideMark/>
          </w:tcPr>
          <w:p w14:paraId="165678C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4" w:space="0" w:color="auto"/>
              <w:right w:val="single" w:sz="8" w:space="0" w:color="auto"/>
            </w:tcBorders>
            <w:shd w:val="clear" w:color="auto" w:fill="auto"/>
            <w:noWrap/>
            <w:vAlign w:val="center"/>
            <w:hideMark/>
          </w:tcPr>
          <w:p w14:paraId="0E654105"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4" w:space="0" w:color="auto"/>
              <w:right w:val="single" w:sz="8" w:space="0" w:color="auto"/>
            </w:tcBorders>
            <w:shd w:val="clear" w:color="auto" w:fill="auto"/>
            <w:noWrap/>
            <w:vAlign w:val="center"/>
            <w:hideMark/>
          </w:tcPr>
          <w:p w14:paraId="5D7C098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4" w:space="0" w:color="auto"/>
              <w:right w:val="single" w:sz="8" w:space="0" w:color="auto"/>
            </w:tcBorders>
            <w:shd w:val="clear" w:color="auto" w:fill="auto"/>
            <w:noWrap/>
            <w:vAlign w:val="center"/>
            <w:hideMark/>
          </w:tcPr>
          <w:p w14:paraId="7A872A8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7.583.333,33</w:t>
            </w:r>
          </w:p>
        </w:tc>
        <w:tc>
          <w:tcPr>
            <w:tcW w:w="1628" w:type="dxa"/>
            <w:tcBorders>
              <w:top w:val="nil"/>
              <w:left w:val="nil"/>
              <w:bottom w:val="single" w:sz="4" w:space="0" w:color="auto"/>
              <w:right w:val="single" w:sz="8" w:space="0" w:color="auto"/>
            </w:tcBorders>
            <w:shd w:val="clear" w:color="auto" w:fill="auto"/>
            <w:noWrap/>
            <w:vAlign w:val="center"/>
            <w:hideMark/>
          </w:tcPr>
          <w:p w14:paraId="2E787C9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7.583.333,33</w:t>
            </w:r>
          </w:p>
        </w:tc>
      </w:tr>
      <w:tr w:rsidR="00FD090A" w:rsidRPr="00092ED7" w14:paraId="44878CF8" w14:textId="77777777" w:rsidTr="008B1D11">
        <w:trPr>
          <w:trHeight w:val="33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2F19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B02C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551E0"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2B4D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0C4B1" w14:textId="5F324A81"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ED605D" w:rsidRPr="00092ED7">
              <w:rPr>
                <w:rFonts w:eastAsia="Times New Roman" w:cs="Times New Roman"/>
                <w:color w:val="000000"/>
                <w:sz w:val="20"/>
                <w:szCs w:val="20"/>
                <w:lang w:val="sr-Cyrl-CS"/>
              </w:rPr>
              <w:t>2</w:t>
            </w:r>
            <w:r w:rsidRPr="00092ED7">
              <w:rPr>
                <w:rFonts w:eastAsia="Times New Roman" w:cs="Times New Roman"/>
                <w:color w:val="000000"/>
                <w:sz w:val="20"/>
                <w:szCs w:val="20"/>
                <w:lang w:val="sr-Cyrl-CS"/>
              </w:rPr>
              <w:t>.0</w:t>
            </w:r>
            <w:r w:rsidR="00ED605D" w:rsidRPr="00092ED7">
              <w:rPr>
                <w:rFonts w:eastAsia="Times New Roman" w:cs="Times New Roman"/>
                <w:color w:val="000000"/>
                <w:sz w:val="20"/>
                <w:szCs w:val="20"/>
                <w:lang w:val="sr-Cyrl-CS"/>
              </w:rPr>
              <w:t>8</w:t>
            </w:r>
            <w:r w:rsidRPr="00092ED7">
              <w:rPr>
                <w:rFonts w:eastAsia="Times New Roman" w:cs="Times New Roman"/>
                <w:color w:val="000000"/>
                <w:sz w:val="20"/>
                <w:szCs w:val="20"/>
                <w:lang w:val="sr-Cyrl-CS"/>
              </w:rPr>
              <w:t>0.000,00</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6AEA9" w14:textId="55962F59"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ED605D" w:rsidRPr="00092ED7">
              <w:rPr>
                <w:rFonts w:eastAsia="Times New Roman" w:cs="Times New Roman"/>
                <w:color w:val="000000"/>
                <w:sz w:val="20"/>
                <w:szCs w:val="20"/>
                <w:lang w:val="sr-Cyrl-CS"/>
              </w:rPr>
              <w:t>2</w:t>
            </w:r>
            <w:r w:rsidRPr="00092ED7">
              <w:rPr>
                <w:rFonts w:eastAsia="Times New Roman" w:cs="Times New Roman"/>
                <w:color w:val="000000"/>
                <w:sz w:val="20"/>
                <w:szCs w:val="20"/>
                <w:lang w:val="sr-Cyrl-CS"/>
              </w:rPr>
              <w:t>.0</w:t>
            </w:r>
            <w:r w:rsidR="00ED605D" w:rsidRPr="00092ED7">
              <w:rPr>
                <w:rFonts w:eastAsia="Times New Roman" w:cs="Times New Roman"/>
                <w:color w:val="000000"/>
                <w:sz w:val="20"/>
                <w:szCs w:val="20"/>
                <w:lang w:val="sr-Cyrl-CS"/>
              </w:rPr>
              <w:t>8</w:t>
            </w:r>
            <w:r w:rsidRPr="00092ED7">
              <w:rPr>
                <w:rFonts w:eastAsia="Times New Roman" w:cs="Times New Roman"/>
                <w:color w:val="000000"/>
                <w:sz w:val="20"/>
                <w:szCs w:val="20"/>
                <w:lang w:val="sr-Cyrl-CS"/>
              </w:rPr>
              <w:t>0.000,00</w:t>
            </w:r>
          </w:p>
        </w:tc>
      </w:tr>
      <w:tr w:rsidR="00FD090A" w:rsidRPr="00092ED7" w14:paraId="4BC613A5" w14:textId="77777777" w:rsidTr="008B1D11">
        <w:trPr>
          <w:trHeight w:val="330"/>
        </w:trPr>
        <w:tc>
          <w:tcPr>
            <w:tcW w:w="11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F37DE7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single" w:sz="4" w:space="0" w:color="auto"/>
              <w:left w:val="nil"/>
              <w:bottom w:val="single" w:sz="8" w:space="0" w:color="auto"/>
              <w:right w:val="single" w:sz="8" w:space="0" w:color="auto"/>
            </w:tcBorders>
            <w:shd w:val="clear" w:color="auto" w:fill="auto"/>
            <w:noWrap/>
            <w:vAlign w:val="center"/>
            <w:hideMark/>
          </w:tcPr>
          <w:p w14:paraId="3D5D281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single" w:sz="4" w:space="0" w:color="auto"/>
              <w:left w:val="nil"/>
              <w:bottom w:val="single" w:sz="8" w:space="0" w:color="auto"/>
              <w:right w:val="single" w:sz="8" w:space="0" w:color="auto"/>
            </w:tcBorders>
            <w:shd w:val="clear" w:color="auto" w:fill="auto"/>
            <w:noWrap/>
            <w:vAlign w:val="center"/>
            <w:hideMark/>
          </w:tcPr>
          <w:p w14:paraId="39D78CB7"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single" w:sz="4" w:space="0" w:color="auto"/>
              <w:left w:val="nil"/>
              <w:bottom w:val="single" w:sz="8" w:space="0" w:color="auto"/>
              <w:right w:val="single" w:sz="8" w:space="0" w:color="auto"/>
            </w:tcBorders>
            <w:shd w:val="clear" w:color="auto" w:fill="auto"/>
            <w:noWrap/>
            <w:vAlign w:val="center"/>
            <w:hideMark/>
          </w:tcPr>
          <w:p w14:paraId="1D3E0F3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single" w:sz="4" w:space="0" w:color="auto"/>
              <w:left w:val="nil"/>
              <w:bottom w:val="single" w:sz="8" w:space="0" w:color="auto"/>
              <w:right w:val="single" w:sz="8" w:space="0" w:color="auto"/>
            </w:tcBorders>
            <w:shd w:val="clear" w:color="auto" w:fill="auto"/>
            <w:noWrap/>
            <w:vAlign w:val="center"/>
            <w:hideMark/>
          </w:tcPr>
          <w:p w14:paraId="70DA767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17.083.333,33</w:t>
            </w:r>
          </w:p>
        </w:tc>
        <w:tc>
          <w:tcPr>
            <w:tcW w:w="1628" w:type="dxa"/>
            <w:tcBorders>
              <w:top w:val="single" w:sz="4" w:space="0" w:color="auto"/>
              <w:left w:val="nil"/>
              <w:bottom w:val="single" w:sz="8" w:space="0" w:color="auto"/>
              <w:right w:val="single" w:sz="8" w:space="0" w:color="auto"/>
            </w:tcBorders>
            <w:shd w:val="clear" w:color="auto" w:fill="auto"/>
            <w:noWrap/>
            <w:vAlign w:val="center"/>
            <w:hideMark/>
          </w:tcPr>
          <w:p w14:paraId="07FE8F2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17.083.333,33</w:t>
            </w:r>
          </w:p>
        </w:tc>
      </w:tr>
      <w:tr w:rsidR="008D7C20" w:rsidRPr="00092ED7" w14:paraId="7582218E"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8EC8A4B"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15. Подршка развоју талената и креативних индустрија оснивањем мултифункционалног иновативно-креативног центра Ложионица</w:t>
            </w:r>
          </w:p>
        </w:tc>
      </w:tr>
      <w:tr w:rsidR="00FD090A" w:rsidRPr="00092ED7" w14:paraId="61D1F75D"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C4E3B4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0044BB7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67D9295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111499C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5E5CF42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2F0EB21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6569F654"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F0B85A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0813FDF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020398F9"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5F10359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0BE3BC7F" w14:textId="3FDEB1D7" w:rsidR="008D7C20" w:rsidRPr="00092ED7" w:rsidRDefault="008D7C20" w:rsidP="00AB4B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7E4C33" w:rsidRPr="00092ED7">
              <w:rPr>
                <w:rFonts w:eastAsia="Times New Roman" w:cs="Times New Roman"/>
                <w:color w:val="000000"/>
                <w:sz w:val="20"/>
                <w:szCs w:val="20"/>
                <w:lang w:val="sr-Cyrl-CS"/>
              </w:rPr>
              <w:t>5</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420</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000</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00</w:t>
            </w:r>
          </w:p>
        </w:tc>
        <w:tc>
          <w:tcPr>
            <w:tcW w:w="1628" w:type="dxa"/>
            <w:tcBorders>
              <w:top w:val="nil"/>
              <w:left w:val="nil"/>
              <w:bottom w:val="single" w:sz="8" w:space="0" w:color="auto"/>
              <w:right w:val="single" w:sz="8" w:space="0" w:color="auto"/>
            </w:tcBorders>
            <w:shd w:val="clear" w:color="auto" w:fill="auto"/>
            <w:noWrap/>
            <w:vAlign w:val="center"/>
            <w:hideMark/>
          </w:tcPr>
          <w:p w14:paraId="3AC2FCD3" w14:textId="4CCBB270" w:rsidR="008D7C20" w:rsidRPr="00092ED7" w:rsidRDefault="007E4C33">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420</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000</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00</w:t>
            </w:r>
          </w:p>
        </w:tc>
      </w:tr>
      <w:tr w:rsidR="00FD090A" w:rsidRPr="00092ED7" w14:paraId="6572C346"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D1BDFE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2168EC7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51448BBD"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4DB1AAD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33F34056" w14:textId="6F076611" w:rsidR="008D7C20" w:rsidRPr="00092ED7" w:rsidRDefault="008D7C20" w:rsidP="00AB4B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w:t>
            </w:r>
            <w:r w:rsidR="007E4C33" w:rsidRPr="00092ED7">
              <w:rPr>
                <w:rFonts w:eastAsia="Times New Roman" w:cs="Times New Roman"/>
                <w:color w:val="000000"/>
                <w:sz w:val="20"/>
                <w:szCs w:val="20"/>
                <w:lang w:val="sr-Cyrl-CS"/>
              </w:rPr>
              <w:t>7</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080</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000</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00</w:t>
            </w:r>
          </w:p>
        </w:tc>
        <w:tc>
          <w:tcPr>
            <w:tcW w:w="1628" w:type="dxa"/>
            <w:tcBorders>
              <w:top w:val="nil"/>
              <w:left w:val="nil"/>
              <w:bottom w:val="single" w:sz="8" w:space="0" w:color="auto"/>
              <w:right w:val="single" w:sz="8" w:space="0" w:color="auto"/>
            </w:tcBorders>
            <w:shd w:val="clear" w:color="auto" w:fill="auto"/>
            <w:noWrap/>
            <w:vAlign w:val="center"/>
            <w:hideMark/>
          </w:tcPr>
          <w:p w14:paraId="15F7FB5C" w14:textId="7DEB0022" w:rsidR="008D7C20" w:rsidRPr="00092ED7" w:rsidRDefault="008D7C20" w:rsidP="00A06899">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w:t>
            </w:r>
            <w:r w:rsidR="007E4C33" w:rsidRPr="00092ED7">
              <w:rPr>
                <w:rFonts w:eastAsia="Times New Roman" w:cs="Times New Roman"/>
                <w:color w:val="000000"/>
                <w:sz w:val="20"/>
                <w:szCs w:val="20"/>
                <w:lang w:val="sr-Cyrl-CS"/>
              </w:rPr>
              <w:t>7</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080</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000</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00</w:t>
            </w:r>
          </w:p>
        </w:tc>
      </w:tr>
      <w:tr w:rsidR="00FD090A" w:rsidRPr="00092ED7" w14:paraId="5A1FD8A6"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EBA3FE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4A31605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634A066E"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29E58A7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5FDF5A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20.000.000,00</w:t>
            </w:r>
          </w:p>
        </w:tc>
        <w:tc>
          <w:tcPr>
            <w:tcW w:w="1628" w:type="dxa"/>
            <w:tcBorders>
              <w:top w:val="nil"/>
              <w:left w:val="nil"/>
              <w:bottom w:val="single" w:sz="8" w:space="0" w:color="auto"/>
              <w:right w:val="single" w:sz="8" w:space="0" w:color="auto"/>
            </w:tcBorders>
            <w:shd w:val="clear" w:color="auto" w:fill="auto"/>
            <w:noWrap/>
            <w:vAlign w:val="center"/>
            <w:hideMark/>
          </w:tcPr>
          <w:p w14:paraId="5AC5321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20.000.000,00</w:t>
            </w:r>
          </w:p>
        </w:tc>
      </w:tr>
      <w:tr w:rsidR="008D7C20" w:rsidRPr="00092ED7" w14:paraId="0184C878"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2C743E8"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16. Развој стартап екосистема</w:t>
            </w:r>
          </w:p>
        </w:tc>
      </w:tr>
      <w:tr w:rsidR="00FD090A" w:rsidRPr="00092ED7" w14:paraId="40EB4B70"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E0B450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71635E6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0C288FD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0B224A6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3D8C0B9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40A6252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04C1B9D0"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DB9E97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003E7C0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8282347"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3.000.000,00</w:t>
            </w:r>
          </w:p>
        </w:tc>
        <w:tc>
          <w:tcPr>
            <w:tcW w:w="1624" w:type="dxa"/>
            <w:tcBorders>
              <w:top w:val="nil"/>
              <w:left w:val="nil"/>
              <w:bottom w:val="single" w:sz="8" w:space="0" w:color="auto"/>
              <w:right w:val="single" w:sz="8" w:space="0" w:color="auto"/>
            </w:tcBorders>
            <w:shd w:val="clear" w:color="auto" w:fill="auto"/>
            <w:noWrap/>
            <w:vAlign w:val="center"/>
            <w:hideMark/>
          </w:tcPr>
          <w:p w14:paraId="36DE50B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12.168.749,33</w:t>
            </w:r>
          </w:p>
        </w:tc>
        <w:tc>
          <w:tcPr>
            <w:tcW w:w="1538" w:type="dxa"/>
            <w:tcBorders>
              <w:top w:val="nil"/>
              <w:left w:val="nil"/>
              <w:bottom w:val="single" w:sz="8" w:space="0" w:color="auto"/>
              <w:right w:val="single" w:sz="8" w:space="0" w:color="auto"/>
            </w:tcBorders>
            <w:shd w:val="clear" w:color="auto" w:fill="auto"/>
            <w:noWrap/>
            <w:vAlign w:val="center"/>
            <w:hideMark/>
          </w:tcPr>
          <w:p w14:paraId="09CBFA6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71527E3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15.168.749,33</w:t>
            </w:r>
          </w:p>
        </w:tc>
      </w:tr>
      <w:tr w:rsidR="00FD090A" w:rsidRPr="00092ED7" w14:paraId="241503E4"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702175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46460F9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08D1DDEB"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2.900.000,00</w:t>
            </w:r>
          </w:p>
        </w:tc>
        <w:tc>
          <w:tcPr>
            <w:tcW w:w="1624" w:type="dxa"/>
            <w:tcBorders>
              <w:top w:val="nil"/>
              <w:left w:val="nil"/>
              <w:bottom w:val="single" w:sz="8" w:space="0" w:color="auto"/>
              <w:right w:val="single" w:sz="8" w:space="0" w:color="auto"/>
            </w:tcBorders>
            <w:shd w:val="clear" w:color="auto" w:fill="auto"/>
            <w:noWrap/>
            <w:vAlign w:val="center"/>
            <w:hideMark/>
          </w:tcPr>
          <w:p w14:paraId="763B38B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12.168.749,33</w:t>
            </w:r>
          </w:p>
        </w:tc>
        <w:tc>
          <w:tcPr>
            <w:tcW w:w="1538" w:type="dxa"/>
            <w:tcBorders>
              <w:top w:val="nil"/>
              <w:left w:val="nil"/>
              <w:bottom w:val="single" w:sz="8" w:space="0" w:color="auto"/>
              <w:right w:val="single" w:sz="8" w:space="0" w:color="auto"/>
            </w:tcBorders>
            <w:shd w:val="clear" w:color="auto" w:fill="auto"/>
            <w:noWrap/>
            <w:vAlign w:val="center"/>
            <w:hideMark/>
          </w:tcPr>
          <w:p w14:paraId="58FBB51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4B5F5A3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15.068.749,33</w:t>
            </w:r>
          </w:p>
        </w:tc>
      </w:tr>
      <w:tr w:rsidR="00FD090A" w:rsidRPr="00092ED7" w14:paraId="5DEDDCD1"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5430AB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07FF9E0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45E09D8"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56AC901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9.003.230,00</w:t>
            </w:r>
          </w:p>
        </w:tc>
        <w:tc>
          <w:tcPr>
            <w:tcW w:w="1538" w:type="dxa"/>
            <w:tcBorders>
              <w:top w:val="nil"/>
              <w:left w:val="nil"/>
              <w:bottom w:val="single" w:sz="8" w:space="0" w:color="auto"/>
              <w:right w:val="single" w:sz="8" w:space="0" w:color="auto"/>
            </w:tcBorders>
            <w:shd w:val="clear" w:color="auto" w:fill="auto"/>
            <w:noWrap/>
            <w:vAlign w:val="center"/>
            <w:hideMark/>
          </w:tcPr>
          <w:p w14:paraId="3521911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63C6D53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9.003.230,00</w:t>
            </w:r>
          </w:p>
        </w:tc>
      </w:tr>
      <w:tr w:rsidR="008D7C20" w:rsidRPr="00092ED7" w14:paraId="0B494366" w14:textId="77777777" w:rsidTr="00EE16E2">
        <w:trPr>
          <w:trHeight w:val="330"/>
        </w:trPr>
        <w:tc>
          <w:tcPr>
            <w:tcW w:w="0" w:type="auto"/>
            <w:gridSpan w:val="6"/>
            <w:tcBorders>
              <w:top w:val="single" w:sz="8" w:space="0" w:color="auto"/>
              <w:left w:val="single" w:sz="8" w:space="0" w:color="auto"/>
              <w:bottom w:val="single" w:sz="8" w:space="0" w:color="auto"/>
              <w:right w:val="single" w:sz="8" w:space="0" w:color="000000"/>
            </w:tcBorders>
            <w:shd w:val="clear" w:color="000000" w:fill="D0CECE"/>
            <w:vAlign w:val="center"/>
            <w:hideMark/>
          </w:tcPr>
          <w:p w14:paraId="093D2F39"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17. Стварање услова за развој бионаука и биоекономије кроз изградњу БИО4 Кампуса</w:t>
            </w:r>
          </w:p>
        </w:tc>
      </w:tr>
      <w:tr w:rsidR="00FD090A" w:rsidRPr="00092ED7" w14:paraId="123D0D6A"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4AB618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0DC9E1E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14EBE43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389EB32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3B4C8AB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0273096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2159BD9B"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B38502F"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4A69002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937B348"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101.115.000,00</w:t>
            </w:r>
          </w:p>
        </w:tc>
        <w:tc>
          <w:tcPr>
            <w:tcW w:w="1624" w:type="dxa"/>
            <w:tcBorders>
              <w:top w:val="nil"/>
              <w:left w:val="nil"/>
              <w:bottom w:val="single" w:sz="8" w:space="0" w:color="auto"/>
              <w:right w:val="single" w:sz="8" w:space="0" w:color="auto"/>
            </w:tcBorders>
            <w:shd w:val="clear" w:color="auto" w:fill="auto"/>
            <w:noWrap/>
            <w:vAlign w:val="center"/>
            <w:hideMark/>
          </w:tcPr>
          <w:p w14:paraId="28E5A63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0D25D29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7F0C991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101.115.000,00</w:t>
            </w:r>
          </w:p>
        </w:tc>
      </w:tr>
      <w:tr w:rsidR="00FD090A" w:rsidRPr="00092ED7" w14:paraId="27B83A09"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ACBAA4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424FCD1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0A7AE144"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101.115.000,00</w:t>
            </w:r>
          </w:p>
        </w:tc>
        <w:tc>
          <w:tcPr>
            <w:tcW w:w="1624" w:type="dxa"/>
            <w:tcBorders>
              <w:top w:val="nil"/>
              <w:left w:val="nil"/>
              <w:bottom w:val="single" w:sz="8" w:space="0" w:color="auto"/>
              <w:right w:val="single" w:sz="8" w:space="0" w:color="auto"/>
            </w:tcBorders>
            <w:shd w:val="clear" w:color="auto" w:fill="auto"/>
            <w:noWrap/>
            <w:vAlign w:val="center"/>
            <w:hideMark/>
          </w:tcPr>
          <w:p w14:paraId="2720AA3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2B3003B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6C0C1CC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101.115.000,00</w:t>
            </w:r>
          </w:p>
        </w:tc>
      </w:tr>
      <w:tr w:rsidR="00FD090A" w:rsidRPr="00092ED7" w14:paraId="1573E890"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619732F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008B742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00F36252"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100.000.000,00</w:t>
            </w:r>
          </w:p>
        </w:tc>
        <w:tc>
          <w:tcPr>
            <w:tcW w:w="1624" w:type="dxa"/>
            <w:tcBorders>
              <w:top w:val="nil"/>
              <w:left w:val="nil"/>
              <w:bottom w:val="single" w:sz="8" w:space="0" w:color="auto"/>
              <w:right w:val="single" w:sz="8" w:space="0" w:color="auto"/>
            </w:tcBorders>
            <w:shd w:val="clear" w:color="auto" w:fill="auto"/>
            <w:noWrap/>
            <w:vAlign w:val="center"/>
            <w:hideMark/>
          </w:tcPr>
          <w:p w14:paraId="140FA41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371672C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733D65B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100.000.000,00</w:t>
            </w:r>
          </w:p>
        </w:tc>
      </w:tr>
      <w:tr w:rsidR="008D7C20" w:rsidRPr="00092ED7" w14:paraId="0F7D898A"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AAD9017"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18. Унапређење услова и уклањање препрека трговини</w:t>
            </w:r>
          </w:p>
        </w:tc>
      </w:tr>
      <w:tr w:rsidR="00FD090A" w:rsidRPr="00092ED7" w14:paraId="7E7E89DB"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E123C0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7C961B5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25A4561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2C8776B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63E2137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73116C8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0C584CA8"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77B839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3873A9B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17.670,00</w:t>
            </w:r>
          </w:p>
        </w:tc>
        <w:tc>
          <w:tcPr>
            <w:tcW w:w="1750" w:type="dxa"/>
            <w:tcBorders>
              <w:top w:val="nil"/>
              <w:left w:val="nil"/>
              <w:bottom w:val="single" w:sz="8" w:space="0" w:color="auto"/>
              <w:right w:val="single" w:sz="8" w:space="0" w:color="auto"/>
            </w:tcBorders>
            <w:shd w:val="clear" w:color="auto" w:fill="auto"/>
            <w:noWrap/>
            <w:vAlign w:val="center"/>
            <w:hideMark/>
          </w:tcPr>
          <w:p w14:paraId="4841DED7"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42.100,00</w:t>
            </w:r>
          </w:p>
        </w:tc>
        <w:tc>
          <w:tcPr>
            <w:tcW w:w="1624" w:type="dxa"/>
            <w:tcBorders>
              <w:top w:val="nil"/>
              <w:left w:val="nil"/>
              <w:bottom w:val="single" w:sz="8" w:space="0" w:color="auto"/>
              <w:right w:val="single" w:sz="8" w:space="0" w:color="auto"/>
            </w:tcBorders>
            <w:shd w:val="clear" w:color="auto" w:fill="auto"/>
            <w:noWrap/>
            <w:vAlign w:val="center"/>
            <w:hideMark/>
          </w:tcPr>
          <w:p w14:paraId="220EBB6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2A37CAA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3965AAD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59.770,00</w:t>
            </w:r>
          </w:p>
        </w:tc>
      </w:tr>
      <w:tr w:rsidR="00FD090A" w:rsidRPr="00092ED7" w14:paraId="6ABE4528"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32818C3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2EEDFDB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17.670,00</w:t>
            </w:r>
          </w:p>
        </w:tc>
        <w:tc>
          <w:tcPr>
            <w:tcW w:w="1750" w:type="dxa"/>
            <w:tcBorders>
              <w:top w:val="nil"/>
              <w:left w:val="nil"/>
              <w:bottom w:val="single" w:sz="8" w:space="0" w:color="auto"/>
              <w:right w:val="single" w:sz="8" w:space="0" w:color="auto"/>
            </w:tcBorders>
            <w:shd w:val="clear" w:color="auto" w:fill="auto"/>
            <w:noWrap/>
            <w:vAlign w:val="center"/>
            <w:hideMark/>
          </w:tcPr>
          <w:p w14:paraId="7B2C25FB"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17.100,00</w:t>
            </w:r>
          </w:p>
        </w:tc>
        <w:tc>
          <w:tcPr>
            <w:tcW w:w="1624" w:type="dxa"/>
            <w:tcBorders>
              <w:top w:val="nil"/>
              <w:left w:val="nil"/>
              <w:bottom w:val="single" w:sz="8" w:space="0" w:color="auto"/>
              <w:right w:val="single" w:sz="8" w:space="0" w:color="auto"/>
            </w:tcBorders>
            <w:shd w:val="clear" w:color="auto" w:fill="auto"/>
            <w:noWrap/>
            <w:vAlign w:val="center"/>
            <w:hideMark/>
          </w:tcPr>
          <w:p w14:paraId="67BA04B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653EE7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3CF0537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34.770,00</w:t>
            </w:r>
          </w:p>
        </w:tc>
      </w:tr>
      <w:tr w:rsidR="00FD090A" w:rsidRPr="00092ED7" w14:paraId="18AEC5FC"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06FFC5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032FF27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17.670,00</w:t>
            </w:r>
          </w:p>
        </w:tc>
        <w:tc>
          <w:tcPr>
            <w:tcW w:w="1750" w:type="dxa"/>
            <w:tcBorders>
              <w:top w:val="nil"/>
              <w:left w:val="nil"/>
              <w:bottom w:val="single" w:sz="8" w:space="0" w:color="auto"/>
              <w:right w:val="single" w:sz="8" w:space="0" w:color="auto"/>
            </w:tcBorders>
            <w:shd w:val="clear" w:color="auto" w:fill="auto"/>
            <w:noWrap/>
            <w:vAlign w:val="center"/>
            <w:hideMark/>
          </w:tcPr>
          <w:p w14:paraId="617591CD"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2.100,00</w:t>
            </w:r>
          </w:p>
        </w:tc>
        <w:tc>
          <w:tcPr>
            <w:tcW w:w="1624" w:type="dxa"/>
            <w:tcBorders>
              <w:top w:val="nil"/>
              <w:left w:val="nil"/>
              <w:bottom w:val="single" w:sz="8" w:space="0" w:color="auto"/>
              <w:right w:val="single" w:sz="8" w:space="0" w:color="auto"/>
            </w:tcBorders>
            <w:shd w:val="clear" w:color="auto" w:fill="auto"/>
            <w:noWrap/>
            <w:vAlign w:val="center"/>
            <w:hideMark/>
          </w:tcPr>
          <w:p w14:paraId="766745C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72EBFD9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626D5DA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19.770,00</w:t>
            </w:r>
          </w:p>
        </w:tc>
      </w:tr>
      <w:tr w:rsidR="008D7C20" w:rsidRPr="00092ED7" w14:paraId="5C9FCC65"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3EE00C2"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19. Унапређење ефикасности и безбедности у железничком саобраћају</w:t>
            </w:r>
          </w:p>
        </w:tc>
      </w:tr>
      <w:tr w:rsidR="00FD090A" w:rsidRPr="00092ED7" w14:paraId="0D06A52E"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971283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051FB00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2BB1AAE1"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59F5508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331E4BB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2C4C7A9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3385372E"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2FB986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19124DD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6E41AB5D"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48.937,00</w:t>
            </w:r>
          </w:p>
        </w:tc>
        <w:tc>
          <w:tcPr>
            <w:tcW w:w="1624" w:type="dxa"/>
            <w:tcBorders>
              <w:top w:val="nil"/>
              <w:left w:val="nil"/>
              <w:bottom w:val="single" w:sz="8" w:space="0" w:color="auto"/>
              <w:right w:val="single" w:sz="8" w:space="0" w:color="auto"/>
            </w:tcBorders>
            <w:shd w:val="clear" w:color="auto" w:fill="auto"/>
            <w:noWrap/>
            <w:vAlign w:val="center"/>
            <w:hideMark/>
          </w:tcPr>
          <w:p w14:paraId="685802B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3.333.333,33</w:t>
            </w:r>
          </w:p>
        </w:tc>
        <w:tc>
          <w:tcPr>
            <w:tcW w:w="1538" w:type="dxa"/>
            <w:tcBorders>
              <w:top w:val="nil"/>
              <w:left w:val="nil"/>
              <w:bottom w:val="single" w:sz="8" w:space="0" w:color="auto"/>
              <w:right w:val="single" w:sz="8" w:space="0" w:color="auto"/>
            </w:tcBorders>
            <w:shd w:val="clear" w:color="auto" w:fill="auto"/>
            <w:noWrap/>
            <w:vAlign w:val="center"/>
            <w:hideMark/>
          </w:tcPr>
          <w:p w14:paraId="136C66D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14.283.333,00</w:t>
            </w:r>
          </w:p>
        </w:tc>
        <w:tc>
          <w:tcPr>
            <w:tcW w:w="1628" w:type="dxa"/>
            <w:tcBorders>
              <w:top w:val="nil"/>
              <w:left w:val="nil"/>
              <w:bottom w:val="single" w:sz="8" w:space="0" w:color="auto"/>
              <w:right w:val="single" w:sz="8" w:space="0" w:color="auto"/>
            </w:tcBorders>
            <w:shd w:val="clear" w:color="auto" w:fill="auto"/>
            <w:noWrap/>
            <w:vAlign w:val="center"/>
            <w:hideMark/>
          </w:tcPr>
          <w:p w14:paraId="40B3245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17.665.603,33</w:t>
            </w:r>
          </w:p>
        </w:tc>
      </w:tr>
      <w:tr w:rsidR="00FD090A" w:rsidRPr="00092ED7" w14:paraId="072A5F14"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8A2ADF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33F79BF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D263887"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48.340,00</w:t>
            </w:r>
          </w:p>
        </w:tc>
        <w:tc>
          <w:tcPr>
            <w:tcW w:w="1624" w:type="dxa"/>
            <w:tcBorders>
              <w:top w:val="nil"/>
              <w:left w:val="nil"/>
              <w:bottom w:val="single" w:sz="8" w:space="0" w:color="auto"/>
              <w:right w:val="single" w:sz="8" w:space="0" w:color="auto"/>
            </w:tcBorders>
            <w:shd w:val="clear" w:color="auto" w:fill="auto"/>
            <w:noWrap/>
            <w:vAlign w:val="center"/>
            <w:hideMark/>
          </w:tcPr>
          <w:p w14:paraId="7E5373E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2931F9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8.833.333,00</w:t>
            </w:r>
          </w:p>
        </w:tc>
        <w:tc>
          <w:tcPr>
            <w:tcW w:w="1628" w:type="dxa"/>
            <w:tcBorders>
              <w:top w:val="nil"/>
              <w:left w:val="nil"/>
              <w:bottom w:val="single" w:sz="8" w:space="0" w:color="auto"/>
              <w:right w:val="single" w:sz="8" w:space="0" w:color="auto"/>
            </w:tcBorders>
            <w:shd w:val="clear" w:color="auto" w:fill="auto"/>
            <w:noWrap/>
            <w:vAlign w:val="center"/>
            <w:hideMark/>
          </w:tcPr>
          <w:p w14:paraId="4130C60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8.881.673,00</w:t>
            </w:r>
          </w:p>
        </w:tc>
      </w:tr>
      <w:tr w:rsidR="00FD090A" w:rsidRPr="00092ED7" w14:paraId="7640281B"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F8E35E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0DB64B7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578D8D6"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48.340,00</w:t>
            </w:r>
          </w:p>
        </w:tc>
        <w:tc>
          <w:tcPr>
            <w:tcW w:w="1624" w:type="dxa"/>
            <w:tcBorders>
              <w:top w:val="nil"/>
              <w:left w:val="nil"/>
              <w:bottom w:val="single" w:sz="8" w:space="0" w:color="auto"/>
              <w:right w:val="single" w:sz="8" w:space="0" w:color="auto"/>
            </w:tcBorders>
            <w:shd w:val="clear" w:color="auto" w:fill="auto"/>
            <w:noWrap/>
            <w:vAlign w:val="center"/>
            <w:hideMark/>
          </w:tcPr>
          <w:p w14:paraId="282358B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F0F4F8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5.500.000,00</w:t>
            </w:r>
          </w:p>
        </w:tc>
        <w:tc>
          <w:tcPr>
            <w:tcW w:w="1628" w:type="dxa"/>
            <w:tcBorders>
              <w:top w:val="nil"/>
              <w:left w:val="nil"/>
              <w:bottom w:val="single" w:sz="8" w:space="0" w:color="auto"/>
              <w:right w:val="single" w:sz="8" w:space="0" w:color="auto"/>
            </w:tcBorders>
            <w:shd w:val="clear" w:color="auto" w:fill="auto"/>
            <w:noWrap/>
            <w:vAlign w:val="center"/>
            <w:hideMark/>
          </w:tcPr>
          <w:p w14:paraId="396BC3B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5.548.340,00</w:t>
            </w:r>
          </w:p>
        </w:tc>
      </w:tr>
      <w:tr w:rsidR="008D7C20" w:rsidRPr="00092ED7" w14:paraId="059AACAA"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64F91D7"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20. Унапређење конкурентности пољопривреде</w:t>
            </w:r>
          </w:p>
        </w:tc>
      </w:tr>
      <w:tr w:rsidR="00FD090A" w:rsidRPr="00092ED7" w14:paraId="2EE41E10"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9DEBB2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10BE359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6C1994D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2C704A3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6ADCADF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2F0A081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1EC9A7F5"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06213E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4DA207F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211.545,00</w:t>
            </w:r>
          </w:p>
        </w:tc>
        <w:tc>
          <w:tcPr>
            <w:tcW w:w="1750" w:type="dxa"/>
            <w:tcBorders>
              <w:top w:val="nil"/>
              <w:left w:val="nil"/>
              <w:bottom w:val="single" w:sz="8" w:space="0" w:color="auto"/>
              <w:right w:val="single" w:sz="8" w:space="0" w:color="auto"/>
            </w:tcBorders>
            <w:shd w:val="clear" w:color="auto" w:fill="auto"/>
            <w:noWrap/>
            <w:vAlign w:val="center"/>
            <w:hideMark/>
          </w:tcPr>
          <w:p w14:paraId="5C195FE8"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2.110.373,00</w:t>
            </w:r>
          </w:p>
        </w:tc>
        <w:tc>
          <w:tcPr>
            <w:tcW w:w="1624" w:type="dxa"/>
            <w:tcBorders>
              <w:top w:val="nil"/>
              <w:left w:val="nil"/>
              <w:bottom w:val="single" w:sz="8" w:space="0" w:color="auto"/>
              <w:right w:val="single" w:sz="8" w:space="0" w:color="auto"/>
            </w:tcBorders>
            <w:shd w:val="clear" w:color="auto" w:fill="auto"/>
            <w:noWrap/>
            <w:vAlign w:val="center"/>
            <w:hideMark/>
          </w:tcPr>
          <w:p w14:paraId="54813E3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5.857.799,00</w:t>
            </w:r>
          </w:p>
        </w:tc>
        <w:tc>
          <w:tcPr>
            <w:tcW w:w="1538" w:type="dxa"/>
            <w:tcBorders>
              <w:top w:val="nil"/>
              <w:left w:val="nil"/>
              <w:bottom w:val="single" w:sz="8" w:space="0" w:color="auto"/>
              <w:right w:val="single" w:sz="8" w:space="0" w:color="auto"/>
            </w:tcBorders>
            <w:shd w:val="clear" w:color="auto" w:fill="auto"/>
            <w:noWrap/>
            <w:vAlign w:val="center"/>
            <w:hideMark/>
          </w:tcPr>
          <w:p w14:paraId="7D3BC1C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1.396.250,00</w:t>
            </w:r>
          </w:p>
        </w:tc>
        <w:tc>
          <w:tcPr>
            <w:tcW w:w="1628" w:type="dxa"/>
            <w:tcBorders>
              <w:top w:val="nil"/>
              <w:left w:val="nil"/>
              <w:bottom w:val="single" w:sz="8" w:space="0" w:color="auto"/>
              <w:right w:val="single" w:sz="8" w:space="0" w:color="auto"/>
            </w:tcBorders>
            <w:shd w:val="clear" w:color="auto" w:fill="auto"/>
            <w:noWrap/>
            <w:vAlign w:val="center"/>
            <w:hideMark/>
          </w:tcPr>
          <w:p w14:paraId="7884EEC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9.575.967,00</w:t>
            </w:r>
          </w:p>
        </w:tc>
      </w:tr>
      <w:tr w:rsidR="00FD090A" w:rsidRPr="00092ED7" w14:paraId="1EBBB0F5"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393D1D2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7893142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424.955,00</w:t>
            </w:r>
          </w:p>
        </w:tc>
        <w:tc>
          <w:tcPr>
            <w:tcW w:w="1750" w:type="dxa"/>
            <w:tcBorders>
              <w:top w:val="nil"/>
              <w:left w:val="nil"/>
              <w:bottom w:val="single" w:sz="8" w:space="0" w:color="auto"/>
              <w:right w:val="single" w:sz="8" w:space="0" w:color="auto"/>
            </w:tcBorders>
            <w:shd w:val="clear" w:color="auto" w:fill="auto"/>
            <w:noWrap/>
            <w:vAlign w:val="center"/>
            <w:hideMark/>
          </w:tcPr>
          <w:p w14:paraId="3D796A4C"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2.322.333,33</w:t>
            </w:r>
          </w:p>
        </w:tc>
        <w:tc>
          <w:tcPr>
            <w:tcW w:w="1624" w:type="dxa"/>
            <w:tcBorders>
              <w:top w:val="nil"/>
              <w:left w:val="nil"/>
              <w:bottom w:val="single" w:sz="8" w:space="0" w:color="auto"/>
              <w:right w:val="single" w:sz="8" w:space="0" w:color="auto"/>
            </w:tcBorders>
            <w:shd w:val="clear" w:color="auto" w:fill="auto"/>
            <w:noWrap/>
            <w:vAlign w:val="center"/>
            <w:hideMark/>
          </w:tcPr>
          <w:p w14:paraId="75EFB3C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17.044.465,67</w:t>
            </w:r>
          </w:p>
        </w:tc>
        <w:tc>
          <w:tcPr>
            <w:tcW w:w="1538" w:type="dxa"/>
            <w:tcBorders>
              <w:top w:val="nil"/>
              <w:left w:val="nil"/>
              <w:bottom w:val="single" w:sz="8" w:space="0" w:color="auto"/>
              <w:right w:val="single" w:sz="8" w:space="0" w:color="auto"/>
            </w:tcBorders>
            <w:shd w:val="clear" w:color="auto" w:fill="auto"/>
            <w:noWrap/>
            <w:vAlign w:val="center"/>
            <w:hideMark/>
          </w:tcPr>
          <w:p w14:paraId="07D004A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975.000,00</w:t>
            </w:r>
          </w:p>
        </w:tc>
        <w:tc>
          <w:tcPr>
            <w:tcW w:w="1628" w:type="dxa"/>
            <w:tcBorders>
              <w:top w:val="nil"/>
              <w:left w:val="nil"/>
              <w:bottom w:val="single" w:sz="8" w:space="0" w:color="auto"/>
              <w:right w:val="single" w:sz="8" w:space="0" w:color="auto"/>
            </w:tcBorders>
            <w:shd w:val="clear" w:color="auto" w:fill="auto"/>
            <w:noWrap/>
            <w:vAlign w:val="center"/>
            <w:hideMark/>
          </w:tcPr>
          <w:p w14:paraId="524E3E5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20.766.754,00</w:t>
            </w:r>
          </w:p>
        </w:tc>
      </w:tr>
      <w:tr w:rsidR="00FD090A" w:rsidRPr="00092ED7" w14:paraId="7D6D6896"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18076C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585A817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576.540,00</w:t>
            </w:r>
          </w:p>
        </w:tc>
        <w:tc>
          <w:tcPr>
            <w:tcW w:w="1750" w:type="dxa"/>
            <w:tcBorders>
              <w:top w:val="nil"/>
              <w:left w:val="nil"/>
              <w:bottom w:val="single" w:sz="8" w:space="0" w:color="auto"/>
              <w:right w:val="single" w:sz="8" w:space="0" w:color="auto"/>
            </w:tcBorders>
            <w:shd w:val="clear" w:color="auto" w:fill="auto"/>
            <w:noWrap/>
            <w:vAlign w:val="center"/>
            <w:hideMark/>
          </w:tcPr>
          <w:p w14:paraId="2325C11F"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1.050.000,00</w:t>
            </w:r>
          </w:p>
        </w:tc>
        <w:tc>
          <w:tcPr>
            <w:tcW w:w="1624" w:type="dxa"/>
            <w:tcBorders>
              <w:top w:val="nil"/>
              <w:left w:val="nil"/>
              <w:bottom w:val="single" w:sz="8" w:space="0" w:color="auto"/>
              <w:right w:val="single" w:sz="8" w:space="0" w:color="auto"/>
            </w:tcBorders>
            <w:shd w:val="clear" w:color="auto" w:fill="auto"/>
            <w:noWrap/>
            <w:vAlign w:val="center"/>
            <w:hideMark/>
          </w:tcPr>
          <w:p w14:paraId="7A6E84A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21.402.482,00</w:t>
            </w:r>
          </w:p>
        </w:tc>
        <w:tc>
          <w:tcPr>
            <w:tcW w:w="1538" w:type="dxa"/>
            <w:tcBorders>
              <w:top w:val="nil"/>
              <w:left w:val="nil"/>
              <w:bottom w:val="single" w:sz="8" w:space="0" w:color="auto"/>
              <w:right w:val="single" w:sz="8" w:space="0" w:color="auto"/>
            </w:tcBorders>
            <w:shd w:val="clear" w:color="auto" w:fill="auto"/>
            <w:noWrap/>
            <w:vAlign w:val="center"/>
            <w:hideMark/>
          </w:tcPr>
          <w:p w14:paraId="7CE3AB9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3.240.000,00</w:t>
            </w:r>
          </w:p>
        </w:tc>
        <w:tc>
          <w:tcPr>
            <w:tcW w:w="1628" w:type="dxa"/>
            <w:tcBorders>
              <w:top w:val="nil"/>
              <w:left w:val="nil"/>
              <w:bottom w:val="single" w:sz="8" w:space="0" w:color="auto"/>
              <w:right w:val="single" w:sz="8" w:space="0" w:color="auto"/>
            </w:tcBorders>
            <w:shd w:val="clear" w:color="auto" w:fill="auto"/>
            <w:noWrap/>
            <w:vAlign w:val="center"/>
            <w:hideMark/>
          </w:tcPr>
          <w:p w14:paraId="453AD79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26.269.022,00</w:t>
            </w:r>
          </w:p>
        </w:tc>
      </w:tr>
      <w:tr w:rsidR="008D7C20" w:rsidRPr="00092ED7" w14:paraId="109C7D75"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9522D30"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21. Унапређење стратешког оквира инфраструктуре квалитета и интеграције у јединствено тржиште ЕУ</w:t>
            </w:r>
          </w:p>
        </w:tc>
      </w:tr>
      <w:tr w:rsidR="00FD090A" w:rsidRPr="00092ED7" w14:paraId="00C94666"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E859E0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470BAEE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2640ED1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23D569A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4D42BF4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14B1B71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39D48326"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49E592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09CED31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5E84AE7C"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300.000,00</w:t>
            </w:r>
          </w:p>
        </w:tc>
        <w:tc>
          <w:tcPr>
            <w:tcW w:w="1624" w:type="dxa"/>
            <w:tcBorders>
              <w:top w:val="nil"/>
              <w:left w:val="nil"/>
              <w:bottom w:val="single" w:sz="8" w:space="0" w:color="auto"/>
              <w:right w:val="single" w:sz="8" w:space="0" w:color="auto"/>
            </w:tcBorders>
            <w:shd w:val="clear" w:color="auto" w:fill="auto"/>
            <w:noWrap/>
            <w:vAlign w:val="center"/>
            <w:hideMark/>
          </w:tcPr>
          <w:p w14:paraId="2326AD6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1DD81B6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069FC1A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300.000,00</w:t>
            </w:r>
          </w:p>
        </w:tc>
      </w:tr>
      <w:tr w:rsidR="00FD090A" w:rsidRPr="00092ED7" w14:paraId="16A607A5" w14:textId="77777777" w:rsidTr="008B1D11">
        <w:trPr>
          <w:trHeight w:val="330"/>
        </w:trPr>
        <w:tc>
          <w:tcPr>
            <w:tcW w:w="1176" w:type="dxa"/>
            <w:tcBorders>
              <w:top w:val="nil"/>
              <w:left w:val="single" w:sz="8" w:space="0" w:color="auto"/>
              <w:bottom w:val="single" w:sz="4" w:space="0" w:color="auto"/>
              <w:right w:val="single" w:sz="8" w:space="0" w:color="auto"/>
            </w:tcBorders>
            <w:shd w:val="clear" w:color="auto" w:fill="auto"/>
            <w:noWrap/>
            <w:vAlign w:val="center"/>
            <w:hideMark/>
          </w:tcPr>
          <w:p w14:paraId="28B8291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4" w:space="0" w:color="auto"/>
              <w:right w:val="single" w:sz="8" w:space="0" w:color="auto"/>
            </w:tcBorders>
            <w:shd w:val="clear" w:color="auto" w:fill="auto"/>
            <w:noWrap/>
            <w:vAlign w:val="center"/>
            <w:hideMark/>
          </w:tcPr>
          <w:p w14:paraId="3C0D1A7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4" w:space="0" w:color="auto"/>
              <w:right w:val="single" w:sz="8" w:space="0" w:color="auto"/>
            </w:tcBorders>
            <w:shd w:val="clear" w:color="auto" w:fill="auto"/>
            <w:noWrap/>
            <w:vAlign w:val="center"/>
            <w:hideMark/>
          </w:tcPr>
          <w:p w14:paraId="5DBE2405"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150.000,00</w:t>
            </w:r>
          </w:p>
        </w:tc>
        <w:tc>
          <w:tcPr>
            <w:tcW w:w="1624" w:type="dxa"/>
            <w:tcBorders>
              <w:top w:val="nil"/>
              <w:left w:val="nil"/>
              <w:bottom w:val="single" w:sz="4" w:space="0" w:color="auto"/>
              <w:right w:val="single" w:sz="8" w:space="0" w:color="auto"/>
            </w:tcBorders>
            <w:shd w:val="clear" w:color="auto" w:fill="auto"/>
            <w:noWrap/>
            <w:vAlign w:val="center"/>
            <w:hideMark/>
          </w:tcPr>
          <w:p w14:paraId="6278C24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4" w:space="0" w:color="auto"/>
              <w:right w:val="single" w:sz="8" w:space="0" w:color="auto"/>
            </w:tcBorders>
            <w:shd w:val="clear" w:color="auto" w:fill="auto"/>
            <w:noWrap/>
            <w:vAlign w:val="center"/>
            <w:hideMark/>
          </w:tcPr>
          <w:p w14:paraId="4DC1542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4" w:space="0" w:color="auto"/>
              <w:right w:val="single" w:sz="8" w:space="0" w:color="auto"/>
            </w:tcBorders>
            <w:shd w:val="clear" w:color="auto" w:fill="auto"/>
            <w:noWrap/>
            <w:vAlign w:val="center"/>
            <w:hideMark/>
          </w:tcPr>
          <w:p w14:paraId="0CC5ADB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150.000,00</w:t>
            </w:r>
          </w:p>
        </w:tc>
      </w:tr>
      <w:tr w:rsidR="00FD090A" w:rsidRPr="00092ED7" w14:paraId="238270F4" w14:textId="77777777" w:rsidTr="008B1D11">
        <w:trPr>
          <w:trHeight w:val="33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0075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5F8C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6E834"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250.000,00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6E5E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EFF5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7D6A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250.000,00</w:t>
            </w:r>
          </w:p>
        </w:tc>
      </w:tr>
      <w:tr w:rsidR="008D7C20" w:rsidRPr="00092ED7" w14:paraId="0C2B7D6D" w14:textId="77777777" w:rsidTr="008B1D11">
        <w:trPr>
          <w:trHeight w:val="330"/>
        </w:trPr>
        <w:tc>
          <w:tcPr>
            <w:tcW w:w="9006" w:type="dxa"/>
            <w:gridSpan w:val="6"/>
            <w:tcBorders>
              <w:top w:val="single" w:sz="4" w:space="0" w:color="auto"/>
              <w:left w:val="single" w:sz="8" w:space="0" w:color="auto"/>
              <w:bottom w:val="single" w:sz="8" w:space="0" w:color="auto"/>
              <w:right w:val="single" w:sz="8" w:space="0" w:color="auto"/>
            </w:tcBorders>
            <w:shd w:val="clear" w:color="000000" w:fill="D0CECE"/>
            <w:noWrap/>
            <w:vAlign w:val="center"/>
            <w:hideMark/>
          </w:tcPr>
          <w:p w14:paraId="5E340187"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22. Унапређење ефикасности здравственог система кроз дигитализацију процеса</w:t>
            </w:r>
          </w:p>
        </w:tc>
      </w:tr>
      <w:tr w:rsidR="002E0746" w:rsidRPr="00092ED7" w14:paraId="6F40F440" w14:textId="77777777" w:rsidTr="007C54E3">
        <w:trPr>
          <w:trHeight w:val="330"/>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7B7768D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2EFE847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752D445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64A2A4E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4E9D04D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78D06F0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2E0746" w:rsidRPr="00092ED7" w14:paraId="351BC9BA" w14:textId="77777777" w:rsidTr="007C54E3">
        <w:trPr>
          <w:trHeight w:val="330"/>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29E733D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25BB701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2C78DFA" w14:textId="3B710167" w:rsidR="008D7C20" w:rsidRPr="00092ED7" w:rsidRDefault="00F30C7B"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6.463.125</w:t>
            </w:r>
            <w:r w:rsidR="008D7C20" w:rsidRPr="00092ED7">
              <w:rPr>
                <w:rFonts w:eastAsia="Times New Roman" w:cs="Times New Roman"/>
                <w:sz w:val="20"/>
                <w:szCs w:val="20"/>
                <w:lang w:val="sr-Cyrl-CS"/>
              </w:rPr>
              <w:t>,00</w:t>
            </w:r>
          </w:p>
        </w:tc>
        <w:tc>
          <w:tcPr>
            <w:tcW w:w="1624" w:type="dxa"/>
            <w:tcBorders>
              <w:top w:val="nil"/>
              <w:left w:val="nil"/>
              <w:bottom w:val="single" w:sz="8" w:space="0" w:color="auto"/>
              <w:right w:val="single" w:sz="8" w:space="0" w:color="auto"/>
            </w:tcBorders>
            <w:shd w:val="clear" w:color="auto" w:fill="auto"/>
            <w:noWrap/>
            <w:vAlign w:val="center"/>
            <w:hideMark/>
          </w:tcPr>
          <w:p w14:paraId="5C9E7A1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46BE04F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6.036.875,00</w:t>
            </w:r>
          </w:p>
        </w:tc>
        <w:tc>
          <w:tcPr>
            <w:tcW w:w="1628" w:type="dxa"/>
            <w:tcBorders>
              <w:top w:val="nil"/>
              <w:left w:val="nil"/>
              <w:bottom w:val="single" w:sz="8" w:space="0" w:color="auto"/>
              <w:right w:val="single" w:sz="8" w:space="0" w:color="auto"/>
            </w:tcBorders>
            <w:shd w:val="clear" w:color="auto" w:fill="auto"/>
            <w:noWrap/>
            <w:vAlign w:val="center"/>
            <w:hideMark/>
          </w:tcPr>
          <w:p w14:paraId="02D15E50" w14:textId="7DBB99E4"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F30C7B" w:rsidRPr="00092ED7">
              <w:rPr>
                <w:rFonts w:eastAsia="Times New Roman" w:cs="Times New Roman"/>
                <w:color w:val="000000"/>
                <w:sz w:val="20"/>
                <w:szCs w:val="20"/>
                <w:lang w:val="sr-Cyrl-CS"/>
              </w:rPr>
              <w:t>2</w:t>
            </w:r>
            <w:r w:rsidRPr="00092ED7">
              <w:rPr>
                <w:rFonts w:eastAsia="Times New Roman" w:cs="Times New Roman"/>
                <w:color w:val="000000"/>
                <w:sz w:val="20"/>
                <w:szCs w:val="20"/>
                <w:lang w:val="sr-Cyrl-CS"/>
              </w:rPr>
              <w:t>.</w:t>
            </w:r>
            <w:r w:rsidR="00F30C7B" w:rsidRPr="00092ED7">
              <w:rPr>
                <w:rFonts w:eastAsia="Times New Roman" w:cs="Times New Roman"/>
                <w:color w:val="000000"/>
                <w:sz w:val="20"/>
                <w:szCs w:val="20"/>
                <w:lang w:val="sr-Cyrl-CS"/>
              </w:rPr>
              <w:t>5</w:t>
            </w:r>
            <w:r w:rsidRPr="00092ED7">
              <w:rPr>
                <w:rFonts w:eastAsia="Times New Roman" w:cs="Times New Roman"/>
                <w:color w:val="000000"/>
                <w:sz w:val="20"/>
                <w:szCs w:val="20"/>
                <w:lang w:val="sr-Cyrl-CS"/>
              </w:rPr>
              <w:t>00.000,00</w:t>
            </w:r>
          </w:p>
        </w:tc>
      </w:tr>
      <w:tr w:rsidR="002E0746" w:rsidRPr="00092ED7" w14:paraId="5A97173A" w14:textId="77777777" w:rsidTr="007C54E3">
        <w:trPr>
          <w:trHeight w:val="330"/>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0616B3E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30013CE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A8B21EC"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6.463.125,00</w:t>
            </w:r>
          </w:p>
        </w:tc>
        <w:tc>
          <w:tcPr>
            <w:tcW w:w="1624" w:type="dxa"/>
            <w:tcBorders>
              <w:top w:val="nil"/>
              <w:left w:val="nil"/>
              <w:bottom w:val="single" w:sz="8" w:space="0" w:color="auto"/>
              <w:right w:val="single" w:sz="8" w:space="0" w:color="auto"/>
            </w:tcBorders>
            <w:shd w:val="clear" w:color="auto" w:fill="auto"/>
            <w:noWrap/>
            <w:vAlign w:val="center"/>
            <w:hideMark/>
          </w:tcPr>
          <w:p w14:paraId="06A11BB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DB0680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6.036.875,00</w:t>
            </w:r>
          </w:p>
        </w:tc>
        <w:tc>
          <w:tcPr>
            <w:tcW w:w="1628" w:type="dxa"/>
            <w:tcBorders>
              <w:top w:val="nil"/>
              <w:left w:val="nil"/>
              <w:bottom w:val="single" w:sz="8" w:space="0" w:color="auto"/>
              <w:right w:val="single" w:sz="8" w:space="0" w:color="auto"/>
            </w:tcBorders>
            <w:shd w:val="clear" w:color="auto" w:fill="auto"/>
            <w:noWrap/>
            <w:vAlign w:val="center"/>
            <w:hideMark/>
          </w:tcPr>
          <w:p w14:paraId="2393079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12.500.000,00</w:t>
            </w:r>
          </w:p>
        </w:tc>
      </w:tr>
      <w:tr w:rsidR="002E0746" w:rsidRPr="00092ED7" w14:paraId="6456CA95" w14:textId="77777777" w:rsidTr="007C54E3">
        <w:trPr>
          <w:trHeight w:val="330"/>
        </w:trPr>
        <w:tc>
          <w:tcPr>
            <w:tcW w:w="1176" w:type="dxa"/>
            <w:tcBorders>
              <w:top w:val="nil"/>
              <w:left w:val="single" w:sz="8" w:space="0" w:color="auto"/>
              <w:bottom w:val="single" w:sz="4" w:space="0" w:color="auto"/>
              <w:right w:val="single" w:sz="8" w:space="0" w:color="auto"/>
            </w:tcBorders>
            <w:shd w:val="clear" w:color="000000" w:fill="FFFFFF"/>
            <w:noWrap/>
            <w:vAlign w:val="center"/>
            <w:hideMark/>
          </w:tcPr>
          <w:p w14:paraId="7162F112"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4" w:space="0" w:color="auto"/>
              <w:right w:val="single" w:sz="8" w:space="0" w:color="auto"/>
            </w:tcBorders>
            <w:shd w:val="clear" w:color="auto" w:fill="auto"/>
            <w:noWrap/>
            <w:vAlign w:val="center"/>
            <w:hideMark/>
          </w:tcPr>
          <w:p w14:paraId="7BC73A0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4" w:space="0" w:color="auto"/>
              <w:right w:val="single" w:sz="8" w:space="0" w:color="auto"/>
            </w:tcBorders>
            <w:shd w:val="clear" w:color="auto" w:fill="auto"/>
            <w:noWrap/>
            <w:vAlign w:val="center"/>
            <w:hideMark/>
          </w:tcPr>
          <w:p w14:paraId="250AB79A"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6.463.125,00</w:t>
            </w:r>
          </w:p>
        </w:tc>
        <w:tc>
          <w:tcPr>
            <w:tcW w:w="1624" w:type="dxa"/>
            <w:tcBorders>
              <w:top w:val="nil"/>
              <w:left w:val="nil"/>
              <w:bottom w:val="single" w:sz="4" w:space="0" w:color="auto"/>
              <w:right w:val="single" w:sz="8" w:space="0" w:color="auto"/>
            </w:tcBorders>
            <w:shd w:val="clear" w:color="auto" w:fill="auto"/>
            <w:noWrap/>
            <w:vAlign w:val="center"/>
            <w:hideMark/>
          </w:tcPr>
          <w:p w14:paraId="27324F5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4" w:space="0" w:color="auto"/>
              <w:right w:val="single" w:sz="8" w:space="0" w:color="auto"/>
            </w:tcBorders>
            <w:shd w:val="clear" w:color="auto" w:fill="auto"/>
            <w:noWrap/>
            <w:vAlign w:val="center"/>
            <w:hideMark/>
          </w:tcPr>
          <w:p w14:paraId="501964A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6.036.875,00</w:t>
            </w:r>
          </w:p>
        </w:tc>
        <w:tc>
          <w:tcPr>
            <w:tcW w:w="1628" w:type="dxa"/>
            <w:tcBorders>
              <w:top w:val="nil"/>
              <w:left w:val="nil"/>
              <w:bottom w:val="single" w:sz="4" w:space="0" w:color="auto"/>
              <w:right w:val="single" w:sz="8" w:space="0" w:color="auto"/>
            </w:tcBorders>
            <w:shd w:val="clear" w:color="auto" w:fill="auto"/>
            <w:noWrap/>
            <w:vAlign w:val="center"/>
            <w:hideMark/>
          </w:tcPr>
          <w:p w14:paraId="793794D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12.500.000,00</w:t>
            </w:r>
          </w:p>
        </w:tc>
      </w:tr>
      <w:tr w:rsidR="00812992" w:rsidRPr="00092ED7" w14:paraId="45C7B6E6" w14:textId="77777777" w:rsidTr="006D5549">
        <w:trPr>
          <w:trHeight w:val="330"/>
        </w:trPr>
        <w:tc>
          <w:tcPr>
            <w:tcW w:w="9006" w:type="dxa"/>
            <w:gridSpan w:val="6"/>
            <w:tcBorders>
              <w:top w:val="nil"/>
              <w:left w:val="single" w:sz="8" w:space="0" w:color="auto"/>
              <w:bottom w:val="single" w:sz="4" w:space="0" w:color="auto"/>
              <w:right w:val="single" w:sz="8" w:space="0" w:color="auto"/>
            </w:tcBorders>
            <w:shd w:val="clear" w:color="000000" w:fill="FFFFFF"/>
            <w:noWrap/>
            <w:vAlign w:val="center"/>
          </w:tcPr>
          <w:p w14:paraId="70A6B056" w14:textId="77777777" w:rsidR="00812992" w:rsidRPr="00092ED7" w:rsidRDefault="00812992" w:rsidP="008D7C20">
            <w:pPr>
              <w:spacing w:after="0"/>
              <w:jc w:val="right"/>
              <w:rPr>
                <w:rFonts w:eastAsia="Times New Roman" w:cs="Times New Roman"/>
                <w:color w:val="000000"/>
                <w:sz w:val="20"/>
                <w:szCs w:val="20"/>
                <w:lang w:val="sr-Cyrl-CS"/>
              </w:rPr>
            </w:pPr>
          </w:p>
        </w:tc>
      </w:tr>
      <w:tr w:rsidR="002E0746" w:rsidRPr="00092ED7" w14:paraId="786CB83B" w14:textId="77777777" w:rsidTr="007C54E3">
        <w:trPr>
          <w:trHeight w:val="330"/>
        </w:trPr>
        <w:tc>
          <w:tcPr>
            <w:tcW w:w="117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9C05F83" w14:textId="77777777" w:rsidR="008D7C20" w:rsidRPr="00092ED7" w:rsidRDefault="008D7C20" w:rsidP="008D7C20">
            <w:pPr>
              <w:spacing w:after="0"/>
              <w:jc w:val="left"/>
              <w:rPr>
                <w:rFonts w:eastAsia="Times New Roman" w:cs="Times New Roman"/>
                <w:b/>
                <w:sz w:val="20"/>
                <w:szCs w:val="20"/>
                <w:lang w:val="sr-Cyrl-CS"/>
              </w:rPr>
            </w:pPr>
            <w:r w:rsidRPr="00092ED7">
              <w:rPr>
                <w:rFonts w:eastAsia="Times New Roman" w:cs="Times New Roman"/>
                <w:b/>
                <w:sz w:val="20"/>
                <w:szCs w:val="20"/>
                <w:lang w:val="sr-Cyrl-CS"/>
              </w:rPr>
              <w:t>УКУПНО</w:t>
            </w:r>
          </w:p>
        </w:tc>
        <w:tc>
          <w:tcPr>
            <w:tcW w:w="12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41CE2C9" w14:textId="77777777" w:rsidR="008D7C20" w:rsidRPr="00092ED7" w:rsidRDefault="008D7C20" w:rsidP="008D7C20">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1</w:t>
            </w:r>
            <w:r w:rsidRPr="00092ED7">
              <w:rPr>
                <w:rFonts w:eastAsia="Times New Roman" w:cs="Times New Roman"/>
                <w:b/>
                <w:sz w:val="20"/>
                <w:szCs w:val="20"/>
                <w:lang w:val="sr-Cyrl-CS"/>
              </w:rPr>
              <w:t>.302.350,00</w:t>
            </w:r>
          </w:p>
        </w:tc>
        <w:tc>
          <w:tcPr>
            <w:tcW w:w="175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334E35A" w14:textId="37FE98C4" w:rsidR="008D7C20" w:rsidRPr="00092ED7" w:rsidRDefault="002E0746" w:rsidP="005B4EE2">
            <w:pPr>
              <w:spacing w:after="0"/>
              <w:jc w:val="right"/>
              <w:rPr>
                <w:rFonts w:eastAsia="Times New Roman" w:cs="Times New Roman"/>
                <w:b/>
                <w:sz w:val="20"/>
                <w:szCs w:val="20"/>
                <w:lang w:val="sr-Cyrl-CS"/>
              </w:rPr>
            </w:pPr>
            <w:r w:rsidRPr="00092ED7">
              <w:rPr>
                <w:rFonts w:eastAsia="Times New Roman" w:cs="Times New Roman"/>
                <w:b/>
                <w:sz w:val="20"/>
                <w:szCs w:val="20"/>
                <w:lang w:val="sr-Cyrl-CS"/>
              </w:rPr>
              <w:t>40</w:t>
            </w:r>
            <w:r w:rsidR="00B9325E" w:rsidRPr="00092ED7">
              <w:rPr>
                <w:rFonts w:eastAsia="Times New Roman" w:cs="Times New Roman"/>
                <w:b/>
                <w:sz w:val="20"/>
                <w:szCs w:val="20"/>
                <w:lang w:val="sr-Cyrl-CS"/>
              </w:rPr>
              <w:t>8</w:t>
            </w:r>
            <w:r w:rsidRPr="00092ED7">
              <w:rPr>
                <w:rFonts w:eastAsia="Times New Roman" w:cs="Times New Roman"/>
                <w:b/>
                <w:sz w:val="20"/>
                <w:szCs w:val="20"/>
                <w:lang w:val="sr-Cyrl-CS"/>
              </w:rPr>
              <w:t>.</w:t>
            </w:r>
            <w:r w:rsidR="00B9325E" w:rsidRPr="00092ED7">
              <w:rPr>
                <w:rFonts w:eastAsia="Times New Roman" w:cs="Times New Roman"/>
                <w:b/>
                <w:sz w:val="20"/>
                <w:szCs w:val="20"/>
                <w:lang w:val="sr-Cyrl-CS"/>
              </w:rPr>
              <w:t>0</w:t>
            </w:r>
            <w:r w:rsidR="005B4EE2" w:rsidRPr="00092ED7">
              <w:rPr>
                <w:rFonts w:eastAsia="Times New Roman" w:cs="Times New Roman"/>
                <w:b/>
                <w:sz w:val="20"/>
                <w:szCs w:val="20"/>
                <w:lang w:val="sr-Cyrl-CS"/>
              </w:rPr>
              <w:t>19</w:t>
            </w:r>
            <w:r w:rsidRPr="00092ED7">
              <w:rPr>
                <w:rFonts w:eastAsia="Times New Roman" w:cs="Times New Roman"/>
                <w:b/>
                <w:sz w:val="20"/>
                <w:szCs w:val="20"/>
                <w:lang w:val="sr-Cyrl-CS"/>
              </w:rPr>
              <w:t>.</w:t>
            </w:r>
            <w:r w:rsidR="005B4EE2" w:rsidRPr="00092ED7">
              <w:rPr>
                <w:rFonts w:eastAsia="Times New Roman" w:cs="Times New Roman"/>
                <w:b/>
                <w:sz w:val="20"/>
                <w:szCs w:val="20"/>
                <w:lang w:val="sr-Cyrl-CS"/>
              </w:rPr>
              <w:t>948</w:t>
            </w:r>
            <w:r w:rsidR="008D7C20" w:rsidRPr="00092ED7">
              <w:rPr>
                <w:rFonts w:eastAsia="Times New Roman" w:cs="Times New Roman"/>
                <w:b/>
                <w:sz w:val="20"/>
                <w:szCs w:val="20"/>
                <w:lang w:val="sr-Cyrl-CS"/>
              </w:rPr>
              <w:t>,33</w:t>
            </w:r>
          </w:p>
        </w:tc>
        <w:tc>
          <w:tcPr>
            <w:tcW w:w="162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F02E595" w14:textId="188161EC" w:rsidR="008D7C20" w:rsidRPr="00092ED7" w:rsidRDefault="008D7C20" w:rsidP="003D1D17">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9</w:t>
            </w:r>
            <w:r w:rsidR="00981740" w:rsidRPr="00092ED7">
              <w:rPr>
                <w:rFonts w:eastAsia="Times New Roman" w:cs="Times New Roman"/>
                <w:b/>
                <w:color w:val="000000"/>
                <w:sz w:val="20"/>
                <w:szCs w:val="20"/>
                <w:lang w:val="sr-Cyrl-CS"/>
              </w:rPr>
              <w:t>9</w:t>
            </w:r>
            <w:r w:rsidRPr="00092ED7">
              <w:rPr>
                <w:rFonts w:eastAsia="Times New Roman" w:cs="Times New Roman"/>
                <w:b/>
                <w:color w:val="000000"/>
                <w:sz w:val="20"/>
                <w:szCs w:val="20"/>
                <w:lang w:val="sr-Cyrl-CS"/>
              </w:rPr>
              <w:t>.</w:t>
            </w:r>
            <w:r w:rsidR="00981740" w:rsidRPr="00092ED7">
              <w:rPr>
                <w:rFonts w:eastAsia="Times New Roman" w:cs="Times New Roman"/>
                <w:b/>
                <w:color w:val="000000"/>
                <w:sz w:val="20"/>
                <w:szCs w:val="20"/>
                <w:lang w:val="sr-Cyrl-CS"/>
              </w:rPr>
              <w:t>575</w:t>
            </w:r>
            <w:r w:rsidRPr="00092ED7">
              <w:rPr>
                <w:rFonts w:eastAsia="Times New Roman" w:cs="Times New Roman"/>
                <w:b/>
                <w:color w:val="000000"/>
                <w:sz w:val="20"/>
                <w:szCs w:val="20"/>
                <w:lang w:val="sr-Cyrl-CS"/>
              </w:rPr>
              <w:t>.</w:t>
            </w:r>
            <w:r w:rsidR="00981740" w:rsidRPr="00092ED7">
              <w:rPr>
                <w:rFonts w:eastAsia="Times New Roman" w:cs="Times New Roman"/>
                <w:b/>
                <w:color w:val="000000"/>
                <w:sz w:val="20"/>
                <w:szCs w:val="20"/>
                <w:lang w:val="sr-Cyrl-CS"/>
              </w:rPr>
              <w:t>418</w:t>
            </w:r>
            <w:r w:rsidRPr="00092ED7">
              <w:rPr>
                <w:rFonts w:eastAsia="Times New Roman" w:cs="Times New Roman"/>
                <w:b/>
                <w:color w:val="000000"/>
                <w:sz w:val="20"/>
                <w:szCs w:val="20"/>
                <w:lang w:val="sr-Cyrl-CS"/>
              </w:rPr>
              <w:t>,9</w:t>
            </w:r>
            <w:r w:rsidR="00981740" w:rsidRPr="00092ED7">
              <w:rPr>
                <w:rFonts w:eastAsia="Times New Roman" w:cs="Times New Roman"/>
                <w:b/>
                <w:color w:val="000000"/>
                <w:sz w:val="20"/>
                <w:szCs w:val="20"/>
                <w:lang w:val="sr-Cyrl-CS"/>
              </w:rPr>
              <w:t>7</w:t>
            </w:r>
          </w:p>
        </w:tc>
        <w:tc>
          <w:tcPr>
            <w:tcW w:w="153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D2E88EE" w14:textId="1AC69F38" w:rsidR="008D7C20" w:rsidRPr="00092ED7" w:rsidRDefault="007213A3" w:rsidP="007213A3">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621</w:t>
            </w:r>
            <w:r w:rsidR="002E0746" w:rsidRPr="00092ED7">
              <w:rPr>
                <w:rFonts w:eastAsia="Times New Roman" w:cs="Times New Roman"/>
                <w:b/>
                <w:color w:val="000000"/>
                <w:sz w:val="20"/>
                <w:szCs w:val="20"/>
                <w:lang w:val="sr-Cyrl-CS"/>
              </w:rPr>
              <w:t>.</w:t>
            </w:r>
            <w:r w:rsidRPr="00092ED7">
              <w:rPr>
                <w:rFonts w:eastAsia="Times New Roman" w:cs="Times New Roman"/>
                <w:b/>
                <w:color w:val="000000"/>
                <w:sz w:val="20"/>
                <w:szCs w:val="20"/>
                <w:lang w:val="sr-Cyrl-CS"/>
              </w:rPr>
              <w:t>163</w:t>
            </w:r>
            <w:r w:rsidR="002E0746" w:rsidRPr="00092ED7">
              <w:rPr>
                <w:rFonts w:eastAsia="Times New Roman" w:cs="Times New Roman"/>
                <w:b/>
                <w:color w:val="000000"/>
                <w:sz w:val="20"/>
                <w:szCs w:val="20"/>
                <w:lang w:val="sr-Cyrl-CS"/>
              </w:rPr>
              <w:t>.</w:t>
            </w:r>
            <w:r w:rsidRPr="00092ED7">
              <w:rPr>
                <w:rFonts w:eastAsia="Times New Roman" w:cs="Times New Roman"/>
                <w:b/>
                <w:color w:val="000000"/>
                <w:sz w:val="20"/>
                <w:szCs w:val="20"/>
                <w:lang w:val="sr-Cyrl-CS"/>
              </w:rPr>
              <w:t>653</w:t>
            </w:r>
            <w:r w:rsidR="008D7C20" w:rsidRPr="00092ED7">
              <w:rPr>
                <w:rFonts w:eastAsia="Times New Roman" w:cs="Times New Roman"/>
                <w:b/>
                <w:color w:val="000000"/>
                <w:sz w:val="20"/>
                <w:szCs w:val="20"/>
                <w:lang w:val="sr-Cyrl-CS"/>
              </w:rPr>
              <w:t>,97</w:t>
            </w:r>
          </w:p>
        </w:tc>
        <w:tc>
          <w:tcPr>
            <w:tcW w:w="162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D47D96A" w14:textId="0B68025A" w:rsidR="008D7C20" w:rsidRPr="00092ED7" w:rsidRDefault="002E0746" w:rsidP="007213A3">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1.</w:t>
            </w:r>
            <w:r w:rsidR="007213A3" w:rsidRPr="00092ED7">
              <w:rPr>
                <w:rFonts w:eastAsia="Times New Roman" w:cs="Times New Roman"/>
                <w:b/>
                <w:color w:val="000000"/>
                <w:sz w:val="20"/>
                <w:szCs w:val="20"/>
                <w:lang w:val="sr-Cyrl-CS"/>
              </w:rPr>
              <w:t>130</w:t>
            </w:r>
            <w:r w:rsidRPr="00092ED7">
              <w:rPr>
                <w:rFonts w:eastAsia="Times New Roman" w:cs="Times New Roman"/>
                <w:b/>
                <w:color w:val="000000"/>
                <w:sz w:val="20"/>
                <w:szCs w:val="20"/>
                <w:lang w:val="sr-Cyrl-CS"/>
              </w:rPr>
              <w:t>.</w:t>
            </w:r>
            <w:r w:rsidR="007213A3" w:rsidRPr="00092ED7">
              <w:rPr>
                <w:rFonts w:eastAsia="Times New Roman" w:cs="Times New Roman"/>
                <w:b/>
                <w:color w:val="000000"/>
                <w:sz w:val="20"/>
                <w:szCs w:val="20"/>
                <w:lang w:val="sr-Cyrl-CS"/>
              </w:rPr>
              <w:t>061</w:t>
            </w:r>
            <w:r w:rsidRPr="00092ED7">
              <w:rPr>
                <w:rFonts w:eastAsia="Times New Roman" w:cs="Times New Roman"/>
                <w:b/>
                <w:color w:val="000000"/>
                <w:sz w:val="20"/>
                <w:szCs w:val="20"/>
                <w:lang w:val="sr-Cyrl-CS"/>
              </w:rPr>
              <w:t>.</w:t>
            </w:r>
            <w:r w:rsidR="007213A3" w:rsidRPr="00092ED7">
              <w:rPr>
                <w:rFonts w:eastAsia="Times New Roman" w:cs="Times New Roman"/>
                <w:b/>
                <w:color w:val="000000"/>
                <w:sz w:val="20"/>
                <w:szCs w:val="20"/>
                <w:lang w:val="sr-Cyrl-CS"/>
              </w:rPr>
              <w:t>371</w:t>
            </w:r>
            <w:r w:rsidR="008D7C20" w:rsidRPr="00092ED7">
              <w:rPr>
                <w:rFonts w:eastAsia="Times New Roman" w:cs="Times New Roman"/>
                <w:b/>
                <w:color w:val="000000"/>
                <w:sz w:val="20"/>
                <w:szCs w:val="20"/>
                <w:lang w:val="sr-Cyrl-CS"/>
              </w:rPr>
              <w:t>,2</w:t>
            </w:r>
            <w:r w:rsidR="00981740" w:rsidRPr="00092ED7">
              <w:rPr>
                <w:rFonts w:eastAsia="Times New Roman" w:cs="Times New Roman"/>
                <w:b/>
                <w:color w:val="000000"/>
                <w:sz w:val="20"/>
                <w:szCs w:val="20"/>
                <w:lang w:val="sr-Cyrl-CS"/>
              </w:rPr>
              <w:t>7</w:t>
            </w:r>
          </w:p>
        </w:tc>
      </w:tr>
    </w:tbl>
    <w:p w14:paraId="7DE4B208" w14:textId="77777777" w:rsidR="008D7C20" w:rsidRPr="00092ED7" w:rsidRDefault="008D7C20" w:rsidP="001A19D5">
      <w:pPr>
        <w:spacing w:after="160" w:line="259" w:lineRule="auto"/>
        <w:jc w:val="left"/>
        <w:rPr>
          <w:rFonts w:eastAsia="Times New Roman"/>
          <w:b/>
          <w:w w:val="110"/>
          <w:sz w:val="26"/>
          <w:szCs w:val="26"/>
          <w:lang w:val="sr-Cyrl-CS"/>
        </w:rPr>
      </w:pPr>
    </w:p>
    <w:p w14:paraId="498ECDD3" w14:textId="77777777" w:rsidR="008D7C20" w:rsidRPr="00092ED7" w:rsidRDefault="008D7C20" w:rsidP="008D7C20">
      <w:pPr>
        <w:keepNext/>
        <w:keepLines/>
        <w:spacing w:after="240"/>
        <w:outlineLvl w:val="0"/>
        <w:rPr>
          <w:rFonts w:eastAsia="Times New Roman"/>
          <w:b/>
          <w:w w:val="110"/>
          <w:sz w:val="26"/>
          <w:szCs w:val="26"/>
          <w:lang w:val="sr-Cyrl-CS"/>
        </w:rPr>
        <w:sectPr w:rsidR="008D7C20" w:rsidRPr="00092ED7" w:rsidSect="00E34561">
          <w:pgSz w:w="11906" w:h="16838" w:code="9"/>
          <w:pgMar w:top="1440" w:right="1440" w:bottom="1440" w:left="1440" w:header="720" w:footer="720" w:gutter="0"/>
          <w:cols w:space="720"/>
          <w:docGrid w:linePitch="360"/>
        </w:sectPr>
      </w:pPr>
    </w:p>
    <w:p w14:paraId="067AE74E" w14:textId="77777777" w:rsidR="008D7C20" w:rsidRPr="00092ED7" w:rsidRDefault="008D7C20" w:rsidP="008D7C20">
      <w:pPr>
        <w:spacing w:after="160" w:line="259" w:lineRule="auto"/>
        <w:jc w:val="left"/>
        <w:rPr>
          <w:rFonts w:eastAsia="Times New Roman" w:cs="Times New Roman"/>
          <w:b/>
          <w:sz w:val="20"/>
          <w:szCs w:val="20"/>
          <w:lang w:val="sr-Cyrl-CS" w:eastAsia="sr-Cyrl-RS"/>
        </w:rPr>
      </w:pPr>
      <w:r w:rsidRPr="00092ED7">
        <w:rPr>
          <w:rFonts w:eastAsia="Times New Roman" w:cs="Times New Roman"/>
          <w:b/>
          <w:sz w:val="20"/>
          <w:szCs w:val="20"/>
          <w:lang w:val="sr-Cyrl-CS" w:eastAsia="sr-Cyrl-RS"/>
        </w:rPr>
        <w:t>Табела 10</w:t>
      </w:r>
      <w:r w:rsidR="00812992" w:rsidRPr="00092ED7">
        <w:rPr>
          <w:rFonts w:eastAsia="Times New Roman" w:cs="Times New Roman"/>
          <w:b/>
          <w:sz w:val="20"/>
          <w:szCs w:val="20"/>
          <w:lang w:val="sr-Cyrl-CS" w:eastAsia="sr-Cyrl-RS"/>
        </w:rPr>
        <w:t xml:space="preserve"> </w:t>
      </w:r>
      <w:r w:rsidRPr="00092ED7">
        <w:rPr>
          <w:rFonts w:eastAsia="Times New Roman" w:cs="Times New Roman"/>
          <w:b/>
          <w:sz w:val="20"/>
          <w:szCs w:val="20"/>
          <w:lang w:val="sr-Cyrl-CS" w:eastAsia="sr-Cyrl-RS"/>
        </w:rPr>
        <w:t>б: Финансирање структурних реформи у периоду 2023-2025. година у еврима</w:t>
      </w:r>
    </w:p>
    <w:tbl>
      <w:tblPr>
        <w:tblW w:w="13948" w:type="dxa"/>
        <w:tblInd w:w="-10" w:type="dxa"/>
        <w:tblLook w:val="04A0" w:firstRow="1" w:lastRow="0" w:firstColumn="1" w:lastColumn="0" w:noHBand="0" w:noVBand="1"/>
      </w:tblPr>
      <w:tblGrid>
        <w:gridCol w:w="1259"/>
        <w:gridCol w:w="1829"/>
        <w:gridCol w:w="1617"/>
        <w:gridCol w:w="1617"/>
        <w:gridCol w:w="1527"/>
        <w:gridCol w:w="1434"/>
        <w:gridCol w:w="1466"/>
        <w:gridCol w:w="1326"/>
        <w:gridCol w:w="1873"/>
      </w:tblGrid>
      <w:tr w:rsidR="008D7C20" w:rsidRPr="00092ED7" w14:paraId="3E3FEDAC"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34085209" w14:textId="77777777" w:rsidR="008D7C20" w:rsidRPr="00092ED7" w:rsidRDefault="008D7C20" w:rsidP="00812992">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1. Успостављање оквира за увођење </w:t>
            </w:r>
            <w:r w:rsidR="00812992" w:rsidRPr="00092ED7">
              <w:rPr>
                <w:rFonts w:eastAsia="Times New Roman" w:cs="Times New Roman"/>
                <w:b/>
                <w:bCs/>
                <w:sz w:val="20"/>
                <w:szCs w:val="20"/>
                <w:lang w:val="sr-Cyrl-CS"/>
              </w:rPr>
              <w:t xml:space="preserve">Гаранције </w:t>
            </w:r>
            <w:r w:rsidRPr="00092ED7">
              <w:rPr>
                <w:rFonts w:eastAsia="Times New Roman" w:cs="Times New Roman"/>
                <w:b/>
                <w:bCs/>
                <w:sz w:val="20"/>
                <w:szCs w:val="20"/>
                <w:lang w:val="sr-Cyrl-CS"/>
              </w:rPr>
              <w:t>за младе у Републици Србији</w:t>
            </w:r>
          </w:p>
        </w:tc>
      </w:tr>
      <w:tr w:rsidR="00931CF1" w:rsidRPr="00092ED7" w14:paraId="66E4885A"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358DC77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b/>
                <w:bCs/>
                <w:color w:val="000000"/>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1B2ABE6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51D6836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2D7AE88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5F38013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0292E02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57AE6E8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59D3A8A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27FB186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012D5E7C"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84FC97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57F10C8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731.250,00</w:t>
            </w:r>
          </w:p>
        </w:tc>
        <w:tc>
          <w:tcPr>
            <w:tcW w:w="1617" w:type="dxa"/>
            <w:tcBorders>
              <w:top w:val="nil"/>
              <w:left w:val="nil"/>
              <w:bottom w:val="single" w:sz="8" w:space="0" w:color="auto"/>
              <w:right w:val="single" w:sz="8" w:space="0" w:color="auto"/>
            </w:tcBorders>
            <w:shd w:val="clear" w:color="auto" w:fill="auto"/>
            <w:noWrap/>
            <w:vAlign w:val="center"/>
            <w:hideMark/>
          </w:tcPr>
          <w:p w14:paraId="557BAF7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507B9E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1472CF6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2.250,000,00</w:t>
            </w:r>
          </w:p>
        </w:tc>
        <w:tc>
          <w:tcPr>
            <w:tcW w:w="1434" w:type="dxa"/>
            <w:tcBorders>
              <w:top w:val="nil"/>
              <w:left w:val="nil"/>
              <w:bottom w:val="single" w:sz="8" w:space="0" w:color="auto"/>
              <w:right w:val="single" w:sz="8" w:space="0" w:color="auto"/>
            </w:tcBorders>
            <w:shd w:val="clear" w:color="auto" w:fill="auto"/>
            <w:noWrap/>
            <w:vAlign w:val="center"/>
            <w:hideMark/>
          </w:tcPr>
          <w:p w14:paraId="138C1E2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016E8A2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08B7B46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A913F1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2.981.250,00</w:t>
            </w:r>
          </w:p>
        </w:tc>
      </w:tr>
      <w:tr w:rsidR="00931CF1" w:rsidRPr="00092ED7" w14:paraId="6091C070"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48E7B1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291456B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618.750,00</w:t>
            </w:r>
          </w:p>
        </w:tc>
        <w:tc>
          <w:tcPr>
            <w:tcW w:w="1617" w:type="dxa"/>
            <w:tcBorders>
              <w:top w:val="nil"/>
              <w:left w:val="nil"/>
              <w:bottom w:val="single" w:sz="8" w:space="0" w:color="auto"/>
              <w:right w:val="single" w:sz="8" w:space="0" w:color="auto"/>
            </w:tcBorders>
            <w:shd w:val="clear" w:color="auto" w:fill="auto"/>
            <w:noWrap/>
            <w:vAlign w:val="center"/>
            <w:hideMark/>
          </w:tcPr>
          <w:p w14:paraId="0C4E964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DE7CA5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0049DCA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2.070.000,00</w:t>
            </w:r>
          </w:p>
        </w:tc>
        <w:tc>
          <w:tcPr>
            <w:tcW w:w="1434" w:type="dxa"/>
            <w:tcBorders>
              <w:top w:val="nil"/>
              <w:left w:val="nil"/>
              <w:bottom w:val="single" w:sz="8" w:space="0" w:color="auto"/>
              <w:right w:val="single" w:sz="8" w:space="0" w:color="auto"/>
            </w:tcBorders>
            <w:shd w:val="clear" w:color="auto" w:fill="auto"/>
            <w:noWrap/>
            <w:vAlign w:val="center"/>
            <w:hideMark/>
          </w:tcPr>
          <w:p w14:paraId="2CA18D0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4CAB905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6CCD698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1F56D0B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2.688.750,00</w:t>
            </w:r>
          </w:p>
        </w:tc>
      </w:tr>
      <w:tr w:rsidR="00931CF1" w:rsidRPr="00092ED7" w14:paraId="0F05628D"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52907F3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0C6D953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150.000,00</w:t>
            </w:r>
          </w:p>
        </w:tc>
        <w:tc>
          <w:tcPr>
            <w:tcW w:w="1617" w:type="dxa"/>
            <w:tcBorders>
              <w:top w:val="nil"/>
              <w:left w:val="nil"/>
              <w:bottom w:val="single" w:sz="8" w:space="0" w:color="auto"/>
              <w:right w:val="single" w:sz="8" w:space="0" w:color="auto"/>
            </w:tcBorders>
            <w:shd w:val="clear" w:color="auto" w:fill="auto"/>
            <w:noWrap/>
            <w:vAlign w:val="center"/>
            <w:hideMark/>
          </w:tcPr>
          <w:p w14:paraId="6300FFF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8699DE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46DB463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820.000,00</w:t>
            </w:r>
          </w:p>
        </w:tc>
        <w:tc>
          <w:tcPr>
            <w:tcW w:w="1434" w:type="dxa"/>
            <w:tcBorders>
              <w:top w:val="nil"/>
              <w:left w:val="nil"/>
              <w:bottom w:val="single" w:sz="8" w:space="0" w:color="auto"/>
              <w:right w:val="single" w:sz="8" w:space="0" w:color="auto"/>
            </w:tcBorders>
            <w:shd w:val="clear" w:color="auto" w:fill="auto"/>
            <w:noWrap/>
            <w:vAlign w:val="center"/>
            <w:hideMark/>
          </w:tcPr>
          <w:p w14:paraId="6522692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7428D29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5D23A10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AE56FF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970.000,00</w:t>
            </w:r>
          </w:p>
        </w:tc>
      </w:tr>
      <w:tr w:rsidR="008D7C20" w:rsidRPr="00092ED7" w14:paraId="5E275E94"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5CA26C73"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2. Реформа Фонда за младе таленте</w:t>
            </w:r>
          </w:p>
        </w:tc>
      </w:tr>
      <w:tr w:rsidR="00931CF1" w:rsidRPr="00092ED7" w14:paraId="3958851C"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76435B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b/>
                <w:bCs/>
                <w:color w:val="000000"/>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4A6CD70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4C8176C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1DB60D8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6C31C31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4C163B6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0BF17D3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4A5D738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7E2700D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70A3C9D4"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3F75BD1"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138A0FD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7.975.000,00</w:t>
            </w:r>
          </w:p>
        </w:tc>
        <w:tc>
          <w:tcPr>
            <w:tcW w:w="1617" w:type="dxa"/>
            <w:tcBorders>
              <w:top w:val="nil"/>
              <w:left w:val="nil"/>
              <w:bottom w:val="single" w:sz="8" w:space="0" w:color="auto"/>
              <w:right w:val="single" w:sz="8" w:space="0" w:color="auto"/>
            </w:tcBorders>
            <w:shd w:val="clear" w:color="auto" w:fill="auto"/>
            <w:noWrap/>
            <w:vAlign w:val="center"/>
            <w:hideMark/>
          </w:tcPr>
          <w:p w14:paraId="328E2CF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360616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7385FD3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7651164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115.531,00</w:t>
            </w:r>
          </w:p>
        </w:tc>
        <w:tc>
          <w:tcPr>
            <w:tcW w:w="1466" w:type="dxa"/>
            <w:tcBorders>
              <w:top w:val="nil"/>
              <w:left w:val="nil"/>
              <w:bottom w:val="single" w:sz="8" w:space="0" w:color="auto"/>
              <w:right w:val="single" w:sz="8" w:space="0" w:color="auto"/>
            </w:tcBorders>
            <w:shd w:val="clear" w:color="auto" w:fill="auto"/>
            <w:noWrap/>
            <w:vAlign w:val="center"/>
            <w:hideMark/>
          </w:tcPr>
          <w:p w14:paraId="1FD08B3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1E79ACB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CE3223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8.090.531,00</w:t>
            </w:r>
          </w:p>
        </w:tc>
      </w:tr>
      <w:tr w:rsidR="00931CF1" w:rsidRPr="00092ED7" w14:paraId="01485083"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5682B8E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6FFC95E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8.772.500,00</w:t>
            </w:r>
          </w:p>
        </w:tc>
        <w:tc>
          <w:tcPr>
            <w:tcW w:w="1617" w:type="dxa"/>
            <w:tcBorders>
              <w:top w:val="nil"/>
              <w:left w:val="nil"/>
              <w:bottom w:val="single" w:sz="8" w:space="0" w:color="auto"/>
              <w:right w:val="single" w:sz="8" w:space="0" w:color="auto"/>
            </w:tcBorders>
            <w:shd w:val="clear" w:color="auto" w:fill="auto"/>
            <w:noWrap/>
            <w:vAlign w:val="center"/>
            <w:hideMark/>
          </w:tcPr>
          <w:p w14:paraId="480F1E1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702900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085B57E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3348BF3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115.531,00</w:t>
            </w:r>
          </w:p>
        </w:tc>
        <w:tc>
          <w:tcPr>
            <w:tcW w:w="1466" w:type="dxa"/>
            <w:tcBorders>
              <w:top w:val="nil"/>
              <w:left w:val="nil"/>
              <w:bottom w:val="single" w:sz="8" w:space="0" w:color="auto"/>
              <w:right w:val="single" w:sz="8" w:space="0" w:color="auto"/>
            </w:tcBorders>
            <w:shd w:val="clear" w:color="auto" w:fill="auto"/>
            <w:noWrap/>
            <w:vAlign w:val="center"/>
            <w:hideMark/>
          </w:tcPr>
          <w:p w14:paraId="08DD847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352EB18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5B5C5C2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8.888.031,00</w:t>
            </w:r>
          </w:p>
        </w:tc>
      </w:tr>
      <w:tr w:rsidR="00931CF1" w:rsidRPr="00092ED7" w14:paraId="28722F08"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E456D3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587C60C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9.649.750,00</w:t>
            </w:r>
          </w:p>
        </w:tc>
        <w:tc>
          <w:tcPr>
            <w:tcW w:w="1617" w:type="dxa"/>
            <w:tcBorders>
              <w:top w:val="nil"/>
              <w:left w:val="nil"/>
              <w:bottom w:val="single" w:sz="8" w:space="0" w:color="auto"/>
              <w:right w:val="single" w:sz="8" w:space="0" w:color="auto"/>
            </w:tcBorders>
            <w:shd w:val="clear" w:color="auto" w:fill="auto"/>
            <w:noWrap/>
            <w:vAlign w:val="center"/>
            <w:hideMark/>
          </w:tcPr>
          <w:p w14:paraId="369895C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6B66F4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FD6A51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18876D9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115.531,00</w:t>
            </w:r>
          </w:p>
        </w:tc>
        <w:tc>
          <w:tcPr>
            <w:tcW w:w="1466" w:type="dxa"/>
            <w:tcBorders>
              <w:top w:val="nil"/>
              <w:left w:val="nil"/>
              <w:bottom w:val="single" w:sz="8" w:space="0" w:color="auto"/>
              <w:right w:val="single" w:sz="8" w:space="0" w:color="auto"/>
            </w:tcBorders>
            <w:shd w:val="clear" w:color="auto" w:fill="auto"/>
            <w:noWrap/>
            <w:vAlign w:val="center"/>
            <w:hideMark/>
          </w:tcPr>
          <w:p w14:paraId="1E833F3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2C1C541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55D35BB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9.765.281,00</w:t>
            </w:r>
          </w:p>
        </w:tc>
      </w:tr>
      <w:tr w:rsidR="008D7C20" w:rsidRPr="00092ED7" w14:paraId="2437B621"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3F831E8C"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3. Квалификације оријентисане према потребама тржишта рада</w:t>
            </w:r>
          </w:p>
        </w:tc>
      </w:tr>
      <w:tr w:rsidR="00931CF1" w:rsidRPr="00092ED7" w14:paraId="09734110"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0852DE9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6E320F1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11799CB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017E6E6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6A5E2F4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3A49543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2A2FE27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0A0F18E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003B994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5AC41947"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593AC4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2D43E64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20E56CD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C8C99A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58EE95C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53F6000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210.664,00</w:t>
            </w:r>
          </w:p>
        </w:tc>
        <w:tc>
          <w:tcPr>
            <w:tcW w:w="1466" w:type="dxa"/>
            <w:tcBorders>
              <w:top w:val="nil"/>
              <w:left w:val="nil"/>
              <w:bottom w:val="single" w:sz="8" w:space="0" w:color="auto"/>
              <w:right w:val="single" w:sz="8" w:space="0" w:color="auto"/>
            </w:tcBorders>
            <w:shd w:val="clear" w:color="auto" w:fill="auto"/>
            <w:noWrap/>
            <w:vAlign w:val="center"/>
            <w:hideMark/>
          </w:tcPr>
          <w:p w14:paraId="1F6AE16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28.300.000,00</w:t>
            </w:r>
          </w:p>
        </w:tc>
        <w:tc>
          <w:tcPr>
            <w:tcW w:w="1326" w:type="dxa"/>
            <w:tcBorders>
              <w:top w:val="nil"/>
              <w:left w:val="nil"/>
              <w:bottom w:val="single" w:sz="8" w:space="0" w:color="auto"/>
              <w:right w:val="single" w:sz="8" w:space="0" w:color="auto"/>
            </w:tcBorders>
            <w:shd w:val="clear" w:color="auto" w:fill="auto"/>
            <w:noWrap/>
            <w:vAlign w:val="center"/>
            <w:hideMark/>
          </w:tcPr>
          <w:p w14:paraId="625631B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1FBE18A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28.510.664,00</w:t>
            </w:r>
          </w:p>
        </w:tc>
      </w:tr>
      <w:tr w:rsidR="00931CF1" w:rsidRPr="00092ED7" w14:paraId="2CA4E1BB"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300AA07F"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22BBEA9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50.000,00</w:t>
            </w:r>
          </w:p>
        </w:tc>
        <w:tc>
          <w:tcPr>
            <w:tcW w:w="1617" w:type="dxa"/>
            <w:tcBorders>
              <w:top w:val="nil"/>
              <w:left w:val="nil"/>
              <w:bottom w:val="single" w:sz="8" w:space="0" w:color="auto"/>
              <w:right w:val="single" w:sz="8" w:space="0" w:color="auto"/>
            </w:tcBorders>
            <w:shd w:val="clear" w:color="auto" w:fill="auto"/>
            <w:noWrap/>
            <w:vAlign w:val="center"/>
            <w:hideMark/>
          </w:tcPr>
          <w:p w14:paraId="1E23CDD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5E9C9E4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970D63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38D706A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67.364,00</w:t>
            </w:r>
          </w:p>
        </w:tc>
        <w:tc>
          <w:tcPr>
            <w:tcW w:w="1466" w:type="dxa"/>
            <w:tcBorders>
              <w:top w:val="nil"/>
              <w:left w:val="nil"/>
              <w:bottom w:val="single" w:sz="8" w:space="0" w:color="auto"/>
              <w:right w:val="single" w:sz="8" w:space="0" w:color="auto"/>
            </w:tcBorders>
            <w:shd w:val="clear" w:color="auto" w:fill="auto"/>
            <w:noWrap/>
            <w:vAlign w:val="center"/>
            <w:hideMark/>
          </w:tcPr>
          <w:p w14:paraId="2C27D6A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7.518.700,00</w:t>
            </w:r>
          </w:p>
        </w:tc>
        <w:tc>
          <w:tcPr>
            <w:tcW w:w="1326" w:type="dxa"/>
            <w:tcBorders>
              <w:top w:val="nil"/>
              <w:left w:val="nil"/>
              <w:bottom w:val="single" w:sz="8" w:space="0" w:color="auto"/>
              <w:right w:val="single" w:sz="8" w:space="0" w:color="auto"/>
            </w:tcBorders>
            <w:shd w:val="clear" w:color="auto" w:fill="auto"/>
            <w:noWrap/>
            <w:vAlign w:val="center"/>
            <w:hideMark/>
          </w:tcPr>
          <w:p w14:paraId="0F62297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43DDBCE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7.636.064,00</w:t>
            </w:r>
          </w:p>
        </w:tc>
      </w:tr>
      <w:tr w:rsidR="00931CF1" w:rsidRPr="00092ED7" w14:paraId="3EE64629"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C74876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2D7BEE7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677EF8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22BB1A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214C322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032E03F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29.100,00</w:t>
            </w:r>
          </w:p>
        </w:tc>
        <w:tc>
          <w:tcPr>
            <w:tcW w:w="1466" w:type="dxa"/>
            <w:tcBorders>
              <w:top w:val="nil"/>
              <w:left w:val="nil"/>
              <w:bottom w:val="single" w:sz="8" w:space="0" w:color="auto"/>
              <w:right w:val="single" w:sz="8" w:space="0" w:color="auto"/>
            </w:tcBorders>
            <w:shd w:val="clear" w:color="auto" w:fill="auto"/>
            <w:noWrap/>
            <w:vAlign w:val="center"/>
            <w:hideMark/>
          </w:tcPr>
          <w:p w14:paraId="175B4B9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246EA09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4312AF9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29.100,00</w:t>
            </w:r>
          </w:p>
        </w:tc>
      </w:tr>
      <w:tr w:rsidR="008D7C20" w:rsidRPr="00092ED7" w14:paraId="61B134CB"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31E6FBC"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4. Унапређење амбијента за подстицање, подршку и праћење циркуларних и економских миграција</w:t>
            </w:r>
          </w:p>
        </w:tc>
      </w:tr>
      <w:tr w:rsidR="00931CF1" w:rsidRPr="00092ED7" w14:paraId="737D7336"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643441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3D98C36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288C5EF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2C23235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5B0E6CC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537021C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0FCBAE9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13F4FF7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38FA403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52E8C607"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EB9CF8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295B8A6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7DA07E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26F263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D1A671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38F0FBE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389.000,00</w:t>
            </w:r>
          </w:p>
        </w:tc>
        <w:tc>
          <w:tcPr>
            <w:tcW w:w="1466" w:type="dxa"/>
            <w:tcBorders>
              <w:top w:val="nil"/>
              <w:left w:val="nil"/>
              <w:bottom w:val="single" w:sz="8" w:space="0" w:color="auto"/>
              <w:right w:val="single" w:sz="8" w:space="0" w:color="auto"/>
            </w:tcBorders>
            <w:shd w:val="clear" w:color="auto" w:fill="auto"/>
            <w:noWrap/>
            <w:vAlign w:val="center"/>
            <w:hideMark/>
          </w:tcPr>
          <w:p w14:paraId="0FFB8E2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4089367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6AFBA4A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389.000,00</w:t>
            </w:r>
          </w:p>
        </w:tc>
      </w:tr>
      <w:tr w:rsidR="00931CF1" w:rsidRPr="00092ED7" w14:paraId="5DD88D50"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701E44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2E9EE9D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217E58A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71B5C8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FB87AE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2350F3E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406.000,00</w:t>
            </w:r>
          </w:p>
        </w:tc>
        <w:tc>
          <w:tcPr>
            <w:tcW w:w="1466" w:type="dxa"/>
            <w:tcBorders>
              <w:top w:val="nil"/>
              <w:left w:val="nil"/>
              <w:bottom w:val="single" w:sz="8" w:space="0" w:color="auto"/>
              <w:right w:val="single" w:sz="8" w:space="0" w:color="auto"/>
            </w:tcBorders>
            <w:shd w:val="clear" w:color="auto" w:fill="auto"/>
            <w:noWrap/>
            <w:vAlign w:val="center"/>
            <w:hideMark/>
          </w:tcPr>
          <w:p w14:paraId="73A9868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499C0B2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264533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406.000,00</w:t>
            </w:r>
          </w:p>
        </w:tc>
      </w:tr>
      <w:tr w:rsidR="00931CF1" w:rsidRPr="00092ED7" w14:paraId="7B263B22"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57B2225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67DC19C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1D5CDA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23F116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488C5E5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4C0AFA2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421.000,00</w:t>
            </w:r>
          </w:p>
        </w:tc>
        <w:tc>
          <w:tcPr>
            <w:tcW w:w="1466" w:type="dxa"/>
            <w:tcBorders>
              <w:top w:val="nil"/>
              <w:left w:val="nil"/>
              <w:bottom w:val="single" w:sz="8" w:space="0" w:color="auto"/>
              <w:right w:val="single" w:sz="8" w:space="0" w:color="auto"/>
            </w:tcBorders>
            <w:shd w:val="clear" w:color="auto" w:fill="auto"/>
            <w:noWrap/>
            <w:vAlign w:val="center"/>
            <w:hideMark/>
          </w:tcPr>
          <w:p w14:paraId="5C2A725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63726AB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77413B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421.000,00</w:t>
            </w:r>
          </w:p>
        </w:tc>
      </w:tr>
      <w:tr w:rsidR="008D7C20" w:rsidRPr="00092ED7" w14:paraId="0F202C9D"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4B782C3"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5. Унапређење квалитета пружања јавних услуга кроз оптимизацију и дигитализацију административних поступака – е-Папир</w:t>
            </w:r>
          </w:p>
        </w:tc>
      </w:tr>
      <w:tr w:rsidR="00931CF1" w:rsidRPr="00092ED7" w14:paraId="19231994" w14:textId="77777777" w:rsidTr="00812992">
        <w:trPr>
          <w:trHeight w:val="645"/>
        </w:trPr>
        <w:tc>
          <w:tcPr>
            <w:tcW w:w="1259" w:type="dxa"/>
            <w:tcBorders>
              <w:top w:val="nil"/>
              <w:left w:val="single" w:sz="8" w:space="0" w:color="auto"/>
              <w:bottom w:val="single" w:sz="4" w:space="0" w:color="auto"/>
              <w:right w:val="single" w:sz="8" w:space="0" w:color="auto"/>
            </w:tcBorders>
            <w:shd w:val="clear" w:color="auto" w:fill="auto"/>
            <w:noWrap/>
            <w:vAlign w:val="center"/>
            <w:hideMark/>
          </w:tcPr>
          <w:p w14:paraId="605C383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4" w:space="0" w:color="auto"/>
              <w:right w:val="single" w:sz="8" w:space="0" w:color="auto"/>
            </w:tcBorders>
            <w:shd w:val="clear" w:color="auto" w:fill="auto"/>
            <w:vAlign w:val="center"/>
            <w:hideMark/>
          </w:tcPr>
          <w:p w14:paraId="4CE62E4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4" w:space="0" w:color="auto"/>
              <w:right w:val="single" w:sz="8" w:space="0" w:color="auto"/>
            </w:tcBorders>
            <w:shd w:val="clear" w:color="auto" w:fill="auto"/>
            <w:noWrap/>
            <w:vAlign w:val="center"/>
            <w:hideMark/>
          </w:tcPr>
          <w:p w14:paraId="358A943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4" w:space="0" w:color="auto"/>
              <w:right w:val="single" w:sz="8" w:space="0" w:color="auto"/>
            </w:tcBorders>
            <w:shd w:val="clear" w:color="auto" w:fill="auto"/>
            <w:vAlign w:val="center"/>
            <w:hideMark/>
          </w:tcPr>
          <w:p w14:paraId="2064D8D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4" w:space="0" w:color="auto"/>
              <w:right w:val="single" w:sz="8" w:space="0" w:color="auto"/>
            </w:tcBorders>
            <w:shd w:val="clear" w:color="auto" w:fill="auto"/>
            <w:noWrap/>
            <w:vAlign w:val="center"/>
            <w:hideMark/>
          </w:tcPr>
          <w:p w14:paraId="57DEDE2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4" w:space="0" w:color="auto"/>
              <w:right w:val="single" w:sz="8" w:space="0" w:color="auto"/>
            </w:tcBorders>
            <w:shd w:val="clear" w:color="auto" w:fill="auto"/>
            <w:noWrap/>
            <w:vAlign w:val="center"/>
            <w:hideMark/>
          </w:tcPr>
          <w:p w14:paraId="1BFCA32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4" w:space="0" w:color="auto"/>
              <w:right w:val="single" w:sz="8" w:space="0" w:color="auto"/>
            </w:tcBorders>
            <w:shd w:val="clear" w:color="auto" w:fill="auto"/>
            <w:noWrap/>
            <w:vAlign w:val="center"/>
            <w:hideMark/>
          </w:tcPr>
          <w:p w14:paraId="460B0E9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4" w:space="0" w:color="auto"/>
              <w:right w:val="single" w:sz="8" w:space="0" w:color="auto"/>
            </w:tcBorders>
            <w:shd w:val="clear" w:color="auto" w:fill="auto"/>
            <w:noWrap/>
            <w:vAlign w:val="center"/>
            <w:hideMark/>
          </w:tcPr>
          <w:p w14:paraId="313B9C6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4" w:space="0" w:color="auto"/>
              <w:right w:val="single" w:sz="8" w:space="0" w:color="auto"/>
            </w:tcBorders>
            <w:shd w:val="clear" w:color="auto" w:fill="auto"/>
            <w:noWrap/>
            <w:vAlign w:val="center"/>
            <w:hideMark/>
          </w:tcPr>
          <w:p w14:paraId="56EB3A2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20570FE6" w14:textId="77777777" w:rsidTr="00812992">
        <w:trPr>
          <w:trHeight w:val="330"/>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8FEB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04B9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0674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6C1A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0A3C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613.000,00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7B6E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180.000,00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16D53" w14:textId="302EE48D" w:rsidR="008D7C20" w:rsidRPr="00092ED7" w:rsidRDefault="00CD7B23"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866.760,00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BF11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C63A2" w14:textId="1202D55C" w:rsidR="008D7C20" w:rsidRPr="00092ED7" w:rsidRDefault="00CD7B23"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1.659.760,00</w:t>
            </w:r>
          </w:p>
        </w:tc>
      </w:tr>
      <w:tr w:rsidR="00931CF1" w:rsidRPr="00092ED7" w14:paraId="2DC1A096" w14:textId="77777777" w:rsidTr="00812992">
        <w:trPr>
          <w:trHeight w:val="330"/>
        </w:trPr>
        <w:tc>
          <w:tcPr>
            <w:tcW w:w="125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709C06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single" w:sz="4" w:space="0" w:color="auto"/>
              <w:left w:val="nil"/>
              <w:bottom w:val="single" w:sz="8" w:space="0" w:color="auto"/>
              <w:right w:val="single" w:sz="8" w:space="0" w:color="auto"/>
            </w:tcBorders>
            <w:shd w:val="clear" w:color="auto" w:fill="auto"/>
            <w:noWrap/>
            <w:vAlign w:val="center"/>
            <w:hideMark/>
          </w:tcPr>
          <w:p w14:paraId="5C27CF3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7E4564F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473F5ED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nil"/>
              <w:bottom w:val="single" w:sz="8" w:space="0" w:color="auto"/>
              <w:right w:val="single" w:sz="8" w:space="0" w:color="auto"/>
            </w:tcBorders>
            <w:shd w:val="clear" w:color="auto" w:fill="auto"/>
            <w:noWrap/>
            <w:vAlign w:val="center"/>
            <w:hideMark/>
          </w:tcPr>
          <w:p w14:paraId="6525B1A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945.000.00</w:t>
            </w:r>
          </w:p>
        </w:tc>
        <w:tc>
          <w:tcPr>
            <w:tcW w:w="1434" w:type="dxa"/>
            <w:tcBorders>
              <w:top w:val="single" w:sz="4" w:space="0" w:color="auto"/>
              <w:left w:val="nil"/>
              <w:bottom w:val="single" w:sz="8" w:space="0" w:color="auto"/>
              <w:right w:val="single" w:sz="8" w:space="0" w:color="auto"/>
            </w:tcBorders>
            <w:shd w:val="clear" w:color="auto" w:fill="auto"/>
            <w:noWrap/>
            <w:vAlign w:val="center"/>
            <w:hideMark/>
          </w:tcPr>
          <w:p w14:paraId="721DF85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35.000,00</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14:paraId="02CCE7D1" w14:textId="11BFDFA0" w:rsidR="008D7C20" w:rsidRPr="00092ED7" w:rsidRDefault="00CD7B23"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1.405.240,00</w:t>
            </w:r>
          </w:p>
        </w:tc>
        <w:tc>
          <w:tcPr>
            <w:tcW w:w="1326" w:type="dxa"/>
            <w:tcBorders>
              <w:top w:val="single" w:sz="4" w:space="0" w:color="auto"/>
              <w:left w:val="nil"/>
              <w:bottom w:val="single" w:sz="8" w:space="0" w:color="auto"/>
              <w:right w:val="single" w:sz="8" w:space="0" w:color="auto"/>
            </w:tcBorders>
            <w:shd w:val="clear" w:color="auto" w:fill="auto"/>
            <w:noWrap/>
            <w:vAlign w:val="center"/>
            <w:hideMark/>
          </w:tcPr>
          <w:p w14:paraId="09E5F80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nil"/>
              <w:bottom w:val="single" w:sz="8" w:space="0" w:color="auto"/>
              <w:right w:val="single" w:sz="8" w:space="0" w:color="auto"/>
            </w:tcBorders>
            <w:shd w:val="clear" w:color="auto" w:fill="auto"/>
            <w:noWrap/>
            <w:vAlign w:val="center"/>
            <w:hideMark/>
          </w:tcPr>
          <w:p w14:paraId="5669A3E6" w14:textId="08F2AF41" w:rsidR="008D7C20" w:rsidRPr="00092ED7" w:rsidRDefault="00CD7B23"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2.385.240,00</w:t>
            </w:r>
          </w:p>
        </w:tc>
      </w:tr>
      <w:tr w:rsidR="00931CF1" w:rsidRPr="00092ED7" w14:paraId="72F95098"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783A769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75E3EEA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4480D5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B344F6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40D7980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637.000,00</w:t>
            </w:r>
          </w:p>
        </w:tc>
        <w:tc>
          <w:tcPr>
            <w:tcW w:w="1434" w:type="dxa"/>
            <w:tcBorders>
              <w:top w:val="nil"/>
              <w:left w:val="nil"/>
              <w:bottom w:val="single" w:sz="8" w:space="0" w:color="auto"/>
              <w:right w:val="single" w:sz="8" w:space="0" w:color="auto"/>
            </w:tcBorders>
            <w:shd w:val="clear" w:color="auto" w:fill="auto"/>
            <w:noWrap/>
            <w:vAlign w:val="center"/>
            <w:hideMark/>
          </w:tcPr>
          <w:p w14:paraId="29F054C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03F14963" w14:textId="613A17F1" w:rsidR="008D7C20" w:rsidRPr="00092ED7" w:rsidRDefault="00CD7B23"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550.000,00</w:t>
            </w:r>
          </w:p>
        </w:tc>
        <w:tc>
          <w:tcPr>
            <w:tcW w:w="1326" w:type="dxa"/>
            <w:tcBorders>
              <w:top w:val="nil"/>
              <w:left w:val="nil"/>
              <w:bottom w:val="single" w:sz="8" w:space="0" w:color="auto"/>
              <w:right w:val="single" w:sz="8" w:space="0" w:color="auto"/>
            </w:tcBorders>
            <w:shd w:val="clear" w:color="auto" w:fill="auto"/>
            <w:noWrap/>
            <w:vAlign w:val="center"/>
            <w:hideMark/>
          </w:tcPr>
          <w:p w14:paraId="5A990E7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CCBD6B9" w14:textId="0CB575C2" w:rsidR="008D7C20" w:rsidRPr="00092ED7" w:rsidRDefault="00CD7B23"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1.187.000,00</w:t>
            </w:r>
          </w:p>
        </w:tc>
      </w:tr>
      <w:tr w:rsidR="008D7C20" w:rsidRPr="00092ED7" w14:paraId="4AB88FF4"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195CBCE"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6. Одрживо и ефикасно управљање привредним субјектима у власништву Републике Србије</w:t>
            </w:r>
          </w:p>
        </w:tc>
      </w:tr>
      <w:tr w:rsidR="00931CF1" w:rsidRPr="00092ED7" w14:paraId="729D1DBA"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5774F9F"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6D36414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55733BA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40C5317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680879D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28377A3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73573CA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74BFD6B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7E9D464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6D4CFBAD"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08A5AF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26D15D7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8FBC25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7D5ABC0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1CED06A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4C251CE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68.504,00</w:t>
            </w:r>
          </w:p>
        </w:tc>
        <w:tc>
          <w:tcPr>
            <w:tcW w:w="1466" w:type="dxa"/>
            <w:tcBorders>
              <w:top w:val="nil"/>
              <w:left w:val="nil"/>
              <w:bottom w:val="single" w:sz="8" w:space="0" w:color="auto"/>
              <w:right w:val="single" w:sz="8" w:space="0" w:color="auto"/>
            </w:tcBorders>
            <w:shd w:val="clear" w:color="auto" w:fill="auto"/>
            <w:noWrap/>
            <w:vAlign w:val="center"/>
            <w:hideMark/>
          </w:tcPr>
          <w:p w14:paraId="46D24A1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0C7055F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4C9E3B1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68.504,00</w:t>
            </w:r>
          </w:p>
        </w:tc>
      </w:tr>
      <w:tr w:rsidR="00931CF1" w:rsidRPr="00092ED7" w14:paraId="228E9744"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3D60096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285530C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73BED0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101C12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B5B95D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4390141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095F005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1C9C982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E85800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931CF1" w:rsidRPr="00092ED7" w14:paraId="18CE7F46"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534DE10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6DBF5EE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1A9949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1B5833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B7807E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76D4463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4895A9D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30A116B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2EF219A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8D7C20" w:rsidRPr="00092ED7" w14:paraId="1389927B"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4F559FA"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7. Развој домаћег тржишта капитала и обезбеђивање већег степена заштите инвеститора</w:t>
            </w:r>
          </w:p>
        </w:tc>
      </w:tr>
      <w:tr w:rsidR="00931CF1" w:rsidRPr="00092ED7" w14:paraId="48BCE97D"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FC5372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6BE27F8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6B444BF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36242E3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250D867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12ED3E1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327368D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108A0FA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1B87EDD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219C2E9B"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2562EB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0F4ACED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12.100,00</w:t>
            </w:r>
          </w:p>
        </w:tc>
        <w:tc>
          <w:tcPr>
            <w:tcW w:w="1617" w:type="dxa"/>
            <w:tcBorders>
              <w:top w:val="nil"/>
              <w:left w:val="nil"/>
              <w:bottom w:val="single" w:sz="8" w:space="0" w:color="auto"/>
              <w:right w:val="single" w:sz="8" w:space="0" w:color="auto"/>
            </w:tcBorders>
            <w:shd w:val="clear" w:color="auto" w:fill="auto"/>
            <w:noWrap/>
            <w:vAlign w:val="center"/>
            <w:hideMark/>
          </w:tcPr>
          <w:p w14:paraId="43EDD5F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6361FA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5680E2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73F2A2A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3E5720B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2F8EAE9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FCC09A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12.100,00</w:t>
            </w:r>
          </w:p>
        </w:tc>
      </w:tr>
      <w:tr w:rsidR="00931CF1" w:rsidRPr="00092ED7" w14:paraId="2BC9978D"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7FB4B45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52776B1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24.200,00</w:t>
            </w:r>
          </w:p>
        </w:tc>
        <w:tc>
          <w:tcPr>
            <w:tcW w:w="1617" w:type="dxa"/>
            <w:tcBorders>
              <w:top w:val="nil"/>
              <w:left w:val="nil"/>
              <w:bottom w:val="single" w:sz="8" w:space="0" w:color="auto"/>
              <w:right w:val="single" w:sz="8" w:space="0" w:color="auto"/>
            </w:tcBorders>
            <w:shd w:val="clear" w:color="auto" w:fill="auto"/>
            <w:noWrap/>
            <w:vAlign w:val="center"/>
            <w:hideMark/>
          </w:tcPr>
          <w:p w14:paraId="4A54F49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838933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D743B3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1F11449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7482106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3CBB2EC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73FF7F7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24.200,00</w:t>
            </w:r>
          </w:p>
        </w:tc>
      </w:tr>
      <w:tr w:rsidR="00931CF1" w:rsidRPr="00092ED7" w14:paraId="5F77F91A"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FC7D35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60047A2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26CE8B8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5CCB625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01890C4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01A8199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28EA98F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4AFBECC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DB8393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8D7C20" w:rsidRPr="00092ED7" w14:paraId="3C57DD24"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89C3988"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8. Унапређење енергетске ефикасности кроз стварање услова за примену енергетског означавања и екодизајна, као и кроз подстицаје за унапређење енергетске ефикасности</w:t>
            </w:r>
          </w:p>
        </w:tc>
      </w:tr>
      <w:tr w:rsidR="00931CF1" w:rsidRPr="00092ED7" w14:paraId="2CE2038F"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1CB738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451C373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667F412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3AF2440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7B28FE2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6EAC470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622D145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7671DD6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094811D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0AD5CF23"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75AF483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607303FB" w14:textId="6B35D742" w:rsidR="008D7C20" w:rsidRPr="00092ED7" w:rsidRDefault="008D7C20" w:rsidP="003D1D17">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w:t>
            </w:r>
            <w:r w:rsidR="00517844" w:rsidRPr="00092ED7">
              <w:rPr>
                <w:rFonts w:eastAsia="Times New Roman" w:cs="Times New Roman"/>
                <w:color w:val="000000"/>
                <w:sz w:val="20"/>
                <w:szCs w:val="20"/>
                <w:lang w:val="sr-Cyrl-CS"/>
              </w:rPr>
              <w:t>279</w:t>
            </w:r>
            <w:r w:rsidRPr="00092ED7">
              <w:rPr>
                <w:rFonts w:eastAsia="Times New Roman" w:cs="Times New Roman"/>
                <w:color w:val="000000"/>
                <w:sz w:val="20"/>
                <w:szCs w:val="20"/>
                <w:lang w:val="sr-Cyrl-CS"/>
              </w:rPr>
              <w:t>.</w:t>
            </w:r>
            <w:r w:rsidR="00517844" w:rsidRPr="00092ED7">
              <w:rPr>
                <w:rFonts w:eastAsia="Times New Roman" w:cs="Times New Roman"/>
                <w:color w:val="000000"/>
                <w:sz w:val="20"/>
                <w:szCs w:val="20"/>
                <w:lang w:val="sr-Cyrl-CS"/>
              </w:rPr>
              <w:t>467</w:t>
            </w:r>
            <w:r w:rsidRPr="00092ED7">
              <w:rPr>
                <w:rFonts w:eastAsia="Times New Roman" w:cs="Times New Roman"/>
                <w:color w:val="000000"/>
                <w:sz w:val="20"/>
                <w:szCs w:val="20"/>
                <w:lang w:val="sr-Cyrl-CS"/>
              </w:rPr>
              <w:t>,</w:t>
            </w:r>
            <w:r w:rsidR="00517844" w:rsidRPr="00092ED7">
              <w:rPr>
                <w:rFonts w:eastAsia="Times New Roman" w:cs="Times New Roman"/>
                <w:color w:val="000000"/>
                <w:sz w:val="20"/>
                <w:szCs w:val="20"/>
                <w:lang w:val="sr-Cyrl-CS"/>
              </w:rPr>
              <w:t>67</w:t>
            </w:r>
          </w:p>
        </w:tc>
        <w:tc>
          <w:tcPr>
            <w:tcW w:w="1617" w:type="dxa"/>
            <w:tcBorders>
              <w:top w:val="nil"/>
              <w:left w:val="nil"/>
              <w:bottom w:val="single" w:sz="8" w:space="0" w:color="auto"/>
              <w:right w:val="single" w:sz="8" w:space="0" w:color="auto"/>
            </w:tcBorders>
            <w:shd w:val="clear" w:color="auto" w:fill="auto"/>
            <w:noWrap/>
            <w:vAlign w:val="center"/>
            <w:hideMark/>
          </w:tcPr>
          <w:p w14:paraId="376C9A7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1.610.163,33</w:t>
            </w:r>
          </w:p>
        </w:tc>
        <w:tc>
          <w:tcPr>
            <w:tcW w:w="1617" w:type="dxa"/>
            <w:tcBorders>
              <w:top w:val="nil"/>
              <w:left w:val="nil"/>
              <w:bottom w:val="single" w:sz="8" w:space="0" w:color="auto"/>
              <w:right w:val="single" w:sz="8" w:space="0" w:color="auto"/>
            </w:tcBorders>
            <w:shd w:val="clear" w:color="auto" w:fill="auto"/>
            <w:noWrap/>
            <w:vAlign w:val="center"/>
            <w:hideMark/>
          </w:tcPr>
          <w:p w14:paraId="5C6E786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150D2770" w14:textId="0B8FE482"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517844" w:rsidRPr="00092ED7">
              <w:rPr>
                <w:rFonts w:eastAsia="Times New Roman" w:cs="Times New Roman"/>
                <w:color w:val="000000"/>
                <w:sz w:val="20"/>
                <w:szCs w:val="20"/>
                <w:lang w:val="sr-Cyrl-CS"/>
              </w:rPr>
              <w:t>0</w:t>
            </w:r>
            <w:r w:rsidRPr="00092ED7">
              <w:rPr>
                <w:rFonts w:eastAsia="Times New Roman" w:cs="Times New Roman"/>
                <w:color w:val="000000"/>
                <w:sz w:val="20"/>
                <w:szCs w:val="20"/>
                <w:lang w:val="sr-Cyrl-CS"/>
              </w:rPr>
              <w:t>00.000,00</w:t>
            </w:r>
          </w:p>
        </w:tc>
        <w:tc>
          <w:tcPr>
            <w:tcW w:w="1434" w:type="dxa"/>
            <w:tcBorders>
              <w:top w:val="nil"/>
              <w:left w:val="nil"/>
              <w:bottom w:val="single" w:sz="8" w:space="0" w:color="auto"/>
              <w:right w:val="single" w:sz="8" w:space="0" w:color="auto"/>
            </w:tcBorders>
            <w:shd w:val="clear" w:color="auto" w:fill="auto"/>
            <w:noWrap/>
            <w:vAlign w:val="center"/>
            <w:hideMark/>
          </w:tcPr>
          <w:p w14:paraId="34AEB36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2D2452D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11.735.000,00</w:t>
            </w:r>
          </w:p>
        </w:tc>
        <w:tc>
          <w:tcPr>
            <w:tcW w:w="1326" w:type="dxa"/>
            <w:tcBorders>
              <w:top w:val="nil"/>
              <w:left w:val="nil"/>
              <w:bottom w:val="single" w:sz="8" w:space="0" w:color="auto"/>
              <w:right w:val="single" w:sz="8" w:space="0" w:color="auto"/>
            </w:tcBorders>
            <w:shd w:val="clear" w:color="auto" w:fill="auto"/>
            <w:noWrap/>
            <w:vAlign w:val="center"/>
            <w:hideMark/>
          </w:tcPr>
          <w:p w14:paraId="658B3B0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29646079" w14:textId="626A0934" w:rsidR="008D7C20" w:rsidRPr="00092ED7" w:rsidRDefault="008D7C20" w:rsidP="003D1D17">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18.</w:t>
            </w:r>
            <w:r w:rsidR="00517844" w:rsidRPr="00092ED7">
              <w:rPr>
                <w:rFonts w:eastAsia="Times New Roman" w:cs="Times New Roman"/>
                <w:color w:val="000000"/>
                <w:sz w:val="20"/>
                <w:szCs w:val="20"/>
                <w:lang w:val="sr-Cyrl-CS"/>
              </w:rPr>
              <w:t>624</w:t>
            </w:r>
            <w:r w:rsidRPr="00092ED7">
              <w:rPr>
                <w:rFonts w:eastAsia="Times New Roman" w:cs="Times New Roman"/>
                <w:color w:val="000000"/>
                <w:sz w:val="20"/>
                <w:szCs w:val="20"/>
                <w:lang w:val="sr-Cyrl-CS"/>
              </w:rPr>
              <w:t>.</w:t>
            </w:r>
            <w:r w:rsidR="00517844" w:rsidRPr="00092ED7">
              <w:rPr>
                <w:rFonts w:eastAsia="Times New Roman" w:cs="Times New Roman"/>
                <w:color w:val="000000"/>
                <w:sz w:val="20"/>
                <w:szCs w:val="20"/>
                <w:lang w:val="sr-Cyrl-CS"/>
              </w:rPr>
              <w:t>631</w:t>
            </w:r>
            <w:r w:rsidRPr="00092ED7">
              <w:rPr>
                <w:rFonts w:eastAsia="Times New Roman" w:cs="Times New Roman"/>
                <w:color w:val="000000"/>
                <w:sz w:val="20"/>
                <w:szCs w:val="20"/>
                <w:lang w:val="sr-Cyrl-CS"/>
              </w:rPr>
              <w:t>,</w:t>
            </w:r>
            <w:r w:rsidR="00517844" w:rsidRPr="00092ED7">
              <w:rPr>
                <w:rFonts w:eastAsia="Times New Roman" w:cs="Times New Roman"/>
                <w:color w:val="000000"/>
                <w:sz w:val="20"/>
                <w:szCs w:val="20"/>
                <w:lang w:val="sr-Cyrl-CS"/>
              </w:rPr>
              <w:t>00</w:t>
            </w:r>
          </w:p>
        </w:tc>
      </w:tr>
      <w:tr w:rsidR="00931CF1" w:rsidRPr="00092ED7" w14:paraId="307DBD5D"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77828A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67BBD486" w14:textId="26A95FA9" w:rsidR="008D7C20" w:rsidRPr="00092ED7" w:rsidRDefault="008D7C20" w:rsidP="003D1D17">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w:t>
            </w:r>
            <w:r w:rsidR="00517844" w:rsidRPr="00092ED7">
              <w:rPr>
                <w:rFonts w:eastAsia="Times New Roman" w:cs="Times New Roman"/>
                <w:color w:val="000000"/>
                <w:sz w:val="20"/>
                <w:szCs w:val="20"/>
                <w:lang w:val="sr-Cyrl-CS"/>
              </w:rPr>
              <w:t>279</w:t>
            </w:r>
            <w:r w:rsidRPr="00092ED7">
              <w:rPr>
                <w:rFonts w:eastAsia="Times New Roman" w:cs="Times New Roman"/>
                <w:color w:val="000000"/>
                <w:sz w:val="20"/>
                <w:szCs w:val="20"/>
                <w:lang w:val="sr-Cyrl-CS"/>
              </w:rPr>
              <w:t>.</w:t>
            </w:r>
            <w:r w:rsidR="00517844" w:rsidRPr="00092ED7">
              <w:rPr>
                <w:rFonts w:eastAsia="Times New Roman" w:cs="Times New Roman"/>
                <w:color w:val="000000"/>
                <w:sz w:val="20"/>
                <w:szCs w:val="20"/>
                <w:lang w:val="sr-Cyrl-CS"/>
              </w:rPr>
              <w:t>467</w:t>
            </w:r>
            <w:r w:rsidRPr="00092ED7">
              <w:rPr>
                <w:rFonts w:eastAsia="Times New Roman" w:cs="Times New Roman"/>
                <w:color w:val="000000"/>
                <w:sz w:val="20"/>
                <w:szCs w:val="20"/>
                <w:lang w:val="sr-Cyrl-CS"/>
              </w:rPr>
              <w:t>,</w:t>
            </w:r>
            <w:r w:rsidR="00517844" w:rsidRPr="00092ED7">
              <w:rPr>
                <w:rFonts w:eastAsia="Times New Roman" w:cs="Times New Roman"/>
                <w:color w:val="000000"/>
                <w:sz w:val="20"/>
                <w:szCs w:val="20"/>
                <w:lang w:val="sr-Cyrl-CS"/>
              </w:rPr>
              <w:t>67</w:t>
            </w:r>
          </w:p>
        </w:tc>
        <w:tc>
          <w:tcPr>
            <w:tcW w:w="1617" w:type="dxa"/>
            <w:tcBorders>
              <w:top w:val="nil"/>
              <w:left w:val="nil"/>
              <w:bottom w:val="single" w:sz="8" w:space="0" w:color="auto"/>
              <w:right w:val="single" w:sz="8" w:space="0" w:color="auto"/>
            </w:tcBorders>
            <w:shd w:val="clear" w:color="auto" w:fill="auto"/>
            <w:noWrap/>
            <w:vAlign w:val="center"/>
            <w:hideMark/>
          </w:tcPr>
          <w:p w14:paraId="2BD4F45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1.610.163,33</w:t>
            </w:r>
          </w:p>
        </w:tc>
        <w:tc>
          <w:tcPr>
            <w:tcW w:w="1617" w:type="dxa"/>
            <w:tcBorders>
              <w:top w:val="nil"/>
              <w:left w:val="nil"/>
              <w:bottom w:val="single" w:sz="8" w:space="0" w:color="auto"/>
              <w:right w:val="single" w:sz="8" w:space="0" w:color="auto"/>
            </w:tcBorders>
            <w:shd w:val="clear" w:color="auto" w:fill="auto"/>
            <w:noWrap/>
            <w:vAlign w:val="center"/>
            <w:hideMark/>
          </w:tcPr>
          <w:p w14:paraId="23ADA6E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57E815AD" w14:textId="65C72D40"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w:t>
            </w:r>
            <w:r w:rsidR="00517844" w:rsidRPr="00092ED7">
              <w:rPr>
                <w:rFonts w:eastAsia="Times New Roman" w:cs="Times New Roman"/>
                <w:color w:val="000000"/>
                <w:sz w:val="20"/>
                <w:szCs w:val="20"/>
                <w:lang w:val="sr-Cyrl-CS"/>
              </w:rPr>
              <w:t>5</w:t>
            </w:r>
            <w:r w:rsidRPr="00092ED7">
              <w:rPr>
                <w:rFonts w:eastAsia="Times New Roman" w:cs="Times New Roman"/>
                <w:color w:val="000000"/>
                <w:sz w:val="20"/>
                <w:szCs w:val="20"/>
                <w:lang w:val="sr-Cyrl-CS"/>
              </w:rPr>
              <w:t>00.000,00</w:t>
            </w:r>
          </w:p>
        </w:tc>
        <w:tc>
          <w:tcPr>
            <w:tcW w:w="1434" w:type="dxa"/>
            <w:tcBorders>
              <w:top w:val="nil"/>
              <w:left w:val="nil"/>
              <w:bottom w:val="single" w:sz="8" w:space="0" w:color="auto"/>
              <w:right w:val="single" w:sz="8" w:space="0" w:color="auto"/>
            </w:tcBorders>
            <w:shd w:val="clear" w:color="auto" w:fill="auto"/>
            <w:noWrap/>
            <w:vAlign w:val="center"/>
            <w:hideMark/>
          </w:tcPr>
          <w:p w14:paraId="7D94651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40F6012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18.980.000,00</w:t>
            </w:r>
          </w:p>
        </w:tc>
        <w:tc>
          <w:tcPr>
            <w:tcW w:w="1326" w:type="dxa"/>
            <w:tcBorders>
              <w:top w:val="nil"/>
              <w:left w:val="nil"/>
              <w:bottom w:val="single" w:sz="8" w:space="0" w:color="auto"/>
              <w:right w:val="single" w:sz="8" w:space="0" w:color="auto"/>
            </w:tcBorders>
            <w:shd w:val="clear" w:color="auto" w:fill="auto"/>
            <w:noWrap/>
            <w:vAlign w:val="center"/>
            <w:hideMark/>
          </w:tcPr>
          <w:p w14:paraId="38966BF7" w14:textId="251FCAB1" w:rsidR="008D7C20" w:rsidRPr="00092ED7" w:rsidRDefault="00517844"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1.000.000,00</w:t>
            </w:r>
          </w:p>
        </w:tc>
        <w:tc>
          <w:tcPr>
            <w:tcW w:w="1873" w:type="dxa"/>
            <w:tcBorders>
              <w:top w:val="nil"/>
              <w:left w:val="nil"/>
              <w:bottom w:val="single" w:sz="8" w:space="0" w:color="auto"/>
              <w:right w:val="single" w:sz="8" w:space="0" w:color="auto"/>
            </w:tcBorders>
            <w:shd w:val="clear" w:color="auto" w:fill="auto"/>
            <w:noWrap/>
            <w:vAlign w:val="center"/>
            <w:hideMark/>
          </w:tcPr>
          <w:p w14:paraId="7DB8AACF" w14:textId="64FE476D" w:rsidR="008D7C20" w:rsidRPr="00092ED7" w:rsidRDefault="00517844" w:rsidP="003D1D17">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28</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369</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631</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00</w:t>
            </w:r>
          </w:p>
        </w:tc>
      </w:tr>
      <w:tr w:rsidR="00931CF1" w:rsidRPr="00092ED7" w14:paraId="610934F4"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2D65D7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54CD9A44" w14:textId="47E641AD" w:rsidR="008D7C20" w:rsidRPr="00092ED7" w:rsidRDefault="008D7C20" w:rsidP="003D1D17">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w:t>
            </w:r>
            <w:r w:rsidR="00517844" w:rsidRPr="00092ED7">
              <w:rPr>
                <w:rFonts w:eastAsia="Times New Roman" w:cs="Times New Roman"/>
                <w:color w:val="000000"/>
                <w:sz w:val="20"/>
                <w:szCs w:val="20"/>
                <w:lang w:val="sr-Cyrl-CS"/>
              </w:rPr>
              <w:t>279</w:t>
            </w:r>
            <w:r w:rsidRPr="00092ED7">
              <w:rPr>
                <w:rFonts w:eastAsia="Times New Roman" w:cs="Times New Roman"/>
                <w:color w:val="000000"/>
                <w:sz w:val="20"/>
                <w:szCs w:val="20"/>
                <w:lang w:val="sr-Cyrl-CS"/>
              </w:rPr>
              <w:t>.</w:t>
            </w:r>
            <w:r w:rsidR="00517844" w:rsidRPr="00092ED7">
              <w:rPr>
                <w:rFonts w:eastAsia="Times New Roman" w:cs="Times New Roman"/>
                <w:color w:val="000000"/>
                <w:sz w:val="20"/>
                <w:szCs w:val="20"/>
                <w:lang w:val="sr-Cyrl-CS"/>
              </w:rPr>
              <w:t>467</w:t>
            </w:r>
            <w:r w:rsidRPr="00092ED7">
              <w:rPr>
                <w:rFonts w:eastAsia="Times New Roman" w:cs="Times New Roman"/>
                <w:color w:val="000000"/>
                <w:sz w:val="20"/>
                <w:szCs w:val="20"/>
                <w:lang w:val="sr-Cyrl-CS"/>
              </w:rPr>
              <w:t>,</w:t>
            </w:r>
            <w:r w:rsidR="00517844" w:rsidRPr="00092ED7">
              <w:rPr>
                <w:rFonts w:eastAsia="Times New Roman" w:cs="Times New Roman"/>
                <w:color w:val="000000"/>
                <w:sz w:val="20"/>
                <w:szCs w:val="20"/>
                <w:lang w:val="sr-Cyrl-CS"/>
              </w:rPr>
              <w:t>67</w:t>
            </w:r>
          </w:p>
        </w:tc>
        <w:tc>
          <w:tcPr>
            <w:tcW w:w="1617" w:type="dxa"/>
            <w:tcBorders>
              <w:top w:val="nil"/>
              <w:left w:val="nil"/>
              <w:bottom w:val="single" w:sz="8" w:space="0" w:color="auto"/>
              <w:right w:val="single" w:sz="8" w:space="0" w:color="auto"/>
            </w:tcBorders>
            <w:shd w:val="clear" w:color="auto" w:fill="auto"/>
            <w:noWrap/>
            <w:vAlign w:val="center"/>
            <w:hideMark/>
          </w:tcPr>
          <w:p w14:paraId="6EA4075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1.610.163,33</w:t>
            </w:r>
          </w:p>
        </w:tc>
        <w:tc>
          <w:tcPr>
            <w:tcW w:w="1617" w:type="dxa"/>
            <w:tcBorders>
              <w:top w:val="nil"/>
              <w:left w:val="nil"/>
              <w:bottom w:val="single" w:sz="8" w:space="0" w:color="auto"/>
              <w:right w:val="single" w:sz="8" w:space="0" w:color="auto"/>
            </w:tcBorders>
            <w:shd w:val="clear" w:color="auto" w:fill="auto"/>
            <w:noWrap/>
            <w:vAlign w:val="center"/>
            <w:hideMark/>
          </w:tcPr>
          <w:p w14:paraId="25BA1F8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7059056A" w14:textId="67727345"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1.500.000,00</w:t>
            </w:r>
          </w:p>
        </w:tc>
        <w:tc>
          <w:tcPr>
            <w:tcW w:w="1434" w:type="dxa"/>
            <w:tcBorders>
              <w:top w:val="nil"/>
              <w:left w:val="nil"/>
              <w:bottom w:val="single" w:sz="8" w:space="0" w:color="auto"/>
              <w:right w:val="single" w:sz="8" w:space="0" w:color="auto"/>
            </w:tcBorders>
            <w:shd w:val="clear" w:color="auto" w:fill="auto"/>
            <w:noWrap/>
            <w:vAlign w:val="center"/>
            <w:hideMark/>
          </w:tcPr>
          <w:p w14:paraId="22319F4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64B7623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36.225.000,00</w:t>
            </w:r>
          </w:p>
        </w:tc>
        <w:tc>
          <w:tcPr>
            <w:tcW w:w="1326" w:type="dxa"/>
            <w:tcBorders>
              <w:top w:val="nil"/>
              <w:left w:val="nil"/>
              <w:bottom w:val="single" w:sz="8" w:space="0" w:color="auto"/>
              <w:right w:val="single" w:sz="8" w:space="0" w:color="auto"/>
            </w:tcBorders>
            <w:shd w:val="clear" w:color="auto" w:fill="auto"/>
            <w:noWrap/>
            <w:vAlign w:val="center"/>
            <w:hideMark/>
          </w:tcPr>
          <w:p w14:paraId="6A40D85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54B93A94" w14:textId="4B827E23" w:rsidR="008D7C20" w:rsidRPr="00092ED7" w:rsidRDefault="00517844" w:rsidP="003D1D17">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w:t>
            </w:r>
            <w:r w:rsidR="008D7C20" w:rsidRPr="00092ED7">
              <w:rPr>
                <w:rFonts w:eastAsia="Times New Roman" w:cs="Times New Roman"/>
                <w:color w:val="000000"/>
                <w:sz w:val="20"/>
                <w:szCs w:val="20"/>
                <w:lang w:val="sr-Cyrl-CS"/>
              </w:rPr>
              <w:t>3.</w:t>
            </w:r>
            <w:r w:rsidRPr="00092ED7">
              <w:rPr>
                <w:rFonts w:eastAsia="Times New Roman" w:cs="Times New Roman"/>
                <w:color w:val="000000"/>
                <w:sz w:val="20"/>
                <w:szCs w:val="20"/>
                <w:lang w:val="sr-Cyrl-CS"/>
              </w:rPr>
              <w:t>614</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631</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00</w:t>
            </w:r>
          </w:p>
        </w:tc>
      </w:tr>
      <w:tr w:rsidR="008D7C20" w:rsidRPr="00092ED7" w14:paraId="19EB10AB" w14:textId="77777777" w:rsidTr="008D7C20">
        <w:trPr>
          <w:trHeight w:val="330"/>
        </w:trPr>
        <w:tc>
          <w:tcPr>
            <w:tcW w:w="13948" w:type="dxa"/>
            <w:gridSpan w:val="9"/>
            <w:tcBorders>
              <w:top w:val="single" w:sz="8" w:space="0" w:color="auto"/>
              <w:left w:val="single" w:sz="8" w:space="0" w:color="auto"/>
              <w:bottom w:val="single" w:sz="4" w:space="0" w:color="auto"/>
              <w:right w:val="single" w:sz="8" w:space="0" w:color="auto"/>
            </w:tcBorders>
            <w:shd w:val="clear" w:color="000000" w:fill="D0CECE"/>
            <w:noWrap/>
            <w:vAlign w:val="center"/>
            <w:hideMark/>
          </w:tcPr>
          <w:p w14:paraId="394151C7" w14:textId="682DDB7B"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9. Интеграција обновљивих извора електричне енергије кроз пројекат „Беогрид 2025</w:t>
            </w:r>
            <w:r w:rsidR="002F4DA5" w:rsidRPr="00092ED7">
              <w:rPr>
                <w:rFonts w:cs="Times New Roman"/>
                <w:b/>
                <w:sz w:val="20"/>
                <w:szCs w:val="20"/>
                <w:lang w:val="sr-Cyrl-CS"/>
              </w:rPr>
              <w:t>”</w:t>
            </w:r>
          </w:p>
        </w:tc>
      </w:tr>
      <w:tr w:rsidR="00931CF1" w:rsidRPr="00092ED7" w14:paraId="0E89361E" w14:textId="77777777" w:rsidTr="00812992">
        <w:trPr>
          <w:trHeight w:val="645"/>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B2DA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2A4E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DE25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170D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288E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BB50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BB71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BAB0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CCB8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4E6797F1" w14:textId="77777777" w:rsidTr="00812992">
        <w:trPr>
          <w:trHeight w:val="330"/>
        </w:trPr>
        <w:tc>
          <w:tcPr>
            <w:tcW w:w="125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0EDCD3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single" w:sz="4" w:space="0" w:color="auto"/>
              <w:left w:val="nil"/>
              <w:bottom w:val="single" w:sz="8" w:space="0" w:color="auto"/>
              <w:right w:val="single" w:sz="8" w:space="0" w:color="auto"/>
            </w:tcBorders>
            <w:shd w:val="clear" w:color="auto" w:fill="auto"/>
            <w:noWrap/>
            <w:vAlign w:val="center"/>
            <w:hideMark/>
          </w:tcPr>
          <w:p w14:paraId="7DE709FA" w14:textId="77777777" w:rsidR="008D7C20" w:rsidRPr="00092ED7" w:rsidRDefault="00782BCA" w:rsidP="008D7C20">
            <w:pPr>
              <w:spacing w:after="0"/>
              <w:jc w:val="right"/>
              <w:rPr>
                <w:rFonts w:eastAsia="Times New Roman" w:cs="Times New Roman"/>
                <w:color w:val="000000"/>
                <w:sz w:val="20"/>
                <w:szCs w:val="20"/>
                <w:lang w:val="sr-Cyrl-CS"/>
              </w:rPr>
            </w:pPr>
            <w:r w:rsidRPr="00092ED7">
              <w:rPr>
                <w:rFonts w:cs="Times New Roman"/>
                <w:color w:val="000000"/>
                <w:sz w:val="20"/>
                <w:szCs w:val="20"/>
                <w:lang w:val="sr-Cyrl-CS"/>
              </w:rPr>
              <w:t>2.275.320,0</w:t>
            </w:r>
            <w:r w:rsidR="008D7C20"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2376A8D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1A382509" w14:textId="4249E48F"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nil"/>
              <w:bottom w:val="single" w:sz="8" w:space="0" w:color="auto"/>
              <w:right w:val="single" w:sz="8" w:space="0" w:color="auto"/>
            </w:tcBorders>
            <w:shd w:val="clear" w:color="auto" w:fill="auto"/>
            <w:noWrap/>
            <w:vAlign w:val="center"/>
            <w:hideMark/>
          </w:tcPr>
          <w:p w14:paraId="76F1977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single" w:sz="4" w:space="0" w:color="auto"/>
              <w:left w:val="nil"/>
              <w:bottom w:val="single" w:sz="8" w:space="0" w:color="auto"/>
              <w:right w:val="single" w:sz="8" w:space="0" w:color="auto"/>
            </w:tcBorders>
            <w:shd w:val="clear" w:color="auto" w:fill="auto"/>
            <w:noWrap/>
            <w:vAlign w:val="center"/>
            <w:hideMark/>
          </w:tcPr>
          <w:p w14:paraId="2D4BCDB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14:paraId="501F2B6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single" w:sz="4" w:space="0" w:color="auto"/>
              <w:left w:val="nil"/>
              <w:bottom w:val="single" w:sz="8" w:space="0" w:color="auto"/>
              <w:right w:val="single" w:sz="8" w:space="0" w:color="auto"/>
            </w:tcBorders>
            <w:shd w:val="clear" w:color="auto" w:fill="auto"/>
            <w:noWrap/>
            <w:vAlign w:val="center"/>
            <w:hideMark/>
          </w:tcPr>
          <w:p w14:paraId="56D13DC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nil"/>
              <w:bottom w:val="single" w:sz="8" w:space="0" w:color="auto"/>
              <w:right w:val="single" w:sz="8" w:space="0" w:color="auto"/>
            </w:tcBorders>
            <w:shd w:val="clear" w:color="auto" w:fill="auto"/>
            <w:noWrap/>
            <w:vAlign w:val="center"/>
            <w:hideMark/>
          </w:tcPr>
          <w:p w14:paraId="343ACA17" w14:textId="27D22ADA" w:rsidR="008D7C20" w:rsidRPr="00092ED7" w:rsidRDefault="00782BCA" w:rsidP="008D7C20">
            <w:pPr>
              <w:spacing w:after="0"/>
              <w:jc w:val="right"/>
              <w:rPr>
                <w:rFonts w:eastAsia="Times New Roman" w:cs="Times New Roman"/>
                <w:color w:val="000000"/>
                <w:sz w:val="20"/>
                <w:szCs w:val="20"/>
                <w:lang w:val="sr-Cyrl-CS"/>
              </w:rPr>
            </w:pPr>
            <w:r w:rsidRPr="00092ED7">
              <w:rPr>
                <w:rFonts w:cs="Times New Roman"/>
                <w:color w:val="000000"/>
                <w:sz w:val="20"/>
                <w:szCs w:val="20"/>
                <w:lang w:val="sr-Cyrl-CS"/>
              </w:rPr>
              <w:t>2.275.320</w:t>
            </w:r>
            <w:r w:rsidR="008D7C20" w:rsidRPr="00092ED7">
              <w:rPr>
                <w:rFonts w:eastAsia="Times New Roman" w:cs="Times New Roman"/>
                <w:color w:val="000000"/>
                <w:sz w:val="20"/>
                <w:szCs w:val="20"/>
                <w:lang w:val="sr-Cyrl-CS"/>
              </w:rPr>
              <w:t>,00</w:t>
            </w:r>
          </w:p>
        </w:tc>
      </w:tr>
      <w:tr w:rsidR="00931CF1" w:rsidRPr="00092ED7" w14:paraId="641BF394"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773CCC3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7274629A" w14:textId="44C2AC0F" w:rsidR="008D7C20" w:rsidRPr="00092ED7" w:rsidRDefault="00782BCA" w:rsidP="008D7C20">
            <w:pPr>
              <w:spacing w:after="0"/>
              <w:jc w:val="right"/>
              <w:rPr>
                <w:rFonts w:eastAsia="Times New Roman" w:cs="Times New Roman"/>
                <w:color w:val="000000"/>
                <w:sz w:val="20"/>
                <w:szCs w:val="20"/>
                <w:lang w:val="sr-Cyrl-CS"/>
              </w:rPr>
            </w:pPr>
            <w:r w:rsidRPr="00092ED7">
              <w:rPr>
                <w:rFonts w:cs="Times New Roman"/>
                <w:color w:val="000000"/>
                <w:sz w:val="20"/>
                <w:szCs w:val="20"/>
                <w:lang w:val="sr-Cyrl-CS"/>
              </w:rPr>
              <w:t>21.000.000</w:t>
            </w:r>
            <w:r w:rsidR="008D7C20" w:rsidRPr="00092ED7">
              <w:rPr>
                <w:rFonts w:eastAsia="Times New Roman" w:cs="Times New Roman"/>
                <w:color w:val="000000"/>
                <w:sz w:val="20"/>
                <w:szCs w:val="20"/>
                <w:lang w:val="sr-Cyrl-CS"/>
              </w:rPr>
              <w:t>,00</w:t>
            </w:r>
          </w:p>
        </w:tc>
        <w:tc>
          <w:tcPr>
            <w:tcW w:w="1617" w:type="dxa"/>
            <w:tcBorders>
              <w:top w:val="nil"/>
              <w:left w:val="nil"/>
              <w:bottom w:val="single" w:sz="8" w:space="0" w:color="auto"/>
              <w:right w:val="single" w:sz="8" w:space="0" w:color="auto"/>
            </w:tcBorders>
            <w:shd w:val="clear" w:color="auto" w:fill="auto"/>
            <w:noWrap/>
            <w:vAlign w:val="center"/>
            <w:hideMark/>
          </w:tcPr>
          <w:p w14:paraId="75F7A65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8B5C701" w14:textId="7B4FA47F"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0A0320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0CAC070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3E96017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1BC20F7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7ED8F42A" w14:textId="39668F4D" w:rsidR="008D7C20" w:rsidRPr="00092ED7" w:rsidRDefault="00782BCA" w:rsidP="008D7C20">
            <w:pPr>
              <w:spacing w:after="0"/>
              <w:jc w:val="right"/>
              <w:rPr>
                <w:rFonts w:eastAsia="Times New Roman" w:cs="Times New Roman"/>
                <w:sz w:val="20"/>
                <w:szCs w:val="20"/>
                <w:lang w:val="sr-Cyrl-CS"/>
              </w:rPr>
            </w:pPr>
            <w:r w:rsidRPr="00092ED7">
              <w:rPr>
                <w:rFonts w:cs="Times New Roman"/>
                <w:sz w:val="20"/>
                <w:szCs w:val="20"/>
                <w:lang w:val="sr-Cyrl-CS"/>
              </w:rPr>
              <w:t>21.000.000</w:t>
            </w:r>
            <w:r w:rsidR="008D7C20" w:rsidRPr="00092ED7">
              <w:rPr>
                <w:rFonts w:eastAsia="Times New Roman" w:cs="Times New Roman"/>
                <w:sz w:val="20"/>
                <w:szCs w:val="20"/>
                <w:lang w:val="sr-Cyrl-CS"/>
              </w:rPr>
              <w:t>,00</w:t>
            </w:r>
          </w:p>
        </w:tc>
      </w:tr>
      <w:tr w:rsidR="00931CF1" w:rsidRPr="00092ED7" w14:paraId="2C353C86"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F5C6C9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37BE2E40" w14:textId="2E945DDB" w:rsidR="008D7C20" w:rsidRPr="00092ED7" w:rsidRDefault="00782BCA" w:rsidP="008D7C20">
            <w:pPr>
              <w:spacing w:after="0"/>
              <w:jc w:val="right"/>
              <w:rPr>
                <w:rFonts w:eastAsia="Times New Roman" w:cs="Times New Roman"/>
                <w:color w:val="000000"/>
                <w:sz w:val="20"/>
                <w:szCs w:val="20"/>
                <w:lang w:val="sr-Cyrl-CS"/>
              </w:rPr>
            </w:pPr>
            <w:r w:rsidRPr="00092ED7">
              <w:rPr>
                <w:rFonts w:cs="Times New Roman"/>
                <w:color w:val="000000"/>
                <w:sz w:val="20"/>
                <w:szCs w:val="20"/>
                <w:lang w:val="sr-Cyrl-CS"/>
              </w:rPr>
              <w:t>33.000.000</w:t>
            </w:r>
            <w:r w:rsidR="008D7C20" w:rsidRPr="00092ED7">
              <w:rPr>
                <w:rFonts w:eastAsia="Times New Roman" w:cs="Times New Roman"/>
                <w:color w:val="000000"/>
                <w:sz w:val="20"/>
                <w:szCs w:val="20"/>
                <w:lang w:val="sr-Cyrl-CS"/>
              </w:rPr>
              <w:t>,00</w:t>
            </w:r>
          </w:p>
        </w:tc>
        <w:tc>
          <w:tcPr>
            <w:tcW w:w="1617" w:type="dxa"/>
            <w:tcBorders>
              <w:top w:val="nil"/>
              <w:left w:val="nil"/>
              <w:bottom w:val="single" w:sz="8" w:space="0" w:color="auto"/>
              <w:right w:val="single" w:sz="8" w:space="0" w:color="auto"/>
            </w:tcBorders>
            <w:shd w:val="clear" w:color="auto" w:fill="auto"/>
            <w:noWrap/>
            <w:vAlign w:val="center"/>
            <w:hideMark/>
          </w:tcPr>
          <w:p w14:paraId="160127D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5622DB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2815BD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17AD191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66A7E32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51C2A65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3750B0A" w14:textId="3F6F27E9" w:rsidR="008D7C20" w:rsidRPr="00092ED7" w:rsidRDefault="00782BCA" w:rsidP="008D7C20">
            <w:pPr>
              <w:spacing w:after="0"/>
              <w:jc w:val="right"/>
              <w:rPr>
                <w:rFonts w:eastAsia="Times New Roman" w:cs="Times New Roman"/>
                <w:color w:val="000000"/>
                <w:sz w:val="20"/>
                <w:szCs w:val="20"/>
                <w:lang w:val="sr-Cyrl-CS"/>
              </w:rPr>
            </w:pPr>
            <w:r w:rsidRPr="00092ED7">
              <w:rPr>
                <w:rFonts w:cs="Times New Roman"/>
                <w:color w:val="000000"/>
                <w:sz w:val="20"/>
                <w:szCs w:val="20"/>
                <w:lang w:val="sr-Cyrl-CS"/>
              </w:rPr>
              <w:t>33.000.000</w:t>
            </w:r>
            <w:r w:rsidR="008D7C20" w:rsidRPr="00092ED7">
              <w:rPr>
                <w:rFonts w:eastAsia="Times New Roman" w:cs="Times New Roman"/>
                <w:color w:val="000000"/>
                <w:sz w:val="20"/>
                <w:szCs w:val="20"/>
                <w:lang w:val="sr-Cyrl-CS"/>
              </w:rPr>
              <w:t>,00</w:t>
            </w:r>
          </w:p>
        </w:tc>
      </w:tr>
      <w:tr w:rsidR="008D7C20" w:rsidRPr="00092ED7" w14:paraId="20B70FAA"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15FBBDF"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10. Развој енергетског тржишта уз изградњу електроенергетске инфраструктуре</w:t>
            </w:r>
          </w:p>
        </w:tc>
      </w:tr>
      <w:tr w:rsidR="00931CF1" w:rsidRPr="00092ED7" w14:paraId="578E8F48"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9E0A255" w14:textId="77777777" w:rsidR="008D7C20" w:rsidRPr="00092ED7" w:rsidRDefault="008D7C20" w:rsidP="008D7C20">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29C06BD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55F63CE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628C027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3046D20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27F3ADE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4A64726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0A86C02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6E874C7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31262DBF"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31BB3C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28CC54A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1D8341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E53B47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298.739,00</w:t>
            </w:r>
          </w:p>
        </w:tc>
        <w:tc>
          <w:tcPr>
            <w:tcW w:w="1527" w:type="dxa"/>
            <w:tcBorders>
              <w:top w:val="nil"/>
              <w:left w:val="nil"/>
              <w:bottom w:val="single" w:sz="8" w:space="0" w:color="auto"/>
              <w:right w:val="single" w:sz="8" w:space="0" w:color="auto"/>
            </w:tcBorders>
            <w:shd w:val="clear" w:color="auto" w:fill="auto"/>
            <w:noWrap/>
            <w:vAlign w:val="center"/>
            <w:hideMark/>
          </w:tcPr>
          <w:p w14:paraId="0C3E3B9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4A805F2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39CF327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5CCFA3C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24CB952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298.739,00</w:t>
            </w:r>
          </w:p>
        </w:tc>
      </w:tr>
      <w:tr w:rsidR="00931CF1" w:rsidRPr="00092ED7" w14:paraId="5702CA27"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0B5C8C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78E49D0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7569503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4362D4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0D73258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1572884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7.511.704,00</w:t>
            </w:r>
          </w:p>
        </w:tc>
        <w:tc>
          <w:tcPr>
            <w:tcW w:w="1466" w:type="dxa"/>
            <w:tcBorders>
              <w:top w:val="nil"/>
              <w:left w:val="nil"/>
              <w:bottom w:val="single" w:sz="8" w:space="0" w:color="auto"/>
              <w:right w:val="single" w:sz="8" w:space="0" w:color="auto"/>
            </w:tcBorders>
            <w:shd w:val="clear" w:color="auto" w:fill="auto"/>
            <w:noWrap/>
            <w:vAlign w:val="center"/>
            <w:hideMark/>
          </w:tcPr>
          <w:p w14:paraId="65E1D68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23.698.886,00</w:t>
            </w:r>
          </w:p>
        </w:tc>
        <w:tc>
          <w:tcPr>
            <w:tcW w:w="1326" w:type="dxa"/>
            <w:tcBorders>
              <w:top w:val="nil"/>
              <w:left w:val="nil"/>
              <w:bottom w:val="single" w:sz="8" w:space="0" w:color="auto"/>
              <w:right w:val="single" w:sz="8" w:space="0" w:color="auto"/>
            </w:tcBorders>
            <w:shd w:val="clear" w:color="auto" w:fill="auto"/>
            <w:noWrap/>
            <w:vAlign w:val="center"/>
            <w:hideMark/>
          </w:tcPr>
          <w:p w14:paraId="23F05D6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573CEAA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31.210.590,00</w:t>
            </w:r>
          </w:p>
        </w:tc>
      </w:tr>
      <w:tr w:rsidR="00931CF1" w:rsidRPr="00092ED7" w14:paraId="70D39928"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11230E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51EBF07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375663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29E01DE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336.134,00</w:t>
            </w:r>
          </w:p>
        </w:tc>
        <w:tc>
          <w:tcPr>
            <w:tcW w:w="1527" w:type="dxa"/>
            <w:tcBorders>
              <w:top w:val="nil"/>
              <w:left w:val="nil"/>
              <w:bottom w:val="single" w:sz="8" w:space="0" w:color="auto"/>
              <w:right w:val="single" w:sz="8" w:space="0" w:color="auto"/>
            </w:tcBorders>
            <w:shd w:val="clear" w:color="auto" w:fill="auto"/>
            <w:noWrap/>
            <w:vAlign w:val="center"/>
            <w:hideMark/>
          </w:tcPr>
          <w:p w14:paraId="15E82EC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0756D4B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10.399.705,00</w:t>
            </w:r>
          </w:p>
        </w:tc>
        <w:tc>
          <w:tcPr>
            <w:tcW w:w="1466" w:type="dxa"/>
            <w:tcBorders>
              <w:top w:val="nil"/>
              <w:left w:val="nil"/>
              <w:bottom w:val="single" w:sz="8" w:space="0" w:color="auto"/>
              <w:right w:val="single" w:sz="8" w:space="0" w:color="auto"/>
            </w:tcBorders>
            <w:shd w:val="clear" w:color="auto" w:fill="auto"/>
            <w:noWrap/>
            <w:vAlign w:val="center"/>
            <w:hideMark/>
          </w:tcPr>
          <w:p w14:paraId="292C581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36.158.891,00</w:t>
            </w:r>
          </w:p>
        </w:tc>
        <w:tc>
          <w:tcPr>
            <w:tcW w:w="1326" w:type="dxa"/>
            <w:tcBorders>
              <w:top w:val="nil"/>
              <w:left w:val="nil"/>
              <w:bottom w:val="single" w:sz="8" w:space="0" w:color="auto"/>
              <w:right w:val="single" w:sz="8" w:space="0" w:color="auto"/>
            </w:tcBorders>
            <w:shd w:val="clear" w:color="auto" w:fill="auto"/>
            <w:noWrap/>
            <w:vAlign w:val="center"/>
            <w:hideMark/>
          </w:tcPr>
          <w:p w14:paraId="253B2BE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6A0F87A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46.894.730,00</w:t>
            </w:r>
          </w:p>
        </w:tc>
      </w:tr>
      <w:tr w:rsidR="008D7C20" w:rsidRPr="00092ED7" w14:paraId="38CCDA2E"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0A79A08"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 xml:space="preserve">11. Трансформација Пореске управе </w:t>
            </w:r>
          </w:p>
        </w:tc>
      </w:tr>
      <w:tr w:rsidR="00931CF1" w:rsidRPr="00092ED7" w14:paraId="5E92C052"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5DAF62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5C22C4A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3CDF569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5F09DED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18B6748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2AA084F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6B1A5E4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6D9FECD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2B4DB12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31855B1D"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3EE8F3B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09DB6D5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1FF11C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7159D15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1DC0CC7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08711E1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769C33EA" w14:textId="265AE0B9" w:rsidR="008D7C20" w:rsidRPr="00092ED7" w:rsidRDefault="0057551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8.383.367</w:t>
            </w:r>
            <w:r w:rsidR="008D7C20" w:rsidRPr="00092ED7">
              <w:rPr>
                <w:rFonts w:eastAsia="Times New Roman" w:cs="Times New Roman"/>
                <w:color w:val="000000"/>
                <w:sz w:val="20"/>
                <w:szCs w:val="20"/>
                <w:lang w:val="sr-Cyrl-CS"/>
              </w:rPr>
              <w:t>,00</w:t>
            </w:r>
          </w:p>
        </w:tc>
        <w:tc>
          <w:tcPr>
            <w:tcW w:w="1326" w:type="dxa"/>
            <w:tcBorders>
              <w:top w:val="nil"/>
              <w:left w:val="nil"/>
              <w:bottom w:val="single" w:sz="8" w:space="0" w:color="auto"/>
              <w:right w:val="single" w:sz="8" w:space="0" w:color="auto"/>
            </w:tcBorders>
            <w:shd w:val="clear" w:color="auto" w:fill="auto"/>
            <w:noWrap/>
            <w:vAlign w:val="center"/>
            <w:hideMark/>
          </w:tcPr>
          <w:p w14:paraId="618096D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1D2863B2" w14:textId="076BF333" w:rsidR="008D7C20" w:rsidRPr="00092ED7" w:rsidRDefault="00115BE3"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8.383.367</w:t>
            </w:r>
            <w:r w:rsidR="008D7C20" w:rsidRPr="00092ED7">
              <w:rPr>
                <w:rFonts w:eastAsia="Times New Roman" w:cs="Times New Roman"/>
                <w:color w:val="000000"/>
                <w:sz w:val="20"/>
                <w:szCs w:val="20"/>
                <w:lang w:val="sr-Cyrl-CS"/>
              </w:rPr>
              <w:t>,00</w:t>
            </w:r>
          </w:p>
        </w:tc>
      </w:tr>
      <w:tr w:rsidR="00931CF1" w:rsidRPr="00092ED7" w14:paraId="5BAB0213"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4052AE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354B785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2B54AA0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A0C85A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7D6FEB5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49A592F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70033C6E" w14:textId="535DA4C6" w:rsidR="008D7C20" w:rsidRPr="00092ED7" w:rsidRDefault="0057551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32.004.475</w:t>
            </w:r>
            <w:r w:rsidR="008D7C20" w:rsidRPr="00092ED7">
              <w:rPr>
                <w:rFonts w:eastAsia="Times New Roman" w:cs="Times New Roman"/>
                <w:color w:val="000000"/>
                <w:sz w:val="20"/>
                <w:szCs w:val="20"/>
                <w:lang w:val="sr-Cyrl-CS"/>
              </w:rPr>
              <w:t>,00</w:t>
            </w:r>
          </w:p>
        </w:tc>
        <w:tc>
          <w:tcPr>
            <w:tcW w:w="1326" w:type="dxa"/>
            <w:tcBorders>
              <w:top w:val="nil"/>
              <w:left w:val="nil"/>
              <w:bottom w:val="single" w:sz="8" w:space="0" w:color="auto"/>
              <w:right w:val="single" w:sz="8" w:space="0" w:color="auto"/>
            </w:tcBorders>
            <w:shd w:val="clear" w:color="auto" w:fill="auto"/>
            <w:noWrap/>
            <w:vAlign w:val="center"/>
            <w:hideMark/>
          </w:tcPr>
          <w:p w14:paraId="4732451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6E916A61" w14:textId="4A871114" w:rsidR="008D7C20" w:rsidRPr="00092ED7" w:rsidRDefault="00115BE3"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32.004.475</w:t>
            </w:r>
            <w:r w:rsidR="008D7C20" w:rsidRPr="00092ED7">
              <w:rPr>
                <w:rFonts w:eastAsia="Times New Roman" w:cs="Times New Roman"/>
                <w:color w:val="000000"/>
                <w:sz w:val="20"/>
                <w:szCs w:val="20"/>
                <w:lang w:val="sr-Cyrl-CS"/>
              </w:rPr>
              <w:t>,00</w:t>
            </w:r>
          </w:p>
        </w:tc>
      </w:tr>
      <w:tr w:rsidR="00931CF1" w:rsidRPr="00092ED7" w14:paraId="2F3088D9"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A7B700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7C86010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BE1673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5142944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02406BE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7C7912A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4BCE5DC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46F1620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54B921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8D7C20" w:rsidRPr="00092ED7" w14:paraId="0DA8C239"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3FEB669"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12. Примена циркуларне економије у стварању повољног окружења за зелену транзицију</w:t>
            </w:r>
          </w:p>
        </w:tc>
      </w:tr>
      <w:tr w:rsidR="00931CF1" w:rsidRPr="00092ED7" w14:paraId="6EB012CC"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E2FC3B9" w14:textId="77777777" w:rsidR="008D7C20" w:rsidRPr="00092ED7" w:rsidRDefault="008D7C20" w:rsidP="008D7C20">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297460D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70B38FF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33A5CBB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7A86250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0747FBD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vAlign w:val="center"/>
            <w:hideMark/>
          </w:tcPr>
          <w:p w14:paraId="6F95A08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vAlign w:val="center"/>
            <w:hideMark/>
          </w:tcPr>
          <w:p w14:paraId="5A3D309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787D018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4B8854C7"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73CE010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410AA9E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5124276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7309891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4FDE1BC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16DCF0C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193.866,30</w:t>
            </w:r>
          </w:p>
        </w:tc>
        <w:tc>
          <w:tcPr>
            <w:tcW w:w="1466" w:type="dxa"/>
            <w:tcBorders>
              <w:top w:val="nil"/>
              <w:left w:val="nil"/>
              <w:bottom w:val="single" w:sz="8" w:space="0" w:color="auto"/>
              <w:right w:val="single" w:sz="8" w:space="0" w:color="auto"/>
            </w:tcBorders>
            <w:shd w:val="clear" w:color="auto" w:fill="auto"/>
            <w:noWrap/>
            <w:vAlign w:val="center"/>
            <w:hideMark/>
          </w:tcPr>
          <w:p w14:paraId="350D8DF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640CBCE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57B8119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193.866,30</w:t>
            </w:r>
          </w:p>
        </w:tc>
      </w:tr>
      <w:tr w:rsidR="00931CF1" w:rsidRPr="00092ED7" w14:paraId="1AA3AD58"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8293E98"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7153211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D28467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2D24338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0DA666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3597C13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64.341,00</w:t>
            </w:r>
          </w:p>
        </w:tc>
        <w:tc>
          <w:tcPr>
            <w:tcW w:w="1466" w:type="dxa"/>
            <w:tcBorders>
              <w:top w:val="nil"/>
              <w:left w:val="nil"/>
              <w:bottom w:val="single" w:sz="8" w:space="0" w:color="auto"/>
              <w:right w:val="single" w:sz="8" w:space="0" w:color="auto"/>
            </w:tcBorders>
            <w:shd w:val="clear" w:color="auto" w:fill="auto"/>
            <w:noWrap/>
            <w:vAlign w:val="center"/>
            <w:hideMark/>
          </w:tcPr>
          <w:p w14:paraId="19DBD9C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223EAB1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59367E9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64.341,00</w:t>
            </w:r>
          </w:p>
        </w:tc>
      </w:tr>
      <w:tr w:rsidR="00931CF1" w:rsidRPr="00092ED7" w14:paraId="73FA651E"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43DC2D1"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2067881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EDCD51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8E79B1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2834882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0257599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6C14DC8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775C3B3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2858DBF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8D7C20" w:rsidRPr="00092ED7" w14:paraId="513C3E16" w14:textId="77777777" w:rsidTr="008D7C20">
        <w:trPr>
          <w:trHeight w:val="330"/>
        </w:trPr>
        <w:tc>
          <w:tcPr>
            <w:tcW w:w="13948" w:type="dxa"/>
            <w:gridSpan w:val="9"/>
            <w:tcBorders>
              <w:top w:val="single" w:sz="8" w:space="0" w:color="auto"/>
              <w:left w:val="single" w:sz="8" w:space="0" w:color="auto"/>
              <w:bottom w:val="single" w:sz="4" w:space="0" w:color="auto"/>
              <w:right w:val="single" w:sz="8" w:space="0" w:color="auto"/>
            </w:tcBorders>
            <w:shd w:val="clear" w:color="000000" w:fill="D0CECE"/>
            <w:noWrap/>
            <w:vAlign w:val="center"/>
            <w:hideMark/>
          </w:tcPr>
          <w:p w14:paraId="6806356B"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13. Развој и унапређење националне информационо-комуникационе инфраструктуре</w:t>
            </w:r>
          </w:p>
        </w:tc>
      </w:tr>
      <w:tr w:rsidR="00931CF1" w:rsidRPr="00092ED7" w14:paraId="78DE14A5" w14:textId="77777777" w:rsidTr="00812992">
        <w:trPr>
          <w:trHeight w:val="645"/>
        </w:trPr>
        <w:tc>
          <w:tcPr>
            <w:tcW w:w="12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26A14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58E4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0658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3D22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2AB9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C9B6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20A4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Пројeктни кредити</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0C2B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AFBE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2B5F896E" w14:textId="77777777" w:rsidTr="00812992">
        <w:trPr>
          <w:trHeight w:val="330"/>
        </w:trPr>
        <w:tc>
          <w:tcPr>
            <w:tcW w:w="125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7ACAEE5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single" w:sz="4" w:space="0" w:color="auto"/>
              <w:left w:val="nil"/>
              <w:bottom w:val="single" w:sz="8" w:space="0" w:color="auto"/>
              <w:right w:val="single" w:sz="8" w:space="0" w:color="auto"/>
            </w:tcBorders>
            <w:shd w:val="clear" w:color="auto" w:fill="auto"/>
            <w:noWrap/>
            <w:vAlign w:val="center"/>
            <w:hideMark/>
          </w:tcPr>
          <w:p w14:paraId="56261E6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1.283.333,00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0F69221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4F4CDF6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nil"/>
              <w:bottom w:val="single" w:sz="8" w:space="0" w:color="auto"/>
              <w:right w:val="single" w:sz="8" w:space="0" w:color="auto"/>
            </w:tcBorders>
            <w:shd w:val="clear" w:color="auto" w:fill="auto"/>
            <w:noWrap/>
            <w:vAlign w:val="center"/>
            <w:hideMark/>
          </w:tcPr>
          <w:p w14:paraId="532394F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single" w:sz="4" w:space="0" w:color="auto"/>
              <w:left w:val="nil"/>
              <w:bottom w:val="single" w:sz="8" w:space="0" w:color="auto"/>
              <w:right w:val="single" w:sz="8" w:space="0" w:color="auto"/>
            </w:tcBorders>
            <w:shd w:val="clear" w:color="auto" w:fill="auto"/>
            <w:noWrap/>
            <w:vAlign w:val="center"/>
            <w:hideMark/>
          </w:tcPr>
          <w:p w14:paraId="1715943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20.000.000,00</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14:paraId="31E360A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77.142.177,33</w:t>
            </w:r>
          </w:p>
        </w:tc>
        <w:tc>
          <w:tcPr>
            <w:tcW w:w="1326" w:type="dxa"/>
            <w:tcBorders>
              <w:top w:val="single" w:sz="4" w:space="0" w:color="auto"/>
              <w:left w:val="nil"/>
              <w:bottom w:val="single" w:sz="8" w:space="0" w:color="auto"/>
              <w:right w:val="single" w:sz="8" w:space="0" w:color="auto"/>
            </w:tcBorders>
            <w:shd w:val="clear" w:color="auto" w:fill="auto"/>
            <w:noWrap/>
            <w:vAlign w:val="center"/>
            <w:hideMark/>
          </w:tcPr>
          <w:p w14:paraId="7AFF2D9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nil"/>
              <w:bottom w:val="single" w:sz="8" w:space="0" w:color="auto"/>
              <w:right w:val="single" w:sz="8" w:space="0" w:color="auto"/>
            </w:tcBorders>
            <w:shd w:val="clear" w:color="auto" w:fill="auto"/>
            <w:noWrap/>
            <w:vAlign w:val="center"/>
            <w:hideMark/>
          </w:tcPr>
          <w:p w14:paraId="2A842A8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98.425.510,33</w:t>
            </w:r>
          </w:p>
        </w:tc>
      </w:tr>
      <w:tr w:rsidR="00931CF1" w:rsidRPr="00092ED7" w14:paraId="5DD41CB1" w14:textId="77777777" w:rsidTr="00812992">
        <w:trPr>
          <w:trHeight w:val="330"/>
        </w:trPr>
        <w:tc>
          <w:tcPr>
            <w:tcW w:w="1259" w:type="dxa"/>
            <w:tcBorders>
              <w:top w:val="nil"/>
              <w:left w:val="single" w:sz="8" w:space="0" w:color="auto"/>
              <w:bottom w:val="single" w:sz="8" w:space="0" w:color="auto"/>
              <w:right w:val="single" w:sz="8" w:space="0" w:color="auto"/>
            </w:tcBorders>
            <w:shd w:val="clear" w:color="000000" w:fill="FFFFFF"/>
            <w:noWrap/>
            <w:vAlign w:val="center"/>
            <w:hideMark/>
          </w:tcPr>
          <w:p w14:paraId="0B28106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1B096E2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1.925.000,00</w:t>
            </w:r>
          </w:p>
        </w:tc>
        <w:tc>
          <w:tcPr>
            <w:tcW w:w="1617" w:type="dxa"/>
            <w:tcBorders>
              <w:top w:val="nil"/>
              <w:left w:val="nil"/>
              <w:bottom w:val="single" w:sz="8" w:space="0" w:color="auto"/>
              <w:right w:val="single" w:sz="8" w:space="0" w:color="auto"/>
            </w:tcBorders>
            <w:shd w:val="clear" w:color="auto" w:fill="auto"/>
            <w:noWrap/>
            <w:vAlign w:val="center"/>
            <w:hideMark/>
          </w:tcPr>
          <w:p w14:paraId="53D2720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B6D5D6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DA5BAC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19FAFCC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18.000.000,00</w:t>
            </w:r>
          </w:p>
        </w:tc>
        <w:tc>
          <w:tcPr>
            <w:tcW w:w="1466" w:type="dxa"/>
            <w:tcBorders>
              <w:top w:val="nil"/>
              <w:left w:val="nil"/>
              <w:bottom w:val="single" w:sz="8" w:space="0" w:color="auto"/>
              <w:right w:val="single" w:sz="8" w:space="0" w:color="auto"/>
            </w:tcBorders>
            <w:shd w:val="clear" w:color="auto" w:fill="auto"/>
            <w:noWrap/>
            <w:vAlign w:val="center"/>
            <w:hideMark/>
          </w:tcPr>
          <w:p w14:paraId="4CC0E0C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65.000.000,00</w:t>
            </w:r>
          </w:p>
        </w:tc>
        <w:tc>
          <w:tcPr>
            <w:tcW w:w="1326" w:type="dxa"/>
            <w:tcBorders>
              <w:top w:val="nil"/>
              <w:left w:val="nil"/>
              <w:bottom w:val="single" w:sz="8" w:space="0" w:color="auto"/>
              <w:right w:val="single" w:sz="8" w:space="0" w:color="auto"/>
            </w:tcBorders>
            <w:shd w:val="clear" w:color="auto" w:fill="auto"/>
            <w:noWrap/>
            <w:vAlign w:val="center"/>
            <w:hideMark/>
          </w:tcPr>
          <w:p w14:paraId="1E7CBEE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2B4D17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84.925.000,00</w:t>
            </w:r>
          </w:p>
        </w:tc>
      </w:tr>
      <w:tr w:rsidR="00931CF1" w:rsidRPr="00092ED7" w14:paraId="6DF30484" w14:textId="77777777" w:rsidTr="00812992">
        <w:trPr>
          <w:trHeight w:val="330"/>
        </w:trPr>
        <w:tc>
          <w:tcPr>
            <w:tcW w:w="1259" w:type="dxa"/>
            <w:tcBorders>
              <w:top w:val="nil"/>
              <w:left w:val="single" w:sz="8" w:space="0" w:color="auto"/>
              <w:bottom w:val="single" w:sz="8" w:space="0" w:color="auto"/>
              <w:right w:val="single" w:sz="8" w:space="0" w:color="auto"/>
            </w:tcBorders>
            <w:shd w:val="clear" w:color="000000" w:fill="FFFFFF"/>
            <w:noWrap/>
            <w:vAlign w:val="center"/>
            <w:hideMark/>
          </w:tcPr>
          <w:p w14:paraId="2D5D8C11"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78D332E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1.925.000,00</w:t>
            </w:r>
          </w:p>
        </w:tc>
        <w:tc>
          <w:tcPr>
            <w:tcW w:w="1617" w:type="dxa"/>
            <w:tcBorders>
              <w:top w:val="nil"/>
              <w:left w:val="nil"/>
              <w:bottom w:val="single" w:sz="8" w:space="0" w:color="auto"/>
              <w:right w:val="single" w:sz="8" w:space="0" w:color="auto"/>
            </w:tcBorders>
            <w:shd w:val="clear" w:color="auto" w:fill="auto"/>
            <w:noWrap/>
            <w:vAlign w:val="center"/>
            <w:hideMark/>
          </w:tcPr>
          <w:p w14:paraId="5953BF3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7CDCC81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CF55CB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2BF2DF9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5.000.000,00</w:t>
            </w:r>
          </w:p>
        </w:tc>
        <w:tc>
          <w:tcPr>
            <w:tcW w:w="1466" w:type="dxa"/>
            <w:tcBorders>
              <w:top w:val="nil"/>
              <w:left w:val="nil"/>
              <w:bottom w:val="single" w:sz="8" w:space="0" w:color="auto"/>
              <w:right w:val="single" w:sz="8" w:space="0" w:color="auto"/>
            </w:tcBorders>
            <w:shd w:val="clear" w:color="auto" w:fill="auto"/>
            <w:noWrap/>
            <w:vAlign w:val="center"/>
            <w:hideMark/>
          </w:tcPr>
          <w:p w14:paraId="1F77F75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30.000.000,00</w:t>
            </w:r>
          </w:p>
        </w:tc>
        <w:tc>
          <w:tcPr>
            <w:tcW w:w="1326" w:type="dxa"/>
            <w:tcBorders>
              <w:top w:val="nil"/>
              <w:left w:val="nil"/>
              <w:bottom w:val="single" w:sz="8" w:space="0" w:color="auto"/>
              <w:right w:val="single" w:sz="8" w:space="0" w:color="auto"/>
            </w:tcBorders>
            <w:shd w:val="clear" w:color="auto" w:fill="auto"/>
            <w:noWrap/>
            <w:vAlign w:val="center"/>
            <w:hideMark/>
          </w:tcPr>
          <w:p w14:paraId="5858EF3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66DE01A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36.925.000,00</w:t>
            </w:r>
          </w:p>
        </w:tc>
      </w:tr>
      <w:tr w:rsidR="008D7C20" w:rsidRPr="00092ED7" w14:paraId="08F86FB3"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F011E69"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14. Успостављање инфраструктуре и окружења за креирање и примену иновативних ИТ решења</w:t>
            </w:r>
          </w:p>
        </w:tc>
      </w:tr>
      <w:tr w:rsidR="00931CF1" w:rsidRPr="00092ED7" w14:paraId="0CF95431"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3DE1D96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1C5F1BA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07B5264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4B89F2E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0638F0A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5174CA8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088A55B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3E06271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0D1580C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5943A715" w14:textId="77777777" w:rsidTr="00812992">
        <w:trPr>
          <w:trHeight w:val="330"/>
        </w:trPr>
        <w:tc>
          <w:tcPr>
            <w:tcW w:w="1259" w:type="dxa"/>
            <w:tcBorders>
              <w:top w:val="nil"/>
              <w:left w:val="single" w:sz="8" w:space="0" w:color="auto"/>
              <w:bottom w:val="single" w:sz="4" w:space="0" w:color="auto"/>
              <w:right w:val="single" w:sz="8" w:space="0" w:color="auto"/>
            </w:tcBorders>
            <w:shd w:val="clear" w:color="auto" w:fill="auto"/>
            <w:noWrap/>
            <w:vAlign w:val="center"/>
            <w:hideMark/>
          </w:tcPr>
          <w:p w14:paraId="541F9AB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4" w:space="0" w:color="auto"/>
              <w:right w:val="single" w:sz="8" w:space="0" w:color="auto"/>
            </w:tcBorders>
            <w:shd w:val="clear" w:color="auto" w:fill="auto"/>
            <w:noWrap/>
            <w:vAlign w:val="center"/>
            <w:hideMark/>
          </w:tcPr>
          <w:p w14:paraId="5B8034A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7.583.333,33</w:t>
            </w:r>
          </w:p>
        </w:tc>
        <w:tc>
          <w:tcPr>
            <w:tcW w:w="1617" w:type="dxa"/>
            <w:tcBorders>
              <w:top w:val="nil"/>
              <w:left w:val="nil"/>
              <w:bottom w:val="single" w:sz="4" w:space="0" w:color="auto"/>
              <w:right w:val="single" w:sz="8" w:space="0" w:color="auto"/>
            </w:tcBorders>
            <w:shd w:val="clear" w:color="auto" w:fill="auto"/>
            <w:noWrap/>
            <w:vAlign w:val="center"/>
            <w:hideMark/>
          </w:tcPr>
          <w:p w14:paraId="6071BFE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4" w:space="0" w:color="auto"/>
              <w:right w:val="single" w:sz="8" w:space="0" w:color="auto"/>
            </w:tcBorders>
            <w:shd w:val="clear" w:color="auto" w:fill="auto"/>
            <w:noWrap/>
            <w:vAlign w:val="center"/>
            <w:hideMark/>
          </w:tcPr>
          <w:p w14:paraId="06DB6F0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4" w:space="0" w:color="auto"/>
              <w:right w:val="single" w:sz="8" w:space="0" w:color="auto"/>
            </w:tcBorders>
            <w:shd w:val="clear" w:color="auto" w:fill="auto"/>
            <w:noWrap/>
            <w:vAlign w:val="center"/>
            <w:hideMark/>
          </w:tcPr>
          <w:p w14:paraId="2B3E901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4" w:space="0" w:color="auto"/>
              <w:right w:val="single" w:sz="8" w:space="0" w:color="auto"/>
            </w:tcBorders>
            <w:shd w:val="clear" w:color="auto" w:fill="auto"/>
            <w:noWrap/>
            <w:vAlign w:val="center"/>
            <w:hideMark/>
          </w:tcPr>
          <w:p w14:paraId="1A2BBA6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4" w:space="0" w:color="auto"/>
              <w:right w:val="single" w:sz="8" w:space="0" w:color="auto"/>
            </w:tcBorders>
            <w:shd w:val="clear" w:color="auto" w:fill="auto"/>
            <w:noWrap/>
            <w:vAlign w:val="center"/>
            <w:hideMark/>
          </w:tcPr>
          <w:p w14:paraId="1A9B8DD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4" w:space="0" w:color="auto"/>
              <w:right w:val="single" w:sz="8" w:space="0" w:color="auto"/>
            </w:tcBorders>
            <w:shd w:val="clear" w:color="auto" w:fill="auto"/>
            <w:noWrap/>
            <w:vAlign w:val="center"/>
            <w:hideMark/>
          </w:tcPr>
          <w:p w14:paraId="5C9C307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4" w:space="0" w:color="auto"/>
              <w:right w:val="single" w:sz="8" w:space="0" w:color="auto"/>
            </w:tcBorders>
            <w:shd w:val="clear" w:color="auto" w:fill="auto"/>
            <w:noWrap/>
            <w:vAlign w:val="center"/>
            <w:hideMark/>
          </w:tcPr>
          <w:p w14:paraId="6EFC1F2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7.583.333,33</w:t>
            </w:r>
          </w:p>
        </w:tc>
      </w:tr>
      <w:tr w:rsidR="00931CF1" w:rsidRPr="00092ED7" w14:paraId="409AA4E6" w14:textId="77777777" w:rsidTr="00812992">
        <w:trPr>
          <w:trHeight w:val="330"/>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DA5F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51706" w14:textId="33013E3C"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C10A44" w:rsidRPr="00092ED7">
              <w:rPr>
                <w:rFonts w:eastAsia="Times New Roman" w:cs="Times New Roman"/>
                <w:color w:val="000000"/>
                <w:sz w:val="20"/>
                <w:szCs w:val="20"/>
                <w:lang w:val="sr-Cyrl-CS"/>
              </w:rPr>
              <w:t>2</w:t>
            </w:r>
            <w:r w:rsidRPr="00092ED7">
              <w:rPr>
                <w:rFonts w:eastAsia="Times New Roman" w:cs="Times New Roman"/>
                <w:color w:val="000000"/>
                <w:sz w:val="20"/>
                <w:szCs w:val="20"/>
                <w:lang w:val="sr-Cyrl-CS"/>
              </w:rPr>
              <w:t>.0</w:t>
            </w:r>
            <w:r w:rsidR="00C10A44" w:rsidRPr="00092ED7">
              <w:rPr>
                <w:rFonts w:eastAsia="Times New Roman" w:cs="Times New Roman"/>
                <w:color w:val="000000"/>
                <w:sz w:val="20"/>
                <w:szCs w:val="20"/>
                <w:lang w:val="sr-Cyrl-CS"/>
              </w:rPr>
              <w:t>8</w:t>
            </w:r>
            <w:r w:rsidRPr="00092ED7">
              <w:rPr>
                <w:rFonts w:eastAsia="Times New Roman" w:cs="Times New Roman"/>
                <w:color w:val="000000"/>
                <w:sz w:val="20"/>
                <w:szCs w:val="20"/>
                <w:lang w:val="sr-Cyrl-CS"/>
              </w:rPr>
              <w:t>0.000,00</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12BA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483D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3286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1A19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174E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E813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0A0EF" w14:textId="663D04B9"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C10A44" w:rsidRPr="00092ED7">
              <w:rPr>
                <w:rFonts w:eastAsia="Times New Roman" w:cs="Times New Roman"/>
                <w:color w:val="000000"/>
                <w:sz w:val="20"/>
                <w:szCs w:val="20"/>
                <w:lang w:val="sr-Cyrl-CS"/>
              </w:rPr>
              <w:t>2</w:t>
            </w:r>
            <w:r w:rsidRPr="00092ED7">
              <w:rPr>
                <w:rFonts w:eastAsia="Times New Roman" w:cs="Times New Roman"/>
                <w:color w:val="000000"/>
                <w:sz w:val="20"/>
                <w:szCs w:val="20"/>
                <w:lang w:val="sr-Cyrl-CS"/>
              </w:rPr>
              <w:t>.0</w:t>
            </w:r>
            <w:r w:rsidR="00C10A44" w:rsidRPr="00092ED7">
              <w:rPr>
                <w:rFonts w:eastAsia="Times New Roman" w:cs="Times New Roman"/>
                <w:color w:val="000000"/>
                <w:sz w:val="20"/>
                <w:szCs w:val="20"/>
                <w:lang w:val="sr-Cyrl-CS"/>
              </w:rPr>
              <w:t>8</w:t>
            </w:r>
            <w:r w:rsidRPr="00092ED7">
              <w:rPr>
                <w:rFonts w:eastAsia="Times New Roman" w:cs="Times New Roman"/>
                <w:color w:val="000000"/>
                <w:sz w:val="20"/>
                <w:szCs w:val="20"/>
                <w:lang w:val="sr-Cyrl-CS"/>
              </w:rPr>
              <w:t>0.000,00</w:t>
            </w:r>
          </w:p>
        </w:tc>
      </w:tr>
      <w:tr w:rsidR="00931CF1" w:rsidRPr="00092ED7" w14:paraId="78588D77" w14:textId="77777777" w:rsidTr="00812992">
        <w:trPr>
          <w:trHeight w:val="330"/>
        </w:trPr>
        <w:tc>
          <w:tcPr>
            <w:tcW w:w="125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7B4EE9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single" w:sz="4" w:space="0" w:color="auto"/>
              <w:left w:val="nil"/>
              <w:bottom w:val="single" w:sz="8" w:space="0" w:color="auto"/>
              <w:right w:val="single" w:sz="8" w:space="0" w:color="auto"/>
            </w:tcBorders>
            <w:shd w:val="clear" w:color="auto" w:fill="auto"/>
            <w:noWrap/>
            <w:vAlign w:val="center"/>
            <w:hideMark/>
          </w:tcPr>
          <w:p w14:paraId="4332B57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17.083.333,33</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0B681AB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33D6278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nil"/>
              <w:bottom w:val="single" w:sz="8" w:space="0" w:color="auto"/>
              <w:right w:val="single" w:sz="8" w:space="0" w:color="auto"/>
            </w:tcBorders>
            <w:shd w:val="clear" w:color="auto" w:fill="auto"/>
            <w:noWrap/>
            <w:vAlign w:val="center"/>
            <w:hideMark/>
          </w:tcPr>
          <w:p w14:paraId="39B6B38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single" w:sz="4" w:space="0" w:color="auto"/>
              <w:left w:val="nil"/>
              <w:bottom w:val="single" w:sz="8" w:space="0" w:color="auto"/>
              <w:right w:val="single" w:sz="8" w:space="0" w:color="auto"/>
            </w:tcBorders>
            <w:shd w:val="clear" w:color="auto" w:fill="auto"/>
            <w:noWrap/>
            <w:vAlign w:val="center"/>
            <w:hideMark/>
          </w:tcPr>
          <w:p w14:paraId="3112A50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14:paraId="3350D21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single" w:sz="4" w:space="0" w:color="auto"/>
              <w:left w:val="nil"/>
              <w:bottom w:val="single" w:sz="8" w:space="0" w:color="auto"/>
              <w:right w:val="single" w:sz="8" w:space="0" w:color="auto"/>
            </w:tcBorders>
            <w:shd w:val="clear" w:color="auto" w:fill="auto"/>
            <w:noWrap/>
            <w:vAlign w:val="center"/>
            <w:hideMark/>
          </w:tcPr>
          <w:p w14:paraId="3E993F3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nil"/>
              <w:bottom w:val="single" w:sz="8" w:space="0" w:color="auto"/>
              <w:right w:val="single" w:sz="8" w:space="0" w:color="auto"/>
            </w:tcBorders>
            <w:shd w:val="clear" w:color="auto" w:fill="auto"/>
            <w:noWrap/>
            <w:vAlign w:val="center"/>
            <w:hideMark/>
          </w:tcPr>
          <w:p w14:paraId="181BAA1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17.083.333,33</w:t>
            </w:r>
          </w:p>
        </w:tc>
      </w:tr>
      <w:tr w:rsidR="008D7C20" w:rsidRPr="00092ED7" w14:paraId="17FEFBFA"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8380404"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15. Подршка развоју талената и креативних индустрија оснивањем мултифункционалног иновативно-креативног центра Ложионица</w:t>
            </w:r>
          </w:p>
        </w:tc>
      </w:tr>
      <w:tr w:rsidR="00931CF1" w:rsidRPr="00092ED7" w14:paraId="027C1BC6"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C15564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499C8F7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163839E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0612D1F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1B0E22F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0860FC1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0BB47A7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25CBEFB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1BB8255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0D385458"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E4226C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7AD5EAA5" w14:textId="112510C6" w:rsidR="008D7C20" w:rsidRPr="00092ED7" w:rsidRDefault="008D7C20" w:rsidP="00AB4B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E37276" w:rsidRPr="00092ED7">
              <w:rPr>
                <w:rFonts w:eastAsia="Times New Roman" w:cs="Times New Roman"/>
                <w:color w:val="000000"/>
                <w:sz w:val="20"/>
                <w:szCs w:val="20"/>
                <w:lang w:val="sr-Cyrl-CS"/>
              </w:rPr>
              <w:t>5</w:t>
            </w:r>
            <w:r w:rsidRPr="00092ED7">
              <w:rPr>
                <w:rFonts w:eastAsia="Times New Roman" w:cs="Times New Roman"/>
                <w:color w:val="000000"/>
                <w:sz w:val="20"/>
                <w:szCs w:val="20"/>
                <w:lang w:val="sr-Cyrl-CS"/>
              </w:rPr>
              <w:t>.</w:t>
            </w:r>
            <w:r w:rsidR="00E37276" w:rsidRPr="00092ED7">
              <w:rPr>
                <w:rFonts w:eastAsia="Times New Roman" w:cs="Times New Roman"/>
                <w:color w:val="000000"/>
                <w:sz w:val="20"/>
                <w:szCs w:val="20"/>
                <w:lang w:val="sr-Cyrl-CS"/>
              </w:rPr>
              <w:t>420</w:t>
            </w:r>
            <w:r w:rsidRPr="00092ED7">
              <w:rPr>
                <w:rFonts w:eastAsia="Times New Roman" w:cs="Times New Roman"/>
                <w:color w:val="000000"/>
                <w:sz w:val="20"/>
                <w:szCs w:val="20"/>
                <w:lang w:val="sr-Cyrl-CS"/>
              </w:rPr>
              <w:t>.</w:t>
            </w:r>
            <w:r w:rsidR="00E37276" w:rsidRPr="00092ED7">
              <w:rPr>
                <w:rFonts w:eastAsia="Times New Roman" w:cs="Times New Roman"/>
                <w:color w:val="000000"/>
                <w:sz w:val="20"/>
                <w:szCs w:val="20"/>
                <w:lang w:val="sr-Cyrl-CS"/>
              </w:rPr>
              <w:t>000</w:t>
            </w:r>
            <w:r w:rsidRPr="00092ED7">
              <w:rPr>
                <w:rFonts w:eastAsia="Times New Roman" w:cs="Times New Roman"/>
                <w:color w:val="000000"/>
                <w:sz w:val="20"/>
                <w:szCs w:val="20"/>
                <w:lang w:val="sr-Cyrl-CS"/>
              </w:rPr>
              <w:t>,</w:t>
            </w:r>
            <w:r w:rsidR="00E37276" w:rsidRPr="00092ED7">
              <w:rPr>
                <w:rFonts w:eastAsia="Times New Roman" w:cs="Times New Roman"/>
                <w:color w:val="000000"/>
                <w:sz w:val="20"/>
                <w:szCs w:val="20"/>
                <w:lang w:val="sr-Cyrl-CS"/>
              </w:rPr>
              <w:t>00</w:t>
            </w:r>
          </w:p>
        </w:tc>
        <w:tc>
          <w:tcPr>
            <w:tcW w:w="1617" w:type="dxa"/>
            <w:tcBorders>
              <w:top w:val="nil"/>
              <w:left w:val="nil"/>
              <w:bottom w:val="single" w:sz="8" w:space="0" w:color="auto"/>
              <w:right w:val="single" w:sz="8" w:space="0" w:color="auto"/>
            </w:tcBorders>
            <w:shd w:val="clear" w:color="auto" w:fill="auto"/>
            <w:noWrap/>
            <w:vAlign w:val="center"/>
            <w:hideMark/>
          </w:tcPr>
          <w:p w14:paraId="7B97AAC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47EC73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0EAC803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0AC06B0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12D7586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6A66D48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5F46E4E" w14:textId="55F7B740" w:rsidR="008D7C20" w:rsidRPr="00092ED7" w:rsidRDefault="008D7C20" w:rsidP="00AB4B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7C693C" w:rsidRPr="00092ED7">
              <w:rPr>
                <w:rFonts w:eastAsia="Times New Roman" w:cs="Times New Roman"/>
                <w:color w:val="000000"/>
                <w:sz w:val="20"/>
                <w:szCs w:val="20"/>
                <w:lang w:val="sr-Cyrl-CS"/>
              </w:rPr>
              <w:t>5</w:t>
            </w:r>
            <w:r w:rsidRPr="00092ED7">
              <w:rPr>
                <w:rFonts w:eastAsia="Times New Roman" w:cs="Times New Roman"/>
                <w:color w:val="000000"/>
                <w:sz w:val="20"/>
                <w:szCs w:val="20"/>
                <w:lang w:val="sr-Cyrl-CS"/>
              </w:rPr>
              <w:t>.</w:t>
            </w:r>
            <w:r w:rsidR="007C693C" w:rsidRPr="00092ED7">
              <w:rPr>
                <w:rFonts w:eastAsia="Times New Roman" w:cs="Times New Roman"/>
                <w:color w:val="000000"/>
                <w:sz w:val="20"/>
                <w:szCs w:val="20"/>
                <w:lang w:val="sr-Cyrl-CS"/>
              </w:rPr>
              <w:t>420</w:t>
            </w:r>
            <w:r w:rsidRPr="00092ED7">
              <w:rPr>
                <w:rFonts w:eastAsia="Times New Roman" w:cs="Times New Roman"/>
                <w:color w:val="000000"/>
                <w:sz w:val="20"/>
                <w:szCs w:val="20"/>
                <w:lang w:val="sr-Cyrl-CS"/>
              </w:rPr>
              <w:t>.</w:t>
            </w:r>
            <w:r w:rsidR="007C693C" w:rsidRPr="00092ED7">
              <w:rPr>
                <w:rFonts w:eastAsia="Times New Roman" w:cs="Times New Roman"/>
                <w:color w:val="000000"/>
                <w:sz w:val="20"/>
                <w:szCs w:val="20"/>
                <w:lang w:val="sr-Cyrl-CS"/>
              </w:rPr>
              <w:t>000</w:t>
            </w:r>
            <w:r w:rsidRPr="00092ED7">
              <w:rPr>
                <w:rFonts w:eastAsia="Times New Roman" w:cs="Times New Roman"/>
                <w:color w:val="000000"/>
                <w:sz w:val="20"/>
                <w:szCs w:val="20"/>
                <w:lang w:val="sr-Cyrl-CS"/>
              </w:rPr>
              <w:t>,</w:t>
            </w:r>
            <w:r w:rsidR="007C693C" w:rsidRPr="00092ED7">
              <w:rPr>
                <w:rFonts w:eastAsia="Times New Roman" w:cs="Times New Roman"/>
                <w:color w:val="000000"/>
                <w:sz w:val="20"/>
                <w:szCs w:val="20"/>
                <w:lang w:val="sr-Cyrl-CS"/>
              </w:rPr>
              <w:t>00</w:t>
            </w:r>
          </w:p>
        </w:tc>
      </w:tr>
      <w:tr w:rsidR="00931CF1" w:rsidRPr="00092ED7" w14:paraId="4D9D9CA7"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5087BA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717D6F2A" w14:textId="67E92853" w:rsidR="008D7C20" w:rsidRPr="00092ED7" w:rsidRDefault="008D7C20" w:rsidP="00AB4B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w:t>
            </w:r>
            <w:r w:rsidR="00E37276" w:rsidRPr="00092ED7">
              <w:rPr>
                <w:rFonts w:eastAsia="Times New Roman" w:cs="Times New Roman"/>
                <w:color w:val="000000"/>
                <w:sz w:val="20"/>
                <w:szCs w:val="20"/>
                <w:lang w:val="sr-Cyrl-CS"/>
              </w:rPr>
              <w:t>7</w:t>
            </w:r>
            <w:r w:rsidRPr="00092ED7">
              <w:rPr>
                <w:rFonts w:eastAsia="Times New Roman" w:cs="Times New Roman"/>
                <w:color w:val="000000"/>
                <w:sz w:val="20"/>
                <w:szCs w:val="20"/>
                <w:lang w:val="sr-Cyrl-CS"/>
              </w:rPr>
              <w:t>.</w:t>
            </w:r>
            <w:r w:rsidR="00E37276" w:rsidRPr="00092ED7">
              <w:rPr>
                <w:rFonts w:eastAsia="Times New Roman" w:cs="Times New Roman"/>
                <w:color w:val="000000"/>
                <w:sz w:val="20"/>
                <w:szCs w:val="20"/>
                <w:lang w:val="sr-Cyrl-CS"/>
              </w:rPr>
              <w:t>080</w:t>
            </w:r>
            <w:r w:rsidRPr="00092ED7">
              <w:rPr>
                <w:rFonts w:eastAsia="Times New Roman" w:cs="Times New Roman"/>
                <w:color w:val="000000"/>
                <w:sz w:val="20"/>
                <w:szCs w:val="20"/>
                <w:lang w:val="sr-Cyrl-CS"/>
              </w:rPr>
              <w:t>.</w:t>
            </w:r>
            <w:r w:rsidR="00E37276" w:rsidRPr="00092ED7">
              <w:rPr>
                <w:rFonts w:eastAsia="Times New Roman" w:cs="Times New Roman"/>
                <w:color w:val="000000"/>
                <w:sz w:val="20"/>
                <w:szCs w:val="20"/>
                <w:lang w:val="sr-Cyrl-CS"/>
              </w:rPr>
              <w:t>000</w:t>
            </w:r>
            <w:r w:rsidRPr="00092ED7">
              <w:rPr>
                <w:rFonts w:eastAsia="Times New Roman" w:cs="Times New Roman"/>
                <w:color w:val="000000"/>
                <w:sz w:val="20"/>
                <w:szCs w:val="20"/>
                <w:lang w:val="sr-Cyrl-CS"/>
              </w:rPr>
              <w:t>,</w:t>
            </w:r>
            <w:r w:rsidR="00E37276" w:rsidRPr="00092ED7">
              <w:rPr>
                <w:rFonts w:eastAsia="Times New Roman" w:cs="Times New Roman"/>
                <w:color w:val="000000"/>
                <w:sz w:val="20"/>
                <w:szCs w:val="20"/>
                <w:lang w:val="sr-Cyrl-CS"/>
              </w:rPr>
              <w:t>00</w:t>
            </w:r>
          </w:p>
        </w:tc>
        <w:tc>
          <w:tcPr>
            <w:tcW w:w="1617" w:type="dxa"/>
            <w:tcBorders>
              <w:top w:val="nil"/>
              <w:left w:val="nil"/>
              <w:bottom w:val="single" w:sz="8" w:space="0" w:color="auto"/>
              <w:right w:val="single" w:sz="8" w:space="0" w:color="auto"/>
            </w:tcBorders>
            <w:shd w:val="clear" w:color="auto" w:fill="auto"/>
            <w:noWrap/>
            <w:vAlign w:val="center"/>
            <w:hideMark/>
          </w:tcPr>
          <w:p w14:paraId="741E9DD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559AE7A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2B5A65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7DBB4C0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1561262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4B0260A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5425AAE" w14:textId="1E387C2A"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w:t>
            </w:r>
            <w:r w:rsidR="007C693C" w:rsidRPr="00092ED7">
              <w:rPr>
                <w:rFonts w:eastAsia="Times New Roman" w:cs="Times New Roman"/>
                <w:color w:val="000000"/>
                <w:sz w:val="20"/>
                <w:szCs w:val="20"/>
                <w:lang w:val="sr-Cyrl-CS"/>
              </w:rPr>
              <w:t>7</w:t>
            </w:r>
            <w:r w:rsidRPr="00092ED7">
              <w:rPr>
                <w:rFonts w:eastAsia="Times New Roman" w:cs="Times New Roman"/>
                <w:color w:val="000000"/>
                <w:sz w:val="20"/>
                <w:szCs w:val="20"/>
                <w:lang w:val="sr-Cyrl-CS"/>
              </w:rPr>
              <w:t>.</w:t>
            </w:r>
            <w:r w:rsidR="007C693C" w:rsidRPr="00092ED7">
              <w:rPr>
                <w:rFonts w:eastAsia="Times New Roman" w:cs="Times New Roman"/>
                <w:color w:val="000000"/>
                <w:sz w:val="20"/>
                <w:szCs w:val="20"/>
                <w:lang w:val="sr-Cyrl-CS"/>
              </w:rPr>
              <w:t>080</w:t>
            </w:r>
            <w:r w:rsidRPr="00092ED7">
              <w:rPr>
                <w:rFonts w:eastAsia="Times New Roman" w:cs="Times New Roman"/>
                <w:color w:val="000000"/>
                <w:sz w:val="20"/>
                <w:szCs w:val="20"/>
                <w:lang w:val="sr-Cyrl-CS"/>
              </w:rPr>
              <w:t>.</w:t>
            </w:r>
            <w:r w:rsidR="007C693C" w:rsidRPr="00092ED7">
              <w:rPr>
                <w:rFonts w:eastAsia="Times New Roman" w:cs="Times New Roman"/>
                <w:color w:val="000000"/>
                <w:sz w:val="20"/>
                <w:szCs w:val="20"/>
                <w:lang w:val="sr-Cyrl-CS"/>
              </w:rPr>
              <w:t>000</w:t>
            </w:r>
            <w:r w:rsidRPr="00092ED7">
              <w:rPr>
                <w:rFonts w:eastAsia="Times New Roman" w:cs="Times New Roman"/>
                <w:color w:val="000000"/>
                <w:sz w:val="20"/>
                <w:szCs w:val="20"/>
                <w:lang w:val="sr-Cyrl-CS"/>
              </w:rPr>
              <w:t>,</w:t>
            </w:r>
            <w:r w:rsidR="007C693C" w:rsidRPr="00092ED7">
              <w:rPr>
                <w:rFonts w:eastAsia="Times New Roman" w:cs="Times New Roman"/>
                <w:color w:val="000000"/>
                <w:sz w:val="20"/>
                <w:szCs w:val="20"/>
                <w:lang w:val="sr-Cyrl-CS"/>
              </w:rPr>
              <w:t>00</w:t>
            </w:r>
          </w:p>
        </w:tc>
      </w:tr>
      <w:tr w:rsidR="00931CF1" w:rsidRPr="00092ED7" w14:paraId="248FBDF9"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328F8B8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47E8CA9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20.000.000,00</w:t>
            </w:r>
          </w:p>
        </w:tc>
        <w:tc>
          <w:tcPr>
            <w:tcW w:w="1617" w:type="dxa"/>
            <w:tcBorders>
              <w:top w:val="nil"/>
              <w:left w:val="nil"/>
              <w:bottom w:val="single" w:sz="8" w:space="0" w:color="auto"/>
              <w:right w:val="single" w:sz="8" w:space="0" w:color="auto"/>
            </w:tcBorders>
            <w:shd w:val="clear" w:color="auto" w:fill="auto"/>
            <w:noWrap/>
            <w:vAlign w:val="center"/>
            <w:hideMark/>
          </w:tcPr>
          <w:p w14:paraId="48B0785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506778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5423630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6C9B1B9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157D9EF0" w14:textId="77777777" w:rsidR="008D7C20" w:rsidRPr="00092ED7" w:rsidRDefault="008D7C20" w:rsidP="008D7C20">
            <w:pPr>
              <w:spacing w:after="0"/>
              <w:jc w:val="right"/>
              <w:rPr>
                <w:rFonts w:eastAsia="Times New Roman" w:cs="Times New Roman"/>
                <w:bCs/>
                <w:color w:val="000000"/>
                <w:sz w:val="20"/>
                <w:szCs w:val="20"/>
                <w:lang w:val="sr-Cyrl-CS"/>
              </w:rPr>
            </w:pPr>
            <w:r w:rsidRPr="00092ED7">
              <w:rPr>
                <w:rFonts w:eastAsia="Times New Roman" w:cs="Times New Roman"/>
                <w:bCs/>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0F470A13" w14:textId="77777777" w:rsidR="008D7C20" w:rsidRPr="00092ED7" w:rsidRDefault="008D7C20" w:rsidP="008D7C20">
            <w:pPr>
              <w:spacing w:after="0"/>
              <w:jc w:val="right"/>
              <w:rPr>
                <w:rFonts w:eastAsia="Times New Roman" w:cs="Times New Roman"/>
                <w:bCs/>
                <w:color w:val="000000"/>
                <w:sz w:val="20"/>
                <w:szCs w:val="20"/>
                <w:lang w:val="sr-Cyrl-CS"/>
              </w:rPr>
            </w:pPr>
            <w:r w:rsidRPr="00092ED7">
              <w:rPr>
                <w:rFonts w:eastAsia="Times New Roman" w:cs="Times New Roman"/>
                <w:bCs/>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35A26D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20.000.000,00</w:t>
            </w:r>
          </w:p>
        </w:tc>
      </w:tr>
      <w:tr w:rsidR="008D7C20" w:rsidRPr="00092ED7" w14:paraId="44034704"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3977CD14"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16. Развој стартап екосистема</w:t>
            </w:r>
          </w:p>
        </w:tc>
      </w:tr>
      <w:tr w:rsidR="00931CF1" w:rsidRPr="00092ED7" w14:paraId="068E8AF0"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CC83A9F"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387DBB4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4A85901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00F6B12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12F61DD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06E3E60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6FFC518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3DCF917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5F0CBBD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2BF7CB7F"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574C14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0B277B1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4A9E0F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4286C1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1DC7EB6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12.168.749,33</w:t>
            </w:r>
          </w:p>
        </w:tc>
        <w:tc>
          <w:tcPr>
            <w:tcW w:w="1434" w:type="dxa"/>
            <w:tcBorders>
              <w:top w:val="nil"/>
              <w:left w:val="nil"/>
              <w:bottom w:val="single" w:sz="8" w:space="0" w:color="auto"/>
              <w:right w:val="single" w:sz="8" w:space="0" w:color="auto"/>
            </w:tcBorders>
            <w:shd w:val="clear" w:color="auto" w:fill="auto"/>
            <w:noWrap/>
            <w:vAlign w:val="center"/>
            <w:hideMark/>
          </w:tcPr>
          <w:p w14:paraId="199E8C9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72850D5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3.000.000,00</w:t>
            </w:r>
          </w:p>
        </w:tc>
        <w:tc>
          <w:tcPr>
            <w:tcW w:w="1326" w:type="dxa"/>
            <w:tcBorders>
              <w:top w:val="nil"/>
              <w:left w:val="nil"/>
              <w:bottom w:val="single" w:sz="8" w:space="0" w:color="auto"/>
              <w:right w:val="single" w:sz="8" w:space="0" w:color="auto"/>
            </w:tcBorders>
            <w:shd w:val="clear" w:color="auto" w:fill="auto"/>
            <w:noWrap/>
            <w:vAlign w:val="center"/>
            <w:hideMark/>
          </w:tcPr>
          <w:p w14:paraId="755EC10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4F207A1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15.168.749,33</w:t>
            </w:r>
          </w:p>
        </w:tc>
      </w:tr>
      <w:tr w:rsidR="00931CF1" w:rsidRPr="00092ED7" w14:paraId="3FD638FB"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5C46A18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1CAE879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E94686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E75E1E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1B68347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12.168.749,33</w:t>
            </w:r>
          </w:p>
        </w:tc>
        <w:tc>
          <w:tcPr>
            <w:tcW w:w="1434" w:type="dxa"/>
            <w:tcBorders>
              <w:top w:val="nil"/>
              <w:left w:val="nil"/>
              <w:bottom w:val="single" w:sz="8" w:space="0" w:color="auto"/>
              <w:right w:val="single" w:sz="8" w:space="0" w:color="auto"/>
            </w:tcBorders>
            <w:shd w:val="clear" w:color="auto" w:fill="auto"/>
            <w:noWrap/>
            <w:vAlign w:val="center"/>
            <w:hideMark/>
          </w:tcPr>
          <w:p w14:paraId="07B148A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373D8BA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2.900.000,00</w:t>
            </w:r>
          </w:p>
        </w:tc>
        <w:tc>
          <w:tcPr>
            <w:tcW w:w="1326" w:type="dxa"/>
            <w:tcBorders>
              <w:top w:val="nil"/>
              <w:left w:val="nil"/>
              <w:bottom w:val="single" w:sz="8" w:space="0" w:color="auto"/>
              <w:right w:val="single" w:sz="8" w:space="0" w:color="auto"/>
            </w:tcBorders>
            <w:shd w:val="clear" w:color="auto" w:fill="auto"/>
            <w:noWrap/>
            <w:vAlign w:val="center"/>
            <w:hideMark/>
          </w:tcPr>
          <w:p w14:paraId="4F22929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7C5E119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15.068.749,33</w:t>
            </w:r>
          </w:p>
        </w:tc>
      </w:tr>
      <w:tr w:rsidR="00931CF1" w:rsidRPr="00092ED7" w14:paraId="64B2F046"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854CEB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088B6B5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7A2DF0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E52B5E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76195F1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9.003.230,00</w:t>
            </w:r>
          </w:p>
        </w:tc>
        <w:tc>
          <w:tcPr>
            <w:tcW w:w="1434" w:type="dxa"/>
            <w:tcBorders>
              <w:top w:val="nil"/>
              <w:left w:val="nil"/>
              <w:bottom w:val="single" w:sz="8" w:space="0" w:color="auto"/>
              <w:right w:val="single" w:sz="8" w:space="0" w:color="auto"/>
            </w:tcBorders>
            <w:shd w:val="clear" w:color="auto" w:fill="auto"/>
            <w:noWrap/>
            <w:vAlign w:val="center"/>
            <w:hideMark/>
          </w:tcPr>
          <w:p w14:paraId="4662FA0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5E1DFF2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3FD298F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D432A1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9.003.230,00</w:t>
            </w:r>
          </w:p>
        </w:tc>
      </w:tr>
      <w:tr w:rsidR="008D7C20" w:rsidRPr="00092ED7" w14:paraId="285A8F03" w14:textId="77777777" w:rsidTr="008D7C20">
        <w:trPr>
          <w:trHeight w:val="345"/>
        </w:trPr>
        <w:tc>
          <w:tcPr>
            <w:tcW w:w="13948" w:type="dxa"/>
            <w:gridSpan w:val="9"/>
            <w:tcBorders>
              <w:top w:val="single" w:sz="8" w:space="0" w:color="auto"/>
              <w:left w:val="single" w:sz="8" w:space="0" w:color="auto"/>
              <w:bottom w:val="single" w:sz="4" w:space="0" w:color="auto"/>
              <w:right w:val="single" w:sz="8" w:space="0" w:color="000000"/>
            </w:tcBorders>
            <w:shd w:val="clear" w:color="000000" w:fill="D0CECE"/>
            <w:vAlign w:val="center"/>
            <w:hideMark/>
          </w:tcPr>
          <w:p w14:paraId="3FB89C8C"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17. Стварање услова за развој бионаука и биоекономије кроз изградњу БИО4 Кампуса</w:t>
            </w:r>
          </w:p>
        </w:tc>
      </w:tr>
      <w:tr w:rsidR="00931CF1" w:rsidRPr="00092ED7" w14:paraId="5EC9CF51" w14:textId="77777777" w:rsidTr="00812992">
        <w:trPr>
          <w:trHeight w:val="645"/>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D2C0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DC18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66DD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0155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E79D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5673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5FD6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7307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AE2C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0E6D3F8D" w14:textId="77777777" w:rsidTr="00812992">
        <w:trPr>
          <w:trHeight w:val="330"/>
        </w:trPr>
        <w:tc>
          <w:tcPr>
            <w:tcW w:w="125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F23420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single" w:sz="4" w:space="0" w:color="auto"/>
              <w:left w:val="nil"/>
              <w:bottom w:val="single" w:sz="8" w:space="0" w:color="auto"/>
              <w:right w:val="single" w:sz="8" w:space="0" w:color="auto"/>
            </w:tcBorders>
            <w:shd w:val="clear" w:color="auto" w:fill="auto"/>
            <w:noWrap/>
            <w:vAlign w:val="center"/>
            <w:hideMark/>
          </w:tcPr>
          <w:p w14:paraId="06A8B3B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1103AE6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55476CD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nil"/>
              <w:bottom w:val="single" w:sz="8" w:space="0" w:color="auto"/>
              <w:right w:val="single" w:sz="8" w:space="0" w:color="auto"/>
            </w:tcBorders>
            <w:shd w:val="clear" w:color="auto" w:fill="auto"/>
            <w:noWrap/>
            <w:vAlign w:val="center"/>
            <w:hideMark/>
          </w:tcPr>
          <w:p w14:paraId="3027DE8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single" w:sz="4" w:space="0" w:color="auto"/>
              <w:left w:val="nil"/>
              <w:bottom w:val="single" w:sz="8" w:space="0" w:color="auto"/>
              <w:right w:val="single" w:sz="8" w:space="0" w:color="auto"/>
            </w:tcBorders>
            <w:shd w:val="clear" w:color="auto" w:fill="auto"/>
            <w:noWrap/>
            <w:vAlign w:val="center"/>
            <w:hideMark/>
          </w:tcPr>
          <w:p w14:paraId="0491D4F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14:paraId="69A4BAD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101.115.000,00</w:t>
            </w:r>
          </w:p>
        </w:tc>
        <w:tc>
          <w:tcPr>
            <w:tcW w:w="1326" w:type="dxa"/>
            <w:tcBorders>
              <w:top w:val="single" w:sz="4" w:space="0" w:color="auto"/>
              <w:left w:val="nil"/>
              <w:bottom w:val="single" w:sz="8" w:space="0" w:color="auto"/>
              <w:right w:val="single" w:sz="8" w:space="0" w:color="auto"/>
            </w:tcBorders>
            <w:shd w:val="clear" w:color="auto" w:fill="auto"/>
            <w:noWrap/>
            <w:vAlign w:val="center"/>
            <w:hideMark/>
          </w:tcPr>
          <w:p w14:paraId="6FA178A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nil"/>
              <w:bottom w:val="single" w:sz="8" w:space="0" w:color="auto"/>
              <w:right w:val="single" w:sz="8" w:space="0" w:color="auto"/>
            </w:tcBorders>
            <w:shd w:val="clear" w:color="auto" w:fill="auto"/>
            <w:noWrap/>
            <w:vAlign w:val="center"/>
            <w:hideMark/>
          </w:tcPr>
          <w:p w14:paraId="209EFD6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101.115.000,00</w:t>
            </w:r>
          </w:p>
        </w:tc>
      </w:tr>
      <w:tr w:rsidR="00931CF1" w:rsidRPr="00092ED7" w14:paraId="53C8DDA1"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02BCED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7BAB57B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7751BFA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63178E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02F801A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7F64EF7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5E4362C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101.115.000,00</w:t>
            </w:r>
          </w:p>
        </w:tc>
        <w:tc>
          <w:tcPr>
            <w:tcW w:w="1326" w:type="dxa"/>
            <w:tcBorders>
              <w:top w:val="nil"/>
              <w:left w:val="nil"/>
              <w:bottom w:val="single" w:sz="8" w:space="0" w:color="auto"/>
              <w:right w:val="single" w:sz="8" w:space="0" w:color="auto"/>
            </w:tcBorders>
            <w:shd w:val="clear" w:color="auto" w:fill="auto"/>
            <w:noWrap/>
            <w:vAlign w:val="center"/>
            <w:hideMark/>
          </w:tcPr>
          <w:p w14:paraId="5A304B4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9C4890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101.115.000,00</w:t>
            </w:r>
          </w:p>
        </w:tc>
      </w:tr>
      <w:tr w:rsidR="00931CF1" w:rsidRPr="00092ED7" w14:paraId="6A3AE852"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5BEB436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6B859F0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033D7B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5FE77C9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4EA3A96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77A61ED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3AFA232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100.000.000,00</w:t>
            </w:r>
          </w:p>
        </w:tc>
        <w:tc>
          <w:tcPr>
            <w:tcW w:w="1326" w:type="dxa"/>
            <w:tcBorders>
              <w:top w:val="nil"/>
              <w:left w:val="nil"/>
              <w:bottom w:val="single" w:sz="8" w:space="0" w:color="auto"/>
              <w:right w:val="single" w:sz="8" w:space="0" w:color="auto"/>
            </w:tcBorders>
            <w:shd w:val="clear" w:color="auto" w:fill="auto"/>
            <w:noWrap/>
            <w:vAlign w:val="center"/>
            <w:hideMark/>
          </w:tcPr>
          <w:p w14:paraId="292465F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74688EC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100.000.000,00</w:t>
            </w:r>
          </w:p>
        </w:tc>
      </w:tr>
      <w:tr w:rsidR="008D7C20" w:rsidRPr="00092ED7" w14:paraId="2FD7E4EF"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0EF8540"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18. Унапређење услова и уклањање препрека трговини</w:t>
            </w:r>
          </w:p>
        </w:tc>
      </w:tr>
      <w:tr w:rsidR="00931CF1" w:rsidRPr="00092ED7" w14:paraId="32EE1E5E"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087661E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4096431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5F98AC5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7F18370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5F050FC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603BB46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6D842B6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02820EC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527D7B4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0D752D15"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740FDE0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1FC4AEB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19.770,00</w:t>
            </w:r>
          </w:p>
        </w:tc>
        <w:tc>
          <w:tcPr>
            <w:tcW w:w="1617" w:type="dxa"/>
            <w:tcBorders>
              <w:top w:val="nil"/>
              <w:left w:val="nil"/>
              <w:bottom w:val="single" w:sz="8" w:space="0" w:color="auto"/>
              <w:right w:val="single" w:sz="8" w:space="0" w:color="auto"/>
            </w:tcBorders>
            <w:shd w:val="clear" w:color="auto" w:fill="auto"/>
            <w:noWrap/>
            <w:vAlign w:val="center"/>
            <w:hideMark/>
          </w:tcPr>
          <w:p w14:paraId="57709BE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619771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9FB3B9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662B236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40.000,00</w:t>
            </w:r>
          </w:p>
        </w:tc>
        <w:tc>
          <w:tcPr>
            <w:tcW w:w="1466" w:type="dxa"/>
            <w:tcBorders>
              <w:top w:val="nil"/>
              <w:left w:val="nil"/>
              <w:bottom w:val="single" w:sz="8" w:space="0" w:color="auto"/>
              <w:right w:val="single" w:sz="8" w:space="0" w:color="auto"/>
            </w:tcBorders>
            <w:shd w:val="clear" w:color="auto" w:fill="auto"/>
            <w:noWrap/>
            <w:vAlign w:val="center"/>
            <w:hideMark/>
          </w:tcPr>
          <w:p w14:paraId="1FFAA5D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6DB957D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7A6B9D0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59.770,00</w:t>
            </w:r>
          </w:p>
        </w:tc>
      </w:tr>
      <w:tr w:rsidR="00931CF1" w:rsidRPr="00092ED7" w14:paraId="7EFD36B3"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34F3001"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6FF18B1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19.770,00</w:t>
            </w:r>
          </w:p>
        </w:tc>
        <w:tc>
          <w:tcPr>
            <w:tcW w:w="1617" w:type="dxa"/>
            <w:tcBorders>
              <w:top w:val="nil"/>
              <w:left w:val="nil"/>
              <w:bottom w:val="single" w:sz="8" w:space="0" w:color="auto"/>
              <w:right w:val="single" w:sz="8" w:space="0" w:color="auto"/>
            </w:tcBorders>
            <w:shd w:val="clear" w:color="auto" w:fill="auto"/>
            <w:noWrap/>
            <w:vAlign w:val="center"/>
            <w:hideMark/>
          </w:tcPr>
          <w:p w14:paraId="20723E2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59C6888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070654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62EA448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15.000,00</w:t>
            </w:r>
          </w:p>
        </w:tc>
        <w:tc>
          <w:tcPr>
            <w:tcW w:w="1466" w:type="dxa"/>
            <w:tcBorders>
              <w:top w:val="nil"/>
              <w:left w:val="nil"/>
              <w:bottom w:val="single" w:sz="8" w:space="0" w:color="auto"/>
              <w:right w:val="single" w:sz="8" w:space="0" w:color="auto"/>
            </w:tcBorders>
            <w:shd w:val="clear" w:color="auto" w:fill="auto"/>
            <w:noWrap/>
            <w:vAlign w:val="center"/>
            <w:hideMark/>
          </w:tcPr>
          <w:p w14:paraId="505328C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214F8C2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3C02FF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34.770,00</w:t>
            </w:r>
          </w:p>
        </w:tc>
      </w:tr>
      <w:tr w:rsidR="00931CF1" w:rsidRPr="00092ED7" w14:paraId="35768DD0"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532869A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506A635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19.770,00</w:t>
            </w:r>
          </w:p>
        </w:tc>
        <w:tc>
          <w:tcPr>
            <w:tcW w:w="1617" w:type="dxa"/>
            <w:tcBorders>
              <w:top w:val="nil"/>
              <w:left w:val="nil"/>
              <w:bottom w:val="single" w:sz="8" w:space="0" w:color="auto"/>
              <w:right w:val="single" w:sz="8" w:space="0" w:color="auto"/>
            </w:tcBorders>
            <w:shd w:val="clear" w:color="auto" w:fill="auto"/>
            <w:noWrap/>
            <w:vAlign w:val="center"/>
            <w:hideMark/>
          </w:tcPr>
          <w:p w14:paraId="1C70FBF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57FB90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7FEB250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7AF765C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0009BD4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10AFD34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4448BC8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19.770,00</w:t>
            </w:r>
          </w:p>
        </w:tc>
      </w:tr>
      <w:tr w:rsidR="008D7C20" w:rsidRPr="00092ED7" w14:paraId="365083BA" w14:textId="77777777" w:rsidTr="008D7C20">
        <w:trPr>
          <w:trHeight w:val="330"/>
        </w:trPr>
        <w:tc>
          <w:tcPr>
            <w:tcW w:w="13948" w:type="dxa"/>
            <w:gridSpan w:val="9"/>
            <w:tcBorders>
              <w:top w:val="single" w:sz="8" w:space="0" w:color="auto"/>
              <w:left w:val="single" w:sz="8" w:space="0" w:color="auto"/>
              <w:bottom w:val="single" w:sz="4" w:space="0" w:color="auto"/>
              <w:right w:val="single" w:sz="8" w:space="0" w:color="auto"/>
            </w:tcBorders>
            <w:shd w:val="clear" w:color="000000" w:fill="D0CECE"/>
            <w:noWrap/>
            <w:vAlign w:val="center"/>
            <w:hideMark/>
          </w:tcPr>
          <w:p w14:paraId="202B405A"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19. Унапређење ефикасности и безбедности у железничком саобраћају</w:t>
            </w:r>
          </w:p>
        </w:tc>
      </w:tr>
      <w:tr w:rsidR="00931CF1" w:rsidRPr="00092ED7" w14:paraId="0A2D6FE5" w14:textId="77777777" w:rsidTr="00812992">
        <w:trPr>
          <w:trHeight w:val="645"/>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A57E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B10E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3916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D29E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E545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5A4D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2421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Пројкетни кредити</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E791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7860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62AFDB0A" w14:textId="77777777" w:rsidTr="00812992">
        <w:trPr>
          <w:trHeight w:val="330"/>
        </w:trPr>
        <w:tc>
          <w:tcPr>
            <w:tcW w:w="125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C2A6442"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single" w:sz="4" w:space="0" w:color="auto"/>
              <w:left w:val="nil"/>
              <w:bottom w:val="single" w:sz="8" w:space="0" w:color="auto"/>
              <w:right w:val="single" w:sz="8" w:space="0" w:color="auto"/>
            </w:tcBorders>
            <w:shd w:val="clear" w:color="auto" w:fill="auto"/>
            <w:noWrap/>
            <w:vAlign w:val="center"/>
            <w:hideMark/>
          </w:tcPr>
          <w:p w14:paraId="5154F71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3.382.270,33</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43971EC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17842C0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nil"/>
              <w:bottom w:val="single" w:sz="8" w:space="0" w:color="auto"/>
              <w:right w:val="single" w:sz="8" w:space="0" w:color="auto"/>
            </w:tcBorders>
            <w:shd w:val="clear" w:color="auto" w:fill="auto"/>
            <w:noWrap/>
            <w:vAlign w:val="center"/>
            <w:hideMark/>
          </w:tcPr>
          <w:p w14:paraId="4499044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single" w:sz="4" w:space="0" w:color="auto"/>
              <w:left w:val="nil"/>
              <w:bottom w:val="single" w:sz="8" w:space="0" w:color="auto"/>
              <w:right w:val="single" w:sz="8" w:space="0" w:color="auto"/>
            </w:tcBorders>
            <w:shd w:val="clear" w:color="auto" w:fill="auto"/>
            <w:noWrap/>
            <w:vAlign w:val="center"/>
            <w:hideMark/>
          </w:tcPr>
          <w:p w14:paraId="3D469A9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14:paraId="58A5A1E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14.283.333,00</w:t>
            </w:r>
          </w:p>
        </w:tc>
        <w:tc>
          <w:tcPr>
            <w:tcW w:w="1326" w:type="dxa"/>
            <w:tcBorders>
              <w:top w:val="single" w:sz="4" w:space="0" w:color="auto"/>
              <w:left w:val="nil"/>
              <w:bottom w:val="single" w:sz="8" w:space="0" w:color="auto"/>
              <w:right w:val="single" w:sz="8" w:space="0" w:color="auto"/>
            </w:tcBorders>
            <w:shd w:val="clear" w:color="auto" w:fill="auto"/>
            <w:noWrap/>
            <w:vAlign w:val="center"/>
            <w:hideMark/>
          </w:tcPr>
          <w:p w14:paraId="65409E8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nil"/>
              <w:bottom w:val="single" w:sz="8" w:space="0" w:color="auto"/>
              <w:right w:val="single" w:sz="8" w:space="0" w:color="auto"/>
            </w:tcBorders>
            <w:shd w:val="clear" w:color="auto" w:fill="auto"/>
            <w:noWrap/>
            <w:vAlign w:val="center"/>
            <w:hideMark/>
          </w:tcPr>
          <w:p w14:paraId="7B0DFD0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17.665.603,33</w:t>
            </w:r>
          </w:p>
        </w:tc>
      </w:tr>
      <w:tr w:rsidR="00931CF1" w:rsidRPr="00092ED7" w14:paraId="4AD52FF4"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0F72FA28"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48F39D1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48.340,00</w:t>
            </w:r>
          </w:p>
        </w:tc>
        <w:tc>
          <w:tcPr>
            <w:tcW w:w="1617" w:type="dxa"/>
            <w:tcBorders>
              <w:top w:val="nil"/>
              <w:left w:val="nil"/>
              <w:bottom w:val="single" w:sz="8" w:space="0" w:color="auto"/>
              <w:right w:val="single" w:sz="8" w:space="0" w:color="auto"/>
            </w:tcBorders>
            <w:shd w:val="clear" w:color="auto" w:fill="auto"/>
            <w:noWrap/>
            <w:vAlign w:val="center"/>
            <w:hideMark/>
          </w:tcPr>
          <w:p w14:paraId="44DF071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B1F3DD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893539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06F9B6F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34EC308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8.833.333,00</w:t>
            </w:r>
          </w:p>
        </w:tc>
        <w:tc>
          <w:tcPr>
            <w:tcW w:w="1326" w:type="dxa"/>
            <w:tcBorders>
              <w:top w:val="nil"/>
              <w:left w:val="nil"/>
              <w:bottom w:val="single" w:sz="8" w:space="0" w:color="auto"/>
              <w:right w:val="single" w:sz="8" w:space="0" w:color="auto"/>
            </w:tcBorders>
            <w:shd w:val="clear" w:color="auto" w:fill="auto"/>
            <w:noWrap/>
            <w:vAlign w:val="center"/>
            <w:hideMark/>
          </w:tcPr>
          <w:p w14:paraId="640E002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829E8D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8.881.673,00</w:t>
            </w:r>
          </w:p>
        </w:tc>
      </w:tr>
      <w:tr w:rsidR="00931CF1" w:rsidRPr="00092ED7" w14:paraId="650DE320"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F9D8CE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0A33CEB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48.340,00</w:t>
            </w:r>
          </w:p>
        </w:tc>
        <w:tc>
          <w:tcPr>
            <w:tcW w:w="1617" w:type="dxa"/>
            <w:tcBorders>
              <w:top w:val="nil"/>
              <w:left w:val="nil"/>
              <w:bottom w:val="single" w:sz="8" w:space="0" w:color="auto"/>
              <w:right w:val="single" w:sz="8" w:space="0" w:color="auto"/>
            </w:tcBorders>
            <w:shd w:val="clear" w:color="auto" w:fill="auto"/>
            <w:noWrap/>
            <w:vAlign w:val="center"/>
            <w:hideMark/>
          </w:tcPr>
          <w:p w14:paraId="008E16E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61250C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7B18B2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2133561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4979A54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5.500.000,00</w:t>
            </w:r>
          </w:p>
        </w:tc>
        <w:tc>
          <w:tcPr>
            <w:tcW w:w="1326" w:type="dxa"/>
            <w:tcBorders>
              <w:top w:val="nil"/>
              <w:left w:val="nil"/>
              <w:bottom w:val="single" w:sz="8" w:space="0" w:color="auto"/>
              <w:right w:val="single" w:sz="8" w:space="0" w:color="auto"/>
            </w:tcBorders>
            <w:shd w:val="clear" w:color="auto" w:fill="auto"/>
            <w:noWrap/>
            <w:vAlign w:val="center"/>
            <w:hideMark/>
          </w:tcPr>
          <w:p w14:paraId="5AC6DCE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1A16502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5.548.340,00</w:t>
            </w:r>
          </w:p>
        </w:tc>
      </w:tr>
      <w:tr w:rsidR="008D7C20" w:rsidRPr="00092ED7" w14:paraId="04EE2E1F"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0CF1F3C"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20. Унапређење конкурентности пољопривреде</w:t>
            </w:r>
          </w:p>
        </w:tc>
      </w:tr>
      <w:tr w:rsidR="00931CF1" w:rsidRPr="00092ED7" w14:paraId="0B83564B"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06C0F4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0C92596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657D8D8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1CAA5EB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4F00459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587A3A5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641C49C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2C47705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4BAEC9D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529E8A79"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8922C6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2ABE24E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5.880.386,00</w:t>
            </w:r>
          </w:p>
        </w:tc>
        <w:tc>
          <w:tcPr>
            <w:tcW w:w="1617" w:type="dxa"/>
            <w:tcBorders>
              <w:top w:val="nil"/>
              <w:left w:val="nil"/>
              <w:bottom w:val="single" w:sz="8" w:space="0" w:color="auto"/>
              <w:right w:val="single" w:sz="8" w:space="0" w:color="auto"/>
            </w:tcBorders>
            <w:shd w:val="clear" w:color="auto" w:fill="auto"/>
            <w:noWrap/>
            <w:vAlign w:val="center"/>
            <w:hideMark/>
          </w:tcPr>
          <w:p w14:paraId="5B99FE8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1.235.208,00</w:t>
            </w:r>
          </w:p>
        </w:tc>
        <w:tc>
          <w:tcPr>
            <w:tcW w:w="1617" w:type="dxa"/>
            <w:tcBorders>
              <w:top w:val="nil"/>
              <w:left w:val="nil"/>
              <w:bottom w:val="single" w:sz="8" w:space="0" w:color="auto"/>
              <w:right w:val="single" w:sz="8" w:space="0" w:color="auto"/>
            </w:tcBorders>
            <w:shd w:val="clear" w:color="auto" w:fill="auto"/>
            <w:noWrap/>
            <w:vAlign w:val="center"/>
            <w:hideMark/>
          </w:tcPr>
          <w:p w14:paraId="3DC5F6E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E9ECE4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1.007.501,00</w:t>
            </w:r>
          </w:p>
        </w:tc>
        <w:tc>
          <w:tcPr>
            <w:tcW w:w="1434" w:type="dxa"/>
            <w:tcBorders>
              <w:top w:val="nil"/>
              <w:left w:val="nil"/>
              <w:bottom w:val="single" w:sz="8" w:space="0" w:color="auto"/>
              <w:right w:val="single" w:sz="8" w:space="0" w:color="auto"/>
            </w:tcBorders>
            <w:shd w:val="clear" w:color="auto" w:fill="auto"/>
            <w:noWrap/>
            <w:vAlign w:val="center"/>
            <w:hideMark/>
          </w:tcPr>
          <w:p w14:paraId="5D5CF82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85.372,00</w:t>
            </w:r>
          </w:p>
        </w:tc>
        <w:tc>
          <w:tcPr>
            <w:tcW w:w="1466" w:type="dxa"/>
            <w:tcBorders>
              <w:top w:val="nil"/>
              <w:left w:val="nil"/>
              <w:bottom w:val="single" w:sz="8" w:space="0" w:color="auto"/>
              <w:right w:val="single" w:sz="8" w:space="0" w:color="auto"/>
            </w:tcBorders>
            <w:shd w:val="clear" w:color="auto" w:fill="auto"/>
            <w:noWrap/>
            <w:vAlign w:val="center"/>
            <w:hideMark/>
          </w:tcPr>
          <w:p w14:paraId="52A9A39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1.367.500,00</w:t>
            </w:r>
          </w:p>
        </w:tc>
        <w:tc>
          <w:tcPr>
            <w:tcW w:w="1326" w:type="dxa"/>
            <w:tcBorders>
              <w:top w:val="nil"/>
              <w:left w:val="nil"/>
              <w:bottom w:val="single" w:sz="8" w:space="0" w:color="auto"/>
              <w:right w:val="single" w:sz="8" w:space="0" w:color="auto"/>
            </w:tcBorders>
            <w:shd w:val="clear" w:color="auto" w:fill="auto"/>
            <w:noWrap/>
            <w:vAlign w:val="center"/>
            <w:hideMark/>
          </w:tcPr>
          <w:p w14:paraId="50F608D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9BDD4E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9.575.967,00</w:t>
            </w:r>
          </w:p>
        </w:tc>
      </w:tr>
      <w:tr w:rsidR="00931CF1" w:rsidRPr="00092ED7" w14:paraId="1FA81EC1"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7331FE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6F5B692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8.594.212,67</w:t>
            </w:r>
          </w:p>
        </w:tc>
        <w:tc>
          <w:tcPr>
            <w:tcW w:w="1617" w:type="dxa"/>
            <w:tcBorders>
              <w:top w:val="nil"/>
              <w:left w:val="nil"/>
              <w:bottom w:val="single" w:sz="8" w:space="0" w:color="auto"/>
              <w:right w:val="single" w:sz="8" w:space="0" w:color="auto"/>
            </w:tcBorders>
            <w:shd w:val="clear" w:color="auto" w:fill="auto"/>
            <w:noWrap/>
            <w:vAlign w:val="center"/>
            <w:hideMark/>
          </w:tcPr>
          <w:p w14:paraId="20DE22F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1.235.208,00</w:t>
            </w:r>
          </w:p>
        </w:tc>
        <w:tc>
          <w:tcPr>
            <w:tcW w:w="1617" w:type="dxa"/>
            <w:tcBorders>
              <w:top w:val="nil"/>
              <w:left w:val="nil"/>
              <w:bottom w:val="single" w:sz="8" w:space="0" w:color="auto"/>
              <w:right w:val="single" w:sz="8" w:space="0" w:color="auto"/>
            </w:tcBorders>
            <w:shd w:val="clear" w:color="auto" w:fill="auto"/>
            <w:noWrap/>
            <w:vAlign w:val="center"/>
            <w:hideMark/>
          </w:tcPr>
          <w:p w14:paraId="04F0F65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2B27247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9.945.000,00</w:t>
            </w:r>
          </w:p>
        </w:tc>
        <w:tc>
          <w:tcPr>
            <w:tcW w:w="1434" w:type="dxa"/>
            <w:tcBorders>
              <w:top w:val="nil"/>
              <w:left w:val="nil"/>
              <w:bottom w:val="single" w:sz="8" w:space="0" w:color="auto"/>
              <w:right w:val="single" w:sz="8" w:space="0" w:color="auto"/>
            </w:tcBorders>
            <w:shd w:val="clear" w:color="auto" w:fill="auto"/>
            <w:noWrap/>
            <w:vAlign w:val="center"/>
            <w:hideMark/>
          </w:tcPr>
          <w:p w14:paraId="17AE162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0C9405B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142.333,33</w:t>
            </w:r>
          </w:p>
        </w:tc>
        <w:tc>
          <w:tcPr>
            <w:tcW w:w="1326" w:type="dxa"/>
            <w:tcBorders>
              <w:top w:val="nil"/>
              <w:left w:val="nil"/>
              <w:bottom w:val="single" w:sz="8" w:space="0" w:color="auto"/>
              <w:right w:val="single" w:sz="8" w:space="0" w:color="auto"/>
            </w:tcBorders>
            <w:shd w:val="clear" w:color="auto" w:fill="auto"/>
            <w:noWrap/>
            <w:vAlign w:val="center"/>
            <w:hideMark/>
          </w:tcPr>
          <w:p w14:paraId="25AB545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850.000,00</w:t>
            </w:r>
          </w:p>
        </w:tc>
        <w:tc>
          <w:tcPr>
            <w:tcW w:w="1873" w:type="dxa"/>
            <w:tcBorders>
              <w:top w:val="nil"/>
              <w:left w:val="nil"/>
              <w:bottom w:val="single" w:sz="8" w:space="0" w:color="auto"/>
              <w:right w:val="single" w:sz="8" w:space="0" w:color="auto"/>
            </w:tcBorders>
            <w:shd w:val="clear" w:color="auto" w:fill="auto"/>
            <w:noWrap/>
            <w:vAlign w:val="center"/>
            <w:hideMark/>
          </w:tcPr>
          <w:p w14:paraId="38D006F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20.766.754,00</w:t>
            </w:r>
          </w:p>
        </w:tc>
      </w:tr>
      <w:tr w:rsidR="00931CF1" w:rsidRPr="00092ED7" w14:paraId="13FAE433"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0FB0909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03A8508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10.653.814,00</w:t>
            </w:r>
          </w:p>
        </w:tc>
        <w:tc>
          <w:tcPr>
            <w:tcW w:w="1617" w:type="dxa"/>
            <w:tcBorders>
              <w:top w:val="nil"/>
              <w:left w:val="nil"/>
              <w:bottom w:val="single" w:sz="8" w:space="0" w:color="auto"/>
              <w:right w:val="single" w:sz="8" w:space="0" w:color="auto"/>
            </w:tcBorders>
            <w:shd w:val="clear" w:color="auto" w:fill="auto"/>
            <w:noWrap/>
            <w:vAlign w:val="center"/>
            <w:hideMark/>
          </w:tcPr>
          <w:p w14:paraId="6B25B95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1.235.208,00</w:t>
            </w:r>
          </w:p>
        </w:tc>
        <w:tc>
          <w:tcPr>
            <w:tcW w:w="1617" w:type="dxa"/>
            <w:tcBorders>
              <w:top w:val="nil"/>
              <w:left w:val="nil"/>
              <w:bottom w:val="single" w:sz="8" w:space="0" w:color="auto"/>
              <w:right w:val="single" w:sz="8" w:space="0" w:color="auto"/>
            </w:tcBorders>
            <w:shd w:val="clear" w:color="auto" w:fill="auto"/>
            <w:noWrap/>
            <w:vAlign w:val="center"/>
            <w:hideMark/>
          </w:tcPr>
          <w:p w14:paraId="2144DD5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9ECCB4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14.380.000,00</w:t>
            </w:r>
          </w:p>
        </w:tc>
        <w:tc>
          <w:tcPr>
            <w:tcW w:w="1434" w:type="dxa"/>
            <w:tcBorders>
              <w:top w:val="nil"/>
              <w:left w:val="nil"/>
              <w:bottom w:val="single" w:sz="8" w:space="0" w:color="auto"/>
              <w:right w:val="single" w:sz="8" w:space="0" w:color="auto"/>
            </w:tcBorders>
            <w:shd w:val="clear" w:color="auto" w:fill="auto"/>
            <w:noWrap/>
            <w:vAlign w:val="center"/>
            <w:hideMark/>
          </w:tcPr>
          <w:p w14:paraId="3C3FD0E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773E849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347157B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7B3DFC0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26.269.022,00</w:t>
            </w:r>
          </w:p>
        </w:tc>
      </w:tr>
      <w:tr w:rsidR="008D7C20" w:rsidRPr="00092ED7" w14:paraId="00DCC57B" w14:textId="77777777" w:rsidTr="008D7C20">
        <w:trPr>
          <w:trHeight w:val="330"/>
        </w:trPr>
        <w:tc>
          <w:tcPr>
            <w:tcW w:w="13948" w:type="dxa"/>
            <w:gridSpan w:val="9"/>
            <w:tcBorders>
              <w:top w:val="single" w:sz="8" w:space="0" w:color="auto"/>
              <w:left w:val="single" w:sz="8" w:space="0" w:color="auto"/>
              <w:bottom w:val="single" w:sz="4" w:space="0" w:color="auto"/>
              <w:right w:val="single" w:sz="8" w:space="0" w:color="auto"/>
            </w:tcBorders>
            <w:shd w:val="clear" w:color="000000" w:fill="D0CECE"/>
            <w:noWrap/>
            <w:vAlign w:val="center"/>
            <w:hideMark/>
          </w:tcPr>
          <w:p w14:paraId="1B1146FB"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21. Унапређење стратешког оквира инфраструктуре квалитета</w:t>
            </w:r>
            <w:r w:rsidR="008B1D11" w:rsidRPr="00092ED7">
              <w:rPr>
                <w:rFonts w:eastAsia="Times New Roman" w:cs="Times New Roman"/>
                <w:b/>
                <w:bCs/>
                <w:color w:val="000000"/>
                <w:sz w:val="20"/>
                <w:szCs w:val="20"/>
                <w:lang w:val="sr-Cyrl-CS"/>
              </w:rPr>
              <w:t xml:space="preserve"> </w:t>
            </w:r>
            <w:r w:rsidR="008B1D11" w:rsidRPr="00092ED7">
              <w:rPr>
                <w:rFonts w:eastAsia="Times New Roman" w:cs="Times New Roman"/>
                <w:b/>
                <w:bCs/>
                <w:sz w:val="20"/>
                <w:szCs w:val="20"/>
                <w:lang w:val="sr-Cyrl-CS"/>
              </w:rPr>
              <w:t>и интеграције у јединствено тржиште ЕУ</w:t>
            </w:r>
          </w:p>
        </w:tc>
      </w:tr>
      <w:tr w:rsidR="00931CF1" w:rsidRPr="00092ED7" w14:paraId="32311C7D" w14:textId="77777777" w:rsidTr="00812992">
        <w:trPr>
          <w:trHeight w:val="645"/>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0BF4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7A89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C8AD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7C07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E4A1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D90E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BBB8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57E2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4CD9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62AEA49A" w14:textId="77777777" w:rsidTr="00812992">
        <w:trPr>
          <w:trHeight w:val="330"/>
        </w:trPr>
        <w:tc>
          <w:tcPr>
            <w:tcW w:w="125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11EA51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single" w:sz="4" w:space="0" w:color="auto"/>
              <w:left w:val="nil"/>
              <w:bottom w:val="single" w:sz="8" w:space="0" w:color="auto"/>
              <w:right w:val="single" w:sz="8" w:space="0" w:color="auto"/>
            </w:tcBorders>
            <w:shd w:val="clear" w:color="auto" w:fill="auto"/>
            <w:noWrap/>
            <w:vAlign w:val="center"/>
            <w:hideMark/>
          </w:tcPr>
          <w:p w14:paraId="2FAFB68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02FB013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726B359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nil"/>
              <w:bottom w:val="single" w:sz="8" w:space="0" w:color="auto"/>
              <w:right w:val="single" w:sz="8" w:space="0" w:color="auto"/>
            </w:tcBorders>
            <w:shd w:val="clear" w:color="auto" w:fill="auto"/>
            <w:noWrap/>
            <w:vAlign w:val="center"/>
            <w:hideMark/>
          </w:tcPr>
          <w:p w14:paraId="15F4813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300.000,00</w:t>
            </w:r>
          </w:p>
        </w:tc>
        <w:tc>
          <w:tcPr>
            <w:tcW w:w="1434" w:type="dxa"/>
            <w:tcBorders>
              <w:top w:val="single" w:sz="4" w:space="0" w:color="auto"/>
              <w:left w:val="nil"/>
              <w:bottom w:val="single" w:sz="8" w:space="0" w:color="auto"/>
              <w:right w:val="single" w:sz="8" w:space="0" w:color="auto"/>
            </w:tcBorders>
            <w:shd w:val="clear" w:color="auto" w:fill="auto"/>
            <w:noWrap/>
            <w:vAlign w:val="center"/>
            <w:hideMark/>
          </w:tcPr>
          <w:p w14:paraId="600DAF6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14:paraId="081025B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single" w:sz="4" w:space="0" w:color="auto"/>
              <w:left w:val="nil"/>
              <w:bottom w:val="single" w:sz="8" w:space="0" w:color="auto"/>
              <w:right w:val="single" w:sz="8" w:space="0" w:color="auto"/>
            </w:tcBorders>
            <w:shd w:val="clear" w:color="auto" w:fill="auto"/>
            <w:noWrap/>
            <w:vAlign w:val="center"/>
            <w:hideMark/>
          </w:tcPr>
          <w:p w14:paraId="6E83C90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nil"/>
              <w:bottom w:val="single" w:sz="8" w:space="0" w:color="auto"/>
              <w:right w:val="single" w:sz="8" w:space="0" w:color="auto"/>
            </w:tcBorders>
            <w:shd w:val="clear" w:color="auto" w:fill="auto"/>
            <w:noWrap/>
            <w:vAlign w:val="center"/>
            <w:hideMark/>
          </w:tcPr>
          <w:p w14:paraId="50C2F7F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300.000,00</w:t>
            </w:r>
          </w:p>
        </w:tc>
      </w:tr>
      <w:tr w:rsidR="00931CF1" w:rsidRPr="00092ED7" w14:paraId="641768B9"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0ED8FC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14B2558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887323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59F627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1E9074C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26DD979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1E0D61C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026C2A8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150.000,00</w:t>
            </w:r>
          </w:p>
        </w:tc>
        <w:tc>
          <w:tcPr>
            <w:tcW w:w="1873" w:type="dxa"/>
            <w:tcBorders>
              <w:top w:val="nil"/>
              <w:left w:val="nil"/>
              <w:bottom w:val="single" w:sz="8" w:space="0" w:color="auto"/>
              <w:right w:val="single" w:sz="8" w:space="0" w:color="auto"/>
            </w:tcBorders>
            <w:shd w:val="clear" w:color="auto" w:fill="auto"/>
            <w:noWrap/>
            <w:vAlign w:val="center"/>
            <w:hideMark/>
          </w:tcPr>
          <w:p w14:paraId="0AA7D80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150.000,00</w:t>
            </w:r>
          </w:p>
        </w:tc>
      </w:tr>
      <w:tr w:rsidR="00931CF1" w:rsidRPr="00092ED7" w14:paraId="141E90C9"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71196C6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7761330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6EEFAE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791BDFF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D6B9FC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64DCA2B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7F5B9DD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78C282D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250.000,00</w:t>
            </w:r>
          </w:p>
        </w:tc>
        <w:tc>
          <w:tcPr>
            <w:tcW w:w="1873" w:type="dxa"/>
            <w:tcBorders>
              <w:top w:val="nil"/>
              <w:left w:val="nil"/>
              <w:bottom w:val="single" w:sz="8" w:space="0" w:color="auto"/>
              <w:right w:val="single" w:sz="8" w:space="0" w:color="auto"/>
            </w:tcBorders>
            <w:shd w:val="clear" w:color="auto" w:fill="auto"/>
            <w:noWrap/>
            <w:vAlign w:val="center"/>
            <w:hideMark/>
          </w:tcPr>
          <w:p w14:paraId="59224E3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250.000,00</w:t>
            </w:r>
          </w:p>
        </w:tc>
      </w:tr>
      <w:tr w:rsidR="008D7C20" w:rsidRPr="00092ED7" w14:paraId="20DB974D"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3A52078"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22. Унапређење ефикасности здравственог система кроз дигитализацију процеса</w:t>
            </w:r>
          </w:p>
        </w:tc>
      </w:tr>
      <w:tr w:rsidR="00931CF1" w:rsidRPr="00092ED7" w14:paraId="148BC59E" w14:textId="77777777" w:rsidTr="00812992">
        <w:trPr>
          <w:trHeight w:val="645"/>
        </w:trPr>
        <w:tc>
          <w:tcPr>
            <w:tcW w:w="1259" w:type="dxa"/>
            <w:tcBorders>
              <w:top w:val="nil"/>
              <w:left w:val="single" w:sz="8" w:space="0" w:color="auto"/>
              <w:bottom w:val="single" w:sz="8" w:space="0" w:color="auto"/>
              <w:right w:val="single" w:sz="8" w:space="0" w:color="auto"/>
            </w:tcBorders>
            <w:shd w:val="clear" w:color="000000" w:fill="FFFFFF"/>
            <w:noWrap/>
            <w:vAlign w:val="center"/>
            <w:hideMark/>
          </w:tcPr>
          <w:p w14:paraId="23483A9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24FD8A7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2DB6445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44676A4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4E6629D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406038C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467021E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56D1B0C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4577808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0DBBE597" w14:textId="77777777" w:rsidTr="00812992">
        <w:trPr>
          <w:trHeight w:val="330"/>
        </w:trPr>
        <w:tc>
          <w:tcPr>
            <w:tcW w:w="1259" w:type="dxa"/>
            <w:tcBorders>
              <w:top w:val="nil"/>
              <w:left w:val="single" w:sz="8" w:space="0" w:color="auto"/>
              <w:bottom w:val="single" w:sz="8" w:space="0" w:color="auto"/>
              <w:right w:val="single" w:sz="8" w:space="0" w:color="auto"/>
            </w:tcBorders>
            <w:shd w:val="clear" w:color="000000" w:fill="FFFFFF"/>
            <w:noWrap/>
            <w:vAlign w:val="center"/>
            <w:hideMark/>
          </w:tcPr>
          <w:p w14:paraId="512905C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2DD08DA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12.500.000,00</w:t>
            </w:r>
          </w:p>
        </w:tc>
        <w:tc>
          <w:tcPr>
            <w:tcW w:w="1617" w:type="dxa"/>
            <w:tcBorders>
              <w:top w:val="nil"/>
              <w:left w:val="nil"/>
              <w:bottom w:val="single" w:sz="8" w:space="0" w:color="auto"/>
              <w:right w:val="single" w:sz="8" w:space="0" w:color="auto"/>
            </w:tcBorders>
            <w:shd w:val="clear" w:color="auto" w:fill="auto"/>
            <w:noWrap/>
            <w:vAlign w:val="center"/>
            <w:hideMark/>
          </w:tcPr>
          <w:p w14:paraId="34D6DCA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1DC4AE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B32AEB9" w14:textId="78000A6E" w:rsidR="008D7C20" w:rsidRPr="00092ED7" w:rsidRDefault="0087660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1265E67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6A48503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7339D25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C46A886" w14:textId="0AF41F13"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876600" w:rsidRPr="00092ED7">
              <w:rPr>
                <w:rFonts w:eastAsia="Times New Roman" w:cs="Times New Roman"/>
                <w:color w:val="000000"/>
                <w:sz w:val="20"/>
                <w:szCs w:val="20"/>
                <w:lang w:val="sr-Cyrl-CS"/>
              </w:rPr>
              <w:t>2</w:t>
            </w:r>
            <w:r w:rsidRPr="00092ED7">
              <w:rPr>
                <w:rFonts w:eastAsia="Times New Roman" w:cs="Times New Roman"/>
                <w:color w:val="000000"/>
                <w:sz w:val="20"/>
                <w:szCs w:val="20"/>
                <w:lang w:val="sr-Cyrl-CS"/>
              </w:rPr>
              <w:t>.</w:t>
            </w:r>
            <w:r w:rsidR="00876600" w:rsidRPr="00092ED7">
              <w:rPr>
                <w:rFonts w:eastAsia="Times New Roman" w:cs="Times New Roman"/>
                <w:color w:val="000000"/>
                <w:sz w:val="20"/>
                <w:szCs w:val="20"/>
                <w:lang w:val="sr-Cyrl-CS"/>
              </w:rPr>
              <w:t>5</w:t>
            </w:r>
            <w:r w:rsidRPr="00092ED7">
              <w:rPr>
                <w:rFonts w:eastAsia="Times New Roman" w:cs="Times New Roman"/>
                <w:color w:val="000000"/>
                <w:sz w:val="20"/>
                <w:szCs w:val="20"/>
                <w:lang w:val="sr-Cyrl-CS"/>
              </w:rPr>
              <w:t>00.000,00</w:t>
            </w:r>
          </w:p>
        </w:tc>
      </w:tr>
      <w:tr w:rsidR="00931CF1" w:rsidRPr="00092ED7" w14:paraId="22D3E625" w14:textId="77777777" w:rsidTr="00812992">
        <w:trPr>
          <w:trHeight w:val="330"/>
        </w:trPr>
        <w:tc>
          <w:tcPr>
            <w:tcW w:w="1259" w:type="dxa"/>
            <w:tcBorders>
              <w:top w:val="nil"/>
              <w:left w:val="single" w:sz="8" w:space="0" w:color="auto"/>
              <w:bottom w:val="single" w:sz="8" w:space="0" w:color="auto"/>
              <w:right w:val="single" w:sz="8" w:space="0" w:color="auto"/>
            </w:tcBorders>
            <w:shd w:val="clear" w:color="000000" w:fill="FFFFFF"/>
            <w:noWrap/>
            <w:vAlign w:val="center"/>
            <w:hideMark/>
          </w:tcPr>
          <w:p w14:paraId="7C637B3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0F7AD10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12.500.000,00</w:t>
            </w:r>
          </w:p>
        </w:tc>
        <w:tc>
          <w:tcPr>
            <w:tcW w:w="1617" w:type="dxa"/>
            <w:tcBorders>
              <w:top w:val="nil"/>
              <w:left w:val="nil"/>
              <w:bottom w:val="single" w:sz="8" w:space="0" w:color="auto"/>
              <w:right w:val="single" w:sz="8" w:space="0" w:color="auto"/>
            </w:tcBorders>
            <w:shd w:val="clear" w:color="auto" w:fill="auto"/>
            <w:noWrap/>
            <w:vAlign w:val="center"/>
            <w:hideMark/>
          </w:tcPr>
          <w:p w14:paraId="75B1267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281CD2C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74CE335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2593984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2A4573F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457FCAD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52946AD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12.500.000,00</w:t>
            </w:r>
          </w:p>
        </w:tc>
      </w:tr>
      <w:tr w:rsidR="00931CF1" w:rsidRPr="00092ED7" w14:paraId="4B9216E8" w14:textId="77777777" w:rsidTr="00812992">
        <w:trPr>
          <w:trHeight w:val="330"/>
        </w:trPr>
        <w:tc>
          <w:tcPr>
            <w:tcW w:w="1259" w:type="dxa"/>
            <w:tcBorders>
              <w:top w:val="nil"/>
              <w:left w:val="single" w:sz="8" w:space="0" w:color="auto"/>
              <w:bottom w:val="single" w:sz="4" w:space="0" w:color="auto"/>
              <w:right w:val="single" w:sz="8" w:space="0" w:color="auto"/>
            </w:tcBorders>
            <w:shd w:val="clear" w:color="000000" w:fill="FFFFFF"/>
            <w:noWrap/>
            <w:vAlign w:val="center"/>
            <w:hideMark/>
          </w:tcPr>
          <w:p w14:paraId="3630CEB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4" w:space="0" w:color="auto"/>
              <w:right w:val="single" w:sz="8" w:space="0" w:color="auto"/>
            </w:tcBorders>
            <w:shd w:val="clear" w:color="auto" w:fill="auto"/>
            <w:noWrap/>
            <w:vAlign w:val="center"/>
            <w:hideMark/>
          </w:tcPr>
          <w:p w14:paraId="097721F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12.500.000,00</w:t>
            </w:r>
          </w:p>
        </w:tc>
        <w:tc>
          <w:tcPr>
            <w:tcW w:w="1617" w:type="dxa"/>
            <w:tcBorders>
              <w:top w:val="nil"/>
              <w:left w:val="nil"/>
              <w:bottom w:val="single" w:sz="4" w:space="0" w:color="auto"/>
              <w:right w:val="single" w:sz="8" w:space="0" w:color="auto"/>
            </w:tcBorders>
            <w:shd w:val="clear" w:color="auto" w:fill="auto"/>
            <w:noWrap/>
            <w:vAlign w:val="center"/>
            <w:hideMark/>
          </w:tcPr>
          <w:p w14:paraId="3A5DDDC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4" w:space="0" w:color="auto"/>
              <w:right w:val="single" w:sz="8" w:space="0" w:color="auto"/>
            </w:tcBorders>
            <w:shd w:val="clear" w:color="auto" w:fill="auto"/>
            <w:noWrap/>
            <w:vAlign w:val="center"/>
            <w:hideMark/>
          </w:tcPr>
          <w:p w14:paraId="3E11590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4" w:space="0" w:color="auto"/>
              <w:right w:val="single" w:sz="8" w:space="0" w:color="auto"/>
            </w:tcBorders>
            <w:shd w:val="clear" w:color="auto" w:fill="auto"/>
            <w:noWrap/>
            <w:vAlign w:val="center"/>
            <w:hideMark/>
          </w:tcPr>
          <w:p w14:paraId="3A92586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4" w:space="0" w:color="auto"/>
              <w:right w:val="single" w:sz="8" w:space="0" w:color="auto"/>
            </w:tcBorders>
            <w:shd w:val="clear" w:color="auto" w:fill="auto"/>
            <w:noWrap/>
            <w:vAlign w:val="center"/>
            <w:hideMark/>
          </w:tcPr>
          <w:p w14:paraId="1B56845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4" w:space="0" w:color="auto"/>
              <w:right w:val="single" w:sz="8" w:space="0" w:color="auto"/>
            </w:tcBorders>
            <w:shd w:val="clear" w:color="auto" w:fill="auto"/>
            <w:noWrap/>
            <w:vAlign w:val="center"/>
            <w:hideMark/>
          </w:tcPr>
          <w:p w14:paraId="611EFEE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4" w:space="0" w:color="auto"/>
              <w:right w:val="single" w:sz="8" w:space="0" w:color="auto"/>
            </w:tcBorders>
            <w:shd w:val="clear" w:color="auto" w:fill="auto"/>
            <w:noWrap/>
            <w:vAlign w:val="center"/>
            <w:hideMark/>
          </w:tcPr>
          <w:p w14:paraId="7D25B7D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4" w:space="0" w:color="auto"/>
              <w:right w:val="single" w:sz="8" w:space="0" w:color="auto"/>
            </w:tcBorders>
            <w:shd w:val="clear" w:color="auto" w:fill="auto"/>
            <w:noWrap/>
            <w:vAlign w:val="center"/>
            <w:hideMark/>
          </w:tcPr>
          <w:p w14:paraId="2B0A775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12.500.000,00</w:t>
            </w:r>
          </w:p>
        </w:tc>
      </w:tr>
      <w:tr w:rsidR="00812992" w:rsidRPr="00092ED7" w14:paraId="27613BD3" w14:textId="77777777" w:rsidTr="006D5549">
        <w:trPr>
          <w:trHeight w:val="330"/>
        </w:trPr>
        <w:tc>
          <w:tcPr>
            <w:tcW w:w="13948" w:type="dxa"/>
            <w:gridSpan w:val="9"/>
            <w:tcBorders>
              <w:top w:val="nil"/>
              <w:left w:val="single" w:sz="8" w:space="0" w:color="auto"/>
              <w:bottom w:val="single" w:sz="4" w:space="0" w:color="auto"/>
              <w:right w:val="single" w:sz="8" w:space="0" w:color="auto"/>
            </w:tcBorders>
            <w:shd w:val="clear" w:color="000000" w:fill="FFFFFF"/>
            <w:noWrap/>
            <w:vAlign w:val="center"/>
          </w:tcPr>
          <w:p w14:paraId="3E85A03E" w14:textId="77777777" w:rsidR="00812992" w:rsidRPr="00092ED7" w:rsidRDefault="00812992" w:rsidP="008D7C20">
            <w:pPr>
              <w:spacing w:after="0"/>
              <w:jc w:val="right"/>
              <w:rPr>
                <w:rFonts w:eastAsia="Times New Roman" w:cs="Times New Roman"/>
                <w:color w:val="000000"/>
                <w:sz w:val="20"/>
                <w:szCs w:val="20"/>
                <w:lang w:val="sr-Cyrl-CS"/>
              </w:rPr>
            </w:pPr>
          </w:p>
        </w:tc>
      </w:tr>
      <w:tr w:rsidR="00931CF1" w:rsidRPr="00092ED7" w14:paraId="74C6F947" w14:textId="77777777" w:rsidTr="00812992">
        <w:trPr>
          <w:trHeight w:val="330"/>
        </w:trPr>
        <w:tc>
          <w:tcPr>
            <w:tcW w:w="125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40C433" w14:textId="77777777" w:rsidR="008D7C20" w:rsidRPr="00092ED7" w:rsidRDefault="008D7C20" w:rsidP="008D7C20">
            <w:pPr>
              <w:spacing w:after="0"/>
              <w:jc w:val="center"/>
              <w:rPr>
                <w:rFonts w:eastAsia="Times New Roman" w:cs="Times New Roman"/>
                <w:b/>
                <w:sz w:val="20"/>
                <w:szCs w:val="20"/>
                <w:lang w:val="sr-Cyrl-CS"/>
              </w:rPr>
            </w:pPr>
            <w:r w:rsidRPr="00092ED7">
              <w:rPr>
                <w:rFonts w:eastAsia="Times New Roman" w:cs="Times New Roman"/>
                <w:b/>
                <w:sz w:val="20"/>
                <w:szCs w:val="20"/>
                <w:lang w:val="sr-Cyrl-CS"/>
              </w:rPr>
              <w:t>УКУПНО</w:t>
            </w:r>
          </w:p>
        </w:tc>
        <w:tc>
          <w:tcPr>
            <w:tcW w:w="18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7B3BB5C" w14:textId="13CEE4F4" w:rsidR="008D7C20" w:rsidRPr="00092ED7" w:rsidRDefault="00931CF1" w:rsidP="00D76E40">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267</w:t>
            </w:r>
            <w:r w:rsidR="008D7C20" w:rsidRPr="00092ED7">
              <w:rPr>
                <w:rFonts w:eastAsia="Times New Roman" w:cs="Times New Roman"/>
                <w:b/>
                <w:color w:val="000000"/>
                <w:sz w:val="20"/>
                <w:szCs w:val="20"/>
                <w:lang w:val="sr-Cyrl-CS"/>
              </w:rPr>
              <w:t>.</w:t>
            </w:r>
            <w:r w:rsidRPr="00092ED7">
              <w:rPr>
                <w:rFonts w:eastAsia="Times New Roman" w:cs="Times New Roman"/>
                <w:b/>
                <w:color w:val="000000"/>
                <w:sz w:val="20"/>
                <w:szCs w:val="20"/>
                <w:lang w:val="sr-Cyrl-CS"/>
              </w:rPr>
              <w:t>643</w:t>
            </w:r>
            <w:r w:rsidR="008D7C20" w:rsidRPr="00092ED7">
              <w:rPr>
                <w:rFonts w:eastAsia="Times New Roman" w:cs="Times New Roman"/>
                <w:b/>
                <w:color w:val="000000"/>
                <w:sz w:val="20"/>
                <w:szCs w:val="20"/>
                <w:lang w:val="sr-Cyrl-CS"/>
              </w:rPr>
              <w:t>.</w:t>
            </w:r>
            <w:r w:rsidRPr="00092ED7">
              <w:rPr>
                <w:rFonts w:eastAsia="Times New Roman" w:cs="Times New Roman"/>
                <w:b/>
                <w:color w:val="000000"/>
                <w:sz w:val="20"/>
                <w:szCs w:val="20"/>
                <w:lang w:val="sr-Cyrl-CS"/>
              </w:rPr>
              <w:t>945</w:t>
            </w:r>
            <w:r w:rsidR="008D7C20" w:rsidRPr="00092ED7">
              <w:rPr>
                <w:rFonts w:eastAsia="Times New Roman" w:cs="Times New Roman"/>
                <w:b/>
                <w:color w:val="000000"/>
                <w:sz w:val="20"/>
                <w:szCs w:val="20"/>
                <w:lang w:val="sr-Cyrl-CS"/>
              </w:rPr>
              <w:t>,6</w:t>
            </w:r>
            <w:r w:rsidR="00995FC8" w:rsidRPr="00092ED7">
              <w:rPr>
                <w:rFonts w:eastAsia="Times New Roman" w:cs="Times New Roman"/>
                <w:b/>
                <w:color w:val="000000"/>
                <w:sz w:val="20"/>
                <w:szCs w:val="20"/>
                <w:lang w:val="sr-Cyrl-CS"/>
              </w:rPr>
              <w:t>7</w:t>
            </w:r>
          </w:p>
        </w:tc>
        <w:tc>
          <w:tcPr>
            <w:tcW w:w="16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527824D" w14:textId="77777777" w:rsidR="008D7C20" w:rsidRPr="00092ED7" w:rsidRDefault="008D7C20" w:rsidP="008D7C20">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8.536.113,99</w:t>
            </w:r>
          </w:p>
        </w:tc>
        <w:tc>
          <w:tcPr>
            <w:tcW w:w="16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7BEA18E" w14:textId="112E9F9E" w:rsidR="008D7C20" w:rsidRPr="00092ED7" w:rsidRDefault="00931CF1" w:rsidP="00D76E40">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634</w:t>
            </w:r>
            <w:r w:rsidR="008D7C20" w:rsidRPr="00092ED7">
              <w:rPr>
                <w:rFonts w:eastAsia="Times New Roman" w:cs="Times New Roman"/>
                <w:b/>
                <w:color w:val="000000"/>
                <w:sz w:val="20"/>
                <w:szCs w:val="20"/>
                <w:lang w:val="sr-Cyrl-CS"/>
              </w:rPr>
              <w:t>.</w:t>
            </w:r>
            <w:r w:rsidRPr="00092ED7">
              <w:rPr>
                <w:rFonts w:eastAsia="Times New Roman" w:cs="Times New Roman"/>
                <w:b/>
                <w:color w:val="000000"/>
                <w:sz w:val="20"/>
                <w:szCs w:val="20"/>
                <w:lang w:val="sr-Cyrl-CS"/>
              </w:rPr>
              <w:t>873</w:t>
            </w:r>
            <w:r w:rsidR="008D7C20" w:rsidRPr="00092ED7">
              <w:rPr>
                <w:rFonts w:eastAsia="Times New Roman" w:cs="Times New Roman"/>
                <w:b/>
                <w:color w:val="000000"/>
                <w:sz w:val="20"/>
                <w:szCs w:val="20"/>
                <w:lang w:val="sr-Cyrl-CS"/>
              </w:rPr>
              <w:t>,00</w:t>
            </w:r>
          </w:p>
        </w:tc>
        <w:tc>
          <w:tcPr>
            <w:tcW w:w="152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748BFC5" w14:textId="3063DC6B" w:rsidR="008D7C20" w:rsidRPr="00092ED7" w:rsidRDefault="00995FC8" w:rsidP="008D7C20">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71</w:t>
            </w:r>
            <w:r w:rsidR="008D7C20" w:rsidRPr="00092ED7">
              <w:rPr>
                <w:rFonts w:eastAsia="Times New Roman" w:cs="Times New Roman"/>
                <w:b/>
                <w:color w:val="000000"/>
                <w:sz w:val="20"/>
                <w:szCs w:val="20"/>
                <w:lang w:val="sr-Cyrl-CS"/>
              </w:rPr>
              <w:t>.</w:t>
            </w:r>
            <w:r w:rsidR="000616B3" w:rsidRPr="00092ED7">
              <w:rPr>
                <w:rFonts w:eastAsia="Times New Roman" w:cs="Times New Roman"/>
                <w:b/>
                <w:color w:val="000000"/>
                <w:sz w:val="20"/>
                <w:szCs w:val="20"/>
                <w:lang w:val="sr-Cyrl-CS"/>
              </w:rPr>
              <w:t>3</w:t>
            </w:r>
            <w:r w:rsidR="008D7C20" w:rsidRPr="00092ED7">
              <w:rPr>
                <w:rFonts w:eastAsia="Times New Roman" w:cs="Times New Roman"/>
                <w:b/>
                <w:color w:val="000000"/>
                <w:sz w:val="20"/>
                <w:szCs w:val="20"/>
                <w:lang w:val="sr-Cyrl-CS"/>
              </w:rPr>
              <w:t>08.229,66</w:t>
            </w:r>
          </w:p>
        </w:tc>
        <w:tc>
          <w:tcPr>
            <w:tcW w:w="14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CF1B3B8" w14:textId="77777777" w:rsidR="008D7C20" w:rsidRPr="00092ED7" w:rsidRDefault="008D7C20" w:rsidP="008D7C20">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63.463.213,3</w:t>
            </w:r>
          </w:p>
        </w:tc>
        <w:tc>
          <w:tcPr>
            <w:tcW w:w="146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887ACD" w14:textId="1A9B6711" w:rsidR="008D7C20" w:rsidRPr="00092ED7" w:rsidRDefault="00CD1BE8" w:rsidP="00C227BE">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716.</w:t>
            </w:r>
            <w:r w:rsidR="00C227BE" w:rsidRPr="00092ED7">
              <w:rPr>
                <w:rFonts w:eastAsia="Times New Roman" w:cs="Times New Roman"/>
                <w:b/>
                <w:color w:val="000000"/>
                <w:sz w:val="20"/>
                <w:szCs w:val="20"/>
                <w:lang w:val="sr-Cyrl-CS"/>
              </w:rPr>
              <w:t>224</w:t>
            </w:r>
            <w:r w:rsidRPr="00092ED7">
              <w:rPr>
                <w:rFonts w:eastAsia="Times New Roman" w:cs="Times New Roman"/>
                <w:b/>
                <w:color w:val="000000"/>
                <w:sz w:val="20"/>
                <w:szCs w:val="20"/>
                <w:lang w:val="sr-Cyrl-CS"/>
              </w:rPr>
              <w:t>.</w:t>
            </w:r>
            <w:r w:rsidR="00C227BE" w:rsidRPr="00092ED7">
              <w:rPr>
                <w:rFonts w:eastAsia="Times New Roman" w:cs="Times New Roman"/>
                <w:b/>
                <w:color w:val="000000"/>
                <w:sz w:val="20"/>
                <w:szCs w:val="20"/>
                <w:lang w:val="sr-Cyrl-CS"/>
              </w:rPr>
              <w:t>995</w:t>
            </w:r>
            <w:r w:rsidR="008D7C20" w:rsidRPr="00092ED7">
              <w:rPr>
                <w:rFonts w:eastAsia="Times New Roman" w:cs="Times New Roman"/>
                <w:b/>
                <w:color w:val="000000"/>
                <w:sz w:val="20"/>
                <w:szCs w:val="20"/>
                <w:lang w:val="sr-Cyrl-CS"/>
              </w:rPr>
              <w:t>,66</w:t>
            </w:r>
          </w:p>
        </w:tc>
        <w:tc>
          <w:tcPr>
            <w:tcW w:w="132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1DBE5F5" w14:textId="56CDBA17" w:rsidR="008D7C20" w:rsidRPr="00092ED7" w:rsidRDefault="00995FC8" w:rsidP="008D7C20">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2</w:t>
            </w:r>
            <w:r w:rsidR="008D7C20" w:rsidRPr="00092ED7">
              <w:rPr>
                <w:rFonts w:eastAsia="Times New Roman" w:cs="Times New Roman"/>
                <w:b/>
                <w:color w:val="000000"/>
                <w:sz w:val="20"/>
                <w:szCs w:val="20"/>
                <w:lang w:val="sr-Cyrl-CS"/>
              </w:rPr>
              <w:t>.250.000,00</w:t>
            </w:r>
          </w:p>
        </w:tc>
        <w:tc>
          <w:tcPr>
            <w:tcW w:w="187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C11DFE4" w14:textId="58374E4D" w:rsidR="008D7C20" w:rsidRPr="00092ED7" w:rsidRDefault="00CD1BE8" w:rsidP="00D76E40">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1.1</w:t>
            </w:r>
            <w:r w:rsidR="00747E5C" w:rsidRPr="00092ED7">
              <w:rPr>
                <w:rFonts w:eastAsia="Times New Roman" w:cs="Times New Roman"/>
                <w:b/>
                <w:color w:val="000000"/>
                <w:sz w:val="20"/>
                <w:szCs w:val="20"/>
                <w:lang w:val="sr-Cyrl-CS"/>
              </w:rPr>
              <w:t>30</w:t>
            </w:r>
            <w:r w:rsidRPr="00092ED7">
              <w:rPr>
                <w:rFonts w:eastAsia="Times New Roman" w:cs="Times New Roman"/>
                <w:b/>
                <w:color w:val="000000"/>
                <w:sz w:val="20"/>
                <w:szCs w:val="20"/>
                <w:lang w:val="sr-Cyrl-CS"/>
              </w:rPr>
              <w:t>.</w:t>
            </w:r>
            <w:r w:rsidR="00747E5C" w:rsidRPr="00092ED7">
              <w:rPr>
                <w:rFonts w:eastAsia="Times New Roman" w:cs="Times New Roman"/>
                <w:b/>
                <w:color w:val="000000"/>
                <w:sz w:val="20"/>
                <w:szCs w:val="20"/>
                <w:lang w:val="sr-Cyrl-CS"/>
              </w:rPr>
              <w:t>061</w:t>
            </w:r>
            <w:r w:rsidRPr="00092ED7">
              <w:rPr>
                <w:rFonts w:eastAsia="Times New Roman" w:cs="Times New Roman"/>
                <w:b/>
                <w:color w:val="000000"/>
                <w:sz w:val="20"/>
                <w:szCs w:val="20"/>
                <w:lang w:val="sr-Cyrl-CS"/>
              </w:rPr>
              <w:t>.</w:t>
            </w:r>
            <w:r w:rsidR="00747E5C" w:rsidRPr="00092ED7">
              <w:rPr>
                <w:rFonts w:eastAsia="Times New Roman" w:cs="Times New Roman"/>
                <w:b/>
                <w:color w:val="000000"/>
                <w:sz w:val="20"/>
                <w:szCs w:val="20"/>
                <w:lang w:val="sr-Cyrl-CS"/>
              </w:rPr>
              <w:t>371</w:t>
            </w:r>
            <w:r w:rsidR="008D7C20" w:rsidRPr="00092ED7">
              <w:rPr>
                <w:rFonts w:eastAsia="Times New Roman" w:cs="Times New Roman"/>
                <w:b/>
                <w:color w:val="000000"/>
                <w:sz w:val="20"/>
                <w:szCs w:val="20"/>
                <w:lang w:val="sr-Cyrl-CS"/>
              </w:rPr>
              <w:t>,2</w:t>
            </w:r>
            <w:r w:rsidR="00995FC8" w:rsidRPr="00092ED7">
              <w:rPr>
                <w:rFonts w:eastAsia="Times New Roman" w:cs="Times New Roman"/>
                <w:b/>
                <w:color w:val="000000"/>
                <w:sz w:val="20"/>
                <w:szCs w:val="20"/>
                <w:lang w:val="sr-Cyrl-CS"/>
              </w:rPr>
              <w:t>7</w:t>
            </w:r>
          </w:p>
        </w:tc>
      </w:tr>
    </w:tbl>
    <w:p w14:paraId="105615A0" w14:textId="77777777" w:rsidR="008D7C20" w:rsidRPr="00092ED7" w:rsidRDefault="008D7C20" w:rsidP="00D030D6">
      <w:pPr>
        <w:spacing w:after="60"/>
        <w:rPr>
          <w:w w:val="110"/>
          <w:lang w:val="sr-Cyrl-CS"/>
        </w:rPr>
      </w:pPr>
    </w:p>
    <w:p w14:paraId="51886647" w14:textId="77777777" w:rsidR="00B11AE5" w:rsidRPr="00092ED7" w:rsidRDefault="00B11AE5" w:rsidP="00D030D6">
      <w:pPr>
        <w:spacing w:after="60"/>
        <w:rPr>
          <w:w w:val="110"/>
          <w:lang w:val="sr-Cyrl-CS"/>
        </w:rPr>
      </w:pPr>
    </w:p>
    <w:p w14:paraId="78C892BF" w14:textId="77777777" w:rsidR="00B11AE5" w:rsidRPr="00092ED7" w:rsidRDefault="00B11AE5">
      <w:pPr>
        <w:spacing w:after="160" w:line="259" w:lineRule="auto"/>
        <w:jc w:val="left"/>
        <w:rPr>
          <w:w w:val="110"/>
          <w:lang w:val="sr-Cyrl-CS"/>
        </w:rPr>
      </w:pPr>
      <w:r w:rsidRPr="00092ED7">
        <w:rPr>
          <w:w w:val="110"/>
          <w:lang w:val="sr-Cyrl-CS"/>
        </w:rPr>
        <w:br w:type="page"/>
      </w:r>
    </w:p>
    <w:p w14:paraId="41B2AB3D" w14:textId="77777777" w:rsidR="00B11AE5" w:rsidRPr="00092ED7" w:rsidRDefault="00F50B50" w:rsidP="00E34561">
      <w:pPr>
        <w:pStyle w:val="Heading3"/>
        <w:rPr>
          <w:rFonts w:ascii="Times New Roman" w:hAnsi="Times New Roman" w:cs="Times New Roman"/>
          <w:w w:val="110"/>
          <w:lang w:val="sr-Cyrl-CS"/>
        </w:rPr>
      </w:pPr>
      <w:bookmarkStart w:id="179" w:name="_Toc61953870"/>
      <w:bookmarkStart w:id="180" w:name="_Toc93386009"/>
      <w:bookmarkStart w:id="181" w:name="_Toc124174840"/>
      <w:bookmarkStart w:id="182" w:name="_Toc126218658"/>
      <w:r w:rsidRPr="00092ED7">
        <w:rPr>
          <w:rFonts w:ascii="Times New Roman" w:hAnsi="Times New Roman" w:cs="Times New Roman"/>
          <w:b/>
          <w:lang w:val="sr-Cyrl-CS"/>
        </w:rPr>
        <w:t xml:space="preserve">Табела 11: </w:t>
      </w:r>
      <w:bookmarkEnd w:id="179"/>
      <w:r w:rsidRPr="00092ED7">
        <w:rPr>
          <w:rFonts w:ascii="Times New Roman" w:hAnsi="Times New Roman" w:cs="Times New Roman"/>
          <w:b/>
          <w:lang w:val="sr-Cyrl-CS"/>
        </w:rPr>
        <w:t>Извештај о спровођењу структурних реформи из ЕРП 2022-2024</w:t>
      </w:r>
      <w:bookmarkEnd w:id="180"/>
      <w:bookmarkEnd w:id="181"/>
      <w:bookmarkEnd w:id="182"/>
    </w:p>
    <w:p w14:paraId="7E6014C1" w14:textId="77777777" w:rsidR="00B11AE5" w:rsidRPr="00092ED7" w:rsidRDefault="00B11AE5" w:rsidP="00D030D6">
      <w:pPr>
        <w:spacing w:after="60"/>
        <w:rPr>
          <w:w w:val="110"/>
          <w:lang w:val="sr-Cyrl-CS"/>
        </w:rPr>
      </w:pPr>
    </w:p>
    <w:tbl>
      <w:tblPr>
        <w:tblW w:w="1488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407"/>
        <w:gridCol w:w="1701"/>
        <w:gridCol w:w="3118"/>
        <w:gridCol w:w="2410"/>
        <w:gridCol w:w="2693"/>
      </w:tblGrid>
      <w:tr w:rsidR="006458EB" w:rsidRPr="00092ED7" w14:paraId="200940DE" w14:textId="77777777" w:rsidTr="004F56D8">
        <w:trPr>
          <w:trHeight w:val="1410"/>
        </w:trPr>
        <w:tc>
          <w:tcPr>
            <w:tcW w:w="560" w:type="dxa"/>
            <w:shd w:val="clear" w:color="auto" w:fill="F2F2F2" w:themeFill="background1" w:themeFillShade="F2"/>
            <w:noWrap/>
            <w:hideMark/>
          </w:tcPr>
          <w:p w14:paraId="470928E6"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4407" w:type="dxa"/>
            <w:shd w:val="clear" w:color="auto" w:fill="F2F2F2" w:themeFill="background1" w:themeFillShade="F2"/>
            <w:vAlign w:val="center"/>
            <w:hideMark/>
          </w:tcPr>
          <w:p w14:paraId="4572D1E7" w14:textId="77777777" w:rsidR="006458EB" w:rsidRPr="00092ED7" w:rsidRDefault="006458EB" w:rsidP="009E7AB4">
            <w:pPr>
              <w:spacing w:after="0"/>
              <w:jc w:val="left"/>
              <w:rPr>
                <w:rFonts w:eastAsia="Times New Roman" w:cs="Times New Roman"/>
                <w:b/>
                <w:bCs/>
                <w:color w:val="000000"/>
                <w:sz w:val="18"/>
                <w:szCs w:val="18"/>
                <w:lang w:val="sr-Cyrl-CS" w:eastAsia="sr-Latn-RS"/>
              </w:rPr>
            </w:pPr>
            <w:r w:rsidRPr="00092ED7">
              <w:rPr>
                <w:rFonts w:eastAsia="Times New Roman" w:cs="Times New Roman"/>
                <w:b/>
                <w:bCs/>
                <w:color w:val="000000"/>
                <w:sz w:val="18"/>
                <w:szCs w:val="18"/>
                <w:lang w:val="sr-Cyrl-CS" w:eastAsia="sr-Latn-RS"/>
              </w:rPr>
              <w:t>КРАТАК ОПИС АКТИВНОСТИ ПЛАНИРАНИХ ЗА 2022. ГОДИНУ</w:t>
            </w:r>
            <w:r w:rsidRPr="00092ED7">
              <w:rPr>
                <w:rFonts w:eastAsia="Times New Roman" w:cs="Times New Roman"/>
                <w:i/>
                <w:iCs/>
                <w:color w:val="000000"/>
                <w:sz w:val="18"/>
                <w:szCs w:val="18"/>
                <w:lang w:val="sr-Cyrl-CS" w:eastAsia="sr-Latn-RS"/>
              </w:rPr>
              <w:t>(активности из гантограма)</w:t>
            </w:r>
          </w:p>
        </w:tc>
        <w:tc>
          <w:tcPr>
            <w:tcW w:w="1701" w:type="dxa"/>
            <w:shd w:val="clear" w:color="auto" w:fill="F2F2F2" w:themeFill="background1" w:themeFillShade="F2"/>
            <w:vAlign w:val="center"/>
            <w:hideMark/>
          </w:tcPr>
          <w:p w14:paraId="60EB564B" w14:textId="77777777" w:rsidR="006458EB" w:rsidRPr="00092ED7" w:rsidRDefault="006458EB" w:rsidP="006458EB">
            <w:pPr>
              <w:spacing w:after="0"/>
              <w:jc w:val="left"/>
              <w:rPr>
                <w:rFonts w:eastAsia="Times New Roman" w:cs="Times New Roman"/>
                <w:b/>
                <w:bCs/>
                <w:color w:val="000000"/>
                <w:sz w:val="18"/>
                <w:szCs w:val="18"/>
                <w:lang w:val="sr-Cyrl-CS" w:eastAsia="sr-Latn-RS"/>
              </w:rPr>
            </w:pPr>
            <w:r w:rsidRPr="00092ED7">
              <w:rPr>
                <w:rFonts w:eastAsia="Times New Roman" w:cs="Times New Roman"/>
                <w:b/>
                <w:bCs/>
                <w:color w:val="000000"/>
                <w:sz w:val="18"/>
                <w:szCs w:val="18"/>
                <w:lang w:val="sr-Cyrl-CS" w:eastAsia="sr-Latn-RS"/>
              </w:rPr>
              <w:t>ДА ЛИ СУ АКТИВНОСТИ ПЛАНИРАНЕ ЗА 2022. ГОДИНУ СПРОВЕДЕНЕ?</w:t>
            </w:r>
          </w:p>
        </w:tc>
        <w:tc>
          <w:tcPr>
            <w:tcW w:w="3118" w:type="dxa"/>
            <w:shd w:val="clear" w:color="auto" w:fill="F2F2F2" w:themeFill="background1" w:themeFillShade="F2"/>
            <w:vAlign w:val="center"/>
            <w:hideMark/>
          </w:tcPr>
          <w:p w14:paraId="3F5A711C" w14:textId="77777777" w:rsidR="006458EB" w:rsidRPr="00092ED7" w:rsidRDefault="006458EB" w:rsidP="006458EB">
            <w:pPr>
              <w:spacing w:after="0"/>
              <w:jc w:val="left"/>
              <w:rPr>
                <w:rFonts w:eastAsia="Times New Roman" w:cs="Times New Roman"/>
                <w:b/>
                <w:bCs/>
                <w:color w:val="000000"/>
                <w:sz w:val="18"/>
                <w:szCs w:val="18"/>
                <w:lang w:val="sr-Cyrl-CS" w:eastAsia="sr-Latn-RS"/>
              </w:rPr>
            </w:pPr>
            <w:r w:rsidRPr="00092ED7">
              <w:rPr>
                <w:rFonts w:eastAsia="Times New Roman" w:cs="Times New Roman"/>
                <w:b/>
                <w:bCs/>
                <w:color w:val="000000"/>
                <w:sz w:val="18"/>
                <w:szCs w:val="18"/>
                <w:lang w:val="sr-Cyrl-CS" w:eastAsia="sr-Latn-RS"/>
              </w:rPr>
              <w:t>АКО АКТИВНОСТ НИЈЕ У ПОТПУНОСТИ СПРОВЕДЕНА, ДАТИ КРАТАК ПРЕГЛЕД</w:t>
            </w:r>
            <w:r w:rsidRPr="00092ED7">
              <w:rPr>
                <w:rFonts w:eastAsia="Times New Roman" w:cs="Times New Roman"/>
                <w:b/>
                <w:bCs/>
                <w:color w:val="000000"/>
                <w:sz w:val="18"/>
                <w:szCs w:val="18"/>
                <w:lang w:val="sr-Cyrl-CS" w:eastAsia="sr-Latn-RS"/>
              </w:rPr>
              <w:br/>
              <w:t>(</w:t>
            </w:r>
            <w:r w:rsidRPr="00092ED7">
              <w:rPr>
                <w:rFonts w:eastAsia="Times New Roman" w:cs="Times New Roman"/>
                <w:color w:val="000000"/>
                <w:sz w:val="18"/>
                <w:szCs w:val="18"/>
                <w:lang w:val="sr-Cyrl-CS" w:eastAsia="sr-Latn-RS"/>
              </w:rPr>
              <w:t>предузети кораци, динамика спроведених активности, тешкоће и одлагања у спровођењу)</w:t>
            </w:r>
          </w:p>
        </w:tc>
        <w:tc>
          <w:tcPr>
            <w:tcW w:w="2410" w:type="dxa"/>
            <w:shd w:val="clear" w:color="auto" w:fill="F2F2F2" w:themeFill="background1" w:themeFillShade="F2"/>
            <w:vAlign w:val="center"/>
            <w:hideMark/>
          </w:tcPr>
          <w:p w14:paraId="0BB20E4D" w14:textId="77777777" w:rsidR="006458EB" w:rsidRPr="00092ED7" w:rsidRDefault="006458EB" w:rsidP="006458EB">
            <w:pPr>
              <w:spacing w:after="0"/>
              <w:jc w:val="left"/>
              <w:rPr>
                <w:rFonts w:eastAsia="Times New Roman" w:cs="Times New Roman"/>
                <w:b/>
                <w:bCs/>
                <w:color w:val="000000"/>
                <w:sz w:val="18"/>
                <w:szCs w:val="18"/>
                <w:lang w:val="sr-Cyrl-CS" w:eastAsia="sr-Latn-RS"/>
              </w:rPr>
            </w:pPr>
            <w:r w:rsidRPr="00092ED7">
              <w:rPr>
                <w:rFonts w:eastAsia="Times New Roman" w:cs="Times New Roman"/>
                <w:b/>
                <w:bCs/>
                <w:color w:val="000000"/>
                <w:sz w:val="18"/>
                <w:szCs w:val="18"/>
                <w:lang w:val="sr-Cyrl-CS" w:eastAsia="sr-Latn-RS"/>
              </w:rPr>
              <w:t>АКО СЕ АКТИВНОСТ НЕ СПРОВОДИ, ОБЈАСНИТИ ЗАШТО</w:t>
            </w:r>
          </w:p>
        </w:tc>
        <w:tc>
          <w:tcPr>
            <w:tcW w:w="2693" w:type="dxa"/>
            <w:shd w:val="clear" w:color="auto" w:fill="F2F2F2" w:themeFill="background1" w:themeFillShade="F2"/>
            <w:vAlign w:val="center"/>
            <w:hideMark/>
          </w:tcPr>
          <w:p w14:paraId="48DB4C41" w14:textId="77777777" w:rsidR="006458EB" w:rsidRPr="00092ED7" w:rsidRDefault="006458EB" w:rsidP="006458EB">
            <w:pPr>
              <w:spacing w:after="0"/>
              <w:jc w:val="left"/>
              <w:rPr>
                <w:rFonts w:eastAsia="Times New Roman" w:cs="Times New Roman"/>
                <w:b/>
                <w:bCs/>
                <w:color w:val="000000"/>
                <w:sz w:val="18"/>
                <w:szCs w:val="18"/>
                <w:lang w:val="sr-Cyrl-CS" w:eastAsia="sr-Latn-RS"/>
              </w:rPr>
            </w:pPr>
            <w:r w:rsidRPr="00092ED7">
              <w:rPr>
                <w:rFonts w:eastAsia="Times New Roman" w:cs="Times New Roman"/>
                <w:b/>
                <w:bCs/>
                <w:color w:val="000000"/>
                <w:sz w:val="18"/>
                <w:szCs w:val="18"/>
                <w:lang w:val="sr-Cyrl-CS" w:eastAsia="sr-Latn-RS"/>
              </w:rPr>
              <w:t xml:space="preserve">ОСТАЛЕ АКТИВНОСТИ  </w:t>
            </w:r>
            <w:r w:rsidRPr="00092ED7">
              <w:rPr>
                <w:rFonts w:eastAsia="Times New Roman" w:cs="Times New Roman"/>
                <w:b/>
                <w:bCs/>
                <w:color w:val="000000"/>
                <w:sz w:val="18"/>
                <w:szCs w:val="18"/>
                <w:lang w:val="sr-Cyrl-CS" w:eastAsia="sr-Latn-RS"/>
              </w:rPr>
              <w:br/>
            </w:r>
            <w:r w:rsidRPr="00092ED7">
              <w:rPr>
                <w:rFonts w:eastAsia="Times New Roman" w:cs="Times New Roman"/>
                <w:i/>
                <w:iCs/>
                <w:color w:val="000000"/>
                <w:sz w:val="18"/>
                <w:szCs w:val="18"/>
                <w:lang w:val="sr-Cyrl-CS" w:eastAsia="sr-Latn-RS"/>
              </w:rPr>
              <w:t>(непланиране, а реализоване активности које су предузете у циљу спровођења СР)</w:t>
            </w:r>
          </w:p>
        </w:tc>
      </w:tr>
      <w:tr w:rsidR="009349ED" w:rsidRPr="00092ED7" w14:paraId="4D85F129" w14:textId="77777777" w:rsidTr="004F56D8">
        <w:trPr>
          <w:trHeight w:val="360"/>
        </w:trPr>
        <w:tc>
          <w:tcPr>
            <w:tcW w:w="560" w:type="dxa"/>
            <w:shd w:val="clear" w:color="auto" w:fill="D9D9D9" w:themeFill="background1" w:themeFillShade="D9"/>
            <w:noWrap/>
            <w:hideMark/>
          </w:tcPr>
          <w:p w14:paraId="1E0A43AA"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0AD2A162"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 УСПОСТАВЉАЊЕ ОКВИРА ЗА УВОЂЕЊЕ ГАРАНЦИЈА ЗА МЛАДЕ У РЕПУБЛИЦИ СРБИЈИ</w:t>
            </w:r>
          </w:p>
        </w:tc>
      </w:tr>
      <w:tr w:rsidR="006458EB" w:rsidRPr="00092ED7" w14:paraId="1FC0F9B4" w14:textId="77777777" w:rsidTr="004F56D8">
        <w:trPr>
          <w:trHeight w:val="1056"/>
        </w:trPr>
        <w:tc>
          <w:tcPr>
            <w:tcW w:w="560" w:type="dxa"/>
            <w:shd w:val="clear" w:color="auto" w:fill="auto"/>
            <w:noWrap/>
            <w:hideMark/>
          </w:tcPr>
          <w:p w14:paraId="26819374"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54028FA6" w14:textId="77777777" w:rsidR="006458EB" w:rsidRPr="00092ED7" w:rsidRDefault="006458EB" w:rsidP="004F56D8">
            <w:pPr>
              <w:spacing w:after="0"/>
              <w:ind w:right="458"/>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Успостављање мултиресорне групе на високом нивоу и експертске групе на оперативном нивоу које ће имати задатак да спроведе припремне активности и израде План имплементације Гаранције, уз континуирано оснаживање именованих чланова за реализацију додељених задатака</w:t>
            </w:r>
          </w:p>
        </w:tc>
        <w:tc>
          <w:tcPr>
            <w:tcW w:w="1701" w:type="dxa"/>
            <w:shd w:val="clear" w:color="auto" w:fill="auto"/>
            <w:hideMark/>
          </w:tcPr>
          <w:p w14:paraId="014DAA3A"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1B881B2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4F86AE30"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CD558EA"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15F0C5E8" w14:textId="77777777" w:rsidTr="004F56D8">
        <w:trPr>
          <w:trHeight w:val="1056"/>
        </w:trPr>
        <w:tc>
          <w:tcPr>
            <w:tcW w:w="560" w:type="dxa"/>
            <w:shd w:val="clear" w:color="auto" w:fill="auto"/>
            <w:noWrap/>
            <w:hideMark/>
          </w:tcPr>
          <w:p w14:paraId="4938290F"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0A8C06E9"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Припрема Аналитичке грађе потребне за израду Плана имплементације Гаранције (процена стања и потреба НЕЕТ младих, мапирање постојећих политика, способност домаћих институција и релевантних партнера да реализују сложен систем Гаранције и др.)</w:t>
            </w:r>
          </w:p>
        </w:tc>
        <w:tc>
          <w:tcPr>
            <w:tcW w:w="1701" w:type="dxa"/>
            <w:shd w:val="clear" w:color="auto" w:fill="auto"/>
            <w:hideMark/>
          </w:tcPr>
          <w:p w14:paraId="38F1BFA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noWrap/>
            <w:hideMark/>
          </w:tcPr>
          <w:p w14:paraId="2D53686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73D90A5C"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86F6E8B"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35D2D003" w14:textId="77777777" w:rsidTr="004F56D8">
        <w:trPr>
          <w:trHeight w:val="2640"/>
        </w:trPr>
        <w:tc>
          <w:tcPr>
            <w:tcW w:w="560" w:type="dxa"/>
            <w:shd w:val="clear" w:color="auto" w:fill="auto"/>
            <w:noWrap/>
            <w:hideMark/>
          </w:tcPr>
          <w:p w14:paraId="50E50EFA"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7E7C6169"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 xml:space="preserve">Израда и усвајање Плана имплементације Гаранције </w:t>
            </w:r>
          </w:p>
        </w:tc>
        <w:tc>
          <w:tcPr>
            <w:tcW w:w="1701" w:type="dxa"/>
            <w:shd w:val="clear" w:color="auto" w:fill="auto"/>
            <w:hideMark/>
          </w:tcPr>
          <w:p w14:paraId="04B1FC20"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3B21F83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Након опсежних консултација у току 2022. године, у оквиру формираних група за припрему и спровођење Плана имплементације, уз техничку подршку Међународне организације рада и уз континуирани дијалог са ЕК, припремљена је прва верзија Плана имплементације, која је након је након додатних консултација са заинтересованим странама ревидирана у  септембру 2022.</w:t>
            </w:r>
          </w:p>
        </w:tc>
        <w:tc>
          <w:tcPr>
            <w:tcW w:w="2410" w:type="dxa"/>
            <w:shd w:val="clear" w:color="auto" w:fill="auto"/>
            <w:hideMark/>
          </w:tcPr>
          <w:p w14:paraId="213C56B6" w14:textId="5CC3B29E" w:rsidR="006458EB" w:rsidRPr="00092ED7" w:rsidRDefault="006458EB" w:rsidP="007D2A0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 обзиром на то да је крајем октобра 2022. године формирана нова Влада, да су у оквиру ње формирана и нова министарства и институције, да су измењене надлежности актера препознатих у имплементацији Гаранције за младе, потребно је да се измени и  Одлука о образовању Координационог тела за израду и праћење спровођења Плана имплементације Гаранције за младе, а након тога ће се наставити рад на документу. Из наведених разлога усвајање Плана имплементације Гаранције за младе планира се до краја другог квартала 2023. године.</w:t>
            </w:r>
          </w:p>
        </w:tc>
        <w:tc>
          <w:tcPr>
            <w:tcW w:w="2693" w:type="dxa"/>
            <w:shd w:val="clear" w:color="auto" w:fill="auto"/>
            <w:hideMark/>
          </w:tcPr>
          <w:p w14:paraId="22D739D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03DC51CA" w14:textId="77777777" w:rsidTr="004F56D8">
        <w:trPr>
          <w:trHeight w:val="1596"/>
        </w:trPr>
        <w:tc>
          <w:tcPr>
            <w:tcW w:w="560" w:type="dxa"/>
            <w:shd w:val="clear" w:color="auto" w:fill="auto"/>
            <w:noWrap/>
            <w:hideMark/>
          </w:tcPr>
          <w:p w14:paraId="7382D3EF"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7D0977A6"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Спровођење припремних радњи за увођење Гаранције препознатих у Плану имплементације (промоција, обезбеђивање потребног људства и изградња капацитета надлежних органа, изградња капацитета организација цивилног друштва за реализацију активности досезања, измене нормативног оквира, припрема оквира за мониторинг и евалуацију)</w:t>
            </w:r>
          </w:p>
        </w:tc>
        <w:tc>
          <w:tcPr>
            <w:tcW w:w="1701" w:type="dxa"/>
            <w:shd w:val="clear" w:color="auto" w:fill="auto"/>
            <w:hideMark/>
          </w:tcPr>
          <w:p w14:paraId="6F401702"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hideMark/>
          </w:tcPr>
          <w:p w14:paraId="08BFA3BD"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Са фазом спровођења припремних радњи започеће се у пуном обиму након усвајања Плана имплементације Гаранције за младе. Активности које су спроведене у току 2022. године односе се на оснаживање капацитета чланова Коордиционог тела и Стручне групе, њихово упознавање са програмом Гаранције за младе, категоријом NEET младих и др.</w:t>
            </w:r>
          </w:p>
        </w:tc>
        <w:tc>
          <w:tcPr>
            <w:tcW w:w="2410" w:type="dxa"/>
            <w:shd w:val="clear" w:color="auto" w:fill="auto"/>
            <w:hideMark/>
          </w:tcPr>
          <w:p w14:paraId="3AF92E7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477D2BD"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4FE6D634" w14:textId="77777777" w:rsidTr="004F56D8">
        <w:trPr>
          <w:trHeight w:val="360"/>
        </w:trPr>
        <w:tc>
          <w:tcPr>
            <w:tcW w:w="560" w:type="dxa"/>
            <w:shd w:val="clear" w:color="auto" w:fill="auto"/>
            <w:hideMark/>
          </w:tcPr>
          <w:p w14:paraId="363A5D8B" w14:textId="77777777" w:rsidR="006458EB" w:rsidRPr="00092ED7" w:rsidRDefault="006458EB" w:rsidP="006458EB">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782368F2" w14:textId="77777777" w:rsidR="006458EB" w:rsidRPr="00092ED7" w:rsidRDefault="006458EB" w:rsidP="006458EB">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017E08C0" w14:textId="77777777" w:rsidR="006458EB" w:rsidRPr="00092ED7" w:rsidRDefault="006458EB" w:rsidP="006458EB">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75%</w:t>
            </w:r>
          </w:p>
        </w:tc>
        <w:tc>
          <w:tcPr>
            <w:tcW w:w="3118" w:type="dxa"/>
            <w:shd w:val="clear" w:color="auto" w:fill="auto"/>
            <w:noWrap/>
            <w:hideMark/>
          </w:tcPr>
          <w:p w14:paraId="5B22528A" w14:textId="77777777" w:rsidR="006458EB" w:rsidRPr="00092ED7" w:rsidRDefault="006458EB" w:rsidP="006458EB">
            <w:pPr>
              <w:spacing w:after="0"/>
              <w:jc w:val="center"/>
              <w:rPr>
                <w:rFonts w:eastAsia="Times New Roman" w:cs="Times New Roman"/>
                <w:sz w:val="18"/>
                <w:szCs w:val="18"/>
                <w:lang w:val="sr-Cyrl-CS" w:eastAsia="sr-Latn-RS"/>
              </w:rPr>
            </w:pPr>
          </w:p>
        </w:tc>
        <w:tc>
          <w:tcPr>
            <w:tcW w:w="2410" w:type="dxa"/>
            <w:shd w:val="clear" w:color="auto" w:fill="auto"/>
            <w:noWrap/>
            <w:hideMark/>
          </w:tcPr>
          <w:p w14:paraId="4EC55917" w14:textId="77777777" w:rsidR="006458EB" w:rsidRPr="00092ED7" w:rsidRDefault="006458EB" w:rsidP="006458EB">
            <w:pPr>
              <w:spacing w:after="0"/>
              <w:jc w:val="left"/>
              <w:rPr>
                <w:rFonts w:eastAsia="Times New Roman" w:cs="Times New Roman"/>
                <w:sz w:val="18"/>
                <w:szCs w:val="18"/>
                <w:lang w:val="sr-Cyrl-CS" w:eastAsia="sr-Latn-RS"/>
              </w:rPr>
            </w:pPr>
          </w:p>
        </w:tc>
        <w:tc>
          <w:tcPr>
            <w:tcW w:w="2693" w:type="dxa"/>
            <w:shd w:val="clear" w:color="auto" w:fill="auto"/>
            <w:noWrap/>
            <w:hideMark/>
          </w:tcPr>
          <w:p w14:paraId="03F7AE50" w14:textId="77777777" w:rsidR="006458EB" w:rsidRPr="00092ED7" w:rsidRDefault="006458EB" w:rsidP="006458EB">
            <w:pPr>
              <w:spacing w:after="0"/>
              <w:jc w:val="left"/>
              <w:rPr>
                <w:rFonts w:eastAsia="Times New Roman" w:cs="Times New Roman"/>
                <w:sz w:val="18"/>
                <w:szCs w:val="18"/>
                <w:lang w:val="sr-Cyrl-CS" w:eastAsia="sr-Latn-RS"/>
              </w:rPr>
            </w:pPr>
          </w:p>
        </w:tc>
      </w:tr>
      <w:tr w:rsidR="009349ED" w:rsidRPr="00092ED7" w14:paraId="768D4017" w14:textId="77777777" w:rsidTr="004F56D8">
        <w:trPr>
          <w:trHeight w:val="360"/>
        </w:trPr>
        <w:tc>
          <w:tcPr>
            <w:tcW w:w="560" w:type="dxa"/>
            <w:shd w:val="clear" w:color="auto" w:fill="D9D9D9" w:themeFill="background1" w:themeFillShade="D9"/>
            <w:noWrap/>
            <w:hideMark/>
          </w:tcPr>
          <w:p w14:paraId="65B469FF"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5553450F"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2. КВАЛИФИКАЦИЈЕ ОРИЈЕНТИСАНЕ ПРЕМА ПОТРЕБАМА ТРЖИШТА РАДА</w:t>
            </w:r>
          </w:p>
        </w:tc>
      </w:tr>
      <w:tr w:rsidR="006458EB" w:rsidRPr="00092ED7" w14:paraId="413B6B54" w14:textId="77777777" w:rsidTr="004F56D8">
        <w:trPr>
          <w:trHeight w:val="288"/>
        </w:trPr>
        <w:tc>
          <w:tcPr>
            <w:tcW w:w="560" w:type="dxa"/>
            <w:shd w:val="clear" w:color="auto" w:fill="auto"/>
            <w:noWrap/>
            <w:hideMark/>
          </w:tcPr>
          <w:p w14:paraId="23E0A4EC"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7C23C13B"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Промоција дуалног модела образовања</w:t>
            </w:r>
          </w:p>
        </w:tc>
        <w:tc>
          <w:tcPr>
            <w:tcW w:w="1701" w:type="dxa"/>
            <w:shd w:val="clear" w:color="auto" w:fill="auto"/>
            <w:hideMark/>
          </w:tcPr>
          <w:p w14:paraId="02B8E9ED"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0AF2D562"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20F0D17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51A1A4C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0AD9784A" w14:textId="77777777" w:rsidTr="004F56D8">
        <w:trPr>
          <w:trHeight w:val="1056"/>
        </w:trPr>
        <w:tc>
          <w:tcPr>
            <w:tcW w:w="560" w:type="dxa"/>
            <w:shd w:val="clear" w:color="auto" w:fill="auto"/>
            <w:noWrap/>
            <w:hideMark/>
          </w:tcPr>
          <w:p w14:paraId="1F914F6F"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24A1079A"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Оснивање, инфраструктурно уређење и опремање регионалних тренинг центара</w:t>
            </w:r>
          </w:p>
        </w:tc>
        <w:tc>
          <w:tcPr>
            <w:tcW w:w="1701" w:type="dxa"/>
            <w:shd w:val="clear" w:color="auto" w:fill="auto"/>
            <w:hideMark/>
          </w:tcPr>
          <w:p w14:paraId="50AD743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hideMark/>
          </w:tcPr>
          <w:p w14:paraId="2950309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Успостављен је један регионални тренинг центар, а опремљена су још три регионална тренинг центра, која су тренутно у процедури верификације. </w:t>
            </w:r>
          </w:p>
        </w:tc>
        <w:tc>
          <w:tcPr>
            <w:tcW w:w="2410" w:type="dxa"/>
            <w:shd w:val="clear" w:color="auto" w:fill="auto"/>
            <w:hideMark/>
          </w:tcPr>
          <w:p w14:paraId="04648C5D"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2069832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21EE030D" w14:textId="77777777" w:rsidTr="004F56D8">
        <w:trPr>
          <w:trHeight w:val="288"/>
        </w:trPr>
        <w:tc>
          <w:tcPr>
            <w:tcW w:w="560" w:type="dxa"/>
            <w:shd w:val="clear" w:color="auto" w:fill="auto"/>
            <w:noWrap/>
            <w:hideMark/>
          </w:tcPr>
          <w:p w14:paraId="53E871CB"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17625A75"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Развој нових стандарда квалификација у средњем стручном образовању</w:t>
            </w:r>
          </w:p>
        </w:tc>
        <w:tc>
          <w:tcPr>
            <w:tcW w:w="1701" w:type="dxa"/>
            <w:shd w:val="clear" w:color="auto" w:fill="auto"/>
            <w:hideMark/>
          </w:tcPr>
          <w:p w14:paraId="3334E896"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0FCB912C"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0F8CEDD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2C8C6AE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4F66B4AD" w14:textId="77777777" w:rsidTr="004F56D8">
        <w:trPr>
          <w:trHeight w:val="528"/>
        </w:trPr>
        <w:tc>
          <w:tcPr>
            <w:tcW w:w="560" w:type="dxa"/>
            <w:shd w:val="clear" w:color="auto" w:fill="auto"/>
            <w:noWrap/>
            <w:hideMark/>
          </w:tcPr>
          <w:p w14:paraId="42F7C91D"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36EB2AA3"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Примена Оквира за праћење и вредновање Националног модела дуалног образовања и дуалних образовних профила</w:t>
            </w:r>
          </w:p>
        </w:tc>
        <w:tc>
          <w:tcPr>
            <w:tcW w:w="1701" w:type="dxa"/>
            <w:shd w:val="clear" w:color="auto" w:fill="auto"/>
            <w:hideMark/>
          </w:tcPr>
          <w:p w14:paraId="76CF858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124295D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1F7B0E1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4ED7FF3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10FEEB04" w14:textId="77777777" w:rsidTr="004F56D8">
        <w:trPr>
          <w:trHeight w:val="528"/>
        </w:trPr>
        <w:tc>
          <w:tcPr>
            <w:tcW w:w="560" w:type="dxa"/>
            <w:shd w:val="clear" w:color="auto" w:fill="auto"/>
            <w:noWrap/>
            <w:hideMark/>
          </w:tcPr>
          <w:p w14:paraId="322E2691"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2F8A5AB9"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Израда студија за потребе развоја и евалуације дуалног образовања и различитих путева за достизање квалификација</w:t>
            </w:r>
          </w:p>
        </w:tc>
        <w:tc>
          <w:tcPr>
            <w:tcW w:w="1701" w:type="dxa"/>
            <w:shd w:val="clear" w:color="auto" w:fill="auto"/>
            <w:hideMark/>
          </w:tcPr>
          <w:p w14:paraId="69C7411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не спроводи се</w:t>
            </w:r>
          </w:p>
        </w:tc>
        <w:tc>
          <w:tcPr>
            <w:tcW w:w="3118" w:type="dxa"/>
            <w:shd w:val="clear" w:color="auto" w:fill="auto"/>
            <w:hideMark/>
          </w:tcPr>
          <w:p w14:paraId="1C1855E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6CA3B31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Средства за израду студија су пренамењена ребалансом буџета.</w:t>
            </w:r>
          </w:p>
        </w:tc>
        <w:tc>
          <w:tcPr>
            <w:tcW w:w="2693" w:type="dxa"/>
            <w:shd w:val="clear" w:color="auto" w:fill="auto"/>
            <w:hideMark/>
          </w:tcPr>
          <w:p w14:paraId="5F1A5A16"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68E5F33B" w14:textId="77777777" w:rsidTr="004F56D8">
        <w:trPr>
          <w:trHeight w:val="288"/>
        </w:trPr>
        <w:tc>
          <w:tcPr>
            <w:tcW w:w="560" w:type="dxa"/>
            <w:shd w:val="clear" w:color="auto" w:fill="auto"/>
            <w:noWrap/>
            <w:hideMark/>
          </w:tcPr>
          <w:p w14:paraId="1E8AB6F2"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6.</w:t>
            </w:r>
          </w:p>
        </w:tc>
        <w:tc>
          <w:tcPr>
            <w:tcW w:w="4407" w:type="dxa"/>
            <w:shd w:val="clear" w:color="auto" w:fill="auto"/>
            <w:hideMark/>
          </w:tcPr>
          <w:p w14:paraId="4A99281F"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Израда и акредитација студијских програма по дуалном моделу студија</w:t>
            </w:r>
          </w:p>
        </w:tc>
        <w:tc>
          <w:tcPr>
            <w:tcW w:w="1701" w:type="dxa"/>
            <w:shd w:val="clear" w:color="auto" w:fill="auto"/>
            <w:hideMark/>
          </w:tcPr>
          <w:p w14:paraId="70A50EAA"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0730950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6DD31951"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567F337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FE3A379" w14:textId="77777777" w:rsidTr="004F56D8">
        <w:trPr>
          <w:trHeight w:val="3405"/>
        </w:trPr>
        <w:tc>
          <w:tcPr>
            <w:tcW w:w="560" w:type="dxa"/>
            <w:shd w:val="clear" w:color="auto" w:fill="auto"/>
            <w:noWrap/>
            <w:hideMark/>
          </w:tcPr>
          <w:p w14:paraId="58B11592"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7.</w:t>
            </w:r>
          </w:p>
        </w:tc>
        <w:tc>
          <w:tcPr>
            <w:tcW w:w="4407" w:type="dxa"/>
            <w:shd w:val="clear" w:color="auto" w:fill="auto"/>
            <w:hideMark/>
          </w:tcPr>
          <w:p w14:paraId="1C95548A"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Имплементација поступка ППУ (признавање претходног учења)</w:t>
            </w:r>
          </w:p>
        </w:tc>
        <w:tc>
          <w:tcPr>
            <w:tcW w:w="1701" w:type="dxa"/>
            <w:shd w:val="clear" w:color="auto" w:fill="auto"/>
            <w:hideMark/>
          </w:tcPr>
          <w:p w14:paraId="27D8E516"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46D94440"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извештајном периоду предузимане су бројне активности на имплементацији поступка ППУ као равноправног пута за стицање квалификација. У складу са Правилником о стандардима и начину спровођења поступка признавања претходног учења  уз подршку ГИЗ Пројекта ДЕЦИДЕ започет је поступак акредитације шест школа за спровођење поступка ППУ за квалификације из области машинства. Као део акредитационог процеса кадар школа обучен је за спровођење псотупка ППУ као и запослени у ЗУОВ у чијој је надлежности оцена инструената  који се користе у поступку ППУ као и пружање подршке школама у поступку ППУ. У оквиру ГИЗ пројекта ангажовани су експерти и за припрему Упутства за израду портфолија и припрему образаца за самопроцену као и припрему Смерница за израду плана за процену кандидата.</w:t>
            </w:r>
          </w:p>
        </w:tc>
        <w:tc>
          <w:tcPr>
            <w:tcW w:w="2410" w:type="dxa"/>
            <w:shd w:val="clear" w:color="auto" w:fill="auto"/>
            <w:hideMark/>
          </w:tcPr>
          <w:p w14:paraId="181C1B20"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949663B"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10EDDDAE" w14:textId="77777777" w:rsidTr="004F56D8">
        <w:trPr>
          <w:trHeight w:val="1125"/>
        </w:trPr>
        <w:tc>
          <w:tcPr>
            <w:tcW w:w="560" w:type="dxa"/>
            <w:shd w:val="clear" w:color="auto" w:fill="auto"/>
            <w:noWrap/>
            <w:hideMark/>
          </w:tcPr>
          <w:p w14:paraId="3B034215"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8.</w:t>
            </w:r>
          </w:p>
        </w:tc>
        <w:tc>
          <w:tcPr>
            <w:tcW w:w="4407" w:type="dxa"/>
            <w:shd w:val="clear" w:color="auto" w:fill="auto"/>
            <w:hideMark/>
          </w:tcPr>
          <w:p w14:paraId="070AF367"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Унос података у Регистар НОКС (квалификације, стандарди квалификација и ЈПОА– јавнопризнати организатори активности образовања одраслих)</w:t>
            </w:r>
          </w:p>
        </w:tc>
        <w:tc>
          <w:tcPr>
            <w:tcW w:w="1701" w:type="dxa"/>
            <w:shd w:val="clear" w:color="auto" w:fill="auto"/>
            <w:hideMark/>
          </w:tcPr>
          <w:p w14:paraId="4A286CB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0BE082F4" w14:textId="38FC4933" w:rsidR="006458EB" w:rsidRPr="00092ED7" w:rsidRDefault="006458EB" w:rsidP="007234E0">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До сада су у Регистар НОКС-а унети су подаци о 465</w:t>
            </w:r>
            <w:r w:rsidR="007234E0" w:rsidRPr="00092ED7">
              <w:rPr>
                <w:rFonts w:eastAsia="Times New Roman" w:cs="Times New Roman"/>
                <w:color w:val="000000"/>
                <w:sz w:val="18"/>
                <w:szCs w:val="18"/>
                <w:lang w:val="sr-Cyrl-CS" w:eastAsia="sr-Latn-RS"/>
              </w:rPr>
              <w:t>4</w:t>
            </w:r>
            <w:r w:rsidRPr="00092ED7">
              <w:rPr>
                <w:rFonts w:eastAsia="Times New Roman" w:cs="Times New Roman"/>
                <w:color w:val="000000"/>
                <w:sz w:val="18"/>
                <w:szCs w:val="18"/>
                <w:lang w:val="sr-Cyrl-CS" w:eastAsia="sr-Latn-RS"/>
              </w:rPr>
              <w:t xml:space="preserve"> квалификацији, од чега </w:t>
            </w:r>
            <w:r w:rsidR="007234E0" w:rsidRPr="00092ED7">
              <w:rPr>
                <w:rFonts w:eastAsia="Times New Roman" w:cs="Times New Roman"/>
                <w:color w:val="000000"/>
                <w:sz w:val="18"/>
                <w:szCs w:val="18"/>
                <w:lang w:val="sr-Cyrl-CS" w:eastAsia="sr-Latn-RS"/>
              </w:rPr>
              <w:t xml:space="preserve">83 </w:t>
            </w:r>
            <w:r w:rsidRPr="00092ED7">
              <w:rPr>
                <w:rFonts w:eastAsia="Times New Roman" w:cs="Times New Roman"/>
                <w:color w:val="000000"/>
                <w:sz w:val="18"/>
                <w:szCs w:val="18"/>
                <w:lang w:val="sr-Cyrl-CS" w:eastAsia="sr-Latn-RS"/>
              </w:rPr>
              <w:t>квалификаицја има стандард квалификација развијен по новој методологији. У подрегистар ЈПОА унето је 350 акредитованих програма обука и подаци о 11</w:t>
            </w:r>
            <w:r w:rsidR="007234E0" w:rsidRPr="00092ED7">
              <w:rPr>
                <w:rFonts w:eastAsia="Times New Roman" w:cs="Times New Roman"/>
                <w:color w:val="000000"/>
                <w:sz w:val="18"/>
                <w:szCs w:val="18"/>
                <w:lang w:val="sr-Cyrl-CS" w:eastAsia="sr-Latn-RS"/>
              </w:rPr>
              <w:t>9</w:t>
            </w:r>
            <w:r w:rsidRPr="00092ED7">
              <w:rPr>
                <w:rFonts w:eastAsia="Times New Roman" w:cs="Times New Roman"/>
                <w:color w:val="000000"/>
                <w:sz w:val="18"/>
                <w:szCs w:val="18"/>
                <w:lang w:val="sr-Cyrl-CS" w:eastAsia="sr-Latn-RS"/>
              </w:rPr>
              <w:t xml:space="preserve"> ЈПОА.</w:t>
            </w:r>
          </w:p>
        </w:tc>
        <w:tc>
          <w:tcPr>
            <w:tcW w:w="2410" w:type="dxa"/>
            <w:shd w:val="clear" w:color="auto" w:fill="auto"/>
            <w:hideMark/>
          </w:tcPr>
          <w:p w14:paraId="3F0C7A8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5CC51CC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8AD6281" w14:textId="77777777" w:rsidTr="004F56D8">
        <w:trPr>
          <w:trHeight w:val="540"/>
        </w:trPr>
        <w:tc>
          <w:tcPr>
            <w:tcW w:w="560" w:type="dxa"/>
            <w:shd w:val="clear" w:color="auto" w:fill="auto"/>
            <w:noWrap/>
            <w:hideMark/>
          </w:tcPr>
          <w:p w14:paraId="105E1875"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9.</w:t>
            </w:r>
          </w:p>
        </w:tc>
        <w:tc>
          <w:tcPr>
            <w:tcW w:w="4407" w:type="dxa"/>
            <w:shd w:val="clear" w:color="auto" w:fill="auto"/>
            <w:hideMark/>
          </w:tcPr>
          <w:p w14:paraId="04DCF57B"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Развој послесредњег образовања на нивоу 5 НОКС-а (специјализација, мајсторско образовање, кратки циклуси).</w:t>
            </w:r>
          </w:p>
        </w:tc>
        <w:tc>
          <w:tcPr>
            <w:tcW w:w="1701" w:type="dxa"/>
            <w:shd w:val="clear" w:color="auto" w:fill="auto"/>
            <w:hideMark/>
          </w:tcPr>
          <w:p w14:paraId="2BC2334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5435B1C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претходном периоду развијено је 6 стандарда квалификација на нивоу 5. НОКС.</w:t>
            </w:r>
          </w:p>
        </w:tc>
        <w:tc>
          <w:tcPr>
            <w:tcW w:w="2410" w:type="dxa"/>
            <w:shd w:val="clear" w:color="auto" w:fill="auto"/>
            <w:hideMark/>
          </w:tcPr>
          <w:p w14:paraId="2AF15B8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8524F00"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62D6BEC4" w14:textId="77777777" w:rsidTr="004F56D8">
        <w:trPr>
          <w:trHeight w:val="360"/>
        </w:trPr>
        <w:tc>
          <w:tcPr>
            <w:tcW w:w="560" w:type="dxa"/>
            <w:shd w:val="clear" w:color="auto" w:fill="auto"/>
            <w:hideMark/>
          </w:tcPr>
          <w:p w14:paraId="0EA8CEDA" w14:textId="77777777" w:rsidR="006458EB" w:rsidRPr="00092ED7" w:rsidRDefault="006458EB" w:rsidP="006458EB">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7D142874" w14:textId="77777777" w:rsidR="006458EB" w:rsidRPr="00092ED7" w:rsidRDefault="006458EB" w:rsidP="006458EB">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0960F13D" w14:textId="77777777" w:rsidR="006458EB" w:rsidRPr="00092ED7" w:rsidRDefault="006458EB" w:rsidP="006458EB">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82%</w:t>
            </w:r>
          </w:p>
        </w:tc>
        <w:tc>
          <w:tcPr>
            <w:tcW w:w="3118" w:type="dxa"/>
            <w:shd w:val="clear" w:color="auto" w:fill="auto"/>
            <w:noWrap/>
            <w:hideMark/>
          </w:tcPr>
          <w:p w14:paraId="671377D1" w14:textId="77777777" w:rsidR="006458EB" w:rsidRPr="00092ED7" w:rsidRDefault="006458EB" w:rsidP="006458EB">
            <w:pPr>
              <w:spacing w:after="0"/>
              <w:jc w:val="center"/>
              <w:rPr>
                <w:rFonts w:eastAsia="Times New Roman" w:cs="Times New Roman"/>
                <w:sz w:val="18"/>
                <w:szCs w:val="18"/>
                <w:lang w:val="sr-Cyrl-CS" w:eastAsia="sr-Latn-RS"/>
              </w:rPr>
            </w:pPr>
          </w:p>
        </w:tc>
        <w:tc>
          <w:tcPr>
            <w:tcW w:w="2410" w:type="dxa"/>
            <w:shd w:val="clear" w:color="auto" w:fill="auto"/>
            <w:noWrap/>
            <w:hideMark/>
          </w:tcPr>
          <w:p w14:paraId="70E871C7" w14:textId="77777777" w:rsidR="006458EB" w:rsidRPr="00092ED7" w:rsidRDefault="006458EB" w:rsidP="006458EB">
            <w:pPr>
              <w:spacing w:after="0"/>
              <w:jc w:val="left"/>
              <w:rPr>
                <w:rFonts w:eastAsia="Times New Roman" w:cs="Times New Roman"/>
                <w:sz w:val="18"/>
                <w:szCs w:val="18"/>
                <w:lang w:val="sr-Cyrl-CS" w:eastAsia="sr-Latn-RS"/>
              </w:rPr>
            </w:pPr>
          </w:p>
        </w:tc>
        <w:tc>
          <w:tcPr>
            <w:tcW w:w="2693" w:type="dxa"/>
            <w:shd w:val="clear" w:color="auto" w:fill="auto"/>
            <w:noWrap/>
            <w:hideMark/>
          </w:tcPr>
          <w:p w14:paraId="2061CBDE" w14:textId="77777777" w:rsidR="006458EB" w:rsidRPr="00092ED7" w:rsidRDefault="006458EB" w:rsidP="006458EB">
            <w:pPr>
              <w:spacing w:after="0"/>
              <w:jc w:val="left"/>
              <w:rPr>
                <w:rFonts w:eastAsia="Times New Roman" w:cs="Times New Roman"/>
                <w:sz w:val="18"/>
                <w:szCs w:val="18"/>
                <w:lang w:val="sr-Cyrl-CS" w:eastAsia="sr-Latn-RS"/>
              </w:rPr>
            </w:pPr>
          </w:p>
        </w:tc>
      </w:tr>
      <w:tr w:rsidR="009349ED" w:rsidRPr="00092ED7" w14:paraId="4337C3E8" w14:textId="77777777" w:rsidTr="004F56D8">
        <w:trPr>
          <w:trHeight w:val="360"/>
        </w:trPr>
        <w:tc>
          <w:tcPr>
            <w:tcW w:w="560" w:type="dxa"/>
            <w:shd w:val="clear" w:color="auto" w:fill="D9D9D9" w:themeFill="background1" w:themeFillShade="D9"/>
            <w:noWrap/>
            <w:hideMark/>
          </w:tcPr>
          <w:p w14:paraId="63614B1B"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268B25D9"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3. УНАПРЕЂЕЊЕ АМБИЈЕНТА ЗА ПОДСТИЦАЊЕ, ПОДРШКУ И ПРАЋЕЊЕ ЦИРКУЛАРНИХ И ЕКОНОМСКИХ МИГРАЦИЈА</w:t>
            </w:r>
          </w:p>
        </w:tc>
      </w:tr>
      <w:tr w:rsidR="006458EB" w:rsidRPr="00092ED7" w14:paraId="618FF7AE" w14:textId="77777777" w:rsidTr="004F56D8">
        <w:trPr>
          <w:trHeight w:val="1093"/>
        </w:trPr>
        <w:tc>
          <w:tcPr>
            <w:tcW w:w="560" w:type="dxa"/>
            <w:shd w:val="clear" w:color="auto" w:fill="auto"/>
            <w:noWrap/>
            <w:hideMark/>
          </w:tcPr>
          <w:p w14:paraId="4D637F76"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7D1DA615"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Примена Акционог плана за период 2021-2023 године за примену Стратегије о економским миграцијама Републике Србије за период 2021-2027 године</w:t>
            </w:r>
          </w:p>
        </w:tc>
        <w:tc>
          <w:tcPr>
            <w:tcW w:w="1701" w:type="dxa"/>
            <w:shd w:val="clear" w:color="auto" w:fill="auto"/>
            <w:hideMark/>
          </w:tcPr>
          <w:p w14:paraId="75797A1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504EF943" w14:textId="4190EE16" w:rsidR="006458EB" w:rsidRPr="00092ED7" w:rsidRDefault="006458EB" w:rsidP="004B57D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Акциони план је усвојен 15. септембра 2021. године. У току 2022. године је наставио да се спроводи по свим предвиђеним активностима. О резултатима за 2022. годину биће урађен извештај.</w:t>
            </w:r>
          </w:p>
        </w:tc>
        <w:tc>
          <w:tcPr>
            <w:tcW w:w="2410" w:type="dxa"/>
            <w:shd w:val="clear" w:color="auto" w:fill="auto"/>
            <w:hideMark/>
          </w:tcPr>
          <w:p w14:paraId="00BD5EE1"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BED818D"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285F3B3A" w14:textId="77777777" w:rsidTr="004F56D8">
        <w:trPr>
          <w:trHeight w:val="840"/>
        </w:trPr>
        <w:tc>
          <w:tcPr>
            <w:tcW w:w="560" w:type="dxa"/>
            <w:shd w:val="clear" w:color="auto" w:fill="auto"/>
            <w:noWrap/>
            <w:hideMark/>
          </w:tcPr>
          <w:p w14:paraId="6B1DC485"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70091B40"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Јачање капацитета институција надлежних за праћење миграционих кретања и образовање нових група, тела и слично</w:t>
            </w:r>
          </w:p>
        </w:tc>
        <w:tc>
          <w:tcPr>
            <w:tcW w:w="1701" w:type="dxa"/>
            <w:shd w:val="clear" w:color="auto" w:fill="auto"/>
            <w:hideMark/>
          </w:tcPr>
          <w:p w14:paraId="286746A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hideMark/>
          </w:tcPr>
          <w:p w14:paraId="1D0F78B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Одржано је више радионица, обука и састанака у циљу јачања институционалних капацитета надлежних институција. У плану је њихово одржавање током целокупног трајања АП.</w:t>
            </w:r>
          </w:p>
        </w:tc>
        <w:tc>
          <w:tcPr>
            <w:tcW w:w="2410" w:type="dxa"/>
            <w:shd w:val="clear" w:color="auto" w:fill="auto"/>
            <w:hideMark/>
          </w:tcPr>
          <w:p w14:paraId="7597202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41BA6FC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24925587" w14:textId="77777777" w:rsidTr="004F56D8">
        <w:trPr>
          <w:trHeight w:val="288"/>
        </w:trPr>
        <w:tc>
          <w:tcPr>
            <w:tcW w:w="560" w:type="dxa"/>
            <w:shd w:val="clear" w:color="auto" w:fill="auto"/>
            <w:noWrap/>
            <w:hideMark/>
          </w:tcPr>
          <w:p w14:paraId="686FE54D"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27BCB4E2"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Израда анализе потенцијала радне снаге у контексту емиграције</w:t>
            </w:r>
          </w:p>
        </w:tc>
        <w:tc>
          <w:tcPr>
            <w:tcW w:w="1701" w:type="dxa"/>
            <w:shd w:val="clear" w:color="auto" w:fill="auto"/>
            <w:hideMark/>
          </w:tcPr>
          <w:p w14:paraId="0D7409E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hideMark/>
          </w:tcPr>
          <w:p w14:paraId="37ABFD64"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току је израда анализе.</w:t>
            </w:r>
          </w:p>
        </w:tc>
        <w:tc>
          <w:tcPr>
            <w:tcW w:w="2410" w:type="dxa"/>
            <w:shd w:val="clear" w:color="auto" w:fill="auto"/>
            <w:hideMark/>
          </w:tcPr>
          <w:p w14:paraId="5C24BA72"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8118E72"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492E2B8" w14:textId="77777777" w:rsidTr="004F56D8">
        <w:trPr>
          <w:trHeight w:val="288"/>
        </w:trPr>
        <w:tc>
          <w:tcPr>
            <w:tcW w:w="560" w:type="dxa"/>
            <w:shd w:val="clear" w:color="auto" w:fill="auto"/>
            <w:noWrap/>
            <w:hideMark/>
          </w:tcPr>
          <w:p w14:paraId="1CE7D2AB"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0489AD8F"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Јачање капацитета организације за пружање директне и менторске подршке дијаспори</w:t>
            </w:r>
          </w:p>
        </w:tc>
        <w:tc>
          <w:tcPr>
            <w:tcW w:w="1701" w:type="dxa"/>
            <w:shd w:val="clear" w:color="auto" w:fill="auto"/>
            <w:hideMark/>
          </w:tcPr>
          <w:p w14:paraId="30D40CB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51F859B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3F9692C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E89B93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094F1748" w14:textId="77777777" w:rsidTr="004F56D8">
        <w:trPr>
          <w:trHeight w:val="2376"/>
        </w:trPr>
        <w:tc>
          <w:tcPr>
            <w:tcW w:w="560" w:type="dxa"/>
            <w:shd w:val="clear" w:color="auto" w:fill="auto"/>
            <w:noWrap/>
            <w:hideMark/>
          </w:tcPr>
          <w:p w14:paraId="22109D17"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72673293"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Унапређење административног оквира у циљу повратка и инвестиција дијаспоре, повратка страних држављана српског порекла, одобравања стамбених кредита припадницима дијаспоре и регистрације возила из земаља ван ЕУ/ЕЕА</w:t>
            </w:r>
          </w:p>
        </w:tc>
        <w:tc>
          <w:tcPr>
            <w:tcW w:w="1701" w:type="dxa"/>
            <w:shd w:val="clear" w:color="auto" w:fill="auto"/>
            <w:hideMark/>
          </w:tcPr>
          <w:p w14:paraId="7C0C2C9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7A1741A4" w14:textId="21544B75"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 претходном периоду усвојене су мере и покренути програми који директно утичу на олакшан повратак у </w:t>
            </w:r>
            <w:r w:rsidR="00081DFC" w:rsidRPr="00092ED7">
              <w:rPr>
                <w:rFonts w:eastAsia="Times New Roman" w:cs="Times New Roman"/>
                <w:color w:val="000000"/>
                <w:sz w:val="18"/>
                <w:szCs w:val="18"/>
                <w:lang w:val="sr-Cyrl-CS" w:eastAsia="sr-Latn-RS"/>
              </w:rPr>
              <w:t xml:space="preserve">Републику </w:t>
            </w:r>
            <w:r w:rsidRPr="00092ED7">
              <w:rPr>
                <w:rFonts w:eastAsia="Times New Roman" w:cs="Times New Roman"/>
                <w:color w:val="000000"/>
                <w:sz w:val="18"/>
                <w:szCs w:val="18"/>
                <w:lang w:val="sr-Cyrl-CS" w:eastAsia="sr-Latn-RS"/>
              </w:rPr>
              <w:t xml:space="preserve">Србију страних држављана српског порекла као и процеса за добијање стамбених кредита за пореске нерезиденте. Активности на пољу регистрације аутомобила нису у потпуности спроведене с обзиром да Агенција за безбедност саобраћаја и Ауто-мото савез Србије тренутно спроводе пројекат који идентификује најбољу регионалну праксу у овој области као и неопходне корак у припреми и спровођењу наведене реформе у </w:t>
            </w:r>
            <w:r w:rsidR="003B5902" w:rsidRPr="00092ED7">
              <w:rPr>
                <w:rFonts w:eastAsia="Times New Roman" w:cs="Times New Roman"/>
                <w:color w:val="000000"/>
                <w:sz w:val="18"/>
                <w:szCs w:val="18"/>
                <w:lang w:val="sr-Cyrl-CS" w:eastAsia="sr-Latn-RS"/>
              </w:rPr>
              <w:t xml:space="preserve">Републици </w:t>
            </w:r>
            <w:r w:rsidRPr="00092ED7">
              <w:rPr>
                <w:rFonts w:eastAsia="Times New Roman" w:cs="Times New Roman"/>
                <w:color w:val="000000"/>
                <w:sz w:val="18"/>
                <w:szCs w:val="18"/>
                <w:lang w:val="sr-Cyrl-CS" w:eastAsia="sr-Latn-RS"/>
              </w:rPr>
              <w:t>Србији.</w:t>
            </w:r>
          </w:p>
        </w:tc>
        <w:tc>
          <w:tcPr>
            <w:tcW w:w="2410" w:type="dxa"/>
            <w:shd w:val="clear" w:color="auto" w:fill="auto"/>
            <w:hideMark/>
          </w:tcPr>
          <w:p w14:paraId="693E37F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12F62DF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3FD479C5" w14:textId="77777777" w:rsidTr="004F56D8">
        <w:trPr>
          <w:trHeight w:val="1596"/>
        </w:trPr>
        <w:tc>
          <w:tcPr>
            <w:tcW w:w="560" w:type="dxa"/>
            <w:shd w:val="clear" w:color="auto" w:fill="auto"/>
            <w:noWrap/>
            <w:hideMark/>
          </w:tcPr>
          <w:p w14:paraId="3A3CECDD"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6.</w:t>
            </w:r>
          </w:p>
        </w:tc>
        <w:tc>
          <w:tcPr>
            <w:tcW w:w="4407" w:type="dxa"/>
            <w:shd w:val="clear" w:color="auto" w:fill="auto"/>
            <w:hideMark/>
          </w:tcPr>
          <w:p w14:paraId="4E57AD9B"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Развој и примена програма стручних пракси намењених за студенте из иностранства у јавном и приватном сектору</w:t>
            </w:r>
          </w:p>
        </w:tc>
        <w:tc>
          <w:tcPr>
            <w:tcW w:w="1701" w:type="dxa"/>
            <w:shd w:val="clear" w:color="auto" w:fill="auto"/>
            <w:hideMark/>
          </w:tcPr>
          <w:p w14:paraId="14ABEC8D"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229E9D83" w14:textId="3BD6D9CC" w:rsidR="006458EB" w:rsidRPr="00092ED7" w:rsidRDefault="006458EB" w:rsidP="0072438A">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 сарадњи са приватним партнерима и Организацијом српских студената у иностранству, подржане су стручне праксе за студенте из иностранства на индивидуалном нивоу. Имајући у виду друге непланиране активности које су спроведене у претходном периоду, развој засебних програма намењених стручним праксама </w:t>
            </w:r>
            <w:r w:rsidR="0072438A" w:rsidRPr="00092ED7">
              <w:rPr>
                <w:rFonts w:eastAsia="Times New Roman" w:cs="Times New Roman"/>
                <w:color w:val="000000"/>
                <w:sz w:val="18"/>
                <w:szCs w:val="18"/>
                <w:lang w:val="sr-Cyrl-CS" w:eastAsia="sr-Latn-RS"/>
              </w:rPr>
              <w:t>одложен је</w:t>
            </w:r>
            <w:r w:rsidRPr="00092ED7">
              <w:rPr>
                <w:rFonts w:eastAsia="Times New Roman" w:cs="Times New Roman"/>
                <w:color w:val="000000"/>
                <w:sz w:val="18"/>
                <w:szCs w:val="18"/>
                <w:lang w:val="sr-Cyrl-CS" w:eastAsia="sr-Latn-RS"/>
              </w:rPr>
              <w:t>за другу половину 2022. и 2023. годину.</w:t>
            </w:r>
          </w:p>
        </w:tc>
        <w:tc>
          <w:tcPr>
            <w:tcW w:w="2410" w:type="dxa"/>
            <w:shd w:val="clear" w:color="auto" w:fill="auto"/>
            <w:hideMark/>
          </w:tcPr>
          <w:p w14:paraId="3A0D7E96"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2BE0BB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219B014F" w14:textId="77777777" w:rsidTr="004F56D8">
        <w:trPr>
          <w:trHeight w:val="360"/>
        </w:trPr>
        <w:tc>
          <w:tcPr>
            <w:tcW w:w="560" w:type="dxa"/>
            <w:shd w:val="clear" w:color="auto" w:fill="auto"/>
            <w:hideMark/>
          </w:tcPr>
          <w:p w14:paraId="555051EF" w14:textId="77777777" w:rsidR="006458EB" w:rsidRPr="00092ED7" w:rsidRDefault="006458EB" w:rsidP="006458EB">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05640FBA" w14:textId="77777777" w:rsidR="006458EB" w:rsidRPr="00092ED7" w:rsidRDefault="006458EB" w:rsidP="006458EB">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6ABBF423" w14:textId="77777777" w:rsidR="006458EB" w:rsidRPr="00092ED7" w:rsidRDefault="006458EB" w:rsidP="006458EB">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57%</w:t>
            </w:r>
          </w:p>
        </w:tc>
        <w:tc>
          <w:tcPr>
            <w:tcW w:w="3118" w:type="dxa"/>
            <w:shd w:val="clear" w:color="auto" w:fill="auto"/>
            <w:noWrap/>
            <w:hideMark/>
          </w:tcPr>
          <w:p w14:paraId="4791CAF1" w14:textId="77777777" w:rsidR="006458EB" w:rsidRPr="00092ED7" w:rsidRDefault="006458EB" w:rsidP="006458EB">
            <w:pPr>
              <w:spacing w:after="0"/>
              <w:jc w:val="center"/>
              <w:rPr>
                <w:rFonts w:eastAsia="Times New Roman" w:cs="Times New Roman"/>
                <w:sz w:val="18"/>
                <w:szCs w:val="18"/>
                <w:lang w:val="sr-Cyrl-CS" w:eastAsia="sr-Latn-RS"/>
              </w:rPr>
            </w:pPr>
          </w:p>
        </w:tc>
        <w:tc>
          <w:tcPr>
            <w:tcW w:w="2410" w:type="dxa"/>
            <w:shd w:val="clear" w:color="auto" w:fill="auto"/>
            <w:noWrap/>
            <w:hideMark/>
          </w:tcPr>
          <w:p w14:paraId="3F234C6D" w14:textId="77777777" w:rsidR="006458EB" w:rsidRPr="00092ED7" w:rsidRDefault="006458EB" w:rsidP="006458EB">
            <w:pPr>
              <w:spacing w:after="0"/>
              <w:jc w:val="left"/>
              <w:rPr>
                <w:rFonts w:eastAsia="Times New Roman" w:cs="Times New Roman"/>
                <w:sz w:val="18"/>
                <w:szCs w:val="18"/>
                <w:lang w:val="sr-Cyrl-CS" w:eastAsia="sr-Latn-RS"/>
              </w:rPr>
            </w:pPr>
          </w:p>
        </w:tc>
        <w:tc>
          <w:tcPr>
            <w:tcW w:w="2693" w:type="dxa"/>
            <w:shd w:val="clear" w:color="auto" w:fill="auto"/>
            <w:noWrap/>
            <w:hideMark/>
          </w:tcPr>
          <w:p w14:paraId="4837D960" w14:textId="77777777" w:rsidR="006458EB" w:rsidRPr="00092ED7" w:rsidRDefault="006458EB" w:rsidP="006458EB">
            <w:pPr>
              <w:spacing w:after="0"/>
              <w:jc w:val="left"/>
              <w:rPr>
                <w:rFonts w:eastAsia="Times New Roman" w:cs="Times New Roman"/>
                <w:sz w:val="18"/>
                <w:szCs w:val="18"/>
                <w:lang w:val="sr-Cyrl-CS" w:eastAsia="sr-Latn-RS"/>
              </w:rPr>
            </w:pPr>
          </w:p>
        </w:tc>
      </w:tr>
      <w:tr w:rsidR="009349ED" w:rsidRPr="00092ED7" w14:paraId="7F97EFC4" w14:textId="77777777" w:rsidTr="004F56D8">
        <w:trPr>
          <w:trHeight w:val="360"/>
        </w:trPr>
        <w:tc>
          <w:tcPr>
            <w:tcW w:w="560" w:type="dxa"/>
            <w:shd w:val="clear" w:color="auto" w:fill="D9D9D9" w:themeFill="background1" w:themeFillShade="D9"/>
            <w:noWrap/>
            <w:hideMark/>
          </w:tcPr>
          <w:p w14:paraId="528DE779"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28F5FA81"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4. УНАПРЕЂЕЊЕ КВАЛИТЕТА ПРУЖАЊА ЈАВНИХ УСЛУГА КРОЗ ОПТИМИЗАЦИЈУ И ДИГИТАЛИЗАЦИЈУ АДМИНИСТРАТИВНИХ ПОСТУПАКА – е-ПАПИР</w:t>
            </w:r>
          </w:p>
        </w:tc>
      </w:tr>
      <w:tr w:rsidR="006458EB" w:rsidRPr="00092ED7" w14:paraId="1B999E01" w14:textId="77777777" w:rsidTr="004F56D8">
        <w:trPr>
          <w:trHeight w:val="1266"/>
        </w:trPr>
        <w:tc>
          <w:tcPr>
            <w:tcW w:w="560" w:type="dxa"/>
            <w:shd w:val="clear" w:color="auto" w:fill="auto"/>
            <w:noWrap/>
            <w:hideMark/>
          </w:tcPr>
          <w:p w14:paraId="02D6284B"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6CD482E9"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Попис административних поступака за грађане</w:t>
            </w:r>
          </w:p>
        </w:tc>
        <w:tc>
          <w:tcPr>
            <w:tcW w:w="1701" w:type="dxa"/>
            <w:shd w:val="clear" w:color="auto" w:fill="auto"/>
            <w:hideMark/>
          </w:tcPr>
          <w:p w14:paraId="2FAF114B"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6A37435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 је попис административних поступака за грађане и у Регистар административних поступака унето је 453 поступака у надлежности 43 органа чији попис се спроводи у складу са утврђеном динамиком.</w:t>
            </w:r>
          </w:p>
        </w:tc>
        <w:tc>
          <w:tcPr>
            <w:tcW w:w="2410" w:type="dxa"/>
            <w:shd w:val="clear" w:color="auto" w:fill="auto"/>
            <w:hideMark/>
          </w:tcPr>
          <w:p w14:paraId="651F12F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4271D3D" w14:textId="10DA78CB" w:rsidR="006458EB" w:rsidRPr="00092ED7" w:rsidRDefault="006458EB" w:rsidP="007256C6">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РСЈП је одржао више састанака ради утврђивања листе поступака који ће бити предмет уписа, с обзиром да је са листе идентификованих поступака требало издвојити поступке који су већ били предмет пописа у делу за привреду, као и када се ради о спајању/раздвајању поступака. Такође, поједини ресори још увек нису укључени у попис. У овим ресорима, као препрека за њихово укључивање су се показали поступци који нису у директној надлежности самог министарства већ се спроводе као поверени послови или је министарство доносилац прописа, а спроводе их органи над којима одређено министарство нема довољну контролу (нпр спортски савези).</w:t>
            </w:r>
          </w:p>
        </w:tc>
      </w:tr>
      <w:tr w:rsidR="006458EB" w:rsidRPr="00092ED7" w14:paraId="0568CED9" w14:textId="77777777" w:rsidTr="004F56D8">
        <w:trPr>
          <w:trHeight w:val="1320"/>
        </w:trPr>
        <w:tc>
          <w:tcPr>
            <w:tcW w:w="560" w:type="dxa"/>
            <w:shd w:val="clear" w:color="auto" w:fill="auto"/>
            <w:noWrap/>
            <w:hideMark/>
          </w:tcPr>
          <w:p w14:paraId="6F4F551E"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5181480C"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Попис административних захтева и осталих услова пословања</w:t>
            </w:r>
          </w:p>
        </w:tc>
        <w:tc>
          <w:tcPr>
            <w:tcW w:w="1701" w:type="dxa"/>
            <w:shd w:val="clear" w:color="auto" w:fill="auto"/>
            <w:hideMark/>
          </w:tcPr>
          <w:p w14:paraId="67B5E0C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477D2C20" w14:textId="2499AB89" w:rsidR="006458EB" w:rsidRPr="00092ED7" w:rsidRDefault="009A1A93"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Одржано је </w:t>
            </w:r>
            <w:r w:rsidR="00081DFC" w:rsidRPr="00092ED7">
              <w:rPr>
                <w:rFonts w:eastAsia="Times New Roman" w:cs="Times New Roman"/>
                <w:color w:val="000000"/>
                <w:sz w:val="18"/>
                <w:szCs w:val="18"/>
                <w:lang w:val="sr-Cyrl-CS" w:eastAsia="sr-Latn-RS"/>
              </w:rPr>
              <w:t xml:space="preserve">седам </w:t>
            </w:r>
            <w:r w:rsidR="006458EB" w:rsidRPr="00092ED7">
              <w:rPr>
                <w:rFonts w:eastAsia="Times New Roman" w:cs="Times New Roman"/>
                <w:color w:val="000000"/>
                <w:sz w:val="18"/>
                <w:szCs w:val="18"/>
                <w:lang w:val="sr-Cyrl-CS" w:eastAsia="sr-Latn-RS"/>
              </w:rPr>
              <w:t xml:space="preserve">обука за попис административних захтева у периоду март-јул 2022. године. Обукама је обухваћено 30 инспекција у надлежности 12 органа државне управе. Припремљене су прелиминарне листе и креирани обрасци за попис административних захтева за 327 административних захтева из надлежности </w:t>
            </w:r>
            <w:r w:rsidR="00081DFC" w:rsidRPr="00092ED7">
              <w:rPr>
                <w:rFonts w:eastAsia="Times New Roman" w:cs="Times New Roman"/>
                <w:color w:val="000000"/>
                <w:sz w:val="18"/>
                <w:szCs w:val="18"/>
                <w:lang w:val="sr-Cyrl-CS" w:eastAsia="sr-Latn-RS"/>
              </w:rPr>
              <w:t xml:space="preserve">пет </w:t>
            </w:r>
            <w:r w:rsidR="006458EB" w:rsidRPr="00092ED7">
              <w:rPr>
                <w:rFonts w:eastAsia="Times New Roman" w:cs="Times New Roman"/>
                <w:color w:val="000000"/>
                <w:sz w:val="18"/>
                <w:szCs w:val="18"/>
                <w:lang w:val="sr-Cyrl-CS" w:eastAsia="sr-Latn-RS"/>
              </w:rPr>
              <w:t xml:space="preserve">органа. </w:t>
            </w:r>
          </w:p>
        </w:tc>
        <w:tc>
          <w:tcPr>
            <w:tcW w:w="2410" w:type="dxa"/>
            <w:shd w:val="clear" w:color="auto" w:fill="auto"/>
            <w:hideMark/>
          </w:tcPr>
          <w:p w14:paraId="2812AEC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FC8CCE1"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B3A7ED2" w14:textId="77777777" w:rsidTr="004F56D8">
        <w:trPr>
          <w:trHeight w:val="2117"/>
        </w:trPr>
        <w:tc>
          <w:tcPr>
            <w:tcW w:w="560" w:type="dxa"/>
            <w:shd w:val="clear" w:color="auto" w:fill="auto"/>
            <w:noWrap/>
            <w:hideMark/>
          </w:tcPr>
          <w:p w14:paraId="20D41F18"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04B9A168"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Оптимизација административних поступака за привреду и грађане</w:t>
            </w:r>
          </w:p>
        </w:tc>
        <w:tc>
          <w:tcPr>
            <w:tcW w:w="1701" w:type="dxa"/>
            <w:shd w:val="clear" w:color="auto" w:fill="auto"/>
            <w:hideMark/>
          </w:tcPr>
          <w:p w14:paraId="6071C36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hideMark/>
          </w:tcPr>
          <w:p w14:paraId="07626891" w14:textId="77777777" w:rsidR="009349ED" w:rsidRPr="00092ED7" w:rsidRDefault="006458EB" w:rsidP="009349E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првој половини 2022. године оптимизовано је додатних 43 поступка за привреду.</w:t>
            </w:r>
          </w:p>
          <w:p w14:paraId="655238D9" w14:textId="77777777" w:rsidR="009349ED" w:rsidRPr="00092ED7" w:rsidRDefault="006458EB" w:rsidP="009349E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 је рад на припреми Предлога програма еПапир 2022-2025 који ће обухватити оптимизацију административних поступака за привреду и грађане.</w:t>
            </w:r>
          </w:p>
          <w:p w14:paraId="1E5BC330" w14:textId="77777777" w:rsidR="006458EB" w:rsidRPr="00092ED7" w:rsidRDefault="006458EB" w:rsidP="009349E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Припремљене су препоруке за оптимизацију 50 поступака за грађане и 300 за привреду које су усаглашене или у процесу усаглашавања са органима и требало да буду део наредног Програма и Акционог плана еПАПИР.</w:t>
            </w:r>
          </w:p>
        </w:tc>
        <w:tc>
          <w:tcPr>
            <w:tcW w:w="2410" w:type="dxa"/>
            <w:shd w:val="clear" w:color="auto" w:fill="auto"/>
            <w:hideMark/>
          </w:tcPr>
          <w:p w14:paraId="415BC08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7F709A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73974B1B" w14:textId="77777777" w:rsidTr="004F56D8">
        <w:trPr>
          <w:trHeight w:val="1584"/>
        </w:trPr>
        <w:tc>
          <w:tcPr>
            <w:tcW w:w="560" w:type="dxa"/>
            <w:shd w:val="clear" w:color="auto" w:fill="auto"/>
            <w:noWrap/>
            <w:hideMark/>
          </w:tcPr>
          <w:p w14:paraId="6E2023D0"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620AE77C"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Дигитализација административних поступака за привреду и грађане</w:t>
            </w:r>
          </w:p>
        </w:tc>
        <w:tc>
          <w:tcPr>
            <w:tcW w:w="1701" w:type="dxa"/>
            <w:shd w:val="clear" w:color="auto" w:fill="auto"/>
            <w:hideMark/>
          </w:tcPr>
          <w:p w14:paraId="575F62E0"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hideMark/>
          </w:tcPr>
          <w:p w14:paraId="01611B9F" w14:textId="77777777" w:rsidR="009349ED" w:rsidRPr="00092ED7" w:rsidRDefault="006458EB" w:rsidP="009349E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првој половини 2022. године дигитализовано и доступно на Порталу још 25 поступка тј електронскх услуга за привреду.</w:t>
            </w:r>
          </w:p>
          <w:p w14:paraId="056D59FD" w14:textId="0CF917A9" w:rsidR="006458EB" w:rsidRPr="00092ED7" w:rsidRDefault="006458EB" w:rsidP="009349E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Издвојено је 30 поступака за грађане чија ће дигитализација бити припремљена кроз израду to-be процесних мапа. Планирана је дигитализација </w:t>
            </w:r>
            <w:r w:rsidR="00081DFC" w:rsidRPr="00092ED7">
              <w:rPr>
                <w:rFonts w:eastAsia="Times New Roman" w:cs="Times New Roman"/>
                <w:color w:val="000000"/>
                <w:sz w:val="18"/>
                <w:szCs w:val="18"/>
                <w:lang w:val="sr-Cyrl-CS" w:eastAsia="sr-Latn-RS"/>
              </w:rPr>
              <w:t xml:space="preserve">два </w:t>
            </w:r>
            <w:r w:rsidRPr="00092ED7">
              <w:rPr>
                <w:rFonts w:eastAsia="Times New Roman" w:cs="Times New Roman"/>
                <w:color w:val="000000"/>
                <w:sz w:val="18"/>
                <w:szCs w:val="18"/>
                <w:lang w:val="sr-Cyrl-CS" w:eastAsia="sr-Latn-RS"/>
              </w:rPr>
              <w:t>поступка (quick win): Издавање путног листа и Издавање пробне возачке дозволе.</w:t>
            </w:r>
          </w:p>
        </w:tc>
        <w:tc>
          <w:tcPr>
            <w:tcW w:w="2410" w:type="dxa"/>
            <w:shd w:val="clear" w:color="auto" w:fill="auto"/>
            <w:hideMark/>
          </w:tcPr>
          <w:p w14:paraId="4F21ED5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39C05CC"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Ради оптимизације и припреме за дигитализацију 2 поступка који су одабрани као quick win потребна је сарадња више органа који учествују у процесу, сагласност око измена прописа, као и међусобна размена података. У том циљу, креиране су 2 радне групе.</w:t>
            </w:r>
          </w:p>
        </w:tc>
      </w:tr>
      <w:tr w:rsidR="006458EB" w:rsidRPr="00092ED7" w14:paraId="18A017B7" w14:textId="77777777" w:rsidTr="004F56D8">
        <w:trPr>
          <w:trHeight w:val="1860"/>
        </w:trPr>
        <w:tc>
          <w:tcPr>
            <w:tcW w:w="560" w:type="dxa"/>
            <w:shd w:val="clear" w:color="auto" w:fill="auto"/>
            <w:noWrap/>
            <w:hideMark/>
          </w:tcPr>
          <w:p w14:paraId="0E294F83"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61DBFC13"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Унапређење Регистра административних поступака</w:t>
            </w:r>
          </w:p>
        </w:tc>
        <w:tc>
          <w:tcPr>
            <w:tcW w:w="1701" w:type="dxa"/>
            <w:shd w:val="clear" w:color="auto" w:fill="auto"/>
            <w:hideMark/>
          </w:tcPr>
          <w:p w14:paraId="4F625A8A"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0B3840B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Активности на унапређењу се спроводе континуирано. Успостављени су модули за попис поступака за грађане и административне захтеве. Када је реч о попису административних захтева, успостављена су два модула – за попис административних захтева који се односе на документацију, и попис административних захтева који се односе на остале услове пословања. У току је припрема модула за попис поступака јединица локалне самоуправе.</w:t>
            </w:r>
          </w:p>
        </w:tc>
        <w:tc>
          <w:tcPr>
            <w:tcW w:w="2410" w:type="dxa"/>
            <w:shd w:val="clear" w:color="auto" w:fill="auto"/>
            <w:hideMark/>
          </w:tcPr>
          <w:p w14:paraId="08178B7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A4F208B"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089FB786" w14:textId="77777777" w:rsidTr="004F56D8">
        <w:trPr>
          <w:trHeight w:val="360"/>
        </w:trPr>
        <w:tc>
          <w:tcPr>
            <w:tcW w:w="560" w:type="dxa"/>
            <w:shd w:val="clear" w:color="auto" w:fill="auto"/>
            <w:hideMark/>
          </w:tcPr>
          <w:p w14:paraId="50BA8931" w14:textId="77777777" w:rsidR="006458EB" w:rsidRPr="00092ED7" w:rsidRDefault="006458EB" w:rsidP="006458EB">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1F2E021B" w14:textId="77777777" w:rsidR="006458EB" w:rsidRPr="00092ED7" w:rsidRDefault="006458EB" w:rsidP="006458EB">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43138F77" w14:textId="77777777" w:rsidR="006458EB" w:rsidRPr="00092ED7" w:rsidRDefault="006458EB" w:rsidP="006458EB">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48%</w:t>
            </w:r>
          </w:p>
        </w:tc>
        <w:tc>
          <w:tcPr>
            <w:tcW w:w="3118" w:type="dxa"/>
            <w:shd w:val="clear" w:color="auto" w:fill="auto"/>
            <w:noWrap/>
            <w:hideMark/>
          </w:tcPr>
          <w:p w14:paraId="607390E9" w14:textId="77777777" w:rsidR="006458EB" w:rsidRPr="00092ED7" w:rsidRDefault="006458EB" w:rsidP="006458EB">
            <w:pPr>
              <w:spacing w:after="0"/>
              <w:jc w:val="center"/>
              <w:rPr>
                <w:rFonts w:eastAsia="Times New Roman" w:cs="Times New Roman"/>
                <w:sz w:val="18"/>
                <w:szCs w:val="18"/>
                <w:lang w:val="sr-Cyrl-CS" w:eastAsia="sr-Latn-RS"/>
              </w:rPr>
            </w:pPr>
          </w:p>
        </w:tc>
        <w:tc>
          <w:tcPr>
            <w:tcW w:w="2410" w:type="dxa"/>
            <w:shd w:val="clear" w:color="auto" w:fill="auto"/>
            <w:noWrap/>
            <w:hideMark/>
          </w:tcPr>
          <w:p w14:paraId="4C8B1BD3" w14:textId="77777777" w:rsidR="006458EB" w:rsidRPr="00092ED7" w:rsidRDefault="006458EB" w:rsidP="006458EB">
            <w:pPr>
              <w:spacing w:after="0"/>
              <w:jc w:val="left"/>
              <w:rPr>
                <w:rFonts w:eastAsia="Times New Roman" w:cs="Times New Roman"/>
                <w:sz w:val="18"/>
                <w:szCs w:val="18"/>
                <w:lang w:val="sr-Cyrl-CS" w:eastAsia="sr-Latn-RS"/>
              </w:rPr>
            </w:pPr>
          </w:p>
        </w:tc>
        <w:tc>
          <w:tcPr>
            <w:tcW w:w="2693" w:type="dxa"/>
            <w:shd w:val="clear" w:color="auto" w:fill="auto"/>
            <w:noWrap/>
            <w:hideMark/>
          </w:tcPr>
          <w:p w14:paraId="0FB75E0C" w14:textId="77777777" w:rsidR="006458EB" w:rsidRPr="00092ED7" w:rsidRDefault="006458EB" w:rsidP="006458EB">
            <w:pPr>
              <w:spacing w:after="0"/>
              <w:jc w:val="left"/>
              <w:rPr>
                <w:rFonts w:eastAsia="Times New Roman" w:cs="Times New Roman"/>
                <w:sz w:val="18"/>
                <w:szCs w:val="18"/>
                <w:lang w:val="sr-Cyrl-CS" w:eastAsia="sr-Latn-RS"/>
              </w:rPr>
            </w:pPr>
          </w:p>
        </w:tc>
      </w:tr>
      <w:tr w:rsidR="009349ED" w:rsidRPr="00092ED7" w14:paraId="7C9698B4" w14:textId="77777777" w:rsidTr="004F56D8">
        <w:trPr>
          <w:trHeight w:val="360"/>
        </w:trPr>
        <w:tc>
          <w:tcPr>
            <w:tcW w:w="560" w:type="dxa"/>
            <w:shd w:val="clear" w:color="auto" w:fill="D9D9D9" w:themeFill="background1" w:themeFillShade="D9"/>
            <w:noWrap/>
            <w:hideMark/>
          </w:tcPr>
          <w:p w14:paraId="725035E4"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0A305E19"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5. ОДРЖИВО И ЕФИКАСНО УПРАВЉАЊЕ ПРИВРЕДНИМ СУБЈЕКТИМА У ВЛАСНИШТВУ РЕПУБЛИКЕ СРБИЈЕ</w:t>
            </w:r>
          </w:p>
        </w:tc>
      </w:tr>
      <w:tr w:rsidR="006458EB" w:rsidRPr="00092ED7" w14:paraId="4FFE2BFB" w14:textId="77777777" w:rsidTr="004F56D8">
        <w:trPr>
          <w:trHeight w:val="1356"/>
        </w:trPr>
        <w:tc>
          <w:tcPr>
            <w:tcW w:w="560" w:type="dxa"/>
            <w:shd w:val="clear" w:color="auto" w:fill="auto"/>
            <w:noWrap/>
            <w:hideMark/>
          </w:tcPr>
          <w:p w14:paraId="386D375D"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50F1BBEF"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Анализа прописа, које примењују ПСРС и израда и усвајање новог правног оквира</w:t>
            </w:r>
          </w:p>
        </w:tc>
        <w:tc>
          <w:tcPr>
            <w:tcW w:w="1701" w:type="dxa"/>
            <w:shd w:val="clear" w:color="auto" w:fill="auto"/>
            <w:hideMark/>
          </w:tcPr>
          <w:p w14:paraId="64C38ECC"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3D4A132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Припремљен је Нацрт Закона о управљању привредним друштвима која су у власништву Републике Србије и донет закључак о покретању јавне расправе, која је трајала до 20. децембра 2022. године, након чега се очекује усвајање од стране Владе и прослеђивање Предлога закона Скупштини Републике Србије на усвајање.</w:t>
            </w:r>
          </w:p>
        </w:tc>
        <w:tc>
          <w:tcPr>
            <w:tcW w:w="2410" w:type="dxa"/>
            <w:shd w:val="clear" w:color="auto" w:fill="auto"/>
            <w:hideMark/>
          </w:tcPr>
          <w:p w14:paraId="5DCEBB34"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5EF09E8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541B7EB" w14:textId="77777777" w:rsidTr="004F56D8">
        <w:trPr>
          <w:trHeight w:val="528"/>
        </w:trPr>
        <w:tc>
          <w:tcPr>
            <w:tcW w:w="560" w:type="dxa"/>
            <w:shd w:val="clear" w:color="auto" w:fill="auto"/>
            <w:noWrap/>
            <w:hideMark/>
          </w:tcPr>
          <w:p w14:paraId="64EA29F4"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06585374"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Успостављање централизоване базе података свих ПСРС и извршена класификација ПСРС</w:t>
            </w:r>
          </w:p>
        </w:tc>
        <w:tc>
          <w:tcPr>
            <w:tcW w:w="1701" w:type="dxa"/>
            <w:shd w:val="clear" w:color="auto" w:fill="auto"/>
            <w:hideMark/>
          </w:tcPr>
          <w:p w14:paraId="05864C81"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0C31AFA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692C7BB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A9445AC"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61A90398" w14:textId="77777777" w:rsidTr="004F56D8">
        <w:trPr>
          <w:trHeight w:val="732"/>
        </w:trPr>
        <w:tc>
          <w:tcPr>
            <w:tcW w:w="560" w:type="dxa"/>
            <w:shd w:val="clear" w:color="auto" w:fill="auto"/>
            <w:noWrap/>
            <w:hideMark/>
          </w:tcPr>
          <w:p w14:paraId="55398371"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1A74746C"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Анализа стања за успостављање јединственог система за корпоративно управљање у ПСРС</w:t>
            </w:r>
          </w:p>
        </w:tc>
        <w:tc>
          <w:tcPr>
            <w:tcW w:w="1701" w:type="dxa"/>
            <w:shd w:val="clear" w:color="auto" w:fill="auto"/>
            <w:hideMark/>
          </w:tcPr>
          <w:p w14:paraId="00A31C12"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vAlign w:val="bottom"/>
            <w:hideMark/>
          </w:tcPr>
          <w:p w14:paraId="0C7880E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Извршено је обједињавање података из различитих извора о ПСРС, чему је претходило достављање упитника о подацима ових субјеката, као и упитника за прикупљање додатних информација о управљачким праксама ПСРС</w:t>
            </w:r>
          </w:p>
        </w:tc>
        <w:tc>
          <w:tcPr>
            <w:tcW w:w="2410" w:type="dxa"/>
            <w:shd w:val="clear" w:color="auto" w:fill="auto"/>
            <w:hideMark/>
          </w:tcPr>
          <w:p w14:paraId="05F7129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291E271"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C269936" w14:textId="77777777" w:rsidTr="004F56D8">
        <w:trPr>
          <w:trHeight w:val="360"/>
        </w:trPr>
        <w:tc>
          <w:tcPr>
            <w:tcW w:w="560" w:type="dxa"/>
            <w:shd w:val="clear" w:color="auto" w:fill="auto"/>
            <w:hideMark/>
          </w:tcPr>
          <w:p w14:paraId="2BFBCE17" w14:textId="77777777" w:rsidR="006458EB" w:rsidRPr="00092ED7" w:rsidRDefault="006458EB" w:rsidP="006458EB">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761E0319" w14:textId="77777777" w:rsidR="006458EB" w:rsidRPr="00092ED7" w:rsidRDefault="006458EB" w:rsidP="006458EB">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7869BF81" w14:textId="77777777" w:rsidR="006458EB" w:rsidRPr="00092ED7" w:rsidRDefault="006458EB" w:rsidP="006458EB">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93%</w:t>
            </w:r>
          </w:p>
        </w:tc>
        <w:tc>
          <w:tcPr>
            <w:tcW w:w="3118" w:type="dxa"/>
            <w:shd w:val="clear" w:color="auto" w:fill="auto"/>
            <w:noWrap/>
            <w:hideMark/>
          </w:tcPr>
          <w:p w14:paraId="0BE4A796" w14:textId="77777777" w:rsidR="006458EB" w:rsidRPr="00092ED7" w:rsidRDefault="006458EB" w:rsidP="006458EB">
            <w:pPr>
              <w:spacing w:after="0"/>
              <w:jc w:val="center"/>
              <w:rPr>
                <w:rFonts w:eastAsia="Times New Roman" w:cs="Times New Roman"/>
                <w:sz w:val="18"/>
                <w:szCs w:val="18"/>
                <w:lang w:val="sr-Cyrl-CS" w:eastAsia="sr-Latn-RS"/>
              </w:rPr>
            </w:pPr>
          </w:p>
        </w:tc>
        <w:tc>
          <w:tcPr>
            <w:tcW w:w="2410" w:type="dxa"/>
            <w:shd w:val="clear" w:color="auto" w:fill="auto"/>
            <w:noWrap/>
            <w:hideMark/>
          </w:tcPr>
          <w:p w14:paraId="5DFDD25F" w14:textId="77777777" w:rsidR="006458EB" w:rsidRPr="00092ED7" w:rsidRDefault="006458EB" w:rsidP="006458EB">
            <w:pPr>
              <w:spacing w:after="0"/>
              <w:jc w:val="left"/>
              <w:rPr>
                <w:rFonts w:eastAsia="Times New Roman" w:cs="Times New Roman"/>
                <w:sz w:val="18"/>
                <w:szCs w:val="18"/>
                <w:lang w:val="sr-Cyrl-CS" w:eastAsia="sr-Latn-RS"/>
              </w:rPr>
            </w:pPr>
          </w:p>
        </w:tc>
        <w:tc>
          <w:tcPr>
            <w:tcW w:w="2693" w:type="dxa"/>
            <w:shd w:val="clear" w:color="auto" w:fill="auto"/>
            <w:noWrap/>
            <w:hideMark/>
          </w:tcPr>
          <w:p w14:paraId="6D7C7F25" w14:textId="77777777" w:rsidR="006458EB" w:rsidRPr="00092ED7" w:rsidRDefault="006458EB" w:rsidP="006458EB">
            <w:pPr>
              <w:spacing w:after="0"/>
              <w:jc w:val="left"/>
              <w:rPr>
                <w:rFonts w:eastAsia="Times New Roman" w:cs="Times New Roman"/>
                <w:sz w:val="18"/>
                <w:szCs w:val="18"/>
                <w:lang w:val="sr-Cyrl-CS" w:eastAsia="sr-Latn-RS"/>
              </w:rPr>
            </w:pPr>
          </w:p>
        </w:tc>
      </w:tr>
      <w:tr w:rsidR="009349ED" w:rsidRPr="00092ED7" w14:paraId="48635CB9" w14:textId="77777777" w:rsidTr="004F56D8">
        <w:trPr>
          <w:trHeight w:val="360"/>
        </w:trPr>
        <w:tc>
          <w:tcPr>
            <w:tcW w:w="560" w:type="dxa"/>
            <w:shd w:val="clear" w:color="auto" w:fill="D9D9D9" w:themeFill="background1" w:themeFillShade="D9"/>
            <w:noWrap/>
            <w:hideMark/>
          </w:tcPr>
          <w:p w14:paraId="4FD0A6AD"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12971092"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6. РАЗВОЈ ДОМАЋЕГ ТРЖИШТА КАПИТАЛА КРОЗ УВОЂЕЊЕ НОВИХ ПРАВНИХ ИНСТИТУТА И ОБЕЗБЕЂИВАЊЕ ВЕЋЕГ СТЕПЕНА ЗАШТИТЕ ИНВЕСТИТОРА</w:t>
            </w:r>
          </w:p>
        </w:tc>
      </w:tr>
      <w:tr w:rsidR="006458EB" w:rsidRPr="00092ED7" w14:paraId="59830077" w14:textId="77777777" w:rsidTr="004F56D8">
        <w:trPr>
          <w:trHeight w:val="1320"/>
        </w:trPr>
        <w:tc>
          <w:tcPr>
            <w:tcW w:w="560" w:type="dxa"/>
            <w:shd w:val="clear" w:color="auto" w:fill="auto"/>
            <w:noWrap/>
            <w:hideMark/>
          </w:tcPr>
          <w:p w14:paraId="26E8FB14"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52F4E7E2"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Доношњење Закона о преузимању акционарских друштава</w:t>
            </w:r>
          </w:p>
        </w:tc>
        <w:tc>
          <w:tcPr>
            <w:tcW w:w="1701" w:type="dxa"/>
            <w:shd w:val="clear" w:color="auto" w:fill="auto"/>
            <w:hideMark/>
          </w:tcPr>
          <w:p w14:paraId="1870BD1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hideMark/>
          </w:tcPr>
          <w:p w14:paraId="3812FC17" w14:textId="77777777" w:rsidR="009349ED" w:rsidRPr="00092ED7" w:rsidRDefault="006458EB" w:rsidP="009349E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Тренутно се ради на Нацрту закона о преузимању акционарских друштава, у сарадњи са надлежним органима.</w:t>
            </w:r>
          </w:p>
          <w:p w14:paraId="4B5DC4F0" w14:textId="77777777" w:rsidR="006458EB" w:rsidRPr="00092ED7" w:rsidRDefault="006458EB" w:rsidP="009349E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Због комплексности законодавног процеса и броја учесника на изради закона, активност је предвиђена и у Програму економских реформи 2023-2025.</w:t>
            </w:r>
          </w:p>
        </w:tc>
        <w:tc>
          <w:tcPr>
            <w:tcW w:w="2410" w:type="dxa"/>
            <w:shd w:val="clear" w:color="auto" w:fill="auto"/>
            <w:hideMark/>
          </w:tcPr>
          <w:p w14:paraId="67590912"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5DBDE83B"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9ED0F33" w14:textId="77777777" w:rsidTr="004F56D8">
        <w:trPr>
          <w:trHeight w:val="1692"/>
        </w:trPr>
        <w:tc>
          <w:tcPr>
            <w:tcW w:w="560" w:type="dxa"/>
            <w:shd w:val="clear" w:color="auto" w:fill="auto"/>
            <w:noWrap/>
            <w:hideMark/>
          </w:tcPr>
          <w:p w14:paraId="11B5B7B0"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0354A858"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 xml:space="preserve">Доношење подзаконских аката на основу усвојеног Закона о тржишту капитала </w:t>
            </w:r>
          </w:p>
        </w:tc>
        <w:tc>
          <w:tcPr>
            <w:tcW w:w="1701" w:type="dxa"/>
            <w:shd w:val="clear" w:color="auto" w:fill="auto"/>
            <w:hideMark/>
          </w:tcPr>
          <w:p w14:paraId="61CADD6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3E9DBE46" w14:textId="1066D385" w:rsidR="006458EB" w:rsidRPr="00092ED7" w:rsidRDefault="006458EB" w:rsidP="00005DFC">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На основу новог Закона о тржишту капитала, Комисија има обавезу да организује и усклади своја акта са одредбама овог закона у року од шест месеци од дана ступања на снагу овог закона. Комисија за хартије од вредности је донела правилнике, којима ближе уређује примену новог закона, на својим седницама 30. јуна и 5. јула 2022. године, а објављени су у </w:t>
            </w:r>
            <w:r w:rsidR="00005DFC"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Сл</w:t>
            </w:r>
            <w:r w:rsidR="00005DFC" w:rsidRPr="00092ED7">
              <w:rPr>
                <w:rFonts w:eastAsia="Times New Roman" w:cs="Times New Roman"/>
                <w:color w:val="000000"/>
                <w:sz w:val="18"/>
                <w:szCs w:val="18"/>
                <w:lang w:val="sr-Cyrl-CS" w:eastAsia="sr-Latn-RS"/>
              </w:rPr>
              <w:t>ужбен</w:t>
            </w:r>
            <w:r w:rsidR="004B57D8" w:rsidRPr="00092ED7">
              <w:rPr>
                <w:rFonts w:eastAsia="Times New Roman" w:cs="Times New Roman"/>
                <w:color w:val="000000"/>
                <w:sz w:val="18"/>
                <w:szCs w:val="18"/>
                <w:lang w:val="sr-Cyrl-CS" w:eastAsia="sr-Latn-RS"/>
              </w:rPr>
              <w:t>ом</w:t>
            </w:r>
            <w:r w:rsidR="00005DFC" w:rsidRPr="00092ED7">
              <w:rPr>
                <w:rFonts w:eastAsia="Times New Roman" w:cs="Times New Roman"/>
                <w:color w:val="000000"/>
                <w:sz w:val="18"/>
                <w:szCs w:val="18"/>
                <w:lang w:val="sr-Cyrl-CS" w:eastAsia="sr-Latn-RS"/>
              </w:rPr>
              <w:t>и</w:t>
            </w:r>
            <w:r w:rsidRPr="00092ED7">
              <w:rPr>
                <w:rFonts w:eastAsia="Times New Roman" w:cs="Times New Roman"/>
                <w:color w:val="000000"/>
                <w:sz w:val="18"/>
                <w:szCs w:val="18"/>
                <w:lang w:val="sr-Cyrl-CS" w:eastAsia="sr-Latn-RS"/>
              </w:rPr>
              <w:t xml:space="preserve"> гласнику РС</w:t>
            </w:r>
            <w:r w:rsidR="00005DFC" w:rsidRPr="00092ED7">
              <w:rPr>
                <w:rFonts w:cs="Times New Roman"/>
                <w:sz w:val="18"/>
                <w:szCs w:val="18"/>
                <w:lang w:val="sr-Cyrl-CS"/>
              </w:rPr>
              <w:t>”</w:t>
            </w:r>
            <w:r w:rsidRPr="00092ED7">
              <w:rPr>
                <w:rFonts w:eastAsia="Times New Roman" w:cs="Times New Roman"/>
                <w:color w:val="000000"/>
                <w:sz w:val="18"/>
                <w:szCs w:val="18"/>
                <w:lang w:val="sr-Cyrl-CS" w:eastAsia="sr-Latn-RS"/>
              </w:rPr>
              <w:t>, број 77/22 од 8. јула 2022. године.</w:t>
            </w:r>
          </w:p>
        </w:tc>
        <w:tc>
          <w:tcPr>
            <w:tcW w:w="2410" w:type="dxa"/>
            <w:shd w:val="clear" w:color="auto" w:fill="auto"/>
            <w:hideMark/>
          </w:tcPr>
          <w:p w14:paraId="449950D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48BEC73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53317D1" w14:textId="77777777" w:rsidTr="004F56D8">
        <w:trPr>
          <w:trHeight w:val="2388"/>
        </w:trPr>
        <w:tc>
          <w:tcPr>
            <w:tcW w:w="560" w:type="dxa"/>
            <w:shd w:val="clear" w:color="auto" w:fill="auto"/>
            <w:noWrap/>
            <w:hideMark/>
          </w:tcPr>
          <w:p w14:paraId="766CF449"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4CE48FC7"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Успостављање нових правних института у области тржишта капитала (везани заступници, систематски интернализатори, организована трговачка платформа ОТП, систем одобрених објава, односно АПА)</w:t>
            </w:r>
          </w:p>
        </w:tc>
        <w:tc>
          <w:tcPr>
            <w:tcW w:w="1701" w:type="dxa"/>
            <w:shd w:val="clear" w:color="auto" w:fill="auto"/>
            <w:hideMark/>
          </w:tcPr>
          <w:p w14:paraId="776C977C"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1BFC7A38" w14:textId="541A86DD" w:rsidR="006458EB" w:rsidRPr="00092ED7" w:rsidRDefault="006458EB" w:rsidP="00005DFC">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Народна скупштина Републике Србије усвојила је нови Закон о тржишту капитала, који је објављен у </w:t>
            </w:r>
            <w:r w:rsidR="00005DFC"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Сл</w:t>
            </w:r>
            <w:r w:rsidR="00005DFC" w:rsidRPr="00092ED7">
              <w:rPr>
                <w:rFonts w:eastAsia="Times New Roman" w:cs="Times New Roman"/>
                <w:color w:val="000000"/>
                <w:sz w:val="18"/>
                <w:szCs w:val="18"/>
                <w:lang w:val="sr-Cyrl-CS" w:eastAsia="sr-Latn-RS"/>
              </w:rPr>
              <w:t>ужбеном</w:t>
            </w:r>
            <w:r w:rsidRPr="00092ED7">
              <w:rPr>
                <w:rFonts w:eastAsia="Times New Roman" w:cs="Times New Roman"/>
                <w:color w:val="000000"/>
                <w:sz w:val="18"/>
                <w:szCs w:val="18"/>
                <w:lang w:val="sr-Cyrl-CS" w:eastAsia="sr-Latn-RS"/>
              </w:rPr>
              <w:t xml:space="preserve"> гласнику РС</w:t>
            </w:r>
            <w:r w:rsidR="00005DFC" w:rsidRPr="00092ED7">
              <w:rPr>
                <w:rFonts w:cs="Times New Roman"/>
                <w:sz w:val="16"/>
                <w:szCs w:val="16"/>
                <w:lang w:val="sr-Cyrl-CS"/>
              </w:rPr>
              <w:t>”</w:t>
            </w:r>
            <w:r w:rsidR="00005DFC"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 xml:space="preserve"> број 129/21 од 28. децембра 2021. године (ступио на снагу 5.1.2022. године, а почиње са применом 6.1.2023. године). Новим Законом о тржишту капитала успостављени су правни институти (везани заступници, систематски интернализатори, организована трговачка платформа ОТП, систем одобрених објава, односно АПА) и очекивано је да ће, са почетком примене закона, доћи до повећања ефикасности пословања свих учесника на тржишту.</w:t>
            </w:r>
          </w:p>
        </w:tc>
        <w:tc>
          <w:tcPr>
            <w:tcW w:w="2410" w:type="dxa"/>
            <w:shd w:val="clear" w:color="auto" w:fill="auto"/>
            <w:hideMark/>
          </w:tcPr>
          <w:p w14:paraId="3FE967B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83CF294"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347EF301" w14:textId="77777777" w:rsidTr="004F56D8">
        <w:trPr>
          <w:trHeight w:val="360"/>
        </w:trPr>
        <w:tc>
          <w:tcPr>
            <w:tcW w:w="560" w:type="dxa"/>
            <w:shd w:val="clear" w:color="auto" w:fill="auto"/>
            <w:hideMark/>
          </w:tcPr>
          <w:p w14:paraId="2425971A" w14:textId="77777777" w:rsidR="006458EB" w:rsidRPr="00092ED7" w:rsidRDefault="006458EB" w:rsidP="006458EB">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512282AE" w14:textId="77777777" w:rsidR="006458EB" w:rsidRPr="00092ED7" w:rsidRDefault="006458EB" w:rsidP="006458EB">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33FC3CEE" w14:textId="77777777" w:rsidR="006458EB" w:rsidRPr="00092ED7" w:rsidRDefault="006458EB" w:rsidP="006458EB">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73%</w:t>
            </w:r>
          </w:p>
        </w:tc>
        <w:tc>
          <w:tcPr>
            <w:tcW w:w="3118" w:type="dxa"/>
            <w:shd w:val="clear" w:color="auto" w:fill="auto"/>
            <w:noWrap/>
            <w:hideMark/>
          </w:tcPr>
          <w:p w14:paraId="6EBA49A1" w14:textId="77777777" w:rsidR="006458EB" w:rsidRPr="00092ED7" w:rsidRDefault="006458EB" w:rsidP="006458EB">
            <w:pPr>
              <w:spacing w:after="0"/>
              <w:jc w:val="center"/>
              <w:rPr>
                <w:rFonts w:eastAsia="Times New Roman" w:cs="Times New Roman"/>
                <w:sz w:val="18"/>
                <w:szCs w:val="18"/>
                <w:lang w:val="sr-Cyrl-CS" w:eastAsia="sr-Latn-RS"/>
              </w:rPr>
            </w:pPr>
          </w:p>
        </w:tc>
        <w:tc>
          <w:tcPr>
            <w:tcW w:w="2410" w:type="dxa"/>
            <w:shd w:val="clear" w:color="auto" w:fill="auto"/>
            <w:noWrap/>
            <w:hideMark/>
          </w:tcPr>
          <w:p w14:paraId="7BA79727" w14:textId="77777777" w:rsidR="006458EB" w:rsidRPr="00092ED7" w:rsidRDefault="006458EB" w:rsidP="006458EB">
            <w:pPr>
              <w:spacing w:after="0"/>
              <w:jc w:val="left"/>
              <w:rPr>
                <w:rFonts w:eastAsia="Times New Roman" w:cs="Times New Roman"/>
                <w:sz w:val="18"/>
                <w:szCs w:val="18"/>
                <w:lang w:val="sr-Cyrl-CS" w:eastAsia="sr-Latn-RS"/>
              </w:rPr>
            </w:pPr>
          </w:p>
        </w:tc>
        <w:tc>
          <w:tcPr>
            <w:tcW w:w="2693" w:type="dxa"/>
            <w:shd w:val="clear" w:color="auto" w:fill="auto"/>
            <w:noWrap/>
            <w:hideMark/>
          </w:tcPr>
          <w:p w14:paraId="675EA222" w14:textId="77777777" w:rsidR="006458EB" w:rsidRPr="00092ED7" w:rsidRDefault="006458EB" w:rsidP="006458EB">
            <w:pPr>
              <w:spacing w:after="0"/>
              <w:jc w:val="left"/>
              <w:rPr>
                <w:rFonts w:eastAsia="Times New Roman" w:cs="Times New Roman"/>
                <w:sz w:val="18"/>
                <w:szCs w:val="18"/>
                <w:lang w:val="sr-Cyrl-CS" w:eastAsia="sr-Latn-RS"/>
              </w:rPr>
            </w:pPr>
          </w:p>
        </w:tc>
      </w:tr>
      <w:tr w:rsidR="009349ED" w:rsidRPr="00092ED7" w14:paraId="30FAC997" w14:textId="77777777" w:rsidTr="004F56D8">
        <w:trPr>
          <w:trHeight w:val="360"/>
        </w:trPr>
        <w:tc>
          <w:tcPr>
            <w:tcW w:w="560" w:type="dxa"/>
            <w:shd w:val="clear" w:color="auto" w:fill="D9D9D9" w:themeFill="background1" w:themeFillShade="D9"/>
            <w:noWrap/>
            <w:hideMark/>
          </w:tcPr>
          <w:p w14:paraId="053D427C"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1A2C4FB6"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7. РАЗВОЈ ЕНЕРГЕТСКОГ ТРЖИШТА УЗ ИЗГРАДЊУ ЕНЕРГЕТСКЕ ИНФРАСТРУКТУРЕ</w:t>
            </w:r>
          </w:p>
        </w:tc>
      </w:tr>
      <w:tr w:rsidR="006458EB" w:rsidRPr="00092ED7" w14:paraId="33027AE6" w14:textId="77777777" w:rsidTr="004F56D8">
        <w:trPr>
          <w:trHeight w:val="528"/>
        </w:trPr>
        <w:tc>
          <w:tcPr>
            <w:tcW w:w="560" w:type="dxa"/>
            <w:shd w:val="clear" w:color="auto" w:fill="auto"/>
            <w:noWrap/>
            <w:hideMark/>
          </w:tcPr>
          <w:p w14:paraId="201482D8"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4DEC5BE7"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Реконструкција и доградња ТС Краљево 3 и реконструкција ТС Крагујевац 2, неопходна за увођење новог далековода Крагујевац - Краљево</w:t>
            </w:r>
          </w:p>
        </w:tc>
        <w:tc>
          <w:tcPr>
            <w:tcW w:w="1701" w:type="dxa"/>
            <w:shd w:val="clear" w:color="auto" w:fill="auto"/>
            <w:hideMark/>
          </w:tcPr>
          <w:p w14:paraId="7F8E990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1C91F29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261482AB"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BE59E9A"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8291CBF" w14:textId="77777777" w:rsidTr="004F56D8">
        <w:trPr>
          <w:trHeight w:val="300"/>
        </w:trPr>
        <w:tc>
          <w:tcPr>
            <w:tcW w:w="560" w:type="dxa"/>
            <w:shd w:val="clear" w:color="auto" w:fill="auto"/>
            <w:noWrap/>
            <w:hideMark/>
          </w:tcPr>
          <w:p w14:paraId="01319443"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6611857C"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Изградња далековода Крагујевац - Краљево</w:t>
            </w:r>
          </w:p>
        </w:tc>
        <w:tc>
          <w:tcPr>
            <w:tcW w:w="1701" w:type="dxa"/>
            <w:shd w:val="clear" w:color="auto" w:fill="auto"/>
            <w:hideMark/>
          </w:tcPr>
          <w:p w14:paraId="493ADA4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71D4171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708632D4"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758E3D4"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3D2FB24C" w14:textId="77777777" w:rsidTr="004F56D8">
        <w:trPr>
          <w:trHeight w:val="360"/>
        </w:trPr>
        <w:tc>
          <w:tcPr>
            <w:tcW w:w="560" w:type="dxa"/>
            <w:shd w:val="clear" w:color="auto" w:fill="auto"/>
            <w:hideMark/>
          </w:tcPr>
          <w:p w14:paraId="3C40B855" w14:textId="77777777" w:rsidR="006458EB" w:rsidRPr="00092ED7" w:rsidRDefault="006458EB" w:rsidP="006458EB">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19EC72C4" w14:textId="77777777" w:rsidR="006458EB" w:rsidRPr="00092ED7" w:rsidRDefault="006458EB" w:rsidP="006458EB">
            <w:pPr>
              <w:spacing w:after="0"/>
              <w:jc w:val="left"/>
              <w:rPr>
                <w:rFonts w:eastAsia="Times New Roman" w:cs="Times New Roman"/>
                <w:sz w:val="18"/>
                <w:szCs w:val="18"/>
                <w:lang w:val="sr-Cyrl-CS" w:eastAsia="sr-Latn-RS"/>
              </w:rPr>
            </w:pPr>
          </w:p>
        </w:tc>
        <w:tc>
          <w:tcPr>
            <w:tcW w:w="1701" w:type="dxa"/>
            <w:shd w:val="clear" w:color="000000" w:fill="FFFF00"/>
            <w:noWrap/>
            <w:vAlign w:val="bottom"/>
            <w:hideMark/>
          </w:tcPr>
          <w:p w14:paraId="1EFB9389" w14:textId="77777777" w:rsidR="006458EB" w:rsidRPr="00092ED7" w:rsidRDefault="006458EB" w:rsidP="006458EB">
            <w:pPr>
              <w:spacing w:after="0"/>
              <w:jc w:val="center"/>
              <w:rPr>
                <w:rFonts w:eastAsia="Times New Roman" w:cs="Times New Roman"/>
                <w:bCs/>
                <w:sz w:val="28"/>
                <w:szCs w:val="28"/>
                <w:lang w:val="sr-Cyrl-CS" w:eastAsia="sr-Latn-RS"/>
              </w:rPr>
            </w:pPr>
            <w:r w:rsidRPr="00092ED7">
              <w:rPr>
                <w:rFonts w:eastAsia="Times New Roman" w:cs="Times New Roman"/>
                <w:bCs/>
                <w:sz w:val="28"/>
                <w:szCs w:val="28"/>
                <w:lang w:val="sr-Cyrl-CS" w:eastAsia="sr-Latn-RS"/>
              </w:rPr>
              <w:t>100%</w:t>
            </w:r>
          </w:p>
        </w:tc>
        <w:tc>
          <w:tcPr>
            <w:tcW w:w="3118" w:type="dxa"/>
            <w:shd w:val="clear" w:color="auto" w:fill="auto"/>
            <w:noWrap/>
            <w:hideMark/>
          </w:tcPr>
          <w:p w14:paraId="3457A970" w14:textId="77777777" w:rsidR="006458EB" w:rsidRPr="00092ED7" w:rsidRDefault="006458EB" w:rsidP="006458EB">
            <w:pPr>
              <w:spacing w:after="0"/>
              <w:jc w:val="center"/>
              <w:rPr>
                <w:rFonts w:eastAsia="Times New Roman" w:cs="Times New Roman"/>
                <w:b/>
                <w:bCs/>
                <w:sz w:val="18"/>
                <w:szCs w:val="18"/>
                <w:lang w:val="sr-Cyrl-CS" w:eastAsia="sr-Latn-RS"/>
              </w:rPr>
            </w:pPr>
          </w:p>
        </w:tc>
        <w:tc>
          <w:tcPr>
            <w:tcW w:w="2410" w:type="dxa"/>
            <w:shd w:val="clear" w:color="auto" w:fill="auto"/>
            <w:noWrap/>
            <w:hideMark/>
          </w:tcPr>
          <w:p w14:paraId="220C1025" w14:textId="77777777" w:rsidR="006458EB" w:rsidRPr="00092ED7" w:rsidRDefault="006458EB" w:rsidP="006458EB">
            <w:pPr>
              <w:spacing w:after="0"/>
              <w:jc w:val="left"/>
              <w:rPr>
                <w:rFonts w:eastAsia="Times New Roman" w:cs="Times New Roman"/>
                <w:sz w:val="18"/>
                <w:szCs w:val="18"/>
                <w:lang w:val="sr-Cyrl-CS" w:eastAsia="sr-Latn-RS"/>
              </w:rPr>
            </w:pPr>
          </w:p>
        </w:tc>
        <w:tc>
          <w:tcPr>
            <w:tcW w:w="2693" w:type="dxa"/>
            <w:shd w:val="clear" w:color="auto" w:fill="auto"/>
            <w:noWrap/>
            <w:hideMark/>
          </w:tcPr>
          <w:p w14:paraId="43D428D8" w14:textId="77777777" w:rsidR="006458EB" w:rsidRPr="00092ED7" w:rsidRDefault="006458EB" w:rsidP="006458EB">
            <w:pPr>
              <w:spacing w:after="0"/>
              <w:jc w:val="left"/>
              <w:rPr>
                <w:rFonts w:eastAsia="Times New Roman" w:cs="Times New Roman"/>
                <w:sz w:val="18"/>
                <w:szCs w:val="18"/>
                <w:lang w:val="sr-Cyrl-CS" w:eastAsia="sr-Latn-RS"/>
              </w:rPr>
            </w:pPr>
          </w:p>
        </w:tc>
      </w:tr>
      <w:tr w:rsidR="009349ED" w:rsidRPr="00092ED7" w14:paraId="22B81F3A" w14:textId="77777777" w:rsidTr="004F56D8">
        <w:trPr>
          <w:trHeight w:val="360"/>
        </w:trPr>
        <w:tc>
          <w:tcPr>
            <w:tcW w:w="560" w:type="dxa"/>
            <w:shd w:val="clear" w:color="auto" w:fill="D9D9D9" w:themeFill="background1" w:themeFillShade="D9"/>
            <w:noWrap/>
            <w:hideMark/>
          </w:tcPr>
          <w:p w14:paraId="69D7E08E"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19CE845A"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8. УНАПРЕЂЕЊЕ УСЛОВА ЗА ПОВЕЋАЊЕ ЕНЕРГЕТСКЕ ЕФИКАСНОСТИ КРОЗ УНАПРЕЂЕЊЕ ПРАВНОГ И ИНСТИТУЦИОНАЛНОГ ОКВИРА И ОБЕЗБЕЂЕЊЕ ПОДСТИЦАЈА</w:t>
            </w:r>
          </w:p>
        </w:tc>
      </w:tr>
      <w:tr w:rsidR="006458EB" w:rsidRPr="00092ED7" w14:paraId="54C2C47F" w14:textId="77777777" w:rsidTr="004F56D8">
        <w:trPr>
          <w:trHeight w:val="1320"/>
        </w:trPr>
        <w:tc>
          <w:tcPr>
            <w:tcW w:w="560" w:type="dxa"/>
            <w:shd w:val="clear" w:color="auto" w:fill="auto"/>
            <w:noWrap/>
            <w:hideMark/>
          </w:tcPr>
          <w:p w14:paraId="0C92C632"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75CA22A2"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Оснивање Управе за финансирање и подстицање енергетске ефикасности</w:t>
            </w:r>
          </w:p>
        </w:tc>
        <w:tc>
          <w:tcPr>
            <w:tcW w:w="1701" w:type="dxa"/>
            <w:shd w:val="clear" w:color="auto" w:fill="auto"/>
            <w:hideMark/>
          </w:tcPr>
          <w:p w14:paraId="669FA31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1540046B"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53F641A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29419A22"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Управа је основана крајем 2021. године а 7. фебруара 2022. године извршена је примопредаја предмета насталих у раду Буџетског фонда за унапређење енергетске ефикасности Републике Србије и Управе, чиме је Управа и званично почела са радом.</w:t>
            </w:r>
          </w:p>
        </w:tc>
      </w:tr>
      <w:tr w:rsidR="006458EB" w:rsidRPr="00092ED7" w14:paraId="5CF15856" w14:textId="77777777" w:rsidTr="004F56D8">
        <w:trPr>
          <w:trHeight w:val="480"/>
        </w:trPr>
        <w:tc>
          <w:tcPr>
            <w:tcW w:w="560" w:type="dxa"/>
            <w:shd w:val="clear" w:color="auto" w:fill="auto"/>
            <w:noWrap/>
            <w:hideMark/>
          </w:tcPr>
          <w:p w14:paraId="4EF9142D"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4487EC99"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Доношење подзаконске регулативе у циљу потпуног усаглашавања са регулативом ЕУ у области енергетске ефикасности</w:t>
            </w:r>
          </w:p>
        </w:tc>
        <w:tc>
          <w:tcPr>
            <w:tcW w:w="1701" w:type="dxa"/>
            <w:shd w:val="clear" w:color="auto" w:fill="auto"/>
            <w:hideMark/>
          </w:tcPr>
          <w:p w14:paraId="2D8C72CA"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001C749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5EB2A4F1"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66E9FB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6709C2C3" w14:textId="77777777" w:rsidTr="004F56D8">
        <w:trPr>
          <w:trHeight w:val="1056"/>
        </w:trPr>
        <w:tc>
          <w:tcPr>
            <w:tcW w:w="560" w:type="dxa"/>
            <w:shd w:val="clear" w:color="auto" w:fill="auto"/>
            <w:noWrap/>
            <w:hideMark/>
          </w:tcPr>
          <w:p w14:paraId="31D6D1EE"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19406683"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Усмеравање пуног износа накнаде у подстицаје за енергетску ефикасност кроз активности Управе</w:t>
            </w:r>
          </w:p>
        </w:tc>
        <w:tc>
          <w:tcPr>
            <w:tcW w:w="1701" w:type="dxa"/>
            <w:shd w:val="clear" w:color="auto" w:fill="auto"/>
            <w:hideMark/>
          </w:tcPr>
          <w:p w14:paraId="56A97B44"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3EEACB1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507D7CE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92DA46C"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буџету за 2022 годину за подстицаје које даје Управа обезбеђено је 1,983 милијарде динара, док је у 2021. години од накнада прикупљено око 1,38 милијарди динара.</w:t>
            </w:r>
          </w:p>
        </w:tc>
      </w:tr>
      <w:tr w:rsidR="006458EB" w:rsidRPr="00092ED7" w14:paraId="58EAE055" w14:textId="77777777" w:rsidTr="004F56D8">
        <w:trPr>
          <w:trHeight w:val="1404"/>
        </w:trPr>
        <w:tc>
          <w:tcPr>
            <w:tcW w:w="560" w:type="dxa"/>
            <w:shd w:val="clear" w:color="auto" w:fill="auto"/>
            <w:noWrap/>
            <w:hideMark/>
          </w:tcPr>
          <w:p w14:paraId="7C8192AB"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11E4B68A"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Финансирање пројеката енергетске ефикасности</w:t>
            </w:r>
          </w:p>
        </w:tc>
        <w:tc>
          <w:tcPr>
            <w:tcW w:w="1701" w:type="dxa"/>
            <w:shd w:val="clear" w:color="auto" w:fill="auto"/>
            <w:hideMark/>
          </w:tcPr>
          <w:p w14:paraId="0E3B8EE6"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1DE5BAF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11424C0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76C830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Kонтинуирана активност. Тренутно се у МРЕ реализују пројекти у вредности од око 522 милиона евра, а плану су нови пројекти од око 402 милиона евра. Очекивани резултат свих ових пројеката су уштеде енергије од око 952 GWh/годишње и смањење емисија CO</w:t>
            </w:r>
            <w:r w:rsidRPr="00092ED7">
              <w:rPr>
                <w:rFonts w:eastAsia="Times New Roman" w:cs="Times New Roman"/>
                <w:color w:val="000000"/>
                <w:sz w:val="18"/>
                <w:szCs w:val="18"/>
                <w:vertAlign w:val="subscript"/>
                <w:lang w:val="sr-Cyrl-CS" w:eastAsia="sr-Latn-RS"/>
              </w:rPr>
              <w:t>2</w:t>
            </w:r>
            <w:r w:rsidRPr="00092ED7">
              <w:rPr>
                <w:rFonts w:eastAsia="Times New Roman" w:cs="Times New Roman"/>
                <w:color w:val="000000"/>
                <w:sz w:val="18"/>
                <w:szCs w:val="18"/>
                <w:lang w:val="sr-Cyrl-CS" w:eastAsia="sr-Latn-RS"/>
              </w:rPr>
              <w:t xml:space="preserve"> 580.482 t.</w:t>
            </w:r>
          </w:p>
        </w:tc>
      </w:tr>
      <w:tr w:rsidR="006458EB" w:rsidRPr="00092ED7" w14:paraId="11E14FAA" w14:textId="77777777" w:rsidTr="004F56D8">
        <w:trPr>
          <w:trHeight w:val="540"/>
        </w:trPr>
        <w:tc>
          <w:tcPr>
            <w:tcW w:w="560" w:type="dxa"/>
            <w:shd w:val="clear" w:color="auto" w:fill="auto"/>
            <w:noWrap/>
            <w:hideMark/>
          </w:tcPr>
          <w:p w14:paraId="45ACF957"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17E65DFE"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Јачање капацитета за спровођење политике енергетске ефикасности</w:t>
            </w:r>
          </w:p>
        </w:tc>
        <w:tc>
          <w:tcPr>
            <w:tcW w:w="1701" w:type="dxa"/>
            <w:shd w:val="clear" w:color="auto" w:fill="auto"/>
            <w:hideMark/>
          </w:tcPr>
          <w:p w14:paraId="7BB0958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4064C44B"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74CB34E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2B982F2"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7A63FB8B" w14:textId="77777777" w:rsidTr="004F56D8">
        <w:trPr>
          <w:trHeight w:val="360"/>
        </w:trPr>
        <w:tc>
          <w:tcPr>
            <w:tcW w:w="560" w:type="dxa"/>
            <w:shd w:val="clear" w:color="auto" w:fill="auto"/>
            <w:hideMark/>
          </w:tcPr>
          <w:p w14:paraId="0BB9E6C1" w14:textId="77777777" w:rsidR="006458EB" w:rsidRPr="00092ED7" w:rsidRDefault="006458EB" w:rsidP="006458EB">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75D64437" w14:textId="77777777" w:rsidR="006458EB" w:rsidRPr="00092ED7" w:rsidRDefault="006458EB" w:rsidP="006458EB">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3803E479" w14:textId="77777777" w:rsidR="006458EB" w:rsidRPr="00092ED7" w:rsidRDefault="006458EB" w:rsidP="006458EB">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92%</w:t>
            </w:r>
          </w:p>
        </w:tc>
        <w:tc>
          <w:tcPr>
            <w:tcW w:w="3118" w:type="dxa"/>
            <w:shd w:val="clear" w:color="auto" w:fill="auto"/>
            <w:noWrap/>
            <w:hideMark/>
          </w:tcPr>
          <w:p w14:paraId="0860BE6B" w14:textId="77777777" w:rsidR="006458EB" w:rsidRPr="00092ED7" w:rsidRDefault="006458EB" w:rsidP="006458EB">
            <w:pPr>
              <w:spacing w:after="0"/>
              <w:jc w:val="center"/>
              <w:rPr>
                <w:rFonts w:eastAsia="Times New Roman" w:cs="Times New Roman"/>
                <w:sz w:val="18"/>
                <w:szCs w:val="18"/>
                <w:lang w:val="sr-Cyrl-CS" w:eastAsia="sr-Latn-RS"/>
              </w:rPr>
            </w:pPr>
          </w:p>
        </w:tc>
        <w:tc>
          <w:tcPr>
            <w:tcW w:w="2410" w:type="dxa"/>
            <w:shd w:val="clear" w:color="auto" w:fill="auto"/>
            <w:noWrap/>
            <w:hideMark/>
          </w:tcPr>
          <w:p w14:paraId="0275B4CA" w14:textId="77777777" w:rsidR="006458EB" w:rsidRPr="00092ED7" w:rsidRDefault="006458EB" w:rsidP="006458EB">
            <w:pPr>
              <w:spacing w:after="0"/>
              <w:jc w:val="left"/>
              <w:rPr>
                <w:rFonts w:eastAsia="Times New Roman" w:cs="Times New Roman"/>
                <w:sz w:val="18"/>
                <w:szCs w:val="18"/>
                <w:lang w:val="sr-Cyrl-CS" w:eastAsia="sr-Latn-RS"/>
              </w:rPr>
            </w:pPr>
          </w:p>
        </w:tc>
        <w:tc>
          <w:tcPr>
            <w:tcW w:w="2693" w:type="dxa"/>
            <w:shd w:val="clear" w:color="auto" w:fill="auto"/>
            <w:noWrap/>
            <w:hideMark/>
          </w:tcPr>
          <w:p w14:paraId="78A55969" w14:textId="77777777" w:rsidR="006458EB" w:rsidRPr="00092ED7" w:rsidRDefault="006458EB" w:rsidP="006458EB">
            <w:pPr>
              <w:spacing w:after="0"/>
              <w:jc w:val="left"/>
              <w:rPr>
                <w:rFonts w:eastAsia="Times New Roman" w:cs="Times New Roman"/>
                <w:sz w:val="18"/>
                <w:szCs w:val="18"/>
                <w:lang w:val="sr-Cyrl-CS" w:eastAsia="sr-Latn-RS"/>
              </w:rPr>
            </w:pPr>
          </w:p>
        </w:tc>
      </w:tr>
      <w:tr w:rsidR="009349ED" w:rsidRPr="00092ED7" w14:paraId="4D053587" w14:textId="77777777" w:rsidTr="004F56D8">
        <w:trPr>
          <w:trHeight w:val="375"/>
        </w:trPr>
        <w:tc>
          <w:tcPr>
            <w:tcW w:w="560" w:type="dxa"/>
            <w:shd w:val="clear" w:color="auto" w:fill="D9D9D9" w:themeFill="background1" w:themeFillShade="D9"/>
            <w:noWrap/>
            <w:hideMark/>
          </w:tcPr>
          <w:p w14:paraId="68B5F1B7"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2706DAD0"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9. ТРАНСФОРМАЦИЈА ПОРЕСКЕ УПРАВЕ</w:t>
            </w:r>
          </w:p>
        </w:tc>
      </w:tr>
      <w:tr w:rsidR="009349ED" w:rsidRPr="00092ED7" w14:paraId="256E9EC8" w14:textId="77777777" w:rsidTr="004F56D8">
        <w:trPr>
          <w:trHeight w:val="375"/>
        </w:trPr>
        <w:tc>
          <w:tcPr>
            <w:tcW w:w="560" w:type="dxa"/>
            <w:shd w:val="clear" w:color="auto" w:fill="auto"/>
            <w:noWrap/>
          </w:tcPr>
          <w:p w14:paraId="5BE35F52" w14:textId="77777777" w:rsidR="009349ED" w:rsidRPr="00092ED7" w:rsidRDefault="009349ED" w:rsidP="009349E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noWrap/>
          </w:tcPr>
          <w:p w14:paraId="3CCCC07B" w14:textId="77777777" w:rsidR="009349ED" w:rsidRPr="00092ED7" w:rsidRDefault="009349ED" w:rsidP="009349ED">
            <w:pPr>
              <w:spacing w:after="0"/>
              <w:jc w:val="left"/>
              <w:rPr>
                <w:rFonts w:eastAsia="Times New Roman" w:cs="Times New Roman"/>
                <w:b/>
                <w:bCs/>
                <w:sz w:val="18"/>
                <w:szCs w:val="18"/>
                <w:lang w:val="sr-Cyrl-CS" w:eastAsia="sr-Latn-RS"/>
              </w:rPr>
            </w:pPr>
            <w:r w:rsidRPr="00092ED7">
              <w:rPr>
                <w:rFonts w:eastAsia="Times New Roman" w:cs="Times New Roman"/>
                <w:sz w:val="18"/>
                <w:szCs w:val="18"/>
                <w:lang w:val="sr-Cyrl-CS" w:eastAsia="sr-Latn-RS"/>
              </w:rPr>
              <w:t>Реинжењеринг пословних процеса, укључујући обуку тренера за увођење нових функција у оперативне јединице  Пoреске управе РС</w:t>
            </w:r>
          </w:p>
        </w:tc>
        <w:tc>
          <w:tcPr>
            <w:tcW w:w="1701" w:type="dxa"/>
            <w:shd w:val="clear" w:color="auto" w:fill="auto"/>
          </w:tcPr>
          <w:p w14:paraId="1600F38C" w14:textId="77777777" w:rsidR="009349ED" w:rsidRPr="00092ED7" w:rsidRDefault="009349ED" w:rsidP="009349ED">
            <w:pPr>
              <w:spacing w:after="0"/>
              <w:jc w:val="left"/>
              <w:rPr>
                <w:rFonts w:eastAsia="Times New Roman" w:cs="Times New Roman"/>
                <w:b/>
                <w:bCs/>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tcPr>
          <w:p w14:paraId="3D8BF290" w14:textId="6F402E74" w:rsidR="009349ED" w:rsidRPr="00092ED7" w:rsidRDefault="009349ED" w:rsidP="00E150E9">
            <w:pPr>
              <w:spacing w:after="0"/>
              <w:jc w:val="left"/>
              <w:rPr>
                <w:rFonts w:eastAsia="Times New Roman" w:cs="Times New Roman"/>
                <w:b/>
                <w:bCs/>
                <w:sz w:val="18"/>
                <w:szCs w:val="18"/>
                <w:lang w:val="sr-Cyrl-CS" w:eastAsia="sr-Latn-RS"/>
              </w:rPr>
            </w:pPr>
            <w:r w:rsidRPr="00092ED7">
              <w:rPr>
                <w:rFonts w:eastAsia="Times New Roman" w:cs="Times New Roman"/>
                <w:color w:val="000000"/>
                <w:sz w:val="18"/>
                <w:szCs w:val="18"/>
                <w:lang w:val="sr-Cyrl-CS" w:eastAsia="sr-Latn-RS"/>
              </w:rPr>
              <w:t xml:space="preserve">У вези са спровођењем консултантских услуга за Реинжењеринг пословних процеса у пореским пословима, укључујући обуку тренера за увођење нових функција у организационе  јединице Пореске управе (у даљем тексту: РПП), одржане су интерактивне радионице изабраног консултанта са тимовима Пореске управе, формираним по функционалностима, на којима се разрађивао нови Општи пословни модел Пореске управе у детаљима, са посебним освртом на концепт увођења једног рачуна за уплату јавних прихода и варијанти начина обрачуна камате на доспеле, неплаћене обавезе, у контексту њиховог утицаја на редизајниране пословне процесе. 7. јуна 2022.године консултант је доставио нацрт извештаја </w:t>
            </w:r>
            <w:r w:rsidR="007075DF"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Дизајн пословних процеса са прилозима и презентацијама</w:t>
            </w:r>
            <w:r w:rsidR="007075DF" w:rsidRPr="00092ED7">
              <w:rPr>
                <w:rFonts w:cs="Times New Roman"/>
                <w:sz w:val="18"/>
                <w:szCs w:val="18"/>
                <w:lang w:val="sr-Cyrl-CS"/>
              </w:rPr>
              <w:t>”</w:t>
            </w:r>
            <w:r w:rsidRPr="00092ED7">
              <w:rPr>
                <w:rFonts w:eastAsia="Times New Roman" w:cs="Times New Roman"/>
                <w:color w:val="000000"/>
                <w:sz w:val="18"/>
                <w:szCs w:val="18"/>
                <w:lang w:val="sr-Cyrl-CS" w:eastAsia="sr-Latn-RS"/>
              </w:rPr>
              <w:t xml:space="preserve"> на изјашњење.</w:t>
            </w:r>
            <w:r w:rsidR="003E4638" w:rsidRPr="00092ED7">
              <w:rPr>
                <w:rFonts w:eastAsia="Times New Roman" w:cs="Times New Roman"/>
                <w:color w:val="000000"/>
                <w:sz w:val="18"/>
                <w:szCs w:val="18"/>
                <w:lang w:val="sr-Cyrl-CS" w:eastAsia="sr-Latn-RS"/>
              </w:rPr>
              <w:t xml:space="preserve"> Након усаглашавања и донетих одлука о свим битним питањима, консултант је приступио изради коначне верзије документа </w:t>
            </w:r>
            <w:r w:rsidR="007075DF" w:rsidRPr="00092ED7">
              <w:rPr>
                <w:rFonts w:eastAsia="Times New Roman" w:cs="Times New Roman"/>
                <w:color w:val="000000"/>
                <w:sz w:val="18"/>
                <w:szCs w:val="18"/>
                <w:lang w:val="sr-Cyrl-CS" w:eastAsia="sr-Latn-RS"/>
              </w:rPr>
              <w:t>„</w:t>
            </w:r>
            <w:r w:rsidR="003E4638" w:rsidRPr="00092ED7">
              <w:rPr>
                <w:rFonts w:eastAsia="Times New Roman" w:cs="Times New Roman"/>
                <w:color w:val="000000"/>
                <w:sz w:val="18"/>
                <w:szCs w:val="18"/>
                <w:lang w:val="sr-Cyrl-CS" w:eastAsia="sr-Latn-RS"/>
              </w:rPr>
              <w:t>Дизајн пословних процеса са прилозима и презентацијама</w:t>
            </w:r>
            <w:r w:rsidR="007075DF" w:rsidRPr="00092ED7">
              <w:rPr>
                <w:rFonts w:cs="Times New Roman"/>
                <w:sz w:val="18"/>
                <w:szCs w:val="18"/>
                <w:lang w:val="sr-Cyrl-CS"/>
              </w:rPr>
              <w:t>”</w:t>
            </w:r>
            <w:r w:rsidR="003E4638" w:rsidRPr="00092ED7">
              <w:rPr>
                <w:rFonts w:eastAsia="Times New Roman" w:cs="Times New Roman"/>
                <w:color w:val="000000"/>
                <w:sz w:val="18"/>
                <w:szCs w:val="18"/>
                <w:lang w:val="sr-Cyrl-CS" w:eastAsia="sr-Latn-RS"/>
              </w:rPr>
              <w:t xml:space="preserve">. </w:t>
            </w:r>
            <w:r w:rsidR="00E150E9" w:rsidRPr="00092ED7">
              <w:rPr>
                <w:rFonts w:eastAsia="Times New Roman" w:cs="Times New Roman"/>
                <w:color w:val="000000"/>
                <w:sz w:val="18"/>
                <w:szCs w:val="18"/>
                <w:lang w:val="sr-Cyrl-CS" w:eastAsia="sr-Latn-RS"/>
              </w:rPr>
              <w:t xml:space="preserve">Пореска управа </w:t>
            </w:r>
            <w:r w:rsidR="003E4638" w:rsidRPr="00092ED7">
              <w:rPr>
                <w:rFonts w:eastAsia="Times New Roman" w:cs="Times New Roman"/>
                <w:color w:val="000000"/>
                <w:sz w:val="18"/>
                <w:szCs w:val="18"/>
                <w:lang w:val="sr-Cyrl-CS" w:eastAsia="sr-Latn-RS"/>
              </w:rPr>
              <w:t>је исказа</w:t>
            </w:r>
            <w:r w:rsidR="00E150E9" w:rsidRPr="00092ED7">
              <w:rPr>
                <w:rFonts w:eastAsia="Times New Roman" w:cs="Times New Roman"/>
                <w:color w:val="000000"/>
                <w:sz w:val="18"/>
                <w:szCs w:val="18"/>
                <w:lang w:val="sr-Cyrl-CS" w:eastAsia="sr-Latn-RS"/>
              </w:rPr>
              <w:t>ла</w:t>
            </w:r>
            <w:r w:rsidR="003E4638" w:rsidRPr="00092ED7">
              <w:rPr>
                <w:rFonts w:eastAsia="Times New Roman" w:cs="Times New Roman"/>
                <w:color w:val="000000"/>
                <w:sz w:val="18"/>
                <w:szCs w:val="18"/>
                <w:lang w:val="sr-Cyrl-CS" w:eastAsia="sr-Latn-RS"/>
              </w:rPr>
              <w:t xml:space="preserve"> очекивање да наведени документ садржи листу пословних процеса са тачно одређеним носиоцима истих, односно јасно дефинисаним надлежностима и одговорностима. У складу са сугестијама и одлукама донетим од стране Пореске управе и Министарства финансија консултант је доставио нацрт коначне верзије документа Дизајн пословних процеса са прилозима и презентацијама који је презентован Министарству финансија и Пореској управи. Коначна верзија документа усвојена је на 47. седници Одбора за спровођење Програма трансформације.</w:t>
            </w:r>
          </w:p>
        </w:tc>
        <w:tc>
          <w:tcPr>
            <w:tcW w:w="2410" w:type="dxa"/>
            <w:shd w:val="clear" w:color="auto" w:fill="auto"/>
            <w:vAlign w:val="center"/>
          </w:tcPr>
          <w:p w14:paraId="3CE55AB3" w14:textId="77777777" w:rsidR="009349ED" w:rsidRPr="00092ED7" w:rsidRDefault="009349ED" w:rsidP="009349ED">
            <w:pPr>
              <w:spacing w:after="0"/>
              <w:jc w:val="left"/>
              <w:rPr>
                <w:rFonts w:eastAsia="Times New Roman" w:cs="Times New Roman"/>
                <w:b/>
                <w:bCs/>
                <w:sz w:val="18"/>
                <w:szCs w:val="18"/>
                <w:lang w:val="sr-Cyrl-CS" w:eastAsia="sr-Latn-RS"/>
              </w:rPr>
            </w:pPr>
          </w:p>
        </w:tc>
        <w:tc>
          <w:tcPr>
            <w:tcW w:w="2693" w:type="dxa"/>
            <w:shd w:val="clear" w:color="auto" w:fill="auto"/>
            <w:vAlign w:val="center"/>
          </w:tcPr>
          <w:p w14:paraId="45D55D71" w14:textId="77777777" w:rsidR="009349ED" w:rsidRPr="00092ED7" w:rsidRDefault="009349ED" w:rsidP="009349ED">
            <w:pPr>
              <w:spacing w:after="0"/>
              <w:jc w:val="left"/>
              <w:rPr>
                <w:rFonts w:eastAsia="Times New Roman" w:cs="Times New Roman"/>
                <w:b/>
                <w:bCs/>
                <w:sz w:val="18"/>
                <w:szCs w:val="18"/>
                <w:lang w:val="sr-Cyrl-CS" w:eastAsia="sr-Latn-RS"/>
              </w:rPr>
            </w:pPr>
          </w:p>
        </w:tc>
      </w:tr>
      <w:tr w:rsidR="003E4638" w:rsidRPr="00092ED7" w14:paraId="765B4A0A" w14:textId="77777777" w:rsidTr="004F56D8">
        <w:trPr>
          <w:trHeight w:val="375"/>
        </w:trPr>
        <w:tc>
          <w:tcPr>
            <w:tcW w:w="560" w:type="dxa"/>
            <w:shd w:val="clear" w:color="auto" w:fill="auto"/>
            <w:noWrap/>
          </w:tcPr>
          <w:p w14:paraId="1FCE134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noWrap/>
          </w:tcPr>
          <w:p w14:paraId="3FC59215"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Реализација активности из Плана набавке ТАМП (Пројекта модернизације Пореске управе)</w:t>
            </w:r>
          </w:p>
        </w:tc>
        <w:tc>
          <w:tcPr>
            <w:tcW w:w="1701" w:type="dxa"/>
            <w:shd w:val="clear" w:color="auto" w:fill="auto"/>
          </w:tcPr>
          <w:p w14:paraId="198217E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tcPr>
          <w:p w14:paraId="2EDCD94F" w14:textId="0299F5DC"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Спроведене су активности у вези са пројектом „Консултантске услуге за институционални развој функције  људских ресурса Пореске управеРепублике Србије</w:t>
            </w:r>
            <w:r w:rsidR="003B5902" w:rsidRPr="00092ED7">
              <w:rPr>
                <w:rFonts w:eastAsia="Times New Roman" w:cs="Times New Roman"/>
                <w:color w:val="000000"/>
                <w:sz w:val="18"/>
                <w:szCs w:val="18"/>
                <w:lang w:val="sr-Cyrl-CS" w:eastAsia="sr-Latn-RS"/>
              </w:rPr>
              <w:t xml:space="preserve">ˮ. </w:t>
            </w:r>
            <w:r w:rsidRPr="00092ED7">
              <w:rPr>
                <w:rFonts w:eastAsia="Times New Roman" w:cs="Times New Roman"/>
                <w:color w:val="000000"/>
                <w:sz w:val="18"/>
                <w:szCs w:val="18"/>
                <w:lang w:val="sr-Cyrl-CS" w:eastAsia="sr-Latn-RS"/>
              </w:rPr>
              <w:t>Пројекат је започет 8.9.202</w:t>
            </w:r>
            <w:r w:rsidR="004B57D8" w:rsidRPr="00092ED7">
              <w:rPr>
                <w:rFonts w:eastAsia="Times New Roman" w:cs="Times New Roman"/>
                <w:color w:val="000000"/>
                <w:sz w:val="18"/>
                <w:szCs w:val="18"/>
                <w:lang w:val="sr-Cyrl-CS" w:eastAsia="sr-Latn-RS"/>
              </w:rPr>
              <w:t>2</w:t>
            </w:r>
            <w:r w:rsidRPr="00092ED7">
              <w:rPr>
                <w:rFonts w:eastAsia="Times New Roman" w:cs="Times New Roman"/>
                <w:color w:val="000000"/>
                <w:sz w:val="18"/>
                <w:szCs w:val="18"/>
                <w:lang w:val="sr-Cyrl-CS" w:eastAsia="sr-Latn-RS"/>
              </w:rPr>
              <w:t>.године и односи се на унапређење функције управљања људским ресурсима кроз развој стратегије људских ресурса и унапређење постојећег информационог система за управљње њудским ресусима.</w:t>
            </w:r>
            <w:r w:rsidR="004B57D8" w:rsidRPr="00092ED7">
              <w:rPr>
                <w:rFonts w:eastAsia="Times New Roman" w:cs="Times New Roman"/>
                <w:color w:val="000000"/>
                <w:sz w:val="18"/>
                <w:szCs w:val="18"/>
                <w:lang w:val="sr-Cyrl-CS" w:eastAsia="sr-Latn-RS"/>
              </w:rPr>
              <w:t xml:space="preserve"> </w:t>
            </w:r>
            <w:r w:rsidRPr="00092ED7">
              <w:rPr>
                <w:rFonts w:eastAsia="Times New Roman" w:cs="Times New Roman"/>
                <w:color w:val="000000"/>
                <w:sz w:val="18"/>
                <w:szCs w:val="18"/>
                <w:lang w:val="sr-Cyrl-CS" w:eastAsia="sr-Latn-RS"/>
              </w:rPr>
              <w:t>Консултант је доставио</w:t>
            </w:r>
            <w:r w:rsidR="004B57D8" w:rsidRPr="00092ED7">
              <w:rPr>
                <w:rFonts w:eastAsia="Times New Roman" w:cs="Times New Roman"/>
                <w:color w:val="000000"/>
                <w:sz w:val="18"/>
                <w:szCs w:val="18"/>
                <w:lang w:val="sr-Cyrl-CS" w:eastAsia="sr-Latn-RS"/>
              </w:rPr>
              <w:t xml:space="preserve"> документе:</w:t>
            </w:r>
            <w:r w:rsidRPr="00092ED7">
              <w:rPr>
                <w:rFonts w:eastAsia="Times New Roman" w:cs="Times New Roman"/>
                <w:color w:val="000000"/>
                <w:sz w:val="18"/>
                <w:szCs w:val="18"/>
                <w:lang w:val="sr-Cyrl-CS" w:eastAsia="sr-Latn-RS"/>
              </w:rPr>
              <w:t xml:space="preserve"> </w:t>
            </w:r>
            <w:r w:rsidR="004514BE"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Презентација најбољих међународних пракси у области управљања људским ресурсима</w:t>
            </w:r>
            <w:r w:rsidR="004514BE" w:rsidRPr="00092ED7">
              <w:rPr>
                <w:rFonts w:cs="Times New Roman"/>
                <w:sz w:val="18"/>
                <w:szCs w:val="18"/>
                <w:lang w:val="sr-Cyrl-CS"/>
              </w:rPr>
              <w:t>”</w:t>
            </w:r>
            <w:r w:rsidRPr="00092ED7">
              <w:rPr>
                <w:rFonts w:eastAsia="Times New Roman" w:cs="Times New Roman"/>
                <w:color w:val="000000"/>
                <w:sz w:val="18"/>
                <w:szCs w:val="18"/>
                <w:lang w:val="sr-Cyrl-CS" w:eastAsia="sr-Latn-RS"/>
              </w:rPr>
              <w:t xml:space="preserve"> и  </w:t>
            </w:r>
            <w:r w:rsidR="00002884"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Анализа разлике између постојећег и жељеног стања ПУРС</w:t>
            </w:r>
            <w:r w:rsidR="0031427F" w:rsidRPr="00092ED7">
              <w:rPr>
                <w:rFonts w:cs="Times New Roman"/>
                <w:sz w:val="18"/>
                <w:szCs w:val="18"/>
                <w:lang w:val="sr-Cyrl-CS"/>
              </w:rPr>
              <w:t>”</w:t>
            </w:r>
            <w:r w:rsidRPr="00092ED7">
              <w:rPr>
                <w:rFonts w:eastAsia="Times New Roman" w:cs="Times New Roman"/>
                <w:color w:val="000000"/>
                <w:sz w:val="18"/>
                <w:szCs w:val="18"/>
                <w:lang w:val="sr-Cyrl-CS" w:eastAsia="sr-Latn-RS"/>
              </w:rPr>
              <w:t xml:space="preserve">  који су тренутно предмет изјашњења </w:t>
            </w:r>
            <w:r w:rsidR="00E150E9" w:rsidRPr="00092ED7">
              <w:rPr>
                <w:rFonts w:eastAsia="Times New Roman" w:cs="Times New Roman"/>
                <w:color w:val="000000"/>
                <w:sz w:val="18"/>
                <w:szCs w:val="18"/>
                <w:lang w:val="sr-Cyrl-CS" w:eastAsia="sr-Latn-RS"/>
              </w:rPr>
              <w:t>Пореске управе</w:t>
            </w:r>
            <w:r w:rsidRPr="00092ED7">
              <w:rPr>
                <w:rFonts w:eastAsia="Times New Roman" w:cs="Times New Roman"/>
                <w:color w:val="000000"/>
                <w:sz w:val="18"/>
                <w:szCs w:val="18"/>
                <w:lang w:val="sr-Cyrl-CS" w:eastAsia="sr-Latn-RS"/>
              </w:rPr>
              <w:t>.</w:t>
            </w:r>
          </w:p>
          <w:p w14:paraId="698968FD" w14:textId="253E4EFE"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Поред тога потписан је уговор  за набавку лиценце Орбис базе података „Transfer Pricing Catalyst Module</w:t>
            </w:r>
            <w:r w:rsidR="000A2F6D" w:rsidRPr="00092ED7">
              <w:rPr>
                <w:rFonts w:cs="Times New Roman"/>
                <w:sz w:val="18"/>
                <w:szCs w:val="18"/>
                <w:lang w:val="sr-Cyrl-CS"/>
              </w:rPr>
              <w:t>”</w:t>
            </w:r>
            <w:r w:rsidRPr="00092ED7">
              <w:rPr>
                <w:rFonts w:eastAsia="Times New Roman" w:cs="Times New Roman"/>
                <w:color w:val="000000"/>
                <w:sz w:val="18"/>
                <w:szCs w:val="18"/>
                <w:lang w:val="sr-Cyrl-CS" w:eastAsia="sr-Latn-RS"/>
              </w:rPr>
              <w:t>, док се остале активности из Плана набавке спроводе ускладу са планом.</w:t>
            </w:r>
          </w:p>
        </w:tc>
        <w:tc>
          <w:tcPr>
            <w:tcW w:w="2410" w:type="dxa"/>
            <w:shd w:val="clear" w:color="auto" w:fill="auto"/>
            <w:vAlign w:val="center"/>
          </w:tcPr>
          <w:p w14:paraId="578DA214" w14:textId="77777777" w:rsidR="003E4638" w:rsidRPr="00092ED7" w:rsidRDefault="003E4638" w:rsidP="003E4638">
            <w:pPr>
              <w:spacing w:after="0"/>
              <w:jc w:val="left"/>
              <w:rPr>
                <w:rFonts w:eastAsia="Times New Roman" w:cs="Times New Roman"/>
                <w:b/>
                <w:bCs/>
                <w:sz w:val="18"/>
                <w:szCs w:val="18"/>
                <w:lang w:val="sr-Cyrl-CS" w:eastAsia="sr-Latn-RS"/>
              </w:rPr>
            </w:pPr>
          </w:p>
        </w:tc>
        <w:tc>
          <w:tcPr>
            <w:tcW w:w="2693" w:type="dxa"/>
            <w:shd w:val="clear" w:color="auto" w:fill="auto"/>
            <w:vAlign w:val="center"/>
          </w:tcPr>
          <w:p w14:paraId="6F8FAFE1" w14:textId="77777777" w:rsidR="003E4638" w:rsidRPr="00092ED7" w:rsidRDefault="003E4638" w:rsidP="003E4638">
            <w:pPr>
              <w:spacing w:after="0"/>
              <w:jc w:val="left"/>
              <w:rPr>
                <w:rFonts w:eastAsia="Times New Roman" w:cs="Times New Roman"/>
                <w:b/>
                <w:bCs/>
                <w:sz w:val="18"/>
                <w:szCs w:val="18"/>
                <w:lang w:val="sr-Cyrl-CS" w:eastAsia="sr-Latn-RS"/>
              </w:rPr>
            </w:pPr>
          </w:p>
        </w:tc>
      </w:tr>
      <w:tr w:rsidR="003E4638" w:rsidRPr="00092ED7" w14:paraId="0BCC9A2A" w14:textId="77777777" w:rsidTr="004F56D8">
        <w:trPr>
          <w:trHeight w:val="375"/>
        </w:trPr>
        <w:tc>
          <w:tcPr>
            <w:tcW w:w="560" w:type="dxa"/>
            <w:shd w:val="clear" w:color="auto" w:fill="auto"/>
            <w:noWrap/>
          </w:tcPr>
          <w:p w14:paraId="273452D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noWrap/>
          </w:tcPr>
          <w:p w14:paraId="1D5B3A5B"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Анализа и увођење савременог система за управљање евиденцијама кроз свеобухватни модел управљања информацијама</w:t>
            </w:r>
          </w:p>
        </w:tc>
        <w:tc>
          <w:tcPr>
            <w:tcW w:w="1701" w:type="dxa"/>
            <w:shd w:val="clear" w:color="auto" w:fill="auto"/>
          </w:tcPr>
          <w:p w14:paraId="4FDA81A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tcPr>
          <w:p w14:paraId="0CAC161F" w14:textId="79E494AE" w:rsidR="003E4638" w:rsidRPr="00092ED7" w:rsidRDefault="003E4638" w:rsidP="00AB47BA">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Консултант за управљање евиденцијама је приступио анализи правног оквира и припреми нацрта  документa „Анализа правне регулативе која се односи на токове документације и архивирање Пореске управе Републике Србије</w:t>
            </w:r>
            <w:r w:rsidR="007370BE" w:rsidRPr="00092ED7">
              <w:rPr>
                <w:rFonts w:cs="Times New Roman"/>
                <w:sz w:val="18"/>
                <w:szCs w:val="18"/>
                <w:lang w:val="sr-Cyrl-CS"/>
              </w:rPr>
              <w:t>”</w:t>
            </w:r>
            <w:r w:rsidRPr="00092ED7">
              <w:rPr>
                <w:rFonts w:eastAsia="Times New Roman" w:cs="Times New Roman"/>
                <w:color w:val="000000"/>
                <w:sz w:val="18"/>
                <w:szCs w:val="18"/>
                <w:lang w:val="sr-Cyrl-CS" w:eastAsia="sr-Latn-RS"/>
              </w:rPr>
              <w:t>. Интегрални део документа представља и анализа односа надлежности у вези са порезом на пренос апсолутних права између Пореске управе и локалне пореске администрације, док завршни део чине закључци и препоруке за унапређења у вези са поступањем са документарним материјалом и архивском грађом Пореске управе. Коригована верзија Анализе (на основу добијених сугестија) завршена је 29.11.2022. године и поново упућена на коментаре и/или сугестије представницима Пореске управе дана 30.11.2022. године. Консултант је припремио предлог за скраћење рокова чувања регистратурског материјала Пореске управе на основу постојеће (важеће) листе регистратурског материјала са роковима чувања Пореске управе из 2015. године.</w:t>
            </w:r>
          </w:p>
        </w:tc>
        <w:tc>
          <w:tcPr>
            <w:tcW w:w="2410" w:type="dxa"/>
            <w:shd w:val="clear" w:color="auto" w:fill="auto"/>
            <w:vAlign w:val="center"/>
          </w:tcPr>
          <w:p w14:paraId="40D956D0" w14:textId="77777777" w:rsidR="003E4638" w:rsidRPr="00092ED7" w:rsidRDefault="003E4638" w:rsidP="003E4638">
            <w:pPr>
              <w:spacing w:after="0"/>
              <w:jc w:val="left"/>
              <w:rPr>
                <w:rFonts w:eastAsia="Times New Roman" w:cs="Times New Roman"/>
                <w:b/>
                <w:bCs/>
                <w:sz w:val="18"/>
                <w:szCs w:val="18"/>
                <w:lang w:val="sr-Cyrl-CS" w:eastAsia="sr-Latn-RS"/>
              </w:rPr>
            </w:pPr>
          </w:p>
        </w:tc>
        <w:tc>
          <w:tcPr>
            <w:tcW w:w="2693" w:type="dxa"/>
            <w:shd w:val="clear" w:color="auto" w:fill="auto"/>
            <w:vAlign w:val="center"/>
          </w:tcPr>
          <w:p w14:paraId="6CE44233" w14:textId="77777777" w:rsidR="003E4638" w:rsidRPr="00092ED7" w:rsidRDefault="003E4638" w:rsidP="003E4638">
            <w:pPr>
              <w:spacing w:after="0"/>
              <w:jc w:val="left"/>
              <w:rPr>
                <w:rFonts w:eastAsia="Times New Roman" w:cs="Times New Roman"/>
                <w:b/>
                <w:bCs/>
                <w:sz w:val="18"/>
                <w:szCs w:val="18"/>
                <w:lang w:val="sr-Cyrl-CS" w:eastAsia="sr-Latn-RS"/>
              </w:rPr>
            </w:pPr>
          </w:p>
        </w:tc>
      </w:tr>
      <w:tr w:rsidR="003E4638" w:rsidRPr="00092ED7" w14:paraId="2248CF94" w14:textId="77777777" w:rsidTr="004F56D8">
        <w:trPr>
          <w:trHeight w:val="375"/>
        </w:trPr>
        <w:tc>
          <w:tcPr>
            <w:tcW w:w="560" w:type="dxa"/>
            <w:shd w:val="clear" w:color="auto" w:fill="auto"/>
            <w:noWrap/>
          </w:tcPr>
          <w:p w14:paraId="4342E5A5"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noWrap/>
          </w:tcPr>
          <w:p w14:paraId="7870C11B"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Набавка система за нову платформу ИКТ-а</w:t>
            </w:r>
          </w:p>
        </w:tc>
        <w:tc>
          <w:tcPr>
            <w:tcW w:w="1701" w:type="dxa"/>
            <w:shd w:val="clear" w:color="auto" w:fill="auto"/>
          </w:tcPr>
          <w:p w14:paraId="18AD24A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tcPr>
          <w:p w14:paraId="395CD971" w14:textId="0BB68C23" w:rsidR="003E4638" w:rsidRPr="00092ED7" w:rsidRDefault="003E4638" w:rsidP="0026564E">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 оквиру пројекта </w:t>
            </w:r>
            <w:r w:rsidR="00305C81"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Набавка готовог комерцијалног решења</w:t>
            </w:r>
            <w:r w:rsidR="00305C81"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 xml:space="preserve"> (COTS) сачињени су предлози критеријума за поступак иницијалне селекције добављача и објављен позив за достављање понуда. Рок за достављањe понуда био је 21.11.2022. Одлуком директора Пореске управе формирана је евалуациона комисија за оцену приспелих понуда у поступку набаке готовог комерцијалног решења (COTS). Поред тога 5.12.2022. потписан је уговор са изабраним консултантом за </w:t>
            </w:r>
            <w:r w:rsidR="001E1B53"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Саветодавне услуге  укупне подршке набавци готовог комерцијалног софтверског решења (ГКСР) за Пореску управу Републике Србије</w:t>
            </w:r>
            <w:r w:rsidR="001E1B53"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w:t>
            </w:r>
          </w:p>
        </w:tc>
        <w:tc>
          <w:tcPr>
            <w:tcW w:w="2410" w:type="dxa"/>
            <w:shd w:val="clear" w:color="auto" w:fill="auto"/>
            <w:vAlign w:val="center"/>
          </w:tcPr>
          <w:p w14:paraId="3A0E9ECA" w14:textId="77777777" w:rsidR="003E4638" w:rsidRPr="00092ED7" w:rsidRDefault="003E4638" w:rsidP="003E4638">
            <w:pPr>
              <w:spacing w:after="0"/>
              <w:jc w:val="left"/>
              <w:rPr>
                <w:rFonts w:eastAsia="Times New Roman" w:cs="Times New Roman"/>
                <w:b/>
                <w:bCs/>
                <w:sz w:val="18"/>
                <w:szCs w:val="18"/>
                <w:lang w:val="sr-Cyrl-CS" w:eastAsia="sr-Latn-RS"/>
              </w:rPr>
            </w:pPr>
          </w:p>
        </w:tc>
        <w:tc>
          <w:tcPr>
            <w:tcW w:w="2693" w:type="dxa"/>
            <w:shd w:val="clear" w:color="auto" w:fill="auto"/>
            <w:vAlign w:val="center"/>
          </w:tcPr>
          <w:p w14:paraId="5DEE83F2" w14:textId="77777777" w:rsidR="003E4638" w:rsidRPr="00092ED7" w:rsidRDefault="003E4638" w:rsidP="003E4638">
            <w:pPr>
              <w:spacing w:after="0"/>
              <w:jc w:val="left"/>
              <w:rPr>
                <w:rFonts w:eastAsia="Times New Roman" w:cs="Times New Roman"/>
                <w:b/>
                <w:bCs/>
                <w:sz w:val="18"/>
                <w:szCs w:val="18"/>
                <w:lang w:val="sr-Cyrl-CS" w:eastAsia="sr-Latn-RS"/>
              </w:rPr>
            </w:pPr>
          </w:p>
        </w:tc>
      </w:tr>
      <w:tr w:rsidR="003E4638" w:rsidRPr="00092ED7" w14:paraId="4960CC99" w14:textId="77777777" w:rsidTr="004F56D8">
        <w:trPr>
          <w:trHeight w:val="360"/>
        </w:trPr>
        <w:tc>
          <w:tcPr>
            <w:tcW w:w="560" w:type="dxa"/>
            <w:shd w:val="clear" w:color="auto" w:fill="auto"/>
            <w:hideMark/>
          </w:tcPr>
          <w:p w14:paraId="5E50337C"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45D40A44"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729AB3F5"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75%</w:t>
            </w:r>
          </w:p>
        </w:tc>
        <w:tc>
          <w:tcPr>
            <w:tcW w:w="3118" w:type="dxa"/>
            <w:shd w:val="clear" w:color="auto" w:fill="auto"/>
            <w:noWrap/>
            <w:hideMark/>
          </w:tcPr>
          <w:p w14:paraId="33F6B55E"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1A989844"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6B161642"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421BC5FE" w14:textId="77777777" w:rsidTr="004F56D8">
        <w:trPr>
          <w:trHeight w:val="360"/>
        </w:trPr>
        <w:tc>
          <w:tcPr>
            <w:tcW w:w="560" w:type="dxa"/>
            <w:shd w:val="clear" w:color="auto" w:fill="D9D9D9" w:themeFill="background1" w:themeFillShade="D9"/>
            <w:noWrap/>
            <w:hideMark/>
          </w:tcPr>
          <w:p w14:paraId="2195F5B5"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10FFD85B"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10. УВОЂЕЊЕ НОВОГ МОДЕЛА ФИСКАЛИЗАЦИЈЕ И ПРЕЛАЗАК НА ЕЛЕКТРОНСКО ФАКТУРИСАЊЕ</w:t>
            </w:r>
          </w:p>
        </w:tc>
      </w:tr>
      <w:tr w:rsidR="003E4638" w:rsidRPr="00092ED7" w14:paraId="2A1204D1" w14:textId="77777777" w:rsidTr="004F56D8">
        <w:trPr>
          <w:trHeight w:val="288"/>
        </w:trPr>
        <w:tc>
          <w:tcPr>
            <w:tcW w:w="560" w:type="dxa"/>
            <w:shd w:val="clear" w:color="auto" w:fill="auto"/>
            <w:noWrap/>
            <w:hideMark/>
          </w:tcPr>
          <w:p w14:paraId="3E877E2F"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6F00B3E7"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Почетак рада нове централизоване платформе за фискализацију</w:t>
            </w:r>
          </w:p>
        </w:tc>
        <w:tc>
          <w:tcPr>
            <w:tcW w:w="1701" w:type="dxa"/>
            <w:shd w:val="clear" w:color="auto" w:fill="auto"/>
            <w:hideMark/>
          </w:tcPr>
          <w:p w14:paraId="0902952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432123A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6960BA3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ED5C5C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0866D745" w14:textId="77777777" w:rsidTr="004F56D8">
        <w:trPr>
          <w:trHeight w:val="288"/>
        </w:trPr>
        <w:tc>
          <w:tcPr>
            <w:tcW w:w="560" w:type="dxa"/>
            <w:shd w:val="clear" w:color="auto" w:fill="auto"/>
            <w:noWrap/>
            <w:hideMark/>
          </w:tcPr>
          <w:p w14:paraId="104F9A60"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58E1FD2F"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Пуштање у рад централизоване платформе за електронске фактуре</w:t>
            </w:r>
          </w:p>
        </w:tc>
        <w:tc>
          <w:tcPr>
            <w:tcW w:w="1701" w:type="dxa"/>
            <w:shd w:val="clear" w:color="auto" w:fill="auto"/>
            <w:hideMark/>
          </w:tcPr>
          <w:p w14:paraId="70BAE9A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4DA1EBD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57E10725"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EDBFC3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16E91BB8" w14:textId="77777777" w:rsidTr="004F56D8">
        <w:trPr>
          <w:trHeight w:val="2539"/>
        </w:trPr>
        <w:tc>
          <w:tcPr>
            <w:tcW w:w="560" w:type="dxa"/>
            <w:shd w:val="clear" w:color="auto" w:fill="auto"/>
            <w:noWrap/>
            <w:hideMark/>
          </w:tcPr>
          <w:p w14:paraId="6C5D2218"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4BF1DD1E"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Ширење обухвата електронских фактура на целокупан сектор привреде</w:t>
            </w:r>
          </w:p>
        </w:tc>
        <w:tc>
          <w:tcPr>
            <w:tcW w:w="1701" w:type="dxa"/>
            <w:shd w:val="clear" w:color="auto" w:fill="auto"/>
            <w:hideMark/>
          </w:tcPr>
          <w:p w14:paraId="18BC9F0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172E25F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Сектор привреде укључен је у систем електронских фактура у оном делу у којем послују са јавним сектором, обавеза по закону је наступила од 1.4.2022. године. Од тог рока постало је обавезно и примање и слање електронске фактуре за пословање између субјеката јавног сектора. Додатно, обавеза пријема електронске фактуре за субјекте сектора привреде наступила је по Закону од 1.7.2022. године. Последњи рок 1.1.2023. године се односи на обавезно слање електронске фактуре за привреду, чиме је у потпуности заокружено укључивање свих обвезника у систем електронског фактурисања по Закону.</w:t>
            </w:r>
          </w:p>
        </w:tc>
        <w:tc>
          <w:tcPr>
            <w:tcW w:w="2410" w:type="dxa"/>
            <w:shd w:val="clear" w:color="auto" w:fill="auto"/>
            <w:hideMark/>
          </w:tcPr>
          <w:p w14:paraId="60742F3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443C4F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7CE4FB3E" w14:textId="77777777" w:rsidTr="004F56D8">
        <w:trPr>
          <w:trHeight w:val="2124"/>
        </w:trPr>
        <w:tc>
          <w:tcPr>
            <w:tcW w:w="560" w:type="dxa"/>
            <w:shd w:val="clear" w:color="auto" w:fill="auto"/>
            <w:noWrap/>
            <w:hideMark/>
          </w:tcPr>
          <w:p w14:paraId="07D91459"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2DEE5E25"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Едукација и комуникација са корисницима платформе за фискализацију и платформе за електронске фактуре ради помоћи у преласку на нови систем</w:t>
            </w:r>
          </w:p>
        </w:tc>
        <w:tc>
          <w:tcPr>
            <w:tcW w:w="1701" w:type="dxa"/>
            <w:shd w:val="clear" w:color="auto" w:fill="auto"/>
            <w:hideMark/>
          </w:tcPr>
          <w:p w14:paraId="2C9E73A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55C8A39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Све обуке за нови систем фискализације су реализоване. Такође, и обуке за електронско фактурисање су реализоване, и то: 1) за јавни сектор у потупуности; и 2) за сектор привреде обуке су се реализовале до краја 2022. године, а односиле су се на обавезно слање електронских фактура од 1.1.2023. године. Подршка Министарству финансија у делу обука за нови модел фискализације пружена је од стране Привредне коморе Србије, а када је у питању електронско фактурисање од стране НАЛЕД-а.</w:t>
            </w:r>
          </w:p>
        </w:tc>
        <w:tc>
          <w:tcPr>
            <w:tcW w:w="2410" w:type="dxa"/>
            <w:shd w:val="clear" w:color="auto" w:fill="auto"/>
            <w:hideMark/>
          </w:tcPr>
          <w:p w14:paraId="0D37C4D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2F87842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Спроведена је обимна медијска кампања када су у питању оба сегмента ове стратешке реформе, кроз велики број гостовања у специјализованим телевизијским емисијама, прилозима у информативном програму телевизија са националном фреквенцијом, као и путем рекламне кампање (радио и тв реклама, билборди, рекламни материјал и сл.).</w:t>
            </w:r>
          </w:p>
        </w:tc>
      </w:tr>
      <w:tr w:rsidR="003E4638" w:rsidRPr="00092ED7" w14:paraId="607C1817" w14:textId="77777777" w:rsidTr="004F56D8">
        <w:trPr>
          <w:trHeight w:val="360"/>
        </w:trPr>
        <w:tc>
          <w:tcPr>
            <w:tcW w:w="560" w:type="dxa"/>
            <w:shd w:val="clear" w:color="auto" w:fill="auto"/>
            <w:hideMark/>
          </w:tcPr>
          <w:p w14:paraId="77877321"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2258B1B3"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FFFF00"/>
            <w:noWrap/>
            <w:vAlign w:val="bottom"/>
            <w:hideMark/>
          </w:tcPr>
          <w:p w14:paraId="3FA5EB7B" w14:textId="77777777" w:rsidR="003E4638" w:rsidRPr="00092ED7" w:rsidRDefault="003E4638" w:rsidP="003E4638">
            <w:pPr>
              <w:spacing w:after="0"/>
              <w:jc w:val="center"/>
              <w:rPr>
                <w:rFonts w:eastAsia="Times New Roman" w:cs="Times New Roman"/>
                <w:bCs/>
                <w:sz w:val="28"/>
                <w:szCs w:val="28"/>
                <w:lang w:val="sr-Cyrl-CS" w:eastAsia="sr-Latn-RS"/>
              </w:rPr>
            </w:pPr>
            <w:r w:rsidRPr="00092ED7">
              <w:rPr>
                <w:rFonts w:eastAsia="Times New Roman" w:cs="Times New Roman"/>
                <w:bCs/>
                <w:sz w:val="28"/>
                <w:szCs w:val="28"/>
                <w:lang w:val="sr-Cyrl-CS" w:eastAsia="sr-Latn-RS"/>
              </w:rPr>
              <w:t>100%</w:t>
            </w:r>
          </w:p>
        </w:tc>
        <w:tc>
          <w:tcPr>
            <w:tcW w:w="3118" w:type="dxa"/>
            <w:shd w:val="clear" w:color="auto" w:fill="auto"/>
            <w:noWrap/>
            <w:hideMark/>
          </w:tcPr>
          <w:p w14:paraId="5B47A426" w14:textId="77777777" w:rsidR="003E4638" w:rsidRPr="00092ED7" w:rsidRDefault="003E4638" w:rsidP="003E4638">
            <w:pPr>
              <w:spacing w:after="0"/>
              <w:jc w:val="center"/>
              <w:rPr>
                <w:rFonts w:eastAsia="Times New Roman" w:cs="Times New Roman"/>
                <w:b/>
                <w:bCs/>
                <w:sz w:val="18"/>
                <w:szCs w:val="18"/>
                <w:lang w:val="sr-Cyrl-CS" w:eastAsia="sr-Latn-RS"/>
              </w:rPr>
            </w:pPr>
          </w:p>
        </w:tc>
        <w:tc>
          <w:tcPr>
            <w:tcW w:w="2410" w:type="dxa"/>
            <w:shd w:val="clear" w:color="auto" w:fill="auto"/>
            <w:noWrap/>
            <w:hideMark/>
          </w:tcPr>
          <w:p w14:paraId="6671372B"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205E6602"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7BE77D61" w14:textId="77777777" w:rsidTr="004F56D8">
        <w:trPr>
          <w:trHeight w:val="360"/>
        </w:trPr>
        <w:tc>
          <w:tcPr>
            <w:tcW w:w="560" w:type="dxa"/>
            <w:shd w:val="clear" w:color="auto" w:fill="D9D9D9" w:themeFill="background1" w:themeFillShade="D9"/>
            <w:noWrap/>
            <w:hideMark/>
          </w:tcPr>
          <w:p w14:paraId="13B5217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26D2B145"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11. УВОЂЕЊЕ КОНЦЕПТА ЦИРКУЛАРНЕ ЕКОНОМИЈЕ</w:t>
            </w:r>
          </w:p>
        </w:tc>
      </w:tr>
      <w:tr w:rsidR="003E4638" w:rsidRPr="00092ED7" w14:paraId="54ADC974" w14:textId="77777777" w:rsidTr="004F56D8">
        <w:trPr>
          <w:trHeight w:val="4740"/>
        </w:trPr>
        <w:tc>
          <w:tcPr>
            <w:tcW w:w="560" w:type="dxa"/>
            <w:shd w:val="clear" w:color="auto" w:fill="auto"/>
            <w:noWrap/>
            <w:hideMark/>
          </w:tcPr>
          <w:p w14:paraId="7AC1DFDB"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7AB5CADE"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Подршка привредним субјектима у транзицији на моделе пословања засноване на принципима циркуларне економије</w:t>
            </w:r>
          </w:p>
        </w:tc>
        <w:tc>
          <w:tcPr>
            <w:tcW w:w="1701" w:type="dxa"/>
            <w:shd w:val="clear" w:color="auto" w:fill="auto"/>
            <w:hideMark/>
          </w:tcPr>
          <w:p w14:paraId="2B349FA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1CDDD75C" w14:textId="67799F6F"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Програм развоја циркуларне економије у Р</w:t>
            </w:r>
            <w:r w:rsidR="003B5902" w:rsidRPr="00092ED7">
              <w:rPr>
                <w:rFonts w:eastAsia="Times New Roman" w:cs="Times New Roman"/>
                <w:color w:val="000000"/>
                <w:sz w:val="18"/>
                <w:szCs w:val="18"/>
                <w:lang w:val="sr-Cyrl-CS" w:eastAsia="sr-Latn-RS"/>
              </w:rPr>
              <w:t>еублици Србији</w:t>
            </w:r>
            <w:r w:rsidRPr="00092ED7">
              <w:rPr>
                <w:rFonts w:eastAsia="Times New Roman" w:cs="Times New Roman"/>
                <w:color w:val="000000"/>
                <w:sz w:val="18"/>
                <w:szCs w:val="18"/>
                <w:lang w:val="sr-Cyrl-CS" w:eastAsia="sr-Latn-RS"/>
              </w:rPr>
              <w:t xml:space="preserve"> за период 2022-2024. са Акционим планом, који представља документ јавне политике за област циркуларне економије, усвојен је 1. децембра 2022. године. Почетком 2023. почеће се са реализацијом активности предвиђених Акционим планом а један од циљева је и мера која је предложена у Програму економских реформи: Подршка привредним субјектима у транзицији на моделе пословања засноване на принципима циркуларне економије. Активности ће се реализовати уз подршку пројекта који финансира Шведска, спроводе Технолошко-металуршки факултет у Београду и Министарство заштите животне средине, Зелена Транзција: Имплементација Директиве о индустријском загађењу 2021-2025. Активности почињу у првом кварталу 2023. године припремом критеријума за одабир привредних субјеката којима ће бити пружена подршка у изради акционих планова за транзицију на циркуларни модел пословања.</w:t>
            </w:r>
          </w:p>
        </w:tc>
        <w:tc>
          <w:tcPr>
            <w:tcW w:w="2410" w:type="dxa"/>
            <w:shd w:val="clear" w:color="auto" w:fill="auto"/>
            <w:hideMark/>
          </w:tcPr>
          <w:p w14:paraId="059BAA6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FE5244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4. кварталу 2022. године спроведене су активности у оквиру Посебног циља 1 Програма развоја циркуларне економије: Подршка привредном сектору у трансформацији на циркуларни модел пословања; МЕРА 1.4 Подстицање сарадње између научно-истраживачких организација и привредних субјеката у области иновација и оптимизације производње: 1.4.1 Објављивање позива и селекција пријављених пројеката и 1.4.2 Додела средстава и промоција резултата позива. Додељени су циркуларни ваучери у износу од по 10.000 УСД за 12 изабраних пројектних идеја. Средства за ваучере су обезбеђена из пројекта ''Смањење угљеничног отиска локланих заједница применом принципа циркуларне економије'', који финансира ГЕФ, а спроводе га УНДП и Министарство заштите животне средине. Пројекат је почео у марту 2022. и трајаће до марта 2027. године.</w:t>
            </w:r>
          </w:p>
        </w:tc>
      </w:tr>
      <w:tr w:rsidR="003E4638" w:rsidRPr="00092ED7" w14:paraId="47BECAB0" w14:textId="77777777" w:rsidTr="004F56D8">
        <w:trPr>
          <w:trHeight w:val="4810"/>
        </w:trPr>
        <w:tc>
          <w:tcPr>
            <w:tcW w:w="560" w:type="dxa"/>
            <w:shd w:val="clear" w:color="auto" w:fill="auto"/>
            <w:noWrap/>
            <w:hideMark/>
          </w:tcPr>
          <w:p w14:paraId="2A16452D"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3368A79D"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Промоција циркуларне економије и едукација привредних субјеката</w:t>
            </w:r>
          </w:p>
        </w:tc>
        <w:tc>
          <w:tcPr>
            <w:tcW w:w="1701" w:type="dxa"/>
            <w:shd w:val="clear" w:color="auto" w:fill="auto"/>
            <w:hideMark/>
          </w:tcPr>
          <w:p w14:paraId="50F30AD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16F323D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сарадњи са Привредном комором Србије, у првом кварталу 2022. су одржане две групе радионица за привредне субјекте: Модули циркуларне економије (едукација привредних субјеката о основама у области циркуларне економије, којој је пристуствовало 34 полазника) и Едукација о регулацији система отпадних вода у оквиру циркуларне економије (на пет радионица је присуствовало преко 150 представника привредних субјеката, локалних самоуправа и надлежних инспектората). Такође су израђене смернице за декарбонизацију које ће бити доступне на платформи Центра за циркуларну економију, а презентација ће се вршити континуирано на седницама Парламента привредника по регионалним привредним коморама. Израђене су и смернице - Поновна употреба материјала у моделу циркуларне економије, гума и стакло као ресурсни потенцијал.</w:t>
            </w:r>
          </w:p>
          <w:p w14:paraId="08B37549" w14:textId="288BDFE7" w:rsidR="003E4638" w:rsidRPr="00092ED7" w:rsidRDefault="003E4638" w:rsidP="0026564E">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 четвртом кварталу 2022. такође у сарадњи са Привредном комором Србије, одржане су радионице </w:t>
            </w:r>
            <w:r w:rsidR="0026564E"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Карбонско рачуноводство и одрживо пословање</w:t>
            </w:r>
            <w:r w:rsidR="002A3099" w:rsidRPr="00092ED7">
              <w:rPr>
                <w:rFonts w:cs="Times New Roman"/>
                <w:sz w:val="18"/>
                <w:szCs w:val="18"/>
                <w:lang w:val="sr-Cyrl-CS"/>
              </w:rPr>
              <w:t>”</w:t>
            </w:r>
            <w:r w:rsidRPr="00092ED7">
              <w:rPr>
                <w:rFonts w:eastAsia="Times New Roman" w:cs="Times New Roman"/>
                <w:color w:val="000000"/>
                <w:sz w:val="18"/>
                <w:szCs w:val="18"/>
                <w:lang w:val="sr-Cyrl-CS" w:eastAsia="sr-Latn-RS"/>
              </w:rPr>
              <w:t xml:space="preserve"> и </w:t>
            </w:r>
            <w:r w:rsidR="002A3099"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Механизам за смањење емисија гасова са ефектом стаклене баште - шта очекује српску привреду?</w:t>
            </w:r>
            <w:r w:rsidR="002A3099" w:rsidRPr="00092ED7">
              <w:rPr>
                <w:rFonts w:cs="Times New Roman"/>
                <w:szCs w:val="24"/>
                <w:lang w:val="sr-Cyrl-CS"/>
              </w:rPr>
              <w:t xml:space="preserve"> </w:t>
            </w:r>
            <w:r w:rsidR="002A3099" w:rsidRPr="00092ED7">
              <w:rPr>
                <w:rFonts w:cs="Times New Roman"/>
                <w:sz w:val="18"/>
                <w:szCs w:val="18"/>
                <w:lang w:val="sr-Cyrl-CS"/>
              </w:rPr>
              <w:t>”</w:t>
            </w:r>
            <w:r w:rsidRPr="00092ED7">
              <w:rPr>
                <w:rFonts w:eastAsia="Times New Roman" w:cs="Times New Roman"/>
                <w:color w:val="000000"/>
                <w:sz w:val="18"/>
                <w:szCs w:val="18"/>
                <w:lang w:val="sr-Cyrl-CS" w:eastAsia="sr-Latn-RS"/>
              </w:rPr>
              <w:t xml:space="preserve"> на којима је присуствовало укупно преко 100 учесника.</w:t>
            </w:r>
          </w:p>
        </w:tc>
        <w:tc>
          <w:tcPr>
            <w:tcW w:w="2410" w:type="dxa"/>
            <w:shd w:val="clear" w:color="auto" w:fill="auto"/>
            <w:hideMark/>
          </w:tcPr>
          <w:p w14:paraId="67A7142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FBC596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2EFAC4F6" w14:textId="77777777" w:rsidTr="004F56D8">
        <w:trPr>
          <w:trHeight w:val="360"/>
        </w:trPr>
        <w:tc>
          <w:tcPr>
            <w:tcW w:w="560" w:type="dxa"/>
            <w:shd w:val="clear" w:color="auto" w:fill="auto"/>
            <w:hideMark/>
          </w:tcPr>
          <w:p w14:paraId="7D72AEF4"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33AED1DC"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54B5AB47"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80%</w:t>
            </w:r>
          </w:p>
        </w:tc>
        <w:tc>
          <w:tcPr>
            <w:tcW w:w="3118" w:type="dxa"/>
            <w:shd w:val="clear" w:color="auto" w:fill="auto"/>
            <w:noWrap/>
            <w:hideMark/>
          </w:tcPr>
          <w:p w14:paraId="5878B223"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2956BF69"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7FF9D8B0"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3191CA49" w14:textId="77777777" w:rsidTr="004F56D8">
        <w:trPr>
          <w:trHeight w:val="360"/>
        </w:trPr>
        <w:tc>
          <w:tcPr>
            <w:tcW w:w="560" w:type="dxa"/>
            <w:shd w:val="clear" w:color="auto" w:fill="D9D9D9" w:themeFill="background1" w:themeFillShade="D9"/>
            <w:noWrap/>
            <w:hideMark/>
          </w:tcPr>
          <w:p w14:paraId="6562CFE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1ACFD101"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12. РАЗВОЈ И УНАПРЕЂЕЊЕ НАЦИОНАЛНЕ ИНФОРМАЦИОНО-КОМУНИКАЦИОНЕ ИНФРАСТРУКТУРЕ</w:t>
            </w:r>
          </w:p>
        </w:tc>
      </w:tr>
      <w:tr w:rsidR="003E4638" w:rsidRPr="00092ED7" w14:paraId="3E92E881" w14:textId="77777777" w:rsidTr="004F56D8">
        <w:trPr>
          <w:trHeight w:val="288"/>
        </w:trPr>
        <w:tc>
          <w:tcPr>
            <w:tcW w:w="560" w:type="dxa"/>
            <w:shd w:val="clear" w:color="auto" w:fill="auto"/>
            <w:noWrap/>
            <w:hideMark/>
          </w:tcPr>
          <w:p w14:paraId="410A31D4"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3F266DA7"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Повезивање установа образовања и културе на АМРЕС</w:t>
            </w:r>
          </w:p>
        </w:tc>
        <w:tc>
          <w:tcPr>
            <w:tcW w:w="1701" w:type="dxa"/>
            <w:shd w:val="clear" w:color="auto" w:fill="auto"/>
            <w:hideMark/>
          </w:tcPr>
          <w:p w14:paraId="40497F2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5E9ED833"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2410" w:type="dxa"/>
            <w:shd w:val="clear" w:color="auto" w:fill="auto"/>
            <w:hideMark/>
          </w:tcPr>
          <w:p w14:paraId="0ED8F3B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40BAA5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27258BF5" w14:textId="77777777" w:rsidTr="004F56D8">
        <w:trPr>
          <w:trHeight w:val="528"/>
        </w:trPr>
        <w:tc>
          <w:tcPr>
            <w:tcW w:w="560" w:type="dxa"/>
            <w:shd w:val="clear" w:color="auto" w:fill="auto"/>
            <w:noWrap/>
            <w:hideMark/>
          </w:tcPr>
          <w:p w14:paraId="24EE8457"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6D57D186"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Активности на унапређењу информационо-комуникационе инфраструктуре у свим основним и средњим школама у РС – „Повезане школе”</w:t>
            </w:r>
          </w:p>
        </w:tc>
        <w:tc>
          <w:tcPr>
            <w:tcW w:w="1701" w:type="dxa"/>
            <w:shd w:val="clear" w:color="auto" w:fill="auto"/>
            <w:hideMark/>
          </w:tcPr>
          <w:p w14:paraId="5D0DEC4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7A2F321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7FA1A0A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69E04A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0E0B8F6B" w14:textId="77777777" w:rsidTr="004F56D8">
        <w:trPr>
          <w:trHeight w:val="1833"/>
        </w:trPr>
        <w:tc>
          <w:tcPr>
            <w:tcW w:w="560" w:type="dxa"/>
            <w:shd w:val="clear" w:color="auto" w:fill="auto"/>
            <w:noWrap/>
            <w:hideMark/>
          </w:tcPr>
          <w:p w14:paraId="6676F145"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7C12D7E7"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Изградња оптичке широкопојасне мреже у руралним областима Републике Србије – фаза 1</w:t>
            </w:r>
          </w:p>
        </w:tc>
        <w:tc>
          <w:tcPr>
            <w:tcW w:w="1701" w:type="dxa"/>
            <w:shd w:val="clear" w:color="auto" w:fill="auto"/>
            <w:hideMark/>
          </w:tcPr>
          <w:p w14:paraId="79F1B21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4849782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Спроведене су набавке у оквиру фазе 1 пројекта изградње широкопојасне комуникационе инфраструктуре у руралним пределима Републике Србије за извођача радова за изградњу middle mile сегмента инфраструктуре и за стручни надзор над изградњом middle mile сегмента инфраструктуре, који се спроводи по правилима Европске банке за обнову и развој. Уговори су закључени у августу 2022. године а извођење радова почело је током септембра 2022. године.</w:t>
            </w:r>
          </w:p>
        </w:tc>
        <w:tc>
          <w:tcPr>
            <w:tcW w:w="2410" w:type="dxa"/>
            <w:shd w:val="clear" w:color="auto" w:fill="auto"/>
            <w:vAlign w:val="bottom"/>
            <w:hideMark/>
          </w:tcPr>
          <w:p w14:paraId="4593C770"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2693" w:type="dxa"/>
            <w:shd w:val="clear" w:color="auto" w:fill="auto"/>
            <w:hideMark/>
          </w:tcPr>
          <w:p w14:paraId="5156E7E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41C4E310" w14:textId="77777777" w:rsidTr="004F56D8">
        <w:trPr>
          <w:trHeight w:val="1068"/>
        </w:trPr>
        <w:tc>
          <w:tcPr>
            <w:tcW w:w="560" w:type="dxa"/>
            <w:shd w:val="clear" w:color="auto" w:fill="auto"/>
            <w:noWrap/>
            <w:hideMark/>
          </w:tcPr>
          <w:p w14:paraId="6C89B111"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795AD807"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Припрема и изградња оптичке широкопојасне мреже у руралним областима Републике Србије – фаза 2</w:t>
            </w:r>
          </w:p>
        </w:tc>
        <w:tc>
          <w:tcPr>
            <w:tcW w:w="1701" w:type="dxa"/>
            <w:shd w:val="clear" w:color="auto" w:fill="auto"/>
            <w:hideMark/>
          </w:tcPr>
          <w:p w14:paraId="2D1E725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041444F4" w14:textId="3FE64D1A" w:rsidR="003E4638" w:rsidRPr="00092ED7" w:rsidRDefault="003E4638" w:rsidP="00D570E6">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Активности се одвијају према плану. У току је прва јавна набавка за изградњу 900 км оптичке инфраструктуре, завршен је процес претквалификације са 3 квалификована понуђача, а закључење уговора се очекује </w:t>
            </w:r>
            <w:r w:rsidR="00D570E6" w:rsidRPr="00092ED7">
              <w:rPr>
                <w:rFonts w:eastAsia="Times New Roman" w:cs="Times New Roman"/>
                <w:color w:val="000000"/>
                <w:sz w:val="18"/>
                <w:szCs w:val="18"/>
                <w:lang w:val="sr-Cyrl-CS" w:eastAsia="sr-Latn-RS"/>
              </w:rPr>
              <w:t>у наредном периоду.</w:t>
            </w:r>
          </w:p>
        </w:tc>
        <w:tc>
          <w:tcPr>
            <w:tcW w:w="2410" w:type="dxa"/>
            <w:shd w:val="clear" w:color="auto" w:fill="auto"/>
            <w:hideMark/>
          </w:tcPr>
          <w:p w14:paraId="18A5E89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2FD9635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3189F4EA" w14:textId="77777777" w:rsidTr="004F56D8">
        <w:trPr>
          <w:trHeight w:val="360"/>
        </w:trPr>
        <w:tc>
          <w:tcPr>
            <w:tcW w:w="560" w:type="dxa"/>
            <w:shd w:val="clear" w:color="auto" w:fill="auto"/>
            <w:hideMark/>
          </w:tcPr>
          <w:p w14:paraId="3947AA37"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0D59CBD0"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48EC9725"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90%</w:t>
            </w:r>
          </w:p>
        </w:tc>
        <w:tc>
          <w:tcPr>
            <w:tcW w:w="3118" w:type="dxa"/>
            <w:shd w:val="clear" w:color="auto" w:fill="auto"/>
            <w:noWrap/>
            <w:hideMark/>
          </w:tcPr>
          <w:p w14:paraId="376F4334"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4271F6C9"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29154F25"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7F7C154C" w14:textId="77777777" w:rsidTr="004F56D8">
        <w:trPr>
          <w:trHeight w:val="360"/>
        </w:trPr>
        <w:tc>
          <w:tcPr>
            <w:tcW w:w="560" w:type="dxa"/>
            <w:shd w:val="clear" w:color="auto" w:fill="D9D9D9" w:themeFill="background1" w:themeFillShade="D9"/>
            <w:noWrap/>
            <w:hideMark/>
          </w:tcPr>
          <w:p w14:paraId="148590D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63138903"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13. УСПОСТАВЉАЊЕ ИНФРАСТРУКТУРЕ И ОКРУЖЕЊА ЗА КРЕИРАЊЕ И ПРИМЕНУ ИНОВАТИВНИХ И РЕШЕЊА БАЗИРАНИХ НА ВЕШТАЧКОЈ ИНТЕЛИГЕНЦИЈИ</w:t>
            </w:r>
          </w:p>
        </w:tc>
      </w:tr>
      <w:tr w:rsidR="003E4638" w:rsidRPr="00092ED7" w14:paraId="2E6660C8" w14:textId="77777777" w:rsidTr="004F56D8">
        <w:trPr>
          <w:trHeight w:val="288"/>
        </w:trPr>
        <w:tc>
          <w:tcPr>
            <w:tcW w:w="560" w:type="dxa"/>
            <w:shd w:val="clear" w:color="auto" w:fill="auto"/>
            <w:noWrap/>
            <w:hideMark/>
          </w:tcPr>
          <w:p w14:paraId="564A0350"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706DF3E5"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Обезбеђивање неопходне инфраструктуре и ресурса за развој ВИ у ДЦ у Крагујевцу</w:t>
            </w:r>
          </w:p>
        </w:tc>
        <w:tc>
          <w:tcPr>
            <w:tcW w:w="1701" w:type="dxa"/>
            <w:shd w:val="clear" w:color="auto" w:fill="auto"/>
            <w:hideMark/>
          </w:tcPr>
          <w:p w14:paraId="45327E3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3D21F9A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5B73291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BFB9A9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0371EF71" w14:textId="77777777" w:rsidTr="004F56D8">
        <w:trPr>
          <w:trHeight w:val="792"/>
        </w:trPr>
        <w:tc>
          <w:tcPr>
            <w:tcW w:w="560" w:type="dxa"/>
            <w:shd w:val="clear" w:color="auto" w:fill="auto"/>
            <w:noWrap/>
            <w:hideMark/>
          </w:tcPr>
          <w:p w14:paraId="289BAEE7"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77918A03"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 xml:space="preserve">Спровођење Јавног позива за 7 градова/ЈЛС за учешће у пројекту Smart City, у партнерству са привредом и академском заједницом </w:t>
            </w:r>
          </w:p>
        </w:tc>
        <w:tc>
          <w:tcPr>
            <w:tcW w:w="1701" w:type="dxa"/>
            <w:shd w:val="clear" w:color="auto" w:fill="auto"/>
            <w:hideMark/>
          </w:tcPr>
          <w:p w14:paraId="25689AD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hideMark/>
          </w:tcPr>
          <w:p w14:paraId="3908E66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257C9F8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међувремену је дошло до измене плана, тако да ће се јавни позив спровести за 3 града/ЈЛС у периоду 2023 – 2025. године.</w:t>
            </w:r>
          </w:p>
        </w:tc>
        <w:tc>
          <w:tcPr>
            <w:tcW w:w="2693" w:type="dxa"/>
            <w:shd w:val="clear" w:color="auto" w:fill="auto"/>
            <w:hideMark/>
          </w:tcPr>
          <w:p w14:paraId="390156F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5409F2E0" w14:textId="77777777" w:rsidTr="004F56D8">
        <w:trPr>
          <w:trHeight w:val="3818"/>
        </w:trPr>
        <w:tc>
          <w:tcPr>
            <w:tcW w:w="560" w:type="dxa"/>
            <w:shd w:val="clear" w:color="auto" w:fill="auto"/>
            <w:noWrap/>
            <w:hideMark/>
          </w:tcPr>
          <w:p w14:paraId="44FB6DE2"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7CB35AE7"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Израда техничке документације и припреме за почетак изградње центра ,,Ложионица”</w:t>
            </w:r>
          </w:p>
        </w:tc>
        <w:tc>
          <w:tcPr>
            <w:tcW w:w="1701" w:type="dxa"/>
            <w:shd w:val="clear" w:color="auto" w:fill="auto"/>
            <w:hideMark/>
          </w:tcPr>
          <w:p w14:paraId="07B34E0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04C50AA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Активност се спроводи у складу са планираним роковима. Локацијски услови су прибављени. ПГД је финално израђен и прихваћен. Тендер на основу ПГД за извођење радова је успешно спроведен и тренутно се усклађује тендерска документација са понудом. Захтев за грађевинску дозволу је у завршној фази исходовања. У току је израда плана пословања Ложионице, који ће дати детаљан преглед портофлија услуга, план развоја људских ресурса и маркетиншки план, као и финансијски план са јасно дефинисаним расходима и приходима пројектованим на 10 година. Ангажовани су консултанти који се посебно баве развојем Инкубатора за креативне индустрије који ће бити кључна развојна компонента Ложионице. У току је осмишљавање програма за рад са децом из основних и средњих школа на развоју креативних, предузетничких и дигиталних вештина у сарадњи са предузећима која су светски лидери у овој области.</w:t>
            </w:r>
          </w:p>
        </w:tc>
        <w:tc>
          <w:tcPr>
            <w:tcW w:w="2410" w:type="dxa"/>
            <w:shd w:val="clear" w:color="auto" w:fill="auto"/>
            <w:hideMark/>
          </w:tcPr>
          <w:p w14:paraId="1635A32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22C0A86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44DB38F4" w14:textId="77777777" w:rsidTr="004F56D8">
        <w:trPr>
          <w:trHeight w:val="360"/>
        </w:trPr>
        <w:tc>
          <w:tcPr>
            <w:tcW w:w="560" w:type="dxa"/>
            <w:shd w:val="clear" w:color="auto" w:fill="auto"/>
            <w:hideMark/>
          </w:tcPr>
          <w:p w14:paraId="1CB76BB2"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43AB49DB"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1D3D2742"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67%</w:t>
            </w:r>
          </w:p>
        </w:tc>
        <w:tc>
          <w:tcPr>
            <w:tcW w:w="3118" w:type="dxa"/>
            <w:shd w:val="clear" w:color="auto" w:fill="auto"/>
            <w:noWrap/>
            <w:hideMark/>
          </w:tcPr>
          <w:p w14:paraId="4E17DA81"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0426644E"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4FE2A4DB"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656C3727" w14:textId="77777777" w:rsidTr="004F56D8">
        <w:trPr>
          <w:trHeight w:val="360"/>
        </w:trPr>
        <w:tc>
          <w:tcPr>
            <w:tcW w:w="560" w:type="dxa"/>
            <w:shd w:val="clear" w:color="auto" w:fill="D9D9D9" w:themeFill="background1" w:themeFillShade="D9"/>
            <w:noWrap/>
            <w:hideMark/>
          </w:tcPr>
          <w:p w14:paraId="2924C8D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033A0F5E"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14. РАЗВОЈ СТАРТАП ЕКОСИСТЕМА</w:t>
            </w:r>
          </w:p>
        </w:tc>
      </w:tr>
      <w:tr w:rsidR="003E4638" w:rsidRPr="00092ED7" w14:paraId="5BF6DD50" w14:textId="77777777" w:rsidTr="004F56D8">
        <w:trPr>
          <w:trHeight w:val="528"/>
        </w:trPr>
        <w:tc>
          <w:tcPr>
            <w:tcW w:w="560" w:type="dxa"/>
            <w:shd w:val="clear" w:color="auto" w:fill="auto"/>
            <w:noWrap/>
            <w:hideMark/>
          </w:tcPr>
          <w:p w14:paraId="038CC13E"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49DE2B7C"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Креирање позивa Фонда за иновациону делатност за суфинансирање фондова предузетничког капитала и инвестиција пословних анђела</w:t>
            </w:r>
          </w:p>
        </w:tc>
        <w:tc>
          <w:tcPr>
            <w:tcW w:w="1701" w:type="dxa"/>
            <w:shd w:val="clear" w:color="auto" w:fill="auto"/>
            <w:hideMark/>
          </w:tcPr>
          <w:p w14:paraId="6B37043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38A9BFD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6330AF4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5DC14EB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15A510C9" w14:textId="77777777" w:rsidTr="004F56D8">
        <w:trPr>
          <w:trHeight w:val="528"/>
        </w:trPr>
        <w:tc>
          <w:tcPr>
            <w:tcW w:w="560" w:type="dxa"/>
            <w:shd w:val="clear" w:color="auto" w:fill="auto"/>
            <w:noWrap/>
            <w:hideMark/>
          </w:tcPr>
          <w:p w14:paraId="28951D6E"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7B96D6DB"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Оснивање Регистра стартапа</w:t>
            </w:r>
          </w:p>
        </w:tc>
        <w:tc>
          <w:tcPr>
            <w:tcW w:w="1701" w:type="dxa"/>
            <w:shd w:val="clear" w:color="auto" w:fill="auto"/>
            <w:hideMark/>
          </w:tcPr>
          <w:p w14:paraId="64BD7DD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5491FC6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Расписана јавна набавка за израду софтверског решења. Припремљен Правилник на основу кога ће бити креиран Регистар. </w:t>
            </w:r>
          </w:p>
        </w:tc>
        <w:tc>
          <w:tcPr>
            <w:tcW w:w="2410" w:type="dxa"/>
            <w:shd w:val="clear" w:color="auto" w:fill="auto"/>
            <w:hideMark/>
          </w:tcPr>
          <w:p w14:paraId="7F8D881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3AB81F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026FA5CA" w14:textId="77777777" w:rsidTr="004F56D8">
        <w:trPr>
          <w:trHeight w:val="840"/>
        </w:trPr>
        <w:tc>
          <w:tcPr>
            <w:tcW w:w="560" w:type="dxa"/>
            <w:shd w:val="clear" w:color="auto" w:fill="auto"/>
            <w:noWrap/>
            <w:hideMark/>
          </w:tcPr>
          <w:p w14:paraId="7881A9D6"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215D6723"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Успостављање GovTech-а</w:t>
            </w:r>
          </w:p>
        </w:tc>
        <w:tc>
          <w:tcPr>
            <w:tcW w:w="1701" w:type="dxa"/>
            <w:shd w:val="clear" w:color="auto" w:fill="auto"/>
            <w:hideMark/>
          </w:tcPr>
          <w:p w14:paraId="174A6EE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1D8C53F4" w14:textId="185FCB79"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Урађена је компаративна анализа како би се нашло право решење за екосистем у </w:t>
            </w:r>
            <w:r w:rsidR="003B5902" w:rsidRPr="00092ED7">
              <w:rPr>
                <w:rFonts w:eastAsia="Times New Roman" w:cs="Times New Roman"/>
                <w:color w:val="000000"/>
                <w:sz w:val="18"/>
                <w:szCs w:val="18"/>
                <w:lang w:val="sr-Cyrl-CS" w:eastAsia="sr-Latn-RS"/>
              </w:rPr>
              <w:t xml:space="preserve">Републици </w:t>
            </w:r>
            <w:r w:rsidRPr="00092ED7">
              <w:rPr>
                <w:rFonts w:eastAsia="Times New Roman" w:cs="Times New Roman"/>
                <w:color w:val="000000"/>
                <w:sz w:val="18"/>
                <w:szCs w:val="18"/>
                <w:lang w:val="sr-Cyrl-CS" w:eastAsia="sr-Latn-RS"/>
              </w:rPr>
              <w:t xml:space="preserve">Србији и направљена је подлога на основу које ће се ући у имплементацију GovTech програма. </w:t>
            </w:r>
          </w:p>
        </w:tc>
        <w:tc>
          <w:tcPr>
            <w:tcW w:w="2410" w:type="dxa"/>
            <w:shd w:val="clear" w:color="auto" w:fill="auto"/>
            <w:hideMark/>
          </w:tcPr>
          <w:p w14:paraId="2B7D838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92C456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1D881B98" w14:textId="77777777" w:rsidTr="004F56D8">
        <w:trPr>
          <w:trHeight w:val="528"/>
        </w:trPr>
        <w:tc>
          <w:tcPr>
            <w:tcW w:w="560" w:type="dxa"/>
            <w:shd w:val="clear" w:color="auto" w:fill="auto"/>
            <w:noWrap/>
            <w:hideMark/>
          </w:tcPr>
          <w:p w14:paraId="1037E54B"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4B64167C"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Припрема и реализација обука за рад са стартапима за државне службенике</w:t>
            </w:r>
          </w:p>
        </w:tc>
        <w:tc>
          <w:tcPr>
            <w:tcW w:w="1701" w:type="dxa"/>
            <w:shd w:val="clear" w:color="auto" w:fill="auto"/>
            <w:hideMark/>
          </w:tcPr>
          <w:p w14:paraId="59BF724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209008D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Направљени су планови и програм обука за државне службенике које треба да буду спроведене током наредне године. </w:t>
            </w:r>
          </w:p>
        </w:tc>
        <w:tc>
          <w:tcPr>
            <w:tcW w:w="2410" w:type="dxa"/>
            <w:shd w:val="clear" w:color="auto" w:fill="auto"/>
            <w:hideMark/>
          </w:tcPr>
          <w:p w14:paraId="50AF6A3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48B42A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77A7D827" w14:textId="77777777" w:rsidTr="004F56D8">
        <w:trPr>
          <w:trHeight w:val="918"/>
        </w:trPr>
        <w:tc>
          <w:tcPr>
            <w:tcW w:w="560" w:type="dxa"/>
            <w:shd w:val="clear" w:color="auto" w:fill="auto"/>
            <w:noWrap/>
            <w:hideMark/>
          </w:tcPr>
          <w:p w14:paraId="09974880"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0BC50569"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Оснаживање стартапова за привлачење инвестиција кроз укључивање у програм акцелерације Фонда за иновациону делатност (SAIGE)</w:t>
            </w:r>
          </w:p>
        </w:tc>
        <w:tc>
          <w:tcPr>
            <w:tcW w:w="1701" w:type="dxa"/>
            <w:shd w:val="clear" w:color="auto" w:fill="auto"/>
            <w:hideMark/>
          </w:tcPr>
          <w:p w14:paraId="206D356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hideMark/>
          </w:tcPr>
          <w:p w14:paraId="18A5B8D6" w14:textId="132F8ED0" w:rsidR="003E4638" w:rsidRPr="00092ED7" w:rsidRDefault="003E4638" w:rsidP="00B472A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На објављен позив од октобра 2021. поднето је 148 пријава, док је у програм Акцелерације изабрано 19 најбољих компанија. </w:t>
            </w:r>
          </w:p>
        </w:tc>
        <w:tc>
          <w:tcPr>
            <w:tcW w:w="2410" w:type="dxa"/>
            <w:shd w:val="clear" w:color="auto" w:fill="auto"/>
            <w:hideMark/>
          </w:tcPr>
          <w:p w14:paraId="28B0A11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1B21B84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5C65990E" w14:textId="77777777" w:rsidTr="004F56D8">
        <w:trPr>
          <w:trHeight w:val="360"/>
        </w:trPr>
        <w:tc>
          <w:tcPr>
            <w:tcW w:w="560" w:type="dxa"/>
            <w:shd w:val="clear" w:color="auto" w:fill="auto"/>
            <w:hideMark/>
          </w:tcPr>
          <w:p w14:paraId="7D1C583C"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4371F09B"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05283910"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64%</w:t>
            </w:r>
          </w:p>
        </w:tc>
        <w:tc>
          <w:tcPr>
            <w:tcW w:w="3118" w:type="dxa"/>
            <w:shd w:val="clear" w:color="auto" w:fill="auto"/>
            <w:noWrap/>
            <w:hideMark/>
          </w:tcPr>
          <w:p w14:paraId="7321CA9D"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7266E4E4"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7067E268"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6F69175D" w14:textId="77777777" w:rsidTr="004F56D8">
        <w:trPr>
          <w:trHeight w:val="375"/>
        </w:trPr>
        <w:tc>
          <w:tcPr>
            <w:tcW w:w="560" w:type="dxa"/>
            <w:shd w:val="clear" w:color="auto" w:fill="D9D9D9" w:themeFill="background1" w:themeFillShade="D9"/>
            <w:noWrap/>
            <w:hideMark/>
          </w:tcPr>
          <w:p w14:paraId="40AD8FD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5D75130F"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15. СТВАРАЊЕ УСЛОВА ЗА РАЗВОЈ БИОНАУКА И БИОЕКОНОМИЈЕ КРОЗ ИЗГРАДЊУ БИО4 КАМПУСА</w:t>
            </w:r>
          </w:p>
        </w:tc>
      </w:tr>
      <w:tr w:rsidR="003E4638" w:rsidRPr="00092ED7" w14:paraId="434C9B9B" w14:textId="77777777" w:rsidTr="004F56D8">
        <w:trPr>
          <w:trHeight w:val="528"/>
        </w:trPr>
        <w:tc>
          <w:tcPr>
            <w:tcW w:w="560" w:type="dxa"/>
            <w:shd w:val="clear" w:color="auto" w:fill="auto"/>
            <w:noWrap/>
            <w:hideMark/>
          </w:tcPr>
          <w:p w14:paraId="2DB240B9"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2A69CF73"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Реализација архитектонско-урбанистичког конкурса и добијање идејног решења и локацијских услова за цео кампус</w:t>
            </w:r>
          </w:p>
        </w:tc>
        <w:tc>
          <w:tcPr>
            <w:tcW w:w="1701" w:type="dxa"/>
            <w:shd w:val="clear" w:color="auto" w:fill="auto"/>
            <w:hideMark/>
          </w:tcPr>
          <w:p w14:paraId="38484B3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487B428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Добијено је идејно решење, a до краја 2022. године je обезбеђена информација о локацијским условима. </w:t>
            </w:r>
          </w:p>
        </w:tc>
        <w:tc>
          <w:tcPr>
            <w:tcW w:w="2410" w:type="dxa"/>
            <w:shd w:val="clear" w:color="auto" w:fill="auto"/>
            <w:hideMark/>
          </w:tcPr>
          <w:p w14:paraId="3BB4B11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1DFB0DC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1EEE0A4B" w14:textId="77777777" w:rsidTr="004F56D8">
        <w:trPr>
          <w:trHeight w:val="528"/>
        </w:trPr>
        <w:tc>
          <w:tcPr>
            <w:tcW w:w="560" w:type="dxa"/>
            <w:shd w:val="clear" w:color="auto" w:fill="auto"/>
            <w:noWrap/>
            <w:hideMark/>
          </w:tcPr>
          <w:p w14:paraId="6CFA5D00"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5BCEC514"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Припрема пројектне документације за изградњу и Реализација Фазе 1 изградње</w:t>
            </w:r>
          </w:p>
        </w:tc>
        <w:tc>
          <w:tcPr>
            <w:tcW w:w="1701" w:type="dxa"/>
            <w:shd w:val="clear" w:color="auto" w:fill="auto"/>
            <w:hideMark/>
          </w:tcPr>
          <w:p w14:paraId="266B88A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06672AB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 току је добијање локацијских услова, а почела је припрема документације за грађевинску дозволу (крај 2022. године). </w:t>
            </w:r>
          </w:p>
        </w:tc>
        <w:tc>
          <w:tcPr>
            <w:tcW w:w="2410" w:type="dxa"/>
            <w:shd w:val="clear" w:color="auto" w:fill="auto"/>
            <w:hideMark/>
          </w:tcPr>
          <w:p w14:paraId="3EDE8E7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B0C38D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5786240E" w14:textId="77777777" w:rsidTr="004F56D8">
        <w:trPr>
          <w:trHeight w:val="792"/>
        </w:trPr>
        <w:tc>
          <w:tcPr>
            <w:tcW w:w="560" w:type="dxa"/>
            <w:shd w:val="clear" w:color="auto" w:fill="auto"/>
            <w:noWrap/>
            <w:hideMark/>
          </w:tcPr>
          <w:p w14:paraId="2D0DA5E8"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7FA273C5"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Повезивање корисника БИО4 Кампуса са међународним научним и корпоративним партнерима</w:t>
            </w:r>
          </w:p>
        </w:tc>
        <w:tc>
          <w:tcPr>
            <w:tcW w:w="1701" w:type="dxa"/>
            <w:shd w:val="clear" w:color="auto" w:fill="auto"/>
            <w:hideMark/>
          </w:tcPr>
          <w:p w14:paraId="1640392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38DCD53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Ово је континуирани процес. Док се не изгради физичка инфраструктура, БИО4 Кампус се користи као платформа за повезивање са различитим партнерима, у држави и глобално.</w:t>
            </w:r>
          </w:p>
        </w:tc>
        <w:tc>
          <w:tcPr>
            <w:tcW w:w="2410" w:type="dxa"/>
            <w:shd w:val="clear" w:color="auto" w:fill="auto"/>
            <w:hideMark/>
          </w:tcPr>
          <w:p w14:paraId="0AEBC51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11F3F83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7316DAB4" w14:textId="77777777" w:rsidTr="004F56D8">
        <w:trPr>
          <w:trHeight w:val="2519"/>
        </w:trPr>
        <w:tc>
          <w:tcPr>
            <w:tcW w:w="560" w:type="dxa"/>
            <w:shd w:val="clear" w:color="auto" w:fill="auto"/>
            <w:noWrap/>
            <w:hideMark/>
          </w:tcPr>
          <w:p w14:paraId="50221144"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45FD31EC"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Спровођење планова трансформације научно-истраживачких института (ИМГГИ)</w:t>
            </w:r>
          </w:p>
        </w:tc>
        <w:tc>
          <w:tcPr>
            <w:tcW w:w="1701" w:type="dxa"/>
            <w:shd w:val="clear" w:color="auto" w:fill="auto"/>
            <w:hideMark/>
          </w:tcPr>
          <w:p w14:paraId="1D710AD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14BAC23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Министарство надлежно за послове науке и технолошког развоја је са ИМГГИ потписао Меморандум о разумевању у децембру 2021., док је у априлу 2022. године потписан Споразум о финансирању трансформације ИМГГИ. У току је израда планова трансформације за друге институте, будуће станаре БИО4 Кампуса. План трансформације обухвата подизање капацитета, трансфер технологије и инфраструктурну подршку за сваки институт појединачно. Паралелно ће бити спроведене и обуке у различитим областима, укључујући управљање променама и комерцијализацију иновативних решења. </w:t>
            </w:r>
          </w:p>
        </w:tc>
        <w:tc>
          <w:tcPr>
            <w:tcW w:w="2410" w:type="dxa"/>
            <w:shd w:val="clear" w:color="auto" w:fill="auto"/>
            <w:hideMark/>
          </w:tcPr>
          <w:p w14:paraId="5BB96A1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3287B8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1042E750" w14:textId="77777777" w:rsidTr="004F56D8">
        <w:trPr>
          <w:trHeight w:val="360"/>
        </w:trPr>
        <w:tc>
          <w:tcPr>
            <w:tcW w:w="560" w:type="dxa"/>
            <w:shd w:val="clear" w:color="auto" w:fill="auto"/>
            <w:hideMark/>
          </w:tcPr>
          <w:p w14:paraId="4ED1194F"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46C4D785"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088CF1C5"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70%</w:t>
            </w:r>
          </w:p>
        </w:tc>
        <w:tc>
          <w:tcPr>
            <w:tcW w:w="3118" w:type="dxa"/>
            <w:shd w:val="clear" w:color="auto" w:fill="auto"/>
            <w:noWrap/>
            <w:hideMark/>
          </w:tcPr>
          <w:p w14:paraId="2223CDFD"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52A217F5"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2F7E02EC"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3088DFB2" w14:textId="77777777" w:rsidTr="004F56D8">
        <w:trPr>
          <w:trHeight w:val="375"/>
        </w:trPr>
        <w:tc>
          <w:tcPr>
            <w:tcW w:w="560" w:type="dxa"/>
            <w:shd w:val="clear" w:color="auto" w:fill="D9D9D9" w:themeFill="background1" w:themeFillShade="D9"/>
            <w:noWrap/>
            <w:hideMark/>
          </w:tcPr>
          <w:p w14:paraId="71B097C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1EBC1546"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16. УНАПРЕЂЕЊЕ УСЛОВА И УКЛАЊАЊЕ ПРЕПРЕКА ТРГОВИНИ</w:t>
            </w:r>
          </w:p>
        </w:tc>
      </w:tr>
      <w:tr w:rsidR="003E4638" w:rsidRPr="00092ED7" w14:paraId="0B7ABCA5" w14:textId="77777777" w:rsidTr="004F56D8">
        <w:trPr>
          <w:trHeight w:val="841"/>
        </w:trPr>
        <w:tc>
          <w:tcPr>
            <w:tcW w:w="560" w:type="dxa"/>
            <w:shd w:val="clear" w:color="auto" w:fill="auto"/>
            <w:noWrap/>
            <w:hideMark/>
          </w:tcPr>
          <w:p w14:paraId="0DFA6B29"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5AEDBFE9"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Преговори о приступању СТО - билатерални преговори, усвајање прописа усаглашених са СТО правилима и принципима</w:t>
            </w:r>
          </w:p>
        </w:tc>
        <w:tc>
          <w:tcPr>
            <w:tcW w:w="1701" w:type="dxa"/>
            <w:shd w:val="clear" w:color="auto" w:fill="auto"/>
            <w:hideMark/>
          </w:tcPr>
          <w:p w14:paraId="6DE83A7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hideMark/>
          </w:tcPr>
          <w:p w14:paraId="0116D10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Настављене консултације са надлежним ресорима и припрема одговарајућих докумената, потребних за наставак преговора са  појединим чланицама СТО са којима су билатерални преговори још увек отворени.</w:t>
            </w:r>
          </w:p>
        </w:tc>
        <w:tc>
          <w:tcPr>
            <w:tcW w:w="2410" w:type="dxa"/>
            <w:shd w:val="clear" w:color="auto" w:fill="auto"/>
            <w:hideMark/>
          </w:tcPr>
          <w:p w14:paraId="635CBFA5"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831043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44A13E80" w14:textId="77777777" w:rsidTr="004F56D8">
        <w:trPr>
          <w:trHeight w:val="852"/>
        </w:trPr>
        <w:tc>
          <w:tcPr>
            <w:tcW w:w="560" w:type="dxa"/>
            <w:shd w:val="clear" w:color="auto" w:fill="auto"/>
            <w:noWrap/>
            <w:hideMark/>
          </w:tcPr>
          <w:p w14:paraId="7EA3CEB1"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6D3D6AD0"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АП ЗРТ - CEFTA - Имплементација Додатног протокола 5 о олакшавању трговине</w:t>
            </w:r>
          </w:p>
        </w:tc>
        <w:tc>
          <w:tcPr>
            <w:tcW w:w="1701" w:type="dxa"/>
            <w:shd w:val="clear" w:color="auto" w:fill="auto"/>
            <w:hideMark/>
          </w:tcPr>
          <w:p w14:paraId="683799F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381B2C1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Имплементација CEFTA Додатног протокола 5 представља континуирану и трајну активност, која није временски ограничена, већ има за циљ додатно олакшавање трговине.</w:t>
            </w:r>
          </w:p>
        </w:tc>
        <w:tc>
          <w:tcPr>
            <w:tcW w:w="2410" w:type="dxa"/>
            <w:shd w:val="clear" w:color="auto" w:fill="auto"/>
            <w:hideMark/>
          </w:tcPr>
          <w:p w14:paraId="05775C8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4F2474C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6D5C3C71" w14:textId="77777777" w:rsidTr="004F56D8">
        <w:trPr>
          <w:trHeight w:val="1056"/>
        </w:trPr>
        <w:tc>
          <w:tcPr>
            <w:tcW w:w="560" w:type="dxa"/>
            <w:shd w:val="clear" w:color="auto" w:fill="auto"/>
            <w:noWrap/>
            <w:hideMark/>
          </w:tcPr>
          <w:p w14:paraId="78E79B86"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68465A84"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АП ЗРТ - CEFTA: Имплементација  Додатног протокола 6 о трговини услугама</w:t>
            </w:r>
          </w:p>
        </w:tc>
        <w:tc>
          <w:tcPr>
            <w:tcW w:w="1701" w:type="dxa"/>
            <w:shd w:val="clear" w:color="auto" w:fill="auto"/>
            <w:hideMark/>
          </w:tcPr>
          <w:p w14:paraId="6E0B571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4418DEB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Имплементација CEFTA Додатног протокола 6 којим се олакшава трговина услугама, представља континуирану и трајну активност, која има за циљ продубљену сарадњу и либералнију трговину услугама у периоду који није временски ограничен.</w:t>
            </w:r>
          </w:p>
        </w:tc>
        <w:tc>
          <w:tcPr>
            <w:tcW w:w="2410" w:type="dxa"/>
            <w:shd w:val="clear" w:color="auto" w:fill="auto"/>
            <w:hideMark/>
          </w:tcPr>
          <w:p w14:paraId="0925699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B50FF3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2F86F508" w14:textId="77777777" w:rsidTr="004F56D8">
        <w:trPr>
          <w:trHeight w:val="528"/>
        </w:trPr>
        <w:tc>
          <w:tcPr>
            <w:tcW w:w="560" w:type="dxa"/>
            <w:shd w:val="clear" w:color="auto" w:fill="auto"/>
            <w:noWrap/>
            <w:hideMark/>
          </w:tcPr>
          <w:p w14:paraId="0687BC4E"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204FBC8D"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АП ЗРТ - CEFTA: Имплементација  Додатног протокола 7 о решавању спорова</w:t>
            </w:r>
          </w:p>
        </w:tc>
        <w:tc>
          <w:tcPr>
            <w:tcW w:w="1701" w:type="dxa"/>
            <w:shd w:val="clear" w:color="auto" w:fill="auto"/>
            <w:hideMark/>
          </w:tcPr>
          <w:p w14:paraId="2E013A4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0024789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току је 8. рунда преговора који напредују интензивном динамиком, а усвајање се очекује почетком 2023. године.</w:t>
            </w:r>
          </w:p>
        </w:tc>
        <w:tc>
          <w:tcPr>
            <w:tcW w:w="2410" w:type="dxa"/>
            <w:shd w:val="clear" w:color="auto" w:fill="auto"/>
            <w:hideMark/>
          </w:tcPr>
          <w:p w14:paraId="12336D2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59EE8C3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50A89758" w14:textId="77777777" w:rsidTr="004F56D8">
        <w:trPr>
          <w:trHeight w:val="540"/>
        </w:trPr>
        <w:tc>
          <w:tcPr>
            <w:tcW w:w="560" w:type="dxa"/>
            <w:shd w:val="clear" w:color="auto" w:fill="auto"/>
            <w:noWrap/>
            <w:hideMark/>
          </w:tcPr>
          <w:p w14:paraId="6772FD09"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416226E6"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 xml:space="preserve">Усвајање и спровођење новог Акционог плана НКТОТ за 2022-2023 и имплементација предвиђених активности </w:t>
            </w:r>
          </w:p>
        </w:tc>
        <w:tc>
          <w:tcPr>
            <w:tcW w:w="1701" w:type="dxa"/>
            <w:shd w:val="clear" w:color="auto" w:fill="auto"/>
            <w:hideMark/>
          </w:tcPr>
          <w:p w14:paraId="6D7B1D3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271CDB1E"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Акциони план за период 2022-2023 усвојен у планираном року и континуирано се ради на спровођењу предвиђених активности.</w:t>
            </w:r>
          </w:p>
        </w:tc>
        <w:tc>
          <w:tcPr>
            <w:tcW w:w="2410" w:type="dxa"/>
            <w:shd w:val="clear" w:color="auto" w:fill="auto"/>
            <w:hideMark/>
          </w:tcPr>
          <w:p w14:paraId="190EC56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6B88A9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7B41B997" w14:textId="77777777" w:rsidTr="004F56D8">
        <w:trPr>
          <w:trHeight w:val="360"/>
        </w:trPr>
        <w:tc>
          <w:tcPr>
            <w:tcW w:w="560" w:type="dxa"/>
            <w:shd w:val="clear" w:color="auto" w:fill="auto"/>
            <w:hideMark/>
          </w:tcPr>
          <w:p w14:paraId="6EC2ED6C"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471B3C00"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7AD997E6"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76%</w:t>
            </w:r>
          </w:p>
        </w:tc>
        <w:tc>
          <w:tcPr>
            <w:tcW w:w="3118" w:type="dxa"/>
            <w:shd w:val="clear" w:color="auto" w:fill="auto"/>
            <w:noWrap/>
            <w:hideMark/>
          </w:tcPr>
          <w:p w14:paraId="08A552D6"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49678E05"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24C02B16"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69147D58" w14:textId="77777777" w:rsidTr="004F56D8">
        <w:trPr>
          <w:trHeight w:val="375"/>
        </w:trPr>
        <w:tc>
          <w:tcPr>
            <w:tcW w:w="560" w:type="dxa"/>
            <w:shd w:val="clear" w:color="auto" w:fill="D9D9D9" w:themeFill="background1" w:themeFillShade="D9"/>
            <w:noWrap/>
            <w:hideMark/>
          </w:tcPr>
          <w:p w14:paraId="2379C47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11724D84"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 xml:space="preserve">СР 17. УНАПРЕЂЕЊЕ ЕФИКАСНОСТИ И БЕЗБЕДНОСТИ У ЖЕЛЕЗНИЧКОМ САОБРАЋАЈУ </w:t>
            </w:r>
          </w:p>
        </w:tc>
      </w:tr>
      <w:tr w:rsidR="003E4638" w:rsidRPr="00092ED7" w14:paraId="01D50E48" w14:textId="77777777" w:rsidTr="004F56D8">
        <w:trPr>
          <w:trHeight w:val="375"/>
        </w:trPr>
        <w:tc>
          <w:tcPr>
            <w:tcW w:w="560" w:type="dxa"/>
            <w:shd w:val="clear" w:color="auto" w:fill="auto"/>
            <w:noWrap/>
          </w:tcPr>
          <w:p w14:paraId="5219823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noWrap/>
          </w:tcPr>
          <w:p w14:paraId="37A6663B"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sz w:val="18"/>
                <w:szCs w:val="18"/>
                <w:lang w:val="sr-Cyrl-CS" w:eastAsia="sr-Latn-RS"/>
              </w:rPr>
              <w:t>Примена нове Методологије за обрачун цене приступа железничкој инфраструктури</w:t>
            </w:r>
          </w:p>
        </w:tc>
        <w:tc>
          <w:tcPr>
            <w:tcW w:w="1701" w:type="dxa"/>
            <w:shd w:val="clear" w:color="auto" w:fill="auto"/>
          </w:tcPr>
          <w:p w14:paraId="05ACB9E2"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tcPr>
          <w:p w14:paraId="4E63BB6A" w14:textId="19B597F2" w:rsidR="003E4638" w:rsidRPr="00092ED7" w:rsidRDefault="003E4638" w:rsidP="00617616">
            <w:pPr>
              <w:spacing w:after="0"/>
              <w:jc w:val="left"/>
              <w:rPr>
                <w:rFonts w:eastAsia="Times New Roman" w:cs="Times New Roman"/>
                <w:b/>
                <w:bCs/>
                <w:sz w:val="18"/>
                <w:szCs w:val="18"/>
                <w:lang w:val="sr-Cyrl-CS" w:eastAsia="sr-Latn-RS"/>
              </w:rPr>
            </w:pPr>
            <w:r w:rsidRPr="00092ED7">
              <w:rPr>
                <w:rFonts w:eastAsia="Times New Roman" w:cs="Times New Roman"/>
                <w:color w:val="000000"/>
                <w:sz w:val="18"/>
                <w:szCs w:val="18"/>
                <w:lang w:val="sr-Cyrl-CS" w:eastAsia="sr-Latn-RS"/>
              </w:rPr>
              <w:t xml:space="preserve">У претходном периоду је одржан почетни састанак чланова Радне </w:t>
            </w:r>
            <w:r w:rsidR="00617616" w:rsidRPr="00092ED7">
              <w:rPr>
                <w:rFonts w:eastAsia="Times New Roman" w:cs="Times New Roman"/>
                <w:color w:val="000000"/>
                <w:sz w:val="18"/>
                <w:szCs w:val="18"/>
                <w:lang w:val="sr-Cyrl-CS" w:eastAsia="sr-Latn-RS"/>
              </w:rPr>
              <w:t xml:space="preserve">групе </w:t>
            </w:r>
            <w:r w:rsidRPr="00092ED7">
              <w:rPr>
                <w:rFonts w:eastAsia="Times New Roman" w:cs="Times New Roman"/>
                <w:color w:val="000000"/>
                <w:sz w:val="18"/>
                <w:szCs w:val="18"/>
                <w:lang w:val="sr-Cyrl-CS" w:eastAsia="sr-Latn-RS"/>
              </w:rPr>
              <w:t xml:space="preserve">на којем су дефинисани задаци и  план активности укључених страна. Стога је од стране Министарства грађевинарства, саобраћаја и инфраструктуре започет процес припреме Нацрта Уредбе о методологији за одређивање цена приступа железничкој инфраструктури и цена основних, додатних и пратећих услуга у складу са предлогом који су израдили консултанти КПМГ-а у оквиру Пројекта Техничка помоћ Министарству грађевинарства, саобраћаја и инфраструктуре и железничким предузећима у државном власништву у </w:t>
            </w:r>
            <w:r w:rsidR="003B5902" w:rsidRPr="00092ED7">
              <w:rPr>
                <w:rFonts w:eastAsia="Times New Roman" w:cs="Times New Roman"/>
                <w:color w:val="000000"/>
                <w:sz w:val="18"/>
                <w:szCs w:val="18"/>
                <w:lang w:val="sr-Cyrl-CS" w:eastAsia="sr-Latn-RS"/>
              </w:rPr>
              <w:t xml:space="preserve">Републици </w:t>
            </w:r>
            <w:r w:rsidRPr="00092ED7">
              <w:rPr>
                <w:rFonts w:eastAsia="Times New Roman" w:cs="Times New Roman"/>
                <w:color w:val="000000"/>
                <w:sz w:val="18"/>
                <w:szCs w:val="18"/>
                <w:lang w:val="sr-Cyrl-CS" w:eastAsia="sr-Latn-RS"/>
              </w:rPr>
              <w:t>Србији – Свеобухватна реформа железнице</w:t>
            </w:r>
            <w:r w:rsidR="00FF4D96" w:rsidRPr="00092ED7">
              <w:rPr>
                <w:rFonts w:eastAsia="Times New Roman" w:cs="Times New Roman"/>
                <w:color w:val="000000"/>
                <w:sz w:val="18"/>
                <w:szCs w:val="18"/>
                <w:lang w:val="sr-Cyrl-CS" w:eastAsia="sr-Latn-RS"/>
              </w:rPr>
              <w:t xml:space="preserve"> (извор финансирања ИПА Програм за 2014. годину)</w:t>
            </w:r>
            <w:r w:rsidRPr="00092ED7">
              <w:rPr>
                <w:rFonts w:eastAsia="Times New Roman" w:cs="Times New Roman"/>
                <w:color w:val="000000"/>
                <w:sz w:val="18"/>
                <w:szCs w:val="18"/>
                <w:lang w:val="sr-Cyrl-CS" w:eastAsia="sr-Latn-RS"/>
              </w:rPr>
              <w:t xml:space="preserve">. План је да почетком 2023. године </w:t>
            </w:r>
            <w:r w:rsidR="007D2348"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Инфраструктура железнице Србије</w:t>
            </w:r>
            <w:r w:rsidR="007D2348" w:rsidRPr="00092ED7">
              <w:rPr>
                <w:rFonts w:cs="Times New Roman"/>
                <w:sz w:val="18"/>
                <w:szCs w:val="18"/>
                <w:lang w:val="sr-Cyrl-CS"/>
              </w:rPr>
              <w:t>”</w:t>
            </w:r>
            <w:r w:rsidRPr="00092ED7">
              <w:rPr>
                <w:rFonts w:eastAsia="Times New Roman" w:cs="Times New Roman"/>
                <w:color w:val="000000"/>
                <w:sz w:val="18"/>
                <w:szCs w:val="18"/>
                <w:lang w:val="sr-Cyrl-CS" w:eastAsia="sr-Latn-RS"/>
              </w:rPr>
              <w:t xml:space="preserve"> заврши претходно започет процес симулације нове методологије како би се омогућила даља  анализа утицаја на пословање железничких предузећа, односно проценило како ће нове цене приступа утицати на приходе управљача инфраструктуре и трошкове железничких превозника на кокурентост и тржиште и у складу са тим приступити даљој корекцији и увођењу одређених коефицијента у новој методологији, односно формулама за обрачун  цена приступа. Након доношења коначне одлуке РГ о томе и након усвајања претходно поменуте уредбе о методологији, иста ће се примењивати у пракси. </w:t>
            </w:r>
          </w:p>
        </w:tc>
        <w:tc>
          <w:tcPr>
            <w:tcW w:w="2410" w:type="dxa"/>
            <w:shd w:val="clear" w:color="auto" w:fill="auto"/>
            <w:vAlign w:val="center"/>
          </w:tcPr>
          <w:p w14:paraId="6319A0B5" w14:textId="77777777" w:rsidR="003E4638" w:rsidRPr="00092ED7" w:rsidRDefault="003E4638" w:rsidP="003E4638">
            <w:pPr>
              <w:spacing w:after="0"/>
              <w:jc w:val="left"/>
              <w:rPr>
                <w:rFonts w:eastAsia="Times New Roman" w:cs="Times New Roman"/>
                <w:b/>
                <w:bCs/>
                <w:sz w:val="18"/>
                <w:szCs w:val="18"/>
                <w:lang w:val="sr-Cyrl-CS" w:eastAsia="sr-Latn-RS"/>
              </w:rPr>
            </w:pPr>
          </w:p>
        </w:tc>
        <w:tc>
          <w:tcPr>
            <w:tcW w:w="2693" w:type="dxa"/>
            <w:shd w:val="clear" w:color="auto" w:fill="auto"/>
            <w:vAlign w:val="center"/>
          </w:tcPr>
          <w:p w14:paraId="6937195E" w14:textId="77777777" w:rsidR="003E4638" w:rsidRPr="00092ED7" w:rsidRDefault="003E4638" w:rsidP="003E4638">
            <w:pPr>
              <w:spacing w:after="0"/>
              <w:jc w:val="left"/>
              <w:rPr>
                <w:rFonts w:eastAsia="Times New Roman" w:cs="Times New Roman"/>
                <w:b/>
                <w:bCs/>
                <w:sz w:val="18"/>
                <w:szCs w:val="18"/>
                <w:lang w:val="sr-Cyrl-CS" w:eastAsia="sr-Latn-RS"/>
              </w:rPr>
            </w:pPr>
          </w:p>
        </w:tc>
      </w:tr>
      <w:tr w:rsidR="003E4638" w:rsidRPr="00092ED7" w14:paraId="0EEDB1E9" w14:textId="77777777" w:rsidTr="004F56D8">
        <w:trPr>
          <w:trHeight w:val="3959"/>
        </w:trPr>
        <w:tc>
          <w:tcPr>
            <w:tcW w:w="560" w:type="dxa"/>
            <w:shd w:val="clear" w:color="auto" w:fill="auto"/>
            <w:noWrap/>
            <w:hideMark/>
          </w:tcPr>
          <w:p w14:paraId="65919F8B"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1EA28AF7"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Повећање безбедности у железничком саобраћају</w:t>
            </w:r>
          </w:p>
        </w:tc>
        <w:tc>
          <w:tcPr>
            <w:tcW w:w="1701" w:type="dxa"/>
            <w:shd w:val="clear" w:color="auto" w:fill="auto"/>
            <w:hideMark/>
          </w:tcPr>
          <w:p w14:paraId="5CB9ECB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hideMark/>
          </w:tcPr>
          <w:p w14:paraId="63B9F64D" w14:textId="14FD3E2F"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Реформа је уско везана за реализацију инфраструктурних пројеката у области железнице. Спроведени пројекти дају резултате али се наставак очекује заједно са даљим развојем инфраструктуре.                                                                                                                                                                                                                                                                                                                                      За повећање безбедности у железничком саобраћају обезбеђена су средства у оквиру Пројекта олакшања трговине и транспорта на Западном Балкану који се финансира из кредита Светске банке за модернизацију у износу 10,9 милиона евра. Такође, EBRD je одобрио пренамену преосталих средстава из постојећег кредита (око 10 мил. евра) за финансирање радова на унапређење осигурања на путним прелазима. Уговор за извођење радова је потписан у априлу 2022. године и у току је реализација уговорних обавеза. Поред тога, са Светском банком и Француском агенцијом за развој потписани су споразуми о зајму за Пројекат Модернизација железничког сектора у </w:t>
            </w:r>
            <w:r w:rsidR="003B5902" w:rsidRPr="00092ED7">
              <w:rPr>
                <w:rFonts w:eastAsia="Times New Roman" w:cs="Times New Roman"/>
                <w:color w:val="000000"/>
                <w:sz w:val="18"/>
                <w:szCs w:val="18"/>
                <w:lang w:val="sr-Cyrl-CS" w:eastAsia="sr-Latn-RS"/>
              </w:rPr>
              <w:t xml:space="preserve">Републици </w:t>
            </w:r>
            <w:r w:rsidRPr="00092ED7">
              <w:rPr>
                <w:rFonts w:eastAsia="Times New Roman" w:cs="Times New Roman"/>
                <w:color w:val="000000"/>
                <w:sz w:val="18"/>
                <w:szCs w:val="18"/>
                <w:lang w:val="sr-Cyrl-CS" w:eastAsia="sr-Latn-RS"/>
              </w:rPr>
              <w:t>Србији – прва фаза која обухвата компоненту унапређења осигурања путних прелаза у износу од 22 милиона евра.</w:t>
            </w:r>
          </w:p>
        </w:tc>
        <w:tc>
          <w:tcPr>
            <w:tcW w:w="2410" w:type="dxa"/>
            <w:shd w:val="clear" w:color="auto" w:fill="auto"/>
            <w:hideMark/>
          </w:tcPr>
          <w:p w14:paraId="702AC40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3B0565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09C46D81" w14:textId="77777777" w:rsidTr="004F56D8">
        <w:trPr>
          <w:trHeight w:val="2148"/>
        </w:trPr>
        <w:tc>
          <w:tcPr>
            <w:tcW w:w="560" w:type="dxa"/>
            <w:shd w:val="clear" w:color="auto" w:fill="auto"/>
            <w:noWrap/>
            <w:hideMark/>
          </w:tcPr>
          <w:p w14:paraId="4FCEEABF"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50107694"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Унапређење ефикасности путничког саобраћаја</w:t>
            </w:r>
          </w:p>
        </w:tc>
        <w:tc>
          <w:tcPr>
            <w:tcW w:w="1701" w:type="dxa"/>
            <w:shd w:val="clear" w:color="auto" w:fill="auto"/>
            <w:hideMark/>
          </w:tcPr>
          <w:p w14:paraId="22A1F9C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3AF77A3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Са модернизацијом и завршетком нових линија путничког превоза очекује се повећање ефикасности путничког саобраћаја у наредном периоду.  У марту 2022. године је у комерцијални саобраћај пуштена брза железничка пруга на релацији Београд Центар - Нови Сад. У периоду од марта до новембра 2022. године је на овој релацији превезено 1.913.534 путника. У наредном периоду се очекује наставак релизације осталих пројеката као и других активности које ће имати за циљ даље унапређење ефикасности железничког саобраћаја.  </w:t>
            </w:r>
          </w:p>
        </w:tc>
        <w:tc>
          <w:tcPr>
            <w:tcW w:w="2410" w:type="dxa"/>
            <w:shd w:val="clear" w:color="auto" w:fill="auto"/>
            <w:hideMark/>
          </w:tcPr>
          <w:p w14:paraId="4317872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8A9162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632991A3" w14:textId="77777777" w:rsidTr="004F56D8">
        <w:trPr>
          <w:trHeight w:val="360"/>
        </w:trPr>
        <w:tc>
          <w:tcPr>
            <w:tcW w:w="560" w:type="dxa"/>
            <w:shd w:val="clear" w:color="auto" w:fill="auto"/>
            <w:hideMark/>
          </w:tcPr>
          <w:p w14:paraId="4FA9A755"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3A854DEF"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270B8C70"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53%</w:t>
            </w:r>
          </w:p>
        </w:tc>
        <w:tc>
          <w:tcPr>
            <w:tcW w:w="3118" w:type="dxa"/>
            <w:shd w:val="clear" w:color="auto" w:fill="auto"/>
            <w:noWrap/>
            <w:hideMark/>
          </w:tcPr>
          <w:p w14:paraId="01176A86"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7A5E553E"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0FF91F11"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4B52E96A" w14:textId="77777777" w:rsidTr="004F56D8">
        <w:trPr>
          <w:trHeight w:val="375"/>
        </w:trPr>
        <w:tc>
          <w:tcPr>
            <w:tcW w:w="560" w:type="dxa"/>
            <w:shd w:val="clear" w:color="auto" w:fill="D9D9D9" w:themeFill="background1" w:themeFillShade="D9"/>
            <w:noWrap/>
            <w:hideMark/>
          </w:tcPr>
          <w:p w14:paraId="4CC4F87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3B7D2721"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18. УНАПРЕЂЕЊЕ КОНКУРЕНТНОСТИ ПОЉОПРИВРЕДЕ</w:t>
            </w:r>
          </w:p>
        </w:tc>
      </w:tr>
      <w:tr w:rsidR="003E4638" w:rsidRPr="00092ED7" w14:paraId="074056C5" w14:textId="77777777" w:rsidTr="004F56D8">
        <w:trPr>
          <w:trHeight w:val="288"/>
        </w:trPr>
        <w:tc>
          <w:tcPr>
            <w:tcW w:w="560" w:type="dxa"/>
            <w:shd w:val="clear" w:color="auto" w:fill="auto"/>
            <w:noWrap/>
            <w:hideMark/>
          </w:tcPr>
          <w:p w14:paraId="46D16BD6"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6B22D2E5"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Обука запослених који ће спроводити меру унапређење руралне инфраструктуре</w:t>
            </w:r>
          </w:p>
        </w:tc>
        <w:tc>
          <w:tcPr>
            <w:tcW w:w="1701" w:type="dxa"/>
            <w:shd w:val="clear" w:color="auto" w:fill="auto"/>
            <w:hideMark/>
          </w:tcPr>
          <w:p w14:paraId="3201997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026886C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7F083EE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A61713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40562E41" w14:textId="77777777" w:rsidTr="004F56D8">
        <w:trPr>
          <w:trHeight w:val="288"/>
        </w:trPr>
        <w:tc>
          <w:tcPr>
            <w:tcW w:w="560" w:type="dxa"/>
            <w:shd w:val="clear" w:color="auto" w:fill="auto"/>
            <w:noWrap/>
            <w:hideMark/>
          </w:tcPr>
          <w:p w14:paraId="4A4D81AF"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1A74E04E"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Спровођење јавног позива за меру унапређење руралне инфраструктуре</w:t>
            </w:r>
          </w:p>
        </w:tc>
        <w:tc>
          <w:tcPr>
            <w:tcW w:w="1701" w:type="dxa"/>
            <w:shd w:val="clear" w:color="auto" w:fill="auto"/>
            <w:hideMark/>
          </w:tcPr>
          <w:p w14:paraId="10CDDFF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4516A39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108F621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7B25AE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4290FFB5" w14:textId="77777777" w:rsidTr="004F56D8">
        <w:trPr>
          <w:trHeight w:val="1320"/>
        </w:trPr>
        <w:tc>
          <w:tcPr>
            <w:tcW w:w="560" w:type="dxa"/>
            <w:shd w:val="clear" w:color="auto" w:fill="auto"/>
            <w:noWrap/>
            <w:hideMark/>
          </w:tcPr>
          <w:p w14:paraId="45394164"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408E61A2" w14:textId="22868992"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 xml:space="preserve">Усвајање подзаконских аката на основу  Закона о уређењу тржишта пољопривредних производа и </w:t>
            </w:r>
            <w:r w:rsidR="009439C1" w:rsidRPr="00092ED7">
              <w:rPr>
                <w:rFonts w:eastAsia="Times New Roman" w:cs="Times New Roman"/>
                <w:sz w:val="18"/>
                <w:szCs w:val="18"/>
                <w:lang w:val="sr-Cyrl-CS" w:eastAsia="sr-Latn-RS"/>
              </w:rPr>
              <w:t>з</w:t>
            </w:r>
            <w:r w:rsidRPr="00092ED7">
              <w:rPr>
                <w:rFonts w:eastAsia="Times New Roman" w:cs="Times New Roman"/>
                <w:sz w:val="18"/>
                <w:szCs w:val="18"/>
                <w:lang w:val="sr-Cyrl-CS" w:eastAsia="sr-Latn-RS"/>
              </w:rPr>
              <w:t>акона о шемама квалитета за пољопривредне и прехрамбене производе</w:t>
            </w:r>
          </w:p>
        </w:tc>
        <w:tc>
          <w:tcPr>
            <w:tcW w:w="1701" w:type="dxa"/>
            <w:shd w:val="clear" w:color="auto" w:fill="auto"/>
            <w:hideMark/>
          </w:tcPr>
          <w:p w14:paraId="3144688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hideMark/>
          </w:tcPr>
          <w:p w14:paraId="286BEE3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4F9EC3FE" w14:textId="66D9DCF0" w:rsidR="003E4638" w:rsidRPr="00092ED7" w:rsidRDefault="003E4638" w:rsidP="00617616">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Подзаконска акта су у фази припреме. Пројекат је започео у мају 2022 године, због чега се каснило са финализацијом израде и усвајањем. </w:t>
            </w:r>
          </w:p>
        </w:tc>
        <w:tc>
          <w:tcPr>
            <w:tcW w:w="2693" w:type="dxa"/>
            <w:shd w:val="clear" w:color="auto" w:fill="auto"/>
            <w:hideMark/>
          </w:tcPr>
          <w:p w14:paraId="18D1C57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33531024" w14:textId="77777777" w:rsidTr="004F56D8">
        <w:trPr>
          <w:trHeight w:val="792"/>
        </w:trPr>
        <w:tc>
          <w:tcPr>
            <w:tcW w:w="560" w:type="dxa"/>
            <w:shd w:val="clear" w:color="auto" w:fill="auto"/>
            <w:noWrap/>
            <w:hideMark/>
          </w:tcPr>
          <w:p w14:paraId="4FAE934D"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7755D4ED"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 xml:space="preserve">Усвајање Закона и подзаконских аката o органској производњи </w:t>
            </w:r>
          </w:p>
        </w:tc>
        <w:tc>
          <w:tcPr>
            <w:tcW w:w="1701" w:type="dxa"/>
            <w:shd w:val="clear" w:color="auto" w:fill="auto"/>
            <w:hideMark/>
          </w:tcPr>
          <w:p w14:paraId="32D66DC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hideMark/>
          </w:tcPr>
          <w:p w14:paraId="673E318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57FDDCE8" w14:textId="7A3AA554" w:rsidR="003E4638" w:rsidRPr="00092ED7" w:rsidRDefault="003E4638" w:rsidP="00617616">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Акти су планирани према Плану рада Владе и рок за усвајање је био четврти квартал 2022. </w:t>
            </w:r>
          </w:p>
        </w:tc>
        <w:tc>
          <w:tcPr>
            <w:tcW w:w="2693" w:type="dxa"/>
            <w:shd w:val="clear" w:color="auto" w:fill="auto"/>
            <w:hideMark/>
          </w:tcPr>
          <w:p w14:paraId="41108F3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0C6FD42D" w14:textId="77777777" w:rsidTr="004F56D8">
        <w:trPr>
          <w:trHeight w:val="1416"/>
        </w:trPr>
        <w:tc>
          <w:tcPr>
            <w:tcW w:w="560" w:type="dxa"/>
            <w:shd w:val="clear" w:color="auto" w:fill="auto"/>
            <w:noWrap/>
            <w:hideMark/>
          </w:tcPr>
          <w:p w14:paraId="149F02C8"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333A73FF"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 xml:space="preserve">Усвајање законског оквира  за спровођење комасације (Закон о комасацији и Закона о пољопривредном земљишту) </w:t>
            </w:r>
          </w:p>
        </w:tc>
        <w:tc>
          <w:tcPr>
            <w:tcW w:w="1701" w:type="dxa"/>
            <w:shd w:val="clear" w:color="auto" w:fill="auto"/>
            <w:hideMark/>
          </w:tcPr>
          <w:p w14:paraId="6480C01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hideMark/>
          </w:tcPr>
          <w:p w14:paraId="3A565D5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Ради се на припреми. Донета су два Правилника којим се ближе уређује и унапређује област пољопривредног земљишта каква је комасација. С обзиром да је комасација комплексан поступак а у циљу припреме за доношење планираних законских регулатива, отпочело  у првим корацима са доношењем правилника.</w:t>
            </w:r>
          </w:p>
        </w:tc>
        <w:tc>
          <w:tcPr>
            <w:tcW w:w="2410" w:type="dxa"/>
            <w:shd w:val="clear" w:color="auto" w:fill="auto"/>
            <w:hideMark/>
          </w:tcPr>
          <w:p w14:paraId="1E47BFC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419501B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59D97F0F" w14:textId="77777777" w:rsidTr="004F56D8">
        <w:trPr>
          <w:trHeight w:val="699"/>
        </w:trPr>
        <w:tc>
          <w:tcPr>
            <w:tcW w:w="560" w:type="dxa"/>
            <w:shd w:val="clear" w:color="auto" w:fill="auto"/>
            <w:noWrap/>
          </w:tcPr>
          <w:p w14:paraId="392B7E24"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6.</w:t>
            </w:r>
          </w:p>
        </w:tc>
        <w:tc>
          <w:tcPr>
            <w:tcW w:w="4407" w:type="dxa"/>
            <w:shd w:val="clear" w:color="auto" w:fill="auto"/>
          </w:tcPr>
          <w:p w14:paraId="549302F8"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 xml:space="preserve">Јачање капацитета и обука запослених у Управи за аграрна плаћања </w:t>
            </w:r>
          </w:p>
        </w:tc>
        <w:tc>
          <w:tcPr>
            <w:tcW w:w="1701" w:type="dxa"/>
            <w:shd w:val="clear" w:color="auto" w:fill="auto"/>
          </w:tcPr>
          <w:p w14:paraId="26E5C06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tcPr>
          <w:p w14:paraId="5713273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Важећим Правилником о унутрашњем уређењу и систематизацији радних места МПШВ, који је ступио на снагу 1. фебруара 2022. године, систематизовани број запослених у Управи за аграрна плаћања је 282, од чега су 232 раднa места на ИПАРД пословима. Тренутни број запослених  и радно ангажованих у УАП је 280 (166  на неодређено време и 114 на одређено време).</w:t>
            </w:r>
          </w:p>
          <w:p w14:paraId="14D4C6EC" w14:textId="4F5C2699"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Поступак спровођења јавног  конкурса за запошљавање који је оглашен 29.09.2021. године,  а расписан за 24 извршиоца, окончан је у мају 2021,</w:t>
            </w:r>
            <w:r w:rsidR="00444996" w:rsidRPr="00092ED7">
              <w:rPr>
                <w:rFonts w:eastAsia="Times New Roman" w:cs="Times New Roman"/>
                <w:color w:val="000000"/>
                <w:sz w:val="18"/>
                <w:szCs w:val="18"/>
                <w:lang w:val="sr-Cyrl-CS" w:eastAsia="sr-Latn-RS"/>
              </w:rPr>
              <w:t xml:space="preserve"> а</w:t>
            </w:r>
            <w:r w:rsidRPr="00092ED7">
              <w:rPr>
                <w:rFonts w:eastAsia="Times New Roman" w:cs="Times New Roman"/>
                <w:color w:val="000000"/>
                <w:sz w:val="18"/>
                <w:szCs w:val="18"/>
                <w:lang w:val="sr-Cyrl-CS" w:eastAsia="sr-Latn-RS"/>
              </w:rPr>
              <w:t xml:space="preserve">  у радни однос на неодређено време ступило је   11 лица, јер </w:t>
            </w:r>
            <w:r w:rsidR="00444996" w:rsidRPr="00092ED7">
              <w:rPr>
                <w:rFonts w:eastAsia="Times New Roman" w:cs="Times New Roman"/>
                <w:color w:val="000000"/>
                <w:sz w:val="18"/>
                <w:szCs w:val="18"/>
                <w:lang w:val="sr-Cyrl-CS" w:eastAsia="sr-Latn-RS"/>
              </w:rPr>
              <w:t xml:space="preserve">поједини </w:t>
            </w:r>
            <w:r w:rsidRPr="00092ED7">
              <w:rPr>
                <w:rFonts w:eastAsia="Times New Roman" w:cs="Times New Roman"/>
                <w:color w:val="000000"/>
                <w:sz w:val="18"/>
                <w:szCs w:val="18"/>
                <w:lang w:val="sr-Cyrl-CS" w:eastAsia="sr-Latn-RS"/>
              </w:rPr>
              <w:t>кандидати у изборном поступку нису испунили мерила за проверу тражених компетенција.</w:t>
            </w:r>
          </w:p>
          <w:p w14:paraId="41DFFFF6" w14:textId="7B04FFC3" w:rsidR="003E4638" w:rsidRPr="00092ED7" w:rsidRDefault="00444996"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w:t>
            </w:r>
            <w:r w:rsidR="003E4638" w:rsidRPr="00092ED7">
              <w:rPr>
                <w:rFonts w:eastAsia="Times New Roman" w:cs="Times New Roman"/>
                <w:color w:val="000000"/>
                <w:sz w:val="18"/>
                <w:szCs w:val="18"/>
                <w:lang w:val="sr-Cyrl-CS" w:eastAsia="sr-Latn-RS"/>
              </w:rPr>
              <w:t xml:space="preserve"> запошљавање 31 лица покренут  је нови јавни конкурс за попуњавање извршилачких радних места, који је оглашен 20.07.2022. године. Овај поступак је у току.</w:t>
            </w:r>
          </w:p>
          <w:p w14:paraId="496B4AF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ОБУКЕ:</w:t>
            </w:r>
          </w:p>
          <w:p w14:paraId="3428EF2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Закључно са 16.12.2022.  године реализовано је 18  обука од  укупно 30 колико је предвиђено Планом обука за 2022. годину (проценат реализације Плана је 60%) . Поред тога, запослени у УАП учествовали су и на 18 обука које нису биле предвиђене Планом.</w:t>
            </w:r>
          </w:p>
        </w:tc>
        <w:tc>
          <w:tcPr>
            <w:tcW w:w="2410" w:type="dxa"/>
            <w:shd w:val="clear" w:color="auto" w:fill="auto"/>
          </w:tcPr>
          <w:p w14:paraId="216C89AF"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2693" w:type="dxa"/>
            <w:shd w:val="clear" w:color="auto" w:fill="auto"/>
          </w:tcPr>
          <w:p w14:paraId="5BEACD79" w14:textId="77777777" w:rsidR="003E4638" w:rsidRPr="00092ED7" w:rsidRDefault="003E4638" w:rsidP="003E4638">
            <w:pPr>
              <w:spacing w:after="0"/>
              <w:jc w:val="left"/>
              <w:rPr>
                <w:rFonts w:eastAsia="Times New Roman" w:cs="Times New Roman"/>
                <w:color w:val="000000"/>
                <w:sz w:val="18"/>
                <w:szCs w:val="18"/>
                <w:lang w:val="sr-Cyrl-CS" w:eastAsia="sr-Latn-RS"/>
              </w:rPr>
            </w:pPr>
          </w:p>
        </w:tc>
      </w:tr>
      <w:tr w:rsidR="003E4638" w:rsidRPr="00092ED7" w14:paraId="1135409C" w14:textId="77777777" w:rsidTr="004F56D8">
        <w:trPr>
          <w:trHeight w:val="851"/>
        </w:trPr>
        <w:tc>
          <w:tcPr>
            <w:tcW w:w="560" w:type="dxa"/>
            <w:shd w:val="clear" w:color="auto" w:fill="auto"/>
            <w:noWrap/>
            <w:hideMark/>
          </w:tcPr>
          <w:p w14:paraId="07EC5611"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7.</w:t>
            </w:r>
          </w:p>
        </w:tc>
        <w:tc>
          <w:tcPr>
            <w:tcW w:w="4407" w:type="dxa"/>
            <w:shd w:val="clear" w:color="auto" w:fill="auto"/>
            <w:hideMark/>
          </w:tcPr>
          <w:p w14:paraId="10AE8812"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Израда софтвера за базу РПГ и базу LPIS, повезивање са Регистром животиња и израда преосталих делова базе IACS</w:t>
            </w:r>
          </w:p>
        </w:tc>
        <w:tc>
          <w:tcPr>
            <w:tcW w:w="1701" w:type="dxa"/>
            <w:shd w:val="clear" w:color="auto" w:fill="auto"/>
            <w:hideMark/>
          </w:tcPr>
          <w:p w14:paraId="12A6CF5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246DFEC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Урађена је техничка спецификација за куповину софтвера за РПГ и LPIS, припремљена тендерска документација, објављен оглас, достављене понуде за избор софтвера и завршена оцењивање понуда. </w:t>
            </w:r>
          </w:p>
        </w:tc>
        <w:tc>
          <w:tcPr>
            <w:tcW w:w="2410" w:type="dxa"/>
            <w:shd w:val="clear" w:color="auto" w:fill="auto"/>
            <w:hideMark/>
          </w:tcPr>
          <w:p w14:paraId="2AD4B40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D0C055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045CDDA5" w14:textId="77777777" w:rsidTr="004F56D8">
        <w:trPr>
          <w:trHeight w:val="360"/>
        </w:trPr>
        <w:tc>
          <w:tcPr>
            <w:tcW w:w="560" w:type="dxa"/>
            <w:shd w:val="clear" w:color="auto" w:fill="auto"/>
            <w:hideMark/>
          </w:tcPr>
          <w:p w14:paraId="42FC5306"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6509E96A"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484C785A"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54%</w:t>
            </w:r>
          </w:p>
        </w:tc>
        <w:tc>
          <w:tcPr>
            <w:tcW w:w="3118" w:type="dxa"/>
            <w:shd w:val="clear" w:color="auto" w:fill="auto"/>
            <w:noWrap/>
            <w:hideMark/>
          </w:tcPr>
          <w:p w14:paraId="38B1DD4D"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1A83AD30"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4897D896"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4B8B0019" w14:textId="77777777" w:rsidTr="004F56D8">
        <w:trPr>
          <w:trHeight w:val="375"/>
        </w:trPr>
        <w:tc>
          <w:tcPr>
            <w:tcW w:w="560" w:type="dxa"/>
            <w:shd w:val="clear" w:color="auto" w:fill="auto"/>
            <w:noWrap/>
            <w:hideMark/>
          </w:tcPr>
          <w:p w14:paraId="79AFACA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auto"/>
            <w:noWrap/>
            <w:vAlign w:val="center"/>
            <w:hideMark/>
          </w:tcPr>
          <w:p w14:paraId="6380495A"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19. БЕЗБЕДАН И КВАЛИТЕТАН ПРОИЗВОД - ФАКТОР РАЗВОЈА ИНДУСТРИЈЕ</w:t>
            </w:r>
          </w:p>
        </w:tc>
      </w:tr>
      <w:tr w:rsidR="003E4638" w:rsidRPr="00092ED7" w14:paraId="1FBB8303" w14:textId="77777777" w:rsidTr="004F56D8">
        <w:trPr>
          <w:trHeight w:val="1680"/>
        </w:trPr>
        <w:tc>
          <w:tcPr>
            <w:tcW w:w="560" w:type="dxa"/>
            <w:shd w:val="clear" w:color="auto" w:fill="auto"/>
            <w:noWrap/>
            <w:hideMark/>
          </w:tcPr>
          <w:p w14:paraId="2E8FA955"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585FEB15"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Имплементација програма подршке привредним субјектима (Министарство привреде, Развојна агенција Србије - РАС)</w:t>
            </w:r>
          </w:p>
        </w:tc>
        <w:tc>
          <w:tcPr>
            <w:tcW w:w="1701" w:type="dxa"/>
            <w:shd w:val="clear" w:color="auto" w:fill="auto"/>
            <w:hideMark/>
          </w:tcPr>
          <w:p w14:paraId="72CA703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не спроводи се</w:t>
            </w:r>
          </w:p>
        </w:tc>
        <w:tc>
          <w:tcPr>
            <w:tcW w:w="3118" w:type="dxa"/>
            <w:shd w:val="clear" w:color="auto" w:fill="auto"/>
            <w:hideMark/>
          </w:tcPr>
          <w:p w14:paraId="5B40349D" w14:textId="09D4CDCF" w:rsidR="003E4638" w:rsidRPr="00092ED7" w:rsidRDefault="003E4638" w:rsidP="00444996">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Спровођење Програма финансијске подршке - Коришћењем стандарда до конкурентнијих производа одложено је за наредну годину, те су Законом о буџету Републике Србије за 2023. годину предвиђена средства за ову намену, у износу од 50</w:t>
            </w:r>
            <w:r w:rsidR="00444996" w:rsidRPr="00092ED7">
              <w:rPr>
                <w:rFonts w:eastAsia="Times New Roman" w:cs="Times New Roman"/>
                <w:color w:val="000000"/>
                <w:sz w:val="18"/>
                <w:szCs w:val="18"/>
                <w:lang w:val="sr-Cyrl-CS" w:eastAsia="sr-Latn-RS"/>
              </w:rPr>
              <w:t xml:space="preserve"> милиона</w:t>
            </w:r>
            <w:r w:rsidRPr="00092ED7">
              <w:rPr>
                <w:rFonts w:eastAsia="Times New Roman" w:cs="Times New Roman"/>
                <w:color w:val="000000"/>
                <w:sz w:val="18"/>
                <w:szCs w:val="18"/>
                <w:lang w:val="sr-Cyrl-CS" w:eastAsia="sr-Latn-RS"/>
              </w:rPr>
              <w:t xml:space="preserve"> динара.</w:t>
            </w:r>
          </w:p>
        </w:tc>
        <w:tc>
          <w:tcPr>
            <w:tcW w:w="2410" w:type="dxa"/>
            <w:shd w:val="clear" w:color="auto" w:fill="auto"/>
            <w:hideMark/>
          </w:tcPr>
          <w:p w14:paraId="492F5941" w14:textId="3F5EB928" w:rsidR="003E4638" w:rsidRPr="00092ED7" w:rsidRDefault="003E4638" w:rsidP="003E4638">
            <w:pPr>
              <w:spacing w:after="0"/>
              <w:jc w:val="left"/>
              <w:rPr>
                <w:rFonts w:eastAsia="Times New Roman" w:cs="Times New Roman"/>
                <w:color w:val="000000"/>
                <w:sz w:val="18"/>
                <w:szCs w:val="18"/>
                <w:lang w:val="sr-Cyrl-CS" w:eastAsia="sr-Latn-RS"/>
              </w:rPr>
            </w:pPr>
          </w:p>
        </w:tc>
        <w:tc>
          <w:tcPr>
            <w:tcW w:w="2693" w:type="dxa"/>
            <w:shd w:val="clear" w:color="auto" w:fill="auto"/>
            <w:hideMark/>
          </w:tcPr>
          <w:p w14:paraId="387FF3D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0A74C8FA" w14:textId="77777777" w:rsidTr="004F56D8">
        <w:trPr>
          <w:trHeight w:val="792"/>
        </w:trPr>
        <w:tc>
          <w:tcPr>
            <w:tcW w:w="560" w:type="dxa"/>
            <w:shd w:val="clear" w:color="auto" w:fill="auto"/>
            <w:noWrap/>
            <w:hideMark/>
          </w:tcPr>
          <w:p w14:paraId="779DCB20"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7B867DF0"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Анализа стања постојећих ИТ капацитета и софтверских решења и потреба за њиховим унапређењем  и израда пројектне документације у институцијама ИК (Министарство привреде, ИСС, АТС и ДМДМ)</w:t>
            </w:r>
          </w:p>
        </w:tc>
        <w:tc>
          <w:tcPr>
            <w:tcW w:w="1701" w:type="dxa"/>
            <w:shd w:val="clear" w:color="auto" w:fill="auto"/>
            <w:hideMark/>
          </w:tcPr>
          <w:p w14:paraId="719A4F0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47D5CC1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7002F8B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D0BD84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4FDC7B57" w14:textId="77777777" w:rsidTr="004F56D8">
        <w:trPr>
          <w:trHeight w:val="1068"/>
        </w:trPr>
        <w:tc>
          <w:tcPr>
            <w:tcW w:w="560" w:type="dxa"/>
            <w:shd w:val="clear" w:color="auto" w:fill="auto"/>
            <w:noWrap/>
            <w:hideMark/>
          </w:tcPr>
          <w:p w14:paraId="3D4EE69A"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16F17C3D" w14:textId="2FF2032E"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Унапређење база података и дигиталног сервиса у Министарству привреде  у вези са техничким захтевима за производе и портала „TBT- Enquire point</w:t>
            </w:r>
            <w:r w:rsidR="00CE6CAD" w:rsidRPr="00092ED7">
              <w:rPr>
                <w:rFonts w:cs="Times New Roman"/>
                <w:sz w:val="18"/>
                <w:szCs w:val="18"/>
                <w:lang w:val="sr-Cyrl-CS"/>
              </w:rPr>
              <w:t>”</w:t>
            </w:r>
            <w:r w:rsidRPr="00092ED7">
              <w:rPr>
                <w:rFonts w:eastAsia="Times New Roman" w:cs="Times New Roman"/>
                <w:sz w:val="18"/>
                <w:szCs w:val="18"/>
                <w:lang w:val="sr-Cyrl-CS" w:eastAsia="sr-Latn-RS"/>
              </w:rPr>
              <w:t xml:space="preserve"> (Контактна тачка за производе) и унапређење база података и дигиталног сервиса у институцијама ИК (ИСС, АТС и ДМДМ)</w:t>
            </w:r>
          </w:p>
        </w:tc>
        <w:tc>
          <w:tcPr>
            <w:tcW w:w="1701" w:type="dxa"/>
            <w:shd w:val="clear" w:color="auto" w:fill="auto"/>
            <w:hideMark/>
          </w:tcPr>
          <w:p w14:paraId="4937DEE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7F6F9E0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току је финално усаглашавање спецификације портала Производ-инфо са израђеним пројектном документацијом и проценом финансијске вредности будућег пројекта.</w:t>
            </w:r>
          </w:p>
        </w:tc>
        <w:tc>
          <w:tcPr>
            <w:tcW w:w="2410" w:type="dxa"/>
            <w:shd w:val="clear" w:color="auto" w:fill="auto"/>
            <w:hideMark/>
          </w:tcPr>
          <w:p w14:paraId="780E8FB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1AD492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16D25871" w14:textId="77777777" w:rsidTr="004F56D8">
        <w:trPr>
          <w:trHeight w:val="360"/>
        </w:trPr>
        <w:tc>
          <w:tcPr>
            <w:tcW w:w="560" w:type="dxa"/>
            <w:shd w:val="clear" w:color="auto" w:fill="auto"/>
            <w:hideMark/>
          </w:tcPr>
          <w:p w14:paraId="5874A374"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0DAF73BB"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1EF79791"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60%</w:t>
            </w:r>
          </w:p>
        </w:tc>
        <w:tc>
          <w:tcPr>
            <w:tcW w:w="3118" w:type="dxa"/>
            <w:shd w:val="clear" w:color="auto" w:fill="auto"/>
            <w:noWrap/>
            <w:hideMark/>
          </w:tcPr>
          <w:p w14:paraId="1B7E45DB"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564AB487"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0AFC944F"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6449D642" w14:textId="77777777" w:rsidTr="004F56D8">
        <w:trPr>
          <w:trHeight w:val="375"/>
        </w:trPr>
        <w:tc>
          <w:tcPr>
            <w:tcW w:w="560" w:type="dxa"/>
            <w:shd w:val="clear" w:color="auto" w:fill="D9D9D9" w:themeFill="background1" w:themeFillShade="D9"/>
            <w:noWrap/>
            <w:hideMark/>
          </w:tcPr>
          <w:p w14:paraId="1E97B44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3CECD23A"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 xml:space="preserve">СР 20. ДИГИТАЛИЗАЦИЈА СИСТЕМА ОБРАЗОВАЊА И УВОЂЕЊЕ ЈЕДИНСТВЕНОГ ИНФОРМАЦИОНОГ СИСТЕМА ПРОСВЕТЕ </w:t>
            </w:r>
          </w:p>
        </w:tc>
      </w:tr>
      <w:tr w:rsidR="003E4638" w:rsidRPr="00092ED7" w14:paraId="6FED8B80" w14:textId="77777777" w:rsidTr="004F56D8">
        <w:trPr>
          <w:trHeight w:val="288"/>
        </w:trPr>
        <w:tc>
          <w:tcPr>
            <w:tcW w:w="560" w:type="dxa"/>
            <w:shd w:val="clear" w:color="auto" w:fill="auto"/>
            <w:noWrap/>
            <w:hideMark/>
          </w:tcPr>
          <w:p w14:paraId="7FAD7DFC"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3DC72ED9"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Опремање учионица и кабинета рачунарском опремом</w:t>
            </w:r>
          </w:p>
        </w:tc>
        <w:tc>
          <w:tcPr>
            <w:tcW w:w="1701" w:type="dxa"/>
            <w:shd w:val="clear" w:color="auto" w:fill="auto"/>
            <w:hideMark/>
          </w:tcPr>
          <w:p w14:paraId="1D5D0FE1" w14:textId="6E38EE55" w:rsidR="003E4638" w:rsidRPr="00092ED7" w:rsidRDefault="003E4638" w:rsidP="008F07C0">
            <w:pPr>
              <w:spacing w:after="0"/>
              <w:jc w:val="left"/>
              <w:rPr>
                <w:rFonts w:eastAsia="Times New Roman" w:cs="Times New Roman"/>
                <w:i/>
                <w:iCs/>
                <w:color w:val="A6A6A6"/>
                <w:sz w:val="18"/>
                <w:szCs w:val="18"/>
                <w:lang w:val="sr-Cyrl-CS" w:eastAsia="sr-Latn-RS"/>
              </w:rPr>
            </w:pPr>
            <w:r w:rsidRPr="00092ED7">
              <w:rPr>
                <w:rFonts w:eastAsia="Times New Roman" w:cs="Times New Roman"/>
                <w:i/>
                <w:iCs/>
                <w:color w:val="A6A6A6"/>
                <w:sz w:val="18"/>
                <w:szCs w:val="18"/>
                <w:lang w:val="sr-Cyrl-CS" w:eastAsia="sr-Latn-RS"/>
              </w:rPr>
              <w:t xml:space="preserve"> </w:t>
            </w:r>
          </w:p>
        </w:tc>
        <w:tc>
          <w:tcPr>
            <w:tcW w:w="3118" w:type="dxa"/>
            <w:shd w:val="clear" w:color="auto" w:fill="auto"/>
            <w:hideMark/>
          </w:tcPr>
          <w:p w14:paraId="1636E47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r w:rsidR="00444996" w:rsidRPr="00092ED7">
              <w:rPr>
                <w:rFonts w:eastAsia="Times New Roman" w:cs="Times New Roman"/>
                <w:color w:val="000000"/>
                <w:sz w:val="18"/>
                <w:szCs w:val="18"/>
                <w:lang w:val="sr-Cyrl-CS" w:eastAsia="sr-Latn-RS"/>
              </w:rPr>
              <w:t>/</w:t>
            </w:r>
          </w:p>
        </w:tc>
        <w:tc>
          <w:tcPr>
            <w:tcW w:w="2410" w:type="dxa"/>
            <w:shd w:val="clear" w:color="auto" w:fill="auto"/>
            <w:hideMark/>
          </w:tcPr>
          <w:p w14:paraId="52E64AE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7D4F5F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162D05B8" w14:textId="77777777" w:rsidTr="004F56D8">
        <w:trPr>
          <w:trHeight w:val="288"/>
        </w:trPr>
        <w:tc>
          <w:tcPr>
            <w:tcW w:w="560" w:type="dxa"/>
            <w:shd w:val="clear" w:color="auto" w:fill="auto"/>
            <w:noWrap/>
            <w:hideMark/>
          </w:tcPr>
          <w:p w14:paraId="070DAE3B"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32E1C34F"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Анализа ефеката употребе Јединственог информационог система просвете</w:t>
            </w:r>
          </w:p>
        </w:tc>
        <w:tc>
          <w:tcPr>
            <w:tcW w:w="1701" w:type="dxa"/>
            <w:shd w:val="clear" w:color="auto" w:fill="auto"/>
            <w:hideMark/>
          </w:tcPr>
          <w:p w14:paraId="1A0E782E" w14:textId="191C1AF5" w:rsidR="003E4638" w:rsidRPr="00092ED7" w:rsidRDefault="003E4638" w:rsidP="008F07C0">
            <w:pPr>
              <w:spacing w:after="0"/>
              <w:jc w:val="left"/>
              <w:rPr>
                <w:rFonts w:eastAsia="Times New Roman" w:cs="Times New Roman"/>
                <w:i/>
                <w:iCs/>
                <w:color w:val="A6A6A6"/>
                <w:sz w:val="18"/>
                <w:szCs w:val="18"/>
                <w:lang w:val="sr-Cyrl-CS" w:eastAsia="sr-Latn-RS"/>
              </w:rPr>
            </w:pPr>
            <w:r w:rsidRPr="00092ED7">
              <w:rPr>
                <w:rFonts w:eastAsia="Times New Roman" w:cs="Times New Roman"/>
                <w:i/>
                <w:iCs/>
                <w:color w:val="A6A6A6"/>
                <w:sz w:val="18"/>
                <w:szCs w:val="18"/>
                <w:lang w:val="sr-Cyrl-CS" w:eastAsia="sr-Latn-RS"/>
              </w:rPr>
              <w:t xml:space="preserve"> </w:t>
            </w:r>
          </w:p>
        </w:tc>
        <w:tc>
          <w:tcPr>
            <w:tcW w:w="3118" w:type="dxa"/>
            <w:shd w:val="clear" w:color="auto" w:fill="auto"/>
            <w:hideMark/>
          </w:tcPr>
          <w:p w14:paraId="3825455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r w:rsidR="00444996" w:rsidRPr="00092ED7">
              <w:rPr>
                <w:rFonts w:eastAsia="Times New Roman" w:cs="Times New Roman"/>
                <w:color w:val="000000"/>
                <w:sz w:val="18"/>
                <w:szCs w:val="18"/>
                <w:lang w:val="sr-Cyrl-CS" w:eastAsia="sr-Latn-RS"/>
              </w:rPr>
              <w:t>/</w:t>
            </w:r>
          </w:p>
        </w:tc>
        <w:tc>
          <w:tcPr>
            <w:tcW w:w="2410" w:type="dxa"/>
            <w:shd w:val="clear" w:color="auto" w:fill="auto"/>
            <w:hideMark/>
          </w:tcPr>
          <w:p w14:paraId="08E10EA5"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CFB77B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4BB1AA41" w14:textId="77777777" w:rsidTr="004F56D8">
        <w:trPr>
          <w:trHeight w:val="288"/>
        </w:trPr>
        <w:tc>
          <w:tcPr>
            <w:tcW w:w="560" w:type="dxa"/>
            <w:shd w:val="clear" w:color="auto" w:fill="auto"/>
            <w:noWrap/>
            <w:hideMark/>
          </w:tcPr>
          <w:p w14:paraId="584133F1"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5872850F"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Унапређивање система осигурања квалитета примене дигиталних уџбеника</w:t>
            </w:r>
          </w:p>
        </w:tc>
        <w:tc>
          <w:tcPr>
            <w:tcW w:w="1701" w:type="dxa"/>
            <w:shd w:val="clear" w:color="auto" w:fill="auto"/>
            <w:hideMark/>
          </w:tcPr>
          <w:p w14:paraId="3C67687E" w14:textId="6642E804" w:rsidR="003E4638" w:rsidRPr="00092ED7" w:rsidRDefault="003E4638" w:rsidP="008F07C0">
            <w:pPr>
              <w:spacing w:after="0"/>
              <w:jc w:val="left"/>
              <w:rPr>
                <w:rFonts w:eastAsia="Times New Roman" w:cs="Times New Roman"/>
                <w:i/>
                <w:iCs/>
                <w:color w:val="A6A6A6"/>
                <w:sz w:val="18"/>
                <w:szCs w:val="18"/>
                <w:lang w:val="sr-Cyrl-CS" w:eastAsia="sr-Latn-RS"/>
              </w:rPr>
            </w:pPr>
            <w:r w:rsidRPr="00092ED7">
              <w:rPr>
                <w:rFonts w:eastAsia="Times New Roman" w:cs="Times New Roman"/>
                <w:i/>
                <w:iCs/>
                <w:color w:val="A6A6A6"/>
                <w:sz w:val="18"/>
                <w:szCs w:val="18"/>
                <w:lang w:val="sr-Cyrl-CS" w:eastAsia="sr-Latn-RS"/>
              </w:rPr>
              <w:t xml:space="preserve"> </w:t>
            </w:r>
          </w:p>
        </w:tc>
        <w:tc>
          <w:tcPr>
            <w:tcW w:w="3118" w:type="dxa"/>
            <w:shd w:val="clear" w:color="auto" w:fill="auto"/>
            <w:hideMark/>
          </w:tcPr>
          <w:p w14:paraId="66206DA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r w:rsidR="00444996" w:rsidRPr="00092ED7">
              <w:rPr>
                <w:rFonts w:eastAsia="Times New Roman" w:cs="Times New Roman"/>
                <w:color w:val="000000"/>
                <w:sz w:val="18"/>
                <w:szCs w:val="18"/>
                <w:lang w:val="sr-Cyrl-CS" w:eastAsia="sr-Latn-RS"/>
              </w:rPr>
              <w:t>/</w:t>
            </w:r>
          </w:p>
        </w:tc>
        <w:tc>
          <w:tcPr>
            <w:tcW w:w="2410" w:type="dxa"/>
            <w:shd w:val="clear" w:color="auto" w:fill="auto"/>
            <w:hideMark/>
          </w:tcPr>
          <w:p w14:paraId="051BB59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13129A2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25FB45CD" w14:textId="77777777" w:rsidTr="004F56D8">
        <w:trPr>
          <w:trHeight w:val="288"/>
        </w:trPr>
        <w:tc>
          <w:tcPr>
            <w:tcW w:w="560" w:type="dxa"/>
            <w:shd w:val="clear" w:color="auto" w:fill="auto"/>
            <w:noWrap/>
            <w:hideMark/>
          </w:tcPr>
          <w:p w14:paraId="79DD6DC1"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3EC885C4"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Развој агрегатора репозиторијума отворених образовних ресурса</w:t>
            </w:r>
          </w:p>
        </w:tc>
        <w:tc>
          <w:tcPr>
            <w:tcW w:w="1701" w:type="dxa"/>
            <w:shd w:val="clear" w:color="auto" w:fill="auto"/>
            <w:hideMark/>
          </w:tcPr>
          <w:p w14:paraId="2DC08566" w14:textId="2FCBD871" w:rsidR="003E4638" w:rsidRPr="00092ED7" w:rsidRDefault="003E4638" w:rsidP="008F07C0">
            <w:pPr>
              <w:spacing w:after="0"/>
              <w:jc w:val="left"/>
              <w:rPr>
                <w:rFonts w:eastAsia="Times New Roman" w:cs="Times New Roman"/>
                <w:i/>
                <w:iCs/>
                <w:color w:val="A6A6A6"/>
                <w:sz w:val="18"/>
                <w:szCs w:val="18"/>
                <w:lang w:val="sr-Cyrl-CS" w:eastAsia="sr-Latn-RS"/>
              </w:rPr>
            </w:pPr>
            <w:r w:rsidRPr="00092ED7">
              <w:rPr>
                <w:rFonts w:eastAsia="Times New Roman" w:cs="Times New Roman"/>
                <w:i/>
                <w:iCs/>
                <w:color w:val="A6A6A6"/>
                <w:sz w:val="18"/>
                <w:szCs w:val="18"/>
                <w:lang w:val="sr-Cyrl-CS" w:eastAsia="sr-Latn-RS"/>
              </w:rPr>
              <w:t xml:space="preserve"> </w:t>
            </w:r>
          </w:p>
        </w:tc>
        <w:tc>
          <w:tcPr>
            <w:tcW w:w="3118" w:type="dxa"/>
            <w:shd w:val="clear" w:color="auto" w:fill="auto"/>
            <w:hideMark/>
          </w:tcPr>
          <w:p w14:paraId="4DCA61B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r w:rsidR="00444996" w:rsidRPr="00092ED7">
              <w:rPr>
                <w:rFonts w:eastAsia="Times New Roman" w:cs="Times New Roman"/>
                <w:color w:val="000000"/>
                <w:sz w:val="18"/>
                <w:szCs w:val="18"/>
                <w:lang w:val="sr-Cyrl-CS" w:eastAsia="sr-Latn-RS"/>
              </w:rPr>
              <w:t>/</w:t>
            </w:r>
          </w:p>
        </w:tc>
        <w:tc>
          <w:tcPr>
            <w:tcW w:w="2410" w:type="dxa"/>
            <w:shd w:val="clear" w:color="auto" w:fill="auto"/>
            <w:hideMark/>
          </w:tcPr>
          <w:p w14:paraId="6812694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255E193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3DE9B645" w14:textId="77777777" w:rsidTr="004F56D8">
        <w:trPr>
          <w:trHeight w:val="540"/>
        </w:trPr>
        <w:tc>
          <w:tcPr>
            <w:tcW w:w="560" w:type="dxa"/>
            <w:shd w:val="clear" w:color="auto" w:fill="auto"/>
            <w:noWrap/>
            <w:hideMark/>
          </w:tcPr>
          <w:p w14:paraId="33B1A0FD"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4079E9BE"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Повећање обима студијских програма и профила из рачунарства и програмирања у области високог и средњег образовања у складу са потребама тржишта</w:t>
            </w:r>
          </w:p>
        </w:tc>
        <w:tc>
          <w:tcPr>
            <w:tcW w:w="1701" w:type="dxa"/>
            <w:shd w:val="clear" w:color="auto" w:fill="auto"/>
            <w:hideMark/>
          </w:tcPr>
          <w:p w14:paraId="20090414" w14:textId="3A3B2B9C" w:rsidR="003E4638" w:rsidRPr="00092ED7" w:rsidRDefault="003E4638" w:rsidP="008F07C0">
            <w:pPr>
              <w:spacing w:after="0"/>
              <w:jc w:val="left"/>
              <w:rPr>
                <w:rFonts w:eastAsia="Times New Roman" w:cs="Times New Roman"/>
                <w:i/>
                <w:iCs/>
                <w:color w:val="A6A6A6"/>
                <w:sz w:val="18"/>
                <w:szCs w:val="18"/>
                <w:lang w:val="sr-Cyrl-CS" w:eastAsia="sr-Latn-RS"/>
              </w:rPr>
            </w:pPr>
            <w:r w:rsidRPr="00092ED7">
              <w:rPr>
                <w:rFonts w:eastAsia="Times New Roman" w:cs="Times New Roman"/>
                <w:i/>
                <w:iCs/>
                <w:color w:val="A6A6A6"/>
                <w:sz w:val="18"/>
                <w:szCs w:val="18"/>
                <w:lang w:val="sr-Cyrl-CS" w:eastAsia="sr-Latn-RS"/>
              </w:rPr>
              <w:t xml:space="preserve"> </w:t>
            </w:r>
          </w:p>
        </w:tc>
        <w:tc>
          <w:tcPr>
            <w:tcW w:w="3118" w:type="dxa"/>
            <w:shd w:val="clear" w:color="auto" w:fill="auto"/>
            <w:hideMark/>
          </w:tcPr>
          <w:p w14:paraId="14EE35E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r w:rsidR="00444996" w:rsidRPr="00092ED7">
              <w:rPr>
                <w:rFonts w:eastAsia="Times New Roman" w:cs="Times New Roman"/>
                <w:color w:val="000000"/>
                <w:sz w:val="18"/>
                <w:szCs w:val="18"/>
                <w:lang w:val="sr-Cyrl-CS" w:eastAsia="sr-Latn-RS"/>
              </w:rPr>
              <w:t>/</w:t>
            </w:r>
          </w:p>
        </w:tc>
        <w:tc>
          <w:tcPr>
            <w:tcW w:w="2410" w:type="dxa"/>
            <w:shd w:val="clear" w:color="auto" w:fill="auto"/>
            <w:hideMark/>
          </w:tcPr>
          <w:p w14:paraId="1195BE9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8BCCBF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426BC402" w14:textId="77777777" w:rsidTr="004F56D8">
        <w:trPr>
          <w:trHeight w:val="360"/>
        </w:trPr>
        <w:tc>
          <w:tcPr>
            <w:tcW w:w="560" w:type="dxa"/>
            <w:shd w:val="clear" w:color="auto" w:fill="auto"/>
            <w:hideMark/>
          </w:tcPr>
          <w:p w14:paraId="4A02525A"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561E2601"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5DA4D000"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0%</w:t>
            </w:r>
          </w:p>
        </w:tc>
        <w:tc>
          <w:tcPr>
            <w:tcW w:w="3118" w:type="dxa"/>
            <w:shd w:val="clear" w:color="auto" w:fill="auto"/>
            <w:noWrap/>
            <w:hideMark/>
          </w:tcPr>
          <w:p w14:paraId="16CC6F76"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3BDCC514"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1F81677C"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5B8F59D3" w14:textId="77777777" w:rsidTr="004F56D8">
        <w:trPr>
          <w:trHeight w:val="375"/>
        </w:trPr>
        <w:tc>
          <w:tcPr>
            <w:tcW w:w="560" w:type="dxa"/>
            <w:shd w:val="clear" w:color="auto" w:fill="D9D9D9" w:themeFill="background1" w:themeFillShade="D9"/>
            <w:noWrap/>
            <w:hideMark/>
          </w:tcPr>
          <w:p w14:paraId="3B4B50E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536B6F08"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21. УНАПРЕЂЕЊЕ ЕФИКАСНОСТИ ЗДРАВСТВЕНОГ СИСТЕМА КРОЗ ДИГИТАЛИЗАЦИЈУ ПРОЦЕСА</w:t>
            </w:r>
          </w:p>
        </w:tc>
      </w:tr>
      <w:tr w:rsidR="003E4638" w:rsidRPr="00092ED7" w14:paraId="67E89C26" w14:textId="77777777" w:rsidTr="004F56D8">
        <w:trPr>
          <w:trHeight w:val="870"/>
        </w:trPr>
        <w:tc>
          <w:tcPr>
            <w:tcW w:w="560" w:type="dxa"/>
            <w:shd w:val="clear" w:color="auto" w:fill="auto"/>
            <w:noWrap/>
            <w:hideMark/>
          </w:tcPr>
          <w:p w14:paraId="2575DE47"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35DD0F7A"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Повезивање здравствених установа у централни систем електронског здравственог картона - институти</w:t>
            </w:r>
          </w:p>
        </w:tc>
        <w:tc>
          <w:tcPr>
            <w:tcW w:w="1701" w:type="dxa"/>
            <w:shd w:val="clear" w:color="auto" w:fill="auto"/>
            <w:hideMark/>
          </w:tcPr>
          <w:p w14:paraId="7CA7924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43A4DC7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Вендор </w:t>
            </w:r>
            <w:r w:rsidR="00444996"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Проком софт</w:t>
            </w:r>
            <w:r w:rsidR="00444996"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 xml:space="preserve"> је у фази интеграције са централним сервисом и очекује се у току новембра финализација и пуштање у продукцију.</w:t>
            </w:r>
          </w:p>
        </w:tc>
        <w:tc>
          <w:tcPr>
            <w:tcW w:w="2410" w:type="dxa"/>
            <w:shd w:val="clear" w:color="auto" w:fill="auto"/>
            <w:hideMark/>
          </w:tcPr>
          <w:p w14:paraId="26AB373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117245B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3E114B39" w14:textId="77777777" w:rsidTr="004F56D8">
        <w:trPr>
          <w:trHeight w:val="841"/>
        </w:trPr>
        <w:tc>
          <w:tcPr>
            <w:tcW w:w="560" w:type="dxa"/>
            <w:shd w:val="clear" w:color="auto" w:fill="auto"/>
            <w:noWrap/>
            <w:hideMark/>
          </w:tcPr>
          <w:p w14:paraId="61BB3984"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669A6361"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Успостављање централног лабораторијског система - еЛабораторија</w:t>
            </w:r>
          </w:p>
        </w:tc>
        <w:tc>
          <w:tcPr>
            <w:tcW w:w="1701" w:type="dxa"/>
            <w:shd w:val="clear" w:color="auto" w:fill="auto"/>
            <w:hideMark/>
          </w:tcPr>
          <w:p w14:paraId="4BE365B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hideMark/>
          </w:tcPr>
          <w:p w14:paraId="6DC10EE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Расписана јавна набавка, одабран извођач, потписан уговор и одржан почетни састанак око свих активности везаних за пројекат.</w:t>
            </w:r>
          </w:p>
        </w:tc>
        <w:tc>
          <w:tcPr>
            <w:tcW w:w="2410" w:type="dxa"/>
            <w:shd w:val="clear" w:color="auto" w:fill="auto"/>
            <w:hideMark/>
          </w:tcPr>
          <w:p w14:paraId="226527A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1DAE2D6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5203C412" w14:textId="77777777" w:rsidTr="004F56D8">
        <w:trPr>
          <w:trHeight w:val="528"/>
        </w:trPr>
        <w:tc>
          <w:tcPr>
            <w:tcW w:w="560" w:type="dxa"/>
            <w:shd w:val="clear" w:color="auto" w:fill="auto"/>
            <w:noWrap/>
            <w:hideMark/>
          </w:tcPr>
          <w:p w14:paraId="387F8C05"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102B6C25"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Имплементација система за проверу интеракције лекова и система подршке за доношење клиничких одлука</w:t>
            </w:r>
          </w:p>
        </w:tc>
        <w:tc>
          <w:tcPr>
            <w:tcW w:w="1701" w:type="dxa"/>
            <w:shd w:val="clear" w:color="auto" w:fill="auto"/>
            <w:hideMark/>
          </w:tcPr>
          <w:p w14:paraId="6CE0702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hideMark/>
          </w:tcPr>
          <w:p w14:paraId="793A6DAA" w14:textId="0B04E13B" w:rsidR="003E4638" w:rsidRPr="00092ED7" w:rsidRDefault="003E4638" w:rsidP="00444996">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Пројекат је планиран кроз финансирање ИПА 2022.</w:t>
            </w:r>
          </w:p>
        </w:tc>
        <w:tc>
          <w:tcPr>
            <w:tcW w:w="2410" w:type="dxa"/>
            <w:shd w:val="clear" w:color="auto" w:fill="auto"/>
            <w:hideMark/>
          </w:tcPr>
          <w:p w14:paraId="518DFE4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4F60DCC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1A361961" w14:textId="77777777" w:rsidTr="004F56D8">
        <w:trPr>
          <w:trHeight w:val="467"/>
        </w:trPr>
        <w:tc>
          <w:tcPr>
            <w:tcW w:w="560" w:type="dxa"/>
            <w:shd w:val="clear" w:color="auto" w:fill="auto"/>
            <w:noWrap/>
            <w:hideMark/>
          </w:tcPr>
          <w:p w14:paraId="7585BC54"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2696E1E5"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Проширење еРецепта за специјалисте</w:t>
            </w:r>
          </w:p>
        </w:tc>
        <w:tc>
          <w:tcPr>
            <w:tcW w:w="1701" w:type="dxa"/>
            <w:shd w:val="clear" w:color="auto" w:fill="auto"/>
            <w:hideMark/>
          </w:tcPr>
          <w:p w14:paraId="0564DFF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09EFDA8D" w14:textId="1E587A60" w:rsidR="003E4638" w:rsidRPr="00092ED7" w:rsidRDefault="00FC072D"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наредном периоду</w:t>
            </w:r>
            <w:r w:rsidR="003E4638" w:rsidRPr="00092ED7">
              <w:rPr>
                <w:rFonts w:eastAsia="Times New Roman" w:cs="Times New Roman"/>
                <w:color w:val="000000"/>
                <w:sz w:val="18"/>
                <w:szCs w:val="18"/>
                <w:lang w:val="sr-Cyrl-CS" w:eastAsia="sr-Latn-RS"/>
              </w:rPr>
              <w:t xml:space="preserve"> очекује се продукција сервиса за специјалисте.</w:t>
            </w:r>
          </w:p>
        </w:tc>
        <w:tc>
          <w:tcPr>
            <w:tcW w:w="2410" w:type="dxa"/>
            <w:shd w:val="clear" w:color="auto" w:fill="auto"/>
            <w:hideMark/>
          </w:tcPr>
          <w:p w14:paraId="519FF6F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0D22DD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3731B451" w14:textId="77777777" w:rsidTr="004F56D8">
        <w:trPr>
          <w:trHeight w:val="644"/>
        </w:trPr>
        <w:tc>
          <w:tcPr>
            <w:tcW w:w="560" w:type="dxa"/>
            <w:shd w:val="clear" w:color="auto" w:fill="auto"/>
            <w:noWrap/>
            <w:hideMark/>
          </w:tcPr>
          <w:p w14:paraId="28786A85"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2E9B2BD9"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Успостављање централизованог система еДосије</w:t>
            </w:r>
          </w:p>
        </w:tc>
        <w:tc>
          <w:tcPr>
            <w:tcW w:w="1701" w:type="dxa"/>
            <w:shd w:val="clear" w:color="auto" w:fill="auto"/>
            <w:hideMark/>
          </w:tcPr>
          <w:p w14:paraId="11EDF685"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7116FD8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Расписана јавна набавка, одабран извођач, потписан уговор са извођачем и очекује се иницијални састанак и даљи рад на пројекту еДосије.</w:t>
            </w:r>
          </w:p>
        </w:tc>
        <w:tc>
          <w:tcPr>
            <w:tcW w:w="2410" w:type="dxa"/>
            <w:shd w:val="clear" w:color="auto" w:fill="auto"/>
            <w:hideMark/>
          </w:tcPr>
          <w:p w14:paraId="1A08345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47CDA4A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75448E82" w14:textId="77777777" w:rsidTr="004F56D8">
        <w:trPr>
          <w:trHeight w:val="642"/>
        </w:trPr>
        <w:tc>
          <w:tcPr>
            <w:tcW w:w="560" w:type="dxa"/>
            <w:shd w:val="clear" w:color="auto" w:fill="auto"/>
            <w:noWrap/>
            <w:hideMark/>
          </w:tcPr>
          <w:p w14:paraId="08DF5C9F"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6.</w:t>
            </w:r>
          </w:p>
        </w:tc>
        <w:tc>
          <w:tcPr>
            <w:tcW w:w="4407" w:type="dxa"/>
            <w:shd w:val="clear" w:color="auto" w:fill="auto"/>
            <w:hideMark/>
          </w:tcPr>
          <w:p w14:paraId="7BF10764"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Успостављање Платформе за еБоловање – здравствени део</w:t>
            </w:r>
          </w:p>
        </w:tc>
        <w:tc>
          <w:tcPr>
            <w:tcW w:w="1701" w:type="dxa"/>
            <w:shd w:val="clear" w:color="auto" w:fill="auto"/>
            <w:hideMark/>
          </w:tcPr>
          <w:p w14:paraId="68B57A0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1517D56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Започето је пилот тестирање у пар установа, а затим се пушта сервис у продукцију на све здравствене установе примарног нивоа здравствене заштите. </w:t>
            </w:r>
          </w:p>
        </w:tc>
        <w:tc>
          <w:tcPr>
            <w:tcW w:w="2410" w:type="dxa"/>
            <w:shd w:val="clear" w:color="auto" w:fill="auto"/>
            <w:hideMark/>
          </w:tcPr>
          <w:p w14:paraId="4E63CA35"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55126A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59461137" w14:textId="77777777" w:rsidTr="004F56D8">
        <w:trPr>
          <w:trHeight w:val="360"/>
        </w:trPr>
        <w:tc>
          <w:tcPr>
            <w:tcW w:w="560" w:type="dxa"/>
            <w:shd w:val="clear" w:color="auto" w:fill="auto"/>
            <w:hideMark/>
          </w:tcPr>
          <w:p w14:paraId="621C1A1E"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6B22EBB4"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35B94D6E"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63%</w:t>
            </w:r>
          </w:p>
        </w:tc>
        <w:tc>
          <w:tcPr>
            <w:tcW w:w="3118" w:type="dxa"/>
            <w:shd w:val="clear" w:color="auto" w:fill="auto"/>
            <w:noWrap/>
            <w:hideMark/>
          </w:tcPr>
          <w:p w14:paraId="20DC4450"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3D357240"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466CDC23" w14:textId="77777777" w:rsidR="003E4638" w:rsidRPr="00092ED7" w:rsidRDefault="003E4638" w:rsidP="003E4638">
            <w:pPr>
              <w:spacing w:after="0"/>
              <w:jc w:val="left"/>
              <w:rPr>
                <w:rFonts w:eastAsia="Times New Roman" w:cs="Times New Roman"/>
                <w:sz w:val="18"/>
                <w:szCs w:val="18"/>
                <w:lang w:val="sr-Cyrl-CS" w:eastAsia="sr-Latn-RS"/>
              </w:rPr>
            </w:pPr>
          </w:p>
        </w:tc>
      </w:tr>
    </w:tbl>
    <w:p w14:paraId="700F5766" w14:textId="77777777" w:rsidR="00B11AE5" w:rsidRPr="00092ED7" w:rsidRDefault="00B11AE5" w:rsidP="00D030D6">
      <w:pPr>
        <w:spacing w:after="60"/>
        <w:rPr>
          <w:w w:val="110"/>
          <w:lang w:val="sr-Cyrl-CS"/>
        </w:rPr>
      </w:pPr>
    </w:p>
    <w:p w14:paraId="1798DDE4" w14:textId="77777777" w:rsidR="00B11AE5" w:rsidRPr="00092ED7" w:rsidRDefault="00B11AE5">
      <w:pPr>
        <w:spacing w:after="160" w:line="259" w:lineRule="auto"/>
        <w:jc w:val="left"/>
        <w:rPr>
          <w:w w:val="110"/>
          <w:lang w:val="sr-Cyrl-CS"/>
        </w:rPr>
      </w:pPr>
      <w:r w:rsidRPr="00092ED7">
        <w:rPr>
          <w:w w:val="110"/>
          <w:lang w:val="sr-Cyrl-CS"/>
        </w:rPr>
        <w:br w:type="page"/>
      </w:r>
    </w:p>
    <w:p w14:paraId="5E8534CA" w14:textId="77777777" w:rsidR="00B11AE5" w:rsidRPr="00092ED7" w:rsidRDefault="00B11AE5" w:rsidP="00E83FFC">
      <w:pPr>
        <w:keepNext/>
        <w:keepLines/>
        <w:spacing w:after="240"/>
        <w:outlineLvl w:val="0"/>
        <w:rPr>
          <w:b/>
          <w:w w:val="110"/>
          <w:lang w:val="sr-Cyrl-CS"/>
        </w:rPr>
      </w:pPr>
      <w:bookmarkStart w:id="183" w:name="_Toc124174841"/>
      <w:bookmarkStart w:id="184" w:name="_Toc126218659"/>
      <w:r w:rsidRPr="00092ED7">
        <w:rPr>
          <w:b/>
          <w:w w:val="110"/>
          <w:lang w:val="sr-Cyrl-CS"/>
        </w:rPr>
        <w:t>Анекс 2</w:t>
      </w:r>
      <w:r w:rsidR="00E34561" w:rsidRPr="00092ED7">
        <w:rPr>
          <w:b/>
          <w:w w:val="110"/>
          <w:lang w:val="sr-Cyrl-CS"/>
        </w:rPr>
        <w:t xml:space="preserve"> -</w:t>
      </w:r>
      <w:r w:rsidR="00941038" w:rsidRPr="00092ED7">
        <w:rPr>
          <w:b/>
          <w:w w:val="110"/>
          <w:lang w:val="sr-Cyrl-CS"/>
        </w:rPr>
        <w:t xml:space="preserve"> </w:t>
      </w:r>
      <w:r w:rsidR="00E83FFC" w:rsidRPr="00092ED7">
        <w:rPr>
          <w:b/>
          <w:w w:val="110"/>
          <w:lang w:val="sr-Cyrl-CS"/>
        </w:rPr>
        <w:t>Везе између реформских области и релевантних докумената јавних политика</w:t>
      </w:r>
      <w:bookmarkEnd w:id="183"/>
      <w:bookmarkEnd w:id="184"/>
    </w:p>
    <w:tbl>
      <w:tblPr>
        <w:tblW w:w="14641" w:type="dxa"/>
        <w:tblInd w:w="93" w:type="dxa"/>
        <w:tblLayout w:type="fixed"/>
        <w:tblCellMar>
          <w:left w:w="28" w:type="dxa"/>
          <w:right w:w="28" w:type="dxa"/>
        </w:tblCellMar>
        <w:tblLook w:val="04A0" w:firstRow="1" w:lastRow="0" w:firstColumn="1" w:lastColumn="0" w:noHBand="0" w:noVBand="1"/>
      </w:tblPr>
      <w:tblGrid>
        <w:gridCol w:w="1635"/>
        <w:gridCol w:w="1498"/>
        <w:gridCol w:w="1750"/>
        <w:gridCol w:w="2015"/>
        <w:gridCol w:w="1932"/>
        <w:gridCol w:w="2409"/>
        <w:gridCol w:w="1843"/>
        <w:gridCol w:w="1559"/>
      </w:tblGrid>
      <w:tr w:rsidR="00F50B50" w:rsidRPr="00092ED7" w14:paraId="2DFA0916" w14:textId="77777777" w:rsidTr="00F50B50">
        <w:trPr>
          <w:trHeight w:val="1146"/>
          <w:tblHeader/>
        </w:trPr>
        <w:tc>
          <w:tcPr>
            <w:tcW w:w="163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74715BB" w14:textId="77777777" w:rsidR="00F50B50" w:rsidRPr="00092ED7" w:rsidRDefault="00F50B50" w:rsidP="00F50B50">
            <w:pPr>
              <w:jc w:val="center"/>
              <w:rPr>
                <w:rFonts w:eastAsia="Times New Roman" w:cs="Times New Roman"/>
                <w:b/>
                <w:bCs/>
                <w:sz w:val="18"/>
                <w:szCs w:val="18"/>
                <w:lang w:val="sr-Cyrl-CS"/>
              </w:rPr>
            </w:pPr>
            <w:r w:rsidRPr="00092ED7">
              <w:rPr>
                <w:rFonts w:eastAsia="Times New Roman" w:cs="Times New Roman"/>
                <w:b/>
                <w:bCs/>
                <w:sz w:val="18"/>
                <w:szCs w:val="18"/>
                <w:lang w:val="sr-Cyrl-CS"/>
              </w:rPr>
              <w:t>Структурне реформе (СР)</w:t>
            </w:r>
          </w:p>
          <w:p w14:paraId="3D197370" w14:textId="77777777" w:rsidR="00F50B50" w:rsidRPr="00092ED7" w:rsidRDefault="00F50B50" w:rsidP="00F50B50">
            <w:pPr>
              <w:jc w:val="center"/>
              <w:rPr>
                <w:rFonts w:eastAsia="Times New Roman" w:cs="Times New Roman"/>
                <w:sz w:val="18"/>
                <w:szCs w:val="18"/>
                <w:lang w:val="sr-Cyrl-CS"/>
              </w:rPr>
            </w:pPr>
            <w:r w:rsidRPr="00092ED7">
              <w:rPr>
                <w:rFonts w:eastAsia="Times New Roman" w:cs="Times New Roman"/>
                <w:b/>
                <w:bCs/>
                <w:sz w:val="18"/>
                <w:szCs w:val="18"/>
                <w:lang w:val="sr-Cyrl-CS"/>
              </w:rPr>
              <w:t>ЕРП 2023-2025</w:t>
            </w:r>
          </w:p>
        </w:tc>
        <w:tc>
          <w:tcPr>
            <w:tcW w:w="14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46E54A0" w14:textId="77777777" w:rsidR="00F50B50" w:rsidRPr="00092ED7" w:rsidRDefault="00F50B50" w:rsidP="00F50B50">
            <w:pPr>
              <w:jc w:val="center"/>
              <w:rPr>
                <w:rFonts w:eastAsia="Times New Roman" w:cs="Times New Roman"/>
                <w:b/>
                <w:bCs/>
                <w:i/>
                <w:iCs/>
                <w:sz w:val="18"/>
                <w:szCs w:val="18"/>
                <w:lang w:val="sr-Cyrl-CS"/>
              </w:rPr>
            </w:pPr>
            <w:r w:rsidRPr="00092ED7">
              <w:rPr>
                <w:rFonts w:eastAsia="Times New Roman" w:cs="Times New Roman"/>
                <w:b/>
                <w:bCs/>
                <w:sz w:val="18"/>
                <w:szCs w:val="18"/>
                <w:lang w:val="sr-Cyrl-CS"/>
              </w:rPr>
              <w:t>Кључни структурни изазови (КСИ)</w:t>
            </w:r>
            <w:r w:rsidRPr="00092ED7">
              <w:rPr>
                <w:rFonts w:eastAsia="Times New Roman" w:cs="Times New Roman"/>
                <w:b/>
                <w:bCs/>
                <w:sz w:val="18"/>
                <w:szCs w:val="18"/>
                <w:lang w:val="sr-Cyrl-CS"/>
              </w:rPr>
              <w:br/>
              <w:t>(Оцена EK ЕРП 2022-2024)</w:t>
            </w:r>
          </w:p>
        </w:tc>
        <w:tc>
          <w:tcPr>
            <w:tcW w:w="17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7B135CB" w14:textId="77777777" w:rsidR="00F50B50" w:rsidRPr="00092ED7" w:rsidRDefault="00F50B50" w:rsidP="00F50B50">
            <w:pPr>
              <w:jc w:val="center"/>
              <w:rPr>
                <w:rFonts w:eastAsia="Times New Roman" w:cs="Times New Roman"/>
                <w:sz w:val="18"/>
                <w:szCs w:val="18"/>
                <w:lang w:val="sr-Cyrl-CS"/>
              </w:rPr>
            </w:pPr>
            <w:r w:rsidRPr="00092ED7">
              <w:rPr>
                <w:rFonts w:eastAsia="Times New Roman" w:cs="Times New Roman"/>
                <w:b/>
                <w:bCs/>
                <w:sz w:val="18"/>
                <w:szCs w:val="18"/>
                <w:lang w:val="sr-Cyrl-CS"/>
              </w:rPr>
              <w:t>ЕРП Заједнички закључци 2022</w:t>
            </w:r>
          </w:p>
        </w:tc>
        <w:tc>
          <w:tcPr>
            <w:tcW w:w="201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469AB61" w14:textId="77777777" w:rsidR="00F50B50" w:rsidRPr="00092ED7" w:rsidRDefault="00F50B50" w:rsidP="00F50B50">
            <w:pPr>
              <w:jc w:val="center"/>
              <w:rPr>
                <w:rFonts w:eastAsia="Times New Roman" w:cs="Times New Roman"/>
                <w:sz w:val="18"/>
                <w:szCs w:val="18"/>
                <w:lang w:val="sr-Cyrl-CS"/>
              </w:rPr>
            </w:pPr>
            <w:r w:rsidRPr="00092ED7">
              <w:rPr>
                <w:rFonts w:eastAsia="Times New Roman" w:cs="Times New Roman"/>
                <w:b/>
                <w:bCs/>
                <w:sz w:val="18"/>
                <w:szCs w:val="18"/>
                <w:lang w:val="sr-Cyrl-CS"/>
              </w:rPr>
              <w:t>Пакет за проширење 2022</w:t>
            </w:r>
          </w:p>
        </w:tc>
        <w:tc>
          <w:tcPr>
            <w:tcW w:w="193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4E05AAB" w14:textId="77777777" w:rsidR="00F50B50" w:rsidRPr="00092ED7" w:rsidRDefault="00F50B50" w:rsidP="00F50B50">
            <w:pPr>
              <w:jc w:val="center"/>
              <w:rPr>
                <w:rFonts w:eastAsia="Times New Roman" w:cs="Times New Roman"/>
                <w:sz w:val="18"/>
                <w:szCs w:val="18"/>
                <w:lang w:val="sr-Cyrl-CS"/>
              </w:rPr>
            </w:pPr>
            <w:r w:rsidRPr="00092ED7">
              <w:rPr>
                <w:rFonts w:eastAsia="Times New Roman" w:cs="Times New Roman"/>
                <w:b/>
                <w:bCs/>
                <w:sz w:val="18"/>
                <w:szCs w:val="18"/>
                <w:lang w:val="sr-Cyrl-CS"/>
              </w:rPr>
              <w:t>Циљеви одрживог развоја 2020-2030</w:t>
            </w:r>
          </w:p>
        </w:tc>
        <w:tc>
          <w:tcPr>
            <w:tcW w:w="240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E030EF7" w14:textId="77777777" w:rsidR="00F50B50" w:rsidRPr="00092ED7" w:rsidRDefault="00F50B50" w:rsidP="00F50B50">
            <w:pPr>
              <w:jc w:val="center"/>
              <w:rPr>
                <w:rFonts w:eastAsia="Times New Roman" w:cs="Times New Roman"/>
                <w:sz w:val="18"/>
                <w:szCs w:val="18"/>
                <w:lang w:val="sr-Cyrl-CS"/>
              </w:rPr>
            </w:pPr>
            <w:r w:rsidRPr="00092ED7">
              <w:rPr>
                <w:rFonts w:eastAsia="Times New Roman" w:cs="Times New Roman"/>
                <w:b/>
                <w:bCs/>
                <w:sz w:val="18"/>
                <w:szCs w:val="18"/>
                <w:lang w:val="sr-Cyrl-CS"/>
              </w:rPr>
              <w:t>Европски зелени договор/ Зелена агенда за Западни Балкан (ЗАЗБ)</w:t>
            </w:r>
          </w:p>
        </w:tc>
        <w:tc>
          <w:tcPr>
            <w:tcW w:w="184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661E016" w14:textId="77777777" w:rsidR="00F50B50" w:rsidRPr="00092ED7" w:rsidRDefault="00F50B50" w:rsidP="00F50B50">
            <w:pPr>
              <w:jc w:val="center"/>
              <w:rPr>
                <w:rFonts w:eastAsia="Times New Roman" w:cs="Times New Roman"/>
                <w:sz w:val="18"/>
                <w:szCs w:val="18"/>
                <w:lang w:val="sr-Cyrl-CS"/>
              </w:rPr>
            </w:pPr>
            <w:r w:rsidRPr="00092ED7">
              <w:rPr>
                <w:rFonts w:eastAsia="Times New Roman" w:cs="Times New Roman"/>
                <w:b/>
                <w:bCs/>
                <w:sz w:val="18"/>
                <w:szCs w:val="18"/>
                <w:lang w:val="sr-Cyrl-CS"/>
              </w:rPr>
              <w:t>Европска дигитална агенда / Дигитална агенда за Западни Балкан</w:t>
            </w:r>
          </w:p>
        </w:tc>
        <w:tc>
          <w:tcPr>
            <w:tcW w:w="155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23DE9B56" w14:textId="77777777" w:rsidR="00F50B50" w:rsidRPr="00092ED7" w:rsidRDefault="00E83FFC" w:rsidP="00F50B50">
            <w:pPr>
              <w:jc w:val="center"/>
              <w:rPr>
                <w:rFonts w:eastAsia="Times New Roman" w:cs="Times New Roman"/>
                <w:sz w:val="18"/>
                <w:szCs w:val="18"/>
                <w:lang w:val="sr-Cyrl-CS"/>
              </w:rPr>
            </w:pPr>
            <w:r w:rsidRPr="00092ED7">
              <w:rPr>
                <w:rFonts w:eastAsia="Times New Roman" w:cs="Times New Roman"/>
                <w:b/>
                <w:bCs/>
                <w:sz w:val="18"/>
                <w:szCs w:val="18"/>
                <w:lang w:val="sr-Cyrl-CS"/>
              </w:rPr>
              <w:t>ИПА</w:t>
            </w:r>
            <w:r w:rsidR="00F50B50" w:rsidRPr="00092ED7">
              <w:rPr>
                <w:rFonts w:eastAsia="Times New Roman" w:cs="Times New Roman"/>
                <w:b/>
                <w:bCs/>
                <w:sz w:val="18"/>
                <w:szCs w:val="18"/>
                <w:lang w:val="sr-Cyrl-CS"/>
              </w:rPr>
              <w:t xml:space="preserve"> пројекти који подржавају ову реформу</w:t>
            </w:r>
          </w:p>
        </w:tc>
      </w:tr>
      <w:tr w:rsidR="00F50B50" w:rsidRPr="00092ED7" w14:paraId="63BEC273" w14:textId="77777777" w:rsidTr="00F50B50">
        <w:trPr>
          <w:trHeight w:val="410"/>
        </w:trPr>
        <w:tc>
          <w:tcPr>
            <w:tcW w:w="1635" w:type="dxa"/>
            <w:tcBorders>
              <w:top w:val="single" w:sz="6" w:space="0" w:color="000000"/>
              <w:left w:val="single" w:sz="6" w:space="0" w:color="000000"/>
              <w:bottom w:val="single" w:sz="6" w:space="0" w:color="000000"/>
              <w:right w:val="single" w:sz="6" w:space="0" w:color="000000"/>
            </w:tcBorders>
          </w:tcPr>
          <w:p w14:paraId="6C3B5879" w14:textId="77777777" w:rsidR="00F50B50" w:rsidRPr="00092ED7" w:rsidRDefault="00F50B50" w:rsidP="00875ED4">
            <w:pPr>
              <w:spacing w:after="60"/>
              <w:ind w:right="144"/>
              <w:jc w:val="left"/>
              <w:rPr>
                <w:rFonts w:eastAsia="Times New Roman" w:cs="Times New Roman"/>
                <w:b/>
                <w:bCs/>
                <w:sz w:val="20"/>
                <w:szCs w:val="20"/>
                <w:lang w:val="sr-Cyrl-CS"/>
              </w:rPr>
            </w:pPr>
            <w:r w:rsidRPr="00092ED7">
              <w:rPr>
                <w:rFonts w:eastAsia="Times New Roman" w:cs="Times New Roman"/>
                <w:b/>
                <w:bCs/>
                <w:sz w:val="20"/>
                <w:szCs w:val="20"/>
                <w:lang w:val="sr-Cyrl-CS"/>
              </w:rPr>
              <w:t>СР 1. Успостављање оквира за увођење Гаранције за младе у Републици Србији</w:t>
            </w:r>
          </w:p>
        </w:tc>
        <w:tc>
          <w:tcPr>
            <w:tcW w:w="1498" w:type="dxa"/>
            <w:tcBorders>
              <w:top w:val="single" w:sz="6" w:space="0" w:color="000000"/>
              <w:left w:val="single" w:sz="6" w:space="0" w:color="000000"/>
              <w:bottom w:val="single" w:sz="6" w:space="0" w:color="000000"/>
              <w:right w:val="single" w:sz="6" w:space="0" w:color="000000"/>
            </w:tcBorders>
          </w:tcPr>
          <w:p w14:paraId="3BBDFEBC" w14:textId="77777777" w:rsidR="00F50B50" w:rsidRPr="00092ED7" w:rsidRDefault="00E83FFC" w:rsidP="00875ED4">
            <w:pPr>
              <w:spacing w:after="60"/>
              <w:ind w:right="85"/>
              <w:jc w:val="left"/>
              <w:rPr>
                <w:rFonts w:eastAsia="Times New Roman" w:cs="Times New Roman"/>
                <w:iCs/>
                <w:sz w:val="18"/>
                <w:szCs w:val="18"/>
                <w:lang w:val="sr-Cyrl-CS"/>
              </w:rPr>
            </w:pPr>
            <w:r w:rsidRPr="00092ED7">
              <w:rPr>
                <w:rFonts w:eastAsia="Times New Roman" w:cs="Times New Roman"/>
                <w:b/>
                <w:iCs/>
                <w:sz w:val="18"/>
                <w:szCs w:val="18"/>
                <w:lang w:val="sr-Cyrl-CS"/>
              </w:rPr>
              <w:t xml:space="preserve">КСИ 1. </w:t>
            </w:r>
            <w:r w:rsidRPr="00092ED7">
              <w:rPr>
                <w:rFonts w:eastAsia="Times New Roman" w:cs="Times New Roman"/>
                <w:iCs/>
                <w:sz w:val="18"/>
                <w:szCs w:val="18"/>
                <w:lang w:val="sr-Cyrl-CS"/>
              </w:rPr>
              <w:t>Повећање запослености, посебно младих, жена и угрожених група и социјална заштита од сиромаштва</w:t>
            </w:r>
          </w:p>
        </w:tc>
        <w:tc>
          <w:tcPr>
            <w:tcW w:w="1750" w:type="dxa"/>
            <w:tcBorders>
              <w:top w:val="single" w:sz="6" w:space="0" w:color="000000"/>
              <w:left w:val="single" w:sz="6" w:space="0" w:color="000000"/>
              <w:bottom w:val="single" w:sz="6" w:space="0" w:color="000000"/>
              <w:right w:val="single" w:sz="6" w:space="0" w:color="000000"/>
            </w:tcBorders>
          </w:tcPr>
          <w:p w14:paraId="02E257FB" w14:textId="77777777" w:rsidR="00875ED4"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Препорука 6.</w:t>
            </w:r>
          </w:p>
          <w:p w14:paraId="4055D7F4"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Финализирати, у сарадњи са свим релевантним министарствима, њиховим агенцијама и заинтересованим странама, План имплементације Гаранције за младе, усвојити га и покренути његову имплементацију.</w:t>
            </w:r>
          </w:p>
        </w:tc>
        <w:tc>
          <w:tcPr>
            <w:tcW w:w="2015" w:type="dxa"/>
            <w:tcBorders>
              <w:top w:val="single" w:sz="6" w:space="0" w:color="000000"/>
              <w:left w:val="single" w:sz="6" w:space="0" w:color="000000"/>
              <w:bottom w:val="single" w:sz="6" w:space="0" w:color="000000"/>
              <w:right w:val="single" w:sz="6" w:space="0" w:color="000000"/>
            </w:tcBorders>
          </w:tcPr>
          <w:p w14:paraId="384A8615"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Осигурати адекватне финансијске и институционалне ресурсе за запошљавање и социјалне политике који би се систематичније усмерили на младе, жене и дуготрајно незапослене</w:t>
            </w:r>
          </w:p>
          <w:p w14:paraId="1E06A754"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Посебно, предузети даље кораке за почетак пилотирања Гаранције за младе у Србији; </w:t>
            </w:r>
          </w:p>
        </w:tc>
        <w:tc>
          <w:tcPr>
            <w:tcW w:w="1932" w:type="dxa"/>
            <w:tcBorders>
              <w:top w:val="single" w:sz="6" w:space="0" w:color="000000"/>
              <w:left w:val="single" w:sz="6" w:space="0" w:color="000000"/>
              <w:bottom w:val="single" w:sz="6" w:space="0" w:color="000000"/>
              <w:right w:val="single" w:sz="6" w:space="0" w:color="000000"/>
            </w:tcBorders>
          </w:tcPr>
          <w:p w14:paraId="004DF0E0"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8.6</w:t>
            </w:r>
            <w:r w:rsidRPr="00092ED7">
              <w:rPr>
                <w:rFonts w:eastAsia="Times New Roman" w:cs="Times New Roman"/>
                <w:bCs/>
                <w:sz w:val="18"/>
                <w:szCs w:val="18"/>
                <w:lang w:val="sr-Cyrl-CS"/>
              </w:rPr>
              <w:t xml:space="preserve"> До 2020. битно смањити удео младих који нису запослени нити у процесу образовања или обуке</w:t>
            </w:r>
          </w:p>
          <w:p w14:paraId="491E6D0F" w14:textId="55415AF1"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ЦОР 8.б</w:t>
            </w:r>
            <w:r w:rsidRPr="00092ED7">
              <w:rPr>
                <w:rFonts w:eastAsia="Times New Roman" w:cs="Times New Roman"/>
                <w:iCs/>
                <w:sz w:val="18"/>
                <w:szCs w:val="18"/>
                <w:lang w:val="sr-Cyrl-CS"/>
              </w:rPr>
              <w:t xml:space="preserve"> До 2020. развити и операционализовати глобалну стратегију за запошљавање младих и применити „Глобални пакт за запошљавање</w:t>
            </w:r>
            <w:r w:rsidR="0063659E" w:rsidRPr="00092ED7">
              <w:rPr>
                <w:rFonts w:cs="Times New Roman"/>
                <w:sz w:val="18"/>
                <w:szCs w:val="18"/>
                <w:lang w:val="sr-Cyrl-CS"/>
              </w:rPr>
              <w:t>”</w:t>
            </w:r>
            <w:r w:rsidRPr="00092ED7">
              <w:rPr>
                <w:rFonts w:eastAsia="Times New Roman" w:cs="Times New Roman"/>
                <w:iCs/>
                <w:sz w:val="18"/>
                <w:szCs w:val="18"/>
                <w:lang w:val="sr-Cyrl-CS"/>
              </w:rPr>
              <w:t xml:space="preserve"> Међународне организације рада</w:t>
            </w:r>
          </w:p>
        </w:tc>
        <w:tc>
          <w:tcPr>
            <w:tcW w:w="2409" w:type="dxa"/>
            <w:tcBorders>
              <w:top w:val="single" w:sz="6" w:space="0" w:color="000000"/>
              <w:left w:val="single" w:sz="6" w:space="0" w:color="000000"/>
              <w:bottom w:val="single" w:sz="6" w:space="0" w:color="000000"/>
              <w:right w:val="single" w:sz="6" w:space="0" w:color="000000"/>
            </w:tcBorders>
          </w:tcPr>
          <w:p w14:paraId="2F4AAE52"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Индиректан утицај на </w:t>
            </w:r>
            <w:r w:rsidRPr="00092ED7">
              <w:rPr>
                <w:rFonts w:eastAsia="Times New Roman" w:cs="Times New Roman"/>
                <w:b/>
                <w:iCs/>
                <w:sz w:val="18"/>
                <w:szCs w:val="18"/>
                <w:lang w:val="sr-Cyrl-CS"/>
              </w:rPr>
              <w:t xml:space="preserve">циљ 60 ЗАЗБ - </w:t>
            </w:r>
            <w:r w:rsidRPr="00092ED7">
              <w:rPr>
                <w:rFonts w:eastAsia="Times New Roman" w:cs="Times New Roman"/>
                <w:iCs/>
                <w:sz w:val="18"/>
                <w:szCs w:val="18"/>
                <w:lang w:val="sr-Cyrl-CS"/>
              </w:rPr>
              <w:t xml:space="preserve">Израдити програме и предузети потребне мере за повећање административних капацитета за имплементацију ЗАЗБ како би се остварили надзор, промоција и поштовање еколошких обавеза и осигурати ефикасне механизме за учествовање јавности, приступ информацијама, приступ правосуђу у питањима заштите средине, као и  извештавање о животној средини </w:t>
            </w:r>
          </w:p>
          <w:p w14:paraId="5F0E47CB" w14:textId="474AA678" w:rsidR="00F50B50" w:rsidRPr="00092ED7" w:rsidRDefault="00F50B50" w:rsidP="00875ED4">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Стварање могућности за развој ,,зелених</w:t>
            </w:r>
            <w:r w:rsidR="0063659E" w:rsidRPr="00092ED7">
              <w:rPr>
                <w:rFonts w:cs="Times New Roman"/>
                <w:i/>
                <w:sz w:val="18"/>
                <w:szCs w:val="18"/>
                <w:lang w:val="sr-Cyrl-CS"/>
              </w:rPr>
              <w:t>”</w:t>
            </w:r>
            <w:r w:rsidRPr="00092ED7">
              <w:rPr>
                <w:rFonts w:eastAsia="Times New Roman" w:cs="Times New Roman"/>
                <w:i/>
                <w:iCs/>
                <w:sz w:val="18"/>
                <w:szCs w:val="18"/>
                <w:lang w:val="sr-Cyrl-CS"/>
              </w:rPr>
              <w:t xml:space="preserve"> послова, уз повећање сарадње са секторима и партнерима у области заштите животне средине у оквиру програма гаранције за младе.</w:t>
            </w:r>
          </w:p>
        </w:tc>
        <w:tc>
          <w:tcPr>
            <w:tcW w:w="1843" w:type="dxa"/>
            <w:tcBorders>
              <w:top w:val="single" w:sz="6" w:space="0" w:color="000000"/>
              <w:left w:val="single" w:sz="6" w:space="0" w:color="000000"/>
              <w:bottom w:val="single" w:sz="6" w:space="0" w:color="000000"/>
              <w:right w:val="single" w:sz="6" w:space="0" w:color="000000"/>
            </w:tcBorders>
          </w:tcPr>
          <w:p w14:paraId="41E525F1" w14:textId="77777777" w:rsidR="00F50B50" w:rsidRPr="00092ED7" w:rsidRDefault="00F50B50" w:rsidP="00875ED4">
            <w:pPr>
              <w:spacing w:after="60"/>
              <w:jc w:val="left"/>
              <w:rPr>
                <w:rFonts w:eastAsia="Times New Roman" w:cs="Times New Roman"/>
                <w:b/>
                <w:bCs/>
                <w:sz w:val="18"/>
                <w:szCs w:val="18"/>
                <w:lang w:val="sr-Cyrl-CS"/>
              </w:rPr>
            </w:pPr>
            <w:r w:rsidRPr="00092ED7">
              <w:rPr>
                <w:rFonts w:eastAsia="Times New Roman" w:cs="Times New Roman"/>
                <w:b/>
                <w:iCs/>
                <w:sz w:val="18"/>
                <w:szCs w:val="18"/>
                <w:lang w:val="sr-Cyrl-CS"/>
              </w:rPr>
              <w:t>Кључна иницијатива 10. Гаранција за младе</w:t>
            </w:r>
            <w:r w:rsidRPr="00092ED7">
              <w:rPr>
                <w:rFonts w:eastAsia="Times New Roman" w:cs="Times New Roman"/>
                <w:b/>
                <w:bCs/>
                <w:sz w:val="18"/>
                <w:szCs w:val="18"/>
                <w:lang w:val="sr-Cyrl-CS"/>
              </w:rPr>
              <w:t xml:space="preserve"> </w:t>
            </w:r>
          </w:p>
          <w:p w14:paraId="0EED574F" w14:textId="77777777" w:rsidR="00F50B50" w:rsidRPr="00092ED7" w:rsidRDefault="00F50B50" w:rsidP="00875ED4">
            <w:pPr>
              <w:spacing w:after="60"/>
              <w:jc w:val="left"/>
              <w:rPr>
                <w:rFonts w:eastAsia="Times New Roman" w:cs="Times New Roman"/>
                <w:b/>
                <w:bCs/>
                <w:sz w:val="18"/>
                <w:szCs w:val="18"/>
                <w:lang w:val="sr-Cyrl-CS"/>
              </w:rPr>
            </w:pPr>
            <w:r w:rsidRPr="00092ED7">
              <w:rPr>
                <w:rFonts w:eastAsia="Times New Roman" w:cs="Times New Roman"/>
                <w:bCs/>
                <w:sz w:val="18"/>
                <w:szCs w:val="18"/>
                <w:lang w:val="sr-Cyrl-CS"/>
              </w:rPr>
              <w:t>- Успостављање Гаранције за младе</w:t>
            </w:r>
          </w:p>
          <w:p w14:paraId="423B337D" w14:textId="77777777" w:rsidR="00F50B50" w:rsidRPr="00092ED7" w:rsidRDefault="00F50B50" w:rsidP="00875ED4">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Декларација Западног Балкана о осигурању одрживе интеграције младих на тржиште рада</w:t>
            </w:r>
          </w:p>
        </w:tc>
        <w:tc>
          <w:tcPr>
            <w:tcW w:w="1559" w:type="dxa"/>
            <w:tcBorders>
              <w:top w:val="single" w:sz="6" w:space="0" w:color="000000"/>
              <w:left w:val="single" w:sz="6" w:space="0" w:color="000000"/>
              <w:bottom w:val="single" w:sz="6" w:space="0" w:color="000000"/>
              <w:right w:val="single" w:sz="6" w:space="0" w:color="000000"/>
            </w:tcBorders>
          </w:tcPr>
          <w:p w14:paraId="74330851" w14:textId="77777777" w:rsidR="00F50B50" w:rsidRPr="00092ED7" w:rsidRDefault="00E83FFC"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ИПА</w:t>
            </w:r>
            <w:r w:rsidR="00F50B50" w:rsidRPr="00092ED7">
              <w:rPr>
                <w:rFonts w:eastAsia="Times New Roman" w:cs="Times New Roman"/>
                <w:iCs/>
                <w:sz w:val="18"/>
                <w:szCs w:val="18"/>
                <w:lang w:val="sr-Cyrl-CS"/>
              </w:rPr>
              <w:t xml:space="preserve"> </w:t>
            </w:r>
            <w:r w:rsidRPr="00092ED7">
              <w:rPr>
                <w:rFonts w:eastAsia="Times New Roman" w:cs="Times New Roman"/>
                <w:iCs/>
                <w:sz w:val="18"/>
                <w:szCs w:val="18"/>
                <w:lang w:val="sr-Cyrl-CS"/>
              </w:rPr>
              <w:t>20</w:t>
            </w:r>
            <w:r w:rsidR="00F50B50" w:rsidRPr="00092ED7">
              <w:rPr>
                <w:rFonts w:eastAsia="Times New Roman" w:cs="Times New Roman"/>
                <w:iCs/>
                <w:sz w:val="18"/>
                <w:szCs w:val="18"/>
                <w:lang w:val="sr-Cyrl-CS"/>
              </w:rPr>
              <w:t>20</w:t>
            </w:r>
          </w:p>
          <w:p w14:paraId="64D2F752"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Директни грант „Спровођење иновативних мера активне политике запошљавања и подршка запошљавању теже запошљивих категоријаˮ</w:t>
            </w:r>
          </w:p>
          <w:p w14:paraId="0C66F436" w14:textId="77777777" w:rsidR="00040667" w:rsidRPr="00092ED7" w:rsidRDefault="00040667"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4.000.000 евра</w:t>
            </w:r>
          </w:p>
          <w:p w14:paraId="64B372EA"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Део средстава из пројекта Техничке помоћи из ИПА 2020 укупне </w:t>
            </w:r>
            <w:r w:rsidR="00040667" w:rsidRPr="00092ED7">
              <w:rPr>
                <w:rFonts w:eastAsia="Times New Roman" w:cs="Times New Roman"/>
                <w:iCs/>
                <w:sz w:val="18"/>
                <w:szCs w:val="18"/>
                <w:lang w:val="sr-Cyrl-CS"/>
              </w:rPr>
              <w:t xml:space="preserve">вредности </w:t>
            </w:r>
            <w:r w:rsidRPr="00092ED7">
              <w:rPr>
                <w:rFonts w:eastAsia="Times New Roman" w:cs="Times New Roman"/>
                <w:iCs/>
                <w:sz w:val="18"/>
                <w:szCs w:val="18"/>
                <w:lang w:val="sr-Cyrl-CS"/>
              </w:rPr>
              <w:t xml:space="preserve">1.500.000 </w:t>
            </w:r>
            <w:r w:rsidR="00040667" w:rsidRPr="00092ED7">
              <w:rPr>
                <w:rFonts w:eastAsia="Times New Roman" w:cs="Times New Roman"/>
                <w:iCs/>
                <w:sz w:val="18"/>
                <w:szCs w:val="18"/>
                <w:lang w:val="sr-Cyrl-CS"/>
              </w:rPr>
              <w:t>евра</w:t>
            </w:r>
          </w:p>
          <w:p w14:paraId="534C56CB" w14:textId="77777777" w:rsidR="00040667" w:rsidRPr="00092ED7" w:rsidRDefault="00040667" w:rsidP="00875ED4">
            <w:pPr>
              <w:spacing w:after="60"/>
              <w:jc w:val="left"/>
              <w:rPr>
                <w:rFonts w:eastAsia="Times New Roman" w:cs="Times New Roman"/>
                <w:iCs/>
                <w:sz w:val="18"/>
                <w:szCs w:val="18"/>
                <w:lang w:val="sr-Cyrl-CS"/>
              </w:rPr>
            </w:pPr>
          </w:p>
          <w:p w14:paraId="098F911D" w14:textId="1A6F0606" w:rsidR="00040667" w:rsidRPr="00092ED7" w:rsidRDefault="00040667" w:rsidP="00040667">
            <w:pPr>
              <w:spacing w:after="60"/>
              <w:jc w:val="left"/>
              <w:rPr>
                <w:rFonts w:eastAsia="Times New Roman" w:cs="Times New Roman"/>
                <w:iCs/>
                <w:sz w:val="18"/>
                <w:szCs w:val="18"/>
                <w:lang w:val="sr-Cyrl-CS"/>
              </w:rPr>
            </w:pPr>
          </w:p>
        </w:tc>
      </w:tr>
      <w:tr w:rsidR="00F50B50" w:rsidRPr="00092ED7" w14:paraId="7615A89F" w14:textId="77777777" w:rsidTr="00F50B50">
        <w:trPr>
          <w:trHeight w:val="950"/>
        </w:trPr>
        <w:tc>
          <w:tcPr>
            <w:tcW w:w="1635" w:type="dxa"/>
            <w:tcBorders>
              <w:top w:val="single" w:sz="6" w:space="0" w:color="000000"/>
              <w:left w:val="single" w:sz="6" w:space="0" w:color="000000"/>
              <w:bottom w:val="single" w:sz="6" w:space="0" w:color="000000"/>
              <w:right w:val="single" w:sz="6" w:space="0" w:color="000000"/>
            </w:tcBorders>
          </w:tcPr>
          <w:p w14:paraId="2836A978" w14:textId="77777777" w:rsidR="00F50B50" w:rsidRPr="00092ED7" w:rsidRDefault="00E83FFC" w:rsidP="00875ED4">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СР </w:t>
            </w:r>
            <w:r w:rsidR="00F50B50" w:rsidRPr="00092ED7">
              <w:rPr>
                <w:rFonts w:eastAsia="Times New Roman" w:cs="Times New Roman"/>
                <w:b/>
                <w:bCs/>
                <w:sz w:val="20"/>
                <w:szCs w:val="20"/>
                <w:lang w:val="sr-Cyrl-CS"/>
              </w:rPr>
              <w:t>2</w:t>
            </w:r>
            <w:r w:rsidRPr="00092ED7">
              <w:rPr>
                <w:rFonts w:eastAsia="Times New Roman" w:cs="Times New Roman"/>
                <w:b/>
                <w:bCs/>
                <w:sz w:val="20"/>
                <w:szCs w:val="20"/>
                <w:lang w:val="sr-Cyrl-CS"/>
              </w:rPr>
              <w:t>.</w:t>
            </w:r>
            <w:r w:rsidR="00F50B50" w:rsidRPr="00092ED7">
              <w:rPr>
                <w:rFonts w:eastAsia="Times New Roman" w:cs="Times New Roman"/>
                <w:b/>
                <w:bCs/>
                <w:sz w:val="20"/>
                <w:szCs w:val="20"/>
                <w:lang w:val="sr-Cyrl-CS"/>
              </w:rPr>
              <w:t xml:space="preserve"> Реформа Фонда за младе таленте</w:t>
            </w:r>
          </w:p>
        </w:tc>
        <w:tc>
          <w:tcPr>
            <w:tcW w:w="1498" w:type="dxa"/>
            <w:tcBorders>
              <w:top w:val="single" w:sz="6" w:space="0" w:color="000000"/>
              <w:left w:val="single" w:sz="6" w:space="0" w:color="000000"/>
              <w:bottom w:val="single" w:sz="6" w:space="0" w:color="000000"/>
              <w:right w:val="single" w:sz="6" w:space="0" w:color="000000"/>
            </w:tcBorders>
          </w:tcPr>
          <w:p w14:paraId="54102574" w14:textId="77777777" w:rsidR="00F50B50" w:rsidRPr="00092ED7" w:rsidRDefault="00E83FFC"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КСИ 1. </w:t>
            </w:r>
            <w:r w:rsidRPr="00092ED7">
              <w:rPr>
                <w:rFonts w:eastAsia="Times New Roman" w:cs="Times New Roman"/>
                <w:iCs/>
                <w:sz w:val="18"/>
                <w:szCs w:val="18"/>
                <w:lang w:val="sr-Cyrl-CS"/>
              </w:rPr>
              <w:t>Повећање запослености, посебно младих, жена и угрожених група и социјална заштита од сиромаштва</w:t>
            </w:r>
          </w:p>
        </w:tc>
        <w:tc>
          <w:tcPr>
            <w:tcW w:w="1750" w:type="dxa"/>
            <w:tcBorders>
              <w:top w:val="single" w:sz="6" w:space="0" w:color="000000"/>
              <w:left w:val="single" w:sz="6" w:space="0" w:color="000000"/>
              <w:bottom w:val="single" w:sz="6" w:space="0" w:color="000000"/>
              <w:right w:val="single" w:sz="6" w:space="0" w:color="000000"/>
            </w:tcBorders>
          </w:tcPr>
          <w:p w14:paraId="0A79AA36" w14:textId="77777777" w:rsidR="00F50B50" w:rsidRPr="00092ED7" w:rsidRDefault="00F50B50" w:rsidP="00875ED4">
            <w:pPr>
              <w:spacing w:after="60"/>
              <w:jc w:val="left"/>
              <w:rPr>
                <w:rFonts w:eastAsia="Times New Roman" w:cs="Times New Roman"/>
                <w:b/>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78838FA3" w14:textId="77777777" w:rsidR="00F50B50" w:rsidRPr="00092ED7" w:rsidRDefault="00F50B50" w:rsidP="00875ED4">
            <w:pPr>
              <w:pStyle w:val="Default"/>
              <w:spacing w:after="60"/>
              <w:jc w:val="left"/>
              <w:rPr>
                <w:rFonts w:ascii="Times New Roman" w:hAnsi="Times New Roman" w:cs="Times New Roman"/>
                <w:iCs/>
                <w:color w:val="auto"/>
                <w:sz w:val="18"/>
                <w:szCs w:val="18"/>
                <w:lang w:val="sr-Cyrl-CS"/>
              </w:rPr>
            </w:pPr>
            <w:r w:rsidRPr="00092ED7">
              <w:rPr>
                <w:rFonts w:ascii="Times New Roman" w:hAnsi="Times New Roman" w:cs="Times New Roman"/>
                <w:iCs/>
                <w:color w:val="auto"/>
                <w:sz w:val="18"/>
                <w:szCs w:val="18"/>
                <w:lang w:val="sr-Cyrl-CS"/>
              </w:rPr>
              <w:t>- Омладинска политика и механизми подршке су недовољно и  неједнако развијени и треба их даље јачати</w:t>
            </w:r>
          </w:p>
        </w:tc>
        <w:tc>
          <w:tcPr>
            <w:tcW w:w="1932" w:type="dxa"/>
            <w:tcBorders>
              <w:top w:val="single" w:sz="6" w:space="0" w:color="000000"/>
              <w:left w:val="single" w:sz="6" w:space="0" w:color="000000"/>
              <w:bottom w:val="single" w:sz="6" w:space="0" w:color="000000"/>
              <w:right w:val="single" w:sz="6" w:space="0" w:color="000000"/>
            </w:tcBorders>
          </w:tcPr>
          <w:p w14:paraId="6A2A5EFE" w14:textId="77777777" w:rsidR="00F50B50" w:rsidRPr="00092ED7" w:rsidRDefault="00F50B50" w:rsidP="00875ED4">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 xml:space="preserve">ЦОР 4.4 </w:t>
            </w:r>
            <w:r w:rsidRPr="00092ED7">
              <w:rPr>
                <w:rFonts w:eastAsia="Times New Roman" w:cs="Times New Roman"/>
                <w:bCs/>
                <w:sz w:val="18"/>
                <w:szCs w:val="18"/>
                <w:lang w:val="sr-Cyrl-CS"/>
              </w:rPr>
              <w:t>До 2030. значајно повећати број младих и одраслих који имају одговарајуће вештине, укључујући техничке и стручне, за запошљавање, достојне послове и предузетништво</w:t>
            </w:r>
          </w:p>
        </w:tc>
        <w:tc>
          <w:tcPr>
            <w:tcW w:w="2409" w:type="dxa"/>
            <w:tcBorders>
              <w:top w:val="single" w:sz="6" w:space="0" w:color="000000"/>
              <w:left w:val="single" w:sz="6" w:space="0" w:color="000000"/>
              <w:bottom w:val="single" w:sz="6" w:space="0" w:color="000000"/>
              <w:right w:val="single" w:sz="6" w:space="0" w:color="000000"/>
            </w:tcBorders>
          </w:tcPr>
          <w:p w14:paraId="768B1CFF" w14:textId="3046E51B"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
                <w:iCs/>
                <w:sz w:val="18"/>
                <w:szCs w:val="18"/>
                <w:lang w:val="sr-Cyrl-CS"/>
              </w:rPr>
              <w:t>Стварање могућности за едукацију у области заштите животне средине, уз повећање сарадње са секторима и партнерима  у сфери ,,зелених</w:t>
            </w:r>
            <w:r w:rsidR="0063659E" w:rsidRPr="00092ED7">
              <w:rPr>
                <w:rFonts w:cs="Times New Roman"/>
                <w:i/>
                <w:sz w:val="18"/>
                <w:szCs w:val="18"/>
                <w:lang w:val="sr-Cyrl-CS"/>
              </w:rPr>
              <w:t>”</w:t>
            </w:r>
            <w:r w:rsidRPr="00092ED7">
              <w:rPr>
                <w:rFonts w:eastAsia="Times New Roman" w:cs="Times New Roman"/>
                <w:i/>
                <w:iCs/>
                <w:sz w:val="18"/>
                <w:szCs w:val="18"/>
                <w:lang w:val="sr-Cyrl-CS"/>
              </w:rPr>
              <w:t xml:space="preserve"> послова</w:t>
            </w:r>
          </w:p>
        </w:tc>
        <w:tc>
          <w:tcPr>
            <w:tcW w:w="1843" w:type="dxa"/>
            <w:tcBorders>
              <w:top w:val="single" w:sz="6" w:space="0" w:color="000000"/>
              <w:left w:val="single" w:sz="6" w:space="0" w:color="000000"/>
              <w:bottom w:val="single" w:sz="6" w:space="0" w:color="000000"/>
              <w:right w:val="single" w:sz="6" w:space="0" w:color="000000"/>
            </w:tcBorders>
          </w:tcPr>
          <w:p w14:paraId="51E463F6" w14:textId="77777777" w:rsidR="00F50B50" w:rsidRPr="00092ED7" w:rsidRDefault="00F50B50" w:rsidP="00875ED4">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xml:space="preserve">Агенда иновација за Западни Балкан - поспешивање развоја људског капитала, заустављање одлива мозгова и подстицање циркулације мозгова. </w:t>
            </w:r>
          </w:p>
          <w:p w14:paraId="41DBC1FD" w14:textId="77777777" w:rsidR="00F50B50" w:rsidRPr="00092ED7" w:rsidRDefault="00F50B50" w:rsidP="00875ED4">
            <w:pPr>
              <w:spacing w:after="60"/>
              <w:jc w:val="left"/>
              <w:rPr>
                <w:rFonts w:eastAsia="Times New Roman" w:cs="Times New Roman"/>
                <w:b/>
                <w:bCs/>
                <w:iCs/>
                <w:sz w:val="18"/>
                <w:szCs w:val="18"/>
                <w:lang w:val="sr-Cyrl-CS"/>
              </w:rPr>
            </w:pPr>
            <w:r w:rsidRPr="00092ED7">
              <w:rPr>
                <w:rFonts w:eastAsia="Times New Roman" w:cs="Times New Roman"/>
                <w:bCs/>
                <w:iCs/>
                <w:sz w:val="18"/>
                <w:szCs w:val="18"/>
                <w:lang w:val="sr-Cyrl-CS"/>
              </w:rPr>
              <w:t>Промовисање инклузивног и висококвалитетног система образовања и обуке, пружајући младима боље изгледе.</w:t>
            </w:r>
          </w:p>
        </w:tc>
        <w:tc>
          <w:tcPr>
            <w:tcW w:w="1559" w:type="dxa"/>
            <w:tcBorders>
              <w:top w:val="single" w:sz="6" w:space="0" w:color="000000"/>
              <w:left w:val="single" w:sz="6" w:space="0" w:color="000000"/>
              <w:bottom w:val="single" w:sz="6" w:space="0" w:color="000000"/>
              <w:right w:val="single" w:sz="6" w:space="0" w:color="000000"/>
            </w:tcBorders>
          </w:tcPr>
          <w:p w14:paraId="26ADD6C9" w14:textId="77777777" w:rsidR="00F50B50" w:rsidRPr="00092ED7" w:rsidRDefault="00F50B50" w:rsidP="00875ED4">
            <w:pPr>
              <w:spacing w:after="60"/>
              <w:jc w:val="left"/>
              <w:rPr>
                <w:rFonts w:eastAsia="Times New Roman" w:cs="Times New Roman"/>
                <w:iCs/>
                <w:sz w:val="18"/>
                <w:szCs w:val="18"/>
                <w:lang w:val="sr-Cyrl-CS" w:bidi="sr-Cyrl-CS"/>
              </w:rPr>
            </w:pPr>
            <w:r w:rsidRPr="00092ED7">
              <w:rPr>
                <w:rFonts w:eastAsia="Times New Roman" w:cs="Times New Roman"/>
                <w:iCs/>
                <w:sz w:val="18"/>
                <w:szCs w:val="18"/>
                <w:lang w:val="sr-Cyrl-CS" w:bidi="sr-Cyrl-CS"/>
              </w:rPr>
              <w:t>/</w:t>
            </w:r>
          </w:p>
        </w:tc>
      </w:tr>
      <w:tr w:rsidR="00F50B50" w:rsidRPr="00092ED7" w14:paraId="2F17AE21" w14:textId="77777777" w:rsidTr="00F50B50">
        <w:trPr>
          <w:trHeight w:val="808"/>
        </w:trPr>
        <w:tc>
          <w:tcPr>
            <w:tcW w:w="1635" w:type="dxa"/>
            <w:tcBorders>
              <w:top w:val="single" w:sz="6" w:space="0" w:color="000000"/>
              <w:left w:val="single" w:sz="6" w:space="0" w:color="000000"/>
              <w:bottom w:val="single" w:sz="6" w:space="0" w:color="000000"/>
              <w:right w:val="single" w:sz="6" w:space="0" w:color="000000"/>
            </w:tcBorders>
          </w:tcPr>
          <w:p w14:paraId="37F2C02B" w14:textId="77777777" w:rsidR="00F50B50" w:rsidRPr="00092ED7" w:rsidRDefault="00F50B50" w:rsidP="00875ED4">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3. Квалификације оријентисане према потребама тржишта рада</w:t>
            </w:r>
          </w:p>
        </w:tc>
        <w:tc>
          <w:tcPr>
            <w:tcW w:w="1498" w:type="dxa"/>
            <w:tcBorders>
              <w:top w:val="single" w:sz="6" w:space="0" w:color="000000"/>
              <w:left w:val="single" w:sz="6" w:space="0" w:color="000000"/>
              <w:bottom w:val="single" w:sz="6" w:space="0" w:color="000000"/>
              <w:right w:val="single" w:sz="6" w:space="0" w:color="000000"/>
            </w:tcBorders>
          </w:tcPr>
          <w:p w14:paraId="76C2F461" w14:textId="77777777" w:rsidR="00F50B50" w:rsidRPr="00092ED7" w:rsidRDefault="00E83FFC"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 xml:space="preserve">КСИ 1. </w:t>
            </w:r>
            <w:r w:rsidRPr="00092ED7">
              <w:rPr>
                <w:rFonts w:eastAsia="Times New Roman" w:cs="Times New Roman"/>
                <w:iCs/>
                <w:sz w:val="18"/>
                <w:szCs w:val="18"/>
                <w:lang w:val="sr-Cyrl-CS"/>
              </w:rPr>
              <w:t>Повећање запослености, посебно младих, жена и угрожених група и социјална заштита од сиромаштва</w:t>
            </w:r>
          </w:p>
        </w:tc>
        <w:tc>
          <w:tcPr>
            <w:tcW w:w="1750" w:type="dxa"/>
            <w:tcBorders>
              <w:top w:val="single" w:sz="6" w:space="0" w:color="000000"/>
              <w:left w:val="single" w:sz="6" w:space="0" w:color="000000"/>
              <w:bottom w:val="single" w:sz="6" w:space="0" w:color="000000"/>
              <w:right w:val="single" w:sz="6" w:space="0" w:color="000000"/>
            </w:tcBorders>
          </w:tcPr>
          <w:p w14:paraId="3026275F"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Препорука 6.</w:t>
            </w:r>
            <w:r w:rsidRPr="00092ED7">
              <w:rPr>
                <w:rFonts w:eastAsia="Times New Roman" w:cs="Times New Roman"/>
                <w:iCs/>
                <w:sz w:val="18"/>
                <w:szCs w:val="18"/>
                <w:lang w:val="sr-Cyrl-CS"/>
              </w:rPr>
              <w:t xml:space="preserve"> </w:t>
            </w:r>
          </w:p>
          <w:p w14:paraId="42C14459"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Наставити са олакшавањем преласка из школе на радно место даљим јачањем стручног образовања, укључујући дуално стручно образовање, кроз ревидиране наставне планове и програме и обезбеђивање инфраструктуре која омогућава стицање практичних вештина</w:t>
            </w:r>
          </w:p>
        </w:tc>
        <w:tc>
          <w:tcPr>
            <w:tcW w:w="2015" w:type="dxa"/>
            <w:tcBorders>
              <w:top w:val="single" w:sz="6" w:space="0" w:color="000000"/>
              <w:left w:val="single" w:sz="6" w:space="0" w:color="000000"/>
              <w:bottom w:val="single" w:sz="6" w:space="0" w:color="000000"/>
              <w:right w:val="single" w:sz="6" w:space="0" w:color="000000"/>
            </w:tcBorders>
          </w:tcPr>
          <w:p w14:paraId="0B67E633" w14:textId="77777777" w:rsidR="00F50B50" w:rsidRPr="00092ED7" w:rsidRDefault="00F50B50" w:rsidP="00875ED4">
            <w:pPr>
              <w:pStyle w:val="Default"/>
              <w:spacing w:after="60"/>
              <w:jc w:val="left"/>
              <w:rPr>
                <w:rFonts w:ascii="Times New Roman" w:hAnsi="Times New Roman" w:cs="Times New Roman"/>
                <w:iCs/>
                <w:color w:val="auto"/>
                <w:sz w:val="18"/>
                <w:szCs w:val="18"/>
                <w:lang w:val="sr-Cyrl-CS"/>
              </w:rPr>
            </w:pPr>
            <w:r w:rsidRPr="00092ED7">
              <w:rPr>
                <w:rFonts w:ascii="Times New Roman" w:hAnsi="Times New Roman" w:cs="Times New Roman"/>
                <w:iCs/>
                <w:color w:val="auto"/>
                <w:sz w:val="18"/>
                <w:szCs w:val="18"/>
                <w:lang w:val="sr-Cyrl-CS"/>
              </w:rPr>
              <w:t>- Потребно је настави рад на модернизацији и унапређењу стандарда квалификација како би се побољшала релевантност стручног образовања и даље развио национални модел учења з</w:t>
            </w:r>
            <w:r w:rsidR="00875ED4" w:rsidRPr="00092ED7">
              <w:rPr>
                <w:rFonts w:ascii="Times New Roman" w:hAnsi="Times New Roman" w:cs="Times New Roman"/>
                <w:iCs/>
                <w:color w:val="auto"/>
                <w:sz w:val="18"/>
                <w:szCs w:val="18"/>
                <w:lang w:val="sr-Cyrl-CS"/>
              </w:rPr>
              <w:t>аснованог на дуалном образовању</w:t>
            </w:r>
          </w:p>
        </w:tc>
        <w:tc>
          <w:tcPr>
            <w:tcW w:w="1932" w:type="dxa"/>
            <w:tcBorders>
              <w:top w:val="single" w:sz="6" w:space="0" w:color="000000"/>
              <w:left w:val="single" w:sz="6" w:space="0" w:color="000000"/>
              <w:bottom w:val="single" w:sz="6" w:space="0" w:color="000000"/>
              <w:right w:val="single" w:sz="6" w:space="0" w:color="000000"/>
            </w:tcBorders>
          </w:tcPr>
          <w:p w14:paraId="2BF6DA2A"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4.3.</w:t>
            </w:r>
            <w:r w:rsidRPr="00092ED7">
              <w:rPr>
                <w:rFonts w:eastAsia="Times New Roman" w:cs="Times New Roman"/>
                <w:bCs/>
                <w:sz w:val="18"/>
                <w:szCs w:val="18"/>
                <w:lang w:val="sr-Cyrl-CS"/>
              </w:rPr>
              <w:t xml:space="preserve"> До 2030. обезбедити једнаку доступност приступачног и квалитетног стручног образовања на свим нивоима, укључујући и универзитетско, за све жене и мушкарце </w:t>
            </w:r>
          </w:p>
          <w:p w14:paraId="381C5A78"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4.4.</w:t>
            </w:r>
            <w:r w:rsidRPr="00092ED7">
              <w:rPr>
                <w:rFonts w:eastAsia="Times New Roman" w:cs="Times New Roman"/>
                <w:bCs/>
                <w:sz w:val="18"/>
                <w:szCs w:val="18"/>
                <w:lang w:val="sr-Cyrl-CS"/>
              </w:rPr>
              <w:t xml:space="preserve"> До 2030. значајно повећати број младих и одраслих који имају релевантне вештине, укључујући техничке и стручне, за запошљавање, достојне послове и предузетништво</w:t>
            </w:r>
          </w:p>
          <w:p w14:paraId="32C785EF"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8.6</w:t>
            </w:r>
            <w:r w:rsidRPr="00092ED7">
              <w:rPr>
                <w:rFonts w:eastAsia="Times New Roman" w:cs="Times New Roman"/>
                <w:bCs/>
                <w:sz w:val="18"/>
                <w:szCs w:val="18"/>
                <w:lang w:val="sr-Cyrl-CS"/>
              </w:rPr>
              <w:t xml:space="preserve"> До 2020. битно смањити удео младих који нису запослени нити у процесу образовања или обуке</w:t>
            </w:r>
          </w:p>
        </w:tc>
        <w:tc>
          <w:tcPr>
            <w:tcW w:w="2409" w:type="dxa"/>
            <w:tcBorders>
              <w:top w:val="single" w:sz="6" w:space="0" w:color="000000"/>
              <w:left w:val="single" w:sz="6" w:space="0" w:color="000000"/>
              <w:bottom w:val="single" w:sz="6" w:space="0" w:color="000000"/>
              <w:right w:val="single" w:sz="6" w:space="0" w:color="000000"/>
            </w:tcBorders>
          </w:tcPr>
          <w:p w14:paraId="2B6A0196"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Директан утицај на </w:t>
            </w:r>
            <w:r w:rsidRPr="00092ED7">
              <w:rPr>
                <w:rFonts w:eastAsia="Times New Roman" w:cs="Times New Roman"/>
                <w:b/>
                <w:iCs/>
                <w:sz w:val="18"/>
                <w:szCs w:val="18"/>
                <w:lang w:val="sr-Cyrl-CS"/>
              </w:rPr>
              <w:t xml:space="preserve">циљ 62 ЗАЗБ - </w:t>
            </w:r>
            <w:r w:rsidRPr="00092ED7">
              <w:rPr>
                <w:rFonts w:eastAsia="Times New Roman" w:cs="Times New Roman"/>
                <w:iCs/>
                <w:sz w:val="18"/>
                <w:szCs w:val="18"/>
                <w:lang w:val="sr-Cyrl-CS"/>
              </w:rPr>
              <w:t>Развити план за специфичне економске и регионалне активности подизања свести у свих пет стубова, укључујући одражавање Зеленог плана за Западни Балкан у реформе образовних система</w:t>
            </w:r>
          </w:p>
          <w:p w14:paraId="1CCB9037" w14:textId="77777777" w:rsidR="00F50B50" w:rsidRPr="00092ED7" w:rsidRDefault="00F50B50" w:rsidP="00875ED4">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Укључивање тема животне средине и климе у студијске програме, наставне планове и рад регионалних тренинг центра. На онај начин се развијају вештине које доприносе унапређењу области у оквиру Зелене агенде за Западни Балкан и Европског зеленог договора (клима, енергетска ефикасност, транспорт, пољопривреда, биодиверзитет…) и успостављају мере подршке (стандарди, процене, извештавање, планирање, евалуација, технологије, финансијски инструменти…)</w:t>
            </w:r>
          </w:p>
        </w:tc>
        <w:tc>
          <w:tcPr>
            <w:tcW w:w="1843" w:type="dxa"/>
            <w:tcBorders>
              <w:top w:val="single" w:sz="6" w:space="0" w:color="000000"/>
              <w:left w:val="single" w:sz="6" w:space="0" w:color="000000"/>
              <w:bottom w:val="single" w:sz="6" w:space="0" w:color="000000"/>
              <w:right w:val="single" w:sz="6" w:space="0" w:color="000000"/>
            </w:tcBorders>
          </w:tcPr>
          <w:p w14:paraId="486854B6"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bCs/>
                <w:iCs/>
                <w:sz w:val="18"/>
                <w:szCs w:val="18"/>
                <w:lang w:val="sr-Cyrl-CS"/>
              </w:rPr>
              <w:t>Поглавље IX Улагање у људски капитал</w:t>
            </w:r>
          </w:p>
          <w:p w14:paraId="6586B5F0"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Развој учења кроз рад у оквиру стручног образовања и обуке</w:t>
            </w:r>
          </w:p>
          <w:p w14:paraId="7BFEA0A2"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Повезивање са Европским оквиром квалификација</w:t>
            </w:r>
          </w:p>
          <w:p w14:paraId="72656EFE"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Агенда иновација за Западни Балкан - поспешивање развоја људског капитала, заустављање одлива мозгова и подстицање циркулације мозгова</w:t>
            </w:r>
          </w:p>
        </w:tc>
        <w:tc>
          <w:tcPr>
            <w:tcW w:w="1559" w:type="dxa"/>
            <w:tcBorders>
              <w:top w:val="single" w:sz="6" w:space="0" w:color="000000"/>
              <w:left w:val="single" w:sz="6" w:space="0" w:color="000000"/>
              <w:bottom w:val="single" w:sz="6" w:space="0" w:color="000000"/>
              <w:right w:val="single" w:sz="6" w:space="0" w:color="000000"/>
            </w:tcBorders>
          </w:tcPr>
          <w:p w14:paraId="57248539" w14:textId="2ACFF6E1" w:rsidR="00F50B50" w:rsidRPr="00092ED7" w:rsidRDefault="00F50B50" w:rsidP="00875ED4">
            <w:pPr>
              <w:spacing w:after="60"/>
              <w:jc w:val="left"/>
              <w:rPr>
                <w:rFonts w:eastAsia="Times New Roman" w:cs="Times New Roman"/>
                <w:iCs/>
                <w:sz w:val="18"/>
                <w:szCs w:val="18"/>
                <w:lang w:val="sr-Cyrl-CS"/>
              </w:rPr>
            </w:pPr>
          </w:p>
        </w:tc>
      </w:tr>
      <w:tr w:rsidR="00F50B50" w:rsidRPr="00092ED7" w14:paraId="6ADBCF43" w14:textId="77777777" w:rsidTr="00F50B50">
        <w:trPr>
          <w:trHeight w:val="411"/>
        </w:trPr>
        <w:tc>
          <w:tcPr>
            <w:tcW w:w="1635" w:type="dxa"/>
            <w:tcBorders>
              <w:top w:val="single" w:sz="6" w:space="0" w:color="000000"/>
              <w:left w:val="single" w:sz="6" w:space="0" w:color="000000"/>
              <w:bottom w:val="single" w:sz="6" w:space="0" w:color="000000"/>
              <w:right w:val="single" w:sz="6" w:space="0" w:color="000000"/>
            </w:tcBorders>
          </w:tcPr>
          <w:p w14:paraId="3A7FFA56" w14:textId="77777777" w:rsidR="00F50B50" w:rsidRPr="00092ED7" w:rsidRDefault="00F50B50" w:rsidP="00875ED4">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4. Унапређење амбијента за подстицање, подршку и праћење циркуларних и економских миграција</w:t>
            </w:r>
          </w:p>
        </w:tc>
        <w:tc>
          <w:tcPr>
            <w:tcW w:w="1498" w:type="dxa"/>
            <w:tcBorders>
              <w:top w:val="single" w:sz="6" w:space="0" w:color="000000"/>
              <w:left w:val="single" w:sz="6" w:space="0" w:color="000000"/>
              <w:bottom w:val="single" w:sz="6" w:space="0" w:color="000000"/>
              <w:right w:val="single" w:sz="6" w:space="0" w:color="000000"/>
            </w:tcBorders>
          </w:tcPr>
          <w:p w14:paraId="5AB3809E" w14:textId="77777777" w:rsidR="00F50B50" w:rsidRPr="00092ED7" w:rsidRDefault="00F50B50" w:rsidP="00E83FFC">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 xml:space="preserve">КСИ 1. </w:t>
            </w:r>
            <w:r w:rsidRPr="00092ED7">
              <w:rPr>
                <w:rFonts w:eastAsia="Times New Roman" w:cs="Times New Roman"/>
                <w:iCs/>
                <w:sz w:val="18"/>
                <w:szCs w:val="18"/>
                <w:lang w:val="sr-Cyrl-CS"/>
              </w:rPr>
              <w:t xml:space="preserve">Повећање запослености, посебно </w:t>
            </w:r>
            <w:r w:rsidR="00875ED4" w:rsidRPr="00092ED7">
              <w:rPr>
                <w:rFonts w:eastAsia="Times New Roman" w:cs="Times New Roman"/>
                <w:iCs/>
                <w:sz w:val="18"/>
                <w:szCs w:val="18"/>
                <w:lang w:val="sr-Cyrl-CS"/>
              </w:rPr>
              <w:t>младих</w:t>
            </w:r>
            <w:r w:rsidR="00E83FFC" w:rsidRPr="00092ED7">
              <w:rPr>
                <w:rFonts w:eastAsia="Times New Roman" w:cs="Times New Roman"/>
                <w:iCs/>
                <w:sz w:val="18"/>
                <w:szCs w:val="18"/>
                <w:lang w:val="sr-Cyrl-CS"/>
              </w:rPr>
              <w:t>,</w:t>
            </w:r>
            <w:r w:rsidR="00875ED4" w:rsidRPr="00092ED7">
              <w:rPr>
                <w:rFonts w:eastAsia="Times New Roman" w:cs="Times New Roman"/>
                <w:iCs/>
                <w:sz w:val="18"/>
                <w:szCs w:val="18"/>
                <w:lang w:val="sr-Cyrl-CS"/>
              </w:rPr>
              <w:t xml:space="preserve"> жена и угрожених група</w:t>
            </w:r>
            <w:r w:rsidRPr="00092ED7">
              <w:rPr>
                <w:rFonts w:eastAsia="Times New Roman" w:cs="Times New Roman"/>
                <w:iCs/>
                <w:sz w:val="18"/>
                <w:szCs w:val="18"/>
                <w:lang w:val="sr-Cyrl-CS"/>
              </w:rPr>
              <w:t xml:space="preserve"> и социјалн</w:t>
            </w:r>
            <w:r w:rsidR="00875ED4" w:rsidRPr="00092ED7">
              <w:rPr>
                <w:rFonts w:eastAsia="Times New Roman" w:cs="Times New Roman"/>
                <w:iCs/>
                <w:sz w:val="18"/>
                <w:szCs w:val="18"/>
                <w:lang w:val="sr-Cyrl-CS"/>
              </w:rPr>
              <w:t>а</w:t>
            </w:r>
            <w:r w:rsidRPr="00092ED7">
              <w:rPr>
                <w:rFonts w:eastAsia="Times New Roman" w:cs="Times New Roman"/>
                <w:iCs/>
                <w:sz w:val="18"/>
                <w:szCs w:val="18"/>
                <w:lang w:val="sr-Cyrl-CS"/>
              </w:rPr>
              <w:t xml:space="preserve"> заштита од сиромаштва</w:t>
            </w:r>
          </w:p>
        </w:tc>
        <w:tc>
          <w:tcPr>
            <w:tcW w:w="1750" w:type="dxa"/>
            <w:tcBorders>
              <w:top w:val="single" w:sz="6" w:space="0" w:color="000000"/>
              <w:left w:val="single" w:sz="6" w:space="0" w:color="000000"/>
              <w:bottom w:val="single" w:sz="6" w:space="0" w:color="000000"/>
              <w:right w:val="single" w:sz="6" w:space="0" w:color="000000"/>
            </w:tcBorders>
          </w:tcPr>
          <w:p w14:paraId="335A2343" w14:textId="77777777" w:rsidR="00F50B50" w:rsidRPr="00092ED7" w:rsidRDefault="00F50B50" w:rsidP="00875ED4">
            <w:pPr>
              <w:spacing w:after="60"/>
              <w:jc w:val="left"/>
              <w:rPr>
                <w:rFonts w:eastAsia="Times New Roman" w:cs="Times New Roman"/>
                <w:b/>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24079077" w14:textId="77777777" w:rsidR="00F50B50" w:rsidRPr="00092ED7" w:rsidRDefault="00F50B50" w:rsidP="00875ED4">
            <w:pPr>
              <w:spacing w:after="60"/>
              <w:jc w:val="left"/>
              <w:rPr>
                <w:rFonts w:eastAsia="Times New Roman" w:cs="Times New Roman"/>
                <w:iCs/>
                <w:sz w:val="18"/>
                <w:szCs w:val="18"/>
                <w:lang w:val="sr-Cyrl-CS"/>
              </w:rPr>
            </w:pPr>
          </w:p>
        </w:tc>
        <w:tc>
          <w:tcPr>
            <w:tcW w:w="1932" w:type="dxa"/>
            <w:tcBorders>
              <w:top w:val="single" w:sz="6" w:space="0" w:color="000000"/>
              <w:left w:val="single" w:sz="6" w:space="0" w:color="000000"/>
              <w:bottom w:val="single" w:sz="6" w:space="0" w:color="000000"/>
              <w:right w:val="single" w:sz="6" w:space="0" w:color="000000"/>
            </w:tcBorders>
          </w:tcPr>
          <w:p w14:paraId="513DF7E0" w14:textId="77777777" w:rsidR="00F50B50" w:rsidRPr="00092ED7" w:rsidRDefault="00F50B50" w:rsidP="00875ED4">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 xml:space="preserve">ЦОР 8.2. </w:t>
            </w:r>
            <w:r w:rsidRPr="00092ED7">
              <w:rPr>
                <w:rFonts w:eastAsia="Times New Roman" w:cs="Times New Roman"/>
                <w:bCs/>
                <w:sz w:val="18"/>
                <w:szCs w:val="18"/>
                <w:lang w:val="sr-Cyrl-CS"/>
              </w:rPr>
              <w:t>Постизање виших нивоа економске продуктивности кроз диверсификацију, технолошку надоградњу и иновације, укључујући фокусирање на радно интензивне и високо профитабилне секторе</w:t>
            </w:r>
          </w:p>
          <w:p w14:paraId="515B33A0"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10.7.</w:t>
            </w:r>
            <w:r w:rsidRPr="00092ED7">
              <w:rPr>
                <w:rFonts w:eastAsia="Times New Roman" w:cs="Times New Roman"/>
                <w:bCs/>
                <w:sz w:val="18"/>
                <w:szCs w:val="18"/>
                <w:lang w:val="sr-Cyrl-CS"/>
              </w:rPr>
              <w:t xml:space="preserve"> Олакшати уређену, безбедну, регуларну и одговорну миграцију и мобилност људи, укључујући примену планираних и добро вођених миграционих политика</w:t>
            </w:r>
          </w:p>
        </w:tc>
        <w:tc>
          <w:tcPr>
            <w:tcW w:w="2409" w:type="dxa"/>
            <w:tcBorders>
              <w:top w:val="single" w:sz="6" w:space="0" w:color="000000"/>
              <w:left w:val="single" w:sz="6" w:space="0" w:color="000000"/>
              <w:bottom w:val="single" w:sz="6" w:space="0" w:color="000000"/>
              <w:right w:val="single" w:sz="6" w:space="0" w:color="000000"/>
            </w:tcBorders>
          </w:tcPr>
          <w:p w14:paraId="32D86681"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Индиректан утицај на </w:t>
            </w:r>
            <w:r w:rsidRPr="00092ED7">
              <w:rPr>
                <w:rFonts w:eastAsia="Times New Roman" w:cs="Times New Roman"/>
                <w:b/>
                <w:iCs/>
                <w:sz w:val="18"/>
                <w:szCs w:val="18"/>
                <w:lang w:val="sr-Cyrl-CS"/>
              </w:rPr>
              <w:t xml:space="preserve">циљ 60 ЗАЗБ - </w:t>
            </w:r>
            <w:r w:rsidRPr="00092ED7">
              <w:rPr>
                <w:rFonts w:eastAsia="Times New Roman" w:cs="Times New Roman"/>
                <w:iCs/>
                <w:sz w:val="18"/>
                <w:szCs w:val="18"/>
                <w:lang w:val="sr-Cyrl-CS"/>
              </w:rPr>
              <w:t xml:space="preserve">Израдити програме и предузети потребне мере за повећање административних капацитета за имплементацију Зелене агенде за Западни Балкан како би се остварили надзор, промоција и поштовање еколошких обавеза и осигурати ефикасне механизме за учествовање јавности, приступ информацијама, приступ правосуђу у питањима заштите средине, као и извештавање о животној средини </w:t>
            </w:r>
          </w:p>
          <w:p w14:paraId="32E1337D" w14:textId="77777777" w:rsidR="00F50B50" w:rsidRPr="00092ED7" w:rsidRDefault="00F50B50" w:rsidP="00875ED4">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Пружање подршке за повратак експерата који би својим знањем допринели унапређењу капацитета у областима садржаних у Зеленој агенди за Западни Балкан и Европском зеленом договору.</w:t>
            </w:r>
          </w:p>
        </w:tc>
        <w:tc>
          <w:tcPr>
            <w:tcW w:w="1843" w:type="dxa"/>
            <w:tcBorders>
              <w:top w:val="single" w:sz="6" w:space="0" w:color="000000"/>
              <w:left w:val="single" w:sz="6" w:space="0" w:color="000000"/>
              <w:bottom w:val="single" w:sz="6" w:space="0" w:color="000000"/>
              <w:right w:val="single" w:sz="6" w:space="0" w:color="000000"/>
            </w:tcBorders>
          </w:tcPr>
          <w:p w14:paraId="048106F9"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Кључна иницијатива 10. Гаранција за младе </w:t>
            </w:r>
          </w:p>
          <w:p w14:paraId="64F539A6"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Доприноси решавању одлива мозгова</w:t>
            </w:r>
          </w:p>
        </w:tc>
        <w:tc>
          <w:tcPr>
            <w:tcW w:w="1559" w:type="dxa"/>
            <w:tcBorders>
              <w:top w:val="single" w:sz="6" w:space="0" w:color="000000"/>
              <w:left w:val="single" w:sz="6" w:space="0" w:color="000000"/>
              <w:bottom w:val="single" w:sz="6" w:space="0" w:color="000000"/>
              <w:right w:val="single" w:sz="6" w:space="0" w:color="000000"/>
            </w:tcBorders>
          </w:tcPr>
          <w:p w14:paraId="2EB1822D"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F50B50" w:rsidRPr="00092ED7" w14:paraId="3AA4E193" w14:textId="77777777" w:rsidTr="00F50B50">
        <w:trPr>
          <w:trHeight w:val="3109"/>
        </w:trPr>
        <w:tc>
          <w:tcPr>
            <w:tcW w:w="1635" w:type="dxa"/>
            <w:tcBorders>
              <w:top w:val="single" w:sz="6" w:space="0" w:color="000000"/>
              <w:left w:val="single" w:sz="6" w:space="0" w:color="000000"/>
              <w:bottom w:val="single" w:sz="6" w:space="0" w:color="000000"/>
              <w:right w:val="single" w:sz="6" w:space="0" w:color="000000"/>
            </w:tcBorders>
          </w:tcPr>
          <w:p w14:paraId="0DAB3228" w14:textId="77777777" w:rsidR="00F50B50" w:rsidRPr="00092ED7" w:rsidRDefault="00F50B50" w:rsidP="00875ED4">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5. Унапређење квалитета пружања јавних услуга кроз оптимизацију и дигитализацију административних поступака – е-П</w:t>
            </w:r>
            <w:r w:rsidR="00875ED4" w:rsidRPr="00092ED7">
              <w:rPr>
                <w:rFonts w:eastAsia="Times New Roman" w:cs="Times New Roman"/>
                <w:b/>
                <w:bCs/>
                <w:sz w:val="20"/>
                <w:szCs w:val="20"/>
                <w:lang w:val="sr-Cyrl-CS"/>
              </w:rPr>
              <w:t>апир</w:t>
            </w:r>
          </w:p>
        </w:tc>
        <w:tc>
          <w:tcPr>
            <w:tcW w:w="1498" w:type="dxa"/>
            <w:tcBorders>
              <w:top w:val="single" w:sz="6" w:space="0" w:color="000000"/>
              <w:left w:val="single" w:sz="6" w:space="0" w:color="000000"/>
              <w:bottom w:val="single" w:sz="6" w:space="0" w:color="000000"/>
              <w:right w:val="single" w:sz="6" w:space="0" w:color="000000"/>
            </w:tcBorders>
          </w:tcPr>
          <w:p w14:paraId="7BAFE2E6"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КСИ 2.</w:t>
            </w:r>
            <w:r w:rsidRPr="00092ED7">
              <w:rPr>
                <w:rFonts w:eastAsia="Times New Roman" w:cs="Times New Roman"/>
                <w:iCs/>
                <w:sz w:val="18"/>
                <w:szCs w:val="18"/>
                <w:lang w:val="sr-Cyrl-CS"/>
              </w:rPr>
              <w:t xml:space="preserve"> </w:t>
            </w:r>
            <w:r w:rsidR="00875ED4" w:rsidRPr="00092ED7">
              <w:rPr>
                <w:rFonts w:eastAsia="Times New Roman" w:cs="Times New Roman"/>
                <w:iCs/>
                <w:sz w:val="18"/>
                <w:szCs w:val="18"/>
                <w:lang w:val="sr-Cyrl-CS"/>
              </w:rPr>
              <w:t>Унапређење</w:t>
            </w:r>
            <w:r w:rsidRPr="00092ED7">
              <w:rPr>
                <w:rFonts w:eastAsia="Times New Roman" w:cs="Times New Roman"/>
                <w:iCs/>
                <w:sz w:val="18"/>
                <w:szCs w:val="18"/>
                <w:lang w:val="sr-Cyrl-CS"/>
              </w:rPr>
              <w:t xml:space="preserve"> пословног амбијента повољнијег за инвестиције</w:t>
            </w:r>
          </w:p>
        </w:tc>
        <w:tc>
          <w:tcPr>
            <w:tcW w:w="1750" w:type="dxa"/>
            <w:tcBorders>
              <w:top w:val="single" w:sz="6" w:space="0" w:color="000000"/>
              <w:left w:val="single" w:sz="6" w:space="0" w:color="000000"/>
              <w:bottom w:val="single" w:sz="6" w:space="0" w:color="000000"/>
              <w:right w:val="single" w:sz="6" w:space="0" w:color="000000"/>
            </w:tcBorders>
          </w:tcPr>
          <w:p w14:paraId="25A07E81" w14:textId="77777777" w:rsidR="00875ED4"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Препорука 2.</w:t>
            </w:r>
          </w:p>
          <w:p w14:paraId="1921D28A"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Смањити сиву економију</w:t>
            </w:r>
          </w:p>
        </w:tc>
        <w:tc>
          <w:tcPr>
            <w:tcW w:w="2015" w:type="dxa"/>
            <w:tcBorders>
              <w:top w:val="single" w:sz="6" w:space="0" w:color="000000"/>
              <w:left w:val="single" w:sz="6" w:space="0" w:color="000000"/>
              <w:bottom w:val="single" w:sz="6" w:space="0" w:color="000000"/>
              <w:right w:val="single" w:sz="6" w:space="0" w:color="000000"/>
            </w:tcBorders>
          </w:tcPr>
          <w:p w14:paraId="4196AA09"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Успостављање јавне управе која је усмеренија на кориснике</w:t>
            </w:r>
          </w:p>
          <w:p w14:paraId="4C05F40F"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Даље унапређење правног оквира за поједностављење административних поступака</w:t>
            </w:r>
          </w:p>
        </w:tc>
        <w:tc>
          <w:tcPr>
            <w:tcW w:w="1932" w:type="dxa"/>
            <w:tcBorders>
              <w:top w:val="single" w:sz="6" w:space="0" w:color="000000"/>
              <w:left w:val="single" w:sz="6" w:space="0" w:color="000000"/>
              <w:bottom w:val="single" w:sz="6" w:space="0" w:color="000000"/>
              <w:right w:val="single" w:sz="6" w:space="0" w:color="000000"/>
            </w:tcBorders>
          </w:tcPr>
          <w:p w14:paraId="1B70C6A8"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ЦОР 16.5.</w:t>
            </w:r>
            <w:r w:rsidRPr="00092ED7">
              <w:rPr>
                <w:rFonts w:eastAsia="Times New Roman" w:cs="Times New Roman"/>
                <w:iCs/>
                <w:sz w:val="18"/>
                <w:szCs w:val="18"/>
                <w:lang w:val="sr-Cyrl-CS"/>
              </w:rPr>
              <w:t xml:space="preserve"> Значајно смањити корупцију и подмићивање у свим њиховим појавним облицима.</w:t>
            </w:r>
          </w:p>
          <w:p w14:paraId="5081E163"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ЦОР 16.10.</w:t>
            </w:r>
            <w:r w:rsidRPr="00092ED7">
              <w:rPr>
                <w:rFonts w:eastAsia="Times New Roman" w:cs="Times New Roman"/>
                <w:iCs/>
                <w:sz w:val="18"/>
                <w:szCs w:val="18"/>
                <w:lang w:val="sr-Cyrl-CS"/>
              </w:rPr>
              <w:t xml:space="preserve"> Осигурати јавни приступ информацијама и заштиту основних слобода, у складу са националним законодавством и међународни</w:t>
            </w:r>
            <w:r w:rsidR="00875ED4" w:rsidRPr="00092ED7">
              <w:rPr>
                <w:rFonts w:eastAsia="Times New Roman" w:cs="Times New Roman"/>
                <w:iCs/>
                <w:sz w:val="18"/>
                <w:szCs w:val="18"/>
                <w:lang w:val="sr-Cyrl-CS"/>
              </w:rPr>
              <w:t>м споразумима</w:t>
            </w:r>
          </w:p>
        </w:tc>
        <w:tc>
          <w:tcPr>
            <w:tcW w:w="2409" w:type="dxa"/>
            <w:tcBorders>
              <w:top w:val="single" w:sz="6" w:space="0" w:color="000000"/>
              <w:left w:val="single" w:sz="6" w:space="0" w:color="000000"/>
              <w:bottom w:val="single" w:sz="6" w:space="0" w:color="000000"/>
              <w:right w:val="single" w:sz="6" w:space="0" w:color="000000"/>
            </w:tcBorders>
          </w:tcPr>
          <w:p w14:paraId="21B0824F"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Индиректан утицај на </w:t>
            </w:r>
            <w:r w:rsidRPr="00092ED7">
              <w:rPr>
                <w:rFonts w:eastAsia="Times New Roman" w:cs="Times New Roman"/>
                <w:b/>
                <w:iCs/>
                <w:sz w:val="18"/>
                <w:szCs w:val="18"/>
                <w:lang w:val="sr-Cyrl-CS"/>
              </w:rPr>
              <w:t xml:space="preserve">циљ 59 ЗАЗБ - </w:t>
            </w:r>
            <w:r w:rsidRPr="00092ED7">
              <w:rPr>
                <w:rFonts w:eastAsia="Times New Roman" w:cs="Times New Roman"/>
                <w:iCs/>
                <w:sz w:val="18"/>
                <w:szCs w:val="18"/>
                <w:lang w:val="sr-Cyrl-CS"/>
              </w:rPr>
              <w:t>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14:paraId="0B83E765" w14:textId="77777777" w:rsidR="00F50B50" w:rsidRPr="00092ED7" w:rsidRDefault="00F50B50" w:rsidP="00875ED4">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Интегрисање административних поступка у оквиру регистра (у дигиталном формату) доп</w:t>
            </w:r>
            <w:r w:rsidR="00875ED4" w:rsidRPr="00092ED7">
              <w:rPr>
                <w:rFonts w:eastAsia="Times New Roman" w:cs="Times New Roman"/>
                <w:i/>
                <w:iCs/>
                <w:sz w:val="18"/>
                <w:szCs w:val="18"/>
                <w:lang w:val="sr-Cyrl-CS"/>
              </w:rPr>
              <w:t>риноси смањењу употребе папира.</w:t>
            </w:r>
          </w:p>
        </w:tc>
        <w:tc>
          <w:tcPr>
            <w:tcW w:w="1843" w:type="dxa"/>
            <w:tcBorders>
              <w:top w:val="single" w:sz="6" w:space="0" w:color="000000"/>
              <w:left w:val="single" w:sz="6" w:space="0" w:color="000000"/>
              <w:bottom w:val="single" w:sz="6" w:space="0" w:color="000000"/>
              <w:right w:val="single" w:sz="6" w:space="0" w:color="000000"/>
            </w:tcBorders>
          </w:tcPr>
          <w:p w14:paraId="5E50C73C"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Поглавље II </w:t>
            </w:r>
          </w:p>
          <w:p w14:paraId="5BF835D1"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Добро управљање као темељ одрживог економског раста </w:t>
            </w:r>
          </w:p>
          <w:p w14:paraId="5C3577C7"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Предузећима је потребна правна сигурност, одсуство корупције и ефикасно функционисање администрације да би могла да успоставе своје пословање.</w:t>
            </w:r>
          </w:p>
          <w:p w14:paraId="0A40F9DE"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Кључна иницијатива 8. Дигитална инфраструктура </w:t>
            </w:r>
          </w:p>
          <w:p w14:paraId="79BE74B0"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Смањити трошкове и побољшати квалитет услуга за грађане и привреду</w:t>
            </w:r>
          </w:p>
        </w:tc>
        <w:tc>
          <w:tcPr>
            <w:tcW w:w="1559" w:type="dxa"/>
            <w:tcBorders>
              <w:top w:val="single" w:sz="6" w:space="0" w:color="000000"/>
              <w:left w:val="single" w:sz="6" w:space="0" w:color="000000"/>
              <w:bottom w:val="single" w:sz="6" w:space="0" w:color="000000"/>
              <w:right w:val="single" w:sz="6" w:space="0" w:color="000000"/>
            </w:tcBorders>
          </w:tcPr>
          <w:p w14:paraId="1A8F893D"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ИПА 2019 </w:t>
            </w:r>
          </w:p>
          <w:p w14:paraId="0F90A209"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ЕУ за боље пословно окружење – EU4BE</w:t>
            </w:r>
          </w:p>
        </w:tc>
      </w:tr>
      <w:tr w:rsidR="00F50B50" w:rsidRPr="00092ED7" w14:paraId="3A26BE41" w14:textId="77777777" w:rsidTr="00F50B50">
        <w:trPr>
          <w:trHeight w:val="423"/>
        </w:trPr>
        <w:tc>
          <w:tcPr>
            <w:tcW w:w="1635" w:type="dxa"/>
            <w:tcBorders>
              <w:top w:val="single" w:sz="6" w:space="0" w:color="000000"/>
              <w:left w:val="single" w:sz="6" w:space="0" w:color="000000"/>
              <w:bottom w:val="single" w:sz="6" w:space="0" w:color="000000"/>
              <w:right w:val="single" w:sz="6" w:space="0" w:color="000000"/>
            </w:tcBorders>
          </w:tcPr>
          <w:p w14:paraId="626EA7FB" w14:textId="77777777" w:rsidR="00F50B50" w:rsidRPr="00092ED7" w:rsidRDefault="00F50B50" w:rsidP="00875ED4">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6. Одрживо и ефикасно управљање привредним субјектима у власништву Републике Србије</w:t>
            </w:r>
          </w:p>
        </w:tc>
        <w:tc>
          <w:tcPr>
            <w:tcW w:w="1498" w:type="dxa"/>
            <w:tcBorders>
              <w:top w:val="single" w:sz="6" w:space="0" w:color="000000"/>
              <w:left w:val="single" w:sz="6" w:space="0" w:color="000000"/>
              <w:bottom w:val="single" w:sz="6" w:space="0" w:color="000000"/>
              <w:right w:val="single" w:sz="6" w:space="0" w:color="000000"/>
            </w:tcBorders>
          </w:tcPr>
          <w:p w14:paraId="4A2F3162" w14:textId="77777777" w:rsidR="00F50B50" w:rsidRPr="00092ED7" w:rsidRDefault="00875ED4"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КСИ 2.</w:t>
            </w:r>
            <w:r w:rsidRPr="00092ED7">
              <w:rPr>
                <w:rFonts w:eastAsia="Times New Roman" w:cs="Times New Roman"/>
                <w:iCs/>
                <w:sz w:val="18"/>
                <w:szCs w:val="18"/>
                <w:lang w:val="sr-Cyrl-CS"/>
              </w:rPr>
              <w:t xml:space="preserve"> Унапређење пословног амбијента повољнијег за инвестиције</w:t>
            </w:r>
          </w:p>
        </w:tc>
        <w:tc>
          <w:tcPr>
            <w:tcW w:w="1750" w:type="dxa"/>
            <w:tcBorders>
              <w:top w:val="single" w:sz="6" w:space="0" w:color="000000"/>
              <w:left w:val="single" w:sz="6" w:space="0" w:color="000000"/>
              <w:bottom w:val="single" w:sz="6" w:space="0" w:color="000000"/>
              <w:right w:val="single" w:sz="6" w:space="0" w:color="000000"/>
            </w:tcBorders>
          </w:tcPr>
          <w:p w14:paraId="0F865758"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 xml:space="preserve">Препорука 2. </w:t>
            </w:r>
            <w:r w:rsidRPr="00092ED7">
              <w:rPr>
                <w:rFonts w:eastAsia="Times New Roman" w:cs="Times New Roman"/>
                <w:iCs/>
                <w:sz w:val="18"/>
                <w:szCs w:val="18"/>
                <w:lang w:val="sr-Cyrl-CS"/>
              </w:rPr>
              <w:t>Спровести временски ограничен акциони план за примену нове стратегије у погледу власништва и управљања предузећима у државном власништву у складу са временским оквиром за ЕРП 2022, како би се побољшало управљање државним предузећима и см</w:t>
            </w:r>
            <w:r w:rsidR="00875ED4" w:rsidRPr="00092ED7">
              <w:rPr>
                <w:rFonts w:eastAsia="Times New Roman" w:cs="Times New Roman"/>
                <w:iCs/>
                <w:sz w:val="18"/>
                <w:szCs w:val="18"/>
                <w:lang w:val="sr-Cyrl-CS"/>
              </w:rPr>
              <w:t>ањили повезани фискални ризици</w:t>
            </w:r>
          </w:p>
        </w:tc>
        <w:tc>
          <w:tcPr>
            <w:tcW w:w="2015" w:type="dxa"/>
            <w:tcBorders>
              <w:top w:val="single" w:sz="6" w:space="0" w:color="000000"/>
              <w:left w:val="single" w:sz="6" w:space="0" w:color="000000"/>
              <w:bottom w:val="single" w:sz="6" w:space="0" w:color="000000"/>
              <w:right w:val="single" w:sz="6" w:space="0" w:color="000000"/>
            </w:tcBorders>
          </w:tcPr>
          <w:p w14:paraId="2FD17D2C"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Повећати транспарентност фискалног утицаја предузећа у државном власништву и побољшати управљање њима, укључујући даље реструктурирања</w:t>
            </w:r>
          </w:p>
          <w:p w14:paraId="12BBCF4A"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Убрзати процес реформисања и унапређења ефикасности предузећа у државном власништву </w:t>
            </w:r>
          </w:p>
        </w:tc>
        <w:tc>
          <w:tcPr>
            <w:tcW w:w="1932" w:type="dxa"/>
            <w:tcBorders>
              <w:top w:val="single" w:sz="6" w:space="0" w:color="000000"/>
              <w:left w:val="single" w:sz="6" w:space="0" w:color="000000"/>
              <w:bottom w:val="single" w:sz="6" w:space="0" w:color="000000"/>
              <w:right w:val="single" w:sz="6" w:space="0" w:color="000000"/>
            </w:tcBorders>
          </w:tcPr>
          <w:p w14:paraId="4A0BF63D"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16.7.</w:t>
            </w:r>
            <w:r w:rsidRPr="00092ED7">
              <w:rPr>
                <w:rFonts w:eastAsia="Times New Roman" w:cs="Times New Roman"/>
                <w:bCs/>
                <w:sz w:val="18"/>
                <w:szCs w:val="18"/>
                <w:lang w:val="sr-Cyrl-CS"/>
              </w:rPr>
              <w:t xml:space="preserve"> Осигурати одговорно, инклузивно, партиципативно и репрезентативно доношење одлука на свим нивоима</w:t>
            </w:r>
          </w:p>
        </w:tc>
        <w:tc>
          <w:tcPr>
            <w:tcW w:w="2409" w:type="dxa"/>
            <w:tcBorders>
              <w:top w:val="single" w:sz="6" w:space="0" w:color="000000"/>
              <w:left w:val="single" w:sz="6" w:space="0" w:color="000000"/>
              <w:bottom w:val="single" w:sz="6" w:space="0" w:color="000000"/>
              <w:right w:val="single" w:sz="6" w:space="0" w:color="000000"/>
            </w:tcBorders>
          </w:tcPr>
          <w:p w14:paraId="47F27061"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Директан утицај на циљеве:</w:t>
            </w:r>
          </w:p>
          <w:p w14:paraId="3ACE1A7F"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 xml:space="preserve">циљ 59 ЗАЗБ - </w:t>
            </w:r>
            <w:r w:rsidRPr="00092ED7">
              <w:rPr>
                <w:rFonts w:eastAsia="Times New Roman" w:cs="Times New Roman"/>
                <w:iCs/>
                <w:sz w:val="18"/>
                <w:szCs w:val="18"/>
                <w:lang w:val="sr-Cyrl-CS"/>
              </w:rPr>
              <w:t>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14:paraId="0FDB4B23"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 xml:space="preserve">циљ 60 ЗАЗБ - </w:t>
            </w:r>
            <w:r w:rsidRPr="00092ED7">
              <w:rPr>
                <w:rFonts w:eastAsia="Times New Roman" w:cs="Times New Roman"/>
                <w:iCs/>
                <w:sz w:val="18"/>
                <w:szCs w:val="18"/>
                <w:lang w:val="sr-Cyrl-CS"/>
              </w:rPr>
              <w:t xml:space="preserve">Израдити програме и предузети потребне мере за повећање административних капацитета за имплементацију Зелене агенде за Западни Балкан како би се остварили надзор, промоција и поштовање еколошких обавеза и осигурати ефикасне механизме за учествовање јавности, приступ информацијама, приступ правосуђу у питањима заштите средине, као и извештавање о животној средини </w:t>
            </w:r>
          </w:p>
          <w:p w14:paraId="6ADE3EC0" w14:textId="77777777" w:rsidR="00F50B50" w:rsidRPr="00092ED7" w:rsidRDefault="00F50B50" w:rsidP="00875ED4">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Обухват привредних субјеката у власништву Републике Србије (нарочито оних који утичу на животну средину) и унапређење њиховог корпоративног управљања у складу са еколошки прихватљивом праксом.</w:t>
            </w:r>
          </w:p>
        </w:tc>
        <w:tc>
          <w:tcPr>
            <w:tcW w:w="1843" w:type="dxa"/>
            <w:tcBorders>
              <w:top w:val="single" w:sz="6" w:space="0" w:color="000000"/>
              <w:left w:val="single" w:sz="6" w:space="0" w:color="000000"/>
              <w:bottom w:val="single" w:sz="6" w:space="0" w:color="000000"/>
              <w:right w:val="single" w:sz="6" w:space="0" w:color="000000"/>
            </w:tcBorders>
          </w:tcPr>
          <w:p w14:paraId="6B1A3F10"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Поглавље VIII Подстицање приватног сектора </w:t>
            </w:r>
          </w:p>
          <w:p w14:paraId="68F237A1"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Обезбедити постојање функционалне тржишне економије</w:t>
            </w:r>
          </w:p>
        </w:tc>
        <w:tc>
          <w:tcPr>
            <w:tcW w:w="1559" w:type="dxa"/>
            <w:tcBorders>
              <w:top w:val="single" w:sz="6" w:space="0" w:color="000000"/>
              <w:left w:val="single" w:sz="6" w:space="0" w:color="000000"/>
              <w:bottom w:val="single" w:sz="6" w:space="0" w:color="000000"/>
              <w:right w:val="single" w:sz="6" w:space="0" w:color="000000"/>
            </w:tcBorders>
          </w:tcPr>
          <w:p w14:paraId="2F4D0E34"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F50B50" w:rsidRPr="00092ED7" w14:paraId="066256E9" w14:textId="77777777" w:rsidTr="00F50B50">
        <w:trPr>
          <w:trHeight w:val="525"/>
        </w:trPr>
        <w:tc>
          <w:tcPr>
            <w:tcW w:w="1635" w:type="dxa"/>
            <w:tcBorders>
              <w:top w:val="single" w:sz="6" w:space="0" w:color="000000"/>
              <w:left w:val="single" w:sz="6" w:space="0" w:color="000000"/>
              <w:bottom w:val="single" w:sz="6" w:space="0" w:color="000000"/>
              <w:right w:val="single" w:sz="6" w:space="0" w:color="000000"/>
            </w:tcBorders>
          </w:tcPr>
          <w:p w14:paraId="7B5D8386" w14:textId="77777777" w:rsidR="00F50B50" w:rsidRPr="00092ED7" w:rsidRDefault="00F50B50" w:rsidP="00875ED4">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7. Развој домаћег тржишта капитала и обезбеђивање већег степена заштите инвеститора</w:t>
            </w:r>
          </w:p>
        </w:tc>
        <w:tc>
          <w:tcPr>
            <w:tcW w:w="1498" w:type="dxa"/>
            <w:tcBorders>
              <w:top w:val="single" w:sz="6" w:space="0" w:color="000000"/>
              <w:left w:val="single" w:sz="6" w:space="0" w:color="000000"/>
              <w:bottom w:val="single" w:sz="6" w:space="0" w:color="000000"/>
              <w:right w:val="single" w:sz="6" w:space="0" w:color="000000"/>
            </w:tcBorders>
          </w:tcPr>
          <w:p w14:paraId="4D8BA98F" w14:textId="77777777" w:rsidR="00F50B50" w:rsidRPr="00092ED7" w:rsidRDefault="00875ED4"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КСИ 2.</w:t>
            </w:r>
            <w:r w:rsidRPr="00092ED7">
              <w:rPr>
                <w:rFonts w:eastAsia="Times New Roman" w:cs="Times New Roman"/>
                <w:iCs/>
                <w:sz w:val="18"/>
                <w:szCs w:val="18"/>
                <w:lang w:val="sr-Cyrl-CS"/>
              </w:rPr>
              <w:t xml:space="preserve"> Унапређење пословног амбијента повољнијег за инвестиције </w:t>
            </w:r>
          </w:p>
        </w:tc>
        <w:tc>
          <w:tcPr>
            <w:tcW w:w="1750" w:type="dxa"/>
            <w:tcBorders>
              <w:top w:val="single" w:sz="6" w:space="0" w:color="000000"/>
              <w:left w:val="single" w:sz="6" w:space="0" w:color="000000"/>
              <w:bottom w:val="single" w:sz="6" w:space="0" w:color="000000"/>
              <w:right w:val="single" w:sz="6" w:space="0" w:color="000000"/>
            </w:tcBorders>
          </w:tcPr>
          <w:p w14:paraId="01F4B2C9"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Препорука 3.</w:t>
            </w:r>
            <w:r w:rsidRPr="00092ED7">
              <w:rPr>
                <w:rFonts w:eastAsia="Times New Roman" w:cs="Times New Roman"/>
                <w:iCs/>
                <w:sz w:val="18"/>
                <w:szCs w:val="18"/>
                <w:lang w:val="sr-Cyrl-CS"/>
              </w:rPr>
              <w:t xml:space="preserve"> </w:t>
            </w:r>
          </w:p>
          <w:p w14:paraId="237B88B6"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Одржати транспарентан и прецизан систем извештавања о квалитету ресурса и постојећим резервама на тржишту</w:t>
            </w:r>
          </w:p>
        </w:tc>
        <w:tc>
          <w:tcPr>
            <w:tcW w:w="2015" w:type="dxa"/>
            <w:tcBorders>
              <w:top w:val="single" w:sz="6" w:space="0" w:color="000000"/>
              <w:left w:val="single" w:sz="6" w:space="0" w:color="000000"/>
              <w:bottom w:val="single" w:sz="6" w:space="0" w:color="000000"/>
              <w:right w:val="single" w:sz="6" w:space="0" w:color="000000"/>
            </w:tcBorders>
          </w:tcPr>
          <w:p w14:paraId="553870BB" w14:textId="77777777" w:rsidR="00F50B50" w:rsidRPr="00092ED7" w:rsidRDefault="00F50B50" w:rsidP="00875ED4">
            <w:pPr>
              <w:pStyle w:val="Default"/>
              <w:spacing w:after="60"/>
              <w:jc w:val="left"/>
              <w:rPr>
                <w:rFonts w:ascii="Times New Roman" w:hAnsi="Times New Roman" w:cs="Times New Roman"/>
                <w:iCs/>
                <w:color w:val="auto"/>
                <w:sz w:val="18"/>
                <w:szCs w:val="18"/>
                <w:lang w:val="sr-Cyrl-CS"/>
              </w:rPr>
            </w:pPr>
            <w:r w:rsidRPr="00092ED7">
              <w:rPr>
                <w:rFonts w:ascii="Times New Roman" w:hAnsi="Times New Roman" w:cs="Times New Roman"/>
                <w:iCs/>
                <w:color w:val="auto"/>
                <w:sz w:val="18"/>
                <w:szCs w:val="18"/>
                <w:lang w:val="sr-Cyrl-CS"/>
              </w:rPr>
              <w:t>- Л</w:t>
            </w:r>
            <w:r w:rsidR="00875ED4" w:rsidRPr="00092ED7">
              <w:rPr>
                <w:rFonts w:ascii="Times New Roman" w:hAnsi="Times New Roman" w:cs="Times New Roman"/>
                <w:iCs/>
                <w:color w:val="auto"/>
                <w:sz w:val="18"/>
                <w:szCs w:val="18"/>
                <w:lang w:val="sr-Cyrl-CS"/>
              </w:rPr>
              <w:t>иберализовати кретање капитала</w:t>
            </w:r>
          </w:p>
        </w:tc>
        <w:tc>
          <w:tcPr>
            <w:tcW w:w="1932" w:type="dxa"/>
            <w:tcBorders>
              <w:top w:val="single" w:sz="6" w:space="0" w:color="000000"/>
              <w:left w:val="single" w:sz="6" w:space="0" w:color="000000"/>
              <w:bottom w:val="single" w:sz="6" w:space="0" w:color="000000"/>
              <w:right w:val="single" w:sz="6" w:space="0" w:color="000000"/>
            </w:tcBorders>
          </w:tcPr>
          <w:p w14:paraId="714992C4"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8.3.</w:t>
            </w:r>
            <w:r w:rsidRPr="00092ED7">
              <w:rPr>
                <w:rFonts w:eastAsia="Times New Roman" w:cs="Times New Roman"/>
                <w:bCs/>
                <w:sz w:val="18"/>
                <w:szCs w:val="18"/>
                <w:lang w:val="sr-Cyrl-CS"/>
              </w:rPr>
              <w:t xml:space="preserve"> Промовисати развојно оријентисане политике које подржавају продуктивне активности, стварање достојанствених послова, предузетништво, креативност и иновативност и подстицати формализацију и раст микропредузећа, односно малих и средњих предузећа, укључујући и приступ финансијским услугама.</w:t>
            </w:r>
          </w:p>
          <w:p w14:paraId="2E906B6E"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8.10</w:t>
            </w:r>
            <w:r w:rsidRPr="00092ED7">
              <w:rPr>
                <w:rFonts w:eastAsia="Times New Roman" w:cs="Times New Roman"/>
                <w:bCs/>
                <w:sz w:val="18"/>
                <w:szCs w:val="18"/>
                <w:lang w:val="sr-Cyrl-CS"/>
              </w:rPr>
              <w:t>. Јачати капацитете домаћих финансијских институција како би се подстицала и ширила доступност банкарских, осигуравајућих и финансијских услуга за све</w:t>
            </w:r>
          </w:p>
          <w:p w14:paraId="7576291C"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9.3.</w:t>
            </w:r>
            <w:r w:rsidRPr="00092ED7">
              <w:rPr>
                <w:rFonts w:eastAsia="Times New Roman" w:cs="Times New Roman"/>
                <w:bCs/>
                <w:sz w:val="18"/>
                <w:szCs w:val="18"/>
                <w:lang w:val="sr-Cyrl-CS"/>
              </w:rPr>
              <w:t xml:space="preserve"> Повећати приступ малих индустријских и осталих предузећа финансијским услугама, посебно у земљама у развоју, што обухвата и повољне кредите, и повећати њихову интеграцију у ланце вредности и у тржишта</w:t>
            </w:r>
          </w:p>
        </w:tc>
        <w:tc>
          <w:tcPr>
            <w:tcW w:w="2409" w:type="dxa"/>
            <w:tcBorders>
              <w:top w:val="single" w:sz="6" w:space="0" w:color="000000"/>
              <w:left w:val="single" w:sz="6" w:space="0" w:color="000000"/>
              <w:bottom w:val="single" w:sz="6" w:space="0" w:color="000000"/>
              <w:right w:val="single" w:sz="6" w:space="0" w:color="000000"/>
            </w:tcBorders>
          </w:tcPr>
          <w:p w14:paraId="51140252"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Директан утицај на област: </w:t>
            </w:r>
            <w:r w:rsidRPr="00092ED7">
              <w:rPr>
                <w:rFonts w:eastAsia="Times New Roman" w:cs="Times New Roman"/>
                <w:b/>
                <w:iCs/>
                <w:sz w:val="18"/>
                <w:szCs w:val="18"/>
                <w:lang w:val="sr-Cyrl-CS"/>
              </w:rPr>
              <w:t>остваривање зелених финансија и инвестиција у оквиру Европског Зеленог договора</w:t>
            </w:r>
            <w:r w:rsidRPr="00092ED7">
              <w:rPr>
                <w:rFonts w:eastAsia="Times New Roman" w:cs="Times New Roman"/>
                <w:iCs/>
                <w:sz w:val="18"/>
                <w:szCs w:val="18"/>
                <w:lang w:val="sr-Cyrl-CS"/>
              </w:rPr>
              <w:t xml:space="preserve">. </w:t>
            </w:r>
          </w:p>
          <w:p w14:paraId="07A9D40B" w14:textId="77777777" w:rsidR="00F50B50" w:rsidRPr="00092ED7" w:rsidRDefault="00F50B50" w:rsidP="00875ED4">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Креирање и развој финансијских инструмената у области тржишта капитала који се могу користити за мобилизацију финансија у циљу стимулисања зелених инвестиција и одрживих тржишта, технологија и инпута.</w:t>
            </w:r>
          </w:p>
        </w:tc>
        <w:tc>
          <w:tcPr>
            <w:tcW w:w="1843" w:type="dxa"/>
            <w:tcBorders>
              <w:top w:val="single" w:sz="6" w:space="0" w:color="000000"/>
              <w:left w:val="single" w:sz="6" w:space="0" w:color="000000"/>
              <w:bottom w:val="single" w:sz="6" w:space="0" w:color="000000"/>
              <w:right w:val="single" w:sz="6" w:space="0" w:color="000000"/>
            </w:tcBorders>
          </w:tcPr>
          <w:p w14:paraId="19384BB7"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Поглавље X Регионална економска интеграција и интеграција са ЕУ </w:t>
            </w:r>
          </w:p>
          <w:p w14:paraId="1FBD7B48"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Допри</w:t>
            </w:r>
            <w:r w:rsidR="00040667" w:rsidRPr="00092ED7">
              <w:rPr>
                <w:rFonts w:eastAsia="Times New Roman" w:cs="Times New Roman"/>
                <w:iCs/>
                <w:sz w:val="18"/>
                <w:szCs w:val="18"/>
                <w:lang w:val="sr-Cyrl-CS"/>
              </w:rPr>
              <w:t>носи слободном кретању капитала</w:t>
            </w:r>
          </w:p>
        </w:tc>
        <w:tc>
          <w:tcPr>
            <w:tcW w:w="1559" w:type="dxa"/>
            <w:tcBorders>
              <w:top w:val="single" w:sz="6" w:space="0" w:color="000000"/>
              <w:left w:val="single" w:sz="6" w:space="0" w:color="000000"/>
              <w:bottom w:val="single" w:sz="6" w:space="0" w:color="000000"/>
              <w:right w:val="single" w:sz="6" w:space="0" w:color="000000"/>
            </w:tcBorders>
          </w:tcPr>
          <w:p w14:paraId="432F3DCA"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F50B50" w:rsidRPr="00092ED7" w14:paraId="1A8C2CE9" w14:textId="77777777" w:rsidTr="00F50B50">
        <w:trPr>
          <w:trHeight w:val="411"/>
        </w:trPr>
        <w:tc>
          <w:tcPr>
            <w:tcW w:w="1635" w:type="dxa"/>
            <w:tcBorders>
              <w:top w:val="single" w:sz="6" w:space="0" w:color="000000"/>
              <w:left w:val="single" w:sz="6" w:space="0" w:color="000000"/>
              <w:bottom w:val="single" w:sz="6" w:space="0" w:color="000000"/>
              <w:right w:val="single" w:sz="6" w:space="0" w:color="000000"/>
            </w:tcBorders>
          </w:tcPr>
          <w:p w14:paraId="05ACEB09" w14:textId="77777777" w:rsidR="00F50B50" w:rsidRPr="00092ED7" w:rsidRDefault="00F50B50" w:rsidP="00875ED4">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8. Унапређење услова за повећање енергетске ефикасности кроз стварање услова за примену енергетског означавања и екодизајна, као и кроз подстицаје за унапређење енергетске ефикасности</w:t>
            </w:r>
          </w:p>
        </w:tc>
        <w:tc>
          <w:tcPr>
            <w:tcW w:w="1498" w:type="dxa"/>
            <w:tcBorders>
              <w:top w:val="single" w:sz="6" w:space="0" w:color="000000"/>
              <w:left w:val="single" w:sz="6" w:space="0" w:color="000000"/>
              <w:bottom w:val="single" w:sz="6" w:space="0" w:color="000000"/>
              <w:right w:val="single" w:sz="6" w:space="0" w:color="000000"/>
            </w:tcBorders>
          </w:tcPr>
          <w:p w14:paraId="55C16932" w14:textId="77777777" w:rsidR="00F50B50" w:rsidRPr="00092ED7" w:rsidRDefault="00F50B50"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КСИ 3. </w:t>
            </w:r>
            <w:r w:rsidRPr="00092ED7">
              <w:rPr>
                <w:rFonts w:eastAsia="Times New Roman" w:cs="Times New Roman"/>
                <w:iCs/>
                <w:sz w:val="18"/>
                <w:szCs w:val="18"/>
                <w:lang w:val="sr-Cyrl-CS"/>
              </w:rPr>
              <w:t>Озелењавање енергетског сектора и потпуно отварање енергетског тржишта</w:t>
            </w:r>
          </w:p>
        </w:tc>
        <w:tc>
          <w:tcPr>
            <w:tcW w:w="1750" w:type="dxa"/>
            <w:tcBorders>
              <w:top w:val="single" w:sz="6" w:space="0" w:color="000000"/>
              <w:left w:val="single" w:sz="6" w:space="0" w:color="000000"/>
              <w:bottom w:val="single" w:sz="6" w:space="0" w:color="000000"/>
              <w:right w:val="single" w:sz="6" w:space="0" w:color="000000"/>
            </w:tcBorders>
          </w:tcPr>
          <w:p w14:paraId="77ED9474"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Препорука 5.</w:t>
            </w:r>
            <w:r w:rsidRPr="00092ED7">
              <w:rPr>
                <w:rFonts w:eastAsia="Times New Roman" w:cs="Times New Roman"/>
                <w:iCs/>
                <w:sz w:val="18"/>
                <w:szCs w:val="18"/>
                <w:lang w:val="sr-Cyrl-CS"/>
              </w:rPr>
              <w:t xml:space="preserve"> Смањити емисије угљеника. Спровести регулаторне, финансијске и институционалне мере у сврху веће употребе обновљивих извора енергије и енергетске ефикасности, укључујући увођење система аукција за обновљиве изворе енергије (ОИЕ) и успостављање одрживог механизма финансирања за енергетску ефикасност.</w:t>
            </w:r>
          </w:p>
        </w:tc>
        <w:tc>
          <w:tcPr>
            <w:tcW w:w="2015" w:type="dxa"/>
            <w:tcBorders>
              <w:top w:val="single" w:sz="6" w:space="0" w:color="000000"/>
              <w:left w:val="single" w:sz="6" w:space="0" w:color="000000"/>
              <w:bottom w:val="single" w:sz="6" w:space="0" w:color="000000"/>
              <w:right w:val="single" w:sz="6" w:space="0" w:color="000000"/>
            </w:tcBorders>
          </w:tcPr>
          <w:p w14:paraId="7065188E"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Убрзати транзицију на зелену енергију, смањити емисију ЦО2, повећати удео обновљивих извора и остварити уштеду енергије.</w:t>
            </w:r>
          </w:p>
          <w:p w14:paraId="716BE782"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Начинити конкретне активности у циљу постепеног елиминисања употребе угља (Оснивање Управе за финансирање и подстицање енергетске ефикасности и финансирање пројеката, д</w:t>
            </w:r>
            <w:r w:rsidR="00875ED4" w:rsidRPr="00092ED7">
              <w:rPr>
                <w:rFonts w:eastAsia="Times New Roman" w:cs="Times New Roman"/>
                <w:iCs/>
                <w:sz w:val="18"/>
                <w:szCs w:val="18"/>
                <w:lang w:val="sr-Cyrl-CS"/>
              </w:rPr>
              <w:t>оношење подзаконске регулативе)</w:t>
            </w:r>
          </w:p>
        </w:tc>
        <w:tc>
          <w:tcPr>
            <w:tcW w:w="1932" w:type="dxa"/>
            <w:tcBorders>
              <w:top w:val="single" w:sz="6" w:space="0" w:color="000000"/>
              <w:left w:val="single" w:sz="6" w:space="0" w:color="000000"/>
              <w:bottom w:val="single" w:sz="6" w:space="0" w:color="000000"/>
              <w:right w:val="single" w:sz="6" w:space="0" w:color="000000"/>
            </w:tcBorders>
          </w:tcPr>
          <w:p w14:paraId="539D6408" w14:textId="77777777" w:rsidR="00F50B50" w:rsidRPr="00092ED7" w:rsidRDefault="00F50B50" w:rsidP="00875ED4">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 xml:space="preserve">ЦОР 7.2. </w:t>
            </w:r>
            <w:r w:rsidRPr="00092ED7">
              <w:rPr>
                <w:rFonts w:eastAsia="Times New Roman" w:cs="Times New Roman"/>
                <w:bCs/>
                <w:sz w:val="18"/>
                <w:szCs w:val="18"/>
                <w:lang w:val="sr-Cyrl-CS"/>
              </w:rPr>
              <w:t>До 2030. значајно повећати удео обновљиве енергије у глобалном енергетском миксу</w:t>
            </w:r>
          </w:p>
          <w:p w14:paraId="58135FD8"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7.3.</w:t>
            </w:r>
            <w:r w:rsidRPr="00092ED7">
              <w:rPr>
                <w:rFonts w:eastAsia="Times New Roman" w:cs="Times New Roman"/>
                <w:bCs/>
                <w:sz w:val="18"/>
                <w:szCs w:val="18"/>
                <w:lang w:val="sr-Cyrl-CS"/>
              </w:rPr>
              <w:t xml:space="preserve"> До 2030. удвостручити глобалну стопу побољшања енергетске ефикасности</w:t>
            </w:r>
          </w:p>
          <w:p w14:paraId="7A50D29B" w14:textId="77777777" w:rsidR="00F50B50" w:rsidRPr="00092ED7" w:rsidRDefault="00F50B50" w:rsidP="00875ED4">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 xml:space="preserve">ЦОР 7.б. </w:t>
            </w:r>
            <w:r w:rsidRPr="00092ED7">
              <w:rPr>
                <w:rFonts w:eastAsia="Times New Roman" w:cs="Times New Roman"/>
                <w:bCs/>
                <w:sz w:val="18"/>
                <w:szCs w:val="18"/>
                <w:lang w:val="sr-Cyrl-CS"/>
              </w:rPr>
              <w:t>До 2030. проширити инфраструктуру и унапредити технологију за снабдевање модерном и одрживом енергијом за све у земљама у развоју, а посебно у најмање развијеним земљама и малим острвским државама у развоју, државама у развоју које немају излаз на море, у складу са њиховим програмима подршке</w:t>
            </w:r>
          </w:p>
        </w:tc>
        <w:tc>
          <w:tcPr>
            <w:tcW w:w="2409" w:type="dxa"/>
            <w:tcBorders>
              <w:top w:val="single" w:sz="6" w:space="0" w:color="000000"/>
              <w:left w:val="single" w:sz="6" w:space="0" w:color="000000"/>
              <w:bottom w:val="single" w:sz="6" w:space="0" w:color="000000"/>
              <w:right w:val="single" w:sz="6" w:space="0" w:color="000000"/>
            </w:tcBorders>
          </w:tcPr>
          <w:p w14:paraId="09AC8F28"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Директан утицај на циљеве:</w:t>
            </w:r>
          </w:p>
          <w:p w14:paraId="3BFC94F9"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циљ10 ЗАЗБ - </w:t>
            </w:r>
            <w:r w:rsidRPr="00092ED7">
              <w:rPr>
                <w:rFonts w:eastAsia="Times New Roman" w:cs="Times New Roman"/>
                <w:iCs/>
                <w:sz w:val="18"/>
                <w:szCs w:val="18"/>
                <w:lang w:val="sr-Cyrl-CS"/>
              </w:rPr>
              <w:t>Давање приоритета енергетској ефикасности и њено унапређење у свим секторима</w:t>
            </w:r>
          </w:p>
          <w:p w14:paraId="63EBEB13"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12 ЗАЗБ - </w:t>
            </w:r>
            <w:r w:rsidRPr="00092ED7">
              <w:rPr>
                <w:rFonts w:eastAsia="Times New Roman" w:cs="Times New Roman"/>
                <w:iCs/>
                <w:sz w:val="18"/>
                <w:szCs w:val="18"/>
                <w:lang w:val="sr-Cyrl-CS"/>
              </w:rPr>
              <w:t>Подршка програмима обнове приватних и јавних зграда, као и  обезбеђење одговарајућег финансирања</w:t>
            </w:r>
          </w:p>
          <w:p w14:paraId="6CA610D7"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13 ЗАЗБ - </w:t>
            </w:r>
            <w:r w:rsidRPr="00092ED7">
              <w:rPr>
                <w:rFonts w:eastAsia="Times New Roman" w:cs="Times New Roman"/>
                <w:iCs/>
                <w:sz w:val="18"/>
                <w:szCs w:val="18"/>
                <w:lang w:val="sr-Cyrl-CS"/>
              </w:rPr>
              <w:t>Повећање удела обновљивих извора енергије и стварање неопходних инвестиционих услова</w:t>
            </w:r>
          </w:p>
          <w:p w14:paraId="39E0F93F"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16 ЗАЗБ -  </w:t>
            </w:r>
            <w:r w:rsidRPr="00092ED7">
              <w:rPr>
                <w:rFonts w:eastAsia="Times New Roman" w:cs="Times New Roman"/>
                <w:iCs/>
                <w:sz w:val="18"/>
                <w:szCs w:val="18"/>
                <w:lang w:val="sr-Cyrl-CS"/>
              </w:rPr>
              <w:t>Развој програма за решавање проблема енергетског сиромаштва и финансирање програма за обнову домаћинстава и осигурање основног животног стандарда</w:t>
            </w:r>
          </w:p>
          <w:p w14:paraId="06C6CA85"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8 Европског Зеленог договора - </w:t>
            </w:r>
            <w:r w:rsidRPr="00092ED7">
              <w:rPr>
                <w:rFonts w:eastAsia="Times New Roman" w:cs="Times New Roman"/>
                <w:iCs/>
                <w:sz w:val="18"/>
                <w:szCs w:val="18"/>
                <w:lang w:val="sr-Cyrl-CS"/>
              </w:rPr>
              <w:t>Стратегија за паметну интеграцију сектора</w:t>
            </w:r>
          </w:p>
          <w:p w14:paraId="1354019F"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 xml:space="preserve">циљ 9 Европског Зеленог договора - </w:t>
            </w:r>
            <w:r w:rsidRPr="00092ED7">
              <w:rPr>
                <w:rFonts w:eastAsia="Times New Roman" w:cs="Times New Roman"/>
                <w:iCs/>
                <w:sz w:val="18"/>
                <w:szCs w:val="18"/>
                <w:lang w:val="sr-Cyrl-CS"/>
              </w:rPr>
              <w:t>Иницијатива  „талас обнове” за грађевински сектор</w:t>
            </w:r>
          </w:p>
          <w:p w14:paraId="18CEF82C"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
                <w:iCs/>
                <w:sz w:val="18"/>
                <w:szCs w:val="18"/>
                <w:lang w:val="sr-Cyrl-CS"/>
              </w:rPr>
              <w:t>Спровођење регулаторне реформе и усклађивање са прописима ЕУ, јачање институционалних капацитета и обезбеђивање финансијских средстава и подстицаја у циљу унапређења енергетске ефикасности. Посебан фокус је на подршци уштеди енергије домаћинстава кроз енергетску санацију стамбених зграда и постављање соларних панела, као и прелазак на плаћање по основу потрошње топлотне енергије.</w:t>
            </w:r>
          </w:p>
        </w:tc>
        <w:tc>
          <w:tcPr>
            <w:tcW w:w="1843" w:type="dxa"/>
            <w:tcBorders>
              <w:top w:val="single" w:sz="6" w:space="0" w:color="000000"/>
              <w:left w:val="single" w:sz="6" w:space="0" w:color="000000"/>
              <w:bottom w:val="single" w:sz="6" w:space="0" w:color="000000"/>
              <w:right w:val="single" w:sz="6" w:space="0" w:color="000000"/>
            </w:tcBorders>
          </w:tcPr>
          <w:p w14:paraId="5713676E"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Поглавље V </w:t>
            </w:r>
          </w:p>
          <w:p w14:paraId="1E73D0B0"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Улагање у чисту енергију </w:t>
            </w:r>
          </w:p>
          <w:p w14:paraId="5C19AEBA"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Повећање енергетску ефикасност, јачање енергетског тржишта</w:t>
            </w:r>
          </w:p>
          <w:p w14:paraId="6050F7A6"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Кључна иницијатива 4. Обновљива енергија </w:t>
            </w:r>
          </w:p>
          <w:p w14:paraId="1D399298"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Повећана употреба обновљивих извора енергије</w:t>
            </w:r>
          </w:p>
          <w:p w14:paraId="44B98B4A"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Кључна иницијатива 5. Транзиција од експлоатације угља</w:t>
            </w:r>
          </w:p>
          <w:p w14:paraId="1D2166F5"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 Декарбонизација, коришћење обновљивих извора енергије</w:t>
            </w:r>
          </w:p>
        </w:tc>
        <w:tc>
          <w:tcPr>
            <w:tcW w:w="1559" w:type="dxa"/>
            <w:tcBorders>
              <w:top w:val="single" w:sz="6" w:space="0" w:color="000000"/>
              <w:left w:val="single" w:sz="6" w:space="0" w:color="000000"/>
              <w:bottom w:val="single" w:sz="6" w:space="0" w:color="000000"/>
              <w:right w:val="single" w:sz="6" w:space="0" w:color="000000"/>
            </w:tcBorders>
          </w:tcPr>
          <w:p w14:paraId="25778D03" w14:textId="77777777" w:rsidR="00F50B50" w:rsidRPr="00092ED7" w:rsidRDefault="00F50B50" w:rsidP="00875ED4">
            <w:pPr>
              <w:spacing w:after="60"/>
              <w:jc w:val="left"/>
              <w:rPr>
                <w:rFonts w:cs="Times New Roman"/>
                <w:bCs/>
                <w:sz w:val="18"/>
                <w:szCs w:val="18"/>
                <w:lang w:val="sr-Cyrl-CS"/>
              </w:rPr>
            </w:pPr>
            <w:r w:rsidRPr="00092ED7">
              <w:rPr>
                <w:rFonts w:cs="Times New Roman"/>
                <w:bCs/>
                <w:sz w:val="18"/>
                <w:szCs w:val="18"/>
                <w:lang w:val="sr-Cyrl-CS"/>
              </w:rPr>
              <w:t>ИПА 2021</w:t>
            </w:r>
          </w:p>
          <w:p w14:paraId="766974EB" w14:textId="77777777" w:rsidR="00F50B50" w:rsidRPr="00092ED7" w:rsidRDefault="00F50B50" w:rsidP="00875ED4">
            <w:pPr>
              <w:spacing w:after="60"/>
              <w:jc w:val="left"/>
              <w:rPr>
                <w:rFonts w:cs="Times New Roman"/>
                <w:sz w:val="18"/>
                <w:szCs w:val="18"/>
                <w:lang w:val="sr-Cyrl-CS"/>
              </w:rPr>
            </w:pPr>
            <w:r w:rsidRPr="00092ED7">
              <w:rPr>
                <w:rFonts w:cs="Times New Roman"/>
                <w:bCs/>
                <w:sz w:val="18"/>
                <w:szCs w:val="18"/>
                <w:lang w:val="sr-Cyrl-CS"/>
              </w:rPr>
              <w:t>Подршка за рад Фонда за енергетску ефикасност</w:t>
            </w:r>
          </w:p>
          <w:p w14:paraId="46B74A7D" w14:textId="77777777" w:rsidR="00F50B50" w:rsidRPr="00092ED7" w:rsidRDefault="00F50B50" w:rsidP="00875ED4">
            <w:pPr>
              <w:spacing w:after="60"/>
              <w:jc w:val="left"/>
              <w:rPr>
                <w:rFonts w:cs="Times New Roman"/>
                <w:sz w:val="18"/>
                <w:szCs w:val="18"/>
                <w:lang w:val="sr-Cyrl-CS"/>
              </w:rPr>
            </w:pPr>
            <w:r w:rsidRPr="00092ED7">
              <w:rPr>
                <w:rFonts w:cs="Times New Roman"/>
                <w:sz w:val="18"/>
                <w:szCs w:val="18"/>
                <w:lang w:val="sr-Cyrl-CS"/>
              </w:rPr>
              <w:t>5 милиона евра</w:t>
            </w:r>
          </w:p>
          <w:p w14:paraId="00B185A4" w14:textId="77777777" w:rsidR="00F50B50" w:rsidRPr="00092ED7" w:rsidRDefault="00F50B50" w:rsidP="00875ED4">
            <w:pPr>
              <w:spacing w:after="60"/>
              <w:jc w:val="left"/>
              <w:rPr>
                <w:rFonts w:cs="Times New Roman"/>
                <w:bCs/>
                <w:sz w:val="18"/>
                <w:szCs w:val="18"/>
                <w:lang w:val="sr-Cyrl-CS"/>
              </w:rPr>
            </w:pPr>
          </w:p>
          <w:p w14:paraId="35608B18" w14:textId="77777777" w:rsidR="00F50B50" w:rsidRPr="00092ED7" w:rsidRDefault="00F50B50" w:rsidP="00875ED4">
            <w:pPr>
              <w:spacing w:after="60"/>
              <w:jc w:val="left"/>
              <w:rPr>
                <w:rFonts w:cs="Times New Roman"/>
                <w:bCs/>
                <w:sz w:val="18"/>
                <w:szCs w:val="18"/>
                <w:lang w:val="sr-Cyrl-CS"/>
              </w:rPr>
            </w:pPr>
            <w:r w:rsidRPr="00092ED7">
              <w:rPr>
                <w:rFonts w:cs="Times New Roman"/>
                <w:bCs/>
                <w:sz w:val="18"/>
                <w:szCs w:val="18"/>
                <w:lang w:val="sr-Cyrl-CS"/>
              </w:rPr>
              <w:t>ИПА 2022</w:t>
            </w:r>
          </w:p>
          <w:p w14:paraId="53C4D922" w14:textId="77777777" w:rsidR="00F50B50" w:rsidRPr="00092ED7" w:rsidRDefault="00F50B50" w:rsidP="00875ED4">
            <w:pPr>
              <w:spacing w:after="60"/>
              <w:jc w:val="left"/>
              <w:rPr>
                <w:rFonts w:cs="Times New Roman"/>
                <w:sz w:val="18"/>
                <w:szCs w:val="18"/>
                <w:lang w:val="sr-Cyrl-CS"/>
              </w:rPr>
            </w:pPr>
            <w:r w:rsidRPr="00092ED7">
              <w:rPr>
                <w:rFonts w:cs="Times New Roman"/>
                <w:bCs/>
                <w:sz w:val="18"/>
                <w:szCs w:val="18"/>
                <w:lang w:val="sr-Cyrl-CS"/>
              </w:rPr>
              <w:t>Подршка за рад и инвестиције Фонду за енергетску ефикасност</w:t>
            </w:r>
            <w:r w:rsidRPr="00092ED7">
              <w:rPr>
                <w:rFonts w:cs="Times New Roman"/>
                <w:sz w:val="18"/>
                <w:szCs w:val="18"/>
                <w:lang w:val="sr-Cyrl-CS"/>
              </w:rPr>
              <w:t xml:space="preserve">, </w:t>
            </w:r>
          </w:p>
          <w:p w14:paraId="41CAC248" w14:textId="77777777" w:rsidR="00F50B50" w:rsidRPr="00092ED7" w:rsidRDefault="00F50B50" w:rsidP="00875ED4">
            <w:pPr>
              <w:spacing w:after="60"/>
              <w:jc w:val="left"/>
              <w:rPr>
                <w:rFonts w:cs="Times New Roman"/>
                <w:b/>
                <w:bCs/>
                <w:sz w:val="18"/>
                <w:szCs w:val="18"/>
                <w:lang w:val="sr-Cyrl-CS"/>
              </w:rPr>
            </w:pPr>
            <w:r w:rsidRPr="00092ED7">
              <w:rPr>
                <w:rFonts w:cs="Times New Roman"/>
                <w:sz w:val="18"/>
                <w:szCs w:val="18"/>
                <w:lang w:val="sr-Cyrl-CS"/>
              </w:rPr>
              <w:t>10 милиона евра</w:t>
            </w:r>
          </w:p>
        </w:tc>
      </w:tr>
      <w:tr w:rsidR="00C57EAF" w:rsidRPr="00092ED7" w14:paraId="6E0D9056" w14:textId="77777777" w:rsidTr="00F50B50">
        <w:trPr>
          <w:trHeight w:val="411"/>
        </w:trPr>
        <w:tc>
          <w:tcPr>
            <w:tcW w:w="1635" w:type="dxa"/>
            <w:tcBorders>
              <w:top w:val="single" w:sz="6" w:space="0" w:color="000000"/>
              <w:left w:val="single" w:sz="6" w:space="0" w:color="000000"/>
              <w:bottom w:val="single" w:sz="6" w:space="0" w:color="000000"/>
              <w:right w:val="single" w:sz="6" w:space="0" w:color="000000"/>
            </w:tcBorders>
          </w:tcPr>
          <w:p w14:paraId="0EA39793" w14:textId="073EE6D1"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9. Интеграција обновљивих извора електричне енергије кроз пројекат „Беогрид 2025</w:t>
            </w:r>
            <w:r w:rsidR="00BB5C1F" w:rsidRPr="00092ED7">
              <w:rPr>
                <w:rFonts w:cs="Times New Roman"/>
                <w:b/>
                <w:sz w:val="20"/>
                <w:szCs w:val="20"/>
                <w:lang w:val="sr-Cyrl-CS"/>
              </w:rPr>
              <w:t>”</w:t>
            </w:r>
          </w:p>
        </w:tc>
        <w:tc>
          <w:tcPr>
            <w:tcW w:w="1498" w:type="dxa"/>
            <w:tcBorders>
              <w:top w:val="single" w:sz="6" w:space="0" w:color="000000"/>
              <w:left w:val="single" w:sz="6" w:space="0" w:color="000000"/>
              <w:bottom w:val="single" w:sz="6" w:space="0" w:color="000000"/>
              <w:right w:val="single" w:sz="6" w:space="0" w:color="000000"/>
            </w:tcBorders>
          </w:tcPr>
          <w:p w14:paraId="34FAAD55"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КСИ 3. </w:t>
            </w:r>
            <w:r w:rsidRPr="00092ED7">
              <w:rPr>
                <w:rFonts w:eastAsia="Times New Roman" w:cs="Times New Roman"/>
                <w:iCs/>
                <w:sz w:val="18"/>
                <w:szCs w:val="18"/>
                <w:lang w:val="sr-Cyrl-CS"/>
              </w:rPr>
              <w:t>Озелењавање енергетског сектора и потпуно отварање енергетског тржишта</w:t>
            </w:r>
          </w:p>
        </w:tc>
        <w:tc>
          <w:tcPr>
            <w:tcW w:w="1750" w:type="dxa"/>
            <w:tcBorders>
              <w:top w:val="single" w:sz="6" w:space="0" w:color="000000"/>
              <w:left w:val="single" w:sz="6" w:space="0" w:color="000000"/>
              <w:bottom w:val="single" w:sz="6" w:space="0" w:color="000000"/>
              <w:right w:val="single" w:sz="6" w:space="0" w:color="000000"/>
            </w:tcBorders>
          </w:tcPr>
          <w:p w14:paraId="0FD861EF"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Препорука 5.</w:t>
            </w:r>
          </w:p>
          <w:p w14:paraId="7B31CF4F" w14:textId="77777777" w:rsidR="00C57EAF" w:rsidRPr="00092ED7" w:rsidRDefault="00C57EAF" w:rsidP="00C57EAF">
            <w:pPr>
              <w:spacing w:after="60"/>
              <w:jc w:val="left"/>
              <w:rPr>
                <w:rFonts w:ascii="Calibri" w:eastAsia="Calibri" w:hAnsi="Calibri" w:cs="Times New Roman"/>
                <w:lang w:val="sr-Cyrl-CS" w:eastAsia="sr-Cyrl-CS" w:bidi="sr-Cyrl-CS"/>
              </w:rPr>
            </w:pPr>
            <w:r w:rsidRPr="00092ED7">
              <w:rPr>
                <w:rFonts w:eastAsia="Times New Roman" w:cs="Times New Roman"/>
                <w:iCs/>
                <w:sz w:val="18"/>
                <w:szCs w:val="18"/>
                <w:lang w:val="sr-Cyrl-CS" w:eastAsia="sr-Cyrl-CS" w:bidi="sr-Cyrl-CS"/>
              </w:rPr>
              <w:t>Даље увећати улагања у модернизацију енергетске инфраструктуре и смањење емисије угљеника у циљу убрзања зелене транзиције</w:t>
            </w:r>
          </w:p>
        </w:tc>
        <w:tc>
          <w:tcPr>
            <w:tcW w:w="2015" w:type="dxa"/>
            <w:tcBorders>
              <w:top w:val="single" w:sz="6" w:space="0" w:color="000000"/>
              <w:left w:val="single" w:sz="6" w:space="0" w:color="000000"/>
              <w:bottom w:val="single" w:sz="6" w:space="0" w:color="000000"/>
              <w:right w:val="single" w:sz="6" w:space="0" w:color="000000"/>
            </w:tcBorders>
          </w:tcPr>
          <w:p w14:paraId="40EB0076"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Убрзати транзицију на зелену енергију, смањити емисију ЦО2, повећати удео обновљивих извора и остварити уштеду енергије.</w:t>
            </w:r>
          </w:p>
        </w:tc>
        <w:tc>
          <w:tcPr>
            <w:tcW w:w="1932" w:type="dxa"/>
            <w:tcBorders>
              <w:top w:val="single" w:sz="6" w:space="0" w:color="000000"/>
              <w:left w:val="single" w:sz="6" w:space="0" w:color="000000"/>
              <w:bottom w:val="single" w:sz="6" w:space="0" w:color="000000"/>
              <w:right w:val="single" w:sz="6" w:space="0" w:color="000000"/>
            </w:tcBorders>
          </w:tcPr>
          <w:p w14:paraId="127D84F7" w14:textId="77777777" w:rsidR="00C57EAF" w:rsidRPr="00092ED7" w:rsidRDefault="00C57EAF" w:rsidP="00C57EAF">
            <w:pPr>
              <w:spacing w:after="60"/>
              <w:jc w:val="left"/>
              <w:rPr>
                <w:rFonts w:ascii="Calibri" w:eastAsia="Calibri" w:hAnsi="Calibri" w:cs="Times New Roman"/>
                <w:sz w:val="18"/>
                <w:szCs w:val="18"/>
                <w:lang w:val="sr-Cyrl-CS" w:eastAsia="sr-Cyrl-CS" w:bidi="sr-Cyrl-CS"/>
              </w:rPr>
            </w:pPr>
            <w:r w:rsidRPr="00092ED7">
              <w:rPr>
                <w:rFonts w:eastAsia="Times New Roman" w:cs="Times New Roman"/>
                <w:b/>
                <w:bCs/>
                <w:sz w:val="18"/>
                <w:szCs w:val="18"/>
                <w:lang w:val="sr-Cyrl-CS" w:eastAsia="sr-Cyrl-CS" w:bidi="sr-Cyrl-CS"/>
              </w:rPr>
              <w:t>ЦОР 7.1.</w:t>
            </w:r>
            <w:r w:rsidRPr="00092ED7">
              <w:rPr>
                <w:rFonts w:eastAsia="Times New Roman" w:cs="Times New Roman"/>
                <w:bCs/>
                <w:sz w:val="18"/>
                <w:szCs w:val="18"/>
                <w:lang w:val="sr-Cyrl-CS" w:eastAsia="sr-Cyrl-CS" w:bidi="sr-Cyrl-CS"/>
              </w:rPr>
              <w:t xml:space="preserve"> Обезбедити универзални приступ економски прихватљивим, поузданим и модерним енергетским услугама</w:t>
            </w:r>
          </w:p>
          <w:p w14:paraId="74629FE4"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 xml:space="preserve">ЦОР 7.б </w:t>
            </w:r>
            <w:r w:rsidRPr="00092ED7">
              <w:rPr>
                <w:rFonts w:eastAsia="Times New Roman" w:cs="Times New Roman"/>
                <w:bCs/>
                <w:sz w:val="18"/>
                <w:szCs w:val="18"/>
                <w:lang w:val="sr-Cyrl-CS"/>
              </w:rPr>
              <w:t>До 2030. проширити инфраструктуру и унапредити технологију за снабдевање модерном и одрживом енергијом за све у земљама у развоју, у складу са њиховим програмима подршке</w:t>
            </w:r>
          </w:p>
        </w:tc>
        <w:tc>
          <w:tcPr>
            <w:tcW w:w="2409" w:type="dxa"/>
            <w:tcBorders>
              <w:top w:val="single" w:sz="6" w:space="0" w:color="000000"/>
              <w:left w:val="single" w:sz="6" w:space="0" w:color="000000"/>
              <w:bottom w:val="single" w:sz="6" w:space="0" w:color="000000"/>
              <w:right w:val="single" w:sz="6" w:space="0" w:color="000000"/>
            </w:tcBorders>
          </w:tcPr>
          <w:p w14:paraId="069CD575" w14:textId="77777777" w:rsidR="00C57EAF" w:rsidRPr="00092ED7" w:rsidRDefault="00C57EAF" w:rsidP="00C57EAF">
            <w:pPr>
              <w:spacing w:after="60"/>
              <w:jc w:val="left"/>
              <w:rPr>
                <w:rFonts w:eastAsia="Times New Roman" w:cs="Times New Roman"/>
                <w:iCs/>
                <w:sz w:val="18"/>
                <w:szCs w:val="18"/>
                <w:lang w:val="sr-Cyrl-CS" w:bidi="sr-Cyrl-CS"/>
              </w:rPr>
            </w:pPr>
            <w:r w:rsidRPr="00092ED7">
              <w:rPr>
                <w:rFonts w:eastAsia="Times New Roman" w:cs="Times New Roman"/>
                <w:iCs/>
                <w:sz w:val="18"/>
                <w:szCs w:val="18"/>
                <w:lang w:val="sr-Cyrl-CS" w:bidi="sr-Cyrl-CS"/>
              </w:rPr>
              <w:t>Индиректан утицај на циљеве:</w:t>
            </w:r>
          </w:p>
          <w:p w14:paraId="49B5A512" w14:textId="77777777" w:rsidR="00C57EAF" w:rsidRPr="00092ED7" w:rsidRDefault="00C57EAF" w:rsidP="00C57EAF">
            <w:pPr>
              <w:spacing w:after="60"/>
              <w:jc w:val="left"/>
              <w:rPr>
                <w:rFonts w:eastAsia="Times New Roman" w:cs="Times New Roman"/>
                <w:iCs/>
                <w:sz w:val="18"/>
                <w:szCs w:val="18"/>
                <w:lang w:val="sr-Cyrl-CS" w:bidi="sr-Cyrl-CS"/>
              </w:rPr>
            </w:pPr>
            <w:r w:rsidRPr="00092ED7">
              <w:rPr>
                <w:rFonts w:eastAsia="Times New Roman" w:cs="Times New Roman"/>
                <w:b/>
                <w:iCs/>
                <w:sz w:val="18"/>
                <w:szCs w:val="18"/>
                <w:lang w:val="sr-Cyrl-CS" w:bidi="sr-Cyrl-CS"/>
              </w:rPr>
              <w:t xml:space="preserve">циљ 10 ЗАЗБ - </w:t>
            </w:r>
            <w:r w:rsidRPr="00092ED7">
              <w:rPr>
                <w:rFonts w:eastAsia="Times New Roman" w:cs="Times New Roman"/>
                <w:iCs/>
                <w:sz w:val="18"/>
                <w:szCs w:val="18"/>
                <w:lang w:val="sr-Cyrl-CS" w:bidi="sr-Cyrl-CS"/>
              </w:rPr>
              <w:t>Давање приоритета енергетској ефикасности и њено унапређење у свим секторима</w:t>
            </w:r>
          </w:p>
          <w:p w14:paraId="588A8CE3" w14:textId="77777777" w:rsidR="00C57EAF" w:rsidRPr="00092ED7" w:rsidRDefault="00C57EAF" w:rsidP="00C57EAF">
            <w:pPr>
              <w:spacing w:after="60"/>
              <w:jc w:val="left"/>
              <w:rPr>
                <w:rFonts w:eastAsia="Times New Roman" w:cs="Times New Roman"/>
                <w:b/>
                <w:iCs/>
                <w:sz w:val="18"/>
                <w:szCs w:val="18"/>
                <w:lang w:val="sr-Cyrl-CS" w:bidi="sr-Cyrl-CS"/>
              </w:rPr>
            </w:pPr>
            <w:r w:rsidRPr="00092ED7">
              <w:rPr>
                <w:rFonts w:eastAsia="Times New Roman" w:cs="Times New Roman"/>
                <w:b/>
                <w:iCs/>
                <w:sz w:val="18"/>
                <w:szCs w:val="18"/>
                <w:lang w:val="sr-Cyrl-CS" w:bidi="sr-Cyrl-CS"/>
              </w:rPr>
              <w:t xml:space="preserve">циљ 13 ЗАЗБ - </w:t>
            </w:r>
            <w:r w:rsidRPr="00092ED7">
              <w:rPr>
                <w:rFonts w:eastAsia="Times New Roman" w:cs="Times New Roman"/>
                <w:iCs/>
                <w:sz w:val="18"/>
                <w:szCs w:val="18"/>
                <w:lang w:val="sr-Cyrl-CS" w:bidi="sr-Cyrl-CS"/>
              </w:rPr>
              <w:t>Повећати удео обновљивих извора енергије и обезбедити неопходне услове за инвестирање</w:t>
            </w:r>
          </w:p>
          <w:p w14:paraId="564BC923" w14:textId="77777777" w:rsidR="00C57EAF" w:rsidRPr="00092ED7" w:rsidRDefault="00C57EAF" w:rsidP="00C57EAF">
            <w:pPr>
              <w:spacing w:after="60"/>
              <w:jc w:val="left"/>
              <w:rPr>
                <w:rFonts w:eastAsia="Times New Roman" w:cs="Times New Roman"/>
                <w:b/>
                <w:iCs/>
                <w:sz w:val="18"/>
                <w:szCs w:val="18"/>
                <w:lang w:val="sr-Cyrl-CS" w:bidi="sr-Cyrl-CS"/>
              </w:rPr>
            </w:pPr>
            <w:r w:rsidRPr="00092ED7">
              <w:rPr>
                <w:rFonts w:eastAsia="Times New Roman" w:cs="Times New Roman"/>
                <w:b/>
                <w:iCs/>
                <w:sz w:val="18"/>
                <w:szCs w:val="18"/>
                <w:lang w:val="sr-Cyrl-CS" w:bidi="sr-Cyrl-CS"/>
              </w:rPr>
              <w:t xml:space="preserve">циљ 8 Европског Зеленог договора - </w:t>
            </w:r>
            <w:r w:rsidRPr="00092ED7">
              <w:rPr>
                <w:rFonts w:eastAsia="Times New Roman" w:cs="Times New Roman"/>
                <w:iCs/>
                <w:sz w:val="18"/>
                <w:szCs w:val="18"/>
                <w:lang w:val="sr-Cyrl-CS" w:bidi="sr-Cyrl-CS"/>
              </w:rPr>
              <w:t>Стратегија за паметну интеграцију сектора</w:t>
            </w:r>
          </w:p>
          <w:p w14:paraId="34703A67" w14:textId="77777777" w:rsidR="00C57EAF" w:rsidRPr="00092ED7" w:rsidRDefault="00C57EAF" w:rsidP="00C57EAF">
            <w:pPr>
              <w:spacing w:after="60"/>
              <w:jc w:val="left"/>
              <w:rPr>
                <w:rFonts w:eastAsia="Times New Roman" w:cs="Times New Roman"/>
                <w:iCs/>
                <w:sz w:val="18"/>
                <w:szCs w:val="18"/>
                <w:lang w:val="sr-Cyrl-CS"/>
              </w:rPr>
            </w:pPr>
          </w:p>
        </w:tc>
        <w:tc>
          <w:tcPr>
            <w:tcW w:w="1843" w:type="dxa"/>
            <w:tcBorders>
              <w:top w:val="single" w:sz="6" w:space="0" w:color="000000"/>
              <w:left w:val="single" w:sz="6" w:space="0" w:color="000000"/>
              <w:bottom w:val="single" w:sz="6" w:space="0" w:color="000000"/>
              <w:right w:val="single" w:sz="6" w:space="0" w:color="000000"/>
            </w:tcBorders>
          </w:tcPr>
          <w:p w14:paraId="507D5077"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Поглавље VI. Озелењавање Западног Балкана – улагање у животну средину и климу </w:t>
            </w:r>
          </w:p>
          <w:p w14:paraId="7284D745" w14:textId="77777777" w:rsidR="00C57EAF" w:rsidRPr="00092ED7" w:rsidRDefault="00C57EAF" w:rsidP="00C57EAF">
            <w:pPr>
              <w:spacing w:after="60"/>
              <w:jc w:val="left"/>
              <w:rPr>
                <w:rFonts w:eastAsia="Times New Roman" w:cs="Times New Roman"/>
                <w:iCs/>
                <w:sz w:val="20"/>
                <w:szCs w:val="20"/>
                <w:lang w:val="sr-Cyrl-CS" w:eastAsia="sr-Cyrl-CS" w:bidi="sr-Cyrl-CS"/>
              </w:rPr>
            </w:pPr>
            <w:r w:rsidRPr="00092ED7">
              <w:rPr>
                <w:rFonts w:eastAsia="Times New Roman" w:cs="Times New Roman"/>
                <w:b/>
                <w:iCs/>
                <w:sz w:val="20"/>
                <w:szCs w:val="20"/>
                <w:lang w:val="sr-Cyrl-CS" w:eastAsia="sr-Cyrl-CS" w:bidi="sr-Cyrl-CS"/>
              </w:rPr>
              <w:t xml:space="preserve">- </w:t>
            </w:r>
            <w:r w:rsidRPr="00092ED7">
              <w:rPr>
                <w:rFonts w:eastAsia="Times New Roman" w:cs="Times New Roman"/>
                <w:iCs/>
                <w:sz w:val="20"/>
                <w:szCs w:val="20"/>
                <w:lang w:val="sr-Cyrl-CS" w:eastAsia="sr-Cyrl-CS" w:bidi="sr-Cyrl-CS"/>
              </w:rPr>
              <w:t xml:space="preserve">Прелазак са фосилних горива на обновљиву енергију </w:t>
            </w:r>
          </w:p>
          <w:p w14:paraId="6D435D70"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Кључна иницијатива 4 –Обновљива енергија</w:t>
            </w:r>
          </w:p>
          <w:p w14:paraId="4C6476C4"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  унапредити инвестиције у ветропаркове</w:t>
            </w:r>
          </w:p>
        </w:tc>
        <w:tc>
          <w:tcPr>
            <w:tcW w:w="1559" w:type="dxa"/>
            <w:tcBorders>
              <w:top w:val="single" w:sz="6" w:space="0" w:color="000000"/>
              <w:left w:val="single" w:sz="6" w:space="0" w:color="000000"/>
              <w:bottom w:val="single" w:sz="6" w:space="0" w:color="000000"/>
              <w:right w:val="single" w:sz="6" w:space="0" w:color="000000"/>
            </w:tcBorders>
          </w:tcPr>
          <w:p w14:paraId="452D1864"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2FB83461" w14:textId="77777777" w:rsidTr="00F50B50">
        <w:trPr>
          <w:trHeight w:val="411"/>
        </w:trPr>
        <w:tc>
          <w:tcPr>
            <w:tcW w:w="1635" w:type="dxa"/>
            <w:tcBorders>
              <w:top w:val="single" w:sz="6" w:space="0" w:color="000000"/>
              <w:left w:val="single" w:sz="6" w:space="0" w:color="000000"/>
              <w:bottom w:val="single" w:sz="6" w:space="0" w:color="000000"/>
              <w:right w:val="single" w:sz="6" w:space="0" w:color="000000"/>
            </w:tcBorders>
          </w:tcPr>
          <w:p w14:paraId="1967358C"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10. Развој енергетског тржишта уз изградњу енергетске инфраструктуре</w:t>
            </w:r>
          </w:p>
        </w:tc>
        <w:tc>
          <w:tcPr>
            <w:tcW w:w="1498" w:type="dxa"/>
            <w:tcBorders>
              <w:top w:val="single" w:sz="6" w:space="0" w:color="000000"/>
              <w:left w:val="single" w:sz="6" w:space="0" w:color="000000"/>
              <w:bottom w:val="single" w:sz="6" w:space="0" w:color="000000"/>
              <w:right w:val="single" w:sz="6" w:space="0" w:color="000000"/>
            </w:tcBorders>
          </w:tcPr>
          <w:p w14:paraId="277DEA8B"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КСИ 3.</w:t>
            </w:r>
            <w:r w:rsidRPr="00092ED7">
              <w:rPr>
                <w:rFonts w:eastAsia="Times New Roman" w:cs="Times New Roman"/>
                <w:iCs/>
                <w:sz w:val="18"/>
                <w:szCs w:val="18"/>
                <w:lang w:val="sr-Cyrl-CS"/>
              </w:rPr>
              <w:t xml:space="preserve"> Озелењавање енергетског сектора и потпуно отварање енергетског тржишта</w:t>
            </w:r>
          </w:p>
        </w:tc>
        <w:tc>
          <w:tcPr>
            <w:tcW w:w="1750" w:type="dxa"/>
            <w:tcBorders>
              <w:top w:val="single" w:sz="6" w:space="0" w:color="000000"/>
              <w:left w:val="single" w:sz="6" w:space="0" w:color="000000"/>
              <w:bottom w:val="single" w:sz="6" w:space="0" w:color="000000"/>
              <w:right w:val="single" w:sz="6" w:space="0" w:color="000000"/>
            </w:tcBorders>
          </w:tcPr>
          <w:p w14:paraId="249B9031"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Препорука 5.</w:t>
            </w:r>
            <w:r w:rsidRPr="00092ED7">
              <w:rPr>
                <w:rFonts w:eastAsia="Times New Roman" w:cs="Times New Roman"/>
                <w:iCs/>
                <w:sz w:val="18"/>
                <w:szCs w:val="18"/>
                <w:lang w:val="sr-Cyrl-CS"/>
              </w:rPr>
              <w:t xml:space="preserve"> Додатно увећати улагања у модернизацију енергетске инфраструктуре</w:t>
            </w:r>
          </w:p>
        </w:tc>
        <w:tc>
          <w:tcPr>
            <w:tcW w:w="2015" w:type="dxa"/>
            <w:tcBorders>
              <w:top w:val="single" w:sz="6" w:space="0" w:color="000000"/>
              <w:left w:val="single" w:sz="6" w:space="0" w:color="000000"/>
              <w:bottom w:val="single" w:sz="6" w:space="0" w:color="000000"/>
              <w:right w:val="single" w:sz="6" w:space="0" w:color="000000"/>
            </w:tcBorders>
          </w:tcPr>
          <w:p w14:paraId="7EF77C64"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Омогућити даљи развој регионалног тржишта електричне енергије.</w:t>
            </w:r>
          </w:p>
        </w:tc>
        <w:tc>
          <w:tcPr>
            <w:tcW w:w="1932" w:type="dxa"/>
            <w:tcBorders>
              <w:top w:val="single" w:sz="6" w:space="0" w:color="000000"/>
              <w:left w:val="single" w:sz="6" w:space="0" w:color="000000"/>
              <w:bottom w:val="single" w:sz="6" w:space="0" w:color="000000"/>
              <w:right w:val="single" w:sz="6" w:space="0" w:color="000000"/>
            </w:tcBorders>
          </w:tcPr>
          <w:p w14:paraId="776C0B4D" w14:textId="77777777" w:rsidR="00C57EAF" w:rsidRPr="00092ED7" w:rsidRDefault="00C57EAF" w:rsidP="00C57EAF">
            <w:pPr>
              <w:spacing w:after="60"/>
              <w:jc w:val="left"/>
              <w:rPr>
                <w:rFonts w:eastAsia="Times New Roman" w:cs="Times New Roman"/>
                <w:b/>
                <w:bCs/>
                <w:sz w:val="20"/>
                <w:szCs w:val="20"/>
                <w:lang w:val="sr-Cyrl-CS" w:eastAsia="sr-Cyrl-CS" w:bidi="sr-Cyrl-CS"/>
              </w:rPr>
            </w:pPr>
            <w:r w:rsidRPr="00092ED7">
              <w:rPr>
                <w:rFonts w:eastAsia="Times New Roman" w:cs="Times New Roman"/>
                <w:b/>
                <w:bCs/>
                <w:sz w:val="18"/>
                <w:szCs w:val="18"/>
                <w:lang w:val="sr-Cyrl-CS"/>
              </w:rPr>
              <w:t>ЦОР 7.1.</w:t>
            </w:r>
            <w:r w:rsidRPr="00092ED7">
              <w:rPr>
                <w:rFonts w:eastAsia="Times New Roman" w:cs="Times New Roman"/>
                <w:bCs/>
                <w:sz w:val="18"/>
                <w:szCs w:val="18"/>
                <w:lang w:val="sr-Cyrl-CS"/>
              </w:rPr>
              <w:t xml:space="preserve"> Обезбедити универзални приступ економски прихватљивим, поузданим и модерним енергетским услугама</w:t>
            </w:r>
          </w:p>
        </w:tc>
        <w:tc>
          <w:tcPr>
            <w:tcW w:w="2409" w:type="dxa"/>
            <w:tcBorders>
              <w:top w:val="single" w:sz="6" w:space="0" w:color="000000"/>
              <w:left w:val="single" w:sz="6" w:space="0" w:color="000000"/>
              <w:bottom w:val="single" w:sz="6" w:space="0" w:color="000000"/>
              <w:right w:val="single" w:sz="6" w:space="0" w:color="000000"/>
            </w:tcBorders>
          </w:tcPr>
          <w:p w14:paraId="06FA764C"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Индиректан утицај на циљеве:</w:t>
            </w:r>
          </w:p>
          <w:p w14:paraId="5198F5AF"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10 ЗАЗБ - </w:t>
            </w:r>
            <w:r w:rsidRPr="00092ED7">
              <w:rPr>
                <w:rFonts w:eastAsia="Times New Roman" w:cs="Times New Roman"/>
                <w:iCs/>
                <w:sz w:val="18"/>
                <w:szCs w:val="18"/>
                <w:lang w:val="sr-Cyrl-CS"/>
              </w:rPr>
              <w:t>Давање приоритета енергетској ефикасности и њено унапређење у свим секторима</w:t>
            </w:r>
          </w:p>
          <w:p w14:paraId="74161DA0"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8 Европског Зеленог договора - </w:t>
            </w:r>
            <w:r w:rsidRPr="00092ED7">
              <w:rPr>
                <w:rFonts w:eastAsia="Times New Roman" w:cs="Times New Roman"/>
                <w:iCs/>
                <w:sz w:val="18"/>
                <w:szCs w:val="18"/>
                <w:lang w:val="sr-Cyrl-CS"/>
              </w:rPr>
              <w:t>Стратегија за паметну интеграцију сектора</w:t>
            </w:r>
          </w:p>
          <w:p w14:paraId="0F7B8847"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10 Европског Зеленог договора - </w:t>
            </w:r>
            <w:r w:rsidRPr="00092ED7">
              <w:rPr>
                <w:rFonts w:eastAsia="Times New Roman" w:cs="Times New Roman"/>
                <w:iCs/>
                <w:sz w:val="18"/>
                <w:szCs w:val="18"/>
                <w:lang w:val="sr-Cyrl-CS"/>
              </w:rPr>
              <w:t>Евалуација и преиспитивање Уредбе о трансевропској енергетској мрежи</w:t>
            </w:r>
          </w:p>
          <w:p w14:paraId="1127B6BB" w14:textId="77777777" w:rsidR="00C57EAF" w:rsidRPr="00092ED7" w:rsidRDefault="00C57EAF" w:rsidP="00C57EAF">
            <w:pPr>
              <w:spacing w:after="60"/>
              <w:jc w:val="left"/>
              <w:rPr>
                <w:rFonts w:eastAsia="Times New Roman" w:cs="Times New Roman"/>
                <w:iCs/>
                <w:sz w:val="18"/>
                <w:szCs w:val="18"/>
                <w:lang w:val="sr-Cyrl-CS" w:bidi="sr-Cyrl-CS"/>
              </w:rPr>
            </w:pPr>
            <w:r w:rsidRPr="00092ED7">
              <w:rPr>
                <w:rFonts w:eastAsia="Times New Roman" w:cs="Times New Roman"/>
                <w:i/>
                <w:iCs/>
                <w:sz w:val="18"/>
                <w:szCs w:val="18"/>
                <w:lang w:val="sr-Cyrl-CS"/>
              </w:rPr>
              <w:t>Изградња нових интерконектора омогућује унапређење преносних система, сигурности и поузданости снабдевања електричном енергијом. Оваквим приступом може се  допринети повећању енергетске ефикасности и јачању регионалне сарадње</w:t>
            </w:r>
            <w:r w:rsidRPr="00092ED7">
              <w:rPr>
                <w:rFonts w:eastAsia="Times New Roman" w:cs="Times New Roman"/>
                <w:b/>
                <w:i/>
                <w:iCs/>
                <w:sz w:val="18"/>
                <w:szCs w:val="18"/>
                <w:lang w:val="sr-Cyrl-CS"/>
              </w:rPr>
              <w:t>.</w:t>
            </w:r>
          </w:p>
        </w:tc>
        <w:tc>
          <w:tcPr>
            <w:tcW w:w="1843" w:type="dxa"/>
            <w:tcBorders>
              <w:top w:val="single" w:sz="6" w:space="0" w:color="000000"/>
              <w:left w:val="single" w:sz="6" w:space="0" w:color="000000"/>
              <w:bottom w:val="single" w:sz="6" w:space="0" w:color="000000"/>
              <w:right w:val="single" w:sz="6" w:space="0" w:color="000000"/>
            </w:tcBorders>
          </w:tcPr>
          <w:p w14:paraId="3B99DA7B"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Поглавље VI. Озелењавање Западног Балкана – улагање у животну средину и климу </w:t>
            </w:r>
          </w:p>
          <w:p w14:paraId="185F8384"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Улагање у инфраструктуру којом се подржава међусекторска трансформација ка климатски неутралној економији</w:t>
            </w:r>
          </w:p>
          <w:p w14:paraId="234528D6"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Кључна иницијатива 5. Транзиција од експлоатације угља </w:t>
            </w:r>
          </w:p>
          <w:p w14:paraId="2F3C50F7"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 Изградња пројекта Tрансбалкански коридор</w:t>
            </w:r>
          </w:p>
        </w:tc>
        <w:tc>
          <w:tcPr>
            <w:tcW w:w="1559" w:type="dxa"/>
            <w:tcBorders>
              <w:top w:val="single" w:sz="6" w:space="0" w:color="000000"/>
              <w:left w:val="single" w:sz="6" w:space="0" w:color="000000"/>
              <w:bottom w:val="single" w:sz="6" w:space="0" w:color="000000"/>
              <w:right w:val="single" w:sz="6" w:space="0" w:color="000000"/>
            </w:tcBorders>
          </w:tcPr>
          <w:p w14:paraId="37FAE88D" w14:textId="3A5C86DF" w:rsidR="00C57EAF" w:rsidRPr="00092ED7" w:rsidRDefault="00D25345"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Техничка помоћ и инвестициони грантови Инвестиционог оквира за Западни Балкан</w:t>
            </w:r>
          </w:p>
        </w:tc>
      </w:tr>
      <w:tr w:rsidR="00C57EAF" w:rsidRPr="00092ED7" w14:paraId="3C4BAD02" w14:textId="77777777" w:rsidTr="00F50B50">
        <w:trPr>
          <w:trHeight w:val="410"/>
        </w:trPr>
        <w:tc>
          <w:tcPr>
            <w:tcW w:w="1635" w:type="dxa"/>
            <w:tcBorders>
              <w:top w:val="single" w:sz="6" w:space="0" w:color="000000"/>
              <w:left w:val="single" w:sz="6" w:space="0" w:color="000000"/>
              <w:bottom w:val="single" w:sz="6" w:space="0" w:color="000000"/>
              <w:right w:val="single" w:sz="6" w:space="0" w:color="000000"/>
            </w:tcBorders>
          </w:tcPr>
          <w:p w14:paraId="48BE27D5"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11. Трансформација Пореске управе</w:t>
            </w:r>
          </w:p>
        </w:tc>
        <w:tc>
          <w:tcPr>
            <w:tcW w:w="1498" w:type="dxa"/>
            <w:tcBorders>
              <w:top w:val="single" w:sz="6" w:space="0" w:color="000000"/>
              <w:left w:val="single" w:sz="6" w:space="0" w:color="000000"/>
              <w:bottom w:val="single" w:sz="6" w:space="0" w:color="000000"/>
              <w:right w:val="single" w:sz="6" w:space="0" w:color="000000"/>
            </w:tcBorders>
          </w:tcPr>
          <w:p w14:paraId="420AF1DE"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38EDA32C"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Препорука 2.</w:t>
            </w:r>
            <w:r w:rsidRPr="00092ED7">
              <w:rPr>
                <w:rFonts w:eastAsia="Times New Roman" w:cs="Times New Roman"/>
                <w:iCs/>
                <w:sz w:val="18"/>
                <w:szCs w:val="18"/>
                <w:lang w:val="sr-Cyrl-CS"/>
              </w:rPr>
              <w:t xml:space="preserve"> Смањити сиву економију, унапредити наплату ПДВ-а, побољшати процес пореске контроле и спровести реформу пореске администрације према временском оквиру датом у ЕРП-у 2022</w:t>
            </w:r>
          </w:p>
        </w:tc>
        <w:tc>
          <w:tcPr>
            <w:tcW w:w="2015" w:type="dxa"/>
            <w:tcBorders>
              <w:top w:val="single" w:sz="6" w:space="0" w:color="000000"/>
              <w:left w:val="single" w:sz="6" w:space="0" w:color="000000"/>
              <w:bottom w:val="single" w:sz="6" w:space="0" w:color="000000"/>
              <w:right w:val="single" w:sz="6" w:space="0" w:color="000000"/>
            </w:tcBorders>
          </w:tcPr>
          <w:p w14:paraId="0F999A71"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Наставити са спровођењем Програма трансформације пореске управе у циљу рационализације активности Пореске управе</w:t>
            </w:r>
          </w:p>
          <w:p w14:paraId="12C69128"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Обезбедити довољно људских и ИТ ресурса у оквиру Пореске управе</w:t>
            </w:r>
          </w:p>
          <w:p w14:paraId="66BB7688"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Побољшати наплату пореза и борити се против сиве економије</w:t>
            </w:r>
          </w:p>
        </w:tc>
        <w:tc>
          <w:tcPr>
            <w:tcW w:w="1932" w:type="dxa"/>
            <w:tcBorders>
              <w:top w:val="single" w:sz="6" w:space="0" w:color="000000"/>
              <w:left w:val="single" w:sz="6" w:space="0" w:color="000000"/>
              <w:bottom w:val="single" w:sz="6" w:space="0" w:color="000000"/>
              <w:right w:val="single" w:sz="6" w:space="0" w:color="000000"/>
            </w:tcBorders>
          </w:tcPr>
          <w:p w14:paraId="40BF38CA"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16.6.</w:t>
            </w:r>
            <w:r w:rsidRPr="00092ED7">
              <w:rPr>
                <w:rFonts w:eastAsia="Times New Roman" w:cs="Times New Roman"/>
                <w:bCs/>
                <w:sz w:val="18"/>
                <w:szCs w:val="18"/>
                <w:lang w:val="sr-Cyrl-CS"/>
              </w:rPr>
              <w:t xml:space="preserve"> Развити ефикасне, одговорне и транспарентне институције на свим нивоима.</w:t>
            </w:r>
          </w:p>
          <w:p w14:paraId="02F2811E"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 xml:space="preserve">ЦОР 17.1. </w:t>
            </w:r>
            <w:r w:rsidRPr="00092ED7">
              <w:rPr>
                <w:rFonts w:eastAsia="Times New Roman" w:cs="Times New Roman"/>
                <w:bCs/>
                <w:sz w:val="18"/>
                <w:szCs w:val="18"/>
                <w:lang w:val="sr-Cyrl-CS"/>
              </w:rPr>
              <w:t>Појачати мобилизацију домаћих ресурса, између осталог и преко међународне подршке за земље у развоју, како би се унапредили домаћи капацитети за прикупљање пореза и осталих прихода</w:t>
            </w:r>
          </w:p>
        </w:tc>
        <w:tc>
          <w:tcPr>
            <w:tcW w:w="2409" w:type="dxa"/>
            <w:tcBorders>
              <w:top w:val="single" w:sz="6" w:space="0" w:color="000000"/>
              <w:left w:val="single" w:sz="6" w:space="0" w:color="000000"/>
              <w:bottom w:val="single" w:sz="6" w:space="0" w:color="000000"/>
              <w:right w:val="single" w:sz="6" w:space="0" w:color="000000"/>
            </w:tcBorders>
          </w:tcPr>
          <w:p w14:paraId="2C50064F"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 xml:space="preserve">Индиректан утицај на </w:t>
            </w:r>
            <w:r w:rsidRPr="00092ED7">
              <w:rPr>
                <w:rFonts w:eastAsia="Times New Roman" w:cs="Times New Roman"/>
                <w:b/>
                <w:iCs/>
                <w:sz w:val="18"/>
                <w:szCs w:val="18"/>
                <w:lang w:val="sr-Cyrl-CS"/>
              </w:rPr>
              <w:t xml:space="preserve">циљ 59 ЗАЗБ - </w:t>
            </w:r>
            <w:r w:rsidRPr="00092ED7">
              <w:rPr>
                <w:rFonts w:eastAsia="Times New Roman" w:cs="Times New Roman"/>
                <w:iCs/>
                <w:sz w:val="18"/>
                <w:szCs w:val="18"/>
                <w:lang w:val="sr-Cyrl-CS"/>
              </w:rPr>
              <w:t>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14:paraId="150ED733" w14:textId="77777777" w:rsidR="00C57EAF" w:rsidRPr="00092ED7" w:rsidRDefault="00C57EAF" w:rsidP="00C57EAF">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Побољшање наплате јавних прихода, унапређење квалитета постојећих и увођење нових врста услуга прилагођених потребама пореских обвезника може допринети обезбеђењу додатних финансијски средства која би се потенцијално користила у буџету за животну средину. Такође, ангажовани су стручњаци за заштиту животне средине који помажу Пореској управи да успешно спроводи и прати пројектне активности које су подложне еколошким ризицима, управљају њиховим утицајима и припремају планове управљања животном средином, како би се обезбедила ефикасна заштита животне средине, здравље и безбедност на раду.</w:t>
            </w:r>
          </w:p>
        </w:tc>
        <w:tc>
          <w:tcPr>
            <w:tcW w:w="1843" w:type="dxa"/>
            <w:tcBorders>
              <w:top w:val="single" w:sz="6" w:space="0" w:color="000000"/>
              <w:left w:val="single" w:sz="6" w:space="0" w:color="000000"/>
              <w:bottom w:val="single" w:sz="6" w:space="0" w:color="000000"/>
              <w:right w:val="single" w:sz="6" w:space="0" w:color="000000"/>
            </w:tcBorders>
          </w:tcPr>
          <w:p w14:paraId="7562897B" w14:textId="77777777" w:rsidR="00C57EAF" w:rsidRPr="00092ED7" w:rsidRDefault="00C57EAF" w:rsidP="00C57EAF">
            <w:pPr>
              <w:spacing w:after="60"/>
              <w:jc w:val="left"/>
              <w:rPr>
                <w:rFonts w:eastAsia="Times New Roman" w:cs="Times New Roman"/>
                <w:iCs/>
                <w:sz w:val="18"/>
                <w:szCs w:val="18"/>
                <w:lang w:val="sr-Cyrl-CS"/>
              </w:rPr>
            </w:pPr>
          </w:p>
        </w:tc>
        <w:tc>
          <w:tcPr>
            <w:tcW w:w="1559" w:type="dxa"/>
            <w:tcBorders>
              <w:top w:val="single" w:sz="6" w:space="0" w:color="000000"/>
              <w:left w:val="single" w:sz="6" w:space="0" w:color="000000"/>
              <w:bottom w:val="single" w:sz="6" w:space="0" w:color="000000"/>
              <w:right w:val="single" w:sz="6" w:space="0" w:color="000000"/>
            </w:tcBorders>
          </w:tcPr>
          <w:p w14:paraId="6041183C"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235AEDE5" w14:textId="77777777" w:rsidTr="00F50B50">
        <w:trPr>
          <w:trHeight w:val="410"/>
        </w:trPr>
        <w:tc>
          <w:tcPr>
            <w:tcW w:w="1635" w:type="dxa"/>
            <w:tcBorders>
              <w:top w:val="single" w:sz="6" w:space="0" w:color="000000"/>
              <w:left w:val="single" w:sz="6" w:space="0" w:color="000000"/>
              <w:bottom w:val="single" w:sz="6" w:space="0" w:color="000000"/>
              <w:right w:val="single" w:sz="6" w:space="0" w:color="000000"/>
            </w:tcBorders>
          </w:tcPr>
          <w:p w14:paraId="3E38FF31"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12. Примена циркуларне економије у стварању повољног окружења за зелену транзицију</w:t>
            </w:r>
          </w:p>
        </w:tc>
        <w:tc>
          <w:tcPr>
            <w:tcW w:w="1498" w:type="dxa"/>
            <w:tcBorders>
              <w:top w:val="single" w:sz="6" w:space="0" w:color="000000"/>
              <w:left w:val="single" w:sz="6" w:space="0" w:color="000000"/>
              <w:bottom w:val="single" w:sz="6" w:space="0" w:color="000000"/>
              <w:right w:val="single" w:sz="6" w:space="0" w:color="000000"/>
            </w:tcBorders>
          </w:tcPr>
          <w:p w14:paraId="2BA2CFFF"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20123145"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74F8F06A"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Интензивирати рад на имплементацији и спровођењу: поштовања правила о процени утицаја на животну средину, затварања неусаглашених депонија, повећања улагања у смањење отпада, сепарације и рециклаже уз побољшање квалитета ваздуха и воде</w:t>
            </w:r>
          </w:p>
          <w:p w14:paraId="0D2C163C"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Побољшати међуинституционалну координацију, повећати улагања у животну средину као и даље унапређивати стратешко планирање инвестиција и управљања, укључујући транспарентност процедура</w:t>
            </w:r>
          </w:p>
        </w:tc>
        <w:tc>
          <w:tcPr>
            <w:tcW w:w="1932" w:type="dxa"/>
            <w:tcBorders>
              <w:top w:val="single" w:sz="6" w:space="0" w:color="000000"/>
              <w:left w:val="single" w:sz="6" w:space="0" w:color="000000"/>
              <w:bottom w:val="single" w:sz="6" w:space="0" w:color="000000"/>
              <w:right w:val="single" w:sz="6" w:space="0" w:color="000000"/>
            </w:tcBorders>
          </w:tcPr>
          <w:p w14:paraId="6F5DBBDC"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
                <w:bCs/>
                <w:iCs/>
                <w:sz w:val="18"/>
                <w:szCs w:val="18"/>
                <w:lang w:val="sr-Cyrl-CS"/>
              </w:rPr>
              <w:t>ЦОР 3.9.</w:t>
            </w:r>
            <w:r w:rsidRPr="00092ED7">
              <w:rPr>
                <w:rFonts w:eastAsia="Times New Roman" w:cs="Times New Roman"/>
                <w:bCs/>
                <w:iCs/>
                <w:sz w:val="18"/>
                <w:szCs w:val="18"/>
                <w:lang w:val="sr-Cyrl-CS"/>
              </w:rPr>
              <w:t xml:space="preserve"> До 2030. значајно смањити број смртних случајева и обољења од опасних хемикалија и загађења, и контаминације ваздуха, воде и земљишта</w:t>
            </w:r>
          </w:p>
          <w:p w14:paraId="79FCCC5F"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
                <w:bCs/>
                <w:iCs/>
                <w:sz w:val="18"/>
                <w:szCs w:val="18"/>
                <w:lang w:val="sr-Cyrl-CS"/>
              </w:rPr>
              <w:t xml:space="preserve">ЦОР 11.5 </w:t>
            </w:r>
            <w:r w:rsidRPr="00092ED7">
              <w:rPr>
                <w:rFonts w:eastAsia="Times New Roman" w:cs="Times New Roman"/>
                <w:bCs/>
                <w:iCs/>
                <w:sz w:val="18"/>
                <w:szCs w:val="18"/>
                <w:lang w:val="sr-Cyrl-CS"/>
              </w:rPr>
              <w:t>До 2030. значајно смањити број смртних случајева, број угрожених људи и директне економске губитке у односу на глобални бруто домаћи производ изазван катастрофама, укључујући и оне повезане са водом, усмеравајући пажњу на заштиту сиромашних и оних у стањима рањивости</w:t>
            </w:r>
          </w:p>
          <w:p w14:paraId="7239569D"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
                <w:bCs/>
                <w:iCs/>
                <w:sz w:val="18"/>
                <w:szCs w:val="18"/>
                <w:lang w:val="sr-Cyrl-CS"/>
              </w:rPr>
              <w:t>ЦОР 12.1.</w:t>
            </w:r>
            <w:r w:rsidRPr="00092ED7">
              <w:rPr>
                <w:rFonts w:eastAsia="Times New Roman" w:cs="Times New Roman"/>
                <w:bCs/>
                <w:iCs/>
                <w:sz w:val="18"/>
                <w:szCs w:val="18"/>
                <w:lang w:val="sr-Cyrl-CS"/>
              </w:rPr>
              <w:t xml:space="preserve"> Спровести десетогодишњи оквирни програм о одрживој потрошњи и производњи</w:t>
            </w:r>
          </w:p>
          <w:p w14:paraId="1CBCB9DA"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
                <w:bCs/>
                <w:iCs/>
                <w:sz w:val="18"/>
                <w:szCs w:val="18"/>
                <w:lang w:val="sr-Cyrl-CS"/>
              </w:rPr>
              <w:t>ЦОР 12.2.</w:t>
            </w:r>
            <w:r w:rsidRPr="00092ED7">
              <w:rPr>
                <w:rFonts w:eastAsia="Times New Roman" w:cs="Times New Roman"/>
                <w:bCs/>
                <w:iCs/>
                <w:sz w:val="18"/>
                <w:szCs w:val="18"/>
                <w:lang w:val="sr-Cyrl-CS"/>
              </w:rPr>
              <w:t xml:space="preserve"> До 2030. Постићи одрживо управљање и ефикасно коришћење природних ресурса.</w:t>
            </w:r>
          </w:p>
        </w:tc>
        <w:tc>
          <w:tcPr>
            <w:tcW w:w="2409" w:type="dxa"/>
            <w:tcBorders>
              <w:top w:val="single" w:sz="6" w:space="0" w:color="000000"/>
              <w:left w:val="single" w:sz="6" w:space="0" w:color="000000"/>
              <w:bottom w:val="single" w:sz="6" w:space="0" w:color="000000"/>
              <w:right w:val="single" w:sz="6" w:space="0" w:color="000000"/>
            </w:tcBorders>
          </w:tcPr>
          <w:p w14:paraId="0F329A91"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Директан утицај на циљеве:</w:t>
            </w:r>
          </w:p>
          <w:p w14:paraId="23607343"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30 ЗАЗБ - </w:t>
            </w:r>
            <w:r w:rsidRPr="00092ED7">
              <w:rPr>
                <w:rFonts w:eastAsia="Times New Roman" w:cs="Times New Roman"/>
                <w:iCs/>
                <w:sz w:val="18"/>
                <w:szCs w:val="18"/>
                <w:lang w:val="sr-Cyrl-CS"/>
              </w:rPr>
              <w:t>Примена приступа индустријског екосистема како би се остварио еколошки одржив, уравнотежен економски опоравак</w:t>
            </w:r>
          </w:p>
          <w:p w14:paraId="463288DD"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31 ЗАЗБ - </w:t>
            </w:r>
            <w:r w:rsidRPr="00092ED7">
              <w:rPr>
                <w:rFonts w:eastAsia="Times New Roman" w:cs="Times New Roman"/>
                <w:iCs/>
                <w:sz w:val="18"/>
                <w:szCs w:val="18"/>
                <w:lang w:val="sr-Cyrl-CS"/>
              </w:rPr>
              <w:t>Развој стратегија циркуларне економије имајући у виду целокупни животни циклус производа</w:t>
            </w:r>
          </w:p>
          <w:p w14:paraId="1BB9509E"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13 Европског Зеленог договора - </w:t>
            </w:r>
            <w:r w:rsidRPr="00092ED7">
              <w:rPr>
                <w:rFonts w:eastAsia="Times New Roman" w:cs="Times New Roman"/>
                <w:iCs/>
                <w:sz w:val="18"/>
                <w:szCs w:val="18"/>
                <w:lang w:val="sr-Cyrl-CS"/>
              </w:rPr>
              <w:t>Акциони план за циркуларну економију, укључујући иницијативу за одрживе производе и посебан нагласак на ресурсно интензивним секторима, као што су текстилни сектор, грађевинарство, сектор електронике и пластике</w:t>
            </w:r>
          </w:p>
          <w:p w14:paraId="2F567812"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14 Европског Зеленог договора - </w:t>
            </w:r>
            <w:r w:rsidRPr="00092ED7">
              <w:rPr>
                <w:rFonts w:eastAsia="Times New Roman" w:cs="Times New Roman"/>
                <w:iCs/>
                <w:sz w:val="18"/>
                <w:szCs w:val="18"/>
                <w:lang w:val="sr-Cyrl-CS"/>
              </w:rPr>
              <w:t>Иницијативе за стимулисање водећих тржишта за климатски неутралне и циркуларне производе у енергетски интензивним индустријским секторима</w:t>
            </w:r>
          </w:p>
          <w:p w14:paraId="234906A2"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
                <w:iCs/>
                <w:sz w:val="18"/>
                <w:szCs w:val="18"/>
                <w:lang w:val="sr-Cyrl-CS"/>
              </w:rPr>
              <w:t>Увођење концепта циркуларне економије директно доприноси спровођењу зелене економске транзиције, ефикасном коришћењу ресурса и енергије, очувању биодиверзитета и заштити природе. Подстичу се предузећа у приватном и јавном сектору да усвоје принципе циркуларне економије у својим пословним процесима.</w:t>
            </w:r>
          </w:p>
        </w:tc>
        <w:tc>
          <w:tcPr>
            <w:tcW w:w="1843" w:type="dxa"/>
            <w:tcBorders>
              <w:top w:val="single" w:sz="6" w:space="0" w:color="000000"/>
              <w:left w:val="single" w:sz="6" w:space="0" w:color="000000"/>
              <w:bottom w:val="single" w:sz="6" w:space="0" w:color="000000"/>
              <w:right w:val="single" w:sz="6" w:space="0" w:color="000000"/>
            </w:tcBorders>
          </w:tcPr>
          <w:p w14:paraId="43904241"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Поглавље VI Озелењавање Западног Балкана – улагање у животну средину и климу</w:t>
            </w:r>
          </w:p>
          <w:p w14:paraId="104A8372"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Примена концепта циркуларне економије на свим нивоима и пружање институционалне подршке</w:t>
            </w:r>
          </w:p>
          <w:p w14:paraId="15A15900"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Кључна иницијатива 7. Управљање отпадом и отпадним водама </w:t>
            </w:r>
          </w:p>
          <w:p w14:paraId="69E00B65"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Одрживи и поуздани начини управљања водоснабдевањем, отпадном водом и одлагањем отпада од суштинског значаја су за заштиту животне средине и здравља грађана</w:t>
            </w:r>
          </w:p>
          <w:p w14:paraId="53221CF3" w14:textId="77777777" w:rsidR="00C57EAF" w:rsidRPr="00092ED7" w:rsidRDefault="00C57EAF" w:rsidP="00C57EAF">
            <w:pPr>
              <w:spacing w:after="60"/>
              <w:jc w:val="left"/>
              <w:rPr>
                <w:rFonts w:eastAsia="Times New Roman" w:cs="Times New Roman"/>
                <w:b/>
                <w:iCs/>
                <w:sz w:val="18"/>
                <w:szCs w:val="18"/>
                <w:lang w:val="sr-Cyrl-CS"/>
              </w:rPr>
            </w:pPr>
          </w:p>
        </w:tc>
        <w:tc>
          <w:tcPr>
            <w:tcW w:w="1559" w:type="dxa"/>
            <w:tcBorders>
              <w:top w:val="single" w:sz="6" w:space="0" w:color="000000"/>
              <w:left w:val="single" w:sz="6" w:space="0" w:color="000000"/>
              <w:bottom w:val="single" w:sz="6" w:space="0" w:color="000000"/>
              <w:right w:val="single" w:sz="6" w:space="0" w:color="000000"/>
            </w:tcBorders>
          </w:tcPr>
          <w:p w14:paraId="5EBD6866"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63093343" w14:textId="77777777" w:rsidTr="00F50B50">
        <w:trPr>
          <w:trHeight w:val="410"/>
        </w:trPr>
        <w:tc>
          <w:tcPr>
            <w:tcW w:w="1635" w:type="dxa"/>
            <w:tcBorders>
              <w:top w:val="single" w:sz="6" w:space="0" w:color="000000"/>
              <w:left w:val="single" w:sz="6" w:space="0" w:color="000000"/>
              <w:bottom w:val="single" w:sz="6" w:space="0" w:color="000000"/>
              <w:right w:val="single" w:sz="6" w:space="0" w:color="000000"/>
            </w:tcBorders>
          </w:tcPr>
          <w:p w14:paraId="72651FB0"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13. Развој и унапређење националне информационо-комуникационе инфраструктуре</w:t>
            </w:r>
          </w:p>
        </w:tc>
        <w:tc>
          <w:tcPr>
            <w:tcW w:w="1498" w:type="dxa"/>
            <w:tcBorders>
              <w:top w:val="single" w:sz="6" w:space="0" w:color="000000"/>
              <w:left w:val="single" w:sz="6" w:space="0" w:color="000000"/>
              <w:bottom w:val="single" w:sz="6" w:space="0" w:color="000000"/>
              <w:right w:val="single" w:sz="6" w:space="0" w:color="000000"/>
            </w:tcBorders>
          </w:tcPr>
          <w:p w14:paraId="2C7D974D"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69224242"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6254BD49"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Наставити имплементацију пројекта </w:t>
            </w:r>
            <w:r w:rsidRPr="00092ED7">
              <w:rPr>
                <w:rFonts w:cs="Times New Roman"/>
                <w:iCs/>
                <w:lang w:val="sr-Cyrl-CS" w:eastAsia="sr-Cyrl-CS" w:bidi="sr-Cyrl-CS"/>
              </w:rPr>
              <w:t xml:space="preserve"> </w:t>
            </w:r>
            <w:r w:rsidRPr="00092ED7">
              <w:rPr>
                <w:rFonts w:eastAsia="Times New Roman" w:cs="Times New Roman"/>
                <w:iCs/>
                <w:sz w:val="18"/>
                <w:szCs w:val="18"/>
                <w:lang w:val="sr-Cyrl-CS" w:bidi="sr-Cyrl-CS"/>
              </w:rPr>
              <w:t>изградње оптичке широкопојасне мреже</w:t>
            </w:r>
            <w:r w:rsidRPr="00092ED7">
              <w:rPr>
                <w:rFonts w:eastAsia="Times New Roman" w:cs="Times New Roman"/>
                <w:iCs/>
                <w:sz w:val="18"/>
                <w:szCs w:val="18"/>
                <w:lang w:val="sr-Cyrl-CS"/>
              </w:rPr>
              <w:t xml:space="preserve"> </w:t>
            </w:r>
          </w:p>
        </w:tc>
        <w:tc>
          <w:tcPr>
            <w:tcW w:w="1932" w:type="dxa"/>
            <w:tcBorders>
              <w:top w:val="single" w:sz="6" w:space="0" w:color="000000"/>
              <w:left w:val="single" w:sz="6" w:space="0" w:color="000000"/>
              <w:bottom w:val="single" w:sz="6" w:space="0" w:color="000000"/>
              <w:right w:val="single" w:sz="6" w:space="0" w:color="000000"/>
            </w:tcBorders>
          </w:tcPr>
          <w:p w14:paraId="67EE7528"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4.4.</w:t>
            </w:r>
            <w:r w:rsidRPr="00092ED7">
              <w:rPr>
                <w:rFonts w:eastAsia="Times New Roman" w:cs="Times New Roman"/>
                <w:bCs/>
                <w:sz w:val="18"/>
                <w:szCs w:val="18"/>
                <w:lang w:val="sr-Cyrl-CS"/>
              </w:rPr>
              <w:t xml:space="preserve"> До 2030. значајно повећати број младих и одраслих који имају релевантне вештине, укључујући техничке и стручне, за запошљавање, достојне послове и предузетништво.</w:t>
            </w:r>
          </w:p>
          <w:p w14:paraId="42115EFD"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9.ц</w:t>
            </w:r>
            <w:r w:rsidRPr="00092ED7">
              <w:rPr>
                <w:rFonts w:eastAsia="Times New Roman" w:cs="Times New Roman"/>
                <w:bCs/>
                <w:sz w:val="18"/>
                <w:szCs w:val="18"/>
                <w:lang w:val="sr-Cyrl-CS"/>
              </w:rPr>
              <w:t xml:space="preserve"> Значајно повећати приступ информационим и комуникационим технологијама и уложити напоре да се обезбеди универзалан и приуштив приступ интернету</w:t>
            </w:r>
          </w:p>
        </w:tc>
        <w:tc>
          <w:tcPr>
            <w:tcW w:w="2409" w:type="dxa"/>
            <w:tcBorders>
              <w:top w:val="single" w:sz="6" w:space="0" w:color="000000"/>
              <w:left w:val="single" w:sz="6" w:space="0" w:color="000000"/>
              <w:bottom w:val="single" w:sz="6" w:space="0" w:color="000000"/>
              <w:right w:val="single" w:sz="6" w:space="0" w:color="000000"/>
            </w:tcBorders>
          </w:tcPr>
          <w:p w14:paraId="2F75F97C"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 xml:space="preserve">Индиректан утицај на </w:t>
            </w:r>
            <w:r w:rsidRPr="00092ED7">
              <w:rPr>
                <w:rFonts w:eastAsia="Times New Roman" w:cs="Times New Roman"/>
                <w:b/>
                <w:iCs/>
                <w:sz w:val="18"/>
                <w:szCs w:val="18"/>
                <w:lang w:val="sr-Cyrl-CS"/>
              </w:rPr>
              <w:t>циљеве:</w:t>
            </w:r>
          </w:p>
          <w:p w14:paraId="5BF0E143"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 xml:space="preserve">циљ 59 ЗАЗБ - </w:t>
            </w:r>
            <w:r w:rsidRPr="00092ED7">
              <w:rPr>
                <w:rFonts w:eastAsia="Times New Roman" w:cs="Times New Roman"/>
                <w:iCs/>
                <w:sz w:val="18"/>
                <w:szCs w:val="18"/>
                <w:lang w:val="sr-Cyrl-CS"/>
              </w:rPr>
              <w:t>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14:paraId="42FEB1AA"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60 ЗАЗБ - </w:t>
            </w:r>
            <w:r w:rsidRPr="00092ED7">
              <w:rPr>
                <w:rFonts w:eastAsia="Times New Roman" w:cs="Times New Roman"/>
                <w:iCs/>
                <w:sz w:val="18"/>
                <w:szCs w:val="18"/>
                <w:lang w:val="sr-Cyrl-CS"/>
              </w:rPr>
              <w:t>Израдити програме и предузети потребне мере за повећање административних капацитета за имплементацију Зелене агенде за Западни Балкан како би се остварили надзор, промоција и поштовање еколошких обавеза и осигурати ефикасне механизме за учествовање јавности, приступ информацијама, приступ правосуђу у питањима заштите средине, као и извештавање о животној средини</w:t>
            </w:r>
          </w:p>
          <w:p w14:paraId="3FF296EE" w14:textId="77777777" w:rsidR="00C57EAF" w:rsidRPr="00092ED7" w:rsidRDefault="00C57EAF" w:rsidP="00C57EAF">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Јачање информационо-комуникационе инфраструктуре индиректно доприноси повећању степена информисаности о животној средини, потребним вештинама и могућностима запошљавања.</w:t>
            </w:r>
          </w:p>
        </w:tc>
        <w:tc>
          <w:tcPr>
            <w:tcW w:w="1843" w:type="dxa"/>
            <w:tcBorders>
              <w:top w:val="single" w:sz="6" w:space="0" w:color="000000"/>
              <w:left w:val="single" w:sz="6" w:space="0" w:color="000000"/>
              <w:bottom w:val="single" w:sz="6" w:space="0" w:color="000000"/>
              <w:right w:val="single" w:sz="6" w:space="0" w:color="000000"/>
            </w:tcBorders>
          </w:tcPr>
          <w:p w14:paraId="58950FF0"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Поглавље VII Инвестирање у дигиталну будућност</w:t>
            </w:r>
          </w:p>
          <w:p w14:paraId="69913E1B"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Изградња и унапређење брзе националне широкопојасне мреже са универзалним приступом</w:t>
            </w:r>
          </w:p>
          <w:p w14:paraId="04087C6F"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Кључна иницијатива 8. Дигитална инфраструктура</w:t>
            </w:r>
          </w:p>
          <w:p w14:paraId="549A7402"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Развој и увођење националне широкопојасне инфраструктуре, са посебним фокусом на повезивање руралних подручја </w:t>
            </w:r>
          </w:p>
        </w:tc>
        <w:tc>
          <w:tcPr>
            <w:tcW w:w="1559" w:type="dxa"/>
            <w:tcBorders>
              <w:top w:val="single" w:sz="6" w:space="0" w:color="000000"/>
              <w:left w:val="single" w:sz="6" w:space="0" w:color="000000"/>
              <w:bottom w:val="single" w:sz="6" w:space="0" w:color="000000"/>
              <w:right w:val="single" w:sz="6" w:space="0" w:color="000000"/>
            </w:tcBorders>
          </w:tcPr>
          <w:p w14:paraId="446147B8"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3C2E38DF" w14:textId="77777777" w:rsidTr="00F50B50">
        <w:trPr>
          <w:trHeight w:val="693"/>
        </w:trPr>
        <w:tc>
          <w:tcPr>
            <w:tcW w:w="1635" w:type="dxa"/>
            <w:tcBorders>
              <w:top w:val="single" w:sz="6" w:space="0" w:color="000000"/>
              <w:left w:val="single" w:sz="6" w:space="0" w:color="000000"/>
              <w:bottom w:val="single" w:sz="6" w:space="0" w:color="000000"/>
              <w:right w:val="single" w:sz="6" w:space="0" w:color="000000"/>
            </w:tcBorders>
          </w:tcPr>
          <w:p w14:paraId="73006DE0"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СР 14. Успостављање инфраструктуре и окружења за креирање и примену иновативних ИТ решења </w:t>
            </w:r>
          </w:p>
        </w:tc>
        <w:tc>
          <w:tcPr>
            <w:tcW w:w="1498" w:type="dxa"/>
            <w:tcBorders>
              <w:top w:val="single" w:sz="6" w:space="0" w:color="000000"/>
              <w:left w:val="single" w:sz="6" w:space="0" w:color="000000"/>
              <w:bottom w:val="single" w:sz="6" w:space="0" w:color="000000"/>
              <w:right w:val="single" w:sz="6" w:space="0" w:color="000000"/>
            </w:tcBorders>
          </w:tcPr>
          <w:p w14:paraId="728410B9"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4F828E34"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5E964A9D" w14:textId="77777777" w:rsidR="00C57EAF" w:rsidRPr="00092ED7" w:rsidRDefault="00C57EAF" w:rsidP="00C57EAF">
            <w:pPr>
              <w:pStyle w:val="Default"/>
              <w:spacing w:after="60"/>
              <w:jc w:val="left"/>
              <w:rPr>
                <w:rFonts w:ascii="Times New Roman" w:hAnsi="Times New Roman" w:cs="Times New Roman"/>
                <w:iCs/>
                <w:color w:val="auto"/>
                <w:sz w:val="18"/>
                <w:szCs w:val="18"/>
                <w:lang w:val="sr-Cyrl-CS"/>
              </w:rPr>
            </w:pPr>
            <w:r w:rsidRPr="00092ED7">
              <w:rPr>
                <w:rFonts w:ascii="Times New Roman" w:hAnsi="Times New Roman" w:cs="Times New Roman"/>
                <w:iCs/>
                <w:color w:val="auto"/>
                <w:sz w:val="18"/>
                <w:szCs w:val="18"/>
                <w:lang w:val="sr-Cyrl-CS"/>
              </w:rPr>
              <w:t>- Подстицати интензивнију сарадњу између индустрије и академских кругова, у складу са националном стратешким оквиром</w:t>
            </w:r>
          </w:p>
        </w:tc>
        <w:tc>
          <w:tcPr>
            <w:tcW w:w="1932" w:type="dxa"/>
            <w:tcBorders>
              <w:top w:val="single" w:sz="6" w:space="0" w:color="000000"/>
              <w:left w:val="single" w:sz="6" w:space="0" w:color="000000"/>
              <w:bottom w:val="single" w:sz="6" w:space="0" w:color="000000"/>
              <w:right w:val="single" w:sz="6" w:space="0" w:color="000000"/>
            </w:tcBorders>
          </w:tcPr>
          <w:p w14:paraId="46B94E30"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9.б</w:t>
            </w:r>
            <w:r w:rsidRPr="00092ED7">
              <w:rPr>
                <w:rFonts w:eastAsia="Times New Roman" w:cs="Times New Roman"/>
                <w:bCs/>
                <w:sz w:val="18"/>
                <w:szCs w:val="18"/>
                <w:lang w:val="sr-Cyrl-CS"/>
              </w:rPr>
              <w:t xml:space="preserve"> Подржати развој домаће технологије, истраживања и иновације у земљама у развоју, укључујући осигурање погодног окружења у погледу политика за, између осталог, индустријску диверсификацију и додатну вредност роба</w:t>
            </w:r>
          </w:p>
        </w:tc>
        <w:tc>
          <w:tcPr>
            <w:tcW w:w="2409" w:type="dxa"/>
            <w:tcBorders>
              <w:top w:val="single" w:sz="6" w:space="0" w:color="000000"/>
              <w:left w:val="single" w:sz="6" w:space="0" w:color="000000"/>
              <w:bottom w:val="single" w:sz="6" w:space="0" w:color="000000"/>
              <w:right w:val="single" w:sz="6" w:space="0" w:color="000000"/>
            </w:tcBorders>
          </w:tcPr>
          <w:p w14:paraId="4DF96985"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Директан утицај на циљеве:</w:t>
            </w:r>
            <w:r w:rsidRPr="00092ED7">
              <w:rPr>
                <w:rFonts w:eastAsia="Times New Roman" w:cs="Times New Roman"/>
                <w:b/>
                <w:iCs/>
                <w:sz w:val="18"/>
                <w:szCs w:val="18"/>
                <w:lang w:val="sr-Cyrl-CS"/>
              </w:rPr>
              <w:t xml:space="preserve"> циљ 17 ЗАЗБ - </w:t>
            </w:r>
            <w:r w:rsidRPr="00092ED7">
              <w:rPr>
                <w:rFonts w:eastAsia="Times New Roman" w:cs="Times New Roman"/>
                <w:iCs/>
                <w:sz w:val="18"/>
                <w:szCs w:val="18"/>
                <w:lang w:val="sr-Cyrl-CS"/>
              </w:rPr>
              <w:t>Подршка развоју паметне транспортне инфраструктуре, промовисање подстицања иновативних технологија (као што су транспорт без употребе папира, вештачка интелигенција, мултимодално издавање карата за путнике, мобилност као услуга, апликације за прекограничне/граничне прелазе, 5Г коридори, итд.)</w:t>
            </w:r>
          </w:p>
          <w:p w14:paraId="7451E43C"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циљ 35</w:t>
            </w:r>
            <w:r w:rsidRPr="00092ED7">
              <w:rPr>
                <w:rFonts w:eastAsia="Times New Roman" w:cs="Times New Roman"/>
                <w:iCs/>
                <w:sz w:val="18"/>
                <w:szCs w:val="18"/>
                <w:lang w:val="sr-Cyrl-CS"/>
              </w:rPr>
              <w:t xml:space="preserve"> </w:t>
            </w:r>
            <w:r w:rsidRPr="00092ED7">
              <w:rPr>
                <w:rFonts w:eastAsia="Times New Roman" w:cs="Times New Roman"/>
                <w:b/>
                <w:iCs/>
                <w:sz w:val="18"/>
                <w:szCs w:val="18"/>
                <w:lang w:val="sr-Cyrl-CS"/>
              </w:rPr>
              <w:t xml:space="preserve">ЗАЗБ - </w:t>
            </w:r>
            <w:r w:rsidRPr="00092ED7">
              <w:rPr>
                <w:rFonts w:eastAsia="Times New Roman" w:cs="Times New Roman"/>
                <w:iCs/>
                <w:sz w:val="18"/>
                <w:szCs w:val="18"/>
                <w:lang w:val="sr-Cyrl-CS"/>
              </w:rPr>
              <w:t>Даље спровођење Стратегија паметне специјализације, које представљају локацијске планове трансформације за одрживост, утемељене на иновацијама</w:t>
            </w:r>
          </w:p>
          <w:p w14:paraId="04ADD899"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и индиректан утицај на циљеве:</w:t>
            </w:r>
          </w:p>
          <w:p w14:paraId="1C5B105E"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59 ЗАЗБ - </w:t>
            </w:r>
            <w:r w:rsidRPr="00092ED7">
              <w:rPr>
                <w:rFonts w:eastAsia="Times New Roman" w:cs="Times New Roman"/>
                <w:iCs/>
                <w:sz w:val="18"/>
                <w:szCs w:val="18"/>
                <w:lang w:val="sr-Cyrl-CS"/>
              </w:rPr>
              <w:t>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14:paraId="6C8FB51F"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60 ЗАЗБ - </w:t>
            </w:r>
            <w:r w:rsidRPr="00092ED7">
              <w:rPr>
                <w:rFonts w:eastAsia="Times New Roman" w:cs="Times New Roman"/>
                <w:iCs/>
                <w:sz w:val="18"/>
                <w:szCs w:val="18"/>
                <w:lang w:val="sr-Cyrl-CS"/>
              </w:rPr>
              <w:t>Израдити програме и предузети потребне мере за повећање административних капацитета за имплементацију Зелене агенде за Западни Балкан како би се остварили надзор, промоција и поштовање еколошких обавеза и осигурати ефикасне механизме за учествовање јавности, приступ информацијама, приступ правосуђу у питањима заштите средине, као и извештавање о животној средини</w:t>
            </w:r>
          </w:p>
          <w:p w14:paraId="60245155" w14:textId="77777777" w:rsidR="00C57EAF" w:rsidRPr="00092ED7" w:rsidRDefault="00C57EAF" w:rsidP="00C57EAF">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Спровођење пројекта Smart City којим се директно подржава одрживост урбаних средина и економије, при чему се приоритет даје решењима која се, између осталог, баве заштитом животне средине.</w:t>
            </w:r>
            <w:r w:rsidRPr="00092ED7">
              <w:rPr>
                <w:i/>
                <w:lang w:val="sr-Cyrl-CS"/>
              </w:rPr>
              <w:t xml:space="preserve"> </w:t>
            </w:r>
            <w:r w:rsidRPr="00092ED7">
              <w:rPr>
                <w:rFonts w:eastAsia="Times New Roman" w:cs="Times New Roman"/>
                <w:i/>
                <w:iCs/>
                <w:sz w:val="18"/>
                <w:szCs w:val="18"/>
                <w:lang w:val="sr-Cyrl-CS"/>
              </w:rPr>
              <w:t>Директно се</w:t>
            </w:r>
            <w:r w:rsidRPr="00092ED7">
              <w:rPr>
                <w:i/>
                <w:lang w:val="sr-Cyrl-CS"/>
              </w:rPr>
              <w:t xml:space="preserve"> </w:t>
            </w:r>
            <w:r w:rsidRPr="00092ED7">
              <w:rPr>
                <w:rFonts w:eastAsia="Times New Roman" w:cs="Times New Roman"/>
                <w:i/>
                <w:iCs/>
                <w:sz w:val="18"/>
                <w:szCs w:val="18"/>
                <w:lang w:val="sr-Cyrl-CS"/>
              </w:rPr>
              <w:t>побољшава приступ информацијама, стимулишу иновације и креативност и промовише размена знања, нудећи на тај начин прилику за боље ангажовање пословног сектора и локалне самоуправе у настојањима да се заштити животна средина.</w:t>
            </w:r>
          </w:p>
        </w:tc>
        <w:tc>
          <w:tcPr>
            <w:tcW w:w="1843" w:type="dxa"/>
            <w:tcBorders>
              <w:top w:val="single" w:sz="6" w:space="0" w:color="000000"/>
              <w:left w:val="single" w:sz="6" w:space="0" w:color="000000"/>
              <w:bottom w:val="single" w:sz="6" w:space="0" w:color="000000"/>
              <w:right w:val="single" w:sz="6" w:space="0" w:color="000000"/>
            </w:tcBorders>
          </w:tcPr>
          <w:p w14:paraId="6C511972"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Поглавље VII Улагање у дигиталну будућност</w:t>
            </w:r>
          </w:p>
          <w:p w14:paraId="7E4A1602"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Развој регионалних центара за дигиталне иновације и њихово повезивање са Научно -технолошким парковима</w:t>
            </w:r>
          </w:p>
          <w:p w14:paraId="7B3B44A2"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Подршка компанијама да повећају своју конкурентност коришћењем дигиталних технологија, посебно коришћење вештачке интелигенције у пословном сектору </w:t>
            </w:r>
          </w:p>
        </w:tc>
        <w:tc>
          <w:tcPr>
            <w:tcW w:w="1559" w:type="dxa"/>
            <w:tcBorders>
              <w:top w:val="single" w:sz="6" w:space="0" w:color="000000"/>
              <w:left w:val="single" w:sz="6" w:space="0" w:color="000000"/>
              <w:bottom w:val="single" w:sz="6" w:space="0" w:color="000000"/>
              <w:right w:val="single" w:sz="6" w:space="0" w:color="000000"/>
            </w:tcBorders>
          </w:tcPr>
          <w:p w14:paraId="2BC4E913"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26305C8D" w14:textId="77777777" w:rsidTr="00F50B50">
        <w:trPr>
          <w:trHeight w:val="848"/>
        </w:trPr>
        <w:tc>
          <w:tcPr>
            <w:tcW w:w="1635" w:type="dxa"/>
            <w:tcBorders>
              <w:top w:val="single" w:sz="6" w:space="0" w:color="000000"/>
              <w:left w:val="single" w:sz="6" w:space="0" w:color="000000"/>
              <w:bottom w:val="single" w:sz="6" w:space="0" w:color="000000"/>
              <w:right w:val="single" w:sz="6" w:space="0" w:color="000000"/>
            </w:tcBorders>
          </w:tcPr>
          <w:p w14:paraId="54489AFA"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15. Подршка развоју талената и креативних индустрија оснивањем мултифункционалног иновативно-креативног центра Ложионица</w:t>
            </w:r>
          </w:p>
        </w:tc>
        <w:tc>
          <w:tcPr>
            <w:tcW w:w="1498" w:type="dxa"/>
            <w:tcBorders>
              <w:top w:val="single" w:sz="6" w:space="0" w:color="000000"/>
              <w:left w:val="single" w:sz="6" w:space="0" w:color="000000"/>
              <w:bottom w:val="single" w:sz="6" w:space="0" w:color="000000"/>
              <w:right w:val="single" w:sz="6" w:space="0" w:color="000000"/>
            </w:tcBorders>
          </w:tcPr>
          <w:p w14:paraId="006E4C1B"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226A4EC6"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635CC6CA" w14:textId="77777777" w:rsidR="00C57EAF" w:rsidRPr="00092ED7" w:rsidRDefault="00C57EAF" w:rsidP="00C57EAF">
            <w:pPr>
              <w:pStyle w:val="Default"/>
              <w:spacing w:after="60"/>
              <w:jc w:val="left"/>
              <w:rPr>
                <w:rFonts w:ascii="Times New Roman" w:hAnsi="Times New Roman" w:cs="Times New Roman"/>
                <w:iCs/>
                <w:sz w:val="18"/>
                <w:szCs w:val="18"/>
                <w:lang w:val="sr-Cyrl-CS"/>
              </w:rPr>
            </w:pPr>
            <w:r w:rsidRPr="00092ED7">
              <w:rPr>
                <w:rFonts w:ascii="Times New Roman" w:hAnsi="Times New Roman" w:cs="Times New Roman"/>
                <w:iCs/>
                <w:sz w:val="18"/>
                <w:szCs w:val="18"/>
                <w:lang w:val="sr-Cyrl-CS"/>
              </w:rPr>
              <w:t>- Подстицати интензивнију сарадњу између индустрије и академских кругова, у складу са националном стратешким оквиром</w:t>
            </w:r>
          </w:p>
        </w:tc>
        <w:tc>
          <w:tcPr>
            <w:tcW w:w="1932" w:type="dxa"/>
            <w:tcBorders>
              <w:top w:val="single" w:sz="6" w:space="0" w:color="000000"/>
              <w:left w:val="single" w:sz="6" w:space="0" w:color="000000"/>
              <w:bottom w:val="single" w:sz="6" w:space="0" w:color="000000"/>
              <w:right w:val="single" w:sz="6" w:space="0" w:color="000000"/>
            </w:tcBorders>
          </w:tcPr>
          <w:p w14:paraId="794315F3"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 xml:space="preserve">ЦОР 9.б </w:t>
            </w:r>
            <w:r w:rsidRPr="00092ED7">
              <w:rPr>
                <w:rFonts w:eastAsia="Times New Roman" w:cs="Times New Roman"/>
                <w:bCs/>
                <w:sz w:val="18"/>
                <w:szCs w:val="18"/>
                <w:lang w:val="sr-Cyrl-CS"/>
              </w:rPr>
              <w:t>Подржати развој домаће технологије, истраживања и иновације у земљама у развоју, укључујући осигурање погодног окружења у погледу политика за, између осталог, индустријску диверсификацију и додатну вредност роба</w:t>
            </w:r>
          </w:p>
        </w:tc>
        <w:tc>
          <w:tcPr>
            <w:tcW w:w="2409" w:type="dxa"/>
            <w:tcBorders>
              <w:top w:val="single" w:sz="6" w:space="0" w:color="000000"/>
              <w:left w:val="single" w:sz="6" w:space="0" w:color="000000"/>
              <w:bottom w:val="single" w:sz="6" w:space="0" w:color="000000"/>
              <w:right w:val="single" w:sz="6" w:space="0" w:color="000000"/>
            </w:tcBorders>
          </w:tcPr>
          <w:p w14:paraId="1DADF647"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Директан утицај на циљеве:</w:t>
            </w:r>
          </w:p>
          <w:p w14:paraId="35CDC3F5"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циљ 35</w:t>
            </w:r>
            <w:r w:rsidRPr="00092ED7">
              <w:rPr>
                <w:rFonts w:eastAsia="Times New Roman" w:cs="Times New Roman"/>
                <w:iCs/>
                <w:sz w:val="18"/>
                <w:szCs w:val="18"/>
                <w:lang w:val="sr-Cyrl-CS"/>
              </w:rPr>
              <w:t xml:space="preserve"> </w:t>
            </w:r>
            <w:r w:rsidRPr="00092ED7">
              <w:rPr>
                <w:rFonts w:eastAsia="Times New Roman" w:cs="Times New Roman"/>
                <w:b/>
                <w:iCs/>
                <w:sz w:val="18"/>
                <w:szCs w:val="18"/>
                <w:lang w:val="sr-Cyrl-CS"/>
              </w:rPr>
              <w:t xml:space="preserve">ЗАЗБ - </w:t>
            </w:r>
            <w:r w:rsidRPr="00092ED7">
              <w:rPr>
                <w:rFonts w:eastAsia="Times New Roman" w:cs="Times New Roman"/>
                <w:iCs/>
                <w:sz w:val="18"/>
                <w:szCs w:val="18"/>
                <w:lang w:val="sr-Cyrl-CS"/>
              </w:rPr>
              <w:t>Даље спровођење Стратегија паметне специјализације, које представљају локацијске планове трансформације за одрживост, утемељене на иновацијама</w:t>
            </w:r>
          </w:p>
          <w:p w14:paraId="31E35064"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и индиректан утицај на циљ:</w:t>
            </w:r>
          </w:p>
          <w:p w14:paraId="788FE39E"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60 ЗАЗБ - </w:t>
            </w:r>
            <w:r w:rsidRPr="00092ED7">
              <w:rPr>
                <w:rFonts w:eastAsia="Times New Roman" w:cs="Times New Roman"/>
                <w:iCs/>
                <w:sz w:val="18"/>
                <w:szCs w:val="18"/>
                <w:lang w:val="sr-Cyrl-CS"/>
              </w:rPr>
              <w:t>Израдити програме и предузети потребне мере за повећање административних капацитета за имплементацију Зелене агенде за Западни Балкан како би се остварили надзор, промоција и поштовање еколошких обавеза и осигурати ефикасне механизме за учествовање јавности, приступ информацијама, приступ правосуђу у питањима заштите средине, као и извештавање о животној средини</w:t>
            </w:r>
          </w:p>
          <w:p w14:paraId="431C15B1" w14:textId="77777777" w:rsidR="00C57EAF" w:rsidRPr="00092ED7" w:rsidRDefault="00C57EAF" w:rsidP="00C57EAF">
            <w:pPr>
              <w:spacing w:after="60"/>
              <w:jc w:val="left"/>
              <w:rPr>
                <w:rFonts w:eastAsia="Times New Roman" w:cs="Times New Roman"/>
                <w:iCs/>
                <w:sz w:val="18"/>
                <w:szCs w:val="18"/>
                <w:lang w:val="sr-Cyrl-CS"/>
              </w:rPr>
            </w:pPr>
          </w:p>
          <w:p w14:paraId="2778F35B" w14:textId="77777777" w:rsidR="00C57EAF" w:rsidRPr="00092ED7" w:rsidRDefault="00C57EAF" w:rsidP="00C57EAF">
            <w:pPr>
              <w:spacing w:after="60"/>
              <w:jc w:val="left"/>
              <w:rPr>
                <w:rFonts w:eastAsia="Times New Roman" w:cs="Times New Roman"/>
                <w:iCs/>
                <w:sz w:val="18"/>
                <w:szCs w:val="18"/>
                <w:lang w:val="sr-Cyrl-CS"/>
              </w:rPr>
            </w:pPr>
          </w:p>
        </w:tc>
        <w:tc>
          <w:tcPr>
            <w:tcW w:w="1843" w:type="dxa"/>
            <w:tcBorders>
              <w:top w:val="single" w:sz="6" w:space="0" w:color="000000"/>
              <w:left w:val="single" w:sz="6" w:space="0" w:color="000000"/>
              <w:bottom w:val="single" w:sz="6" w:space="0" w:color="000000"/>
              <w:right w:val="single" w:sz="6" w:space="0" w:color="000000"/>
            </w:tcBorders>
          </w:tcPr>
          <w:p w14:paraId="661CAB8B"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Поглавље VII Улагање у дигиталну будућност</w:t>
            </w:r>
          </w:p>
          <w:p w14:paraId="74EDEA41"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Развој регионалних центара за дигиталне иновације и њихово повезивање са Научно -технолошким парковима</w:t>
            </w:r>
          </w:p>
          <w:p w14:paraId="6640BBFE"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 Подршка компанијама да повећају своју конкурентност коришћењем дигиталних технологија, посебно коришћење вештачке интелигенције у пословном сектору</w:t>
            </w:r>
          </w:p>
        </w:tc>
        <w:tc>
          <w:tcPr>
            <w:tcW w:w="1559" w:type="dxa"/>
            <w:tcBorders>
              <w:top w:val="single" w:sz="6" w:space="0" w:color="000000"/>
              <w:left w:val="single" w:sz="6" w:space="0" w:color="000000"/>
              <w:bottom w:val="single" w:sz="6" w:space="0" w:color="000000"/>
              <w:right w:val="single" w:sz="6" w:space="0" w:color="000000"/>
            </w:tcBorders>
          </w:tcPr>
          <w:p w14:paraId="5C78ED31"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6EC9AABD" w14:textId="77777777" w:rsidTr="00F50B50">
        <w:trPr>
          <w:trHeight w:val="848"/>
        </w:trPr>
        <w:tc>
          <w:tcPr>
            <w:tcW w:w="1635" w:type="dxa"/>
            <w:tcBorders>
              <w:top w:val="single" w:sz="6" w:space="0" w:color="000000"/>
              <w:left w:val="single" w:sz="6" w:space="0" w:color="000000"/>
              <w:bottom w:val="single" w:sz="6" w:space="0" w:color="000000"/>
              <w:right w:val="single" w:sz="6" w:space="0" w:color="000000"/>
            </w:tcBorders>
          </w:tcPr>
          <w:p w14:paraId="285B4858"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16. Развој стартап екосистема</w:t>
            </w:r>
          </w:p>
        </w:tc>
        <w:tc>
          <w:tcPr>
            <w:tcW w:w="1498" w:type="dxa"/>
            <w:tcBorders>
              <w:top w:val="single" w:sz="6" w:space="0" w:color="000000"/>
              <w:left w:val="single" w:sz="6" w:space="0" w:color="000000"/>
              <w:bottom w:val="single" w:sz="6" w:space="0" w:color="000000"/>
              <w:right w:val="single" w:sz="6" w:space="0" w:color="000000"/>
            </w:tcBorders>
          </w:tcPr>
          <w:p w14:paraId="50F31782"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18D9B144"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72724BC7"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Наставити рад на јачању системског приступа развоју знања и вештина предузетништва кроз формално образовање, повећању броја стартaпа и могућности за приватне инвеститоре и трансферу технологије </w:t>
            </w:r>
          </w:p>
        </w:tc>
        <w:tc>
          <w:tcPr>
            <w:tcW w:w="1932" w:type="dxa"/>
            <w:tcBorders>
              <w:top w:val="single" w:sz="6" w:space="0" w:color="000000"/>
              <w:left w:val="single" w:sz="6" w:space="0" w:color="000000"/>
              <w:bottom w:val="single" w:sz="6" w:space="0" w:color="000000"/>
              <w:right w:val="single" w:sz="6" w:space="0" w:color="000000"/>
            </w:tcBorders>
          </w:tcPr>
          <w:p w14:paraId="25D1F579"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8.2.</w:t>
            </w:r>
            <w:r w:rsidRPr="00092ED7">
              <w:rPr>
                <w:rFonts w:eastAsia="Times New Roman" w:cs="Times New Roman"/>
                <w:bCs/>
                <w:sz w:val="18"/>
                <w:szCs w:val="18"/>
                <w:lang w:val="sr-Cyrl-CS"/>
              </w:rPr>
              <w:t xml:space="preserve"> Постићи више нивое економске продуктивности преко диверсификације, технолошких унапређења и иновација</w:t>
            </w:r>
          </w:p>
          <w:p w14:paraId="02C2F741"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8.3.</w:t>
            </w:r>
            <w:r w:rsidRPr="00092ED7">
              <w:rPr>
                <w:rFonts w:eastAsia="Times New Roman" w:cs="Times New Roman"/>
                <w:bCs/>
                <w:sz w:val="18"/>
                <w:szCs w:val="18"/>
                <w:lang w:val="sr-Cyrl-CS"/>
              </w:rPr>
              <w:t xml:space="preserve"> Промовисати развојно оријентисане политике које подржавају производне активности, стварaње пристојних послова, предузетништво, креативност и иновативност и подстицати формално оснивање и раст микропредузећа, односно малих и средњих предузећа, између осталог и кроз приступ финансијским услугама</w:t>
            </w:r>
          </w:p>
          <w:p w14:paraId="0C94395B"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8.5.</w:t>
            </w:r>
            <w:r w:rsidRPr="00092ED7">
              <w:rPr>
                <w:rFonts w:eastAsia="Times New Roman" w:cs="Times New Roman"/>
                <w:bCs/>
                <w:sz w:val="18"/>
                <w:szCs w:val="18"/>
                <w:lang w:val="sr-Cyrl-CS"/>
              </w:rPr>
              <w:t xml:space="preserve"> Пуна и продуктивна запосленост и достојанствен рад за све жене и мушкарце </w:t>
            </w:r>
          </w:p>
          <w:p w14:paraId="2D690924"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9.3.</w:t>
            </w:r>
            <w:r w:rsidRPr="00092ED7">
              <w:rPr>
                <w:rFonts w:eastAsia="Times New Roman" w:cs="Times New Roman"/>
                <w:bCs/>
                <w:sz w:val="18"/>
                <w:szCs w:val="18"/>
                <w:lang w:val="sr-Cyrl-CS"/>
              </w:rPr>
              <w:t xml:space="preserve"> Повећати приступ малих индустријских и осталих предузећа финансијским услугама и повећати њихову интеграцију у ланце вредности и у тржишта</w:t>
            </w:r>
          </w:p>
        </w:tc>
        <w:tc>
          <w:tcPr>
            <w:tcW w:w="2409" w:type="dxa"/>
            <w:tcBorders>
              <w:top w:val="single" w:sz="6" w:space="0" w:color="000000"/>
              <w:left w:val="single" w:sz="6" w:space="0" w:color="000000"/>
              <w:bottom w:val="single" w:sz="6" w:space="0" w:color="000000"/>
              <w:right w:val="single" w:sz="6" w:space="0" w:color="000000"/>
            </w:tcBorders>
          </w:tcPr>
          <w:p w14:paraId="31907393"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 xml:space="preserve">Индиректан утицај на </w:t>
            </w:r>
            <w:r w:rsidRPr="00092ED7">
              <w:rPr>
                <w:rFonts w:eastAsia="Times New Roman" w:cs="Times New Roman"/>
                <w:b/>
                <w:iCs/>
                <w:sz w:val="18"/>
                <w:szCs w:val="18"/>
                <w:lang w:val="sr-Cyrl-CS"/>
              </w:rPr>
              <w:t xml:space="preserve">области мобилисање истраживања и подстицање иновација и зелене финансије и улагање у оквиру Европског Зеленог договора. </w:t>
            </w:r>
          </w:p>
          <w:p w14:paraId="0DAEA044" w14:textId="77777777" w:rsidR="00C57EAF" w:rsidRPr="00092ED7" w:rsidRDefault="00C57EAF" w:rsidP="00C57EAF">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 xml:space="preserve">Јачањем стартап пословног окружења кроз подстицајне мере стварају се услови за развој технологија и иновација које би могле допринети очувању животне средине и климе. </w:t>
            </w:r>
          </w:p>
        </w:tc>
        <w:tc>
          <w:tcPr>
            <w:tcW w:w="1843" w:type="dxa"/>
            <w:tcBorders>
              <w:top w:val="single" w:sz="6" w:space="0" w:color="000000"/>
              <w:left w:val="single" w:sz="6" w:space="0" w:color="000000"/>
              <w:bottom w:val="single" w:sz="6" w:space="0" w:color="000000"/>
              <w:right w:val="single" w:sz="6" w:space="0" w:color="000000"/>
            </w:tcBorders>
          </w:tcPr>
          <w:p w14:paraId="7F4701F7"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iCs/>
                <w:sz w:val="18"/>
                <w:szCs w:val="18"/>
                <w:lang w:val="sr-Cyrl-CS"/>
              </w:rPr>
              <w:t xml:space="preserve">Поглавље </w:t>
            </w:r>
            <w:r w:rsidRPr="00092ED7">
              <w:rPr>
                <w:rFonts w:eastAsia="Times New Roman" w:cs="Times New Roman"/>
                <w:b/>
                <w:bCs/>
                <w:iCs/>
                <w:sz w:val="18"/>
                <w:szCs w:val="18"/>
                <w:lang w:val="sr-Cyrl-CS"/>
              </w:rPr>
              <w:t>VII Улагање у дигиталну будућност</w:t>
            </w:r>
          </w:p>
          <w:p w14:paraId="62235E32" w14:textId="7218045A"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Подршка дигиталним „стартап</w:t>
            </w:r>
            <w:r w:rsidR="0084238D" w:rsidRPr="00092ED7">
              <w:rPr>
                <w:rFonts w:cs="Times New Roman"/>
                <w:sz w:val="18"/>
                <w:szCs w:val="18"/>
                <w:lang w:val="sr-Cyrl-CS"/>
              </w:rPr>
              <w:t>”</w:t>
            </w:r>
            <w:r w:rsidRPr="00092ED7">
              <w:rPr>
                <w:rFonts w:eastAsia="Times New Roman" w:cs="Times New Roman"/>
                <w:bCs/>
                <w:iCs/>
                <w:sz w:val="18"/>
                <w:szCs w:val="18"/>
                <w:lang w:val="sr-Cyrl-CS"/>
              </w:rPr>
              <w:t xml:space="preserve"> и „скејлап</w:t>
            </w:r>
            <w:r w:rsidR="0084238D" w:rsidRPr="00092ED7">
              <w:rPr>
                <w:rFonts w:cs="Times New Roman"/>
                <w:sz w:val="18"/>
                <w:szCs w:val="18"/>
                <w:lang w:val="sr-Cyrl-CS"/>
              </w:rPr>
              <w:t>”</w:t>
            </w:r>
            <w:r w:rsidRPr="00092ED7">
              <w:rPr>
                <w:rFonts w:eastAsia="Times New Roman" w:cs="Times New Roman"/>
                <w:bCs/>
                <w:iCs/>
                <w:sz w:val="18"/>
                <w:szCs w:val="18"/>
                <w:lang w:val="sr-Cyrl-CS"/>
              </w:rPr>
              <w:t xml:space="preserve"> предузећима и развоју дигиталних вештина.</w:t>
            </w:r>
          </w:p>
          <w:p w14:paraId="01E19755"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Поглавље VIII Подстицање приватног сектора</w:t>
            </w:r>
          </w:p>
          <w:p w14:paraId="46775253" w14:textId="2B08DBB4"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Јачање конкурентности МСП кроз инвестиције за подршку „стартап</w:t>
            </w:r>
            <w:r w:rsidR="0024684B" w:rsidRPr="00092ED7">
              <w:rPr>
                <w:rFonts w:cs="Times New Roman"/>
                <w:sz w:val="18"/>
                <w:szCs w:val="18"/>
                <w:lang w:val="sr-Cyrl-CS"/>
              </w:rPr>
              <w:t>”</w:t>
            </w:r>
            <w:r w:rsidRPr="00092ED7">
              <w:rPr>
                <w:rFonts w:eastAsia="Times New Roman" w:cs="Times New Roman"/>
                <w:bCs/>
                <w:iCs/>
                <w:sz w:val="18"/>
                <w:szCs w:val="18"/>
                <w:lang w:val="sr-Cyrl-CS"/>
              </w:rPr>
              <w:t xml:space="preserve"> предузећима и иновативним предузећима у фази раста („скејлап</w:t>
            </w:r>
            <w:r w:rsidR="0024684B" w:rsidRPr="00092ED7">
              <w:rPr>
                <w:rFonts w:cs="Times New Roman"/>
                <w:sz w:val="18"/>
                <w:szCs w:val="18"/>
                <w:lang w:val="sr-Cyrl-CS"/>
              </w:rPr>
              <w:t>”</w:t>
            </w:r>
            <w:r w:rsidRPr="00092ED7">
              <w:rPr>
                <w:rFonts w:eastAsia="Times New Roman" w:cs="Times New Roman"/>
                <w:bCs/>
                <w:iCs/>
                <w:sz w:val="18"/>
                <w:szCs w:val="18"/>
                <w:lang w:val="sr-Cyrl-CS"/>
              </w:rPr>
              <w:t xml:space="preserve">) </w:t>
            </w:r>
          </w:p>
        </w:tc>
        <w:tc>
          <w:tcPr>
            <w:tcW w:w="1559" w:type="dxa"/>
            <w:tcBorders>
              <w:top w:val="single" w:sz="6" w:space="0" w:color="000000"/>
              <w:left w:val="single" w:sz="6" w:space="0" w:color="000000"/>
              <w:bottom w:val="single" w:sz="6" w:space="0" w:color="000000"/>
              <w:right w:val="single" w:sz="6" w:space="0" w:color="000000"/>
            </w:tcBorders>
          </w:tcPr>
          <w:p w14:paraId="6A9E07B4" w14:textId="77777777" w:rsidR="00BC7FFA" w:rsidRPr="00092ED7" w:rsidRDefault="00BC7FFA"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ИПА 2018</w:t>
            </w:r>
          </w:p>
          <w:p w14:paraId="4B9A7528" w14:textId="77777777" w:rsidR="00BC7FFA" w:rsidRPr="00092ED7" w:rsidRDefault="00BC7FFA"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ИПА 2019</w:t>
            </w:r>
          </w:p>
          <w:p w14:paraId="7F8D6787" w14:textId="77777777" w:rsidR="00C57EAF" w:rsidRPr="00092ED7" w:rsidRDefault="00BC7FFA" w:rsidP="00BC7FFA">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Фонд за иновациону делатност</w:t>
            </w:r>
          </w:p>
        </w:tc>
      </w:tr>
      <w:tr w:rsidR="00C57EAF" w:rsidRPr="00092ED7" w14:paraId="46F48B18" w14:textId="77777777" w:rsidTr="00C57EAF">
        <w:trPr>
          <w:trHeight w:val="527"/>
        </w:trPr>
        <w:tc>
          <w:tcPr>
            <w:tcW w:w="1635" w:type="dxa"/>
            <w:tcBorders>
              <w:top w:val="single" w:sz="6" w:space="0" w:color="000000"/>
              <w:left w:val="single" w:sz="6" w:space="0" w:color="000000"/>
              <w:bottom w:val="single" w:sz="6" w:space="0" w:color="000000"/>
              <w:right w:val="single" w:sz="6" w:space="0" w:color="000000"/>
            </w:tcBorders>
          </w:tcPr>
          <w:p w14:paraId="49A808E0"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17. Стварање услова за развој бионаука и биоекономије кроз изградњу БИО4 Кампуса</w:t>
            </w:r>
          </w:p>
        </w:tc>
        <w:tc>
          <w:tcPr>
            <w:tcW w:w="1498" w:type="dxa"/>
            <w:tcBorders>
              <w:top w:val="single" w:sz="6" w:space="0" w:color="000000"/>
              <w:left w:val="single" w:sz="6" w:space="0" w:color="000000"/>
              <w:bottom w:val="single" w:sz="6" w:space="0" w:color="000000"/>
              <w:right w:val="single" w:sz="6" w:space="0" w:color="000000"/>
            </w:tcBorders>
          </w:tcPr>
          <w:p w14:paraId="4E6948B9"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3817C8C2"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037D955E"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Подстицање интензивније сарадње између индустрије и академских кругова, у складу са националном стратешким оквиром</w:t>
            </w:r>
          </w:p>
        </w:tc>
        <w:tc>
          <w:tcPr>
            <w:tcW w:w="1932" w:type="dxa"/>
            <w:tcBorders>
              <w:top w:val="single" w:sz="6" w:space="0" w:color="000000"/>
              <w:left w:val="single" w:sz="6" w:space="0" w:color="000000"/>
              <w:bottom w:val="single" w:sz="6" w:space="0" w:color="000000"/>
              <w:right w:val="single" w:sz="6" w:space="0" w:color="000000"/>
            </w:tcBorders>
          </w:tcPr>
          <w:p w14:paraId="03D7F74B"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8.2.</w:t>
            </w:r>
            <w:r w:rsidRPr="00092ED7">
              <w:rPr>
                <w:rFonts w:eastAsia="Times New Roman" w:cs="Times New Roman"/>
                <w:bCs/>
                <w:sz w:val="18"/>
                <w:szCs w:val="18"/>
                <w:lang w:val="sr-Cyrl-CS"/>
              </w:rPr>
              <w:t xml:space="preserve"> Постићи више нивое економске продуктивности преко диверсификације, технолошких унапређења и иновација</w:t>
            </w:r>
          </w:p>
          <w:p w14:paraId="0F3697F2"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8.3.</w:t>
            </w:r>
            <w:r w:rsidRPr="00092ED7">
              <w:rPr>
                <w:rFonts w:eastAsia="Times New Roman" w:cs="Times New Roman"/>
                <w:bCs/>
                <w:sz w:val="18"/>
                <w:szCs w:val="18"/>
                <w:lang w:val="sr-Cyrl-CS"/>
              </w:rPr>
              <w:t xml:space="preserve"> Промовисати развојно оријентисане политике које подржавају производне активности, стварaње пристојних послова, предузетништво, креативност и иновативност и подстицати формално оснивање и раст микропредузећа, односно малих и средњих предузећа, између осталог и кроз приступ финансијским услугама</w:t>
            </w:r>
          </w:p>
          <w:p w14:paraId="3C6FCC05"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9.5.</w:t>
            </w:r>
            <w:r w:rsidRPr="00092ED7">
              <w:rPr>
                <w:rFonts w:eastAsia="Times New Roman" w:cs="Times New Roman"/>
                <w:bCs/>
                <w:sz w:val="18"/>
                <w:szCs w:val="18"/>
                <w:lang w:val="sr-Cyrl-CS"/>
              </w:rPr>
              <w:t xml:space="preserve"> Проширити научна истраживања, унапредити технолошке капацитете и подстицати иновације.</w:t>
            </w:r>
          </w:p>
        </w:tc>
        <w:tc>
          <w:tcPr>
            <w:tcW w:w="2409" w:type="dxa"/>
            <w:tcBorders>
              <w:top w:val="single" w:sz="6" w:space="0" w:color="000000"/>
              <w:left w:val="single" w:sz="6" w:space="0" w:color="000000"/>
              <w:bottom w:val="single" w:sz="6" w:space="0" w:color="000000"/>
              <w:right w:val="single" w:sz="6" w:space="0" w:color="000000"/>
            </w:tcBorders>
          </w:tcPr>
          <w:p w14:paraId="27F2C2FF"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Директан утицај на циљеве:</w:t>
            </w:r>
          </w:p>
          <w:p w14:paraId="272F68AF"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35 ЗАЗБ - </w:t>
            </w:r>
            <w:r w:rsidRPr="00092ED7">
              <w:rPr>
                <w:rFonts w:eastAsia="Times New Roman" w:cs="Times New Roman"/>
                <w:iCs/>
                <w:sz w:val="18"/>
                <w:szCs w:val="18"/>
                <w:lang w:val="sr-Cyrl-CS"/>
              </w:rPr>
              <w:t>Даље спровођење Стратегија паметне специјализације, које представљају локацијске планове трансформације за одрживост, утемељене на иновацијама</w:t>
            </w:r>
          </w:p>
          <w:p w14:paraId="60CFD651"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62 ЗАЗБ - </w:t>
            </w:r>
            <w:r w:rsidRPr="00092ED7">
              <w:rPr>
                <w:rFonts w:eastAsia="Times New Roman" w:cs="Times New Roman"/>
                <w:iCs/>
                <w:sz w:val="18"/>
                <w:szCs w:val="18"/>
                <w:lang w:val="sr-Cyrl-CS"/>
              </w:rPr>
              <w:t>Развити план за специфичне економске и регионалне активности подизања свести у свих пет стубова, укључујући одражавање Зеленог плана за Западни Балкан у реформе образовних система</w:t>
            </w:r>
          </w:p>
          <w:p w14:paraId="205DCBFA" w14:textId="77777777" w:rsidR="00C57EAF" w:rsidRPr="00092ED7" w:rsidRDefault="00C57EAF" w:rsidP="00C57EAF">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Био4 кампус се бави подршком развоју биотехнологије, биомедицине, биоинформатике и биодиверзитета, што директно доприноси изградњи капацитета и ширењу знања у овим областима. Предвиђено је и унапређење повезаности учесника овог кампуса са међународним научним и корпоративним партнерима.</w:t>
            </w:r>
          </w:p>
        </w:tc>
        <w:tc>
          <w:tcPr>
            <w:tcW w:w="1843" w:type="dxa"/>
            <w:tcBorders>
              <w:top w:val="single" w:sz="6" w:space="0" w:color="000000"/>
              <w:left w:val="single" w:sz="6" w:space="0" w:color="000000"/>
              <w:bottom w:val="single" w:sz="6" w:space="0" w:color="000000"/>
              <w:right w:val="single" w:sz="6" w:space="0" w:color="000000"/>
            </w:tcBorders>
          </w:tcPr>
          <w:p w14:paraId="4966F489"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Cs/>
                <w:iCs/>
                <w:sz w:val="18"/>
                <w:szCs w:val="18"/>
                <w:lang w:val="sr-Cyrl-CS"/>
              </w:rPr>
              <w:t>Агенда иновација за Западни Балкан</w:t>
            </w:r>
          </w:p>
          <w:p w14:paraId="0DC006E3"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Додатно појачати трансфер технологије</w:t>
            </w:r>
            <w:r w:rsidR="0021103E" w:rsidRPr="00092ED7">
              <w:rPr>
                <w:rFonts w:eastAsia="Times New Roman" w:cs="Times New Roman"/>
                <w:bCs/>
                <w:iCs/>
                <w:sz w:val="18"/>
                <w:szCs w:val="18"/>
                <w:lang w:val="sr-Cyrl-CS"/>
              </w:rPr>
              <w:t xml:space="preserve"> </w:t>
            </w:r>
            <w:r w:rsidRPr="00092ED7">
              <w:rPr>
                <w:rFonts w:eastAsia="Times New Roman" w:cs="Times New Roman"/>
                <w:bCs/>
                <w:iCs/>
                <w:sz w:val="18"/>
                <w:szCs w:val="18"/>
                <w:lang w:val="sr-Cyrl-CS"/>
              </w:rPr>
              <w:t>16 и олакшаће приступ најбољој истраживачкој инфраструктури света, центрима знања, центрима компетенција и онлајн платформама, као и приступ напредним рачунарским симулацијама</w:t>
            </w:r>
          </w:p>
          <w:p w14:paraId="1AD4E126"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Cs/>
                <w:iCs/>
                <w:sz w:val="18"/>
                <w:szCs w:val="18"/>
                <w:lang w:val="sr-Cyrl-CS"/>
              </w:rPr>
              <w:t>-</w:t>
            </w:r>
            <w:r w:rsidRPr="00092ED7">
              <w:rPr>
                <w:rFonts w:eastAsia="Times New Roman" w:cs="Times New Roman"/>
                <w:iCs/>
                <w:sz w:val="18"/>
                <w:szCs w:val="18"/>
                <w:lang w:val="sr-Cyrl-CS"/>
              </w:rPr>
              <w:t xml:space="preserve"> Промовисање отворене науке и најсавременије истраживачке инфраструктуре</w:t>
            </w:r>
          </w:p>
        </w:tc>
        <w:tc>
          <w:tcPr>
            <w:tcW w:w="1559" w:type="dxa"/>
            <w:tcBorders>
              <w:top w:val="single" w:sz="6" w:space="0" w:color="000000"/>
              <w:left w:val="single" w:sz="6" w:space="0" w:color="000000"/>
              <w:bottom w:val="single" w:sz="6" w:space="0" w:color="000000"/>
              <w:right w:val="single" w:sz="6" w:space="0" w:color="000000"/>
            </w:tcBorders>
          </w:tcPr>
          <w:p w14:paraId="73CE287F"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4BBFF1D0" w14:textId="77777777" w:rsidTr="00F50B50">
        <w:trPr>
          <w:trHeight w:val="836"/>
        </w:trPr>
        <w:tc>
          <w:tcPr>
            <w:tcW w:w="1635" w:type="dxa"/>
            <w:tcBorders>
              <w:top w:val="single" w:sz="6" w:space="0" w:color="000000"/>
              <w:left w:val="single" w:sz="6" w:space="0" w:color="000000"/>
              <w:bottom w:val="single" w:sz="6" w:space="0" w:color="000000"/>
              <w:right w:val="single" w:sz="6" w:space="0" w:color="000000"/>
            </w:tcBorders>
          </w:tcPr>
          <w:p w14:paraId="2E88F468"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18. Унапређење услова и уклањање препрека трговини</w:t>
            </w:r>
          </w:p>
        </w:tc>
        <w:tc>
          <w:tcPr>
            <w:tcW w:w="1498" w:type="dxa"/>
            <w:tcBorders>
              <w:top w:val="single" w:sz="6" w:space="0" w:color="000000"/>
              <w:left w:val="single" w:sz="6" w:space="0" w:color="000000"/>
              <w:bottom w:val="single" w:sz="6" w:space="0" w:color="000000"/>
              <w:right w:val="single" w:sz="6" w:space="0" w:color="000000"/>
            </w:tcBorders>
          </w:tcPr>
          <w:p w14:paraId="571507B5"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5CD580FF"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05C2931A"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Финализирати приступање СТО, између осталог усвајањем Закона о генетички модификованим организмима који је у складу са СТО и окончањем преосталих билатералних преговора о приступу тржишту</w:t>
            </w:r>
          </w:p>
          <w:p w14:paraId="14920578"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Наставити са спровођењем активности дефинисаних у оквиру Акционог плана за заједничко регионално тржиште 2021-2024</w:t>
            </w:r>
          </w:p>
          <w:p w14:paraId="40E888D6"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Обезбедити усвајање ЦЕФТА Додатног протокола 7 о решавању спорова.</w:t>
            </w:r>
          </w:p>
        </w:tc>
        <w:tc>
          <w:tcPr>
            <w:tcW w:w="1932" w:type="dxa"/>
            <w:tcBorders>
              <w:top w:val="single" w:sz="6" w:space="0" w:color="000000"/>
              <w:left w:val="single" w:sz="6" w:space="0" w:color="000000"/>
              <w:bottom w:val="single" w:sz="6" w:space="0" w:color="000000"/>
              <w:right w:val="single" w:sz="6" w:space="0" w:color="000000"/>
            </w:tcBorders>
          </w:tcPr>
          <w:p w14:paraId="33D65515" w14:textId="435B65EA"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17.10.</w:t>
            </w:r>
            <w:r w:rsidRPr="00092ED7">
              <w:rPr>
                <w:rFonts w:eastAsia="Times New Roman" w:cs="Times New Roman"/>
                <w:bCs/>
                <w:sz w:val="18"/>
                <w:szCs w:val="18"/>
                <w:lang w:val="sr-Cyrl-CS"/>
              </w:rPr>
              <w:t xml:space="preserve"> Промовисати универзални, заснован на правилима, отворен, недискриминаторан и правичан мултилатерални систем размене под окриљем </w:t>
            </w:r>
            <w:r w:rsidR="0001548A" w:rsidRPr="00092ED7">
              <w:rPr>
                <w:rFonts w:eastAsia="Times New Roman" w:cs="Times New Roman"/>
                <w:bCs/>
                <w:sz w:val="18"/>
                <w:szCs w:val="18"/>
                <w:lang w:val="sr-Cyrl-CS"/>
              </w:rPr>
              <w:t>СТО</w:t>
            </w:r>
            <w:r w:rsidRPr="00092ED7">
              <w:rPr>
                <w:rFonts w:eastAsia="Times New Roman" w:cs="Times New Roman"/>
                <w:bCs/>
                <w:sz w:val="18"/>
                <w:szCs w:val="18"/>
                <w:lang w:val="sr-Cyrl-CS"/>
              </w:rPr>
              <w:t>, између осталог и преко закључивања преговора у оквиру „Развојне агенде из Дохе</w:t>
            </w:r>
            <w:r w:rsidR="007D7305" w:rsidRPr="00092ED7">
              <w:rPr>
                <w:rFonts w:cs="Times New Roman"/>
                <w:sz w:val="18"/>
                <w:szCs w:val="18"/>
                <w:lang w:val="sr-Cyrl-CS"/>
              </w:rPr>
              <w:t>”</w:t>
            </w:r>
          </w:p>
          <w:p w14:paraId="408ACA37"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17.11.</w:t>
            </w:r>
            <w:r w:rsidRPr="00092ED7">
              <w:rPr>
                <w:rFonts w:eastAsia="Times New Roman" w:cs="Times New Roman"/>
                <w:bCs/>
                <w:sz w:val="18"/>
                <w:szCs w:val="18"/>
                <w:lang w:val="sr-Cyrl-CS"/>
              </w:rPr>
              <w:t xml:space="preserve"> До 2020. значајно повећати нивое извоза земаља у развоју, посебно у циљу удвостручавања удела најмање развијених земаља у светском извозу</w:t>
            </w:r>
          </w:p>
          <w:p w14:paraId="277C73AD" w14:textId="2461AA92" w:rsidR="00C57EAF" w:rsidRPr="00092ED7" w:rsidRDefault="00C57EAF" w:rsidP="0001548A">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17.12.</w:t>
            </w:r>
            <w:r w:rsidRPr="00092ED7">
              <w:rPr>
                <w:rFonts w:eastAsia="Times New Roman" w:cs="Times New Roman"/>
                <w:bCs/>
                <w:sz w:val="18"/>
                <w:szCs w:val="18"/>
                <w:lang w:val="sr-Cyrl-CS"/>
              </w:rPr>
              <w:t xml:space="preserve"> Остварити благовремену и трајну примену тржишних приступа без царина и квота за све најмање развијене земље у складу са одлукама </w:t>
            </w:r>
            <w:r w:rsidR="0001548A" w:rsidRPr="00092ED7">
              <w:rPr>
                <w:rFonts w:eastAsia="Times New Roman" w:cs="Times New Roman"/>
                <w:bCs/>
                <w:sz w:val="18"/>
                <w:szCs w:val="18"/>
                <w:lang w:val="sr-Cyrl-CS"/>
              </w:rPr>
              <w:t>СТО</w:t>
            </w:r>
            <w:r w:rsidRPr="00092ED7">
              <w:rPr>
                <w:rFonts w:eastAsia="Times New Roman" w:cs="Times New Roman"/>
                <w:bCs/>
                <w:sz w:val="18"/>
                <w:szCs w:val="18"/>
                <w:lang w:val="sr-Cyrl-CS"/>
              </w:rPr>
              <w:t>, између осталог и тако што ће се обезбедити да преференцијална правила о пореклу која се примењују на увоз из најмање развијених земаља буду транспарентна и једноставна, односно да олакшавају приступ тржиштима</w:t>
            </w:r>
          </w:p>
        </w:tc>
        <w:tc>
          <w:tcPr>
            <w:tcW w:w="2409" w:type="dxa"/>
            <w:tcBorders>
              <w:top w:val="single" w:sz="6" w:space="0" w:color="000000"/>
              <w:left w:val="single" w:sz="6" w:space="0" w:color="000000"/>
              <w:bottom w:val="single" w:sz="6" w:space="0" w:color="000000"/>
              <w:right w:val="single" w:sz="6" w:space="0" w:color="000000"/>
            </w:tcBorders>
          </w:tcPr>
          <w:p w14:paraId="6C6E8990"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Cs/>
                <w:iCs/>
                <w:sz w:val="18"/>
                <w:szCs w:val="18"/>
                <w:lang w:val="sr-Cyrl-CS"/>
              </w:rPr>
              <w:t>Директан утицај на циљеве:</w:t>
            </w:r>
          </w:p>
          <w:p w14:paraId="67A051B8"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59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14:paraId="0C6BFC27"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
                <w:bCs/>
                <w:iCs/>
                <w:sz w:val="18"/>
                <w:szCs w:val="18"/>
                <w:lang w:val="sr-Cyrl-CS"/>
              </w:rPr>
              <w:t xml:space="preserve">циљ 41 Европског Зеленог договора – </w:t>
            </w:r>
            <w:r w:rsidRPr="00092ED7">
              <w:rPr>
                <w:rFonts w:eastAsia="Times New Roman" w:cs="Times New Roman"/>
                <w:bCs/>
                <w:iCs/>
                <w:sz w:val="18"/>
                <w:szCs w:val="18"/>
                <w:lang w:val="sr-Cyrl-CS"/>
              </w:rPr>
              <w:t>Заинтересоване стране идентификују и исправљају неусклађено законодавство које смањује ефикасност у спровођењу Европског зеленог договора</w:t>
            </w:r>
          </w:p>
          <w:p w14:paraId="25B524C2" w14:textId="77777777" w:rsidR="00C57EAF" w:rsidRPr="00092ED7" w:rsidRDefault="00C57EAF" w:rsidP="00C57EAF">
            <w:pPr>
              <w:spacing w:after="60"/>
              <w:jc w:val="left"/>
              <w:rPr>
                <w:rFonts w:eastAsia="Times New Roman" w:cs="Times New Roman"/>
                <w:bCs/>
                <w:i/>
                <w:iCs/>
                <w:sz w:val="18"/>
                <w:szCs w:val="18"/>
                <w:lang w:val="sr-Cyrl-CS"/>
              </w:rPr>
            </w:pPr>
            <w:r w:rsidRPr="00092ED7">
              <w:rPr>
                <w:rFonts w:eastAsia="Times New Roman" w:cs="Times New Roman"/>
                <w:bCs/>
                <w:i/>
                <w:iCs/>
                <w:sz w:val="18"/>
                <w:szCs w:val="18"/>
                <w:lang w:val="sr-Cyrl-CS"/>
              </w:rPr>
              <w:t>Отварање трговине, јачање конкурентности и укључивање у јединствено европско тржиште доприносе интеграцији области животне средине и климе у национални правни оквир. Ово укључује имплементацију релевантних директива и стандарда ЕУ који се односе на одрживост и зелену агенду.</w:t>
            </w:r>
          </w:p>
        </w:tc>
        <w:tc>
          <w:tcPr>
            <w:tcW w:w="1843" w:type="dxa"/>
            <w:tcBorders>
              <w:top w:val="single" w:sz="6" w:space="0" w:color="000000"/>
              <w:left w:val="single" w:sz="6" w:space="0" w:color="000000"/>
              <w:bottom w:val="single" w:sz="6" w:space="0" w:color="000000"/>
              <w:right w:val="single" w:sz="6" w:space="0" w:color="000000"/>
            </w:tcBorders>
          </w:tcPr>
          <w:p w14:paraId="314FEFFC"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Поглавље VIII Подстицање приватног сектора</w:t>
            </w:r>
          </w:p>
          <w:p w14:paraId="62B6514A"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Већа тржишна интеграција и трговина унутар региона и са ЕУ</w:t>
            </w:r>
          </w:p>
          <w:p w14:paraId="07596D50"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Поглавље X Регионална економска интеграција и интеграција са ЕУ</w:t>
            </w:r>
          </w:p>
          <w:p w14:paraId="0CC338FC"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xml:space="preserve">- Интеграција тржишта и прекогранична </w:t>
            </w:r>
            <w:r w:rsidR="0021103E" w:rsidRPr="00092ED7">
              <w:rPr>
                <w:rFonts w:eastAsia="Times New Roman" w:cs="Times New Roman"/>
                <w:bCs/>
                <w:iCs/>
                <w:sz w:val="18"/>
                <w:szCs w:val="18"/>
                <w:lang w:val="sr-Cyrl-CS"/>
              </w:rPr>
              <w:t xml:space="preserve">трговинa </w:t>
            </w:r>
            <w:r w:rsidRPr="00092ED7">
              <w:rPr>
                <w:rFonts w:eastAsia="Times New Roman" w:cs="Times New Roman"/>
                <w:bCs/>
                <w:iCs/>
                <w:sz w:val="18"/>
                <w:szCs w:val="18"/>
                <w:lang w:val="sr-Cyrl-CS"/>
              </w:rPr>
              <w:t>у региону и са Европском унијом</w:t>
            </w:r>
          </w:p>
          <w:p w14:paraId="386DC163"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Уклањање техничких баријера у трговини, уз истовремено обезбеђивање једнаких услова учешћа</w:t>
            </w:r>
          </w:p>
          <w:p w14:paraId="65A0C263"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Сарадња кроз Централноевропски споразум о слободној трговини (</w:t>
            </w:r>
            <w:r w:rsidR="0021103E" w:rsidRPr="00092ED7">
              <w:rPr>
                <w:rFonts w:eastAsia="Times New Roman" w:cs="Times New Roman"/>
                <w:bCs/>
                <w:iCs/>
                <w:sz w:val="18"/>
                <w:szCs w:val="18"/>
                <w:lang w:val="sr-Cyrl-CS"/>
              </w:rPr>
              <w:t>CEFTA</w:t>
            </w:r>
            <w:r w:rsidRPr="00092ED7">
              <w:rPr>
                <w:rFonts w:eastAsia="Times New Roman" w:cs="Times New Roman"/>
                <w:bCs/>
                <w:iCs/>
                <w:sz w:val="18"/>
                <w:szCs w:val="18"/>
                <w:lang w:val="sr-Cyrl-CS"/>
              </w:rPr>
              <w:t>)</w:t>
            </w:r>
          </w:p>
        </w:tc>
        <w:tc>
          <w:tcPr>
            <w:tcW w:w="1559" w:type="dxa"/>
            <w:tcBorders>
              <w:top w:val="single" w:sz="6" w:space="0" w:color="000000"/>
              <w:left w:val="single" w:sz="6" w:space="0" w:color="000000"/>
              <w:bottom w:val="single" w:sz="6" w:space="0" w:color="000000"/>
              <w:right w:val="single" w:sz="6" w:space="0" w:color="000000"/>
            </w:tcBorders>
          </w:tcPr>
          <w:p w14:paraId="634E3E7B"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4DC4597A" w14:textId="77777777" w:rsidTr="00F50B50">
        <w:trPr>
          <w:trHeight w:val="268"/>
        </w:trPr>
        <w:tc>
          <w:tcPr>
            <w:tcW w:w="1635" w:type="dxa"/>
            <w:tcBorders>
              <w:top w:val="single" w:sz="6" w:space="0" w:color="000000"/>
              <w:left w:val="single" w:sz="6" w:space="0" w:color="000000"/>
              <w:bottom w:val="single" w:sz="6" w:space="0" w:color="000000"/>
              <w:right w:val="single" w:sz="6" w:space="0" w:color="000000"/>
            </w:tcBorders>
          </w:tcPr>
          <w:p w14:paraId="1DAC9F71"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19. Унапређење ефикасности и безбедности у железничком саобраћају</w:t>
            </w:r>
          </w:p>
        </w:tc>
        <w:tc>
          <w:tcPr>
            <w:tcW w:w="1498" w:type="dxa"/>
            <w:tcBorders>
              <w:top w:val="single" w:sz="6" w:space="0" w:color="000000"/>
              <w:left w:val="single" w:sz="6" w:space="0" w:color="000000"/>
              <w:bottom w:val="single" w:sz="6" w:space="0" w:color="000000"/>
              <w:right w:val="single" w:sz="6" w:space="0" w:color="000000"/>
            </w:tcBorders>
          </w:tcPr>
          <w:p w14:paraId="026D7497"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3C1E83B9"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79B012E4"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Фокус на јачању система безбедности у железничком саобраћају</w:t>
            </w:r>
          </w:p>
          <w:p w14:paraId="72D1BEFE"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Даље спроводити усвојено законодавство и јачати институционалне капацитете</w:t>
            </w:r>
          </w:p>
        </w:tc>
        <w:tc>
          <w:tcPr>
            <w:tcW w:w="1932" w:type="dxa"/>
            <w:tcBorders>
              <w:top w:val="single" w:sz="6" w:space="0" w:color="000000"/>
              <w:left w:val="single" w:sz="6" w:space="0" w:color="000000"/>
              <w:bottom w:val="single" w:sz="6" w:space="0" w:color="000000"/>
              <w:right w:val="single" w:sz="6" w:space="0" w:color="000000"/>
            </w:tcBorders>
          </w:tcPr>
          <w:p w14:paraId="73991460"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 xml:space="preserve">ЦОР 3.6. </w:t>
            </w:r>
            <w:r w:rsidRPr="00092ED7">
              <w:rPr>
                <w:rFonts w:eastAsia="Times New Roman" w:cs="Times New Roman"/>
                <w:bCs/>
                <w:sz w:val="18"/>
                <w:szCs w:val="18"/>
                <w:lang w:val="sr-Cyrl-CS"/>
              </w:rPr>
              <w:t>До 2020. преполовити број смртних случајева и повреда у друмском саобраћају на глобалном нивоу</w:t>
            </w:r>
          </w:p>
          <w:p w14:paraId="52AF9BB0"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9.1.</w:t>
            </w:r>
            <w:r w:rsidRPr="00092ED7">
              <w:rPr>
                <w:rFonts w:eastAsia="Times New Roman" w:cs="Times New Roman"/>
                <w:bCs/>
                <w:sz w:val="18"/>
                <w:szCs w:val="18"/>
                <w:lang w:val="sr-Cyrl-CS"/>
              </w:rPr>
              <w:t xml:space="preserve"> Развити квалитетну, поуздану, одрживу и отпорну инфраструктуру, укључујући регионалну и прекограничну инфраструктуру, како би се подржали економски развој и људско благостање, са фокусом на економски прихватљивом и једнаком приступу за све</w:t>
            </w:r>
          </w:p>
          <w:p w14:paraId="35F48FAC"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 xml:space="preserve">ЦОР 11.2. </w:t>
            </w:r>
            <w:r w:rsidRPr="00092ED7">
              <w:rPr>
                <w:rFonts w:eastAsia="Times New Roman" w:cs="Times New Roman"/>
                <w:bCs/>
                <w:sz w:val="18"/>
                <w:szCs w:val="18"/>
                <w:lang w:val="sr-Cyrl-CS"/>
              </w:rPr>
              <w:t>До 2030. обезбедити приступ сигурним, приуштивим, доступним и одрживим транспортним системима за све, побољшати безбедност на путевима, пре свега проширењем јавног превоза, с посебном пажњом на потребе оних у стањима рањивости, жена, деце, особа са инвалидитетом и старијих лица</w:t>
            </w:r>
          </w:p>
        </w:tc>
        <w:tc>
          <w:tcPr>
            <w:tcW w:w="2409" w:type="dxa"/>
            <w:tcBorders>
              <w:top w:val="single" w:sz="6" w:space="0" w:color="000000"/>
              <w:left w:val="single" w:sz="6" w:space="0" w:color="000000"/>
              <w:bottom w:val="single" w:sz="6" w:space="0" w:color="000000"/>
              <w:right w:val="single" w:sz="6" w:space="0" w:color="000000"/>
            </w:tcBorders>
          </w:tcPr>
          <w:p w14:paraId="02388012"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Cs/>
                <w:iCs/>
                <w:sz w:val="18"/>
                <w:szCs w:val="18"/>
                <w:lang w:val="sr-Cyrl-CS"/>
              </w:rPr>
              <w:t>Директан утицај на циљеве:</w:t>
            </w:r>
          </w:p>
          <w:p w14:paraId="4C95EA0F"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17 </w:t>
            </w:r>
            <w:r w:rsidRPr="00092ED7">
              <w:rPr>
                <w:rFonts w:eastAsia="Times New Roman" w:cs="Times New Roman"/>
                <w:b/>
                <w:iCs/>
                <w:sz w:val="18"/>
                <w:szCs w:val="18"/>
                <w:lang w:val="sr-Cyrl-CS"/>
              </w:rPr>
              <w:t>ЗАЗБ</w:t>
            </w:r>
            <w:r w:rsidRPr="00092ED7">
              <w:rPr>
                <w:rFonts w:eastAsia="Times New Roman" w:cs="Times New Roman"/>
                <w:bCs/>
                <w:iCs/>
                <w:sz w:val="18"/>
                <w:szCs w:val="18"/>
                <w:lang w:val="sr-Cyrl-CS"/>
              </w:rPr>
              <w:t xml:space="preserve"> - Подршка развоју паметне транспортне инфраструктуре, промовисање подстицања иновативних технологија (као што су транспорт без употребе папира, вештачка интелигенција, мултимодално издавање карата за путнике, мобилност као услуга, апликације за прекограничне/граничне прелазе, 5Г коридори, итд.)</w:t>
            </w:r>
          </w:p>
          <w:p w14:paraId="2E413225"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18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Примена регионалног акционог плана за реформу железнице</w:t>
            </w:r>
          </w:p>
          <w:p w14:paraId="162D871E"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20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Дефинисање опште стратегије за преусмеравање саобраћаја са друмског на еколошки прихватљивије модалитете</w:t>
            </w:r>
          </w:p>
          <w:p w14:paraId="6BA53CEC"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
                <w:bCs/>
                <w:iCs/>
                <w:sz w:val="18"/>
                <w:szCs w:val="18"/>
                <w:lang w:val="sr-Cyrl-CS"/>
              </w:rPr>
              <w:t xml:space="preserve">циљ 23 Европског Зеленог договора - </w:t>
            </w:r>
            <w:r w:rsidRPr="00092ED7">
              <w:rPr>
                <w:rFonts w:eastAsia="Times New Roman" w:cs="Times New Roman"/>
                <w:bCs/>
                <w:iCs/>
                <w:sz w:val="18"/>
                <w:szCs w:val="18"/>
                <w:lang w:val="sr-Cyrl-CS"/>
              </w:rPr>
              <w:t>Иницијативе за повећање капацитета железница и унутрашњих пловних путева и боље управљање њима</w:t>
            </w:r>
          </w:p>
          <w:p w14:paraId="3D1F1E53" w14:textId="77777777" w:rsidR="00C57EAF" w:rsidRPr="00092ED7" w:rsidRDefault="00C57EAF" w:rsidP="00C57EAF">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 xml:space="preserve">Унапређење ефикасности, безбедности и успостављање новог метода обрачуна цена доприносе јачању железничког саобраћаја. Планирани већи промет робе и путника у железничком саобраћају, као енергетски ефикасне и еколошки прихватљиве области транспорта, директно доприноси очувању животне средине и смањењу степена загађења. </w:t>
            </w:r>
          </w:p>
        </w:tc>
        <w:tc>
          <w:tcPr>
            <w:tcW w:w="1843" w:type="dxa"/>
            <w:tcBorders>
              <w:top w:val="single" w:sz="6" w:space="0" w:color="000000"/>
              <w:left w:val="single" w:sz="6" w:space="0" w:color="000000"/>
              <w:bottom w:val="single" w:sz="6" w:space="0" w:color="000000"/>
              <w:right w:val="single" w:sz="6" w:space="0" w:color="000000"/>
            </w:tcBorders>
          </w:tcPr>
          <w:p w14:paraId="6DDB21E7"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iCs/>
                <w:sz w:val="18"/>
                <w:szCs w:val="18"/>
                <w:lang w:val="sr-Cyrl-CS"/>
              </w:rPr>
              <w:t xml:space="preserve">Поглавље </w:t>
            </w:r>
            <w:r w:rsidRPr="00092ED7">
              <w:rPr>
                <w:rFonts w:eastAsia="Times New Roman" w:cs="Times New Roman"/>
                <w:b/>
                <w:bCs/>
                <w:iCs/>
                <w:sz w:val="18"/>
                <w:szCs w:val="18"/>
                <w:lang w:val="sr-Cyrl-CS"/>
              </w:rPr>
              <w:t xml:space="preserve">IV Улагање у одрживи транспорт </w:t>
            </w:r>
          </w:p>
          <w:p w14:paraId="0AB08D43"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Безбедност на путно-пружним прелазима</w:t>
            </w:r>
          </w:p>
          <w:p w14:paraId="3227FE03"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Пружање помоћи у пројектовању и спровођењу програма одржавања, - Унапређење фрагментисане железничке мреже</w:t>
            </w:r>
          </w:p>
        </w:tc>
        <w:tc>
          <w:tcPr>
            <w:tcW w:w="1559" w:type="dxa"/>
            <w:tcBorders>
              <w:top w:val="single" w:sz="6" w:space="0" w:color="000000"/>
              <w:left w:val="single" w:sz="6" w:space="0" w:color="000000"/>
              <w:bottom w:val="single" w:sz="6" w:space="0" w:color="000000"/>
              <w:right w:val="single" w:sz="6" w:space="0" w:color="000000"/>
            </w:tcBorders>
          </w:tcPr>
          <w:p w14:paraId="4348752F"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59802D2B" w14:textId="77777777" w:rsidTr="00F50B50">
        <w:trPr>
          <w:trHeight w:val="411"/>
        </w:trPr>
        <w:tc>
          <w:tcPr>
            <w:tcW w:w="1635" w:type="dxa"/>
            <w:tcBorders>
              <w:top w:val="single" w:sz="6" w:space="0" w:color="000000"/>
              <w:left w:val="single" w:sz="6" w:space="0" w:color="000000"/>
              <w:bottom w:val="single" w:sz="6" w:space="0" w:color="000000"/>
              <w:right w:val="single" w:sz="6" w:space="0" w:color="000000"/>
            </w:tcBorders>
          </w:tcPr>
          <w:p w14:paraId="00A96927"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20. Унапређење конкурентности пољопривреде</w:t>
            </w:r>
          </w:p>
        </w:tc>
        <w:tc>
          <w:tcPr>
            <w:tcW w:w="1498" w:type="dxa"/>
            <w:tcBorders>
              <w:top w:val="single" w:sz="6" w:space="0" w:color="000000"/>
              <w:left w:val="single" w:sz="6" w:space="0" w:color="000000"/>
              <w:bottom w:val="single" w:sz="6" w:space="0" w:color="000000"/>
              <w:right w:val="single" w:sz="6" w:space="0" w:color="000000"/>
            </w:tcBorders>
          </w:tcPr>
          <w:p w14:paraId="7E33A9BF"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1F040784"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78A10D05"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Oбезбедити несметан пренос ИПАРД мера на период 2021-2027 и припремити нове мере </w:t>
            </w:r>
          </w:p>
          <w:p w14:paraId="557D7040"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Постигнути напредак у спровођењу Акционог плана за усклађивање са правним тековинама ЕУ у области пољопривреде и руралног развоја</w:t>
            </w:r>
          </w:p>
        </w:tc>
        <w:tc>
          <w:tcPr>
            <w:tcW w:w="1932" w:type="dxa"/>
            <w:tcBorders>
              <w:top w:val="single" w:sz="6" w:space="0" w:color="000000"/>
              <w:left w:val="single" w:sz="6" w:space="0" w:color="000000"/>
              <w:bottom w:val="single" w:sz="6" w:space="0" w:color="000000"/>
              <w:right w:val="single" w:sz="6" w:space="0" w:color="000000"/>
            </w:tcBorders>
          </w:tcPr>
          <w:p w14:paraId="484835C5"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 xml:space="preserve">ЦОР 2.3. </w:t>
            </w:r>
            <w:r w:rsidRPr="00092ED7">
              <w:rPr>
                <w:rFonts w:eastAsia="Times New Roman" w:cs="Times New Roman"/>
                <w:bCs/>
                <w:sz w:val="18"/>
                <w:szCs w:val="18"/>
                <w:lang w:val="sr-Cyrl-CS"/>
              </w:rPr>
              <w:t>До 2030.</w:t>
            </w:r>
            <w:r w:rsidRPr="00092ED7">
              <w:rPr>
                <w:rFonts w:eastAsia="Times New Roman" w:cs="Times New Roman"/>
                <w:b/>
                <w:bCs/>
                <w:sz w:val="18"/>
                <w:szCs w:val="18"/>
                <w:lang w:val="sr-Cyrl-CS"/>
              </w:rPr>
              <w:t xml:space="preserve"> </w:t>
            </w:r>
            <w:r w:rsidRPr="00092ED7">
              <w:rPr>
                <w:rFonts w:eastAsia="Times New Roman" w:cs="Times New Roman"/>
                <w:bCs/>
                <w:sz w:val="18"/>
                <w:szCs w:val="18"/>
                <w:lang w:val="sr-Cyrl-CS"/>
              </w:rPr>
              <w:t>Удвостручити пољопривредну продуктивност и приходе малих произвођача хране, а посебно жена, аутохтоних народа, породичних пољопривредних произвођача, сточара и рибара, кроз безбедан и једнак приступ земљишту, другим производним ресурсима и подацима, сазнањима, финансијским услугама, тржиштима и могућностима за остваривање додатне вредности, односно за запошљавање ван пољопривреде</w:t>
            </w:r>
          </w:p>
          <w:p w14:paraId="15439D56"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 xml:space="preserve">ЦОР 2.4. </w:t>
            </w:r>
            <w:r w:rsidRPr="00092ED7">
              <w:rPr>
                <w:rFonts w:eastAsia="Times New Roman" w:cs="Times New Roman"/>
                <w:bCs/>
                <w:sz w:val="18"/>
                <w:szCs w:val="18"/>
                <w:lang w:val="sr-Cyrl-CS"/>
              </w:rPr>
              <w:t>До 2030. обезбедити одрживе системе за производњу хране и применити отпорне пољопривредне праксе за повећање продуктивности и производње, које помажу у одржавању екосистема, које јачају капацитет за прилагођавање климатским променама, екстремним временским условима, сушама, поплавама и осталим катастрофама, и које прогресивно побољшавају квалитет земљишта и тла</w:t>
            </w:r>
          </w:p>
          <w:p w14:paraId="5DF7ACC1"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11.3.</w:t>
            </w:r>
            <w:r w:rsidRPr="00092ED7">
              <w:rPr>
                <w:rFonts w:eastAsia="Times New Roman" w:cs="Times New Roman"/>
                <w:bCs/>
                <w:sz w:val="18"/>
                <w:szCs w:val="18"/>
                <w:lang w:val="sr-Cyrl-CS"/>
              </w:rPr>
              <w:t xml:space="preserve"> До 2030. године унапредити инклузивну и одрживу урбанизацију и капацитете за партиципативно, интегрисано и одрживо планирање и управљање људским насељима.</w:t>
            </w:r>
          </w:p>
          <w:p w14:paraId="01AB5104"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12.5.</w:t>
            </w:r>
            <w:r w:rsidRPr="00092ED7">
              <w:rPr>
                <w:rFonts w:eastAsia="Times New Roman" w:cs="Times New Roman"/>
                <w:bCs/>
                <w:sz w:val="18"/>
                <w:szCs w:val="18"/>
                <w:lang w:val="sr-Cyrl-CS"/>
              </w:rPr>
              <w:t xml:space="preserve"> До 2030. значајно смањити производњу отпада кроз превенцију, редукцију, рециклирање и поновно коришћење </w:t>
            </w:r>
          </w:p>
        </w:tc>
        <w:tc>
          <w:tcPr>
            <w:tcW w:w="2409" w:type="dxa"/>
            <w:tcBorders>
              <w:top w:val="single" w:sz="6" w:space="0" w:color="000000"/>
              <w:left w:val="single" w:sz="6" w:space="0" w:color="000000"/>
              <w:bottom w:val="single" w:sz="6" w:space="0" w:color="000000"/>
              <w:right w:val="single" w:sz="6" w:space="0" w:color="000000"/>
            </w:tcBorders>
          </w:tcPr>
          <w:p w14:paraId="244FC552"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Cs/>
                <w:iCs/>
                <w:sz w:val="18"/>
                <w:szCs w:val="18"/>
                <w:lang w:val="sr-Cyrl-CS"/>
              </w:rPr>
              <w:t xml:space="preserve">Директан утицај на </w:t>
            </w:r>
            <w:r w:rsidRPr="00092ED7">
              <w:rPr>
                <w:rFonts w:eastAsia="Times New Roman" w:cs="Times New Roman"/>
                <w:b/>
                <w:bCs/>
                <w:iCs/>
                <w:sz w:val="18"/>
                <w:szCs w:val="18"/>
                <w:lang w:val="sr-Cyrl-CS"/>
              </w:rPr>
              <w:t>циљеве:</w:t>
            </w:r>
          </w:p>
          <w:p w14:paraId="23519D7B"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42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Интегрисање заштите земљишта у друге области политике и успостављање регионалног партнерства за заштиту земљишта, како би се поспешила размена знања и утврдили примери добре праксе у заштити земљишта од загађења и деградације</w:t>
            </w:r>
          </w:p>
          <w:p w14:paraId="0D133521"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
                <w:bCs/>
                <w:iCs/>
                <w:sz w:val="18"/>
                <w:szCs w:val="18"/>
                <w:lang w:val="sr-Cyrl-CS"/>
              </w:rPr>
              <w:t xml:space="preserve">циљ 44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Усклађивање пољопривредно-прехрамбеног сектора и сектора примарне производње са стандардима ЕУ о сигурности хране, здрављу и добробити биљака и животиња и животној средини и решавање питања управљања отпадним водама, ђубривом и отпадом</w:t>
            </w:r>
          </w:p>
          <w:p w14:paraId="34E9E45E"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46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Промовисање еколошки прихватљивe (нулто загађење) и органскe пољопривредe и смањење употребе синтетичких хемијских производа у производњи хране</w:t>
            </w:r>
          </w:p>
          <w:p w14:paraId="0BEAB887"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47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Сарадња са научним, образовним, пословним и пољопривредним институцијама како би се олакшао трансфер иновативних и еколошких технологија и пољопривредних метода</w:t>
            </w:r>
          </w:p>
          <w:p w14:paraId="46B5C65E"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49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Повећање напора усмерених на одрживи развој руралних области уз примену програма LEADER</w:t>
            </w:r>
          </w:p>
          <w:p w14:paraId="4687EE3F"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50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Подршка инвестицијама у производњу и технологије обновљиве енергије, као и смањење емисија гасова са ефектом стаклене баште и примена мера прилагођавања на климатске промене у пољопривреди</w:t>
            </w:r>
          </w:p>
          <w:p w14:paraId="67CBC884"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17 Европског Зеленог договора - </w:t>
            </w:r>
            <w:r w:rsidRPr="00092ED7">
              <w:rPr>
                <w:rFonts w:eastAsia="Times New Roman" w:cs="Times New Roman"/>
                <w:bCs/>
                <w:iCs/>
                <w:sz w:val="18"/>
                <w:szCs w:val="18"/>
                <w:lang w:val="sr-Cyrl-CS"/>
              </w:rPr>
              <w:t>Предлагање реформи законодавства о отпаду</w:t>
            </w:r>
          </w:p>
          <w:p w14:paraId="0FD863CC"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26 Европског Зеленог договора - </w:t>
            </w:r>
            <w:r w:rsidRPr="00092ED7">
              <w:rPr>
                <w:rFonts w:eastAsia="Times New Roman" w:cs="Times New Roman"/>
                <w:bCs/>
                <w:iCs/>
                <w:sz w:val="18"/>
                <w:szCs w:val="18"/>
                <w:lang w:val="sr-Cyrl-CS"/>
              </w:rPr>
              <w:t>Стратегија „од поља до стола”</w:t>
            </w:r>
          </w:p>
          <w:p w14:paraId="7B79358A"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
                <w:bCs/>
                <w:iCs/>
                <w:sz w:val="18"/>
                <w:szCs w:val="18"/>
                <w:lang w:val="sr-Cyrl-CS"/>
              </w:rPr>
              <w:t xml:space="preserve">циљ 27 Европског Зеленог договора - </w:t>
            </w:r>
            <w:r w:rsidRPr="00092ED7">
              <w:rPr>
                <w:rFonts w:eastAsia="Times New Roman" w:cs="Times New Roman"/>
                <w:bCs/>
                <w:iCs/>
                <w:sz w:val="18"/>
                <w:szCs w:val="18"/>
                <w:lang w:val="sr-Cyrl-CS"/>
              </w:rPr>
              <w:t>Мере, укључујући законодавне, за знатно смањење употребе и ризика хемијских пестицида као и употребе ђубрива и антибиотика</w:t>
            </w:r>
          </w:p>
          <w:p w14:paraId="7407E451" w14:textId="77777777" w:rsidR="00C57EAF" w:rsidRPr="00092ED7" w:rsidRDefault="00C57EAF" w:rsidP="00C57EAF">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 xml:space="preserve">Развој руралне инфраструктуре и тржишних ланаца вредности заснованих на принципима одрживости, еколошке прихватљивости и ниске емисије штетних гасова утичу на очување животне средине. Успостављање шема квалитета производа доприноси унапређењу прехрамбене (нарочито органске) производње. Процес комасације земљишта доприноси интегрисаном управљању природним ресурсима и повезивању екосистема, у складу са захтевима животне средине. У целини, </w:t>
            </w:r>
            <w:r w:rsidRPr="00092ED7">
              <w:rPr>
                <w:rFonts w:eastAsia="Times New Roman" w:cs="Times New Roman"/>
                <w:bCs/>
                <w:i/>
                <w:iCs/>
                <w:sz w:val="18"/>
                <w:szCs w:val="18"/>
                <w:lang w:val="sr-Cyrl-CS"/>
              </w:rPr>
              <w:t xml:space="preserve">унапређење конкурентности пољопривреде доприноси озелењавању, побољшању руралног агробиодиверзитета и ублажавању климатских промена. </w:t>
            </w:r>
          </w:p>
        </w:tc>
        <w:tc>
          <w:tcPr>
            <w:tcW w:w="1843" w:type="dxa"/>
            <w:tcBorders>
              <w:top w:val="single" w:sz="6" w:space="0" w:color="000000"/>
              <w:left w:val="single" w:sz="6" w:space="0" w:color="000000"/>
              <w:bottom w:val="single" w:sz="6" w:space="0" w:color="000000"/>
              <w:right w:val="single" w:sz="6" w:space="0" w:color="000000"/>
            </w:tcBorders>
          </w:tcPr>
          <w:p w14:paraId="6DCEFAEC"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iCs/>
                <w:sz w:val="18"/>
                <w:szCs w:val="18"/>
                <w:lang w:val="sr-Cyrl-CS"/>
              </w:rPr>
              <w:t xml:space="preserve">Поглавље </w:t>
            </w:r>
            <w:r w:rsidRPr="00092ED7">
              <w:rPr>
                <w:rFonts w:eastAsia="Times New Roman" w:cs="Times New Roman"/>
                <w:b/>
                <w:bCs/>
                <w:iCs/>
                <w:sz w:val="18"/>
                <w:szCs w:val="18"/>
                <w:lang w:val="sr-Cyrl-CS"/>
              </w:rPr>
              <w:t>III Значајан инвестициони пакет,</w:t>
            </w:r>
          </w:p>
          <w:p w14:paraId="387D278C"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подржати инвестиције у рурална подручја кроз ИПАРД финансирање,</w:t>
            </w:r>
          </w:p>
          <w:p w14:paraId="3462EA6B"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Поглавље VIII Подстицање приватног сектора</w:t>
            </w:r>
          </w:p>
          <w:p w14:paraId="51C7EC6D"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xml:space="preserve">- Омогућити улагања у одрживу пољопривредну производњу ради подршке уравнотеженом руралном развоју и јачању конкурентности и одрживости пољопривредно-прехрамбеног сектора, </w:t>
            </w:r>
          </w:p>
          <w:p w14:paraId="7DC5FE77"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Кључна иницијатива 9 – Улагање у конкурентност приватног сектора</w:t>
            </w:r>
          </w:p>
          <w:p w14:paraId="2FC01883" w14:textId="77777777" w:rsidR="00C57EAF" w:rsidRPr="00092ED7" w:rsidRDefault="00C57EAF" w:rsidP="00C57EAF">
            <w:pPr>
              <w:pStyle w:val="Default"/>
              <w:spacing w:after="60"/>
              <w:jc w:val="left"/>
              <w:rPr>
                <w:bCs/>
                <w:iCs/>
                <w:color w:val="auto"/>
                <w:sz w:val="18"/>
                <w:szCs w:val="18"/>
                <w:lang w:val="sr-Cyrl-CS"/>
              </w:rPr>
            </w:pPr>
            <w:r w:rsidRPr="00092ED7">
              <w:rPr>
                <w:rFonts w:ascii="Times New Roman" w:hAnsi="Times New Roman" w:cs="Times New Roman"/>
                <w:bCs/>
                <w:iCs/>
                <w:color w:val="auto"/>
                <w:sz w:val="18"/>
                <w:szCs w:val="18"/>
                <w:lang w:val="sr-Cyrl-CS"/>
              </w:rPr>
              <w:t>- Мобилисати помоћ за одрживу трансформацију пољопривредно-прехрамбених система и рурални развој</w:t>
            </w:r>
            <w:r w:rsidRPr="00092ED7">
              <w:rPr>
                <w:bCs/>
                <w:iCs/>
                <w:color w:val="auto"/>
                <w:sz w:val="18"/>
                <w:szCs w:val="18"/>
                <w:lang w:val="sr-Cyrl-CS"/>
              </w:rPr>
              <w:t xml:space="preserve"> </w:t>
            </w:r>
          </w:p>
        </w:tc>
        <w:tc>
          <w:tcPr>
            <w:tcW w:w="1559" w:type="dxa"/>
            <w:tcBorders>
              <w:top w:val="single" w:sz="6" w:space="0" w:color="000000"/>
              <w:left w:val="single" w:sz="6" w:space="0" w:color="000000"/>
              <w:bottom w:val="single" w:sz="6" w:space="0" w:color="000000"/>
              <w:right w:val="single" w:sz="6" w:space="0" w:color="000000"/>
            </w:tcBorders>
          </w:tcPr>
          <w:p w14:paraId="77792809" w14:textId="1909B40D"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ИПА </w:t>
            </w:r>
            <w:r w:rsidR="0021103E" w:rsidRPr="00092ED7">
              <w:rPr>
                <w:rFonts w:eastAsia="Times New Roman" w:cs="Times New Roman"/>
                <w:iCs/>
                <w:sz w:val="18"/>
                <w:szCs w:val="18"/>
                <w:lang w:val="sr-Cyrl-CS"/>
              </w:rPr>
              <w:t>20</w:t>
            </w:r>
            <w:r w:rsidRPr="00092ED7">
              <w:rPr>
                <w:rFonts w:eastAsia="Times New Roman" w:cs="Times New Roman"/>
                <w:iCs/>
                <w:sz w:val="18"/>
                <w:szCs w:val="18"/>
                <w:lang w:val="sr-Cyrl-CS"/>
              </w:rPr>
              <w:t>17 неалоцирани „Подршка ИПАРД оперативној структури (Управљачко тело и ИПАРД агенција)</w:t>
            </w:r>
            <w:r w:rsidR="005E3F54" w:rsidRPr="00092ED7">
              <w:rPr>
                <w:rFonts w:cs="Times New Roman"/>
                <w:sz w:val="18"/>
                <w:szCs w:val="18"/>
                <w:lang w:val="sr-Cyrl-CS"/>
              </w:rPr>
              <w:t>”</w:t>
            </w:r>
            <w:r w:rsidRPr="00092ED7">
              <w:rPr>
                <w:rFonts w:eastAsia="Times New Roman" w:cs="Times New Roman"/>
                <w:iCs/>
                <w:sz w:val="18"/>
                <w:szCs w:val="18"/>
                <w:lang w:val="sr-Cyrl-CS"/>
              </w:rPr>
              <w:t>.</w:t>
            </w:r>
          </w:p>
          <w:p w14:paraId="7E01E849"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Период имплементације 6/01/2022 - 06/01/2023</w:t>
            </w:r>
          </w:p>
          <w:p w14:paraId="2A394503"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Вредност уговора: 658.740,00 евра;</w:t>
            </w:r>
          </w:p>
          <w:p w14:paraId="72194DBE" w14:textId="3AE63431"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ИПА </w:t>
            </w:r>
            <w:r w:rsidR="0021103E" w:rsidRPr="00092ED7">
              <w:rPr>
                <w:rFonts w:eastAsia="Times New Roman" w:cs="Times New Roman"/>
                <w:iCs/>
                <w:sz w:val="18"/>
                <w:szCs w:val="18"/>
                <w:lang w:val="sr-Cyrl-CS"/>
              </w:rPr>
              <w:t>20</w:t>
            </w:r>
            <w:r w:rsidRPr="00092ED7">
              <w:rPr>
                <w:rFonts w:eastAsia="Times New Roman" w:cs="Times New Roman"/>
                <w:iCs/>
                <w:sz w:val="18"/>
                <w:szCs w:val="18"/>
                <w:lang w:val="sr-Cyrl-CS"/>
              </w:rPr>
              <w:t>18 неалоциран</w:t>
            </w:r>
            <w:r w:rsidR="00B30259" w:rsidRPr="00092ED7">
              <w:rPr>
                <w:rFonts w:eastAsia="Times New Roman" w:cs="Times New Roman"/>
                <w:iCs/>
                <w:sz w:val="18"/>
                <w:szCs w:val="18"/>
                <w:lang w:val="sr-Cyrl-CS"/>
              </w:rPr>
              <w:t>а средства</w:t>
            </w:r>
            <w:r w:rsidRPr="00092ED7">
              <w:rPr>
                <w:rFonts w:eastAsia="Times New Roman" w:cs="Times New Roman"/>
                <w:iCs/>
                <w:sz w:val="18"/>
                <w:szCs w:val="18"/>
                <w:lang w:val="sr-Cyrl-CS"/>
              </w:rPr>
              <w:t xml:space="preserve"> „Јачање и усклађивање административних капацитета за успостављање уређења тржишта пољопривредних производа</w:t>
            </w:r>
            <w:r w:rsidR="00D80E02" w:rsidRPr="00092ED7">
              <w:rPr>
                <w:rFonts w:cs="Times New Roman"/>
                <w:sz w:val="18"/>
                <w:szCs w:val="18"/>
                <w:lang w:val="sr-Cyrl-CS"/>
              </w:rPr>
              <w:t>”</w:t>
            </w:r>
          </w:p>
          <w:p w14:paraId="4FC86111"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Период импелементације </w:t>
            </w:r>
          </w:p>
          <w:p w14:paraId="5540AA82"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5/5/2022 – 5/5/2024</w:t>
            </w:r>
          </w:p>
          <w:p w14:paraId="2CDA1532"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Вредност уговора:</w:t>
            </w:r>
          </w:p>
          <w:p w14:paraId="456BDC15"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1.795.476,45 евра</w:t>
            </w:r>
          </w:p>
          <w:p w14:paraId="55E6DEF4" w14:textId="77777777" w:rsidR="00B30259" w:rsidRPr="00092ED7" w:rsidRDefault="00B30259" w:rsidP="00C57EAF">
            <w:pPr>
              <w:spacing w:after="60"/>
              <w:jc w:val="left"/>
              <w:rPr>
                <w:rFonts w:eastAsia="Times New Roman" w:cs="Times New Roman"/>
                <w:iCs/>
                <w:sz w:val="18"/>
                <w:szCs w:val="18"/>
                <w:lang w:val="sr-Cyrl-CS"/>
              </w:rPr>
            </w:pPr>
          </w:p>
          <w:p w14:paraId="150421DE"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ИПА </w:t>
            </w:r>
            <w:r w:rsidR="0021103E" w:rsidRPr="00092ED7">
              <w:rPr>
                <w:rFonts w:eastAsia="Times New Roman" w:cs="Times New Roman"/>
                <w:iCs/>
                <w:sz w:val="18"/>
                <w:szCs w:val="18"/>
                <w:lang w:val="sr-Cyrl-CS"/>
              </w:rPr>
              <w:t>20</w:t>
            </w:r>
            <w:r w:rsidRPr="00092ED7">
              <w:rPr>
                <w:rFonts w:eastAsia="Times New Roman" w:cs="Times New Roman"/>
                <w:iCs/>
                <w:sz w:val="18"/>
                <w:szCs w:val="18"/>
                <w:lang w:val="sr-Cyrl-CS"/>
              </w:rPr>
              <w:t>18 „Подршка успостављању система класификације трупова у складу са Заједничком пољоп</w:t>
            </w:r>
            <w:r w:rsidR="00BC7FFA" w:rsidRPr="00092ED7">
              <w:rPr>
                <w:rFonts w:eastAsia="Times New Roman" w:cs="Times New Roman"/>
                <w:iCs/>
                <w:sz w:val="18"/>
                <w:szCs w:val="18"/>
                <w:lang w:val="sr-Cyrl-CS"/>
              </w:rPr>
              <w:t>р</w:t>
            </w:r>
            <w:r w:rsidRPr="00092ED7">
              <w:rPr>
                <w:rFonts w:eastAsia="Times New Roman" w:cs="Times New Roman"/>
                <w:iCs/>
                <w:sz w:val="18"/>
                <w:szCs w:val="18"/>
                <w:lang w:val="sr-Cyrl-CS"/>
              </w:rPr>
              <w:t>ивредном политиком ЕУ”</w:t>
            </w:r>
          </w:p>
          <w:p w14:paraId="5A93F25A"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Период имплементације</w:t>
            </w:r>
          </w:p>
          <w:p w14:paraId="78C54314"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6/6/2022 – 12/6/2023</w:t>
            </w:r>
          </w:p>
          <w:p w14:paraId="42AB550B"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Вредност уговора:</w:t>
            </w:r>
          </w:p>
          <w:p w14:paraId="41EA6DB9" w14:textId="77777777" w:rsidR="00C57EAF" w:rsidRPr="00092ED7" w:rsidRDefault="00C57EAF" w:rsidP="00C57EAF">
            <w:pPr>
              <w:spacing w:after="60"/>
              <w:jc w:val="left"/>
              <w:rPr>
                <w:lang w:val="sr-Cyrl-CS"/>
              </w:rPr>
            </w:pPr>
            <w:r w:rsidRPr="00092ED7">
              <w:rPr>
                <w:rFonts w:eastAsia="Times New Roman" w:cs="Times New Roman"/>
                <w:iCs/>
                <w:sz w:val="18"/>
                <w:szCs w:val="18"/>
                <w:lang w:val="sr-Cyrl-CS"/>
              </w:rPr>
              <w:t>1.000.00,00 евра</w:t>
            </w:r>
          </w:p>
        </w:tc>
      </w:tr>
      <w:tr w:rsidR="00C57EAF" w:rsidRPr="00092ED7" w14:paraId="4B9ABFFA" w14:textId="77777777" w:rsidTr="00F50B50">
        <w:trPr>
          <w:trHeight w:val="977"/>
        </w:trPr>
        <w:tc>
          <w:tcPr>
            <w:tcW w:w="1635" w:type="dxa"/>
            <w:tcBorders>
              <w:top w:val="single" w:sz="6" w:space="0" w:color="000000"/>
              <w:left w:val="single" w:sz="6" w:space="0" w:color="000000"/>
              <w:bottom w:val="single" w:sz="6" w:space="0" w:color="000000"/>
              <w:right w:val="single" w:sz="6" w:space="0" w:color="000000"/>
            </w:tcBorders>
          </w:tcPr>
          <w:p w14:paraId="2551B818"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21. Унапређење стратешког оквира инфраструктуре квалитета и интеграције у јединствено тржиште ЕУ</w:t>
            </w:r>
          </w:p>
        </w:tc>
        <w:tc>
          <w:tcPr>
            <w:tcW w:w="1498" w:type="dxa"/>
            <w:tcBorders>
              <w:top w:val="single" w:sz="6" w:space="0" w:color="000000"/>
              <w:left w:val="single" w:sz="6" w:space="0" w:color="000000"/>
              <w:bottom w:val="single" w:sz="6" w:space="0" w:color="000000"/>
              <w:right w:val="single" w:sz="6" w:space="0" w:color="000000"/>
            </w:tcBorders>
          </w:tcPr>
          <w:p w14:paraId="4B1032A8"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shd w:val="clear" w:color="auto" w:fill="auto"/>
          </w:tcPr>
          <w:p w14:paraId="47742AE0" w14:textId="77777777" w:rsidR="00C57EAF" w:rsidRPr="00092ED7" w:rsidRDefault="00C57EAF" w:rsidP="00C57EAF">
            <w:pPr>
              <w:spacing w:after="60"/>
              <w:jc w:val="left"/>
              <w:rPr>
                <w:rFonts w:eastAsia="Times New Roman" w:cs="Times New Roman"/>
                <w:i/>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shd w:val="clear" w:color="auto" w:fill="auto"/>
          </w:tcPr>
          <w:p w14:paraId="4E9DB707" w14:textId="77777777" w:rsidR="00C57EAF" w:rsidRPr="00092ED7" w:rsidRDefault="00C57EAF" w:rsidP="00C57EAF">
            <w:pPr>
              <w:spacing w:after="60"/>
              <w:jc w:val="left"/>
              <w:rPr>
                <w:rFonts w:eastAsia="Times New Roman" w:cs="Times New Roman"/>
                <w:iCs/>
                <w:sz w:val="18"/>
                <w:szCs w:val="18"/>
                <w:lang w:val="sr-Cyrl-CS"/>
              </w:rPr>
            </w:pPr>
          </w:p>
        </w:tc>
        <w:tc>
          <w:tcPr>
            <w:tcW w:w="1932" w:type="dxa"/>
            <w:tcBorders>
              <w:top w:val="single" w:sz="6" w:space="0" w:color="000000"/>
              <w:left w:val="single" w:sz="6" w:space="0" w:color="000000"/>
              <w:bottom w:val="single" w:sz="6" w:space="0" w:color="000000"/>
              <w:right w:val="single" w:sz="6" w:space="0" w:color="000000"/>
            </w:tcBorders>
            <w:shd w:val="clear" w:color="auto" w:fill="auto"/>
          </w:tcPr>
          <w:p w14:paraId="138377B7"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7.3</w:t>
            </w:r>
            <w:r w:rsidRPr="00092ED7">
              <w:rPr>
                <w:rFonts w:eastAsia="Times New Roman" w:cs="Times New Roman"/>
                <w:bCs/>
                <w:sz w:val="18"/>
                <w:szCs w:val="18"/>
                <w:lang w:val="sr-Cyrl-CS"/>
              </w:rPr>
              <w:t xml:space="preserve"> До 2030. удвостручити глобалну стопу побољшања енергетске ефикасности</w:t>
            </w:r>
          </w:p>
          <w:p w14:paraId="359457BC"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ЦОР 9.2.</w:t>
            </w:r>
            <w:r w:rsidRPr="00092ED7">
              <w:rPr>
                <w:rFonts w:eastAsia="Times New Roman" w:cs="Times New Roman"/>
                <w:iCs/>
                <w:sz w:val="18"/>
                <w:szCs w:val="18"/>
                <w:lang w:val="sr-Cyrl-CS"/>
              </w:rPr>
              <w:t xml:space="preserve"> Промовисати инклузивну и одрживу индустријализацију и до 2030. године значајно повећати удео индустрије у стопи запослености и бруто домаћем производу, у складу са националним околностима.</w:t>
            </w:r>
          </w:p>
          <w:p w14:paraId="16F6A03D"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ЦОР 12.8.</w:t>
            </w:r>
            <w:r w:rsidRPr="00092ED7">
              <w:rPr>
                <w:rFonts w:eastAsia="Times New Roman" w:cs="Times New Roman"/>
                <w:iCs/>
                <w:sz w:val="18"/>
                <w:szCs w:val="18"/>
                <w:lang w:val="sr-Cyrl-CS"/>
              </w:rPr>
              <w:t xml:space="preserve"> До 2030. године осигурати да људи свуда имају релевантне информације и свест о одрживом развоју и стил</w:t>
            </w:r>
            <w:r w:rsidR="00E83FFC" w:rsidRPr="00092ED7">
              <w:rPr>
                <w:rFonts w:eastAsia="Times New Roman" w:cs="Times New Roman"/>
                <w:iCs/>
                <w:sz w:val="18"/>
                <w:szCs w:val="18"/>
                <w:lang w:val="sr-Cyrl-CS"/>
              </w:rPr>
              <w:t xml:space="preserve"> живота у хармонији са природом</w:t>
            </w:r>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14:paraId="0E6E0EF1"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Директан утицај на циљеве:</w:t>
            </w:r>
          </w:p>
          <w:p w14:paraId="2F3FF1AB"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
                <w:iCs/>
                <w:sz w:val="18"/>
                <w:szCs w:val="18"/>
                <w:lang w:val="sr-Cyrl-CS"/>
              </w:rPr>
              <w:t>циљ 41 Европског Зеленог договора</w:t>
            </w:r>
            <w:r w:rsidRPr="00092ED7">
              <w:rPr>
                <w:rFonts w:eastAsia="Times New Roman" w:cs="Times New Roman"/>
                <w:iCs/>
                <w:sz w:val="18"/>
                <w:szCs w:val="18"/>
                <w:lang w:val="sr-Cyrl-CS"/>
              </w:rPr>
              <w:t xml:space="preserve"> – Заинтересоване стране </w:t>
            </w:r>
            <w:r w:rsidRPr="00092ED7">
              <w:rPr>
                <w:rFonts w:eastAsia="Times New Roman" w:cs="Times New Roman"/>
                <w:bCs/>
                <w:iCs/>
                <w:sz w:val="18"/>
                <w:szCs w:val="18"/>
                <w:lang w:val="sr-Cyrl-CS"/>
              </w:rPr>
              <w:t>идентификују и исправљају неусклађено законодавство које смањује ефикасност у спровођењу Европског зеленог договора</w:t>
            </w:r>
          </w:p>
          <w:p w14:paraId="4326F6DA"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Cs/>
                <w:i/>
                <w:iCs/>
                <w:sz w:val="18"/>
                <w:szCs w:val="18"/>
                <w:lang w:val="sr-Cyrl-CS"/>
              </w:rPr>
              <w:t>Отварање</w:t>
            </w:r>
            <w:r w:rsidRPr="00092ED7">
              <w:rPr>
                <w:rFonts w:eastAsia="Times New Roman" w:cs="Times New Roman"/>
                <w:i/>
                <w:iCs/>
                <w:sz w:val="18"/>
                <w:szCs w:val="18"/>
                <w:lang w:val="sr-Cyrl-CS"/>
              </w:rPr>
              <w:t xml:space="preserve"> трговине, јачање конкурентности и укључивање у јединствено</w:t>
            </w:r>
            <w:r w:rsidRPr="00092ED7">
              <w:rPr>
                <w:rFonts w:eastAsia="Times New Roman" w:cs="Times New Roman"/>
                <w:iCs/>
                <w:sz w:val="18"/>
                <w:szCs w:val="18"/>
                <w:lang w:val="sr-Cyrl-CS"/>
              </w:rPr>
              <w:t xml:space="preserve"> </w:t>
            </w:r>
            <w:r w:rsidRPr="00092ED7">
              <w:rPr>
                <w:rFonts w:eastAsia="Times New Roman" w:cs="Times New Roman"/>
                <w:bCs/>
                <w:i/>
                <w:iCs/>
                <w:sz w:val="18"/>
                <w:szCs w:val="18"/>
                <w:lang w:val="sr-Cyrl-CS"/>
              </w:rPr>
              <w:t>европско тржиште доприносе интеграцији области животне средине и климе у национални правни оквир. Ово укључује имплементацију релевантних директива и стандарда ЕУ који се односе на одрживост и зелену агенду.</w:t>
            </w:r>
          </w:p>
          <w:p w14:paraId="48D8D8D8" w14:textId="77777777" w:rsidR="00C57EAF" w:rsidRPr="00092ED7" w:rsidRDefault="00C57EAF" w:rsidP="00C57EAF">
            <w:pPr>
              <w:spacing w:after="60"/>
              <w:jc w:val="left"/>
              <w:rPr>
                <w:rFonts w:eastAsia="Times New Roman" w:cs="Times New Roman"/>
                <w:iCs/>
                <w:sz w:val="18"/>
                <w:szCs w:val="18"/>
                <w:lang w:val="sr-Cyrl-CS"/>
              </w:rPr>
            </w:pPr>
          </w:p>
          <w:p w14:paraId="4203B388"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Индиректан утицај на циљеве:</w:t>
            </w:r>
          </w:p>
          <w:p w14:paraId="230B32D0"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циљ 30 ЗАЗБ</w:t>
            </w:r>
            <w:r w:rsidRPr="00092ED7">
              <w:rPr>
                <w:rFonts w:eastAsia="Times New Roman" w:cs="Times New Roman"/>
                <w:iCs/>
                <w:sz w:val="18"/>
                <w:szCs w:val="18"/>
                <w:lang w:val="sr-Cyrl-CS"/>
              </w:rPr>
              <w:t xml:space="preserve"> - Примена приступа индустријског екосистема како би се остварио еколошки одржив, уравнотежен економски опоравак</w:t>
            </w:r>
          </w:p>
          <w:p w14:paraId="7FA91732"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циљ 31 ЗАЗБ</w:t>
            </w:r>
            <w:r w:rsidRPr="00092ED7">
              <w:rPr>
                <w:rFonts w:eastAsia="Times New Roman" w:cs="Times New Roman"/>
                <w:iCs/>
                <w:sz w:val="18"/>
                <w:szCs w:val="18"/>
                <w:lang w:val="sr-Cyrl-CS"/>
              </w:rPr>
              <w:t xml:space="preserve"> - Развој стратегија циркуларне економије имајући у виду целокупни животни циклус производа</w:t>
            </w:r>
          </w:p>
          <w:p w14:paraId="14EBDDDD" w14:textId="77777777" w:rsidR="00002CB1" w:rsidRPr="00092ED7" w:rsidRDefault="00002CB1"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циљ 59 ЗАЗБ</w:t>
            </w:r>
            <w:r w:rsidRPr="00092ED7">
              <w:rPr>
                <w:rFonts w:eastAsia="Times New Roman" w:cs="Times New Roman"/>
                <w:iCs/>
                <w:sz w:val="18"/>
                <w:szCs w:val="18"/>
                <w:lang w:val="sr-Cyrl-CS"/>
              </w:rPr>
              <w:t xml:space="preserve"> - 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14:paraId="37AB3523"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циљ 13</w:t>
            </w:r>
            <w:r w:rsidRPr="00092ED7">
              <w:rPr>
                <w:rFonts w:eastAsia="Times New Roman" w:cs="Times New Roman"/>
                <w:iCs/>
                <w:sz w:val="18"/>
                <w:szCs w:val="18"/>
                <w:lang w:val="sr-Cyrl-CS"/>
              </w:rPr>
              <w:t xml:space="preserve"> </w:t>
            </w:r>
            <w:r w:rsidRPr="00092ED7">
              <w:rPr>
                <w:rFonts w:eastAsia="Times New Roman" w:cs="Times New Roman"/>
                <w:b/>
                <w:iCs/>
                <w:sz w:val="18"/>
                <w:szCs w:val="18"/>
                <w:lang w:val="sr-Cyrl-CS"/>
              </w:rPr>
              <w:t>Европског Зеленог договора</w:t>
            </w:r>
            <w:r w:rsidRPr="00092ED7">
              <w:rPr>
                <w:rFonts w:eastAsia="Times New Roman" w:cs="Times New Roman"/>
                <w:iCs/>
                <w:sz w:val="18"/>
                <w:szCs w:val="18"/>
                <w:lang w:val="sr-Cyrl-CS"/>
              </w:rPr>
              <w:t xml:space="preserve"> - Акциони план за циркуларну економију, укључујући иницијативу за одрживе производе и посебан нагласак на ресурсно интензивним секторима, као што су текстилни сектор, грађевинарство, сектор електронике и пластике</w:t>
            </w:r>
          </w:p>
          <w:p w14:paraId="3E224EFD" w14:textId="77777777" w:rsidR="001457A3" w:rsidRPr="00092ED7" w:rsidRDefault="001457A3" w:rsidP="00C57EAF">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Повећана употреба стандарда и сертификације производа, уз унапређење информисаности и доступности дигиталних услуга у вези са применом техничких прописа могу индиректно допринети хармонизацији (усаглашавању) са европским еколошким процедурама, стандардима, прописима и захтевима.</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453D207E"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 xml:space="preserve">Поглавље VI Озелењавање Западног Балкана – улагање у животну средину и климу </w:t>
            </w:r>
          </w:p>
          <w:p w14:paraId="551460C8"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Cs/>
                <w:sz w:val="18"/>
                <w:szCs w:val="18"/>
                <w:lang w:val="sr-Cyrl-CS"/>
              </w:rPr>
              <w:t>- Промоција одрживих образаца производње и система прехрамбених производа</w:t>
            </w:r>
            <w:r w:rsidRPr="00092ED7" w:rsidDel="00732482">
              <w:rPr>
                <w:rFonts w:eastAsia="Times New Roman" w:cs="Times New Roman"/>
                <w:bCs/>
                <w:sz w:val="18"/>
                <w:szCs w:val="18"/>
                <w:lang w:val="sr-Cyrl-CS"/>
              </w:rPr>
              <w:t xml:space="preserve"> </w:t>
            </w:r>
          </w:p>
          <w:p w14:paraId="09D1BECA" w14:textId="77777777" w:rsidR="00C57EAF" w:rsidRPr="00092ED7" w:rsidRDefault="00C57EAF" w:rsidP="00C57EAF">
            <w:pPr>
              <w:spacing w:after="60"/>
              <w:jc w:val="left"/>
              <w:rPr>
                <w:rFonts w:eastAsia="Times New Roman" w:cs="Times New Roman"/>
                <w:bCs/>
                <w:sz w:val="18"/>
                <w:szCs w:val="18"/>
                <w:lang w:val="sr-Cyrl-CS"/>
              </w:rPr>
            </w:pPr>
          </w:p>
          <w:p w14:paraId="4E90EE99"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Поглавље X Регионална економска интеграција и интеграција са ЕУ</w:t>
            </w:r>
          </w:p>
          <w:p w14:paraId="291E4BA9"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Cs/>
                <w:sz w:val="18"/>
                <w:szCs w:val="18"/>
                <w:lang w:val="sr-Cyrl-CS"/>
              </w:rPr>
              <w:t>- Интеграција тржишта и прекогранична трговину у региону и са Европском унијом</w:t>
            </w:r>
          </w:p>
          <w:p w14:paraId="0A495157"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Cs/>
                <w:sz w:val="18"/>
                <w:szCs w:val="18"/>
                <w:lang w:val="sr-Cyrl-CS"/>
              </w:rPr>
              <w:t>- Уклањање техничких баријера у трговини, уз истовремено обезбеђивање једнаких услова учешћа</w:t>
            </w:r>
          </w:p>
          <w:p w14:paraId="39C219E6"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Cs/>
                <w:sz w:val="18"/>
                <w:szCs w:val="18"/>
                <w:lang w:val="sr-Cyrl-CS"/>
              </w:rPr>
              <w:t>- Сарадња кроз Централноевропски спораз</w:t>
            </w:r>
            <w:r w:rsidR="00E83FFC" w:rsidRPr="00092ED7">
              <w:rPr>
                <w:rFonts w:eastAsia="Times New Roman" w:cs="Times New Roman"/>
                <w:bCs/>
                <w:sz w:val="18"/>
                <w:szCs w:val="18"/>
                <w:lang w:val="sr-Cyrl-CS"/>
              </w:rPr>
              <w:t>ум о слободној трговини (ЦЕФТА)</w:t>
            </w:r>
          </w:p>
        </w:tc>
        <w:tc>
          <w:tcPr>
            <w:tcW w:w="1559" w:type="dxa"/>
            <w:tcBorders>
              <w:top w:val="single" w:sz="6" w:space="0" w:color="000000"/>
              <w:left w:val="single" w:sz="6" w:space="0" w:color="000000"/>
              <w:bottom w:val="single" w:sz="6" w:space="0" w:color="000000"/>
              <w:right w:val="single" w:sz="6" w:space="0" w:color="000000"/>
            </w:tcBorders>
          </w:tcPr>
          <w:p w14:paraId="6668553C" w14:textId="2C6D0887" w:rsidR="00B30259" w:rsidRPr="00092ED7" w:rsidRDefault="00772627" w:rsidP="00B30259">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ИПА 2019 – EU4BE – </w:t>
            </w:r>
            <w:r w:rsidR="00B30259" w:rsidRPr="00092ED7">
              <w:rPr>
                <w:rFonts w:eastAsia="Times New Roman" w:cs="Times New Roman"/>
                <w:iCs/>
                <w:sz w:val="18"/>
                <w:szCs w:val="18"/>
                <w:lang w:val="sr-Cyrl-CS"/>
              </w:rPr>
              <w:t>ЕУ за боље пословно окружење – EU4BE</w:t>
            </w:r>
            <w:r w:rsidRPr="00092ED7">
              <w:rPr>
                <w:rFonts w:eastAsia="Times New Roman" w:cs="Times New Roman"/>
                <w:iCs/>
                <w:sz w:val="18"/>
                <w:szCs w:val="18"/>
                <w:lang w:val="sr-Cyrl-CS"/>
              </w:rPr>
              <w:t xml:space="preserve">, </w:t>
            </w:r>
            <w:r w:rsidR="00B30259" w:rsidRPr="00092ED7">
              <w:rPr>
                <w:rFonts w:eastAsia="Times New Roman" w:cs="Times New Roman"/>
                <w:iCs/>
                <w:sz w:val="18"/>
                <w:szCs w:val="18"/>
                <w:lang w:val="sr-Cyrl-CS"/>
              </w:rPr>
              <w:t>(</w:t>
            </w:r>
            <w:r w:rsidRPr="00092ED7">
              <w:rPr>
                <w:rFonts w:eastAsia="Times New Roman" w:cs="Times New Roman"/>
                <w:iCs/>
                <w:sz w:val="18"/>
                <w:szCs w:val="18"/>
                <w:lang w:val="sr-Cyrl-CS"/>
              </w:rPr>
              <w:t>пројекат Инфраструктура квалитета, фактори развоја конкурентности – припремне активности за унапређење стратешког и законодавног оквира</w:t>
            </w:r>
            <w:r w:rsidR="00B30259" w:rsidRPr="00092ED7">
              <w:rPr>
                <w:rFonts w:eastAsia="Times New Roman" w:cs="Times New Roman"/>
                <w:iCs/>
                <w:sz w:val="18"/>
                <w:szCs w:val="18"/>
                <w:lang w:val="sr-Cyrl-CS"/>
              </w:rPr>
              <w:t>)</w:t>
            </w:r>
          </w:p>
        </w:tc>
      </w:tr>
      <w:tr w:rsidR="00C57EAF" w:rsidRPr="00092ED7" w14:paraId="4E30F27A" w14:textId="77777777" w:rsidTr="00F50B50">
        <w:trPr>
          <w:trHeight w:val="977"/>
        </w:trPr>
        <w:tc>
          <w:tcPr>
            <w:tcW w:w="1635" w:type="dxa"/>
            <w:tcBorders>
              <w:top w:val="single" w:sz="6" w:space="0" w:color="000000"/>
              <w:left w:val="single" w:sz="6" w:space="0" w:color="000000"/>
              <w:bottom w:val="single" w:sz="6" w:space="0" w:color="000000"/>
              <w:right w:val="single" w:sz="6" w:space="0" w:color="000000"/>
            </w:tcBorders>
          </w:tcPr>
          <w:p w14:paraId="0AC3CA37"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22. Унапређење ефикасности здравственог система кроз дигитализацију процеса</w:t>
            </w:r>
          </w:p>
        </w:tc>
        <w:tc>
          <w:tcPr>
            <w:tcW w:w="1498" w:type="dxa"/>
            <w:tcBorders>
              <w:top w:val="single" w:sz="6" w:space="0" w:color="000000"/>
              <w:left w:val="single" w:sz="6" w:space="0" w:color="000000"/>
              <w:bottom w:val="single" w:sz="6" w:space="0" w:color="000000"/>
              <w:right w:val="single" w:sz="6" w:space="0" w:color="000000"/>
            </w:tcBorders>
          </w:tcPr>
          <w:p w14:paraId="14316524"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shd w:val="clear" w:color="auto" w:fill="auto"/>
          </w:tcPr>
          <w:p w14:paraId="4601E2A8" w14:textId="77777777" w:rsidR="00C57EAF" w:rsidRPr="00092ED7" w:rsidRDefault="00C57EAF" w:rsidP="00C57EAF">
            <w:pPr>
              <w:spacing w:after="60"/>
              <w:jc w:val="left"/>
              <w:rPr>
                <w:rFonts w:eastAsia="Times New Roman" w:cs="Times New Roman"/>
                <w:b/>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shd w:val="clear" w:color="auto" w:fill="auto"/>
          </w:tcPr>
          <w:p w14:paraId="516112EF" w14:textId="77777777" w:rsidR="00C57EAF" w:rsidRPr="00092ED7" w:rsidRDefault="00E83FFC" w:rsidP="00E83FFC">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w:t>
            </w:r>
            <w:r w:rsidR="00C57EAF" w:rsidRPr="00092ED7">
              <w:rPr>
                <w:rFonts w:eastAsia="Times New Roman" w:cs="Times New Roman"/>
                <w:iCs/>
                <w:sz w:val="18"/>
                <w:szCs w:val="18"/>
                <w:lang w:val="sr-Cyrl-CS"/>
              </w:rPr>
              <w:t>Унапредити институционалне, административне и техничке капацитете система здравствене заштите</w:t>
            </w:r>
          </w:p>
        </w:tc>
        <w:tc>
          <w:tcPr>
            <w:tcW w:w="1932" w:type="dxa"/>
            <w:tcBorders>
              <w:top w:val="single" w:sz="6" w:space="0" w:color="000000"/>
              <w:left w:val="single" w:sz="6" w:space="0" w:color="000000"/>
              <w:bottom w:val="single" w:sz="6" w:space="0" w:color="000000"/>
              <w:right w:val="single" w:sz="6" w:space="0" w:color="000000"/>
            </w:tcBorders>
            <w:shd w:val="clear" w:color="auto" w:fill="auto"/>
          </w:tcPr>
          <w:p w14:paraId="142034BE"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ЦОР 3.8.</w:t>
            </w:r>
            <w:r w:rsidRPr="00092ED7">
              <w:rPr>
                <w:rFonts w:eastAsia="Times New Roman" w:cs="Times New Roman"/>
                <w:bCs/>
                <w:sz w:val="18"/>
                <w:szCs w:val="18"/>
                <w:lang w:val="sr-Cyrl-CS"/>
              </w:rPr>
              <w:t xml:space="preserve"> Постићи универзални обухват здравственом заштитом, укључујући заштиту од финансијског ризика, доступност квалитетних основних здравствених услуга и доступност безбедних, делотворних, квалитетних и приступачних основних лекова и вакцина за све</w:t>
            </w:r>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14:paraId="32940F4D"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Cs/>
                <w:iCs/>
                <w:sz w:val="18"/>
                <w:szCs w:val="18"/>
                <w:lang w:val="sr-Cyrl-CS"/>
              </w:rPr>
              <w:t xml:space="preserve">Индиректан утицај на </w:t>
            </w:r>
            <w:r w:rsidRPr="00092ED7">
              <w:rPr>
                <w:rFonts w:eastAsia="Times New Roman" w:cs="Times New Roman"/>
                <w:b/>
                <w:bCs/>
                <w:iCs/>
                <w:sz w:val="18"/>
                <w:szCs w:val="18"/>
                <w:lang w:val="sr-Cyrl-CS"/>
              </w:rPr>
              <w:t xml:space="preserve">циљ 59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r w:rsidRPr="00092ED7">
              <w:rPr>
                <w:rFonts w:eastAsia="Times New Roman" w:cs="Times New Roman"/>
                <w:b/>
                <w:bCs/>
                <w:iCs/>
                <w:sz w:val="18"/>
                <w:szCs w:val="18"/>
                <w:lang w:val="sr-Cyrl-CS"/>
              </w:rPr>
              <w:t>.</w:t>
            </w:r>
          </w:p>
          <w:p w14:paraId="751BD23D"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i/>
                <w:iCs/>
                <w:sz w:val="18"/>
                <w:szCs w:val="18"/>
                <w:lang w:val="sr-Cyrl-CS"/>
              </w:rPr>
              <w:t>Дигитализација би требало да утиче на смањење употребе папира и других материјала за штампање, чиме се смањује отпад.</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475D6320"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iCs/>
                <w:sz w:val="18"/>
                <w:szCs w:val="18"/>
                <w:lang w:val="sr-Cyrl-CS"/>
              </w:rPr>
              <w:t xml:space="preserve">Поглавље </w:t>
            </w:r>
            <w:r w:rsidRPr="00092ED7">
              <w:rPr>
                <w:rFonts w:eastAsia="Times New Roman" w:cs="Times New Roman"/>
                <w:b/>
                <w:bCs/>
                <w:iCs/>
                <w:sz w:val="18"/>
                <w:szCs w:val="18"/>
                <w:lang w:val="sr-Cyrl-CS"/>
              </w:rPr>
              <w:t>VII Улагање у дигиталну будућност,</w:t>
            </w:r>
          </w:p>
          <w:p w14:paraId="64B08AEE"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xml:space="preserve">- Подршка за развој дигиталних вештина, као што су е-здравствене услуге </w:t>
            </w:r>
          </w:p>
          <w:p w14:paraId="63CEB12A"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Cs/>
                <w:iCs/>
                <w:sz w:val="18"/>
                <w:szCs w:val="18"/>
                <w:lang w:val="sr-Cyrl-CS"/>
              </w:rPr>
              <w:t>- Одредити приоритете и уводити дигитализацију у главне токове националне политике</w:t>
            </w:r>
          </w:p>
        </w:tc>
        <w:tc>
          <w:tcPr>
            <w:tcW w:w="1559" w:type="dxa"/>
            <w:tcBorders>
              <w:top w:val="single" w:sz="6" w:space="0" w:color="000000"/>
              <w:left w:val="single" w:sz="6" w:space="0" w:color="000000"/>
              <w:bottom w:val="single" w:sz="6" w:space="0" w:color="000000"/>
              <w:right w:val="single" w:sz="6" w:space="0" w:color="000000"/>
            </w:tcBorders>
          </w:tcPr>
          <w:p w14:paraId="0B6F76E5" w14:textId="6DECFCE1" w:rsidR="00C57EAF" w:rsidRPr="00092ED7" w:rsidRDefault="00C57EAF" w:rsidP="00B30259">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ИПА </w:t>
            </w:r>
            <w:r w:rsidR="00B30259" w:rsidRPr="00092ED7">
              <w:rPr>
                <w:rFonts w:eastAsia="Times New Roman" w:cs="Times New Roman"/>
                <w:iCs/>
                <w:sz w:val="18"/>
                <w:szCs w:val="18"/>
                <w:lang w:val="sr-Cyrl-CS"/>
              </w:rPr>
              <w:t>2021</w:t>
            </w:r>
          </w:p>
        </w:tc>
      </w:tr>
    </w:tbl>
    <w:p w14:paraId="46D31081" w14:textId="77777777" w:rsidR="00B11AE5" w:rsidRPr="00092ED7" w:rsidRDefault="00B11AE5" w:rsidP="00D030D6">
      <w:pPr>
        <w:spacing w:after="60"/>
        <w:rPr>
          <w:w w:val="110"/>
          <w:lang w:val="sr-Cyrl-CS"/>
        </w:rPr>
      </w:pPr>
    </w:p>
    <w:p w14:paraId="2A2D0B11" w14:textId="77777777" w:rsidR="00B11AE5" w:rsidRPr="00092ED7" w:rsidRDefault="00B11AE5">
      <w:pPr>
        <w:spacing w:after="160" w:line="259" w:lineRule="auto"/>
        <w:jc w:val="left"/>
        <w:rPr>
          <w:w w:val="110"/>
          <w:lang w:val="sr-Cyrl-CS"/>
        </w:rPr>
      </w:pPr>
      <w:r w:rsidRPr="00092ED7">
        <w:rPr>
          <w:w w:val="110"/>
          <w:lang w:val="sr-Cyrl-CS"/>
        </w:rPr>
        <w:br w:type="page"/>
      </w:r>
    </w:p>
    <w:p w14:paraId="1D0E5BBA" w14:textId="77777777" w:rsidR="00B11AE5" w:rsidRPr="00092ED7" w:rsidRDefault="00B11AE5" w:rsidP="000B5CBA">
      <w:pPr>
        <w:keepNext/>
        <w:keepLines/>
        <w:spacing w:after="240"/>
        <w:outlineLvl w:val="0"/>
        <w:rPr>
          <w:b/>
          <w:w w:val="110"/>
          <w:lang w:val="sr-Cyrl-CS"/>
        </w:rPr>
      </w:pPr>
      <w:bookmarkStart w:id="185" w:name="_Toc124174842"/>
      <w:bookmarkStart w:id="186" w:name="_Toc126218660"/>
      <w:r w:rsidRPr="00092ED7">
        <w:rPr>
          <w:b/>
          <w:w w:val="110"/>
          <w:lang w:val="sr-Cyrl-CS"/>
        </w:rPr>
        <w:t>Анекс 3</w:t>
      </w:r>
      <w:r w:rsidR="00E34561" w:rsidRPr="00092ED7">
        <w:rPr>
          <w:b/>
          <w:w w:val="110"/>
          <w:lang w:val="sr-Cyrl-CS"/>
        </w:rPr>
        <w:t xml:space="preserve"> -</w:t>
      </w:r>
      <w:r w:rsidR="00E83FFC" w:rsidRPr="00092ED7">
        <w:rPr>
          <w:b/>
          <w:w w:val="110"/>
          <w:lang w:val="sr-Cyrl-CS"/>
        </w:rPr>
        <w:t xml:space="preserve"> Екстерна контрибуција за ЕРП 2023-2025</w:t>
      </w:r>
      <w:bookmarkEnd w:id="185"/>
      <w:bookmarkEnd w:id="186"/>
    </w:p>
    <w:tbl>
      <w:tblPr>
        <w:tblStyle w:val="TableGrid"/>
        <w:tblW w:w="0" w:type="auto"/>
        <w:tblLook w:val="04A0" w:firstRow="1" w:lastRow="0" w:firstColumn="1" w:lastColumn="0" w:noHBand="0" w:noVBand="1"/>
      </w:tblPr>
      <w:tblGrid>
        <w:gridCol w:w="2789"/>
        <w:gridCol w:w="2789"/>
        <w:gridCol w:w="4198"/>
        <w:gridCol w:w="4172"/>
      </w:tblGrid>
      <w:tr w:rsidR="009E7AB4" w:rsidRPr="00092ED7" w14:paraId="4157F26E" w14:textId="77777777" w:rsidTr="009E7AB4">
        <w:trPr>
          <w:cnfStyle w:val="100000000000" w:firstRow="1" w:lastRow="0" w:firstColumn="0" w:lastColumn="0" w:oddVBand="0" w:evenVBand="0" w:oddHBand="0" w:evenHBand="0" w:firstRowFirstColumn="0" w:firstRowLastColumn="0" w:lastRowFirstColumn="0" w:lastRowLastColumn="0"/>
        </w:trPr>
        <w:tc>
          <w:tcPr>
            <w:tcW w:w="2789" w:type="dxa"/>
          </w:tcPr>
          <w:p w14:paraId="4AE1AC29" w14:textId="77777777" w:rsidR="009E7AB4" w:rsidRPr="00092ED7" w:rsidRDefault="009E7AB4" w:rsidP="009E7AB4">
            <w:pPr>
              <w:spacing w:before="0" w:after="0"/>
              <w:jc w:val="center"/>
              <w:rPr>
                <w:rFonts w:cs="Times New Roman"/>
                <w:b w:val="0"/>
                <w:sz w:val="20"/>
                <w:lang w:val="sr-Cyrl-CS"/>
              </w:rPr>
            </w:pPr>
            <w:r w:rsidRPr="00092ED7">
              <w:rPr>
                <w:rFonts w:cs="Times New Roman"/>
                <w:sz w:val="20"/>
                <w:lang w:val="sr-Cyrl-CS"/>
              </w:rPr>
              <w:t>Област/ врста коментара</w:t>
            </w:r>
          </w:p>
        </w:tc>
        <w:tc>
          <w:tcPr>
            <w:tcW w:w="2789" w:type="dxa"/>
          </w:tcPr>
          <w:p w14:paraId="4E968692" w14:textId="77777777" w:rsidR="009E7AB4" w:rsidRPr="00092ED7" w:rsidRDefault="009E7AB4" w:rsidP="009E7AB4">
            <w:pPr>
              <w:spacing w:before="0" w:after="0"/>
              <w:jc w:val="center"/>
              <w:rPr>
                <w:rFonts w:cs="Times New Roman"/>
                <w:b w:val="0"/>
                <w:sz w:val="20"/>
                <w:lang w:val="sr-Cyrl-CS"/>
              </w:rPr>
            </w:pPr>
            <w:r w:rsidRPr="00092ED7">
              <w:rPr>
                <w:rFonts w:cs="Times New Roman"/>
                <w:sz w:val="20"/>
                <w:lang w:val="sr-Cyrl-CS"/>
              </w:rPr>
              <w:t>Коментар доставио (институција и датум)</w:t>
            </w:r>
          </w:p>
        </w:tc>
        <w:tc>
          <w:tcPr>
            <w:tcW w:w="4198" w:type="dxa"/>
          </w:tcPr>
          <w:p w14:paraId="7FB57B88" w14:textId="77777777" w:rsidR="009E7AB4" w:rsidRPr="00092ED7" w:rsidRDefault="009E7AB4" w:rsidP="009E7AB4">
            <w:pPr>
              <w:spacing w:before="0" w:after="0"/>
              <w:jc w:val="center"/>
              <w:rPr>
                <w:rFonts w:cs="Times New Roman"/>
                <w:b w:val="0"/>
                <w:sz w:val="20"/>
                <w:lang w:val="sr-Cyrl-CS"/>
              </w:rPr>
            </w:pPr>
            <w:r w:rsidRPr="00092ED7">
              <w:rPr>
                <w:rFonts w:cs="Times New Roman"/>
                <w:sz w:val="20"/>
                <w:lang w:val="sr-Cyrl-CS"/>
              </w:rPr>
              <w:t>Коментар</w:t>
            </w:r>
          </w:p>
          <w:p w14:paraId="70511135" w14:textId="77777777" w:rsidR="009E7AB4" w:rsidRPr="00092ED7" w:rsidRDefault="009E7AB4" w:rsidP="009E7AB4">
            <w:pPr>
              <w:spacing w:before="0" w:after="0"/>
              <w:jc w:val="center"/>
              <w:rPr>
                <w:rFonts w:cs="Times New Roman"/>
                <w:b w:val="0"/>
                <w:sz w:val="20"/>
                <w:lang w:val="sr-Cyrl-CS"/>
              </w:rPr>
            </w:pPr>
            <w:r w:rsidRPr="00092ED7">
              <w:rPr>
                <w:rFonts w:cs="Times New Roman"/>
                <w:sz w:val="20"/>
                <w:lang w:val="sr-Cyrl-CS"/>
              </w:rPr>
              <w:t>(главне сугестије и примедбе укратко)</w:t>
            </w:r>
          </w:p>
        </w:tc>
        <w:tc>
          <w:tcPr>
            <w:tcW w:w="4172" w:type="dxa"/>
          </w:tcPr>
          <w:p w14:paraId="710E0162" w14:textId="77777777" w:rsidR="009E7AB4" w:rsidRPr="00092ED7" w:rsidRDefault="009E7AB4" w:rsidP="009E7AB4">
            <w:pPr>
              <w:spacing w:before="0" w:after="0"/>
              <w:rPr>
                <w:rFonts w:cs="Times New Roman"/>
                <w:b w:val="0"/>
                <w:sz w:val="20"/>
                <w:lang w:val="sr-Cyrl-CS"/>
              </w:rPr>
            </w:pPr>
            <w:r w:rsidRPr="00092ED7">
              <w:rPr>
                <w:rFonts w:cs="Times New Roman"/>
                <w:sz w:val="20"/>
                <w:lang w:val="sr-Cyrl-CS"/>
              </w:rPr>
              <w:t>Статус коментара /Образложење за прихаватање или неприхватање коментара</w:t>
            </w:r>
          </w:p>
        </w:tc>
      </w:tr>
      <w:tr w:rsidR="009E7AB4" w:rsidRPr="00092ED7" w14:paraId="014FF006" w14:textId="77777777" w:rsidTr="009E7AB4">
        <w:trPr>
          <w:trHeight w:val="2131"/>
        </w:trPr>
        <w:tc>
          <w:tcPr>
            <w:tcW w:w="2789" w:type="dxa"/>
          </w:tcPr>
          <w:p w14:paraId="65FC3A1A" w14:textId="77777777" w:rsidR="009E7AB4" w:rsidRPr="00092ED7" w:rsidRDefault="009E7AB4" w:rsidP="009E7AB4">
            <w:pPr>
              <w:spacing w:before="0" w:after="0"/>
              <w:rPr>
                <w:rFonts w:cs="Times New Roman"/>
                <w:b/>
                <w:sz w:val="20"/>
                <w:lang w:val="sr-Cyrl-CS"/>
              </w:rPr>
            </w:pPr>
            <w:r w:rsidRPr="00092ED7">
              <w:rPr>
                <w:rFonts w:cs="Times New Roman"/>
                <w:b/>
                <w:sz w:val="20"/>
                <w:lang w:val="sr-Cyrl-CS"/>
              </w:rPr>
              <w:t>Документ ЕРП 2023- 2025, Општи коментари</w:t>
            </w:r>
          </w:p>
        </w:tc>
        <w:tc>
          <w:tcPr>
            <w:tcW w:w="2789" w:type="dxa"/>
          </w:tcPr>
          <w:p w14:paraId="184DF6FA" w14:textId="77777777" w:rsidR="009E7AB4" w:rsidRPr="00092ED7" w:rsidRDefault="002307CC" w:rsidP="002307CC">
            <w:pPr>
              <w:spacing w:before="0" w:after="0"/>
              <w:rPr>
                <w:rFonts w:cs="Times New Roman"/>
                <w:sz w:val="20"/>
                <w:lang w:val="sr-Cyrl-CS"/>
              </w:rPr>
            </w:pPr>
            <w:r w:rsidRPr="00092ED7">
              <w:rPr>
                <w:rFonts w:cs="Times New Roman"/>
                <w:sz w:val="20"/>
                <w:lang w:val="sr-Cyrl-CS"/>
              </w:rPr>
              <w:t xml:space="preserve">Међусекторска радна </w:t>
            </w:r>
            <w:r w:rsidR="009E7AB4" w:rsidRPr="00092ED7">
              <w:rPr>
                <w:rFonts w:cs="Times New Roman"/>
                <w:sz w:val="20"/>
                <w:lang w:val="sr-Cyrl-CS"/>
              </w:rPr>
              <w:t>групa за ЕРП Националног конвента о ЕУ, достављено електронским путем 26. децембрa 2022.</w:t>
            </w:r>
          </w:p>
        </w:tc>
        <w:tc>
          <w:tcPr>
            <w:tcW w:w="4198" w:type="dxa"/>
          </w:tcPr>
          <w:p w14:paraId="02088E25" w14:textId="51D97C0E" w:rsidR="009E7AB4" w:rsidRPr="00092ED7" w:rsidRDefault="009E7AB4" w:rsidP="009E7AB4">
            <w:pPr>
              <w:spacing w:before="0" w:after="0"/>
              <w:rPr>
                <w:rFonts w:cs="Times New Roman"/>
                <w:sz w:val="20"/>
                <w:lang w:val="sr-Cyrl-CS"/>
              </w:rPr>
            </w:pPr>
            <w:r w:rsidRPr="00092ED7">
              <w:rPr>
                <w:rFonts w:cs="Times New Roman"/>
                <w:sz w:val="20"/>
                <w:lang w:val="sr-Cyrl-CS"/>
              </w:rPr>
              <w:t>Документи развојног планирања као што су План развоја, Инвестициони план, који су плански документи најширег обухвата не постоје, стога је већина изазова и мера у ЕРП-у за 2023-2025. годину, подстицајне и институционално управљачке природе, и не претходе им мере јавних политика које су регулаторне природе (Закон о планском систему Р</w:t>
            </w:r>
            <w:r w:rsidR="00ED2B9F" w:rsidRPr="00092ED7">
              <w:rPr>
                <w:rFonts w:cs="Times New Roman"/>
                <w:sz w:val="20"/>
                <w:lang w:val="sr-Cyrl-CS"/>
              </w:rPr>
              <w:t>епублике Србије</w:t>
            </w:r>
            <w:r w:rsidRPr="00092ED7">
              <w:rPr>
                <w:rFonts w:cs="Times New Roman"/>
                <w:sz w:val="20"/>
                <w:lang w:val="sr-Cyrl-CS"/>
              </w:rPr>
              <w:t>).</w:t>
            </w:r>
          </w:p>
        </w:tc>
        <w:tc>
          <w:tcPr>
            <w:tcW w:w="4172" w:type="dxa"/>
          </w:tcPr>
          <w:p w14:paraId="1D41D332"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Тренутно се припремају подзаконски акти који утврђују методологију припреме Плана развоја, који предвиђа Закон о планском систему. ЕРП представља стратешки документ који обухвата приоритетне реформе представљене у стратешким и планским документима различитих политика, чиме тренутно представља кровни документ у области економског развоја.</w:t>
            </w:r>
          </w:p>
        </w:tc>
      </w:tr>
      <w:tr w:rsidR="009E7AB4" w:rsidRPr="00092ED7" w14:paraId="23737E0D" w14:textId="77777777" w:rsidTr="009E7AB4">
        <w:tc>
          <w:tcPr>
            <w:tcW w:w="5578" w:type="dxa"/>
            <w:gridSpan w:val="2"/>
            <w:vMerge w:val="restart"/>
          </w:tcPr>
          <w:p w14:paraId="72B7CBE7" w14:textId="77777777" w:rsidR="009E7AB4" w:rsidRPr="00092ED7" w:rsidRDefault="009E7AB4" w:rsidP="009E7AB4">
            <w:pPr>
              <w:spacing w:before="0" w:after="0"/>
              <w:rPr>
                <w:rFonts w:cs="Times New Roman"/>
                <w:sz w:val="20"/>
                <w:lang w:val="sr-Cyrl-CS"/>
              </w:rPr>
            </w:pPr>
          </w:p>
        </w:tc>
        <w:tc>
          <w:tcPr>
            <w:tcW w:w="4198" w:type="dxa"/>
          </w:tcPr>
          <w:p w14:paraId="10163FD4"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ЕРП припремати на начин да буду представљени показатељи учинака, а не само показатељи резултата.</w:t>
            </w:r>
          </w:p>
        </w:tc>
        <w:tc>
          <w:tcPr>
            <w:tcW w:w="4172" w:type="dxa"/>
          </w:tcPr>
          <w:p w14:paraId="409B5E0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Коментар није применљив. Документ ЕРП се припрема према смерницама које прописује ЕК, док је према Закону о планском систему искључен из обавеза за припрему документа јавних политика укључујући и обавезе у области приказа индикатора. Смернице ЕК за припрему ЕРП изричито налажу израду показатеља резултата, те смо у обавези да пратимо ове смернице.</w:t>
            </w:r>
          </w:p>
        </w:tc>
      </w:tr>
      <w:tr w:rsidR="009E7AB4" w:rsidRPr="00092ED7" w14:paraId="0F99137A" w14:textId="77777777" w:rsidTr="009E7AB4">
        <w:tc>
          <w:tcPr>
            <w:tcW w:w="5578" w:type="dxa"/>
            <w:gridSpan w:val="2"/>
            <w:vMerge/>
          </w:tcPr>
          <w:p w14:paraId="20B77917" w14:textId="77777777" w:rsidR="009E7AB4" w:rsidRPr="00092ED7" w:rsidRDefault="009E7AB4" w:rsidP="009E7AB4">
            <w:pPr>
              <w:spacing w:before="0" w:after="0"/>
              <w:rPr>
                <w:rFonts w:cs="Times New Roman"/>
                <w:sz w:val="20"/>
                <w:lang w:val="sr-Cyrl-CS"/>
              </w:rPr>
            </w:pPr>
          </w:p>
        </w:tc>
        <w:tc>
          <w:tcPr>
            <w:tcW w:w="4198" w:type="dxa"/>
          </w:tcPr>
          <w:p w14:paraId="39AD1BF5" w14:textId="20965322" w:rsidR="009E7AB4" w:rsidRPr="00092ED7" w:rsidRDefault="009E7AB4" w:rsidP="009E7AB4">
            <w:pPr>
              <w:spacing w:before="0" w:after="0"/>
              <w:rPr>
                <w:rFonts w:cs="Times New Roman"/>
                <w:sz w:val="20"/>
                <w:lang w:val="sr-Cyrl-CS"/>
              </w:rPr>
            </w:pPr>
            <w:r w:rsidRPr="00092ED7">
              <w:rPr>
                <w:rFonts w:cs="Times New Roman"/>
                <w:sz w:val="20"/>
                <w:lang w:val="sr-Cyrl-CS"/>
              </w:rPr>
              <w:t>ЕРП припремати на начин да буде јасно исказан утицај структурних реформи у периоду за који се оне доносе, на смањење регионалних диспаритета у</w:t>
            </w:r>
            <w:r w:rsidR="003B5902" w:rsidRPr="00092ED7">
              <w:rPr>
                <w:rFonts w:cs="Times New Roman"/>
                <w:sz w:val="20"/>
                <w:lang w:val="sr-Cyrl-CS"/>
              </w:rPr>
              <w:t xml:space="preserve"> Републици</w:t>
            </w:r>
            <w:r w:rsidRPr="00092ED7">
              <w:rPr>
                <w:rFonts w:cs="Times New Roman"/>
                <w:sz w:val="20"/>
                <w:lang w:val="sr-Cyrl-CS"/>
              </w:rPr>
              <w:t xml:space="preserve"> Србији.</w:t>
            </w:r>
          </w:p>
        </w:tc>
        <w:tc>
          <w:tcPr>
            <w:tcW w:w="4172" w:type="dxa"/>
          </w:tcPr>
          <w:p w14:paraId="41164D1C"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Утицај структурних реформи на регионални развој је изузетно значајан и било би корисно приказати га за све СР. Тренутно је ова област приказана само у појединим СР. Договорен је наставак сарадње са НКЕУ у наредном ЕРП циклусу, како би се адекватно одговорило на овај предлог.</w:t>
            </w:r>
          </w:p>
        </w:tc>
      </w:tr>
      <w:tr w:rsidR="009E7AB4" w:rsidRPr="00092ED7" w14:paraId="566DB92E" w14:textId="77777777" w:rsidTr="009E7AB4">
        <w:tc>
          <w:tcPr>
            <w:tcW w:w="5578" w:type="dxa"/>
            <w:gridSpan w:val="2"/>
            <w:vMerge/>
          </w:tcPr>
          <w:p w14:paraId="7E8CDCCC" w14:textId="77777777" w:rsidR="009E7AB4" w:rsidRPr="00092ED7" w:rsidRDefault="009E7AB4" w:rsidP="009E7AB4">
            <w:pPr>
              <w:spacing w:before="0" w:after="0"/>
              <w:rPr>
                <w:rFonts w:cs="Times New Roman"/>
                <w:sz w:val="20"/>
                <w:lang w:val="sr-Cyrl-CS"/>
              </w:rPr>
            </w:pPr>
          </w:p>
        </w:tc>
        <w:tc>
          <w:tcPr>
            <w:tcW w:w="4198" w:type="dxa"/>
          </w:tcPr>
          <w:p w14:paraId="7CFF882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Поједине структурне реформе су у делу активности до детаља описане, док су друге доста уопштене, што би требало избећи у наредном циклусу.</w:t>
            </w:r>
          </w:p>
        </w:tc>
        <w:tc>
          <w:tcPr>
            <w:tcW w:w="4172" w:type="dxa"/>
          </w:tcPr>
          <w:p w14:paraId="721623F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Приликом описа активности СР узима се у обзир њихова сложеност, трајање и садржај, као и политике на које се односе, што све детерминише могућности за ниво приказаних детаља у описима активности. Дефинисању активности СР посвећује се у сваком циклусу посебна пажња, имајући у виду да њихово адекватно формулисање значајно олакшава и приказивање финансијских ефеката СР, тако да је овај коментар уважен, а биће релевантан и за наредни циклус. </w:t>
            </w:r>
          </w:p>
        </w:tc>
      </w:tr>
      <w:tr w:rsidR="009E7AB4" w:rsidRPr="00092ED7" w14:paraId="55D015F6" w14:textId="77777777" w:rsidTr="009E7AB4">
        <w:tc>
          <w:tcPr>
            <w:tcW w:w="2789" w:type="dxa"/>
          </w:tcPr>
          <w:p w14:paraId="4A65F174"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СР у области рада и запошљавања, општи коментари</w:t>
            </w:r>
          </w:p>
        </w:tc>
        <w:tc>
          <w:tcPr>
            <w:tcW w:w="2789" w:type="dxa"/>
          </w:tcPr>
          <w:p w14:paraId="43ECBD84" w14:textId="04862F93"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УНИЦЕФ у </w:t>
            </w:r>
            <w:r w:rsidR="003B5902" w:rsidRPr="00092ED7">
              <w:rPr>
                <w:rFonts w:cs="Times New Roman"/>
                <w:sz w:val="20"/>
                <w:lang w:val="sr-Cyrl-CS"/>
              </w:rPr>
              <w:t xml:space="preserve">Републици </w:t>
            </w:r>
            <w:r w:rsidRPr="00092ED7">
              <w:rPr>
                <w:rFonts w:cs="Times New Roman"/>
                <w:sz w:val="20"/>
                <w:lang w:val="sr-Cyrl-CS"/>
              </w:rPr>
              <w:t xml:space="preserve">Србији, достављено електронским путем 28. октобра 2022. </w:t>
            </w:r>
          </w:p>
        </w:tc>
        <w:tc>
          <w:tcPr>
            <w:tcW w:w="4198" w:type="dxa"/>
          </w:tcPr>
          <w:p w14:paraId="6C2F4AA4" w14:textId="022196D1"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УНИЦЕФ поздравља напредак остварен на унапређењу прилика за младе и њихове запошљивости, и похваљујемо Владу због отпочињања процеса усмереног ка спровођењу програма Гаранција за младе. Млади представљају садашњост и будућност </w:t>
            </w:r>
            <w:r w:rsidR="003B5902" w:rsidRPr="00092ED7">
              <w:rPr>
                <w:rFonts w:cs="Times New Roman"/>
                <w:sz w:val="20"/>
                <w:lang w:val="sr-Cyrl-CS"/>
              </w:rPr>
              <w:t xml:space="preserve">Републике </w:t>
            </w:r>
            <w:r w:rsidRPr="00092ED7">
              <w:rPr>
                <w:rFonts w:cs="Times New Roman"/>
                <w:sz w:val="20"/>
                <w:lang w:val="sr-Cyrl-CS"/>
              </w:rPr>
              <w:t xml:space="preserve">Србије и улагање у младе сада донеће значајну економску корист. Како би се то постигло, важну улогу играју законодавне промене, укључујући усвајање Закона о радној пракси, Закона о волонтирању, као и Стратегије за младе РС у циљу унапређења повољног окружења.  </w:t>
            </w:r>
          </w:p>
          <w:p w14:paraId="6D4F5FAD" w14:textId="28DDA9AB"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Нацрт Акционог плана за Гаранције за младе представља добар први корак и треба да се заврши и усвоји како би Влада отпочела спровођење овог кључног инструмента политике који ће омогућити </w:t>
            </w:r>
            <w:r w:rsidR="003B5902" w:rsidRPr="00092ED7">
              <w:rPr>
                <w:rFonts w:cs="Times New Roman"/>
                <w:sz w:val="20"/>
                <w:lang w:val="sr-Cyrl-CS"/>
              </w:rPr>
              <w:t xml:space="preserve">Републици </w:t>
            </w:r>
            <w:r w:rsidRPr="00092ED7">
              <w:rPr>
                <w:rFonts w:cs="Times New Roman"/>
                <w:sz w:val="20"/>
                <w:lang w:val="sr-Cyrl-CS"/>
              </w:rPr>
              <w:t xml:space="preserve">Србији да боље оспособи своје младе за тржиште рада, нарочите младе из маргинализованих средина. Гаранцијама за младе су предвиђене опсежне реформе и УНИЦЕФ подстиче Владу да посвети посебну пажњу унапређењу у следећим областима: </w:t>
            </w:r>
          </w:p>
          <w:p w14:paraId="1916517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потребан је даљи развој националног система за каријерно вођење и саветовање у циљу спречавања осипања, као и развој модела проактивног рада са корисницима (енг. оутреацх) као заједничког оквира за проактивне активности са корисницима.</w:t>
            </w:r>
          </w:p>
          <w:p w14:paraId="0840A93D"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кроз Закон о младима и усвајање Закона о радној пракси потребно је формално препознати проактивне активности са корисницима и учинити их подобним за финансирање из јавнх средстава, као и увести праксе програмског финансирања омладинских организација цивилног друштва (уместо пројектног финансирања).</w:t>
            </w:r>
          </w:p>
          <w:p w14:paraId="33A93C9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посебан фокус на младима из маргинализованих средина биће од кључног значаја.</w:t>
            </w:r>
          </w:p>
        </w:tc>
        <w:tc>
          <w:tcPr>
            <w:tcW w:w="4172" w:type="dxa"/>
          </w:tcPr>
          <w:p w14:paraId="7E852B03" w14:textId="77777777" w:rsidR="009E7AB4" w:rsidRPr="00092ED7" w:rsidRDefault="009E7AB4" w:rsidP="009E7AB4">
            <w:pPr>
              <w:spacing w:before="0" w:after="0"/>
              <w:rPr>
                <w:rFonts w:cs="Times New Roman"/>
                <w:sz w:val="20"/>
                <w:lang w:val="sr-Cyrl-CS"/>
              </w:rPr>
            </w:pPr>
            <w:r w:rsidRPr="00092ED7">
              <w:rPr>
                <w:rFonts w:cs="Times New Roman"/>
                <w:bCs/>
                <w:sz w:val="20"/>
                <w:lang w:val="sr-Cyrl-CS"/>
              </w:rPr>
              <w:t>План имплементације Гаранције за младе припрема се у складу са Смерницама ЕК, ЕТФ-а и МОР-а. Овај план обухватиће реформе и мере са циљем унапређења законодавног оквира и припрему административних капацитета неопходних за спровођење пилотирања Гаранције за младе.</w:t>
            </w:r>
          </w:p>
        </w:tc>
      </w:tr>
      <w:tr w:rsidR="009E7AB4" w:rsidRPr="00092ED7" w14:paraId="00FC9A3A" w14:textId="77777777" w:rsidTr="009E7AB4">
        <w:tc>
          <w:tcPr>
            <w:tcW w:w="2789" w:type="dxa"/>
          </w:tcPr>
          <w:p w14:paraId="2AE7729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СР у области социјалне заштите и инклузије</w:t>
            </w:r>
          </w:p>
        </w:tc>
        <w:tc>
          <w:tcPr>
            <w:tcW w:w="2789" w:type="dxa"/>
          </w:tcPr>
          <w:p w14:paraId="0C238D68" w14:textId="77777777" w:rsidR="009E7AB4" w:rsidRPr="00092ED7" w:rsidRDefault="009E7AB4" w:rsidP="009E7AB4">
            <w:pPr>
              <w:spacing w:before="0" w:after="0"/>
              <w:rPr>
                <w:rFonts w:cs="Times New Roman"/>
                <w:sz w:val="20"/>
                <w:lang w:val="sr-Cyrl-CS"/>
              </w:rPr>
            </w:pPr>
          </w:p>
        </w:tc>
        <w:tc>
          <w:tcPr>
            <w:tcW w:w="4198" w:type="dxa"/>
          </w:tcPr>
          <w:p w14:paraId="4AF48900" w14:textId="22457FBF" w:rsidR="009E7AB4" w:rsidRPr="00092ED7" w:rsidRDefault="009E7AB4" w:rsidP="009E7AB4">
            <w:pPr>
              <w:spacing w:before="0" w:after="0"/>
              <w:rPr>
                <w:rFonts w:cs="Times New Roman"/>
                <w:sz w:val="20"/>
                <w:lang w:val="sr-Cyrl-CS"/>
              </w:rPr>
            </w:pPr>
            <w:r w:rsidRPr="00092ED7">
              <w:rPr>
                <w:rFonts w:cs="Times New Roman"/>
                <w:sz w:val="20"/>
                <w:lang w:val="sr-Cyrl-CS"/>
              </w:rPr>
              <w:t>З</w:t>
            </w:r>
            <w:r w:rsidR="00E1152E" w:rsidRPr="00092ED7">
              <w:rPr>
                <w:rFonts w:cs="Times New Roman"/>
                <w:sz w:val="20"/>
                <w:lang w:val="sr-Cyrl-CS"/>
              </w:rPr>
              <w:t>бог рата у Украјини и пандемије</w:t>
            </w:r>
            <w:r w:rsidRPr="00092ED7">
              <w:rPr>
                <w:rFonts w:cs="Times New Roman"/>
                <w:sz w:val="20"/>
                <w:lang w:val="sr-Cyrl-CS"/>
              </w:rPr>
              <w:t xml:space="preserve"> за многе породице и децу у</w:t>
            </w:r>
            <w:r w:rsidR="003B5902" w:rsidRPr="00092ED7">
              <w:rPr>
                <w:rFonts w:cs="Times New Roman"/>
                <w:sz w:val="20"/>
                <w:lang w:val="sr-Cyrl-CS"/>
              </w:rPr>
              <w:t xml:space="preserve"> Републици</w:t>
            </w:r>
            <w:r w:rsidRPr="00092ED7">
              <w:rPr>
                <w:rFonts w:cs="Times New Roman"/>
                <w:sz w:val="20"/>
                <w:lang w:val="sr-Cyrl-CS"/>
              </w:rPr>
              <w:t xml:space="preserve"> Србији се повећао ризик од дечијег сиромаштва, неједнакости и угрожености. Самим тим је од изузетног значаја повећати подршку најсиромашнијем делу становништва, с обзиром на то да су се протеклих година знатно смањила издвајања јавних средстава за новчана давања намењена најсиромашнијој деци, нарочито путем дечијег додатка.</w:t>
            </w:r>
          </w:p>
          <w:p w14:paraId="2238A40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Повећање обима програма дечијег додатка (ДД), с фокусом на унапређењу адекватности и обухвата давања. </w:t>
            </w:r>
          </w:p>
          <w:p w14:paraId="71F8C6D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1.</w:t>
            </w:r>
            <w:r w:rsidRPr="00092ED7">
              <w:rPr>
                <w:rFonts w:cs="Times New Roman"/>
                <w:sz w:val="20"/>
                <w:lang w:val="sr-Cyrl-CS"/>
              </w:rPr>
              <w:tab/>
              <w:t xml:space="preserve">Унапређење адекватности ДД – следе три сценарија за повећање ДД, која зависе од нивоа адекватности који се жели постићи: </w:t>
            </w:r>
          </w:p>
          <w:p w14:paraId="6FF1892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Повећање ДД на две трећине износа намењеног деци на линији апсолутног сиромаштва, при чему се износи разликују према узрасту детета. Укупни процењени годишњи расходи буџета износе 4,4 милијарде РСД.</w:t>
            </w:r>
          </w:p>
          <w:p w14:paraId="2026EBF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Повећање ДД на две трећине износа намењеног деци на линији релативног сиромаштва, при чему се износи разликују према узрасту детета. Укупни процењени годишњи расходи буџета износе 3,8 милијарди РСД.</w:t>
            </w:r>
          </w:p>
          <w:p w14:paraId="1036498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Повећање ДД на износ намењен деци нижег узраста на линији релативног сиромаштва, без разлике у погледу износа према узрасту детета. Укупни процењени годишњи расходи буџета износе 8,3 милијарде РСД.</w:t>
            </w:r>
          </w:p>
          <w:p w14:paraId="0DAEA23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2.</w:t>
            </w:r>
            <w:r w:rsidRPr="00092ED7">
              <w:rPr>
                <w:rFonts w:cs="Times New Roman"/>
                <w:sz w:val="20"/>
                <w:lang w:val="sr-Cyrl-CS"/>
              </w:rPr>
              <w:tab/>
              <w:t>Унапређење обухвата ДД – Повећање обухвата програма ДД може бити постигнуто првенствено ублажавањем критеријума у погледу прихода или имовине.</w:t>
            </w:r>
          </w:p>
          <w:p w14:paraId="7F93103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Повећање горње границе прихода за 20% потенцијално би могло да покрије готово сву децу која су под ризиком од сиромаштва. Без даљих захтева, у складу с овом реформом, број корисника би износио укупно око 390 хиљада, а укупни расходи би износили око 15,8 милијарди РСД (0,29% БДП-а). Кључни индикатори величине програма (однос расхода и БДП-а) тако би се вратили на вредности забележене у протеклих десетак година.</w:t>
            </w:r>
          </w:p>
          <w:p w14:paraId="47E128AD"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Укидање горње границе катастарског прихода.</w:t>
            </w:r>
          </w:p>
          <w:p w14:paraId="23E25EE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Оптимална реформа ДД треба да укључује спој унапређења адекватности и обухвата.  </w:t>
            </w:r>
          </w:p>
          <w:p w14:paraId="3E5E6BAD"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Повећање обухвата и адекватности новчане социјалне помоћи (НСП) – Повећање пондера за децу старијег узраста са тренутних 0,3 на 0,5 (као за другог одраслог) и за децу са сметњама у развоју (на 1). Истовремено, потребно је и повећати основицу за обрачун НСП (ова промена би аутоматски укључила додатни број деце у програм). Због концепта социјалних давања и ниског нивоа минималне зараде, горња граница повећања је ограничена износом увећане НСП, који за појединца не треба да премаши ниво социјалне пољопривредне пензије. Оптимално повећање основице за обрачун НСП треба да износи око 15% и не више од 20%. </w:t>
            </w:r>
          </w:p>
          <w:p w14:paraId="47559D72"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УНИЦЕФ је и даље спреман да пружи детаљније информације о утицају предложених промена, као и стручну подршку у релевантним областима (нарочито у процени утицаја конкретних промена у релевантним законима коришћењем административних података у реалном времену, мерењем буџетских расхода за скуп измењених и комбинованих реформи).</w:t>
            </w:r>
          </w:p>
          <w:p w14:paraId="3A85F0D6" w14:textId="5576A798"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УНИЦЕФ снажно подржава спровођење Гаранције за децу – инструмента ЕУ за борбу против искључивања и сиромаштва – у контексту </w:t>
            </w:r>
            <w:r w:rsidR="003B5902" w:rsidRPr="00092ED7">
              <w:rPr>
                <w:rFonts w:cs="Times New Roman"/>
                <w:sz w:val="20"/>
                <w:lang w:val="sr-Cyrl-CS"/>
              </w:rPr>
              <w:t xml:space="preserve">Републике </w:t>
            </w:r>
            <w:r w:rsidRPr="00092ED7">
              <w:rPr>
                <w:rFonts w:cs="Times New Roman"/>
                <w:sz w:val="20"/>
                <w:lang w:val="sr-Cyrl-CS"/>
              </w:rPr>
              <w:t xml:space="preserve">Србије и спреман је да пружи стручну помоћ Влади. Овај финансијски инструмент је усвојен кроз препоруку Савета у јуну 2021. године и осмишљен је тако да обезбеди да свако дете под ризиком од сиромаштва или друштвене искључености има приступ најосновнијим правима као што су здравствена заштита и образовање. У контексту </w:t>
            </w:r>
            <w:r w:rsidR="003B5902" w:rsidRPr="00092ED7">
              <w:rPr>
                <w:rFonts w:cs="Times New Roman"/>
                <w:sz w:val="20"/>
                <w:lang w:val="sr-Cyrl-CS"/>
              </w:rPr>
              <w:t xml:space="preserve">Републике </w:t>
            </w:r>
            <w:r w:rsidRPr="00092ED7">
              <w:rPr>
                <w:rFonts w:cs="Times New Roman"/>
                <w:sz w:val="20"/>
                <w:lang w:val="sr-Cyrl-CS"/>
              </w:rPr>
              <w:t xml:space="preserve">Србије, приступ Гаранцији за децу могао би да обезбеди ресурсе за конкретне приоритете </w:t>
            </w:r>
            <w:r w:rsidR="003B5902" w:rsidRPr="00092ED7">
              <w:rPr>
                <w:rFonts w:cs="Times New Roman"/>
                <w:sz w:val="20"/>
                <w:lang w:val="sr-Cyrl-CS"/>
              </w:rPr>
              <w:t xml:space="preserve">Републике </w:t>
            </w:r>
            <w:r w:rsidRPr="00092ED7">
              <w:rPr>
                <w:rFonts w:cs="Times New Roman"/>
                <w:sz w:val="20"/>
                <w:lang w:val="sr-Cyrl-CS"/>
              </w:rPr>
              <w:t>Србије.</w:t>
            </w:r>
          </w:p>
        </w:tc>
        <w:tc>
          <w:tcPr>
            <w:tcW w:w="4172" w:type="dxa"/>
          </w:tcPr>
          <w:p w14:paraId="3F751417"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Сугестија се прихвата. Приликом израде нацрта измена и допуна Закона о социјалној заштити узета је у разматрање и анализа ''Опције за унапређење програма новчане социјалне помоћи на бази провере имовинског стања усмерених на децу''. Налази из ове анализе су полазиште и за номиновање нове структурне реформе за следећи ЕРП циклус уколико се стекну услови у погледу финансирања СР.</w:t>
            </w:r>
          </w:p>
          <w:p w14:paraId="099081BD"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 xml:space="preserve">У буџету за 2023. годину опредељена су средства за права у области социјалне заштите у износу који је усклађен са постојећим нормативним оквиром. Сматра се да је потребно сачекати ефекте примене Социјалне карте и евентуалне уштеде које би биле усмерене на повећање новчане социјалне помоћи. Анализа ефеката примене Регистра социјална карта радиће се почетком 2023. године. </w:t>
            </w:r>
          </w:p>
          <w:p w14:paraId="07CDD8CD"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 xml:space="preserve">Када је реч о Гаранцијама за децу, Министарство је врло заинтересовано за ову сарадњу са УНИЦЕФ-ом нарочито у обезбеђивању подршке за деинституционализацију деце узраста од 0 до 7 година у складу са новоусвојеном Стратегијом деинституционализације и развоја услуга социјалне заштите у заједници. </w:t>
            </w:r>
          </w:p>
          <w:p w14:paraId="7F02D93B" w14:textId="77777777" w:rsidR="009E7AB4" w:rsidRPr="00092ED7" w:rsidRDefault="009E7AB4" w:rsidP="009E7AB4">
            <w:pPr>
              <w:spacing w:before="0" w:after="0"/>
              <w:rPr>
                <w:rFonts w:cs="Times New Roman"/>
                <w:bCs/>
                <w:sz w:val="20"/>
                <w:lang w:val="sr-Cyrl-CS"/>
              </w:rPr>
            </w:pPr>
          </w:p>
          <w:p w14:paraId="2B54A572" w14:textId="77777777" w:rsidR="00763787" w:rsidRPr="00092ED7" w:rsidRDefault="00763787" w:rsidP="009E7AB4">
            <w:pPr>
              <w:spacing w:before="0" w:after="0"/>
              <w:rPr>
                <w:rFonts w:cs="Times New Roman"/>
                <w:bCs/>
                <w:sz w:val="20"/>
                <w:lang w:val="sr-Cyrl-CS"/>
              </w:rPr>
            </w:pPr>
          </w:p>
          <w:p w14:paraId="695BC760" w14:textId="77777777" w:rsidR="00763787" w:rsidRPr="00092ED7" w:rsidRDefault="00763787" w:rsidP="009E7AB4">
            <w:pPr>
              <w:spacing w:before="0" w:after="0"/>
              <w:rPr>
                <w:rFonts w:cs="Times New Roman"/>
                <w:bCs/>
                <w:sz w:val="20"/>
                <w:lang w:val="sr-Cyrl-CS"/>
              </w:rPr>
            </w:pPr>
            <w:r w:rsidRPr="00092ED7">
              <w:rPr>
                <w:rFonts w:cs="Times New Roman"/>
                <w:bCs/>
                <w:sz w:val="20"/>
                <w:lang w:val="sr-Cyrl-CS"/>
              </w:rPr>
              <w:t>Када је реч о укидању горње границе катастарског прихода, планирана реформа социјалне политике у Републици Србији обухватиће и стављање ван снаге Закона о утврђивању катастарског прихода („Службени гласник РС”, број 49/92), што ће допринети административном растерећењу у области социјалне заштите, као и реалној процени потреба и планирању новчане социјалне помоћи за више категорија корисника.</w:t>
            </w:r>
          </w:p>
        </w:tc>
      </w:tr>
      <w:tr w:rsidR="009E7AB4" w:rsidRPr="00092ED7" w14:paraId="6FEA2F3F" w14:textId="77777777" w:rsidTr="009E7AB4">
        <w:tc>
          <w:tcPr>
            <w:tcW w:w="2789" w:type="dxa"/>
          </w:tcPr>
          <w:p w14:paraId="75B5493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Структурне реформе у здравственом сектору</w:t>
            </w:r>
          </w:p>
        </w:tc>
        <w:tc>
          <w:tcPr>
            <w:tcW w:w="2789" w:type="dxa"/>
          </w:tcPr>
          <w:p w14:paraId="46C6618D" w14:textId="77777777" w:rsidR="009E7AB4" w:rsidRPr="00092ED7" w:rsidRDefault="009E7AB4" w:rsidP="009E7AB4">
            <w:pPr>
              <w:spacing w:before="0" w:after="0"/>
              <w:rPr>
                <w:rFonts w:cs="Times New Roman"/>
                <w:sz w:val="20"/>
                <w:lang w:val="sr-Cyrl-CS"/>
              </w:rPr>
            </w:pPr>
          </w:p>
        </w:tc>
        <w:tc>
          <w:tcPr>
            <w:tcW w:w="4198" w:type="dxa"/>
          </w:tcPr>
          <w:p w14:paraId="439947CC"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 области здравља, УНИЦЕФ снажно подржава текуће реформе финансирања здравства и оптимизацију система здравствене заштите. Јачање примарне здравствене заштите доследним увођењем програма плаћања по учинку представља правац реформе који ће унапредити ефикасност и квалитет пружених услуга, док ће знатно бити унапређен приступ услугама примарне здравствене заштите за најугроженије категорије становништва као што су труднице, деца и адолесценти. Ова реформа ће одговорити на континуиране изазове у области јавног здравља као што су пружање правовремених и квалитетних услуга имунизације, превентивни здравствени прегледи, скрининг, услуге за децу са кашњењем у развоју, активности усмерене ка групама до којих је тешко допрети (као што су Роми, становништво у руралним подручјима) и подршка менталном здрављу. Успостављање перинаталних центара као функционалних установа за пружање квалитетне неонаталне заштите, јачање улоге установа примарне здравствене заштите у центрима округа, уз унапређену сарадњу и координацију између различитих нивоа заштите, додатно ће побољшати ефикасност и приступ квалитетној здравственој заштити за сву деца и жене. Посебне структурне реформе којима се формирају делотворни међусекторски механизми (између здравства, образовања, социјалне заштите и правосуђа), како на националном тако и на локалном нивоу (нпр. социјално-здравствене услуге), од кључне су важности за јачање подршке менталном здрављу и добробити младих, и свеобухватним потребама најугроженије деце и њихових породица. </w:t>
            </w:r>
          </w:p>
          <w:p w14:paraId="6A64345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Даље унапређење дигитализације здравственог система, укључујући електронске здравствене картоне и регулисане услуге телемедицине, треба да буду један од реформских приоритета како би се обезбедило даље унапређење ефикасности и расположивост података у реалном времену у циљу пружања информација на којима се заснива креирање политика и програма.</w:t>
            </w:r>
          </w:p>
          <w:p w14:paraId="21383E7A" w14:textId="67B5D8D4" w:rsidR="009E7AB4" w:rsidRPr="00092ED7" w:rsidRDefault="009E7AB4" w:rsidP="009E7AB4">
            <w:pPr>
              <w:spacing w:before="0" w:after="0"/>
              <w:rPr>
                <w:rFonts w:cs="Times New Roman"/>
                <w:sz w:val="20"/>
                <w:lang w:val="sr-Cyrl-CS"/>
              </w:rPr>
            </w:pPr>
            <w:r w:rsidRPr="00092ED7">
              <w:rPr>
                <w:rFonts w:cs="Times New Roman"/>
                <w:sz w:val="20"/>
                <w:lang w:val="sr-Cyrl-CS"/>
              </w:rPr>
              <w:t>УН</w:t>
            </w:r>
            <w:r w:rsidR="0088748D" w:rsidRPr="00092ED7">
              <w:rPr>
                <w:rFonts w:cs="Times New Roman"/>
                <w:sz w:val="20"/>
                <w:lang w:val="sr-Cyrl-CS"/>
              </w:rPr>
              <w:t>ИЦЕФ је спреман да подржи Владу</w:t>
            </w:r>
            <w:r w:rsidRPr="00092ED7">
              <w:rPr>
                <w:rFonts w:cs="Times New Roman"/>
                <w:sz w:val="20"/>
                <w:lang w:val="sr-Cyrl-CS"/>
              </w:rPr>
              <w:t xml:space="preserve"> у овим активностима.</w:t>
            </w:r>
          </w:p>
        </w:tc>
        <w:tc>
          <w:tcPr>
            <w:tcW w:w="4172" w:type="dxa"/>
            <w:shd w:val="clear" w:color="auto" w:fill="auto"/>
          </w:tcPr>
          <w:p w14:paraId="05C19E7F" w14:textId="77777777" w:rsidR="009E7AB4" w:rsidRPr="00092ED7" w:rsidRDefault="009E7AB4" w:rsidP="009E7AB4">
            <w:pPr>
              <w:spacing w:before="0" w:after="0"/>
              <w:rPr>
                <w:rFonts w:cs="Times New Roman"/>
                <w:bCs/>
                <w:sz w:val="20"/>
                <w:highlight w:val="yellow"/>
                <w:lang w:val="sr-Cyrl-CS"/>
              </w:rPr>
            </w:pPr>
            <w:r w:rsidRPr="00092ED7">
              <w:rPr>
                <w:rFonts w:cs="Times New Roman"/>
                <w:bCs/>
                <w:sz w:val="20"/>
                <w:lang w:val="sr-Cyrl-CS"/>
              </w:rPr>
              <w:t>Предлози ће бити разматрани у следећем циклусу израде ЕРП.</w:t>
            </w:r>
          </w:p>
        </w:tc>
      </w:tr>
      <w:tr w:rsidR="009E7AB4" w:rsidRPr="00092ED7" w14:paraId="5D65D5DC" w14:textId="77777777" w:rsidTr="009E7AB4">
        <w:tc>
          <w:tcPr>
            <w:tcW w:w="2789" w:type="dxa"/>
          </w:tcPr>
          <w:p w14:paraId="06237E2C"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Кључни изазов 1: Повећање запослености, посебно младих, жена и осетљивих група, и социјална заштита од сиромаштва,</w:t>
            </w:r>
            <w:r w:rsidRPr="00092ED7">
              <w:rPr>
                <w:rFonts w:cs="Times New Roman"/>
                <w:b/>
                <w:sz w:val="20"/>
                <w:lang w:val="sr-Cyrl-CS"/>
              </w:rPr>
              <w:t xml:space="preserve"> </w:t>
            </w:r>
            <w:r w:rsidRPr="00092ED7">
              <w:rPr>
                <w:rFonts w:cs="Times New Roman"/>
                <w:sz w:val="20"/>
                <w:lang w:val="sr-Cyrl-CS"/>
              </w:rPr>
              <w:t>општи коментари.</w:t>
            </w:r>
          </w:p>
        </w:tc>
        <w:tc>
          <w:tcPr>
            <w:tcW w:w="2789" w:type="dxa"/>
          </w:tcPr>
          <w:p w14:paraId="1AAC223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Међусекторска радна</w:t>
            </w:r>
          </w:p>
          <w:p w14:paraId="58AA9092"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групa за ЕРП Националног конвента о ЕУ, достављено електронским путем 26. децембрa 2022.</w:t>
            </w:r>
          </w:p>
        </w:tc>
        <w:tc>
          <w:tcPr>
            <w:tcW w:w="4198" w:type="dxa"/>
          </w:tcPr>
          <w:p w14:paraId="2279080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Како    је    протеклих    година    значајно    смањена незапосленост, поставља се питање утемељења избора Кључног изазова број 1 као првог кључног изазова. Иако је смањење незапослености неоспорно важан циљ, у последњих неколико година суочени смо са недостатком кадрова и то не само у квалитативном смислу већ иквантитативно.  По   свој  прилици,   тај   ће   се   тренд наставити  и  у  наредном  периоду (резултати  пописа недвојбено показују да нас је све мање - негативан</w:t>
            </w:r>
          </w:p>
          <w:p w14:paraId="1835F054" w14:textId="1F78F6D6" w:rsidR="009E7AB4" w:rsidRPr="00092ED7" w:rsidRDefault="009E7AB4" w:rsidP="009E7AB4">
            <w:pPr>
              <w:spacing w:before="0" w:after="0"/>
              <w:rPr>
                <w:rFonts w:cs="Times New Roman"/>
                <w:sz w:val="20"/>
                <w:lang w:val="sr-Cyrl-CS"/>
              </w:rPr>
            </w:pPr>
            <w:r w:rsidRPr="00092ED7">
              <w:rPr>
                <w:rFonts w:cs="Times New Roman"/>
                <w:sz w:val="20"/>
                <w:lang w:val="sr-Cyrl-CS"/>
              </w:rPr>
              <w:t>природни прираштај, све више грађана Р</w:t>
            </w:r>
            <w:r w:rsidR="003B5902" w:rsidRPr="00092ED7">
              <w:rPr>
                <w:rFonts w:cs="Times New Roman"/>
                <w:sz w:val="20"/>
                <w:lang w:val="sr-Cyrl-CS"/>
              </w:rPr>
              <w:t>епублике Србије</w:t>
            </w:r>
            <w:r w:rsidRPr="00092ED7">
              <w:rPr>
                <w:rFonts w:cs="Times New Roman"/>
                <w:sz w:val="20"/>
                <w:lang w:val="sr-Cyrl-CS"/>
              </w:rPr>
              <w:t xml:space="preserve"> одлази из земље), те је потребно промислити за наредни циклус</w:t>
            </w:r>
          </w:p>
          <w:p w14:paraId="68517CB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ЕРП да ли овај изазов треба да буде прворангирани. А са тим у вези и да ли у њему треба да се нађу чак четири</w:t>
            </w:r>
          </w:p>
          <w:p w14:paraId="1929524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структурне   реформе.   Питање   је,   нпр.   чиме   је   то Структурна реформа 2 РЕФОРМА ФОНДА ЗА МЛАДЕ</w:t>
            </w:r>
          </w:p>
          <w:p w14:paraId="6146BF5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ТАЛЕНТЕ  заслужила  да  се  нађе  међу  структурним реформама.</w:t>
            </w:r>
          </w:p>
        </w:tc>
        <w:tc>
          <w:tcPr>
            <w:tcW w:w="4172" w:type="dxa"/>
          </w:tcPr>
          <w:p w14:paraId="722854DC" w14:textId="3237F478" w:rsidR="009E7AB4" w:rsidRPr="00092ED7" w:rsidRDefault="009E7AB4" w:rsidP="009E7AB4">
            <w:pPr>
              <w:spacing w:before="0" w:after="0"/>
              <w:rPr>
                <w:rFonts w:cs="Times New Roman"/>
                <w:sz w:val="20"/>
                <w:lang w:val="sr-Cyrl-CS"/>
              </w:rPr>
            </w:pPr>
            <w:r w:rsidRPr="00092ED7">
              <w:rPr>
                <w:rFonts w:cs="Times New Roman"/>
                <w:sz w:val="20"/>
                <w:lang w:val="sr-Cyrl-CS"/>
              </w:rPr>
              <w:t>У складу са смерницама ЕК у ЕРП се приказују три кључна изазова за  повећање конкурентности, раст и запошљавање, који имају једнак значај за Р</w:t>
            </w:r>
            <w:r w:rsidR="00081DFC" w:rsidRPr="00092ED7">
              <w:rPr>
                <w:rFonts w:cs="Times New Roman"/>
                <w:sz w:val="20"/>
                <w:lang w:val="sr-Cyrl-CS"/>
              </w:rPr>
              <w:t xml:space="preserve">епублику </w:t>
            </w:r>
            <w:r w:rsidRPr="00092ED7">
              <w:rPr>
                <w:rFonts w:cs="Times New Roman"/>
                <w:sz w:val="20"/>
                <w:lang w:val="sr-Cyrl-CS"/>
              </w:rPr>
              <w:t>Србију, тј. нису рангирани, те кључни изазов 1. није више важан од осталих. Тема запошљавања и образовања представља једну од основних окосница ЕРП, те се 4 од 22 СР сматра адекватним одговором.</w:t>
            </w:r>
          </w:p>
          <w:p w14:paraId="104C625A" w14:textId="77777777" w:rsidR="009E7AB4" w:rsidRPr="00092ED7" w:rsidRDefault="009E7AB4" w:rsidP="009E7AB4">
            <w:pPr>
              <w:spacing w:before="0" w:after="0"/>
              <w:rPr>
                <w:rFonts w:cs="Times New Roman"/>
                <w:sz w:val="20"/>
                <w:lang w:val="sr-Cyrl-CS"/>
              </w:rPr>
            </w:pPr>
          </w:p>
        </w:tc>
      </w:tr>
      <w:tr w:rsidR="009E7AB4" w:rsidRPr="00092ED7" w14:paraId="18889EA4" w14:textId="77777777" w:rsidTr="009E7AB4">
        <w:tc>
          <w:tcPr>
            <w:tcW w:w="2789" w:type="dxa"/>
            <w:vMerge w:val="restart"/>
          </w:tcPr>
          <w:p w14:paraId="26CA377C" w14:textId="77777777" w:rsidR="009E7AB4" w:rsidRPr="00092ED7" w:rsidRDefault="009E7AB4" w:rsidP="009E7AB4">
            <w:pPr>
              <w:spacing w:before="0" w:after="0"/>
              <w:rPr>
                <w:rFonts w:cs="Times New Roman"/>
                <w:sz w:val="20"/>
                <w:lang w:val="sr-Cyrl-CS"/>
              </w:rPr>
            </w:pPr>
          </w:p>
        </w:tc>
        <w:tc>
          <w:tcPr>
            <w:tcW w:w="2789" w:type="dxa"/>
            <w:vMerge w:val="restart"/>
          </w:tcPr>
          <w:p w14:paraId="36BF4C5D" w14:textId="77777777" w:rsidR="009E7AB4" w:rsidRPr="00092ED7" w:rsidRDefault="009E7AB4" w:rsidP="009E7AB4">
            <w:pPr>
              <w:spacing w:before="0" w:after="0"/>
              <w:rPr>
                <w:rFonts w:cs="Times New Roman"/>
                <w:sz w:val="20"/>
                <w:lang w:val="sr-Cyrl-CS"/>
              </w:rPr>
            </w:pPr>
          </w:p>
        </w:tc>
        <w:tc>
          <w:tcPr>
            <w:tcW w:w="4198" w:type="dxa"/>
          </w:tcPr>
          <w:p w14:paraId="63E16E17"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Поред осетљивих група, постоје и осетљиве територије. Недовољно развијене територије укључити у кључне</w:t>
            </w:r>
          </w:p>
          <w:p w14:paraId="5A494E2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изазове.</w:t>
            </w:r>
          </w:p>
        </w:tc>
        <w:tc>
          <w:tcPr>
            <w:tcW w:w="4172" w:type="dxa"/>
          </w:tcPr>
          <w:p w14:paraId="4949352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Утицај структурних реформи на регионални развој је од изузетног значаја и било би корисно приказати га за све СР. Тренутно је ова област приказана само у појединим СР.</w:t>
            </w:r>
          </w:p>
        </w:tc>
      </w:tr>
      <w:tr w:rsidR="009E7AB4" w:rsidRPr="00092ED7" w14:paraId="622C1D34" w14:textId="77777777" w:rsidTr="009E7AB4">
        <w:tc>
          <w:tcPr>
            <w:tcW w:w="2789" w:type="dxa"/>
            <w:vMerge/>
          </w:tcPr>
          <w:p w14:paraId="4C3AB705" w14:textId="77777777" w:rsidR="009E7AB4" w:rsidRPr="00092ED7" w:rsidRDefault="009E7AB4" w:rsidP="009E7AB4">
            <w:pPr>
              <w:spacing w:before="0" w:after="0"/>
              <w:rPr>
                <w:rFonts w:cs="Times New Roman"/>
                <w:sz w:val="20"/>
                <w:lang w:val="sr-Cyrl-CS"/>
              </w:rPr>
            </w:pPr>
          </w:p>
        </w:tc>
        <w:tc>
          <w:tcPr>
            <w:tcW w:w="2789" w:type="dxa"/>
            <w:vMerge/>
          </w:tcPr>
          <w:p w14:paraId="038C1290" w14:textId="77777777" w:rsidR="009E7AB4" w:rsidRPr="00092ED7" w:rsidRDefault="009E7AB4" w:rsidP="009E7AB4">
            <w:pPr>
              <w:spacing w:before="0" w:after="0"/>
              <w:rPr>
                <w:rFonts w:cs="Times New Roman"/>
                <w:sz w:val="20"/>
                <w:lang w:val="sr-Cyrl-CS"/>
              </w:rPr>
            </w:pPr>
          </w:p>
        </w:tc>
        <w:tc>
          <w:tcPr>
            <w:tcW w:w="4198" w:type="dxa"/>
          </w:tcPr>
          <w:p w14:paraId="2FB0C653" w14:textId="28DBE315" w:rsidR="009E7AB4" w:rsidRPr="00092ED7" w:rsidRDefault="009E7AB4" w:rsidP="00833B80">
            <w:pPr>
              <w:spacing w:before="0" w:after="0"/>
              <w:rPr>
                <w:rFonts w:cs="Times New Roman"/>
                <w:sz w:val="20"/>
                <w:lang w:val="sr-Cyrl-CS"/>
              </w:rPr>
            </w:pPr>
            <w:r w:rsidRPr="00092ED7">
              <w:rPr>
                <w:rFonts w:cs="Times New Roman"/>
                <w:sz w:val="20"/>
                <w:lang w:val="sr-Cyrl-CS"/>
              </w:rPr>
              <w:t>Пре доношења сваке од мера кој</w:t>
            </w:r>
            <w:r w:rsidR="00F27826" w:rsidRPr="00092ED7">
              <w:rPr>
                <w:rFonts w:cs="Times New Roman"/>
                <w:sz w:val="20"/>
                <w:lang w:val="sr-Cyrl-CS"/>
              </w:rPr>
              <w:t>е</w:t>
            </w:r>
            <w:r w:rsidRPr="00092ED7">
              <w:rPr>
                <w:rFonts w:cs="Times New Roman"/>
                <w:sz w:val="20"/>
                <w:lang w:val="sr-Cyrl-CS"/>
              </w:rPr>
              <w:t xml:space="preserve"> се тич</w:t>
            </w:r>
            <w:r w:rsidR="00F27826" w:rsidRPr="00092ED7">
              <w:rPr>
                <w:rFonts w:cs="Times New Roman"/>
                <w:sz w:val="20"/>
                <w:lang w:val="sr-Cyrl-CS"/>
              </w:rPr>
              <w:t>у</w:t>
            </w:r>
            <w:r w:rsidRPr="00092ED7">
              <w:rPr>
                <w:rFonts w:cs="Times New Roman"/>
                <w:sz w:val="20"/>
                <w:lang w:val="sr-Cyrl-CS"/>
              </w:rPr>
              <w:t xml:space="preserve"> овог типа изазова потребно је урадити ТИА (TIA – Territorially Impact Assessment) </w:t>
            </w:r>
            <w:r w:rsidR="00F27826" w:rsidRPr="00092ED7">
              <w:rPr>
                <w:rFonts w:cs="Times New Roman"/>
                <w:sz w:val="20"/>
                <w:lang w:val="sr-Cyrl-CS"/>
              </w:rPr>
              <w:t>односно</w:t>
            </w:r>
            <w:r w:rsidRPr="00092ED7">
              <w:rPr>
                <w:rFonts w:cs="Times New Roman"/>
                <w:sz w:val="20"/>
                <w:lang w:val="sr-Cyrl-CS"/>
              </w:rPr>
              <w:t xml:space="preserve"> oцену утицаја на </w:t>
            </w:r>
            <w:r w:rsidR="00F27826" w:rsidRPr="00092ED7">
              <w:rPr>
                <w:rFonts w:cs="Times New Roman"/>
                <w:sz w:val="20"/>
                <w:lang w:val="sr-Cyrl-CS"/>
              </w:rPr>
              <w:t>различите делове Републике</w:t>
            </w:r>
            <w:r w:rsidRPr="00092ED7">
              <w:rPr>
                <w:rFonts w:cs="Times New Roman"/>
                <w:sz w:val="20"/>
                <w:lang w:val="sr-Cyrl-CS"/>
              </w:rPr>
              <w:t>Србиј</w:t>
            </w:r>
            <w:r w:rsidR="00F27826" w:rsidRPr="00092ED7">
              <w:rPr>
                <w:rFonts w:cs="Times New Roman"/>
                <w:sz w:val="20"/>
                <w:lang w:val="sr-Cyrl-CS"/>
              </w:rPr>
              <w:t>е</w:t>
            </w:r>
            <w:r w:rsidRPr="00092ED7">
              <w:rPr>
                <w:rFonts w:cs="Times New Roman"/>
                <w:sz w:val="20"/>
                <w:lang w:val="sr-Cyrl-CS"/>
              </w:rPr>
              <w:t xml:space="preserve">, уважавајући </w:t>
            </w:r>
            <w:r w:rsidR="00F27826" w:rsidRPr="00092ED7">
              <w:rPr>
                <w:rFonts w:cs="Times New Roman"/>
                <w:sz w:val="20"/>
                <w:lang w:val="sr-Cyrl-CS"/>
              </w:rPr>
              <w:t>критеријум</w:t>
            </w:r>
            <w:r w:rsidRPr="00092ED7">
              <w:rPr>
                <w:rFonts w:cs="Times New Roman"/>
                <w:sz w:val="20"/>
                <w:lang w:val="sr-Cyrl-CS"/>
              </w:rPr>
              <w:t xml:space="preserve">развијености региона и </w:t>
            </w:r>
            <w:r w:rsidR="00833B80" w:rsidRPr="00092ED7">
              <w:rPr>
                <w:rFonts w:cs="Times New Roman"/>
                <w:sz w:val="20"/>
                <w:lang w:val="sr-Cyrl-CS"/>
              </w:rPr>
              <w:t>ЈЛС</w:t>
            </w:r>
            <w:r w:rsidRPr="00092ED7">
              <w:rPr>
                <w:rFonts w:cs="Times New Roman"/>
                <w:sz w:val="20"/>
                <w:lang w:val="sr-Cyrl-CS"/>
              </w:rPr>
              <w:t>.</w:t>
            </w:r>
          </w:p>
        </w:tc>
        <w:tc>
          <w:tcPr>
            <w:tcW w:w="4172" w:type="dxa"/>
          </w:tcPr>
          <w:p w14:paraId="2BB537D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Договорен је наставак сарадње са НКЕУ у наредном циклусу како би се адекватно одговорило на овај предлог.</w:t>
            </w:r>
          </w:p>
        </w:tc>
      </w:tr>
      <w:tr w:rsidR="009E7AB4" w:rsidRPr="00092ED7" w14:paraId="5AD57F92" w14:textId="77777777" w:rsidTr="009E7AB4">
        <w:trPr>
          <w:trHeight w:val="4668"/>
        </w:trPr>
        <w:tc>
          <w:tcPr>
            <w:tcW w:w="2789" w:type="dxa"/>
          </w:tcPr>
          <w:p w14:paraId="5169358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СР 3. Квалификације</w:t>
            </w:r>
          </w:p>
          <w:p w14:paraId="4C37232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оријентисане према потребама тржишта рада</w:t>
            </w:r>
          </w:p>
        </w:tc>
        <w:tc>
          <w:tcPr>
            <w:tcW w:w="2789" w:type="dxa"/>
          </w:tcPr>
          <w:p w14:paraId="7A4C8853" w14:textId="77777777" w:rsidR="009E7AB4" w:rsidRPr="00092ED7" w:rsidRDefault="009E7AB4" w:rsidP="009E7AB4">
            <w:pPr>
              <w:spacing w:before="0" w:after="0"/>
              <w:rPr>
                <w:rFonts w:cs="Times New Roman"/>
                <w:sz w:val="20"/>
                <w:lang w:val="sr-Cyrl-CS"/>
              </w:rPr>
            </w:pPr>
          </w:p>
        </w:tc>
        <w:tc>
          <w:tcPr>
            <w:tcW w:w="4198" w:type="dxa"/>
          </w:tcPr>
          <w:p w14:paraId="6516CD57" w14:textId="77777777" w:rsidR="009E7AB4" w:rsidRPr="00092ED7" w:rsidRDefault="009E7AB4" w:rsidP="009E7AB4">
            <w:pPr>
              <w:spacing w:before="0" w:after="0"/>
              <w:rPr>
                <w:rFonts w:eastAsia="Times New Roman" w:cs="Times New Roman"/>
                <w:color w:val="000000"/>
                <w:w w:val="106"/>
                <w:sz w:val="20"/>
                <w:lang w:val="sr-Cyrl-CS" w:eastAsia="en-CA"/>
              </w:rPr>
            </w:pPr>
            <w:r w:rsidRPr="00092ED7">
              <w:rPr>
                <w:rFonts w:cs="Times New Roman"/>
                <w:sz w:val="20"/>
                <w:lang w:val="sr-Cyrl-CS"/>
              </w:rPr>
              <w:t xml:space="preserve">Није адекватно изједначавати менаџмент потреба тржишта рада и образовања, са дуалним образовањем. </w:t>
            </w:r>
            <w:r w:rsidRPr="00092ED7">
              <w:rPr>
                <w:rFonts w:eastAsia="Times New Roman" w:cs="Times New Roman"/>
                <w:color w:val="000000"/>
                <w:w w:val="104"/>
                <w:sz w:val="20"/>
                <w:lang w:val="sr-Cyrl-CS" w:eastAsia="en-CA"/>
              </w:rPr>
              <w:t>Нису јасно дефинисане  потребе тржишта рада. Потребно је</w:t>
            </w:r>
            <w:r w:rsidRPr="00092ED7">
              <w:rPr>
                <w:rFonts w:eastAsia="Times New Roman" w:cs="Times New Roman"/>
                <w:sz w:val="20"/>
                <w:lang w:val="sr-Cyrl-CS" w:eastAsia="en-CA"/>
              </w:rPr>
              <w:t xml:space="preserve"> </w:t>
            </w:r>
            <w:r w:rsidRPr="00092ED7">
              <w:rPr>
                <w:rFonts w:eastAsia="Times New Roman" w:cs="Times New Roman"/>
                <w:color w:val="000000"/>
                <w:spacing w:val="-1"/>
                <w:sz w:val="20"/>
                <w:lang w:val="sr-Cyrl-CS" w:eastAsia="en-CA"/>
              </w:rPr>
              <w:t>увести анкету о слободним радним местима (Job Vacancy Survey)</w:t>
            </w:r>
            <w:r w:rsidRPr="00092ED7">
              <w:rPr>
                <w:rFonts w:eastAsia="Times New Roman" w:cs="Times New Roman"/>
                <w:sz w:val="20"/>
                <w:lang w:val="sr-Cyrl-CS" w:eastAsia="en-CA"/>
              </w:rPr>
              <w:t xml:space="preserve"> </w:t>
            </w:r>
            <w:r w:rsidRPr="00092ED7">
              <w:rPr>
                <w:rFonts w:eastAsia="Times New Roman" w:cs="Times New Roman"/>
                <w:color w:val="000000"/>
                <w:w w:val="106"/>
                <w:sz w:val="20"/>
                <w:lang w:val="sr-Cyrl-CS" w:eastAsia="en-CA"/>
              </w:rPr>
              <w:t xml:space="preserve">коју спроводе у свим европским земљама. То је основни </w:t>
            </w:r>
            <w:r w:rsidRPr="00092ED7">
              <w:rPr>
                <w:rFonts w:eastAsia="Times New Roman" w:cs="Times New Roman"/>
                <w:color w:val="000000"/>
                <w:sz w:val="20"/>
                <w:lang w:val="sr-Cyrl-CS" w:eastAsia="en-CA"/>
              </w:rPr>
              <w:t>инструмент којим би требало да се управља не само образовном</w:t>
            </w:r>
            <w:r w:rsidRPr="00092ED7">
              <w:rPr>
                <w:rFonts w:eastAsia="Times New Roman" w:cs="Times New Roman"/>
                <w:color w:val="000000"/>
                <w:w w:val="106"/>
                <w:sz w:val="20"/>
                <w:lang w:val="sr-Cyrl-CS" w:eastAsia="en-CA"/>
              </w:rPr>
              <w:t xml:space="preserve"> </w:t>
            </w:r>
            <w:r w:rsidRPr="00092ED7">
              <w:rPr>
                <w:rFonts w:eastAsia="Times New Roman" w:cs="Times New Roman"/>
                <w:color w:val="000000"/>
                <w:w w:val="107"/>
                <w:sz w:val="20"/>
                <w:lang w:val="sr-Cyrl-CS" w:eastAsia="en-CA"/>
              </w:rPr>
              <w:t>политиком, већ и политиком имиграције. Радне дозволе за</w:t>
            </w:r>
            <w:r w:rsidRPr="00092ED7">
              <w:rPr>
                <w:rFonts w:eastAsia="Times New Roman" w:cs="Times New Roman"/>
                <w:color w:val="000000"/>
                <w:w w:val="106"/>
                <w:sz w:val="20"/>
                <w:lang w:val="sr-Cyrl-CS" w:eastAsia="en-CA"/>
              </w:rPr>
              <w:t xml:space="preserve"> странце по скраћеној процедури се добијају за занимања за </w:t>
            </w:r>
            <w:r w:rsidRPr="00092ED7">
              <w:rPr>
                <w:rFonts w:eastAsia="Times New Roman" w:cs="Times New Roman"/>
                <w:color w:val="000000"/>
                <w:sz w:val="20"/>
                <w:lang w:val="sr-Cyrl-CS" w:eastAsia="en-CA"/>
              </w:rPr>
              <w:t>којима постоји потреба која не може да се задовољи на домаћем</w:t>
            </w:r>
            <w:r w:rsidRPr="00092ED7">
              <w:rPr>
                <w:rFonts w:eastAsia="Times New Roman" w:cs="Times New Roman"/>
                <w:color w:val="000000"/>
                <w:w w:val="106"/>
                <w:sz w:val="20"/>
                <w:lang w:val="sr-Cyrl-CS" w:eastAsia="en-CA"/>
              </w:rPr>
              <w:t xml:space="preserve"> </w:t>
            </w:r>
            <w:r w:rsidRPr="00092ED7">
              <w:rPr>
                <w:rFonts w:eastAsia="Times New Roman" w:cs="Times New Roman"/>
                <w:color w:val="000000"/>
                <w:w w:val="103"/>
                <w:sz w:val="20"/>
                <w:lang w:val="sr-Cyrl-CS" w:eastAsia="en-CA"/>
              </w:rPr>
              <w:t>тржишту (дакле ради се тест тржишта). Пожељно је пратити</w:t>
            </w:r>
            <w:r w:rsidRPr="00092ED7">
              <w:rPr>
                <w:rFonts w:eastAsia="Times New Roman" w:cs="Times New Roman"/>
                <w:color w:val="000000"/>
                <w:w w:val="106"/>
                <w:sz w:val="20"/>
                <w:lang w:val="sr-Cyrl-CS" w:eastAsia="en-CA"/>
              </w:rPr>
              <w:t xml:space="preserve"> </w:t>
            </w:r>
            <w:r w:rsidRPr="00092ED7">
              <w:rPr>
                <w:rFonts w:eastAsia="Times New Roman" w:cs="Times New Roman"/>
                <w:color w:val="000000"/>
                <w:w w:val="104"/>
                <w:sz w:val="20"/>
                <w:lang w:val="sr-Cyrl-CS" w:eastAsia="en-CA"/>
              </w:rPr>
              <w:t>дефицитарна занимања и радити на томе да се дефицитарни</w:t>
            </w:r>
            <w:r w:rsidRPr="00092ED7">
              <w:rPr>
                <w:rFonts w:eastAsia="Times New Roman" w:cs="Times New Roman"/>
                <w:sz w:val="20"/>
                <w:lang w:val="sr-Cyrl-CS" w:eastAsia="en-CA"/>
              </w:rPr>
              <w:t xml:space="preserve"> </w:t>
            </w:r>
            <w:r w:rsidRPr="00092ED7">
              <w:rPr>
                <w:rFonts w:eastAsia="Times New Roman" w:cs="Times New Roman"/>
                <w:color w:val="000000"/>
                <w:spacing w:val="2"/>
                <w:sz w:val="20"/>
                <w:lang w:val="sr-Cyrl-CS" w:eastAsia="en-CA"/>
              </w:rPr>
              <w:t>профили   кроз   систем   стипендирања   учине   доступним   и</w:t>
            </w:r>
            <w:r w:rsidRPr="00092ED7">
              <w:rPr>
                <w:rFonts w:eastAsia="Times New Roman" w:cs="Times New Roman"/>
                <w:sz w:val="20"/>
                <w:lang w:val="sr-Cyrl-CS" w:eastAsia="en-CA"/>
              </w:rPr>
              <w:t xml:space="preserve"> </w:t>
            </w:r>
            <w:r w:rsidRPr="00092ED7">
              <w:rPr>
                <w:rFonts w:eastAsia="Times New Roman" w:cs="Times New Roman"/>
                <w:color w:val="000000"/>
                <w:sz w:val="20"/>
                <w:lang w:val="sr-Cyrl-CS" w:eastAsia="en-CA"/>
              </w:rPr>
              <w:t>привлачнијим.</w:t>
            </w:r>
          </w:p>
        </w:tc>
        <w:tc>
          <w:tcPr>
            <w:tcW w:w="4172" w:type="dxa"/>
          </w:tcPr>
          <w:p w14:paraId="36D05FBE"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За спровођење анкетe - истраживања о слободним радним местима – потреби за запошљавањем надлежан је Републички завод за статистику који је у складу са Уредбом о утврђивању Плана званичне статистике за 2023. годину предвидео квартално Истраживање о потреби за запошљавањем (шифра 019093). Према Плану званичне статистике за 2023. годину истраживање треба да садржи податке о броју слободних радних места за које је послодавац предузео активне кораке у циљу попуњавања, према секторима делатности, величини пословног субјекта и главним групама занимања. Јединице посматрања су предузећа и локалне јединице.</w:t>
            </w:r>
          </w:p>
          <w:p w14:paraId="72F5CD65" w14:textId="77777777" w:rsidR="009E7AB4" w:rsidRPr="00092ED7" w:rsidRDefault="009E7AB4" w:rsidP="009E7AB4">
            <w:pPr>
              <w:spacing w:before="0" w:after="0"/>
              <w:rPr>
                <w:rFonts w:cs="Times New Roman"/>
                <w:sz w:val="20"/>
                <w:lang w:val="sr-Cyrl-CS"/>
              </w:rPr>
            </w:pPr>
            <w:r w:rsidRPr="00092ED7">
              <w:rPr>
                <w:rFonts w:cs="Times New Roman"/>
                <w:bCs/>
                <w:sz w:val="20"/>
                <w:lang w:val="sr-Cyrl-CS"/>
              </w:rPr>
              <w:t>Извори података су агенције за запошљавање на основу упитника и Национална служба за запошљавање из евиденције у области запошљавања.</w:t>
            </w:r>
          </w:p>
        </w:tc>
      </w:tr>
      <w:tr w:rsidR="009E7AB4" w:rsidRPr="00092ED7" w14:paraId="7E010D69" w14:textId="77777777" w:rsidTr="009E7AB4">
        <w:tc>
          <w:tcPr>
            <w:tcW w:w="2789" w:type="dxa"/>
          </w:tcPr>
          <w:p w14:paraId="4B8BE2D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Проширење обухвата законског оквира којим се уређује рад на пословима</w:t>
            </w:r>
          </w:p>
          <w:p w14:paraId="508989E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сезонског карактера</w:t>
            </w:r>
          </w:p>
          <w:p w14:paraId="477B2C51" w14:textId="77777777" w:rsidR="009E7AB4" w:rsidRPr="00092ED7" w:rsidRDefault="009E7AB4" w:rsidP="009E7AB4">
            <w:pPr>
              <w:spacing w:before="0" w:after="0"/>
              <w:rPr>
                <w:rFonts w:cs="Times New Roman"/>
                <w:sz w:val="20"/>
                <w:lang w:val="sr-Cyrl-CS"/>
              </w:rPr>
            </w:pPr>
          </w:p>
        </w:tc>
        <w:tc>
          <w:tcPr>
            <w:tcW w:w="2789" w:type="dxa"/>
          </w:tcPr>
          <w:p w14:paraId="5B600660" w14:textId="77777777" w:rsidR="009E7AB4" w:rsidRPr="00092ED7" w:rsidRDefault="009E7AB4" w:rsidP="009E7AB4">
            <w:pPr>
              <w:spacing w:before="0" w:after="0"/>
              <w:rPr>
                <w:rFonts w:cs="Times New Roman"/>
                <w:sz w:val="20"/>
                <w:lang w:val="sr-Cyrl-CS"/>
              </w:rPr>
            </w:pPr>
          </w:p>
        </w:tc>
        <w:tc>
          <w:tcPr>
            <w:tcW w:w="4198" w:type="dxa"/>
          </w:tcPr>
          <w:p w14:paraId="0DE180B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Реформа подразумева измену постојећег законског оквира како би се омогућило унапређење флексибилности рада и увођење у систем нерегистрованих лица у делатностима грађевинарства, туризма и угоститељства и на кућним и помоћним пословима. Како   би   се   спречиле   злоупотребе   система   потребно   је онемогућити да послодавац по овом систему ангажује радника којег је   претходно   отпустио   са   исте   позиције,  додатно дефинисати  повремени  карактер  рада  увођењем  временског ограничења ангажовања од максимално 15 дана месечно на пословима у грађевини и туризму и угоститељству. Такође, у овим делатностима треба увести и квоте за број ангажовања ових радника у односу на број стално ангажованих радника.</w:t>
            </w:r>
          </w:p>
        </w:tc>
        <w:tc>
          <w:tcPr>
            <w:tcW w:w="4172" w:type="dxa"/>
          </w:tcPr>
          <w:p w14:paraId="1F14DA22" w14:textId="77777777" w:rsidR="009E7AB4" w:rsidRPr="00092ED7" w:rsidRDefault="009E7AB4" w:rsidP="009E7AB4">
            <w:pPr>
              <w:spacing w:before="0" w:after="0"/>
              <w:rPr>
                <w:rFonts w:cs="Times New Roman"/>
                <w:sz w:val="20"/>
                <w:lang w:val="sr-Cyrl-CS"/>
              </w:rPr>
            </w:pPr>
            <w:r w:rsidRPr="00092ED7">
              <w:rPr>
                <w:rFonts w:cs="Times New Roman"/>
                <w:bCs/>
                <w:sz w:val="20"/>
                <w:lang w:val="sr-Cyrl-CS"/>
              </w:rPr>
              <w:t xml:space="preserve">Предлог није прихватљив из следећих разлога: проширење обухвата Закона о поједностављеном радном ангажовању на сезонским пословима у одређеним делатностима је већ обухваћено другим стратешким документима – Предлогом програма за сузбијање сиве економије 2022-2025. године са акционим планом. Поред тога, доношење овог закона само по себи не може да преставља структурну реформу, већ спада у редовне активности у оквиру надлежног Министарства. </w:t>
            </w:r>
          </w:p>
        </w:tc>
      </w:tr>
      <w:tr w:rsidR="009E7AB4" w:rsidRPr="00092ED7" w14:paraId="4B9A0FDD" w14:textId="77777777" w:rsidTr="009E7AB4">
        <w:trPr>
          <w:trHeight w:val="530"/>
        </w:trPr>
        <w:tc>
          <w:tcPr>
            <w:tcW w:w="2789" w:type="dxa"/>
          </w:tcPr>
          <w:p w14:paraId="096C64C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Реформа система опорезивања</w:t>
            </w:r>
          </w:p>
          <w:p w14:paraId="1E6365BD"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зарада</w:t>
            </w:r>
          </w:p>
        </w:tc>
        <w:tc>
          <w:tcPr>
            <w:tcW w:w="2789" w:type="dxa"/>
          </w:tcPr>
          <w:p w14:paraId="6642BAA8" w14:textId="77777777" w:rsidR="009E7AB4" w:rsidRPr="00092ED7" w:rsidRDefault="009E7AB4" w:rsidP="009E7AB4">
            <w:pPr>
              <w:spacing w:before="0" w:after="0"/>
              <w:rPr>
                <w:rFonts w:cs="Times New Roman"/>
                <w:sz w:val="20"/>
                <w:lang w:val="sr-Cyrl-CS"/>
              </w:rPr>
            </w:pPr>
          </w:p>
        </w:tc>
        <w:tc>
          <w:tcPr>
            <w:tcW w:w="4198" w:type="dxa"/>
          </w:tcPr>
          <w:p w14:paraId="28FFA54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Реформа подразумева анализу потенцијалних решења, одабир оптималног   решења,   припрему   плана   имплментације и спровођење. Размотрити различите моделе како би пореско оптерећење плата било смањено у корист радника и послодаваца (повећање неопорезивог дела зараде, промена стопе пореза на зараде, умањење основице за обрачун појединачних или свих доприноса, као и могућност да се оптерећење рада не посматра само на нивоу запосленог, већ да се у обзир узму и издржавани чланови породице).</w:t>
            </w:r>
          </w:p>
          <w:p w14:paraId="72759F36"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При  разматрању  реформе  доприноса,  сагледати  могућност укидања  доприноса  за  обавезно  здравствено  осигурање  и</w:t>
            </w:r>
          </w:p>
          <w:p w14:paraId="2569E0D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увођење   Бевериџовог   модела,   који   подразумева   да   се здравствена заштита финансира из општих пореза, чиме ће се</w:t>
            </w:r>
          </w:p>
          <w:p w14:paraId="69E271B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обезбедити здравствена заштита за све грађане без обзира на њихов радни статус, и значајно административно смањење услед укидања обавеза доказивање својства осигураника, оверавања здравствених књижица и сл.</w:t>
            </w:r>
          </w:p>
        </w:tc>
        <w:tc>
          <w:tcPr>
            <w:tcW w:w="4172" w:type="dxa"/>
          </w:tcPr>
          <w:p w14:paraId="2F305CE2"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 документима фискалне стратегије о циљевима фискалне политике који се односе на године од 2018. до 2023. опредељено је смањење фискалног оптерећења рада кроз континуирано смањење пореза и доприноса на зараде. Смањење фискалног оптерећења рада реализује се повећањем неопорезивог износа зараде и смањењем стопе доприноса за обавезно социјално осигурање, а све у зависности од створеног додатног фискалног простора који може да се искористи за смањење пореског оптерећења зарада. За више детаља видети поглавље 2. препорука 6. ЕКОФИН савета.</w:t>
            </w:r>
          </w:p>
          <w:p w14:paraId="6D680BD0" w14:textId="77777777" w:rsidR="009E7AB4" w:rsidRPr="00092ED7" w:rsidRDefault="009E7AB4" w:rsidP="009E7AB4">
            <w:pPr>
              <w:spacing w:before="0" w:after="0"/>
              <w:rPr>
                <w:rFonts w:cs="Times New Roman"/>
                <w:sz w:val="20"/>
                <w:lang w:val="sr-Cyrl-CS"/>
              </w:rPr>
            </w:pPr>
          </w:p>
        </w:tc>
      </w:tr>
      <w:tr w:rsidR="009E7AB4" w:rsidRPr="00092ED7" w14:paraId="5C235804" w14:textId="77777777" w:rsidTr="009E7AB4">
        <w:tc>
          <w:tcPr>
            <w:tcW w:w="2789" w:type="dxa"/>
          </w:tcPr>
          <w:p w14:paraId="705F814D"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Управљање образовним</w:t>
            </w:r>
          </w:p>
          <w:p w14:paraId="1AF0560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квотама и исходима</w:t>
            </w:r>
          </w:p>
          <w:p w14:paraId="1120B8C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образовања</w:t>
            </w:r>
          </w:p>
        </w:tc>
        <w:tc>
          <w:tcPr>
            <w:tcW w:w="2789" w:type="dxa"/>
          </w:tcPr>
          <w:p w14:paraId="2F5DCEFD" w14:textId="77777777" w:rsidR="009E7AB4" w:rsidRPr="00092ED7" w:rsidRDefault="009E7AB4" w:rsidP="009E7AB4">
            <w:pPr>
              <w:spacing w:before="0" w:after="0"/>
              <w:rPr>
                <w:rFonts w:cs="Times New Roman"/>
                <w:sz w:val="20"/>
                <w:lang w:val="sr-Cyrl-CS"/>
              </w:rPr>
            </w:pPr>
          </w:p>
        </w:tc>
        <w:tc>
          <w:tcPr>
            <w:tcW w:w="4198" w:type="dxa"/>
          </w:tcPr>
          <w:p w14:paraId="3CDA7CD4"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Неопходно је увођење управљања уписним квотама и учинити образовне профиле које се односе на дефицитарна занимања привлачнијим за ученике. Било би веома пожељно пратити дефицитарна занимања и радити на томе да се дефицитарни профили   кроз   систем   стипендирања   учине  привлачнијим.</w:t>
            </w:r>
          </w:p>
          <w:p w14:paraId="24F39E5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Такође,  неопходно  је  радити  на  унапређивању  квалитета образовања када су у питању основне вештине, односно радити на   унапређењу   постигнућа   у   образовању   у   складу   са препорукама  ОЕЦД-а.  Додатно,  неопходно  је  кроз  систем образовања   радити   и   на   унапређивању   меких   вештина ученика/дипломаца.</w:t>
            </w:r>
          </w:p>
          <w:p w14:paraId="310E5AD4" w14:textId="77777777" w:rsidR="009E7AB4" w:rsidRPr="00092ED7" w:rsidRDefault="009E7AB4" w:rsidP="009E7AB4">
            <w:pPr>
              <w:spacing w:before="0" w:after="0"/>
              <w:rPr>
                <w:rFonts w:cs="Times New Roman"/>
                <w:sz w:val="20"/>
                <w:lang w:val="sr-Cyrl-CS"/>
              </w:rPr>
            </w:pPr>
          </w:p>
        </w:tc>
        <w:tc>
          <w:tcPr>
            <w:tcW w:w="4172" w:type="dxa"/>
          </w:tcPr>
          <w:p w14:paraId="0EBF4E16"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Предлог се сматра прихватљивим будући да потпуно кореспондира са мерама и активностима планираним за период 2023-2026. У наредном периоду планирано је развијање система прогноза за знањима и вештинама на националном, регионалном и локалном нивоу као и да успостављање система континуираног праћења ефеката примене квалификација на запошљавање и целоживотно учење. У складу са наведеним посебна пажња биће посвећена унапређивању система креирања уписне политике на средњошколском нивоу усклађене са потребама тржишта рада и друштва у целини. Такође, у наредном периоду планирано је развијање/унапређивање структуралног и методолошког оквира за развој програма наставе и учења у доуниверзитетском образовању у складу са стандардима постигнућа и стандардима квалификација, са посебним акцентом на уграђивање кључних компетенција у стандарде квалификација, односно у планове и програме наставе и учења. Сходно томе, предлог ће бити узет у обзир у наредном документу ЕРП. </w:t>
            </w:r>
          </w:p>
        </w:tc>
      </w:tr>
      <w:tr w:rsidR="009E7AB4" w:rsidRPr="00092ED7" w14:paraId="6D541343" w14:textId="77777777" w:rsidTr="009E7AB4">
        <w:trPr>
          <w:trHeight w:val="3050"/>
        </w:trPr>
        <w:tc>
          <w:tcPr>
            <w:tcW w:w="2789" w:type="dxa"/>
          </w:tcPr>
          <w:p w14:paraId="52F469D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Израда анализе о потребама и</w:t>
            </w:r>
          </w:p>
          <w:p w14:paraId="058E506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могућностима везаним за</w:t>
            </w:r>
          </w:p>
          <w:p w14:paraId="3FAE4DD7"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ангажовање иностране радне снаге</w:t>
            </w:r>
          </w:p>
          <w:p w14:paraId="1CECF837" w14:textId="77777777" w:rsidR="009E7AB4" w:rsidRPr="00092ED7" w:rsidRDefault="009E7AB4" w:rsidP="009E7AB4">
            <w:pPr>
              <w:spacing w:before="0" w:after="0"/>
              <w:ind w:left="0"/>
              <w:rPr>
                <w:rFonts w:cs="Times New Roman"/>
                <w:sz w:val="20"/>
                <w:lang w:val="sr-Cyrl-CS"/>
              </w:rPr>
            </w:pPr>
          </w:p>
        </w:tc>
        <w:tc>
          <w:tcPr>
            <w:tcW w:w="2789" w:type="dxa"/>
          </w:tcPr>
          <w:p w14:paraId="49FB17EB" w14:textId="77777777" w:rsidR="009E7AB4" w:rsidRPr="00092ED7" w:rsidRDefault="009E7AB4" w:rsidP="009E7AB4">
            <w:pPr>
              <w:spacing w:before="0" w:after="0"/>
              <w:rPr>
                <w:rFonts w:cs="Times New Roman"/>
                <w:sz w:val="20"/>
                <w:lang w:val="sr-Cyrl-CS"/>
              </w:rPr>
            </w:pPr>
          </w:p>
        </w:tc>
        <w:tc>
          <w:tcPr>
            <w:tcW w:w="4198" w:type="dxa"/>
          </w:tcPr>
          <w:p w14:paraId="40D16637" w14:textId="692A569B"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 складу са активношћу 5.1.7. Акционог плана у најскоријем времену треба започети са   израдом   детаљне   анализе   о могућностима   ангажовања   стране   радне   снаге   у   </w:t>
            </w:r>
            <w:r w:rsidR="003B5902" w:rsidRPr="00092ED7">
              <w:rPr>
                <w:rFonts w:cs="Times New Roman"/>
                <w:sz w:val="20"/>
                <w:lang w:val="sr-Cyrl-CS"/>
              </w:rPr>
              <w:t xml:space="preserve">Републици </w:t>
            </w:r>
            <w:r w:rsidRPr="00092ED7">
              <w:rPr>
                <w:rFonts w:cs="Times New Roman"/>
                <w:sz w:val="20"/>
                <w:lang w:val="sr-Cyrl-CS"/>
              </w:rPr>
              <w:t xml:space="preserve">Србији. Истовремено, пожељно је извршити и додатне анализе у којим земљама постоји суфицит занимања која су потребна тржишту рада у </w:t>
            </w:r>
            <w:r w:rsidR="003B5902" w:rsidRPr="00092ED7">
              <w:rPr>
                <w:rFonts w:cs="Times New Roman"/>
                <w:sz w:val="20"/>
                <w:lang w:val="sr-Cyrl-CS"/>
              </w:rPr>
              <w:t xml:space="preserve">Републици </w:t>
            </w:r>
            <w:r w:rsidRPr="00092ED7">
              <w:rPr>
                <w:rFonts w:cs="Times New Roman"/>
                <w:sz w:val="20"/>
                <w:lang w:val="sr-Cyrl-CS"/>
              </w:rPr>
              <w:t>Србији. Ова активност би представљала путоказ у смислу потреба   за   формирањем   билатералних   уговора,   лакшем добијању радних дозвола за резиденте трећих земаља и оствању права  из  радног  односа  које  би  потенцијално  омогућило привлачење радне снаге виших квалификација.</w:t>
            </w:r>
          </w:p>
        </w:tc>
        <w:tc>
          <w:tcPr>
            <w:tcW w:w="4172" w:type="dxa"/>
            <w:vMerge w:val="restart"/>
          </w:tcPr>
          <w:p w14:paraId="3C4B2FA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Предложене структурне реформе представљају активности предвиђене Акционим планом за период 2021-2023. године Стратегије о економским миграцијама Републике Србије за период 2021‒2027. године. </w:t>
            </w:r>
          </w:p>
          <w:p w14:paraId="2B6F4A0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Реализација ових активности може се пратити кроз Извештај о спровођењу Акционог плана за 2022. годину, који се израђује у првом кварталу 2023, у складу са Законом о планском систему.  Резултати добијени на основу Извештаја указаће на ефикасност предложених активности, као и у ком правцу се наведене активности спроводе, а што ће бити полазно мерило за доношење следећег Акционог плана. </w:t>
            </w:r>
          </w:p>
          <w:p w14:paraId="6777786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Дакле, не могу се прихватити ови предлози за нове структурне реформе, јер наведено представља активности које су већ препознате у горе наведеној Стратегији и Акционом плану, и предложене како би се њиховом реализацијом постигло испуњење посебних и општег циља. Мишљења смо да, због чињенице да већи део предлога представља или редовне активности, или је, као у случају првог предлога (Израда анализе о потребама и могућностима везаним за ангажовање иностране радне снаге) реч о једнократном послу, а не о структурној реформи.</w:t>
            </w:r>
          </w:p>
        </w:tc>
      </w:tr>
      <w:tr w:rsidR="009E7AB4" w:rsidRPr="00092ED7" w14:paraId="4C116723" w14:textId="77777777" w:rsidTr="009E7AB4">
        <w:tc>
          <w:tcPr>
            <w:tcW w:w="2789" w:type="dxa"/>
          </w:tcPr>
          <w:p w14:paraId="4D73E27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Процена</w:t>
            </w:r>
          </w:p>
          <w:p w14:paraId="71C46D4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компетенција потенцијалних</w:t>
            </w:r>
          </w:p>
          <w:p w14:paraId="17A26DB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имиграната</w:t>
            </w:r>
          </w:p>
          <w:p w14:paraId="4D58667D" w14:textId="77777777" w:rsidR="009E7AB4" w:rsidRPr="00092ED7" w:rsidRDefault="009E7AB4" w:rsidP="009E7AB4">
            <w:pPr>
              <w:spacing w:before="0" w:after="0"/>
              <w:rPr>
                <w:rFonts w:cs="Times New Roman"/>
                <w:sz w:val="20"/>
                <w:lang w:val="sr-Cyrl-CS"/>
              </w:rPr>
            </w:pPr>
          </w:p>
        </w:tc>
        <w:tc>
          <w:tcPr>
            <w:tcW w:w="2789" w:type="dxa"/>
          </w:tcPr>
          <w:p w14:paraId="5360B528" w14:textId="77777777" w:rsidR="009E7AB4" w:rsidRPr="00092ED7" w:rsidRDefault="009E7AB4" w:rsidP="009E7AB4">
            <w:pPr>
              <w:spacing w:before="0" w:after="0"/>
              <w:rPr>
                <w:rFonts w:cs="Times New Roman"/>
                <w:sz w:val="20"/>
                <w:lang w:val="sr-Cyrl-CS"/>
              </w:rPr>
            </w:pPr>
          </w:p>
        </w:tc>
        <w:tc>
          <w:tcPr>
            <w:tcW w:w="4198" w:type="dxa"/>
          </w:tcPr>
          <w:p w14:paraId="4012A10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Како би се превазишао  информациони јаз и   снизили трансакциони трошкови ангажовања иностране радне снаге било би потребно развити софтверско решење за ex-ante процену компетенција потенцијалних имиграната. Овакво решење могло би бити нарочито корисно за послове који не захтевају значајне</w:t>
            </w:r>
          </w:p>
          <w:p w14:paraId="25B7D5F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формалне компетенције, већ апострофирају стечено искуство и вештине - као што је случај у већини ВКВ занимања унутар прерађивачке индустрије, те занимања унутар транспорта и складиштења, услуга смештаја и исхране.</w:t>
            </w:r>
          </w:p>
        </w:tc>
        <w:tc>
          <w:tcPr>
            <w:tcW w:w="4172" w:type="dxa"/>
            <w:vMerge/>
          </w:tcPr>
          <w:p w14:paraId="18994C50" w14:textId="77777777" w:rsidR="009E7AB4" w:rsidRPr="00092ED7" w:rsidRDefault="009E7AB4" w:rsidP="009E7AB4">
            <w:pPr>
              <w:spacing w:before="0" w:after="0"/>
              <w:rPr>
                <w:rFonts w:cs="Times New Roman"/>
                <w:sz w:val="20"/>
                <w:lang w:val="sr-Cyrl-CS"/>
              </w:rPr>
            </w:pPr>
          </w:p>
        </w:tc>
      </w:tr>
      <w:tr w:rsidR="009E7AB4" w:rsidRPr="00092ED7" w14:paraId="270BB35A" w14:textId="77777777" w:rsidTr="009E7AB4">
        <w:tc>
          <w:tcPr>
            <w:tcW w:w="2789" w:type="dxa"/>
          </w:tcPr>
          <w:p w14:paraId="52AE8DE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Унапређивање билатералне сарадње са</w:t>
            </w:r>
          </w:p>
          <w:p w14:paraId="0D865E6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земљама дестинацијама и</w:t>
            </w:r>
          </w:p>
          <w:p w14:paraId="76E0C246"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иностраним привредним</w:t>
            </w:r>
          </w:p>
          <w:p w14:paraId="2789F95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коморама</w:t>
            </w:r>
          </w:p>
          <w:p w14:paraId="732FF0B2" w14:textId="77777777" w:rsidR="009E7AB4" w:rsidRPr="00092ED7" w:rsidRDefault="009E7AB4" w:rsidP="009E7AB4">
            <w:pPr>
              <w:spacing w:before="0" w:after="0"/>
              <w:rPr>
                <w:rFonts w:cs="Times New Roman"/>
                <w:sz w:val="20"/>
                <w:lang w:val="sr-Cyrl-CS"/>
              </w:rPr>
            </w:pPr>
          </w:p>
        </w:tc>
        <w:tc>
          <w:tcPr>
            <w:tcW w:w="2789" w:type="dxa"/>
          </w:tcPr>
          <w:p w14:paraId="1131D84D" w14:textId="77777777" w:rsidR="009E7AB4" w:rsidRPr="00092ED7" w:rsidRDefault="009E7AB4" w:rsidP="009E7AB4">
            <w:pPr>
              <w:spacing w:before="0" w:after="0"/>
              <w:rPr>
                <w:rFonts w:cs="Times New Roman"/>
                <w:sz w:val="20"/>
                <w:lang w:val="sr-Cyrl-CS"/>
              </w:rPr>
            </w:pPr>
          </w:p>
        </w:tc>
        <w:tc>
          <w:tcPr>
            <w:tcW w:w="4198" w:type="dxa"/>
          </w:tcPr>
          <w:p w14:paraId="4043AA5C" w14:textId="16A35B32"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Имајући у виду све доминантнији приступ у коришћењу извора података  земаља  дестинације   односно  </w:t>
            </w:r>
            <w:r w:rsidR="002A4877" w:rsidRPr="00092ED7">
              <w:rPr>
                <w:rFonts w:cs="Times New Roman"/>
                <w:sz w:val="20"/>
                <w:lang w:val="sr-Cyrl-CS"/>
              </w:rPr>
              <w:t>EUROSTAT</w:t>
            </w:r>
            <w:r w:rsidRPr="00092ED7">
              <w:rPr>
                <w:rFonts w:cs="Times New Roman"/>
                <w:sz w:val="20"/>
                <w:lang w:val="sr-Cyrl-CS"/>
              </w:rPr>
              <w:t xml:space="preserve">-ом,  од изузетне  важности  је  унапређење  билатералне  сарадње  са земљама   дестинације   у   прикупљању   што   прецизнијих   и свеобухватнијих података о емиграцији из </w:t>
            </w:r>
            <w:r w:rsidR="003B5902" w:rsidRPr="00092ED7">
              <w:rPr>
                <w:rFonts w:cs="Times New Roman"/>
                <w:sz w:val="20"/>
                <w:lang w:val="sr-Cyrl-CS"/>
              </w:rPr>
              <w:t xml:space="preserve">Републике </w:t>
            </w:r>
            <w:r w:rsidRPr="00092ED7">
              <w:rPr>
                <w:rFonts w:cs="Times New Roman"/>
                <w:sz w:val="20"/>
                <w:lang w:val="sr-Cyrl-CS"/>
              </w:rPr>
              <w:t>Србије, у складу са активностима 1.4.1 и 5.1.3.Акционог плана. На истој линији, потребно    је    радити    на   унапређивању    сарадње    са представништвима иностраних привредних комора.</w:t>
            </w:r>
          </w:p>
        </w:tc>
        <w:tc>
          <w:tcPr>
            <w:tcW w:w="4172" w:type="dxa"/>
            <w:vMerge/>
          </w:tcPr>
          <w:p w14:paraId="7EEB6196" w14:textId="77777777" w:rsidR="009E7AB4" w:rsidRPr="00092ED7" w:rsidRDefault="009E7AB4" w:rsidP="009E7AB4">
            <w:pPr>
              <w:spacing w:before="0" w:after="0"/>
              <w:rPr>
                <w:rFonts w:cs="Times New Roman"/>
                <w:sz w:val="20"/>
                <w:lang w:val="sr-Cyrl-CS"/>
              </w:rPr>
            </w:pPr>
          </w:p>
        </w:tc>
      </w:tr>
      <w:tr w:rsidR="009E7AB4" w:rsidRPr="00092ED7" w14:paraId="11B94956" w14:textId="77777777" w:rsidTr="009E7AB4">
        <w:tc>
          <w:tcPr>
            <w:tcW w:w="2789" w:type="dxa"/>
          </w:tcPr>
          <w:p w14:paraId="06EC40E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w:t>
            </w:r>
          </w:p>
          <w:p w14:paraId="308313D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Циркуларне</w:t>
            </w:r>
          </w:p>
          <w:p w14:paraId="2F9D203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миграције и</w:t>
            </w:r>
          </w:p>
          <w:p w14:paraId="39E969D2"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национална база</w:t>
            </w:r>
          </w:p>
          <w:p w14:paraId="4A8D6B97"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експерата</w:t>
            </w:r>
          </w:p>
        </w:tc>
        <w:tc>
          <w:tcPr>
            <w:tcW w:w="2789" w:type="dxa"/>
          </w:tcPr>
          <w:p w14:paraId="2E655294" w14:textId="77777777" w:rsidR="009E7AB4" w:rsidRPr="00092ED7" w:rsidRDefault="009E7AB4" w:rsidP="009E7AB4">
            <w:pPr>
              <w:spacing w:before="0" w:after="0"/>
              <w:rPr>
                <w:rFonts w:cs="Times New Roman"/>
                <w:sz w:val="20"/>
                <w:lang w:val="sr-Cyrl-CS"/>
              </w:rPr>
            </w:pPr>
          </w:p>
        </w:tc>
        <w:tc>
          <w:tcPr>
            <w:tcW w:w="4198" w:type="dxa"/>
          </w:tcPr>
          <w:p w14:paraId="001DBFA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Пожељно је у најскоријем времену почети са спровођењем активности   Акционог   плана (5.2.2)   којом   је   предвиђено спровођење полазног истраживања и припрема трогодишњег плана за истраживања о циркуларним и повратним миграцијама.</w:t>
            </w:r>
          </w:p>
          <w:p w14:paraId="104D1806" w14:textId="58055FEE"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Додатно, пожељно је размотрити и могућност успостављања националне базе експерата, доступних модула за едукацију, приручника и материјала. У том домену од посебног значаја могу бити партнерства са међународним организацијама које могу подржати   идентификовање   модула,   приручника   и материјала који већ постоје у упоредној пракси и који се могу прилагодити контексту </w:t>
            </w:r>
            <w:r w:rsidR="003B5902" w:rsidRPr="00092ED7">
              <w:rPr>
                <w:rFonts w:cs="Times New Roman"/>
                <w:sz w:val="20"/>
                <w:lang w:val="sr-Cyrl-CS"/>
              </w:rPr>
              <w:t xml:space="preserve">Републике </w:t>
            </w:r>
            <w:r w:rsidRPr="00092ED7">
              <w:rPr>
                <w:rFonts w:cs="Times New Roman"/>
                <w:sz w:val="20"/>
                <w:lang w:val="sr-Cyrl-CS"/>
              </w:rPr>
              <w:t>Србије.</w:t>
            </w:r>
          </w:p>
        </w:tc>
        <w:tc>
          <w:tcPr>
            <w:tcW w:w="4172" w:type="dxa"/>
            <w:vMerge/>
          </w:tcPr>
          <w:p w14:paraId="789F48D0" w14:textId="77777777" w:rsidR="009E7AB4" w:rsidRPr="00092ED7" w:rsidRDefault="009E7AB4" w:rsidP="009E7AB4">
            <w:pPr>
              <w:spacing w:before="0" w:after="0"/>
              <w:rPr>
                <w:rFonts w:cs="Times New Roman"/>
                <w:sz w:val="20"/>
                <w:lang w:val="sr-Cyrl-CS"/>
              </w:rPr>
            </w:pPr>
          </w:p>
        </w:tc>
      </w:tr>
      <w:tr w:rsidR="009E7AB4" w:rsidRPr="00092ED7" w14:paraId="6F5931B2" w14:textId="77777777" w:rsidTr="009E7AB4">
        <w:tc>
          <w:tcPr>
            <w:tcW w:w="2789" w:type="dxa"/>
          </w:tcPr>
          <w:p w14:paraId="0C3F11F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Кључни изазов 2: Стварање пословног амбијента повољнијег за инвестиције и повећање конкурентности</w:t>
            </w:r>
          </w:p>
          <w:p w14:paraId="6AA1845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Структурна</w:t>
            </w:r>
          </w:p>
          <w:p w14:paraId="515E628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реформа 5:</w:t>
            </w:r>
          </w:p>
          <w:p w14:paraId="2CF7CBD6"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Унапређење квалитета</w:t>
            </w:r>
          </w:p>
          <w:p w14:paraId="395399F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пружања јавних услуга кроз оптимизацију и дигитализацију административних поступака- Е- папир</w:t>
            </w:r>
          </w:p>
          <w:p w14:paraId="5745C483" w14:textId="77777777" w:rsidR="009E7AB4" w:rsidRPr="00092ED7" w:rsidRDefault="009E7AB4" w:rsidP="009E7AB4">
            <w:pPr>
              <w:spacing w:before="0" w:after="0"/>
              <w:rPr>
                <w:rFonts w:cs="Times New Roman"/>
                <w:sz w:val="20"/>
                <w:lang w:val="sr-Cyrl-CS"/>
              </w:rPr>
            </w:pPr>
          </w:p>
        </w:tc>
        <w:tc>
          <w:tcPr>
            <w:tcW w:w="2789" w:type="dxa"/>
          </w:tcPr>
          <w:p w14:paraId="2A90A923" w14:textId="77777777" w:rsidR="009E7AB4" w:rsidRPr="00092ED7" w:rsidRDefault="009E7AB4" w:rsidP="009E7AB4">
            <w:pPr>
              <w:spacing w:before="0" w:after="0"/>
              <w:rPr>
                <w:rFonts w:cs="Times New Roman"/>
                <w:sz w:val="20"/>
                <w:lang w:val="sr-Cyrl-CS"/>
              </w:rPr>
            </w:pPr>
          </w:p>
        </w:tc>
        <w:tc>
          <w:tcPr>
            <w:tcW w:w="4198" w:type="dxa"/>
          </w:tcPr>
          <w:p w14:paraId="0AB56B80" w14:textId="3A0C98E4" w:rsidR="009E7AB4" w:rsidRPr="00092ED7" w:rsidRDefault="009E7AB4" w:rsidP="009E7AB4">
            <w:pPr>
              <w:spacing w:before="0" w:after="0"/>
              <w:rPr>
                <w:rFonts w:cs="Times New Roman"/>
                <w:sz w:val="20"/>
                <w:lang w:val="sr-Cyrl-CS"/>
              </w:rPr>
            </w:pPr>
            <w:r w:rsidRPr="00092ED7">
              <w:rPr>
                <w:rFonts w:cs="Times New Roman"/>
                <w:sz w:val="20"/>
                <w:lang w:val="sr-Cyrl-CS"/>
              </w:rPr>
              <w:t>У документу је наведено да Регистар уједно представља полазну основу за формирање ЈЕКТ, што је обавеза у складу са Директивом о услугама 2006/123/ЕЗ чије је транспоновање предвиђено чланом 59. ССП.</w:t>
            </w:r>
          </w:p>
          <w:p w14:paraId="6CE9C16C"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   активностима   наведеним   по годинама   није   планирано формирање ЈЕКТ, што сматрамо неопходним због обавезе из Преговарачког поглавља 3 и због чињенице да је финансирање предвиђено пројектом ИПА 2021.</w:t>
            </w:r>
          </w:p>
          <w:p w14:paraId="5EAE47B7" w14:textId="10524224" w:rsidR="009E7AB4" w:rsidRPr="00092ED7" w:rsidRDefault="009E7AB4" w:rsidP="008479FB">
            <w:pPr>
              <w:spacing w:before="0" w:after="0"/>
              <w:rPr>
                <w:rFonts w:cs="Times New Roman"/>
                <w:sz w:val="20"/>
                <w:lang w:val="sr-Cyrl-CS"/>
              </w:rPr>
            </w:pPr>
            <w:r w:rsidRPr="00092ED7">
              <w:rPr>
                <w:rFonts w:cs="Times New Roman"/>
                <w:sz w:val="20"/>
                <w:lang w:val="sr-Cyrl-CS"/>
              </w:rPr>
              <w:t xml:space="preserve">Доношење Закона о услугама /усклађеног са Директивом о услугама 2006/123 и успостављање </w:t>
            </w:r>
            <w:r w:rsidR="008479FB" w:rsidRPr="00092ED7">
              <w:rPr>
                <w:rFonts w:cs="Times New Roman"/>
                <w:sz w:val="20"/>
                <w:lang w:val="sr-Cyrl-CS"/>
              </w:rPr>
              <w:t>ЈЕКТ</w:t>
            </w:r>
            <w:r w:rsidRPr="00092ED7">
              <w:rPr>
                <w:rFonts w:cs="Times New Roman"/>
                <w:sz w:val="20"/>
                <w:lang w:val="sr-Cyrl-CS"/>
              </w:rPr>
              <w:t>, Припрема  Стратегије  за  спровођење  закона  и  дефинисање националне листе услуга на које ће се закон односити, финална листа  секторских  прописа  које  треба  изменити  у  смислу усклађивања са Законом о услугама. Успостављање и рад ЈЕКТ у   циљу   пружања   пуне   информације   заинтересованима   о условима за пружање услуга и на тај начин омогућити једну од четири слободе - слободан проток услуга. То је обавеза из Преговарачког поглавља 3.</w:t>
            </w:r>
          </w:p>
        </w:tc>
        <w:tc>
          <w:tcPr>
            <w:tcW w:w="4172" w:type="dxa"/>
          </w:tcPr>
          <w:p w14:paraId="5F021E8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Имајући у виду значај области услуга и у вези са тиме и ЈЕКТ, ова примедба је изузетно корисна, али имајући у виду њен  обим и захтевност, биће размотрена као посебна СР у наредном циклусу ЕРП.</w:t>
            </w:r>
          </w:p>
        </w:tc>
      </w:tr>
      <w:tr w:rsidR="009E7AB4" w:rsidRPr="00092ED7" w14:paraId="34DBA0F8" w14:textId="77777777" w:rsidTr="009E7AB4">
        <w:tc>
          <w:tcPr>
            <w:tcW w:w="2789" w:type="dxa"/>
          </w:tcPr>
          <w:p w14:paraId="4BD47D0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Стављање МСП у центар развојних политика</w:t>
            </w:r>
          </w:p>
        </w:tc>
        <w:tc>
          <w:tcPr>
            <w:tcW w:w="2789" w:type="dxa"/>
          </w:tcPr>
          <w:p w14:paraId="31CCC5F7" w14:textId="77777777" w:rsidR="009E7AB4" w:rsidRPr="00092ED7" w:rsidRDefault="009E7AB4" w:rsidP="009E7AB4">
            <w:pPr>
              <w:spacing w:before="0" w:after="0"/>
              <w:rPr>
                <w:rFonts w:cs="Times New Roman"/>
                <w:sz w:val="20"/>
                <w:lang w:val="sr-Cyrl-CS"/>
              </w:rPr>
            </w:pPr>
          </w:p>
        </w:tc>
        <w:tc>
          <w:tcPr>
            <w:tcW w:w="4198" w:type="dxa"/>
          </w:tcPr>
          <w:p w14:paraId="17D36176" w14:textId="27AA7BC2" w:rsidR="009E7AB4" w:rsidRPr="00092ED7" w:rsidRDefault="009E7AB4" w:rsidP="00D80E02">
            <w:pPr>
              <w:spacing w:before="0" w:after="0"/>
              <w:rPr>
                <w:rFonts w:cs="Times New Roman"/>
                <w:sz w:val="20"/>
                <w:lang w:val="sr-Cyrl-CS"/>
              </w:rPr>
            </w:pPr>
            <w:r w:rsidRPr="00092ED7">
              <w:rPr>
                <w:rFonts w:cs="Times New Roman"/>
                <w:sz w:val="20"/>
                <w:lang w:val="sr-Cyrl-CS"/>
              </w:rPr>
              <w:t xml:space="preserve">Реформа подразумева редефинисање политика која се односе на МСП кроз Стратегију за МСП дефинисати мере и програме који би поспешили  развој МСП као носиоце економског развоја.  Као критеријум за избор субвенционисаних СДИ увести </w:t>
            </w:r>
            <w:r w:rsidR="00D80E02" w:rsidRPr="00092ED7">
              <w:rPr>
                <w:rFonts w:cs="Times New Roman"/>
                <w:sz w:val="20"/>
                <w:lang w:val="sr-Cyrl-CS"/>
              </w:rPr>
              <w:t>-„</w:t>
            </w:r>
            <w:r w:rsidRPr="00092ED7">
              <w:rPr>
                <w:rFonts w:cs="Times New Roman"/>
                <w:sz w:val="20"/>
                <w:lang w:val="sr-Cyrl-CS"/>
              </w:rPr>
              <w:t>утицај СДИ на МСП”. МСП -дати предност у јавним набавкама (за почетак  спровести  пилот  пројекте  у  јавним  предузећима). Редефинисати пореске политике које се односе на МСП-за почетак вратити порески кредит на инвестиције из добити. Редефинисати    пореске    олакшице    и    друге    облике субвенционисања улагања у развој и задржавање  кадрова од стране МСП. Као посебну политику успоставити програме за напредна МСП, пре свега по питању дигитализације.</w:t>
            </w:r>
          </w:p>
        </w:tc>
        <w:tc>
          <w:tcPr>
            <w:tcW w:w="4172" w:type="dxa"/>
          </w:tcPr>
          <w:p w14:paraId="234E9F58" w14:textId="525A84FC"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Предлог је прихватљив, мера  може да буде узета у обзир приликом израде  новог документа ЕРП 2024-2026, имајући у виду да ће се нова Стратегија за развој МСПП 2023-2027 усвојити почетком </w:t>
            </w:r>
            <w:r w:rsidR="00ED284E" w:rsidRPr="00092ED7">
              <w:rPr>
                <w:rFonts w:cs="Times New Roman"/>
                <w:sz w:val="20"/>
                <w:lang w:val="sr-Cyrl-CS"/>
              </w:rPr>
              <w:t>2023. године</w:t>
            </w:r>
            <w:r w:rsidRPr="00092ED7">
              <w:rPr>
                <w:rFonts w:cs="Times New Roman"/>
                <w:sz w:val="20"/>
                <w:lang w:val="sr-Cyrl-CS"/>
              </w:rPr>
              <w:t>. Међутим, имајући у виду да није могуће приказати све реформске процесе у ЕРП, важне активности су приказане и у дијагностици сваке области. На тај начин МСПП обухваћене су у кључном изазову 2, као и областима Пољопривреда индустрија и услуге и Дигитална трансформација.</w:t>
            </w:r>
          </w:p>
          <w:p w14:paraId="1A43C4A5" w14:textId="77777777" w:rsidR="009E7AB4" w:rsidRPr="00092ED7" w:rsidRDefault="009E7AB4" w:rsidP="009E7AB4">
            <w:pPr>
              <w:spacing w:before="0" w:after="0"/>
              <w:rPr>
                <w:rFonts w:cs="Times New Roman"/>
                <w:sz w:val="20"/>
                <w:lang w:val="sr-Cyrl-CS"/>
              </w:rPr>
            </w:pPr>
          </w:p>
        </w:tc>
      </w:tr>
      <w:tr w:rsidR="009E7AB4" w:rsidRPr="00092ED7" w14:paraId="0DF12CE0" w14:textId="77777777" w:rsidTr="009E7AB4">
        <w:tc>
          <w:tcPr>
            <w:tcW w:w="2789" w:type="dxa"/>
          </w:tcPr>
          <w:p w14:paraId="68BB185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Унапређење квалитета</w:t>
            </w:r>
          </w:p>
          <w:p w14:paraId="6CA0CD8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пружања јавних услуга кроз оптимизацију и</w:t>
            </w:r>
          </w:p>
          <w:p w14:paraId="6FFA1979"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дигитализацију административних</w:t>
            </w:r>
          </w:p>
          <w:p w14:paraId="68B017FD"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поступака - Е-простор</w:t>
            </w:r>
          </w:p>
        </w:tc>
        <w:tc>
          <w:tcPr>
            <w:tcW w:w="2789" w:type="dxa"/>
          </w:tcPr>
          <w:p w14:paraId="46952771" w14:textId="77777777" w:rsidR="009E7AB4" w:rsidRPr="00092ED7" w:rsidRDefault="009E7AB4" w:rsidP="009E7AB4">
            <w:pPr>
              <w:spacing w:before="0" w:after="0"/>
              <w:rPr>
                <w:rFonts w:cs="Times New Roman"/>
                <w:sz w:val="20"/>
                <w:lang w:val="sr-Cyrl-CS"/>
              </w:rPr>
            </w:pPr>
          </w:p>
        </w:tc>
        <w:tc>
          <w:tcPr>
            <w:tcW w:w="4198" w:type="dxa"/>
          </w:tcPr>
          <w:p w14:paraId="6316EE6B" w14:textId="14DCFED1"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Реформа подразумева успостављање дигиталне платформе за израду и објављивање  планских  докумената -  e-простор. Укључује различите активности и то: успостављање еПлана, као централног система кроз који се врши продукција планских докумената и правних режима којима се уређује коришћење простора   и   земљишта,   укључујући   и   услове   изградње; оптимизација    планских    докумената    по    врстама    и стандардизацији њихове садржине, методологије и формата у коме се израђују и размењују; успостављање правног оквира и софтверске апликације за спровођење обједињене електронске процедуре за доношење просторних и урбанистичких планова и потврђивање    урбанистичких    пројеката; успостављање софтверске   апликације   за   контролу   квалитета,   односно верификацију усклађености дигиталних података просторних и урбанистичких планова и урбанистичких пројеката са усвојеним техничким   стандардима;   успостављање   Централне   базе планских докумената и урбанистичких пројеката и важећих правних режима ИЈО; унапређење капацитета ЈЛС за обављање послова у области урбанизма успостављањем међуопштинске сарадње;  успостављање  портала  еПростор,  преко  кога  ће обезбедити јавна доступност свих релевантних информација у вези са условима коришћење простора и земљишта у </w:t>
            </w:r>
            <w:r w:rsidR="003B5902" w:rsidRPr="00092ED7">
              <w:rPr>
                <w:rFonts w:cs="Times New Roman"/>
                <w:sz w:val="20"/>
                <w:lang w:val="sr-Cyrl-CS"/>
              </w:rPr>
              <w:t xml:space="preserve">Републици </w:t>
            </w:r>
            <w:r w:rsidRPr="00092ED7">
              <w:rPr>
                <w:rFonts w:cs="Times New Roman"/>
                <w:sz w:val="20"/>
                <w:lang w:val="sr-Cyrl-CS"/>
              </w:rPr>
              <w:t>Србији.</w:t>
            </w:r>
          </w:p>
        </w:tc>
        <w:tc>
          <w:tcPr>
            <w:tcW w:w="4172" w:type="dxa"/>
          </w:tcPr>
          <w:p w14:paraId="01C56CF2"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СР је претходно била саставни део ЕРП, али је оцењено да представља редовну активност надлежних институција, те је у овом и претходном циклусу израде ЕРП искључена. Ово свакако не значи да се заустављају реформски процеси у овој области.</w:t>
            </w:r>
          </w:p>
        </w:tc>
      </w:tr>
      <w:tr w:rsidR="009E7AB4" w:rsidRPr="00092ED7" w14:paraId="7A848FF1" w14:textId="77777777" w:rsidTr="009E7AB4">
        <w:tc>
          <w:tcPr>
            <w:tcW w:w="2789" w:type="dxa"/>
          </w:tcPr>
          <w:p w14:paraId="78534040" w14:textId="75ACAAA2" w:rsidR="009E7AB4" w:rsidRPr="00092ED7" w:rsidRDefault="009E7AB4" w:rsidP="009E7AB4">
            <w:pPr>
              <w:spacing w:before="0" w:after="0"/>
              <w:rPr>
                <w:rFonts w:cs="Times New Roman"/>
                <w:sz w:val="20"/>
                <w:lang w:val="sr-Cyrl-CS"/>
              </w:rPr>
            </w:pPr>
            <w:r w:rsidRPr="00092ED7">
              <w:rPr>
                <w:rFonts w:cs="Times New Roman"/>
                <w:sz w:val="20"/>
                <w:lang w:val="sr-Cyrl-CS"/>
              </w:rPr>
              <w:t>Кључни изазов 3: Озелењавање енергетског сектора и потпуно отварање енергетског тржишта, СР 9 Интеграција обновљивих извора електричне енергије кроз пројекат „Беогрид 2025</w:t>
            </w:r>
            <w:r w:rsidR="00D80E02" w:rsidRPr="00092ED7">
              <w:rPr>
                <w:rFonts w:cs="Times New Roman"/>
                <w:sz w:val="20"/>
                <w:szCs w:val="22"/>
                <w:lang w:val="sr-Cyrl-CS"/>
              </w:rPr>
              <w:t>”</w:t>
            </w:r>
            <w:r w:rsidRPr="00092ED7">
              <w:rPr>
                <w:rFonts w:cs="Times New Roman"/>
                <w:sz w:val="20"/>
                <w:lang w:val="sr-Cyrl-CS"/>
              </w:rPr>
              <w:t>, општи коментар.</w:t>
            </w:r>
          </w:p>
        </w:tc>
        <w:tc>
          <w:tcPr>
            <w:tcW w:w="2789" w:type="dxa"/>
          </w:tcPr>
          <w:p w14:paraId="2CD4D4E8" w14:textId="77777777" w:rsidR="009E7AB4" w:rsidRPr="00092ED7" w:rsidRDefault="009E7AB4" w:rsidP="009E7AB4">
            <w:pPr>
              <w:spacing w:before="0" w:after="0"/>
              <w:rPr>
                <w:rFonts w:cs="Times New Roman"/>
                <w:sz w:val="20"/>
                <w:lang w:val="sr-Cyrl-CS"/>
              </w:rPr>
            </w:pPr>
          </w:p>
        </w:tc>
        <w:tc>
          <w:tcPr>
            <w:tcW w:w="4198" w:type="dxa"/>
          </w:tcPr>
          <w:p w14:paraId="7BF8934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Констатован је недостатак информација о пројекту Беогрид 2025. (нова СР која је укључена у Нацрт ЕРП-а) и као и о томе</w:t>
            </w:r>
          </w:p>
          <w:p w14:paraId="0A372A8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да ли је исти од стратешке важности.</w:t>
            </w:r>
          </w:p>
        </w:tc>
        <w:tc>
          <w:tcPr>
            <w:tcW w:w="4172" w:type="dxa"/>
          </w:tcPr>
          <w:p w14:paraId="0167D3D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је усвојен и у складу с тим текст допуњен на одговарајући начин.</w:t>
            </w:r>
          </w:p>
          <w:p w14:paraId="07379610" w14:textId="77777777" w:rsidR="009E7AB4" w:rsidRPr="00092ED7" w:rsidRDefault="009E7AB4" w:rsidP="009E7AB4">
            <w:pPr>
              <w:spacing w:before="0" w:after="0"/>
              <w:rPr>
                <w:rFonts w:cs="Times New Roman"/>
                <w:sz w:val="20"/>
                <w:highlight w:val="yellow"/>
                <w:lang w:val="sr-Cyrl-CS"/>
              </w:rPr>
            </w:pPr>
          </w:p>
        </w:tc>
      </w:tr>
      <w:tr w:rsidR="009E7AB4" w:rsidRPr="00092ED7" w14:paraId="3DD3E929" w14:textId="77777777" w:rsidTr="009E7AB4">
        <w:tc>
          <w:tcPr>
            <w:tcW w:w="2789" w:type="dxa"/>
          </w:tcPr>
          <w:p w14:paraId="4A931BBB" w14:textId="77777777" w:rsidR="009E7AB4" w:rsidRPr="00092ED7" w:rsidRDefault="009E7AB4" w:rsidP="009E7AB4">
            <w:pPr>
              <w:spacing w:before="0" w:after="0"/>
              <w:rPr>
                <w:rFonts w:cs="Times New Roman"/>
                <w:sz w:val="20"/>
                <w:lang w:val="sr-Cyrl-CS"/>
              </w:rPr>
            </w:pPr>
          </w:p>
          <w:p w14:paraId="089BAAE1" w14:textId="77777777" w:rsidR="009E7AB4" w:rsidRPr="00092ED7" w:rsidRDefault="009E7AB4" w:rsidP="009E7AB4">
            <w:pPr>
              <w:spacing w:before="0" w:after="0"/>
              <w:rPr>
                <w:rFonts w:cs="Times New Roman"/>
                <w:sz w:val="20"/>
                <w:lang w:val="sr-Cyrl-CS"/>
              </w:rPr>
            </w:pPr>
          </w:p>
        </w:tc>
        <w:tc>
          <w:tcPr>
            <w:tcW w:w="2789" w:type="dxa"/>
          </w:tcPr>
          <w:p w14:paraId="56F73A5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Привредна комора Србије, достављено електронским путем 23. децембра 2022.</w:t>
            </w:r>
          </w:p>
        </w:tc>
        <w:tc>
          <w:tcPr>
            <w:tcW w:w="4198" w:type="dxa"/>
          </w:tcPr>
          <w:p w14:paraId="6585720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 делу који се односи на усвајање стратешких докумената сматрамо да је и  Нацрт водоничне стратегије, као документ који је замишљен да буде интегрисан у Стратегију енергетике или буде усвојен као засебна стратегија важан стратешки документ за енергетски сектор, поред Интегрисаног националног енергетског и климатског плана Републике Србије за период до 2030. године са пројекцијама до 2050. године Стратегије развоја енергетике Републике Србије за период до 2040. године са пројекцијама до 2050. године.</w:t>
            </w:r>
          </w:p>
        </w:tc>
        <w:tc>
          <w:tcPr>
            <w:tcW w:w="4172" w:type="dxa"/>
          </w:tcPr>
          <w:p w14:paraId="4B740AEC"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се не прихвата уз следеће образложење: Стратегија развоја енергетике треба да дефинише енергетску политику целокупног енергетског сектора и нема потребе посебно наглашавати улогу водоника и нацрта водоничне стратегије и давати му приоритет у односу на остале области енергетике.</w:t>
            </w:r>
          </w:p>
        </w:tc>
      </w:tr>
      <w:tr w:rsidR="009E7AB4" w:rsidRPr="00092ED7" w14:paraId="3644B2B6" w14:textId="77777777" w:rsidTr="009E7AB4">
        <w:tc>
          <w:tcPr>
            <w:tcW w:w="2789" w:type="dxa"/>
          </w:tcPr>
          <w:p w14:paraId="05A4932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СР 8: Унапређење услова за повећање енергетске ефикасности кроз стварање услова за примену енергетског означавања и екодизајна, као и кроз подстицаје за унапређење енергетске ефикасности</w:t>
            </w:r>
          </w:p>
        </w:tc>
        <w:tc>
          <w:tcPr>
            <w:tcW w:w="2789" w:type="dxa"/>
          </w:tcPr>
          <w:p w14:paraId="15AEF18D" w14:textId="77777777" w:rsidR="009E7AB4" w:rsidRPr="00092ED7" w:rsidRDefault="009E7AB4" w:rsidP="009E7AB4">
            <w:pPr>
              <w:spacing w:before="0" w:after="0"/>
              <w:rPr>
                <w:rFonts w:cs="Times New Roman"/>
                <w:sz w:val="20"/>
                <w:lang w:val="sr-Cyrl-CS"/>
              </w:rPr>
            </w:pPr>
          </w:p>
        </w:tc>
        <w:tc>
          <w:tcPr>
            <w:tcW w:w="4198" w:type="dxa"/>
          </w:tcPr>
          <w:p w14:paraId="73757DA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 тачки 1. Опис структурне реформе</w:t>
            </w:r>
            <w:r w:rsidRPr="00092ED7">
              <w:rPr>
                <w:rFonts w:cs="Times New Roman"/>
                <w:b/>
                <w:sz w:val="20"/>
                <w:lang w:val="sr-Cyrl-CS"/>
              </w:rPr>
              <w:t xml:space="preserve">  </w:t>
            </w:r>
            <w:r w:rsidRPr="00092ED7">
              <w:rPr>
                <w:rFonts w:cs="Times New Roman"/>
                <w:sz w:val="20"/>
                <w:lang w:val="sr-Cyrl-CS"/>
              </w:rPr>
              <w:t>указујемо да је за за ефикасно спровођење и примену техничких прописа који се односе на еко-дизајн и енергетско означавање производа, поред већ поменутог успостављања и развоја капацитета тела за оцењивање усаглашености производа и јачања капацитета надлежних органа тржишног надзора, важно напоменути и потребу информисања и подизања свести код грађана и најшире јавности о кључним користима од ових производа за економију домаћинстава због дужег века трајања, могућности уштеде енергије, и сл.</w:t>
            </w:r>
          </w:p>
        </w:tc>
        <w:tc>
          <w:tcPr>
            <w:tcW w:w="4172" w:type="dxa"/>
          </w:tcPr>
          <w:p w14:paraId="7D621175" w14:textId="77777777" w:rsidR="009E7AB4" w:rsidRPr="00092ED7" w:rsidRDefault="009E7AB4" w:rsidP="009E7AB4">
            <w:pPr>
              <w:spacing w:before="0" w:after="0"/>
              <w:rPr>
                <w:rFonts w:cs="Times New Roman"/>
                <w:sz w:val="20"/>
                <w:highlight w:val="yellow"/>
                <w:lang w:val="sr-Cyrl-CS"/>
              </w:rPr>
            </w:pPr>
            <w:r w:rsidRPr="00092ED7">
              <w:rPr>
                <w:rFonts w:cs="Times New Roman"/>
                <w:sz w:val="20"/>
                <w:lang w:val="sr-Cyrl-CS"/>
              </w:rPr>
              <w:t xml:space="preserve">Предлог је усвојен и текст описа СР је у складу са тим допуњен. </w:t>
            </w:r>
          </w:p>
        </w:tc>
      </w:tr>
      <w:tr w:rsidR="009E7AB4" w:rsidRPr="00092ED7" w14:paraId="3D157CAF" w14:textId="77777777" w:rsidTr="009E7AB4">
        <w:tc>
          <w:tcPr>
            <w:tcW w:w="2789" w:type="dxa"/>
          </w:tcPr>
          <w:p w14:paraId="0488B7AD" w14:textId="77777777" w:rsidR="009E7AB4" w:rsidRPr="00092ED7" w:rsidRDefault="009E7AB4" w:rsidP="009E7AB4">
            <w:pPr>
              <w:spacing w:before="0" w:after="0"/>
              <w:rPr>
                <w:rFonts w:cs="Times New Roman"/>
                <w:sz w:val="20"/>
                <w:lang w:val="sr-Cyrl-CS"/>
              </w:rPr>
            </w:pPr>
          </w:p>
        </w:tc>
        <w:tc>
          <w:tcPr>
            <w:tcW w:w="2789" w:type="dxa"/>
          </w:tcPr>
          <w:p w14:paraId="0BFB2D3C" w14:textId="77777777" w:rsidR="009E7AB4" w:rsidRPr="00092ED7" w:rsidRDefault="009E7AB4" w:rsidP="009E7AB4">
            <w:pPr>
              <w:spacing w:before="0" w:after="0"/>
              <w:rPr>
                <w:rFonts w:cs="Times New Roman"/>
                <w:sz w:val="20"/>
                <w:lang w:val="sr-Cyrl-CS"/>
              </w:rPr>
            </w:pPr>
          </w:p>
        </w:tc>
        <w:tc>
          <w:tcPr>
            <w:tcW w:w="4198" w:type="dxa"/>
          </w:tcPr>
          <w:p w14:paraId="3E0311E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 тачки 8. Потенцијални ризици</w:t>
            </w:r>
            <w:r w:rsidRPr="00092ED7">
              <w:rPr>
                <w:rFonts w:cs="Times New Roman"/>
                <w:b/>
                <w:sz w:val="20"/>
                <w:lang w:val="sr-Cyrl-CS"/>
              </w:rPr>
              <w:t xml:space="preserve"> </w:t>
            </w:r>
            <w:r w:rsidRPr="00092ED7">
              <w:rPr>
                <w:rFonts w:cs="Times New Roman"/>
                <w:sz w:val="20"/>
                <w:lang w:val="sr-Cyrl-CS"/>
              </w:rPr>
              <w:t>поред</w:t>
            </w:r>
            <w:r w:rsidRPr="00092ED7">
              <w:rPr>
                <w:rFonts w:cs="Times New Roman"/>
                <w:b/>
                <w:sz w:val="20"/>
                <w:lang w:val="sr-Cyrl-CS"/>
              </w:rPr>
              <w:t xml:space="preserve"> </w:t>
            </w:r>
            <w:r w:rsidRPr="00092ED7">
              <w:rPr>
                <w:rFonts w:cs="Times New Roman"/>
                <w:sz w:val="20"/>
                <w:lang w:val="sr-Cyrl-CS"/>
              </w:rPr>
              <w:t>наведених ризика који се односе на недовољна финансијска средства у буџету и недовољне капацитете за оцену усаглашености са захтевима енергетског означавања и екодизајна, сугеришемо да се у потенцијалне ризике додају и недовољни капацитети тржишног надзора.</w:t>
            </w:r>
          </w:p>
        </w:tc>
        <w:tc>
          <w:tcPr>
            <w:tcW w:w="4172" w:type="dxa"/>
          </w:tcPr>
          <w:p w14:paraId="16D323EA" w14:textId="77777777" w:rsidR="009E7AB4" w:rsidRPr="00092ED7" w:rsidRDefault="009E7AB4" w:rsidP="009E7AB4">
            <w:pPr>
              <w:spacing w:before="0" w:after="0"/>
              <w:rPr>
                <w:rFonts w:cs="Times New Roman"/>
                <w:sz w:val="20"/>
                <w:highlight w:val="yellow"/>
                <w:lang w:val="sr-Cyrl-CS"/>
              </w:rPr>
            </w:pPr>
            <w:r w:rsidRPr="00092ED7">
              <w:rPr>
                <w:rFonts w:cs="Times New Roman"/>
                <w:sz w:val="20"/>
                <w:lang w:val="sr-Cyrl-CS"/>
              </w:rPr>
              <w:t>Предлог је усвојен и текст документа је у складу са тим допуњен.</w:t>
            </w:r>
          </w:p>
        </w:tc>
      </w:tr>
      <w:tr w:rsidR="009E7AB4" w:rsidRPr="00092ED7" w14:paraId="0312C7FD" w14:textId="77777777" w:rsidTr="009E7AB4">
        <w:tc>
          <w:tcPr>
            <w:tcW w:w="2789" w:type="dxa"/>
          </w:tcPr>
          <w:p w14:paraId="7C5D13A5" w14:textId="77777777" w:rsidR="009E7AB4" w:rsidRPr="00092ED7" w:rsidRDefault="009E7AB4" w:rsidP="009E7AB4">
            <w:pPr>
              <w:spacing w:before="0" w:after="0"/>
              <w:rPr>
                <w:rFonts w:cs="Times New Roman"/>
                <w:sz w:val="20"/>
                <w:lang w:val="sr-Cyrl-CS"/>
              </w:rPr>
            </w:pPr>
            <w:bookmarkStart w:id="187" w:name="_Toc121414889"/>
            <w:r w:rsidRPr="00092ED7">
              <w:rPr>
                <w:rFonts w:cs="Times New Roman"/>
                <w:sz w:val="20"/>
                <w:lang w:val="sr-Cyrl-CS"/>
              </w:rPr>
              <w:t>5.2.2. Област зелена транзиција</w:t>
            </w:r>
            <w:bookmarkEnd w:id="187"/>
          </w:p>
          <w:p w14:paraId="19C7AB7D" w14:textId="77777777" w:rsidR="009E7AB4" w:rsidRPr="00092ED7" w:rsidRDefault="009E7AB4" w:rsidP="009E7AB4">
            <w:pPr>
              <w:spacing w:before="0" w:after="0"/>
              <w:rPr>
                <w:rFonts w:cs="Times New Roman"/>
                <w:sz w:val="20"/>
                <w:lang w:val="sr-Cyrl-CS"/>
              </w:rPr>
            </w:pPr>
          </w:p>
        </w:tc>
        <w:tc>
          <w:tcPr>
            <w:tcW w:w="2789" w:type="dxa"/>
          </w:tcPr>
          <w:p w14:paraId="1C0A885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Међусекторска радна</w:t>
            </w:r>
          </w:p>
          <w:p w14:paraId="5B1D58B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групa за ЕРП Националног конвента о ЕУ, достављено електронским путем 26. децембрa 2022.</w:t>
            </w:r>
          </w:p>
        </w:tc>
        <w:tc>
          <w:tcPr>
            <w:tcW w:w="4198" w:type="dxa"/>
          </w:tcPr>
          <w:p w14:paraId="0FE0EF3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Сматрамо да овој области треба да буде посвећено више од само једне структурне реформе. Зелене јавне набавке нису нашле своје место у документу.</w:t>
            </w:r>
          </w:p>
          <w:p w14:paraId="43452A07" w14:textId="77777777" w:rsidR="009E7AB4" w:rsidRPr="00092ED7" w:rsidRDefault="009E7AB4" w:rsidP="009E7AB4">
            <w:pPr>
              <w:spacing w:before="0" w:after="0"/>
              <w:rPr>
                <w:rFonts w:cs="Times New Roman"/>
                <w:sz w:val="20"/>
                <w:lang w:val="sr-Cyrl-CS"/>
              </w:rPr>
            </w:pPr>
          </w:p>
        </w:tc>
        <w:tc>
          <w:tcPr>
            <w:tcW w:w="4172" w:type="dxa"/>
          </w:tcPr>
          <w:p w14:paraId="4F6A38B7"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Иако СР 8, СР 9, СР 19 и СР 20, које се односе на зелена питања нису приказане у области: Зелена транзиција, ова тема је хоризантално присутна у ЕРП, као и област дигитализације. </w:t>
            </w:r>
          </w:p>
          <w:p w14:paraId="390EAD1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Област зелених јавних набаки је обухваћена планским документима који се односе на циркуларну економију и јавне набавке, и тема је која ће бити укључена и у ревизију ПРУЈФ. Предлог је усвојен, тако што је у СР 12 која се односи на циркуларну економију додата активност у области зелених јавних набавки.</w:t>
            </w:r>
          </w:p>
        </w:tc>
      </w:tr>
      <w:tr w:rsidR="009E7AB4" w:rsidRPr="00092ED7" w14:paraId="26010886" w14:textId="77777777" w:rsidTr="009E7AB4">
        <w:tc>
          <w:tcPr>
            <w:tcW w:w="2789" w:type="dxa"/>
          </w:tcPr>
          <w:p w14:paraId="028EE1B9" w14:textId="77777777" w:rsidR="009E7AB4" w:rsidRPr="00092ED7" w:rsidRDefault="009E7AB4" w:rsidP="009E7AB4">
            <w:pPr>
              <w:spacing w:before="0" w:after="0"/>
              <w:rPr>
                <w:rFonts w:cs="Times New Roman"/>
                <w:sz w:val="20"/>
                <w:lang w:val="sr-Cyrl-CS"/>
              </w:rPr>
            </w:pPr>
          </w:p>
        </w:tc>
        <w:tc>
          <w:tcPr>
            <w:tcW w:w="2789" w:type="dxa"/>
          </w:tcPr>
          <w:p w14:paraId="3E761B26" w14:textId="77777777" w:rsidR="009E7AB4" w:rsidRPr="00092ED7" w:rsidRDefault="009E7AB4" w:rsidP="009E7AB4">
            <w:pPr>
              <w:spacing w:before="0" w:after="0"/>
              <w:rPr>
                <w:rFonts w:cs="Times New Roman"/>
                <w:sz w:val="20"/>
                <w:lang w:val="sr-Cyrl-CS"/>
              </w:rPr>
            </w:pPr>
          </w:p>
        </w:tc>
        <w:tc>
          <w:tcPr>
            <w:tcW w:w="4198" w:type="dxa"/>
          </w:tcPr>
          <w:p w14:paraId="53FC605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Зелени фонд се не налази међу структурним реформама. Који су разлози за то као и тренутни статус тог фонда?</w:t>
            </w:r>
          </w:p>
        </w:tc>
        <w:tc>
          <w:tcPr>
            <w:tcW w:w="4172" w:type="dxa"/>
          </w:tcPr>
          <w:p w14:paraId="140885C8" w14:textId="77777777" w:rsidR="009E7AB4" w:rsidRPr="00092ED7" w:rsidRDefault="00372E4D" w:rsidP="00081E0F">
            <w:pPr>
              <w:rPr>
                <w:sz w:val="20"/>
                <w:lang w:val="sr-Cyrl-CS"/>
              </w:rPr>
            </w:pPr>
            <w:r w:rsidRPr="00092ED7">
              <w:rPr>
                <w:sz w:val="20"/>
                <w:lang w:val="sr-Cyrl-CS" w:eastAsia="en-GB"/>
              </w:rPr>
              <w:t>Чланом 64 Закона о буџетском систему („Службени гласник РС”, бр. 54/09, 73/10, 101/10, 101/11, 93/12, 62/13, 63/13-</w:t>
            </w:r>
            <w:r w:rsidR="00081E0F" w:rsidRPr="00092ED7">
              <w:rPr>
                <w:sz w:val="20"/>
                <w:lang w:val="sr-Cyrl-CS" w:eastAsia="en-GB"/>
              </w:rPr>
              <w:t xml:space="preserve"> </w:t>
            </w:r>
            <w:r w:rsidRPr="00092ED7">
              <w:rPr>
                <w:sz w:val="20"/>
                <w:lang w:val="sr-Cyrl-CS" w:eastAsia="en-GB"/>
              </w:rPr>
              <w:t>исправка, 108/13, 142/14, 68/15-др. закон, 103/15, 99/16, 113/17, 95/18, 31/19, 72/19, 149/20, 118/21, 118/21</w:t>
            </w:r>
            <w:r w:rsidR="00081E0F" w:rsidRPr="00092ED7">
              <w:rPr>
                <w:sz w:val="20"/>
                <w:lang w:val="sr-Cyrl-CS" w:eastAsia="en-GB"/>
              </w:rPr>
              <w:t xml:space="preserve"> </w:t>
            </w:r>
            <w:r w:rsidRPr="00092ED7">
              <w:rPr>
                <w:sz w:val="20"/>
                <w:lang w:val="sr-Cyrl-CS" w:eastAsia="en-GB"/>
              </w:rPr>
              <w:t>-</w:t>
            </w:r>
            <w:r w:rsidR="00081E0F" w:rsidRPr="00092ED7">
              <w:rPr>
                <w:sz w:val="20"/>
                <w:lang w:val="sr-Cyrl-CS" w:eastAsia="en-GB"/>
              </w:rPr>
              <w:t xml:space="preserve"> </w:t>
            </w:r>
            <w:r w:rsidRPr="00092ED7">
              <w:rPr>
                <w:sz w:val="20"/>
                <w:lang w:val="sr-Cyrl-CS" w:eastAsia="en-GB"/>
              </w:rPr>
              <w:t xml:space="preserve">др. закон </w:t>
            </w:r>
            <w:r w:rsidR="00081E0F" w:rsidRPr="00092ED7">
              <w:rPr>
                <w:sz w:val="20"/>
                <w:lang w:val="sr-Cyrl-CS" w:eastAsia="en-GB"/>
              </w:rPr>
              <w:t>и</w:t>
            </w:r>
            <w:r w:rsidRPr="00092ED7">
              <w:rPr>
                <w:sz w:val="20"/>
                <w:lang w:val="sr-Cyrl-CS" w:eastAsia="en-GB"/>
              </w:rPr>
              <w:t xml:space="preserve"> 138/22)</w:t>
            </w:r>
            <w:r w:rsidRPr="00092ED7">
              <w:rPr>
                <w:sz w:val="20"/>
                <w:lang w:val="sr-Cyrl-CS"/>
              </w:rPr>
              <w:t xml:space="preserve"> п</w:t>
            </w:r>
            <w:r w:rsidRPr="00092ED7">
              <w:rPr>
                <w:sz w:val="20"/>
                <w:lang w:val="sr-Cyrl-CS" w:eastAsia="en-GB"/>
              </w:rPr>
              <w:t>редвиђена је промена начина исказивања фондова због непостојања правног субјективитета (фондови су приказани као евиденциони рачуни у оквиру главне књиге трезора). Наиме, од Закона о буџету за 2021. годину фондови се исказују као програмске активности</w:t>
            </w:r>
            <w:r w:rsidR="00081E0F" w:rsidRPr="00092ED7">
              <w:rPr>
                <w:sz w:val="20"/>
                <w:lang w:val="sr-Cyrl-CS" w:eastAsia="en-GB"/>
              </w:rPr>
              <w:t>.</w:t>
            </w:r>
            <w:r w:rsidR="009E7AB4" w:rsidRPr="00092ED7">
              <w:rPr>
                <w:rFonts w:cs="Times New Roman"/>
                <w:sz w:val="20"/>
                <w:lang w:val="sr-Cyrl-CS"/>
              </w:rPr>
              <w:t xml:space="preserve"> У области животне средине повећавају се из године у годину расположива буџетска средства.</w:t>
            </w:r>
          </w:p>
        </w:tc>
      </w:tr>
      <w:tr w:rsidR="009E7AB4" w:rsidRPr="00092ED7" w14:paraId="71FEFF42" w14:textId="77777777" w:rsidTr="009E7AB4">
        <w:tc>
          <w:tcPr>
            <w:tcW w:w="2789" w:type="dxa"/>
          </w:tcPr>
          <w:p w14:paraId="10B0BF5E" w14:textId="77777777" w:rsidR="009E7AB4" w:rsidRPr="00092ED7" w:rsidRDefault="009E7AB4" w:rsidP="009E7AB4">
            <w:pPr>
              <w:spacing w:before="0" w:after="0"/>
              <w:rPr>
                <w:rFonts w:cs="Times New Roman"/>
                <w:sz w:val="20"/>
                <w:lang w:val="sr-Cyrl-CS"/>
              </w:rPr>
            </w:pPr>
          </w:p>
        </w:tc>
        <w:tc>
          <w:tcPr>
            <w:tcW w:w="2789" w:type="dxa"/>
          </w:tcPr>
          <w:p w14:paraId="67AA45F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Привредна комора Србије, достављено електронским путем 23. децембра 2022.</w:t>
            </w:r>
          </w:p>
        </w:tc>
        <w:tc>
          <w:tcPr>
            <w:tcW w:w="4198" w:type="dxa"/>
          </w:tcPr>
          <w:p w14:paraId="0A4A5C17"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 делу који се односи на унапређење управљања отпадом и уклањање дивљих депонија кључних за очување животне средине и  успостављање примарне сепарације комуналног отпада у четири региона: Дубоко, Срем-Мачва, Панчево и Пирот, предлажемо да се </w:t>
            </w:r>
            <w:r w:rsidRPr="00092ED7">
              <w:rPr>
                <w:rFonts w:cs="Times New Roman"/>
                <w:i/>
                <w:sz w:val="20"/>
                <w:lang w:val="sr-Cyrl-CS"/>
              </w:rPr>
              <w:t>повећање рециклаже</w:t>
            </w:r>
            <w:r w:rsidRPr="00092ED7">
              <w:rPr>
                <w:rFonts w:cs="Times New Roman"/>
                <w:sz w:val="20"/>
                <w:lang w:val="sr-Cyrl-CS"/>
              </w:rPr>
              <w:t xml:space="preserve"> преформулише у </w:t>
            </w:r>
            <w:r w:rsidRPr="00092ED7">
              <w:rPr>
                <w:rFonts w:cs="Times New Roman"/>
                <w:i/>
                <w:sz w:val="20"/>
                <w:lang w:val="sr-Cyrl-CS"/>
              </w:rPr>
              <w:t>повећање стопе рециклаже</w:t>
            </w:r>
            <w:r w:rsidRPr="00092ED7">
              <w:rPr>
                <w:rFonts w:cs="Times New Roman"/>
                <w:sz w:val="20"/>
                <w:lang w:val="sr-Cyrl-CS"/>
              </w:rPr>
              <w:t xml:space="preserve"> или </w:t>
            </w:r>
            <w:r w:rsidRPr="00092ED7">
              <w:rPr>
                <w:rFonts w:cs="Times New Roman"/>
                <w:i/>
                <w:sz w:val="20"/>
                <w:lang w:val="sr-Cyrl-CS"/>
              </w:rPr>
              <w:t>процентално повећање рециклирања</w:t>
            </w:r>
            <w:r w:rsidRPr="00092ED7">
              <w:rPr>
                <w:rFonts w:cs="Times New Roman"/>
                <w:sz w:val="20"/>
                <w:lang w:val="sr-Cyrl-CS"/>
              </w:rPr>
              <w:t>.</w:t>
            </w:r>
          </w:p>
        </w:tc>
        <w:tc>
          <w:tcPr>
            <w:tcW w:w="4172" w:type="dxa"/>
          </w:tcPr>
          <w:p w14:paraId="61BB858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Предлог је прихваћен и текст је у складу са тим преформулисан. </w:t>
            </w:r>
          </w:p>
        </w:tc>
      </w:tr>
      <w:tr w:rsidR="009E7AB4" w:rsidRPr="00092ED7" w14:paraId="52FD3F71" w14:textId="77777777" w:rsidTr="009E7AB4">
        <w:tc>
          <w:tcPr>
            <w:tcW w:w="2789" w:type="dxa"/>
          </w:tcPr>
          <w:p w14:paraId="5E93780B" w14:textId="77777777" w:rsidR="009E7AB4" w:rsidRPr="00092ED7" w:rsidRDefault="009E7AB4" w:rsidP="009E7AB4">
            <w:pPr>
              <w:spacing w:before="0" w:after="0"/>
              <w:rPr>
                <w:rFonts w:cs="Times New Roman"/>
                <w:sz w:val="20"/>
                <w:lang w:val="sr-Cyrl-CS"/>
              </w:rPr>
            </w:pPr>
          </w:p>
        </w:tc>
        <w:tc>
          <w:tcPr>
            <w:tcW w:w="2789" w:type="dxa"/>
          </w:tcPr>
          <w:p w14:paraId="5A711B95" w14:textId="77777777" w:rsidR="009E7AB4" w:rsidRPr="00092ED7" w:rsidRDefault="009E7AB4" w:rsidP="009E7AB4">
            <w:pPr>
              <w:spacing w:before="0" w:after="0"/>
              <w:rPr>
                <w:rFonts w:cs="Times New Roman"/>
                <w:sz w:val="20"/>
                <w:lang w:val="sr-Cyrl-CS"/>
              </w:rPr>
            </w:pPr>
          </w:p>
        </w:tc>
        <w:tc>
          <w:tcPr>
            <w:tcW w:w="4198" w:type="dxa"/>
          </w:tcPr>
          <w:p w14:paraId="403BF7F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 делу где се наводи да процес зелене трансформације захтева додатна улагања, како за државни, тако и за привредни сектор сугеришемо да oстварени приходи од накнада у области животне средине буду наведени у милионима динара, а не у милијардама евра. Према подацима Републичког завода за статистику, укупни приходи од накнада у области животне средине по врстама институционалних јединица које плаћају накнаде, 2020. су износили 217.891 милиона динара.     </w:t>
            </w:r>
          </w:p>
          <w:p w14:paraId="57A3F06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Предлажемо да  се за навођење укупних трошкова за заштиту животне средине користе јавно доступни подаци Републичког завода за статитику Србије из 2021. године, а не подаци из 2020. године. Укупни трошкови за заштиту животне средине у 2021. години износили су 61.760,6 милиона динара, што је за 32,3% више него претходне године. У структури укупних трошкова за заштиту животне средине учешће инвестиција за заштиту животне средине износило је 55,4%, док су текући издаци имали учешће од 44,6%.</w:t>
            </w:r>
          </w:p>
          <w:p w14:paraId="474B8CE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Инвестиције за заштиту животне средине у 2021. години износиле су 34.208,6 милиона динара, што је 15.738 милиона више него у претходној години.</w:t>
            </w:r>
          </w:p>
        </w:tc>
        <w:tc>
          <w:tcPr>
            <w:tcW w:w="4172" w:type="dxa"/>
          </w:tcPr>
          <w:p w14:paraId="3869EEDC"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је прихваћен и подаци у документу су у складу са тим усклађени.</w:t>
            </w:r>
          </w:p>
        </w:tc>
      </w:tr>
      <w:tr w:rsidR="009E7AB4" w:rsidRPr="00092ED7" w14:paraId="629042F0" w14:textId="77777777" w:rsidTr="009E7AB4">
        <w:tc>
          <w:tcPr>
            <w:tcW w:w="2789" w:type="dxa"/>
          </w:tcPr>
          <w:p w14:paraId="5877C3D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СР 12: Примена циркуларне економије у стварању повољног окружења за зелену транзицију</w:t>
            </w:r>
          </w:p>
          <w:p w14:paraId="05A1F21F" w14:textId="77777777" w:rsidR="009E7AB4" w:rsidRPr="00092ED7" w:rsidRDefault="009E7AB4" w:rsidP="009E7AB4">
            <w:pPr>
              <w:spacing w:before="0" w:after="0"/>
              <w:rPr>
                <w:rFonts w:cs="Times New Roman"/>
                <w:sz w:val="20"/>
                <w:lang w:val="sr-Cyrl-CS"/>
              </w:rPr>
            </w:pPr>
          </w:p>
        </w:tc>
        <w:tc>
          <w:tcPr>
            <w:tcW w:w="2789" w:type="dxa"/>
          </w:tcPr>
          <w:p w14:paraId="30D233E7"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Међусекторска радна</w:t>
            </w:r>
          </w:p>
          <w:p w14:paraId="0B1DF7F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групa за ЕРП Националног конвента о ЕУ, достављено електронским путем 26. децембрa 2022.</w:t>
            </w:r>
          </w:p>
        </w:tc>
        <w:tc>
          <w:tcPr>
            <w:tcW w:w="4198" w:type="dxa"/>
          </w:tcPr>
          <w:p w14:paraId="17BD95E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Активности су доста уопштене. Прва активност се односи на подршку привредним субјектима у транзицији на моделе пословања засноване на принципима циркуларне економије, али се не прецизира шта та подршка тачно значи - финансијску или нефинансијку. Ако је финансијска, да ли су у питању грантови (субвенције) или кредити? Ако је нефинансијска - да ли су у питању информације, обука, подизање свести, саветодавне услуге? Или је комбинација ове две подршке?</w:t>
            </w:r>
          </w:p>
        </w:tc>
        <w:tc>
          <w:tcPr>
            <w:tcW w:w="4172" w:type="dxa"/>
          </w:tcPr>
          <w:p w14:paraId="5F2D2924"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Подршка се односи на експертску помоћ у изради бизнис планова у циљу унапређења пословања и повећању конкурентности. Није директна финансијска помоћ, али јесте индиректна јер ће преласком на циркуалрни модел пословања компаније рационалније трошити ресурсе и енергију чиме се може остварити финасијска корист. Предлог је прихваћен и текст СР је допуњен.</w:t>
            </w:r>
          </w:p>
        </w:tc>
      </w:tr>
      <w:tr w:rsidR="009E7AB4" w:rsidRPr="00092ED7" w14:paraId="2147FCD5" w14:textId="77777777" w:rsidTr="009E7AB4">
        <w:tc>
          <w:tcPr>
            <w:tcW w:w="2789" w:type="dxa"/>
          </w:tcPr>
          <w:p w14:paraId="5364CA80" w14:textId="77777777" w:rsidR="009E7AB4" w:rsidRPr="00092ED7" w:rsidRDefault="009E7AB4" w:rsidP="009E7AB4">
            <w:pPr>
              <w:spacing w:before="0" w:after="0"/>
              <w:rPr>
                <w:rFonts w:cs="Times New Roman"/>
                <w:sz w:val="20"/>
                <w:lang w:val="sr-Cyrl-CS"/>
              </w:rPr>
            </w:pPr>
          </w:p>
        </w:tc>
        <w:tc>
          <w:tcPr>
            <w:tcW w:w="2789" w:type="dxa"/>
          </w:tcPr>
          <w:p w14:paraId="5CB97E1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Привредна комора Србије, достављено електронским путем 23. децембра 2022.</w:t>
            </w:r>
          </w:p>
        </w:tc>
        <w:tc>
          <w:tcPr>
            <w:tcW w:w="4198" w:type="dxa"/>
          </w:tcPr>
          <w:p w14:paraId="53283B22" w14:textId="7C1B090D"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 тачки 7. </w:t>
            </w:r>
            <w:r w:rsidRPr="00092ED7">
              <w:rPr>
                <w:rFonts w:cs="Times New Roman"/>
                <w:bCs/>
                <w:sz w:val="20"/>
                <w:lang w:val="sr-Cyrl-CS"/>
              </w:rPr>
              <w:t xml:space="preserve">Очекивани утицај на животну средину и климатске промене </w:t>
            </w:r>
            <w:r w:rsidRPr="00092ED7">
              <w:rPr>
                <w:rFonts w:cs="Times New Roman"/>
                <w:sz w:val="20"/>
                <w:lang w:val="sr-Cyrl-CS"/>
              </w:rPr>
              <w:t>сматрамо да у реченици „Циркуларна економија има важну улогу у развоју конкурентне економије која штеди ресурсе и утиче на смањење свих врста загађења, а посебно на смањење емисија са ефектом стаклене баште, што даље утиче на нискоугљенични развој, којем се тежи на глобалном нивоу</w:t>
            </w:r>
            <w:r w:rsidR="00EE48E7" w:rsidRPr="00092ED7">
              <w:rPr>
                <w:rFonts w:cs="Times New Roman"/>
                <w:sz w:val="20"/>
                <w:lang w:val="sr-Cyrl-CS"/>
              </w:rPr>
              <w:t>”</w:t>
            </w:r>
            <w:r w:rsidRPr="00092ED7">
              <w:rPr>
                <w:rFonts w:cs="Times New Roman"/>
                <w:sz w:val="20"/>
                <w:lang w:val="sr-Cyrl-CS"/>
              </w:rPr>
              <w:t xml:space="preserve">, треба преформулисати </w:t>
            </w:r>
            <w:r w:rsidRPr="00092ED7">
              <w:rPr>
                <w:rFonts w:cs="Times New Roman"/>
                <w:i/>
                <w:sz w:val="20"/>
                <w:lang w:val="sr-Cyrl-CS"/>
              </w:rPr>
              <w:t>смањење емисија са ефектом стаклене баште</w:t>
            </w:r>
            <w:r w:rsidRPr="00092ED7">
              <w:rPr>
                <w:rFonts w:cs="Times New Roman"/>
                <w:sz w:val="20"/>
                <w:lang w:val="sr-Cyrl-CS"/>
              </w:rPr>
              <w:t xml:space="preserve"> у </w:t>
            </w:r>
            <w:r w:rsidRPr="00092ED7">
              <w:rPr>
                <w:rFonts w:cs="Times New Roman"/>
                <w:i/>
                <w:sz w:val="20"/>
                <w:lang w:val="sr-Cyrl-CS"/>
              </w:rPr>
              <w:t xml:space="preserve">смањење емисија </w:t>
            </w:r>
            <w:r w:rsidRPr="00092ED7">
              <w:rPr>
                <w:rFonts w:cs="Times New Roman"/>
                <w:i/>
                <w:sz w:val="20"/>
                <w:u w:val="single"/>
                <w:lang w:val="sr-Cyrl-CS"/>
              </w:rPr>
              <w:t>гасова</w:t>
            </w:r>
            <w:r w:rsidRPr="00092ED7">
              <w:rPr>
                <w:rFonts w:cs="Times New Roman"/>
                <w:i/>
                <w:sz w:val="20"/>
                <w:lang w:val="sr-Cyrl-CS"/>
              </w:rPr>
              <w:t xml:space="preserve"> са ефектом стаклене баште</w:t>
            </w:r>
            <w:r w:rsidRPr="00092ED7">
              <w:rPr>
                <w:rFonts w:cs="Times New Roman"/>
                <w:sz w:val="20"/>
                <w:lang w:val="sr-Cyrl-CS"/>
              </w:rPr>
              <w:t>.</w:t>
            </w:r>
          </w:p>
        </w:tc>
        <w:tc>
          <w:tcPr>
            <w:tcW w:w="4172" w:type="dxa"/>
          </w:tcPr>
          <w:p w14:paraId="49717951"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 xml:space="preserve">Предлог је прихваћен и текст је адекватно измењен. </w:t>
            </w:r>
          </w:p>
        </w:tc>
      </w:tr>
      <w:tr w:rsidR="009E7AB4" w:rsidRPr="00092ED7" w14:paraId="516C07C4" w14:textId="77777777" w:rsidTr="009E7AB4">
        <w:tc>
          <w:tcPr>
            <w:tcW w:w="2789" w:type="dxa"/>
          </w:tcPr>
          <w:p w14:paraId="61BB3A23" w14:textId="77777777" w:rsidR="009E7AB4" w:rsidRPr="00092ED7" w:rsidRDefault="009E7AB4" w:rsidP="009E7AB4">
            <w:pPr>
              <w:spacing w:before="0" w:after="0"/>
              <w:rPr>
                <w:rFonts w:cs="Times New Roman"/>
                <w:sz w:val="20"/>
                <w:lang w:val="sr-Cyrl-CS"/>
              </w:rPr>
            </w:pPr>
          </w:p>
        </w:tc>
        <w:tc>
          <w:tcPr>
            <w:tcW w:w="2789" w:type="dxa"/>
          </w:tcPr>
          <w:p w14:paraId="66B24AD9" w14:textId="77777777" w:rsidR="009E7AB4" w:rsidRPr="00092ED7" w:rsidRDefault="009E7AB4" w:rsidP="009E7AB4">
            <w:pPr>
              <w:spacing w:before="0" w:after="0"/>
              <w:rPr>
                <w:rFonts w:cs="Times New Roman"/>
                <w:sz w:val="20"/>
                <w:lang w:val="sr-Cyrl-CS"/>
              </w:rPr>
            </w:pPr>
          </w:p>
        </w:tc>
        <w:tc>
          <w:tcPr>
            <w:tcW w:w="4198" w:type="dxa"/>
          </w:tcPr>
          <w:p w14:paraId="60EE4384"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Указујемо да би у тачки 8. Потенцијални ризици осим непрепознавања користи од примене концепта циркуларне економије од стране привредних субјеката, локалних самоуправа, научно-истраживачког сектора и цивилног сектора за зелену транзцију Републике Србије потенцијални ризик преласка на циркуларни модел пословања били и недовољни подстицаји привреди за интегрисање циркуларних пословних модела.</w:t>
            </w:r>
          </w:p>
        </w:tc>
        <w:tc>
          <w:tcPr>
            <w:tcW w:w="4172" w:type="dxa"/>
          </w:tcPr>
          <w:p w14:paraId="2FA1133E"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Предлог је прихваћен и текст је адекватно измењен.</w:t>
            </w:r>
          </w:p>
        </w:tc>
      </w:tr>
      <w:tr w:rsidR="009E7AB4" w:rsidRPr="00092ED7" w14:paraId="4E24CC9E" w14:textId="77777777" w:rsidTr="009E7AB4">
        <w:tc>
          <w:tcPr>
            <w:tcW w:w="2789" w:type="dxa"/>
          </w:tcPr>
          <w:p w14:paraId="3872C6A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Поспешивање зелене транзиције кроз јавне набавке</w:t>
            </w:r>
          </w:p>
          <w:p w14:paraId="263C4725" w14:textId="77777777" w:rsidR="009E7AB4" w:rsidRPr="00092ED7" w:rsidRDefault="009E7AB4" w:rsidP="009E7AB4">
            <w:pPr>
              <w:spacing w:before="0" w:after="0"/>
              <w:rPr>
                <w:rFonts w:cs="Times New Roman"/>
                <w:sz w:val="20"/>
                <w:lang w:val="sr-Cyrl-CS"/>
              </w:rPr>
            </w:pPr>
          </w:p>
        </w:tc>
        <w:tc>
          <w:tcPr>
            <w:tcW w:w="2789" w:type="dxa"/>
          </w:tcPr>
          <w:p w14:paraId="718212AE" w14:textId="77777777" w:rsidR="009E7AB4" w:rsidRPr="00092ED7" w:rsidRDefault="009E7AB4" w:rsidP="009E7AB4">
            <w:pPr>
              <w:spacing w:before="0" w:after="0"/>
              <w:rPr>
                <w:rFonts w:cs="Times New Roman"/>
                <w:sz w:val="20"/>
                <w:lang w:val="sr-Cyrl-CS"/>
              </w:rPr>
            </w:pPr>
          </w:p>
        </w:tc>
        <w:tc>
          <w:tcPr>
            <w:tcW w:w="4198" w:type="dxa"/>
          </w:tcPr>
          <w:p w14:paraId="26139EEA" w14:textId="4432DED0"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Реформа подразумева подршку зеленој транзицији тако што би јавна предузећа кроз јавне набавке давала предност </w:t>
            </w:r>
            <w:r w:rsidR="00D610C8" w:rsidRPr="00092ED7">
              <w:rPr>
                <w:rFonts w:cs="Times New Roman"/>
                <w:sz w:val="20"/>
                <w:lang w:val="sr-Cyrl-CS"/>
              </w:rPr>
              <w:t>„</w:t>
            </w:r>
            <w:r w:rsidRPr="00092ED7">
              <w:rPr>
                <w:rFonts w:cs="Times New Roman"/>
                <w:sz w:val="20"/>
                <w:lang w:val="sr-Cyrl-CS"/>
              </w:rPr>
              <w:t>зеленим</w:t>
            </w:r>
            <w:r w:rsidR="00D610C8" w:rsidRPr="00092ED7">
              <w:rPr>
                <w:rFonts w:cs="Times New Roman"/>
                <w:sz w:val="20"/>
                <w:lang w:val="sr-Cyrl-CS"/>
              </w:rPr>
              <w:t>”</w:t>
            </w:r>
            <w:r w:rsidRPr="00092ED7">
              <w:rPr>
                <w:rFonts w:cs="Times New Roman"/>
                <w:sz w:val="20"/>
                <w:lang w:val="sr-Cyrl-CS"/>
              </w:rPr>
              <w:t xml:space="preserve"> решењима и подразумева уодобљавање регулативе како би се овакве набавке спроводиле. Започети са пилот-пројектима.</w:t>
            </w:r>
          </w:p>
          <w:p w14:paraId="59C43AAB" w14:textId="77777777" w:rsidR="009E7AB4" w:rsidRPr="00092ED7" w:rsidRDefault="009E7AB4" w:rsidP="009E7AB4">
            <w:pPr>
              <w:spacing w:before="0" w:after="0"/>
              <w:rPr>
                <w:rFonts w:cs="Times New Roman"/>
                <w:sz w:val="20"/>
                <w:lang w:val="sr-Cyrl-CS"/>
              </w:rPr>
            </w:pPr>
          </w:p>
        </w:tc>
        <w:tc>
          <w:tcPr>
            <w:tcW w:w="4172" w:type="dxa"/>
          </w:tcPr>
          <w:p w14:paraId="580B8CC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Предлог је усвојен, тако што је у СР 12 која се односи на циркуларну економију додата активност </w:t>
            </w:r>
            <w:r w:rsidRPr="00092ED7">
              <w:rPr>
                <w:rFonts w:cs="Times New Roman"/>
                <w:bCs/>
                <w:sz w:val="20"/>
                <w:lang w:val="sr-Cyrl-CS"/>
              </w:rPr>
              <w:t>која се односи на подстицање зелених јавних набавки кроз обуке и радионице за наручиоце, будући да су зелене јавне набавке један од алата за транзицију на циркуларну економију. Поред тога, подршка зеленим јавним набавкама је циљ 4. у Програму развоја циркуларне економије 2022-2024 који је усвојен 1. децембра 2022. године.</w:t>
            </w:r>
          </w:p>
        </w:tc>
      </w:tr>
      <w:tr w:rsidR="009E7AB4" w:rsidRPr="00092ED7" w14:paraId="225E6856" w14:textId="77777777" w:rsidTr="009E7AB4">
        <w:tc>
          <w:tcPr>
            <w:tcW w:w="2789" w:type="dxa"/>
          </w:tcPr>
          <w:p w14:paraId="74CA9BD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5.2.3. Област дигитална</w:t>
            </w:r>
          </w:p>
          <w:p w14:paraId="1BC899A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трансформација</w:t>
            </w:r>
          </w:p>
        </w:tc>
        <w:tc>
          <w:tcPr>
            <w:tcW w:w="2789" w:type="dxa"/>
          </w:tcPr>
          <w:p w14:paraId="79BACDAA" w14:textId="77777777" w:rsidR="009E7AB4" w:rsidRPr="00092ED7" w:rsidRDefault="009E7AB4" w:rsidP="009E7AB4">
            <w:pPr>
              <w:spacing w:before="0" w:after="0"/>
              <w:rPr>
                <w:rFonts w:cs="Times New Roman"/>
                <w:sz w:val="20"/>
                <w:lang w:val="sr-Cyrl-CS"/>
              </w:rPr>
            </w:pPr>
          </w:p>
        </w:tc>
        <w:tc>
          <w:tcPr>
            <w:tcW w:w="4198" w:type="dxa"/>
          </w:tcPr>
          <w:p w14:paraId="0E70EF97"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Иако је од неспорног значаја јачање инфраструктуре, нарочито у неразвијеним и руралним деловима земље (нпр. усаглашавање са еФискализацијом је нарочито отежано привредним субјектима из ових делова због непокривености мрежом), сматрамо да би у наредном циклусу ЕРП у овој области требало да се нађе и структурна реформа која подразумева подршку привредним субјектима   за   дигиталну   трансформацију.   Јачање   јавне инфраструктуре је дакле неопходно, али док са друге стране не постоје привредни   субјекти   који   могу   да   искористе   ту инфраструктуру - упознати су са важношћу њихове дигиталне трансформације и у стању су да је спроведу - неће постојати употребна вредност те инфраструктуре.</w:t>
            </w:r>
          </w:p>
          <w:p w14:paraId="1DA43F03" w14:textId="77777777" w:rsidR="009E7AB4" w:rsidRPr="00092ED7" w:rsidRDefault="009E7AB4" w:rsidP="009E7AB4">
            <w:pPr>
              <w:spacing w:before="0" w:after="0"/>
              <w:rPr>
                <w:rFonts w:cs="Times New Roman"/>
                <w:sz w:val="20"/>
                <w:lang w:val="sr-Cyrl-CS"/>
              </w:rPr>
            </w:pPr>
          </w:p>
        </w:tc>
        <w:tc>
          <w:tcPr>
            <w:tcW w:w="4172" w:type="dxa"/>
          </w:tcPr>
          <w:p w14:paraId="411210A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ће бити размотрен у наредном ЕРП циклусу. Тема дигитализације привредних субјеката обухваћена је у дијагностици ЕРП за област 5.2.3 Дигитална трансформација.</w:t>
            </w:r>
          </w:p>
          <w:p w14:paraId="6D16E50F" w14:textId="77777777" w:rsidR="009E7AB4" w:rsidRPr="00092ED7" w:rsidRDefault="009E7AB4" w:rsidP="009E7AB4">
            <w:pPr>
              <w:spacing w:before="0" w:after="0"/>
              <w:rPr>
                <w:rFonts w:cs="Times New Roman"/>
                <w:sz w:val="20"/>
                <w:lang w:val="sr-Cyrl-CS"/>
              </w:rPr>
            </w:pPr>
          </w:p>
        </w:tc>
      </w:tr>
      <w:tr w:rsidR="009E7AB4" w:rsidRPr="00092ED7" w14:paraId="1DAFE0FF" w14:textId="77777777" w:rsidTr="009E7AB4">
        <w:tc>
          <w:tcPr>
            <w:tcW w:w="2789" w:type="dxa"/>
          </w:tcPr>
          <w:p w14:paraId="1AD576B3" w14:textId="77777777" w:rsidR="009E7AB4" w:rsidRPr="00092ED7" w:rsidRDefault="009E7AB4" w:rsidP="009E7AB4">
            <w:pPr>
              <w:spacing w:before="0" w:after="0"/>
              <w:rPr>
                <w:rFonts w:cs="Times New Roman"/>
                <w:sz w:val="20"/>
                <w:lang w:val="sr-Cyrl-CS"/>
              </w:rPr>
            </w:pPr>
          </w:p>
        </w:tc>
        <w:tc>
          <w:tcPr>
            <w:tcW w:w="2789" w:type="dxa"/>
          </w:tcPr>
          <w:p w14:paraId="0A376123" w14:textId="77777777" w:rsidR="009E7AB4" w:rsidRPr="00092ED7" w:rsidRDefault="009E7AB4" w:rsidP="009E7AB4">
            <w:pPr>
              <w:spacing w:before="0" w:after="0"/>
              <w:rPr>
                <w:rFonts w:cs="Times New Roman"/>
                <w:sz w:val="20"/>
                <w:lang w:val="sr-Cyrl-CS"/>
              </w:rPr>
            </w:pPr>
          </w:p>
        </w:tc>
        <w:tc>
          <w:tcPr>
            <w:tcW w:w="4198" w:type="dxa"/>
          </w:tcPr>
          <w:p w14:paraId="0996205C" w14:textId="6E9AA2A2" w:rsidR="009E7AB4" w:rsidRPr="00092ED7" w:rsidRDefault="009E7AB4" w:rsidP="00746113">
            <w:pPr>
              <w:spacing w:before="0" w:after="0"/>
              <w:rPr>
                <w:rFonts w:cs="Times New Roman"/>
                <w:sz w:val="20"/>
                <w:lang w:val="sr-Cyrl-CS"/>
              </w:rPr>
            </w:pPr>
            <w:r w:rsidRPr="00092ED7">
              <w:rPr>
                <w:rFonts w:cs="Times New Roman"/>
                <w:sz w:val="20"/>
                <w:lang w:val="sr-Cyrl-CS"/>
              </w:rPr>
              <w:t>Предлог да се дода информациона безбедност – увођење стандарда информационе и сајбер безбедности у органе државне управе ИСО 20000 и 270001. Пројектом, чије је спровођење у току, урађена је геп анализа и уведен стандард ИСО 20000 у Канцеларију за ИТ. Средства за наставак /сертификацију осталих органа државне управе/су  планирана  кроз  ИПА 22  или 23.  Неопходно  је наставити овај процес и у периоду 23-25 сертификовати све органе државне управе</w:t>
            </w:r>
            <w:r w:rsidR="00843835" w:rsidRPr="00092ED7">
              <w:rPr>
                <w:rFonts w:cs="Times New Roman"/>
                <w:sz w:val="20"/>
                <w:lang w:val="sr-Cyrl-CS"/>
              </w:rPr>
              <w:t>.</w:t>
            </w:r>
          </w:p>
        </w:tc>
        <w:tc>
          <w:tcPr>
            <w:tcW w:w="4172" w:type="dxa"/>
          </w:tcPr>
          <w:p w14:paraId="5F641614"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ће бити размотрен у наредном ЕРП циклусу. Треба, међутим, имати у виду да је информациона безбедност само један мали сегмент процеса дигитализације.</w:t>
            </w:r>
          </w:p>
        </w:tc>
      </w:tr>
      <w:tr w:rsidR="009E7AB4" w:rsidRPr="00092ED7" w14:paraId="4D78D68B" w14:textId="77777777" w:rsidTr="009E7AB4">
        <w:tc>
          <w:tcPr>
            <w:tcW w:w="2789" w:type="dxa"/>
          </w:tcPr>
          <w:p w14:paraId="7F57676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Поспешивање дигитализације,  пре  свега  напредних  МСП</w:t>
            </w:r>
          </w:p>
        </w:tc>
        <w:tc>
          <w:tcPr>
            <w:tcW w:w="2789" w:type="dxa"/>
          </w:tcPr>
          <w:p w14:paraId="5726F9A4" w14:textId="77777777" w:rsidR="009E7AB4" w:rsidRPr="00092ED7" w:rsidRDefault="009E7AB4" w:rsidP="009E7AB4">
            <w:pPr>
              <w:spacing w:before="0" w:after="0"/>
              <w:rPr>
                <w:rFonts w:cs="Times New Roman"/>
                <w:sz w:val="20"/>
                <w:lang w:val="sr-Cyrl-CS"/>
              </w:rPr>
            </w:pPr>
          </w:p>
        </w:tc>
        <w:tc>
          <w:tcPr>
            <w:tcW w:w="4198" w:type="dxa"/>
          </w:tcPr>
          <w:p w14:paraId="0D43E1F9"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Реформа подразумева </w:t>
            </w:r>
            <w:r w:rsidR="00081E0F" w:rsidRPr="00092ED7">
              <w:rPr>
                <w:rFonts w:cs="Times New Roman"/>
                <w:sz w:val="20"/>
                <w:lang w:val="sr-Cyrl-CS"/>
              </w:rPr>
              <w:t xml:space="preserve">финасијску </w:t>
            </w:r>
            <w:r w:rsidRPr="00092ED7">
              <w:rPr>
                <w:rFonts w:cs="Times New Roman"/>
                <w:sz w:val="20"/>
                <w:lang w:val="sr-Cyrl-CS"/>
              </w:rPr>
              <w:t>подршку    напредне дигитализације пре свега напредних МСП. Ова предузећа свој</w:t>
            </w:r>
            <w:r w:rsidR="00081E0F" w:rsidRPr="00092ED7">
              <w:rPr>
                <w:rFonts w:cs="Times New Roman"/>
                <w:sz w:val="20"/>
                <w:lang w:val="sr-Cyrl-CS"/>
              </w:rPr>
              <w:t xml:space="preserve">им развојем повлаче   и  развој других </w:t>
            </w:r>
            <w:r w:rsidRPr="00092ED7">
              <w:rPr>
                <w:rFonts w:cs="Times New Roman"/>
                <w:sz w:val="20"/>
                <w:lang w:val="sr-Cyrl-CS"/>
              </w:rPr>
              <w:t>мањих предузећа.</w:t>
            </w:r>
          </w:p>
        </w:tc>
        <w:tc>
          <w:tcPr>
            <w:tcW w:w="4172" w:type="dxa"/>
          </w:tcPr>
          <w:p w14:paraId="0040B55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Подршку дигиталној трансформацији малих и средњих предузећа обезбеђује НАЛЕД кроз StarTech програм са циљем убрзања раста српских компанија и традиционалне економије засноване на пољопривреди и прерађивачкој индустрији у дигиталну, извозно оријентисану економију засновану на знању и иновацијама. StarTech програм описан је у дијагностици области Дигитална трансформација. Такође у овој области активна је и Привредна комора Србије ПКС. </w:t>
            </w:r>
          </w:p>
        </w:tc>
      </w:tr>
      <w:tr w:rsidR="009E7AB4" w:rsidRPr="00092ED7" w14:paraId="0E4DA137" w14:textId="77777777" w:rsidTr="009E7AB4">
        <w:tc>
          <w:tcPr>
            <w:tcW w:w="2789" w:type="dxa"/>
          </w:tcPr>
          <w:p w14:paraId="2FCB5E7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5.2.4.</w:t>
            </w:r>
            <w:r w:rsidRPr="00092ED7">
              <w:rPr>
                <w:rFonts w:cs="Times New Roman"/>
                <w:b/>
                <w:sz w:val="20"/>
                <w:lang w:val="sr-Cyrl-CS"/>
              </w:rPr>
              <w:t xml:space="preserve"> </w:t>
            </w:r>
            <w:r w:rsidRPr="00092ED7">
              <w:rPr>
                <w:rFonts w:cs="Times New Roman"/>
                <w:sz w:val="20"/>
                <w:lang w:val="sr-Cyrl-CS"/>
              </w:rPr>
              <w:t>Област пословно</w:t>
            </w:r>
          </w:p>
          <w:p w14:paraId="27F4373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окружење и смањење сиве</w:t>
            </w:r>
          </w:p>
          <w:p w14:paraId="5EF77BC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економије</w:t>
            </w:r>
          </w:p>
        </w:tc>
        <w:tc>
          <w:tcPr>
            <w:tcW w:w="2789" w:type="dxa"/>
          </w:tcPr>
          <w:p w14:paraId="5754FEC6" w14:textId="77777777" w:rsidR="009E7AB4" w:rsidRPr="00092ED7" w:rsidRDefault="009E7AB4" w:rsidP="009E7AB4">
            <w:pPr>
              <w:spacing w:before="0" w:after="0"/>
              <w:rPr>
                <w:rFonts w:cs="Times New Roman"/>
                <w:sz w:val="20"/>
                <w:lang w:val="sr-Cyrl-CS"/>
              </w:rPr>
            </w:pPr>
          </w:p>
        </w:tc>
        <w:tc>
          <w:tcPr>
            <w:tcW w:w="4198" w:type="dxa"/>
          </w:tcPr>
          <w:p w14:paraId="72BEDE93" w14:textId="77777777" w:rsidR="009E7AB4" w:rsidRPr="00092ED7" w:rsidRDefault="009E7AB4" w:rsidP="00081E0F">
            <w:pPr>
              <w:spacing w:before="0" w:after="0"/>
              <w:rPr>
                <w:rFonts w:cs="Times New Roman"/>
                <w:sz w:val="20"/>
                <w:lang w:val="sr-Cyrl-CS"/>
              </w:rPr>
            </w:pPr>
            <w:r w:rsidRPr="00092ED7">
              <w:rPr>
                <w:rFonts w:cs="Times New Roman"/>
                <w:sz w:val="20"/>
                <w:lang w:val="sr-Cyrl-CS"/>
              </w:rPr>
              <w:t>Реформа треба да обухвати и борбу против сиве економије кроз даље јачање инспекцијских органа и увођење свих инспе</w:t>
            </w:r>
            <w:r w:rsidR="00081E0F" w:rsidRPr="00092ED7">
              <w:rPr>
                <w:rFonts w:cs="Times New Roman"/>
                <w:sz w:val="20"/>
                <w:lang w:val="sr-Cyrl-CS"/>
              </w:rPr>
              <w:t xml:space="preserve">кција у систем   е-инспектор. </w:t>
            </w:r>
            <w:r w:rsidRPr="00092ED7">
              <w:rPr>
                <w:rFonts w:cs="Times New Roman"/>
                <w:sz w:val="20"/>
                <w:lang w:val="sr-Cyrl-CS"/>
              </w:rPr>
              <w:t xml:space="preserve">Борба   против   пиратерије   и   заштита носилаца    права </w:t>
            </w:r>
            <w:r w:rsidR="00081E0F" w:rsidRPr="00092ED7">
              <w:rPr>
                <w:rFonts w:cs="Times New Roman"/>
                <w:sz w:val="20"/>
                <w:lang w:val="sr-Cyrl-CS"/>
              </w:rPr>
              <w:t xml:space="preserve">   интелектуалне    својине. </w:t>
            </w:r>
            <w:r w:rsidRPr="00092ED7">
              <w:rPr>
                <w:rFonts w:cs="Times New Roman"/>
                <w:sz w:val="20"/>
                <w:lang w:val="sr-Cyrl-CS"/>
              </w:rPr>
              <w:t>Обезбедити координацију свих надлежних органа - царина, МУП, тржишна инспекција. Кривотворена роба је јефтинија, па у неравноправан</w:t>
            </w:r>
            <w:r w:rsidR="00081E0F" w:rsidRPr="00092ED7">
              <w:rPr>
                <w:rFonts w:cs="Times New Roman"/>
                <w:sz w:val="20"/>
                <w:lang w:val="sr-Cyrl-CS"/>
              </w:rPr>
              <w:t xml:space="preserve"> </w:t>
            </w:r>
            <w:r w:rsidRPr="00092ED7">
              <w:rPr>
                <w:rFonts w:cs="Times New Roman"/>
                <w:sz w:val="20"/>
                <w:lang w:val="sr-Cyrl-CS"/>
              </w:rPr>
              <w:t>положај  ставља  произвођаче,  чиме  се  нарушава  слободна конкуренција на тржишту. Средства из сиве економије су често повезана и са финансирањем тероризма. Истовремено је важан и</w:t>
            </w:r>
            <w:r w:rsidR="00081E0F" w:rsidRPr="00092ED7">
              <w:rPr>
                <w:rFonts w:cs="Times New Roman"/>
                <w:sz w:val="20"/>
                <w:lang w:val="sr-Cyrl-CS"/>
              </w:rPr>
              <w:t xml:space="preserve"> други </w:t>
            </w:r>
            <w:r w:rsidRPr="00092ED7">
              <w:rPr>
                <w:rFonts w:cs="Times New Roman"/>
                <w:sz w:val="20"/>
                <w:lang w:val="sr-Cyrl-CS"/>
              </w:rPr>
              <w:t>аспект,   заштита   произвођача   и   потрошача,   јер   је кривотворена роба често небезбедна.</w:t>
            </w:r>
          </w:p>
          <w:p w14:paraId="1F6D95C8" w14:textId="77777777" w:rsidR="009E7AB4" w:rsidRPr="00092ED7" w:rsidRDefault="009E7AB4" w:rsidP="00081E0F">
            <w:pPr>
              <w:spacing w:before="0" w:after="0"/>
              <w:rPr>
                <w:rFonts w:cs="Times New Roman"/>
                <w:sz w:val="20"/>
                <w:lang w:val="sr-Cyrl-CS"/>
              </w:rPr>
            </w:pPr>
            <w:r w:rsidRPr="00092ED7">
              <w:rPr>
                <w:rFonts w:cs="Times New Roman"/>
                <w:sz w:val="20"/>
                <w:lang w:val="sr-Cyrl-CS"/>
              </w:rPr>
              <w:t>С обзиром на брзи развој е-трговине, треба израдити Акциони план с циљем доношења мера за даљи подстицај али и контролу овог канала трговине, јер се велики део сиве економије обавља</w:t>
            </w:r>
            <w:r w:rsidR="00081E0F" w:rsidRPr="00092ED7">
              <w:rPr>
                <w:rFonts w:cs="Times New Roman"/>
                <w:sz w:val="20"/>
                <w:lang w:val="sr-Cyrl-CS"/>
              </w:rPr>
              <w:t xml:space="preserve"> управо електронским    путем. Унапредити рад свих инспекцијских  органа за спровођење е-истрага </w:t>
            </w:r>
            <w:r w:rsidRPr="00092ED7">
              <w:rPr>
                <w:rFonts w:cs="Times New Roman"/>
                <w:sz w:val="20"/>
                <w:lang w:val="sr-Cyrl-CS"/>
              </w:rPr>
              <w:t>формирати јединицу или обучене појединце који би се специјализовали само за ову врсту истраге.</w:t>
            </w:r>
          </w:p>
        </w:tc>
        <w:tc>
          <w:tcPr>
            <w:tcW w:w="4172" w:type="dxa"/>
          </w:tcPr>
          <w:p w14:paraId="4A17CE2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СР која се односи на систем е-инспектор је претходно била саставни део ЕРП, али је оцењено да представља редовну активност надлежних институција, те је ради тога искључена. Ово свакако не значи да се заустављају реформски процеси у овој области. Област унапређења инспекцијског надзора детаљно је обухваћена </w:t>
            </w:r>
            <w:r w:rsidRPr="00092ED7">
              <w:rPr>
                <w:rFonts w:cs="Times New Roman"/>
                <w:bCs/>
                <w:sz w:val="20"/>
                <w:lang w:val="sr-Cyrl-CS"/>
              </w:rPr>
              <w:t>Предлогом програма за сузбијање сиве економије 2022-2025. године са акционим планом.</w:t>
            </w:r>
          </w:p>
        </w:tc>
      </w:tr>
      <w:tr w:rsidR="009E7AB4" w:rsidRPr="00092ED7" w14:paraId="08242442" w14:textId="77777777" w:rsidTr="009E7AB4">
        <w:tc>
          <w:tcPr>
            <w:tcW w:w="2789" w:type="dxa"/>
          </w:tcPr>
          <w:p w14:paraId="532E810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5.2.5.</w:t>
            </w:r>
            <w:r w:rsidRPr="00092ED7">
              <w:rPr>
                <w:rFonts w:cs="Times New Roman"/>
                <w:b/>
                <w:sz w:val="20"/>
                <w:lang w:val="sr-Cyrl-CS"/>
              </w:rPr>
              <w:t xml:space="preserve"> </w:t>
            </w:r>
            <w:r w:rsidRPr="00092ED7">
              <w:rPr>
                <w:rFonts w:cs="Times New Roman"/>
                <w:sz w:val="20"/>
                <w:lang w:val="sr-Cyrl-CS"/>
              </w:rPr>
              <w:t>Област истраживање,</w:t>
            </w:r>
          </w:p>
          <w:p w14:paraId="3A19301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развој и иновације</w:t>
            </w:r>
          </w:p>
        </w:tc>
        <w:tc>
          <w:tcPr>
            <w:tcW w:w="2789" w:type="dxa"/>
          </w:tcPr>
          <w:p w14:paraId="73573C9E" w14:textId="77777777" w:rsidR="009E7AB4" w:rsidRPr="00092ED7" w:rsidRDefault="009E7AB4" w:rsidP="009E7AB4">
            <w:pPr>
              <w:spacing w:before="0" w:after="0"/>
              <w:rPr>
                <w:rFonts w:cs="Times New Roman"/>
                <w:sz w:val="20"/>
                <w:lang w:val="sr-Cyrl-CS"/>
              </w:rPr>
            </w:pPr>
          </w:p>
        </w:tc>
        <w:tc>
          <w:tcPr>
            <w:tcW w:w="4198" w:type="dxa"/>
          </w:tcPr>
          <w:p w14:paraId="74BD7E2B" w14:textId="77777777" w:rsidR="009E7AB4" w:rsidRPr="00092ED7" w:rsidRDefault="009E7AB4" w:rsidP="00081E0F">
            <w:pPr>
              <w:spacing w:before="0" w:after="0"/>
              <w:rPr>
                <w:rFonts w:cs="Times New Roman"/>
                <w:sz w:val="20"/>
                <w:lang w:val="sr-Cyrl-CS"/>
              </w:rPr>
            </w:pPr>
            <w:r w:rsidRPr="00092ED7">
              <w:rPr>
                <w:rFonts w:cs="Times New Roman"/>
                <w:sz w:val="20"/>
                <w:lang w:val="sr-Cyrl-CS"/>
              </w:rPr>
              <w:t>У  документу  је  наведено  да  се  улагањем  у  иновациону инфраструктуру шири мрежа научно-технолошки паркова (стр.</w:t>
            </w:r>
            <w:r w:rsidR="00081E0F" w:rsidRPr="00092ED7">
              <w:rPr>
                <w:rFonts w:cs="Times New Roman"/>
                <w:sz w:val="20"/>
                <w:lang w:val="sr-Cyrl-CS"/>
              </w:rPr>
              <w:t xml:space="preserve"> </w:t>
            </w:r>
            <w:r w:rsidRPr="00092ED7">
              <w:rPr>
                <w:rFonts w:cs="Times New Roman"/>
                <w:sz w:val="20"/>
                <w:lang w:val="sr-Cyrl-CS"/>
              </w:rPr>
              <w:t>124).</w:t>
            </w:r>
          </w:p>
          <w:p w14:paraId="249E32BB" w14:textId="77777777" w:rsidR="009E7AB4" w:rsidRPr="00092ED7" w:rsidRDefault="00081E0F" w:rsidP="00081E0F">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 xml:space="preserve">Мрежа научно-технолошких </w:t>
            </w:r>
            <w:r w:rsidR="009E7AB4" w:rsidRPr="00092ED7">
              <w:rPr>
                <w:rFonts w:cs="Times New Roman"/>
                <w:sz w:val="20"/>
                <w:lang w:val="sr-Cyrl-CS"/>
              </w:rPr>
              <w:t>паркова   је   инструмент</w:t>
            </w:r>
            <w:r w:rsidR="003B6113" w:rsidRPr="00092ED7">
              <w:rPr>
                <w:rFonts w:cs="Times New Roman"/>
                <w:sz w:val="20"/>
                <w:lang w:val="sr-Cyrl-CS"/>
              </w:rPr>
              <w:t xml:space="preserve"> </w:t>
            </w:r>
            <w:r w:rsidR="009E7AB4" w:rsidRPr="00092ED7">
              <w:rPr>
                <w:rFonts w:cs="Times New Roman"/>
                <w:sz w:val="20"/>
                <w:lang w:val="sr-Cyrl-CS"/>
              </w:rPr>
              <w:t>развоја на НУТС 2 нивоу и овај тип инфраструктуре није</w:t>
            </w:r>
            <w:r w:rsidRPr="00092ED7">
              <w:rPr>
                <w:rFonts w:cs="Times New Roman"/>
                <w:sz w:val="20"/>
                <w:lang w:val="sr-Cyrl-CS"/>
              </w:rPr>
              <w:t xml:space="preserve"> </w:t>
            </w:r>
            <w:r w:rsidR="009E7AB4" w:rsidRPr="00092ED7">
              <w:rPr>
                <w:rFonts w:cs="Times New Roman"/>
                <w:sz w:val="20"/>
                <w:lang w:val="sr-Cyrl-CS"/>
              </w:rPr>
              <w:t>примерен НУТС 3 нивоу.</w:t>
            </w:r>
          </w:p>
          <w:p w14:paraId="640CF431" w14:textId="3D5E0F39" w:rsidR="009E7AB4" w:rsidRPr="00092ED7" w:rsidRDefault="009E7AB4" w:rsidP="009E7AB4">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Није предвиђено какав тип инфрастуктуре се планира на</w:t>
            </w:r>
            <w:r w:rsidR="003B6113" w:rsidRPr="00092ED7">
              <w:rPr>
                <w:rFonts w:cs="Times New Roman"/>
                <w:sz w:val="20"/>
                <w:lang w:val="sr-Cyrl-CS"/>
              </w:rPr>
              <w:t xml:space="preserve"> </w:t>
            </w:r>
            <w:r w:rsidRPr="00092ED7">
              <w:rPr>
                <w:rFonts w:cs="Times New Roman"/>
                <w:sz w:val="20"/>
                <w:lang w:val="sr-Cyrl-CS"/>
              </w:rPr>
              <w:t xml:space="preserve">НУТС 3 нивоу (ниво округа), будући </w:t>
            </w:r>
            <w:r w:rsidR="00081E0F" w:rsidRPr="00092ED7">
              <w:rPr>
                <w:rFonts w:cs="Times New Roman"/>
                <w:sz w:val="20"/>
                <w:lang w:val="sr-Cyrl-CS"/>
              </w:rPr>
              <w:t>да је такав тип инфраструктуре неопхододан како би</w:t>
            </w:r>
            <w:r w:rsidRPr="00092ED7">
              <w:rPr>
                <w:rFonts w:cs="Times New Roman"/>
                <w:sz w:val="20"/>
                <w:lang w:val="sr-Cyrl-CS"/>
              </w:rPr>
              <w:t xml:space="preserve"> се  подржали </w:t>
            </w:r>
            <w:r w:rsidR="003B6113" w:rsidRPr="00092ED7">
              <w:rPr>
                <w:rFonts w:cs="Times New Roman"/>
                <w:sz w:val="20"/>
                <w:lang w:val="sr-Cyrl-CS"/>
              </w:rPr>
              <w:t>„ефекти преливања</w:t>
            </w:r>
            <w:r w:rsidR="00D610C8" w:rsidRPr="00092ED7">
              <w:rPr>
                <w:rFonts w:cs="Times New Roman"/>
                <w:sz w:val="20"/>
                <w:lang w:val="sr-Cyrl-CS"/>
              </w:rPr>
              <w:t>”</w:t>
            </w:r>
            <w:r w:rsidR="003B6113" w:rsidRPr="00092ED7">
              <w:rPr>
                <w:rFonts w:cs="Times New Roman"/>
                <w:sz w:val="20"/>
                <w:lang w:val="sr-Cyrl-CS"/>
              </w:rPr>
              <w:t xml:space="preserve"> улагања </w:t>
            </w:r>
            <w:r w:rsidRPr="00092ED7">
              <w:rPr>
                <w:rFonts w:cs="Times New Roman"/>
                <w:sz w:val="20"/>
                <w:lang w:val="sr-Cyrl-CS"/>
              </w:rPr>
              <w:t>у иновациону инфраструктуру на НУТС 2 нивоу.</w:t>
            </w:r>
          </w:p>
          <w:p w14:paraId="6000E7D9" w14:textId="77777777" w:rsidR="009E7AB4" w:rsidRPr="00092ED7" w:rsidRDefault="009E7AB4" w:rsidP="009E7AB4">
            <w:pPr>
              <w:spacing w:before="0" w:after="0"/>
              <w:rPr>
                <w:rFonts w:cs="Times New Roman"/>
                <w:sz w:val="20"/>
                <w:lang w:val="sr-Cyrl-CS"/>
              </w:rPr>
            </w:pPr>
          </w:p>
          <w:p w14:paraId="1DCB46D4" w14:textId="77777777" w:rsidR="009E7AB4" w:rsidRPr="00092ED7" w:rsidRDefault="009E7AB4" w:rsidP="009E7AB4">
            <w:pPr>
              <w:spacing w:before="0" w:after="0"/>
              <w:rPr>
                <w:rFonts w:cs="Times New Roman"/>
                <w:sz w:val="20"/>
                <w:lang w:val="sr-Cyrl-CS"/>
              </w:rPr>
            </w:pPr>
          </w:p>
        </w:tc>
        <w:tc>
          <w:tcPr>
            <w:tcW w:w="4172" w:type="dxa"/>
          </w:tcPr>
          <w:p w14:paraId="1A68E213" w14:textId="7A0DEAB1"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По угледу на земље ЕУ и </w:t>
            </w:r>
            <w:r w:rsidR="003B5902" w:rsidRPr="00092ED7">
              <w:rPr>
                <w:rFonts w:cs="Times New Roman"/>
                <w:sz w:val="20"/>
                <w:lang w:val="sr-Cyrl-CS"/>
              </w:rPr>
              <w:t xml:space="preserve">Република </w:t>
            </w:r>
            <w:r w:rsidRPr="00092ED7">
              <w:rPr>
                <w:rFonts w:cs="Times New Roman"/>
                <w:sz w:val="20"/>
                <w:lang w:val="sr-Cyrl-CS"/>
              </w:rPr>
              <w:t xml:space="preserve">Србија реализује активности на НУТС 2 нивоу, са идентификованим регионалним специфичностима. Ради се на успостављању нових паркова (Крушевац) или проширењу капацитета постојећих НТПа, инкубатора, стартап центара, а све у складу идентификованим потребама самих региона. Додатно, Стратегија паметне специјализације има механизам обавезног спровођења континуираног дијалога (ЕДП - процес предузетничког откривања) са свим заинтересованим странама из владиног, привредног, академског сектора и цивилног друштва, током развоја мера као и током њихове имплементације, а све у циљу добијања што боље слике о потребама сваког региона. </w:t>
            </w:r>
          </w:p>
          <w:p w14:paraId="44B5A913" w14:textId="69D9A027" w:rsidR="009E7AB4" w:rsidRPr="00092ED7" w:rsidRDefault="009E7AB4" w:rsidP="00833B80">
            <w:pPr>
              <w:spacing w:before="0" w:after="0"/>
              <w:rPr>
                <w:rFonts w:cs="Times New Roman"/>
                <w:sz w:val="20"/>
                <w:lang w:val="sr-Cyrl-CS"/>
              </w:rPr>
            </w:pPr>
            <w:r w:rsidRPr="00092ED7">
              <w:rPr>
                <w:rFonts w:cs="Times New Roman"/>
                <w:sz w:val="20"/>
                <w:lang w:val="sr-Cyrl-CS"/>
              </w:rPr>
              <w:t xml:space="preserve">Регионални иновациони и smart city центри су предвиђени у окрузима. План Министарства науке, технолошког развоја и иновација </w:t>
            </w:r>
            <w:r w:rsidR="00115299" w:rsidRPr="00092ED7">
              <w:rPr>
                <w:rFonts w:cs="Times New Roman"/>
                <w:sz w:val="20"/>
                <w:lang w:val="sr-Cyrl-CS"/>
              </w:rPr>
              <w:t xml:space="preserve">је </w:t>
            </w:r>
            <w:r w:rsidRPr="00092ED7">
              <w:rPr>
                <w:rFonts w:cs="Times New Roman"/>
                <w:sz w:val="20"/>
                <w:lang w:val="sr-Cyrl-CS"/>
              </w:rPr>
              <w:t>предвиђа</w:t>
            </w:r>
            <w:r w:rsidR="00115299" w:rsidRPr="00092ED7">
              <w:rPr>
                <w:rFonts w:cs="Times New Roman"/>
                <w:sz w:val="20"/>
                <w:lang w:val="sr-Cyrl-CS"/>
              </w:rPr>
              <w:t>о</w:t>
            </w:r>
            <w:r w:rsidRPr="00092ED7">
              <w:rPr>
                <w:rFonts w:cs="Times New Roman"/>
                <w:sz w:val="20"/>
                <w:lang w:val="sr-Cyrl-CS"/>
              </w:rPr>
              <w:t xml:space="preserve"> проширење постојећих и формирање нових иновационих и smart  city центара у окрузима у Р</w:t>
            </w:r>
            <w:r w:rsidR="00081DFC" w:rsidRPr="00092ED7">
              <w:rPr>
                <w:rFonts w:cs="Times New Roman"/>
                <w:sz w:val="20"/>
                <w:lang w:val="sr-Cyrl-CS"/>
              </w:rPr>
              <w:t xml:space="preserve">епублици </w:t>
            </w:r>
            <w:r w:rsidRPr="00092ED7">
              <w:rPr>
                <w:rFonts w:cs="Times New Roman"/>
                <w:sz w:val="20"/>
                <w:lang w:val="sr-Cyrl-CS"/>
              </w:rPr>
              <w:t>Србији. Идеја је да сваки део</w:t>
            </w:r>
            <w:r w:rsidR="00081DFC" w:rsidRPr="00092ED7">
              <w:rPr>
                <w:rFonts w:cs="Times New Roman"/>
                <w:sz w:val="20"/>
                <w:lang w:val="sr-Cyrl-CS"/>
              </w:rPr>
              <w:t xml:space="preserve"> Републике</w:t>
            </w:r>
            <w:r w:rsidRPr="00092ED7">
              <w:rPr>
                <w:rFonts w:cs="Times New Roman"/>
                <w:sz w:val="20"/>
                <w:lang w:val="sr-Cyrl-CS"/>
              </w:rPr>
              <w:t xml:space="preserve"> Србије буде покривен и да се у поменутим центрима ради са младима на даљем технолошком развоју и иновацијама. Посебан део у иновационим центрима заузимају и стручњаци који недвосмислено доприносе наставку развоја. Наводимо позитиван пример Малог Зворника у којем је прошле године отворен иновациони старт ап центар. 20.000.000 рсд је уложено у поменути пројекат из буџета ресорног Министарства. Тренутно Министарство финансира 18 пројеката који се везују за ниво округа и то кроз стандардни конкурс за ЈЛС. Програм подршке подизању иновационих капацитета </w:t>
            </w:r>
            <w:r w:rsidR="00833B80" w:rsidRPr="00092ED7">
              <w:rPr>
                <w:rFonts w:cs="Times New Roman"/>
                <w:sz w:val="20"/>
                <w:lang w:val="sr-Cyrl-CS"/>
              </w:rPr>
              <w:t>ЈЛС</w:t>
            </w:r>
            <w:r w:rsidRPr="00092ED7">
              <w:rPr>
                <w:rFonts w:cs="Times New Roman"/>
                <w:sz w:val="20"/>
                <w:lang w:val="sr-Cyrl-CS"/>
              </w:rPr>
              <w:t xml:space="preserve"> на територији </w:t>
            </w:r>
            <w:r w:rsidR="00A03723" w:rsidRPr="00092ED7">
              <w:rPr>
                <w:rFonts w:cs="Times New Roman"/>
                <w:sz w:val="20"/>
                <w:lang w:val="sr-Cyrl-CS"/>
              </w:rPr>
              <w:t xml:space="preserve">Републике Србије </w:t>
            </w:r>
            <w:r w:rsidRPr="00092ED7">
              <w:rPr>
                <w:rFonts w:cs="Times New Roman"/>
                <w:sz w:val="20"/>
                <w:lang w:val="sr-Cyrl-CS"/>
              </w:rPr>
              <w:t xml:space="preserve">је програм који је намењен управо НУТС3. План Министарства је даље улагање у иновационе центре у окрузима и мањим срединама у </w:t>
            </w:r>
            <w:r w:rsidR="00081DFC" w:rsidRPr="00092ED7">
              <w:rPr>
                <w:rFonts w:cs="Times New Roman"/>
                <w:sz w:val="20"/>
                <w:lang w:val="sr-Cyrl-CS"/>
              </w:rPr>
              <w:t xml:space="preserve">Републици </w:t>
            </w:r>
            <w:r w:rsidRPr="00092ED7">
              <w:rPr>
                <w:rFonts w:cs="Times New Roman"/>
                <w:sz w:val="20"/>
                <w:lang w:val="sr-Cyrl-CS"/>
              </w:rPr>
              <w:t xml:space="preserve">Србији.  </w:t>
            </w:r>
          </w:p>
        </w:tc>
      </w:tr>
      <w:tr w:rsidR="009E7AB4" w:rsidRPr="00092ED7" w14:paraId="040F1D48" w14:textId="77777777" w:rsidTr="009E7AB4">
        <w:tc>
          <w:tcPr>
            <w:tcW w:w="2789" w:type="dxa"/>
          </w:tcPr>
          <w:p w14:paraId="6D8FB01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Предлог  нове  СР:  Поспешивање  иновација  кроз  јавне набавке </w:t>
            </w:r>
          </w:p>
        </w:tc>
        <w:tc>
          <w:tcPr>
            <w:tcW w:w="2789" w:type="dxa"/>
          </w:tcPr>
          <w:p w14:paraId="3C638ACB" w14:textId="77777777" w:rsidR="009E7AB4" w:rsidRPr="00092ED7" w:rsidRDefault="009E7AB4" w:rsidP="009E7AB4">
            <w:pPr>
              <w:spacing w:before="0" w:after="0"/>
              <w:rPr>
                <w:rFonts w:cs="Times New Roman"/>
                <w:sz w:val="20"/>
                <w:lang w:val="sr-Cyrl-CS"/>
              </w:rPr>
            </w:pPr>
          </w:p>
        </w:tc>
        <w:tc>
          <w:tcPr>
            <w:tcW w:w="4198" w:type="dxa"/>
          </w:tcPr>
          <w:p w14:paraId="51D0742C"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Реформа подразумева подршку иновацијам</w:t>
            </w:r>
            <w:r w:rsidR="00081E0F" w:rsidRPr="00092ED7">
              <w:rPr>
                <w:rFonts w:cs="Times New Roman"/>
                <w:sz w:val="20"/>
                <w:lang w:val="sr-Cyrl-CS"/>
              </w:rPr>
              <w:t xml:space="preserve">а тако што би јавна предузећа кроз јавне   набавке давала </w:t>
            </w:r>
            <w:r w:rsidRPr="00092ED7">
              <w:rPr>
                <w:rFonts w:cs="Times New Roman"/>
                <w:sz w:val="20"/>
                <w:lang w:val="sr-Cyrl-CS"/>
              </w:rPr>
              <w:t>предност иновативним решењима и подразумева уодобљавање регулативе како би се овакве набавке спроводиле. Започети са пилотирањем.</w:t>
            </w:r>
          </w:p>
        </w:tc>
        <w:tc>
          <w:tcPr>
            <w:tcW w:w="4172" w:type="dxa"/>
          </w:tcPr>
          <w:p w14:paraId="4505A170" w14:textId="6D2244C2" w:rsidR="009E7AB4" w:rsidRPr="00092ED7" w:rsidRDefault="009E7AB4" w:rsidP="009E7AB4">
            <w:pPr>
              <w:spacing w:before="0" w:after="0"/>
              <w:rPr>
                <w:rFonts w:cs="Times New Roman"/>
                <w:sz w:val="20"/>
                <w:lang w:val="sr-Cyrl-CS"/>
              </w:rPr>
            </w:pPr>
            <w:r w:rsidRPr="00092ED7">
              <w:rPr>
                <w:rFonts w:cs="Times New Roman"/>
                <w:sz w:val="20"/>
                <w:lang w:val="sr-Cyrl-CS"/>
              </w:rPr>
              <w:t>Држава је препознала потребу да се поспеши увођење иновација кроз јавне набавке. Из тог разлога је СР 16 предвиђено спровођење Програма</w:t>
            </w:r>
            <w:r w:rsidRPr="00092ED7">
              <w:rPr>
                <w:rFonts w:cs="Times New Roman"/>
                <w:i/>
                <w:sz w:val="20"/>
                <w:lang w:val="sr-Cyrl-CS"/>
              </w:rPr>
              <w:t xml:space="preserve"> GovTech</w:t>
            </w:r>
            <w:r w:rsidRPr="00092ED7">
              <w:rPr>
                <w:rFonts w:cs="Times New Roman"/>
                <w:sz w:val="20"/>
                <w:lang w:val="sr-Cyrl-CS"/>
              </w:rPr>
              <w:t>. Овај програм има за циљ да убрза дигиталну трансформацију јавног сектора и „отвори врата</w:t>
            </w:r>
            <w:r w:rsidR="00B847C6" w:rsidRPr="00092ED7">
              <w:rPr>
                <w:rFonts w:cs="Times New Roman"/>
                <w:sz w:val="20"/>
                <w:lang w:val="sr-Cyrl-CS"/>
              </w:rPr>
              <w:t>”</w:t>
            </w:r>
            <w:r w:rsidRPr="00092ED7">
              <w:rPr>
                <w:rFonts w:cs="Times New Roman"/>
                <w:sz w:val="20"/>
                <w:lang w:val="sr-Cyrl-CS"/>
              </w:rPr>
              <w:t xml:space="preserve"> примени иновативних решења у јавној управи. Кроз активну сарадњу институција са иновативним компанијама, факултетима и стартапима, програм треба да успостави одрживи систем иновација у јавном сектору. У наредном периоду ће се детаљније разрађивати програм и његово спровођење.</w:t>
            </w:r>
          </w:p>
        </w:tc>
      </w:tr>
      <w:tr w:rsidR="009E7AB4" w:rsidRPr="00092ED7" w14:paraId="7E96DB08" w14:textId="77777777" w:rsidTr="009E7AB4">
        <w:tc>
          <w:tcPr>
            <w:tcW w:w="2789" w:type="dxa"/>
          </w:tcPr>
          <w:p w14:paraId="52E3139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СР 17:  Стварање услова за развој бионаука и биоекономије кроз изградњу БИО4 кампуса</w:t>
            </w:r>
          </w:p>
          <w:p w14:paraId="6C739026" w14:textId="77777777" w:rsidR="009E7AB4" w:rsidRPr="00092ED7" w:rsidRDefault="009E7AB4" w:rsidP="009E7AB4">
            <w:pPr>
              <w:spacing w:before="0" w:after="0"/>
              <w:rPr>
                <w:rFonts w:cs="Times New Roman"/>
                <w:sz w:val="20"/>
                <w:lang w:val="sr-Cyrl-CS"/>
              </w:rPr>
            </w:pPr>
          </w:p>
        </w:tc>
        <w:tc>
          <w:tcPr>
            <w:tcW w:w="2789" w:type="dxa"/>
          </w:tcPr>
          <w:p w14:paraId="286DEB28" w14:textId="77777777" w:rsidR="009E7AB4" w:rsidRPr="00092ED7" w:rsidRDefault="009E7AB4" w:rsidP="009E7AB4">
            <w:pPr>
              <w:spacing w:before="0" w:after="0"/>
              <w:rPr>
                <w:rFonts w:cs="Times New Roman"/>
                <w:sz w:val="20"/>
                <w:lang w:val="sr-Cyrl-CS"/>
              </w:rPr>
            </w:pPr>
          </w:p>
        </w:tc>
        <w:tc>
          <w:tcPr>
            <w:tcW w:w="4198" w:type="dxa"/>
          </w:tcPr>
          <w:p w14:paraId="1BE31FFF" w14:textId="67E3FB05"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БИО4 Кампус спада у ред мера јавних политика које </w:t>
            </w:r>
            <w:r w:rsidR="00081E0F" w:rsidRPr="00092ED7">
              <w:rPr>
                <w:rFonts w:cs="Times New Roman"/>
                <w:sz w:val="20"/>
                <w:lang w:val="sr-Cyrl-CS"/>
              </w:rPr>
              <w:t xml:space="preserve">су институционално  управљачко организационе </w:t>
            </w:r>
            <w:r w:rsidRPr="00092ED7">
              <w:rPr>
                <w:rFonts w:cs="Times New Roman"/>
                <w:sz w:val="20"/>
                <w:lang w:val="sr-Cyrl-CS"/>
              </w:rPr>
              <w:t>природе (ф</w:t>
            </w:r>
            <w:r w:rsidR="00081E0F" w:rsidRPr="00092ED7">
              <w:rPr>
                <w:rFonts w:cs="Times New Roman"/>
                <w:sz w:val="20"/>
                <w:lang w:val="sr-Cyrl-CS"/>
              </w:rPr>
              <w:t xml:space="preserve">ормирање  нових  институција - Закон </w:t>
            </w:r>
            <w:r w:rsidRPr="00092ED7">
              <w:rPr>
                <w:rFonts w:cs="Times New Roman"/>
                <w:sz w:val="20"/>
                <w:lang w:val="sr-Cyrl-CS"/>
              </w:rPr>
              <w:t>о  планском систему РС, 2018). Формирању БИО4</w:t>
            </w:r>
            <w:r w:rsidR="00081E0F" w:rsidRPr="00092ED7">
              <w:rPr>
                <w:rFonts w:cs="Times New Roman"/>
                <w:sz w:val="20"/>
                <w:lang w:val="sr-Cyrl-CS"/>
              </w:rPr>
              <w:t xml:space="preserve"> </w:t>
            </w:r>
            <w:r w:rsidRPr="00092ED7">
              <w:rPr>
                <w:rFonts w:cs="Times New Roman"/>
                <w:sz w:val="20"/>
                <w:lang w:val="sr-Cyrl-CS"/>
              </w:rPr>
              <w:t>Кампуса треба да</w:t>
            </w:r>
            <w:r w:rsidR="00081E0F" w:rsidRPr="00092ED7">
              <w:rPr>
                <w:rFonts w:cs="Times New Roman"/>
                <w:sz w:val="20"/>
                <w:lang w:val="sr-Cyrl-CS"/>
              </w:rPr>
              <w:t xml:space="preserve"> претходе  регулаторне   мере, као што </w:t>
            </w:r>
            <w:r w:rsidRPr="00092ED7">
              <w:rPr>
                <w:rFonts w:cs="Times New Roman"/>
                <w:sz w:val="20"/>
                <w:lang w:val="sr-Cyrl-CS"/>
              </w:rPr>
              <w:t>је  доношење Ст</w:t>
            </w:r>
            <w:r w:rsidR="00081E0F" w:rsidRPr="00092ED7">
              <w:rPr>
                <w:rFonts w:cs="Times New Roman"/>
                <w:sz w:val="20"/>
                <w:lang w:val="sr-Cyrl-CS"/>
              </w:rPr>
              <w:t xml:space="preserve">ратегије развоја  Биоекономије за </w:t>
            </w:r>
            <w:r w:rsidR="003B5902" w:rsidRPr="00092ED7">
              <w:rPr>
                <w:rFonts w:cs="Times New Roman"/>
                <w:sz w:val="20"/>
                <w:lang w:val="sr-Cyrl-CS"/>
              </w:rPr>
              <w:t xml:space="preserve">Републику </w:t>
            </w:r>
            <w:r w:rsidR="00081E0F" w:rsidRPr="00092ED7">
              <w:rPr>
                <w:rFonts w:cs="Times New Roman"/>
                <w:sz w:val="20"/>
                <w:lang w:val="sr-Cyrl-CS"/>
              </w:rPr>
              <w:t xml:space="preserve">Србију, као </w:t>
            </w:r>
            <w:r w:rsidRPr="00092ED7">
              <w:rPr>
                <w:rFonts w:cs="Times New Roman"/>
                <w:sz w:val="20"/>
                <w:lang w:val="sr-Cyrl-CS"/>
              </w:rPr>
              <w:t xml:space="preserve">и Стратегије развоја биоекономије региона у </w:t>
            </w:r>
            <w:r w:rsidR="003B5902" w:rsidRPr="00092ED7">
              <w:rPr>
                <w:rFonts w:cs="Times New Roman"/>
                <w:sz w:val="20"/>
                <w:lang w:val="sr-Cyrl-CS"/>
              </w:rPr>
              <w:t xml:space="preserve">Републици </w:t>
            </w:r>
            <w:r w:rsidRPr="00092ED7">
              <w:rPr>
                <w:rFonts w:cs="Times New Roman"/>
                <w:sz w:val="20"/>
                <w:lang w:val="sr-Cyrl-CS"/>
              </w:rPr>
              <w:t>Србији.</w:t>
            </w:r>
          </w:p>
          <w:p w14:paraId="734F3188" w14:textId="5CE1E1BE" w:rsidR="009E7AB4" w:rsidRPr="00092ED7" w:rsidRDefault="009E7AB4" w:rsidP="00081E0F">
            <w:pPr>
              <w:spacing w:before="0" w:after="0"/>
              <w:rPr>
                <w:rFonts w:cs="Times New Roman"/>
                <w:sz w:val="20"/>
                <w:lang w:val="sr-Cyrl-CS"/>
              </w:rPr>
            </w:pPr>
            <w:r w:rsidRPr="00092ED7">
              <w:rPr>
                <w:rFonts w:cs="Times New Roman"/>
                <w:sz w:val="20"/>
                <w:lang w:val="sr-Cyrl-CS"/>
              </w:rPr>
              <w:t xml:space="preserve">-Будући да је Стратегија паметне специјализације урађена на нивоу </w:t>
            </w:r>
            <w:r w:rsidR="00B16622" w:rsidRPr="00092ED7">
              <w:rPr>
                <w:rFonts w:cs="Times New Roman"/>
                <w:sz w:val="20"/>
                <w:lang w:val="sr-Cyrl-CS"/>
              </w:rPr>
              <w:t>Републи</w:t>
            </w:r>
            <w:r w:rsidR="003B5902" w:rsidRPr="00092ED7">
              <w:rPr>
                <w:rFonts w:cs="Times New Roman"/>
                <w:sz w:val="20"/>
                <w:lang w:val="sr-Cyrl-CS"/>
              </w:rPr>
              <w:t>ке</w:t>
            </w:r>
            <w:r w:rsidR="00B16622" w:rsidRPr="00092ED7">
              <w:rPr>
                <w:rFonts w:cs="Times New Roman"/>
                <w:sz w:val="20"/>
                <w:lang w:val="sr-Cyrl-CS"/>
              </w:rPr>
              <w:t xml:space="preserve"> </w:t>
            </w:r>
            <w:r w:rsidRPr="00092ED7">
              <w:rPr>
                <w:rFonts w:cs="Times New Roman"/>
                <w:sz w:val="20"/>
                <w:lang w:val="sr-Cyrl-CS"/>
              </w:rPr>
              <w:t xml:space="preserve">Србије, и да је у току припрема и усвајање Акционог плана за период од 2023. до 2025. године, потребно је да сваки НУТС 2 регион у </w:t>
            </w:r>
            <w:r w:rsidR="00B16622" w:rsidRPr="00092ED7">
              <w:rPr>
                <w:rFonts w:cs="Times New Roman"/>
                <w:sz w:val="20"/>
                <w:lang w:val="sr-Cyrl-CS"/>
              </w:rPr>
              <w:t xml:space="preserve">Републици </w:t>
            </w:r>
            <w:r w:rsidRPr="00092ED7">
              <w:rPr>
                <w:rFonts w:cs="Times New Roman"/>
                <w:sz w:val="20"/>
                <w:lang w:val="sr-Cyrl-CS"/>
              </w:rPr>
              <w:t>Србији уради стратегију специјализације за НУТС 2 ниво, која је у</w:t>
            </w:r>
            <w:r w:rsidR="00081E0F" w:rsidRPr="00092ED7">
              <w:rPr>
                <w:rFonts w:cs="Times New Roman"/>
                <w:sz w:val="20"/>
                <w:lang w:val="sr-Cyrl-CS"/>
              </w:rPr>
              <w:t xml:space="preserve"> </w:t>
            </w:r>
            <w:r w:rsidRPr="00092ED7">
              <w:rPr>
                <w:rFonts w:cs="Times New Roman"/>
                <w:sz w:val="20"/>
                <w:lang w:val="sr-Cyrl-CS"/>
              </w:rPr>
              <w:t>регионима земаља које су чл</w:t>
            </w:r>
            <w:r w:rsidR="00081E0F" w:rsidRPr="00092ED7">
              <w:rPr>
                <w:rFonts w:cs="Times New Roman"/>
                <w:sz w:val="20"/>
                <w:lang w:val="sr-Cyrl-CS"/>
              </w:rPr>
              <w:t xml:space="preserve">анице ЕУ екс анте предуслов за коришћење    Структурних фондова   ЕУ,  </w:t>
            </w:r>
            <w:r w:rsidRPr="00092ED7">
              <w:rPr>
                <w:rFonts w:cs="Times New Roman"/>
                <w:sz w:val="20"/>
                <w:lang w:val="sr-Cyrl-CS"/>
              </w:rPr>
              <w:t>као инструмената смањења интер регионалних диспаритета.</w:t>
            </w:r>
          </w:p>
          <w:p w14:paraId="402C1B94" w14:textId="4ADA6B70" w:rsidR="009E7AB4" w:rsidRPr="00092ED7" w:rsidRDefault="009E7AB4" w:rsidP="00A204E7">
            <w:pPr>
              <w:spacing w:before="0" w:after="0"/>
              <w:rPr>
                <w:rFonts w:cs="Times New Roman"/>
                <w:sz w:val="20"/>
                <w:lang w:val="sr-Cyrl-CS"/>
              </w:rPr>
            </w:pPr>
            <w:r w:rsidRPr="00092ED7">
              <w:rPr>
                <w:rFonts w:cs="Times New Roman"/>
                <w:sz w:val="20"/>
                <w:lang w:val="sr-Cyrl-CS"/>
              </w:rPr>
              <w:t>-Израдом Стратегије паметне специјализације на НУТС 2нивоу, не   само   да   би</w:t>
            </w:r>
            <w:r w:rsidR="00A204E7" w:rsidRPr="00092ED7">
              <w:rPr>
                <w:rFonts w:cs="Times New Roman"/>
                <w:sz w:val="20"/>
                <w:lang w:val="sr-Cyrl-CS"/>
              </w:rPr>
              <w:t xml:space="preserve">   се   валоризовали   развојни </w:t>
            </w:r>
            <w:r w:rsidRPr="00092ED7">
              <w:rPr>
                <w:rFonts w:cs="Times New Roman"/>
                <w:sz w:val="20"/>
                <w:lang w:val="sr-Cyrl-CS"/>
              </w:rPr>
              <w:t xml:space="preserve">потенцијали региона у </w:t>
            </w:r>
            <w:r w:rsidR="00B16622" w:rsidRPr="00092ED7">
              <w:rPr>
                <w:rFonts w:cs="Times New Roman"/>
                <w:sz w:val="20"/>
                <w:lang w:val="sr-Cyrl-CS"/>
              </w:rPr>
              <w:t xml:space="preserve">Републици </w:t>
            </w:r>
            <w:r w:rsidRPr="00092ED7">
              <w:rPr>
                <w:rFonts w:cs="Times New Roman"/>
                <w:sz w:val="20"/>
                <w:lang w:val="sr-Cyrl-CS"/>
              </w:rPr>
              <w:t xml:space="preserve">Србији, већ би се изградили и институционални капацитети региона који немају средњи ниво власти (регион Шумадије и Западне Србије, регион Јужне и Источне Србије), који би  били у функцији смањења интра диспаритета (диспаритета унутар самих НУТС 2 региона). Креирањем Националне платформе за паметну специјализацију, омогућило би да </w:t>
            </w:r>
            <w:r w:rsidR="00A204E7" w:rsidRPr="00092ED7">
              <w:rPr>
                <w:rFonts w:cs="Times New Roman"/>
                <w:sz w:val="20"/>
                <w:lang w:val="sr-Cyrl-CS"/>
              </w:rPr>
              <w:t xml:space="preserve">се оствари допринос   смањењу не само интер већ и </w:t>
            </w:r>
            <w:r w:rsidRPr="00092ED7">
              <w:rPr>
                <w:rFonts w:cs="Times New Roman"/>
                <w:sz w:val="20"/>
                <w:lang w:val="sr-Cyrl-CS"/>
              </w:rPr>
              <w:t>интра регионалних диспаритета.</w:t>
            </w:r>
          </w:p>
        </w:tc>
        <w:tc>
          <w:tcPr>
            <w:tcW w:w="4172" w:type="dxa"/>
          </w:tcPr>
          <w:p w14:paraId="772AC944" w14:textId="6BFE0395" w:rsidR="009E7AB4" w:rsidRPr="00092ED7" w:rsidRDefault="009E7AB4" w:rsidP="009E7AB4">
            <w:pPr>
              <w:spacing w:before="0" w:after="0"/>
              <w:rPr>
                <w:rFonts w:cs="Times New Roman"/>
                <w:sz w:val="20"/>
                <w:lang w:val="sr-Cyrl-CS"/>
              </w:rPr>
            </w:pPr>
            <w:r w:rsidRPr="00092ED7">
              <w:rPr>
                <w:rFonts w:cs="Times New Roman"/>
                <w:sz w:val="20"/>
                <w:lang w:val="sr-Cyrl-CS"/>
              </w:rPr>
              <w:t>Стратегија паметне специјализације је стратешки документ који обухвата све НУТС 2 регионе, и који усваја Влада. Постоје друга стратешка документа посвећена регионалном развоју.</w:t>
            </w:r>
          </w:p>
          <w:p w14:paraId="3F78210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 току је израда новог АП Стратегије паметне специјализације у оквиру чега су спроведене 4 регионалне радионице у новембру 2022. године за сваки идентификовани приоритетни домен. БИО4 кампус ће бити део овог Акционог плана ради праћења његовог успостављања и организације. </w:t>
            </w:r>
          </w:p>
        </w:tc>
      </w:tr>
      <w:tr w:rsidR="009E7AB4" w:rsidRPr="00092ED7" w14:paraId="25F756EC" w14:textId="77777777" w:rsidTr="009E7AB4">
        <w:tc>
          <w:tcPr>
            <w:tcW w:w="2789" w:type="dxa"/>
          </w:tcPr>
          <w:p w14:paraId="7C5DC088" w14:textId="77777777" w:rsidR="009E7AB4" w:rsidRPr="00092ED7" w:rsidRDefault="009E7AB4" w:rsidP="009E7AB4">
            <w:pPr>
              <w:spacing w:before="0" w:after="0"/>
              <w:rPr>
                <w:rFonts w:cs="Times New Roman"/>
                <w:sz w:val="20"/>
                <w:lang w:val="sr-Cyrl-CS"/>
              </w:rPr>
            </w:pPr>
            <w:bookmarkStart w:id="188" w:name="_Toc121414893"/>
            <w:r w:rsidRPr="00092ED7">
              <w:rPr>
                <w:rFonts w:cs="Times New Roman"/>
                <w:sz w:val="20"/>
                <w:lang w:val="sr-Cyrl-CS"/>
              </w:rPr>
              <w:t>5.2.6. Област реформе у области економских интеграција</w:t>
            </w:r>
            <w:bookmarkEnd w:id="188"/>
            <w:r w:rsidRPr="00092ED7">
              <w:rPr>
                <w:rFonts w:cs="Times New Roman"/>
                <w:sz w:val="20"/>
                <w:lang w:val="sr-Cyrl-CS"/>
              </w:rPr>
              <w:t>, СР 18 Унапређење услова и уклањање препрека трговини</w:t>
            </w:r>
          </w:p>
          <w:p w14:paraId="33B020B6" w14:textId="77777777" w:rsidR="009E7AB4" w:rsidRPr="00092ED7" w:rsidRDefault="009E7AB4" w:rsidP="009E7AB4">
            <w:pPr>
              <w:spacing w:before="0" w:after="0"/>
              <w:rPr>
                <w:rFonts w:cs="Times New Roman"/>
                <w:sz w:val="20"/>
                <w:lang w:val="sr-Cyrl-CS"/>
              </w:rPr>
            </w:pPr>
          </w:p>
        </w:tc>
        <w:tc>
          <w:tcPr>
            <w:tcW w:w="2789" w:type="dxa"/>
          </w:tcPr>
          <w:p w14:paraId="06E3B0F9" w14:textId="77777777" w:rsidR="009E7AB4" w:rsidRPr="00092ED7" w:rsidRDefault="009E7AB4" w:rsidP="009E7AB4">
            <w:pPr>
              <w:spacing w:before="0" w:after="0"/>
              <w:rPr>
                <w:rFonts w:cs="Times New Roman"/>
                <w:sz w:val="20"/>
                <w:lang w:val="sr-Cyrl-CS"/>
              </w:rPr>
            </w:pPr>
          </w:p>
        </w:tc>
        <w:tc>
          <w:tcPr>
            <w:tcW w:w="4198" w:type="dxa"/>
          </w:tcPr>
          <w:p w14:paraId="6809058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Структурна реформа 18 се годинама понавља и не виде се њени резултати. Нарочито по питању активности која се односи на преговоре о приступању СТО. Такође, имајући у виду да је Република Србија иницијатор и главни заговорник и</w:t>
            </w:r>
            <w:r w:rsidR="00A204E7" w:rsidRPr="00092ED7">
              <w:rPr>
                <w:rFonts w:cs="Times New Roman"/>
                <w:sz w:val="20"/>
                <w:lang w:val="sr-Cyrl-CS"/>
              </w:rPr>
              <w:t xml:space="preserve">ницијативе Отворени   Балкан, остаје питање формулације и </w:t>
            </w:r>
            <w:r w:rsidRPr="00092ED7">
              <w:rPr>
                <w:rFonts w:cs="Times New Roman"/>
                <w:sz w:val="20"/>
                <w:lang w:val="sr-Cyrl-CS"/>
              </w:rPr>
              <w:t>осталих активности ове структурне реформе, а пре свега питање тога да ли ће се ова СР наћи и будућим циклусима у ЕРП.</w:t>
            </w:r>
          </w:p>
        </w:tc>
        <w:tc>
          <w:tcPr>
            <w:tcW w:w="4172" w:type="dxa"/>
          </w:tcPr>
          <w:p w14:paraId="3D266B1B" w14:textId="2C83AF2C" w:rsidR="009E7AB4" w:rsidRPr="00092ED7" w:rsidRDefault="009E7AB4" w:rsidP="009E7AB4">
            <w:pPr>
              <w:pStyle w:val="CommentText"/>
              <w:spacing w:before="0" w:after="0" w:line="240" w:lineRule="auto"/>
              <w:rPr>
                <w:rFonts w:eastAsiaTheme="minorHAnsi" w:cs="Times New Roman"/>
                <w:lang w:val="sr-Cyrl-CS" w:eastAsia="en-US"/>
              </w:rPr>
            </w:pPr>
            <w:r w:rsidRPr="00092ED7">
              <w:rPr>
                <w:rFonts w:eastAsiaTheme="minorHAnsi" w:cs="Times New Roman"/>
                <w:lang w:val="sr-Cyrl-CS" w:eastAsia="en-US"/>
              </w:rPr>
              <w:t xml:space="preserve">Процес приступања </w:t>
            </w:r>
            <w:r w:rsidR="00B16622" w:rsidRPr="00092ED7">
              <w:rPr>
                <w:rFonts w:eastAsiaTheme="minorHAnsi" w:cs="Times New Roman"/>
                <w:lang w:val="sr-Cyrl-CS" w:eastAsia="en-US"/>
              </w:rPr>
              <w:t xml:space="preserve">Републике </w:t>
            </w:r>
            <w:r w:rsidRPr="00092ED7">
              <w:rPr>
                <w:rFonts w:eastAsiaTheme="minorHAnsi" w:cs="Times New Roman"/>
                <w:lang w:val="sr-Cyrl-CS" w:eastAsia="en-US"/>
              </w:rPr>
              <w:t xml:space="preserve">Србије СТО је захтеван, посебно због чињенице  да </w:t>
            </w:r>
            <w:r w:rsidR="003B5902" w:rsidRPr="00092ED7">
              <w:rPr>
                <w:rFonts w:eastAsiaTheme="minorHAnsi" w:cs="Times New Roman"/>
                <w:lang w:val="sr-Cyrl-CS" w:eastAsia="en-US"/>
              </w:rPr>
              <w:t xml:space="preserve">Република </w:t>
            </w:r>
            <w:r w:rsidRPr="00092ED7">
              <w:rPr>
                <w:rFonts w:eastAsiaTheme="minorHAnsi" w:cs="Times New Roman"/>
                <w:lang w:val="sr-Cyrl-CS" w:eastAsia="en-US"/>
              </w:rPr>
              <w:t xml:space="preserve">Србија има отворене билатералне преговоре (између осталог и са </w:t>
            </w:r>
            <w:r w:rsidR="00B16622" w:rsidRPr="00092ED7">
              <w:rPr>
                <w:rFonts w:eastAsiaTheme="minorHAnsi" w:cs="Times New Roman"/>
                <w:lang w:val="sr-Cyrl-CS" w:eastAsia="en-US"/>
              </w:rPr>
              <w:t xml:space="preserve">Русијом </w:t>
            </w:r>
            <w:r w:rsidRPr="00092ED7">
              <w:rPr>
                <w:rFonts w:eastAsiaTheme="minorHAnsi" w:cs="Times New Roman"/>
                <w:lang w:val="sr-Cyrl-CS" w:eastAsia="en-US"/>
              </w:rPr>
              <w:t xml:space="preserve"> и Украјином). Одлука о питању да ли ће се ова СР задржати у приоритетним СР представљеним у ЕРП, биће разматрана у следећем циклусу.</w:t>
            </w:r>
          </w:p>
          <w:p w14:paraId="05E7BAD6" w14:textId="77777777" w:rsidR="009E7AB4" w:rsidRPr="00092ED7" w:rsidRDefault="009E7AB4" w:rsidP="009E7AB4">
            <w:pPr>
              <w:spacing w:before="0" w:after="0"/>
              <w:rPr>
                <w:rFonts w:cs="Times New Roman"/>
                <w:sz w:val="20"/>
                <w:lang w:val="sr-Cyrl-CS"/>
              </w:rPr>
            </w:pPr>
          </w:p>
        </w:tc>
      </w:tr>
      <w:tr w:rsidR="009E7AB4" w:rsidRPr="00092ED7" w14:paraId="6B52D4C7" w14:textId="77777777" w:rsidTr="009E7AB4">
        <w:tc>
          <w:tcPr>
            <w:tcW w:w="2789" w:type="dxa"/>
          </w:tcPr>
          <w:p w14:paraId="1CCE5189"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w:t>
            </w:r>
          </w:p>
          <w:p w14:paraId="321AB84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Регулисање</w:t>
            </w:r>
            <w:r w:rsidR="003B6113" w:rsidRPr="00092ED7">
              <w:rPr>
                <w:rFonts w:cs="Times New Roman"/>
                <w:sz w:val="20"/>
                <w:lang w:val="sr-Cyrl-CS"/>
              </w:rPr>
              <w:t xml:space="preserve"> </w:t>
            </w:r>
            <w:r w:rsidRPr="00092ED7">
              <w:rPr>
                <w:rFonts w:cs="Times New Roman"/>
                <w:sz w:val="20"/>
                <w:lang w:val="sr-Cyrl-CS"/>
              </w:rPr>
              <w:t xml:space="preserve">унутрашњег тржишта </w:t>
            </w:r>
          </w:p>
          <w:p w14:paraId="461C6EE2" w14:textId="77777777" w:rsidR="009E7AB4" w:rsidRPr="00092ED7" w:rsidRDefault="009E7AB4" w:rsidP="009E7AB4">
            <w:pPr>
              <w:spacing w:before="0" w:after="0"/>
              <w:rPr>
                <w:rFonts w:cs="Times New Roman"/>
                <w:sz w:val="20"/>
                <w:lang w:val="sr-Cyrl-CS"/>
              </w:rPr>
            </w:pPr>
          </w:p>
          <w:p w14:paraId="4BD6ADF1" w14:textId="77777777" w:rsidR="009E7AB4" w:rsidRPr="00092ED7" w:rsidRDefault="009E7AB4" w:rsidP="009E7AB4">
            <w:pPr>
              <w:spacing w:before="0" w:after="0"/>
              <w:rPr>
                <w:rFonts w:cs="Times New Roman"/>
                <w:sz w:val="20"/>
                <w:lang w:val="sr-Cyrl-CS"/>
              </w:rPr>
            </w:pPr>
          </w:p>
        </w:tc>
        <w:tc>
          <w:tcPr>
            <w:tcW w:w="2789" w:type="dxa"/>
          </w:tcPr>
          <w:p w14:paraId="05DBC83A" w14:textId="77777777" w:rsidR="009E7AB4" w:rsidRPr="00092ED7" w:rsidRDefault="009E7AB4" w:rsidP="009E7AB4">
            <w:pPr>
              <w:spacing w:before="0" w:after="0"/>
              <w:rPr>
                <w:rFonts w:cs="Times New Roman"/>
                <w:sz w:val="20"/>
                <w:lang w:val="sr-Cyrl-CS"/>
              </w:rPr>
            </w:pPr>
          </w:p>
        </w:tc>
        <w:tc>
          <w:tcPr>
            <w:tcW w:w="4198" w:type="dxa"/>
          </w:tcPr>
          <w:p w14:paraId="5B9D0C1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Реформа подразумева наставак рада на унапређењу свих области Кластера 2 - Реформа је усмерена на уређење унутрашњег тржишта и доприноси испуњавању стратешких циљева Владе и стратешког  опредељења  за  приступање  ЕУ  у поглављима 1,</w:t>
            </w:r>
            <w:r w:rsidR="003B6113" w:rsidRPr="00092ED7">
              <w:rPr>
                <w:rFonts w:cs="Times New Roman"/>
                <w:sz w:val="20"/>
                <w:lang w:val="sr-Cyrl-CS"/>
              </w:rPr>
              <w:t xml:space="preserve"> </w:t>
            </w:r>
            <w:r w:rsidRPr="00092ED7">
              <w:rPr>
                <w:rFonts w:cs="Times New Roman"/>
                <w:sz w:val="20"/>
                <w:lang w:val="sr-Cyrl-CS"/>
              </w:rPr>
              <w:t>3,</w:t>
            </w:r>
            <w:r w:rsidR="003B6113" w:rsidRPr="00092ED7">
              <w:rPr>
                <w:rFonts w:cs="Times New Roman"/>
                <w:sz w:val="20"/>
                <w:lang w:val="sr-Cyrl-CS"/>
              </w:rPr>
              <w:t xml:space="preserve"> </w:t>
            </w:r>
            <w:r w:rsidRPr="00092ED7">
              <w:rPr>
                <w:rFonts w:cs="Times New Roman"/>
                <w:sz w:val="20"/>
                <w:lang w:val="sr-Cyrl-CS"/>
              </w:rPr>
              <w:t>4,</w:t>
            </w:r>
            <w:r w:rsidR="003B6113" w:rsidRPr="00092ED7">
              <w:rPr>
                <w:rFonts w:cs="Times New Roman"/>
                <w:sz w:val="20"/>
                <w:lang w:val="sr-Cyrl-CS"/>
              </w:rPr>
              <w:t xml:space="preserve"> </w:t>
            </w:r>
            <w:r w:rsidRPr="00092ED7">
              <w:rPr>
                <w:rFonts w:cs="Times New Roman"/>
                <w:sz w:val="20"/>
                <w:lang w:val="sr-Cyrl-CS"/>
              </w:rPr>
              <w:t>6,</w:t>
            </w:r>
            <w:r w:rsidR="003B6113" w:rsidRPr="00092ED7">
              <w:rPr>
                <w:rFonts w:cs="Times New Roman"/>
                <w:sz w:val="20"/>
                <w:lang w:val="sr-Cyrl-CS"/>
              </w:rPr>
              <w:t xml:space="preserve"> </w:t>
            </w:r>
            <w:r w:rsidRPr="00092ED7">
              <w:rPr>
                <w:rFonts w:cs="Times New Roman"/>
                <w:sz w:val="20"/>
                <w:lang w:val="sr-Cyrl-CS"/>
              </w:rPr>
              <w:t>7,</w:t>
            </w:r>
            <w:r w:rsidR="003B6113" w:rsidRPr="00092ED7">
              <w:rPr>
                <w:rFonts w:cs="Times New Roman"/>
                <w:sz w:val="20"/>
                <w:lang w:val="sr-Cyrl-CS"/>
              </w:rPr>
              <w:t xml:space="preserve"> </w:t>
            </w:r>
            <w:r w:rsidRPr="00092ED7">
              <w:rPr>
                <w:rFonts w:cs="Times New Roman"/>
                <w:sz w:val="20"/>
                <w:lang w:val="sr-Cyrl-CS"/>
              </w:rPr>
              <w:t>8,</w:t>
            </w:r>
            <w:r w:rsidR="003B6113" w:rsidRPr="00092ED7">
              <w:rPr>
                <w:rFonts w:cs="Times New Roman"/>
                <w:sz w:val="20"/>
                <w:lang w:val="sr-Cyrl-CS"/>
              </w:rPr>
              <w:t xml:space="preserve"> </w:t>
            </w:r>
            <w:r w:rsidRPr="00092ED7">
              <w:rPr>
                <w:rFonts w:cs="Times New Roman"/>
                <w:sz w:val="20"/>
                <w:lang w:val="sr-Cyrl-CS"/>
              </w:rPr>
              <w:t>9,</w:t>
            </w:r>
            <w:r w:rsidR="003B6113" w:rsidRPr="00092ED7">
              <w:rPr>
                <w:rFonts w:cs="Times New Roman"/>
                <w:sz w:val="20"/>
                <w:lang w:val="sr-Cyrl-CS"/>
              </w:rPr>
              <w:t xml:space="preserve"> </w:t>
            </w:r>
            <w:r w:rsidRPr="00092ED7">
              <w:rPr>
                <w:rFonts w:cs="Times New Roman"/>
                <w:sz w:val="20"/>
                <w:lang w:val="sr-Cyrl-CS"/>
              </w:rPr>
              <w:t>10,</w:t>
            </w:r>
            <w:r w:rsidR="003B6113" w:rsidRPr="00092ED7">
              <w:rPr>
                <w:rFonts w:cs="Times New Roman"/>
                <w:sz w:val="20"/>
                <w:lang w:val="sr-Cyrl-CS"/>
              </w:rPr>
              <w:t xml:space="preserve"> </w:t>
            </w:r>
            <w:r w:rsidRPr="00092ED7">
              <w:rPr>
                <w:rFonts w:cs="Times New Roman"/>
                <w:sz w:val="20"/>
                <w:lang w:val="sr-Cyrl-CS"/>
              </w:rPr>
              <w:t>20,</w:t>
            </w:r>
            <w:r w:rsidR="003B6113" w:rsidRPr="00092ED7">
              <w:rPr>
                <w:rFonts w:cs="Times New Roman"/>
                <w:sz w:val="20"/>
                <w:lang w:val="sr-Cyrl-CS"/>
              </w:rPr>
              <w:t xml:space="preserve"> </w:t>
            </w:r>
            <w:r w:rsidRPr="00092ED7">
              <w:rPr>
                <w:rFonts w:cs="Times New Roman"/>
                <w:sz w:val="20"/>
                <w:lang w:val="sr-Cyrl-CS"/>
              </w:rPr>
              <w:t>25,</w:t>
            </w:r>
            <w:r w:rsidR="003B6113" w:rsidRPr="00092ED7">
              <w:rPr>
                <w:rFonts w:cs="Times New Roman"/>
                <w:sz w:val="20"/>
                <w:lang w:val="sr-Cyrl-CS"/>
              </w:rPr>
              <w:t xml:space="preserve"> </w:t>
            </w:r>
            <w:r w:rsidRPr="00092ED7">
              <w:rPr>
                <w:rFonts w:cs="Times New Roman"/>
                <w:sz w:val="20"/>
                <w:lang w:val="sr-Cyrl-CS"/>
              </w:rPr>
              <w:t>28.  Подржана  је  кроз  велики  твининг пројекат ИПА 2021, чија је реализација у току, а наставак планиран у 2023 или 2024.</w:t>
            </w:r>
          </w:p>
          <w:p w14:paraId="32E5E94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Кључна сврха реформе је успостављање пословног окружења и  услова за дугорочно стабилан и одржив привредни раст, </w:t>
            </w:r>
            <w:r w:rsidR="002331E2" w:rsidRPr="00092ED7">
              <w:rPr>
                <w:rFonts w:cs="Times New Roman"/>
                <w:sz w:val="20"/>
                <w:lang w:val="sr-Cyrl-CS"/>
              </w:rPr>
              <w:t xml:space="preserve">даљу  либерализацију  тржишта, </w:t>
            </w:r>
            <w:r w:rsidRPr="00092ED7">
              <w:rPr>
                <w:rFonts w:cs="Times New Roman"/>
                <w:sz w:val="20"/>
                <w:lang w:val="sr-Cyrl-CS"/>
              </w:rPr>
              <w:t>креирање  повољног  амбијента  за тржишне  операт</w:t>
            </w:r>
            <w:r w:rsidR="002331E2" w:rsidRPr="00092ED7">
              <w:rPr>
                <w:rFonts w:cs="Times New Roman"/>
                <w:sz w:val="20"/>
                <w:lang w:val="sr-Cyrl-CS"/>
              </w:rPr>
              <w:t xml:space="preserve">ере  и  подстицања  иновација, као </w:t>
            </w:r>
            <w:r w:rsidRPr="00092ED7">
              <w:rPr>
                <w:rFonts w:cs="Times New Roman"/>
                <w:sz w:val="20"/>
                <w:lang w:val="sr-Cyrl-CS"/>
              </w:rPr>
              <w:t>кључних  фактора конкурентности. Овим ће се бити омогућено приватном  сектору и потрошачима да у потпуности искористе предности  јединственог тржишта ЕУ по приступању. Обезбеђивање усло</w:t>
            </w:r>
            <w:r w:rsidR="00A204E7" w:rsidRPr="00092ED7">
              <w:rPr>
                <w:rFonts w:cs="Times New Roman"/>
                <w:sz w:val="20"/>
                <w:lang w:val="sr-Cyrl-CS"/>
              </w:rPr>
              <w:t xml:space="preserve">ва за слободну  конкуренцију, усклађивање </w:t>
            </w:r>
            <w:r w:rsidRPr="00092ED7">
              <w:rPr>
                <w:rFonts w:cs="Times New Roman"/>
                <w:sz w:val="20"/>
                <w:lang w:val="sr-Cyrl-CS"/>
              </w:rPr>
              <w:t>политике  државне помоћи, јачање функционал</w:t>
            </w:r>
            <w:r w:rsidR="002331E2" w:rsidRPr="00092ED7">
              <w:rPr>
                <w:rFonts w:cs="Times New Roman"/>
                <w:sz w:val="20"/>
                <w:lang w:val="sr-Cyrl-CS"/>
              </w:rPr>
              <w:t xml:space="preserve">ног система тржишног надзора и </w:t>
            </w:r>
            <w:r w:rsidRPr="00092ED7">
              <w:rPr>
                <w:rFonts w:cs="Times New Roman"/>
                <w:sz w:val="20"/>
                <w:lang w:val="sr-Cyrl-CS"/>
              </w:rPr>
              <w:t>спровођење  права интелектуалне своји</w:t>
            </w:r>
            <w:r w:rsidR="002331E2" w:rsidRPr="00092ED7">
              <w:rPr>
                <w:rFonts w:cs="Times New Roman"/>
                <w:sz w:val="20"/>
                <w:lang w:val="sr-Cyrl-CS"/>
              </w:rPr>
              <w:t xml:space="preserve">не/односно  заштитом носилаца права интелектуалне   својине, либерализацијом </w:t>
            </w:r>
            <w:r w:rsidRPr="00092ED7">
              <w:rPr>
                <w:rFonts w:cs="Times New Roman"/>
                <w:sz w:val="20"/>
                <w:lang w:val="sr-Cyrl-CS"/>
              </w:rPr>
              <w:t>пружања услуга обезбедиће исте услове за тржишне оператере и истовремено много већи избор производа за купце, бе</w:t>
            </w:r>
            <w:r w:rsidR="002331E2" w:rsidRPr="00092ED7">
              <w:rPr>
                <w:rFonts w:cs="Times New Roman"/>
                <w:sz w:val="20"/>
                <w:lang w:val="sr-Cyrl-CS"/>
              </w:rPr>
              <w:t xml:space="preserve">збедније производе,  повољније </w:t>
            </w:r>
            <w:r w:rsidRPr="00092ED7">
              <w:rPr>
                <w:rFonts w:cs="Times New Roman"/>
                <w:sz w:val="20"/>
                <w:lang w:val="sr-Cyrl-CS"/>
              </w:rPr>
              <w:t>цене  и  као резултат  бољу  заштиту потрошача.</w:t>
            </w:r>
          </w:p>
        </w:tc>
        <w:tc>
          <w:tcPr>
            <w:tcW w:w="4172" w:type="dxa"/>
          </w:tcPr>
          <w:p w14:paraId="39344774"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Област је изузетно значајна, али и комплексна, тако да је неопходно посветити довољно пажње како би се у неком наредном ЕРП дефинисао најрепрезентативнији реформски сегмент.</w:t>
            </w:r>
          </w:p>
          <w:p w14:paraId="25A5F91F" w14:textId="77777777" w:rsidR="009E7AB4" w:rsidRPr="00092ED7" w:rsidRDefault="009E7AB4" w:rsidP="009E7AB4">
            <w:pPr>
              <w:spacing w:before="0" w:after="0"/>
              <w:rPr>
                <w:rFonts w:cs="Times New Roman"/>
                <w:sz w:val="20"/>
                <w:lang w:val="sr-Cyrl-CS"/>
              </w:rPr>
            </w:pPr>
          </w:p>
        </w:tc>
      </w:tr>
      <w:tr w:rsidR="009E7AB4" w:rsidRPr="00092ED7" w14:paraId="1EE23E39" w14:textId="77777777" w:rsidTr="009E7AB4">
        <w:tc>
          <w:tcPr>
            <w:tcW w:w="2789" w:type="dxa"/>
          </w:tcPr>
          <w:p w14:paraId="63B9D12C" w14:textId="77777777" w:rsidR="009E7AB4" w:rsidRPr="00092ED7" w:rsidRDefault="009E7AB4" w:rsidP="009E7AB4">
            <w:pPr>
              <w:spacing w:before="0" w:after="0"/>
              <w:rPr>
                <w:rFonts w:cs="Times New Roman"/>
                <w:sz w:val="20"/>
                <w:lang w:val="sr-Cyrl-CS"/>
              </w:rPr>
            </w:pPr>
            <w:bookmarkStart w:id="189" w:name="_Toc121414896"/>
            <w:r w:rsidRPr="00092ED7">
              <w:rPr>
                <w:rFonts w:cs="Times New Roman"/>
                <w:sz w:val="20"/>
                <w:lang w:val="sr-Cyrl-CS"/>
              </w:rPr>
              <w:t>5.2.9. Област пољопривреда, индустрија и услуге</w:t>
            </w:r>
            <w:bookmarkEnd w:id="189"/>
          </w:p>
          <w:p w14:paraId="6A9A80FD" w14:textId="77777777" w:rsidR="009E7AB4" w:rsidRPr="00092ED7" w:rsidRDefault="009E7AB4" w:rsidP="009E7AB4">
            <w:pPr>
              <w:spacing w:before="0" w:after="0"/>
              <w:rPr>
                <w:rFonts w:cs="Times New Roman"/>
                <w:sz w:val="20"/>
                <w:lang w:val="sr-Cyrl-CS"/>
              </w:rPr>
            </w:pPr>
          </w:p>
        </w:tc>
        <w:tc>
          <w:tcPr>
            <w:tcW w:w="2789" w:type="dxa"/>
          </w:tcPr>
          <w:p w14:paraId="44535B5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Привредна комора Србије, достављено електронским путем 23. децембра 2022.</w:t>
            </w:r>
          </w:p>
        </w:tc>
        <w:tc>
          <w:tcPr>
            <w:tcW w:w="4198" w:type="dxa"/>
          </w:tcPr>
          <w:p w14:paraId="4CE465AF" w14:textId="77777777" w:rsidR="009E7AB4" w:rsidRPr="00092ED7" w:rsidRDefault="009E7AB4" w:rsidP="009E7AB4">
            <w:pPr>
              <w:spacing w:before="0" w:after="0"/>
              <w:rPr>
                <w:rFonts w:cs="Times New Roman"/>
                <w:bCs/>
                <w:sz w:val="20"/>
                <w:lang w:val="sr-Cyrl-CS"/>
              </w:rPr>
            </w:pPr>
            <w:r w:rsidRPr="00092ED7">
              <w:rPr>
                <w:rFonts w:cs="Times New Roman"/>
                <w:sz w:val="20"/>
                <w:lang w:val="sr-Cyrl-CS"/>
              </w:rPr>
              <w:t xml:space="preserve">У делу где се наводи да </w:t>
            </w:r>
            <w:r w:rsidRPr="00092ED7">
              <w:rPr>
                <w:rFonts w:cs="Times New Roman"/>
                <w:bCs/>
                <w:sz w:val="20"/>
                <w:lang w:val="sr-Cyrl-CS"/>
              </w:rPr>
              <w:t>самосталан рад без тенденције ка удруживању, недовољан ниво инвестиција у пољопривреду и фрагментисан тржишни ланац ограничавају развој пољопривредне делатности, указујемо да у овој области постоји низ удружења, а најзаступљенија су у говедарској, узгајивачи свиња су  такође удружени, како по регионима тако и на нивоу Републике (нпр. Савез удружења узгајивача свиња Србије). Проблем у сточарству је различит од ситуације у другим секторима пољопривреде. Процењује се да сточарство Републике Србије, у структури укупне пољопривредне производње, учествује са око 28,1%</w:t>
            </w:r>
            <w:r w:rsidRPr="00092ED7">
              <w:rPr>
                <w:rFonts w:cs="Times New Roman"/>
                <w:b/>
                <w:bCs/>
                <w:sz w:val="20"/>
                <w:lang w:val="sr-Cyrl-CS"/>
              </w:rPr>
              <w:t xml:space="preserve"> </w:t>
            </w:r>
            <w:r w:rsidRPr="00092ED7">
              <w:rPr>
                <w:rFonts w:cs="Times New Roman"/>
                <w:bCs/>
                <w:sz w:val="20"/>
                <w:lang w:val="sr-Cyrl-CS"/>
              </w:rPr>
              <w:t>(биљна производња заузима учешће од 71,9%). И поред повољних услова за сточарство у Републици Србији, званични статистички подаци, на вишедеценијском нивоу, показују тренд пада броја животиња.</w:t>
            </w:r>
          </w:p>
        </w:tc>
        <w:tc>
          <w:tcPr>
            <w:tcW w:w="4172" w:type="dxa"/>
          </w:tcPr>
          <w:p w14:paraId="711DCA2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Сагласни смо са ставом да удружења у области пољопривреде свакако постоје, али је потребно њихов рад унапредити и оснажити, на чему се континуирано ради.</w:t>
            </w:r>
          </w:p>
        </w:tc>
      </w:tr>
      <w:tr w:rsidR="009E7AB4" w:rsidRPr="00092ED7" w14:paraId="1D5C99D4" w14:textId="77777777" w:rsidTr="009E7AB4">
        <w:tc>
          <w:tcPr>
            <w:tcW w:w="2789" w:type="dxa"/>
          </w:tcPr>
          <w:p w14:paraId="6879DFC1" w14:textId="77777777" w:rsidR="009E7AB4" w:rsidRPr="00092ED7" w:rsidRDefault="009E7AB4" w:rsidP="009E7AB4">
            <w:pPr>
              <w:spacing w:before="0" w:after="0"/>
              <w:rPr>
                <w:rFonts w:cs="Times New Roman"/>
                <w:sz w:val="20"/>
                <w:lang w:val="sr-Cyrl-CS"/>
              </w:rPr>
            </w:pPr>
          </w:p>
        </w:tc>
        <w:tc>
          <w:tcPr>
            <w:tcW w:w="2789" w:type="dxa"/>
          </w:tcPr>
          <w:p w14:paraId="2689E128" w14:textId="77777777" w:rsidR="009E7AB4" w:rsidRPr="00092ED7" w:rsidRDefault="009E7AB4" w:rsidP="009E7AB4">
            <w:pPr>
              <w:spacing w:before="0" w:after="0"/>
              <w:rPr>
                <w:rFonts w:cs="Times New Roman"/>
                <w:sz w:val="20"/>
                <w:lang w:val="sr-Cyrl-CS"/>
              </w:rPr>
            </w:pPr>
          </w:p>
        </w:tc>
        <w:tc>
          <w:tcPr>
            <w:tcW w:w="4198" w:type="dxa"/>
          </w:tcPr>
          <w:p w14:paraId="128F808B"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У делу који се односи на будући правни оквир у области пољопривреде у Републици Србији</w:t>
            </w:r>
            <w:r w:rsidRPr="00092ED7">
              <w:rPr>
                <w:rFonts w:cs="Times New Roman"/>
                <w:sz w:val="20"/>
                <w:lang w:val="sr-Cyrl-CS"/>
              </w:rPr>
              <w:t xml:space="preserve"> </w:t>
            </w:r>
            <w:r w:rsidRPr="00092ED7">
              <w:rPr>
                <w:rFonts w:cs="Times New Roman"/>
                <w:bCs/>
                <w:sz w:val="20"/>
                <w:lang w:val="sr-Cyrl-CS"/>
              </w:rPr>
              <w:t>у смислу успостављања праведног, здравог и еколошки прихватљивог тржишног ланца прехрамбених производа, а кроз активности смањења употребе пестицида, вештачког ђубрива и антибиотика, као и смањења ризика њиховог коришћења с једне стране, и унапређења заштите животне средине и очувања биодиверзитета, с друге стране, сматрамо да је неопходно донети посебан Закон о ветеринарским лековима, усклађен са ЕУ законодавством (Привредна комора Србије је у децембру 2019. упутила иницијативу на ову тему).</w:t>
            </w:r>
            <w:r w:rsidRPr="00092ED7">
              <w:rPr>
                <w:rFonts w:cs="Times New Roman"/>
                <w:sz w:val="20"/>
                <w:lang w:val="sr-Cyrl-CS"/>
              </w:rPr>
              <w:t xml:space="preserve"> </w:t>
            </w:r>
            <w:r w:rsidRPr="00092ED7">
              <w:rPr>
                <w:rFonts w:cs="Times New Roman"/>
                <w:bCs/>
                <w:sz w:val="20"/>
                <w:lang w:val="sr-Cyrl-CS"/>
              </w:rPr>
              <w:t>Разлике између важећих националних прописа и ЕУ регулативе у области ветеринарских лекова су неупоредиве. Промене у ЕУ законодавству директно утичу на примену важећих подзаконских аката из области ветеринарских лекова (којим се регулише документација за прве регистрације и обнове, као и варијације), што може утицати на развој сивог тржишта, док је део везан за фармаковагиланцу, полазећи од чињенице да се ослања на важећи Закон о лековима и медицинским средствима, потребно посебно уредити</w:t>
            </w:r>
            <w:r w:rsidR="00945202" w:rsidRPr="00092ED7">
              <w:rPr>
                <w:rFonts w:cs="Times New Roman"/>
                <w:bCs/>
                <w:sz w:val="20"/>
                <w:lang w:val="sr-Cyrl-CS"/>
              </w:rPr>
              <w:t xml:space="preserve"> за област ветеринарских лекова</w:t>
            </w:r>
            <w:r w:rsidR="002331E2" w:rsidRPr="00092ED7">
              <w:rPr>
                <w:rFonts w:cs="Times New Roman"/>
                <w:bCs/>
                <w:sz w:val="20"/>
                <w:lang w:val="sr-Cyrl-CS"/>
              </w:rPr>
              <w:t>.</w:t>
            </w:r>
          </w:p>
          <w:p w14:paraId="26431323" w14:textId="77777777" w:rsidR="009E7AB4" w:rsidRPr="00092ED7" w:rsidRDefault="009E7AB4" w:rsidP="009E7AB4">
            <w:pPr>
              <w:spacing w:before="0" w:after="0"/>
              <w:rPr>
                <w:rFonts w:cs="Times New Roman"/>
                <w:sz w:val="20"/>
                <w:lang w:val="sr-Cyrl-CS"/>
              </w:rPr>
            </w:pPr>
          </w:p>
        </w:tc>
        <w:tc>
          <w:tcPr>
            <w:tcW w:w="4172" w:type="dxa"/>
          </w:tcPr>
          <w:p w14:paraId="7641F9D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Како је у предложеној структурној мери фокус на законодавном оквиру који је део Поглавља 11 – Пољопривреда и рурални развој, док су наведене области (на пример пестициди) део Поглавља 12 – Безбедност хране, ветеринарска и фитосанитарна политика, овај коментар је у циљу проширења мере није прихватљив. Министарство пољопривреде, шумарства и водопривреде ће наставити да ради на испуњавању обавеза које произилазе из Поглавља 12, а све у циљу постизања пуне усаглашености са правним тековинама ЕУ.</w:t>
            </w:r>
          </w:p>
          <w:p w14:paraId="5C1B4616" w14:textId="77777777" w:rsidR="009E7AB4" w:rsidRPr="00092ED7" w:rsidRDefault="009E7AB4" w:rsidP="009E7AB4">
            <w:pPr>
              <w:spacing w:before="0" w:after="0"/>
              <w:rPr>
                <w:rFonts w:cs="Times New Roman"/>
                <w:sz w:val="20"/>
                <w:lang w:val="sr-Cyrl-CS"/>
              </w:rPr>
            </w:pPr>
          </w:p>
        </w:tc>
      </w:tr>
      <w:tr w:rsidR="009E7AB4" w:rsidRPr="00092ED7" w14:paraId="421F9467" w14:textId="77777777" w:rsidTr="009E7AB4">
        <w:tc>
          <w:tcPr>
            <w:tcW w:w="2789" w:type="dxa"/>
          </w:tcPr>
          <w:p w14:paraId="048619B5"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СР 20: Унапређење конкурентности пољопривреде</w:t>
            </w:r>
          </w:p>
        </w:tc>
        <w:tc>
          <w:tcPr>
            <w:tcW w:w="2789" w:type="dxa"/>
          </w:tcPr>
          <w:p w14:paraId="2794F75E" w14:textId="77777777" w:rsidR="009E7AB4" w:rsidRPr="00092ED7" w:rsidRDefault="009E7AB4" w:rsidP="009E7AB4">
            <w:pPr>
              <w:spacing w:before="0" w:after="0"/>
              <w:rPr>
                <w:rFonts w:cs="Times New Roman"/>
                <w:sz w:val="20"/>
                <w:lang w:val="sr-Cyrl-CS"/>
              </w:rPr>
            </w:pPr>
          </w:p>
        </w:tc>
        <w:tc>
          <w:tcPr>
            <w:tcW w:w="4198" w:type="dxa"/>
          </w:tcPr>
          <w:p w14:paraId="18E296FC" w14:textId="4F46F7AF" w:rsidR="009E7AB4" w:rsidRPr="00092ED7" w:rsidRDefault="009E7AB4" w:rsidP="009E7AB4">
            <w:pPr>
              <w:spacing w:before="0" w:after="0"/>
              <w:rPr>
                <w:rFonts w:cs="Times New Roman"/>
                <w:bCs/>
                <w:sz w:val="20"/>
                <w:lang w:val="sr-Cyrl-CS"/>
              </w:rPr>
            </w:pPr>
            <w:r w:rsidRPr="00092ED7">
              <w:rPr>
                <w:rFonts w:cs="Times New Roman"/>
                <w:bCs/>
                <w:sz w:val="20"/>
                <w:lang w:val="sr-Cyrl-CS"/>
              </w:rPr>
              <w:t>У тачки 8. Потенцијални ризици сматрамо да је неусвајање закона и кашњење са усвајањем подзаконских аката високи ризик (а не средњи), јер се касни са доношењем планираних законских прописа. Закон о шемама квалитета за пољопривредне и прехрамбене производе, чији је Нацрт резултат твининг пројекта (завршен у фебруару 2021) још увек није донет, а Закон о уређењу тржишта пољопривредних производа  усвојен у јулу 2021. се не примењује.</w:t>
            </w:r>
          </w:p>
          <w:p w14:paraId="47C7001D"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Такође, сматрамо да је ризик који се односи на необезбеђена средства за надоградњу регистра животиња висок, а не средњи како се наводи.</w:t>
            </w:r>
          </w:p>
        </w:tc>
        <w:tc>
          <w:tcPr>
            <w:tcW w:w="4172" w:type="dxa"/>
          </w:tcPr>
          <w:p w14:paraId="385C25B6"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Коментар који се односи на то да се степен ризика необезбеђивање средстава за надоградњу регистра животиња повећа са средњег на високи се прихвата, док су остали ризици по нашем мишљењу адекватно оцењени. </w:t>
            </w:r>
          </w:p>
        </w:tc>
      </w:tr>
      <w:tr w:rsidR="009E7AB4" w:rsidRPr="00092ED7" w14:paraId="3893BEF8" w14:textId="77777777" w:rsidTr="009E7AB4">
        <w:trPr>
          <w:trHeight w:val="2573"/>
        </w:trPr>
        <w:tc>
          <w:tcPr>
            <w:tcW w:w="2789" w:type="dxa"/>
          </w:tcPr>
          <w:p w14:paraId="508D12B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СР 21: Унапређење стратешког ок</w:t>
            </w:r>
            <w:r w:rsidR="00F63411" w:rsidRPr="00092ED7">
              <w:rPr>
                <w:rFonts w:cs="Times New Roman"/>
                <w:sz w:val="20"/>
                <w:lang w:val="sr-Cyrl-CS"/>
              </w:rPr>
              <w:t xml:space="preserve">вира инфраструктуре  квалитета и  интеграције у </w:t>
            </w:r>
            <w:r w:rsidRPr="00092ED7">
              <w:rPr>
                <w:rFonts w:cs="Times New Roman"/>
                <w:sz w:val="20"/>
                <w:lang w:val="sr-Cyrl-CS"/>
              </w:rPr>
              <w:t>јединствено тржиште</w:t>
            </w:r>
          </w:p>
        </w:tc>
        <w:tc>
          <w:tcPr>
            <w:tcW w:w="2789" w:type="dxa"/>
          </w:tcPr>
          <w:p w14:paraId="4F144535" w14:textId="77777777" w:rsidR="009E7AB4" w:rsidRPr="00092ED7" w:rsidRDefault="00F63411" w:rsidP="00F63411">
            <w:pPr>
              <w:spacing w:before="0" w:after="0"/>
              <w:rPr>
                <w:rFonts w:cs="Times New Roman"/>
                <w:sz w:val="20"/>
                <w:lang w:val="sr-Cyrl-CS"/>
              </w:rPr>
            </w:pPr>
            <w:r w:rsidRPr="00092ED7">
              <w:rPr>
                <w:rFonts w:cs="Times New Roman"/>
                <w:sz w:val="20"/>
                <w:lang w:val="sr-Cyrl-CS"/>
              </w:rPr>
              <w:t xml:space="preserve">Међусекторска радна </w:t>
            </w:r>
            <w:r w:rsidR="009E7AB4" w:rsidRPr="00092ED7">
              <w:rPr>
                <w:rFonts w:cs="Times New Roman"/>
                <w:sz w:val="20"/>
                <w:lang w:val="sr-Cyrl-CS"/>
              </w:rPr>
              <w:t>групa за ЕРП Националног конвента о ЕУ, достављено електронским путем 26. децембрa 2022.</w:t>
            </w:r>
          </w:p>
        </w:tc>
        <w:tc>
          <w:tcPr>
            <w:tcW w:w="4198" w:type="dxa"/>
          </w:tcPr>
          <w:p w14:paraId="57AFE1B6"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Мишљења смо да би ова СР треба да се нађе у области која се односи на економске интеграције, јер она утиче на уклањање препрека трговини, смањење нецаринских баријера и на усаглашавање са захтевима јединственог тржишта.</w:t>
            </w:r>
          </w:p>
          <w:p w14:paraId="1172ECB2" w14:textId="77777777" w:rsidR="009E7AB4" w:rsidRPr="00092ED7" w:rsidRDefault="009E7AB4" w:rsidP="009E7AB4">
            <w:pPr>
              <w:spacing w:before="0" w:after="0"/>
              <w:rPr>
                <w:rFonts w:cs="Times New Roman"/>
                <w:sz w:val="20"/>
                <w:lang w:val="sr-Cyrl-CS"/>
              </w:rPr>
            </w:pPr>
          </w:p>
          <w:p w14:paraId="00EF1986" w14:textId="77777777" w:rsidR="009E7AB4" w:rsidRPr="00092ED7" w:rsidRDefault="009E7AB4" w:rsidP="009E7AB4">
            <w:pPr>
              <w:spacing w:before="0" w:after="0"/>
              <w:rPr>
                <w:rFonts w:cs="Times New Roman"/>
                <w:sz w:val="20"/>
                <w:lang w:val="sr-Cyrl-CS"/>
              </w:rPr>
            </w:pPr>
          </w:p>
        </w:tc>
        <w:tc>
          <w:tcPr>
            <w:tcW w:w="4172" w:type="dxa"/>
          </w:tcPr>
          <w:p w14:paraId="6FB2C746" w14:textId="77777777" w:rsidR="009E7AB4" w:rsidRPr="00092ED7" w:rsidRDefault="009E7AB4" w:rsidP="003B6113">
            <w:pPr>
              <w:spacing w:before="0" w:after="0"/>
              <w:rPr>
                <w:rFonts w:cs="Times New Roman"/>
                <w:sz w:val="20"/>
                <w:lang w:val="sr-Cyrl-CS"/>
              </w:rPr>
            </w:pPr>
            <w:r w:rsidRPr="00092ED7">
              <w:rPr>
                <w:rFonts w:cs="Times New Roman"/>
                <w:sz w:val="20"/>
                <w:lang w:val="sr-Cyrl-CS"/>
              </w:rPr>
              <w:t xml:space="preserve">Реформа због специфичности области може бити сврстана и у област eкономских интеграција, али и у област пољопривреда, индустрија и услуге, с обзиром на то да се њоме утиче на раст конкурентности привреде. Како ово не представља суштинску промену, реформа је </w:t>
            </w:r>
            <w:r w:rsidR="003B6113" w:rsidRPr="00092ED7">
              <w:rPr>
                <w:rFonts w:cs="Times New Roman"/>
                <w:sz w:val="20"/>
                <w:lang w:val="sr-Cyrl-CS"/>
              </w:rPr>
              <w:t>о</w:t>
            </w:r>
            <w:r w:rsidR="00A44E17" w:rsidRPr="00092ED7">
              <w:rPr>
                <w:rFonts w:cs="Times New Roman"/>
                <w:sz w:val="20"/>
                <w:lang w:val="sr-Cyrl-CS"/>
              </w:rPr>
              <w:t>стала у области у којој је била</w:t>
            </w:r>
            <w:r w:rsidRPr="00092ED7">
              <w:rPr>
                <w:rFonts w:cs="Times New Roman"/>
                <w:sz w:val="20"/>
                <w:lang w:val="sr-Cyrl-CS"/>
              </w:rPr>
              <w:t>.</w:t>
            </w:r>
          </w:p>
        </w:tc>
      </w:tr>
      <w:tr w:rsidR="009E7AB4" w:rsidRPr="00092ED7" w14:paraId="138F20DE" w14:textId="77777777" w:rsidTr="009E7AB4">
        <w:tc>
          <w:tcPr>
            <w:tcW w:w="2789" w:type="dxa"/>
          </w:tcPr>
          <w:p w14:paraId="1711FCC0" w14:textId="77777777" w:rsidR="009E7AB4" w:rsidRPr="00092ED7" w:rsidRDefault="009E7AB4" w:rsidP="009E7AB4">
            <w:pPr>
              <w:spacing w:before="0" w:after="0"/>
              <w:rPr>
                <w:rFonts w:cs="Times New Roman"/>
                <w:bCs/>
                <w:i/>
                <w:sz w:val="20"/>
                <w:lang w:val="sr-Cyrl-CS"/>
              </w:rPr>
            </w:pPr>
            <w:r w:rsidRPr="00092ED7">
              <w:rPr>
                <w:rFonts w:cs="Times New Roman"/>
                <w:sz w:val="20"/>
                <w:lang w:val="sr-Cyrl-CS"/>
              </w:rPr>
              <w:t>5.2.13. Област систем здравствене заштите, општи коментар</w:t>
            </w:r>
          </w:p>
          <w:p w14:paraId="2819FE42" w14:textId="77777777" w:rsidR="009E7AB4" w:rsidRPr="00092ED7" w:rsidRDefault="009E7AB4" w:rsidP="009E7AB4">
            <w:pPr>
              <w:spacing w:before="0" w:after="0"/>
              <w:rPr>
                <w:rFonts w:cs="Times New Roman"/>
                <w:sz w:val="20"/>
                <w:lang w:val="sr-Cyrl-CS"/>
              </w:rPr>
            </w:pPr>
          </w:p>
        </w:tc>
        <w:tc>
          <w:tcPr>
            <w:tcW w:w="2789" w:type="dxa"/>
          </w:tcPr>
          <w:p w14:paraId="083BFFC6" w14:textId="77777777" w:rsidR="009E7AB4" w:rsidRPr="00092ED7" w:rsidRDefault="00A44E17" w:rsidP="00A44E17">
            <w:pPr>
              <w:spacing w:before="0" w:after="0"/>
              <w:rPr>
                <w:rFonts w:cs="Times New Roman"/>
                <w:sz w:val="20"/>
                <w:lang w:val="sr-Cyrl-CS"/>
              </w:rPr>
            </w:pPr>
            <w:r w:rsidRPr="00092ED7">
              <w:rPr>
                <w:rFonts w:cs="Times New Roman"/>
                <w:sz w:val="20"/>
                <w:lang w:val="sr-Cyrl-CS"/>
              </w:rPr>
              <w:t xml:space="preserve">Међусекторска радна </w:t>
            </w:r>
            <w:r w:rsidR="009E7AB4" w:rsidRPr="00092ED7">
              <w:rPr>
                <w:rFonts w:cs="Times New Roman"/>
                <w:sz w:val="20"/>
                <w:lang w:val="sr-Cyrl-CS"/>
              </w:rPr>
              <w:t>групa за ЕРП Националног конвента о ЕУ, достављено електронским путем 26. децембрa 2022.</w:t>
            </w:r>
          </w:p>
        </w:tc>
        <w:tc>
          <w:tcPr>
            <w:tcW w:w="4198" w:type="dxa"/>
          </w:tcPr>
          <w:p w14:paraId="00D00196"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за нове мере у оквиру СР 22: Спровођење Програма дигитализације здравства, и његових приоритетних пројеката:</w:t>
            </w:r>
            <w:r w:rsidR="00A44E17" w:rsidRPr="00092ED7">
              <w:rPr>
                <w:rFonts w:cs="Times New Roman"/>
                <w:sz w:val="20"/>
                <w:lang w:val="sr-Cyrl-CS"/>
              </w:rPr>
              <w:t xml:space="preserve"> еУпут,</w:t>
            </w:r>
            <w:r w:rsidR="00A44E17" w:rsidRPr="00092ED7">
              <w:rPr>
                <w:rFonts w:cs="Times New Roman"/>
                <w:sz w:val="20"/>
                <w:lang w:val="sr-Cyrl-CS"/>
              </w:rPr>
              <w:tab/>
              <w:t xml:space="preserve">еБоловање, Успостављање </w:t>
            </w:r>
            <w:r w:rsidRPr="00092ED7">
              <w:rPr>
                <w:rFonts w:cs="Times New Roman"/>
                <w:sz w:val="20"/>
                <w:lang w:val="sr-Cyrl-CS"/>
              </w:rPr>
              <w:t>стандарда</w:t>
            </w:r>
          </w:p>
          <w:p w14:paraId="46D982E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интероперабилности, еРецепт проширење.</w:t>
            </w:r>
          </w:p>
        </w:tc>
        <w:tc>
          <w:tcPr>
            <w:tcW w:w="4172" w:type="dxa"/>
          </w:tcPr>
          <w:p w14:paraId="217EABBC"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Предложена СР, која се у великој мери односи на дигитализацију здравства, заснива се на областима у којима је фокус у наредном средњорочном периоду. </w:t>
            </w:r>
          </w:p>
        </w:tc>
      </w:tr>
    </w:tbl>
    <w:p w14:paraId="74ECA8C1" w14:textId="77777777" w:rsidR="009E7AB4" w:rsidRPr="00092ED7" w:rsidRDefault="009E7AB4" w:rsidP="009E7AB4">
      <w:pPr>
        <w:spacing w:after="0"/>
        <w:rPr>
          <w:rFonts w:cs="Times New Roman"/>
          <w:sz w:val="20"/>
          <w:szCs w:val="20"/>
          <w:lang w:val="sr-Cyrl-CS"/>
        </w:rPr>
      </w:pPr>
    </w:p>
    <w:p w14:paraId="3612F896" w14:textId="77777777" w:rsidR="003B6113" w:rsidRPr="00092ED7" w:rsidRDefault="003B6113">
      <w:pPr>
        <w:spacing w:after="160" w:line="259" w:lineRule="auto"/>
        <w:jc w:val="left"/>
        <w:rPr>
          <w:w w:val="110"/>
          <w:lang w:val="sr-Cyrl-CS"/>
        </w:rPr>
        <w:sectPr w:rsidR="003B6113" w:rsidRPr="00092ED7" w:rsidSect="00977F4F">
          <w:pgSz w:w="16838" w:h="11906" w:orient="landscape" w:code="9"/>
          <w:pgMar w:top="1440" w:right="1440" w:bottom="1440" w:left="1440" w:header="720" w:footer="720" w:gutter="0"/>
          <w:cols w:space="720"/>
          <w:docGrid w:linePitch="360"/>
        </w:sectPr>
      </w:pPr>
    </w:p>
    <w:p w14:paraId="10D771BB" w14:textId="77777777" w:rsidR="003B6113" w:rsidRPr="00092ED7" w:rsidRDefault="003B6113">
      <w:pPr>
        <w:spacing w:after="160" w:line="259" w:lineRule="auto"/>
        <w:jc w:val="left"/>
        <w:rPr>
          <w:w w:val="110"/>
          <w:lang w:val="sr-Cyrl-CS"/>
        </w:rPr>
      </w:pPr>
    </w:p>
    <w:sectPr w:rsidR="003B6113" w:rsidRPr="00092ED7" w:rsidSect="003B6113">
      <w:type w:val="continuous"/>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16F53" w14:textId="77777777" w:rsidR="00327A57" w:rsidRDefault="00327A57" w:rsidP="00797049">
      <w:pPr>
        <w:spacing w:after="0"/>
      </w:pPr>
      <w:r>
        <w:separator/>
      </w:r>
    </w:p>
  </w:endnote>
  <w:endnote w:type="continuationSeparator" w:id="0">
    <w:p w14:paraId="6935A8D8" w14:textId="77777777" w:rsidR="00327A57" w:rsidRDefault="00327A57" w:rsidP="007970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4377920"/>
      <w:docPartObj>
        <w:docPartGallery w:val="Page Numbers (Bottom of Page)"/>
        <w:docPartUnique/>
      </w:docPartObj>
    </w:sdtPr>
    <w:sdtEndPr>
      <w:rPr>
        <w:noProof/>
      </w:rPr>
    </w:sdtEndPr>
    <w:sdtContent>
      <w:p w14:paraId="2C1F4E32" w14:textId="77F3D0F8" w:rsidR="008F5C3A" w:rsidRDefault="008F5C3A" w:rsidP="00A12315">
        <w:pPr>
          <w:pStyle w:val="Footer"/>
          <w:jc w:val="right"/>
        </w:pPr>
        <w:r w:rsidRPr="00A0299F">
          <w:rPr>
            <w:sz w:val="16"/>
            <w:szCs w:val="16"/>
          </w:rPr>
          <w:fldChar w:fldCharType="begin"/>
        </w:r>
        <w:r w:rsidRPr="00A0299F">
          <w:rPr>
            <w:sz w:val="16"/>
            <w:szCs w:val="16"/>
          </w:rPr>
          <w:instrText xml:space="preserve"> PAGE   \* MERGEFORMAT </w:instrText>
        </w:r>
        <w:r w:rsidRPr="00A0299F">
          <w:rPr>
            <w:sz w:val="16"/>
            <w:szCs w:val="16"/>
          </w:rPr>
          <w:fldChar w:fldCharType="separate"/>
        </w:r>
        <w:r w:rsidR="0000573D">
          <w:rPr>
            <w:noProof/>
            <w:sz w:val="16"/>
            <w:szCs w:val="16"/>
          </w:rPr>
          <w:t>9</w:t>
        </w:r>
        <w:r w:rsidRPr="00A0299F">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3C8B8" w14:textId="7187C063" w:rsidR="008F5C3A" w:rsidRDefault="008F5C3A">
    <w:pPr>
      <w:pStyle w:val="Footer"/>
      <w:jc w:val="right"/>
    </w:pPr>
  </w:p>
  <w:p w14:paraId="35E2DA31" w14:textId="77777777" w:rsidR="008F5C3A" w:rsidRDefault="008F5C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1260672693"/>
      <w:docPartObj>
        <w:docPartGallery w:val="Page Numbers (Bottom of Page)"/>
        <w:docPartUnique/>
      </w:docPartObj>
    </w:sdtPr>
    <w:sdtEndPr>
      <w:rPr>
        <w:noProof/>
      </w:rPr>
    </w:sdtEndPr>
    <w:sdtContent>
      <w:p w14:paraId="6004456E" w14:textId="5A9CFB88" w:rsidR="008F5C3A" w:rsidRPr="00E33210" w:rsidRDefault="008F5C3A" w:rsidP="00247CBF">
        <w:pPr>
          <w:pStyle w:val="Footer"/>
          <w:jc w:val="right"/>
          <w:rPr>
            <w:rFonts w:cs="Times New Roman"/>
          </w:rPr>
        </w:pPr>
        <w:r w:rsidRPr="00640524">
          <w:rPr>
            <w:rFonts w:cs="Times New Roman"/>
            <w:sz w:val="18"/>
            <w:szCs w:val="18"/>
          </w:rPr>
          <w:fldChar w:fldCharType="begin"/>
        </w:r>
        <w:r w:rsidRPr="00640524">
          <w:rPr>
            <w:rFonts w:cs="Times New Roman"/>
            <w:sz w:val="18"/>
            <w:szCs w:val="18"/>
          </w:rPr>
          <w:instrText xml:space="preserve"> PAGE   \* MERGEFORMAT </w:instrText>
        </w:r>
        <w:r w:rsidRPr="00640524">
          <w:rPr>
            <w:rFonts w:cs="Times New Roman"/>
            <w:sz w:val="18"/>
            <w:szCs w:val="18"/>
          </w:rPr>
          <w:fldChar w:fldCharType="separate"/>
        </w:r>
        <w:r w:rsidR="0000573D">
          <w:rPr>
            <w:rFonts w:cs="Times New Roman"/>
            <w:noProof/>
            <w:sz w:val="18"/>
            <w:szCs w:val="18"/>
          </w:rPr>
          <w:t>293</w:t>
        </w:r>
        <w:r w:rsidRPr="00640524">
          <w:rPr>
            <w:rFonts w:cs="Times New Roman"/>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A387B" w14:textId="77777777" w:rsidR="00327A57" w:rsidRDefault="00327A57" w:rsidP="00797049">
      <w:pPr>
        <w:spacing w:after="0"/>
      </w:pPr>
      <w:r>
        <w:separator/>
      </w:r>
    </w:p>
  </w:footnote>
  <w:footnote w:type="continuationSeparator" w:id="0">
    <w:p w14:paraId="6A4AC2E0" w14:textId="77777777" w:rsidR="00327A57" w:rsidRDefault="00327A57" w:rsidP="00797049">
      <w:pPr>
        <w:spacing w:after="0"/>
      </w:pPr>
      <w:r>
        <w:continuationSeparator/>
      </w:r>
    </w:p>
  </w:footnote>
  <w:footnote w:id="1">
    <w:p w14:paraId="12C9E865" w14:textId="77777777" w:rsidR="008F5C3A" w:rsidRPr="00AC36D8" w:rsidRDefault="008F5C3A" w:rsidP="008D40F9">
      <w:pPr>
        <w:pStyle w:val="FootnoteText"/>
        <w:spacing w:after="60"/>
        <w:ind w:firstLine="0"/>
        <w:rPr>
          <w:lang w:val="sr-Latn-RS"/>
        </w:rPr>
      </w:pPr>
      <w:r w:rsidRPr="008D40F9">
        <w:rPr>
          <w:rStyle w:val="FootnoteReference"/>
          <w:rFonts w:ascii="Times New Roman" w:hAnsi="Times New Roman"/>
          <w:color w:val="auto"/>
          <w:sz w:val="16"/>
          <w:szCs w:val="18"/>
          <w:lang w:val="sr-Cyrl-RS"/>
        </w:rPr>
        <w:footnoteRef/>
      </w:r>
      <w:r w:rsidRPr="008D40F9">
        <w:rPr>
          <w:rStyle w:val="FootnoteReference"/>
          <w:rFonts w:ascii="Times New Roman" w:hAnsi="Times New Roman"/>
          <w:color w:val="auto"/>
          <w:sz w:val="16"/>
          <w:szCs w:val="18"/>
          <w:lang w:val="sr-Cyrl-RS"/>
        </w:rPr>
        <w:t xml:space="preserve"> </w:t>
      </w:r>
      <w:r w:rsidRPr="008D40F9">
        <w:rPr>
          <w:rFonts w:ascii="Times New Roman" w:hAnsi="Times New Roman"/>
          <w:color w:val="auto"/>
          <w:sz w:val="16"/>
          <w:szCs w:val="18"/>
          <w:lang w:val="sr-Cyrl-RS"/>
        </w:rPr>
        <w:t>Више о фискалним правилима у тачки 4.8. Фискално управљање и буџетски оквири.</w:t>
      </w:r>
    </w:p>
  </w:footnote>
  <w:footnote w:id="2">
    <w:p w14:paraId="66E51579" w14:textId="08099ADD" w:rsidR="008F5C3A" w:rsidRPr="00AA5E18" w:rsidRDefault="008F5C3A" w:rsidP="00AC1235">
      <w:pPr>
        <w:pStyle w:val="FootnoteText"/>
        <w:spacing w:after="60"/>
        <w:ind w:firstLine="0"/>
        <w:rPr>
          <w:lang w:val="sr-Cyrl-RS"/>
        </w:rPr>
      </w:pPr>
      <w:r w:rsidRPr="00AC1235">
        <w:rPr>
          <w:rStyle w:val="FootnoteReference"/>
          <w:rFonts w:ascii="Times New Roman" w:hAnsi="Times New Roman"/>
          <w:color w:val="auto"/>
          <w:sz w:val="16"/>
          <w:szCs w:val="18"/>
          <w:lang w:val="sr-Cyrl-RS"/>
        </w:rPr>
        <w:footnoteRef/>
      </w:r>
      <w:r w:rsidRPr="00AC1235">
        <w:rPr>
          <w:rStyle w:val="FootnoteReference"/>
          <w:rFonts w:ascii="Times New Roman" w:hAnsi="Times New Roman"/>
          <w:color w:val="auto"/>
          <w:sz w:val="16"/>
          <w:szCs w:val="18"/>
          <w:lang w:val="sr-Cyrl-RS"/>
        </w:rPr>
        <w:t xml:space="preserve"> </w:t>
      </w:r>
      <w:r w:rsidRPr="00AC1235">
        <w:rPr>
          <w:rFonts w:ascii="Times New Roman" w:hAnsi="Times New Roman"/>
          <w:color w:val="auto"/>
          <w:sz w:val="16"/>
          <w:szCs w:val="18"/>
          <w:lang w:val="sr-Cyrl-RS"/>
        </w:rPr>
        <w:t xml:space="preserve">Више информација о предузетим активностима ради адресирања фискалних ризика код државних предузећа у тачки 4.6. Анализа осетљивости и поређење са претходним програмима </w:t>
      </w:r>
      <w:r w:rsidRPr="00AA5E18">
        <w:rPr>
          <w:rFonts w:ascii="Times New Roman" w:hAnsi="Times New Roman"/>
          <w:color w:val="auto"/>
          <w:sz w:val="16"/>
          <w:szCs w:val="18"/>
          <w:lang w:val="sr-Cyrl-RS"/>
        </w:rPr>
        <w:t xml:space="preserve">стр. </w:t>
      </w:r>
      <w:r w:rsidRPr="00AA5E18">
        <w:rPr>
          <w:rFonts w:ascii="Times New Roman" w:hAnsi="Times New Roman"/>
          <w:color w:val="auto"/>
          <w:sz w:val="16"/>
          <w:szCs w:val="18"/>
          <w:lang w:val="sr-Latn-RS"/>
        </w:rPr>
        <w:t>56</w:t>
      </w:r>
      <w:r w:rsidRPr="00AC1235">
        <w:rPr>
          <w:rFonts w:ascii="Times New Roman" w:hAnsi="Times New Roman"/>
          <w:color w:val="auto"/>
          <w:sz w:val="16"/>
          <w:szCs w:val="18"/>
          <w:lang w:val="sr-Cyrl-RS"/>
        </w:rPr>
        <w:t xml:space="preserve"> и тачки 4.7 Квалитет јавних финансија</w:t>
      </w:r>
      <w:r w:rsidRPr="00AA5E18">
        <w:rPr>
          <w:rFonts w:ascii="Times New Roman" w:hAnsi="Times New Roman"/>
          <w:color w:val="auto"/>
          <w:sz w:val="16"/>
          <w:szCs w:val="18"/>
          <w:lang w:val="sr-Cyrl-RS"/>
        </w:rPr>
        <w:t xml:space="preserve"> </w:t>
      </w:r>
      <w:r w:rsidRPr="00AA5E18">
        <w:rPr>
          <w:rFonts w:ascii="Times New Roman" w:hAnsi="Times New Roman"/>
          <w:color w:val="auto"/>
          <w:sz w:val="16"/>
          <w:szCs w:val="18"/>
        </w:rPr>
        <w:t xml:space="preserve"> </w:t>
      </w:r>
      <w:r w:rsidRPr="00AA5E18">
        <w:rPr>
          <w:rFonts w:ascii="Times New Roman" w:hAnsi="Times New Roman"/>
          <w:color w:val="auto"/>
          <w:sz w:val="16"/>
          <w:szCs w:val="18"/>
          <w:lang w:val="sr-Cyrl-RS"/>
        </w:rPr>
        <w:t>стр. 65.</w:t>
      </w:r>
    </w:p>
  </w:footnote>
  <w:footnote w:id="3">
    <w:p w14:paraId="7D75B84B" w14:textId="77777777" w:rsidR="008F5C3A" w:rsidRPr="00384F61" w:rsidRDefault="008F5C3A" w:rsidP="000679CD">
      <w:pPr>
        <w:pStyle w:val="FootnoteText"/>
        <w:spacing w:after="60"/>
        <w:ind w:firstLine="0"/>
        <w:rPr>
          <w:rFonts w:ascii="Times New Roman" w:hAnsi="Times New Roman"/>
          <w:color w:val="auto"/>
          <w:sz w:val="16"/>
          <w:szCs w:val="18"/>
          <w:lang w:val="sr-Cyrl-RS"/>
        </w:rPr>
      </w:pPr>
      <w:r w:rsidRPr="00384F61">
        <w:rPr>
          <w:rStyle w:val="FootnoteReference"/>
          <w:rFonts w:ascii="Times New Roman" w:hAnsi="Times New Roman"/>
          <w:color w:val="auto"/>
          <w:sz w:val="16"/>
          <w:szCs w:val="18"/>
          <w:lang w:val="sr-Cyrl-RS"/>
        </w:rPr>
        <w:footnoteRef/>
      </w:r>
      <w:r w:rsidRPr="00384F61">
        <w:rPr>
          <w:rFonts w:ascii="Times New Roman" w:hAnsi="Times New Roman"/>
          <w:color w:val="auto"/>
          <w:sz w:val="16"/>
          <w:szCs w:val="18"/>
          <w:lang w:val="sr-Cyrl-RS"/>
        </w:rPr>
        <w:t xml:space="preserve"> Подаци о укупном извозу и увозу робе дати су према методологији платног биланса, док су детаљни подаци (по различитим класификацијама) дати према методологији спољне трговине.</w:t>
      </w:r>
    </w:p>
  </w:footnote>
  <w:footnote w:id="4">
    <w:p w14:paraId="282C0052" w14:textId="77777777" w:rsidR="008F5C3A" w:rsidRPr="00384F61" w:rsidRDefault="008F5C3A" w:rsidP="000679CD">
      <w:pPr>
        <w:pStyle w:val="FootnoteText"/>
        <w:spacing w:after="60"/>
        <w:ind w:firstLine="0"/>
        <w:rPr>
          <w:rFonts w:ascii="Times New Roman" w:hAnsi="Times New Roman" w:cs="Times New Roman"/>
          <w:color w:val="auto"/>
          <w:sz w:val="16"/>
          <w:szCs w:val="16"/>
          <w:lang w:val="sr-Cyrl-RS"/>
        </w:rPr>
      </w:pPr>
      <w:r w:rsidRPr="00384F61">
        <w:rPr>
          <w:rStyle w:val="FootnoteReference"/>
          <w:rFonts w:ascii="Times New Roman" w:hAnsi="Times New Roman" w:cs="Times New Roman"/>
          <w:color w:val="auto"/>
          <w:sz w:val="16"/>
          <w:szCs w:val="16"/>
          <w:lang w:val="sr-Cyrl-RS"/>
        </w:rPr>
        <w:footnoteRef/>
      </w:r>
      <w:r w:rsidRPr="00384F61">
        <w:rPr>
          <w:rFonts w:ascii="Times New Roman" w:hAnsi="Times New Roman" w:cs="Times New Roman"/>
          <w:color w:val="auto"/>
          <w:sz w:val="16"/>
          <w:szCs w:val="16"/>
          <w:lang w:val="sr-Cyrl-RS"/>
        </w:rPr>
        <w:t xml:space="preserve"> Са стањем у јуну 2022.</w:t>
      </w:r>
    </w:p>
  </w:footnote>
  <w:footnote w:id="5">
    <w:p w14:paraId="3B1512FF" w14:textId="77777777" w:rsidR="008F5C3A" w:rsidRPr="00384F61" w:rsidRDefault="008F5C3A" w:rsidP="00061F8A">
      <w:pPr>
        <w:pStyle w:val="FootnoteText"/>
        <w:spacing w:after="0"/>
        <w:ind w:firstLine="0"/>
        <w:rPr>
          <w:rFonts w:ascii="Times New Roman" w:hAnsi="Times New Roman" w:cs="Times New Roman"/>
          <w:color w:val="auto"/>
          <w:sz w:val="16"/>
          <w:szCs w:val="16"/>
          <w:lang w:val="sr-Cyrl-RS"/>
        </w:rPr>
      </w:pPr>
      <w:r w:rsidRPr="00384F61">
        <w:rPr>
          <w:rStyle w:val="FootnoteReference"/>
          <w:rFonts w:ascii="Times New Roman" w:hAnsi="Times New Roman" w:cs="Times New Roman"/>
          <w:color w:val="auto"/>
          <w:sz w:val="16"/>
          <w:szCs w:val="16"/>
          <w:lang w:val="sr-Cyrl-RS"/>
        </w:rPr>
        <w:footnoteRef/>
      </w:r>
      <w:r w:rsidRPr="00384F61">
        <w:rPr>
          <w:rStyle w:val="FootnoteReference"/>
          <w:rFonts w:ascii="Times New Roman" w:hAnsi="Times New Roman" w:cs="Times New Roman"/>
          <w:color w:val="auto"/>
          <w:sz w:val="16"/>
          <w:szCs w:val="16"/>
          <w:lang w:val="sr-Cyrl-RS"/>
        </w:rPr>
        <w:t xml:space="preserve"> </w:t>
      </w:r>
      <w:r w:rsidRPr="00384F61">
        <w:rPr>
          <w:rFonts w:ascii="Times New Roman" w:hAnsi="Times New Roman" w:cs="Times New Roman"/>
          <w:color w:val="auto"/>
          <w:sz w:val="16"/>
          <w:szCs w:val="16"/>
          <w:lang w:val="sr-Cyrl-RS"/>
        </w:rPr>
        <w:t>Обрачунато на основу података из извештаја NPL 3 које банке достављају Народној банци Србије.</w:t>
      </w:r>
    </w:p>
  </w:footnote>
  <w:footnote w:id="6">
    <w:p w14:paraId="328685DF" w14:textId="77777777" w:rsidR="008F5C3A" w:rsidRPr="00384F61" w:rsidRDefault="008F5C3A" w:rsidP="00061F8A">
      <w:pPr>
        <w:pStyle w:val="FootnoteText"/>
        <w:spacing w:after="0"/>
        <w:ind w:firstLine="0"/>
        <w:rPr>
          <w:rFonts w:ascii="Times New Roman" w:hAnsi="Times New Roman" w:cs="Times New Roman"/>
          <w:color w:val="auto"/>
          <w:sz w:val="16"/>
          <w:szCs w:val="16"/>
          <w:lang w:val="sr-Cyrl-RS"/>
        </w:rPr>
      </w:pPr>
      <w:r w:rsidRPr="00384F61">
        <w:rPr>
          <w:rFonts w:ascii="Times New Roman" w:hAnsi="Times New Roman" w:cs="Times New Roman"/>
          <w:color w:val="auto"/>
          <w:sz w:val="16"/>
          <w:szCs w:val="16"/>
          <w:vertAlign w:val="superscript"/>
          <w:lang w:val="sr-Cyrl-RS"/>
        </w:rPr>
        <w:footnoteRef/>
      </w:r>
      <w:r w:rsidRPr="00384F61">
        <w:rPr>
          <w:rFonts w:ascii="Times New Roman" w:hAnsi="Times New Roman" w:cs="Times New Roman"/>
          <w:color w:val="auto"/>
          <w:sz w:val="16"/>
          <w:szCs w:val="16"/>
          <w:vertAlign w:val="superscript"/>
          <w:lang w:val="sr-Cyrl-RS"/>
        </w:rPr>
        <w:t xml:space="preserve"> </w:t>
      </w:r>
      <w:r w:rsidRPr="00384F61">
        <w:rPr>
          <w:rFonts w:ascii="Times New Roman" w:hAnsi="Times New Roman" w:cs="Times New Roman"/>
          <w:color w:val="auto"/>
          <w:sz w:val="16"/>
          <w:szCs w:val="16"/>
          <w:lang w:val="sr-Cyrl-RS"/>
        </w:rPr>
        <w:t>У складу са Одлуком o утврђивању листе системски значајних банака у Републици Србији и стопа заштитног слоја капитала за те банке од 16. јуна 2022. године.</w:t>
      </w:r>
    </w:p>
  </w:footnote>
  <w:footnote w:id="7">
    <w:p w14:paraId="6DCA8F8E" w14:textId="77777777" w:rsidR="008F5C3A" w:rsidRPr="00384F61" w:rsidRDefault="008F5C3A" w:rsidP="00061F8A">
      <w:pPr>
        <w:pStyle w:val="FootnoteText"/>
        <w:spacing w:after="0"/>
        <w:ind w:firstLine="0"/>
        <w:rPr>
          <w:rFonts w:ascii="Times New Roman" w:hAnsi="Times New Roman"/>
          <w:color w:val="auto"/>
          <w:sz w:val="16"/>
          <w:szCs w:val="16"/>
          <w:lang w:val="sr-Cyrl-RS"/>
        </w:rPr>
      </w:pPr>
      <w:r w:rsidRPr="00384F61">
        <w:rPr>
          <w:rFonts w:ascii="Times New Roman" w:hAnsi="Times New Roman"/>
          <w:color w:val="auto"/>
          <w:sz w:val="16"/>
          <w:szCs w:val="16"/>
          <w:vertAlign w:val="superscript"/>
          <w:lang w:val="sr-Cyrl-RS"/>
        </w:rPr>
        <w:footnoteRef/>
      </w:r>
      <w:r w:rsidRPr="00384F61">
        <w:rPr>
          <w:rFonts w:ascii="Times New Roman" w:hAnsi="Times New Roman"/>
          <w:color w:val="auto"/>
          <w:sz w:val="16"/>
          <w:szCs w:val="16"/>
          <w:vertAlign w:val="superscript"/>
          <w:lang w:val="sr-Cyrl-RS"/>
        </w:rPr>
        <w:t xml:space="preserve"> </w:t>
      </w:r>
      <w:r w:rsidRPr="00384F61">
        <w:rPr>
          <w:rFonts w:ascii="Times New Roman" w:hAnsi="Times New Roman"/>
          <w:color w:val="auto"/>
          <w:sz w:val="16"/>
          <w:szCs w:val="16"/>
          <w:lang w:val="sr-Cyrl-RS"/>
        </w:rPr>
        <w:t>У односу 80:20.</w:t>
      </w:r>
    </w:p>
  </w:footnote>
  <w:footnote w:id="8">
    <w:p w14:paraId="0EF228BC" w14:textId="77777777" w:rsidR="008F5C3A" w:rsidRPr="005618B0" w:rsidRDefault="008F5C3A" w:rsidP="00E255B1">
      <w:pPr>
        <w:pStyle w:val="FootnoteText"/>
        <w:spacing w:after="0"/>
        <w:ind w:firstLine="0"/>
        <w:rPr>
          <w:rFonts w:ascii="Times New Roman" w:hAnsi="Times New Roman" w:cs="Times New Roman"/>
          <w:color w:val="auto"/>
          <w:sz w:val="16"/>
          <w:szCs w:val="16"/>
          <w:lang w:val="sr-Cyrl-RS"/>
        </w:rPr>
      </w:pPr>
      <w:r w:rsidRPr="005A75CA">
        <w:rPr>
          <w:rStyle w:val="FootnoteReference"/>
          <w:rFonts w:ascii="Times New Roman" w:hAnsi="Times New Roman" w:cs="Times New Roman"/>
          <w:color w:val="auto"/>
          <w:sz w:val="16"/>
          <w:szCs w:val="16"/>
        </w:rPr>
        <w:footnoteRef/>
      </w:r>
      <w:r w:rsidRPr="005A75CA">
        <w:rPr>
          <w:rFonts w:ascii="Times New Roman" w:hAnsi="Times New Roman" w:cs="Times New Roman"/>
          <w:color w:val="auto"/>
          <w:sz w:val="16"/>
          <w:szCs w:val="16"/>
        </w:rPr>
        <w:t xml:space="preserve"> </w:t>
      </w:r>
      <w:r w:rsidRPr="005A75CA">
        <w:rPr>
          <w:rFonts w:ascii="Times New Roman" w:eastAsia="Calibri" w:hAnsi="Times New Roman" w:cs="Times New Roman"/>
          <w:color w:val="auto"/>
          <w:sz w:val="16"/>
          <w:szCs w:val="16"/>
          <w:lang w:eastAsia="ja-JP"/>
        </w:rPr>
        <w:t>Начин индексирања пензија детаљније је објашњен у делу Структурне мере за унапређење стабилности и одрживости јавних финансија.</w:t>
      </w:r>
    </w:p>
  </w:footnote>
  <w:footnote w:id="9">
    <w:p w14:paraId="7B11685E" w14:textId="77777777" w:rsidR="008F5C3A" w:rsidRPr="00293C4B" w:rsidRDefault="008F5C3A" w:rsidP="00E255B1">
      <w:pPr>
        <w:spacing w:after="0"/>
        <w:rPr>
          <w:lang w:val="sr-Cyrl-RS"/>
        </w:rPr>
      </w:pPr>
      <w:r w:rsidRPr="00CD1400">
        <w:rPr>
          <w:rStyle w:val="FootnoteReference"/>
          <w:rFonts w:cstheme="minorHAnsi"/>
          <w:sz w:val="16"/>
          <w:szCs w:val="16"/>
          <w:lang w:val="sr-Cyrl-RS"/>
        </w:rPr>
        <w:footnoteRef/>
      </w:r>
      <w:r w:rsidRPr="00CD1400">
        <w:rPr>
          <w:rFonts w:cstheme="minorHAnsi"/>
          <w:sz w:val="16"/>
          <w:szCs w:val="16"/>
          <w:lang w:val="sr-Cyrl-RS"/>
        </w:rPr>
        <w:t xml:space="preserve"> </w:t>
      </w:r>
      <w:r w:rsidRPr="00CD1400">
        <w:rPr>
          <w:rFonts w:eastAsia="Times New Roman" w:cstheme="minorHAnsi"/>
          <w:bCs/>
          <w:sz w:val="16"/>
          <w:szCs w:val="16"/>
          <w:lang w:val="sr-Cyrl-RS"/>
        </w:rPr>
        <w:t>Детаљнији опис коришћене методологије и резултата могу се пронаћи у Фискалној стратегији за 2013. годину са пројекцијама за 2014. и 2015. годину или путем линка</w:t>
      </w:r>
      <w:r w:rsidRPr="00CD1400">
        <w:rPr>
          <w:rFonts w:cstheme="minorHAnsi"/>
          <w:sz w:val="16"/>
          <w:szCs w:val="16"/>
          <w:lang w:val="sr-Cyrl-RS"/>
        </w:rPr>
        <w:t xml:space="preserve"> </w:t>
      </w:r>
      <w:hyperlink r:id="rId1" w:history="1">
        <w:r w:rsidRPr="00CD1400">
          <w:rPr>
            <w:rStyle w:val="Hyperlink"/>
            <w:color w:val="44546A" w:themeColor="text2"/>
            <w:sz w:val="16"/>
            <w:szCs w:val="16"/>
          </w:rPr>
          <w:t>https</w:t>
        </w:r>
        <w:r w:rsidRPr="00293C4B">
          <w:rPr>
            <w:rStyle w:val="Hyperlink"/>
            <w:color w:val="44546A" w:themeColor="text2"/>
            <w:sz w:val="16"/>
            <w:szCs w:val="16"/>
            <w:lang w:val="sr-Cyrl-RS"/>
          </w:rPr>
          <w:t>://</w:t>
        </w:r>
        <w:r w:rsidRPr="00CD1400">
          <w:rPr>
            <w:rStyle w:val="Hyperlink"/>
            <w:color w:val="44546A" w:themeColor="text2"/>
            <w:sz w:val="16"/>
            <w:szCs w:val="16"/>
          </w:rPr>
          <w:t>www</w:t>
        </w:r>
        <w:r w:rsidRPr="00293C4B">
          <w:rPr>
            <w:rStyle w:val="Hyperlink"/>
            <w:color w:val="44546A" w:themeColor="text2"/>
            <w:sz w:val="16"/>
            <w:szCs w:val="16"/>
            <w:lang w:val="sr-Cyrl-RS"/>
          </w:rPr>
          <w:t>.</w:t>
        </w:r>
        <w:r w:rsidRPr="00CD1400">
          <w:rPr>
            <w:rStyle w:val="Hyperlink"/>
            <w:color w:val="44546A" w:themeColor="text2"/>
            <w:sz w:val="16"/>
            <w:szCs w:val="16"/>
          </w:rPr>
          <w:t>mfin</w:t>
        </w:r>
        <w:r w:rsidRPr="00293C4B">
          <w:rPr>
            <w:rStyle w:val="Hyperlink"/>
            <w:color w:val="44546A" w:themeColor="text2"/>
            <w:sz w:val="16"/>
            <w:szCs w:val="16"/>
            <w:lang w:val="sr-Cyrl-RS"/>
          </w:rPr>
          <w:t>.</w:t>
        </w:r>
        <w:r w:rsidRPr="00CD1400">
          <w:rPr>
            <w:rStyle w:val="Hyperlink"/>
            <w:color w:val="44546A" w:themeColor="text2"/>
            <w:sz w:val="16"/>
            <w:szCs w:val="16"/>
          </w:rPr>
          <w:t>gov</w:t>
        </w:r>
        <w:r w:rsidRPr="00293C4B">
          <w:rPr>
            <w:rStyle w:val="Hyperlink"/>
            <w:color w:val="44546A" w:themeColor="text2"/>
            <w:sz w:val="16"/>
            <w:szCs w:val="16"/>
            <w:lang w:val="sr-Cyrl-RS"/>
          </w:rPr>
          <w:t>.</w:t>
        </w:r>
        <w:r w:rsidRPr="00CD1400">
          <w:rPr>
            <w:rStyle w:val="Hyperlink"/>
            <w:color w:val="44546A" w:themeColor="text2"/>
            <w:sz w:val="16"/>
            <w:szCs w:val="16"/>
          </w:rPr>
          <w:t>rs</w:t>
        </w:r>
        <w:r w:rsidRPr="00293C4B">
          <w:rPr>
            <w:rStyle w:val="Hyperlink"/>
            <w:color w:val="44546A" w:themeColor="text2"/>
            <w:sz w:val="16"/>
            <w:szCs w:val="16"/>
            <w:lang w:val="sr-Cyrl-RS"/>
          </w:rPr>
          <w:t>//</w:t>
        </w:r>
        <w:r w:rsidRPr="00CD1400">
          <w:rPr>
            <w:rStyle w:val="Hyperlink"/>
            <w:color w:val="44546A" w:themeColor="text2"/>
            <w:sz w:val="16"/>
            <w:szCs w:val="16"/>
          </w:rPr>
          <w:t>upload</w:t>
        </w:r>
        <w:r w:rsidRPr="00293C4B">
          <w:rPr>
            <w:rStyle w:val="Hyperlink"/>
            <w:color w:val="44546A" w:themeColor="text2"/>
            <w:sz w:val="16"/>
            <w:szCs w:val="16"/>
            <w:lang w:val="sr-Cyrl-RS"/>
          </w:rPr>
          <w:t>/</w:t>
        </w:r>
        <w:r w:rsidRPr="00CD1400">
          <w:rPr>
            <w:rStyle w:val="Hyperlink"/>
            <w:color w:val="44546A" w:themeColor="text2"/>
            <w:sz w:val="16"/>
            <w:szCs w:val="16"/>
          </w:rPr>
          <w:t>media</w:t>
        </w:r>
        <w:r w:rsidRPr="00293C4B">
          <w:rPr>
            <w:rStyle w:val="Hyperlink"/>
            <w:color w:val="44546A" w:themeColor="text2"/>
            <w:sz w:val="16"/>
            <w:szCs w:val="16"/>
            <w:lang w:val="sr-Cyrl-RS"/>
          </w:rPr>
          <w:t>/</w:t>
        </w:r>
        <w:r w:rsidRPr="00CD1400">
          <w:rPr>
            <w:rStyle w:val="Hyperlink"/>
            <w:color w:val="44546A" w:themeColor="text2"/>
            <w:sz w:val="16"/>
            <w:szCs w:val="16"/>
          </w:rPr>
          <w:t>jzsbpL</w:t>
        </w:r>
        <w:r w:rsidRPr="00293C4B">
          <w:rPr>
            <w:rStyle w:val="Hyperlink"/>
            <w:color w:val="44546A" w:themeColor="text2"/>
            <w:sz w:val="16"/>
            <w:szCs w:val="16"/>
            <w:lang w:val="sr-Cyrl-RS"/>
          </w:rPr>
          <w:t>_601</w:t>
        </w:r>
        <w:r w:rsidRPr="00CD1400">
          <w:rPr>
            <w:rStyle w:val="Hyperlink"/>
            <w:color w:val="44546A" w:themeColor="text2"/>
            <w:sz w:val="16"/>
            <w:szCs w:val="16"/>
          </w:rPr>
          <w:t>ab</w:t>
        </w:r>
        <w:r w:rsidRPr="00293C4B">
          <w:rPr>
            <w:rStyle w:val="Hyperlink"/>
            <w:color w:val="44546A" w:themeColor="text2"/>
            <w:sz w:val="16"/>
            <w:szCs w:val="16"/>
            <w:lang w:val="sr-Cyrl-RS"/>
          </w:rPr>
          <w:t>1585</w:t>
        </w:r>
        <w:r w:rsidRPr="00CD1400">
          <w:rPr>
            <w:rStyle w:val="Hyperlink"/>
            <w:color w:val="44546A" w:themeColor="text2"/>
            <w:sz w:val="16"/>
            <w:szCs w:val="16"/>
          </w:rPr>
          <w:t>ca</w:t>
        </w:r>
        <w:r w:rsidRPr="00293C4B">
          <w:rPr>
            <w:rStyle w:val="Hyperlink"/>
            <w:color w:val="44546A" w:themeColor="text2"/>
            <w:sz w:val="16"/>
            <w:szCs w:val="16"/>
            <w:lang w:val="sr-Cyrl-RS"/>
          </w:rPr>
          <w:t>02.</w:t>
        </w:r>
        <w:r w:rsidRPr="00CD1400">
          <w:rPr>
            <w:rStyle w:val="Hyperlink"/>
            <w:color w:val="44546A" w:themeColor="text2"/>
            <w:sz w:val="16"/>
            <w:szCs w:val="16"/>
          </w:rPr>
          <w:t>pdf</w:t>
        </w:r>
      </w:hyperlink>
    </w:p>
  </w:footnote>
  <w:footnote w:id="10">
    <w:p w14:paraId="0D09849D" w14:textId="77777777" w:rsidR="008F5C3A" w:rsidRPr="0092575D" w:rsidRDefault="008F5C3A" w:rsidP="00613B5B">
      <w:pPr>
        <w:pStyle w:val="FootnoteText"/>
        <w:spacing w:after="0"/>
        <w:ind w:firstLine="0"/>
        <w:rPr>
          <w:rFonts w:cstheme="minorHAnsi"/>
          <w:color w:val="auto"/>
          <w:sz w:val="16"/>
          <w:szCs w:val="16"/>
          <w:lang w:val="sr-Cyrl-RS"/>
        </w:rPr>
      </w:pPr>
      <w:r w:rsidRPr="0092575D">
        <w:rPr>
          <w:rStyle w:val="FootnoteReference"/>
          <w:rFonts w:ascii="Times New Roman" w:hAnsi="Times New Roman" w:cs="Times New Roman"/>
          <w:color w:val="auto"/>
          <w:sz w:val="16"/>
          <w:szCs w:val="16"/>
          <w:lang w:val="sr-Cyrl-RS"/>
        </w:rPr>
        <w:footnoteRef/>
      </w:r>
      <w:r w:rsidRPr="0092575D">
        <w:rPr>
          <w:rFonts w:ascii="Times New Roman" w:hAnsi="Times New Roman" w:cs="Times New Roman"/>
          <w:color w:val="auto"/>
          <w:sz w:val="16"/>
          <w:szCs w:val="16"/>
          <w:lang w:val="sr-Cyrl-RS"/>
        </w:rPr>
        <w:t xml:space="preserve"> </w:t>
      </w:r>
      <w:r w:rsidRPr="0092575D">
        <w:rPr>
          <w:rFonts w:ascii="Times New Roman" w:hAnsi="Times New Roman" w:cs="Times New Roman"/>
          <w:color w:val="auto"/>
          <w:spacing w:val="-2"/>
          <w:sz w:val="16"/>
          <w:szCs w:val="16"/>
          <w:lang w:val="sr-Cyrl-RS"/>
        </w:rPr>
        <w:t>Дефиниција дуга, према критеријумима из Мастрихта, између осталог, различито третира издате гаранције, у односу на дефиницију јавног дуга према домаћем законодавству. У јавни дуг (дуг опште државе) улазе, према критеријумима из Мастрихта, само активиране гаранције. Домаће законодавство, по овом питању има конзервативнији приступ, и све издате гаранције укључује у јавни дуг.</w:t>
      </w:r>
    </w:p>
  </w:footnote>
  <w:footnote w:id="11">
    <w:p w14:paraId="413133D5" w14:textId="77777777" w:rsidR="008F5C3A" w:rsidRPr="005A75CA" w:rsidRDefault="008F5C3A" w:rsidP="00E255B1">
      <w:pPr>
        <w:pStyle w:val="FootnoteText"/>
        <w:spacing w:after="0"/>
        <w:ind w:firstLine="0"/>
        <w:rPr>
          <w:rFonts w:ascii="Times New Roman" w:hAnsi="Times New Roman" w:cs="Times New Roman"/>
          <w:color w:val="auto"/>
          <w:sz w:val="16"/>
          <w:szCs w:val="16"/>
          <w:lang w:val="sr-Cyrl-RS"/>
        </w:rPr>
      </w:pPr>
      <w:r w:rsidRPr="005A75CA">
        <w:rPr>
          <w:rStyle w:val="FootnoteReference"/>
          <w:rFonts w:ascii="Times New Roman" w:hAnsi="Times New Roman" w:cs="Times New Roman"/>
          <w:color w:val="auto"/>
          <w:sz w:val="16"/>
          <w:szCs w:val="16"/>
          <w:lang w:val="sr-Cyrl-RS"/>
        </w:rPr>
        <w:footnoteRef/>
      </w:r>
      <w:r w:rsidRPr="005A75CA">
        <w:rPr>
          <w:rFonts w:ascii="Times New Roman" w:hAnsi="Times New Roman" w:cs="Times New Roman"/>
          <w:color w:val="auto"/>
          <w:sz w:val="16"/>
          <w:szCs w:val="16"/>
          <w:lang w:val="sr-Cyrl-RS"/>
        </w:rPr>
        <w:t xml:space="preserve"> Отплата по основу гаранција из републичког буџета је у расходе укључена по готовинској основи. Међународни стандарди, који се заснивају на обрачунској основи, у расходе укључују цео износ преосталог дуга, у моменту активирања гаранције, док се сама отплата дуга по том основу третира као финансијска трансакција.</w:t>
      </w:r>
    </w:p>
  </w:footnote>
  <w:footnote w:id="12">
    <w:p w14:paraId="179E4015" w14:textId="77777777" w:rsidR="008F5C3A" w:rsidRPr="005A75CA" w:rsidRDefault="008F5C3A" w:rsidP="00E255B1">
      <w:pPr>
        <w:pStyle w:val="FootnoteText"/>
        <w:spacing w:after="0"/>
        <w:ind w:firstLine="0"/>
        <w:rPr>
          <w:rFonts w:ascii="Times New Roman" w:hAnsi="Times New Roman" w:cs="Times New Roman"/>
          <w:color w:val="auto"/>
          <w:sz w:val="16"/>
          <w:szCs w:val="16"/>
          <w:lang w:val="sr-Cyrl-RS"/>
        </w:rPr>
      </w:pPr>
      <w:r w:rsidRPr="005A75CA">
        <w:rPr>
          <w:rStyle w:val="FootnoteReference"/>
          <w:rFonts w:ascii="Times New Roman" w:hAnsi="Times New Roman" w:cs="Times New Roman"/>
          <w:color w:val="auto"/>
          <w:sz w:val="16"/>
          <w:szCs w:val="16"/>
          <w:lang w:val="sr-Cyrl-RS"/>
        </w:rPr>
        <w:footnoteRef/>
      </w:r>
      <w:r w:rsidRPr="005A75CA">
        <w:rPr>
          <w:rFonts w:ascii="Times New Roman" w:hAnsi="Times New Roman" w:cs="Times New Roman"/>
          <w:color w:val="auto"/>
          <w:sz w:val="16"/>
          <w:szCs w:val="16"/>
          <w:lang w:val="sr-Cyrl-RS"/>
        </w:rPr>
        <w:t xml:space="preserve"> Део расхода по основу отплате по гаранцијама за ЈП „Путеви Србије” не укључује се у расходе буџета, јер је ово предузеће део сектора опште државе, те су расходи који су финансирани гарантованим кредитима били део расхода опште државе у моменту трошења средстава, док се сама отплата третира као финансијска трансакција („испод црте”).</w:t>
      </w:r>
    </w:p>
  </w:footnote>
  <w:footnote w:id="13">
    <w:p w14:paraId="2D0D26F8" w14:textId="77777777" w:rsidR="008F5C3A" w:rsidRPr="00073D98" w:rsidRDefault="008F5C3A" w:rsidP="008B200E">
      <w:pPr>
        <w:pStyle w:val="FootnoteText"/>
        <w:spacing w:after="60"/>
        <w:ind w:firstLine="0"/>
        <w:rPr>
          <w:rFonts w:ascii="Times New Roman" w:hAnsi="Times New Roman" w:cs="Times New Roman"/>
          <w:color w:val="auto"/>
          <w:sz w:val="16"/>
          <w:szCs w:val="16"/>
          <w:lang w:val="sr-Cyrl-RS"/>
        </w:rPr>
      </w:pPr>
      <w:r w:rsidRPr="00073D98">
        <w:rPr>
          <w:rStyle w:val="FootnoteReference"/>
          <w:rFonts w:ascii="Times New Roman" w:hAnsi="Times New Roman" w:cs="Times New Roman"/>
          <w:color w:val="auto"/>
          <w:sz w:val="16"/>
          <w:szCs w:val="16"/>
          <w:lang w:val="sr-Cyrl-RS"/>
        </w:rPr>
        <w:footnoteRef/>
      </w:r>
      <w:r w:rsidRPr="00073D98">
        <w:rPr>
          <w:rFonts w:ascii="Times New Roman" w:hAnsi="Times New Roman" w:cs="Times New Roman"/>
          <w:color w:val="auto"/>
          <w:sz w:val="16"/>
          <w:szCs w:val="16"/>
          <w:lang w:val="sr-Cyrl-RS"/>
        </w:rPr>
        <w:t xml:space="preserve"> Заштићени депоненти су: физичка лица, предузетници, микро, мала и средња правна лица, након искључења </w:t>
      </w:r>
      <w:r w:rsidRPr="00F12A61">
        <w:rPr>
          <w:rFonts w:ascii="Times New Roman" w:hAnsi="Times New Roman" w:cs="Times New Roman"/>
          <w:color w:val="auto"/>
          <w:sz w:val="16"/>
          <w:szCs w:val="16"/>
          <w:lang w:val="sr-Cyrl-RS"/>
        </w:rPr>
        <w:t>предвиђеним Законом о осигурању депозита.</w:t>
      </w:r>
    </w:p>
  </w:footnote>
  <w:footnote w:id="14">
    <w:p w14:paraId="6C9CBA8E" w14:textId="77777777" w:rsidR="008F5C3A" w:rsidRPr="00073D98" w:rsidRDefault="008F5C3A" w:rsidP="00E255B1">
      <w:pPr>
        <w:pStyle w:val="FootnoteText"/>
        <w:spacing w:after="0"/>
        <w:ind w:firstLine="0"/>
        <w:rPr>
          <w:rFonts w:ascii="Times New Roman" w:hAnsi="Times New Roman" w:cs="Times New Roman"/>
          <w:color w:val="auto"/>
          <w:sz w:val="16"/>
          <w:szCs w:val="16"/>
          <w:lang w:val="sr-Cyrl-RS"/>
        </w:rPr>
      </w:pPr>
      <w:r w:rsidRPr="00073D98">
        <w:rPr>
          <w:rStyle w:val="FootnoteReference"/>
          <w:rFonts w:ascii="Times New Roman" w:hAnsi="Times New Roman" w:cs="Times New Roman"/>
          <w:color w:val="auto"/>
          <w:sz w:val="16"/>
          <w:szCs w:val="16"/>
          <w:lang w:val="sr-Cyrl-RS"/>
        </w:rPr>
        <w:footnoteRef/>
      </w:r>
      <w:r w:rsidRPr="00073D98">
        <w:rPr>
          <w:rFonts w:ascii="Times New Roman" w:hAnsi="Times New Roman" w:cs="Times New Roman"/>
          <w:color w:val="auto"/>
          <w:sz w:val="16"/>
          <w:szCs w:val="16"/>
          <w:lang w:val="sr-Cyrl-RS"/>
        </w:rPr>
        <w:t xml:space="preserve"> Програм економских реформи за период од 2022. до 2024. године</w:t>
      </w:r>
    </w:p>
  </w:footnote>
  <w:footnote w:id="15">
    <w:p w14:paraId="53ADB7D8" w14:textId="77777777" w:rsidR="008F5C3A" w:rsidRPr="00271FCE" w:rsidRDefault="008F5C3A" w:rsidP="00D210F0">
      <w:pPr>
        <w:spacing w:after="0"/>
        <w:rPr>
          <w:rFonts w:cs="Times New Roman"/>
          <w:sz w:val="16"/>
          <w:szCs w:val="16"/>
          <w:lang w:val="sr-Cyrl-RS"/>
        </w:rPr>
      </w:pPr>
      <w:r w:rsidRPr="007605E6">
        <w:rPr>
          <w:rFonts w:cs="Times New Roman"/>
          <w:sz w:val="16"/>
          <w:szCs w:val="16"/>
          <w:vertAlign w:val="superscript"/>
          <w:lang w:val="sr-Cyrl-RS"/>
        </w:rPr>
        <w:footnoteRef/>
      </w:r>
      <w:r w:rsidRPr="00271FCE">
        <w:rPr>
          <w:rFonts w:cs="Times New Roman"/>
          <w:sz w:val="16"/>
          <w:szCs w:val="16"/>
          <w:lang w:val="sr-Cyrl-RS"/>
        </w:rPr>
        <w:t xml:space="preserve"> </w:t>
      </w:r>
      <w:r w:rsidRPr="00072755">
        <w:rPr>
          <w:rFonts w:cs="Times New Roman"/>
          <w:sz w:val="16"/>
          <w:szCs w:val="16"/>
          <w:lang w:val="sr-Cyrl-RS"/>
        </w:rPr>
        <w:t>Извор: РЗС</w:t>
      </w:r>
      <w:r>
        <w:rPr>
          <w:rFonts w:cs="Times New Roman"/>
          <w:sz w:val="16"/>
          <w:szCs w:val="16"/>
          <w:lang w:val="sr-Cyrl-RS"/>
        </w:rPr>
        <w:t>,</w:t>
      </w:r>
      <w:r w:rsidRPr="00072755">
        <w:rPr>
          <w:rFonts w:cs="Times New Roman"/>
          <w:sz w:val="16"/>
          <w:szCs w:val="16"/>
          <w:lang w:val="sr-Cyrl-RS"/>
        </w:rPr>
        <w:t xml:space="preserve"> </w:t>
      </w:r>
      <w:r>
        <w:rPr>
          <w:rFonts w:cs="Times New Roman"/>
          <w:sz w:val="16"/>
          <w:szCs w:val="16"/>
          <w:lang w:val="sr-Cyrl-RS"/>
        </w:rPr>
        <w:t xml:space="preserve">Анкета о радној снази </w:t>
      </w:r>
      <w:r w:rsidRPr="00072755">
        <w:rPr>
          <w:rFonts w:cs="Times New Roman"/>
          <w:sz w:val="16"/>
          <w:szCs w:val="16"/>
          <w:lang w:val="sr-Cyrl-RS"/>
        </w:rPr>
        <w:t>- од 2021. године спроводи се према новој методологији</w:t>
      </w:r>
      <w:r>
        <w:rPr>
          <w:rFonts w:cs="Times New Roman"/>
          <w:sz w:val="16"/>
          <w:szCs w:val="16"/>
          <w:lang w:val="sr-Cyrl-RS"/>
        </w:rPr>
        <w:t xml:space="preserve">. </w:t>
      </w:r>
      <w:r w:rsidRPr="00312432">
        <w:rPr>
          <w:rFonts w:cs="Times New Roman"/>
          <w:sz w:val="16"/>
          <w:szCs w:val="16"/>
          <w:lang w:val="sr-Cyrl-RS"/>
        </w:rPr>
        <w:t>Како би се обезбедила упоредивост основних показатеља за период пре 2021. године РЗС је извршио ревизију најважнијих индикатора. С обзиром на то да ревизија података уназад обухвата само основне индикаторе и да је скуп прикупљених података из пилот истраживања ограниченог обима, изостаје могућност дубље и прецизније структурне анализе промена на тржишту рада.</w:t>
      </w:r>
    </w:p>
  </w:footnote>
  <w:footnote w:id="16">
    <w:p w14:paraId="4A72C6CA" w14:textId="7386C81B" w:rsidR="008F5C3A" w:rsidRPr="00271FCE" w:rsidRDefault="008F5C3A" w:rsidP="00D210F0">
      <w:pPr>
        <w:spacing w:after="0"/>
        <w:rPr>
          <w:rFonts w:cs="Times New Roman"/>
          <w:sz w:val="16"/>
          <w:szCs w:val="16"/>
          <w:lang w:val="sr-Cyrl-RS"/>
        </w:rPr>
      </w:pPr>
      <w:r w:rsidRPr="007605E6">
        <w:rPr>
          <w:rFonts w:cs="Times New Roman"/>
          <w:sz w:val="16"/>
          <w:szCs w:val="16"/>
          <w:vertAlign w:val="superscript"/>
          <w:lang w:val="sr-Cyrl-RS"/>
        </w:rPr>
        <w:footnoteRef/>
      </w:r>
      <w:r w:rsidRPr="00271FCE">
        <w:rPr>
          <w:rFonts w:cs="Times New Roman"/>
          <w:sz w:val="16"/>
          <w:szCs w:val="16"/>
          <w:lang w:val="sr-Cyrl-RS"/>
        </w:rPr>
        <w:t xml:space="preserve"> Пандемија вируса корона допринела је повећању незапослености</w:t>
      </w:r>
      <w:r>
        <w:rPr>
          <w:rFonts w:cs="Times New Roman"/>
          <w:sz w:val="16"/>
          <w:szCs w:val="16"/>
          <w:lang w:val="sr-Cyrl-RS"/>
        </w:rPr>
        <w:t xml:space="preserve"> у 2021. години</w:t>
      </w:r>
      <w:r w:rsidRPr="00271FCE">
        <w:rPr>
          <w:rFonts w:cs="Times New Roman"/>
          <w:sz w:val="16"/>
          <w:szCs w:val="16"/>
          <w:lang w:val="sr-Cyrl-RS"/>
        </w:rPr>
        <w:t xml:space="preserve"> односно до пораста броја незапослених дошло је услед „враћања</w:t>
      </w:r>
      <w:r w:rsidRPr="003C1DFF">
        <w:rPr>
          <w:rFonts w:cs="Times New Roman"/>
          <w:sz w:val="16"/>
          <w:szCs w:val="16"/>
          <w:lang w:val="sr-Cyrl-RS"/>
        </w:rPr>
        <w:t>”</w:t>
      </w:r>
      <w:r w:rsidRPr="00271FCE">
        <w:rPr>
          <w:rFonts w:cs="Times New Roman"/>
          <w:sz w:val="16"/>
          <w:szCs w:val="16"/>
          <w:lang w:val="sr-Cyrl-RS"/>
        </w:rPr>
        <w:t xml:space="preserve"> лица из контингента неактивних (појединци нису могли да траже посао или нису били у могућности да почну да раде због мера спречавања ширења вируса корона) у контингент незапослених (тренд започет у Q3 2020).</w:t>
      </w:r>
    </w:p>
  </w:footnote>
  <w:footnote w:id="17">
    <w:p w14:paraId="30410DBF" w14:textId="77777777" w:rsidR="008F5C3A" w:rsidRPr="00E64782" w:rsidRDefault="008F5C3A" w:rsidP="00D210F0">
      <w:pPr>
        <w:spacing w:after="0"/>
        <w:rPr>
          <w:rFonts w:cs="Times New Roman"/>
          <w:sz w:val="16"/>
          <w:szCs w:val="16"/>
          <w:lang w:val="sr-Cyrl-RS"/>
        </w:rPr>
      </w:pPr>
      <w:r w:rsidRPr="00072755">
        <w:rPr>
          <w:rStyle w:val="FootnoteReference"/>
          <w:rFonts w:cs="Times New Roman"/>
          <w:sz w:val="16"/>
          <w:szCs w:val="16"/>
        </w:rPr>
        <w:footnoteRef/>
      </w:r>
      <w:r w:rsidRPr="00072755">
        <w:rPr>
          <w:rFonts w:cs="Times New Roman"/>
          <w:sz w:val="16"/>
          <w:szCs w:val="16"/>
        </w:rPr>
        <w:t xml:space="preserve"> NEET</w:t>
      </w:r>
      <w:r w:rsidRPr="00072755">
        <w:rPr>
          <w:rFonts w:cs="Times New Roman"/>
          <w:spacing w:val="-4"/>
          <w:sz w:val="16"/>
          <w:szCs w:val="16"/>
        </w:rPr>
        <w:t xml:space="preserve"> </w:t>
      </w:r>
      <w:r w:rsidRPr="00072755">
        <w:rPr>
          <w:rFonts w:cs="Times New Roman"/>
          <w:sz w:val="16"/>
          <w:szCs w:val="16"/>
        </w:rPr>
        <w:t>-</w:t>
      </w:r>
      <w:r w:rsidRPr="00072755">
        <w:rPr>
          <w:rFonts w:cs="Times New Roman"/>
          <w:spacing w:val="-2"/>
          <w:sz w:val="16"/>
          <w:szCs w:val="16"/>
        </w:rPr>
        <w:t xml:space="preserve"> </w:t>
      </w:r>
      <w:r w:rsidRPr="00072755">
        <w:rPr>
          <w:rFonts w:cs="Times New Roman"/>
          <w:sz w:val="16"/>
          <w:szCs w:val="16"/>
        </w:rPr>
        <w:t>Youth</w:t>
      </w:r>
      <w:r w:rsidRPr="00072755">
        <w:rPr>
          <w:rFonts w:cs="Times New Roman"/>
          <w:spacing w:val="-3"/>
          <w:sz w:val="16"/>
          <w:szCs w:val="16"/>
        </w:rPr>
        <w:t xml:space="preserve"> </w:t>
      </w:r>
      <w:r w:rsidRPr="00072755">
        <w:rPr>
          <w:rFonts w:cs="Times New Roman"/>
          <w:sz w:val="16"/>
          <w:szCs w:val="16"/>
        </w:rPr>
        <w:t>not</w:t>
      </w:r>
      <w:r w:rsidRPr="00072755">
        <w:rPr>
          <w:rFonts w:cs="Times New Roman"/>
          <w:spacing w:val="-3"/>
          <w:sz w:val="16"/>
          <w:szCs w:val="16"/>
        </w:rPr>
        <w:t xml:space="preserve"> </w:t>
      </w:r>
      <w:r w:rsidRPr="00072755">
        <w:rPr>
          <w:rFonts w:cs="Times New Roman"/>
          <w:sz w:val="16"/>
          <w:szCs w:val="16"/>
        </w:rPr>
        <w:t>in</w:t>
      </w:r>
      <w:r w:rsidRPr="00072755">
        <w:rPr>
          <w:rFonts w:cs="Times New Roman"/>
          <w:spacing w:val="-4"/>
          <w:sz w:val="16"/>
          <w:szCs w:val="16"/>
        </w:rPr>
        <w:t xml:space="preserve"> </w:t>
      </w:r>
      <w:r w:rsidRPr="00072755">
        <w:rPr>
          <w:rFonts w:cs="Times New Roman"/>
          <w:sz w:val="16"/>
          <w:szCs w:val="16"/>
        </w:rPr>
        <w:t>employment,</w:t>
      </w:r>
      <w:r w:rsidRPr="00072755">
        <w:rPr>
          <w:rFonts w:cs="Times New Roman"/>
          <w:spacing w:val="-1"/>
          <w:sz w:val="16"/>
          <w:szCs w:val="16"/>
        </w:rPr>
        <w:t xml:space="preserve"> </w:t>
      </w:r>
      <w:r w:rsidRPr="00072755">
        <w:rPr>
          <w:rFonts w:cs="Times New Roman"/>
          <w:sz w:val="16"/>
          <w:szCs w:val="16"/>
        </w:rPr>
        <w:t>education</w:t>
      </w:r>
      <w:r w:rsidRPr="00072755">
        <w:rPr>
          <w:rFonts w:cs="Times New Roman"/>
          <w:spacing w:val="-3"/>
          <w:sz w:val="16"/>
          <w:szCs w:val="16"/>
        </w:rPr>
        <w:t xml:space="preserve"> </w:t>
      </w:r>
      <w:r w:rsidRPr="00072755">
        <w:rPr>
          <w:rFonts w:cs="Times New Roman"/>
          <w:sz w:val="16"/>
          <w:szCs w:val="16"/>
        </w:rPr>
        <w:t>or</w:t>
      </w:r>
      <w:r w:rsidRPr="00072755">
        <w:rPr>
          <w:rFonts w:cs="Times New Roman"/>
          <w:spacing w:val="-3"/>
          <w:sz w:val="16"/>
          <w:szCs w:val="16"/>
        </w:rPr>
        <w:t xml:space="preserve"> </w:t>
      </w:r>
      <w:r w:rsidRPr="00072755">
        <w:rPr>
          <w:rFonts w:cs="Times New Roman"/>
          <w:sz w:val="16"/>
          <w:szCs w:val="16"/>
        </w:rPr>
        <w:t>training</w:t>
      </w:r>
      <w:r>
        <w:rPr>
          <w:rFonts w:cs="Times New Roman"/>
          <w:sz w:val="16"/>
          <w:szCs w:val="16"/>
          <w:lang w:val="sr-Cyrl-RS"/>
        </w:rPr>
        <w:t xml:space="preserve"> (</w:t>
      </w:r>
      <w:r w:rsidRPr="00E64782">
        <w:rPr>
          <w:rFonts w:cs="Times New Roman"/>
          <w:sz w:val="16"/>
          <w:szCs w:val="16"/>
          <w:lang w:val="sr-Cyrl-RS"/>
        </w:rPr>
        <w:t>млади који нису запослени, нису у процесу образовања, нити су на обуци</w:t>
      </w:r>
      <w:r>
        <w:rPr>
          <w:rFonts w:cs="Times New Roman"/>
          <w:sz w:val="16"/>
          <w:szCs w:val="16"/>
          <w:lang w:val="sr-Cyrl-RS"/>
        </w:rPr>
        <w:t>)</w:t>
      </w:r>
    </w:p>
  </w:footnote>
  <w:footnote w:id="18">
    <w:p w14:paraId="4AB93479" w14:textId="77777777" w:rsidR="008F5C3A" w:rsidRPr="00072755" w:rsidRDefault="008F5C3A" w:rsidP="00D210F0">
      <w:pPr>
        <w:spacing w:after="0"/>
        <w:rPr>
          <w:rFonts w:cs="Times New Roman"/>
          <w:sz w:val="16"/>
          <w:szCs w:val="16"/>
          <w:lang w:val="sr-Cyrl-RS"/>
        </w:rPr>
      </w:pPr>
      <w:r w:rsidRPr="00072755">
        <w:rPr>
          <w:rStyle w:val="FootnoteReference"/>
          <w:rFonts w:cs="Times New Roman"/>
          <w:sz w:val="16"/>
          <w:szCs w:val="16"/>
          <w:lang w:val="sr-Cyrl-RS"/>
        </w:rPr>
        <w:footnoteRef/>
      </w:r>
      <w:r w:rsidRPr="00072755">
        <w:rPr>
          <w:rFonts w:cs="Times New Roman"/>
          <w:sz w:val="16"/>
          <w:szCs w:val="16"/>
          <w:lang w:val="sr-Cyrl-RS"/>
        </w:rPr>
        <w:t xml:space="preserve"> Програм Гаранција за младе који се спроводи у државама чланицама ЕУ, пример је интервенције у оквиру које се младима који су неактивни и незапослени приступа кроз сарадњу различитих сектора и социјалних партнера, укључујући и организације цивилног друштва, а у циљу дугорочно одрживе интеграције на тржиште рада.</w:t>
      </w:r>
    </w:p>
  </w:footnote>
  <w:footnote w:id="19">
    <w:p w14:paraId="3E1EE8DD" w14:textId="77777777" w:rsidR="008F5C3A" w:rsidRPr="00FF4186" w:rsidRDefault="008F5C3A" w:rsidP="00D210F0">
      <w:pPr>
        <w:spacing w:after="0"/>
        <w:rPr>
          <w:rFonts w:cs="Times New Roman"/>
          <w:sz w:val="16"/>
          <w:szCs w:val="16"/>
          <w:lang w:val="sr-Cyrl-RS"/>
        </w:rPr>
      </w:pPr>
      <w:r w:rsidRPr="00FF4186">
        <w:rPr>
          <w:rStyle w:val="FootnoteReference"/>
          <w:rFonts w:cs="Times New Roman"/>
          <w:sz w:val="16"/>
          <w:szCs w:val="16"/>
        </w:rPr>
        <w:footnoteRef/>
      </w:r>
      <w:r w:rsidRPr="00FF4186">
        <w:rPr>
          <w:rFonts w:cs="Times New Roman"/>
          <w:sz w:val="16"/>
          <w:szCs w:val="16"/>
        </w:rPr>
        <w:t xml:space="preserve"> </w:t>
      </w:r>
      <w:r w:rsidRPr="00FF4186">
        <w:rPr>
          <w:rFonts w:cs="Times New Roman"/>
          <w:sz w:val="16"/>
          <w:szCs w:val="16"/>
          <w:lang w:val="sr-Cyrl-RS"/>
        </w:rPr>
        <w:t xml:space="preserve">Декларација је потврђена </w:t>
      </w:r>
      <w:r>
        <w:rPr>
          <w:rFonts w:cs="Times New Roman"/>
          <w:sz w:val="16"/>
          <w:szCs w:val="16"/>
          <w:lang w:val="sr-Cyrl-RS"/>
        </w:rPr>
        <w:t>н</w:t>
      </w:r>
      <w:r w:rsidRPr="00FF4186">
        <w:rPr>
          <w:rFonts w:cs="Times New Roman"/>
          <w:sz w:val="16"/>
          <w:szCs w:val="16"/>
          <w:lang w:val="sr-Cyrl-RS"/>
        </w:rPr>
        <w:t>а Другом министарском састанку ЕУ – Западни Балкан, који је одржан 8. јула 2021. године у Словенији</w:t>
      </w:r>
      <w:r>
        <w:rPr>
          <w:rFonts w:cs="Times New Roman"/>
          <w:sz w:val="16"/>
          <w:szCs w:val="16"/>
          <w:lang w:val="sr-Cyrl-RS"/>
        </w:rPr>
        <w:t>.</w:t>
      </w:r>
    </w:p>
  </w:footnote>
  <w:footnote w:id="20">
    <w:p w14:paraId="42D83722"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lang w:val="sr-Cyrl-RS"/>
        </w:rPr>
        <w:t xml:space="preserve"> Извор: Привредна комора Србије</w:t>
      </w:r>
      <w:r w:rsidRPr="007605E6">
        <w:rPr>
          <w:rFonts w:cs="Times New Roman"/>
          <w:sz w:val="16"/>
          <w:szCs w:val="16"/>
        </w:rPr>
        <w:t xml:space="preserve"> </w:t>
      </w:r>
      <w:hyperlink r:id="rId2" w:history="1">
        <w:r w:rsidRPr="007605E6">
          <w:rPr>
            <w:rStyle w:val="Hyperlink"/>
            <w:rFonts w:cs="Times New Roman"/>
            <w:sz w:val="16"/>
            <w:szCs w:val="16"/>
          </w:rPr>
          <w:t>https://pks.rs/strana/sekcija/dualno-obrazovanje-spisak-profila-u-dualnom-obrazovanju</w:t>
        </w:r>
      </w:hyperlink>
      <w:r w:rsidRPr="007605E6">
        <w:rPr>
          <w:rFonts w:cs="Times New Roman"/>
          <w:sz w:val="16"/>
          <w:szCs w:val="16"/>
          <w:lang w:val="sr-Cyrl-RS"/>
        </w:rPr>
        <w:t xml:space="preserve"> </w:t>
      </w:r>
    </w:p>
  </w:footnote>
  <w:footnote w:id="21">
    <w:p w14:paraId="7BC7ECD0"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rPr>
        <w:t xml:space="preserve"> Циљ увођења дуалног модела студија јесте пружање могућности студентима да значајно повећају своју конкурентност на тржишту рада и имају веће шансе за запошљавање код послодаваца код којих су обавили учење кроз рад, али и код других послодаваца из исте делатности.</w:t>
      </w:r>
    </w:p>
  </w:footnote>
  <w:footnote w:id="22">
    <w:p w14:paraId="3FD4E31F"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lang w:val="sr-Cyrl-RS"/>
        </w:rPr>
        <w:footnoteRef/>
      </w:r>
      <w:r w:rsidRPr="007605E6">
        <w:rPr>
          <w:rFonts w:cs="Times New Roman"/>
          <w:sz w:val="16"/>
          <w:szCs w:val="16"/>
          <w:lang w:val="sr-Cyrl-RS"/>
        </w:rPr>
        <w:t xml:space="preserve"> Ч</w:t>
      </w:r>
      <w:r w:rsidRPr="007605E6">
        <w:rPr>
          <w:rFonts w:cs="Times New Roman"/>
          <w:sz w:val="16"/>
          <w:szCs w:val="16"/>
          <w:shd w:val="clear" w:color="auto" w:fill="FFFFFF"/>
          <w:lang w:val="sr-Cyrl-RS"/>
        </w:rPr>
        <w:t xml:space="preserve">ине га Подрегистар националних квалификација, Подрегистар стандарда квалификација, као и Подрегистар јавно признатих организатора активности образовања одраслих са послодавцима код којих се обавља практичан рад (Подрегистар ЈПОА). </w:t>
      </w:r>
      <w:hyperlink r:id="rId3" w:history="1">
        <w:r w:rsidRPr="007605E6">
          <w:rPr>
            <w:rStyle w:val="Hyperlink"/>
            <w:rFonts w:cs="Times New Roman"/>
            <w:sz w:val="16"/>
            <w:szCs w:val="16"/>
            <w:shd w:val="clear" w:color="auto" w:fill="FFFFFF"/>
            <w:lang w:val="sr-Cyrl-RS"/>
          </w:rPr>
          <w:t>https://noks.azk.gov.rs/</w:t>
        </w:r>
      </w:hyperlink>
      <w:r w:rsidRPr="007605E6">
        <w:rPr>
          <w:rFonts w:cs="Times New Roman"/>
          <w:sz w:val="16"/>
          <w:szCs w:val="16"/>
          <w:shd w:val="clear" w:color="auto" w:fill="FFFFFF"/>
          <w:lang w:val="sr-Cyrl-RS"/>
        </w:rPr>
        <w:t xml:space="preserve"> </w:t>
      </w:r>
    </w:p>
  </w:footnote>
  <w:footnote w:id="23">
    <w:p w14:paraId="6519E3F7" w14:textId="77777777" w:rsidR="008F5C3A" w:rsidRPr="00DC7F92" w:rsidRDefault="008F5C3A" w:rsidP="00D210F0">
      <w:pPr>
        <w:spacing w:after="0"/>
        <w:rPr>
          <w:rFonts w:cs="Times New Roman"/>
          <w:sz w:val="16"/>
          <w:szCs w:val="16"/>
          <w:lang w:val="sr-Cyrl-RS"/>
        </w:rPr>
      </w:pPr>
      <w:r w:rsidRPr="00DC7F92">
        <w:rPr>
          <w:rStyle w:val="FootnoteReference"/>
          <w:rFonts w:cs="Times New Roman"/>
          <w:sz w:val="16"/>
          <w:szCs w:val="16"/>
          <w:lang w:val="sr-Cyrl-RS"/>
        </w:rPr>
        <w:footnoteRef/>
      </w:r>
      <w:r w:rsidRPr="00DC7F92">
        <w:rPr>
          <w:rFonts w:cs="Times New Roman"/>
          <w:sz w:val="16"/>
          <w:szCs w:val="16"/>
          <w:lang w:val="sr-Cyrl-RS"/>
        </w:rPr>
        <w:t xml:space="preserve"> Програм је креиран са циљем оспособљавања за самосталан рад младих са средњим и високим образовањем, до навршених 30 година живота, без радног искуства, који се налазе на евиденцији незапослених Националне службе за запошљавање.</w:t>
      </w:r>
      <w:r>
        <w:rPr>
          <w:rFonts w:cs="Times New Roman"/>
          <w:sz w:val="16"/>
          <w:szCs w:val="16"/>
          <w:lang w:val="sr-Cyrl-RS"/>
        </w:rPr>
        <w:t xml:space="preserve"> П</w:t>
      </w:r>
      <w:r w:rsidRPr="00FC617C">
        <w:rPr>
          <w:rFonts w:cs="Times New Roman"/>
          <w:sz w:val="16"/>
          <w:szCs w:val="16"/>
          <w:lang w:val="sr-Cyrl-RS"/>
        </w:rPr>
        <w:t>очео је да се споводи у 2020.</w:t>
      </w:r>
      <w:r>
        <w:rPr>
          <w:rFonts w:cs="Times New Roman"/>
          <w:sz w:val="16"/>
          <w:szCs w:val="16"/>
          <w:lang w:val="sr-Cyrl-RS"/>
        </w:rPr>
        <w:t xml:space="preserve"> години.</w:t>
      </w:r>
    </w:p>
  </w:footnote>
  <w:footnote w:id="24">
    <w:p w14:paraId="2D4B746A"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lang w:val="sr-Cyrl-RS"/>
        </w:rPr>
        <w:footnoteRef/>
      </w:r>
      <w:r w:rsidRPr="007605E6">
        <w:rPr>
          <w:rFonts w:cs="Times New Roman"/>
          <w:sz w:val="16"/>
          <w:szCs w:val="16"/>
          <w:lang w:val="sr-Cyrl-RS"/>
        </w:rPr>
        <w:t xml:space="preserve"> Извор: Eurostat, </w:t>
      </w:r>
      <w:hyperlink r:id="rId4" w:history="1">
        <w:r w:rsidRPr="007605E6">
          <w:rPr>
            <w:rFonts w:cs="Times New Roman"/>
            <w:sz w:val="16"/>
            <w:szCs w:val="16"/>
            <w:lang w:val="sr-Cyrl-RS"/>
          </w:rPr>
          <w:t>https://appsso.eurostat.ec.europa.eu/nui/show.do?dataset=trng_lfse_01&amp;lang=en</w:t>
        </w:r>
      </w:hyperlink>
    </w:p>
  </w:footnote>
  <w:footnote w:id="25">
    <w:p w14:paraId="42BDDFBF"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rPr>
        <w:t xml:space="preserve"> </w:t>
      </w:r>
      <w:r w:rsidRPr="007605E6">
        <w:rPr>
          <w:rFonts w:cs="Times New Roman"/>
          <w:sz w:val="16"/>
          <w:szCs w:val="16"/>
          <w:lang w:val="sr-Cyrl-RS"/>
        </w:rPr>
        <w:t xml:space="preserve">Програм ће </w:t>
      </w:r>
      <w:r w:rsidRPr="007605E6">
        <w:rPr>
          <w:rFonts w:cs="Times New Roman"/>
          <w:sz w:val="16"/>
          <w:szCs w:val="16"/>
        </w:rPr>
        <w:t>обухвати</w:t>
      </w:r>
      <w:r w:rsidRPr="007605E6">
        <w:rPr>
          <w:rFonts w:cs="Times New Roman"/>
          <w:sz w:val="16"/>
          <w:szCs w:val="16"/>
          <w:lang w:val="sr-Cyrl-RS"/>
        </w:rPr>
        <w:t>ти</w:t>
      </w:r>
      <w:r w:rsidRPr="007605E6">
        <w:rPr>
          <w:rFonts w:cs="Times New Roman"/>
          <w:sz w:val="16"/>
          <w:szCs w:val="16"/>
        </w:rPr>
        <w:t xml:space="preserve"> минимум 250 сати стручне обуке фокусиране на један од пет програмских језика (Java Script, PHP, Python, Java, NET) и систем администрацију, 40 часова обуке из меких вештина</w:t>
      </w:r>
      <w:r w:rsidRPr="007605E6">
        <w:rPr>
          <w:rFonts w:cs="Times New Roman"/>
          <w:sz w:val="16"/>
          <w:szCs w:val="16"/>
          <w:lang w:val="sr-Cyrl-RS"/>
        </w:rPr>
        <w:t>,</w:t>
      </w:r>
      <w:r w:rsidRPr="007605E6">
        <w:rPr>
          <w:rFonts w:cs="Times New Roman"/>
          <w:sz w:val="16"/>
          <w:szCs w:val="16"/>
        </w:rPr>
        <w:t xml:space="preserve"> као и 120 часова праксе</w:t>
      </w:r>
      <w:r w:rsidRPr="007605E6">
        <w:rPr>
          <w:rFonts w:cs="Times New Roman"/>
          <w:sz w:val="16"/>
          <w:szCs w:val="16"/>
          <w:lang w:val="sr-Cyrl-RS"/>
        </w:rPr>
        <w:t xml:space="preserve">. Извор: МРЗБСП </w:t>
      </w:r>
      <w:hyperlink r:id="rId5" w:history="1">
        <w:r w:rsidRPr="007605E6">
          <w:rPr>
            <w:rStyle w:val="Hyperlink"/>
            <w:rFonts w:cs="Times New Roman"/>
            <w:sz w:val="16"/>
            <w:szCs w:val="16"/>
          </w:rPr>
          <w:t>https://www.minrzs.gov.rs/</w:t>
        </w:r>
      </w:hyperlink>
      <w:r w:rsidRPr="007605E6">
        <w:rPr>
          <w:rFonts w:cs="Times New Roman"/>
          <w:sz w:val="16"/>
          <w:szCs w:val="16"/>
          <w:lang w:val="sr-Cyrl-RS"/>
        </w:rPr>
        <w:t xml:space="preserve"> </w:t>
      </w:r>
    </w:p>
  </w:footnote>
  <w:footnote w:id="26">
    <w:p w14:paraId="093D890B" w14:textId="36034810"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rPr>
        <w:t xml:space="preserve"> У периоду август–</w:t>
      </w:r>
      <w:r w:rsidRPr="007605E6">
        <w:rPr>
          <w:rFonts w:cs="Times New Roman"/>
          <w:sz w:val="16"/>
          <w:szCs w:val="16"/>
          <w:lang w:val="sr-Cyrl-RS"/>
        </w:rPr>
        <w:t>децембар 2021. године у 16</w:t>
      </w:r>
      <w:r w:rsidRPr="007605E6">
        <w:rPr>
          <w:rFonts w:cs="Times New Roman"/>
          <w:sz w:val="16"/>
          <w:szCs w:val="16"/>
        </w:rPr>
        <w:t xml:space="preserve"> градова </w:t>
      </w:r>
      <w:r>
        <w:rPr>
          <w:rFonts w:cs="Times New Roman"/>
          <w:sz w:val="16"/>
          <w:szCs w:val="16"/>
          <w:lang w:val="sr-Cyrl-RS"/>
        </w:rPr>
        <w:t xml:space="preserve">Републике </w:t>
      </w:r>
      <w:r w:rsidRPr="007605E6">
        <w:rPr>
          <w:rFonts w:cs="Times New Roman"/>
          <w:sz w:val="16"/>
          <w:szCs w:val="16"/>
        </w:rPr>
        <w:t>Србије организова</w:t>
      </w:r>
      <w:r w:rsidRPr="007605E6">
        <w:rPr>
          <w:rFonts w:cs="Times New Roman"/>
          <w:sz w:val="16"/>
          <w:szCs w:val="16"/>
          <w:lang w:val="sr-Cyrl-RS"/>
        </w:rPr>
        <w:t>ни су</w:t>
      </w:r>
      <w:r w:rsidRPr="007605E6">
        <w:rPr>
          <w:rFonts w:cs="Times New Roman"/>
          <w:sz w:val="16"/>
          <w:szCs w:val="16"/>
        </w:rPr>
        <w:t xml:space="preserve"> дога</w:t>
      </w:r>
      <w:r w:rsidRPr="007605E6">
        <w:rPr>
          <w:rFonts w:cs="Times New Roman"/>
          <w:sz w:val="16"/>
          <w:szCs w:val="16"/>
          <w:lang w:val="sr-Cyrl-RS"/>
        </w:rPr>
        <w:t>ђ</w:t>
      </w:r>
      <w:r w:rsidRPr="007605E6">
        <w:rPr>
          <w:rFonts w:cs="Times New Roman"/>
          <w:sz w:val="16"/>
          <w:szCs w:val="16"/>
        </w:rPr>
        <w:t>ај</w:t>
      </w:r>
      <w:r w:rsidRPr="007605E6">
        <w:rPr>
          <w:rFonts w:cs="Times New Roman"/>
          <w:sz w:val="16"/>
          <w:szCs w:val="16"/>
          <w:lang w:val="sr-Cyrl-RS"/>
        </w:rPr>
        <w:t>и</w:t>
      </w:r>
      <w:r w:rsidRPr="007605E6">
        <w:rPr>
          <w:rFonts w:cs="Times New Roman"/>
          <w:sz w:val="16"/>
          <w:szCs w:val="16"/>
        </w:rPr>
        <w:t xml:space="preserve"> који су имали за циљ унапре</w:t>
      </w:r>
      <w:r w:rsidRPr="007605E6">
        <w:rPr>
          <w:rFonts w:cs="Times New Roman"/>
          <w:sz w:val="16"/>
          <w:szCs w:val="16"/>
          <w:lang w:val="sr-Cyrl-RS"/>
        </w:rPr>
        <w:t>ђ</w:t>
      </w:r>
      <w:r w:rsidRPr="007605E6">
        <w:rPr>
          <w:rFonts w:cs="Times New Roman"/>
          <w:sz w:val="16"/>
          <w:szCs w:val="16"/>
        </w:rPr>
        <w:t>ење дигиталне писмености гра</w:t>
      </w:r>
      <w:r w:rsidRPr="007605E6">
        <w:rPr>
          <w:rFonts w:cs="Times New Roman"/>
          <w:sz w:val="16"/>
          <w:szCs w:val="16"/>
          <w:lang w:val="sr-Cyrl-RS"/>
        </w:rPr>
        <w:t>ђ</w:t>
      </w:r>
      <w:r w:rsidRPr="007605E6">
        <w:rPr>
          <w:rFonts w:cs="Times New Roman"/>
          <w:sz w:val="16"/>
          <w:szCs w:val="16"/>
        </w:rPr>
        <w:t>ана.</w:t>
      </w:r>
    </w:p>
  </w:footnote>
  <w:footnote w:id="27">
    <w:p w14:paraId="18BF18A1" w14:textId="14B79A04"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rPr>
        <w:t xml:space="preserve"> </w:t>
      </w:r>
      <w:r w:rsidRPr="007605E6">
        <w:rPr>
          <w:rFonts w:cs="Times New Roman"/>
          <w:sz w:val="16"/>
          <w:szCs w:val="16"/>
          <w:lang w:val="sr-Cyrl-RS"/>
        </w:rPr>
        <w:t>Д</w:t>
      </w:r>
      <w:r w:rsidRPr="007605E6">
        <w:rPr>
          <w:rFonts w:cs="Times New Roman"/>
          <w:sz w:val="16"/>
          <w:szCs w:val="16"/>
        </w:rPr>
        <w:t>ео</w:t>
      </w:r>
      <w:r w:rsidRPr="007605E6">
        <w:rPr>
          <w:rFonts w:cs="Times New Roman"/>
          <w:sz w:val="16"/>
          <w:szCs w:val="16"/>
          <w:lang w:val="sr-Cyrl-RS"/>
        </w:rPr>
        <w:t xml:space="preserve"> је</w:t>
      </w:r>
      <w:r w:rsidRPr="007605E6">
        <w:rPr>
          <w:rFonts w:cs="Times New Roman"/>
          <w:sz w:val="16"/>
          <w:szCs w:val="16"/>
        </w:rPr>
        <w:t xml:space="preserve"> програма </w:t>
      </w:r>
      <w:r w:rsidRPr="007605E6">
        <w:rPr>
          <w:rFonts w:cs="Times New Roman"/>
          <w:sz w:val="16"/>
          <w:szCs w:val="16"/>
          <w:lang w:val="sr-Cyrl-RS"/>
        </w:rPr>
        <w:t>„</w:t>
      </w:r>
      <w:r w:rsidRPr="007605E6">
        <w:rPr>
          <w:rFonts w:cs="Times New Roman"/>
          <w:sz w:val="16"/>
          <w:szCs w:val="16"/>
        </w:rPr>
        <w:t>Будућност Европе у настајању</w:t>
      </w:r>
      <w:r w:rsidRPr="003C1DFF">
        <w:rPr>
          <w:rFonts w:cs="Times New Roman"/>
          <w:sz w:val="16"/>
          <w:szCs w:val="16"/>
          <w:lang w:val="sr-Cyrl-RS"/>
        </w:rPr>
        <w:t>”</w:t>
      </w:r>
      <w:r w:rsidRPr="007605E6">
        <w:rPr>
          <w:rFonts w:cs="Times New Roman"/>
          <w:sz w:val="16"/>
          <w:szCs w:val="16"/>
        </w:rPr>
        <w:t xml:space="preserve"> (</w:t>
      </w:r>
      <w:r w:rsidRPr="007605E6">
        <w:rPr>
          <w:rFonts w:cs="Times New Roman"/>
          <w:i/>
          <w:sz w:val="16"/>
          <w:szCs w:val="16"/>
        </w:rPr>
        <w:t>Future-proof Education</w:t>
      </w:r>
      <w:r w:rsidRPr="007605E6">
        <w:rPr>
          <w:rFonts w:cs="Times New Roman"/>
          <w:sz w:val="16"/>
          <w:szCs w:val="16"/>
        </w:rPr>
        <w:t xml:space="preserve">) који се спроводи у 23 земље </w:t>
      </w:r>
      <w:r w:rsidRPr="007605E6">
        <w:rPr>
          <w:rFonts w:cs="Times New Roman"/>
          <w:sz w:val="16"/>
          <w:szCs w:val="16"/>
          <w:lang w:val="sr-Cyrl-RS"/>
        </w:rPr>
        <w:t>Ц</w:t>
      </w:r>
      <w:r w:rsidRPr="007605E6">
        <w:rPr>
          <w:rFonts w:cs="Times New Roman"/>
          <w:sz w:val="16"/>
          <w:szCs w:val="16"/>
        </w:rPr>
        <w:t xml:space="preserve">ентралне, </w:t>
      </w:r>
      <w:r w:rsidRPr="007605E6">
        <w:rPr>
          <w:rFonts w:cs="Times New Roman"/>
          <w:sz w:val="16"/>
          <w:szCs w:val="16"/>
          <w:lang w:val="sr-Cyrl-RS"/>
        </w:rPr>
        <w:t>И</w:t>
      </w:r>
      <w:r w:rsidRPr="007605E6">
        <w:rPr>
          <w:rFonts w:cs="Times New Roman"/>
          <w:sz w:val="16"/>
          <w:szCs w:val="16"/>
        </w:rPr>
        <w:t>сточне, Југоисточне Европе и Јужног Кавказа.</w:t>
      </w:r>
      <w:r w:rsidRPr="007605E6">
        <w:rPr>
          <w:rFonts w:cs="Times New Roman"/>
          <w:sz w:val="16"/>
          <w:szCs w:val="16"/>
          <w:lang w:val="sr-Cyrl-RS"/>
        </w:rPr>
        <w:t xml:space="preserve"> </w:t>
      </w:r>
      <w:hyperlink r:id="rId6" w:history="1">
        <w:r w:rsidRPr="007605E6">
          <w:rPr>
            <w:rStyle w:val="Hyperlink"/>
            <w:rFonts w:cs="Times New Roman"/>
            <w:sz w:val="16"/>
            <w:szCs w:val="16"/>
            <w:lang w:val="sr-Cyrl-RS"/>
          </w:rPr>
          <w:t>https://emerging-europe.com/future-of-ee-awards/winners/</w:t>
        </w:r>
      </w:hyperlink>
      <w:r w:rsidRPr="007605E6">
        <w:rPr>
          <w:rFonts w:cs="Times New Roman"/>
          <w:sz w:val="16"/>
          <w:szCs w:val="16"/>
          <w:lang w:val="sr-Cyrl-RS"/>
        </w:rPr>
        <w:t xml:space="preserve"> </w:t>
      </w:r>
    </w:p>
  </w:footnote>
  <w:footnote w:id="28">
    <w:p w14:paraId="6A31EC38"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lang w:val="sr-Cyrl-RS"/>
        </w:rPr>
        <w:t xml:space="preserve"> Проценат лица чији је еквивалентни приход нижи од прага ризика од сиромаштва</w:t>
      </w:r>
      <w:r w:rsidRPr="007605E6">
        <w:rPr>
          <w:rFonts w:cs="Times New Roman"/>
          <w:sz w:val="16"/>
          <w:szCs w:val="16"/>
          <w:lang w:val="sr-Latn-RS"/>
        </w:rPr>
        <w:t xml:space="preserve"> (60%</w:t>
      </w:r>
      <w:r w:rsidRPr="007605E6">
        <w:rPr>
          <w:rFonts w:cs="Times New Roman"/>
          <w:sz w:val="16"/>
          <w:szCs w:val="16"/>
          <w:lang w:val="sr-Cyrl-RS"/>
        </w:rPr>
        <w:t xml:space="preserve"> медијане еквивалентног прихода) </w:t>
      </w:r>
    </w:p>
  </w:footnote>
  <w:footnote w:id="29">
    <w:p w14:paraId="18401F93" w14:textId="77777777" w:rsidR="008F5C3A" w:rsidRPr="007605E6" w:rsidRDefault="008F5C3A" w:rsidP="00D210F0">
      <w:pPr>
        <w:spacing w:after="0"/>
        <w:rPr>
          <w:rFonts w:cs="Times New Roman"/>
          <w:sz w:val="16"/>
          <w:szCs w:val="16"/>
        </w:rPr>
      </w:pPr>
      <w:r w:rsidRPr="007605E6">
        <w:rPr>
          <w:rStyle w:val="FootnoteReference"/>
          <w:rFonts w:cs="Times New Roman"/>
          <w:sz w:val="16"/>
          <w:szCs w:val="16"/>
        </w:rPr>
        <w:footnoteRef/>
      </w:r>
      <w:r w:rsidRPr="007605E6">
        <w:rPr>
          <w:rFonts w:cs="Times New Roman"/>
          <w:sz w:val="16"/>
          <w:szCs w:val="16"/>
          <w:lang w:val="sr-Cyrl-RS"/>
        </w:rPr>
        <w:t xml:space="preserve"> Извор: Сиромаштво и социјална неједнакост 2021</w:t>
      </w:r>
      <w:r w:rsidRPr="007605E6">
        <w:rPr>
          <w:rFonts w:cs="Times New Roman"/>
          <w:sz w:val="16"/>
          <w:szCs w:val="16"/>
          <w:lang w:val="sr-Latn-RS"/>
        </w:rPr>
        <w:t xml:space="preserve">. </w:t>
      </w:r>
      <w:r w:rsidRPr="007605E6">
        <w:rPr>
          <w:rStyle w:val="Hyperlink"/>
          <w:rFonts w:eastAsia="MS PGothic" w:cs="Times New Roman"/>
          <w:sz w:val="16"/>
          <w:szCs w:val="16"/>
        </w:rPr>
        <w:t>https://publikacije.stat.gov.rs/G2022/HtmlL/G20221287.html</w:t>
      </w:r>
    </w:p>
  </w:footnote>
  <w:footnote w:id="30">
    <w:p w14:paraId="6F080E36"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lang w:val="sr-Latn-RS"/>
        </w:rPr>
        <w:t xml:space="preserve"> </w:t>
      </w:r>
      <w:r w:rsidRPr="007605E6">
        <w:rPr>
          <w:rFonts w:cs="Times New Roman"/>
          <w:sz w:val="16"/>
          <w:szCs w:val="16"/>
          <w:lang w:val="sr-Cyrl-RS"/>
        </w:rPr>
        <w:t>Извор:</w:t>
      </w:r>
      <w:r w:rsidRPr="007605E6">
        <w:rPr>
          <w:rFonts w:cs="Times New Roman"/>
          <w:sz w:val="16"/>
          <w:szCs w:val="16"/>
          <w:lang w:val="sr-Latn-RS"/>
        </w:rPr>
        <w:t xml:space="preserve"> EUROSTAT</w:t>
      </w:r>
      <w:r w:rsidRPr="007605E6">
        <w:rPr>
          <w:rFonts w:cs="Times New Roman"/>
          <w:sz w:val="16"/>
          <w:szCs w:val="16"/>
          <w:lang w:val="sr-Cyrl-RS"/>
        </w:rPr>
        <w:t xml:space="preserve">: </w:t>
      </w:r>
      <w:r w:rsidRPr="00ED23D8">
        <w:rPr>
          <w:rFonts w:cs="Times New Roman"/>
          <w:i/>
          <w:sz w:val="16"/>
          <w:szCs w:val="16"/>
          <w:lang w:val="sr-Latn-RS"/>
        </w:rPr>
        <w:t>A</w:t>
      </w:r>
      <w:r w:rsidRPr="00ED23D8">
        <w:rPr>
          <w:rFonts w:cs="Times New Roman"/>
          <w:i/>
          <w:sz w:val="16"/>
          <w:szCs w:val="16"/>
        </w:rPr>
        <w:t>t-risk-of-poverty</w:t>
      </w:r>
      <w:r w:rsidRPr="00ED23D8">
        <w:rPr>
          <w:rFonts w:cs="Times New Roman"/>
          <w:i/>
          <w:sz w:val="16"/>
          <w:szCs w:val="16"/>
          <w:lang w:val="sr-Latn-RS"/>
        </w:rPr>
        <w:t xml:space="preserve"> rate</w:t>
      </w:r>
      <w:r w:rsidRPr="007605E6">
        <w:rPr>
          <w:rFonts w:cs="Times New Roman"/>
          <w:sz w:val="16"/>
          <w:szCs w:val="16"/>
        </w:rPr>
        <w:t xml:space="preserve"> </w:t>
      </w:r>
      <w:hyperlink r:id="rId7" w:history="1">
        <w:r w:rsidRPr="007605E6">
          <w:rPr>
            <w:rStyle w:val="Hyperlink"/>
            <w:rFonts w:eastAsia="MS PGothic" w:cs="Times New Roman"/>
            <w:sz w:val="16"/>
            <w:szCs w:val="16"/>
            <w:lang w:val="sr-Latn-RS"/>
          </w:rPr>
          <w:t>At-risk-of-poverty rate - Products Datasets - Eurostat (europa.eu)</w:t>
        </w:r>
      </w:hyperlink>
    </w:p>
  </w:footnote>
  <w:footnote w:id="31">
    <w:p w14:paraId="23161638" w14:textId="77777777" w:rsidR="008F5C3A" w:rsidRPr="007605E6" w:rsidRDefault="008F5C3A" w:rsidP="00D210F0">
      <w:pPr>
        <w:spacing w:after="0"/>
        <w:rPr>
          <w:rFonts w:cs="Times New Roman"/>
          <w:sz w:val="16"/>
          <w:szCs w:val="16"/>
          <w:lang w:val="sr-Latn-RS"/>
        </w:rPr>
      </w:pPr>
      <w:r w:rsidRPr="007605E6">
        <w:rPr>
          <w:rStyle w:val="FootnoteReference"/>
          <w:rFonts w:cs="Times New Roman"/>
          <w:sz w:val="16"/>
          <w:szCs w:val="16"/>
        </w:rPr>
        <w:footnoteRef/>
      </w:r>
      <w:r w:rsidRPr="007605E6">
        <w:rPr>
          <w:rFonts w:cs="Times New Roman"/>
          <w:sz w:val="16"/>
          <w:szCs w:val="16"/>
          <w:lang w:val="sr-Cyrl-RS"/>
        </w:rPr>
        <w:t xml:space="preserve"> Извор: Анкета о приходима и условима живота 2021</w:t>
      </w:r>
      <w:r w:rsidRPr="007605E6">
        <w:rPr>
          <w:rFonts w:cs="Times New Roman"/>
          <w:sz w:val="16"/>
          <w:szCs w:val="16"/>
          <w:lang w:val="sr-Latn-RS"/>
        </w:rPr>
        <w:t xml:space="preserve">. </w:t>
      </w:r>
      <w:r w:rsidRPr="007605E6">
        <w:rPr>
          <w:rStyle w:val="Hyperlink"/>
          <w:rFonts w:eastAsia="MS PGothic" w:cs="Times New Roman"/>
          <w:sz w:val="16"/>
          <w:szCs w:val="16"/>
        </w:rPr>
        <w:t>https://publikacije.stat.gov.rs/G2022/HtmlL/G20221287.html</w:t>
      </w:r>
    </w:p>
  </w:footnote>
  <w:footnote w:id="32">
    <w:p w14:paraId="215F2BB3"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lang w:val="fr-FR"/>
        </w:rPr>
        <w:t xml:space="preserve"> </w:t>
      </w:r>
      <w:r w:rsidRPr="007605E6">
        <w:rPr>
          <w:rFonts w:cs="Times New Roman"/>
          <w:sz w:val="16"/>
          <w:szCs w:val="16"/>
          <w:lang w:val="sr-Cyrl-RS"/>
        </w:rPr>
        <w:t>Извор:</w:t>
      </w:r>
      <w:r w:rsidRPr="007605E6">
        <w:rPr>
          <w:rFonts w:cs="Times New Roman"/>
          <w:sz w:val="16"/>
          <w:szCs w:val="16"/>
          <w:lang w:val="sr-Latn-RS"/>
        </w:rPr>
        <w:t xml:space="preserve"> GINI </w:t>
      </w:r>
      <w:r w:rsidRPr="007605E6">
        <w:rPr>
          <w:rFonts w:cs="Times New Roman"/>
          <w:sz w:val="16"/>
          <w:szCs w:val="16"/>
          <w:lang w:val="fr-FR"/>
        </w:rPr>
        <w:t xml:space="preserve">Coefficient. </w:t>
      </w:r>
      <w:r w:rsidRPr="007605E6">
        <w:rPr>
          <w:rStyle w:val="Hyperlink"/>
          <w:rFonts w:eastAsia="MS PGothic" w:cs="Times New Roman"/>
          <w:sz w:val="16"/>
          <w:szCs w:val="16"/>
          <w:lang w:val="sr-Cyrl-RS"/>
        </w:rPr>
        <w:t xml:space="preserve">, </w:t>
      </w:r>
      <w:hyperlink r:id="rId8" w:history="1">
        <w:r w:rsidRPr="007605E6">
          <w:rPr>
            <w:rStyle w:val="Hyperlink"/>
            <w:rFonts w:eastAsia="MS PGothic" w:cs="Times New Roman"/>
            <w:sz w:val="16"/>
            <w:szCs w:val="16"/>
            <w:lang w:val="sr-Cyrl-RS"/>
          </w:rPr>
          <w:t>https://ec.europa.eu/eurostat/databrowser/view/tessi190/default/table?lang=en</w:t>
        </w:r>
      </w:hyperlink>
      <w:r w:rsidRPr="007605E6">
        <w:rPr>
          <w:rStyle w:val="Hyperlink"/>
          <w:rFonts w:eastAsia="MS PGothic" w:cs="Times New Roman"/>
          <w:sz w:val="16"/>
          <w:szCs w:val="16"/>
          <w:lang w:val="sr-Cyrl-RS"/>
        </w:rPr>
        <w:t xml:space="preserve"> </w:t>
      </w:r>
    </w:p>
  </w:footnote>
  <w:footnote w:id="33">
    <w:p w14:paraId="5B1C4532" w14:textId="3F70341F"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lang w:val="sr-Cyrl-RS"/>
        </w:rPr>
        <w:t xml:space="preserve"> Извор:</w:t>
      </w:r>
      <w:r w:rsidRPr="007605E6">
        <w:rPr>
          <w:rFonts w:cs="Times New Roman"/>
          <w:sz w:val="16"/>
          <w:szCs w:val="16"/>
          <w:lang w:val="sr-Latn-RS"/>
        </w:rPr>
        <w:t xml:space="preserve"> </w:t>
      </w:r>
      <w:r w:rsidRPr="007605E6">
        <w:rPr>
          <w:rFonts w:cs="Times New Roman"/>
          <w:sz w:val="16"/>
          <w:szCs w:val="16"/>
          <w:lang w:val="sr-Cyrl-RS"/>
        </w:rPr>
        <w:t>М</w:t>
      </w:r>
      <w:r>
        <w:rPr>
          <w:rFonts w:cs="Times New Roman"/>
          <w:sz w:val="16"/>
          <w:szCs w:val="16"/>
          <w:lang w:val="sr-Cyrl-RS"/>
        </w:rPr>
        <w:t>инистарство финансија</w:t>
      </w:r>
      <w:r w:rsidRPr="007605E6">
        <w:rPr>
          <w:rFonts w:cs="Times New Roman"/>
          <w:sz w:val="16"/>
          <w:szCs w:val="16"/>
          <w:lang w:val="sr-Cyrl-RS"/>
        </w:rPr>
        <w:t xml:space="preserve">, Консолидовани биланс државе. </w:t>
      </w:r>
      <w:hyperlink r:id="rId9" w:history="1">
        <w:r w:rsidRPr="007605E6">
          <w:rPr>
            <w:rStyle w:val="Hyperlink"/>
            <w:rFonts w:eastAsia="MS PGothic" w:cs="Times New Roman"/>
            <w:sz w:val="16"/>
            <w:szCs w:val="16"/>
            <w:lang w:val="sr-Cyrl-RS"/>
          </w:rPr>
          <w:t>https://www.mfin.gov.rs/dokumenti2/makroekonomski-i-fiskalni-podaci</w:t>
        </w:r>
      </w:hyperlink>
      <w:r w:rsidRPr="007605E6">
        <w:rPr>
          <w:rFonts w:cs="Times New Roman"/>
          <w:sz w:val="16"/>
          <w:szCs w:val="16"/>
          <w:lang w:val="sr-Cyrl-RS"/>
        </w:rPr>
        <w:t xml:space="preserve"> </w:t>
      </w:r>
    </w:p>
  </w:footnote>
  <w:footnote w:id="34">
    <w:p w14:paraId="669780D4" w14:textId="4E8C5A55" w:rsidR="008F5C3A" w:rsidRPr="007605E6" w:rsidRDefault="008F5C3A" w:rsidP="00DB0B7B">
      <w:pPr>
        <w:spacing w:after="0"/>
        <w:jc w:val="left"/>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lang w:val="sr-Cyrl-RS"/>
        </w:rPr>
        <w:t xml:space="preserve"> Извор: М</w:t>
      </w:r>
      <w:r>
        <w:rPr>
          <w:rFonts w:cs="Times New Roman"/>
          <w:sz w:val="16"/>
          <w:szCs w:val="16"/>
          <w:lang w:val="sr-Cyrl-RS"/>
        </w:rPr>
        <w:t>инистарство финансија</w:t>
      </w:r>
      <w:r w:rsidRPr="007605E6">
        <w:rPr>
          <w:rFonts w:cs="Times New Roman"/>
          <w:sz w:val="16"/>
          <w:szCs w:val="16"/>
          <w:lang w:val="sr-Cyrl-RS"/>
        </w:rPr>
        <w:t xml:space="preserve">, Консолидовани биланс државе. </w:t>
      </w:r>
      <w:hyperlink r:id="rId10" w:history="1">
        <w:r w:rsidRPr="007605E6">
          <w:rPr>
            <w:rStyle w:val="Hyperlink"/>
            <w:rFonts w:eastAsia="MS PGothic" w:cs="Times New Roman"/>
            <w:sz w:val="16"/>
            <w:szCs w:val="16"/>
            <w:lang w:val="sr-Cyrl-RS"/>
          </w:rPr>
          <w:t>https://www.mfin.gov.rs/dokumenti2/makroekonomski-i-fiskalni-podaci</w:t>
        </w:r>
      </w:hyperlink>
      <w:r w:rsidRPr="007605E6">
        <w:rPr>
          <w:rFonts w:cs="Times New Roman"/>
          <w:sz w:val="16"/>
          <w:szCs w:val="16"/>
          <w:lang w:val="sr-Cyrl-RS"/>
        </w:rPr>
        <w:t xml:space="preserve"> </w:t>
      </w:r>
    </w:p>
  </w:footnote>
  <w:footnote w:id="35">
    <w:p w14:paraId="5D3633E8" w14:textId="33702915" w:rsidR="008F5C3A" w:rsidRPr="007605E6" w:rsidRDefault="008F5C3A" w:rsidP="00DB0B7B">
      <w:pPr>
        <w:spacing w:after="0"/>
        <w:jc w:val="left"/>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rPr>
        <w:t xml:space="preserve"> </w:t>
      </w:r>
      <w:r w:rsidRPr="007605E6">
        <w:rPr>
          <w:rFonts w:cs="Times New Roman"/>
          <w:sz w:val="16"/>
          <w:szCs w:val="16"/>
          <w:lang w:val="sr-Cyrl-RS"/>
        </w:rPr>
        <w:t>Извор: М</w:t>
      </w:r>
      <w:r>
        <w:rPr>
          <w:rFonts w:cs="Times New Roman"/>
          <w:sz w:val="16"/>
          <w:szCs w:val="16"/>
          <w:lang w:val="sr-Cyrl-RS"/>
        </w:rPr>
        <w:t>инистарство трговине, туризма и телекомуникација</w:t>
      </w:r>
      <w:r w:rsidRPr="007605E6">
        <w:rPr>
          <w:rFonts w:cs="Times New Roman"/>
          <w:sz w:val="16"/>
          <w:szCs w:val="16"/>
          <w:lang w:val="sr-Cyrl-RS"/>
        </w:rPr>
        <w:t>,</w:t>
      </w:r>
      <w:r>
        <w:rPr>
          <w:rFonts w:cs="Times New Roman"/>
          <w:sz w:val="16"/>
          <w:szCs w:val="16"/>
          <w:lang w:val="sr-Cyrl-RS"/>
        </w:rPr>
        <w:t xml:space="preserve"> </w:t>
      </w:r>
      <w:hyperlink r:id="rId11" w:history="1">
        <w:r w:rsidRPr="007605E6">
          <w:rPr>
            <w:rStyle w:val="Hyperlink"/>
            <w:rFonts w:cs="Times New Roman"/>
            <w:sz w:val="16"/>
            <w:szCs w:val="16"/>
            <w:lang w:val="sr-Cyrl-RS"/>
          </w:rPr>
          <w:t>https://mtt.gov.rs/extfile/sr/36972/KUPOVNA%20MOC%20maj%2020221.pdf</w:t>
        </w:r>
      </w:hyperlink>
      <w:r w:rsidRPr="007605E6">
        <w:rPr>
          <w:rFonts w:cs="Times New Roman"/>
          <w:sz w:val="16"/>
          <w:szCs w:val="16"/>
          <w:lang w:val="sr-Cyrl-RS"/>
        </w:rPr>
        <w:t xml:space="preserve"> </w:t>
      </w:r>
    </w:p>
  </w:footnote>
  <w:footnote w:id="36">
    <w:p w14:paraId="037244E5" w14:textId="77777777" w:rsidR="008F5C3A" w:rsidRPr="007605E6" w:rsidRDefault="008F5C3A" w:rsidP="00DB0B7B">
      <w:pPr>
        <w:spacing w:after="0"/>
        <w:jc w:val="left"/>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rPr>
        <w:t xml:space="preserve"> </w:t>
      </w:r>
      <w:r w:rsidRPr="007605E6">
        <w:rPr>
          <w:rFonts w:cs="Times New Roman"/>
          <w:sz w:val="16"/>
          <w:szCs w:val="16"/>
          <w:lang w:val="sr-Cyrl-RS"/>
        </w:rPr>
        <w:t xml:space="preserve">Извор: РЗС, Сиромаштво и социјална неједнакост, 2021. </w:t>
      </w:r>
      <w:r w:rsidRPr="007605E6">
        <w:rPr>
          <w:rStyle w:val="Hyperlink"/>
          <w:rFonts w:eastAsia="MS PGothic" w:cs="Times New Roman"/>
          <w:sz w:val="16"/>
          <w:szCs w:val="16"/>
        </w:rPr>
        <w:t>https://publikacije.stat.gov.rs/G2022/HtmlL/G20221287.html</w:t>
      </w:r>
    </w:p>
  </w:footnote>
  <w:footnote w:id="37">
    <w:p w14:paraId="175A032E" w14:textId="77777777" w:rsidR="008F5C3A" w:rsidRPr="00D210F0" w:rsidRDefault="008F5C3A" w:rsidP="00D210F0">
      <w:pPr>
        <w:spacing w:after="0"/>
        <w:rPr>
          <w:sz w:val="16"/>
          <w:szCs w:val="16"/>
          <w:lang w:val="sr-Cyrl-RS"/>
        </w:rPr>
      </w:pPr>
      <w:r w:rsidRPr="00D210F0">
        <w:rPr>
          <w:rStyle w:val="FootnoteReference"/>
          <w:sz w:val="16"/>
          <w:szCs w:val="16"/>
        </w:rPr>
        <w:footnoteRef/>
      </w:r>
      <w:r w:rsidRPr="00D210F0">
        <w:rPr>
          <w:sz w:val="16"/>
          <w:szCs w:val="16"/>
        </w:rPr>
        <w:t xml:space="preserve"> Полазну основу за доношење овог Програма чине Анализа постојећег стања у области социјалног предузетништва у Републици Србији</w:t>
      </w:r>
      <w:r w:rsidRPr="00D210F0">
        <w:rPr>
          <w:sz w:val="16"/>
          <w:szCs w:val="16"/>
          <w:lang w:val="sr-Cyrl-RS"/>
        </w:rPr>
        <w:t>,</w:t>
      </w:r>
      <w:r w:rsidRPr="00D210F0">
        <w:rPr>
          <w:sz w:val="16"/>
          <w:szCs w:val="16"/>
        </w:rPr>
        <w:t xml:space="preserve"> као и анализа правног оквира о значају и примени Закона о социјалном предузетништву</w:t>
      </w:r>
      <w:r w:rsidRPr="00D210F0">
        <w:rPr>
          <w:sz w:val="16"/>
          <w:szCs w:val="16"/>
          <w:lang w:val="sr-Cyrl-RS"/>
        </w:rPr>
        <w:t>, које су израђене у претходном периоду.</w:t>
      </w:r>
    </w:p>
  </w:footnote>
  <w:footnote w:id="38">
    <w:p w14:paraId="7338CA75" w14:textId="77777777" w:rsidR="008F5C3A" w:rsidRPr="007605E6" w:rsidRDefault="008F5C3A" w:rsidP="00A735B6">
      <w:pPr>
        <w:spacing w:after="0"/>
        <w:jc w:val="left"/>
        <w:rPr>
          <w:rFonts w:cs="Times New Roman"/>
          <w:sz w:val="16"/>
          <w:szCs w:val="16"/>
          <w:lang w:val="sr-Latn-RS"/>
        </w:rPr>
      </w:pPr>
      <w:r w:rsidRPr="007605E6">
        <w:rPr>
          <w:rStyle w:val="FootnoteReference"/>
          <w:rFonts w:cs="Times New Roman"/>
          <w:sz w:val="16"/>
          <w:szCs w:val="16"/>
          <w:lang w:val="sr-Latn-RS"/>
        </w:rPr>
        <w:footnoteRef/>
      </w:r>
      <w:r w:rsidRPr="007605E6">
        <w:rPr>
          <w:rFonts w:cs="Times New Roman"/>
          <w:sz w:val="16"/>
          <w:szCs w:val="16"/>
          <w:lang w:val="sr-Latn-RS"/>
        </w:rPr>
        <w:t xml:space="preserve"> Извор: Индекс родне равноправности у Републици Србији 2021. - инструмент којим се мери напредак у постизању родне равноправности у земљама ЕУ и земљама кандидатима за чланство у ЕУ. Равноправност се мери на скали од 1, што представља пуну неравноправност, до 100, што представља пуну равноправност. </w:t>
      </w:r>
      <w:hyperlink r:id="rId12" w:history="1">
        <w:r w:rsidRPr="007605E6">
          <w:rPr>
            <w:rStyle w:val="Hyperlink"/>
            <w:rFonts w:cs="Times New Roman"/>
            <w:sz w:val="16"/>
            <w:szCs w:val="16"/>
            <w:lang w:val="sr-Latn-RS"/>
          </w:rPr>
          <w:t>https://www.stat.gov.rs/media/343261/indeks_rodne_ravnopravnosti_u_rs_2021.pdf</w:t>
        </w:r>
      </w:hyperlink>
    </w:p>
  </w:footnote>
  <w:footnote w:id="39">
    <w:p w14:paraId="64BBE708" w14:textId="77777777" w:rsidR="008F5C3A" w:rsidRPr="007605E6" w:rsidRDefault="008F5C3A" w:rsidP="00D210F0">
      <w:pPr>
        <w:spacing w:after="0"/>
        <w:rPr>
          <w:rFonts w:cs="Times New Roman"/>
          <w:sz w:val="16"/>
          <w:szCs w:val="16"/>
          <w:lang w:val="sr-Latn-RS"/>
        </w:rPr>
      </w:pPr>
      <w:r w:rsidRPr="007605E6">
        <w:rPr>
          <w:rStyle w:val="FootnoteReference"/>
          <w:rFonts w:cs="Times New Roman"/>
          <w:sz w:val="16"/>
          <w:szCs w:val="16"/>
          <w:lang w:val="sr-Latn-RS"/>
        </w:rPr>
        <w:footnoteRef/>
      </w:r>
      <w:r w:rsidRPr="007605E6">
        <w:rPr>
          <w:rFonts w:cs="Times New Roman"/>
          <w:sz w:val="16"/>
          <w:szCs w:val="16"/>
          <w:lang w:val="sr-Latn-RS"/>
        </w:rPr>
        <w:t xml:space="preserve"> Индекс родне равноправности за 2021. годину не приказује последице пандемије по родну равноправност, јер се подаци на основу којих је конструисан индекс односе на период пре пандемије односно на 2018. годину.</w:t>
      </w:r>
    </w:p>
  </w:footnote>
  <w:footnote w:id="40">
    <w:p w14:paraId="179B19EA" w14:textId="77777777" w:rsidR="008F5C3A" w:rsidRPr="007605E6" w:rsidRDefault="008F5C3A" w:rsidP="00D210F0">
      <w:pPr>
        <w:spacing w:after="0"/>
        <w:rPr>
          <w:rFonts w:cs="Times New Roman"/>
          <w:sz w:val="16"/>
          <w:szCs w:val="16"/>
          <w:lang w:val="sr-Latn-RS"/>
        </w:rPr>
      </w:pPr>
      <w:r w:rsidRPr="007605E6">
        <w:rPr>
          <w:rStyle w:val="FootnoteReference"/>
          <w:rFonts w:cs="Times New Roman"/>
          <w:sz w:val="16"/>
          <w:szCs w:val="16"/>
          <w:lang w:val="sr-Latn-RS"/>
        </w:rPr>
        <w:footnoteRef/>
      </w:r>
      <w:r w:rsidRPr="007605E6">
        <w:rPr>
          <w:rFonts w:cs="Times New Roman"/>
          <w:sz w:val="16"/>
          <w:szCs w:val="16"/>
          <w:lang w:val="sr-Latn-RS"/>
        </w:rPr>
        <w:t xml:space="preserve"> Извор: Gender Equality Index EU 2021. Подаци за овај индекс су углавном из 2019. године. </w:t>
      </w:r>
      <w:hyperlink r:id="rId13" w:history="1">
        <w:r w:rsidRPr="007605E6">
          <w:rPr>
            <w:rStyle w:val="Hyperlink"/>
            <w:rFonts w:cs="Times New Roman"/>
            <w:sz w:val="16"/>
            <w:szCs w:val="16"/>
            <w:lang w:val="sr-Latn-RS"/>
          </w:rPr>
          <w:t>https://eige.europa.eu/gender-equality-index/2021</w:t>
        </w:r>
      </w:hyperlink>
    </w:p>
  </w:footnote>
  <w:footnote w:id="41">
    <w:p w14:paraId="343DF116" w14:textId="77777777" w:rsidR="008F5C3A" w:rsidRPr="007605E6" w:rsidRDefault="008F5C3A" w:rsidP="00D210F0">
      <w:pPr>
        <w:spacing w:after="0"/>
        <w:rPr>
          <w:rFonts w:cs="Times New Roman"/>
          <w:sz w:val="16"/>
          <w:szCs w:val="16"/>
          <w:lang w:val="sr-Latn-RS"/>
        </w:rPr>
      </w:pPr>
      <w:r w:rsidRPr="007605E6">
        <w:rPr>
          <w:rStyle w:val="FootnoteReference"/>
          <w:rFonts w:cs="Times New Roman"/>
          <w:sz w:val="16"/>
          <w:szCs w:val="16"/>
          <w:lang w:val="sr-Latn-RS"/>
        </w:rPr>
        <w:footnoteRef/>
      </w:r>
      <w:r w:rsidRPr="007605E6">
        <w:rPr>
          <w:rFonts w:cs="Times New Roman"/>
          <w:sz w:val="16"/>
          <w:szCs w:val="16"/>
          <w:lang w:val="sr-Latn-RS"/>
        </w:rPr>
        <w:t xml:space="preserve"> Овај домен се од првог мерења Индекса родне равноправности заснива на истим подацима из 2015. године. Истраживања Eurofound-а, EWCS и EQLS на основу којих се мери овај домен, а која је требало да буду спроведена 2020</w:t>
      </w:r>
      <w:r>
        <w:rPr>
          <w:rFonts w:cs="Times New Roman"/>
          <w:sz w:val="16"/>
          <w:szCs w:val="16"/>
          <w:lang w:val="sr-Latn-RS"/>
        </w:rPr>
        <w:t>. године, одложена су за 2021.</w:t>
      </w:r>
      <w:r w:rsidRPr="007605E6">
        <w:rPr>
          <w:rFonts w:cs="Times New Roman"/>
          <w:sz w:val="16"/>
          <w:szCs w:val="16"/>
          <w:lang w:val="sr-Latn-RS"/>
        </w:rPr>
        <w:t xml:space="preserve"> због пандемије.</w:t>
      </w:r>
    </w:p>
  </w:footnote>
  <w:footnote w:id="42">
    <w:p w14:paraId="4756B2FB"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rPr>
        <w:t xml:space="preserve"> </w:t>
      </w:r>
      <w:r w:rsidRPr="007605E6">
        <w:rPr>
          <w:rFonts w:cs="Times New Roman"/>
          <w:sz w:val="16"/>
          <w:szCs w:val="16"/>
          <w:lang w:val="sr-Cyrl-RS"/>
        </w:rPr>
        <w:t>Периоди раста вредности индекса се смењују са периодима опадања вредности индекса: 2014.-56,9; 2016.-57,3; 2018.-56.</w:t>
      </w:r>
    </w:p>
  </w:footnote>
  <w:footnote w:id="43">
    <w:p w14:paraId="641D26CA" w14:textId="77777777" w:rsidR="008F5C3A" w:rsidRPr="00312432" w:rsidRDefault="008F5C3A" w:rsidP="00D210F0">
      <w:pPr>
        <w:spacing w:after="0"/>
        <w:rPr>
          <w:rFonts w:cs="Times New Roman"/>
          <w:sz w:val="16"/>
          <w:szCs w:val="16"/>
          <w:lang w:val="sr-Cyrl-RS"/>
        </w:rPr>
      </w:pPr>
      <w:r w:rsidRPr="00312432">
        <w:rPr>
          <w:rStyle w:val="FootnoteReference"/>
          <w:rFonts w:cs="Times New Roman"/>
          <w:sz w:val="16"/>
          <w:szCs w:val="16"/>
        </w:rPr>
        <w:footnoteRef/>
      </w:r>
      <w:r w:rsidRPr="00312432">
        <w:rPr>
          <w:rFonts w:cs="Times New Roman"/>
          <w:sz w:val="16"/>
          <w:szCs w:val="16"/>
        </w:rPr>
        <w:t xml:space="preserve"> </w:t>
      </w:r>
      <w:r w:rsidRPr="00312432">
        <w:rPr>
          <w:rFonts w:cs="Times New Roman"/>
          <w:sz w:val="16"/>
          <w:szCs w:val="16"/>
          <w:lang w:val="sr-Cyrl-RS"/>
        </w:rPr>
        <w:t>Извор: РЗС, Анкета о радној снази - од 2021. године спроводи се према новој методологији. Како би се обезбедила упоредивост основних показатеља за период пре 2021. године РЗС је извршио ревизију најважнијих индикатора. С обзиром на то да ревизија података уназад обухвата само основне индикаторе и да је скуп прикупљених података из пилот истраживања ограниченог обима, изостаје могућност дубље и прецизније структурне анализе промена на тржишту рада.</w:t>
      </w:r>
    </w:p>
  </w:footnote>
  <w:footnote w:id="44">
    <w:p w14:paraId="4D660AE5" w14:textId="77777777" w:rsidR="008F5C3A" w:rsidRPr="00312432" w:rsidRDefault="008F5C3A" w:rsidP="00D210F0">
      <w:pPr>
        <w:spacing w:after="0"/>
        <w:rPr>
          <w:rFonts w:cs="Times New Roman"/>
          <w:sz w:val="16"/>
          <w:szCs w:val="16"/>
          <w:lang w:val="sr-Cyrl-RS"/>
        </w:rPr>
      </w:pPr>
      <w:r w:rsidRPr="00312432">
        <w:rPr>
          <w:rStyle w:val="FootnoteReference"/>
          <w:rFonts w:cs="Times New Roman"/>
          <w:sz w:val="16"/>
          <w:szCs w:val="16"/>
        </w:rPr>
        <w:footnoteRef/>
      </w:r>
      <w:r w:rsidRPr="00312432">
        <w:rPr>
          <w:rFonts w:cs="Times New Roman"/>
          <w:sz w:val="16"/>
          <w:szCs w:val="16"/>
        </w:rPr>
        <w:t xml:space="preserve"> </w:t>
      </w:r>
      <w:r w:rsidRPr="00312432">
        <w:rPr>
          <w:rFonts w:cs="Times New Roman"/>
          <w:sz w:val="16"/>
          <w:szCs w:val="16"/>
          <w:lang w:val="sr-Cyrl-RS"/>
        </w:rPr>
        <w:t>Извор: РЗС, Анкета о радној снази</w:t>
      </w:r>
    </w:p>
  </w:footnote>
  <w:footnote w:id="45">
    <w:p w14:paraId="5EBCC22A" w14:textId="77777777" w:rsidR="008F5C3A" w:rsidRPr="00312432" w:rsidRDefault="008F5C3A" w:rsidP="00D210F0">
      <w:pPr>
        <w:spacing w:after="0"/>
        <w:rPr>
          <w:rFonts w:cs="Times New Roman"/>
          <w:sz w:val="16"/>
          <w:szCs w:val="16"/>
          <w:lang w:val="sr-Cyrl-RS"/>
        </w:rPr>
      </w:pPr>
      <w:r w:rsidRPr="00312432">
        <w:rPr>
          <w:rStyle w:val="FootnoteReference"/>
          <w:rFonts w:cs="Times New Roman"/>
          <w:sz w:val="16"/>
          <w:szCs w:val="16"/>
        </w:rPr>
        <w:footnoteRef/>
      </w:r>
      <w:r w:rsidRPr="00312432">
        <w:rPr>
          <w:rFonts w:cs="Times New Roman"/>
          <w:sz w:val="16"/>
          <w:szCs w:val="16"/>
        </w:rPr>
        <w:t xml:space="preserve"> </w:t>
      </w:r>
      <w:r w:rsidRPr="00312432">
        <w:rPr>
          <w:rFonts w:cs="Times New Roman"/>
          <w:sz w:val="16"/>
          <w:szCs w:val="16"/>
          <w:lang w:val="sr-Cyrl-RS"/>
        </w:rPr>
        <w:t>Извор: РЗС, Анкета о радној снази</w:t>
      </w:r>
    </w:p>
  </w:footnote>
  <w:footnote w:id="46">
    <w:p w14:paraId="0A71B055" w14:textId="77777777" w:rsidR="008F5C3A" w:rsidRPr="00312432" w:rsidRDefault="008F5C3A" w:rsidP="00D210F0">
      <w:pPr>
        <w:spacing w:after="0"/>
        <w:rPr>
          <w:rFonts w:cs="Times New Roman"/>
          <w:sz w:val="16"/>
          <w:szCs w:val="16"/>
          <w:lang w:val="sr-Cyrl-RS"/>
        </w:rPr>
      </w:pPr>
      <w:r w:rsidRPr="00312432">
        <w:rPr>
          <w:rStyle w:val="FootnoteReference"/>
          <w:rFonts w:cs="Times New Roman"/>
          <w:sz w:val="16"/>
          <w:szCs w:val="16"/>
        </w:rPr>
        <w:footnoteRef/>
      </w:r>
      <w:r w:rsidRPr="00312432">
        <w:rPr>
          <w:rFonts w:cs="Times New Roman"/>
          <w:sz w:val="16"/>
          <w:szCs w:val="16"/>
        </w:rPr>
        <w:t xml:space="preserve"> </w:t>
      </w:r>
      <w:r w:rsidRPr="00312432">
        <w:rPr>
          <w:rFonts w:cs="Times New Roman"/>
          <w:sz w:val="16"/>
          <w:szCs w:val="16"/>
          <w:lang w:val="sr-Cyrl-RS"/>
        </w:rPr>
        <w:t>Извор: РЗС, Анкета о радној снази</w:t>
      </w:r>
    </w:p>
  </w:footnote>
  <w:footnote w:id="47">
    <w:p w14:paraId="46867602" w14:textId="77777777" w:rsidR="008F5C3A" w:rsidRPr="00312432" w:rsidRDefault="008F5C3A" w:rsidP="00D210F0">
      <w:pPr>
        <w:spacing w:after="0"/>
        <w:rPr>
          <w:rFonts w:cs="Times New Roman"/>
          <w:sz w:val="16"/>
          <w:szCs w:val="16"/>
          <w:lang w:val="sr-Cyrl-RS"/>
        </w:rPr>
      </w:pPr>
      <w:r w:rsidRPr="00312432">
        <w:rPr>
          <w:rStyle w:val="FootnoteReference"/>
          <w:rFonts w:cs="Times New Roman"/>
          <w:sz w:val="16"/>
          <w:szCs w:val="16"/>
        </w:rPr>
        <w:footnoteRef/>
      </w:r>
      <w:r w:rsidRPr="00312432">
        <w:rPr>
          <w:rFonts w:cs="Times New Roman"/>
          <w:sz w:val="16"/>
          <w:szCs w:val="16"/>
        </w:rPr>
        <w:t xml:space="preserve"> </w:t>
      </w:r>
      <w:r w:rsidRPr="00312432">
        <w:rPr>
          <w:rFonts w:cs="Times New Roman"/>
          <w:sz w:val="16"/>
          <w:szCs w:val="16"/>
          <w:lang w:val="sr-Cyrl-RS"/>
        </w:rPr>
        <w:t>Извор: РЗС, Анкета о радној снази</w:t>
      </w:r>
    </w:p>
  </w:footnote>
  <w:footnote w:id="48">
    <w:p w14:paraId="2F6A0F5B" w14:textId="77777777" w:rsidR="008F5C3A" w:rsidRPr="00312432" w:rsidRDefault="008F5C3A" w:rsidP="00D210F0">
      <w:pPr>
        <w:spacing w:after="0"/>
        <w:rPr>
          <w:rFonts w:cs="Times New Roman"/>
          <w:sz w:val="16"/>
          <w:szCs w:val="16"/>
          <w:lang w:val="sr-Cyrl-RS"/>
        </w:rPr>
      </w:pPr>
      <w:r w:rsidRPr="00312432">
        <w:rPr>
          <w:rStyle w:val="FootnoteReference"/>
          <w:rFonts w:cs="Times New Roman"/>
          <w:sz w:val="16"/>
          <w:szCs w:val="16"/>
        </w:rPr>
        <w:footnoteRef/>
      </w:r>
      <w:r w:rsidRPr="00312432">
        <w:rPr>
          <w:rFonts w:cs="Times New Roman"/>
          <w:sz w:val="16"/>
          <w:szCs w:val="16"/>
        </w:rPr>
        <w:t xml:space="preserve"> </w:t>
      </w:r>
      <w:r w:rsidRPr="00312432">
        <w:rPr>
          <w:rFonts w:cs="Times New Roman"/>
          <w:sz w:val="16"/>
          <w:szCs w:val="16"/>
          <w:lang w:val="sr-Cyrl-RS"/>
        </w:rPr>
        <w:t>Извор: РЗС, Анкета о радној снази</w:t>
      </w:r>
    </w:p>
  </w:footnote>
  <w:footnote w:id="49">
    <w:p w14:paraId="12DBEDBA"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rPr>
        <w:footnoteRef/>
      </w:r>
      <w:r w:rsidRPr="007953C6">
        <w:rPr>
          <w:rFonts w:cs="Times New Roman"/>
          <w:sz w:val="16"/>
          <w:szCs w:val="16"/>
        </w:rPr>
        <w:t xml:space="preserve"> </w:t>
      </w:r>
      <w:r w:rsidRPr="007953C6">
        <w:rPr>
          <w:rFonts w:cs="Times New Roman"/>
          <w:sz w:val="16"/>
          <w:szCs w:val="16"/>
          <w:lang w:val="sr-Cyrl-RS"/>
        </w:rPr>
        <w:t>Извор: РЗС, Анкета о радној снази</w:t>
      </w:r>
    </w:p>
  </w:footnote>
  <w:footnote w:id="50">
    <w:p w14:paraId="1A3BBFFB"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rPr>
        <w:footnoteRef/>
      </w:r>
      <w:r w:rsidRPr="007953C6">
        <w:rPr>
          <w:rFonts w:cs="Times New Roman"/>
          <w:sz w:val="16"/>
          <w:szCs w:val="16"/>
        </w:rPr>
        <w:t xml:space="preserve"> </w:t>
      </w:r>
      <w:r w:rsidRPr="007953C6">
        <w:rPr>
          <w:rFonts w:cs="Times New Roman"/>
          <w:sz w:val="16"/>
          <w:szCs w:val="16"/>
          <w:lang w:val="sr-Cyrl-RS"/>
        </w:rPr>
        <w:t xml:space="preserve">Извор: РЗС, Жене и мушкарци у Републици Србији, 2020 </w:t>
      </w:r>
      <w:hyperlink r:id="rId14" w:history="1">
        <w:r w:rsidRPr="007953C6">
          <w:rPr>
            <w:rStyle w:val="Hyperlink"/>
            <w:rFonts w:cs="Times New Roman"/>
            <w:sz w:val="16"/>
            <w:szCs w:val="16"/>
            <w:lang w:val="sr-Cyrl-RS"/>
          </w:rPr>
          <w:t>https://www.stat.gov.rs/media/5806/zim-u-rs-2020_webopt.pdf</w:t>
        </w:r>
      </w:hyperlink>
    </w:p>
  </w:footnote>
  <w:footnote w:id="51">
    <w:p w14:paraId="0140B7A2"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rPr>
        <w:footnoteRef/>
      </w:r>
      <w:r w:rsidRPr="007953C6">
        <w:rPr>
          <w:rFonts w:cs="Times New Roman"/>
          <w:sz w:val="16"/>
          <w:szCs w:val="16"/>
        </w:rPr>
        <w:t xml:space="preserve"> </w:t>
      </w:r>
      <w:r w:rsidRPr="007953C6">
        <w:rPr>
          <w:rFonts w:cs="Times New Roman"/>
          <w:sz w:val="16"/>
          <w:szCs w:val="16"/>
          <w:lang w:val="sr-Cyrl-RS"/>
        </w:rPr>
        <w:t>Извор: Пореска управа Републике Србије</w:t>
      </w:r>
    </w:p>
  </w:footnote>
  <w:footnote w:id="52">
    <w:p w14:paraId="2AD18537" w14:textId="14A64925"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rPr>
        <w:footnoteRef/>
      </w:r>
      <w:r w:rsidRPr="007953C6">
        <w:rPr>
          <w:rFonts w:cs="Times New Roman"/>
          <w:sz w:val="16"/>
          <w:szCs w:val="16"/>
        </w:rPr>
        <w:t xml:space="preserve"> </w:t>
      </w:r>
      <w:r w:rsidRPr="007953C6">
        <w:rPr>
          <w:rFonts w:cs="Times New Roman"/>
          <w:sz w:val="16"/>
          <w:szCs w:val="16"/>
          <w:lang w:val="sr-Cyrl-RS"/>
        </w:rPr>
        <w:t xml:space="preserve">Извор: Тим за социјално укључивање и </w:t>
      </w:r>
      <w:r w:rsidRPr="00D508CD">
        <w:rPr>
          <w:rFonts w:cs="Times New Roman"/>
          <w:sz w:val="16"/>
          <w:szCs w:val="16"/>
          <w:lang w:val="sr-Cyrl-RS"/>
        </w:rPr>
        <w:t>смањење сиромаштва Владе Р</w:t>
      </w:r>
      <w:r>
        <w:rPr>
          <w:rFonts w:cs="Times New Roman"/>
          <w:sz w:val="16"/>
          <w:szCs w:val="16"/>
          <w:lang w:val="sr-Cyrl-RS"/>
        </w:rPr>
        <w:t xml:space="preserve">епублике </w:t>
      </w:r>
      <w:r w:rsidRPr="00D508CD">
        <w:rPr>
          <w:rFonts w:cs="Times New Roman"/>
          <w:sz w:val="16"/>
          <w:szCs w:val="16"/>
          <w:lang w:val="sr-Cyrl-RS"/>
        </w:rPr>
        <w:t>С</w:t>
      </w:r>
      <w:r>
        <w:rPr>
          <w:rFonts w:cs="Times New Roman"/>
          <w:sz w:val="16"/>
          <w:szCs w:val="16"/>
          <w:lang w:val="sr-Cyrl-RS"/>
        </w:rPr>
        <w:t>рбије</w:t>
      </w:r>
      <w:r w:rsidRPr="00D508CD">
        <w:rPr>
          <w:rFonts w:cs="Times New Roman"/>
          <w:sz w:val="16"/>
          <w:szCs w:val="16"/>
          <w:lang w:val="sr-Cyrl-RS"/>
        </w:rPr>
        <w:t>,</w:t>
      </w:r>
      <w:r w:rsidRPr="007953C6">
        <w:rPr>
          <w:rFonts w:cs="Times New Roman"/>
          <w:sz w:val="16"/>
          <w:szCs w:val="16"/>
          <w:lang w:val="sr-Cyrl-RS"/>
        </w:rPr>
        <w:t xml:space="preserve"> Анализа примене афирмативних мера у области образовања Рома и Ромкиња и препоруке за унапређење мера, јун 2016.</w:t>
      </w:r>
    </w:p>
  </w:footnote>
  <w:footnote w:id="53">
    <w:p w14:paraId="42F04DC6"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lang w:val="sr-Cyrl-RS"/>
        </w:rPr>
        <w:footnoteRef/>
      </w:r>
      <w:r w:rsidRPr="007953C6">
        <w:rPr>
          <w:rFonts w:cs="Times New Roman"/>
          <w:sz w:val="16"/>
          <w:szCs w:val="16"/>
          <w:lang w:val="sr-Cyrl-RS"/>
        </w:rPr>
        <w:t xml:space="preserve"> Извор: РЗС, Статистика образовања</w:t>
      </w:r>
    </w:p>
  </w:footnote>
  <w:footnote w:id="54">
    <w:p w14:paraId="17E46C27" w14:textId="1DC2922C"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lang w:val="sr-Cyrl-RS"/>
        </w:rPr>
        <w:footnoteRef/>
      </w:r>
      <w:r w:rsidRPr="007953C6">
        <w:rPr>
          <w:rFonts w:cs="Times New Roman"/>
          <w:sz w:val="16"/>
          <w:szCs w:val="16"/>
          <w:lang w:val="sr-Cyrl-RS"/>
        </w:rPr>
        <w:t xml:space="preserve"> Стратегија развоја образовања и васпитања у Републици Србији до 2030. године („Службени гласник РС</w:t>
      </w:r>
      <w:r w:rsidRPr="003C1DFF">
        <w:rPr>
          <w:rFonts w:cs="Times New Roman"/>
          <w:sz w:val="16"/>
          <w:szCs w:val="16"/>
          <w:lang w:val="sr-Cyrl-RS"/>
        </w:rPr>
        <w:t>”</w:t>
      </w:r>
      <w:r w:rsidRPr="007953C6">
        <w:rPr>
          <w:rFonts w:cs="Times New Roman"/>
          <w:sz w:val="16"/>
          <w:szCs w:val="16"/>
          <w:lang w:val="sr-Cyrl-RS"/>
        </w:rPr>
        <w:t>, број 63/21)</w:t>
      </w:r>
    </w:p>
  </w:footnote>
  <w:footnote w:id="55">
    <w:p w14:paraId="3115CD6A"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lang w:val="sr-Cyrl-RS"/>
        </w:rPr>
        <w:footnoteRef/>
      </w:r>
      <w:r w:rsidRPr="007953C6">
        <w:rPr>
          <w:rFonts w:cs="Times New Roman"/>
          <w:sz w:val="16"/>
          <w:szCs w:val="16"/>
          <w:lang w:val="sr-Cyrl-RS"/>
        </w:rPr>
        <w:t xml:space="preserve"> Извор: РЗС, Истраживање вишеструких показатеља положаја жена и деце у Србији 2019 (</w:t>
      </w:r>
      <w:r w:rsidRPr="007953C6">
        <w:rPr>
          <w:rFonts w:cs="Times New Roman"/>
          <w:i/>
          <w:sz w:val="16"/>
          <w:szCs w:val="16"/>
          <w:lang w:val="sr-Cyrl-RS"/>
        </w:rPr>
        <w:t>Multiple Indicator Cluster Survey</w:t>
      </w:r>
      <w:r w:rsidRPr="007953C6">
        <w:rPr>
          <w:rFonts w:cs="Times New Roman"/>
          <w:sz w:val="16"/>
          <w:szCs w:val="16"/>
          <w:lang w:val="sr-Cyrl-RS"/>
        </w:rPr>
        <w:t xml:space="preserve"> – MICS), уз техничку и финансијску подршку УНИЦЕФ-а, Европске уније, УНФПА и Владе Републике Србије</w:t>
      </w:r>
    </w:p>
  </w:footnote>
  <w:footnote w:id="56">
    <w:p w14:paraId="2C762CA8"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lang w:val="sr-Cyrl-RS"/>
        </w:rPr>
        <w:footnoteRef/>
      </w:r>
      <w:r w:rsidRPr="007953C6">
        <w:rPr>
          <w:rFonts w:cs="Times New Roman"/>
          <w:sz w:val="16"/>
          <w:szCs w:val="16"/>
          <w:lang w:val="sr-Cyrl-RS"/>
        </w:rPr>
        <w:t xml:space="preserve"> Извор: РЗС, Истраживање вишеструких показатеља положаја жена и деце у Србији 2019 (</w:t>
      </w:r>
      <w:r w:rsidRPr="007953C6">
        <w:rPr>
          <w:rFonts w:cs="Times New Roman"/>
          <w:i/>
          <w:sz w:val="16"/>
          <w:szCs w:val="16"/>
          <w:lang w:val="sr-Cyrl-RS"/>
        </w:rPr>
        <w:t>Multiple Indicator Cluster Survey</w:t>
      </w:r>
      <w:r w:rsidRPr="007953C6">
        <w:rPr>
          <w:rFonts w:cs="Times New Roman"/>
          <w:sz w:val="16"/>
          <w:szCs w:val="16"/>
          <w:lang w:val="sr-Cyrl-RS"/>
        </w:rPr>
        <w:t xml:space="preserve"> – MICS), уз техничку и финансијску подршку УНИЦЕФ-а, Европске уније, УНФПА и Владе Републике Србије</w:t>
      </w:r>
    </w:p>
  </w:footnote>
  <w:footnote w:id="57">
    <w:p w14:paraId="4C9BF801"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rPr>
        <w:footnoteRef/>
      </w:r>
      <w:r w:rsidRPr="007953C6">
        <w:rPr>
          <w:rFonts w:cs="Times New Roman"/>
          <w:sz w:val="16"/>
          <w:szCs w:val="16"/>
        </w:rPr>
        <w:t xml:space="preserve"> </w:t>
      </w:r>
      <w:r w:rsidRPr="007953C6">
        <w:rPr>
          <w:rFonts w:cs="Times New Roman"/>
          <w:sz w:val="16"/>
          <w:szCs w:val="16"/>
          <w:lang w:val="sr-Cyrl-RS"/>
        </w:rPr>
        <w:t>Извор: РЗС, Статистика образовања</w:t>
      </w:r>
    </w:p>
  </w:footnote>
  <w:footnote w:id="58">
    <w:p w14:paraId="16862970"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rPr>
        <w:footnoteRef/>
      </w:r>
      <w:r w:rsidRPr="007953C6">
        <w:rPr>
          <w:rFonts w:cs="Times New Roman"/>
          <w:sz w:val="16"/>
          <w:szCs w:val="16"/>
        </w:rPr>
        <w:t xml:space="preserve"> </w:t>
      </w:r>
      <w:r w:rsidRPr="007953C6">
        <w:rPr>
          <w:rFonts w:cs="Times New Roman"/>
          <w:sz w:val="16"/>
          <w:szCs w:val="16"/>
          <w:lang w:val="sr-Cyrl-RS"/>
        </w:rPr>
        <w:t xml:space="preserve">Извор: РЗС, Жене и мушкарци у Републици Србији, 2020 </w:t>
      </w:r>
      <w:hyperlink r:id="rId15" w:history="1">
        <w:r w:rsidRPr="007953C6">
          <w:rPr>
            <w:rStyle w:val="Hyperlink"/>
            <w:rFonts w:cs="Times New Roman"/>
            <w:sz w:val="16"/>
            <w:szCs w:val="16"/>
            <w:lang w:val="sr-Cyrl-RS"/>
          </w:rPr>
          <w:t>https://www.stat.gov.rs/media/5806/zim-u-rs-2020_webopt.pdf</w:t>
        </w:r>
      </w:hyperlink>
    </w:p>
  </w:footnote>
  <w:footnote w:id="59">
    <w:p w14:paraId="33F076D2"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rPr>
        <w:footnoteRef/>
      </w:r>
      <w:r w:rsidRPr="007953C6">
        <w:rPr>
          <w:rFonts w:cs="Times New Roman"/>
          <w:sz w:val="16"/>
          <w:szCs w:val="16"/>
        </w:rPr>
        <w:t xml:space="preserve"> </w:t>
      </w:r>
      <w:r w:rsidRPr="007953C6">
        <w:rPr>
          <w:rFonts w:cs="Times New Roman"/>
          <w:sz w:val="16"/>
          <w:szCs w:val="16"/>
          <w:lang w:val="sr-Cyrl-RS"/>
        </w:rPr>
        <w:t xml:space="preserve">Извор: РЗС, Жене и мушкарци у Републици Србији, 2020 </w:t>
      </w:r>
      <w:hyperlink r:id="rId16" w:history="1">
        <w:r w:rsidRPr="007953C6">
          <w:rPr>
            <w:rStyle w:val="Hyperlink"/>
            <w:rFonts w:cs="Times New Roman"/>
            <w:sz w:val="16"/>
            <w:szCs w:val="16"/>
            <w:lang w:val="sr-Cyrl-RS"/>
          </w:rPr>
          <w:t>https://www.stat.gov.rs/media/5806/zim-u-rs-2020_webopt.pdf</w:t>
        </w:r>
      </w:hyperlink>
    </w:p>
  </w:footnote>
  <w:footnote w:id="60">
    <w:p w14:paraId="2B0B148E" w14:textId="77777777" w:rsidR="008F5C3A" w:rsidRPr="00D210F0" w:rsidRDefault="008F5C3A" w:rsidP="00D210F0">
      <w:pPr>
        <w:spacing w:after="0"/>
        <w:rPr>
          <w:sz w:val="16"/>
          <w:szCs w:val="16"/>
        </w:rPr>
      </w:pPr>
      <w:r w:rsidRPr="00D210F0">
        <w:rPr>
          <w:rStyle w:val="FootnoteReference"/>
          <w:sz w:val="16"/>
          <w:szCs w:val="16"/>
        </w:rPr>
        <w:footnoteRef/>
      </w:r>
      <w:r w:rsidRPr="00D210F0">
        <w:rPr>
          <w:sz w:val="16"/>
          <w:szCs w:val="16"/>
        </w:rPr>
        <w:t xml:space="preserve"> Годишњи извештаји о малим и средњим предузећима и предузетништву немају исказане податке о предузетништву жена.</w:t>
      </w:r>
    </w:p>
  </w:footnote>
  <w:footnote w:id="61">
    <w:p w14:paraId="6C8C7C04" w14:textId="77777777" w:rsidR="008F5C3A" w:rsidRPr="00D210F0" w:rsidRDefault="008F5C3A" w:rsidP="00D210F0">
      <w:pPr>
        <w:spacing w:after="0"/>
        <w:rPr>
          <w:sz w:val="16"/>
          <w:szCs w:val="16"/>
        </w:rPr>
      </w:pPr>
      <w:r w:rsidRPr="00D210F0">
        <w:rPr>
          <w:rStyle w:val="FootnoteReference"/>
          <w:sz w:val="16"/>
          <w:szCs w:val="16"/>
        </w:rPr>
        <w:footnoteRef/>
      </w:r>
      <w:r w:rsidRPr="00D210F0">
        <w:rPr>
          <w:sz w:val="16"/>
          <w:szCs w:val="16"/>
        </w:rPr>
        <w:t xml:space="preserve"> Извор: НАЛЕД, Родна анализа економских програма и финансијских мера у Србији, за потребе Канцеларије УН Wоmеn, 2018-2019</w:t>
      </w:r>
    </w:p>
  </w:footnote>
  <w:footnote w:id="62">
    <w:p w14:paraId="565652A1" w14:textId="77777777" w:rsidR="008F5C3A" w:rsidRPr="00D210F0" w:rsidRDefault="008F5C3A" w:rsidP="00D210F0">
      <w:pPr>
        <w:spacing w:after="0"/>
        <w:rPr>
          <w:sz w:val="16"/>
          <w:szCs w:val="16"/>
          <w:lang w:val="sr-Cyrl-RS"/>
        </w:rPr>
      </w:pPr>
      <w:r w:rsidRPr="00D210F0">
        <w:rPr>
          <w:rStyle w:val="FootnoteReference"/>
          <w:sz w:val="16"/>
          <w:szCs w:val="16"/>
        </w:rPr>
        <w:footnoteRef/>
      </w:r>
      <w:r w:rsidRPr="00D210F0">
        <w:rPr>
          <w:sz w:val="16"/>
          <w:szCs w:val="16"/>
        </w:rPr>
        <w:t xml:space="preserve"> Међу заменицима председника одбора је девет жена и 11 мушкараца, а међу секретарима одбора је чак 16 (80%) жена.</w:t>
      </w:r>
    </w:p>
  </w:footnote>
  <w:footnote w:id="63">
    <w:p w14:paraId="48ACBB7C" w14:textId="77777777" w:rsidR="008F5C3A" w:rsidRPr="005D14E2" w:rsidRDefault="008F5C3A" w:rsidP="005D14E2">
      <w:pPr>
        <w:spacing w:after="0"/>
        <w:rPr>
          <w:sz w:val="16"/>
          <w:szCs w:val="16"/>
        </w:rPr>
      </w:pPr>
      <w:r w:rsidRPr="005D14E2">
        <w:rPr>
          <w:rStyle w:val="FootnoteReference"/>
          <w:sz w:val="16"/>
          <w:szCs w:val="16"/>
        </w:rPr>
        <w:footnoteRef/>
      </w:r>
      <w:r w:rsidRPr="005D14E2">
        <w:rPr>
          <w:sz w:val="16"/>
          <w:szCs w:val="16"/>
        </w:rPr>
        <w:t xml:space="preserve"> </w:t>
      </w:r>
      <w:r w:rsidRPr="005D14E2">
        <w:rPr>
          <w:rFonts w:cs="Times New Roman"/>
          <w:sz w:val="16"/>
          <w:szCs w:val="16"/>
        </w:rPr>
        <w:t>M</w:t>
      </w:r>
      <w:r w:rsidRPr="005D14E2">
        <w:rPr>
          <w:rFonts w:cs="Times New Roman"/>
          <w:sz w:val="16"/>
          <w:szCs w:val="16"/>
          <w:lang w:val="sr-Cyrl-RS"/>
        </w:rPr>
        <w:t>лади који нису запослени и нису у процесу образовања нити су на обуци</w:t>
      </w:r>
      <w:r>
        <w:rPr>
          <w:rFonts w:cs="Times New Roman"/>
          <w:sz w:val="16"/>
          <w:szCs w:val="16"/>
          <w:lang w:val="sr-Cyrl-RS"/>
        </w:rPr>
        <w:t>.</w:t>
      </w:r>
    </w:p>
  </w:footnote>
  <w:footnote w:id="64">
    <w:p w14:paraId="25A16B73" w14:textId="77777777" w:rsidR="008F5C3A" w:rsidRPr="005C0DE5" w:rsidRDefault="008F5C3A" w:rsidP="001C075D">
      <w:pPr>
        <w:pStyle w:val="f1"/>
        <w:jc w:val="both"/>
        <w:rPr>
          <w:rFonts w:ascii="Times New Roman" w:hAnsi="Times New Roman" w:cs="Times New Roman"/>
          <w:sz w:val="16"/>
          <w:szCs w:val="16"/>
          <w:lang w:val="sr-Cyrl-RS"/>
        </w:rPr>
      </w:pPr>
      <w:r w:rsidRPr="005C0DE5">
        <w:rPr>
          <w:rStyle w:val="FootnoteReference"/>
          <w:rFonts w:ascii="Times New Roman" w:hAnsi="Times New Roman" w:cs="Times New Roman"/>
          <w:sz w:val="16"/>
          <w:szCs w:val="16"/>
        </w:rPr>
        <w:footnoteRef/>
      </w:r>
      <w:r w:rsidRPr="005C0DE5">
        <w:rPr>
          <w:rFonts w:ascii="Times New Roman" w:hAnsi="Times New Roman" w:cs="Times New Roman"/>
          <w:sz w:val="16"/>
          <w:szCs w:val="16"/>
        </w:rPr>
        <w:t xml:space="preserve"> </w:t>
      </w:r>
      <w:r>
        <w:rPr>
          <w:rFonts w:ascii="Times New Roman" w:hAnsi="Times New Roman" w:cs="Times New Roman"/>
          <w:sz w:val="16"/>
          <w:szCs w:val="16"/>
          <w:lang w:val="sr-Cyrl-RS"/>
        </w:rPr>
        <w:t xml:space="preserve">Извор: РЗС, </w:t>
      </w:r>
      <w:r w:rsidRPr="001C075D">
        <w:rPr>
          <w:rFonts w:ascii="Times New Roman" w:hAnsi="Times New Roman" w:cs="Times New Roman"/>
          <w:sz w:val="16"/>
          <w:szCs w:val="16"/>
          <w:lang w:val="sr-Cyrl-RS"/>
        </w:rPr>
        <w:t>Национални рачуни - Квартални национални рачуни</w:t>
      </w:r>
      <w:r>
        <w:rPr>
          <w:rFonts w:ascii="Times New Roman" w:hAnsi="Times New Roman" w:cs="Times New Roman"/>
          <w:sz w:val="16"/>
          <w:szCs w:val="16"/>
          <w:lang w:val="sr-Cyrl-RS"/>
        </w:rPr>
        <w:t xml:space="preserve"> </w:t>
      </w:r>
      <w:hyperlink r:id="rId17" w:history="1">
        <w:r w:rsidRPr="008E09DF">
          <w:rPr>
            <w:rStyle w:val="Hyperlink"/>
            <w:rFonts w:ascii="Times New Roman" w:hAnsi="Times New Roman" w:cs="Times New Roman"/>
            <w:sz w:val="16"/>
            <w:szCs w:val="16"/>
            <w:lang w:val="sr-Cyrl-RS"/>
          </w:rPr>
          <w:t>https://publikacije.stat.gov.rs/G2022/Html/G20221333.html</w:t>
        </w:r>
      </w:hyperlink>
    </w:p>
  </w:footnote>
  <w:footnote w:id="65">
    <w:p w14:paraId="3CA3E7BB" w14:textId="77777777" w:rsidR="008F5C3A" w:rsidRPr="005D14E2" w:rsidRDefault="008F5C3A" w:rsidP="005D14E2">
      <w:pPr>
        <w:pStyle w:val="f1"/>
        <w:jc w:val="both"/>
        <w:rPr>
          <w:rFonts w:ascii="Times New Roman" w:hAnsi="Times New Roman" w:cs="Times New Roman"/>
          <w:bCs/>
          <w:sz w:val="16"/>
          <w:szCs w:val="16"/>
          <w:lang w:val="sr-Cyrl-RS"/>
        </w:rPr>
      </w:pPr>
      <w:r w:rsidRPr="005D14E2">
        <w:rPr>
          <w:rStyle w:val="FootnoteReference"/>
          <w:rFonts w:ascii="Times New Roman" w:hAnsi="Times New Roman" w:cs="Times New Roman"/>
          <w:bCs/>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bCs/>
          <w:sz w:val="16"/>
          <w:szCs w:val="16"/>
          <w:lang w:val="sr-Cyrl-RS"/>
        </w:rPr>
        <w:t>У јуну 2022. почела је израда две нове уредбе: о методологији управљања јавним политикама и о анализи ефеката прописа.</w:t>
      </w:r>
    </w:p>
  </w:footnote>
  <w:footnote w:id="66">
    <w:p w14:paraId="76FDB950" w14:textId="77777777" w:rsidR="008F5C3A" w:rsidRPr="005D14E2" w:rsidRDefault="008F5C3A" w:rsidP="00D210F0">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lang w:val="sr-Cyrl-RS"/>
        </w:rPr>
        <w:t xml:space="preserve"> </w:t>
      </w:r>
      <w:hyperlink r:id="rId18" w:history="1">
        <w:r w:rsidRPr="005D14E2">
          <w:rPr>
            <w:rStyle w:val="Hyperlink1"/>
            <w:rFonts w:ascii="Times New Roman" w:hAnsi="Times New Roman" w:cs="Times New Roman"/>
            <w:sz w:val="16"/>
            <w:szCs w:val="16"/>
          </w:rPr>
          <w:t>https</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rsjp</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gov</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rs</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wp</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content</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uploads</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Final</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Public</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Consultation</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Manual</w:t>
        </w:r>
        <w:r w:rsidRPr="005D14E2">
          <w:rPr>
            <w:rStyle w:val="Hyperlink1"/>
            <w:rFonts w:ascii="Times New Roman" w:hAnsi="Times New Roman" w:cs="Times New Roman"/>
            <w:sz w:val="16"/>
            <w:szCs w:val="16"/>
            <w:lang w:val="sr-Cyrl-RS"/>
          </w:rPr>
          <w:t>-16-07-2020-</w:t>
        </w:r>
        <w:r w:rsidRPr="005D14E2">
          <w:rPr>
            <w:rStyle w:val="Hyperlink1"/>
            <w:rFonts w:ascii="Times New Roman" w:hAnsi="Times New Roman" w:cs="Times New Roman"/>
            <w:sz w:val="16"/>
            <w:szCs w:val="16"/>
          </w:rPr>
          <w:t>for</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publication</w:t>
        </w:r>
        <w:r w:rsidRPr="005D14E2">
          <w:rPr>
            <w:rStyle w:val="Hyperlink1"/>
            <w:rFonts w:ascii="Times New Roman" w:hAnsi="Times New Roman" w:cs="Times New Roman"/>
            <w:sz w:val="16"/>
            <w:szCs w:val="16"/>
            <w:lang w:val="sr-Cyrl-RS"/>
          </w:rPr>
          <w:t>-1.</w:t>
        </w:r>
        <w:r w:rsidRPr="005D14E2">
          <w:rPr>
            <w:rStyle w:val="Hyperlink1"/>
            <w:rFonts w:ascii="Times New Roman" w:hAnsi="Times New Roman" w:cs="Times New Roman"/>
            <w:sz w:val="16"/>
            <w:szCs w:val="16"/>
          </w:rPr>
          <w:t>pdf</w:t>
        </w:r>
      </w:hyperlink>
    </w:p>
  </w:footnote>
  <w:footnote w:id="67">
    <w:p w14:paraId="7EBB1DBB" w14:textId="77777777" w:rsidR="008F5C3A" w:rsidRPr="005D14E2" w:rsidRDefault="008F5C3A" w:rsidP="005D14E2">
      <w:pPr>
        <w:pStyle w:val="f1"/>
        <w:jc w:val="both"/>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bCs/>
          <w:sz w:val="16"/>
          <w:szCs w:val="16"/>
          <w:lang w:val="sr-Cyrl-RS"/>
        </w:rPr>
        <w:t>Према евиденцији РСЈП (Годишњи извештај о спровођењу Програма унапређења УЈП и РР 2021.)</w:t>
      </w:r>
    </w:p>
  </w:footnote>
  <w:footnote w:id="68">
    <w:p w14:paraId="6B708FE2" w14:textId="70E4D362" w:rsidR="008F5C3A" w:rsidRPr="005D14E2" w:rsidRDefault="008F5C3A" w:rsidP="005D14E2">
      <w:pPr>
        <w:pStyle w:val="f1"/>
        <w:jc w:val="both"/>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Годишњи извештај о раду судова у Р</w:t>
      </w:r>
      <w:r>
        <w:rPr>
          <w:rFonts w:ascii="Times New Roman" w:hAnsi="Times New Roman" w:cs="Times New Roman"/>
          <w:sz w:val="16"/>
          <w:szCs w:val="16"/>
          <w:lang w:val="sr-Cyrl-RS"/>
        </w:rPr>
        <w:t>епублици Србији</w:t>
      </w:r>
      <w:r w:rsidRPr="005D14E2">
        <w:rPr>
          <w:rFonts w:ascii="Times New Roman" w:hAnsi="Times New Roman" w:cs="Times New Roman"/>
          <w:sz w:val="16"/>
          <w:szCs w:val="16"/>
          <w:lang w:val="sr-Cyrl-RS"/>
        </w:rPr>
        <w:t xml:space="preserve"> за 2021., </w:t>
      </w:r>
      <w:hyperlink r:id="rId19" w:history="1">
        <w:r w:rsidRPr="005D14E2">
          <w:rPr>
            <w:rStyle w:val="Hyperlink"/>
            <w:rFonts w:ascii="Times New Roman" w:hAnsi="Times New Roman" w:cs="Times New Roman"/>
            <w:sz w:val="16"/>
            <w:szCs w:val="16"/>
            <w:lang w:val="sr-Cyrl-RS"/>
          </w:rPr>
          <w:t>https://www.vk.sud.rs/sites/default/files/attachments/Publikacija%20srb_0.pdf</w:t>
        </w:r>
      </w:hyperlink>
      <w:r w:rsidRPr="005D14E2">
        <w:rPr>
          <w:rFonts w:ascii="Times New Roman" w:hAnsi="Times New Roman" w:cs="Times New Roman"/>
          <w:sz w:val="16"/>
          <w:szCs w:val="16"/>
          <w:lang w:val="sr-Cyrl-RS"/>
        </w:rPr>
        <w:t xml:space="preserve"> </w:t>
      </w:r>
    </w:p>
  </w:footnote>
  <w:footnote w:id="69">
    <w:p w14:paraId="584CC22B" w14:textId="5C19C374" w:rsidR="008F5C3A" w:rsidRPr="00815ACD" w:rsidRDefault="008F5C3A" w:rsidP="00D210F0">
      <w:pPr>
        <w:pStyle w:val="f1"/>
        <w:jc w:val="both"/>
        <w:rPr>
          <w:rFonts w:ascii="Times New Roman" w:hAnsi="Times New Roman" w:cs="Times New Roman"/>
          <w:sz w:val="16"/>
          <w:szCs w:val="16"/>
          <w:lang w:val="sr-Latn-RS"/>
        </w:rPr>
      </w:pPr>
      <w:r w:rsidRPr="00FC1274">
        <w:rPr>
          <w:rStyle w:val="FootnoteReference"/>
          <w:rFonts w:ascii="Times New Roman" w:hAnsi="Times New Roman" w:cs="Times New Roman"/>
          <w:lang w:val="sr-Cyrl-RS"/>
        </w:rPr>
        <w:footnoteRef/>
      </w:r>
      <w:r w:rsidRPr="00FC1274">
        <w:rPr>
          <w:rFonts w:ascii="Times New Roman" w:hAnsi="Times New Roman" w:cs="Times New Roman"/>
          <w:sz w:val="16"/>
          <w:szCs w:val="16"/>
          <w:lang w:val="sr-Cyrl-RS"/>
        </w:rPr>
        <w:t xml:space="preserve"> </w:t>
      </w:r>
      <w:r w:rsidRPr="008479FB">
        <w:rPr>
          <w:rFonts w:ascii="Times New Roman" w:hAnsi="Times New Roman" w:cs="Times New Roman"/>
          <w:sz w:val="16"/>
          <w:szCs w:val="16"/>
          <w:lang w:val="sr-Latn-RS"/>
        </w:rPr>
        <w:t>Мерење административних трошкова у Републици Србији за 2021. годину окончано је почетком октобра 2022. Извештај о мерењу административних трошкова у Републици Ср</w:t>
      </w:r>
      <w:r>
        <w:rPr>
          <w:rFonts w:ascii="Times New Roman" w:hAnsi="Times New Roman" w:cs="Times New Roman"/>
          <w:sz w:val="16"/>
          <w:szCs w:val="16"/>
          <w:lang w:val="sr-Latn-RS"/>
        </w:rPr>
        <w:t xml:space="preserve">бији за 2021. годину je доступan на </w:t>
      </w:r>
      <w:r w:rsidRPr="008479FB">
        <w:rPr>
          <w:rFonts w:ascii="Times New Roman" w:hAnsi="Times New Roman" w:cs="Times New Roman"/>
          <w:sz w:val="16"/>
          <w:szCs w:val="16"/>
          <w:lang w:val="sr-Latn-RS"/>
        </w:rPr>
        <w:t>сајту Републичког секретаријата за јавне политике.</w:t>
      </w:r>
    </w:p>
  </w:footnote>
  <w:footnote w:id="70">
    <w:p w14:paraId="13C1C936" w14:textId="77777777" w:rsidR="008F5C3A" w:rsidRPr="005D14E2" w:rsidRDefault="008F5C3A" w:rsidP="005D14E2">
      <w:pPr>
        <w:pStyle w:val="f1"/>
        <w:jc w:val="both"/>
        <w:rPr>
          <w:rFonts w:ascii="Times New Roman" w:hAnsi="Times New Roman" w:cs="Times New Roman"/>
          <w:sz w:val="16"/>
          <w:szCs w:val="16"/>
        </w:rPr>
      </w:pPr>
      <w:r w:rsidRPr="005D14E2">
        <w:rPr>
          <w:rStyle w:val="FootnoteReference"/>
          <w:rFonts w:ascii="Times New Roman" w:hAnsi="Times New Roman" w:cs="Times New Roman"/>
          <w:sz w:val="16"/>
          <w:szCs w:val="16"/>
          <w:lang w:val="sr-Cyrl-RS"/>
        </w:rPr>
        <w:footnoteRef/>
      </w:r>
      <w:r w:rsidRPr="005D14E2">
        <w:rPr>
          <w:rStyle w:val="FootnoteReference"/>
          <w:rFonts w:ascii="Times New Roman" w:hAnsi="Times New Roman" w:cs="Times New Roman"/>
          <w:sz w:val="16"/>
          <w:szCs w:val="16"/>
          <w:lang w:val="sr-Cyrl-RS"/>
        </w:rPr>
        <w:t xml:space="preserve"> </w:t>
      </w:r>
      <w:hyperlink r:id="rId20" w:history="1">
        <w:r w:rsidRPr="005D14E2">
          <w:rPr>
            <w:rStyle w:val="Hyperlink"/>
            <w:rFonts w:ascii="Times New Roman" w:hAnsi="Times New Roman" w:cs="Times New Roman"/>
            <w:sz w:val="16"/>
            <w:szCs w:val="16"/>
          </w:rPr>
          <w:t>https://naled.rs/htdocs/Files/08840/Izvestaj-o-realizaciji-mera-iz-Akcionog-plana-za-suzbijanje-sive-ekonomije-2019-2020.pdf</w:t>
        </w:r>
      </w:hyperlink>
    </w:p>
  </w:footnote>
  <w:footnote w:id="71">
    <w:p w14:paraId="0C50CB14" w14:textId="77777777" w:rsidR="008F5C3A" w:rsidRPr="005D14E2" w:rsidRDefault="008F5C3A" w:rsidP="00261FF7">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lang w:val="sr-Cyrl-RS"/>
        </w:rPr>
        <w:footnoteRef/>
      </w:r>
      <w:r w:rsidRPr="005D14E2">
        <w:rPr>
          <w:rFonts w:ascii="Times New Roman" w:hAnsi="Times New Roman" w:cs="Times New Roman"/>
          <w:sz w:val="16"/>
          <w:szCs w:val="16"/>
          <w:lang w:val="sr-Cyrl-RS"/>
        </w:rPr>
        <w:t xml:space="preserve"> РЗС, Анкета о радној снази 2021., </w:t>
      </w:r>
      <w:hyperlink r:id="rId21" w:history="1">
        <w:r w:rsidRPr="005D14E2">
          <w:rPr>
            <w:rStyle w:val="Hyperlink"/>
            <w:rFonts w:ascii="Times New Roman" w:hAnsi="Times New Roman" w:cs="Times New Roman"/>
            <w:sz w:val="16"/>
            <w:szCs w:val="16"/>
            <w:lang w:val="sr-Cyrl-RS"/>
          </w:rPr>
          <w:t>https://publikacije.stat.gov.rs/G2022/Pdf/G20225682.pdf</w:t>
        </w:r>
      </w:hyperlink>
      <w:r w:rsidRPr="005D14E2">
        <w:rPr>
          <w:rFonts w:ascii="Times New Roman" w:hAnsi="Times New Roman" w:cs="Times New Roman"/>
          <w:sz w:val="16"/>
          <w:szCs w:val="16"/>
          <w:lang w:val="sr-Cyrl-RS"/>
        </w:rPr>
        <w:t xml:space="preserve"> </w:t>
      </w:r>
    </w:p>
  </w:footnote>
  <w:footnote w:id="72">
    <w:p w14:paraId="128B630F" w14:textId="77777777" w:rsidR="008F5C3A" w:rsidRPr="005D14E2" w:rsidRDefault="008F5C3A" w:rsidP="00261FF7">
      <w:pPr>
        <w:pStyle w:val="f1"/>
        <w:jc w:val="both"/>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lang w:val="sr-Cyrl-RS"/>
        </w:rPr>
        <w:footnoteRef/>
      </w:r>
      <w:r w:rsidRPr="005D14E2">
        <w:rPr>
          <w:rStyle w:val="FootnoteReference"/>
          <w:rFonts w:ascii="Times New Roman" w:hAnsi="Times New Roman" w:cs="Times New Roman"/>
          <w:sz w:val="16"/>
          <w:szCs w:val="16"/>
          <w:lang w:val="sr-Cyrl-RS"/>
        </w:rPr>
        <w:t xml:space="preserve"> </w:t>
      </w:r>
      <w:r w:rsidRPr="005D14E2">
        <w:rPr>
          <w:rFonts w:ascii="Times New Roman" w:hAnsi="Times New Roman" w:cs="Times New Roman"/>
          <w:sz w:val="16"/>
          <w:szCs w:val="16"/>
          <w:lang w:val="sr-Cyrl-RS"/>
        </w:rPr>
        <w:t xml:space="preserve">Извор: </w:t>
      </w:r>
      <w:r w:rsidRPr="005D14E2">
        <w:rPr>
          <w:rFonts w:ascii="Times New Roman" w:hAnsi="Times New Roman" w:cs="Times New Roman"/>
          <w:bCs/>
          <w:sz w:val="16"/>
          <w:szCs w:val="16"/>
          <w:lang w:val="sr-Cyrl-RS"/>
        </w:rPr>
        <w:t xml:space="preserve">Портал Сезонски радници </w:t>
      </w:r>
      <w:hyperlink r:id="rId22" w:history="1">
        <w:r w:rsidRPr="005D14E2">
          <w:rPr>
            <w:rStyle w:val="Hyperlink"/>
            <w:rFonts w:ascii="Times New Roman" w:hAnsi="Times New Roman" w:cs="Times New Roman"/>
            <w:bCs/>
            <w:sz w:val="16"/>
            <w:szCs w:val="16"/>
            <w:lang w:val="sr-Cyrl-RS"/>
          </w:rPr>
          <w:t>https://www.sezonskiradnici.gov.rs/</w:t>
        </w:r>
      </w:hyperlink>
      <w:r w:rsidRPr="005D14E2">
        <w:rPr>
          <w:rFonts w:ascii="Times New Roman" w:hAnsi="Times New Roman" w:cs="Times New Roman"/>
          <w:bCs/>
          <w:sz w:val="16"/>
          <w:szCs w:val="16"/>
          <w:lang w:val="sr-Cyrl-RS"/>
        </w:rPr>
        <w:t xml:space="preserve"> </w:t>
      </w:r>
    </w:p>
  </w:footnote>
  <w:footnote w:id="73">
    <w:p w14:paraId="0863F10C" w14:textId="77777777" w:rsidR="008F5C3A" w:rsidRPr="005D14E2" w:rsidRDefault="008F5C3A" w:rsidP="005D14E2">
      <w:pPr>
        <w:pStyle w:val="f1"/>
        <w:jc w:val="both"/>
        <w:rPr>
          <w:rFonts w:ascii="Times New Roman" w:hAnsi="Times New Roman" w:cs="Times New Roman"/>
          <w:sz w:val="16"/>
          <w:szCs w:val="16"/>
        </w:rPr>
      </w:pPr>
      <w:r w:rsidRPr="005D14E2">
        <w:rPr>
          <w:rStyle w:val="FootnoteReference"/>
          <w:rFonts w:ascii="Times New Roman" w:hAnsi="Times New Roman" w:cs="Times New Roman"/>
          <w:sz w:val="16"/>
          <w:szCs w:val="16"/>
          <w:lang w:val="sr-Cyrl-RS"/>
        </w:rPr>
        <w:footnoteRef/>
      </w:r>
      <w:r w:rsidRPr="005D14E2">
        <w:rPr>
          <w:rStyle w:val="FootnoteReference"/>
          <w:rFonts w:ascii="Times New Roman" w:hAnsi="Times New Roman" w:cs="Times New Roman"/>
          <w:sz w:val="16"/>
          <w:szCs w:val="16"/>
          <w:lang w:val="sr-Cyrl-RS"/>
        </w:rPr>
        <w:t xml:space="preserve"> </w:t>
      </w:r>
      <w:hyperlink r:id="rId23" w:history="1">
        <w:r w:rsidRPr="005D14E2">
          <w:rPr>
            <w:rStyle w:val="Hyperlink"/>
            <w:rFonts w:ascii="Times New Roman" w:hAnsi="Times New Roman" w:cs="Times New Roman"/>
            <w:sz w:val="16"/>
            <w:szCs w:val="16"/>
          </w:rPr>
          <w:t>https://www.mfin.gov.rs//upload/media/BERtr6_62308f091c3fc.pdf</w:t>
        </w:r>
      </w:hyperlink>
    </w:p>
  </w:footnote>
  <w:footnote w:id="74">
    <w:p w14:paraId="7D230E7B" w14:textId="4620A1D6" w:rsidR="008F5C3A" w:rsidRPr="005D14E2" w:rsidRDefault="008F5C3A" w:rsidP="005D14E2">
      <w:pPr>
        <w:pStyle w:val="f1"/>
        <w:jc w:val="both"/>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bCs/>
          <w:sz w:val="16"/>
          <w:szCs w:val="16"/>
          <w:lang w:val="sr-Cyrl-RS"/>
        </w:rPr>
        <w:t xml:space="preserve">Податак обухвата и поступке без објаве јавног позива на </w:t>
      </w:r>
      <w:r w:rsidRPr="008479FB">
        <w:rPr>
          <w:rFonts w:ascii="Times New Roman" w:hAnsi="Times New Roman" w:cs="Times New Roman"/>
          <w:bCs/>
          <w:sz w:val="16"/>
          <w:szCs w:val="16"/>
          <w:lang w:val="sr-Cyrl-RS"/>
        </w:rPr>
        <w:t>основу члана 62. став 9. З</w:t>
      </w:r>
      <w:r>
        <w:rPr>
          <w:rFonts w:ascii="Times New Roman" w:hAnsi="Times New Roman" w:cs="Times New Roman"/>
          <w:bCs/>
          <w:sz w:val="16"/>
          <w:szCs w:val="16"/>
          <w:lang w:val="sr-Cyrl-RS"/>
        </w:rPr>
        <w:t>акона о јавним набавкама</w:t>
      </w:r>
      <w:r w:rsidRPr="005D14E2">
        <w:rPr>
          <w:rFonts w:ascii="Times New Roman" w:hAnsi="Times New Roman" w:cs="Times New Roman"/>
          <w:sz w:val="16"/>
          <w:szCs w:val="16"/>
          <w:lang w:val="sr-Cyrl-RS"/>
        </w:rPr>
        <w:t xml:space="preserve"> </w:t>
      </w:r>
    </w:p>
  </w:footnote>
  <w:footnote w:id="75">
    <w:p w14:paraId="44EF7C92" w14:textId="77777777" w:rsidR="008F5C3A" w:rsidRPr="005D14E2" w:rsidRDefault="008F5C3A" w:rsidP="005D14E2">
      <w:pPr>
        <w:pStyle w:val="f1"/>
        <w:jc w:val="both"/>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Канцеларија за јавне набавке, Годишњи извештај</w:t>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о јавним набавкама у РС за 2021. </w:t>
      </w:r>
      <w:r w:rsidRPr="005D14E2">
        <w:rPr>
          <w:rFonts w:ascii="Times New Roman" w:hAnsi="Times New Roman" w:cs="Times New Roman"/>
          <w:color w:val="5B9BD5" w:themeColor="accent1"/>
          <w:sz w:val="16"/>
          <w:szCs w:val="16"/>
          <w:u w:val="single"/>
          <w:lang w:val="sr-Cyrl-RS"/>
        </w:rPr>
        <w:t>https://jnportal.ujn.gov.rs/annual-reports-ppo-public</w:t>
      </w:r>
    </w:p>
  </w:footnote>
  <w:footnote w:id="76">
    <w:p w14:paraId="328AB87E" w14:textId="77777777" w:rsidR="008F5C3A" w:rsidRPr="00E8317F" w:rsidRDefault="008F5C3A" w:rsidP="005D14E2">
      <w:pPr>
        <w:pStyle w:val="f1"/>
        <w:rPr>
          <w:rStyle w:val="Hyperlink"/>
        </w:rPr>
      </w:pPr>
      <w:r w:rsidRPr="001D43B2">
        <w:rPr>
          <w:rStyle w:val="FootnoteReference"/>
          <w:rFonts w:ascii="Times New Roman" w:hAnsi="Times New Roman" w:cs="Times New Roman"/>
          <w:sz w:val="16"/>
          <w:szCs w:val="16"/>
        </w:rPr>
        <w:footnoteRef/>
      </w:r>
      <w:r w:rsidRPr="001D43B2">
        <w:rPr>
          <w:rFonts w:ascii="Times New Roman" w:hAnsi="Times New Roman" w:cs="Times New Roman"/>
          <w:sz w:val="16"/>
          <w:szCs w:val="16"/>
        </w:rPr>
        <w:t xml:space="preserve"> </w:t>
      </w:r>
      <w:r w:rsidRPr="001D43B2">
        <w:rPr>
          <w:rFonts w:ascii="Times New Roman" w:hAnsi="Times New Roman" w:cs="Times New Roman"/>
          <w:sz w:val="16"/>
          <w:szCs w:val="16"/>
          <w:lang w:val="sr-Cyrl-RS"/>
        </w:rPr>
        <w:t>Извештај</w:t>
      </w:r>
      <w:r w:rsidRPr="001D43B2">
        <w:rPr>
          <w:rFonts w:ascii="Times New Roman" w:hAnsi="Times New Roman" w:cs="Times New Roman"/>
          <w:sz w:val="16"/>
          <w:szCs w:val="16"/>
        </w:rPr>
        <w:t xml:space="preserve">: </w:t>
      </w:r>
      <w:r w:rsidRPr="001D43B2">
        <w:rPr>
          <w:rFonts w:ascii="Times New Roman" w:hAnsi="Times New Roman" w:cs="Times New Roman"/>
          <w:color w:val="2E74B5" w:themeColor="accent1" w:themeShade="BF"/>
          <w:sz w:val="16"/>
          <w:szCs w:val="16"/>
          <w:u w:val="single"/>
        </w:rPr>
        <w:t>https://neighbourhood-enlargement.ec.europa.eu/serbia-report-2021_en</w:t>
      </w:r>
      <w:r w:rsidRPr="001D43B2">
        <w:rPr>
          <w:rFonts w:ascii="Times New Roman" w:hAnsi="Times New Roman" w:cs="Times New Roman"/>
          <w:sz w:val="16"/>
          <w:szCs w:val="16"/>
          <w:lang w:val="sr-Cyrl-RS"/>
        </w:rPr>
        <w:t xml:space="preserve">; стр. 17: Извештај: </w:t>
      </w:r>
      <w:hyperlink r:id="rId24" w:history="1">
        <w:r w:rsidRPr="00D93C26">
          <w:rPr>
            <w:rStyle w:val="Hyperlink"/>
            <w:rFonts w:ascii="Times New Roman" w:hAnsi="Times New Roman" w:cs="Times New Roman"/>
            <w:sz w:val="16"/>
            <w:szCs w:val="16"/>
          </w:rPr>
          <w:t>https://publicadministration.un.org/en/Research/UN-e-Government-Surveys?_lrsc=01712f7d-dc30-4e6a-bff9-90f2c477df5a&amp;id=gx:2sm:3tw:4elevate:5awa:6oth</w:t>
        </w:r>
      </w:hyperlink>
      <w:r>
        <w:rPr>
          <w:rFonts w:ascii="Times New Roman" w:hAnsi="Times New Roman" w:cs="Times New Roman"/>
          <w:color w:val="2E74B5" w:themeColor="accent1" w:themeShade="BF"/>
          <w:sz w:val="16"/>
          <w:szCs w:val="16"/>
          <w:u w:val="single"/>
          <w:lang w:val="sr-Cyrl-RS"/>
        </w:rPr>
        <w:t xml:space="preserve">; </w:t>
      </w:r>
      <w:hyperlink r:id="rId25" w:history="1">
        <w:r w:rsidRPr="00E8317F">
          <w:rPr>
            <w:rStyle w:val="Hyperlink"/>
            <w:rFonts w:ascii="Times New Roman" w:hAnsi="Times New Roman" w:cs="Times New Roman"/>
            <w:sz w:val="16"/>
            <w:szCs w:val="16"/>
          </w:rPr>
          <w:t>https://openknowledge.worldbank.org/handle/10986/36233</w:t>
        </w:r>
      </w:hyperlink>
    </w:p>
  </w:footnote>
  <w:footnote w:id="77">
    <w:p w14:paraId="0ED4903E"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Европска комисија, Осми пакет санкција Русији </w:t>
      </w:r>
      <w:hyperlink r:id="rId26" w:history="1">
        <w:r w:rsidRPr="005D14E2">
          <w:rPr>
            <w:rStyle w:val="Hyperlink"/>
            <w:rFonts w:ascii="Times New Roman" w:hAnsi="Times New Roman" w:cs="Times New Roman"/>
            <w:sz w:val="16"/>
            <w:szCs w:val="16"/>
            <w:lang w:val="sr-Cyrl-RS"/>
          </w:rPr>
          <w:t>https://ec.europa.eu/commission/presscorner/detail/en/ip_22_5989</w:t>
        </w:r>
      </w:hyperlink>
      <w:r w:rsidRPr="005D14E2">
        <w:rPr>
          <w:rFonts w:ascii="Times New Roman" w:hAnsi="Times New Roman" w:cs="Times New Roman"/>
          <w:sz w:val="16"/>
          <w:szCs w:val="16"/>
          <w:lang w:val="sr-Cyrl-RS"/>
        </w:rPr>
        <w:t xml:space="preserve"> </w:t>
      </w:r>
    </w:p>
  </w:footnote>
  <w:footnote w:id="78">
    <w:p w14:paraId="0BAE6588" w14:textId="77777777" w:rsidR="008F5C3A" w:rsidRPr="005D14E2" w:rsidRDefault="008F5C3A" w:rsidP="005D14E2">
      <w:pPr>
        <w:spacing w:after="0"/>
        <w:jc w:val="left"/>
        <w:rPr>
          <w:rFonts w:cs="Times New Roman"/>
          <w:sz w:val="16"/>
          <w:szCs w:val="16"/>
          <w:lang w:val="sr-Cyrl-RS"/>
        </w:rPr>
      </w:pPr>
      <w:r w:rsidRPr="005D14E2">
        <w:rPr>
          <w:rStyle w:val="FootnoteReference"/>
          <w:rFonts w:cs="Times New Roman"/>
          <w:sz w:val="16"/>
          <w:szCs w:val="16"/>
          <w:lang w:val="sr-Cyrl-RS"/>
        </w:rPr>
        <w:footnoteRef/>
      </w:r>
      <w:r>
        <w:rPr>
          <w:rFonts w:cs="Times New Roman"/>
          <w:sz w:val="16"/>
          <w:szCs w:val="16"/>
          <w:lang w:val="sr-Cyrl-CS"/>
        </w:rPr>
        <w:t xml:space="preserve">Министарство рударства и енергетике, Енергетски биланс за 2021, </w:t>
      </w:r>
      <w:r w:rsidRPr="005D14E2">
        <w:rPr>
          <w:rFonts w:cs="Times New Roman"/>
          <w:sz w:val="16"/>
          <w:szCs w:val="16"/>
          <w:lang w:val="sr-Cyrl-RS"/>
        </w:rPr>
        <w:t xml:space="preserve">АЕРС, Извештај о раду агенције за енергетику за 2021. годину, </w:t>
      </w:r>
      <w:hyperlink r:id="rId27" w:history="1">
        <w:r w:rsidRPr="005D14E2">
          <w:rPr>
            <w:rStyle w:val="Hyperlink"/>
            <w:rFonts w:cs="Times New Roman"/>
            <w:sz w:val="16"/>
            <w:szCs w:val="16"/>
            <w:lang w:val="sr-Cyrl-RS"/>
          </w:rPr>
          <w:t>https://www.aers.rs/Files/Izvestaji/Godisnji/Izvestaj%20Agencije%202021.pdf</w:t>
        </w:r>
      </w:hyperlink>
    </w:p>
  </w:footnote>
  <w:footnote w:id="79">
    <w:p w14:paraId="3C79BF10"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ЕДС, </w:t>
      </w:r>
      <w:hyperlink r:id="rId28" w:history="1">
        <w:r w:rsidRPr="005D14E2">
          <w:rPr>
            <w:rStyle w:val="Hyperlink"/>
            <w:rFonts w:ascii="Times New Roman" w:hAnsi="Times New Roman" w:cs="Times New Roman"/>
            <w:sz w:val="16"/>
            <w:szCs w:val="16"/>
            <w:lang w:val="sr-Cyrl-RS"/>
          </w:rPr>
          <w:t>http://epsdistribucija.rs/pdf/GI_ODS_2021.pdf</w:t>
        </w:r>
      </w:hyperlink>
      <w:r w:rsidRPr="005D14E2">
        <w:rPr>
          <w:rFonts w:ascii="Times New Roman" w:hAnsi="Times New Roman" w:cs="Times New Roman"/>
          <w:sz w:val="16"/>
          <w:szCs w:val="16"/>
          <w:lang w:val="sr-Cyrl-RS"/>
        </w:rPr>
        <w:t xml:space="preserve"> </w:t>
      </w:r>
    </w:p>
  </w:footnote>
  <w:footnote w:id="80">
    <w:p w14:paraId="25A3AC8B" w14:textId="77777777" w:rsidR="008F5C3A" w:rsidRPr="005D14E2" w:rsidRDefault="008F5C3A" w:rsidP="00D210F0">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РЗС, Саопштење, Рачун емисијa у ваздух, 2020. </w:t>
      </w:r>
      <w:hyperlink r:id="rId29" w:history="1">
        <w:r w:rsidRPr="005D14E2">
          <w:rPr>
            <w:rStyle w:val="Hyperlink"/>
            <w:rFonts w:ascii="Times New Roman" w:hAnsi="Times New Roman" w:cs="Times New Roman"/>
            <w:sz w:val="16"/>
            <w:szCs w:val="16"/>
          </w:rPr>
          <w:t>https://publikacije.stat.gov.rs/G2022/Html/G20221262.html</w:t>
        </w:r>
      </w:hyperlink>
      <w:r w:rsidRPr="005D14E2">
        <w:rPr>
          <w:rFonts w:ascii="Times New Roman" w:hAnsi="Times New Roman" w:cs="Times New Roman"/>
          <w:sz w:val="16"/>
          <w:szCs w:val="16"/>
          <w:lang w:val="sr-Cyrl-RS"/>
        </w:rPr>
        <w:t xml:space="preserve"> </w:t>
      </w:r>
    </w:p>
  </w:footnote>
  <w:footnote w:id="81">
    <w:p w14:paraId="131F2146" w14:textId="77777777" w:rsidR="008F5C3A" w:rsidRPr="005D14E2" w:rsidRDefault="008F5C3A" w:rsidP="005D14E2">
      <w:pPr>
        <w:pStyle w:val="f1"/>
        <w:rPr>
          <w:rFonts w:ascii="Times New Roman" w:hAnsi="Times New Roman" w:cs="Times New Roman"/>
          <w:sz w:val="16"/>
          <w:szCs w:val="16"/>
          <w:lang w:val="sr-Latn-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ТЕ Костолац Б је емитовала 95.096 тона SO</w:t>
      </w:r>
      <w:r w:rsidRPr="005D14E2">
        <w:rPr>
          <w:rFonts w:ascii="Times New Roman" w:hAnsi="Times New Roman" w:cs="Times New Roman"/>
          <w:sz w:val="16"/>
          <w:szCs w:val="16"/>
          <w:vertAlign w:val="subscript"/>
        </w:rPr>
        <w:t>2</w:t>
      </w:r>
      <w:r w:rsidRPr="005D14E2">
        <w:rPr>
          <w:rFonts w:ascii="Times New Roman" w:hAnsi="Times New Roman" w:cs="Times New Roman"/>
          <w:sz w:val="16"/>
          <w:szCs w:val="16"/>
        </w:rPr>
        <w:t>, a ТЕ Никола Тесла Б 85.756 тона SO</w:t>
      </w:r>
      <w:r w:rsidRPr="005D14E2">
        <w:rPr>
          <w:rFonts w:ascii="Times New Roman" w:hAnsi="Times New Roman" w:cs="Times New Roman"/>
          <w:sz w:val="16"/>
          <w:szCs w:val="16"/>
          <w:vertAlign w:val="subscript"/>
        </w:rPr>
        <w:t>2</w:t>
      </w:r>
      <w:r w:rsidRPr="005D14E2">
        <w:rPr>
          <w:rFonts w:ascii="Times New Roman" w:hAnsi="Times New Roman" w:cs="Times New Roman"/>
          <w:sz w:val="16"/>
          <w:szCs w:val="16"/>
        </w:rPr>
        <w:t xml:space="preserve"> у 2020</w:t>
      </w:r>
      <w:r w:rsidRPr="005D14E2">
        <w:rPr>
          <w:rFonts w:ascii="Times New Roman" w:hAnsi="Times New Roman" w:cs="Times New Roman"/>
          <w:sz w:val="16"/>
          <w:szCs w:val="16"/>
          <w:lang w:val="sr-Cyrl-RS"/>
        </w:rPr>
        <w:t>, European Environment Agency,</w:t>
      </w:r>
      <w:r w:rsidRPr="005D14E2">
        <w:rPr>
          <w:rFonts w:ascii="Times New Roman" w:hAnsi="Times New Roman" w:cs="Times New Roman"/>
          <w:sz w:val="16"/>
          <w:szCs w:val="16"/>
          <w:lang w:val="sr-Latn-RS"/>
        </w:rPr>
        <w:t xml:space="preserve"> </w:t>
      </w:r>
      <w:hyperlink r:id="rId30" w:history="1">
        <w:r w:rsidRPr="005D14E2">
          <w:rPr>
            <w:rStyle w:val="Hyperlink"/>
            <w:rFonts w:ascii="Times New Roman" w:hAnsi="Times New Roman" w:cs="Times New Roman"/>
            <w:sz w:val="16"/>
            <w:szCs w:val="16"/>
            <w:lang w:val="sr-Latn-RS"/>
          </w:rPr>
          <w:t>https://cdr.eionet.europa.eu/rs/eu/energycommunity/envygmfea/LCP_Energy_Community_Serbia_2020_final.xlsx/manage_document</w:t>
        </w:r>
      </w:hyperlink>
    </w:p>
  </w:footnote>
  <w:footnote w:id="82">
    <w:p w14:paraId="2C4C2690" w14:textId="77777777" w:rsidR="008F5C3A" w:rsidRPr="005D14E2" w:rsidRDefault="008F5C3A" w:rsidP="005D14E2">
      <w:pPr>
        <w:pStyle w:val="f1"/>
        <w:rPr>
          <w:rFonts w:ascii="Times New Roman" w:hAnsi="Times New Roman" w:cs="Times New Roman"/>
          <w:sz w:val="16"/>
          <w:szCs w:val="16"/>
          <w:lang w:val="sr-Latn-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Eurostat, </w:t>
      </w:r>
      <w:hyperlink r:id="rId31" w:history="1">
        <w:r w:rsidRPr="005D14E2">
          <w:rPr>
            <w:rStyle w:val="Hyperlink"/>
            <w:rFonts w:ascii="Times New Roman" w:hAnsi="Times New Roman" w:cs="Times New Roman"/>
            <w:sz w:val="16"/>
            <w:szCs w:val="16"/>
          </w:rPr>
          <w:t>https://ec.europa.eu/eurostat/databrowser/view/t2020_rk210/default/table?lang=en</w:t>
        </w:r>
      </w:hyperlink>
      <w:r w:rsidRPr="005D14E2">
        <w:rPr>
          <w:rFonts w:ascii="Times New Roman" w:hAnsi="Times New Roman" w:cs="Times New Roman"/>
          <w:sz w:val="16"/>
          <w:szCs w:val="16"/>
        </w:rPr>
        <w:t xml:space="preserve"> </w:t>
      </w:r>
    </w:p>
  </w:footnote>
  <w:footnote w:id="83">
    <w:p w14:paraId="00703BA2"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РЗС, </w:t>
      </w:r>
      <w:hyperlink r:id="rId32" w:history="1">
        <w:r w:rsidRPr="005D14E2">
          <w:rPr>
            <w:rStyle w:val="Hyperlink"/>
            <w:rFonts w:ascii="Times New Roman" w:hAnsi="Times New Roman" w:cs="Times New Roman"/>
            <w:sz w:val="16"/>
            <w:szCs w:val="16"/>
            <w:lang w:val="sr-Cyrl-RS"/>
          </w:rPr>
          <w:t>https://data.stat.gov.rs/Home/Result/SDGUN070201?languageCode=sr-Cyrl</w:t>
        </w:r>
      </w:hyperlink>
      <w:r w:rsidRPr="005D14E2">
        <w:rPr>
          <w:rFonts w:ascii="Times New Roman" w:hAnsi="Times New Roman" w:cs="Times New Roman"/>
          <w:sz w:val="16"/>
          <w:szCs w:val="16"/>
          <w:lang w:val="sr-Cyrl-RS"/>
        </w:rPr>
        <w:t xml:space="preserve"> </w:t>
      </w:r>
    </w:p>
  </w:footnote>
  <w:footnote w:id="84">
    <w:p w14:paraId="6CAC56BE"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С обзиром на отворено тржиште електричне енергије у Републици Србији купци-произвођачи могу уговарати снабдевање и са осталим снабдевачима (који нису ЈП ЕПС)</w:t>
      </w:r>
      <w:r w:rsidRPr="005D14E2">
        <w:rPr>
          <w:rFonts w:ascii="Times New Roman" w:hAnsi="Times New Roman" w:cs="Times New Roman"/>
          <w:sz w:val="16"/>
          <w:szCs w:val="16"/>
          <w:lang w:val="sr-Cyrl-RS"/>
        </w:rPr>
        <w:t>.</w:t>
      </w:r>
    </w:p>
  </w:footnote>
  <w:footnote w:id="85">
    <w:p w14:paraId="2A88AD43"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АЕРС, Извештај о раду агенције за енергетику за 2021. годину, </w:t>
      </w:r>
      <w:hyperlink r:id="rId33" w:history="1">
        <w:r w:rsidRPr="005D14E2">
          <w:rPr>
            <w:rFonts w:ascii="Times New Roman" w:hAnsi="Times New Roman" w:cs="Times New Roman"/>
            <w:color w:val="2E74B5" w:themeColor="accent1" w:themeShade="BF"/>
            <w:sz w:val="16"/>
            <w:szCs w:val="16"/>
            <w:u w:val="single"/>
            <w:lang w:val="sr-Cyrl-RS"/>
          </w:rPr>
          <w:t>https://www.aers.rs/Files/Izvestaji/Godisnji/Izvestaj%20Agencije%202021.pdf</w:t>
        </w:r>
      </w:hyperlink>
      <w:r w:rsidRPr="005D14E2">
        <w:rPr>
          <w:rFonts w:ascii="Times New Roman" w:hAnsi="Times New Roman" w:cs="Times New Roman"/>
          <w:color w:val="2E74B5" w:themeColor="accent1" w:themeShade="BF"/>
          <w:sz w:val="16"/>
          <w:szCs w:val="16"/>
          <w:lang w:val="sr-Cyrl-RS"/>
        </w:rPr>
        <w:t xml:space="preserve">  </w:t>
      </w:r>
    </w:p>
  </w:footnote>
  <w:footnote w:id="86">
    <w:p w14:paraId="586BBA7B" w14:textId="77777777" w:rsidR="008F5C3A" w:rsidRPr="005D14E2" w:rsidRDefault="008F5C3A" w:rsidP="00D210F0">
      <w:pPr>
        <w:pStyle w:val="f1"/>
        <w:rPr>
          <w:rFonts w:ascii="Times New Roman" w:hAnsi="Times New Roman" w:cs="Times New Roman"/>
          <w:color w:val="2F5496"/>
          <w:sz w:val="16"/>
          <w:szCs w:val="16"/>
          <w:u w:val="single"/>
          <w:lang w:val="sr-Cyrl-RS"/>
        </w:rPr>
      </w:pPr>
      <w:r w:rsidRPr="005D14E2">
        <w:rPr>
          <w:rFonts w:ascii="Times New Roman" w:hAnsi="Times New Roman" w:cs="Times New Roman"/>
          <w:sz w:val="16"/>
          <w:szCs w:val="16"/>
          <w:vertAlign w:val="superscript"/>
          <w:lang w:val="sr-Cyrl-RS"/>
        </w:rPr>
        <w:footnoteRef/>
      </w:r>
      <w:r w:rsidRPr="005D14E2">
        <w:rPr>
          <w:rFonts w:ascii="Times New Roman" w:hAnsi="Times New Roman" w:cs="Times New Roman"/>
          <w:sz w:val="16"/>
          <w:szCs w:val="16"/>
          <w:lang w:val="sr-Cyrl-RS"/>
        </w:rPr>
        <w:t xml:space="preserve"> АЕРС, Извештај о раду агенције за енергетику за 2021. годину,</w:t>
      </w:r>
      <w:r w:rsidRPr="005D14E2">
        <w:rPr>
          <w:rFonts w:ascii="Times New Roman" w:hAnsi="Times New Roman" w:cs="Times New Roman"/>
          <w:color w:val="2E74B5" w:themeColor="accent1" w:themeShade="BF"/>
          <w:sz w:val="16"/>
          <w:szCs w:val="16"/>
          <w:u w:val="single"/>
          <w:lang w:val="sr-Cyrl-RS"/>
        </w:rPr>
        <w:t xml:space="preserve"> </w:t>
      </w:r>
      <w:hyperlink r:id="rId34" w:history="1">
        <w:r w:rsidRPr="005D14E2">
          <w:rPr>
            <w:rFonts w:ascii="Times New Roman" w:hAnsi="Times New Roman" w:cs="Times New Roman"/>
            <w:color w:val="2E74B5" w:themeColor="accent1" w:themeShade="BF"/>
            <w:sz w:val="16"/>
            <w:szCs w:val="16"/>
            <w:u w:val="single"/>
            <w:lang w:val="sr-Cyrl-RS"/>
          </w:rPr>
          <w:t>https://www.aers.rs/Files/Izvestaji/Godisnji/Izvestaj%20Agencije%202021.pdf</w:t>
        </w:r>
      </w:hyperlink>
      <w:r w:rsidRPr="005D14E2">
        <w:rPr>
          <w:rFonts w:ascii="Times New Roman" w:hAnsi="Times New Roman" w:cs="Times New Roman"/>
          <w:sz w:val="16"/>
          <w:szCs w:val="16"/>
          <w:lang w:val="sr-Cyrl-RS"/>
        </w:rPr>
        <w:t xml:space="preserve">  </w:t>
      </w:r>
    </w:p>
  </w:footnote>
  <w:footnote w:id="87">
    <w:p w14:paraId="37DDE40A"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Увоз електричне енергије је коинцидирао са рекордно високим берзанским ценама електричне енергије.</w:t>
      </w:r>
    </w:p>
  </w:footnote>
  <w:footnote w:id="88">
    <w:p w14:paraId="568227ED" w14:textId="77777777" w:rsidR="008F5C3A" w:rsidRPr="005D14E2" w:rsidRDefault="008F5C3A" w:rsidP="005D14E2">
      <w:pPr>
        <w:pStyle w:val="f1"/>
        <w:rPr>
          <w:rFonts w:ascii="Times New Roman" w:hAnsi="Times New Roman" w:cs="Times New Roman"/>
          <w:sz w:val="16"/>
          <w:szCs w:val="16"/>
          <w:lang w:val="sr-Cyrl-RS"/>
        </w:rPr>
      </w:pPr>
      <w:r w:rsidRPr="005D14E2">
        <w:rPr>
          <w:rFonts w:ascii="Times New Roman" w:hAnsi="Times New Roman" w:cs="Times New Roman"/>
          <w:sz w:val="16"/>
          <w:szCs w:val="16"/>
          <w:vertAlign w:val="superscript"/>
          <w:lang w:val="sr-Cyrl-RS"/>
        </w:rPr>
        <w:footnoteRef/>
      </w:r>
      <w:r w:rsidRPr="005D14E2">
        <w:rPr>
          <w:rFonts w:ascii="Times New Roman" w:hAnsi="Times New Roman" w:cs="Times New Roman"/>
          <w:sz w:val="16"/>
          <w:szCs w:val="16"/>
          <w:vertAlign w:val="superscript"/>
          <w:lang w:val="sr-Cyrl-RS"/>
        </w:rPr>
        <w:t xml:space="preserve"> </w:t>
      </w:r>
      <w:r w:rsidRPr="005D14E2">
        <w:rPr>
          <w:rFonts w:ascii="Times New Roman" w:hAnsi="Times New Roman" w:cs="Times New Roman"/>
          <w:sz w:val="16"/>
          <w:szCs w:val="16"/>
          <w:lang w:val="sr-Cyrl-RS"/>
        </w:rPr>
        <w:t xml:space="preserve">АЕРС, Извештај о раду агенције за енергетику за 2021. годину, </w:t>
      </w:r>
      <w:hyperlink r:id="rId35" w:history="1">
        <w:r w:rsidRPr="005D14E2">
          <w:rPr>
            <w:rFonts w:ascii="Times New Roman" w:hAnsi="Times New Roman" w:cs="Times New Roman"/>
            <w:color w:val="2E74B5" w:themeColor="accent1" w:themeShade="BF"/>
            <w:sz w:val="16"/>
            <w:szCs w:val="16"/>
            <w:u w:val="single"/>
            <w:lang w:val="sr-Cyrl-RS"/>
          </w:rPr>
          <w:t>https://www.aers.rs/Files/Izvestaji/Godisnji/Izvestaj%20Agencije%202021.pdf</w:t>
        </w:r>
      </w:hyperlink>
    </w:p>
  </w:footnote>
  <w:footnote w:id="89">
    <w:p w14:paraId="5A429633" w14:textId="6CED637C"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М</w:t>
      </w:r>
      <w:r>
        <w:rPr>
          <w:rFonts w:ascii="Times New Roman" w:hAnsi="Times New Roman" w:cs="Times New Roman"/>
          <w:sz w:val="16"/>
          <w:szCs w:val="16"/>
          <w:lang w:val="sr-Cyrl-RS"/>
        </w:rPr>
        <w:t>инистарство рударства и енергетике</w:t>
      </w:r>
      <w:r w:rsidRPr="005D14E2">
        <w:rPr>
          <w:rFonts w:ascii="Times New Roman" w:hAnsi="Times New Roman" w:cs="Times New Roman"/>
          <w:sz w:val="16"/>
          <w:szCs w:val="16"/>
          <w:lang w:val="sr-Cyrl-RS"/>
        </w:rPr>
        <w:t xml:space="preserve">, </w:t>
      </w:r>
      <w:hyperlink r:id="rId36" w:history="1">
        <w:r w:rsidRPr="005D14E2">
          <w:rPr>
            <w:rStyle w:val="Hyperlink"/>
            <w:rFonts w:ascii="Times New Roman" w:hAnsi="Times New Roman" w:cs="Times New Roman"/>
            <w:sz w:val="16"/>
            <w:szCs w:val="16"/>
            <w:lang w:val="sr-Cyrl-RS"/>
          </w:rPr>
          <w:t>https://www.mre.gov.rs/aktuelnosti/saopstenja/mihajloviceva-regionalni-krizni-plan-i-strateske-rezerve-gasa-ce-doneti-stabilnost-srbiji-i-zemljama-regiona</w:t>
        </w:r>
      </w:hyperlink>
      <w:r w:rsidRPr="005D14E2">
        <w:rPr>
          <w:rFonts w:ascii="Times New Roman" w:hAnsi="Times New Roman" w:cs="Times New Roman"/>
          <w:sz w:val="16"/>
          <w:szCs w:val="16"/>
          <w:lang w:val="sr-Cyrl-RS"/>
        </w:rPr>
        <w:t xml:space="preserve"> </w:t>
      </w:r>
    </w:p>
  </w:footnote>
  <w:footnote w:id="90">
    <w:p w14:paraId="4788F9F8" w14:textId="47E88A72" w:rsidR="008F5C3A" w:rsidRPr="005D14E2" w:rsidRDefault="008F5C3A" w:rsidP="005D14E2">
      <w:pPr>
        <w:pStyle w:val="f1"/>
        <w:jc w:val="both"/>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Дугогодишње вођење политике неекономске цене електричне енергије, узрок је високе специфичне потрошње електричне енергије по друштвеном производу и нерационалног удела овог (скупог) вида енергије у задовољењу укупне финалне потрошње енергије у Републици Србији.</w:t>
      </w:r>
      <w:r w:rsidRPr="005D14E2">
        <w:rPr>
          <w:rFonts w:ascii="Times New Roman" w:hAnsi="Times New Roman" w:cs="Times New Roman"/>
          <w:sz w:val="16"/>
          <w:szCs w:val="16"/>
          <w:lang w:val="sr-Cyrl-RS"/>
        </w:rPr>
        <w:t xml:space="preserve"> ЈП ЕПС је електричну енергију продавао купцима са правом на гарантовано снабдевање по регулисаним ценама, које су најниже у региону, и далеко испод нивоа за покриће трошкова пословања. Цене за комерцијалне купце</w:t>
      </w:r>
      <w:r w:rsidRPr="00083329">
        <w:rPr>
          <w:lang w:val="sr-Cyrl-RS"/>
        </w:rPr>
        <w:t xml:space="preserve"> </w:t>
      </w:r>
      <w:r w:rsidRPr="005D14E2">
        <w:rPr>
          <w:rFonts w:ascii="Times New Roman" w:hAnsi="Times New Roman" w:cs="Times New Roman"/>
          <w:sz w:val="16"/>
          <w:szCs w:val="16"/>
          <w:lang w:val="sr-Cyrl-RS"/>
        </w:rPr>
        <w:t xml:space="preserve">су у складу са препорукама Владе ограничене, и далеко испод тржишних цена. Такође, ЈП ЕПС испоручује електричну енергију ЕДС и </w:t>
      </w:r>
      <w:r w:rsidRPr="006B5F21">
        <w:rPr>
          <w:rFonts w:ascii="Times New Roman" w:hAnsi="Times New Roman" w:cs="Times New Roman"/>
          <w:sz w:val="16"/>
          <w:szCs w:val="16"/>
          <w:lang w:val="sr-Cyrl-RS"/>
        </w:rPr>
        <w:t>АД „Електромрежа Србије”</w:t>
      </w:r>
      <w:r w:rsidRPr="005D14E2">
        <w:rPr>
          <w:rFonts w:ascii="Times New Roman" w:hAnsi="Times New Roman" w:cs="Times New Roman"/>
          <w:sz w:val="16"/>
          <w:szCs w:val="16"/>
          <w:lang w:val="sr-Cyrl-RS"/>
        </w:rPr>
        <w:t xml:space="preserve"> по ценама испод тржишних.</w:t>
      </w:r>
    </w:p>
  </w:footnote>
  <w:footnote w:id="91">
    <w:p w14:paraId="6CEA77F5" w14:textId="3F1420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Pr>
          <w:rFonts w:ascii="Times New Roman" w:hAnsi="Times New Roman" w:cs="Times New Roman"/>
          <w:sz w:val="16"/>
          <w:szCs w:val="16"/>
          <w:lang w:val="sr-Latn-RS"/>
        </w:rPr>
        <w:t>EUROSTAT</w:t>
      </w:r>
      <w:r w:rsidRPr="005D14E2">
        <w:rPr>
          <w:rFonts w:ascii="Times New Roman" w:hAnsi="Times New Roman" w:cs="Times New Roman"/>
          <w:sz w:val="16"/>
          <w:szCs w:val="16"/>
          <w:lang w:val="sr-Cyrl-RS"/>
        </w:rPr>
        <w:t xml:space="preserve">, </w:t>
      </w:r>
      <w:hyperlink r:id="rId37" w:history="1">
        <w:r w:rsidRPr="005D14E2">
          <w:rPr>
            <w:rStyle w:val="Hyperlink"/>
            <w:rFonts w:ascii="Times New Roman" w:hAnsi="Times New Roman" w:cs="Times New Roman"/>
            <w:sz w:val="16"/>
            <w:szCs w:val="16"/>
            <w:lang w:val="sr-Cyrl-RS"/>
          </w:rPr>
          <w:t>https://ec.europa.eu/eurostat/databrowser/view/nrg_pc_204/default/table?lang=en</w:t>
        </w:r>
      </w:hyperlink>
      <w:r w:rsidRPr="005D14E2">
        <w:rPr>
          <w:rFonts w:ascii="Times New Roman" w:hAnsi="Times New Roman" w:cs="Times New Roman"/>
          <w:sz w:val="16"/>
          <w:szCs w:val="16"/>
          <w:lang w:val="sr-Cyrl-RS"/>
        </w:rPr>
        <w:t xml:space="preserve"> </w:t>
      </w:r>
    </w:p>
  </w:footnote>
  <w:footnote w:id="92">
    <w:p w14:paraId="7A08DC2D"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АЕРС, Извештај о раду агенције за енергетику за 2021. годину, </w:t>
      </w:r>
      <w:hyperlink r:id="rId38" w:history="1">
        <w:r w:rsidRPr="005D14E2">
          <w:rPr>
            <w:rStyle w:val="Hyperlink"/>
            <w:rFonts w:ascii="Times New Roman" w:hAnsi="Times New Roman" w:cs="Times New Roman"/>
            <w:sz w:val="16"/>
            <w:szCs w:val="16"/>
            <w:lang w:val="sr-Cyrl-RS"/>
          </w:rPr>
          <w:t>https://www.aers.rs/Files/Izvestaji/Godisnji/Izvestaj%20Agencije%202021.pdf</w:t>
        </w:r>
      </w:hyperlink>
      <w:r w:rsidRPr="005D14E2">
        <w:rPr>
          <w:rFonts w:ascii="Times New Roman" w:hAnsi="Times New Roman" w:cs="Times New Roman"/>
          <w:sz w:val="16"/>
          <w:szCs w:val="16"/>
          <w:lang w:val="sr-Cyrl-RS"/>
        </w:rPr>
        <w:t xml:space="preserve"> </w:t>
      </w:r>
    </w:p>
  </w:footnote>
  <w:footnote w:id="93">
    <w:p w14:paraId="40F39306"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АЕРС, Извештај о раду агенције за енергетику за 2021. годину, </w:t>
      </w:r>
      <w:hyperlink r:id="rId39" w:history="1">
        <w:r w:rsidRPr="005D14E2">
          <w:rPr>
            <w:rStyle w:val="Hyperlink"/>
            <w:rFonts w:ascii="Times New Roman" w:hAnsi="Times New Roman" w:cs="Times New Roman"/>
            <w:sz w:val="16"/>
            <w:szCs w:val="16"/>
            <w:lang w:val="sr-Cyrl-RS"/>
          </w:rPr>
          <w:t>https://www.aers.rs/Files/Izvestaji/Godisnji/Izvestaj%20Agencije%202021.pdf</w:t>
        </w:r>
      </w:hyperlink>
    </w:p>
  </w:footnote>
  <w:footnote w:id="94">
    <w:p w14:paraId="5B5C1D94"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АЕРС, Извештај о раду агенције за енергетику за 2021. годину, </w:t>
      </w:r>
      <w:hyperlink r:id="rId40" w:history="1">
        <w:r w:rsidRPr="005D14E2">
          <w:rPr>
            <w:rStyle w:val="Hyperlink"/>
            <w:rFonts w:ascii="Times New Roman" w:hAnsi="Times New Roman" w:cs="Times New Roman"/>
            <w:sz w:val="16"/>
            <w:szCs w:val="16"/>
            <w:lang w:val="sr-Cyrl-RS"/>
          </w:rPr>
          <w:t>https://www.aers.rs/Files/Izvestaji/Godisnji/Izvestaj%20Agencije%202021.pdf</w:t>
        </w:r>
      </w:hyperlink>
      <w:r w:rsidRPr="005D14E2">
        <w:rPr>
          <w:rFonts w:ascii="Times New Roman" w:hAnsi="Times New Roman" w:cs="Times New Roman"/>
          <w:sz w:val="16"/>
          <w:szCs w:val="16"/>
          <w:lang w:val="sr-Cyrl-RS"/>
        </w:rPr>
        <w:t xml:space="preserve"> </w:t>
      </w:r>
    </w:p>
  </w:footnote>
  <w:footnote w:id="95">
    <w:p w14:paraId="63056D39" w14:textId="022E4209" w:rsidR="008F5C3A" w:rsidRPr="00A37A7A" w:rsidRDefault="008F5C3A" w:rsidP="001E32DF">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М</w:t>
      </w:r>
      <w:r>
        <w:rPr>
          <w:rFonts w:ascii="Times New Roman" w:hAnsi="Times New Roman" w:cs="Times New Roman"/>
          <w:sz w:val="16"/>
          <w:szCs w:val="16"/>
          <w:lang w:val="sr-Cyrl-RS"/>
        </w:rPr>
        <w:t>инистарство финансија</w:t>
      </w:r>
      <w:r w:rsidRPr="00A37A7A">
        <w:rPr>
          <w:rFonts w:ascii="Times New Roman" w:hAnsi="Times New Roman" w:cs="Times New Roman"/>
          <w:sz w:val="16"/>
          <w:szCs w:val="16"/>
          <w:lang w:val="sr-Cyrl-RS"/>
        </w:rPr>
        <w:t xml:space="preserve"> </w:t>
      </w:r>
      <w:hyperlink r:id="rId41" w:history="1">
        <w:r w:rsidRPr="00A37A7A">
          <w:rPr>
            <w:rStyle w:val="Hyperlink"/>
            <w:rFonts w:ascii="Times New Roman" w:hAnsi="Times New Roman" w:cs="Times New Roman"/>
            <w:sz w:val="16"/>
            <w:szCs w:val="16"/>
            <w:lang w:val="sr-Cyrl-RS"/>
          </w:rPr>
          <w:t>https://www.mfin.gov.rs/dokumenti2/makroekonomski-i-fiskalni-podaci</w:t>
        </w:r>
      </w:hyperlink>
    </w:p>
    <w:p w14:paraId="623C0C28" w14:textId="77777777" w:rsidR="008F5C3A" w:rsidRPr="00A37A7A" w:rsidRDefault="008F5C3A" w:rsidP="001E32DF">
      <w:pPr>
        <w:pStyle w:val="f1"/>
        <w:jc w:val="both"/>
        <w:rPr>
          <w:rFonts w:ascii="Times New Roman" w:hAnsi="Times New Roman" w:cs="Times New Roman"/>
          <w:sz w:val="16"/>
          <w:szCs w:val="16"/>
          <w:lang w:val="sr-Cyrl-RS"/>
        </w:rPr>
      </w:pPr>
      <w:r w:rsidRPr="00A37A7A">
        <w:rPr>
          <w:rFonts w:ascii="Times New Roman" w:hAnsi="Times New Roman" w:cs="Times New Roman"/>
          <w:sz w:val="16"/>
          <w:szCs w:val="16"/>
          <w:lang w:val="sr-Cyrl-RS"/>
        </w:rPr>
        <w:t>Табела 2. Примања и издаци буџета Републике Србије од 2008. до 2021. године, према Закону о буџету, 4. август 2021. године</w:t>
      </w:r>
    </w:p>
  </w:footnote>
  <w:footnote w:id="96">
    <w:p w14:paraId="34AB3C50" w14:textId="43A80DB7" w:rsidR="008F5C3A" w:rsidRPr="00A37A7A" w:rsidRDefault="008F5C3A" w:rsidP="001E32DF">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М</w:t>
      </w:r>
      <w:r>
        <w:rPr>
          <w:rFonts w:ascii="Times New Roman" w:hAnsi="Times New Roman" w:cs="Times New Roman"/>
          <w:sz w:val="16"/>
          <w:szCs w:val="16"/>
          <w:lang w:val="sr-Cyrl-RS"/>
        </w:rPr>
        <w:t>инистарство финансија</w:t>
      </w:r>
      <w:r w:rsidRPr="00A37A7A">
        <w:rPr>
          <w:rFonts w:ascii="Times New Roman" w:hAnsi="Times New Roman" w:cs="Times New Roman"/>
          <w:sz w:val="16"/>
          <w:szCs w:val="16"/>
          <w:lang w:val="sr-Cyrl-RS"/>
        </w:rPr>
        <w:t xml:space="preserve">, Извештај о реализацији програма реформе управљања јавним финансијама 2021-2025. за 2021. годину, </w:t>
      </w:r>
      <w:hyperlink r:id="rId42" w:history="1">
        <w:r w:rsidRPr="00A37A7A">
          <w:rPr>
            <w:rStyle w:val="Hyperlink"/>
            <w:rFonts w:ascii="Times New Roman" w:hAnsi="Times New Roman" w:cs="Times New Roman"/>
            <w:sz w:val="16"/>
            <w:szCs w:val="16"/>
            <w:lang w:val="sr-Cyrl-RS"/>
          </w:rPr>
          <w:t>https://www.mfin.gov.rs//upload/media/iSlSql_62612e2c1ea88.pdf</w:t>
        </w:r>
      </w:hyperlink>
      <w:r w:rsidRPr="00A37A7A">
        <w:rPr>
          <w:rFonts w:ascii="Times New Roman" w:hAnsi="Times New Roman" w:cs="Times New Roman"/>
          <w:sz w:val="16"/>
          <w:szCs w:val="16"/>
          <w:lang w:val="sr-Cyrl-RS"/>
        </w:rPr>
        <w:t xml:space="preserve"> </w:t>
      </w:r>
    </w:p>
  </w:footnote>
  <w:footnote w:id="97">
    <w:p w14:paraId="2835A47A" w14:textId="54D26AAC"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Правилник о методологији за израду националног и локалног регистра извора загађивања, као и методологији за врсте, начине и рокове прикупљања података</w:t>
      </w:r>
      <w:r w:rsidRPr="00A37A7A">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w:t>
      </w:r>
      <w:r w:rsidRPr="00A37A7A">
        <w:rPr>
          <w:rFonts w:ascii="Times New Roman" w:hAnsi="Times New Roman" w:cs="Times New Roman"/>
          <w:sz w:val="16"/>
          <w:szCs w:val="16"/>
          <w:lang w:val="sr-Cyrl-RS"/>
        </w:rPr>
        <w:t>Службени гласник РС</w:t>
      </w:r>
      <w:r w:rsidRPr="009A621D">
        <w:rPr>
          <w:rFonts w:ascii="Times New Roman" w:hAnsi="Times New Roman" w:cs="Times New Roman"/>
          <w:sz w:val="16"/>
          <w:szCs w:val="16"/>
          <w:lang w:val="sr-Cyrl-RS"/>
        </w:rPr>
        <w:t>”</w:t>
      </w:r>
      <w:r>
        <w:rPr>
          <w:rFonts w:ascii="Times New Roman" w:hAnsi="Times New Roman" w:cs="Times New Roman"/>
          <w:sz w:val="16"/>
          <w:szCs w:val="16"/>
          <w:lang w:val="sr-Cyrl-RS"/>
        </w:rPr>
        <w:t xml:space="preserve">, </w:t>
      </w:r>
      <w:r w:rsidRPr="00A37A7A">
        <w:rPr>
          <w:rFonts w:ascii="Times New Roman" w:hAnsi="Times New Roman" w:cs="Times New Roman"/>
          <w:sz w:val="16"/>
          <w:szCs w:val="16"/>
          <w:lang w:val="sr-Cyrl-RS"/>
        </w:rPr>
        <w:t xml:space="preserve">број </w:t>
      </w:r>
      <w:r>
        <w:rPr>
          <w:rFonts w:ascii="Times New Roman" w:hAnsi="Times New Roman" w:cs="Times New Roman"/>
          <w:sz w:val="16"/>
          <w:szCs w:val="16"/>
          <w:lang w:val="sr-Cyrl-RS"/>
        </w:rPr>
        <w:t>91/10, 10/13 и 98</w:t>
      </w:r>
      <w:r w:rsidRPr="00A37A7A">
        <w:rPr>
          <w:rFonts w:ascii="Times New Roman" w:hAnsi="Times New Roman" w:cs="Times New Roman"/>
          <w:sz w:val="16"/>
          <w:szCs w:val="16"/>
          <w:lang w:val="sr-Cyrl-RS"/>
        </w:rPr>
        <w:t>/16</w:t>
      </w:r>
      <w:r>
        <w:rPr>
          <w:rFonts w:ascii="Times New Roman" w:hAnsi="Times New Roman" w:cs="Times New Roman"/>
          <w:sz w:val="16"/>
          <w:szCs w:val="16"/>
          <w:lang w:val="sr-Cyrl-RS"/>
        </w:rPr>
        <w:t>)</w:t>
      </w:r>
      <w:r w:rsidRPr="00A37A7A">
        <w:rPr>
          <w:rFonts w:ascii="Times New Roman" w:hAnsi="Times New Roman" w:cs="Times New Roman"/>
          <w:sz w:val="16"/>
          <w:szCs w:val="16"/>
          <w:lang w:val="sr-Cyrl-RS"/>
        </w:rPr>
        <w:t xml:space="preserve"> </w:t>
      </w:r>
      <w:hyperlink r:id="rId43" w:history="1">
        <w:r w:rsidRPr="00A37A7A">
          <w:rPr>
            <w:rStyle w:val="Hyperlink"/>
            <w:rFonts w:ascii="Times New Roman" w:hAnsi="Times New Roman" w:cs="Times New Roman"/>
            <w:sz w:val="16"/>
            <w:szCs w:val="16"/>
            <w:lang w:val="sr-Cyrl-RS"/>
          </w:rPr>
          <w:t>https://www.paragraf.rs/propisi/pravilnik-metodologiji-izradu-registra-izvora-zagadjivanja.html</w:t>
        </w:r>
      </w:hyperlink>
      <w:r w:rsidRPr="00A37A7A">
        <w:rPr>
          <w:rFonts w:ascii="Times New Roman" w:hAnsi="Times New Roman" w:cs="Times New Roman"/>
          <w:sz w:val="16"/>
          <w:szCs w:val="16"/>
          <w:lang w:val="sr-Cyrl-RS"/>
        </w:rPr>
        <w:t xml:space="preserve"> </w:t>
      </w:r>
    </w:p>
  </w:footnote>
  <w:footnote w:id="98">
    <w:p w14:paraId="2CF3A6E0"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 xml:space="preserve">РЗС, Рачун емисије у ваздуху за 2020., </w:t>
      </w:r>
      <w:hyperlink r:id="rId44" w:history="1">
        <w:r w:rsidRPr="00A37A7A">
          <w:rPr>
            <w:rStyle w:val="Hyperlink"/>
            <w:rFonts w:ascii="Times New Roman" w:hAnsi="Times New Roman" w:cs="Times New Roman"/>
            <w:sz w:val="16"/>
            <w:szCs w:val="16"/>
          </w:rPr>
          <w:t>https://publikacije.stat.gov.rs/G2022/Html/G20221262.html</w:t>
        </w:r>
      </w:hyperlink>
      <w:r w:rsidRPr="00A37A7A">
        <w:rPr>
          <w:rFonts w:ascii="Times New Roman" w:hAnsi="Times New Roman" w:cs="Times New Roman"/>
          <w:sz w:val="16"/>
          <w:szCs w:val="16"/>
          <w:lang w:val="sr-Cyrl-RS"/>
        </w:rPr>
        <w:t xml:space="preserve">  </w:t>
      </w:r>
    </w:p>
  </w:footnote>
  <w:footnote w:id="99">
    <w:p w14:paraId="1A55AEF4"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 xml:space="preserve">РЗС, Снабдевање питком водом и отпадне воде из насеља, 2021., </w:t>
      </w:r>
      <w:hyperlink r:id="rId45" w:history="1">
        <w:r w:rsidRPr="00A37A7A">
          <w:rPr>
            <w:rStyle w:val="Hyperlink"/>
            <w:rFonts w:ascii="Times New Roman" w:hAnsi="Times New Roman" w:cs="Times New Roman"/>
            <w:sz w:val="16"/>
            <w:szCs w:val="16"/>
            <w:lang w:val="sr-Cyrl-RS"/>
          </w:rPr>
          <w:t>https://publikacije.stat.gov.rs/G2022/Html/G20221129.html</w:t>
        </w:r>
      </w:hyperlink>
      <w:r w:rsidRPr="00A37A7A">
        <w:rPr>
          <w:rFonts w:ascii="Times New Roman" w:hAnsi="Times New Roman" w:cs="Times New Roman"/>
          <w:sz w:val="16"/>
          <w:szCs w:val="16"/>
          <w:lang w:val="sr-Cyrl-RS"/>
        </w:rPr>
        <w:t xml:space="preserve"> </w:t>
      </w:r>
    </w:p>
  </w:footnote>
  <w:footnote w:id="100">
    <w:p w14:paraId="6425765E"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 xml:space="preserve">РЗС, Створени и третирани отпад, 2021., </w:t>
      </w:r>
      <w:hyperlink r:id="rId46" w:history="1">
        <w:r w:rsidRPr="00A37A7A">
          <w:rPr>
            <w:rStyle w:val="Hyperlink"/>
            <w:rFonts w:ascii="Times New Roman" w:hAnsi="Times New Roman" w:cs="Times New Roman"/>
            <w:sz w:val="16"/>
            <w:szCs w:val="16"/>
            <w:lang w:val="sr-Cyrl-RS"/>
          </w:rPr>
          <w:t>https://publikacije.stat.gov.rs/G2022/Html/G20221184.html</w:t>
        </w:r>
      </w:hyperlink>
      <w:r w:rsidRPr="00A37A7A">
        <w:rPr>
          <w:rFonts w:ascii="Times New Roman" w:hAnsi="Times New Roman" w:cs="Times New Roman"/>
          <w:sz w:val="16"/>
          <w:szCs w:val="16"/>
          <w:lang w:val="sr-Cyrl-RS"/>
        </w:rPr>
        <w:t xml:space="preserve"> </w:t>
      </w:r>
    </w:p>
  </w:footnote>
  <w:footnote w:id="101">
    <w:p w14:paraId="0C3AE90A" w14:textId="77777777" w:rsidR="008F5C3A" w:rsidRPr="00A37A7A" w:rsidRDefault="008F5C3A" w:rsidP="00A37A7A">
      <w:pPr>
        <w:pStyle w:val="f1"/>
        <w:jc w:val="both"/>
        <w:rPr>
          <w:rFonts w:ascii="Times New Roman" w:hAnsi="Times New Roman" w:cs="Times New Roman"/>
          <w:sz w:val="16"/>
          <w:szCs w:val="16"/>
          <w:lang w:val="sr-Latn-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Eurostat</w:t>
      </w:r>
      <w:r w:rsidRPr="00A37A7A">
        <w:rPr>
          <w:rFonts w:ascii="Times New Roman" w:hAnsi="Times New Roman" w:cs="Times New Roman"/>
          <w:sz w:val="16"/>
          <w:szCs w:val="16"/>
          <w:lang w:val="sr-Latn-RS"/>
        </w:rPr>
        <w:t xml:space="preserve">, </w:t>
      </w:r>
      <w:hyperlink r:id="rId47" w:history="1">
        <w:r w:rsidRPr="00A37A7A">
          <w:rPr>
            <w:rStyle w:val="Hyperlink"/>
            <w:rFonts w:ascii="Times New Roman" w:hAnsi="Times New Roman" w:cs="Times New Roman"/>
            <w:sz w:val="16"/>
            <w:szCs w:val="16"/>
            <w:lang w:val="sr-Latn-RS"/>
          </w:rPr>
          <w:t>https://ec.europa.eu/eurostat/databrowser/view/cei_pc032/default/table?lang=en</w:t>
        </w:r>
      </w:hyperlink>
      <w:r w:rsidRPr="00A37A7A">
        <w:rPr>
          <w:rFonts w:ascii="Times New Roman" w:hAnsi="Times New Roman" w:cs="Times New Roman"/>
          <w:sz w:val="16"/>
          <w:szCs w:val="16"/>
          <w:lang w:val="sr-Latn-RS"/>
        </w:rPr>
        <w:t xml:space="preserve"> </w:t>
      </w:r>
    </w:p>
  </w:footnote>
  <w:footnote w:id="102">
    <w:p w14:paraId="4B0AE5E5"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 xml:space="preserve">РЗС, Шумарство у Републици Србији, 2021. </w:t>
      </w:r>
      <w:hyperlink r:id="rId48" w:history="1">
        <w:r w:rsidRPr="00A37A7A">
          <w:rPr>
            <w:rStyle w:val="Hyperlink"/>
            <w:rFonts w:ascii="Times New Roman" w:hAnsi="Times New Roman" w:cs="Times New Roman"/>
            <w:sz w:val="16"/>
            <w:szCs w:val="16"/>
          </w:rPr>
          <w:t>https://publikacije.stat.gov.rs/G2022/Pdf/G20225684.pdf</w:t>
        </w:r>
      </w:hyperlink>
      <w:r w:rsidRPr="00A37A7A">
        <w:rPr>
          <w:rFonts w:ascii="Times New Roman" w:hAnsi="Times New Roman" w:cs="Times New Roman"/>
          <w:sz w:val="16"/>
          <w:szCs w:val="16"/>
          <w:lang w:val="sr-Cyrl-RS"/>
        </w:rPr>
        <w:t>; Истраживање о променама у површинама шума се спроводи у трогодишњој периодици.</w:t>
      </w:r>
    </w:p>
  </w:footnote>
  <w:footnote w:id="103">
    <w:p w14:paraId="7C22640B"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 xml:space="preserve">РЗС, Подизање и гајење шума 2021., </w:t>
      </w:r>
      <w:hyperlink r:id="rId49" w:history="1">
        <w:r w:rsidRPr="00A37A7A">
          <w:rPr>
            <w:rStyle w:val="Hyperlink"/>
            <w:rFonts w:ascii="Times New Roman" w:hAnsi="Times New Roman" w:cs="Times New Roman"/>
            <w:sz w:val="16"/>
            <w:szCs w:val="16"/>
            <w:lang w:val="sr-Cyrl-RS"/>
          </w:rPr>
          <w:t>https://publikacije.stat.gov.rs/G2022/Pdf/G20221128.pdf</w:t>
        </w:r>
      </w:hyperlink>
      <w:r w:rsidRPr="00A37A7A">
        <w:rPr>
          <w:rFonts w:ascii="Times New Roman" w:hAnsi="Times New Roman" w:cs="Times New Roman"/>
          <w:sz w:val="16"/>
          <w:szCs w:val="16"/>
          <w:lang w:val="sr-Cyrl-RS"/>
        </w:rPr>
        <w:t xml:space="preserve"> </w:t>
      </w:r>
    </w:p>
  </w:footnote>
  <w:footnote w:id="104">
    <w:p w14:paraId="4E6502BD"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 xml:space="preserve">РЗС, Рачун накнада у области животне средине, 2020., </w:t>
      </w:r>
      <w:hyperlink r:id="rId50" w:history="1">
        <w:r w:rsidRPr="00A37A7A">
          <w:rPr>
            <w:rStyle w:val="Hyperlink"/>
            <w:rFonts w:ascii="Times New Roman" w:hAnsi="Times New Roman" w:cs="Times New Roman"/>
            <w:sz w:val="16"/>
            <w:szCs w:val="16"/>
            <w:lang w:val="sr-Cyrl-RS"/>
          </w:rPr>
          <w:t>https://publikacije.stat.gov.rs/G2022/Pdf/G20221097.pdf</w:t>
        </w:r>
      </w:hyperlink>
      <w:r w:rsidRPr="00A37A7A">
        <w:rPr>
          <w:rFonts w:ascii="Times New Roman" w:hAnsi="Times New Roman" w:cs="Times New Roman"/>
          <w:sz w:val="16"/>
          <w:szCs w:val="16"/>
          <w:lang w:val="sr-Cyrl-RS"/>
        </w:rPr>
        <w:t xml:space="preserve"> </w:t>
      </w:r>
    </w:p>
  </w:footnote>
  <w:footnote w:id="105">
    <w:p w14:paraId="1426F989"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РЗС, Трошкови заштите животне средине 202</w:t>
      </w:r>
      <w:r>
        <w:rPr>
          <w:rFonts w:ascii="Times New Roman" w:hAnsi="Times New Roman" w:cs="Times New Roman"/>
          <w:sz w:val="16"/>
          <w:szCs w:val="16"/>
          <w:lang w:val="sr-Cyrl-RS"/>
        </w:rPr>
        <w:t>1</w:t>
      </w:r>
      <w:r w:rsidRPr="00A37A7A">
        <w:rPr>
          <w:rFonts w:ascii="Times New Roman" w:hAnsi="Times New Roman" w:cs="Times New Roman"/>
          <w:sz w:val="16"/>
          <w:szCs w:val="16"/>
          <w:lang w:val="sr-Cyrl-RS"/>
        </w:rPr>
        <w:t xml:space="preserve">., </w:t>
      </w:r>
      <w:hyperlink r:id="rId51" w:history="1">
        <w:r w:rsidRPr="008E09DF">
          <w:rPr>
            <w:rStyle w:val="Hyperlink"/>
            <w:rFonts w:ascii="Times New Roman" w:hAnsi="Times New Roman" w:cs="Times New Roman"/>
            <w:sz w:val="16"/>
            <w:szCs w:val="16"/>
            <w:lang w:val="sr-Cyrl-RS"/>
          </w:rPr>
          <w:t>https://publikacije.stat.gov.rs/G2022/Pdf/G20221291.pdf</w:t>
        </w:r>
      </w:hyperlink>
      <w:r>
        <w:rPr>
          <w:rFonts w:ascii="Times New Roman" w:hAnsi="Times New Roman" w:cs="Times New Roman"/>
          <w:sz w:val="16"/>
          <w:szCs w:val="16"/>
          <w:lang w:val="sr-Cyrl-RS"/>
        </w:rPr>
        <w:t xml:space="preserve"> </w:t>
      </w:r>
    </w:p>
  </w:footnote>
  <w:footnote w:id="106">
    <w:p w14:paraId="363FAD53" w14:textId="2753307D" w:rsidR="008F5C3A" w:rsidRPr="00554773" w:rsidRDefault="008F5C3A" w:rsidP="00D210F0">
      <w:pPr>
        <w:pStyle w:val="f1"/>
        <w:jc w:val="both"/>
        <w:rPr>
          <w:rFonts w:ascii="Times New Roman" w:hAnsi="Times New Roman" w:cs="Times New Roman"/>
          <w:sz w:val="16"/>
          <w:szCs w:val="16"/>
          <w:lang w:val="sr-Cyrl-RS"/>
        </w:rPr>
      </w:pPr>
      <w:r w:rsidRPr="00554773">
        <w:rPr>
          <w:rStyle w:val="FootnoteReference"/>
          <w:rFonts w:ascii="Times New Roman" w:hAnsi="Times New Roman" w:cs="Times New Roman"/>
          <w:sz w:val="16"/>
          <w:szCs w:val="16"/>
          <w:lang w:val="sr-Cyrl-RS"/>
        </w:rPr>
        <w:footnoteRef/>
      </w:r>
      <w:r w:rsidRPr="00554773">
        <w:rPr>
          <w:rFonts w:ascii="Times New Roman" w:hAnsi="Times New Roman" w:cs="Times New Roman"/>
          <w:sz w:val="16"/>
          <w:szCs w:val="16"/>
          <w:lang w:val="sr-Cyrl-RS"/>
        </w:rPr>
        <w:t xml:space="preserve"> Извоз ИКТ услуга износио је: 611 милиона евра у 2015. (раст 25,5% мг), 740 милиона евра у 2016. (раст 21,1% мг), 899 милиона евра у 2017. (21,6% мг), 1,13 млрд. евра у 2018. (раст 26,2%) и 1,4 млрд. у 2019. (раст 25,4% мг). Извор: </w:t>
      </w:r>
      <w:r w:rsidRPr="001571AD">
        <w:rPr>
          <w:rFonts w:ascii="Times New Roman" w:hAnsi="Times New Roman" w:cs="Times New Roman"/>
          <w:sz w:val="16"/>
          <w:szCs w:val="16"/>
          <w:lang w:val="sr-Cyrl-RS"/>
        </w:rPr>
        <w:t>Народна банка Србије, Платни биланс Републике Србије</w:t>
      </w:r>
      <w:r w:rsidRPr="00554773">
        <w:rPr>
          <w:rFonts w:ascii="Times New Roman" w:hAnsi="Times New Roman" w:cs="Times New Roman"/>
          <w:sz w:val="16"/>
          <w:szCs w:val="16"/>
          <w:lang w:val="sr-Cyrl-RS"/>
        </w:rPr>
        <w:t>, шира шема; ставка „Услуге телекомуникација, компјутерске и информацијске услуге”</w:t>
      </w:r>
    </w:p>
  </w:footnote>
  <w:footnote w:id="107">
    <w:p w14:paraId="43E9179A" w14:textId="3B5AF461" w:rsidR="008F5C3A" w:rsidRPr="00554773" w:rsidRDefault="008F5C3A" w:rsidP="00D210F0">
      <w:pPr>
        <w:pStyle w:val="f1"/>
        <w:jc w:val="both"/>
        <w:rPr>
          <w:rFonts w:ascii="Times New Roman" w:hAnsi="Times New Roman" w:cs="Times New Roman"/>
          <w:sz w:val="16"/>
          <w:szCs w:val="16"/>
          <w:lang w:val="sr-Cyrl-RS"/>
        </w:rPr>
      </w:pPr>
      <w:r w:rsidRPr="00554773">
        <w:rPr>
          <w:rFonts w:ascii="Times New Roman" w:hAnsi="Times New Roman" w:cs="Times New Roman"/>
          <w:sz w:val="16"/>
          <w:szCs w:val="16"/>
          <w:vertAlign w:val="superscript"/>
          <w:lang w:val="sr-Cyrl-RS"/>
        </w:rPr>
        <w:footnoteRef/>
      </w:r>
      <w:r w:rsidRPr="00554773">
        <w:rPr>
          <w:rFonts w:ascii="Times New Roman" w:hAnsi="Times New Roman" w:cs="Times New Roman"/>
          <w:sz w:val="16"/>
          <w:szCs w:val="16"/>
          <w:lang w:val="sr-Cyrl-RS"/>
        </w:rPr>
        <w:t xml:space="preserve"> Извор: Н</w:t>
      </w:r>
      <w:r>
        <w:rPr>
          <w:rFonts w:ascii="Times New Roman" w:hAnsi="Times New Roman" w:cs="Times New Roman"/>
          <w:sz w:val="16"/>
          <w:szCs w:val="16"/>
          <w:lang w:val="sr-Cyrl-RS"/>
        </w:rPr>
        <w:t>ародна банка Србије</w:t>
      </w:r>
      <w:r w:rsidRPr="00554773">
        <w:rPr>
          <w:rFonts w:ascii="Times New Roman" w:hAnsi="Times New Roman" w:cs="Times New Roman"/>
          <w:sz w:val="16"/>
          <w:szCs w:val="16"/>
          <w:lang w:val="sr-Cyrl-RS"/>
        </w:rPr>
        <w:t>, Платни биланс Р</w:t>
      </w:r>
      <w:r>
        <w:rPr>
          <w:rFonts w:ascii="Times New Roman" w:hAnsi="Times New Roman" w:cs="Times New Roman"/>
          <w:sz w:val="16"/>
          <w:szCs w:val="16"/>
          <w:lang w:val="sr-Cyrl-RS"/>
        </w:rPr>
        <w:t>епублике Србије</w:t>
      </w:r>
      <w:r w:rsidRPr="00554773">
        <w:rPr>
          <w:rFonts w:ascii="Times New Roman" w:hAnsi="Times New Roman" w:cs="Times New Roman"/>
          <w:sz w:val="16"/>
          <w:szCs w:val="16"/>
          <w:lang w:val="sr-Cyrl-RS"/>
        </w:rPr>
        <w:t>, шира шема; ставка „Услуге телекомуникација, компјутерске и информацијске услуге”</w:t>
      </w:r>
    </w:p>
  </w:footnote>
  <w:footnote w:id="108">
    <w:p w14:paraId="603B4F9A" w14:textId="77777777" w:rsidR="008F5C3A" w:rsidRPr="00554773" w:rsidRDefault="008F5C3A" w:rsidP="00D210F0">
      <w:pPr>
        <w:pStyle w:val="f1"/>
        <w:jc w:val="both"/>
        <w:rPr>
          <w:rFonts w:ascii="Times New Roman" w:hAnsi="Times New Roman" w:cs="Times New Roman"/>
          <w:sz w:val="16"/>
          <w:szCs w:val="16"/>
          <w:lang w:val="sr-Cyrl-RS"/>
        </w:rPr>
      </w:pPr>
      <w:r w:rsidRPr="00554773">
        <w:rPr>
          <w:rFonts w:ascii="Times New Roman" w:hAnsi="Times New Roman" w:cs="Times New Roman"/>
          <w:sz w:val="16"/>
          <w:szCs w:val="16"/>
          <w:vertAlign w:val="superscript"/>
          <w:lang w:val="sr-Cyrl-RS"/>
        </w:rPr>
        <w:footnoteRef/>
      </w:r>
      <w:r w:rsidRPr="00554773">
        <w:rPr>
          <w:rFonts w:ascii="Times New Roman" w:hAnsi="Times New Roman" w:cs="Times New Roman"/>
          <w:sz w:val="16"/>
          <w:szCs w:val="16"/>
          <w:lang w:val="sr-Cyrl-RS"/>
        </w:rPr>
        <w:t xml:space="preserve"> Извор: РЗС, Регистрована запосленост, годишњи просек 2020; ставка Телекомуникације, Рачунарско програмирање и консултантске делатности, Информационе услужне делатности </w:t>
      </w:r>
      <w:hyperlink r:id="rId52" w:history="1">
        <w:r w:rsidRPr="00554773">
          <w:rPr>
            <w:rStyle w:val="Hyperlink1"/>
            <w:rFonts w:ascii="Times New Roman" w:hAnsi="Times New Roman" w:cs="Times New Roman"/>
            <w:sz w:val="16"/>
            <w:szCs w:val="16"/>
            <w:lang w:val="sr-Cyrl-RS"/>
          </w:rPr>
          <w:t>https://publikacije.stat.gov.rs/G2021/Pdf/G20211014.pdf</w:t>
        </w:r>
      </w:hyperlink>
      <w:r w:rsidRPr="00554773">
        <w:rPr>
          <w:rFonts w:ascii="Times New Roman" w:hAnsi="Times New Roman" w:cs="Times New Roman"/>
          <w:sz w:val="16"/>
          <w:szCs w:val="16"/>
          <w:lang w:val="sr-Cyrl-RS"/>
        </w:rPr>
        <w:t xml:space="preserve"> </w:t>
      </w:r>
    </w:p>
  </w:footnote>
  <w:footnote w:id="109">
    <w:p w14:paraId="5E69ACEC" w14:textId="77777777" w:rsidR="008F5C3A" w:rsidRPr="00C644B0" w:rsidRDefault="008F5C3A" w:rsidP="00D210F0">
      <w:pPr>
        <w:pStyle w:val="f1"/>
        <w:jc w:val="both"/>
        <w:rPr>
          <w:rFonts w:ascii="Times New Roman" w:hAnsi="Times New Roman" w:cs="Times New Roman"/>
          <w:sz w:val="16"/>
          <w:szCs w:val="16"/>
          <w:lang w:val="sr-Cyrl-RS"/>
        </w:rPr>
      </w:pPr>
      <w:r w:rsidRPr="00554773">
        <w:rPr>
          <w:rFonts w:ascii="Times New Roman" w:hAnsi="Times New Roman" w:cs="Times New Roman"/>
          <w:sz w:val="16"/>
          <w:szCs w:val="16"/>
          <w:vertAlign w:val="superscript"/>
          <w:lang w:val="sr-Cyrl-RS"/>
        </w:rPr>
        <w:footnoteRef/>
      </w:r>
      <w:r w:rsidRPr="00554773">
        <w:rPr>
          <w:rFonts w:ascii="Times New Roman" w:hAnsi="Times New Roman" w:cs="Times New Roman"/>
          <w:sz w:val="16"/>
          <w:szCs w:val="16"/>
          <w:lang w:val="sr-Cyrl-RS"/>
        </w:rPr>
        <w:t xml:space="preserve"> Network Readiness Index 2020, </w:t>
      </w:r>
      <w:hyperlink r:id="rId53" w:history="1">
        <w:r w:rsidRPr="002D4187">
          <w:rPr>
            <w:rStyle w:val="Hyperlink"/>
            <w:rFonts w:ascii="Times New Roman" w:hAnsi="Times New Roman" w:cs="Times New Roman"/>
            <w:sz w:val="16"/>
            <w:szCs w:val="16"/>
          </w:rPr>
          <w:t>https://networkreadinessindex.org/wp-content/uploads/reports/serbia.pdf</w:t>
        </w:r>
      </w:hyperlink>
      <w:r>
        <w:rPr>
          <w:rFonts w:ascii="Times New Roman" w:hAnsi="Times New Roman" w:cs="Times New Roman"/>
          <w:sz w:val="16"/>
          <w:szCs w:val="16"/>
          <w:lang w:val="sr-Cyrl-RS"/>
        </w:rPr>
        <w:t xml:space="preserve"> </w:t>
      </w:r>
    </w:p>
  </w:footnote>
  <w:footnote w:id="110">
    <w:p w14:paraId="171BBBBE" w14:textId="2B5DF58C" w:rsidR="008F5C3A" w:rsidRPr="00554773" w:rsidRDefault="008F5C3A" w:rsidP="00D210F0">
      <w:pPr>
        <w:pStyle w:val="f1"/>
        <w:jc w:val="both"/>
        <w:rPr>
          <w:rFonts w:ascii="Times New Roman" w:hAnsi="Times New Roman" w:cs="Times New Roman"/>
          <w:sz w:val="16"/>
          <w:szCs w:val="16"/>
          <w:lang w:val="sr-Cyrl-RS"/>
        </w:rPr>
      </w:pPr>
      <w:r w:rsidRPr="00554773">
        <w:rPr>
          <w:rStyle w:val="FootnoteReference"/>
          <w:rFonts w:ascii="Times New Roman" w:hAnsi="Times New Roman" w:cs="Times New Roman"/>
          <w:sz w:val="16"/>
          <w:szCs w:val="16"/>
          <w:lang w:val="sr-Cyrl-RS"/>
        </w:rPr>
        <w:footnoteRef/>
      </w:r>
      <w:r w:rsidRPr="00554773">
        <w:rPr>
          <w:rFonts w:ascii="Times New Roman" w:hAnsi="Times New Roman" w:cs="Times New Roman"/>
          <w:sz w:val="16"/>
          <w:szCs w:val="16"/>
          <w:lang w:val="sr-Cyrl-RS"/>
        </w:rPr>
        <w:t xml:space="preserve"> Закон</w:t>
      </w:r>
      <w:r>
        <w:rPr>
          <w:rFonts w:ascii="Times New Roman" w:hAnsi="Times New Roman" w:cs="Times New Roman"/>
          <w:sz w:val="16"/>
          <w:szCs w:val="16"/>
          <w:lang w:val="sr-Cyrl-RS"/>
        </w:rPr>
        <w:t xml:space="preserve"> о дигиталној имовини („Службени гласник РС</w:t>
      </w:r>
      <w:r w:rsidRPr="00815ACD">
        <w:rPr>
          <w:rFonts w:ascii="Times New Roman" w:hAnsi="Times New Roman" w:cs="Times New Roman"/>
          <w:sz w:val="16"/>
          <w:szCs w:val="16"/>
          <w:lang w:val="sr-Cyrl-RS"/>
        </w:rPr>
        <w:t>”</w:t>
      </w:r>
      <w:r>
        <w:rPr>
          <w:rFonts w:ascii="Times New Roman" w:hAnsi="Times New Roman" w:cs="Times New Roman"/>
          <w:sz w:val="16"/>
          <w:szCs w:val="16"/>
          <w:lang w:val="sr-Cyrl-RS"/>
        </w:rPr>
        <w:t>, број</w:t>
      </w:r>
      <w:r w:rsidRPr="00554773">
        <w:rPr>
          <w:rFonts w:ascii="Times New Roman" w:hAnsi="Times New Roman" w:cs="Times New Roman"/>
          <w:sz w:val="16"/>
          <w:szCs w:val="16"/>
          <w:lang w:val="sr-Cyrl-RS"/>
        </w:rPr>
        <w:t xml:space="preserve"> 153/20); Зaкoн o eлeктрoнскoм фaктурисaњу („Службени гласник РС</w:t>
      </w:r>
      <w:r w:rsidRPr="003C1DFF">
        <w:rPr>
          <w:rFonts w:ascii="Times New Roman" w:hAnsi="Times New Roman" w:cs="Times New Roman"/>
          <w:sz w:val="16"/>
          <w:szCs w:val="16"/>
          <w:lang w:val="sr-Cyrl-RS"/>
        </w:rPr>
        <w:t>”</w:t>
      </w:r>
      <w:r w:rsidRPr="00554773">
        <w:rPr>
          <w:rFonts w:ascii="Times New Roman" w:hAnsi="Times New Roman" w:cs="Times New Roman"/>
          <w:sz w:val="16"/>
          <w:szCs w:val="16"/>
          <w:lang w:val="sr-Cyrl-RS"/>
        </w:rPr>
        <w:t>, бр</w:t>
      </w:r>
      <w:r>
        <w:rPr>
          <w:rFonts w:ascii="Times New Roman" w:hAnsi="Times New Roman" w:cs="Times New Roman"/>
          <w:sz w:val="16"/>
          <w:szCs w:val="16"/>
          <w:lang w:val="sr-Cyrl-RS"/>
        </w:rPr>
        <w:t>.</w:t>
      </w:r>
      <w:r w:rsidRPr="00554773">
        <w:rPr>
          <w:rFonts w:ascii="Times New Roman" w:hAnsi="Times New Roman" w:cs="Times New Roman"/>
          <w:sz w:val="16"/>
          <w:szCs w:val="16"/>
          <w:lang w:val="sr-Cyrl-RS"/>
        </w:rPr>
        <w:t xml:space="preserve"> 44/21</w:t>
      </w:r>
      <w:r>
        <w:rPr>
          <w:rFonts w:ascii="Times New Roman" w:hAnsi="Times New Roman" w:cs="Times New Roman"/>
          <w:sz w:val="16"/>
          <w:szCs w:val="16"/>
          <w:lang w:val="sr-Cyrl-RS"/>
        </w:rPr>
        <w:t>,</w:t>
      </w:r>
      <w:r w:rsidRPr="00554773">
        <w:rPr>
          <w:rFonts w:ascii="Times New Roman" w:hAnsi="Times New Roman" w:cs="Times New Roman"/>
          <w:sz w:val="16"/>
          <w:szCs w:val="16"/>
          <w:lang w:val="sr-Cyrl-RS"/>
        </w:rPr>
        <w:t xml:space="preserve"> 129/21</w:t>
      </w:r>
      <w:r>
        <w:rPr>
          <w:rFonts w:ascii="Times New Roman" w:hAnsi="Times New Roman" w:cs="Times New Roman"/>
          <w:sz w:val="16"/>
          <w:szCs w:val="16"/>
          <w:lang w:val="sr-Cyrl-RS"/>
        </w:rPr>
        <w:t xml:space="preserve"> и 138/22</w:t>
      </w:r>
      <w:r w:rsidRPr="00554773">
        <w:rPr>
          <w:rFonts w:ascii="Times New Roman" w:hAnsi="Times New Roman" w:cs="Times New Roman"/>
          <w:sz w:val="16"/>
          <w:szCs w:val="16"/>
          <w:lang w:val="sr-Cyrl-RS"/>
        </w:rPr>
        <w:t>); Закон о изменама и допунама Закона о електронском документу, електронској идентификацији и услугама од поверења у е</w:t>
      </w:r>
      <w:r>
        <w:rPr>
          <w:rFonts w:ascii="Times New Roman" w:hAnsi="Times New Roman" w:cs="Times New Roman"/>
          <w:sz w:val="16"/>
          <w:szCs w:val="16"/>
          <w:lang w:val="sr-Cyrl-RS"/>
        </w:rPr>
        <w:t>лектронском пословању („Службени гласник РС</w:t>
      </w:r>
      <w:r w:rsidRPr="003C1DFF">
        <w:rPr>
          <w:rFonts w:ascii="Times New Roman" w:hAnsi="Times New Roman" w:cs="Times New Roman"/>
          <w:sz w:val="16"/>
          <w:szCs w:val="16"/>
          <w:lang w:val="sr-Cyrl-RS"/>
        </w:rPr>
        <w:t>”</w:t>
      </w:r>
      <w:r>
        <w:rPr>
          <w:rFonts w:ascii="Times New Roman" w:hAnsi="Times New Roman" w:cs="Times New Roman"/>
          <w:sz w:val="16"/>
          <w:szCs w:val="16"/>
          <w:lang w:val="sr-Cyrl-RS"/>
        </w:rPr>
        <w:t>, број</w:t>
      </w:r>
      <w:r w:rsidRPr="00554773">
        <w:rPr>
          <w:rFonts w:ascii="Times New Roman" w:hAnsi="Times New Roman" w:cs="Times New Roman"/>
          <w:sz w:val="16"/>
          <w:szCs w:val="16"/>
          <w:lang w:val="sr-Cyrl-RS"/>
        </w:rPr>
        <w:t xml:space="preserve"> 52/21)</w:t>
      </w:r>
    </w:p>
  </w:footnote>
  <w:footnote w:id="111">
    <w:p w14:paraId="1DFE31FB" w14:textId="1A58499C" w:rsidR="008F5C3A" w:rsidRPr="00554773" w:rsidRDefault="008F5C3A" w:rsidP="00D210F0">
      <w:pPr>
        <w:pStyle w:val="f1"/>
        <w:jc w:val="both"/>
        <w:rPr>
          <w:rFonts w:ascii="Times New Roman" w:hAnsi="Times New Roman" w:cs="Times New Roman"/>
          <w:sz w:val="16"/>
          <w:szCs w:val="16"/>
          <w:lang w:val="sr-Cyrl-RS"/>
        </w:rPr>
      </w:pPr>
      <w:r w:rsidRPr="00554773">
        <w:rPr>
          <w:rStyle w:val="FootnoteReference"/>
          <w:rFonts w:ascii="Times New Roman" w:hAnsi="Times New Roman" w:cs="Times New Roman"/>
          <w:sz w:val="16"/>
          <w:szCs w:val="16"/>
          <w:lang w:val="sr-Cyrl-RS"/>
        </w:rPr>
        <w:footnoteRef/>
      </w:r>
      <w:r w:rsidRPr="00554773">
        <w:rPr>
          <w:rFonts w:ascii="Times New Roman" w:hAnsi="Times New Roman" w:cs="Times New Roman"/>
          <w:sz w:val="16"/>
          <w:szCs w:val="16"/>
          <w:lang w:val="sr-Cyrl-RS"/>
        </w:rPr>
        <w:t xml:space="preserve"> Стратегија развоја дигиталних вештина у Републици Србији за период од </w:t>
      </w:r>
      <w:r>
        <w:rPr>
          <w:rFonts w:ascii="Times New Roman" w:hAnsi="Times New Roman" w:cs="Times New Roman"/>
          <w:sz w:val="16"/>
          <w:szCs w:val="16"/>
          <w:lang w:val="sr-Cyrl-RS"/>
        </w:rPr>
        <w:t>2020. до 2024. године („Службени гласник РС</w:t>
      </w:r>
      <w:r w:rsidRPr="003C1DFF">
        <w:rPr>
          <w:rFonts w:ascii="Times New Roman" w:hAnsi="Times New Roman" w:cs="Times New Roman"/>
          <w:sz w:val="16"/>
          <w:szCs w:val="16"/>
          <w:lang w:val="sr-Cyrl-RS"/>
        </w:rPr>
        <w:t>”</w:t>
      </w:r>
      <w:r>
        <w:rPr>
          <w:rFonts w:ascii="Times New Roman" w:hAnsi="Times New Roman" w:cs="Times New Roman"/>
          <w:sz w:val="16"/>
          <w:szCs w:val="16"/>
          <w:lang w:val="sr-Cyrl-RS"/>
        </w:rPr>
        <w:t>, број</w:t>
      </w:r>
      <w:r w:rsidRPr="00554773">
        <w:rPr>
          <w:rFonts w:ascii="Times New Roman" w:hAnsi="Times New Roman" w:cs="Times New Roman"/>
          <w:sz w:val="16"/>
          <w:szCs w:val="16"/>
          <w:lang w:val="sr-Cyrl-RS"/>
        </w:rPr>
        <w:t xml:space="preserve"> 21/20); Програм развоја електронске управе у Републици Србији за период од 2020. до 2022. године са Акционим планом</w:t>
      </w:r>
      <w:r>
        <w:rPr>
          <w:rFonts w:ascii="Times New Roman" w:hAnsi="Times New Roman" w:cs="Times New Roman"/>
          <w:sz w:val="16"/>
          <w:szCs w:val="16"/>
          <w:lang w:val="sr-Cyrl-RS"/>
        </w:rPr>
        <w:t xml:space="preserve"> за његово спровођење („Службени гласник РС</w:t>
      </w:r>
      <w:r w:rsidRPr="003C1DFF">
        <w:rPr>
          <w:rFonts w:ascii="Times New Roman" w:hAnsi="Times New Roman" w:cs="Times New Roman"/>
          <w:sz w:val="16"/>
          <w:szCs w:val="16"/>
          <w:lang w:val="sr-Cyrl-RS"/>
        </w:rPr>
        <w:t>”</w:t>
      </w:r>
      <w:r>
        <w:rPr>
          <w:rFonts w:ascii="Times New Roman" w:hAnsi="Times New Roman" w:cs="Times New Roman"/>
          <w:sz w:val="16"/>
          <w:szCs w:val="16"/>
          <w:lang w:val="sr-Cyrl-RS"/>
        </w:rPr>
        <w:t>, број</w:t>
      </w:r>
      <w:r w:rsidRPr="00554773">
        <w:rPr>
          <w:rFonts w:ascii="Times New Roman" w:hAnsi="Times New Roman" w:cs="Times New Roman"/>
          <w:sz w:val="16"/>
          <w:szCs w:val="16"/>
          <w:lang w:val="sr-Cyrl-RS"/>
        </w:rPr>
        <w:t xml:space="preserve"> 85/20); Стратегија развоја информационог друштва и информационе безбедности у Републици Србији за период од </w:t>
      </w:r>
      <w:r>
        <w:rPr>
          <w:rFonts w:ascii="Times New Roman" w:hAnsi="Times New Roman" w:cs="Times New Roman"/>
          <w:sz w:val="16"/>
          <w:szCs w:val="16"/>
          <w:lang w:val="sr-Cyrl-RS"/>
        </w:rPr>
        <w:t>2021. до 2026. године („Службени гласник РС</w:t>
      </w:r>
      <w:r w:rsidRPr="003C1DFF">
        <w:rPr>
          <w:rFonts w:ascii="Times New Roman" w:hAnsi="Times New Roman" w:cs="Times New Roman"/>
          <w:sz w:val="16"/>
          <w:szCs w:val="16"/>
          <w:lang w:val="sr-Cyrl-RS"/>
        </w:rPr>
        <w:t>”</w:t>
      </w:r>
      <w:r>
        <w:rPr>
          <w:rFonts w:ascii="Times New Roman" w:hAnsi="Times New Roman" w:cs="Times New Roman"/>
          <w:sz w:val="16"/>
          <w:szCs w:val="16"/>
          <w:lang w:val="sr-Cyrl-RS"/>
        </w:rPr>
        <w:t>, број</w:t>
      </w:r>
      <w:r w:rsidRPr="00554773">
        <w:rPr>
          <w:rFonts w:ascii="Times New Roman" w:hAnsi="Times New Roman" w:cs="Times New Roman"/>
          <w:sz w:val="16"/>
          <w:szCs w:val="16"/>
          <w:lang w:val="sr-Cyrl-RS"/>
        </w:rPr>
        <w:t xml:space="preserve"> 86/21) са Акционим планом за период од 2021. до 2023. године за њено спровођење.</w:t>
      </w:r>
    </w:p>
  </w:footnote>
  <w:footnote w:id="112">
    <w:p w14:paraId="3BD02860"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Извор: И</w:t>
      </w:r>
      <w:r w:rsidRPr="00A37A7A">
        <w:rPr>
          <w:rFonts w:ascii="Times New Roman" w:hAnsi="Times New Roman" w:cs="Times New Roman"/>
          <w:sz w:val="16"/>
          <w:szCs w:val="16"/>
        </w:rPr>
        <w:t>звештаја Уједињених нација - United Nations eGovernment Survey 2022</w:t>
      </w:r>
    </w:p>
  </w:footnote>
  <w:footnote w:id="113">
    <w:p w14:paraId="3BA9BB93" w14:textId="77777777" w:rsidR="008F5C3A" w:rsidRPr="00A37A7A" w:rsidRDefault="008F5C3A" w:rsidP="00D210F0">
      <w:pPr>
        <w:pStyle w:val="f1"/>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lang w:val="sr-Cyrl-RS"/>
        </w:rPr>
        <w:footnoteRef/>
      </w:r>
      <w:r w:rsidRPr="00A37A7A">
        <w:rPr>
          <w:rFonts w:ascii="Times New Roman" w:hAnsi="Times New Roman" w:cs="Times New Roman"/>
          <w:sz w:val="16"/>
          <w:szCs w:val="16"/>
          <w:lang w:val="sr-Cyrl-RS"/>
        </w:rPr>
        <w:t xml:space="preserve"> Програм вредан 5 милиона евра спроводи НАЛЕД у сарадњи са Владом Републике Србије и уз подршку компаније Philip Morris International.</w:t>
      </w:r>
    </w:p>
  </w:footnote>
  <w:footnote w:id="114">
    <w:p w14:paraId="798DC1ED" w14:textId="77777777" w:rsidR="008F5C3A" w:rsidRPr="00A37A7A" w:rsidRDefault="008F5C3A" w:rsidP="00D210F0">
      <w:pPr>
        <w:spacing w:after="0"/>
        <w:rPr>
          <w:rFonts w:cs="Times New Roman"/>
          <w:sz w:val="16"/>
          <w:szCs w:val="16"/>
          <w:lang w:val="sr-Cyrl-RS"/>
        </w:rPr>
      </w:pPr>
      <w:r w:rsidRPr="00A37A7A">
        <w:rPr>
          <w:rStyle w:val="FootnoteReference"/>
          <w:rFonts w:cs="Times New Roman"/>
          <w:sz w:val="16"/>
          <w:szCs w:val="16"/>
        </w:rPr>
        <w:footnoteRef/>
      </w:r>
      <w:r w:rsidRPr="00A37A7A">
        <w:rPr>
          <w:rFonts w:cs="Times New Roman"/>
          <w:sz w:val="16"/>
          <w:szCs w:val="16"/>
        </w:rPr>
        <w:t xml:space="preserve"> </w:t>
      </w:r>
      <w:r w:rsidRPr="00A37A7A">
        <w:rPr>
          <w:rFonts w:cs="Times New Roman"/>
          <w:sz w:val="16"/>
          <w:szCs w:val="16"/>
          <w:lang w:val="sr-Cyrl-RS"/>
        </w:rPr>
        <w:t xml:space="preserve">Извор: НАЛЕД </w:t>
      </w:r>
      <w:hyperlink r:id="rId54" w:history="1">
        <w:r w:rsidRPr="00A37A7A">
          <w:rPr>
            <w:rStyle w:val="Hyperlink1"/>
            <w:rFonts w:cs="Times New Roman"/>
            <w:sz w:val="16"/>
            <w:szCs w:val="16"/>
          </w:rPr>
          <w:t>https://naled.rs/projekti-startech-program-podrske-za-inovaciju-i-transformaciju-malih-i-srednjih-preduzeca-4697</w:t>
        </w:r>
      </w:hyperlink>
      <w:r w:rsidRPr="00A37A7A">
        <w:rPr>
          <w:rStyle w:val="Hyperlink1"/>
          <w:rFonts w:cs="Times New Roman"/>
          <w:sz w:val="16"/>
          <w:szCs w:val="16"/>
          <w:lang w:val="sr-Cyrl-RS"/>
        </w:rPr>
        <w:t xml:space="preserve"> </w:t>
      </w:r>
    </w:p>
  </w:footnote>
  <w:footnote w:id="115">
    <w:p w14:paraId="4E55A4E5"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У оквиру јавног позива предвиђена су три сегмента: Подршка стартаповима са иновативним идејама; Подршка малим и средњим бизнисима за развој иновација и/или дигиталну трансформацију и Подршка малим и средњим бизнисима за развој иновација или дигиталну трансформацију, са циљем извоза или повећања радних места.</w:t>
      </w:r>
    </w:p>
  </w:footnote>
  <w:footnote w:id="116">
    <w:p w14:paraId="46A3D283" w14:textId="77777777" w:rsidR="008F5C3A" w:rsidRPr="00A37A7A" w:rsidRDefault="008F5C3A" w:rsidP="00D210F0">
      <w:pPr>
        <w:pStyle w:val="f1"/>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hyperlink r:id="rId55" w:history="1">
        <w:r w:rsidRPr="00A37A7A">
          <w:rPr>
            <w:rStyle w:val="Hyperlink"/>
            <w:rFonts w:ascii="Times New Roman" w:hAnsi="Times New Roman" w:cs="Times New Roman"/>
            <w:sz w:val="16"/>
            <w:szCs w:val="16"/>
          </w:rPr>
          <w:t>https://www.startech.org.rs/konkurs2022</w:t>
        </w:r>
      </w:hyperlink>
      <w:r w:rsidRPr="00A37A7A">
        <w:rPr>
          <w:rFonts w:ascii="Times New Roman" w:hAnsi="Times New Roman" w:cs="Times New Roman"/>
          <w:sz w:val="16"/>
          <w:szCs w:val="16"/>
          <w:lang w:val="sr-Cyrl-RS"/>
        </w:rPr>
        <w:t xml:space="preserve"> </w:t>
      </w:r>
    </w:p>
  </w:footnote>
  <w:footnote w:id="117">
    <w:p w14:paraId="15CFC5F5" w14:textId="77777777" w:rsidR="008F5C3A" w:rsidRPr="00A37A7A" w:rsidRDefault="008F5C3A" w:rsidP="00A37A7A">
      <w:pPr>
        <w:pStyle w:val="f1"/>
        <w:rPr>
          <w:rFonts w:ascii="Times New Roman" w:hAnsi="Times New Roman" w:cs="Times New Roman"/>
          <w:sz w:val="16"/>
          <w:szCs w:val="16"/>
          <w:lang w:val="en-U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Public Administration Awards 2022</w:t>
      </w:r>
    </w:p>
  </w:footnote>
  <w:footnote w:id="118">
    <w:p w14:paraId="5EE9FDBA" w14:textId="3F6EA272"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И</w:t>
      </w:r>
      <w:r w:rsidRPr="00B57FE8">
        <w:rPr>
          <w:rFonts w:ascii="Times New Roman" w:hAnsi="Times New Roman" w:cs="Times New Roman"/>
          <w:color w:val="auto"/>
          <w:sz w:val="16"/>
          <w:szCs w:val="16"/>
        </w:rPr>
        <w:t xml:space="preserve">нструмент Европске комисије који се бави компаративном проценом иновативности у земљама чланицама Европске уније и неколико других држава, укључујући и </w:t>
      </w:r>
      <w:r>
        <w:rPr>
          <w:rFonts w:ascii="Times New Roman" w:hAnsi="Times New Roman" w:cs="Times New Roman"/>
          <w:color w:val="auto"/>
          <w:sz w:val="16"/>
          <w:szCs w:val="16"/>
          <w:lang w:val="sr-Cyrl-RS"/>
        </w:rPr>
        <w:t xml:space="preserve">Републику </w:t>
      </w:r>
      <w:r w:rsidRPr="00B57FE8">
        <w:rPr>
          <w:rFonts w:ascii="Times New Roman" w:hAnsi="Times New Roman" w:cs="Times New Roman"/>
          <w:color w:val="auto"/>
          <w:sz w:val="16"/>
          <w:szCs w:val="16"/>
        </w:rPr>
        <w:t>Србију. Анализирају с</w:t>
      </w:r>
      <w:r w:rsidRPr="00B57FE8">
        <w:rPr>
          <w:rFonts w:ascii="Times New Roman" w:hAnsi="Times New Roman" w:cs="Times New Roman"/>
          <w:color w:val="auto"/>
          <w:sz w:val="16"/>
          <w:szCs w:val="16"/>
          <w:lang w:val="sr-Cyrl-RS"/>
        </w:rPr>
        <w:t>е</w:t>
      </w:r>
      <w:r w:rsidRPr="00B57FE8">
        <w:rPr>
          <w:rFonts w:ascii="Times New Roman" w:hAnsi="Times New Roman" w:cs="Times New Roman"/>
          <w:color w:val="auto"/>
          <w:sz w:val="16"/>
          <w:szCs w:val="16"/>
        </w:rPr>
        <w:t xml:space="preserve"> 32 индикатора сврстана у 12 категорија</w:t>
      </w:r>
      <w:r w:rsidRPr="00B57FE8">
        <w:rPr>
          <w:rFonts w:ascii="Times New Roman" w:hAnsi="Times New Roman" w:cs="Times New Roman"/>
          <w:color w:val="auto"/>
          <w:sz w:val="16"/>
          <w:szCs w:val="16"/>
          <w:lang w:val="sr-Cyrl-RS"/>
        </w:rPr>
        <w:t xml:space="preserve"> (иновационих димензија).</w:t>
      </w:r>
    </w:p>
  </w:footnote>
  <w:footnote w:id="119">
    <w:p w14:paraId="51B7AB7A" w14:textId="77777777" w:rsidR="008F5C3A" w:rsidRPr="00B57FE8" w:rsidRDefault="008F5C3A" w:rsidP="00B57FE8">
      <w:pPr>
        <w:pStyle w:val="FootnoteText"/>
        <w:spacing w:after="0"/>
        <w:ind w:firstLine="0"/>
        <w:rPr>
          <w:rFonts w:ascii="Times New Roman" w:hAnsi="Times New Roman" w:cs="Times New Roman"/>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lang w:val="sr-Cyrl-RS"/>
        </w:rPr>
        <w:t xml:space="preserve"> </w:t>
      </w:r>
      <w:r w:rsidRPr="00B57FE8">
        <w:rPr>
          <w:rFonts w:ascii="Times New Roman" w:hAnsi="Times New Roman" w:cs="Times New Roman"/>
          <w:color w:val="auto"/>
          <w:sz w:val="16"/>
          <w:szCs w:val="16"/>
        </w:rPr>
        <w:t>European innovation scoreboard 202</w:t>
      </w:r>
      <w:r w:rsidRPr="00B57FE8">
        <w:rPr>
          <w:rFonts w:ascii="Times New Roman" w:hAnsi="Times New Roman" w:cs="Times New Roman"/>
          <w:color w:val="auto"/>
          <w:sz w:val="16"/>
          <w:szCs w:val="16"/>
          <w:lang w:val="en-US"/>
        </w:rPr>
        <w:t>2</w:t>
      </w:r>
      <w:r w:rsidRPr="00B57FE8">
        <w:rPr>
          <w:rFonts w:ascii="Times New Roman" w:hAnsi="Times New Roman" w:cs="Times New Roman"/>
          <w:color w:val="auto"/>
          <w:sz w:val="16"/>
          <w:szCs w:val="16"/>
        </w:rPr>
        <w:t xml:space="preserve"> </w:t>
      </w:r>
      <w:hyperlink r:id="rId56" w:history="1">
        <w:r w:rsidRPr="00B57FE8">
          <w:rPr>
            <w:rStyle w:val="Hyperlink"/>
            <w:rFonts w:ascii="Times New Roman" w:hAnsi="Times New Roman" w:cs="Times New Roman"/>
            <w:sz w:val="16"/>
            <w:szCs w:val="16"/>
          </w:rPr>
          <w:t>https://research-and-innovation.ec.europa.eu/system/files/2022-10/ec_rtd_eis-2022-main-report.pdf</w:t>
        </w:r>
      </w:hyperlink>
      <w:r w:rsidRPr="00B57FE8">
        <w:rPr>
          <w:rFonts w:ascii="Times New Roman" w:hAnsi="Times New Roman" w:cs="Times New Roman"/>
          <w:sz w:val="16"/>
          <w:szCs w:val="16"/>
          <w:lang w:val="en-US"/>
        </w:rPr>
        <w:t xml:space="preserve"> </w:t>
      </w:r>
      <w:r w:rsidRPr="00B57FE8">
        <w:rPr>
          <w:rFonts w:ascii="Times New Roman" w:hAnsi="Times New Roman" w:cs="Times New Roman"/>
          <w:sz w:val="16"/>
          <w:szCs w:val="16"/>
          <w:lang w:val="sr-Cyrl-RS"/>
        </w:rPr>
        <w:t xml:space="preserve"> </w:t>
      </w:r>
    </w:p>
  </w:footnote>
  <w:footnote w:id="120">
    <w:p w14:paraId="0E3A382C" w14:textId="77777777"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Годишња ранг листа земаља по капацитету и успеху у иновацијама, коју објављује Светска организација за интелектуалну својину</w:t>
      </w:r>
      <w:r w:rsidRPr="00B57FE8">
        <w:rPr>
          <w:rFonts w:ascii="Times New Roman" w:hAnsi="Times New Roman" w:cs="Times New Roman"/>
          <w:color w:val="auto"/>
          <w:sz w:val="16"/>
          <w:szCs w:val="16"/>
          <w:lang w:val="sr-Cyrl-RS"/>
        </w:rPr>
        <w:t xml:space="preserve"> (</w:t>
      </w:r>
      <w:r w:rsidRPr="00B57FE8">
        <w:rPr>
          <w:rFonts w:ascii="Times New Roman" w:hAnsi="Times New Roman" w:cs="Times New Roman"/>
          <w:i/>
          <w:color w:val="auto"/>
          <w:sz w:val="16"/>
          <w:szCs w:val="16"/>
          <w:lang w:val="sr-Cyrl-RS"/>
        </w:rPr>
        <w:t>World Intellectual Property Organization</w:t>
      </w:r>
      <w:r w:rsidRPr="00B57FE8">
        <w:rPr>
          <w:rFonts w:ascii="Times New Roman" w:hAnsi="Times New Roman" w:cs="Times New Roman"/>
          <w:color w:val="auto"/>
          <w:sz w:val="16"/>
          <w:szCs w:val="16"/>
          <w:lang w:val="sr-Cyrl-RS"/>
        </w:rPr>
        <w:t>)</w:t>
      </w:r>
      <w:r w:rsidRPr="00B57FE8">
        <w:rPr>
          <w:rFonts w:ascii="Times New Roman" w:hAnsi="Times New Roman" w:cs="Times New Roman"/>
          <w:color w:val="auto"/>
          <w:sz w:val="16"/>
          <w:szCs w:val="16"/>
        </w:rPr>
        <w:t>. Састоји се од 81 показатеља, груписаних у иновациона улагања (</w:t>
      </w:r>
      <w:r w:rsidRPr="00B57FE8">
        <w:rPr>
          <w:rFonts w:ascii="Times New Roman" w:hAnsi="Times New Roman" w:cs="Times New Roman"/>
          <w:i/>
          <w:color w:val="auto"/>
          <w:sz w:val="16"/>
          <w:szCs w:val="16"/>
        </w:rPr>
        <w:t>innovation inputs</w:t>
      </w:r>
      <w:r w:rsidRPr="00B57FE8">
        <w:rPr>
          <w:rFonts w:ascii="Times New Roman" w:hAnsi="Times New Roman" w:cs="Times New Roman"/>
          <w:color w:val="auto"/>
          <w:sz w:val="16"/>
          <w:szCs w:val="16"/>
        </w:rPr>
        <w:t>) и резултате иновација (</w:t>
      </w:r>
      <w:r w:rsidRPr="00B57FE8">
        <w:rPr>
          <w:rFonts w:ascii="Times New Roman" w:hAnsi="Times New Roman" w:cs="Times New Roman"/>
          <w:i/>
          <w:color w:val="auto"/>
          <w:sz w:val="16"/>
          <w:szCs w:val="16"/>
        </w:rPr>
        <w:t>innovation outputs</w:t>
      </w:r>
      <w:r w:rsidRPr="00B57FE8">
        <w:rPr>
          <w:rFonts w:ascii="Times New Roman" w:hAnsi="Times New Roman" w:cs="Times New Roman"/>
          <w:color w:val="auto"/>
          <w:sz w:val="16"/>
          <w:szCs w:val="16"/>
        </w:rPr>
        <w:t>).</w:t>
      </w:r>
    </w:p>
  </w:footnote>
  <w:footnote w:id="121">
    <w:p w14:paraId="6A89A315" w14:textId="77777777" w:rsidR="008F5C3A" w:rsidRPr="00B57FE8" w:rsidRDefault="008F5C3A" w:rsidP="00B57FE8">
      <w:pPr>
        <w:pStyle w:val="FootnoteText"/>
        <w:spacing w:after="0"/>
        <w:ind w:firstLine="0"/>
        <w:rPr>
          <w:rFonts w:ascii="Times New Roman" w:hAnsi="Times New Roman" w:cs="Times New Roman"/>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Global Innovation Index 2022, WIPO</w:t>
      </w:r>
      <w:r w:rsidRPr="00B57FE8">
        <w:rPr>
          <w:rFonts w:ascii="Times New Roman" w:hAnsi="Times New Roman" w:cs="Times New Roman"/>
          <w:color w:val="auto"/>
          <w:sz w:val="16"/>
          <w:szCs w:val="16"/>
          <w:lang w:val="sr-Cyrl-RS"/>
        </w:rPr>
        <w:t xml:space="preserve"> </w:t>
      </w:r>
      <w:hyperlink r:id="rId57" w:history="1">
        <w:r w:rsidRPr="00B57FE8">
          <w:rPr>
            <w:rStyle w:val="Hyperlink"/>
            <w:rFonts w:ascii="Times New Roman" w:hAnsi="Times New Roman" w:cs="Times New Roman"/>
            <w:sz w:val="16"/>
            <w:szCs w:val="16"/>
          </w:rPr>
          <w:t>https://www.wipo.int/edocs/pubdocs/en/wipo-pub-2000-2022-en-main-report-global-innovation-index-2022-15th-edition.pdf</w:t>
        </w:r>
      </w:hyperlink>
      <w:r w:rsidRPr="00B57FE8">
        <w:rPr>
          <w:rFonts w:ascii="Times New Roman" w:hAnsi="Times New Roman" w:cs="Times New Roman"/>
          <w:sz w:val="16"/>
          <w:szCs w:val="16"/>
          <w:lang w:val="sr-Cyrl-RS"/>
        </w:rPr>
        <w:t xml:space="preserve"> </w:t>
      </w:r>
    </w:p>
  </w:footnote>
  <w:footnote w:id="122">
    <w:p w14:paraId="3D425830" w14:textId="073C457D"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Закон о Фонду за н</w:t>
      </w:r>
      <w:r>
        <w:rPr>
          <w:rFonts w:ascii="Times New Roman" w:hAnsi="Times New Roman" w:cs="Times New Roman"/>
          <w:color w:val="auto"/>
          <w:sz w:val="16"/>
          <w:szCs w:val="16"/>
        </w:rPr>
        <w:t>ауку Републике Србије („Сл</w:t>
      </w:r>
      <w:r>
        <w:rPr>
          <w:rFonts w:ascii="Times New Roman" w:hAnsi="Times New Roman" w:cs="Times New Roman"/>
          <w:color w:val="auto"/>
          <w:sz w:val="16"/>
          <w:szCs w:val="16"/>
          <w:lang w:val="sr-Cyrl-RS"/>
        </w:rPr>
        <w:t>ужбени</w:t>
      </w:r>
      <w:r>
        <w:rPr>
          <w:rFonts w:ascii="Times New Roman" w:hAnsi="Times New Roman" w:cs="Times New Roman"/>
          <w:color w:val="auto"/>
          <w:sz w:val="16"/>
          <w:szCs w:val="16"/>
        </w:rPr>
        <w:t xml:space="preserve">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rPr>
        <w:t>, бр</w:t>
      </w:r>
      <w:r>
        <w:rPr>
          <w:rFonts w:ascii="Times New Roman" w:hAnsi="Times New Roman" w:cs="Times New Roman"/>
          <w:color w:val="auto"/>
          <w:sz w:val="16"/>
          <w:szCs w:val="16"/>
          <w:lang w:val="sr-Cyrl-RS"/>
        </w:rPr>
        <w:t>ој</w:t>
      </w:r>
      <w:r w:rsidRPr="00B57FE8">
        <w:rPr>
          <w:rFonts w:ascii="Times New Roman" w:hAnsi="Times New Roman" w:cs="Times New Roman"/>
          <w:color w:val="auto"/>
          <w:sz w:val="16"/>
          <w:szCs w:val="16"/>
        </w:rPr>
        <w:t xml:space="preserve"> 85/18)</w:t>
      </w:r>
      <w:r w:rsidRPr="00B57FE8">
        <w:rPr>
          <w:rFonts w:ascii="Times New Roman" w:hAnsi="Times New Roman" w:cs="Times New Roman"/>
          <w:color w:val="auto"/>
          <w:sz w:val="16"/>
          <w:szCs w:val="16"/>
          <w:lang w:val="sr-Cyrl-RS"/>
        </w:rPr>
        <w:t xml:space="preserve">; </w:t>
      </w:r>
      <w:r w:rsidRPr="00B57FE8">
        <w:rPr>
          <w:rFonts w:ascii="Times New Roman" w:hAnsi="Times New Roman" w:cs="Times New Roman"/>
          <w:color w:val="auto"/>
          <w:sz w:val="16"/>
          <w:szCs w:val="16"/>
        </w:rPr>
        <w:t xml:space="preserve">Закон о </w:t>
      </w:r>
      <w:r>
        <w:rPr>
          <w:rFonts w:ascii="Times New Roman" w:hAnsi="Times New Roman" w:cs="Times New Roman"/>
          <w:color w:val="auto"/>
          <w:sz w:val="16"/>
          <w:szCs w:val="16"/>
        </w:rPr>
        <w:t>науци и истраживањима („Сл</w:t>
      </w:r>
      <w:r>
        <w:rPr>
          <w:rFonts w:ascii="Times New Roman" w:hAnsi="Times New Roman" w:cs="Times New Roman"/>
          <w:color w:val="auto"/>
          <w:sz w:val="16"/>
          <w:szCs w:val="16"/>
          <w:lang w:val="sr-Cyrl-RS"/>
        </w:rPr>
        <w:t>ужбени</w:t>
      </w:r>
      <w:r>
        <w:rPr>
          <w:rFonts w:ascii="Times New Roman" w:hAnsi="Times New Roman" w:cs="Times New Roman"/>
          <w:color w:val="auto"/>
          <w:sz w:val="16"/>
          <w:szCs w:val="16"/>
        </w:rPr>
        <w:t xml:space="preserve">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rPr>
        <w:t>, бр</w:t>
      </w:r>
      <w:r>
        <w:rPr>
          <w:rFonts w:ascii="Times New Roman" w:hAnsi="Times New Roman" w:cs="Times New Roman"/>
          <w:color w:val="auto"/>
          <w:sz w:val="16"/>
          <w:szCs w:val="16"/>
          <w:lang w:val="sr-Cyrl-RS"/>
        </w:rPr>
        <w:t>ој</w:t>
      </w:r>
      <w:r w:rsidRPr="00B57FE8">
        <w:rPr>
          <w:rFonts w:ascii="Times New Roman" w:hAnsi="Times New Roman" w:cs="Times New Roman"/>
          <w:color w:val="auto"/>
          <w:sz w:val="16"/>
          <w:szCs w:val="16"/>
        </w:rPr>
        <w:t xml:space="preserve"> 49/19)</w:t>
      </w:r>
      <w:r w:rsidRPr="00B57FE8">
        <w:rPr>
          <w:rFonts w:ascii="Times New Roman" w:hAnsi="Times New Roman" w:cs="Times New Roman"/>
          <w:color w:val="auto"/>
          <w:sz w:val="16"/>
          <w:szCs w:val="16"/>
          <w:lang w:val="sr-Cyrl-RS"/>
        </w:rPr>
        <w:t xml:space="preserve">; </w:t>
      </w:r>
      <w:r w:rsidRPr="00B57FE8">
        <w:rPr>
          <w:rFonts w:ascii="Times New Roman" w:hAnsi="Times New Roman" w:cs="Times New Roman"/>
          <w:color w:val="auto"/>
          <w:sz w:val="16"/>
          <w:szCs w:val="16"/>
        </w:rPr>
        <w:t>Закон о и</w:t>
      </w:r>
      <w:r>
        <w:rPr>
          <w:rFonts w:ascii="Times New Roman" w:hAnsi="Times New Roman" w:cs="Times New Roman"/>
          <w:color w:val="auto"/>
          <w:sz w:val="16"/>
          <w:szCs w:val="16"/>
        </w:rPr>
        <w:t>новационој делатности („Сл</w:t>
      </w:r>
      <w:r>
        <w:rPr>
          <w:rFonts w:ascii="Times New Roman" w:hAnsi="Times New Roman" w:cs="Times New Roman"/>
          <w:color w:val="auto"/>
          <w:sz w:val="16"/>
          <w:szCs w:val="16"/>
          <w:lang w:val="sr-Cyrl-RS"/>
        </w:rPr>
        <w:t>ужбени</w:t>
      </w:r>
      <w:r>
        <w:rPr>
          <w:rFonts w:ascii="Times New Roman" w:hAnsi="Times New Roman" w:cs="Times New Roman"/>
          <w:color w:val="auto"/>
          <w:sz w:val="16"/>
          <w:szCs w:val="16"/>
        </w:rPr>
        <w:t xml:space="preserve">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rPr>
        <w:t>, бр</w:t>
      </w:r>
      <w:r>
        <w:rPr>
          <w:rFonts w:ascii="Times New Roman" w:hAnsi="Times New Roman" w:cs="Times New Roman"/>
          <w:color w:val="auto"/>
          <w:sz w:val="16"/>
          <w:szCs w:val="16"/>
          <w:lang w:val="sr-Cyrl-RS"/>
        </w:rPr>
        <w:t>ој</w:t>
      </w:r>
      <w:r w:rsidRPr="00B57FE8">
        <w:rPr>
          <w:rFonts w:ascii="Times New Roman" w:hAnsi="Times New Roman" w:cs="Times New Roman"/>
          <w:color w:val="auto"/>
          <w:sz w:val="16"/>
          <w:szCs w:val="16"/>
        </w:rPr>
        <w:t xml:space="preserve"> 129/21)</w:t>
      </w:r>
      <w:r w:rsidRPr="00B57FE8">
        <w:rPr>
          <w:rFonts w:ascii="Times New Roman" w:hAnsi="Times New Roman" w:cs="Times New Roman"/>
          <w:color w:val="auto"/>
          <w:sz w:val="16"/>
          <w:szCs w:val="16"/>
          <w:lang w:val="sr-Cyrl-RS"/>
        </w:rPr>
        <w:t>.</w:t>
      </w:r>
    </w:p>
  </w:footnote>
  <w:footnote w:id="123">
    <w:p w14:paraId="353DF112" w14:textId="3F852CE5"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Стратегија научног и технолошког развоја Републике Србије за период од 2021. до 2025. године </w:t>
      </w:r>
      <w:r w:rsidRPr="00B57FE8">
        <w:rPr>
          <w:rFonts w:ascii="Times New Roman" w:hAnsi="Times New Roman" w:cs="Times New Roman"/>
          <w:color w:val="auto"/>
          <w:sz w:val="16"/>
          <w:szCs w:val="16"/>
          <w:lang w:val="sr-Cyrl-RS"/>
        </w:rPr>
        <w:t>„</w:t>
      </w:r>
      <w:r w:rsidRPr="00B57FE8">
        <w:rPr>
          <w:rFonts w:ascii="Times New Roman" w:hAnsi="Times New Roman" w:cs="Times New Roman"/>
          <w:color w:val="auto"/>
          <w:sz w:val="16"/>
          <w:szCs w:val="16"/>
        </w:rPr>
        <w:t>Моћ знања</w:t>
      </w:r>
      <w:r w:rsidRPr="003C1DFF">
        <w:rPr>
          <w:rFonts w:ascii="Times New Roman" w:hAnsi="Times New Roman" w:cs="Times New Roman"/>
          <w:sz w:val="16"/>
          <w:szCs w:val="16"/>
          <w:lang w:val="sr-Cyrl-RS"/>
        </w:rPr>
        <w:t>”</w:t>
      </w:r>
      <w:r w:rsidRPr="00B57FE8">
        <w:rPr>
          <w:rFonts w:ascii="Times New Roman" w:hAnsi="Times New Roman" w:cs="Times New Roman"/>
          <w:color w:val="auto"/>
          <w:sz w:val="16"/>
          <w:szCs w:val="16"/>
        </w:rPr>
        <w:t>, чији саставни део је Акциони план Стратегије научног и технолошког развоја за период 2021. до 2023. године</w:t>
      </w:r>
      <w:r w:rsidRPr="00B57FE8">
        <w:rPr>
          <w:rFonts w:ascii="Times New Roman" w:hAnsi="Times New Roman" w:cs="Times New Roman"/>
          <w:color w:val="auto"/>
          <w:sz w:val="16"/>
          <w:szCs w:val="16"/>
          <w:lang w:val="sr-Cyrl-RS"/>
        </w:rPr>
        <w:t xml:space="preserve"> </w:t>
      </w:r>
      <w:r>
        <w:rPr>
          <w:rFonts w:ascii="Times New Roman" w:hAnsi="Times New Roman" w:cs="Times New Roman"/>
          <w:color w:val="auto"/>
          <w:sz w:val="16"/>
          <w:szCs w:val="16"/>
        </w:rPr>
        <w:t>(„Сл</w:t>
      </w:r>
      <w:r>
        <w:rPr>
          <w:rFonts w:ascii="Times New Roman" w:hAnsi="Times New Roman" w:cs="Times New Roman"/>
          <w:color w:val="auto"/>
          <w:sz w:val="16"/>
          <w:szCs w:val="16"/>
          <w:lang w:val="sr-Cyrl-RS"/>
        </w:rPr>
        <w:t>ужбени</w:t>
      </w:r>
      <w:r>
        <w:rPr>
          <w:rFonts w:ascii="Times New Roman" w:hAnsi="Times New Roman" w:cs="Times New Roman"/>
          <w:color w:val="auto"/>
          <w:sz w:val="16"/>
          <w:szCs w:val="16"/>
        </w:rPr>
        <w:t xml:space="preserve">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rPr>
        <w:t>, бр</w:t>
      </w:r>
      <w:r>
        <w:rPr>
          <w:rFonts w:ascii="Times New Roman" w:hAnsi="Times New Roman" w:cs="Times New Roman"/>
          <w:color w:val="auto"/>
          <w:sz w:val="16"/>
          <w:szCs w:val="16"/>
          <w:lang w:val="sr-Cyrl-RS"/>
        </w:rPr>
        <w:t>ој</w:t>
      </w:r>
      <w:r w:rsidRPr="00B57FE8">
        <w:rPr>
          <w:rFonts w:ascii="Times New Roman" w:hAnsi="Times New Roman" w:cs="Times New Roman"/>
          <w:color w:val="auto"/>
          <w:sz w:val="16"/>
          <w:szCs w:val="16"/>
        </w:rPr>
        <w:t xml:space="preserve"> 10/21)</w:t>
      </w:r>
      <w:r w:rsidRPr="00B57FE8">
        <w:rPr>
          <w:rFonts w:ascii="Times New Roman" w:hAnsi="Times New Roman" w:cs="Times New Roman"/>
          <w:color w:val="auto"/>
          <w:sz w:val="16"/>
          <w:szCs w:val="16"/>
          <w:lang w:val="sr-Cyrl-RS"/>
        </w:rPr>
        <w:t>; Стратегија паметне специјализације у Републици Србији за период од 2020. до 2027. године („Сл</w:t>
      </w:r>
      <w:r>
        <w:rPr>
          <w:rFonts w:ascii="Times New Roman" w:hAnsi="Times New Roman" w:cs="Times New Roman"/>
          <w:color w:val="auto"/>
          <w:sz w:val="16"/>
          <w:szCs w:val="16"/>
          <w:lang w:val="sr-Cyrl-RS"/>
        </w:rPr>
        <w:t>ужбени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lang w:val="sr-Cyrl-RS"/>
        </w:rPr>
        <w:t>, број</w:t>
      </w:r>
      <w:r w:rsidRPr="00B57FE8">
        <w:rPr>
          <w:rFonts w:ascii="Times New Roman" w:hAnsi="Times New Roman" w:cs="Times New Roman"/>
          <w:color w:val="auto"/>
          <w:sz w:val="16"/>
          <w:szCs w:val="16"/>
          <w:lang w:val="sr-Cyrl-RS"/>
        </w:rPr>
        <w:t xml:space="preserve"> 21/20) и Акциони план за период од 2021. до 2022. године за спровођење Стратегије паметне специјализације у Републици Србији за период од 2020. до 2027. године („Сл</w:t>
      </w:r>
      <w:r>
        <w:rPr>
          <w:rFonts w:ascii="Times New Roman" w:hAnsi="Times New Roman" w:cs="Times New Roman"/>
          <w:color w:val="auto"/>
          <w:sz w:val="16"/>
          <w:szCs w:val="16"/>
          <w:lang w:val="sr-Cyrl-RS"/>
        </w:rPr>
        <w:t>ужбени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lang w:val="sr-Cyrl-RS"/>
        </w:rPr>
        <w:t>, број</w:t>
      </w:r>
      <w:r w:rsidRPr="00B57FE8">
        <w:rPr>
          <w:rFonts w:ascii="Times New Roman" w:hAnsi="Times New Roman" w:cs="Times New Roman"/>
          <w:color w:val="auto"/>
          <w:sz w:val="16"/>
          <w:szCs w:val="16"/>
          <w:lang w:val="sr-Cyrl-RS"/>
        </w:rPr>
        <w:t xml:space="preserve"> 42/21); Стратегијa развоја стартап екосистема Републике Србије за период од 2021. до 2025. године („Сл</w:t>
      </w:r>
      <w:r>
        <w:rPr>
          <w:rFonts w:ascii="Times New Roman" w:hAnsi="Times New Roman" w:cs="Times New Roman"/>
          <w:color w:val="auto"/>
          <w:sz w:val="16"/>
          <w:szCs w:val="16"/>
          <w:lang w:val="sr-Cyrl-RS"/>
        </w:rPr>
        <w:t>ужбени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lang w:val="sr-Cyrl-RS"/>
        </w:rPr>
        <w:t>, број</w:t>
      </w:r>
      <w:r w:rsidRPr="00B57FE8">
        <w:rPr>
          <w:rFonts w:ascii="Times New Roman" w:hAnsi="Times New Roman" w:cs="Times New Roman"/>
          <w:color w:val="auto"/>
          <w:sz w:val="16"/>
          <w:szCs w:val="16"/>
          <w:lang w:val="sr-Cyrl-RS"/>
        </w:rPr>
        <w:t xml:space="preserve"> 125/21) и Акциони план за период до 31. децембра 2022. године за реализацију Стратегије развоја стартап екосистема Републике Србије за период од 2021. до 2025. године; Стратегија развоја вештачке интелигенције у Републици Србији за период 2020–2025. године („Сл</w:t>
      </w:r>
      <w:r>
        <w:rPr>
          <w:rFonts w:ascii="Times New Roman" w:hAnsi="Times New Roman" w:cs="Times New Roman"/>
          <w:color w:val="auto"/>
          <w:sz w:val="16"/>
          <w:szCs w:val="16"/>
          <w:lang w:val="sr-Cyrl-RS"/>
        </w:rPr>
        <w:t>ужбени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lang w:val="sr-Cyrl-RS"/>
        </w:rPr>
        <w:t>, број</w:t>
      </w:r>
      <w:r w:rsidRPr="00B57FE8">
        <w:rPr>
          <w:rFonts w:ascii="Times New Roman" w:hAnsi="Times New Roman" w:cs="Times New Roman"/>
          <w:color w:val="auto"/>
          <w:sz w:val="16"/>
          <w:szCs w:val="16"/>
          <w:lang w:val="sr-Cyrl-RS"/>
        </w:rPr>
        <w:t xml:space="preserve"> 96/19) и Акциони план за период 2020–2022. године за примену Стратегије развоја вештачке интелигенције у Републици Србији за пер</w:t>
      </w:r>
      <w:r>
        <w:rPr>
          <w:rFonts w:ascii="Times New Roman" w:hAnsi="Times New Roman" w:cs="Times New Roman"/>
          <w:color w:val="auto"/>
          <w:sz w:val="16"/>
          <w:szCs w:val="16"/>
          <w:lang w:val="sr-Cyrl-RS"/>
        </w:rPr>
        <w:t>иод 2020–2025. година („Службени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lang w:val="sr-Cyrl-RS"/>
        </w:rPr>
        <w:t>, број</w:t>
      </w:r>
      <w:r w:rsidRPr="00B57FE8">
        <w:rPr>
          <w:rFonts w:ascii="Times New Roman" w:hAnsi="Times New Roman" w:cs="Times New Roman"/>
          <w:color w:val="auto"/>
          <w:sz w:val="16"/>
          <w:szCs w:val="16"/>
          <w:lang w:val="sr-Cyrl-RS"/>
        </w:rPr>
        <w:t xml:space="preserve"> 81/20).</w:t>
      </w:r>
    </w:p>
  </w:footnote>
  <w:footnote w:id="124">
    <w:p w14:paraId="24560BE5" w14:textId="77777777" w:rsidR="008F5C3A" w:rsidRPr="00B57FE8" w:rsidRDefault="008F5C3A" w:rsidP="00B57FE8">
      <w:pPr>
        <w:pStyle w:val="FootnoteText"/>
        <w:spacing w:after="0"/>
        <w:ind w:firstLine="0"/>
        <w:rPr>
          <w:rFonts w:ascii="Times New Roman" w:hAnsi="Times New Roman" w:cs="Times New Roman"/>
          <w:sz w:val="16"/>
          <w:szCs w:val="16"/>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 xml:space="preserve">Извор: РЗС </w:t>
      </w:r>
      <w:hyperlink r:id="rId58" w:history="1">
        <w:r w:rsidRPr="00B57FE8">
          <w:rPr>
            <w:rStyle w:val="Hyperlink"/>
            <w:rFonts w:ascii="Times New Roman" w:hAnsi="Times New Roman" w:cs="Times New Roman"/>
            <w:sz w:val="16"/>
            <w:szCs w:val="16"/>
          </w:rPr>
          <w:t>https://data.stat.gov.rs/Home/Result/100109?languageCode=sr-Cyrl</w:t>
        </w:r>
      </w:hyperlink>
      <w:r w:rsidRPr="00B57FE8">
        <w:rPr>
          <w:rFonts w:ascii="Times New Roman" w:hAnsi="Times New Roman" w:cs="Times New Roman"/>
          <w:sz w:val="16"/>
          <w:szCs w:val="16"/>
          <w:lang w:val="en-US"/>
        </w:rPr>
        <w:t xml:space="preserve"> </w:t>
      </w:r>
      <w:r w:rsidRPr="00B57FE8">
        <w:rPr>
          <w:rFonts w:ascii="Times New Roman" w:hAnsi="Times New Roman" w:cs="Times New Roman"/>
          <w:sz w:val="16"/>
          <w:szCs w:val="16"/>
          <w:lang w:val="sr-Cyrl-RS"/>
        </w:rPr>
        <w:t xml:space="preserve"> </w:t>
      </w:r>
    </w:p>
  </w:footnote>
  <w:footnote w:id="125">
    <w:p w14:paraId="14130731" w14:textId="77777777" w:rsidR="008F5C3A" w:rsidRPr="00B57FE8" w:rsidRDefault="008F5C3A" w:rsidP="00B57FE8">
      <w:pPr>
        <w:pStyle w:val="FootnoteText"/>
        <w:spacing w:after="0"/>
        <w:ind w:firstLine="0"/>
        <w:rPr>
          <w:rFonts w:ascii="Times New Roman" w:hAnsi="Times New Roman" w:cs="Times New Roman"/>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 xml:space="preserve">Извор: </w:t>
      </w:r>
      <w:r w:rsidRPr="00B57FE8">
        <w:rPr>
          <w:rFonts w:ascii="Times New Roman" w:hAnsi="Times New Roman" w:cs="Times New Roman"/>
          <w:color w:val="auto"/>
          <w:sz w:val="16"/>
          <w:szCs w:val="16"/>
        </w:rPr>
        <w:t>Eurostat</w:t>
      </w:r>
      <w:r w:rsidRPr="00B57FE8">
        <w:rPr>
          <w:rFonts w:ascii="Times New Roman" w:hAnsi="Times New Roman" w:cs="Times New Roman"/>
          <w:color w:val="auto"/>
          <w:sz w:val="16"/>
          <w:szCs w:val="16"/>
          <w:lang w:val="sr-Cyrl-RS"/>
        </w:rPr>
        <w:t xml:space="preserve"> </w:t>
      </w:r>
      <w:hyperlink r:id="rId59" w:history="1">
        <w:r w:rsidRPr="00B57FE8">
          <w:rPr>
            <w:rStyle w:val="Hyperlink"/>
            <w:rFonts w:ascii="Times New Roman" w:eastAsia="MS PGothic" w:hAnsi="Times New Roman" w:cs="Times New Roman"/>
            <w:sz w:val="16"/>
            <w:szCs w:val="16"/>
            <w:lang w:val="sr-Cyrl-RS"/>
          </w:rPr>
          <w:t>https://ec.europa.eu/eurostat/databrowser/view/tsc00001/default/table?lang=en</w:t>
        </w:r>
      </w:hyperlink>
      <w:r w:rsidRPr="00B57FE8">
        <w:rPr>
          <w:rFonts w:ascii="Times New Roman" w:hAnsi="Times New Roman" w:cs="Times New Roman"/>
          <w:sz w:val="16"/>
          <w:szCs w:val="16"/>
          <w:lang w:val="sr-Cyrl-RS"/>
        </w:rPr>
        <w:t xml:space="preserve"> </w:t>
      </w:r>
    </w:p>
  </w:footnote>
  <w:footnote w:id="126">
    <w:p w14:paraId="3907A2B7" w14:textId="77777777"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Хоризонт Европа је нови ЕУ програм за истраживање и иновације (2021-2027), са буџетом од 95,5 милијарди евра.</w:t>
      </w:r>
    </w:p>
  </w:footnote>
  <w:footnote w:id="127">
    <w:p w14:paraId="74FA1DFE" w14:textId="77777777"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Извор: Фонд за науку</w:t>
      </w:r>
    </w:p>
  </w:footnote>
  <w:footnote w:id="128">
    <w:p w14:paraId="3A5D9F78" w14:textId="77777777"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Јавни</w:t>
      </w:r>
      <w:r w:rsidRPr="00B57FE8">
        <w:rPr>
          <w:rFonts w:ascii="Times New Roman" w:hAnsi="Times New Roman" w:cs="Times New Roman"/>
          <w:color w:val="auto"/>
          <w:sz w:val="16"/>
          <w:szCs w:val="16"/>
        </w:rPr>
        <w:t xml:space="preserve"> позив за Програм ИДЕНТИТЕТИ </w:t>
      </w:r>
      <w:r w:rsidRPr="00B57FE8">
        <w:rPr>
          <w:rFonts w:ascii="Times New Roman" w:hAnsi="Times New Roman" w:cs="Times New Roman"/>
          <w:color w:val="auto"/>
          <w:sz w:val="16"/>
          <w:szCs w:val="16"/>
          <w:lang w:val="sr-Cyrl-RS"/>
        </w:rPr>
        <w:t xml:space="preserve">био је </w:t>
      </w:r>
      <w:r w:rsidRPr="00B57FE8">
        <w:rPr>
          <w:rFonts w:ascii="Times New Roman" w:hAnsi="Times New Roman" w:cs="Times New Roman"/>
          <w:color w:val="auto"/>
          <w:sz w:val="16"/>
          <w:szCs w:val="16"/>
        </w:rPr>
        <w:t xml:space="preserve">отворен </w:t>
      </w:r>
      <w:r w:rsidRPr="00B57FE8">
        <w:rPr>
          <w:rFonts w:ascii="Times New Roman" w:hAnsi="Times New Roman" w:cs="Times New Roman"/>
          <w:color w:val="auto"/>
          <w:sz w:val="16"/>
          <w:szCs w:val="16"/>
          <w:lang w:val="sr-Cyrl-RS"/>
        </w:rPr>
        <w:t>од</w:t>
      </w:r>
      <w:r w:rsidRPr="00B57FE8">
        <w:rPr>
          <w:rFonts w:ascii="Times New Roman" w:hAnsi="Times New Roman" w:cs="Times New Roman"/>
          <w:color w:val="auto"/>
          <w:sz w:val="16"/>
          <w:szCs w:val="16"/>
        </w:rPr>
        <w:t xml:space="preserve"> 14. марта до 20. маја 2022. године.</w:t>
      </w:r>
    </w:p>
  </w:footnote>
  <w:footnote w:id="129">
    <w:p w14:paraId="34BBA4B9" w14:textId="77777777"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П</w:t>
      </w:r>
      <w:r w:rsidRPr="00B57FE8">
        <w:rPr>
          <w:rFonts w:ascii="Times New Roman" w:hAnsi="Times New Roman" w:cs="Times New Roman"/>
          <w:color w:val="auto"/>
          <w:sz w:val="16"/>
          <w:szCs w:val="16"/>
        </w:rPr>
        <w:t>ријаве пројеката су се подносиле до 14. октобра 2022. године.</w:t>
      </w:r>
    </w:p>
  </w:footnote>
  <w:footnote w:id="130">
    <w:p w14:paraId="1DAB16CA" w14:textId="77777777"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П</w:t>
      </w:r>
      <w:r w:rsidRPr="00B57FE8">
        <w:rPr>
          <w:rFonts w:ascii="Times New Roman" w:hAnsi="Times New Roman" w:cs="Times New Roman"/>
          <w:color w:val="auto"/>
          <w:sz w:val="16"/>
          <w:szCs w:val="16"/>
        </w:rPr>
        <w:t>ријаве пројеката су се подносиле до 1</w:t>
      </w:r>
      <w:r w:rsidRPr="00B57FE8">
        <w:rPr>
          <w:rFonts w:ascii="Times New Roman" w:hAnsi="Times New Roman" w:cs="Times New Roman"/>
          <w:color w:val="auto"/>
          <w:sz w:val="16"/>
          <w:szCs w:val="16"/>
          <w:lang w:val="sr-Cyrl-RS"/>
        </w:rPr>
        <w:t>1</w:t>
      </w:r>
      <w:r w:rsidRPr="00B57FE8">
        <w:rPr>
          <w:rFonts w:ascii="Times New Roman" w:hAnsi="Times New Roman" w:cs="Times New Roman"/>
          <w:color w:val="auto"/>
          <w:sz w:val="16"/>
          <w:szCs w:val="16"/>
        </w:rPr>
        <w:t>. октобра 2022. године.</w:t>
      </w:r>
    </w:p>
  </w:footnote>
  <w:footnote w:id="131">
    <w:p w14:paraId="47960518" w14:textId="77777777" w:rsidR="008F5C3A" w:rsidRPr="00B57FE8" w:rsidRDefault="008F5C3A" w:rsidP="00B57FE8">
      <w:pPr>
        <w:pStyle w:val="FootnoteText"/>
        <w:spacing w:after="0"/>
        <w:ind w:firstLine="0"/>
        <w:rPr>
          <w:rFonts w:ascii="Times New Roman" w:hAnsi="Times New Roman" w:cs="Times New Roman"/>
          <w:sz w:val="16"/>
          <w:szCs w:val="16"/>
          <w:lang w:val="sr-Cyrl-RS"/>
        </w:rPr>
      </w:pPr>
      <w:r w:rsidRPr="00B57FE8">
        <w:rPr>
          <w:rStyle w:val="FootnoteReference"/>
          <w:rFonts w:ascii="Times New Roman" w:hAnsi="Times New Roman" w:cs="Times New Roman"/>
          <w:sz w:val="16"/>
          <w:szCs w:val="16"/>
        </w:rPr>
        <w:footnoteRef/>
      </w:r>
      <w:r w:rsidRPr="00B57FE8">
        <w:rPr>
          <w:rFonts w:ascii="Times New Roman" w:hAnsi="Times New Roman" w:cs="Times New Roman"/>
          <w:sz w:val="16"/>
          <w:szCs w:val="16"/>
        </w:rPr>
        <w:t xml:space="preserve"> </w:t>
      </w:r>
      <w:r w:rsidRPr="00B57FE8">
        <w:rPr>
          <w:rFonts w:ascii="Times New Roman" w:hAnsi="Times New Roman" w:cs="Times New Roman"/>
          <w:color w:val="auto"/>
          <w:sz w:val="16"/>
          <w:szCs w:val="16"/>
          <w:lang w:val="sr-Cyrl-RS"/>
        </w:rPr>
        <w:t>Извор: Фонд за иновациону делатност</w:t>
      </w:r>
      <w:r w:rsidRPr="00B57FE8">
        <w:rPr>
          <w:rFonts w:ascii="Times New Roman" w:hAnsi="Times New Roman" w:cs="Times New Roman"/>
          <w:sz w:val="16"/>
          <w:szCs w:val="16"/>
          <w:lang w:val="sr-Cyrl-RS"/>
        </w:rPr>
        <w:t xml:space="preserve">, </w:t>
      </w:r>
      <w:hyperlink r:id="rId60" w:history="1">
        <w:r w:rsidRPr="00B57FE8">
          <w:rPr>
            <w:rStyle w:val="Hyperlink"/>
            <w:rFonts w:ascii="Times New Roman" w:hAnsi="Times New Roman" w:cs="Times New Roman"/>
            <w:sz w:val="16"/>
            <w:szCs w:val="16"/>
            <w:lang w:val="sr-Cyrl-RS"/>
          </w:rPr>
          <w:t>http://www.inovacionifond.rs/cir/o-fondu/rezultati</w:t>
        </w:r>
      </w:hyperlink>
    </w:p>
  </w:footnote>
  <w:footnote w:id="132">
    <w:p w14:paraId="614E4F05" w14:textId="77777777"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Ова платформа представља суперкомпјутер последње генерације, високих перформанси, спремна је да обради огромну количину информација у кратком временском периоду. На располагању је држави, локалној самоуправи, универзитетима, научно-технолошким парковима и стартап компанијама.</w:t>
      </w:r>
    </w:p>
  </w:footnote>
  <w:footnote w:id="133">
    <w:p w14:paraId="143A62D6" w14:textId="4EA1BA33"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Заједнички</w:t>
      </w:r>
      <w:r w:rsidRPr="00B57FE8">
        <w:rPr>
          <w:rFonts w:ascii="Times New Roman" w:hAnsi="Times New Roman" w:cs="Times New Roman"/>
          <w:color w:val="auto"/>
          <w:sz w:val="16"/>
          <w:szCs w:val="16"/>
          <w:lang w:val="sr-Cyrl-RS"/>
        </w:rPr>
        <w:t xml:space="preserve"> </w:t>
      </w:r>
      <w:r w:rsidRPr="00B57FE8">
        <w:rPr>
          <w:rFonts w:ascii="Times New Roman" w:hAnsi="Times New Roman" w:cs="Times New Roman"/>
          <w:color w:val="auto"/>
          <w:sz w:val="16"/>
          <w:szCs w:val="16"/>
        </w:rPr>
        <w:t xml:space="preserve">основали </w:t>
      </w:r>
      <w:r w:rsidRPr="00B57FE8">
        <w:rPr>
          <w:rFonts w:ascii="Times New Roman" w:hAnsi="Times New Roman" w:cs="Times New Roman"/>
          <w:color w:val="auto"/>
          <w:sz w:val="16"/>
          <w:szCs w:val="16"/>
          <w:lang w:val="sr-Cyrl-RS"/>
        </w:rPr>
        <w:t>В</w:t>
      </w:r>
      <w:r w:rsidRPr="00B57FE8">
        <w:rPr>
          <w:rFonts w:ascii="Times New Roman" w:hAnsi="Times New Roman" w:cs="Times New Roman"/>
          <w:color w:val="auto"/>
          <w:sz w:val="16"/>
          <w:szCs w:val="16"/>
        </w:rPr>
        <w:t xml:space="preserve">лада и Светски економски форум </w:t>
      </w:r>
      <w:r w:rsidRPr="00B57FE8">
        <w:rPr>
          <w:rFonts w:ascii="Times New Roman" w:hAnsi="Times New Roman" w:cs="Times New Roman"/>
          <w:color w:val="auto"/>
          <w:sz w:val="16"/>
          <w:szCs w:val="16"/>
          <w:lang w:val="sr-Cyrl-RS"/>
        </w:rPr>
        <w:t>под окри</w:t>
      </w:r>
      <w:r w:rsidRPr="00B57FE8">
        <w:rPr>
          <w:rFonts w:ascii="Times New Roman" w:hAnsi="Times New Roman" w:cs="Times New Roman"/>
          <w:color w:val="auto"/>
          <w:sz w:val="16"/>
          <w:szCs w:val="16"/>
        </w:rPr>
        <w:t>љем Канцеларије за информационе технологије и електронску управу, а уз подршку Програма Уједињених нација за развој</w:t>
      </w:r>
      <w:r w:rsidRPr="00B57FE8">
        <w:rPr>
          <w:rFonts w:ascii="Times New Roman" w:hAnsi="Times New Roman" w:cs="Times New Roman"/>
          <w:color w:val="auto"/>
          <w:sz w:val="16"/>
          <w:szCs w:val="16"/>
          <w:lang w:val="sr-Cyrl-RS"/>
        </w:rPr>
        <w:t>.</w:t>
      </w:r>
    </w:p>
  </w:footnote>
  <w:footnote w:id="134">
    <w:p w14:paraId="1EEE746D" w14:textId="77777777" w:rsidR="008F5C3A" w:rsidRPr="00B57FE8" w:rsidRDefault="008F5C3A" w:rsidP="00B57FE8">
      <w:pPr>
        <w:pStyle w:val="FootnoteText"/>
        <w:spacing w:after="0"/>
        <w:ind w:firstLine="0"/>
        <w:rPr>
          <w:rFonts w:ascii="Times New Roman" w:hAnsi="Times New Roman" w:cs="Times New Roman"/>
          <w:sz w:val="16"/>
          <w:szCs w:val="16"/>
          <w:lang w:val="sr-Cyrl-RS"/>
        </w:rPr>
      </w:pPr>
      <w:r w:rsidRPr="00B57FE8">
        <w:rPr>
          <w:rStyle w:val="FootnoteReference"/>
          <w:rFonts w:ascii="Times New Roman" w:hAnsi="Times New Roman" w:cs="Times New Roman"/>
          <w:sz w:val="16"/>
          <w:szCs w:val="16"/>
        </w:rPr>
        <w:footnoteRef/>
      </w:r>
      <w:r w:rsidRPr="00B57FE8">
        <w:rPr>
          <w:rFonts w:ascii="Times New Roman" w:hAnsi="Times New Roman" w:cs="Times New Roman"/>
          <w:sz w:val="16"/>
          <w:szCs w:val="16"/>
        </w:rPr>
        <w:t xml:space="preserve"> Биотехнологиј</w:t>
      </w:r>
      <w:r w:rsidRPr="00B57FE8">
        <w:rPr>
          <w:rFonts w:ascii="Times New Roman" w:hAnsi="Times New Roman" w:cs="Times New Roman"/>
          <w:sz w:val="16"/>
          <w:szCs w:val="16"/>
          <w:lang w:val="sr-Cyrl-RS"/>
        </w:rPr>
        <w:t>а</w:t>
      </w:r>
      <w:r w:rsidRPr="00B57FE8">
        <w:rPr>
          <w:rFonts w:ascii="Times New Roman" w:hAnsi="Times New Roman" w:cs="Times New Roman"/>
          <w:sz w:val="16"/>
          <w:szCs w:val="16"/>
        </w:rPr>
        <w:t>, биомедицин</w:t>
      </w:r>
      <w:r w:rsidRPr="00B57FE8">
        <w:rPr>
          <w:rFonts w:ascii="Times New Roman" w:hAnsi="Times New Roman" w:cs="Times New Roman"/>
          <w:sz w:val="16"/>
          <w:szCs w:val="16"/>
          <w:lang w:val="sr-Cyrl-RS"/>
        </w:rPr>
        <w:t>а</w:t>
      </w:r>
      <w:r w:rsidRPr="00B57FE8">
        <w:rPr>
          <w:rFonts w:ascii="Times New Roman" w:hAnsi="Times New Roman" w:cs="Times New Roman"/>
          <w:sz w:val="16"/>
          <w:szCs w:val="16"/>
        </w:rPr>
        <w:t>, биоинформатик</w:t>
      </w:r>
      <w:r w:rsidRPr="00B57FE8">
        <w:rPr>
          <w:rFonts w:ascii="Times New Roman" w:hAnsi="Times New Roman" w:cs="Times New Roman"/>
          <w:sz w:val="16"/>
          <w:szCs w:val="16"/>
          <w:lang w:val="sr-Cyrl-RS"/>
        </w:rPr>
        <w:t>а</w:t>
      </w:r>
      <w:r w:rsidRPr="00B57FE8">
        <w:rPr>
          <w:rFonts w:ascii="Times New Roman" w:hAnsi="Times New Roman" w:cs="Times New Roman"/>
          <w:sz w:val="16"/>
          <w:szCs w:val="16"/>
        </w:rPr>
        <w:t xml:space="preserve"> и биодиверзитет</w:t>
      </w:r>
    </w:p>
  </w:footnote>
  <w:footnote w:id="135">
    <w:p w14:paraId="3CF5346B" w14:textId="77777777" w:rsidR="008F5C3A" w:rsidRPr="00B57FE8" w:rsidRDefault="008F5C3A" w:rsidP="00B57FE8">
      <w:pPr>
        <w:pStyle w:val="FootnoteText"/>
        <w:spacing w:after="0"/>
        <w:ind w:firstLine="0"/>
        <w:rPr>
          <w:rFonts w:ascii="Times New Roman" w:hAnsi="Times New Roman" w:cs="Times New Roman"/>
          <w:sz w:val="16"/>
          <w:szCs w:val="16"/>
          <w:lang w:val="sr-Cyrl-RS"/>
        </w:rPr>
      </w:pPr>
      <w:r w:rsidRPr="00B57FE8">
        <w:rPr>
          <w:rStyle w:val="FootnoteReference"/>
          <w:rFonts w:ascii="Times New Roman" w:hAnsi="Times New Roman" w:cs="Times New Roman"/>
          <w:sz w:val="16"/>
          <w:szCs w:val="16"/>
          <w:lang w:val="sr-Cyrl-RS"/>
        </w:rPr>
        <w:footnoteRef/>
      </w:r>
      <w:r w:rsidRPr="00B57FE8">
        <w:rPr>
          <w:rFonts w:ascii="Times New Roman" w:hAnsi="Times New Roman" w:cs="Times New Roman"/>
          <w:sz w:val="16"/>
          <w:szCs w:val="16"/>
          <w:lang w:val="sr-Cyrl-RS"/>
        </w:rPr>
        <w:t xml:space="preserve"> Извор: РЗС, обрачун РСЈП, </w:t>
      </w:r>
      <w:hyperlink r:id="rId61" w:history="1">
        <w:r w:rsidRPr="00B57FE8">
          <w:rPr>
            <w:rStyle w:val="Hyperlink"/>
            <w:rFonts w:ascii="Times New Roman" w:hAnsi="Times New Roman" w:cs="Times New Roman"/>
            <w:sz w:val="16"/>
            <w:szCs w:val="16"/>
            <w:lang w:val="sr-Cyrl-RS"/>
          </w:rPr>
          <w:t>https://data.stat.gov.rs/Home/Result/1005?languageCode=sr-Cyrl</w:t>
        </w:r>
      </w:hyperlink>
      <w:r w:rsidRPr="00B57FE8">
        <w:rPr>
          <w:rFonts w:ascii="Times New Roman" w:hAnsi="Times New Roman" w:cs="Times New Roman"/>
          <w:sz w:val="16"/>
          <w:szCs w:val="16"/>
          <w:lang w:val="sr-Cyrl-RS"/>
        </w:rPr>
        <w:t xml:space="preserve"> </w:t>
      </w:r>
    </w:p>
  </w:footnote>
  <w:footnote w:id="136">
    <w:p w14:paraId="25E8B6E7" w14:textId="77777777" w:rsidR="008F5C3A" w:rsidRPr="00B57FE8" w:rsidRDefault="008F5C3A" w:rsidP="00B57FE8">
      <w:pPr>
        <w:pStyle w:val="FootnoteText"/>
        <w:spacing w:after="0"/>
        <w:ind w:firstLine="0"/>
        <w:rPr>
          <w:rFonts w:ascii="Times New Roman" w:hAnsi="Times New Roman" w:cs="Times New Roman"/>
          <w:sz w:val="16"/>
          <w:szCs w:val="16"/>
          <w:lang w:val="sr-Latn-RS"/>
        </w:rPr>
      </w:pPr>
      <w:r w:rsidRPr="00B57FE8">
        <w:rPr>
          <w:rStyle w:val="FootnoteReference"/>
          <w:rFonts w:ascii="Times New Roman" w:hAnsi="Times New Roman" w:cs="Times New Roman"/>
          <w:sz w:val="16"/>
          <w:szCs w:val="16"/>
          <w:lang w:val="sr-Cyrl-RS"/>
        </w:rPr>
        <w:footnoteRef/>
      </w:r>
      <w:r w:rsidRPr="00B57FE8">
        <w:rPr>
          <w:rFonts w:ascii="Times New Roman" w:hAnsi="Times New Roman" w:cs="Times New Roman"/>
          <w:sz w:val="16"/>
          <w:szCs w:val="16"/>
          <w:lang w:val="sr-Cyrl-RS"/>
        </w:rPr>
        <w:t xml:space="preserve"> Извор: </w:t>
      </w:r>
      <w:r w:rsidRPr="00B57FE8">
        <w:rPr>
          <w:rFonts w:ascii="Times New Roman" w:hAnsi="Times New Roman" w:cs="Times New Roman"/>
          <w:sz w:val="16"/>
          <w:szCs w:val="16"/>
        </w:rPr>
        <w:t>Eurostat</w:t>
      </w:r>
      <w:r w:rsidRPr="00B57FE8">
        <w:rPr>
          <w:rFonts w:ascii="Times New Roman" w:hAnsi="Times New Roman" w:cs="Times New Roman"/>
          <w:sz w:val="16"/>
          <w:szCs w:val="16"/>
          <w:lang w:val="sr-Cyrl-RS"/>
        </w:rPr>
        <w:t xml:space="preserve"> </w:t>
      </w:r>
      <w:hyperlink r:id="rId62" w:history="1">
        <w:r w:rsidRPr="00B57FE8">
          <w:rPr>
            <w:rStyle w:val="Hyperlink"/>
            <w:rFonts w:ascii="Times New Roman" w:eastAsia="MS PGothic" w:hAnsi="Times New Roman" w:cs="Times New Roman"/>
            <w:sz w:val="16"/>
            <w:szCs w:val="16"/>
          </w:rPr>
          <w:t>https://ec.europa.eu/eurostat/databrowser/view/rd_p_perslf/default/table?lang=en</w:t>
        </w:r>
      </w:hyperlink>
      <w:r w:rsidRPr="00B57FE8">
        <w:rPr>
          <w:rFonts w:ascii="Times New Roman" w:hAnsi="Times New Roman" w:cs="Times New Roman"/>
          <w:sz w:val="16"/>
          <w:szCs w:val="16"/>
          <w:lang w:val="sr-Cyrl-RS"/>
        </w:rPr>
        <w:t xml:space="preserve"> </w:t>
      </w:r>
    </w:p>
  </w:footnote>
  <w:footnote w:id="137">
    <w:p w14:paraId="6BBD8113" w14:textId="7E25CC07"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lang w:val="sr-Cyrl-RS"/>
        </w:rPr>
        <w:footnoteRef/>
      </w:r>
      <w:r w:rsidRPr="00B57FE8">
        <w:rPr>
          <w:rFonts w:ascii="Times New Roman" w:hAnsi="Times New Roman" w:cs="Times New Roman"/>
          <w:color w:val="auto"/>
          <w:sz w:val="16"/>
          <w:szCs w:val="16"/>
          <w:lang w:val="sr-Cyrl-RS"/>
        </w:rPr>
        <w:t xml:space="preserve"> Извор: РЗС: Билтен „Научноистраживачка делатност у РС, 2021</w:t>
      </w:r>
      <w:r w:rsidRPr="003C1DFF">
        <w:rPr>
          <w:rFonts w:ascii="Times New Roman" w:hAnsi="Times New Roman" w:cs="Times New Roman"/>
          <w:sz w:val="16"/>
          <w:szCs w:val="16"/>
          <w:lang w:val="sr-Cyrl-RS"/>
        </w:rPr>
        <w:t>”</w:t>
      </w:r>
      <w:r w:rsidRPr="00B57FE8">
        <w:rPr>
          <w:rFonts w:ascii="Times New Roman" w:hAnsi="Times New Roman" w:cs="Times New Roman"/>
          <w:color w:val="auto"/>
          <w:sz w:val="16"/>
          <w:szCs w:val="16"/>
          <w:lang w:val="sr-Cyrl-RS"/>
        </w:rPr>
        <w:t>.</w:t>
      </w:r>
    </w:p>
  </w:footnote>
  <w:footnote w:id="138">
    <w:p w14:paraId="600DA8D7" w14:textId="77777777" w:rsidR="008F5C3A" w:rsidRPr="00B57FE8" w:rsidRDefault="008F5C3A" w:rsidP="00BA1B20">
      <w:pPr>
        <w:pStyle w:val="FootnoteText"/>
        <w:spacing w:after="0" w:line="238" w:lineRule="auto"/>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Извор</w:t>
      </w:r>
      <w:r w:rsidRPr="00B57FE8">
        <w:rPr>
          <w:rFonts w:ascii="Times New Roman" w:hAnsi="Times New Roman" w:cs="Times New Roman"/>
          <w:sz w:val="16"/>
          <w:szCs w:val="16"/>
          <w:lang w:val="sr-Cyrl-RS"/>
        </w:rPr>
        <w:t>:</w:t>
      </w:r>
      <w:r>
        <w:rPr>
          <w:rFonts w:ascii="Times New Roman" w:hAnsi="Times New Roman" w:cs="Times New Roman"/>
          <w:sz w:val="16"/>
          <w:szCs w:val="16"/>
          <w:lang w:val="en-US"/>
        </w:rPr>
        <w:t xml:space="preserve"> </w:t>
      </w:r>
      <w:r w:rsidRPr="00B57FE8">
        <w:rPr>
          <w:rFonts w:ascii="Times New Roman" w:hAnsi="Times New Roman" w:cs="Times New Roman"/>
          <w:color w:val="auto"/>
          <w:sz w:val="16"/>
          <w:szCs w:val="16"/>
          <w:lang w:val="sr-Cyrl-RS"/>
        </w:rPr>
        <w:t>РЗС,</w:t>
      </w:r>
      <w:r w:rsidRPr="00B57FE8">
        <w:rPr>
          <w:rFonts w:ascii="Times New Roman" w:eastAsiaTheme="minorHAnsi" w:hAnsi="Times New Roman" w:cs="Times New Roman"/>
          <w:bCs w:val="0"/>
          <w:color w:val="auto"/>
          <w:sz w:val="16"/>
          <w:szCs w:val="16"/>
          <w:lang w:val="sr-Cyrl-RS"/>
        </w:rPr>
        <w:t xml:space="preserve"> </w:t>
      </w:r>
      <w:r w:rsidRPr="00B57FE8">
        <w:rPr>
          <w:rFonts w:ascii="Times New Roman" w:hAnsi="Times New Roman" w:cs="Times New Roman"/>
          <w:color w:val="auto"/>
          <w:sz w:val="16"/>
          <w:szCs w:val="16"/>
          <w:lang w:val="sr-Cyrl-RS"/>
        </w:rPr>
        <w:t xml:space="preserve">Спољнотрговинска робна размена, коначни подаци 2021., </w:t>
      </w:r>
      <w:hyperlink r:id="rId63" w:history="1">
        <w:r w:rsidRPr="00B57FE8">
          <w:rPr>
            <w:rStyle w:val="Hyperlink"/>
            <w:rFonts w:ascii="Times New Roman" w:hAnsi="Times New Roman" w:cs="Times New Roman"/>
            <w:sz w:val="16"/>
            <w:szCs w:val="16"/>
          </w:rPr>
          <w:t>https://www.stat.gov.rs/sr-latn/vesti/20220715-spoljnotrgovinska-robna-razmena-konacni-podaci-2021/</w:t>
        </w:r>
      </w:hyperlink>
      <w:r w:rsidRPr="00B57FE8">
        <w:rPr>
          <w:rFonts w:ascii="Times New Roman" w:hAnsi="Times New Roman" w:cs="Times New Roman"/>
          <w:color w:val="auto"/>
          <w:sz w:val="16"/>
          <w:szCs w:val="16"/>
          <w:lang w:val="sr-Cyrl-RS"/>
        </w:rPr>
        <w:t xml:space="preserve"> </w:t>
      </w:r>
    </w:p>
  </w:footnote>
  <w:footnote w:id="139">
    <w:p w14:paraId="07133286" w14:textId="77777777" w:rsidR="008F5C3A" w:rsidRPr="00B57FE8" w:rsidRDefault="008F5C3A" w:rsidP="00BA1B20">
      <w:pPr>
        <w:pStyle w:val="FootnoteText"/>
        <w:spacing w:after="0" w:line="238" w:lineRule="auto"/>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lang w:val="sr-Cyrl-RS"/>
        </w:rPr>
        <w:t xml:space="preserve"> Извор</w:t>
      </w:r>
      <w:r w:rsidRPr="00B57FE8">
        <w:rPr>
          <w:rFonts w:ascii="Times New Roman" w:hAnsi="Times New Roman" w:cs="Times New Roman"/>
          <w:sz w:val="16"/>
          <w:szCs w:val="16"/>
          <w:lang w:val="sr-Cyrl-RS"/>
        </w:rPr>
        <w:t>:</w:t>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 xml:space="preserve">РЗС, Спољнотрговинска робна размена, август 2022., </w:t>
      </w:r>
      <w:hyperlink r:id="rId64" w:history="1">
        <w:r w:rsidRPr="00B57FE8">
          <w:rPr>
            <w:rStyle w:val="Hyperlink"/>
            <w:rFonts w:ascii="Times New Roman" w:hAnsi="Times New Roman" w:cs="Times New Roman"/>
            <w:sz w:val="16"/>
            <w:szCs w:val="16"/>
            <w:lang w:val="sr-Cyrl-RS"/>
          </w:rPr>
          <w:t>https://www.stat.gov.rs/vesti/20220930-spoljnotrgovinska-robna-razmena-za-avgust-2022/</w:t>
        </w:r>
      </w:hyperlink>
      <w:r w:rsidRPr="00B57FE8">
        <w:rPr>
          <w:rFonts w:ascii="Times New Roman" w:hAnsi="Times New Roman" w:cs="Times New Roman"/>
          <w:color w:val="auto"/>
          <w:sz w:val="16"/>
          <w:szCs w:val="16"/>
          <w:lang w:val="sr-Cyrl-RS"/>
        </w:rPr>
        <w:t xml:space="preserve"> </w:t>
      </w:r>
    </w:p>
  </w:footnote>
  <w:footnote w:id="140">
    <w:p w14:paraId="0686002C" w14:textId="2D71152A" w:rsidR="008F5C3A" w:rsidRPr="00B57FE8" w:rsidRDefault="008F5C3A" w:rsidP="00BA1B20">
      <w:pPr>
        <w:pStyle w:val="FootnoteText"/>
        <w:spacing w:after="0" w:line="238" w:lineRule="auto"/>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Извор</w:t>
      </w:r>
      <w:r w:rsidRPr="00B57FE8">
        <w:rPr>
          <w:rFonts w:ascii="Times New Roman" w:hAnsi="Times New Roman" w:cs="Times New Roman"/>
          <w:sz w:val="16"/>
          <w:szCs w:val="16"/>
          <w:lang w:val="sr-Cyrl-RS"/>
        </w:rPr>
        <w:t>:</w:t>
      </w:r>
      <w:r>
        <w:rPr>
          <w:rFonts w:ascii="Times New Roman" w:hAnsi="Times New Roman" w:cs="Times New Roman"/>
          <w:sz w:val="16"/>
          <w:szCs w:val="16"/>
          <w:lang w:val="en-US"/>
        </w:rPr>
        <w:t xml:space="preserve"> </w:t>
      </w:r>
      <w:r w:rsidRPr="00B57FE8">
        <w:rPr>
          <w:rFonts w:ascii="Times New Roman" w:hAnsi="Times New Roman" w:cs="Times New Roman"/>
          <w:color w:val="auto"/>
          <w:sz w:val="16"/>
          <w:szCs w:val="16"/>
          <w:lang w:val="sr-Cyrl-RS"/>
        </w:rPr>
        <w:t>Н</w:t>
      </w:r>
      <w:r>
        <w:rPr>
          <w:rFonts w:ascii="Times New Roman" w:hAnsi="Times New Roman" w:cs="Times New Roman"/>
          <w:color w:val="auto"/>
          <w:sz w:val="16"/>
          <w:szCs w:val="16"/>
          <w:lang w:val="sr-Cyrl-RS"/>
        </w:rPr>
        <w:t>ародна банка Србије</w:t>
      </w:r>
      <w:r w:rsidRPr="00B57FE8">
        <w:rPr>
          <w:rFonts w:ascii="Times New Roman" w:hAnsi="Times New Roman" w:cs="Times New Roman"/>
          <w:color w:val="auto"/>
          <w:sz w:val="16"/>
          <w:szCs w:val="16"/>
          <w:lang w:val="sr-Cyrl-RS"/>
        </w:rPr>
        <w:t xml:space="preserve">, Платни биланс, </w:t>
      </w:r>
      <w:hyperlink r:id="rId65" w:history="1">
        <w:r w:rsidRPr="00B57FE8">
          <w:rPr>
            <w:rStyle w:val="Hyperlink"/>
            <w:rFonts w:ascii="Times New Roman" w:hAnsi="Times New Roman" w:cs="Times New Roman"/>
            <w:sz w:val="16"/>
            <w:szCs w:val="16"/>
            <w:lang w:val="sr-Cyrl-RS"/>
          </w:rPr>
          <w:t>https://nbs.rs/sr_RS/drugi-nivo-navigacije/statistika</w:t>
        </w:r>
      </w:hyperlink>
      <w:r w:rsidRPr="00B57FE8">
        <w:rPr>
          <w:rFonts w:ascii="Times New Roman" w:hAnsi="Times New Roman" w:cs="Times New Roman"/>
          <w:sz w:val="16"/>
          <w:szCs w:val="16"/>
          <w:lang w:val="sr-Cyrl-RS"/>
        </w:rPr>
        <w:t xml:space="preserve"> </w:t>
      </w:r>
    </w:p>
  </w:footnote>
  <w:footnote w:id="141">
    <w:p w14:paraId="5DC14205" w14:textId="77777777" w:rsidR="008F5C3A" w:rsidRPr="00B57FE8" w:rsidRDefault="008F5C3A" w:rsidP="00BA1B20">
      <w:pPr>
        <w:pStyle w:val="FootnoteText"/>
        <w:spacing w:after="0" w:line="238" w:lineRule="auto"/>
        <w:ind w:firstLine="0"/>
        <w:rPr>
          <w:rFonts w:ascii="Times New Roman" w:hAnsi="Times New Roman" w:cs="Times New Roman"/>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Извор</w:t>
      </w:r>
      <w:r w:rsidRPr="00B57FE8">
        <w:rPr>
          <w:rFonts w:ascii="Times New Roman" w:hAnsi="Times New Roman" w:cs="Times New Roman"/>
          <w:sz w:val="16"/>
          <w:szCs w:val="16"/>
          <w:lang w:val="sr-Cyrl-RS"/>
        </w:rPr>
        <w:t>:</w:t>
      </w:r>
      <w:r>
        <w:rPr>
          <w:rFonts w:ascii="Times New Roman" w:hAnsi="Times New Roman" w:cs="Times New Roman"/>
          <w:sz w:val="16"/>
          <w:szCs w:val="16"/>
          <w:lang w:val="en-US"/>
        </w:rPr>
        <w:t xml:space="preserve"> </w:t>
      </w:r>
      <w:r w:rsidRPr="00B57FE8">
        <w:rPr>
          <w:rFonts w:ascii="Times New Roman" w:hAnsi="Times New Roman" w:cs="Times New Roman"/>
          <w:color w:val="auto"/>
          <w:sz w:val="16"/>
          <w:szCs w:val="16"/>
          <w:lang w:val="sr-Cyrl-RS"/>
        </w:rPr>
        <w:t xml:space="preserve">РЗС, Спољнотрговинска робна размена август 2022., </w:t>
      </w:r>
      <w:hyperlink r:id="rId66" w:history="1">
        <w:r w:rsidRPr="00B57FE8">
          <w:rPr>
            <w:rStyle w:val="Hyperlink"/>
            <w:rFonts w:ascii="Times New Roman" w:eastAsia="MS PGothic" w:hAnsi="Times New Roman" w:cs="Times New Roman"/>
            <w:sz w:val="16"/>
            <w:szCs w:val="16"/>
            <w:lang w:val="sr-Cyrl-RS"/>
          </w:rPr>
          <w:t>https://publikacije.stat.gov.rs/G2022/Pdf/G20221272.pdf</w:t>
        </w:r>
      </w:hyperlink>
      <w:r w:rsidRPr="00B57FE8">
        <w:rPr>
          <w:rFonts w:ascii="Times New Roman" w:hAnsi="Times New Roman" w:cs="Times New Roman"/>
          <w:sz w:val="16"/>
          <w:szCs w:val="16"/>
          <w:lang w:val="sr-Cyrl-RS"/>
        </w:rPr>
        <w:t xml:space="preserve"> </w:t>
      </w:r>
    </w:p>
  </w:footnote>
  <w:footnote w:id="142">
    <w:p w14:paraId="5A0E8FD5" w14:textId="77777777" w:rsidR="008F5C3A" w:rsidRPr="00B57FE8" w:rsidRDefault="008F5C3A" w:rsidP="00BA1B20">
      <w:pPr>
        <w:pStyle w:val="FootnoteText"/>
        <w:spacing w:after="0" w:line="238" w:lineRule="auto"/>
        <w:ind w:firstLine="0"/>
        <w:jc w:val="left"/>
        <w:rPr>
          <w:rFonts w:ascii="Times New Roman" w:hAnsi="Times New Roman" w:cs="Times New Roman"/>
          <w:sz w:val="16"/>
          <w:szCs w:val="16"/>
          <w:lang w:val="sr-Latn-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lang w:val="sr-Cyrl-RS"/>
        </w:rPr>
        <w:t xml:space="preserve"> Извор</w:t>
      </w:r>
      <w:r w:rsidRPr="00B57FE8">
        <w:rPr>
          <w:rFonts w:ascii="Times New Roman" w:hAnsi="Times New Roman" w:cs="Times New Roman"/>
          <w:sz w:val="16"/>
          <w:szCs w:val="16"/>
          <w:lang w:val="sr-Cyrl-RS"/>
        </w:rPr>
        <w:t>:</w:t>
      </w:r>
      <w:r>
        <w:rPr>
          <w:rFonts w:ascii="Times New Roman" w:hAnsi="Times New Roman" w:cs="Times New Roman"/>
          <w:sz w:val="16"/>
          <w:szCs w:val="16"/>
          <w:lang w:val="en-US"/>
        </w:rPr>
        <w:t xml:space="preserve"> </w:t>
      </w:r>
      <w:r w:rsidRPr="00B57FE8">
        <w:rPr>
          <w:rFonts w:ascii="Times New Roman" w:hAnsi="Times New Roman" w:cs="Times New Roman"/>
          <w:color w:val="auto"/>
          <w:sz w:val="16"/>
          <w:szCs w:val="16"/>
          <w:lang w:val="sr-Latn-RS"/>
        </w:rPr>
        <w:t xml:space="preserve">Trade map, </w:t>
      </w:r>
      <w:hyperlink r:id="rId67" w:history="1">
        <w:r w:rsidRPr="00B57FE8">
          <w:rPr>
            <w:rStyle w:val="Hyperlink"/>
            <w:rFonts w:ascii="Times New Roman" w:hAnsi="Times New Roman" w:cs="Times New Roman"/>
            <w:sz w:val="16"/>
            <w:szCs w:val="16"/>
            <w:lang w:val="sr-Latn-RS"/>
          </w:rPr>
          <w:t>https://www.trademap.org/Bilateral_TS.aspx?nvpm=1%7c688%7c%7c%7c42%7cTOTAL%7c%7c%7c2%7c1%7c1%7c2%7c2%7c1%7c1%7c1%7c1%7c1</w:t>
        </w:r>
      </w:hyperlink>
      <w:r w:rsidRPr="00B57FE8">
        <w:rPr>
          <w:rFonts w:ascii="Times New Roman" w:hAnsi="Times New Roman" w:cs="Times New Roman"/>
          <w:sz w:val="16"/>
          <w:szCs w:val="16"/>
          <w:lang w:val="sr-Latn-RS"/>
        </w:rPr>
        <w:t xml:space="preserve"> </w:t>
      </w:r>
    </w:p>
  </w:footnote>
  <w:footnote w:id="143">
    <w:p w14:paraId="7BB0CC4C" w14:textId="77777777" w:rsidR="008F5C3A" w:rsidRPr="00B57FE8" w:rsidRDefault="008F5C3A" w:rsidP="00BA1B20">
      <w:pPr>
        <w:pStyle w:val="FootnoteText"/>
        <w:spacing w:after="0" w:line="238" w:lineRule="auto"/>
        <w:ind w:firstLine="0"/>
        <w:rPr>
          <w:rFonts w:ascii="Times New Roman" w:hAnsi="Times New Roman" w:cs="Times New Roman"/>
          <w:color w:val="auto"/>
          <w:sz w:val="16"/>
          <w:szCs w:val="16"/>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lang w:val="sr-Cyrl-RS"/>
        </w:rPr>
        <w:t xml:space="preserve"> Извор</w:t>
      </w:r>
      <w:r w:rsidRPr="00B57FE8">
        <w:rPr>
          <w:rFonts w:ascii="Times New Roman" w:hAnsi="Times New Roman" w:cs="Times New Roman"/>
          <w:sz w:val="16"/>
          <w:szCs w:val="16"/>
          <w:lang w:val="sr-Cyrl-RS"/>
        </w:rPr>
        <w:t>:</w:t>
      </w:r>
      <w:r>
        <w:rPr>
          <w:rFonts w:ascii="Times New Roman" w:hAnsi="Times New Roman" w:cs="Times New Roman"/>
          <w:sz w:val="16"/>
          <w:szCs w:val="16"/>
          <w:lang w:val="en-US"/>
        </w:rPr>
        <w:t xml:space="preserve"> </w:t>
      </w:r>
      <w:r w:rsidRPr="00B57FE8">
        <w:rPr>
          <w:rFonts w:ascii="Times New Roman" w:hAnsi="Times New Roman" w:cs="Times New Roman"/>
          <w:color w:val="auto"/>
          <w:sz w:val="16"/>
          <w:szCs w:val="16"/>
          <w:lang w:val="sr-Cyrl-RS"/>
        </w:rPr>
        <w:t xml:space="preserve">РЗС, Спољнотрговинска робна размена, коначни подаци 2021, </w:t>
      </w:r>
      <w:hyperlink r:id="rId68" w:history="1">
        <w:r w:rsidRPr="00B57FE8">
          <w:rPr>
            <w:rStyle w:val="Hyperlink"/>
            <w:rFonts w:ascii="Times New Roman" w:hAnsi="Times New Roman" w:cs="Times New Roman"/>
            <w:sz w:val="16"/>
            <w:szCs w:val="16"/>
            <w:lang w:val="sr-Cyrl-RS"/>
          </w:rPr>
          <w:t>https://www.stat.gov.rs/sr-latn/vesti/20220715-spoljnotrgovinska-robna-razmena-konacni-podaci-2021/</w:t>
        </w:r>
      </w:hyperlink>
      <w:r w:rsidRPr="00B57FE8">
        <w:rPr>
          <w:rFonts w:ascii="Times New Roman" w:hAnsi="Times New Roman" w:cs="Times New Roman"/>
          <w:color w:val="auto"/>
          <w:sz w:val="16"/>
          <w:szCs w:val="16"/>
          <w:lang w:val="sr-Cyrl-RS"/>
        </w:rPr>
        <w:t xml:space="preserve"> </w:t>
      </w:r>
    </w:p>
  </w:footnote>
  <w:footnote w:id="144">
    <w:p w14:paraId="489A6B5B" w14:textId="77777777" w:rsidR="008F5C3A" w:rsidRPr="00B57FE8" w:rsidRDefault="008F5C3A" w:rsidP="00B57FE8">
      <w:pPr>
        <w:pStyle w:val="FootnoteText"/>
        <w:spacing w:after="0"/>
        <w:ind w:firstLine="0"/>
        <w:rPr>
          <w:rFonts w:ascii="Times New Roman" w:hAnsi="Times New Roman" w:cs="Times New Roman"/>
          <w:sz w:val="16"/>
          <w:szCs w:val="16"/>
          <w:lang w:val="sr-Cyrl-RS"/>
        </w:rPr>
      </w:pPr>
      <w:r w:rsidRPr="00B57FE8">
        <w:rPr>
          <w:rStyle w:val="FootnoteReference"/>
          <w:rFonts w:ascii="Times New Roman" w:hAnsi="Times New Roman" w:cs="Times New Roman"/>
          <w:sz w:val="16"/>
          <w:szCs w:val="16"/>
        </w:rPr>
        <w:footnoteRef/>
      </w:r>
      <w:r w:rsidRPr="00B57FE8">
        <w:rPr>
          <w:rFonts w:ascii="Times New Roman" w:hAnsi="Times New Roman" w:cs="Times New Roman"/>
          <w:sz w:val="16"/>
          <w:szCs w:val="16"/>
        </w:rPr>
        <w:t xml:space="preserve"> </w:t>
      </w:r>
      <w:r w:rsidRPr="00B57FE8">
        <w:rPr>
          <w:rFonts w:ascii="Times New Roman" w:hAnsi="Times New Roman" w:cs="Times New Roman"/>
          <w:sz w:val="16"/>
          <w:szCs w:val="16"/>
          <w:lang w:val="sr-Cyrl-RS"/>
        </w:rPr>
        <w:t>Експ</w:t>
      </w:r>
      <w:r>
        <w:rPr>
          <w:rFonts w:ascii="Times New Roman" w:hAnsi="Times New Roman" w:cs="Times New Roman"/>
          <w:sz w:val="16"/>
          <w:szCs w:val="16"/>
          <w:lang w:val="sr-Cyrl-RS"/>
        </w:rPr>
        <w:t>ертска процена на основу постоје</w:t>
      </w:r>
      <w:r w:rsidRPr="00B57FE8">
        <w:rPr>
          <w:rFonts w:ascii="Times New Roman" w:hAnsi="Times New Roman" w:cs="Times New Roman"/>
          <w:sz w:val="16"/>
          <w:szCs w:val="16"/>
          <w:lang w:val="sr-Cyrl-RS"/>
        </w:rPr>
        <w:t xml:space="preserve">ћег тренда </w:t>
      </w:r>
    </w:p>
  </w:footnote>
  <w:footnote w:id="145">
    <w:p w14:paraId="671563B0" w14:textId="46BA0A6A" w:rsidR="008F5C3A" w:rsidRPr="00B57FE8" w:rsidRDefault="008F5C3A" w:rsidP="00B57FE8">
      <w:pPr>
        <w:pStyle w:val="FootnoteText"/>
        <w:spacing w:after="0"/>
        <w:ind w:firstLine="0"/>
        <w:rPr>
          <w:rFonts w:ascii="Times New Roman" w:hAnsi="Times New Roman" w:cs="Times New Roman"/>
          <w:sz w:val="16"/>
          <w:szCs w:val="16"/>
          <w:lang w:val="sr-Latn-RS"/>
        </w:rPr>
      </w:pPr>
      <w:r w:rsidRPr="00B57FE8">
        <w:rPr>
          <w:rStyle w:val="FootnoteReference"/>
          <w:rFonts w:ascii="Times New Roman" w:hAnsi="Times New Roman" w:cs="Times New Roman"/>
          <w:sz w:val="16"/>
          <w:szCs w:val="16"/>
        </w:rPr>
        <w:footnoteRef/>
      </w:r>
      <w:r w:rsidRPr="00B57FE8">
        <w:rPr>
          <w:rFonts w:ascii="Times New Roman" w:hAnsi="Times New Roman" w:cs="Times New Roman"/>
          <w:sz w:val="16"/>
          <w:szCs w:val="16"/>
        </w:rPr>
        <w:t xml:space="preserve"> Глобални преглед (UN Global Survey on Digital and Sustainable Trade Facilitation) се објављује на сваке две године, а обухвата приказ 143 економије широм света и то кроз анализу примене мера које се односе на </w:t>
      </w:r>
      <w:r>
        <w:rPr>
          <w:rFonts w:ascii="Times New Roman" w:hAnsi="Times New Roman" w:cs="Times New Roman"/>
          <w:sz w:val="16"/>
          <w:szCs w:val="16"/>
          <w:lang w:val="sr-Cyrl-RS"/>
        </w:rPr>
        <w:t>примену</w:t>
      </w:r>
      <w:r w:rsidRPr="00B57FE8">
        <w:rPr>
          <w:rFonts w:ascii="Times New Roman" w:hAnsi="Times New Roman" w:cs="Times New Roman"/>
          <w:sz w:val="16"/>
          <w:szCs w:val="16"/>
        </w:rPr>
        <w:t xml:space="preserve"> одредби Споразума о олакшању трговине СТО. На основу информација из упитника експерти УН врше евалуацију оствареног напретка у појединачним земљама.</w:t>
      </w:r>
    </w:p>
  </w:footnote>
  <w:footnote w:id="146">
    <w:p w14:paraId="3A9E4AC7" w14:textId="77777777" w:rsidR="008F5C3A" w:rsidRPr="00B57FE8" w:rsidRDefault="008F5C3A" w:rsidP="00B57FE8">
      <w:pPr>
        <w:pStyle w:val="FootnoteText"/>
        <w:spacing w:after="0"/>
        <w:ind w:firstLine="0"/>
        <w:rPr>
          <w:rFonts w:ascii="Times New Roman" w:hAnsi="Times New Roman" w:cs="Times New Roman"/>
          <w:sz w:val="16"/>
          <w:szCs w:val="16"/>
          <w:lang w:val="sr-Cyrl-RS"/>
        </w:rPr>
      </w:pPr>
      <w:r w:rsidRPr="00B57FE8">
        <w:rPr>
          <w:rStyle w:val="FootnoteReference"/>
          <w:rFonts w:ascii="Times New Roman" w:hAnsi="Times New Roman" w:cs="Times New Roman"/>
          <w:sz w:val="16"/>
          <w:szCs w:val="16"/>
        </w:rPr>
        <w:footnoteRef/>
      </w:r>
      <w:r w:rsidRPr="00B57FE8">
        <w:rPr>
          <w:rFonts w:ascii="Times New Roman" w:hAnsi="Times New Roman" w:cs="Times New Roman"/>
          <w:sz w:val="16"/>
          <w:szCs w:val="16"/>
        </w:rPr>
        <w:t xml:space="preserve"> </w:t>
      </w:r>
      <w:r w:rsidRPr="00B57FE8">
        <w:rPr>
          <w:rFonts w:ascii="Times New Roman" w:hAnsi="Times New Roman" w:cs="Times New Roman"/>
          <w:sz w:val="16"/>
          <w:szCs w:val="16"/>
          <w:lang w:val="sr-Cyrl-RS"/>
        </w:rPr>
        <w:t>Последња оцена испуњености мера за олакшавање трговине је објављена 2021. године. Наредни извештај се очекује 2023. године.</w:t>
      </w:r>
    </w:p>
  </w:footnote>
  <w:footnote w:id="147">
    <w:p w14:paraId="65A78716" w14:textId="6A2E550E" w:rsidR="008F5C3A" w:rsidRPr="006944C5" w:rsidRDefault="008F5C3A" w:rsidP="006944C5">
      <w:pPr>
        <w:pStyle w:val="FootnoteText"/>
        <w:spacing w:after="0"/>
        <w:ind w:firstLine="0"/>
        <w:jc w:val="left"/>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Годишњи</w:t>
      </w:r>
      <w:r w:rsidRPr="006944C5">
        <w:rPr>
          <w:rFonts w:ascii="Times New Roman" w:hAnsi="Times New Roman" w:cs="Times New Roman"/>
          <w:sz w:val="16"/>
          <w:szCs w:val="16"/>
        </w:rPr>
        <w:t xml:space="preserve"> извештај о наплати путарине ЈП ,,Путеви Србије</w:t>
      </w:r>
      <w:r>
        <w:rPr>
          <w:rFonts w:ascii="Times New Roman" w:hAnsi="Times New Roman" w:cs="Times New Roman"/>
          <w:sz w:val="16"/>
          <w:szCs w:val="16"/>
        </w:rPr>
        <w:t>ˮ</w:t>
      </w:r>
      <w:r w:rsidRPr="006944C5">
        <w:rPr>
          <w:rFonts w:ascii="Times New Roman" w:hAnsi="Times New Roman" w:cs="Times New Roman"/>
          <w:sz w:val="16"/>
          <w:szCs w:val="16"/>
        </w:rPr>
        <w:t>,</w:t>
      </w:r>
      <w:r w:rsidRPr="006944C5">
        <w:rPr>
          <w:rFonts w:ascii="Times New Roman" w:hAnsi="Times New Roman" w:cs="Times New Roman"/>
          <w:sz w:val="16"/>
          <w:szCs w:val="16"/>
          <w:lang w:val="sr-Cyrl-RS"/>
        </w:rPr>
        <w:t xml:space="preserve"> </w:t>
      </w:r>
      <w:hyperlink r:id="rId69" w:history="1">
        <w:r w:rsidRPr="006944C5">
          <w:rPr>
            <w:rStyle w:val="Hyperlink"/>
            <w:rFonts w:ascii="Times New Roman" w:hAnsi="Times New Roman" w:cs="Times New Roman"/>
            <w:sz w:val="16"/>
            <w:szCs w:val="16"/>
            <w:lang w:val="sr-Cyrl-RS"/>
          </w:rPr>
          <w:t>https://www.putevi-srbije.rs/images/pdf/suiss/UISS_godisnji_izvestaj_2021.pdf</w:t>
        </w:r>
      </w:hyperlink>
      <w:r w:rsidRPr="006944C5">
        <w:rPr>
          <w:rFonts w:ascii="Times New Roman" w:hAnsi="Times New Roman" w:cs="Times New Roman"/>
          <w:sz w:val="16"/>
          <w:szCs w:val="16"/>
          <w:lang w:val="sr-Cyrl-RS"/>
        </w:rPr>
        <w:t xml:space="preserve"> </w:t>
      </w:r>
    </w:p>
  </w:footnote>
  <w:footnote w:id="148">
    <w:p w14:paraId="66F64C2E"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Fonts w:ascii="Times New Roman" w:hAnsi="Times New Roman" w:cs="Times New Roman"/>
          <w:sz w:val="16"/>
          <w:szCs w:val="16"/>
          <w:vertAlign w:val="superscript"/>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Извор</w:t>
      </w:r>
      <w:r w:rsidRPr="006944C5">
        <w:rPr>
          <w:rFonts w:ascii="Times New Roman" w:hAnsi="Times New Roman" w:cs="Times New Roman"/>
          <w:sz w:val="16"/>
          <w:szCs w:val="16"/>
          <w:lang w:val="sr-Cyrl-RS"/>
        </w:rPr>
        <w:t>:</w:t>
      </w:r>
      <w:r>
        <w:rPr>
          <w:rFonts w:ascii="Times New Roman" w:hAnsi="Times New Roman" w:cs="Times New Roman"/>
          <w:sz w:val="16"/>
          <w:szCs w:val="16"/>
          <w:lang w:val="sr-Cyrl-RS"/>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rPr>
        <w:t xml:space="preserve">, </w:t>
      </w:r>
      <w:hyperlink r:id="rId70" w:history="1">
        <w:r w:rsidRPr="006944C5">
          <w:rPr>
            <w:rStyle w:val="Hyperlink"/>
            <w:rFonts w:ascii="Times New Roman" w:hAnsi="Times New Roman" w:cs="Times New Roman"/>
            <w:sz w:val="16"/>
            <w:szCs w:val="16"/>
          </w:rPr>
          <w:t>https://publikacije.stat.gov.rs/G2022/Pdf/G20221177.pdf</w:t>
        </w:r>
      </w:hyperlink>
      <w:r w:rsidRPr="006944C5">
        <w:rPr>
          <w:rFonts w:ascii="Times New Roman" w:hAnsi="Times New Roman" w:cs="Times New Roman"/>
          <w:sz w:val="16"/>
          <w:szCs w:val="16"/>
          <w:lang w:val="sr-Cyrl-RS"/>
        </w:rPr>
        <w:t xml:space="preserve"> </w:t>
      </w:r>
    </w:p>
  </w:footnote>
  <w:footnote w:id="149">
    <w:p w14:paraId="11D55DDA"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Fonts w:ascii="Times New Roman" w:hAnsi="Times New Roman" w:cs="Times New Roman"/>
          <w:sz w:val="16"/>
          <w:szCs w:val="16"/>
          <w:vertAlign w:val="superscript"/>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Извор</w:t>
      </w:r>
      <w:r w:rsidRPr="006944C5">
        <w:rPr>
          <w:rFonts w:ascii="Times New Roman" w:hAnsi="Times New Roman" w:cs="Times New Roman"/>
          <w:sz w:val="16"/>
          <w:szCs w:val="16"/>
          <w:lang w:val="sr-Cyrl-RS"/>
        </w:rPr>
        <w:t>:</w:t>
      </w:r>
      <w:r>
        <w:rPr>
          <w:rFonts w:ascii="Times New Roman" w:hAnsi="Times New Roman" w:cs="Times New Roman"/>
          <w:sz w:val="16"/>
          <w:szCs w:val="16"/>
          <w:lang w:val="sr-Cyrl-RS"/>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rPr>
        <w:t xml:space="preserve">, </w:t>
      </w:r>
      <w:hyperlink r:id="rId71" w:history="1">
        <w:r w:rsidRPr="006944C5">
          <w:rPr>
            <w:rStyle w:val="Hyperlink"/>
            <w:rFonts w:ascii="Times New Roman" w:hAnsi="Times New Roman" w:cs="Times New Roman"/>
            <w:sz w:val="16"/>
            <w:szCs w:val="16"/>
          </w:rPr>
          <w:t>https://publikacije.stat.gov.rs/G2022/Pdf/G20221153.pdf</w:t>
        </w:r>
      </w:hyperlink>
      <w:r w:rsidRPr="006944C5">
        <w:rPr>
          <w:rFonts w:ascii="Times New Roman" w:hAnsi="Times New Roman" w:cs="Times New Roman"/>
          <w:sz w:val="16"/>
          <w:szCs w:val="16"/>
          <w:lang w:val="sr-Cyrl-RS"/>
        </w:rPr>
        <w:t xml:space="preserve"> </w:t>
      </w:r>
    </w:p>
  </w:footnote>
  <w:footnote w:id="150">
    <w:p w14:paraId="417E1F34" w14:textId="77777777" w:rsidR="008F5C3A" w:rsidRPr="006944C5" w:rsidRDefault="008F5C3A" w:rsidP="006944C5">
      <w:pPr>
        <w:pStyle w:val="FootnoteText"/>
        <w:spacing w:after="0"/>
        <w:ind w:firstLine="0"/>
        <w:jc w:val="left"/>
        <w:rPr>
          <w:rFonts w:ascii="Times New Roman" w:hAnsi="Times New Roman" w:cs="Times New Roman"/>
          <w:sz w:val="16"/>
          <w:szCs w:val="16"/>
          <w:lang w:val="sr-Cyrl-RS"/>
        </w:rPr>
      </w:pPr>
      <w:r w:rsidRPr="006944C5">
        <w:rPr>
          <w:rFonts w:ascii="Times New Roman" w:hAnsi="Times New Roman" w:cs="Times New Roman"/>
          <w:sz w:val="16"/>
          <w:szCs w:val="16"/>
          <w:vertAlign w:val="superscript"/>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Извор</w:t>
      </w:r>
      <w:r w:rsidRPr="006944C5">
        <w:rPr>
          <w:rFonts w:ascii="Times New Roman" w:hAnsi="Times New Roman" w:cs="Times New Roman"/>
          <w:sz w:val="16"/>
          <w:szCs w:val="16"/>
          <w:lang w:val="sr-Cyrl-RS"/>
        </w:rPr>
        <w:t>:</w:t>
      </w:r>
      <w:r>
        <w:rPr>
          <w:rFonts w:ascii="Times New Roman" w:hAnsi="Times New Roman" w:cs="Times New Roman"/>
          <w:sz w:val="16"/>
          <w:szCs w:val="16"/>
          <w:lang w:val="sr-Cyrl-RS"/>
        </w:rPr>
        <w:t xml:space="preserve"> </w:t>
      </w:r>
      <w:r w:rsidRPr="006944C5">
        <w:rPr>
          <w:rFonts w:ascii="Times New Roman" w:hAnsi="Times New Roman" w:cs="Times New Roman"/>
          <w:sz w:val="16"/>
          <w:szCs w:val="16"/>
        </w:rPr>
        <w:t xml:space="preserve">Извештај о регулисању тржишта железничких услуга за 2021. годину, </w:t>
      </w:r>
      <w:hyperlink r:id="rId72" w:history="1">
        <w:r w:rsidRPr="006944C5">
          <w:rPr>
            <w:rStyle w:val="Hyperlink"/>
            <w:rFonts w:ascii="Times New Roman" w:hAnsi="Times New Roman" w:cs="Times New Roman"/>
            <w:sz w:val="16"/>
            <w:szCs w:val="16"/>
          </w:rPr>
          <w:t>https://www.raildir.gov.rs/doc/izvestaji/Izvestaj%20_o_regulisanju_trzista_zeleznickih_usluga_za_2021.pdf</w:t>
        </w:r>
      </w:hyperlink>
      <w:r w:rsidRPr="006944C5">
        <w:rPr>
          <w:rFonts w:ascii="Times New Roman" w:hAnsi="Times New Roman" w:cs="Times New Roman"/>
          <w:sz w:val="16"/>
          <w:szCs w:val="16"/>
          <w:lang w:val="sr-Cyrl-RS"/>
        </w:rPr>
        <w:t xml:space="preserve"> </w:t>
      </w:r>
    </w:p>
  </w:footnote>
  <w:footnote w:id="151">
    <w:p w14:paraId="1E7FF1C6" w14:textId="77777777" w:rsidR="008F5C3A" w:rsidRPr="006944C5" w:rsidRDefault="008F5C3A" w:rsidP="006944C5">
      <w:pPr>
        <w:pStyle w:val="FootnoteText"/>
        <w:spacing w:after="0"/>
        <w:ind w:firstLine="0"/>
        <w:jc w:val="left"/>
        <w:rPr>
          <w:rFonts w:ascii="Times New Roman" w:hAnsi="Times New Roman" w:cs="Times New Roman"/>
          <w:sz w:val="16"/>
          <w:szCs w:val="16"/>
          <w:lang w:val="sr-Cyrl-RS"/>
        </w:rPr>
      </w:pPr>
      <w:r w:rsidRPr="006944C5">
        <w:rPr>
          <w:rFonts w:ascii="Times New Roman" w:hAnsi="Times New Roman" w:cs="Times New Roman"/>
          <w:sz w:val="16"/>
          <w:szCs w:val="16"/>
          <w:vertAlign w:val="superscript"/>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Извор</w:t>
      </w:r>
      <w:r w:rsidRPr="006944C5">
        <w:rPr>
          <w:rFonts w:ascii="Times New Roman" w:hAnsi="Times New Roman" w:cs="Times New Roman"/>
          <w:sz w:val="16"/>
          <w:szCs w:val="16"/>
          <w:lang w:val="sr-Cyrl-RS"/>
        </w:rPr>
        <w:t>:</w:t>
      </w:r>
      <w:r>
        <w:rPr>
          <w:rFonts w:ascii="Times New Roman" w:hAnsi="Times New Roman" w:cs="Times New Roman"/>
          <w:sz w:val="16"/>
          <w:szCs w:val="16"/>
          <w:lang w:val="sr-Cyrl-RS"/>
        </w:rPr>
        <w:t xml:space="preserve"> </w:t>
      </w:r>
      <w:r w:rsidRPr="006944C5">
        <w:rPr>
          <w:rFonts w:ascii="Times New Roman" w:hAnsi="Times New Roman" w:cs="Times New Roman"/>
          <w:sz w:val="16"/>
          <w:szCs w:val="16"/>
        </w:rPr>
        <w:t xml:space="preserve">Извештај о регулисању тржишта железничких услуга за 2021. годину, </w:t>
      </w:r>
      <w:hyperlink r:id="rId73" w:history="1">
        <w:r w:rsidRPr="006944C5">
          <w:rPr>
            <w:rStyle w:val="Hyperlink"/>
            <w:rFonts w:ascii="Times New Roman" w:hAnsi="Times New Roman" w:cs="Times New Roman"/>
            <w:sz w:val="16"/>
            <w:szCs w:val="16"/>
          </w:rPr>
          <w:t>https://www.raildir.gov.rs/doc/izvestaji/Izvestaj%20_o_regulisanju_trzista_zeleznickih_usluga_za_2021.pdf</w:t>
        </w:r>
      </w:hyperlink>
      <w:r w:rsidRPr="006944C5">
        <w:rPr>
          <w:rFonts w:ascii="Times New Roman" w:hAnsi="Times New Roman" w:cs="Times New Roman"/>
          <w:sz w:val="16"/>
          <w:szCs w:val="16"/>
          <w:lang w:val="sr-Cyrl-RS"/>
        </w:rPr>
        <w:t xml:space="preserve"> </w:t>
      </w:r>
    </w:p>
  </w:footnote>
  <w:footnote w:id="152">
    <w:p w14:paraId="2D6AF147"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Fonts w:ascii="Times New Roman" w:hAnsi="Times New Roman" w:cs="Times New Roman"/>
          <w:sz w:val="16"/>
          <w:szCs w:val="16"/>
          <w:vertAlign w:val="superscript"/>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Извор</w:t>
      </w:r>
      <w:r w:rsidRPr="006944C5">
        <w:rPr>
          <w:rFonts w:ascii="Times New Roman" w:hAnsi="Times New Roman" w:cs="Times New Roman"/>
          <w:sz w:val="16"/>
          <w:szCs w:val="16"/>
          <w:lang w:val="sr-Cyrl-RS"/>
        </w:rPr>
        <w:t>:</w:t>
      </w:r>
      <w:r>
        <w:rPr>
          <w:rFonts w:ascii="Times New Roman" w:hAnsi="Times New Roman" w:cs="Times New Roman"/>
          <w:sz w:val="16"/>
          <w:szCs w:val="16"/>
          <w:lang w:val="sr-Cyrl-RS"/>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rPr>
        <w:t xml:space="preserve">, </w:t>
      </w:r>
      <w:hyperlink r:id="rId74" w:history="1">
        <w:r w:rsidRPr="006944C5">
          <w:rPr>
            <w:rStyle w:val="Hyperlink"/>
            <w:rFonts w:ascii="Times New Roman" w:hAnsi="Times New Roman" w:cs="Times New Roman"/>
            <w:sz w:val="16"/>
            <w:szCs w:val="16"/>
          </w:rPr>
          <w:t>https://publikacije.stat.gov.rs/G2022/Pdf/G20221177.pdf</w:t>
        </w:r>
      </w:hyperlink>
      <w:r w:rsidRPr="006944C5">
        <w:rPr>
          <w:rFonts w:ascii="Times New Roman" w:hAnsi="Times New Roman" w:cs="Times New Roman"/>
          <w:sz w:val="16"/>
          <w:szCs w:val="16"/>
          <w:lang w:val="sr-Cyrl-RS"/>
        </w:rPr>
        <w:t xml:space="preserve"> </w:t>
      </w:r>
    </w:p>
  </w:footnote>
  <w:footnote w:id="153">
    <w:p w14:paraId="7AB6FB0B"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Fonts w:ascii="Times New Roman" w:hAnsi="Times New Roman" w:cs="Times New Roman"/>
          <w:sz w:val="16"/>
          <w:szCs w:val="16"/>
          <w:vertAlign w:val="superscript"/>
        </w:rPr>
        <w:footnoteRef/>
      </w:r>
      <w:r w:rsidRPr="006944C5">
        <w:rPr>
          <w:rFonts w:ascii="Times New Roman" w:hAnsi="Times New Roman" w:cs="Times New Roman"/>
          <w:color w:val="auto"/>
          <w:sz w:val="16"/>
          <w:szCs w:val="16"/>
          <w:lang w:val="sr-Cyrl-RS"/>
        </w:rPr>
        <w:t xml:space="preserve"> Извор:</w:t>
      </w:r>
      <w:r w:rsidRPr="006944C5">
        <w:rPr>
          <w:rFonts w:ascii="Times New Roman" w:hAnsi="Times New Roman" w:cs="Times New Roman"/>
          <w:color w:val="auto"/>
          <w:sz w:val="16"/>
          <w:szCs w:val="16"/>
        </w:rPr>
        <w:t xml:space="preserve"> РЗС, </w:t>
      </w:r>
      <w:hyperlink r:id="rId75" w:history="1">
        <w:r w:rsidRPr="006944C5">
          <w:rPr>
            <w:rStyle w:val="Hyperlink"/>
            <w:rFonts w:ascii="Times New Roman" w:hAnsi="Times New Roman" w:cs="Times New Roman"/>
            <w:sz w:val="16"/>
            <w:szCs w:val="16"/>
          </w:rPr>
          <w:t>https://publikacije.stat.gov.rs/G2022/Pdf/G20221071.pdf</w:t>
        </w:r>
      </w:hyperlink>
      <w:r w:rsidRPr="006944C5">
        <w:rPr>
          <w:rFonts w:ascii="Times New Roman" w:hAnsi="Times New Roman" w:cs="Times New Roman"/>
          <w:sz w:val="16"/>
          <w:szCs w:val="16"/>
          <w:lang w:val="sr-Cyrl-RS"/>
        </w:rPr>
        <w:t xml:space="preserve"> </w:t>
      </w:r>
    </w:p>
  </w:footnote>
  <w:footnote w:id="154">
    <w:p w14:paraId="58C9D56C" w14:textId="77777777" w:rsidR="008F5C3A" w:rsidRPr="006944C5" w:rsidRDefault="008F5C3A" w:rsidP="00B57FE8">
      <w:pPr>
        <w:pStyle w:val="FootnoteText"/>
        <w:spacing w:after="0"/>
        <w:ind w:firstLine="0"/>
        <w:rPr>
          <w:rFonts w:ascii="Times New Roman" w:hAnsi="Times New Roman" w:cs="Times New Roman"/>
          <w:color w:val="auto"/>
          <w:sz w:val="16"/>
          <w:szCs w:val="16"/>
          <w:u w:val="single"/>
          <w:lang w:val="sr-Cyrl-RS"/>
        </w:rPr>
      </w:pPr>
      <w:r w:rsidRPr="006944C5">
        <w:rPr>
          <w:rFonts w:ascii="Times New Roman" w:hAnsi="Times New Roman" w:cs="Times New Roman"/>
          <w:color w:val="auto"/>
          <w:sz w:val="16"/>
          <w:szCs w:val="16"/>
          <w:vertAlign w:val="superscript"/>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Извор:Агенција</w:t>
      </w:r>
      <w:r w:rsidRPr="006944C5">
        <w:rPr>
          <w:rFonts w:ascii="Times New Roman" w:hAnsi="Times New Roman" w:cs="Times New Roman"/>
          <w:color w:val="auto"/>
          <w:sz w:val="16"/>
          <w:szCs w:val="16"/>
        </w:rPr>
        <w:t xml:space="preserve"> за управљање лукама</w:t>
      </w:r>
    </w:p>
  </w:footnote>
  <w:footnote w:id="155">
    <w:p w14:paraId="520D76F6" w14:textId="77777777" w:rsidR="008F5C3A" w:rsidRPr="006944C5" w:rsidRDefault="008F5C3A" w:rsidP="00B57FE8">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Извор:Агенција</w:t>
      </w:r>
      <w:r w:rsidRPr="006944C5">
        <w:rPr>
          <w:rFonts w:ascii="Times New Roman" w:hAnsi="Times New Roman" w:cs="Times New Roman"/>
          <w:color w:val="auto"/>
          <w:sz w:val="16"/>
          <w:szCs w:val="16"/>
        </w:rPr>
        <w:t xml:space="preserve"> за управљање лукама</w:t>
      </w:r>
    </w:p>
  </w:footnote>
  <w:footnote w:id="156">
    <w:p w14:paraId="69999654" w14:textId="77777777" w:rsidR="008F5C3A" w:rsidRPr="006944C5" w:rsidRDefault="008F5C3A" w:rsidP="00B57FE8">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Извор: Агенција</w:t>
      </w:r>
      <w:r w:rsidRPr="006944C5">
        <w:rPr>
          <w:rFonts w:ascii="Times New Roman" w:hAnsi="Times New Roman" w:cs="Times New Roman"/>
          <w:color w:val="auto"/>
          <w:sz w:val="16"/>
          <w:szCs w:val="16"/>
        </w:rPr>
        <w:t xml:space="preserve"> за управљање лукама</w:t>
      </w:r>
    </w:p>
  </w:footnote>
  <w:footnote w:id="157">
    <w:p w14:paraId="442901FC"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Извор: Аеродром Никола Тесла</w:t>
      </w:r>
    </w:p>
  </w:footnote>
  <w:footnote w:id="158">
    <w:p w14:paraId="743E08D8" w14:textId="77777777" w:rsidR="008F5C3A" w:rsidRPr="006944C5" w:rsidRDefault="008F5C3A" w:rsidP="006944C5">
      <w:pPr>
        <w:pStyle w:val="FootnoteText"/>
        <w:spacing w:after="0"/>
        <w:ind w:firstLine="0"/>
        <w:jc w:val="left"/>
        <w:rPr>
          <w:rFonts w:ascii="Times New Roman" w:hAnsi="Times New Roman" w:cs="Times New Roman"/>
          <w:sz w:val="16"/>
          <w:szCs w:val="16"/>
        </w:rPr>
      </w:pPr>
      <w:r w:rsidRPr="006944C5">
        <w:rPr>
          <w:rFonts w:ascii="Times New Roman" w:hAnsi="Times New Roman" w:cs="Times New Roman"/>
          <w:sz w:val="16"/>
          <w:szCs w:val="16"/>
          <w:vertAlign w:val="superscript"/>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 xml:space="preserve">Извор: </w:t>
      </w:r>
      <w:r w:rsidRPr="006944C5">
        <w:rPr>
          <w:rFonts w:ascii="Times New Roman" w:hAnsi="Times New Roman" w:cs="Times New Roman"/>
          <w:color w:val="auto"/>
          <w:sz w:val="16"/>
          <w:szCs w:val="16"/>
        </w:rPr>
        <w:t xml:space="preserve">VINCI Airoprts – </w:t>
      </w:r>
      <w:r w:rsidRPr="006944C5">
        <w:rPr>
          <w:rFonts w:ascii="Times New Roman" w:hAnsi="Times New Roman" w:cs="Times New Roman"/>
          <w:color w:val="auto"/>
          <w:sz w:val="16"/>
          <w:szCs w:val="16"/>
          <w:lang w:val="sr-Cyrl-RS"/>
        </w:rPr>
        <w:t xml:space="preserve">саобраћај за 2021. годину, </w:t>
      </w:r>
      <w:r w:rsidRPr="006944C5">
        <w:rPr>
          <w:rFonts w:ascii="Times New Roman" w:hAnsi="Times New Roman" w:cs="Times New Roman"/>
          <w:color w:val="2F5496"/>
          <w:sz w:val="16"/>
          <w:szCs w:val="16"/>
        </w:rPr>
        <w:t>https://beg.aero/sites/belgrade/files/pdf/putnicki_saobracaj_i_komercijalne_avio_operacije_na_dan_31._decembar_2021._g.pdf</w:t>
      </w:r>
    </w:p>
  </w:footnote>
  <w:footnote w:id="159">
    <w:p w14:paraId="0AE640AE" w14:textId="77777777" w:rsidR="008F5C3A" w:rsidRPr="006944C5" w:rsidRDefault="008F5C3A" w:rsidP="0052525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Извор: VINCI</w:t>
      </w:r>
      <w:r w:rsidRPr="006944C5">
        <w:rPr>
          <w:rFonts w:ascii="Times New Roman" w:hAnsi="Times New Roman" w:cs="Times New Roman"/>
          <w:color w:val="auto"/>
          <w:sz w:val="16"/>
          <w:szCs w:val="16"/>
        </w:rPr>
        <w:t xml:space="preserve"> Airoprts – </w:t>
      </w:r>
      <w:r w:rsidRPr="006944C5">
        <w:rPr>
          <w:rFonts w:ascii="Times New Roman" w:hAnsi="Times New Roman" w:cs="Times New Roman"/>
          <w:color w:val="auto"/>
          <w:sz w:val="16"/>
          <w:szCs w:val="16"/>
          <w:lang w:val="sr-Cyrl-RS"/>
        </w:rPr>
        <w:t>саобраћај на дан 3</w:t>
      </w:r>
      <w:r>
        <w:rPr>
          <w:rFonts w:ascii="Times New Roman" w:hAnsi="Times New Roman" w:cs="Times New Roman"/>
          <w:color w:val="auto"/>
          <w:sz w:val="16"/>
          <w:szCs w:val="16"/>
          <w:lang w:val="sr-Cyrl-RS"/>
        </w:rPr>
        <w:t>0</w:t>
      </w:r>
      <w:r w:rsidRPr="006944C5">
        <w:rPr>
          <w:rFonts w:ascii="Times New Roman" w:hAnsi="Times New Roman" w:cs="Times New Roman"/>
          <w:color w:val="auto"/>
          <w:sz w:val="16"/>
          <w:szCs w:val="16"/>
          <w:lang w:val="sr-Cyrl-RS"/>
        </w:rPr>
        <w:t xml:space="preserve">. </w:t>
      </w:r>
      <w:r>
        <w:rPr>
          <w:rFonts w:ascii="Times New Roman" w:hAnsi="Times New Roman" w:cs="Times New Roman"/>
          <w:color w:val="auto"/>
          <w:sz w:val="16"/>
          <w:szCs w:val="16"/>
          <w:lang w:val="sr-Cyrl-RS"/>
        </w:rPr>
        <w:t>септембар 2022</w:t>
      </w:r>
    </w:p>
  </w:footnote>
  <w:footnote w:id="160">
    <w:p w14:paraId="3E4C1094" w14:textId="0B111A5D"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Fonts w:ascii="Times New Roman" w:hAnsi="Times New Roman" w:cs="Times New Roman"/>
          <w:sz w:val="16"/>
          <w:szCs w:val="16"/>
          <w:vertAlign w:val="superscript"/>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Извор: Аеродром</w:t>
      </w:r>
      <w:r w:rsidRPr="006944C5">
        <w:rPr>
          <w:rFonts w:ascii="Times New Roman" w:hAnsi="Times New Roman" w:cs="Times New Roman"/>
          <w:color w:val="auto"/>
          <w:sz w:val="16"/>
          <w:szCs w:val="16"/>
        </w:rPr>
        <w:t xml:space="preserve"> ,,Константин Велики</w:t>
      </w:r>
      <w:r w:rsidRPr="003C1DFF">
        <w:rPr>
          <w:rFonts w:ascii="Times New Roman" w:hAnsi="Times New Roman" w:cs="Times New Roman"/>
          <w:sz w:val="16"/>
          <w:szCs w:val="16"/>
          <w:lang w:val="sr-Cyrl-RS"/>
        </w:rPr>
        <w:t>”</w:t>
      </w:r>
      <w:r w:rsidRPr="006944C5">
        <w:rPr>
          <w:rFonts w:ascii="Times New Roman" w:hAnsi="Times New Roman" w:cs="Times New Roman"/>
          <w:color w:val="auto"/>
          <w:sz w:val="16"/>
          <w:szCs w:val="16"/>
        </w:rPr>
        <w:t xml:space="preserve"> Ниш</w:t>
      </w:r>
      <w:r w:rsidRPr="006944C5">
        <w:rPr>
          <w:rFonts w:ascii="Times New Roman" w:hAnsi="Times New Roman" w:cs="Times New Roman"/>
          <w:sz w:val="16"/>
          <w:szCs w:val="16"/>
        </w:rPr>
        <w:t xml:space="preserve">, </w:t>
      </w:r>
      <w:hyperlink r:id="rId76" w:history="1">
        <w:r w:rsidRPr="006944C5">
          <w:rPr>
            <w:rStyle w:val="Hyperlink"/>
            <w:rFonts w:ascii="Times New Roman" w:hAnsi="Times New Roman" w:cs="Times New Roman"/>
            <w:sz w:val="16"/>
            <w:szCs w:val="16"/>
          </w:rPr>
          <w:t>https://ini.aerodromisrbije.rs/statistika/</w:t>
        </w:r>
      </w:hyperlink>
      <w:r w:rsidRPr="006944C5">
        <w:rPr>
          <w:rFonts w:ascii="Times New Roman" w:hAnsi="Times New Roman" w:cs="Times New Roman"/>
          <w:sz w:val="16"/>
          <w:szCs w:val="16"/>
          <w:lang w:val="sr-Cyrl-RS"/>
        </w:rPr>
        <w:t xml:space="preserve"> </w:t>
      </w:r>
    </w:p>
  </w:footnote>
  <w:footnote w:id="161">
    <w:p w14:paraId="0724CE8B" w14:textId="0E81DE0B" w:rsidR="008F5C3A" w:rsidRPr="006944C5" w:rsidRDefault="008F5C3A" w:rsidP="00B57FE8">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Извор: М</w:t>
      </w:r>
      <w:r>
        <w:rPr>
          <w:rFonts w:ascii="Times New Roman" w:hAnsi="Times New Roman" w:cs="Times New Roman"/>
          <w:color w:val="auto"/>
          <w:sz w:val="16"/>
          <w:szCs w:val="16"/>
          <w:lang w:val="sr-Cyrl-RS"/>
        </w:rPr>
        <w:t>инистарство пољопривреде, шумарства и водопривреде</w:t>
      </w:r>
    </w:p>
  </w:footnote>
  <w:footnote w:id="162">
    <w:p w14:paraId="2A1456A1" w14:textId="77777777" w:rsidR="008F5C3A" w:rsidRPr="006944C5" w:rsidRDefault="008F5C3A" w:rsidP="00B57FE8">
      <w:pPr>
        <w:pStyle w:val="FootnoteText"/>
        <w:spacing w:after="0"/>
        <w:ind w:firstLine="0"/>
        <w:rPr>
          <w:rFonts w:ascii="Times New Roman" w:hAnsi="Times New Roman" w:cs="Times New Roman"/>
          <w:noProof/>
          <w:sz w:val="16"/>
          <w:szCs w:val="16"/>
          <w:lang w:val="sr-Cyrl-RS"/>
        </w:rPr>
      </w:pPr>
      <w:r w:rsidRPr="006944C5">
        <w:rPr>
          <w:rStyle w:val="FootnoteReference"/>
          <w:rFonts w:ascii="Times New Roman" w:hAnsi="Times New Roman" w:cs="Times New Roman"/>
          <w:noProof/>
          <w:sz w:val="16"/>
          <w:szCs w:val="16"/>
          <w:lang w:val="sr-Cyrl-RS"/>
        </w:rPr>
        <w:footnoteRef/>
      </w:r>
      <w:r w:rsidRPr="006944C5">
        <w:rPr>
          <w:rStyle w:val="Hyperlink"/>
          <w:rFonts w:ascii="Times New Roman" w:eastAsia="MS PGothic" w:hAnsi="Times New Roman" w:cs="Times New Roman"/>
          <w:noProof/>
          <w:color w:val="auto"/>
          <w:sz w:val="16"/>
          <w:szCs w:val="16"/>
          <w:u w:val="none"/>
          <w:lang w:val="sr-Cyrl-RS"/>
        </w:rPr>
        <w:t xml:space="preserve"> </w:t>
      </w:r>
      <w:r w:rsidRPr="006944C5">
        <w:rPr>
          <w:rFonts w:ascii="Times New Roman" w:hAnsi="Times New Roman" w:cs="Times New Roman"/>
          <w:color w:val="auto"/>
          <w:sz w:val="16"/>
          <w:szCs w:val="16"/>
        </w:rPr>
        <w:t>РЗС</w:t>
      </w:r>
      <w:r w:rsidRPr="006944C5">
        <w:rPr>
          <w:rFonts w:ascii="Times New Roman" w:hAnsi="Times New Roman" w:cs="Times New Roman"/>
          <w:color w:val="auto"/>
          <w:sz w:val="16"/>
          <w:szCs w:val="16"/>
          <w:lang w:val="sr-Latn-RS"/>
        </w:rPr>
        <w:t xml:space="preserve">, </w:t>
      </w:r>
      <w:r w:rsidRPr="006944C5">
        <w:rPr>
          <w:rFonts w:ascii="Times New Roman" w:hAnsi="Times New Roman" w:cs="Times New Roman"/>
          <w:color w:val="auto"/>
          <w:sz w:val="16"/>
          <w:szCs w:val="16"/>
          <w:lang w:val="sr-Cyrl-RS"/>
        </w:rPr>
        <w:t>Анкета о радној снази, 2021;</w:t>
      </w:r>
      <w:r w:rsidRPr="006944C5">
        <w:rPr>
          <w:rStyle w:val="Hyperlink"/>
          <w:rFonts w:ascii="Times New Roman" w:eastAsia="MS PGothic" w:hAnsi="Times New Roman" w:cs="Times New Roman"/>
          <w:noProof/>
          <w:color w:val="auto"/>
          <w:sz w:val="16"/>
          <w:szCs w:val="16"/>
          <w:u w:val="none"/>
          <w:lang w:val="sr-Cyrl-RS"/>
        </w:rPr>
        <w:t xml:space="preserve"> обрада РСЈП,</w:t>
      </w:r>
      <w:r w:rsidRPr="006944C5">
        <w:rPr>
          <w:rStyle w:val="Hyperlink"/>
          <w:rFonts w:ascii="Times New Roman" w:eastAsia="MS PGothic" w:hAnsi="Times New Roman" w:cs="Times New Roman"/>
          <w:noProof/>
          <w:color w:val="auto"/>
          <w:sz w:val="16"/>
          <w:szCs w:val="16"/>
          <w:lang w:val="sr-Cyrl-RS"/>
        </w:rPr>
        <w:t xml:space="preserve"> </w:t>
      </w:r>
      <w:hyperlink r:id="rId77" w:history="1">
        <w:r w:rsidRPr="006944C5">
          <w:rPr>
            <w:rStyle w:val="Hyperlink"/>
            <w:rFonts w:ascii="Times New Roman" w:eastAsia="MS PGothic" w:hAnsi="Times New Roman" w:cs="Times New Roman"/>
            <w:noProof/>
            <w:sz w:val="16"/>
            <w:szCs w:val="16"/>
            <w:lang w:val="sr-Cyrl-RS"/>
          </w:rPr>
          <w:t>https://publikacije.stat.gov.rs/G2022/Pdf/G20225682.pdf</w:t>
        </w:r>
      </w:hyperlink>
      <w:r w:rsidRPr="006944C5">
        <w:rPr>
          <w:rStyle w:val="Hyperlink"/>
          <w:rFonts w:ascii="Times New Roman" w:eastAsia="MS PGothic" w:hAnsi="Times New Roman" w:cs="Times New Roman"/>
          <w:noProof/>
          <w:sz w:val="16"/>
          <w:szCs w:val="16"/>
          <w:lang w:val="sr-Cyrl-RS"/>
        </w:rPr>
        <w:t xml:space="preserve"> </w:t>
      </w:r>
    </w:p>
  </w:footnote>
  <w:footnote w:id="163">
    <w:p w14:paraId="694C37CD"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lang w:val="sr-Cyrl-RS"/>
        </w:rPr>
        <w:t xml:space="preserve">, </w:t>
      </w:r>
      <w:hyperlink r:id="rId78" w:history="1">
        <w:r w:rsidRPr="006944C5">
          <w:rPr>
            <w:rStyle w:val="Hyperlink"/>
            <w:rFonts w:ascii="Times New Roman" w:hAnsi="Times New Roman" w:cs="Times New Roman"/>
            <w:sz w:val="16"/>
            <w:szCs w:val="16"/>
            <w:lang w:val="sr-Cyrl-RS"/>
          </w:rPr>
          <w:t>https://publikacije.stat.gov.rs/G2022/Pdf/G20221021.pdf</w:t>
        </w:r>
      </w:hyperlink>
    </w:p>
  </w:footnote>
  <w:footnote w:id="164">
    <w:p w14:paraId="2C05A118" w14:textId="27300B50"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Извештај</w:t>
      </w:r>
      <w:r w:rsidRPr="006944C5">
        <w:rPr>
          <w:rFonts w:ascii="Times New Roman" w:hAnsi="Times New Roman" w:cs="Times New Roman"/>
          <w:sz w:val="16"/>
          <w:szCs w:val="16"/>
          <w:lang w:val="sr-Cyrl-RS"/>
        </w:rPr>
        <w:t xml:space="preserve"> о стању у пољопривреди у Републици Србији у 2021. години, М</w:t>
      </w:r>
      <w:r>
        <w:rPr>
          <w:rFonts w:ascii="Times New Roman" w:hAnsi="Times New Roman" w:cs="Times New Roman"/>
          <w:sz w:val="16"/>
          <w:szCs w:val="16"/>
          <w:lang w:val="sr-Cyrl-RS"/>
        </w:rPr>
        <w:t>инистарство пољопривреде, шумарства и водопривреде</w:t>
      </w:r>
      <w:r w:rsidRPr="006944C5">
        <w:rPr>
          <w:rFonts w:ascii="Times New Roman" w:hAnsi="Times New Roman" w:cs="Times New Roman"/>
          <w:sz w:val="16"/>
          <w:szCs w:val="16"/>
          <w:lang w:val="sr-Cyrl-RS"/>
        </w:rPr>
        <w:t>, јун 2022.</w:t>
      </w:r>
    </w:p>
  </w:footnote>
  <w:footnote w:id="165">
    <w:p w14:paraId="6F01E597" w14:textId="77777777" w:rsidR="008F5C3A" w:rsidRPr="006944C5" w:rsidRDefault="008F5C3A" w:rsidP="00B57FE8">
      <w:pPr>
        <w:pStyle w:val="FootnoteText"/>
        <w:spacing w:after="0"/>
        <w:ind w:firstLine="0"/>
        <w:rPr>
          <w:rFonts w:ascii="Times New Roman" w:hAnsi="Times New Roman" w:cs="Times New Roman"/>
          <w:noProof/>
          <w:sz w:val="16"/>
          <w:szCs w:val="16"/>
          <w:lang w:val="sr-Cyrl-RS"/>
        </w:rPr>
      </w:pPr>
      <w:r w:rsidRPr="006944C5">
        <w:rPr>
          <w:rStyle w:val="FootnoteReference"/>
          <w:rFonts w:ascii="Times New Roman" w:hAnsi="Times New Roman" w:cs="Times New Roman"/>
          <w:noProof/>
          <w:sz w:val="16"/>
          <w:szCs w:val="16"/>
          <w:lang w:val="sr-Cyrl-RS"/>
        </w:rPr>
        <w:footnoteRef/>
      </w:r>
      <w:r w:rsidRPr="006944C5">
        <w:rPr>
          <w:rFonts w:ascii="Times New Roman" w:hAnsi="Times New Roman" w:cs="Times New Roman"/>
          <w:noProof/>
          <w:sz w:val="16"/>
          <w:szCs w:val="16"/>
          <w:lang w:val="sr-Cyrl-RS"/>
        </w:rPr>
        <w:t xml:space="preserve"> </w:t>
      </w:r>
      <w:r w:rsidRPr="006944C5">
        <w:rPr>
          <w:rFonts w:ascii="Times New Roman" w:hAnsi="Times New Roman" w:cs="Times New Roman"/>
          <w:color w:val="auto"/>
          <w:sz w:val="16"/>
          <w:szCs w:val="16"/>
          <w:lang w:val="sr-Cyrl-RS"/>
        </w:rPr>
        <w:t>РСЗ</w:t>
      </w:r>
      <w:r w:rsidRPr="006944C5">
        <w:rPr>
          <w:rFonts w:ascii="Times New Roman" w:hAnsi="Times New Roman" w:cs="Times New Roman"/>
          <w:noProof/>
          <w:sz w:val="16"/>
          <w:szCs w:val="16"/>
          <w:lang w:val="sr-Cyrl-RS"/>
        </w:rPr>
        <w:t xml:space="preserve"> Анкета о структури пољопривредних газдинстава, 2018. </w:t>
      </w:r>
      <w:hyperlink r:id="rId79" w:history="1">
        <w:r w:rsidRPr="006944C5">
          <w:rPr>
            <w:rStyle w:val="Hyperlink"/>
            <w:rFonts w:ascii="Times New Roman" w:eastAsia="MS PGothic" w:hAnsi="Times New Roman" w:cs="Times New Roman"/>
            <w:noProof/>
            <w:sz w:val="16"/>
            <w:szCs w:val="16"/>
            <w:lang w:val="sr-Cyrl-RS"/>
          </w:rPr>
          <w:t>https://publikacije.stat.gov.rs/G2019/Pdf/G20196002.pdf</w:t>
        </w:r>
      </w:hyperlink>
      <w:r w:rsidRPr="006944C5">
        <w:rPr>
          <w:rFonts w:ascii="Times New Roman" w:hAnsi="Times New Roman" w:cs="Times New Roman"/>
          <w:noProof/>
          <w:sz w:val="16"/>
          <w:szCs w:val="16"/>
          <w:lang w:val="sr-Cyrl-RS"/>
        </w:rPr>
        <w:t xml:space="preserve"> </w:t>
      </w:r>
    </w:p>
  </w:footnote>
  <w:footnote w:id="166">
    <w:p w14:paraId="36D1C3D3" w14:textId="77777777" w:rsidR="008F5C3A" w:rsidRPr="006944C5" w:rsidRDefault="008F5C3A" w:rsidP="00B57FE8">
      <w:pPr>
        <w:pStyle w:val="FootnoteText"/>
        <w:spacing w:after="0"/>
        <w:ind w:firstLine="0"/>
        <w:rPr>
          <w:rFonts w:ascii="Times New Roman" w:hAnsi="Times New Roman" w:cs="Times New Roman"/>
          <w:sz w:val="16"/>
          <w:szCs w:val="16"/>
        </w:rPr>
      </w:pPr>
      <w:r w:rsidRPr="006944C5">
        <w:rPr>
          <w:rStyle w:val="FootnoteReference"/>
          <w:rFonts w:ascii="Times New Roman" w:hAnsi="Times New Roman" w:cs="Times New Roman"/>
          <w:sz w:val="16"/>
          <w:szCs w:val="16"/>
        </w:rPr>
        <w:footnoteRef/>
      </w:r>
      <w:r w:rsidRPr="006944C5">
        <w:rPr>
          <w:rStyle w:val="FootnoteReference"/>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Smallholders</w:t>
      </w:r>
      <w:r w:rsidRPr="006944C5">
        <w:rPr>
          <w:rFonts w:ascii="Times New Roman" w:hAnsi="Times New Roman" w:cs="Times New Roman"/>
          <w:sz w:val="16"/>
          <w:szCs w:val="16"/>
        </w:rPr>
        <w:t xml:space="preserve"> and family farms in Serbia, FAO, 2019.</w:t>
      </w:r>
    </w:p>
  </w:footnote>
  <w:footnote w:id="167">
    <w:p w14:paraId="285233C5" w14:textId="77777777" w:rsidR="008F5C3A" w:rsidRPr="006944C5" w:rsidRDefault="008F5C3A" w:rsidP="00B57FE8">
      <w:pPr>
        <w:pStyle w:val="FootnoteText"/>
        <w:spacing w:after="0"/>
        <w:ind w:firstLine="0"/>
        <w:rPr>
          <w:rFonts w:ascii="Times New Roman" w:hAnsi="Times New Roman" w:cs="Times New Roman"/>
          <w:noProof/>
          <w:sz w:val="16"/>
          <w:szCs w:val="16"/>
          <w:lang w:val="sr-Latn-RS"/>
        </w:rPr>
      </w:pPr>
      <w:r w:rsidRPr="006944C5">
        <w:rPr>
          <w:rStyle w:val="FootnoteReference"/>
          <w:rFonts w:ascii="Times New Roman" w:hAnsi="Times New Roman" w:cs="Times New Roman"/>
          <w:noProof/>
          <w:sz w:val="16"/>
          <w:szCs w:val="16"/>
          <w:lang w:val="sr-Cyrl-RS"/>
        </w:rPr>
        <w:footnoteRef/>
      </w:r>
      <w:r w:rsidRPr="006944C5">
        <w:rPr>
          <w:rFonts w:ascii="Times New Roman" w:hAnsi="Times New Roman" w:cs="Times New Roman"/>
          <w:noProof/>
          <w:sz w:val="16"/>
          <w:szCs w:val="16"/>
          <w:lang w:val="sr-Cyrl-RS"/>
        </w:rPr>
        <w:t xml:space="preserve"> </w:t>
      </w:r>
      <w:hyperlink r:id="rId80" w:history="1">
        <w:r w:rsidRPr="006944C5">
          <w:rPr>
            <w:rStyle w:val="Hyperlink"/>
            <w:rFonts w:ascii="Times New Roman" w:eastAsia="MS PGothic" w:hAnsi="Times New Roman" w:cs="Times New Roman"/>
            <w:noProof/>
            <w:sz w:val="16"/>
            <w:szCs w:val="16"/>
            <w:lang w:val="sr-Cyrl-RS"/>
          </w:rPr>
          <w:t>https://naled.rs/htdocs/Files/01428/Komasacija-vodic-web.pdf</w:t>
        </w:r>
      </w:hyperlink>
    </w:p>
  </w:footnote>
  <w:footnote w:id="168">
    <w:p w14:paraId="7498D64B" w14:textId="792EC231" w:rsidR="008F5C3A" w:rsidRPr="006944C5" w:rsidRDefault="008F5C3A" w:rsidP="006944C5">
      <w:pPr>
        <w:pStyle w:val="FootnoteText"/>
        <w:spacing w:after="0"/>
        <w:ind w:firstLine="0"/>
        <w:jc w:val="left"/>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Н</w:t>
      </w:r>
      <w:r>
        <w:rPr>
          <w:rFonts w:ascii="Times New Roman" w:hAnsi="Times New Roman" w:cs="Times New Roman"/>
          <w:color w:val="auto"/>
          <w:sz w:val="16"/>
          <w:szCs w:val="16"/>
          <w:lang w:val="sr-Cyrl-RS"/>
        </w:rPr>
        <w:t>ародна банка Србије</w:t>
      </w:r>
      <w:r w:rsidRPr="006944C5">
        <w:rPr>
          <w:rFonts w:ascii="Times New Roman" w:hAnsi="Times New Roman" w:cs="Times New Roman"/>
          <w:sz w:val="16"/>
          <w:szCs w:val="16"/>
          <w:lang w:val="sr-Cyrl-RS"/>
        </w:rPr>
        <w:t>,</w:t>
      </w:r>
      <w:r w:rsidRPr="006944C5">
        <w:rPr>
          <w:rFonts w:ascii="Times New Roman" w:hAnsi="Times New Roman" w:cs="Times New Roman"/>
          <w:sz w:val="16"/>
          <w:szCs w:val="16"/>
        </w:rPr>
        <w:t xml:space="preserve"> Страна директна улагања, нето обавезе, по делатностима</w:t>
      </w:r>
      <w:r w:rsidRPr="006944C5">
        <w:rPr>
          <w:rFonts w:ascii="Times New Roman" w:hAnsi="Times New Roman" w:cs="Times New Roman"/>
          <w:sz w:val="16"/>
          <w:szCs w:val="16"/>
          <w:lang w:val="sr-Cyrl-RS"/>
        </w:rPr>
        <w:t>, обрада РСЈП</w:t>
      </w:r>
      <w:r w:rsidRPr="006944C5">
        <w:rPr>
          <w:rFonts w:ascii="Times New Roman" w:hAnsi="Times New Roman" w:cs="Times New Roman"/>
          <w:sz w:val="16"/>
          <w:szCs w:val="16"/>
          <w:lang w:val="sr-Latn-RS"/>
        </w:rPr>
        <w:t xml:space="preserve">, </w:t>
      </w:r>
      <w:hyperlink r:id="rId81" w:history="1">
        <w:r w:rsidRPr="006944C5">
          <w:rPr>
            <w:rStyle w:val="Hyperlink"/>
            <w:rFonts w:ascii="Times New Roman" w:hAnsi="Times New Roman" w:cs="Times New Roman"/>
            <w:sz w:val="16"/>
            <w:szCs w:val="16"/>
            <w:lang w:val="sr-Latn-RS"/>
          </w:rPr>
          <w:t>https://nbs.rs/sr_RS/drugi-nivo-navigacije/statistika/platni_bilans/</w:t>
        </w:r>
      </w:hyperlink>
      <w:r w:rsidRPr="006944C5">
        <w:rPr>
          <w:rFonts w:ascii="Times New Roman" w:hAnsi="Times New Roman" w:cs="Times New Roman"/>
          <w:sz w:val="16"/>
          <w:szCs w:val="16"/>
          <w:lang w:val="sr-Cyrl-RS"/>
        </w:rPr>
        <w:t xml:space="preserve"> </w:t>
      </w:r>
    </w:p>
  </w:footnote>
  <w:footnote w:id="169">
    <w:p w14:paraId="2661F143" w14:textId="77777777" w:rsidR="008F5C3A" w:rsidRPr="006944C5" w:rsidRDefault="008F5C3A" w:rsidP="006944C5">
      <w:pPr>
        <w:pStyle w:val="FootnoteText"/>
        <w:spacing w:after="0"/>
        <w:ind w:firstLine="0"/>
        <w:jc w:val="left"/>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lang w:val="sr-Cyrl-RS"/>
        </w:rPr>
        <w:t xml:space="preserve"> </w:t>
      </w:r>
      <w:r w:rsidRPr="006944C5">
        <w:rPr>
          <w:rFonts w:ascii="Times New Roman" w:hAnsi="Times New Roman" w:cs="Times New Roman"/>
          <w:sz w:val="16"/>
          <w:szCs w:val="16"/>
        </w:rPr>
        <w:t>Утицај Информационог система за управљање пољопривредним земљиштем</w:t>
      </w:r>
      <w:r w:rsidRPr="006944C5">
        <w:rPr>
          <w:rFonts w:ascii="Times New Roman" w:hAnsi="Times New Roman" w:cs="Times New Roman"/>
          <w:sz w:val="16"/>
          <w:szCs w:val="16"/>
          <w:lang w:val="sr-Cyrl-RS"/>
        </w:rPr>
        <w:t xml:space="preserve">, </w:t>
      </w:r>
      <w:hyperlink r:id="rId82" w:history="1">
        <w:r w:rsidRPr="006944C5">
          <w:rPr>
            <w:rStyle w:val="Hyperlink"/>
            <w:rFonts w:ascii="Times New Roman" w:hAnsi="Times New Roman" w:cs="Times New Roman"/>
            <w:sz w:val="16"/>
            <w:szCs w:val="16"/>
            <w:lang w:val="sr-Cyrl-RS"/>
          </w:rPr>
          <w:t>https://upz.minpolj.gov.rs/download/GIZ%20Uticaj%20IS%20za%20upravljanje%20poljoprivrednim%20zemljistem.pdf</w:t>
        </w:r>
      </w:hyperlink>
      <w:r w:rsidRPr="006944C5">
        <w:rPr>
          <w:rFonts w:ascii="Times New Roman" w:hAnsi="Times New Roman" w:cs="Times New Roman"/>
          <w:sz w:val="16"/>
          <w:szCs w:val="16"/>
          <w:lang w:val="sr-Cyrl-RS"/>
        </w:rPr>
        <w:t xml:space="preserve"> </w:t>
      </w:r>
    </w:p>
  </w:footnote>
  <w:footnote w:id="170">
    <w:p w14:paraId="16714E1E" w14:textId="09355BA9"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sz w:val="16"/>
          <w:szCs w:val="16"/>
          <w:lang w:val="sr-Cyrl-RS"/>
        </w:rPr>
        <w:t xml:space="preserve">У складу са </w:t>
      </w:r>
      <w:r w:rsidRPr="006944C5">
        <w:rPr>
          <w:rFonts w:ascii="Times New Roman" w:hAnsi="Times New Roman" w:cs="Times New Roman"/>
          <w:sz w:val="16"/>
          <w:szCs w:val="16"/>
        </w:rPr>
        <w:t>Правилник</w:t>
      </w:r>
      <w:r w:rsidRPr="006944C5">
        <w:rPr>
          <w:rFonts w:ascii="Times New Roman" w:hAnsi="Times New Roman" w:cs="Times New Roman"/>
          <w:sz w:val="16"/>
          <w:szCs w:val="16"/>
          <w:lang w:val="sr-Cyrl-RS"/>
        </w:rPr>
        <w:t>ом</w:t>
      </w:r>
      <w:r w:rsidRPr="006944C5">
        <w:rPr>
          <w:rFonts w:ascii="Times New Roman" w:hAnsi="Times New Roman" w:cs="Times New Roman"/>
          <w:sz w:val="16"/>
          <w:szCs w:val="16"/>
        </w:rPr>
        <w:t xml:space="preserve"> о подстицајима за инвестиције за унапређење и развој руралне јавне инфраструктуре</w:t>
      </w:r>
      <w:r w:rsidRPr="006944C5">
        <w:rPr>
          <w:rFonts w:ascii="Times New Roman" w:hAnsi="Times New Roman" w:cs="Times New Roman"/>
          <w:sz w:val="16"/>
          <w:szCs w:val="16"/>
          <w:lang w:val="en-US"/>
        </w:rPr>
        <w:t xml:space="preserve"> </w:t>
      </w:r>
      <w:r w:rsidRPr="00467990">
        <w:rPr>
          <w:rFonts w:ascii="Times New Roman" w:hAnsi="Times New Roman" w:cs="Times New Roman"/>
          <w:sz w:val="16"/>
          <w:szCs w:val="16"/>
          <w:lang w:val="sr-Cyrl-RS"/>
        </w:rPr>
        <w:t>(</w:t>
      </w:r>
      <w:r>
        <w:rPr>
          <w:rFonts w:ascii="Times New Roman" w:hAnsi="Times New Roman" w:cs="Times New Roman"/>
          <w:sz w:val="16"/>
          <w:szCs w:val="16"/>
          <w:lang w:val="sr-Cyrl-RS"/>
        </w:rPr>
        <w:t xml:space="preserve">„Службени гласник РСˮ, бр. </w:t>
      </w:r>
      <w:r w:rsidRPr="00467990">
        <w:rPr>
          <w:rFonts w:ascii="Times New Roman" w:hAnsi="Times New Roman" w:cs="Times New Roman"/>
          <w:sz w:val="16"/>
          <w:szCs w:val="16"/>
          <w:lang w:val="sr-Cyrl-RS"/>
        </w:rPr>
        <w:t xml:space="preserve"> </w:t>
      </w:r>
      <w:r>
        <w:rPr>
          <w:rFonts w:ascii="Times New Roman" w:hAnsi="Times New Roman" w:cs="Times New Roman"/>
          <w:sz w:val="16"/>
          <w:szCs w:val="16"/>
          <w:lang w:val="en-US"/>
        </w:rPr>
        <w:t>67</w:t>
      </w:r>
      <w:r>
        <w:rPr>
          <w:rFonts w:ascii="Times New Roman" w:hAnsi="Times New Roman" w:cs="Times New Roman"/>
          <w:sz w:val="16"/>
          <w:szCs w:val="16"/>
          <w:lang w:val="sr-Cyrl-RS"/>
        </w:rPr>
        <w:t>/</w:t>
      </w:r>
      <w:r>
        <w:rPr>
          <w:rFonts w:ascii="Times New Roman" w:hAnsi="Times New Roman" w:cs="Times New Roman"/>
          <w:sz w:val="16"/>
          <w:szCs w:val="16"/>
          <w:lang w:val="en-US"/>
        </w:rPr>
        <w:t>21, 83</w:t>
      </w:r>
      <w:r>
        <w:rPr>
          <w:rFonts w:ascii="Times New Roman" w:hAnsi="Times New Roman" w:cs="Times New Roman"/>
          <w:sz w:val="16"/>
          <w:szCs w:val="16"/>
          <w:lang w:val="sr-Cyrl-RS"/>
        </w:rPr>
        <w:t>/</w:t>
      </w:r>
      <w:r>
        <w:rPr>
          <w:rFonts w:ascii="Times New Roman" w:hAnsi="Times New Roman" w:cs="Times New Roman"/>
          <w:sz w:val="16"/>
          <w:szCs w:val="16"/>
          <w:lang w:val="en-US"/>
        </w:rPr>
        <w:t>21, 125</w:t>
      </w:r>
      <w:r>
        <w:rPr>
          <w:rFonts w:ascii="Times New Roman" w:hAnsi="Times New Roman" w:cs="Times New Roman"/>
          <w:sz w:val="16"/>
          <w:szCs w:val="16"/>
          <w:lang w:val="sr-Cyrl-RS"/>
        </w:rPr>
        <w:t>/</w:t>
      </w:r>
      <w:r>
        <w:rPr>
          <w:rFonts w:ascii="Times New Roman" w:hAnsi="Times New Roman" w:cs="Times New Roman"/>
          <w:sz w:val="16"/>
          <w:szCs w:val="16"/>
          <w:lang w:val="en-US"/>
        </w:rPr>
        <w:t>21 и 10</w:t>
      </w:r>
      <w:r>
        <w:rPr>
          <w:rFonts w:ascii="Times New Roman" w:hAnsi="Times New Roman" w:cs="Times New Roman"/>
          <w:sz w:val="16"/>
          <w:szCs w:val="16"/>
          <w:lang w:val="sr-Cyrl-RS"/>
        </w:rPr>
        <w:t>/</w:t>
      </w:r>
      <w:r>
        <w:rPr>
          <w:rFonts w:ascii="Times New Roman" w:hAnsi="Times New Roman" w:cs="Times New Roman"/>
          <w:sz w:val="16"/>
          <w:szCs w:val="16"/>
          <w:lang w:val="en-US"/>
        </w:rPr>
        <w:t>22</w:t>
      </w:r>
      <w:r>
        <w:rPr>
          <w:rFonts w:ascii="Times New Roman" w:hAnsi="Times New Roman" w:cs="Times New Roman"/>
          <w:sz w:val="16"/>
          <w:szCs w:val="16"/>
          <w:lang w:val="sr-Cyrl-RS"/>
        </w:rPr>
        <w:t>)</w:t>
      </w:r>
      <w:r w:rsidRPr="00467990" w:rsidDel="00467990">
        <w:rPr>
          <w:rFonts w:ascii="Times New Roman" w:hAnsi="Times New Roman" w:cs="Times New Roman"/>
          <w:sz w:val="16"/>
          <w:szCs w:val="16"/>
          <w:lang w:val="sr-Cyrl-RS"/>
        </w:rPr>
        <w:t xml:space="preserve"> </w:t>
      </w:r>
    </w:p>
  </w:footnote>
  <w:footnote w:id="171">
    <w:p w14:paraId="13CE7FE9"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Први Јавни позив је расписан 23. јула 2021. године - поднето је укупно 93 захтева, усвојено 19 захтева и исплаћено је 234</w:t>
      </w:r>
      <w:r w:rsidRPr="006944C5">
        <w:rPr>
          <w:rFonts w:ascii="Times New Roman" w:hAnsi="Times New Roman" w:cs="Times New Roman"/>
          <w:sz w:val="16"/>
          <w:szCs w:val="16"/>
          <w:lang w:val="sr-Cyrl-RS"/>
        </w:rPr>
        <w:t>,5 милиона</w:t>
      </w:r>
      <w:r w:rsidRPr="006944C5">
        <w:rPr>
          <w:rFonts w:ascii="Times New Roman" w:hAnsi="Times New Roman" w:cs="Times New Roman"/>
          <w:sz w:val="16"/>
          <w:szCs w:val="16"/>
        </w:rPr>
        <w:t xml:space="preserve"> динара</w:t>
      </w:r>
      <w:r w:rsidRPr="006944C5">
        <w:rPr>
          <w:rFonts w:ascii="Times New Roman" w:hAnsi="Times New Roman" w:cs="Times New Roman"/>
          <w:sz w:val="16"/>
          <w:szCs w:val="16"/>
          <w:lang w:val="sr-Cyrl-RS"/>
        </w:rPr>
        <w:t>.</w:t>
      </w:r>
    </w:p>
  </w:footnote>
  <w:footnote w:id="172">
    <w:p w14:paraId="740DCB28"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Други Јавни позив је расписан 11. јануара 2022. године </w:t>
      </w:r>
      <w:r w:rsidRPr="006944C5">
        <w:rPr>
          <w:rFonts w:ascii="Times New Roman" w:hAnsi="Times New Roman" w:cs="Times New Roman"/>
          <w:sz w:val="16"/>
          <w:szCs w:val="16"/>
          <w:lang w:val="sr-Cyrl-RS"/>
        </w:rPr>
        <w:t>-</w:t>
      </w:r>
      <w:r w:rsidRPr="006944C5">
        <w:rPr>
          <w:rFonts w:ascii="Times New Roman" w:hAnsi="Times New Roman" w:cs="Times New Roman"/>
          <w:sz w:val="16"/>
          <w:szCs w:val="16"/>
        </w:rPr>
        <w:t xml:space="preserve"> поднето је укупно 97 захтева, усвојено 17 захтева и исплаћено 308</w:t>
      </w:r>
      <w:r w:rsidRPr="006944C5">
        <w:rPr>
          <w:rFonts w:ascii="Times New Roman" w:hAnsi="Times New Roman" w:cs="Times New Roman"/>
          <w:sz w:val="16"/>
          <w:szCs w:val="16"/>
          <w:lang w:val="sr-Cyrl-RS"/>
        </w:rPr>
        <w:t xml:space="preserve"> милиона</w:t>
      </w:r>
      <w:r w:rsidRPr="006944C5">
        <w:rPr>
          <w:rFonts w:ascii="Times New Roman" w:hAnsi="Times New Roman" w:cs="Times New Roman"/>
          <w:sz w:val="16"/>
          <w:szCs w:val="16"/>
        </w:rPr>
        <w:t xml:space="preserve"> динара.</w:t>
      </w:r>
    </w:p>
  </w:footnote>
  <w:footnote w:id="173">
    <w:p w14:paraId="5037C29A" w14:textId="77777777" w:rsidR="008F5C3A" w:rsidRPr="006944C5" w:rsidRDefault="008F5C3A" w:rsidP="00D030D6">
      <w:pPr>
        <w:pStyle w:val="FootnoteText"/>
        <w:spacing w:after="0"/>
        <w:ind w:firstLine="0"/>
        <w:jc w:val="left"/>
        <w:rPr>
          <w:rFonts w:ascii="Times New Roman" w:hAnsi="Times New Roman" w:cs="Times New Roman"/>
          <w:color w:val="auto"/>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Портал отворених података</w:t>
      </w:r>
      <w:r w:rsidRPr="006944C5">
        <w:rPr>
          <w:rFonts w:ascii="Times New Roman" w:hAnsi="Times New Roman" w:cs="Times New Roman"/>
          <w:sz w:val="16"/>
          <w:szCs w:val="16"/>
          <w:lang w:val="sr-Cyrl-RS"/>
        </w:rPr>
        <w:t>,</w:t>
      </w:r>
      <w:r w:rsidRPr="006944C5">
        <w:rPr>
          <w:rFonts w:ascii="Times New Roman" w:hAnsi="Times New Roman" w:cs="Times New Roman"/>
          <w:sz w:val="16"/>
          <w:szCs w:val="16"/>
        </w:rPr>
        <w:t xml:space="preserve"> </w:t>
      </w:r>
      <w:hyperlink r:id="rId83" w:history="1">
        <w:r w:rsidRPr="006944C5">
          <w:rPr>
            <w:rStyle w:val="Hyperlink"/>
            <w:rFonts w:ascii="Times New Roman" w:hAnsi="Times New Roman" w:cs="Times New Roman"/>
            <w:sz w:val="16"/>
            <w:szCs w:val="16"/>
          </w:rPr>
          <w:t>https://data.gov.rs/sr/datasets/rpg-broj-svikh-registrovanikh-poljoprivrednikh-gazdinstava-aktivna-gazdinstva/</w:t>
        </w:r>
      </w:hyperlink>
      <w:r>
        <w:rPr>
          <w:rStyle w:val="Hyperlink"/>
          <w:rFonts w:ascii="Times New Roman" w:hAnsi="Times New Roman" w:cs="Times New Roman"/>
          <w:sz w:val="16"/>
          <w:szCs w:val="16"/>
          <w:lang w:val="sr-Latn-RS"/>
        </w:rPr>
        <w:t xml:space="preserve">, </w:t>
      </w:r>
      <w:r w:rsidRPr="006944C5">
        <w:rPr>
          <w:rFonts w:ascii="Times New Roman" w:hAnsi="Times New Roman" w:cs="Times New Roman"/>
          <w:color w:val="auto"/>
          <w:sz w:val="16"/>
          <w:szCs w:val="16"/>
          <w:lang w:val="sr-Cyrl-RS"/>
        </w:rPr>
        <w:t>*без података за Косово и Метохију</w:t>
      </w:r>
    </w:p>
  </w:footnote>
  <w:footnote w:id="174">
    <w:p w14:paraId="06317E91" w14:textId="77777777" w:rsidR="008F5C3A" w:rsidRPr="006944C5" w:rsidRDefault="008F5C3A" w:rsidP="00B57FE8">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Мера је део</w:t>
      </w:r>
      <w:r w:rsidRPr="006944C5">
        <w:rPr>
          <w:rFonts w:ascii="Times New Roman" w:hAnsi="Times New Roman" w:cs="Times New Roman"/>
          <w:color w:val="auto"/>
          <w:sz w:val="16"/>
          <w:szCs w:val="16"/>
        </w:rPr>
        <w:t xml:space="preserve"> Националног програма руралног развоја</w:t>
      </w:r>
      <w:r w:rsidRPr="006944C5">
        <w:rPr>
          <w:rFonts w:ascii="Times New Roman" w:hAnsi="Times New Roman" w:cs="Times New Roman"/>
          <w:color w:val="auto"/>
          <w:sz w:val="16"/>
          <w:szCs w:val="16"/>
          <w:lang w:val="sr-Cyrl-RS"/>
        </w:rPr>
        <w:t>, а</w:t>
      </w:r>
      <w:r w:rsidRPr="006944C5">
        <w:rPr>
          <w:rFonts w:ascii="Times New Roman" w:hAnsi="Times New Roman" w:cs="Times New Roman"/>
          <w:color w:val="auto"/>
          <w:sz w:val="16"/>
          <w:szCs w:val="16"/>
        </w:rPr>
        <w:t xml:space="preserve"> има за циљ да подстакне раст, запошљавање и одрживи развој у руралним подручјима и допринесе смањењу територијалних друштвених и економских развојних диспропорција.</w:t>
      </w:r>
    </w:p>
  </w:footnote>
  <w:footnote w:id="175">
    <w:p w14:paraId="33D13461" w14:textId="5F0A0922" w:rsidR="008F5C3A" w:rsidRPr="006944C5" w:rsidRDefault="008F5C3A" w:rsidP="00B57FE8">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У складу са</w:t>
      </w:r>
      <w:r w:rsidRPr="006944C5">
        <w:rPr>
          <w:rFonts w:ascii="Times New Roman" w:hAnsi="Times New Roman" w:cs="Times New Roman"/>
          <w:color w:val="auto"/>
          <w:sz w:val="16"/>
          <w:szCs w:val="16"/>
        </w:rPr>
        <w:t xml:space="preserve"> </w:t>
      </w:r>
      <w:r w:rsidRPr="00CE53B0">
        <w:rPr>
          <w:rFonts w:ascii="Times New Roman" w:hAnsi="Times New Roman" w:cs="Times New Roman"/>
          <w:color w:val="auto"/>
          <w:sz w:val="16"/>
          <w:szCs w:val="16"/>
          <w:lang w:val="sr-Cyrl-RS"/>
        </w:rPr>
        <w:t>П</w:t>
      </w:r>
      <w:r w:rsidRPr="00CE53B0">
        <w:rPr>
          <w:rFonts w:ascii="Times New Roman" w:hAnsi="Times New Roman" w:cs="Times New Roman"/>
          <w:color w:val="auto"/>
          <w:sz w:val="16"/>
          <w:szCs w:val="16"/>
        </w:rPr>
        <w:t>равилник</w:t>
      </w:r>
      <w:r w:rsidRPr="00CE53B0">
        <w:rPr>
          <w:rFonts w:ascii="Times New Roman" w:hAnsi="Times New Roman" w:cs="Times New Roman"/>
          <w:color w:val="auto"/>
          <w:sz w:val="16"/>
          <w:szCs w:val="16"/>
          <w:lang w:val="sr-Cyrl-RS"/>
        </w:rPr>
        <w:t>ом о</w:t>
      </w:r>
      <w:r w:rsidRPr="00CE53B0">
        <w:rPr>
          <w:rFonts w:ascii="Times New Roman" w:hAnsi="Times New Roman" w:cs="Times New Roman"/>
          <w:color w:val="auto"/>
          <w:sz w:val="16"/>
          <w:szCs w:val="16"/>
        </w:rPr>
        <w:t xml:space="preserve"> подстицајима за унапређење економских активности на селу кроз подршку непољопривредним активностима</w:t>
      </w:r>
      <w:r w:rsidRPr="00CE53B0">
        <w:rPr>
          <w:rFonts w:ascii="Times New Roman" w:hAnsi="Times New Roman" w:cs="Times New Roman"/>
          <w:color w:val="auto"/>
          <w:sz w:val="16"/>
          <w:szCs w:val="16"/>
          <w:lang w:val="sr-Cyrl-RS"/>
        </w:rPr>
        <w:t xml:space="preserve"> (</w:t>
      </w:r>
      <w:r>
        <w:rPr>
          <w:rFonts w:ascii="Times New Roman" w:hAnsi="Times New Roman" w:cs="Times New Roman"/>
          <w:color w:val="auto"/>
          <w:sz w:val="16"/>
          <w:szCs w:val="16"/>
          <w:lang w:val="sr-Cyrl-RS"/>
        </w:rPr>
        <w:t>„Службени гласник РСˮ, број 93/21</w:t>
      </w:r>
      <w:r w:rsidRPr="00CE53B0">
        <w:rPr>
          <w:rFonts w:ascii="Times New Roman" w:hAnsi="Times New Roman" w:cs="Times New Roman"/>
          <w:color w:val="auto"/>
          <w:sz w:val="16"/>
          <w:szCs w:val="16"/>
          <w:lang w:val="sr-Cyrl-RS"/>
        </w:rPr>
        <w:t>),</w:t>
      </w:r>
      <w:r w:rsidRPr="006944C5">
        <w:rPr>
          <w:rFonts w:ascii="Times New Roman" w:hAnsi="Times New Roman" w:cs="Times New Roman"/>
          <w:color w:val="auto"/>
          <w:sz w:val="16"/>
          <w:szCs w:val="16"/>
        </w:rPr>
        <w:t xml:space="preserve"> у које спада подршка развоју руралног туризма и очувања старих заната</w:t>
      </w:r>
      <w:r w:rsidRPr="006944C5">
        <w:rPr>
          <w:rFonts w:ascii="Times New Roman" w:hAnsi="Times New Roman" w:cs="Times New Roman"/>
          <w:color w:val="auto"/>
          <w:sz w:val="16"/>
          <w:szCs w:val="16"/>
          <w:lang w:val="sr-Cyrl-RS"/>
        </w:rPr>
        <w:t>.</w:t>
      </w:r>
    </w:p>
  </w:footnote>
  <w:footnote w:id="176">
    <w:p w14:paraId="7BD32D73"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lang w:val="sr-Cyrl-RS"/>
        </w:rPr>
        <w:footnoteRef/>
      </w:r>
      <w:r w:rsidRPr="006944C5">
        <w:rPr>
          <w:rFonts w:ascii="Times New Roman" w:hAnsi="Times New Roman" w:cs="Times New Roman"/>
          <w:sz w:val="16"/>
          <w:szCs w:val="16"/>
          <w:lang w:val="sr-Cyrl-RS"/>
        </w:rPr>
        <w:t xml:space="preserve"> </w:t>
      </w:r>
      <w:r w:rsidRPr="006944C5">
        <w:rPr>
          <w:rFonts w:ascii="Times New Roman" w:hAnsi="Times New Roman" w:cs="Times New Roman"/>
          <w:color w:val="auto"/>
          <w:sz w:val="16"/>
          <w:szCs w:val="16"/>
          <w:lang w:val="sr-Cyrl-RS"/>
        </w:rPr>
        <w:t xml:space="preserve">РЗС, Структура пољопривредних газдинстава, 2018. </w:t>
      </w:r>
      <w:hyperlink r:id="rId84" w:history="1">
        <w:r w:rsidRPr="006944C5">
          <w:rPr>
            <w:rStyle w:val="Hyperlink"/>
            <w:rFonts w:ascii="Times New Roman" w:eastAsia="MS PGothic" w:hAnsi="Times New Roman" w:cs="Times New Roman"/>
            <w:sz w:val="16"/>
            <w:szCs w:val="16"/>
            <w:lang w:val="sr-Cyrl-RS"/>
          </w:rPr>
          <w:t>https://publikacije.stat.gov.rs/G2019/Pdf/G201922002.pdf</w:t>
        </w:r>
      </w:hyperlink>
    </w:p>
  </w:footnote>
  <w:footnote w:id="177">
    <w:p w14:paraId="6F83882A" w14:textId="77777777" w:rsidR="008F5C3A" w:rsidRPr="006944C5" w:rsidRDefault="008F5C3A" w:rsidP="00B57FE8">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Style w:val="FootnoteReference"/>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Резултати истраживања понашања корисника средстава за заштиту биља у Републици Србији, Фондација Ана и Владе Дивац, 2021</w:t>
      </w:r>
      <w:r w:rsidRPr="006944C5">
        <w:rPr>
          <w:rFonts w:ascii="Times New Roman" w:hAnsi="Times New Roman" w:cs="Times New Roman"/>
          <w:color w:val="auto"/>
          <w:sz w:val="16"/>
          <w:szCs w:val="16"/>
        </w:rPr>
        <w:t>.</w:t>
      </w:r>
    </w:p>
  </w:footnote>
  <w:footnote w:id="178">
    <w:p w14:paraId="240BA8F9" w14:textId="77777777" w:rsidR="008F5C3A" w:rsidRPr="006944C5" w:rsidRDefault="008F5C3A" w:rsidP="00B57FE8">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Style w:val="FootnoteReference"/>
          <w:rFonts w:ascii="Times New Roman" w:hAnsi="Times New Roman" w:cs="Times New Roman"/>
          <w:color w:val="auto"/>
          <w:sz w:val="16"/>
          <w:szCs w:val="16"/>
        </w:rPr>
        <w:t xml:space="preserve"> </w:t>
      </w:r>
      <w:hyperlink r:id="rId85" w:history="1">
        <w:r w:rsidRPr="006944C5">
          <w:rPr>
            <w:rStyle w:val="Hyperlink"/>
            <w:rFonts w:ascii="Times New Roman" w:hAnsi="Times New Roman" w:cs="Times New Roman"/>
            <w:sz w:val="16"/>
            <w:szCs w:val="16"/>
          </w:rPr>
          <w:t>http://www.minpolj.gov.rs/download/lista-sredstava-za-zastitu-bilja-na-osnovu-izdatih-resenja-o-registraciji-sredstava-za-zastitu-bilja/#</w:t>
        </w:r>
      </w:hyperlink>
      <w:r w:rsidRPr="006944C5">
        <w:rPr>
          <w:rFonts w:ascii="Times New Roman" w:hAnsi="Times New Roman" w:cs="Times New Roman"/>
          <w:color w:val="auto"/>
          <w:sz w:val="16"/>
          <w:szCs w:val="16"/>
          <w:lang w:val="sr-Cyrl-RS"/>
        </w:rPr>
        <w:t xml:space="preserve"> </w:t>
      </w:r>
    </w:p>
  </w:footnote>
  <w:footnote w:id="179">
    <w:p w14:paraId="6E5E19B8"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lang w:val="sr-Cyrl-RS"/>
        </w:rPr>
        <w:t xml:space="preserve"> </w:t>
      </w:r>
      <w:r w:rsidRPr="006944C5">
        <w:rPr>
          <w:rFonts w:ascii="Times New Roman" w:hAnsi="Times New Roman" w:cs="Times New Roman"/>
          <w:color w:val="auto"/>
          <w:sz w:val="16"/>
          <w:szCs w:val="16"/>
          <w:lang w:val="sr-Cyrl-RS"/>
        </w:rPr>
        <w:t>Управа</w:t>
      </w:r>
      <w:r w:rsidRPr="006944C5">
        <w:rPr>
          <w:rFonts w:ascii="Times New Roman" w:hAnsi="Times New Roman" w:cs="Times New Roman"/>
          <w:sz w:val="16"/>
          <w:szCs w:val="16"/>
          <w:lang w:val="sr-Cyrl-RS"/>
        </w:rPr>
        <w:t xml:space="preserve"> за заштиту биља, Информатор о раду,</w:t>
      </w:r>
      <w:r w:rsidRPr="006944C5">
        <w:rPr>
          <w:rFonts w:ascii="Times New Roman" w:hAnsi="Times New Roman" w:cs="Times New Roman"/>
          <w:sz w:val="16"/>
          <w:szCs w:val="16"/>
        </w:rPr>
        <w:t xml:space="preserve"> </w:t>
      </w:r>
      <w:hyperlink r:id="rId86" w:history="1">
        <w:r w:rsidRPr="006944C5">
          <w:rPr>
            <w:rStyle w:val="Hyperlink"/>
            <w:rFonts w:ascii="Times New Roman" w:hAnsi="Times New Roman" w:cs="Times New Roman"/>
            <w:sz w:val="16"/>
            <w:szCs w:val="16"/>
          </w:rPr>
          <w:t>https://uzb.minpolj.gov.rs/wp-content/uploads/2022/07/Informator_UZB_junj2022.pdf</w:t>
        </w:r>
      </w:hyperlink>
      <w:r w:rsidRPr="006944C5">
        <w:rPr>
          <w:rFonts w:ascii="Times New Roman" w:hAnsi="Times New Roman" w:cs="Times New Roman"/>
          <w:sz w:val="16"/>
          <w:szCs w:val="16"/>
          <w:lang w:val="sr-Cyrl-RS"/>
        </w:rPr>
        <w:t xml:space="preserve"> </w:t>
      </w:r>
    </w:p>
  </w:footnote>
  <w:footnote w:id="180">
    <w:p w14:paraId="2B0D89B4" w14:textId="77777777" w:rsidR="008F5C3A" w:rsidRPr="006944C5" w:rsidRDefault="008F5C3A" w:rsidP="00B57FE8">
      <w:pPr>
        <w:pStyle w:val="FootnoteText"/>
        <w:spacing w:after="0"/>
        <w:ind w:firstLine="0"/>
        <w:rPr>
          <w:rFonts w:ascii="Times New Roman" w:hAnsi="Times New Roman" w:cs="Times New Roman"/>
          <w:sz w:val="16"/>
          <w:szCs w:val="16"/>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lang w:val="sr-Cyrl-RS"/>
        </w:rPr>
        <w:t xml:space="preserve">, Индекси индустријске производње, децембар 2021., </w:t>
      </w:r>
      <w:hyperlink r:id="rId87" w:history="1">
        <w:r w:rsidRPr="006944C5">
          <w:rPr>
            <w:rStyle w:val="Hyperlink"/>
            <w:rFonts w:ascii="Times New Roman" w:hAnsi="Times New Roman" w:cs="Times New Roman"/>
            <w:sz w:val="16"/>
            <w:szCs w:val="16"/>
            <w:lang w:val="sr-Cyrl-RS"/>
          </w:rPr>
          <w:t>https://publikacije.stat.gov.rs/G2022/HtmlL/G20221025.html</w:t>
        </w:r>
      </w:hyperlink>
      <w:r w:rsidRPr="006944C5">
        <w:rPr>
          <w:rFonts w:ascii="Times New Roman" w:hAnsi="Times New Roman" w:cs="Times New Roman"/>
          <w:sz w:val="16"/>
          <w:szCs w:val="16"/>
          <w:lang w:val="sr-Cyrl-RS"/>
        </w:rPr>
        <w:t xml:space="preserve"> </w:t>
      </w:r>
    </w:p>
  </w:footnote>
  <w:footnote w:id="181">
    <w:p w14:paraId="41687A8F"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lang w:val="sr-Cyrl-RS"/>
        </w:rPr>
        <w:t xml:space="preserve">, Национални рачуни, </w:t>
      </w:r>
      <w:hyperlink r:id="rId88" w:history="1">
        <w:r w:rsidRPr="006944C5">
          <w:rPr>
            <w:rStyle w:val="Hyperlink"/>
            <w:rFonts w:ascii="Times New Roman" w:hAnsi="Times New Roman" w:cs="Times New Roman"/>
            <w:sz w:val="16"/>
            <w:szCs w:val="16"/>
            <w:lang w:val="sr-Cyrl-RS"/>
          </w:rPr>
          <w:t>https://www.stat.gov.rs/oblasti/nacionalni-racuni/</w:t>
        </w:r>
      </w:hyperlink>
      <w:r w:rsidRPr="006944C5">
        <w:rPr>
          <w:rFonts w:ascii="Times New Roman" w:hAnsi="Times New Roman" w:cs="Times New Roman"/>
          <w:sz w:val="16"/>
          <w:szCs w:val="16"/>
          <w:lang w:val="sr-Cyrl-RS"/>
        </w:rPr>
        <w:t xml:space="preserve"> </w:t>
      </w:r>
    </w:p>
  </w:footnote>
  <w:footnote w:id="182">
    <w:p w14:paraId="60329451" w14:textId="1F0D33AC" w:rsidR="008F5C3A" w:rsidRPr="006944C5" w:rsidRDefault="008F5C3A" w:rsidP="00B57FE8">
      <w:pPr>
        <w:pStyle w:val="FootnoteText"/>
        <w:spacing w:after="0"/>
        <w:ind w:firstLine="0"/>
        <w:rPr>
          <w:rFonts w:ascii="Times New Roman" w:hAnsi="Times New Roman" w:cs="Times New Roman"/>
          <w:sz w:val="16"/>
          <w:szCs w:val="16"/>
          <w:lang w:val="sr-Latn-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Н</w:t>
      </w:r>
      <w:r>
        <w:rPr>
          <w:rFonts w:ascii="Times New Roman" w:hAnsi="Times New Roman" w:cs="Times New Roman"/>
          <w:color w:val="auto"/>
          <w:sz w:val="16"/>
          <w:szCs w:val="16"/>
          <w:lang w:val="sr-Cyrl-RS"/>
        </w:rPr>
        <w:t>ародна банка Србије</w:t>
      </w:r>
      <w:r w:rsidRPr="006944C5">
        <w:rPr>
          <w:rFonts w:ascii="Times New Roman" w:hAnsi="Times New Roman" w:cs="Times New Roman"/>
          <w:sz w:val="16"/>
          <w:szCs w:val="16"/>
          <w:lang w:val="sr-Cyrl-RS"/>
        </w:rPr>
        <w:t xml:space="preserve">, Страна директна улагања, нето обавезе, по делатностима, </w:t>
      </w:r>
      <w:r w:rsidRPr="006944C5">
        <w:rPr>
          <w:rFonts w:ascii="Times New Roman" w:hAnsi="Times New Roman" w:cs="Times New Roman"/>
          <w:sz w:val="16"/>
          <w:szCs w:val="16"/>
          <w:lang w:val="sr-Latn-RS"/>
        </w:rPr>
        <w:t xml:space="preserve">I </w:t>
      </w:r>
      <w:r w:rsidRPr="006944C5">
        <w:rPr>
          <w:rFonts w:ascii="Times New Roman" w:hAnsi="Times New Roman" w:cs="Times New Roman"/>
          <w:sz w:val="16"/>
          <w:szCs w:val="16"/>
          <w:lang w:val="sr-Cyrl-RS"/>
        </w:rPr>
        <w:t xml:space="preserve">тромесечје 2022., </w:t>
      </w:r>
      <w:hyperlink r:id="rId89" w:history="1">
        <w:r w:rsidRPr="006944C5">
          <w:rPr>
            <w:rStyle w:val="Hyperlink"/>
            <w:rFonts w:ascii="Times New Roman" w:hAnsi="Times New Roman" w:cs="Times New Roman"/>
            <w:sz w:val="16"/>
            <w:szCs w:val="16"/>
            <w:lang w:val="sr-Cyrl-RS"/>
          </w:rPr>
          <w:t>https://nbs.rs/sr_RS/drugi-nivo-navigacije/statistika/platni_bilans/</w:t>
        </w:r>
      </w:hyperlink>
      <w:r w:rsidRPr="006944C5">
        <w:rPr>
          <w:rFonts w:ascii="Times New Roman" w:hAnsi="Times New Roman" w:cs="Times New Roman"/>
          <w:sz w:val="16"/>
          <w:szCs w:val="16"/>
          <w:lang w:val="sr-Cyrl-RS"/>
        </w:rPr>
        <w:t xml:space="preserve"> </w:t>
      </w:r>
    </w:p>
  </w:footnote>
  <w:footnote w:id="183">
    <w:p w14:paraId="0F70D580"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lang w:val="sr-Cyrl-RS"/>
        </w:rPr>
        <w:t xml:space="preserve">, Регистрована запосленост, 2021., обрада РСЈП,  </w:t>
      </w:r>
      <w:hyperlink r:id="rId90" w:history="1">
        <w:r w:rsidRPr="006944C5">
          <w:rPr>
            <w:rStyle w:val="Hyperlink"/>
            <w:rFonts w:ascii="Times New Roman" w:hAnsi="Times New Roman" w:cs="Times New Roman"/>
            <w:sz w:val="16"/>
            <w:szCs w:val="16"/>
            <w:lang w:val="sr-Cyrl-RS"/>
          </w:rPr>
          <w:t>https://publikacije.stat.gov.rs/G2022/Html/G20221023.html</w:t>
        </w:r>
      </w:hyperlink>
      <w:r w:rsidRPr="006944C5">
        <w:rPr>
          <w:rFonts w:ascii="Times New Roman" w:hAnsi="Times New Roman" w:cs="Times New Roman"/>
          <w:sz w:val="16"/>
          <w:szCs w:val="16"/>
          <w:lang w:val="sr-Cyrl-RS"/>
        </w:rPr>
        <w:t xml:space="preserve"> </w:t>
      </w:r>
    </w:p>
  </w:footnote>
  <w:footnote w:id="184">
    <w:p w14:paraId="76BB3C74" w14:textId="77777777" w:rsidR="008F5C3A" w:rsidRPr="006944C5" w:rsidRDefault="008F5C3A" w:rsidP="00B57FE8">
      <w:pPr>
        <w:pStyle w:val="FootnoteText"/>
        <w:spacing w:after="0"/>
        <w:ind w:firstLine="0"/>
        <w:rPr>
          <w:rFonts w:ascii="Times New Roman" w:hAnsi="Times New Roman" w:cs="Times New Roman"/>
          <w:sz w:val="16"/>
          <w:szCs w:val="16"/>
          <w:lang w:val="en-U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lang w:val="sr-Cyrl-RS"/>
        </w:rPr>
        <w:t xml:space="preserve">, Регистрована запосленост, </w:t>
      </w:r>
      <w:r w:rsidRPr="006944C5">
        <w:rPr>
          <w:rFonts w:ascii="Times New Roman" w:hAnsi="Times New Roman" w:cs="Times New Roman"/>
          <w:sz w:val="16"/>
          <w:szCs w:val="16"/>
          <w:lang w:val="sr-Latn-RS"/>
        </w:rPr>
        <w:t xml:space="preserve">II </w:t>
      </w:r>
      <w:r w:rsidRPr="006944C5">
        <w:rPr>
          <w:rFonts w:ascii="Times New Roman" w:hAnsi="Times New Roman" w:cs="Times New Roman"/>
          <w:sz w:val="16"/>
          <w:szCs w:val="16"/>
          <w:lang w:val="sr-Cyrl-RS"/>
        </w:rPr>
        <w:t xml:space="preserve">квартал 2022., обрада РСЈП, </w:t>
      </w:r>
      <w:hyperlink r:id="rId91" w:history="1">
        <w:r w:rsidRPr="006944C5">
          <w:rPr>
            <w:rStyle w:val="Hyperlink"/>
            <w:rFonts w:ascii="Times New Roman" w:hAnsi="Times New Roman" w:cs="Times New Roman"/>
            <w:sz w:val="16"/>
            <w:szCs w:val="16"/>
            <w:lang w:val="sr-Cyrl-RS"/>
          </w:rPr>
          <w:t>https://publikacije.stat.gov.rs/G2022/Html/G20221212.html</w:t>
        </w:r>
      </w:hyperlink>
      <w:r w:rsidRPr="006944C5">
        <w:rPr>
          <w:rFonts w:ascii="Times New Roman" w:hAnsi="Times New Roman" w:cs="Times New Roman"/>
          <w:sz w:val="16"/>
          <w:szCs w:val="16"/>
          <w:lang w:val="sr-Cyrl-RS"/>
        </w:rPr>
        <w:t xml:space="preserve"> </w:t>
      </w:r>
    </w:p>
  </w:footnote>
  <w:footnote w:id="185">
    <w:p w14:paraId="080B2DBF"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lang w:val="sr-Cyrl-RS"/>
        </w:rPr>
        <w:t xml:space="preserve">, Спољнотрговински робни промет, јун 2022., </w:t>
      </w:r>
      <w:hyperlink r:id="rId92" w:history="1">
        <w:r w:rsidRPr="006944C5">
          <w:rPr>
            <w:rStyle w:val="Hyperlink"/>
            <w:rFonts w:ascii="Times New Roman" w:hAnsi="Times New Roman" w:cs="Times New Roman"/>
            <w:sz w:val="16"/>
            <w:szCs w:val="16"/>
            <w:lang w:val="sr-Cyrl-RS"/>
          </w:rPr>
          <w:t>https://publikacije.stat.gov.rs/G2022/Pdf/G20221211.pdf</w:t>
        </w:r>
      </w:hyperlink>
      <w:r w:rsidRPr="006944C5">
        <w:rPr>
          <w:rFonts w:ascii="Times New Roman" w:hAnsi="Times New Roman" w:cs="Times New Roman"/>
          <w:sz w:val="16"/>
          <w:szCs w:val="16"/>
          <w:lang w:val="sr-Cyrl-RS"/>
        </w:rPr>
        <w:t xml:space="preserve"> </w:t>
      </w:r>
    </w:p>
  </w:footnote>
  <w:footnote w:id="186">
    <w:p w14:paraId="2FE6B8C0" w14:textId="73CF824A" w:rsidR="008F5C3A" w:rsidRPr="006944C5" w:rsidRDefault="008F5C3A" w:rsidP="00B57FE8">
      <w:pPr>
        <w:pStyle w:val="FootnoteText"/>
        <w:spacing w:after="0"/>
        <w:ind w:firstLine="0"/>
        <w:rPr>
          <w:rFonts w:ascii="Times New Roman" w:hAnsi="Times New Roman" w:cs="Times New Roman"/>
          <w:bCs w:val="0"/>
          <w:color w:val="auto"/>
          <w:sz w:val="16"/>
          <w:szCs w:val="16"/>
          <w:lang w:val="sr-Cyrl-RS"/>
        </w:rPr>
      </w:pPr>
      <w:r w:rsidRPr="006944C5">
        <w:rPr>
          <w:rStyle w:val="FootnoteReference"/>
          <w:rFonts w:ascii="Times New Roman" w:hAnsi="Times New Roman" w:cs="Times New Roman"/>
          <w:color w:val="auto"/>
          <w:sz w:val="16"/>
          <w:szCs w:val="16"/>
          <w:lang w:val="sr-Cyrl-RS"/>
        </w:rPr>
        <w:footnoteRef/>
      </w:r>
      <w:r w:rsidRPr="006944C5">
        <w:rPr>
          <w:rFonts w:ascii="Times New Roman" w:hAnsi="Times New Roman" w:cs="Times New Roman"/>
          <w:color w:val="auto"/>
          <w:sz w:val="16"/>
          <w:szCs w:val="16"/>
          <w:lang w:val="sr-Cyrl-RS"/>
        </w:rPr>
        <w:t xml:space="preserve"> Препорука 4. ЕКОФИН Савета из маја 2019. године: „Усвојити посебне законе о алтернативним инвестиционим фондовима (investment vehicles)</w:t>
      </w:r>
      <w:r w:rsidRPr="003C1DFF">
        <w:rPr>
          <w:rFonts w:ascii="Times New Roman" w:hAnsi="Times New Roman" w:cs="Times New Roman"/>
          <w:sz w:val="16"/>
          <w:szCs w:val="16"/>
          <w:lang w:val="sr-Cyrl-RS"/>
        </w:rPr>
        <w:t>”</w:t>
      </w:r>
      <w:r>
        <w:rPr>
          <w:rFonts w:ascii="Times New Roman" w:hAnsi="Times New Roman" w:cs="Times New Roman"/>
          <w:color w:val="auto"/>
          <w:sz w:val="16"/>
          <w:szCs w:val="16"/>
          <w:lang w:val="sr-Cyrl-RS"/>
        </w:rPr>
        <w:t>.</w:t>
      </w:r>
    </w:p>
  </w:footnote>
  <w:footnote w:id="187">
    <w:p w14:paraId="414A78B7" w14:textId="58840A8D" w:rsidR="008F5C3A" w:rsidRPr="006944C5" w:rsidRDefault="008F5C3A" w:rsidP="00B57FE8">
      <w:pPr>
        <w:pStyle w:val="FootnoteText"/>
        <w:spacing w:after="0"/>
        <w:ind w:firstLine="0"/>
        <w:rPr>
          <w:rFonts w:ascii="Times New Roman" w:hAnsi="Times New Roman" w:cs="Times New Roman"/>
          <w:sz w:val="16"/>
          <w:szCs w:val="16"/>
          <w:lang w:val="sr-Latn-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Н</w:t>
      </w:r>
      <w:r>
        <w:rPr>
          <w:rFonts w:ascii="Times New Roman" w:hAnsi="Times New Roman" w:cs="Times New Roman"/>
          <w:color w:val="auto"/>
          <w:sz w:val="16"/>
          <w:szCs w:val="16"/>
          <w:lang w:val="sr-Cyrl-RS"/>
        </w:rPr>
        <w:t>ародна банка Србије</w:t>
      </w:r>
      <w:r w:rsidRPr="006944C5">
        <w:rPr>
          <w:rFonts w:ascii="Times New Roman" w:hAnsi="Times New Roman" w:cs="Times New Roman"/>
          <w:sz w:val="16"/>
          <w:szCs w:val="16"/>
          <w:lang w:val="sr-Cyrl-RS"/>
        </w:rPr>
        <w:t xml:space="preserve">, Платни биланс, </w:t>
      </w:r>
      <w:hyperlink r:id="rId93" w:history="1">
        <w:r w:rsidRPr="006944C5">
          <w:rPr>
            <w:rStyle w:val="Hyperlink"/>
            <w:rFonts w:ascii="Times New Roman" w:hAnsi="Times New Roman" w:cs="Times New Roman"/>
            <w:sz w:val="16"/>
            <w:szCs w:val="16"/>
            <w:lang w:val="sr-Cyrl-RS"/>
          </w:rPr>
          <w:t>https://nbs.rs/sr_RS/drugi-nivo-navigacije/statistika/platni_bilans/</w:t>
        </w:r>
      </w:hyperlink>
      <w:r w:rsidRPr="006944C5">
        <w:rPr>
          <w:rFonts w:ascii="Times New Roman" w:hAnsi="Times New Roman" w:cs="Times New Roman"/>
          <w:sz w:val="16"/>
          <w:szCs w:val="16"/>
          <w:lang w:val="sr-Cyrl-RS"/>
        </w:rPr>
        <w:t xml:space="preserve"> </w:t>
      </w:r>
    </w:p>
  </w:footnote>
  <w:footnote w:id="188">
    <w:p w14:paraId="6105CB96" w14:textId="5C959E7C"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Н</w:t>
      </w:r>
      <w:r>
        <w:rPr>
          <w:rFonts w:ascii="Times New Roman" w:hAnsi="Times New Roman" w:cs="Times New Roman"/>
          <w:color w:val="auto"/>
          <w:sz w:val="16"/>
          <w:szCs w:val="16"/>
          <w:lang w:val="sr-Cyrl-RS"/>
        </w:rPr>
        <w:t>ародна банка Србије</w:t>
      </w:r>
      <w:r w:rsidRPr="006944C5">
        <w:rPr>
          <w:rFonts w:ascii="Times New Roman" w:hAnsi="Times New Roman" w:cs="Times New Roman"/>
          <w:sz w:val="16"/>
          <w:szCs w:val="16"/>
          <w:lang w:val="sr-Cyrl-RS"/>
        </w:rPr>
        <w:t xml:space="preserve">, Платни биланс, </w:t>
      </w:r>
      <w:hyperlink r:id="rId94" w:history="1">
        <w:r w:rsidRPr="006944C5">
          <w:rPr>
            <w:rStyle w:val="Hyperlink"/>
            <w:rFonts w:ascii="Times New Roman" w:hAnsi="Times New Roman" w:cs="Times New Roman"/>
            <w:sz w:val="16"/>
            <w:szCs w:val="16"/>
            <w:lang w:val="sr-Cyrl-RS"/>
          </w:rPr>
          <w:t>https://nbs.rs/sr_RS/drugi-nivo-navigacije/statistika/platni_bilans/</w:t>
        </w:r>
      </w:hyperlink>
      <w:r w:rsidRPr="006944C5">
        <w:rPr>
          <w:rFonts w:ascii="Times New Roman" w:hAnsi="Times New Roman" w:cs="Times New Roman"/>
          <w:sz w:val="16"/>
          <w:szCs w:val="16"/>
          <w:lang w:val="sr-Cyrl-RS"/>
        </w:rPr>
        <w:t xml:space="preserve"> </w:t>
      </w:r>
    </w:p>
  </w:footnote>
  <w:footnote w:id="189">
    <w:p w14:paraId="366021CB"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hyperlink r:id="rId95" w:history="1">
        <w:r w:rsidRPr="006944C5">
          <w:rPr>
            <w:rStyle w:val="Hyperlink"/>
            <w:rFonts w:ascii="Times New Roman" w:hAnsi="Times New Roman" w:cs="Times New Roman"/>
            <w:sz w:val="16"/>
            <w:szCs w:val="16"/>
          </w:rPr>
          <w:t>https://mojasrbija.rs/wp/i-u-2021-godini-100-000-vaucera-za-odmor-u-srbiji/</w:t>
        </w:r>
      </w:hyperlink>
      <w:r w:rsidRPr="006944C5">
        <w:rPr>
          <w:rFonts w:ascii="Times New Roman" w:hAnsi="Times New Roman" w:cs="Times New Roman"/>
          <w:sz w:val="16"/>
          <w:szCs w:val="16"/>
          <w:lang w:val="sr-Cyrl-RS"/>
        </w:rPr>
        <w:t xml:space="preserve"> </w:t>
      </w:r>
    </w:p>
  </w:footnote>
  <w:footnote w:id="190">
    <w:p w14:paraId="20FD3C98" w14:textId="72EDDE06" w:rsidR="008F5C3A" w:rsidRPr="006944C5" w:rsidRDefault="008F5C3A" w:rsidP="00BA1B20">
      <w:pPr>
        <w:pStyle w:val="FootnoteText"/>
        <w:spacing w:after="0"/>
        <w:ind w:firstLine="0"/>
        <w:jc w:val="left"/>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Н</w:t>
      </w:r>
      <w:r>
        <w:rPr>
          <w:rFonts w:ascii="Times New Roman" w:hAnsi="Times New Roman" w:cs="Times New Roman"/>
          <w:color w:val="auto"/>
          <w:sz w:val="16"/>
          <w:szCs w:val="16"/>
          <w:lang w:val="sr-Cyrl-RS"/>
        </w:rPr>
        <w:t>ародна банка Србије</w:t>
      </w:r>
      <w:r w:rsidRPr="006944C5">
        <w:rPr>
          <w:rFonts w:ascii="Times New Roman" w:hAnsi="Times New Roman" w:cs="Times New Roman"/>
          <w:sz w:val="16"/>
          <w:szCs w:val="16"/>
          <w:lang w:val="sr-Cyrl-RS"/>
        </w:rPr>
        <w:t xml:space="preserve">, Платне трансакције куповине робе и услуга преко интернета, </w:t>
      </w:r>
      <w:hyperlink r:id="rId96" w:history="1">
        <w:r w:rsidRPr="006944C5">
          <w:rPr>
            <w:rStyle w:val="Hyperlink"/>
            <w:rFonts w:ascii="Times New Roman" w:hAnsi="Times New Roman" w:cs="Times New Roman"/>
            <w:sz w:val="16"/>
            <w:szCs w:val="16"/>
            <w:lang w:val="sr-Cyrl-RS"/>
          </w:rPr>
          <w:t>https://nbs.rs/sr/ciljevi-i-funkcije/platni-sistem/statistika/</w:t>
        </w:r>
      </w:hyperlink>
      <w:r w:rsidRPr="006944C5">
        <w:rPr>
          <w:rFonts w:ascii="Times New Roman" w:hAnsi="Times New Roman" w:cs="Times New Roman"/>
          <w:sz w:val="16"/>
          <w:szCs w:val="16"/>
          <w:lang w:val="sr-Cyrl-RS"/>
        </w:rPr>
        <w:t xml:space="preserve"> </w:t>
      </w:r>
    </w:p>
  </w:footnote>
  <w:footnote w:id="191">
    <w:p w14:paraId="2E0A5083" w14:textId="2A6B8A5C" w:rsidR="008F5C3A" w:rsidRPr="006944C5" w:rsidRDefault="008F5C3A" w:rsidP="00BA1B20">
      <w:pPr>
        <w:pStyle w:val="FootnoteText"/>
        <w:spacing w:after="0"/>
        <w:ind w:firstLine="0"/>
        <w:jc w:val="left"/>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М</w:t>
      </w:r>
      <w:r>
        <w:rPr>
          <w:rFonts w:ascii="Times New Roman" w:hAnsi="Times New Roman" w:cs="Times New Roman"/>
          <w:color w:val="auto"/>
          <w:sz w:val="16"/>
          <w:szCs w:val="16"/>
          <w:lang w:val="sr-Cyrl-RS"/>
        </w:rPr>
        <w:t>инистарство трговине, туризма и телекомуникација</w:t>
      </w:r>
      <w:r w:rsidRPr="006944C5">
        <w:rPr>
          <w:rFonts w:ascii="Times New Roman" w:hAnsi="Times New Roman" w:cs="Times New Roman"/>
          <w:sz w:val="16"/>
          <w:szCs w:val="16"/>
          <w:lang w:val="sr-Cyrl-RS"/>
        </w:rPr>
        <w:t xml:space="preserve">, Извештај о раду Националног регистра потрошачких приговора за 2021. годину, </w:t>
      </w:r>
      <w:hyperlink r:id="rId97" w:history="1">
        <w:r w:rsidRPr="006944C5">
          <w:rPr>
            <w:rStyle w:val="Hyperlink"/>
            <w:rFonts w:ascii="Times New Roman" w:hAnsi="Times New Roman" w:cs="Times New Roman"/>
            <w:sz w:val="16"/>
            <w:szCs w:val="16"/>
            <w:lang w:val="sr-Cyrl-RS"/>
          </w:rPr>
          <w:t>Извештај-МТТ</w:t>
        </w:r>
      </w:hyperlink>
    </w:p>
  </w:footnote>
  <w:footnote w:id="192">
    <w:p w14:paraId="5CBF7B65" w14:textId="7AA7C0C3" w:rsidR="008F5C3A" w:rsidRPr="006944C5" w:rsidRDefault="008F5C3A" w:rsidP="00BA1B20">
      <w:pPr>
        <w:pStyle w:val="FootnoteText"/>
        <w:spacing w:after="0"/>
        <w:ind w:firstLine="0"/>
        <w:jc w:val="left"/>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Н</w:t>
      </w:r>
      <w:r>
        <w:rPr>
          <w:rFonts w:ascii="Times New Roman" w:hAnsi="Times New Roman" w:cs="Times New Roman"/>
          <w:color w:val="auto"/>
          <w:sz w:val="16"/>
          <w:szCs w:val="16"/>
          <w:lang w:val="sr-Cyrl-RS"/>
        </w:rPr>
        <w:t>ародна банка Србије</w:t>
      </w:r>
      <w:r w:rsidRPr="006944C5">
        <w:rPr>
          <w:rFonts w:ascii="Times New Roman" w:hAnsi="Times New Roman" w:cs="Times New Roman"/>
          <w:sz w:val="16"/>
          <w:szCs w:val="16"/>
          <w:lang w:val="sr-Cyrl-RS"/>
        </w:rPr>
        <w:t xml:space="preserve">, Прихватна мрежа, </w:t>
      </w:r>
      <w:hyperlink r:id="rId98" w:history="1">
        <w:r w:rsidRPr="006944C5">
          <w:rPr>
            <w:rStyle w:val="Hyperlink"/>
            <w:rFonts w:ascii="Times New Roman" w:eastAsia="MS PGothic" w:hAnsi="Times New Roman" w:cs="Times New Roman"/>
            <w:sz w:val="16"/>
            <w:szCs w:val="16"/>
            <w:lang w:val="sr-Cyrl-RS"/>
          </w:rPr>
          <w:t>https://nbs.rs/export/sites/NBS_site/documents/platni-sistem/statistika/el_novac/prihvatna_mreza.xlsx</w:t>
        </w:r>
      </w:hyperlink>
      <w:r w:rsidRPr="006944C5">
        <w:rPr>
          <w:rFonts w:ascii="Times New Roman" w:hAnsi="Times New Roman" w:cs="Times New Roman"/>
          <w:sz w:val="16"/>
          <w:szCs w:val="16"/>
          <w:lang w:val="sr-Cyrl-RS"/>
        </w:rPr>
        <w:t xml:space="preserve"> </w:t>
      </w:r>
    </w:p>
  </w:footnote>
  <w:footnote w:id="193">
    <w:p w14:paraId="38EDA84F" w14:textId="2464A90A" w:rsidR="008F5C3A" w:rsidRPr="006944C5" w:rsidRDefault="008F5C3A" w:rsidP="00B57FE8">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 xml:space="preserve">Важно је нагласити да увођење средњег образовања као обавезног захтева промену у Уставу </w:t>
      </w:r>
      <w:r>
        <w:rPr>
          <w:rFonts w:ascii="Times New Roman" w:hAnsi="Times New Roman" w:cs="Times New Roman"/>
          <w:color w:val="auto"/>
          <w:sz w:val="16"/>
          <w:szCs w:val="16"/>
          <w:lang w:val="sr-Cyrl-RS"/>
        </w:rPr>
        <w:t>Реублике Србије</w:t>
      </w:r>
      <w:r w:rsidRPr="006944C5">
        <w:rPr>
          <w:rFonts w:ascii="Times New Roman" w:hAnsi="Times New Roman" w:cs="Times New Roman"/>
          <w:color w:val="auto"/>
          <w:sz w:val="16"/>
          <w:szCs w:val="16"/>
          <w:lang w:val="sr-Cyrl-RS"/>
        </w:rPr>
        <w:t xml:space="preserve">. </w:t>
      </w:r>
      <w:r>
        <w:rPr>
          <w:rFonts w:ascii="Times New Roman" w:hAnsi="Times New Roman" w:cs="Times New Roman"/>
          <w:color w:val="auto"/>
          <w:sz w:val="16"/>
          <w:szCs w:val="16"/>
          <w:lang w:val="sr-Cyrl-RS"/>
        </w:rPr>
        <w:t>У ч</w:t>
      </w:r>
      <w:r w:rsidRPr="006944C5">
        <w:rPr>
          <w:rFonts w:ascii="Times New Roman" w:hAnsi="Times New Roman" w:cs="Times New Roman"/>
          <w:color w:val="auto"/>
          <w:sz w:val="16"/>
          <w:szCs w:val="16"/>
          <w:lang w:val="sr-Cyrl-RS"/>
        </w:rPr>
        <w:t>лан</w:t>
      </w:r>
      <w:r>
        <w:rPr>
          <w:rFonts w:ascii="Times New Roman" w:hAnsi="Times New Roman" w:cs="Times New Roman"/>
          <w:color w:val="auto"/>
          <w:sz w:val="16"/>
          <w:szCs w:val="16"/>
          <w:lang w:val="sr-Cyrl-RS"/>
        </w:rPr>
        <w:t>у</w:t>
      </w:r>
      <w:r w:rsidRPr="006944C5">
        <w:rPr>
          <w:rFonts w:ascii="Times New Roman" w:hAnsi="Times New Roman" w:cs="Times New Roman"/>
          <w:color w:val="auto"/>
          <w:sz w:val="16"/>
          <w:szCs w:val="16"/>
          <w:lang w:val="sr-Cyrl-RS"/>
        </w:rPr>
        <w:t xml:space="preserve"> 71. Устава </w:t>
      </w:r>
      <w:r>
        <w:rPr>
          <w:rFonts w:ascii="Times New Roman" w:hAnsi="Times New Roman" w:cs="Times New Roman"/>
          <w:color w:val="auto"/>
          <w:sz w:val="16"/>
          <w:szCs w:val="16"/>
          <w:lang w:val="sr-Cyrl-RS"/>
        </w:rPr>
        <w:t>Републике Србије</w:t>
      </w:r>
      <w:r w:rsidRPr="006944C5">
        <w:rPr>
          <w:rFonts w:ascii="Times New Roman" w:hAnsi="Times New Roman" w:cs="Times New Roman"/>
          <w:color w:val="auto"/>
          <w:sz w:val="16"/>
          <w:szCs w:val="16"/>
          <w:lang w:val="sr-Cyrl-RS"/>
        </w:rPr>
        <w:t xml:space="preserve"> </w:t>
      </w:r>
      <w:r>
        <w:rPr>
          <w:rFonts w:ascii="Times New Roman" w:hAnsi="Times New Roman" w:cs="Times New Roman"/>
          <w:color w:val="auto"/>
          <w:sz w:val="16"/>
          <w:szCs w:val="16"/>
          <w:lang w:val="sr-Cyrl-RS"/>
        </w:rPr>
        <w:t>одређено је</w:t>
      </w:r>
      <w:r w:rsidRPr="006944C5">
        <w:rPr>
          <w:rFonts w:ascii="Times New Roman" w:hAnsi="Times New Roman" w:cs="Times New Roman"/>
          <w:color w:val="auto"/>
          <w:sz w:val="16"/>
          <w:szCs w:val="16"/>
          <w:lang w:val="sr-Cyrl-RS"/>
        </w:rPr>
        <w:t xml:space="preserve"> да је основно образовање обавезно и бесплатно, док за средње образовање наводи само да је бесплатно, па је тако потребно изменити Устав у смислу навођења да је и средње образовање обавезно и бесплатно.</w:t>
      </w:r>
    </w:p>
  </w:footnote>
  <w:footnote w:id="194">
    <w:p w14:paraId="105EB7A4" w14:textId="77777777" w:rsidR="008F5C3A" w:rsidRPr="006944C5" w:rsidRDefault="008F5C3A" w:rsidP="00E44EF2">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Предшколско васпитање и образовање у школској 2021/2022 години похађало је 53.981 дете узраста до три године </w:t>
      </w:r>
      <w:r w:rsidRPr="006944C5">
        <w:rPr>
          <w:rFonts w:ascii="Times New Roman" w:hAnsi="Times New Roman" w:cs="Times New Roman"/>
          <w:sz w:val="16"/>
          <w:szCs w:val="16"/>
          <w:lang w:val="sr-Cyrl-RS"/>
        </w:rPr>
        <w:t>(</w:t>
      </w:r>
      <w:r w:rsidRPr="006944C5">
        <w:rPr>
          <w:rFonts w:ascii="Times New Roman" w:hAnsi="Times New Roman" w:cs="Times New Roman"/>
          <w:sz w:val="16"/>
          <w:szCs w:val="16"/>
        </w:rPr>
        <w:t>34,3% у односу на укупан број живорођених наведеног узраста</w:t>
      </w:r>
      <w:r w:rsidRPr="006944C5">
        <w:rPr>
          <w:rFonts w:ascii="Times New Roman" w:hAnsi="Times New Roman" w:cs="Times New Roman"/>
          <w:sz w:val="16"/>
          <w:szCs w:val="16"/>
          <w:lang w:val="sr-Cyrl-RS"/>
        </w:rPr>
        <w:t xml:space="preserve">) и </w:t>
      </w:r>
      <w:r w:rsidRPr="006944C5">
        <w:rPr>
          <w:rFonts w:ascii="Times New Roman" w:hAnsi="Times New Roman" w:cs="Times New Roman"/>
          <w:sz w:val="16"/>
          <w:szCs w:val="16"/>
        </w:rPr>
        <w:t>107.438 деце узраста од три до пет и по година (66,4% у односу на укупан број живорођених наведеног узраста</w:t>
      </w:r>
      <w:r w:rsidRPr="006944C5">
        <w:rPr>
          <w:rFonts w:ascii="Times New Roman" w:hAnsi="Times New Roman" w:cs="Times New Roman"/>
          <w:sz w:val="16"/>
          <w:szCs w:val="16"/>
          <w:lang w:val="sr-Cyrl-RS"/>
        </w:rPr>
        <w:t>)</w:t>
      </w:r>
      <w:r w:rsidRPr="006944C5">
        <w:rPr>
          <w:rFonts w:ascii="Times New Roman" w:hAnsi="Times New Roman" w:cs="Times New Roman"/>
          <w:sz w:val="16"/>
          <w:szCs w:val="16"/>
        </w:rPr>
        <w:t>.</w:t>
      </w:r>
    </w:p>
  </w:footnote>
  <w:footnote w:id="195">
    <w:p w14:paraId="1CB7D95C"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lang w:val="en-US"/>
        </w:rPr>
        <w:t xml:space="preserve"> </w:t>
      </w:r>
      <w:r w:rsidRPr="006944C5">
        <w:rPr>
          <w:rFonts w:ascii="Times New Roman" w:hAnsi="Times New Roman" w:cs="Times New Roman"/>
          <w:color w:val="auto"/>
          <w:sz w:val="16"/>
          <w:szCs w:val="16"/>
          <w:lang w:val="sr-Cyrl-RS"/>
        </w:rPr>
        <w:t xml:space="preserve">РЗС, </w:t>
      </w:r>
      <w:hyperlink r:id="rId99" w:history="1">
        <w:r w:rsidRPr="006944C5">
          <w:rPr>
            <w:rStyle w:val="Hyperlink"/>
            <w:rFonts w:ascii="Times New Roman" w:hAnsi="Times New Roman" w:cs="Times New Roman"/>
            <w:sz w:val="16"/>
            <w:szCs w:val="16"/>
          </w:rPr>
          <w:t>https://publikacije.stat.gov.rs/G2022/Pdf/G20221083.pdf</w:t>
        </w:r>
      </w:hyperlink>
    </w:p>
  </w:footnote>
  <w:footnote w:id="196">
    <w:p w14:paraId="541A5C89"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Структура: број редовних матичних основних школа - 1.135, број издвојених одељења – 2.084. Извор: РЗС, Саопштење Основно образовање</w:t>
      </w:r>
    </w:p>
  </w:footnote>
  <w:footnote w:id="197">
    <w:p w14:paraId="125CE3DE"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 xml:space="preserve">РЗС, </w:t>
      </w:r>
      <w:hyperlink r:id="rId100" w:history="1">
        <w:r w:rsidRPr="006944C5">
          <w:rPr>
            <w:rStyle w:val="Hyperlink"/>
            <w:rFonts w:ascii="Times New Roman" w:hAnsi="Times New Roman" w:cs="Times New Roman"/>
            <w:sz w:val="16"/>
            <w:szCs w:val="16"/>
          </w:rPr>
          <w:t>https://publikacije.stat.gov.rs/G2022/Html/G20221072.html</w:t>
        </w:r>
      </w:hyperlink>
      <w:r w:rsidRPr="006944C5">
        <w:rPr>
          <w:rFonts w:ascii="Times New Roman" w:hAnsi="Times New Roman" w:cs="Times New Roman"/>
          <w:color w:val="auto"/>
          <w:sz w:val="16"/>
          <w:szCs w:val="16"/>
          <w:lang w:val="sr-Cyrl-RS"/>
        </w:rPr>
        <w:t xml:space="preserve"> </w:t>
      </w:r>
    </w:p>
  </w:footnote>
  <w:footnote w:id="198">
    <w:p w14:paraId="109E64F0"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lang w:val="sr-Cyrl-RS"/>
        </w:rPr>
        <w:footnoteRef/>
      </w:r>
      <w:r w:rsidRPr="006944C5">
        <w:rPr>
          <w:rFonts w:ascii="Times New Roman" w:hAnsi="Times New Roman" w:cs="Times New Roman"/>
          <w:color w:val="auto"/>
          <w:sz w:val="16"/>
          <w:szCs w:val="16"/>
          <w:lang w:val="sr-Cyrl-RS"/>
        </w:rPr>
        <w:t xml:space="preserve"> Стопа обухвата основним образовањем износила 97% у 2018. години.</w:t>
      </w:r>
    </w:p>
  </w:footnote>
  <w:footnote w:id="199">
    <w:p w14:paraId="279301E3" w14:textId="77777777" w:rsidR="008F5C3A" w:rsidRPr="006944C5" w:rsidRDefault="008F5C3A" w:rsidP="00E44EF2">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sz w:val="16"/>
          <w:szCs w:val="16"/>
          <w:lang w:val="sr-Cyrl-RS"/>
        </w:rPr>
        <w:t xml:space="preserve">РЗС, </w:t>
      </w:r>
      <w:hyperlink r:id="rId101" w:history="1">
        <w:r w:rsidRPr="006944C5">
          <w:rPr>
            <w:rStyle w:val="Hyperlink"/>
            <w:rFonts w:ascii="Times New Roman" w:hAnsi="Times New Roman" w:cs="Times New Roman"/>
            <w:sz w:val="16"/>
            <w:szCs w:val="16"/>
            <w:lang w:val="sr-Cyrl-RS"/>
          </w:rPr>
          <w:t>https://publikacije.stat.gov.rs/G2022/Pdf/G20225683.pdf</w:t>
        </w:r>
      </w:hyperlink>
      <w:r w:rsidRPr="006944C5">
        <w:rPr>
          <w:rFonts w:ascii="Times New Roman" w:hAnsi="Times New Roman" w:cs="Times New Roman"/>
          <w:sz w:val="16"/>
          <w:szCs w:val="16"/>
          <w:lang w:val="sr-Cyrl-RS"/>
        </w:rPr>
        <w:t xml:space="preserve"> </w:t>
      </w:r>
    </w:p>
  </w:footnote>
  <w:footnote w:id="200">
    <w:p w14:paraId="4DBC2BDE" w14:textId="77777777" w:rsidR="008F5C3A" w:rsidRPr="006944C5" w:rsidRDefault="008F5C3A" w:rsidP="00E44EF2">
      <w:pPr>
        <w:pStyle w:val="FootnoteText"/>
        <w:spacing w:after="0"/>
        <w:ind w:firstLine="0"/>
        <w:rPr>
          <w:rFonts w:ascii="Times New Roman" w:hAnsi="Times New Roman" w:cs="Times New Roman"/>
          <w:sz w:val="16"/>
          <w:szCs w:val="16"/>
          <w:lang w:val="en-U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hyperlink r:id="rId102" w:history="1">
        <w:r w:rsidRPr="006944C5">
          <w:rPr>
            <w:rStyle w:val="Hyperlink"/>
            <w:rFonts w:ascii="Times New Roman" w:hAnsi="Times New Roman" w:cs="Times New Roman"/>
            <w:sz w:val="16"/>
            <w:szCs w:val="16"/>
          </w:rPr>
          <w:t>https://www.shanghairanking.com/rankings/arwu/2022</w:t>
        </w:r>
      </w:hyperlink>
      <w:r w:rsidRPr="006944C5">
        <w:rPr>
          <w:rFonts w:ascii="Times New Roman" w:hAnsi="Times New Roman" w:cs="Times New Roman"/>
          <w:sz w:val="16"/>
          <w:szCs w:val="16"/>
          <w:lang w:val="en-US"/>
        </w:rPr>
        <w:t xml:space="preserve"> </w:t>
      </w:r>
    </w:p>
  </w:footnote>
  <w:footnote w:id="201">
    <w:p w14:paraId="46EBCBA6" w14:textId="44B5BA0D"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lang w:val="sr-Cyrl-RS"/>
        </w:rPr>
        <w:footnoteRef/>
      </w:r>
      <w:r w:rsidRPr="006944C5">
        <w:rPr>
          <w:rFonts w:ascii="Times New Roman" w:hAnsi="Times New Roman" w:cs="Times New Roman"/>
          <w:color w:val="auto"/>
          <w:sz w:val="16"/>
          <w:szCs w:val="16"/>
          <w:lang w:val="sr-Cyrl-RS"/>
        </w:rPr>
        <w:t xml:space="preserve"> М</w:t>
      </w:r>
      <w:r>
        <w:rPr>
          <w:rFonts w:ascii="Times New Roman" w:hAnsi="Times New Roman" w:cs="Times New Roman"/>
          <w:color w:val="auto"/>
          <w:sz w:val="16"/>
          <w:szCs w:val="16"/>
          <w:lang w:val="sr-Cyrl-RS"/>
        </w:rPr>
        <w:t>инистарство финансија</w:t>
      </w:r>
      <w:r w:rsidRPr="006944C5">
        <w:rPr>
          <w:rFonts w:ascii="Times New Roman" w:hAnsi="Times New Roman" w:cs="Times New Roman"/>
          <w:color w:val="auto"/>
          <w:sz w:val="16"/>
          <w:szCs w:val="16"/>
          <w:lang w:val="sr-Cyrl-RS"/>
        </w:rPr>
        <w:t xml:space="preserve">, </w:t>
      </w:r>
      <w:hyperlink r:id="rId103" w:history="1">
        <w:r w:rsidRPr="006944C5">
          <w:rPr>
            <w:rStyle w:val="Hyperlink"/>
            <w:rFonts w:ascii="Times New Roman" w:hAnsi="Times New Roman" w:cs="Times New Roman"/>
            <w:sz w:val="16"/>
            <w:szCs w:val="16"/>
            <w:lang w:val="sr-Cyrl-RS"/>
          </w:rPr>
          <w:t>https://www.mfin.gov.rs//upload/media/XhuXUy_61ced86c7e83c.pdf</w:t>
        </w:r>
      </w:hyperlink>
      <w:r w:rsidRPr="006944C5">
        <w:rPr>
          <w:rFonts w:ascii="Times New Roman" w:hAnsi="Times New Roman" w:cs="Times New Roman"/>
          <w:color w:val="auto"/>
          <w:sz w:val="16"/>
          <w:szCs w:val="16"/>
          <w:lang w:val="sr-Cyrl-RS"/>
        </w:rPr>
        <w:t xml:space="preserve"> </w:t>
      </w:r>
    </w:p>
  </w:footnote>
  <w:footnote w:id="202">
    <w:p w14:paraId="5EF07DA3"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sz w:val="16"/>
          <w:szCs w:val="16"/>
        </w:rPr>
        <w:t>Статистички</w:t>
      </w:r>
      <w:r w:rsidRPr="006944C5">
        <w:rPr>
          <w:rFonts w:ascii="Times New Roman" w:hAnsi="Times New Roman" w:cs="Times New Roman"/>
          <w:color w:val="auto"/>
          <w:sz w:val="16"/>
          <w:szCs w:val="16"/>
        </w:rPr>
        <w:t xml:space="preserve"> подаци су резултат повезивања са Централним регистром обавезног социјалног осигурања.</w:t>
      </w:r>
    </w:p>
  </w:footnote>
  <w:footnote w:id="203">
    <w:p w14:paraId="4B10CA5A" w14:textId="77777777" w:rsidR="008F5C3A" w:rsidRPr="006944C5" w:rsidRDefault="008F5C3A" w:rsidP="00E44EF2">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И</w:t>
      </w:r>
      <w:r w:rsidRPr="006944C5">
        <w:rPr>
          <w:rFonts w:ascii="Times New Roman" w:hAnsi="Times New Roman" w:cs="Times New Roman"/>
          <w:color w:val="auto"/>
          <w:sz w:val="16"/>
          <w:szCs w:val="16"/>
        </w:rPr>
        <w:t>страживање којим се прикупљају информације о улагањима предузећа у сталну стручну обуку његових запослених.</w:t>
      </w:r>
      <w:r w:rsidRPr="006944C5">
        <w:rPr>
          <w:rFonts w:ascii="Times New Roman" w:hAnsi="Times New Roman" w:cs="Times New Roman"/>
          <w:color w:val="auto"/>
          <w:sz w:val="16"/>
          <w:szCs w:val="16"/>
          <w:lang w:val="sr-Cyrl-RS"/>
        </w:rPr>
        <w:t xml:space="preserve"> Енг. </w:t>
      </w:r>
      <w:r w:rsidRPr="006944C5">
        <w:rPr>
          <w:rFonts w:ascii="Times New Roman" w:hAnsi="Times New Roman" w:cs="Times New Roman"/>
          <w:i/>
          <w:color w:val="auto"/>
          <w:sz w:val="16"/>
          <w:szCs w:val="16"/>
          <w:lang w:val="sr-Cyrl-RS"/>
        </w:rPr>
        <w:t>Continuing Vocational Training Survey</w:t>
      </w:r>
    </w:p>
  </w:footnote>
  <w:footnote w:id="204">
    <w:p w14:paraId="5E2FCD5D"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 xml:space="preserve">РЗС, </w:t>
      </w:r>
      <w:hyperlink r:id="rId104" w:history="1">
        <w:r w:rsidRPr="006944C5">
          <w:rPr>
            <w:rStyle w:val="Hyperlink"/>
            <w:rFonts w:ascii="Times New Roman" w:hAnsi="Times New Roman" w:cs="Times New Roman"/>
            <w:sz w:val="16"/>
            <w:szCs w:val="16"/>
          </w:rPr>
          <w:t>https://publikacije.stat.gov.rs/G2022/Pdf/G20221090.pdf</w:t>
        </w:r>
      </w:hyperlink>
      <w:r w:rsidRPr="006944C5">
        <w:rPr>
          <w:rFonts w:ascii="Times New Roman" w:hAnsi="Times New Roman" w:cs="Times New Roman"/>
          <w:color w:val="auto"/>
          <w:sz w:val="16"/>
          <w:szCs w:val="16"/>
          <w:lang w:val="sr-Cyrl-RS"/>
        </w:rPr>
        <w:t xml:space="preserve"> </w:t>
      </w:r>
    </w:p>
  </w:footnote>
  <w:footnote w:id="205">
    <w:p w14:paraId="6AE64D7D" w14:textId="09AC583A"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lang w:val="sr-Cyrl-RS"/>
        </w:rPr>
        <w:footnoteRef/>
      </w:r>
      <w:r w:rsidRPr="006944C5">
        <w:rPr>
          <w:rFonts w:ascii="Times New Roman" w:hAnsi="Times New Roman" w:cs="Times New Roman"/>
          <w:color w:val="auto"/>
          <w:sz w:val="16"/>
          <w:szCs w:val="16"/>
          <w:lang w:val="sr-Cyrl-RS"/>
        </w:rPr>
        <w:t xml:space="preserve"> Поред доприноса, систем обавезног здравстевног осигурања се финансира и из других извора - члан 168. Закона о з</w:t>
      </w:r>
      <w:r>
        <w:rPr>
          <w:rFonts w:ascii="Times New Roman" w:hAnsi="Times New Roman" w:cs="Times New Roman"/>
          <w:color w:val="auto"/>
          <w:sz w:val="16"/>
          <w:szCs w:val="16"/>
          <w:lang w:val="sr-Cyrl-RS"/>
        </w:rPr>
        <w:t>дравственом осигурању („Службени</w:t>
      </w:r>
      <w:r w:rsidRPr="006944C5">
        <w:rPr>
          <w:rFonts w:ascii="Times New Roman" w:hAnsi="Times New Roman" w:cs="Times New Roman"/>
          <w:color w:val="auto"/>
          <w:sz w:val="16"/>
          <w:szCs w:val="16"/>
          <w:lang w:val="sr-Cyrl-RS"/>
        </w:rPr>
        <w:t xml:space="preserve"> гласник РС</w:t>
      </w:r>
      <w:r w:rsidRPr="003C1DFF">
        <w:rPr>
          <w:rFonts w:ascii="Times New Roman" w:hAnsi="Times New Roman" w:cs="Times New Roman"/>
          <w:sz w:val="16"/>
          <w:szCs w:val="16"/>
          <w:lang w:val="sr-Cyrl-RS"/>
        </w:rPr>
        <w:t>”</w:t>
      </w:r>
      <w:r w:rsidRPr="006944C5">
        <w:rPr>
          <w:rFonts w:ascii="Times New Roman" w:hAnsi="Times New Roman" w:cs="Times New Roman"/>
          <w:color w:val="auto"/>
          <w:sz w:val="16"/>
          <w:szCs w:val="16"/>
          <w:lang w:val="sr-Cyrl-RS"/>
        </w:rPr>
        <w:t>, бр</w:t>
      </w:r>
      <w:r>
        <w:rPr>
          <w:rFonts w:ascii="Times New Roman" w:hAnsi="Times New Roman" w:cs="Times New Roman"/>
          <w:color w:val="auto"/>
          <w:sz w:val="16"/>
          <w:szCs w:val="16"/>
          <w:lang w:val="sr-Cyrl-RS"/>
        </w:rPr>
        <w:t>ој</w:t>
      </w:r>
      <w:r w:rsidRPr="006944C5">
        <w:rPr>
          <w:rFonts w:ascii="Times New Roman" w:hAnsi="Times New Roman" w:cs="Times New Roman"/>
          <w:color w:val="auto"/>
          <w:sz w:val="16"/>
          <w:szCs w:val="16"/>
          <w:lang w:val="sr-Cyrl-RS"/>
        </w:rPr>
        <w:t xml:space="preserve"> 25/19)</w:t>
      </w:r>
    </w:p>
  </w:footnote>
  <w:footnote w:id="206">
    <w:p w14:paraId="2037930C" w14:textId="23F948CE" w:rsidR="008F5C3A" w:rsidRPr="006944C5" w:rsidRDefault="008F5C3A" w:rsidP="00D210F0">
      <w:pPr>
        <w:shd w:val="clear" w:color="auto" w:fill="FFFFFF"/>
        <w:tabs>
          <w:tab w:val="left" w:pos="9360"/>
        </w:tabs>
        <w:spacing w:after="0"/>
        <w:outlineLvl w:val="0"/>
        <w:rPr>
          <w:rFonts w:eastAsia="Times New Roman" w:cs="Times New Roman"/>
          <w:sz w:val="16"/>
          <w:szCs w:val="16"/>
          <w:lang w:val="sr-Cyrl-RS"/>
        </w:rPr>
      </w:pPr>
      <w:r w:rsidRPr="006944C5">
        <w:rPr>
          <w:rStyle w:val="FootnoteReference"/>
          <w:rFonts w:cs="Times New Roman"/>
          <w:sz w:val="16"/>
          <w:szCs w:val="16"/>
        </w:rPr>
        <w:footnoteRef/>
      </w:r>
      <w:r w:rsidRPr="006944C5">
        <w:rPr>
          <w:rFonts w:cs="Times New Roman"/>
          <w:sz w:val="16"/>
          <w:szCs w:val="16"/>
          <w:lang w:val="sr-Cyrl-RS"/>
        </w:rPr>
        <w:t xml:space="preserve"> </w:t>
      </w:r>
      <w:r w:rsidRPr="006944C5">
        <w:rPr>
          <w:rFonts w:eastAsia="Times New Roman" w:cs="Times New Roman"/>
          <w:kern w:val="36"/>
          <w:sz w:val="16"/>
          <w:szCs w:val="16"/>
          <w:lang w:val="sr-Cyrl-RS"/>
        </w:rPr>
        <w:t xml:space="preserve">Закон о доприносима за обавезно социјално осигурање </w:t>
      </w:r>
      <w:r>
        <w:rPr>
          <w:rFonts w:eastAsia="Times New Roman" w:cs="Times New Roman"/>
          <w:sz w:val="16"/>
          <w:szCs w:val="16"/>
          <w:lang w:val="sr-Cyrl-RS"/>
        </w:rPr>
        <w:t>(„Службени</w:t>
      </w:r>
      <w:r w:rsidRPr="006944C5">
        <w:rPr>
          <w:rFonts w:eastAsia="Times New Roman" w:cs="Times New Roman"/>
          <w:sz w:val="16"/>
          <w:szCs w:val="16"/>
          <w:lang w:val="sr-Cyrl-RS"/>
        </w:rPr>
        <w:t xml:space="preserve"> гласник РС</w:t>
      </w:r>
      <w:r w:rsidRPr="003C1DFF">
        <w:rPr>
          <w:rFonts w:cs="Times New Roman"/>
          <w:sz w:val="16"/>
          <w:szCs w:val="16"/>
          <w:lang w:val="sr-Cyrl-RS"/>
        </w:rPr>
        <w:t>”</w:t>
      </w:r>
      <w:r w:rsidRPr="006944C5">
        <w:rPr>
          <w:rFonts w:eastAsia="Times New Roman" w:cs="Times New Roman"/>
          <w:sz w:val="16"/>
          <w:szCs w:val="16"/>
          <w:lang w:val="sr-Cyrl-RS"/>
        </w:rPr>
        <w:t>, бр</w:t>
      </w:r>
      <w:r w:rsidRPr="006944C5">
        <w:rPr>
          <w:rFonts w:eastAsia="Times New Roman" w:cs="Times New Roman"/>
          <w:kern w:val="36"/>
          <w:sz w:val="16"/>
          <w:szCs w:val="16"/>
          <w:lang w:val="sr-Cyrl-RS"/>
        </w:rPr>
        <w:t>. 84/04, 61/05, 62/06, 5/09, 52/11, 101/11, 47/13, 108/13, 57/14, 68/14-др. закон, 112/15, 113/17, 95/18, 86/19, 153/20, 44/21, 118/21</w:t>
      </w:r>
      <w:r>
        <w:rPr>
          <w:rFonts w:eastAsia="Times New Roman" w:cs="Times New Roman"/>
          <w:kern w:val="36"/>
          <w:sz w:val="16"/>
          <w:szCs w:val="16"/>
          <w:lang w:val="sr-Cyrl-RS"/>
        </w:rPr>
        <w:t xml:space="preserve"> и 138/22</w:t>
      </w:r>
      <w:r w:rsidRPr="006944C5">
        <w:rPr>
          <w:rFonts w:eastAsia="Times New Roman" w:cs="Times New Roman"/>
          <w:kern w:val="36"/>
          <w:sz w:val="16"/>
          <w:szCs w:val="16"/>
          <w:lang w:val="sr-Cyrl-RS"/>
        </w:rPr>
        <w:t xml:space="preserve">), </w:t>
      </w:r>
      <w:r w:rsidRPr="006944C5">
        <w:rPr>
          <w:rFonts w:eastAsia="Times New Roman" w:cs="Times New Roman"/>
          <w:sz w:val="16"/>
          <w:szCs w:val="16"/>
          <w:lang w:val="sr-Cyrl-RS"/>
        </w:rPr>
        <w:t>члан 44.</w:t>
      </w:r>
    </w:p>
  </w:footnote>
  <w:footnote w:id="207">
    <w:p w14:paraId="0F10F6B9" w14:textId="55609CE1"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Закон о з</w:t>
      </w:r>
      <w:r>
        <w:rPr>
          <w:rFonts w:ascii="Times New Roman" w:hAnsi="Times New Roman" w:cs="Times New Roman"/>
          <w:color w:val="auto"/>
          <w:sz w:val="16"/>
          <w:szCs w:val="16"/>
          <w:lang w:val="sr-Cyrl-RS"/>
        </w:rPr>
        <w:t>дравственом осигурању</w:t>
      </w:r>
      <w:r w:rsidRPr="006944C5">
        <w:rPr>
          <w:rFonts w:ascii="Times New Roman" w:hAnsi="Times New Roman" w:cs="Times New Roman"/>
          <w:color w:val="auto"/>
          <w:sz w:val="16"/>
          <w:szCs w:val="16"/>
          <w:lang w:val="sr-Cyrl-RS"/>
        </w:rPr>
        <w:t>, члан 72.</w:t>
      </w:r>
    </w:p>
  </w:footnote>
  <w:footnote w:id="208">
    <w:p w14:paraId="18D5D600"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sz w:val="16"/>
          <w:szCs w:val="16"/>
        </w:rPr>
        <w:t>Извор</w:t>
      </w:r>
      <w:r w:rsidRPr="006944C5">
        <w:rPr>
          <w:rFonts w:ascii="Times New Roman" w:hAnsi="Times New Roman" w:cs="Times New Roman"/>
          <w:color w:val="auto"/>
          <w:sz w:val="16"/>
          <w:szCs w:val="16"/>
          <w:lang w:val="sr-Cyrl-RS"/>
        </w:rPr>
        <w:t>: Републички фонд за здравствено осигурање</w:t>
      </w:r>
    </w:p>
  </w:footnote>
  <w:footnote w:id="209">
    <w:p w14:paraId="5E7F79B7" w14:textId="77777777" w:rsidR="008F5C3A" w:rsidRPr="006944C5" w:rsidRDefault="008F5C3A" w:rsidP="00E44EF2">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 xml:space="preserve">Извор: Министарство финансија, Макроекономски и фискални подаци, </w:t>
      </w:r>
      <w:hyperlink r:id="rId105" w:history="1">
        <w:r w:rsidRPr="006944C5">
          <w:rPr>
            <w:rStyle w:val="Hyperlink"/>
            <w:rFonts w:ascii="Times New Roman" w:hAnsi="Times New Roman" w:cs="Times New Roman"/>
            <w:sz w:val="16"/>
            <w:szCs w:val="16"/>
            <w:lang w:val="sr-Cyrl-RS"/>
          </w:rPr>
          <w:t>https://www.mfin.gov.rs/dokumenti2/makroekonomski-i-fiskalni-podaci</w:t>
        </w:r>
      </w:hyperlink>
      <w:r w:rsidRPr="006944C5">
        <w:rPr>
          <w:rFonts w:ascii="Times New Roman" w:hAnsi="Times New Roman" w:cs="Times New Roman"/>
          <w:sz w:val="16"/>
          <w:szCs w:val="16"/>
          <w:lang w:val="sr-Cyrl-RS"/>
        </w:rPr>
        <w:t xml:space="preserve"> </w:t>
      </w:r>
    </w:p>
  </w:footnote>
  <w:footnote w:id="210">
    <w:p w14:paraId="5B6D58C4" w14:textId="77777777" w:rsidR="008F5C3A" w:rsidRPr="006944C5" w:rsidRDefault="008F5C3A" w:rsidP="00E44EF2">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 xml:space="preserve">Извор: Светска банка, Health Nutrition and Population Statistics </w:t>
      </w:r>
      <w:hyperlink r:id="rId106" w:history="1">
        <w:r w:rsidRPr="006944C5">
          <w:rPr>
            <w:rStyle w:val="Hyperlink"/>
            <w:rFonts w:ascii="Times New Roman" w:hAnsi="Times New Roman" w:cs="Times New Roman"/>
            <w:sz w:val="16"/>
            <w:szCs w:val="16"/>
            <w:lang w:val="sr-Cyrl-RS"/>
          </w:rPr>
          <w:t>https://databank.worldbank.org/source/health-nutrition-and-population-statistics</w:t>
        </w:r>
      </w:hyperlink>
      <w:r w:rsidRPr="006944C5">
        <w:rPr>
          <w:rFonts w:ascii="Times New Roman" w:hAnsi="Times New Roman" w:cs="Times New Roman"/>
          <w:sz w:val="16"/>
          <w:szCs w:val="16"/>
          <w:lang w:val="sr-Cyrl-RS"/>
        </w:rPr>
        <w:t xml:space="preserve"> </w:t>
      </w:r>
    </w:p>
  </w:footnote>
  <w:footnote w:id="211">
    <w:p w14:paraId="0CF337A4" w14:textId="766F3A0D"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lang w:val="sr-Cyrl-RS"/>
        </w:rPr>
        <w:footnoteRef/>
      </w:r>
      <w:r w:rsidRPr="006944C5">
        <w:rPr>
          <w:rFonts w:ascii="Times New Roman" w:hAnsi="Times New Roman" w:cs="Times New Roman"/>
          <w:color w:val="auto"/>
          <w:sz w:val="16"/>
          <w:szCs w:val="16"/>
          <w:lang w:val="sr-Cyrl-RS"/>
        </w:rPr>
        <w:t xml:space="preserve"> </w:t>
      </w:r>
      <w:r w:rsidRPr="006944C5">
        <w:rPr>
          <w:rFonts w:ascii="Times New Roman" w:hAnsi="Times New Roman" w:cs="Times New Roman"/>
          <w:sz w:val="16"/>
          <w:szCs w:val="16"/>
        </w:rPr>
        <w:t>Уредба</w:t>
      </w:r>
      <w:r w:rsidRPr="006944C5">
        <w:rPr>
          <w:rFonts w:ascii="Times New Roman" w:hAnsi="Times New Roman" w:cs="Times New Roman"/>
          <w:color w:val="auto"/>
          <w:kern w:val="36"/>
          <w:sz w:val="16"/>
          <w:szCs w:val="16"/>
          <w:lang w:val="sr-Cyrl-RS"/>
        </w:rPr>
        <w:t xml:space="preserve"> о Плану мреже здравствених установа </w:t>
      </w:r>
      <w:r>
        <w:rPr>
          <w:rFonts w:ascii="Times New Roman" w:hAnsi="Times New Roman" w:cs="Times New Roman"/>
          <w:color w:val="auto"/>
          <w:sz w:val="16"/>
          <w:szCs w:val="16"/>
          <w:lang w:val="sr-Cyrl-RS"/>
        </w:rPr>
        <w:t>(„Службени</w:t>
      </w:r>
      <w:r w:rsidRPr="006944C5">
        <w:rPr>
          <w:rFonts w:ascii="Times New Roman" w:hAnsi="Times New Roman" w:cs="Times New Roman"/>
          <w:color w:val="auto"/>
          <w:sz w:val="16"/>
          <w:szCs w:val="16"/>
          <w:lang w:val="sr-Cyrl-RS"/>
        </w:rPr>
        <w:t xml:space="preserve">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lang w:val="en-US"/>
        </w:rPr>
        <w:t>,</w:t>
      </w:r>
      <w:r w:rsidRPr="006944C5">
        <w:rPr>
          <w:rFonts w:ascii="Times New Roman" w:hAnsi="Times New Roman" w:cs="Times New Roman"/>
          <w:color w:val="auto"/>
          <w:sz w:val="16"/>
          <w:szCs w:val="16"/>
          <w:lang w:val="sr-Cyrl-RS"/>
        </w:rPr>
        <w:t xml:space="preserve"> бр. </w:t>
      </w:r>
      <w:hyperlink r:id="rId107" w:tooltip="Уредба о Плану мреже здравствених установа (22/01/2020)" w:history="1">
        <w:r w:rsidRPr="006944C5">
          <w:rPr>
            <w:rFonts w:ascii="Times New Roman" w:hAnsi="Times New Roman" w:cs="Times New Roman"/>
            <w:color w:val="auto"/>
            <w:sz w:val="16"/>
            <w:szCs w:val="16"/>
            <w:lang w:val="sr-Cyrl-RS"/>
          </w:rPr>
          <w:t>5/20</w:t>
        </w:r>
      </w:hyperlink>
      <w:r w:rsidRPr="006944C5">
        <w:rPr>
          <w:rFonts w:ascii="Times New Roman" w:hAnsi="Times New Roman" w:cs="Times New Roman"/>
          <w:color w:val="auto"/>
          <w:sz w:val="16"/>
          <w:szCs w:val="16"/>
          <w:lang w:val="sr-Cyrl-RS"/>
        </w:rPr>
        <w:t xml:space="preserve">, </w:t>
      </w:r>
      <w:hyperlink r:id="rId108" w:tooltip="Уредба о допуни Уредбе о Плану мреже здравствених установа (07/02/2020)" w:history="1">
        <w:r w:rsidRPr="006944C5">
          <w:rPr>
            <w:rFonts w:ascii="Times New Roman" w:hAnsi="Times New Roman" w:cs="Times New Roman"/>
            <w:color w:val="auto"/>
            <w:sz w:val="16"/>
            <w:szCs w:val="16"/>
            <w:lang w:val="sr-Cyrl-RS"/>
          </w:rPr>
          <w:t>11/20</w:t>
        </w:r>
      </w:hyperlink>
      <w:r w:rsidRPr="006944C5">
        <w:rPr>
          <w:rFonts w:ascii="Times New Roman" w:hAnsi="Times New Roman" w:cs="Times New Roman"/>
          <w:color w:val="auto"/>
          <w:sz w:val="16"/>
          <w:szCs w:val="16"/>
          <w:lang w:val="sr-Cyrl-RS"/>
        </w:rPr>
        <w:t xml:space="preserve">, </w:t>
      </w:r>
      <w:hyperlink r:id="rId109" w:tooltip="Уредба о измени Уредбе о Плану мреже здравствених установа (07/04/2020)" w:history="1">
        <w:r w:rsidRPr="006944C5">
          <w:rPr>
            <w:rFonts w:ascii="Times New Roman" w:hAnsi="Times New Roman" w:cs="Times New Roman"/>
            <w:color w:val="auto"/>
            <w:sz w:val="16"/>
            <w:szCs w:val="16"/>
            <w:lang w:val="sr-Cyrl-RS"/>
          </w:rPr>
          <w:t>52/20</w:t>
        </w:r>
      </w:hyperlink>
      <w:r w:rsidRPr="006944C5">
        <w:rPr>
          <w:rFonts w:ascii="Times New Roman" w:hAnsi="Times New Roman" w:cs="Times New Roman"/>
          <w:color w:val="auto"/>
          <w:sz w:val="16"/>
          <w:szCs w:val="16"/>
          <w:lang w:val="sr-Cyrl-RS"/>
        </w:rPr>
        <w:t xml:space="preserve">, </w:t>
      </w:r>
      <w:hyperlink r:id="rId110" w:tooltip="Уредба о изменама Уредбе о Плану мреже здравствених установа (22/06/2020)" w:history="1">
        <w:r w:rsidRPr="006944C5">
          <w:rPr>
            <w:rFonts w:ascii="Times New Roman" w:hAnsi="Times New Roman" w:cs="Times New Roman"/>
            <w:color w:val="auto"/>
            <w:sz w:val="16"/>
            <w:szCs w:val="16"/>
            <w:lang w:val="sr-Cyrl-RS"/>
          </w:rPr>
          <w:t>88/20</w:t>
        </w:r>
      </w:hyperlink>
      <w:r w:rsidRPr="006944C5">
        <w:rPr>
          <w:rFonts w:ascii="Times New Roman" w:hAnsi="Times New Roman" w:cs="Times New Roman"/>
          <w:color w:val="auto"/>
          <w:sz w:val="16"/>
          <w:szCs w:val="16"/>
          <w:lang w:val="sr-Cyrl-RS"/>
        </w:rPr>
        <w:t xml:space="preserve">, </w:t>
      </w:r>
      <w:hyperlink r:id="rId111" w:tooltip="Уредба о измени и допуни Уредбе о Плану мреже здравствених установа (17/06/2021)" w:history="1">
        <w:r w:rsidRPr="006944C5">
          <w:rPr>
            <w:rFonts w:ascii="Times New Roman" w:hAnsi="Times New Roman" w:cs="Times New Roman"/>
            <w:color w:val="auto"/>
            <w:sz w:val="16"/>
            <w:szCs w:val="16"/>
            <w:lang w:val="sr-Cyrl-RS"/>
          </w:rPr>
          <w:t>62/21</w:t>
        </w:r>
      </w:hyperlink>
      <w:r w:rsidRPr="006944C5">
        <w:rPr>
          <w:rFonts w:ascii="Times New Roman" w:hAnsi="Times New Roman" w:cs="Times New Roman"/>
          <w:color w:val="auto"/>
          <w:sz w:val="16"/>
          <w:szCs w:val="16"/>
          <w:lang w:val="sr-Cyrl-RS"/>
        </w:rPr>
        <w:t xml:space="preserve">, </w:t>
      </w:r>
      <w:hyperlink r:id="rId112" w:tooltip="Уредба о измени и допуни Уредбе о Плану мреже здравствених установа (09/07/2021)" w:history="1">
        <w:r w:rsidRPr="006944C5">
          <w:rPr>
            <w:rFonts w:ascii="Times New Roman" w:hAnsi="Times New Roman" w:cs="Times New Roman"/>
            <w:color w:val="auto"/>
            <w:sz w:val="16"/>
            <w:szCs w:val="16"/>
            <w:lang w:val="sr-Cyrl-RS"/>
          </w:rPr>
          <w:t>69/21</w:t>
        </w:r>
      </w:hyperlink>
      <w:r w:rsidRPr="006944C5">
        <w:rPr>
          <w:rFonts w:ascii="Times New Roman" w:hAnsi="Times New Roman" w:cs="Times New Roman"/>
          <w:color w:val="auto"/>
          <w:sz w:val="16"/>
          <w:szCs w:val="16"/>
          <w:lang w:val="sr-Cyrl-RS"/>
        </w:rPr>
        <w:t xml:space="preserve">, </w:t>
      </w:r>
      <w:hyperlink r:id="rId113" w:tooltip="Уредба о изменама Уредбе о Плану мреже здравствених установа (23/07/2021)" w:history="1">
        <w:r w:rsidRPr="006944C5">
          <w:rPr>
            <w:rFonts w:ascii="Times New Roman" w:hAnsi="Times New Roman" w:cs="Times New Roman"/>
            <w:color w:val="auto"/>
            <w:sz w:val="16"/>
            <w:szCs w:val="16"/>
            <w:lang w:val="sr-Cyrl-RS"/>
          </w:rPr>
          <w:t>74/21</w:t>
        </w:r>
      </w:hyperlink>
      <w:r>
        <w:rPr>
          <w:rFonts w:ascii="Times New Roman" w:hAnsi="Times New Roman" w:cs="Times New Roman"/>
          <w:color w:val="auto"/>
          <w:sz w:val="16"/>
          <w:szCs w:val="16"/>
          <w:lang w:val="sr-Cyrl-RS"/>
        </w:rPr>
        <w:t xml:space="preserve"> и</w:t>
      </w:r>
      <w:r w:rsidRPr="006944C5">
        <w:rPr>
          <w:rFonts w:ascii="Times New Roman" w:hAnsi="Times New Roman" w:cs="Times New Roman"/>
          <w:color w:val="auto"/>
          <w:sz w:val="16"/>
          <w:szCs w:val="16"/>
          <w:lang w:val="sr-Cyrl-RS"/>
        </w:rPr>
        <w:t xml:space="preserve"> </w:t>
      </w:r>
      <w:hyperlink r:id="rId114" w:tooltip="Уредба о изменама Уредбе о Плану мреже здравствених установа (01/10/2021)" w:history="1">
        <w:r w:rsidRPr="006944C5">
          <w:rPr>
            <w:rFonts w:ascii="Times New Roman" w:hAnsi="Times New Roman" w:cs="Times New Roman"/>
            <w:color w:val="auto"/>
            <w:sz w:val="16"/>
            <w:szCs w:val="16"/>
            <w:lang w:val="sr-Cyrl-RS"/>
          </w:rPr>
          <w:t>95/21</w:t>
        </w:r>
      </w:hyperlink>
      <w:r w:rsidRPr="006944C5">
        <w:rPr>
          <w:rFonts w:ascii="Times New Roman" w:hAnsi="Times New Roman" w:cs="Times New Roman"/>
          <w:color w:val="auto"/>
          <w:sz w:val="16"/>
          <w:szCs w:val="16"/>
          <w:lang w:val="sr-Cyrl-RS"/>
        </w:rPr>
        <w:t>)</w:t>
      </w:r>
    </w:p>
  </w:footnote>
  <w:footnote w:id="212">
    <w:p w14:paraId="69AA3949"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lang w:val="sr-Cyrl-RS"/>
        </w:rPr>
        <w:footnoteRef/>
      </w:r>
      <w:r w:rsidRPr="006944C5">
        <w:rPr>
          <w:rFonts w:ascii="Times New Roman" w:hAnsi="Times New Roman" w:cs="Times New Roman"/>
          <w:color w:val="auto"/>
          <w:sz w:val="16"/>
          <w:szCs w:val="16"/>
          <w:lang w:val="sr-Cyrl-RS"/>
        </w:rPr>
        <w:t xml:space="preserve"> На примарном нивоу здравствену заштиту обезбеђују домови здравља (158), апотеке (</w:t>
      </w:r>
      <w:r w:rsidRPr="006944C5">
        <w:rPr>
          <w:rFonts w:ascii="Times New Roman" w:hAnsi="Times New Roman" w:cs="Times New Roman"/>
          <w:color w:val="auto"/>
          <w:sz w:val="16"/>
          <w:szCs w:val="16"/>
        </w:rPr>
        <w:t>27</w:t>
      </w:r>
      <w:r w:rsidRPr="006944C5">
        <w:rPr>
          <w:rFonts w:ascii="Times New Roman" w:hAnsi="Times New Roman" w:cs="Times New Roman"/>
          <w:color w:val="auto"/>
          <w:sz w:val="16"/>
          <w:szCs w:val="16"/>
          <w:lang w:val="sr-Cyrl-RS"/>
        </w:rPr>
        <w:t>) и заводи (22); на секундарном нивоу опште (30) и специјалне болнице (33); на терцијарном нивоу клиничко-болнички центри (4), клинике (7), клинички центри (4) и институти (16). На више нивоа здравствену заштиту обезбеђују институти/заводи</w:t>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за јавно здравље (24).</w:t>
      </w:r>
    </w:p>
  </w:footnote>
  <w:footnote w:id="213">
    <w:p w14:paraId="426493E4"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Извор: Институт за јавно здравље Србије ,,Др Милан Јовановић –Батут”, Здравствено-статистички годишњак Републике Србије 2021.</w:t>
      </w:r>
    </w:p>
  </w:footnote>
  <w:footnote w:id="214">
    <w:p w14:paraId="278A5AA9"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lang w:val="sr-Cyrl-RS"/>
        </w:rPr>
        <w:footnoteRef/>
      </w:r>
      <w:r w:rsidRPr="006944C5">
        <w:rPr>
          <w:rFonts w:ascii="Times New Roman" w:hAnsi="Times New Roman" w:cs="Times New Roman"/>
          <w:color w:val="auto"/>
          <w:sz w:val="16"/>
          <w:szCs w:val="16"/>
          <w:lang w:val="sr-Cyrl-RS"/>
        </w:rPr>
        <w:t xml:space="preserve"> У овај број укључене су и дневне болнице (2.135 постеља), дијализа и неонатологија.</w:t>
      </w:r>
    </w:p>
  </w:footnote>
  <w:footnote w:id="215">
    <w:p w14:paraId="01C4CE27" w14:textId="4FBAB875" w:rsidR="008F5C3A" w:rsidRPr="004D77C4" w:rsidRDefault="008F5C3A" w:rsidP="00E44EF2">
      <w:pPr>
        <w:pStyle w:val="FootnoteText"/>
        <w:spacing w:after="0"/>
        <w:ind w:firstLine="0"/>
        <w:rPr>
          <w:rFonts w:cs="Times New Roman"/>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Извор: Стручни рад „Неки аспекти развоја здравственог система Србије и Јапана</w:t>
      </w:r>
      <w:r w:rsidRPr="003C1DFF">
        <w:rPr>
          <w:rFonts w:ascii="Times New Roman" w:hAnsi="Times New Roman" w:cs="Times New Roman"/>
          <w:sz w:val="16"/>
          <w:szCs w:val="16"/>
          <w:lang w:val="sr-Cyrl-RS"/>
        </w:rPr>
        <w:t>”</w:t>
      </w:r>
      <w:r w:rsidRPr="006944C5">
        <w:rPr>
          <w:rFonts w:ascii="Times New Roman" w:hAnsi="Times New Roman" w:cs="Times New Roman"/>
          <w:color w:val="auto"/>
          <w:sz w:val="16"/>
          <w:szCs w:val="16"/>
          <w:lang w:val="sr-Cyrl-RS"/>
        </w:rPr>
        <w:t>, В.</w:t>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 xml:space="preserve">Радивојевић, С. Весић </w:t>
      </w:r>
      <w:hyperlink r:id="rId115" w:history="1">
        <w:r w:rsidRPr="006944C5">
          <w:rPr>
            <w:rStyle w:val="Hyperlink"/>
            <w:rFonts w:ascii="Times New Roman" w:hAnsi="Times New Roman" w:cs="Times New Roman"/>
            <w:sz w:val="16"/>
            <w:szCs w:val="16"/>
          </w:rPr>
          <w:t>http://www.dunp.np.ac.rs/eng/wp-content/uploads/2022/publikacije/serija-b/2020vol3/br2/8.pdf</w:t>
        </w:r>
      </w:hyperlink>
      <w:r>
        <w:rPr>
          <w:rFonts w:cs="Times New Roman"/>
          <w:szCs w:val="16"/>
          <w:lang w:val="sr-Cyrl-RS"/>
        </w:rPr>
        <w:t xml:space="preserve"> </w:t>
      </w:r>
    </w:p>
  </w:footnote>
  <w:footnote w:id="216">
    <w:p w14:paraId="76256FF4" w14:textId="77777777" w:rsidR="008F5C3A" w:rsidRPr="0092798F" w:rsidRDefault="008F5C3A" w:rsidP="00E44EF2">
      <w:pPr>
        <w:pStyle w:val="FootnoteText"/>
        <w:spacing w:after="0"/>
        <w:ind w:firstLine="0"/>
        <w:rPr>
          <w:rFonts w:ascii="Times New Roman" w:hAnsi="Times New Roman" w:cs="Times New Roman"/>
          <w:sz w:val="16"/>
          <w:szCs w:val="16"/>
          <w:lang w:val="sr-Cyrl-RS"/>
        </w:rPr>
      </w:pPr>
      <w:r w:rsidRPr="0092798F">
        <w:rPr>
          <w:rStyle w:val="FootnoteReference"/>
          <w:rFonts w:ascii="Times New Roman" w:hAnsi="Times New Roman" w:cs="Times New Roman"/>
          <w:sz w:val="16"/>
          <w:szCs w:val="16"/>
        </w:rPr>
        <w:footnoteRef/>
      </w:r>
      <w:r w:rsidRPr="0092798F">
        <w:rPr>
          <w:rFonts w:ascii="Times New Roman" w:hAnsi="Times New Roman" w:cs="Times New Roman"/>
          <w:sz w:val="16"/>
          <w:szCs w:val="16"/>
        </w:rPr>
        <w:t xml:space="preserve"> </w:t>
      </w:r>
      <w:hyperlink r:id="rId116" w:history="1">
        <w:r w:rsidRPr="0092798F">
          <w:rPr>
            <w:rStyle w:val="Hyperlink"/>
            <w:rFonts w:ascii="Times New Roman" w:hAnsi="Times New Roman" w:cs="Times New Roman"/>
            <w:sz w:val="16"/>
            <w:szCs w:val="16"/>
          </w:rPr>
          <w:t>https://www.rfzo.rs/index.php/davaocizdrusluga/ugovaranje-dzu</w:t>
        </w:r>
      </w:hyperlink>
    </w:p>
  </w:footnote>
  <w:footnote w:id="217">
    <w:p w14:paraId="1544CFEB" w14:textId="77777777" w:rsidR="008F5C3A" w:rsidRPr="0092798F" w:rsidRDefault="008F5C3A" w:rsidP="00E44EF2">
      <w:pPr>
        <w:pStyle w:val="FootnoteText"/>
        <w:spacing w:after="0"/>
        <w:ind w:firstLine="0"/>
        <w:rPr>
          <w:rFonts w:ascii="Times New Roman" w:hAnsi="Times New Roman" w:cs="Times New Roman"/>
          <w:color w:val="auto"/>
          <w:sz w:val="16"/>
          <w:szCs w:val="16"/>
          <w:lang w:val="sr-Cyrl-RS"/>
        </w:rPr>
      </w:pPr>
      <w:r w:rsidRPr="0092798F">
        <w:rPr>
          <w:rStyle w:val="FootnoteReference"/>
          <w:rFonts w:ascii="Times New Roman" w:hAnsi="Times New Roman" w:cs="Times New Roman"/>
          <w:color w:val="auto"/>
          <w:sz w:val="16"/>
          <w:szCs w:val="16"/>
        </w:rPr>
        <w:footnoteRef/>
      </w:r>
      <w:r w:rsidRPr="0092798F">
        <w:rPr>
          <w:rFonts w:ascii="Times New Roman" w:hAnsi="Times New Roman" w:cs="Times New Roman"/>
          <w:color w:val="auto"/>
          <w:sz w:val="16"/>
          <w:szCs w:val="16"/>
        </w:rPr>
        <w:t xml:space="preserve"> </w:t>
      </w:r>
      <w:r w:rsidRPr="0092798F">
        <w:rPr>
          <w:rFonts w:ascii="Times New Roman" w:hAnsi="Times New Roman" w:cs="Times New Roman"/>
          <w:color w:val="auto"/>
          <w:sz w:val="16"/>
          <w:szCs w:val="16"/>
          <w:lang w:val="sr-Cyrl-RS"/>
        </w:rPr>
        <w:t xml:space="preserve">Извор: </w:t>
      </w:r>
      <w:r w:rsidRPr="0092798F">
        <w:rPr>
          <w:rFonts w:ascii="Times New Roman" w:hAnsi="Times New Roman" w:cs="Times New Roman"/>
          <w:color w:val="auto"/>
          <w:sz w:val="16"/>
          <w:szCs w:val="16"/>
        </w:rPr>
        <w:t>UNICEF</w:t>
      </w:r>
      <w:r w:rsidRPr="0092798F">
        <w:rPr>
          <w:rFonts w:ascii="Times New Roman" w:hAnsi="Times New Roman" w:cs="Times New Roman"/>
          <w:color w:val="auto"/>
          <w:sz w:val="16"/>
          <w:szCs w:val="16"/>
          <w:lang w:val="sr-Cyrl-RS"/>
        </w:rPr>
        <w:t>, Изградња људског капитала за дугорочни просперитет</w:t>
      </w:r>
    </w:p>
  </w:footnote>
  <w:footnote w:id="218">
    <w:p w14:paraId="0BE9208C" w14:textId="77777777" w:rsidR="008F5C3A" w:rsidRPr="0092798F" w:rsidRDefault="008F5C3A" w:rsidP="00E44EF2">
      <w:pPr>
        <w:pStyle w:val="FootnoteText"/>
        <w:spacing w:after="0"/>
        <w:ind w:firstLine="0"/>
        <w:rPr>
          <w:rFonts w:ascii="Times New Roman" w:hAnsi="Times New Roman" w:cs="Times New Roman"/>
          <w:color w:val="auto"/>
          <w:sz w:val="16"/>
          <w:szCs w:val="16"/>
          <w:lang w:val="sr-Cyrl-RS"/>
        </w:rPr>
      </w:pPr>
      <w:r w:rsidRPr="0092798F">
        <w:rPr>
          <w:rStyle w:val="FootnoteReference"/>
          <w:rFonts w:ascii="Times New Roman" w:hAnsi="Times New Roman" w:cs="Times New Roman"/>
          <w:color w:val="auto"/>
          <w:sz w:val="16"/>
          <w:szCs w:val="16"/>
          <w:lang w:val="sr-Cyrl-RS"/>
        </w:rPr>
        <w:footnoteRef/>
      </w:r>
      <w:r w:rsidRPr="0092798F">
        <w:rPr>
          <w:rFonts w:ascii="Times New Roman" w:hAnsi="Times New Roman" w:cs="Times New Roman"/>
          <w:color w:val="auto"/>
          <w:sz w:val="16"/>
          <w:szCs w:val="16"/>
          <w:lang w:val="sr-Cyrl-RS"/>
        </w:rPr>
        <w:t xml:space="preserve"> Нова кула Клиничког центра Србије простире се на 86.000 m</w:t>
      </w:r>
      <w:r w:rsidRPr="00815ACD">
        <w:rPr>
          <w:rFonts w:ascii="Times New Roman" w:hAnsi="Times New Roman" w:cs="Times New Roman"/>
          <w:color w:val="auto"/>
          <w:sz w:val="16"/>
          <w:szCs w:val="16"/>
          <w:vertAlign w:val="superscript"/>
          <w:lang w:val="sr-Cyrl-RS"/>
        </w:rPr>
        <w:t>2</w:t>
      </w:r>
      <w:r w:rsidRPr="0092798F">
        <w:rPr>
          <w:rFonts w:ascii="Times New Roman" w:hAnsi="Times New Roman" w:cs="Times New Roman"/>
          <w:color w:val="auto"/>
          <w:sz w:val="16"/>
          <w:szCs w:val="16"/>
          <w:lang w:val="sr-Cyrl-RS"/>
        </w:rPr>
        <w:t xml:space="preserve"> и има укупно 825 болничких кревета (231 кревет на јединици интензивне неге, 547 кревета на јединици полуинтензивног лечења и 47 кревета у болници за дневно лечење). Oпремљена је и са три магнетне резонанце, шест скенера и 12 рендген апарата. </w:t>
      </w:r>
    </w:p>
  </w:footnote>
  <w:footnote w:id="219">
    <w:p w14:paraId="09925ADA" w14:textId="77777777" w:rsidR="008F5C3A" w:rsidRPr="0092798F" w:rsidRDefault="008F5C3A" w:rsidP="00E44EF2">
      <w:pPr>
        <w:pStyle w:val="FootnoteText"/>
        <w:spacing w:after="0"/>
        <w:ind w:firstLine="0"/>
        <w:rPr>
          <w:rFonts w:ascii="Times New Roman" w:hAnsi="Times New Roman" w:cs="Times New Roman"/>
          <w:color w:val="auto"/>
          <w:sz w:val="16"/>
          <w:szCs w:val="16"/>
          <w:lang w:val="sr-Cyrl-RS"/>
        </w:rPr>
      </w:pPr>
      <w:r w:rsidRPr="0092798F">
        <w:rPr>
          <w:rStyle w:val="FootnoteReference"/>
          <w:rFonts w:ascii="Times New Roman" w:hAnsi="Times New Roman" w:cs="Times New Roman"/>
          <w:color w:val="auto"/>
          <w:sz w:val="16"/>
          <w:szCs w:val="16"/>
        </w:rPr>
        <w:footnoteRef/>
      </w:r>
      <w:r w:rsidRPr="0092798F">
        <w:rPr>
          <w:rFonts w:ascii="Times New Roman" w:hAnsi="Times New Roman" w:cs="Times New Roman"/>
          <w:color w:val="auto"/>
          <w:sz w:val="16"/>
          <w:szCs w:val="16"/>
          <w:lang w:val="sr-Cyrl-RS"/>
        </w:rPr>
        <w:t xml:space="preserve"> Извор: </w:t>
      </w:r>
      <w:hyperlink r:id="rId117" w:history="1">
        <w:r w:rsidRPr="0092798F">
          <w:rPr>
            <w:rStyle w:val="Hyperlink"/>
            <w:rFonts w:ascii="Times New Roman" w:eastAsia="MS PGothic" w:hAnsi="Times New Roman" w:cs="Times New Roman"/>
            <w:sz w:val="16"/>
            <w:szCs w:val="16"/>
          </w:rPr>
          <w:t>https</w:t>
        </w:r>
        <w:r w:rsidRPr="0092798F">
          <w:rPr>
            <w:rStyle w:val="Hyperlink"/>
            <w:rFonts w:ascii="Times New Roman" w:eastAsia="MS PGothic" w:hAnsi="Times New Roman" w:cs="Times New Roman"/>
            <w:sz w:val="16"/>
            <w:szCs w:val="16"/>
            <w:lang w:val="sr-Cyrl-RS"/>
          </w:rPr>
          <w:t>://</w:t>
        </w:r>
        <w:r w:rsidRPr="0092798F">
          <w:rPr>
            <w:rStyle w:val="Hyperlink"/>
            <w:rFonts w:ascii="Times New Roman" w:eastAsia="MS PGothic" w:hAnsi="Times New Roman" w:cs="Times New Roman"/>
            <w:sz w:val="16"/>
            <w:szCs w:val="16"/>
          </w:rPr>
          <w:t>www</w:t>
        </w:r>
        <w:r w:rsidRPr="0092798F">
          <w:rPr>
            <w:rStyle w:val="Hyperlink"/>
            <w:rFonts w:ascii="Times New Roman" w:eastAsia="MS PGothic" w:hAnsi="Times New Roman" w:cs="Times New Roman"/>
            <w:sz w:val="16"/>
            <w:szCs w:val="16"/>
            <w:lang w:val="sr-Cyrl-RS"/>
          </w:rPr>
          <w:t>.</w:t>
        </w:r>
        <w:r w:rsidRPr="0092798F">
          <w:rPr>
            <w:rStyle w:val="Hyperlink"/>
            <w:rFonts w:ascii="Times New Roman" w:eastAsia="MS PGothic" w:hAnsi="Times New Roman" w:cs="Times New Roman"/>
            <w:sz w:val="16"/>
            <w:szCs w:val="16"/>
            <w:lang w:val="sr-Latn-RS"/>
          </w:rPr>
          <w:t>rfzo.rs/index.php/osiguranalica/listecekanja/lc-dnevni-presek</w:t>
        </w:r>
        <w:r w:rsidRPr="0092798F">
          <w:rPr>
            <w:rStyle w:val="Hyperlink"/>
            <w:rFonts w:ascii="Times New Roman" w:eastAsia="MS PGothic" w:hAnsi="Times New Roman" w:cs="Times New Roman"/>
            <w:sz w:val="16"/>
            <w:szCs w:val="16"/>
            <w:lang w:val="sr-Cyrl-RS"/>
          </w:rPr>
          <w:t xml:space="preserve"> /</w:t>
        </w:r>
      </w:hyperlink>
      <w:r w:rsidRPr="0092798F">
        <w:rPr>
          <w:rFonts w:ascii="Times New Roman" w:eastAsia="MS PGothic" w:hAnsi="Times New Roman" w:cs="Times New Roman"/>
          <w:sz w:val="16"/>
          <w:szCs w:val="16"/>
          <w:lang w:val="sr-Cyrl-RS"/>
        </w:rPr>
        <w:t xml:space="preserve"> подаци закључно са 25</w:t>
      </w:r>
      <w:r w:rsidRPr="0092798F">
        <w:rPr>
          <w:rStyle w:val="Hyperlink"/>
          <w:rFonts w:ascii="Times New Roman" w:eastAsia="MS PGothic" w:hAnsi="Times New Roman" w:cs="Times New Roman"/>
          <w:color w:val="auto"/>
          <w:sz w:val="16"/>
          <w:szCs w:val="16"/>
          <w:u w:val="none"/>
          <w:lang w:val="sr-Cyrl-RS"/>
        </w:rPr>
        <w:t>. октобром 2022.</w:t>
      </w:r>
    </w:p>
  </w:footnote>
  <w:footnote w:id="220">
    <w:p w14:paraId="4EB41551" w14:textId="77777777" w:rsidR="008F5C3A" w:rsidRPr="0092798F" w:rsidRDefault="008F5C3A" w:rsidP="00E44EF2">
      <w:pPr>
        <w:pStyle w:val="FootnoteText"/>
        <w:spacing w:after="0"/>
        <w:ind w:firstLine="0"/>
        <w:rPr>
          <w:rFonts w:ascii="Times New Roman" w:hAnsi="Times New Roman" w:cs="Times New Roman"/>
          <w:sz w:val="16"/>
          <w:szCs w:val="16"/>
          <w:lang w:val="sr-Cyrl-RS"/>
        </w:rPr>
      </w:pPr>
      <w:r w:rsidRPr="0092798F">
        <w:rPr>
          <w:rStyle w:val="FootnoteReference"/>
          <w:rFonts w:ascii="Times New Roman" w:hAnsi="Times New Roman" w:cs="Times New Roman"/>
          <w:sz w:val="16"/>
          <w:szCs w:val="16"/>
        </w:rPr>
        <w:footnoteRef/>
      </w:r>
      <w:r w:rsidRPr="0092798F">
        <w:rPr>
          <w:rFonts w:ascii="Times New Roman" w:hAnsi="Times New Roman" w:cs="Times New Roman"/>
          <w:sz w:val="16"/>
          <w:szCs w:val="16"/>
        </w:rPr>
        <w:t xml:space="preserve"> </w:t>
      </w:r>
      <w:hyperlink r:id="rId118" w:history="1">
        <w:r w:rsidRPr="0092798F">
          <w:rPr>
            <w:rStyle w:val="Hyperlink"/>
            <w:rFonts w:ascii="Times New Roman" w:hAnsi="Times New Roman" w:cs="Times New Roman"/>
            <w:sz w:val="16"/>
            <w:szCs w:val="16"/>
            <w:lang w:val="sr-Cyrl-RS"/>
          </w:rPr>
          <w:t>https://optimizacijazdravstva.rs/izrada-masterplana</w:t>
        </w:r>
      </w:hyperlink>
      <w:r w:rsidRPr="0092798F">
        <w:rPr>
          <w:rFonts w:ascii="Times New Roman" w:hAnsi="Times New Roman" w:cs="Times New Roman"/>
          <w:sz w:val="16"/>
          <w:szCs w:val="16"/>
          <w:lang w:val="sr-Cyrl-R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E6EB78"/>
    <w:lvl w:ilvl="0">
      <w:start w:val="1"/>
      <w:numFmt w:val="bullet"/>
      <w:pStyle w:val="ListBullet1"/>
      <w:lvlText w:val="•"/>
      <w:lvlJc w:val="left"/>
      <w:pPr>
        <w:ind w:left="576" w:hanging="288"/>
      </w:pPr>
      <w:rPr>
        <w:rFonts w:ascii="Cambria" w:hAnsi="Cambria" w:hint="default"/>
        <w:color w:val="5B9BD5" w:themeColor="accent1"/>
      </w:rPr>
    </w:lvl>
  </w:abstractNum>
  <w:abstractNum w:abstractNumId="1" w15:restartNumberingAfterBreak="0">
    <w:nsid w:val="01AC56DA"/>
    <w:multiLevelType w:val="hybridMultilevel"/>
    <w:tmpl w:val="229E81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2" w15:restartNumberingAfterBreak="0">
    <w:nsid w:val="01BD5D5D"/>
    <w:multiLevelType w:val="hybridMultilevel"/>
    <w:tmpl w:val="FC24B3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67F5D"/>
    <w:multiLevelType w:val="hybridMultilevel"/>
    <w:tmpl w:val="E28809B4"/>
    <w:lvl w:ilvl="0" w:tplc="04090001">
      <w:start w:val="1"/>
      <w:numFmt w:val="bullet"/>
      <w:pStyle w:val="ListNumber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036F6C"/>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5" w15:restartNumberingAfterBreak="0">
    <w:nsid w:val="051A6590"/>
    <w:multiLevelType w:val="hybridMultilevel"/>
    <w:tmpl w:val="829E8C34"/>
    <w:lvl w:ilvl="0" w:tplc="25BC08AE">
      <w:start w:val="1"/>
      <w:numFmt w:val="bullet"/>
      <w:lvlText w:val="-"/>
      <w:lvlJc w:val="left"/>
      <w:pPr>
        <w:ind w:left="360" w:hanging="360"/>
      </w:pPr>
      <w:rPr>
        <w:rFonts w:ascii="Verdana" w:hAnsi="Verdana"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401AF9"/>
    <w:multiLevelType w:val="hybridMultilevel"/>
    <w:tmpl w:val="A154AE00"/>
    <w:lvl w:ilvl="0" w:tplc="BFA4663C">
      <w:start w:val="1"/>
      <w:numFmt w:val="bullet"/>
      <w:lvlText w:val="-"/>
      <w:lvlJc w:val="left"/>
      <w:pPr>
        <w:ind w:left="720" w:hanging="360"/>
      </w:pPr>
      <w:rPr>
        <w:rFonts w:ascii="Calibri" w:eastAsia="MS P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D20357"/>
    <w:multiLevelType w:val="hybridMultilevel"/>
    <w:tmpl w:val="A504FF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749B2"/>
    <w:multiLevelType w:val="hybridMultilevel"/>
    <w:tmpl w:val="16C84B2C"/>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BF27F7C"/>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10" w15:restartNumberingAfterBreak="0">
    <w:nsid w:val="0DFA5C74"/>
    <w:multiLevelType w:val="hybridMultilevel"/>
    <w:tmpl w:val="361E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32D2B"/>
    <w:multiLevelType w:val="hybridMultilevel"/>
    <w:tmpl w:val="F0BC093A"/>
    <w:lvl w:ilvl="0" w:tplc="25BC08AE">
      <w:start w:val="1"/>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FD30CF"/>
    <w:multiLevelType w:val="hybridMultilevel"/>
    <w:tmpl w:val="8EA01372"/>
    <w:lvl w:ilvl="0" w:tplc="47FC0E58">
      <w:numFmt w:val="bullet"/>
      <w:lvlText w:val="-"/>
      <w:lvlJc w:val="left"/>
      <w:pPr>
        <w:ind w:left="494" w:hanging="360"/>
      </w:pPr>
      <w:rPr>
        <w:rFonts w:ascii="Times New Roman" w:eastAsia="Times New Roman" w:hAnsi="Times New Roman" w:cs="Times New Roman" w:hint="default"/>
      </w:rPr>
    </w:lvl>
    <w:lvl w:ilvl="1" w:tplc="08090003" w:tentative="1">
      <w:start w:val="1"/>
      <w:numFmt w:val="bullet"/>
      <w:lvlText w:val="o"/>
      <w:lvlJc w:val="left"/>
      <w:pPr>
        <w:ind w:left="1214" w:hanging="360"/>
      </w:pPr>
      <w:rPr>
        <w:rFonts w:ascii="Courier New" w:hAnsi="Courier New" w:cs="Courier New" w:hint="default"/>
      </w:rPr>
    </w:lvl>
    <w:lvl w:ilvl="2" w:tplc="08090005" w:tentative="1">
      <w:start w:val="1"/>
      <w:numFmt w:val="bullet"/>
      <w:lvlText w:val=""/>
      <w:lvlJc w:val="left"/>
      <w:pPr>
        <w:ind w:left="1934" w:hanging="360"/>
      </w:pPr>
      <w:rPr>
        <w:rFonts w:ascii="Wingdings" w:hAnsi="Wingdings" w:hint="default"/>
      </w:rPr>
    </w:lvl>
    <w:lvl w:ilvl="3" w:tplc="08090001" w:tentative="1">
      <w:start w:val="1"/>
      <w:numFmt w:val="bullet"/>
      <w:lvlText w:val=""/>
      <w:lvlJc w:val="left"/>
      <w:pPr>
        <w:ind w:left="2654" w:hanging="360"/>
      </w:pPr>
      <w:rPr>
        <w:rFonts w:ascii="Symbol" w:hAnsi="Symbol" w:hint="default"/>
      </w:rPr>
    </w:lvl>
    <w:lvl w:ilvl="4" w:tplc="08090003" w:tentative="1">
      <w:start w:val="1"/>
      <w:numFmt w:val="bullet"/>
      <w:lvlText w:val="o"/>
      <w:lvlJc w:val="left"/>
      <w:pPr>
        <w:ind w:left="3374" w:hanging="360"/>
      </w:pPr>
      <w:rPr>
        <w:rFonts w:ascii="Courier New" w:hAnsi="Courier New" w:cs="Courier New" w:hint="default"/>
      </w:rPr>
    </w:lvl>
    <w:lvl w:ilvl="5" w:tplc="08090005" w:tentative="1">
      <w:start w:val="1"/>
      <w:numFmt w:val="bullet"/>
      <w:lvlText w:val=""/>
      <w:lvlJc w:val="left"/>
      <w:pPr>
        <w:ind w:left="4094" w:hanging="360"/>
      </w:pPr>
      <w:rPr>
        <w:rFonts w:ascii="Wingdings" w:hAnsi="Wingdings" w:hint="default"/>
      </w:rPr>
    </w:lvl>
    <w:lvl w:ilvl="6" w:tplc="08090001" w:tentative="1">
      <w:start w:val="1"/>
      <w:numFmt w:val="bullet"/>
      <w:lvlText w:val=""/>
      <w:lvlJc w:val="left"/>
      <w:pPr>
        <w:ind w:left="4814" w:hanging="360"/>
      </w:pPr>
      <w:rPr>
        <w:rFonts w:ascii="Symbol" w:hAnsi="Symbol" w:hint="default"/>
      </w:rPr>
    </w:lvl>
    <w:lvl w:ilvl="7" w:tplc="08090003" w:tentative="1">
      <w:start w:val="1"/>
      <w:numFmt w:val="bullet"/>
      <w:lvlText w:val="o"/>
      <w:lvlJc w:val="left"/>
      <w:pPr>
        <w:ind w:left="5534" w:hanging="360"/>
      </w:pPr>
      <w:rPr>
        <w:rFonts w:ascii="Courier New" w:hAnsi="Courier New" w:cs="Courier New" w:hint="default"/>
      </w:rPr>
    </w:lvl>
    <w:lvl w:ilvl="8" w:tplc="08090005" w:tentative="1">
      <w:start w:val="1"/>
      <w:numFmt w:val="bullet"/>
      <w:lvlText w:val=""/>
      <w:lvlJc w:val="left"/>
      <w:pPr>
        <w:ind w:left="6254" w:hanging="360"/>
      </w:pPr>
      <w:rPr>
        <w:rFonts w:ascii="Wingdings" w:hAnsi="Wingdings" w:hint="default"/>
      </w:rPr>
    </w:lvl>
  </w:abstractNum>
  <w:abstractNum w:abstractNumId="13" w15:restartNumberingAfterBreak="0">
    <w:nsid w:val="0F306A02"/>
    <w:multiLevelType w:val="hybridMultilevel"/>
    <w:tmpl w:val="08F631FE"/>
    <w:lvl w:ilvl="0" w:tplc="62F851BC">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02F00BE"/>
    <w:multiLevelType w:val="hybridMultilevel"/>
    <w:tmpl w:val="6E8082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084523C"/>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16" w15:restartNumberingAfterBreak="0">
    <w:nsid w:val="114F2D2B"/>
    <w:multiLevelType w:val="hybridMultilevel"/>
    <w:tmpl w:val="14FE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D52B87"/>
    <w:multiLevelType w:val="hybridMultilevel"/>
    <w:tmpl w:val="4A3C3092"/>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8" w15:restartNumberingAfterBreak="0">
    <w:nsid w:val="12E17545"/>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19" w15:restartNumberingAfterBreak="0">
    <w:nsid w:val="17C648EE"/>
    <w:multiLevelType w:val="hybridMultilevel"/>
    <w:tmpl w:val="1C44CD38"/>
    <w:lvl w:ilvl="0" w:tplc="00A619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EC5A86"/>
    <w:multiLevelType w:val="hybridMultilevel"/>
    <w:tmpl w:val="7F4E5804"/>
    <w:lvl w:ilvl="0" w:tplc="54768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EC1773A"/>
    <w:multiLevelType w:val="multilevel"/>
    <w:tmpl w:val="705C1ACA"/>
    <w:lvl w:ilvl="0">
      <w:start w:val="1"/>
      <w:numFmt w:val="upperRoman"/>
      <w:lvlText w:val="%1."/>
      <w:lvlJc w:val="left"/>
      <w:pPr>
        <w:ind w:left="360" w:hanging="360"/>
      </w:pPr>
      <w:rPr>
        <w:rFonts w:hint="default"/>
      </w:rPr>
    </w:lvl>
    <w:lvl w:ilvl="1">
      <w:start w:val="1"/>
      <w:numFmt w:val="decimal"/>
      <w:pStyle w:val="EFPNaslov2"/>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ECA53C8"/>
    <w:multiLevelType w:val="hybridMultilevel"/>
    <w:tmpl w:val="D01E85EE"/>
    <w:lvl w:ilvl="0" w:tplc="702249F6">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F8C02E7"/>
    <w:multiLevelType w:val="hybridMultilevel"/>
    <w:tmpl w:val="C3146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342A57"/>
    <w:multiLevelType w:val="hybridMultilevel"/>
    <w:tmpl w:val="038210C6"/>
    <w:lvl w:ilvl="0" w:tplc="7DBC23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0871D35"/>
    <w:multiLevelType w:val="hybridMultilevel"/>
    <w:tmpl w:val="86FA9F7E"/>
    <w:lvl w:ilvl="0" w:tplc="241A0005">
      <w:start w:val="1"/>
      <w:numFmt w:val="bullet"/>
      <w:lvlText w:val=""/>
      <w:lvlJc w:val="left"/>
      <w:pPr>
        <w:ind w:left="360" w:hanging="360"/>
      </w:pPr>
      <w:rPr>
        <w:rFonts w:ascii="Wingdings" w:hAnsi="Wingdings" w:hint="default"/>
      </w:rPr>
    </w:lvl>
    <w:lvl w:ilvl="1" w:tplc="25BC08AE">
      <w:start w:val="1"/>
      <w:numFmt w:val="bullet"/>
      <w:lvlText w:val="-"/>
      <w:lvlJc w:val="left"/>
      <w:pPr>
        <w:ind w:left="1080" w:hanging="360"/>
      </w:pPr>
      <w:rPr>
        <w:rFonts w:ascii="Verdana" w:hAnsi="Verdana"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6" w15:restartNumberingAfterBreak="0">
    <w:nsid w:val="20FA5E91"/>
    <w:multiLevelType w:val="hybridMultilevel"/>
    <w:tmpl w:val="5DF4BD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1614544"/>
    <w:multiLevelType w:val="hybridMultilevel"/>
    <w:tmpl w:val="1F5C4E66"/>
    <w:lvl w:ilvl="0" w:tplc="3BCA126A">
      <w:start w:val="1"/>
      <w:numFmt w:val="bullet"/>
      <w:lvlText w:val=""/>
      <w:lvlJc w:val="left"/>
      <w:pPr>
        <w:ind w:left="720" w:hanging="360"/>
      </w:pPr>
      <w:rPr>
        <w:rFonts w:ascii="Symbol" w:hAnsi="Symbol" w:hint="default"/>
        <w:color w:val="auto"/>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B7265C"/>
    <w:multiLevelType w:val="hybridMultilevel"/>
    <w:tmpl w:val="CFD0F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617FD7"/>
    <w:multiLevelType w:val="hybridMultilevel"/>
    <w:tmpl w:val="583C7556"/>
    <w:lvl w:ilvl="0" w:tplc="4E42A08A">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2317BC"/>
    <w:multiLevelType w:val="hybridMultilevel"/>
    <w:tmpl w:val="9190E800"/>
    <w:lvl w:ilvl="0" w:tplc="241A0005">
      <w:start w:val="1"/>
      <w:numFmt w:val="bullet"/>
      <w:lvlText w:val=""/>
      <w:lvlJc w:val="left"/>
      <w:pPr>
        <w:ind w:left="360" w:hanging="360"/>
      </w:pPr>
      <w:rPr>
        <w:rFonts w:ascii="Wingdings" w:hAnsi="Wingdings" w:hint="default"/>
      </w:rPr>
    </w:lvl>
    <w:lvl w:ilvl="1" w:tplc="241A000D">
      <w:start w:val="1"/>
      <w:numFmt w:val="bullet"/>
      <w:lvlText w:val=""/>
      <w:lvlJc w:val="left"/>
      <w:pPr>
        <w:ind w:left="1080" w:hanging="360"/>
      </w:pPr>
      <w:rPr>
        <w:rFonts w:ascii="Wingdings" w:hAnsi="Wingdings"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31" w15:restartNumberingAfterBreak="0">
    <w:nsid w:val="27616F61"/>
    <w:multiLevelType w:val="hybridMultilevel"/>
    <w:tmpl w:val="6D6891A0"/>
    <w:lvl w:ilvl="0" w:tplc="B1A493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8B84BC9"/>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A5B1DAA"/>
    <w:multiLevelType w:val="hybridMultilevel"/>
    <w:tmpl w:val="5920BBDE"/>
    <w:lvl w:ilvl="0" w:tplc="9B323F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656583"/>
    <w:multiLevelType w:val="hybridMultilevel"/>
    <w:tmpl w:val="635C31E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D24792D"/>
    <w:multiLevelType w:val="hybridMultilevel"/>
    <w:tmpl w:val="1D9A1346"/>
    <w:lvl w:ilvl="0" w:tplc="04090011">
      <w:start w:val="1"/>
      <w:numFmt w:val="decimal"/>
      <w:lvlText w:val="%1)"/>
      <w:lvlJc w:val="left"/>
      <w:pPr>
        <w:ind w:left="1214" w:hanging="360"/>
      </w:pPr>
    </w:lvl>
    <w:lvl w:ilvl="1" w:tplc="04090019" w:tentative="1">
      <w:start w:val="1"/>
      <w:numFmt w:val="lowerLetter"/>
      <w:lvlText w:val="%2."/>
      <w:lvlJc w:val="left"/>
      <w:pPr>
        <w:ind w:left="1934" w:hanging="360"/>
      </w:pPr>
    </w:lvl>
    <w:lvl w:ilvl="2" w:tplc="0409001B" w:tentative="1">
      <w:start w:val="1"/>
      <w:numFmt w:val="lowerRoman"/>
      <w:lvlText w:val="%3."/>
      <w:lvlJc w:val="right"/>
      <w:pPr>
        <w:ind w:left="2654" w:hanging="180"/>
      </w:pPr>
    </w:lvl>
    <w:lvl w:ilvl="3" w:tplc="0409000F" w:tentative="1">
      <w:start w:val="1"/>
      <w:numFmt w:val="decimal"/>
      <w:lvlText w:val="%4."/>
      <w:lvlJc w:val="left"/>
      <w:pPr>
        <w:ind w:left="3374" w:hanging="360"/>
      </w:pPr>
    </w:lvl>
    <w:lvl w:ilvl="4" w:tplc="04090019" w:tentative="1">
      <w:start w:val="1"/>
      <w:numFmt w:val="lowerLetter"/>
      <w:lvlText w:val="%5."/>
      <w:lvlJc w:val="left"/>
      <w:pPr>
        <w:ind w:left="4094" w:hanging="360"/>
      </w:pPr>
    </w:lvl>
    <w:lvl w:ilvl="5" w:tplc="0409001B" w:tentative="1">
      <w:start w:val="1"/>
      <w:numFmt w:val="lowerRoman"/>
      <w:lvlText w:val="%6."/>
      <w:lvlJc w:val="right"/>
      <w:pPr>
        <w:ind w:left="4814" w:hanging="180"/>
      </w:pPr>
    </w:lvl>
    <w:lvl w:ilvl="6" w:tplc="0409000F" w:tentative="1">
      <w:start w:val="1"/>
      <w:numFmt w:val="decimal"/>
      <w:lvlText w:val="%7."/>
      <w:lvlJc w:val="left"/>
      <w:pPr>
        <w:ind w:left="5534" w:hanging="360"/>
      </w:pPr>
    </w:lvl>
    <w:lvl w:ilvl="7" w:tplc="04090019" w:tentative="1">
      <w:start w:val="1"/>
      <w:numFmt w:val="lowerLetter"/>
      <w:lvlText w:val="%8."/>
      <w:lvlJc w:val="left"/>
      <w:pPr>
        <w:ind w:left="6254" w:hanging="360"/>
      </w:pPr>
    </w:lvl>
    <w:lvl w:ilvl="8" w:tplc="0409001B" w:tentative="1">
      <w:start w:val="1"/>
      <w:numFmt w:val="lowerRoman"/>
      <w:lvlText w:val="%9."/>
      <w:lvlJc w:val="right"/>
      <w:pPr>
        <w:ind w:left="6974" w:hanging="180"/>
      </w:pPr>
    </w:lvl>
  </w:abstractNum>
  <w:abstractNum w:abstractNumId="36" w15:restartNumberingAfterBreak="0">
    <w:nsid w:val="2D816CC7"/>
    <w:multiLevelType w:val="hybridMultilevel"/>
    <w:tmpl w:val="A59CDECC"/>
    <w:lvl w:ilvl="0" w:tplc="04090005">
      <w:start w:val="1"/>
      <w:numFmt w:val="bullet"/>
      <w:lvlText w:val=""/>
      <w:lvlJc w:val="left"/>
      <w:pPr>
        <w:ind w:left="854" w:hanging="360"/>
      </w:pPr>
      <w:rPr>
        <w:rFonts w:ascii="Wingdings" w:hAnsi="Wingdings"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37" w15:restartNumberingAfterBreak="0">
    <w:nsid w:val="2D8E49B8"/>
    <w:multiLevelType w:val="hybridMultilevel"/>
    <w:tmpl w:val="C2305E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38" w15:restartNumberingAfterBreak="0">
    <w:nsid w:val="2D9E4A7A"/>
    <w:multiLevelType w:val="hybridMultilevel"/>
    <w:tmpl w:val="C0505144"/>
    <w:lvl w:ilvl="0" w:tplc="D8A2529A">
      <w:start w:val="1"/>
      <w:numFmt w:val="decimal"/>
      <w:pStyle w:val="ListNumber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EC61598"/>
    <w:multiLevelType w:val="hybridMultilevel"/>
    <w:tmpl w:val="26EA460E"/>
    <w:lvl w:ilvl="0" w:tplc="241A0011">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40" w15:restartNumberingAfterBreak="0">
    <w:nsid w:val="307D67FF"/>
    <w:multiLevelType w:val="hybridMultilevel"/>
    <w:tmpl w:val="DD964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B24AC5"/>
    <w:multiLevelType w:val="hybridMultilevel"/>
    <w:tmpl w:val="6FCA1644"/>
    <w:lvl w:ilvl="0" w:tplc="241A0011">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2" w15:restartNumberingAfterBreak="0">
    <w:nsid w:val="32121F1C"/>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3D7BB7"/>
    <w:multiLevelType w:val="hybridMultilevel"/>
    <w:tmpl w:val="70E435F0"/>
    <w:lvl w:ilvl="0" w:tplc="41C0CB00">
      <w:start w:val="1"/>
      <w:numFmt w:val="decimal"/>
      <w:pStyle w:val="ParagraphNumbering"/>
      <w:lvlText w:val="%1.     "/>
      <w:lvlJc w:val="left"/>
      <w:pPr>
        <w:ind w:left="630" w:hanging="360"/>
      </w:pPr>
      <w:rPr>
        <w:rFonts w:ascii="Segoe UI" w:hAnsi="Segoe UI" w:hint="default"/>
        <w:b/>
        <w:i w:val="0"/>
        <w:sz w:val="21"/>
      </w:rPr>
    </w:lvl>
    <w:lvl w:ilvl="1" w:tplc="33B40FEA" w:tentative="1">
      <w:start w:val="1"/>
      <w:numFmt w:val="lowerLetter"/>
      <w:lvlText w:val="%2."/>
      <w:lvlJc w:val="left"/>
      <w:pPr>
        <w:ind w:left="1440" w:hanging="360"/>
      </w:pPr>
    </w:lvl>
    <w:lvl w:ilvl="2" w:tplc="DCB0CC42" w:tentative="1">
      <w:start w:val="1"/>
      <w:numFmt w:val="lowerRoman"/>
      <w:lvlText w:val="%3."/>
      <w:lvlJc w:val="right"/>
      <w:pPr>
        <w:ind w:left="2160" w:hanging="180"/>
      </w:pPr>
    </w:lvl>
    <w:lvl w:ilvl="3" w:tplc="B790AE84" w:tentative="1">
      <w:start w:val="1"/>
      <w:numFmt w:val="decimal"/>
      <w:lvlText w:val="%4."/>
      <w:lvlJc w:val="left"/>
      <w:pPr>
        <w:ind w:left="2880" w:hanging="360"/>
      </w:pPr>
    </w:lvl>
    <w:lvl w:ilvl="4" w:tplc="889A005E" w:tentative="1">
      <w:start w:val="1"/>
      <w:numFmt w:val="lowerLetter"/>
      <w:lvlText w:val="%5."/>
      <w:lvlJc w:val="left"/>
      <w:pPr>
        <w:ind w:left="3600" w:hanging="360"/>
      </w:pPr>
    </w:lvl>
    <w:lvl w:ilvl="5" w:tplc="6960F5F0" w:tentative="1">
      <w:start w:val="1"/>
      <w:numFmt w:val="lowerRoman"/>
      <w:lvlText w:val="%6."/>
      <w:lvlJc w:val="right"/>
      <w:pPr>
        <w:ind w:left="4320" w:hanging="180"/>
      </w:pPr>
    </w:lvl>
    <w:lvl w:ilvl="6" w:tplc="BBB45C82" w:tentative="1">
      <w:start w:val="1"/>
      <w:numFmt w:val="decimal"/>
      <w:lvlText w:val="%7."/>
      <w:lvlJc w:val="left"/>
      <w:pPr>
        <w:ind w:left="5040" w:hanging="360"/>
      </w:pPr>
    </w:lvl>
    <w:lvl w:ilvl="7" w:tplc="5516958C" w:tentative="1">
      <w:start w:val="1"/>
      <w:numFmt w:val="lowerLetter"/>
      <w:lvlText w:val="%8."/>
      <w:lvlJc w:val="left"/>
      <w:pPr>
        <w:ind w:left="5760" w:hanging="360"/>
      </w:pPr>
    </w:lvl>
    <w:lvl w:ilvl="8" w:tplc="98DCDC2C" w:tentative="1">
      <w:start w:val="1"/>
      <w:numFmt w:val="lowerRoman"/>
      <w:lvlText w:val="%9."/>
      <w:lvlJc w:val="right"/>
      <w:pPr>
        <w:ind w:left="6480" w:hanging="180"/>
      </w:pPr>
    </w:lvl>
  </w:abstractNum>
  <w:abstractNum w:abstractNumId="44" w15:restartNumberingAfterBreak="0">
    <w:nsid w:val="33644418"/>
    <w:multiLevelType w:val="hybridMultilevel"/>
    <w:tmpl w:val="054ED78A"/>
    <w:lvl w:ilvl="0" w:tplc="3BCA126A">
      <w:start w:val="1"/>
      <w:numFmt w:val="bullet"/>
      <w:lvlText w:val=""/>
      <w:lvlJc w:val="left"/>
      <w:pPr>
        <w:ind w:left="360" w:hanging="360"/>
      </w:pPr>
      <w:rPr>
        <w:rFonts w:ascii="Symbol" w:hAnsi="Symbol" w:hint="default"/>
        <w:color w:val="auto"/>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45" w15:restartNumberingAfterBreak="0">
    <w:nsid w:val="33C418D1"/>
    <w:multiLevelType w:val="hybridMultilevel"/>
    <w:tmpl w:val="890E7CDE"/>
    <w:lvl w:ilvl="0" w:tplc="BFA4663C">
      <w:start w:val="1"/>
      <w:numFmt w:val="bullet"/>
      <w:lvlText w:val="-"/>
      <w:lvlJc w:val="left"/>
      <w:pPr>
        <w:ind w:left="720" w:hanging="360"/>
      </w:pPr>
      <w:rPr>
        <w:rFonts w:ascii="Calibri" w:eastAsia="MS P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030896"/>
    <w:multiLevelType w:val="hybridMultilevel"/>
    <w:tmpl w:val="407AD9DC"/>
    <w:lvl w:ilvl="0" w:tplc="25BC08AE">
      <w:start w:val="1"/>
      <w:numFmt w:val="bullet"/>
      <w:lvlText w:val="-"/>
      <w:lvlJc w:val="left"/>
      <w:pPr>
        <w:ind w:left="360" w:hanging="360"/>
      </w:pPr>
      <w:rPr>
        <w:rFonts w:ascii="Verdana" w:hAnsi="Verdana"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47" w15:restartNumberingAfterBreak="0">
    <w:nsid w:val="350B380A"/>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67F6A45"/>
    <w:multiLevelType w:val="multilevel"/>
    <w:tmpl w:val="0436C7FE"/>
    <w:lvl w:ilvl="0">
      <w:start w:val="1"/>
      <w:numFmt w:val="decimal"/>
      <w:pStyle w:val="ListNumber1"/>
      <w:lvlText w:val="%1."/>
      <w:lvlJc w:val="left"/>
      <w:pPr>
        <w:ind w:left="360" w:hanging="360"/>
      </w:pPr>
      <w:rPr>
        <w:rFonts w:hint="default"/>
        <w:color w:val="5B9BD5" w:themeColor="accent1"/>
      </w:rPr>
    </w:lvl>
    <w:lvl w:ilvl="1">
      <w:start w:val="1"/>
      <w:numFmt w:val="decimal"/>
      <w:pStyle w:val="ListNumber21"/>
      <w:suff w:val="space"/>
      <w:lvlText w:val="%1.%2"/>
      <w:lvlJc w:val="left"/>
      <w:pPr>
        <w:ind w:left="936" w:hanging="576"/>
      </w:pPr>
      <w:rPr>
        <w:rFonts w:hint="default"/>
        <w:color w:val="5B9BD5" w:themeColor="accent1"/>
      </w:rPr>
    </w:lvl>
    <w:lvl w:ilvl="2">
      <w:start w:val="1"/>
      <w:numFmt w:val="lowerLetter"/>
      <w:pStyle w:val="ListNumber31"/>
      <w:lvlText w:val="%3."/>
      <w:lvlJc w:val="left"/>
      <w:pPr>
        <w:ind w:left="720" w:hanging="360"/>
      </w:pPr>
      <w:rPr>
        <w:rFonts w:hint="default"/>
        <w:color w:val="5B9BD5" w:themeColor="accent1"/>
      </w:rPr>
    </w:lvl>
    <w:lvl w:ilvl="3">
      <w:start w:val="1"/>
      <w:numFmt w:val="lowerRoman"/>
      <w:pStyle w:val="ListNumber41"/>
      <w:lvlText w:val="%4."/>
      <w:lvlJc w:val="left"/>
      <w:pPr>
        <w:ind w:left="1080" w:hanging="360"/>
      </w:pPr>
      <w:rPr>
        <w:rFonts w:hint="default"/>
        <w:color w:val="5B9BD5" w:themeColor="accent1"/>
      </w:rPr>
    </w:lvl>
    <w:lvl w:ilvl="4">
      <w:start w:val="1"/>
      <w:numFmt w:val="lowerLetter"/>
      <w:pStyle w:val="ListNumber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374F1C1E"/>
    <w:multiLevelType w:val="hybridMultilevel"/>
    <w:tmpl w:val="D12AD8A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7A0236D"/>
    <w:multiLevelType w:val="hybridMultilevel"/>
    <w:tmpl w:val="F6F47070"/>
    <w:lvl w:ilvl="0" w:tplc="014AD722">
      <w:start w:val="1"/>
      <w:numFmt w:val="decimal"/>
      <w:pStyle w:val="Nabrajanjemera"/>
      <w:lvlText w:val="Приоритетна мера %1."/>
      <w:lvlJc w:val="left"/>
      <w:pPr>
        <w:ind w:left="786" w:hanging="360"/>
      </w:pPr>
      <w:rPr>
        <w:rFonts w:hint="default"/>
        <w:b/>
        <w:i w:val="0"/>
        <w:smallCap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FE286B"/>
    <w:multiLevelType w:val="multilevel"/>
    <w:tmpl w:val="7E8E7DFC"/>
    <w:lvl w:ilvl="0">
      <w:start w:val="1"/>
      <w:numFmt w:val="upperRoman"/>
      <w:pStyle w:val="IFS2012naslov1"/>
      <w:lvlText w:val="%1."/>
      <w:lvlJc w:val="left"/>
      <w:pPr>
        <w:ind w:left="1080" w:hanging="720"/>
      </w:pPr>
      <w:rPr>
        <w:rFonts w:hint="default"/>
      </w:rPr>
    </w:lvl>
    <w:lvl w:ilvl="1">
      <w:start w:val="1"/>
      <w:numFmt w:val="decimal"/>
      <w:isLgl/>
      <w:lvlText w:val="%1.%2."/>
      <w:lvlJc w:val="left"/>
      <w:pPr>
        <w:ind w:left="965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3C0422F5"/>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53" w15:restartNumberingAfterBreak="0">
    <w:nsid w:val="3E2B2831"/>
    <w:multiLevelType w:val="hybridMultilevel"/>
    <w:tmpl w:val="29562056"/>
    <w:lvl w:ilvl="0" w:tplc="4E42A08A">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EA2024A"/>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55" w15:restartNumberingAfterBreak="0">
    <w:nsid w:val="3F53057D"/>
    <w:multiLevelType w:val="hybridMultilevel"/>
    <w:tmpl w:val="84D08E9E"/>
    <w:lvl w:ilvl="0" w:tplc="3BCA126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1552383"/>
    <w:multiLevelType w:val="hybridMultilevel"/>
    <w:tmpl w:val="121291CA"/>
    <w:lvl w:ilvl="0" w:tplc="6BB461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19528A0"/>
    <w:multiLevelType w:val="hybridMultilevel"/>
    <w:tmpl w:val="86F004C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1C971A3"/>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59" w15:restartNumberingAfterBreak="0">
    <w:nsid w:val="429648D6"/>
    <w:multiLevelType w:val="hybridMultilevel"/>
    <w:tmpl w:val="C3146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F61F1E"/>
    <w:multiLevelType w:val="hybridMultilevel"/>
    <w:tmpl w:val="DAC40EF6"/>
    <w:lvl w:ilvl="0" w:tplc="3F20172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330417C"/>
    <w:multiLevelType w:val="hybridMultilevel"/>
    <w:tmpl w:val="F3A49B5A"/>
    <w:lvl w:ilvl="0" w:tplc="FC1691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34F6A99"/>
    <w:multiLevelType w:val="hybridMultilevel"/>
    <w:tmpl w:val="29C4C88A"/>
    <w:lvl w:ilvl="0" w:tplc="3BCA126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3A85611"/>
    <w:multiLevelType w:val="multilevel"/>
    <w:tmpl w:val="18667D1A"/>
    <w:lvl w:ilvl="0">
      <w:start w:val="1"/>
      <w:numFmt w:val="decimal"/>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4" w15:restartNumberingAfterBreak="0">
    <w:nsid w:val="43F43133"/>
    <w:multiLevelType w:val="hybridMultilevel"/>
    <w:tmpl w:val="4DF887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59233CB"/>
    <w:multiLevelType w:val="hybridMultilevel"/>
    <w:tmpl w:val="48461ADC"/>
    <w:lvl w:ilvl="0" w:tplc="DBFE5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7856B31"/>
    <w:multiLevelType w:val="hybridMultilevel"/>
    <w:tmpl w:val="23003A7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87A2351"/>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68" w15:restartNumberingAfterBreak="0">
    <w:nsid w:val="48B7578D"/>
    <w:multiLevelType w:val="hybridMultilevel"/>
    <w:tmpl w:val="1EB2F07E"/>
    <w:lvl w:ilvl="0" w:tplc="3BCA126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C017860"/>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70" w15:restartNumberingAfterBreak="0">
    <w:nsid w:val="4C773C62"/>
    <w:multiLevelType w:val="hybridMultilevel"/>
    <w:tmpl w:val="359E55D0"/>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1" w15:restartNumberingAfterBreak="0">
    <w:nsid w:val="4DBC6040"/>
    <w:multiLevelType w:val="hybridMultilevel"/>
    <w:tmpl w:val="66CAD012"/>
    <w:lvl w:ilvl="0" w:tplc="9A5088C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08E1EBC"/>
    <w:multiLevelType w:val="hybridMultilevel"/>
    <w:tmpl w:val="9CC47A1A"/>
    <w:lvl w:ilvl="0" w:tplc="702249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0B56B20"/>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14469D8"/>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61C3BB2"/>
    <w:multiLevelType w:val="hybridMultilevel"/>
    <w:tmpl w:val="CE867B22"/>
    <w:lvl w:ilvl="0" w:tplc="3BCA126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6" w15:restartNumberingAfterBreak="0">
    <w:nsid w:val="570A6773"/>
    <w:multiLevelType w:val="hybridMultilevel"/>
    <w:tmpl w:val="C3146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74E1524"/>
    <w:multiLevelType w:val="hybridMultilevel"/>
    <w:tmpl w:val="5D9CAC56"/>
    <w:lvl w:ilvl="0" w:tplc="241A0005">
      <w:start w:val="1"/>
      <w:numFmt w:val="bullet"/>
      <w:lvlText w:val=""/>
      <w:lvlJc w:val="left"/>
      <w:pPr>
        <w:ind w:left="360" w:hanging="360"/>
      </w:pPr>
      <w:rPr>
        <w:rFonts w:ascii="Wingdings" w:hAnsi="Wingdings" w:hint="default"/>
      </w:rPr>
    </w:lvl>
    <w:lvl w:ilvl="1" w:tplc="AF3E70D4">
      <w:numFmt w:val="bullet"/>
      <w:lvlText w:val="•"/>
      <w:lvlJc w:val="left"/>
      <w:pPr>
        <w:ind w:left="1440" w:hanging="720"/>
      </w:pPr>
      <w:rPr>
        <w:rFonts w:ascii="Times New Roman" w:eastAsia="MS PGothic" w:hAnsi="Times New Roman" w:cs="Times New Roman" w:hint="default"/>
      </w:rPr>
    </w:lvl>
    <w:lvl w:ilvl="2" w:tplc="CAB2BA68">
      <w:numFmt w:val="bullet"/>
      <w:lvlText w:val=""/>
      <w:lvlJc w:val="left"/>
      <w:pPr>
        <w:ind w:left="2160" w:hanging="720"/>
      </w:pPr>
      <w:rPr>
        <w:rFonts w:ascii="Symbol" w:eastAsia="MS PGothic" w:hAnsi="Symbol" w:cs="Times New Roman"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8" w15:restartNumberingAfterBreak="0">
    <w:nsid w:val="5A8B3F70"/>
    <w:multiLevelType w:val="hybridMultilevel"/>
    <w:tmpl w:val="3730B9B0"/>
    <w:lvl w:ilvl="0" w:tplc="0428BE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ABC268D"/>
    <w:multiLevelType w:val="hybridMultilevel"/>
    <w:tmpl w:val="68BEB0B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15:restartNumberingAfterBreak="0">
    <w:nsid w:val="64A5633F"/>
    <w:multiLevelType w:val="hybridMultilevel"/>
    <w:tmpl w:val="EBCE0320"/>
    <w:lvl w:ilvl="0" w:tplc="AD4A66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4EA3600"/>
    <w:multiLevelType w:val="hybridMultilevel"/>
    <w:tmpl w:val="AB4280A2"/>
    <w:lvl w:ilvl="0" w:tplc="AD4A66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5FC475C"/>
    <w:multiLevelType w:val="hybridMultilevel"/>
    <w:tmpl w:val="55E83B9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15:restartNumberingAfterBreak="0">
    <w:nsid w:val="66046B57"/>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477105"/>
    <w:multiLevelType w:val="hybridMultilevel"/>
    <w:tmpl w:val="1E981E7C"/>
    <w:lvl w:ilvl="0" w:tplc="711495E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6727D74"/>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8F7692"/>
    <w:multiLevelType w:val="hybridMultilevel"/>
    <w:tmpl w:val="12D843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89A278D"/>
    <w:multiLevelType w:val="hybridMultilevel"/>
    <w:tmpl w:val="2CA41BF0"/>
    <w:lvl w:ilvl="0" w:tplc="04090001">
      <w:start w:val="1"/>
      <w:numFmt w:val="bullet"/>
      <w:pStyle w:val="ListNumber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AA75434"/>
    <w:multiLevelType w:val="hybridMultilevel"/>
    <w:tmpl w:val="1F682A80"/>
    <w:lvl w:ilvl="0" w:tplc="1DFCD06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AC3168B"/>
    <w:multiLevelType w:val="hybridMultilevel"/>
    <w:tmpl w:val="149C043E"/>
    <w:lvl w:ilvl="0" w:tplc="702249F6">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90" w15:restartNumberingAfterBreak="0">
    <w:nsid w:val="6AC840EF"/>
    <w:multiLevelType w:val="hybridMultilevel"/>
    <w:tmpl w:val="9A94ABCE"/>
    <w:lvl w:ilvl="0" w:tplc="4E42A08A">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ACC5734"/>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B421B76"/>
    <w:multiLevelType w:val="hybridMultilevel"/>
    <w:tmpl w:val="4466908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ECE33A1"/>
    <w:multiLevelType w:val="hybridMultilevel"/>
    <w:tmpl w:val="C3146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EDF3AE9"/>
    <w:multiLevelType w:val="hybridMultilevel"/>
    <w:tmpl w:val="062C1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F1F576D"/>
    <w:multiLevelType w:val="hybridMultilevel"/>
    <w:tmpl w:val="5F863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F973EF6"/>
    <w:multiLevelType w:val="hybridMultilevel"/>
    <w:tmpl w:val="292AA370"/>
    <w:lvl w:ilvl="0" w:tplc="3BCA126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2B43359"/>
    <w:multiLevelType w:val="hybridMultilevel"/>
    <w:tmpl w:val="C3146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2D814AA"/>
    <w:multiLevelType w:val="hybridMultilevel"/>
    <w:tmpl w:val="7E88A552"/>
    <w:lvl w:ilvl="0" w:tplc="CDBC3A00">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99" w15:restartNumberingAfterBreak="0">
    <w:nsid w:val="79B73D7F"/>
    <w:multiLevelType w:val="hybridMultilevel"/>
    <w:tmpl w:val="E4A2CD30"/>
    <w:lvl w:ilvl="0" w:tplc="0409000D">
      <w:start w:val="1"/>
      <w:numFmt w:val="bullet"/>
      <w:lvlText w:val=""/>
      <w:lvlJc w:val="left"/>
      <w:pPr>
        <w:ind w:left="1080" w:hanging="360"/>
      </w:pPr>
      <w:rPr>
        <w:rFonts w:ascii="Wingdings" w:hAnsi="Wingdings"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00" w15:restartNumberingAfterBreak="0">
    <w:nsid w:val="7A00237D"/>
    <w:multiLevelType w:val="hybridMultilevel"/>
    <w:tmpl w:val="C3146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7D38E1"/>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102" w15:restartNumberingAfterBreak="0">
    <w:nsid w:val="7E9578AF"/>
    <w:multiLevelType w:val="hybridMultilevel"/>
    <w:tmpl w:val="2B4EB2DE"/>
    <w:lvl w:ilvl="0" w:tplc="25BC08AE">
      <w:start w:val="1"/>
      <w:numFmt w:val="bullet"/>
      <w:lvlText w:val="-"/>
      <w:lvlJc w:val="left"/>
      <w:pPr>
        <w:ind w:left="360" w:hanging="360"/>
      </w:pPr>
      <w:rPr>
        <w:rFonts w:ascii="Verdana" w:hAnsi="Verdana"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num w:numId="1" w16cid:durableId="451634398">
    <w:abstractNumId w:val="0"/>
  </w:num>
  <w:num w:numId="2" w16cid:durableId="194734467">
    <w:abstractNumId w:val="48"/>
  </w:num>
  <w:num w:numId="3" w16cid:durableId="1942033716">
    <w:abstractNumId w:val="38"/>
  </w:num>
  <w:num w:numId="4" w16cid:durableId="947078305">
    <w:abstractNumId w:val="43"/>
  </w:num>
  <w:num w:numId="5" w16cid:durableId="1414165785">
    <w:abstractNumId w:val="87"/>
  </w:num>
  <w:num w:numId="6" w16cid:durableId="262807626">
    <w:abstractNumId w:val="3"/>
  </w:num>
  <w:num w:numId="7" w16cid:durableId="761799381">
    <w:abstractNumId w:val="51"/>
  </w:num>
  <w:num w:numId="8" w16cid:durableId="49498424">
    <w:abstractNumId w:val="21"/>
  </w:num>
  <w:num w:numId="9" w16cid:durableId="44180770">
    <w:abstractNumId w:val="50"/>
  </w:num>
  <w:num w:numId="10" w16cid:durableId="412549283">
    <w:abstractNumId w:val="6"/>
  </w:num>
  <w:num w:numId="11" w16cid:durableId="347367391">
    <w:abstractNumId w:val="73"/>
  </w:num>
  <w:num w:numId="12" w16cid:durableId="908156877">
    <w:abstractNumId w:val="63"/>
  </w:num>
  <w:num w:numId="13" w16cid:durableId="212347493">
    <w:abstractNumId w:val="26"/>
  </w:num>
  <w:num w:numId="14" w16cid:durableId="3169012">
    <w:abstractNumId w:val="34"/>
  </w:num>
  <w:num w:numId="15" w16cid:durableId="1282954567">
    <w:abstractNumId w:val="66"/>
  </w:num>
  <w:num w:numId="16" w16cid:durableId="817653725">
    <w:abstractNumId w:val="92"/>
  </w:num>
  <w:num w:numId="17" w16cid:durableId="1368144547">
    <w:abstractNumId w:val="2"/>
  </w:num>
  <w:num w:numId="18" w16cid:durableId="836533850">
    <w:abstractNumId w:val="40"/>
  </w:num>
  <w:num w:numId="19" w16cid:durableId="1679650754">
    <w:abstractNumId w:val="28"/>
  </w:num>
  <w:num w:numId="20" w16cid:durableId="132328875">
    <w:abstractNumId w:val="93"/>
  </w:num>
  <w:num w:numId="21" w16cid:durableId="1905489437">
    <w:abstractNumId w:val="94"/>
  </w:num>
  <w:num w:numId="22" w16cid:durableId="733622955">
    <w:abstractNumId w:val="20"/>
  </w:num>
  <w:num w:numId="23" w16cid:durableId="708802234">
    <w:abstractNumId w:val="23"/>
  </w:num>
  <w:num w:numId="24" w16cid:durableId="1508207305">
    <w:abstractNumId w:val="59"/>
  </w:num>
  <w:num w:numId="25" w16cid:durableId="1266576603">
    <w:abstractNumId w:val="76"/>
  </w:num>
  <w:num w:numId="26" w16cid:durableId="974455107">
    <w:abstractNumId w:val="100"/>
  </w:num>
  <w:num w:numId="27" w16cid:durableId="359208786">
    <w:abstractNumId w:val="97"/>
  </w:num>
  <w:num w:numId="28" w16cid:durableId="1422094961">
    <w:abstractNumId w:val="24"/>
  </w:num>
  <w:num w:numId="29" w16cid:durableId="2043895007">
    <w:abstractNumId w:val="78"/>
  </w:num>
  <w:num w:numId="30" w16cid:durableId="1932736668">
    <w:abstractNumId w:val="56"/>
  </w:num>
  <w:num w:numId="31" w16cid:durableId="1800145534">
    <w:abstractNumId w:val="60"/>
  </w:num>
  <w:num w:numId="32" w16cid:durableId="253784170">
    <w:abstractNumId w:val="61"/>
  </w:num>
  <w:num w:numId="33" w16cid:durableId="879980115">
    <w:abstractNumId w:val="19"/>
  </w:num>
  <w:num w:numId="34" w16cid:durableId="83377544">
    <w:abstractNumId w:val="84"/>
  </w:num>
  <w:num w:numId="35" w16cid:durableId="1297251522">
    <w:abstractNumId w:val="71"/>
  </w:num>
  <w:num w:numId="36" w16cid:durableId="708919816">
    <w:abstractNumId w:val="31"/>
  </w:num>
  <w:num w:numId="37" w16cid:durableId="2039037180">
    <w:abstractNumId w:val="70"/>
  </w:num>
  <w:num w:numId="38" w16cid:durableId="1018120173">
    <w:abstractNumId w:val="81"/>
  </w:num>
  <w:num w:numId="39" w16cid:durableId="1326131753">
    <w:abstractNumId w:val="80"/>
  </w:num>
  <w:num w:numId="40" w16cid:durableId="826090272">
    <w:abstractNumId w:val="57"/>
  </w:num>
  <w:num w:numId="41" w16cid:durableId="2029138252">
    <w:abstractNumId w:val="33"/>
  </w:num>
  <w:num w:numId="42" w16cid:durableId="1417089334">
    <w:abstractNumId w:val="11"/>
  </w:num>
  <w:num w:numId="43" w16cid:durableId="1499736544">
    <w:abstractNumId w:val="5"/>
  </w:num>
  <w:num w:numId="44" w16cid:durableId="1231887673">
    <w:abstractNumId w:val="86"/>
  </w:num>
  <w:num w:numId="45" w16cid:durableId="1436246923">
    <w:abstractNumId w:val="65"/>
  </w:num>
  <w:num w:numId="46" w16cid:durableId="1226452635">
    <w:abstractNumId w:val="8"/>
  </w:num>
  <w:num w:numId="47" w16cid:durableId="1883592990">
    <w:abstractNumId w:val="95"/>
  </w:num>
  <w:num w:numId="48" w16cid:durableId="46757907">
    <w:abstractNumId w:val="12"/>
  </w:num>
  <w:num w:numId="49" w16cid:durableId="2043747363">
    <w:abstractNumId w:val="35"/>
  </w:num>
  <w:num w:numId="50" w16cid:durableId="2129662205">
    <w:abstractNumId w:val="79"/>
  </w:num>
  <w:num w:numId="51" w16cid:durableId="828520612">
    <w:abstractNumId w:val="72"/>
  </w:num>
  <w:num w:numId="52" w16cid:durableId="2024475932">
    <w:abstractNumId w:val="89"/>
  </w:num>
  <w:num w:numId="53" w16cid:durableId="1583638776">
    <w:abstractNumId w:val="41"/>
  </w:num>
  <w:num w:numId="54" w16cid:durableId="122580130">
    <w:abstractNumId w:val="22"/>
  </w:num>
  <w:num w:numId="55" w16cid:durableId="74280587">
    <w:abstractNumId w:val="16"/>
  </w:num>
  <w:num w:numId="56" w16cid:durableId="743835696">
    <w:abstractNumId w:val="14"/>
  </w:num>
  <w:num w:numId="57" w16cid:durableId="826631954">
    <w:abstractNumId w:val="10"/>
  </w:num>
  <w:num w:numId="58" w16cid:durableId="17351589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30485999">
    <w:abstractNumId w:val="88"/>
  </w:num>
  <w:num w:numId="60" w16cid:durableId="1173489423">
    <w:abstractNumId w:val="49"/>
  </w:num>
  <w:num w:numId="61" w16cid:durableId="1417094852">
    <w:abstractNumId w:val="77"/>
  </w:num>
  <w:num w:numId="62" w16cid:durableId="542669777">
    <w:abstractNumId w:val="30"/>
  </w:num>
  <w:num w:numId="63" w16cid:durableId="348407439">
    <w:abstractNumId w:val="25"/>
  </w:num>
  <w:num w:numId="64" w16cid:durableId="1908303056">
    <w:abstractNumId w:val="102"/>
  </w:num>
  <w:num w:numId="65" w16cid:durableId="1014573151">
    <w:abstractNumId w:val="46"/>
  </w:num>
  <w:num w:numId="66" w16cid:durableId="28185524">
    <w:abstractNumId w:val="17"/>
  </w:num>
  <w:num w:numId="67" w16cid:durableId="1456363937">
    <w:abstractNumId w:val="13"/>
  </w:num>
  <w:num w:numId="68" w16cid:durableId="1921059642">
    <w:abstractNumId w:val="42"/>
  </w:num>
  <w:num w:numId="69" w16cid:durableId="74015696">
    <w:abstractNumId w:val="91"/>
  </w:num>
  <w:num w:numId="70" w16cid:durableId="1083651154">
    <w:abstractNumId w:val="67"/>
  </w:num>
  <w:num w:numId="71" w16cid:durableId="1509640478">
    <w:abstractNumId w:val="54"/>
  </w:num>
  <w:num w:numId="72" w16cid:durableId="2102139839">
    <w:abstractNumId w:val="47"/>
  </w:num>
  <w:num w:numId="73" w16cid:durableId="278730188">
    <w:abstractNumId w:val="74"/>
  </w:num>
  <w:num w:numId="74" w16cid:durableId="139201307">
    <w:abstractNumId w:val="4"/>
  </w:num>
  <w:num w:numId="75" w16cid:durableId="1738938448">
    <w:abstractNumId w:val="37"/>
  </w:num>
  <w:num w:numId="76" w16cid:durableId="1043990279">
    <w:abstractNumId w:val="85"/>
  </w:num>
  <w:num w:numId="77" w16cid:durableId="2026052413">
    <w:abstractNumId w:val="9"/>
  </w:num>
  <w:num w:numId="78" w16cid:durableId="21365328">
    <w:abstractNumId w:val="101"/>
  </w:num>
  <w:num w:numId="79" w16cid:durableId="617563896">
    <w:abstractNumId w:val="15"/>
  </w:num>
  <w:num w:numId="80" w16cid:durableId="1822110933">
    <w:abstractNumId w:val="69"/>
  </w:num>
  <w:num w:numId="81" w16cid:durableId="1259218751">
    <w:abstractNumId w:val="58"/>
  </w:num>
  <w:num w:numId="82" w16cid:durableId="1859930457">
    <w:abstractNumId w:val="18"/>
  </w:num>
  <w:num w:numId="83" w16cid:durableId="1527864740">
    <w:abstractNumId w:val="98"/>
  </w:num>
  <w:num w:numId="84" w16cid:durableId="284508902">
    <w:abstractNumId w:val="1"/>
  </w:num>
  <w:num w:numId="85" w16cid:durableId="1957371757">
    <w:abstractNumId w:val="52"/>
  </w:num>
  <w:num w:numId="86" w16cid:durableId="1588540604">
    <w:abstractNumId w:val="83"/>
  </w:num>
  <w:num w:numId="87" w16cid:durableId="325285430">
    <w:abstractNumId w:val="32"/>
  </w:num>
  <w:num w:numId="88" w16cid:durableId="2069106150">
    <w:abstractNumId w:val="99"/>
  </w:num>
  <w:num w:numId="89" w16cid:durableId="2121990723">
    <w:abstractNumId w:val="82"/>
  </w:num>
  <w:num w:numId="90" w16cid:durableId="1353915514">
    <w:abstractNumId w:val="64"/>
  </w:num>
  <w:num w:numId="91" w16cid:durableId="1377461387">
    <w:abstractNumId w:val="36"/>
  </w:num>
  <w:num w:numId="92" w16cid:durableId="1657369013">
    <w:abstractNumId w:val="68"/>
  </w:num>
  <w:num w:numId="93" w16cid:durableId="725877951">
    <w:abstractNumId w:val="55"/>
  </w:num>
  <w:num w:numId="94" w16cid:durableId="2080207441">
    <w:abstractNumId w:val="62"/>
  </w:num>
  <w:num w:numId="95" w16cid:durableId="1600748265">
    <w:abstractNumId w:val="27"/>
  </w:num>
  <w:num w:numId="96" w16cid:durableId="692003646">
    <w:abstractNumId w:val="96"/>
  </w:num>
  <w:num w:numId="97" w16cid:durableId="1919711454">
    <w:abstractNumId w:val="44"/>
  </w:num>
  <w:num w:numId="98" w16cid:durableId="1833567059">
    <w:abstractNumId w:val="75"/>
  </w:num>
  <w:num w:numId="99" w16cid:durableId="79720671">
    <w:abstractNumId w:val="7"/>
  </w:num>
  <w:num w:numId="100" w16cid:durableId="2019383697">
    <w:abstractNumId w:val="45"/>
  </w:num>
  <w:num w:numId="101" w16cid:durableId="1437093135">
    <w:abstractNumId w:val="53"/>
  </w:num>
  <w:num w:numId="102" w16cid:durableId="194465732">
    <w:abstractNumId w:val="29"/>
  </w:num>
  <w:num w:numId="103" w16cid:durableId="1659722135">
    <w:abstractNumId w:val="9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6" w:nlCheck="1" w:checkStyle="0"/>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yMjE2NjY0NzUxMDFT0lEKTi0uzszPAykwrgUANtLyXCwAAAA="/>
  </w:docVars>
  <w:rsids>
    <w:rsidRoot w:val="00797049"/>
    <w:rsid w:val="000001F8"/>
    <w:rsid w:val="000003B8"/>
    <w:rsid w:val="000006E6"/>
    <w:rsid w:val="00000BB9"/>
    <w:rsid w:val="00000DE8"/>
    <w:rsid w:val="00001E72"/>
    <w:rsid w:val="000020A3"/>
    <w:rsid w:val="00002884"/>
    <w:rsid w:val="00002B05"/>
    <w:rsid w:val="00002CB1"/>
    <w:rsid w:val="000045F6"/>
    <w:rsid w:val="0000573D"/>
    <w:rsid w:val="00005DFC"/>
    <w:rsid w:val="00012425"/>
    <w:rsid w:val="00012D78"/>
    <w:rsid w:val="000132B7"/>
    <w:rsid w:val="00013417"/>
    <w:rsid w:val="000137AC"/>
    <w:rsid w:val="00013A0B"/>
    <w:rsid w:val="00014DAA"/>
    <w:rsid w:val="0001548A"/>
    <w:rsid w:val="00015AE1"/>
    <w:rsid w:val="00016066"/>
    <w:rsid w:val="0001608D"/>
    <w:rsid w:val="00016287"/>
    <w:rsid w:val="000169B7"/>
    <w:rsid w:val="00017C48"/>
    <w:rsid w:val="00017F94"/>
    <w:rsid w:val="000202AC"/>
    <w:rsid w:val="00020BEA"/>
    <w:rsid w:val="00021DC9"/>
    <w:rsid w:val="00022AB8"/>
    <w:rsid w:val="00022FDE"/>
    <w:rsid w:val="00023A81"/>
    <w:rsid w:val="00024AA2"/>
    <w:rsid w:val="00024EA0"/>
    <w:rsid w:val="00024FE3"/>
    <w:rsid w:val="000260F7"/>
    <w:rsid w:val="000261D2"/>
    <w:rsid w:val="00026D86"/>
    <w:rsid w:val="000272D5"/>
    <w:rsid w:val="00027678"/>
    <w:rsid w:val="000309BB"/>
    <w:rsid w:val="00030A9C"/>
    <w:rsid w:val="00030D5A"/>
    <w:rsid w:val="0003195F"/>
    <w:rsid w:val="00031CC2"/>
    <w:rsid w:val="00032157"/>
    <w:rsid w:val="000324A5"/>
    <w:rsid w:val="000325E2"/>
    <w:rsid w:val="00032945"/>
    <w:rsid w:val="00032CCF"/>
    <w:rsid w:val="000335F3"/>
    <w:rsid w:val="00033627"/>
    <w:rsid w:val="000336DF"/>
    <w:rsid w:val="00033E00"/>
    <w:rsid w:val="00035AD8"/>
    <w:rsid w:val="00035F56"/>
    <w:rsid w:val="00036356"/>
    <w:rsid w:val="00036738"/>
    <w:rsid w:val="00036A25"/>
    <w:rsid w:val="00036DD7"/>
    <w:rsid w:val="00040056"/>
    <w:rsid w:val="00040667"/>
    <w:rsid w:val="00040ACE"/>
    <w:rsid w:val="00041425"/>
    <w:rsid w:val="00041E3E"/>
    <w:rsid w:val="0004222F"/>
    <w:rsid w:val="00042597"/>
    <w:rsid w:val="00043758"/>
    <w:rsid w:val="00045F19"/>
    <w:rsid w:val="00046034"/>
    <w:rsid w:val="0004613A"/>
    <w:rsid w:val="0004623F"/>
    <w:rsid w:val="000465E0"/>
    <w:rsid w:val="00046CA9"/>
    <w:rsid w:val="00047167"/>
    <w:rsid w:val="00047A62"/>
    <w:rsid w:val="000520F8"/>
    <w:rsid w:val="000524AA"/>
    <w:rsid w:val="00052735"/>
    <w:rsid w:val="00052B37"/>
    <w:rsid w:val="00053A8F"/>
    <w:rsid w:val="00053B2B"/>
    <w:rsid w:val="00055B7C"/>
    <w:rsid w:val="00055DC9"/>
    <w:rsid w:val="000569AA"/>
    <w:rsid w:val="00056F47"/>
    <w:rsid w:val="0005749E"/>
    <w:rsid w:val="0005750F"/>
    <w:rsid w:val="00057818"/>
    <w:rsid w:val="00057B4C"/>
    <w:rsid w:val="00057F4B"/>
    <w:rsid w:val="0006024A"/>
    <w:rsid w:val="000604DA"/>
    <w:rsid w:val="00060672"/>
    <w:rsid w:val="000614DC"/>
    <w:rsid w:val="000616B3"/>
    <w:rsid w:val="00061F8A"/>
    <w:rsid w:val="000620B3"/>
    <w:rsid w:val="00062B75"/>
    <w:rsid w:val="000634BE"/>
    <w:rsid w:val="0006370D"/>
    <w:rsid w:val="00063909"/>
    <w:rsid w:val="00065017"/>
    <w:rsid w:val="00065B13"/>
    <w:rsid w:val="00065DF9"/>
    <w:rsid w:val="00066F2C"/>
    <w:rsid w:val="00067011"/>
    <w:rsid w:val="00067265"/>
    <w:rsid w:val="0006742F"/>
    <w:rsid w:val="00067709"/>
    <w:rsid w:val="000679CD"/>
    <w:rsid w:val="0007077C"/>
    <w:rsid w:val="0007083B"/>
    <w:rsid w:val="0007126F"/>
    <w:rsid w:val="00071952"/>
    <w:rsid w:val="00071E66"/>
    <w:rsid w:val="00072287"/>
    <w:rsid w:val="000722E6"/>
    <w:rsid w:val="00072F40"/>
    <w:rsid w:val="000733FF"/>
    <w:rsid w:val="00074995"/>
    <w:rsid w:val="00074B8A"/>
    <w:rsid w:val="00074E1B"/>
    <w:rsid w:val="0007650B"/>
    <w:rsid w:val="0007697A"/>
    <w:rsid w:val="00076C95"/>
    <w:rsid w:val="000770EA"/>
    <w:rsid w:val="00077C67"/>
    <w:rsid w:val="000816D0"/>
    <w:rsid w:val="00081A17"/>
    <w:rsid w:val="00081A94"/>
    <w:rsid w:val="00081DFC"/>
    <w:rsid w:val="00081E0F"/>
    <w:rsid w:val="00082D55"/>
    <w:rsid w:val="000840EF"/>
    <w:rsid w:val="00084834"/>
    <w:rsid w:val="0008490E"/>
    <w:rsid w:val="0008543E"/>
    <w:rsid w:val="00086E58"/>
    <w:rsid w:val="000906FD"/>
    <w:rsid w:val="00092829"/>
    <w:rsid w:val="00092ED7"/>
    <w:rsid w:val="0009353E"/>
    <w:rsid w:val="0009374A"/>
    <w:rsid w:val="000944D6"/>
    <w:rsid w:val="00094BEE"/>
    <w:rsid w:val="00094C3F"/>
    <w:rsid w:val="00095DBE"/>
    <w:rsid w:val="00096198"/>
    <w:rsid w:val="000962C5"/>
    <w:rsid w:val="0009697B"/>
    <w:rsid w:val="00096BBB"/>
    <w:rsid w:val="00096D22"/>
    <w:rsid w:val="000971EA"/>
    <w:rsid w:val="00097798"/>
    <w:rsid w:val="000A195A"/>
    <w:rsid w:val="000A1B24"/>
    <w:rsid w:val="000A2ED6"/>
    <w:rsid w:val="000A2F6D"/>
    <w:rsid w:val="000A3003"/>
    <w:rsid w:val="000A311A"/>
    <w:rsid w:val="000A3531"/>
    <w:rsid w:val="000A4E7A"/>
    <w:rsid w:val="000A4EC1"/>
    <w:rsid w:val="000A5496"/>
    <w:rsid w:val="000A5857"/>
    <w:rsid w:val="000A5C95"/>
    <w:rsid w:val="000A663B"/>
    <w:rsid w:val="000A7001"/>
    <w:rsid w:val="000A78FC"/>
    <w:rsid w:val="000A7CED"/>
    <w:rsid w:val="000B01BD"/>
    <w:rsid w:val="000B0B28"/>
    <w:rsid w:val="000B0BD8"/>
    <w:rsid w:val="000B0C3C"/>
    <w:rsid w:val="000B10CF"/>
    <w:rsid w:val="000B1ABF"/>
    <w:rsid w:val="000B241F"/>
    <w:rsid w:val="000B267C"/>
    <w:rsid w:val="000B339E"/>
    <w:rsid w:val="000B3461"/>
    <w:rsid w:val="000B38A6"/>
    <w:rsid w:val="000B39F2"/>
    <w:rsid w:val="000B49AA"/>
    <w:rsid w:val="000B4DB4"/>
    <w:rsid w:val="000B4F8A"/>
    <w:rsid w:val="000B544A"/>
    <w:rsid w:val="000B5661"/>
    <w:rsid w:val="000B5A70"/>
    <w:rsid w:val="000B5B0F"/>
    <w:rsid w:val="000B5CBA"/>
    <w:rsid w:val="000B5EDA"/>
    <w:rsid w:val="000B6D63"/>
    <w:rsid w:val="000B7717"/>
    <w:rsid w:val="000B7D76"/>
    <w:rsid w:val="000C01FD"/>
    <w:rsid w:val="000C0BE0"/>
    <w:rsid w:val="000C146F"/>
    <w:rsid w:val="000C3251"/>
    <w:rsid w:val="000C3600"/>
    <w:rsid w:val="000C3BEC"/>
    <w:rsid w:val="000C44D1"/>
    <w:rsid w:val="000C4B58"/>
    <w:rsid w:val="000C4DD1"/>
    <w:rsid w:val="000C5935"/>
    <w:rsid w:val="000C5CF3"/>
    <w:rsid w:val="000C6FA1"/>
    <w:rsid w:val="000C7942"/>
    <w:rsid w:val="000C7CD6"/>
    <w:rsid w:val="000D0544"/>
    <w:rsid w:val="000D2889"/>
    <w:rsid w:val="000D2C56"/>
    <w:rsid w:val="000D2F28"/>
    <w:rsid w:val="000D310F"/>
    <w:rsid w:val="000D3771"/>
    <w:rsid w:val="000D410C"/>
    <w:rsid w:val="000D4FD4"/>
    <w:rsid w:val="000D5CE6"/>
    <w:rsid w:val="000D6108"/>
    <w:rsid w:val="000D63B8"/>
    <w:rsid w:val="000D6ED5"/>
    <w:rsid w:val="000D722D"/>
    <w:rsid w:val="000D7482"/>
    <w:rsid w:val="000E0422"/>
    <w:rsid w:val="000E06AF"/>
    <w:rsid w:val="000E1787"/>
    <w:rsid w:val="000E1C07"/>
    <w:rsid w:val="000E1D3A"/>
    <w:rsid w:val="000E2A0C"/>
    <w:rsid w:val="000E3447"/>
    <w:rsid w:val="000E4A66"/>
    <w:rsid w:val="000E50E4"/>
    <w:rsid w:val="000E565F"/>
    <w:rsid w:val="000E5CD1"/>
    <w:rsid w:val="000E6525"/>
    <w:rsid w:val="000E6959"/>
    <w:rsid w:val="000E69C6"/>
    <w:rsid w:val="000E6CF5"/>
    <w:rsid w:val="000E7DFE"/>
    <w:rsid w:val="000F052F"/>
    <w:rsid w:val="000F059B"/>
    <w:rsid w:val="000F26D4"/>
    <w:rsid w:val="000F28C3"/>
    <w:rsid w:val="000F44A7"/>
    <w:rsid w:val="000F4634"/>
    <w:rsid w:val="000F5304"/>
    <w:rsid w:val="000F569C"/>
    <w:rsid w:val="000F6337"/>
    <w:rsid w:val="000F647E"/>
    <w:rsid w:val="000F667F"/>
    <w:rsid w:val="000F67F8"/>
    <w:rsid w:val="000F68D4"/>
    <w:rsid w:val="000F6F06"/>
    <w:rsid w:val="00100974"/>
    <w:rsid w:val="00101672"/>
    <w:rsid w:val="00101E69"/>
    <w:rsid w:val="001028F8"/>
    <w:rsid w:val="00105194"/>
    <w:rsid w:val="00105E58"/>
    <w:rsid w:val="00106563"/>
    <w:rsid w:val="001077E6"/>
    <w:rsid w:val="00107BD4"/>
    <w:rsid w:val="0011016A"/>
    <w:rsid w:val="00111278"/>
    <w:rsid w:val="00111A31"/>
    <w:rsid w:val="001122E1"/>
    <w:rsid w:val="0011280A"/>
    <w:rsid w:val="00112874"/>
    <w:rsid w:val="00112925"/>
    <w:rsid w:val="00112B29"/>
    <w:rsid w:val="00112B6F"/>
    <w:rsid w:val="001148BC"/>
    <w:rsid w:val="00114C7A"/>
    <w:rsid w:val="00115299"/>
    <w:rsid w:val="0011557F"/>
    <w:rsid w:val="0011558D"/>
    <w:rsid w:val="00115BE3"/>
    <w:rsid w:val="00115D0E"/>
    <w:rsid w:val="001162EE"/>
    <w:rsid w:val="00116512"/>
    <w:rsid w:val="00117343"/>
    <w:rsid w:val="00117995"/>
    <w:rsid w:val="00120C49"/>
    <w:rsid w:val="00120EF7"/>
    <w:rsid w:val="001216F1"/>
    <w:rsid w:val="00121A9E"/>
    <w:rsid w:val="00123DB2"/>
    <w:rsid w:val="00123DFA"/>
    <w:rsid w:val="001242B4"/>
    <w:rsid w:val="00124DCA"/>
    <w:rsid w:val="00125217"/>
    <w:rsid w:val="001252B9"/>
    <w:rsid w:val="00125B23"/>
    <w:rsid w:val="00125E3B"/>
    <w:rsid w:val="00126765"/>
    <w:rsid w:val="00126936"/>
    <w:rsid w:val="00127CF3"/>
    <w:rsid w:val="00127F10"/>
    <w:rsid w:val="00127FE8"/>
    <w:rsid w:val="0013006E"/>
    <w:rsid w:val="001305E1"/>
    <w:rsid w:val="0013075D"/>
    <w:rsid w:val="001311AC"/>
    <w:rsid w:val="00131406"/>
    <w:rsid w:val="00131770"/>
    <w:rsid w:val="00131B9B"/>
    <w:rsid w:val="001341ED"/>
    <w:rsid w:val="001362F0"/>
    <w:rsid w:val="00136E03"/>
    <w:rsid w:val="00136E4B"/>
    <w:rsid w:val="00137728"/>
    <w:rsid w:val="001406A9"/>
    <w:rsid w:val="00140A49"/>
    <w:rsid w:val="00140B2E"/>
    <w:rsid w:val="00141959"/>
    <w:rsid w:val="001419A8"/>
    <w:rsid w:val="00141FEF"/>
    <w:rsid w:val="00142AC7"/>
    <w:rsid w:val="0014307E"/>
    <w:rsid w:val="00144B54"/>
    <w:rsid w:val="00145136"/>
    <w:rsid w:val="001457A3"/>
    <w:rsid w:val="00145B51"/>
    <w:rsid w:val="00145DF8"/>
    <w:rsid w:val="001460C0"/>
    <w:rsid w:val="00146582"/>
    <w:rsid w:val="00147385"/>
    <w:rsid w:val="00147A94"/>
    <w:rsid w:val="00147ADA"/>
    <w:rsid w:val="00147DF0"/>
    <w:rsid w:val="001501D6"/>
    <w:rsid w:val="001502A6"/>
    <w:rsid w:val="001505B2"/>
    <w:rsid w:val="0015086D"/>
    <w:rsid w:val="00150ED1"/>
    <w:rsid w:val="0015100B"/>
    <w:rsid w:val="001515BF"/>
    <w:rsid w:val="0015261E"/>
    <w:rsid w:val="00152E8C"/>
    <w:rsid w:val="00152E92"/>
    <w:rsid w:val="0015349A"/>
    <w:rsid w:val="001534F9"/>
    <w:rsid w:val="00153985"/>
    <w:rsid w:val="001550BB"/>
    <w:rsid w:val="001550BC"/>
    <w:rsid w:val="001553F6"/>
    <w:rsid w:val="0015547E"/>
    <w:rsid w:val="00155DE2"/>
    <w:rsid w:val="00155FA6"/>
    <w:rsid w:val="001561CC"/>
    <w:rsid w:val="00156407"/>
    <w:rsid w:val="001571AD"/>
    <w:rsid w:val="001578A1"/>
    <w:rsid w:val="001608D7"/>
    <w:rsid w:val="00161650"/>
    <w:rsid w:val="00162C43"/>
    <w:rsid w:val="001632EC"/>
    <w:rsid w:val="0016454D"/>
    <w:rsid w:val="00165C22"/>
    <w:rsid w:val="00165F2B"/>
    <w:rsid w:val="00167D39"/>
    <w:rsid w:val="001704C6"/>
    <w:rsid w:val="00170609"/>
    <w:rsid w:val="00170F63"/>
    <w:rsid w:val="001721D8"/>
    <w:rsid w:val="00172EDF"/>
    <w:rsid w:val="001737A3"/>
    <w:rsid w:val="00174158"/>
    <w:rsid w:val="00174752"/>
    <w:rsid w:val="00174D57"/>
    <w:rsid w:val="00174EDF"/>
    <w:rsid w:val="00174F80"/>
    <w:rsid w:val="00175636"/>
    <w:rsid w:val="001760BE"/>
    <w:rsid w:val="00176B54"/>
    <w:rsid w:val="00177413"/>
    <w:rsid w:val="00177DD2"/>
    <w:rsid w:val="00177E8A"/>
    <w:rsid w:val="00180D37"/>
    <w:rsid w:val="00181714"/>
    <w:rsid w:val="00181C36"/>
    <w:rsid w:val="00181FA8"/>
    <w:rsid w:val="001821D6"/>
    <w:rsid w:val="00182335"/>
    <w:rsid w:val="00183419"/>
    <w:rsid w:val="00183A80"/>
    <w:rsid w:val="00184075"/>
    <w:rsid w:val="001853CE"/>
    <w:rsid w:val="0018553E"/>
    <w:rsid w:val="00185703"/>
    <w:rsid w:val="00185934"/>
    <w:rsid w:val="00186479"/>
    <w:rsid w:val="00186B21"/>
    <w:rsid w:val="00186B59"/>
    <w:rsid w:val="001870DE"/>
    <w:rsid w:val="00187A88"/>
    <w:rsid w:val="00187D83"/>
    <w:rsid w:val="00191E06"/>
    <w:rsid w:val="001920F3"/>
    <w:rsid w:val="00192281"/>
    <w:rsid w:val="00192E23"/>
    <w:rsid w:val="0019320C"/>
    <w:rsid w:val="00193EC0"/>
    <w:rsid w:val="00196B02"/>
    <w:rsid w:val="00196F94"/>
    <w:rsid w:val="001A00A7"/>
    <w:rsid w:val="001A1222"/>
    <w:rsid w:val="001A19D5"/>
    <w:rsid w:val="001A2481"/>
    <w:rsid w:val="001A3D0D"/>
    <w:rsid w:val="001A3EE1"/>
    <w:rsid w:val="001A51FE"/>
    <w:rsid w:val="001A540F"/>
    <w:rsid w:val="001A5622"/>
    <w:rsid w:val="001A5B2B"/>
    <w:rsid w:val="001A6451"/>
    <w:rsid w:val="001A656D"/>
    <w:rsid w:val="001B0269"/>
    <w:rsid w:val="001B07B7"/>
    <w:rsid w:val="001B1425"/>
    <w:rsid w:val="001B2208"/>
    <w:rsid w:val="001B3258"/>
    <w:rsid w:val="001B332A"/>
    <w:rsid w:val="001B36E0"/>
    <w:rsid w:val="001B40EF"/>
    <w:rsid w:val="001B4652"/>
    <w:rsid w:val="001B4CA8"/>
    <w:rsid w:val="001B4EFC"/>
    <w:rsid w:val="001B53A8"/>
    <w:rsid w:val="001B6CEB"/>
    <w:rsid w:val="001B6E46"/>
    <w:rsid w:val="001B6F54"/>
    <w:rsid w:val="001B7533"/>
    <w:rsid w:val="001C075D"/>
    <w:rsid w:val="001C0EF3"/>
    <w:rsid w:val="001C18BE"/>
    <w:rsid w:val="001C2A20"/>
    <w:rsid w:val="001C58E9"/>
    <w:rsid w:val="001C6A81"/>
    <w:rsid w:val="001C6CFD"/>
    <w:rsid w:val="001C708A"/>
    <w:rsid w:val="001C72D2"/>
    <w:rsid w:val="001C7B88"/>
    <w:rsid w:val="001C7C49"/>
    <w:rsid w:val="001C7D73"/>
    <w:rsid w:val="001D02F2"/>
    <w:rsid w:val="001D0341"/>
    <w:rsid w:val="001D0812"/>
    <w:rsid w:val="001D102E"/>
    <w:rsid w:val="001D27D0"/>
    <w:rsid w:val="001D4171"/>
    <w:rsid w:val="001D56F3"/>
    <w:rsid w:val="001D5E1B"/>
    <w:rsid w:val="001D63D0"/>
    <w:rsid w:val="001D71BB"/>
    <w:rsid w:val="001D7EE0"/>
    <w:rsid w:val="001E1744"/>
    <w:rsid w:val="001E1B53"/>
    <w:rsid w:val="001E1F98"/>
    <w:rsid w:val="001E2457"/>
    <w:rsid w:val="001E32DF"/>
    <w:rsid w:val="001E3853"/>
    <w:rsid w:val="001E3C95"/>
    <w:rsid w:val="001E5441"/>
    <w:rsid w:val="001E558B"/>
    <w:rsid w:val="001E604A"/>
    <w:rsid w:val="001E71D5"/>
    <w:rsid w:val="001E72AE"/>
    <w:rsid w:val="001F2ECD"/>
    <w:rsid w:val="001F3146"/>
    <w:rsid w:val="001F3B72"/>
    <w:rsid w:val="001F4238"/>
    <w:rsid w:val="001F62AF"/>
    <w:rsid w:val="00200379"/>
    <w:rsid w:val="00200942"/>
    <w:rsid w:val="0020125C"/>
    <w:rsid w:val="00201456"/>
    <w:rsid w:val="00201BEA"/>
    <w:rsid w:val="00202977"/>
    <w:rsid w:val="00202F36"/>
    <w:rsid w:val="00203015"/>
    <w:rsid w:val="00203D61"/>
    <w:rsid w:val="00204287"/>
    <w:rsid w:val="00204479"/>
    <w:rsid w:val="00204FA6"/>
    <w:rsid w:val="00205955"/>
    <w:rsid w:val="00206218"/>
    <w:rsid w:val="002102A7"/>
    <w:rsid w:val="00210AD2"/>
    <w:rsid w:val="00210EBE"/>
    <w:rsid w:val="0021103E"/>
    <w:rsid w:val="00211200"/>
    <w:rsid w:val="00211E9F"/>
    <w:rsid w:val="002122F3"/>
    <w:rsid w:val="002126A3"/>
    <w:rsid w:val="002130B4"/>
    <w:rsid w:val="00213E6E"/>
    <w:rsid w:val="002148DB"/>
    <w:rsid w:val="00215B72"/>
    <w:rsid w:val="00216595"/>
    <w:rsid w:val="002171C8"/>
    <w:rsid w:val="002173DA"/>
    <w:rsid w:val="002174C1"/>
    <w:rsid w:val="00217782"/>
    <w:rsid w:val="0022028E"/>
    <w:rsid w:val="002208A0"/>
    <w:rsid w:val="00222585"/>
    <w:rsid w:val="0022322A"/>
    <w:rsid w:val="0022364E"/>
    <w:rsid w:val="00224134"/>
    <w:rsid w:val="0022473D"/>
    <w:rsid w:val="002264C3"/>
    <w:rsid w:val="00227AB9"/>
    <w:rsid w:val="002307CC"/>
    <w:rsid w:val="00230A78"/>
    <w:rsid w:val="00231E85"/>
    <w:rsid w:val="002331E2"/>
    <w:rsid w:val="00234522"/>
    <w:rsid w:val="00234A9A"/>
    <w:rsid w:val="00234B69"/>
    <w:rsid w:val="00236EF5"/>
    <w:rsid w:val="0023779D"/>
    <w:rsid w:val="00240B61"/>
    <w:rsid w:val="002415E2"/>
    <w:rsid w:val="00241912"/>
    <w:rsid w:val="00243B8E"/>
    <w:rsid w:val="00244AC7"/>
    <w:rsid w:val="0024575F"/>
    <w:rsid w:val="00246694"/>
    <w:rsid w:val="002466EA"/>
    <w:rsid w:val="0024684B"/>
    <w:rsid w:val="00247954"/>
    <w:rsid w:val="00247CBF"/>
    <w:rsid w:val="0025015E"/>
    <w:rsid w:val="00251168"/>
    <w:rsid w:val="00251403"/>
    <w:rsid w:val="0025143A"/>
    <w:rsid w:val="00251C36"/>
    <w:rsid w:val="00252C01"/>
    <w:rsid w:val="00253A76"/>
    <w:rsid w:val="00253C01"/>
    <w:rsid w:val="00253E50"/>
    <w:rsid w:val="00254B25"/>
    <w:rsid w:val="00254ECD"/>
    <w:rsid w:val="00255A45"/>
    <w:rsid w:val="00256703"/>
    <w:rsid w:val="002567A4"/>
    <w:rsid w:val="00256C19"/>
    <w:rsid w:val="00260A38"/>
    <w:rsid w:val="002612E2"/>
    <w:rsid w:val="0026139F"/>
    <w:rsid w:val="002616E7"/>
    <w:rsid w:val="00261FF7"/>
    <w:rsid w:val="00262C32"/>
    <w:rsid w:val="002631A4"/>
    <w:rsid w:val="0026341C"/>
    <w:rsid w:val="0026427F"/>
    <w:rsid w:val="0026564E"/>
    <w:rsid w:val="002661A7"/>
    <w:rsid w:val="0026699A"/>
    <w:rsid w:val="00266F9F"/>
    <w:rsid w:val="00267430"/>
    <w:rsid w:val="00267795"/>
    <w:rsid w:val="00270295"/>
    <w:rsid w:val="002702AE"/>
    <w:rsid w:val="00270450"/>
    <w:rsid w:val="002704DB"/>
    <w:rsid w:val="002705C2"/>
    <w:rsid w:val="00270B62"/>
    <w:rsid w:val="002716C6"/>
    <w:rsid w:val="00271C31"/>
    <w:rsid w:val="0027219A"/>
    <w:rsid w:val="0027332F"/>
    <w:rsid w:val="002734DA"/>
    <w:rsid w:val="00274030"/>
    <w:rsid w:val="002748E4"/>
    <w:rsid w:val="00275739"/>
    <w:rsid w:val="0027579B"/>
    <w:rsid w:val="00275A29"/>
    <w:rsid w:val="00275AE8"/>
    <w:rsid w:val="00275B59"/>
    <w:rsid w:val="00276402"/>
    <w:rsid w:val="00276EBA"/>
    <w:rsid w:val="00277983"/>
    <w:rsid w:val="00280CDF"/>
    <w:rsid w:val="00280FC2"/>
    <w:rsid w:val="00281038"/>
    <w:rsid w:val="002816A3"/>
    <w:rsid w:val="00282877"/>
    <w:rsid w:val="00282C9C"/>
    <w:rsid w:val="00283BB0"/>
    <w:rsid w:val="00284191"/>
    <w:rsid w:val="00284FE5"/>
    <w:rsid w:val="002860F8"/>
    <w:rsid w:val="002863C3"/>
    <w:rsid w:val="00287122"/>
    <w:rsid w:val="002879DB"/>
    <w:rsid w:val="00287D9C"/>
    <w:rsid w:val="002905C9"/>
    <w:rsid w:val="0029061D"/>
    <w:rsid w:val="00290882"/>
    <w:rsid w:val="002917F1"/>
    <w:rsid w:val="00291A46"/>
    <w:rsid w:val="00291CBC"/>
    <w:rsid w:val="00292BCF"/>
    <w:rsid w:val="00292DEF"/>
    <w:rsid w:val="00293EB8"/>
    <w:rsid w:val="00295178"/>
    <w:rsid w:val="00295B15"/>
    <w:rsid w:val="002960C2"/>
    <w:rsid w:val="00296994"/>
    <w:rsid w:val="002979AC"/>
    <w:rsid w:val="00297E37"/>
    <w:rsid w:val="002A011C"/>
    <w:rsid w:val="002A1021"/>
    <w:rsid w:val="002A231B"/>
    <w:rsid w:val="002A2657"/>
    <w:rsid w:val="002A2B8C"/>
    <w:rsid w:val="002A3099"/>
    <w:rsid w:val="002A409F"/>
    <w:rsid w:val="002A4877"/>
    <w:rsid w:val="002A640D"/>
    <w:rsid w:val="002A6857"/>
    <w:rsid w:val="002A6C79"/>
    <w:rsid w:val="002A7232"/>
    <w:rsid w:val="002B0040"/>
    <w:rsid w:val="002B0CFF"/>
    <w:rsid w:val="002B14D4"/>
    <w:rsid w:val="002B1550"/>
    <w:rsid w:val="002B16E7"/>
    <w:rsid w:val="002B176D"/>
    <w:rsid w:val="002B1F42"/>
    <w:rsid w:val="002B2307"/>
    <w:rsid w:val="002B3122"/>
    <w:rsid w:val="002B3805"/>
    <w:rsid w:val="002B4647"/>
    <w:rsid w:val="002B52B8"/>
    <w:rsid w:val="002B54DB"/>
    <w:rsid w:val="002B5E97"/>
    <w:rsid w:val="002B64C7"/>
    <w:rsid w:val="002B6728"/>
    <w:rsid w:val="002B6E49"/>
    <w:rsid w:val="002B7BA0"/>
    <w:rsid w:val="002C09E7"/>
    <w:rsid w:val="002C0AD2"/>
    <w:rsid w:val="002C0C52"/>
    <w:rsid w:val="002C0CB5"/>
    <w:rsid w:val="002C13A3"/>
    <w:rsid w:val="002C1972"/>
    <w:rsid w:val="002C1A76"/>
    <w:rsid w:val="002C2A99"/>
    <w:rsid w:val="002C3436"/>
    <w:rsid w:val="002C3EC4"/>
    <w:rsid w:val="002C3FEF"/>
    <w:rsid w:val="002C4928"/>
    <w:rsid w:val="002C5640"/>
    <w:rsid w:val="002C571D"/>
    <w:rsid w:val="002C7197"/>
    <w:rsid w:val="002D0105"/>
    <w:rsid w:val="002D05EE"/>
    <w:rsid w:val="002D07A1"/>
    <w:rsid w:val="002D1D1E"/>
    <w:rsid w:val="002D211E"/>
    <w:rsid w:val="002D2BFB"/>
    <w:rsid w:val="002D2E18"/>
    <w:rsid w:val="002D318D"/>
    <w:rsid w:val="002D4132"/>
    <w:rsid w:val="002D42E1"/>
    <w:rsid w:val="002D475F"/>
    <w:rsid w:val="002D47AE"/>
    <w:rsid w:val="002D49B9"/>
    <w:rsid w:val="002D691B"/>
    <w:rsid w:val="002D7078"/>
    <w:rsid w:val="002E0420"/>
    <w:rsid w:val="002E04B5"/>
    <w:rsid w:val="002E04BB"/>
    <w:rsid w:val="002E0746"/>
    <w:rsid w:val="002E0CE3"/>
    <w:rsid w:val="002E222C"/>
    <w:rsid w:val="002E248F"/>
    <w:rsid w:val="002E2607"/>
    <w:rsid w:val="002E3364"/>
    <w:rsid w:val="002E3C4D"/>
    <w:rsid w:val="002E3CFC"/>
    <w:rsid w:val="002E4CF7"/>
    <w:rsid w:val="002E5484"/>
    <w:rsid w:val="002E5B35"/>
    <w:rsid w:val="002E5F64"/>
    <w:rsid w:val="002E61FD"/>
    <w:rsid w:val="002E6900"/>
    <w:rsid w:val="002E6D1F"/>
    <w:rsid w:val="002E6D91"/>
    <w:rsid w:val="002E7E81"/>
    <w:rsid w:val="002F0018"/>
    <w:rsid w:val="002F0850"/>
    <w:rsid w:val="002F0AF4"/>
    <w:rsid w:val="002F2911"/>
    <w:rsid w:val="002F2BA5"/>
    <w:rsid w:val="002F2E15"/>
    <w:rsid w:val="002F42C1"/>
    <w:rsid w:val="002F4CC9"/>
    <w:rsid w:val="002F4DA5"/>
    <w:rsid w:val="0030080C"/>
    <w:rsid w:val="0030089D"/>
    <w:rsid w:val="00301463"/>
    <w:rsid w:val="00301E35"/>
    <w:rsid w:val="0030288E"/>
    <w:rsid w:val="003030E9"/>
    <w:rsid w:val="00303328"/>
    <w:rsid w:val="00303D95"/>
    <w:rsid w:val="00304202"/>
    <w:rsid w:val="003043FB"/>
    <w:rsid w:val="00304985"/>
    <w:rsid w:val="00304A36"/>
    <w:rsid w:val="00304C55"/>
    <w:rsid w:val="003051FE"/>
    <w:rsid w:val="00305C81"/>
    <w:rsid w:val="00306E5F"/>
    <w:rsid w:val="00307068"/>
    <w:rsid w:val="0030787C"/>
    <w:rsid w:val="00310355"/>
    <w:rsid w:val="00310C45"/>
    <w:rsid w:val="00310E6B"/>
    <w:rsid w:val="0031123A"/>
    <w:rsid w:val="00312F4E"/>
    <w:rsid w:val="00313B37"/>
    <w:rsid w:val="0031427F"/>
    <w:rsid w:val="003148DB"/>
    <w:rsid w:val="003155FE"/>
    <w:rsid w:val="00317042"/>
    <w:rsid w:val="00317DB5"/>
    <w:rsid w:val="00317FEC"/>
    <w:rsid w:val="0032051C"/>
    <w:rsid w:val="003207C4"/>
    <w:rsid w:val="00320C35"/>
    <w:rsid w:val="003214F6"/>
    <w:rsid w:val="00323489"/>
    <w:rsid w:val="00323880"/>
    <w:rsid w:val="0032417B"/>
    <w:rsid w:val="003256E1"/>
    <w:rsid w:val="00325FBF"/>
    <w:rsid w:val="00326514"/>
    <w:rsid w:val="003276B1"/>
    <w:rsid w:val="003277A6"/>
    <w:rsid w:val="00327A57"/>
    <w:rsid w:val="00330051"/>
    <w:rsid w:val="00330B8F"/>
    <w:rsid w:val="00330F5C"/>
    <w:rsid w:val="00330FF2"/>
    <w:rsid w:val="00331F29"/>
    <w:rsid w:val="00332563"/>
    <w:rsid w:val="00332F5A"/>
    <w:rsid w:val="0033359C"/>
    <w:rsid w:val="00333BF3"/>
    <w:rsid w:val="00333CD5"/>
    <w:rsid w:val="00334FF8"/>
    <w:rsid w:val="00335242"/>
    <w:rsid w:val="00336757"/>
    <w:rsid w:val="00336AFC"/>
    <w:rsid w:val="00336DD6"/>
    <w:rsid w:val="00336E7A"/>
    <w:rsid w:val="00342334"/>
    <w:rsid w:val="00342655"/>
    <w:rsid w:val="003435DD"/>
    <w:rsid w:val="00343A3D"/>
    <w:rsid w:val="0034459D"/>
    <w:rsid w:val="00344830"/>
    <w:rsid w:val="00344CEA"/>
    <w:rsid w:val="00344F62"/>
    <w:rsid w:val="00345C4A"/>
    <w:rsid w:val="0034615F"/>
    <w:rsid w:val="003461C2"/>
    <w:rsid w:val="0034625C"/>
    <w:rsid w:val="003468CB"/>
    <w:rsid w:val="00347837"/>
    <w:rsid w:val="003479DE"/>
    <w:rsid w:val="003503D3"/>
    <w:rsid w:val="0035065C"/>
    <w:rsid w:val="003510B9"/>
    <w:rsid w:val="00351183"/>
    <w:rsid w:val="0035233B"/>
    <w:rsid w:val="00352812"/>
    <w:rsid w:val="003529A3"/>
    <w:rsid w:val="00354A01"/>
    <w:rsid w:val="00354B01"/>
    <w:rsid w:val="00355DC9"/>
    <w:rsid w:val="003562EC"/>
    <w:rsid w:val="00356AF6"/>
    <w:rsid w:val="00356DB1"/>
    <w:rsid w:val="003579AC"/>
    <w:rsid w:val="00360754"/>
    <w:rsid w:val="00360EBA"/>
    <w:rsid w:val="003616A1"/>
    <w:rsid w:val="003619D6"/>
    <w:rsid w:val="00362206"/>
    <w:rsid w:val="003632C7"/>
    <w:rsid w:val="00363A18"/>
    <w:rsid w:val="0036514C"/>
    <w:rsid w:val="00366425"/>
    <w:rsid w:val="003666FA"/>
    <w:rsid w:val="00366A11"/>
    <w:rsid w:val="00366C51"/>
    <w:rsid w:val="00366CFD"/>
    <w:rsid w:val="00370164"/>
    <w:rsid w:val="0037056F"/>
    <w:rsid w:val="00371033"/>
    <w:rsid w:val="003711D8"/>
    <w:rsid w:val="00371A0E"/>
    <w:rsid w:val="00371F25"/>
    <w:rsid w:val="00372E4D"/>
    <w:rsid w:val="00373BE9"/>
    <w:rsid w:val="003756BB"/>
    <w:rsid w:val="00375C03"/>
    <w:rsid w:val="00376B1A"/>
    <w:rsid w:val="00377D9F"/>
    <w:rsid w:val="00377E1E"/>
    <w:rsid w:val="00380C07"/>
    <w:rsid w:val="00380F46"/>
    <w:rsid w:val="00381D4E"/>
    <w:rsid w:val="00381EDD"/>
    <w:rsid w:val="00382BAC"/>
    <w:rsid w:val="00383E1F"/>
    <w:rsid w:val="00384026"/>
    <w:rsid w:val="00384515"/>
    <w:rsid w:val="003852E0"/>
    <w:rsid w:val="0038541A"/>
    <w:rsid w:val="0038576F"/>
    <w:rsid w:val="00385929"/>
    <w:rsid w:val="00385B7D"/>
    <w:rsid w:val="00385C63"/>
    <w:rsid w:val="00386680"/>
    <w:rsid w:val="00386775"/>
    <w:rsid w:val="003869CF"/>
    <w:rsid w:val="00387094"/>
    <w:rsid w:val="003870FA"/>
    <w:rsid w:val="0038742E"/>
    <w:rsid w:val="00387533"/>
    <w:rsid w:val="00387A44"/>
    <w:rsid w:val="00387B35"/>
    <w:rsid w:val="00387C74"/>
    <w:rsid w:val="00387F5B"/>
    <w:rsid w:val="0039015B"/>
    <w:rsid w:val="00390AA0"/>
    <w:rsid w:val="003917AF"/>
    <w:rsid w:val="003917D5"/>
    <w:rsid w:val="00393930"/>
    <w:rsid w:val="00395722"/>
    <w:rsid w:val="00395E8D"/>
    <w:rsid w:val="00396B9D"/>
    <w:rsid w:val="00396D62"/>
    <w:rsid w:val="00396F3D"/>
    <w:rsid w:val="00397651"/>
    <w:rsid w:val="0039768E"/>
    <w:rsid w:val="003A0718"/>
    <w:rsid w:val="003A0AE3"/>
    <w:rsid w:val="003A1248"/>
    <w:rsid w:val="003A1729"/>
    <w:rsid w:val="003A1974"/>
    <w:rsid w:val="003A3205"/>
    <w:rsid w:val="003A39D4"/>
    <w:rsid w:val="003A39F4"/>
    <w:rsid w:val="003A3FB3"/>
    <w:rsid w:val="003A60A5"/>
    <w:rsid w:val="003A6ABA"/>
    <w:rsid w:val="003B0169"/>
    <w:rsid w:val="003B03B6"/>
    <w:rsid w:val="003B248B"/>
    <w:rsid w:val="003B2E4B"/>
    <w:rsid w:val="003B3CCF"/>
    <w:rsid w:val="003B3D00"/>
    <w:rsid w:val="003B4523"/>
    <w:rsid w:val="003B4F86"/>
    <w:rsid w:val="003B5902"/>
    <w:rsid w:val="003B5B09"/>
    <w:rsid w:val="003B5ED5"/>
    <w:rsid w:val="003B60E6"/>
    <w:rsid w:val="003B6113"/>
    <w:rsid w:val="003B63ED"/>
    <w:rsid w:val="003B6C1F"/>
    <w:rsid w:val="003B6E7B"/>
    <w:rsid w:val="003B758F"/>
    <w:rsid w:val="003B7E5A"/>
    <w:rsid w:val="003C1037"/>
    <w:rsid w:val="003C1049"/>
    <w:rsid w:val="003C104E"/>
    <w:rsid w:val="003C1DFF"/>
    <w:rsid w:val="003C2180"/>
    <w:rsid w:val="003C2774"/>
    <w:rsid w:val="003C2A0B"/>
    <w:rsid w:val="003C2A7D"/>
    <w:rsid w:val="003C32EE"/>
    <w:rsid w:val="003C335D"/>
    <w:rsid w:val="003C3431"/>
    <w:rsid w:val="003C3AC5"/>
    <w:rsid w:val="003C4CE6"/>
    <w:rsid w:val="003C5DC4"/>
    <w:rsid w:val="003C6666"/>
    <w:rsid w:val="003C76A4"/>
    <w:rsid w:val="003D006C"/>
    <w:rsid w:val="003D0D20"/>
    <w:rsid w:val="003D1113"/>
    <w:rsid w:val="003D1D17"/>
    <w:rsid w:val="003D2724"/>
    <w:rsid w:val="003D3394"/>
    <w:rsid w:val="003D514C"/>
    <w:rsid w:val="003D55F3"/>
    <w:rsid w:val="003D5869"/>
    <w:rsid w:val="003D5FE3"/>
    <w:rsid w:val="003D6A71"/>
    <w:rsid w:val="003D737E"/>
    <w:rsid w:val="003D7AAF"/>
    <w:rsid w:val="003E00C3"/>
    <w:rsid w:val="003E12CE"/>
    <w:rsid w:val="003E15A5"/>
    <w:rsid w:val="003E312F"/>
    <w:rsid w:val="003E317A"/>
    <w:rsid w:val="003E3683"/>
    <w:rsid w:val="003E3750"/>
    <w:rsid w:val="003E3E51"/>
    <w:rsid w:val="003E4638"/>
    <w:rsid w:val="003E4941"/>
    <w:rsid w:val="003E4E2A"/>
    <w:rsid w:val="003E640B"/>
    <w:rsid w:val="003E6646"/>
    <w:rsid w:val="003E6C6B"/>
    <w:rsid w:val="003E7401"/>
    <w:rsid w:val="003E7A90"/>
    <w:rsid w:val="003E7D1D"/>
    <w:rsid w:val="003F01A2"/>
    <w:rsid w:val="003F0C14"/>
    <w:rsid w:val="003F1566"/>
    <w:rsid w:val="003F1FDD"/>
    <w:rsid w:val="003F2F60"/>
    <w:rsid w:val="003F4432"/>
    <w:rsid w:val="003F5310"/>
    <w:rsid w:val="003F5B19"/>
    <w:rsid w:val="003F69E2"/>
    <w:rsid w:val="003F6ECB"/>
    <w:rsid w:val="003F721E"/>
    <w:rsid w:val="00400538"/>
    <w:rsid w:val="004006D2"/>
    <w:rsid w:val="004013DE"/>
    <w:rsid w:val="00401C93"/>
    <w:rsid w:val="00401E93"/>
    <w:rsid w:val="004023CC"/>
    <w:rsid w:val="00402FCD"/>
    <w:rsid w:val="00403284"/>
    <w:rsid w:val="004050EB"/>
    <w:rsid w:val="00405762"/>
    <w:rsid w:val="00405898"/>
    <w:rsid w:val="00407172"/>
    <w:rsid w:val="004079FA"/>
    <w:rsid w:val="00410D53"/>
    <w:rsid w:val="00410DB2"/>
    <w:rsid w:val="00410DEF"/>
    <w:rsid w:val="00411455"/>
    <w:rsid w:val="004118F0"/>
    <w:rsid w:val="004119EE"/>
    <w:rsid w:val="00411FBD"/>
    <w:rsid w:val="00411FC4"/>
    <w:rsid w:val="004130F6"/>
    <w:rsid w:val="004142FC"/>
    <w:rsid w:val="0041525D"/>
    <w:rsid w:val="00415A12"/>
    <w:rsid w:val="00415B3D"/>
    <w:rsid w:val="0041616F"/>
    <w:rsid w:val="00417530"/>
    <w:rsid w:val="00417D06"/>
    <w:rsid w:val="004202A9"/>
    <w:rsid w:val="00421233"/>
    <w:rsid w:val="00421267"/>
    <w:rsid w:val="00421270"/>
    <w:rsid w:val="00421FAF"/>
    <w:rsid w:val="004221CA"/>
    <w:rsid w:val="00422633"/>
    <w:rsid w:val="00422F3C"/>
    <w:rsid w:val="00422F5D"/>
    <w:rsid w:val="0042307B"/>
    <w:rsid w:val="00424517"/>
    <w:rsid w:val="004245AE"/>
    <w:rsid w:val="00424F05"/>
    <w:rsid w:val="00425264"/>
    <w:rsid w:val="004259F1"/>
    <w:rsid w:val="004262B3"/>
    <w:rsid w:val="00426466"/>
    <w:rsid w:val="004270DC"/>
    <w:rsid w:val="0042748E"/>
    <w:rsid w:val="00430371"/>
    <w:rsid w:val="0043062B"/>
    <w:rsid w:val="00430BD1"/>
    <w:rsid w:val="00431107"/>
    <w:rsid w:val="004314F0"/>
    <w:rsid w:val="0043218A"/>
    <w:rsid w:val="00432907"/>
    <w:rsid w:val="00433935"/>
    <w:rsid w:val="00434C03"/>
    <w:rsid w:val="004370E9"/>
    <w:rsid w:val="004373B5"/>
    <w:rsid w:val="004379F8"/>
    <w:rsid w:val="00437CB8"/>
    <w:rsid w:val="00440691"/>
    <w:rsid w:val="00440DD7"/>
    <w:rsid w:val="0044270D"/>
    <w:rsid w:val="00442AEC"/>
    <w:rsid w:val="004442F2"/>
    <w:rsid w:val="00444542"/>
    <w:rsid w:val="00444996"/>
    <w:rsid w:val="004449E9"/>
    <w:rsid w:val="00445BF4"/>
    <w:rsid w:val="00446676"/>
    <w:rsid w:val="004468DB"/>
    <w:rsid w:val="00447339"/>
    <w:rsid w:val="004512D1"/>
    <w:rsid w:val="004514BE"/>
    <w:rsid w:val="00451981"/>
    <w:rsid w:val="00451B29"/>
    <w:rsid w:val="004527B5"/>
    <w:rsid w:val="004527CB"/>
    <w:rsid w:val="0045341D"/>
    <w:rsid w:val="00453E27"/>
    <w:rsid w:val="00453F51"/>
    <w:rsid w:val="004546A2"/>
    <w:rsid w:val="004549BF"/>
    <w:rsid w:val="00455182"/>
    <w:rsid w:val="00457C30"/>
    <w:rsid w:val="0046098B"/>
    <w:rsid w:val="00460AB8"/>
    <w:rsid w:val="00460F4E"/>
    <w:rsid w:val="00461EE0"/>
    <w:rsid w:val="00462420"/>
    <w:rsid w:val="00462579"/>
    <w:rsid w:val="004626B3"/>
    <w:rsid w:val="00464116"/>
    <w:rsid w:val="00464796"/>
    <w:rsid w:val="00464F5F"/>
    <w:rsid w:val="004652DD"/>
    <w:rsid w:val="00465CE2"/>
    <w:rsid w:val="0046618F"/>
    <w:rsid w:val="0046775B"/>
    <w:rsid w:val="00467990"/>
    <w:rsid w:val="00467AFF"/>
    <w:rsid w:val="00467D0D"/>
    <w:rsid w:val="0047017C"/>
    <w:rsid w:val="00470C2E"/>
    <w:rsid w:val="00471226"/>
    <w:rsid w:val="00471ACC"/>
    <w:rsid w:val="0047302B"/>
    <w:rsid w:val="004731B8"/>
    <w:rsid w:val="004739FD"/>
    <w:rsid w:val="00474698"/>
    <w:rsid w:val="00474CCC"/>
    <w:rsid w:val="0047512E"/>
    <w:rsid w:val="00475390"/>
    <w:rsid w:val="0047598D"/>
    <w:rsid w:val="00476166"/>
    <w:rsid w:val="0047697C"/>
    <w:rsid w:val="0047749A"/>
    <w:rsid w:val="004777A4"/>
    <w:rsid w:val="004801D0"/>
    <w:rsid w:val="004804F8"/>
    <w:rsid w:val="0048127C"/>
    <w:rsid w:val="004814E3"/>
    <w:rsid w:val="004819DA"/>
    <w:rsid w:val="00481F6C"/>
    <w:rsid w:val="004825B8"/>
    <w:rsid w:val="0048287C"/>
    <w:rsid w:val="00482C63"/>
    <w:rsid w:val="00483284"/>
    <w:rsid w:val="004841CE"/>
    <w:rsid w:val="0048553F"/>
    <w:rsid w:val="00485BCD"/>
    <w:rsid w:val="00486E8A"/>
    <w:rsid w:val="004874B7"/>
    <w:rsid w:val="00487EE8"/>
    <w:rsid w:val="004904B2"/>
    <w:rsid w:val="004905E2"/>
    <w:rsid w:val="0049158C"/>
    <w:rsid w:val="00491CA0"/>
    <w:rsid w:val="00493443"/>
    <w:rsid w:val="004938BE"/>
    <w:rsid w:val="00493D33"/>
    <w:rsid w:val="00494527"/>
    <w:rsid w:val="00494B2E"/>
    <w:rsid w:val="00495EF3"/>
    <w:rsid w:val="00495F46"/>
    <w:rsid w:val="004967C4"/>
    <w:rsid w:val="00497A1F"/>
    <w:rsid w:val="004A02EE"/>
    <w:rsid w:val="004A0912"/>
    <w:rsid w:val="004A1D96"/>
    <w:rsid w:val="004A3031"/>
    <w:rsid w:val="004A32FF"/>
    <w:rsid w:val="004A3525"/>
    <w:rsid w:val="004A3653"/>
    <w:rsid w:val="004A3679"/>
    <w:rsid w:val="004A3CCD"/>
    <w:rsid w:val="004A4478"/>
    <w:rsid w:val="004A4F9E"/>
    <w:rsid w:val="004A5A65"/>
    <w:rsid w:val="004A67B0"/>
    <w:rsid w:val="004A6D12"/>
    <w:rsid w:val="004A6EBF"/>
    <w:rsid w:val="004A6EEE"/>
    <w:rsid w:val="004B03A0"/>
    <w:rsid w:val="004B0AC2"/>
    <w:rsid w:val="004B0B23"/>
    <w:rsid w:val="004B0EF7"/>
    <w:rsid w:val="004B1308"/>
    <w:rsid w:val="004B1528"/>
    <w:rsid w:val="004B1B7C"/>
    <w:rsid w:val="004B1F66"/>
    <w:rsid w:val="004B24D4"/>
    <w:rsid w:val="004B25FB"/>
    <w:rsid w:val="004B2A91"/>
    <w:rsid w:val="004B2F06"/>
    <w:rsid w:val="004B3192"/>
    <w:rsid w:val="004B31D9"/>
    <w:rsid w:val="004B3ED5"/>
    <w:rsid w:val="004B4045"/>
    <w:rsid w:val="004B457A"/>
    <w:rsid w:val="004B4786"/>
    <w:rsid w:val="004B53A6"/>
    <w:rsid w:val="004B57D8"/>
    <w:rsid w:val="004B5EFA"/>
    <w:rsid w:val="004B6858"/>
    <w:rsid w:val="004B6B15"/>
    <w:rsid w:val="004B72CD"/>
    <w:rsid w:val="004B77A8"/>
    <w:rsid w:val="004B7E54"/>
    <w:rsid w:val="004C03FF"/>
    <w:rsid w:val="004C068F"/>
    <w:rsid w:val="004C07DE"/>
    <w:rsid w:val="004C1702"/>
    <w:rsid w:val="004C18C7"/>
    <w:rsid w:val="004C211C"/>
    <w:rsid w:val="004C2768"/>
    <w:rsid w:val="004C28EA"/>
    <w:rsid w:val="004C2BA6"/>
    <w:rsid w:val="004C3A32"/>
    <w:rsid w:val="004C487F"/>
    <w:rsid w:val="004C5146"/>
    <w:rsid w:val="004C541E"/>
    <w:rsid w:val="004C599B"/>
    <w:rsid w:val="004C5A44"/>
    <w:rsid w:val="004C6674"/>
    <w:rsid w:val="004C6B13"/>
    <w:rsid w:val="004C6F96"/>
    <w:rsid w:val="004C7997"/>
    <w:rsid w:val="004D0B6B"/>
    <w:rsid w:val="004D19A0"/>
    <w:rsid w:val="004D22FA"/>
    <w:rsid w:val="004D3F5B"/>
    <w:rsid w:val="004D4156"/>
    <w:rsid w:val="004D44C1"/>
    <w:rsid w:val="004D461F"/>
    <w:rsid w:val="004D5081"/>
    <w:rsid w:val="004D6338"/>
    <w:rsid w:val="004D6726"/>
    <w:rsid w:val="004D728F"/>
    <w:rsid w:val="004D7572"/>
    <w:rsid w:val="004D7E44"/>
    <w:rsid w:val="004E0315"/>
    <w:rsid w:val="004E0984"/>
    <w:rsid w:val="004E16D2"/>
    <w:rsid w:val="004E2954"/>
    <w:rsid w:val="004E2E5D"/>
    <w:rsid w:val="004E365A"/>
    <w:rsid w:val="004E420B"/>
    <w:rsid w:val="004E5581"/>
    <w:rsid w:val="004E576E"/>
    <w:rsid w:val="004E57DB"/>
    <w:rsid w:val="004E5D95"/>
    <w:rsid w:val="004E601F"/>
    <w:rsid w:val="004E6CC5"/>
    <w:rsid w:val="004E71F9"/>
    <w:rsid w:val="004E72CF"/>
    <w:rsid w:val="004E7B0F"/>
    <w:rsid w:val="004F0D3B"/>
    <w:rsid w:val="004F1583"/>
    <w:rsid w:val="004F1AA1"/>
    <w:rsid w:val="004F1BF8"/>
    <w:rsid w:val="004F1C33"/>
    <w:rsid w:val="004F1EF3"/>
    <w:rsid w:val="004F287B"/>
    <w:rsid w:val="004F28E6"/>
    <w:rsid w:val="004F4240"/>
    <w:rsid w:val="004F4ADA"/>
    <w:rsid w:val="004F52B5"/>
    <w:rsid w:val="004F56D8"/>
    <w:rsid w:val="004F59B9"/>
    <w:rsid w:val="004F70CB"/>
    <w:rsid w:val="004F7861"/>
    <w:rsid w:val="00501568"/>
    <w:rsid w:val="00501930"/>
    <w:rsid w:val="005021DB"/>
    <w:rsid w:val="005028F9"/>
    <w:rsid w:val="00502CFD"/>
    <w:rsid w:val="00503B0C"/>
    <w:rsid w:val="00504E10"/>
    <w:rsid w:val="005052DA"/>
    <w:rsid w:val="00505903"/>
    <w:rsid w:val="00505A5E"/>
    <w:rsid w:val="00505E8B"/>
    <w:rsid w:val="005060A6"/>
    <w:rsid w:val="005060D9"/>
    <w:rsid w:val="00506351"/>
    <w:rsid w:val="00506C1F"/>
    <w:rsid w:val="00506E75"/>
    <w:rsid w:val="00510260"/>
    <w:rsid w:val="005104C2"/>
    <w:rsid w:val="005104C6"/>
    <w:rsid w:val="005114E1"/>
    <w:rsid w:val="00512282"/>
    <w:rsid w:val="00512B86"/>
    <w:rsid w:val="00513541"/>
    <w:rsid w:val="005136C5"/>
    <w:rsid w:val="00514293"/>
    <w:rsid w:val="00514D6A"/>
    <w:rsid w:val="00515142"/>
    <w:rsid w:val="005153C0"/>
    <w:rsid w:val="005157EE"/>
    <w:rsid w:val="00515D4D"/>
    <w:rsid w:val="00515E22"/>
    <w:rsid w:val="005164CE"/>
    <w:rsid w:val="0051711E"/>
    <w:rsid w:val="00517844"/>
    <w:rsid w:val="0052021D"/>
    <w:rsid w:val="00520295"/>
    <w:rsid w:val="0052044C"/>
    <w:rsid w:val="0052060E"/>
    <w:rsid w:val="005218AE"/>
    <w:rsid w:val="00522E48"/>
    <w:rsid w:val="00523E95"/>
    <w:rsid w:val="00524A98"/>
    <w:rsid w:val="00524AB1"/>
    <w:rsid w:val="00524E61"/>
    <w:rsid w:val="00525258"/>
    <w:rsid w:val="00525362"/>
    <w:rsid w:val="005253D5"/>
    <w:rsid w:val="0052577F"/>
    <w:rsid w:val="00525AD8"/>
    <w:rsid w:val="00525BA0"/>
    <w:rsid w:val="00526094"/>
    <w:rsid w:val="00526F36"/>
    <w:rsid w:val="00527A51"/>
    <w:rsid w:val="00527B84"/>
    <w:rsid w:val="00527D14"/>
    <w:rsid w:val="0053028D"/>
    <w:rsid w:val="00530449"/>
    <w:rsid w:val="00530F17"/>
    <w:rsid w:val="0053221B"/>
    <w:rsid w:val="005326D7"/>
    <w:rsid w:val="00532A5F"/>
    <w:rsid w:val="0053376A"/>
    <w:rsid w:val="00534798"/>
    <w:rsid w:val="00534C06"/>
    <w:rsid w:val="00534DDE"/>
    <w:rsid w:val="00534F4E"/>
    <w:rsid w:val="005351A0"/>
    <w:rsid w:val="0053595C"/>
    <w:rsid w:val="005375DF"/>
    <w:rsid w:val="00537B19"/>
    <w:rsid w:val="00540609"/>
    <w:rsid w:val="005437CC"/>
    <w:rsid w:val="00543E3A"/>
    <w:rsid w:val="005444CD"/>
    <w:rsid w:val="00545AFC"/>
    <w:rsid w:val="00545F19"/>
    <w:rsid w:val="00546453"/>
    <w:rsid w:val="00547856"/>
    <w:rsid w:val="005478EF"/>
    <w:rsid w:val="00547D89"/>
    <w:rsid w:val="00550474"/>
    <w:rsid w:val="00551263"/>
    <w:rsid w:val="0055152E"/>
    <w:rsid w:val="00551FDA"/>
    <w:rsid w:val="0055280A"/>
    <w:rsid w:val="005541E7"/>
    <w:rsid w:val="005552E3"/>
    <w:rsid w:val="0055693E"/>
    <w:rsid w:val="005569E7"/>
    <w:rsid w:val="00560635"/>
    <w:rsid w:val="00560CAC"/>
    <w:rsid w:val="00560E36"/>
    <w:rsid w:val="00561CB8"/>
    <w:rsid w:val="00562D11"/>
    <w:rsid w:val="00562D74"/>
    <w:rsid w:val="00563037"/>
    <w:rsid w:val="00563F10"/>
    <w:rsid w:val="00564155"/>
    <w:rsid w:val="00564BDA"/>
    <w:rsid w:val="00565BFB"/>
    <w:rsid w:val="005674A7"/>
    <w:rsid w:val="005676C8"/>
    <w:rsid w:val="005679BB"/>
    <w:rsid w:val="005701C0"/>
    <w:rsid w:val="00570468"/>
    <w:rsid w:val="0057091A"/>
    <w:rsid w:val="00571299"/>
    <w:rsid w:val="005714F2"/>
    <w:rsid w:val="00571BD7"/>
    <w:rsid w:val="00571D45"/>
    <w:rsid w:val="00572619"/>
    <w:rsid w:val="00572A59"/>
    <w:rsid w:val="00573009"/>
    <w:rsid w:val="00573749"/>
    <w:rsid w:val="005739CD"/>
    <w:rsid w:val="00574019"/>
    <w:rsid w:val="005744A5"/>
    <w:rsid w:val="00574FAA"/>
    <w:rsid w:val="00574FEB"/>
    <w:rsid w:val="005754CA"/>
    <w:rsid w:val="00575510"/>
    <w:rsid w:val="00576076"/>
    <w:rsid w:val="00576A4F"/>
    <w:rsid w:val="00576B99"/>
    <w:rsid w:val="00577004"/>
    <w:rsid w:val="00577C04"/>
    <w:rsid w:val="00577D6E"/>
    <w:rsid w:val="00580059"/>
    <w:rsid w:val="00580133"/>
    <w:rsid w:val="00580E99"/>
    <w:rsid w:val="00580F4D"/>
    <w:rsid w:val="005813EB"/>
    <w:rsid w:val="005817F0"/>
    <w:rsid w:val="005818F4"/>
    <w:rsid w:val="005820D7"/>
    <w:rsid w:val="005823F8"/>
    <w:rsid w:val="005834C6"/>
    <w:rsid w:val="00583C5C"/>
    <w:rsid w:val="00584DA2"/>
    <w:rsid w:val="0058501B"/>
    <w:rsid w:val="005860F2"/>
    <w:rsid w:val="005866A9"/>
    <w:rsid w:val="005867B0"/>
    <w:rsid w:val="00586A27"/>
    <w:rsid w:val="00587133"/>
    <w:rsid w:val="005917AD"/>
    <w:rsid w:val="00591CC0"/>
    <w:rsid w:val="00591FF5"/>
    <w:rsid w:val="00592949"/>
    <w:rsid w:val="00592C28"/>
    <w:rsid w:val="00593517"/>
    <w:rsid w:val="005937B4"/>
    <w:rsid w:val="0059482B"/>
    <w:rsid w:val="0059589C"/>
    <w:rsid w:val="005965A2"/>
    <w:rsid w:val="00597425"/>
    <w:rsid w:val="00597D19"/>
    <w:rsid w:val="00597FE3"/>
    <w:rsid w:val="00597FF7"/>
    <w:rsid w:val="005A0495"/>
    <w:rsid w:val="005A1859"/>
    <w:rsid w:val="005A1958"/>
    <w:rsid w:val="005A1E5D"/>
    <w:rsid w:val="005A2DE8"/>
    <w:rsid w:val="005A3081"/>
    <w:rsid w:val="005A33CF"/>
    <w:rsid w:val="005A357C"/>
    <w:rsid w:val="005A3946"/>
    <w:rsid w:val="005A4017"/>
    <w:rsid w:val="005A4237"/>
    <w:rsid w:val="005A4F09"/>
    <w:rsid w:val="005A52A6"/>
    <w:rsid w:val="005A5F68"/>
    <w:rsid w:val="005A611A"/>
    <w:rsid w:val="005A6DD6"/>
    <w:rsid w:val="005A7265"/>
    <w:rsid w:val="005A7294"/>
    <w:rsid w:val="005B057C"/>
    <w:rsid w:val="005B2030"/>
    <w:rsid w:val="005B2B94"/>
    <w:rsid w:val="005B2E1E"/>
    <w:rsid w:val="005B35F3"/>
    <w:rsid w:val="005B3BCB"/>
    <w:rsid w:val="005B484F"/>
    <w:rsid w:val="005B4B18"/>
    <w:rsid w:val="005B4EE2"/>
    <w:rsid w:val="005B53AD"/>
    <w:rsid w:val="005B621A"/>
    <w:rsid w:val="005B6908"/>
    <w:rsid w:val="005B6AAF"/>
    <w:rsid w:val="005B6D11"/>
    <w:rsid w:val="005B70AB"/>
    <w:rsid w:val="005B7265"/>
    <w:rsid w:val="005C06F7"/>
    <w:rsid w:val="005C0DE5"/>
    <w:rsid w:val="005C11EC"/>
    <w:rsid w:val="005C2649"/>
    <w:rsid w:val="005C288D"/>
    <w:rsid w:val="005C2EFD"/>
    <w:rsid w:val="005C35FA"/>
    <w:rsid w:val="005C3ABF"/>
    <w:rsid w:val="005C40FB"/>
    <w:rsid w:val="005C49FA"/>
    <w:rsid w:val="005C4D9A"/>
    <w:rsid w:val="005C6C51"/>
    <w:rsid w:val="005C756A"/>
    <w:rsid w:val="005C77E2"/>
    <w:rsid w:val="005C7C81"/>
    <w:rsid w:val="005C7F1D"/>
    <w:rsid w:val="005D0747"/>
    <w:rsid w:val="005D0D13"/>
    <w:rsid w:val="005D0E66"/>
    <w:rsid w:val="005D14E2"/>
    <w:rsid w:val="005D2EEE"/>
    <w:rsid w:val="005D32A2"/>
    <w:rsid w:val="005D3473"/>
    <w:rsid w:val="005D3E26"/>
    <w:rsid w:val="005D4434"/>
    <w:rsid w:val="005D77C7"/>
    <w:rsid w:val="005E2598"/>
    <w:rsid w:val="005E333F"/>
    <w:rsid w:val="005E36FC"/>
    <w:rsid w:val="005E370E"/>
    <w:rsid w:val="005E3F54"/>
    <w:rsid w:val="005E4BA6"/>
    <w:rsid w:val="005E4D18"/>
    <w:rsid w:val="005E5B70"/>
    <w:rsid w:val="005E65E7"/>
    <w:rsid w:val="005E763D"/>
    <w:rsid w:val="005E78EA"/>
    <w:rsid w:val="005F0318"/>
    <w:rsid w:val="005F0D44"/>
    <w:rsid w:val="005F106E"/>
    <w:rsid w:val="005F16DF"/>
    <w:rsid w:val="005F1B90"/>
    <w:rsid w:val="005F2182"/>
    <w:rsid w:val="005F26DA"/>
    <w:rsid w:val="005F2E61"/>
    <w:rsid w:val="005F3193"/>
    <w:rsid w:val="005F40A2"/>
    <w:rsid w:val="005F450F"/>
    <w:rsid w:val="005F4510"/>
    <w:rsid w:val="005F5A7D"/>
    <w:rsid w:val="005F5D34"/>
    <w:rsid w:val="005F7CEE"/>
    <w:rsid w:val="005F7E08"/>
    <w:rsid w:val="0060016D"/>
    <w:rsid w:val="00600D1C"/>
    <w:rsid w:val="00601439"/>
    <w:rsid w:val="00602019"/>
    <w:rsid w:val="00603975"/>
    <w:rsid w:val="006039A4"/>
    <w:rsid w:val="00603C1A"/>
    <w:rsid w:val="0060423A"/>
    <w:rsid w:val="006047A9"/>
    <w:rsid w:val="00604FBD"/>
    <w:rsid w:val="00605F8C"/>
    <w:rsid w:val="00606566"/>
    <w:rsid w:val="00606C5F"/>
    <w:rsid w:val="00607145"/>
    <w:rsid w:val="00607305"/>
    <w:rsid w:val="00607898"/>
    <w:rsid w:val="006104B4"/>
    <w:rsid w:val="006105B6"/>
    <w:rsid w:val="00610F9D"/>
    <w:rsid w:val="00611338"/>
    <w:rsid w:val="00611DA0"/>
    <w:rsid w:val="00611DAF"/>
    <w:rsid w:val="00612365"/>
    <w:rsid w:val="006125A9"/>
    <w:rsid w:val="00612D53"/>
    <w:rsid w:val="00612D57"/>
    <w:rsid w:val="00613112"/>
    <w:rsid w:val="00613408"/>
    <w:rsid w:val="00613492"/>
    <w:rsid w:val="00613B5B"/>
    <w:rsid w:val="00613CB3"/>
    <w:rsid w:val="0061413A"/>
    <w:rsid w:val="0061418F"/>
    <w:rsid w:val="00615D63"/>
    <w:rsid w:val="00616221"/>
    <w:rsid w:val="00616441"/>
    <w:rsid w:val="00616BD3"/>
    <w:rsid w:val="00617616"/>
    <w:rsid w:val="00617CB9"/>
    <w:rsid w:val="006205D2"/>
    <w:rsid w:val="00620844"/>
    <w:rsid w:val="006208EC"/>
    <w:rsid w:val="006215E8"/>
    <w:rsid w:val="00621B32"/>
    <w:rsid w:val="00622480"/>
    <w:rsid w:val="006229F4"/>
    <w:rsid w:val="006235E5"/>
    <w:rsid w:val="00623B24"/>
    <w:rsid w:val="006244BF"/>
    <w:rsid w:val="0062483A"/>
    <w:rsid w:val="006256AB"/>
    <w:rsid w:val="00625DBF"/>
    <w:rsid w:val="00626314"/>
    <w:rsid w:val="00626E21"/>
    <w:rsid w:val="00626E55"/>
    <w:rsid w:val="0062763C"/>
    <w:rsid w:val="00630038"/>
    <w:rsid w:val="00631AA5"/>
    <w:rsid w:val="00631EAD"/>
    <w:rsid w:val="006321C0"/>
    <w:rsid w:val="00633255"/>
    <w:rsid w:val="0063370F"/>
    <w:rsid w:val="00633BAF"/>
    <w:rsid w:val="00633D53"/>
    <w:rsid w:val="006340ED"/>
    <w:rsid w:val="00634C1F"/>
    <w:rsid w:val="0063502F"/>
    <w:rsid w:val="00636500"/>
    <w:rsid w:val="0063659E"/>
    <w:rsid w:val="00636729"/>
    <w:rsid w:val="00637C64"/>
    <w:rsid w:val="00637DED"/>
    <w:rsid w:val="00640567"/>
    <w:rsid w:val="00640FFB"/>
    <w:rsid w:val="0064146F"/>
    <w:rsid w:val="00642E17"/>
    <w:rsid w:val="006437C7"/>
    <w:rsid w:val="00643C8D"/>
    <w:rsid w:val="00645152"/>
    <w:rsid w:val="006458EB"/>
    <w:rsid w:val="00646910"/>
    <w:rsid w:val="00646A9B"/>
    <w:rsid w:val="00646AF5"/>
    <w:rsid w:val="006474B2"/>
    <w:rsid w:val="0064783B"/>
    <w:rsid w:val="00647E8A"/>
    <w:rsid w:val="00650F7F"/>
    <w:rsid w:val="006516AB"/>
    <w:rsid w:val="00651F38"/>
    <w:rsid w:val="0065245F"/>
    <w:rsid w:val="006528A7"/>
    <w:rsid w:val="006533E4"/>
    <w:rsid w:val="00653585"/>
    <w:rsid w:val="0065364A"/>
    <w:rsid w:val="00653DB0"/>
    <w:rsid w:val="00655755"/>
    <w:rsid w:val="00656235"/>
    <w:rsid w:val="006566ED"/>
    <w:rsid w:val="0065690A"/>
    <w:rsid w:val="0065728B"/>
    <w:rsid w:val="00657813"/>
    <w:rsid w:val="00657819"/>
    <w:rsid w:val="0066087D"/>
    <w:rsid w:val="00660CA2"/>
    <w:rsid w:val="006615AC"/>
    <w:rsid w:val="0066187F"/>
    <w:rsid w:val="00661D48"/>
    <w:rsid w:val="00661F2D"/>
    <w:rsid w:val="00663528"/>
    <w:rsid w:val="00663CE6"/>
    <w:rsid w:val="00663EA2"/>
    <w:rsid w:val="00665839"/>
    <w:rsid w:val="006666EF"/>
    <w:rsid w:val="0066789A"/>
    <w:rsid w:val="006703FC"/>
    <w:rsid w:val="00670890"/>
    <w:rsid w:val="006715CE"/>
    <w:rsid w:val="006719E4"/>
    <w:rsid w:val="00671AC9"/>
    <w:rsid w:val="00671F4B"/>
    <w:rsid w:val="0067230B"/>
    <w:rsid w:val="00672D1F"/>
    <w:rsid w:val="00673549"/>
    <w:rsid w:val="00673A95"/>
    <w:rsid w:val="00674E64"/>
    <w:rsid w:val="006755A1"/>
    <w:rsid w:val="0067605A"/>
    <w:rsid w:val="00676837"/>
    <w:rsid w:val="00677E21"/>
    <w:rsid w:val="006814CE"/>
    <w:rsid w:val="00682BA0"/>
    <w:rsid w:val="00683A1C"/>
    <w:rsid w:val="00683C38"/>
    <w:rsid w:val="00684876"/>
    <w:rsid w:val="00684AEA"/>
    <w:rsid w:val="006853A2"/>
    <w:rsid w:val="00686736"/>
    <w:rsid w:val="00686BC1"/>
    <w:rsid w:val="00686D79"/>
    <w:rsid w:val="00687260"/>
    <w:rsid w:val="00690051"/>
    <w:rsid w:val="006902A1"/>
    <w:rsid w:val="0069096A"/>
    <w:rsid w:val="00690C1F"/>
    <w:rsid w:val="00691D63"/>
    <w:rsid w:val="006940F1"/>
    <w:rsid w:val="0069425C"/>
    <w:rsid w:val="0069448E"/>
    <w:rsid w:val="006944C5"/>
    <w:rsid w:val="006944F7"/>
    <w:rsid w:val="0069502E"/>
    <w:rsid w:val="00695770"/>
    <w:rsid w:val="006958B0"/>
    <w:rsid w:val="00695C78"/>
    <w:rsid w:val="00696F78"/>
    <w:rsid w:val="00697382"/>
    <w:rsid w:val="00697724"/>
    <w:rsid w:val="006A0140"/>
    <w:rsid w:val="006A031A"/>
    <w:rsid w:val="006A1BE8"/>
    <w:rsid w:val="006A1BEF"/>
    <w:rsid w:val="006A2492"/>
    <w:rsid w:val="006A2646"/>
    <w:rsid w:val="006A28CE"/>
    <w:rsid w:val="006A2971"/>
    <w:rsid w:val="006A48F5"/>
    <w:rsid w:val="006A4E10"/>
    <w:rsid w:val="006A504C"/>
    <w:rsid w:val="006A60B5"/>
    <w:rsid w:val="006A619A"/>
    <w:rsid w:val="006A66F4"/>
    <w:rsid w:val="006A789C"/>
    <w:rsid w:val="006A7C3F"/>
    <w:rsid w:val="006A7CA1"/>
    <w:rsid w:val="006B041F"/>
    <w:rsid w:val="006B051D"/>
    <w:rsid w:val="006B0787"/>
    <w:rsid w:val="006B0889"/>
    <w:rsid w:val="006B0BA0"/>
    <w:rsid w:val="006B1007"/>
    <w:rsid w:val="006B1227"/>
    <w:rsid w:val="006B2217"/>
    <w:rsid w:val="006B2493"/>
    <w:rsid w:val="006B314E"/>
    <w:rsid w:val="006B3D79"/>
    <w:rsid w:val="006B48CE"/>
    <w:rsid w:val="006B50FE"/>
    <w:rsid w:val="006B5B76"/>
    <w:rsid w:val="006B5F21"/>
    <w:rsid w:val="006B69D6"/>
    <w:rsid w:val="006B76C3"/>
    <w:rsid w:val="006B7E63"/>
    <w:rsid w:val="006C025B"/>
    <w:rsid w:val="006C0E63"/>
    <w:rsid w:val="006C106B"/>
    <w:rsid w:val="006C154D"/>
    <w:rsid w:val="006C2389"/>
    <w:rsid w:val="006C23AF"/>
    <w:rsid w:val="006C2ADE"/>
    <w:rsid w:val="006C2F27"/>
    <w:rsid w:val="006C365B"/>
    <w:rsid w:val="006C3D11"/>
    <w:rsid w:val="006C457F"/>
    <w:rsid w:val="006C4A33"/>
    <w:rsid w:val="006C523D"/>
    <w:rsid w:val="006C547C"/>
    <w:rsid w:val="006C5944"/>
    <w:rsid w:val="006C5948"/>
    <w:rsid w:val="006C633C"/>
    <w:rsid w:val="006C63C9"/>
    <w:rsid w:val="006C6CB6"/>
    <w:rsid w:val="006C7009"/>
    <w:rsid w:val="006D0854"/>
    <w:rsid w:val="006D08CC"/>
    <w:rsid w:val="006D0C6D"/>
    <w:rsid w:val="006D0F50"/>
    <w:rsid w:val="006D131B"/>
    <w:rsid w:val="006D1CBD"/>
    <w:rsid w:val="006D2688"/>
    <w:rsid w:val="006D2BE2"/>
    <w:rsid w:val="006D2CDD"/>
    <w:rsid w:val="006D39C6"/>
    <w:rsid w:val="006D400E"/>
    <w:rsid w:val="006D47C6"/>
    <w:rsid w:val="006D5474"/>
    <w:rsid w:val="006D5549"/>
    <w:rsid w:val="006D6696"/>
    <w:rsid w:val="006D67F5"/>
    <w:rsid w:val="006D690A"/>
    <w:rsid w:val="006D6D1D"/>
    <w:rsid w:val="006D7293"/>
    <w:rsid w:val="006D72AC"/>
    <w:rsid w:val="006D75F1"/>
    <w:rsid w:val="006E0CEF"/>
    <w:rsid w:val="006E2776"/>
    <w:rsid w:val="006E44CA"/>
    <w:rsid w:val="006E4DE0"/>
    <w:rsid w:val="006E5889"/>
    <w:rsid w:val="006E606E"/>
    <w:rsid w:val="006E6FF7"/>
    <w:rsid w:val="006F038E"/>
    <w:rsid w:val="006F0710"/>
    <w:rsid w:val="006F09C2"/>
    <w:rsid w:val="006F1CEB"/>
    <w:rsid w:val="006F2955"/>
    <w:rsid w:val="006F30BE"/>
    <w:rsid w:val="006F4A7D"/>
    <w:rsid w:val="006F4B61"/>
    <w:rsid w:val="006F4BDE"/>
    <w:rsid w:val="006F6891"/>
    <w:rsid w:val="006F6D53"/>
    <w:rsid w:val="006F759C"/>
    <w:rsid w:val="00700E5A"/>
    <w:rsid w:val="007010E4"/>
    <w:rsid w:val="00701EC8"/>
    <w:rsid w:val="0070260A"/>
    <w:rsid w:val="0070276C"/>
    <w:rsid w:val="007029C3"/>
    <w:rsid w:val="00703648"/>
    <w:rsid w:val="007042B6"/>
    <w:rsid w:val="007044BF"/>
    <w:rsid w:val="00704505"/>
    <w:rsid w:val="00705918"/>
    <w:rsid w:val="00706959"/>
    <w:rsid w:val="00707304"/>
    <w:rsid w:val="007075DF"/>
    <w:rsid w:val="00710F0A"/>
    <w:rsid w:val="00710FE9"/>
    <w:rsid w:val="007117C2"/>
    <w:rsid w:val="00711AF5"/>
    <w:rsid w:val="00711B5F"/>
    <w:rsid w:val="0071335A"/>
    <w:rsid w:val="007141C1"/>
    <w:rsid w:val="00714796"/>
    <w:rsid w:val="0071510C"/>
    <w:rsid w:val="00715B79"/>
    <w:rsid w:val="00715B97"/>
    <w:rsid w:val="00715D28"/>
    <w:rsid w:val="00715EA2"/>
    <w:rsid w:val="007160BB"/>
    <w:rsid w:val="007160E5"/>
    <w:rsid w:val="00716DC6"/>
    <w:rsid w:val="00716E05"/>
    <w:rsid w:val="00717E50"/>
    <w:rsid w:val="00720319"/>
    <w:rsid w:val="00720326"/>
    <w:rsid w:val="00720961"/>
    <w:rsid w:val="007213A3"/>
    <w:rsid w:val="00721B88"/>
    <w:rsid w:val="0072219A"/>
    <w:rsid w:val="00722515"/>
    <w:rsid w:val="00722715"/>
    <w:rsid w:val="007234E0"/>
    <w:rsid w:val="007236D3"/>
    <w:rsid w:val="0072438A"/>
    <w:rsid w:val="00724541"/>
    <w:rsid w:val="00724BA3"/>
    <w:rsid w:val="007251A9"/>
    <w:rsid w:val="00725667"/>
    <w:rsid w:val="007256C6"/>
    <w:rsid w:val="0072623B"/>
    <w:rsid w:val="007262B8"/>
    <w:rsid w:val="00726EAE"/>
    <w:rsid w:val="007272B6"/>
    <w:rsid w:val="00727AFD"/>
    <w:rsid w:val="00727B17"/>
    <w:rsid w:val="00727B35"/>
    <w:rsid w:val="00730771"/>
    <w:rsid w:val="00732445"/>
    <w:rsid w:val="00734F11"/>
    <w:rsid w:val="007351E3"/>
    <w:rsid w:val="00735583"/>
    <w:rsid w:val="007357D6"/>
    <w:rsid w:val="00735870"/>
    <w:rsid w:val="00736339"/>
    <w:rsid w:val="00736556"/>
    <w:rsid w:val="00736693"/>
    <w:rsid w:val="00736876"/>
    <w:rsid w:val="0073704A"/>
    <w:rsid w:val="007370BE"/>
    <w:rsid w:val="00740003"/>
    <w:rsid w:val="00740C58"/>
    <w:rsid w:val="00740E58"/>
    <w:rsid w:val="00741267"/>
    <w:rsid w:val="00741890"/>
    <w:rsid w:val="00742053"/>
    <w:rsid w:val="007425E8"/>
    <w:rsid w:val="00743871"/>
    <w:rsid w:val="00746113"/>
    <w:rsid w:val="00747367"/>
    <w:rsid w:val="00747A4C"/>
    <w:rsid w:val="00747E19"/>
    <w:rsid w:val="00747E5C"/>
    <w:rsid w:val="00747FAA"/>
    <w:rsid w:val="007505B1"/>
    <w:rsid w:val="00750ADF"/>
    <w:rsid w:val="007510F2"/>
    <w:rsid w:val="0075277F"/>
    <w:rsid w:val="00753287"/>
    <w:rsid w:val="00753D07"/>
    <w:rsid w:val="0075409F"/>
    <w:rsid w:val="0075494B"/>
    <w:rsid w:val="007553DD"/>
    <w:rsid w:val="00755AF5"/>
    <w:rsid w:val="0075627A"/>
    <w:rsid w:val="00756FB1"/>
    <w:rsid w:val="007575CC"/>
    <w:rsid w:val="00757D8D"/>
    <w:rsid w:val="00757DEB"/>
    <w:rsid w:val="00760D38"/>
    <w:rsid w:val="007616DF"/>
    <w:rsid w:val="0076192C"/>
    <w:rsid w:val="007619FF"/>
    <w:rsid w:val="007629CA"/>
    <w:rsid w:val="00762DE5"/>
    <w:rsid w:val="00763787"/>
    <w:rsid w:val="007640B7"/>
    <w:rsid w:val="00764B06"/>
    <w:rsid w:val="00765B8F"/>
    <w:rsid w:val="00766476"/>
    <w:rsid w:val="00766F9D"/>
    <w:rsid w:val="0076756B"/>
    <w:rsid w:val="0076760C"/>
    <w:rsid w:val="00770309"/>
    <w:rsid w:val="00770530"/>
    <w:rsid w:val="0077085E"/>
    <w:rsid w:val="00770DE4"/>
    <w:rsid w:val="00772136"/>
    <w:rsid w:val="00772627"/>
    <w:rsid w:val="00772C60"/>
    <w:rsid w:val="007731E9"/>
    <w:rsid w:val="00773B81"/>
    <w:rsid w:val="00773F74"/>
    <w:rsid w:val="00774AF1"/>
    <w:rsid w:val="007750DD"/>
    <w:rsid w:val="007750E3"/>
    <w:rsid w:val="00776BD7"/>
    <w:rsid w:val="0078137E"/>
    <w:rsid w:val="007821E2"/>
    <w:rsid w:val="007821FB"/>
    <w:rsid w:val="00782BCA"/>
    <w:rsid w:val="00782E21"/>
    <w:rsid w:val="00783B95"/>
    <w:rsid w:val="00783C0A"/>
    <w:rsid w:val="00784623"/>
    <w:rsid w:val="00784ABE"/>
    <w:rsid w:val="00786535"/>
    <w:rsid w:val="0078758A"/>
    <w:rsid w:val="00787889"/>
    <w:rsid w:val="00787F6C"/>
    <w:rsid w:val="007902D0"/>
    <w:rsid w:val="00791C38"/>
    <w:rsid w:val="00791E6E"/>
    <w:rsid w:val="00792ABB"/>
    <w:rsid w:val="00792CBF"/>
    <w:rsid w:val="0079401D"/>
    <w:rsid w:val="00795C03"/>
    <w:rsid w:val="00795D8E"/>
    <w:rsid w:val="007962BB"/>
    <w:rsid w:val="007966E4"/>
    <w:rsid w:val="00796F9C"/>
    <w:rsid w:val="00797049"/>
    <w:rsid w:val="00797AE0"/>
    <w:rsid w:val="007A01EA"/>
    <w:rsid w:val="007A07E7"/>
    <w:rsid w:val="007A08BF"/>
    <w:rsid w:val="007A0D1B"/>
    <w:rsid w:val="007A0E6C"/>
    <w:rsid w:val="007A0EB8"/>
    <w:rsid w:val="007A14A2"/>
    <w:rsid w:val="007A1539"/>
    <w:rsid w:val="007A17B7"/>
    <w:rsid w:val="007A2188"/>
    <w:rsid w:val="007A244E"/>
    <w:rsid w:val="007A2496"/>
    <w:rsid w:val="007A25D3"/>
    <w:rsid w:val="007A25F4"/>
    <w:rsid w:val="007A375E"/>
    <w:rsid w:val="007A395B"/>
    <w:rsid w:val="007A3F87"/>
    <w:rsid w:val="007A4B5B"/>
    <w:rsid w:val="007A4C17"/>
    <w:rsid w:val="007B12BB"/>
    <w:rsid w:val="007B16F2"/>
    <w:rsid w:val="007B1C6C"/>
    <w:rsid w:val="007B2B5E"/>
    <w:rsid w:val="007B2ED1"/>
    <w:rsid w:val="007B3113"/>
    <w:rsid w:val="007B3C13"/>
    <w:rsid w:val="007B53AA"/>
    <w:rsid w:val="007B59FE"/>
    <w:rsid w:val="007B61E5"/>
    <w:rsid w:val="007B69F9"/>
    <w:rsid w:val="007B6F29"/>
    <w:rsid w:val="007B7107"/>
    <w:rsid w:val="007B73C8"/>
    <w:rsid w:val="007B790A"/>
    <w:rsid w:val="007C013F"/>
    <w:rsid w:val="007C04E5"/>
    <w:rsid w:val="007C0F14"/>
    <w:rsid w:val="007C18C9"/>
    <w:rsid w:val="007C1F34"/>
    <w:rsid w:val="007C21AB"/>
    <w:rsid w:val="007C22D5"/>
    <w:rsid w:val="007C2486"/>
    <w:rsid w:val="007C29DD"/>
    <w:rsid w:val="007C3538"/>
    <w:rsid w:val="007C358D"/>
    <w:rsid w:val="007C54E3"/>
    <w:rsid w:val="007C56AD"/>
    <w:rsid w:val="007C56B7"/>
    <w:rsid w:val="007C5AB6"/>
    <w:rsid w:val="007C693C"/>
    <w:rsid w:val="007C6E67"/>
    <w:rsid w:val="007C78CB"/>
    <w:rsid w:val="007C7AFE"/>
    <w:rsid w:val="007C7DAA"/>
    <w:rsid w:val="007D09C0"/>
    <w:rsid w:val="007D0BFB"/>
    <w:rsid w:val="007D1257"/>
    <w:rsid w:val="007D1B05"/>
    <w:rsid w:val="007D2348"/>
    <w:rsid w:val="007D2445"/>
    <w:rsid w:val="007D2581"/>
    <w:rsid w:val="007D26ED"/>
    <w:rsid w:val="007D2A0B"/>
    <w:rsid w:val="007D322B"/>
    <w:rsid w:val="007D3416"/>
    <w:rsid w:val="007D40F0"/>
    <w:rsid w:val="007D4B2D"/>
    <w:rsid w:val="007D4C72"/>
    <w:rsid w:val="007D4DEA"/>
    <w:rsid w:val="007D4DFB"/>
    <w:rsid w:val="007D5D18"/>
    <w:rsid w:val="007D5E86"/>
    <w:rsid w:val="007D60EC"/>
    <w:rsid w:val="007D7305"/>
    <w:rsid w:val="007D74AC"/>
    <w:rsid w:val="007E139D"/>
    <w:rsid w:val="007E1B95"/>
    <w:rsid w:val="007E1DAE"/>
    <w:rsid w:val="007E4C33"/>
    <w:rsid w:val="007E65FB"/>
    <w:rsid w:val="007E6FF6"/>
    <w:rsid w:val="007E7295"/>
    <w:rsid w:val="007E771F"/>
    <w:rsid w:val="007F0E6D"/>
    <w:rsid w:val="007F13E3"/>
    <w:rsid w:val="007F285F"/>
    <w:rsid w:val="007F375B"/>
    <w:rsid w:val="007F3B95"/>
    <w:rsid w:val="007F3F19"/>
    <w:rsid w:val="007F4277"/>
    <w:rsid w:val="007F4B6E"/>
    <w:rsid w:val="007F4E06"/>
    <w:rsid w:val="007F547C"/>
    <w:rsid w:val="007F5867"/>
    <w:rsid w:val="007F63ED"/>
    <w:rsid w:val="007F6B51"/>
    <w:rsid w:val="007F7EB2"/>
    <w:rsid w:val="0080035F"/>
    <w:rsid w:val="008023BD"/>
    <w:rsid w:val="00802EC3"/>
    <w:rsid w:val="0080326F"/>
    <w:rsid w:val="00803EE5"/>
    <w:rsid w:val="008044C8"/>
    <w:rsid w:val="0080459A"/>
    <w:rsid w:val="008071A9"/>
    <w:rsid w:val="008077CF"/>
    <w:rsid w:val="00807C35"/>
    <w:rsid w:val="00807E41"/>
    <w:rsid w:val="008105F9"/>
    <w:rsid w:val="00810BF9"/>
    <w:rsid w:val="00810C28"/>
    <w:rsid w:val="00811023"/>
    <w:rsid w:val="00811143"/>
    <w:rsid w:val="008112B8"/>
    <w:rsid w:val="008116A7"/>
    <w:rsid w:val="00812793"/>
    <w:rsid w:val="00812992"/>
    <w:rsid w:val="00813CC2"/>
    <w:rsid w:val="008143FA"/>
    <w:rsid w:val="00814682"/>
    <w:rsid w:val="008147CA"/>
    <w:rsid w:val="008158D2"/>
    <w:rsid w:val="00815ACD"/>
    <w:rsid w:val="0081601B"/>
    <w:rsid w:val="00816D03"/>
    <w:rsid w:val="008171A7"/>
    <w:rsid w:val="00817867"/>
    <w:rsid w:val="00820429"/>
    <w:rsid w:val="008207C1"/>
    <w:rsid w:val="00820CEB"/>
    <w:rsid w:val="008219D5"/>
    <w:rsid w:val="0082223F"/>
    <w:rsid w:val="008226BC"/>
    <w:rsid w:val="00823AA0"/>
    <w:rsid w:val="00823CAB"/>
    <w:rsid w:val="00823DF1"/>
    <w:rsid w:val="00824676"/>
    <w:rsid w:val="00824C9A"/>
    <w:rsid w:val="008250A4"/>
    <w:rsid w:val="00826441"/>
    <w:rsid w:val="00826CDD"/>
    <w:rsid w:val="00827887"/>
    <w:rsid w:val="00830B48"/>
    <w:rsid w:val="00831104"/>
    <w:rsid w:val="00831A60"/>
    <w:rsid w:val="00831C8B"/>
    <w:rsid w:val="00831FF9"/>
    <w:rsid w:val="00832410"/>
    <w:rsid w:val="008324AA"/>
    <w:rsid w:val="00832BE1"/>
    <w:rsid w:val="00832DF3"/>
    <w:rsid w:val="00832EE5"/>
    <w:rsid w:val="008330FB"/>
    <w:rsid w:val="008332B5"/>
    <w:rsid w:val="0083361C"/>
    <w:rsid w:val="00833B80"/>
    <w:rsid w:val="008343A6"/>
    <w:rsid w:val="008354EB"/>
    <w:rsid w:val="008365D0"/>
    <w:rsid w:val="00836984"/>
    <w:rsid w:val="008373BA"/>
    <w:rsid w:val="008375C8"/>
    <w:rsid w:val="00841704"/>
    <w:rsid w:val="00841D37"/>
    <w:rsid w:val="0084238D"/>
    <w:rsid w:val="0084242A"/>
    <w:rsid w:val="00842861"/>
    <w:rsid w:val="00842EFE"/>
    <w:rsid w:val="008434D8"/>
    <w:rsid w:val="00843835"/>
    <w:rsid w:val="00843867"/>
    <w:rsid w:val="0084393C"/>
    <w:rsid w:val="00845550"/>
    <w:rsid w:val="00845CB0"/>
    <w:rsid w:val="0084640C"/>
    <w:rsid w:val="00846C55"/>
    <w:rsid w:val="00846CA3"/>
    <w:rsid w:val="00847111"/>
    <w:rsid w:val="008479FB"/>
    <w:rsid w:val="0085116E"/>
    <w:rsid w:val="008528E5"/>
    <w:rsid w:val="00852B63"/>
    <w:rsid w:val="00853323"/>
    <w:rsid w:val="00854598"/>
    <w:rsid w:val="00854E01"/>
    <w:rsid w:val="00854FCC"/>
    <w:rsid w:val="00854FFB"/>
    <w:rsid w:val="0085510B"/>
    <w:rsid w:val="00855174"/>
    <w:rsid w:val="00855B48"/>
    <w:rsid w:val="008561A5"/>
    <w:rsid w:val="008566C3"/>
    <w:rsid w:val="00856857"/>
    <w:rsid w:val="00860F1C"/>
    <w:rsid w:val="00861631"/>
    <w:rsid w:val="00861649"/>
    <w:rsid w:val="00862096"/>
    <w:rsid w:val="00862232"/>
    <w:rsid w:val="00862B63"/>
    <w:rsid w:val="00862CE4"/>
    <w:rsid w:val="008636AC"/>
    <w:rsid w:val="008641D5"/>
    <w:rsid w:val="00864523"/>
    <w:rsid w:val="00866085"/>
    <w:rsid w:val="00866BD2"/>
    <w:rsid w:val="00866D9B"/>
    <w:rsid w:val="008672A6"/>
    <w:rsid w:val="0087003E"/>
    <w:rsid w:val="00870CB7"/>
    <w:rsid w:val="00871074"/>
    <w:rsid w:val="00872089"/>
    <w:rsid w:val="008723CF"/>
    <w:rsid w:val="008725AF"/>
    <w:rsid w:val="0087346D"/>
    <w:rsid w:val="00874A6D"/>
    <w:rsid w:val="00874F24"/>
    <w:rsid w:val="0087526E"/>
    <w:rsid w:val="00875ED4"/>
    <w:rsid w:val="00876600"/>
    <w:rsid w:val="00877844"/>
    <w:rsid w:val="00877A7B"/>
    <w:rsid w:val="00877AE9"/>
    <w:rsid w:val="00880510"/>
    <w:rsid w:val="00881254"/>
    <w:rsid w:val="008821DB"/>
    <w:rsid w:val="008822C7"/>
    <w:rsid w:val="00882DE6"/>
    <w:rsid w:val="00883BA2"/>
    <w:rsid w:val="00883FED"/>
    <w:rsid w:val="0088400F"/>
    <w:rsid w:val="008840E0"/>
    <w:rsid w:val="008846CF"/>
    <w:rsid w:val="00885300"/>
    <w:rsid w:val="00885330"/>
    <w:rsid w:val="008856D7"/>
    <w:rsid w:val="0088590A"/>
    <w:rsid w:val="00885D1E"/>
    <w:rsid w:val="00886871"/>
    <w:rsid w:val="0088748D"/>
    <w:rsid w:val="008877A5"/>
    <w:rsid w:val="0089038A"/>
    <w:rsid w:val="00891786"/>
    <w:rsid w:val="00892A98"/>
    <w:rsid w:val="00892B99"/>
    <w:rsid w:val="00893374"/>
    <w:rsid w:val="008933D8"/>
    <w:rsid w:val="008934ED"/>
    <w:rsid w:val="008943C8"/>
    <w:rsid w:val="008945B0"/>
    <w:rsid w:val="0089542D"/>
    <w:rsid w:val="00895628"/>
    <w:rsid w:val="00895FF6"/>
    <w:rsid w:val="00897D49"/>
    <w:rsid w:val="008A012D"/>
    <w:rsid w:val="008A08D5"/>
    <w:rsid w:val="008A0C9D"/>
    <w:rsid w:val="008A11FA"/>
    <w:rsid w:val="008A12CE"/>
    <w:rsid w:val="008A1E98"/>
    <w:rsid w:val="008A1ECC"/>
    <w:rsid w:val="008A1EF9"/>
    <w:rsid w:val="008A20AC"/>
    <w:rsid w:val="008A2682"/>
    <w:rsid w:val="008A2A83"/>
    <w:rsid w:val="008A38D8"/>
    <w:rsid w:val="008A3D21"/>
    <w:rsid w:val="008A4C08"/>
    <w:rsid w:val="008A4F01"/>
    <w:rsid w:val="008A5360"/>
    <w:rsid w:val="008A5639"/>
    <w:rsid w:val="008A6476"/>
    <w:rsid w:val="008A67EC"/>
    <w:rsid w:val="008A6B24"/>
    <w:rsid w:val="008A6DAE"/>
    <w:rsid w:val="008A7E85"/>
    <w:rsid w:val="008B0404"/>
    <w:rsid w:val="008B1305"/>
    <w:rsid w:val="008B1412"/>
    <w:rsid w:val="008B15E9"/>
    <w:rsid w:val="008B1D11"/>
    <w:rsid w:val="008B200E"/>
    <w:rsid w:val="008B258A"/>
    <w:rsid w:val="008B2875"/>
    <w:rsid w:val="008B2FE3"/>
    <w:rsid w:val="008B3A44"/>
    <w:rsid w:val="008B3E66"/>
    <w:rsid w:val="008B4CAE"/>
    <w:rsid w:val="008B5727"/>
    <w:rsid w:val="008B587D"/>
    <w:rsid w:val="008B6CEF"/>
    <w:rsid w:val="008B75A0"/>
    <w:rsid w:val="008C00EF"/>
    <w:rsid w:val="008C17E2"/>
    <w:rsid w:val="008C213A"/>
    <w:rsid w:val="008C25C5"/>
    <w:rsid w:val="008C2B1A"/>
    <w:rsid w:val="008C38F5"/>
    <w:rsid w:val="008C3E07"/>
    <w:rsid w:val="008C40F2"/>
    <w:rsid w:val="008C478F"/>
    <w:rsid w:val="008C50EA"/>
    <w:rsid w:val="008C55A2"/>
    <w:rsid w:val="008C56A3"/>
    <w:rsid w:val="008C5D77"/>
    <w:rsid w:val="008C5DCE"/>
    <w:rsid w:val="008C61FB"/>
    <w:rsid w:val="008D1A79"/>
    <w:rsid w:val="008D22C0"/>
    <w:rsid w:val="008D24BA"/>
    <w:rsid w:val="008D25BF"/>
    <w:rsid w:val="008D3121"/>
    <w:rsid w:val="008D3366"/>
    <w:rsid w:val="008D39C4"/>
    <w:rsid w:val="008D40F9"/>
    <w:rsid w:val="008D4802"/>
    <w:rsid w:val="008D5B8D"/>
    <w:rsid w:val="008D65DE"/>
    <w:rsid w:val="008D691E"/>
    <w:rsid w:val="008D70DC"/>
    <w:rsid w:val="008D7161"/>
    <w:rsid w:val="008D7594"/>
    <w:rsid w:val="008D78F3"/>
    <w:rsid w:val="008D7C20"/>
    <w:rsid w:val="008E0722"/>
    <w:rsid w:val="008E0A4C"/>
    <w:rsid w:val="008E0C3C"/>
    <w:rsid w:val="008E197B"/>
    <w:rsid w:val="008E2AAE"/>
    <w:rsid w:val="008E2E8D"/>
    <w:rsid w:val="008E5060"/>
    <w:rsid w:val="008E6A75"/>
    <w:rsid w:val="008E74F9"/>
    <w:rsid w:val="008F066B"/>
    <w:rsid w:val="008F07C0"/>
    <w:rsid w:val="008F0E1D"/>
    <w:rsid w:val="008F1057"/>
    <w:rsid w:val="008F1F0C"/>
    <w:rsid w:val="008F22E0"/>
    <w:rsid w:val="008F2E96"/>
    <w:rsid w:val="008F48D8"/>
    <w:rsid w:val="008F521E"/>
    <w:rsid w:val="008F53D9"/>
    <w:rsid w:val="008F5C3A"/>
    <w:rsid w:val="008F657A"/>
    <w:rsid w:val="00900A02"/>
    <w:rsid w:val="00900FD8"/>
    <w:rsid w:val="00901024"/>
    <w:rsid w:val="009023C8"/>
    <w:rsid w:val="00902405"/>
    <w:rsid w:val="0090303B"/>
    <w:rsid w:val="0090352E"/>
    <w:rsid w:val="00903A11"/>
    <w:rsid w:val="00903F69"/>
    <w:rsid w:val="00904330"/>
    <w:rsid w:val="00904640"/>
    <w:rsid w:val="00904A7F"/>
    <w:rsid w:val="009050D8"/>
    <w:rsid w:val="009056F8"/>
    <w:rsid w:val="00905A9F"/>
    <w:rsid w:val="0090611F"/>
    <w:rsid w:val="009066D5"/>
    <w:rsid w:val="00906D02"/>
    <w:rsid w:val="00906F21"/>
    <w:rsid w:val="009078BB"/>
    <w:rsid w:val="00910122"/>
    <w:rsid w:val="009103FF"/>
    <w:rsid w:val="009105E8"/>
    <w:rsid w:val="00910F2A"/>
    <w:rsid w:val="009112B9"/>
    <w:rsid w:val="00911637"/>
    <w:rsid w:val="00912340"/>
    <w:rsid w:val="00912C05"/>
    <w:rsid w:val="00913899"/>
    <w:rsid w:val="00913C14"/>
    <w:rsid w:val="00914076"/>
    <w:rsid w:val="00914B90"/>
    <w:rsid w:val="00916E48"/>
    <w:rsid w:val="00916F31"/>
    <w:rsid w:val="00921113"/>
    <w:rsid w:val="00921DD1"/>
    <w:rsid w:val="00922D0A"/>
    <w:rsid w:val="009235C5"/>
    <w:rsid w:val="00923D8E"/>
    <w:rsid w:val="00923E25"/>
    <w:rsid w:val="009241A2"/>
    <w:rsid w:val="0092468C"/>
    <w:rsid w:val="00924BCA"/>
    <w:rsid w:val="00925F0C"/>
    <w:rsid w:val="00926192"/>
    <w:rsid w:val="00926895"/>
    <w:rsid w:val="00927303"/>
    <w:rsid w:val="0092730B"/>
    <w:rsid w:val="0092798F"/>
    <w:rsid w:val="00927C1D"/>
    <w:rsid w:val="00930145"/>
    <w:rsid w:val="009308CE"/>
    <w:rsid w:val="00930F9D"/>
    <w:rsid w:val="009311CC"/>
    <w:rsid w:val="00931736"/>
    <w:rsid w:val="00931CF1"/>
    <w:rsid w:val="0093225E"/>
    <w:rsid w:val="00932F88"/>
    <w:rsid w:val="00933246"/>
    <w:rsid w:val="009333E2"/>
    <w:rsid w:val="0093362A"/>
    <w:rsid w:val="00933E3D"/>
    <w:rsid w:val="00933F5C"/>
    <w:rsid w:val="0093474D"/>
    <w:rsid w:val="009349ED"/>
    <w:rsid w:val="0093508A"/>
    <w:rsid w:val="00935ECF"/>
    <w:rsid w:val="00937854"/>
    <w:rsid w:val="00941038"/>
    <w:rsid w:val="00941083"/>
    <w:rsid w:val="00941155"/>
    <w:rsid w:val="009415E0"/>
    <w:rsid w:val="00941F82"/>
    <w:rsid w:val="00941F96"/>
    <w:rsid w:val="00942077"/>
    <w:rsid w:val="009420BE"/>
    <w:rsid w:val="009422AD"/>
    <w:rsid w:val="0094261C"/>
    <w:rsid w:val="009430BA"/>
    <w:rsid w:val="009439C1"/>
    <w:rsid w:val="00943F16"/>
    <w:rsid w:val="00945202"/>
    <w:rsid w:val="00945CCC"/>
    <w:rsid w:val="00946500"/>
    <w:rsid w:val="00950C47"/>
    <w:rsid w:val="009511B5"/>
    <w:rsid w:val="009517A7"/>
    <w:rsid w:val="00951ACC"/>
    <w:rsid w:val="00951FE0"/>
    <w:rsid w:val="00953198"/>
    <w:rsid w:val="0095341F"/>
    <w:rsid w:val="00954295"/>
    <w:rsid w:val="00954D52"/>
    <w:rsid w:val="009551C8"/>
    <w:rsid w:val="0095591A"/>
    <w:rsid w:val="00955EB4"/>
    <w:rsid w:val="00956282"/>
    <w:rsid w:val="0095794A"/>
    <w:rsid w:val="00960055"/>
    <w:rsid w:val="0096014E"/>
    <w:rsid w:val="0096044C"/>
    <w:rsid w:val="009611D5"/>
    <w:rsid w:val="009613EF"/>
    <w:rsid w:val="00961D5A"/>
    <w:rsid w:val="009628F9"/>
    <w:rsid w:val="00963514"/>
    <w:rsid w:val="00963545"/>
    <w:rsid w:val="0096436C"/>
    <w:rsid w:val="00964E65"/>
    <w:rsid w:val="009651A2"/>
    <w:rsid w:val="009653F7"/>
    <w:rsid w:val="009655A3"/>
    <w:rsid w:val="00966D98"/>
    <w:rsid w:val="00966F0C"/>
    <w:rsid w:val="00967283"/>
    <w:rsid w:val="0096782F"/>
    <w:rsid w:val="00967A5D"/>
    <w:rsid w:val="00967DE6"/>
    <w:rsid w:val="00967E21"/>
    <w:rsid w:val="00970039"/>
    <w:rsid w:val="00970EFE"/>
    <w:rsid w:val="009710B1"/>
    <w:rsid w:val="00971211"/>
    <w:rsid w:val="0097183A"/>
    <w:rsid w:val="009720B6"/>
    <w:rsid w:val="009720D6"/>
    <w:rsid w:val="009727B0"/>
    <w:rsid w:val="00973039"/>
    <w:rsid w:val="00973B05"/>
    <w:rsid w:val="00975218"/>
    <w:rsid w:val="009754B4"/>
    <w:rsid w:val="00975D87"/>
    <w:rsid w:val="009760C3"/>
    <w:rsid w:val="00977F4F"/>
    <w:rsid w:val="0098003B"/>
    <w:rsid w:val="009807AD"/>
    <w:rsid w:val="00980F8F"/>
    <w:rsid w:val="0098166D"/>
    <w:rsid w:val="00981740"/>
    <w:rsid w:val="00981B55"/>
    <w:rsid w:val="00981FDD"/>
    <w:rsid w:val="0098256F"/>
    <w:rsid w:val="009829C5"/>
    <w:rsid w:val="00982B31"/>
    <w:rsid w:val="00983920"/>
    <w:rsid w:val="00984CFE"/>
    <w:rsid w:val="0098577D"/>
    <w:rsid w:val="009902EB"/>
    <w:rsid w:val="009910C5"/>
    <w:rsid w:val="00991CD6"/>
    <w:rsid w:val="00992527"/>
    <w:rsid w:val="009927D3"/>
    <w:rsid w:val="00992B51"/>
    <w:rsid w:val="00992B59"/>
    <w:rsid w:val="00992C92"/>
    <w:rsid w:val="0099332A"/>
    <w:rsid w:val="0099370B"/>
    <w:rsid w:val="00994180"/>
    <w:rsid w:val="009943B4"/>
    <w:rsid w:val="00994D6A"/>
    <w:rsid w:val="00995A1B"/>
    <w:rsid w:val="00995DD8"/>
    <w:rsid w:val="00995FC8"/>
    <w:rsid w:val="009A032C"/>
    <w:rsid w:val="009A1280"/>
    <w:rsid w:val="009A1321"/>
    <w:rsid w:val="009A1936"/>
    <w:rsid w:val="009A1A93"/>
    <w:rsid w:val="009A1E17"/>
    <w:rsid w:val="009A1E48"/>
    <w:rsid w:val="009A2B9A"/>
    <w:rsid w:val="009A2DD7"/>
    <w:rsid w:val="009A4C22"/>
    <w:rsid w:val="009A4EE8"/>
    <w:rsid w:val="009A533F"/>
    <w:rsid w:val="009A5C25"/>
    <w:rsid w:val="009A621D"/>
    <w:rsid w:val="009B0814"/>
    <w:rsid w:val="009B0935"/>
    <w:rsid w:val="009B132F"/>
    <w:rsid w:val="009B4A55"/>
    <w:rsid w:val="009B4C7F"/>
    <w:rsid w:val="009B5AAF"/>
    <w:rsid w:val="009B5C04"/>
    <w:rsid w:val="009B6859"/>
    <w:rsid w:val="009B7C2D"/>
    <w:rsid w:val="009C01B4"/>
    <w:rsid w:val="009C1B27"/>
    <w:rsid w:val="009C32E3"/>
    <w:rsid w:val="009C38FE"/>
    <w:rsid w:val="009C39F8"/>
    <w:rsid w:val="009C3E78"/>
    <w:rsid w:val="009C5AE4"/>
    <w:rsid w:val="009C5F09"/>
    <w:rsid w:val="009C5F53"/>
    <w:rsid w:val="009C7740"/>
    <w:rsid w:val="009D0423"/>
    <w:rsid w:val="009D04A6"/>
    <w:rsid w:val="009D0C40"/>
    <w:rsid w:val="009D2C37"/>
    <w:rsid w:val="009D4BCD"/>
    <w:rsid w:val="009D4C3F"/>
    <w:rsid w:val="009D4FA6"/>
    <w:rsid w:val="009D5D8D"/>
    <w:rsid w:val="009D6472"/>
    <w:rsid w:val="009D647C"/>
    <w:rsid w:val="009D6798"/>
    <w:rsid w:val="009D6B48"/>
    <w:rsid w:val="009D6FEF"/>
    <w:rsid w:val="009D7580"/>
    <w:rsid w:val="009D7689"/>
    <w:rsid w:val="009D7735"/>
    <w:rsid w:val="009D7A09"/>
    <w:rsid w:val="009D7CA0"/>
    <w:rsid w:val="009E0076"/>
    <w:rsid w:val="009E0321"/>
    <w:rsid w:val="009E0881"/>
    <w:rsid w:val="009E09A5"/>
    <w:rsid w:val="009E0CFF"/>
    <w:rsid w:val="009E104C"/>
    <w:rsid w:val="009E1B88"/>
    <w:rsid w:val="009E2892"/>
    <w:rsid w:val="009E3307"/>
    <w:rsid w:val="009E3463"/>
    <w:rsid w:val="009E38DC"/>
    <w:rsid w:val="009E3DAA"/>
    <w:rsid w:val="009E4346"/>
    <w:rsid w:val="009E45BB"/>
    <w:rsid w:val="009E51E9"/>
    <w:rsid w:val="009E5366"/>
    <w:rsid w:val="009E62DF"/>
    <w:rsid w:val="009E6E81"/>
    <w:rsid w:val="009E774C"/>
    <w:rsid w:val="009E7843"/>
    <w:rsid w:val="009E7AB4"/>
    <w:rsid w:val="009F0D95"/>
    <w:rsid w:val="009F1D9C"/>
    <w:rsid w:val="009F2129"/>
    <w:rsid w:val="009F2410"/>
    <w:rsid w:val="009F2AAD"/>
    <w:rsid w:val="009F2B2D"/>
    <w:rsid w:val="009F4986"/>
    <w:rsid w:val="009F5B62"/>
    <w:rsid w:val="009F66D5"/>
    <w:rsid w:val="009F7FB9"/>
    <w:rsid w:val="00A00CD6"/>
    <w:rsid w:val="00A00FAB"/>
    <w:rsid w:val="00A0108B"/>
    <w:rsid w:val="00A01529"/>
    <w:rsid w:val="00A01A11"/>
    <w:rsid w:val="00A01AB7"/>
    <w:rsid w:val="00A023EB"/>
    <w:rsid w:val="00A0299F"/>
    <w:rsid w:val="00A02C36"/>
    <w:rsid w:val="00A03723"/>
    <w:rsid w:val="00A03A46"/>
    <w:rsid w:val="00A044A7"/>
    <w:rsid w:val="00A045E8"/>
    <w:rsid w:val="00A054A5"/>
    <w:rsid w:val="00A05614"/>
    <w:rsid w:val="00A06899"/>
    <w:rsid w:val="00A06946"/>
    <w:rsid w:val="00A0698E"/>
    <w:rsid w:val="00A073B0"/>
    <w:rsid w:val="00A07FFE"/>
    <w:rsid w:val="00A10098"/>
    <w:rsid w:val="00A1019B"/>
    <w:rsid w:val="00A11066"/>
    <w:rsid w:val="00A11618"/>
    <w:rsid w:val="00A121A1"/>
    <w:rsid w:val="00A12315"/>
    <w:rsid w:val="00A12F87"/>
    <w:rsid w:val="00A13754"/>
    <w:rsid w:val="00A13A51"/>
    <w:rsid w:val="00A13C50"/>
    <w:rsid w:val="00A13F5E"/>
    <w:rsid w:val="00A14016"/>
    <w:rsid w:val="00A14517"/>
    <w:rsid w:val="00A15328"/>
    <w:rsid w:val="00A16173"/>
    <w:rsid w:val="00A17481"/>
    <w:rsid w:val="00A204E7"/>
    <w:rsid w:val="00A20FB9"/>
    <w:rsid w:val="00A215FA"/>
    <w:rsid w:val="00A21968"/>
    <w:rsid w:val="00A21E50"/>
    <w:rsid w:val="00A220E0"/>
    <w:rsid w:val="00A22E60"/>
    <w:rsid w:val="00A237A4"/>
    <w:rsid w:val="00A242BF"/>
    <w:rsid w:val="00A252B4"/>
    <w:rsid w:val="00A258B2"/>
    <w:rsid w:val="00A2596A"/>
    <w:rsid w:val="00A26033"/>
    <w:rsid w:val="00A2635B"/>
    <w:rsid w:val="00A26B89"/>
    <w:rsid w:val="00A30655"/>
    <w:rsid w:val="00A30D5E"/>
    <w:rsid w:val="00A31A1A"/>
    <w:rsid w:val="00A332FD"/>
    <w:rsid w:val="00A3375F"/>
    <w:rsid w:val="00A33E27"/>
    <w:rsid w:val="00A3426C"/>
    <w:rsid w:val="00A34670"/>
    <w:rsid w:val="00A34CAE"/>
    <w:rsid w:val="00A34F5F"/>
    <w:rsid w:val="00A35688"/>
    <w:rsid w:val="00A364FA"/>
    <w:rsid w:val="00A3670F"/>
    <w:rsid w:val="00A36CC0"/>
    <w:rsid w:val="00A37A7A"/>
    <w:rsid w:val="00A37F3E"/>
    <w:rsid w:val="00A4061F"/>
    <w:rsid w:val="00A40D36"/>
    <w:rsid w:val="00A41C9C"/>
    <w:rsid w:val="00A42CF3"/>
    <w:rsid w:val="00A431D6"/>
    <w:rsid w:val="00A43A99"/>
    <w:rsid w:val="00A44E17"/>
    <w:rsid w:val="00A450D4"/>
    <w:rsid w:val="00A4536F"/>
    <w:rsid w:val="00A45393"/>
    <w:rsid w:val="00A4561D"/>
    <w:rsid w:val="00A458D7"/>
    <w:rsid w:val="00A460B0"/>
    <w:rsid w:val="00A46D95"/>
    <w:rsid w:val="00A4749F"/>
    <w:rsid w:val="00A47630"/>
    <w:rsid w:val="00A477DE"/>
    <w:rsid w:val="00A47C2C"/>
    <w:rsid w:val="00A50E42"/>
    <w:rsid w:val="00A5229A"/>
    <w:rsid w:val="00A528EF"/>
    <w:rsid w:val="00A52FD9"/>
    <w:rsid w:val="00A53EDA"/>
    <w:rsid w:val="00A53F13"/>
    <w:rsid w:val="00A551AC"/>
    <w:rsid w:val="00A552EC"/>
    <w:rsid w:val="00A55675"/>
    <w:rsid w:val="00A55A8A"/>
    <w:rsid w:val="00A56C7D"/>
    <w:rsid w:val="00A56DC9"/>
    <w:rsid w:val="00A60127"/>
    <w:rsid w:val="00A60D32"/>
    <w:rsid w:val="00A61B6A"/>
    <w:rsid w:val="00A6263A"/>
    <w:rsid w:val="00A62E58"/>
    <w:rsid w:val="00A63134"/>
    <w:rsid w:val="00A63AB9"/>
    <w:rsid w:val="00A63F3F"/>
    <w:rsid w:val="00A6621F"/>
    <w:rsid w:val="00A662C8"/>
    <w:rsid w:val="00A6728C"/>
    <w:rsid w:val="00A67515"/>
    <w:rsid w:val="00A67EE8"/>
    <w:rsid w:val="00A70329"/>
    <w:rsid w:val="00A70672"/>
    <w:rsid w:val="00A707E0"/>
    <w:rsid w:val="00A71BD7"/>
    <w:rsid w:val="00A724F1"/>
    <w:rsid w:val="00A7258F"/>
    <w:rsid w:val="00A72F00"/>
    <w:rsid w:val="00A734D0"/>
    <w:rsid w:val="00A735B6"/>
    <w:rsid w:val="00A74A7D"/>
    <w:rsid w:val="00A751A7"/>
    <w:rsid w:val="00A7557E"/>
    <w:rsid w:val="00A75829"/>
    <w:rsid w:val="00A76A23"/>
    <w:rsid w:val="00A77D48"/>
    <w:rsid w:val="00A80025"/>
    <w:rsid w:val="00A8050B"/>
    <w:rsid w:val="00A82BD2"/>
    <w:rsid w:val="00A82C5B"/>
    <w:rsid w:val="00A83CB0"/>
    <w:rsid w:val="00A84662"/>
    <w:rsid w:val="00A85219"/>
    <w:rsid w:val="00A8581B"/>
    <w:rsid w:val="00A85942"/>
    <w:rsid w:val="00A85A7F"/>
    <w:rsid w:val="00A85E0D"/>
    <w:rsid w:val="00A86097"/>
    <w:rsid w:val="00A86E88"/>
    <w:rsid w:val="00A901AA"/>
    <w:rsid w:val="00A90E23"/>
    <w:rsid w:val="00A910EB"/>
    <w:rsid w:val="00A91CBB"/>
    <w:rsid w:val="00A928A6"/>
    <w:rsid w:val="00A9385D"/>
    <w:rsid w:val="00A93DA8"/>
    <w:rsid w:val="00A94C4C"/>
    <w:rsid w:val="00A9505F"/>
    <w:rsid w:val="00A9529F"/>
    <w:rsid w:val="00A95F01"/>
    <w:rsid w:val="00A96FED"/>
    <w:rsid w:val="00A978F7"/>
    <w:rsid w:val="00A97937"/>
    <w:rsid w:val="00A97BD9"/>
    <w:rsid w:val="00AA03C0"/>
    <w:rsid w:val="00AA0C6A"/>
    <w:rsid w:val="00AA0F94"/>
    <w:rsid w:val="00AA1092"/>
    <w:rsid w:val="00AA1220"/>
    <w:rsid w:val="00AA1BAE"/>
    <w:rsid w:val="00AA2AB7"/>
    <w:rsid w:val="00AA338B"/>
    <w:rsid w:val="00AA3FDC"/>
    <w:rsid w:val="00AA5193"/>
    <w:rsid w:val="00AA52D5"/>
    <w:rsid w:val="00AA5776"/>
    <w:rsid w:val="00AA5AD3"/>
    <w:rsid w:val="00AA5BAE"/>
    <w:rsid w:val="00AA5E18"/>
    <w:rsid w:val="00AA7059"/>
    <w:rsid w:val="00AA7490"/>
    <w:rsid w:val="00AA78C4"/>
    <w:rsid w:val="00AA7B76"/>
    <w:rsid w:val="00AB00F9"/>
    <w:rsid w:val="00AB02CD"/>
    <w:rsid w:val="00AB0A2B"/>
    <w:rsid w:val="00AB105C"/>
    <w:rsid w:val="00AB2254"/>
    <w:rsid w:val="00AB2715"/>
    <w:rsid w:val="00AB2E92"/>
    <w:rsid w:val="00AB3AC5"/>
    <w:rsid w:val="00AB3B78"/>
    <w:rsid w:val="00AB3F77"/>
    <w:rsid w:val="00AB47BA"/>
    <w:rsid w:val="00AB4A7F"/>
    <w:rsid w:val="00AB4B20"/>
    <w:rsid w:val="00AB4F73"/>
    <w:rsid w:val="00AB5071"/>
    <w:rsid w:val="00AB53BF"/>
    <w:rsid w:val="00AB6268"/>
    <w:rsid w:val="00AB722F"/>
    <w:rsid w:val="00AB7442"/>
    <w:rsid w:val="00AC0746"/>
    <w:rsid w:val="00AC0B57"/>
    <w:rsid w:val="00AC0E3C"/>
    <w:rsid w:val="00AC1235"/>
    <w:rsid w:val="00AC12B4"/>
    <w:rsid w:val="00AC1B8D"/>
    <w:rsid w:val="00AC1FEE"/>
    <w:rsid w:val="00AC2F68"/>
    <w:rsid w:val="00AC2F74"/>
    <w:rsid w:val="00AC37CF"/>
    <w:rsid w:val="00AC3EBB"/>
    <w:rsid w:val="00AC438D"/>
    <w:rsid w:val="00AC4AAC"/>
    <w:rsid w:val="00AC4F6B"/>
    <w:rsid w:val="00AC69CE"/>
    <w:rsid w:val="00AC6FD5"/>
    <w:rsid w:val="00AC7033"/>
    <w:rsid w:val="00AC74BB"/>
    <w:rsid w:val="00AC7A21"/>
    <w:rsid w:val="00AC7CC1"/>
    <w:rsid w:val="00AD08D6"/>
    <w:rsid w:val="00AD1A67"/>
    <w:rsid w:val="00AD1C76"/>
    <w:rsid w:val="00AD20C6"/>
    <w:rsid w:val="00AD229E"/>
    <w:rsid w:val="00AD3149"/>
    <w:rsid w:val="00AD32FB"/>
    <w:rsid w:val="00AD3A68"/>
    <w:rsid w:val="00AD44D0"/>
    <w:rsid w:val="00AD6447"/>
    <w:rsid w:val="00AD69CC"/>
    <w:rsid w:val="00AD6C7C"/>
    <w:rsid w:val="00AD7EA0"/>
    <w:rsid w:val="00AE00EF"/>
    <w:rsid w:val="00AE0752"/>
    <w:rsid w:val="00AE0C88"/>
    <w:rsid w:val="00AE21EC"/>
    <w:rsid w:val="00AE26FF"/>
    <w:rsid w:val="00AE28AE"/>
    <w:rsid w:val="00AE2E25"/>
    <w:rsid w:val="00AE3094"/>
    <w:rsid w:val="00AE3A59"/>
    <w:rsid w:val="00AE3D4D"/>
    <w:rsid w:val="00AE3D56"/>
    <w:rsid w:val="00AE4314"/>
    <w:rsid w:val="00AE4362"/>
    <w:rsid w:val="00AE44EB"/>
    <w:rsid w:val="00AE4602"/>
    <w:rsid w:val="00AE7305"/>
    <w:rsid w:val="00AE7A62"/>
    <w:rsid w:val="00AE7B50"/>
    <w:rsid w:val="00AF05A3"/>
    <w:rsid w:val="00AF1691"/>
    <w:rsid w:val="00AF1831"/>
    <w:rsid w:val="00AF1BF1"/>
    <w:rsid w:val="00AF1C6C"/>
    <w:rsid w:val="00AF1D04"/>
    <w:rsid w:val="00AF1F9F"/>
    <w:rsid w:val="00AF3143"/>
    <w:rsid w:val="00AF4591"/>
    <w:rsid w:val="00AF54F8"/>
    <w:rsid w:val="00AF5731"/>
    <w:rsid w:val="00AF643F"/>
    <w:rsid w:val="00AF6B80"/>
    <w:rsid w:val="00AF6FA9"/>
    <w:rsid w:val="00AF76EC"/>
    <w:rsid w:val="00AF77D7"/>
    <w:rsid w:val="00AF797C"/>
    <w:rsid w:val="00B010FF"/>
    <w:rsid w:val="00B01278"/>
    <w:rsid w:val="00B01746"/>
    <w:rsid w:val="00B02D4E"/>
    <w:rsid w:val="00B03F96"/>
    <w:rsid w:val="00B046C3"/>
    <w:rsid w:val="00B06106"/>
    <w:rsid w:val="00B061AE"/>
    <w:rsid w:val="00B06A4C"/>
    <w:rsid w:val="00B10E6C"/>
    <w:rsid w:val="00B119FB"/>
    <w:rsid w:val="00B11AE5"/>
    <w:rsid w:val="00B11D4D"/>
    <w:rsid w:val="00B12A7C"/>
    <w:rsid w:val="00B13B77"/>
    <w:rsid w:val="00B1454A"/>
    <w:rsid w:val="00B151AA"/>
    <w:rsid w:val="00B157B3"/>
    <w:rsid w:val="00B15CB4"/>
    <w:rsid w:val="00B16622"/>
    <w:rsid w:val="00B175E1"/>
    <w:rsid w:val="00B20035"/>
    <w:rsid w:val="00B20677"/>
    <w:rsid w:val="00B206D8"/>
    <w:rsid w:val="00B20F0C"/>
    <w:rsid w:val="00B21152"/>
    <w:rsid w:val="00B21972"/>
    <w:rsid w:val="00B2255A"/>
    <w:rsid w:val="00B2262A"/>
    <w:rsid w:val="00B23548"/>
    <w:rsid w:val="00B24138"/>
    <w:rsid w:val="00B24C0F"/>
    <w:rsid w:val="00B24D6C"/>
    <w:rsid w:val="00B25882"/>
    <w:rsid w:val="00B2638E"/>
    <w:rsid w:val="00B27103"/>
    <w:rsid w:val="00B2747B"/>
    <w:rsid w:val="00B27953"/>
    <w:rsid w:val="00B30259"/>
    <w:rsid w:val="00B30EB1"/>
    <w:rsid w:val="00B31645"/>
    <w:rsid w:val="00B3174B"/>
    <w:rsid w:val="00B318F2"/>
    <w:rsid w:val="00B3196F"/>
    <w:rsid w:val="00B31C28"/>
    <w:rsid w:val="00B326DA"/>
    <w:rsid w:val="00B32A2B"/>
    <w:rsid w:val="00B34232"/>
    <w:rsid w:val="00B343CE"/>
    <w:rsid w:val="00B3663A"/>
    <w:rsid w:val="00B36E3F"/>
    <w:rsid w:val="00B371A3"/>
    <w:rsid w:val="00B373A7"/>
    <w:rsid w:val="00B376D0"/>
    <w:rsid w:val="00B4065C"/>
    <w:rsid w:val="00B40B77"/>
    <w:rsid w:val="00B425B2"/>
    <w:rsid w:val="00B42C76"/>
    <w:rsid w:val="00B431FA"/>
    <w:rsid w:val="00B43F64"/>
    <w:rsid w:val="00B4473E"/>
    <w:rsid w:val="00B45704"/>
    <w:rsid w:val="00B45889"/>
    <w:rsid w:val="00B45EE3"/>
    <w:rsid w:val="00B46507"/>
    <w:rsid w:val="00B46DED"/>
    <w:rsid w:val="00B472AD"/>
    <w:rsid w:val="00B5275E"/>
    <w:rsid w:val="00B527B6"/>
    <w:rsid w:val="00B52C0F"/>
    <w:rsid w:val="00B53011"/>
    <w:rsid w:val="00B5488A"/>
    <w:rsid w:val="00B54D1D"/>
    <w:rsid w:val="00B5658C"/>
    <w:rsid w:val="00B57FE8"/>
    <w:rsid w:val="00B622F1"/>
    <w:rsid w:val="00B63947"/>
    <w:rsid w:val="00B640AF"/>
    <w:rsid w:val="00B64601"/>
    <w:rsid w:val="00B649CF"/>
    <w:rsid w:val="00B649E2"/>
    <w:rsid w:val="00B64D4E"/>
    <w:rsid w:val="00B656B5"/>
    <w:rsid w:val="00B658B7"/>
    <w:rsid w:val="00B65911"/>
    <w:rsid w:val="00B662E5"/>
    <w:rsid w:val="00B67094"/>
    <w:rsid w:val="00B67434"/>
    <w:rsid w:val="00B676BB"/>
    <w:rsid w:val="00B70382"/>
    <w:rsid w:val="00B704D2"/>
    <w:rsid w:val="00B70953"/>
    <w:rsid w:val="00B7287C"/>
    <w:rsid w:val="00B72A28"/>
    <w:rsid w:val="00B72C80"/>
    <w:rsid w:val="00B72D88"/>
    <w:rsid w:val="00B72DDF"/>
    <w:rsid w:val="00B73F1A"/>
    <w:rsid w:val="00B74096"/>
    <w:rsid w:val="00B7525C"/>
    <w:rsid w:val="00B753EF"/>
    <w:rsid w:val="00B75F26"/>
    <w:rsid w:val="00B764CB"/>
    <w:rsid w:val="00B76D0C"/>
    <w:rsid w:val="00B77252"/>
    <w:rsid w:val="00B779CC"/>
    <w:rsid w:val="00B77A81"/>
    <w:rsid w:val="00B77F00"/>
    <w:rsid w:val="00B80649"/>
    <w:rsid w:val="00B80B66"/>
    <w:rsid w:val="00B819B2"/>
    <w:rsid w:val="00B81C9C"/>
    <w:rsid w:val="00B82424"/>
    <w:rsid w:val="00B82443"/>
    <w:rsid w:val="00B825FF"/>
    <w:rsid w:val="00B846A2"/>
    <w:rsid w:val="00B847C6"/>
    <w:rsid w:val="00B8525C"/>
    <w:rsid w:val="00B86876"/>
    <w:rsid w:val="00B86E7C"/>
    <w:rsid w:val="00B86E8D"/>
    <w:rsid w:val="00B87532"/>
    <w:rsid w:val="00B8767E"/>
    <w:rsid w:val="00B905D4"/>
    <w:rsid w:val="00B9068E"/>
    <w:rsid w:val="00B90A41"/>
    <w:rsid w:val="00B9123D"/>
    <w:rsid w:val="00B92325"/>
    <w:rsid w:val="00B923FD"/>
    <w:rsid w:val="00B9325E"/>
    <w:rsid w:val="00B934EE"/>
    <w:rsid w:val="00B94141"/>
    <w:rsid w:val="00B94430"/>
    <w:rsid w:val="00B94540"/>
    <w:rsid w:val="00B957F7"/>
    <w:rsid w:val="00B9608F"/>
    <w:rsid w:val="00B9668E"/>
    <w:rsid w:val="00BA00E7"/>
    <w:rsid w:val="00BA08C0"/>
    <w:rsid w:val="00BA138D"/>
    <w:rsid w:val="00BA1533"/>
    <w:rsid w:val="00BA1B20"/>
    <w:rsid w:val="00BA2C80"/>
    <w:rsid w:val="00BA359C"/>
    <w:rsid w:val="00BA4386"/>
    <w:rsid w:val="00BA4E0B"/>
    <w:rsid w:val="00BA503E"/>
    <w:rsid w:val="00BA5958"/>
    <w:rsid w:val="00BA5980"/>
    <w:rsid w:val="00BA5C1D"/>
    <w:rsid w:val="00BA5F63"/>
    <w:rsid w:val="00BA6853"/>
    <w:rsid w:val="00BA6F21"/>
    <w:rsid w:val="00BA7099"/>
    <w:rsid w:val="00BA7C2E"/>
    <w:rsid w:val="00BB0AF1"/>
    <w:rsid w:val="00BB0FE1"/>
    <w:rsid w:val="00BB164C"/>
    <w:rsid w:val="00BB1F17"/>
    <w:rsid w:val="00BB279D"/>
    <w:rsid w:val="00BB303A"/>
    <w:rsid w:val="00BB3B38"/>
    <w:rsid w:val="00BB400A"/>
    <w:rsid w:val="00BB4727"/>
    <w:rsid w:val="00BB4C2D"/>
    <w:rsid w:val="00BB4CD7"/>
    <w:rsid w:val="00BB515C"/>
    <w:rsid w:val="00BB5C1F"/>
    <w:rsid w:val="00BB5C79"/>
    <w:rsid w:val="00BB6EDC"/>
    <w:rsid w:val="00BB7178"/>
    <w:rsid w:val="00BB756F"/>
    <w:rsid w:val="00BB7EA2"/>
    <w:rsid w:val="00BB7FAC"/>
    <w:rsid w:val="00BC08FA"/>
    <w:rsid w:val="00BC0D07"/>
    <w:rsid w:val="00BC12EA"/>
    <w:rsid w:val="00BC14AE"/>
    <w:rsid w:val="00BC16BA"/>
    <w:rsid w:val="00BC1A50"/>
    <w:rsid w:val="00BC1B4E"/>
    <w:rsid w:val="00BC21D1"/>
    <w:rsid w:val="00BC2E87"/>
    <w:rsid w:val="00BC354B"/>
    <w:rsid w:val="00BC3948"/>
    <w:rsid w:val="00BC4125"/>
    <w:rsid w:val="00BC4BF7"/>
    <w:rsid w:val="00BC4DAD"/>
    <w:rsid w:val="00BC62E9"/>
    <w:rsid w:val="00BC65A9"/>
    <w:rsid w:val="00BC7CAB"/>
    <w:rsid w:val="00BC7FFA"/>
    <w:rsid w:val="00BD0E08"/>
    <w:rsid w:val="00BD167E"/>
    <w:rsid w:val="00BD1CBA"/>
    <w:rsid w:val="00BD1DF0"/>
    <w:rsid w:val="00BD2CB6"/>
    <w:rsid w:val="00BD3296"/>
    <w:rsid w:val="00BD3989"/>
    <w:rsid w:val="00BD3BBA"/>
    <w:rsid w:val="00BD3E0E"/>
    <w:rsid w:val="00BD43F7"/>
    <w:rsid w:val="00BD4639"/>
    <w:rsid w:val="00BD5593"/>
    <w:rsid w:val="00BD5B93"/>
    <w:rsid w:val="00BD5C09"/>
    <w:rsid w:val="00BD6D39"/>
    <w:rsid w:val="00BD78F3"/>
    <w:rsid w:val="00BD7A11"/>
    <w:rsid w:val="00BE01F7"/>
    <w:rsid w:val="00BE08E2"/>
    <w:rsid w:val="00BE0A62"/>
    <w:rsid w:val="00BE0BCF"/>
    <w:rsid w:val="00BE0C7F"/>
    <w:rsid w:val="00BE197D"/>
    <w:rsid w:val="00BE1ED5"/>
    <w:rsid w:val="00BE21D4"/>
    <w:rsid w:val="00BE27DA"/>
    <w:rsid w:val="00BE2B7C"/>
    <w:rsid w:val="00BE2DFE"/>
    <w:rsid w:val="00BE3EF3"/>
    <w:rsid w:val="00BE461A"/>
    <w:rsid w:val="00BE462E"/>
    <w:rsid w:val="00BE5FA1"/>
    <w:rsid w:val="00BE60CC"/>
    <w:rsid w:val="00BE638B"/>
    <w:rsid w:val="00BE6584"/>
    <w:rsid w:val="00BE6D80"/>
    <w:rsid w:val="00BE7331"/>
    <w:rsid w:val="00BF1087"/>
    <w:rsid w:val="00BF16F3"/>
    <w:rsid w:val="00BF1715"/>
    <w:rsid w:val="00BF1B06"/>
    <w:rsid w:val="00BF23E7"/>
    <w:rsid w:val="00BF3A1B"/>
    <w:rsid w:val="00BF524A"/>
    <w:rsid w:val="00BF555C"/>
    <w:rsid w:val="00BF57C3"/>
    <w:rsid w:val="00BF6B0B"/>
    <w:rsid w:val="00BF6EA6"/>
    <w:rsid w:val="00BF766C"/>
    <w:rsid w:val="00C00109"/>
    <w:rsid w:val="00C01F15"/>
    <w:rsid w:val="00C035EB"/>
    <w:rsid w:val="00C04157"/>
    <w:rsid w:val="00C0479E"/>
    <w:rsid w:val="00C04EDF"/>
    <w:rsid w:val="00C06295"/>
    <w:rsid w:val="00C067ED"/>
    <w:rsid w:val="00C06EA2"/>
    <w:rsid w:val="00C07058"/>
    <w:rsid w:val="00C0794B"/>
    <w:rsid w:val="00C10331"/>
    <w:rsid w:val="00C103BB"/>
    <w:rsid w:val="00C1056F"/>
    <w:rsid w:val="00C10A44"/>
    <w:rsid w:val="00C11A9A"/>
    <w:rsid w:val="00C125E2"/>
    <w:rsid w:val="00C12765"/>
    <w:rsid w:val="00C1281D"/>
    <w:rsid w:val="00C1320A"/>
    <w:rsid w:val="00C13880"/>
    <w:rsid w:val="00C13979"/>
    <w:rsid w:val="00C13F68"/>
    <w:rsid w:val="00C147B8"/>
    <w:rsid w:val="00C156D8"/>
    <w:rsid w:val="00C15EB6"/>
    <w:rsid w:val="00C161BB"/>
    <w:rsid w:val="00C1699A"/>
    <w:rsid w:val="00C178AA"/>
    <w:rsid w:val="00C20622"/>
    <w:rsid w:val="00C20CBF"/>
    <w:rsid w:val="00C22745"/>
    <w:rsid w:val="00C227BE"/>
    <w:rsid w:val="00C22CD3"/>
    <w:rsid w:val="00C23826"/>
    <w:rsid w:val="00C23B63"/>
    <w:rsid w:val="00C242BA"/>
    <w:rsid w:val="00C249A2"/>
    <w:rsid w:val="00C25CB3"/>
    <w:rsid w:val="00C25DC7"/>
    <w:rsid w:val="00C261B0"/>
    <w:rsid w:val="00C26B1D"/>
    <w:rsid w:val="00C2704A"/>
    <w:rsid w:val="00C270BD"/>
    <w:rsid w:val="00C2719C"/>
    <w:rsid w:val="00C27BEE"/>
    <w:rsid w:val="00C27E19"/>
    <w:rsid w:val="00C306BF"/>
    <w:rsid w:val="00C306F4"/>
    <w:rsid w:val="00C30860"/>
    <w:rsid w:val="00C30FCC"/>
    <w:rsid w:val="00C31367"/>
    <w:rsid w:val="00C31648"/>
    <w:rsid w:val="00C31A92"/>
    <w:rsid w:val="00C31FA7"/>
    <w:rsid w:val="00C34300"/>
    <w:rsid w:val="00C34526"/>
    <w:rsid w:val="00C347D8"/>
    <w:rsid w:val="00C34C13"/>
    <w:rsid w:val="00C354D0"/>
    <w:rsid w:val="00C35528"/>
    <w:rsid w:val="00C35BA1"/>
    <w:rsid w:val="00C36118"/>
    <w:rsid w:val="00C361D8"/>
    <w:rsid w:val="00C3637E"/>
    <w:rsid w:val="00C36798"/>
    <w:rsid w:val="00C36E26"/>
    <w:rsid w:val="00C36E49"/>
    <w:rsid w:val="00C3715C"/>
    <w:rsid w:val="00C37509"/>
    <w:rsid w:val="00C40FBA"/>
    <w:rsid w:val="00C41036"/>
    <w:rsid w:val="00C41821"/>
    <w:rsid w:val="00C4230C"/>
    <w:rsid w:val="00C4277B"/>
    <w:rsid w:val="00C429AB"/>
    <w:rsid w:val="00C42D80"/>
    <w:rsid w:val="00C435AB"/>
    <w:rsid w:val="00C43DEA"/>
    <w:rsid w:val="00C4495C"/>
    <w:rsid w:val="00C44A1B"/>
    <w:rsid w:val="00C458FD"/>
    <w:rsid w:val="00C45972"/>
    <w:rsid w:val="00C45A4C"/>
    <w:rsid w:val="00C46ACC"/>
    <w:rsid w:val="00C47140"/>
    <w:rsid w:val="00C4765D"/>
    <w:rsid w:val="00C51327"/>
    <w:rsid w:val="00C51A0B"/>
    <w:rsid w:val="00C53E50"/>
    <w:rsid w:val="00C54030"/>
    <w:rsid w:val="00C541DC"/>
    <w:rsid w:val="00C558A1"/>
    <w:rsid w:val="00C5767D"/>
    <w:rsid w:val="00C57921"/>
    <w:rsid w:val="00C57EAF"/>
    <w:rsid w:val="00C60566"/>
    <w:rsid w:val="00C60F76"/>
    <w:rsid w:val="00C61C3E"/>
    <w:rsid w:val="00C61D9F"/>
    <w:rsid w:val="00C6216A"/>
    <w:rsid w:val="00C62CD8"/>
    <w:rsid w:val="00C62FA5"/>
    <w:rsid w:val="00C635A2"/>
    <w:rsid w:val="00C6388D"/>
    <w:rsid w:val="00C63D0D"/>
    <w:rsid w:val="00C646D1"/>
    <w:rsid w:val="00C64D11"/>
    <w:rsid w:val="00C67554"/>
    <w:rsid w:val="00C67FF3"/>
    <w:rsid w:val="00C7077E"/>
    <w:rsid w:val="00C708BF"/>
    <w:rsid w:val="00C72270"/>
    <w:rsid w:val="00C722AB"/>
    <w:rsid w:val="00C72ABF"/>
    <w:rsid w:val="00C73DC9"/>
    <w:rsid w:val="00C74348"/>
    <w:rsid w:val="00C747A6"/>
    <w:rsid w:val="00C758DF"/>
    <w:rsid w:val="00C76711"/>
    <w:rsid w:val="00C769DE"/>
    <w:rsid w:val="00C77A6F"/>
    <w:rsid w:val="00C77FFD"/>
    <w:rsid w:val="00C807A7"/>
    <w:rsid w:val="00C810F8"/>
    <w:rsid w:val="00C82765"/>
    <w:rsid w:val="00C83A6F"/>
    <w:rsid w:val="00C83B48"/>
    <w:rsid w:val="00C8439E"/>
    <w:rsid w:val="00C84C3A"/>
    <w:rsid w:val="00C85064"/>
    <w:rsid w:val="00C857C5"/>
    <w:rsid w:val="00C86A6C"/>
    <w:rsid w:val="00C86AE1"/>
    <w:rsid w:val="00C90017"/>
    <w:rsid w:val="00C903B1"/>
    <w:rsid w:val="00C90F5D"/>
    <w:rsid w:val="00C92761"/>
    <w:rsid w:val="00C92F0B"/>
    <w:rsid w:val="00C9304C"/>
    <w:rsid w:val="00C95577"/>
    <w:rsid w:val="00C964DC"/>
    <w:rsid w:val="00C97C81"/>
    <w:rsid w:val="00CA0537"/>
    <w:rsid w:val="00CA0E52"/>
    <w:rsid w:val="00CA10B2"/>
    <w:rsid w:val="00CA1188"/>
    <w:rsid w:val="00CA1334"/>
    <w:rsid w:val="00CA2960"/>
    <w:rsid w:val="00CA2F2C"/>
    <w:rsid w:val="00CA38DE"/>
    <w:rsid w:val="00CA4343"/>
    <w:rsid w:val="00CA5273"/>
    <w:rsid w:val="00CA58B1"/>
    <w:rsid w:val="00CA65CB"/>
    <w:rsid w:val="00CA6806"/>
    <w:rsid w:val="00CA6EAA"/>
    <w:rsid w:val="00CA71AD"/>
    <w:rsid w:val="00CB0487"/>
    <w:rsid w:val="00CB04AA"/>
    <w:rsid w:val="00CB0950"/>
    <w:rsid w:val="00CB13F0"/>
    <w:rsid w:val="00CB157C"/>
    <w:rsid w:val="00CB26DC"/>
    <w:rsid w:val="00CB4EE7"/>
    <w:rsid w:val="00CB5E01"/>
    <w:rsid w:val="00CB5E8A"/>
    <w:rsid w:val="00CB663F"/>
    <w:rsid w:val="00CB66AD"/>
    <w:rsid w:val="00CB6B4B"/>
    <w:rsid w:val="00CC00A7"/>
    <w:rsid w:val="00CC03F5"/>
    <w:rsid w:val="00CC0535"/>
    <w:rsid w:val="00CC1541"/>
    <w:rsid w:val="00CC276A"/>
    <w:rsid w:val="00CC322C"/>
    <w:rsid w:val="00CC3510"/>
    <w:rsid w:val="00CC3C45"/>
    <w:rsid w:val="00CC463E"/>
    <w:rsid w:val="00CC4C3E"/>
    <w:rsid w:val="00CC5643"/>
    <w:rsid w:val="00CC58DC"/>
    <w:rsid w:val="00CC5A27"/>
    <w:rsid w:val="00CC6AB4"/>
    <w:rsid w:val="00CC6AD0"/>
    <w:rsid w:val="00CC71EC"/>
    <w:rsid w:val="00CD0048"/>
    <w:rsid w:val="00CD0522"/>
    <w:rsid w:val="00CD05C0"/>
    <w:rsid w:val="00CD0961"/>
    <w:rsid w:val="00CD0A41"/>
    <w:rsid w:val="00CD0BC6"/>
    <w:rsid w:val="00CD0D7A"/>
    <w:rsid w:val="00CD199E"/>
    <w:rsid w:val="00CD1BE8"/>
    <w:rsid w:val="00CD266A"/>
    <w:rsid w:val="00CD281B"/>
    <w:rsid w:val="00CD2D87"/>
    <w:rsid w:val="00CD37E4"/>
    <w:rsid w:val="00CD63A0"/>
    <w:rsid w:val="00CD66A7"/>
    <w:rsid w:val="00CD67A4"/>
    <w:rsid w:val="00CD6A48"/>
    <w:rsid w:val="00CD6FAA"/>
    <w:rsid w:val="00CD700E"/>
    <w:rsid w:val="00CD7581"/>
    <w:rsid w:val="00CD7B23"/>
    <w:rsid w:val="00CD7E8E"/>
    <w:rsid w:val="00CE08C6"/>
    <w:rsid w:val="00CE19E3"/>
    <w:rsid w:val="00CE3280"/>
    <w:rsid w:val="00CE3982"/>
    <w:rsid w:val="00CE3B79"/>
    <w:rsid w:val="00CE410E"/>
    <w:rsid w:val="00CE4D3D"/>
    <w:rsid w:val="00CE53B0"/>
    <w:rsid w:val="00CE5D27"/>
    <w:rsid w:val="00CE6286"/>
    <w:rsid w:val="00CE65F3"/>
    <w:rsid w:val="00CE678D"/>
    <w:rsid w:val="00CE6C76"/>
    <w:rsid w:val="00CE6CAD"/>
    <w:rsid w:val="00CE76B4"/>
    <w:rsid w:val="00CF058E"/>
    <w:rsid w:val="00CF168E"/>
    <w:rsid w:val="00CF1796"/>
    <w:rsid w:val="00CF19B9"/>
    <w:rsid w:val="00CF26CA"/>
    <w:rsid w:val="00CF3AED"/>
    <w:rsid w:val="00CF3C6C"/>
    <w:rsid w:val="00CF3C92"/>
    <w:rsid w:val="00CF4D2F"/>
    <w:rsid w:val="00CF5200"/>
    <w:rsid w:val="00CF5A5F"/>
    <w:rsid w:val="00CF653D"/>
    <w:rsid w:val="00CF67AF"/>
    <w:rsid w:val="00CF6FC1"/>
    <w:rsid w:val="00CF7989"/>
    <w:rsid w:val="00D00208"/>
    <w:rsid w:val="00D00C58"/>
    <w:rsid w:val="00D01252"/>
    <w:rsid w:val="00D01D34"/>
    <w:rsid w:val="00D02A69"/>
    <w:rsid w:val="00D02CFA"/>
    <w:rsid w:val="00D02F1E"/>
    <w:rsid w:val="00D02FEC"/>
    <w:rsid w:val="00D030D6"/>
    <w:rsid w:val="00D0315E"/>
    <w:rsid w:val="00D0357C"/>
    <w:rsid w:val="00D03C4B"/>
    <w:rsid w:val="00D03EC2"/>
    <w:rsid w:val="00D041E0"/>
    <w:rsid w:val="00D04B64"/>
    <w:rsid w:val="00D04D54"/>
    <w:rsid w:val="00D0503A"/>
    <w:rsid w:val="00D056AC"/>
    <w:rsid w:val="00D0583B"/>
    <w:rsid w:val="00D0670E"/>
    <w:rsid w:val="00D06BBD"/>
    <w:rsid w:val="00D07445"/>
    <w:rsid w:val="00D07D1F"/>
    <w:rsid w:val="00D10049"/>
    <w:rsid w:val="00D10169"/>
    <w:rsid w:val="00D10323"/>
    <w:rsid w:val="00D10646"/>
    <w:rsid w:val="00D112EF"/>
    <w:rsid w:val="00D12A77"/>
    <w:rsid w:val="00D13EEF"/>
    <w:rsid w:val="00D14E5A"/>
    <w:rsid w:val="00D15564"/>
    <w:rsid w:val="00D15A88"/>
    <w:rsid w:val="00D15C8D"/>
    <w:rsid w:val="00D166B0"/>
    <w:rsid w:val="00D1696C"/>
    <w:rsid w:val="00D202B1"/>
    <w:rsid w:val="00D2030C"/>
    <w:rsid w:val="00D20607"/>
    <w:rsid w:val="00D209BD"/>
    <w:rsid w:val="00D21022"/>
    <w:rsid w:val="00D210F0"/>
    <w:rsid w:val="00D211B8"/>
    <w:rsid w:val="00D21506"/>
    <w:rsid w:val="00D216E4"/>
    <w:rsid w:val="00D21BA5"/>
    <w:rsid w:val="00D222D1"/>
    <w:rsid w:val="00D22DF6"/>
    <w:rsid w:val="00D23C5B"/>
    <w:rsid w:val="00D248CF"/>
    <w:rsid w:val="00D250E5"/>
    <w:rsid w:val="00D25345"/>
    <w:rsid w:val="00D25519"/>
    <w:rsid w:val="00D255A6"/>
    <w:rsid w:val="00D25CE8"/>
    <w:rsid w:val="00D26602"/>
    <w:rsid w:val="00D269D5"/>
    <w:rsid w:val="00D270FD"/>
    <w:rsid w:val="00D2730E"/>
    <w:rsid w:val="00D274D3"/>
    <w:rsid w:val="00D27DB2"/>
    <w:rsid w:val="00D30903"/>
    <w:rsid w:val="00D30997"/>
    <w:rsid w:val="00D31590"/>
    <w:rsid w:val="00D318A2"/>
    <w:rsid w:val="00D32275"/>
    <w:rsid w:val="00D323D9"/>
    <w:rsid w:val="00D3291F"/>
    <w:rsid w:val="00D338AB"/>
    <w:rsid w:val="00D33A35"/>
    <w:rsid w:val="00D34D85"/>
    <w:rsid w:val="00D3546B"/>
    <w:rsid w:val="00D35F7F"/>
    <w:rsid w:val="00D36231"/>
    <w:rsid w:val="00D36E83"/>
    <w:rsid w:val="00D36EEE"/>
    <w:rsid w:val="00D4062E"/>
    <w:rsid w:val="00D41467"/>
    <w:rsid w:val="00D42CB8"/>
    <w:rsid w:val="00D42D84"/>
    <w:rsid w:val="00D431FE"/>
    <w:rsid w:val="00D43588"/>
    <w:rsid w:val="00D442B5"/>
    <w:rsid w:val="00D4470B"/>
    <w:rsid w:val="00D44E83"/>
    <w:rsid w:val="00D450FE"/>
    <w:rsid w:val="00D4531C"/>
    <w:rsid w:val="00D45956"/>
    <w:rsid w:val="00D46029"/>
    <w:rsid w:val="00D46041"/>
    <w:rsid w:val="00D46214"/>
    <w:rsid w:val="00D46416"/>
    <w:rsid w:val="00D4645B"/>
    <w:rsid w:val="00D46E7F"/>
    <w:rsid w:val="00D46F86"/>
    <w:rsid w:val="00D47A50"/>
    <w:rsid w:val="00D47AB1"/>
    <w:rsid w:val="00D47BD8"/>
    <w:rsid w:val="00D50025"/>
    <w:rsid w:val="00D50624"/>
    <w:rsid w:val="00D50791"/>
    <w:rsid w:val="00D508CD"/>
    <w:rsid w:val="00D525F9"/>
    <w:rsid w:val="00D52CC5"/>
    <w:rsid w:val="00D53ED3"/>
    <w:rsid w:val="00D54C4C"/>
    <w:rsid w:val="00D54F4B"/>
    <w:rsid w:val="00D55301"/>
    <w:rsid w:val="00D55425"/>
    <w:rsid w:val="00D569F4"/>
    <w:rsid w:val="00D570E6"/>
    <w:rsid w:val="00D571D4"/>
    <w:rsid w:val="00D603D0"/>
    <w:rsid w:val="00D60408"/>
    <w:rsid w:val="00D610C8"/>
    <w:rsid w:val="00D623D0"/>
    <w:rsid w:val="00D640BF"/>
    <w:rsid w:val="00D644C6"/>
    <w:rsid w:val="00D64848"/>
    <w:rsid w:val="00D64B3B"/>
    <w:rsid w:val="00D6500B"/>
    <w:rsid w:val="00D659B3"/>
    <w:rsid w:val="00D65B6D"/>
    <w:rsid w:val="00D6652E"/>
    <w:rsid w:val="00D67271"/>
    <w:rsid w:val="00D6757F"/>
    <w:rsid w:val="00D67F27"/>
    <w:rsid w:val="00D706BE"/>
    <w:rsid w:val="00D71EE2"/>
    <w:rsid w:val="00D72506"/>
    <w:rsid w:val="00D7265D"/>
    <w:rsid w:val="00D7267E"/>
    <w:rsid w:val="00D72DC3"/>
    <w:rsid w:val="00D73CAF"/>
    <w:rsid w:val="00D7433D"/>
    <w:rsid w:val="00D752AF"/>
    <w:rsid w:val="00D75AF2"/>
    <w:rsid w:val="00D75FD6"/>
    <w:rsid w:val="00D763B2"/>
    <w:rsid w:val="00D7672A"/>
    <w:rsid w:val="00D76C9A"/>
    <w:rsid w:val="00D76E40"/>
    <w:rsid w:val="00D76E42"/>
    <w:rsid w:val="00D7730A"/>
    <w:rsid w:val="00D77908"/>
    <w:rsid w:val="00D77FFE"/>
    <w:rsid w:val="00D80300"/>
    <w:rsid w:val="00D80591"/>
    <w:rsid w:val="00D80D6C"/>
    <w:rsid w:val="00D80E02"/>
    <w:rsid w:val="00D818AE"/>
    <w:rsid w:val="00D8272B"/>
    <w:rsid w:val="00D829A4"/>
    <w:rsid w:val="00D82E28"/>
    <w:rsid w:val="00D835A8"/>
    <w:rsid w:val="00D837CF"/>
    <w:rsid w:val="00D8385F"/>
    <w:rsid w:val="00D83A89"/>
    <w:rsid w:val="00D8424B"/>
    <w:rsid w:val="00D8449E"/>
    <w:rsid w:val="00D84756"/>
    <w:rsid w:val="00D85007"/>
    <w:rsid w:val="00D85FE2"/>
    <w:rsid w:val="00D863F1"/>
    <w:rsid w:val="00D8649F"/>
    <w:rsid w:val="00D8670D"/>
    <w:rsid w:val="00D86CAC"/>
    <w:rsid w:val="00D8796F"/>
    <w:rsid w:val="00D90ADE"/>
    <w:rsid w:val="00D91882"/>
    <w:rsid w:val="00D91939"/>
    <w:rsid w:val="00D91CC9"/>
    <w:rsid w:val="00D9202B"/>
    <w:rsid w:val="00D92AFD"/>
    <w:rsid w:val="00D93158"/>
    <w:rsid w:val="00D94708"/>
    <w:rsid w:val="00D94D0F"/>
    <w:rsid w:val="00D94E30"/>
    <w:rsid w:val="00D954A4"/>
    <w:rsid w:val="00D96EE0"/>
    <w:rsid w:val="00DA1485"/>
    <w:rsid w:val="00DA1C9D"/>
    <w:rsid w:val="00DA22CA"/>
    <w:rsid w:val="00DA2DBE"/>
    <w:rsid w:val="00DA3058"/>
    <w:rsid w:val="00DA3DC8"/>
    <w:rsid w:val="00DA428B"/>
    <w:rsid w:val="00DA463D"/>
    <w:rsid w:val="00DA4674"/>
    <w:rsid w:val="00DA46DB"/>
    <w:rsid w:val="00DA50E8"/>
    <w:rsid w:val="00DA545E"/>
    <w:rsid w:val="00DA5BE6"/>
    <w:rsid w:val="00DA75E1"/>
    <w:rsid w:val="00DA794D"/>
    <w:rsid w:val="00DA7C88"/>
    <w:rsid w:val="00DB006D"/>
    <w:rsid w:val="00DB078F"/>
    <w:rsid w:val="00DB0B7B"/>
    <w:rsid w:val="00DB18E2"/>
    <w:rsid w:val="00DB1BC3"/>
    <w:rsid w:val="00DB40F6"/>
    <w:rsid w:val="00DB4DE7"/>
    <w:rsid w:val="00DB5637"/>
    <w:rsid w:val="00DB68FD"/>
    <w:rsid w:val="00DB6C56"/>
    <w:rsid w:val="00DB734D"/>
    <w:rsid w:val="00DC03ED"/>
    <w:rsid w:val="00DC0BE2"/>
    <w:rsid w:val="00DC161B"/>
    <w:rsid w:val="00DC1811"/>
    <w:rsid w:val="00DC24F7"/>
    <w:rsid w:val="00DC3EE8"/>
    <w:rsid w:val="00DC4E9A"/>
    <w:rsid w:val="00DC50CA"/>
    <w:rsid w:val="00DC535A"/>
    <w:rsid w:val="00DC5568"/>
    <w:rsid w:val="00DC650C"/>
    <w:rsid w:val="00DC7F92"/>
    <w:rsid w:val="00DC7FFE"/>
    <w:rsid w:val="00DD00FA"/>
    <w:rsid w:val="00DD04E6"/>
    <w:rsid w:val="00DD04E8"/>
    <w:rsid w:val="00DD09B6"/>
    <w:rsid w:val="00DD0D72"/>
    <w:rsid w:val="00DD19D1"/>
    <w:rsid w:val="00DD28C8"/>
    <w:rsid w:val="00DD2A2C"/>
    <w:rsid w:val="00DD2BF4"/>
    <w:rsid w:val="00DD34AE"/>
    <w:rsid w:val="00DD4D6B"/>
    <w:rsid w:val="00DD5561"/>
    <w:rsid w:val="00DD5800"/>
    <w:rsid w:val="00DD5899"/>
    <w:rsid w:val="00DD5EC3"/>
    <w:rsid w:val="00DD5F03"/>
    <w:rsid w:val="00DD710A"/>
    <w:rsid w:val="00DD7A38"/>
    <w:rsid w:val="00DE0A74"/>
    <w:rsid w:val="00DE0CAD"/>
    <w:rsid w:val="00DE298C"/>
    <w:rsid w:val="00DE4389"/>
    <w:rsid w:val="00DE52E2"/>
    <w:rsid w:val="00DE5AF3"/>
    <w:rsid w:val="00DE67DF"/>
    <w:rsid w:val="00DE6D62"/>
    <w:rsid w:val="00DE6DB9"/>
    <w:rsid w:val="00DE70CD"/>
    <w:rsid w:val="00DF0C1B"/>
    <w:rsid w:val="00DF1296"/>
    <w:rsid w:val="00DF2170"/>
    <w:rsid w:val="00DF30B7"/>
    <w:rsid w:val="00DF4F3C"/>
    <w:rsid w:val="00DF5495"/>
    <w:rsid w:val="00DF6043"/>
    <w:rsid w:val="00DF6379"/>
    <w:rsid w:val="00DF64DA"/>
    <w:rsid w:val="00DF6969"/>
    <w:rsid w:val="00DF6D66"/>
    <w:rsid w:val="00DF7352"/>
    <w:rsid w:val="00DF78BF"/>
    <w:rsid w:val="00E0001B"/>
    <w:rsid w:val="00E00AB3"/>
    <w:rsid w:val="00E0125A"/>
    <w:rsid w:val="00E014F8"/>
    <w:rsid w:val="00E01C8D"/>
    <w:rsid w:val="00E02533"/>
    <w:rsid w:val="00E02C77"/>
    <w:rsid w:val="00E02D11"/>
    <w:rsid w:val="00E039EB"/>
    <w:rsid w:val="00E056DA"/>
    <w:rsid w:val="00E0589E"/>
    <w:rsid w:val="00E05D7C"/>
    <w:rsid w:val="00E06C5A"/>
    <w:rsid w:val="00E07A8E"/>
    <w:rsid w:val="00E1090B"/>
    <w:rsid w:val="00E1152E"/>
    <w:rsid w:val="00E12434"/>
    <w:rsid w:val="00E12EB2"/>
    <w:rsid w:val="00E13619"/>
    <w:rsid w:val="00E140DB"/>
    <w:rsid w:val="00E1429B"/>
    <w:rsid w:val="00E14751"/>
    <w:rsid w:val="00E14B83"/>
    <w:rsid w:val="00E14B8D"/>
    <w:rsid w:val="00E14F16"/>
    <w:rsid w:val="00E150E9"/>
    <w:rsid w:val="00E153C4"/>
    <w:rsid w:val="00E1545D"/>
    <w:rsid w:val="00E1583B"/>
    <w:rsid w:val="00E15E0E"/>
    <w:rsid w:val="00E15F14"/>
    <w:rsid w:val="00E1668B"/>
    <w:rsid w:val="00E1677E"/>
    <w:rsid w:val="00E16A62"/>
    <w:rsid w:val="00E17303"/>
    <w:rsid w:val="00E17B16"/>
    <w:rsid w:val="00E20897"/>
    <w:rsid w:val="00E20CC4"/>
    <w:rsid w:val="00E23A0F"/>
    <w:rsid w:val="00E23D2B"/>
    <w:rsid w:val="00E2451D"/>
    <w:rsid w:val="00E24882"/>
    <w:rsid w:val="00E24EB1"/>
    <w:rsid w:val="00E255B1"/>
    <w:rsid w:val="00E26058"/>
    <w:rsid w:val="00E26144"/>
    <w:rsid w:val="00E27158"/>
    <w:rsid w:val="00E2729B"/>
    <w:rsid w:val="00E27977"/>
    <w:rsid w:val="00E27F39"/>
    <w:rsid w:val="00E30D57"/>
    <w:rsid w:val="00E31ACA"/>
    <w:rsid w:val="00E32353"/>
    <w:rsid w:val="00E32AE8"/>
    <w:rsid w:val="00E3327C"/>
    <w:rsid w:val="00E33AB8"/>
    <w:rsid w:val="00E33B54"/>
    <w:rsid w:val="00E33C88"/>
    <w:rsid w:val="00E34561"/>
    <w:rsid w:val="00E34C67"/>
    <w:rsid w:val="00E36DC8"/>
    <w:rsid w:val="00E36DEB"/>
    <w:rsid w:val="00E37276"/>
    <w:rsid w:val="00E37BDB"/>
    <w:rsid w:val="00E406CC"/>
    <w:rsid w:val="00E40E8B"/>
    <w:rsid w:val="00E4128D"/>
    <w:rsid w:val="00E41E98"/>
    <w:rsid w:val="00E430C1"/>
    <w:rsid w:val="00E433BD"/>
    <w:rsid w:val="00E4340B"/>
    <w:rsid w:val="00E443AD"/>
    <w:rsid w:val="00E44EF2"/>
    <w:rsid w:val="00E44F0F"/>
    <w:rsid w:val="00E45580"/>
    <w:rsid w:val="00E459C7"/>
    <w:rsid w:val="00E4620C"/>
    <w:rsid w:val="00E467C1"/>
    <w:rsid w:val="00E46AE5"/>
    <w:rsid w:val="00E47D91"/>
    <w:rsid w:val="00E50019"/>
    <w:rsid w:val="00E50055"/>
    <w:rsid w:val="00E507ED"/>
    <w:rsid w:val="00E5089F"/>
    <w:rsid w:val="00E519AA"/>
    <w:rsid w:val="00E51C9C"/>
    <w:rsid w:val="00E51F5C"/>
    <w:rsid w:val="00E527B3"/>
    <w:rsid w:val="00E52B4C"/>
    <w:rsid w:val="00E52D3E"/>
    <w:rsid w:val="00E52D98"/>
    <w:rsid w:val="00E53429"/>
    <w:rsid w:val="00E53A0A"/>
    <w:rsid w:val="00E53C21"/>
    <w:rsid w:val="00E54271"/>
    <w:rsid w:val="00E54486"/>
    <w:rsid w:val="00E54670"/>
    <w:rsid w:val="00E55310"/>
    <w:rsid w:val="00E55638"/>
    <w:rsid w:val="00E556FE"/>
    <w:rsid w:val="00E55D2B"/>
    <w:rsid w:val="00E561DE"/>
    <w:rsid w:val="00E5741A"/>
    <w:rsid w:val="00E575DD"/>
    <w:rsid w:val="00E575E1"/>
    <w:rsid w:val="00E60968"/>
    <w:rsid w:val="00E6287C"/>
    <w:rsid w:val="00E63680"/>
    <w:rsid w:val="00E63AE6"/>
    <w:rsid w:val="00E64214"/>
    <w:rsid w:val="00E64336"/>
    <w:rsid w:val="00E66C6C"/>
    <w:rsid w:val="00E67441"/>
    <w:rsid w:val="00E67663"/>
    <w:rsid w:val="00E67847"/>
    <w:rsid w:val="00E67B17"/>
    <w:rsid w:val="00E700E6"/>
    <w:rsid w:val="00E71860"/>
    <w:rsid w:val="00E71D91"/>
    <w:rsid w:val="00E72659"/>
    <w:rsid w:val="00E726B3"/>
    <w:rsid w:val="00E7497A"/>
    <w:rsid w:val="00E753FC"/>
    <w:rsid w:val="00E75BB3"/>
    <w:rsid w:val="00E75E74"/>
    <w:rsid w:val="00E7729B"/>
    <w:rsid w:val="00E7734C"/>
    <w:rsid w:val="00E77B40"/>
    <w:rsid w:val="00E77BE8"/>
    <w:rsid w:val="00E8000F"/>
    <w:rsid w:val="00E8059E"/>
    <w:rsid w:val="00E80616"/>
    <w:rsid w:val="00E807FE"/>
    <w:rsid w:val="00E808BF"/>
    <w:rsid w:val="00E8158D"/>
    <w:rsid w:val="00E81606"/>
    <w:rsid w:val="00E82B51"/>
    <w:rsid w:val="00E82BE5"/>
    <w:rsid w:val="00E8317F"/>
    <w:rsid w:val="00E83E97"/>
    <w:rsid w:val="00E83FFC"/>
    <w:rsid w:val="00E8422A"/>
    <w:rsid w:val="00E84619"/>
    <w:rsid w:val="00E85A00"/>
    <w:rsid w:val="00E85B43"/>
    <w:rsid w:val="00E85CD3"/>
    <w:rsid w:val="00E865D2"/>
    <w:rsid w:val="00E86746"/>
    <w:rsid w:val="00E872E8"/>
    <w:rsid w:val="00E90CB7"/>
    <w:rsid w:val="00E90E60"/>
    <w:rsid w:val="00E93687"/>
    <w:rsid w:val="00E937C2"/>
    <w:rsid w:val="00E93801"/>
    <w:rsid w:val="00E939B0"/>
    <w:rsid w:val="00E93C51"/>
    <w:rsid w:val="00E9538F"/>
    <w:rsid w:val="00E95568"/>
    <w:rsid w:val="00E95AB9"/>
    <w:rsid w:val="00E9628E"/>
    <w:rsid w:val="00E96557"/>
    <w:rsid w:val="00E967CE"/>
    <w:rsid w:val="00E96DBA"/>
    <w:rsid w:val="00E975CA"/>
    <w:rsid w:val="00E97FD0"/>
    <w:rsid w:val="00EA064B"/>
    <w:rsid w:val="00EA11A2"/>
    <w:rsid w:val="00EA1561"/>
    <w:rsid w:val="00EA1BE0"/>
    <w:rsid w:val="00EA2646"/>
    <w:rsid w:val="00EA3025"/>
    <w:rsid w:val="00EA457E"/>
    <w:rsid w:val="00EA488B"/>
    <w:rsid w:val="00EA4E6A"/>
    <w:rsid w:val="00EA54D9"/>
    <w:rsid w:val="00EA6A83"/>
    <w:rsid w:val="00EA734A"/>
    <w:rsid w:val="00EA737D"/>
    <w:rsid w:val="00EB1E02"/>
    <w:rsid w:val="00EB273C"/>
    <w:rsid w:val="00EB2907"/>
    <w:rsid w:val="00EB2F89"/>
    <w:rsid w:val="00EB386D"/>
    <w:rsid w:val="00EB4E47"/>
    <w:rsid w:val="00EB5A9F"/>
    <w:rsid w:val="00EB5D17"/>
    <w:rsid w:val="00EB6431"/>
    <w:rsid w:val="00EB68B5"/>
    <w:rsid w:val="00EB77D8"/>
    <w:rsid w:val="00EC0745"/>
    <w:rsid w:val="00EC1115"/>
    <w:rsid w:val="00EC18D9"/>
    <w:rsid w:val="00EC19EB"/>
    <w:rsid w:val="00EC1BA5"/>
    <w:rsid w:val="00EC2033"/>
    <w:rsid w:val="00EC241D"/>
    <w:rsid w:val="00EC2C5D"/>
    <w:rsid w:val="00EC3927"/>
    <w:rsid w:val="00EC3F2B"/>
    <w:rsid w:val="00EC4A63"/>
    <w:rsid w:val="00EC6003"/>
    <w:rsid w:val="00EC6502"/>
    <w:rsid w:val="00EC7F4F"/>
    <w:rsid w:val="00ED0753"/>
    <w:rsid w:val="00ED07A4"/>
    <w:rsid w:val="00ED0ADE"/>
    <w:rsid w:val="00ED1E46"/>
    <w:rsid w:val="00ED1EC0"/>
    <w:rsid w:val="00ED20F2"/>
    <w:rsid w:val="00ED284E"/>
    <w:rsid w:val="00ED2B9F"/>
    <w:rsid w:val="00ED2E5D"/>
    <w:rsid w:val="00ED31EE"/>
    <w:rsid w:val="00ED38D6"/>
    <w:rsid w:val="00ED400C"/>
    <w:rsid w:val="00ED4D49"/>
    <w:rsid w:val="00ED50BA"/>
    <w:rsid w:val="00ED5224"/>
    <w:rsid w:val="00ED527E"/>
    <w:rsid w:val="00ED5741"/>
    <w:rsid w:val="00ED605D"/>
    <w:rsid w:val="00EE0647"/>
    <w:rsid w:val="00EE0D88"/>
    <w:rsid w:val="00EE16E2"/>
    <w:rsid w:val="00EE1DD0"/>
    <w:rsid w:val="00EE2E37"/>
    <w:rsid w:val="00EE36F7"/>
    <w:rsid w:val="00EE405B"/>
    <w:rsid w:val="00EE4336"/>
    <w:rsid w:val="00EE446A"/>
    <w:rsid w:val="00EE45E5"/>
    <w:rsid w:val="00EE48E7"/>
    <w:rsid w:val="00EE595D"/>
    <w:rsid w:val="00EE663B"/>
    <w:rsid w:val="00EE6A49"/>
    <w:rsid w:val="00EE6EF7"/>
    <w:rsid w:val="00EE7027"/>
    <w:rsid w:val="00EE775E"/>
    <w:rsid w:val="00EE783E"/>
    <w:rsid w:val="00EF22AE"/>
    <w:rsid w:val="00EF262F"/>
    <w:rsid w:val="00EF2D8F"/>
    <w:rsid w:val="00EF2E51"/>
    <w:rsid w:val="00EF2F8F"/>
    <w:rsid w:val="00EF3959"/>
    <w:rsid w:val="00EF3D13"/>
    <w:rsid w:val="00EF41A9"/>
    <w:rsid w:val="00EF67D6"/>
    <w:rsid w:val="00EF68A3"/>
    <w:rsid w:val="00EF6C48"/>
    <w:rsid w:val="00EF7B41"/>
    <w:rsid w:val="00F00209"/>
    <w:rsid w:val="00F00550"/>
    <w:rsid w:val="00F01073"/>
    <w:rsid w:val="00F014D3"/>
    <w:rsid w:val="00F016D5"/>
    <w:rsid w:val="00F01CDA"/>
    <w:rsid w:val="00F04545"/>
    <w:rsid w:val="00F04A47"/>
    <w:rsid w:val="00F04A4C"/>
    <w:rsid w:val="00F07496"/>
    <w:rsid w:val="00F07A2B"/>
    <w:rsid w:val="00F07EC8"/>
    <w:rsid w:val="00F07ED6"/>
    <w:rsid w:val="00F07F87"/>
    <w:rsid w:val="00F10015"/>
    <w:rsid w:val="00F11013"/>
    <w:rsid w:val="00F11B0D"/>
    <w:rsid w:val="00F11E3F"/>
    <w:rsid w:val="00F11F96"/>
    <w:rsid w:val="00F1218E"/>
    <w:rsid w:val="00F12A61"/>
    <w:rsid w:val="00F12DC9"/>
    <w:rsid w:val="00F13198"/>
    <w:rsid w:val="00F131A8"/>
    <w:rsid w:val="00F13218"/>
    <w:rsid w:val="00F13B06"/>
    <w:rsid w:val="00F140B9"/>
    <w:rsid w:val="00F14A72"/>
    <w:rsid w:val="00F14EB1"/>
    <w:rsid w:val="00F151A3"/>
    <w:rsid w:val="00F15A96"/>
    <w:rsid w:val="00F17635"/>
    <w:rsid w:val="00F218D5"/>
    <w:rsid w:val="00F21A1B"/>
    <w:rsid w:val="00F21A62"/>
    <w:rsid w:val="00F21C75"/>
    <w:rsid w:val="00F22361"/>
    <w:rsid w:val="00F231E6"/>
    <w:rsid w:val="00F23795"/>
    <w:rsid w:val="00F23F46"/>
    <w:rsid w:val="00F24384"/>
    <w:rsid w:val="00F245A5"/>
    <w:rsid w:val="00F25059"/>
    <w:rsid w:val="00F2545C"/>
    <w:rsid w:val="00F27707"/>
    <w:rsid w:val="00F27814"/>
    <w:rsid w:val="00F27826"/>
    <w:rsid w:val="00F27C01"/>
    <w:rsid w:val="00F27F27"/>
    <w:rsid w:val="00F30985"/>
    <w:rsid w:val="00F30C7B"/>
    <w:rsid w:val="00F31B66"/>
    <w:rsid w:val="00F31CC8"/>
    <w:rsid w:val="00F32C0A"/>
    <w:rsid w:val="00F3386C"/>
    <w:rsid w:val="00F34425"/>
    <w:rsid w:val="00F347CE"/>
    <w:rsid w:val="00F34D00"/>
    <w:rsid w:val="00F36DE1"/>
    <w:rsid w:val="00F41F9A"/>
    <w:rsid w:val="00F42759"/>
    <w:rsid w:val="00F428EC"/>
    <w:rsid w:val="00F42CEA"/>
    <w:rsid w:val="00F42D23"/>
    <w:rsid w:val="00F43B0A"/>
    <w:rsid w:val="00F46178"/>
    <w:rsid w:val="00F466E3"/>
    <w:rsid w:val="00F472B2"/>
    <w:rsid w:val="00F47767"/>
    <w:rsid w:val="00F478E2"/>
    <w:rsid w:val="00F50058"/>
    <w:rsid w:val="00F5059B"/>
    <w:rsid w:val="00F50B50"/>
    <w:rsid w:val="00F51079"/>
    <w:rsid w:val="00F514E3"/>
    <w:rsid w:val="00F51DA3"/>
    <w:rsid w:val="00F5291B"/>
    <w:rsid w:val="00F52D8B"/>
    <w:rsid w:val="00F5405B"/>
    <w:rsid w:val="00F54DF8"/>
    <w:rsid w:val="00F55583"/>
    <w:rsid w:val="00F56B3A"/>
    <w:rsid w:val="00F5748C"/>
    <w:rsid w:val="00F601BA"/>
    <w:rsid w:val="00F60542"/>
    <w:rsid w:val="00F6081C"/>
    <w:rsid w:val="00F608AD"/>
    <w:rsid w:val="00F60CC7"/>
    <w:rsid w:val="00F621C9"/>
    <w:rsid w:val="00F623AD"/>
    <w:rsid w:val="00F623B2"/>
    <w:rsid w:val="00F62C40"/>
    <w:rsid w:val="00F63411"/>
    <w:rsid w:val="00F63568"/>
    <w:rsid w:val="00F63B8C"/>
    <w:rsid w:val="00F64185"/>
    <w:rsid w:val="00F66001"/>
    <w:rsid w:val="00F66084"/>
    <w:rsid w:val="00F67128"/>
    <w:rsid w:val="00F677E9"/>
    <w:rsid w:val="00F702F9"/>
    <w:rsid w:val="00F705F7"/>
    <w:rsid w:val="00F70600"/>
    <w:rsid w:val="00F709C2"/>
    <w:rsid w:val="00F7206D"/>
    <w:rsid w:val="00F72E77"/>
    <w:rsid w:val="00F73653"/>
    <w:rsid w:val="00F73B38"/>
    <w:rsid w:val="00F743AC"/>
    <w:rsid w:val="00F7461A"/>
    <w:rsid w:val="00F74901"/>
    <w:rsid w:val="00F753A8"/>
    <w:rsid w:val="00F75933"/>
    <w:rsid w:val="00F76258"/>
    <w:rsid w:val="00F776DE"/>
    <w:rsid w:val="00F81DC7"/>
    <w:rsid w:val="00F81F1E"/>
    <w:rsid w:val="00F82EF2"/>
    <w:rsid w:val="00F848A9"/>
    <w:rsid w:val="00F84A67"/>
    <w:rsid w:val="00F84EE4"/>
    <w:rsid w:val="00F8535C"/>
    <w:rsid w:val="00F86166"/>
    <w:rsid w:val="00F868E7"/>
    <w:rsid w:val="00F86B2E"/>
    <w:rsid w:val="00F86F51"/>
    <w:rsid w:val="00F8789C"/>
    <w:rsid w:val="00F87974"/>
    <w:rsid w:val="00F9073C"/>
    <w:rsid w:val="00F90DAD"/>
    <w:rsid w:val="00F91081"/>
    <w:rsid w:val="00F919AD"/>
    <w:rsid w:val="00F92DD7"/>
    <w:rsid w:val="00F9391B"/>
    <w:rsid w:val="00F93F07"/>
    <w:rsid w:val="00F94CCF"/>
    <w:rsid w:val="00F950AA"/>
    <w:rsid w:val="00F950DC"/>
    <w:rsid w:val="00F96753"/>
    <w:rsid w:val="00F96AC8"/>
    <w:rsid w:val="00FA12D4"/>
    <w:rsid w:val="00FA1749"/>
    <w:rsid w:val="00FA1908"/>
    <w:rsid w:val="00FA36CF"/>
    <w:rsid w:val="00FA3BF4"/>
    <w:rsid w:val="00FA4023"/>
    <w:rsid w:val="00FA455C"/>
    <w:rsid w:val="00FA53FD"/>
    <w:rsid w:val="00FA5572"/>
    <w:rsid w:val="00FA774D"/>
    <w:rsid w:val="00FA791E"/>
    <w:rsid w:val="00FA7949"/>
    <w:rsid w:val="00FB05B7"/>
    <w:rsid w:val="00FB0777"/>
    <w:rsid w:val="00FB09AE"/>
    <w:rsid w:val="00FB0EB9"/>
    <w:rsid w:val="00FB19CB"/>
    <w:rsid w:val="00FB1F1C"/>
    <w:rsid w:val="00FB1FCD"/>
    <w:rsid w:val="00FB2678"/>
    <w:rsid w:val="00FB3F23"/>
    <w:rsid w:val="00FB4323"/>
    <w:rsid w:val="00FB47ED"/>
    <w:rsid w:val="00FB6B1A"/>
    <w:rsid w:val="00FB6D14"/>
    <w:rsid w:val="00FB7475"/>
    <w:rsid w:val="00FB761B"/>
    <w:rsid w:val="00FB7C1C"/>
    <w:rsid w:val="00FB7C56"/>
    <w:rsid w:val="00FC072D"/>
    <w:rsid w:val="00FC0AC2"/>
    <w:rsid w:val="00FC0E1F"/>
    <w:rsid w:val="00FC0EEB"/>
    <w:rsid w:val="00FC1026"/>
    <w:rsid w:val="00FC3CF1"/>
    <w:rsid w:val="00FC43B6"/>
    <w:rsid w:val="00FC5953"/>
    <w:rsid w:val="00FC59AC"/>
    <w:rsid w:val="00FC74AA"/>
    <w:rsid w:val="00FC7D9E"/>
    <w:rsid w:val="00FD090A"/>
    <w:rsid w:val="00FD0C39"/>
    <w:rsid w:val="00FD102F"/>
    <w:rsid w:val="00FD1C60"/>
    <w:rsid w:val="00FD292F"/>
    <w:rsid w:val="00FD36F4"/>
    <w:rsid w:val="00FD463D"/>
    <w:rsid w:val="00FD4C33"/>
    <w:rsid w:val="00FD4FB8"/>
    <w:rsid w:val="00FD5B8D"/>
    <w:rsid w:val="00FD5BDE"/>
    <w:rsid w:val="00FD5D4D"/>
    <w:rsid w:val="00FD60EE"/>
    <w:rsid w:val="00FD634B"/>
    <w:rsid w:val="00FD6BF5"/>
    <w:rsid w:val="00FD7510"/>
    <w:rsid w:val="00FD7D39"/>
    <w:rsid w:val="00FE0130"/>
    <w:rsid w:val="00FE097C"/>
    <w:rsid w:val="00FE1550"/>
    <w:rsid w:val="00FE16F8"/>
    <w:rsid w:val="00FE1AAE"/>
    <w:rsid w:val="00FE2B9C"/>
    <w:rsid w:val="00FE30E3"/>
    <w:rsid w:val="00FE4CC7"/>
    <w:rsid w:val="00FE593E"/>
    <w:rsid w:val="00FE59A5"/>
    <w:rsid w:val="00FE59BD"/>
    <w:rsid w:val="00FE70E2"/>
    <w:rsid w:val="00FE750B"/>
    <w:rsid w:val="00FE7789"/>
    <w:rsid w:val="00FE7A48"/>
    <w:rsid w:val="00FE7B78"/>
    <w:rsid w:val="00FE7BCC"/>
    <w:rsid w:val="00FE7C38"/>
    <w:rsid w:val="00FF060B"/>
    <w:rsid w:val="00FF2F6F"/>
    <w:rsid w:val="00FF354A"/>
    <w:rsid w:val="00FF3D52"/>
    <w:rsid w:val="00FF404B"/>
    <w:rsid w:val="00FF4D96"/>
    <w:rsid w:val="00FF5D1A"/>
    <w:rsid w:val="00FF6D02"/>
    <w:rsid w:val="00FF6F65"/>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DD577"/>
  <w15:docId w15:val="{B4D2E140-75F6-4C89-8851-C03D21F7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6DA"/>
    <w:pPr>
      <w:spacing w:after="120" w:line="240" w:lineRule="auto"/>
      <w:jc w:val="both"/>
    </w:pPr>
    <w:rPr>
      <w:rFonts w:ascii="Times New Roman" w:hAnsi="Times New Roman"/>
      <w:sz w:val="24"/>
    </w:rPr>
  </w:style>
  <w:style w:type="paragraph" w:styleId="Heading1">
    <w:name w:val="heading 1"/>
    <w:basedOn w:val="Normal"/>
    <w:next w:val="Normal"/>
    <w:link w:val="Heading1Char1"/>
    <w:uiPriority w:val="9"/>
    <w:qFormat/>
    <w:rsid w:val="007970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Podnaslov 2"/>
    <w:basedOn w:val="Normal"/>
    <w:next w:val="Normal"/>
    <w:link w:val="Heading2Char"/>
    <w:unhideWhenUsed/>
    <w:qFormat/>
    <w:rsid w:val="00797049"/>
    <w:pPr>
      <w:keepNext/>
      <w:keepLines/>
      <w:spacing w:before="40" w:after="0"/>
      <w:outlineLvl w:val="1"/>
    </w:pPr>
    <w:rPr>
      <w:rFonts w:ascii="Cambria" w:eastAsia="MS PGothic" w:hAnsi="Cambria" w:cs="Arial"/>
      <w:color w:val="404040"/>
      <w:sz w:val="28"/>
      <w:szCs w:val="28"/>
    </w:rPr>
  </w:style>
  <w:style w:type="paragraph" w:styleId="Heading3">
    <w:name w:val="heading 3"/>
    <w:basedOn w:val="Normal"/>
    <w:next w:val="Normal"/>
    <w:link w:val="Heading3Char"/>
    <w:uiPriority w:val="9"/>
    <w:unhideWhenUsed/>
    <w:qFormat/>
    <w:rsid w:val="00797049"/>
    <w:pPr>
      <w:keepNext/>
      <w:keepLines/>
      <w:spacing w:before="40" w:after="0"/>
      <w:outlineLvl w:val="2"/>
    </w:pPr>
    <w:rPr>
      <w:rFonts w:ascii="Arial" w:eastAsia="MS PGothic" w:hAnsi="Arial" w:cs="Arial"/>
      <w:color w:val="000000"/>
      <w:szCs w:val="24"/>
    </w:rPr>
  </w:style>
  <w:style w:type="paragraph" w:styleId="Heading4">
    <w:name w:val="heading 4"/>
    <w:basedOn w:val="Normal"/>
    <w:next w:val="Normal"/>
    <w:link w:val="Heading4Char"/>
    <w:unhideWhenUsed/>
    <w:qFormat/>
    <w:rsid w:val="00797049"/>
    <w:pPr>
      <w:keepNext/>
      <w:keepLines/>
      <w:spacing w:before="40" w:after="0"/>
      <w:outlineLvl w:val="3"/>
    </w:pPr>
    <w:rPr>
      <w:rFonts w:ascii="Arial" w:eastAsia="MS PGothic" w:hAnsi="Arial" w:cs="Arial"/>
    </w:rPr>
  </w:style>
  <w:style w:type="paragraph" w:styleId="Heading5">
    <w:name w:val="heading 5"/>
    <w:basedOn w:val="Normal"/>
    <w:next w:val="Normal"/>
    <w:link w:val="Heading5Char"/>
    <w:unhideWhenUsed/>
    <w:qFormat/>
    <w:rsid w:val="00797049"/>
    <w:pPr>
      <w:keepNext/>
      <w:keepLines/>
      <w:spacing w:before="40" w:after="0"/>
      <w:outlineLvl w:val="4"/>
    </w:pPr>
    <w:rPr>
      <w:rFonts w:ascii="Arial" w:eastAsia="MS PGothic" w:hAnsi="Arial" w:cs="Arial"/>
      <w:color w:val="000000"/>
    </w:rPr>
  </w:style>
  <w:style w:type="paragraph" w:styleId="Heading6">
    <w:name w:val="heading 6"/>
    <w:basedOn w:val="Normal"/>
    <w:next w:val="Normal"/>
    <w:link w:val="Heading6Char"/>
    <w:unhideWhenUsed/>
    <w:qFormat/>
    <w:rsid w:val="00797049"/>
    <w:pPr>
      <w:keepNext/>
      <w:keepLines/>
      <w:spacing w:before="40" w:after="0"/>
      <w:outlineLvl w:val="5"/>
    </w:pPr>
    <w:rPr>
      <w:rFonts w:ascii="Arial" w:eastAsia="MS PGothic" w:hAnsi="Arial" w:cs="Arial"/>
      <w:i/>
      <w:iCs/>
      <w:color w:val="000000"/>
      <w:sz w:val="21"/>
      <w:szCs w:val="21"/>
    </w:rPr>
  </w:style>
  <w:style w:type="paragraph" w:styleId="Heading7">
    <w:name w:val="heading 7"/>
    <w:basedOn w:val="Normal"/>
    <w:next w:val="Normal"/>
    <w:link w:val="Heading7Char"/>
    <w:uiPriority w:val="9"/>
    <w:semiHidden/>
    <w:unhideWhenUsed/>
    <w:qFormat/>
    <w:rsid w:val="00797049"/>
    <w:pPr>
      <w:keepNext/>
      <w:keepLines/>
      <w:spacing w:before="40" w:after="0"/>
      <w:outlineLvl w:val="6"/>
    </w:pPr>
    <w:rPr>
      <w:rFonts w:ascii="Arial" w:eastAsia="MS PGothic" w:hAnsi="Arial" w:cs="Arial"/>
      <w:i/>
      <w:iCs/>
      <w:color w:val="7F1D09"/>
      <w:sz w:val="21"/>
      <w:szCs w:val="21"/>
    </w:rPr>
  </w:style>
  <w:style w:type="paragraph" w:styleId="Heading8">
    <w:name w:val="heading 8"/>
    <w:basedOn w:val="Normal"/>
    <w:next w:val="Normal"/>
    <w:link w:val="Heading8Char"/>
    <w:uiPriority w:val="9"/>
    <w:unhideWhenUsed/>
    <w:qFormat/>
    <w:rsid w:val="00797049"/>
    <w:pPr>
      <w:keepNext/>
      <w:keepLines/>
      <w:spacing w:before="40" w:after="0"/>
      <w:outlineLvl w:val="7"/>
    </w:pPr>
    <w:rPr>
      <w:rFonts w:ascii="Arial" w:eastAsia="MS PGothic" w:hAnsi="Arial" w:cs="Arial"/>
      <w:b/>
      <w:bCs/>
      <w:color w:val="000000"/>
    </w:rPr>
  </w:style>
  <w:style w:type="paragraph" w:styleId="Heading9">
    <w:name w:val="heading 9"/>
    <w:basedOn w:val="Normal"/>
    <w:next w:val="Normal"/>
    <w:link w:val="Heading9Char"/>
    <w:uiPriority w:val="9"/>
    <w:semiHidden/>
    <w:unhideWhenUsed/>
    <w:qFormat/>
    <w:rsid w:val="00797049"/>
    <w:pPr>
      <w:keepNext/>
      <w:keepLines/>
      <w:spacing w:before="40" w:after="0"/>
      <w:outlineLvl w:val="8"/>
    </w:pPr>
    <w:rPr>
      <w:rFonts w:ascii="Arial" w:eastAsia="MS PGothic" w:hAnsi="Arial" w:cs="Arial"/>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797049"/>
    <w:pPr>
      <w:keepNext/>
      <w:keepLines/>
      <w:spacing w:before="320" w:after="0"/>
      <w:outlineLvl w:val="0"/>
    </w:pPr>
    <w:rPr>
      <w:rFonts w:ascii="Arial" w:eastAsia="MS PGothic" w:hAnsi="Arial" w:cs="Arial"/>
      <w:color w:val="BF2B0E"/>
      <w:sz w:val="32"/>
      <w:szCs w:val="32"/>
    </w:rPr>
  </w:style>
  <w:style w:type="paragraph" w:customStyle="1" w:styleId="Heading21">
    <w:name w:val="Heading 21"/>
    <w:basedOn w:val="Normal"/>
    <w:next w:val="Normal"/>
    <w:uiPriority w:val="9"/>
    <w:unhideWhenUsed/>
    <w:qFormat/>
    <w:rsid w:val="00797049"/>
    <w:pPr>
      <w:keepNext/>
      <w:keepLines/>
      <w:spacing w:before="80" w:after="0"/>
      <w:outlineLvl w:val="1"/>
    </w:pPr>
    <w:rPr>
      <w:rFonts w:ascii="Cambria" w:eastAsia="MS PGothic" w:hAnsi="Cambria" w:cs="Arial"/>
      <w:color w:val="404040"/>
      <w:sz w:val="28"/>
      <w:szCs w:val="28"/>
      <w:lang w:eastAsia="ja-JP"/>
    </w:rPr>
  </w:style>
  <w:style w:type="paragraph" w:customStyle="1" w:styleId="Heading31">
    <w:name w:val="Heading 31"/>
    <w:basedOn w:val="Normal"/>
    <w:next w:val="Normal"/>
    <w:uiPriority w:val="9"/>
    <w:unhideWhenUsed/>
    <w:qFormat/>
    <w:rsid w:val="00797049"/>
    <w:pPr>
      <w:keepNext/>
      <w:keepLines/>
      <w:spacing w:before="40" w:after="0"/>
      <w:outlineLvl w:val="2"/>
    </w:pPr>
    <w:rPr>
      <w:rFonts w:ascii="Arial" w:eastAsia="MS PGothic" w:hAnsi="Arial" w:cs="Arial"/>
      <w:color w:val="000000"/>
      <w:szCs w:val="24"/>
      <w:lang w:eastAsia="ja-JP"/>
    </w:rPr>
  </w:style>
  <w:style w:type="paragraph" w:customStyle="1" w:styleId="Heading41">
    <w:name w:val="Heading 41"/>
    <w:basedOn w:val="Normal"/>
    <w:next w:val="Normal"/>
    <w:uiPriority w:val="9"/>
    <w:unhideWhenUsed/>
    <w:qFormat/>
    <w:rsid w:val="00797049"/>
    <w:pPr>
      <w:keepNext/>
      <w:keepLines/>
      <w:spacing w:before="40" w:after="0" w:line="264" w:lineRule="auto"/>
      <w:outlineLvl w:val="3"/>
    </w:pPr>
    <w:rPr>
      <w:rFonts w:ascii="Arial" w:eastAsia="MS PGothic" w:hAnsi="Arial" w:cs="Arial"/>
      <w:lang w:eastAsia="ja-JP"/>
    </w:rPr>
  </w:style>
  <w:style w:type="paragraph" w:customStyle="1" w:styleId="Heading51">
    <w:name w:val="Heading 51"/>
    <w:basedOn w:val="Normal"/>
    <w:next w:val="Normal"/>
    <w:uiPriority w:val="9"/>
    <w:semiHidden/>
    <w:unhideWhenUsed/>
    <w:qFormat/>
    <w:rsid w:val="00797049"/>
    <w:pPr>
      <w:keepNext/>
      <w:keepLines/>
      <w:spacing w:before="40" w:after="0" w:line="264" w:lineRule="auto"/>
      <w:outlineLvl w:val="4"/>
    </w:pPr>
    <w:rPr>
      <w:rFonts w:ascii="Arial" w:eastAsia="MS PGothic" w:hAnsi="Arial" w:cs="Arial"/>
      <w:color w:val="000000"/>
      <w:lang w:eastAsia="ja-JP"/>
    </w:rPr>
  </w:style>
  <w:style w:type="paragraph" w:customStyle="1" w:styleId="Heading61">
    <w:name w:val="Heading 61"/>
    <w:basedOn w:val="Normal"/>
    <w:next w:val="Normal"/>
    <w:uiPriority w:val="9"/>
    <w:semiHidden/>
    <w:unhideWhenUsed/>
    <w:qFormat/>
    <w:rsid w:val="00797049"/>
    <w:pPr>
      <w:keepNext/>
      <w:keepLines/>
      <w:spacing w:before="40" w:after="0" w:line="264" w:lineRule="auto"/>
      <w:outlineLvl w:val="5"/>
    </w:pPr>
    <w:rPr>
      <w:rFonts w:ascii="Arial" w:eastAsia="MS PGothic" w:hAnsi="Arial" w:cs="Arial"/>
      <w:i/>
      <w:iCs/>
      <w:color w:val="000000"/>
      <w:sz w:val="21"/>
      <w:szCs w:val="21"/>
      <w:lang w:eastAsia="ja-JP"/>
    </w:rPr>
  </w:style>
  <w:style w:type="paragraph" w:customStyle="1" w:styleId="Heading71">
    <w:name w:val="Heading 71"/>
    <w:basedOn w:val="Normal"/>
    <w:next w:val="Normal"/>
    <w:uiPriority w:val="9"/>
    <w:semiHidden/>
    <w:unhideWhenUsed/>
    <w:qFormat/>
    <w:rsid w:val="00797049"/>
    <w:pPr>
      <w:keepNext/>
      <w:keepLines/>
      <w:spacing w:before="40" w:after="0" w:line="264" w:lineRule="auto"/>
      <w:outlineLvl w:val="6"/>
    </w:pPr>
    <w:rPr>
      <w:rFonts w:ascii="Arial" w:eastAsia="MS PGothic" w:hAnsi="Arial" w:cs="Arial"/>
      <w:i/>
      <w:iCs/>
      <w:color w:val="7F1D09"/>
      <w:sz w:val="21"/>
      <w:szCs w:val="21"/>
      <w:lang w:eastAsia="ja-JP"/>
    </w:rPr>
  </w:style>
  <w:style w:type="paragraph" w:customStyle="1" w:styleId="Heading81">
    <w:name w:val="Heading 81"/>
    <w:basedOn w:val="Normal"/>
    <w:next w:val="Normal"/>
    <w:uiPriority w:val="9"/>
    <w:semiHidden/>
    <w:unhideWhenUsed/>
    <w:qFormat/>
    <w:rsid w:val="00797049"/>
    <w:pPr>
      <w:keepNext/>
      <w:keepLines/>
      <w:spacing w:before="40" w:after="0" w:line="264" w:lineRule="auto"/>
      <w:outlineLvl w:val="7"/>
    </w:pPr>
    <w:rPr>
      <w:rFonts w:ascii="Arial" w:eastAsia="MS PGothic" w:hAnsi="Arial" w:cs="Arial"/>
      <w:b/>
      <w:bCs/>
      <w:color w:val="000000"/>
      <w:sz w:val="20"/>
      <w:szCs w:val="20"/>
      <w:lang w:eastAsia="ja-JP"/>
    </w:rPr>
  </w:style>
  <w:style w:type="paragraph" w:customStyle="1" w:styleId="Heading91">
    <w:name w:val="Heading 91"/>
    <w:basedOn w:val="Normal"/>
    <w:next w:val="Normal"/>
    <w:uiPriority w:val="9"/>
    <w:semiHidden/>
    <w:unhideWhenUsed/>
    <w:qFormat/>
    <w:rsid w:val="00797049"/>
    <w:pPr>
      <w:keepNext/>
      <w:keepLines/>
      <w:spacing w:before="40" w:after="0" w:line="264" w:lineRule="auto"/>
      <w:outlineLvl w:val="8"/>
    </w:pPr>
    <w:rPr>
      <w:rFonts w:ascii="Arial" w:eastAsia="MS PGothic" w:hAnsi="Arial" w:cs="Arial"/>
      <w:b/>
      <w:bCs/>
      <w:i/>
      <w:iCs/>
      <w:color w:val="000000"/>
      <w:sz w:val="20"/>
      <w:szCs w:val="20"/>
      <w:lang w:eastAsia="ja-JP"/>
    </w:rPr>
  </w:style>
  <w:style w:type="numbering" w:customStyle="1" w:styleId="NoList1">
    <w:name w:val="No List1"/>
    <w:next w:val="NoList"/>
    <w:uiPriority w:val="99"/>
    <w:semiHidden/>
    <w:unhideWhenUsed/>
    <w:rsid w:val="00797049"/>
  </w:style>
  <w:style w:type="paragraph" w:customStyle="1" w:styleId="Footer1">
    <w:name w:val="Footer1"/>
    <w:basedOn w:val="Normal"/>
    <w:next w:val="Footer"/>
    <w:link w:val="FooterChar"/>
    <w:uiPriority w:val="99"/>
    <w:unhideWhenUsed/>
    <w:rsid w:val="00797049"/>
    <w:pPr>
      <w:spacing w:after="0" w:line="264" w:lineRule="auto"/>
      <w:ind w:left="29" w:right="144"/>
    </w:pPr>
    <w:rPr>
      <w:color w:val="EF4623"/>
    </w:rPr>
  </w:style>
  <w:style w:type="character" w:customStyle="1" w:styleId="FooterChar">
    <w:name w:val="Footer Char"/>
    <w:aliases w:val="Char Char Char Char Char,Char Char1,Char Char Char1,Char Char Char Char Char Char Char Char,Char Char Char Char Char Char Char Char Char Char,Char Char Char Char Char Char Char Char Char Char Char Char Char Char"/>
    <w:basedOn w:val="DefaultParagraphFont"/>
    <w:link w:val="Footer1"/>
    <w:rsid w:val="00797049"/>
    <w:rPr>
      <w:color w:val="EF4623"/>
    </w:rPr>
  </w:style>
  <w:style w:type="paragraph" w:customStyle="1" w:styleId="Subtitle1">
    <w:name w:val="Subtitle1"/>
    <w:basedOn w:val="Normal"/>
    <w:next w:val="Normal"/>
    <w:uiPriority w:val="11"/>
    <w:qFormat/>
    <w:rsid w:val="00797049"/>
    <w:pPr>
      <w:numPr>
        <w:ilvl w:val="1"/>
      </w:numPr>
    </w:pPr>
    <w:rPr>
      <w:rFonts w:ascii="Arial" w:eastAsia="MS PGothic" w:hAnsi="Arial" w:cs="Arial"/>
      <w:szCs w:val="24"/>
      <w:lang w:eastAsia="ja-JP"/>
    </w:rPr>
  </w:style>
  <w:style w:type="paragraph" w:customStyle="1" w:styleId="Graphic">
    <w:name w:val="Graphic"/>
    <w:basedOn w:val="Normal"/>
    <w:uiPriority w:val="99"/>
    <w:rsid w:val="00797049"/>
    <w:pPr>
      <w:spacing w:line="264" w:lineRule="auto"/>
      <w:jc w:val="center"/>
    </w:pPr>
    <w:rPr>
      <w:rFonts w:eastAsia="MS PGothic"/>
      <w:sz w:val="20"/>
      <w:szCs w:val="20"/>
      <w:lang w:eastAsia="ja-JP"/>
    </w:rPr>
  </w:style>
  <w:style w:type="paragraph" w:styleId="Header">
    <w:name w:val="header"/>
    <w:basedOn w:val="Normal"/>
    <w:link w:val="HeaderChar"/>
    <w:uiPriority w:val="99"/>
    <w:rsid w:val="00797049"/>
    <w:pPr>
      <w:spacing w:after="380" w:line="264" w:lineRule="auto"/>
    </w:pPr>
    <w:rPr>
      <w:rFonts w:eastAsia="MS PGothic"/>
      <w:sz w:val="20"/>
      <w:szCs w:val="20"/>
      <w:lang w:eastAsia="ja-JP"/>
    </w:rPr>
  </w:style>
  <w:style w:type="character" w:customStyle="1" w:styleId="HeaderChar">
    <w:name w:val="Header Char"/>
    <w:basedOn w:val="DefaultParagraphFont"/>
    <w:link w:val="Header"/>
    <w:uiPriority w:val="99"/>
    <w:rsid w:val="00797049"/>
    <w:rPr>
      <w:rFonts w:eastAsia="MS PGothic"/>
      <w:sz w:val="20"/>
      <w:szCs w:val="20"/>
      <w:lang w:eastAsia="ja-JP"/>
    </w:rPr>
  </w:style>
  <w:style w:type="table" w:styleId="TableGrid">
    <w:name w:val="Table Grid"/>
    <w:basedOn w:val="TableNormal"/>
    <w:uiPriority w:val="5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InfoHeading">
    <w:name w:val="Info Heading"/>
    <w:basedOn w:val="Normal"/>
    <w:uiPriority w:val="2"/>
    <w:rsid w:val="00797049"/>
    <w:pPr>
      <w:spacing w:after="60" w:line="264" w:lineRule="auto"/>
      <w:ind w:left="29" w:right="29"/>
      <w:jc w:val="right"/>
    </w:pPr>
    <w:rPr>
      <w:rFonts w:eastAsia="MS PGothic"/>
      <w:b/>
      <w:bCs/>
      <w:color w:val="EF4623"/>
      <w:sz w:val="36"/>
      <w:szCs w:val="20"/>
      <w:lang w:eastAsia="ja-JP"/>
    </w:rPr>
  </w:style>
  <w:style w:type="paragraph" w:customStyle="1" w:styleId="Page">
    <w:name w:val="Page"/>
    <w:basedOn w:val="Normal"/>
    <w:next w:val="Normal"/>
    <w:uiPriority w:val="99"/>
    <w:unhideWhenUsed/>
    <w:rsid w:val="00797049"/>
    <w:pPr>
      <w:spacing w:after="40" w:line="264" w:lineRule="auto"/>
    </w:pPr>
    <w:rPr>
      <w:rFonts w:eastAsia="MS PGothic"/>
      <w:noProof/>
      <w:color w:val="000000"/>
      <w:sz w:val="36"/>
      <w:szCs w:val="20"/>
      <w:lang w:eastAsia="ja-JP"/>
    </w:rPr>
  </w:style>
  <w:style w:type="paragraph" w:customStyle="1" w:styleId="Title1">
    <w:name w:val="Title1"/>
    <w:basedOn w:val="Normal"/>
    <w:next w:val="Normal"/>
    <w:uiPriority w:val="10"/>
    <w:qFormat/>
    <w:rsid w:val="00797049"/>
    <w:pPr>
      <w:spacing w:after="0"/>
      <w:contextualSpacing/>
    </w:pPr>
    <w:rPr>
      <w:rFonts w:ascii="Arial" w:eastAsia="MS PGothic" w:hAnsi="Arial" w:cs="Arial"/>
      <w:color w:val="EF4623"/>
      <w:spacing w:val="-10"/>
      <w:sz w:val="56"/>
      <w:szCs w:val="56"/>
      <w:lang w:eastAsia="ja-JP"/>
    </w:rPr>
  </w:style>
  <w:style w:type="character" w:customStyle="1" w:styleId="TitleChar">
    <w:name w:val="Title Char"/>
    <w:basedOn w:val="DefaultParagraphFont"/>
    <w:link w:val="Title"/>
    <w:rsid w:val="00797049"/>
    <w:rPr>
      <w:rFonts w:ascii="Arial" w:eastAsia="MS PGothic" w:hAnsi="Arial" w:cs="Arial"/>
      <w:color w:val="EF4623"/>
      <w:spacing w:val="-10"/>
      <w:sz w:val="56"/>
      <w:szCs w:val="56"/>
    </w:rPr>
  </w:style>
  <w:style w:type="character" w:styleId="PlaceholderText">
    <w:name w:val="Placeholder Text"/>
    <w:basedOn w:val="DefaultParagraphFont"/>
    <w:uiPriority w:val="99"/>
    <w:semiHidden/>
    <w:rsid w:val="00797049"/>
    <w:rPr>
      <w:color w:val="808080"/>
    </w:rPr>
  </w:style>
  <w:style w:type="paragraph" w:styleId="BalloonText">
    <w:name w:val="Balloon Text"/>
    <w:basedOn w:val="Normal"/>
    <w:link w:val="BalloonTextChar"/>
    <w:uiPriority w:val="99"/>
    <w:unhideWhenUsed/>
    <w:rsid w:val="00797049"/>
    <w:pPr>
      <w:spacing w:after="0" w:line="264" w:lineRule="auto"/>
    </w:pPr>
    <w:rPr>
      <w:rFonts w:ascii="Tahoma" w:eastAsia="MS PGothic" w:hAnsi="Tahoma" w:cs="Tahoma"/>
      <w:sz w:val="16"/>
      <w:szCs w:val="20"/>
      <w:lang w:eastAsia="ja-JP"/>
    </w:rPr>
  </w:style>
  <w:style w:type="character" w:customStyle="1" w:styleId="BalloonTextChar">
    <w:name w:val="Balloon Text Char"/>
    <w:basedOn w:val="DefaultParagraphFont"/>
    <w:link w:val="BalloonText"/>
    <w:uiPriority w:val="99"/>
    <w:rsid w:val="00797049"/>
    <w:rPr>
      <w:rFonts w:ascii="Tahoma" w:eastAsia="MS PGothic" w:hAnsi="Tahoma" w:cs="Tahoma"/>
      <w:sz w:val="16"/>
      <w:szCs w:val="20"/>
      <w:lang w:eastAsia="ja-JP"/>
    </w:rPr>
  </w:style>
  <w:style w:type="character" w:styleId="Strong">
    <w:name w:val="Strong"/>
    <w:basedOn w:val="DefaultParagraphFont"/>
    <w:uiPriority w:val="22"/>
    <w:qFormat/>
    <w:rsid w:val="00797049"/>
    <w:rPr>
      <w:b/>
      <w:bCs/>
    </w:rPr>
  </w:style>
  <w:style w:type="character" w:customStyle="1" w:styleId="SubtitleChar">
    <w:name w:val="Subtitle Char"/>
    <w:basedOn w:val="DefaultParagraphFont"/>
    <w:link w:val="Subtitle"/>
    <w:rsid w:val="00797049"/>
    <w:rPr>
      <w:rFonts w:ascii="Arial" w:eastAsia="MS PGothic" w:hAnsi="Arial" w:cs="Arial"/>
      <w:sz w:val="24"/>
      <w:szCs w:val="24"/>
    </w:rPr>
  </w:style>
  <w:style w:type="paragraph" w:customStyle="1" w:styleId="Abstract">
    <w:name w:val="Abstract"/>
    <w:basedOn w:val="Normal"/>
    <w:uiPriority w:val="3"/>
    <w:rsid w:val="00797049"/>
    <w:pPr>
      <w:spacing w:before="360" w:after="480" w:line="360" w:lineRule="auto"/>
    </w:pPr>
    <w:rPr>
      <w:rFonts w:eastAsia="MS PGothic"/>
      <w:i/>
      <w:iCs/>
      <w:color w:val="EF4623"/>
      <w:kern w:val="20"/>
      <w:sz w:val="28"/>
      <w:szCs w:val="20"/>
      <w:lang w:eastAsia="ja-JP"/>
    </w:rPr>
  </w:style>
  <w:style w:type="paragraph" w:styleId="NoSpacing">
    <w:name w:val="No Spacing"/>
    <w:aliases w:val="Uvodna rečenica"/>
    <w:link w:val="NoSpacingChar"/>
    <w:uiPriority w:val="1"/>
    <w:qFormat/>
    <w:rsid w:val="00797049"/>
    <w:pPr>
      <w:spacing w:after="0" w:line="240" w:lineRule="auto"/>
    </w:pPr>
    <w:rPr>
      <w:rFonts w:eastAsia="MS PGothic"/>
      <w:sz w:val="20"/>
      <w:szCs w:val="20"/>
      <w:lang w:eastAsia="ja-JP"/>
    </w:rPr>
  </w:style>
  <w:style w:type="character" w:customStyle="1" w:styleId="Hyperlink1">
    <w:name w:val="Hyperlink1"/>
    <w:basedOn w:val="DefaultParagraphFont"/>
    <w:uiPriority w:val="99"/>
    <w:unhideWhenUsed/>
    <w:rsid w:val="00797049"/>
    <w:rPr>
      <w:color w:val="5F5F5F"/>
      <w:u w:val="single"/>
    </w:rPr>
  </w:style>
  <w:style w:type="paragraph" w:styleId="TOC1">
    <w:name w:val="toc 1"/>
    <w:basedOn w:val="Normal"/>
    <w:next w:val="Normal"/>
    <w:autoRedefine/>
    <w:uiPriority w:val="39"/>
    <w:unhideWhenUsed/>
    <w:qFormat/>
    <w:rsid w:val="00F46178"/>
    <w:pPr>
      <w:tabs>
        <w:tab w:val="left" w:pos="400"/>
        <w:tab w:val="right" w:leader="underscore" w:pos="8424"/>
      </w:tabs>
      <w:spacing w:before="40" w:after="100" w:line="288" w:lineRule="auto"/>
    </w:pPr>
    <w:rPr>
      <w:rFonts w:eastAsia="MS PGothic"/>
      <w:noProof/>
      <w:kern w:val="20"/>
      <w:sz w:val="20"/>
      <w:szCs w:val="20"/>
      <w:lang w:eastAsia="ja-JP"/>
    </w:rPr>
  </w:style>
  <w:style w:type="character" w:customStyle="1" w:styleId="Heading1Char">
    <w:name w:val="Heading 1 Char"/>
    <w:basedOn w:val="DefaultParagraphFont"/>
    <w:link w:val="Heading11"/>
    <w:uiPriority w:val="9"/>
    <w:rsid w:val="00797049"/>
    <w:rPr>
      <w:rFonts w:ascii="Arial" w:eastAsia="MS PGothic" w:hAnsi="Arial" w:cs="Arial"/>
      <w:color w:val="BF2B0E"/>
      <w:sz w:val="32"/>
      <w:szCs w:val="32"/>
    </w:rPr>
  </w:style>
  <w:style w:type="character" w:customStyle="1" w:styleId="Heading1Char1">
    <w:name w:val="Heading 1 Char1"/>
    <w:basedOn w:val="DefaultParagraphFont"/>
    <w:link w:val="Heading1"/>
    <w:uiPriority w:val="9"/>
    <w:rsid w:val="0079704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97049"/>
    <w:pPr>
      <w:spacing w:before="320"/>
      <w:outlineLvl w:val="9"/>
    </w:pPr>
    <w:rPr>
      <w:lang w:eastAsia="ja-JP"/>
    </w:rPr>
  </w:style>
  <w:style w:type="character" w:customStyle="1" w:styleId="Heading2Char">
    <w:name w:val="Heading 2 Char"/>
    <w:aliases w:val="Podnaslov 2 Char"/>
    <w:basedOn w:val="DefaultParagraphFont"/>
    <w:link w:val="Heading2"/>
    <w:rsid w:val="00797049"/>
    <w:rPr>
      <w:rFonts w:ascii="Cambria" w:eastAsia="MS PGothic" w:hAnsi="Cambria" w:cs="Arial"/>
      <w:color w:val="404040"/>
      <w:sz w:val="28"/>
      <w:szCs w:val="28"/>
    </w:rPr>
  </w:style>
  <w:style w:type="paragraph" w:customStyle="1" w:styleId="Quote1">
    <w:name w:val="Quote1"/>
    <w:basedOn w:val="Normal"/>
    <w:next w:val="Normal"/>
    <w:uiPriority w:val="29"/>
    <w:qFormat/>
    <w:rsid w:val="00797049"/>
    <w:pPr>
      <w:spacing w:before="160" w:line="264" w:lineRule="auto"/>
      <w:ind w:left="720" w:right="720"/>
    </w:pPr>
    <w:rPr>
      <w:rFonts w:eastAsia="MS PGothic"/>
      <w:i/>
      <w:iCs/>
      <w:color w:val="404040"/>
      <w:sz w:val="20"/>
      <w:szCs w:val="20"/>
      <w:lang w:eastAsia="ja-JP"/>
    </w:rPr>
  </w:style>
  <w:style w:type="character" w:customStyle="1" w:styleId="QuoteChar">
    <w:name w:val="Quote Char"/>
    <w:basedOn w:val="DefaultParagraphFont"/>
    <w:link w:val="Quote"/>
    <w:uiPriority w:val="29"/>
    <w:rsid w:val="00797049"/>
    <w:rPr>
      <w:i/>
      <w:iCs/>
      <w:color w:val="404040"/>
    </w:rPr>
  </w:style>
  <w:style w:type="paragraph" w:customStyle="1" w:styleId="Signature1">
    <w:name w:val="Signature1"/>
    <w:basedOn w:val="Normal"/>
    <w:next w:val="Signature"/>
    <w:link w:val="SignatureChar"/>
    <w:uiPriority w:val="9"/>
    <w:unhideWhenUsed/>
    <w:rsid w:val="00797049"/>
    <w:pPr>
      <w:spacing w:before="720" w:after="0" w:line="312" w:lineRule="auto"/>
      <w:contextualSpacing/>
    </w:pPr>
    <w:rPr>
      <w:color w:val="595959"/>
      <w:kern w:val="20"/>
    </w:rPr>
  </w:style>
  <w:style w:type="character" w:customStyle="1" w:styleId="SignatureChar">
    <w:name w:val="Signature Char"/>
    <w:basedOn w:val="DefaultParagraphFont"/>
    <w:link w:val="Signature1"/>
    <w:uiPriority w:val="9"/>
    <w:rsid w:val="00797049"/>
    <w:rPr>
      <w:color w:val="595959"/>
      <w:kern w:val="20"/>
    </w:rPr>
  </w:style>
  <w:style w:type="character" w:customStyle="1" w:styleId="NoSpacingChar">
    <w:name w:val="No Spacing Char"/>
    <w:aliases w:val="Uvodna rečenica Char"/>
    <w:basedOn w:val="DefaultParagraphFont"/>
    <w:link w:val="NoSpacing"/>
    <w:uiPriority w:val="1"/>
    <w:rsid w:val="00797049"/>
    <w:rPr>
      <w:rFonts w:eastAsia="MS PGothic"/>
      <w:sz w:val="20"/>
      <w:szCs w:val="20"/>
      <w:lang w:eastAsia="ja-JP"/>
    </w:rPr>
  </w:style>
  <w:style w:type="paragraph" w:customStyle="1" w:styleId="ListBullet1">
    <w:name w:val="List Bullet1"/>
    <w:basedOn w:val="Normal"/>
    <w:next w:val="ListBullet"/>
    <w:link w:val="ListBulletChar"/>
    <w:uiPriority w:val="99"/>
    <w:unhideWhenUsed/>
    <w:qFormat/>
    <w:rsid w:val="00797049"/>
    <w:pPr>
      <w:numPr>
        <w:numId w:val="1"/>
      </w:numPr>
      <w:spacing w:before="40" w:after="40" w:line="288" w:lineRule="auto"/>
    </w:pPr>
    <w:rPr>
      <w:rFonts w:eastAsia="MS PGothic"/>
      <w:color w:val="595959"/>
      <w:kern w:val="20"/>
      <w:sz w:val="20"/>
      <w:szCs w:val="20"/>
      <w:lang w:eastAsia="ja-JP"/>
    </w:rPr>
  </w:style>
  <w:style w:type="paragraph" w:customStyle="1" w:styleId="ListNumber1">
    <w:name w:val="List Number1"/>
    <w:basedOn w:val="Normal"/>
    <w:next w:val="ListNumber"/>
    <w:uiPriority w:val="1"/>
    <w:unhideWhenUsed/>
    <w:rsid w:val="00797049"/>
    <w:pPr>
      <w:numPr>
        <w:numId w:val="2"/>
      </w:numPr>
      <w:spacing w:before="40" w:line="288" w:lineRule="auto"/>
      <w:contextualSpacing/>
    </w:pPr>
    <w:rPr>
      <w:rFonts w:eastAsia="MS PGothic"/>
      <w:color w:val="595959"/>
      <w:kern w:val="20"/>
      <w:sz w:val="20"/>
      <w:szCs w:val="20"/>
      <w:lang w:eastAsia="ja-JP"/>
    </w:rPr>
  </w:style>
  <w:style w:type="paragraph" w:customStyle="1" w:styleId="ListNumber21">
    <w:name w:val="List Number 21"/>
    <w:basedOn w:val="Normal"/>
    <w:next w:val="ListNumber2"/>
    <w:uiPriority w:val="1"/>
    <w:unhideWhenUsed/>
    <w:rsid w:val="00797049"/>
    <w:pPr>
      <w:numPr>
        <w:ilvl w:val="1"/>
        <w:numId w:val="2"/>
      </w:numPr>
      <w:spacing w:before="40" w:line="288" w:lineRule="auto"/>
      <w:contextualSpacing/>
    </w:pPr>
    <w:rPr>
      <w:rFonts w:eastAsia="MS PGothic"/>
      <w:color w:val="595959"/>
      <w:kern w:val="20"/>
      <w:sz w:val="20"/>
      <w:szCs w:val="20"/>
      <w:lang w:eastAsia="ja-JP"/>
    </w:rPr>
  </w:style>
  <w:style w:type="paragraph" w:customStyle="1" w:styleId="ListNumber31">
    <w:name w:val="List Number 31"/>
    <w:basedOn w:val="Normal"/>
    <w:next w:val="ListNumber3"/>
    <w:uiPriority w:val="18"/>
    <w:unhideWhenUsed/>
    <w:rsid w:val="00797049"/>
    <w:pPr>
      <w:numPr>
        <w:ilvl w:val="2"/>
        <w:numId w:val="2"/>
      </w:numPr>
      <w:spacing w:before="40" w:line="288" w:lineRule="auto"/>
      <w:contextualSpacing/>
    </w:pPr>
    <w:rPr>
      <w:rFonts w:eastAsia="MS PGothic"/>
      <w:color w:val="595959"/>
      <w:kern w:val="20"/>
      <w:sz w:val="20"/>
      <w:szCs w:val="20"/>
      <w:lang w:eastAsia="ja-JP"/>
    </w:rPr>
  </w:style>
  <w:style w:type="paragraph" w:customStyle="1" w:styleId="ListNumber41">
    <w:name w:val="List Number 41"/>
    <w:basedOn w:val="Normal"/>
    <w:next w:val="ListNumber4"/>
    <w:uiPriority w:val="18"/>
    <w:unhideWhenUsed/>
    <w:rsid w:val="00797049"/>
    <w:pPr>
      <w:numPr>
        <w:ilvl w:val="3"/>
        <w:numId w:val="2"/>
      </w:numPr>
      <w:spacing w:before="40" w:line="288" w:lineRule="auto"/>
      <w:contextualSpacing/>
    </w:pPr>
    <w:rPr>
      <w:rFonts w:eastAsia="MS PGothic"/>
      <w:color w:val="595959"/>
      <w:kern w:val="20"/>
      <w:sz w:val="20"/>
      <w:szCs w:val="20"/>
      <w:lang w:eastAsia="ja-JP"/>
    </w:rPr>
  </w:style>
  <w:style w:type="paragraph" w:customStyle="1" w:styleId="ListNumber51">
    <w:name w:val="List Number 51"/>
    <w:basedOn w:val="Normal"/>
    <w:next w:val="ListNumber5"/>
    <w:uiPriority w:val="18"/>
    <w:unhideWhenUsed/>
    <w:rsid w:val="00797049"/>
    <w:pPr>
      <w:numPr>
        <w:ilvl w:val="4"/>
        <w:numId w:val="2"/>
      </w:numPr>
      <w:spacing w:before="40" w:line="288" w:lineRule="auto"/>
      <w:contextualSpacing/>
    </w:pPr>
    <w:rPr>
      <w:rFonts w:eastAsia="MS PGothic"/>
      <w:color w:val="595959"/>
      <w:kern w:val="20"/>
      <w:sz w:val="20"/>
      <w:szCs w:val="20"/>
      <w:lang w:eastAsia="ja-JP"/>
    </w:rPr>
  </w:style>
  <w:style w:type="table" w:customStyle="1" w:styleId="FinancialTable">
    <w:name w:val="Financial Table"/>
    <w:basedOn w:val="TableNormal"/>
    <w:uiPriority w:val="99"/>
    <w:rsid w:val="00797049"/>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character" w:styleId="CommentReference">
    <w:name w:val="annotation reference"/>
    <w:basedOn w:val="DefaultParagraphFont"/>
    <w:uiPriority w:val="99"/>
    <w:semiHidden/>
    <w:unhideWhenUsed/>
    <w:rsid w:val="00797049"/>
    <w:rPr>
      <w:sz w:val="16"/>
    </w:rPr>
  </w:style>
  <w:style w:type="paragraph" w:styleId="CommentText">
    <w:name w:val="annotation text"/>
    <w:basedOn w:val="Normal"/>
    <w:link w:val="CommentTextChar"/>
    <w:uiPriority w:val="99"/>
    <w:unhideWhenUsed/>
    <w:rsid w:val="00797049"/>
    <w:pPr>
      <w:spacing w:line="264" w:lineRule="auto"/>
    </w:pPr>
    <w:rPr>
      <w:rFonts w:eastAsia="MS PGothic"/>
      <w:sz w:val="20"/>
      <w:szCs w:val="20"/>
      <w:lang w:eastAsia="ja-JP"/>
    </w:rPr>
  </w:style>
  <w:style w:type="character" w:customStyle="1" w:styleId="CommentTextChar">
    <w:name w:val="Comment Text Char"/>
    <w:basedOn w:val="DefaultParagraphFont"/>
    <w:link w:val="CommentText"/>
    <w:uiPriority w:val="99"/>
    <w:rsid w:val="00797049"/>
    <w:rPr>
      <w:rFonts w:eastAsia="MS PGothic"/>
      <w:sz w:val="20"/>
      <w:szCs w:val="20"/>
      <w:lang w:eastAsia="ja-JP"/>
    </w:rPr>
  </w:style>
  <w:style w:type="paragraph" w:styleId="CommentSubject">
    <w:name w:val="annotation subject"/>
    <w:basedOn w:val="CommentText"/>
    <w:next w:val="CommentText"/>
    <w:link w:val="CommentSubjectChar"/>
    <w:uiPriority w:val="99"/>
    <w:unhideWhenUsed/>
    <w:rsid w:val="00797049"/>
    <w:rPr>
      <w:b/>
      <w:bCs/>
    </w:rPr>
  </w:style>
  <w:style w:type="character" w:customStyle="1" w:styleId="CommentSubjectChar">
    <w:name w:val="Comment Subject Char"/>
    <w:basedOn w:val="CommentTextChar"/>
    <w:link w:val="CommentSubject"/>
    <w:uiPriority w:val="99"/>
    <w:rsid w:val="00797049"/>
    <w:rPr>
      <w:rFonts w:eastAsia="MS PGothic"/>
      <w:b/>
      <w:bCs/>
      <w:sz w:val="20"/>
      <w:szCs w:val="20"/>
      <w:lang w:eastAsia="ja-JP"/>
    </w:rPr>
  </w:style>
  <w:style w:type="table" w:customStyle="1" w:styleId="LightShading1">
    <w:name w:val="Light Shading1"/>
    <w:basedOn w:val="TableNormal"/>
    <w:next w:val="LightShading"/>
    <w:uiPriority w:val="60"/>
    <w:rsid w:val="00797049"/>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Decimal">
    <w:name w:val="Table Text Decimal"/>
    <w:basedOn w:val="Normal"/>
    <w:uiPriority w:val="1"/>
    <w:rsid w:val="00797049"/>
    <w:pPr>
      <w:tabs>
        <w:tab w:val="decimal" w:pos="869"/>
      </w:tabs>
      <w:spacing w:before="60" w:after="60" w:line="264" w:lineRule="auto"/>
    </w:pPr>
    <w:rPr>
      <w:rFonts w:eastAsia="MS PGothic"/>
      <w:sz w:val="20"/>
      <w:szCs w:val="20"/>
      <w:lang w:eastAsia="ja-JP"/>
    </w:rPr>
  </w:style>
  <w:style w:type="paragraph" w:customStyle="1" w:styleId="TableText">
    <w:name w:val="Table Text"/>
    <w:basedOn w:val="Normal"/>
    <w:uiPriority w:val="1"/>
    <w:rsid w:val="00797049"/>
    <w:pPr>
      <w:spacing w:before="60" w:after="60" w:line="264" w:lineRule="auto"/>
    </w:pPr>
    <w:rPr>
      <w:rFonts w:eastAsia="MS PGothic"/>
      <w:sz w:val="20"/>
      <w:szCs w:val="20"/>
      <w:lang w:eastAsia="ja-JP"/>
    </w:rPr>
  </w:style>
  <w:style w:type="paragraph" w:customStyle="1" w:styleId="Organization">
    <w:name w:val="Organization"/>
    <w:basedOn w:val="Normal"/>
    <w:uiPriority w:val="2"/>
    <w:rsid w:val="00797049"/>
    <w:pPr>
      <w:spacing w:after="60" w:line="264" w:lineRule="auto"/>
      <w:ind w:left="29" w:right="29"/>
    </w:pPr>
    <w:rPr>
      <w:rFonts w:eastAsia="MS PGothic"/>
      <w:b/>
      <w:bCs/>
      <w:color w:val="EF4623"/>
      <w:sz w:val="36"/>
      <w:szCs w:val="20"/>
      <w:lang w:eastAsia="ja-JP"/>
    </w:rPr>
  </w:style>
  <w:style w:type="paragraph" w:styleId="TOC2">
    <w:name w:val="toc 2"/>
    <w:basedOn w:val="Normal"/>
    <w:next w:val="Normal"/>
    <w:autoRedefine/>
    <w:uiPriority w:val="39"/>
    <w:unhideWhenUsed/>
    <w:qFormat/>
    <w:rsid w:val="00DE298C"/>
    <w:pPr>
      <w:tabs>
        <w:tab w:val="left" w:pos="660"/>
        <w:tab w:val="right" w:leader="underscore" w:pos="8657"/>
      </w:tabs>
      <w:spacing w:after="100" w:line="264" w:lineRule="auto"/>
      <w:ind w:left="200"/>
    </w:pPr>
    <w:rPr>
      <w:rFonts w:ascii="Cambria" w:eastAsia="MS PGothic" w:hAnsi="Cambria"/>
      <w:noProof/>
      <w:sz w:val="20"/>
      <w:szCs w:val="20"/>
      <w:lang w:val="sr-Cyrl-RS" w:eastAsia="ja-JP"/>
    </w:rPr>
  </w:style>
  <w:style w:type="table" w:customStyle="1" w:styleId="GridTable6Colorful-Accent51">
    <w:name w:val="Grid Table 6 Colorful - Accent 51"/>
    <w:basedOn w:val="TableNormal"/>
    <w:next w:val="GridTable6Colorful-Accent54"/>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character" w:customStyle="1" w:styleId="Heading3Char">
    <w:name w:val="Heading 3 Char"/>
    <w:basedOn w:val="DefaultParagraphFont"/>
    <w:link w:val="Heading3"/>
    <w:uiPriority w:val="9"/>
    <w:rsid w:val="00797049"/>
    <w:rPr>
      <w:rFonts w:ascii="Arial" w:eastAsia="MS PGothic" w:hAnsi="Arial" w:cs="Arial"/>
      <w:color w:val="000000"/>
      <w:sz w:val="24"/>
      <w:szCs w:val="24"/>
    </w:rPr>
  </w:style>
  <w:style w:type="table" w:customStyle="1" w:styleId="LightShading-Accent12">
    <w:name w:val="Light Shading - Accent 12"/>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
    <w:name w:val="Grid Table 6 Colorful - Accent 511"/>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
    <w:name w:val="Light Shading - Accent 12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
    <w:name w:val="Grid Table 6 Colorful - Accent 11"/>
    <w:basedOn w:val="TableNormal"/>
    <w:next w:val="GridTable6Colorful-Accent13"/>
    <w:uiPriority w:val="51"/>
    <w:rsid w:val="00797049"/>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paragraph" w:styleId="TOC3">
    <w:name w:val="toc 3"/>
    <w:basedOn w:val="Normal"/>
    <w:next w:val="Normal"/>
    <w:autoRedefine/>
    <w:uiPriority w:val="39"/>
    <w:unhideWhenUsed/>
    <w:qFormat/>
    <w:rsid w:val="00797049"/>
    <w:pPr>
      <w:spacing w:after="100" w:line="264" w:lineRule="auto"/>
      <w:ind w:left="400"/>
    </w:pPr>
    <w:rPr>
      <w:rFonts w:eastAsia="MS PGothic"/>
      <w:sz w:val="20"/>
      <w:szCs w:val="20"/>
      <w:lang w:eastAsia="ja-JP"/>
    </w:rPr>
  </w:style>
  <w:style w:type="character" w:customStyle="1" w:styleId="Heading4Char">
    <w:name w:val="Heading 4 Char"/>
    <w:basedOn w:val="DefaultParagraphFont"/>
    <w:link w:val="Heading4"/>
    <w:rsid w:val="00797049"/>
    <w:rPr>
      <w:rFonts w:ascii="Arial" w:eastAsia="MS PGothic" w:hAnsi="Arial" w:cs="Arial"/>
      <w:sz w:val="22"/>
      <w:szCs w:val="22"/>
    </w:rPr>
  </w:style>
  <w:style w:type="character" w:customStyle="1" w:styleId="Heading5Char">
    <w:name w:val="Heading 5 Char"/>
    <w:basedOn w:val="DefaultParagraphFont"/>
    <w:link w:val="Heading5"/>
    <w:rsid w:val="00797049"/>
    <w:rPr>
      <w:rFonts w:ascii="Arial" w:eastAsia="MS PGothic" w:hAnsi="Arial" w:cs="Arial"/>
      <w:color w:val="000000"/>
      <w:sz w:val="22"/>
      <w:szCs w:val="22"/>
    </w:rPr>
  </w:style>
  <w:style w:type="character" w:customStyle="1" w:styleId="Heading6Char">
    <w:name w:val="Heading 6 Char"/>
    <w:basedOn w:val="DefaultParagraphFont"/>
    <w:link w:val="Heading6"/>
    <w:rsid w:val="00797049"/>
    <w:rPr>
      <w:rFonts w:ascii="Arial" w:eastAsia="MS PGothic" w:hAnsi="Arial" w:cs="Arial"/>
      <w:i/>
      <w:iCs/>
      <w:color w:val="000000"/>
      <w:sz w:val="21"/>
      <w:szCs w:val="21"/>
    </w:rPr>
  </w:style>
  <w:style w:type="character" w:customStyle="1" w:styleId="Heading7Char">
    <w:name w:val="Heading 7 Char"/>
    <w:basedOn w:val="DefaultParagraphFont"/>
    <w:link w:val="Heading7"/>
    <w:uiPriority w:val="9"/>
    <w:semiHidden/>
    <w:rsid w:val="00797049"/>
    <w:rPr>
      <w:rFonts w:ascii="Arial" w:eastAsia="MS PGothic" w:hAnsi="Arial" w:cs="Arial"/>
      <w:i/>
      <w:iCs/>
      <w:color w:val="7F1D09"/>
      <w:sz w:val="21"/>
      <w:szCs w:val="21"/>
    </w:rPr>
  </w:style>
  <w:style w:type="character" w:customStyle="1" w:styleId="Heading8Char">
    <w:name w:val="Heading 8 Char"/>
    <w:basedOn w:val="DefaultParagraphFont"/>
    <w:link w:val="Heading8"/>
    <w:uiPriority w:val="9"/>
    <w:rsid w:val="00797049"/>
    <w:rPr>
      <w:rFonts w:ascii="Arial" w:eastAsia="MS PGothic" w:hAnsi="Arial" w:cs="Arial"/>
      <w:b/>
      <w:bCs/>
      <w:color w:val="000000"/>
    </w:rPr>
  </w:style>
  <w:style w:type="character" w:customStyle="1" w:styleId="Heading9Char">
    <w:name w:val="Heading 9 Char"/>
    <w:basedOn w:val="DefaultParagraphFont"/>
    <w:link w:val="Heading9"/>
    <w:uiPriority w:val="9"/>
    <w:semiHidden/>
    <w:rsid w:val="00797049"/>
    <w:rPr>
      <w:rFonts w:ascii="Arial" w:eastAsia="MS PGothic" w:hAnsi="Arial" w:cs="Arial"/>
      <w:b/>
      <w:bCs/>
      <w:i/>
      <w:iCs/>
      <w:color w:val="000000"/>
    </w:rPr>
  </w:style>
  <w:style w:type="paragraph" w:customStyle="1" w:styleId="Caption1">
    <w:name w:val="Caption1"/>
    <w:basedOn w:val="Normal"/>
    <w:next w:val="Normal"/>
    <w:unhideWhenUsed/>
    <w:qFormat/>
    <w:rsid w:val="00797049"/>
    <w:rPr>
      <w:rFonts w:eastAsia="MS PGothic"/>
      <w:b/>
      <w:bCs/>
      <w:smallCaps/>
      <w:color w:val="595959"/>
      <w:spacing w:val="6"/>
      <w:sz w:val="20"/>
      <w:szCs w:val="20"/>
      <w:lang w:eastAsia="ja-JP"/>
    </w:rPr>
  </w:style>
  <w:style w:type="character" w:styleId="Emphasis">
    <w:name w:val="Emphasis"/>
    <w:basedOn w:val="DefaultParagraphFont"/>
    <w:uiPriority w:val="20"/>
    <w:qFormat/>
    <w:rsid w:val="00797049"/>
    <w:rPr>
      <w:i/>
      <w:iCs/>
    </w:rPr>
  </w:style>
  <w:style w:type="paragraph" w:customStyle="1" w:styleId="IntenseQuote1">
    <w:name w:val="Intense Quote1"/>
    <w:basedOn w:val="Normal"/>
    <w:next w:val="Normal"/>
    <w:uiPriority w:val="30"/>
    <w:qFormat/>
    <w:rsid w:val="00797049"/>
    <w:pPr>
      <w:pBdr>
        <w:left w:val="single" w:sz="18" w:space="12" w:color="EF4623"/>
      </w:pBdr>
      <w:spacing w:before="100" w:beforeAutospacing="1" w:line="300" w:lineRule="auto"/>
      <w:ind w:left="1224" w:right="1224"/>
    </w:pPr>
    <w:rPr>
      <w:rFonts w:ascii="Arial" w:eastAsia="MS PGothic" w:hAnsi="Arial" w:cs="Arial"/>
      <w:color w:val="EF4623"/>
      <w:sz w:val="28"/>
      <w:szCs w:val="28"/>
      <w:lang w:eastAsia="ja-JP"/>
    </w:rPr>
  </w:style>
  <w:style w:type="character" w:customStyle="1" w:styleId="IntenseQuoteChar">
    <w:name w:val="Intense Quote Char"/>
    <w:basedOn w:val="DefaultParagraphFont"/>
    <w:link w:val="IntenseQuote"/>
    <w:uiPriority w:val="30"/>
    <w:rsid w:val="00797049"/>
    <w:rPr>
      <w:rFonts w:ascii="Arial" w:eastAsia="MS PGothic" w:hAnsi="Arial" w:cs="Arial"/>
      <w:color w:val="EF4623"/>
      <w:sz w:val="28"/>
      <w:szCs w:val="28"/>
    </w:rPr>
  </w:style>
  <w:style w:type="character" w:customStyle="1" w:styleId="SubtleEmphasis1">
    <w:name w:val="Subtle Emphasis1"/>
    <w:basedOn w:val="DefaultParagraphFont"/>
    <w:uiPriority w:val="19"/>
    <w:qFormat/>
    <w:rsid w:val="00797049"/>
    <w:rPr>
      <w:i/>
      <w:iCs/>
      <w:color w:val="404040"/>
    </w:rPr>
  </w:style>
  <w:style w:type="character" w:styleId="IntenseEmphasis">
    <w:name w:val="Intense Emphasis"/>
    <w:basedOn w:val="DefaultParagraphFont"/>
    <w:uiPriority w:val="21"/>
    <w:qFormat/>
    <w:rsid w:val="00797049"/>
    <w:rPr>
      <w:b/>
      <w:bCs/>
      <w:i/>
      <w:iCs/>
    </w:rPr>
  </w:style>
  <w:style w:type="character" w:customStyle="1" w:styleId="SubtleReference1">
    <w:name w:val="Subtle Reference1"/>
    <w:basedOn w:val="DefaultParagraphFont"/>
    <w:uiPriority w:val="31"/>
    <w:qFormat/>
    <w:rsid w:val="00797049"/>
    <w:rPr>
      <w:smallCaps/>
      <w:color w:val="404040"/>
      <w:u w:val="single" w:color="7F7F7F"/>
    </w:rPr>
  </w:style>
  <w:style w:type="character" w:styleId="IntenseReference">
    <w:name w:val="Intense Reference"/>
    <w:basedOn w:val="DefaultParagraphFont"/>
    <w:uiPriority w:val="32"/>
    <w:qFormat/>
    <w:rsid w:val="00797049"/>
    <w:rPr>
      <w:b/>
      <w:bCs/>
      <w:smallCaps/>
      <w:spacing w:val="5"/>
      <w:u w:val="single"/>
    </w:rPr>
  </w:style>
  <w:style w:type="character" w:styleId="BookTitle">
    <w:name w:val="Book Title"/>
    <w:basedOn w:val="DefaultParagraphFont"/>
    <w:uiPriority w:val="33"/>
    <w:qFormat/>
    <w:rsid w:val="00797049"/>
    <w:rPr>
      <w:b/>
      <w:bCs/>
      <w:smallCaps/>
    </w:rPr>
  </w:style>
  <w:style w:type="paragraph" w:styleId="ListParagraph">
    <w:name w:val="List Paragraph"/>
    <w:aliases w:val="Liste 1,Liste Paragraf,Figure_name,numbered,Bullet List,FooterText,Paragraphe de liste1,Bulletr List Paragraph,列出段落,列出段落1,List Paragraph2,List Paragraph21,Párrafo de lista1,Parágrafo da Lista1,リスト段落1,Listeafsnit1,b1,lp1,cS List Paragraph"/>
    <w:basedOn w:val="Normal"/>
    <w:link w:val="ListParagraphChar"/>
    <w:uiPriority w:val="34"/>
    <w:qFormat/>
    <w:rsid w:val="00797049"/>
    <w:pPr>
      <w:spacing w:line="264" w:lineRule="auto"/>
      <w:ind w:left="720"/>
      <w:contextualSpacing/>
    </w:pPr>
    <w:rPr>
      <w:rFonts w:eastAsia="MS PGothic"/>
      <w:sz w:val="20"/>
      <w:szCs w:val="20"/>
      <w:lang w:eastAsia="ja-JP"/>
    </w:rPr>
  </w:style>
  <w:style w:type="paragraph" w:styleId="NormalWeb">
    <w:name w:val="Normal (Web)"/>
    <w:basedOn w:val="Normal"/>
    <w:uiPriority w:val="99"/>
    <w:unhideWhenUsed/>
    <w:rsid w:val="00797049"/>
    <w:pPr>
      <w:spacing w:before="100" w:beforeAutospacing="1" w:after="100" w:afterAutospacing="1"/>
    </w:pPr>
    <w:rPr>
      <w:rFonts w:eastAsia="MS PGothic" w:cs="Times New Roman"/>
      <w:szCs w:val="24"/>
    </w:rPr>
  </w:style>
  <w:style w:type="table" w:customStyle="1" w:styleId="LightShading-Accent122">
    <w:name w:val="Light Shading - Accent 122"/>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
    <w:name w:val="Grid Table 6 Colorful - Accent 52"/>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paragraph" w:customStyle="1" w:styleId="ParagraphNumbering">
    <w:name w:val="Paragraph Numbering"/>
    <w:basedOn w:val="Normal"/>
    <w:link w:val="ParagraphNumberingChar"/>
    <w:uiPriority w:val="99"/>
    <w:qFormat/>
    <w:rsid w:val="00797049"/>
    <w:pPr>
      <w:numPr>
        <w:numId w:val="4"/>
      </w:numPr>
      <w:spacing w:after="240" w:line="300" w:lineRule="exact"/>
    </w:pPr>
    <w:rPr>
      <w:rFonts w:ascii="Segoe UI" w:eastAsia="MS Mincho" w:hAnsi="Segoe UI" w:cs="Times New Roman"/>
      <w:sz w:val="21"/>
      <w:szCs w:val="24"/>
    </w:rPr>
  </w:style>
  <w:style w:type="character" w:customStyle="1" w:styleId="ParagraphNumberingChar">
    <w:name w:val="Paragraph Numbering Char"/>
    <w:basedOn w:val="DefaultParagraphFont"/>
    <w:link w:val="ParagraphNumbering"/>
    <w:uiPriority w:val="99"/>
    <w:rsid w:val="00797049"/>
    <w:rPr>
      <w:rFonts w:ascii="Segoe UI" w:eastAsia="MS Mincho" w:hAnsi="Segoe UI" w:cs="Times New Roman"/>
      <w:sz w:val="21"/>
      <w:szCs w:val="24"/>
    </w:rPr>
  </w:style>
  <w:style w:type="character" w:customStyle="1" w:styleId="ListParagraphChar">
    <w:name w:val="List Paragraph Char"/>
    <w:aliases w:val="Liste 1 Char,Liste Paragraf Char,Figure_name Char,numbered Char,Bullet List Char,FooterText Char,Paragraphe de liste1 Char,Bulletr List Paragraph Char,列出段落 Char,列出段落1 Char,List Paragraph2 Char,List Paragraph21 Char,リスト段落1 Char"/>
    <w:link w:val="ListParagraph"/>
    <w:uiPriority w:val="34"/>
    <w:qFormat/>
    <w:locked/>
    <w:rsid w:val="00797049"/>
    <w:rPr>
      <w:rFonts w:eastAsia="MS PGothic"/>
      <w:sz w:val="20"/>
      <w:szCs w:val="20"/>
      <w:lang w:eastAsia="ja-JP"/>
    </w:rPr>
  </w:style>
  <w:style w:type="paragraph" w:customStyle="1" w:styleId="IFS2012tekst">
    <w:name w:val="IFS 2012 tekst"/>
    <w:basedOn w:val="Normal"/>
    <w:uiPriority w:val="99"/>
    <w:qFormat/>
    <w:rsid w:val="00797049"/>
    <w:pPr>
      <w:ind w:firstLine="709"/>
    </w:pPr>
    <w:rPr>
      <w:rFonts w:ascii="Cambria" w:eastAsia="Calibri" w:hAnsi="Cambria" w:cs="Times New Roman"/>
      <w:color w:val="404040"/>
      <w:sz w:val="21"/>
      <w:lang w:val="sr-Cyrl-CS"/>
    </w:rPr>
  </w:style>
  <w:style w:type="paragraph" w:customStyle="1" w:styleId="IFS2012naslov1">
    <w:name w:val="IFS 2012 naslov 1"/>
    <w:basedOn w:val="Heading1"/>
    <w:uiPriority w:val="99"/>
    <w:qFormat/>
    <w:rsid w:val="00797049"/>
    <w:pPr>
      <w:numPr>
        <w:numId w:val="7"/>
      </w:numPr>
      <w:spacing w:before="0"/>
    </w:pPr>
    <w:rPr>
      <w:rFonts w:eastAsia="Times New Roman" w:cs="Calibri"/>
      <w:b/>
      <w:bCs/>
      <w:color w:val="4B4B4B"/>
      <w:szCs w:val="24"/>
      <w:lang w:val="sr-Cyrl-CS"/>
    </w:rPr>
  </w:style>
  <w:style w:type="paragraph" w:customStyle="1" w:styleId="IFS2012Naslov2">
    <w:name w:val="IFS 2012 Naslov 2"/>
    <w:basedOn w:val="Heading2"/>
    <w:autoRedefine/>
    <w:uiPriority w:val="99"/>
    <w:qFormat/>
    <w:rsid w:val="00797049"/>
  </w:style>
  <w:style w:type="paragraph" w:customStyle="1" w:styleId="IFS2012naslov3">
    <w:name w:val="IFS 2012 naslov 3"/>
    <w:basedOn w:val="Heading3"/>
    <w:autoRedefine/>
    <w:uiPriority w:val="99"/>
    <w:qFormat/>
    <w:rsid w:val="00797049"/>
  </w:style>
  <w:style w:type="paragraph" w:customStyle="1" w:styleId="Analizatekst">
    <w:name w:val="Analiza tekst"/>
    <w:basedOn w:val="Normal"/>
    <w:link w:val="AnalizatekstChar"/>
    <w:qFormat/>
    <w:rsid w:val="00797049"/>
    <w:pPr>
      <w:ind w:firstLine="709"/>
    </w:pPr>
    <w:rPr>
      <w:rFonts w:ascii="Calibri" w:eastAsia="Times New Roman" w:hAnsi="Calibri" w:cs="Times New Roman"/>
      <w:color w:val="404040"/>
      <w:lang w:val="sr-Cyrl-CS"/>
    </w:rPr>
  </w:style>
  <w:style w:type="character" w:customStyle="1" w:styleId="AnalizatekstChar">
    <w:name w:val="Analiza tekst Char"/>
    <w:link w:val="Analizatekst"/>
    <w:rsid w:val="00797049"/>
    <w:rPr>
      <w:rFonts w:ascii="Calibri" w:eastAsia="Times New Roman" w:hAnsi="Calibri" w:cs="Times New Roman"/>
      <w:color w:val="404040"/>
      <w:lang w:val="sr-Cyrl-CS"/>
    </w:rPr>
  </w:style>
  <w:style w:type="table" w:styleId="LightList-Accent3">
    <w:name w:val="Light List Accent 3"/>
    <w:aliases w:val="tabele 3"/>
    <w:basedOn w:val="TableNormal"/>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odyText">
    <w:name w:val="Body Text"/>
    <w:basedOn w:val="Normal"/>
    <w:link w:val="BodyTextChar"/>
    <w:uiPriority w:val="99"/>
    <w:unhideWhenUsed/>
    <w:rsid w:val="00797049"/>
    <w:pPr>
      <w:spacing w:line="276" w:lineRule="auto"/>
      <w:ind w:firstLine="709"/>
    </w:pPr>
    <w:rPr>
      <w:rFonts w:ascii="Calibri" w:eastAsia="Calibri" w:hAnsi="Calibri" w:cs="Times New Roman"/>
      <w:color w:val="404040"/>
    </w:rPr>
  </w:style>
  <w:style w:type="character" w:customStyle="1" w:styleId="BodyTextChar">
    <w:name w:val="Body Text Char"/>
    <w:basedOn w:val="DefaultParagraphFont"/>
    <w:link w:val="BodyText"/>
    <w:uiPriority w:val="99"/>
    <w:rsid w:val="00797049"/>
    <w:rPr>
      <w:rFonts w:ascii="Calibri" w:eastAsia="Calibri" w:hAnsi="Calibri" w:cs="Times New Roman"/>
      <w:color w:val="404040"/>
    </w:rPr>
  </w:style>
  <w:style w:type="table" w:customStyle="1" w:styleId="LightShading-Accent11">
    <w:name w:val="Light Shading - Accent 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
    <w:name w:val="Light List - Accent 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
    <w:name w:val="Table Grid1"/>
    <w:basedOn w:val="TableNormal"/>
    <w:next w:val="TableGrid"/>
    <w:uiPriority w:val="59"/>
    <w:rsid w:val="00797049"/>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
    <w:name w:val="Light List - Accent 5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
    <w:name w:val="Medium List 1 - Accent 51"/>
    <w:basedOn w:val="TableNormal"/>
    <w:next w:val="MediumList1-Accent5"/>
    <w:uiPriority w:val="65"/>
    <w:rsid w:val="00797049"/>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paragraph" w:styleId="FootnoteText">
    <w:name w:val="footnote text"/>
    <w:aliases w:val="Footnote Text Char Char Char,Footnote Text Char Char,Char Char Char,single space,ft,ft Char Char Char,ft Char Char,Fußnote, Char Char Char,footnote text,FOOTNOTES,fn,Footnote Text Char1 Char,Footnote Text Char Char Char Char Char,f,ADB"/>
    <w:basedOn w:val="Normal"/>
    <w:link w:val="FootnoteTextChar"/>
    <w:uiPriority w:val="99"/>
    <w:unhideWhenUsed/>
    <w:qFormat/>
    <w:rsid w:val="00797049"/>
    <w:pPr>
      <w:ind w:firstLine="709"/>
    </w:pPr>
    <w:rPr>
      <w:rFonts w:ascii="Cambria" w:eastAsia="Times New Roman" w:hAnsi="Cambria" w:cs="Tahoma"/>
      <w:bCs/>
      <w:color w:val="404040"/>
      <w:sz w:val="20"/>
      <w:szCs w:val="20"/>
      <w:lang w:val="sr-Cyrl-CS"/>
    </w:rPr>
  </w:style>
  <w:style w:type="character" w:customStyle="1" w:styleId="FootnoteTextChar">
    <w:name w:val="Footnote Text Char"/>
    <w:aliases w:val="Footnote Text Char Char Char Char,Footnote Text Char Char Char1,Char Char Char Char,single space Char,ft Char,ft Char Char Char Char,ft Char Char Char1,Fußnote Char, Char Char Char Char,footnote text Char,FOOTNOTES Char,fn Char,f Char"/>
    <w:basedOn w:val="DefaultParagraphFont"/>
    <w:link w:val="FootnoteText"/>
    <w:uiPriority w:val="99"/>
    <w:qFormat/>
    <w:rsid w:val="00797049"/>
    <w:rPr>
      <w:rFonts w:ascii="Cambria" w:eastAsia="Times New Roman" w:hAnsi="Cambria" w:cs="Tahoma"/>
      <w:bCs/>
      <w:color w:val="404040"/>
      <w:sz w:val="20"/>
      <w:szCs w:val="20"/>
      <w:lang w:val="sr-Cyrl-CS"/>
    </w:rPr>
  </w:style>
  <w:style w:type="character" w:styleId="FootnoteReference">
    <w:name w:val="footnote reference"/>
    <w:aliases w:val="ftref,BVI fnr,Footnote za GI,16 Point,Superscript 6 Point,Footnote Reference Number,nota pié di pagina,Footnote symbol,Footnote reference number,Times 10 Point,Exposant 3 Point,EN Footnote Reference,note TESI,Footnotes refss,4_G,fr,FR"/>
    <w:link w:val="BVIfnrChar"/>
    <w:uiPriority w:val="99"/>
    <w:unhideWhenUsed/>
    <w:qFormat/>
    <w:rsid w:val="00797049"/>
    <w:rPr>
      <w:vertAlign w:val="superscript"/>
    </w:rPr>
  </w:style>
  <w:style w:type="table" w:styleId="MediumList1-Accent5">
    <w:name w:val="Medium List 1 Accent 5"/>
    <w:basedOn w:val="TableNormal"/>
    <w:uiPriority w:val="65"/>
    <w:rsid w:val="0079704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
    <w:name w:val="No List11"/>
    <w:next w:val="NoList"/>
    <w:uiPriority w:val="99"/>
    <w:semiHidden/>
    <w:unhideWhenUsed/>
    <w:rsid w:val="00797049"/>
  </w:style>
  <w:style w:type="character" w:customStyle="1" w:styleId="BookTitle1">
    <w:name w:val="Book Title1"/>
    <w:uiPriority w:val="33"/>
    <w:qFormat/>
    <w:rsid w:val="00797049"/>
    <w:rPr>
      <w:rFonts w:ascii="Calibri" w:hAnsi="Calibri"/>
      <w:b/>
      <w:bCs/>
      <w:smallCaps/>
      <w:color w:val="17365D"/>
      <w:spacing w:val="5"/>
      <w:sz w:val="36"/>
    </w:rPr>
  </w:style>
  <w:style w:type="paragraph" w:customStyle="1" w:styleId="TOC21">
    <w:name w:val="TOC 21"/>
    <w:basedOn w:val="Normal"/>
    <w:next w:val="Normal"/>
    <w:autoRedefine/>
    <w:uiPriority w:val="39"/>
    <w:unhideWhenUsed/>
    <w:qFormat/>
    <w:rsid w:val="00797049"/>
    <w:pPr>
      <w:tabs>
        <w:tab w:val="left" w:pos="660"/>
        <w:tab w:val="right" w:leader="dot" w:pos="8755"/>
      </w:tabs>
      <w:ind w:left="440" w:firstLine="709"/>
    </w:pPr>
    <w:rPr>
      <w:rFonts w:ascii="Calibri" w:eastAsia="Times New Roman" w:hAnsi="Calibri" w:cs="Times New Roman"/>
      <w:b/>
      <w:i/>
      <w:noProof/>
      <w:color w:val="404040"/>
      <w:szCs w:val="24"/>
      <w:lang w:val="sr-Cyrl-CS"/>
    </w:rPr>
  </w:style>
  <w:style w:type="paragraph" w:customStyle="1" w:styleId="TOC31">
    <w:name w:val="TOC 31"/>
    <w:basedOn w:val="Normal"/>
    <w:next w:val="Normal"/>
    <w:autoRedefine/>
    <w:uiPriority w:val="39"/>
    <w:unhideWhenUsed/>
    <w:qFormat/>
    <w:rsid w:val="00797049"/>
    <w:pPr>
      <w:tabs>
        <w:tab w:val="right" w:leader="dot" w:pos="8755"/>
      </w:tabs>
      <w:spacing w:after="240" w:line="276" w:lineRule="auto"/>
      <w:ind w:left="708" w:firstLine="709"/>
      <w:jc w:val="center"/>
    </w:pPr>
    <w:rPr>
      <w:rFonts w:ascii="Calibri" w:eastAsia="Times New Roman" w:hAnsi="Calibri" w:cs="Times New Roman"/>
      <w:smallCaps/>
      <w:noProof/>
      <w:color w:val="404040"/>
      <w:spacing w:val="5"/>
      <w:szCs w:val="24"/>
      <w:lang w:val="sr-Cyrl-CS" w:bidi="en-US"/>
    </w:rPr>
  </w:style>
  <w:style w:type="table" w:customStyle="1" w:styleId="LightGrid-Accent51">
    <w:name w:val="Light Grid - Accent 5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о сенчење – наглашавање 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itleChar1">
    <w:name w:val="Title Char1"/>
    <w:uiPriority w:val="10"/>
    <w:rsid w:val="00797049"/>
    <w:rPr>
      <w:rFonts w:ascii="Cambria" w:eastAsia="Times New Roman" w:hAnsi="Cambria" w:cs="Times New Roman"/>
      <w:color w:val="4A4F64"/>
      <w:spacing w:val="5"/>
      <w:kern w:val="28"/>
      <w:sz w:val="52"/>
      <w:szCs w:val="52"/>
    </w:rPr>
  </w:style>
  <w:style w:type="character" w:customStyle="1" w:styleId="Heading4Char1">
    <w:name w:val="Heading 4 Char1"/>
    <w:uiPriority w:val="9"/>
    <w:semiHidden/>
    <w:rsid w:val="00797049"/>
    <w:rPr>
      <w:rFonts w:ascii="Cambria" w:eastAsia="Times New Roman" w:hAnsi="Cambria" w:cs="Times New Roman"/>
      <w:b/>
      <w:bCs/>
      <w:i/>
      <w:iCs/>
      <w:color w:val="D16349"/>
    </w:rPr>
  </w:style>
  <w:style w:type="table" w:styleId="LightGrid-Accent5">
    <w:name w:val="Light Grid Accent 5"/>
    <w:basedOn w:val="TableNormal"/>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
    <w:name w:val="tabele za ifs"/>
    <w:basedOn w:val="TableNormal"/>
    <w:uiPriority w:val="99"/>
    <w:qFormat/>
    <w:rsid w:val="00797049"/>
    <w:pPr>
      <w:spacing w:after="0" w:line="240" w:lineRule="auto"/>
    </w:pPr>
    <w:rPr>
      <w:rFonts w:ascii="Cambria Math" w:eastAsia="Calibri" w:hAnsi="Cambria Math" w:cs="Times New Roman"/>
      <w:sz w:val="20"/>
      <w:szCs w:val="20"/>
      <w:lang w:val="en-GB" w:eastAsia="en-GB"/>
    </w:rPr>
    <w:tblPr/>
  </w:style>
  <w:style w:type="table" w:customStyle="1" w:styleId="MediumList2-Accent31">
    <w:name w:val="Medium List 2 - Accent 31"/>
    <w:aliases w:val="tabele za ifs 1"/>
    <w:basedOn w:val="TableNormal"/>
    <w:uiPriority w:val="66"/>
    <w:rsid w:val="00797049"/>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paragraph" w:styleId="TOC4">
    <w:name w:val="toc 4"/>
    <w:basedOn w:val="Normal"/>
    <w:next w:val="Normal"/>
    <w:autoRedefine/>
    <w:uiPriority w:val="39"/>
    <w:unhideWhenUsed/>
    <w:rsid w:val="00797049"/>
    <w:pPr>
      <w:spacing w:after="100" w:line="276" w:lineRule="auto"/>
      <w:ind w:left="660" w:firstLine="709"/>
    </w:pPr>
    <w:rPr>
      <w:rFonts w:ascii="Cambria" w:eastAsia="Calibri" w:hAnsi="Cambria" w:cs="Times New Roman"/>
      <w:color w:val="404040"/>
      <w:sz w:val="21"/>
      <w:lang w:val="sr-Cyrl-CS"/>
    </w:rPr>
  </w:style>
  <w:style w:type="paragraph" w:styleId="TOC5">
    <w:name w:val="toc 5"/>
    <w:basedOn w:val="Normal"/>
    <w:next w:val="Normal"/>
    <w:autoRedefine/>
    <w:uiPriority w:val="39"/>
    <w:unhideWhenUsed/>
    <w:rsid w:val="00797049"/>
    <w:pPr>
      <w:spacing w:after="100" w:line="276" w:lineRule="auto"/>
      <w:ind w:left="880" w:firstLine="709"/>
    </w:pPr>
    <w:rPr>
      <w:rFonts w:ascii="Cambria" w:eastAsia="Calibri" w:hAnsi="Cambria" w:cs="Times New Roman"/>
      <w:color w:val="404040"/>
      <w:sz w:val="21"/>
      <w:lang w:val="sr-Cyrl-CS"/>
    </w:rPr>
  </w:style>
  <w:style w:type="paragraph" w:styleId="EndnoteText">
    <w:name w:val="endnote text"/>
    <w:basedOn w:val="Normal"/>
    <w:link w:val="EndnoteTextChar"/>
    <w:uiPriority w:val="99"/>
    <w:semiHidden/>
    <w:unhideWhenUsed/>
    <w:rsid w:val="00797049"/>
    <w:pPr>
      <w:ind w:firstLine="709"/>
    </w:pPr>
    <w:rPr>
      <w:rFonts w:ascii="Calibri" w:eastAsia="Calibri" w:hAnsi="Calibri" w:cs="Times New Roman"/>
      <w:color w:val="404040"/>
      <w:sz w:val="20"/>
      <w:szCs w:val="20"/>
      <w:lang w:val="sr-Cyrl-CS"/>
    </w:rPr>
  </w:style>
  <w:style w:type="character" w:customStyle="1" w:styleId="EndnoteTextChar">
    <w:name w:val="Endnote Text Char"/>
    <w:basedOn w:val="DefaultParagraphFont"/>
    <w:link w:val="EndnoteText"/>
    <w:uiPriority w:val="99"/>
    <w:semiHidden/>
    <w:rsid w:val="00797049"/>
    <w:rPr>
      <w:rFonts w:ascii="Calibri" w:eastAsia="Calibri" w:hAnsi="Calibri" w:cs="Times New Roman"/>
      <w:color w:val="404040"/>
      <w:sz w:val="20"/>
      <w:szCs w:val="20"/>
      <w:lang w:val="sr-Cyrl-CS"/>
    </w:rPr>
  </w:style>
  <w:style w:type="character" w:styleId="EndnoteReference">
    <w:name w:val="endnote reference"/>
    <w:uiPriority w:val="99"/>
    <w:semiHidden/>
    <w:unhideWhenUsed/>
    <w:rsid w:val="00797049"/>
    <w:rPr>
      <w:vertAlign w:val="superscript"/>
    </w:rPr>
  </w:style>
  <w:style w:type="character" w:customStyle="1" w:styleId="apple-style-span">
    <w:name w:val="apple-style-span"/>
    <w:basedOn w:val="DefaultParagraphFont"/>
    <w:rsid w:val="00797049"/>
  </w:style>
  <w:style w:type="paragraph" w:customStyle="1" w:styleId="Default">
    <w:name w:val="Default"/>
    <w:rsid w:val="00797049"/>
    <w:pPr>
      <w:autoSpaceDE w:val="0"/>
      <w:autoSpaceDN w:val="0"/>
      <w:adjustRightInd w:val="0"/>
      <w:spacing w:after="0" w:line="240" w:lineRule="auto"/>
      <w:jc w:val="both"/>
    </w:pPr>
    <w:rPr>
      <w:rFonts w:ascii="Arial" w:eastAsia="Times New Roman" w:hAnsi="Arial" w:cs="Arial"/>
      <w:color w:val="000000"/>
      <w:sz w:val="24"/>
      <w:szCs w:val="24"/>
    </w:rPr>
  </w:style>
  <w:style w:type="paragraph" w:customStyle="1" w:styleId="msolistparagraph0">
    <w:name w:val="msolistparagraph"/>
    <w:basedOn w:val="Normal"/>
    <w:uiPriority w:val="99"/>
    <w:rsid w:val="00797049"/>
    <w:pPr>
      <w:spacing w:after="200" w:line="276" w:lineRule="auto"/>
      <w:ind w:left="720" w:firstLine="709"/>
      <w:contextualSpacing/>
    </w:pPr>
    <w:rPr>
      <w:rFonts w:ascii="Calibri" w:eastAsia="Times New Roman" w:hAnsi="Calibri" w:cs="Times New Roman"/>
      <w:color w:val="404040"/>
    </w:rPr>
  </w:style>
  <w:style w:type="paragraph" w:styleId="Revision">
    <w:name w:val="Revision"/>
    <w:hidden/>
    <w:uiPriority w:val="99"/>
    <w:semiHidden/>
    <w:rsid w:val="00797049"/>
    <w:pPr>
      <w:spacing w:after="0" w:line="240" w:lineRule="auto"/>
      <w:jc w:val="both"/>
    </w:pPr>
    <w:rPr>
      <w:rFonts w:ascii="Calibri" w:eastAsia="Calibri" w:hAnsi="Calibri" w:cs="Times New Roman"/>
      <w:lang w:val="sr-Cyrl-CS"/>
    </w:rPr>
  </w:style>
  <w:style w:type="table" w:styleId="ColorfulList-Accent1">
    <w:name w:val="Colorful List Accent 1"/>
    <w:basedOn w:val="TableNormal"/>
    <w:uiPriority w:val="72"/>
    <w:rsid w:val="00797049"/>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character" w:customStyle="1" w:styleId="BodyChar">
    <w:name w:val="Body Char"/>
    <w:link w:val="Body"/>
    <w:rsid w:val="00797049"/>
    <w:rPr>
      <w:rFonts w:ascii="Arial" w:hAnsi="Arial" w:cs="Arial"/>
      <w:kern w:val="20"/>
      <w:sz w:val="24"/>
      <w:szCs w:val="24"/>
      <w:lang w:val="en-GB"/>
    </w:rPr>
  </w:style>
  <w:style w:type="paragraph" w:customStyle="1" w:styleId="Body">
    <w:name w:val="Body"/>
    <w:basedOn w:val="Normal"/>
    <w:link w:val="BodyChar"/>
    <w:rsid w:val="00797049"/>
    <w:pPr>
      <w:spacing w:after="140" w:line="288" w:lineRule="auto"/>
      <w:ind w:firstLine="709"/>
    </w:pPr>
    <w:rPr>
      <w:rFonts w:ascii="Arial" w:hAnsi="Arial" w:cs="Arial"/>
      <w:kern w:val="20"/>
      <w:szCs w:val="24"/>
      <w:lang w:val="en-GB"/>
    </w:rPr>
  </w:style>
  <w:style w:type="paragraph" w:customStyle="1" w:styleId="Body5">
    <w:name w:val="Body 5"/>
    <w:basedOn w:val="Normal"/>
    <w:uiPriority w:val="99"/>
    <w:rsid w:val="00797049"/>
    <w:pPr>
      <w:spacing w:after="140" w:line="290" w:lineRule="auto"/>
      <w:ind w:left="2608" w:firstLine="709"/>
    </w:pPr>
    <w:rPr>
      <w:rFonts w:ascii="Arial" w:eastAsia="Batang" w:hAnsi="Arial" w:cs="Times New Roman"/>
      <w:color w:val="404040"/>
      <w:kern w:val="20"/>
      <w:sz w:val="20"/>
      <w:szCs w:val="24"/>
      <w:lang w:val="en-GB"/>
    </w:rPr>
  </w:style>
  <w:style w:type="paragraph" w:customStyle="1" w:styleId="Body6">
    <w:name w:val="Body 6"/>
    <w:basedOn w:val="Normal"/>
    <w:uiPriority w:val="99"/>
    <w:rsid w:val="00797049"/>
    <w:pPr>
      <w:spacing w:after="140" w:line="290" w:lineRule="auto"/>
      <w:ind w:left="3288" w:firstLine="709"/>
    </w:pPr>
    <w:rPr>
      <w:rFonts w:ascii="Arial" w:eastAsia="Batang" w:hAnsi="Arial" w:cs="Times New Roman"/>
      <w:color w:val="404040"/>
      <w:kern w:val="20"/>
      <w:sz w:val="20"/>
      <w:szCs w:val="24"/>
      <w:lang w:val="en-GB"/>
    </w:rPr>
  </w:style>
  <w:style w:type="paragraph" w:customStyle="1" w:styleId="Level1">
    <w:name w:val="Level 1"/>
    <w:basedOn w:val="Normal"/>
    <w:next w:val="Normal"/>
    <w:uiPriority w:val="99"/>
    <w:rsid w:val="00797049"/>
    <w:pPr>
      <w:keepNext/>
      <w:tabs>
        <w:tab w:val="num" w:pos="680"/>
      </w:tabs>
      <w:spacing w:before="280" w:after="140" w:line="290" w:lineRule="auto"/>
      <w:ind w:left="680" w:hanging="680"/>
      <w:outlineLvl w:val="0"/>
    </w:pPr>
    <w:rPr>
      <w:rFonts w:ascii="Arial" w:eastAsia="Batang" w:hAnsi="Arial" w:cs="Times New Roman"/>
      <w:b/>
      <w:bCs/>
      <w:color w:val="404040"/>
      <w:kern w:val="20"/>
      <w:szCs w:val="32"/>
      <w:lang w:val="en-GB"/>
    </w:rPr>
  </w:style>
  <w:style w:type="paragraph" w:customStyle="1" w:styleId="Level2">
    <w:name w:val="Level 2"/>
    <w:basedOn w:val="Normal"/>
    <w:uiPriority w:val="99"/>
    <w:rsid w:val="00797049"/>
    <w:pPr>
      <w:tabs>
        <w:tab w:val="num" w:pos="680"/>
      </w:tabs>
      <w:spacing w:after="140" w:line="290" w:lineRule="auto"/>
      <w:ind w:left="680" w:hanging="360"/>
    </w:pPr>
    <w:rPr>
      <w:rFonts w:ascii="Arial" w:eastAsia="Batang" w:hAnsi="Arial" w:cs="Times New Roman"/>
      <w:color w:val="404040"/>
      <w:kern w:val="20"/>
      <w:sz w:val="20"/>
      <w:szCs w:val="28"/>
      <w:lang w:val="en-GB"/>
    </w:rPr>
  </w:style>
  <w:style w:type="paragraph" w:customStyle="1" w:styleId="Level3">
    <w:name w:val="Level 3"/>
    <w:basedOn w:val="Normal"/>
    <w:uiPriority w:val="99"/>
    <w:rsid w:val="00797049"/>
    <w:pPr>
      <w:tabs>
        <w:tab w:val="num" w:pos="1361"/>
      </w:tabs>
      <w:spacing w:after="140" w:line="290" w:lineRule="auto"/>
      <w:ind w:left="1361" w:hanging="681"/>
    </w:pPr>
    <w:rPr>
      <w:rFonts w:ascii="Arial" w:eastAsia="Batang" w:hAnsi="Arial" w:cs="Times New Roman"/>
      <w:color w:val="404040"/>
      <w:kern w:val="20"/>
      <w:sz w:val="20"/>
      <w:szCs w:val="28"/>
      <w:lang w:val="en-GB"/>
    </w:rPr>
  </w:style>
  <w:style w:type="paragraph" w:customStyle="1" w:styleId="Level4">
    <w:name w:val="Level 4"/>
    <w:basedOn w:val="Normal"/>
    <w:uiPriority w:val="99"/>
    <w:rsid w:val="00797049"/>
    <w:pPr>
      <w:tabs>
        <w:tab w:val="num" w:pos="2041"/>
      </w:tabs>
      <w:spacing w:after="140" w:line="290" w:lineRule="auto"/>
      <w:ind w:left="2041" w:hanging="360"/>
    </w:pPr>
    <w:rPr>
      <w:rFonts w:ascii="Arial" w:eastAsia="Batang" w:hAnsi="Arial" w:cs="Times New Roman"/>
      <w:color w:val="404040"/>
      <w:kern w:val="20"/>
      <w:sz w:val="20"/>
      <w:szCs w:val="24"/>
      <w:lang w:val="en-GB"/>
    </w:rPr>
  </w:style>
  <w:style w:type="character" w:customStyle="1" w:styleId="apple-converted-space">
    <w:name w:val="apple-converted-space"/>
    <w:basedOn w:val="DefaultParagraphFont"/>
    <w:rsid w:val="00797049"/>
  </w:style>
  <w:style w:type="numbering" w:customStyle="1" w:styleId="NoList2">
    <w:name w:val="No List2"/>
    <w:next w:val="NoList"/>
    <w:uiPriority w:val="99"/>
    <w:semiHidden/>
    <w:unhideWhenUsed/>
    <w:rsid w:val="00797049"/>
  </w:style>
  <w:style w:type="table" w:customStyle="1" w:styleId="LightList-Accent32">
    <w:name w:val="Light List - Accent 32"/>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
    <w:name w:val="Light List - Accent 3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
    <w:name w:val="Light Shading - Accent 1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
    <w:name w:val="Body Text Indent"/>
    <w:basedOn w:val="Normal"/>
    <w:link w:val="BodyTextIndentChar"/>
    <w:uiPriority w:val="99"/>
    <w:unhideWhenUsed/>
    <w:rsid w:val="00797049"/>
    <w:pPr>
      <w:ind w:firstLine="709"/>
      <w:jc w:val="center"/>
    </w:pPr>
    <w:rPr>
      <w:rFonts w:ascii="Cambria" w:eastAsia="Calibri" w:hAnsi="Cambria" w:cs="Times New Roman"/>
      <w:bCs/>
      <w:color w:val="404040"/>
      <w:sz w:val="21"/>
      <w:szCs w:val="21"/>
      <w:lang w:val="sr-Cyrl-CS"/>
    </w:rPr>
  </w:style>
  <w:style w:type="character" w:customStyle="1" w:styleId="BodyTextIndentChar">
    <w:name w:val="Body Text Indent Char"/>
    <w:basedOn w:val="DefaultParagraphFont"/>
    <w:link w:val="BodyTextIndent"/>
    <w:uiPriority w:val="99"/>
    <w:rsid w:val="00797049"/>
    <w:rPr>
      <w:rFonts w:ascii="Cambria" w:eastAsia="Calibri" w:hAnsi="Cambria" w:cs="Times New Roman"/>
      <w:bCs/>
      <w:color w:val="404040"/>
      <w:sz w:val="21"/>
      <w:szCs w:val="21"/>
      <w:lang w:val="sr-Cyrl-CS"/>
    </w:rPr>
  </w:style>
  <w:style w:type="paragraph" w:styleId="BodyText2">
    <w:name w:val="Body Text 2"/>
    <w:basedOn w:val="Normal"/>
    <w:link w:val="BodyText2Char"/>
    <w:uiPriority w:val="99"/>
    <w:unhideWhenUsed/>
    <w:rsid w:val="00797049"/>
    <w:pPr>
      <w:spacing w:line="480" w:lineRule="auto"/>
      <w:ind w:firstLine="709"/>
    </w:pPr>
    <w:rPr>
      <w:rFonts w:ascii="Cambria" w:eastAsia="Times New Roman" w:hAnsi="Cambria" w:cs="Tahoma"/>
      <w:bCs/>
      <w:color w:val="404040"/>
      <w:szCs w:val="24"/>
      <w:lang w:val="sr-Cyrl-CS"/>
    </w:rPr>
  </w:style>
  <w:style w:type="character" w:customStyle="1" w:styleId="BodyText2Char">
    <w:name w:val="Body Text 2 Char"/>
    <w:basedOn w:val="DefaultParagraphFont"/>
    <w:link w:val="BodyText2"/>
    <w:uiPriority w:val="99"/>
    <w:rsid w:val="00797049"/>
    <w:rPr>
      <w:rFonts w:ascii="Cambria" w:eastAsia="Times New Roman" w:hAnsi="Cambria" w:cs="Tahoma"/>
      <w:bCs/>
      <w:color w:val="404040"/>
      <w:szCs w:val="24"/>
      <w:lang w:val="sr-Cyrl-CS"/>
    </w:rPr>
  </w:style>
  <w:style w:type="paragraph" w:styleId="BodyTextIndent2">
    <w:name w:val="Body Text Indent 2"/>
    <w:basedOn w:val="Normal"/>
    <w:link w:val="BodyTextIndent2Char"/>
    <w:uiPriority w:val="99"/>
    <w:unhideWhenUsed/>
    <w:rsid w:val="00797049"/>
    <w:pPr>
      <w:ind w:firstLine="708"/>
    </w:pPr>
    <w:rPr>
      <w:rFonts w:ascii="Cambria" w:eastAsia="Times New Roman" w:hAnsi="Cambria" w:cs="Tahoma"/>
      <w:bCs/>
      <w:color w:val="404040"/>
      <w:sz w:val="21"/>
      <w:szCs w:val="21"/>
      <w:lang w:val="sr-Cyrl-CS"/>
    </w:rPr>
  </w:style>
  <w:style w:type="character" w:customStyle="1" w:styleId="BodyTextIndent2Char">
    <w:name w:val="Body Text Indent 2 Char"/>
    <w:basedOn w:val="DefaultParagraphFont"/>
    <w:link w:val="BodyTextIndent2"/>
    <w:uiPriority w:val="99"/>
    <w:rsid w:val="00797049"/>
    <w:rPr>
      <w:rFonts w:ascii="Cambria" w:eastAsia="Times New Roman" w:hAnsi="Cambria" w:cs="Tahoma"/>
      <w:bCs/>
      <w:color w:val="404040"/>
      <w:sz w:val="21"/>
      <w:szCs w:val="21"/>
      <w:lang w:val="sr-Cyrl-CS"/>
    </w:rPr>
  </w:style>
  <w:style w:type="paragraph" w:styleId="BodyText3">
    <w:name w:val="Body Text 3"/>
    <w:basedOn w:val="Normal"/>
    <w:link w:val="BodyText3Char"/>
    <w:uiPriority w:val="99"/>
    <w:unhideWhenUsed/>
    <w:rsid w:val="00797049"/>
    <w:rPr>
      <w:rFonts w:ascii="Cambria" w:eastAsia="Times New Roman" w:hAnsi="Cambria" w:cs="Tahoma"/>
      <w:color w:val="404040"/>
      <w:kern w:val="20"/>
      <w:sz w:val="21"/>
      <w:szCs w:val="21"/>
      <w:lang w:val="sr-Cyrl-CS" w:eastAsia="ko-KR"/>
    </w:rPr>
  </w:style>
  <w:style w:type="character" w:customStyle="1" w:styleId="BodyText3Char">
    <w:name w:val="Body Text 3 Char"/>
    <w:basedOn w:val="DefaultParagraphFont"/>
    <w:link w:val="BodyText3"/>
    <w:uiPriority w:val="99"/>
    <w:rsid w:val="00797049"/>
    <w:rPr>
      <w:rFonts w:ascii="Cambria" w:eastAsia="Times New Roman" w:hAnsi="Cambria" w:cs="Tahoma"/>
      <w:color w:val="404040"/>
      <w:kern w:val="20"/>
      <w:sz w:val="21"/>
      <w:szCs w:val="21"/>
      <w:lang w:val="sr-Cyrl-CS" w:eastAsia="ko-KR"/>
    </w:rPr>
  </w:style>
  <w:style w:type="paragraph" w:styleId="BodyTextIndent3">
    <w:name w:val="Body Text Indent 3"/>
    <w:basedOn w:val="Normal"/>
    <w:link w:val="BodyTextIndent3Char"/>
    <w:uiPriority w:val="99"/>
    <w:unhideWhenUsed/>
    <w:rsid w:val="00797049"/>
    <w:pPr>
      <w:ind w:firstLine="709"/>
    </w:pPr>
    <w:rPr>
      <w:rFonts w:ascii="Cambria" w:eastAsia="Times New Roman" w:hAnsi="Cambria" w:cs="Tahoma"/>
      <w:color w:val="404040"/>
      <w:sz w:val="21"/>
      <w:szCs w:val="21"/>
      <w:lang w:val="sr-Cyrl-CS"/>
    </w:rPr>
  </w:style>
  <w:style w:type="character" w:customStyle="1" w:styleId="BodyTextIndent3Char">
    <w:name w:val="Body Text Indent 3 Char"/>
    <w:basedOn w:val="DefaultParagraphFont"/>
    <w:link w:val="BodyTextIndent3"/>
    <w:uiPriority w:val="99"/>
    <w:rsid w:val="00797049"/>
    <w:rPr>
      <w:rFonts w:ascii="Cambria" w:eastAsia="Times New Roman" w:hAnsi="Cambria" w:cs="Tahoma"/>
      <w:color w:val="404040"/>
      <w:sz w:val="21"/>
      <w:szCs w:val="21"/>
      <w:lang w:val="sr-Cyrl-CS"/>
    </w:rPr>
  </w:style>
  <w:style w:type="table" w:customStyle="1" w:styleId="LightShading-Accent131">
    <w:name w:val="Light Shading - Accent 1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
    <w:name w:val="Light Shading - Accent 13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
    <w:name w:val="tabele 3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
    <w:name w:val="Light Shading - Accent 1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
    <w:name w:val="Light Shading - Accent 3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
    <w:name w:val="Light List - Accent 52"/>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
    <w:name w:val="Light List - Accent 312"/>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
    <w:name w:val="Light List - Accent 51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
    <w:name w:val="Light Grid - Accent 5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Светло сенчење – наглашавање 1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
    <w:name w:val="Light Grid - Accent 5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
    <w:name w:val="Light List - Accent 32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
    <w:name w:val="Light List - Accent 31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
    <w:name w:val="Light Shading - Accent 13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
    <w:name w:val="Light Shading - Accent 13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
    <w:name w:val="Light Shading - Accent 13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
    <w:name w:val="Light Shading - Accent 13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
    <w:name w:val="Light Shading - Accent 135"/>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
    <w:name w:val="Light Shading - Accent 136"/>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
    <w:name w:val="Light Shading - Accent 137"/>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
    <w:name w:val="tabele 32"/>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
    <w:name w:val="Light Shading - Accent 114"/>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
    <w:name w:val="Light Shading - Accent 33"/>
    <w:basedOn w:val="TableNormal"/>
    <w:next w:val="LightShading-Accent3"/>
    <w:uiPriority w:val="60"/>
    <w:rsid w:val="00797049"/>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
    <w:name w:val="Light List - Accent 53"/>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
    <w:name w:val="Light List - Accent 313"/>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
    <w:name w:val="Light List - Accent 512"/>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
    <w:name w:val="Light Grid - Accent 51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
    <w:name w:val="Светло сенчење – наглашавање 112"/>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
    <w:name w:val="Light Grid - Accent 53"/>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
    <w:name w:val="Light List - Accent 322"/>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
    <w:name w:val="Light List - Accent 3112"/>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
    <w:name w:val="Light Shading - Accent 138"/>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
    <w:name w:val="Light Shading - Accent 131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
    <w:name w:val="Light Shading - Accent 132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
    <w:name w:val="Light Shading - Accent 115"/>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
    <w:name w:val="Light Shading - Accent 139"/>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
    <w:name w:val="Light Shading - Accent 116"/>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
    <w:name w:val="Light Shading - Accent 1310"/>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
    <w:name w:val="Light Shading - Accent 131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
    <w:name w:val="tabele 33"/>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
    <w:name w:val="Light Shading - Accent 117"/>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
    <w:name w:val="Light Shading - Accent 34"/>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
    <w:name w:val="Light List - Accent 54"/>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
    <w:name w:val="Light Shading - Accent 313"/>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
    <w:name w:val="Light List - Accent 314"/>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
    <w:name w:val="Light List - Accent 513"/>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
    <w:name w:val="Light Grid - Accent 513"/>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
    <w:name w:val="Светло сенчење – наглашавање 113"/>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
    <w:name w:val="Light Grid - Accent 54"/>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
    <w:name w:val="Light Shading - Accent 123"/>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
    <w:name w:val="Light List - Accent 323"/>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
    <w:name w:val="Light List - Accent 3113"/>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
    <w:name w:val="Light Shading - Accent 131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
    <w:name w:val="Light Shading - Accent 1315"/>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
    <w:name w:val="Light Shading - Accent 132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
    <w:name w:val="Light Shading - Accent 1316"/>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
    <w:name w:val="Light Shading - Accent 138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
    <w:name w:val="Light Shading - Accent 118"/>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
    <w:name w:val="Light Shading - Accent 139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
    <w:name w:val="Light Shading - Accent 116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
    <w:name w:val="Light Shading - Accent 1310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
    <w:name w:val="Light Shading - Accent 136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llowedHyperlink1">
    <w:name w:val="FollowedHyperlink1"/>
    <w:basedOn w:val="DefaultParagraphFont"/>
    <w:uiPriority w:val="99"/>
    <w:semiHidden/>
    <w:unhideWhenUsed/>
    <w:rsid w:val="00797049"/>
    <w:rPr>
      <w:color w:val="919191"/>
      <w:u w:val="single"/>
    </w:rPr>
  </w:style>
  <w:style w:type="table" w:customStyle="1" w:styleId="LightShading-Accent119">
    <w:name w:val="Light Shading - Accent 119"/>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next w:val="LightShading-Accent1"/>
    <w:uiPriority w:val="60"/>
    <w:rsid w:val="00797049"/>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paragraph" w:styleId="HTMLPreformatted">
    <w:name w:val="HTML Preformatted"/>
    <w:basedOn w:val="Normal"/>
    <w:link w:val="HTMLPreformattedChar"/>
    <w:uiPriority w:val="99"/>
    <w:semiHidden/>
    <w:unhideWhenUsed/>
    <w:rsid w:val="00797049"/>
    <w:pPr>
      <w:spacing w:after="0"/>
      <w:ind w:firstLine="709"/>
    </w:pPr>
    <w:rPr>
      <w:rFonts w:ascii="Consolas" w:eastAsia="Times New Roman" w:hAnsi="Consolas" w:cs="Consolas"/>
      <w:bCs/>
      <w:color w:val="404040"/>
      <w:sz w:val="20"/>
      <w:szCs w:val="20"/>
      <w:lang w:val="sr-Cyrl-CS"/>
    </w:rPr>
  </w:style>
  <w:style w:type="character" w:customStyle="1" w:styleId="HTMLPreformattedChar">
    <w:name w:val="HTML Preformatted Char"/>
    <w:basedOn w:val="DefaultParagraphFont"/>
    <w:link w:val="HTMLPreformatted"/>
    <w:uiPriority w:val="99"/>
    <w:semiHidden/>
    <w:rsid w:val="00797049"/>
    <w:rPr>
      <w:rFonts w:ascii="Consolas" w:eastAsia="Times New Roman" w:hAnsi="Consolas" w:cs="Consolas"/>
      <w:bCs/>
      <w:color w:val="404040"/>
      <w:sz w:val="20"/>
      <w:szCs w:val="20"/>
      <w:lang w:val="sr-Cyrl-CS"/>
    </w:rPr>
  </w:style>
  <w:style w:type="table" w:customStyle="1" w:styleId="LightShading-Accent331">
    <w:name w:val="Light Shading - Accent 33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
    <w:name w:val="Light Shading - Accent 33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
    <w:name w:val="Light Shading - Accent 333"/>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
    <w:name w:val="Light Shading - Accent 34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
    <w:name w:val="Light Shading - Accent 34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
    <w:name w:val="Light Grid - Accent 514"/>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
    <w:name w:val="Light Grid - Accent 55"/>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
    <w:name w:val="Light Grid - Accent 51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
    <w:name w:val="Light Grid - Accent 52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
    <w:name w:val="Light Grid - Accent 512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
    <w:name w:val="Light Grid - Accent 53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
    <w:name w:val="Light Grid - Accent 513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
    <w:name w:val="Light Grid - Accent 54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
    <w:name w:val="Light Shading - Accent 61"/>
    <w:basedOn w:val="TableNormal"/>
    <w:next w:val="LightShading-Accent6"/>
    <w:uiPriority w:val="60"/>
    <w:rsid w:val="00797049"/>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character" w:customStyle="1" w:styleId="ListBulletChar">
    <w:name w:val="List Bullet Char"/>
    <w:basedOn w:val="DefaultParagraphFont"/>
    <w:link w:val="ListBullet1"/>
    <w:uiPriority w:val="99"/>
    <w:locked/>
    <w:rsid w:val="00797049"/>
    <w:rPr>
      <w:rFonts w:ascii="Times New Roman" w:eastAsia="MS PGothic" w:hAnsi="Times New Roman"/>
      <w:color w:val="595959"/>
      <w:kern w:val="20"/>
      <w:sz w:val="20"/>
      <w:szCs w:val="20"/>
      <w:lang w:eastAsia="ja-JP"/>
    </w:rPr>
  </w:style>
  <w:style w:type="table" w:customStyle="1" w:styleId="GridTable6Colorful-Accent41">
    <w:name w:val="Grid Table 6 Colorful - Accent 41"/>
    <w:basedOn w:val="TableNormal"/>
    <w:next w:val="GridTable6Colorful-Accent43"/>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
    <w:name w:val="Light Shading - Accent 611"/>
    <w:basedOn w:val="TableNormal"/>
    <w:next w:val="LightShading-Accent6"/>
    <w:uiPriority w:val="60"/>
    <w:rsid w:val="00797049"/>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
    <w:name w:val="Grid Table 6 Colorful - Accent 31"/>
    <w:basedOn w:val="TableNormal"/>
    <w:next w:val="Grid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
    <w:name w:val="Grid Table 4 - Accent 51"/>
    <w:basedOn w:val="TableNormal"/>
    <w:next w:val="GridTable4-Accent53"/>
    <w:uiPriority w:val="49"/>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
    <w:name w:val="Grid Table 5 Dark - Accent 51"/>
    <w:basedOn w:val="TableNormal"/>
    <w:next w:val="GridTable5Dark-Accent53"/>
    <w:uiPriority w:val="50"/>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a">
    <w:name w:val="ФС"/>
    <w:basedOn w:val="TableNormal"/>
    <w:uiPriority w:val="99"/>
    <w:rsid w:val="00797049"/>
    <w:pPr>
      <w:spacing w:after="0" w:line="240" w:lineRule="auto"/>
    </w:pPr>
    <w:rPr>
      <w:rFonts w:ascii="Calibri" w:eastAsia="Calibri" w:hAnsi="Calibri" w:cs="Times New Roman"/>
      <w:sz w:val="20"/>
      <w:szCs w:val="20"/>
    </w:rPr>
    <w:tblPr/>
  </w:style>
  <w:style w:type="table" w:customStyle="1" w:styleId="ListTable6Colorful-Accent31">
    <w:name w:val="List Table 6 Colorful - Accent 31"/>
    <w:basedOn w:val="TableNormal"/>
    <w:next w:val="List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
    <w:name w:val="Grid Table 1 Light - Accent 11"/>
    <w:basedOn w:val="TableNormal"/>
    <w:next w:val="GridTable1Light-Accent13"/>
    <w:uiPriority w:val="46"/>
    <w:rsid w:val="00797049"/>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
    <w:name w:val="List Table 1 Light - Accent 11"/>
    <w:basedOn w:val="TableNormal"/>
    <w:next w:val="ListTable1Light-Accent13"/>
    <w:uiPriority w:val="46"/>
    <w:rsid w:val="00797049"/>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
    <w:name w:val="List Table 2 - Accent 11"/>
    <w:basedOn w:val="TableNormal"/>
    <w:next w:val="ListTable2-Accent13"/>
    <w:uiPriority w:val="47"/>
    <w:rsid w:val="00797049"/>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
    <w:name w:val="List Table 2 - Accent 51"/>
    <w:basedOn w:val="TableNormal"/>
    <w:next w:val="ListTable2-Accent53"/>
    <w:uiPriority w:val="47"/>
    <w:rsid w:val="00797049"/>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
    <w:name w:val="Grid Table 2 - Accent 51"/>
    <w:basedOn w:val="TableNormal"/>
    <w:next w:val="GridTable2-Accent53"/>
    <w:uiPriority w:val="47"/>
    <w:rsid w:val="00797049"/>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
    <w:name w:val="Table Grid2"/>
    <w:basedOn w:val="TableNormal"/>
    <w:next w:val="TableGrid"/>
    <w:uiPriority w:val="5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
    <w:name w:val="Light Shading - Accent 124"/>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
    <w:name w:val="Grid Table 6 Colorful - Accent 512"/>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
    <w:name w:val="Grid Table 6 Colorful - Accent 513"/>
    <w:basedOn w:val="TableNormal"/>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
    <w:name w:val="No List3"/>
    <w:next w:val="NoList"/>
    <w:uiPriority w:val="99"/>
    <w:semiHidden/>
    <w:unhideWhenUsed/>
    <w:rsid w:val="00797049"/>
  </w:style>
  <w:style w:type="table" w:customStyle="1" w:styleId="TableGrid3">
    <w:name w:val="Table Grid3"/>
    <w:basedOn w:val="TableNormal"/>
    <w:next w:val="TableGrid"/>
    <w:uiPriority w:val="5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
    <w:name w:val="Financial Table1"/>
    <w:basedOn w:val="TableNormal"/>
    <w:uiPriority w:val="99"/>
    <w:rsid w:val="00797049"/>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
    <w:name w:val="Grid Table 6 Colorful - Accent 53"/>
    <w:basedOn w:val="TableNormal"/>
    <w:next w:val="GridTable6Colorful-Accent54"/>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
    <w:name w:val="Light Shading - Accent 125"/>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
    <w:name w:val="Grid Table 6 Colorful - Accent 514"/>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
    <w:name w:val="Light Shading - Accent 121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
    <w:name w:val="Grid Table 6 Colorful - Accent 5111"/>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
    <w:name w:val="Grid Table 6 Colorful - Accent 12"/>
    <w:basedOn w:val="TableNormal"/>
    <w:next w:val="GridTable6Colorful-Accent13"/>
    <w:uiPriority w:val="51"/>
    <w:rsid w:val="00797049"/>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
    <w:name w:val="Light Shading - Accent 122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
    <w:name w:val="Grid Table 6 Colorful - Accent 521"/>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
    <w:name w:val="tabele 34"/>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
    <w:name w:val="Light Shading - Accent 1110"/>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
    <w:name w:val="Light Shading - Accent 35"/>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
    <w:name w:val="Light List - Accent 55"/>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
    <w:name w:val="Light Shading - Accent 314"/>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
    <w:name w:val="Light List - Accent 315"/>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
    <w:name w:val="Table Grid11"/>
    <w:basedOn w:val="TableNormal"/>
    <w:next w:val="TableGrid"/>
    <w:uiPriority w:val="59"/>
    <w:rsid w:val="00797049"/>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
    <w:name w:val="Light List - Accent 514"/>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
    <w:name w:val="Medium List 1 - Accent 511"/>
    <w:basedOn w:val="TableNormal"/>
    <w:next w:val="MediumList1-Accent5"/>
    <w:uiPriority w:val="65"/>
    <w:rsid w:val="00797049"/>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
    <w:name w:val="Medium List 1 - Accent 52"/>
    <w:basedOn w:val="TableNormal"/>
    <w:next w:val="MediumList1-Accent5"/>
    <w:uiPriority w:val="65"/>
    <w:rsid w:val="0079704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
    <w:name w:val="No List111"/>
    <w:next w:val="NoList"/>
    <w:uiPriority w:val="99"/>
    <w:semiHidden/>
    <w:unhideWhenUsed/>
    <w:rsid w:val="00797049"/>
  </w:style>
  <w:style w:type="table" w:customStyle="1" w:styleId="LightGrid-Accent515">
    <w:name w:val="Light Grid - Accent 515"/>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
    <w:name w:val="Светло сенчење – наглашавање 114"/>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
    <w:name w:val="Light Grid - Accent 56"/>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
    <w:name w:val="tabele za ifs1"/>
    <w:basedOn w:val="TableNormal"/>
    <w:uiPriority w:val="99"/>
    <w:qFormat/>
    <w:rsid w:val="00797049"/>
    <w:pPr>
      <w:spacing w:after="0" w:line="240" w:lineRule="auto"/>
    </w:pPr>
    <w:rPr>
      <w:rFonts w:ascii="Cambria Math" w:eastAsia="Calibri" w:hAnsi="Cambria Math" w:cs="Times New Roman"/>
      <w:sz w:val="20"/>
      <w:szCs w:val="20"/>
      <w:lang w:val="en-GB" w:eastAsia="en-GB"/>
    </w:rPr>
    <w:tblPr/>
  </w:style>
  <w:style w:type="table" w:customStyle="1" w:styleId="tabelezaifs11">
    <w:name w:val="tabele za ifs 11"/>
    <w:basedOn w:val="TableNormal"/>
    <w:uiPriority w:val="66"/>
    <w:rsid w:val="00797049"/>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
    <w:name w:val="Colorful List - Accent 11"/>
    <w:basedOn w:val="TableNormal"/>
    <w:next w:val="ColorfulList-Accent1"/>
    <w:uiPriority w:val="72"/>
    <w:rsid w:val="00797049"/>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
    <w:name w:val="No List21"/>
    <w:next w:val="NoList"/>
    <w:uiPriority w:val="99"/>
    <w:semiHidden/>
    <w:unhideWhenUsed/>
    <w:rsid w:val="00797049"/>
  </w:style>
  <w:style w:type="table" w:customStyle="1" w:styleId="LightList-Accent324">
    <w:name w:val="Light List - Accent 324"/>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
    <w:name w:val="Light List - Accent 3114"/>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
    <w:name w:val="Light Shading - Accent 1317"/>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
    <w:name w:val="Light Shading - Accent 1318"/>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
    <w:name w:val="Light Shading - Accent 132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
    <w:name w:val="tabele 31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
    <w:name w:val="Light Shading - Accent 11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
    <w:name w:val="Light Shading - Accent 3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
    <w:name w:val="Light List - Accent 52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
    <w:name w:val="Light Shading - Accent 311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
    <w:name w:val="Light List - Accent 312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
    <w:name w:val="Light List - Accent 511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
    <w:name w:val="Light Grid - Accent 511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
    <w:name w:val="Светло сенчење – наглашавање 11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
    <w:name w:val="Light Grid - Accent 52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
    <w:name w:val="Light List - Accent 321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
    <w:name w:val="Light List - Accent 311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
    <w:name w:val="Light Shading - Accent 13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
    <w:name w:val="Light Shading - Accent 131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
    <w:name w:val="Light Shading - Accent 132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
    <w:name w:val="Light Shading - Accent 112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
    <w:name w:val="Light Shading - Accent 134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
    <w:name w:val="Light Shading - Accent 113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
    <w:name w:val="Light Shading - Accent 135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
    <w:name w:val="Light Shading - Accent 136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
    <w:name w:val="Light Shading - Accent 137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
    <w:name w:val="tabele 32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
    <w:name w:val="Light Shading - Accent 114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
    <w:name w:val="Light Shading - Accent 334"/>
    <w:basedOn w:val="TableNormal"/>
    <w:next w:val="LightShading-Accent3"/>
    <w:uiPriority w:val="60"/>
    <w:rsid w:val="00797049"/>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
    <w:name w:val="Light List - Accent 53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
    <w:name w:val="Light Shading - Accent 312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
    <w:name w:val="Light List - Accent 31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
    <w:name w:val="Light List - Accent 512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
    <w:name w:val="Light Grid - Accent 512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
    <w:name w:val="Светло сенчење – наглашавање 112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
    <w:name w:val="Light Grid - Accent 53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
    <w:name w:val="Light List - Accent 322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
    <w:name w:val="Light List - Accent 3112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
    <w:name w:val="Light Shading - Accent 138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
    <w:name w:val="Light Shading - Accent 131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
    <w:name w:val="Light Shading - Accent 132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
    <w:name w:val="Light Shading - Accent 115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
    <w:name w:val="Light Shading - Accent 139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
    <w:name w:val="Light Shading - Accent 1162"/>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
    <w:name w:val="Light Shading - Accent 1310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
    <w:name w:val="Light Shading - Accent 131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
    <w:name w:val="tabele 33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
    <w:name w:val="Light Shading - Accent 117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
    <w:name w:val="Light Shading - Accent 343"/>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
    <w:name w:val="Light List - Accent 54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
    <w:name w:val="Light Shading - Accent 313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
    <w:name w:val="Light List - Accent 314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
    <w:name w:val="Light List - Accent 513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
    <w:name w:val="Light Grid - Accent 513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
    <w:name w:val="Светло сенчење – наглашавање 113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
    <w:name w:val="Light Grid - Accent 54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
    <w:name w:val="Light Shading - Accent 123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
    <w:name w:val="Light List - Accent 323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
    <w:name w:val="Light List - Accent 311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
    <w:name w:val="Light Shading - Accent 1314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
    <w:name w:val="Light Shading - Accent 1315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
    <w:name w:val="Light Shading - Accent 132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
    <w:name w:val="Light Shading - Accent 1316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
    <w:name w:val="Light Shading - Accent 138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
    <w:name w:val="Light Shading - Accent 118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
    <w:name w:val="Light Shading - Accent 139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
    <w:name w:val="Light Shading - Accent 116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
    <w:name w:val="Light Shading - Accent 1310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
    <w:name w:val="Light Shading - Accent 136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
    <w:name w:val="Light Shading - Accent 119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
    <w:name w:val="Light Shading - Accent 331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
    <w:name w:val="Light Shading - Accent 33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
    <w:name w:val="Light Shading - Accent 333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
    <w:name w:val="Light Shading - Accent 341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
    <w:name w:val="Light Shading - Accent 34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
    <w:name w:val="Light Grid - Accent 514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
    <w:name w:val="Light Grid - Accent 55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
    <w:name w:val="Light Grid - Accent 511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
    <w:name w:val="Light Grid - Accent 52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
    <w:name w:val="Light Grid - Accent 512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
    <w:name w:val="Light Grid - Accent 53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
    <w:name w:val="Light Grid - Accent 513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
    <w:name w:val="Light Grid - Accent 54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
    <w:name w:val="Light Shading - Accent 62"/>
    <w:basedOn w:val="TableNormal"/>
    <w:next w:val="LightShading-Accent6"/>
    <w:uiPriority w:val="60"/>
    <w:rsid w:val="00797049"/>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
    <w:name w:val="Grid Table 6 Colorful - Accent 42"/>
    <w:basedOn w:val="TableNormal"/>
    <w:next w:val="GridTable6Colorful-Accent43"/>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
    <w:name w:val="Grid Table 6 Colorful - Accent 32"/>
    <w:basedOn w:val="TableNormal"/>
    <w:next w:val="Grid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
    <w:name w:val="Grid Table 4 - Accent 52"/>
    <w:basedOn w:val="TableNormal"/>
    <w:next w:val="GridTable4-Accent53"/>
    <w:uiPriority w:val="49"/>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
    <w:name w:val="Grid Table 5 Dark - Accent 52"/>
    <w:basedOn w:val="TableNormal"/>
    <w:next w:val="GridTable5Dark-Accent53"/>
    <w:uiPriority w:val="50"/>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
    <w:name w:val="ФС1"/>
    <w:basedOn w:val="TableNormal"/>
    <w:uiPriority w:val="99"/>
    <w:rsid w:val="00797049"/>
    <w:pPr>
      <w:spacing w:after="0" w:line="240" w:lineRule="auto"/>
    </w:pPr>
    <w:rPr>
      <w:rFonts w:ascii="Calibri" w:eastAsia="Calibri" w:hAnsi="Calibri" w:cs="Times New Roman"/>
      <w:sz w:val="20"/>
      <w:szCs w:val="20"/>
    </w:rPr>
    <w:tblPr/>
  </w:style>
  <w:style w:type="table" w:customStyle="1" w:styleId="ListTable6Colorful-Accent32">
    <w:name w:val="List Table 6 Colorful - Accent 32"/>
    <w:basedOn w:val="TableNormal"/>
    <w:next w:val="List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
    <w:name w:val="Grid Table 1 Light - Accent 12"/>
    <w:basedOn w:val="TableNormal"/>
    <w:next w:val="GridTable1Light-Accent13"/>
    <w:uiPriority w:val="46"/>
    <w:rsid w:val="00797049"/>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
    <w:name w:val="List Table 1 Light - Accent 12"/>
    <w:basedOn w:val="TableNormal"/>
    <w:next w:val="ListTable1Light-Accent13"/>
    <w:uiPriority w:val="46"/>
    <w:rsid w:val="00797049"/>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
    <w:name w:val="List Table 2 - Accent 12"/>
    <w:basedOn w:val="TableNormal"/>
    <w:next w:val="ListTable2-Accent13"/>
    <w:uiPriority w:val="47"/>
    <w:rsid w:val="00797049"/>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
    <w:name w:val="List Table 2 - Accent 52"/>
    <w:basedOn w:val="TableNormal"/>
    <w:next w:val="ListTable2-Accent53"/>
    <w:uiPriority w:val="47"/>
    <w:rsid w:val="00797049"/>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
    <w:name w:val="Grid Table 2 - Accent 52"/>
    <w:basedOn w:val="TableNormal"/>
    <w:next w:val="GridTable2-Accent53"/>
    <w:uiPriority w:val="47"/>
    <w:rsid w:val="00797049"/>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
    <w:name w:val="Grid Table 6 Colorful - Accent 411"/>
    <w:basedOn w:val="TableNormal"/>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
    <w:name w:val="Grid Table 6 Colorful - Accent 311"/>
    <w:basedOn w:val="TableNormal"/>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
    <w:name w:val="Table Grid21"/>
    <w:basedOn w:val="TableNormal"/>
    <w:next w:val="TableGrid"/>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
    <w:name w:val="Light Shading - Accent 124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
    <w:name w:val="Light Shading - Accent 125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paragraph" w:styleId="Footer">
    <w:name w:val="footer"/>
    <w:aliases w:val="Char,Char Char,Char Char Char Char Char Char Char,Char Char Char Char Char Char Char Char Char,Char Char Char Char Char Char Char Char Char Char Char Char Char,Char Char Char Char Char Char,Char1, Char,Char1 Cha"/>
    <w:basedOn w:val="Normal"/>
    <w:link w:val="FooterChar1"/>
    <w:unhideWhenUsed/>
    <w:rsid w:val="00797049"/>
    <w:pPr>
      <w:tabs>
        <w:tab w:val="center" w:pos="4680"/>
        <w:tab w:val="right" w:pos="9360"/>
      </w:tabs>
      <w:spacing w:after="0"/>
    </w:pPr>
  </w:style>
  <w:style w:type="character" w:customStyle="1" w:styleId="FooterChar1">
    <w:name w:val="Footer Char1"/>
    <w:aliases w:val="Char Char2,Char Char Char2,Char Char Char Char Char Char Char Char1,Char Char Char Char Char Char Char Char Char Char1,Char Char Char Char Char Char Char Char Char Char Char Char Char Char1,Char Char Char Char Char Char Char1,Char1 Char"/>
    <w:basedOn w:val="DefaultParagraphFont"/>
    <w:link w:val="Footer"/>
    <w:uiPriority w:val="99"/>
    <w:rsid w:val="00797049"/>
  </w:style>
  <w:style w:type="paragraph" w:styleId="Title">
    <w:name w:val="Title"/>
    <w:basedOn w:val="Normal"/>
    <w:next w:val="Normal"/>
    <w:link w:val="TitleChar"/>
    <w:qFormat/>
    <w:rsid w:val="00797049"/>
    <w:pPr>
      <w:spacing w:after="0"/>
      <w:contextualSpacing/>
    </w:pPr>
    <w:rPr>
      <w:rFonts w:ascii="Arial" w:eastAsia="MS PGothic" w:hAnsi="Arial" w:cs="Arial"/>
      <w:color w:val="EF4623"/>
      <w:spacing w:val="-10"/>
      <w:sz w:val="56"/>
      <w:szCs w:val="56"/>
    </w:rPr>
  </w:style>
  <w:style w:type="character" w:customStyle="1" w:styleId="TitleChar2">
    <w:name w:val="Title Char2"/>
    <w:basedOn w:val="DefaultParagraphFont"/>
    <w:uiPriority w:val="10"/>
    <w:rsid w:val="007970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797049"/>
    <w:pPr>
      <w:numPr>
        <w:ilvl w:val="1"/>
      </w:numPr>
    </w:pPr>
    <w:rPr>
      <w:rFonts w:ascii="Arial" w:eastAsia="MS PGothic" w:hAnsi="Arial" w:cs="Arial"/>
      <w:szCs w:val="24"/>
    </w:rPr>
  </w:style>
  <w:style w:type="character" w:customStyle="1" w:styleId="SubtitleChar1">
    <w:name w:val="Subtitle Char1"/>
    <w:basedOn w:val="DefaultParagraphFont"/>
    <w:uiPriority w:val="11"/>
    <w:rsid w:val="00797049"/>
    <w:rPr>
      <w:rFonts w:eastAsiaTheme="minorEastAsia"/>
      <w:color w:val="5A5A5A" w:themeColor="text1" w:themeTint="A5"/>
      <w:spacing w:val="15"/>
    </w:rPr>
  </w:style>
  <w:style w:type="character" w:styleId="Hyperlink">
    <w:name w:val="Hyperlink"/>
    <w:basedOn w:val="DefaultParagraphFont"/>
    <w:uiPriority w:val="99"/>
    <w:unhideWhenUsed/>
    <w:rsid w:val="00797049"/>
    <w:rPr>
      <w:color w:val="0563C1" w:themeColor="hyperlink"/>
      <w:u w:val="single"/>
    </w:rPr>
  </w:style>
  <w:style w:type="character" w:customStyle="1" w:styleId="Heading2Char1">
    <w:name w:val="Heading 2 Char1"/>
    <w:basedOn w:val="DefaultParagraphFont"/>
    <w:uiPriority w:val="9"/>
    <w:semiHidden/>
    <w:rsid w:val="00797049"/>
    <w:rPr>
      <w:rFonts w:asciiTheme="majorHAnsi" w:eastAsiaTheme="majorEastAsia" w:hAnsiTheme="majorHAnsi" w:cstheme="majorBidi"/>
      <w:color w:val="2E74B5" w:themeColor="accent1" w:themeShade="BF"/>
      <w:sz w:val="26"/>
      <w:szCs w:val="26"/>
    </w:rPr>
  </w:style>
  <w:style w:type="paragraph" w:styleId="Quote">
    <w:name w:val="Quote"/>
    <w:basedOn w:val="Normal"/>
    <w:next w:val="Normal"/>
    <w:link w:val="QuoteChar"/>
    <w:uiPriority w:val="29"/>
    <w:qFormat/>
    <w:rsid w:val="00797049"/>
    <w:pPr>
      <w:spacing w:before="200"/>
      <w:ind w:left="864" w:right="864"/>
      <w:jc w:val="center"/>
    </w:pPr>
    <w:rPr>
      <w:i/>
      <w:iCs/>
      <w:color w:val="404040"/>
    </w:rPr>
  </w:style>
  <w:style w:type="character" w:customStyle="1" w:styleId="QuoteChar1">
    <w:name w:val="Quote Char1"/>
    <w:basedOn w:val="DefaultParagraphFont"/>
    <w:uiPriority w:val="29"/>
    <w:rsid w:val="00797049"/>
    <w:rPr>
      <w:i/>
      <w:iCs/>
      <w:color w:val="404040" w:themeColor="text1" w:themeTint="BF"/>
    </w:rPr>
  </w:style>
  <w:style w:type="paragraph" w:styleId="Signature">
    <w:name w:val="Signature"/>
    <w:basedOn w:val="Normal"/>
    <w:link w:val="SignatureChar1"/>
    <w:uiPriority w:val="99"/>
    <w:unhideWhenUsed/>
    <w:rsid w:val="00797049"/>
    <w:pPr>
      <w:spacing w:after="0"/>
      <w:ind w:left="4252"/>
    </w:pPr>
  </w:style>
  <w:style w:type="character" w:customStyle="1" w:styleId="SignatureChar1">
    <w:name w:val="Signature Char1"/>
    <w:basedOn w:val="DefaultParagraphFont"/>
    <w:link w:val="Signature"/>
    <w:uiPriority w:val="99"/>
    <w:rsid w:val="00797049"/>
  </w:style>
  <w:style w:type="paragraph" w:styleId="ListBullet">
    <w:name w:val="List Bullet"/>
    <w:basedOn w:val="Normal"/>
    <w:uiPriority w:val="99"/>
    <w:unhideWhenUsed/>
    <w:qFormat/>
    <w:rsid w:val="00797049"/>
    <w:pPr>
      <w:ind w:left="576" w:hanging="288"/>
      <w:contextualSpacing/>
    </w:pPr>
  </w:style>
  <w:style w:type="paragraph" w:styleId="ListNumber">
    <w:name w:val="List Number"/>
    <w:basedOn w:val="Normal"/>
    <w:uiPriority w:val="99"/>
    <w:unhideWhenUsed/>
    <w:rsid w:val="00797049"/>
    <w:pPr>
      <w:ind w:left="360" w:hanging="360"/>
      <w:contextualSpacing/>
    </w:pPr>
  </w:style>
  <w:style w:type="paragraph" w:styleId="ListNumber2">
    <w:name w:val="List Number 2"/>
    <w:basedOn w:val="Normal"/>
    <w:uiPriority w:val="99"/>
    <w:unhideWhenUsed/>
    <w:rsid w:val="00797049"/>
    <w:pPr>
      <w:numPr>
        <w:numId w:val="3"/>
      </w:numPr>
      <w:contextualSpacing/>
    </w:pPr>
  </w:style>
  <w:style w:type="paragraph" w:styleId="ListNumber3">
    <w:name w:val="List Number 3"/>
    <w:basedOn w:val="Normal"/>
    <w:uiPriority w:val="99"/>
    <w:unhideWhenUsed/>
    <w:rsid w:val="00797049"/>
    <w:pPr>
      <w:ind w:left="630" w:hanging="360"/>
      <w:contextualSpacing/>
    </w:pPr>
  </w:style>
  <w:style w:type="paragraph" w:styleId="ListNumber4">
    <w:name w:val="List Number 4"/>
    <w:basedOn w:val="Normal"/>
    <w:uiPriority w:val="99"/>
    <w:unhideWhenUsed/>
    <w:rsid w:val="00797049"/>
    <w:pPr>
      <w:numPr>
        <w:numId w:val="5"/>
      </w:numPr>
      <w:contextualSpacing/>
    </w:pPr>
  </w:style>
  <w:style w:type="paragraph" w:styleId="ListNumber5">
    <w:name w:val="List Number 5"/>
    <w:basedOn w:val="Normal"/>
    <w:uiPriority w:val="99"/>
    <w:unhideWhenUsed/>
    <w:rsid w:val="00797049"/>
    <w:pPr>
      <w:numPr>
        <w:numId w:val="6"/>
      </w:numPr>
      <w:contextualSpacing/>
    </w:pPr>
  </w:style>
  <w:style w:type="table" w:styleId="LightShading">
    <w:name w:val="Light Shading"/>
    <w:basedOn w:val="TableNormal"/>
    <w:uiPriority w:val="60"/>
    <w:unhideWhenUsed/>
    <w:rsid w:val="007970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
    <w:name w:val="Grid Table 6 Colorful - Accent 54"/>
    <w:basedOn w:val="TableNormal"/>
    <w:uiPriority w:val="51"/>
    <w:rsid w:val="0079704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1">
    <w:name w:val="Heading 3 Char1"/>
    <w:basedOn w:val="DefaultParagraphFont"/>
    <w:uiPriority w:val="9"/>
    <w:semiHidden/>
    <w:rsid w:val="00797049"/>
    <w:rPr>
      <w:rFonts w:asciiTheme="majorHAnsi" w:eastAsiaTheme="majorEastAsia" w:hAnsiTheme="majorHAnsi" w:cstheme="majorBidi"/>
      <w:color w:val="1F4D78" w:themeColor="accent1" w:themeShade="7F"/>
      <w:sz w:val="24"/>
      <w:szCs w:val="24"/>
    </w:rPr>
  </w:style>
  <w:style w:type="table" w:customStyle="1" w:styleId="GridTable6Colorful-Accent13">
    <w:name w:val="Grid Table 6 Colorful - Accent 13"/>
    <w:basedOn w:val="TableNormal"/>
    <w:uiPriority w:val="51"/>
    <w:rsid w:val="0079704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2">
    <w:name w:val="Heading 4 Char2"/>
    <w:basedOn w:val="DefaultParagraphFont"/>
    <w:uiPriority w:val="9"/>
    <w:semiHidden/>
    <w:rsid w:val="00797049"/>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797049"/>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79704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797049"/>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79704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97049"/>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uiPriority w:val="30"/>
    <w:qFormat/>
    <w:rsid w:val="00797049"/>
    <w:pPr>
      <w:pBdr>
        <w:top w:val="single" w:sz="4" w:space="10" w:color="5B9BD5" w:themeColor="accent1"/>
        <w:bottom w:val="single" w:sz="4" w:space="10" w:color="5B9BD5" w:themeColor="accent1"/>
      </w:pBdr>
      <w:spacing w:before="360" w:after="360"/>
      <w:ind w:left="864" w:right="864"/>
      <w:jc w:val="center"/>
    </w:pPr>
    <w:rPr>
      <w:rFonts w:ascii="Arial" w:eastAsia="MS PGothic" w:hAnsi="Arial" w:cs="Arial"/>
      <w:color w:val="EF4623"/>
      <w:sz w:val="28"/>
      <w:szCs w:val="28"/>
    </w:rPr>
  </w:style>
  <w:style w:type="character" w:customStyle="1" w:styleId="IntenseQuoteChar1">
    <w:name w:val="Intense Quote Char1"/>
    <w:basedOn w:val="DefaultParagraphFont"/>
    <w:uiPriority w:val="30"/>
    <w:rsid w:val="00797049"/>
    <w:rPr>
      <w:i/>
      <w:iCs/>
      <w:color w:val="5B9BD5" w:themeColor="accent1"/>
    </w:rPr>
  </w:style>
  <w:style w:type="character" w:styleId="SubtleEmphasis">
    <w:name w:val="Subtle Emphasis"/>
    <w:basedOn w:val="DefaultParagraphFont"/>
    <w:uiPriority w:val="19"/>
    <w:qFormat/>
    <w:rsid w:val="00797049"/>
    <w:rPr>
      <w:i/>
      <w:iCs/>
      <w:color w:val="404040" w:themeColor="text1" w:themeTint="BF"/>
    </w:rPr>
  </w:style>
  <w:style w:type="character" w:styleId="SubtleReference">
    <w:name w:val="Subtle Reference"/>
    <w:basedOn w:val="DefaultParagraphFont"/>
    <w:uiPriority w:val="31"/>
    <w:qFormat/>
    <w:rsid w:val="00797049"/>
    <w:rPr>
      <w:smallCaps/>
      <w:color w:val="5A5A5A" w:themeColor="text1" w:themeTint="A5"/>
    </w:rPr>
  </w:style>
  <w:style w:type="character" w:styleId="FollowedHyperlink">
    <w:name w:val="FollowedHyperlink"/>
    <w:basedOn w:val="DefaultParagraphFont"/>
    <w:uiPriority w:val="99"/>
    <w:semiHidden/>
    <w:unhideWhenUsed/>
    <w:rsid w:val="00797049"/>
    <w:rPr>
      <w:color w:val="954F72" w:themeColor="followedHyperlink"/>
      <w:u w:val="single"/>
    </w:rPr>
  </w:style>
  <w:style w:type="table" w:styleId="LightShading-Accent1">
    <w:name w:val="Light Shading Accent 1"/>
    <w:basedOn w:val="TableNormal"/>
    <w:uiPriority w:val="60"/>
    <w:unhideWhenUsed/>
    <w:rsid w:val="0079704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6">
    <w:name w:val="Light Shading Accent 6"/>
    <w:basedOn w:val="TableNormal"/>
    <w:uiPriority w:val="60"/>
    <w:unhideWhenUsed/>
    <w:rsid w:val="0079704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
    <w:name w:val="Grid Table 6 Colorful - Accent 43"/>
    <w:basedOn w:val="TableNormal"/>
    <w:uiPriority w:val="51"/>
    <w:rsid w:val="0079704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
    <w:name w:val="Grid Table 6 Colorful - Accent 33"/>
    <w:basedOn w:val="TableNormal"/>
    <w:uiPriority w:val="51"/>
    <w:rsid w:val="0079704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
    <w:name w:val="Grid Table 4 - Accent 53"/>
    <w:basedOn w:val="TableNormal"/>
    <w:uiPriority w:val="49"/>
    <w:rsid w:val="007970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
    <w:name w:val="Grid Table 5 Dark - Accent 53"/>
    <w:basedOn w:val="TableNormal"/>
    <w:uiPriority w:val="50"/>
    <w:rsid w:val="007970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
    <w:name w:val="List Table 6 Colorful - Accent 33"/>
    <w:basedOn w:val="TableNormal"/>
    <w:uiPriority w:val="51"/>
    <w:rsid w:val="0079704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
    <w:name w:val="Grid Table 1 Light - Accent 13"/>
    <w:basedOn w:val="TableNormal"/>
    <w:uiPriority w:val="46"/>
    <w:rsid w:val="0079704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
    <w:name w:val="List Table 1 Light - Accent 13"/>
    <w:basedOn w:val="TableNormal"/>
    <w:uiPriority w:val="46"/>
    <w:rsid w:val="00797049"/>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
    <w:name w:val="List Table 2 - Accent 13"/>
    <w:basedOn w:val="TableNormal"/>
    <w:uiPriority w:val="47"/>
    <w:rsid w:val="0079704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
    <w:name w:val="List Table 2 - Accent 53"/>
    <w:basedOn w:val="TableNormal"/>
    <w:uiPriority w:val="47"/>
    <w:rsid w:val="00797049"/>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
    <w:name w:val="Grid Table 2 - Accent 53"/>
    <w:basedOn w:val="TableNormal"/>
    <w:uiPriority w:val="47"/>
    <w:rsid w:val="0079704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ineNumber">
    <w:name w:val="line number"/>
    <w:basedOn w:val="DefaultParagraphFont"/>
    <w:uiPriority w:val="99"/>
    <w:semiHidden/>
    <w:unhideWhenUsed/>
    <w:rsid w:val="00E27F39"/>
  </w:style>
  <w:style w:type="table" w:customStyle="1" w:styleId="TableGrid22">
    <w:name w:val="Table Grid22"/>
    <w:basedOn w:val="TableNormal"/>
    <w:next w:val="TableGrid"/>
    <w:uiPriority w:val="39"/>
    <w:rsid w:val="00AE44EB"/>
    <w:pPr>
      <w:spacing w:before="120" w:after="120" w:line="264" w:lineRule="auto"/>
      <w:ind w:left="115" w:right="115"/>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styleId="Caption">
    <w:name w:val="caption"/>
    <w:basedOn w:val="Normal"/>
    <w:next w:val="Normal"/>
    <w:link w:val="CaptionChar"/>
    <w:uiPriority w:val="35"/>
    <w:unhideWhenUsed/>
    <w:qFormat/>
    <w:rsid w:val="002C0AD2"/>
    <w:rPr>
      <w:rFonts w:eastAsiaTheme="minorEastAsia"/>
      <w:b/>
      <w:bCs/>
      <w:smallCaps/>
      <w:color w:val="595959" w:themeColor="text1" w:themeTint="A6"/>
      <w:spacing w:val="6"/>
      <w:sz w:val="20"/>
      <w:szCs w:val="20"/>
      <w:lang w:eastAsia="ja-JP"/>
    </w:rPr>
  </w:style>
  <w:style w:type="numbering" w:customStyle="1" w:styleId="NoList4">
    <w:name w:val="No List4"/>
    <w:next w:val="NoList"/>
    <w:uiPriority w:val="99"/>
    <w:semiHidden/>
    <w:unhideWhenUsed/>
    <w:rsid w:val="00C1281D"/>
  </w:style>
  <w:style w:type="numbering" w:customStyle="1" w:styleId="NoList12">
    <w:name w:val="No List12"/>
    <w:next w:val="NoList"/>
    <w:uiPriority w:val="99"/>
    <w:semiHidden/>
    <w:unhideWhenUsed/>
    <w:rsid w:val="00C1281D"/>
  </w:style>
  <w:style w:type="table" w:customStyle="1" w:styleId="TableGrid4">
    <w:name w:val="Table Grid4"/>
    <w:basedOn w:val="TableNormal"/>
    <w:next w:val="TableGrid"/>
    <w:uiPriority w:val="5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2">
    <w:name w:val="Financial Table2"/>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1">
    <w:name w:val="Light Shading11"/>
    <w:basedOn w:val="TableNormal"/>
    <w:next w:val="LightShading"/>
    <w:uiPriority w:val="60"/>
    <w:rsid w:val="00C1281D"/>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5">
    <w:name w:val="Grid Table 6 Colorful - Accent 515"/>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6">
    <w:name w:val="Light Shading - Accent 126"/>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2">
    <w:name w:val="Grid Table 6 Colorful - Accent 511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2">
    <w:name w:val="Light Shading - Accent 12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1">
    <w:name w:val="Grid Table 6 Colorful - Accent 111"/>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2">
    <w:name w:val="Light Shading - Accent 122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2">
    <w:name w:val="Grid Table 6 Colorful - Accent 52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5">
    <w:name w:val="tabele 35"/>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2">
    <w:name w:val="Light Shading - Accent 1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6">
    <w:name w:val="Light Shading - Accent 36"/>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5">
    <w:name w:val="Light Shading - Accent 315"/>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6">
    <w:name w:val="Light List - Accent 316"/>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2">
    <w:name w:val="Table Grid12"/>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5">
    <w:name w:val="Light List - Accent 515"/>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2">
    <w:name w:val="Medium List 1 - Accent 512"/>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3">
    <w:name w:val="Medium List 1 - Accent 53"/>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2">
    <w:name w:val="No List112"/>
    <w:next w:val="NoList"/>
    <w:uiPriority w:val="99"/>
    <w:semiHidden/>
    <w:unhideWhenUsed/>
    <w:rsid w:val="00C1281D"/>
  </w:style>
  <w:style w:type="table" w:customStyle="1" w:styleId="LightGrid-Accent516">
    <w:name w:val="Light Grid - Accent 516"/>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5">
    <w:name w:val="Светло сенчење – наглашавање 115"/>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7">
    <w:name w:val="Light Grid - Accent 57"/>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2">
    <w:name w:val="tabele za ifs2"/>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2">
    <w:name w:val="tabele za ifs 12"/>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2">
    <w:name w:val="Colorful List - Accent 12"/>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2">
    <w:name w:val="No List22"/>
    <w:next w:val="NoList"/>
    <w:uiPriority w:val="99"/>
    <w:semiHidden/>
    <w:unhideWhenUsed/>
    <w:rsid w:val="00C1281D"/>
  </w:style>
  <w:style w:type="table" w:customStyle="1" w:styleId="LightList-Accent325">
    <w:name w:val="Light List - Accent 325"/>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5">
    <w:name w:val="Light List - Accent 3115"/>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9">
    <w:name w:val="Light Shading - Accent 1319"/>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0">
    <w:name w:val="Light Shading - Accent 13110"/>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5">
    <w:name w:val="Light Shading - Accent 1325"/>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2">
    <w:name w:val="tabele 3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3">
    <w:name w:val="Light Shading - Accent 111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2">
    <w:name w:val="Light Shading - Accent 3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2">
    <w:name w:val="Light List - Accent 52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
    <w:name w:val="Light Shading - Accent 31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2">
    <w:name w:val="Light List - Accent 312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2">
    <w:name w:val="Light List - Accent 51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3">
    <w:name w:val="Light Grid - Accent 51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2">
    <w:name w:val="Светло сенчење – наглашавање 11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3">
    <w:name w:val="Light Grid - Accent 52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2">
    <w:name w:val="Light List - Accent 32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2">
    <w:name w:val="Light List - Accent 311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2">
    <w:name w:val="Light Shading - Accent 13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2">
    <w:name w:val="Light Shading - Accent 13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2">
    <w:name w:val="Light Shading - Accent 13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
    <w:name w:val="Light Shading - Accent 112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2">
    <w:name w:val="Light Shading - Accent 13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2">
    <w:name w:val="Light Shading - Accent 113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2">
    <w:name w:val="Light Shading - Accent 135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3">
    <w:name w:val="Light Shading - Accent 136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2">
    <w:name w:val="Light Shading - Accent 137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2">
    <w:name w:val="tabele 32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2">
    <w:name w:val="Light Shading - Accent 114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5">
    <w:name w:val="Light Shading - Accent 335"/>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2">
    <w:name w:val="Light List - Accent 53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2">
    <w:name w:val="Light Shading - Accent 312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2">
    <w:name w:val="Light List - Accent 313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2">
    <w:name w:val="Light List - Accent 512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3">
    <w:name w:val="Light Grid - Accent 512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2">
    <w:name w:val="Светло сенчење – наглашавање 112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3">
    <w:name w:val="Light Grid - Accent 53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2">
    <w:name w:val="Light List - Accent 322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2">
    <w:name w:val="Light List - Accent 3112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3">
    <w:name w:val="Light Shading - Accent 138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2">
    <w:name w:val="Light Shading - Accent 131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2">
    <w:name w:val="Light Shading - Accent 132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2">
    <w:name w:val="Light Shading - Accent 115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3">
    <w:name w:val="Light Shading - Accent 139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3">
    <w:name w:val="Light Shading - Accent 116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3">
    <w:name w:val="Light Shading - Accent 1310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2">
    <w:name w:val="Light Shading - Accent 131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2">
    <w:name w:val="tabele 33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2">
    <w:name w:val="Light Shading - Accent 117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4">
    <w:name w:val="Light Shading - Accent 344"/>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2">
    <w:name w:val="Light List - Accent 54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2">
    <w:name w:val="Light Shading - Accent 313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2">
    <w:name w:val="Light List - Accent 314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2">
    <w:name w:val="Light List - Accent 513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3">
    <w:name w:val="Light Grid - Accent 513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2">
    <w:name w:val="Светло сенчење – наглашавање 113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3">
    <w:name w:val="Light Grid - Accent 54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2">
    <w:name w:val="Light Shading - Accent 123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2">
    <w:name w:val="Light List - Accent 323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2">
    <w:name w:val="Light List - Accent 3113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2">
    <w:name w:val="Light Shading - Accent 131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2">
    <w:name w:val="Light Shading - Accent 1315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2">
    <w:name w:val="Light Shading - Accent 132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2">
    <w:name w:val="Light Shading - Accent 1316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2">
    <w:name w:val="Light Shading - Accent 138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2">
    <w:name w:val="Light Shading - Accent 118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2">
    <w:name w:val="Light Shading - Accent 139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2">
    <w:name w:val="Light Shading - Accent 116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2">
    <w:name w:val="Light Shading - Accent 1310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2">
    <w:name w:val="Light Shading - Accent 136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2">
    <w:name w:val="Light Shading - Accent 119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1">
    <w:name w:val="Light Shading - Accent 141"/>
    <w:basedOn w:val="TableNormal"/>
    <w:next w:val="LightShading-Accent1"/>
    <w:uiPriority w:val="60"/>
    <w:rsid w:val="00C1281D"/>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2">
    <w:name w:val="Light Shading - Accent 33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2">
    <w:name w:val="Light Shading - Accent 33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2">
    <w:name w:val="Light Shading - Accent 333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2">
    <w:name w:val="Light Shading - Accent 34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2">
    <w:name w:val="Light Shading - Accent 34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2">
    <w:name w:val="Light Grid - Accent 514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2">
    <w:name w:val="Light Grid - Accent 55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2">
    <w:name w:val="Light Grid - Accent 51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2">
    <w:name w:val="Light Grid - Accent 52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2">
    <w:name w:val="Light Grid - Accent 512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2">
    <w:name w:val="Light Grid - Accent 53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2">
    <w:name w:val="Light Grid - Accent 513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2">
    <w:name w:val="Light Grid - Accent 54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2">
    <w:name w:val="Light Shading - Accent 612"/>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2">
    <w:name w:val="Grid Table 6 Colorful - Accent 412"/>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1">
    <w:name w:val="Light Shading - Accent 6111"/>
    <w:basedOn w:val="TableNormal"/>
    <w:next w:val="LightShading-Accent6"/>
    <w:uiPriority w:val="60"/>
    <w:rsid w:val="00C1281D"/>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2">
    <w:name w:val="Grid Table 6 Colorful - Accent 312"/>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1">
    <w:name w:val="Grid Table 4 - Accent 511"/>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1">
    <w:name w:val="Grid Table 5 Dark - Accent 511"/>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2">
    <w:name w:val="ФС2"/>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11">
    <w:name w:val="List Table 6 Colorful - Accent 311"/>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1">
    <w:name w:val="Grid Table 1 Light - Accent 111"/>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1">
    <w:name w:val="List Table 1 Light - Accent 11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1">
    <w:name w:val="List Table 2 - Accent 111"/>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1">
    <w:name w:val="List Table 2 - Accent 511"/>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1">
    <w:name w:val="Grid Table 2 - Accent 511"/>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21">
    <w:name w:val="Table Grid22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2">
    <w:name w:val="Light Shading - Accent 124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1">
    <w:name w:val="Grid Table 6 Colorful - Accent 5121"/>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1">
    <w:name w:val="Grid Table 6 Colorful - Accent 5131"/>
    <w:basedOn w:val="TableNormal"/>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1">
    <w:name w:val="No List31"/>
    <w:next w:val="NoList"/>
    <w:uiPriority w:val="99"/>
    <w:semiHidden/>
    <w:unhideWhenUsed/>
    <w:rsid w:val="00C1281D"/>
  </w:style>
  <w:style w:type="table" w:customStyle="1" w:styleId="TableGrid31">
    <w:name w:val="Table Grid3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1">
    <w:name w:val="Financial Table11"/>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1">
    <w:name w:val="Grid Table 6 Colorful - Accent 531"/>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2">
    <w:name w:val="Light Shading - Accent 125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1">
    <w:name w:val="Grid Table 6 Colorful - Accent 5141"/>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1">
    <w:name w:val="Light Shading - Accent 12111"/>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1">
    <w:name w:val="Grid Table 6 Colorful - Accent 51111"/>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1">
    <w:name w:val="Grid Table 6 Colorful - Accent 121"/>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1">
    <w:name w:val="Light Shading - Accent 122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1">
    <w:name w:val="Grid Table 6 Colorful - Accent 5211"/>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1">
    <w:name w:val="tabele 34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1">
    <w:name w:val="Light Shading - Accent 1110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1">
    <w:name w:val="Light Shading - Accent 35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1">
    <w:name w:val="Light List - Accent 55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1">
    <w:name w:val="Light Shading - Accent 314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1">
    <w:name w:val="Light List - Accent 315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1">
    <w:name w:val="Table Grid111"/>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1">
    <w:name w:val="Light List - Accent 514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1">
    <w:name w:val="Medium List 1 - Accent 5111"/>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1">
    <w:name w:val="Medium List 1 - Accent 521"/>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1">
    <w:name w:val="No List1111"/>
    <w:next w:val="NoList"/>
    <w:uiPriority w:val="99"/>
    <w:semiHidden/>
    <w:unhideWhenUsed/>
    <w:rsid w:val="00C1281D"/>
  </w:style>
  <w:style w:type="table" w:customStyle="1" w:styleId="LightGrid-Accent5151">
    <w:name w:val="Light Grid - Accent 515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1">
    <w:name w:val="Светло сенчење – наглашавање 114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1">
    <w:name w:val="Light Grid - Accent 56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10">
    <w:name w:val="tabele za ifs11"/>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11">
    <w:name w:val="tabele za ifs 111"/>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1">
    <w:name w:val="Colorful List - Accent 111"/>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1">
    <w:name w:val="No List211"/>
    <w:next w:val="NoList"/>
    <w:uiPriority w:val="99"/>
    <w:semiHidden/>
    <w:unhideWhenUsed/>
    <w:rsid w:val="00C1281D"/>
  </w:style>
  <w:style w:type="table" w:customStyle="1" w:styleId="LightList-Accent3241">
    <w:name w:val="Light List - Accent 324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1">
    <w:name w:val="Light List - Accent 3114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1">
    <w:name w:val="Light Shading - Accent 1317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1">
    <w:name w:val="Light Shading - Accent 1318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1">
    <w:name w:val="Light Shading - Accent 1324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1">
    <w:name w:val="tabele 31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1">
    <w:name w:val="Light Shading - Accent 111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1">
    <w:name w:val="Light Shading - Accent 3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1">
    <w:name w:val="Light List - Accent 52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1">
    <w:name w:val="Light Shading - Accent 311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1">
    <w:name w:val="Light List - Accent 312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1">
    <w:name w:val="Light List - Accent 511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1">
    <w:name w:val="Light Grid - Accent 511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1">
    <w:name w:val="Светло сенчење – наглашавање 111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1">
    <w:name w:val="Light Grid - Accent 52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1">
    <w:name w:val="Light List - Accent 321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1">
    <w:name w:val="Light List - Accent 3111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1">
    <w:name w:val="Light Shading - Accent 13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1">
    <w:name w:val="Light Shading - Accent 131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1">
    <w:name w:val="Light Shading - Accent 132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
    <w:name w:val="Light Shading - Accent 112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1">
    <w:name w:val="Light Shading - Accent 134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
    <w:name w:val="Light Shading - Accent 113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1">
    <w:name w:val="Light Shading - Accent 135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1">
    <w:name w:val="Light Shading - Accent 136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1">
    <w:name w:val="Light Shading - Accent 137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1">
    <w:name w:val="tabele 32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1">
    <w:name w:val="Light Shading - Accent 114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1">
    <w:name w:val="Light Shading - Accent 3341"/>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1">
    <w:name w:val="Light List - Accent 53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1">
    <w:name w:val="Light Shading - Accent 312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1">
    <w:name w:val="Light List - Accent 313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1">
    <w:name w:val="Light List - Accent 512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1">
    <w:name w:val="Light Grid - Accent 512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1">
    <w:name w:val="Светло сенчење – наглашавање 112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1">
    <w:name w:val="Light Grid - Accent 53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1">
    <w:name w:val="Light List - Accent 322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1">
    <w:name w:val="Light List - Accent 3112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1">
    <w:name w:val="Light Shading - Accent 138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1">
    <w:name w:val="Light Shading - Accent 1312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1">
    <w:name w:val="Light Shading - Accent 1322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
    <w:name w:val="Light Shading - Accent 115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1">
    <w:name w:val="Light Shading - Accent 139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1">
    <w:name w:val="Light Shading - Accent 1162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1">
    <w:name w:val="Light Shading - Accent 1310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1">
    <w:name w:val="Light Shading - Accent 131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1">
    <w:name w:val="tabele 33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1">
    <w:name w:val="Light Shading - Accent 117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1">
    <w:name w:val="Light Shading - Accent 343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1">
    <w:name w:val="Light List - Accent 54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1">
    <w:name w:val="Light Shading - Accent 313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1">
    <w:name w:val="Light List - Accent 314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1">
    <w:name w:val="Light List - Accent 513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1">
    <w:name w:val="Light Grid - Accent 513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1">
    <w:name w:val="Светло сенчење – наглашавање 113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1">
    <w:name w:val="Light Grid - Accent 54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1">
    <w:name w:val="Light Shading - Accent 123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1">
    <w:name w:val="Light List - Accent 323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1">
    <w:name w:val="Light List - Accent 3113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1">
    <w:name w:val="Light Shading - Accent 1314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1">
    <w:name w:val="Light Shading - Accent 1315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1">
    <w:name w:val="Light Shading - Accent 132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1">
    <w:name w:val="Light Shading - Accent 1316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1">
    <w:name w:val="Light Shading - Accent 138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1">
    <w:name w:val="Light Shading - Accent 118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1">
    <w:name w:val="Light Shading - Accent 139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1">
    <w:name w:val="Light Shading - Accent 1161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1">
    <w:name w:val="Light Shading - Accent 1310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1">
    <w:name w:val="Light Shading - Accent 136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1">
    <w:name w:val="Light Shading - Accent 119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1">
    <w:name w:val="Light Shading - Accent 331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1">
    <w:name w:val="Light Shading - Accent 33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1">
    <w:name w:val="Light Shading - Accent 333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1">
    <w:name w:val="Light Shading - Accent 341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1">
    <w:name w:val="Light Shading - Accent 34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1">
    <w:name w:val="Light Grid - Accent 514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1">
    <w:name w:val="Light Grid - Accent 55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1">
    <w:name w:val="Light Grid - Accent 511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1">
    <w:name w:val="Light Grid - Accent 52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1">
    <w:name w:val="Light Grid - Accent 512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1">
    <w:name w:val="Light Grid - Accent 53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1">
    <w:name w:val="Light Grid - Accent 513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1">
    <w:name w:val="Light Grid - Accent 54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1">
    <w:name w:val="Light Shading - Accent 621"/>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1">
    <w:name w:val="Grid Table 6 Colorful - Accent 421"/>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1">
    <w:name w:val="Grid Table 6 Colorful - Accent 321"/>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1">
    <w:name w:val="Grid Table 4 - Accent 521"/>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1">
    <w:name w:val="Grid Table 5 Dark - Accent 521"/>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10">
    <w:name w:val="ФС11"/>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21">
    <w:name w:val="List Table 6 Colorful - Accent 321"/>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1">
    <w:name w:val="Grid Table 1 Light - Accent 121"/>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1">
    <w:name w:val="List Table 1 Light - Accent 12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1">
    <w:name w:val="List Table 2 - Accent 121"/>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1">
    <w:name w:val="List Table 2 - Accent 521"/>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1">
    <w:name w:val="Grid Table 2 - Accent 521"/>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1">
    <w:name w:val="Grid Table 6 Colorful - Accent 4111"/>
    <w:basedOn w:val="TableNormal"/>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1">
    <w:name w:val="Grid Table 6 Colorful - Accent 3111"/>
    <w:basedOn w:val="TableNormal"/>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1">
    <w:name w:val="Table Grid21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1">
    <w:name w:val="Light Shading - Accent 12411"/>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1">
    <w:name w:val="Light Shading - Accent 125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2">
    <w:name w:val="Light Shading2"/>
    <w:basedOn w:val="TableNormal"/>
    <w:next w:val="LightShading"/>
    <w:uiPriority w:val="60"/>
    <w:semiHidden/>
    <w:unhideWhenUsed/>
    <w:rsid w:val="00C12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0">
    <w:name w:val="Grid Table 6 Colorful - Accent 54"/>
    <w:basedOn w:val="TableNormal"/>
    <w:next w:val="GridTable6Colorful-Accent54"/>
    <w:uiPriority w:val="51"/>
    <w:rsid w:val="00C1281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0">
    <w:name w:val="Grid Table 6 Colorful - Accent 13"/>
    <w:basedOn w:val="TableNormal"/>
    <w:next w:val="GridTable6Colorful-Accent13"/>
    <w:uiPriority w:val="51"/>
    <w:rsid w:val="00C1281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5">
    <w:name w:val="Light Shading - Accent 15"/>
    <w:basedOn w:val="TableNormal"/>
    <w:next w:val="LightShading-Accent1"/>
    <w:uiPriority w:val="60"/>
    <w:semiHidden/>
    <w:unhideWhenUsed/>
    <w:rsid w:val="00C1281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3">
    <w:name w:val="Light Shading - Accent 63"/>
    <w:basedOn w:val="TableNormal"/>
    <w:next w:val="LightShading-Accent6"/>
    <w:uiPriority w:val="60"/>
    <w:semiHidden/>
    <w:unhideWhenUsed/>
    <w:rsid w:val="00C1281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0">
    <w:name w:val="Grid Table 6 Colorful - Accent 43"/>
    <w:basedOn w:val="TableNormal"/>
    <w:next w:val="GridTable6Colorful-Accent43"/>
    <w:uiPriority w:val="51"/>
    <w:rsid w:val="00C1281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0">
    <w:name w:val="Grid Table 6 Colorful - Accent 33"/>
    <w:basedOn w:val="TableNormal"/>
    <w:next w:val="Grid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0">
    <w:name w:val="Grid Table 4 - Accent 53"/>
    <w:basedOn w:val="TableNormal"/>
    <w:next w:val="GridTable4-Accent53"/>
    <w:uiPriority w:val="49"/>
    <w:rsid w:val="00C128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0">
    <w:name w:val="Grid Table 5 Dark - Accent 53"/>
    <w:basedOn w:val="TableNormal"/>
    <w:next w:val="GridTable5Dark-Accent53"/>
    <w:uiPriority w:val="50"/>
    <w:rsid w:val="00C12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0">
    <w:name w:val="List Table 6 Colorful - Accent 33"/>
    <w:basedOn w:val="TableNormal"/>
    <w:next w:val="List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0">
    <w:name w:val="Grid Table 1 Light - Accent 13"/>
    <w:basedOn w:val="TableNormal"/>
    <w:next w:val="GridTable1Light-Accent13"/>
    <w:uiPriority w:val="46"/>
    <w:rsid w:val="00C128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0">
    <w:name w:val="List Table 1 Light - Accent 13"/>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0">
    <w:name w:val="List Table 2 - Accent 13"/>
    <w:basedOn w:val="TableNormal"/>
    <w:next w:val="ListTable2-Accent13"/>
    <w:uiPriority w:val="47"/>
    <w:rsid w:val="00C1281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0">
    <w:name w:val="List Table 2 - Accent 53"/>
    <w:basedOn w:val="TableNormal"/>
    <w:next w:val="ListTable2-Accent53"/>
    <w:uiPriority w:val="47"/>
    <w:rsid w:val="00C1281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0">
    <w:name w:val="Grid Table 2 - Accent 53"/>
    <w:basedOn w:val="TableNormal"/>
    <w:next w:val="GridTable2-Accent53"/>
    <w:uiPriority w:val="47"/>
    <w:rsid w:val="00C1281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rsid w:val="00C1281D"/>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
    <w:name w:val="No List5"/>
    <w:next w:val="NoList"/>
    <w:uiPriority w:val="99"/>
    <w:semiHidden/>
    <w:unhideWhenUsed/>
    <w:rsid w:val="00C1281D"/>
  </w:style>
  <w:style w:type="numbering" w:customStyle="1" w:styleId="NoList13">
    <w:name w:val="No List13"/>
    <w:next w:val="NoList"/>
    <w:uiPriority w:val="99"/>
    <w:semiHidden/>
    <w:unhideWhenUsed/>
    <w:rsid w:val="00C1281D"/>
  </w:style>
  <w:style w:type="table" w:customStyle="1" w:styleId="TableGrid5">
    <w:name w:val="Table Grid5"/>
    <w:basedOn w:val="TableNormal"/>
    <w:next w:val="TableGrid"/>
    <w:uiPriority w:val="5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3">
    <w:name w:val="Financial Table3"/>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2">
    <w:name w:val="Light Shading12"/>
    <w:basedOn w:val="TableNormal"/>
    <w:next w:val="LightShading"/>
    <w:uiPriority w:val="60"/>
    <w:rsid w:val="00C1281D"/>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6">
    <w:name w:val="Grid Table 6 Colorful - Accent 516"/>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7">
    <w:name w:val="Light Shading - Accent 127"/>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3">
    <w:name w:val="Grid Table 6 Colorful - Accent 5113"/>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3">
    <w:name w:val="Light Shading - Accent 121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2">
    <w:name w:val="Grid Table 6 Colorful - Accent 112"/>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3">
    <w:name w:val="Light Shading - Accent 1223"/>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3">
    <w:name w:val="Grid Table 6 Colorful - Accent 523"/>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6">
    <w:name w:val="tabele 36"/>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4">
    <w:name w:val="Light Shading - Accent 1114"/>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7">
    <w:name w:val="Light Shading - Accent 37"/>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7">
    <w:name w:val="Light List - Accent 57"/>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6">
    <w:name w:val="Light Shading - Accent 316"/>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7">
    <w:name w:val="Light List - Accent 317"/>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3">
    <w:name w:val="Table Grid13"/>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6">
    <w:name w:val="Light List - Accent 516"/>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3">
    <w:name w:val="Medium List 1 - Accent 513"/>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4">
    <w:name w:val="Medium List 1 - Accent 54"/>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3">
    <w:name w:val="No List113"/>
    <w:next w:val="NoList"/>
    <w:uiPriority w:val="99"/>
    <w:semiHidden/>
    <w:unhideWhenUsed/>
    <w:rsid w:val="00C1281D"/>
  </w:style>
  <w:style w:type="table" w:customStyle="1" w:styleId="LightGrid-Accent517">
    <w:name w:val="Light Grid - Accent 517"/>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
    <w:name w:val="Светло сенчење – наглашавање 116"/>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8">
    <w:name w:val="Light Grid - Accent 58"/>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3">
    <w:name w:val="tabele za ifs3"/>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3">
    <w:name w:val="tabele za ifs 13"/>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3">
    <w:name w:val="Colorful List - Accent 13"/>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3">
    <w:name w:val="No List23"/>
    <w:next w:val="NoList"/>
    <w:uiPriority w:val="99"/>
    <w:semiHidden/>
    <w:unhideWhenUsed/>
    <w:rsid w:val="00C1281D"/>
  </w:style>
  <w:style w:type="table" w:customStyle="1" w:styleId="LightList-Accent326">
    <w:name w:val="Light List - Accent 326"/>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6">
    <w:name w:val="Light List - Accent 3116"/>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0">
    <w:name w:val="Light Shading - Accent 1320"/>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3">
    <w:name w:val="Light Shading - Accent 131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6">
    <w:name w:val="Light Shading - Accent 1326"/>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3">
    <w:name w:val="tabele 31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5">
    <w:name w:val="Light Shading - Accent 1115"/>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3">
    <w:name w:val="Light Shading - Accent 3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3">
    <w:name w:val="Light List - Accent 52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
    <w:name w:val="Light Shading - Accent 311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3">
    <w:name w:val="Light List - Accent 312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3">
    <w:name w:val="Light List - Accent 511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4">
    <w:name w:val="Light Grid - Accent 511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3">
    <w:name w:val="Светло сенчење – наглашавање 111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4">
    <w:name w:val="Light Grid - Accent 52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3">
    <w:name w:val="Light List - Accent 321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3">
    <w:name w:val="Light List - Accent 3111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3">
    <w:name w:val="Light Shading - Accent 13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4">
    <w:name w:val="Light Shading - Accent 1311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3">
    <w:name w:val="Light Shading - Accent 132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
    <w:name w:val="Light Shading - Accent 112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3">
    <w:name w:val="Light Shading - Accent 134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3">
    <w:name w:val="Light Shading - Accent 113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3">
    <w:name w:val="Light Shading - Accent 135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4">
    <w:name w:val="Light Shading - Accent 136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3">
    <w:name w:val="Light Shading - Accent 137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3">
    <w:name w:val="tabele 32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3">
    <w:name w:val="Light Shading - Accent 114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6">
    <w:name w:val="Light Shading - Accent 336"/>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3">
    <w:name w:val="Light List - Accent 53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3">
    <w:name w:val="Light Shading - Accent 312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3">
    <w:name w:val="Light List - Accent 313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3">
    <w:name w:val="Light List - Accent 512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4">
    <w:name w:val="Light Grid - Accent 512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
    <w:name w:val="Светло сенчење – наглашавање 112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4">
    <w:name w:val="Light Grid - Accent 53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3">
    <w:name w:val="Light List - Accent 322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3">
    <w:name w:val="Light List - Accent 3112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4">
    <w:name w:val="Light Shading - Accent 138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3">
    <w:name w:val="Light Shading - Accent 1312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3">
    <w:name w:val="Light Shading - Accent 1322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3">
    <w:name w:val="Light Shading - Accent 115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4">
    <w:name w:val="Light Shading - Accent 139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4">
    <w:name w:val="Light Shading - Accent 1164"/>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4">
    <w:name w:val="Light Shading - Accent 1310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3">
    <w:name w:val="Light Shading - Accent 131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3">
    <w:name w:val="tabele 33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3">
    <w:name w:val="Light Shading - Accent 117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5">
    <w:name w:val="Light Shading - Accent 345"/>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3">
    <w:name w:val="Light List - Accent 54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3">
    <w:name w:val="Light Shading - Accent 313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3">
    <w:name w:val="Light List - Accent 314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3">
    <w:name w:val="Light List - Accent 513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4">
    <w:name w:val="Light Grid - Accent 513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3">
    <w:name w:val="Светло сенчење – наглашавање 113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4">
    <w:name w:val="Light Grid - Accent 54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3">
    <w:name w:val="Light Shading - Accent 1233"/>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3">
    <w:name w:val="Light List - Accent 323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3">
    <w:name w:val="Light List - Accent 3113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3">
    <w:name w:val="Light Shading - Accent 1314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3">
    <w:name w:val="Light Shading - Accent 1315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3">
    <w:name w:val="Light Shading - Accent 132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3">
    <w:name w:val="Light Shading - Accent 1316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3">
    <w:name w:val="Light Shading - Accent 138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3">
    <w:name w:val="Light Shading - Accent 118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3">
    <w:name w:val="Light Shading - Accent 139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3">
    <w:name w:val="Light Shading - Accent 1161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3">
    <w:name w:val="Light Shading - Accent 1310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3">
    <w:name w:val="Light Shading - Accent 136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3">
    <w:name w:val="Light Shading - Accent 119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2">
    <w:name w:val="Light Shading - Accent 142"/>
    <w:basedOn w:val="TableNormal"/>
    <w:next w:val="LightShading-Accent1"/>
    <w:uiPriority w:val="60"/>
    <w:rsid w:val="00C1281D"/>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3">
    <w:name w:val="Light Shading - Accent 331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3">
    <w:name w:val="Light Shading - Accent 33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3">
    <w:name w:val="Light Shading - Accent 333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3">
    <w:name w:val="Light Shading - Accent 341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3">
    <w:name w:val="Light Shading - Accent 34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3">
    <w:name w:val="Light Grid - Accent 514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3">
    <w:name w:val="Light Grid - Accent 55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3">
    <w:name w:val="Light Grid - Accent 511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3">
    <w:name w:val="Light Grid - Accent 52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3">
    <w:name w:val="Light Grid - Accent 512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3">
    <w:name w:val="Light Grid - Accent 53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3">
    <w:name w:val="Light Grid - Accent 513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3">
    <w:name w:val="Light Grid - Accent 54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3">
    <w:name w:val="Light Shading - Accent 613"/>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3">
    <w:name w:val="Grid Table 6 Colorful - Accent 413"/>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2">
    <w:name w:val="Light Shading - Accent 6112"/>
    <w:basedOn w:val="TableNormal"/>
    <w:next w:val="LightShading-Accent6"/>
    <w:uiPriority w:val="60"/>
    <w:rsid w:val="00C1281D"/>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3">
    <w:name w:val="Grid Table 6 Colorful - Accent 313"/>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2">
    <w:name w:val="Grid Table 4 - Accent 512"/>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2">
    <w:name w:val="Grid Table 5 Dark - Accent 512"/>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3">
    <w:name w:val="ФС3"/>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12">
    <w:name w:val="List Table 6 Colorful - Accent 312"/>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2">
    <w:name w:val="Grid Table 1 Light - Accent 112"/>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2">
    <w:name w:val="List Table 1 Light - Accent 112"/>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2">
    <w:name w:val="List Table 2 - Accent 112"/>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2">
    <w:name w:val="List Table 2 - Accent 512"/>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2">
    <w:name w:val="Grid Table 2 - Accent 512"/>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3">
    <w:name w:val="Table Grid23"/>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3">
    <w:name w:val="Light Shading - Accent 124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2">
    <w:name w:val="Grid Table 6 Colorful - Accent 512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2">
    <w:name w:val="Grid Table 6 Colorful - Accent 5132"/>
    <w:basedOn w:val="TableNormal"/>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2">
    <w:name w:val="No List32"/>
    <w:next w:val="NoList"/>
    <w:uiPriority w:val="99"/>
    <w:semiHidden/>
    <w:unhideWhenUsed/>
    <w:rsid w:val="00C1281D"/>
  </w:style>
  <w:style w:type="table" w:customStyle="1" w:styleId="TableGrid32">
    <w:name w:val="Table Grid32"/>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2">
    <w:name w:val="Financial Table12"/>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2">
    <w:name w:val="Grid Table 6 Colorful - Accent 532"/>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3">
    <w:name w:val="Light Shading - Accent 125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2">
    <w:name w:val="Grid Table 6 Colorful - Accent 514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2">
    <w:name w:val="Light Shading - Accent 121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2">
    <w:name w:val="Grid Table 6 Colorful - Accent 5111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2">
    <w:name w:val="Grid Table 6 Colorful - Accent 122"/>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2">
    <w:name w:val="Light Shading - Accent 122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2">
    <w:name w:val="Grid Table 6 Colorful - Accent 521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2">
    <w:name w:val="tabele 34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2">
    <w:name w:val="Light Shading - Accent 1110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2">
    <w:name w:val="Light Shading - Accent 35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2">
    <w:name w:val="Light List - Accent 55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2">
    <w:name w:val="Light Shading - Accent 314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2">
    <w:name w:val="Light List - Accent 315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2">
    <w:name w:val="Table Grid112"/>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2">
    <w:name w:val="Light List - Accent 514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2">
    <w:name w:val="Medium List 1 - Accent 5112"/>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2">
    <w:name w:val="Medium List 1 - Accent 522"/>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2">
    <w:name w:val="No List1112"/>
    <w:next w:val="NoList"/>
    <w:uiPriority w:val="99"/>
    <w:semiHidden/>
    <w:unhideWhenUsed/>
    <w:rsid w:val="00C1281D"/>
  </w:style>
  <w:style w:type="table" w:customStyle="1" w:styleId="LightGrid-Accent5152">
    <w:name w:val="Light Grid - Accent 515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
    <w:name w:val="Светло сенчење – наглашавање 114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2">
    <w:name w:val="Light Grid - Accent 56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20">
    <w:name w:val="tabele za ifs12"/>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12">
    <w:name w:val="tabele za ifs 112"/>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2">
    <w:name w:val="Colorful List - Accent 112"/>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2">
    <w:name w:val="No List212"/>
    <w:next w:val="NoList"/>
    <w:uiPriority w:val="99"/>
    <w:semiHidden/>
    <w:unhideWhenUsed/>
    <w:rsid w:val="00C1281D"/>
  </w:style>
  <w:style w:type="table" w:customStyle="1" w:styleId="LightList-Accent3242">
    <w:name w:val="Light List - Accent 324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2">
    <w:name w:val="Light List - Accent 3114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2">
    <w:name w:val="Light Shading - Accent 1317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2">
    <w:name w:val="Light Shading - Accent 1318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2">
    <w:name w:val="Light Shading - Accent 132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2">
    <w:name w:val="tabele 31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2">
    <w:name w:val="Light Shading - Accent 11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2">
    <w:name w:val="Light Shading - Accent 3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2">
    <w:name w:val="Light List - Accent 52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2">
    <w:name w:val="Light Shading - Accent 311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2">
    <w:name w:val="Light List - Accent 312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2">
    <w:name w:val="Light List - Accent 511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2">
    <w:name w:val="Light Grid - Accent 511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2">
    <w:name w:val="Светло сенчење – наглашавање 111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2">
    <w:name w:val="Light Grid - Accent 52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2">
    <w:name w:val="Light List - Accent 321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2">
    <w:name w:val="Light List - Accent 3111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2">
    <w:name w:val="Light Shading - Accent 13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2">
    <w:name w:val="Light Shading - Accent 131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2">
    <w:name w:val="Light Shading - Accent 132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
    <w:name w:val="Light Shading - Accent 112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2">
    <w:name w:val="Light Shading - Accent 134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2">
    <w:name w:val="Light Shading - Accent 113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2">
    <w:name w:val="Light Shading - Accent 135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2">
    <w:name w:val="Light Shading - Accent 136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2">
    <w:name w:val="Light Shading - Accent 137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2">
    <w:name w:val="tabele 32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2">
    <w:name w:val="Light Shading - Accent 114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2">
    <w:name w:val="Light Shading - Accent 3342"/>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2">
    <w:name w:val="Light List - Accent 53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2">
    <w:name w:val="Light Shading - Accent 312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2">
    <w:name w:val="Light List - Accent 313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2">
    <w:name w:val="Light List - Accent 512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2">
    <w:name w:val="Light Grid - Accent 512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
    <w:name w:val="Светло сенчење – наглашавање 112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2">
    <w:name w:val="Light Grid - Accent 53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2">
    <w:name w:val="Light List - Accent 322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2">
    <w:name w:val="Light List - Accent 3112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2">
    <w:name w:val="Light Shading - Accent 138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2">
    <w:name w:val="Light Shading - Accent 131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2">
    <w:name w:val="Light Shading - Accent 132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2">
    <w:name w:val="Light Shading - Accent 115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2">
    <w:name w:val="Light Shading - Accent 139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2">
    <w:name w:val="Light Shading - Accent 1162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2">
    <w:name w:val="Light Shading - Accent 1310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2">
    <w:name w:val="Light Shading - Accent 131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2">
    <w:name w:val="tabele 33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2">
    <w:name w:val="Light Shading - Accent 117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2">
    <w:name w:val="Light Shading - Accent 343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2">
    <w:name w:val="Light List - Accent 54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2">
    <w:name w:val="Light Shading - Accent 313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2">
    <w:name w:val="Light List - Accent 314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2">
    <w:name w:val="Light List - Accent 513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2">
    <w:name w:val="Light Grid - Accent 513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2">
    <w:name w:val="Светло сенчење – наглашавање 113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2">
    <w:name w:val="Light Grid - Accent 54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2">
    <w:name w:val="Light Shading - Accent 123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2">
    <w:name w:val="Light List - Accent 323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2">
    <w:name w:val="Light List - Accent 3113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2">
    <w:name w:val="Light Shading - Accent 1314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2">
    <w:name w:val="Light Shading - Accent 1315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2">
    <w:name w:val="Light Shading - Accent 132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2">
    <w:name w:val="Light Shading - Accent 1316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2">
    <w:name w:val="Light Shading - Accent 138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2">
    <w:name w:val="Light Shading - Accent 118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2">
    <w:name w:val="Light Shading - Accent 139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2">
    <w:name w:val="Light Shading - Accent 116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2">
    <w:name w:val="Light Shading - Accent 1310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2">
    <w:name w:val="Light Shading - Accent 136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2">
    <w:name w:val="Light Shading - Accent 119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2">
    <w:name w:val="Light Shading - Accent 331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2">
    <w:name w:val="Light Shading - Accent 33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2">
    <w:name w:val="Light Shading - Accent 333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2">
    <w:name w:val="Light Shading - Accent 341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2">
    <w:name w:val="Light Shading - Accent 34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2">
    <w:name w:val="Light Grid - Accent 514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2">
    <w:name w:val="Light Grid - Accent 55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2">
    <w:name w:val="Light Grid - Accent 511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2">
    <w:name w:val="Light Grid - Accent 52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2">
    <w:name w:val="Light Grid - Accent 512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2">
    <w:name w:val="Light Grid - Accent 53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2">
    <w:name w:val="Light Grid - Accent 513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2">
    <w:name w:val="Light Grid - Accent 54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2">
    <w:name w:val="Light Shading - Accent 622"/>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2">
    <w:name w:val="Grid Table 6 Colorful - Accent 422"/>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2">
    <w:name w:val="Grid Table 6 Colorful - Accent 322"/>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2">
    <w:name w:val="Grid Table 4 - Accent 522"/>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2">
    <w:name w:val="Grid Table 5 Dark - Accent 522"/>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2">
    <w:name w:val="ФС12"/>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22">
    <w:name w:val="List Table 6 Colorful - Accent 322"/>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2">
    <w:name w:val="Grid Table 1 Light - Accent 122"/>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2">
    <w:name w:val="List Table 1 Light - Accent 122"/>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2">
    <w:name w:val="List Table 2 - Accent 122"/>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2">
    <w:name w:val="List Table 2 - Accent 522"/>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2">
    <w:name w:val="Grid Table 2 - Accent 522"/>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2">
    <w:name w:val="Grid Table 6 Colorful - Accent 4112"/>
    <w:basedOn w:val="TableNormal"/>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2">
    <w:name w:val="Grid Table 6 Colorful - Accent 3112"/>
    <w:basedOn w:val="TableNormal"/>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2">
    <w:name w:val="Table Grid212"/>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2">
    <w:name w:val="Light Shading - Accent 124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2">
    <w:name w:val="Light Shading - Accent 125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3">
    <w:name w:val="Light Shading3"/>
    <w:basedOn w:val="TableNormal"/>
    <w:next w:val="LightShading"/>
    <w:uiPriority w:val="60"/>
    <w:semiHidden/>
    <w:unhideWhenUsed/>
    <w:rsid w:val="00C12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5">
    <w:name w:val="Grid Table 6 Colorful - Accent 55"/>
    <w:basedOn w:val="TableNormal"/>
    <w:next w:val="GridTable6Colorful-Accent54"/>
    <w:uiPriority w:val="51"/>
    <w:rsid w:val="00C1281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4">
    <w:name w:val="Grid Table 6 Colorful - Accent 14"/>
    <w:basedOn w:val="TableNormal"/>
    <w:next w:val="GridTable6Colorful-Accent13"/>
    <w:uiPriority w:val="51"/>
    <w:rsid w:val="00C1281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6">
    <w:name w:val="Light Shading - Accent 16"/>
    <w:basedOn w:val="TableNormal"/>
    <w:next w:val="LightShading-Accent1"/>
    <w:uiPriority w:val="60"/>
    <w:semiHidden/>
    <w:unhideWhenUsed/>
    <w:rsid w:val="00C1281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4">
    <w:name w:val="Light Shading - Accent 64"/>
    <w:basedOn w:val="TableNormal"/>
    <w:next w:val="LightShading-Accent6"/>
    <w:uiPriority w:val="60"/>
    <w:semiHidden/>
    <w:unhideWhenUsed/>
    <w:rsid w:val="00C1281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4">
    <w:name w:val="Grid Table 6 Colorful - Accent 44"/>
    <w:basedOn w:val="TableNormal"/>
    <w:next w:val="GridTable6Colorful-Accent43"/>
    <w:uiPriority w:val="51"/>
    <w:rsid w:val="00C1281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4">
    <w:name w:val="Grid Table 6 Colorful - Accent 34"/>
    <w:basedOn w:val="TableNormal"/>
    <w:next w:val="Grid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4">
    <w:name w:val="Grid Table 4 - Accent 54"/>
    <w:basedOn w:val="TableNormal"/>
    <w:next w:val="GridTable4-Accent53"/>
    <w:uiPriority w:val="49"/>
    <w:rsid w:val="00C128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4">
    <w:name w:val="Grid Table 5 Dark - Accent 54"/>
    <w:basedOn w:val="TableNormal"/>
    <w:next w:val="GridTable5Dark-Accent53"/>
    <w:uiPriority w:val="50"/>
    <w:rsid w:val="00C12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4">
    <w:name w:val="List Table 6 Colorful - Accent 34"/>
    <w:basedOn w:val="TableNormal"/>
    <w:next w:val="List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4">
    <w:name w:val="Grid Table 1 Light - Accent 14"/>
    <w:basedOn w:val="TableNormal"/>
    <w:next w:val="GridTable1Light-Accent13"/>
    <w:uiPriority w:val="46"/>
    <w:rsid w:val="00C128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4">
    <w:name w:val="List Table 1 Light - Accent 14"/>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4">
    <w:name w:val="List Table 2 - Accent 14"/>
    <w:basedOn w:val="TableNormal"/>
    <w:next w:val="ListTable2-Accent13"/>
    <w:uiPriority w:val="47"/>
    <w:rsid w:val="00C1281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4">
    <w:name w:val="List Table 2 - Accent 54"/>
    <w:basedOn w:val="TableNormal"/>
    <w:next w:val="ListTable2-Accent53"/>
    <w:uiPriority w:val="47"/>
    <w:rsid w:val="00C1281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4">
    <w:name w:val="Grid Table 2 - Accent 54"/>
    <w:basedOn w:val="TableNormal"/>
    <w:next w:val="GridTable2-Accent53"/>
    <w:uiPriority w:val="47"/>
    <w:rsid w:val="00C1281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Shading-Accent337">
    <w:name w:val="Light Shading - Accent 337"/>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8">
    <w:name w:val="Light Shading - Accent 338"/>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Normal1">
    <w:name w:val="Normal1"/>
    <w:rsid w:val="00913C14"/>
    <w:pPr>
      <w:pBdr>
        <w:top w:val="nil"/>
        <w:left w:val="nil"/>
        <w:bottom w:val="nil"/>
        <w:right w:val="nil"/>
        <w:between w:val="nil"/>
      </w:pBdr>
    </w:pPr>
    <w:rPr>
      <w:rFonts w:ascii="Calibri" w:eastAsia="Calibri" w:hAnsi="Calibri" w:cs="Calibri"/>
      <w:color w:val="000000"/>
    </w:rPr>
  </w:style>
  <w:style w:type="table" w:customStyle="1" w:styleId="ListTable6Colorful-Accent61">
    <w:name w:val="List Table 6 Colorful - Accent 61"/>
    <w:basedOn w:val="TableNormal"/>
    <w:uiPriority w:val="51"/>
    <w:rsid w:val="008D3366"/>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GlavnitekstGI">
    <w:name w:val="Glavni tekstGI"/>
    <w:basedOn w:val="Normal"/>
    <w:rsid w:val="00A20FB9"/>
    <w:pPr>
      <w:spacing w:before="40" w:after="40" w:line="300" w:lineRule="exact"/>
      <w:ind w:firstLine="357"/>
    </w:pPr>
    <w:rPr>
      <w:rFonts w:cs="Times New Roman"/>
    </w:rPr>
  </w:style>
  <w:style w:type="table" w:customStyle="1" w:styleId="TableGrid6">
    <w:name w:val="Table Grid6"/>
    <w:basedOn w:val="TableNormal"/>
    <w:next w:val="TableGrid"/>
    <w:uiPriority w:val="5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Char Char Char Char1,Footnote Text Char Char Char Char1,Footnote Text Char Char Char2,single space Char1,ft Char1,ft Char Char Char Char1,ft Char Char Char2,Fußnote Char1, Char Char Char Char1,footnote text Char1,FOOTNOTES Char1"/>
    <w:basedOn w:val="DefaultParagraphFont"/>
    <w:uiPriority w:val="99"/>
    <w:locked/>
    <w:rsid w:val="00E84619"/>
    <w:rPr>
      <w:rFonts w:cs="Times New Roman"/>
      <w:sz w:val="20"/>
      <w:szCs w:val="20"/>
    </w:rPr>
  </w:style>
  <w:style w:type="paragraph" w:customStyle="1" w:styleId="Glavnitekst">
    <w:name w:val="Glavni tekst"/>
    <w:basedOn w:val="BodyTextIndent"/>
    <w:rsid w:val="00E84619"/>
    <w:pPr>
      <w:spacing w:after="240" w:line="240" w:lineRule="exact"/>
      <w:ind w:firstLine="0"/>
      <w:jc w:val="both"/>
    </w:pPr>
    <w:rPr>
      <w:rFonts w:ascii="Times New Roman" w:eastAsia="Times New Roman" w:hAnsi="Times New Roman"/>
      <w:bCs w:val="0"/>
      <w:color w:val="auto"/>
      <w:sz w:val="20"/>
      <w:szCs w:val="20"/>
      <w:lang w:val="sr-Latn-CS"/>
    </w:rPr>
  </w:style>
  <w:style w:type="paragraph" w:customStyle="1" w:styleId="EFP2012tekst">
    <w:name w:val="EFP 2012 tekst"/>
    <w:basedOn w:val="Normal"/>
    <w:uiPriority w:val="99"/>
    <w:rsid w:val="00E84619"/>
    <w:pPr>
      <w:ind w:firstLine="709"/>
    </w:pPr>
    <w:rPr>
      <w:rFonts w:ascii="Cambria" w:eastAsia="Constantia" w:hAnsi="Cambria" w:cs="Times New Roman"/>
      <w:color w:val="262626"/>
      <w:sz w:val="21"/>
      <w:lang w:val="sr-Cyrl-CS"/>
    </w:rPr>
  </w:style>
  <w:style w:type="paragraph" w:customStyle="1" w:styleId="EFPNaslov2">
    <w:name w:val="EFP Naslov 2"/>
    <w:basedOn w:val="Normal"/>
    <w:link w:val="EFPNaslov2Char"/>
    <w:rsid w:val="00E84619"/>
    <w:pPr>
      <w:keepNext/>
      <w:keepLines/>
      <w:numPr>
        <w:ilvl w:val="1"/>
        <w:numId w:val="8"/>
      </w:numPr>
      <w:spacing w:before="200" w:after="0"/>
      <w:outlineLvl w:val="1"/>
    </w:pPr>
    <w:rPr>
      <w:rFonts w:ascii="Constantia" w:eastAsia="Times New Roman" w:hAnsi="Constantia" w:cs="Times New Roman"/>
      <w:b/>
      <w:bCs/>
      <w:color w:val="76923C"/>
      <w:sz w:val="21"/>
      <w:szCs w:val="26"/>
      <w:lang w:val="sr-Cyrl-CS"/>
    </w:rPr>
  </w:style>
  <w:style w:type="character" w:customStyle="1" w:styleId="EFPNaslov2Char">
    <w:name w:val="EFP Naslov 2 Char"/>
    <w:link w:val="EFPNaslov2"/>
    <w:rsid w:val="00E84619"/>
    <w:rPr>
      <w:rFonts w:ascii="Constantia" w:eastAsia="Times New Roman" w:hAnsi="Constantia" w:cs="Times New Roman"/>
      <w:b/>
      <w:bCs/>
      <w:color w:val="76923C"/>
      <w:sz w:val="21"/>
      <w:szCs w:val="26"/>
      <w:lang w:val="sr-Cyrl-CS"/>
    </w:rPr>
  </w:style>
  <w:style w:type="table" w:customStyle="1" w:styleId="tabele37">
    <w:name w:val="tabele 37"/>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6">
    <w:name w:val="Light Shading - Accent 1116"/>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7">
    <w:name w:val="Light Shading - Accent 317"/>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8">
    <w:name w:val="Light List - Accent 318"/>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4">
    <w:name w:val="Table Grid14"/>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7">
    <w:name w:val="Light List - Accent 517"/>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4">
    <w:name w:val="Medium List 1 - Accent 514"/>
    <w:basedOn w:val="TableNormal"/>
    <w:next w:val="MediumList1-Accent5"/>
    <w:uiPriority w:val="65"/>
    <w:rsid w:val="00E84619"/>
    <w:pPr>
      <w:spacing w:after="0" w:line="240" w:lineRule="auto"/>
    </w:pPr>
    <w:rPr>
      <w:rFonts w:ascii="Constantia" w:eastAsia="Constantia" w:hAnsi="Constantia" w:cs="Times New Roman"/>
      <w:color w:val="000000"/>
      <w:sz w:val="20"/>
      <w:szCs w:val="20"/>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5">
    <w:name w:val="Medium List 1 - Accent 55"/>
    <w:basedOn w:val="TableNormal"/>
    <w:next w:val="MediumList1-Accent5"/>
    <w:uiPriority w:val="65"/>
    <w:rsid w:val="00E8461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onstantia" w:eastAsia="Times New Roman" w:hAnsi="Constant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8">
    <w:name w:val="Light Grid - Accent 518"/>
    <w:basedOn w:val="TableNormal"/>
    <w:next w:val="LightGrid-Accent5"/>
    <w:uiPriority w:val="62"/>
    <w:rsid w:val="00E84619"/>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
    <w:name w:val="Светло сенчење – наглашавање 117"/>
    <w:basedOn w:val="TableNormal"/>
    <w:uiPriority w:val="60"/>
    <w:rsid w:val="00E84619"/>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9">
    <w:name w:val="Light Grid - Accent 59"/>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8">
    <w:name w:val="Light Shading - Accent 128"/>
    <w:basedOn w:val="TableNormal"/>
    <w:uiPriority w:val="60"/>
    <w:rsid w:val="00E84619"/>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7">
    <w:name w:val="Light List - Accent 3117"/>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4">
    <w:name w:val="Light List - Accent 3111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24">
    <w:name w:val="Table Grid24"/>
    <w:basedOn w:val="TableNormal"/>
    <w:next w:val="TableGrid"/>
    <w:uiPriority w:val="39"/>
    <w:rsid w:val="00E84619"/>
    <w:pPr>
      <w:spacing w:after="0" w:line="240" w:lineRule="auto"/>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14">
    <w:name w:val="tabele 31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7">
    <w:name w:val="Light Shading - Accent 1117"/>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4">
    <w:name w:val="Light Shading - Accent 324"/>
    <w:basedOn w:val="TableNormal"/>
    <w:next w:val="LightShading-Accent3"/>
    <w:uiPriority w:val="60"/>
    <w:rsid w:val="00E84619"/>
    <w:pPr>
      <w:spacing w:after="0" w:line="240" w:lineRule="auto"/>
    </w:pPr>
    <w:rPr>
      <w:rFonts w:ascii="Calibri" w:eastAsia="Calibri" w:hAnsi="Calibri" w:cs="Times New Roman"/>
      <w:color w:val="618889"/>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524">
    <w:name w:val="Light List - Accent 524"/>
    <w:basedOn w:val="TableNormal"/>
    <w:next w:val="LightList-Accent5"/>
    <w:uiPriority w:val="61"/>
    <w:rsid w:val="00E84619"/>
    <w:pPr>
      <w:spacing w:after="0" w:line="240" w:lineRule="auto"/>
    </w:pPr>
    <w:rPr>
      <w:rFonts w:ascii="Calibri" w:eastAsia="Calibri" w:hAnsi="Calibri"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Shading-Accent3114">
    <w:name w:val="Light Shading - Accent 311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4">
    <w:name w:val="Light List - Accent 312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4">
    <w:name w:val="Light List - Accent 511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5">
    <w:name w:val="Light Grid - Accent 5115"/>
    <w:basedOn w:val="TableNormal"/>
    <w:next w:val="LightGrid-Accent5"/>
    <w:uiPriority w:val="62"/>
    <w:rsid w:val="00E84619"/>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4">
    <w:name w:val="Светло сенчење – наглашавање 1114"/>
    <w:basedOn w:val="TableNormal"/>
    <w:uiPriority w:val="60"/>
    <w:rsid w:val="00E84619"/>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5">
    <w:name w:val="Light Grid - Accent 52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4">
    <w:name w:val="Light Shading - Accent 1214"/>
    <w:basedOn w:val="TableNormal"/>
    <w:uiPriority w:val="60"/>
    <w:rsid w:val="00E84619"/>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24">
    <w:name w:val="Light List - Accent 3112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24">
    <w:name w:val="Light Shading - Accent 112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4">
    <w:name w:val="Light Shading - Accent 113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4">
    <w:name w:val="tabele 32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4">
    <w:name w:val="Light Shading - Accent 114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9">
    <w:name w:val="Light Shading - Accent 339"/>
    <w:basedOn w:val="TableNormal"/>
    <w:next w:val="LightShading-Accent3"/>
    <w:uiPriority w:val="60"/>
    <w:rsid w:val="00E8461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4">
    <w:name w:val="Light Shading - Accent 312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4">
    <w:name w:val="Light List - Accent 313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4">
    <w:name w:val="Light List - Accent 512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5">
    <w:name w:val="Light Grid - Accent 5125"/>
    <w:basedOn w:val="TableNormal"/>
    <w:next w:val="LightGrid-Accent5"/>
    <w:uiPriority w:val="62"/>
    <w:rsid w:val="00E8461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5">
    <w:name w:val="Light Grid - Accent 53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154">
    <w:name w:val="Light Shading - Accent 115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5">
    <w:name w:val="Light Shading - Accent 1165"/>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4">
    <w:name w:val="tabele 33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4">
    <w:name w:val="Light Shading - Accent 117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4">
    <w:name w:val="Light Shading - Accent 313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4">
    <w:name w:val="Light List - Accent 314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4">
    <w:name w:val="Light List - Accent 513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5">
    <w:name w:val="Light Grid - Accent 5135"/>
    <w:basedOn w:val="TableNormal"/>
    <w:next w:val="LightGrid-Accent5"/>
    <w:uiPriority w:val="62"/>
    <w:rsid w:val="00E8461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5">
    <w:name w:val="Light Grid - Accent 54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1134">
    <w:name w:val="Light List - Accent 3113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84">
    <w:name w:val="Light Shading - Accent 118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4">
    <w:name w:val="Light Shading - Accent 1161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
    <w:name w:val="Light Shading - Accent 17"/>
    <w:basedOn w:val="TableNormal"/>
    <w:next w:val="LightShading-Accent1"/>
    <w:uiPriority w:val="60"/>
    <w:rsid w:val="00E84619"/>
    <w:pPr>
      <w:spacing w:after="0" w:line="240" w:lineRule="auto"/>
    </w:pPr>
    <w:rPr>
      <w:rFonts w:ascii="Constantia" w:eastAsia="Constantia" w:hAnsi="Constant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E84619"/>
  </w:style>
  <w:style w:type="table" w:customStyle="1" w:styleId="TableGrid33">
    <w:name w:val="Table Grid33"/>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7">
    <w:name w:val="Grid Table 6 Colorful - Accent 517"/>
    <w:basedOn w:val="TableNormal"/>
    <w:uiPriority w:val="51"/>
    <w:rsid w:val="00E84619"/>
    <w:pPr>
      <w:spacing w:after="0" w:line="240" w:lineRule="auto"/>
    </w:pPr>
    <w:rPr>
      <w:rFonts w:ascii="Constantia" w:eastAsia="Constantia" w:hAnsi="Constantia"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
    <w:name w:val="Grid Table 7 Colorful1"/>
    <w:basedOn w:val="TableNormal"/>
    <w:uiPriority w:val="52"/>
    <w:rsid w:val="00E84619"/>
    <w:pPr>
      <w:spacing w:after="0" w:line="240" w:lineRule="auto"/>
    </w:pPr>
    <w:rPr>
      <w:rFonts w:ascii="Constantia" w:eastAsia="Constantia" w:hAnsi="Constantia"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
    <w:name w:val="Plain Table 31"/>
    <w:basedOn w:val="TableNormal"/>
    <w:uiPriority w:val="43"/>
    <w:rsid w:val="00E84619"/>
    <w:pPr>
      <w:spacing w:after="0" w:line="240" w:lineRule="auto"/>
    </w:pPr>
    <w:rPr>
      <w:rFonts w:ascii="Constantia" w:eastAsia="Constantia" w:hAnsi="Constant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E84619"/>
    <w:pPr>
      <w:spacing w:after="0" w:line="240" w:lineRule="auto"/>
    </w:pPr>
    <w:rPr>
      <w:rFonts w:ascii="Constantia" w:eastAsia="Constantia" w:hAnsi="Constant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31">
    <w:name w:val="Grid Table 7 Colorful - Accent 31"/>
    <w:basedOn w:val="TableNormal"/>
    <w:uiPriority w:val="52"/>
    <w:rsid w:val="00E84619"/>
    <w:pPr>
      <w:spacing w:after="0" w:line="240" w:lineRule="auto"/>
    </w:pPr>
    <w:rPr>
      <w:rFonts w:ascii="Constantia" w:eastAsia="Constantia" w:hAnsi="Constantia"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1">
    <w:name w:val="Grid Table 21"/>
    <w:basedOn w:val="TableNormal"/>
    <w:uiPriority w:val="47"/>
    <w:rsid w:val="00E84619"/>
    <w:pPr>
      <w:spacing w:after="0" w:line="240" w:lineRule="auto"/>
    </w:pPr>
    <w:rPr>
      <w:rFonts w:ascii="Constantia" w:eastAsia="Constantia" w:hAnsi="Constantia"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qFormat/>
    <w:rsid w:val="00E84619"/>
    <w:pPr>
      <w:tabs>
        <w:tab w:val="decimal" w:pos="360"/>
      </w:tabs>
      <w:spacing w:after="200" w:line="276" w:lineRule="auto"/>
    </w:pPr>
    <w:rPr>
      <w:rFonts w:ascii="Calibri" w:eastAsia="Calibri" w:hAnsi="Calibri" w:cs="Times New Roman"/>
      <w:lang w:eastAsia="ja-JP"/>
    </w:rPr>
  </w:style>
  <w:style w:type="numbering" w:customStyle="1" w:styleId="NoList7">
    <w:name w:val="No List7"/>
    <w:next w:val="NoList"/>
    <w:uiPriority w:val="99"/>
    <w:semiHidden/>
    <w:unhideWhenUsed/>
    <w:rsid w:val="00E84619"/>
  </w:style>
  <w:style w:type="table" w:customStyle="1" w:styleId="LightShading-Accent353">
    <w:name w:val="Light Shading - Accent 353"/>
    <w:basedOn w:val="TableNormal"/>
    <w:next w:val="LightShading-Accent3"/>
    <w:uiPriority w:val="60"/>
    <w:rsid w:val="00E84619"/>
    <w:pPr>
      <w:spacing w:after="0" w:line="240" w:lineRule="auto"/>
    </w:pPr>
    <w:rPr>
      <w:rFonts w:ascii="Calibri" w:eastAsia="Calibri" w:hAnsi="Calibri" w:cs="Times New Roman"/>
      <w:color w:val="76923C"/>
      <w:lang w:val="sr-Latn-R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
    <w:name w:val="2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0">
    <w:name w:val="20"/>
    <w:basedOn w:val="TableNormal"/>
    <w:rsid w:val="00E84619"/>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9">
    <w:name w:val="19"/>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8">
    <w:name w:val="18"/>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7">
    <w:name w:val="17"/>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6">
    <w:name w:val="16"/>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5">
    <w:name w:val="15"/>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4">
    <w:name w:val="14"/>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3">
    <w:name w:val="13"/>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20">
    <w:name w:val="12"/>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8">
    <w:name w:val="1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0">
    <w:name w:val="10"/>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9">
    <w:name w:val="9"/>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8">
    <w:name w:val="8"/>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7">
    <w:name w:val="7"/>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6">
    <w:name w:val="6"/>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5">
    <w:name w:val="5"/>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4">
    <w:name w:val="4"/>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0">
    <w:name w:val="3"/>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2">
    <w:name w:val="2"/>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a">
    <w:name w:val="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paragraph" w:customStyle="1" w:styleId="Nabrajanjemera">
    <w:name w:val="Nabrajanje mera"/>
    <w:basedOn w:val="Normal"/>
    <w:qFormat/>
    <w:rsid w:val="00E84619"/>
    <w:pPr>
      <w:numPr>
        <w:numId w:val="9"/>
      </w:numPr>
      <w:spacing w:after="0"/>
      <w:ind w:left="1495"/>
    </w:pPr>
    <w:rPr>
      <w:b/>
      <w:smallCaps/>
      <w:szCs w:val="24"/>
      <w:lang w:val="sr-Cyrl-RS"/>
    </w:rPr>
  </w:style>
  <w:style w:type="character" w:customStyle="1" w:styleId="Nazivmere">
    <w:name w:val="Naziv mere"/>
    <w:basedOn w:val="DefaultParagraphFont"/>
    <w:uiPriority w:val="1"/>
    <w:rsid w:val="00E84619"/>
    <w:rPr>
      <w:rFonts w:asciiTheme="minorHAnsi" w:hAnsiTheme="minorHAnsi"/>
      <w:b w:val="0"/>
      <w:caps/>
      <w:smallCaps w:val="0"/>
      <w:sz w:val="22"/>
    </w:rPr>
  </w:style>
  <w:style w:type="character" w:customStyle="1" w:styleId="tekst">
    <w:name w:val="tekst"/>
    <w:basedOn w:val="DefaultParagraphFont"/>
    <w:uiPriority w:val="1"/>
    <w:rsid w:val="00E84619"/>
    <w:rPr>
      <w:rFonts w:asciiTheme="minorHAnsi" w:hAnsiTheme="minorHAnsi"/>
      <w:sz w:val="22"/>
    </w:rPr>
  </w:style>
  <w:style w:type="table" w:customStyle="1" w:styleId="TableGrid41">
    <w:name w:val="Table Grid41"/>
    <w:basedOn w:val="TableNormal"/>
    <w:next w:val="TableGrid"/>
    <w:uiPriority w:val="39"/>
    <w:rsid w:val="00E84619"/>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sz w:val="20"/>
      <w:szCs w:val="20"/>
      <w:lang w:val="sr-Latn-RS" w:eastAsia="sr-Latn-RS"/>
    </w:rPr>
  </w:style>
  <w:style w:type="paragraph" w:customStyle="1" w:styleId="xl67">
    <w:name w:val="xl67"/>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8">
    <w:name w:val="xl68"/>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9">
    <w:name w:val="xl69"/>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i/>
      <w:iCs/>
      <w:sz w:val="16"/>
      <w:szCs w:val="16"/>
      <w:lang w:val="sr-Latn-RS" w:eastAsia="sr-Latn-RS"/>
    </w:rPr>
  </w:style>
  <w:style w:type="paragraph" w:customStyle="1" w:styleId="xl70">
    <w:name w:val="xl70"/>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sz w:val="16"/>
      <w:szCs w:val="16"/>
      <w:lang w:val="sr-Latn-RS" w:eastAsia="sr-Latn-RS"/>
    </w:rPr>
  </w:style>
  <w:style w:type="paragraph" w:customStyle="1" w:styleId="xl71">
    <w:name w:val="xl71"/>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72">
    <w:name w:val="xl72"/>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3">
    <w:name w:val="xl73"/>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4">
    <w:name w:val="xl74"/>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75">
    <w:name w:val="xl7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6">
    <w:name w:val="xl76"/>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7">
    <w:name w:val="xl7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8">
    <w:name w:val="xl78"/>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9">
    <w:name w:val="xl79"/>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80">
    <w:name w:val="xl80"/>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 w:val="18"/>
      <w:szCs w:val="18"/>
      <w:lang w:val="sr-Latn-RS" w:eastAsia="sr-Latn-RS"/>
    </w:rPr>
  </w:style>
  <w:style w:type="paragraph" w:customStyle="1" w:styleId="xl81">
    <w:name w:val="xl81"/>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Cs w:val="24"/>
      <w:lang w:val="sr-Latn-RS" w:eastAsia="sr-Latn-RS"/>
    </w:rPr>
  </w:style>
  <w:style w:type="paragraph" w:customStyle="1" w:styleId="xl82">
    <w:name w:val="xl82"/>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sz w:val="18"/>
      <w:szCs w:val="18"/>
      <w:lang w:val="sr-Latn-RS" w:eastAsia="sr-Latn-RS"/>
    </w:rPr>
  </w:style>
  <w:style w:type="paragraph" w:customStyle="1" w:styleId="xl83">
    <w:name w:val="xl83"/>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eastAsia="Times New Roman" w:hAnsi="Calibri" w:cs="Times New Roman"/>
      <w:b/>
      <w:bCs/>
      <w:i/>
      <w:iCs/>
      <w:sz w:val="18"/>
      <w:szCs w:val="18"/>
      <w:lang w:val="sr-Latn-RS" w:eastAsia="sr-Latn-RS"/>
    </w:rPr>
  </w:style>
  <w:style w:type="paragraph" w:customStyle="1" w:styleId="xl84">
    <w:name w:val="xl84"/>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Cs w:val="24"/>
      <w:lang w:val="sr-Latn-RS" w:eastAsia="sr-Latn-RS"/>
    </w:rPr>
  </w:style>
  <w:style w:type="paragraph" w:customStyle="1" w:styleId="xl85">
    <w:name w:val="xl85"/>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 w:val="18"/>
      <w:szCs w:val="18"/>
      <w:lang w:val="sr-Latn-RS" w:eastAsia="sr-Latn-RS"/>
    </w:rPr>
  </w:style>
  <w:style w:type="paragraph" w:customStyle="1" w:styleId="xl86">
    <w:name w:val="xl86"/>
    <w:basedOn w:val="Normal"/>
    <w:rsid w:val="00E84619"/>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87">
    <w:name w:val="xl8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8">
    <w:name w:val="xl88"/>
    <w:basedOn w:val="Normal"/>
    <w:rsid w:val="00E84619"/>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9">
    <w:name w:val="xl89"/>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0">
    <w:name w:val="xl90"/>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1">
    <w:name w:val="xl91"/>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2">
    <w:name w:val="xl92"/>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3">
    <w:name w:val="xl93"/>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94">
    <w:name w:val="xl94"/>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5">
    <w:name w:val="xl9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6">
    <w:name w:val="xl96"/>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7">
    <w:name w:val="xl9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8">
    <w:name w:val="xl98"/>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character" w:customStyle="1" w:styleId="Bodytext0">
    <w:name w:val="Body text_"/>
    <w:basedOn w:val="DefaultParagraphFont"/>
    <w:link w:val="BodyText9"/>
    <w:locked/>
    <w:rsid w:val="00E84619"/>
    <w:rPr>
      <w:sz w:val="19"/>
      <w:szCs w:val="19"/>
      <w:shd w:val="clear" w:color="auto" w:fill="FFFFFF"/>
    </w:rPr>
  </w:style>
  <w:style w:type="paragraph" w:customStyle="1" w:styleId="BodyText9">
    <w:name w:val="Body Text9"/>
    <w:basedOn w:val="Normal"/>
    <w:link w:val="Bodytext0"/>
    <w:rsid w:val="00E84619"/>
    <w:pPr>
      <w:shd w:val="clear" w:color="auto" w:fill="FFFFFF"/>
      <w:spacing w:before="180" w:after="180" w:line="277" w:lineRule="exact"/>
      <w:ind w:hanging="340"/>
    </w:pPr>
    <w:rPr>
      <w:sz w:val="19"/>
      <w:szCs w:val="19"/>
    </w:rPr>
  </w:style>
  <w:style w:type="character" w:customStyle="1" w:styleId="BodytextBold">
    <w:name w:val="Body text + Bold"/>
    <w:basedOn w:val="Bodytext0"/>
    <w:rsid w:val="00E84619"/>
    <w:rPr>
      <w:b/>
      <w:bCs/>
      <w:sz w:val="19"/>
      <w:szCs w:val="19"/>
      <w:shd w:val="clear" w:color="auto" w:fill="FFFFFF"/>
    </w:rPr>
  </w:style>
  <w:style w:type="table" w:customStyle="1" w:styleId="TableGrid311">
    <w:name w:val="Table Grid311"/>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
    <w:name w:val="Grid Table 5 Dark - Accent 55"/>
    <w:basedOn w:val="TableNormal"/>
    <w:uiPriority w:val="50"/>
    <w:rsid w:val="002042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UnresolvedMention1">
    <w:name w:val="Unresolved Mention1"/>
    <w:basedOn w:val="DefaultParagraphFont"/>
    <w:uiPriority w:val="99"/>
    <w:semiHidden/>
    <w:unhideWhenUsed/>
    <w:rsid w:val="00204287"/>
    <w:rPr>
      <w:color w:val="605E5C"/>
      <w:shd w:val="clear" w:color="auto" w:fill="E1DFDD"/>
    </w:rPr>
  </w:style>
  <w:style w:type="table" w:customStyle="1" w:styleId="LightShading-Accent3351">
    <w:name w:val="Light Shading - Accent 3351"/>
    <w:basedOn w:val="TableNormal"/>
    <w:next w:val="LightShading-Accent3"/>
    <w:uiPriority w:val="60"/>
    <w:rsid w:val="00204287"/>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2">
    <w:name w:val="List Table 6 Colorful - Accent 62"/>
    <w:basedOn w:val="TableNormal"/>
    <w:uiPriority w:val="51"/>
    <w:rsid w:val="00204287"/>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yperlink2">
    <w:name w:val="Hyperlink2"/>
    <w:basedOn w:val="DefaultParagraphFont"/>
    <w:uiPriority w:val="99"/>
    <w:rsid w:val="00204287"/>
    <w:rPr>
      <w:color w:val="0563C1"/>
      <w:u w:val="single"/>
    </w:rPr>
  </w:style>
  <w:style w:type="character" w:customStyle="1" w:styleId="UnresolvedMention2">
    <w:name w:val="Unresolved Mention2"/>
    <w:basedOn w:val="DefaultParagraphFont"/>
    <w:uiPriority w:val="99"/>
    <w:semiHidden/>
    <w:unhideWhenUsed/>
    <w:rsid w:val="00204287"/>
    <w:rPr>
      <w:color w:val="605E5C"/>
      <w:shd w:val="clear" w:color="auto" w:fill="E1DFDD"/>
    </w:rPr>
  </w:style>
  <w:style w:type="character" w:customStyle="1" w:styleId="UnresolvedMention3">
    <w:name w:val="Unresolved Mention3"/>
    <w:basedOn w:val="DefaultParagraphFont"/>
    <w:uiPriority w:val="99"/>
    <w:semiHidden/>
    <w:unhideWhenUsed/>
    <w:rsid w:val="00204287"/>
    <w:rPr>
      <w:color w:val="605E5C"/>
      <w:shd w:val="clear" w:color="auto" w:fill="E1DFDD"/>
    </w:rPr>
  </w:style>
  <w:style w:type="table" w:customStyle="1" w:styleId="GridTable1Light-Accent15">
    <w:name w:val="Grid Table 1 Light - Accent 15"/>
    <w:basedOn w:val="TableNormal"/>
    <w:uiPriority w:val="46"/>
    <w:rsid w:val="0020428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7">
    <w:name w:val="Table Grid7"/>
    <w:basedOn w:val="TableNormal"/>
    <w:next w:val="TableGrid"/>
    <w:uiPriority w:val="59"/>
    <w:rsid w:val="00B7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F01A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
    <w:name w:val="Plain Table 41"/>
    <w:basedOn w:val="TableNormal"/>
    <w:uiPriority w:val="44"/>
    <w:rsid w:val="006572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usnoteIoI">
    <w:name w:val="Fusnote_IoI"/>
    <w:basedOn w:val="FootnoteText"/>
    <w:link w:val="FusnoteIoIChar"/>
    <w:uiPriority w:val="99"/>
    <w:rsid w:val="007C3538"/>
    <w:pPr>
      <w:keepLines/>
      <w:tabs>
        <w:tab w:val="left" w:pos="454"/>
        <w:tab w:val="left" w:pos="907"/>
        <w:tab w:val="left" w:pos="1361"/>
        <w:tab w:val="left" w:pos="1814"/>
        <w:tab w:val="right" w:pos="9072"/>
      </w:tabs>
      <w:spacing w:before="60" w:after="0"/>
      <w:ind w:firstLine="0"/>
    </w:pPr>
    <w:rPr>
      <w:rFonts w:ascii="Times New Roman" w:eastAsia="Calibri" w:hAnsi="Times New Roman" w:cs="Times New Roman"/>
      <w:bCs w:val="0"/>
      <w:noProof/>
      <w:color w:val="auto"/>
      <w:spacing w:val="-2"/>
      <w:sz w:val="14"/>
    </w:rPr>
  </w:style>
  <w:style w:type="character" w:customStyle="1" w:styleId="FusnoteIoIChar">
    <w:name w:val="Fusnote_IoI Char"/>
    <w:link w:val="FusnoteIoI"/>
    <w:uiPriority w:val="99"/>
    <w:locked/>
    <w:rsid w:val="007C3538"/>
    <w:rPr>
      <w:rFonts w:ascii="Times New Roman" w:eastAsia="Calibri" w:hAnsi="Times New Roman" w:cs="Times New Roman"/>
      <w:noProof/>
      <w:spacing w:val="-2"/>
      <w:sz w:val="14"/>
      <w:szCs w:val="20"/>
      <w:lang w:val="sr-Cyrl-CS"/>
    </w:rPr>
  </w:style>
  <w:style w:type="table" w:customStyle="1" w:styleId="LightShading-Accent3352">
    <w:name w:val="Light Shading - Accent 3352"/>
    <w:basedOn w:val="TableNormal"/>
    <w:next w:val="LightShading-Accent3"/>
    <w:uiPriority w:val="60"/>
    <w:rsid w:val="005F26DA"/>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6Colorful-Accent15">
    <w:name w:val="Grid Table 6 Colorful - Accent 15"/>
    <w:basedOn w:val="TableNormal"/>
    <w:next w:val="GridTable6Colorful-Accent1"/>
    <w:uiPriority w:val="51"/>
    <w:rsid w:val="005F26DA"/>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5F26D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f1">
    <w:name w:val="f1"/>
    <w:basedOn w:val="Normal"/>
    <w:next w:val="FootnoteText"/>
    <w:uiPriority w:val="99"/>
    <w:unhideWhenUsed/>
    <w:qFormat/>
    <w:rsid w:val="00DC7F92"/>
    <w:pPr>
      <w:spacing w:after="0"/>
      <w:jc w:val="left"/>
    </w:pPr>
    <w:rPr>
      <w:rFonts w:asciiTheme="minorHAnsi" w:hAnsiTheme="minorHAnsi"/>
      <w:sz w:val="20"/>
      <w:szCs w:val="20"/>
      <w:lang w:val="en-GB"/>
    </w:rPr>
  </w:style>
  <w:style w:type="paragraph" w:customStyle="1" w:styleId="Standard">
    <w:name w:val="Standard"/>
    <w:rsid w:val="00DC7F92"/>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gmail-western">
    <w:name w:val="gmail-western"/>
    <w:basedOn w:val="Normal"/>
    <w:rsid w:val="00DC7F92"/>
    <w:pPr>
      <w:spacing w:before="100" w:beforeAutospacing="1" w:after="100" w:afterAutospacing="1"/>
      <w:jc w:val="left"/>
    </w:pPr>
    <w:rPr>
      <w:rFonts w:cs="Times New Roman"/>
      <w:szCs w:val="24"/>
    </w:r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
    <w:basedOn w:val="Normal"/>
    <w:link w:val="FootnoteReference"/>
    <w:uiPriority w:val="99"/>
    <w:rsid w:val="00DC7F92"/>
    <w:pPr>
      <w:spacing w:after="160" w:line="240" w:lineRule="exact"/>
      <w:jc w:val="left"/>
    </w:pPr>
    <w:rPr>
      <w:rFonts w:asciiTheme="minorHAnsi" w:hAnsiTheme="minorHAnsi"/>
      <w:sz w:val="22"/>
      <w:vertAlign w:val="superscript"/>
    </w:rPr>
  </w:style>
  <w:style w:type="paragraph" w:customStyle="1" w:styleId="cSListParagraph1">
    <w:name w:val="cS List Paragraph1"/>
    <w:basedOn w:val="Normal"/>
    <w:next w:val="ListParagraph"/>
    <w:uiPriority w:val="34"/>
    <w:qFormat/>
    <w:rsid w:val="00DC7F92"/>
    <w:pPr>
      <w:ind w:left="720"/>
      <w:contextualSpacing/>
      <w:jc w:val="left"/>
    </w:pPr>
    <w:rPr>
      <w:rFonts w:asciiTheme="minorHAnsi" w:hAnsiTheme="minorHAnsi"/>
      <w:sz w:val="22"/>
    </w:rPr>
  </w:style>
  <w:style w:type="paragraph" w:customStyle="1" w:styleId="BalloonText1">
    <w:name w:val="Balloon Text1"/>
    <w:basedOn w:val="Normal"/>
    <w:next w:val="BalloonText"/>
    <w:uiPriority w:val="99"/>
    <w:semiHidden/>
    <w:unhideWhenUsed/>
    <w:rsid w:val="00DC7F92"/>
    <w:pPr>
      <w:spacing w:after="0"/>
      <w:jc w:val="left"/>
    </w:pPr>
    <w:rPr>
      <w:rFonts w:ascii="Segoe UI" w:hAnsi="Segoe UI" w:cs="Segoe UI"/>
      <w:sz w:val="18"/>
      <w:szCs w:val="18"/>
      <w:lang w:val="en-GB"/>
    </w:rPr>
  </w:style>
  <w:style w:type="paragraph" w:customStyle="1" w:styleId="CommentText1">
    <w:name w:val="Comment Text1"/>
    <w:basedOn w:val="Normal"/>
    <w:next w:val="CommentText"/>
    <w:uiPriority w:val="99"/>
    <w:unhideWhenUsed/>
    <w:rsid w:val="00DC7F92"/>
    <w:pPr>
      <w:jc w:val="left"/>
    </w:pPr>
    <w:rPr>
      <w:rFonts w:asciiTheme="minorHAnsi" w:hAnsiTheme="minorHAnsi"/>
      <w:sz w:val="20"/>
      <w:szCs w:val="20"/>
      <w:lang w:val="en-GB"/>
    </w:rPr>
  </w:style>
  <w:style w:type="paragraph" w:customStyle="1" w:styleId="CommentSubject1">
    <w:name w:val="Comment Subject1"/>
    <w:basedOn w:val="CommentText"/>
    <w:next w:val="CommentText"/>
    <w:uiPriority w:val="99"/>
    <w:semiHidden/>
    <w:unhideWhenUsed/>
    <w:rsid w:val="00DC7F92"/>
    <w:pPr>
      <w:spacing w:line="240" w:lineRule="auto"/>
      <w:jc w:val="left"/>
    </w:pPr>
    <w:rPr>
      <w:rFonts w:asciiTheme="minorHAnsi" w:eastAsiaTheme="minorHAnsi" w:hAnsiTheme="minorHAnsi"/>
      <w:b/>
      <w:bCs/>
      <w:lang w:eastAsia="en-US"/>
    </w:rPr>
  </w:style>
  <w:style w:type="paragraph" w:customStyle="1" w:styleId="BodyText1">
    <w:name w:val="Body Text1"/>
    <w:basedOn w:val="Normal"/>
    <w:next w:val="BodyText"/>
    <w:uiPriority w:val="99"/>
    <w:unhideWhenUsed/>
    <w:rsid w:val="00DC7F92"/>
    <w:rPr>
      <w:rFonts w:cs="Times New Roman"/>
      <w:b/>
      <w:szCs w:val="24"/>
      <w:lang w:val="en-GB"/>
    </w:rPr>
  </w:style>
  <w:style w:type="paragraph" w:customStyle="1" w:styleId="Header1">
    <w:name w:val="Header1"/>
    <w:basedOn w:val="Normal"/>
    <w:next w:val="Header"/>
    <w:uiPriority w:val="99"/>
    <w:unhideWhenUsed/>
    <w:rsid w:val="00DC7F92"/>
    <w:pPr>
      <w:tabs>
        <w:tab w:val="center" w:pos="4513"/>
        <w:tab w:val="right" w:pos="9026"/>
      </w:tabs>
      <w:spacing w:after="0"/>
      <w:jc w:val="left"/>
    </w:pPr>
    <w:rPr>
      <w:rFonts w:asciiTheme="minorHAnsi" w:hAnsiTheme="minorHAnsi"/>
      <w:sz w:val="22"/>
      <w:lang w:val="en-GB"/>
    </w:rPr>
  </w:style>
  <w:style w:type="paragraph" w:customStyle="1" w:styleId="Revision1">
    <w:name w:val="Revision1"/>
    <w:next w:val="Revision"/>
    <w:hidden/>
    <w:uiPriority w:val="99"/>
    <w:semiHidden/>
    <w:rsid w:val="00DC7F92"/>
    <w:pPr>
      <w:spacing w:after="0" w:line="240" w:lineRule="auto"/>
    </w:pPr>
  </w:style>
  <w:style w:type="character" w:customStyle="1" w:styleId="BalloonTextChar1">
    <w:name w:val="Balloon Text Char1"/>
    <w:basedOn w:val="DefaultParagraphFont"/>
    <w:uiPriority w:val="99"/>
    <w:semiHidden/>
    <w:rsid w:val="00DC7F92"/>
    <w:rPr>
      <w:rFonts w:ascii="Segoe UI" w:hAnsi="Segoe UI" w:cs="Segoe UI"/>
      <w:sz w:val="18"/>
      <w:szCs w:val="18"/>
      <w:lang w:val="en-GB"/>
    </w:rPr>
  </w:style>
  <w:style w:type="character" w:customStyle="1" w:styleId="CommentTextChar1">
    <w:name w:val="Comment Text Char1"/>
    <w:basedOn w:val="DefaultParagraphFont"/>
    <w:uiPriority w:val="99"/>
    <w:rsid w:val="00DC7F92"/>
    <w:rPr>
      <w:sz w:val="20"/>
      <w:szCs w:val="20"/>
      <w:lang w:val="en-GB"/>
    </w:rPr>
  </w:style>
  <w:style w:type="character" w:customStyle="1" w:styleId="CommentSubjectChar1">
    <w:name w:val="Comment Subject Char1"/>
    <w:basedOn w:val="CommentTextChar1"/>
    <w:uiPriority w:val="99"/>
    <w:semiHidden/>
    <w:rsid w:val="00DC7F92"/>
    <w:rPr>
      <w:b/>
      <w:bCs/>
      <w:sz w:val="20"/>
      <w:szCs w:val="20"/>
      <w:lang w:val="en-GB"/>
    </w:rPr>
  </w:style>
  <w:style w:type="character" w:customStyle="1" w:styleId="BodyTextChar1">
    <w:name w:val="Body Text Char1"/>
    <w:basedOn w:val="DefaultParagraphFont"/>
    <w:uiPriority w:val="99"/>
    <w:rsid w:val="00DC7F92"/>
    <w:rPr>
      <w:lang w:val="en-GB"/>
    </w:rPr>
  </w:style>
  <w:style w:type="character" w:customStyle="1" w:styleId="HeaderChar1">
    <w:name w:val="Header Char1"/>
    <w:basedOn w:val="DefaultParagraphFont"/>
    <w:uiPriority w:val="99"/>
    <w:rsid w:val="00DC7F92"/>
    <w:rPr>
      <w:lang w:val="en-GB"/>
    </w:rPr>
  </w:style>
  <w:style w:type="paragraph" w:customStyle="1" w:styleId="basic-paragraph">
    <w:name w:val="basic-paragraph"/>
    <w:basedOn w:val="Normal"/>
    <w:rsid w:val="00DC7F92"/>
    <w:pPr>
      <w:spacing w:before="100" w:beforeAutospacing="1" w:after="100" w:afterAutospacing="1"/>
      <w:jc w:val="left"/>
    </w:pPr>
    <w:rPr>
      <w:rFonts w:eastAsia="Times New Roman" w:cs="Times New Roman"/>
      <w:szCs w:val="24"/>
    </w:rPr>
  </w:style>
  <w:style w:type="character" w:customStyle="1" w:styleId="hwtze">
    <w:name w:val="hwtze"/>
    <w:basedOn w:val="DefaultParagraphFont"/>
    <w:rsid w:val="009F0D95"/>
  </w:style>
  <w:style w:type="character" w:customStyle="1" w:styleId="rynqvb">
    <w:name w:val="rynqvb"/>
    <w:basedOn w:val="DefaultParagraphFont"/>
    <w:rsid w:val="009F0D95"/>
  </w:style>
  <w:style w:type="paragraph" w:customStyle="1" w:styleId="NumPar1">
    <w:name w:val="NumPar 1"/>
    <w:basedOn w:val="Normal"/>
    <w:next w:val="Normal"/>
    <w:uiPriority w:val="99"/>
    <w:rsid w:val="000679CD"/>
    <w:pPr>
      <w:numPr>
        <w:numId w:val="12"/>
      </w:numPr>
      <w:spacing w:before="120"/>
    </w:pPr>
    <w:rPr>
      <w:rFonts w:asciiTheme="minorHAnsi" w:hAnsiTheme="minorHAnsi"/>
      <w:sz w:val="22"/>
      <w:vertAlign w:val="superscript"/>
    </w:rPr>
  </w:style>
  <w:style w:type="paragraph" w:customStyle="1" w:styleId="NumPar2">
    <w:name w:val="NumPar 2"/>
    <w:basedOn w:val="Normal"/>
    <w:next w:val="Normal"/>
    <w:rsid w:val="000679CD"/>
    <w:pPr>
      <w:numPr>
        <w:ilvl w:val="1"/>
        <w:numId w:val="12"/>
      </w:numPr>
      <w:spacing w:before="120"/>
    </w:pPr>
    <w:rPr>
      <w:rFonts w:ascii="Tunga" w:eastAsia="Arial Unicode MS" w:hAnsi="Tunga" w:cs="Tunga"/>
      <w:snapToGrid w:val="0"/>
      <w:sz w:val="20"/>
      <w:szCs w:val="20"/>
    </w:rPr>
  </w:style>
  <w:style w:type="paragraph" w:customStyle="1" w:styleId="NumPar3">
    <w:name w:val="NumPar 3"/>
    <w:basedOn w:val="Normal"/>
    <w:next w:val="Normal"/>
    <w:rsid w:val="000679CD"/>
    <w:pPr>
      <w:numPr>
        <w:ilvl w:val="2"/>
        <w:numId w:val="12"/>
      </w:numPr>
      <w:spacing w:before="120"/>
    </w:pPr>
    <w:rPr>
      <w:rFonts w:ascii="Tunga" w:eastAsia="Arial Unicode MS" w:hAnsi="Tunga" w:cs="Tunga"/>
      <w:snapToGrid w:val="0"/>
      <w:sz w:val="20"/>
      <w:szCs w:val="20"/>
    </w:rPr>
  </w:style>
  <w:style w:type="paragraph" w:customStyle="1" w:styleId="NumPar4">
    <w:name w:val="NumPar 4"/>
    <w:basedOn w:val="Normal"/>
    <w:next w:val="Normal"/>
    <w:rsid w:val="000679CD"/>
    <w:pPr>
      <w:numPr>
        <w:ilvl w:val="3"/>
        <w:numId w:val="12"/>
      </w:numPr>
      <w:spacing w:before="120"/>
    </w:pPr>
    <w:rPr>
      <w:rFonts w:ascii="Tunga" w:eastAsia="Arial Unicode MS" w:hAnsi="Tunga" w:cs="Tunga"/>
      <w:snapToGrid w:val="0"/>
      <w:sz w:val="20"/>
      <w:szCs w:val="20"/>
    </w:rPr>
  </w:style>
  <w:style w:type="paragraph" w:customStyle="1" w:styleId="font7">
    <w:name w:val="font7"/>
    <w:basedOn w:val="Normal"/>
    <w:rsid w:val="00D210F0"/>
    <w:pPr>
      <w:spacing w:before="100" w:beforeAutospacing="1" w:after="100" w:afterAutospacing="1"/>
      <w:jc w:val="left"/>
    </w:pPr>
    <w:rPr>
      <w:rFonts w:eastAsia="Times New Roman" w:cs="Times New Roman"/>
      <w:b/>
      <w:bCs/>
      <w:szCs w:val="24"/>
      <w:lang w:val="sr-Cyrl-RS" w:eastAsia="sr-Cyrl-RS"/>
    </w:rPr>
  </w:style>
  <w:style w:type="numbering" w:customStyle="1" w:styleId="NoList8">
    <w:name w:val="No List8"/>
    <w:next w:val="NoList"/>
    <w:uiPriority w:val="99"/>
    <w:semiHidden/>
    <w:unhideWhenUsed/>
    <w:rsid w:val="008D7C20"/>
  </w:style>
  <w:style w:type="paragraph" w:styleId="TOC6">
    <w:name w:val="toc 6"/>
    <w:basedOn w:val="Normal"/>
    <w:next w:val="Normal"/>
    <w:autoRedefine/>
    <w:uiPriority w:val="39"/>
    <w:unhideWhenUsed/>
    <w:rsid w:val="00EF67D6"/>
    <w:pPr>
      <w:spacing w:after="100" w:line="259" w:lineRule="auto"/>
      <w:ind w:left="1100"/>
      <w:jc w:val="left"/>
    </w:pPr>
    <w:rPr>
      <w:rFonts w:asciiTheme="minorHAnsi" w:eastAsiaTheme="minorEastAsia" w:hAnsiTheme="minorHAnsi"/>
      <w:sz w:val="22"/>
      <w:lang w:val="sr-Latn-RS" w:eastAsia="sr-Latn-RS"/>
    </w:rPr>
  </w:style>
  <w:style w:type="paragraph" w:styleId="TOC7">
    <w:name w:val="toc 7"/>
    <w:basedOn w:val="Normal"/>
    <w:next w:val="Normal"/>
    <w:autoRedefine/>
    <w:uiPriority w:val="39"/>
    <w:unhideWhenUsed/>
    <w:rsid w:val="00EF67D6"/>
    <w:pPr>
      <w:spacing w:after="100" w:line="259" w:lineRule="auto"/>
      <w:ind w:left="1320"/>
      <w:jc w:val="left"/>
    </w:pPr>
    <w:rPr>
      <w:rFonts w:asciiTheme="minorHAnsi" w:eastAsiaTheme="minorEastAsia" w:hAnsiTheme="minorHAnsi"/>
      <w:sz w:val="22"/>
      <w:lang w:val="sr-Latn-RS" w:eastAsia="sr-Latn-RS"/>
    </w:rPr>
  </w:style>
  <w:style w:type="paragraph" w:styleId="TOC8">
    <w:name w:val="toc 8"/>
    <w:basedOn w:val="Normal"/>
    <w:next w:val="Normal"/>
    <w:autoRedefine/>
    <w:uiPriority w:val="39"/>
    <w:unhideWhenUsed/>
    <w:rsid w:val="00EF67D6"/>
    <w:pPr>
      <w:spacing w:after="100" w:line="259" w:lineRule="auto"/>
      <w:ind w:left="1540"/>
      <w:jc w:val="left"/>
    </w:pPr>
    <w:rPr>
      <w:rFonts w:asciiTheme="minorHAnsi" w:eastAsiaTheme="minorEastAsia" w:hAnsiTheme="minorHAnsi"/>
      <w:sz w:val="22"/>
      <w:lang w:val="sr-Latn-RS" w:eastAsia="sr-Latn-RS"/>
    </w:rPr>
  </w:style>
  <w:style w:type="paragraph" w:styleId="TOC9">
    <w:name w:val="toc 9"/>
    <w:basedOn w:val="Normal"/>
    <w:next w:val="Normal"/>
    <w:autoRedefine/>
    <w:uiPriority w:val="39"/>
    <w:unhideWhenUsed/>
    <w:rsid w:val="00EF67D6"/>
    <w:pPr>
      <w:spacing w:after="100" w:line="259" w:lineRule="auto"/>
      <w:ind w:left="1760"/>
      <w:jc w:val="left"/>
    </w:pPr>
    <w:rPr>
      <w:rFonts w:asciiTheme="minorHAnsi" w:eastAsiaTheme="minorEastAsia" w:hAnsiTheme="minorHAnsi"/>
      <w:sz w:val="22"/>
      <w:lang w:val="sr-Latn-RS" w:eastAsia="sr-Latn-RS"/>
    </w:rPr>
  </w:style>
  <w:style w:type="paragraph" w:customStyle="1" w:styleId="msonormal0">
    <w:name w:val="msonormal"/>
    <w:basedOn w:val="Normal"/>
    <w:rsid w:val="006458EB"/>
    <w:pPr>
      <w:spacing w:before="100" w:beforeAutospacing="1" w:after="100" w:afterAutospacing="1"/>
      <w:jc w:val="left"/>
    </w:pPr>
    <w:rPr>
      <w:rFonts w:eastAsia="Times New Roman" w:cs="Times New Roman"/>
      <w:szCs w:val="24"/>
      <w:lang w:val="sr-Latn-RS" w:eastAsia="sr-Latn-RS"/>
    </w:rPr>
  </w:style>
  <w:style w:type="paragraph" w:customStyle="1" w:styleId="font5">
    <w:name w:val="font5"/>
    <w:basedOn w:val="Normal"/>
    <w:rsid w:val="006458EB"/>
    <w:pPr>
      <w:spacing w:before="100" w:beforeAutospacing="1" w:after="100" w:afterAutospacing="1"/>
      <w:jc w:val="left"/>
    </w:pPr>
    <w:rPr>
      <w:rFonts w:eastAsia="Times New Roman" w:cs="Times New Roman"/>
      <w:i/>
      <w:iCs/>
      <w:color w:val="000000"/>
      <w:sz w:val="20"/>
      <w:szCs w:val="20"/>
      <w:lang w:val="sr-Latn-RS" w:eastAsia="sr-Latn-RS"/>
    </w:rPr>
  </w:style>
  <w:style w:type="paragraph" w:customStyle="1" w:styleId="font6">
    <w:name w:val="font6"/>
    <w:basedOn w:val="Normal"/>
    <w:rsid w:val="006458EB"/>
    <w:pPr>
      <w:spacing w:before="100" w:beforeAutospacing="1" w:after="100" w:afterAutospacing="1"/>
      <w:jc w:val="left"/>
    </w:pPr>
    <w:rPr>
      <w:rFonts w:eastAsia="Times New Roman" w:cs="Times New Roman"/>
      <w:color w:val="000000"/>
      <w:sz w:val="20"/>
      <w:szCs w:val="20"/>
      <w:lang w:val="sr-Latn-RS" w:eastAsia="sr-Latn-RS"/>
    </w:rPr>
  </w:style>
  <w:style w:type="paragraph" w:customStyle="1" w:styleId="font8">
    <w:name w:val="font8"/>
    <w:basedOn w:val="Normal"/>
    <w:rsid w:val="006458EB"/>
    <w:pPr>
      <w:spacing w:before="100" w:beforeAutospacing="1" w:after="100" w:afterAutospacing="1"/>
      <w:jc w:val="left"/>
    </w:pPr>
    <w:rPr>
      <w:rFonts w:ascii="Tahoma" w:eastAsia="Times New Roman" w:hAnsi="Tahoma" w:cs="Tahoma"/>
      <w:color w:val="000000"/>
      <w:sz w:val="18"/>
      <w:szCs w:val="18"/>
      <w:lang w:val="sr-Latn-RS" w:eastAsia="sr-Latn-RS"/>
    </w:rPr>
  </w:style>
  <w:style w:type="paragraph" w:customStyle="1" w:styleId="xl99">
    <w:name w:val="xl99"/>
    <w:basedOn w:val="Normal"/>
    <w:rsid w:val="006458EB"/>
    <w:pPr>
      <w:pBdr>
        <w:top w:val="single" w:sz="8" w:space="0" w:color="000000"/>
        <w:left w:val="single" w:sz="8" w:space="0" w:color="auto"/>
        <w:bottom w:val="single" w:sz="8" w:space="0" w:color="auto"/>
        <w:right w:val="single" w:sz="8" w:space="0" w:color="auto"/>
      </w:pBdr>
      <w:shd w:val="clear" w:color="000000" w:fill="BDD7EE"/>
      <w:spacing w:before="100" w:beforeAutospacing="1" w:after="100" w:afterAutospacing="1"/>
      <w:jc w:val="center"/>
    </w:pPr>
    <w:rPr>
      <w:rFonts w:ascii="Arial" w:eastAsia="Times New Roman" w:hAnsi="Arial" w:cs="Arial"/>
      <w:sz w:val="28"/>
      <w:szCs w:val="28"/>
      <w:lang w:val="sr-Latn-RS" w:eastAsia="sr-Latn-RS"/>
    </w:rPr>
  </w:style>
  <w:style w:type="paragraph" w:customStyle="1" w:styleId="xl100">
    <w:name w:val="xl100"/>
    <w:basedOn w:val="Normal"/>
    <w:rsid w:val="006458EB"/>
    <w:pP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01">
    <w:name w:val="xl101"/>
    <w:basedOn w:val="Normal"/>
    <w:rsid w:val="006458EB"/>
    <w:pPr>
      <w:pBdr>
        <w:top w:val="single" w:sz="8" w:space="0" w:color="000000"/>
        <w:bottom w:val="single" w:sz="8" w:space="0" w:color="000000"/>
      </w:pBdr>
      <w:spacing w:before="100" w:beforeAutospacing="1" w:after="100" w:afterAutospacing="1"/>
      <w:jc w:val="left"/>
      <w:textAlignment w:val="center"/>
    </w:pPr>
    <w:rPr>
      <w:rFonts w:eastAsia="Times New Roman" w:cs="Times New Roman"/>
      <w:b/>
      <w:bCs/>
      <w:sz w:val="28"/>
      <w:szCs w:val="28"/>
      <w:lang w:val="sr-Latn-RS" w:eastAsia="sr-Latn-RS"/>
    </w:rPr>
  </w:style>
  <w:style w:type="paragraph" w:customStyle="1" w:styleId="xl102">
    <w:name w:val="xl102"/>
    <w:basedOn w:val="Normal"/>
    <w:rsid w:val="006458EB"/>
    <w:pPr>
      <w:pBdr>
        <w:top w:val="single" w:sz="8" w:space="0" w:color="000000"/>
        <w:left w:val="single" w:sz="8" w:space="0" w:color="auto"/>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03">
    <w:name w:val="xl103"/>
    <w:basedOn w:val="Normal"/>
    <w:rsid w:val="006458EB"/>
    <w:pPr>
      <w:spacing w:before="100" w:beforeAutospacing="1" w:after="100" w:afterAutospacing="1"/>
      <w:jc w:val="left"/>
      <w:textAlignment w:val="top"/>
    </w:pPr>
    <w:rPr>
      <w:rFonts w:eastAsia="Times New Roman" w:cs="Times New Roman"/>
      <w:szCs w:val="24"/>
      <w:lang w:val="sr-Latn-RS" w:eastAsia="sr-Latn-RS"/>
    </w:rPr>
  </w:style>
  <w:style w:type="paragraph" w:customStyle="1" w:styleId="xl104">
    <w:name w:val="xl104"/>
    <w:basedOn w:val="Normal"/>
    <w:rsid w:val="006458EB"/>
    <w:pPr>
      <w:pBdr>
        <w:left w:val="single" w:sz="8" w:space="0" w:color="000000"/>
        <w:right w:val="single" w:sz="8" w:space="0" w:color="000000"/>
      </w:pBdr>
      <w:spacing w:before="100" w:beforeAutospacing="1" w:after="100" w:afterAutospacing="1"/>
      <w:jc w:val="left"/>
      <w:textAlignment w:val="top"/>
    </w:pPr>
    <w:rPr>
      <w:rFonts w:eastAsia="Times New Roman" w:cs="Times New Roman"/>
      <w:color w:val="000000"/>
      <w:sz w:val="20"/>
      <w:szCs w:val="20"/>
      <w:lang w:val="sr-Latn-RS" w:eastAsia="sr-Latn-RS"/>
    </w:rPr>
  </w:style>
  <w:style w:type="paragraph" w:customStyle="1" w:styleId="xl105">
    <w:name w:val="xl105"/>
    <w:basedOn w:val="Normal"/>
    <w:rsid w:val="006458EB"/>
    <w:pP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06">
    <w:name w:val="xl106"/>
    <w:basedOn w:val="Normal"/>
    <w:rsid w:val="006458EB"/>
    <w:pPr>
      <w:spacing w:before="100" w:beforeAutospacing="1" w:after="100" w:afterAutospacing="1"/>
      <w:jc w:val="left"/>
    </w:pPr>
    <w:rPr>
      <w:rFonts w:ascii="Calibri" w:eastAsia="Times New Roman" w:hAnsi="Calibri" w:cs="Calibri"/>
      <w:szCs w:val="24"/>
      <w:lang w:val="sr-Latn-RS" w:eastAsia="sr-Latn-RS"/>
    </w:rPr>
  </w:style>
  <w:style w:type="paragraph" w:customStyle="1" w:styleId="xl107">
    <w:name w:val="xl107"/>
    <w:basedOn w:val="Normal"/>
    <w:rsid w:val="006458EB"/>
    <w:pPr>
      <w:pBdr>
        <w:top w:val="single" w:sz="8" w:space="0" w:color="000000"/>
        <w:left w:val="single" w:sz="8" w:space="0" w:color="000000"/>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08">
    <w:name w:val="xl108"/>
    <w:basedOn w:val="Normal"/>
    <w:rsid w:val="006458EB"/>
    <w:pPr>
      <w:pBdr>
        <w:top w:val="single" w:sz="8" w:space="0" w:color="000000"/>
        <w:left w:val="single" w:sz="8" w:space="0" w:color="000000"/>
        <w:right w:val="single" w:sz="8" w:space="0" w:color="000000"/>
      </w:pBdr>
      <w:spacing w:before="100" w:beforeAutospacing="1" w:after="100" w:afterAutospacing="1"/>
      <w:jc w:val="center"/>
      <w:textAlignment w:val="top"/>
    </w:pPr>
    <w:rPr>
      <w:rFonts w:eastAsia="Times New Roman" w:cs="Times New Roman"/>
      <w:sz w:val="20"/>
      <w:szCs w:val="20"/>
      <w:lang w:val="sr-Latn-RS" w:eastAsia="sr-Latn-RS"/>
    </w:rPr>
  </w:style>
  <w:style w:type="paragraph" w:customStyle="1" w:styleId="xl109">
    <w:name w:val="xl109"/>
    <w:basedOn w:val="Normal"/>
    <w:rsid w:val="006458EB"/>
    <w:pPr>
      <w:pBdr>
        <w:left w:val="single" w:sz="8" w:space="0" w:color="000000"/>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10">
    <w:name w:val="xl110"/>
    <w:basedOn w:val="Normal"/>
    <w:rsid w:val="006458EB"/>
    <w:pPr>
      <w:pBdr>
        <w:left w:val="single" w:sz="8" w:space="0" w:color="000000"/>
        <w:bottom w:val="single" w:sz="8" w:space="0" w:color="000000"/>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11">
    <w:name w:val="xl111"/>
    <w:basedOn w:val="Normal"/>
    <w:rsid w:val="006458EB"/>
    <w:pPr>
      <w:pBdr>
        <w:left w:val="single" w:sz="8" w:space="0" w:color="auto"/>
        <w:bottom w:val="single" w:sz="8" w:space="0" w:color="auto"/>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12">
    <w:name w:val="xl112"/>
    <w:basedOn w:val="Normal"/>
    <w:rsid w:val="006458EB"/>
    <w:pPr>
      <w:pBdr>
        <w:left w:val="single" w:sz="8" w:space="0" w:color="000000"/>
        <w:bottom w:val="single" w:sz="8" w:space="0" w:color="auto"/>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13">
    <w:name w:val="xl113"/>
    <w:basedOn w:val="Normal"/>
    <w:rsid w:val="006458EB"/>
    <w:pPr>
      <w:pBdr>
        <w:left w:val="single" w:sz="8" w:space="0" w:color="000000"/>
        <w:bottom w:val="single" w:sz="8" w:space="0" w:color="auto"/>
        <w:right w:val="single" w:sz="8" w:space="0" w:color="000000"/>
      </w:pBdr>
      <w:spacing w:before="100" w:beforeAutospacing="1" w:after="100" w:afterAutospacing="1"/>
      <w:jc w:val="center"/>
      <w:textAlignment w:val="top"/>
    </w:pPr>
    <w:rPr>
      <w:rFonts w:eastAsia="Times New Roman" w:cs="Times New Roman"/>
      <w:sz w:val="20"/>
      <w:szCs w:val="20"/>
      <w:lang w:val="sr-Latn-RS" w:eastAsia="sr-Latn-RS"/>
    </w:rPr>
  </w:style>
  <w:style w:type="paragraph" w:customStyle="1" w:styleId="xl114">
    <w:name w:val="xl114"/>
    <w:basedOn w:val="Normal"/>
    <w:rsid w:val="006458EB"/>
    <w:pPr>
      <w:pBdr>
        <w:left w:val="single" w:sz="8" w:space="0" w:color="auto"/>
        <w:bottom w:val="single" w:sz="8" w:space="0" w:color="auto"/>
        <w:right w:val="single" w:sz="8" w:space="0" w:color="auto"/>
      </w:pBdr>
      <w:shd w:val="clear" w:color="000000" w:fill="BDD7EE"/>
      <w:spacing w:before="100" w:beforeAutospacing="1" w:after="100" w:afterAutospacing="1"/>
      <w:jc w:val="center"/>
    </w:pPr>
    <w:rPr>
      <w:rFonts w:ascii="Arial" w:eastAsia="Times New Roman" w:hAnsi="Arial" w:cs="Arial"/>
      <w:sz w:val="28"/>
      <w:szCs w:val="28"/>
      <w:lang w:val="sr-Latn-RS" w:eastAsia="sr-Latn-RS"/>
    </w:rPr>
  </w:style>
  <w:style w:type="paragraph" w:customStyle="1" w:styleId="xl115">
    <w:name w:val="xl115"/>
    <w:basedOn w:val="Normal"/>
    <w:rsid w:val="006458EB"/>
    <w:pPr>
      <w:pBdr>
        <w:left w:val="single" w:sz="8" w:space="0" w:color="auto"/>
        <w:bottom w:val="single" w:sz="8" w:space="0" w:color="auto"/>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16">
    <w:name w:val="xl116"/>
    <w:basedOn w:val="Normal"/>
    <w:rsid w:val="006458EB"/>
    <w:pPr>
      <w:pBdr>
        <w:left w:val="single" w:sz="8" w:space="0" w:color="000000"/>
        <w:bottom w:val="single" w:sz="8" w:space="0" w:color="auto"/>
        <w:right w:val="single" w:sz="8" w:space="0" w:color="000000"/>
      </w:pBdr>
      <w:spacing w:before="100" w:beforeAutospacing="1" w:after="100" w:afterAutospacing="1"/>
      <w:jc w:val="left"/>
      <w:textAlignment w:val="top"/>
    </w:pPr>
    <w:rPr>
      <w:rFonts w:eastAsia="Times New Roman" w:cs="Times New Roman"/>
      <w:color w:val="000000"/>
      <w:sz w:val="20"/>
      <w:szCs w:val="20"/>
      <w:lang w:val="sr-Latn-RS" w:eastAsia="sr-Latn-RS"/>
    </w:rPr>
  </w:style>
  <w:style w:type="paragraph" w:customStyle="1" w:styleId="xl117">
    <w:name w:val="xl117"/>
    <w:basedOn w:val="Normal"/>
    <w:rsid w:val="006458EB"/>
    <w:pPr>
      <w:pBdr>
        <w:left w:val="single" w:sz="8" w:space="0" w:color="000000"/>
        <w:right w:val="single" w:sz="8" w:space="0" w:color="auto"/>
      </w:pBdr>
      <w:spacing w:before="100" w:beforeAutospacing="1" w:after="100" w:afterAutospacing="1"/>
      <w:jc w:val="right"/>
      <w:textAlignment w:val="top"/>
    </w:pPr>
    <w:rPr>
      <w:rFonts w:eastAsia="Times New Roman" w:cs="Times New Roman"/>
      <w:sz w:val="20"/>
      <w:szCs w:val="20"/>
      <w:lang w:val="sr-Latn-RS" w:eastAsia="sr-Latn-RS"/>
    </w:rPr>
  </w:style>
  <w:style w:type="paragraph" w:customStyle="1" w:styleId="xl118">
    <w:name w:val="xl118"/>
    <w:basedOn w:val="Normal"/>
    <w:rsid w:val="006458EB"/>
    <w:pPr>
      <w:pBdr>
        <w:top w:val="single" w:sz="8" w:space="0" w:color="000000"/>
        <w:left w:val="single" w:sz="8" w:space="0" w:color="auto"/>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19">
    <w:name w:val="xl119"/>
    <w:basedOn w:val="Normal"/>
    <w:rsid w:val="006458EB"/>
    <w:pPr>
      <w:pBdr>
        <w:left w:val="single" w:sz="8" w:space="0" w:color="auto"/>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20">
    <w:name w:val="xl120"/>
    <w:basedOn w:val="Normal"/>
    <w:rsid w:val="006458EB"/>
    <w:pPr>
      <w:pBdr>
        <w:left w:val="single" w:sz="8" w:space="0" w:color="auto"/>
        <w:bottom w:val="single" w:sz="8" w:space="0" w:color="auto"/>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21">
    <w:name w:val="xl121"/>
    <w:basedOn w:val="Normal"/>
    <w:rsid w:val="006458EB"/>
    <w:pPr>
      <w:pBdr>
        <w:left w:val="single" w:sz="8" w:space="0" w:color="000000"/>
        <w:bottom w:val="single" w:sz="8" w:space="0" w:color="auto"/>
        <w:right w:val="single" w:sz="8" w:space="0" w:color="000000"/>
      </w:pBdr>
      <w:spacing w:before="100" w:beforeAutospacing="1" w:after="100" w:afterAutospacing="1"/>
      <w:jc w:val="left"/>
    </w:pPr>
    <w:rPr>
      <w:rFonts w:eastAsia="Times New Roman" w:cs="Times New Roman"/>
      <w:sz w:val="18"/>
      <w:szCs w:val="18"/>
      <w:lang w:val="sr-Latn-RS" w:eastAsia="sr-Latn-RS"/>
    </w:rPr>
  </w:style>
  <w:style w:type="paragraph" w:customStyle="1" w:styleId="BVIfnrChar1">
    <w:name w:val="BVI fnr Char1"/>
    <w:aliases w:val="Footnotes refss Char1,ftref Char1,16 Point Char1,Superscript 6 Point Char1,Footnote Reference Number Char1,nota pié di pagina Char1,Times 10 Point Char1,Exposant 3 Point Char,Footnote symbol Char1,4_G Char,ftref Char Char Char"/>
    <w:basedOn w:val="Normal"/>
    <w:uiPriority w:val="99"/>
    <w:rsid w:val="00247CBF"/>
    <w:pPr>
      <w:spacing w:after="160" w:line="240" w:lineRule="exact"/>
      <w:jc w:val="left"/>
    </w:pPr>
    <w:rPr>
      <w:rFonts w:asciiTheme="minorHAnsi" w:hAnsiTheme="minorHAnsi"/>
      <w:sz w:val="22"/>
      <w:vertAlign w:val="superscript"/>
    </w:rPr>
  </w:style>
  <w:style w:type="paragraph" w:customStyle="1" w:styleId="a0">
    <w:name w:val="Стукрурна реформа"/>
    <w:basedOn w:val="Caption"/>
    <w:link w:val="Char"/>
    <w:qFormat/>
    <w:rsid w:val="00247CBF"/>
    <w:pPr>
      <w:spacing w:before="240"/>
    </w:pPr>
  </w:style>
  <w:style w:type="character" w:customStyle="1" w:styleId="CaptionChar">
    <w:name w:val="Caption Char"/>
    <w:basedOn w:val="DefaultParagraphFont"/>
    <w:link w:val="Caption"/>
    <w:uiPriority w:val="35"/>
    <w:rsid w:val="00247CBF"/>
    <w:rPr>
      <w:rFonts w:ascii="Times New Roman" w:eastAsiaTheme="minorEastAsia" w:hAnsi="Times New Roman"/>
      <w:b/>
      <w:bCs/>
      <w:smallCaps/>
      <w:color w:val="595959" w:themeColor="text1" w:themeTint="A6"/>
      <w:spacing w:val="6"/>
      <w:sz w:val="20"/>
      <w:szCs w:val="20"/>
      <w:lang w:eastAsia="ja-JP"/>
    </w:rPr>
  </w:style>
  <w:style w:type="character" w:customStyle="1" w:styleId="Char">
    <w:name w:val="Стукрурна реформа Char"/>
    <w:basedOn w:val="CaptionChar"/>
    <w:link w:val="a0"/>
    <w:rsid w:val="00247CBF"/>
    <w:rPr>
      <w:rFonts w:ascii="Times New Roman" w:eastAsiaTheme="minorEastAsia" w:hAnsi="Times New Roman"/>
      <w:b/>
      <w:bCs/>
      <w:smallCaps/>
      <w:color w:val="595959" w:themeColor="text1" w:themeTint="A6"/>
      <w:spacing w:val="6"/>
      <w:sz w:val="20"/>
      <w:szCs w:val="20"/>
      <w:lang w:eastAsia="ja-JP"/>
    </w:rPr>
  </w:style>
  <w:style w:type="paragraph" w:customStyle="1" w:styleId="clan">
    <w:name w:val="clan"/>
    <w:basedOn w:val="Normal"/>
    <w:uiPriority w:val="99"/>
    <w:semiHidden/>
    <w:rsid w:val="00247CBF"/>
    <w:pPr>
      <w:spacing w:before="100" w:beforeAutospacing="1" w:after="100" w:afterAutospacing="1"/>
      <w:jc w:val="left"/>
    </w:pPr>
    <w:rPr>
      <w:rFonts w:eastAsia="Times New Roman" w:cs="Times New Roman"/>
      <w:szCs w:val="24"/>
    </w:rPr>
  </w:style>
  <w:style w:type="paragraph" w:customStyle="1" w:styleId="Numerisanipasus">
    <w:name w:val="Numerisani pasus"/>
    <w:basedOn w:val="Normal"/>
    <w:autoRedefine/>
    <w:qFormat/>
    <w:rsid w:val="00247CBF"/>
    <w:pPr>
      <w:numPr>
        <w:ilvl w:val="2"/>
      </w:numPr>
      <w:jc w:val="left"/>
    </w:pPr>
    <w:rPr>
      <w:rFonts w:ascii="Century Schoolbook" w:eastAsia="Calibri" w:hAnsi="Century Schoolbook" w:cs="Times New Roman"/>
      <w:bCs/>
      <w:iCs/>
      <w:noProof/>
      <w:color w:val="000000"/>
      <w:spacing w:val="-3"/>
      <w:sz w:val="20"/>
      <w:szCs w:val="20"/>
      <w:lang w:val="sr-Cyrl-RS" w:eastAsia="x-none"/>
    </w:rPr>
  </w:style>
  <w:style w:type="character" w:customStyle="1" w:styleId="UnresolvedMention4">
    <w:name w:val="Unresolved Mention4"/>
    <w:basedOn w:val="DefaultParagraphFont"/>
    <w:uiPriority w:val="99"/>
    <w:semiHidden/>
    <w:unhideWhenUsed/>
    <w:rsid w:val="00247CBF"/>
    <w:rPr>
      <w:color w:val="605E5C"/>
      <w:shd w:val="clear" w:color="auto" w:fill="E1DFDD"/>
    </w:rPr>
  </w:style>
  <w:style w:type="paragraph" w:customStyle="1" w:styleId="xl66">
    <w:name w:val="xl66"/>
    <w:basedOn w:val="Normal"/>
    <w:rsid w:val="00247CBF"/>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cs="Times New Roman"/>
      <w:szCs w:val="24"/>
      <w:lang w:val="sr-Cyrl-RS" w:eastAsia="sr-Cyrl-RS"/>
    </w:rPr>
  </w:style>
  <w:style w:type="paragraph" w:customStyle="1" w:styleId="font9">
    <w:name w:val="font9"/>
    <w:basedOn w:val="Normal"/>
    <w:rsid w:val="00247CBF"/>
    <w:pPr>
      <w:spacing w:before="100" w:beforeAutospacing="1" w:after="100" w:afterAutospacing="1"/>
      <w:jc w:val="left"/>
    </w:pPr>
    <w:rPr>
      <w:rFonts w:eastAsia="Times New Roman" w:cs="Times New Roman"/>
      <w:color w:val="FF0000"/>
      <w:szCs w:val="24"/>
      <w:lang w:val="sr-Cyrl-RS" w:eastAsia="sr-Cyrl-RS"/>
    </w:rPr>
  </w:style>
  <w:style w:type="paragraph" w:customStyle="1" w:styleId="font10">
    <w:name w:val="font10"/>
    <w:basedOn w:val="Normal"/>
    <w:rsid w:val="00247CBF"/>
    <w:pPr>
      <w:spacing w:before="100" w:beforeAutospacing="1" w:after="100" w:afterAutospacing="1"/>
      <w:jc w:val="left"/>
    </w:pPr>
    <w:rPr>
      <w:rFonts w:ascii="Tahoma" w:eastAsia="Times New Roman" w:hAnsi="Tahoma" w:cs="Tahoma"/>
      <w:color w:val="000000"/>
      <w:sz w:val="18"/>
      <w:szCs w:val="18"/>
      <w:lang w:val="sr-Cyrl-RS" w:eastAsia="sr-Cyrl-RS"/>
    </w:rPr>
  </w:style>
  <w:style w:type="paragraph" w:customStyle="1" w:styleId="font11">
    <w:name w:val="font11"/>
    <w:basedOn w:val="Normal"/>
    <w:rsid w:val="00247CBF"/>
    <w:pPr>
      <w:spacing w:before="100" w:beforeAutospacing="1" w:after="100" w:afterAutospacing="1"/>
      <w:jc w:val="left"/>
    </w:pPr>
    <w:rPr>
      <w:rFonts w:ascii="Tahoma" w:eastAsia="Times New Roman" w:hAnsi="Tahoma" w:cs="Tahoma"/>
      <w:b/>
      <w:bCs/>
      <w:color w:val="000000"/>
      <w:sz w:val="18"/>
      <w:szCs w:val="18"/>
      <w:lang w:val="sr-Cyrl-RS" w:eastAsia="sr-Cyrl-RS"/>
    </w:rPr>
  </w:style>
  <w:style w:type="table" w:styleId="GridTable5Dark-Accent5">
    <w:name w:val="Grid Table 5 Dark Accent 5"/>
    <w:basedOn w:val="TableNormal"/>
    <w:uiPriority w:val="50"/>
    <w:rsid w:val="00247C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6Colorful-Accent6">
    <w:name w:val="List Table 6 Colorful Accent 6"/>
    <w:basedOn w:val="TableNormal"/>
    <w:uiPriority w:val="51"/>
    <w:rsid w:val="00247CBF"/>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1">
    <w:name w:val="Grid Table 1 Light Accent 1"/>
    <w:basedOn w:val="TableNormal"/>
    <w:uiPriority w:val="46"/>
    <w:rsid w:val="00247CB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8">
    <w:name w:val="Table Grid8"/>
    <w:basedOn w:val="TableNormal"/>
    <w:next w:val="TableGrid"/>
    <w:uiPriority w:val="59"/>
    <w:rsid w:val="00247CBF"/>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47CBF"/>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47CBF"/>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2">
    <w:name w:val="xl122"/>
    <w:basedOn w:val="Normal"/>
    <w:rsid w:val="00247CBF"/>
    <w:pPr>
      <w:pBdr>
        <w:top w:val="single" w:sz="4" w:space="0" w:color="000000"/>
        <w:left w:val="single" w:sz="8" w:space="0" w:color="000000"/>
        <w:bottom w:val="single" w:sz="4" w:space="0" w:color="000000"/>
        <w:right w:val="single" w:sz="4" w:space="0" w:color="000000"/>
      </w:pBdr>
      <w:spacing w:before="100" w:beforeAutospacing="1" w:after="100" w:afterAutospacing="1"/>
      <w:jc w:val="left"/>
      <w:textAlignment w:val="top"/>
    </w:pPr>
    <w:rPr>
      <w:rFonts w:eastAsia="Times New Roman" w:cs="Times New Roman"/>
      <w:sz w:val="20"/>
      <w:szCs w:val="20"/>
    </w:rPr>
  </w:style>
  <w:style w:type="paragraph" w:customStyle="1" w:styleId="xl123">
    <w:name w:val="xl123"/>
    <w:basedOn w:val="Normal"/>
    <w:rsid w:val="00247CBF"/>
    <w:pPr>
      <w:pBdr>
        <w:top w:val="single" w:sz="4" w:space="0" w:color="000000"/>
        <w:left w:val="single" w:sz="4" w:space="0" w:color="000000"/>
        <w:bottom w:val="single" w:sz="4" w:space="0" w:color="000000"/>
        <w:right w:val="single" w:sz="4" w:space="0" w:color="000000"/>
      </w:pBdr>
      <w:shd w:val="clear" w:color="000000" w:fill="9BC2E6"/>
      <w:spacing w:before="100" w:beforeAutospacing="1" w:after="100" w:afterAutospacing="1"/>
      <w:jc w:val="center"/>
    </w:pPr>
    <w:rPr>
      <w:rFonts w:ascii="Arial" w:eastAsia="Times New Roman" w:hAnsi="Arial" w:cs="Arial"/>
      <w:sz w:val="28"/>
      <w:szCs w:val="28"/>
    </w:rPr>
  </w:style>
  <w:style w:type="paragraph" w:customStyle="1" w:styleId="xl124">
    <w:name w:val="xl124"/>
    <w:basedOn w:val="Normal"/>
    <w:rsid w:val="00247CBF"/>
    <w:pPr>
      <w:pBdr>
        <w:top w:val="single" w:sz="4" w:space="0" w:color="000000"/>
        <w:left w:val="single" w:sz="4" w:space="0" w:color="000000"/>
        <w:bottom w:val="single" w:sz="4" w:space="0" w:color="000000"/>
        <w:right w:val="single" w:sz="8" w:space="0" w:color="000000"/>
      </w:pBdr>
      <w:spacing w:before="100" w:beforeAutospacing="1" w:after="100" w:afterAutospacing="1"/>
      <w:jc w:val="left"/>
      <w:textAlignment w:val="top"/>
    </w:pPr>
    <w:rPr>
      <w:rFonts w:eastAsia="Times New Roman" w:cs="Times New Roman"/>
      <w:szCs w:val="24"/>
    </w:rPr>
  </w:style>
  <w:style w:type="paragraph" w:customStyle="1" w:styleId="xl125">
    <w:name w:val="xl125"/>
    <w:basedOn w:val="Normal"/>
    <w:rsid w:val="00247CBF"/>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eastAsia="Times New Roman" w:cs="Times New Roman"/>
      <w:b/>
      <w:bCs/>
      <w:color w:val="FF0000"/>
      <w:sz w:val="20"/>
      <w:szCs w:val="20"/>
    </w:rPr>
  </w:style>
  <w:style w:type="paragraph" w:customStyle="1" w:styleId="xl126">
    <w:name w:val="xl126"/>
    <w:basedOn w:val="Normal"/>
    <w:rsid w:val="00247CBF"/>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jc w:val="left"/>
      <w:textAlignment w:val="top"/>
    </w:pPr>
    <w:rPr>
      <w:rFonts w:eastAsia="Times New Roman" w:cs="Times New Roman"/>
      <w:sz w:val="20"/>
      <w:szCs w:val="20"/>
    </w:rPr>
  </w:style>
  <w:style w:type="paragraph" w:customStyle="1" w:styleId="xl127">
    <w:name w:val="xl127"/>
    <w:basedOn w:val="Normal"/>
    <w:rsid w:val="00247CB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textAlignment w:val="top"/>
    </w:pPr>
    <w:rPr>
      <w:rFonts w:eastAsia="Times New Roman" w:cs="Times New Roman"/>
      <w:sz w:val="20"/>
      <w:szCs w:val="20"/>
    </w:rPr>
  </w:style>
  <w:style w:type="paragraph" w:customStyle="1" w:styleId="xl128">
    <w:name w:val="xl128"/>
    <w:basedOn w:val="Normal"/>
    <w:rsid w:val="00247CBF"/>
    <w:pPr>
      <w:pBdr>
        <w:top w:val="single" w:sz="8" w:space="0" w:color="000000"/>
        <w:left w:val="single" w:sz="8" w:space="0" w:color="000000"/>
        <w:bottom w:val="single" w:sz="8" w:space="0" w:color="000000"/>
      </w:pBdr>
      <w:shd w:val="clear" w:color="000000" w:fill="D9D9D9"/>
      <w:spacing w:before="100" w:beforeAutospacing="1" w:after="100" w:afterAutospacing="1"/>
      <w:jc w:val="left"/>
      <w:textAlignment w:val="center"/>
    </w:pPr>
    <w:rPr>
      <w:rFonts w:eastAsia="Times New Roman" w:cs="Times New Roman"/>
      <w:b/>
      <w:bCs/>
      <w:sz w:val="28"/>
      <w:szCs w:val="28"/>
    </w:rPr>
  </w:style>
  <w:style w:type="paragraph" w:customStyle="1" w:styleId="xl129">
    <w:name w:val="xl129"/>
    <w:basedOn w:val="Normal"/>
    <w:rsid w:val="00247CBF"/>
    <w:pPr>
      <w:pBdr>
        <w:top w:val="single" w:sz="8" w:space="0" w:color="000000"/>
        <w:bottom w:val="single" w:sz="8" w:space="0" w:color="000000"/>
      </w:pBdr>
      <w:spacing w:before="100" w:beforeAutospacing="1" w:after="100" w:afterAutospacing="1"/>
      <w:jc w:val="left"/>
      <w:textAlignment w:val="center"/>
    </w:pPr>
    <w:rPr>
      <w:rFonts w:eastAsia="Times New Roman" w:cs="Times New Roman"/>
      <w:szCs w:val="24"/>
    </w:rPr>
  </w:style>
  <w:style w:type="paragraph" w:customStyle="1" w:styleId="xl130">
    <w:name w:val="xl130"/>
    <w:basedOn w:val="Normal"/>
    <w:rsid w:val="00247CBF"/>
    <w:pPr>
      <w:pBdr>
        <w:top w:val="single" w:sz="8" w:space="0" w:color="000000"/>
        <w:bottom w:val="single" w:sz="8" w:space="0" w:color="000000"/>
        <w:right w:val="single" w:sz="8" w:space="0" w:color="000000"/>
      </w:pBdr>
      <w:spacing w:before="100" w:beforeAutospacing="1" w:after="100" w:afterAutospacing="1"/>
      <w:jc w:val="left"/>
      <w:textAlignment w:val="center"/>
    </w:pPr>
    <w:rPr>
      <w:rFonts w:eastAsia="Times New Roman" w:cs="Times New Roman"/>
      <w:szCs w:val="24"/>
    </w:rPr>
  </w:style>
  <w:style w:type="paragraph" w:customStyle="1" w:styleId="xl131">
    <w:name w:val="xl131"/>
    <w:basedOn w:val="Normal"/>
    <w:rsid w:val="00247CBF"/>
    <w:pPr>
      <w:pBdr>
        <w:top w:val="single" w:sz="4" w:space="0" w:color="000000"/>
        <w:left w:val="single" w:sz="8" w:space="0" w:color="000000"/>
        <w:bottom w:val="single" w:sz="4" w:space="0" w:color="000000"/>
        <w:right w:val="single" w:sz="4" w:space="0" w:color="000000"/>
      </w:pBdr>
      <w:shd w:val="clear" w:color="000000" w:fill="D9D9D9"/>
      <w:spacing w:before="100" w:beforeAutospacing="1" w:after="100" w:afterAutospacing="1"/>
      <w:jc w:val="left"/>
      <w:textAlignment w:val="center"/>
    </w:pPr>
    <w:rPr>
      <w:rFonts w:eastAsia="Times New Roman" w:cs="Times New Roman"/>
      <w:b/>
      <w:bCs/>
      <w:sz w:val="28"/>
      <w:szCs w:val="28"/>
    </w:rPr>
  </w:style>
  <w:style w:type="paragraph" w:customStyle="1" w:styleId="xl132">
    <w:name w:val="xl132"/>
    <w:basedOn w:val="Normal"/>
    <w:rsid w:val="00247CBF"/>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eastAsia="Times New Roman" w:cs="Times New Roman"/>
      <w:szCs w:val="24"/>
    </w:rPr>
  </w:style>
  <w:style w:type="paragraph" w:customStyle="1" w:styleId="xl133">
    <w:name w:val="xl133"/>
    <w:basedOn w:val="Normal"/>
    <w:rsid w:val="00247CBF"/>
    <w:pPr>
      <w:pBdr>
        <w:top w:val="single" w:sz="4" w:space="0" w:color="000000"/>
        <w:left w:val="single" w:sz="4" w:space="0" w:color="000000"/>
        <w:bottom w:val="single" w:sz="4" w:space="0" w:color="000000"/>
        <w:right w:val="single" w:sz="8" w:space="0" w:color="000000"/>
      </w:pBdr>
      <w:spacing w:before="100" w:beforeAutospacing="1" w:after="100" w:afterAutospacing="1"/>
      <w:jc w:val="left"/>
      <w:textAlignment w:val="center"/>
    </w:pPr>
    <w:rPr>
      <w:rFonts w:eastAsia="Times New Roman" w:cs="Times New Roman"/>
      <w:szCs w:val="24"/>
    </w:rPr>
  </w:style>
  <w:style w:type="paragraph" w:customStyle="1" w:styleId="xl134">
    <w:name w:val="xl134"/>
    <w:basedOn w:val="Normal"/>
    <w:rsid w:val="00247CBF"/>
    <w:pPr>
      <w:pBdr>
        <w:top w:val="single" w:sz="4" w:space="0" w:color="000000"/>
        <w:left w:val="single" w:sz="8" w:space="0" w:color="000000"/>
        <w:bottom w:val="single" w:sz="4" w:space="0" w:color="000000"/>
        <w:right w:val="single" w:sz="4" w:space="0" w:color="000000"/>
      </w:pBdr>
      <w:spacing w:before="100" w:beforeAutospacing="1" w:after="100" w:afterAutospacing="1"/>
      <w:jc w:val="left"/>
      <w:textAlignment w:val="center"/>
    </w:pPr>
    <w:rPr>
      <w:rFonts w:eastAsia="Times New Roman" w:cs="Times New Roman"/>
      <w:szCs w:val="24"/>
    </w:rPr>
  </w:style>
  <w:style w:type="paragraph" w:customStyle="1" w:styleId="xl135">
    <w:name w:val="xl135"/>
    <w:basedOn w:val="Normal"/>
    <w:rsid w:val="00247CBF"/>
    <w:pPr>
      <w:pBdr>
        <w:top w:val="single" w:sz="8" w:space="0" w:color="000000"/>
        <w:bottom w:val="single" w:sz="8" w:space="0" w:color="000000"/>
      </w:pBdr>
      <w:shd w:val="clear" w:color="000000" w:fill="D9D9D9"/>
      <w:spacing w:before="100" w:beforeAutospacing="1" w:after="100" w:afterAutospacing="1"/>
      <w:jc w:val="left"/>
      <w:textAlignment w:val="center"/>
    </w:pPr>
    <w:rPr>
      <w:rFonts w:eastAsia="Times New Roman" w:cs="Times New Roman"/>
      <w:b/>
      <w:bCs/>
      <w:sz w:val="28"/>
      <w:szCs w:val="28"/>
    </w:rPr>
  </w:style>
  <w:style w:type="paragraph" w:customStyle="1" w:styleId="xl136">
    <w:name w:val="xl136"/>
    <w:basedOn w:val="Normal"/>
    <w:rsid w:val="00247CBF"/>
    <w:pPr>
      <w:pBdr>
        <w:top w:val="single" w:sz="8" w:space="0" w:color="000000"/>
        <w:bottom w:val="single" w:sz="8" w:space="0" w:color="000000"/>
        <w:right w:val="single" w:sz="8" w:space="0" w:color="000000"/>
      </w:pBdr>
      <w:shd w:val="clear" w:color="000000" w:fill="D9D9D9"/>
      <w:spacing w:before="100" w:beforeAutospacing="1" w:after="100" w:afterAutospacing="1"/>
      <w:jc w:val="left"/>
      <w:textAlignment w:val="center"/>
    </w:pPr>
    <w:rPr>
      <w:rFonts w:eastAsia="Times New Roman" w:cs="Times New Roman"/>
      <w:b/>
      <w:bCs/>
      <w:sz w:val="28"/>
      <w:szCs w:val="28"/>
    </w:rPr>
  </w:style>
  <w:style w:type="paragraph" w:customStyle="1" w:styleId="TableParagraph">
    <w:name w:val="Table Paragraph"/>
    <w:basedOn w:val="Normal"/>
    <w:uiPriority w:val="1"/>
    <w:qFormat/>
    <w:rsid w:val="00247CBF"/>
    <w:pPr>
      <w:widowControl w:val="0"/>
      <w:autoSpaceDE w:val="0"/>
      <w:autoSpaceDN w:val="0"/>
      <w:spacing w:after="0"/>
      <w:ind w:left="108"/>
      <w:jc w:val="left"/>
    </w:pPr>
    <w:rPr>
      <w:rFonts w:eastAsia="Times New Roman" w:cs="Times New Roman"/>
      <w:sz w:val="22"/>
    </w:rPr>
  </w:style>
  <w:style w:type="paragraph" w:customStyle="1" w:styleId="xl137">
    <w:name w:val="xl137"/>
    <w:basedOn w:val="Normal"/>
    <w:rsid w:val="00247CBF"/>
    <w:pPr>
      <w:shd w:val="clear" w:color="000000" w:fill="FFFFFF"/>
      <w:spacing w:before="100" w:beforeAutospacing="1" w:after="100" w:afterAutospacing="1"/>
      <w:jc w:val="right"/>
    </w:pPr>
    <w:rPr>
      <w:rFonts w:eastAsia="Times New Roman" w:cs="Times New Roman"/>
      <w:szCs w:val="24"/>
    </w:rPr>
  </w:style>
  <w:style w:type="paragraph" w:customStyle="1" w:styleId="xl138">
    <w:name w:val="xl138"/>
    <w:basedOn w:val="Normal"/>
    <w:rsid w:val="00247CBF"/>
    <w:pPr>
      <w:shd w:val="clear" w:color="000000" w:fill="FFFFFF"/>
      <w:spacing w:before="100" w:beforeAutospacing="1" w:after="100" w:afterAutospacing="1"/>
      <w:jc w:val="left"/>
    </w:pPr>
    <w:rPr>
      <w:rFonts w:eastAsia="Times New Roman" w:cs="Times New Roman"/>
      <w:b/>
      <w:bCs/>
      <w:szCs w:val="24"/>
    </w:rPr>
  </w:style>
  <w:style w:type="paragraph" w:customStyle="1" w:styleId="xl139">
    <w:name w:val="xl139"/>
    <w:basedOn w:val="Normal"/>
    <w:rsid w:val="00247CBF"/>
    <w:pPr>
      <w:shd w:val="clear" w:color="000000" w:fill="FFFFFF"/>
      <w:spacing w:before="100" w:beforeAutospacing="1" w:after="100" w:afterAutospacing="1"/>
      <w:jc w:val="left"/>
    </w:pPr>
    <w:rPr>
      <w:rFonts w:eastAsia="Times New Roman" w:cs="Times New Roman"/>
      <w:szCs w:val="24"/>
    </w:rPr>
  </w:style>
  <w:style w:type="paragraph" w:customStyle="1" w:styleId="xl140">
    <w:name w:val="xl140"/>
    <w:basedOn w:val="Normal"/>
    <w:rsid w:val="00247CBF"/>
    <w:pPr>
      <w:pBdr>
        <w:top w:val="single" w:sz="4" w:space="0" w:color="auto"/>
        <w:left w:val="double" w:sz="6" w:space="0" w:color="auto"/>
        <w:bottom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141">
    <w:name w:val="xl141"/>
    <w:basedOn w:val="Normal"/>
    <w:rsid w:val="00247CBF"/>
    <w:pPr>
      <w:pBdr>
        <w:top w:val="double" w:sz="6" w:space="0" w:color="auto"/>
        <w:left w:val="double" w:sz="6" w:space="0" w:color="auto"/>
        <w:bottom w:val="dotted" w:sz="4" w:space="0" w:color="auto"/>
        <w:right w:val="dotted" w:sz="4"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142">
    <w:name w:val="xl142"/>
    <w:basedOn w:val="Normal"/>
    <w:rsid w:val="00247CBF"/>
    <w:pPr>
      <w:pBdr>
        <w:top w:val="dotted" w:sz="4" w:space="0" w:color="auto"/>
        <w:left w:val="double" w:sz="6" w:space="0" w:color="auto"/>
        <w:bottom w:val="dotted" w:sz="4" w:space="0" w:color="auto"/>
        <w:right w:val="dotted" w:sz="4"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143">
    <w:name w:val="xl143"/>
    <w:basedOn w:val="Normal"/>
    <w:rsid w:val="00247CBF"/>
    <w:pPr>
      <w:pBdr>
        <w:top w:val="dotted" w:sz="4" w:space="0" w:color="auto"/>
        <w:left w:val="double" w:sz="6" w:space="0" w:color="auto"/>
        <w:bottom w:val="double" w:sz="6" w:space="0" w:color="auto"/>
        <w:right w:val="dotted" w:sz="4"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144">
    <w:name w:val="xl144"/>
    <w:basedOn w:val="Normal"/>
    <w:rsid w:val="00247CBF"/>
    <w:pPr>
      <w:shd w:val="clear" w:color="000000" w:fill="FFFFFF"/>
      <w:spacing w:before="100" w:beforeAutospacing="1" w:after="100" w:afterAutospacing="1"/>
      <w:jc w:val="center"/>
    </w:pPr>
    <w:rPr>
      <w:rFonts w:eastAsia="Times New Roman" w:cs="Times New Roman"/>
      <w:szCs w:val="24"/>
    </w:rPr>
  </w:style>
  <w:style w:type="paragraph" w:customStyle="1" w:styleId="xl145">
    <w:name w:val="xl145"/>
    <w:basedOn w:val="Normal"/>
    <w:rsid w:val="00247CBF"/>
    <w:pPr>
      <w:pBdr>
        <w:left w:val="single" w:sz="8" w:space="0" w:color="auto"/>
        <w:bottom w:val="dashed" w:sz="4"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46">
    <w:name w:val="xl146"/>
    <w:basedOn w:val="Normal"/>
    <w:rsid w:val="00247CBF"/>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47">
    <w:name w:val="xl147"/>
    <w:basedOn w:val="Normal"/>
    <w:rsid w:val="00247CBF"/>
    <w:pPr>
      <w:pBdr>
        <w:top w:val="dashed" w:sz="4" w:space="0" w:color="auto"/>
        <w:left w:val="single" w:sz="8" w:space="0" w:color="auto"/>
        <w:bottom w:val="single" w:sz="4"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48">
    <w:name w:val="xl148"/>
    <w:basedOn w:val="Normal"/>
    <w:rsid w:val="00247CBF"/>
    <w:pPr>
      <w:pBdr>
        <w:left w:val="single" w:sz="8" w:space="0" w:color="auto"/>
        <w:bottom w:val="single" w:sz="4"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49">
    <w:name w:val="xl149"/>
    <w:basedOn w:val="Normal"/>
    <w:rsid w:val="00247CBF"/>
    <w:pPr>
      <w:pBdr>
        <w:top w:val="dashed" w:sz="4" w:space="0" w:color="auto"/>
        <w:left w:val="single" w:sz="8"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50">
    <w:name w:val="xl150"/>
    <w:basedOn w:val="Normal"/>
    <w:rsid w:val="00247CB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51">
    <w:name w:val="xl151"/>
    <w:basedOn w:val="Normal"/>
    <w:rsid w:val="00247CBF"/>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52">
    <w:name w:val="xl152"/>
    <w:basedOn w:val="Normal"/>
    <w:rsid w:val="00247CB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53">
    <w:name w:val="xl153"/>
    <w:basedOn w:val="Normal"/>
    <w:rsid w:val="00247CBF"/>
    <w:pPr>
      <w:pBdr>
        <w:bottom w:val="double" w:sz="6"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154">
    <w:name w:val="xl154"/>
    <w:basedOn w:val="Normal"/>
    <w:rsid w:val="00247CB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b/>
      <w:bCs/>
      <w:szCs w:val="24"/>
    </w:rPr>
  </w:style>
  <w:style w:type="paragraph" w:customStyle="1" w:styleId="xl155">
    <w:name w:val="xl155"/>
    <w:basedOn w:val="Normal"/>
    <w:rsid w:val="00247CBF"/>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szCs w:val="24"/>
    </w:rPr>
  </w:style>
  <w:style w:type="paragraph" w:customStyle="1" w:styleId="xl156">
    <w:name w:val="xl156"/>
    <w:basedOn w:val="Normal"/>
    <w:rsid w:val="00247CBF"/>
    <w:pPr>
      <w:shd w:val="clear" w:color="000000" w:fill="FFFFFF"/>
      <w:spacing w:before="100" w:beforeAutospacing="1" w:after="100" w:afterAutospacing="1"/>
      <w:jc w:val="center"/>
      <w:textAlignment w:val="center"/>
    </w:pPr>
    <w:rPr>
      <w:rFonts w:eastAsia="Times New Roman" w:cs="Times New Roman"/>
      <w:szCs w:val="24"/>
    </w:rPr>
  </w:style>
  <w:style w:type="paragraph" w:customStyle="1" w:styleId="xl157">
    <w:name w:val="xl157"/>
    <w:basedOn w:val="Normal"/>
    <w:rsid w:val="00247CB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b/>
      <w:bCs/>
      <w:szCs w:val="24"/>
    </w:rPr>
  </w:style>
  <w:style w:type="paragraph" w:customStyle="1" w:styleId="xl158">
    <w:name w:val="xl158"/>
    <w:basedOn w:val="Normal"/>
    <w:rsid w:val="00247CBF"/>
    <w:pPr>
      <w:shd w:val="clear" w:color="000000" w:fill="FFFFFF"/>
      <w:spacing w:before="100" w:beforeAutospacing="1" w:after="100" w:afterAutospacing="1"/>
      <w:jc w:val="center"/>
    </w:pPr>
    <w:rPr>
      <w:rFonts w:eastAsia="Times New Roman" w:cs="Times New Roman"/>
      <w:szCs w:val="24"/>
    </w:rPr>
  </w:style>
  <w:style w:type="paragraph" w:customStyle="1" w:styleId="xl159">
    <w:name w:val="xl159"/>
    <w:basedOn w:val="Normal"/>
    <w:rsid w:val="00247CBF"/>
    <w:pPr>
      <w:spacing w:before="100" w:beforeAutospacing="1" w:after="100" w:afterAutospacing="1"/>
      <w:jc w:val="center"/>
    </w:pPr>
    <w:rPr>
      <w:rFonts w:eastAsia="Times New Roman" w:cs="Times New Roman"/>
      <w:szCs w:val="24"/>
    </w:rPr>
  </w:style>
  <w:style w:type="paragraph" w:customStyle="1" w:styleId="xl160">
    <w:name w:val="xl160"/>
    <w:basedOn w:val="Normal"/>
    <w:rsid w:val="00247CBF"/>
    <w:pPr>
      <w:pBdr>
        <w:left w:val="double" w:sz="6" w:space="0" w:color="auto"/>
        <w:bottom w:val="single" w:sz="4" w:space="0" w:color="auto"/>
      </w:pBdr>
      <w:spacing w:before="100" w:beforeAutospacing="1" w:after="100" w:afterAutospacing="1"/>
      <w:jc w:val="center"/>
    </w:pPr>
    <w:rPr>
      <w:rFonts w:eastAsia="Times New Roman" w:cs="Times New Roman"/>
      <w:b/>
      <w:bCs/>
      <w:szCs w:val="24"/>
    </w:rPr>
  </w:style>
  <w:style w:type="paragraph" w:customStyle="1" w:styleId="xl161">
    <w:name w:val="xl161"/>
    <w:basedOn w:val="Normal"/>
    <w:rsid w:val="00247CBF"/>
    <w:pPr>
      <w:pBdr>
        <w:top w:val="double" w:sz="6" w:space="0" w:color="auto"/>
        <w:left w:val="double" w:sz="6" w:space="0" w:color="auto"/>
        <w:bottom w:val="double" w:sz="6" w:space="0" w:color="auto"/>
      </w:pBdr>
      <w:shd w:val="clear" w:color="000000" w:fill="CC99FF"/>
      <w:spacing w:before="100" w:beforeAutospacing="1" w:after="100" w:afterAutospacing="1"/>
      <w:jc w:val="center"/>
    </w:pPr>
    <w:rPr>
      <w:rFonts w:eastAsia="Times New Roman" w:cs="Times New Roman"/>
      <w:b/>
      <w:bCs/>
      <w:sz w:val="16"/>
      <w:szCs w:val="16"/>
    </w:rPr>
  </w:style>
  <w:style w:type="paragraph" w:customStyle="1" w:styleId="xl162">
    <w:name w:val="xl162"/>
    <w:basedOn w:val="Normal"/>
    <w:rsid w:val="00247CBF"/>
    <w:pPr>
      <w:pBdr>
        <w:top w:val="double" w:sz="6" w:space="0" w:color="auto"/>
        <w:left w:val="single" w:sz="8" w:space="0" w:color="auto"/>
        <w:bottom w:val="double" w:sz="6" w:space="0" w:color="auto"/>
        <w:right w:val="single" w:sz="8" w:space="0" w:color="auto"/>
      </w:pBdr>
      <w:shd w:val="clear" w:color="000000" w:fill="CC99FF"/>
      <w:spacing w:before="100" w:beforeAutospacing="1" w:after="100" w:afterAutospacing="1"/>
      <w:jc w:val="center"/>
    </w:pPr>
    <w:rPr>
      <w:rFonts w:eastAsia="Times New Roman" w:cs="Times New Roman"/>
      <w:szCs w:val="24"/>
    </w:rPr>
  </w:style>
  <w:style w:type="paragraph" w:customStyle="1" w:styleId="xl163">
    <w:name w:val="xl163"/>
    <w:basedOn w:val="Normal"/>
    <w:rsid w:val="00247CBF"/>
    <w:pPr>
      <w:pBdr>
        <w:top w:val="double" w:sz="6" w:space="0" w:color="auto"/>
        <w:bottom w:val="double" w:sz="6" w:space="0" w:color="auto"/>
        <w:right w:val="dashed" w:sz="4"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164">
    <w:name w:val="xl164"/>
    <w:basedOn w:val="Normal"/>
    <w:rsid w:val="00247CBF"/>
    <w:pPr>
      <w:pBdr>
        <w:top w:val="double" w:sz="6" w:space="0" w:color="auto"/>
        <w:left w:val="dashed" w:sz="4" w:space="0" w:color="auto"/>
        <w:bottom w:val="double" w:sz="6" w:space="0" w:color="auto"/>
        <w:right w:val="dashed" w:sz="4"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165">
    <w:name w:val="xl165"/>
    <w:basedOn w:val="Normal"/>
    <w:rsid w:val="00247CBF"/>
    <w:pPr>
      <w:pBdr>
        <w:top w:val="double" w:sz="6" w:space="0" w:color="auto"/>
        <w:left w:val="single" w:sz="8" w:space="0" w:color="auto"/>
        <w:bottom w:val="double" w:sz="6" w:space="0" w:color="auto"/>
        <w:right w:val="single" w:sz="8" w:space="0" w:color="auto"/>
      </w:pBdr>
      <w:shd w:val="clear" w:color="000000" w:fill="FFCC99"/>
      <w:spacing w:before="100" w:beforeAutospacing="1" w:after="100" w:afterAutospacing="1"/>
      <w:jc w:val="center"/>
      <w:textAlignment w:val="center"/>
    </w:pPr>
    <w:rPr>
      <w:rFonts w:eastAsia="Times New Roman" w:cs="Times New Roman"/>
      <w:szCs w:val="24"/>
    </w:rPr>
  </w:style>
  <w:style w:type="paragraph" w:customStyle="1" w:styleId="xl166">
    <w:name w:val="xl166"/>
    <w:basedOn w:val="Normal"/>
    <w:rsid w:val="00247CBF"/>
    <w:pPr>
      <w:pBdr>
        <w:top w:val="double" w:sz="6" w:space="0" w:color="auto"/>
        <w:left w:val="double" w:sz="6" w:space="0" w:color="auto"/>
        <w:bottom w:val="double" w:sz="6" w:space="0" w:color="auto"/>
      </w:pBdr>
      <w:shd w:val="clear" w:color="000000" w:fill="CCCCFF"/>
      <w:spacing w:before="100" w:beforeAutospacing="1" w:after="100" w:afterAutospacing="1"/>
      <w:jc w:val="left"/>
      <w:textAlignment w:val="center"/>
    </w:pPr>
    <w:rPr>
      <w:rFonts w:eastAsia="Times New Roman" w:cs="Times New Roman"/>
      <w:b/>
      <w:bCs/>
      <w:szCs w:val="24"/>
    </w:rPr>
  </w:style>
  <w:style w:type="paragraph" w:customStyle="1" w:styleId="xl167">
    <w:name w:val="xl167"/>
    <w:basedOn w:val="Normal"/>
    <w:rsid w:val="00247CBF"/>
    <w:pPr>
      <w:pBdr>
        <w:top w:val="double" w:sz="6" w:space="0" w:color="auto"/>
        <w:left w:val="single" w:sz="8" w:space="0" w:color="auto"/>
        <w:bottom w:val="double" w:sz="6" w:space="0" w:color="auto"/>
        <w:right w:val="single" w:sz="8" w:space="0" w:color="auto"/>
      </w:pBdr>
      <w:shd w:val="clear" w:color="000000" w:fill="CCCCFF"/>
      <w:spacing w:before="100" w:beforeAutospacing="1" w:after="100" w:afterAutospacing="1"/>
      <w:jc w:val="center"/>
      <w:textAlignment w:val="center"/>
    </w:pPr>
    <w:rPr>
      <w:rFonts w:eastAsia="Times New Roman" w:cs="Times New Roman"/>
      <w:b/>
      <w:bCs/>
      <w:szCs w:val="24"/>
    </w:rPr>
  </w:style>
  <w:style w:type="paragraph" w:customStyle="1" w:styleId="xl168">
    <w:name w:val="xl168"/>
    <w:basedOn w:val="Normal"/>
    <w:rsid w:val="00247CBF"/>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szCs w:val="24"/>
    </w:rPr>
  </w:style>
  <w:style w:type="paragraph" w:customStyle="1" w:styleId="xl169">
    <w:name w:val="xl169"/>
    <w:basedOn w:val="Normal"/>
    <w:rsid w:val="00247CBF"/>
    <w:pPr>
      <w:pBdr>
        <w:top w:val="double" w:sz="6" w:space="0" w:color="auto"/>
        <w:left w:val="double" w:sz="6" w:space="0" w:color="auto"/>
        <w:bottom w:val="double" w:sz="6" w:space="0" w:color="auto"/>
      </w:pBdr>
      <w:shd w:val="clear" w:color="000000" w:fill="FFCC99"/>
      <w:spacing w:before="100" w:beforeAutospacing="1" w:after="100" w:afterAutospacing="1"/>
      <w:jc w:val="left"/>
      <w:textAlignment w:val="center"/>
    </w:pPr>
    <w:rPr>
      <w:rFonts w:eastAsia="Times New Roman" w:cs="Times New Roman"/>
      <w:b/>
      <w:bCs/>
      <w:szCs w:val="24"/>
    </w:rPr>
  </w:style>
  <w:style w:type="paragraph" w:customStyle="1" w:styleId="xl170">
    <w:name w:val="xl170"/>
    <w:basedOn w:val="Normal"/>
    <w:rsid w:val="00247CBF"/>
    <w:pPr>
      <w:pBdr>
        <w:top w:val="dotted" w:sz="4" w:space="0" w:color="auto"/>
        <w:left w:val="double" w:sz="6" w:space="0" w:color="auto"/>
        <w:bottom w:val="dotted" w:sz="4" w:space="0" w:color="auto"/>
      </w:pBdr>
      <w:spacing w:before="100" w:beforeAutospacing="1" w:after="100" w:afterAutospacing="1"/>
      <w:jc w:val="left"/>
      <w:textAlignment w:val="center"/>
    </w:pPr>
    <w:rPr>
      <w:rFonts w:eastAsia="Times New Roman" w:cs="Times New Roman"/>
      <w:i/>
      <w:iCs/>
      <w:szCs w:val="24"/>
    </w:rPr>
  </w:style>
  <w:style w:type="paragraph" w:customStyle="1" w:styleId="xl171">
    <w:name w:val="xl171"/>
    <w:basedOn w:val="Normal"/>
    <w:rsid w:val="00247CBF"/>
    <w:pPr>
      <w:pBdr>
        <w:top w:val="dotted" w:sz="4" w:space="0" w:color="auto"/>
        <w:left w:val="double" w:sz="6" w:space="0" w:color="auto"/>
        <w:bottom w:val="dotted" w:sz="4" w:space="0" w:color="auto"/>
        <w:right w:val="single" w:sz="8" w:space="0" w:color="auto"/>
      </w:pBdr>
      <w:spacing w:before="100" w:beforeAutospacing="1" w:after="100" w:afterAutospacing="1"/>
      <w:jc w:val="left"/>
      <w:textAlignment w:val="center"/>
    </w:pPr>
    <w:rPr>
      <w:rFonts w:eastAsia="Times New Roman" w:cs="Times New Roman"/>
      <w:i/>
      <w:iCs/>
      <w:szCs w:val="24"/>
    </w:rPr>
  </w:style>
  <w:style w:type="paragraph" w:customStyle="1" w:styleId="xl172">
    <w:name w:val="xl172"/>
    <w:basedOn w:val="Normal"/>
    <w:rsid w:val="00247CBF"/>
    <w:pPr>
      <w:pBdr>
        <w:top w:val="dotted" w:sz="4" w:space="0" w:color="auto"/>
        <w:left w:val="double" w:sz="6" w:space="0" w:color="auto"/>
        <w:bottom w:val="dotted" w:sz="4" w:space="0" w:color="auto"/>
        <w:right w:val="single" w:sz="8" w:space="0" w:color="auto"/>
      </w:pBdr>
      <w:spacing w:before="100" w:beforeAutospacing="1" w:after="100" w:afterAutospacing="1"/>
      <w:jc w:val="left"/>
      <w:textAlignment w:val="center"/>
    </w:pPr>
    <w:rPr>
      <w:rFonts w:eastAsia="Times New Roman" w:cs="Times New Roman"/>
      <w:szCs w:val="24"/>
    </w:rPr>
  </w:style>
  <w:style w:type="paragraph" w:customStyle="1" w:styleId="xl173">
    <w:name w:val="xl173"/>
    <w:basedOn w:val="Normal"/>
    <w:rsid w:val="00247CBF"/>
    <w:pPr>
      <w:pBdr>
        <w:top w:val="double" w:sz="6" w:space="0" w:color="auto"/>
        <w:left w:val="dotted" w:sz="4" w:space="0" w:color="auto"/>
        <w:bottom w:val="dotted" w:sz="4" w:space="0" w:color="auto"/>
        <w:right w:val="double" w:sz="6" w:space="0" w:color="auto"/>
      </w:pBdr>
      <w:shd w:val="clear" w:color="000000" w:fill="FFFF99"/>
      <w:spacing w:before="100" w:beforeAutospacing="1" w:after="100" w:afterAutospacing="1"/>
      <w:jc w:val="center"/>
    </w:pPr>
    <w:rPr>
      <w:rFonts w:eastAsia="Times New Roman" w:cs="Times New Roman"/>
      <w:b/>
      <w:bCs/>
      <w:szCs w:val="24"/>
    </w:rPr>
  </w:style>
  <w:style w:type="paragraph" w:customStyle="1" w:styleId="xl174">
    <w:name w:val="xl174"/>
    <w:basedOn w:val="Normal"/>
    <w:rsid w:val="00247CBF"/>
    <w:pPr>
      <w:pBdr>
        <w:top w:val="dotted" w:sz="4" w:space="0" w:color="auto"/>
        <w:left w:val="dotted" w:sz="4" w:space="0" w:color="auto"/>
        <w:bottom w:val="dotted" w:sz="4" w:space="0" w:color="auto"/>
        <w:right w:val="double" w:sz="6" w:space="0" w:color="auto"/>
      </w:pBdr>
      <w:shd w:val="clear" w:color="000000" w:fill="FFFF99"/>
      <w:spacing w:before="100" w:beforeAutospacing="1" w:after="100" w:afterAutospacing="1"/>
      <w:jc w:val="center"/>
    </w:pPr>
    <w:rPr>
      <w:rFonts w:eastAsia="Times New Roman" w:cs="Times New Roman"/>
      <w:szCs w:val="24"/>
    </w:rPr>
  </w:style>
  <w:style w:type="paragraph" w:customStyle="1" w:styleId="xl175">
    <w:name w:val="xl175"/>
    <w:basedOn w:val="Normal"/>
    <w:rsid w:val="00247CBF"/>
    <w:pPr>
      <w:pBdr>
        <w:top w:val="dotted" w:sz="4" w:space="0" w:color="auto"/>
        <w:left w:val="dotted" w:sz="4" w:space="0" w:color="auto"/>
        <w:bottom w:val="double" w:sz="6" w:space="0" w:color="auto"/>
        <w:right w:val="double" w:sz="6" w:space="0" w:color="auto"/>
      </w:pBdr>
      <w:shd w:val="clear" w:color="000000" w:fill="FFFF99"/>
      <w:spacing w:before="100" w:beforeAutospacing="1" w:after="100" w:afterAutospacing="1"/>
      <w:jc w:val="center"/>
    </w:pPr>
    <w:rPr>
      <w:rFonts w:eastAsia="Times New Roman" w:cs="Times New Roman"/>
      <w:szCs w:val="24"/>
    </w:rPr>
  </w:style>
  <w:style w:type="paragraph" w:customStyle="1" w:styleId="xl176">
    <w:name w:val="xl176"/>
    <w:basedOn w:val="Normal"/>
    <w:rsid w:val="00247CBF"/>
    <w:pPr>
      <w:pBdr>
        <w:top w:val="dotted" w:sz="4" w:space="0" w:color="000000"/>
        <w:left w:val="double" w:sz="6" w:space="0" w:color="000000"/>
        <w:bottom w:val="double" w:sz="6" w:space="0" w:color="000000"/>
      </w:pBdr>
      <w:shd w:val="clear" w:color="000000" w:fill="FFFFFF"/>
      <w:spacing w:before="100" w:beforeAutospacing="1" w:after="100" w:afterAutospacing="1"/>
      <w:jc w:val="left"/>
    </w:pPr>
    <w:rPr>
      <w:rFonts w:eastAsia="Times New Roman" w:cs="Times New Roman"/>
      <w:szCs w:val="24"/>
    </w:rPr>
  </w:style>
  <w:style w:type="paragraph" w:customStyle="1" w:styleId="xl177">
    <w:name w:val="xl177"/>
    <w:basedOn w:val="Normal"/>
    <w:rsid w:val="00247CBF"/>
    <w:pPr>
      <w:pBdr>
        <w:top w:val="dotted" w:sz="4" w:space="0" w:color="000000"/>
        <w:left w:val="double" w:sz="6" w:space="9" w:color="000000"/>
        <w:bottom w:val="single" w:sz="4" w:space="0" w:color="auto"/>
      </w:pBdr>
      <w:shd w:val="clear" w:color="000000" w:fill="FFFFFF"/>
      <w:spacing w:before="100" w:beforeAutospacing="1" w:after="100" w:afterAutospacing="1"/>
      <w:ind w:firstLineChars="100" w:firstLine="100"/>
      <w:jc w:val="left"/>
    </w:pPr>
    <w:rPr>
      <w:rFonts w:eastAsia="Times New Roman" w:cs="Times New Roman"/>
      <w:szCs w:val="24"/>
    </w:rPr>
  </w:style>
  <w:style w:type="paragraph" w:customStyle="1" w:styleId="xl178">
    <w:name w:val="xl178"/>
    <w:basedOn w:val="Normal"/>
    <w:rsid w:val="00247CBF"/>
    <w:pPr>
      <w:pBdr>
        <w:left w:val="double" w:sz="6" w:space="0" w:color="000000"/>
        <w:bottom w:val="dotted" w:sz="4" w:space="0" w:color="000000"/>
      </w:pBdr>
      <w:shd w:val="clear" w:color="000000" w:fill="FFFFFF"/>
      <w:spacing w:before="100" w:beforeAutospacing="1" w:after="100" w:afterAutospacing="1"/>
      <w:jc w:val="left"/>
    </w:pPr>
    <w:rPr>
      <w:rFonts w:eastAsia="Times New Roman" w:cs="Times New Roman"/>
      <w:szCs w:val="24"/>
    </w:rPr>
  </w:style>
  <w:style w:type="paragraph" w:customStyle="1" w:styleId="xl179">
    <w:name w:val="xl179"/>
    <w:basedOn w:val="Normal"/>
    <w:rsid w:val="00247CBF"/>
    <w:pPr>
      <w:pBdr>
        <w:top w:val="dotted" w:sz="4" w:space="0" w:color="000000"/>
        <w:left w:val="double" w:sz="6" w:space="27" w:color="000000"/>
        <w:bottom w:val="single" w:sz="4" w:space="0" w:color="auto"/>
      </w:pBdr>
      <w:shd w:val="clear" w:color="000000" w:fill="FFFFFF"/>
      <w:spacing w:before="100" w:beforeAutospacing="1" w:after="100" w:afterAutospacing="1"/>
      <w:ind w:firstLineChars="300" w:firstLine="300"/>
      <w:jc w:val="left"/>
    </w:pPr>
    <w:rPr>
      <w:rFonts w:eastAsia="Times New Roman" w:cs="Times New Roman"/>
      <w:szCs w:val="24"/>
    </w:rPr>
  </w:style>
  <w:style w:type="paragraph" w:customStyle="1" w:styleId="xl180">
    <w:name w:val="xl180"/>
    <w:basedOn w:val="Normal"/>
    <w:rsid w:val="00247CBF"/>
    <w:pPr>
      <w:pBdr>
        <w:left w:val="double" w:sz="6" w:space="0" w:color="auto"/>
        <w:bottom w:val="dotted" w:sz="4" w:space="0" w:color="auto"/>
        <w:right w:val="single" w:sz="8" w:space="0" w:color="auto"/>
      </w:pBdr>
      <w:spacing w:before="100" w:beforeAutospacing="1" w:after="100" w:afterAutospacing="1"/>
      <w:jc w:val="left"/>
      <w:textAlignment w:val="center"/>
    </w:pPr>
    <w:rPr>
      <w:rFonts w:eastAsia="Times New Roman" w:cs="Times New Roman"/>
      <w:szCs w:val="24"/>
    </w:rPr>
  </w:style>
  <w:style w:type="paragraph" w:customStyle="1" w:styleId="xl181">
    <w:name w:val="xl181"/>
    <w:basedOn w:val="Normal"/>
    <w:rsid w:val="00247CBF"/>
    <w:pPr>
      <w:pBdr>
        <w:left w:val="double" w:sz="6" w:space="0" w:color="auto"/>
        <w:bottom w:val="dotted" w:sz="4" w:space="0" w:color="auto"/>
        <w:right w:val="dotted" w:sz="4" w:space="0" w:color="auto"/>
      </w:pBdr>
      <w:shd w:val="clear" w:color="000000" w:fill="FFFFFF"/>
      <w:spacing w:before="100" w:beforeAutospacing="1" w:after="100" w:afterAutospacing="1"/>
      <w:jc w:val="left"/>
      <w:textAlignment w:val="center"/>
    </w:pPr>
    <w:rPr>
      <w:rFonts w:eastAsia="Times New Roman" w:cs="Times New Roman"/>
      <w:szCs w:val="24"/>
    </w:rPr>
  </w:style>
  <w:style w:type="paragraph" w:customStyle="1" w:styleId="xl182">
    <w:name w:val="xl182"/>
    <w:basedOn w:val="Normal"/>
    <w:rsid w:val="00247CBF"/>
    <w:pPr>
      <w:pBdr>
        <w:left w:val="double" w:sz="6" w:space="0" w:color="auto"/>
        <w:bottom w:val="dotted" w:sz="4" w:space="0" w:color="auto"/>
        <w:right w:val="dotted" w:sz="4" w:space="0" w:color="auto"/>
      </w:pBdr>
      <w:shd w:val="clear" w:color="000000" w:fill="FFFFFF"/>
      <w:spacing w:before="100" w:beforeAutospacing="1" w:after="100" w:afterAutospacing="1"/>
      <w:jc w:val="left"/>
      <w:textAlignment w:val="center"/>
    </w:pPr>
    <w:rPr>
      <w:rFonts w:eastAsia="Times New Roman" w:cs="Times New Roman"/>
      <w:szCs w:val="24"/>
    </w:rPr>
  </w:style>
  <w:style w:type="paragraph" w:customStyle="1" w:styleId="xl183">
    <w:name w:val="xl183"/>
    <w:basedOn w:val="Normal"/>
    <w:rsid w:val="00247CBF"/>
    <w:pPr>
      <w:shd w:val="clear" w:color="000000" w:fill="FFFFFF"/>
      <w:spacing w:before="100" w:beforeAutospacing="1" w:after="100" w:afterAutospacing="1"/>
      <w:jc w:val="right"/>
    </w:pPr>
    <w:rPr>
      <w:rFonts w:eastAsia="Times New Roman" w:cs="Times New Roman"/>
      <w:szCs w:val="24"/>
    </w:rPr>
  </w:style>
  <w:style w:type="paragraph" w:customStyle="1" w:styleId="xl184">
    <w:name w:val="xl184"/>
    <w:basedOn w:val="Normal"/>
    <w:rsid w:val="00247CBF"/>
    <w:pPr>
      <w:pBdr>
        <w:bottom w:val="dotted" w:sz="4" w:space="0" w:color="auto"/>
        <w:right w:val="single" w:sz="8" w:space="0" w:color="auto"/>
      </w:pBdr>
      <w:shd w:val="clear" w:color="000000" w:fill="FFFFFF"/>
      <w:spacing w:before="100" w:beforeAutospacing="1" w:after="100" w:afterAutospacing="1"/>
      <w:jc w:val="center"/>
      <w:textAlignment w:val="top"/>
    </w:pPr>
    <w:rPr>
      <w:rFonts w:eastAsia="Times New Roman" w:cs="Times New Roman"/>
      <w:sz w:val="18"/>
      <w:szCs w:val="18"/>
    </w:rPr>
  </w:style>
  <w:style w:type="paragraph" w:customStyle="1" w:styleId="xl185">
    <w:name w:val="xl185"/>
    <w:basedOn w:val="Normal"/>
    <w:rsid w:val="00247CBF"/>
    <w:pP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186">
    <w:name w:val="xl186"/>
    <w:basedOn w:val="Normal"/>
    <w:rsid w:val="00247CBF"/>
    <w:pPr>
      <w:pBdr>
        <w:top w:val="dotted" w:sz="4" w:space="0" w:color="auto"/>
        <w:left w:val="double" w:sz="6" w:space="9" w:color="auto"/>
        <w:bottom w:val="double" w:sz="6" w:space="0" w:color="auto"/>
        <w:right w:val="single" w:sz="8" w:space="0" w:color="auto"/>
      </w:pBdr>
      <w:shd w:val="clear" w:color="000000" w:fill="FFFFFF"/>
      <w:spacing w:before="100" w:beforeAutospacing="1" w:after="100" w:afterAutospacing="1"/>
      <w:ind w:firstLineChars="100" w:firstLine="100"/>
      <w:jc w:val="left"/>
      <w:textAlignment w:val="top"/>
    </w:pPr>
    <w:rPr>
      <w:rFonts w:eastAsia="Times New Roman" w:cs="Times New Roman"/>
      <w:szCs w:val="24"/>
    </w:rPr>
  </w:style>
  <w:style w:type="paragraph" w:customStyle="1" w:styleId="xl187">
    <w:name w:val="xl187"/>
    <w:basedOn w:val="Normal"/>
    <w:rsid w:val="00247CBF"/>
    <w:pPr>
      <w:pBdr>
        <w:top w:val="dashed" w:sz="4" w:space="0" w:color="auto"/>
        <w:bottom w:val="double" w:sz="6"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88">
    <w:name w:val="xl188"/>
    <w:basedOn w:val="Normal"/>
    <w:rsid w:val="00247CBF"/>
    <w:pPr>
      <w:pBdr>
        <w:top w:val="double" w:sz="6" w:space="0" w:color="auto"/>
        <w:left w:val="double" w:sz="6" w:space="9" w:color="auto"/>
        <w:bottom w:val="dotted" w:sz="4" w:space="0" w:color="auto"/>
        <w:right w:val="single" w:sz="8" w:space="0" w:color="auto"/>
      </w:pBdr>
      <w:shd w:val="clear" w:color="000000" w:fill="FFFFFF"/>
      <w:spacing w:before="100" w:beforeAutospacing="1" w:after="100" w:afterAutospacing="1"/>
      <w:ind w:firstLineChars="100" w:firstLine="100"/>
      <w:jc w:val="left"/>
      <w:textAlignment w:val="top"/>
    </w:pPr>
    <w:rPr>
      <w:rFonts w:eastAsia="Times New Roman" w:cs="Times New Roman"/>
      <w:szCs w:val="24"/>
    </w:rPr>
  </w:style>
  <w:style w:type="paragraph" w:customStyle="1" w:styleId="xl189">
    <w:name w:val="xl189"/>
    <w:basedOn w:val="Normal"/>
    <w:rsid w:val="00247CBF"/>
    <w:pPr>
      <w:pBdr>
        <w:left w:val="double" w:sz="6" w:space="9" w:color="auto"/>
        <w:bottom w:val="dotted" w:sz="4" w:space="0" w:color="auto"/>
        <w:right w:val="single" w:sz="8" w:space="0" w:color="auto"/>
      </w:pBdr>
      <w:shd w:val="clear" w:color="000000" w:fill="FFFFFF"/>
      <w:spacing w:before="100" w:beforeAutospacing="1" w:after="100" w:afterAutospacing="1"/>
      <w:ind w:firstLineChars="100" w:firstLine="100"/>
      <w:jc w:val="left"/>
      <w:textAlignment w:val="top"/>
    </w:pPr>
    <w:rPr>
      <w:rFonts w:eastAsia="Times New Roman" w:cs="Times New Roman"/>
      <w:szCs w:val="24"/>
    </w:rPr>
  </w:style>
  <w:style w:type="paragraph" w:customStyle="1" w:styleId="xl190">
    <w:name w:val="xl190"/>
    <w:basedOn w:val="Normal"/>
    <w:rsid w:val="00247CBF"/>
    <w:pPr>
      <w:shd w:val="clear" w:color="000000" w:fill="FFFFFF"/>
      <w:spacing w:before="100" w:beforeAutospacing="1" w:after="100" w:afterAutospacing="1"/>
      <w:jc w:val="left"/>
      <w:textAlignment w:val="center"/>
    </w:pPr>
    <w:rPr>
      <w:rFonts w:ascii="Arial" w:eastAsia="Times New Roman" w:hAnsi="Arial" w:cs="Arial"/>
      <w:szCs w:val="24"/>
    </w:rPr>
  </w:style>
  <w:style w:type="paragraph" w:customStyle="1" w:styleId="xl191">
    <w:name w:val="xl191"/>
    <w:basedOn w:val="Normal"/>
    <w:rsid w:val="00247CBF"/>
    <w:pPr>
      <w:shd w:val="clear" w:color="000000" w:fill="FFFFFF"/>
      <w:spacing w:before="100" w:beforeAutospacing="1" w:after="100" w:afterAutospacing="1"/>
      <w:jc w:val="left"/>
    </w:pPr>
    <w:rPr>
      <w:rFonts w:eastAsia="Times New Roman" w:cs="Times New Roman"/>
      <w:szCs w:val="24"/>
    </w:rPr>
  </w:style>
  <w:style w:type="paragraph" w:customStyle="1" w:styleId="xl192">
    <w:name w:val="xl192"/>
    <w:basedOn w:val="Normal"/>
    <w:rsid w:val="00247CBF"/>
    <w:pPr>
      <w:shd w:val="clear" w:color="000000" w:fill="FFFFFF"/>
      <w:spacing w:before="100" w:beforeAutospacing="1" w:after="100" w:afterAutospacing="1"/>
    </w:pPr>
    <w:rPr>
      <w:rFonts w:eastAsia="Times New Roman" w:cs="Times New Roman"/>
      <w:sz w:val="16"/>
      <w:szCs w:val="16"/>
    </w:rPr>
  </w:style>
  <w:style w:type="paragraph" w:customStyle="1" w:styleId="xl193">
    <w:name w:val="xl193"/>
    <w:basedOn w:val="Normal"/>
    <w:rsid w:val="00247CBF"/>
    <w:pPr>
      <w:shd w:val="clear" w:color="000000" w:fill="FFFFFF"/>
      <w:spacing w:before="100" w:beforeAutospacing="1" w:after="100" w:afterAutospacing="1"/>
      <w:jc w:val="left"/>
    </w:pPr>
    <w:rPr>
      <w:rFonts w:eastAsia="Times New Roman" w:cs="Times New Roman"/>
      <w:sz w:val="16"/>
      <w:szCs w:val="16"/>
    </w:rPr>
  </w:style>
  <w:style w:type="paragraph" w:customStyle="1" w:styleId="xl194">
    <w:name w:val="xl194"/>
    <w:basedOn w:val="Normal"/>
    <w:rsid w:val="00247CBF"/>
    <w:pPr>
      <w:shd w:val="clear" w:color="000000" w:fill="FFFFFF"/>
      <w:spacing w:before="100" w:beforeAutospacing="1" w:after="100" w:afterAutospacing="1"/>
      <w:jc w:val="center"/>
    </w:pPr>
    <w:rPr>
      <w:rFonts w:eastAsia="Times New Roman" w:cs="Times New Roman"/>
      <w:sz w:val="16"/>
      <w:szCs w:val="16"/>
    </w:rPr>
  </w:style>
  <w:style w:type="paragraph" w:customStyle="1" w:styleId="xl195">
    <w:name w:val="xl195"/>
    <w:basedOn w:val="Normal"/>
    <w:rsid w:val="00247CBF"/>
    <w:pPr>
      <w:pBdr>
        <w:top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196">
    <w:name w:val="xl196"/>
    <w:basedOn w:val="Normal"/>
    <w:rsid w:val="00247CBF"/>
    <w:pPr>
      <w:pBdr>
        <w:top w:val="double" w:sz="6" w:space="0" w:color="auto"/>
        <w:left w:val="double" w:sz="6" w:space="0" w:color="auto"/>
        <w:bottom w:val="single" w:sz="8"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197">
    <w:name w:val="xl197"/>
    <w:basedOn w:val="Normal"/>
    <w:rsid w:val="00247CBF"/>
    <w:pPr>
      <w:pBdr>
        <w:top w:val="dotted" w:sz="4" w:space="0" w:color="auto"/>
        <w:left w:val="double" w:sz="6"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198">
    <w:name w:val="xl198"/>
    <w:basedOn w:val="Normal"/>
    <w:rsid w:val="00247CBF"/>
    <w:pPr>
      <w:pBdr>
        <w:left w:val="double" w:sz="6" w:space="0" w:color="auto"/>
        <w:bottom w:val="single" w:sz="4"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199">
    <w:name w:val="xl199"/>
    <w:basedOn w:val="Normal"/>
    <w:rsid w:val="00247CBF"/>
    <w:pPr>
      <w:pBdr>
        <w:left w:val="double" w:sz="6" w:space="0" w:color="auto"/>
        <w:bottom w:val="dotted" w:sz="4" w:space="0" w:color="auto"/>
        <w:right w:val="single" w:sz="8" w:space="0" w:color="auto"/>
      </w:pBdr>
      <w:spacing w:before="100" w:beforeAutospacing="1" w:after="100" w:afterAutospacing="1"/>
      <w:jc w:val="left"/>
      <w:textAlignment w:val="center"/>
    </w:pPr>
    <w:rPr>
      <w:rFonts w:eastAsia="Times New Roman" w:cs="Times New Roman"/>
      <w:szCs w:val="24"/>
    </w:rPr>
  </w:style>
  <w:style w:type="paragraph" w:customStyle="1" w:styleId="xl200">
    <w:name w:val="xl200"/>
    <w:basedOn w:val="Normal"/>
    <w:rsid w:val="00247CBF"/>
    <w:pPr>
      <w:pBdr>
        <w:left w:val="double" w:sz="6" w:space="0" w:color="auto"/>
        <w:bottom w:val="dotted" w:sz="4" w:space="0" w:color="auto"/>
        <w:right w:val="dotted" w:sz="4" w:space="0" w:color="auto"/>
      </w:pBdr>
      <w:shd w:val="clear" w:color="000000" w:fill="FFFFFF"/>
      <w:spacing w:before="100" w:beforeAutospacing="1" w:after="100" w:afterAutospacing="1"/>
      <w:jc w:val="left"/>
      <w:textAlignment w:val="center"/>
    </w:pPr>
    <w:rPr>
      <w:rFonts w:eastAsia="Times New Roman" w:cs="Times New Roman"/>
      <w:szCs w:val="24"/>
    </w:rPr>
  </w:style>
  <w:style w:type="paragraph" w:customStyle="1" w:styleId="xl201">
    <w:name w:val="xl201"/>
    <w:basedOn w:val="Normal"/>
    <w:rsid w:val="00247CBF"/>
    <w:pPr>
      <w:pBdr>
        <w:left w:val="double" w:sz="6" w:space="0" w:color="auto"/>
        <w:bottom w:val="single" w:sz="8" w:space="0" w:color="auto"/>
        <w:right w:val="dotted" w:sz="4" w:space="0" w:color="auto"/>
      </w:pBdr>
      <w:shd w:val="clear" w:color="000000" w:fill="FFFFFF"/>
      <w:spacing w:before="100" w:beforeAutospacing="1" w:after="100" w:afterAutospacing="1"/>
      <w:jc w:val="left"/>
      <w:textAlignment w:val="center"/>
    </w:pPr>
    <w:rPr>
      <w:rFonts w:eastAsia="Times New Roman" w:cs="Times New Roman"/>
      <w:szCs w:val="24"/>
    </w:rPr>
  </w:style>
  <w:style w:type="paragraph" w:customStyle="1" w:styleId="xl202">
    <w:name w:val="xl202"/>
    <w:basedOn w:val="Normal"/>
    <w:rsid w:val="00247CBF"/>
    <w:pPr>
      <w:pBdr>
        <w:left w:val="double" w:sz="6" w:space="0" w:color="auto"/>
        <w:bottom w:val="dotted" w:sz="4" w:space="0" w:color="auto"/>
      </w:pBdr>
      <w:spacing w:before="100" w:beforeAutospacing="1" w:after="100" w:afterAutospacing="1"/>
      <w:jc w:val="left"/>
      <w:textAlignment w:val="center"/>
    </w:pPr>
    <w:rPr>
      <w:rFonts w:eastAsia="Times New Roman" w:cs="Times New Roman"/>
      <w:szCs w:val="24"/>
    </w:rPr>
  </w:style>
  <w:style w:type="paragraph" w:customStyle="1" w:styleId="xl203">
    <w:name w:val="xl203"/>
    <w:basedOn w:val="Normal"/>
    <w:rsid w:val="00247CBF"/>
    <w:pPr>
      <w:pBdr>
        <w:left w:val="single" w:sz="8" w:space="0" w:color="auto"/>
        <w:bottom w:val="dotted" w:sz="4" w:space="0" w:color="auto"/>
        <w:right w:val="single" w:sz="8" w:space="0" w:color="auto"/>
      </w:pBdr>
      <w:spacing w:before="100" w:beforeAutospacing="1" w:after="100" w:afterAutospacing="1"/>
      <w:jc w:val="left"/>
      <w:textAlignment w:val="center"/>
    </w:pPr>
    <w:rPr>
      <w:rFonts w:eastAsia="Times New Roman" w:cs="Times New Roman"/>
      <w:szCs w:val="24"/>
    </w:rPr>
  </w:style>
  <w:style w:type="paragraph" w:customStyle="1" w:styleId="xl204">
    <w:name w:val="xl204"/>
    <w:basedOn w:val="Normal"/>
    <w:rsid w:val="00247CBF"/>
    <w:pPr>
      <w:pBdr>
        <w:top w:val="dotted" w:sz="4" w:space="0" w:color="auto"/>
        <w:left w:val="double" w:sz="6" w:space="0" w:color="auto"/>
        <w:bottom w:val="double" w:sz="6" w:space="0" w:color="auto"/>
      </w:pBdr>
      <w:spacing w:before="100" w:beforeAutospacing="1" w:after="100" w:afterAutospacing="1"/>
      <w:jc w:val="left"/>
      <w:textAlignment w:val="center"/>
    </w:pPr>
    <w:rPr>
      <w:rFonts w:eastAsia="Times New Roman" w:cs="Times New Roman"/>
      <w:i/>
      <w:iCs/>
      <w:szCs w:val="24"/>
    </w:rPr>
  </w:style>
  <w:style w:type="paragraph" w:customStyle="1" w:styleId="xl205">
    <w:name w:val="xl205"/>
    <w:basedOn w:val="Normal"/>
    <w:rsid w:val="00247CBF"/>
    <w:pPr>
      <w:pBdr>
        <w:top w:val="dotted"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eastAsia="Times New Roman" w:cs="Times New Roman"/>
      <w:szCs w:val="24"/>
    </w:rPr>
  </w:style>
  <w:style w:type="paragraph" w:customStyle="1" w:styleId="xl206">
    <w:name w:val="xl206"/>
    <w:basedOn w:val="Normal"/>
    <w:rsid w:val="00247CBF"/>
    <w:pPr>
      <w:pBdr>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207">
    <w:name w:val="xl207"/>
    <w:basedOn w:val="Normal"/>
    <w:rsid w:val="00247CBF"/>
    <w:pPr>
      <w:pBdr>
        <w:bottom w:val="dotted" w:sz="4" w:space="0" w:color="auto"/>
        <w:right w:val="single" w:sz="8" w:space="0" w:color="auto"/>
      </w:pBdr>
      <w:shd w:val="clear" w:color="000000" w:fill="FFFF99"/>
      <w:spacing w:before="100" w:beforeAutospacing="1" w:after="100" w:afterAutospacing="1"/>
      <w:jc w:val="center"/>
      <w:textAlignment w:val="top"/>
    </w:pPr>
    <w:rPr>
      <w:rFonts w:eastAsia="Times New Roman" w:cs="Times New Roman"/>
      <w:sz w:val="16"/>
      <w:szCs w:val="16"/>
    </w:rPr>
  </w:style>
  <w:style w:type="paragraph" w:customStyle="1" w:styleId="xl208">
    <w:name w:val="xl208"/>
    <w:basedOn w:val="Normal"/>
    <w:rsid w:val="00247CBF"/>
    <w:pPr>
      <w:shd w:val="clear" w:color="000000" w:fill="FFFFFF"/>
      <w:spacing w:before="100" w:beforeAutospacing="1" w:after="100" w:afterAutospacing="1"/>
      <w:jc w:val="left"/>
    </w:pPr>
    <w:rPr>
      <w:rFonts w:eastAsia="Times New Roman" w:cs="Times New Roman"/>
      <w:szCs w:val="24"/>
    </w:rPr>
  </w:style>
  <w:style w:type="paragraph" w:customStyle="1" w:styleId="xl209">
    <w:name w:val="xl209"/>
    <w:basedOn w:val="Normal"/>
    <w:rsid w:val="00247CBF"/>
    <w:pPr>
      <w:shd w:val="clear" w:color="000000" w:fill="FFFFFF"/>
      <w:spacing w:before="100" w:beforeAutospacing="1" w:after="100" w:afterAutospacing="1"/>
      <w:jc w:val="center"/>
    </w:pPr>
    <w:rPr>
      <w:rFonts w:eastAsia="Times New Roman" w:cs="Times New Roman"/>
      <w:sz w:val="16"/>
      <w:szCs w:val="16"/>
    </w:rPr>
  </w:style>
  <w:style w:type="paragraph" w:customStyle="1" w:styleId="xl210">
    <w:name w:val="xl210"/>
    <w:basedOn w:val="Normal"/>
    <w:rsid w:val="00247CBF"/>
    <w:pPr>
      <w:shd w:val="clear" w:color="000000" w:fill="FFFFFF"/>
      <w:spacing w:before="100" w:beforeAutospacing="1" w:after="100" w:afterAutospacing="1"/>
      <w:jc w:val="right"/>
    </w:pPr>
    <w:rPr>
      <w:rFonts w:eastAsia="Times New Roman" w:cs="Times New Roman"/>
      <w:sz w:val="18"/>
      <w:szCs w:val="18"/>
    </w:rPr>
  </w:style>
  <w:style w:type="paragraph" w:customStyle="1" w:styleId="xl211">
    <w:name w:val="xl211"/>
    <w:basedOn w:val="Normal"/>
    <w:rsid w:val="00247CBF"/>
    <w:pP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12">
    <w:name w:val="xl212"/>
    <w:basedOn w:val="Normal"/>
    <w:rsid w:val="00247CBF"/>
    <w:pPr>
      <w:shd w:val="clear" w:color="000000" w:fill="FFFFFF"/>
      <w:spacing w:before="100" w:beforeAutospacing="1" w:after="100" w:afterAutospacing="1"/>
      <w:jc w:val="left"/>
    </w:pPr>
    <w:rPr>
      <w:rFonts w:ascii="Arial" w:eastAsia="Times New Roman" w:hAnsi="Arial" w:cs="Arial"/>
      <w:sz w:val="16"/>
      <w:szCs w:val="16"/>
    </w:rPr>
  </w:style>
  <w:style w:type="paragraph" w:customStyle="1" w:styleId="xl213">
    <w:name w:val="xl213"/>
    <w:basedOn w:val="Normal"/>
    <w:rsid w:val="00247CBF"/>
    <w:pPr>
      <w:shd w:val="clear" w:color="000000" w:fill="FFFFFF"/>
      <w:spacing w:before="100" w:beforeAutospacing="1" w:after="100" w:afterAutospacing="1"/>
      <w:jc w:val="left"/>
      <w:textAlignment w:val="top"/>
    </w:pPr>
    <w:rPr>
      <w:rFonts w:eastAsia="Times New Roman" w:cs="Times New Roman"/>
      <w:sz w:val="16"/>
      <w:szCs w:val="16"/>
    </w:rPr>
  </w:style>
  <w:style w:type="paragraph" w:customStyle="1" w:styleId="xl214">
    <w:name w:val="xl214"/>
    <w:basedOn w:val="Normal"/>
    <w:rsid w:val="00247CBF"/>
    <w:pPr>
      <w:shd w:val="clear" w:color="000000" w:fill="FFFFFF"/>
      <w:spacing w:before="100" w:beforeAutospacing="1" w:after="100" w:afterAutospacing="1"/>
      <w:jc w:val="left"/>
      <w:textAlignment w:val="top"/>
    </w:pPr>
    <w:rPr>
      <w:rFonts w:eastAsia="Times New Roman" w:cs="Times New Roman"/>
      <w:sz w:val="16"/>
      <w:szCs w:val="16"/>
    </w:rPr>
  </w:style>
  <w:style w:type="paragraph" w:customStyle="1" w:styleId="xl215">
    <w:name w:val="xl215"/>
    <w:basedOn w:val="Normal"/>
    <w:rsid w:val="00247CBF"/>
    <w:pPr>
      <w:pBdr>
        <w:top w:val="dashed" w:sz="4" w:space="0" w:color="auto"/>
        <w:left w:val="double" w:sz="6" w:space="0" w:color="auto"/>
        <w:bottom w:val="dashed" w:sz="4" w:space="0" w:color="auto"/>
      </w:pBdr>
      <w:shd w:val="clear" w:color="000000" w:fill="FFFFFF"/>
      <w:spacing w:before="100" w:beforeAutospacing="1" w:after="100" w:afterAutospacing="1"/>
      <w:jc w:val="left"/>
      <w:textAlignment w:val="top"/>
    </w:pPr>
    <w:rPr>
      <w:rFonts w:eastAsia="Times New Roman" w:cs="Times New Roman"/>
      <w:i/>
      <w:iCs/>
      <w:szCs w:val="24"/>
    </w:rPr>
  </w:style>
  <w:style w:type="paragraph" w:customStyle="1" w:styleId="xl216">
    <w:name w:val="xl216"/>
    <w:basedOn w:val="Normal"/>
    <w:rsid w:val="00247CBF"/>
    <w:pPr>
      <w:pBdr>
        <w:top w:val="dashed" w:sz="4" w:space="0" w:color="auto"/>
        <w:left w:val="double" w:sz="6" w:space="0" w:color="auto"/>
        <w:bottom w:val="dashed" w:sz="4"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17">
    <w:name w:val="xl217"/>
    <w:basedOn w:val="Normal"/>
    <w:rsid w:val="00247CBF"/>
    <w:pPr>
      <w:shd w:val="clear" w:color="000000" w:fill="FFFFFF"/>
      <w:spacing w:before="100" w:beforeAutospacing="1" w:after="100" w:afterAutospacing="1"/>
      <w:jc w:val="right"/>
    </w:pPr>
    <w:rPr>
      <w:rFonts w:eastAsia="Times New Roman" w:cs="Times New Roman"/>
      <w:szCs w:val="24"/>
    </w:rPr>
  </w:style>
  <w:style w:type="paragraph" w:customStyle="1" w:styleId="xl218">
    <w:name w:val="xl218"/>
    <w:basedOn w:val="Normal"/>
    <w:rsid w:val="00247CBF"/>
    <w:pPr>
      <w:shd w:val="clear" w:color="000000" w:fill="FFFFFF"/>
      <w:spacing w:before="100" w:beforeAutospacing="1" w:after="100" w:afterAutospacing="1"/>
      <w:jc w:val="left"/>
    </w:pPr>
    <w:rPr>
      <w:rFonts w:eastAsia="Times New Roman" w:cs="Times New Roman"/>
      <w:szCs w:val="24"/>
    </w:rPr>
  </w:style>
  <w:style w:type="paragraph" w:customStyle="1" w:styleId="xl219">
    <w:name w:val="xl219"/>
    <w:basedOn w:val="Normal"/>
    <w:rsid w:val="00247CBF"/>
    <w:pPr>
      <w:shd w:val="clear" w:color="000000" w:fill="FFFFFF"/>
      <w:spacing w:before="100" w:beforeAutospacing="1" w:after="100" w:afterAutospacing="1"/>
      <w:jc w:val="center"/>
    </w:pPr>
    <w:rPr>
      <w:rFonts w:eastAsia="Times New Roman" w:cs="Times New Roman"/>
      <w:szCs w:val="24"/>
    </w:rPr>
  </w:style>
  <w:style w:type="paragraph" w:customStyle="1" w:styleId="xl220">
    <w:name w:val="xl220"/>
    <w:basedOn w:val="Normal"/>
    <w:rsid w:val="00247CBF"/>
    <w:pPr>
      <w:pBdr>
        <w:left w:val="double" w:sz="6" w:space="27" w:color="000000"/>
        <w:bottom w:val="dotted" w:sz="4" w:space="0" w:color="000000"/>
      </w:pBdr>
      <w:shd w:val="clear" w:color="000000" w:fill="FFFFFF"/>
      <w:spacing w:before="100" w:beforeAutospacing="1" w:after="100" w:afterAutospacing="1"/>
      <w:ind w:firstLineChars="300" w:firstLine="300"/>
      <w:jc w:val="left"/>
    </w:pPr>
    <w:rPr>
      <w:rFonts w:eastAsia="Times New Roman" w:cs="Times New Roman"/>
      <w:szCs w:val="24"/>
    </w:rPr>
  </w:style>
  <w:style w:type="paragraph" w:customStyle="1" w:styleId="xl221">
    <w:name w:val="xl221"/>
    <w:basedOn w:val="Normal"/>
    <w:rsid w:val="00247CBF"/>
    <w:pPr>
      <w:pBdr>
        <w:top w:val="single" w:sz="4" w:space="0" w:color="auto"/>
        <w:left w:val="double" w:sz="6" w:space="18" w:color="000000"/>
        <w:bottom w:val="single" w:sz="4" w:space="0" w:color="000000"/>
      </w:pBdr>
      <w:shd w:val="clear" w:color="000000" w:fill="FFFFFF"/>
      <w:spacing w:before="100" w:beforeAutospacing="1" w:after="100" w:afterAutospacing="1"/>
      <w:ind w:firstLineChars="200" w:firstLine="200"/>
      <w:jc w:val="left"/>
    </w:pPr>
    <w:rPr>
      <w:rFonts w:eastAsia="Times New Roman" w:cs="Times New Roman"/>
      <w:szCs w:val="24"/>
    </w:rPr>
  </w:style>
  <w:style w:type="paragraph" w:customStyle="1" w:styleId="xl222">
    <w:name w:val="xl222"/>
    <w:basedOn w:val="Normal"/>
    <w:rsid w:val="00247CBF"/>
    <w:pPr>
      <w:spacing w:before="100" w:beforeAutospacing="1" w:after="100" w:afterAutospacing="1"/>
      <w:jc w:val="left"/>
    </w:pPr>
    <w:rPr>
      <w:rFonts w:ascii="Arial" w:eastAsia="Times New Roman" w:hAnsi="Arial" w:cs="Arial"/>
      <w:szCs w:val="24"/>
    </w:rPr>
  </w:style>
  <w:style w:type="paragraph" w:customStyle="1" w:styleId="xl223">
    <w:name w:val="xl223"/>
    <w:basedOn w:val="Normal"/>
    <w:rsid w:val="00247CBF"/>
    <w:pPr>
      <w:pBdr>
        <w:top w:val="double" w:sz="6" w:space="0" w:color="auto"/>
        <w:left w:val="double" w:sz="6" w:space="0" w:color="auto"/>
        <w:bottom w:val="dashed" w:sz="4"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24">
    <w:name w:val="xl224"/>
    <w:basedOn w:val="Normal"/>
    <w:rsid w:val="00247CBF"/>
    <w:pPr>
      <w:pBdr>
        <w:left w:val="double" w:sz="6" w:space="0" w:color="auto"/>
        <w:bottom w:val="double" w:sz="6"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25">
    <w:name w:val="xl225"/>
    <w:basedOn w:val="Normal"/>
    <w:rsid w:val="00247CBF"/>
    <w:pPr>
      <w:pBdr>
        <w:bottom w:val="double" w:sz="6" w:space="0" w:color="auto"/>
        <w:right w:val="single" w:sz="8" w:space="0" w:color="auto"/>
      </w:pBdr>
      <w:shd w:val="clear" w:color="000000" w:fill="FFFFFF"/>
      <w:spacing w:before="100" w:beforeAutospacing="1" w:after="100" w:afterAutospacing="1"/>
      <w:jc w:val="center"/>
      <w:textAlignment w:val="top"/>
    </w:pPr>
    <w:rPr>
      <w:rFonts w:eastAsia="Times New Roman" w:cs="Times New Roman"/>
      <w:szCs w:val="24"/>
    </w:rPr>
  </w:style>
  <w:style w:type="paragraph" w:customStyle="1" w:styleId="xl226">
    <w:name w:val="xl226"/>
    <w:basedOn w:val="Normal"/>
    <w:rsid w:val="00247CBF"/>
    <w:pPr>
      <w:pBdr>
        <w:top w:val="dashed" w:sz="4" w:space="0" w:color="auto"/>
        <w:left w:val="double" w:sz="6" w:space="0" w:color="auto"/>
        <w:bottom w:val="dashed" w:sz="4"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27">
    <w:name w:val="xl227"/>
    <w:basedOn w:val="Normal"/>
    <w:rsid w:val="00247CBF"/>
    <w:pPr>
      <w:pBdr>
        <w:top w:val="dashed" w:sz="4" w:space="0" w:color="auto"/>
        <w:bottom w:val="dashed" w:sz="4" w:space="0" w:color="auto"/>
        <w:right w:val="single" w:sz="8" w:space="0" w:color="auto"/>
      </w:pBdr>
      <w:shd w:val="clear" w:color="000000" w:fill="FFFFFF"/>
      <w:spacing w:before="100" w:beforeAutospacing="1" w:after="100" w:afterAutospacing="1"/>
      <w:jc w:val="center"/>
      <w:textAlignment w:val="top"/>
    </w:pPr>
    <w:rPr>
      <w:rFonts w:eastAsia="Times New Roman" w:cs="Times New Roman"/>
      <w:szCs w:val="24"/>
    </w:rPr>
  </w:style>
  <w:style w:type="paragraph" w:customStyle="1" w:styleId="xl228">
    <w:name w:val="xl228"/>
    <w:basedOn w:val="Normal"/>
    <w:rsid w:val="00247CBF"/>
    <w:pPr>
      <w:pBdr>
        <w:top w:val="double" w:sz="6" w:space="0" w:color="auto"/>
        <w:bottom w:val="dashed" w:sz="4" w:space="0" w:color="auto"/>
        <w:right w:val="single" w:sz="8"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29">
    <w:name w:val="xl229"/>
    <w:basedOn w:val="Normal"/>
    <w:rsid w:val="00247CBF"/>
    <w:pPr>
      <w:pBdr>
        <w:top w:val="double" w:sz="6" w:space="0" w:color="auto"/>
        <w:left w:val="single" w:sz="8" w:space="0" w:color="auto"/>
        <w:bottom w:val="dashed" w:sz="4"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30">
    <w:name w:val="xl230"/>
    <w:basedOn w:val="Normal"/>
    <w:rsid w:val="00247CBF"/>
    <w:pPr>
      <w:pBdr>
        <w:top w:val="dashed" w:sz="4" w:space="0" w:color="auto"/>
        <w:left w:val="single" w:sz="8" w:space="0" w:color="auto"/>
        <w:bottom w:val="dashed" w:sz="4"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31">
    <w:name w:val="xl231"/>
    <w:basedOn w:val="Normal"/>
    <w:rsid w:val="00247CBF"/>
    <w:pPr>
      <w:pBdr>
        <w:left w:val="single" w:sz="8" w:space="0" w:color="auto"/>
        <w:bottom w:val="double" w:sz="6"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32">
    <w:name w:val="xl232"/>
    <w:basedOn w:val="Normal"/>
    <w:rsid w:val="00247CBF"/>
    <w:pPr>
      <w:pBdr>
        <w:top w:val="single" w:sz="4" w:space="0" w:color="auto"/>
        <w:left w:val="double" w:sz="6" w:space="0" w:color="000000"/>
        <w:bottom w:val="single" w:sz="4" w:space="0" w:color="auto"/>
      </w:pBdr>
      <w:shd w:val="clear" w:color="000000" w:fill="FFFFFF"/>
      <w:spacing w:before="100" w:beforeAutospacing="1" w:after="100" w:afterAutospacing="1"/>
      <w:jc w:val="center"/>
      <w:textAlignment w:val="top"/>
    </w:pPr>
    <w:rPr>
      <w:rFonts w:eastAsia="Times New Roman" w:cs="Times New Roman"/>
      <w:b/>
      <w:bCs/>
      <w:color w:val="000000"/>
      <w:szCs w:val="24"/>
    </w:rPr>
  </w:style>
  <w:style w:type="paragraph" w:customStyle="1" w:styleId="xl233">
    <w:name w:val="xl233"/>
    <w:basedOn w:val="Normal"/>
    <w:rsid w:val="00247CBF"/>
    <w:pPr>
      <w:pBdr>
        <w:left w:val="double" w:sz="6" w:space="0" w:color="auto"/>
        <w:bottom w:val="dotted" w:sz="4"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234">
    <w:name w:val="xl234"/>
    <w:basedOn w:val="Normal"/>
    <w:rsid w:val="00247CBF"/>
    <w:pPr>
      <w:pBdr>
        <w:left w:val="double" w:sz="6" w:space="0" w:color="auto"/>
        <w:bottom w:val="double" w:sz="6"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235">
    <w:name w:val="xl235"/>
    <w:basedOn w:val="Normal"/>
    <w:rsid w:val="00247CBF"/>
    <w:pPr>
      <w:shd w:val="clear" w:color="000000" w:fill="FFFFFF"/>
      <w:spacing w:before="100" w:beforeAutospacing="1" w:after="100" w:afterAutospacing="1"/>
      <w:jc w:val="left"/>
      <w:textAlignment w:val="center"/>
    </w:pPr>
    <w:rPr>
      <w:rFonts w:eastAsia="Times New Roman" w:cs="Times New Roman"/>
      <w:szCs w:val="24"/>
    </w:rPr>
  </w:style>
  <w:style w:type="paragraph" w:customStyle="1" w:styleId="xl236">
    <w:name w:val="xl236"/>
    <w:basedOn w:val="Normal"/>
    <w:rsid w:val="00247CBF"/>
    <w:pPr>
      <w:pBdr>
        <w:top w:val="double" w:sz="6" w:space="0" w:color="auto"/>
        <w:left w:val="double" w:sz="6" w:space="0" w:color="auto"/>
        <w:bottom w:val="double" w:sz="6" w:space="0" w:color="auto"/>
      </w:pBdr>
      <w:shd w:val="clear" w:color="000000" w:fill="00B050"/>
      <w:spacing w:before="100" w:beforeAutospacing="1" w:after="100" w:afterAutospacing="1"/>
      <w:jc w:val="left"/>
      <w:textAlignment w:val="center"/>
    </w:pPr>
    <w:rPr>
      <w:rFonts w:eastAsia="Times New Roman" w:cs="Times New Roman"/>
      <w:b/>
      <w:bCs/>
      <w:szCs w:val="24"/>
    </w:rPr>
  </w:style>
  <w:style w:type="paragraph" w:customStyle="1" w:styleId="xl237">
    <w:name w:val="xl237"/>
    <w:basedOn w:val="Normal"/>
    <w:rsid w:val="00247CBF"/>
    <w:pPr>
      <w:pBdr>
        <w:top w:val="double" w:sz="6" w:space="0" w:color="auto"/>
        <w:left w:val="dashed" w:sz="4" w:space="0" w:color="auto"/>
        <w:bottom w:val="double" w:sz="6" w:space="0" w:color="auto"/>
        <w:right w:val="dashed" w:sz="4" w:space="0" w:color="auto"/>
      </w:pBdr>
      <w:shd w:val="clear" w:color="000000" w:fill="00B050"/>
      <w:spacing w:before="100" w:beforeAutospacing="1" w:after="100" w:afterAutospacing="1"/>
      <w:jc w:val="right"/>
      <w:textAlignment w:val="center"/>
    </w:pPr>
    <w:rPr>
      <w:rFonts w:eastAsia="Times New Roman" w:cs="Times New Roman"/>
      <w:b/>
      <w:bCs/>
      <w:szCs w:val="24"/>
    </w:rPr>
  </w:style>
  <w:style w:type="paragraph" w:customStyle="1" w:styleId="xl238">
    <w:name w:val="xl238"/>
    <w:basedOn w:val="Normal"/>
    <w:rsid w:val="00247CBF"/>
    <w:pPr>
      <w:pBdr>
        <w:top w:val="double" w:sz="6" w:space="0" w:color="auto"/>
        <w:left w:val="dashed" w:sz="4" w:space="0" w:color="auto"/>
        <w:bottom w:val="double" w:sz="6" w:space="0" w:color="auto"/>
        <w:right w:val="double" w:sz="6" w:space="0" w:color="auto"/>
      </w:pBdr>
      <w:shd w:val="clear" w:color="000000" w:fill="00B050"/>
      <w:spacing w:before="100" w:beforeAutospacing="1" w:after="100" w:afterAutospacing="1"/>
      <w:jc w:val="right"/>
      <w:textAlignment w:val="center"/>
    </w:pPr>
    <w:rPr>
      <w:rFonts w:eastAsia="Times New Roman" w:cs="Times New Roman"/>
      <w:b/>
      <w:bCs/>
      <w:szCs w:val="24"/>
    </w:rPr>
  </w:style>
  <w:style w:type="paragraph" w:customStyle="1" w:styleId="xl239">
    <w:name w:val="xl239"/>
    <w:basedOn w:val="Normal"/>
    <w:rsid w:val="00247CBF"/>
    <w:pPr>
      <w:pBdr>
        <w:top w:val="double" w:sz="6" w:space="0" w:color="auto"/>
        <w:left w:val="double" w:sz="6" w:space="0" w:color="auto"/>
        <w:bottom w:val="double" w:sz="6" w:space="0" w:color="auto"/>
      </w:pBdr>
      <w:shd w:val="clear" w:color="000000" w:fill="00FF00"/>
      <w:spacing w:before="100" w:beforeAutospacing="1" w:after="100" w:afterAutospacing="1"/>
      <w:jc w:val="left"/>
      <w:textAlignment w:val="center"/>
    </w:pPr>
    <w:rPr>
      <w:rFonts w:eastAsia="Times New Roman" w:cs="Times New Roman"/>
      <w:b/>
      <w:bCs/>
      <w:szCs w:val="24"/>
    </w:rPr>
  </w:style>
  <w:style w:type="paragraph" w:customStyle="1" w:styleId="xl240">
    <w:name w:val="xl240"/>
    <w:basedOn w:val="Normal"/>
    <w:rsid w:val="00247CBF"/>
    <w:pPr>
      <w:pBdr>
        <w:top w:val="double" w:sz="6" w:space="0" w:color="auto"/>
        <w:left w:val="single" w:sz="8" w:space="0" w:color="auto"/>
        <w:bottom w:val="double" w:sz="6" w:space="0" w:color="auto"/>
      </w:pBdr>
      <w:shd w:val="clear" w:color="000000" w:fill="00FF00"/>
      <w:spacing w:before="100" w:beforeAutospacing="1" w:after="100" w:afterAutospacing="1"/>
      <w:jc w:val="center"/>
      <w:textAlignment w:val="center"/>
    </w:pPr>
    <w:rPr>
      <w:rFonts w:eastAsia="Times New Roman" w:cs="Times New Roman"/>
      <w:szCs w:val="24"/>
    </w:rPr>
  </w:style>
  <w:style w:type="paragraph" w:customStyle="1" w:styleId="xl241">
    <w:name w:val="xl241"/>
    <w:basedOn w:val="Normal"/>
    <w:rsid w:val="00247CBF"/>
    <w:pPr>
      <w:pBdr>
        <w:top w:val="double" w:sz="6" w:space="0" w:color="auto"/>
        <w:bottom w:val="double" w:sz="6" w:space="0" w:color="auto"/>
        <w:right w:val="single" w:sz="8" w:space="0" w:color="auto"/>
      </w:pBdr>
      <w:shd w:val="clear" w:color="000000" w:fill="00FF00"/>
      <w:spacing w:before="100" w:beforeAutospacing="1" w:after="100" w:afterAutospacing="1"/>
      <w:jc w:val="right"/>
      <w:textAlignment w:val="center"/>
    </w:pPr>
    <w:rPr>
      <w:rFonts w:eastAsia="Times New Roman" w:cs="Times New Roman"/>
      <w:b/>
      <w:bCs/>
      <w:szCs w:val="24"/>
    </w:rPr>
  </w:style>
  <w:style w:type="paragraph" w:customStyle="1" w:styleId="xl242">
    <w:name w:val="xl242"/>
    <w:basedOn w:val="Normal"/>
    <w:rsid w:val="00247CBF"/>
    <w:pPr>
      <w:pBdr>
        <w:top w:val="double" w:sz="6" w:space="0" w:color="auto"/>
        <w:left w:val="double" w:sz="6" w:space="0" w:color="auto"/>
        <w:bottom w:val="double" w:sz="6" w:space="0" w:color="auto"/>
      </w:pBdr>
      <w:shd w:val="clear" w:color="000000" w:fill="E26B0A"/>
      <w:spacing w:before="100" w:beforeAutospacing="1" w:after="100" w:afterAutospacing="1"/>
      <w:jc w:val="left"/>
      <w:textAlignment w:val="center"/>
    </w:pPr>
    <w:rPr>
      <w:rFonts w:eastAsia="Times New Roman" w:cs="Times New Roman"/>
      <w:b/>
      <w:bCs/>
      <w:szCs w:val="24"/>
    </w:rPr>
  </w:style>
  <w:style w:type="paragraph" w:customStyle="1" w:styleId="xl243">
    <w:name w:val="xl243"/>
    <w:basedOn w:val="Normal"/>
    <w:rsid w:val="00247CBF"/>
    <w:pPr>
      <w:pBdr>
        <w:top w:val="double" w:sz="6" w:space="0" w:color="auto"/>
        <w:left w:val="single" w:sz="8" w:space="0" w:color="auto"/>
        <w:bottom w:val="double" w:sz="6" w:space="0" w:color="auto"/>
        <w:right w:val="dashed" w:sz="4" w:space="0" w:color="auto"/>
      </w:pBdr>
      <w:shd w:val="clear" w:color="000000" w:fill="E26B0A"/>
      <w:spacing w:before="100" w:beforeAutospacing="1" w:after="100" w:afterAutospacing="1"/>
      <w:jc w:val="right"/>
      <w:textAlignment w:val="center"/>
    </w:pPr>
    <w:rPr>
      <w:rFonts w:eastAsia="Times New Roman" w:cs="Times New Roman"/>
      <w:b/>
      <w:bCs/>
      <w:szCs w:val="24"/>
    </w:rPr>
  </w:style>
  <w:style w:type="paragraph" w:customStyle="1" w:styleId="xl244">
    <w:name w:val="xl244"/>
    <w:basedOn w:val="Normal"/>
    <w:rsid w:val="00247CBF"/>
    <w:pPr>
      <w:pBdr>
        <w:top w:val="double" w:sz="6" w:space="0" w:color="auto"/>
        <w:left w:val="dashed" w:sz="4" w:space="0" w:color="auto"/>
        <w:bottom w:val="double" w:sz="6" w:space="0" w:color="auto"/>
        <w:right w:val="dashed" w:sz="4" w:space="0" w:color="auto"/>
      </w:pBdr>
      <w:shd w:val="clear" w:color="000000" w:fill="E26B0A"/>
      <w:spacing w:before="100" w:beforeAutospacing="1" w:after="100" w:afterAutospacing="1"/>
      <w:jc w:val="right"/>
      <w:textAlignment w:val="center"/>
    </w:pPr>
    <w:rPr>
      <w:rFonts w:eastAsia="Times New Roman" w:cs="Times New Roman"/>
      <w:b/>
      <w:bCs/>
      <w:szCs w:val="24"/>
    </w:rPr>
  </w:style>
  <w:style w:type="paragraph" w:customStyle="1" w:styleId="xl245">
    <w:name w:val="xl245"/>
    <w:basedOn w:val="Normal"/>
    <w:rsid w:val="00247CBF"/>
    <w:pPr>
      <w:pBdr>
        <w:top w:val="double" w:sz="6" w:space="0" w:color="auto"/>
        <w:left w:val="double" w:sz="6" w:space="0" w:color="auto"/>
        <w:bottom w:val="double" w:sz="6" w:space="0" w:color="auto"/>
      </w:pBdr>
      <w:shd w:val="clear" w:color="000000" w:fill="9966FF"/>
      <w:spacing w:before="100" w:beforeAutospacing="1" w:after="100" w:afterAutospacing="1"/>
      <w:jc w:val="left"/>
      <w:textAlignment w:val="center"/>
    </w:pPr>
    <w:rPr>
      <w:rFonts w:eastAsia="Times New Roman" w:cs="Times New Roman"/>
      <w:b/>
      <w:bCs/>
      <w:szCs w:val="24"/>
    </w:rPr>
  </w:style>
  <w:style w:type="paragraph" w:customStyle="1" w:styleId="xl246">
    <w:name w:val="xl246"/>
    <w:basedOn w:val="Normal"/>
    <w:rsid w:val="00247CBF"/>
    <w:pPr>
      <w:pBdr>
        <w:top w:val="double" w:sz="6" w:space="0" w:color="auto"/>
        <w:bottom w:val="double" w:sz="6" w:space="0" w:color="auto"/>
        <w:right w:val="dashed" w:sz="4" w:space="0" w:color="auto"/>
      </w:pBdr>
      <w:shd w:val="clear" w:color="000000" w:fill="00B050"/>
      <w:spacing w:before="100" w:beforeAutospacing="1" w:after="100" w:afterAutospacing="1"/>
      <w:jc w:val="right"/>
      <w:textAlignment w:val="center"/>
    </w:pPr>
    <w:rPr>
      <w:rFonts w:eastAsia="Times New Roman" w:cs="Times New Roman"/>
      <w:b/>
      <w:bCs/>
      <w:szCs w:val="24"/>
    </w:rPr>
  </w:style>
  <w:style w:type="paragraph" w:customStyle="1" w:styleId="xl247">
    <w:name w:val="xl247"/>
    <w:basedOn w:val="Normal"/>
    <w:rsid w:val="00247CBF"/>
    <w:pPr>
      <w:pBdr>
        <w:top w:val="double" w:sz="6" w:space="0" w:color="auto"/>
        <w:bottom w:val="single" w:sz="8"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248">
    <w:name w:val="xl248"/>
    <w:basedOn w:val="Normal"/>
    <w:rsid w:val="00247CBF"/>
    <w:pPr>
      <w:pBdr>
        <w:left w:val="double" w:sz="6" w:space="0" w:color="auto"/>
        <w:bottom w:val="dashed" w:sz="4" w:space="0" w:color="auto"/>
      </w:pBdr>
      <w:spacing w:before="100" w:beforeAutospacing="1" w:after="100" w:afterAutospacing="1"/>
      <w:jc w:val="left"/>
      <w:textAlignment w:val="top"/>
    </w:pPr>
    <w:rPr>
      <w:rFonts w:eastAsia="Times New Roman" w:cs="Times New Roman"/>
      <w:szCs w:val="24"/>
    </w:rPr>
  </w:style>
  <w:style w:type="paragraph" w:customStyle="1" w:styleId="xl249">
    <w:name w:val="xl249"/>
    <w:basedOn w:val="Normal"/>
    <w:rsid w:val="00247CBF"/>
    <w:pPr>
      <w:pBdr>
        <w:top w:val="dashed" w:sz="4" w:space="0" w:color="auto"/>
        <w:left w:val="double" w:sz="6" w:space="0" w:color="auto"/>
        <w:bottom w:val="single" w:sz="8" w:space="0" w:color="auto"/>
      </w:pBdr>
      <w:shd w:val="clear" w:color="000000" w:fill="FFFFFF"/>
      <w:spacing w:before="100" w:beforeAutospacing="1" w:after="100" w:afterAutospacing="1"/>
      <w:jc w:val="left"/>
      <w:textAlignment w:val="top"/>
    </w:pPr>
    <w:rPr>
      <w:rFonts w:eastAsia="Times New Roman" w:cs="Times New Roman"/>
      <w:i/>
      <w:iCs/>
      <w:szCs w:val="24"/>
    </w:rPr>
  </w:style>
  <w:style w:type="paragraph" w:customStyle="1" w:styleId="xl250">
    <w:name w:val="xl250"/>
    <w:basedOn w:val="Normal"/>
    <w:rsid w:val="00247CBF"/>
    <w:pPr>
      <w:pBdr>
        <w:top w:val="dashed" w:sz="4" w:space="0" w:color="auto"/>
        <w:left w:val="single" w:sz="8" w:space="0" w:color="auto"/>
        <w:bottom w:val="dashed" w:sz="4" w:space="0" w:color="auto"/>
        <w:right w:val="single" w:sz="8" w:space="0" w:color="auto"/>
      </w:pBdr>
      <w:shd w:val="clear" w:color="000000" w:fill="CCFFFF"/>
      <w:spacing w:before="100" w:beforeAutospacing="1" w:after="100" w:afterAutospacing="1"/>
      <w:jc w:val="center"/>
    </w:pPr>
    <w:rPr>
      <w:rFonts w:eastAsia="Times New Roman" w:cs="Times New Roman"/>
      <w:sz w:val="16"/>
      <w:szCs w:val="16"/>
    </w:rPr>
  </w:style>
  <w:style w:type="paragraph" w:customStyle="1" w:styleId="xl251">
    <w:name w:val="xl251"/>
    <w:basedOn w:val="Normal"/>
    <w:rsid w:val="00247CBF"/>
    <w:pPr>
      <w:pBdr>
        <w:top w:val="dashed" w:sz="4" w:space="0" w:color="auto"/>
        <w:left w:val="single" w:sz="8" w:space="0" w:color="auto"/>
        <w:bottom w:val="single" w:sz="8" w:space="0" w:color="auto"/>
        <w:right w:val="single" w:sz="8" w:space="0" w:color="auto"/>
      </w:pBdr>
      <w:shd w:val="clear" w:color="000000" w:fill="CCFFFF"/>
      <w:spacing w:before="100" w:beforeAutospacing="1" w:after="100" w:afterAutospacing="1"/>
      <w:jc w:val="center"/>
    </w:pPr>
    <w:rPr>
      <w:rFonts w:eastAsia="Times New Roman" w:cs="Times New Roman"/>
      <w:sz w:val="16"/>
      <w:szCs w:val="16"/>
    </w:rPr>
  </w:style>
  <w:style w:type="paragraph" w:customStyle="1" w:styleId="xl252">
    <w:name w:val="xl252"/>
    <w:basedOn w:val="Normal"/>
    <w:rsid w:val="00247CBF"/>
    <w:pPr>
      <w:pBdr>
        <w:left w:val="single" w:sz="8" w:space="0" w:color="auto"/>
        <w:bottom w:val="dashed" w:sz="4" w:space="0" w:color="auto"/>
        <w:right w:val="single" w:sz="8" w:space="0" w:color="auto"/>
      </w:pBdr>
      <w:shd w:val="clear" w:color="000000" w:fill="CCFFFF"/>
      <w:spacing w:before="100" w:beforeAutospacing="1" w:after="100" w:afterAutospacing="1"/>
      <w:jc w:val="center"/>
    </w:pPr>
    <w:rPr>
      <w:rFonts w:eastAsia="Times New Roman" w:cs="Times New Roman"/>
      <w:sz w:val="16"/>
      <w:szCs w:val="16"/>
    </w:rPr>
  </w:style>
  <w:style w:type="paragraph" w:customStyle="1" w:styleId="xl253">
    <w:name w:val="xl253"/>
    <w:basedOn w:val="Normal"/>
    <w:rsid w:val="00247CBF"/>
    <w:pPr>
      <w:pBdr>
        <w:top w:val="dashed" w:sz="4" w:space="0" w:color="auto"/>
        <w:left w:val="single" w:sz="8" w:space="0" w:color="auto"/>
        <w:bottom w:val="double" w:sz="6" w:space="0" w:color="auto"/>
        <w:right w:val="single" w:sz="8" w:space="0" w:color="auto"/>
      </w:pBdr>
      <w:shd w:val="clear" w:color="000000" w:fill="CCFFFF"/>
      <w:spacing w:before="100" w:beforeAutospacing="1" w:after="100" w:afterAutospacing="1"/>
      <w:jc w:val="center"/>
    </w:pPr>
    <w:rPr>
      <w:rFonts w:eastAsia="Times New Roman" w:cs="Times New Roman"/>
      <w:sz w:val="16"/>
      <w:szCs w:val="16"/>
    </w:rPr>
  </w:style>
  <w:style w:type="paragraph" w:customStyle="1" w:styleId="xl254">
    <w:name w:val="xl254"/>
    <w:basedOn w:val="Normal"/>
    <w:rsid w:val="00247CBF"/>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eastAsia="Times New Roman" w:cs="Times New Roman"/>
      <w:sz w:val="16"/>
      <w:szCs w:val="16"/>
    </w:rPr>
  </w:style>
  <w:style w:type="paragraph" w:customStyle="1" w:styleId="xl255">
    <w:name w:val="xl255"/>
    <w:basedOn w:val="Normal"/>
    <w:rsid w:val="00247CBF"/>
    <w:pPr>
      <w:pBdr>
        <w:top w:val="double" w:sz="6" w:space="0" w:color="auto"/>
        <w:left w:val="double" w:sz="6" w:space="0" w:color="auto"/>
        <w:bottom w:val="double" w:sz="6" w:space="0" w:color="auto"/>
      </w:pBdr>
      <w:shd w:val="clear" w:color="000000" w:fill="E26B0A"/>
      <w:spacing w:before="100" w:beforeAutospacing="1" w:after="100" w:afterAutospacing="1"/>
      <w:jc w:val="left"/>
      <w:textAlignment w:val="center"/>
    </w:pPr>
    <w:rPr>
      <w:rFonts w:eastAsia="Times New Roman" w:cs="Times New Roman"/>
      <w:b/>
      <w:bCs/>
      <w:szCs w:val="24"/>
    </w:rPr>
  </w:style>
  <w:style w:type="paragraph" w:customStyle="1" w:styleId="xl256">
    <w:name w:val="xl256"/>
    <w:basedOn w:val="Normal"/>
    <w:rsid w:val="00247CBF"/>
    <w:pPr>
      <w:pBdr>
        <w:top w:val="double" w:sz="6" w:space="0" w:color="auto"/>
        <w:left w:val="single" w:sz="8" w:space="0" w:color="auto"/>
        <w:bottom w:val="double" w:sz="6" w:space="0" w:color="auto"/>
        <w:right w:val="single" w:sz="8" w:space="0" w:color="auto"/>
      </w:pBdr>
      <w:shd w:val="clear" w:color="000000" w:fill="E26B0A"/>
      <w:spacing w:before="100" w:beforeAutospacing="1" w:after="100" w:afterAutospacing="1"/>
      <w:jc w:val="center"/>
      <w:textAlignment w:val="center"/>
    </w:pPr>
    <w:rPr>
      <w:rFonts w:eastAsia="Times New Roman" w:cs="Times New Roman"/>
      <w:szCs w:val="24"/>
    </w:rPr>
  </w:style>
  <w:style w:type="paragraph" w:customStyle="1" w:styleId="xl257">
    <w:name w:val="xl257"/>
    <w:basedOn w:val="Normal"/>
    <w:rsid w:val="00247CBF"/>
    <w:pPr>
      <w:pBdr>
        <w:top w:val="double" w:sz="6" w:space="0" w:color="auto"/>
        <w:left w:val="single" w:sz="8" w:space="0" w:color="auto"/>
        <w:bottom w:val="double" w:sz="6" w:space="0" w:color="auto"/>
        <w:right w:val="dashed" w:sz="4" w:space="0" w:color="auto"/>
      </w:pBdr>
      <w:shd w:val="clear" w:color="000000" w:fill="E26B0A"/>
      <w:spacing w:before="100" w:beforeAutospacing="1" w:after="100" w:afterAutospacing="1"/>
      <w:jc w:val="right"/>
      <w:textAlignment w:val="center"/>
    </w:pPr>
    <w:rPr>
      <w:rFonts w:eastAsia="Times New Roman" w:cs="Times New Roman"/>
      <w:b/>
      <w:bCs/>
      <w:szCs w:val="24"/>
    </w:rPr>
  </w:style>
  <w:style w:type="paragraph" w:customStyle="1" w:styleId="xl258">
    <w:name w:val="xl258"/>
    <w:basedOn w:val="Normal"/>
    <w:rsid w:val="00247CBF"/>
    <w:pPr>
      <w:pBdr>
        <w:bottom w:val="dotted" w:sz="4" w:space="0" w:color="auto"/>
        <w:right w:val="dotted" w:sz="4"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259">
    <w:name w:val="xl259"/>
    <w:basedOn w:val="Normal"/>
    <w:rsid w:val="00247CBF"/>
    <w:pPr>
      <w:pBdr>
        <w:top w:val="single" w:sz="8" w:space="0" w:color="auto"/>
        <w:left w:val="single" w:sz="8" w:space="0" w:color="auto"/>
        <w:bottom w:val="single" w:sz="4" w:space="0" w:color="auto"/>
      </w:pBdr>
      <w:spacing w:before="100" w:beforeAutospacing="1" w:after="100" w:afterAutospacing="1"/>
      <w:jc w:val="right"/>
      <w:textAlignment w:val="center"/>
    </w:pPr>
    <w:rPr>
      <w:rFonts w:eastAsia="Times New Roman" w:cs="Times New Roman"/>
      <w:b/>
      <w:bCs/>
      <w:szCs w:val="24"/>
    </w:rPr>
  </w:style>
  <w:style w:type="paragraph" w:customStyle="1" w:styleId="xl260">
    <w:name w:val="xl260"/>
    <w:basedOn w:val="Normal"/>
    <w:rsid w:val="00247CBF"/>
    <w:pPr>
      <w:pBdr>
        <w:top w:val="single" w:sz="8" w:space="0" w:color="auto"/>
        <w:bottom w:val="single" w:sz="4" w:space="0" w:color="auto"/>
      </w:pBdr>
      <w:spacing w:before="100" w:beforeAutospacing="1" w:after="100" w:afterAutospacing="1"/>
      <w:jc w:val="right"/>
      <w:textAlignment w:val="center"/>
    </w:pPr>
    <w:rPr>
      <w:rFonts w:eastAsia="Times New Roman" w:cs="Times New Roman"/>
      <w:b/>
      <w:bCs/>
      <w:szCs w:val="24"/>
    </w:rPr>
  </w:style>
  <w:style w:type="paragraph" w:customStyle="1" w:styleId="xl261">
    <w:name w:val="xl261"/>
    <w:basedOn w:val="Normal"/>
    <w:rsid w:val="00247CBF"/>
    <w:pPr>
      <w:pBdr>
        <w:top w:val="single" w:sz="8" w:space="0" w:color="auto"/>
        <w:bottom w:val="single" w:sz="4" w:space="0" w:color="auto"/>
        <w:right w:val="double" w:sz="6" w:space="0" w:color="auto"/>
      </w:pBdr>
      <w:spacing w:before="100" w:beforeAutospacing="1" w:after="100" w:afterAutospacing="1"/>
      <w:jc w:val="right"/>
    </w:pPr>
    <w:rPr>
      <w:rFonts w:eastAsia="Times New Roman" w:cs="Times New Roman"/>
      <w:szCs w:val="24"/>
    </w:rPr>
  </w:style>
  <w:style w:type="paragraph" w:customStyle="1" w:styleId="xl262">
    <w:name w:val="xl262"/>
    <w:basedOn w:val="Normal"/>
    <w:rsid w:val="00247CBF"/>
    <w:pPr>
      <w:pBdr>
        <w:left w:val="dotted" w:sz="4" w:space="0" w:color="auto"/>
        <w:bottom w:val="dotted" w:sz="4" w:space="0" w:color="auto"/>
        <w:right w:val="dotted" w:sz="4"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263">
    <w:name w:val="xl263"/>
    <w:basedOn w:val="Normal"/>
    <w:rsid w:val="00247CBF"/>
    <w:pPr>
      <w:pBdr>
        <w:top w:val="dotted" w:sz="4" w:space="0" w:color="auto"/>
        <w:bottom w:val="dotted" w:sz="4" w:space="0" w:color="auto"/>
        <w:right w:val="dotted" w:sz="4" w:space="0" w:color="auto"/>
      </w:pBdr>
      <w:spacing w:before="100" w:beforeAutospacing="1" w:after="100" w:afterAutospacing="1"/>
      <w:jc w:val="right"/>
      <w:textAlignment w:val="center"/>
    </w:pPr>
    <w:rPr>
      <w:rFonts w:eastAsia="Times New Roman" w:cs="Times New Roman"/>
      <w:szCs w:val="24"/>
    </w:rPr>
  </w:style>
  <w:style w:type="paragraph" w:customStyle="1" w:styleId="xl264">
    <w:name w:val="xl264"/>
    <w:basedOn w:val="Normal"/>
    <w:rsid w:val="00247CBF"/>
    <w:pPr>
      <w:pBdr>
        <w:top w:val="dotted" w:sz="4" w:space="0" w:color="auto"/>
        <w:left w:val="dotted" w:sz="4" w:space="0" w:color="auto"/>
        <w:bottom w:val="dotted" w:sz="4" w:space="0" w:color="auto"/>
        <w:right w:val="dotted" w:sz="4" w:space="0" w:color="auto"/>
      </w:pBdr>
      <w:spacing w:before="100" w:beforeAutospacing="1" w:after="100" w:afterAutospacing="1"/>
      <w:jc w:val="right"/>
      <w:textAlignment w:val="center"/>
    </w:pPr>
    <w:rPr>
      <w:rFonts w:eastAsia="Times New Roman" w:cs="Times New Roman"/>
      <w:szCs w:val="24"/>
    </w:rPr>
  </w:style>
  <w:style w:type="paragraph" w:customStyle="1" w:styleId="xl265">
    <w:name w:val="xl265"/>
    <w:basedOn w:val="Normal"/>
    <w:rsid w:val="00247CBF"/>
    <w:pPr>
      <w:pBdr>
        <w:top w:val="dotted" w:sz="4" w:space="0" w:color="auto"/>
        <w:left w:val="dotted" w:sz="4" w:space="0" w:color="auto"/>
        <w:bottom w:val="dotted" w:sz="4" w:space="0" w:color="auto"/>
        <w:right w:val="double" w:sz="6" w:space="0" w:color="auto"/>
      </w:pBdr>
      <w:spacing w:before="100" w:beforeAutospacing="1" w:after="100" w:afterAutospacing="1"/>
      <w:jc w:val="right"/>
    </w:pPr>
    <w:rPr>
      <w:rFonts w:eastAsia="Times New Roman" w:cs="Times New Roman"/>
      <w:szCs w:val="24"/>
    </w:rPr>
  </w:style>
  <w:style w:type="paragraph" w:customStyle="1" w:styleId="xl266">
    <w:name w:val="xl266"/>
    <w:basedOn w:val="Normal"/>
    <w:rsid w:val="00247CBF"/>
    <w:pPr>
      <w:pBdr>
        <w:left w:val="single" w:sz="8" w:space="0" w:color="auto"/>
        <w:bottom w:val="single" w:sz="4" w:space="0" w:color="auto"/>
      </w:pBdr>
      <w:spacing w:before="100" w:beforeAutospacing="1" w:after="100" w:afterAutospacing="1"/>
      <w:jc w:val="right"/>
      <w:textAlignment w:val="center"/>
    </w:pPr>
    <w:rPr>
      <w:rFonts w:eastAsia="Times New Roman" w:cs="Times New Roman"/>
      <w:b/>
      <w:bCs/>
      <w:szCs w:val="24"/>
    </w:rPr>
  </w:style>
  <w:style w:type="paragraph" w:customStyle="1" w:styleId="xl267">
    <w:name w:val="xl267"/>
    <w:basedOn w:val="Normal"/>
    <w:rsid w:val="00247CBF"/>
    <w:pPr>
      <w:pBdr>
        <w:bottom w:val="single" w:sz="4" w:space="0" w:color="auto"/>
      </w:pBdr>
      <w:spacing w:before="100" w:beforeAutospacing="1" w:after="100" w:afterAutospacing="1"/>
      <w:jc w:val="right"/>
      <w:textAlignment w:val="center"/>
    </w:pPr>
    <w:rPr>
      <w:rFonts w:eastAsia="Times New Roman" w:cs="Times New Roman"/>
      <w:b/>
      <w:bCs/>
      <w:szCs w:val="24"/>
    </w:rPr>
  </w:style>
  <w:style w:type="paragraph" w:customStyle="1" w:styleId="xl268">
    <w:name w:val="xl268"/>
    <w:basedOn w:val="Normal"/>
    <w:rsid w:val="00247CBF"/>
    <w:pPr>
      <w:pBdr>
        <w:bottom w:val="single" w:sz="4" w:space="0" w:color="auto"/>
        <w:right w:val="double" w:sz="6" w:space="0" w:color="auto"/>
      </w:pBdr>
      <w:spacing w:before="100" w:beforeAutospacing="1" w:after="100" w:afterAutospacing="1"/>
      <w:jc w:val="right"/>
    </w:pPr>
    <w:rPr>
      <w:rFonts w:eastAsia="Times New Roman" w:cs="Times New Roman"/>
      <w:szCs w:val="24"/>
    </w:rPr>
  </w:style>
  <w:style w:type="paragraph" w:customStyle="1" w:styleId="xl269">
    <w:name w:val="xl269"/>
    <w:basedOn w:val="Normal"/>
    <w:rsid w:val="00247CBF"/>
    <w:pPr>
      <w:pBdr>
        <w:top w:val="dashed" w:sz="4" w:space="0" w:color="auto"/>
        <w:left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0">
    <w:name w:val="xl270"/>
    <w:basedOn w:val="Normal"/>
    <w:rsid w:val="00247CBF"/>
    <w:pPr>
      <w:pBdr>
        <w:top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1">
    <w:name w:val="xl271"/>
    <w:basedOn w:val="Normal"/>
    <w:rsid w:val="00247CBF"/>
    <w:pPr>
      <w:pBdr>
        <w:top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2">
    <w:name w:val="xl272"/>
    <w:basedOn w:val="Normal"/>
    <w:rsid w:val="00247CBF"/>
    <w:pPr>
      <w:pBdr>
        <w:left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3">
    <w:name w:val="xl273"/>
    <w:basedOn w:val="Normal"/>
    <w:rsid w:val="00247CBF"/>
    <w:pPr>
      <w:pBdr>
        <w:top w:val="dashed" w:sz="4" w:space="0" w:color="auto"/>
        <w:bottom w:val="single"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4">
    <w:name w:val="xl274"/>
    <w:basedOn w:val="Normal"/>
    <w:rsid w:val="00247CBF"/>
    <w:pPr>
      <w:pBdr>
        <w:top w:val="dashed" w:sz="4" w:space="0" w:color="auto"/>
        <w:left w:val="dashed" w:sz="4" w:space="0" w:color="auto"/>
        <w:bottom w:val="single"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5">
    <w:name w:val="xl275"/>
    <w:basedOn w:val="Normal"/>
    <w:rsid w:val="00247CBF"/>
    <w:pPr>
      <w:pBdr>
        <w:top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6">
    <w:name w:val="xl276"/>
    <w:basedOn w:val="Normal"/>
    <w:rsid w:val="00247CBF"/>
    <w:pPr>
      <w:pBdr>
        <w:top w:val="dashed" w:sz="4" w:space="0" w:color="auto"/>
        <w:left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7">
    <w:name w:val="xl277"/>
    <w:basedOn w:val="Normal"/>
    <w:rsid w:val="00247CBF"/>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78">
    <w:name w:val="xl278"/>
    <w:basedOn w:val="Normal"/>
    <w:rsid w:val="00247CBF"/>
    <w:pPr>
      <w:pBdr>
        <w:top w:val="single" w:sz="8" w:space="0" w:color="auto"/>
        <w:bottom w:val="single" w:sz="8"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79">
    <w:name w:val="xl279"/>
    <w:basedOn w:val="Normal"/>
    <w:rsid w:val="00247CBF"/>
    <w:pPr>
      <w:pBdr>
        <w:bottom w:val="single" w:sz="4" w:space="0" w:color="auto"/>
        <w:right w:val="dashed" w:sz="4"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80">
    <w:name w:val="xl280"/>
    <w:basedOn w:val="Normal"/>
    <w:rsid w:val="00247CBF"/>
    <w:pPr>
      <w:pBdr>
        <w:left w:val="dashed" w:sz="4" w:space="0" w:color="auto"/>
        <w:bottom w:val="single" w:sz="4" w:space="0" w:color="auto"/>
        <w:right w:val="dashed" w:sz="4"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81">
    <w:name w:val="xl281"/>
    <w:basedOn w:val="Normal"/>
    <w:rsid w:val="00247CBF"/>
    <w:pPr>
      <w:pBdr>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282">
    <w:name w:val="xl282"/>
    <w:basedOn w:val="Normal"/>
    <w:rsid w:val="00247CBF"/>
    <w:pPr>
      <w:pBdr>
        <w:bottom w:val="single" w:sz="4" w:space="0" w:color="auto"/>
        <w:right w:val="double" w:sz="6"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283">
    <w:name w:val="xl283"/>
    <w:basedOn w:val="Normal"/>
    <w:rsid w:val="00247CBF"/>
    <w:pPr>
      <w:pBdr>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284">
    <w:name w:val="xl284"/>
    <w:basedOn w:val="Normal"/>
    <w:rsid w:val="00247CBF"/>
    <w:pPr>
      <w:pBdr>
        <w:top w:val="dotted" w:sz="4" w:space="0" w:color="auto"/>
        <w:bottom w:val="single" w:sz="4" w:space="0" w:color="auto"/>
        <w:right w:val="dotted" w:sz="4"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285">
    <w:name w:val="xl285"/>
    <w:basedOn w:val="Normal"/>
    <w:rsid w:val="00247CBF"/>
    <w:pPr>
      <w:pBdr>
        <w:top w:val="single" w:sz="4" w:space="0" w:color="auto"/>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286">
    <w:name w:val="xl286"/>
    <w:basedOn w:val="Normal"/>
    <w:rsid w:val="00247CBF"/>
    <w:pPr>
      <w:pBdr>
        <w:bottom w:val="double" w:sz="6"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87">
    <w:name w:val="xl287"/>
    <w:basedOn w:val="Normal"/>
    <w:rsid w:val="00247CBF"/>
    <w:pPr>
      <w:pBdr>
        <w:top w:val="single" w:sz="4" w:space="0" w:color="auto"/>
        <w:left w:val="single" w:sz="8" w:space="0" w:color="auto"/>
        <w:bottom w:val="single" w:sz="4"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88">
    <w:name w:val="xl288"/>
    <w:basedOn w:val="Normal"/>
    <w:rsid w:val="00247CBF"/>
    <w:pPr>
      <w:pBdr>
        <w:top w:val="single" w:sz="4" w:space="0" w:color="auto"/>
        <w:bottom w:val="single" w:sz="4"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89">
    <w:name w:val="xl289"/>
    <w:basedOn w:val="Normal"/>
    <w:rsid w:val="00247CBF"/>
    <w:pPr>
      <w:pBdr>
        <w:top w:val="double" w:sz="6" w:space="0" w:color="auto"/>
        <w:left w:val="single" w:sz="8" w:space="0" w:color="auto"/>
        <w:bottom w:val="double" w:sz="6" w:space="0" w:color="auto"/>
        <w:right w:val="dashed" w:sz="4" w:space="0" w:color="auto"/>
      </w:pBdr>
      <w:shd w:val="clear" w:color="000000" w:fill="FFCC99"/>
      <w:spacing w:before="100" w:beforeAutospacing="1" w:after="100" w:afterAutospacing="1"/>
      <w:jc w:val="right"/>
      <w:textAlignment w:val="center"/>
    </w:pPr>
    <w:rPr>
      <w:rFonts w:eastAsia="Times New Roman" w:cs="Times New Roman"/>
      <w:b/>
      <w:bCs/>
      <w:szCs w:val="24"/>
    </w:rPr>
  </w:style>
  <w:style w:type="paragraph" w:customStyle="1" w:styleId="xl290">
    <w:name w:val="xl290"/>
    <w:basedOn w:val="Normal"/>
    <w:rsid w:val="00247CBF"/>
    <w:pPr>
      <w:pBdr>
        <w:top w:val="double" w:sz="6" w:space="0" w:color="auto"/>
        <w:left w:val="dashed" w:sz="4" w:space="0" w:color="auto"/>
        <w:bottom w:val="double" w:sz="6" w:space="0" w:color="auto"/>
        <w:right w:val="dashed" w:sz="4" w:space="0" w:color="auto"/>
      </w:pBdr>
      <w:shd w:val="clear" w:color="000000" w:fill="FFCC99"/>
      <w:spacing w:before="100" w:beforeAutospacing="1" w:after="100" w:afterAutospacing="1"/>
      <w:jc w:val="right"/>
      <w:textAlignment w:val="center"/>
    </w:pPr>
    <w:rPr>
      <w:rFonts w:eastAsia="Times New Roman" w:cs="Times New Roman"/>
      <w:b/>
      <w:bCs/>
      <w:szCs w:val="24"/>
    </w:rPr>
  </w:style>
  <w:style w:type="paragraph" w:customStyle="1" w:styleId="xl291">
    <w:name w:val="xl291"/>
    <w:basedOn w:val="Normal"/>
    <w:rsid w:val="00247CBF"/>
    <w:pPr>
      <w:pBdr>
        <w:top w:val="double" w:sz="6" w:space="0" w:color="auto"/>
        <w:left w:val="dashed" w:sz="4" w:space="0" w:color="auto"/>
        <w:bottom w:val="double" w:sz="6" w:space="0" w:color="auto"/>
        <w:right w:val="double" w:sz="6" w:space="0" w:color="auto"/>
      </w:pBdr>
      <w:shd w:val="clear" w:color="000000" w:fill="FFCC99"/>
      <w:spacing w:before="100" w:beforeAutospacing="1" w:after="100" w:afterAutospacing="1"/>
      <w:jc w:val="right"/>
      <w:textAlignment w:val="center"/>
    </w:pPr>
    <w:rPr>
      <w:rFonts w:eastAsia="Times New Roman" w:cs="Times New Roman"/>
      <w:b/>
      <w:bCs/>
      <w:szCs w:val="24"/>
    </w:rPr>
  </w:style>
  <w:style w:type="paragraph" w:customStyle="1" w:styleId="xl292">
    <w:name w:val="xl292"/>
    <w:basedOn w:val="Normal"/>
    <w:rsid w:val="00247CBF"/>
    <w:pPr>
      <w:pBdr>
        <w:top w:val="double" w:sz="6" w:space="0" w:color="auto"/>
        <w:left w:val="single" w:sz="8" w:space="0" w:color="auto"/>
        <w:bottom w:val="double" w:sz="6" w:space="0" w:color="auto"/>
        <w:right w:val="dashed" w:sz="4" w:space="0" w:color="auto"/>
      </w:pBdr>
      <w:shd w:val="clear" w:color="000000" w:fill="CCCCFF"/>
      <w:spacing w:before="100" w:beforeAutospacing="1" w:after="100" w:afterAutospacing="1"/>
      <w:jc w:val="right"/>
      <w:textAlignment w:val="center"/>
    </w:pPr>
    <w:rPr>
      <w:rFonts w:eastAsia="Times New Roman" w:cs="Times New Roman"/>
      <w:b/>
      <w:bCs/>
      <w:szCs w:val="24"/>
    </w:rPr>
  </w:style>
  <w:style w:type="paragraph" w:customStyle="1" w:styleId="xl293">
    <w:name w:val="xl293"/>
    <w:basedOn w:val="Normal"/>
    <w:rsid w:val="00247CBF"/>
    <w:pPr>
      <w:pBdr>
        <w:top w:val="double" w:sz="6" w:space="0" w:color="auto"/>
        <w:left w:val="dashed" w:sz="4" w:space="0" w:color="auto"/>
        <w:bottom w:val="double" w:sz="6" w:space="0" w:color="auto"/>
        <w:right w:val="dashed" w:sz="4" w:space="0" w:color="auto"/>
      </w:pBdr>
      <w:shd w:val="clear" w:color="000000" w:fill="CCCCFF"/>
      <w:spacing w:before="100" w:beforeAutospacing="1" w:after="100" w:afterAutospacing="1"/>
      <w:jc w:val="right"/>
      <w:textAlignment w:val="center"/>
    </w:pPr>
    <w:rPr>
      <w:rFonts w:eastAsia="Times New Roman" w:cs="Times New Roman"/>
      <w:b/>
      <w:bCs/>
      <w:szCs w:val="24"/>
    </w:rPr>
  </w:style>
  <w:style w:type="paragraph" w:customStyle="1" w:styleId="xl294">
    <w:name w:val="xl294"/>
    <w:basedOn w:val="Normal"/>
    <w:rsid w:val="00247CBF"/>
    <w:pPr>
      <w:pBdr>
        <w:top w:val="double" w:sz="6" w:space="0" w:color="auto"/>
        <w:left w:val="dashed" w:sz="4" w:space="0" w:color="auto"/>
        <w:bottom w:val="double" w:sz="6" w:space="0" w:color="auto"/>
        <w:right w:val="double" w:sz="6" w:space="0" w:color="auto"/>
      </w:pBdr>
      <w:shd w:val="clear" w:color="000000" w:fill="CCCCFF"/>
      <w:spacing w:before="100" w:beforeAutospacing="1" w:after="100" w:afterAutospacing="1"/>
      <w:jc w:val="right"/>
      <w:textAlignment w:val="center"/>
    </w:pPr>
    <w:rPr>
      <w:rFonts w:eastAsia="Times New Roman" w:cs="Times New Roman"/>
      <w:b/>
      <w:bCs/>
      <w:szCs w:val="24"/>
    </w:rPr>
  </w:style>
  <w:style w:type="paragraph" w:customStyle="1" w:styleId="xl295">
    <w:name w:val="xl295"/>
    <w:basedOn w:val="Normal"/>
    <w:rsid w:val="00247CBF"/>
    <w:pPr>
      <w:shd w:val="clear" w:color="000000" w:fill="FFFFFF"/>
      <w:spacing w:before="100" w:beforeAutospacing="1" w:after="100" w:afterAutospacing="1"/>
      <w:jc w:val="right"/>
    </w:pPr>
    <w:rPr>
      <w:rFonts w:eastAsia="Times New Roman" w:cs="Times New Roman"/>
      <w:szCs w:val="24"/>
    </w:rPr>
  </w:style>
  <w:style w:type="paragraph" w:customStyle="1" w:styleId="xl296">
    <w:name w:val="xl296"/>
    <w:basedOn w:val="Normal"/>
    <w:rsid w:val="00247CBF"/>
    <w:pPr>
      <w:pBdr>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97">
    <w:name w:val="xl297"/>
    <w:basedOn w:val="Normal"/>
    <w:rsid w:val="00247CBF"/>
    <w:pPr>
      <w:spacing w:before="100" w:beforeAutospacing="1" w:after="100" w:afterAutospacing="1"/>
      <w:jc w:val="right"/>
    </w:pPr>
    <w:rPr>
      <w:rFonts w:ascii="Arial" w:eastAsia="Times New Roman" w:hAnsi="Arial" w:cs="Arial"/>
      <w:b/>
      <w:bCs/>
      <w:szCs w:val="24"/>
    </w:rPr>
  </w:style>
  <w:style w:type="paragraph" w:customStyle="1" w:styleId="xl298">
    <w:name w:val="xl298"/>
    <w:basedOn w:val="Normal"/>
    <w:rsid w:val="00247CBF"/>
    <w:pPr>
      <w:pBdr>
        <w:top w:val="single" w:sz="4" w:space="0" w:color="auto"/>
        <w:left w:val="single" w:sz="8" w:space="0" w:color="auto"/>
        <w:bottom w:val="single"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299">
    <w:name w:val="xl299"/>
    <w:basedOn w:val="Normal"/>
    <w:rsid w:val="00247CBF"/>
    <w:pPr>
      <w:shd w:val="clear" w:color="000000" w:fill="FFFFFF"/>
      <w:spacing w:before="100" w:beforeAutospacing="1" w:after="100" w:afterAutospacing="1"/>
      <w:jc w:val="right"/>
    </w:pPr>
    <w:rPr>
      <w:rFonts w:eastAsia="Times New Roman" w:cs="Times New Roman"/>
      <w:szCs w:val="24"/>
    </w:rPr>
  </w:style>
  <w:style w:type="paragraph" w:customStyle="1" w:styleId="xl300">
    <w:name w:val="xl300"/>
    <w:basedOn w:val="Normal"/>
    <w:rsid w:val="00247CBF"/>
    <w:pPr>
      <w:pBdr>
        <w:top w:val="double" w:sz="6" w:space="0" w:color="auto"/>
        <w:left w:val="single" w:sz="8" w:space="0" w:color="auto"/>
        <w:bottom w:val="double" w:sz="6"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301">
    <w:name w:val="xl301"/>
    <w:basedOn w:val="Normal"/>
    <w:rsid w:val="00247CBF"/>
    <w:pPr>
      <w:pBdr>
        <w:top w:val="double" w:sz="6" w:space="0" w:color="auto"/>
        <w:bottom w:val="double" w:sz="6"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302">
    <w:name w:val="xl302"/>
    <w:basedOn w:val="Normal"/>
    <w:rsid w:val="00247CBF"/>
    <w:pPr>
      <w:pBdr>
        <w:top w:val="double" w:sz="6" w:space="0" w:color="auto"/>
        <w:bottom w:val="double" w:sz="6" w:space="0" w:color="auto"/>
        <w:right w:val="double" w:sz="6"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303">
    <w:name w:val="xl303"/>
    <w:basedOn w:val="Normal"/>
    <w:rsid w:val="00247CBF"/>
    <w:pPr>
      <w:pBdr>
        <w:top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04">
    <w:name w:val="xl304"/>
    <w:basedOn w:val="Normal"/>
    <w:rsid w:val="00247CBF"/>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05">
    <w:name w:val="xl305"/>
    <w:basedOn w:val="Normal"/>
    <w:rsid w:val="00247CBF"/>
    <w:pPr>
      <w:pBdr>
        <w:top w:val="dotted" w:sz="4" w:space="0" w:color="000000"/>
        <w:left w:val="dotted" w:sz="4" w:space="0" w:color="000000"/>
        <w:bottom w:val="dotted" w:sz="4"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06">
    <w:name w:val="xl306"/>
    <w:basedOn w:val="Normal"/>
    <w:rsid w:val="00247CBF"/>
    <w:pPr>
      <w:pBdr>
        <w:bottom w:val="dotted" w:sz="4" w:space="0" w:color="000000"/>
        <w:right w:val="dotted" w:sz="4"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07">
    <w:name w:val="xl307"/>
    <w:basedOn w:val="Normal"/>
    <w:rsid w:val="00247CBF"/>
    <w:pPr>
      <w:pBdr>
        <w:left w:val="dotted" w:sz="4" w:space="0" w:color="000000"/>
        <w:bottom w:val="dotted" w:sz="4" w:space="0" w:color="000000"/>
        <w:right w:val="dotted" w:sz="4"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08">
    <w:name w:val="xl308"/>
    <w:basedOn w:val="Normal"/>
    <w:rsid w:val="00247CBF"/>
    <w:pPr>
      <w:pBdr>
        <w:left w:val="dotted" w:sz="4" w:space="0" w:color="000000"/>
        <w:bottom w:val="dotted" w:sz="4" w:space="0" w:color="000000"/>
        <w:right w:val="double" w:sz="6"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09">
    <w:name w:val="xl309"/>
    <w:basedOn w:val="Normal"/>
    <w:rsid w:val="00247CBF"/>
    <w:pPr>
      <w:pBdr>
        <w:top w:val="dotted" w:sz="4" w:space="0" w:color="000000"/>
        <w:bottom w:val="dotted" w:sz="4" w:space="0" w:color="000000"/>
        <w:right w:val="dotted" w:sz="4"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10">
    <w:name w:val="xl310"/>
    <w:basedOn w:val="Normal"/>
    <w:rsid w:val="00247CBF"/>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11">
    <w:name w:val="xl311"/>
    <w:basedOn w:val="Normal"/>
    <w:rsid w:val="00247CBF"/>
    <w:pPr>
      <w:pBdr>
        <w:top w:val="dotted" w:sz="4" w:space="0" w:color="000000"/>
        <w:left w:val="dotted" w:sz="4" w:space="0" w:color="000000"/>
        <w:bottom w:val="dotted" w:sz="4" w:space="0" w:color="000000"/>
        <w:right w:val="double" w:sz="6"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12">
    <w:name w:val="xl312"/>
    <w:basedOn w:val="Normal"/>
    <w:rsid w:val="00247CBF"/>
    <w:pPr>
      <w:pBdr>
        <w:top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13">
    <w:name w:val="xl313"/>
    <w:basedOn w:val="Normal"/>
    <w:rsid w:val="00247CBF"/>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14">
    <w:name w:val="xl314"/>
    <w:basedOn w:val="Normal"/>
    <w:rsid w:val="00247CBF"/>
    <w:pPr>
      <w:pBdr>
        <w:top w:val="dotted" w:sz="4" w:space="0" w:color="000000"/>
        <w:left w:val="dotted" w:sz="4" w:space="0" w:color="000000"/>
        <w:bottom w:val="dotted" w:sz="4"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15">
    <w:name w:val="xl315"/>
    <w:basedOn w:val="Normal"/>
    <w:rsid w:val="00247CBF"/>
    <w:pPr>
      <w:pBdr>
        <w:top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16">
    <w:name w:val="xl316"/>
    <w:basedOn w:val="Normal"/>
    <w:rsid w:val="00247CBF"/>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17">
    <w:name w:val="xl317"/>
    <w:basedOn w:val="Normal"/>
    <w:rsid w:val="00247CBF"/>
    <w:pPr>
      <w:pBdr>
        <w:top w:val="dotted" w:sz="4" w:space="0" w:color="000000"/>
        <w:left w:val="dotted" w:sz="4" w:space="0" w:color="000000"/>
        <w:bottom w:val="dotted" w:sz="4"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18">
    <w:name w:val="xl318"/>
    <w:basedOn w:val="Normal"/>
    <w:rsid w:val="00247CBF"/>
    <w:pPr>
      <w:pBdr>
        <w:top w:val="dotted" w:sz="4" w:space="0" w:color="000000"/>
        <w:bottom w:val="single" w:sz="4" w:space="0" w:color="auto"/>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19">
    <w:name w:val="xl319"/>
    <w:basedOn w:val="Normal"/>
    <w:rsid w:val="00247CBF"/>
    <w:pPr>
      <w:pBdr>
        <w:top w:val="dotted" w:sz="4" w:space="0" w:color="000000"/>
        <w:left w:val="dotted" w:sz="4" w:space="0" w:color="000000"/>
        <w:bottom w:val="single" w:sz="4" w:space="0" w:color="auto"/>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0">
    <w:name w:val="xl320"/>
    <w:basedOn w:val="Normal"/>
    <w:rsid w:val="00247CBF"/>
    <w:pPr>
      <w:pBdr>
        <w:top w:val="dotted" w:sz="4" w:space="0" w:color="000000"/>
        <w:left w:val="dotted" w:sz="4" w:space="0" w:color="000000"/>
        <w:bottom w:val="single" w:sz="4" w:space="0" w:color="auto"/>
        <w:right w:val="double" w:sz="6"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1">
    <w:name w:val="xl321"/>
    <w:basedOn w:val="Normal"/>
    <w:rsid w:val="00247CBF"/>
    <w:pPr>
      <w:pBdr>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2">
    <w:name w:val="xl322"/>
    <w:basedOn w:val="Normal"/>
    <w:rsid w:val="00247CBF"/>
    <w:pPr>
      <w:pBdr>
        <w:left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3">
    <w:name w:val="xl323"/>
    <w:basedOn w:val="Normal"/>
    <w:rsid w:val="00247CBF"/>
    <w:pPr>
      <w:pBdr>
        <w:left w:val="dotted" w:sz="4" w:space="0" w:color="000000"/>
        <w:bottom w:val="dotted" w:sz="4"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4">
    <w:name w:val="xl324"/>
    <w:basedOn w:val="Normal"/>
    <w:rsid w:val="00247CBF"/>
    <w:pPr>
      <w:pBdr>
        <w:top w:val="dotted" w:sz="4" w:space="0" w:color="000000"/>
        <w:bottom w:val="double" w:sz="6"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b/>
      <w:bCs/>
      <w:color w:val="000000"/>
      <w:szCs w:val="24"/>
    </w:rPr>
  </w:style>
  <w:style w:type="paragraph" w:customStyle="1" w:styleId="xl325">
    <w:name w:val="xl325"/>
    <w:basedOn w:val="Normal"/>
    <w:rsid w:val="00247CBF"/>
    <w:pPr>
      <w:pBdr>
        <w:top w:val="dotted" w:sz="4" w:space="0" w:color="000000"/>
        <w:left w:val="dotted" w:sz="4" w:space="0" w:color="000000"/>
        <w:bottom w:val="double" w:sz="6"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6">
    <w:name w:val="xl326"/>
    <w:basedOn w:val="Normal"/>
    <w:rsid w:val="00247CBF"/>
    <w:pPr>
      <w:pBdr>
        <w:top w:val="dotted" w:sz="4" w:space="0" w:color="000000"/>
        <w:left w:val="dotted" w:sz="4" w:space="0" w:color="000000"/>
        <w:bottom w:val="double" w:sz="6"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7">
    <w:name w:val="xl327"/>
    <w:basedOn w:val="Normal"/>
    <w:rsid w:val="00247CBF"/>
    <w:pPr>
      <w:pBdr>
        <w:top w:val="dotted" w:sz="4" w:space="0" w:color="auto"/>
        <w:bottom w:val="dotted"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28">
    <w:name w:val="xl328"/>
    <w:basedOn w:val="Normal"/>
    <w:rsid w:val="00247CBF"/>
    <w:pPr>
      <w:pBdr>
        <w:top w:val="dotted" w:sz="4" w:space="0" w:color="auto"/>
        <w:left w:val="dotted" w:sz="4" w:space="0" w:color="auto"/>
        <w:bottom w:val="dotted"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29">
    <w:name w:val="xl329"/>
    <w:basedOn w:val="Normal"/>
    <w:rsid w:val="00247CBF"/>
    <w:pPr>
      <w:pBdr>
        <w:top w:val="dotted" w:sz="4" w:space="0" w:color="auto"/>
        <w:left w:val="dotted" w:sz="4" w:space="0" w:color="auto"/>
        <w:bottom w:val="dotted" w:sz="4" w:space="0" w:color="auto"/>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30">
    <w:name w:val="xl330"/>
    <w:basedOn w:val="Normal"/>
    <w:rsid w:val="00247CBF"/>
    <w:pPr>
      <w:pBdr>
        <w:top w:val="dotted" w:sz="4" w:space="0" w:color="auto"/>
        <w:left w:val="single" w:sz="8" w:space="0" w:color="auto"/>
        <w:bottom w:val="single"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31">
    <w:name w:val="xl331"/>
    <w:basedOn w:val="Normal"/>
    <w:rsid w:val="00247CBF"/>
    <w:pPr>
      <w:pBdr>
        <w:top w:val="dotted" w:sz="4" w:space="0" w:color="auto"/>
        <w:left w:val="dotted" w:sz="4" w:space="0" w:color="auto"/>
        <w:bottom w:val="single"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32">
    <w:name w:val="xl332"/>
    <w:basedOn w:val="Normal"/>
    <w:rsid w:val="00247CBF"/>
    <w:pPr>
      <w:pBdr>
        <w:top w:val="dotted" w:sz="4" w:space="0" w:color="auto"/>
        <w:left w:val="dotted" w:sz="4" w:space="0" w:color="auto"/>
        <w:bottom w:val="single" w:sz="4" w:space="0" w:color="auto"/>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33">
    <w:name w:val="xl333"/>
    <w:basedOn w:val="Normal"/>
    <w:rsid w:val="00247CBF"/>
    <w:pPr>
      <w:pBdr>
        <w:top w:val="single" w:sz="4" w:space="0" w:color="auto"/>
        <w:bottom w:val="double" w:sz="6"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34">
    <w:name w:val="xl334"/>
    <w:basedOn w:val="Normal"/>
    <w:rsid w:val="00247CBF"/>
    <w:pPr>
      <w:pBdr>
        <w:top w:val="single" w:sz="4" w:space="0" w:color="auto"/>
        <w:left w:val="dotted" w:sz="4" w:space="0" w:color="auto"/>
        <w:bottom w:val="double" w:sz="6"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35">
    <w:name w:val="xl335"/>
    <w:basedOn w:val="Normal"/>
    <w:rsid w:val="00247CBF"/>
    <w:pPr>
      <w:pBdr>
        <w:top w:val="single" w:sz="4" w:space="0" w:color="auto"/>
        <w:left w:val="dotted" w:sz="4" w:space="0" w:color="auto"/>
        <w:bottom w:val="double" w:sz="6" w:space="0" w:color="auto"/>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36">
    <w:name w:val="xl336"/>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37">
    <w:name w:val="xl337"/>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38">
    <w:name w:val="xl338"/>
    <w:basedOn w:val="Normal"/>
    <w:rsid w:val="00247CBF"/>
    <w:pPr>
      <w:pBdr>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39">
    <w:name w:val="xl339"/>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0">
    <w:name w:val="xl340"/>
    <w:basedOn w:val="Normal"/>
    <w:rsid w:val="00247CBF"/>
    <w:pPr>
      <w:shd w:val="clear" w:color="000000" w:fill="FFFFFF"/>
      <w:spacing w:before="100" w:beforeAutospacing="1" w:after="100" w:afterAutospacing="1"/>
      <w:jc w:val="right"/>
    </w:pPr>
    <w:rPr>
      <w:rFonts w:eastAsia="Times New Roman" w:cs="Times New Roman"/>
      <w:sz w:val="16"/>
      <w:szCs w:val="16"/>
    </w:rPr>
  </w:style>
  <w:style w:type="paragraph" w:customStyle="1" w:styleId="xl341">
    <w:name w:val="xl341"/>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2">
    <w:name w:val="xl342"/>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3">
    <w:name w:val="xl343"/>
    <w:basedOn w:val="Normal"/>
    <w:rsid w:val="00247CBF"/>
    <w:pPr>
      <w:pBdr>
        <w:top w:val="dashed" w:sz="4" w:space="0" w:color="auto"/>
        <w:bottom w:val="single"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4">
    <w:name w:val="xl344"/>
    <w:basedOn w:val="Normal"/>
    <w:rsid w:val="00247CBF"/>
    <w:pPr>
      <w:pBdr>
        <w:top w:val="dashed" w:sz="4" w:space="0" w:color="auto"/>
        <w:left w:val="dashed" w:sz="4" w:space="0" w:color="auto"/>
        <w:bottom w:val="single"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5">
    <w:name w:val="xl345"/>
    <w:basedOn w:val="Normal"/>
    <w:rsid w:val="00247CBF"/>
    <w:pPr>
      <w:pBdr>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6">
    <w:name w:val="xl346"/>
    <w:basedOn w:val="Normal"/>
    <w:rsid w:val="00247CBF"/>
    <w:pPr>
      <w:pBdr>
        <w:top w:val="double" w:sz="6" w:space="0" w:color="auto"/>
        <w:left w:val="dotted" w:sz="4" w:space="0" w:color="auto"/>
        <w:bottom w:val="single" w:sz="8"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347">
    <w:name w:val="xl347"/>
    <w:basedOn w:val="Normal"/>
    <w:rsid w:val="00247CBF"/>
    <w:pPr>
      <w:pBdr>
        <w:top w:val="double" w:sz="6" w:space="0" w:color="auto"/>
        <w:left w:val="dotted" w:sz="4" w:space="0" w:color="auto"/>
        <w:bottom w:val="single" w:sz="8" w:space="0" w:color="auto"/>
        <w:right w:val="double" w:sz="6"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8">
    <w:name w:val="xl348"/>
    <w:basedOn w:val="Normal"/>
    <w:rsid w:val="00247CBF"/>
    <w:pPr>
      <w:pBdr>
        <w:top w:val="dotted" w:sz="4" w:space="0" w:color="auto"/>
        <w:left w:val="dotted" w:sz="4" w:space="0" w:color="auto"/>
        <w:bottom w:val="dotted" w:sz="4" w:space="0" w:color="auto"/>
        <w:right w:val="double" w:sz="6"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49">
    <w:name w:val="xl349"/>
    <w:basedOn w:val="Normal"/>
    <w:rsid w:val="00247CBF"/>
    <w:pPr>
      <w:pBdr>
        <w:top w:val="dotted" w:sz="4" w:space="0" w:color="auto"/>
        <w:bottom w:val="double" w:sz="6"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50">
    <w:name w:val="xl350"/>
    <w:basedOn w:val="Normal"/>
    <w:rsid w:val="00247CBF"/>
    <w:pPr>
      <w:pBdr>
        <w:top w:val="dotted" w:sz="4" w:space="0" w:color="auto"/>
        <w:left w:val="dotted" w:sz="4" w:space="0" w:color="auto"/>
        <w:bottom w:val="double" w:sz="6" w:space="0" w:color="auto"/>
        <w:right w:val="double" w:sz="6"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51">
    <w:name w:val="xl351"/>
    <w:basedOn w:val="Normal"/>
    <w:rsid w:val="00247CBF"/>
    <w:pPr>
      <w:pBdr>
        <w:bottom w:val="dotted" w:sz="4"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352">
    <w:name w:val="xl352"/>
    <w:basedOn w:val="Normal"/>
    <w:rsid w:val="00247CBF"/>
    <w:pPr>
      <w:pBdr>
        <w:bottom w:val="double" w:sz="6" w:space="0" w:color="auto"/>
        <w:right w:val="dott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53">
    <w:name w:val="xl353"/>
    <w:basedOn w:val="Normal"/>
    <w:rsid w:val="00247CBF"/>
    <w:pPr>
      <w:pBdr>
        <w:bottom w:val="dotted" w:sz="4"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354">
    <w:name w:val="xl354"/>
    <w:basedOn w:val="Normal"/>
    <w:rsid w:val="00247CBF"/>
    <w:pPr>
      <w:pBdr>
        <w:top w:val="dotted" w:sz="4" w:space="0" w:color="auto"/>
        <w:bottom w:val="single" w:sz="4"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355">
    <w:name w:val="xl355"/>
    <w:basedOn w:val="Normal"/>
    <w:rsid w:val="00247CBF"/>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356">
    <w:name w:val="xl356"/>
    <w:basedOn w:val="Normal"/>
    <w:rsid w:val="00247CBF"/>
    <w:pPr>
      <w:pBdr>
        <w:top w:val="single" w:sz="8" w:space="0" w:color="auto"/>
        <w:bottom w:val="single" w:sz="8"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357">
    <w:name w:val="xl357"/>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358">
    <w:name w:val="xl358"/>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359">
    <w:name w:val="xl359"/>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60">
    <w:name w:val="xl360"/>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61">
    <w:name w:val="xl361"/>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62">
    <w:name w:val="xl362"/>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63">
    <w:name w:val="xl363"/>
    <w:basedOn w:val="Normal"/>
    <w:rsid w:val="00247CBF"/>
    <w:pPr>
      <w:pBdr>
        <w:top w:val="dashed" w:sz="4" w:space="0" w:color="auto"/>
        <w:bottom w:val="dashed" w:sz="4" w:space="0" w:color="auto"/>
        <w:right w:val="dashed" w:sz="4" w:space="0" w:color="auto"/>
      </w:pBdr>
      <w:spacing w:before="100" w:beforeAutospacing="1" w:after="100" w:afterAutospacing="1"/>
      <w:jc w:val="right"/>
    </w:pPr>
    <w:rPr>
      <w:rFonts w:eastAsia="Times New Roman" w:cs="Times New Roman"/>
      <w:sz w:val="18"/>
      <w:szCs w:val="18"/>
    </w:rPr>
  </w:style>
  <w:style w:type="paragraph" w:customStyle="1" w:styleId="xl364">
    <w:name w:val="xl364"/>
    <w:basedOn w:val="Normal"/>
    <w:rsid w:val="00247CBF"/>
    <w:pPr>
      <w:pBdr>
        <w:top w:val="dashed" w:sz="4" w:space="0" w:color="auto"/>
        <w:left w:val="dashed" w:sz="4" w:space="0" w:color="auto"/>
        <w:bottom w:val="dashed" w:sz="4" w:space="0" w:color="auto"/>
        <w:right w:val="dashed" w:sz="4" w:space="0" w:color="auto"/>
      </w:pBdr>
      <w:spacing w:before="100" w:beforeAutospacing="1" w:after="100" w:afterAutospacing="1"/>
      <w:jc w:val="right"/>
    </w:pPr>
    <w:rPr>
      <w:rFonts w:eastAsia="Times New Roman" w:cs="Times New Roman"/>
      <w:sz w:val="18"/>
      <w:szCs w:val="18"/>
    </w:rPr>
  </w:style>
  <w:style w:type="paragraph" w:customStyle="1" w:styleId="xl365">
    <w:name w:val="xl365"/>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366">
    <w:name w:val="xl366"/>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367">
    <w:name w:val="xl367"/>
    <w:basedOn w:val="Normal"/>
    <w:rsid w:val="00247CBF"/>
    <w:pPr>
      <w:pBdr>
        <w:top w:val="dashed" w:sz="4" w:space="0" w:color="auto"/>
        <w:left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 w:val="18"/>
      <w:szCs w:val="18"/>
    </w:rPr>
  </w:style>
  <w:style w:type="paragraph" w:customStyle="1" w:styleId="xl368">
    <w:name w:val="xl368"/>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69">
    <w:name w:val="xl369"/>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70">
    <w:name w:val="xl370"/>
    <w:basedOn w:val="Normal"/>
    <w:rsid w:val="00247CBF"/>
    <w:pPr>
      <w:shd w:val="clear" w:color="000000" w:fill="FFFFFF"/>
      <w:spacing w:before="100" w:beforeAutospacing="1" w:after="100" w:afterAutospacing="1"/>
      <w:jc w:val="right"/>
    </w:pPr>
    <w:rPr>
      <w:rFonts w:eastAsia="Times New Roman" w:cs="Times New Roman"/>
      <w:sz w:val="16"/>
      <w:szCs w:val="16"/>
    </w:rPr>
  </w:style>
  <w:style w:type="paragraph" w:customStyle="1" w:styleId="xl371">
    <w:name w:val="xl371"/>
    <w:basedOn w:val="Normal"/>
    <w:rsid w:val="00247CBF"/>
    <w:pPr>
      <w:shd w:val="clear" w:color="000000" w:fill="FFFFFF"/>
      <w:spacing w:before="100" w:beforeAutospacing="1" w:after="100" w:afterAutospacing="1"/>
      <w:jc w:val="right"/>
    </w:pPr>
    <w:rPr>
      <w:rFonts w:eastAsia="Times New Roman" w:cs="Times New Roman"/>
      <w:sz w:val="16"/>
      <w:szCs w:val="16"/>
    </w:rPr>
  </w:style>
  <w:style w:type="paragraph" w:customStyle="1" w:styleId="xl372">
    <w:name w:val="xl372"/>
    <w:basedOn w:val="Normal"/>
    <w:rsid w:val="00247CBF"/>
    <w:pPr>
      <w:shd w:val="clear" w:color="000000" w:fill="FFFFFF"/>
      <w:spacing w:before="100" w:beforeAutospacing="1" w:after="100" w:afterAutospacing="1"/>
      <w:jc w:val="right"/>
    </w:pPr>
    <w:rPr>
      <w:rFonts w:eastAsia="Times New Roman" w:cs="Times New Roman"/>
      <w:sz w:val="16"/>
      <w:szCs w:val="16"/>
    </w:rPr>
  </w:style>
  <w:style w:type="paragraph" w:customStyle="1" w:styleId="xl373">
    <w:name w:val="xl373"/>
    <w:basedOn w:val="Normal"/>
    <w:rsid w:val="00247CBF"/>
    <w:pPr>
      <w:pBdr>
        <w:top w:val="single" w:sz="4" w:space="0" w:color="auto"/>
        <w:bottom w:val="single" w:sz="4"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374">
    <w:name w:val="xl374"/>
    <w:basedOn w:val="Normal"/>
    <w:rsid w:val="00247CBF"/>
    <w:pPr>
      <w:pBdr>
        <w:top w:val="single" w:sz="4" w:space="0" w:color="auto"/>
        <w:bottom w:val="single" w:sz="4" w:space="0" w:color="000000"/>
        <w:right w:val="double" w:sz="6"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375">
    <w:name w:val="xl375"/>
    <w:basedOn w:val="Normal"/>
    <w:rsid w:val="00247CBF"/>
    <w:pPr>
      <w:pBdr>
        <w:bottom w:val="dotted" w:sz="4" w:space="0" w:color="auto"/>
        <w:right w:val="dotted" w:sz="4"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76">
    <w:name w:val="xl376"/>
    <w:basedOn w:val="Normal"/>
    <w:rsid w:val="00247CBF"/>
    <w:pPr>
      <w:pBdr>
        <w:bottom w:val="dotted" w:sz="4" w:space="0" w:color="auto"/>
        <w:right w:val="double" w:sz="6"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77">
    <w:name w:val="xl377"/>
    <w:basedOn w:val="Normal"/>
    <w:rsid w:val="00247CBF"/>
    <w:pPr>
      <w:pBdr>
        <w:bottom w:val="double" w:sz="6" w:space="0" w:color="auto"/>
        <w:right w:val="double" w:sz="6"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78">
    <w:name w:val="xl378"/>
    <w:basedOn w:val="Normal"/>
    <w:rsid w:val="00247CBF"/>
    <w:pPr>
      <w:pBdr>
        <w:top w:val="dotted" w:sz="4" w:space="0" w:color="auto"/>
        <w:left w:val="single" w:sz="8" w:space="0" w:color="auto"/>
        <w:bottom w:val="dashed" w:sz="4" w:space="0" w:color="auto"/>
        <w:right w:val="dotted" w:sz="4"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79">
    <w:name w:val="xl379"/>
    <w:basedOn w:val="Normal"/>
    <w:rsid w:val="00247CBF"/>
    <w:pPr>
      <w:pBdr>
        <w:top w:val="dotted" w:sz="4" w:space="0" w:color="auto"/>
        <w:bottom w:val="dashed" w:sz="4" w:space="0" w:color="auto"/>
        <w:right w:val="dotted" w:sz="4"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80">
    <w:name w:val="xl380"/>
    <w:basedOn w:val="Normal"/>
    <w:rsid w:val="00247CBF"/>
    <w:pPr>
      <w:pBdr>
        <w:top w:val="dotted" w:sz="4" w:space="0" w:color="auto"/>
        <w:bottom w:val="dashed" w:sz="4" w:space="0" w:color="auto"/>
        <w:right w:val="double" w:sz="6"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81">
    <w:name w:val="xl381"/>
    <w:basedOn w:val="Normal"/>
    <w:rsid w:val="00247CBF"/>
    <w:pPr>
      <w:pBdr>
        <w:top w:val="single" w:sz="4" w:space="0" w:color="auto"/>
        <w:bottom w:val="single" w:sz="4" w:space="0" w:color="auto"/>
      </w:pBdr>
      <w:shd w:val="clear" w:color="000000" w:fill="FFFFFF"/>
      <w:spacing w:before="100" w:beforeAutospacing="1" w:after="100" w:afterAutospacing="1"/>
      <w:jc w:val="center"/>
      <w:textAlignment w:val="top"/>
    </w:pPr>
    <w:rPr>
      <w:rFonts w:eastAsia="Times New Roman" w:cs="Times New Roman"/>
      <w:b/>
      <w:bCs/>
      <w:color w:val="000000"/>
      <w:szCs w:val="24"/>
    </w:rPr>
  </w:style>
  <w:style w:type="paragraph" w:customStyle="1" w:styleId="xl382">
    <w:name w:val="xl382"/>
    <w:basedOn w:val="Normal"/>
    <w:rsid w:val="00247CBF"/>
    <w:pPr>
      <w:pBdr>
        <w:top w:val="single" w:sz="4" w:space="0" w:color="auto"/>
        <w:bottom w:val="single" w:sz="4" w:space="0" w:color="auto"/>
        <w:right w:val="double" w:sz="6" w:space="0" w:color="000000"/>
      </w:pBdr>
      <w:shd w:val="clear" w:color="000000" w:fill="FFFFFF"/>
      <w:spacing w:before="100" w:beforeAutospacing="1" w:after="100" w:afterAutospacing="1"/>
      <w:jc w:val="center"/>
      <w:textAlignment w:val="top"/>
    </w:pPr>
    <w:rPr>
      <w:rFonts w:eastAsia="Times New Roman" w:cs="Times New Roman"/>
      <w:b/>
      <w:bCs/>
      <w:color w:val="000000"/>
      <w:szCs w:val="24"/>
    </w:rPr>
  </w:style>
  <w:style w:type="paragraph" w:customStyle="1" w:styleId="xl383">
    <w:name w:val="xl383"/>
    <w:basedOn w:val="Normal"/>
    <w:rsid w:val="00247CBF"/>
    <w:pPr>
      <w:pBdr>
        <w:top w:val="double" w:sz="6" w:space="0" w:color="auto"/>
        <w:bottom w:val="double" w:sz="6" w:space="0" w:color="auto"/>
        <w:right w:val="dashed" w:sz="4" w:space="0" w:color="auto"/>
      </w:pBdr>
      <w:shd w:val="clear" w:color="000000" w:fill="00FF00"/>
      <w:spacing w:before="100" w:beforeAutospacing="1" w:after="100" w:afterAutospacing="1"/>
      <w:jc w:val="right"/>
      <w:textAlignment w:val="center"/>
    </w:pPr>
    <w:rPr>
      <w:rFonts w:eastAsia="Times New Roman" w:cs="Times New Roman"/>
      <w:b/>
      <w:bCs/>
      <w:szCs w:val="24"/>
    </w:rPr>
  </w:style>
  <w:style w:type="paragraph" w:customStyle="1" w:styleId="xl384">
    <w:name w:val="xl384"/>
    <w:basedOn w:val="Normal"/>
    <w:rsid w:val="00247CBF"/>
    <w:pPr>
      <w:pBdr>
        <w:top w:val="double" w:sz="6" w:space="0" w:color="auto"/>
        <w:left w:val="dashed" w:sz="4" w:space="0" w:color="auto"/>
        <w:bottom w:val="double" w:sz="6" w:space="0" w:color="auto"/>
        <w:right w:val="dashed" w:sz="4" w:space="0" w:color="auto"/>
      </w:pBdr>
      <w:shd w:val="clear" w:color="000000" w:fill="00FF00"/>
      <w:spacing w:before="100" w:beforeAutospacing="1" w:after="100" w:afterAutospacing="1"/>
      <w:jc w:val="right"/>
      <w:textAlignment w:val="center"/>
    </w:pPr>
    <w:rPr>
      <w:rFonts w:eastAsia="Times New Roman" w:cs="Times New Roman"/>
      <w:b/>
      <w:bCs/>
      <w:szCs w:val="24"/>
    </w:rPr>
  </w:style>
  <w:style w:type="paragraph" w:customStyle="1" w:styleId="xl385">
    <w:name w:val="xl385"/>
    <w:basedOn w:val="Normal"/>
    <w:rsid w:val="00247CBF"/>
    <w:pPr>
      <w:pBdr>
        <w:top w:val="double" w:sz="6" w:space="0" w:color="auto"/>
        <w:left w:val="dashed" w:sz="4" w:space="0" w:color="auto"/>
        <w:bottom w:val="double" w:sz="6" w:space="0" w:color="auto"/>
        <w:right w:val="double" w:sz="6" w:space="0" w:color="auto"/>
      </w:pBdr>
      <w:shd w:val="clear" w:color="000000" w:fill="00FF00"/>
      <w:spacing w:before="100" w:beforeAutospacing="1" w:after="100" w:afterAutospacing="1"/>
      <w:jc w:val="right"/>
      <w:textAlignment w:val="center"/>
    </w:pPr>
    <w:rPr>
      <w:rFonts w:eastAsia="Times New Roman" w:cs="Times New Roman"/>
      <w:b/>
      <w:bCs/>
      <w:szCs w:val="24"/>
    </w:rPr>
  </w:style>
  <w:style w:type="paragraph" w:customStyle="1" w:styleId="xl386">
    <w:name w:val="xl386"/>
    <w:basedOn w:val="Normal"/>
    <w:rsid w:val="00247CBF"/>
    <w:pPr>
      <w:pBdr>
        <w:top w:val="double" w:sz="6" w:space="0" w:color="auto"/>
        <w:left w:val="dashed" w:sz="4" w:space="0" w:color="auto"/>
        <w:bottom w:val="double" w:sz="6" w:space="0" w:color="auto"/>
        <w:right w:val="double" w:sz="6" w:space="0" w:color="auto"/>
      </w:pBdr>
      <w:shd w:val="clear" w:color="000000" w:fill="E26B0A"/>
      <w:spacing w:before="100" w:beforeAutospacing="1" w:after="100" w:afterAutospacing="1"/>
      <w:jc w:val="right"/>
      <w:textAlignment w:val="center"/>
    </w:pPr>
    <w:rPr>
      <w:rFonts w:eastAsia="Times New Roman" w:cs="Times New Roman"/>
      <w:b/>
      <w:bCs/>
      <w:szCs w:val="24"/>
    </w:rPr>
  </w:style>
  <w:style w:type="paragraph" w:customStyle="1" w:styleId="xl387">
    <w:name w:val="xl387"/>
    <w:basedOn w:val="Normal"/>
    <w:rsid w:val="00247CBF"/>
    <w:pPr>
      <w:pBdr>
        <w:top w:val="double" w:sz="6" w:space="0" w:color="auto"/>
        <w:left w:val="dashed" w:sz="4" w:space="0" w:color="auto"/>
        <w:bottom w:val="double" w:sz="6" w:space="0" w:color="auto"/>
        <w:right w:val="dashed" w:sz="4" w:space="0" w:color="auto"/>
      </w:pBdr>
      <w:shd w:val="clear" w:color="000000" w:fill="9966FF"/>
      <w:spacing w:before="100" w:beforeAutospacing="1" w:after="100" w:afterAutospacing="1"/>
      <w:jc w:val="right"/>
      <w:textAlignment w:val="center"/>
    </w:pPr>
    <w:rPr>
      <w:rFonts w:eastAsia="Times New Roman" w:cs="Times New Roman"/>
      <w:b/>
      <w:bCs/>
      <w:szCs w:val="24"/>
    </w:rPr>
  </w:style>
  <w:style w:type="paragraph" w:customStyle="1" w:styleId="xl388">
    <w:name w:val="xl388"/>
    <w:basedOn w:val="Normal"/>
    <w:rsid w:val="00247CBF"/>
    <w:pPr>
      <w:pBdr>
        <w:top w:val="double" w:sz="6" w:space="0" w:color="auto"/>
        <w:left w:val="dashed" w:sz="4" w:space="0" w:color="auto"/>
        <w:bottom w:val="double" w:sz="6" w:space="0" w:color="auto"/>
        <w:right w:val="double" w:sz="6" w:space="0" w:color="auto"/>
      </w:pBdr>
      <w:shd w:val="clear" w:color="000000" w:fill="9966FF"/>
      <w:spacing w:before="100" w:beforeAutospacing="1" w:after="100" w:afterAutospacing="1"/>
      <w:jc w:val="right"/>
      <w:textAlignment w:val="center"/>
    </w:pPr>
    <w:rPr>
      <w:rFonts w:eastAsia="Times New Roman" w:cs="Times New Roman"/>
      <w:b/>
      <w:bCs/>
      <w:szCs w:val="24"/>
    </w:rPr>
  </w:style>
  <w:style w:type="paragraph" w:customStyle="1" w:styleId="xl389">
    <w:name w:val="xl389"/>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90">
    <w:name w:val="xl390"/>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91">
    <w:name w:val="xl391"/>
    <w:basedOn w:val="Normal"/>
    <w:rsid w:val="00247CBF"/>
    <w:pPr>
      <w:pBdr>
        <w:top w:val="dashed" w:sz="4" w:space="0" w:color="auto"/>
        <w:bottom w:val="single" w:sz="8"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92">
    <w:name w:val="xl392"/>
    <w:basedOn w:val="Normal"/>
    <w:rsid w:val="00247CBF"/>
    <w:pPr>
      <w:pBdr>
        <w:top w:val="dashed" w:sz="4" w:space="0" w:color="auto"/>
        <w:left w:val="dashed" w:sz="4" w:space="0" w:color="auto"/>
        <w:bottom w:val="single" w:sz="8"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93">
    <w:name w:val="xl393"/>
    <w:basedOn w:val="Normal"/>
    <w:rsid w:val="00247CBF"/>
    <w:pPr>
      <w:pBdr>
        <w:top w:val="dashed" w:sz="4" w:space="0" w:color="auto"/>
        <w:bottom w:val="double" w:sz="6"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94">
    <w:name w:val="xl394"/>
    <w:basedOn w:val="Normal"/>
    <w:rsid w:val="00247CBF"/>
    <w:pPr>
      <w:pBdr>
        <w:top w:val="dashed" w:sz="4" w:space="0" w:color="auto"/>
        <w:left w:val="dashed" w:sz="4" w:space="0" w:color="auto"/>
        <w:bottom w:val="double" w:sz="6"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95">
    <w:name w:val="xl395"/>
    <w:basedOn w:val="Normal"/>
    <w:rsid w:val="00247CBF"/>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eastAsia="Times New Roman" w:cs="Times New Roman"/>
      <w:b/>
      <w:bCs/>
      <w:szCs w:val="24"/>
    </w:rPr>
  </w:style>
  <w:style w:type="paragraph" w:customStyle="1" w:styleId="xl396">
    <w:name w:val="xl396"/>
    <w:basedOn w:val="Normal"/>
    <w:rsid w:val="00247CBF"/>
    <w:pPr>
      <w:pBdr>
        <w:top w:val="single" w:sz="8" w:space="0" w:color="auto"/>
        <w:bottom w:val="single" w:sz="8" w:space="0" w:color="auto"/>
      </w:pBdr>
      <w:shd w:val="clear" w:color="000000" w:fill="FFFFFF"/>
      <w:spacing w:before="100" w:beforeAutospacing="1" w:after="100" w:afterAutospacing="1"/>
      <w:jc w:val="right"/>
    </w:pPr>
    <w:rPr>
      <w:rFonts w:eastAsia="Times New Roman" w:cs="Times New Roman"/>
      <w:b/>
      <w:bCs/>
      <w:szCs w:val="24"/>
    </w:rPr>
  </w:style>
  <w:style w:type="paragraph" w:customStyle="1" w:styleId="xl397">
    <w:name w:val="xl397"/>
    <w:basedOn w:val="Normal"/>
    <w:rsid w:val="00247CBF"/>
    <w:pPr>
      <w:pBdr>
        <w:top w:val="double" w:sz="6" w:space="0" w:color="auto"/>
        <w:left w:val="dashed" w:sz="4" w:space="0" w:color="auto"/>
        <w:bottom w:val="double" w:sz="6" w:space="0" w:color="auto"/>
        <w:right w:val="double" w:sz="6" w:space="0" w:color="auto"/>
      </w:pBdr>
      <w:shd w:val="clear" w:color="000000" w:fill="E26B0A"/>
      <w:spacing w:before="100" w:beforeAutospacing="1" w:after="100" w:afterAutospacing="1"/>
      <w:jc w:val="right"/>
      <w:textAlignment w:val="center"/>
    </w:pPr>
    <w:rPr>
      <w:rFonts w:eastAsia="Times New Roman" w:cs="Times New Roman"/>
      <w:b/>
      <w:bCs/>
      <w:szCs w:val="24"/>
    </w:rPr>
  </w:style>
  <w:style w:type="paragraph" w:customStyle="1" w:styleId="xl398">
    <w:name w:val="xl398"/>
    <w:basedOn w:val="Normal"/>
    <w:rsid w:val="00247CBF"/>
    <w:pPr>
      <w:spacing w:before="100" w:beforeAutospacing="1" w:after="100" w:afterAutospacing="1"/>
      <w:jc w:val="left"/>
    </w:pPr>
    <w:rPr>
      <w:rFonts w:eastAsia="Times New Roman" w:cs="Times New Roman"/>
      <w:sz w:val="17"/>
      <w:szCs w:val="17"/>
    </w:rPr>
  </w:style>
  <w:style w:type="paragraph" w:customStyle="1" w:styleId="xl399">
    <w:name w:val="xl399"/>
    <w:basedOn w:val="Normal"/>
    <w:rsid w:val="00247CBF"/>
    <w:pPr>
      <w:pBdr>
        <w:top w:val="double" w:sz="6" w:space="0" w:color="auto"/>
        <w:left w:val="single" w:sz="8" w:space="0" w:color="auto"/>
        <w:bottom w:val="double" w:sz="6" w:space="0" w:color="auto"/>
      </w:pBdr>
      <w:shd w:val="clear" w:color="000000" w:fill="00B050"/>
      <w:spacing w:before="100" w:beforeAutospacing="1" w:after="100" w:afterAutospacing="1"/>
      <w:jc w:val="left"/>
      <w:textAlignment w:val="center"/>
    </w:pPr>
    <w:rPr>
      <w:rFonts w:eastAsia="Times New Roman" w:cs="Times New Roman"/>
      <w:szCs w:val="24"/>
    </w:rPr>
  </w:style>
  <w:style w:type="paragraph" w:customStyle="1" w:styleId="xl400">
    <w:name w:val="xl400"/>
    <w:basedOn w:val="Normal"/>
    <w:rsid w:val="00247CBF"/>
    <w:pPr>
      <w:pBdr>
        <w:top w:val="double" w:sz="6" w:space="0" w:color="auto"/>
        <w:bottom w:val="double" w:sz="6" w:space="0" w:color="auto"/>
        <w:right w:val="single" w:sz="8" w:space="0" w:color="auto"/>
      </w:pBdr>
      <w:shd w:val="clear" w:color="000000" w:fill="00B050"/>
      <w:spacing w:before="100" w:beforeAutospacing="1" w:after="100" w:afterAutospacing="1"/>
      <w:jc w:val="left"/>
      <w:textAlignment w:val="center"/>
    </w:pPr>
    <w:rPr>
      <w:rFonts w:eastAsia="Times New Roman" w:cs="Times New Roman"/>
      <w:szCs w:val="24"/>
    </w:rPr>
  </w:style>
  <w:style w:type="paragraph" w:customStyle="1" w:styleId="xl401">
    <w:name w:val="xl401"/>
    <w:basedOn w:val="Normal"/>
    <w:rsid w:val="00247CBF"/>
    <w:pPr>
      <w:pBdr>
        <w:top w:val="single" w:sz="4" w:space="0" w:color="auto"/>
        <w:left w:val="single" w:sz="8" w:space="0" w:color="000000"/>
        <w:bottom w:val="single" w:sz="4" w:space="0" w:color="000000"/>
      </w:pBdr>
      <w:shd w:val="clear" w:color="000000" w:fill="FFFFFF"/>
      <w:spacing w:before="100" w:beforeAutospacing="1" w:after="100" w:afterAutospacing="1"/>
      <w:jc w:val="left"/>
    </w:pPr>
    <w:rPr>
      <w:rFonts w:eastAsia="Times New Roman" w:cs="Times New Roman"/>
      <w:szCs w:val="24"/>
    </w:rPr>
  </w:style>
  <w:style w:type="paragraph" w:customStyle="1" w:styleId="xl402">
    <w:name w:val="xl402"/>
    <w:basedOn w:val="Normal"/>
    <w:rsid w:val="00247CBF"/>
    <w:pPr>
      <w:pBdr>
        <w:top w:val="single" w:sz="4" w:space="0" w:color="auto"/>
        <w:bottom w:val="single" w:sz="4" w:space="0" w:color="000000"/>
        <w:right w:val="single" w:sz="8"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403">
    <w:name w:val="xl403"/>
    <w:basedOn w:val="Normal"/>
    <w:rsid w:val="00247CBF"/>
    <w:pPr>
      <w:pBdr>
        <w:top w:val="double" w:sz="6" w:space="0" w:color="auto"/>
        <w:bottom w:val="double" w:sz="6" w:space="0" w:color="auto"/>
        <w:right w:val="dashed" w:sz="4" w:space="0" w:color="auto"/>
      </w:pBdr>
      <w:shd w:val="clear" w:color="000000" w:fill="9966FF"/>
      <w:spacing w:before="100" w:beforeAutospacing="1" w:after="100" w:afterAutospacing="1"/>
      <w:jc w:val="right"/>
      <w:textAlignment w:val="center"/>
    </w:pPr>
    <w:rPr>
      <w:rFonts w:eastAsia="Times New Roman" w:cs="Times New Roman"/>
      <w:b/>
      <w:bCs/>
      <w:szCs w:val="24"/>
    </w:rPr>
  </w:style>
  <w:style w:type="paragraph" w:customStyle="1" w:styleId="xl404">
    <w:name w:val="xl404"/>
    <w:basedOn w:val="Normal"/>
    <w:rsid w:val="00247CBF"/>
    <w:pPr>
      <w:pBdr>
        <w:top w:val="single" w:sz="8" w:space="0" w:color="auto"/>
        <w:bottom w:val="single" w:sz="8" w:space="0" w:color="auto"/>
      </w:pBdr>
      <w:shd w:val="clear" w:color="000000" w:fill="FFFFFF"/>
      <w:spacing w:before="100" w:beforeAutospacing="1" w:after="100" w:afterAutospacing="1"/>
      <w:jc w:val="right"/>
    </w:pPr>
    <w:rPr>
      <w:rFonts w:eastAsia="Times New Roman" w:cs="Times New Roman"/>
      <w:b/>
      <w:bCs/>
      <w:szCs w:val="24"/>
    </w:rPr>
  </w:style>
  <w:style w:type="paragraph" w:customStyle="1" w:styleId="xl405">
    <w:name w:val="xl405"/>
    <w:basedOn w:val="Normal"/>
    <w:rsid w:val="00247CBF"/>
    <w:pPr>
      <w:pBdr>
        <w:top w:val="dotted" w:sz="4" w:space="0" w:color="auto"/>
        <w:left w:val="dotted" w:sz="4" w:space="0" w:color="auto"/>
        <w:bottom w:val="dotted" w:sz="4" w:space="0" w:color="auto"/>
        <w:right w:val="double" w:sz="6"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406">
    <w:name w:val="xl406"/>
    <w:basedOn w:val="Normal"/>
    <w:rsid w:val="00247CBF"/>
    <w:pPr>
      <w:shd w:val="clear" w:color="000000" w:fill="FFFFFF"/>
      <w:spacing w:before="100" w:beforeAutospacing="1" w:after="100" w:afterAutospacing="1"/>
      <w:jc w:val="right"/>
    </w:pPr>
    <w:rPr>
      <w:rFonts w:eastAsia="Times New Roman" w:cs="Times New Roman"/>
      <w:szCs w:val="24"/>
    </w:rPr>
  </w:style>
  <w:style w:type="paragraph" w:customStyle="1" w:styleId="xl407">
    <w:name w:val="xl407"/>
    <w:basedOn w:val="Normal"/>
    <w:rsid w:val="00247CBF"/>
    <w:pPr>
      <w:pBdr>
        <w:top w:val="single" w:sz="4" w:space="0" w:color="auto"/>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408">
    <w:name w:val="xl408"/>
    <w:basedOn w:val="Normal"/>
    <w:rsid w:val="00247CBF"/>
    <w:pPr>
      <w:pBdr>
        <w:top w:val="single" w:sz="4" w:space="0" w:color="auto"/>
        <w:bottom w:val="single" w:sz="4" w:space="0" w:color="auto"/>
        <w:right w:val="double" w:sz="6"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409">
    <w:name w:val="xl409"/>
    <w:basedOn w:val="Normal"/>
    <w:rsid w:val="00247CBF"/>
    <w:pPr>
      <w:pBdr>
        <w:top w:val="single" w:sz="4" w:space="0" w:color="auto"/>
        <w:bottom w:val="single"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410">
    <w:name w:val="xl410"/>
    <w:basedOn w:val="Normal"/>
    <w:rsid w:val="00247CBF"/>
    <w:pPr>
      <w:pBdr>
        <w:top w:val="single" w:sz="4" w:space="0" w:color="auto"/>
        <w:bottom w:val="single" w:sz="4" w:space="0" w:color="auto"/>
        <w:right w:val="double" w:sz="6"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411">
    <w:name w:val="xl411"/>
    <w:basedOn w:val="Normal"/>
    <w:rsid w:val="00247CBF"/>
    <w:pPr>
      <w:pBdr>
        <w:top w:val="single" w:sz="8" w:space="0" w:color="000000"/>
        <w:left w:val="single" w:sz="8" w:space="0" w:color="000000"/>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2">
    <w:name w:val="xl412"/>
    <w:basedOn w:val="Normal"/>
    <w:rsid w:val="00247CBF"/>
    <w:pPr>
      <w:pBdr>
        <w:top w:val="single" w:sz="8" w:space="0" w:color="000000"/>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3">
    <w:name w:val="xl413"/>
    <w:basedOn w:val="Normal"/>
    <w:rsid w:val="00247CBF"/>
    <w:pPr>
      <w:pBdr>
        <w:top w:val="single" w:sz="8" w:space="0" w:color="000000"/>
        <w:bottom w:val="dotted" w:sz="4" w:space="0" w:color="auto"/>
        <w:right w:val="double" w:sz="6"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4">
    <w:name w:val="xl414"/>
    <w:basedOn w:val="Normal"/>
    <w:rsid w:val="00247CBF"/>
    <w:pPr>
      <w:pBdr>
        <w:left w:val="single" w:sz="8" w:space="0" w:color="000000"/>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15">
    <w:name w:val="xl415"/>
    <w:basedOn w:val="Normal"/>
    <w:rsid w:val="00247CBF"/>
    <w:pPr>
      <w:pBdr>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16">
    <w:name w:val="xl416"/>
    <w:basedOn w:val="Normal"/>
    <w:rsid w:val="00247CBF"/>
    <w:pPr>
      <w:pBdr>
        <w:bottom w:val="dotted" w:sz="4" w:space="0" w:color="auto"/>
        <w:right w:val="double" w:sz="6"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7">
    <w:name w:val="xl417"/>
    <w:basedOn w:val="Normal"/>
    <w:rsid w:val="00247CBF"/>
    <w:pPr>
      <w:pBdr>
        <w:left w:val="single" w:sz="8" w:space="0" w:color="000000"/>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8">
    <w:name w:val="xl418"/>
    <w:basedOn w:val="Normal"/>
    <w:rsid w:val="00247CBF"/>
    <w:pPr>
      <w:pBdr>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9">
    <w:name w:val="xl419"/>
    <w:basedOn w:val="Normal"/>
    <w:rsid w:val="00247CBF"/>
    <w:pPr>
      <w:pBdr>
        <w:left w:val="single" w:sz="8" w:space="0" w:color="000000"/>
        <w:bottom w:val="double" w:sz="6"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20">
    <w:name w:val="xl420"/>
    <w:basedOn w:val="Normal"/>
    <w:rsid w:val="00247CBF"/>
    <w:pPr>
      <w:pBdr>
        <w:bottom w:val="double" w:sz="6"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21">
    <w:name w:val="xl421"/>
    <w:basedOn w:val="Normal"/>
    <w:rsid w:val="00247CBF"/>
    <w:pPr>
      <w:pBdr>
        <w:bottom w:val="double" w:sz="6" w:space="0" w:color="auto"/>
        <w:right w:val="double" w:sz="6"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22">
    <w:name w:val="xl422"/>
    <w:basedOn w:val="Normal"/>
    <w:rsid w:val="00247CBF"/>
    <w:pPr>
      <w:pBdr>
        <w:bottom w:val="dotted" w:sz="4" w:space="0" w:color="auto"/>
        <w:right w:val="double" w:sz="6"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423">
    <w:name w:val="xl423"/>
    <w:basedOn w:val="Normal"/>
    <w:rsid w:val="00247CBF"/>
    <w:pPr>
      <w:pBdr>
        <w:bottom w:val="dotted" w:sz="4" w:space="0" w:color="auto"/>
        <w:right w:val="double" w:sz="6"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24">
    <w:name w:val="xl424"/>
    <w:basedOn w:val="Normal"/>
    <w:rsid w:val="00247CBF"/>
    <w:pPr>
      <w:pBdr>
        <w:top w:val="dotted" w:sz="4" w:space="0" w:color="auto"/>
        <w:bottom w:val="single" w:sz="4" w:space="0" w:color="auto"/>
        <w:right w:val="double" w:sz="6"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425">
    <w:name w:val="xl425"/>
    <w:basedOn w:val="Normal"/>
    <w:rsid w:val="00247CBF"/>
    <w:pPr>
      <w:pBdr>
        <w:top w:val="double" w:sz="6" w:space="0" w:color="auto"/>
        <w:left w:val="double" w:sz="6" w:space="0" w:color="auto"/>
      </w:pBdr>
      <w:shd w:val="clear" w:color="000000" w:fill="92D050"/>
      <w:spacing w:before="100" w:beforeAutospacing="1" w:after="100" w:afterAutospacing="1"/>
      <w:jc w:val="left"/>
      <w:textAlignment w:val="center"/>
    </w:pPr>
    <w:rPr>
      <w:rFonts w:eastAsia="Times New Roman" w:cs="Times New Roman"/>
      <w:b/>
      <w:bCs/>
      <w:szCs w:val="24"/>
    </w:rPr>
  </w:style>
  <w:style w:type="paragraph" w:customStyle="1" w:styleId="xl426">
    <w:name w:val="xl426"/>
    <w:basedOn w:val="Normal"/>
    <w:rsid w:val="00247CBF"/>
    <w:pPr>
      <w:pBdr>
        <w:top w:val="double" w:sz="6" w:space="0" w:color="auto"/>
        <w:left w:val="single" w:sz="8" w:space="0" w:color="000000"/>
        <w:right w:val="single" w:sz="8" w:space="0" w:color="000000"/>
      </w:pBdr>
      <w:shd w:val="clear" w:color="000000" w:fill="92D050"/>
      <w:spacing w:before="100" w:beforeAutospacing="1" w:after="100" w:afterAutospacing="1"/>
      <w:jc w:val="center"/>
      <w:textAlignment w:val="center"/>
    </w:pPr>
    <w:rPr>
      <w:rFonts w:eastAsia="Times New Roman" w:cs="Times New Roman"/>
      <w:szCs w:val="24"/>
    </w:rPr>
  </w:style>
  <w:style w:type="paragraph" w:customStyle="1" w:styleId="xl427">
    <w:name w:val="xl427"/>
    <w:basedOn w:val="Normal"/>
    <w:rsid w:val="00247CBF"/>
    <w:pPr>
      <w:pBdr>
        <w:top w:val="double" w:sz="6" w:space="0" w:color="auto"/>
        <w:left w:val="single" w:sz="8" w:space="0" w:color="auto"/>
        <w:bottom w:val="double" w:sz="6" w:space="0" w:color="auto"/>
        <w:right w:val="dashed" w:sz="4" w:space="0" w:color="auto"/>
      </w:pBdr>
      <w:shd w:val="clear" w:color="000000" w:fill="92D050"/>
      <w:spacing w:before="100" w:beforeAutospacing="1" w:after="100" w:afterAutospacing="1"/>
      <w:jc w:val="right"/>
      <w:textAlignment w:val="center"/>
    </w:pPr>
    <w:rPr>
      <w:rFonts w:eastAsia="Times New Roman" w:cs="Times New Roman"/>
      <w:b/>
      <w:bCs/>
      <w:szCs w:val="24"/>
    </w:rPr>
  </w:style>
  <w:style w:type="paragraph" w:customStyle="1" w:styleId="xl428">
    <w:name w:val="xl428"/>
    <w:basedOn w:val="Normal"/>
    <w:rsid w:val="00247CBF"/>
    <w:pPr>
      <w:pBdr>
        <w:top w:val="double" w:sz="6" w:space="0" w:color="auto"/>
        <w:left w:val="dashed" w:sz="4" w:space="0" w:color="auto"/>
        <w:bottom w:val="double" w:sz="6" w:space="0" w:color="auto"/>
        <w:right w:val="dashed" w:sz="4" w:space="0" w:color="auto"/>
      </w:pBdr>
      <w:shd w:val="clear" w:color="000000" w:fill="92D050"/>
      <w:spacing w:before="100" w:beforeAutospacing="1" w:after="100" w:afterAutospacing="1"/>
      <w:jc w:val="right"/>
      <w:textAlignment w:val="center"/>
    </w:pPr>
    <w:rPr>
      <w:rFonts w:eastAsia="Times New Roman" w:cs="Times New Roman"/>
      <w:b/>
      <w:bCs/>
      <w:szCs w:val="24"/>
    </w:rPr>
  </w:style>
  <w:style w:type="paragraph" w:customStyle="1" w:styleId="xl429">
    <w:name w:val="xl429"/>
    <w:basedOn w:val="Normal"/>
    <w:rsid w:val="00247CBF"/>
    <w:pPr>
      <w:pBdr>
        <w:top w:val="double" w:sz="6" w:space="0" w:color="auto"/>
        <w:left w:val="dashed" w:sz="4" w:space="0" w:color="auto"/>
        <w:bottom w:val="double" w:sz="6" w:space="0" w:color="auto"/>
        <w:right w:val="double" w:sz="6" w:space="0" w:color="auto"/>
      </w:pBdr>
      <w:shd w:val="clear" w:color="000000" w:fill="92D050"/>
      <w:spacing w:before="100" w:beforeAutospacing="1" w:after="100" w:afterAutospacing="1"/>
      <w:jc w:val="right"/>
      <w:textAlignment w:val="center"/>
    </w:pPr>
    <w:rPr>
      <w:rFonts w:eastAsia="Times New Roman" w:cs="Times New Roman"/>
      <w:b/>
      <w:bCs/>
      <w:szCs w:val="24"/>
    </w:rPr>
  </w:style>
  <w:style w:type="paragraph" w:customStyle="1" w:styleId="xl430">
    <w:name w:val="xl430"/>
    <w:basedOn w:val="Normal"/>
    <w:rsid w:val="00247CBF"/>
    <w:pPr>
      <w:pBdr>
        <w:top w:val="double" w:sz="6" w:space="0" w:color="auto"/>
        <w:left w:val="double" w:sz="6" w:space="0" w:color="auto"/>
        <w:bottom w:val="single" w:sz="4" w:space="0" w:color="auto"/>
      </w:pBdr>
      <w:spacing w:before="100" w:beforeAutospacing="1" w:after="100" w:afterAutospacing="1"/>
      <w:jc w:val="left"/>
      <w:textAlignment w:val="center"/>
    </w:pPr>
    <w:rPr>
      <w:rFonts w:eastAsia="Times New Roman" w:cs="Times New Roman"/>
      <w:b/>
      <w:bCs/>
      <w:szCs w:val="24"/>
    </w:rPr>
  </w:style>
  <w:style w:type="paragraph" w:customStyle="1" w:styleId="xl431">
    <w:name w:val="xl431"/>
    <w:basedOn w:val="Normal"/>
    <w:rsid w:val="00247CBF"/>
    <w:pPr>
      <w:pBdr>
        <w:top w:val="double" w:sz="6"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b/>
      <w:bCs/>
      <w:szCs w:val="24"/>
    </w:rPr>
  </w:style>
  <w:style w:type="paragraph" w:customStyle="1" w:styleId="xl432">
    <w:name w:val="xl432"/>
    <w:basedOn w:val="Normal"/>
    <w:rsid w:val="00247CBF"/>
    <w:pPr>
      <w:pBdr>
        <w:top w:val="double" w:sz="6" w:space="0" w:color="auto"/>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433">
    <w:name w:val="xl433"/>
    <w:basedOn w:val="Normal"/>
    <w:rsid w:val="00247CBF"/>
    <w:pPr>
      <w:pBdr>
        <w:top w:val="double" w:sz="6" w:space="0" w:color="auto"/>
        <w:bottom w:val="single" w:sz="4" w:space="0" w:color="auto"/>
        <w:right w:val="double" w:sz="6"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434">
    <w:name w:val="xl434"/>
    <w:basedOn w:val="Normal"/>
    <w:rsid w:val="00247CBF"/>
    <w:pPr>
      <w:pBdr>
        <w:top w:val="double" w:sz="6" w:space="0" w:color="auto"/>
        <w:left w:val="dashed" w:sz="4" w:space="0" w:color="auto"/>
        <w:bottom w:val="double" w:sz="6"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435">
    <w:name w:val="xl435"/>
    <w:basedOn w:val="Normal"/>
    <w:rsid w:val="00247CBF"/>
    <w:pPr>
      <w:pBdr>
        <w:left w:val="dashed" w:sz="4" w:space="0" w:color="auto"/>
        <w:bottom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36">
    <w:name w:val="xl436"/>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437">
    <w:name w:val="xl437"/>
    <w:basedOn w:val="Normal"/>
    <w:rsid w:val="00247CBF"/>
    <w:pPr>
      <w:pBdr>
        <w:top w:val="dashed" w:sz="4" w:space="0" w:color="auto"/>
        <w:left w:val="dashed" w:sz="4" w:space="0" w:color="auto"/>
        <w:bottom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38">
    <w:name w:val="xl438"/>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439">
    <w:name w:val="xl439"/>
    <w:basedOn w:val="Normal"/>
    <w:rsid w:val="00247CBF"/>
    <w:pPr>
      <w:pBdr>
        <w:top w:val="dashed" w:sz="4" w:space="0" w:color="auto"/>
        <w:left w:val="dashed" w:sz="4" w:space="0" w:color="auto"/>
        <w:bottom w:val="single"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40">
    <w:name w:val="xl440"/>
    <w:basedOn w:val="Normal"/>
    <w:rsid w:val="00247CBF"/>
    <w:pPr>
      <w:pBdr>
        <w:left w:val="dashed" w:sz="4" w:space="0" w:color="auto"/>
        <w:bottom w:val="single" w:sz="4"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441">
    <w:name w:val="xl441"/>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42">
    <w:name w:val="xl442"/>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443">
    <w:name w:val="xl443"/>
    <w:basedOn w:val="Normal"/>
    <w:rsid w:val="00247CBF"/>
    <w:pPr>
      <w:pBdr>
        <w:top w:val="dashed" w:sz="4" w:space="0" w:color="auto"/>
        <w:lef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44">
    <w:name w:val="xl444"/>
    <w:basedOn w:val="Normal"/>
    <w:rsid w:val="00247CBF"/>
    <w:pPr>
      <w:pBdr>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45">
    <w:name w:val="xl445"/>
    <w:basedOn w:val="Normal"/>
    <w:rsid w:val="00247CBF"/>
    <w:pPr>
      <w:pBdr>
        <w:top w:val="dashed" w:sz="4" w:space="0" w:color="auto"/>
        <w:left w:val="dashed" w:sz="4" w:space="0" w:color="auto"/>
        <w:bottom w:val="single" w:sz="8"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46">
    <w:name w:val="xl446"/>
    <w:basedOn w:val="Normal"/>
    <w:rsid w:val="00247CBF"/>
    <w:pPr>
      <w:pBdr>
        <w:left w:val="dashed" w:sz="4" w:space="0" w:color="auto"/>
        <w:bottom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47">
    <w:name w:val="xl447"/>
    <w:basedOn w:val="Normal"/>
    <w:rsid w:val="00247CBF"/>
    <w:pPr>
      <w:pBdr>
        <w:top w:val="dashed" w:sz="4" w:space="0" w:color="auto"/>
        <w:left w:val="dashed" w:sz="4" w:space="0" w:color="auto"/>
        <w:bottom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48">
    <w:name w:val="xl448"/>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449">
    <w:name w:val="xl449"/>
    <w:basedOn w:val="Normal"/>
    <w:rsid w:val="00247CBF"/>
    <w:pPr>
      <w:pBdr>
        <w:top w:val="dashed" w:sz="4" w:space="0" w:color="auto"/>
        <w:left w:val="dashed" w:sz="4" w:space="0" w:color="auto"/>
        <w:bottom w:val="single" w:sz="8"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50">
    <w:name w:val="xl450"/>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51">
    <w:name w:val="xl451"/>
    <w:basedOn w:val="Normal"/>
    <w:rsid w:val="00247CBF"/>
    <w:pPr>
      <w:pBdr>
        <w:left w:val="dashed" w:sz="4" w:space="0" w:color="auto"/>
        <w:bottom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452">
    <w:name w:val="xl452"/>
    <w:basedOn w:val="Normal"/>
    <w:rsid w:val="00247CBF"/>
    <w:pPr>
      <w:pBdr>
        <w:top w:val="dashed" w:sz="4" w:space="0" w:color="auto"/>
        <w:left w:val="dashed" w:sz="4" w:space="0" w:color="auto"/>
        <w:bottom w:val="dashed" w:sz="4" w:space="0" w:color="auto"/>
      </w:pBdr>
      <w:spacing w:before="100" w:beforeAutospacing="1" w:after="100" w:afterAutospacing="1"/>
      <w:jc w:val="right"/>
    </w:pPr>
    <w:rPr>
      <w:rFonts w:eastAsia="Times New Roman" w:cs="Times New Roman"/>
      <w:sz w:val="18"/>
      <w:szCs w:val="18"/>
    </w:rPr>
  </w:style>
  <w:style w:type="paragraph" w:customStyle="1" w:styleId="xl453">
    <w:name w:val="xl453"/>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454">
    <w:name w:val="xl454"/>
    <w:basedOn w:val="Normal"/>
    <w:rsid w:val="00247CBF"/>
    <w:pPr>
      <w:pBdr>
        <w:top w:val="dashed" w:sz="4" w:space="0" w:color="auto"/>
        <w:left w:val="dashed" w:sz="4" w:space="0" w:color="auto"/>
        <w:bottom w:val="dashed" w:sz="4" w:space="0" w:color="auto"/>
      </w:pBdr>
      <w:shd w:val="clear" w:color="000000" w:fill="CCFFFF"/>
      <w:spacing w:before="100" w:beforeAutospacing="1" w:after="100" w:afterAutospacing="1"/>
      <w:jc w:val="right"/>
    </w:pPr>
    <w:rPr>
      <w:rFonts w:eastAsia="Times New Roman" w:cs="Times New Roman"/>
      <w:sz w:val="18"/>
      <w:szCs w:val="18"/>
    </w:rPr>
  </w:style>
  <w:style w:type="paragraph" w:customStyle="1" w:styleId="xl455">
    <w:name w:val="xl455"/>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56">
    <w:name w:val="xl456"/>
    <w:basedOn w:val="Normal"/>
    <w:rsid w:val="00247CBF"/>
    <w:pPr>
      <w:pBdr>
        <w:top w:val="dashed" w:sz="4" w:space="0" w:color="auto"/>
        <w:left w:val="dashed" w:sz="4" w:space="0" w:color="auto"/>
        <w:bottom w:val="single"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57">
    <w:name w:val="xl457"/>
    <w:basedOn w:val="Normal"/>
    <w:rsid w:val="00247CBF"/>
    <w:pPr>
      <w:pBdr>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58">
    <w:name w:val="xl458"/>
    <w:basedOn w:val="Normal"/>
    <w:rsid w:val="00247CBF"/>
    <w:pPr>
      <w:pBdr>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59">
    <w:name w:val="xl459"/>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60">
    <w:name w:val="xl460"/>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61">
    <w:name w:val="xl461"/>
    <w:basedOn w:val="Normal"/>
    <w:rsid w:val="00247CBF"/>
    <w:pPr>
      <w:pBdr>
        <w:top w:val="dotted" w:sz="4" w:space="0" w:color="000000"/>
        <w:bottom w:val="single" w:sz="4" w:space="0" w:color="auto"/>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2">
    <w:name w:val="xl462"/>
    <w:basedOn w:val="Normal"/>
    <w:rsid w:val="00247CBF"/>
    <w:pPr>
      <w:pBdr>
        <w:top w:val="dotted" w:sz="4" w:space="0" w:color="000000"/>
        <w:left w:val="dotted" w:sz="4" w:space="0" w:color="000000"/>
        <w:bottom w:val="single" w:sz="4" w:space="0" w:color="auto"/>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3">
    <w:name w:val="xl463"/>
    <w:basedOn w:val="Normal"/>
    <w:rsid w:val="00247CBF"/>
    <w:pPr>
      <w:pBdr>
        <w:top w:val="dotted" w:sz="4" w:space="0" w:color="000000"/>
        <w:left w:val="dotted" w:sz="4" w:space="0" w:color="000000"/>
        <w:bottom w:val="single" w:sz="4" w:space="0" w:color="auto"/>
        <w:right w:val="double" w:sz="6"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4">
    <w:name w:val="xl464"/>
    <w:basedOn w:val="Normal"/>
    <w:rsid w:val="00247CBF"/>
    <w:pPr>
      <w:pBdr>
        <w:bottom w:val="dotted" w:sz="4" w:space="0" w:color="000000"/>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5">
    <w:name w:val="xl465"/>
    <w:basedOn w:val="Normal"/>
    <w:rsid w:val="00247CBF"/>
    <w:pPr>
      <w:pBdr>
        <w:left w:val="dotted" w:sz="4" w:space="0" w:color="000000"/>
        <w:bottom w:val="dotted" w:sz="4" w:space="0" w:color="000000"/>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6">
    <w:name w:val="xl466"/>
    <w:basedOn w:val="Normal"/>
    <w:rsid w:val="00247CBF"/>
    <w:pPr>
      <w:pBdr>
        <w:left w:val="dotted" w:sz="4" w:space="0" w:color="000000"/>
        <w:bottom w:val="dotted" w:sz="4" w:space="0" w:color="000000"/>
        <w:right w:val="double" w:sz="6"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7">
    <w:name w:val="xl467"/>
    <w:basedOn w:val="Normal"/>
    <w:rsid w:val="00247CBF"/>
    <w:pPr>
      <w:pBdr>
        <w:top w:val="dotted" w:sz="4" w:space="0" w:color="000000"/>
        <w:bottom w:val="double" w:sz="6" w:space="0" w:color="000000"/>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8">
    <w:name w:val="xl468"/>
    <w:basedOn w:val="Normal"/>
    <w:rsid w:val="00247CBF"/>
    <w:pPr>
      <w:pBdr>
        <w:top w:val="dotted" w:sz="4" w:space="0" w:color="000000"/>
        <w:left w:val="dotted" w:sz="4" w:space="0" w:color="000000"/>
        <w:bottom w:val="double" w:sz="6" w:space="0" w:color="000000"/>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9">
    <w:name w:val="xl469"/>
    <w:basedOn w:val="Normal"/>
    <w:rsid w:val="00247CBF"/>
    <w:pPr>
      <w:pBdr>
        <w:top w:val="dotted" w:sz="4" w:space="0" w:color="000000"/>
        <w:left w:val="dotted" w:sz="4" w:space="0" w:color="000000"/>
        <w:bottom w:val="double" w:sz="6" w:space="0" w:color="000000"/>
        <w:right w:val="double" w:sz="6"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70">
    <w:name w:val="xl470"/>
    <w:basedOn w:val="Normal"/>
    <w:rsid w:val="00247CBF"/>
    <w:pPr>
      <w:pBdr>
        <w:bottom w:val="double" w:sz="6" w:space="0" w:color="auto"/>
        <w:right w:val="dotted" w:sz="4"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471">
    <w:name w:val="xl471"/>
    <w:basedOn w:val="Normal"/>
    <w:rsid w:val="00247CBF"/>
    <w:pPr>
      <w:pBdr>
        <w:top w:val="dotted" w:sz="4" w:space="0" w:color="000000"/>
        <w:left w:val="double" w:sz="6" w:space="0" w:color="auto"/>
        <w:bottom w:val="single" w:sz="4" w:space="0" w:color="auto"/>
      </w:pBdr>
      <w:spacing w:before="100" w:beforeAutospacing="1" w:after="100" w:afterAutospacing="1"/>
      <w:jc w:val="left"/>
      <w:textAlignment w:val="center"/>
    </w:pPr>
    <w:rPr>
      <w:rFonts w:eastAsia="Times New Roman" w:cs="Times New Roman"/>
      <w:szCs w:val="24"/>
    </w:rPr>
  </w:style>
  <w:style w:type="paragraph" w:customStyle="1" w:styleId="xl472">
    <w:name w:val="xl472"/>
    <w:basedOn w:val="Normal"/>
    <w:rsid w:val="00247CBF"/>
    <w:pPr>
      <w:pBdr>
        <w:left w:val="single" w:sz="8" w:space="0" w:color="000000"/>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73">
    <w:name w:val="xl473"/>
    <w:basedOn w:val="Normal"/>
    <w:rsid w:val="00247CBF"/>
    <w:pPr>
      <w:pBdr>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74">
    <w:name w:val="xl474"/>
    <w:basedOn w:val="Normal"/>
    <w:rsid w:val="00247CBF"/>
    <w:pPr>
      <w:pBdr>
        <w:bottom w:val="dotted" w:sz="4" w:space="0" w:color="auto"/>
        <w:right w:val="double" w:sz="6"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75">
    <w:name w:val="xl475"/>
    <w:basedOn w:val="Normal"/>
    <w:rsid w:val="00247CBF"/>
    <w:pPr>
      <w:pBdr>
        <w:top w:val="single" w:sz="4" w:space="0" w:color="auto"/>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476">
    <w:name w:val="xl476"/>
    <w:basedOn w:val="Normal"/>
    <w:rsid w:val="00247CBF"/>
    <w:pPr>
      <w:pBdr>
        <w:top w:val="single" w:sz="4" w:space="0" w:color="auto"/>
        <w:left w:val="single" w:sz="8" w:space="0" w:color="000000"/>
        <w:bottom w:val="single" w:sz="4" w:space="0" w:color="auto"/>
        <w:right w:val="single" w:sz="8" w:space="0" w:color="000000"/>
      </w:pBdr>
      <w:spacing w:before="100" w:beforeAutospacing="1" w:after="100" w:afterAutospacing="1"/>
      <w:jc w:val="center"/>
      <w:textAlignment w:val="center"/>
    </w:pPr>
    <w:rPr>
      <w:rFonts w:eastAsia="Times New Roman" w:cs="Times New Roman"/>
      <w:szCs w:val="24"/>
    </w:rPr>
  </w:style>
  <w:style w:type="paragraph" w:customStyle="1" w:styleId="xl477">
    <w:name w:val="xl477"/>
    <w:basedOn w:val="Normal"/>
    <w:rsid w:val="00247CBF"/>
    <w:pPr>
      <w:pBdr>
        <w:top w:val="single" w:sz="4" w:space="0" w:color="auto"/>
        <w:bottom w:val="single" w:sz="4" w:space="0" w:color="auto"/>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78">
    <w:name w:val="xl478"/>
    <w:basedOn w:val="Normal"/>
    <w:rsid w:val="00247CBF"/>
    <w:pPr>
      <w:pBdr>
        <w:top w:val="single" w:sz="4" w:space="0" w:color="auto"/>
        <w:left w:val="dotted" w:sz="4" w:space="0" w:color="000000"/>
        <w:bottom w:val="single" w:sz="4" w:space="0" w:color="auto"/>
        <w:right w:val="dotted" w:sz="4" w:space="0" w:color="000000"/>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79">
    <w:name w:val="xl479"/>
    <w:basedOn w:val="Normal"/>
    <w:rsid w:val="00247CBF"/>
    <w:pPr>
      <w:pBdr>
        <w:top w:val="single" w:sz="4" w:space="0" w:color="auto"/>
        <w:left w:val="dotted" w:sz="4" w:space="0" w:color="000000"/>
        <w:bottom w:val="single" w:sz="4" w:space="0" w:color="auto"/>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80">
    <w:name w:val="xl480"/>
    <w:basedOn w:val="Normal"/>
    <w:rsid w:val="00247CBF"/>
    <w:pPr>
      <w:pBdr>
        <w:top w:val="single" w:sz="4" w:space="0" w:color="auto"/>
        <w:left w:val="dotted" w:sz="4" w:space="0" w:color="000000"/>
        <w:bottom w:val="single" w:sz="4" w:space="0" w:color="auto"/>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481">
    <w:name w:val="xl481"/>
    <w:basedOn w:val="Normal"/>
    <w:rsid w:val="00247CBF"/>
    <w:pPr>
      <w:pBdr>
        <w:bottom w:val="dotted" w:sz="4" w:space="0" w:color="auto"/>
        <w:right w:val="dotted" w:sz="4"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482">
    <w:name w:val="xl482"/>
    <w:basedOn w:val="Normal"/>
    <w:rsid w:val="00247CBF"/>
    <w:pPr>
      <w:pBdr>
        <w:top w:val="dotted" w:sz="4" w:space="0" w:color="auto"/>
        <w:bottom w:val="single" w:sz="4"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83">
    <w:name w:val="xl483"/>
    <w:basedOn w:val="Normal"/>
    <w:rsid w:val="00247CBF"/>
    <w:pPr>
      <w:pBdr>
        <w:bottom w:val="dotted" w:sz="4" w:space="0" w:color="auto"/>
        <w:right w:val="double" w:sz="6"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84">
    <w:name w:val="xl484"/>
    <w:basedOn w:val="Normal"/>
    <w:rsid w:val="00247CBF"/>
    <w:pPr>
      <w:pBdr>
        <w:bottom w:val="dotted" w:sz="4" w:space="0" w:color="auto"/>
        <w:right w:val="double" w:sz="6"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485">
    <w:name w:val="xl485"/>
    <w:basedOn w:val="Normal"/>
    <w:rsid w:val="00247CBF"/>
    <w:pPr>
      <w:pBdr>
        <w:bottom w:val="double" w:sz="6" w:space="0" w:color="auto"/>
        <w:right w:val="double" w:sz="6"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86">
    <w:name w:val="xl486"/>
    <w:basedOn w:val="Normal"/>
    <w:rsid w:val="00247CBF"/>
    <w:pPr>
      <w:pBdr>
        <w:top w:val="dotted" w:sz="4" w:space="0" w:color="auto"/>
        <w:bottom w:val="single" w:sz="4" w:space="0" w:color="auto"/>
        <w:right w:val="double" w:sz="6"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87">
    <w:name w:val="xl487"/>
    <w:basedOn w:val="Normal"/>
    <w:rsid w:val="00247CBF"/>
    <w:pPr>
      <w:pBdr>
        <w:bottom w:val="dotted" w:sz="4"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88">
    <w:name w:val="xl488"/>
    <w:basedOn w:val="Normal"/>
    <w:rsid w:val="00247CBF"/>
    <w:pPr>
      <w:pBdr>
        <w:bottom w:val="dotted" w:sz="4" w:space="0" w:color="auto"/>
        <w:right w:val="double" w:sz="6"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89">
    <w:name w:val="xl489"/>
    <w:basedOn w:val="Normal"/>
    <w:rsid w:val="00247CBF"/>
    <w:pPr>
      <w:pBdr>
        <w:top w:val="double" w:sz="6" w:space="0" w:color="000000"/>
        <w:bottom w:val="dotted" w:sz="4" w:space="0" w:color="000000"/>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90">
    <w:name w:val="xl490"/>
    <w:basedOn w:val="Normal"/>
    <w:rsid w:val="00247CBF"/>
    <w:pPr>
      <w:pBdr>
        <w:top w:val="double" w:sz="6" w:space="0" w:color="000000"/>
        <w:left w:val="dotted" w:sz="4" w:space="0" w:color="000000"/>
        <w:bottom w:val="dotted" w:sz="4" w:space="0" w:color="000000"/>
        <w:right w:val="dotted" w:sz="4" w:space="0" w:color="000000"/>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91">
    <w:name w:val="xl491"/>
    <w:basedOn w:val="Normal"/>
    <w:rsid w:val="00247CBF"/>
    <w:pPr>
      <w:pBdr>
        <w:top w:val="double" w:sz="6" w:space="0" w:color="000000"/>
        <w:left w:val="dotted" w:sz="4" w:space="0" w:color="000000"/>
        <w:bottom w:val="dotted" w:sz="4" w:space="0" w:color="000000"/>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92">
    <w:name w:val="xl492"/>
    <w:basedOn w:val="Normal"/>
    <w:rsid w:val="00247CBF"/>
    <w:pPr>
      <w:pBdr>
        <w:top w:val="double" w:sz="6" w:space="0" w:color="000000"/>
        <w:left w:val="dotted" w:sz="4" w:space="0" w:color="000000"/>
        <w:bottom w:val="dotted" w:sz="4" w:space="0" w:color="000000"/>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493">
    <w:name w:val="xl493"/>
    <w:basedOn w:val="Normal"/>
    <w:rsid w:val="00247CBF"/>
    <w:pPr>
      <w:pBdr>
        <w:top w:val="dotted" w:sz="4" w:space="0" w:color="000000"/>
        <w:bottom w:val="dotted" w:sz="4" w:space="0" w:color="000000"/>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94">
    <w:name w:val="xl494"/>
    <w:basedOn w:val="Normal"/>
    <w:rsid w:val="00247CBF"/>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95">
    <w:name w:val="xl495"/>
    <w:basedOn w:val="Normal"/>
    <w:rsid w:val="00247CBF"/>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96">
    <w:name w:val="xl496"/>
    <w:basedOn w:val="Normal"/>
    <w:rsid w:val="00247CBF"/>
    <w:pPr>
      <w:pBdr>
        <w:top w:val="dotted" w:sz="4" w:space="0" w:color="000000"/>
        <w:left w:val="dotted" w:sz="4" w:space="0" w:color="000000"/>
        <w:bottom w:val="dotted" w:sz="4" w:space="0" w:color="000000"/>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497">
    <w:name w:val="xl497"/>
    <w:basedOn w:val="Normal"/>
    <w:rsid w:val="00247CBF"/>
    <w:pPr>
      <w:pBdr>
        <w:top w:val="dotted" w:sz="4" w:space="0" w:color="000000"/>
        <w:bottom w:val="single" w:sz="4" w:space="0" w:color="auto"/>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98">
    <w:name w:val="xl498"/>
    <w:basedOn w:val="Normal"/>
    <w:rsid w:val="00247CBF"/>
    <w:pPr>
      <w:pBdr>
        <w:top w:val="dotted" w:sz="4" w:space="0" w:color="000000"/>
        <w:left w:val="dotted" w:sz="4" w:space="0" w:color="000000"/>
        <w:bottom w:val="single" w:sz="4" w:space="0" w:color="auto"/>
        <w:right w:val="dotted" w:sz="4" w:space="0" w:color="000000"/>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99">
    <w:name w:val="xl499"/>
    <w:basedOn w:val="Normal"/>
    <w:rsid w:val="00247CBF"/>
    <w:pPr>
      <w:pBdr>
        <w:top w:val="dotted" w:sz="4" w:space="0" w:color="000000"/>
        <w:left w:val="dotted" w:sz="4" w:space="0" w:color="000000"/>
        <w:bottom w:val="single" w:sz="4" w:space="0" w:color="auto"/>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500">
    <w:name w:val="xl500"/>
    <w:basedOn w:val="Normal"/>
    <w:rsid w:val="00247CBF"/>
    <w:pPr>
      <w:pBdr>
        <w:top w:val="dotted" w:sz="4" w:space="0" w:color="000000"/>
        <w:left w:val="dotted" w:sz="4" w:space="0" w:color="000000"/>
        <w:bottom w:val="single" w:sz="4" w:space="0" w:color="auto"/>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01">
    <w:name w:val="xl501"/>
    <w:basedOn w:val="Normal"/>
    <w:rsid w:val="00247CBF"/>
    <w:pPr>
      <w:pBdr>
        <w:bottom w:val="double" w:sz="6" w:space="0" w:color="auto"/>
        <w:right w:val="dotted" w:sz="4" w:space="0" w:color="000000"/>
      </w:pBdr>
      <w:shd w:val="clear" w:color="000000" w:fill="CCFFFF"/>
      <w:spacing w:before="100" w:beforeAutospacing="1" w:after="100" w:afterAutospacing="1"/>
      <w:jc w:val="right"/>
    </w:pPr>
    <w:rPr>
      <w:rFonts w:eastAsia="Times New Roman" w:cs="Times New Roman"/>
      <w:szCs w:val="24"/>
    </w:rPr>
  </w:style>
  <w:style w:type="paragraph" w:customStyle="1" w:styleId="xl502">
    <w:name w:val="xl502"/>
    <w:basedOn w:val="Normal"/>
    <w:rsid w:val="00247CBF"/>
    <w:pPr>
      <w:pBdr>
        <w:left w:val="dotted" w:sz="4" w:space="0" w:color="000000"/>
        <w:bottom w:val="double" w:sz="6" w:space="0" w:color="auto"/>
        <w:right w:val="dotted" w:sz="4" w:space="0" w:color="000000"/>
      </w:pBdr>
      <w:shd w:val="clear" w:color="000000" w:fill="CCFFFF"/>
      <w:spacing w:before="100" w:beforeAutospacing="1" w:after="100" w:afterAutospacing="1"/>
      <w:jc w:val="right"/>
    </w:pPr>
    <w:rPr>
      <w:rFonts w:eastAsia="Times New Roman" w:cs="Times New Roman"/>
      <w:szCs w:val="24"/>
    </w:rPr>
  </w:style>
  <w:style w:type="paragraph" w:customStyle="1" w:styleId="xl503">
    <w:name w:val="xl503"/>
    <w:basedOn w:val="Normal"/>
    <w:rsid w:val="00247CBF"/>
    <w:pPr>
      <w:pBdr>
        <w:left w:val="dotted" w:sz="4" w:space="0" w:color="000000"/>
        <w:bottom w:val="double" w:sz="6" w:space="0" w:color="auto"/>
        <w:right w:val="double" w:sz="6"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04">
    <w:name w:val="xl504"/>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505">
    <w:name w:val="xl505"/>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506">
    <w:name w:val="xl506"/>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507">
    <w:name w:val="xl507"/>
    <w:basedOn w:val="Normal"/>
    <w:rsid w:val="00247CBF"/>
    <w:pPr>
      <w:pBdr>
        <w:top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 w:val="18"/>
      <w:szCs w:val="18"/>
    </w:rPr>
  </w:style>
  <w:style w:type="paragraph" w:customStyle="1" w:styleId="xl508">
    <w:name w:val="xl508"/>
    <w:basedOn w:val="Normal"/>
    <w:rsid w:val="00247CBF"/>
    <w:pPr>
      <w:pBdr>
        <w:top w:val="dashed" w:sz="4" w:space="0" w:color="auto"/>
        <w:left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 w:val="18"/>
      <w:szCs w:val="18"/>
    </w:rPr>
  </w:style>
  <w:style w:type="paragraph" w:customStyle="1" w:styleId="xl509">
    <w:name w:val="xl509"/>
    <w:basedOn w:val="Normal"/>
    <w:rsid w:val="00247CBF"/>
    <w:pPr>
      <w:pBdr>
        <w:top w:val="dashed" w:sz="4" w:space="0" w:color="auto"/>
        <w:left w:val="dashed" w:sz="4" w:space="0" w:color="auto"/>
        <w:bottom w:val="dashed" w:sz="4" w:space="0" w:color="auto"/>
      </w:pBdr>
      <w:shd w:val="clear" w:color="000000" w:fill="CCFFFF"/>
      <w:spacing w:before="100" w:beforeAutospacing="1" w:after="100" w:afterAutospacing="1"/>
      <w:jc w:val="right"/>
    </w:pPr>
    <w:rPr>
      <w:rFonts w:eastAsia="Times New Roman" w:cs="Times New Roman"/>
      <w:sz w:val="18"/>
      <w:szCs w:val="18"/>
    </w:rPr>
  </w:style>
  <w:style w:type="paragraph" w:customStyle="1" w:styleId="xl510">
    <w:name w:val="xl510"/>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511">
    <w:name w:val="xl511"/>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512">
    <w:name w:val="xl512"/>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513">
    <w:name w:val="xl513"/>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14">
    <w:name w:val="xl514"/>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15">
    <w:name w:val="xl515"/>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16">
    <w:name w:val="xl516"/>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i/>
      <w:iCs/>
      <w:sz w:val="16"/>
      <w:szCs w:val="16"/>
    </w:rPr>
  </w:style>
  <w:style w:type="paragraph" w:customStyle="1" w:styleId="xl517">
    <w:name w:val="xl517"/>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i/>
      <w:iCs/>
      <w:sz w:val="16"/>
      <w:szCs w:val="16"/>
    </w:rPr>
  </w:style>
  <w:style w:type="paragraph" w:customStyle="1" w:styleId="xl518">
    <w:name w:val="xl518"/>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i/>
      <w:iCs/>
      <w:sz w:val="16"/>
      <w:szCs w:val="16"/>
    </w:rPr>
  </w:style>
  <w:style w:type="paragraph" w:customStyle="1" w:styleId="xl519">
    <w:name w:val="xl519"/>
    <w:basedOn w:val="Normal"/>
    <w:rsid w:val="00247CBF"/>
    <w:pPr>
      <w:pBdr>
        <w:top w:val="dashed" w:sz="4" w:space="0" w:color="auto"/>
        <w:left w:val="dashed" w:sz="4" w:space="0" w:color="auto"/>
        <w:bottom w:val="single" w:sz="8"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i/>
      <w:iCs/>
      <w:sz w:val="16"/>
      <w:szCs w:val="16"/>
    </w:rPr>
  </w:style>
  <w:style w:type="paragraph" w:customStyle="1" w:styleId="xl520">
    <w:name w:val="xl520"/>
    <w:basedOn w:val="Normal"/>
    <w:rsid w:val="00247CBF"/>
    <w:pPr>
      <w:pBdr>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21">
    <w:name w:val="xl521"/>
    <w:basedOn w:val="Normal"/>
    <w:rsid w:val="00247CBF"/>
    <w:pPr>
      <w:pBdr>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22">
    <w:name w:val="xl522"/>
    <w:basedOn w:val="Normal"/>
    <w:rsid w:val="00247CBF"/>
    <w:pPr>
      <w:pBdr>
        <w:top w:val="double" w:sz="6" w:space="0" w:color="auto"/>
        <w:left w:val="dashed" w:sz="4" w:space="0" w:color="auto"/>
        <w:bottom w:val="dashed" w:sz="4" w:space="0" w:color="auto"/>
        <w:right w:val="double" w:sz="6"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23">
    <w:name w:val="xl523"/>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24">
    <w:name w:val="xl524"/>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25">
    <w:name w:val="xl525"/>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26">
    <w:name w:val="xl526"/>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27">
    <w:name w:val="xl527"/>
    <w:basedOn w:val="Normal"/>
    <w:rsid w:val="00247CBF"/>
    <w:pPr>
      <w:pBdr>
        <w:top w:val="dashed" w:sz="4" w:space="0" w:color="auto"/>
        <w:bottom w:val="double" w:sz="6"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28">
    <w:name w:val="xl528"/>
    <w:basedOn w:val="Normal"/>
    <w:rsid w:val="00247CBF"/>
    <w:pPr>
      <w:pBdr>
        <w:top w:val="dashed" w:sz="4" w:space="0" w:color="auto"/>
        <w:left w:val="dashed" w:sz="4" w:space="0" w:color="auto"/>
        <w:bottom w:val="double" w:sz="6"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29">
    <w:name w:val="xl529"/>
    <w:basedOn w:val="Normal"/>
    <w:rsid w:val="00247CBF"/>
    <w:pPr>
      <w:pBdr>
        <w:top w:val="dashed" w:sz="4" w:space="0" w:color="auto"/>
        <w:left w:val="dashed" w:sz="4" w:space="0" w:color="auto"/>
        <w:bottom w:val="double" w:sz="6"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30">
    <w:name w:val="xl530"/>
    <w:basedOn w:val="Normal"/>
    <w:rsid w:val="00247CBF"/>
    <w:pPr>
      <w:pBdr>
        <w:top w:val="dashed" w:sz="4" w:space="0" w:color="auto"/>
        <w:left w:val="dashed" w:sz="4" w:space="0" w:color="auto"/>
        <w:bottom w:val="double" w:sz="6" w:space="0" w:color="auto"/>
        <w:right w:val="double" w:sz="6"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31">
    <w:name w:val="xl531"/>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32">
    <w:name w:val="xl532"/>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33">
    <w:name w:val="xl533"/>
    <w:basedOn w:val="Normal"/>
    <w:rsid w:val="00247CBF"/>
    <w:pPr>
      <w:pBdr>
        <w:top w:val="dashed" w:sz="4" w:space="0" w:color="auto"/>
        <w:left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34">
    <w:name w:val="xl534"/>
    <w:basedOn w:val="Normal"/>
    <w:rsid w:val="00247CBF"/>
    <w:pPr>
      <w:pBdr>
        <w:top w:val="dashed" w:sz="4" w:space="0" w:color="auto"/>
        <w:left w:val="dashed" w:sz="4" w:space="0" w:color="auto"/>
        <w:bottom w:val="dashed" w:sz="4" w:space="0" w:color="auto"/>
        <w:right w:val="double" w:sz="6"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35">
    <w:name w:val="xl535"/>
    <w:basedOn w:val="Normal"/>
    <w:rsid w:val="00247CBF"/>
    <w:pPr>
      <w:pBdr>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36">
    <w:name w:val="xl536"/>
    <w:basedOn w:val="Normal"/>
    <w:rsid w:val="00247CBF"/>
    <w:pPr>
      <w:pBdr>
        <w:left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37">
    <w:name w:val="xl537"/>
    <w:basedOn w:val="Normal"/>
    <w:rsid w:val="00247CBF"/>
    <w:pPr>
      <w:pBdr>
        <w:left w:val="dotted" w:sz="4" w:space="0" w:color="000000"/>
        <w:bottom w:val="dotted" w:sz="4"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38">
    <w:name w:val="xl538"/>
    <w:basedOn w:val="Normal"/>
    <w:rsid w:val="00247CBF"/>
    <w:pPr>
      <w:pBdr>
        <w:top w:val="dotted" w:sz="4" w:space="0" w:color="000000"/>
        <w:bottom w:val="single" w:sz="4" w:space="0" w:color="auto"/>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39">
    <w:name w:val="xl539"/>
    <w:basedOn w:val="Normal"/>
    <w:rsid w:val="00247CBF"/>
    <w:pPr>
      <w:pBdr>
        <w:top w:val="dotted" w:sz="4" w:space="0" w:color="000000"/>
        <w:left w:val="dotted" w:sz="4" w:space="0" w:color="000000"/>
        <w:bottom w:val="single" w:sz="4" w:space="0" w:color="auto"/>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40">
    <w:name w:val="xl540"/>
    <w:basedOn w:val="Normal"/>
    <w:rsid w:val="00247CBF"/>
    <w:pPr>
      <w:pBdr>
        <w:top w:val="dotted" w:sz="4" w:space="0" w:color="000000"/>
        <w:left w:val="dotted" w:sz="4" w:space="0" w:color="000000"/>
        <w:bottom w:val="single" w:sz="4" w:space="0" w:color="auto"/>
        <w:right w:val="double" w:sz="6"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41">
    <w:name w:val="xl541"/>
    <w:basedOn w:val="Normal"/>
    <w:rsid w:val="00247CBF"/>
    <w:pPr>
      <w:pBdr>
        <w:top w:val="dotted" w:sz="4" w:space="0" w:color="auto"/>
        <w:left w:val="double" w:sz="6" w:space="0" w:color="auto"/>
        <w:bottom w:val="dotted" w:sz="4" w:space="0" w:color="auto"/>
      </w:pBdr>
      <w:spacing w:before="100" w:beforeAutospacing="1" w:after="100" w:afterAutospacing="1"/>
      <w:jc w:val="left"/>
      <w:textAlignment w:val="center"/>
    </w:pPr>
    <w:rPr>
      <w:rFonts w:eastAsia="Times New Roman" w:cs="Times New Roman"/>
      <w:szCs w:val="24"/>
    </w:rPr>
  </w:style>
  <w:style w:type="paragraph" w:customStyle="1" w:styleId="xl542">
    <w:name w:val="xl542"/>
    <w:basedOn w:val="Normal"/>
    <w:rsid w:val="00247CBF"/>
    <w:pPr>
      <w:pBdr>
        <w:top w:val="dotted" w:sz="4" w:space="0" w:color="auto"/>
        <w:left w:val="double" w:sz="6"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543">
    <w:name w:val="xl543"/>
    <w:basedOn w:val="Normal"/>
    <w:rsid w:val="00247CBF"/>
    <w:pPr>
      <w:pBdr>
        <w:left w:val="double" w:sz="6" w:space="0" w:color="auto"/>
        <w:bottom w:val="single" w:sz="4"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544">
    <w:name w:val="xl544"/>
    <w:basedOn w:val="Normal"/>
    <w:rsid w:val="00247CBF"/>
    <w:pPr>
      <w:pBdr>
        <w:top w:val="single" w:sz="4" w:space="0" w:color="auto"/>
        <w:left w:val="double" w:sz="6" w:space="0" w:color="auto"/>
        <w:bottom w:val="double" w:sz="6"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545">
    <w:name w:val="xl545"/>
    <w:basedOn w:val="Normal"/>
    <w:rsid w:val="00247CBF"/>
    <w:pPr>
      <w:pBdr>
        <w:top w:val="dotted" w:sz="4" w:space="0" w:color="000000"/>
        <w:left w:val="single" w:sz="8" w:space="0" w:color="000000"/>
        <w:bottom w:val="single" w:sz="4"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46">
    <w:name w:val="xl546"/>
    <w:basedOn w:val="Normal"/>
    <w:rsid w:val="00247CBF"/>
    <w:pPr>
      <w:pBdr>
        <w:top w:val="dotted" w:sz="4" w:space="0" w:color="000000"/>
        <w:bottom w:val="single" w:sz="4" w:space="0" w:color="auto"/>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47">
    <w:name w:val="xl547"/>
    <w:basedOn w:val="Normal"/>
    <w:rsid w:val="00247CBF"/>
    <w:pPr>
      <w:pBdr>
        <w:top w:val="single" w:sz="4" w:space="0" w:color="auto"/>
        <w:left w:val="single" w:sz="8" w:space="0" w:color="000000"/>
        <w:bottom w:val="dotted" w:sz="4"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548">
    <w:name w:val="xl548"/>
    <w:basedOn w:val="Normal"/>
    <w:rsid w:val="00247CBF"/>
    <w:pPr>
      <w:pBdr>
        <w:top w:val="single" w:sz="4" w:space="0" w:color="auto"/>
        <w:bottom w:val="dotted" w:sz="4" w:space="0" w:color="000000"/>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49">
    <w:name w:val="xl549"/>
    <w:basedOn w:val="Normal"/>
    <w:rsid w:val="00247CBF"/>
    <w:pPr>
      <w:pBdr>
        <w:top w:val="dotted" w:sz="4" w:space="0" w:color="000000"/>
        <w:left w:val="single" w:sz="8" w:space="0" w:color="000000"/>
        <w:bottom w:val="double" w:sz="6"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550">
    <w:name w:val="xl550"/>
    <w:basedOn w:val="Normal"/>
    <w:rsid w:val="00247CBF"/>
    <w:pPr>
      <w:pBdr>
        <w:top w:val="dotted" w:sz="4" w:space="0" w:color="000000"/>
        <w:bottom w:val="double" w:sz="6" w:space="0" w:color="000000"/>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51">
    <w:name w:val="xl551"/>
    <w:basedOn w:val="Normal"/>
    <w:rsid w:val="00247CBF"/>
    <w:pPr>
      <w:pBdr>
        <w:top w:val="double" w:sz="6" w:space="0" w:color="auto"/>
        <w:left w:val="single" w:sz="8" w:space="0" w:color="000000"/>
        <w:bottom w:val="dotted" w:sz="4" w:space="0" w:color="000000"/>
      </w:pBdr>
      <w:shd w:val="clear" w:color="000000" w:fill="FFFFFF"/>
      <w:spacing w:before="100" w:beforeAutospacing="1" w:after="100" w:afterAutospacing="1"/>
      <w:jc w:val="center"/>
    </w:pPr>
    <w:rPr>
      <w:rFonts w:eastAsia="Times New Roman" w:cs="Times New Roman"/>
      <w:sz w:val="16"/>
      <w:szCs w:val="16"/>
    </w:rPr>
  </w:style>
  <w:style w:type="paragraph" w:customStyle="1" w:styleId="xl552">
    <w:name w:val="xl552"/>
    <w:basedOn w:val="Normal"/>
    <w:rsid w:val="00247CBF"/>
    <w:pPr>
      <w:pBdr>
        <w:top w:val="double" w:sz="6" w:space="0" w:color="auto"/>
        <w:bottom w:val="dotted" w:sz="4" w:space="0" w:color="000000"/>
        <w:right w:val="single" w:sz="8" w:space="0" w:color="auto"/>
      </w:pBdr>
      <w:shd w:val="clear" w:color="000000" w:fill="FFFFFF"/>
      <w:spacing w:before="100" w:beforeAutospacing="1" w:after="100" w:afterAutospacing="1"/>
      <w:jc w:val="center"/>
    </w:pPr>
    <w:rPr>
      <w:rFonts w:eastAsia="Times New Roman" w:cs="Times New Roman"/>
      <w:sz w:val="16"/>
      <w:szCs w:val="16"/>
    </w:rPr>
  </w:style>
  <w:style w:type="paragraph" w:customStyle="1" w:styleId="xl553">
    <w:name w:val="xl553"/>
    <w:basedOn w:val="Normal"/>
    <w:rsid w:val="00247CBF"/>
    <w:pPr>
      <w:pBdr>
        <w:top w:val="single" w:sz="4" w:space="0" w:color="000000"/>
        <w:left w:val="single" w:sz="8" w:space="0" w:color="000000"/>
        <w:bottom w:val="dotted" w:sz="4"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554">
    <w:name w:val="xl554"/>
    <w:basedOn w:val="Normal"/>
    <w:rsid w:val="00247CBF"/>
    <w:pPr>
      <w:pBdr>
        <w:top w:val="single" w:sz="4" w:space="0" w:color="000000"/>
        <w:bottom w:val="dotted" w:sz="4" w:space="0" w:color="000000"/>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55">
    <w:name w:val="xl555"/>
    <w:basedOn w:val="Normal"/>
    <w:rsid w:val="00247CBF"/>
    <w:pPr>
      <w:pBdr>
        <w:top w:val="dotted" w:sz="4" w:space="0" w:color="auto"/>
        <w:left w:val="single" w:sz="4" w:space="0" w:color="auto"/>
        <w:bottom w:val="double" w:sz="6" w:space="0" w:color="auto"/>
      </w:pBdr>
      <w:shd w:val="clear" w:color="000000" w:fill="FFFFFF"/>
      <w:spacing w:before="100" w:beforeAutospacing="1" w:after="100" w:afterAutospacing="1"/>
      <w:jc w:val="center"/>
    </w:pPr>
    <w:rPr>
      <w:rFonts w:eastAsia="Times New Roman" w:cs="Times New Roman"/>
      <w:sz w:val="18"/>
      <w:szCs w:val="18"/>
    </w:rPr>
  </w:style>
  <w:style w:type="paragraph" w:customStyle="1" w:styleId="xl556">
    <w:name w:val="xl556"/>
    <w:basedOn w:val="Normal"/>
    <w:rsid w:val="00247CBF"/>
    <w:pPr>
      <w:pBdr>
        <w:top w:val="dotted" w:sz="4" w:space="0" w:color="auto"/>
        <w:bottom w:val="double" w:sz="6" w:space="0" w:color="auto"/>
        <w:right w:val="single" w:sz="8" w:space="0" w:color="000000"/>
      </w:pBdr>
      <w:shd w:val="clear" w:color="000000" w:fill="FFFFFF"/>
      <w:spacing w:before="100" w:beforeAutospacing="1" w:after="100" w:afterAutospacing="1"/>
      <w:jc w:val="center"/>
    </w:pPr>
    <w:rPr>
      <w:rFonts w:eastAsia="Times New Roman" w:cs="Times New Roman"/>
      <w:sz w:val="18"/>
      <w:szCs w:val="18"/>
    </w:rPr>
  </w:style>
  <w:style w:type="paragraph" w:customStyle="1" w:styleId="xl557">
    <w:name w:val="xl557"/>
    <w:basedOn w:val="Normal"/>
    <w:rsid w:val="00247CBF"/>
    <w:pPr>
      <w:pBdr>
        <w:top w:val="double" w:sz="6" w:space="0" w:color="auto"/>
        <w:left w:val="single" w:sz="8" w:space="0" w:color="auto"/>
        <w:bottom w:val="double" w:sz="6" w:space="0" w:color="auto"/>
      </w:pBdr>
      <w:shd w:val="clear" w:color="000000" w:fill="9966FF"/>
      <w:spacing w:before="100" w:beforeAutospacing="1" w:after="100" w:afterAutospacing="1"/>
      <w:jc w:val="center"/>
      <w:textAlignment w:val="center"/>
    </w:pPr>
    <w:rPr>
      <w:rFonts w:eastAsia="Times New Roman" w:cs="Times New Roman"/>
      <w:b/>
      <w:bCs/>
      <w:szCs w:val="24"/>
    </w:rPr>
  </w:style>
  <w:style w:type="paragraph" w:customStyle="1" w:styleId="xl558">
    <w:name w:val="xl558"/>
    <w:basedOn w:val="Normal"/>
    <w:rsid w:val="00247CBF"/>
    <w:pPr>
      <w:pBdr>
        <w:top w:val="double" w:sz="6" w:space="0" w:color="auto"/>
        <w:bottom w:val="double" w:sz="6" w:space="0" w:color="auto"/>
        <w:right w:val="single" w:sz="8" w:space="0" w:color="auto"/>
      </w:pBdr>
      <w:shd w:val="clear" w:color="000000" w:fill="9966FF"/>
      <w:spacing w:before="100" w:beforeAutospacing="1" w:after="100" w:afterAutospacing="1"/>
      <w:jc w:val="center"/>
      <w:textAlignment w:val="center"/>
    </w:pPr>
    <w:rPr>
      <w:rFonts w:eastAsia="Times New Roman" w:cs="Times New Roman"/>
      <w:b/>
      <w:bCs/>
      <w:szCs w:val="24"/>
    </w:rPr>
  </w:style>
  <w:style w:type="paragraph" w:customStyle="1" w:styleId="xl559">
    <w:name w:val="xl559"/>
    <w:basedOn w:val="Normal"/>
    <w:rsid w:val="00247CBF"/>
    <w:pPr>
      <w:pBdr>
        <w:top w:val="dotted" w:sz="4" w:space="0" w:color="auto"/>
        <w:left w:val="single" w:sz="4" w:space="0" w:color="auto"/>
        <w:bottom w:val="dotted" w:sz="4" w:space="0" w:color="auto"/>
      </w:pBdr>
      <w:shd w:val="clear" w:color="000000" w:fill="FFFFFF"/>
      <w:spacing w:before="100" w:beforeAutospacing="1" w:after="100" w:afterAutospacing="1"/>
      <w:jc w:val="center"/>
    </w:pPr>
    <w:rPr>
      <w:rFonts w:eastAsia="Times New Roman" w:cs="Times New Roman"/>
      <w:sz w:val="18"/>
      <w:szCs w:val="18"/>
    </w:rPr>
  </w:style>
  <w:style w:type="paragraph" w:customStyle="1" w:styleId="xl560">
    <w:name w:val="xl560"/>
    <w:basedOn w:val="Normal"/>
    <w:rsid w:val="00247CBF"/>
    <w:pPr>
      <w:pBdr>
        <w:top w:val="dotted" w:sz="4" w:space="0" w:color="auto"/>
        <w:bottom w:val="dotted" w:sz="4" w:space="0" w:color="auto"/>
        <w:right w:val="single" w:sz="8" w:space="0" w:color="000000"/>
      </w:pBdr>
      <w:shd w:val="clear" w:color="000000" w:fill="FFFFFF"/>
      <w:spacing w:before="100" w:beforeAutospacing="1" w:after="100" w:afterAutospacing="1"/>
      <w:jc w:val="center"/>
    </w:pPr>
    <w:rPr>
      <w:rFonts w:eastAsia="Times New Roman" w:cs="Times New Roman"/>
      <w:sz w:val="18"/>
      <w:szCs w:val="18"/>
    </w:rPr>
  </w:style>
  <w:style w:type="paragraph" w:customStyle="1" w:styleId="xl561">
    <w:name w:val="xl561"/>
    <w:basedOn w:val="Normal"/>
    <w:rsid w:val="00247CBF"/>
    <w:pPr>
      <w:pBdr>
        <w:top w:val="double" w:sz="6" w:space="0" w:color="auto"/>
        <w:left w:val="single" w:sz="4" w:space="0" w:color="auto"/>
        <w:bottom w:val="dotted" w:sz="4" w:space="0" w:color="auto"/>
      </w:pBdr>
      <w:shd w:val="clear" w:color="000000" w:fill="FFFFFF"/>
      <w:spacing w:before="100" w:beforeAutospacing="1" w:after="100" w:afterAutospacing="1"/>
      <w:jc w:val="center"/>
    </w:pPr>
    <w:rPr>
      <w:rFonts w:eastAsia="Times New Roman" w:cs="Times New Roman"/>
      <w:sz w:val="18"/>
      <w:szCs w:val="18"/>
    </w:rPr>
  </w:style>
  <w:style w:type="paragraph" w:customStyle="1" w:styleId="xl562">
    <w:name w:val="xl562"/>
    <w:basedOn w:val="Normal"/>
    <w:rsid w:val="00247CBF"/>
    <w:pPr>
      <w:pBdr>
        <w:top w:val="double" w:sz="6" w:space="0" w:color="auto"/>
        <w:bottom w:val="dotted" w:sz="4" w:space="0" w:color="auto"/>
        <w:right w:val="single" w:sz="8" w:space="0" w:color="000000"/>
      </w:pBdr>
      <w:shd w:val="clear" w:color="000000" w:fill="FFFFFF"/>
      <w:spacing w:before="100" w:beforeAutospacing="1" w:after="100" w:afterAutospacing="1"/>
      <w:jc w:val="center"/>
    </w:pPr>
    <w:rPr>
      <w:rFonts w:eastAsia="Times New Roman" w:cs="Times New Roman"/>
      <w:sz w:val="18"/>
      <w:szCs w:val="18"/>
    </w:rPr>
  </w:style>
  <w:style w:type="paragraph" w:customStyle="1" w:styleId="xl563">
    <w:name w:val="xl563"/>
    <w:basedOn w:val="Normal"/>
    <w:rsid w:val="00247CBF"/>
    <w:pPr>
      <w:pBdr>
        <w:top w:val="dotted" w:sz="4" w:space="0" w:color="000000"/>
        <w:left w:val="single" w:sz="8" w:space="0" w:color="000000"/>
        <w:bottom w:val="dotted" w:sz="4"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564">
    <w:name w:val="xl564"/>
    <w:basedOn w:val="Normal"/>
    <w:rsid w:val="00247CBF"/>
    <w:pPr>
      <w:pBdr>
        <w:top w:val="dotted" w:sz="4" w:space="0" w:color="000000"/>
        <w:bottom w:val="dotted" w:sz="4" w:space="0" w:color="000000"/>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65">
    <w:name w:val="xl565"/>
    <w:basedOn w:val="Normal"/>
    <w:rsid w:val="00247CBF"/>
    <w:pPr>
      <w:pBdr>
        <w:top w:val="double" w:sz="6" w:space="0" w:color="auto"/>
        <w:bottom w:val="dotted" w:sz="4" w:space="0" w:color="auto"/>
        <w:right w:val="single" w:sz="8" w:space="0" w:color="000000"/>
      </w:pBdr>
      <w:shd w:val="clear" w:color="000000" w:fill="FFFFFF"/>
      <w:spacing w:before="100" w:beforeAutospacing="1" w:after="100" w:afterAutospacing="1"/>
      <w:jc w:val="center"/>
    </w:pPr>
    <w:rPr>
      <w:rFonts w:eastAsia="Times New Roman" w:cs="Times New Roman"/>
      <w:sz w:val="18"/>
      <w:szCs w:val="18"/>
    </w:rPr>
  </w:style>
  <w:style w:type="paragraph" w:customStyle="1" w:styleId="xl566">
    <w:name w:val="xl566"/>
    <w:basedOn w:val="Normal"/>
    <w:rsid w:val="00247CBF"/>
    <w:pPr>
      <w:pBdr>
        <w:top w:val="dotted" w:sz="4" w:space="0" w:color="000000"/>
        <w:left w:val="single" w:sz="8" w:space="0" w:color="000000"/>
        <w:bottom w:val="dotted" w:sz="4"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567">
    <w:name w:val="xl567"/>
    <w:basedOn w:val="Normal"/>
    <w:rsid w:val="00247CBF"/>
    <w:pPr>
      <w:pBdr>
        <w:top w:val="dotted" w:sz="4" w:space="0" w:color="000000"/>
        <w:bottom w:val="dotted" w:sz="4" w:space="0" w:color="000000"/>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msonormal">
    <w:name w:val="x_msonormal"/>
    <w:basedOn w:val="Normal"/>
    <w:rsid w:val="00247CBF"/>
    <w:pPr>
      <w:spacing w:before="100" w:beforeAutospacing="1" w:after="100" w:afterAutospacing="1"/>
      <w:jc w:val="left"/>
    </w:pPr>
    <w:rPr>
      <w:rFonts w:eastAsia="Times New Roman" w:cs="Times New Roman"/>
      <w:szCs w:val="24"/>
      <w:lang w:val="sr-Latn-RS" w:eastAsia="sr-Latn-RS"/>
    </w:rPr>
  </w:style>
  <w:style w:type="table" w:customStyle="1" w:styleId="TableGrid16">
    <w:name w:val="Table Grid16"/>
    <w:basedOn w:val="TableNormal"/>
    <w:next w:val="TableGrid"/>
    <w:uiPriority w:val="59"/>
    <w:rsid w:val="00247CBF"/>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247CBF"/>
    <w:pPr>
      <w:spacing w:after="0"/>
      <w:jc w:val="left"/>
    </w:pPr>
    <w:rPr>
      <w:rFonts w:ascii="Calibri" w:hAnsi="Calibri" w:cs="Times New Roman"/>
      <w:sz w:val="22"/>
      <w:lang w:val="sr-Latn-RS" w:eastAsia="sr-Latn-RS"/>
    </w:rPr>
  </w:style>
  <w:style w:type="character" w:customStyle="1" w:styleId="PlainTextChar">
    <w:name w:val="Plain Text Char"/>
    <w:basedOn w:val="DefaultParagraphFont"/>
    <w:link w:val="PlainText"/>
    <w:uiPriority w:val="99"/>
    <w:rsid w:val="00247CBF"/>
    <w:rPr>
      <w:rFonts w:ascii="Calibri" w:hAnsi="Calibri" w:cs="Times New Roman"/>
      <w:lang w:val="sr-Latn-RS" w:eastAsia="sr-Latn-RS"/>
    </w:rPr>
  </w:style>
  <w:style w:type="table" w:customStyle="1" w:styleId="TableGrid17">
    <w:name w:val="Table Grid17"/>
    <w:basedOn w:val="TableNormal"/>
    <w:next w:val="TableGrid"/>
    <w:uiPriority w:val="59"/>
    <w:rsid w:val="00247CBF"/>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s">
    <w:name w:val="trs"/>
    <w:basedOn w:val="DefaultParagraphFont"/>
    <w:rsid w:val="004B7E54"/>
  </w:style>
  <w:style w:type="paragraph" w:customStyle="1" w:styleId="1tekst">
    <w:name w:val="1tekst"/>
    <w:basedOn w:val="Normal"/>
    <w:rsid w:val="00B753EF"/>
    <w:pPr>
      <w:spacing w:before="100" w:after="100"/>
      <w:ind w:firstLine="240"/>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0867">
      <w:bodyDiv w:val="1"/>
      <w:marLeft w:val="0"/>
      <w:marRight w:val="0"/>
      <w:marTop w:val="0"/>
      <w:marBottom w:val="0"/>
      <w:divBdr>
        <w:top w:val="none" w:sz="0" w:space="0" w:color="auto"/>
        <w:left w:val="none" w:sz="0" w:space="0" w:color="auto"/>
        <w:bottom w:val="none" w:sz="0" w:space="0" w:color="auto"/>
        <w:right w:val="none" w:sz="0" w:space="0" w:color="auto"/>
      </w:divBdr>
    </w:div>
    <w:div w:id="296376952">
      <w:bodyDiv w:val="1"/>
      <w:marLeft w:val="0"/>
      <w:marRight w:val="0"/>
      <w:marTop w:val="0"/>
      <w:marBottom w:val="0"/>
      <w:divBdr>
        <w:top w:val="none" w:sz="0" w:space="0" w:color="auto"/>
        <w:left w:val="none" w:sz="0" w:space="0" w:color="auto"/>
        <w:bottom w:val="none" w:sz="0" w:space="0" w:color="auto"/>
        <w:right w:val="none" w:sz="0" w:space="0" w:color="auto"/>
      </w:divBdr>
    </w:div>
    <w:div w:id="394011857">
      <w:bodyDiv w:val="1"/>
      <w:marLeft w:val="0"/>
      <w:marRight w:val="0"/>
      <w:marTop w:val="0"/>
      <w:marBottom w:val="0"/>
      <w:divBdr>
        <w:top w:val="none" w:sz="0" w:space="0" w:color="auto"/>
        <w:left w:val="none" w:sz="0" w:space="0" w:color="auto"/>
        <w:bottom w:val="none" w:sz="0" w:space="0" w:color="auto"/>
        <w:right w:val="none" w:sz="0" w:space="0" w:color="auto"/>
      </w:divBdr>
    </w:div>
    <w:div w:id="445580232">
      <w:bodyDiv w:val="1"/>
      <w:marLeft w:val="0"/>
      <w:marRight w:val="0"/>
      <w:marTop w:val="0"/>
      <w:marBottom w:val="0"/>
      <w:divBdr>
        <w:top w:val="none" w:sz="0" w:space="0" w:color="auto"/>
        <w:left w:val="none" w:sz="0" w:space="0" w:color="auto"/>
        <w:bottom w:val="none" w:sz="0" w:space="0" w:color="auto"/>
        <w:right w:val="none" w:sz="0" w:space="0" w:color="auto"/>
      </w:divBdr>
    </w:div>
    <w:div w:id="633944422">
      <w:bodyDiv w:val="1"/>
      <w:marLeft w:val="0"/>
      <w:marRight w:val="0"/>
      <w:marTop w:val="0"/>
      <w:marBottom w:val="0"/>
      <w:divBdr>
        <w:top w:val="none" w:sz="0" w:space="0" w:color="auto"/>
        <w:left w:val="none" w:sz="0" w:space="0" w:color="auto"/>
        <w:bottom w:val="none" w:sz="0" w:space="0" w:color="auto"/>
        <w:right w:val="none" w:sz="0" w:space="0" w:color="auto"/>
      </w:divBdr>
    </w:div>
    <w:div w:id="713778305">
      <w:bodyDiv w:val="1"/>
      <w:marLeft w:val="0"/>
      <w:marRight w:val="0"/>
      <w:marTop w:val="0"/>
      <w:marBottom w:val="0"/>
      <w:divBdr>
        <w:top w:val="none" w:sz="0" w:space="0" w:color="auto"/>
        <w:left w:val="none" w:sz="0" w:space="0" w:color="auto"/>
        <w:bottom w:val="none" w:sz="0" w:space="0" w:color="auto"/>
        <w:right w:val="none" w:sz="0" w:space="0" w:color="auto"/>
      </w:divBdr>
    </w:div>
    <w:div w:id="748312666">
      <w:bodyDiv w:val="1"/>
      <w:marLeft w:val="0"/>
      <w:marRight w:val="0"/>
      <w:marTop w:val="0"/>
      <w:marBottom w:val="0"/>
      <w:divBdr>
        <w:top w:val="none" w:sz="0" w:space="0" w:color="auto"/>
        <w:left w:val="none" w:sz="0" w:space="0" w:color="auto"/>
        <w:bottom w:val="none" w:sz="0" w:space="0" w:color="auto"/>
        <w:right w:val="none" w:sz="0" w:space="0" w:color="auto"/>
      </w:divBdr>
    </w:div>
    <w:div w:id="755639195">
      <w:bodyDiv w:val="1"/>
      <w:marLeft w:val="0"/>
      <w:marRight w:val="0"/>
      <w:marTop w:val="0"/>
      <w:marBottom w:val="0"/>
      <w:divBdr>
        <w:top w:val="none" w:sz="0" w:space="0" w:color="auto"/>
        <w:left w:val="none" w:sz="0" w:space="0" w:color="auto"/>
        <w:bottom w:val="none" w:sz="0" w:space="0" w:color="auto"/>
        <w:right w:val="none" w:sz="0" w:space="0" w:color="auto"/>
      </w:divBdr>
    </w:div>
    <w:div w:id="784886753">
      <w:bodyDiv w:val="1"/>
      <w:marLeft w:val="0"/>
      <w:marRight w:val="0"/>
      <w:marTop w:val="0"/>
      <w:marBottom w:val="0"/>
      <w:divBdr>
        <w:top w:val="none" w:sz="0" w:space="0" w:color="auto"/>
        <w:left w:val="none" w:sz="0" w:space="0" w:color="auto"/>
        <w:bottom w:val="none" w:sz="0" w:space="0" w:color="auto"/>
        <w:right w:val="none" w:sz="0" w:space="0" w:color="auto"/>
      </w:divBdr>
    </w:div>
    <w:div w:id="789710389">
      <w:bodyDiv w:val="1"/>
      <w:marLeft w:val="0"/>
      <w:marRight w:val="0"/>
      <w:marTop w:val="0"/>
      <w:marBottom w:val="0"/>
      <w:divBdr>
        <w:top w:val="none" w:sz="0" w:space="0" w:color="auto"/>
        <w:left w:val="none" w:sz="0" w:space="0" w:color="auto"/>
        <w:bottom w:val="none" w:sz="0" w:space="0" w:color="auto"/>
        <w:right w:val="none" w:sz="0" w:space="0" w:color="auto"/>
      </w:divBdr>
    </w:div>
    <w:div w:id="901065476">
      <w:bodyDiv w:val="1"/>
      <w:marLeft w:val="0"/>
      <w:marRight w:val="0"/>
      <w:marTop w:val="0"/>
      <w:marBottom w:val="0"/>
      <w:divBdr>
        <w:top w:val="none" w:sz="0" w:space="0" w:color="auto"/>
        <w:left w:val="none" w:sz="0" w:space="0" w:color="auto"/>
        <w:bottom w:val="none" w:sz="0" w:space="0" w:color="auto"/>
        <w:right w:val="none" w:sz="0" w:space="0" w:color="auto"/>
      </w:divBdr>
    </w:div>
    <w:div w:id="940336245">
      <w:bodyDiv w:val="1"/>
      <w:marLeft w:val="0"/>
      <w:marRight w:val="0"/>
      <w:marTop w:val="0"/>
      <w:marBottom w:val="0"/>
      <w:divBdr>
        <w:top w:val="none" w:sz="0" w:space="0" w:color="auto"/>
        <w:left w:val="none" w:sz="0" w:space="0" w:color="auto"/>
        <w:bottom w:val="none" w:sz="0" w:space="0" w:color="auto"/>
        <w:right w:val="none" w:sz="0" w:space="0" w:color="auto"/>
      </w:divBdr>
    </w:div>
    <w:div w:id="1100565709">
      <w:bodyDiv w:val="1"/>
      <w:marLeft w:val="0"/>
      <w:marRight w:val="0"/>
      <w:marTop w:val="0"/>
      <w:marBottom w:val="0"/>
      <w:divBdr>
        <w:top w:val="none" w:sz="0" w:space="0" w:color="auto"/>
        <w:left w:val="none" w:sz="0" w:space="0" w:color="auto"/>
        <w:bottom w:val="none" w:sz="0" w:space="0" w:color="auto"/>
        <w:right w:val="none" w:sz="0" w:space="0" w:color="auto"/>
      </w:divBdr>
    </w:div>
    <w:div w:id="1133912441">
      <w:bodyDiv w:val="1"/>
      <w:marLeft w:val="0"/>
      <w:marRight w:val="0"/>
      <w:marTop w:val="0"/>
      <w:marBottom w:val="0"/>
      <w:divBdr>
        <w:top w:val="none" w:sz="0" w:space="0" w:color="auto"/>
        <w:left w:val="none" w:sz="0" w:space="0" w:color="auto"/>
        <w:bottom w:val="none" w:sz="0" w:space="0" w:color="auto"/>
        <w:right w:val="none" w:sz="0" w:space="0" w:color="auto"/>
      </w:divBdr>
    </w:div>
    <w:div w:id="1144783239">
      <w:bodyDiv w:val="1"/>
      <w:marLeft w:val="0"/>
      <w:marRight w:val="0"/>
      <w:marTop w:val="0"/>
      <w:marBottom w:val="0"/>
      <w:divBdr>
        <w:top w:val="none" w:sz="0" w:space="0" w:color="auto"/>
        <w:left w:val="none" w:sz="0" w:space="0" w:color="auto"/>
        <w:bottom w:val="none" w:sz="0" w:space="0" w:color="auto"/>
        <w:right w:val="none" w:sz="0" w:space="0" w:color="auto"/>
      </w:divBdr>
    </w:div>
    <w:div w:id="1223179149">
      <w:bodyDiv w:val="1"/>
      <w:marLeft w:val="0"/>
      <w:marRight w:val="0"/>
      <w:marTop w:val="0"/>
      <w:marBottom w:val="0"/>
      <w:divBdr>
        <w:top w:val="none" w:sz="0" w:space="0" w:color="auto"/>
        <w:left w:val="none" w:sz="0" w:space="0" w:color="auto"/>
        <w:bottom w:val="none" w:sz="0" w:space="0" w:color="auto"/>
        <w:right w:val="none" w:sz="0" w:space="0" w:color="auto"/>
      </w:divBdr>
    </w:div>
    <w:div w:id="1225291488">
      <w:bodyDiv w:val="1"/>
      <w:marLeft w:val="0"/>
      <w:marRight w:val="0"/>
      <w:marTop w:val="0"/>
      <w:marBottom w:val="0"/>
      <w:divBdr>
        <w:top w:val="none" w:sz="0" w:space="0" w:color="auto"/>
        <w:left w:val="none" w:sz="0" w:space="0" w:color="auto"/>
        <w:bottom w:val="none" w:sz="0" w:space="0" w:color="auto"/>
        <w:right w:val="none" w:sz="0" w:space="0" w:color="auto"/>
      </w:divBdr>
    </w:div>
    <w:div w:id="1291940089">
      <w:bodyDiv w:val="1"/>
      <w:marLeft w:val="0"/>
      <w:marRight w:val="0"/>
      <w:marTop w:val="0"/>
      <w:marBottom w:val="0"/>
      <w:divBdr>
        <w:top w:val="none" w:sz="0" w:space="0" w:color="auto"/>
        <w:left w:val="none" w:sz="0" w:space="0" w:color="auto"/>
        <w:bottom w:val="none" w:sz="0" w:space="0" w:color="auto"/>
        <w:right w:val="none" w:sz="0" w:space="0" w:color="auto"/>
      </w:divBdr>
      <w:divsChild>
        <w:div w:id="627316389">
          <w:marLeft w:val="173"/>
          <w:marRight w:val="0"/>
          <w:marTop w:val="0"/>
          <w:marBottom w:val="60"/>
          <w:divBdr>
            <w:top w:val="none" w:sz="0" w:space="0" w:color="auto"/>
            <w:left w:val="none" w:sz="0" w:space="0" w:color="auto"/>
            <w:bottom w:val="none" w:sz="0" w:space="0" w:color="auto"/>
            <w:right w:val="none" w:sz="0" w:space="0" w:color="auto"/>
          </w:divBdr>
        </w:div>
      </w:divsChild>
    </w:div>
    <w:div w:id="1415592691">
      <w:bodyDiv w:val="1"/>
      <w:marLeft w:val="0"/>
      <w:marRight w:val="0"/>
      <w:marTop w:val="0"/>
      <w:marBottom w:val="0"/>
      <w:divBdr>
        <w:top w:val="none" w:sz="0" w:space="0" w:color="auto"/>
        <w:left w:val="none" w:sz="0" w:space="0" w:color="auto"/>
        <w:bottom w:val="none" w:sz="0" w:space="0" w:color="auto"/>
        <w:right w:val="none" w:sz="0" w:space="0" w:color="auto"/>
      </w:divBdr>
    </w:div>
    <w:div w:id="1427579194">
      <w:bodyDiv w:val="1"/>
      <w:marLeft w:val="0"/>
      <w:marRight w:val="0"/>
      <w:marTop w:val="0"/>
      <w:marBottom w:val="0"/>
      <w:divBdr>
        <w:top w:val="none" w:sz="0" w:space="0" w:color="auto"/>
        <w:left w:val="none" w:sz="0" w:space="0" w:color="auto"/>
        <w:bottom w:val="none" w:sz="0" w:space="0" w:color="auto"/>
        <w:right w:val="none" w:sz="0" w:space="0" w:color="auto"/>
      </w:divBdr>
    </w:div>
    <w:div w:id="1432118195">
      <w:bodyDiv w:val="1"/>
      <w:marLeft w:val="0"/>
      <w:marRight w:val="0"/>
      <w:marTop w:val="0"/>
      <w:marBottom w:val="0"/>
      <w:divBdr>
        <w:top w:val="none" w:sz="0" w:space="0" w:color="auto"/>
        <w:left w:val="none" w:sz="0" w:space="0" w:color="auto"/>
        <w:bottom w:val="none" w:sz="0" w:space="0" w:color="auto"/>
        <w:right w:val="none" w:sz="0" w:space="0" w:color="auto"/>
      </w:divBdr>
    </w:div>
    <w:div w:id="1449082154">
      <w:bodyDiv w:val="1"/>
      <w:marLeft w:val="0"/>
      <w:marRight w:val="0"/>
      <w:marTop w:val="0"/>
      <w:marBottom w:val="0"/>
      <w:divBdr>
        <w:top w:val="none" w:sz="0" w:space="0" w:color="auto"/>
        <w:left w:val="none" w:sz="0" w:space="0" w:color="auto"/>
        <w:bottom w:val="none" w:sz="0" w:space="0" w:color="auto"/>
        <w:right w:val="none" w:sz="0" w:space="0" w:color="auto"/>
      </w:divBdr>
    </w:div>
    <w:div w:id="1561137472">
      <w:bodyDiv w:val="1"/>
      <w:marLeft w:val="0"/>
      <w:marRight w:val="0"/>
      <w:marTop w:val="0"/>
      <w:marBottom w:val="0"/>
      <w:divBdr>
        <w:top w:val="none" w:sz="0" w:space="0" w:color="auto"/>
        <w:left w:val="none" w:sz="0" w:space="0" w:color="auto"/>
        <w:bottom w:val="none" w:sz="0" w:space="0" w:color="auto"/>
        <w:right w:val="none" w:sz="0" w:space="0" w:color="auto"/>
      </w:divBdr>
    </w:div>
    <w:div w:id="1566137578">
      <w:bodyDiv w:val="1"/>
      <w:marLeft w:val="0"/>
      <w:marRight w:val="0"/>
      <w:marTop w:val="0"/>
      <w:marBottom w:val="0"/>
      <w:divBdr>
        <w:top w:val="none" w:sz="0" w:space="0" w:color="auto"/>
        <w:left w:val="none" w:sz="0" w:space="0" w:color="auto"/>
        <w:bottom w:val="none" w:sz="0" w:space="0" w:color="auto"/>
        <w:right w:val="none" w:sz="0" w:space="0" w:color="auto"/>
      </w:divBdr>
    </w:div>
    <w:div w:id="1610233359">
      <w:bodyDiv w:val="1"/>
      <w:marLeft w:val="0"/>
      <w:marRight w:val="0"/>
      <w:marTop w:val="0"/>
      <w:marBottom w:val="0"/>
      <w:divBdr>
        <w:top w:val="none" w:sz="0" w:space="0" w:color="auto"/>
        <w:left w:val="none" w:sz="0" w:space="0" w:color="auto"/>
        <w:bottom w:val="none" w:sz="0" w:space="0" w:color="auto"/>
        <w:right w:val="none" w:sz="0" w:space="0" w:color="auto"/>
      </w:divBdr>
    </w:div>
    <w:div w:id="1646158595">
      <w:bodyDiv w:val="1"/>
      <w:marLeft w:val="0"/>
      <w:marRight w:val="0"/>
      <w:marTop w:val="0"/>
      <w:marBottom w:val="0"/>
      <w:divBdr>
        <w:top w:val="none" w:sz="0" w:space="0" w:color="auto"/>
        <w:left w:val="none" w:sz="0" w:space="0" w:color="auto"/>
        <w:bottom w:val="none" w:sz="0" w:space="0" w:color="auto"/>
        <w:right w:val="none" w:sz="0" w:space="0" w:color="auto"/>
      </w:divBdr>
    </w:div>
    <w:div w:id="1663124367">
      <w:bodyDiv w:val="1"/>
      <w:marLeft w:val="0"/>
      <w:marRight w:val="0"/>
      <w:marTop w:val="0"/>
      <w:marBottom w:val="0"/>
      <w:divBdr>
        <w:top w:val="none" w:sz="0" w:space="0" w:color="auto"/>
        <w:left w:val="none" w:sz="0" w:space="0" w:color="auto"/>
        <w:bottom w:val="none" w:sz="0" w:space="0" w:color="auto"/>
        <w:right w:val="none" w:sz="0" w:space="0" w:color="auto"/>
      </w:divBdr>
    </w:div>
    <w:div w:id="1713504870">
      <w:bodyDiv w:val="1"/>
      <w:marLeft w:val="0"/>
      <w:marRight w:val="0"/>
      <w:marTop w:val="0"/>
      <w:marBottom w:val="0"/>
      <w:divBdr>
        <w:top w:val="none" w:sz="0" w:space="0" w:color="auto"/>
        <w:left w:val="none" w:sz="0" w:space="0" w:color="auto"/>
        <w:bottom w:val="none" w:sz="0" w:space="0" w:color="auto"/>
        <w:right w:val="none" w:sz="0" w:space="0" w:color="auto"/>
      </w:divBdr>
    </w:div>
    <w:div w:id="184570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26" Type="http://schemas.openxmlformats.org/officeDocument/2006/relationships/chart" Target="charts/chart13.xml"/><Relationship Id="rId39" Type="http://schemas.openxmlformats.org/officeDocument/2006/relationships/hyperlink" Target="http://we2.cekos.com/ce/index.xhtml?&amp;action=propis&amp;file=12618001.html&amp;path=12618001.html&amp;queries=likvidacija&amp;mark=false&amp;searchType=1&amp;regulationType=1&amp;domain=0&amp;myFavorites=false&amp;dateFrom=&amp;dateTo=&amp;groups=0-%40-0-%40--%40--%40-0-%40-0&amp;regExpToMark=" TargetMode="External"/><Relationship Id="rId21" Type="http://schemas.openxmlformats.org/officeDocument/2006/relationships/chart" Target="charts/chart8.xml"/><Relationship Id="rId34" Type="http://schemas.openxmlformats.org/officeDocument/2006/relationships/hyperlink" Target="http://we2.cekos.com/ce/index.xhtml?&amp;action=propis&amp;file=13497701.html&amp;path=13497701.html&amp;queries=zakon+o+poreskom+postupku&amp;mark=false&amp;searchType=1&amp;regulationType=1&amp;domain=0&amp;myFavorites=false&amp;dateFrom=&amp;dateTo=&amp;groups=0-%40-0-%40--%40--%40-0-%40-0&amp;regExpToMark=" TargetMode="External"/><Relationship Id="rId42" Type="http://schemas.openxmlformats.org/officeDocument/2006/relationships/hyperlink" Target="https://rap.euprava.gov.rs/privreda/home" TargetMode="External"/><Relationship Id="rId47" Type="http://schemas.openxmlformats.org/officeDocument/2006/relationships/hyperlink" Target="file:///C:\Users\svetlana.aksentijevi\AppData\Local\Microsoft\Windows\INetCache\Content.MSO\1D05A8A2.xlsx" TargetMode="External"/><Relationship Id="rId50" Type="http://schemas.openxmlformats.org/officeDocument/2006/relationships/hyperlink" Target="file:///C:\Users\svetlana.aksentijevi\AppData\Local\Microsoft\Windows\INetCache\Content.MSO\1D05A8A2.xlsx" TargetMode="External"/><Relationship Id="rId55" Type="http://schemas.openxmlformats.org/officeDocument/2006/relationships/hyperlink" Target="file:///C:\Users\svetlana.aksentijevi\AppData\Local\Microsoft\Windows\INetCache\Content.MSO\1D05A8A2.xlsx" TargetMode="Externa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3.png"/><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hyperlink" Target="http://we2.cekos.com/ce/index.xhtml?&amp;action=propis&amp;file=10368101.html&amp;path=10368101.html&amp;queries=zakon+o+poreskom+postupku&amp;mark=false&amp;searchType=1&amp;regulationType=1&amp;domain=0&amp;myFavorites=false&amp;dateFrom=&amp;dateTo=&amp;groups=0-%40-0-%40--%40--%40-0-%40-0&amp;regExpToMark=" TargetMode="External"/><Relationship Id="rId37" Type="http://schemas.openxmlformats.org/officeDocument/2006/relationships/hyperlink" Target="http://we2.cekos.com/ce/index.xhtml?&amp;action=propis&amp;file=16175301.html&amp;path=16175301.html&amp;queries=zakon+o+poreskom+postupku&amp;mark=false&amp;searchType=1&amp;regulationType=1&amp;domain=0&amp;myFavorites=false&amp;dateFrom=&amp;dateTo=&amp;groups=0-%40-0-%40--%40--%40-0-%40-0&amp;regExpToMark=" TargetMode="External"/><Relationship Id="rId40" Type="http://schemas.openxmlformats.org/officeDocument/2006/relationships/hyperlink" Target="http://we2.cekos.com/ce/index.xhtml?&amp;action=propis&amp;file=14553201.html&amp;path=14553201.html&amp;queries=likvidacija&amp;mark=false&amp;searchType=1&amp;regulationType=1&amp;domain=0&amp;myFavorites=false&amp;dateFrom=&amp;dateTo=&amp;groups=0-%40-0-%40--%40--%40-0-%40-0&amp;regExpToMark=" TargetMode="External"/><Relationship Id="rId45" Type="http://schemas.openxmlformats.org/officeDocument/2006/relationships/footer" Target="footer1.xml"/><Relationship Id="rId53" Type="http://schemas.openxmlformats.org/officeDocument/2006/relationships/hyperlink" Target="file:///C:\Users\svetlana.aksentijevi\AppData\Local\Microsoft\Windows\INetCache\Content.MSO\1D05A8A2.xlsx" TargetMode="Externa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gif"/><Relationship Id="rId4" Type="http://schemas.openxmlformats.org/officeDocument/2006/relationships/settings" Target="settings.xml"/><Relationship Id="rId9" Type="http://schemas.openxmlformats.org/officeDocument/2006/relationships/hyperlink" Target="http://www.kkdp.gov.rs" TargetMode="External"/><Relationship Id="rId14" Type="http://schemas.openxmlformats.org/officeDocument/2006/relationships/chart" Target="charts/chart5.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hyperlink" Target="http://we2.cekos.com/ce/index.xhtml?&amp;action=propis&amp;file=08204501.html&amp;path=08204501.html&amp;queries=zakon+o+poreskom+postupku&amp;mark=false&amp;searchType=1&amp;regulationType=1&amp;domain=0&amp;myFavorites=false&amp;dateFrom=&amp;dateTo=&amp;groups=0-%40-0-%40--%40--%40-0-%40-0&amp;regExpToMark=" TargetMode="External"/><Relationship Id="rId35" Type="http://schemas.openxmlformats.org/officeDocument/2006/relationships/hyperlink" Target="http://we2.cekos.com/ce/index.xhtml?&amp;action=propis&amp;file=13903001.html&amp;path=13903001.html&amp;queries=zakon+o+poreskom+postupku&amp;mark=false&amp;searchType=1&amp;regulationType=1&amp;domain=0&amp;myFavorites=false&amp;dateFrom=&amp;dateTo=&amp;groups=0-%40-0-%40--%40--%40-0-%40-0&amp;regExpToMark=" TargetMode="External"/><Relationship Id="rId43" Type="http://schemas.openxmlformats.org/officeDocument/2006/relationships/hyperlink" Target="https://gqii.org" TargetMode="External"/><Relationship Id="rId48" Type="http://schemas.openxmlformats.org/officeDocument/2006/relationships/hyperlink" Target="file:///C:\Users\svetlana.aksentijevi\AppData\Local\Microsoft\Windows\INetCache\Content.MSO\1D05A8A2.xlsx" TargetMode="External"/><Relationship Id="rId56" Type="http://schemas.openxmlformats.org/officeDocument/2006/relationships/hyperlink" Target="file:///C:\Users\svetlana.aksentijevi\AppData\Local\Microsoft\Windows\INetCache\Content.MSO\1D05A8A2.xlsx" TargetMode="External"/><Relationship Id="rId8" Type="http://schemas.openxmlformats.org/officeDocument/2006/relationships/image" Target="media/image1.png"/><Relationship Id="rId51" Type="http://schemas.openxmlformats.org/officeDocument/2006/relationships/hyperlink" Target="file:///C:\Users\svetlana.aksentijevi\AppData\Local\Microsoft\Windows\INetCache\Content.MSO\1D05A8A2.xlsx" TargetMode="External"/><Relationship Id="rId3" Type="http://schemas.openxmlformats.org/officeDocument/2006/relationships/styles" Target="styles.xml"/><Relationship Id="rId12" Type="http://schemas.openxmlformats.org/officeDocument/2006/relationships/chart" Target="charts/chart3.xml"/><Relationship Id="rId25" Type="http://schemas.openxmlformats.org/officeDocument/2006/relationships/chart" Target="charts/chart12.xml"/><Relationship Id="rId33" Type="http://schemas.openxmlformats.org/officeDocument/2006/relationships/hyperlink" Target="http://we2.cekos.com/ce/index.xhtml?&amp;action=propis&amp;file=10695301.html&amp;path=10695301.html&amp;queries=zakon+o+poreskom+postupku&amp;mark=false&amp;searchType=1&amp;regulationType=1&amp;domain=0&amp;myFavorites=false&amp;dateFrom=&amp;dateTo=&amp;groups=0-%40-0-%40--%40--%40-0-%40-0&amp;regExpToMark=" TargetMode="External"/><Relationship Id="rId38" Type="http://schemas.openxmlformats.org/officeDocument/2006/relationships/hyperlink" Target="http://we2.cekos.com/ce/index.xhtml?&amp;action=propis&amp;file=10878001.html&amp;path=10878001.html&amp;queries=likvidacija&amp;mark=false&amp;searchType=1&amp;regulationType=1&amp;domain=0&amp;myFavorites=false&amp;dateFrom=&amp;dateTo=&amp;groups=0-%40-0-%40--%40--%40-0-%40-0&amp;regExpToMark=" TargetMode="External"/><Relationship Id="rId46" Type="http://schemas.openxmlformats.org/officeDocument/2006/relationships/footer" Target="footer2.xml"/><Relationship Id="rId59" Type="http://schemas.openxmlformats.org/officeDocument/2006/relationships/fontTable" Target="fontTable.xml"/><Relationship Id="rId20" Type="http://schemas.openxmlformats.org/officeDocument/2006/relationships/chart" Target="charts/chart7.xml"/><Relationship Id="rId41" Type="http://schemas.openxmlformats.org/officeDocument/2006/relationships/chart" Target="charts/chart15.xml"/><Relationship Id="rId54" Type="http://schemas.openxmlformats.org/officeDocument/2006/relationships/hyperlink" Target="file:///C:\Users\svetlana.aksentijevi\AppData\Local\Microsoft\Windows\INetCache\Content.MSO\1D05A8A2.xls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0.xml"/><Relationship Id="rId28" Type="http://schemas.openxmlformats.org/officeDocument/2006/relationships/image" Target="media/image2.png"/><Relationship Id="rId36" Type="http://schemas.openxmlformats.org/officeDocument/2006/relationships/hyperlink" Target="http://we2.cekos.com/ce/index.xhtml?&amp;action=propis&amp;file=14720901.html&amp;path=14720901.html&amp;queries=zakon+o+poreskom+postupku&amp;mark=false&amp;searchType=1&amp;regulationType=1&amp;domain=0&amp;myFavorites=false&amp;dateFrom=&amp;dateTo=&amp;groups=0-%40-0-%40--%40--%40-0-%40-0&amp;regExpToMark=" TargetMode="External"/><Relationship Id="rId49" Type="http://schemas.openxmlformats.org/officeDocument/2006/relationships/hyperlink" Target="file:///C:\Users\svetlana.aksentijevi\AppData\Local\Microsoft\Windows\INetCache\Content.MSO\1D05A8A2.xlsx" TargetMode="External"/><Relationship Id="rId57" Type="http://schemas.openxmlformats.org/officeDocument/2006/relationships/hyperlink" Target="file:///C:\Users\svetlana.aksentijevi\AppData\Local\Microsoft\Windows\INetCache\Content.MSO\1D05A8A2.xlsx" TargetMode="External"/><Relationship Id="rId10" Type="http://schemas.openxmlformats.org/officeDocument/2006/relationships/chart" Target="charts/chart1.xml"/><Relationship Id="rId31" Type="http://schemas.openxmlformats.org/officeDocument/2006/relationships/hyperlink" Target="http://we2.cekos.com/ce/index.xhtml?&amp;action=propis&amp;file=08550701.html&amp;path=08550701.html&amp;queries=zakon+o+poreskom+postupku&amp;mark=false&amp;searchType=1&amp;regulationType=1&amp;domain=0&amp;myFavorites=false&amp;dateFrom=&amp;dateTo=&amp;groups=0-%40-0-%40--%40--%40-0-%40-0&amp;regExpToMark=" TargetMode="External"/><Relationship Id="rId44" Type="http://schemas.openxmlformats.org/officeDocument/2006/relationships/hyperlink" Target="https://opendata.mpn.gov.rs/" TargetMode="External"/><Relationship Id="rId52" Type="http://schemas.openxmlformats.org/officeDocument/2006/relationships/hyperlink" Target="file:///C:\Users\svetlana.aksentijevi\AppData\Local\Microsoft\Windows\INetCache\Content.MSO\1D05A8A2.xlsx"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ec.europa.eu/commission/presscorner/detail/en/ip_22_5989" TargetMode="External"/><Relationship Id="rId117" Type="http://schemas.openxmlformats.org/officeDocument/2006/relationships/hyperlink" Target="https://www.rfzo.rs/index.php/osiguranalica/listecekanja/lc-dnevni-presek%20/" TargetMode="External"/><Relationship Id="rId21" Type="http://schemas.openxmlformats.org/officeDocument/2006/relationships/hyperlink" Target="https://publikacije.stat.gov.rs/G2022/Pdf/G20225682.pdf" TargetMode="External"/><Relationship Id="rId42" Type="http://schemas.openxmlformats.org/officeDocument/2006/relationships/hyperlink" Target="https://www.mfin.gov.rs//upload/media/iSlSql_62612e2c1ea88.pdf" TargetMode="External"/><Relationship Id="rId47" Type="http://schemas.openxmlformats.org/officeDocument/2006/relationships/hyperlink" Target="https://ec.europa.eu/eurostat/databrowser/view/cei_pc032/default/table?lang=en" TargetMode="External"/><Relationship Id="rId63" Type="http://schemas.openxmlformats.org/officeDocument/2006/relationships/hyperlink" Target="https://www.stat.gov.rs/sr-latn/vesti/20220715-spoljnotrgovinska-robna-razmena-konacni-podaci-2021/" TargetMode="External"/><Relationship Id="rId68" Type="http://schemas.openxmlformats.org/officeDocument/2006/relationships/hyperlink" Target="https://www.stat.gov.rs/sr-latn/vesti/20220715-spoljnotrgovinska-robna-razmena-konacni-podaci-2021/" TargetMode="External"/><Relationship Id="rId84" Type="http://schemas.openxmlformats.org/officeDocument/2006/relationships/hyperlink" Target="https://publikacije.stat.gov.rs/G2019/Pdf/G201922002.pdf" TargetMode="External"/><Relationship Id="rId89" Type="http://schemas.openxmlformats.org/officeDocument/2006/relationships/hyperlink" Target="https://nbs.rs/sr_RS/drugi-nivo-navigacije/statistika/platni_bilans/" TargetMode="External"/><Relationship Id="rId112" Type="http://schemas.openxmlformats.org/officeDocument/2006/relationships/hyperlink" Target="http://we2.cekos.com/ce/index.xhtml?&amp;file=f159023&amp;action=propis&amp;path=15902301.html&amp;domain=0&amp;mark=false&amp;queries=&amp;searchType=1&amp;regulationType=1&amp;domain=0&amp;myFavorites=false&amp;dateFrom=&amp;dateTo=&amp;groups=-%40--%40--%40--%40--%40-" TargetMode="External"/><Relationship Id="rId16" Type="http://schemas.openxmlformats.org/officeDocument/2006/relationships/hyperlink" Target="https://www.stat.gov.rs/media/5806/zim-u-rs-2020_webopt.pdf" TargetMode="External"/><Relationship Id="rId107" Type="http://schemas.openxmlformats.org/officeDocument/2006/relationships/hyperlink" Target="http://we2.cekos.com/ce/index.xhtml?&amp;file=f147783&amp;action=propis&amp;path=14778301.html&amp;domain=0&amp;mark=false&amp;queries=&amp;searchType=1&amp;regulationType=1&amp;domain=0&amp;myFavorites=false&amp;dateFrom=&amp;dateTo=&amp;groups=-%40--%40--%40--%40--%40-" TargetMode="External"/><Relationship Id="rId11" Type="http://schemas.openxmlformats.org/officeDocument/2006/relationships/hyperlink" Target="https://mtt.gov.rs/extfile/sr/36972/KUPOVNA%20MOC%20maj%2020221.pdf" TargetMode="External"/><Relationship Id="rId32" Type="http://schemas.openxmlformats.org/officeDocument/2006/relationships/hyperlink" Target="https://data.stat.gov.rs/Home/Result/SDGUN070201?languageCode=sr-Cyrl" TargetMode="External"/><Relationship Id="rId37" Type="http://schemas.openxmlformats.org/officeDocument/2006/relationships/hyperlink" Target="https://ec.europa.eu/eurostat/databrowser/view/nrg_pc_204/default/table?lang=en" TargetMode="External"/><Relationship Id="rId53" Type="http://schemas.openxmlformats.org/officeDocument/2006/relationships/hyperlink" Target="https://networkreadinessindex.org/wp-content/uploads/reports/serbia.pdf" TargetMode="External"/><Relationship Id="rId58" Type="http://schemas.openxmlformats.org/officeDocument/2006/relationships/hyperlink" Target="https://data.stat.gov.rs/Home/Result/100109?languageCode=sr-Cyrl" TargetMode="External"/><Relationship Id="rId74" Type="http://schemas.openxmlformats.org/officeDocument/2006/relationships/hyperlink" Target="https://publikacije.stat.gov.rs/G2022/Pdf/G20221177.pdf" TargetMode="External"/><Relationship Id="rId79" Type="http://schemas.openxmlformats.org/officeDocument/2006/relationships/hyperlink" Target="https://publikacije.stat.gov.rs/G2019/Pdf/G20196002.pdf" TargetMode="External"/><Relationship Id="rId102" Type="http://schemas.openxmlformats.org/officeDocument/2006/relationships/hyperlink" Target="https://www.shanghairanking.com/rankings/arwu/2022" TargetMode="External"/><Relationship Id="rId5" Type="http://schemas.openxmlformats.org/officeDocument/2006/relationships/hyperlink" Target="https://www.minrzs.gov.rs/" TargetMode="External"/><Relationship Id="rId90" Type="http://schemas.openxmlformats.org/officeDocument/2006/relationships/hyperlink" Target="https://publikacije.stat.gov.rs/G2022/Html/G20221023.html" TargetMode="External"/><Relationship Id="rId95" Type="http://schemas.openxmlformats.org/officeDocument/2006/relationships/hyperlink" Target="https://mojasrbija.rs/wp/i-u-2021-godini-100-000-vaucera-za-odmor-u-srbiji/" TargetMode="External"/><Relationship Id="rId22" Type="http://schemas.openxmlformats.org/officeDocument/2006/relationships/hyperlink" Target="https://www.sezonskiradnici.gov.rs/" TargetMode="External"/><Relationship Id="rId27" Type="http://schemas.openxmlformats.org/officeDocument/2006/relationships/hyperlink" Target="https://www.aers.rs/Files/Izvestaji/Godisnji/Izvestaj%20Agencije%202021.pdf" TargetMode="External"/><Relationship Id="rId43" Type="http://schemas.openxmlformats.org/officeDocument/2006/relationships/hyperlink" Target="https://www.paragraf.rs/propisi/pravilnik-metodologiji-izradu-registra-izvora-zagadjivanja.html" TargetMode="External"/><Relationship Id="rId48" Type="http://schemas.openxmlformats.org/officeDocument/2006/relationships/hyperlink" Target="https://publikacije.stat.gov.rs/G2022/Pdf/G20225684.pdf" TargetMode="External"/><Relationship Id="rId64" Type="http://schemas.openxmlformats.org/officeDocument/2006/relationships/hyperlink" Target="https://www.stat.gov.rs/vesti/20220930-spoljnotrgovinska-robna-razmena-za-avgust-2022/" TargetMode="External"/><Relationship Id="rId69" Type="http://schemas.openxmlformats.org/officeDocument/2006/relationships/hyperlink" Target="https://www.putevi-srbije.rs/images/pdf/suiss/UISS_godisnji_izvestaj_2021.pdf" TargetMode="External"/><Relationship Id="rId113" Type="http://schemas.openxmlformats.org/officeDocument/2006/relationships/hyperlink" Target="http://we2.cekos.com/ce/index.xhtml?&amp;file=f159293&amp;action=propis&amp;path=15929301.html&amp;domain=0&amp;mark=false&amp;queries=&amp;searchType=1&amp;regulationType=1&amp;domain=0&amp;myFavorites=false&amp;dateFrom=&amp;dateTo=&amp;groups=-%40--%40--%40--%40--%40-" TargetMode="External"/><Relationship Id="rId118" Type="http://schemas.openxmlformats.org/officeDocument/2006/relationships/hyperlink" Target="https://optimizacijazdravstva.rs/izrada-masterplana" TargetMode="External"/><Relationship Id="rId80" Type="http://schemas.openxmlformats.org/officeDocument/2006/relationships/hyperlink" Target="https://naled.rs/htdocs/Files/01428/Komasacija-vodic-web.pdf" TargetMode="External"/><Relationship Id="rId85" Type="http://schemas.openxmlformats.org/officeDocument/2006/relationships/hyperlink" Target="http://www.minpolj.gov.rs/download/lista-sredstava-za-zastitu-bilja-na-osnovu-izdatih-resenja-o-registraciji-sredstava-za-zastitu-bilja/" TargetMode="External"/><Relationship Id="rId12" Type="http://schemas.openxmlformats.org/officeDocument/2006/relationships/hyperlink" Target="https://www.stat.gov.rs/media/343261/indeks_rodne_ravnopravnosti_u_rs_2021.pdf" TargetMode="External"/><Relationship Id="rId17" Type="http://schemas.openxmlformats.org/officeDocument/2006/relationships/hyperlink" Target="https://publikacije.stat.gov.rs/G2022/Html/G20221333.html" TargetMode="External"/><Relationship Id="rId33" Type="http://schemas.openxmlformats.org/officeDocument/2006/relationships/hyperlink" Target="https://www.aers.rs/Files/Izvestaji/Godisnji/Izvestaj%20Agencije%202021.pdf" TargetMode="External"/><Relationship Id="rId38" Type="http://schemas.openxmlformats.org/officeDocument/2006/relationships/hyperlink" Target="https://www.aers.rs/Files/Izvestaji/Godisnji/Izvestaj%20Agencije%202021.pdf" TargetMode="External"/><Relationship Id="rId59" Type="http://schemas.openxmlformats.org/officeDocument/2006/relationships/hyperlink" Target="https://ec.europa.eu/eurostat/databrowser/view/tsc00001/default/table?lang=en" TargetMode="External"/><Relationship Id="rId103" Type="http://schemas.openxmlformats.org/officeDocument/2006/relationships/hyperlink" Target="https://www.mfin.gov.rs//upload/media/XhuXUy_61ced86c7e83c.pdf" TargetMode="External"/><Relationship Id="rId108" Type="http://schemas.openxmlformats.org/officeDocument/2006/relationships/hyperlink" Target="http://we2.cekos.com/ce/index.xhtml?&amp;file=f148136&amp;action=propis&amp;path=14813601.html&amp;domain=0&amp;mark=false&amp;queries=&amp;searchType=1&amp;regulationType=1&amp;domain=0&amp;myFavorites=false&amp;dateFrom=&amp;dateTo=&amp;groups=-%40--%40--%40--%40--%40-" TargetMode="External"/><Relationship Id="rId54" Type="http://schemas.openxmlformats.org/officeDocument/2006/relationships/hyperlink" Target="https://naled.rs/projekti-startech-program-podrske-za-inovaciju-i-transformaciju-malih-i-srednjih-preduzeca-4697" TargetMode="External"/><Relationship Id="rId70" Type="http://schemas.openxmlformats.org/officeDocument/2006/relationships/hyperlink" Target="https://publikacije.stat.gov.rs/G2022/Pdf/G20221177.pdf" TargetMode="External"/><Relationship Id="rId75" Type="http://schemas.openxmlformats.org/officeDocument/2006/relationships/hyperlink" Target="https://publikacije.stat.gov.rs/G2022/Pdf/G20221071.pdf" TargetMode="External"/><Relationship Id="rId91" Type="http://schemas.openxmlformats.org/officeDocument/2006/relationships/hyperlink" Target="https://publikacije.stat.gov.rs/G2022/Html/G20221212.html" TargetMode="External"/><Relationship Id="rId96" Type="http://schemas.openxmlformats.org/officeDocument/2006/relationships/hyperlink" Target="https://nbs.rs/sr/ciljevi-i-funkcije/platni-sistem/statistika/" TargetMode="External"/><Relationship Id="rId1" Type="http://schemas.openxmlformats.org/officeDocument/2006/relationships/hyperlink" Target="https://www.mfin.gov.rs//upload/media/jzsbpL_601ab1585ca02.pdf" TargetMode="External"/><Relationship Id="rId6" Type="http://schemas.openxmlformats.org/officeDocument/2006/relationships/hyperlink" Target="https://emerging-europe.com/future-of-ee-awards/winners/" TargetMode="External"/><Relationship Id="rId23" Type="http://schemas.openxmlformats.org/officeDocument/2006/relationships/hyperlink" Target="https://www.mfin.gov.rs//upload/media/BERtr6_62308f091c3fc.pdf" TargetMode="External"/><Relationship Id="rId28" Type="http://schemas.openxmlformats.org/officeDocument/2006/relationships/hyperlink" Target="http://epsdistribucija.rs/pdf/GI_ODS_2021.pdf" TargetMode="External"/><Relationship Id="rId49" Type="http://schemas.openxmlformats.org/officeDocument/2006/relationships/hyperlink" Target="https://publikacije.stat.gov.rs/G2022/Pdf/G20221128.pdf" TargetMode="External"/><Relationship Id="rId114" Type="http://schemas.openxmlformats.org/officeDocument/2006/relationships/hyperlink" Target="http://we2.cekos.com/ce/index.xhtml?&amp;file=f160788&amp;action=propis&amp;path=16078801.html&amp;domain=0&amp;mark=false&amp;queries=&amp;searchType=1&amp;regulationType=1&amp;domain=0&amp;myFavorites=false&amp;dateFrom=&amp;dateTo=&amp;groups=-%40--%40--%40--%40--%40-" TargetMode="External"/><Relationship Id="rId10" Type="http://schemas.openxmlformats.org/officeDocument/2006/relationships/hyperlink" Target="https://www.mfin.gov.rs/dokumenti2/makroekonomski-i-fiskalni-podaci" TargetMode="External"/><Relationship Id="rId31" Type="http://schemas.openxmlformats.org/officeDocument/2006/relationships/hyperlink" Target="https://ec.europa.eu/eurostat/databrowser/view/t2020_rk210/default/table?lang=en" TargetMode="External"/><Relationship Id="rId44" Type="http://schemas.openxmlformats.org/officeDocument/2006/relationships/hyperlink" Target="https://publikacije.stat.gov.rs/G2022/Html/G20221262.html" TargetMode="External"/><Relationship Id="rId52" Type="http://schemas.openxmlformats.org/officeDocument/2006/relationships/hyperlink" Target="https://publikacije.stat.gov.rs/G2021/Pdf/G20211014.pdf" TargetMode="External"/><Relationship Id="rId60" Type="http://schemas.openxmlformats.org/officeDocument/2006/relationships/hyperlink" Target="http://www.inovacionifond.rs/cir/o-fondu/rezultati" TargetMode="External"/><Relationship Id="rId65" Type="http://schemas.openxmlformats.org/officeDocument/2006/relationships/hyperlink" Target="https://nbs.rs/sr_RS/drugi-nivo-navigacije/statistika" TargetMode="External"/><Relationship Id="rId73" Type="http://schemas.openxmlformats.org/officeDocument/2006/relationships/hyperlink" Target="https://www.raildir.gov.rs/doc/izvestaji/Izvestaj%20_o_regulisanju_trzista_zeleznickih_usluga_za_2021.pdf" TargetMode="External"/><Relationship Id="rId78" Type="http://schemas.openxmlformats.org/officeDocument/2006/relationships/hyperlink" Target="https://publikacije.stat.gov.rs/G2022/Pdf/G20221021.pdf" TargetMode="External"/><Relationship Id="rId81" Type="http://schemas.openxmlformats.org/officeDocument/2006/relationships/hyperlink" Target="https://nbs.rs/sr_RS/drugi-nivo-navigacije/statistika/platni_bilans/" TargetMode="External"/><Relationship Id="rId86" Type="http://schemas.openxmlformats.org/officeDocument/2006/relationships/hyperlink" Target="https://uzb.minpolj.gov.rs/wp-content/uploads/2022/07/Informator_UZB_junj2022.pdf" TargetMode="External"/><Relationship Id="rId94" Type="http://schemas.openxmlformats.org/officeDocument/2006/relationships/hyperlink" Target="https://nbs.rs/sr_RS/drugi-nivo-navigacije/statistika/platni_bilans/" TargetMode="External"/><Relationship Id="rId99" Type="http://schemas.openxmlformats.org/officeDocument/2006/relationships/hyperlink" Target="https://publikacije.stat.gov.rs/G2022/Pdf/G20221083.pdf" TargetMode="External"/><Relationship Id="rId101" Type="http://schemas.openxmlformats.org/officeDocument/2006/relationships/hyperlink" Target="https://publikacije.stat.gov.rs/G2022/Pdf/G20225683.pdf" TargetMode="External"/><Relationship Id="rId4" Type="http://schemas.openxmlformats.org/officeDocument/2006/relationships/hyperlink" Target="https://appsso.eurostat.ec.europa.eu/nui/show.do?dataset=trng_lfse_01&amp;lang=en" TargetMode="External"/><Relationship Id="rId9" Type="http://schemas.openxmlformats.org/officeDocument/2006/relationships/hyperlink" Target="https://www.mfin.gov.rs/dokumenti2/makroekonomski-i-fiskalni-podaci" TargetMode="External"/><Relationship Id="rId13" Type="http://schemas.openxmlformats.org/officeDocument/2006/relationships/hyperlink" Target="https://eige.europa.eu/gender-equality-index/2021" TargetMode="External"/><Relationship Id="rId18" Type="http://schemas.openxmlformats.org/officeDocument/2006/relationships/hyperlink" Target="https://rsjp.gov.rs/wp-content/uploads/Final-Public-Consultation-Manual-16-07-2020-for-publication-1.pdf" TargetMode="External"/><Relationship Id="rId39" Type="http://schemas.openxmlformats.org/officeDocument/2006/relationships/hyperlink" Target="https://www.aers.rs/Files/Izvestaji/Godisnji/Izvestaj%20Agencije%202021.pdf" TargetMode="External"/><Relationship Id="rId109" Type="http://schemas.openxmlformats.org/officeDocument/2006/relationships/hyperlink" Target="http://we2.cekos.com/ce/index.xhtml?&amp;file=f149505&amp;action=propis&amp;path=14950501.html&amp;domain=0&amp;mark=false&amp;queries=&amp;searchType=1&amp;regulationType=1&amp;domain=0&amp;myFavorites=false&amp;dateFrom=&amp;dateTo=&amp;groups=-%40--%40--%40--%40--%40-" TargetMode="External"/><Relationship Id="rId34" Type="http://schemas.openxmlformats.org/officeDocument/2006/relationships/hyperlink" Target="https://www.aers.rs/Files/Izvestaji/Godisnji/Izvestaj%20Agencije%202021.pdf" TargetMode="External"/><Relationship Id="rId50" Type="http://schemas.openxmlformats.org/officeDocument/2006/relationships/hyperlink" Target="https://publikacije.stat.gov.rs/G2022/Pdf/G20221097.pdf" TargetMode="External"/><Relationship Id="rId55" Type="http://schemas.openxmlformats.org/officeDocument/2006/relationships/hyperlink" Target="https://www.startech.org.rs/konkurs2022" TargetMode="External"/><Relationship Id="rId76" Type="http://schemas.openxmlformats.org/officeDocument/2006/relationships/hyperlink" Target="https://ini.aerodromisrbije.rs/statistika/" TargetMode="External"/><Relationship Id="rId97" Type="http://schemas.openxmlformats.org/officeDocument/2006/relationships/hyperlink" Target="https://mtt.gov.rs/extfile/sr/35580/%D0%98%D0%B7%D0%B2%D0%B5%D1%88%D1%82%D0%B0%D1%98%20%D0%BE%20%D1%80%D0%B0%D0%B4%D1%83%20%D0%9D%D0%B0%D1%86%D0%B8%D0%BE%D0%BD%D0%B0%D0%BB%D0%BD%D0%BE%D0%B3%20%D1%80%D0%B5%D0%B3%D0%B8%D1%81%D1%82%D1%80%D0%B0%20%D0%BF%D0%BE%D1%82%D1%80%D0%BE%D1%88%D0%B0%D1%87%D0%BA%D0%B8%D1%85%20%D0%BF%D1%80%D0%B8%D0%B3%D0%BE%D0%B2%D0%BE%D1%80%D0%B0%20%D0%B7%D0%B0%202021.%20%D0%B3%D0%BE%D0%B4%D0%B8%D0%BD%D1%83.pdf" TargetMode="External"/><Relationship Id="rId104" Type="http://schemas.openxmlformats.org/officeDocument/2006/relationships/hyperlink" Target="https://publikacije.stat.gov.rs/G2022/Pdf/G20221090.pdf" TargetMode="External"/><Relationship Id="rId7" Type="http://schemas.openxmlformats.org/officeDocument/2006/relationships/hyperlink" Target="https://ec.europa.eu/eurostat/web/products-datasets/-/tespm010" TargetMode="External"/><Relationship Id="rId71" Type="http://schemas.openxmlformats.org/officeDocument/2006/relationships/hyperlink" Target="https://publikacije.stat.gov.rs/G2022/Pdf/G20221153.pdf" TargetMode="External"/><Relationship Id="rId92" Type="http://schemas.openxmlformats.org/officeDocument/2006/relationships/hyperlink" Target="https://publikacije.stat.gov.rs/G2022/Pdf/G20221211.pdf" TargetMode="External"/><Relationship Id="rId2" Type="http://schemas.openxmlformats.org/officeDocument/2006/relationships/hyperlink" Target="https://pks.rs/strana/sekcija/dualno-obrazovanje-spisak-profila-u-dualnom-obrazovanju" TargetMode="External"/><Relationship Id="rId29" Type="http://schemas.openxmlformats.org/officeDocument/2006/relationships/hyperlink" Target="https://publikacije.stat.gov.rs/G2022/Html/G20221262.html" TargetMode="External"/><Relationship Id="rId24" Type="http://schemas.openxmlformats.org/officeDocument/2006/relationships/hyperlink" Target="https://publicadministration.un.org/en/Research/UN-e-Government-Surveys?_lrsc=01712f7d-dc30-4e6a-bff9-90f2c477df5a&amp;id=gx:2sm:3tw:4elevate:5awa:6oth" TargetMode="External"/><Relationship Id="rId40" Type="http://schemas.openxmlformats.org/officeDocument/2006/relationships/hyperlink" Target="https://www.aers.rs/Files/Izvestaji/Godisnji/Izvestaj%20Agencije%202021.pdf" TargetMode="External"/><Relationship Id="rId45" Type="http://schemas.openxmlformats.org/officeDocument/2006/relationships/hyperlink" Target="https://publikacije.stat.gov.rs/G2022/Html/G20221129.html" TargetMode="External"/><Relationship Id="rId66" Type="http://schemas.openxmlformats.org/officeDocument/2006/relationships/hyperlink" Target="https://publikacije.stat.gov.rs/G2022/Pdf/G20221272.pdf" TargetMode="External"/><Relationship Id="rId87" Type="http://schemas.openxmlformats.org/officeDocument/2006/relationships/hyperlink" Target="https://publikacije.stat.gov.rs/G2022/HtmlL/G20221025.html" TargetMode="External"/><Relationship Id="rId110" Type="http://schemas.openxmlformats.org/officeDocument/2006/relationships/hyperlink" Target="http://we2.cekos.com/ce/index.xhtml?&amp;file=f150820&amp;action=propis&amp;path=15082001.html&amp;domain=0&amp;mark=false&amp;queries=&amp;searchType=1&amp;regulationType=1&amp;domain=0&amp;myFavorites=false&amp;dateFrom=&amp;dateTo=&amp;groups=-%40--%40--%40--%40--%40-" TargetMode="External"/><Relationship Id="rId115" Type="http://schemas.openxmlformats.org/officeDocument/2006/relationships/hyperlink" Target="http://www.dunp.np.ac.rs/eng/wp-content/uploads/2022/publikacije/serija-b/2020vol3/br2/8.pdf" TargetMode="External"/><Relationship Id="rId61" Type="http://schemas.openxmlformats.org/officeDocument/2006/relationships/hyperlink" Target="https://data.stat.gov.rs/Home/Result/1005?languageCode=sr-Cyrl" TargetMode="External"/><Relationship Id="rId82" Type="http://schemas.openxmlformats.org/officeDocument/2006/relationships/hyperlink" Target="https://upz.minpolj.gov.rs/download/GIZ%20Uticaj%20IS%20za%20upravljanje%20poljoprivrednim%20zemljistem.pdf" TargetMode="External"/><Relationship Id="rId19" Type="http://schemas.openxmlformats.org/officeDocument/2006/relationships/hyperlink" Target="https://www.vk.sud.rs/sites/default/files/attachments/Publikacija%20srb_0.pdf" TargetMode="External"/><Relationship Id="rId14" Type="http://schemas.openxmlformats.org/officeDocument/2006/relationships/hyperlink" Target="https://www.stat.gov.rs/media/5806/zim-u-rs-2020_webopt.pdf" TargetMode="External"/><Relationship Id="rId30" Type="http://schemas.openxmlformats.org/officeDocument/2006/relationships/hyperlink" Target="https://cdr.eionet.europa.eu/rs/eu/energycommunity/envygmfea/LCP_Energy_Community_Serbia_2020_final.xlsx/manage_document" TargetMode="External"/><Relationship Id="rId35" Type="http://schemas.openxmlformats.org/officeDocument/2006/relationships/hyperlink" Target="https://www.aers.rs/Files/Izvestaji/Godisnji/Izvestaj%20Agencije%202021.pdf" TargetMode="External"/><Relationship Id="rId56" Type="http://schemas.openxmlformats.org/officeDocument/2006/relationships/hyperlink" Target="https://research-and-innovation.ec.europa.eu/system/files/2022-10/ec_rtd_eis-2022-main-report.pdf" TargetMode="External"/><Relationship Id="rId77" Type="http://schemas.openxmlformats.org/officeDocument/2006/relationships/hyperlink" Target="https://publikacije.stat.gov.rs/G2022/Pdf/G20225682.pdf" TargetMode="External"/><Relationship Id="rId100" Type="http://schemas.openxmlformats.org/officeDocument/2006/relationships/hyperlink" Target="https://publikacije.stat.gov.rs/G2022/Html/G20221072.html" TargetMode="External"/><Relationship Id="rId105" Type="http://schemas.openxmlformats.org/officeDocument/2006/relationships/hyperlink" Target="https://www.mfin.gov.rs/dokumenti2/makroekonomski-i-fiskalni-podaci" TargetMode="External"/><Relationship Id="rId8" Type="http://schemas.openxmlformats.org/officeDocument/2006/relationships/hyperlink" Target="https://ec.europa.eu/eurostat/databrowser/view/tessi190/default/table?lang=en" TargetMode="External"/><Relationship Id="rId51" Type="http://schemas.openxmlformats.org/officeDocument/2006/relationships/hyperlink" Target="https://publikacije.stat.gov.rs/G2022/Pdf/G20221291.pdf" TargetMode="External"/><Relationship Id="rId72" Type="http://schemas.openxmlformats.org/officeDocument/2006/relationships/hyperlink" Target="https://www.raildir.gov.rs/doc/izvestaji/Izvestaj%20_o_regulisanju_trzista_zeleznickih_usluga_za_2021.pdf" TargetMode="External"/><Relationship Id="rId93" Type="http://schemas.openxmlformats.org/officeDocument/2006/relationships/hyperlink" Target="https://nbs.rs/sr_RS/drugi-nivo-navigacije/statistika/platni_bilans/" TargetMode="External"/><Relationship Id="rId98" Type="http://schemas.openxmlformats.org/officeDocument/2006/relationships/hyperlink" Target="https://nbs.rs/export/sites/NBS_site/documents/platni-sistem/statistika/el_novac/prihvatna_mreza.xlsx" TargetMode="External"/><Relationship Id="rId3" Type="http://schemas.openxmlformats.org/officeDocument/2006/relationships/hyperlink" Target="https://noks.azk.gov.rs/" TargetMode="External"/><Relationship Id="rId25" Type="http://schemas.openxmlformats.org/officeDocument/2006/relationships/hyperlink" Target="https://openknowledge.worldbank.org/handle/10986/36233" TargetMode="External"/><Relationship Id="rId46" Type="http://schemas.openxmlformats.org/officeDocument/2006/relationships/hyperlink" Target="https://publikacije.stat.gov.rs/G2022/Html/G20221184.html" TargetMode="External"/><Relationship Id="rId67" Type="http://schemas.openxmlformats.org/officeDocument/2006/relationships/hyperlink" Target="https://www.trademap.org/Bilateral_TS.aspx?nvpm=1%7c688%7c%7c%7c42%7cTOTAL%7c%7c%7c2%7c1%7c1%7c2%7c2%7c1%7c1%7c1%7c1%7c1" TargetMode="External"/><Relationship Id="rId116" Type="http://schemas.openxmlformats.org/officeDocument/2006/relationships/hyperlink" Target="https://www.rfzo.rs/index.php/davaocizdrusluga/ugovaranje-dzu" TargetMode="External"/><Relationship Id="rId20" Type="http://schemas.openxmlformats.org/officeDocument/2006/relationships/hyperlink" Target="https://naled.rs/htdocs/Files/08840/Izvestaj-o-realizaciji-mera-iz-Akcionog-plana-za-suzbijanje-sive-ekonomije-2019-2020.pdf" TargetMode="External"/><Relationship Id="rId41" Type="http://schemas.openxmlformats.org/officeDocument/2006/relationships/hyperlink" Target="https://www.mfin.gov.rs/dokumenti2/makroekonomski-i-fiskalni-podaci" TargetMode="External"/><Relationship Id="rId62" Type="http://schemas.openxmlformats.org/officeDocument/2006/relationships/hyperlink" Target="https://ec.europa.eu/eurostat/databrowser/view/rd_p_perslf/default/table?lang=en" TargetMode="External"/><Relationship Id="rId83" Type="http://schemas.openxmlformats.org/officeDocument/2006/relationships/hyperlink" Target="https://data.gov.rs/sr/datasets/rpg-broj-svikh-registrovanikh-poljoprivrednikh-gazdinstava-aktivna-gazdinstva/" TargetMode="External"/><Relationship Id="rId88" Type="http://schemas.openxmlformats.org/officeDocument/2006/relationships/hyperlink" Target="https://www.stat.gov.rs/oblasti/nacionalni-racuni/" TargetMode="External"/><Relationship Id="rId111" Type="http://schemas.openxmlformats.org/officeDocument/2006/relationships/hyperlink" Target="http://we2.cekos.com/ce/index.xhtml?&amp;file=f158478&amp;action=propis&amp;path=15847801.html&amp;domain=0&amp;mark=false&amp;queries=&amp;searchType=1&amp;regulationType=1&amp;domain=0&amp;myFavorites=false&amp;dateFrom=&amp;dateTo=&amp;groups=-%40--%40--%40--%40--%40-" TargetMode="External"/><Relationship Id="rId15" Type="http://schemas.openxmlformats.org/officeDocument/2006/relationships/hyperlink" Target="https://www.stat.gov.rs/media/5806/zim-u-rs-2020_webopt.pdf" TargetMode="External"/><Relationship Id="rId36" Type="http://schemas.openxmlformats.org/officeDocument/2006/relationships/hyperlink" Target="https://www.mre.gov.rs/aktuelnosti/saopstenja/mihajloviceva-regionalni-krizni-plan-i-strateske-rezerve-gasa-ce-doneti-stabilnost-srbiji-i-zemljama-regiona" TargetMode="External"/><Relationship Id="rId57" Type="http://schemas.openxmlformats.org/officeDocument/2006/relationships/hyperlink" Target="https://www.wipo.int/edocs/pubdocs/en/wipo-pub-2000-2022-en-main-report-global-innovation-index-2022-15th-edition.pdf" TargetMode="External"/><Relationship Id="rId106" Type="http://schemas.openxmlformats.org/officeDocument/2006/relationships/hyperlink" Target="https://databank.worldbank.org/source/health-nutrition-and-population-statistic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rade.ciric\Dropbox\Makro%20sektor\6.%20Fiskalna%202023-2025%20-%20revidirana\Makro%20radni%20fajlovi\GRAFIKONI_MAKRO_okt22.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embeddings/oleObject4.bin"/><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9.xml"/><Relationship Id="rId4" Type="http://schemas.openxmlformats.org/officeDocument/2006/relationships/oleObject" Target="../embeddings/oleObject6.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0.xml"/><Relationship Id="rId4" Type="http://schemas.openxmlformats.org/officeDocument/2006/relationships/oleObject" Target="../embeddings/oleObject7.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Oliver%20Mini&#263;\Desktop\REVIDIRANA%20STRATEGIJA%202023-2025\STRAT20233-2025.xlsx" TargetMode="Externa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rade.ciric\Dropbox\Makro%20sektor\6.%20Fiskalna%202023-2025%20-%20revidirana\Makro%20radni%20fajlovi\GRAFIKONI_MAKRO_okt2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rade.ciric\Dropbox\Makro%20sektor\6.%20Fiskalna%202023-2025%20-%20revidirana\Makro%20radni%20fajlovi\GRAFIKONI_MAKRO_okt22.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rade.ciric\Dropbox\Makro%20sektor\6.%20Fiskalna%202023-2025%20-%20revidirana\Makro%20radni%20fajlovi\GRAFIKONI_MAKRO_okt2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5.xml"/><Relationship Id="rId4" Type="http://schemas.openxmlformats.org/officeDocument/2006/relationships/oleObject" Target="../embeddings/oleObject3.bin"/></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7.0236607987885669E-2"/>
          <c:w val="0.90740810185185183"/>
          <c:h val="0.66834989589248528"/>
        </c:manualLayout>
      </c:layout>
      <c:barChart>
        <c:barDir val="col"/>
        <c:grouping val="stacked"/>
        <c:varyColors val="0"/>
        <c:ser>
          <c:idx val="0"/>
          <c:order val="0"/>
          <c:tx>
            <c:strRef>
              <c:f>BDP_doprinosi!$R$34</c:f>
              <c:strCache>
                <c:ptCount val="1"/>
                <c:pt idx="0">
                  <c:v>Пољопривреда</c:v>
                </c:pt>
              </c:strCache>
            </c:strRef>
          </c:tx>
          <c:spPr>
            <a:solidFill>
              <a:srgbClr val="10103C"/>
            </a:solidFill>
            <a:ln>
              <a:noFill/>
            </a:ln>
            <a:effectLst/>
          </c:spPr>
          <c:invertIfNegative val="0"/>
          <c:cat>
            <c:numRef>
              <c:f>BDP_doprinosi!$AD$33:$AJ$33</c:f>
              <c:numCache>
                <c:formatCode>General</c:formatCode>
                <c:ptCount val="7"/>
                <c:pt idx="0">
                  <c:v>2019</c:v>
                </c:pt>
                <c:pt idx="1">
                  <c:v>2020</c:v>
                </c:pt>
                <c:pt idx="2">
                  <c:v>2021</c:v>
                </c:pt>
                <c:pt idx="3">
                  <c:v>2022</c:v>
                </c:pt>
                <c:pt idx="4">
                  <c:v>2023</c:v>
                </c:pt>
                <c:pt idx="5">
                  <c:v>2024</c:v>
                </c:pt>
                <c:pt idx="6">
                  <c:v>2025</c:v>
                </c:pt>
              </c:numCache>
            </c:numRef>
          </c:cat>
          <c:val>
            <c:numRef>
              <c:f>BDP_doprinosi!$AD$34:$AJ$34</c:f>
              <c:numCache>
                <c:formatCode>0.0</c:formatCode>
                <c:ptCount val="7"/>
                <c:pt idx="0">
                  <c:v>-0.10470209248427834</c:v>
                </c:pt>
                <c:pt idx="1">
                  <c:v>0.13846930589060472</c:v>
                </c:pt>
                <c:pt idx="2">
                  <c:v>-0.35981922054501986</c:v>
                </c:pt>
                <c:pt idx="3">
                  <c:v>-0.49880518820586217</c:v>
                </c:pt>
                <c:pt idx="4">
                  <c:v>0.42987482300153451</c:v>
                </c:pt>
                <c:pt idx="5">
                  <c:v>5.6397571530813567E-2</c:v>
                </c:pt>
                <c:pt idx="6">
                  <c:v>0</c:v>
                </c:pt>
              </c:numCache>
            </c:numRef>
          </c:val>
          <c:extLst>
            <c:ext xmlns:c16="http://schemas.microsoft.com/office/drawing/2014/chart" uri="{C3380CC4-5D6E-409C-BE32-E72D297353CC}">
              <c16:uniqueId val="{00000000-8E0F-417C-849B-CF9D58FEF0C3}"/>
            </c:ext>
          </c:extLst>
        </c:ser>
        <c:ser>
          <c:idx val="1"/>
          <c:order val="1"/>
          <c:tx>
            <c:strRef>
              <c:f>BDP_doprinosi!$R$35</c:f>
              <c:strCache>
                <c:ptCount val="1"/>
                <c:pt idx="0">
                  <c:v>Индустрија</c:v>
                </c:pt>
              </c:strCache>
            </c:strRef>
          </c:tx>
          <c:spPr>
            <a:solidFill>
              <a:srgbClr val="29489A"/>
            </a:solidFill>
            <a:ln>
              <a:noFill/>
            </a:ln>
            <a:effectLst/>
          </c:spPr>
          <c:invertIfNegative val="0"/>
          <c:cat>
            <c:numRef>
              <c:f>BDP_doprinosi!$AD$33:$AJ$33</c:f>
              <c:numCache>
                <c:formatCode>General</c:formatCode>
                <c:ptCount val="7"/>
                <c:pt idx="0">
                  <c:v>2019</c:v>
                </c:pt>
                <c:pt idx="1">
                  <c:v>2020</c:v>
                </c:pt>
                <c:pt idx="2">
                  <c:v>2021</c:v>
                </c:pt>
                <c:pt idx="3">
                  <c:v>2022</c:v>
                </c:pt>
                <c:pt idx="4">
                  <c:v>2023</c:v>
                </c:pt>
                <c:pt idx="5">
                  <c:v>2024</c:v>
                </c:pt>
                <c:pt idx="6">
                  <c:v>2025</c:v>
                </c:pt>
              </c:numCache>
            </c:numRef>
          </c:cat>
          <c:val>
            <c:numRef>
              <c:f>BDP_doprinosi!$AD$35:$AJ$35</c:f>
              <c:numCache>
                <c:formatCode>0.0</c:formatCode>
                <c:ptCount val="7"/>
                <c:pt idx="0">
                  <c:v>6.9801261418422189E-2</c:v>
                </c:pt>
                <c:pt idx="1">
                  <c:v>0.10531089066734313</c:v>
                </c:pt>
                <c:pt idx="2">
                  <c:v>1.2275093003258419</c:v>
                </c:pt>
                <c:pt idx="3">
                  <c:v>0.26173740761554759</c:v>
                </c:pt>
                <c:pt idx="4">
                  <c:v>0.2214701141362326</c:v>
                </c:pt>
                <c:pt idx="5">
                  <c:v>0.72481128262767025</c:v>
                </c:pt>
                <c:pt idx="6">
                  <c:v>1.0872169239415055</c:v>
                </c:pt>
              </c:numCache>
            </c:numRef>
          </c:val>
          <c:extLst>
            <c:ext xmlns:c16="http://schemas.microsoft.com/office/drawing/2014/chart" uri="{C3380CC4-5D6E-409C-BE32-E72D297353CC}">
              <c16:uniqueId val="{00000001-8E0F-417C-849B-CF9D58FEF0C3}"/>
            </c:ext>
          </c:extLst>
        </c:ser>
        <c:ser>
          <c:idx val="2"/>
          <c:order val="2"/>
          <c:tx>
            <c:strRef>
              <c:f>BDP_doprinosi!$R$36</c:f>
              <c:strCache>
                <c:ptCount val="1"/>
                <c:pt idx="0">
                  <c:v>Грађевинарство</c:v>
                </c:pt>
              </c:strCache>
            </c:strRef>
          </c:tx>
          <c:spPr>
            <a:solidFill>
              <a:srgbClr val="2183C4"/>
            </a:solidFill>
            <a:ln>
              <a:noFill/>
            </a:ln>
            <a:effectLst/>
          </c:spPr>
          <c:invertIfNegative val="0"/>
          <c:cat>
            <c:numRef>
              <c:f>BDP_doprinosi!$AD$33:$AJ$33</c:f>
              <c:numCache>
                <c:formatCode>General</c:formatCode>
                <c:ptCount val="7"/>
                <c:pt idx="0">
                  <c:v>2019</c:v>
                </c:pt>
                <c:pt idx="1">
                  <c:v>2020</c:v>
                </c:pt>
                <c:pt idx="2">
                  <c:v>2021</c:v>
                </c:pt>
                <c:pt idx="3">
                  <c:v>2022</c:v>
                </c:pt>
                <c:pt idx="4">
                  <c:v>2023</c:v>
                </c:pt>
                <c:pt idx="5">
                  <c:v>2024</c:v>
                </c:pt>
                <c:pt idx="6">
                  <c:v>2025</c:v>
                </c:pt>
              </c:numCache>
            </c:numRef>
          </c:cat>
          <c:val>
            <c:numRef>
              <c:f>BDP_doprinosi!$AD$36:$AJ$36</c:f>
              <c:numCache>
                <c:formatCode>0.0</c:formatCode>
                <c:ptCount val="7"/>
                <c:pt idx="0">
                  <c:v>1.4979377183874178</c:v>
                </c:pt>
                <c:pt idx="1">
                  <c:v>-0.18747286212971456</c:v>
                </c:pt>
                <c:pt idx="2">
                  <c:v>0.95949612083414682</c:v>
                </c:pt>
                <c:pt idx="3">
                  <c:v>-0.47562673132683064</c:v>
                </c:pt>
                <c:pt idx="4">
                  <c:v>4.7015975740353377E-2</c:v>
                </c:pt>
                <c:pt idx="5">
                  <c:v>0.28428264401143905</c:v>
                </c:pt>
                <c:pt idx="6">
                  <c:v>0.32255146147451735</c:v>
                </c:pt>
              </c:numCache>
            </c:numRef>
          </c:val>
          <c:extLst>
            <c:ext xmlns:c16="http://schemas.microsoft.com/office/drawing/2014/chart" uri="{C3380CC4-5D6E-409C-BE32-E72D297353CC}">
              <c16:uniqueId val="{00000002-8E0F-417C-849B-CF9D58FEF0C3}"/>
            </c:ext>
          </c:extLst>
        </c:ser>
        <c:ser>
          <c:idx val="3"/>
          <c:order val="3"/>
          <c:tx>
            <c:strRef>
              <c:f>BDP_doprinosi!$R$37</c:f>
              <c:strCache>
                <c:ptCount val="1"/>
                <c:pt idx="0">
                  <c:v>Услуге</c:v>
                </c:pt>
              </c:strCache>
            </c:strRef>
          </c:tx>
          <c:spPr>
            <a:solidFill>
              <a:srgbClr val="51BBE7"/>
            </a:solidFill>
            <a:ln>
              <a:noFill/>
            </a:ln>
            <a:effectLst/>
          </c:spPr>
          <c:invertIfNegative val="0"/>
          <c:cat>
            <c:numRef>
              <c:f>BDP_doprinosi!$AD$33:$AJ$33</c:f>
              <c:numCache>
                <c:formatCode>General</c:formatCode>
                <c:ptCount val="7"/>
                <c:pt idx="0">
                  <c:v>2019</c:v>
                </c:pt>
                <c:pt idx="1">
                  <c:v>2020</c:v>
                </c:pt>
                <c:pt idx="2">
                  <c:v>2021</c:v>
                </c:pt>
                <c:pt idx="3">
                  <c:v>2022</c:v>
                </c:pt>
                <c:pt idx="4">
                  <c:v>2023</c:v>
                </c:pt>
                <c:pt idx="5">
                  <c:v>2024</c:v>
                </c:pt>
                <c:pt idx="6">
                  <c:v>2025</c:v>
                </c:pt>
              </c:numCache>
            </c:numRef>
          </c:cat>
          <c:val>
            <c:numRef>
              <c:f>BDP_doprinosi!$AD$37:$AJ$37</c:f>
              <c:numCache>
                <c:formatCode>0.0</c:formatCode>
                <c:ptCount val="7"/>
                <c:pt idx="0">
                  <c:v>2.1454399811146474</c:v>
                </c:pt>
                <c:pt idx="1">
                  <c:v>-0.55831851090570617</c:v>
                </c:pt>
                <c:pt idx="2">
                  <c:v>4.3280932880471479</c:v>
                </c:pt>
                <c:pt idx="3">
                  <c:v>2.4453014122979142</c:v>
                </c:pt>
                <c:pt idx="4">
                  <c:v>1.3245382649947037</c:v>
                </c:pt>
                <c:pt idx="5">
                  <c:v>1.9358636180691819</c:v>
                </c:pt>
                <c:pt idx="6">
                  <c:v>2.0377511769149286</c:v>
                </c:pt>
              </c:numCache>
            </c:numRef>
          </c:val>
          <c:extLst>
            <c:ext xmlns:c16="http://schemas.microsoft.com/office/drawing/2014/chart" uri="{C3380CC4-5D6E-409C-BE32-E72D297353CC}">
              <c16:uniqueId val="{00000003-8E0F-417C-849B-CF9D58FEF0C3}"/>
            </c:ext>
          </c:extLst>
        </c:ser>
        <c:ser>
          <c:idx val="4"/>
          <c:order val="4"/>
          <c:tx>
            <c:strRef>
              <c:f>BDP_doprinosi!$R$38</c:f>
              <c:strCache>
                <c:ptCount val="1"/>
                <c:pt idx="0">
                  <c:v>Нето порези</c:v>
                </c:pt>
              </c:strCache>
            </c:strRef>
          </c:tx>
          <c:spPr>
            <a:solidFill>
              <a:srgbClr val="9ED1E6"/>
            </a:solidFill>
            <a:ln>
              <a:noFill/>
            </a:ln>
            <a:effectLst/>
          </c:spPr>
          <c:invertIfNegative val="0"/>
          <c:cat>
            <c:numRef>
              <c:f>BDP_doprinosi!$AD$33:$AJ$33</c:f>
              <c:numCache>
                <c:formatCode>General</c:formatCode>
                <c:ptCount val="7"/>
                <c:pt idx="0">
                  <c:v>2019</c:v>
                </c:pt>
                <c:pt idx="1">
                  <c:v>2020</c:v>
                </c:pt>
                <c:pt idx="2">
                  <c:v>2021</c:v>
                </c:pt>
                <c:pt idx="3">
                  <c:v>2022</c:v>
                </c:pt>
                <c:pt idx="4">
                  <c:v>2023</c:v>
                </c:pt>
                <c:pt idx="5">
                  <c:v>2024</c:v>
                </c:pt>
                <c:pt idx="6">
                  <c:v>2025</c:v>
                </c:pt>
              </c:numCache>
            </c:numRef>
          </c:cat>
          <c:val>
            <c:numRef>
              <c:f>BDP_doprinosi!$AD$38:$AJ$38</c:f>
              <c:numCache>
                <c:formatCode>0.0</c:formatCode>
                <c:ptCount val="7"/>
                <c:pt idx="0">
                  <c:v>0.72325958742025398</c:v>
                </c:pt>
                <c:pt idx="1">
                  <c:v>-0.40120981552537566</c:v>
                </c:pt>
                <c:pt idx="2">
                  <c:v>1.3946292139779448</c:v>
                </c:pt>
                <c:pt idx="3">
                  <c:v>0.79070334156110433</c:v>
                </c:pt>
                <c:pt idx="4">
                  <c:v>0.51567609232245937</c:v>
                </c:pt>
                <c:pt idx="5">
                  <c:v>0.50880041109149321</c:v>
                </c:pt>
                <c:pt idx="6">
                  <c:v>0.51567609232245937</c:v>
                </c:pt>
              </c:numCache>
            </c:numRef>
          </c:val>
          <c:extLst>
            <c:ext xmlns:c16="http://schemas.microsoft.com/office/drawing/2014/chart" uri="{C3380CC4-5D6E-409C-BE32-E72D297353CC}">
              <c16:uniqueId val="{00000004-8E0F-417C-849B-CF9D58FEF0C3}"/>
            </c:ext>
          </c:extLst>
        </c:ser>
        <c:dLbls>
          <c:showLegendKey val="0"/>
          <c:showVal val="0"/>
          <c:showCatName val="0"/>
          <c:showSerName val="0"/>
          <c:showPercent val="0"/>
          <c:showBubbleSize val="0"/>
        </c:dLbls>
        <c:gapWidth val="60"/>
        <c:overlap val="100"/>
        <c:axId val="388072416"/>
        <c:axId val="388101792"/>
      </c:barChart>
      <c:lineChart>
        <c:grouping val="standard"/>
        <c:varyColors val="0"/>
        <c:ser>
          <c:idx val="5"/>
          <c:order val="5"/>
          <c:tx>
            <c:strRef>
              <c:f>BDP_doprinosi!$R$39</c:f>
              <c:strCache>
                <c:ptCount val="1"/>
                <c:pt idx="0">
                  <c:v>Реални раст БДП</c:v>
                </c:pt>
              </c:strCache>
            </c:strRef>
          </c:tx>
          <c:spPr>
            <a:ln w="25400" cap="rnd">
              <a:solidFill>
                <a:srgbClr val="FF0000"/>
              </a:solidFill>
              <a:round/>
            </a:ln>
            <a:effectLst/>
          </c:spPr>
          <c:marker>
            <c:symbol val="none"/>
          </c:marker>
          <c:dLbls>
            <c:dLbl>
              <c:idx val="1"/>
              <c:layout>
                <c:manualLayout>
                  <c:x val="-6.6898148148148151E-2"/>
                  <c:y val="5.1549782320651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0F-417C-849B-CF9D58FEF0C3}"/>
                </c:ext>
              </c:extLst>
            </c:dLbl>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BDP_doprinosi!$AD$33:$AJ$33</c:f>
              <c:numCache>
                <c:formatCode>General</c:formatCode>
                <c:ptCount val="7"/>
                <c:pt idx="0">
                  <c:v>2019</c:v>
                </c:pt>
                <c:pt idx="1">
                  <c:v>2020</c:v>
                </c:pt>
                <c:pt idx="2">
                  <c:v>2021</c:v>
                </c:pt>
                <c:pt idx="3">
                  <c:v>2022</c:v>
                </c:pt>
                <c:pt idx="4">
                  <c:v>2023</c:v>
                </c:pt>
                <c:pt idx="5">
                  <c:v>2024</c:v>
                </c:pt>
                <c:pt idx="6">
                  <c:v>2025</c:v>
                </c:pt>
              </c:numCache>
            </c:numRef>
          </c:cat>
          <c:val>
            <c:numRef>
              <c:f>BDP_doprinosi!$AD$39:$AJ$39</c:f>
              <c:numCache>
                <c:formatCode>0.0</c:formatCode>
                <c:ptCount val="7"/>
                <c:pt idx="0">
                  <c:v>4.3317364558564329</c:v>
                </c:pt>
                <c:pt idx="1">
                  <c:v>-0.9032209920028561</c:v>
                </c:pt>
                <c:pt idx="2">
                  <c:v>7.5499087026400789</c:v>
                </c:pt>
                <c:pt idx="3">
                  <c:v>2.5233102419418731</c:v>
                </c:pt>
                <c:pt idx="4">
                  <c:v>2.5385752701952837</c:v>
                </c:pt>
                <c:pt idx="5">
                  <c:v>3.510155527330598</c:v>
                </c:pt>
                <c:pt idx="6">
                  <c:v>3.9631956546534108</c:v>
                </c:pt>
              </c:numCache>
            </c:numRef>
          </c:val>
          <c:smooth val="0"/>
          <c:extLst>
            <c:ext xmlns:c16="http://schemas.microsoft.com/office/drawing/2014/chart" uri="{C3380CC4-5D6E-409C-BE32-E72D297353CC}">
              <c16:uniqueId val="{00000006-8E0F-417C-849B-CF9D58FEF0C3}"/>
            </c:ext>
          </c:extLst>
        </c:ser>
        <c:dLbls>
          <c:showLegendKey val="0"/>
          <c:showVal val="0"/>
          <c:showCatName val="0"/>
          <c:showSerName val="0"/>
          <c:showPercent val="0"/>
          <c:showBubbleSize val="0"/>
        </c:dLbls>
        <c:marker val="1"/>
        <c:smooth val="0"/>
        <c:axId val="388072416"/>
        <c:axId val="388101792"/>
      </c:lineChart>
      <c:catAx>
        <c:axId val="388072416"/>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8101792"/>
        <c:crosses val="autoZero"/>
        <c:auto val="1"/>
        <c:lblAlgn val="ctr"/>
        <c:lblOffset val="100"/>
        <c:noMultiLvlLbl val="0"/>
      </c:catAx>
      <c:valAx>
        <c:axId val="388101792"/>
        <c:scaling>
          <c:orientation val="minMax"/>
          <c:max val="8"/>
          <c:min val="-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8072416"/>
        <c:crosses val="autoZero"/>
        <c:crossBetween val="between"/>
        <c:majorUnit val="2"/>
      </c:valAx>
      <c:spPr>
        <a:noFill/>
        <a:ln>
          <a:noFill/>
        </a:ln>
        <a:effectLst/>
      </c:spPr>
    </c:plotArea>
    <c:legend>
      <c:legendPos val="b"/>
      <c:layout>
        <c:manualLayout>
          <c:xMode val="edge"/>
          <c:yMode val="edge"/>
          <c:x val="2.9349664625255175E-2"/>
          <c:y val="0.84945769449176611"/>
          <c:w val="0.93586103820355804"/>
          <c:h val="0.1475728752602688"/>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chemeClr val="tx2"/>
          </a:solidFill>
          <a:latin typeface="+mn-lt"/>
          <a:cs typeface="Arial" panose="020B0604020202020204" pitchFamily="34" charset="0"/>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180330399876492E-2"/>
          <c:y val="9.3585301837270346E-2"/>
          <c:w val="0.86085801063022016"/>
          <c:h val="0.64617420496856492"/>
        </c:manualLayout>
      </c:layout>
      <c:barChart>
        <c:barDir val="col"/>
        <c:grouping val="clustered"/>
        <c:varyColors val="0"/>
        <c:ser>
          <c:idx val="0"/>
          <c:order val="0"/>
          <c:tx>
            <c:strRef>
              <c:f>'мемо 2011-2016'!$D$50</c:f>
              <c:strCache>
                <c:ptCount val="1"/>
                <c:pt idx="0">
                  <c:v>дуг</c:v>
                </c:pt>
              </c:strCache>
            </c:strRef>
          </c:tx>
          <c:spPr>
            <a:solidFill>
              <a:schemeClr val="tx2"/>
            </a:solidFill>
          </c:spPr>
          <c:invertIfNegative val="0"/>
          <c:dLbls>
            <c:numFmt formatCode="#,##0.0" sourceLinked="0"/>
            <c:spPr>
              <a:noFill/>
              <a:ln>
                <a:noFill/>
              </a:ln>
              <a:effectLst/>
            </c:spPr>
            <c:txPr>
              <a:bodyPr/>
              <a:lstStyle/>
              <a:p>
                <a:pPr>
                  <a:defRPr sz="800" b="0" baseline="0">
                    <a:solidFill>
                      <a:schemeClr val="bg1"/>
                    </a:solidFill>
                    <a:latin typeface="Times New Roman" panose="02020603050405020304" pitchFamily="18" charset="0"/>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2011-2016'!$J$48:$T$48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'мемо 2011-2016'!$J$50:$T$50</c:f>
              <c:numCache>
                <c:formatCode>#,##0.0</c:formatCode>
                <c:ptCount val="11"/>
                <c:pt idx="0">
                  <c:v>71.199826125969352</c:v>
                </c:pt>
                <c:pt idx="1">
                  <c:v>68.7</c:v>
                </c:pt>
                <c:pt idx="2">
                  <c:v>58.6</c:v>
                </c:pt>
                <c:pt idx="3" formatCode="0.0">
                  <c:v>54.353090578805471</c:v>
                </c:pt>
                <c:pt idx="4" formatCode="General">
                  <c:v>52.8</c:v>
                </c:pt>
                <c:pt idx="5" formatCode="General">
                  <c:v>57.8</c:v>
                </c:pt>
                <c:pt idx="6" formatCode="General">
                  <c:v>57.1</c:v>
                </c:pt>
                <c:pt idx="7" formatCode="General">
                  <c:v>56.9</c:v>
                </c:pt>
                <c:pt idx="8" formatCode="General">
                  <c:v>56.1</c:v>
                </c:pt>
                <c:pt idx="9" formatCode="General">
                  <c:v>55.1</c:v>
                </c:pt>
                <c:pt idx="10" formatCode="General">
                  <c:v>54</c:v>
                </c:pt>
              </c:numCache>
            </c:numRef>
          </c:val>
          <c:extLst>
            <c:ext xmlns:c16="http://schemas.microsoft.com/office/drawing/2014/chart" uri="{C3380CC4-5D6E-409C-BE32-E72D297353CC}">
              <c16:uniqueId val="{00000000-8C98-44C8-9FE7-59087D2785F7}"/>
            </c:ext>
          </c:extLst>
        </c:ser>
        <c:dLbls>
          <c:showLegendKey val="0"/>
          <c:showVal val="0"/>
          <c:showCatName val="0"/>
          <c:showSerName val="0"/>
          <c:showPercent val="0"/>
          <c:showBubbleSize val="0"/>
        </c:dLbls>
        <c:gapWidth val="35"/>
        <c:overlap val="78"/>
        <c:axId val="42919504"/>
        <c:axId val="42920048"/>
      </c:barChart>
      <c:lineChart>
        <c:grouping val="standard"/>
        <c:varyColors val="0"/>
        <c:ser>
          <c:idx val="2"/>
          <c:order val="1"/>
          <c:tx>
            <c:strRef>
              <c:f>'мемо 2011-2016'!$D$49</c:f>
              <c:strCache>
                <c:ptCount val="1"/>
                <c:pt idx="0">
                  <c:v>резултат (десна скала)</c:v>
                </c:pt>
              </c:strCache>
            </c:strRef>
          </c:tx>
          <c:spPr>
            <a:ln>
              <a:solidFill>
                <a:srgbClr val="FF0000"/>
              </a:solidFill>
            </a:ln>
          </c:spPr>
          <c:marker>
            <c:symbol val="none"/>
          </c:marker>
          <c:dLbls>
            <c:dLbl>
              <c:idx val="0"/>
              <c:spPr>
                <a:noFill/>
                <a:ln>
                  <a:noFill/>
                </a:ln>
                <a:effectLst/>
              </c:spPr>
              <c:txPr>
                <a:bodyPr wrap="square" lIns="38100" tIns="19050" rIns="38100" bIns="19050" anchor="ctr">
                  <a:spAutoFit/>
                </a:bodyPr>
                <a:lstStyle/>
                <a:p>
                  <a:pPr>
                    <a:defRPr sz="800">
                      <a:solidFill>
                        <a:schemeClr val="bg1"/>
                      </a:solidFill>
                      <a:latin typeface="Times New Roman" panose="02020603050405020304" pitchFamily="18" charset="0"/>
                      <a:cs typeface="Times New Roman" panose="02020603050405020304" pitchFamily="18"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0672-4A74-B563-1B0212DA9E1C}"/>
                </c:ext>
              </c:extLst>
            </c:dLbl>
            <c:dLbl>
              <c:idx val="1"/>
              <c:layout>
                <c:manualLayout>
                  <c:x val="3.4603149606299212E-2"/>
                  <c:y val="1.2403100775193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98-44C8-9FE7-59087D2785F7}"/>
                </c:ext>
              </c:extLst>
            </c:dLbl>
            <c:dLbl>
              <c:idx val="5"/>
              <c:layout>
                <c:manualLayout>
                  <c:x val="-0.11904761904761904"/>
                  <c:y val="-2.4806201550387597E-2"/>
                </c:manualLayout>
              </c:layout>
              <c:spPr>
                <a:noFill/>
                <a:ln>
                  <a:noFill/>
                </a:ln>
                <a:effectLst/>
              </c:spPr>
              <c:txPr>
                <a:bodyPr wrap="square" lIns="38100" tIns="19050" rIns="38100" bIns="19050" anchor="ctr">
                  <a:spAutoFit/>
                </a:bodyPr>
                <a:lstStyle/>
                <a:p>
                  <a:pPr>
                    <a:defRPr sz="800">
                      <a:solidFill>
                        <a:schemeClr val="bg1"/>
                      </a:solidFill>
                      <a:latin typeface="Times New Roman" panose="02020603050405020304" pitchFamily="18" charset="0"/>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98-44C8-9FE7-59087D2785F7}"/>
                </c:ext>
              </c:extLst>
            </c:dLbl>
            <c:dLbl>
              <c:idx val="8"/>
              <c:layout>
                <c:manualLayout>
                  <c:x val="-7.0428571428571521E-2"/>
                  <c:y val="5.50853933955929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98-44C8-9FE7-59087D2785F7}"/>
                </c:ext>
              </c:extLst>
            </c:dLbl>
            <c:dLbl>
              <c:idx val="9"/>
              <c:layout>
                <c:manualLayout>
                  <c:x val="-7.0428571428571521E-2"/>
                  <c:y val="6.1286943783189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98-44C8-9FE7-59087D2785F7}"/>
                </c:ext>
              </c:extLst>
            </c:dLbl>
            <c:dLbl>
              <c:idx val="10"/>
              <c:layout>
                <c:manualLayout>
                  <c:x val="-7.0428571428571424E-2"/>
                  <c:y val="6.12869437831898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98-44C8-9FE7-59087D2785F7}"/>
                </c:ext>
              </c:extLst>
            </c:dLbl>
            <c:spPr>
              <a:noFill/>
              <a:ln>
                <a:noFill/>
              </a:ln>
              <a:effectLst/>
            </c:spPr>
            <c:txPr>
              <a:bodyPr wrap="square" lIns="38100" tIns="19050" rIns="38100" bIns="19050" anchor="ctr">
                <a:spAutoFit/>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'мемо 2011-2016'!$J$49:$T$49</c:f>
              <c:numCache>
                <c:formatCode>#,##0.0</c:formatCode>
                <c:ptCount val="11"/>
                <c:pt idx="0">
                  <c:v>-3.4574923786243579</c:v>
                </c:pt>
                <c:pt idx="1">
                  <c:v>-1.1977763417297731</c:v>
                </c:pt>
                <c:pt idx="2">
                  <c:v>1.099509271415023</c:v>
                </c:pt>
                <c:pt idx="3" formatCode="0.0">
                  <c:v>0.63691314414627054</c:v>
                </c:pt>
                <c:pt idx="4">
                  <c:v>-0.2</c:v>
                </c:pt>
                <c:pt idx="5">
                  <c:v>-8</c:v>
                </c:pt>
                <c:pt idx="6">
                  <c:v>-4.0999999999999996</c:v>
                </c:pt>
                <c:pt idx="7">
                  <c:v>-3.8</c:v>
                </c:pt>
                <c:pt idx="8" formatCode="General">
                  <c:v>-3.3</c:v>
                </c:pt>
                <c:pt idx="9" formatCode="General">
                  <c:v>-2.2000000000000002</c:v>
                </c:pt>
                <c:pt idx="10" formatCode="General">
                  <c:v>-1.4</c:v>
                </c:pt>
              </c:numCache>
            </c:numRef>
          </c:val>
          <c:smooth val="1"/>
          <c:extLst>
            <c:ext xmlns:c16="http://schemas.microsoft.com/office/drawing/2014/chart" uri="{C3380CC4-5D6E-409C-BE32-E72D297353CC}">
              <c16:uniqueId val="{00000007-8C98-44C8-9FE7-59087D2785F7}"/>
            </c:ext>
          </c:extLst>
        </c:ser>
        <c:ser>
          <c:idx val="1"/>
          <c:order val="2"/>
          <c:tx>
            <c:strRef>
              <c:f>'мемо 2011-2016'!$D$51</c:f>
              <c:strCache>
                <c:ptCount val="1"/>
                <c:pt idx="0">
                  <c:v>баланс</c:v>
                </c:pt>
              </c:strCache>
            </c:strRef>
          </c:tx>
          <c:spPr>
            <a:ln w="22225">
              <a:solidFill>
                <a:schemeClr val="tx1"/>
              </a:solidFill>
            </a:ln>
          </c:spPr>
          <c:marker>
            <c:symbol val="none"/>
          </c:marker>
          <c:val>
            <c:numRef>
              <c:f>'мемо 2011-2016'!$J$51:$T$51</c:f>
              <c:numCache>
                <c:formatCode>#,##0.0</c:formatCode>
                <c:ptCount val="11"/>
                <c:pt idx="0">
                  <c:v>0</c:v>
                </c:pt>
                <c:pt idx="1">
                  <c:v>0</c:v>
                </c:pt>
                <c:pt idx="2">
                  <c:v>0</c:v>
                </c:pt>
                <c:pt idx="3">
                  <c:v>0</c:v>
                </c:pt>
                <c:pt idx="4">
                  <c:v>0</c:v>
                </c:pt>
                <c:pt idx="5">
                  <c:v>0</c:v>
                </c:pt>
                <c:pt idx="6">
                  <c:v>0</c:v>
                </c:pt>
                <c:pt idx="7">
                  <c:v>0</c:v>
                </c:pt>
                <c:pt idx="8" formatCode="General">
                  <c:v>0</c:v>
                </c:pt>
                <c:pt idx="9" formatCode="General">
                  <c:v>0</c:v>
                </c:pt>
                <c:pt idx="10" formatCode="General">
                  <c:v>0</c:v>
                </c:pt>
              </c:numCache>
            </c:numRef>
          </c:val>
          <c:smooth val="0"/>
          <c:extLst>
            <c:ext xmlns:c16="http://schemas.microsoft.com/office/drawing/2014/chart" uri="{C3380CC4-5D6E-409C-BE32-E72D297353CC}">
              <c16:uniqueId val="{00000008-8C98-44C8-9FE7-59087D2785F7}"/>
            </c:ext>
          </c:extLst>
        </c:ser>
        <c:dLbls>
          <c:showLegendKey val="0"/>
          <c:showVal val="0"/>
          <c:showCatName val="0"/>
          <c:showSerName val="0"/>
          <c:showPercent val="0"/>
          <c:showBubbleSize val="0"/>
        </c:dLbls>
        <c:marker val="1"/>
        <c:smooth val="0"/>
        <c:axId val="231167104"/>
        <c:axId val="42921680"/>
      </c:lineChart>
      <c:catAx>
        <c:axId val="42919504"/>
        <c:scaling>
          <c:orientation val="minMax"/>
        </c:scaling>
        <c:delete val="0"/>
        <c:axPos val="b"/>
        <c:numFmt formatCode="General" sourceLinked="1"/>
        <c:majorTickMark val="out"/>
        <c:minorTickMark val="none"/>
        <c:tickLblPos val="nextTo"/>
        <c:spPr>
          <a:ln>
            <a:noFill/>
          </a:ln>
        </c:spPr>
        <c:txPr>
          <a:bodyPr/>
          <a:lstStyle/>
          <a:p>
            <a:pPr>
              <a:defRPr sz="800" baseline="0">
                <a:solidFill>
                  <a:sysClr val="windowText" lastClr="000000"/>
                </a:solidFill>
                <a:latin typeface="Times New Roman" panose="02020603050405020304" pitchFamily="18" charset="0"/>
                <a:cs typeface="Times New Roman" panose="02020603050405020304" pitchFamily="18" charset="0"/>
              </a:defRPr>
            </a:pPr>
            <a:endParaRPr lang="en-US"/>
          </a:p>
        </c:txPr>
        <c:crossAx val="42920048"/>
        <c:crossesAt val="0"/>
        <c:auto val="1"/>
        <c:lblAlgn val="ctr"/>
        <c:lblOffset val="100"/>
        <c:noMultiLvlLbl val="0"/>
      </c:catAx>
      <c:valAx>
        <c:axId val="42920048"/>
        <c:scaling>
          <c:orientation val="minMax"/>
          <c:max val="80"/>
          <c:min val="40"/>
        </c:scaling>
        <c:delete val="0"/>
        <c:axPos val="l"/>
        <c:majorGridlines>
          <c:spPr>
            <a:ln>
              <a:noFill/>
            </a:ln>
          </c:spPr>
        </c:majorGridlines>
        <c:numFmt formatCode="#,##0" sourceLinked="0"/>
        <c:majorTickMark val="out"/>
        <c:minorTickMark val="none"/>
        <c:tickLblPos val="nextTo"/>
        <c:spPr>
          <a:ln>
            <a:noFill/>
          </a:ln>
        </c:spPr>
        <c:txPr>
          <a:bodyPr/>
          <a:lstStyle/>
          <a:p>
            <a:pPr>
              <a:defRPr sz="800" baseline="0">
                <a:solidFill>
                  <a:sysClr val="windowText" lastClr="000000"/>
                </a:solidFill>
                <a:latin typeface="Times New Roman" panose="02020603050405020304" pitchFamily="18" charset="0"/>
                <a:cs typeface="Times New Roman" panose="02020603050405020304" pitchFamily="18" charset="0"/>
              </a:defRPr>
            </a:pPr>
            <a:endParaRPr lang="en-US"/>
          </a:p>
        </c:txPr>
        <c:crossAx val="42919504"/>
        <c:crosses val="autoZero"/>
        <c:crossBetween val="between"/>
        <c:majorUnit val="5"/>
      </c:valAx>
      <c:valAx>
        <c:axId val="42921680"/>
        <c:scaling>
          <c:orientation val="minMax"/>
        </c:scaling>
        <c:delete val="0"/>
        <c:axPos val="r"/>
        <c:numFmt formatCode="#,##0" sourceLinked="0"/>
        <c:majorTickMark val="out"/>
        <c:minorTickMark val="none"/>
        <c:tickLblPos val="nextTo"/>
        <c:spPr>
          <a:ln>
            <a:noFill/>
          </a:ln>
        </c:spPr>
        <c:txPr>
          <a:bodyPr/>
          <a:lstStyle/>
          <a:p>
            <a:pPr>
              <a:defRPr sz="800" baseline="0">
                <a:solidFill>
                  <a:sysClr val="windowText" lastClr="000000"/>
                </a:solidFill>
                <a:latin typeface="Times New Roman" panose="02020603050405020304" pitchFamily="18" charset="0"/>
                <a:cs typeface="Times New Roman" panose="02020603050405020304" pitchFamily="18" charset="0"/>
              </a:defRPr>
            </a:pPr>
            <a:endParaRPr lang="en-US"/>
          </a:p>
        </c:txPr>
        <c:crossAx val="231167104"/>
        <c:crosses val="max"/>
        <c:crossBetween val="between"/>
      </c:valAx>
      <c:catAx>
        <c:axId val="231167104"/>
        <c:scaling>
          <c:orientation val="minMax"/>
        </c:scaling>
        <c:delete val="1"/>
        <c:axPos val="b"/>
        <c:majorTickMark val="out"/>
        <c:minorTickMark val="none"/>
        <c:tickLblPos val="nextTo"/>
        <c:crossAx val="42921680"/>
        <c:crosses val="autoZero"/>
        <c:auto val="1"/>
        <c:lblAlgn val="ctr"/>
        <c:lblOffset val="100"/>
        <c:noMultiLvlLbl val="0"/>
      </c:catAx>
      <c:spPr>
        <a:noFill/>
        <a:ln>
          <a:noFill/>
        </a:ln>
      </c:spPr>
    </c:plotArea>
    <c:legend>
      <c:legendPos val="b"/>
      <c:overlay val="0"/>
      <c:txPr>
        <a:bodyPr/>
        <a:lstStyle/>
        <a:p>
          <a:pPr>
            <a:defRPr sz="900" baseline="0">
              <a:solidFill>
                <a:sysClr val="windowText" lastClr="000000"/>
              </a:solidFill>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txPr>
    <a:bodyPr/>
    <a:lstStyle/>
    <a:p>
      <a:pPr algn="just">
        <a:defRPr sz="900" baseline="0">
          <a:latin typeface="Cambria Math" pitchFamily="18" charset="0"/>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8.5694913857576771E-2"/>
          <c:y val="0.12195169524878018"/>
          <c:w val="0.89742630688838176"/>
          <c:h val="0.72252618511373012"/>
        </c:manualLayout>
      </c:layout>
      <c:areaChart>
        <c:grouping val="stacked"/>
        <c:varyColors val="0"/>
        <c:ser>
          <c:idx val="2"/>
          <c:order val="2"/>
          <c:tx>
            <c:strRef>
              <c:f>'Grafikoni, CAB, Karakter'!$G$10</c:f>
              <c:strCache>
                <c:ptCount val="1"/>
                <c:pt idx="0">
                  <c:v>Производни јаз </c:v>
                </c:pt>
              </c:strCache>
            </c:strRef>
          </c:tx>
          <c:spPr>
            <a:solidFill>
              <a:srgbClr val="29489A"/>
            </a:solidFill>
            <a:ln w="9525" cap="rnd" cmpd="sng" algn="ctr">
              <a:solidFill>
                <a:srgbClr val="29489A"/>
              </a:solidFill>
              <a:prstDash val="solid"/>
              <a:round/>
            </a:ln>
            <a:effectLst/>
          </c:spPr>
          <c:cat>
            <c:numRef>
              <c:f>'Grafikoni, CAB, Karakter'!$F$11:$F$23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Karakter'!$G$11:$G$29,'Grafikoni, CAB, Karakter'!$G$30,'Grafikoni, CAB, Karakter'!$G$31)</c:f>
              <c:numCache>
                <c:formatCode>#,##0.0</c:formatCode>
                <c:ptCount val="21"/>
                <c:pt idx="0">
                  <c:v>3.4939700056136114E-2</c:v>
                </c:pt>
                <c:pt idx="1">
                  <c:v>-2.6737461957498145</c:v>
                </c:pt>
                <c:pt idx="2">
                  <c:v>0.76144962619904333</c:v>
                </c:pt>
                <c:pt idx="3">
                  <c:v>4.0495583627767351</c:v>
                </c:pt>
                <c:pt idx="4">
                  <c:v>-0.38543712835940225</c:v>
                </c:pt>
                <c:pt idx="5">
                  <c:v>-0.71613496525201303</c:v>
                </c:pt>
                <c:pt idx="6">
                  <c:v>0.51938165790308555</c:v>
                </c:pt>
                <c:pt idx="7">
                  <c:v>-0.84661749418884957</c:v>
                </c:pt>
                <c:pt idx="8">
                  <c:v>1.2225595734986152</c:v>
                </c:pt>
                <c:pt idx="9">
                  <c:v>-1.436775981412165</c:v>
                </c:pt>
                <c:pt idx="10">
                  <c:v>-1.1990135967667208</c:v>
                </c:pt>
                <c:pt idx="11">
                  <c:v>-5.1829638002909087E-2</c:v>
                </c:pt>
                <c:pt idx="12">
                  <c:v>-0.60546515518663058</c:v>
                </c:pt>
                <c:pt idx="13">
                  <c:v>0.79653635267688672</c:v>
                </c:pt>
                <c:pt idx="14">
                  <c:v>1.8635799194734897</c:v>
                </c:pt>
                <c:pt idx="15">
                  <c:v>-2.3760860359486364</c:v>
                </c:pt>
                <c:pt idx="16">
                  <c:v>1.2791705611337654</c:v>
                </c:pt>
                <c:pt idx="17">
                  <c:v>0.71711618700126611</c:v>
                </c:pt>
                <c:pt idx="18">
                  <c:v>-0.28866159545633352</c:v>
                </c:pt>
                <c:pt idx="19">
                  <c:v>-0.44961713699199723</c:v>
                </c:pt>
                <c:pt idx="20">
                  <c:v>-0.21821469901886664</c:v>
                </c:pt>
              </c:numCache>
            </c:numRef>
          </c:val>
          <c:extLst>
            <c:ext xmlns:c16="http://schemas.microsoft.com/office/drawing/2014/chart" uri="{C3380CC4-5D6E-409C-BE32-E72D297353CC}">
              <c16:uniqueId val="{00000000-ADDD-4373-8888-F4421E821439}"/>
            </c:ext>
          </c:extLst>
        </c:ser>
        <c:dLbls>
          <c:showLegendKey val="0"/>
          <c:showVal val="0"/>
          <c:showCatName val="0"/>
          <c:showSerName val="0"/>
          <c:showPercent val="0"/>
          <c:showBubbleSize val="0"/>
        </c:dLbls>
        <c:axId val="231172000"/>
        <c:axId val="231170912"/>
      </c:areaChart>
      <c:lineChart>
        <c:grouping val="standard"/>
        <c:varyColors val="0"/>
        <c:ser>
          <c:idx val="0"/>
          <c:order val="0"/>
          <c:tx>
            <c:strRef>
              <c:f>'Grafikoni, CAB, Karakter'!$H$10</c:f>
              <c:strCache>
                <c:ptCount val="1"/>
                <c:pt idx="0">
                  <c:v>Фискални 
биланс</c:v>
                </c:pt>
              </c:strCache>
            </c:strRef>
          </c:tx>
          <c:spPr>
            <a:ln w="25400" cap="rnd" cmpd="sng" algn="ctr">
              <a:solidFill>
                <a:schemeClr val="accent3">
                  <a:shade val="53000"/>
                  <a:shade val="95000"/>
                  <a:satMod val="105000"/>
                </a:schemeClr>
              </a:solidFill>
              <a:prstDash val="solid"/>
              <a:round/>
            </a:ln>
            <a:effectLst/>
          </c:spPr>
          <c:marker>
            <c:symbol val="none"/>
          </c:marker>
          <c:cat>
            <c:numRef>
              <c:f>('Grafikoni, CAB, Karakter'!$F$11:$F$29,'Grafikoni, CAB, Karakter'!$F$30,'Grafikoni, CAB, Karakter'!$F$31)</c:f>
              <c:numCache>
                <c:formatCode>General</c:formatCode>
                <c:ptCount val="21"/>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numCache>
            </c:numRef>
          </c:cat>
          <c:val>
            <c:numRef>
              <c:f>('Grafikoni, CAB, Karakter'!$H$11:$H$29,'Grafikoni, CAB, Karakter'!$H$30,'Grafikoni, CAB, Karakter'!$H$31)</c:f>
              <c:numCache>
                <c:formatCode>#,##0.0</c:formatCode>
                <c:ptCount val="21"/>
                <c:pt idx="0">
                  <c:v>1.1229513642911615</c:v>
                </c:pt>
                <c:pt idx="1">
                  <c:v>-1.4151456839897949</c:v>
                </c:pt>
                <c:pt idx="2">
                  <c:v>-1.7846058996685674</c:v>
                </c:pt>
                <c:pt idx="3">
                  <c:v>-2.4768975856092812</c:v>
                </c:pt>
                <c:pt idx="4">
                  <c:v>-4.1655024905891214</c:v>
                </c:pt>
                <c:pt idx="5">
                  <c:v>-4.3381740101726747</c:v>
                </c:pt>
                <c:pt idx="6">
                  <c:v>-4.5257988775356361</c:v>
                </c:pt>
                <c:pt idx="7">
                  <c:v>-6.4352841344073424</c:v>
                </c:pt>
                <c:pt idx="8">
                  <c:v>-5.1464767188637195</c:v>
                </c:pt>
                <c:pt idx="9">
                  <c:v>-6.2041437165115507</c:v>
                </c:pt>
                <c:pt idx="10">
                  <c:v>-3.4561672728767112</c:v>
                </c:pt>
                <c:pt idx="11">
                  <c:v>-1.1926941660681765</c:v>
                </c:pt>
                <c:pt idx="12">
                  <c:v>1.0986349345465762</c:v>
                </c:pt>
                <c:pt idx="13">
                  <c:v>0.63523655395945411</c:v>
                </c:pt>
                <c:pt idx="14">
                  <c:v>-0.20497664525511922</c:v>
                </c:pt>
                <c:pt idx="15">
                  <c:v>-8.0441635730355401</c:v>
                </c:pt>
                <c:pt idx="16">
                  <c:v>-4.0999999999999996</c:v>
                </c:pt>
                <c:pt idx="17">
                  <c:v>-3.8</c:v>
                </c:pt>
                <c:pt idx="18">
                  <c:v>-3.3</c:v>
                </c:pt>
                <c:pt idx="19">
                  <c:v>-2.2000000000000002</c:v>
                </c:pt>
                <c:pt idx="20">
                  <c:v>-1.4</c:v>
                </c:pt>
              </c:numCache>
            </c:numRef>
          </c:val>
          <c:smooth val="0"/>
          <c:extLst>
            <c:ext xmlns:c16="http://schemas.microsoft.com/office/drawing/2014/chart" uri="{C3380CC4-5D6E-409C-BE32-E72D297353CC}">
              <c16:uniqueId val="{00000001-ADDD-4373-8888-F4421E821439}"/>
            </c:ext>
          </c:extLst>
        </c:ser>
        <c:ser>
          <c:idx val="1"/>
          <c:order val="1"/>
          <c:tx>
            <c:strRef>
              <c:f>'Grafikoni, CAB, Karakter'!$K$10</c:f>
              <c:strCache>
                <c:ptCount val="1"/>
                <c:pt idx="0">
                  <c:v>Циклично 
прилагођени  фискални биланс</c:v>
                </c:pt>
              </c:strCache>
            </c:strRef>
          </c:tx>
          <c:spPr>
            <a:ln w="25400" cap="rnd" cmpd="sng" algn="ctr">
              <a:solidFill>
                <a:schemeClr val="tx1"/>
              </a:solidFill>
              <a:prstDash val="solid"/>
              <a:round/>
            </a:ln>
            <a:effectLst/>
          </c:spPr>
          <c:marker>
            <c:symbol val="none"/>
          </c:marker>
          <c:cat>
            <c:numRef>
              <c:f>('Grafikoni, CAB, Karakter'!$F$11:$F$29,'Grafikoni, CAB, Karakter'!$F$30,'Grafikoni, CAB, Karakter'!$F$31)</c:f>
              <c:numCache>
                <c:formatCode>General</c:formatCode>
                <c:ptCount val="21"/>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numCache>
            </c:numRef>
          </c:cat>
          <c:val>
            <c:numRef>
              <c:f>('Grafikoni, CAB, Karakter'!$K$11:$K$29,'Grafikoni, CAB, Karakter'!$K$30,'Grafikoni, CAB, Karakter'!$K$31)</c:f>
              <c:numCache>
                <c:formatCode>#,##0.0</c:formatCode>
                <c:ptCount val="21"/>
                <c:pt idx="0">
                  <c:v>1.110553570451444</c:v>
                </c:pt>
                <c:pt idx="1">
                  <c:v>-0.46640960264458897</c:v>
                </c:pt>
                <c:pt idx="2">
                  <c:v>-2.0547941230871558</c:v>
                </c:pt>
                <c:pt idx="3">
                  <c:v>-3.9138186136360584</c:v>
                </c:pt>
                <c:pt idx="4">
                  <c:v>-4.0287362891650931</c:v>
                </c:pt>
                <c:pt idx="5">
                  <c:v>-4.0840649695586135</c:v>
                </c:pt>
                <c:pt idx="6">
                  <c:v>-4.7100931533441761</c:v>
                </c:pt>
                <c:pt idx="7">
                  <c:v>-6.1348754549628168</c:v>
                </c:pt>
                <c:pt idx="8">
                  <c:v>-5.5802824334135508</c:v>
                </c:pt>
                <c:pt idx="9">
                  <c:v>-5.6943267351755109</c:v>
                </c:pt>
                <c:pt idx="10">
                  <c:v>-3.0307164716434736</c:v>
                </c:pt>
                <c:pt idx="11">
                  <c:v>-1.1743032478371995</c:v>
                </c:pt>
                <c:pt idx="12">
                  <c:v>1.3134745627939914</c:v>
                </c:pt>
                <c:pt idx="13">
                  <c:v>0.35259836672652334</c:v>
                </c:pt>
                <c:pt idx="14">
                  <c:v>-0.86623817893598143</c:v>
                </c:pt>
                <c:pt idx="15">
                  <c:v>-7.2010474394741824</c:v>
                </c:pt>
                <c:pt idx="16">
                  <c:v>-4.5538932182386365</c:v>
                </c:pt>
                <c:pt idx="17">
                  <c:v>-4.0544572114609405</c:v>
                </c:pt>
                <c:pt idx="18">
                  <c:v>-3.1975730488767291</c:v>
                </c:pt>
                <c:pt idx="19">
                  <c:v>-2.0404605488234036</c:v>
                </c:pt>
                <c:pt idx="20">
                  <c:v>-1.3225700035522536</c:v>
                </c:pt>
              </c:numCache>
            </c:numRef>
          </c:val>
          <c:smooth val="1"/>
          <c:extLst>
            <c:ext xmlns:c16="http://schemas.microsoft.com/office/drawing/2014/chart" uri="{C3380CC4-5D6E-409C-BE32-E72D297353CC}">
              <c16:uniqueId val="{00000002-ADDD-4373-8888-F4421E821439}"/>
            </c:ext>
          </c:extLst>
        </c:ser>
        <c:ser>
          <c:idx val="4"/>
          <c:order val="3"/>
          <c:tx>
            <c:strRef>
              <c:f>'Grafikoni, CAB, Karakter'!$N$10</c:f>
              <c:strCache>
                <c:ptCount val="1"/>
                <c:pt idx="0">
                  <c:v>Структурни примарни фискални биланс</c:v>
                </c:pt>
              </c:strCache>
            </c:strRef>
          </c:tx>
          <c:spPr>
            <a:ln w="25400" cap="rnd" cmpd="sng" algn="ctr">
              <a:solidFill>
                <a:srgbClr val="FF0000"/>
              </a:solidFill>
              <a:prstDash val="solid"/>
              <a:round/>
            </a:ln>
            <a:effectLst/>
          </c:spPr>
          <c:marker>
            <c:symbol val="none"/>
          </c:marker>
          <c:cat>
            <c:numRef>
              <c:f>('Grafikoni, CAB, Karakter'!$F$11:$F$29,'Grafikoni, CAB, Karakter'!$F$30,'Grafikoni, CAB, Karakter'!$F$31)</c:f>
              <c:numCache>
                <c:formatCode>General</c:formatCode>
                <c:ptCount val="21"/>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numCache>
            </c:numRef>
          </c:cat>
          <c:val>
            <c:numRef>
              <c:f>('Grafikoni, CAB, Karakter'!$N$11:$N$29,'Grafikoni, CAB, Karakter'!$N$30,'Grafikoni, CAB, Karakter'!$N$31)</c:f>
              <c:numCache>
                <c:formatCode>#,##0.0</c:formatCode>
                <c:ptCount val="21"/>
                <c:pt idx="0">
                  <c:v>2.2311622467225694</c:v>
                </c:pt>
                <c:pt idx="1">
                  <c:v>1.4736084198352599</c:v>
                </c:pt>
                <c:pt idx="2">
                  <c:v>-1.1725112848544537</c:v>
                </c:pt>
                <c:pt idx="3">
                  <c:v>-3.4329056835584044</c:v>
                </c:pt>
                <c:pt idx="4">
                  <c:v>-3.4932552726963686</c:v>
                </c:pt>
                <c:pt idx="5">
                  <c:v>-3.2444435260899414</c:v>
                </c:pt>
                <c:pt idx="6">
                  <c:v>-3.7665815726292906</c:v>
                </c:pt>
                <c:pt idx="7">
                  <c:v>-4.3801996816361237</c:v>
                </c:pt>
                <c:pt idx="8">
                  <c:v>-3.1172278679976011</c:v>
                </c:pt>
                <c:pt idx="9">
                  <c:v>-2.1599760228236335</c:v>
                </c:pt>
                <c:pt idx="10">
                  <c:v>0.78913265140650313</c:v>
                </c:pt>
                <c:pt idx="11">
                  <c:v>1.8002495358173582</c:v>
                </c:pt>
                <c:pt idx="12">
                  <c:v>3.7046736122520598</c:v>
                </c:pt>
                <c:pt idx="13">
                  <c:v>2.3170716492536387</c:v>
                </c:pt>
                <c:pt idx="14">
                  <c:v>0.9477646633756206</c:v>
                </c:pt>
                <c:pt idx="15">
                  <c:v>1.8489196056863451</c:v>
                </c:pt>
                <c:pt idx="16">
                  <c:v>1.2578191045531799</c:v>
                </c:pt>
                <c:pt idx="17">
                  <c:v>0.49902159693107073</c:v>
                </c:pt>
                <c:pt idx="18">
                  <c:v>0.22792943707360136</c:v>
                </c:pt>
                <c:pt idx="19">
                  <c:v>1.7354247844896115E-2</c:v>
                </c:pt>
                <c:pt idx="20">
                  <c:v>0.60297152217415773</c:v>
                </c:pt>
              </c:numCache>
            </c:numRef>
          </c:val>
          <c:smooth val="0"/>
          <c:extLst>
            <c:ext xmlns:c16="http://schemas.microsoft.com/office/drawing/2014/chart" uri="{C3380CC4-5D6E-409C-BE32-E72D297353CC}">
              <c16:uniqueId val="{00000003-ADDD-4373-8888-F4421E821439}"/>
            </c:ext>
          </c:extLst>
        </c:ser>
        <c:ser>
          <c:idx val="3"/>
          <c:order val="4"/>
          <c:tx>
            <c:strRef>
              <c:f>'Grafikoni, CAB, Karakter'!$M$10</c:f>
              <c:strCache>
                <c:ptCount val="1"/>
                <c:pt idx="0">
                  <c:v>Структурни  фискални биланс</c:v>
                </c:pt>
              </c:strCache>
            </c:strRef>
          </c:tx>
          <c:spPr>
            <a:ln w="28575" cap="rnd" cmpd="sng" algn="ctr">
              <a:solidFill>
                <a:schemeClr val="accent6"/>
              </a:solidFill>
              <a:prstDash val="solid"/>
              <a:round/>
            </a:ln>
            <a:effectLst/>
          </c:spPr>
          <c:marker>
            <c:symbol val="none"/>
          </c:marker>
          <c:cat>
            <c:numRef>
              <c:f>('Grafikoni, CAB, Karakter'!$F$11:$F$29,'Grafikoni, CAB, Karakter'!$F$30,'Grafikoni, CAB, Karakter'!$F$31)</c:f>
              <c:numCache>
                <c:formatCode>General</c:formatCode>
                <c:ptCount val="21"/>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numCache>
            </c:numRef>
          </c:cat>
          <c:val>
            <c:numRef>
              <c:f>('Grafikoni, CAB, Karakter'!$M$11:$M$29,'Grafikoni, CAB, Karakter'!$M$30,'Grafikoni, CAB, Karakter'!$M$31)</c:f>
              <c:numCache>
                <c:formatCode>#,##0.0</c:formatCode>
                <c:ptCount val="21"/>
                <c:pt idx="0">
                  <c:v>1.3271381895220509</c:v>
                </c:pt>
                <c:pt idx="1">
                  <c:v>0.2075824472504697</c:v>
                </c:pt>
                <c:pt idx="2">
                  <c:v>-1.7179597626963985</c:v>
                </c:pt>
                <c:pt idx="3">
                  <c:v>-3.9722690977912527</c:v>
                </c:pt>
                <c:pt idx="4">
                  <c:v>-4.1008169690953293</c:v>
                </c:pt>
                <c:pt idx="5">
                  <c:v>-4.2009671360246328</c:v>
                </c:pt>
                <c:pt idx="6">
                  <c:v>-4.9204873699870255</c:v>
                </c:pt>
                <c:pt idx="7">
                  <c:v>-6.0876320787466218</c:v>
                </c:pt>
                <c:pt idx="8">
                  <c:v>-5.3109434159037612</c:v>
                </c:pt>
                <c:pt idx="9">
                  <c:v>-4.8242491403998029</c:v>
                </c:pt>
                <c:pt idx="10">
                  <c:v>-2.1964214594349079</c:v>
                </c:pt>
                <c:pt idx="11">
                  <c:v>-1.0970097035353688</c:v>
                </c:pt>
                <c:pt idx="12">
                  <c:v>1.1685374782494489</c:v>
                </c:pt>
                <c:pt idx="13">
                  <c:v>0.20475487814176244</c:v>
                </c:pt>
                <c:pt idx="14">
                  <c:v>-1.0488326471351259</c:v>
                </c:pt>
                <c:pt idx="15">
                  <c:v>-0.15399752641323072</c:v>
                </c:pt>
                <c:pt idx="16">
                  <c:v>-0.47580638800299546</c:v>
                </c:pt>
                <c:pt idx="17">
                  <c:v>-1.1331711170227785</c:v>
                </c:pt>
                <c:pt idx="18">
                  <c:v>-1.5901164439746096</c:v>
                </c:pt>
                <c:pt idx="19">
                  <c:v>-2.0404605488234036</c:v>
                </c:pt>
                <c:pt idx="20">
                  <c:v>-1.3225700035522536</c:v>
                </c:pt>
              </c:numCache>
            </c:numRef>
          </c:val>
          <c:smooth val="0"/>
          <c:extLst>
            <c:ext xmlns:c16="http://schemas.microsoft.com/office/drawing/2014/chart" uri="{C3380CC4-5D6E-409C-BE32-E72D297353CC}">
              <c16:uniqueId val="{00000004-ADDD-4373-8888-F4421E821439}"/>
            </c:ext>
          </c:extLst>
        </c:ser>
        <c:dLbls>
          <c:showLegendKey val="0"/>
          <c:showVal val="0"/>
          <c:showCatName val="0"/>
          <c:showSerName val="0"/>
          <c:showPercent val="0"/>
          <c:showBubbleSize val="0"/>
        </c:dLbls>
        <c:marker val="1"/>
        <c:smooth val="0"/>
        <c:axId val="231172000"/>
        <c:axId val="231170912"/>
      </c:lineChart>
      <c:catAx>
        <c:axId val="231172000"/>
        <c:scaling>
          <c:orientation val="minMax"/>
        </c:scaling>
        <c:delete val="0"/>
        <c:axPos val="b"/>
        <c:majorGridlines>
          <c:spPr>
            <a:ln w="9525" cap="flat" cmpd="sng" algn="ctr">
              <a:no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1170912"/>
        <c:crosses val="autoZero"/>
        <c:auto val="1"/>
        <c:lblAlgn val="ctr"/>
        <c:lblOffset val="100"/>
        <c:noMultiLvlLbl val="0"/>
      </c:catAx>
      <c:valAx>
        <c:axId val="231170912"/>
        <c:scaling>
          <c:orientation val="minMax"/>
          <c:max val="5"/>
          <c:min val="-9"/>
        </c:scaling>
        <c:delete val="0"/>
        <c:axPos val="l"/>
        <c:majorGridlines>
          <c:spPr>
            <a:ln w="9525" cap="flat" cmpd="sng" algn="ctr">
              <a:noFill/>
              <a:prstDash val="sysDot"/>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800" b="0">
                    <a:solidFill>
                      <a:sysClr val="windowText" lastClr="000000"/>
                    </a:solidFill>
                    <a:latin typeface="Times New Roman" panose="02020603050405020304" pitchFamily="18" charset="0"/>
                    <a:cs typeface="Times New Roman" panose="02020603050405020304" pitchFamily="18" charset="0"/>
                  </a:rPr>
                  <a:t>% БДП</a:t>
                </a:r>
              </a:p>
            </c:rich>
          </c:tx>
          <c:layout>
            <c:manualLayout>
              <c:xMode val="edge"/>
              <c:yMode val="edge"/>
              <c:x val="0.10894497616764057"/>
              <c:y val="9.467553304953491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1172000"/>
        <c:crosses val="autoZero"/>
        <c:crossBetween val="between"/>
      </c:valAx>
      <c:spPr>
        <a:noFill/>
        <a:ln>
          <a:noFill/>
        </a:ln>
        <a:effectLst/>
      </c:spPr>
    </c:plotArea>
    <c:legend>
      <c:legendPos val="r"/>
      <c:layout>
        <c:manualLayout>
          <c:xMode val="edge"/>
          <c:yMode val="edge"/>
          <c:x val="0.115363283416528"/>
          <c:y val="0.70210547924841726"/>
          <c:w val="0.78878317381364127"/>
          <c:h val="0.2739208917434916"/>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spcAft>
          <a:spcPts val="0"/>
        </a:spcAft>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18440989179343E-2"/>
          <c:y val="5.7086964129483823E-2"/>
          <c:w val="0.91635877205946437"/>
          <c:h val="0.82967423338395085"/>
        </c:manualLayout>
      </c:layout>
      <c:barChart>
        <c:barDir val="col"/>
        <c:grouping val="clustered"/>
        <c:varyColors val="0"/>
        <c:ser>
          <c:idx val="0"/>
          <c:order val="0"/>
          <c:tx>
            <c:strRef>
              <c:f>'Grafikoni, CAB, Karakter'!$O$10</c:f>
              <c:strCache>
                <c:ptCount val="1"/>
                <c:pt idx="0">
                  <c:v>Фискални импулс</c:v>
                </c:pt>
              </c:strCache>
            </c:strRef>
          </c:tx>
          <c:spPr>
            <a:solidFill>
              <a:srgbClr val="29489A"/>
            </a:solidFill>
            <a:ln w="9525" cap="flat" cmpd="sng" algn="ctr">
              <a:solidFill>
                <a:schemeClr val="accent3">
                  <a:shade val="50000"/>
                  <a:shade val="95000"/>
                  <a:satMod val="105000"/>
                </a:schemeClr>
              </a:solidFill>
              <a:prstDash val="solid"/>
              <a:round/>
            </a:ln>
            <a:effectLst/>
          </c:spPr>
          <c:invertIfNegative val="0"/>
          <c:cat>
            <c:numRef>
              <c:f>'Grafikoni, CAB, Karakter'!$F$12:$F$31</c:f>
              <c:numCache>
                <c:formatCode>General</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('Grafikoni, CAB, Karakter'!$O$12:$O$29,'Grafikoni, CAB, Karakter'!$O$30,'Grafikoni, CAB, Karakter'!$O$31)</c:f>
              <c:numCache>
                <c:formatCode>#,##0.0</c:formatCode>
                <c:ptCount val="20"/>
                <c:pt idx="0">
                  <c:v>1.2149612577117612</c:v>
                </c:pt>
                <c:pt idx="1">
                  <c:v>2.3089620151854122</c:v>
                </c:pt>
                <c:pt idx="2">
                  <c:v>1.8651095541579992</c:v>
                </c:pt>
                <c:pt idx="3">
                  <c:v>4.671939336292219E-2</c:v>
                </c:pt>
                <c:pt idx="4">
                  <c:v>-0.29363323314221068</c:v>
                </c:pt>
                <c:pt idx="5">
                  <c:v>0.42864599636251954</c:v>
                </c:pt>
                <c:pt idx="6">
                  <c:v>0.87125570186587753</c:v>
                </c:pt>
                <c:pt idx="7">
                  <c:v>-1.0408761723449285</c:v>
                </c:pt>
                <c:pt idx="8">
                  <c:v>-0.35651326790804827</c:v>
                </c:pt>
                <c:pt idx="9">
                  <c:v>-2.9848912567972792</c:v>
                </c:pt>
                <c:pt idx="10">
                  <c:v>-1.7681183523175903</c:v>
                </c:pt>
                <c:pt idx="11">
                  <c:v>-2.1266547052810747</c:v>
                </c:pt>
                <c:pt idx="12">
                  <c:v>1.3846955589582026</c:v>
                </c:pt>
                <c:pt idx="13">
                  <c:v>1.3345560062636346</c:v>
                </c:pt>
                <c:pt idx="14">
                  <c:v>6.3284894389493722</c:v>
                </c:pt>
                <c:pt idx="15">
                  <c:v>-2.3778625816921455</c:v>
                </c:pt>
                <c:pt idx="16">
                  <c:v>-0.39800322817536982</c:v>
                </c:pt>
                <c:pt idx="17">
                  <c:v>-1.0427373296785731</c:v>
                </c:pt>
                <c:pt idx="18">
                  <c:v>-1.3968814156734142</c:v>
                </c:pt>
                <c:pt idx="19">
                  <c:v>-0.58561727432926158</c:v>
                </c:pt>
              </c:numCache>
            </c:numRef>
          </c:val>
          <c:extLst>
            <c:ext xmlns:c16="http://schemas.microsoft.com/office/drawing/2014/chart" uri="{C3380CC4-5D6E-409C-BE32-E72D297353CC}">
              <c16:uniqueId val="{00000000-D6D8-4CB6-9D84-A4089B9A1801}"/>
            </c:ext>
          </c:extLst>
        </c:ser>
        <c:dLbls>
          <c:showLegendKey val="0"/>
          <c:showVal val="0"/>
          <c:showCatName val="0"/>
          <c:showSerName val="0"/>
          <c:showPercent val="0"/>
          <c:showBubbleSize val="0"/>
        </c:dLbls>
        <c:gapWidth val="41"/>
        <c:overlap val="-12"/>
        <c:axId val="231195936"/>
        <c:axId val="231184512"/>
      </c:barChart>
      <c:lineChart>
        <c:grouping val="standard"/>
        <c:varyColors val="0"/>
        <c:ser>
          <c:idx val="1"/>
          <c:order val="1"/>
          <c:tx>
            <c:strRef>
              <c:f>'Grafikoni, CAB, Karakter'!$G$10</c:f>
              <c:strCache>
                <c:ptCount val="1"/>
                <c:pt idx="0">
                  <c:v>Производни јаз </c:v>
                </c:pt>
              </c:strCache>
            </c:strRef>
          </c:tx>
          <c:spPr>
            <a:ln w="31750" cap="rnd" cmpd="sng" algn="ctr">
              <a:solidFill>
                <a:srgbClr val="FF0000"/>
              </a:solidFill>
              <a:prstDash val="solid"/>
              <a:round/>
            </a:ln>
            <a:effectLst/>
          </c:spPr>
          <c:marker>
            <c:symbol val="none"/>
          </c:marker>
          <c:cat>
            <c:numRef>
              <c:f>('Grafikoni, CAB, Karakter'!$F$12:$F$29,'Grafikoni, CAB, Karakter'!$F$30,'Grafikoni, CAB, Karakter'!$F$31)</c:f>
              <c:numCache>
                <c:formatCode>General</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('Grafikoni, CAB, Karakter'!$G$12:$G$29,'Grafikoni, CAB, Karakter'!$G$30,'Grafikoni, CAB, Karakter'!$G$31)</c:f>
              <c:numCache>
                <c:formatCode>#,##0.0</c:formatCode>
                <c:ptCount val="20"/>
                <c:pt idx="0">
                  <c:v>-2.6737461957498145</c:v>
                </c:pt>
                <c:pt idx="1">
                  <c:v>0.76144962619904333</c:v>
                </c:pt>
                <c:pt idx="2">
                  <c:v>4.0495583627767351</c:v>
                </c:pt>
                <c:pt idx="3">
                  <c:v>-0.38543712835940225</c:v>
                </c:pt>
                <c:pt idx="4">
                  <c:v>-0.71613496525201303</c:v>
                </c:pt>
                <c:pt idx="5">
                  <c:v>0.51938165790308555</c:v>
                </c:pt>
                <c:pt idx="6">
                  <c:v>-0.84661749418884957</c:v>
                </c:pt>
                <c:pt idx="7">
                  <c:v>1.2225595734986152</c:v>
                </c:pt>
                <c:pt idx="8">
                  <c:v>-1.436775981412165</c:v>
                </c:pt>
                <c:pt idx="9">
                  <c:v>-1.1990135967667208</c:v>
                </c:pt>
                <c:pt idx="10">
                  <c:v>-5.1829638002909087E-2</c:v>
                </c:pt>
                <c:pt idx="11">
                  <c:v>-0.60546515518663058</c:v>
                </c:pt>
                <c:pt idx="12">
                  <c:v>0.79653635267688672</c:v>
                </c:pt>
                <c:pt idx="13">
                  <c:v>1.8635799194734897</c:v>
                </c:pt>
                <c:pt idx="14">
                  <c:v>-2.3760860359486364</c:v>
                </c:pt>
                <c:pt idx="15">
                  <c:v>1.2791705611337654</c:v>
                </c:pt>
                <c:pt idx="16">
                  <c:v>0.71711618700126611</c:v>
                </c:pt>
                <c:pt idx="17">
                  <c:v>-0.28866159545633352</c:v>
                </c:pt>
                <c:pt idx="18">
                  <c:v>-0.44961713699199723</c:v>
                </c:pt>
                <c:pt idx="19">
                  <c:v>-0.21821469901886664</c:v>
                </c:pt>
              </c:numCache>
            </c:numRef>
          </c:val>
          <c:smooth val="1"/>
          <c:extLst>
            <c:ext xmlns:c16="http://schemas.microsoft.com/office/drawing/2014/chart" uri="{C3380CC4-5D6E-409C-BE32-E72D297353CC}">
              <c16:uniqueId val="{00000001-D6D8-4CB6-9D84-A4089B9A1801}"/>
            </c:ext>
          </c:extLst>
        </c:ser>
        <c:dLbls>
          <c:showLegendKey val="0"/>
          <c:showVal val="0"/>
          <c:showCatName val="0"/>
          <c:showSerName val="0"/>
          <c:showPercent val="0"/>
          <c:showBubbleSize val="0"/>
        </c:dLbls>
        <c:marker val="1"/>
        <c:smooth val="0"/>
        <c:axId val="231195936"/>
        <c:axId val="231184512"/>
      </c:lineChart>
      <c:catAx>
        <c:axId val="231195936"/>
        <c:scaling>
          <c:orientation val="minMax"/>
        </c:scaling>
        <c:delete val="0"/>
        <c:axPos val="b"/>
        <c:majorGridlines>
          <c:spPr>
            <a:ln w="9525" cap="flat" cmpd="sng" algn="ctr">
              <a:noFill/>
              <a:prstDash val="solid"/>
              <a:round/>
            </a:ln>
            <a:effectLst/>
          </c:spPr>
        </c:majorGridlines>
        <c:numFmt formatCode="General" sourceLinked="1"/>
        <c:majorTickMark val="out"/>
        <c:minorTickMark val="none"/>
        <c:tickLblPos val="low"/>
        <c:spPr>
          <a:noFill/>
          <a:ln w="6350" cap="flat" cmpd="sng" algn="ctr">
            <a:solidFill>
              <a:srgbClr val="898989"/>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1184512"/>
        <c:crosses val="autoZero"/>
        <c:auto val="1"/>
        <c:lblAlgn val="ctr"/>
        <c:lblOffset val="100"/>
        <c:noMultiLvlLbl val="0"/>
      </c:catAx>
      <c:valAx>
        <c:axId val="231184512"/>
        <c:scaling>
          <c:orientation val="minMax"/>
          <c:min val="-9"/>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900" b="0">
                    <a:solidFill>
                      <a:sysClr val="windowText" lastClr="000000"/>
                    </a:solidFill>
                    <a:latin typeface="Times New Roman" panose="02020603050405020304" pitchFamily="18" charset="0"/>
                    <a:cs typeface="Times New Roman" panose="02020603050405020304" pitchFamily="18" charset="0"/>
                  </a:rPr>
                  <a:t>% БДП</a:t>
                </a:r>
                <a:endParaRPr lang="en-US" sz="9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7.0870416442244386E-2"/>
              <c:y val="3.1947427026167187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3175" cap="flat" cmpd="sng" algn="ctr">
            <a:no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1195936"/>
        <c:crosses val="autoZero"/>
        <c:crossBetween val="between"/>
      </c:valAx>
      <c:spPr>
        <a:noFill/>
        <a:ln>
          <a:noFill/>
        </a:ln>
        <a:effectLst/>
      </c:spPr>
    </c:plotArea>
    <c:legend>
      <c:legendPos val="r"/>
      <c:layout>
        <c:manualLayout>
          <c:xMode val="edge"/>
          <c:yMode val="edge"/>
          <c:x val="0.10575935617028157"/>
          <c:y val="0.79813439513242668"/>
          <c:w val="0.795961068391148"/>
          <c:h val="8.1139147379304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baseline="0">
          <a:latin typeface="Cambria" pitchFamily="18" charset="0"/>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616161716296222E-2"/>
          <c:y val="4.9007480657224968E-2"/>
          <c:w val="0.93476377952755907"/>
          <c:h val="0.9174795514193721"/>
        </c:manualLayout>
      </c:layout>
      <c:scatterChart>
        <c:scatterStyle val="smoothMarker"/>
        <c:varyColors val="0"/>
        <c:ser>
          <c:idx val="1"/>
          <c:order val="0"/>
          <c:spPr>
            <a:ln w="19050" cap="rnd">
              <a:solidFill>
                <a:srgbClr val="FF0000"/>
              </a:solidFill>
              <a:round/>
            </a:ln>
            <a:effectLst>
              <a:outerShdw blurRad="40000" dist="23000" dir="5400000" rotWithShape="0">
                <a:srgbClr val="000000">
                  <a:alpha val="35000"/>
                </a:srgbClr>
              </a:outerShdw>
            </a:effectLst>
          </c:spPr>
          <c:marker>
            <c:symbol val="circle"/>
            <c:size val="6"/>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rnd">
                <a:solidFill>
                  <a:schemeClr val="accent4"/>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6.9381423218486976E-2"/>
                  <c:y val="-4.1527671341031656E-2"/>
                </c:manualLayout>
              </c:layout>
              <c:tx>
                <c:rich>
                  <a:bodyPr/>
                  <a:lstStyle/>
                  <a:p>
                    <a:r>
                      <a:rPr lang="en-US"/>
                      <a:t>2006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6A8-46C0-B5B6-DBC50A7499B7}"/>
                </c:ext>
              </c:extLst>
            </c:dLbl>
            <c:dLbl>
              <c:idx val="1"/>
              <c:layout>
                <c:manualLayout>
                  <c:x val="-0.11611879737689938"/>
                  <c:y val="-3.3977112860892437E-2"/>
                </c:manualLayout>
              </c:layout>
              <c:tx>
                <c:rich>
                  <a:bodyPr/>
                  <a:lstStyle/>
                  <a:p>
                    <a:r>
                      <a:rPr lang="en-US"/>
                      <a:t>2007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6A8-46C0-B5B6-DBC50A7499B7}"/>
                </c:ext>
              </c:extLst>
            </c:dLbl>
            <c:dLbl>
              <c:idx val="2"/>
              <c:layout>
                <c:manualLayout>
                  <c:x val="-5.0701809275048172E-2"/>
                  <c:y val="-6.3495592658862496E-2"/>
                </c:manualLayout>
              </c:layout>
              <c:tx>
                <c:rich>
                  <a:bodyPr/>
                  <a:lstStyle/>
                  <a:p>
                    <a:r>
                      <a:rPr lang="en-US"/>
                      <a:t>2008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6A8-46C0-B5B6-DBC50A7499B7}"/>
                </c:ext>
              </c:extLst>
            </c:dLbl>
            <c:dLbl>
              <c:idx val="3"/>
              <c:layout>
                <c:manualLayout>
                  <c:x val="-0.21547836620756852"/>
                  <c:y val="-5.6351147595912289E-2"/>
                </c:manualLayout>
              </c:layout>
              <c:tx>
                <c:rich>
                  <a:bodyPr/>
                  <a:lstStyle/>
                  <a:p>
                    <a:r>
                      <a:rPr lang="en-US"/>
                      <a:t>2009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6A8-46C0-B5B6-DBC50A7499B7}"/>
                </c:ext>
              </c:extLst>
            </c:dLbl>
            <c:dLbl>
              <c:idx val="4"/>
              <c:layout>
                <c:manualLayout>
                  <c:x val="-0.11474619993826693"/>
                  <c:y val="4.8635741754395737E-2"/>
                </c:manualLayout>
              </c:layout>
              <c:tx>
                <c:rich>
                  <a:bodyPr/>
                  <a:lstStyle/>
                  <a:p>
                    <a:r>
                      <a:rPr lang="en-US"/>
                      <a:t>2010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6A8-46C0-B5B6-DBC50A7499B7}"/>
                </c:ext>
              </c:extLst>
            </c:dLbl>
            <c:dLbl>
              <c:idx val="5"/>
              <c:layout>
                <c:manualLayout>
                  <c:x val="-1.9625027875429916E-2"/>
                  <c:y val="-5.1856797900262465E-2"/>
                </c:manualLayout>
              </c:layout>
              <c:tx>
                <c:rich>
                  <a:bodyPr/>
                  <a:lstStyle/>
                  <a:p>
                    <a:r>
                      <a:rPr lang="en-US"/>
                      <a:t>2011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6A8-46C0-B5B6-DBC50A7499B7}"/>
                </c:ext>
              </c:extLst>
            </c:dLbl>
            <c:dLbl>
              <c:idx val="6"/>
              <c:layout>
                <c:manualLayout>
                  <c:x val="-6.6712906940852856E-2"/>
                  <c:y val="-4.9078157039401084E-2"/>
                </c:manualLayout>
              </c:layout>
              <c:tx>
                <c:rich>
                  <a:bodyPr/>
                  <a:lstStyle/>
                  <a:p>
                    <a:r>
                      <a:rPr lang="en-US"/>
                      <a:t>2012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6A8-46C0-B5B6-DBC50A7499B7}"/>
                </c:ext>
              </c:extLst>
            </c:dLbl>
            <c:dLbl>
              <c:idx val="7"/>
              <c:layout>
                <c:manualLayout>
                  <c:x val="5.3370325552682292E-3"/>
                  <c:y val="2.6145244036002206E-2"/>
                </c:manualLayout>
              </c:layout>
              <c:tx>
                <c:rich>
                  <a:bodyPr/>
                  <a:lstStyle/>
                  <a:p>
                    <a:r>
                      <a:rPr lang="en-US"/>
                      <a:t>2013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6A8-46C0-B5B6-DBC50A7499B7}"/>
                </c:ext>
              </c:extLst>
            </c:dLbl>
            <c:dLbl>
              <c:idx val="8"/>
              <c:layout>
                <c:manualLayout>
                  <c:x val="-0.14745458797848288"/>
                  <c:y val="8.2034225721784773E-2"/>
                </c:manualLayout>
              </c:layout>
              <c:tx>
                <c:rich>
                  <a:bodyPr/>
                  <a:lstStyle/>
                  <a:p>
                    <a:r>
                      <a:rPr lang="en-US"/>
                      <a:t>2014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6A8-46C0-B5B6-DBC50A7499B7}"/>
                </c:ext>
              </c:extLst>
            </c:dLbl>
            <c:dLbl>
              <c:idx val="9"/>
              <c:tx>
                <c:rich>
                  <a:bodyPr/>
                  <a:lstStyle/>
                  <a:p>
                    <a:r>
                      <a:rPr lang="en-US"/>
                      <a:t>2015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6A8-46C0-B5B6-DBC50A7499B7}"/>
                </c:ext>
              </c:extLst>
            </c:dLbl>
            <c:dLbl>
              <c:idx val="10"/>
              <c:layout>
                <c:manualLayout>
                  <c:x val="-2.1348125735417816E-2"/>
                  <c:y val="7.0193690025747005E-2"/>
                </c:manualLayout>
              </c:layout>
              <c:tx>
                <c:rich>
                  <a:bodyPr/>
                  <a:lstStyle/>
                  <a:p>
                    <a:r>
                      <a:rPr lang="en-US"/>
                      <a:t>2016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6A8-46C0-B5B6-DBC50A7499B7}"/>
                </c:ext>
              </c:extLst>
            </c:dLbl>
            <c:dLbl>
              <c:idx val="11"/>
              <c:layout>
                <c:manualLayout>
                  <c:x val="-9.4816348509049769E-2"/>
                  <c:y val="-4.9078005249343831E-2"/>
                </c:manualLayout>
              </c:layout>
              <c:tx>
                <c:rich>
                  <a:bodyPr/>
                  <a:lstStyle/>
                  <a:p>
                    <a:r>
                      <a:rPr lang="en-US"/>
                      <a:t>2017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6A8-46C0-B5B6-DBC50A7499B7}"/>
                </c:ext>
              </c:extLst>
            </c:dLbl>
            <c:dLbl>
              <c:idx val="12"/>
              <c:layout>
                <c:manualLayout>
                  <c:x val="-8.5392520884291667E-2"/>
                  <c:y val="-2.2410209173716247E-2"/>
                </c:manualLayout>
              </c:layout>
              <c:tx>
                <c:rich>
                  <a:bodyPr/>
                  <a:lstStyle/>
                  <a:p>
                    <a:r>
                      <a:rPr lang="en-US"/>
                      <a:t>2018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6A8-46C0-B5B6-DBC50A7499B7}"/>
                </c:ext>
              </c:extLst>
            </c:dLbl>
            <c:dLbl>
              <c:idx val="13"/>
              <c:layout>
                <c:manualLayout>
                  <c:x val="-4.2696260442145785E-2"/>
                  <c:y val="-7.0965662383434602E-2"/>
                </c:manualLayout>
              </c:layout>
              <c:tx>
                <c:rich>
                  <a:bodyPr/>
                  <a:lstStyle/>
                  <a:p>
                    <a:r>
                      <a:rPr lang="en-US"/>
                      <a:t>2019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6A8-46C0-B5B6-DBC50A7499B7}"/>
                </c:ext>
              </c:extLst>
            </c:dLbl>
            <c:dLbl>
              <c:idx val="14"/>
              <c:tx>
                <c:rich>
                  <a:bodyPr/>
                  <a:lstStyle/>
                  <a:p>
                    <a:r>
                      <a:rPr lang="en-US"/>
                      <a:t>2020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96A8-46C0-B5B6-DBC50A7499B7}"/>
                </c:ext>
              </c:extLst>
            </c:dLbl>
            <c:dLbl>
              <c:idx val="15"/>
              <c:layout>
                <c:manualLayout>
                  <c:x val="1.0674062867708761E-2"/>
                  <c:y val="-3.2622739847777804E-2"/>
                </c:manualLayout>
              </c:layout>
              <c:tx>
                <c:rich>
                  <a:bodyPr/>
                  <a:lstStyle/>
                  <a:p>
                    <a:r>
                      <a:rPr lang="en-US"/>
                      <a:t>2021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6A8-46C0-B5B6-DBC50A7499B7}"/>
                </c:ext>
              </c:extLst>
            </c:dLbl>
            <c:dLbl>
              <c:idx val="16"/>
              <c:tx>
                <c:rich>
                  <a:bodyPr rot="0" spcFirstLastPara="1" vertOverflow="ellipsis" horzOverflow="clip"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a:solidFill>
                          <a:sysClr val="windowText" lastClr="000000"/>
                        </a:solidFill>
                        <a:latin typeface="Times New Roman" panose="02020603050405020304" pitchFamily="18" charset="0"/>
                        <a:cs typeface="Times New Roman" panose="02020603050405020304" pitchFamily="18" charset="0"/>
                      </a:rPr>
                      <a:t>2022</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10-96A8-46C0-B5B6-DBC50A7499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'Grafikoni, CAB, Karakter'!$Z$12:$Z$28</c:f>
              <c:numCache>
                <c:formatCode>#,##0.0</c:formatCode>
                <c:ptCount val="17"/>
                <c:pt idx="0">
                  <c:v>-2.6737461957498145</c:v>
                </c:pt>
                <c:pt idx="1">
                  <c:v>0.76144962619904333</c:v>
                </c:pt>
                <c:pt idx="2">
                  <c:v>4.0495583627767351</c:v>
                </c:pt>
                <c:pt idx="3">
                  <c:v>-0.38543712835940225</c:v>
                </c:pt>
                <c:pt idx="4">
                  <c:v>-0.71613496525201303</c:v>
                </c:pt>
                <c:pt idx="5">
                  <c:v>0.51938165790308555</c:v>
                </c:pt>
                <c:pt idx="6">
                  <c:v>-0.84661749418884957</c:v>
                </c:pt>
                <c:pt idx="7">
                  <c:v>1.2225595734986152</c:v>
                </c:pt>
                <c:pt idx="8">
                  <c:v>-1.436775981412165</c:v>
                </c:pt>
                <c:pt idx="9">
                  <c:v>-1.1990135967667208</c:v>
                </c:pt>
                <c:pt idx="10">
                  <c:v>-5.1829638002909087E-2</c:v>
                </c:pt>
                <c:pt idx="11">
                  <c:v>-0.60546515518663058</c:v>
                </c:pt>
                <c:pt idx="12">
                  <c:v>0.79653635267688672</c:v>
                </c:pt>
                <c:pt idx="13">
                  <c:v>1.8635799194734897</c:v>
                </c:pt>
                <c:pt idx="14">
                  <c:v>-2.3760860359486364</c:v>
                </c:pt>
                <c:pt idx="15">
                  <c:v>1.2791705611337654</c:v>
                </c:pt>
                <c:pt idx="16">
                  <c:v>0.71711618700126611</c:v>
                </c:pt>
              </c:numCache>
            </c:numRef>
          </c:xVal>
          <c:yVal>
            <c:numRef>
              <c:f>'Grafikoni, CAB, Karakter'!$AA$12:$AA$28</c:f>
              <c:numCache>
                <c:formatCode>#,##0.0</c:formatCode>
                <c:ptCount val="17"/>
                <c:pt idx="0">
                  <c:v>1.2149612577117612</c:v>
                </c:pt>
                <c:pt idx="1">
                  <c:v>2.3089620151854122</c:v>
                </c:pt>
                <c:pt idx="2">
                  <c:v>1.8651095541579992</c:v>
                </c:pt>
                <c:pt idx="3">
                  <c:v>4.671939336292219E-2</c:v>
                </c:pt>
                <c:pt idx="4">
                  <c:v>-0.29363323314221068</c:v>
                </c:pt>
                <c:pt idx="5">
                  <c:v>0.42864599636251954</c:v>
                </c:pt>
                <c:pt idx="6">
                  <c:v>0.87125570186587753</c:v>
                </c:pt>
                <c:pt idx="7">
                  <c:v>-1.0408761723449285</c:v>
                </c:pt>
                <c:pt idx="8">
                  <c:v>-0.35651326790804827</c:v>
                </c:pt>
                <c:pt idx="9">
                  <c:v>-2.9848912567972792</c:v>
                </c:pt>
                <c:pt idx="10">
                  <c:v>-1.7681183523175903</c:v>
                </c:pt>
                <c:pt idx="11">
                  <c:v>-2.1266547052810747</c:v>
                </c:pt>
                <c:pt idx="12">
                  <c:v>1.3846955589582026</c:v>
                </c:pt>
                <c:pt idx="13">
                  <c:v>1.3345560062636346</c:v>
                </c:pt>
                <c:pt idx="14">
                  <c:v>6.3284894389493722</c:v>
                </c:pt>
                <c:pt idx="15">
                  <c:v>-2.3778625816921455</c:v>
                </c:pt>
                <c:pt idx="16">
                  <c:v>-0.39800322817536982</c:v>
                </c:pt>
              </c:numCache>
            </c:numRef>
          </c:yVal>
          <c:smooth val="1"/>
          <c:extLst>
            <c:ext xmlns:c16="http://schemas.microsoft.com/office/drawing/2014/chart" uri="{C3380CC4-5D6E-409C-BE32-E72D297353CC}">
              <c16:uniqueId val="{00000011-96A8-46C0-B5B6-DBC50A7499B7}"/>
            </c:ext>
          </c:extLst>
        </c:ser>
        <c:dLbls>
          <c:showLegendKey val="0"/>
          <c:showVal val="0"/>
          <c:showCatName val="0"/>
          <c:showSerName val="0"/>
          <c:showPercent val="0"/>
          <c:showBubbleSize val="0"/>
        </c:dLbls>
        <c:axId val="231168192"/>
        <c:axId val="231178528"/>
      </c:scatterChart>
      <c:valAx>
        <c:axId val="231168192"/>
        <c:scaling>
          <c:orientation val="minMax"/>
          <c:max val="5"/>
          <c:min val="-4"/>
        </c:scaling>
        <c:delete val="0"/>
        <c:axPos val="b"/>
        <c:majorGridlines>
          <c:spPr>
            <a:ln w="12700" cap="flat" cmpd="sng" algn="ctr">
              <a:no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900" b="0">
                    <a:solidFill>
                      <a:sysClr val="windowText" lastClr="000000"/>
                    </a:solidFill>
                    <a:latin typeface="Times New Roman" panose="02020603050405020304" pitchFamily="18" charset="0"/>
                    <a:cs typeface="Times New Roman" panose="02020603050405020304" pitchFamily="18" charset="0"/>
                  </a:rPr>
                  <a:t>Производни јаз</a:t>
                </a:r>
              </a:p>
            </c:rich>
          </c:tx>
          <c:layout>
            <c:manualLayout>
              <c:xMode val="edge"/>
              <c:yMode val="edge"/>
              <c:x val="0.81662355366943062"/>
              <c:y val="0.607608707160326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1178528"/>
        <c:crosses val="autoZero"/>
        <c:crossBetween val="midCat"/>
      </c:valAx>
      <c:valAx>
        <c:axId val="231178528"/>
        <c:scaling>
          <c:orientation val="minMax"/>
          <c:max val="7.5"/>
          <c:min val="-4"/>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900" b="0">
                    <a:solidFill>
                      <a:sysClr val="windowText" lastClr="000000"/>
                    </a:solidFill>
                    <a:latin typeface="Times New Roman" panose="02020603050405020304" pitchFamily="18" charset="0"/>
                    <a:cs typeface="Times New Roman" panose="02020603050405020304" pitchFamily="18" charset="0"/>
                  </a:rPr>
                  <a:t>Фискални импулс</a:t>
                </a:r>
                <a:endParaRPr lang="en-GB" sz="9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4160518963451004E-3"/>
              <c:y val="0.4050309711286088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a:solidFill>
              <a:srgbClr val="D9D9D9"/>
            </a:solid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crossAx val="23116819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Cambria" panose="02040503050406030204" pitchFamily="18" charset="0"/>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368051268925991E-2"/>
          <c:y val="2.4498269896193772E-2"/>
          <c:w val="0.9372012977727866"/>
          <c:h val="0.90122138542350005"/>
        </c:manualLayout>
      </c:layout>
      <c:lineChart>
        <c:grouping val="standard"/>
        <c:varyColors val="0"/>
        <c:ser>
          <c:idx val="0"/>
          <c:order val="0"/>
          <c:spPr>
            <a:ln w="28575" cap="rnd" cmpd="sng" algn="ctr">
              <a:solidFill>
                <a:schemeClr val="accent1">
                  <a:shade val="40000"/>
                  <a:shade val="95000"/>
                  <a:satMod val="105000"/>
                </a:schemeClr>
              </a:solidFill>
              <a:prstDash val="solid"/>
              <a:round/>
            </a:ln>
            <a:effectLst/>
          </c:spPr>
          <c:marker>
            <c:spPr>
              <a:solidFill>
                <a:schemeClr val="accent1">
                  <a:shade val="38000"/>
                </a:schemeClr>
              </a:solidFill>
              <a:ln w="9525" cap="flat" cmpd="sng" algn="ctr">
                <a:solidFill>
                  <a:schemeClr val="accent1">
                    <a:shade val="38000"/>
                    <a:shade val="95000"/>
                    <a:satMod val="105000"/>
                  </a:schemeClr>
                </a:solidFill>
                <a:prstDash val="solid"/>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val>
          <c:smooth val="0"/>
          <c:extLst>
            <c:ext xmlns:c16="http://schemas.microsoft.com/office/drawing/2014/chart" uri="{C3380CC4-5D6E-409C-BE32-E72D297353CC}">
              <c16:uniqueId val="{00000000-9FA0-4370-A45C-2498A57C7C15}"/>
            </c:ext>
          </c:extLst>
        </c:ser>
        <c:ser>
          <c:idx val="1"/>
          <c:order val="1"/>
          <c:spPr>
            <a:ln w="28575" cap="rnd" cmpd="sng" algn="ctr">
              <a:solidFill>
                <a:schemeClr val="accent1">
                  <a:shade val="51000"/>
                  <a:shade val="95000"/>
                  <a:satMod val="105000"/>
                </a:schemeClr>
              </a:solidFill>
              <a:prstDash val="solid"/>
              <a:round/>
            </a:ln>
            <a:effectLst/>
          </c:spPr>
          <c:marker>
            <c:symbol val="diamond"/>
            <c:size val="10"/>
            <c:spPr>
              <a:solidFill>
                <a:schemeClr val="accent1">
                  <a:shade val="45000"/>
                </a:schemeClr>
              </a:solidFill>
              <a:ln w="9525" cap="flat" cmpd="sng" algn="ctr">
                <a:solidFill>
                  <a:schemeClr val="accent1">
                    <a:shade val="45000"/>
                    <a:shade val="95000"/>
                    <a:satMod val="105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kursa'!$H$51:$Q$51</c:f>
              <c:numCache>
                <c:formatCode>#,##0.0</c:formatCode>
                <c:ptCount val="10"/>
                <c:pt idx="0">
                  <c:v>67.678479463063553</c:v>
                </c:pt>
                <c:pt idx="1">
                  <c:v>57.788223811969416</c:v>
                </c:pt>
                <c:pt idx="2">
                  <c:v>53.621882530067857</c:v>
                </c:pt>
                <c:pt idx="3">
                  <c:v>51.9</c:v>
                </c:pt>
                <c:pt idx="4">
                  <c:v>57</c:v>
                </c:pt>
                <c:pt idx="5">
                  <c:v>56.510139896775023</c:v>
                </c:pt>
                <c:pt idx="6">
                  <c:v>56.10931547929178</c:v>
                </c:pt>
                <c:pt idx="7">
                  <c:v>55.065372276916669</c:v>
                </c:pt>
                <c:pt idx="8">
                  <c:v>54.066647568962324</c:v>
                </c:pt>
                <c:pt idx="9">
                  <c:v>52.955555923638499</c:v>
                </c:pt>
              </c:numCache>
            </c:numRef>
          </c:val>
          <c:smooth val="0"/>
          <c:extLst>
            <c:ext xmlns:c16="http://schemas.microsoft.com/office/drawing/2014/chart" uri="{C3380CC4-5D6E-409C-BE32-E72D297353CC}">
              <c16:uniqueId val="{00000001-9FA0-4370-A45C-2498A57C7C15}"/>
            </c:ext>
          </c:extLst>
        </c:ser>
        <c:ser>
          <c:idx val="2"/>
          <c:order val="2"/>
          <c:spPr>
            <a:ln w="28575" cap="rnd" cmpd="sng" algn="ctr">
              <a:solidFill>
                <a:schemeClr val="accent1">
                  <a:shade val="62000"/>
                  <a:shade val="95000"/>
                  <a:satMod val="105000"/>
                </a:schemeClr>
              </a:solidFill>
              <a:prstDash val="solid"/>
              <a:round/>
            </a:ln>
            <a:effectLst/>
          </c:spPr>
          <c:marker>
            <c:symbol val="none"/>
          </c:marker>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kursa'!$H$52:$Q$52</c:f>
              <c:numCache>
                <c:formatCode>#,##0.0</c:formatCode>
                <c:ptCount val="10"/>
                <c:pt idx="0">
                  <c:v>67.678479463063553</c:v>
                </c:pt>
                <c:pt idx="1">
                  <c:v>57.788223811969416</c:v>
                </c:pt>
                <c:pt idx="2">
                  <c:v>53.621882530067857</c:v>
                </c:pt>
                <c:pt idx="3">
                  <c:v>51.9</c:v>
                </c:pt>
                <c:pt idx="4">
                  <c:v>57</c:v>
                </c:pt>
                <c:pt idx="5">
                  <c:v>56.510139896775023</c:v>
                </c:pt>
                <c:pt idx="6">
                  <c:v>56.946466466239912</c:v>
                </c:pt>
                <c:pt idx="7">
                  <c:v>55.886947631288272</c:v>
                </c:pt>
                <c:pt idx="8">
                  <c:v>54.873321950691242</c:v>
                </c:pt>
                <c:pt idx="9">
                  <c:v>53.745652818019153</c:v>
                </c:pt>
              </c:numCache>
            </c:numRef>
          </c:val>
          <c:smooth val="0"/>
          <c:extLst>
            <c:ext xmlns:c16="http://schemas.microsoft.com/office/drawing/2014/chart" uri="{C3380CC4-5D6E-409C-BE32-E72D297353CC}">
              <c16:uniqueId val="{00000002-9FA0-4370-A45C-2498A57C7C15}"/>
            </c:ext>
          </c:extLst>
        </c:ser>
        <c:ser>
          <c:idx val="3"/>
          <c:order val="3"/>
          <c:spPr>
            <a:ln w="28575" cap="rnd" cmpd="sng" algn="ctr">
              <a:solidFill>
                <a:schemeClr val="accent1">
                  <a:shade val="73000"/>
                  <a:shade val="95000"/>
                  <a:satMod val="105000"/>
                </a:schemeClr>
              </a:solidFill>
              <a:prstDash val="solid"/>
              <a:round/>
            </a:ln>
            <a:effectLst/>
          </c:spPr>
          <c:marker>
            <c:symbol val="none"/>
          </c:marker>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kursa'!$H$53:$Q$53</c:f>
              <c:numCache>
                <c:formatCode>#,##0.0</c:formatCode>
                <c:ptCount val="10"/>
                <c:pt idx="0">
                  <c:v>67.678479463063553</c:v>
                </c:pt>
                <c:pt idx="1">
                  <c:v>57.788223811969416</c:v>
                </c:pt>
                <c:pt idx="2">
                  <c:v>53.621882530067857</c:v>
                </c:pt>
                <c:pt idx="3">
                  <c:v>51.9</c:v>
                </c:pt>
                <c:pt idx="4">
                  <c:v>57</c:v>
                </c:pt>
                <c:pt idx="5">
                  <c:v>56.510139896775023</c:v>
                </c:pt>
                <c:pt idx="6">
                  <c:v>57.783617453190892</c:v>
                </c:pt>
                <c:pt idx="7">
                  <c:v>56.708522985659862</c:v>
                </c:pt>
                <c:pt idx="8">
                  <c:v>55.679996332420146</c:v>
                </c:pt>
                <c:pt idx="9">
                  <c:v>54.535749712399827</c:v>
                </c:pt>
              </c:numCache>
            </c:numRef>
          </c:val>
          <c:smooth val="0"/>
          <c:extLst>
            <c:ext xmlns:c16="http://schemas.microsoft.com/office/drawing/2014/chart" uri="{C3380CC4-5D6E-409C-BE32-E72D297353CC}">
              <c16:uniqueId val="{00000003-9FA0-4370-A45C-2498A57C7C15}"/>
            </c:ext>
          </c:extLst>
        </c:ser>
        <c:ser>
          <c:idx val="4"/>
          <c:order val="4"/>
          <c:spPr>
            <a:ln w="28575" cap="rnd" cmpd="sng" algn="ctr">
              <a:solidFill>
                <a:schemeClr val="accent1">
                  <a:shade val="83000"/>
                  <a:shade val="95000"/>
                  <a:satMod val="105000"/>
                </a:schemeClr>
              </a:solidFill>
              <a:prstDash val="solid"/>
              <a:round/>
            </a:ln>
            <a:effectLst/>
          </c:spPr>
          <c:marker>
            <c:symbol val="none"/>
          </c:marker>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kursa'!$H$54:$Q$54</c:f>
              <c:numCache>
                <c:formatCode>#,##0.0</c:formatCode>
                <c:ptCount val="10"/>
                <c:pt idx="0">
                  <c:v>67.678479463063553</c:v>
                </c:pt>
                <c:pt idx="1">
                  <c:v>57.788223811969416</c:v>
                </c:pt>
                <c:pt idx="2">
                  <c:v>53.621882530067857</c:v>
                </c:pt>
                <c:pt idx="3">
                  <c:v>51.9</c:v>
                </c:pt>
                <c:pt idx="4">
                  <c:v>57</c:v>
                </c:pt>
                <c:pt idx="5">
                  <c:v>56.510139896775023</c:v>
                </c:pt>
                <c:pt idx="6">
                  <c:v>58.620768440141887</c:v>
                </c:pt>
                <c:pt idx="7">
                  <c:v>57.530098340031465</c:v>
                </c:pt>
                <c:pt idx="8">
                  <c:v>56.486670714149078</c:v>
                </c:pt>
                <c:pt idx="9">
                  <c:v>55.32584660678053</c:v>
                </c:pt>
              </c:numCache>
            </c:numRef>
          </c:val>
          <c:smooth val="0"/>
          <c:extLst>
            <c:ext xmlns:c16="http://schemas.microsoft.com/office/drawing/2014/chart" uri="{C3380CC4-5D6E-409C-BE32-E72D297353CC}">
              <c16:uniqueId val="{00000004-9FA0-4370-A45C-2498A57C7C15}"/>
            </c:ext>
          </c:extLst>
        </c:ser>
        <c:ser>
          <c:idx val="5"/>
          <c:order val="5"/>
          <c:spPr>
            <a:ln w="28575" cap="rnd" cmpd="sng" algn="ctr">
              <a:solidFill>
                <a:schemeClr val="accent1">
                  <a:shade val="94000"/>
                  <a:shade val="95000"/>
                  <a:satMod val="105000"/>
                </a:schemeClr>
              </a:solidFill>
              <a:prstDash val="solid"/>
              <a:round/>
            </a:ln>
            <a:effectLst/>
          </c:spPr>
          <c:marker>
            <c:symbol val="none"/>
          </c:marker>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kursa'!$H$55:$Q$55</c:f>
              <c:numCache>
                <c:formatCode>#,##0.0</c:formatCode>
                <c:ptCount val="10"/>
                <c:pt idx="0">
                  <c:v>67.678479463063553</c:v>
                </c:pt>
                <c:pt idx="1">
                  <c:v>57.788223811969416</c:v>
                </c:pt>
                <c:pt idx="2">
                  <c:v>53.621882530067857</c:v>
                </c:pt>
                <c:pt idx="3">
                  <c:v>51.9</c:v>
                </c:pt>
                <c:pt idx="4">
                  <c:v>57</c:v>
                </c:pt>
                <c:pt idx="5">
                  <c:v>56.510139896775023</c:v>
                </c:pt>
                <c:pt idx="6">
                  <c:v>59.457919427092889</c:v>
                </c:pt>
                <c:pt idx="7">
                  <c:v>58.351673694403061</c:v>
                </c:pt>
                <c:pt idx="8">
                  <c:v>57.293345095877989</c:v>
                </c:pt>
                <c:pt idx="9">
                  <c:v>56.115943501161205</c:v>
                </c:pt>
              </c:numCache>
            </c:numRef>
          </c:val>
          <c:smooth val="0"/>
          <c:extLst>
            <c:ext xmlns:c16="http://schemas.microsoft.com/office/drawing/2014/chart" uri="{C3380CC4-5D6E-409C-BE32-E72D297353CC}">
              <c16:uniqueId val="{00000005-9FA0-4370-A45C-2498A57C7C15}"/>
            </c:ext>
          </c:extLst>
        </c:ser>
        <c:ser>
          <c:idx val="6"/>
          <c:order val="6"/>
          <c:spPr>
            <a:ln w="28575" cap="rnd" cmpd="sng" algn="ctr">
              <a:solidFill>
                <a:schemeClr val="accent1">
                  <a:tint val="95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9FA0-4370-A45C-2498A57C7C15}"/>
                </c:ext>
              </c:extLst>
            </c:dLbl>
            <c:dLbl>
              <c:idx val="1"/>
              <c:delete val="1"/>
              <c:extLst>
                <c:ext xmlns:c15="http://schemas.microsoft.com/office/drawing/2012/chart" uri="{CE6537A1-D6FC-4f65-9D91-7224C49458BB}"/>
                <c:ext xmlns:c16="http://schemas.microsoft.com/office/drawing/2014/chart" uri="{C3380CC4-5D6E-409C-BE32-E72D297353CC}">
                  <c16:uniqueId val="{00000007-9FA0-4370-A45C-2498A57C7C15}"/>
                </c:ext>
              </c:extLst>
            </c:dLbl>
            <c:dLbl>
              <c:idx val="2"/>
              <c:delete val="1"/>
              <c:extLst>
                <c:ext xmlns:c15="http://schemas.microsoft.com/office/drawing/2012/chart" uri="{CE6537A1-D6FC-4f65-9D91-7224C49458BB}"/>
                <c:ext xmlns:c16="http://schemas.microsoft.com/office/drawing/2014/chart" uri="{C3380CC4-5D6E-409C-BE32-E72D297353CC}">
                  <c16:uniqueId val="{00000008-9FA0-4370-A45C-2498A57C7C15}"/>
                </c:ext>
              </c:extLst>
            </c:dLbl>
            <c:dLbl>
              <c:idx val="3"/>
              <c:delete val="1"/>
              <c:extLst>
                <c:ext xmlns:c15="http://schemas.microsoft.com/office/drawing/2012/chart" uri="{CE6537A1-D6FC-4f65-9D91-7224C49458BB}"/>
                <c:ext xmlns:c16="http://schemas.microsoft.com/office/drawing/2014/chart" uri="{C3380CC4-5D6E-409C-BE32-E72D297353CC}">
                  <c16:uniqueId val="{00000009-9FA0-4370-A45C-2498A57C7C15}"/>
                </c:ext>
              </c:extLst>
            </c:dLbl>
            <c:dLbl>
              <c:idx val="4"/>
              <c:delete val="1"/>
              <c:extLst>
                <c:ext xmlns:c15="http://schemas.microsoft.com/office/drawing/2012/chart" uri="{CE6537A1-D6FC-4f65-9D91-7224C49458BB}"/>
                <c:ext xmlns:c16="http://schemas.microsoft.com/office/drawing/2014/chart" uri="{C3380CC4-5D6E-409C-BE32-E72D297353CC}">
                  <c16:uniqueId val="{0000000A-9FA0-4370-A45C-2498A57C7C15}"/>
                </c:ext>
              </c:extLst>
            </c:dLbl>
            <c:dLbl>
              <c:idx val="5"/>
              <c:delete val="1"/>
              <c:extLst>
                <c:ext xmlns:c15="http://schemas.microsoft.com/office/drawing/2012/chart" uri="{CE6537A1-D6FC-4f65-9D91-7224C49458BB}"/>
                <c:ext xmlns:c16="http://schemas.microsoft.com/office/drawing/2014/chart" uri="{C3380CC4-5D6E-409C-BE32-E72D297353CC}">
                  <c16:uniqueId val="{0000000B-9FA0-4370-A45C-2498A57C7C1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kursa'!$H$56:$Q$56</c:f>
              <c:numCache>
                <c:formatCode>#,##0.0</c:formatCode>
                <c:ptCount val="10"/>
                <c:pt idx="0">
                  <c:v>67.678479463063553</c:v>
                </c:pt>
                <c:pt idx="1">
                  <c:v>57.788223811969416</c:v>
                </c:pt>
                <c:pt idx="2">
                  <c:v>53.621882530067857</c:v>
                </c:pt>
                <c:pt idx="3">
                  <c:v>51.9</c:v>
                </c:pt>
                <c:pt idx="4">
                  <c:v>57</c:v>
                </c:pt>
                <c:pt idx="5">
                  <c:v>56.510139896775023</c:v>
                </c:pt>
                <c:pt idx="6">
                  <c:v>60.295070414043884</c:v>
                </c:pt>
                <c:pt idx="7">
                  <c:v>59.173249048774657</c:v>
                </c:pt>
                <c:pt idx="8">
                  <c:v>58.100019477606899</c:v>
                </c:pt>
                <c:pt idx="9">
                  <c:v>56.906040395541893</c:v>
                </c:pt>
              </c:numCache>
            </c:numRef>
          </c:val>
          <c:smooth val="0"/>
          <c:extLst>
            <c:ext xmlns:c16="http://schemas.microsoft.com/office/drawing/2014/chart" uri="{C3380CC4-5D6E-409C-BE32-E72D297353CC}">
              <c16:uniqueId val="{0000000C-9FA0-4370-A45C-2498A57C7C15}"/>
            </c:ext>
          </c:extLst>
        </c:ser>
        <c:ser>
          <c:idx val="7"/>
          <c:order val="7"/>
          <c:spPr>
            <a:ln w="28575" cap="rnd" cmpd="sng" algn="ctr">
              <a:solidFill>
                <a:schemeClr val="accent1">
                  <a:tint val="84000"/>
                  <a:shade val="95000"/>
                  <a:satMod val="105000"/>
                </a:schemeClr>
              </a:solidFill>
              <a:prstDash val="solid"/>
              <a:round/>
            </a:ln>
            <a:effectLst/>
          </c:spPr>
          <c:marker>
            <c:symbol val="none"/>
          </c:marker>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kursa'!$H$57:$Q$57</c:f>
              <c:numCache>
                <c:formatCode>#,##0.0</c:formatCode>
                <c:ptCount val="10"/>
                <c:pt idx="0">
                  <c:v>67.678479463063553</c:v>
                </c:pt>
                <c:pt idx="1">
                  <c:v>57.788223811969416</c:v>
                </c:pt>
                <c:pt idx="2">
                  <c:v>53.621882530067857</c:v>
                </c:pt>
                <c:pt idx="3">
                  <c:v>51.9</c:v>
                </c:pt>
                <c:pt idx="4">
                  <c:v>57</c:v>
                </c:pt>
                <c:pt idx="5">
                  <c:v>56.510139896775023</c:v>
                </c:pt>
                <c:pt idx="6">
                  <c:v>55.272164492337929</c:v>
                </c:pt>
                <c:pt idx="7">
                  <c:v>54.243796922545073</c:v>
                </c:pt>
                <c:pt idx="8">
                  <c:v>53.259973187233392</c:v>
                </c:pt>
                <c:pt idx="9">
                  <c:v>52.165459029257768</c:v>
                </c:pt>
              </c:numCache>
            </c:numRef>
          </c:val>
          <c:smooth val="0"/>
          <c:extLst>
            <c:ext xmlns:c16="http://schemas.microsoft.com/office/drawing/2014/chart" uri="{C3380CC4-5D6E-409C-BE32-E72D297353CC}">
              <c16:uniqueId val="{0000000D-9FA0-4370-A45C-2498A57C7C15}"/>
            </c:ext>
          </c:extLst>
        </c:ser>
        <c:ser>
          <c:idx val="8"/>
          <c:order val="8"/>
          <c:spPr>
            <a:ln w="28575" cap="rnd" cmpd="sng" algn="ctr">
              <a:solidFill>
                <a:schemeClr val="accent1">
                  <a:tint val="74000"/>
                  <a:shade val="95000"/>
                  <a:satMod val="105000"/>
                </a:schemeClr>
              </a:solidFill>
              <a:prstDash val="solid"/>
              <a:round/>
            </a:ln>
            <a:effectLst/>
          </c:spPr>
          <c:marker>
            <c:symbol val="none"/>
          </c:marker>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kursa'!$H$58:$Q$58</c:f>
              <c:numCache>
                <c:formatCode>#,##0.0</c:formatCode>
                <c:ptCount val="10"/>
                <c:pt idx="0">
                  <c:v>67.678479463063553</c:v>
                </c:pt>
                <c:pt idx="1">
                  <c:v>57.788223811969416</c:v>
                </c:pt>
                <c:pt idx="2">
                  <c:v>53.621882530067857</c:v>
                </c:pt>
                <c:pt idx="3">
                  <c:v>51.9</c:v>
                </c:pt>
                <c:pt idx="4">
                  <c:v>57</c:v>
                </c:pt>
                <c:pt idx="5">
                  <c:v>56.510139896775023</c:v>
                </c:pt>
                <c:pt idx="6">
                  <c:v>54.435013505386934</c:v>
                </c:pt>
                <c:pt idx="7">
                  <c:v>53.422221568173477</c:v>
                </c:pt>
                <c:pt idx="8">
                  <c:v>52.453298805504488</c:v>
                </c:pt>
                <c:pt idx="9">
                  <c:v>51.375362134877101</c:v>
                </c:pt>
              </c:numCache>
            </c:numRef>
          </c:val>
          <c:smooth val="0"/>
          <c:extLst>
            <c:ext xmlns:c16="http://schemas.microsoft.com/office/drawing/2014/chart" uri="{C3380CC4-5D6E-409C-BE32-E72D297353CC}">
              <c16:uniqueId val="{0000000E-9FA0-4370-A45C-2498A57C7C15}"/>
            </c:ext>
          </c:extLst>
        </c:ser>
        <c:ser>
          <c:idx val="9"/>
          <c:order val="9"/>
          <c:spPr>
            <a:ln w="28575" cap="rnd" cmpd="sng" algn="ctr">
              <a:solidFill>
                <a:schemeClr val="accent1">
                  <a:tint val="63000"/>
                  <a:shade val="95000"/>
                  <a:satMod val="105000"/>
                </a:schemeClr>
              </a:solidFill>
              <a:prstDash val="solid"/>
              <a:round/>
            </a:ln>
            <a:effectLst/>
          </c:spPr>
          <c:marker>
            <c:symbol val="none"/>
          </c:marker>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kursa'!$H$59:$Q$59</c:f>
              <c:numCache>
                <c:formatCode>#,##0.0</c:formatCode>
                <c:ptCount val="10"/>
                <c:pt idx="0">
                  <c:v>67.678479463063553</c:v>
                </c:pt>
                <c:pt idx="1">
                  <c:v>57.788223811969416</c:v>
                </c:pt>
                <c:pt idx="2">
                  <c:v>53.621882530067857</c:v>
                </c:pt>
                <c:pt idx="3">
                  <c:v>51.9</c:v>
                </c:pt>
                <c:pt idx="4">
                  <c:v>57</c:v>
                </c:pt>
                <c:pt idx="5">
                  <c:v>56.510139896775023</c:v>
                </c:pt>
                <c:pt idx="6">
                  <c:v>53.597862518435946</c:v>
                </c:pt>
                <c:pt idx="7">
                  <c:v>52.60064621380188</c:v>
                </c:pt>
                <c:pt idx="8">
                  <c:v>51.646624423775556</c:v>
                </c:pt>
                <c:pt idx="9">
                  <c:v>50.585265240496405</c:v>
                </c:pt>
              </c:numCache>
            </c:numRef>
          </c:val>
          <c:smooth val="0"/>
          <c:extLst>
            <c:ext xmlns:c16="http://schemas.microsoft.com/office/drawing/2014/chart" uri="{C3380CC4-5D6E-409C-BE32-E72D297353CC}">
              <c16:uniqueId val="{0000000F-9FA0-4370-A45C-2498A57C7C15}"/>
            </c:ext>
          </c:extLst>
        </c:ser>
        <c:ser>
          <c:idx val="10"/>
          <c:order val="10"/>
          <c:spPr>
            <a:ln w="28575" cap="rnd" cmpd="sng" algn="ctr">
              <a:solidFill>
                <a:schemeClr val="accent1">
                  <a:tint val="52000"/>
                  <a:shade val="95000"/>
                  <a:satMod val="105000"/>
                </a:schemeClr>
              </a:solidFill>
              <a:prstDash val="solid"/>
              <a:round/>
            </a:ln>
            <a:effectLst/>
          </c:spPr>
          <c:marker>
            <c:symbol val="none"/>
          </c:marker>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kursa'!$H$60:$Q$60</c:f>
              <c:numCache>
                <c:formatCode>#,##0.0</c:formatCode>
                <c:ptCount val="10"/>
                <c:pt idx="0">
                  <c:v>67.678479463063553</c:v>
                </c:pt>
                <c:pt idx="1">
                  <c:v>57.788223811969416</c:v>
                </c:pt>
                <c:pt idx="2">
                  <c:v>53.621882530067857</c:v>
                </c:pt>
                <c:pt idx="3">
                  <c:v>51.9</c:v>
                </c:pt>
                <c:pt idx="4">
                  <c:v>57</c:v>
                </c:pt>
                <c:pt idx="5">
                  <c:v>56.510139896775023</c:v>
                </c:pt>
                <c:pt idx="6">
                  <c:v>52.760711531484951</c:v>
                </c:pt>
                <c:pt idx="7">
                  <c:v>51.779070859430284</c:v>
                </c:pt>
                <c:pt idx="8">
                  <c:v>50.839950042046652</c:v>
                </c:pt>
                <c:pt idx="9">
                  <c:v>49.795168346115723</c:v>
                </c:pt>
              </c:numCache>
            </c:numRef>
          </c:val>
          <c:smooth val="0"/>
          <c:extLst>
            <c:ext xmlns:c16="http://schemas.microsoft.com/office/drawing/2014/chart" uri="{C3380CC4-5D6E-409C-BE32-E72D297353CC}">
              <c16:uniqueId val="{00000010-9FA0-4370-A45C-2498A57C7C15}"/>
            </c:ext>
          </c:extLst>
        </c:ser>
        <c:ser>
          <c:idx val="11"/>
          <c:order val="11"/>
          <c:spPr>
            <a:ln w="28575" cap="rnd" cmpd="sng" algn="ctr">
              <a:solidFill>
                <a:schemeClr val="accent1">
                  <a:tint val="41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1-9FA0-4370-A45C-2498A57C7C15}"/>
                </c:ext>
              </c:extLst>
            </c:dLbl>
            <c:dLbl>
              <c:idx val="1"/>
              <c:delete val="1"/>
              <c:extLst>
                <c:ext xmlns:c15="http://schemas.microsoft.com/office/drawing/2012/chart" uri="{CE6537A1-D6FC-4f65-9D91-7224C49458BB}"/>
                <c:ext xmlns:c16="http://schemas.microsoft.com/office/drawing/2014/chart" uri="{C3380CC4-5D6E-409C-BE32-E72D297353CC}">
                  <c16:uniqueId val="{00000012-9FA0-4370-A45C-2498A57C7C15}"/>
                </c:ext>
              </c:extLst>
            </c:dLbl>
            <c:dLbl>
              <c:idx val="2"/>
              <c:delete val="1"/>
              <c:extLst>
                <c:ext xmlns:c15="http://schemas.microsoft.com/office/drawing/2012/chart" uri="{CE6537A1-D6FC-4f65-9D91-7224C49458BB}"/>
                <c:ext xmlns:c16="http://schemas.microsoft.com/office/drawing/2014/chart" uri="{C3380CC4-5D6E-409C-BE32-E72D297353CC}">
                  <c16:uniqueId val="{00000013-9FA0-4370-A45C-2498A57C7C15}"/>
                </c:ext>
              </c:extLst>
            </c:dLbl>
            <c:dLbl>
              <c:idx val="3"/>
              <c:delete val="1"/>
              <c:extLst>
                <c:ext xmlns:c15="http://schemas.microsoft.com/office/drawing/2012/chart" uri="{CE6537A1-D6FC-4f65-9D91-7224C49458BB}"/>
                <c:ext xmlns:c16="http://schemas.microsoft.com/office/drawing/2014/chart" uri="{C3380CC4-5D6E-409C-BE32-E72D297353CC}">
                  <c16:uniqueId val="{00000014-9FA0-4370-A45C-2498A57C7C15}"/>
                </c:ext>
              </c:extLst>
            </c:dLbl>
            <c:dLbl>
              <c:idx val="4"/>
              <c:delete val="1"/>
              <c:extLst>
                <c:ext xmlns:c15="http://schemas.microsoft.com/office/drawing/2012/chart" uri="{CE6537A1-D6FC-4f65-9D91-7224C49458BB}"/>
                <c:ext xmlns:c16="http://schemas.microsoft.com/office/drawing/2014/chart" uri="{C3380CC4-5D6E-409C-BE32-E72D297353CC}">
                  <c16:uniqueId val="{00000015-9FA0-4370-A45C-2498A57C7C15}"/>
                </c:ext>
              </c:extLst>
            </c:dLbl>
            <c:dLbl>
              <c:idx val="5"/>
              <c:delete val="1"/>
              <c:extLst>
                <c:ext xmlns:c15="http://schemas.microsoft.com/office/drawing/2012/chart" uri="{CE6537A1-D6FC-4f65-9D91-7224C49458BB}"/>
                <c:ext xmlns:c16="http://schemas.microsoft.com/office/drawing/2014/chart" uri="{C3380CC4-5D6E-409C-BE32-E72D297353CC}">
                  <c16:uniqueId val="{00000016-9FA0-4370-A45C-2498A57C7C15}"/>
                </c:ext>
              </c:extLst>
            </c:dLbl>
            <c:dLbl>
              <c:idx val="7"/>
              <c:layout>
                <c:manualLayout>
                  <c:x val="-8.453486727332736E-2"/>
                  <c:y val="3.8899656773672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FA0-4370-A45C-2498A57C7C15}"/>
                </c:ext>
              </c:extLst>
            </c:dLbl>
            <c:dLbl>
              <c:idx val="8"/>
              <c:layout>
                <c:manualLayout>
                  <c:x val="-8.0787909341825129E-2"/>
                  <c:y val="2.7940978531529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FA0-4370-A45C-2498A57C7C15}"/>
                </c:ext>
              </c:extLst>
            </c:dLbl>
            <c:dLbl>
              <c:idx val="9"/>
              <c:layout>
                <c:manualLayout>
                  <c:x val="-5.4612185148249165E-3"/>
                  <c:y val="1.8001528812968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FA0-4370-A45C-2498A57C7C1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kursa'!$H$61:$Q$61</c:f>
              <c:numCache>
                <c:formatCode>#,##0.0</c:formatCode>
                <c:ptCount val="10"/>
                <c:pt idx="0">
                  <c:v>67.678479463063553</c:v>
                </c:pt>
                <c:pt idx="1">
                  <c:v>57.788223811969416</c:v>
                </c:pt>
                <c:pt idx="2">
                  <c:v>53.621882530067857</c:v>
                </c:pt>
                <c:pt idx="3">
                  <c:v>51.9</c:v>
                </c:pt>
                <c:pt idx="4">
                  <c:v>57</c:v>
                </c:pt>
                <c:pt idx="5">
                  <c:v>56.510139896775023</c:v>
                </c:pt>
                <c:pt idx="6">
                  <c:v>51.923560544533963</c:v>
                </c:pt>
                <c:pt idx="7">
                  <c:v>50.957495505058695</c:v>
                </c:pt>
                <c:pt idx="8">
                  <c:v>50.033275660317734</c:v>
                </c:pt>
                <c:pt idx="9">
                  <c:v>49.005071451735034</c:v>
                </c:pt>
              </c:numCache>
            </c:numRef>
          </c:val>
          <c:smooth val="0"/>
          <c:extLst>
            <c:ext xmlns:c16="http://schemas.microsoft.com/office/drawing/2014/chart" uri="{C3380CC4-5D6E-409C-BE32-E72D297353CC}">
              <c16:uniqueId val="{0000001A-9FA0-4370-A45C-2498A57C7C15}"/>
            </c:ext>
          </c:extLst>
        </c:ser>
        <c:dLbls>
          <c:showLegendKey val="0"/>
          <c:showVal val="0"/>
          <c:showCatName val="0"/>
          <c:showSerName val="0"/>
          <c:showPercent val="0"/>
          <c:showBubbleSize val="0"/>
        </c:dLbls>
        <c:marker val="1"/>
        <c:smooth val="0"/>
        <c:axId val="231173088"/>
        <c:axId val="231181248"/>
      </c:lineChart>
      <c:catAx>
        <c:axId val="231173088"/>
        <c:scaling>
          <c:orientation val="minMax"/>
        </c:scaling>
        <c:delete val="0"/>
        <c:axPos val="b"/>
        <c:majorGridlines>
          <c:spPr>
            <a:ln w="9525" cap="flat" cmpd="sng" algn="ctr">
              <a:noFill/>
              <a:prstDash val="solid"/>
              <a:round/>
            </a:ln>
            <a:effectLst/>
          </c:spPr>
        </c:majorGridlines>
        <c:minorGridlines>
          <c:spPr>
            <a:ln w="9525" cap="flat" cmpd="sng" algn="ctr">
              <a:noFill/>
              <a:prstDash val="solid"/>
              <a:round/>
            </a:ln>
            <a:effectLst/>
          </c:spPr>
        </c:minorGridlines>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1181248"/>
        <c:crosses val="autoZero"/>
        <c:auto val="0"/>
        <c:lblAlgn val="ctr"/>
        <c:lblOffset val="100"/>
        <c:noMultiLvlLbl val="0"/>
      </c:catAx>
      <c:valAx>
        <c:axId val="231181248"/>
        <c:scaling>
          <c:orientation val="minMax"/>
          <c:max val="70"/>
          <c:min val="45"/>
        </c:scaling>
        <c:delete val="0"/>
        <c:axPos val="l"/>
        <c:majorGridlines>
          <c:spPr>
            <a:ln w="9525" cap="flat" cmpd="sng" algn="ctr">
              <a:noFill/>
              <a:prstDash val="solid"/>
              <a:round/>
            </a:ln>
            <a:effectLst/>
          </c:spPr>
        </c:majorGridlines>
        <c:numFmt formatCode="#,##0.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1173088"/>
        <c:crosses val="autoZero"/>
        <c:crossBetween val="between"/>
        <c:majorUnit val="10"/>
        <c:minorUnit val="2"/>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7.9033684803240425E-2"/>
          <c:y val="4.2365795480776632E-2"/>
          <c:w val="0.86085801063022016"/>
          <c:h val="0.76006604038907821"/>
        </c:manualLayout>
      </c:layout>
      <c:barChart>
        <c:barDir val="col"/>
        <c:grouping val="clustered"/>
        <c:varyColors val="0"/>
        <c:ser>
          <c:idx val="0"/>
          <c:order val="0"/>
          <c:tx>
            <c:strRef>
              <c:f>'мемо 2011-2016'!$E$50</c:f>
              <c:strCache>
                <c:ptCount val="1"/>
                <c:pt idx="0">
                  <c:v>јавни дуг - основни сценарио</c:v>
                </c:pt>
              </c:strCache>
            </c:strRef>
          </c:tx>
          <c:spPr>
            <a:solidFill>
              <a:schemeClr val="accent1">
                <a:lumMod val="50000"/>
              </a:schemeClr>
            </a:solidFill>
            <a:ln w="9525" cap="flat" cmpd="sng" algn="ctr">
              <a:solidFill>
                <a:schemeClr val="accent6">
                  <a:shade val="50000"/>
                  <a:shade val="95000"/>
                  <a:satMod val="105000"/>
                </a:schemeClr>
              </a:solidFill>
              <a:prstDash val="solid"/>
              <a:round/>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2011-2016'!$F$48:$I$48</c:f>
              <c:numCache>
                <c:formatCode>General</c:formatCode>
                <c:ptCount val="4"/>
                <c:pt idx="0">
                  <c:v>2022</c:v>
                </c:pt>
                <c:pt idx="1">
                  <c:v>2023</c:v>
                </c:pt>
                <c:pt idx="2">
                  <c:v>2024</c:v>
                </c:pt>
                <c:pt idx="3">
                  <c:v>2025</c:v>
                </c:pt>
              </c:numCache>
            </c:numRef>
          </c:cat>
          <c:val>
            <c:numRef>
              <c:f>'мемо 2011-2016'!$F$50:$I$50</c:f>
              <c:numCache>
                <c:formatCode>#,##0.0</c:formatCode>
                <c:ptCount val="4"/>
                <c:pt idx="0">
                  <c:v>56.9</c:v>
                </c:pt>
                <c:pt idx="1">
                  <c:v>56.1</c:v>
                </c:pt>
                <c:pt idx="2">
                  <c:v>55.1</c:v>
                </c:pt>
                <c:pt idx="3">
                  <c:v>54</c:v>
                </c:pt>
              </c:numCache>
            </c:numRef>
          </c:val>
          <c:extLst>
            <c:ext xmlns:c16="http://schemas.microsoft.com/office/drawing/2014/chart" uri="{C3380CC4-5D6E-409C-BE32-E72D297353CC}">
              <c16:uniqueId val="{00000000-DB8E-4EF7-AA96-96A153BF959E}"/>
            </c:ext>
          </c:extLst>
        </c:ser>
        <c:ser>
          <c:idx val="1"/>
          <c:order val="1"/>
          <c:tx>
            <c:strRef>
              <c:f>'мемо 2011-2016'!$E$52</c:f>
              <c:strCache>
                <c:ptCount val="1"/>
                <c:pt idx="0">
                  <c:v>јавни дуг - алтернативни сценарио</c:v>
                </c:pt>
              </c:strCache>
            </c:strRef>
          </c:tx>
          <c:spPr>
            <a:solidFill>
              <a:srgbClr val="FF4747"/>
            </a:solidFill>
            <a:ln w="9525" cap="flat" cmpd="sng" algn="ctr">
              <a:solidFill>
                <a:schemeClr val="accent6">
                  <a:shade val="50000"/>
                  <a:shade val="95000"/>
                  <a:satMod val="105000"/>
                </a:schemeClr>
              </a:solidFill>
              <a:prstDash val="solid"/>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2011-2016'!$F$48:$I$48</c:f>
              <c:numCache>
                <c:formatCode>General</c:formatCode>
                <c:ptCount val="4"/>
                <c:pt idx="0">
                  <c:v>2022</c:v>
                </c:pt>
                <c:pt idx="1">
                  <c:v>2023</c:v>
                </c:pt>
                <c:pt idx="2">
                  <c:v>2024</c:v>
                </c:pt>
                <c:pt idx="3">
                  <c:v>2025</c:v>
                </c:pt>
              </c:numCache>
            </c:numRef>
          </c:cat>
          <c:val>
            <c:numRef>
              <c:f>'мемо 2011-2016'!$F$52:$I$52</c:f>
              <c:numCache>
                <c:formatCode>#,##0.0</c:formatCode>
                <c:ptCount val="4"/>
                <c:pt idx="0">
                  <c:v>56.9</c:v>
                </c:pt>
                <c:pt idx="1">
                  <c:v>57.483283846551473</c:v>
                </c:pt>
                <c:pt idx="2">
                  <c:v>57.72621843438489</c:v>
                </c:pt>
                <c:pt idx="3">
                  <c:v>57.667057488922282</c:v>
                </c:pt>
              </c:numCache>
            </c:numRef>
          </c:val>
          <c:extLst>
            <c:ext xmlns:c16="http://schemas.microsoft.com/office/drawing/2014/chart" uri="{C3380CC4-5D6E-409C-BE32-E72D297353CC}">
              <c16:uniqueId val="{00000001-DB8E-4EF7-AA96-96A153BF959E}"/>
            </c:ext>
          </c:extLst>
        </c:ser>
        <c:dLbls>
          <c:showLegendKey val="0"/>
          <c:showVal val="0"/>
          <c:showCatName val="0"/>
          <c:showSerName val="0"/>
          <c:showPercent val="0"/>
          <c:showBubbleSize val="0"/>
        </c:dLbls>
        <c:gapWidth val="150"/>
        <c:axId val="231180160"/>
        <c:axId val="231182336"/>
      </c:barChart>
      <c:lineChart>
        <c:grouping val="standard"/>
        <c:varyColors val="0"/>
        <c:ser>
          <c:idx val="2"/>
          <c:order val="2"/>
          <c:tx>
            <c:strRef>
              <c:f>'мемо 2011-2016'!$E$49</c:f>
              <c:strCache>
                <c:ptCount val="1"/>
                <c:pt idx="0">
                  <c:v>дефицит (десна скала) - основни сценарио</c:v>
                </c:pt>
              </c:strCache>
            </c:strRef>
          </c:tx>
          <c:spPr>
            <a:ln w="47625" cap="rnd" cmpd="sng" algn="ctr">
              <a:solidFill>
                <a:schemeClr val="tx1"/>
              </a:solidFill>
              <a:prstDash val="solid"/>
              <a:round/>
            </a:ln>
            <a:effectLst/>
          </c:spPr>
          <c:marker>
            <c:spPr>
              <a:solidFill>
                <a:schemeClr val="tx1"/>
              </a:solidFill>
              <a:ln w="9525" cap="flat" cmpd="sng" algn="ctr">
                <a:solidFill>
                  <a:schemeClr val="tx1"/>
                </a:solidFill>
                <a:prstDash val="solid"/>
                <a:round/>
              </a:ln>
              <a:effectLst/>
            </c:spPr>
          </c:marker>
          <c:dPt>
            <c:idx val="1"/>
            <c:bubble3D val="0"/>
            <c:extLst>
              <c:ext xmlns:c16="http://schemas.microsoft.com/office/drawing/2014/chart" uri="{C3380CC4-5D6E-409C-BE32-E72D297353CC}">
                <c16:uniqueId val="{00000002-DB8E-4EF7-AA96-96A153BF959E}"/>
              </c:ext>
            </c:extLst>
          </c:dPt>
          <c:dLbls>
            <c:dLbl>
              <c:idx val="0"/>
              <c:delete val="1"/>
              <c:extLst>
                <c:ext xmlns:c15="http://schemas.microsoft.com/office/drawing/2012/chart" uri="{CE6537A1-D6FC-4f65-9D91-7224C49458BB}"/>
                <c:ext xmlns:c16="http://schemas.microsoft.com/office/drawing/2014/chart" uri="{C3380CC4-5D6E-409C-BE32-E72D297353CC}">
                  <c16:uniqueId val="{00000003-DB8E-4EF7-AA96-96A153BF959E}"/>
                </c:ext>
              </c:extLst>
            </c:dLbl>
            <c:dLbl>
              <c:idx val="1"/>
              <c:layout>
                <c:manualLayout>
                  <c:x val="-1.423254953755642E-2"/>
                  <c:y val="-9.1910120469366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8E-4EF7-AA96-96A153BF959E}"/>
                </c:ext>
              </c:extLst>
            </c:dLbl>
            <c:dLbl>
              <c:idx val="2"/>
              <c:layout>
                <c:manualLayout>
                  <c:x val="-4.4316419233325945E-3"/>
                  <c:y val="-7.3325785897879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8E-4EF7-AA96-96A153BF959E}"/>
                </c:ext>
              </c:extLst>
            </c:dLbl>
            <c:dLbl>
              <c:idx val="3"/>
              <c:layout>
                <c:manualLayout>
                  <c:x val="-4.014005402155932E-3"/>
                  <c:y val="-3.6900360069064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8E-4EF7-AA96-96A153BF95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prstDash val="solid"/>
                      <a:round/>
                    </a:ln>
                    <a:effectLst/>
                  </c:spPr>
                </c15:leaderLines>
              </c:ext>
            </c:extLst>
          </c:dLbls>
          <c:cat>
            <c:numRef>
              <c:f>'мемо 2011-2016'!$F$48:$I$48</c:f>
              <c:numCache>
                <c:formatCode>General</c:formatCode>
                <c:ptCount val="4"/>
                <c:pt idx="0">
                  <c:v>2022</c:v>
                </c:pt>
                <c:pt idx="1">
                  <c:v>2023</c:v>
                </c:pt>
                <c:pt idx="2">
                  <c:v>2024</c:v>
                </c:pt>
                <c:pt idx="3">
                  <c:v>2025</c:v>
                </c:pt>
              </c:numCache>
            </c:numRef>
          </c:cat>
          <c:val>
            <c:numRef>
              <c:f>'мемо 2011-2016'!$F$49:$I$49</c:f>
              <c:numCache>
                <c:formatCode>#,##0.0</c:formatCode>
                <c:ptCount val="4"/>
                <c:pt idx="0">
                  <c:v>-3.8</c:v>
                </c:pt>
                <c:pt idx="1">
                  <c:v>-3.2895686623233007</c:v>
                </c:pt>
                <c:pt idx="2">
                  <c:v>-2.1573214077959886</c:v>
                </c:pt>
                <c:pt idx="3">
                  <c:v>-1.3564288838312237</c:v>
                </c:pt>
              </c:numCache>
            </c:numRef>
          </c:val>
          <c:smooth val="0"/>
          <c:extLst>
            <c:ext xmlns:c16="http://schemas.microsoft.com/office/drawing/2014/chart" uri="{C3380CC4-5D6E-409C-BE32-E72D297353CC}">
              <c16:uniqueId val="{00000006-DB8E-4EF7-AA96-96A153BF959E}"/>
            </c:ext>
          </c:extLst>
        </c:ser>
        <c:ser>
          <c:idx val="3"/>
          <c:order val="3"/>
          <c:tx>
            <c:strRef>
              <c:f>'мемо 2011-2016'!$E$51</c:f>
              <c:strCache>
                <c:ptCount val="1"/>
                <c:pt idx="0">
                  <c:v>дефицит (десна скала) - алтернативни сценарио</c:v>
                </c:pt>
              </c:strCache>
            </c:strRef>
          </c:tx>
          <c:spPr>
            <a:ln w="47625" cap="rnd" cmpd="sng" algn="ctr">
              <a:solidFill>
                <a:schemeClr val="accent1">
                  <a:lumMod val="40000"/>
                  <a:lumOff val="60000"/>
                </a:schemeClr>
              </a:solidFill>
              <a:prstDash val="solid"/>
              <a:round/>
            </a:ln>
            <a:effectLst/>
          </c:spPr>
          <c:marker>
            <c:symbol val="diamond"/>
            <c:size val="9"/>
            <c:spPr>
              <a:solidFill>
                <a:schemeClr val="accent1">
                  <a:lumMod val="40000"/>
                  <a:lumOff val="60000"/>
                </a:schemeClr>
              </a:solidFill>
              <a:ln w="9525" cap="flat" cmpd="sng" algn="ctr">
                <a:solidFill>
                  <a:schemeClr val="accent1">
                    <a:lumMod val="40000"/>
                    <a:lumOff val="60000"/>
                  </a:schemeClr>
                </a:solidFill>
                <a:prstDash val="solid"/>
                <a:round/>
              </a:ln>
              <a:effectLst/>
            </c:spPr>
          </c:marker>
          <c:dLbls>
            <c:dLbl>
              <c:idx val="0"/>
              <c:layout>
                <c:manualLayout>
                  <c:x val="-1.5622410150204786E-2"/>
                  <c:y val="-8.1120139222115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8E-4EF7-AA96-96A153BF959E}"/>
                </c:ext>
              </c:extLst>
            </c:dLbl>
            <c:dLbl>
              <c:idx val="1"/>
              <c:layout>
                <c:manualLayout>
                  <c:x val="-6.5458142793085983E-2"/>
                  <c:y val="-5.3070946338803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8E-4EF7-AA96-96A153BF959E}"/>
                </c:ext>
              </c:extLst>
            </c:dLbl>
            <c:dLbl>
              <c:idx val="2"/>
              <c:layout>
                <c:manualLayout>
                  <c:x val="-9.7230589123246409E-3"/>
                  <c:y val="5.0040181199169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8E-4EF7-AA96-96A153BF959E}"/>
                </c:ext>
              </c:extLst>
            </c:dLbl>
            <c:dLbl>
              <c:idx val="3"/>
              <c:layout>
                <c:manualLayout>
                  <c:x val="-1.0950175130739632E-2"/>
                  <c:y val="4.153469662891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8E-4EF7-AA96-96A153BF959E}"/>
                </c:ext>
              </c:extLst>
            </c:dLbl>
            <c:dLbl>
              <c:idx val="4"/>
              <c:layout>
                <c:manualLayout>
                  <c:x val="-3.7342767295597629E-2"/>
                  <c:y val="-6.6401062416998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B8E-4EF7-AA96-96A153BF959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2011-2016'!$F$48:$I$48</c:f>
              <c:numCache>
                <c:formatCode>General</c:formatCode>
                <c:ptCount val="4"/>
                <c:pt idx="0">
                  <c:v>2022</c:v>
                </c:pt>
                <c:pt idx="1">
                  <c:v>2023</c:v>
                </c:pt>
                <c:pt idx="2">
                  <c:v>2024</c:v>
                </c:pt>
                <c:pt idx="3">
                  <c:v>2025</c:v>
                </c:pt>
              </c:numCache>
            </c:numRef>
          </c:cat>
          <c:val>
            <c:numRef>
              <c:f>'мемо 2011-2016'!$F$51:$I$51</c:f>
              <c:numCache>
                <c:formatCode>#,##0.0</c:formatCode>
                <c:ptCount val="4"/>
                <c:pt idx="0">
                  <c:v>-3.8</c:v>
                </c:pt>
                <c:pt idx="1">
                  <c:v>-4.0390484028306837</c:v>
                </c:pt>
                <c:pt idx="2">
                  <c:v>-3.2356789564020092</c:v>
                </c:pt>
                <c:pt idx="3">
                  <c:v>-2.7200154480953547</c:v>
                </c:pt>
              </c:numCache>
            </c:numRef>
          </c:val>
          <c:smooth val="0"/>
          <c:extLst>
            <c:ext xmlns:c16="http://schemas.microsoft.com/office/drawing/2014/chart" uri="{C3380CC4-5D6E-409C-BE32-E72D297353CC}">
              <c16:uniqueId val="{0000000C-DB8E-4EF7-AA96-96A153BF959E}"/>
            </c:ext>
          </c:extLst>
        </c:ser>
        <c:dLbls>
          <c:showLegendKey val="0"/>
          <c:showVal val="0"/>
          <c:showCatName val="0"/>
          <c:showSerName val="0"/>
          <c:showPercent val="0"/>
          <c:showBubbleSize val="0"/>
        </c:dLbls>
        <c:marker val="1"/>
        <c:smooth val="0"/>
        <c:axId val="231166016"/>
        <c:axId val="231169280"/>
      </c:lineChart>
      <c:catAx>
        <c:axId val="231180160"/>
        <c:scaling>
          <c:orientation val="minMax"/>
        </c:scaling>
        <c:delete val="0"/>
        <c:axPos val="b"/>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31182336"/>
        <c:crosses val="autoZero"/>
        <c:auto val="1"/>
        <c:lblAlgn val="ctr"/>
        <c:lblOffset val="100"/>
        <c:noMultiLvlLbl val="0"/>
      </c:catAx>
      <c:valAx>
        <c:axId val="231182336"/>
        <c:scaling>
          <c:orientation val="minMax"/>
          <c:max val="70"/>
        </c:scaling>
        <c:delete val="0"/>
        <c:axPos val="l"/>
        <c:majorGridlines>
          <c:spPr>
            <a:ln w="9525" cap="flat" cmpd="sng" algn="ctr">
              <a:noFill/>
              <a:prstDash val="solid"/>
              <a:round/>
            </a:ln>
            <a:effectLst/>
          </c:spPr>
        </c:majorGridlines>
        <c:numFmt formatCode="#,##0.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31180160"/>
        <c:crosses val="autoZero"/>
        <c:crossBetween val="between"/>
      </c:valAx>
      <c:valAx>
        <c:axId val="231169280"/>
        <c:scaling>
          <c:orientation val="minMax"/>
        </c:scaling>
        <c:delete val="0"/>
        <c:axPos val="r"/>
        <c:numFmt formatCode="#,##0.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31166016"/>
        <c:crosses val="max"/>
        <c:crossBetween val="between"/>
      </c:valAx>
      <c:catAx>
        <c:axId val="231166016"/>
        <c:scaling>
          <c:orientation val="minMax"/>
        </c:scaling>
        <c:delete val="1"/>
        <c:axPos val="b"/>
        <c:numFmt formatCode="General" sourceLinked="1"/>
        <c:majorTickMark val="out"/>
        <c:minorTickMark val="none"/>
        <c:tickLblPos val="nextTo"/>
        <c:crossAx val="23116928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2.9179586934220056E-2"/>
          <c:y val="0.89782725834767341"/>
          <c:w val="0.97082036890717383"/>
          <c:h val="8.22523509064678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sz="900" baseline="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4.6197089947089945E-2"/>
          <c:w val="0.90740810185185183"/>
          <c:h val="0.69238921957671962"/>
        </c:manualLayout>
      </c:layout>
      <c:barChart>
        <c:barDir val="col"/>
        <c:grouping val="stacked"/>
        <c:varyColors val="0"/>
        <c:ser>
          <c:idx val="2"/>
          <c:order val="0"/>
          <c:tx>
            <c:strRef>
              <c:f>BDP_doprinosi!$R$8</c:f>
              <c:strCache>
                <c:ptCount val="1"/>
                <c:pt idx="0">
                  <c:v>Приватна потрошња</c:v>
                </c:pt>
              </c:strCache>
            </c:strRef>
          </c:tx>
          <c:spPr>
            <a:solidFill>
              <a:srgbClr val="10103C"/>
            </a:solidFill>
            <a:ln>
              <a:noFill/>
            </a:ln>
            <a:effectLst/>
          </c:spPr>
          <c:invertIfNegative val="0"/>
          <c:cat>
            <c:numRef>
              <c:f>BDP_doprinosi!$AC$6:$AJ$6</c:f>
              <c:numCache>
                <c:formatCode>General</c:formatCode>
                <c:ptCount val="7"/>
                <c:pt idx="0">
                  <c:v>2019</c:v>
                </c:pt>
                <c:pt idx="1">
                  <c:v>2020</c:v>
                </c:pt>
                <c:pt idx="2">
                  <c:v>2021</c:v>
                </c:pt>
                <c:pt idx="3">
                  <c:v>2022</c:v>
                </c:pt>
                <c:pt idx="4">
                  <c:v>2023</c:v>
                </c:pt>
                <c:pt idx="5">
                  <c:v>2024</c:v>
                </c:pt>
                <c:pt idx="6">
                  <c:v>2025</c:v>
                </c:pt>
              </c:numCache>
              <c:extLst/>
            </c:numRef>
          </c:cat>
          <c:val>
            <c:numRef>
              <c:f>BDP_doprinosi!$AC$8:$AJ$8</c:f>
              <c:numCache>
                <c:formatCode>0.0</c:formatCode>
                <c:ptCount val="7"/>
                <c:pt idx="0">
                  <c:v>2.5473076722874062</c:v>
                </c:pt>
                <c:pt idx="1">
                  <c:v>-1.2764569917290163</c:v>
                </c:pt>
                <c:pt idx="2">
                  <c:v>5.1644088309515581</c:v>
                </c:pt>
                <c:pt idx="3">
                  <c:v>2.6942093410947225</c:v>
                </c:pt>
                <c:pt idx="4">
                  <c:v>1.7779093574103602</c:v>
                </c:pt>
                <c:pt idx="5">
                  <c:v>2.0316797284470862</c:v>
                </c:pt>
                <c:pt idx="6">
                  <c:v>2.5067378058198777</c:v>
                </c:pt>
              </c:numCache>
              <c:extLst/>
            </c:numRef>
          </c:val>
          <c:extLst>
            <c:ext xmlns:c16="http://schemas.microsoft.com/office/drawing/2014/chart" uri="{C3380CC4-5D6E-409C-BE32-E72D297353CC}">
              <c16:uniqueId val="{00000000-43EB-4618-BFC8-3A2D0F03B521}"/>
            </c:ext>
          </c:extLst>
        </c:ser>
        <c:ser>
          <c:idx val="3"/>
          <c:order val="1"/>
          <c:tx>
            <c:strRef>
              <c:f>BDP_doprinosi!$R$9</c:f>
              <c:strCache>
                <c:ptCount val="1"/>
                <c:pt idx="0">
                  <c:v>Државна потрошња</c:v>
                </c:pt>
              </c:strCache>
            </c:strRef>
          </c:tx>
          <c:spPr>
            <a:solidFill>
              <a:srgbClr val="29489A"/>
            </a:solidFill>
            <a:ln>
              <a:noFill/>
            </a:ln>
            <a:effectLst/>
          </c:spPr>
          <c:invertIfNegative val="0"/>
          <c:cat>
            <c:numRef>
              <c:f>BDP_doprinosi!$AC$6:$AJ$6</c:f>
              <c:numCache>
                <c:formatCode>General</c:formatCode>
                <c:ptCount val="7"/>
                <c:pt idx="0">
                  <c:v>2019</c:v>
                </c:pt>
                <c:pt idx="1">
                  <c:v>2020</c:v>
                </c:pt>
                <c:pt idx="2">
                  <c:v>2021</c:v>
                </c:pt>
                <c:pt idx="3">
                  <c:v>2022</c:v>
                </c:pt>
                <c:pt idx="4">
                  <c:v>2023</c:v>
                </c:pt>
                <c:pt idx="5">
                  <c:v>2024</c:v>
                </c:pt>
                <c:pt idx="6">
                  <c:v>2025</c:v>
                </c:pt>
              </c:numCache>
              <c:extLst/>
            </c:numRef>
          </c:cat>
          <c:val>
            <c:numRef>
              <c:f>BDP_doprinosi!$AC$9:$AJ$9</c:f>
              <c:numCache>
                <c:formatCode>0.0</c:formatCode>
                <c:ptCount val="7"/>
                <c:pt idx="0">
                  <c:v>0.32165362516949936</c:v>
                </c:pt>
                <c:pt idx="1">
                  <c:v>0.46680918748177314</c:v>
                </c:pt>
                <c:pt idx="2">
                  <c:v>0.72387323767875245</c:v>
                </c:pt>
                <c:pt idx="3">
                  <c:v>6.2422960040865019E-2</c:v>
                </c:pt>
                <c:pt idx="4">
                  <c:v>-0.29947996418286882</c:v>
                </c:pt>
                <c:pt idx="5">
                  <c:v>0.122823742683491</c:v>
                </c:pt>
                <c:pt idx="6">
                  <c:v>0.11393565437396301</c:v>
                </c:pt>
              </c:numCache>
              <c:extLst/>
            </c:numRef>
          </c:val>
          <c:extLst>
            <c:ext xmlns:c16="http://schemas.microsoft.com/office/drawing/2014/chart" uri="{C3380CC4-5D6E-409C-BE32-E72D297353CC}">
              <c16:uniqueId val="{00000001-43EB-4618-BFC8-3A2D0F03B521}"/>
            </c:ext>
          </c:extLst>
        </c:ser>
        <c:ser>
          <c:idx val="1"/>
          <c:order val="2"/>
          <c:tx>
            <c:strRef>
              <c:f>BDP_doprinosi!$R$10</c:f>
              <c:strCache>
                <c:ptCount val="1"/>
                <c:pt idx="0">
                  <c:v>Инвестиције</c:v>
                </c:pt>
              </c:strCache>
            </c:strRef>
          </c:tx>
          <c:spPr>
            <a:solidFill>
              <a:srgbClr val="2183C4"/>
            </a:solidFill>
            <a:ln>
              <a:noFill/>
            </a:ln>
            <a:effectLst/>
          </c:spPr>
          <c:invertIfNegative val="0"/>
          <c:cat>
            <c:numRef>
              <c:f>BDP_doprinosi!$AC$6:$AJ$6</c:f>
              <c:numCache>
                <c:formatCode>General</c:formatCode>
                <c:ptCount val="7"/>
                <c:pt idx="0">
                  <c:v>2019</c:v>
                </c:pt>
                <c:pt idx="1">
                  <c:v>2020</c:v>
                </c:pt>
                <c:pt idx="2">
                  <c:v>2021</c:v>
                </c:pt>
                <c:pt idx="3">
                  <c:v>2022</c:v>
                </c:pt>
                <c:pt idx="4">
                  <c:v>2023</c:v>
                </c:pt>
                <c:pt idx="5">
                  <c:v>2024</c:v>
                </c:pt>
                <c:pt idx="6">
                  <c:v>2025</c:v>
                </c:pt>
              </c:numCache>
              <c:extLst/>
            </c:numRef>
          </c:cat>
          <c:val>
            <c:numRef>
              <c:f>BDP_doprinosi!$AC$10:$AJ$10</c:f>
              <c:numCache>
                <c:formatCode>0.0</c:formatCode>
                <c:ptCount val="7"/>
                <c:pt idx="0">
                  <c:v>3.4525777672115594</c:v>
                </c:pt>
                <c:pt idx="1">
                  <c:v>-0.42709950381708101</c:v>
                </c:pt>
                <c:pt idx="2">
                  <c:v>3.4031222048652956</c:v>
                </c:pt>
                <c:pt idx="3">
                  <c:v>0</c:v>
                </c:pt>
                <c:pt idx="4">
                  <c:v>0.56853513649669296</c:v>
                </c:pt>
                <c:pt idx="5">
                  <c:v>1.2406959061365301</c:v>
                </c:pt>
                <c:pt idx="6">
                  <c:v>1.395971915686365</c:v>
                </c:pt>
              </c:numCache>
              <c:extLst/>
            </c:numRef>
          </c:val>
          <c:extLst>
            <c:ext xmlns:c16="http://schemas.microsoft.com/office/drawing/2014/chart" uri="{C3380CC4-5D6E-409C-BE32-E72D297353CC}">
              <c16:uniqueId val="{00000002-43EB-4618-BFC8-3A2D0F03B521}"/>
            </c:ext>
          </c:extLst>
        </c:ser>
        <c:ser>
          <c:idx val="0"/>
          <c:order val="3"/>
          <c:tx>
            <c:strRef>
              <c:f>BDP_doprinosi!$R$11</c:f>
              <c:strCache>
                <c:ptCount val="1"/>
                <c:pt idx="0">
                  <c:v>Нето извоз</c:v>
                </c:pt>
              </c:strCache>
            </c:strRef>
          </c:tx>
          <c:spPr>
            <a:solidFill>
              <a:srgbClr val="51BBE7"/>
            </a:solidFill>
            <a:ln>
              <a:noFill/>
            </a:ln>
            <a:effectLst/>
          </c:spPr>
          <c:invertIfNegative val="0"/>
          <c:cat>
            <c:numRef>
              <c:f>BDP_doprinosi!$AC$6:$AJ$6</c:f>
              <c:numCache>
                <c:formatCode>General</c:formatCode>
                <c:ptCount val="7"/>
                <c:pt idx="0">
                  <c:v>2019</c:v>
                </c:pt>
                <c:pt idx="1">
                  <c:v>2020</c:v>
                </c:pt>
                <c:pt idx="2">
                  <c:v>2021</c:v>
                </c:pt>
                <c:pt idx="3">
                  <c:v>2022</c:v>
                </c:pt>
                <c:pt idx="4">
                  <c:v>2023</c:v>
                </c:pt>
                <c:pt idx="5">
                  <c:v>2024</c:v>
                </c:pt>
                <c:pt idx="6">
                  <c:v>2025</c:v>
                </c:pt>
              </c:numCache>
              <c:extLst/>
            </c:numRef>
          </c:cat>
          <c:val>
            <c:numRef>
              <c:f>BDP_doprinosi!$AC$11:$AJ$11</c:f>
              <c:numCache>
                <c:formatCode>0.0</c:formatCode>
                <c:ptCount val="7"/>
                <c:pt idx="0">
                  <c:v>-2.4321559378222171</c:v>
                </c:pt>
                <c:pt idx="1">
                  <c:v>4.8654967722925199E-2</c:v>
                </c:pt>
                <c:pt idx="2">
                  <c:v>-0.57776184879140813</c:v>
                </c:pt>
                <c:pt idx="3">
                  <c:v>-1.7062492303782639</c:v>
                </c:pt>
                <c:pt idx="4">
                  <c:v>7.8416962996889716E-2</c:v>
                </c:pt>
                <c:pt idx="5">
                  <c:v>0.46323792057173013</c:v>
                </c:pt>
                <c:pt idx="6">
                  <c:v>0.25397348567736205</c:v>
                </c:pt>
              </c:numCache>
              <c:extLst/>
            </c:numRef>
          </c:val>
          <c:extLst>
            <c:ext xmlns:c16="http://schemas.microsoft.com/office/drawing/2014/chart" uri="{C3380CC4-5D6E-409C-BE32-E72D297353CC}">
              <c16:uniqueId val="{00000003-43EB-4618-BFC8-3A2D0F03B521}"/>
            </c:ext>
          </c:extLst>
        </c:ser>
        <c:ser>
          <c:idx val="4"/>
          <c:order val="4"/>
          <c:tx>
            <c:strRef>
              <c:f>BDP_doprinosi!$R$12</c:f>
              <c:strCache>
                <c:ptCount val="1"/>
                <c:pt idx="0">
                  <c:v>Промена у залихама</c:v>
                </c:pt>
              </c:strCache>
            </c:strRef>
          </c:tx>
          <c:spPr>
            <a:solidFill>
              <a:srgbClr val="9ED1E6"/>
            </a:solidFill>
            <a:ln>
              <a:noFill/>
            </a:ln>
            <a:effectLst/>
          </c:spPr>
          <c:invertIfNegative val="0"/>
          <c:cat>
            <c:numRef>
              <c:f>BDP_doprinosi!$AC$6:$AJ$6</c:f>
              <c:numCache>
                <c:formatCode>General</c:formatCode>
                <c:ptCount val="7"/>
                <c:pt idx="0">
                  <c:v>2019</c:v>
                </c:pt>
                <c:pt idx="1">
                  <c:v>2020</c:v>
                </c:pt>
                <c:pt idx="2">
                  <c:v>2021</c:v>
                </c:pt>
                <c:pt idx="3">
                  <c:v>2022</c:v>
                </c:pt>
                <c:pt idx="4">
                  <c:v>2023</c:v>
                </c:pt>
                <c:pt idx="5">
                  <c:v>2024</c:v>
                </c:pt>
                <c:pt idx="6">
                  <c:v>2025</c:v>
                </c:pt>
              </c:numCache>
              <c:extLst/>
            </c:numRef>
          </c:cat>
          <c:val>
            <c:numRef>
              <c:f>BDP_doprinosi!$AC$12:$AJ$12</c:f>
              <c:numCache>
                <c:formatCode>0.0</c:formatCode>
                <c:ptCount val="7"/>
                <c:pt idx="0">
                  <c:v>0.44235332901016944</c:v>
                </c:pt>
                <c:pt idx="1">
                  <c:v>0.28486948729117645</c:v>
                </c:pt>
                <c:pt idx="2">
                  <c:v>-1.1637298143063151</c:v>
                </c:pt>
                <c:pt idx="3">
                  <c:v>1.4927019249111804</c:v>
                </c:pt>
                <c:pt idx="4">
                  <c:v>0.32461850727891611</c:v>
                </c:pt>
                <c:pt idx="5">
                  <c:v>-0.32843729783883147</c:v>
                </c:pt>
                <c:pt idx="6">
                  <c:v>-0.24061886155757353</c:v>
                </c:pt>
              </c:numCache>
              <c:extLst/>
            </c:numRef>
          </c:val>
          <c:extLst>
            <c:ext xmlns:c16="http://schemas.microsoft.com/office/drawing/2014/chart" uri="{C3380CC4-5D6E-409C-BE32-E72D297353CC}">
              <c16:uniqueId val="{00000004-43EB-4618-BFC8-3A2D0F03B521}"/>
            </c:ext>
          </c:extLst>
        </c:ser>
        <c:dLbls>
          <c:showLegendKey val="0"/>
          <c:showVal val="0"/>
          <c:showCatName val="0"/>
          <c:showSerName val="0"/>
          <c:showPercent val="0"/>
          <c:showBubbleSize val="0"/>
        </c:dLbls>
        <c:gapWidth val="60"/>
        <c:overlap val="100"/>
        <c:axId val="2080938768"/>
        <c:axId val="2080108432"/>
      </c:barChart>
      <c:lineChart>
        <c:grouping val="standard"/>
        <c:varyColors val="0"/>
        <c:ser>
          <c:idx val="5"/>
          <c:order val="5"/>
          <c:tx>
            <c:strRef>
              <c:f>BDP_doprinosi!$R$13</c:f>
              <c:strCache>
                <c:ptCount val="1"/>
                <c:pt idx="0">
                  <c:v>Реални раст БДП</c:v>
                </c:pt>
              </c:strCache>
            </c:strRef>
          </c:tx>
          <c:spPr>
            <a:ln w="25400" cap="rnd">
              <a:solidFill>
                <a:srgbClr val="FF0000"/>
              </a:solidFill>
              <a:round/>
            </a:ln>
            <a:effectLst/>
          </c:spPr>
          <c:marker>
            <c:symbol val="none"/>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EB-4618-BFC8-3A2D0F03B521}"/>
                </c:ext>
              </c:extLst>
            </c:dLbl>
            <c:dLbl>
              <c:idx val="2"/>
              <c:layout>
                <c:manualLayout>
                  <c:x val="-6.1585739282589674E-2"/>
                  <c:y val="-0.1063340623153343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EB-4618-BFC8-3A2D0F03B521}"/>
                </c:ext>
              </c:extLst>
            </c:dLbl>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BDP_doprinosi!$AC$6:$AJ$6</c:f>
              <c:numCache>
                <c:formatCode>General</c:formatCode>
                <c:ptCount val="7"/>
                <c:pt idx="0">
                  <c:v>2019</c:v>
                </c:pt>
                <c:pt idx="1">
                  <c:v>2020</c:v>
                </c:pt>
                <c:pt idx="2">
                  <c:v>2021</c:v>
                </c:pt>
                <c:pt idx="3">
                  <c:v>2022</c:v>
                </c:pt>
                <c:pt idx="4">
                  <c:v>2023</c:v>
                </c:pt>
                <c:pt idx="5">
                  <c:v>2024</c:v>
                </c:pt>
                <c:pt idx="6">
                  <c:v>2025</c:v>
                </c:pt>
              </c:numCache>
              <c:extLst/>
            </c:numRef>
          </c:cat>
          <c:val>
            <c:numRef>
              <c:f>BDP_doprinosi!$AC$13:$AJ$13</c:f>
              <c:numCache>
                <c:formatCode>0.0</c:formatCode>
                <c:ptCount val="7"/>
                <c:pt idx="0">
                  <c:v>4.3317364558564329</c:v>
                </c:pt>
                <c:pt idx="1">
                  <c:v>-0.90321916427328408</c:v>
                </c:pt>
                <c:pt idx="2">
                  <c:v>7.5499107936795609</c:v>
                </c:pt>
                <c:pt idx="3">
                  <c:v>2.5430849956685013</c:v>
                </c:pt>
                <c:pt idx="4">
                  <c:v>2.4500000000000006</c:v>
                </c:pt>
                <c:pt idx="5">
                  <c:v>3.5299999999999958</c:v>
                </c:pt>
                <c:pt idx="6">
                  <c:v>4.0300000000000082</c:v>
                </c:pt>
              </c:numCache>
              <c:extLst/>
            </c:numRef>
          </c:val>
          <c:smooth val="0"/>
          <c:extLst>
            <c:ext xmlns:c16="http://schemas.microsoft.com/office/drawing/2014/chart" uri="{C3380CC4-5D6E-409C-BE32-E72D297353CC}">
              <c16:uniqueId val="{00000007-43EB-4618-BFC8-3A2D0F03B521}"/>
            </c:ext>
          </c:extLst>
        </c:ser>
        <c:dLbls>
          <c:showLegendKey val="0"/>
          <c:showVal val="0"/>
          <c:showCatName val="0"/>
          <c:showSerName val="0"/>
          <c:showPercent val="0"/>
          <c:showBubbleSize val="0"/>
        </c:dLbls>
        <c:marker val="1"/>
        <c:smooth val="0"/>
        <c:axId val="2080938768"/>
        <c:axId val="2080108432"/>
      </c:lineChart>
      <c:catAx>
        <c:axId val="2080938768"/>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0108432"/>
        <c:crosses val="autoZero"/>
        <c:auto val="1"/>
        <c:lblAlgn val="ctr"/>
        <c:lblOffset val="100"/>
        <c:noMultiLvlLbl val="0"/>
      </c:catAx>
      <c:valAx>
        <c:axId val="2080108432"/>
        <c:scaling>
          <c:orientation val="minMax"/>
          <c:min val="-4"/>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0938768"/>
        <c:crosses val="autoZero"/>
        <c:crossBetween val="between"/>
      </c:valAx>
      <c:spPr>
        <a:noFill/>
        <a:ln>
          <a:noFill/>
        </a:ln>
        <a:effectLst/>
      </c:spPr>
    </c:plotArea>
    <c:legend>
      <c:legendPos val="b"/>
      <c:layout>
        <c:manualLayout>
          <c:xMode val="edge"/>
          <c:yMode val="edge"/>
          <c:x val="0"/>
          <c:y val="0.83244109195402283"/>
          <c:w val="1"/>
          <c:h val="0.16755890804597701"/>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chemeClr val="tx2"/>
          </a:solidFill>
          <a:latin typeface="+mn-lt"/>
          <a:cs typeface="Arial" panose="020B0604020202020204" pitchFamily="34"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890798861412E-2"/>
          <c:y val="0.1330256638670656"/>
          <c:w val="0.90740810185185183"/>
          <c:h val="0.54290136863667737"/>
        </c:manualLayout>
      </c:layout>
      <c:barChart>
        <c:barDir val="col"/>
        <c:grouping val="stacked"/>
        <c:varyColors val="0"/>
        <c:ser>
          <c:idx val="2"/>
          <c:order val="1"/>
          <c:tx>
            <c:strRef>
              <c:f>'nepoljoprivredni BDP'!$D$5</c:f>
              <c:strCache>
                <c:ptCount val="1"/>
                <c:pt idx="0">
                  <c:v>Допринос фактора рада, п.п.</c:v>
                </c:pt>
              </c:strCache>
            </c:strRef>
          </c:tx>
          <c:spPr>
            <a:solidFill>
              <a:srgbClr val="10103C"/>
            </a:solidFill>
            <a:ln>
              <a:noFill/>
            </a:ln>
            <a:effectLst/>
          </c:spPr>
          <c:invertIfNegative val="0"/>
          <c:cat>
            <c:numRef>
              <c:f>'nepoljoprivredni BDP'!$B$10:$B$16</c:f>
              <c:numCache>
                <c:formatCode>General</c:formatCode>
                <c:ptCount val="7"/>
                <c:pt idx="0">
                  <c:v>2019</c:v>
                </c:pt>
                <c:pt idx="1">
                  <c:v>2020</c:v>
                </c:pt>
                <c:pt idx="2">
                  <c:v>2021</c:v>
                </c:pt>
                <c:pt idx="3">
                  <c:v>2022</c:v>
                </c:pt>
                <c:pt idx="4">
                  <c:v>2023</c:v>
                </c:pt>
                <c:pt idx="5">
                  <c:v>2024</c:v>
                </c:pt>
                <c:pt idx="6">
                  <c:v>2025</c:v>
                </c:pt>
              </c:numCache>
            </c:numRef>
          </c:cat>
          <c:val>
            <c:numRef>
              <c:f>'nepoljoprivredni BDP'!$D$10:$D$16</c:f>
              <c:numCache>
                <c:formatCode>0.0</c:formatCode>
                <c:ptCount val="7"/>
                <c:pt idx="0">
                  <c:v>1.3122050478265457</c:v>
                </c:pt>
                <c:pt idx="1">
                  <c:v>1.1623085151343993</c:v>
                </c:pt>
                <c:pt idx="2">
                  <c:v>1.0671274220490368</c:v>
                </c:pt>
                <c:pt idx="3">
                  <c:v>1.0131907301514951</c:v>
                </c:pt>
                <c:pt idx="4">
                  <c:v>1.0788467913914934</c:v>
                </c:pt>
                <c:pt idx="5">
                  <c:v>0.93875934003053496</c:v>
                </c:pt>
                <c:pt idx="6">
                  <c:v>0.83591863729096783</c:v>
                </c:pt>
              </c:numCache>
            </c:numRef>
          </c:val>
          <c:extLst>
            <c:ext xmlns:c16="http://schemas.microsoft.com/office/drawing/2014/chart" uri="{C3380CC4-5D6E-409C-BE32-E72D297353CC}">
              <c16:uniqueId val="{00000000-5CA0-4825-A1C3-9D092F55AB41}"/>
            </c:ext>
          </c:extLst>
        </c:ser>
        <c:ser>
          <c:idx val="1"/>
          <c:order val="2"/>
          <c:tx>
            <c:strRef>
              <c:f>'nepoljoprivredni BDP'!$E$5</c:f>
              <c:strCache>
                <c:ptCount val="1"/>
                <c:pt idx="0">
                  <c:v>Допринос капитала, п.п.</c:v>
                </c:pt>
              </c:strCache>
            </c:strRef>
          </c:tx>
          <c:spPr>
            <a:solidFill>
              <a:srgbClr val="29489A"/>
            </a:solidFill>
            <a:ln>
              <a:noFill/>
            </a:ln>
            <a:effectLst/>
          </c:spPr>
          <c:invertIfNegative val="0"/>
          <c:cat>
            <c:numRef>
              <c:f>'nepoljoprivredni BDP'!$B$10:$B$16</c:f>
              <c:numCache>
                <c:formatCode>General</c:formatCode>
                <c:ptCount val="7"/>
                <c:pt idx="0">
                  <c:v>2019</c:v>
                </c:pt>
                <c:pt idx="1">
                  <c:v>2020</c:v>
                </c:pt>
                <c:pt idx="2">
                  <c:v>2021</c:v>
                </c:pt>
                <c:pt idx="3">
                  <c:v>2022</c:v>
                </c:pt>
                <c:pt idx="4">
                  <c:v>2023</c:v>
                </c:pt>
                <c:pt idx="5">
                  <c:v>2024</c:v>
                </c:pt>
                <c:pt idx="6">
                  <c:v>2025</c:v>
                </c:pt>
              </c:numCache>
            </c:numRef>
          </c:cat>
          <c:val>
            <c:numRef>
              <c:f>'nepoljoprivredni BDP'!$E$10:$E$16</c:f>
              <c:numCache>
                <c:formatCode>0.0</c:formatCode>
                <c:ptCount val="7"/>
                <c:pt idx="0">
                  <c:v>1.4937664053533428</c:v>
                </c:pt>
                <c:pt idx="1">
                  <c:v>1.2520403410443093</c:v>
                </c:pt>
                <c:pt idx="2">
                  <c:v>1.7094420925119269</c:v>
                </c:pt>
                <c:pt idx="3">
                  <c:v>1.1891100047719199</c:v>
                </c:pt>
                <c:pt idx="4">
                  <c:v>1.4064121471588464</c:v>
                </c:pt>
                <c:pt idx="5">
                  <c:v>1.4518420504717588</c:v>
                </c:pt>
                <c:pt idx="6">
                  <c:v>1.5159903049549595</c:v>
                </c:pt>
              </c:numCache>
            </c:numRef>
          </c:val>
          <c:extLst>
            <c:ext xmlns:c16="http://schemas.microsoft.com/office/drawing/2014/chart" uri="{C3380CC4-5D6E-409C-BE32-E72D297353CC}">
              <c16:uniqueId val="{00000001-5CA0-4825-A1C3-9D092F55AB41}"/>
            </c:ext>
          </c:extLst>
        </c:ser>
        <c:ser>
          <c:idx val="3"/>
          <c:order val="3"/>
          <c:tx>
            <c:strRef>
              <c:f>'nepoljoprivredni BDP'!$F$5</c:f>
              <c:strCache>
                <c:ptCount val="1"/>
                <c:pt idx="0">
                  <c:v>ТФП, п.п.</c:v>
                </c:pt>
              </c:strCache>
            </c:strRef>
          </c:tx>
          <c:spPr>
            <a:solidFill>
              <a:srgbClr val="51BBE7"/>
            </a:solidFill>
            <a:ln>
              <a:noFill/>
            </a:ln>
            <a:effectLst/>
          </c:spPr>
          <c:invertIfNegative val="0"/>
          <c:cat>
            <c:numRef>
              <c:f>'nepoljoprivredni BDP'!$B$10:$B$16</c:f>
              <c:numCache>
                <c:formatCode>General</c:formatCode>
                <c:ptCount val="7"/>
                <c:pt idx="0">
                  <c:v>2019</c:v>
                </c:pt>
                <c:pt idx="1">
                  <c:v>2020</c:v>
                </c:pt>
                <c:pt idx="2">
                  <c:v>2021</c:v>
                </c:pt>
                <c:pt idx="3">
                  <c:v>2022</c:v>
                </c:pt>
                <c:pt idx="4">
                  <c:v>2023</c:v>
                </c:pt>
                <c:pt idx="5">
                  <c:v>2024</c:v>
                </c:pt>
                <c:pt idx="6">
                  <c:v>2025</c:v>
                </c:pt>
              </c:numCache>
            </c:numRef>
          </c:cat>
          <c:val>
            <c:numRef>
              <c:f>'nepoljoprivredni BDP'!$F$10:$F$16</c:f>
              <c:numCache>
                <c:formatCode>0.0</c:formatCode>
                <c:ptCount val="7"/>
                <c:pt idx="0">
                  <c:v>0.43286694935909087</c:v>
                </c:pt>
                <c:pt idx="1">
                  <c:v>0.94288647669782044</c:v>
                </c:pt>
                <c:pt idx="2">
                  <c:v>0.73692806817599377</c:v>
                </c:pt>
                <c:pt idx="3">
                  <c:v>1.3670817810839873</c:v>
                </c:pt>
                <c:pt idx="4">
                  <c:v>1.101014192509119</c:v>
                </c:pt>
                <c:pt idx="5">
                  <c:v>1.2806744756011357</c:v>
                </c:pt>
                <c:pt idx="6">
                  <c:v>1.4416372723228941</c:v>
                </c:pt>
              </c:numCache>
            </c:numRef>
          </c:val>
          <c:extLst>
            <c:ext xmlns:c16="http://schemas.microsoft.com/office/drawing/2014/chart" uri="{C3380CC4-5D6E-409C-BE32-E72D297353CC}">
              <c16:uniqueId val="{00000002-5CA0-4825-A1C3-9D092F55AB41}"/>
            </c:ext>
          </c:extLst>
        </c:ser>
        <c:dLbls>
          <c:showLegendKey val="0"/>
          <c:showVal val="0"/>
          <c:showCatName val="0"/>
          <c:showSerName val="0"/>
          <c:showPercent val="0"/>
          <c:showBubbleSize val="0"/>
        </c:dLbls>
        <c:gapWidth val="60"/>
        <c:overlap val="100"/>
        <c:axId val="253051184"/>
        <c:axId val="390432992"/>
      </c:barChart>
      <c:lineChart>
        <c:grouping val="standard"/>
        <c:varyColors val="0"/>
        <c:ser>
          <c:idx val="0"/>
          <c:order val="0"/>
          <c:tx>
            <c:strRef>
              <c:f>'nepoljoprivredni BDP'!$C$5</c:f>
              <c:strCache>
                <c:ptCount val="1"/>
                <c:pt idx="0">
                  <c:v>Раст потенцијалног БДП, %</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'nepoljoprivredni BDP'!$B$10:$B$16</c:f>
              <c:numCache>
                <c:formatCode>General</c:formatCode>
                <c:ptCount val="7"/>
                <c:pt idx="0">
                  <c:v>2019</c:v>
                </c:pt>
                <c:pt idx="1">
                  <c:v>2020</c:v>
                </c:pt>
                <c:pt idx="2">
                  <c:v>2021</c:v>
                </c:pt>
                <c:pt idx="3">
                  <c:v>2022</c:v>
                </c:pt>
                <c:pt idx="4">
                  <c:v>2023</c:v>
                </c:pt>
                <c:pt idx="5">
                  <c:v>2024</c:v>
                </c:pt>
                <c:pt idx="6">
                  <c:v>2025</c:v>
                </c:pt>
              </c:numCache>
            </c:numRef>
          </c:cat>
          <c:val>
            <c:numRef>
              <c:f>'nepoljoprivredni BDP'!$C$10:$C$16</c:f>
              <c:numCache>
                <c:formatCode>0.0</c:formatCode>
                <c:ptCount val="7"/>
                <c:pt idx="0">
                  <c:v>3.2388384025389794</c:v>
                </c:pt>
                <c:pt idx="1">
                  <c:v>3.3572353328765292</c:v>
                </c:pt>
                <c:pt idx="2">
                  <c:v>3.5134975827369574</c:v>
                </c:pt>
                <c:pt idx="3">
                  <c:v>3.5693825160074022</c:v>
                </c:pt>
                <c:pt idx="4">
                  <c:v>3.5862731310594587</c:v>
                </c:pt>
                <c:pt idx="5">
                  <c:v>3.6712758661034295</c:v>
                </c:pt>
                <c:pt idx="6">
                  <c:v>3.7935462145688215</c:v>
                </c:pt>
              </c:numCache>
            </c:numRef>
          </c:val>
          <c:smooth val="0"/>
          <c:extLst>
            <c:ext xmlns:c16="http://schemas.microsoft.com/office/drawing/2014/chart" uri="{C3380CC4-5D6E-409C-BE32-E72D297353CC}">
              <c16:uniqueId val="{00000003-5CA0-4825-A1C3-9D092F55AB41}"/>
            </c:ext>
          </c:extLst>
        </c:ser>
        <c:dLbls>
          <c:showLegendKey val="0"/>
          <c:showVal val="0"/>
          <c:showCatName val="0"/>
          <c:showSerName val="0"/>
          <c:showPercent val="0"/>
          <c:showBubbleSize val="0"/>
        </c:dLbls>
        <c:marker val="1"/>
        <c:smooth val="0"/>
        <c:axId val="253051184"/>
        <c:axId val="390432992"/>
      </c:lineChart>
      <c:catAx>
        <c:axId val="253051184"/>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0432992"/>
        <c:crossesAt val="0"/>
        <c:auto val="1"/>
        <c:lblAlgn val="ctr"/>
        <c:lblOffset val="100"/>
        <c:noMultiLvlLbl val="0"/>
      </c:catAx>
      <c:valAx>
        <c:axId val="390432992"/>
        <c:scaling>
          <c:orientation val="minMax"/>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3051184"/>
        <c:crosses val="autoZero"/>
        <c:crossBetween val="between"/>
        <c:majorUnit val="1"/>
        <c:minorUnit val="0.2"/>
      </c:valAx>
      <c:spPr>
        <a:noFill/>
        <a:ln>
          <a:noFill/>
        </a:ln>
        <a:effectLst/>
      </c:spPr>
    </c:plotArea>
    <c:legend>
      <c:legendPos val="b"/>
      <c:layout>
        <c:manualLayout>
          <c:xMode val="edge"/>
          <c:yMode val="edge"/>
          <c:x val="1.4346234889652889E-3"/>
          <c:y val="0.79209678819444451"/>
          <c:w val="0.99827437063324831"/>
          <c:h val="0.19444878472222224"/>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chemeClr val="tx2"/>
          </a:solidFill>
          <a:latin typeface="+mn-lt"/>
          <a:cs typeface="Arial" panose="020B0604020202020204" pitchFamily="34"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217259528330458E-2"/>
          <c:y val="3.0334528263489927E-2"/>
          <c:w val="0.91156548094333911"/>
          <c:h val="0.86751146663327128"/>
        </c:manualLayout>
      </c:layout>
      <c:areaChart>
        <c:grouping val="stacked"/>
        <c:varyColors val="0"/>
        <c:ser>
          <c:idx val="0"/>
          <c:order val="1"/>
          <c:tx>
            <c:strRef>
              <c:f>'fan chart srbija'!$G$4</c:f>
              <c:strCache>
                <c:ptCount val="1"/>
                <c:pt idx="0">
                  <c:v>dno</c:v>
                </c:pt>
              </c:strCache>
            </c:strRef>
          </c:tx>
          <c:spPr>
            <a:noFill/>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srbija'!$G$7:$G$14</c:f>
              <c:numCache>
                <c:formatCode>0.0</c:formatCode>
                <c:ptCount val="8"/>
                <c:pt idx="0">
                  <c:v>4.5</c:v>
                </c:pt>
                <c:pt idx="1">
                  <c:v>4.3</c:v>
                </c:pt>
                <c:pt idx="2">
                  <c:v>-0.9</c:v>
                </c:pt>
                <c:pt idx="3">
                  <c:v>7.5</c:v>
                </c:pt>
                <c:pt idx="4">
                  <c:v>2.2000000000000002</c:v>
                </c:pt>
                <c:pt idx="5">
                  <c:v>0</c:v>
                </c:pt>
                <c:pt idx="6">
                  <c:v>1</c:v>
                </c:pt>
                <c:pt idx="7">
                  <c:v>1</c:v>
                </c:pt>
              </c:numCache>
            </c:numRef>
          </c:val>
          <c:extLst>
            <c:ext xmlns:c16="http://schemas.microsoft.com/office/drawing/2014/chart" uri="{C3380CC4-5D6E-409C-BE32-E72D297353CC}">
              <c16:uniqueId val="{00000000-5855-456D-BAB9-3EC7EEAD5E29}"/>
            </c:ext>
          </c:extLst>
        </c:ser>
        <c:ser>
          <c:idx val="2"/>
          <c:order val="2"/>
          <c:tx>
            <c:strRef>
              <c:f>'fan chart srbija'!$H$4</c:f>
              <c:strCache>
                <c:ptCount val="1"/>
                <c:pt idx="0">
                  <c:v>90</c:v>
                </c:pt>
              </c:strCache>
            </c:strRef>
          </c:tx>
          <c:spPr>
            <a:solidFill>
              <a:srgbClr val="FFF1F1"/>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srbija'!$H$7:$H$14</c:f>
              <c:numCache>
                <c:formatCode>0.0</c:formatCode>
                <c:ptCount val="8"/>
                <c:pt idx="0">
                  <c:v>0</c:v>
                </c:pt>
                <c:pt idx="1">
                  <c:v>0</c:v>
                </c:pt>
                <c:pt idx="2">
                  <c:v>0</c:v>
                </c:pt>
                <c:pt idx="3">
                  <c:v>0</c:v>
                </c:pt>
                <c:pt idx="4">
                  <c:v>0.2</c:v>
                </c:pt>
                <c:pt idx="5">
                  <c:v>0.9</c:v>
                </c:pt>
                <c:pt idx="6">
                  <c:v>0.9</c:v>
                </c:pt>
                <c:pt idx="7">
                  <c:v>0.9</c:v>
                </c:pt>
              </c:numCache>
            </c:numRef>
          </c:val>
          <c:extLst>
            <c:ext xmlns:c16="http://schemas.microsoft.com/office/drawing/2014/chart" uri="{C3380CC4-5D6E-409C-BE32-E72D297353CC}">
              <c16:uniqueId val="{00000001-5855-456D-BAB9-3EC7EEAD5E29}"/>
            </c:ext>
          </c:extLst>
        </c:ser>
        <c:ser>
          <c:idx val="3"/>
          <c:order val="3"/>
          <c:tx>
            <c:strRef>
              <c:f>'fan chart srbija'!$I$4</c:f>
              <c:strCache>
                <c:ptCount val="1"/>
                <c:pt idx="0">
                  <c:v>80</c:v>
                </c:pt>
              </c:strCache>
            </c:strRef>
          </c:tx>
          <c:spPr>
            <a:solidFill>
              <a:srgbClr val="FFD5D5"/>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srbija'!$I$7:$I$14</c:f>
              <c:numCache>
                <c:formatCode>0.0</c:formatCode>
                <c:ptCount val="8"/>
                <c:pt idx="0">
                  <c:v>0</c:v>
                </c:pt>
                <c:pt idx="1">
                  <c:v>0</c:v>
                </c:pt>
                <c:pt idx="2">
                  <c:v>0</c:v>
                </c:pt>
                <c:pt idx="3">
                  <c:v>0</c:v>
                </c:pt>
                <c:pt idx="4">
                  <c:v>0.1</c:v>
                </c:pt>
                <c:pt idx="5">
                  <c:v>0.8</c:v>
                </c:pt>
                <c:pt idx="6">
                  <c:v>0.7</c:v>
                </c:pt>
                <c:pt idx="7">
                  <c:v>0.9</c:v>
                </c:pt>
              </c:numCache>
            </c:numRef>
          </c:val>
          <c:extLst>
            <c:ext xmlns:c16="http://schemas.microsoft.com/office/drawing/2014/chart" uri="{C3380CC4-5D6E-409C-BE32-E72D297353CC}">
              <c16:uniqueId val="{00000002-5855-456D-BAB9-3EC7EEAD5E29}"/>
            </c:ext>
          </c:extLst>
        </c:ser>
        <c:ser>
          <c:idx val="4"/>
          <c:order val="4"/>
          <c:tx>
            <c:strRef>
              <c:f>'fan chart srbija'!$J$4</c:f>
              <c:strCache>
                <c:ptCount val="1"/>
                <c:pt idx="0">
                  <c:v>70</c:v>
                </c:pt>
              </c:strCache>
            </c:strRef>
          </c:tx>
          <c:spPr>
            <a:solidFill>
              <a:srgbClr val="FFAFAF"/>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srbija'!$J$7:$J$14</c:f>
              <c:numCache>
                <c:formatCode>0.0</c:formatCode>
                <c:ptCount val="8"/>
                <c:pt idx="0">
                  <c:v>0</c:v>
                </c:pt>
                <c:pt idx="1">
                  <c:v>0</c:v>
                </c:pt>
                <c:pt idx="2">
                  <c:v>0</c:v>
                </c:pt>
                <c:pt idx="3">
                  <c:v>0</c:v>
                </c:pt>
                <c:pt idx="4">
                  <c:v>0</c:v>
                </c:pt>
                <c:pt idx="5">
                  <c:v>0</c:v>
                </c:pt>
                <c:pt idx="6">
                  <c:v>0.3</c:v>
                </c:pt>
                <c:pt idx="7">
                  <c:v>0.5</c:v>
                </c:pt>
              </c:numCache>
            </c:numRef>
          </c:val>
          <c:extLst>
            <c:ext xmlns:c16="http://schemas.microsoft.com/office/drawing/2014/chart" uri="{C3380CC4-5D6E-409C-BE32-E72D297353CC}">
              <c16:uniqueId val="{00000003-5855-456D-BAB9-3EC7EEAD5E29}"/>
            </c:ext>
          </c:extLst>
        </c:ser>
        <c:ser>
          <c:idx val="5"/>
          <c:order val="5"/>
          <c:tx>
            <c:strRef>
              <c:f>'fan chart srbija'!$K$4</c:f>
              <c:strCache>
                <c:ptCount val="1"/>
                <c:pt idx="0">
                  <c:v>60</c:v>
                </c:pt>
              </c:strCache>
            </c:strRef>
          </c:tx>
          <c:spPr>
            <a:solidFill>
              <a:srgbClr val="FF7D7D"/>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srbija'!$K$7:$K$14</c:f>
              <c:numCache>
                <c:formatCode>0.0</c:formatCode>
                <c:ptCount val="8"/>
                <c:pt idx="0">
                  <c:v>0</c:v>
                </c:pt>
                <c:pt idx="1">
                  <c:v>0</c:v>
                </c:pt>
                <c:pt idx="2">
                  <c:v>0</c:v>
                </c:pt>
                <c:pt idx="3">
                  <c:v>0</c:v>
                </c:pt>
                <c:pt idx="4">
                  <c:v>0</c:v>
                </c:pt>
                <c:pt idx="5">
                  <c:v>0.2</c:v>
                </c:pt>
                <c:pt idx="6">
                  <c:v>0.1</c:v>
                </c:pt>
                <c:pt idx="7">
                  <c:v>0.2</c:v>
                </c:pt>
              </c:numCache>
            </c:numRef>
          </c:val>
          <c:extLst>
            <c:ext xmlns:c16="http://schemas.microsoft.com/office/drawing/2014/chart" uri="{C3380CC4-5D6E-409C-BE32-E72D297353CC}">
              <c16:uniqueId val="{00000004-5855-456D-BAB9-3EC7EEAD5E29}"/>
            </c:ext>
          </c:extLst>
        </c:ser>
        <c:ser>
          <c:idx val="6"/>
          <c:order val="6"/>
          <c:tx>
            <c:strRef>
              <c:f>'fan chart srbija'!$L$4</c:f>
              <c:strCache>
                <c:ptCount val="1"/>
                <c:pt idx="0">
                  <c:v>50</c:v>
                </c:pt>
              </c:strCache>
            </c:strRef>
          </c:tx>
          <c:spPr>
            <a:solidFill>
              <a:srgbClr val="FF4747"/>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srbija'!$L$7:$L$14</c:f>
              <c:numCache>
                <c:formatCode>0.0</c:formatCode>
                <c:ptCount val="8"/>
                <c:pt idx="0">
                  <c:v>0</c:v>
                </c:pt>
                <c:pt idx="1">
                  <c:v>0</c:v>
                </c:pt>
                <c:pt idx="2">
                  <c:v>0</c:v>
                </c:pt>
                <c:pt idx="3">
                  <c:v>0</c:v>
                </c:pt>
                <c:pt idx="4">
                  <c:v>0</c:v>
                </c:pt>
                <c:pt idx="5">
                  <c:v>0.1</c:v>
                </c:pt>
                <c:pt idx="6">
                  <c:v>0.1</c:v>
                </c:pt>
                <c:pt idx="7">
                  <c:v>0.1</c:v>
                </c:pt>
              </c:numCache>
            </c:numRef>
          </c:val>
          <c:extLst>
            <c:ext xmlns:c16="http://schemas.microsoft.com/office/drawing/2014/chart" uri="{C3380CC4-5D6E-409C-BE32-E72D297353CC}">
              <c16:uniqueId val="{00000005-5855-456D-BAB9-3EC7EEAD5E29}"/>
            </c:ext>
          </c:extLst>
        </c:ser>
        <c:ser>
          <c:idx val="7"/>
          <c:order val="7"/>
          <c:tx>
            <c:strRef>
              <c:f>'fan chart srbija'!$M$4</c:f>
              <c:strCache>
                <c:ptCount val="1"/>
                <c:pt idx="0">
                  <c:v>40</c:v>
                </c:pt>
              </c:strCache>
            </c:strRef>
          </c:tx>
          <c:spPr>
            <a:solidFill>
              <a:srgbClr val="C00000"/>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srbija'!$M$7:$M$14</c:f>
              <c:numCache>
                <c:formatCode>0.0</c:formatCode>
                <c:ptCount val="8"/>
                <c:pt idx="0">
                  <c:v>0</c:v>
                </c:pt>
                <c:pt idx="1">
                  <c:v>0</c:v>
                </c:pt>
                <c:pt idx="2">
                  <c:v>0</c:v>
                </c:pt>
                <c:pt idx="3">
                  <c:v>0</c:v>
                </c:pt>
                <c:pt idx="4">
                  <c:v>0</c:v>
                </c:pt>
                <c:pt idx="5">
                  <c:v>0.1</c:v>
                </c:pt>
                <c:pt idx="6">
                  <c:v>0.1</c:v>
                </c:pt>
                <c:pt idx="7">
                  <c:v>0.1</c:v>
                </c:pt>
              </c:numCache>
            </c:numRef>
          </c:val>
          <c:extLst>
            <c:ext xmlns:c16="http://schemas.microsoft.com/office/drawing/2014/chart" uri="{C3380CC4-5D6E-409C-BE32-E72D297353CC}">
              <c16:uniqueId val="{00000006-5855-456D-BAB9-3EC7EEAD5E29}"/>
            </c:ext>
          </c:extLst>
        </c:ser>
        <c:ser>
          <c:idx val="8"/>
          <c:order val="8"/>
          <c:tx>
            <c:strRef>
              <c:f>'fan chart srbija'!$N$4</c:f>
              <c:strCache>
                <c:ptCount val="1"/>
                <c:pt idx="0">
                  <c:v>30</c:v>
                </c:pt>
              </c:strCache>
            </c:strRef>
          </c:tx>
          <c:spPr>
            <a:solidFill>
              <a:srgbClr val="740000"/>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srbija'!$N$7:$N$14</c:f>
              <c:numCache>
                <c:formatCode>0.0</c:formatCode>
                <c:ptCount val="8"/>
                <c:pt idx="0">
                  <c:v>0</c:v>
                </c:pt>
                <c:pt idx="1">
                  <c:v>0</c:v>
                </c:pt>
                <c:pt idx="2">
                  <c:v>0</c:v>
                </c:pt>
                <c:pt idx="3">
                  <c:v>0</c:v>
                </c:pt>
                <c:pt idx="4">
                  <c:v>0</c:v>
                </c:pt>
                <c:pt idx="5">
                  <c:v>0.14755070574747364</c:v>
                </c:pt>
                <c:pt idx="6">
                  <c:v>0.1</c:v>
                </c:pt>
                <c:pt idx="7">
                  <c:v>0.1</c:v>
                </c:pt>
              </c:numCache>
            </c:numRef>
          </c:val>
          <c:extLst>
            <c:ext xmlns:c16="http://schemas.microsoft.com/office/drawing/2014/chart" uri="{C3380CC4-5D6E-409C-BE32-E72D297353CC}">
              <c16:uniqueId val="{00000007-5855-456D-BAB9-3EC7EEAD5E29}"/>
            </c:ext>
          </c:extLst>
        </c:ser>
        <c:ser>
          <c:idx val="9"/>
          <c:order val="9"/>
          <c:tx>
            <c:strRef>
              <c:f>'fan chart srbija'!$O$4</c:f>
              <c:strCache>
                <c:ptCount val="1"/>
                <c:pt idx="0">
                  <c:v>20</c:v>
                </c:pt>
              </c:strCache>
            </c:strRef>
          </c:tx>
          <c:spPr>
            <a:solidFill>
              <a:srgbClr val="460000"/>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srbija'!$O$7:$O$14</c:f>
              <c:numCache>
                <c:formatCode>0.0</c:formatCode>
                <c:ptCount val="8"/>
                <c:pt idx="0">
                  <c:v>0</c:v>
                </c:pt>
                <c:pt idx="1">
                  <c:v>0</c:v>
                </c:pt>
                <c:pt idx="2">
                  <c:v>0</c:v>
                </c:pt>
                <c:pt idx="3">
                  <c:v>0</c:v>
                </c:pt>
                <c:pt idx="4">
                  <c:v>0</c:v>
                </c:pt>
                <c:pt idx="5">
                  <c:v>0.14275701540108665</c:v>
                </c:pt>
                <c:pt idx="6">
                  <c:v>0.1</c:v>
                </c:pt>
                <c:pt idx="7">
                  <c:v>0.1</c:v>
                </c:pt>
              </c:numCache>
            </c:numRef>
          </c:val>
          <c:extLst>
            <c:ext xmlns:c16="http://schemas.microsoft.com/office/drawing/2014/chart" uri="{C3380CC4-5D6E-409C-BE32-E72D297353CC}">
              <c16:uniqueId val="{00000008-5855-456D-BAB9-3EC7EEAD5E29}"/>
            </c:ext>
          </c:extLst>
        </c:ser>
        <c:ser>
          <c:idx val="10"/>
          <c:order val="10"/>
          <c:tx>
            <c:strRef>
              <c:f>'fan chart srbija'!$P$4</c:f>
              <c:strCache>
                <c:ptCount val="1"/>
                <c:pt idx="0">
                  <c:v>10</c:v>
                </c:pt>
              </c:strCache>
            </c:strRef>
          </c:tx>
          <c:spPr>
            <a:solidFill>
              <a:srgbClr val="140000"/>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srbija'!$P$7:$P$14</c:f>
              <c:numCache>
                <c:formatCode>0.0</c:formatCode>
                <c:ptCount val="8"/>
                <c:pt idx="0">
                  <c:v>0</c:v>
                </c:pt>
                <c:pt idx="1">
                  <c:v>0</c:v>
                </c:pt>
                <c:pt idx="2">
                  <c:v>0</c:v>
                </c:pt>
                <c:pt idx="3">
                  <c:v>0</c:v>
                </c:pt>
                <c:pt idx="4">
                  <c:v>0</c:v>
                </c:pt>
                <c:pt idx="5">
                  <c:v>0.14049365685606263</c:v>
                </c:pt>
                <c:pt idx="6">
                  <c:v>0.1</c:v>
                </c:pt>
                <c:pt idx="7">
                  <c:v>0.1</c:v>
                </c:pt>
              </c:numCache>
            </c:numRef>
          </c:val>
          <c:extLst>
            <c:ext xmlns:c16="http://schemas.microsoft.com/office/drawing/2014/chart" uri="{C3380CC4-5D6E-409C-BE32-E72D297353CC}">
              <c16:uniqueId val="{00000009-5855-456D-BAB9-3EC7EEAD5E29}"/>
            </c:ext>
          </c:extLst>
        </c:ser>
        <c:ser>
          <c:idx val="11"/>
          <c:order val="11"/>
          <c:tx>
            <c:strRef>
              <c:f>'fan chart srbija'!$Q$4</c:f>
              <c:strCache>
                <c:ptCount val="1"/>
                <c:pt idx="0">
                  <c:v>10</c:v>
                </c:pt>
              </c:strCache>
            </c:strRef>
          </c:tx>
          <c:spPr>
            <a:solidFill>
              <a:srgbClr val="140000"/>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srbija'!$Q$7:$Q$14</c:f>
              <c:numCache>
                <c:formatCode>0.0</c:formatCode>
                <c:ptCount val="8"/>
                <c:pt idx="0">
                  <c:v>0</c:v>
                </c:pt>
                <c:pt idx="1">
                  <c:v>0</c:v>
                </c:pt>
                <c:pt idx="2">
                  <c:v>0</c:v>
                </c:pt>
                <c:pt idx="3">
                  <c:v>0</c:v>
                </c:pt>
                <c:pt idx="4">
                  <c:v>0</c:v>
                </c:pt>
                <c:pt idx="5">
                  <c:v>0.1</c:v>
                </c:pt>
                <c:pt idx="6">
                  <c:v>0.1</c:v>
                </c:pt>
                <c:pt idx="7">
                  <c:v>0.1</c:v>
                </c:pt>
              </c:numCache>
            </c:numRef>
          </c:val>
          <c:extLst>
            <c:ext xmlns:c16="http://schemas.microsoft.com/office/drawing/2014/chart" uri="{C3380CC4-5D6E-409C-BE32-E72D297353CC}">
              <c16:uniqueId val="{0000000A-5855-456D-BAB9-3EC7EEAD5E29}"/>
            </c:ext>
          </c:extLst>
        </c:ser>
        <c:ser>
          <c:idx val="12"/>
          <c:order val="12"/>
          <c:tx>
            <c:strRef>
              <c:f>'fan chart srbija'!$R$4</c:f>
              <c:strCache>
                <c:ptCount val="1"/>
                <c:pt idx="0">
                  <c:v>20</c:v>
                </c:pt>
              </c:strCache>
            </c:strRef>
          </c:tx>
          <c:spPr>
            <a:solidFill>
              <a:srgbClr val="460000"/>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srbija'!$R$7:$R$14</c:f>
              <c:numCache>
                <c:formatCode>0.0</c:formatCode>
                <c:ptCount val="8"/>
                <c:pt idx="0">
                  <c:v>0</c:v>
                </c:pt>
                <c:pt idx="1">
                  <c:v>0</c:v>
                </c:pt>
                <c:pt idx="2">
                  <c:v>0</c:v>
                </c:pt>
                <c:pt idx="3">
                  <c:v>0</c:v>
                </c:pt>
                <c:pt idx="4">
                  <c:v>0</c:v>
                </c:pt>
                <c:pt idx="5">
                  <c:v>0.1</c:v>
                </c:pt>
                <c:pt idx="6">
                  <c:v>0.1</c:v>
                </c:pt>
                <c:pt idx="7">
                  <c:v>0.1</c:v>
                </c:pt>
              </c:numCache>
            </c:numRef>
          </c:val>
          <c:extLst>
            <c:ext xmlns:c16="http://schemas.microsoft.com/office/drawing/2014/chart" uri="{C3380CC4-5D6E-409C-BE32-E72D297353CC}">
              <c16:uniqueId val="{0000000B-5855-456D-BAB9-3EC7EEAD5E29}"/>
            </c:ext>
          </c:extLst>
        </c:ser>
        <c:ser>
          <c:idx val="13"/>
          <c:order val="13"/>
          <c:tx>
            <c:strRef>
              <c:f>'fan chart srbija'!$S$4</c:f>
              <c:strCache>
                <c:ptCount val="1"/>
                <c:pt idx="0">
                  <c:v>30</c:v>
                </c:pt>
              </c:strCache>
            </c:strRef>
          </c:tx>
          <c:spPr>
            <a:solidFill>
              <a:srgbClr val="740000"/>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srbija'!$S$7:$S$14</c:f>
              <c:numCache>
                <c:formatCode>0.0</c:formatCode>
                <c:ptCount val="8"/>
                <c:pt idx="0">
                  <c:v>0</c:v>
                </c:pt>
                <c:pt idx="1">
                  <c:v>0</c:v>
                </c:pt>
                <c:pt idx="2">
                  <c:v>0</c:v>
                </c:pt>
                <c:pt idx="3">
                  <c:v>0</c:v>
                </c:pt>
                <c:pt idx="4">
                  <c:v>0</c:v>
                </c:pt>
                <c:pt idx="5">
                  <c:v>0.1</c:v>
                </c:pt>
                <c:pt idx="6">
                  <c:v>0.1</c:v>
                </c:pt>
                <c:pt idx="7">
                  <c:v>0.1</c:v>
                </c:pt>
              </c:numCache>
            </c:numRef>
          </c:val>
          <c:extLst>
            <c:ext xmlns:c16="http://schemas.microsoft.com/office/drawing/2014/chart" uri="{C3380CC4-5D6E-409C-BE32-E72D297353CC}">
              <c16:uniqueId val="{0000000C-5855-456D-BAB9-3EC7EEAD5E29}"/>
            </c:ext>
          </c:extLst>
        </c:ser>
        <c:ser>
          <c:idx val="14"/>
          <c:order val="14"/>
          <c:tx>
            <c:strRef>
              <c:f>'fan chart srbija'!$T$4</c:f>
              <c:strCache>
                <c:ptCount val="1"/>
                <c:pt idx="0">
                  <c:v>40</c:v>
                </c:pt>
              </c:strCache>
            </c:strRef>
          </c:tx>
          <c:spPr>
            <a:solidFill>
              <a:srgbClr val="C00000"/>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srbija'!$T$7:$T$14</c:f>
              <c:numCache>
                <c:formatCode>0.0</c:formatCode>
                <c:ptCount val="8"/>
                <c:pt idx="0">
                  <c:v>0</c:v>
                </c:pt>
                <c:pt idx="1">
                  <c:v>0</c:v>
                </c:pt>
                <c:pt idx="2">
                  <c:v>0</c:v>
                </c:pt>
                <c:pt idx="3">
                  <c:v>0</c:v>
                </c:pt>
                <c:pt idx="4">
                  <c:v>0</c:v>
                </c:pt>
                <c:pt idx="5">
                  <c:v>0.2</c:v>
                </c:pt>
                <c:pt idx="6">
                  <c:v>0.1</c:v>
                </c:pt>
                <c:pt idx="7">
                  <c:v>0.1</c:v>
                </c:pt>
              </c:numCache>
            </c:numRef>
          </c:val>
          <c:extLst>
            <c:ext xmlns:c16="http://schemas.microsoft.com/office/drawing/2014/chart" uri="{C3380CC4-5D6E-409C-BE32-E72D297353CC}">
              <c16:uniqueId val="{0000000D-5855-456D-BAB9-3EC7EEAD5E29}"/>
            </c:ext>
          </c:extLst>
        </c:ser>
        <c:ser>
          <c:idx val="15"/>
          <c:order val="15"/>
          <c:tx>
            <c:strRef>
              <c:f>'fan chart srbija'!$U$4</c:f>
              <c:strCache>
                <c:ptCount val="1"/>
                <c:pt idx="0">
                  <c:v>50</c:v>
                </c:pt>
              </c:strCache>
            </c:strRef>
          </c:tx>
          <c:spPr>
            <a:solidFill>
              <a:srgbClr val="FF4747"/>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srbija'!$U$7:$U$14</c:f>
              <c:numCache>
                <c:formatCode>0.0</c:formatCode>
                <c:ptCount val="8"/>
                <c:pt idx="0">
                  <c:v>0</c:v>
                </c:pt>
                <c:pt idx="1">
                  <c:v>0</c:v>
                </c:pt>
                <c:pt idx="2">
                  <c:v>0</c:v>
                </c:pt>
                <c:pt idx="3">
                  <c:v>0</c:v>
                </c:pt>
                <c:pt idx="4">
                  <c:v>0</c:v>
                </c:pt>
                <c:pt idx="5">
                  <c:v>0.2</c:v>
                </c:pt>
                <c:pt idx="6">
                  <c:v>0.3</c:v>
                </c:pt>
                <c:pt idx="7">
                  <c:v>0.1</c:v>
                </c:pt>
              </c:numCache>
            </c:numRef>
          </c:val>
          <c:extLst>
            <c:ext xmlns:c16="http://schemas.microsoft.com/office/drawing/2014/chart" uri="{C3380CC4-5D6E-409C-BE32-E72D297353CC}">
              <c16:uniqueId val="{0000000E-5855-456D-BAB9-3EC7EEAD5E29}"/>
            </c:ext>
          </c:extLst>
        </c:ser>
        <c:ser>
          <c:idx val="16"/>
          <c:order val="16"/>
          <c:tx>
            <c:strRef>
              <c:f>'fan chart srbija'!$V$4</c:f>
              <c:strCache>
                <c:ptCount val="1"/>
                <c:pt idx="0">
                  <c:v>60</c:v>
                </c:pt>
              </c:strCache>
            </c:strRef>
          </c:tx>
          <c:spPr>
            <a:solidFill>
              <a:srgbClr val="FF7D7D"/>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srbija'!$V$7:$V$14</c:f>
              <c:numCache>
                <c:formatCode>0.0</c:formatCode>
                <c:ptCount val="8"/>
                <c:pt idx="0">
                  <c:v>0</c:v>
                </c:pt>
                <c:pt idx="1">
                  <c:v>0</c:v>
                </c:pt>
                <c:pt idx="2">
                  <c:v>0</c:v>
                </c:pt>
                <c:pt idx="3">
                  <c:v>0</c:v>
                </c:pt>
                <c:pt idx="4">
                  <c:v>0</c:v>
                </c:pt>
                <c:pt idx="5">
                  <c:v>0.1</c:v>
                </c:pt>
                <c:pt idx="6">
                  <c:v>0.3</c:v>
                </c:pt>
                <c:pt idx="7">
                  <c:v>0.1</c:v>
                </c:pt>
              </c:numCache>
            </c:numRef>
          </c:val>
          <c:extLst>
            <c:ext xmlns:c16="http://schemas.microsoft.com/office/drawing/2014/chart" uri="{C3380CC4-5D6E-409C-BE32-E72D297353CC}">
              <c16:uniqueId val="{0000000F-5855-456D-BAB9-3EC7EEAD5E29}"/>
            </c:ext>
          </c:extLst>
        </c:ser>
        <c:ser>
          <c:idx val="17"/>
          <c:order val="17"/>
          <c:tx>
            <c:strRef>
              <c:f>'fan chart srbija'!$W$4</c:f>
              <c:strCache>
                <c:ptCount val="1"/>
                <c:pt idx="0">
                  <c:v>70</c:v>
                </c:pt>
              </c:strCache>
            </c:strRef>
          </c:tx>
          <c:spPr>
            <a:solidFill>
              <a:srgbClr val="FFAFAF"/>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srbija'!$W$7:$W$14</c:f>
              <c:numCache>
                <c:formatCode>0.0</c:formatCode>
                <c:ptCount val="8"/>
                <c:pt idx="0">
                  <c:v>0</c:v>
                </c:pt>
                <c:pt idx="1">
                  <c:v>0</c:v>
                </c:pt>
                <c:pt idx="2">
                  <c:v>0</c:v>
                </c:pt>
                <c:pt idx="3">
                  <c:v>0</c:v>
                </c:pt>
                <c:pt idx="4">
                  <c:v>0.1</c:v>
                </c:pt>
                <c:pt idx="5">
                  <c:v>0.1</c:v>
                </c:pt>
                <c:pt idx="6">
                  <c:v>0.3</c:v>
                </c:pt>
                <c:pt idx="7">
                  <c:v>0.4</c:v>
                </c:pt>
              </c:numCache>
            </c:numRef>
          </c:val>
          <c:extLst>
            <c:ext xmlns:c16="http://schemas.microsoft.com/office/drawing/2014/chart" uri="{C3380CC4-5D6E-409C-BE32-E72D297353CC}">
              <c16:uniqueId val="{00000010-5855-456D-BAB9-3EC7EEAD5E29}"/>
            </c:ext>
          </c:extLst>
        </c:ser>
        <c:ser>
          <c:idx val="18"/>
          <c:order val="18"/>
          <c:tx>
            <c:strRef>
              <c:f>'fan chart srbija'!$X$4</c:f>
              <c:strCache>
                <c:ptCount val="1"/>
                <c:pt idx="0">
                  <c:v>80</c:v>
                </c:pt>
              </c:strCache>
            </c:strRef>
          </c:tx>
          <c:spPr>
            <a:solidFill>
              <a:srgbClr val="FFD5D5"/>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srbija'!$X$7:$X$14</c:f>
              <c:numCache>
                <c:formatCode>0.0</c:formatCode>
                <c:ptCount val="8"/>
                <c:pt idx="0">
                  <c:v>0</c:v>
                </c:pt>
                <c:pt idx="1">
                  <c:v>0</c:v>
                </c:pt>
                <c:pt idx="2">
                  <c:v>0</c:v>
                </c:pt>
                <c:pt idx="3">
                  <c:v>0</c:v>
                </c:pt>
                <c:pt idx="4">
                  <c:v>0.1</c:v>
                </c:pt>
                <c:pt idx="5">
                  <c:v>0.5</c:v>
                </c:pt>
                <c:pt idx="6">
                  <c:v>0.4</c:v>
                </c:pt>
                <c:pt idx="7">
                  <c:v>0.5</c:v>
                </c:pt>
              </c:numCache>
            </c:numRef>
          </c:val>
          <c:extLst>
            <c:ext xmlns:c16="http://schemas.microsoft.com/office/drawing/2014/chart" uri="{C3380CC4-5D6E-409C-BE32-E72D297353CC}">
              <c16:uniqueId val="{00000011-5855-456D-BAB9-3EC7EEAD5E29}"/>
            </c:ext>
          </c:extLst>
        </c:ser>
        <c:ser>
          <c:idx val="19"/>
          <c:order val="19"/>
          <c:tx>
            <c:strRef>
              <c:f>'fan chart srbija'!$Y$4</c:f>
              <c:strCache>
                <c:ptCount val="1"/>
                <c:pt idx="0">
                  <c:v>90</c:v>
                </c:pt>
              </c:strCache>
            </c:strRef>
          </c:tx>
          <c:spPr>
            <a:solidFill>
              <a:srgbClr val="FFF1F1"/>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srbija'!$Y$7:$Y$14</c:f>
              <c:numCache>
                <c:formatCode>0.0</c:formatCode>
                <c:ptCount val="8"/>
                <c:pt idx="0">
                  <c:v>0</c:v>
                </c:pt>
                <c:pt idx="1">
                  <c:v>0</c:v>
                </c:pt>
                <c:pt idx="2">
                  <c:v>0</c:v>
                </c:pt>
                <c:pt idx="3">
                  <c:v>0</c:v>
                </c:pt>
                <c:pt idx="4">
                  <c:v>0.1</c:v>
                </c:pt>
                <c:pt idx="5">
                  <c:v>0.6</c:v>
                </c:pt>
                <c:pt idx="6">
                  <c:v>0.4</c:v>
                </c:pt>
                <c:pt idx="7">
                  <c:v>0.5</c:v>
                </c:pt>
              </c:numCache>
            </c:numRef>
          </c:val>
          <c:extLst>
            <c:ext xmlns:c16="http://schemas.microsoft.com/office/drawing/2014/chart" uri="{C3380CC4-5D6E-409C-BE32-E72D297353CC}">
              <c16:uniqueId val="{00000012-5855-456D-BAB9-3EC7EEAD5E29}"/>
            </c:ext>
          </c:extLst>
        </c:ser>
        <c:dLbls>
          <c:showLegendKey val="0"/>
          <c:showVal val="0"/>
          <c:showCatName val="0"/>
          <c:showSerName val="0"/>
          <c:showPercent val="0"/>
          <c:showBubbleSize val="0"/>
        </c:dLbls>
        <c:axId val="42917328"/>
        <c:axId val="42930384"/>
      </c:areaChart>
      <c:lineChart>
        <c:grouping val="standard"/>
        <c:varyColors val="0"/>
        <c:ser>
          <c:idx val="1"/>
          <c:order val="0"/>
          <c:tx>
            <c:strRef>
              <c:f>'fan chart srbija'!$F$4</c:f>
              <c:strCache>
                <c:ptCount val="1"/>
                <c:pt idx="0">
                  <c:v>srednja</c:v>
                </c:pt>
              </c:strCache>
            </c:strRef>
          </c:tx>
          <c:spPr>
            <a:ln w="19050">
              <a:solidFill>
                <a:sysClr val="windowText" lastClr="000000"/>
              </a:solidFill>
            </a:ln>
          </c:spPr>
          <c:marker>
            <c:symbol val="none"/>
          </c:marke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srbija'!$F$7:$F$14</c:f>
              <c:numCache>
                <c:formatCode>0.0</c:formatCode>
                <c:ptCount val="8"/>
                <c:pt idx="0">
                  <c:v>4.5</c:v>
                </c:pt>
                <c:pt idx="1">
                  <c:v>4.3</c:v>
                </c:pt>
                <c:pt idx="2">
                  <c:v>-0.9</c:v>
                </c:pt>
                <c:pt idx="3">
                  <c:v>7.5</c:v>
                </c:pt>
                <c:pt idx="4">
                  <c:v>2.5</c:v>
                </c:pt>
                <c:pt idx="5">
                  <c:v>2.5</c:v>
                </c:pt>
                <c:pt idx="6">
                  <c:v>3.5</c:v>
                </c:pt>
                <c:pt idx="7">
                  <c:v>4</c:v>
                </c:pt>
              </c:numCache>
            </c:numRef>
          </c:val>
          <c:smooth val="0"/>
          <c:extLst>
            <c:ext xmlns:c16="http://schemas.microsoft.com/office/drawing/2014/chart" uri="{C3380CC4-5D6E-409C-BE32-E72D297353CC}">
              <c16:uniqueId val="{00000013-5855-456D-BAB9-3EC7EEAD5E29}"/>
            </c:ext>
          </c:extLst>
        </c:ser>
        <c:dLbls>
          <c:showLegendKey val="0"/>
          <c:showVal val="0"/>
          <c:showCatName val="0"/>
          <c:showSerName val="0"/>
          <c:showPercent val="0"/>
          <c:showBubbleSize val="0"/>
        </c:dLbls>
        <c:marker val="1"/>
        <c:smooth val="0"/>
        <c:axId val="42917328"/>
        <c:axId val="42930384"/>
      </c:lineChart>
      <c:catAx>
        <c:axId val="42917328"/>
        <c:scaling>
          <c:orientation val="minMax"/>
        </c:scaling>
        <c:delete val="0"/>
        <c:axPos val="b"/>
        <c:numFmt formatCode="General" sourceLinked="1"/>
        <c:majorTickMark val="none"/>
        <c:minorTickMark val="none"/>
        <c:tickLblPos val="low"/>
        <c:spPr>
          <a:ln w="6350">
            <a:solidFill>
              <a:srgbClr val="898989"/>
            </a:solidFill>
          </a:ln>
        </c:spPr>
        <c:txPr>
          <a:bodyPr rot="0" vert="horz"/>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crossAx val="42930384"/>
        <c:crosses val="autoZero"/>
        <c:auto val="1"/>
        <c:lblAlgn val="ctr"/>
        <c:lblOffset val="100"/>
        <c:tickLblSkip val="1"/>
        <c:noMultiLvlLbl val="0"/>
      </c:catAx>
      <c:valAx>
        <c:axId val="42930384"/>
        <c:scaling>
          <c:orientation val="minMax"/>
          <c:max val="9"/>
          <c:min val="-2"/>
        </c:scaling>
        <c:delete val="0"/>
        <c:axPos val="l"/>
        <c:numFmt formatCode="0" sourceLinked="0"/>
        <c:majorTickMark val="none"/>
        <c:minorTickMark val="none"/>
        <c:tickLblPos val="nextTo"/>
        <c:spPr>
          <a:ln w="12700">
            <a:noFill/>
          </a:ln>
        </c:spPr>
        <c:txPr>
          <a:bodyPr rot="0" vert="horz"/>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crossAx val="42917328"/>
        <c:crosses val="autoZero"/>
        <c:crossBetween val="midCat"/>
        <c:majorUnit val="2"/>
      </c:valAx>
      <c:spPr>
        <a:noFill/>
        <a:ln>
          <a:noFill/>
        </a:ln>
      </c:spPr>
    </c:plotArea>
    <c:plotVisOnly val="1"/>
    <c:dispBlanksAs val="gap"/>
    <c:showDLblsOverMax val="0"/>
  </c:chart>
  <c:spPr>
    <a:noFill/>
    <a:ln w="9525">
      <a:noFill/>
    </a:ln>
  </c:spPr>
  <c:txPr>
    <a:bodyPr/>
    <a:lstStyle/>
    <a:p>
      <a:pPr>
        <a:defRPr sz="750" b="0" i="0" u="none" strike="noStrike" baseline="0">
          <a:solidFill>
            <a:schemeClr val="tx2"/>
          </a:solidFill>
          <a:latin typeface="+mn-lt"/>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0547294316995727E-2"/>
          <c:y val="6.842061127661922E-2"/>
          <c:w val="0.89207733392726907"/>
          <c:h val="0.89994549266247381"/>
        </c:manualLayout>
      </c:layout>
      <c:barChart>
        <c:barDir val="col"/>
        <c:grouping val="clustered"/>
        <c:varyColors val="0"/>
        <c:ser>
          <c:idx val="0"/>
          <c:order val="0"/>
          <c:tx>
            <c:v>Фискални резултат</c:v>
          </c:tx>
          <c:spPr>
            <a:solidFill>
              <a:schemeClr val="accent1">
                <a:shade val="7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Yearly'!$CI$7:$CP$8</c:f>
              <c:strCache>
                <c:ptCount val="8"/>
                <c:pt idx="0">
                  <c:v>2015</c:v>
                </c:pt>
                <c:pt idx="1">
                  <c:v>2016</c:v>
                </c:pt>
                <c:pt idx="2">
                  <c:v>2017</c:v>
                </c:pt>
                <c:pt idx="3">
                  <c:v>2018</c:v>
                </c:pt>
                <c:pt idx="4">
                  <c:v>2019</c:v>
                </c:pt>
                <c:pt idx="5">
                  <c:v>2020</c:v>
                </c:pt>
                <c:pt idx="6">
                  <c:v>2021</c:v>
                </c:pt>
                <c:pt idx="7">
                  <c:v>2022</c:v>
                </c:pt>
              </c:strCache>
            </c:strRef>
          </c:cat>
          <c:val>
            <c:numRef>
              <c:f>('Quaterly, Yearly'!$CI$78:$CO$78,'Quaterly, Yearly'!$CP$78)</c:f>
              <c:numCache>
                <c:formatCode>#,##0.00</c:formatCode>
                <c:ptCount val="8"/>
                <c:pt idx="0">
                  <c:v>-3.4561672728767112</c:v>
                </c:pt>
                <c:pt idx="1">
                  <c:v>-1.1926941660681765</c:v>
                </c:pt>
                <c:pt idx="2">
                  <c:v>1.0986349345465762</c:v>
                </c:pt>
                <c:pt idx="3">
                  <c:v>0.63523655395945411</c:v>
                </c:pt>
                <c:pt idx="4">
                  <c:v>-0.20497664525511922</c:v>
                </c:pt>
                <c:pt idx="5">
                  <c:v>-8.0441635730355401</c:v>
                </c:pt>
                <c:pt idx="6">
                  <c:v>-4.1369458955187222</c:v>
                </c:pt>
                <c:pt idx="7">
                  <c:v>-3.8</c:v>
                </c:pt>
              </c:numCache>
            </c:numRef>
          </c:val>
          <c:extLst>
            <c:ext xmlns:c16="http://schemas.microsoft.com/office/drawing/2014/chart" uri="{C3380CC4-5D6E-409C-BE32-E72D297353CC}">
              <c16:uniqueId val="{00000000-ECBC-4765-B46E-06A2CE6CCA78}"/>
            </c:ext>
          </c:extLst>
        </c:ser>
        <c:ser>
          <c:idx val="1"/>
          <c:order val="1"/>
          <c:tx>
            <c:v>Примарни фискални резултат</c:v>
          </c:tx>
          <c:spPr>
            <a:solidFill>
              <a:schemeClr val="accent1">
                <a:tint val="77000"/>
              </a:schemeClr>
            </a:solidFill>
            <a:ln>
              <a:noFill/>
            </a:ln>
            <a:effectLst/>
          </c:spPr>
          <c:invertIfNegative val="0"/>
          <c:dLbls>
            <c:dLbl>
              <c:idx val="0"/>
              <c:layout>
                <c:manualLayout>
                  <c:x val="1.132097084431951E-2"/>
                  <c:y val="-2.7233807789914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BC-4765-B46E-06A2CE6CCA78}"/>
                </c:ext>
              </c:extLst>
            </c:dLbl>
            <c:dLbl>
              <c:idx val="1"/>
              <c:layout>
                <c:manualLayout>
                  <c:x val="-3.2073297015369011E-3"/>
                  <c:y val="-1.4142497880723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BC-4765-B46E-06A2CE6CCA78}"/>
                </c:ext>
              </c:extLst>
            </c:dLbl>
            <c:dLbl>
              <c:idx val="2"/>
              <c:layout>
                <c:manualLayout>
                  <c:x val="-2.4176209155354405E-3"/>
                  <c:y val="-6.6515202784357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BC-4765-B46E-06A2CE6CCA78}"/>
                </c:ext>
              </c:extLst>
            </c:dLbl>
            <c:dLbl>
              <c:idx val="3"/>
              <c:layout>
                <c:manualLayout>
                  <c:x val="2.6858041798127055E-3"/>
                  <c:y val="3.62947391256674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BC-4765-B46E-06A2CE6CCA78}"/>
                </c:ext>
              </c:extLst>
            </c:dLbl>
            <c:dLbl>
              <c:idx val="4"/>
              <c:layout>
                <c:manualLayout>
                  <c:x val="-3.9217883120591336E-3"/>
                  <c:y val="-1.0898089645081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BC-4765-B46E-06A2CE6CCA78}"/>
                </c:ext>
              </c:extLst>
            </c:dLbl>
            <c:dLbl>
              <c:idx val="5"/>
              <c:layout>
                <c:manualLayout>
                  <c:x val="1.8183368791494724E-3"/>
                  <c:y val="-1.3434844974070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BC-4765-B46E-06A2CE6CCA78}"/>
                </c:ext>
              </c:extLst>
            </c:dLbl>
            <c:dLbl>
              <c:idx val="6"/>
              <c:layout>
                <c:manualLayout>
                  <c:x val="1.3735038279346209E-2"/>
                  <c:y val="-1.3118834822906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BC-4765-B46E-06A2CE6CCA78}"/>
                </c:ext>
              </c:extLst>
            </c:dLbl>
            <c:dLbl>
              <c:idx val="7"/>
              <c:layout>
                <c:manualLayout>
                  <c:x val="1.9834639029877463E-2"/>
                  <c:y val="-8.47013624652181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CBC-4765-B46E-06A2CE6CCA78}"/>
                </c:ext>
              </c:extLst>
            </c:dLbl>
            <c:dLbl>
              <c:idx val="8"/>
              <c:layout>
                <c:manualLayout>
                  <c:x val="-4.0694720170973364E-2"/>
                  <c:y val="-3.9956035200295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CBC-4765-B46E-06A2CE6CCA78}"/>
                </c:ext>
              </c:extLst>
            </c:dLbl>
            <c:dLbl>
              <c:idx val="9"/>
              <c:layout>
                <c:manualLayout>
                  <c:x val="-4.7561598436538947E-2"/>
                  <c:y val="1.3799864516960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CBC-4765-B46E-06A2CE6CCA78}"/>
                </c:ext>
              </c:extLst>
            </c:dLbl>
            <c:dLbl>
              <c:idx val="10"/>
              <c:layout>
                <c:manualLayout>
                  <c:x val="-3.1357910371513177E-2"/>
                  <c:y val="-1.5058062466060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CBC-4765-B46E-06A2CE6CCA78}"/>
                </c:ext>
              </c:extLst>
            </c:dLbl>
            <c:dLbl>
              <c:idx val="11"/>
              <c:layout>
                <c:manualLayout>
                  <c:x val="-4.746385337205393E-2"/>
                  <c:y val="-2.50967707767667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CBC-4765-B46E-06A2CE6CCA78}"/>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Yearly'!$CI$7:$CP$8</c:f>
              <c:strCache>
                <c:ptCount val="8"/>
                <c:pt idx="0">
                  <c:v>2015</c:v>
                </c:pt>
                <c:pt idx="1">
                  <c:v>2016</c:v>
                </c:pt>
                <c:pt idx="2">
                  <c:v>2017</c:v>
                </c:pt>
                <c:pt idx="3">
                  <c:v>2018</c:v>
                </c:pt>
                <c:pt idx="4">
                  <c:v>2019</c:v>
                </c:pt>
                <c:pt idx="5">
                  <c:v>2020</c:v>
                </c:pt>
                <c:pt idx="6">
                  <c:v>2021</c:v>
                </c:pt>
                <c:pt idx="7">
                  <c:v>2022</c:v>
                </c:pt>
              </c:strCache>
            </c:strRef>
          </c:cat>
          <c:val>
            <c:numRef>
              <c:f>('Quaterly, Yearly'!$CI$79:$CO$79,'Quaterly, Yearly'!$CP$79)</c:f>
              <c:numCache>
                <c:formatCode>#,##0.00</c:formatCode>
                <c:ptCount val="8"/>
                <c:pt idx="0">
                  <c:v>-0.47061316203530046</c:v>
                </c:pt>
                <c:pt idx="1">
                  <c:v>1.7045650732845505</c:v>
                </c:pt>
                <c:pt idx="2">
                  <c:v>3.634771068549187</c:v>
                </c:pt>
                <c:pt idx="3">
                  <c:v>2.7475533250713307</c:v>
                </c:pt>
                <c:pt idx="4">
                  <c:v>1.7916206652556272</c:v>
                </c:pt>
                <c:pt idx="5">
                  <c:v>-6.0431380560869226</c:v>
                </c:pt>
                <c:pt idx="6">
                  <c:v>-2.404213120233746</c:v>
                </c:pt>
                <c:pt idx="7">
                  <c:v>-2.2000000000000002</c:v>
                </c:pt>
              </c:numCache>
            </c:numRef>
          </c:val>
          <c:extLst>
            <c:ext xmlns:c16="http://schemas.microsoft.com/office/drawing/2014/chart" uri="{C3380CC4-5D6E-409C-BE32-E72D297353CC}">
              <c16:uniqueId val="{0000000D-ECBC-4765-B46E-06A2CE6CCA78}"/>
            </c:ext>
          </c:extLst>
        </c:ser>
        <c:dLbls>
          <c:showLegendKey val="0"/>
          <c:showVal val="0"/>
          <c:showCatName val="0"/>
          <c:showSerName val="0"/>
          <c:showPercent val="0"/>
          <c:showBubbleSize val="0"/>
        </c:dLbls>
        <c:gapWidth val="150"/>
        <c:axId val="42927664"/>
        <c:axId val="42924400"/>
      </c:barChart>
      <c:catAx>
        <c:axId val="42927664"/>
        <c:scaling>
          <c:orientation val="minMax"/>
        </c:scaling>
        <c:delete val="0"/>
        <c:axPos val="b"/>
        <c:numFmt formatCode="General" sourceLinked="1"/>
        <c:majorTickMark val="out"/>
        <c:minorTickMark val="none"/>
        <c:tickLblPos val="high"/>
        <c:spPr>
          <a:noFill/>
          <a:ln w="12700" cap="flat" cmpd="sng" algn="ctr">
            <a:solidFill>
              <a:schemeClr val="tx1">
                <a:lumMod val="50000"/>
                <a:lumOff val="50000"/>
              </a:schemeClr>
            </a:solidFill>
            <a:prstDash val="sysDash"/>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24400"/>
        <c:crosses val="autoZero"/>
        <c:auto val="1"/>
        <c:lblAlgn val="ctr"/>
        <c:lblOffset val="100"/>
        <c:noMultiLvlLbl val="0"/>
      </c:catAx>
      <c:valAx>
        <c:axId val="42924400"/>
        <c:scaling>
          <c:orientation val="minMax"/>
          <c:max val="5"/>
          <c:min val="-1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r>
                  <a:rPr lang="en-US" sz="800" baseline="0">
                    <a:latin typeface="Times New Roman" panose="02020603050405020304" pitchFamily="18" charset="0"/>
                  </a:rPr>
                  <a:t>% </a:t>
                </a:r>
                <a:r>
                  <a:rPr lang="sr-Cyrl-RS" sz="800" baseline="0">
                    <a:latin typeface="Times New Roman" panose="02020603050405020304" pitchFamily="18" charset="0"/>
                  </a:rPr>
                  <a:t>БДП</a:t>
                </a:r>
                <a:endParaRPr lang="en-US" sz="800" baseline="0">
                  <a:latin typeface="Times New Roman" panose="02020603050405020304" pitchFamily="18" charset="0"/>
                </a:endParaRPr>
              </a:p>
            </c:rich>
          </c:tx>
          <c:layout>
            <c:manualLayout>
              <c:xMode val="edge"/>
              <c:yMode val="edge"/>
              <c:x val="1.909631087780695E-2"/>
              <c:y val="0.4055747509173293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27664"/>
        <c:crosses val="autoZero"/>
        <c:crossBetween val="between"/>
      </c:valAx>
      <c:spPr>
        <a:noFill/>
        <a:ln>
          <a:noFill/>
        </a:ln>
        <a:effectLst/>
      </c:spPr>
    </c:plotArea>
    <c:legend>
      <c:legendPos val="b"/>
      <c:layout>
        <c:manualLayout>
          <c:xMode val="edge"/>
          <c:yMode val="edge"/>
          <c:x val="0.1214261445272752"/>
          <c:y val="0.8559853931302065"/>
          <c:w val="0.51810891150797223"/>
          <c:h val="0.11522053612514881"/>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latin typeface="Georgia" panose="02040502050405020303"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87322350781755E-2"/>
          <c:y val="4.2394417217328305E-2"/>
          <c:w val="0.91178771533892311"/>
          <c:h val="0.8718835976133309"/>
        </c:manualLayout>
      </c:layout>
      <c:barChart>
        <c:barDir val="bar"/>
        <c:grouping val="clustered"/>
        <c:varyColors val="0"/>
        <c:ser>
          <c:idx val="0"/>
          <c:order val="0"/>
          <c:spPr>
            <a:solidFill>
              <a:schemeClr val="accent1"/>
            </a:solidFill>
            <a:ln>
              <a:solidFill>
                <a:srgbClr val="FF0000"/>
              </a:solidFill>
            </a:ln>
            <a:effectLst/>
          </c:spPr>
          <c:invertIfNegative val="0"/>
          <c:dPt>
            <c:idx val="0"/>
            <c:invertIfNegative val="0"/>
            <c:bubble3D val="0"/>
            <c:spPr>
              <a:noFill/>
              <a:ln>
                <a:solidFill>
                  <a:srgbClr val="FF0000"/>
                </a:solidFill>
              </a:ln>
              <a:effectLst/>
            </c:spPr>
            <c:extLst>
              <c:ext xmlns:c16="http://schemas.microsoft.com/office/drawing/2014/chart" uri="{C3380CC4-5D6E-409C-BE32-E72D297353CC}">
                <c16:uniqueId val="{00000001-B9C4-4462-8C59-794EA6747BE0}"/>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B9C4-4462-8C59-794EA6747BE0}"/>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B9C4-4462-8C59-794EA6747BE0}"/>
              </c:ext>
            </c:extLst>
          </c:dPt>
          <c:dPt>
            <c:idx val="3"/>
            <c:invertIfNegative val="0"/>
            <c:bubble3D val="0"/>
            <c:spPr>
              <a:solidFill>
                <a:schemeClr val="accent1"/>
              </a:solidFill>
              <a:ln>
                <a:solidFill>
                  <a:schemeClr val="bg1"/>
                </a:solidFill>
              </a:ln>
              <a:effectLst/>
            </c:spPr>
            <c:extLst>
              <c:ext xmlns:c16="http://schemas.microsoft.com/office/drawing/2014/chart" uri="{C3380CC4-5D6E-409C-BE32-E72D297353CC}">
                <c16:uniqueId val="{00000007-B9C4-4462-8C59-794EA6747BE0}"/>
              </c:ext>
            </c:extLst>
          </c:dPt>
          <c:dPt>
            <c:idx val="4"/>
            <c:invertIfNegative val="0"/>
            <c:bubble3D val="0"/>
            <c:spPr>
              <a:noFill/>
              <a:ln>
                <a:solidFill>
                  <a:srgbClr val="FF0000"/>
                </a:solidFill>
              </a:ln>
              <a:effectLst/>
            </c:spPr>
            <c:extLst>
              <c:ext xmlns:c16="http://schemas.microsoft.com/office/drawing/2014/chart" uri="{C3380CC4-5D6E-409C-BE32-E72D297353CC}">
                <c16:uniqueId val="{00000009-B9C4-4462-8C59-794EA6747BE0}"/>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B9C4-4462-8C59-794EA6747BE0}"/>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B9C4-4462-8C59-794EA6747BE0}"/>
              </c:ext>
            </c:extLst>
          </c:dPt>
          <c:dPt>
            <c:idx val="7"/>
            <c:invertIfNegative val="0"/>
            <c:bubble3D val="0"/>
            <c:spPr>
              <a:noFill/>
              <a:ln>
                <a:solidFill>
                  <a:srgbClr val="FF0000"/>
                </a:solidFill>
              </a:ln>
              <a:effectLst/>
            </c:spPr>
            <c:extLst>
              <c:ext xmlns:c16="http://schemas.microsoft.com/office/drawing/2014/chart" uri="{C3380CC4-5D6E-409C-BE32-E72D297353CC}">
                <c16:uniqueId val="{0000000F-B9C4-4462-8C59-794EA6747BE0}"/>
              </c:ext>
            </c:extLst>
          </c:dPt>
          <c:dPt>
            <c:idx val="8"/>
            <c:invertIfNegative val="0"/>
            <c:bubble3D val="0"/>
            <c:spPr>
              <a:noFill/>
              <a:ln>
                <a:solidFill>
                  <a:srgbClr val="FF0000"/>
                </a:solidFill>
              </a:ln>
              <a:effectLst/>
            </c:spPr>
            <c:extLst>
              <c:ext xmlns:c16="http://schemas.microsoft.com/office/drawing/2014/chart" uri="{C3380CC4-5D6E-409C-BE32-E72D297353CC}">
                <c16:uniqueId val="{00000011-B9C4-4462-8C59-794EA6747BE0}"/>
              </c:ext>
            </c:extLst>
          </c:dPt>
          <c:dPt>
            <c:idx val="9"/>
            <c:invertIfNegative val="0"/>
            <c:bubble3D val="0"/>
            <c:spPr>
              <a:noFill/>
              <a:ln>
                <a:solidFill>
                  <a:srgbClr val="FF0000"/>
                </a:solidFill>
              </a:ln>
              <a:effectLst/>
            </c:spPr>
            <c:extLst>
              <c:ext xmlns:c16="http://schemas.microsoft.com/office/drawing/2014/chart" uri="{C3380CC4-5D6E-409C-BE32-E72D297353CC}">
                <c16:uniqueId val="{00000013-B9C4-4462-8C59-794EA6747BE0}"/>
              </c:ext>
            </c:extLst>
          </c:dPt>
          <c:dPt>
            <c:idx val="10"/>
            <c:invertIfNegative val="0"/>
            <c:bubble3D val="0"/>
            <c:spPr>
              <a:noFill/>
              <a:ln>
                <a:solidFill>
                  <a:srgbClr val="FF0000"/>
                </a:solidFill>
              </a:ln>
              <a:effectLst/>
            </c:spPr>
            <c:extLst>
              <c:ext xmlns:c16="http://schemas.microsoft.com/office/drawing/2014/chart" uri="{C3380CC4-5D6E-409C-BE32-E72D297353CC}">
                <c16:uniqueId val="{00000015-B9C4-4462-8C59-794EA6747BE0}"/>
              </c:ext>
            </c:extLst>
          </c:dPt>
          <c:dPt>
            <c:idx val="11"/>
            <c:invertIfNegative val="0"/>
            <c:bubble3D val="0"/>
            <c:spPr>
              <a:noFill/>
              <a:ln>
                <a:solidFill>
                  <a:srgbClr val="FF0000"/>
                </a:solidFill>
              </a:ln>
              <a:effectLst/>
            </c:spPr>
            <c:extLst>
              <c:ext xmlns:c16="http://schemas.microsoft.com/office/drawing/2014/chart" uri="{C3380CC4-5D6E-409C-BE32-E72D297353CC}">
                <c16:uniqueId val="{00000017-B9C4-4462-8C59-794EA6747BE0}"/>
              </c:ext>
            </c:extLst>
          </c:dPt>
          <c:dPt>
            <c:idx val="12"/>
            <c:invertIfNegative val="0"/>
            <c:bubble3D val="0"/>
            <c:spPr>
              <a:noFill/>
              <a:ln>
                <a:solidFill>
                  <a:srgbClr val="FF0000"/>
                </a:solidFill>
              </a:ln>
              <a:effectLst/>
            </c:spPr>
            <c:extLst>
              <c:ext xmlns:c16="http://schemas.microsoft.com/office/drawing/2014/chart" uri="{C3380CC4-5D6E-409C-BE32-E72D297353CC}">
                <c16:uniqueId val="{00000019-B9C4-4462-8C59-794EA6747BE0}"/>
              </c:ext>
            </c:extLst>
          </c:dPt>
          <c:dPt>
            <c:idx val="13"/>
            <c:invertIfNegative val="0"/>
            <c:bubble3D val="0"/>
            <c:spPr>
              <a:solidFill>
                <a:schemeClr val="accent1"/>
              </a:solidFill>
              <a:ln>
                <a:noFill/>
              </a:ln>
              <a:effectLst/>
            </c:spPr>
            <c:extLst>
              <c:ext xmlns:c16="http://schemas.microsoft.com/office/drawing/2014/chart" uri="{C3380CC4-5D6E-409C-BE32-E72D297353CC}">
                <c16:uniqueId val="{0000001B-B9C4-4462-8C59-794EA6747BE0}"/>
              </c:ext>
            </c:extLst>
          </c:dPt>
          <c:dPt>
            <c:idx val="14"/>
            <c:invertIfNegative val="0"/>
            <c:bubble3D val="0"/>
            <c:spPr>
              <a:noFill/>
              <a:ln>
                <a:solidFill>
                  <a:srgbClr val="FF0000"/>
                </a:solidFill>
              </a:ln>
              <a:effectLst/>
            </c:spPr>
            <c:extLst>
              <c:ext xmlns:c16="http://schemas.microsoft.com/office/drawing/2014/chart" uri="{C3380CC4-5D6E-409C-BE32-E72D297353CC}">
                <c16:uniqueId val="{0000001D-B9C4-4462-8C59-794EA6747BE0}"/>
              </c:ext>
            </c:extLst>
          </c:dPt>
          <c:dPt>
            <c:idx val="15"/>
            <c:invertIfNegative val="0"/>
            <c:bubble3D val="0"/>
            <c:spPr>
              <a:noFill/>
              <a:ln>
                <a:solidFill>
                  <a:srgbClr val="FF0000"/>
                </a:solidFill>
              </a:ln>
              <a:effectLst/>
            </c:spPr>
            <c:extLst>
              <c:ext xmlns:c16="http://schemas.microsoft.com/office/drawing/2014/chart" uri="{C3380CC4-5D6E-409C-BE32-E72D297353CC}">
                <c16:uniqueId val="{0000001F-B9C4-4462-8C59-794EA6747BE0}"/>
              </c:ext>
            </c:extLst>
          </c:dPt>
          <c:dLbls>
            <c:dLbl>
              <c:idx val="0"/>
              <c:layout>
                <c:manualLayout>
                  <c:x val="7.24095023758692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C4-4462-8C59-794EA6747BE0}"/>
                </c:ext>
              </c:extLst>
            </c:dLbl>
            <c:dLbl>
              <c:idx val="4"/>
              <c:layout>
                <c:manualLayout>
                  <c:x val="0.38202254701751687"/>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C4-4462-8C59-794EA6747BE0}"/>
                </c:ext>
              </c:extLst>
            </c:dLbl>
            <c:dLbl>
              <c:idx val="7"/>
              <c:layout>
                <c:manualLayout>
                  <c:x val="6.242198480678380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C4-4462-8C59-794EA6747BE0}"/>
                </c:ext>
              </c:extLst>
            </c:dLbl>
            <c:dLbl>
              <c:idx val="8"/>
              <c:layout>
                <c:manualLayout>
                  <c:x val="0.26966297436530606"/>
                  <c:y val="-5.097580055274964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9C4-4462-8C59-794EA6747BE0}"/>
                </c:ext>
              </c:extLst>
            </c:dLbl>
            <c:dLbl>
              <c:idx val="9"/>
              <c:layout>
                <c:manualLayout>
                  <c:x val="0.2896380095034769"/>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9C4-4462-8C59-794EA6747BE0}"/>
                </c:ext>
              </c:extLst>
            </c:dLbl>
            <c:dLbl>
              <c:idx val="10"/>
              <c:layout>
                <c:manualLayout>
                  <c:x val="0.20224742737865609"/>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9C4-4462-8C59-794EA6747BE0}"/>
                </c:ext>
              </c:extLst>
            </c:dLbl>
            <c:dLbl>
              <c:idx val="11"/>
              <c:layout>
                <c:manualLayout>
                  <c:x val="0.35455687370253208"/>
                  <c:y val="-2.78053033252077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9C4-4462-8C59-794EA6747BE0}"/>
                </c:ext>
              </c:extLst>
            </c:dLbl>
            <c:dLbl>
              <c:idx val="12"/>
              <c:layout>
                <c:manualLayout>
                  <c:x val="0.33707871795663252"/>
                  <c:y val="-2.78053033252077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9C4-4462-8C59-794EA6747BE0}"/>
                </c:ext>
              </c:extLst>
            </c:dLbl>
            <c:dLbl>
              <c:idx val="14"/>
              <c:layout>
                <c:manualLayout>
                  <c:x val="0.14232212535946712"/>
                  <c:y val="-2.78053033252078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9C4-4462-8C59-794EA6747BE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Sheet1!$E$32:$E$47</c:f>
              <c:strCache>
                <c:ptCount val="16"/>
                <c:pt idx="0">
                  <c:v>Планирани фискални резултат за 2022. годину</c:v>
                </c:pt>
                <c:pt idx="1">
                  <c:v>Базни приходни ефекат</c:v>
                </c:pt>
                <c:pt idx="2">
                  <c:v>Остало приходи</c:v>
                </c:pt>
                <c:pt idx="3">
                  <c:v>Наплата пореза на добит</c:v>
                </c:pt>
                <c:pt idx="4">
                  <c:v>Једнократки порески и непорески прих.</c:v>
                </c:pt>
                <c:pt idx="5">
                  <c:v>Кретања на тржишту рада</c:v>
                </c:pt>
                <c:pt idx="6">
                  <c:v>Номинални раст личне потрошње (ПДВ, Акцизе, Царине)</c:v>
                </c:pt>
                <c:pt idx="7">
                  <c:v>Додатни расходи за енергенте </c:v>
                </c:pt>
                <c:pt idx="8">
                  <c:v>Директна помоћ становништву</c:v>
                </c:pt>
                <c:pt idx="9">
                  <c:v>Расходи за здравствену заштиту</c:v>
                </c:pt>
                <c:pt idx="10">
                  <c:v>Субвенције </c:v>
                </c:pt>
                <c:pt idx="11">
                  <c:v>Појачано одржавање путне мреже</c:v>
                </c:pt>
                <c:pt idx="12">
                  <c:v>Нове мере популационе политикее</c:v>
                </c:pt>
                <c:pt idx="13">
                  <c:v>Нижа маса пензија</c:v>
                </c:pt>
                <c:pt idx="14">
                  <c:v>Остало расходи</c:v>
                </c:pt>
                <c:pt idx="15">
                  <c:v>Пројектовани фискални резултат за 2022. годину</c:v>
                </c:pt>
              </c:strCache>
            </c:strRef>
          </c:cat>
          <c:val>
            <c:numRef>
              <c:f>Sheet1!$F$32:$F$47</c:f>
              <c:numCache>
                <c:formatCode>0.0</c:formatCode>
                <c:ptCount val="16"/>
                <c:pt idx="0">
                  <c:v>-3</c:v>
                </c:pt>
                <c:pt idx="1">
                  <c:v>0.39616189916700562</c:v>
                </c:pt>
                <c:pt idx="2">
                  <c:v>0.12306626297317114</c:v>
                </c:pt>
                <c:pt idx="3">
                  <c:v>0.95651257023212388</c:v>
                </c:pt>
                <c:pt idx="4">
                  <c:v>-0.1506319008239565</c:v>
                </c:pt>
                <c:pt idx="5">
                  <c:v>0.53926220494976429</c:v>
                </c:pt>
                <c:pt idx="6">
                  <c:v>1.69611520327775</c:v>
                </c:pt>
                <c:pt idx="7">
                  <c:v>-2.0862518264117975</c:v>
                </c:pt>
                <c:pt idx="8">
                  <c:v>-0.46695889255426515</c:v>
                </c:pt>
                <c:pt idx="9">
                  <c:v>-0.36001024296925604</c:v>
                </c:pt>
                <c:pt idx="10">
                  <c:v>-0.31632699173030865</c:v>
                </c:pt>
                <c:pt idx="11">
                  <c:v>-0.10694864958500912</c:v>
                </c:pt>
                <c:pt idx="12">
                  <c:v>-0.22594785123593472</c:v>
                </c:pt>
                <c:pt idx="13">
                  <c:v>0.10694864958500912</c:v>
                </c:pt>
                <c:pt idx="14">
                  <c:v>-0.36904815701870197</c:v>
                </c:pt>
                <c:pt idx="15">
                  <c:v>-3.8295799505824282</c:v>
                </c:pt>
              </c:numCache>
            </c:numRef>
          </c:val>
          <c:extLst>
            <c:ext xmlns:c16="http://schemas.microsoft.com/office/drawing/2014/chart" uri="{C3380CC4-5D6E-409C-BE32-E72D297353CC}">
              <c16:uniqueId val="{00000020-B9C4-4462-8C59-794EA6747BE0}"/>
            </c:ext>
          </c:extLst>
        </c:ser>
        <c:dLbls>
          <c:showLegendKey val="0"/>
          <c:showVal val="0"/>
          <c:showCatName val="0"/>
          <c:showSerName val="0"/>
          <c:showPercent val="0"/>
          <c:showBubbleSize val="0"/>
        </c:dLbls>
        <c:gapWidth val="80"/>
        <c:axId val="42931472"/>
        <c:axId val="42930928"/>
      </c:barChart>
      <c:catAx>
        <c:axId val="42931472"/>
        <c:scaling>
          <c:orientation val="minMax"/>
        </c:scaling>
        <c:delete val="0"/>
        <c:axPos val="l"/>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30928"/>
        <c:crosses val="autoZero"/>
        <c:auto val="1"/>
        <c:lblAlgn val="ctr"/>
        <c:lblOffset val="100"/>
        <c:noMultiLvlLbl val="0"/>
      </c:catAx>
      <c:valAx>
        <c:axId val="42930928"/>
        <c:scaling>
          <c:orientation val="minMax"/>
          <c:min val="-4.5"/>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3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415222230767468E-2"/>
          <c:y val="4.6934331228398435E-2"/>
          <c:w val="0.89818784226795878"/>
          <c:h val="0.60076921077934575"/>
        </c:manualLayout>
      </c:layout>
      <c:barChart>
        <c:barDir val="col"/>
        <c:grouping val="clustered"/>
        <c:varyColors val="0"/>
        <c:ser>
          <c:idx val="0"/>
          <c:order val="0"/>
          <c:tx>
            <c:strRef>
              <c:f>'S0 EU Serbia'!$AG$39</c:f>
              <c:strCache>
                <c:ptCount val="1"/>
                <c:pt idx="0">
                  <c:v>Фискални подиндекс</c:v>
                </c:pt>
              </c:strCache>
            </c:strRef>
          </c:tx>
          <c:spPr>
            <a:solidFill>
              <a:srgbClr val="7030A0"/>
            </a:solidFill>
            <a:ln w="9525">
              <a:noFill/>
            </a:ln>
            <a:effectLst/>
          </c:spPr>
          <c:invertIfNegative val="0"/>
          <c:cat>
            <c:numRef>
              <c:f>'S0 EU Serbia'!$AF$41:$AF$49</c:f>
              <c:numCache>
                <c:formatCode>General</c:formatCode>
                <c:ptCount val="7"/>
                <c:pt idx="0">
                  <c:v>2015</c:v>
                </c:pt>
                <c:pt idx="1">
                  <c:v>2016</c:v>
                </c:pt>
                <c:pt idx="2">
                  <c:v>2017</c:v>
                </c:pt>
                <c:pt idx="3">
                  <c:v>2018</c:v>
                </c:pt>
                <c:pt idx="4">
                  <c:v>2019</c:v>
                </c:pt>
                <c:pt idx="5">
                  <c:v>2020</c:v>
                </c:pt>
                <c:pt idx="6">
                  <c:v>2021</c:v>
                </c:pt>
              </c:numCache>
              <c:extLst/>
            </c:numRef>
          </c:cat>
          <c:val>
            <c:numRef>
              <c:f>'S0 EU Serbia'!$AG$41:$AG$49</c:f>
              <c:numCache>
                <c:formatCode>0.00</c:formatCode>
                <c:ptCount val="7"/>
                <c:pt idx="0">
                  <c:v>0.40718562874251496</c:v>
                </c:pt>
                <c:pt idx="1">
                  <c:v>0.19161676646706588</c:v>
                </c:pt>
                <c:pt idx="2">
                  <c:v>0</c:v>
                </c:pt>
                <c:pt idx="3">
                  <c:v>0</c:v>
                </c:pt>
                <c:pt idx="4">
                  <c:v>0</c:v>
                </c:pt>
                <c:pt idx="5">
                  <c:v>0.47904191616766456</c:v>
                </c:pt>
                <c:pt idx="6">
                  <c:v>0.21560000000000001</c:v>
                </c:pt>
              </c:numCache>
              <c:extLst/>
            </c:numRef>
          </c:val>
          <c:extLst>
            <c:ext xmlns:c16="http://schemas.microsoft.com/office/drawing/2014/chart" uri="{C3380CC4-5D6E-409C-BE32-E72D297353CC}">
              <c16:uniqueId val="{00000000-AFF6-4734-A20C-2D7DB6E21DD7}"/>
            </c:ext>
          </c:extLst>
        </c:ser>
        <c:ser>
          <c:idx val="1"/>
          <c:order val="1"/>
          <c:tx>
            <c:strRef>
              <c:f>'S0 EU Serbia'!$AH$39</c:f>
              <c:strCache>
                <c:ptCount val="1"/>
                <c:pt idx="0">
                  <c:v>Подиндекс макро-финансијске конкурентности</c:v>
                </c:pt>
              </c:strCache>
            </c:strRef>
          </c:tx>
          <c:spPr>
            <a:solidFill>
              <a:srgbClr val="5297AC"/>
            </a:solidFill>
            <a:ln w="9525">
              <a:noFill/>
            </a:ln>
            <a:effectLst/>
          </c:spPr>
          <c:invertIfNegative val="0"/>
          <c:cat>
            <c:numRef>
              <c:f>'S0 EU Serbia'!$AF$41:$AF$49</c:f>
              <c:numCache>
                <c:formatCode>General</c:formatCode>
                <c:ptCount val="7"/>
                <c:pt idx="0">
                  <c:v>2015</c:v>
                </c:pt>
                <c:pt idx="1">
                  <c:v>2016</c:v>
                </c:pt>
                <c:pt idx="2">
                  <c:v>2017</c:v>
                </c:pt>
                <c:pt idx="3">
                  <c:v>2018</c:v>
                </c:pt>
                <c:pt idx="4">
                  <c:v>2019</c:v>
                </c:pt>
                <c:pt idx="5">
                  <c:v>2020</c:v>
                </c:pt>
                <c:pt idx="6">
                  <c:v>2021</c:v>
                </c:pt>
              </c:numCache>
              <c:extLst/>
            </c:numRef>
          </c:cat>
          <c:val>
            <c:numRef>
              <c:f>'S0 EU Serbia'!$AH$41:$AH$49</c:f>
              <c:numCache>
                <c:formatCode>0.00</c:formatCode>
                <c:ptCount val="7"/>
                <c:pt idx="0">
                  <c:v>0.27243589743589747</c:v>
                </c:pt>
                <c:pt idx="1">
                  <c:v>0.27243589743589747</c:v>
                </c:pt>
                <c:pt idx="2">
                  <c:v>0.27243589743589747</c:v>
                </c:pt>
                <c:pt idx="3">
                  <c:v>0.27243589743589747</c:v>
                </c:pt>
                <c:pt idx="4">
                  <c:v>0.27243589743589747</c:v>
                </c:pt>
                <c:pt idx="5">
                  <c:v>0.42307692307692302</c:v>
                </c:pt>
                <c:pt idx="6">
                  <c:v>0.27239999999999998</c:v>
                </c:pt>
              </c:numCache>
              <c:extLst/>
            </c:numRef>
          </c:val>
          <c:extLst>
            <c:ext xmlns:c16="http://schemas.microsoft.com/office/drawing/2014/chart" uri="{C3380CC4-5D6E-409C-BE32-E72D297353CC}">
              <c16:uniqueId val="{00000001-AFF6-4734-A20C-2D7DB6E21DD7}"/>
            </c:ext>
          </c:extLst>
        </c:ser>
        <c:dLbls>
          <c:showLegendKey val="0"/>
          <c:showVal val="0"/>
          <c:showCatName val="0"/>
          <c:showSerName val="0"/>
          <c:showPercent val="0"/>
          <c:showBubbleSize val="0"/>
        </c:dLbls>
        <c:gapWidth val="150"/>
        <c:axId val="42923856"/>
        <c:axId val="42925488"/>
      </c:barChart>
      <c:lineChart>
        <c:grouping val="standard"/>
        <c:varyColors val="0"/>
        <c:ser>
          <c:idx val="2"/>
          <c:order val="2"/>
          <c:tx>
            <c:strRef>
              <c:f>'S0 EU Serbia'!$AI$39</c:f>
              <c:strCache>
                <c:ptCount val="1"/>
                <c:pt idx="0">
                  <c:v>S0 индикатор</c:v>
                </c:pt>
              </c:strCache>
            </c:strRef>
          </c:tx>
          <c:spPr>
            <a:ln w="22225" cap="rnd">
              <a:noFill/>
              <a:prstDash val="solid"/>
              <a:round/>
            </a:ln>
            <a:effectLst/>
          </c:spPr>
          <c:marker>
            <c:symbol val="triangle"/>
            <c:size val="16"/>
            <c:spPr>
              <a:solidFill>
                <a:schemeClr val="tx1"/>
              </a:solidFill>
              <a:ln w="9525">
                <a:noFill/>
              </a:ln>
              <a:effectLst/>
            </c:spPr>
          </c:marker>
          <c:dPt>
            <c:idx val="0"/>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3-AFF6-4734-A20C-2D7DB6E21DD7}"/>
              </c:ext>
            </c:extLst>
          </c:dPt>
          <c:dPt>
            <c:idx val="1"/>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5-AFF6-4734-A20C-2D7DB6E21DD7}"/>
              </c:ext>
            </c:extLst>
          </c:dPt>
          <c:cat>
            <c:numRef>
              <c:f>'S0 EU Serbia'!$AF$41:$AF$49</c:f>
              <c:numCache>
                <c:formatCode>General</c:formatCode>
                <c:ptCount val="7"/>
                <c:pt idx="0">
                  <c:v>2015</c:v>
                </c:pt>
                <c:pt idx="1">
                  <c:v>2016</c:v>
                </c:pt>
                <c:pt idx="2">
                  <c:v>2017</c:v>
                </c:pt>
                <c:pt idx="3">
                  <c:v>2018</c:v>
                </c:pt>
                <c:pt idx="4">
                  <c:v>2019</c:v>
                </c:pt>
                <c:pt idx="5">
                  <c:v>2020</c:v>
                </c:pt>
                <c:pt idx="6">
                  <c:v>2021</c:v>
                </c:pt>
              </c:numCache>
              <c:extLst/>
            </c:numRef>
          </c:cat>
          <c:val>
            <c:numRef>
              <c:f>'S0 EU Serbia'!$AI$41:$AI$49</c:f>
              <c:numCache>
                <c:formatCode>0.00</c:formatCode>
                <c:ptCount val="7"/>
                <c:pt idx="0">
                  <c:v>0.31941544885177453</c:v>
                </c:pt>
                <c:pt idx="1">
                  <c:v>0.24425887265135704</c:v>
                </c:pt>
                <c:pt idx="2">
                  <c:v>0.17745302713987476</c:v>
                </c:pt>
                <c:pt idx="3">
                  <c:v>0.17745302713987476</c:v>
                </c:pt>
                <c:pt idx="4">
                  <c:v>0.17745302713987476</c:v>
                </c:pt>
                <c:pt idx="5">
                  <c:v>0.4425887265135699</c:v>
                </c:pt>
                <c:pt idx="6">
                  <c:v>0.25259999999999999</c:v>
                </c:pt>
              </c:numCache>
              <c:extLst/>
            </c:numRef>
          </c:val>
          <c:smooth val="0"/>
          <c:extLst>
            <c:ext xmlns:c16="http://schemas.microsoft.com/office/drawing/2014/chart" uri="{C3380CC4-5D6E-409C-BE32-E72D297353CC}">
              <c16:uniqueId val="{00000006-AFF6-4734-A20C-2D7DB6E21DD7}"/>
            </c:ext>
          </c:extLst>
        </c:ser>
        <c:ser>
          <c:idx val="3"/>
          <c:order val="3"/>
          <c:tx>
            <c:strRef>
              <c:f>'S0 EU Serbia'!$AJ$39</c:f>
              <c:strCache>
                <c:ptCount val="1"/>
                <c:pt idx="0">
                  <c:v>Праг фискалног подиндекса</c:v>
                </c:pt>
              </c:strCache>
            </c:strRef>
          </c:tx>
          <c:spPr>
            <a:ln w="22225" cap="rnd">
              <a:solidFill>
                <a:srgbClr val="7030A0"/>
              </a:solidFill>
              <a:prstDash val="dash"/>
              <a:round/>
            </a:ln>
            <a:effectLst/>
          </c:spPr>
          <c:marker>
            <c:symbol val="none"/>
          </c:marker>
          <c:cat>
            <c:numRef>
              <c:f>'S0 EU Serbia'!$AF$41:$AF$49</c:f>
              <c:numCache>
                <c:formatCode>General</c:formatCode>
                <c:ptCount val="7"/>
                <c:pt idx="0">
                  <c:v>2015</c:v>
                </c:pt>
                <c:pt idx="1">
                  <c:v>2016</c:v>
                </c:pt>
                <c:pt idx="2">
                  <c:v>2017</c:v>
                </c:pt>
                <c:pt idx="3">
                  <c:v>2018</c:v>
                </c:pt>
                <c:pt idx="4">
                  <c:v>2019</c:v>
                </c:pt>
                <c:pt idx="5">
                  <c:v>2020</c:v>
                </c:pt>
                <c:pt idx="6">
                  <c:v>2021</c:v>
                </c:pt>
              </c:numCache>
              <c:extLst/>
            </c:numRef>
          </c:cat>
          <c:val>
            <c:numRef>
              <c:f>('S0 EU Serbia'!$AJ$41:$AJ$48,'S0 EU Serbia'!$AJ$49)</c:f>
              <c:numCache>
                <c:formatCode>General</c:formatCode>
                <c:ptCount val="7"/>
                <c:pt idx="0">
                  <c:v>0.36</c:v>
                </c:pt>
                <c:pt idx="1">
                  <c:v>0.36</c:v>
                </c:pt>
                <c:pt idx="2">
                  <c:v>0.36</c:v>
                </c:pt>
                <c:pt idx="3">
                  <c:v>0.36</c:v>
                </c:pt>
                <c:pt idx="4">
                  <c:v>0.36</c:v>
                </c:pt>
                <c:pt idx="5">
                  <c:v>0.36</c:v>
                </c:pt>
                <c:pt idx="6">
                  <c:v>0.36</c:v>
                </c:pt>
              </c:numCache>
              <c:extLst/>
            </c:numRef>
          </c:val>
          <c:smooth val="0"/>
          <c:extLst>
            <c:ext xmlns:c16="http://schemas.microsoft.com/office/drawing/2014/chart" uri="{C3380CC4-5D6E-409C-BE32-E72D297353CC}">
              <c16:uniqueId val="{00000007-AFF6-4734-A20C-2D7DB6E21DD7}"/>
            </c:ext>
          </c:extLst>
        </c:ser>
        <c:ser>
          <c:idx val="4"/>
          <c:order val="4"/>
          <c:tx>
            <c:strRef>
              <c:f>'S0 EU Serbia'!$AK$39</c:f>
              <c:strCache>
                <c:ptCount val="1"/>
                <c:pt idx="0">
                  <c:v>Праг финансијског подиндекса</c:v>
                </c:pt>
              </c:strCache>
            </c:strRef>
          </c:tx>
          <c:spPr>
            <a:ln w="22225" cap="rnd">
              <a:solidFill>
                <a:srgbClr val="5297AC"/>
              </a:solidFill>
              <a:prstDash val="dash"/>
              <a:round/>
            </a:ln>
            <a:effectLst/>
          </c:spPr>
          <c:marker>
            <c:symbol val="none"/>
          </c:marker>
          <c:cat>
            <c:numRef>
              <c:f>'S0 EU Serbia'!$AF$41:$AF$49</c:f>
              <c:numCache>
                <c:formatCode>General</c:formatCode>
                <c:ptCount val="7"/>
                <c:pt idx="0">
                  <c:v>2015</c:v>
                </c:pt>
                <c:pt idx="1">
                  <c:v>2016</c:v>
                </c:pt>
                <c:pt idx="2">
                  <c:v>2017</c:v>
                </c:pt>
                <c:pt idx="3">
                  <c:v>2018</c:v>
                </c:pt>
                <c:pt idx="4">
                  <c:v>2019</c:v>
                </c:pt>
                <c:pt idx="5">
                  <c:v>2020</c:v>
                </c:pt>
                <c:pt idx="6">
                  <c:v>2021</c:v>
                </c:pt>
              </c:numCache>
              <c:extLst/>
            </c:numRef>
          </c:cat>
          <c:val>
            <c:numRef>
              <c:f>('S0 EU Serbia'!$AK$41:$AK$48,'S0 EU Serbia'!$AK$49)</c:f>
              <c:numCache>
                <c:formatCode>General</c:formatCode>
                <c:ptCount val="7"/>
                <c:pt idx="0">
                  <c:v>0.49</c:v>
                </c:pt>
                <c:pt idx="1">
                  <c:v>0.49</c:v>
                </c:pt>
                <c:pt idx="2">
                  <c:v>0.49</c:v>
                </c:pt>
                <c:pt idx="3">
                  <c:v>0.49</c:v>
                </c:pt>
                <c:pt idx="4">
                  <c:v>0.49</c:v>
                </c:pt>
                <c:pt idx="5">
                  <c:v>0.49</c:v>
                </c:pt>
                <c:pt idx="6">
                  <c:v>0.49</c:v>
                </c:pt>
              </c:numCache>
              <c:extLst/>
            </c:numRef>
          </c:val>
          <c:smooth val="0"/>
          <c:extLst>
            <c:ext xmlns:c16="http://schemas.microsoft.com/office/drawing/2014/chart" uri="{C3380CC4-5D6E-409C-BE32-E72D297353CC}">
              <c16:uniqueId val="{00000008-AFF6-4734-A20C-2D7DB6E21DD7}"/>
            </c:ext>
          </c:extLst>
        </c:ser>
        <c:ser>
          <c:idx val="5"/>
          <c:order val="5"/>
          <c:tx>
            <c:strRef>
              <c:f>'S0 EU Serbia'!$AL$39</c:f>
              <c:strCache>
                <c:ptCount val="1"/>
                <c:pt idx="0">
                  <c:v>S0 праг</c:v>
                </c:pt>
              </c:strCache>
            </c:strRef>
          </c:tx>
          <c:spPr>
            <a:ln w="22225" cap="rnd">
              <a:solidFill>
                <a:schemeClr val="tx1"/>
              </a:solidFill>
              <a:prstDash val="dash"/>
              <a:round/>
            </a:ln>
            <a:effectLst/>
          </c:spPr>
          <c:marker>
            <c:symbol val="none"/>
          </c:marker>
          <c:cat>
            <c:numRef>
              <c:f>'S0 EU Serbia'!$AF$41:$AF$49</c:f>
              <c:numCache>
                <c:formatCode>General</c:formatCode>
                <c:ptCount val="7"/>
                <c:pt idx="0">
                  <c:v>2015</c:v>
                </c:pt>
                <c:pt idx="1">
                  <c:v>2016</c:v>
                </c:pt>
                <c:pt idx="2">
                  <c:v>2017</c:v>
                </c:pt>
                <c:pt idx="3">
                  <c:v>2018</c:v>
                </c:pt>
                <c:pt idx="4">
                  <c:v>2019</c:v>
                </c:pt>
                <c:pt idx="5">
                  <c:v>2020</c:v>
                </c:pt>
                <c:pt idx="6">
                  <c:v>2021</c:v>
                </c:pt>
              </c:numCache>
              <c:extLst/>
            </c:numRef>
          </c:cat>
          <c:val>
            <c:numRef>
              <c:f>('S0 EU Serbia'!$AL$41:$AL$48,'S0 EU Serbia'!$AL$49)</c:f>
              <c:numCache>
                <c:formatCode>General</c:formatCode>
                <c:ptCount val="7"/>
                <c:pt idx="0">
                  <c:v>0.46</c:v>
                </c:pt>
                <c:pt idx="1">
                  <c:v>0.46</c:v>
                </c:pt>
                <c:pt idx="2">
                  <c:v>0.46</c:v>
                </c:pt>
                <c:pt idx="3">
                  <c:v>0.46</c:v>
                </c:pt>
                <c:pt idx="4">
                  <c:v>0.46</c:v>
                </c:pt>
                <c:pt idx="5">
                  <c:v>0.46</c:v>
                </c:pt>
                <c:pt idx="6">
                  <c:v>0.46</c:v>
                </c:pt>
              </c:numCache>
              <c:extLst/>
            </c:numRef>
          </c:val>
          <c:smooth val="0"/>
          <c:extLst>
            <c:ext xmlns:c16="http://schemas.microsoft.com/office/drawing/2014/chart" uri="{C3380CC4-5D6E-409C-BE32-E72D297353CC}">
              <c16:uniqueId val="{00000009-AFF6-4734-A20C-2D7DB6E21DD7}"/>
            </c:ext>
          </c:extLst>
        </c:ser>
        <c:dLbls>
          <c:showLegendKey val="0"/>
          <c:showVal val="0"/>
          <c:showCatName val="0"/>
          <c:showSerName val="0"/>
          <c:showPercent val="0"/>
          <c:showBubbleSize val="0"/>
        </c:dLbls>
        <c:marker val="1"/>
        <c:smooth val="0"/>
        <c:axId val="42923856"/>
        <c:axId val="42925488"/>
      </c:lineChart>
      <c:catAx>
        <c:axId val="42923856"/>
        <c:scaling>
          <c:orientation val="minMax"/>
        </c:scaling>
        <c:delete val="0"/>
        <c:axPos val="b"/>
        <c:numFmt formatCode="General" sourceLinked="1"/>
        <c:majorTickMark val="none"/>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25488"/>
        <c:crosses val="autoZero"/>
        <c:auto val="1"/>
        <c:lblAlgn val="ctr"/>
        <c:lblOffset val="100"/>
        <c:noMultiLvlLbl val="0"/>
      </c:catAx>
      <c:valAx>
        <c:axId val="42925488"/>
        <c:scaling>
          <c:orientation val="minMax"/>
          <c:max val="0.70000000000000007"/>
        </c:scaling>
        <c:delete val="0"/>
        <c:axPos val="l"/>
        <c:numFmt formatCode="#,##0.0" sourceLinked="0"/>
        <c:majorTickMark val="out"/>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23856"/>
        <c:crossesAt val="1"/>
        <c:crossBetween val="between"/>
      </c:valAx>
      <c:spPr>
        <a:noFill/>
        <a:ln>
          <a:noFill/>
        </a:ln>
        <a:effectLst/>
      </c:spPr>
    </c:plotArea>
    <c:legend>
      <c:legendPos val="b"/>
      <c:layout>
        <c:manualLayout>
          <c:xMode val="edge"/>
          <c:yMode val="edge"/>
          <c:x val="4.2305184488754824E-2"/>
          <c:y val="0.7597650788700917"/>
          <c:w val="0.95548364912097428"/>
          <c:h val="0.197739551786795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140553174856415E-2"/>
          <c:y val="0.13775301764159703"/>
          <c:w val="0.89795062064282105"/>
          <c:h val="0.4716665570007092"/>
        </c:manualLayout>
      </c:layout>
      <c:barChart>
        <c:barDir val="col"/>
        <c:grouping val="clustered"/>
        <c:varyColors val="0"/>
        <c:ser>
          <c:idx val="3"/>
          <c:order val="1"/>
          <c:tx>
            <c:strRef>
              <c:f>'S0 EU Serbia'!$F$2</c:f>
              <c:strCache>
                <c:ptCount val="1"/>
                <c:pt idx="0">
                  <c:v>S0
2014</c:v>
                </c:pt>
              </c:strCache>
            </c:strRef>
          </c:tx>
          <c:spPr>
            <a:solidFill>
              <a:schemeClr val="tx1"/>
            </a:solidFill>
            <a:ln w="6350">
              <a:solidFill>
                <a:schemeClr val="tx1"/>
              </a:solidFill>
            </a:ln>
            <a:effectLst/>
          </c:spPr>
          <c:invertIfNegative val="0"/>
          <c:cat>
            <c:strRef>
              <c:f>'S0 EU Serbia'!$A$3:$A$31</c:f>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f>'S0 EU Serbia'!$F$3:$F$31</c:f>
            </c:numRef>
          </c:val>
          <c:extLst>
            <c:ext xmlns:c16="http://schemas.microsoft.com/office/drawing/2014/chart" uri="{C3380CC4-5D6E-409C-BE32-E72D297353CC}">
              <c16:uniqueId val="{00000000-7BDE-40EB-A158-BEF521012476}"/>
            </c:ext>
          </c:extLst>
        </c:ser>
        <c:dLbls>
          <c:showLegendKey val="0"/>
          <c:showVal val="0"/>
          <c:showCatName val="0"/>
          <c:showSerName val="0"/>
          <c:showPercent val="0"/>
          <c:showBubbleSize val="0"/>
        </c:dLbls>
        <c:gapWidth val="150"/>
        <c:axId val="42920592"/>
        <c:axId val="42921136"/>
      </c:barChart>
      <c:barChart>
        <c:barDir val="col"/>
        <c:grouping val="clustered"/>
        <c:varyColors val="0"/>
        <c:ser>
          <c:idx val="5"/>
          <c:order val="7"/>
          <c:tx>
            <c:strRef>
              <c:f>'S0 EU Serbia'!$X$2</c:f>
              <c:strCache>
                <c:ptCount val="1"/>
                <c:pt idx="0">
                  <c:v>S0 2020</c:v>
                </c:pt>
              </c:strCache>
            </c:strRef>
          </c:tx>
          <c:spPr>
            <a:solidFill>
              <a:srgbClr val="7030A0"/>
            </a:solidFill>
            <a:ln>
              <a:noFill/>
            </a:ln>
            <a:effectLst/>
          </c:spPr>
          <c:invertIfNegative val="0"/>
          <c:val>
            <c:numRef>
              <c:f>'S0 EU Serbia'!$X$3:$X$29</c:f>
              <c:numCache>
                <c:formatCode>0.00</c:formatCode>
                <c:ptCount val="27"/>
                <c:pt idx="0">
                  <c:v>0.4</c:v>
                </c:pt>
                <c:pt idx="1">
                  <c:v>0.48</c:v>
                </c:pt>
                <c:pt idx="2">
                  <c:v>0.35</c:v>
                </c:pt>
                <c:pt idx="3">
                  <c:v>0.37</c:v>
                </c:pt>
                <c:pt idx="4">
                  <c:v>0.61</c:v>
                </c:pt>
                <c:pt idx="5">
                  <c:v>0.64</c:v>
                </c:pt>
                <c:pt idx="6">
                  <c:v>0.41</c:v>
                </c:pt>
                <c:pt idx="7">
                  <c:v>0.33</c:v>
                </c:pt>
                <c:pt idx="8">
                  <c:v>0.49</c:v>
                </c:pt>
                <c:pt idx="9">
                  <c:v>0.55000000000000004</c:v>
                </c:pt>
                <c:pt idx="10">
                  <c:v>0.37</c:v>
                </c:pt>
                <c:pt idx="11">
                  <c:v>0.46</c:v>
                </c:pt>
                <c:pt idx="12">
                  <c:v>0.42</c:v>
                </c:pt>
                <c:pt idx="13">
                  <c:v>0.48</c:v>
                </c:pt>
                <c:pt idx="14">
                  <c:v>0.48</c:v>
                </c:pt>
                <c:pt idx="15">
                  <c:v>0.37</c:v>
                </c:pt>
                <c:pt idx="16">
                  <c:v>0.3</c:v>
                </c:pt>
                <c:pt idx="17">
                  <c:v>0.28999999999999998</c:v>
                </c:pt>
                <c:pt idx="18">
                  <c:v>0.39</c:v>
                </c:pt>
                <c:pt idx="19">
                  <c:v>0.45</c:v>
                </c:pt>
                <c:pt idx="20">
                  <c:v>0.61</c:v>
                </c:pt>
                <c:pt idx="21">
                  <c:v>0.49</c:v>
                </c:pt>
                <c:pt idx="22">
                  <c:v>0.4425887265135699</c:v>
                </c:pt>
                <c:pt idx="23">
                  <c:v>0.54</c:v>
                </c:pt>
                <c:pt idx="24">
                  <c:v>0.43</c:v>
                </c:pt>
                <c:pt idx="25">
                  <c:v>0.5</c:v>
                </c:pt>
                <c:pt idx="26">
                  <c:v>0.32</c:v>
                </c:pt>
              </c:numCache>
            </c:numRef>
          </c:val>
          <c:extLst>
            <c:ext xmlns:c16="http://schemas.microsoft.com/office/drawing/2014/chart" uri="{C3380CC4-5D6E-409C-BE32-E72D297353CC}">
              <c16:uniqueId val="{00000001-7BDE-40EB-A158-BEF521012476}"/>
            </c:ext>
          </c:extLst>
        </c:ser>
        <c:ser>
          <c:idx val="7"/>
          <c:order val="8"/>
          <c:tx>
            <c:strRef>
              <c:f>'S0 EU Serbia'!$AA$2</c:f>
              <c:strCache>
                <c:ptCount val="1"/>
                <c:pt idx="0">
                  <c:v>S0 2021</c:v>
                </c:pt>
              </c:strCache>
            </c:strRef>
          </c:tx>
          <c:spPr>
            <a:solidFill>
              <a:srgbClr val="00B0F0"/>
            </a:solidFill>
            <a:ln>
              <a:noFill/>
            </a:ln>
            <a:effectLst/>
          </c:spPr>
          <c:invertIfNegative val="0"/>
          <c:val>
            <c:numRef>
              <c:f>'S0 EU Serbia'!$AA$3:$AA$29</c:f>
              <c:numCache>
                <c:formatCode>0.00</c:formatCode>
                <c:ptCount val="27"/>
                <c:pt idx="0">
                  <c:v>0.36</c:v>
                </c:pt>
                <c:pt idx="1">
                  <c:v>0.36</c:v>
                </c:pt>
                <c:pt idx="2">
                  <c:v>0.36</c:v>
                </c:pt>
                <c:pt idx="3">
                  <c:v>0.36</c:v>
                </c:pt>
                <c:pt idx="4">
                  <c:v>0.36</c:v>
                </c:pt>
                <c:pt idx="5">
                  <c:v>0.36</c:v>
                </c:pt>
                <c:pt idx="6">
                  <c:v>0.36</c:v>
                </c:pt>
                <c:pt idx="7">
                  <c:v>0.36</c:v>
                </c:pt>
                <c:pt idx="8">
                  <c:v>0.36</c:v>
                </c:pt>
                <c:pt idx="9">
                  <c:v>0.36</c:v>
                </c:pt>
                <c:pt idx="10">
                  <c:v>0.36</c:v>
                </c:pt>
                <c:pt idx="11">
                  <c:v>0.36</c:v>
                </c:pt>
                <c:pt idx="12">
                  <c:v>0.36</c:v>
                </c:pt>
                <c:pt idx="13">
                  <c:v>0.36</c:v>
                </c:pt>
                <c:pt idx="14">
                  <c:v>0.36</c:v>
                </c:pt>
                <c:pt idx="15">
                  <c:v>0.36</c:v>
                </c:pt>
                <c:pt idx="16">
                  <c:v>0.36</c:v>
                </c:pt>
                <c:pt idx="17">
                  <c:v>0.36</c:v>
                </c:pt>
                <c:pt idx="18">
                  <c:v>0.36</c:v>
                </c:pt>
                <c:pt idx="19">
                  <c:v>0.36</c:v>
                </c:pt>
                <c:pt idx="20">
                  <c:v>0.36</c:v>
                </c:pt>
                <c:pt idx="21">
                  <c:v>0.36</c:v>
                </c:pt>
                <c:pt idx="22">
                  <c:v>0.25259999999999999</c:v>
                </c:pt>
                <c:pt idx="23">
                  <c:v>0.36</c:v>
                </c:pt>
                <c:pt idx="24">
                  <c:v>0.36</c:v>
                </c:pt>
                <c:pt idx="25">
                  <c:v>0.36</c:v>
                </c:pt>
                <c:pt idx="26">
                  <c:v>0.36</c:v>
                </c:pt>
              </c:numCache>
            </c:numRef>
          </c:val>
          <c:extLst>
            <c:ext xmlns:c16="http://schemas.microsoft.com/office/drawing/2014/chart" uri="{C3380CC4-5D6E-409C-BE32-E72D297353CC}">
              <c16:uniqueId val="{00000002-7BDE-40EB-A158-BEF521012476}"/>
            </c:ext>
          </c:extLst>
        </c:ser>
        <c:dLbls>
          <c:showLegendKey val="0"/>
          <c:showVal val="0"/>
          <c:showCatName val="0"/>
          <c:showSerName val="0"/>
          <c:showPercent val="0"/>
          <c:showBubbleSize val="0"/>
        </c:dLbls>
        <c:gapWidth val="150"/>
        <c:axId val="42920592"/>
        <c:axId val="42921136"/>
        <c:extLst>
          <c:ext xmlns:c15="http://schemas.microsoft.com/office/drawing/2012/chart" uri="{02D57815-91ED-43cb-92C2-25804820EDAC}">
            <c15:filteredBarSeries>
              <c15:ser>
                <c:idx val="6"/>
                <c:order val="2"/>
                <c:tx>
                  <c:strRef>
                    <c:extLst>
                      <c:ext uri="{02D57815-91ED-43cb-92C2-25804820EDAC}">
                        <c15:formulaRef>
                          <c15:sqref>'S0 EU Serbia'!$I$2</c15:sqref>
                        </c15:formulaRef>
                      </c:ext>
                    </c:extLst>
                    <c:strCache>
                      <c:ptCount val="1"/>
                      <c:pt idx="0">
                        <c:v>S0
2015</c:v>
                      </c:pt>
                    </c:strCache>
                  </c:strRef>
                </c:tx>
                <c:spPr>
                  <a:solidFill>
                    <a:schemeClr val="accent2"/>
                  </a:solidFill>
                  <a:ln>
                    <a:noFill/>
                  </a:ln>
                  <a:effectLst/>
                </c:spPr>
                <c:invertIfNegative val="0"/>
                <c:cat>
                  <c:strRef>
                    <c:extLst>
                      <c:ext uri="{02D57815-91ED-43cb-92C2-25804820EDAC}">
                        <c15:formulaRef>
                          <c15:sqref>'S0 EU Serbia'!$A$3:$A$31</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c:ext uri="{02D57815-91ED-43cb-92C2-25804820EDAC}">
                        <c15:formulaRef>
                          <c15:sqref>'S0 EU Serbia'!$I$3:$I$31</c15:sqref>
                        </c15:formulaRef>
                      </c:ext>
                    </c:extLst>
                    <c:numCache>
                      <c:formatCode>0.00</c:formatCode>
                      <c:ptCount val="29"/>
                      <c:pt idx="0">
                        <c:v>7.0000000000000007E-2</c:v>
                      </c:pt>
                      <c:pt idx="1">
                        <c:v>0.1</c:v>
                      </c:pt>
                      <c:pt idx="2">
                        <c:v>0.21</c:v>
                      </c:pt>
                      <c:pt idx="3">
                        <c:v>0.11</c:v>
                      </c:pt>
                      <c:pt idx="4">
                        <c:v>0.26</c:v>
                      </c:pt>
                      <c:pt idx="6">
                        <c:v>0.25</c:v>
                      </c:pt>
                      <c:pt idx="7">
                        <c:v>0.19</c:v>
                      </c:pt>
                      <c:pt idx="8">
                        <c:v>0.22</c:v>
                      </c:pt>
                      <c:pt idx="9">
                        <c:v>0.17</c:v>
                      </c:pt>
                      <c:pt idx="10">
                        <c:v>0.02</c:v>
                      </c:pt>
                      <c:pt idx="11">
                        <c:v>0.16</c:v>
                      </c:pt>
                      <c:pt idx="12">
                        <c:v>0.38</c:v>
                      </c:pt>
                      <c:pt idx="13">
                        <c:v>0.21</c:v>
                      </c:pt>
                      <c:pt idx="14">
                        <c:v>0.34</c:v>
                      </c:pt>
                      <c:pt idx="15">
                        <c:v>0.18</c:v>
                      </c:pt>
                      <c:pt idx="16">
                        <c:v>0.09</c:v>
                      </c:pt>
                      <c:pt idx="17">
                        <c:v>0.13</c:v>
                      </c:pt>
                      <c:pt idx="18">
                        <c:v>0.19</c:v>
                      </c:pt>
                      <c:pt idx="19">
                        <c:v>0.27</c:v>
                      </c:pt>
                      <c:pt idx="20">
                        <c:v>0.24</c:v>
                      </c:pt>
                      <c:pt idx="21">
                        <c:v>0.14000000000000001</c:v>
                      </c:pt>
                      <c:pt idx="22">
                        <c:v>0.36</c:v>
                      </c:pt>
                      <c:pt idx="23">
                        <c:v>0.21</c:v>
                      </c:pt>
                      <c:pt idx="24">
                        <c:v>0.08</c:v>
                      </c:pt>
                      <c:pt idx="25">
                        <c:v>0.21</c:v>
                      </c:pt>
                      <c:pt idx="26">
                        <c:v>0.15</c:v>
                      </c:pt>
                      <c:pt idx="27">
                        <c:v>0.36</c:v>
                      </c:pt>
                    </c:numCache>
                  </c:numRef>
                </c:val>
                <c:extLst>
                  <c:ext xmlns:c16="http://schemas.microsoft.com/office/drawing/2014/chart" uri="{C3380CC4-5D6E-409C-BE32-E72D297353CC}">
                    <c16:uniqueId val="{00000005-7BDE-40EB-A158-BEF521012476}"/>
                  </c:ext>
                </c:extLst>
              </c15:ser>
            </c15:filteredBarSeries>
            <c15:filteredBarSeries>
              <c15:ser>
                <c:idx val="9"/>
                <c:order val="3"/>
                <c:tx>
                  <c:strRef>
                    <c:extLst xmlns:c15="http://schemas.microsoft.com/office/drawing/2012/chart">
                      <c:ext xmlns:c15="http://schemas.microsoft.com/office/drawing/2012/chart" uri="{02D57815-91ED-43cb-92C2-25804820EDAC}">
                        <c15:formulaRef>
                          <c15:sqref>'S0 EU Serbia'!$L$2</c15:sqref>
                        </c15:formulaRef>
                      </c:ext>
                    </c:extLst>
                    <c:strCache>
                      <c:ptCount val="1"/>
                      <c:pt idx="0">
                        <c:v>S0
 2016</c:v>
                      </c:pt>
                    </c:strCache>
                  </c:strRef>
                </c:tx>
                <c:spPr>
                  <a:solidFill>
                    <a:srgbClr val="7030A0"/>
                  </a:solidFill>
                  <a:ln>
                    <a:noFill/>
                  </a:ln>
                  <a:effectLst/>
                </c:spPr>
                <c:invertIfNegative val="0"/>
                <c:dPt>
                  <c:idx val="16"/>
                  <c:invertIfNegative val="0"/>
                  <c:bubble3D val="0"/>
                  <c:spPr>
                    <a:solidFill>
                      <a:srgbClr val="7F7F7F"/>
                    </a:solidFill>
                    <a:ln>
                      <a:noFill/>
                    </a:ln>
                    <a:effectLst/>
                  </c:spPr>
                  <c:extLst xmlns:c15="http://schemas.microsoft.com/office/drawing/2012/chart">
                    <c:ext xmlns:c16="http://schemas.microsoft.com/office/drawing/2014/chart" uri="{C3380CC4-5D6E-409C-BE32-E72D297353CC}">
                      <c16:uniqueId val="{00000007-7BDE-40EB-A158-BEF521012476}"/>
                    </c:ext>
                  </c:extLst>
                </c:dPt>
                <c:cat>
                  <c:strRef>
                    <c:extLst xmlns:c15="http://schemas.microsoft.com/office/drawing/2012/chart">
                      <c:ext xmlns:c15="http://schemas.microsoft.com/office/drawing/2012/chart" uri="{02D57815-91ED-43cb-92C2-25804820EDAC}">
                        <c15:formulaRef>
                          <c15:sqref>'S0 EU Serbia'!$A$3:$A$31</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Serbia'!$L$3:$L$31</c15:sqref>
                        </c15:formulaRef>
                      </c:ext>
                    </c:extLst>
                    <c:numCache>
                      <c:formatCode>0.00</c:formatCode>
                      <c:ptCount val="29"/>
                      <c:pt idx="0">
                        <c:v>0.15</c:v>
                      </c:pt>
                      <c:pt idx="1">
                        <c:v>0.42</c:v>
                      </c:pt>
                      <c:pt idx="2">
                        <c:v>0.28000000000000003</c:v>
                      </c:pt>
                      <c:pt idx="3">
                        <c:v>0.19</c:v>
                      </c:pt>
                      <c:pt idx="4">
                        <c:v>0.18</c:v>
                      </c:pt>
                      <c:pt idx="5">
                        <c:v>0.41</c:v>
                      </c:pt>
                      <c:pt idx="6">
                        <c:v>0.19</c:v>
                      </c:pt>
                      <c:pt idx="7">
                        <c:v>0.25</c:v>
                      </c:pt>
                      <c:pt idx="8">
                        <c:v>0.22</c:v>
                      </c:pt>
                      <c:pt idx="9">
                        <c:v>0.31</c:v>
                      </c:pt>
                      <c:pt idx="10">
                        <c:v>0.08</c:v>
                      </c:pt>
                      <c:pt idx="11">
                        <c:v>0.31</c:v>
                      </c:pt>
                      <c:pt idx="12">
                        <c:v>0.28000000000000003</c:v>
                      </c:pt>
                      <c:pt idx="13">
                        <c:v>0.42</c:v>
                      </c:pt>
                      <c:pt idx="14">
                        <c:v>0.28999999999999998</c:v>
                      </c:pt>
                      <c:pt idx="15">
                        <c:v>0.21</c:v>
                      </c:pt>
                      <c:pt idx="16">
                        <c:v>0.28999999999999998</c:v>
                      </c:pt>
                      <c:pt idx="17">
                        <c:v>0.15</c:v>
                      </c:pt>
                      <c:pt idx="18">
                        <c:v>0.2</c:v>
                      </c:pt>
                      <c:pt idx="19">
                        <c:v>0.28999999999999998</c:v>
                      </c:pt>
                      <c:pt idx="20">
                        <c:v>0.41</c:v>
                      </c:pt>
                      <c:pt idx="21">
                        <c:v>0.26</c:v>
                      </c:pt>
                      <c:pt idx="22">
                        <c:v>0.19161676646706588</c:v>
                      </c:pt>
                      <c:pt idx="23">
                        <c:v>0.34</c:v>
                      </c:pt>
                      <c:pt idx="24">
                        <c:v>0.14000000000000001</c:v>
                      </c:pt>
                      <c:pt idx="25">
                        <c:v>0.37</c:v>
                      </c:pt>
                      <c:pt idx="26">
                        <c:v>0.12</c:v>
                      </c:pt>
                      <c:pt idx="27">
                        <c:v>0.41</c:v>
                      </c:pt>
                    </c:numCache>
                  </c:numRef>
                </c:val>
                <c:extLst xmlns:c15="http://schemas.microsoft.com/office/drawing/2012/chart">
                  <c:ext xmlns:c16="http://schemas.microsoft.com/office/drawing/2014/chart" uri="{C3380CC4-5D6E-409C-BE32-E72D297353CC}">
                    <c16:uniqueId val="{00000008-7BDE-40EB-A158-BEF521012476}"/>
                  </c:ext>
                </c:extLst>
              </c15:ser>
            </c15:filteredBarSeries>
            <c15:filteredBarSeries>
              <c15:ser>
                <c:idx val="0"/>
                <c:order val="4"/>
                <c:tx>
                  <c:strRef>
                    <c:extLst xmlns:c15="http://schemas.microsoft.com/office/drawing/2012/chart">
                      <c:ext xmlns:c15="http://schemas.microsoft.com/office/drawing/2012/chart" uri="{02D57815-91ED-43cb-92C2-25804820EDAC}">
                        <c15:formulaRef>
                          <c15:sqref>'S0 EU Serbia'!$O$2</c15:sqref>
                        </c15:formulaRef>
                      </c:ext>
                    </c:extLst>
                    <c:strCache>
                      <c:ptCount val="1"/>
                      <c:pt idx="0">
                        <c:v>S0 2017</c:v>
                      </c:pt>
                    </c:strCache>
                  </c:strRef>
                </c:tx>
                <c:spPr>
                  <a:solidFill>
                    <a:schemeClr val="accent1"/>
                  </a:solidFill>
                  <a:ln>
                    <a:noFill/>
                  </a:ln>
                  <a:effectLst/>
                </c:spPr>
                <c:invertIfNegative val="0"/>
                <c:cat>
                  <c:strRef>
                    <c:extLst xmlns:c15="http://schemas.microsoft.com/office/drawing/2012/chart">
                      <c:ext xmlns:c15="http://schemas.microsoft.com/office/drawing/2012/chart" uri="{02D57815-91ED-43cb-92C2-25804820EDAC}">
                        <c15:formulaRef>
                          <c15:sqref>'S0 EU Serbia'!$A$3:$A$30</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Serbia'!$O$3:$O$30</c15:sqref>
                        </c15:formulaRef>
                      </c:ext>
                    </c:extLst>
                    <c:numCache>
                      <c:formatCode>0.00</c:formatCode>
                      <c:ptCount val="28"/>
                      <c:pt idx="0">
                        <c:v>7.0000000000000007E-2</c:v>
                      </c:pt>
                      <c:pt idx="1">
                        <c:v>0.35</c:v>
                      </c:pt>
                      <c:pt idx="2">
                        <c:v>0.25</c:v>
                      </c:pt>
                      <c:pt idx="3">
                        <c:v>0.19</c:v>
                      </c:pt>
                      <c:pt idx="4">
                        <c:v>0.2</c:v>
                      </c:pt>
                      <c:pt idx="5">
                        <c:v>0.44</c:v>
                      </c:pt>
                      <c:pt idx="6">
                        <c:v>0.3</c:v>
                      </c:pt>
                      <c:pt idx="7">
                        <c:v>0.2</c:v>
                      </c:pt>
                      <c:pt idx="8">
                        <c:v>0.1</c:v>
                      </c:pt>
                      <c:pt idx="9">
                        <c:v>0.24</c:v>
                      </c:pt>
                      <c:pt idx="10">
                        <c:v>0.08</c:v>
                      </c:pt>
                      <c:pt idx="11">
                        <c:v>0.39</c:v>
                      </c:pt>
                      <c:pt idx="12">
                        <c:v>0.28000000000000003</c:v>
                      </c:pt>
                      <c:pt idx="13">
                        <c:v>0.36</c:v>
                      </c:pt>
                      <c:pt idx="14">
                        <c:v>0.24</c:v>
                      </c:pt>
                      <c:pt idx="15">
                        <c:v>0.21</c:v>
                      </c:pt>
                      <c:pt idx="16">
                        <c:v>0.12</c:v>
                      </c:pt>
                      <c:pt idx="17">
                        <c:v>0.05</c:v>
                      </c:pt>
                      <c:pt idx="18">
                        <c:v>0.2</c:v>
                      </c:pt>
                      <c:pt idx="19">
                        <c:v>0.25</c:v>
                      </c:pt>
                      <c:pt idx="20">
                        <c:v>0.36</c:v>
                      </c:pt>
                      <c:pt idx="21">
                        <c:v>0.2</c:v>
                      </c:pt>
                      <c:pt idx="22">
                        <c:v>0.17745302713987476</c:v>
                      </c:pt>
                      <c:pt idx="23">
                        <c:v>0.3</c:v>
                      </c:pt>
                      <c:pt idx="24">
                        <c:v>0.13</c:v>
                      </c:pt>
                      <c:pt idx="25">
                        <c:v>0.37</c:v>
                      </c:pt>
                      <c:pt idx="26">
                        <c:v>0.12</c:v>
                      </c:pt>
                      <c:pt idx="27">
                        <c:v>0.42</c:v>
                      </c:pt>
                    </c:numCache>
                  </c:numRef>
                </c:val>
                <c:extLst xmlns:c15="http://schemas.microsoft.com/office/drawing/2012/chart">
                  <c:ext xmlns:c16="http://schemas.microsoft.com/office/drawing/2014/chart" uri="{C3380CC4-5D6E-409C-BE32-E72D297353CC}">
                    <c16:uniqueId val="{00000009-7BDE-40EB-A158-BEF521012476}"/>
                  </c:ext>
                </c:extLst>
              </c15:ser>
            </c15:filteredBarSeries>
            <c15:filteredBarSeries>
              <c15:ser>
                <c:idx val="1"/>
                <c:order val="5"/>
                <c:tx>
                  <c:strRef>
                    <c:extLst xmlns:c15="http://schemas.microsoft.com/office/drawing/2012/chart">
                      <c:ext xmlns:c15="http://schemas.microsoft.com/office/drawing/2012/chart" uri="{02D57815-91ED-43cb-92C2-25804820EDAC}">
                        <c15:formulaRef>
                          <c15:sqref>'S0 EU Serbia'!$R$2</c15:sqref>
                        </c15:formulaRef>
                      </c:ext>
                    </c:extLst>
                    <c:strCache>
                      <c:ptCount val="1"/>
                      <c:pt idx="0">
                        <c:v>S0 2018</c:v>
                      </c:pt>
                    </c:strCache>
                  </c:strRef>
                </c:tx>
                <c:spPr>
                  <a:solidFill>
                    <a:srgbClr val="7030A0"/>
                  </a:solidFill>
                  <a:ln>
                    <a:noFill/>
                  </a:ln>
                  <a:effectLst/>
                </c:spPr>
                <c:invertIfNegative val="0"/>
                <c:cat>
                  <c:strRef>
                    <c:extLst xmlns:c15="http://schemas.microsoft.com/office/drawing/2012/chart">
                      <c:ext xmlns:c15="http://schemas.microsoft.com/office/drawing/2012/chart" uri="{02D57815-91ED-43cb-92C2-25804820EDAC}">
                        <c15:formulaRef>
                          <c15:sqref>'S0 EU Serbia'!$A$3:$A$30</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Serbia'!$R$3:$R$30</c15:sqref>
                        </c15:formulaRef>
                      </c:ext>
                    </c:extLst>
                    <c:numCache>
                      <c:formatCode>0.00</c:formatCode>
                      <c:ptCount val="28"/>
                      <c:pt idx="0">
                        <c:v>0.03</c:v>
                      </c:pt>
                      <c:pt idx="1">
                        <c:v>0.22</c:v>
                      </c:pt>
                      <c:pt idx="2">
                        <c:v>0.19</c:v>
                      </c:pt>
                      <c:pt idx="3">
                        <c:v>0.18</c:v>
                      </c:pt>
                      <c:pt idx="4">
                        <c:v>0.24</c:v>
                      </c:pt>
                      <c:pt idx="5">
                        <c:v>0.46</c:v>
                      </c:pt>
                      <c:pt idx="6">
                        <c:v>0.12</c:v>
                      </c:pt>
                      <c:pt idx="7">
                        <c:v>0.17</c:v>
                      </c:pt>
                      <c:pt idx="8">
                        <c:v>0.14000000000000001</c:v>
                      </c:pt>
                      <c:pt idx="9">
                        <c:v>0.28999999999999998</c:v>
                      </c:pt>
                      <c:pt idx="10">
                        <c:v>0</c:v>
                      </c:pt>
                      <c:pt idx="11">
                        <c:v>0.34</c:v>
                      </c:pt>
                      <c:pt idx="12">
                        <c:v>0.21</c:v>
                      </c:pt>
                      <c:pt idx="13">
                        <c:v>0.36</c:v>
                      </c:pt>
                      <c:pt idx="14">
                        <c:v>0.24</c:v>
                      </c:pt>
                      <c:pt idx="15">
                        <c:v>0.21</c:v>
                      </c:pt>
                      <c:pt idx="16">
                        <c:v>0.12</c:v>
                      </c:pt>
                      <c:pt idx="17">
                        <c:v>0.06</c:v>
                      </c:pt>
                      <c:pt idx="18">
                        <c:v>0.08</c:v>
                      </c:pt>
                      <c:pt idx="19">
                        <c:v>0.18</c:v>
                      </c:pt>
                      <c:pt idx="20">
                        <c:v>0.33</c:v>
                      </c:pt>
                      <c:pt idx="21">
                        <c:v>0.3</c:v>
                      </c:pt>
                      <c:pt idx="22">
                        <c:v>0.17745302713987476</c:v>
                      </c:pt>
                      <c:pt idx="23">
                        <c:v>0.27</c:v>
                      </c:pt>
                      <c:pt idx="24">
                        <c:v>0.13</c:v>
                      </c:pt>
                      <c:pt idx="25">
                        <c:v>0.37</c:v>
                      </c:pt>
                      <c:pt idx="26">
                        <c:v>0.2</c:v>
                      </c:pt>
                      <c:pt idx="27">
                        <c:v>0.42</c:v>
                      </c:pt>
                    </c:numCache>
                  </c:numRef>
                </c:val>
                <c:extLst xmlns:c15="http://schemas.microsoft.com/office/drawing/2012/chart">
                  <c:ext xmlns:c16="http://schemas.microsoft.com/office/drawing/2014/chart" uri="{C3380CC4-5D6E-409C-BE32-E72D297353CC}">
                    <c16:uniqueId val="{0000000A-7BDE-40EB-A158-BEF521012476}"/>
                  </c:ext>
                </c:extLst>
              </c15:ser>
            </c15:filteredBarSeries>
            <c15:filteredBarSeries>
              <c15:ser>
                <c:idx val="4"/>
                <c:order val="6"/>
                <c:tx>
                  <c:strRef>
                    <c:extLst xmlns:c15="http://schemas.microsoft.com/office/drawing/2012/chart">
                      <c:ext xmlns:c15="http://schemas.microsoft.com/office/drawing/2012/chart" uri="{02D57815-91ED-43cb-92C2-25804820EDAC}">
                        <c15:formulaRef>
                          <c15:sqref>'S0 EU Serbia'!$U$2</c15:sqref>
                        </c15:formulaRef>
                      </c:ext>
                    </c:extLst>
                    <c:strCache>
                      <c:ptCount val="1"/>
                      <c:pt idx="0">
                        <c:v>S0 2019</c:v>
                      </c:pt>
                    </c:strCache>
                  </c:strRef>
                </c:tx>
                <c:spPr>
                  <a:solidFill>
                    <a:schemeClr val="accent5"/>
                  </a:solidFill>
                  <a:ln>
                    <a:noFill/>
                  </a:ln>
                  <a:effectLst/>
                </c:spPr>
                <c:invertIfNegative val="0"/>
                <c:val>
                  <c:numRef>
                    <c:extLst xmlns:c15="http://schemas.microsoft.com/office/drawing/2012/chart">
                      <c:ext xmlns:c15="http://schemas.microsoft.com/office/drawing/2012/chart" uri="{02D57815-91ED-43cb-92C2-25804820EDAC}">
                        <c15:formulaRef>
                          <c15:sqref>'S0 EU Serbia'!$U$3:$U$29</c15:sqref>
                        </c15:formulaRef>
                      </c:ext>
                    </c:extLst>
                    <c:numCache>
                      <c:formatCode>0.00</c:formatCode>
                      <c:ptCount val="27"/>
                      <c:pt idx="0">
                        <c:v>0.1</c:v>
                      </c:pt>
                      <c:pt idx="1">
                        <c:v>0.17</c:v>
                      </c:pt>
                      <c:pt idx="2">
                        <c:v>0.21</c:v>
                      </c:pt>
                      <c:pt idx="3">
                        <c:v>0.22</c:v>
                      </c:pt>
                      <c:pt idx="4">
                        <c:v>0.24</c:v>
                      </c:pt>
                      <c:pt idx="5">
                        <c:v>0.45</c:v>
                      </c:pt>
                      <c:pt idx="6">
                        <c:v>0.2</c:v>
                      </c:pt>
                      <c:pt idx="7">
                        <c:v>0.2</c:v>
                      </c:pt>
                      <c:pt idx="8">
                        <c:v>0.26</c:v>
                      </c:pt>
                      <c:pt idx="9">
                        <c:v>0.36</c:v>
                      </c:pt>
                      <c:pt idx="10">
                        <c:v>0.08</c:v>
                      </c:pt>
                      <c:pt idx="11">
                        <c:v>0.28999999999999998</c:v>
                      </c:pt>
                      <c:pt idx="12">
                        <c:v>0.14000000000000001</c:v>
                      </c:pt>
                      <c:pt idx="13">
                        <c:v>0.33</c:v>
                      </c:pt>
                      <c:pt idx="14">
                        <c:v>0.24</c:v>
                      </c:pt>
                      <c:pt idx="15">
                        <c:v>0.21</c:v>
                      </c:pt>
                      <c:pt idx="16">
                        <c:v>0.19</c:v>
                      </c:pt>
                      <c:pt idx="17">
                        <c:v>0.06</c:v>
                      </c:pt>
                      <c:pt idx="18">
                        <c:v>0.16</c:v>
                      </c:pt>
                      <c:pt idx="19">
                        <c:v>0.26</c:v>
                      </c:pt>
                      <c:pt idx="20">
                        <c:v>0.33</c:v>
                      </c:pt>
                      <c:pt idx="21">
                        <c:v>0.37</c:v>
                      </c:pt>
                      <c:pt idx="22">
                        <c:v>0.17745302713987476</c:v>
                      </c:pt>
                      <c:pt idx="23">
                        <c:v>0.27</c:v>
                      </c:pt>
                      <c:pt idx="24">
                        <c:v>0.05</c:v>
                      </c:pt>
                      <c:pt idx="25">
                        <c:v>0.37</c:v>
                      </c:pt>
                      <c:pt idx="26">
                        <c:v>0.24</c:v>
                      </c:pt>
                    </c:numCache>
                  </c:numRef>
                </c:val>
                <c:extLst xmlns:c15="http://schemas.microsoft.com/office/drawing/2012/chart">
                  <c:ext xmlns:c16="http://schemas.microsoft.com/office/drawing/2014/chart" uri="{C3380CC4-5D6E-409C-BE32-E72D297353CC}">
                    <c16:uniqueId val="{0000000B-7BDE-40EB-A158-BEF521012476}"/>
                  </c:ext>
                </c:extLst>
              </c15:ser>
            </c15:filteredBarSeries>
          </c:ext>
        </c:extLst>
      </c:barChart>
      <c:lineChart>
        <c:grouping val="standard"/>
        <c:varyColors val="0"/>
        <c:ser>
          <c:idx val="2"/>
          <c:order val="0"/>
          <c:tx>
            <c:strRef>
              <c:f>'S0 EU Serbia'!$E$1</c:f>
              <c:strCache>
                <c:ptCount val="1"/>
                <c:pt idx="0">
                  <c:v>S0 праг</c:v>
                </c:pt>
              </c:strCache>
            </c:strRef>
          </c:tx>
          <c:spPr>
            <a:ln w="22225" cap="rnd">
              <a:solidFill>
                <a:schemeClr val="tx1"/>
              </a:solidFill>
              <a:prstDash val="dash"/>
              <a:round/>
            </a:ln>
            <a:effectLst/>
          </c:spPr>
          <c:marker>
            <c:symbol val="none"/>
          </c:marker>
          <c:dLbls>
            <c:dLbl>
              <c:idx val="15"/>
              <c:layout>
                <c:manualLayout>
                  <c:x val="-2.5343339842620423E-3"/>
                  <c:y val="-9.656453110492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DE-40EB-A158-BEF5210124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'S0 EU Serbia'!$A$3:$A$29</c:f>
              <c:strCache>
                <c:ptCount val="27"/>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strCache>
            </c:strRef>
          </c:cat>
          <c:val>
            <c:numRef>
              <c:f>'S0 EU Serbia'!$E$3:$E$29</c:f>
              <c:numCache>
                <c:formatCode>0.00</c:formatCode>
                <c:ptCount val="27"/>
                <c:pt idx="0">
                  <c:v>0.46</c:v>
                </c:pt>
                <c:pt idx="1">
                  <c:v>0.46</c:v>
                </c:pt>
                <c:pt idx="2">
                  <c:v>0.46</c:v>
                </c:pt>
                <c:pt idx="3">
                  <c:v>0.46</c:v>
                </c:pt>
                <c:pt idx="4">
                  <c:v>0.46</c:v>
                </c:pt>
                <c:pt idx="5">
                  <c:v>0.46</c:v>
                </c:pt>
                <c:pt idx="6">
                  <c:v>0.46</c:v>
                </c:pt>
                <c:pt idx="7">
                  <c:v>0.46</c:v>
                </c:pt>
                <c:pt idx="8">
                  <c:v>0.46</c:v>
                </c:pt>
                <c:pt idx="9">
                  <c:v>0.46</c:v>
                </c:pt>
                <c:pt idx="10">
                  <c:v>0.46</c:v>
                </c:pt>
                <c:pt idx="11">
                  <c:v>0.46</c:v>
                </c:pt>
                <c:pt idx="12">
                  <c:v>0.46</c:v>
                </c:pt>
                <c:pt idx="13">
                  <c:v>0.46</c:v>
                </c:pt>
                <c:pt idx="14">
                  <c:v>0.46</c:v>
                </c:pt>
                <c:pt idx="15">
                  <c:v>0.46</c:v>
                </c:pt>
                <c:pt idx="16">
                  <c:v>0.46</c:v>
                </c:pt>
                <c:pt idx="17">
                  <c:v>0.46</c:v>
                </c:pt>
                <c:pt idx="18">
                  <c:v>0.46</c:v>
                </c:pt>
                <c:pt idx="19">
                  <c:v>0.46</c:v>
                </c:pt>
                <c:pt idx="20">
                  <c:v>0.46</c:v>
                </c:pt>
                <c:pt idx="21">
                  <c:v>0.46</c:v>
                </c:pt>
                <c:pt idx="22">
                  <c:v>0.46</c:v>
                </c:pt>
                <c:pt idx="23">
                  <c:v>0.46</c:v>
                </c:pt>
                <c:pt idx="24">
                  <c:v>0.46</c:v>
                </c:pt>
                <c:pt idx="25">
                  <c:v>0.46</c:v>
                </c:pt>
                <c:pt idx="26">
                  <c:v>0.46</c:v>
                </c:pt>
              </c:numCache>
            </c:numRef>
          </c:val>
          <c:smooth val="0"/>
          <c:extLst>
            <c:ext xmlns:c16="http://schemas.microsoft.com/office/drawing/2014/chart" uri="{C3380CC4-5D6E-409C-BE32-E72D297353CC}">
              <c16:uniqueId val="{00000004-7BDE-40EB-A158-BEF521012476}"/>
            </c:ext>
          </c:extLst>
        </c:ser>
        <c:dLbls>
          <c:showLegendKey val="0"/>
          <c:showVal val="0"/>
          <c:showCatName val="0"/>
          <c:showSerName val="0"/>
          <c:showPercent val="0"/>
          <c:showBubbleSize val="0"/>
        </c:dLbls>
        <c:marker val="1"/>
        <c:smooth val="0"/>
        <c:axId val="42920592"/>
        <c:axId val="42921136"/>
      </c:lineChart>
      <c:catAx>
        <c:axId val="4292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21136"/>
        <c:crosses val="autoZero"/>
        <c:auto val="1"/>
        <c:lblAlgn val="ctr"/>
        <c:lblOffset val="100"/>
        <c:noMultiLvlLbl val="0"/>
      </c:catAx>
      <c:valAx>
        <c:axId val="42921136"/>
        <c:scaling>
          <c:orientation val="minMax"/>
          <c:max val="0.9"/>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20592"/>
        <c:crosses val="autoZero"/>
        <c:crossBetween val="between"/>
      </c:valAx>
      <c:spPr>
        <a:noFill/>
        <a:ln>
          <a:noFill/>
        </a:ln>
        <a:effectLst/>
      </c:spPr>
    </c:plotArea>
    <c:legend>
      <c:legendPos val="b"/>
      <c:layout>
        <c:manualLayout>
          <c:xMode val="edge"/>
          <c:yMode val="edge"/>
          <c:x val="0.25846853621471477"/>
          <c:y val="0.86684220028052061"/>
          <c:w val="0.47863111117314633"/>
          <c:h val="0.119048452276798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90787490080038"/>
          <c:y val="8.2473495136371477E-2"/>
          <c:w val="0.8350736412725478"/>
          <c:h val="0.81333285058353966"/>
        </c:manualLayout>
      </c:layout>
      <c:scatterChart>
        <c:scatterStyle val="lineMarker"/>
        <c:varyColors val="0"/>
        <c:ser>
          <c:idx val="0"/>
          <c:order val="0"/>
          <c:spPr>
            <a:ln w="28575" cap="rnd">
              <a:noFill/>
              <a:round/>
            </a:ln>
            <a:effectLst/>
          </c:spPr>
          <c:marker>
            <c:symbol val="circle"/>
            <c:size val="5"/>
            <c:spPr>
              <a:solidFill>
                <a:srgbClr val="5297AC"/>
              </a:solidFill>
              <a:ln w="9525">
                <a:noFill/>
              </a:ln>
              <a:effectLst/>
            </c:spPr>
          </c:marker>
          <c:dLbls>
            <c:dLbl>
              <c:idx val="0"/>
              <c:layout>
                <c:manualLayout>
                  <c:x val="1.2766232659233342E-2"/>
                  <c:y val="-9.0121351820277307E-3"/>
                </c:manualLayout>
              </c:layout>
              <c:tx>
                <c:rich>
                  <a:bodyPr/>
                  <a:lstStyle/>
                  <a:p>
                    <a:fld id="{8E733EDC-8867-4FCF-A0B3-1C073AC7E7D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C32-4AC2-9607-FF4C69F44E92}"/>
                </c:ext>
              </c:extLst>
            </c:dLbl>
            <c:dLbl>
              <c:idx val="1"/>
              <c:layout>
                <c:manualLayout>
                  <c:x val="3.5938791092701024E-3"/>
                  <c:y val="4.5376100206726819E-2"/>
                </c:manualLayout>
              </c:layout>
              <c:tx>
                <c:rich>
                  <a:bodyPr/>
                  <a:lstStyle/>
                  <a:p>
                    <a:fld id="{8BB47F29-26A8-4B0F-866B-A76E378B847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C32-4AC2-9607-FF4C69F44E92}"/>
                </c:ext>
              </c:extLst>
            </c:dLbl>
            <c:dLbl>
              <c:idx val="2"/>
              <c:layout>
                <c:manualLayout>
                  <c:x val="1.0809429674157153E-2"/>
                  <c:y val="9.6898709679296511E-3"/>
                </c:manualLayout>
              </c:layout>
              <c:tx>
                <c:rich>
                  <a:bodyPr/>
                  <a:lstStyle/>
                  <a:p>
                    <a:fld id="{B5CF5CC5-A37C-4C24-A264-A95169FADD6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3C32-4AC2-9607-FF4C69F44E92}"/>
                </c:ext>
              </c:extLst>
            </c:dLbl>
            <c:dLbl>
              <c:idx val="3"/>
              <c:layout>
                <c:manualLayout>
                  <c:x val="-0.15416750476283922"/>
                  <c:y val="-2.1399950905417457E-2"/>
                </c:manualLayout>
              </c:layout>
              <c:tx>
                <c:rich>
                  <a:bodyPr/>
                  <a:lstStyle/>
                  <a:p>
                    <a:fld id="{6BF7F8B9-EF0A-4B04-83A0-5BAE5EC6AE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3C32-4AC2-9607-FF4C69F44E92}"/>
                </c:ext>
              </c:extLst>
            </c:dLbl>
            <c:dLbl>
              <c:idx val="4"/>
              <c:layout>
                <c:manualLayout>
                  <c:x val="-6.3559149523694417E-2"/>
                  <c:y val="-3.5713111797924649E-2"/>
                </c:manualLayout>
              </c:layout>
              <c:tx>
                <c:rich>
                  <a:bodyPr/>
                  <a:lstStyle/>
                  <a:p>
                    <a:fld id="{30805397-1E40-4234-80FD-221C9154E7D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3C32-4AC2-9607-FF4C69F44E92}"/>
                </c:ext>
              </c:extLst>
            </c:dLbl>
            <c:dLbl>
              <c:idx val="5"/>
              <c:layout>
                <c:manualLayout>
                  <c:x val="-2.9519651923789324E-2"/>
                  <c:y val="3.867390768193911E-2"/>
                </c:manualLayout>
              </c:layout>
              <c:tx>
                <c:rich>
                  <a:bodyPr/>
                  <a:lstStyle/>
                  <a:p>
                    <a:fld id="{6AB31D84-D763-4DA1-8C67-1281AAA443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C32-4AC2-9607-FF4C69F44E92}"/>
                </c:ext>
              </c:extLst>
            </c:dLbl>
            <c:dLbl>
              <c:idx val="6"/>
              <c:layout>
                <c:manualLayout>
                  <c:x val="-1.7480805553511419E-2"/>
                  <c:y val="6.9609572184771873E-2"/>
                </c:manualLayout>
              </c:layout>
              <c:tx>
                <c:rich>
                  <a:bodyPr/>
                  <a:lstStyle/>
                  <a:p>
                    <a:fld id="{5CEC82C5-350F-4A91-90F0-5A1A28E571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3C32-4AC2-9607-FF4C69F44E92}"/>
                </c:ext>
              </c:extLst>
            </c:dLbl>
            <c:dLbl>
              <c:idx val="7"/>
              <c:layout>
                <c:manualLayout>
                  <c:x val="3.5179432468333841E-2"/>
                  <c:y val="-8.7698347640588308E-3"/>
                </c:manualLayout>
              </c:layout>
              <c:tx>
                <c:rich>
                  <a:bodyPr/>
                  <a:lstStyle/>
                  <a:p>
                    <a:fld id="{E452573E-286E-42A5-91ED-C83E23B725C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3C32-4AC2-9607-FF4C69F44E92}"/>
                </c:ext>
              </c:extLst>
            </c:dLbl>
            <c:dLbl>
              <c:idx val="8"/>
              <c:layout>
                <c:manualLayout>
                  <c:x val="-0.11342646626441595"/>
                  <c:y val="4.0277104156562347E-2"/>
                </c:manualLayout>
              </c:layout>
              <c:tx>
                <c:rich>
                  <a:bodyPr/>
                  <a:lstStyle/>
                  <a:p>
                    <a:fld id="{5B5A2D8A-18E7-4826-9232-137F2A38362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3C32-4AC2-9607-FF4C69F44E92}"/>
                </c:ext>
              </c:extLst>
            </c:dLbl>
            <c:dLbl>
              <c:idx val="9"/>
              <c:layout>
                <c:manualLayout>
                  <c:x val="1.995639888890369E-2"/>
                  <c:y val="1.2672324895787668E-2"/>
                </c:manualLayout>
              </c:layout>
              <c:tx>
                <c:rich>
                  <a:bodyPr/>
                  <a:lstStyle/>
                  <a:p>
                    <a:fld id="{4B6E3F4F-9A2A-4120-9915-65A56938649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C32-4AC2-9607-FF4C69F44E92}"/>
                </c:ext>
              </c:extLst>
            </c:dLbl>
            <c:dLbl>
              <c:idx val="10"/>
              <c:layout>
                <c:manualLayout>
                  <c:x val="-0.10942138227476156"/>
                  <c:y val="1.0535158027370411E-2"/>
                </c:manualLayout>
              </c:layout>
              <c:tx>
                <c:rich>
                  <a:bodyPr/>
                  <a:lstStyle/>
                  <a:p>
                    <a:fld id="{66C5BD39-C3F9-480D-BEF5-E3C799DA49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3C32-4AC2-9607-FF4C69F44E92}"/>
                </c:ext>
              </c:extLst>
            </c:dLbl>
            <c:dLbl>
              <c:idx val="11"/>
              <c:layout>
                <c:manualLayout>
                  <c:x val="-8.8402138604946282E-3"/>
                  <c:y val="-3.7069806047090703E-2"/>
                </c:manualLayout>
              </c:layout>
              <c:tx>
                <c:rich>
                  <a:bodyPr/>
                  <a:lstStyle/>
                  <a:p>
                    <a:fld id="{D00DB582-35FD-4905-AA9F-22B0B17AF8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3C32-4AC2-9607-FF4C69F44E92}"/>
                </c:ext>
              </c:extLst>
            </c:dLbl>
            <c:dLbl>
              <c:idx val="12"/>
              <c:layout>
                <c:manualLayout>
                  <c:x val="9.7471942430993538E-3"/>
                  <c:y val="-1.0329550293986685E-3"/>
                </c:manualLayout>
              </c:layout>
              <c:tx>
                <c:rich>
                  <a:bodyPr/>
                  <a:lstStyle/>
                  <a:p>
                    <a:fld id="{B3EB43FE-9064-4CAA-A79C-205AE634D7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3C32-4AC2-9607-FF4C69F44E92}"/>
                </c:ext>
              </c:extLst>
            </c:dLbl>
            <c:dLbl>
              <c:idx val="13"/>
              <c:layout>
                <c:manualLayout>
                  <c:x val="-7.04720321174814E-3"/>
                  <c:y val="-1.4294580083964325E-2"/>
                </c:manualLayout>
              </c:layout>
              <c:tx>
                <c:rich>
                  <a:bodyPr/>
                  <a:lstStyle/>
                  <a:p>
                    <a:fld id="{9F7BD1BA-D436-4807-B753-C99511C589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3C32-4AC2-9607-FF4C69F44E92}"/>
                </c:ext>
              </c:extLst>
            </c:dLbl>
            <c:dLbl>
              <c:idx val="14"/>
              <c:layout>
                <c:manualLayout>
                  <c:x val="-0.17795275590551185"/>
                  <c:y val="3.1388558444582916E-2"/>
                </c:manualLayout>
              </c:layout>
              <c:tx>
                <c:rich>
                  <a:bodyPr/>
                  <a:lstStyle/>
                  <a:p>
                    <a:fld id="{6C1B8D13-499E-41C6-B349-77B3F3FD41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3C32-4AC2-9607-FF4C69F44E92}"/>
                </c:ext>
              </c:extLst>
            </c:dLbl>
            <c:dLbl>
              <c:idx val="15"/>
              <c:layout>
                <c:manualLayout>
                  <c:x val="-3.6899564904737331E-3"/>
                  <c:y val="3.0265078709069866E-2"/>
                </c:manualLayout>
              </c:layout>
              <c:tx>
                <c:rich>
                  <a:bodyPr/>
                  <a:lstStyle/>
                  <a:p>
                    <a:fld id="{4376612C-5996-4D95-BE26-C117794C75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3C32-4AC2-9607-FF4C69F44E92}"/>
                </c:ext>
              </c:extLst>
            </c:dLbl>
            <c:dLbl>
              <c:idx val="16"/>
              <c:layout>
                <c:manualLayout>
                  <c:x val="-1.2441108412850187E-2"/>
                  <c:y val="3.7300301491090593E-2"/>
                </c:manualLayout>
              </c:layout>
              <c:tx>
                <c:rich>
                  <a:bodyPr/>
                  <a:lstStyle/>
                  <a:p>
                    <a:fld id="{402868B0-871D-4CA2-B4FE-64852822540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3C32-4AC2-9607-FF4C69F44E92}"/>
                </c:ext>
              </c:extLst>
            </c:dLbl>
            <c:dLbl>
              <c:idx val="17"/>
              <c:layout>
                <c:manualLayout>
                  <c:x val="3.011931079592969E-2"/>
                  <c:y val="3.2688180164529797E-2"/>
                </c:manualLayout>
              </c:layout>
              <c:tx>
                <c:rich>
                  <a:bodyPr/>
                  <a:lstStyle/>
                  <a:p>
                    <a:fld id="{38CE2AD7-45B3-48B1-960E-A12FC98922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3C32-4AC2-9607-FF4C69F44E92}"/>
                </c:ext>
              </c:extLst>
            </c:dLbl>
            <c:dLbl>
              <c:idx val="18"/>
              <c:layout>
                <c:manualLayout>
                  <c:x val="-0.12087816125788019"/>
                  <c:y val="6.6487156731307867E-2"/>
                </c:manualLayout>
              </c:layout>
              <c:tx>
                <c:rich>
                  <a:bodyPr/>
                  <a:lstStyle/>
                  <a:p>
                    <a:fld id="{243BF50A-71C7-416D-AB1C-7D183D2F0F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3C32-4AC2-9607-FF4C69F44E92}"/>
                </c:ext>
              </c:extLst>
            </c:dLbl>
            <c:dLbl>
              <c:idx val="19"/>
              <c:layout>
                <c:manualLayout>
                  <c:x val="-4.2645114150338663E-2"/>
                  <c:y val="3.8368148354382646E-2"/>
                </c:manualLayout>
              </c:layout>
              <c:tx>
                <c:rich>
                  <a:bodyPr/>
                  <a:lstStyle/>
                  <a:p>
                    <a:fld id="{13B9B152-038B-464C-A415-3600B4C2A9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3C32-4AC2-9607-FF4C69F44E92}"/>
                </c:ext>
              </c:extLst>
            </c:dLbl>
            <c:dLbl>
              <c:idx val="20"/>
              <c:layout>
                <c:manualLayout>
                  <c:x val="1.7976717185980037E-2"/>
                  <c:y val="3.5789253115696203E-2"/>
                </c:manualLayout>
              </c:layout>
              <c:tx>
                <c:rich>
                  <a:bodyPr/>
                  <a:lstStyle/>
                  <a:p>
                    <a:fld id="{72EEF3D1-B886-44A2-9AAF-CD8FB3782EB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3C32-4AC2-9607-FF4C69F44E92}"/>
                </c:ext>
              </c:extLst>
            </c:dLbl>
            <c:dLbl>
              <c:idx val="21"/>
              <c:layout>
                <c:manualLayout>
                  <c:x val="1.3023553266422513E-3"/>
                  <c:y val="-1.8134336538843977E-2"/>
                </c:manualLayout>
              </c:layout>
              <c:tx>
                <c:rich>
                  <a:bodyPr/>
                  <a:lstStyle/>
                  <a:p>
                    <a:fld id="{21352F77-078A-4304-AF4C-3B31E463972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3C32-4AC2-9607-FF4C69F44E92}"/>
                </c:ext>
              </c:extLst>
            </c:dLbl>
            <c:dLbl>
              <c:idx val="22"/>
              <c:layout>
                <c:manualLayout>
                  <c:x val="3.2674794155403475E-2"/>
                  <c:y val="-3.2453533236403001E-2"/>
                </c:manualLayout>
              </c:layout>
              <c:tx>
                <c:rich>
                  <a:bodyPr/>
                  <a:lstStyle/>
                  <a:p>
                    <a:fld id="{01AA4F0E-F632-4A99-9AFE-F3573492C6BB}" type="CELLRANGE">
                      <a:rPr lang="sr-Cyrl-RS">
                        <a:solidFill>
                          <a:schemeClr val="tx1">
                            <a:lumMod val="50000"/>
                            <a:lumOff val="50000"/>
                          </a:schemeClr>
                        </a:solidFill>
                      </a:rPr>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3C32-4AC2-9607-FF4C69F44E92}"/>
                </c:ext>
              </c:extLst>
            </c:dLbl>
            <c:dLbl>
              <c:idx val="23"/>
              <c:layout>
                <c:manualLayout>
                  <c:x val="-1.0859892303700238E-2"/>
                  <c:y val="3.8812582188732833E-2"/>
                </c:manualLayout>
              </c:layout>
              <c:tx>
                <c:rich>
                  <a:bodyPr/>
                  <a:lstStyle/>
                  <a:p>
                    <a:fld id="{9E754691-3CF2-4FE7-BA9A-1C76531E36EE}" type="CELLRANGE">
                      <a:rPr lang="sr-Cyrl-RS">
                        <a:solidFill>
                          <a:schemeClr val="tx1">
                            <a:lumMod val="50000"/>
                            <a:lumOff val="50000"/>
                          </a:schemeClr>
                        </a:solidFill>
                      </a:rPr>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3C32-4AC2-9607-FF4C69F44E92}"/>
                </c:ext>
              </c:extLst>
            </c:dLbl>
            <c:dLbl>
              <c:idx val="24"/>
              <c:layout>
                <c:manualLayout>
                  <c:x val="9.2252664000588424E-4"/>
                  <c:y val="-2.0041919220529381E-3"/>
                </c:manualLayout>
              </c:layout>
              <c:tx>
                <c:rich>
                  <a:bodyPr/>
                  <a:lstStyle/>
                  <a:p>
                    <a:r>
                      <a:rPr lang="sr-Cyrl-RS"/>
                      <a:t>Кипар</a:t>
                    </a:r>
                  </a:p>
                </c:rich>
              </c:tx>
              <c:showLegendKey val="0"/>
              <c:showVal val="0"/>
              <c:showCatName val="0"/>
              <c:showSerName val="0"/>
              <c:showPercent val="0"/>
              <c:showBubbleSize val="0"/>
              <c:extLst>
                <c:ext xmlns:c15="http://schemas.microsoft.com/office/drawing/2012/chart" uri="{CE6537A1-D6FC-4f65-9D91-7224C49458BB}">
                  <c15:layout>
                    <c:manualLayout>
                      <c:w val="0.13100275293998009"/>
                      <c:h val="3.706857368218909E-2"/>
                    </c:manualLayout>
                  </c15:layout>
                  <c15:showDataLabelsRange val="0"/>
                </c:ext>
                <c:ext xmlns:c16="http://schemas.microsoft.com/office/drawing/2014/chart" uri="{C3380CC4-5D6E-409C-BE32-E72D297353CC}">
                  <c16:uniqueId val="{00000018-3C32-4AC2-9607-FF4C69F44E92}"/>
                </c:ext>
              </c:extLst>
            </c:dLbl>
            <c:dLbl>
              <c:idx val="25"/>
              <c:layout>
                <c:manualLayout>
                  <c:x val="7.4933156719895998E-3"/>
                  <c:y val="-1.8076877081012355E-2"/>
                </c:manualLayout>
              </c:layout>
              <c:tx>
                <c:rich>
                  <a:bodyPr/>
                  <a:lstStyle/>
                  <a:p>
                    <a:r>
                      <a:rPr lang="sr-Cyrl-RS"/>
                      <a:t>Португал</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3C32-4AC2-9607-FF4C69F44E92}"/>
                </c:ext>
              </c:extLst>
            </c:dLbl>
            <c:dLbl>
              <c:idx val="26"/>
              <c:layout>
                <c:manualLayout>
                  <c:x val="1.4986886474334956E-2"/>
                  <c:y val="1.1595684944327016E-2"/>
                </c:manualLayout>
              </c:layout>
              <c:tx>
                <c:rich>
                  <a:bodyPr/>
                  <a:lstStyle/>
                  <a:p>
                    <a:r>
                      <a:rPr lang="sr-Cyrl-RS" sz="800">
                        <a:solidFill>
                          <a:sysClr val="windowText" lastClr="000000"/>
                        </a:solidFill>
                        <a:latin typeface="Times New Roman" panose="02020603050405020304" pitchFamily="18" charset="0"/>
                        <a:cs typeface="Times New Roman" panose="02020603050405020304" pitchFamily="18" charset="0"/>
                      </a:rPr>
                      <a:t>Србија</a:t>
                    </a:r>
                    <a:r>
                      <a:rPr lang="sr-Cyrl-RS" sz="800" baseline="0">
                        <a:solidFill>
                          <a:sysClr val="windowText" lastClr="000000"/>
                        </a:solidFill>
                        <a:latin typeface="Times New Roman" panose="02020603050405020304" pitchFamily="18" charset="0"/>
                        <a:cs typeface="Times New Roman" panose="02020603050405020304" pitchFamily="18" charset="0"/>
                      </a:rPr>
                      <a:t> </a:t>
                    </a:r>
                    <a:endParaRPr lang="sr-Cyrl-RS" sz="800">
                      <a:solidFill>
                        <a:sysClr val="windowText" lastClr="000000"/>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3C32-4AC2-9607-FF4C69F44E92}"/>
                </c:ext>
              </c:extLst>
            </c:dLbl>
            <c:dLbl>
              <c:idx val="27"/>
              <c:delete val="1"/>
              <c:extLst>
                <c:ext xmlns:c15="http://schemas.microsoft.com/office/drawing/2012/chart" uri="{CE6537A1-D6FC-4f65-9D91-7224C49458BB}"/>
                <c:ext xmlns:c16="http://schemas.microsoft.com/office/drawing/2014/chart" uri="{C3380CC4-5D6E-409C-BE32-E72D297353CC}">
                  <c16:uniqueId val="{0000001B-3C32-4AC2-9607-FF4C69F44E92}"/>
                </c:ext>
              </c:extLst>
            </c:dLbl>
            <c:dLbl>
              <c:idx val="2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3C32-4AC2-9607-FF4C69F44E92}"/>
                </c:ext>
              </c:extLst>
            </c:dLbl>
            <c:dLbl>
              <c:idx val="29"/>
              <c:layout>
                <c:manualLayout>
                  <c:x val="0.27121180204981443"/>
                  <c:y val="-0.10981647825182873"/>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manualLayout>
                      <c:w val="6.4583536111454121E-2"/>
                      <c:h val="3.6566409796610792E-2"/>
                    </c:manualLayout>
                  </c15:layout>
                  <c15:showDataLabelsRange val="0"/>
                </c:ext>
                <c:ext xmlns:c16="http://schemas.microsoft.com/office/drawing/2014/chart" uri="{C3380CC4-5D6E-409C-BE32-E72D297353CC}">
                  <c16:uniqueId val="{0000001D-3C32-4AC2-9607-FF4C69F44E9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'2021'!$D$4:$D$30</c:f>
              <c:numCache>
                <c:formatCode>0.00</c:formatCode>
                <c:ptCount val="27"/>
                <c:pt idx="0">
                  <c:v>0.41</c:v>
                </c:pt>
                <c:pt idx="1">
                  <c:v>0.56999999999999995</c:v>
                </c:pt>
                <c:pt idx="2">
                  <c:v>0.22</c:v>
                </c:pt>
                <c:pt idx="3">
                  <c:v>0.22</c:v>
                </c:pt>
                <c:pt idx="4">
                  <c:v>0.33</c:v>
                </c:pt>
                <c:pt idx="5">
                  <c:v>0.08</c:v>
                </c:pt>
                <c:pt idx="6">
                  <c:v>0.22</c:v>
                </c:pt>
                <c:pt idx="7">
                  <c:v>0.28999999999999998</c:v>
                </c:pt>
                <c:pt idx="8">
                  <c:v>0.69</c:v>
                </c:pt>
                <c:pt idx="9">
                  <c:v>0.56999999999999995</c:v>
                </c:pt>
                <c:pt idx="10">
                  <c:v>0.22</c:v>
                </c:pt>
                <c:pt idx="11">
                  <c:v>0.69</c:v>
                </c:pt>
                <c:pt idx="12">
                  <c:v>0.32</c:v>
                </c:pt>
                <c:pt idx="13">
                  <c:v>0.45</c:v>
                </c:pt>
                <c:pt idx="14">
                  <c:v>0.26</c:v>
                </c:pt>
                <c:pt idx="15">
                  <c:v>0.08</c:v>
                </c:pt>
                <c:pt idx="16">
                  <c:v>0.45</c:v>
                </c:pt>
                <c:pt idx="17">
                  <c:v>0.37</c:v>
                </c:pt>
                <c:pt idx="18">
                  <c:v>0.22</c:v>
                </c:pt>
                <c:pt idx="19">
                  <c:v>0.22</c:v>
                </c:pt>
                <c:pt idx="20">
                  <c:v>0.28000000000000003</c:v>
                </c:pt>
                <c:pt idx="21">
                  <c:v>0.28999999999999998</c:v>
                </c:pt>
                <c:pt idx="22">
                  <c:v>0.56999999999999995</c:v>
                </c:pt>
                <c:pt idx="23">
                  <c:v>0.08</c:v>
                </c:pt>
                <c:pt idx="24">
                  <c:v>0.41</c:v>
                </c:pt>
                <c:pt idx="25">
                  <c:v>0.53</c:v>
                </c:pt>
                <c:pt idx="26">
                  <c:v>0.21560000000000001</c:v>
                </c:pt>
              </c:numCache>
            </c:numRef>
          </c:xVal>
          <c:yVal>
            <c:numRef>
              <c:f>'2021'!$E$4:$E$30</c:f>
              <c:numCache>
                <c:formatCode>0.00</c:formatCode>
                <c:ptCount val="27"/>
                <c:pt idx="0">
                  <c:v>0.06</c:v>
                </c:pt>
                <c:pt idx="1">
                  <c:v>0.18</c:v>
                </c:pt>
                <c:pt idx="2">
                  <c:v>0.38</c:v>
                </c:pt>
                <c:pt idx="3">
                  <c:v>0.25</c:v>
                </c:pt>
                <c:pt idx="4">
                  <c:v>0.41</c:v>
                </c:pt>
                <c:pt idx="5">
                  <c:v>0.24</c:v>
                </c:pt>
                <c:pt idx="6">
                  <c:v>0.22</c:v>
                </c:pt>
                <c:pt idx="7">
                  <c:v>0.24</c:v>
                </c:pt>
                <c:pt idx="8">
                  <c:v>0.33</c:v>
                </c:pt>
                <c:pt idx="9">
                  <c:v>0.22</c:v>
                </c:pt>
                <c:pt idx="10">
                  <c:v>0.43</c:v>
                </c:pt>
                <c:pt idx="11">
                  <c:v>7.0000000000000007E-2</c:v>
                </c:pt>
                <c:pt idx="12">
                  <c:v>0.22</c:v>
                </c:pt>
                <c:pt idx="13">
                  <c:v>0.24</c:v>
                </c:pt>
                <c:pt idx="14">
                  <c:v>0.13</c:v>
                </c:pt>
                <c:pt idx="15">
                  <c:v>0.41</c:v>
                </c:pt>
                <c:pt idx="16">
                  <c:v>0.22</c:v>
                </c:pt>
                <c:pt idx="17">
                  <c:v>0.3</c:v>
                </c:pt>
                <c:pt idx="18">
                  <c:v>0.22</c:v>
                </c:pt>
                <c:pt idx="19">
                  <c:v>0.37</c:v>
                </c:pt>
                <c:pt idx="20">
                  <c:v>0.22</c:v>
                </c:pt>
                <c:pt idx="21">
                  <c:v>0.13</c:v>
                </c:pt>
                <c:pt idx="22">
                  <c:v>0.22</c:v>
                </c:pt>
                <c:pt idx="23">
                  <c:v>0.37</c:v>
                </c:pt>
                <c:pt idx="24">
                  <c:v>0.51</c:v>
                </c:pt>
                <c:pt idx="25">
                  <c:v>0.33</c:v>
                </c:pt>
                <c:pt idx="26">
                  <c:v>0.27239999999999998</c:v>
                </c:pt>
              </c:numCache>
            </c:numRef>
          </c:yVal>
          <c:smooth val="0"/>
          <c:extLst>
            <c:ext xmlns:c15="http://schemas.microsoft.com/office/drawing/2012/chart" uri="{02D57815-91ED-43cb-92C2-25804820EDAC}">
              <c15:datalabelsRange>
                <c15:f>'2021'!$B$4:$B$33</c15:f>
                <c15:dlblRangeCache>
                  <c:ptCount val="30"/>
                  <c:pt idx="0">
                    <c:v>Аустрија</c:v>
                  </c:pt>
                  <c:pt idx="1">
                    <c:v>Белгија</c:v>
                  </c:pt>
                  <c:pt idx="2">
                    <c:v>Бугарска</c:v>
                  </c:pt>
                  <c:pt idx="3">
                    <c:v>Чешка</c:v>
                  </c:pt>
                  <c:pt idx="4">
                    <c:v>Хрватска</c:v>
                  </c:pt>
                  <c:pt idx="5">
                    <c:v>Данска</c:v>
                  </c:pt>
                  <c:pt idx="6">
                    <c:v>Естонија</c:v>
                  </c:pt>
                  <c:pt idx="7">
                    <c:v>Финска</c:v>
                  </c:pt>
                  <c:pt idx="8">
                    <c:v>Француска</c:v>
                  </c:pt>
                  <c:pt idx="9">
                    <c:v>Мађарска</c:v>
                  </c:pt>
                  <c:pt idx="10">
                    <c:v>Ирска</c:v>
                  </c:pt>
                  <c:pt idx="11">
                    <c:v>Италија</c:v>
                  </c:pt>
                  <c:pt idx="12">
                    <c:v>Летонија</c:v>
                  </c:pt>
                  <c:pt idx="13">
                    <c:v>Немачка</c:v>
                  </c:pt>
                  <c:pt idx="14">
                    <c:v>Литванија</c:v>
                  </c:pt>
                  <c:pt idx="15">
                    <c:v>Луксембург</c:v>
                  </c:pt>
                  <c:pt idx="16">
                    <c:v>Малта</c:v>
                  </c:pt>
                  <c:pt idx="17">
                    <c:v>Холандија</c:v>
                  </c:pt>
                  <c:pt idx="18">
                    <c:v>Пољска</c:v>
                  </c:pt>
                  <c:pt idx="19">
                    <c:v>Румунија</c:v>
                  </c:pt>
                  <c:pt idx="20">
                    <c:v>Словачка</c:v>
                  </c:pt>
                  <c:pt idx="21">
                    <c:v>Словенија</c:v>
                  </c:pt>
                  <c:pt idx="22">
                    <c:v>Шпанија</c:v>
                  </c:pt>
                  <c:pt idx="23">
                    <c:v>Шведска</c:v>
                  </c:pt>
                  <c:pt idx="24">
                    <c:v>Кипар</c:v>
                  </c:pt>
                  <c:pt idx="25">
                    <c:v>Португал</c:v>
                  </c:pt>
                  <c:pt idx="26">
                    <c:v>Србија 2021</c:v>
                  </c:pt>
                  <c:pt idx="29">
                    <c:v>Србија 2019,2018,2017</c:v>
                  </c:pt>
                </c15:dlblRangeCache>
              </c15:datalabelsRange>
            </c:ext>
            <c:ext xmlns:c16="http://schemas.microsoft.com/office/drawing/2014/chart" uri="{C3380CC4-5D6E-409C-BE32-E72D297353CC}">
              <c16:uniqueId val="{0000001E-3C32-4AC2-9607-FF4C69F44E92}"/>
            </c:ext>
          </c:extLst>
        </c:ser>
        <c:dLbls>
          <c:showLegendKey val="0"/>
          <c:showVal val="0"/>
          <c:showCatName val="0"/>
          <c:showSerName val="0"/>
          <c:showPercent val="0"/>
          <c:showBubbleSize val="0"/>
        </c:dLbls>
        <c:axId val="42932016"/>
        <c:axId val="42918416"/>
      </c:scatterChart>
      <c:valAx>
        <c:axId val="429320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800">
                    <a:latin typeface="Times New Roman" panose="02020603050405020304" pitchFamily="18" charset="0"/>
                    <a:cs typeface="Times New Roman" panose="02020603050405020304" pitchFamily="18" charset="0"/>
                  </a:rPr>
                  <a:t>Фискални подиндекс</a:t>
                </a:r>
                <a:endParaRPr lang="en-US" sz="800">
                  <a:latin typeface="Times New Roman" panose="02020603050405020304" pitchFamily="18" charset="0"/>
                  <a:cs typeface="Times New Roman" panose="02020603050405020304" pitchFamily="18" charset="0"/>
                </a:endParaRPr>
              </a:p>
            </c:rich>
          </c:tx>
          <c:layout>
            <c:manualLayout>
              <c:xMode val="edge"/>
              <c:yMode val="edge"/>
              <c:x val="0.40828237164360764"/>
              <c:y val="0.947167431409203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63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18416"/>
        <c:crosses val="autoZero"/>
        <c:crossBetween val="midCat"/>
        <c:minorUnit val="1.0000000000000002E-2"/>
      </c:valAx>
      <c:valAx>
        <c:axId val="4291841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800">
                    <a:latin typeface="Times New Roman" panose="02020603050405020304" pitchFamily="18" charset="0"/>
                    <a:cs typeface="Times New Roman" panose="02020603050405020304" pitchFamily="18" charset="0"/>
                  </a:rPr>
                  <a:t>Подиндекс макро-финансијске конкурентности</a:t>
                </a:r>
                <a:endParaRPr lang="en-US" sz="800">
                  <a:latin typeface="Times New Roman" panose="02020603050405020304" pitchFamily="18" charset="0"/>
                  <a:cs typeface="Times New Roman" panose="02020603050405020304" pitchFamily="18" charset="0"/>
                </a:endParaRPr>
              </a:p>
            </c:rich>
          </c:tx>
          <c:layout>
            <c:manualLayout>
              <c:xMode val="edge"/>
              <c:yMode val="edge"/>
              <c:x val="2.7525284339457567E-2"/>
              <c:y val="0.1163710497299896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63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32016"/>
        <c:crosses val="autoZero"/>
        <c:crossBetween val="midCat"/>
        <c:minorUnit val="1.0000000000000002E-2"/>
      </c:valAx>
      <c:spPr>
        <a:noFill/>
        <a:ln>
          <a:noFill/>
        </a:ln>
        <a:effectLst/>
      </c:spPr>
    </c:plotArea>
    <c:plotVisOnly val="1"/>
    <c:dispBlanksAs val="gap"/>
    <c:showDLblsOverMax val="0"/>
  </c:chart>
  <c:spPr>
    <a:noFill/>
    <a:ln w="9525" cap="flat" cmpd="sng" algn="ctr">
      <a:noFill/>
      <a:round/>
    </a:ln>
    <a:effectLst/>
  </c:spPr>
  <c:txPr>
    <a:bodyPr/>
    <a:lstStyle/>
    <a:p>
      <a:pPr>
        <a:defRPr sz="600"/>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0.58892</cdr:x>
      <cdr:y>0</cdr:y>
    </cdr:from>
    <cdr:to>
      <cdr:x>0.97619</cdr:x>
      <cdr:y>0.73863</cdr:y>
    </cdr:to>
    <cdr:sp macro="" textlink="">
      <cdr:nvSpPr>
        <cdr:cNvPr id="3" name="TextBox 2"/>
        <cdr:cNvSpPr txBox="1"/>
      </cdr:nvSpPr>
      <cdr:spPr>
        <a:xfrm xmlns:a="http://schemas.openxmlformats.org/drawingml/2006/main">
          <a:off x="1615520" y="0"/>
          <a:ext cx="1062359" cy="1560873"/>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700" b="1">
              <a:solidFill>
                <a:sysClr val="windowText" lastClr="000000"/>
              </a:solidFill>
              <a:latin typeface="Times New Roman" panose="02020603050405020304" pitchFamily="18" charset="0"/>
              <a:cs typeface="Times New Roman" panose="02020603050405020304" pitchFamily="18" charset="0"/>
            </a:rPr>
            <a:t>ПРОЈЕКЦИЈА</a:t>
          </a:r>
          <a:endParaRPr lang="en-GB" sz="7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0.04375</cdr:x>
      <cdr:y>0.88368</cdr:y>
    </cdr:from>
    <cdr:to>
      <cdr:x>0.16667</cdr:x>
      <cdr:y>0.93576</cdr:y>
    </cdr:to>
    <cdr:sp macro="" textlink="">
      <cdr:nvSpPr>
        <cdr:cNvPr id="2" name="TextBox 1"/>
        <cdr:cNvSpPr txBox="1"/>
      </cdr:nvSpPr>
      <cdr:spPr>
        <a:xfrm xmlns:a="http://schemas.openxmlformats.org/drawingml/2006/main">
          <a:off x="200025" y="2424113"/>
          <a:ext cx="5619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0.04792</cdr:x>
      <cdr:y>0.73785</cdr:y>
    </cdr:from>
    <cdr:to>
      <cdr:x>0.24167</cdr:x>
      <cdr:y>0.86979</cdr:y>
    </cdr:to>
    <cdr:sp macro="" textlink="">
      <cdr:nvSpPr>
        <cdr:cNvPr id="3" name="TextBox 2"/>
        <cdr:cNvSpPr txBox="1"/>
      </cdr:nvSpPr>
      <cdr:spPr>
        <a:xfrm xmlns:a="http://schemas.openxmlformats.org/drawingml/2006/main">
          <a:off x="228061" y="2482144"/>
          <a:ext cx="922095" cy="4438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800">
            <a:latin typeface="+mj-lt"/>
          </a:endParaRPr>
        </a:p>
      </cdr:txBody>
    </cdr:sp>
  </cdr:relSizeAnchor>
  <cdr:relSizeAnchor xmlns:cdr="http://schemas.openxmlformats.org/drawingml/2006/chartDrawing">
    <cdr:from>
      <cdr:x>0.66875</cdr:x>
      <cdr:y>0.74826</cdr:y>
    </cdr:from>
    <cdr:to>
      <cdr:x>0.9125</cdr:x>
      <cdr:y>0.84549</cdr:y>
    </cdr:to>
    <cdr:sp macro="" textlink="">
      <cdr:nvSpPr>
        <cdr:cNvPr id="4" name="TextBox 3"/>
        <cdr:cNvSpPr txBox="1"/>
      </cdr:nvSpPr>
      <cdr:spPr>
        <a:xfrm xmlns:a="http://schemas.openxmlformats.org/drawingml/2006/main">
          <a:off x="3057525" y="2052638"/>
          <a:ext cx="1114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0.76703</cdr:x>
      <cdr:y>0.16819</cdr:y>
    </cdr:from>
    <cdr:to>
      <cdr:x>0.98856</cdr:x>
      <cdr:y>0.2903</cdr:y>
    </cdr:to>
    <cdr:sp macro="" textlink="">
      <cdr:nvSpPr>
        <cdr:cNvPr id="5" name="TextBox 1"/>
        <cdr:cNvSpPr txBox="1"/>
      </cdr:nvSpPr>
      <cdr:spPr>
        <a:xfrm xmlns:a="http://schemas.openxmlformats.org/drawingml/2006/main">
          <a:off x="3650440" y="565780"/>
          <a:ext cx="1054306" cy="410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mj-lt"/>
          </a:endParaRPr>
        </a:p>
      </cdr:txBody>
    </cdr:sp>
  </cdr:relSizeAnchor>
  <cdr:relSizeAnchor xmlns:cdr="http://schemas.openxmlformats.org/drawingml/2006/chartDrawing">
    <cdr:from>
      <cdr:x>0.73125</cdr:x>
      <cdr:y>0.8206</cdr:y>
    </cdr:from>
    <cdr:to>
      <cdr:x>0.95417</cdr:x>
      <cdr:y>0.94271</cdr:y>
    </cdr:to>
    <cdr:sp macro="" textlink="">
      <cdr:nvSpPr>
        <cdr:cNvPr id="6" name="TextBox 1"/>
        <cdr:cNvSpPr txBox="1"/>
      </cdr:nvSpPr>
      <cdr:spPr>
        <a:xfrm xmlns:a="http://schemas.openxmlformats.org/drawingml/2006/main">
          <a:off x="3480164" y="2760516"/>
          <a:ext cx="1060921" cy="410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mj-lt"/>
          </a:endParaRPr>
        </a:p>
      </cdr:txBody>
    </cdr:sp>
  </cdr:relSizeAnchor>
  <cdr:relSizeAnchor xmlns:cdr="http://schemas.openxmlformats.org/drawingml/2006/chartDrawing">
    <cdr:from>
      <cdr:x>0.04928</cdr:x>
      <cdr:y>0.22036</cdr:y>
    </cdr:from>
    <cdr:to>
      <cdr:x>0.27219</cdr:x>
      <cdr:y>0.34247</cdr:y>
    </cdr:to>
    <cdr:sp macro="" textlink="">
      <cdr:nvSpPr>
        <cdr:cNvPr id="7" name="TextBox 1"/>
        <cdr:cNvSpPr txBox="1"/>
      </cdr:nvSpPr>
      <cdr:spPr>
        <a:xfrm xmlns:a="http://schemas.openxmlformats.org/drawingml/2006/main">
          <a:off x="234530" y="741312"/>
          <a:ext cx="1060873" cy="4107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Cambria" panose="02040503050406030204" pitchFamily="18" charset="0"/>
          </a:endParaRPr>
        </a:p>
      </cdr:txBody>
    </cdr:sp>
  </cdr:relSizeAnchor>
  <cdr:relSizeAnchor xmlns:cdr="http://schemas.openxmlformats.org/drawingml/2006/chartDrawing">
    <cdr:from>
      <cdr:x>0.04375</cdr:x>
      <cdr:y>0.88368</cdr:y>
    </cdr:from>
    <cdr:to>
      <cdr:x>0.16667</cdr:x>
      <cdr:y>0.93576</cdr:y>
    </cdr:to>
    <cdr:sp macro="" textlink="">
      <cdr:nvSpPr>
        <cdr:cNvPr id="14" name="TextBox 1"/>
        <cdr:cNvSpPr txBox="1"/>
      </cdr:nvSpPr>
      <cdr:spPr>
        <a:xfrm xmlns:a="http://schemas.openxmlformats.org/drawingml/2006/main">
          <a:off x="200025" y="2424113"/>
          <a:ext cx="5619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0.01117</cdr:x>
      <cdr:y>0.836</cdr:y>
    </cdr:from>
    <cdr:to>
      <cdr:x>0.27976</cdr:x>
      <cdr:y>1</cdr:y>
    </cdr:to>
    <cdr:sp macro="" textlink="">
      <cdr:nvSpPr>
        <cdr:cNvPr id="15" name="TextBox 2"/>
        <cdr:cNvSpPr txBox="1"/>
      </cdr:nvSpPr>
      <cdr:spPr>
        <a:xfrm xmlns:a="http://schemas.openxmlformats.org/drawingml/2006/main">
          <a:off x="30796" y="1990725"/>
          <a:ext cx="740729"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900" b="0">
              <a:solidFill>
                <a:sysClr val="windowText" lastClr="000000"/>
              </a:solidFill>
              <a:latin typeface="Times New Roman" panose="02020603050405020304" pitchFamily="18" charset="0"/>
              <a:cs typeface="Times New Roman" panose="02020603050405020304" pitchFamily="18" charset="0"/>
            </a:rPr>
            <a:t>проциклично</a:t>
          </a:r>
          <a:r>
            <a:rPr lang="sr-Cyrl-CS" sz="900" b="0" baseline="0">
              <a:solidFill>
                <a:sysClr val="windowText" lastClr="000000"/>
              </a:solidFill>
              <a:latin typeface="Times New Roman" panose="02020603050405020304" pitchFamily="18" charset="0"/>
              <a:cs typeface="Times New Roman" panose="02020603050405020304" pitchFamily="18" charset="0"/>
            </a:rPr>
            <a:t> -рестриктивна</a:t>
          </a:r>
          <a:endParaRPr lang="sr-Cyrl-CS" sz="900" b="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0.66875</cdr:x>
      <cdr:y>0.74826</cdr:y>
    </cdr:from>
    <cdr:to>
      <cdr:x>0.9125</cdr:x>
      <cdr:y>0.84549</cdr:y>
    </cdr:to>
    <cdr:sp macro="" textlink="">
      <cdr:nvSpPr>
        <cdr:cNvPr id="16" name="TextBox 3"/>
        <cdr:cNvSpPr txBox="1"/>
      </cdr:nvSpPr>
      <cdr:spPr>
        <a:xfrm xmlns:a="http://schemas.openxmlformats.org/drawingml/2006/main">
          <a:off x="3057525" y="2052638"/>
          <a:ext cx="1114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0.70458</cdr:x>
      <cdr:y>0.004</cdr:y>
    </cdr:from>
    <cdr:to>
      <cdr:x>0.98273</cdr:x>
      <cdr:y>0.15686</cdr:y>
    </cdr:to>
    <cdr:sp macro="" textlink="">
      <cdr:nvSpPr>
        <cdr:cNvPr id="17" name="TextBox 1"/>
        <cdr:cNvSpPr txBox="1"/>
      </cdr:nvSpPr>
      <cdr:spPr>
        <a:xfrm xmlns:a="http://schemas.openxmlformats.org/drawingml/2006/main">
          <a:off x="1943101" y="9526"/>
          <a:ext cx="767079" cy="3639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900" b="0">
              <a:solidFill>
                <a:sysClr val="windowText" lastClr="000000"/>
              </a:solidFill>
              <a:latin typeface="Times New Roman" panose="02020603050405020304" pitchFamily="18" charset="0"/>
              <a:cs typeface="Times New Roman" panose="02020603050405020304" pitchFamily="18" charset="0"/>
            </a:rPr>
            <a:t>проциклично</a:t>
          </a:r>
          <a:r>
            <a:rPr lang="sr-Cyrl-CS" sz="900" b="0" baseline="0">
              <a:solidFill>
                <a:sysClr val="windowText" lastClr="000000"/>
              </a:solidFill>
              <a:latin typeface="Times New Roman" panose="02020603050405020304" pitchFamily="18" charset="0"/>
              <a:cs typeface="Times New Roman" panose="02020603050405020304" pitchFamily="18" charset="0"/>
            </a:rPr>
            <a:t> - експанзивна</a:t>
          </a:r>
          <a:endParaRPr lang="sr-Cyrl-CS" sz="900" b="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0.68731</cdr:x>
      <cdr:y>0.828</cdr:y>
    </cdr:from>
    <cdr:to>
      <cdr:x>1</cdr:x>
      <cdr:y>1</cdr:y>
    </cdr:to>
    <cdr:sp macro="" textlink="">
      <cdr:nvSpPr>
        <cdr:cNvPr id="18" name="TextBox 1"/>
        <cdr:cNvSpPr txBox="1"/>
      </cdr:nvSpPr>
      <cdr:spPr>
        <a:xfrm xmlns:a="http://schemas.openxmlformats.org/drawingml/2006/main">
          <a:off x="1895475" y="1971676"/>
          <a:ext cx="862330" cy="4095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900" b="0">
              <a:solidFill>
                <a:sysClr val="windowText" lastClr="000000"/>
              </a:solidFill>
              <a:latin typeface="Times New Roman" panose="02020603050405020304" pitchFamily="18" charset="0"/>
              <a:cs typeface="Times New Roman" panose="02020603050405020304" pitchFamily="18" charset="0"/>
            </a:rPr>
            <a:t>контрациклично</a:t>
          </a:r>
          <a:r>
            <a:rPr lang="sr-Cyrl-CS" sz="900" b="0" baseline="0">
              <a:solidFill>
                <a:sysClr val="windowText" lastClr="000000"/>
              </a:solidFill>
              <a:latin typeface="Times New Roman" panose="02020603050405020304" pitchFamily="18" charset="0"/>
              <a:cs typeface="Times New Roman" panose="02020603050405020304" pitchFamily="18" charset="0"/>
            </a:rPr>
            <a:t> - рестриктивна</a:t>
          </a:r>
          <a:endParaRPr lang="sr-Cyrl-CS" sz="900" b="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0.01329</cdr:x>
      <cdr:y>0</cdr:y>
    </cdr:from>
    <cdr:to>
      <cdr:x>0.39374</cdr:x>
      <cdr:y>0.12211</cdr:y>
    </cdr:to>
    <cdr:sp macro="" textlink="">
      <cdr:nvSpPr>
        <cdr:cNvPr id="19" name="TextBox 1"/>
        <cdr:cNvSpPr txBox="1"/>
      </cdr:nvSpPr>
      <cdr:spPr>
        <a:xfrm xmlns:a="http://schemas.openxmlformats.org/drawingml/2006/main">
          <a:off x="36654" y="0"/>
          <a:ext cx="1049196" cy="2907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900" b="0">
              <a:solidFill>
                <a:sysClr val="windowText" lastClr="000000"/>
              </a:solidFill>
              <a:latin typeface="Times New Roman" panose="02020603050405020304" pitchFamily="18" charset="0"/>
              <a:cs typeface="Times New Roman" panose="02020603050405020304" pitchFamily="18" charset="0"/>
            </a:rPr>
            <a:t>контрациклично</a:t>
          </a:r>
          <a:r>
            <a:rPr lang="sr-Cyrl-CS" sz="900" b="0" baseline="0">
              <a:solidFill>
                <a:sysClr val="windowText" lastClr="000000"/>
              </a:solidFill>
              <a:latin typeface="Times New Roman" panose="02020603050405020304" pitchFamily="18" charset="0"/>
              <a:cs typeface="Times New Roman" panose="02020603050405020304" pitchFamily="18" charset="0"/>
            </a:rPr>
            <a:t> - експанзивна</a:t>
          </a:r>
          <a:endParaRPr lang="sr-Cyrl-CS" sz="900" b="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0.86333</cdr:x>
      <cdr:y>0.04452</cdr:y>
    </cdr:from>
    <cdr:to>
      <cdr:x>1</cdr:x>
      <cdr:y>0.23529</cdr:y>
    </cdr:to>
    <cdr:sp macro="" textlink="">
      <cdr:nvSpPr>
        <cdr:cNvPr id="2" name="TextBox 1"/>
        <cdr:cNvSpPr txBox="1"/>
      </cdr:nvSpPr>
      <cdr:spPr>
        <a:xfrm xmlns:a="http://schemas.openxmlformats.org/drawingml/2006/main">
          <a:off x="6065520" y="21336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0.59388</cdr:x>
      <cdr:y>0</cdr:y>
    </cdr:from>
    <cdr:to>
      <cdr:x>0.98231</cdr:x>
      <cdr:y>0.73936</cdr:y>
    </cdr:to>
    <cdr:sp macro="" textlink="">
      <cdr:nvSpPr>
        <cdr:cNvPr id="3" name="TextBox 2"/>
        <cdr:cNvSpPr txBox="1"/>
      </cdr:nvSpPr>
      <cdr:spPr>
        <a:xfrm xmlns:a="http://schemas.openxmlformats.org/drawingml/2006/main">
          <a:off x="1632252" y="0"/>
          <a:ext cx="1067593" cy="1549458"/>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700" b="1">
              <a:solidFill>
                <a:sysClr val="windowText" lastClr="000000"/>
              </a:solidFill>
              <a:latin typeface="Times New Roman" panose="02020603050405020304" pitchFamily="18" charset="0"/>
              <a:cs typeface="Times New Roman" panose="02020603050405020304" pitchFamily="18" charset="0"/>
            </a:rPr>
            <a:t>ПРОЈЕКЦИЈА</a:t>
          </a:r>
          <a:endParaRPr lang="en-GB" sz="7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0.5755</cdr:x>
      <cdr:y>0.00827</cdr:y>
    </cdr:from>
    <cdr:to>
      <cdr:x>0.96515</cdr:x>
      <cdr:y>0.75872</cdr:y>
    </cdr:to>
    <cdr:sp macro="" textlink="">
      <cdr:nvSpPr>
        <cdr:cNvPr id="3" name="TextBox 2"/>
        <cdr:cNvSpPr txBox="1"/>
      </cdr:nvSpPr>
      <cdr:spPr>
        <a:xfrm xmlns:a="http://schemas.openxmlformats.org/drawingml/2006/main">
          <a:off x="1578707" y="19829"/>
          <a:ext cx="1068892" cy="1799399"/>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700" b="1">
              <a:solidFill>
                <a:sysClr val="windowText" lastClr="000000"/>
              </a:solidFill>
              <a:latin typeface="Times New Roman" panose="02020603050405020304" pitchFamily="18" charset="0"/>
              <a:cs typeface="Times New Roman" panose="02020603050405020304" pitchFamily="18" charset="0"/>
            </a:rPr>
            <a:t>ПРОЈЕКЦИЈА</a:t>
          </a:r>
          <a:endParaRPr lang="en-GB" sz="7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0.10112</cdr:x>
      <cdr:y>0.52921</cdr:y>
    </cdr:from>
    <cdr:to>
      <cdr:x>0.97767</cdr:x>
      <cdr:y>0.53085</cdr:y>
    </cdr:to>
    <cdr:cxnSp macro="">
      <cdr:nvCxnSpPr>
        <cdr:cNvPr id="3" name="Straight Connector 2">
          <a:extLst xmlns:a="http://schemas.openxmlformats.org/drawingml/2006/main">
            <a:ext uri="{FF2B5EF4-FFF2-40B4-BE49-F238E27FC236}">
              <a16:creationId xmlns:a16="http://schemas.microsoft.com/office/drawing/2014/main" id="{AF97C602-EDF0-713A-5812-4788E2BCD26B}"/>
            </a:ext>
          </a:extLst>
        </cdr:cNvPr>
        <cdr:cNvCxnSpPr/>
      </cdr:nvCxnSpPr>
      <cdr:spPr>
        <a:xfrm xmlns:a="http://schemas.openxmlformats.org/drawingml/2006/main" flipV="1">
          <a:off x="514335" y="2417164"/>
          <a:ext cx="4458439" cy="7490"/>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0.5994</cdr:x>
      <cdr:y>0.31197</cdr:y>
    </cdr:from>
    <cdr:to>
      <cdr:x>0.5994</cdr:x>
      <cdr:y>0.34818</cdr:y>
    </cdr:to>
    <cdr:cxnSp macro="">
      <cdr:nvCxnSpPr>
        <cdr:cNvPr id="3" name="Straight Arrow Connector 2"/>
        <cdr:cNvCxnSpPr/>
      </cdr:nvCxnSpPr>
      <cdr:spPr>
        <a:xfrm xmlns:a="http://schemas.openxmlformats.org/drawingml/2006/main" flipV="1">
          <a:off x="3927978" y="1066789"/>
          <a:ext cx="0" cy="12381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0.49984</cdr:x>
      <cdr:y>0.12299</cdr:y>
    </cdr:from>
    <cdr:to>
      <cdr:x>0.49984</cdr:x>
      <cdr:y>0.8934</cdr:y>
    </cdr:to>
    <cdr:cxnSp macro="">
      <cdr:nvCxnSpPr>
        <cdr:cNvPr id="3" name="Straight Connector 2"/>
        <cdr:cNvCxnSpPr/>
      </cdr:nvCxnSpPr>
      <cdr:spPr>
        <a:xfrm xmlns:a="http://schemas.openxmlformats.org/drawingml/2006/main">
          <a:off x="1509237" y="488515"/>
          <a:ext cx="0" cy="3060000"/>
        </a:xfrm>
        <a:prstGeom xmlns:a="http://schemas.openxmlformats.org/drawingml/2006/main" prst="line">
          <a:avLst/>
        </a:prstGeom>
        <a:ln xmlns:a="http://schemas.openxmlformats.org/drawingml/2006/main" w="12700">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0.12198</cdr:x>
      <cdr:y>0.23149</cdr:y>
    </cdr:from>
    <cdr:to>
      <cdr:x>0.94251</cdr:x>
      <cdr:y>0.23149</cdr:y>
    </cdr:to>
    <cdr:cxnSp macro="">
      <cdr:nvCxnSpPr>
        <cdr:cNvPr id="7" name="Straight Connector 6"/>
        <cdr:cNvCxnSpPr/>
      </cdr:nvCxnSpPr>
      <cdr:spPr>
        <a:xfrm xmlns:a="http://schemas.openxmlformats.org/drawingml/2006/main" flipV="1">
          <a:off x="368297" y="919465"/>
          <a:ext cx="2477528" cy="0"/>
        </a:xfrm>
        <a:prstGeom xmlns:a="http://schemas.openxmlformats.org/drawingml/2006/main" prst="line">
          <a:avLst/>
        </a:prstGeom>
        <a:ln xmlns:a="http://schemas.openxmlformats.org/drawingml/2006/main" w="12700">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0.83237</cdr:x>
      <cdr:y>0.04452</cdr:y>
    </cdr:from>
    <cdr:to>
      <cdr:x>0.96904</cdr:x>
      <cdr:y>0.10408</cdr:y>
    </cdr:to>
    <cdr:sp macro="" textlink="">
      <cdr:nvSpPr>
        <cdr:cNvPr id="2" name="TextBox 1"/>
        <cdr:cNvSpPr txBox="1"/>
      </cdr:nvSpPr>
      <cdr:spPr>
        <a:xfrm xmlns:a="http://schemas.openxmlformats.org/drawingml/2006/main">
          <a:off x="5378606" y="170300"/>
          <a:ext cx="883129" cy="2278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latin typeface="+mj-lt"/>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0.86328</cdr:x>
      <cdr:y>0.09401</cdr:y>
    </cdr:from>
    <cdr:to>
      <cdr:x>0.86454</cdr:x>
      <cdr:y>0.91861</cdr:y>
    </cdr:to>
    <cdr:cxnSp macro="">
      <cdr:nvCxnSpPr>
        <cdr:cNvPr id="3" name="Straight Connector 2"/>
        <cdr:cNvCxnSpPr/>
      </cdr:nvCxnSpPr>
      <cdr:spPr>
        <a:xfrm xmlns:a="http://schemas.openxmlformats.org/drawingml/2006/main">
          <a:off x="6196120" y="397363"/>
          <a:ext cx="9043" cy="3485606"/>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0.11452</cdr:x>
      <cdr:y>0.17764</cdr:y>
    </cdr:from>
    <cdr:to>
      <cdr:x>0.34201</cdr:x>
      <cdr:y>0.5815</cdr:y>
    </cdr:to>
    <cdr:sp macro="" textlink="">
      <cdr:nvSpPr>
        <cdr:cNvPr id="11" name="Oval 10"/>
        <cdr:cNvSpPr/>
      </cdr:nvSpPr>
      <cdr:spPr>
        <a:xfrm xmlns:a="http://schemas.openxmlformats.org/drawingml/2006/main">
          <a:off x="315751" y="477037"/>
          <a:ext cx="627224" cy="1084532"/>
        </a:xfrm>
        <a:prstGeom xmlns:a="http://schemas.openxmlformats.org/drawingml/2006/main" prst="ellipse">
          <a:avLst/>
        </a:prstGeom>
        <a:solidFill xmlns:a="http://schemas.openxmlformats.org/drawingml/2006/main">
          <a:srgbClr val="51BBE7">
            <a:alpha val="16000"/>
          </a:srgbClr>
        </a:solidFill>
        <a:ln xmlns:a="http://schemas.openxmlformats.org/drawingml/2006/main">
          <a:solidFill>
            <a:srgbClr val="29489A">
              <a:alpha val="50000"/>
            </a:srgb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sz="80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0.19839</cdr:x>
      <cdr:y>0.18008</cdr:y>
    </cdr:from>
    <cdr:to>
      <cdr:x>0.29019</cdr:x>
      <cdr:y>0.36468</cdr:y>
    </cdr:to>
    <cdr:sp macro="" textlink="">
      <cdr:nvSpPr>
        <cdr:cNvPr id="5" name="Straight Arrow Connector 4"/>
        <cdr:cNvSpPr/>
      </cdr:nvSpPr>
      <cdr:spPr>
        <a:xfrm xmlns:a="http://schemas.openxmlformats.org/drawingml/2006/main" flipV="1">
          <a:off x="546995" y="483577"/>
          <a:ext cx="253105" cy="495740"/>
        </a:xfrm>
        <a:prstGeom xmlns:a="http://schemas.openxmlformats.org/drawingml/2006/main" prst="straightConnector1">
          <a:avLst/>
        </a:prstGeom>
        <a:ln xmlns:a="http://schemas.openxmlformats.org/drawingml/2006/main">
          <a:solidFill>
            <a:schemeClr val="dk1">
              <a:alpha val="54000"/>
            </a:schemeClr>
          </a:solidFill>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0.248</cdr:x>
      <cdr:y>0.05269</cdr:y>
    </cdr:from>
    <cdr:to>
      <cdr:x>0.49789</cdr:x>
      <cdr:y>0.15151</cdr:y>
    </cdr:to>
    <cdr:sp macro="" textlink="">
      <cdr:nvSpPr>
        <cdr:cNvPr id="6" name="TextBox 5"/>
        <cdr:cNvSpPr txBox="1"/>
      </cdr:nvSpPr>
      <cdr:spPr>
        <a:xfrm xmlns:a="http://schemas.openxmlformats.org/drawingml/2006/main">
          <a:off x="1450398" y="105988"/>
          <a:ext cx="1461444" cy="1988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Експанзивна</a:t>
          </a:r>
          <a:r>
            <a:rPr lang="en-US" sz="600" baseline="0">
              <a:solidFill>
                <a:sysClr val="windowText" lastClr="000000"/>
              </a:solidFill>
              <a:latin typeface="+mn-lt"/>
            </a:rPr>
            <a:t> </a:t>
          </a:r>
        </a:p>
      </cdr:txBody>
    </cdr:sp>
  </cdr:relSizeAnchor>
  <cdr:relSizeAnchor xmlns:cdr="http://schemas.openxmlformats.org/drawingml/2006/chartDrawing">
    <cdr:from>
      <cdr:x>0.44336</cdr:x>
      <cdr:y>0.6673</cdr:y>
    </cdr:from>
    <cdr:to>
      <cdr:x>0.68698</cdr:x>
      <cdr:y>0.77178</cdr:y>
    </cdr:to>
    <cdr:sp macro="" textlink="">
      <cdr:nvSpPr>
        <cdr:cNvPr id="7" name="TextBox 6"/>
        <cdr:cNvSpPr txBox="1"/>
      </cdr:nvSpPr>
      <cdr:spPr>
        <a:xfrm xmlns:a="http://schemas.openxmlformats.org/drawingml/2006/main">
          <a:off x="2592917" y="1342398"/>
          <a:ext cx="1424775" cy="2101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0" baseline="0">
              <a:solidFill>
                <a:sysClr val="windowText" lastClr="000000"/>
              </a:solidFill>
              <a:latin typeface="Times New Roman" panose="02020603050405020304" pitchFamily="18" charset="0"/>
              <a:cs typeface="Times New Roman" panose="02020603050405020304" pitchFamily="18" charset="0"/>
            </a:rPr>
            <a:t>Рестриктивна</a:t>
          </a:r>
          <a:endParaRPr lang="en-US" sz="800" b="0"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0.34316</cdr:x>
      <cdr:y>0.23789</cdr:y>
    </cdr:from>
    <cdr:to>
      <cdr:x>0.44565</cdr:x>
      <cdr:y>0.68101</cdr:y>
    </cdr:to>
    <cdr:sp macro="" textlink="">
      <cdr:nvSpPr>
        <cdr:cNvPr id="12" name="Oval 11"/>
        <cdr:cNvSpPr/>
      </cdr:nvSpPr>
      <cdr:spPr>
        <a:xfrm xmlns:a="http://schemas.openxmlformats.org/drawingml/2006/main">
          <a:off x="946150" y="638833"/>
          <a:ext cx="282575" cy="1189967"/>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latin typeface="Cambria" pitchFamily="18" charset="0"/>
          </a:endParaRPr>
        </a:p>
      </cdr:txBody>
    </cdr:sp>
  </cdr:relSizeAnchor>
  <cdr:relSizeAnchor xmlns:cdr="http://schemas.openxmlformats.org/drawingml/2006/chartDrawing">
    <cdr:from>
      <cdr:x>0.56041</cdr:x>
      <cdr:y>0.13825</cdr:y>
    </cdr:from>
    <cdr:to>
      <cdr:x>0.72635</cdr:x>
      <cdr:y>0.19124</cdr:y>
    </cdr:to>
    <cdr:sp macro="" textlink="">
      <cdr:nvSpPr>
        <cdr:cNvPr id="17" name="TextBox 16"/>
        <cdr:cNvSpPr txBox="1"/>
      </cdr:nvSpPr>
      <cdr:spPr>
        <a:xfrm xmlns:a="http://schemas.openxmlformats.org/drawingml/2006/main">
          <a:off x="3667126" y="571500"/>
          <a:ext cx="10858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0.11383</cdr:x>
      <cdr:y>0.22346</cdr:y>
    </cdr:from>
    <cdr:to>
      <cdr:x>0.36406</cdr:x>
      <cdr:y>0.29259</cdr:y>
    </cdr:to>
    <cdr:sp macro="" textlink="">
      <cdr:nvSpPr>
        <cdr:cNvPr id="18" name="TextBox 17"/>
        <cdr:cNvSpPr txBox="1"/>
      </cdr:nvSpPr>
      <cdr:spPr>
        <a:xfrm xmlns:a="http://schemas.openxmlformats.org/drawingml/2006/main">
          <a:off x="313862" y="600085"/>
          <a:ext cx="689927" cy="1856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0" baseline="0">
              <a:solidFill>
                <a:sysClr val="windowText" lastClr="000000"/>
              </a:solidFill>
              <a:latin typeface="Times New Roman" panose="02020603050405020304" pitchFamily="18" charset="0"/>
              <a:cs typeface="Times New Roman" panose="02020603050405020304" pitchFamily="18" charset="0"/>
            </a:rPr>
            <a:t>Проциклична</a:t>
          </a:r>
          <a:endParaRPr lang="en-US" sz="800" b="0"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0.28655</cdr:x>
      <cdr:y>0.32414</cdr:y>
    </cdr:from>
    <cdr:to>
      <cdr:x>0.574</cdr:x>
      <cdr:y>0.4214</cdr:y>
    </cdr:to>
    <cdr:sp macro="" textlink="">
      <cdr:nvSpPr>
        <cdr:cNvPr id="19" name="TextBox 18"/>
        <cdr:cNvSpPr txBox="1"/>
      </cdr:nvSpPr>
      <cdr:spPr>
        <a:xfrm xmlns:a="http://schemas.openxmlformats.org/drawingml/2006/main">
          <a:off x="1675845" y="652065"/>
          <a:ext cx="1681108" cy="1956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0" baseline="0">
              <a:solidFill>
                <a:sysClr val="windowText" lastClr="000000"/>
              </a:solidFill>
              <a:latin typeface="Times New Roman" panose="02020603050405020304" pitchFamily="18" charset="0"/>
              <a:cs typeface="Times New Roman" panose="02020603050405020304" pitchFamily="18" charset="0"/>
            </a:rPr>
            <a:t>Контрациклична</a:t>
          </a:r>
          <a:endParaRPr lang="en-US" sz="800" b="0"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0.4491</cdr:x>
      <cdr:y>0.18365</cdr:y>
    </cdr:from>
    <cdr:to>
      <cdr:x>0.71856</cdr:x>
      <cdr:y>0.71515</cdr:y>
    </cdr:to>
    <cdr:sp macro="" textlink="">
      <cdr:nvSpPr>
        <cdr:cNvPr id="10" name="Oval 9"/>
        <cdr:cNvSpPr/>
      </cdr:nvSpPr>
      <cdr:spPr>
        <a:xfrm xmlns:a="http://schemas.openxmlformats.org/drawingml/2006/main">
          <a:off x="1238251" y="493176"/>
          <a:ext cx="742950" cy="1427299"/>
        </a:xfrm>
        <a:prstGeom xmlns:a="http://schemas.openxmlformats.org/drawingml/2006/main" prst="ellipse">
          <a:avLst/>
        </a:prstGeom>
        <a:solidFill xmlns:a="http://schemas.openxmlformats.org/drawingml/2006/main">
          <a:srgbClr val="51BBE7">
            <a:alpha val="15000"/>
          </a:srgbClr>
        </a:solidFill>
        <a:ln xmlns:a="http://schemas.openxmlformats.org/drawingml/2006/main">
          <a:solidFill>
            <a:schemeClr val="accent1">
              <a:shade val="50000"/>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0.47415</cdr:x>
      <cdr:y>0.27175</cdr:y>
    </cdr:from>
    <cdr:to>
      <cdr:x>0.7268</cdr:x>
      <cdr:y>0.38352</cdr:y>
    </cdr:to>
    <cdr:sp macro="" textlink="">
      <cdr:nvSpPr>
        <cdr:cNvPr id="13" name="TextBox 12"/>
        <cdr:cNvSpPr txBox="1"/>
      </cdr:nvSpPr>
      <cdr:spPr>
        <a:xfrm xmlns:a="http://schemas.openxmlformats.org/drawingml/2006/main">
          <a:off x="2772995" y="546673"/>
          <a:ext cx="1477586" cy="2248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800" b="0" baseline="0">
              <a:solidFill>
                <a:sysClr val="windowText" lastClr="000000"/>
              </a:solidFill>
              <a:latin typeface="Times New Roman" panose="02020603050405020304" pitchFamily="18" charset="0"/>
              <a:cs typeface="Times New Roman" panose="02020603050405020304" pitchFamily="18" charset="0"/>
            </a:rPr>
            <a:t>Проциклична</a:t>
          </a:r>
          <a:endParaRPr lang="en-US" sz="800" b="0"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0.56256</cdr:x>
      <cdr:y>0.05889</cdr:y>
    </cdr:from>
    <cdr:to>
      <cdr:x>0.80998</cdr:x>
      <cdr:y>0.14205</cdr:y>
    </cdr:to>
    <cdr:sp macro="" textlink="">
      <cdr:nvSpPr>
        <cdr:cNvPr id="15" name="TextBox 1"/>
        <cdr:cNvSpPr txBox="1"/>
      </cdr:nvSpPr>
      <cdr:spPr>
        <a:xfrm xmlns:a="http://schemas.openxmlformats.org/drawingml/2006/main">
          <a:off x="3290048" y="118461"/>
          <a:ext cx="1446999" cy="1672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RS" sz="8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Експанзивна</a:t>
          </a:r>
          <a:r>
            <a:rPr lang="en-US" sz="800" b="0" baseline="0">
              <a:solidFill>
                <a:sysClr val="windowText" lastClr="000000"/>
              </a:solidFill>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0.70474</cdr:x>
      <cdr:y>0.06739</cdr:y>
    </cdr:from>
    <cdr:to>
      <cdr:x>0.85329</cdr:x>
      <cdr:y>0.74053</cdr:y>
    </cdr:to>
    <cdr:sp macro="" textlink="">
      <cdr:nvSpPr>
        <cdr:cNvPr id="16" name="Oval 15"/>
        <cdr:cNvSpPr/>
      </cdr:nvSpPr>
      <cdr:spPr>
        <a:xfrm xmlns:a="http://schemas.openxmlformats.org/drawingml/2006/main">
          <a:off x="1943100" y="180975"/>
          <a:ext cx="409576" cy="1807655"/>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effectLst/>
          </a:endParaRPr>
        </a:p>
      </cdr:txBody>
    </cdr:sp>
  </cdr:relSizeAnchor>
  <cdr:relSizeAnchor xmlns:cdr="http://schemas.openxmlformats.org/drawingml/2006/chartDrawing">
    <cdr:from>
      <cdr:x>0.66927</cdr:x>
      <cdr:y>0.6068</cdr:y>
    </cdr:from>
    <cdr:to>
      <cdr:x>0.94818</cdr:x>
      <cdr:y>0.69931</cdr:y>
    </cdr:to>
    <cdr:sp macro="" textlink="">
      <cdr:nvSpPr>
        <cdr:cNvPr id="20" name="TextBox 1"/>
        <cdr:cNvSpPr txBox="1"/>
      </cdr:nvSpPr>
      <cdr:spPr>
        <a:xfrm xmlns:a="http://schemas.openxmlformats.org/drawingml/2006/main">
          <a:off x="1845293" y="1629504"/>
          <a:ext cx="769002" cy="2484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RS" sz="800" b="0" baseline="0">
              <a:solidFill>
                <a:sysClr val="windowText" lastClr="000000"/>
              </a:solidFill>
              <a:latin typeface="Times New Roman" panose="02020603050405020304" pitchFamily="18" charset="0"/>
              <a:cs typeface="Times New Roman" panose="02020603050405020304" pitchFamily="18" charset="0"/>
            </a:rPr>
            <a:t>Контрациклична</a:t>
          </a:r>
          <a:endParaRPr lang="en-US" sz="800" b="0" baseline="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883AB-B661-42D9-B891-8ED6B1F84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112216</Words>
  <Characters>639633</Characters>
  <Application>Microsoft Office Word</Application>
  <DocSecurity>0</DocSecurity>
  <Lines>5330</Lines>
  <Paragraphs>1500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 Terzic</dc:creator>
  <cp:lastModifiedBy>Ivana Vojinović</cp:lastModifiedBy>
  <cp:revision>2</cp:revision>
  <cp:lastPrinted>2023-02-01T11:13:00Z</cp:lastPrinted>
  <dcterms:created xsi:type="dcterms:W3CDTF">2023-02-07T12:25:00Z</dcterms:created>
  <dcterms:modified xsi:type="dcterms:W3CDTF">2023-02-07T12:25:00Z</dcterms:modified>
</cp:coreProperties>
</file>